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185"/>
        <w:gridCol w:w="319"/>
        <w:gridCol w:w="1432"/>
        <w:gridCol w:w="3341"/>
      </w:tblGrid>
      <w:tr w:rsidR="00344043" w:rsidRPr="00344043" w:rsidTr="00FE026A">
        <w:trPr>
          <w:trHeight w:val="1786"/>
        </w:trPr>
        <w:tc>
          <w:tcPr>
            <w:tcW w:w="5000" w:type="pct"/>
            <w:gridSpan w:val="4"/>
          </w:tcPr>
          <w:p w:rsidR="00344043" w:rsidRPr="00344043" w:rsidRDefault="00344043" w:rsidP="00344043">
            <w:pPr>
              <w:jc w:val="center"/>
              <w:rPr>
                <w:lang w:val="fr-CA"/>
              </w:rPr>
            </w:pPr>
            <w:r w:rsidRPr="00344043">
              <w:rPr>
                <w:noProof/>
              </w:rPr>
              <w:drawing>
                <wp:inline distT="0" distB="0" distL="0" distR="0" wp14:anchorId="4CB9F078" wp14:editId="144AF79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344043" w:rsidRPr="00344043" w:rsidRDefault="00344043" w:rsidP="00344043">
            <w:pPr>
              <w:spacing w:before="120" w:after="100" w:afterAutospacing="1"/>
              <w:jc w:val="center"/>
              <w:rPr>
                <w:lang w:val="fr-CA"/>
              </w:rPr>
            </w:pPr>
            <w:r w:rsidRPr="00344043">
              <w:rPr>
                <w:b/>
                <w:lang w:val="fr-CA"/>
              </w:rPr>
              <w:t>COUR SUPRÊME DU CANADA</w:t>
            </w:r>
          </w:p>
        </w:tc>
      </w:tr>
      <w:tr w:rsidR="00344043" w:rsidRPr="00344043" w:rsidTr="00FE026A">
        <w:tc>
          <w:tcPr>
            <w:tcW w:w="2117" w:type="pct"/>
            <w:gridSpan w:val="2"/>
            <w:tcMar>
              <w:top w:w="284" w:type="dxa"/>
            </w:tcMar>
          </w:tcPr>
          <w:p w:rsidR="00344043" w:rsidRPr="00344043" w:rsidRDefault="00344043" w:rsidP="00344043">
            <w:pPr>
              <w:spacing w:before="100" w:beforeAutospacing="1"/>
            </w:pPr>
            <w:r w:rsidRPr="00344043">
              <w:rPr>
                <w:b/>
                <w:smallCaps/>
              </w:rPr>
              <w:t>Référence :</w:t>
            </w:r>
            <w:r w:rsidRPr="00344043">
              <w:t xml:space="preserve"> Canada </w:t>
            </w:r>
            <w:r w:rsidRPr="00344043">
              <w:rPr>
                <w:i/>
              </w:rPr>
              <w:t>c.</w:t>
            </w:r>
            <w:r w:rsidRPr="00344043">
              <w:t xml:space="preserve"> Canada North Group Inc., 2021 CSC 30</w:t>
            </w:r>
          </w:p>
        </w:tc>
        <w:tc>
          <w:tcPr>
            <w:tcW w:w="865" w:type="pct"/>
          </w:tcPr>
          <w:p w:rsidR="00344043" w:rsidRPr="00344043" w:rsidRDefault="00344043" w:rsidP="00344043">
            <w:pPr>
              <w:rPr>
                <w:b/>
                <w:smallCaps/>
              </w:rPr>
            </w:pPr>
          </w:p>
        </w:tc>
        <w:tc>
          <w:tcPr>
            <w:tcW w:w="2018" w:type="pct"/>
            <w:tcMar>
              <w:top w:w="284" w:type="dxa"/>
            </w:tcMar>
          </w:tcPr>
          <w:p w:rsidR="00344043" w:rsidRPr="00344043" w:rsidRDefault="00344043" w:rsidP="00344043">
            <w:pPr>
              <w:rPr>
                <w:lang w:val="fr-CA"/>
              </w:rPr>
            </w:pPr>
            <w:r w:rsidRPr="00344043">
              <w:rPr>
                <w:b/>
                <w:smallCaps/>
                <w:lang w:val="fr-CA"/>
              </w:rPr>
              <w:t>Appel entendu :</w:t>
            </w:r>
            <w:r w:rsidRPr="00344043">
              <w:rPr>
                <w:lang w:val="fr-CA"/>
              </w:rPr>
              <w:t xml:space="preserve"> 1</w:t>
            </w:r>
            <w:r w:rsidRPr="00344043">
              <w:rPr>
                <w:vertAlign w:val="superscript"/>
                <w:lang w:val="fr-CA"/>
              </w:rPr>
              <w:t>er</w:t>
            </w:r>
            <w:r w:rsidRPr="00344043">
              <w:rPr>
                <w:lang w:val="fr-CA"/>
              </w:rPr>
              <w:t xml:space="preserve"> décembre 2020</w:t>
            </w:r>
          </w:p>
          <w:p w:rsidR="00344043" w:rsidRPr="00344043" w:rsidRDefault="00344043" w:rsidP="00344043">
            <w:pPr>
              <w:rPr>
                <w:b/>
                <w:smallCaps/>
                <w:lang w:val="fr-CA"/>
              </w:rPr>
            </w:pPr>
            <w:r w:rsidRPr="00344043">
              <w:rPr>
                <w:b/>
                <w:smallCaps/>
                <w:lang w:val="fr-CA"/>
              </w:rPr>
              <w:t xml:space="preserve">Jugement rendu : </w:t>
            </w:r>
            <w:r w:rsidRPr="00344043">
              <w:rPr>
                <w:lang w:val="fr-CA"/>
              </w:rPr>
              <w:t>28 juillet 2021</w:t>
            </w:r>
          </w:p>
          <w:p w:rsidR="00344043" w:rsidRPr="00344043" w:rsidRDefault="00344043" w:rsidP="00344043">
            <w:pPr>
              <w:rPr>
                <w:lang w:val="fr-CA"/>
              </w:rPr>
            </w:pPr>
            <w:r w:rsidRPr="00344043">
              <w:rPr>
                <w:b/>
                <w:smallCaps/>
                <w:lang w:val="fr-CA"/>
              </w:rPr>
              <w:t>Dossier :</w:t>
            </w:r>
            <w:r w:rsidRPr="00344043">
              <w:rPr>
                <w:lang w:val="fr-CA"/>
              </w:rPr>
              <w:t xml:space="preserve"> 38871</w:t>
            </w:r>
          </w:p>
        </w:tc>
      </w:tr>
      <w:tr w:rsidR="00344043" w:rsidRPr="005C7084" w:rsidTr="00FE026A">
        <w:tc>
          <w:tcPr>
            <w:tcW w:w="5000" w:type="pct"/>
            <w:gridSpan w:val="4"/>
          </w:tcPr>
          <w:p w:rsidR="00344043" w:rsidRPr="00344043" w:rsidRDefault="00344043" w:rsidP="00344043">
            <w:pPr>
              <w:rPr>
                <w:b/>
                <w:smallCaps/>
                <w:lang w:val="fr-CA"/>
              </w:rPr>
            </w:pPr>
          </w:p>
          <w:p w:rsidR="00344043" w:rsidRPr="00344043" w:rsidRDefault="00344043" w:rsidP="00344043">
            <w:pPr>
              <w:rPr>
                <w:b/>
                <w:smallCaps/>
                <w:lang w:val="fr-CA"/>
              </w:rPr>
            </w:pPr>
            <w:r w:rsidRPr="00344043">
              <w:rPr>
                <w:b/>
                <w:smallCaps/>
                <w:lang w:val="fr-CA"/>
              </w:rPr>
              <w:t>Entre :</w:t>
            </w:r>
          </w:p>
          <w:p w:rsidR="00344043" w:rsidRPr="00344043" w:rsidRDefault="00344043" w:rsidP="00344043">
            <w:pPr>
              <w:jc w:val="center"/>
              <w:rPr>
                <w:b/>
                <w:lang w:val="fr-CA"/>
              </w:rPr>
            </w:pPr>
            <w:r w:rsidRPr="00344043">
              <w:rPr>
                <w:b/>
                <w:lang w:val="fr-CA"/>
              </w:rPr>
              <w:t>Sa Majesté la Reine du chef du Canada</w:t>
            </w:r>
          </w:p>
          <w:p w:rsidR="00344043" w:rsidRPr="00344043" w:rsidRDefault="00344043" w:rsidP="00344043">
            <w:pPr>
              <w:jc w:val="center"/>
              <w:rPr>
                <w:lang w:val="fr-CA"/>
              </w:rPr>
            </w:pPr>
            <w:r w:rsidRPr="00344043">
              <w:rPr>
                <w:lang w:val="fr-CA"/>
              </w:rPr>
              <w:t>Appelante</w:t>
            </w:r>
          </w:p>
          <w:p w:rsidR="00344043" w:rsidRPr="00344043" w:rsidRDefault="00344043" w:rsidP="00344043">
            <w:pPr>
              <w:jc w:val="center"/>
              <w:rPr>
                <w:lang w:val="fr-CA"/>
              </w:rPr>
            </w:pPr>
          </w:p>
          <w:p w:rsidR="00344043" w:rsidRPr="00344043" w:rsidRDefault="00344043" w:rsidP="00344043">
            <w:pPr>
              <w:jc w:val="center"/>
              <w:rPr>
                <w:lang w:val="fr-CA"/>
              </w:rPr>
            </w:pPr>
            <w:r w:rsidRPr="00344043">
              <w:rPr>
                <w:lang w:val="fr-CA"/>
              </w:rPr>
              <w:t>et</w:t>
            </w:r>
          </w:p>
          <w:p w:rsidR="00344043" w:rsidRPr="00344043" w:rsidRDefault="00344043" w:rsidP="00344043">
            <w:pPr>
              <w:jc w:val="center"/>
              <w:rPr>
                <w:lang w:val="fr-CA"/>
              </w:rPr>
            </w:pPr>
          </w:p>
          <w:p w:rsidR="00344043" w:rsidRPr="00344043" w:rsidRDefault="00344043" w:rsidP="00344043">
            <w:pPr>
              <w:jc w:val="center"/>
              <w:rPr>
                <w:b/>
                <w:lang w:val="fr-CA"/>
              </w:rPr>
            </w:pPr>
            <w:r w:rsidRPr="00344043">
              <w:rPr>
                <w:b/>
                <w:lang w:val="fr-CA"/>
              </w:rPr>
              <w:t>Canada North Group Inc., Canada North Camps Inc., Campcorp Structures Ltd., DJ Catering Ltd., 816956 Alberta Ltd., 1371047 Alberta Ltd., 1919209 Alberta Ltd., Ernst &amp; Young Inc. en sa qualité de contrôleur et Banque de développement du Canada</w:t>
            </w:r>
          </w:p>
          <w:p w:rsidR="00344043" w:rsidRPr="00344043" w:rsidRDefault="00344043" w:rsidP="00344043">
            <w:pPr>
              <w:jc w:val="center"/>
              <w:rPr>
                <w:lang w:val="fr-CA"/>
              </w:rPr>
            </w:pPr>
            <w:r w:rsidRPr="00344043">
              <w:rPr>
                <w:lang w:val="fr-CA"/>
              </w:rPr>
              <w:t>Intimées</w:t>
            </w:r>
          </w:p>
          <w:p w:rsidR="00344043" w:rsidRPr="00344043" w:rsidRDefault="00344043" w:rsidP="00344043">
            <w:pPr>
              <w:jc w:val="center"/>
              <w:rPr>
                <w:lang w:val="fr-CA"/>
              </w:rPr>
            </w:pPr>
          </w:p>
          <w:p w:rsidR="00344043" w:rsidRPr="00344043" w:rsidRDefault="00344043" w:rsidP="00344043">
            <w:pPr>
              <w:jc w:val="center"/>
              <w:rPr>
                <w:lang w:val="fr-CA"/>
              </w:rPr>
            </w:pPr>
            <w:r w:rsidRPr="00344043">
              <w:rPr>
                <w:lang w:val="fr-CA"/>
              </w:rPr>
              <w:t>- et -</w:t>
            </w:r>
          </w:p>
          <w:p w:rsidR="00344043" w:rsidRPr="00344043" w:rsidRDefault="00344043" w:rsidP="00344043">
            <w:pPr>
              <w:rPr>
                <w:lang w:val="fr-CA"/>
              </w:rPr>
            </w:pPr>
          </w:p>
          <w:p w:rsidR="00344043" w:rsidRPr="00344043" w:rsidRDefault="00344043" w:rsidP="00344043">
            <w:pPr>
              <w:jc w:val="center"/>
              <w:rPr>
                <w:b/>
                <w:lang w:val="fr-CA"/>
              </w:rPr>
            </w:pPr>
            <w:r w:rsidRPr="00344043">
              <w:rPr>
                <w:b/>
                <w:lang w:val="fr-CA"/>
              </w:rPr>
              <w:t>Institut d’insolvabilité du Canada et Association canadienne des professionnels de l’insolvabilité et de la réorganisation</w:t>
            </w:r>
          </w:p>
          <w:p w:rsidR="00344043" w:rsidRPr="00344043" w:rsidRDefault="00344043" w:rsidP="00344043">
            <w:pPr>
              <w:jc w:val="center"/>
              <w:rPr>
                <w:lang w:val="fr-CA"/>
              </w:rPr>
            </w:pPr>
            <w:r w:rsidRPr="00344043">
              <w:rPr>
                <w:lang w:val="fr-CA"/>
              </w:rPr>
              <w:t>Intervenants</w:t>
            </w:r>
          </w:p>
          <w:p w:rsidR="00344043" w:rsidRPr="00344043" w:rsidRDefault="00344043" w:rsidP="00344043">
            <w:pPr>
              <w:rPr>
                <w:lang w:val="fr-CA"/>
              </w:rPr>
            </w:pPr>
          </w:p>
          <w:p w:rsidR="00344043" w:rsidRPr="00344043" w:rsidRDefault="00344043" w:rsidP="00344043">
            <w:pPr>
              <w:rPr>
                <w:lang w:val="fr-CA"/>
              </w:rPr>
            </w:pPr>
          </w:p>
          <w:p w:rsidR="00344043" w:rsidRPr="00344043" w:rsidRDefault="00344043" w:rsidP="00344043">
            <w:pPr>
              <w:jc w:val="center"/>
              <w:rPr>
                <w:b/>
                <w:smallCaps/>
                <w:lang w:val="fr-CA"/>
              </w:rPr>
            </w:pPr>
            <w:r w:rsidRPr="00344043">
              <w:rPr>
                <w:b/>
                <w:smallCaps/>
                <w:lang w:val="fr-CA"/>
              </w:rPr>
              <w:t>Traduction française officielle</w:t>
            </w:r>
          </w:p>
          <w:p w:rsidR="00344043" w:rsidRPr="00344043" w:rsidRDefault="00344043" w:rsidP="00344043">
            <w:pPr>
              <w:rPr>
                <w:smallCaps/>
                <w:lang w:val="fr-CA"/>
              </w:rPr>
            </w:pPr>
          </w:p>
          <w:p w:rsidR="00344043" w:rsidRPr="00344043" w:rsidRDefault="00344043" w:rsidP="00344043">
            <w:pPr>
              <w:rPr>
                <w:smallCaps/>
                <w:lang w:val="fr-CA"/>
              </w:rPr>
            </w:pPr>
          </w:p>
          <w:p w:rsidR="00344043" w:rsidRPr="00344043" w:rsidRDefault="00344043" w:rsidP="00344043">
            <w:pPr>
              <w:rPr>
                <w:lang w:val="fr-CA"/>
              </w:rPr>
            </w:pPr>
            <w:r w:rsidRPr="00344043">
              <w:rPr>
                <w:b/>
                <w:smallCaps/>
                <w:lang w:val="fr-CA"/>
              </w:rPr>
              <w:t>Coram :</w:t>
            </w:r>
            <w:r w:rsidRPr="00344043">
              <w:rPr>
                <w:lang w:val="fr-CA"/>
              </w:rPr>
              <w:t xml:space="preserve"> Le juge en chef Wagner et les juges Abella, Moldaver, Karakatsanis, Côté, Brown, Rowe, Martin et Kasirer</w:t>
            </w:r>
          </w:p>
          <w:p w:rsidR="00344043" w:rsidRPr="00344043" w:rsidRDefault="00344043" w:rsidP="00344043">
            <w:pPr>
              <w:rPr>
                <w:b/>
                <w:smallCaps/>
                <w:lang w:val="fr-CA"/>
              </w:rPr>
            </w:pPr>
          </w:p>
        </w:tc>
      </w:tr>
      <w:tr w:rsidR="00344043" w:rsidRPr="005C7084" w:rsidTr="00FE026A">
        <w:tblPrEx>
          <w:tblCellMar>
            <w:top w:w="58" w:type="dxa"/>
            <w:left w:w="58" w:type="dxa"/>
            <w:bottom w:w="58" w:type="dxa"/>
            <w:right w:w="58" w:type="dxa"/>
          </w:tblCellMar>
        </w:tblPrEx>
        <w:trPr>
          <w:cantSplit/>
        </w:trPr>
        <w:tc>
          <w:tcPr>
            <w:tcW w:w="1924" w:type="pct"/>
          </w:tcPr>
          <w:p w:rsidR="00344043" w:rsidRPr="00344043" w:rsidRDefault="00344043" w:rsidP="00344043">
            <w:pPr>
              <w:rPr>
                <w:b/>
                <w:smallCaps/>
                <w:lang w:val="fr-CA"/>
              </w:rPr>
            </w:pPr>
            <w:r w:rsidRPr="00344043">
              <w:rPr>
                <w:b/>
                <w:smallCaps/>
                <w:lang w:val="fr-CA"/>
              </w:rPr>
              <w:lastRenderedPageBreak/>
              <w:t>Motifs :</w:t>
            </w:r>
          </w:p>
          <w:p w:rsidR="00344043" w:rsidRPr="00344043" w:rsidRDefault="00344043" w:rsidP="00344043">
            <w:pPr>
              <w:rPr>
                <w:lang w:val="fr-CA"/>
              </w:rPr>
            </w:pPr>
            <w:r w:rsidRPr="00344043">
              <w:rPr>
                <w:lang w:val="fr-CA"/>
              </w:rPr>
              <w:t>(par. 1 à 74)</w:t>
            </w:r>
          </w:p>
        </w:tc>
        <w:tc>
          <w:tcPr>
            <w:tcW w:w="3076" w:type="pct"/>
            <w:gridSpan w:val="3"/>
          </w:tcPr>
          <w:p w:rsidR="00344043" w:rsidRPr="00344043" w:rsidRDefault="00344043" w:rsidP="00344043">
            <w:pPr>
              <w:rPr>
                <w:lang w:val="fr-CA"/>
              </w:rPr>
            </w:pPr>
            <w:r w:rsidRPr="00344043">
              <w:rPr>
                <w:lang w:val="fr-CA"/>
              </w:rPr>
              <w:t>La juge Côté (avec l’accord du juge en chef Wagner et du juge Kasirer)</w:t>
            </w:r>
          </w:p>
        </w:tc>
      </w:tr>
      <w:tr w:rsidR="00344043" w:rsidRPr="005C7084" w:rsidTr="00FE026A">
        <w:tblPrEx>
          <w:tblCellMar>
            <w:top w:w="58" w:type="dxa"/>
            <w:left w:w="58" w:type="dxa"/>
            <w:bottom w:w="58" w:type="dxa"/>
            <w:right w:w="58" w:type="dxa"/>
          </w:tblCellMar>
        </w:tblPrEx>
        <w:trPr>
          <w:cantSplit/>
        </w:trPr>
        <w:tc>
          <w:tcPr>
            <w:tcW w:w="1924" w:type="pct"/>
          </w:tcPr>
          <w:p w:rsidR="00344043" w:rsidRPr="00344043" w:rsidRDefault="00344043" w:rsidP="00344043">
            <w:pPr>
              <w:rPr>
                <w:b/>
                <w:smallCaps/>
                <w:lang w:val="fr-CA"/>
              </w:rPr>
            </w:pPr>
            <w:r w:rsidRPr="00344043">
              <w:rPr>
                <w:b/>
                <w:smallCaps/>
                <w:lang w:val="fr-CA"/>
              </w:rPr>
              <w:t>Motifs concordants :</w:t>
            </w:r>
          </w:p>
          <w:p w:rsidR="00344043" w:rsidRPr="00344043" w:rsidRDefault="00344043" w:rsidP="00344043">
            <w:pPr>
              <w:rPr>
                <w:b/>
                <w:smallCaps/>
                <w:lang w:val="fr-CA"/>
              </w:rPr>
            </w:pPr>
            <w:r w:rsidRPr="00344043">
              <w:rPr>
                <w:lang w:val="fr-CA"/>
              </w:rPr>
              <w:t>(par. 75 à 182)</w:t>
            </w:r>
          </w:p>
        </w:tc>
        <w:tc>
          <w:tcPr>
            <w:tcW w:w="3076" w:type="pct"/>
            <w:gridSpan w:val="3"/>
          </w:tcPr>
          <w:p w:rsidR="00344043" w:rsidRPr="00344043" w:rsidRDefault="00344043" w:rsidP="00344043">
            <w:pPr>
              <w:rPr>
                <w:lang w:val="fr-CA"/>
              </w:rPr>
            </w:pPr>
            <w:r w:rsidRPr="00344043">
              <w:rPr>
                <w:lang w:val="fr-CA"/>
              </w:rPr>
              <w:t>La juge Karakatsanis (avec l’accord de la juge Martin)</w:t>
            </w:r>
          </w:p>
        </w:tc>
      </w:tr>
      <w:tr w:rsidR="00344043" w:rsidRPr="005C7084" w:rsidTr="00FE026A">
        <w:tblPrEx>
          <w:tblCellMar>
            <w:top w:w="58" w:type="dxa"/>
            <w:left w:w="58" w:type="dxa"/>
            <w:bottom w:w="58" w:type="dxa"/>
            <w:right w:w="58" w:type="dxa"/>
          </w:tblCellMar>
        </w:tblPrEx>
        <w:trPr>
          <w:cantSplit/>
        </w:trPr>
        <w:tc>
          <w:tcPr>
            <w:tcW w:w="1924" w:type="pct"/>
          </w:tcPr>
          <w:p w:rsidR="00344043" w:rsidRPr="00344043" w:rsidRDefault="00344043" w:rsidP="00344043">
            <w:pPr>
              <w:rPr>
                <w:b/>
                <w:smallCaps/>
                <w:lang w:val="fr-CA"/>
              </w:rPr>
            </w:pPr>
            <w:r w:rsidRPr="00344043">
              <w:rPr>
                <w:b/>
                <w:smallCaps/>
                <w:lang w:val="fr-CA"/>
              </w:rPr>
              <w:t>Motifs conjoints dissidents :</w:t>
            </w:r>
          </w:p>
          <w:p w:rsidR="00344043" w:rsidRPr="00344043" w:rsidRDefault="00344043" w:rsidP="00344043">
            <w:pPr>
              <w:rPr>
                <w:b/>
                <w:smallCaps/>
                <w:lang w:val="fr-CA"/>
              </w:rPr>
            </w:pPr>
            <w:r w:rsidRPr="00344043">
              <w:rPr>
                <w:lang w:val="fr-CA"/>
              </w:rPr>
              <w:t>(par. 183 à 253)</w:t>
            </w:r>
          </w:p>
        </w:tc>
        <w:tc>
          <w:tcPr>
            <w:tcW w:w="3076" w:type="pct"/>
            <w:gridSpan w:val="3"/>
          </w:tcPr>
          <w:p w:rsidR="00344043" w:rsidRPr="00344043" w:rsidRDefault="00344043" w:rsidP="00344043">
            <w:pPr>
              <w:rPr>
                <w:lang w:val="fr-CA"/>
              </w:rPr>
            </w:pPr>
            <w:r w:rsidRPr="00344043">
              <w:rPr>
                <w:lang w:val="fr-CA"/>
              </w:rPr>
              <w:t>Les juges Brown et Rowe (avec l’accord de la juge Abella)</w:t>
            </w:r>
          </w:p>
        </w:tc>
      </w:tr>
      <w:tr w:rsidR="00344043" w:rsidRPr="00344043" w:rsidTr="00FE026A">
        <w:tblPrEx>
          <w:tblCellMar>
            <w:top w:w="58" w:type="dxa"/>
            <w:left w:w="58" w:type="dxa"/>
            <w:bottom w:w="58" w:type="dxa"/>
            <w:right w:w="58" w:type="dxa"/>
          </w:tblCellMar>
        </w:tblPrEx>
        <w:trPr>
          <w:cantSplit/>
        </w:trPr>
        <w:tc>
          <w:tcPr>
            <w:tcW w:w="1924" w:type="pct"/>
          </w:tcPr>
          <w:p w:rsidR="00344043" w:rsidRPr="00344043" w:rsidRDefault="00344043" w:rsidP="00344043">
            <w:pPr>
              <w:rPr>
                <w:b/>
                <w:smallCaps/>
                <w:lang w:val="fr-CA"/>
              </w:rPr>
            </w:pPr>
            <w:r w:rsidRPr="00344043">
              <w:rPr>
                <w:b/>
                <w:smallCaps/>
                <w:lang w:val="fr-CA"/>
              </w:rPr>
              <w:t>Motifs dissidents :</w:t>
            </w:r>
          </w:p>
          <w:p w:rsidR="00344043" w:rsidRPr="00344043" w:rsidRDefault="00344043" w:rsidP="00344043">
            <w:pPr>
              <w:rPr>
                <w:b/>
                <w:smallCaps/>
                <w:lang w:val="fr-CA"/>
              </w:rPr>
            </w:pPr>
            <w:r w:rsidRPr="00344043">
              <w:rPr>
                <w:lang w:val="fr-CA"/>
              </w:rPr>
              <w:t>(par. 254 à 265)</w:t>
            </w:r>
          </w:p>
        </w:tc>
        <w:tc>
          <w:tcPr>
            <w:tcW w:w="3076" w:type="pct"/>
            <w:gridSpan w:val="3"/>
          </w:tcPr>
          <w:p w:rsidR="00344043" w:rsidRPr="00344043" w:rsidRDefault="00344043" w:rsidP="00344043">
            <w:pPr>
              <w:rPr>
                <w:lang w:val="fr-CA"/>
              </w:rPr>
            </w:pPr>
            <w:r w:rsidRPr="00344043">
              <w:rPr>
                <w:lang w:val="fr-CA"/>
              </w:rPr>
              <w:t>Le juge Moldaver</w:t>
            </w:r>
          </w:p>
        </w:tc>
      </w:tr>
    </w:tbl>
    <w:p w:rsidR="00344043" w:rsidRPr="00344043" w:rsidRDefault="00344043" w:rsidP="00344043">
      <w:pPr>
        <w:rPr>
          <w:rFonts w:eastAsiaTheme="minorHAnsi" w:cstheme="minorBidi"/>
          <w:b/>
          <w:smallCaps/>
          <w:szCs w:val="24"/>
          <w:lang w:val="fr-CA" w:eastAsia="en-US"/>
        </w:rPr>
      </w:pPr>
    </w:p>
    <w:p w:rsidR="00344043" w:rsidRPr="00344043" w:rsidRDefault="00344043" w:rsidP="00344043">
      <w:pPr>
        <w:rPr>
          <w:rFonts w:eastAsiaTheme="minorHAnsi" w:cstheme="minorBidi"/>
          <w:szCs w:val="24"/>
          <w:lang w:val="fr-CA" w:eastAsia="en-US"/>
        </w:rPr>
      </w:pPr>
      <w:r w:rsidRPr="00344043">
        <w:rPr>
          <w:rFonts w:eastAsiaTheme="minorHAnsi" w:cstheme="minorBidi"/>
          <w:b/>
          <w:smallCaps/>
          <w:szCs w:val="24"/>
          <w:lang w:val="fr-CA" w:eastAsia="en-US"/>
        </w:rPr>
        <w:t>Note :</w:t>
      </w:r>
      <w:r w:rsidRPr="00344043">
        <w:rPr>
          <w:rFonts w:eastAsiaTheme="minorHAnsi" w:cstheme="minorBidi"/>
          <w:szCs w:val="24"/>
          <w:lang w:val="fr-CA" w:eastAsia="en-US"/>
        </w:rPr>
        <w:t xml:space="preserve"> Ce document fera l’objet de retouches de forme avant la parution de sa version définitive dans le </w:t>
      </w:r>
      <w:r w:rsidRPr="00344043">
        <w:rPr>
          <w:rFonts w:eastAsiaTheme="minorHAnsi" w:cstheme="minorBidi"/>
          <w:i/>
          <w:szCs w:val="24"/>
          <w:lang w:val="fr-CA" w:eastAsia="en-US"/>
        </w:rPr>
        <w:t>Recueil des arrêts de la Cour suprême du Canada</w:t>
      </w:r>
      <w:r w:rsidRPr="00344043">
        <w:rPr>
          <w:rFonts w:eastAsiaTheme="minorHAnsi" w:cstheme="minorBidi"/>
          <w:szCs w:val="24"/>
          <w:lang w:val="fr-CA" w:eastAsia="en-US"/>
        </w:rPr>
        <w:t>.</w:t>
      </w:r>
    </w:p>
    <w:p w:rsidR="00344043" w:rsidRPr="00344043" w:rsidRDefault="00344043" w:rsidP="00344043">
      <w:pPr>
        <w:rPr>
          <w:rFonts w:eastAsiaTheme="minorHAnsi" w:cstheme="minorBidi"/>
          <w:szCs w:val="24"/>
          <w:lang w:val="fr-CA" w:eastAsia="en-US"/>
        </w:rPr>
      </w:pPr>
    </w:p>
    <w:p w:rsidR="00344043" w:rsidRPr="00344043" w:rsidRDefault="00344043" w:rsidP="00344043">
      <w:pPr>
        <w:rPr>
          <w:rFonts w:eastAsiaTheme="minorHAnsi" w:cstheme="minorBidi"/>
          <w:szCs w:val="24"/>
          <w:lang w:val="fr-CA" w:eastAsia="en-US"/>
        </w:rPr>
      </w:pPr>
      <w:r w:rsidRPr="00344043">
        <w:rPr>
          <w:rFonts w:eastAsiaTheme="minorHAnsi" w:cstheme="minorBidi"/>
          <w:noProof/>
          <w:szCs w:val="24"/>
          <w:lang w:val="en-US" w:eastAsia="en-US"/>
        </w:rPr>
        <mc:AlternateContent>
          <mc:Choice Requires="wps">
            <w:drawing>
              <wp:anchor distT="0" distB="0" distL="114300" distR="114300" simplePos="0" relativeHeight="251659264" behindDoc="0" locked="0" layoutInCell="1" allowOverlap="1" wp14:anchorId="1B087CED" wp14:editId="2FAD3E4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F5F6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44043" w:rsidRPr="00344043" w:rsidRDefault="00344043">
      <w:pPr>
        <w:rPr>
          <w:rStyle w:val="SCCAppellantForRunningHeadChar"/>
          <w:lang w:val="fr-CA"/>
        </w:rPr>
      </w:pPr>
      <w:r w:rsidRPr="00344043">
        <w:rPr>
          <w:rStyle w:val="SCCAppellantForRunningHeadChar"/>
          <w:lang w:val="fr-CA"/>
        </w:rPr>
        <w:br w:type="page"/>
      </w:r>
    </w:p>
    <w:p w:rsidR="004D7D95" w:rsidRPr="000E0A84" w:rsidRDefault="00052A5A" w:rsidP="00213F87">
      <w:pPr>
        <w:spacing w:after="720"/>
        <w:jc w:val="both"/>
        <w:rPr>
          <w:lang w:val="en-US"/>
        </w:rPr>
      </w:pPr>
      <w:r w:rsidRPr="00052A5A">
        <w:rPr>
          <w:rStyle w:val="SCCAppellantForRunningHeadChar"/>
        </w:rPr>
        <w:lastRenderedPageBreak/>
        <w:t>canada</w:t>
      </w:r>
      <w:r w:rsidR="004D7D95" w:rsidRPr="00052A5A">
        <w:rPr>
          <w:lang w:val="en-US"/>
        </w:rPr>
        <w:t xml:space="preserve"> </w:t>
      </w:r>
      <w:r w:rsidR="004D7D95" w:rsidRPr="00052A5A">
        <w:rPr>
          <w:i/>
          <w:lang w:val="en-US"/>
        </w:rPr>
        <w:t>c.</w:t>
      </w:r>
      <w:r w:rsidR="004D7D95" w:rsidRPr="00052A5A">
        <w:rPr>
          <w:lang w:val="en-US"/>
        </w:rPr>
        <w:t xml:space="preserve"> </w:t>
      </w:r>
      <w:r w:rsidR="00B77582" w:rsidRPr="00052A5A">
        <w:rPr>
          <w:rStyle w:val="SCCRespondentForRunningHeadChar"/>
        </w:rPr>
        <w:t>canada north group i</w:t>
      </w:r>
      <w:r w:rsidR="004D7D95" w:rsidRPr="00052A5A">
        <w:rPr>
          <w:rStyle w:val="SCCRespondentForRunningHeadChar"/>
        </w:rPr>
        <w:t>nc.</w:t>
      </w:r>
    </w:p>
    <w:p w:rsidR="008826BD" w:rsidRPr="00B77582" w:rsidRDefault="00485465" w:rsidP="00213F87">
      <w:pPr>
        <w:pStyle w:val="SCCLsocLastPartyInRole"/>
        <w:rPr>
          <w:lang w:val="fr-CA"/>
        </w:rPr>
      </w:pPr>
      <w:r w:rsidRPr="00B77582">
        <w:rPr>
          <w:lang w:val="fr-CA"/>
        </w:rPr>
        <w:t>Sa Majesté la Reine du chef du Canada</w:t>
      </w:r>
      <w:r w:rsidR="00B77582">
        <w:rPr>
          <w:rStyle w:val="SCCLsocPartyRole"/>
          <w:lang w:val="fr-CA"/>
        </w:rPr>
        <w:tab/>
        <w:t>Appelante</w:t>
      </w:r>
    </w:p>
    <w:p w:rsidR="008826BD" w:rsidRDefault="00485465" w:rsidP="00213F87">
      <w:pPr>
        <w:pStyle w:val="SCCLsocVersus"/>
      </w:pPr>
      <w:r>
        <w:t>c.</w:t>
      </w:r>
    </w:p>
    <w:p w:rsidR="008826BD" w:rsidRDefault="00485465">
      <w:pPr>
        <w:pStyle w:val="SCCLsocParty"/>
      </w:pPr>
      <w:r>
        <w:t>Canada North Group Inc.,</w:t>
      </w:r>
    </w:p>
    <w:p w:rsidR="008826BD" w:rsidRDefault="00485465">
      <w:pPr>
        <w:pStyle w:val="SCCLsocParty"/>
      </w:pPr>
      <w:r>
        <w:t>Canada North Camps Inc.,</w:t>
      </w:r>
    </w:p>
    <w:p w:rsidR="008826BD" w:rsidRDefault="00485465">
      <w:pPr>
        <w:pStyle w:val="SCCLsocParty"/>
      </w:pPr>
      <w:r>
        <w:t>Campcorp Structures Ltd.,</w:t>
      </w:r>
    </w:p>
    <w:p w:rsidR="007B7573" w:rsidRDefault="00485465">
      <w:pPr>
        <w:pStyle w:val="SCCLsocParty"/>
      </w:pPr>
      <w:r>
        <w:t>DJ Catering Ltd.,</w:t>
      </w:r>
    </w:p>
    <w:p w:rsidR="008826BD" w:rsidRDefault="00485465">
      <w:pPr>
        <w:pStyle w:val="SCCLsocParty"/>
      </w:pPr>
      <w:r>
        <w:t>816956 Alberta Ltd.,</w:t>
      </w:r>
    </w:p>
    <w:p w:rsidR="007B7573" w:rsidRPr="00575202" w:rsidRDefault="00485465">
      <w:pPr>
        <w:pStyle w:val="SCCLsocParty"/>
        <w:rPr>
          <w:lang w:val="fr-CA"/>
        </w:rPr>
      </w:pPr>
      <w:r w:rsidRPr="00575202">
        <w:rPr>
          <w:lang w:val="fr-CA"/>
        </w:rPr>
        <w:t>1371047 Alberta Ltd.,</w:t>
      </w:r>
    </w:p>
    <w:p w:rsidR="008826BD" w:rsidRPr="00575202" w:rsidRDefault="00485465">
      <w:pPr>
        <w:pStyle w:val="SCCLsocParty"/>
        <w:rPr>
          <w:lang w:val="fr-CA"/>
        </w:rPr>
      </w:pPr>
      <w:r w:rsidRPr="00575202">
        <w:rPr>
          <w:lang w:val="fr-CA"/>
        </w:rPr>
        <w:t>1919209 Alberta Ltd.,</w:t>
      </w:r>
    </w:p>
    <w:p w:rsidR="008826BD" w:rsidRPr="00B77582" w:rsidRDefault="00485465">
      <w:pPr>
        <w:pStyle w:val="SCCLsocParty"/>
        <w:rPr>
          <w:lang w:val="fr-CA"/>
        </w:rPr>
      </w:pPr>
      <w:r w:rsidRPr="00B77582">
        <w:rPr>
          <w:lang w:val="fr-CA"/>
        </w:rPr>
        <w:t>Ernst &amp; Young Inc.</w:t>
      </w:r>
      <w:r w:rsidR="00A64D09">
        <w:rPr>
          <w:lang w:val="fr-CA"/>
        </w:rPr>
        <w:t xml:space="preserve"> en sa qualité de contrôleur</w:t>
      </w:r>
      <w:r w:rsidR="00C7671B">
        <w:rPr>
          <w:lang w:val="fr-CA"/>
        </w:rPr>
        <w:t xml:space="preserve"> et</w:t>
      </w:r>
    </w:p>
    <w:p w:rsidR="008826BD" w:rsidRPr="00B77582" w:rsidRDefault="00485465">
      <w:pPr>
        <w:pStyle w:val="SCCLsocLastPartyInRole"/>
        <w:rPr>
          <w:lang w:val="fr-CA"/>
        </w:rPr>
      </w:pPr>
      <w:r w:rsidRPr="00B77582">
        <w:rPr>
          <w:lang w:val="fr-CA"/>
        </w:rPr>
        <w:t>Banque de développement du Canada</w:t>
      </w:r>
      <w:r w:rsidR="00C7671B">
        <w:rPr>
          <w:rStyle w:val="SCCLsocPartyRole"/>
          <w:lang w:val="fr-CA"/>
        </w:rPr>
        <w:tab/>
        <w:t>Intimé</w:t>
      </w:r>
      <w:r w:rsidR="00867BBE">
        <w:rPr>
          <w:rStyle w:val="SCCLsocPartyRole"/>
          <w:lang w:val="fr-CA"/>
        </w:rPr>
        <w:t>e</w:t>
      </w:r>
      <w:r w:rsidRPr="00B77582">
        <w:rPr>
          <w:rStyle w:val="SCCLsocPartyRole"/>
          <w:lang w:val="fr-CA"/>
        </w:rPr>
        <w:t>s</w:t>
      </w:r>
    </w:p>
    <w:p w:rsidR="008826BD" w:rsidRPr="00B77582" w:rsidRDefault="00485465">
      <w:pPr>
        <w:pStyle w:val="SCCLsocOtherPartySeparator"/>
        <w:rPr>
          <w:lang w:val="fr-CA"/>
        </w:rPr>
      </w:pPr>
      <w:r w:rsidRPr="00B77582">
        <w:rPr>
          <w:lang w:val="fr-CA"/>
        </w:rPr>
        <w:t>et</w:t>
      </w:r>
    </w:p>
    <w:p w:rsidR="008826BD" w:rsidRPr="00B77582" w:rsidRDefault="00485465">
      <w:pPr>
        <w:pStyle w:val="SCCLsocParty"/>
        <w:rPr>
          <w:lang w:val="fr-CA"/>
        </w:rPr>
      </w:pPr>
      <w:r w:rsidRPr="00B77582">
        <w:rPr>
          <w:lang w:val="fr-CA"/>
        </w:rPr>
        <w:t>Institut d</w:t>
      </w:r>
      <w:r w:rsidR="00B77582">
        <w:rPr>
          <w:lang w:val="fr-CA"/>
        </w:rPr>
        <w:t>’insolvabilité du Canada et</w:t>
      </w:r>
    </w:p>
    <w:p w:rsidR="008826BD" w:rsidRPr="00B77582" w:rsidRDefault="00485465" w:rsidP="00213F87">
      <w:pPr>
        <w:pStyle w:val="SCCLsocLastPartyInRole"/>
        <w:rPr>
          <w:lang w:val="fr-CA"/>
        </w:rPr>
      </w:pPr>
      <w:r w:rsidRPr="00B77582">
        <w:rPr>
          <w:lang w:val="fr-CA"/>
        </w:rPr>
        <w:t>Associatio</w:t>
      </w:r>
      <w:r w:rsidR="007B7573">
        <w:rPr>
          <w:lang w:val="fr-CA"/>
        </w:rPr>
        <w:t xml:space="preserve">n canadienne des professionnels </w:t>
      </w:r>
      <w:r w:rsidRPr="00B77582">
        <w:rPr>
          <w:lang w:val="fr-CA"/>
        </w:rPr>
        <w:t>de l</w:t>
      </w:r>
      <w:r w:rsidR="00B77582">
        <w:rPr>
          <w:lang w:val="fr-CA"/>
        </w:rPr>
        <w:t>’</w:t>
      </w:r>
      <w:r w:rsidRPr="00B77582">
        <w:rPr>
          <w:lang w:val="fr-CA"/>
        </w:rPr>
        <w:t>insolvabilité et de la réorganisation</w:t>
      </w:r>
      <w:r w:rsidR="00C7671B">
        <w:rPr>
          <w:rStyle w:val="SCCLsocPartyRole"/>
          <w:lang w:val="fr-CA"/>
        </w:rPr>
        <w:tab/>
        <w:t>Intervenant</w:t>
      </w:r>
      <w:r w:rsidRPr="00B77582">
        <w:rPr>
          <w:rStyle w:val="SCCLsocPartyRole"/>
          <w:lang w:val="fr-CA"/>
        </w:rPr>
        <w:t>s</w:t>
      </w:r>
    </w:p>
    <w:p w:rsidR="004D7D95" w:rsidRPr="000E0A84" w:rsidRDefault="00E86F63" w:rsidP="00213F87">
      <w:pPr>
        <w:spacing w:after="720"/>
        <w:jc w:val="both"/>
        <w:rPr>
          <w:b/>
          <w:lang w:val="en-US"/>
        </w:rPr>
      </w:pPr>
      <w:r>
        <w:rPr>
          <w:b/>
          <w:lang w:val="en-US"/>
        </w:rPr>
        <w:t>Répertorié : </w:t>
      </w:r>
      <w:r w:rsidR="00052A5A">
        <w:rPr>
          <w:rStyle w:val="SCCAppellantForIndexChar"/>
        </w:rPr>
        <w:t>Canada</w:t>
      </w:r>
      <w:r w:rsidR="004D7D95" w:rsidRPr="00B77582">
        <w:rPr>
          <w:b/>
          <w:lang w:val="en-US"/>
        </w:rPr>
        <w:t xml:space="preserve"> </w:t>
      </w:r>
      <w:r w:rsidR="004D7D95" w:rsidRPr="00B77582">
        <w:rPr>
          <w:b/>
          <w:i/>
          <w:lang w:val="en-US"/>
        </w:rPr>
        <w:t>c.</w:t>
      </w:r>
      <w:r w:rsidR="004D7D95" w:rsidRPr="00B77582">
        <w:rPr>
          <w:b/>
          <w:lang w:val="en-US"/>
        </w:rPr>
        <w:t xml:space="preserve"> </w:t>
      </w:r>
      <w:r>
        <w:rPr>
          <w:rStyle w:val="SCCRespondentForIndexChar"/>
        </w:rPr>
        <w:t>Canada North Group Inc.</w:t>
      </w:r>
    </w:p>
    <w:p w:rsidR="004D7D95" w:rsidRPr="00B77582" w:rsidRDefault="00D17B0E" w:rsidP="00213F87">
      <w:pPr>
        <w:pStyle w:val="SCCSystemYear"/>
        <w:spacing w:after="720"/>
        <w:jc w:val="both"/>
        <w:rPr>
          <w:lang w:val="fr-CA"/>
        </w:rPr>
      </w:pPr>
      <w:r w:rsidRPr="00B77582">
        <w:rPr>
          <w:lang w:val="fr-CA"/>
        </w:rPr>
        <w:t>2021</w:t>
      </w:r>
      <w:r w:rsidR="004D7D95" w:rsidRPr="00B77582">
        <w:rPr>
          <w:lang w:val="fr-CA"/>
        </w:rPr>
        <w:t xml:space="preserve"> CSC </w:t>
      </w:r>
      <w:r w:rsidR="00CA02A5">
        <w:rPr>
          <w:lang w:val="fr-CA"/>
        </w:rPr>
        <w:t>30</w:t>
      </w:r>
    </w:p>
    <w:p w:rsidR="004D7D95" w:rsidRPr="00B77582" w:rsidRDefault="004D7D95" w:rsidP="00213F87">
      <w:pPr>
        <w:spacing w:after="720"/>
        <w:jc w:val="both"/>
        <w:rPr>
          <w:lang w:val="fr-CA"/>
        </w:rPr>
      </w:pPr>
      <w:r w:rsidRPr="00B77582">
        <w:rPr>
          <w:lang w:val="fr-CA"/>
        </w:rPr>
        <w:t>N</w:t>
      </w:r>
      <w:r w:rsidRPr="00B77582">
        <w:rPr>
          <w:vertAlign w:val="superscript"/>
          <w:lang w:val="fr-CA"/>
        </w:rPr>
        <w:t>o</w:t>
      </w:r>
      <w:r w:rsidRPr="00B77582">
        <w:rPr>
          <w:lang w:val="fr-CA"/>
        </w:rPr>
        <w:t xml:space="preserve"> du greffe : 38871.</w:t>
      </w:r>
    </w:p>
    <w:p w:rsidR="004D7D95" w:rsidRPr="00B77582" w:rsidRDefault="00E86F63" w:rsidP="00213F87">
      <w:pPr>
        <w:spacing w:after="720"/>
        <w:jc w:val="both"/>
        <w:rPr>
          <w:lang w:val="fr-CA"/>
        </w:rPr>
      </w:pPr>
      <w:r>
        <w:rPr>
          <w:lang w:val="fr-CA"/>
        </w:rPr>
        <w:t>2020 </w:t>
      </w:r>
      <w:r w:rsidR="00A826F5">
        <w:rPr>
          <w:lang w:val="fr-CA"/>
        </w:rPr>
        <w:t>: 1</w:t>
      </w:r>
      <w:r w:rsidR="00A826F5" w:rsidRPr="00A826F5">
        <w:rPr>
          <w:vertAlign w:val="superscript"/>
          <w:lang w:val="fr-CA"/>
        </w:rPr>
        <w:t>er</w:t>
      </w:r>
      <w:r w:rsidR="00A826F5">
        <w:rPr>
          <w:lang w:val="fr-CA"/>
        </w:rPr>
        <w:t xml:space="preserve"> </w:t>
      </w:r>
      <w:r w:rsidR="00D17B0E" w:rsidRPr="00B77582">
        <w:rPr>
          <w:lang w:val="fr-CA"/>
        </w:rPr>
        <w:t>décembre</w:t>
      </w:r>
      <w:r w:rsidR="005A517E">
        <w:rPr>
          <w:lang w:val="fr-CA"/>
        </w:rPr>
        <w:t xml:space="preserve">; 2021 : </w:t>
      </w:r>
      <w:r w:rsidR="005B27AF">
        <w:rPr>
          <w:lang w:val="fr-CA"/>
        </w:rPr>
        <w:t>28 juillet</w:t>
      </w:r>
      <w:r w:rsidR="004D7D95" w:rsidRPr="00B77582">
        <w:rPr>
          <w:lang w:val="fr-CA"/>
        </w:rPr>
        <w:t>.</w:t>
      </w:r>
    </w:p>
    <w:p w:rsidR="004D7D95" w:rsidRPr="00B77582" w:rsidRDefault="004D7D95" w:rsidP="00213F87">
      <w:pPr>
        <w:spacing w:after="720"/>
        <w:jc w:val="both"/>
        <w:rPr>
          <w:lang w:val="fr-CA"/>
        </w:rPr>
      </w:pPr>
      <w:r w:rsidRPr="00B77582">
        <w:rPr>
          <w:lang w:val="fr-CA"/>
        </w:rPr>
        <w:lastRenderedPageBreak/>
        <w:t>Présents : Le juge en chef Wagner et les juges Abella, Moldaver, Karakatsanis, Côté, Brown, Rowe, Martin et Kasirer.</w:t>
      </w:r>
    </w:p>
    <w:p w:rsidR="004D7D95" w:rsidRPr="00E86F63" w:rsidRDefault="004D7D95" w:rsidP="00213F87">
      <w:pPr>
        <w:spacing w:after="720"/>
        <w:jc w:val="both"/>
        <w:rPr>
          <w:smallCaps/>
          <w:lang w:val="fr-CA"/>
        </w:rPr>
      </w:pPr>
      <w:r w:rsidRPr="00E86F63">
        <w:rPr>
          <w:smallCaps/>
          <w:lang w:val="fr-CA"/>
        </w:rPr>
        <w:t>en appel de la cour d</w:t>
      </w:r>
      <w:r w:rsidR="00B77582" w:rsidRPr="00E86F63">
        <w:rPr>
          <w:smallCaps/>
          <w:lang w:val="fr-CA"/>
        </w:rPr>
        <w:t>’</w:t>
      </w:r>
      <w:r w:rsidRPr="00E86F63">
        <w:rPr>
          <w:smallCaps/>
          <w:lang w:val="fr-CA"/>
        </w:rPr>
        <w:t>appel de l</w:t>
      </w:r>
      <w:r w:rsidR="00B77582" w:rsidRPr="00E86F63">
        <w:rPr>
          <w:smallCaps/>
          <w:lang w:val="fr-CA"/>
        </w:rPr>
        <w:t>’</w:t>
      </w:r>
      <w:r w:rsidR="00E86F63" w:rsidRPr="00E86F63">
        <w:rPr>
          <w:smallCaps/>
          <w:lang w:val="fr-CA"/>
        </w:rPr>
        <w:t xml:space="preserve">alberta </w:t>
      </w:r>
    </w:p>
    <w:p w:rsidR="003B1714" w:rsidRPr="00C94E8C" w:rsidRDefault="004D7D95" w:rsidP="003B1714">
      <w:pPr>
        <w:pStyle w:val="SCCNormalDoubleSpacing"/>
        <w:widowControl w:val="0"/>
        <w:spacing w:after="480"/>
        <w:rPr>
          <w:lang w:val="fr-CA"/>
        </w:rPr>
      </w:pPr>
      <w:r w:rsidRPr="00BB4C92">
        <w:rPr>
          <w:lang w:val="fr-CA"/>
        </w:rPr>
        <w:tab/>
      </w:r>
      <w:r w:rsidR="003B1714" w:rsidRPr="00C94E8C">
        <w:rPr>
          <w:i/>
          <w:lang w:val="fr-CA"/>
        </w:rPr>
        <w:t xml:space="preserve">Faillite et insolvabilité — Priorité — Retenues à la source — Charges super prioritaires — Retenues à la source des employés </w:t>
      </w:r>
      <w:r w:rsidR="003B1714" w:rsidRPr="00CD7C1D">
        <w:rPr>
          <w:i/>
          <w:lang w:val="fr-CA"/>
        </w:rPr>
        <w:t>non versées à la</w:t>
      </w:r>
      <w:r w:rsidR="003B1714" w:rsidRPr="00C94E8C">
        <w:rPr>
          <w:i/>
          <w:lang w:val="fr-CA"/>
        </w:rPr>
        <w:t xml:space="preserve"> Couronne par les compagnies mises sous séquestre — Juge chargé de surveiller la procédure de restructuration intentée sous le régime de la Loi sur les arrangements avec les créanciers des compagnies ordonnant que les actifs des compagnies soient grevés de charges super prioritaires en faveur du prêteur temporaire, du contrôleur et des administrateurs — Ordonnance accordant</w:t>
      </w:r>
      <w:r w:rsidR="003B1714">
        <w:rPr>
          <w:i/>
          <w:lang w:val="fr-CA"/>
        </w:rPr>
        <w:t xml:space="preserve"> aux charges super prioritaires </w:t>
      </w:r>
      <w:r w:rsidR="003B1714" w:rsidRPr="00C94E8C">
        <w:rPr>
          <w:i/>
          <w:lang w:val="fr-CA"/>
        </w:rPr>
        <w:t xml:space="preserve">priorité sur les réclamations des créanciers </w:t>
      </w:r>
      <w:r w:rsidR="003B1714" w:rsidRPr="00A37F73">
        <w:rPr>
          <w:i/>
          <w:lang w:val="fr-CA"/>
        </w:rPr>
        <w:t>garantis</w:t>
      </w:r>
      <w:r w:rsidR="003B1714" w:rsidRPr="00C94E8C">
        <w:rPr>
          <w:i/>
          <w:lang w:val="fr-CA"/>
        </w:rPr>
        <w:t xml:space="preserve"> et </w:t>
      </w:r>
      <w:r w:rsidR="003B1714">
        <w:rPr>
          <w:i/>
          <w:lang w:val="fr-CA"/>
        </w:rPr>
        <w:t xml:space="preserve">précisant que ces charges </w:t>
      </w:r>
      <w:r w:rsidR="003B1714" w:rsidRPr="00C94E8C">
        <w:rPr>
          <w:i/>
          <w:lang w:val="fr-CA"/>
        </w:rPr>
        <w:t>ne doivent pas être limitées ou compromises de quelque façon que ce soit par les dispositions de toute loi fédérale ou provinciale — Biens des compagnies débitrices assujettis à la fiducie réputée en faveur de la Couronne à l’égard des retenues à la source non versées en application de la Loi de l’impôt sur le reve</w:t>
      </w:r>
      <w:r w:rsidR="00A37F73">
        <w:rPr>
          <w:i/>
          <w:lang w:val="fr-CA"/>
        </w:rPr>
        <w:t>nu — Le tribunal a</w:t>
      </w:r>
      <w:r w:rsidR="00A37F73">
        <w:rPr>
          <w:i/>
          <w:lang w:val="fr-CA"/>
        </w:rPr>
        <w:noBreakHyphen/>
        <w:t>t</w:t>
      </w:r>
      <w:r w:rsidR="00A37F73">
        <w:rPr>
          <w:i/>
          <w:lang w:val="fr-CA"/>
        </w:rPr>
        <w:noBreakHyphen/>
      </w:r>
      <w:r w:rsidR="003B1714" w:rsidRPr="00C94E8C">
        <w:rPr>
          <w:i/>
          <w:lang w:val="fr-CA"/>
        </w:rPr>
        <w:t>il le pouvoir d’accorder aux charges super prioritaires priorité de rang sur la fiducie réputée de la Couronne à l’égard des retenues à la source non versées? — Loi de l’impôt sur le revenu, L.R.C. 1985, c. 1 (5</w:t>
      </w:r>
      <w:r w:rsidR="003B1714" w:rsidRPr="00C94E8C">
        <w:rPr>
          <w:i/>
          <w:vertAlign w:val="superscript"/>
          <w:lang w:val="fr-CA"/>
        </w:rPr>
        <w:t>e</w:t>
      </w:r>
      <w:r w:rsidR="00A37F73">
        <w:rPr>
          <w:i/>
          <w:lang w:val="fr-CA"/>
        </w:rPr>
        <w:t xml:space="preserve"> suppl.), art. </w:t>
      </w:r>
      <w:r w:rsidR="003B1714" w:rsidRPr="00C94E8C">
        <w:rPr>
          <w:i/>
          <w:lang w:val="fr-CA"/>
        </w:rPr>
        <w:t>227(4.1) — Loi sur les arrangements avec les créanciers de</w:t>
      </w:r>
      <w:r w:rsidR="00A37F73">
        <w:rPr>
          <w:i/>
          <w:lang w:val="fr-CA"/>
        </w:rPr>
        <w:t>s compagnies, L.R.C. 1985, c. C</w:t>
      </w:r>
      <w:r w:rsidR="00A37F73">
        <w:rPr>
          <w:i/>
          <w:lang w:val="fr-CA"/>
        </w:rPr>
        <w:noBreakHyphen/>
      </w:r>
      <w:r w:rsidR="003B1714" w:rsidRPr="00C94E8C">
        <w:rPr>
          <w:i/>
          <w:lang w:val="fr-CA"/>
        </w:rPr>
        <w:t>36, art. 11, 11.2, 11.51, 11.52.</w:t>
      </w:r>
    </w:p>
    <w:p w:rsidR="003B1714" w:rsidRPr="00C94E8C" w:rsidRDefault="003B1714" w:rsidP="003B1714">
      <w:pPr>
        <w:pStyle w:val="SCCNormalDoubleSpacing"/>
        <w:widowControl w:val="0"/>
        <w:spacing w:after="480"/>
        <w:rPr>
          <w:i/>
          <w:lang w:val="fr-CA"/>
        </w:rPr>
      </w:pPr>
      <w:r w:rsidRPr="00C94E8C">
        <w:rPr>
          <w:lang w:val="fr-CA"/>
        </w:rPr>
        <w:tab/>
        <w:t xml:space="preserve">Canada North Group et six sociétés liées ont intenté une procédure de restructuration sous le régime de la </w:t>
      </w:r>
      <w:r w:rsidRPr="00C94E8C">
        <w:rPr>
          <w:i/>
          <w:lang w:val="fr-CA"/>
        </w:rPr>
        <w:t xml:space="preserve">Loi sur les arrangements avec les créanciers des </w:t>
      </w:r>
      <w:r w:rsidRPr="00C94E8C">
        <w:rPr>
          <w:i/>
          <w:lang w:val="fr-CA"/>
        </w:rPr>
        <w:lastRenderedPageBreak/>
        <w:t>compagnies</w:t>
      </w:r>
      <w:r w:rsidRPr="00C94E8C">
        <w:rPr>
          <w:lang w:val="fr-CA"/>
        </w:rPr>
        <w:t xml:space="preserve"> (« </w:t>
      </w:r>
      <w:r w:rsidRPr="00C94E8C">
        <w:rPr>
          <w:i/>
          <w:lang w:val="fr-CA"/>
        </w:rPr>
        <w:t>LACC</w:t>
      </w:r>
      <w:r w:rsidR="00A37F73">
        <w:rPr>
          <w:lang w:val="fr-CA"/>
        </w:rPr>
        <w:t> </w:t>
      </w:r>
      <w:r w:rsidRPr="00C94E8C">
        <w:rPr>
          <w:lang w:val="fr-CA"/>
        </w:rPr>
        <w:t xml:space="preserve">»). Dans la demande initiale qu’elles ont présentée en vertu de la </w:t>
      </w:r>
      <w:r w:rsidRPr="00C94E8C">
        <w:rPr>
          <w:i/>
          <w:lang w:val="fr-CA"/>
        </w:rPr>
        <w:t>LACC</w:t>
      </w:r>
      <w:r w:rsidRPr="00C94E8C">
        <w:rPr>
          <w:lang w:val="fr-CA"/>
        </w:rPr>
        <w:t>, elles réclamaient une série de mesures</w:t>
      </w:r>
      <w:r w:rsidRPr="00C94E8C">
        <w:rPr>
          <w:iCs/>
          <w:lang w:val="fr-CA"/>
        </w:rPr>
        <w:t>,</w:t>
      </w:r>
      <w:r w:rsidRPr="00C94E8C">
        <w:rPr>
          <w:i/>
          <w:lang w:val="fr-CA"/>
        </w:rPr>
        <w:t xml:space="preserve"> </w:t>
      </w:r>
      <w:r w:rsidRPr="00C94E8C">
        <w:rPr>
          <w:lang w:val="fr-CA"/>
        </w:rPr>
        <w:t xml:space="preserve">y compris la création de trois charges super prioritaires : une charge visant des frais administratifs constituée en faveur des avocats, du contrôleur et du directeur de la restructuration pour les frais qu’ils ont engagés, une charge de financement en faveur d’un prêteur temporaire, et une charge constituée en faveur des administrateurs en vue de les protéger ainsi que les dirigeants contre les obligations contractées après l’introduction de l’instance. La demande comprenait un affidavit de l’un de leurs administrateurs pour attester l’existence d’une dette envers Sa Majesté la Reine </w:t>
      </w:r>
      <w:r w:rsidR="007A034D">
        <w:rPr>
          <w:lang w:val="fr-CA"/>
        </w:rPr>
        <w:t>à l’égard de</w:t>
      </w:r>
      <w:r w:rsidRPr="00C94E8C">
        <w:rPr>
          <w:lang w:val="fr-CA"/>
        </w:rPr>
        <w:t xml:space="preserve"> </w:t>
      </w:r>
      <w:r w:rsidR="00A227C6">
        <w:rPr>
          <w:lang w:val="fr-CA"/>
        </w:rPr>
        <w:t xml:space="preserve">la TPS et de </w:t>
      </w:r>
      <w:r w:rsidRPr="00C94E8C">
        <w:rPr>
          <w:lang w:val="fr-CA"/>
        </w:rPr>
        <w:t xml:space="preserve">retenues à la source des employés non versées. Le juge chargé d’appliquer la </w:t>
      </w:r>
      <w:r w:rsidRPr="00C94E8C">
        <w:rPr>
          <w:i/>
          <w:lang w:val="fr-CA"/>
        </w:rPr>
        <w:t xml:space="preserve">LACC </w:t>
      </w:r>
      <w:r w:rsidRPr="00C94E8C">
        <w:rPr>
          <w:lang w:val="fr-CA"/>
        </w:rPr>
        <w:t>a rendu une or</w:t>
      </w:r>
      <w:r w:rsidR="00A37F73">
        <w:rPr>
          <w:lang w:val="fr-CA"/>
        </w:rPr>
        <w:t>donnance (« ordonnance initiale </w:t>
      </w:r>
      <w:r w:rsidRPr="00C94E8C">
        <w:rPr>
          <w:lang w:val="fr-CA"/>
        </w:rPr>
        <w:t>») pré</w:t>
      </w:r>
      <w:r>
        <w:rPr>
          <w:lang w:val="fr-CA"/>
        </w:rPr>
        <w:t xml:space="preserve">cisant </w:t>
      </w:r>
      <w:r w:rsidRPr="00C94E8C">
        <w:rPr>
          <w:lang w:val="fr-CA"/>
        </w:rPr>
        <w:t xml:space="preserve">que les charges super prioritaires </w:t>
      </w:r>
      <w:r>
        <w:rPr>
          <w:lang w:val="fr-CA"/>
        </w:rPr>
        <w:t xml:space="preserve">devaient avoir </w:t>
      </w:r>
      <w:r w:rsidRPr="00C94E8C">
        <w:rPr>
          <w:lang w:val="fr-CA"/>
        </w:rPr>
        <w:t>« priorité sur t</w:t>
      </w:r>
      <w:r w:rsidR="00A37F73">
        <w:rPr>
          <w:lang w:val="fr-CA"/>
        </w:rPr>
        <w:t>ou[tes] les autres [. . .</w:t>
      </w:r>
      <w:r w:rsidRPr="00C94E8C">
        <w:rPr>
          <w:lang w:val="fr-CA"/>
        </w:rPr>
        <w:t>]</w:t>
      </w:r>
      <w:r w:rsidR="006B79A5">
        <w:rPr>
          <w:lang w:val="fr-CA"/>
        </w:rPr>
        <w:t>,</w:t>
      </w:r>
      <w:r w:rsidRPr="00C94E8C">
        <w:rPr>
          <w:lang w:val="fr-CA"/>
        </w:rPr>
        <w:t xml:space="preserve"> </w:t>
      </w:r>
      <w:r w:rsidR="006B79A5">
        <w:rPr>
          <w:lang w:val="fr-CA"/>
        </w:rPr>
        <w:t>garanties,</w:t>
      </w:r>
      <w:r w:rsidR="006B79A5" w:rsidRPr="006B79A5">
        <w:rPr>
          <w:lang w:val="fr-CA"/>
        </w:rPr>
        <w:t xml:space="preserve"> </w:t>
      </w:r>
      <w:r w:rsidR="006B79A5">
        <w:rPr>
          <w:lang w:val="fr-CA"/>
        </w:rPr>
        <w:t>[. . .</w:t>
      </w:r>
      <w:r w:rsidR="006B79A5" w:rsidRPr="00C94E8C">
        <w:rPr>
          <w:lang w:val="fr-CA"/>
        </w:rPr>
        <w:t>]</w:t>
      </w:r>
      <w:r w:rsidR="006B79A5">
        <w:rPr>
          <w:lang w:val="fr-CA"/>
        </w:rPr>
        <w:t xml:space="preserve">, </w:t>
      </w:r>
      <w:r w:rsidRPr="00C94E8C">
        <w:rPr>
          <w:lang w:val="fr-CA"/>
        </w:rPr>
        <w:t>charges et sûretés, créances de créanciers garantis,</w:t>
      </w:r>
      <w:r w:rsidR="00A37F73">
        <w:rPr>
          <w:lang w:val="fr-CA"/>
        </w:rPr>
        <w:t xml:space="preserve"> d’origine législative ou autre </w:t>
      </w:r>
      <w:r w:rsidRPr="00C94E8C">
        <w:rPr>
          <w:lang w:val="fr-CA"/>
        </w:rPr>
        <w:t xml:space="preserve">», et </w:t>
      </w:r>
      <w:r w:rsidR="006B79A5">
        <w:rPr>
          <w:lang w:val="fr-CA"/>
        </w:rPr>
        <w:t xml:space="preserve">ne </w:t>
      </w:r>
      <w:r>
        <w:rPr>
          <w:lang w:val="fr-CA"/>
        </w:rPr>
        <w:t xml:space="preserve">devaient pas être </w:t>
      </w:r>
      <w:r w:rsidRPr="00C94E8C">
        <w:rPr>
          <w:lang w:val="fr-CA"/>
        </w:rPr>
        <w:t>« autrement limitées ou compromises de quelque façon que ce soit par [. . .] les dispositions de toute loi féd</w:t>
      </w:r>
      <w:r w:rsidR="00A37F73">
        <w:rPr>
          <w:lang w:val="fr-CA"/>
        </w:rPr>
        <w:t>érale ou provinciale »</w:t>
      </w:r>
      <w:r w:rsidRPr="00C94E8C">
        <w:rPr>
          <w:lang w:val="fr-CA"/>
        </w:rPr>
        <w:t>. La Couronne a par la suite déposé une requête en modification, plaidant que les charges super prioritaires ne pouvaient avoir priorité sur la fi</w:t>
      </w:r>
      <w:r w:rsidR="00A37F73">
        <w:rPr>
          <w:lang w:val="fr-CA"/>
        </w:rPr>
        <w:t>ducie réputée créée par le par. </w:t>
      </w:r>
      <w:r w:rsidRPr="00C94E8C">
        <w:rPr>
          <w:lang w:val="fr-CA"/>
        </w:rPr>
        <w:t xml:space="preserve">227(4.1) de la </w:t>
      </w:r>
      <w:r w:rsidRPr="00C94E8C">
        <w:rPr>
          <w:i/>
          <w:lang w:val="fr-CA"/>
        </w:rPr>
        <w:t xml:space="preserve">Loi de l’impôt sur le revenu </w:t>
      </w:r>
      <w:r w:rsidRPr="00C94E8C">
        <w:rPr>
          <w:lang w:val="fr-CA"/>
        </w:rPr>
        <w:t>(« </w:t>
      </w:r>
      <w:r w:rsidRPr="00C94E8C">
        <w:rPr>
          <w:i/>
          <w:lang w:val="fr-CA"/>
        </w:rPr>
        <w:t>LIR</w:t>
      </w:r>
      <w:r w:rsidR="00A37F73">
        <w:rPr>
          <w:lang w:val="fr-CA"/>
        </w:rPr>
        <w:t> </w:t>
      </w:r>
      <w:r w:rsidRPr="00C94E8C">
        <w:rPr>
          <w:lang w:val="fr-CA"/>
        </w:rPr>
        <w:t>») à l’égard des retenues à la source non versées. La requête en modification a été rejetée, tout comme l’appel de</w:t>
      </w:r>
      <w:r w:rsidR="00A37F73">
        <w:rPr>
          <w:lang w:val="fr-CA"/>
        </w:rPr>
        <w:t xml:space="preserve"> la Couronne à la Cour d’appel.</w:t>
      </w:r>
    </w:p>
    <w:p w:rsidR="003B1714" w:rsidRPr="00C94E8C" w:rsidRDefault="003B1714" w:rsidP="003B1714">
      <w:pPr>
        <w:pStyle w:val="SCCNormalDoubleSpacing"/>
        <w:widowControl w:val="0"/>
        <w:spacing w:after="480"/>
        <w:rPr>
          <w:lang w:val="fr-CA"/>
        </w:rPr>
      </w:pPr>
      <w:r w:rsidRPr="00C94E8C">
        <w:rPr>
          <w:i/>
          <w:lang w:val="fr-CA"/>
        </w:rPr>
        <w:tab/>
        <w:t xml:space="preserve">Arrêt </w:t>
      </w:r>
      <w:r w:rsidRPr="00C94E8C">
        <w:rPr>
          <w:lang w:val="fr-CA"/>
        </w:rPr>
        <w:t>(les juges Abella, Moldaver, Brown et Rowe sont dissidents) : Le pourvoi est rejeté.</w:t>
      </w:r>
    </w:p>
    <w:p w:rsidR="003B1714" w:rsidRPr="00C94E8C" w:rsidRDefault="003B1714" w:rsidP="003B1714">
      <w:pPr>
        <w:pStyle w:val="SCCNormalDoubleSpacing"/>
        <w:widowControl w:val="0"/>
        <w:spacing w:after="480"/>
        <w:rPr>
          <w:lang w:val="fr-CA"/>
        </w:rPr>
      </w:pPr>
      <w:r w:rsidRPr="00C94E8C">
        <w:rPr>
          <w:lang w:val="fr-CA"/>
        </w:rPr>
        <w:lastRenderedPageBreak/>
        <w:tab/>
      </w:r>
      <w:r w:rsidRPr="00C94E8C">
        <w:rPr>
          <w:i/>
          <w:lang w:val="fr-CA"/>
        </w:rPr>
        <w:t xml:space="preserve">Le </w:t>
      </w:r>
      <w:r w:rsidRPr="00C94E8C">
        <w:rPr>
          <w:lang w:val="fr-CA"/>
        </w:rPr>
        <w:t xml:space="preserve">juge en chef Wagner et les juges </w:t>
      </w:r>
      <w:r w:rsidRPr="00C94E8C">
        <w:rPr>
          <w:b/>
          <w:lang w:val="fr-CA"/>
        </w:rPr>
        <w:t>Côté</w:t>
      </w:r>
      <w:r w:rsidRPr="00C94E8C">
        <w:rPr>
          <w:lang w:val="fr-CA"/>
        </w:rPr>
        <w:t xml:space="preserve"> et Kasirer : Les charges super prioritaires l’emportent sur la fiducie réputée. Le paragraphe 227(4.1) ne crée pas un intérêt à titre de propriétaire </w:t>
      </w:r>
      <w:r>
        <w:rPr>
          <w:lang w:val="fr-CA"/>
        </w:rPr>
        <w:t xml:space="preserve">sur </w:t>
      </w:r>
      <w:r w:rsidRPr="00C94E8C">
        <w:rPr>
          <w:lang w:val="fr-CA"/>
        </w:rPr>
        <w:t xml:space="preserve">les biens du débiteur. En outre, une charge super prioritaire ordonnée par un tribunal en vertu de la </w:t>
      </w:r>
      <w:r w:rsidRPr="00C94E8C">
        <w:rPr>
          <w:i/>
          <w:lang w:val="fr-CA"/>
        </w:rPr>
        <w:t>LACC</w:t>
      </w:r>
      <w:r w:rsidRPr="00C94E8C">
        <w:rPr>
          <w:lang w:val="fr-CA"/>
        </w:rPr>
        <w:t xml:space="preserve"> n’est pas une garantie au sens du par. 224(1.3) de la </w:t>
      </w:r>
      <w:r w:rsidRPr="00C94E8C">
        <w:rPr>
          <w:i/>
          <w:lang w:val="fr-CA"/>
        </w:rPr>
        <w:t>LIR</w:t>
      </w:r>
      <w:r w:rsidRPr="00C94E8C">
        <w:rPr>
          <w:lang w:val="fr-CA"/>
        </w:rPr>
        <w:t xml:space="preserve">. Il n’y a donc pas de conflit entre le par. 227(4.1) de la </w:t>
      </w:r>
      <w:r w:rsidRPr="00C94E8C">
        <w:rPr>
          <w:i/>
          <w:lang w:val="fr-CA"/>
        </w:rPr>
        <w:t>LIR</w:t>
      </w:r>
      <w:r w:rsidRPr="00C94E8C">
        <w:rPr>
          <w:lang w:val="fr-CA"/>
        </w:rPr>
        <w:t xml:space="preserve"> et l’ordonnance initiale rendue en l’espèce, ni entre la </w:t>
      </w:r>
      <w:r w:rsidRPr="00C94E8C">
        <w:rPr>
          <w:i/>
          <w:lang w:val="fr-CA"/>
        </w:rPr>
        <w:t>LIR</w:t>
      </w:r>
      <w:r w:rsidR="00A37F73">
        <w:rPr>
          <w:lang w:val="fr-CA"/>
        </w:rPr>
        <w:t xml:space="preserve"> et l’art. </w:t>
      </w:r>
      <w:r w:rsidRPr="00C94E8C">
        <w:rPr>
          <w:lang w:val="fr-CA"/>
        </w:rPr>
        <w:t xml:space="preserve">11 de la </w:t>
      </w:r>
      <w:r w:rsidRPr="00C94E8C">
        <w:rPr>
          <w:i/>
          <w:lang w:val="fr-CA"/>
        </w:rPr>
        <w:t>LACC</w:t>
      </w:r>
      <w:r w:rsidRPr="00C94E8C">
        <w:rPr>
          <w:lang w:val="fr-CA"/>
        </w:rPr>
        <w:t>.</w:t>
      </w:r>
    </w:p>
    <w:p w:rsidR="003B1714" w:rsidRPr="00C94E8C" w:rsidRDefault="003B1714" w:rsidP="003B1714">
      <w:pPr>
        <w:pStyle w:val="SCCNormalDoubleSpacing"/>
        <w:widowControl w:val="0"/>
        <w:spacing w:after="480"/>
        <w:rPr>
          <w:lang w:val="fr-CA"/>
        </w:rPr>
      </w:pPr>
      <w:r w:rsidRPr="00C94E8C">
        <w:rPr>
          <w:lang w:val="fr-CA"/>
        </w:rPr>
        <w:tab/>
        <w:t xml:space="preserve">En général, les tribunaux chargés de surveiller les restructurations sous le régime de la </w:t>
      </w:r>
      <w:r w:rsidRPr="00C94E8C">
        <w:rPr>
          <w:i/>
          <w:lang w:val="fr-CA"/>
        </w:rPr>
        <w:t xml:space="preserve">LACC </w:t>
      </w:r>
      <w:r w:rsidRPr="00C94E8C">
        <w:rPr>
          <w:lang w:val="fr-CA"/>
        </w:rPr>
        <w:t xml:space="preserve">ont le pouvoir d’ordonner des charges super prioritaires afin de faciliter le processus de restructuration. La caractéristique la plus importante de la </w:t>
      </w:r>
      <w:r w:rsidRPr="00C94E8C">
        <w:rPr>
          <w:i/>
          <w:lang w:val="fr-CA"/>
        </w:rPr>
        <w:t xml:space="preserve">LACC </w:t>
      </w:r>
      <w:r w:rsidRPr="00C94E8C">
        <w:rPr>
          <w:lang w:val="fr-CA"/>
        </w:rPr>
        <w:t>est le vaste pouvoir discrétionnaire qu’elle conf</w:t>
      </w:r>
      <w:r w:rsidR="00A37F73">
        <w:rPr>
          <w:lang w:val="fr-CA"/>
        </w:rPr>
        <w:t>ère au tribunal de surveillance </w:t>
      </w:r>
      <w:r w:rsidRPr="00C94E8C">
        <w:rPr>
          <w:lang w:val="fr-CA"/>
        </w:rPr>
        <w:t xml:space="preserve">: l’art. 11 de la </w:t>
      </w:r>
      <w:r w:rsidRPr="00C94E8C">
        <w:rPr>
          <w:i/>
          <w:lang w:val="fr-CA"/>
        </w:rPr>
        <w:t>LACC</w:t>
      </w:r>
      <w:r w:rsidRPr="00C94E8C">
        <w:rPr>
          <w:lang w:val="fr-CA"/>
        </w:rPr>
        <w:t xml:space="preserve"> accorde </w:t>
      </w:r>
      <w:r>
        <w:rPr>
          <w:lang w:val="fr-CA"/>
        </w:rPr>
        <w:t xml:space="preserve">à ce </w:t>
      </w:r>
      <w:r w:rsidRPr="00C94E8C">
        <w:rPr>
          <w:lang w:val="fr-CA"/>
        </w:rPr>
        <w:t xml:space="preserve">tribunal le pouvoir de « rendre [. . .] toute ordonnance qu’il estime indiquée ». Ce pouvoir </w:t>
      </w:r>
      <w:r w:rsidRPr="00C94E8C">
        <w:rPr>
          <w:shd w:val="clear" w:color="auto" w:fill="FFFFFF"/>
          <w:lang w:val="fr-CA"/>
        </w:rPr>
        <w:t xml:space="preserve">n’est limité que par les restrictions imposées par la </w:t>
      </w:r>
      <w:r w:rsidRPr="00C94E8C">
        <w:rPr>
          <w:i/>
          <w:lang w:val="fr-CA"/>
        </w:rPr>
        <w:t>LACC</w:t>
      </w:r>
      <w:r w:rsidRPr="00C94E8C">
        <w:rPr>
          <w:shd w:val="clear" w:color="auto" w:fill="FFFFFF"/>
          <w:lang w:val="fr-CA"/>
        </w:rPr>
        <w:t xml:space="preserve"> elle</w:t>
      </w:r>
      <w:r w:rsidRPr="00C94E8C">
        <w:rPr>
          <w:shd w:val="clear" w:color="auto" w:fill="FFFFFF"/>
          <w:lang w:val="fr-CA"/>
        </w:rPr>
        <w:noBreakHyphen/>
        <w:t>même, ainsi que par l</w:t>
      </w:r>
      <w:r>
        <w:rPr>
          <w:shd w:val="clear" w:color="auto" w:fill="FFFFFF"/>
          <w:lang w:val="fr-CA"/>
        </w:rPr>
        <w:t>a condition requérant q</w:t>
      </w:r>
      <w:r w:rsidRPr="00C94E8C">
        <w:rPr>
          <w:shd w:val="clear" w:color="auto" w:fill="FFFFFF"/>
          <w:lang w:val="fr-CA"/>
        </w:rPr>
        <w:t xml:space="preserve">ue l’ordonnance soit indiquée dans les circonstances </w:t>
      </w:r>
      <w:r w:rsidRPr="00C94E8C">
        <w:rPr>
          <w:lang w:val="fr-CA"/>
        </w:rPr>
        <w:t>— la possibilité de rendre ces ordonnances plu</w:t>
      </w:r>
      <w:r w:rsidR="00A37F73">
        <w:rPr>
          <w:lang w:val="fr-CA"/>
        </w:rPr>
        <w:t>s spécifiques en vertu des art. </w:t>
      </w:r>
      <w:r w:rsidRPr="00C94E8C">
        <w:rPr>
          <w:lang w:val="fr-CA"/>
        </w:rPr>
        <w:t xml:space="preserve">11.2, 11.4, 11.51 et 11.52 n’a pas pour effet de restreindre la portée des termes généraux qui y sont employés. Comme il faut souvent obtenir l’aide de nombreux professionnels pour restructurer une compagnie sous le régime de la </w:t>
      </w:r>
      <w:r w:rsidRPr="00C94E8C">
        <w:rPr>
          <w:i/>
          <w:lang w:val="fr-CA"/>
        </w:rPr>
        <w:t>LACC</w:t>
      </w:r>
      <w:r w:rsidRPr="00C94E8C">
        <w:rPr>
          <w:lang w:val="fr-CA"/>
        </w:rPr>
        <w:t xml:space="preserve">, il est nécessaire de constituer des charges super prioritaires en faveur de ces professionnels pour que les parties prenantes bénéficient d’une valorisation maximale. Il serait contraire à l’équité et au bon sens qu’un contrôleur et des prêteurs s’exposent à des risques </w:t>
      </w:r>
      <w:r>
        <w:rPr>
          <w:lang w:val="fr-CA"/>
        </w:rPr>
        <w:t xml:space="preserve">afin de </w:t>
      </w:r>
      <w:r w:rsidRPr="00C94E8C">
        <w:rPr>
          <w:lang w:val="fr-CA"/>
        </w:rPr>
        <w:t xml:space="preserve">restructurer une compagnie et </w:t>
      </w:r>
      <w:r>
        <w:rPr>
          <w:lang w:val="fr-CA"/>
        </w:rPr>
        <w:t xml:space="preserve">de </w:t>
      </w:r>
      <w:r w:rsidRPr="00C94E8C">
        <w:rPr>
          <w:lang w:val="fr-CA"/>
        </w:rPr>
        <w:t>l’aider à se développer</w:t>
      </w:r>
      <w:r>
        <w:rPr>
          <w:lang w:val="fr-CA"/>
        </w:rPr>
        <w:t xml:space="preserve">, puis </w:t>
      </w:r>
      <w:r w:rsidRPr="00C94E8C">
        <w:rPr>
          <w:lang w:val="fr-CA"/>
        </w:rPr>
        <w:t>découvrent par la suite qu’une fiducie réputée prévaut sur l’ensemble des créances.</w:t>
      </w:r>
    </w:p>
    <w:p w:rsidR="003B1714" w:rsidRPr="00C94E8C" w:rsidRDefault="003B1714" w:rsidP="003B1714">
      <w:pPr>
        <w:pStyle w:val="SCCNormalDoubleSpacing"/>
        <w:widowControl w:val="0"/>
        <w:spacing w:after="480"/>
        <w:rPr>
          <w:lang w:val="fr-CA"/>
        </w:rPr>
      </w:pPr>
      <w:r w:rsidRPr="00C94E8C">
        <w:rPr>
          <w:lang w:val="fr-CA"/>
        </w:rPr>
        <w:lastRenderedPageBreak/>
        <w:tab/>
        <w:t xml:space="preserve">Sa Majesté n’a pas </w:t>
      </w:r>
      <w:r>
        <w:rPr>
          <w:lang w:val="fr-CA"/>
        </w:rPr>
        <w:t xml:space="preserve">sur </w:t>
      </w:r>
      <w:r w:rsidRPr="00C94E8C">
        <w:rPr>
          <w:lang w:val="fr-CA"/>
        </w:rPr>
        <w:t xml:space="preserve">les biens du </w:t>
      </w:r>
      <w:r w:rsidRPr="00CD7C1D">
        <w:rPr>
          <w:lang w:val="fr-CA"/>
        </w:rPr>
        <w:t xml:space="preserve">débiteur un intérêt à titre de propriétaire suffisant pour empêcher le juge surveillant d’ordonner des charges super prioritaires en vertu du pouvoir discrétionnaire que lui confère l’art. 11 de la </w:t>
      </w:r>
      <w:r w:rsidRPr="00CD7C1D">
        <w:rPr>
          <w:i/>
          <w:lang w:val="fr-CA"/>
        </w:rPr>
        <w:t>LACC</w:t>
      </w:r>
      <w:r w:rsidRPr="00CD7C1D">
        <w:rPr>
          <w:lang w:val="fr-CA"/>
        </w:rPr>
        <w:t>, ou de l’un ou l’autre des articles qui le suivent. Le paragraphe 227(4.1) ne crée pas un droit de bénéficiaire qui peut être considéré comme un intérêt à titre de propriétaire, et il ne confère pas à la Couronne le même droit de propriété qu’une fiducie de</w:t>
      </w:r>
      <w:r w:rsidRPr="00C94E8C">
        <w:rPr>
          <w:lang w:val="fr-CA"/>
        </w:rPr>
        <w:t xml:space="preserve"> common law. N’étant associé à aucun bien précis, ce qui conférerait à son titulaire le droit habituel à la jouissance du bien ou </w:t>
      </w:r>
      <w:r w:rsidR="00CD7C1D">
        <w:rPr>
          <w:lang w:val="fr-CA"/>
        </w:rPr>
        <w:t xml:space="preserve">lui </w:t>
      </w:r>
      <w:r w:rsidRPr="00C94E8C">
        <w:rPr>
          <w:lang w:val="fr-CA"/>
        </w:rPr>
        <w:t>imposerait les obligations d’un fiduciaire, l’intérêt créé par le par. 227(4.1) ne possède pas les attributs qui permettent à un tribunal de qualifier le bénéficiaire</w:t>
      </w:r>
      <w:r w:rsidR="00A37F73">
        <w:rPr>
          <w:lang w:val="fr-CA"/>
        </w:rPr>
        <w:t xml:space="preserve"> de propriétaire bénéficiaire.</w:t>
      </w:r>
    </w:p>
    <w:p w:rsidR="003B1714" w:rsidRPr="00C94E8C" w:rsidRDefault="003B1714" w:rsidP="003B1714">
      <w:pPr>
        <w:pStyle w:val="SCCNormalDoubleSpacing"/>
        <w:widowControl w:val="0"/>
        <w:spacing w:after="480"/>
        <w:rPr>
          <w:lang w:val="fr-CA"/>
        </w:rPr>
      </w:pPr>
      <w:r w:rsidRPr="00C94E8C">
        <w:rPr>
          <w:lang w:val="fr-CA"/>
        </w:rPr>
        <w:tab/>
      </w:r>
      <w:r>
        <w:rPr>
          <w:lang w:val="fr-CA"/>
        </w:rPr>
        <w:t>En outre</w:t>
      </w:r>
      <w:r w:rsidRPr="00C94E8C">
        <w:rPr>
          <w:lang w:val="fr-CA"/>
        </w:rPr>
        <w:t>, en droit civil québécois, il est clair que le par. 227(4.1) ne crée pas de fiducie légale, car il ne satisfait pas aux tr</w:t>
      </w:r>
      <w:r w:rsidR="00A37F73">
        <w:rPr>
          <w:lang w:val="fr-CA"/>
        </w:rPr>
        <w:t>ois conditions prévues aux art. </w:t>
      </w:r>
      <w:r w:rsidRPr="00C94E8C">
        <w:rPr>
          <w:lang w:val="fr-CA"/>
        </w:rPr>
        <w:t xml:space="preserve">1260 et 1261 du </w:t>
      </w:r>
      <w:r w:rsidRPr="00C94E8C">
        <w:rPr>
          <w:i/>
          <w:lang w:val="fr-CA"/>
        </w:rPr>
        <w:t>Code civil du Québec</w:t>
      </w:r>
      <w:r w:rsidRPr="00C94E8C">
        <w:rPr>
          <w:lang w:val="fr-CA"/>
        </w:rPr>
        <w:t>. Bien que le par. 227(4.1) dispose que les biens soient réputés détenus « séparés des propres biens de la personne » et « ne pas faire partie du patrimoine ou des biens de la personne », on ne retrouve pas l’élément principal d’une fiducie civiliste dans la fiducie réputée créée en application du par. 227(4.1) : aucun bien précis n’est transféré au patrimoine fiduciaire, et il n’existe aucun patrimoine autonome auquel so</w:t>
      </w:r>
      <w:r w:rsidR="00A37F73">
        <w:rPr>
          <w:lang w:val="fr-CA"/>
        </w:rPr>
        <w:t>nt transférés des biens précis.</w:t>
      </w:r>
    </w:p>
    <w:p w:rsidR="003B1714" w:rsidRPr="00C94E8C" w:rsidRDefault="003B1714" w:rsidP="003B1714">
      <w:pPr>
        <w:pStyle w:val="SCCNormalDoubleSpacing"/>
        <w:widowControl w:val="0"/>
        <w:spacing w:after="480"/>
        <w:rPr>
          <w:lang w:val="fr-CA"/>
        </w:rPr>
      </w:pPr>
      <w:r w:rsidRPr="00C94E8C">
        <w:rPr>
          <w:lang w:val="fr-CA"/>
        </w:rPr>
        <w:tab/>
        <w:t xml:space="preserve">Le paragraphe 227(4.1) </w:t>
      </w:r>
      <w:r>
        <w:rPr>
          <w:lang w:val="fr-CA"/>
        </w:rPr>
        <w:t>précise</w:t>
      </w:r>
      <w:r w:rsidRPr="00C94E8C">
        <w:rPr>
          <w:lang w:val="fr-CA"/>
        </w:rPr>
        <w:t xml:space="preserve"> que le receveur général reçoit le produit découlant des biens du débiteur « par priorité sur une telle garantie », au sens du par. 224(1.3), mais les charges super prioritaires ordonnées par le tribunal en vertu de </w:t>
      </w:r>
      <w:r w:rsidRPr="00C94E8C">
        <w:rPr>
          <w:lang w:val="fr-CA"/>
        </w:rPr>
        <w:lastRenderedPageBreak/>
        <w:t xml:space="preserve">l’art. 11 de la </w:t>
      </w:r>
      <w:r w:rsidRPr="00C94E8C">
        <w:rPr>
          <w:i/>
          <w:lang w:val="fr-CA"/>
        </w:rPr>
        <w:t>LACC</w:t>
      </w:r>
      <w:r w:rsidRPr="00C94E8C">
        <w:rPr>
          <w:lang w:val="fr-CA"/>
        </w:rPr>
        <w:t xml:space="preserve"> ou de l’un ou l’autre des articles qui le suivent ne sont pas des garanties au sens du par. 224(1.3). </w:t>
      </w:r>
      <w:r w:rsidR="007A034D">
        <w:rPr>
          <w:lang w:val="fr-CA"/>
        </w:rPr>
        <w:t>Selon</w:t>
      </w:r>
      <w:r>
        <w:rPr>
          <w:lang w:val="fr-CA"/>
        </w:rPr>
        <w:t xml:space="preserve"> la définition de ce terme au</w:t>
      </w:r>
      <w:r w:rsidRPr="00C94E8C">
        <w:rPr>
          <w:lang w:val="fr-CA"/>
        </w:rPr>
        <w:t xml:space="preserve"> par. 224(1.3)</w:t>
      </w:r>
      <w:r>
        <w:rPr>
          <w:lang w:val="fr-CA"/>
        </w:rPr>
        <w:t>,</w:t>
      </w:r>
      <w:r w:rsidR="00A37F73">
        <w:rPr>
          <w:lang w:val="fr-CA"/>
        </w:rPr>
        <w:t xml:space="preserve"> « garantie </w:t>
      </w:r>
      <w:r w:rsidRPr="00C94E8C">
        <w:rPr>
          <w:lang w:val="fr-CA"/>
        </w:rPr>
        <w:t>» s’entend d’un « [i]</w:t>
      </w:r>
      <w:r w:rsidRPr="007A034D">
        <w:rPr>
          <w:lang w:val="fr-CA"/>
        </w:rPr>
        <w:t>ntérêt</w:t>
      </w:r>
      <w:r w:rsidRPr="00C94E8C">
        <w:rPr>
          <w:lang w:val="fr-CA"/>
        </w:rPr>
        <w:t xml:space="preserve"> ou, pour l’application du droit civil, [d’un] droit sur </w:t>
      </w:r>
      <w:r w:rsidRPr="007A034D">
        <w:rPr>
          <w:lang w:val="fr-CA"/>
        </w:rPr>
        <w:t>un bien qui garantit l’exécution d’une obligation, notamment un paiement</w:t>
      </w:r>
      <w:r w:rsidR="007A034D">
        <w:rPr>
          <w:lang w:val="fr-CA"/>
        </w:rPr>
        <w:t> », et « </w:t>
      </w:r>
      <w:r w:rsidR="007A034D" w:rsidRPr="007A034D">
        <w:rPr>
          <w:lang w:val="fr-CA"/>
        </w:rPr>
        <w:t>[s]</w:t>
      </w:r>
      <w:r w:rsidRPr="007A034D">
        <w:rPr>
          <w:lang w:val="fr-CA"/>
        </w:rPr>
        <w:t xml:space="preserve">ont en particulier </w:t>
      </w:r>
      <w:r w:rsidRPr="00C94E8C">
        <w:rPr>
          <w:lang w:val="fr-CA"/>
        </w:rPr>
        <w:t xml:space="preserve">des garanties les intérêts ou, pour l’application du droit civil, les droits nés ou découlant de débentures, hypothèques, privilèges, nantissements, sûretés, fiducies réputées ou réelles, cessions et charges, quelle qu’en soit la nature, de quelque façon ou à quelque date qu’elles soient créées, réputées </w:t>
      </w:r>
      <w:r w:rsidR="00A37F73">
        <w:rPr>
          <w:lang w:val="fr-CA"/>
        </w:rPr>
        <w:t>exister ou prévues par ailleurs </w:t>
      </w:r>
      <w:r w:rsidRPr="00C94E8C">
        <w:rPr>
          <w:lang w:val="fr-CA"/>
        </w:rPr>
        <w:t>». La structure grammaticale de cette disposition témoigne de l’intention du législateur de restreindre la portée de l’énumération, si bien que seuls les instruments énumérés ou les instruments de nature similaire répondent à la définition. Les charges super prioritaires d’origine judiciaire sont radicalement différentes de n’importe leque</w:t>
      </w:r>
      <w:r w:rsidR="00A37F73">
        <w:rPr>
          <w:lang w:val="fr-CA"/>
        </w:rPr>
        <w:t>l des intérêts énumérés au par. </w:t>
      </w:r>
      <w:r w:rsidRPr="00C94E8C">
        <w:rPr>
          <w:lang w:val="fr-CA"/>
        </w:rPr>
        <w:t>227(4.1)</w:t>
      </w:r>
      <w:r>
        <w:rPr>
          <w:lang w:val="fr-CA"/>
        </w:rPr>
        <w:t>, puisqu’</w:t>
      </w:r>
      <w:r w:rsidRPr="00C94E8C">
        <w:rPr>
          <w:lang w:val="fr-CA"/>
        </w:rPr>
        <w:t xml:space="preserve">elles n’ont pas été constituées au seul bénéfice de leur détenteur, ni par accord consensuel ou par application de la loi. Elles ont plutôt été ordonnées par le juge chargé d’appliquer la </w:t>
      </w:r>
      <w:r w:rsidRPr="00C94E8C">
        <w:rPr>
          <w:i/>
          <w:lang w:val="fr-CA"/>
        </w:rPr>
        <w:t>LACC</w:t>
      </w:r>
      <w:r w:rsidRPr="009D7423">
        <w:rPr>
          <w:lang w:val="fr-CA"/>
        </w:rPr>
        <w:t xml:space="preserve"> </w:t>
      </w:r>
      <w:r>
        <w:rPr>
          <w:lang w:val="fr-CA"/>
        </w:rPr>
        <w:t>dans le but de</w:t>
      </w:r>
      <w:r w:rsidRPr="00C94E8C">
        <w:rPr>
          <w:lang w:val="fr-CA"/>
        </w:rPr>
        <w:t xml:space="preserve"> faciliter la restructuration dans l’intérêt de toutes les parties prenantes. Cette interprétation s’accorde avec la présomption d’absence de tautologie, laquelle donne à penser que le législateur voulait que l’on attribue une valeur interprétative aux exemples, de même qu’avec la règle </w:t>
      </w:r>
      <w:r w:rsidRPr="00C94E8C">
        <w:rPr>
          <w:i/>
          <w:lang w:val="fr-CA"/>
        </w:rPr>
        <w:t>ejusdem generis</w:t>
      </w:r>
      <w:r w:rsidRPr="00C94E8C">
        <w:rPr>
          <w:lang w:val="fr-CA"/>
        </w:rPr>
        <w:t>, qui limite la portée générale des derniers termes sur la base de l’énumération des exemples précis qui l</w:t>
      </w:r>
      <w:r>
        <w:rPr>
          <w:lang w:val="fr-CA"/>
        </w:rPr>
        <w:t>es</w:t>
      </w:r>
      <w:r w:rsidR="00A37F73">
        <w:rPr>
          <w:lang w:val="fr-CA"/>
        </w:rPr>
        <w:t xml:space="preserve"> précède.</w:t>
      </w:r>
    </w:p>
    <w:p w:rsidR="003B1714" w:rsidRPr="00C94E8C" w:rsidRDefault="003B1714" w:rsidP="003B1714">
      <w:pPr>
        <w:pStyle w:val="SCCNormalDoubleSpacing"/>
        <w:widowControl w:val="0"/>
        <w:spacing w:after="480"/>
        <w:rPr>
          <w:lang w:val="fr-CA"/>
        </w:rPr>
      </w:pPr>
      <w:r w:rsidRPr="00C94E8C">
        <w:rPr>
          <w:lang w:val="fr-CA"/>
        </w:rPr>
        <w:tab/>
      </w:r>
      <w:r>
        <w:rPr>
          <w:lang w:val="fr-CA"/>
        </w:rPr>
        <w:t xml:space="preserve">Le fait que les </w:t>
      </w:r>
      <w:r w:rsidRPr="00C94E8C">
        <w:rPr>
          <w:lang w:val="fr-CA"/>
        </w:rPr>
        <w:t xml:space="preserve">fiducies réputées </w:t>
      </w:r>
      <w:r>
        <w:rPr>
          <w:lang w:val="fr-CA"/>
        </w:rPr>
        <w:t xml:space="preserve">soient protégées par le </w:t>
      </w:r>
      <w:r w:rsidR="00A37F73">
        <w:rPr>
          <w:lang w:val="fr-CA"/>
        </w:rPr>
        <w:t>par. </w:t>
      </w:r>
      <w:r w:rsidRPr="00C94E8C">
        <w:rPr>
          <w:lang w:val="fr-CA"/>
        </w:rPr>
        <w:t xml:space="preserve">37(2) de la </w:t>
      </w:r>
      <w:r w:rsidRPr="00C94E8C">
        <w:rPr>
          <w:i/>
          <w:lang w:val="fr-CA"/>
        </w:rPr>
        <w:t>L</w:t>
      </w:r>
      <w:r>
        <w:rPr>
          <w:i/>
          <w:lang w:val="fr-CA"/>
        </w:rPr>
        <w:t>ACC</w:t>
      </w:r>
      <w:r w:rsidRPr="00C94E8C">
        <w:rPr>
          <w:lang w:val="fr-CA"/>
        </w:rPr>
        <w:t xml:space="preserve"> </w:t>
      </w:r>
      <w:r w:rsidRPr="00C94E8C">
        <w:rPr>
          <w:iCs/>
          <w:lang w:val="fr-CA"/>
        </w:rPr>
        <w:t>ne modifie en rien les caractéristiques de ces fiducies</w:t>
      </w:r>
      <w:r w:rsidRPr="00C94E8C">
        <w:rPr>
          <w:lang w:val="fr-CA"/>
        </w:rPr>
        <w:t xml:space="preserve">. Elles continuent </w:t>
      </w:r>
      <w:r w:rsidRPr="00C94E8C">
        <w:rPr>
          <w:iCs/>
          <w:lang w:val="fr-CA"/>
        </w:rPr>
        <w:t xml:space="preserve">à </w:t>
      </w:r>
      <w:r w:rsidRPr="00C94E8C">
        <w:rPr>
          <w:iCs/>
          <w:lang w:val="fr-CA"/>
        </w:rPr>
        <w:lastRenderedPageBreak/>
        <w:t>produire leur effet comme si la compagnie insolvable n’avait pas demandé la protection de la</w:t>
      </w:r>
      <w:r w:rsidRPr="00C94E8C">
        <w:rPr>
          <w:i/>
          <w:lang w:val="fr-CA"/>
        </w:rPr>
        <w:t xml:space="preserve"> </w:t>
      </w:r>
      <w:r w:rsidRPr="00C94E8C">
        <w:rPr>
          <w:i/>
          <w:iCs/>
          <w:lang w:val="fr-CA"/>
        </w:rPr>
        <w:t>LACC</w:t>
      </w:r>
      <w:r w:rsidRPr="00C94E8C">
        <w:rPr>
          <w:lang w:val="fr-CA"/>
        </w:rPr>
        <w:t xml:space="preserve">. De même, </w:t>
      </w:r>
      <w:r>
        <w:rPr>
          <w:lang w:val="fr-CA"/>
        </w:rPr>
        <w:t>le fait d’</w:t>
      </w:r>
      <w:r w:rsidRPr="00C94E8C">
        <w:rPr>
          <w:lang w:val="fr-CA"/>
        </w:rPr>
        <w:t xml:space="preserve">accorder à Sa Majesté le droit d’insister auprès du tribunal afin qu’il refuse d’homologuer </w:t>
      </w:r>
      <w:r>
        <w:rPr>
          <w:lang w:val="fr-CA"/>
        </w:rPr>
        <w:t xml:space="preserve">une </w:t>
      </w:r>
      <w:r w:rsidRPr="00C94E8C">
        <w:rPr>
          <w:lang w:val="fr-CA"/>
        </w:rPr>
        <w:t xml:space="preserve">transaction ou </w:t>
      </w:r>
      <w:r>
        <w:rPr>
          <w:lang w:val="fr-CA"/>
        </w:rPr>
        <w:t xml:space="preserve">un </w:t>
      </w:r>
      <w:r w:rsidRPr="00C94E8C">
        <w:rPr>
          <w:lang w:val="fr-CA"/>
        </w:rPr>
        <w:t>arrangement qui ne p</w:t>
      </w:r>
      <w:r>
        <w:rPr>
          <w:lang w:val="fr-CA"/>
        </w:rPr>
        <w:t xml:space="preserve">ourvoit pas au </w:t>
      </w:r>
      <w:r w:rsidRPr="00C94E8C">
        <w:rPr>
          <w:lang w:val="fr-CA"/>
        </w:rPr>
        <w:t xml:space="preserve">paiement intégral </w:t>
      </w:r>
      <w:r>
        <w:rPr>
          <w:lang w:val="fr-CA"/>
        </w:rPr>
        <w:t xml:space="preserve">prévu au </w:t>
      </w:r>
      <w:r w:rsidR="00A37F73">
        <w:rPr>
          <w:lang w:val="fr-CA"/>
        </w:rPr>
        <w:t>par. </w:t>
      </w:r>
      <w:r w:rsidRPr="00C94E8C">
        <w:rPr>
          <w:lang w:val="fr-CA"/>
        </w:rPr>
        <w:t xml:space="preserve">6(3) ne modifie </w:t>
      </w:r>
      <w:r>
        <w:rPr>
          <w:lang w:val="fr-CA"/>
        </w:rPr>
        <w:t xml:space="preserve">d’aucune façon </w:t>
      </w:r>
      <w:r w:rsidRPr="00C94E8C">
        <w:rPr>
          <w:lang w:val="fr-CA"/>
        </w:rPr>
        <w:t xml:space="preserve">la fiducie présumée créée par le par. 227(4.1). </w:t>
      </w:r>
      <w:r w:rsidR="007A034D">
        <w:rPr>
          <w:lang w:val="fr-CA"/>
        </w:rPr>
        <w:t>Quoi qu’il en soit, le par. 6(</w:t>
      </w:r>
      <w:r w:rsidRPr="00C94E8C">
        <w:rPr>
          <w:lang w:val="fr-CA"/>
        </w:rPr>
        <w:t>3</w:t>
      </w:r>
      <w:r w:rsidR="007A034D">
        <w:rPr>
          <w:lang w:val="fr-CA"/>
        </w:rPr>
        <w:t>)</w:t>
      </w:r>
      <w:r w:rsidRPr="00C94E8C">
        <w:rPr>
          <w:lang w:val="fr-CA"/>
        </w:rPr>
        <w:t xml:space="preserve"> ne s’applique qu’à l’issue de la procédure de la</w:t>
      </w:r>
      <w:r w:rsidRPr="00C94E8C">
        <w:rPr>
          <w:i/>
          <w:iCs/>
          <w:lang w:val="fr-CA"/>
        </w:rPr>
        <w:t xml:space="preserve"> LACC</w:t>
      </w:r>
      <w:r>
        <w:rPr>
          <w:iCs/>
          <w:lang w:val="fr-CA"/>
        </w:rPr>
        <w:t xml:space="preserve">, </w:t>
      </w:r>
      <w:r w:rsidRPr="00C94E8C">
        <w:rPr>
          <w:lang w:val="fr-CA"/>
        </w:rPr>
        <w:t>lorsque les parties cherchent à faire homologuer par le tribunal leur arrangement ou leur transaction.</w:t>
      </w:r>
    </w:p>
    <w:p w:rsidR="003B1714" w:rsidRPr="00C94E8C" w:rsidRDefault="003B1714" w:rsidP="003B1714">
      <w:pPr>
        <w:pStyle w:val="SCCNormalDoubleSpacing"/>
        <w:widowControl w:val="0"/>
        <w:spacing w:after="480"/>
        <w:rPr>
          <w:lang w:val="fr-CA"/>
        </w:rPr>
      </w:pPr>
      <w:r w:rsidRPr="00C94E8C">
        <w:rPr>
          <w:lang w:val="fr-CA"/>
        </w:rPr>
        <w:tab/>
        <w:t>Enfin, que Sa Majesté soi</w:t>
      </w:r>
      <w:r w:rsidR="00A37F73">
        <w:rPr>
          <w:lang w:val="fr-CA"/>
        </w:rPr>
        <w:t>t ou non un « créancier garanti </w:t>
      </w:r>
      <w:r w:rsidRPr="00C94E8C">
        <w:rPr>
          <w:lang w:val="fr-CA"/>
        </w:rPr>
        <w:t xml:space="preserve">» au sens de la </w:t>
      </w:r>
      <w:r w:rsidRPr="00C94E8C">
        <w:rPr>
          <w:i/>
          <w:iCs/>
          <w:lang w:val="fr-CA"/>
        </w:rPr>
        <w:t>LACC</w:t>
      </w:r>
      <w:r w:rsidRPr="00C94E8C">
        <w:rPr>
          <w:iCs/>
          <w:lang w:val="fr-CA"/>
        </w:rPr>
        <w:t xml:space="preserve">, </w:t>
      </w:r>
      <w:r w:rsidRPr="00C94E8C">
        <w:rPr>
          <w:lang w:val="fr-CA"/>
        </w:rPr>
        <w:t xml:space="preserve">la possibilité de rendre des ordonnances plus spécifiques n’a pas pour effet de restreindre le vaste pouvoir conféré au tribunal de surveillance </w:t>
      </w:r>
      <w:r w:rsidR="00A37F73">
        <w:rPr>
          <w:lang w:val="fr-CA"/>
        </w:rPr>
        <w:t>par l’art. 11. Même si les art. </w:t>
      </w:r>
      <w:r w:rsidRPr="00C94E8C">
        <w:rPr>
          <w:lang w:val="fr-CA"/>
        </w:rPr>
        <w:t xml:space="preserve">11.2, 11.51 et 11.52 de la </w:t>
      </w:r>
      <w:r w:rsidRPr="00C94E8C">
        <w:rPr>
          <w:i/>
          <w:lang w:val="fr-CA"/>
        </w:rPr>
        <w:t>LACC</w:t>
      </w:r>
      <w:r w:rsidRPr="00C94E8C">
        <w:rPr>
          <w:lang w:val="fr-CA"/>
        </w:rPr>
        <w:t xml:space="preserve"> peuvent se rattacher uniquement aux biens de la compagnie débitrice, aucune restriction de ce genre ne figure à l’art. 11. </w:t>
      </w:r>
      <w:r w:rsidR="00DB4E26" w:rsidRPr="00074F59">
        <w:rPr>
          <w:lang w:val="fr-CA"/>
        </w:rPr>
        <w:t xml:space="preserve">Cela dit, les tribunaux devraient tout de même reconnaître le caractère distinct de l’intérêt de Sa Majesté et </w:t>
      </w:r>
      <w:r w:rsidR="00DB4E26">
        <w:rPr>
          <w:lang w:val="fr-CA"/>
        </w:rPr>
        <w:t>n’accorder une charge ayant priorité sur</w:t>
      </w:r>
      <w:r w:rsidR="00DB4E26" w:rsidRPr="00074F59">
        <w:rPr>
          <w:lang w:val="fr-CA"/>
        </w:rPr>
        <w:t xml:space="preserve"> la fiducie réputée </w:t>
      </w:r>
      <w:r w:rsidR="00DB4E26">
        <w:rPr>
          <w:lang w:val="fr-CA"/>
        </w:rPr>
        <w:t>que dans les cas où c’est nécessaire</w:t>
      </w:r>
      <w:r w:rsidR="00DB4E26" w:rsidRPr="00074F59">
        <w:rPr>
          <w:lang w:val="fr-CA"/>
        </w:rPr>
        <w:t>.</w:t>
      </w:r>
    </w:p>
    <w:p w:rsidR="003B1714" w:rsidRPr="00C94E8C" w:rsidRDefault="003B1714" w:rsidP="003B1714">
      <w:pPr>
        <w:pStyle w:val="SCCNormalDoubleSpacing"/>
        <w:widowControl w:val="0"/>
        <w:spacing w:after="480"/>
        <w:rPr>
          <w:lang w:val="fr-CA"/>
        </w:rPr>
      </w:pPr>
      <w:r w:rsidRPr="00C94E8C">
        <w:rPr>
          <w:i/>
          <w:lang w:val="fr-CA"/>
        </w:rPr>
        <w:tab/>
        <w:t xml:space="preserve">Les </w:t>
      </w:r>
      <w:r w:rsidRPr="00C94E8C">
        <w:rPr>
          <w:lang w:val="fr-CA"/>
        </w:rPr>
        <w:t>juges</w:t>
      </w:r>
      <w:r w:rsidRPr="00C94E8C">
        <w:rPr>
          <w:i/>
          <w:lang w:val="fr-CA"/>
        </w:rPr>
        <w:t xml:space="preserve"> </w:t>
      </w:r>
      <w:r w:rsidRPr="00C94E8C">
        <w:rPr>
          <w:b/>
          <w:lang w:val="fr-CA"/>
        </w:rPr>
        <w:t>Karakatsanis</w:t>
      </w:r>
      <w:r w:rsidRPr="00C94E8C">
        <w:rPr>
          <w:lang w:val="fr-CA"/>
        </w:rPr>
        <w:t xml:space="preserve"> et Martin</w:t>
      </w:r>
      <w:r>
        <w:rPr>
          <w:lang w:val="fr-CA"/>
        </w:rPr>
        <w:t xml:space="preserve"> </w:t>
      </w:r>
      <w:r w:rsidRPr="00C94E8C">
        <w:rPr>
          <w:lang w:val="fr-CA"/>
        </w:rPr>
        <w:t xml:space="preserve">: Il n’existe aucun conflit entre les dispositions de la </w:t>
      </w:r>
      <w:r w:rsidRPr="00C94E8C">
        <w:rPr>
          <w:i/>
          <w:lang w:val="fr-CA"/>
        </w:rPr>
        <w:t>LIR</w:t>
      </w:r>
      <w:r w:rsidRPr="00C94E8C">
        <w:rPr>
          <w:lang w:val="fr-CA"/>
        </w:rPr>
        <w:t xml:space="preserve"> et celles de la </w:t>
      </w:r>
      <w:r w:rsidRPr="00C94E8C">
        <w:rPr>
          <w:i/>
          <w:lang w:val="fr-CA"/>
        </w:rPr>
        <w:t>LACC</w:t>
      </w:r>
      <w:r w:rsidRPr="00C94E8C">
        <w:rPr>
          <w:lang w:val="fr-CA"/>
        </w:rPr>
        <w:t xml:space="preserve"> en cause dans le présent pourvoi. Le vaste pouvoir discrétionnaire conféré par l’art. 11 de la </w:t>
      </w:r>
      <w:r w:rsidRPr="00C94E8C">
        <w:rPr>
          <w:i/>
          <w:lang w:val="fr-CA"/>
        </w:rPr>
        <w:t>LACC</w:t>
      </w:r>
      <w:r w:rsidRPr="00C94E8C">
        <w:rPr>
          <w:lang w:val="fr-CA"/>
        </w:rPr>
        <w:t xml:space="preserve"> permet au tribunal de faire passer les charges super prioritaires devant la fiducie réputée créée en faveur de la Couronne à l’égard des retenues à la source non versées.</w:t>
      </w:r>
    </w:p>
    <w:p w:rsidR="003B1714" w:rsidRPr="00C94E8C" w:rsidRDefault="003B1714" w:rsidP="003B1714">
      <w:pPr>
        <w:pStyle w:val="SCCNormalDoubleSpacing"/>
        <w:widowControl w:val="0"/>
        <w:spacing w:after="480"/>
        <w:rPr>
          <w:lang w:val="fr-CA"/>
        </w:rPr>
      </w:pPr>
      <w:r w:rsidRPr="00C94E8C">
        <w:rPr>
          <w:lang w:val="fr-CA"/>
        </w:rPr>
        <w:tab/>
        <w:t xml:space="preserve">Le paragraphe 227(4.1) de la </w:t>
      </w:r>
      <w:r w:rsidRPr="00C94E8C">
        <w:rPr>
          <w:i/>
          <w:lang w:val="fr-CA"/>
        </w:rPr>
        <w:t>LIR</w:t>
      </w:r>
      <w:r w:rsidRPr="00C94E8C">
        <w:rPr>
          <w:lang w:val="fr-CA"/>
        </w:rPr>
        <w:t xml:space="preserve"> prévoit qu’une fiducie réputée s’attache </w:t>
      </w:r>
      <w:r w:rsidRPr="00C94E8C">
        <w:rPr>
          <w:lang w:val="fr-CA"/>
        </w:rPr>
        <w:lastRenderedPageBreak/>
        <w:t>aux biens de l’employeur jusqu’à concurrence de la valeur des retenues à la source non versées « malgré toute autre garantie sur ces biens » et « </w:t>
      </w:r>
      <w:r w:rsidR="00DB4E26">
        <w:rPr>
          <w:lang w:val="fr-CA"/>
        </w:rPr>
        <w:t>[</w:t>
      </w:r>
      <w:r w:rsidRPr="00C94E8C">
        <w:rPr>
          <w:lang w:val="fr-CA"/>
        </w:rPr>
        <w:t>m</w:t>
      </w:r>
      <w:r w:rsidR="00DB4E26">
        <w:rPr>
          <w:lang w:val="fr-CA"/>
        </w:rPr>
        <w:t>]</w:t>
      </w:r>
      <w:r w:rsidRPr="00C94E8C">
        <w:rPr>
          <w:lang w:val="fr-CA"/>
        </w:rPr>
        <w:t xml:space="preserve">algré [. . .] tout autre texte législatif fédéral ». Bien que la disposition indique clairement que le droit de la Couronne s’applique malgré toute autre garantie, la teneur de ce droit dans un contexte d’insolvabilité ne peut être déduite uniquement du texte de la </w:t>
      </w:r>
      <w:r w:rsidRPr="00C94E8C">
        <w:rPr>
          <w:i/>
          <w:lang w:val="fr-CA"/>
        </w:rPr>
        <w:t>LIR</w:t>
      </w:r>
      <w:r w:rsidRPr="00C94E8C">
        <w:rPr>
          <w:lang w:val="fr-CA"/>
        </w:rPr>
        <w:t>. Le paragraphe 227(4.1) pré</w:t>
      </w:r>
      <w:r>
        <w:rPr>
          <w:lang w:val="fr-CA"/>
        </w:rPr>
        <w:t>cise</w:t>
      </w:r>
      <w:r w:rsidRPr="00C94E8C">
        <w:rPr>
          <w:lang w:val="fr-CA"/>
        </w:rPr>
        <w:t xml:space="preserve"> que la Couronne a un « d</w:t>
      </w:r>
      <w:r w:rsidRPr="00CD7C1D">
        <w:rPr>
          <w:lang w:val="fr-CA"/>
        </w:rPr>
        <w:t>roit de bénéficiaire » sur le montant des retenues à la source non versées, mais ce terme n’a pas de signification établie dans la doctrine, et ce paragraphe modifie même les caractéristiques qui sont généralement associées à ce droit de bénéficiaire dans la c</w:t>
      </w:r>
      <w:r w:rsidRPr="00C94E8C">
        <w:rPr>
          <w:lang w:val="fr-CA"/>
        </w:rPr>
        <w:t>ommon law.</w:t>
      </w:r>
    </w:p>
    <w:p w:rsidR="003B1714" w:rsidRPr="00C94E8C" w:rsidRDefault="003B1714" w:rsidP="003B1714">
      <w:pPr>
        <w:pStyle w:val="SCCNormalDoubleSpacing"/>
        <w:widowControl w:val="0"/>
        <w:spacing w:after="480"/>
        <w:rPr>
          <w:lang w:val="fr-CA"/>
        </w:rPr>
      </w:pPr>
      <w:r w:rsidRPr="00C94E8C">
        <w:rPr>
          <w:lang w:val="fr-CA"/>
        </w:rPr>
        <w:tab/>
        <w:t>Tirant son origine de la législation, la fiducie réputée créée par la loi n’a pas à satisfaire aux exigences ordinaires du droit des fiducies. Dans le ca</w:t>
      </w:r>
      <w:r w:rsidR="00A37F73">
        <w:rPr>
          <w:lang w:val="fr-CA"/>
        </w:rPr>
        <w:t>s de la fiducie réputée au par. </w:t>
      </w:r>
      <w:r w:rsidRPr="00C94E8C">
        <w:rPr>
          <w:lang w:val="fr-CA"/>
        </w:rPr>
        <w:t>227(4.1), l</w:t>
      </w:r>
      <w:r w:rsidRPr="00C94E8C">
        <w:rPr>
          <w:szCs w:val="24"/>
          <w:lang w:val="fr-CA"/>
        </w:rPr>
        <w:t xml:space="preserve">es </w:t>
      </w:r>
      <w:r w:rsidRPr="003B1714">
        <w:rPr>
          <w:lang w:val="fr-CA"/>
        </w:rPr>
        <w:t>biens</w:t>
      </w:r>
      <w:r w:rsidRPr="00C94E8C">
        <w:rPr>
          <w:szCs w:val="24"/>
          <w:lang w:val="fr-CA"/>
        </w:rPr>
        <w:t xml:space="preserve"> de la fiducie ne sont pas identifiables et il n’y a donc aucune certitude quant à sa matière.</w:t>
      </w:r>
      <w:r w:rsidRPr="00C94E8C">
        <w:rPr>
          <w:lang w:val="fr-CA"/>
        </w:rPr>
        <w:t xml:space="preserve"> De plus, sans transfert de biens précis au patrimoine fiduciaire, le par. 227(4.1) ne satisfait pas aux conditions d’un patrimoine autonome prévues aux art</w:t>
      </w:r>
      <w:r w:rsidR="00DB4E26">
        <w:rPr>
          <w:lang w:val="fr-CA"/>
        </w:rPr>
        <w:t xml:space="preserve">. </w:t>
      </w:r>
      <w:r w:rsidRPr="00C94E8C">
        <w:rPr>
          <w:lang w:val="fr-CA"/>
        </w:rPr>
        <w:t xml:space="preserve">1260, 1261 et 1278 du </w:t>
      </w:r>
      <w:r w:rsidRPr="00C94E8C">
        <w:rPr>
          <w:i/>
          <w:lang w:val="fr-CA"/>
        </w:rPr>
        <w:t>Code civil du Québec</w:t>
      </w:r>
      <w:r w:rsidR="00A37F73">
        <w:rPr>
          <w:lang w:val="fr-CA"/>
        </w:rPr>
        <w:t>. Par conséquent, le par. </w:t>
      </w:r>
      <w:r w:rsidRPr="00C94E8C">
        <w:rPr>
          <w:lang w:val="fr-CA"/>
        </w:rPr>
        <w:t xml:space="preserve">227(4.1) permet d’établir la </w:t>
      </w:r>
      <w:r w:rsidRPr="00C94E8C">
        <w:rPr>
          <w:szCs w:val="24"/>
          <w:lang w:val="fr-CA"/>
        </w:rPr>
        <w:t xml:space="preserve">valeur des retenues à la source non versées, limitant automatiquement le droit de la Couronne à cette valeur, et </w:t>
      </w:r>
      <w:r w:rsidRPr="00C94E8C">
        <w:rPr>
          <w:lang w:val="fr-CA"/>
        </w:rPr>
        <w:t xml:space="preserve">les biens précis qui </w:t>
      </w:r>
      <w:r w:rsidR="00DB2CD3">
        <w:rPr>
          <w:lang w:val="fr-CA"/>
        </w:rPr>
        <w:t xml:space="preserve">constituent le patrimoine </w:t>
      </w:r>
      <w:r w:rsidRPr="00C94E8C">
        <w:rPr>
          <w:lang w:val="fr-CA"/>
        </w:rPr>
        <w:t>du débiteur ne changent pas, le débiteur en conservant la maîtrise.</w:t>
      </w:r>
    </w:p>
    <w:p w:rsidR="003B1714" w:rsidRPr="00C94E8C" w:rsidRDefault="003B1714" w:rsidP="003B1714">
      <w:pPr>
        <w:pStyle w:val="SCCNormalDoubleSpacing"/>
        <w:widowControl w:val="0"/>
        <w:spacing w:after="480"/>
        <w:rPr>
          <w:lang w:val="fr-CA"/>
        </w:rPr>
      </w:pPr>
      <w:r w:rsidRPr="00C94E8C">
        <w:rPr>
          <w:lang w:val="fr-CA"/>
        </w:rPr>
        <w:tab/>
        <w:t xml:space="preserve">La </w:t>
      </w:r>
      <w:r w:rsidRPr="00C94E8C">
        <w:rPr>
          <w:i/>
          <w:lang w:val="fr-CA"/>
        </w:rPr>
        <w:t>Loi sur la faillite et l’insolvabilité</w:t>
      </w:r>
      <w:r w:rsidRPr="00C94E8C">
        <w:rPr>
          <w:lang w:val="fr-CA"/>
        </w:rPr>
        <w:t xml:space="preserve"> («</w:t>
      </w:r>
      <w:r w:rsidRPr="00C94E8C">
        <w:rPr>
          <w:i/>
          <w:lang w:val="fr-CA"/>
        </w:rPr>
        <w:t> LFI </w:t>
      </w:r>
      <w:r w:rsidRPr="00C94E8C">
        <w:rPr>
          <w:lang w:val="fr-CA"/>
        </w:rPr>
        <w:t xml:space="preserve">») et la </w:t>
      </w:r>
      <w:r w:rsidRPr="00C94E8C">
        <w:rPr>
          <w:i/>
          <w:lang w:val="fr-CA"/>
        </w:rPr>
        <w:t>LACC</w:t>
      </w:r>
      <w:r w:rsidRPr="00C94E8C">
        <w:rPr>
          <w:lang w:val="fr-CA"/>
        </w:rPr>
        <w:t xml:space="preserve"> donnent chacune à la fiducie réputée le sens qui convient à leurs fins. L’objectif d’une </w:t>
      </w:r>
      <w:r w:rsidRPr="00C94E8C">
        <w:rPr>
          <w:lang w:val="fr-CA"/>
        </w:rPr>
        <w:lastRenderedPageBreak/>
        <w:t xml:space="preserve">liquidation sous le régime de la </w:t>
      </w:r>
      <w:r w:rsidRPr="00C94E8C">
        <w:rPr>
          <w:i/>
          <w:lang w:val="fr-CA"/>
        </w:rPr>
        <w:t>LFI</w:t>
      </w:r>
      <w:r w:rsidRPr="00C94E8C">
        <w:rPr>
          <w:lang w:val="fr-CA"/>
        </w:rPr>
        <w:t xml:space="preserve"> est de permettre au débiteur de prendre un nouveau départ et de rembourser ses créanciers dans la mesure du possible. Pour réaliser ces objectifs, la </w:t>
      </w:r>
      <w:r w:rsidRPr="00C94E8C">
        <w:rPr>
          <w:i/>
          <w:lang w:val="fr-CA"/>
        </w:rPr>
        <w:t xml:space="preserve">LFI </w:t>
      </w:r>
      <w:r w:rsidRPr="00C94E8C">
        <w:rPr>
          <w:lang w:val="fr-CA"/>
        </w:rPr>
        <w:t xml:space="preserve">repose strictement sur des règles et elle établit un régime complet pour le processus de liquidation. Dans la </w:t>
      </w:r>
      <w:r w:rsidRPr="00C94E8C">
        <w:rPr>
          <w:i/>
          <w:lang w:val="fr-CA"/>
        </w:rPr>
        <w:t>LFI</w:t>
      </w:r>
      <w:r w:rsidRPr="00C94E8C">
        <w:rPr>
          <w:lang w:val="fr-CA"/>
        </w:rPr>
        <w:t xml:space="preserve">, la fiducie réputée créée à l’égard des retenues à la source non versées figure au par. 67(3). L’alinéa 67(1)a) exclut du patrimoine attribué aux créanciers du failli les biens détenus par le failli en fiducie. Le paragraphe 67(2) prévoit une exception pour les fiducies réputées qui ne sont pas des fiducies véritables. Le paragraphe 67(3) </w:t>
      </w:r>
      <w:r>
        <w:rPr>
          <w:lang w:val="fr-CA"/>
        </w:rPr>
        <w:t xml:space="preserve">établit </w:t>
      </w:r>
      <w:r w:rsidRPr="00C94E8C">
        <w:rPr>
          <w:lang w:val="fr-CA"/>
        </w:rPr>
        <w:t xml:space="preserve">une autre exception en mentionnant que le par. 67(2) ne s’applique pas à la fiducie réputée créée en faveur de la Couronne à l’égard des retenues à la source non versées </w:t>
      </w:r>
      <w:r>
        <w:rPr>
          <w:lang w:val="fr-CA"/>
        </w:rPr>
        <w:t xml:space="preserve">prévues par </w:t>
      </w:r>
      <w:r w:rsidRPr="00C94E8C">
        <w:rPr>
          <w:lang w:val="fr-CA"/>
        </w:rPr>
        <w:t xml:space="preserve">la </w:t>
      </w:r>
      <w:r w:rsidRPr="00C94E8C">
        <w:rPr>
          <w:i/>
          <w:lang w:val="fr-CA"/>
        </w:rPr>
        <w:t>LIR</w:t>
      </w:r>
      <w:r w:rsidRPr="00C94E8C">
        <w:rPr>
          <w:lang w:val="fr-CA"/>
        </w:rPr>
        <w:t xml:space="preserve"> et </w:t>
      </w:r>
      <w:r>
        <w:rPr>
          <w:lang w:val="fr-CA"/>
        </w:rPr>
        <w:t xml:space="preserve">par </w:t>
      </w:r>
      <w:r w:rsidRPr="00C94E8C">
        <w:rPr>
          <w:lang w:val="fr-CA"/>
        </w:rPr>
        <w:t>d’autres lois. Il en résulte que le patrimoine du débiteur — jusqu’à concurrence du montant des retenues à la source non versées — ne fait pas partie des « biens d’un failli, constituant le patrimoine attribué à ses créanciers », comme l’exige le par</w:t>
      </w:r>
      <w:r w:rsidR="00A37F73">
        <w:rPr>
          <w:lang w:val="fr-CA"/>
        </w:rPr>
        <w:t>. </w:t>
      </w:r>
      <w:r w:rsidRPr="00C94E8C">
        <w:rPr>
          <w:lang w:val="fr-CA"/>
        </w:rPr>
        <w:t xml:space="preserve">67(1) de la </w:t>
      </w:r>
      <w:r w:rsidRPr="00C94E8C">
        <w:rPr>
          <w:i/>
          <w:lang w:val="fr-CA"/>
        </w:rPr>
        <w:t>LFI</w:t>
      </w:r>
      <w:r w:rsidRPr="00C94E8C">
        <w:rPr>
          <w:lang w:val="fr-CA"/>
        </w:rPr>
        <w:t xml:space="preserve">. L’article 67 détermine donc la teneur du droit de bénéficiaire de la Couronne prévu au par. 227(4.1) de la </w:t>
      </w:r>
      <w:r w:rsidRPr="00C94E8C">
        <w:rPr>
          <w:i/>
          <w:lang w:val="fr-CA"/>
        </w:rPr>
        <w:t>LIR</w:t>
      </w:r>
      <w:r w:rsidRPr="00C94E8C">
        <w:rPr>
          <w:lang w:val="fr-CA"/>
        </w:rPr>
        <w:t xml:space="preserve"> : le montant des retenues à la source non versées est soustrait des fonds qui sont distribués aux créanciers dans le cadre d’une liquidation sous le régime de la </w:t>
      </w:r>
      <w:r w:rsidRPr="00C94E8C">
        <w:rPr>
          <w:i/>
          <w:lang w:val="fr-CA"/>
        </w:rPr>
        <w:t>LFI</w:t>
      </w:r>
      <w:r w:rsidRPr="00C94E8C">
        <w:rPr>
          <w:lang w:val="fr-CA"/>
        </w:rPr>
        <w:t>.</w:t>
      </w:r>
    </w:p>
    <w:p w:rsidR="003B1714" w:rsidRPr="00C94E8C" w:rsidRDefault="003B1714" w:rsidP="003B1714">
      <w:pPr>
        <w:pStyle w:val="SCCNormalDoubleSpacing"/>
        <w:widowControl w:val="0"/>
        <w:spacing w:after="480"/>
        <w:rPr>
          <w:lang w:val="fr-CA"/>
        </w:rPr>
      </w:pPr>
      <w:r w:rsidRPr="00C94E8C">
        <w:rPr>
          <w:lang w:val="fr-CA"/>
        </w:rPr>
        <w:tab/>
        <w:t xml:space="preserve">En revanche, la </w:t>
      </w:r>
      <w:r w:rsidRPr="00C94E8C">
        <w:rPr>
          <w:i/>
          <w:lang w:val="fr-CA"/>
        </w:rPr>
        <w:t>LACC</w:t>
      </w:r>
      <w:r w:rsidRPr="00C94E8C">
        <w:rPr>
          <w:lang w:val="fr-CA"/>
        </w:rPr>
        <w:t xml:space="preserve"> est de nature réparatrice; elle fournit aux compagnies un moyen </w:t>
      </w:r>
      <w:r w:rsidRPr="00C94E8C">
        <w:rPr>
          <w:color w:val="000000"/>
          <w:lang w:val="fr-CA"/>
        </w:rPr>
        <w:t>d’éviter les effets dévastateurs, tant sur le plan social qu’économique, d’une faillite commerciale</w:t>
      </w:r>
      <w:r w:rsidRPr="00C94E8C">
        <w:rPr>
          <w:lang w:val="fr-CA"/>
        </w:rPr>
        <w:t xml:space="preserve">. Étant donné son caractère réparateur, la </w:t>
      </w:r>
      <w:r w:rsidRPr="00C94E8C">
        <w:rPr>
          <w:i/>
          <w:lang w:val="fr-CA"/>
        </w:rPr>
        <w:t>LACC</w:t>
      </w:r>
      <w:r w:rsidRPr="00C94E8C">
        <w:rPr>
          <w:lang w:val="fr-CA"/>
        </w:rPr>
        <w:t xml:space="preserve"> est notoirement schématique par nature</w:t>
      </w:r>
      <w:r>
        <w:rPr>
          <w:lang w:val="fr-CA"/>
        </w:rPr>
        <w:t>,</w:t>
      </w:r>
      <w:r w:rsidRPr="00C94E8C">
        <w:rPr>
          <w:lang w:val="fr-CA"/>
        </w:rPr>
        <w:t xml:space="preserve"> et il n’existe pas de formule stricte de répartition des actifs. Lorsqu’il est question de restructurer les affaires d’un débiteur, </w:t>
      </w:r>
      <w:r w:rsidRPr="00C94E8C">
        <w:rPr>
          <w:lang w:val="fr-CA"/>
        </w:rPr>
        <w:lastRenderedPageBreak/>
        <w:t xml:space="preserve">l’objectif change, et le financement temporaire est introduit pour faciliter la restructuration. Les droits et les priorités changent du fait de l’entrée en scène d’un acteur essentiel, le prêteur temporaire, lequel ne joue aucun rôle dans la liquidation aux termes de la </w:t>
      </w:r>
      <w:r w:rsidRPr="00C94E8C">
        <w:rPr>
          <w:i/>
          <w:lang w:val="fr-CA"/>
        </w:rPr>
        <w:t>LFI</w:t>
      </w:r>
      <w:r w:rsidRPr="00C94E8C">
        <w:rPr>
          <w:lang w:val="fr-CA"/>
        </w:rPr>
        <w:t>.</w:t>
      </w:r>
    </w:p>
    <w:p w:rsidR="003B1714" w:rsidRPr="00C94E8C" w:rsidRDefault="003B1714" w:rsidP="003B1714">
      <w:pPr>
        <w:pStyle w:val="SCCNormalDoubleSpacing"/>
        <w:widowControl w:val="0"/>
        <w:spacing w:after="480"/>
        <w:rPr>
          <w:lang w:val="fr-CA"/>
        </w:rPr>
      </w:pPr>
      <w:r w:rsidRPr="00C94E8C">
        <w:rPr>
          <w:lang w:val="fr-CA"/>
        </w:rPr>
        <w:tab/>
        <w:t xml:space="preserve">Le droit de la Couronne sur les retenues à la source non versées dans le cadre d’une restructuration sous le régime de la </w:t>
      </w:r>
      <w:r w:rsidRPr="00C94E8C">
        <w:rPr>
          <w:i/>
          <w:lang w:val="fr-CA"/>
        </w:rPr>
        <w:t>LACC</w:t>
      </w:r>
      <w:r w:rsidRPr="00C94E8C">
        <w:rPr>
          <w:lang w:val="fr-CA"/>
        </w:rPr>
        <w:t xml:space="preserve"> est protégé tant par le par. 37(2) que par le par. 6(3) de la </w:t>
      </w:r>
      <w:r w:rsidRPr="00C94E8C">
        <w:rPr>
          <w:i/>
          <w:lang w:val="fr-CA"/>
        </w:rPr>
        <w:t>LACC</w:t>
      </w:r>
      <w:r w:rsidRPr="00C94E8C">
        <w:rPr>
          <w:lang w:val="fr-CA"/>
        </w:rPr>
        <w:t xml:space="preserve">. Le paragraphe 37(2) prévoit que la Couronne conserve un droit de bénéficiaire sur les biens du débiteur jusqu’à concurrence du montant des retenues à la source non versées, lesquelles sont « assimil[ées] à des biens détenus en fiducie pour Sa Majesté ». Bien que cela indique que, contrairement aux fiducies réputées visées par le par. 37(1), la fiducie réputée de la Couronne est maintenue et confère un droit plus fort, le par. 37(2) n’explique pas quoi faire de ce droit dans le cadre d’une procédure engagée sous le régime de la </w:t>
      </w:r>
      <w:r w:rsidRPr="00C94E8C">
        <w:rPr>
          <w:i/>
          <w:lang w:val="fr-CA"/>
        </w:rPr>
        <w:t>LACC</w:t>
      </w:r>
      <w:r w:rsidRPr="00C94E8C">
        <w:rPr>
          <w:lang w:val="fr-CA"/>
        </w:rPr>
        <w:t xml:space="preserve">. Il ne prévoit pas, par exemple, que les biens de la fiducie devraient être écartés, comme ce serait le cas dans le contexte de la </w:t>
      </w:r>
      <w:r w:rsidRPr="00C94E8C">
        <w:rPr>
          <w:i/>
          <w:lang w:val="fr-CA"/>
        </w:rPr>
        <w:t>LFI</w:t>
      </w:r>
      <w:r w:rsidRPr="00C94E8C">
        <w:rPr>
          <w:lang w:val="fr-CA"/>
        </w:rPr>
        <w:t xml:space="preserve">. Le paragraphe 6(3) donne un effet précis au droit de la Couronne en exigeant que le plan de transaction prévoie le paiement intégral des créances de la Couronne visées par la fiducie réputée dans les six mois suivant l’homologation du plan. Par conséquent, la Couronne peut exiger que le plan prévoie le paiement intégral de sa créance par priorité </w:t>
      </w:r>
      <w:r w:rsidR="00DB4E26">
        <w:rPr>
          <w:lang w:val="fr-CA"/>
        </w:rPr>
        <w:t xml:space="preserve">sur </w:t>
      </w:r>
      <w:r w:rsidRPr="00CD7C1D">
        <w:rPr>
          <w:lang w:val="fr-CA"/>
        </w:rPr>
        <w:t xml:space="preserve">toutes les </w:t>
      </w:r>
      <w:r w:rsidR="00DB2CD3">
        <w:rPr>
          <w:lang w:val="fr-CA"/>
        </w:rPr>
        <w:t xml:space="preserve">« </w:t>
      </w:r>
      <w:r w:rsidRPr="00CD7C1D">
        <w:rPr>
          <w:lang w:val="fr-CA"/>
        </w:rPr>
        <w:t>garanties », y compris</w:t>
      </w:r>
      <w:r w:rsidRPr="00C94E8C">
        <w:rPr>
          <w:lang w:val="fr-CA"/>
        </w:rPr>
        <w:t xml:space="preserve"> les charges super prioritaires. L’objectif réparateur de la </w:t>
      </w:r>
      <w:r w:rsidRPr="00C94E8C">
        <w:rPr>
          <w:i/>
          <w:lang w:val="fr-CA"/>
        </w:rPr>
        <w:t>LACC</w:t>
      </w:r>
      <w:r w:rsidRPr="00C94E8C">
        <w:rPr>
          <w:lang w:val="fr-CA"/>
        </w:rPr>
        <w:t xml:space="preserve"> joue un rôle de premier plan lorsqu’il s’agit de prévoir la souplesse nécessaire pour protéger le droit que le par. 37(2) confère à la Couronne sur les retenues à la source non versées et pour donner concrètement </w:t>
      </w:r>
      <w:r w:rsidRPr="00C94E8C">
        <w:rPr>
          <w:lang w:val="fr-CA"/>
        </w:rPr>
        <w:lastRenderedPageBreak/>
        <w:t xml:space="preserve">effet à ce droit </w:t>
      </w:r>
      <w:r>
        <w:rPr>
          <w:lang w:val="fr-CA"/>
        </w:rPr>
        <w:t xml:space="preserve">prévu </w:t>
      </w:r>
      <w:r w:rsidRPr="00C94E8C">
        <w:rPr>
          <w:lang w:val="fr-CA"/>
        </w:rPr>
        <w:t xml:space="preserve">au par. 6(3) de la </w:t>
      </w:r>
      <w:r w:rsidRPr="00C94E8C">
        <w:rPr>
          <w:i/>
          <w:lang w:val="fr-CA"/>
        </w:rPr>
        <w:t>LACC</w:t>
      </w:r>
      <w:r w:rsidRPr="00C94E8C">
        <w:rPr>
          <w:lang w:val="fr-CA"/>
        </w:rPr>
        <w:t xml:space="preserve">. Le fait que les deux lois traitent différemment le droit que confère à la Couronne le par. 227(4.1) de la </w:t>
      </w:r>
      <w:r w:rsidRPr="00C94E8C">
        <w:rPr>
          <w:i/>
          <w:lang w:val="fr-CA"/>
        </w:rPr>
        <w:t>LIR</w:t>
      </w:r>
      <w:r w:rsidRPr="00C94E8C">
        <w:rPr>
          <w:lang w:val="fr-CA"/>
        </w:rPr>
        <w:t xml:space="preserve"> est conforme aux régimes et aux objectifs différents de la </w:t>
      </w:r>
      <w:r w:rsidRPr="00C94E8C">
        <w:rPr>
          <w:i/>
          <w:lang w:val="fr-CA"/>
        </w:rPr>
        <w:t>LFI</w:t>
      </w:r>
      <w:r w:rsidRPr="00C94E8C">
        <w:rPr>
          <w:lang w:val="fr-CA"/>
        </w:rPr>
        <w:t xml:space="preserve"> et de la </w:t>
      </w:r>
      <w:r w:rsidRPr="00C94E8C">
        <w:rPr>
          <w:i/>
          <w:lang w:val="fr-CA"/>
        </w:rPr>
        <w:t>LACC</w:t>
      </w:r>
      <w:r w:rsidRPr="00C94E8C">
        <w:rPr>
          <w:lang w:val="fr-CA"/>
        </w:rPr>
        <w:t>.</w:t>
      </w:r>
    </w:p>
    <w:p w:rsidR="003B1714" w:rsidRPr="00C94E8C" w:rsidRDefault="003B1714" w:rsidP="003B1714">
      <w:pPr>
        <w:pStyle w:val="SCCNormalDoubleSpacing"/>
        <w:widowControl w:val="0"/>
        <w:spacing w:after="480"/>
        <w:rPr>
          <w:lang w:val="fr-CA"/>
        </w:rPr>
      </w:pPr>
      <w:r w:rsidRPr="00C94E8C">
        <w:rPr>
          <w:lang w:val="fr-CA"/>
        </w:rPr>
        <w:tab/>
        <w:t xml:space="preserve">Les articles 11.2, 11.51 et 11.52 de la </w:t>
      </w:r>
      <w:r w:rsidRPr="00C94E8C">
        <w:rPr>
          <w:i/>
          <w:lang w:val="fr-CA"/>
        </w:rPr>
        <w:t>LACC</w:t>
      </w:r>
      <w:r w:rsidRPr="00C94E8C">
        <w:rPr>
          <w:lang w:val="fr-CA"/>
        </w:rPr>
        <w:t>, aux termes desquels un tribunal peut, par ordonnance, déclarer que les biens d’une compagnie sont grevés de charges super prioritaires, ne confèrent pas au tribunal le pouvoir de faire passer les charges super prioritaires devant la fiducie réputée créée en faveur de la Couronne à l’égard des retenues à la source non versées. Ce po</w:t>
      </w:r>
      <w:r w:rsidR="00A37F73">
        <w:rPr>
          <w:lang w:val="fr-CA"/>
        </w:rPr>
        <w:t>uvoir provient plutôt de l’art. </w:t>
      </w:r>
      <w:r w:rsidRPr="00C94E8C">
        <w:rPr>
          <w:lang w:val="fr-CA"/>
        </w:rPr>
        <w:t xml:space="preserve">11 de la </w:t>
      </w:r>
      <w:r w:rsidRPr="00C94E8C">
        <w:rPr>
          <w:i/>
          <w:lang w:val="fr-CA"/>
        </w:rPr>
        <w:t>LACC</w:t>
      </w:r>
      <w:r w:rsidRPr="00C94E8C">
        <w:rPr>
          <w:lang w:val="fr-CA"/>
        </w:rPr>
        <w:t xml:space="preserve">. L’article 11 permet au tribunal de rendre toute ordonnance qu’il estime indiquée, sous réserve </w:t>
      </w:r>
      <w:r>
        <w:rPr>
          <w:lang w:val="fr-CA"/>
        </w:rPr>
        <w:t xml:space="preserve">du respect par le demandeur </w:t>
      </w:r>
      <w:r w:rsidRPr="00C94E8C">
        <w:rPr>
          <w:lang w:val="fr-CA"/>
        </w:rPr>
        <w:t xml:space="preserve">des exigences de bonne foi et de </w:t>
      </w:r>
      <w:r>
        <w:rPr>
          <w:lang w:val="fr-CA"/>
        </w:rPr>
        <w:t>d</w:t>
      </w:r>
      <w:r w:rsidRPr="00C94E8C">
        <w:rPr>
          <w:color w:val="000000"/>
          <w:lang w:val="fr-CA"/>
        </w:rPr>
        <w:t xml:space="preserve">iligence voulue. </w:t>
      </w:r>
      <w:r>
        <w:rPr>
          <w:color w:val="000000"/>
          <w:lang w:val="fr-CA"/>
        </w:rPr>
        <w:t xml:space="preserve">Cette disposition </w:t>
      </w:r>
      <w:r w:rsidRPr="00C94E8C">
        <w:rPr>
          <w:color w:val="000000"/>
          <w:lang w:val="fr-CA"/>
        </w:rPr>
        <w:t>peut</w:t>
      </w:r>
      <w:r>
        <w:rPr>
          <w:color w:val="000000"/>
          <w:lang w:val="fr-CA"/>
        </w:rPr>
        <w:t>, pour deux raisons,</w:t>
      </w:r>
      <w:r w:rsidRPr="00C94E8C">
        <w:rPr>
          <w:color w:val="000000"/>
          <w:lang w:val="fr-CA"/>
        </w:rPr>
        <w:t xml:space="preserve"> être utilisé</w:t>
      </w:r>
      <w:r>
        <w:rPr>
          <w:color w:val="000000"/>
          <w:lang w:val="fr-CA"/>
        </w:rPr>
        <w:t>e</w:t>
      </w:r>
      <w:r w:rsidRPr="00C94E8C">
        <w:rPr>
          <w:color w:val="000000"/>
          <w:lang w:val="fr-CA"/>
        </w:rPr>
        <w:t xml:space="preserve"> pour faire passer toute charge super prioritaire devant la fiducie réputée créée en faveur de la Couronne à l’égard des retenues à la source non versées. Premièrement, </w:t>
      </w:r>
      <w:r w:rsidRPr="00C94E8C">
        <w:rPr>
          <w:lang w:val="fr-CA"/>
        </w:rPr>
        <w:t xml:space="preserve">le fait de faire passer une charge super prioritaire devant la fiducie réputée de la Couronne n’entre pas en conflit avec la disposition de la </w:t>
      </w:r>
      <w:r w:rsidRPr="00C94E8C">
        <w:rPr>
          <w:i/>
          <w:lang w:val="fr-CA"/>
        </w:rPr>
        <w:t>LIR</w:t>
      </w:r>
      <w:r w:rsidRPr="00C94E8C">
        <w:rPr>
          <w:lang w:val="fr-CA"/>
        </w:rPr>
        <w:t xml:space="preserve">. Dès lors que les sommes qui lui sont dues lui sont payées intégralement dans le cadre d’un plan de transaction, le droit que possède la Couronne en vertu du par. 227(4.1) demeure intact « malgré toute autre garantie » sur le montant des retenues à la source non versées. Deuxièmement, selon les circonstances, une telle ordonnance peut favoriser la réalisation des objectifs réparateurs de la </w:t>
      </w:r>
      <w:r w:rsidRPr="00C94E8C">
        <w:rPr>
          <w:i/>
          <w:lang w:val="fr-CA"/>
        </w:rPr>
        <w:t>LACC</w:t>
      </w:r>
      <w:r w:rsidRPr="00C94E8C">
        <w:rPr>
          <w:lang w:val="fr-CA"/>
        </w:rPr>
        <w:t xml:space="preserve">. Le financement temporaire est souvent crucial pour le processus de restructuration. S’il est démontré que le financement temporaire ne peut être obtenu sans que le prêt temporaire prenne rang devant la fiducie réputée de la </w:t>
      </w:r>
      <w:r w:rsidRPr="00C94E8C">
        <w:rPr>
          <w:lang w:val="fr-CA"/>
        </w:rPr>
        <w:lastRenderedPageBreak/>
        <w:t>Couronne, pareille ordonnance pourrait</w:t>
      </w:r>
      <w:r>
        <w:rPr>
          <w:lang w:val="fr-CA"/>
        </w:rPr>
        <w:t xml:space="preserve"> </w:t>
      </w:r>
      <w:r w:rsidRPr="00C94E8C">
        <w:rPr>
          <w:lang w:val="fr-CA"/>
        </w:rPr>
        <w:t xml:space="preserve">favoriser la réalisation des objectifs réparateurs de la </w:t>
      </w:r>
      <w:r w:rsidRPr="00C94E8C">
        <w:rPr>
          <w:i/>
          <w:lang w:val="fr-CA"/>
        </w:rPr>
        <w:t>LACC</w:t>
      </w:r>
      <w:r w:rsidRPr="00C94E8C">
        <w:rPr>
          <w:lang w:val="fr-CA"/>
        </w:rPr>
        <w:t>. En général, les tribunaux devraient disposer de la latitude nécessaire pour ordonner des charges super prioritaires en faveur des parties dont la fonction est de faciliter la proposition d’un plan de transaction qui, dans tous les cas, devra prévoir le paiement intégral des sommes dues à la Couronne.</w:t>
      </w:r>
    </w:p>
    <w:p w:rsidR="003B1714" w:rsidRPr="00C94E8C" w:rsidRDefault="003B1714" w:rsidP="003B1714">
      <w:pPr>
        <w:pStyle w:val="SCCNormalDoubleSpacing"/>
        <w:widowControl w:val="0"/>
        <w:spacing w:after="480"/>
        <w:rPr>
          <w:lang w:val="fr-CA"/>
        </w:rPr>
      </w:pPr>
      <w:r w:rsidRPr="00C94E8C">
        <w:rPr>
          <w:i/>
          <w:lang w:val="fr-CA"/>
        </w:rPr>
        <w:tab/>
        <w:t xml:space="preserve">Les </w:t>
      </w:r>
      <w:r w:rsidRPr="00DB4E26">
        <w:rPr>
          <w:lang w:val="fr-CA"/>
        </w:rPr>
        <w:t xml:space="preserve">juges </w:t>
      </w:r>
      <w:r w:rsidRPr="00C94E8C">
        <w:rPr>
          <w:lang w:val="fr-CA"/>
        </w:rPr>
        <w:t xml:space="preserve">Abella, </w:t>
      </w:r>
      <w:r w:rsidRPr="00C94E8C">
        <w:rPr>
          <w:b/>
          <w:lang w:val="fr-CA"/>
        </w:rPr>
        <w:t>Brown</w:t>
      </w:r>
      <w:r w:rsidRPr="00C94E8C">
        <w:rPr>
          <w:lang w:val="fr-CA"/>
        </w:rPr>
        <w:t xml:space="preserve"> et </w:t>
      </w:r>
      <w:r w:rsidRPr="00C94E8C">
        <w:rPr>
          <w:b/>
          <w:lang w:val="fr-CA"/>
        </w:rPr>
        <w:t>Rowe</w:t>
      </w:r>
      <w:r w:rsidRPr="00C94E8C">
        <w:rPr>
          <w:lang w:val="fr-CA"/>
        </w:rPr>
        <w:t xml:space="preserve"> (dissidents)</w:t>
      </w:r>
      <w:r>
        <w:rPr>
          <w:lang w:val="fr-CA"/>
        </w:rPr>
        <w:t xml:space="preserve"> </w:t>
      </w:r>
      <w:r w:rsidRPr="00C94E8C">
        <w:rPr>
          <w:lang w:val="fr-CA"/>
        </w:rPr>
        <w:t xml:space="preserve">: Le pourvoi devrait être accueilli. Le texte, le contexte et l’objectif du par. 227(4.1) de la </w:t>
      </w:r>
      <w:r w:rsidRPr="00C94E8C">
        <w:rPr>
          <w:i/>
          <w:lang w:val="fr-CA"/>
        </w:rPr>
        <w:t>LIR</w:t>
      </w:r>
      <w:r w:rsidRPr="00C94E8C">
        <w:rPr>
          <w:lang w:val="fr-CA"/>
        </w:rPr>
        <w:t xml:space="preserve"> appuient la conclusion selon laquelle il n’existe qu’une seule interprétation plausible de ce paragraphe et des dispositions connexes concernant la fiducie réputée qui figurent dans la </w:t>
      </w:r>
      <w:r w:rsidRPr="00C94E8C">
        <w:rPr>
          <w:i/>
          <w:lang w:val="fr-CA"/>
        </w:rPr>
        <w:t>LIR</w:t>
      </w:r>
      <w:r w:rsidRPr="00C94E8C">
        <w:rPr>
          <w:lang w:val="fr-CA"/>
        </w:rPr>
        <w:t xml:space="preserve">, le </w:t>
      </w:r>
      <w:r w:rsidRPr="00C94E8C">
        <w:rPr>
          <w:i/>
          <w:lang w:val="fr-CA"/>
        </w:rPr>
        <w:t>RPC</w:t>
      </w:r>
      <w:r w:rsidRPr="00C94E8C">
        <w:rPr>
          <w:lang w:val="fr-CA"/>
        </w:rPr>
        <w:t xml:space="preserve"> et la</w:t>
      </w:r>
      <w:r w:rsidRPr="00C94E8C">
        <w:rPr>
          <w:i/>
          <w:szCs w:val="24"/>
          <w:lang w:val="fr-CA"/>
        </w:rPr>
        <w:t xml:space="preserve"> </w:t>
      </w:r>
      <w:r w:rsidRPr="00C94E8C">
        <w:rPr>
          <w:i/>
          <w:lang w:val="fr-CA"/>
        </w:rPr>
        <w:t>LAE</w:t>
      </w:r>
      <w:r w:rsidRPr="00C94E8C">
        <w:rPr>
          <w:lang w:val="fr-CA"/>
        </w:rPr>
        <w:t xml:space="preserve"> (collectivement, les « lois fiscales ») : la fiducie réputée de la Couronne a préséance sur toute autre réclamation, y compris sur les charges super prioritaires accordées en vertu de la </w:t>
      </w:r>
      <w:r w:rsidRPr="00C94E8C">
        <w:rPr>
          <w:i/>
          <w:lang w:val="fr-CA"/>
        </w:rPr>
        <w:t>LACC</w:t>
      </w:r>
      <w:r w:rsidRPr="00C94E8C">
        <w:rPr>
          <w:lang w:val="fr-CA"/>
        </w:rPr>
        <w:t xml:space="preserve">. Lorsque le législateur a modifié les par. 227(4) et 227(4.1) de la </w:t>
      </w:r>
      <w:r w:rsidRPr="00C94E8C">
        <w:rPr>
          <w:i/>
          <w:lang w:val="fr-CA"/>
        </w:rPr>
        <w:t>LIR</w:t>
      </w:r>
      <w:r w:rsidRPr="00C94E8C">
        <w:rPr>
          <w:lang w:val="fr-CA"/>
        </w:rPr>
        <w:t xml:space="preserve"> et élargi leur portée, son intention était claire et sans équivoque</w:t>
      </w:r>
      <w:r w:rsidR="00A227C6">
        <w:rPr>
          <w:lang w:val="fr-CA"/>
        </w:rPr>
        <w:t>. I</w:t>
      </w:r>
      <w:r w:rsidRPr="00C94E8C">
        <w:rPr>
          <w:lang w:val="fr-CA"/>
        </w:rPr>
        <w:t>l a accordé cette priorité inattaquable en employant ces termes non équivoques : « </w:t>
      </w:r>
      <w:r w:rsidR="00A227C6" w:rsidRPr="00A227C6">
        <w:rPr>
          <w:lang w:val="fr-CA"/>
        </w:rPr>
        <w:t>[</w:t>
      </w:r>
      <w:r w:rsidRPr="00C94E8C">
        <w:rPr>
          <w:lang w:val="fr-CA"/>
        </w:rPr>
        <w:t>m</w:t>
      </w:r>
      <w:r w:rsidR="00A227C6">
        <w:rPr>
          <w:lang w:val="fr-CA"/>
        </w:rPr>
        <w:t>]</w:t>
      </w:r>
      <w:r w:rsidRPr="00C94E8C">
        <w:rPr>
          <w:lang w:val="fr-CA"/>
        </w:rPr>
        <w:t xml:space="preserve">algré [. . .] tout autre texte législatif fédéral ». Il s’agit d’une disposition générale attributive de préséance; elle a préséance sur toute autre loi. </w:t>
      </w:r>
      <w:r w:rsidR="00A227C6">
        <w:rPr>
          <w:lang w:val="fr-CA"/>
        </w:rPr>
        <w:t>Aucune disposition dérogatoire semblable ne figure dans l</w:t>
      </w:r>
      <w:r w:rsidRPr="00C94E8C">
        <w:rPr>
          <w:lang w:val="fr-CA"/>
        </w:rPr>
        <w:t xml:space="preserve">a </w:t>
      </w:r>
      <w:r w:rsidRPr="00C94E8C">
        <w:rPr>
          <w:i/>
          <w:lang w:val="fr-CA"/>
        </w:rPr>
        <w:t>LACC</w:t>
      </w:r>
      <w:r w:rsidRPr="00C94E8C">
        <w:rPr>
          <w:lang w:val="fr-CA"/>
        </w:rPr>
        <w:t xml:space="preserve">. En fait, c’est tout l’inverse : contrairement à la plupart des fiducies réputées qui sont neutralisées dans le cadre de procédures engagées sous le régime de la </w:t>
      </w:r>
      <w:r w:rsidRPr="00C94E8C">
        <w:rPr>
          <w:i/>
          <w:lang w:val="fr-CA"/>
        </w:rPr>
        <w:t>LACC</w:t>
      </w:r>
      <w:r w:rsidRPr="00C94E8C">
        <w:rPr>
          <w:lang w:val="fr-CA"/>
        </w:rPr>
        <w:t xml:space="preserve"> par l’application du par. 37(1) de la </w:t>
      </w:r>
      <w:r w:rsidRPr="00C94E8C">
        <w:rPr>
          <w:i/>
          <w:lang w:val="fr-CA"/>
        </w:rPr>
        <w:t>LACC</w:t>
      </w:r>
      <w:r w:rsidRPr="00C94E8C">
        <w:rPr>
          <w:lang w:val="fr-CA"/>
        </w:rPr>
        <w:t>, le par. 37(2) préserve la fiducie réputée prévue par les lois fiscales.</w:t>
      </w:r>
    </w:p>
    <w:p w:rsidR="003B1714" w:rsidRPr="00C94E8C" w:rsidRDefault="003B1714" w:rsidP="003B1714">
      <w:pPr>
        <w:pStyle w:val="SCCNormalDoubleSpacing"/>
        <w:widowControl w:val="0"/>
        <w:spacing w:after="480"/>
        <w:rPr>
          <w:lang w:val="fr-CA"/>
        </w:rPr>
      </w:pPr>
      <w:r w:rsidRPr="00C94E8C">
        <w:rPr>
          <w:lang w:val="fr-CA"/>
        </w:rPr>
        <w:tab/>
        <w:t xml:space="preserve">Les lois fiscales donnent à la fiducie réputée créée à l’égard des retenues à </w:t>
      </w:r>
      <w:r w:rsidRPr="00C94E8C">
        <w:rPr>
          <w:lang w:val="fr-CA"/>
        </w:rPr>
        <w:lastRenderedPageBreak/>
        <w:t xml:space="preserve">la source priorité absolue sur toute garantie malgré la </w:t>
      </w:r>
      <w:r w:rsidRPr="00C94E8C">
        <w:rPr>
          <w:i/>
          <w:lang w:val="fr-CA"/>
        </w:rPr>
        <w:t>LACC</w:t>
      </w:r>
      <w:r w:rsidRPr="00C94E8C">
        <w:rPr>
          <w:lang w:val="fr-CA"/>
        </w:rPr>
        <w:t>, et</w:t>
      </w:r>
      <w:r w:rsidRPr="00C94E8C">
        <w:rPr>
          <w:szCs w:val="24"/>
          <w:lang w:val="fr-CA"/>
        </w:rPr>
        <w:t xml:space="preserve"> </w:t>
      </w:r>
      <w:r w:rsidRPr="00C94E8C">
        <w:rPr>
          <w:lang w:val="fr-CA"/>
        </w:rPr>
        <w:t xml:space="preserve">les dispositions relatives aux charges super prioritaires figurant aux par. 11.2(1), 11.51(1) et 11.52(1) de la </w:t>
      </w:r>
      <w:r w:rsidRPr="00C94E8C">
        <w:rPr>
          <w:i/>
          <w:lang w:val="fr-CA"/>
        </w:rPr>
        <w:t>LACC</w:t>
      </w:r>
      <w:r w:rsidRPr="00C94E8C">
        <w:rPr>
          <w:lang w:val="fr-CA"/>
        </w:rPr>
        <w:t xml:space="preserve"> entrent dans la définition de « garantie »</w:t>
      </w:r>
      <w:r>
        <w:rPr>
          <w:lang w:val="fr-CA"/>
        </w:rPr>
        <w:t>,</w:t>
      </w:r>
      <w:r w:rsidRPr="00C94E8C">
        <w:rPr>
          <w:lang w:val="fr-CA"/>
        </w:rPr>
        <w:t xml:space="preserve"> puisqu’elles constituent un « </w:t>
      </w:r>
      <w:r>
        <w:rPr>
          <w:lang w:val="fr-CA"/>
        </w:rPr>
        <w:t>[</w:t>
      </w:r>
      <w:r w:rsidRPr="00C94E8C">
        <w:rPr>
          <w:lang w:val="fr-CA"/>
        </w:rPr>
        <w:t>i</w:t>
      </w:r>
      <w:r>
        <w:rPr>
          <w:lang w:val="fr-CA"/>
        </w:rPr>
        <w:t>]</w:t>
      </w:r>
      <w:r w:rsidRPr="00C94E8C">
        <w:rPr>
          <w:lang w:val="fr-CA"/>
        </w:rPr>
        <w:t xml:space="preserve">ntérêt [. . .] sur un bien </w:t>
      </w:r>
      <w:r>
        <w:rPr>
          <w:lang w:val="fr-CA"/>
        </w:rPr>
        <w:t xml:space="preserve">qui garantit </w:t>
      </w:r>
      <w:r w:rsidRPr="00C94E8C">
        <w:rPr>
          <w:lang w:val="fr-CA"/>
        </w:rPr>
        <w:t xml:space="preserve">l’exécution d’une obligation, notamment un paiement », par exemple le paiement du contrôleur, du prêteur temporaire et des dirigeants. Comme la définition de « garantie » énoncée </w:t>
      </w:r>
      <w:r>
        <w:rPr>
          <w:lang w:val="fr-CA"/>
        </w:rPr>
        <w:t xml:space="preserve">dans </w:t>
      </w:r>
      <w:r w:rsidRPr="00C94E8C">
        <w:rPr>
          <w:lang w:val="fr-CA"/>
        </w:rPr>
        <w:t xml:space="preserve">la </w:t>
      </w:r>
      <w:r w:rsidRPr="00C94E8C">
        <w:rPr>
          <w:i/>
          <w:lang w:val="fr-CA"/>
        </w:rPr>
        <w:t>LIR</w:t>
      </w:r>
      <w:r w:rsidRPr="00C94E8C">
        <w:rPr>
          <w:lang w:val="fr-CA"/>
        </w:rPr>
        <w:t xml:space="preserve"> englobe les</w:t>
      </w:r>
      <w:r w:rsidRPr="00C94E8C">
        <w:rPr>
          <w:szCs w:val="24"/>
          <w:lang w:val="fr-CA"/>
        </w:rPr>
        <w:t xml:space="preserve"> </w:t>
      </w:r>
      <w:r w:rsidRPr="00C94E8C">
        <w:rPr>
          <w:lang w:val="fr-CA"/>
        </w:rPr>
        <w:t xml:space="preserve">« charges, quelle qu’en soit la nature, de quelque façon ou à quelque date qu’elles soient créées, réputées exister ou prévues par ailleurs », il n’y a aucune raison pour laquelle la définition </w:t>
      </w:r>
      <w:r>
        <w:rPr>
          <w:lang w:val="fr-CA"/>
        </w:rPr>
        <w:t>permettrait d’</w:t>
      </w:r>
      <w:r w:rsidRPr="00C94E8C">
        <w:rPr>
          <w:lang w:val="fr-CA"/>
        </w:rPr>
        <w:t>exclur</w:t>
      </w:r>
      <w:r>
        <w:rPr>
          <w:lang w:val="fr-CA"/>
        </w:rPr>
        <w:t>e</w:t>
      </w:r>
      <w:r w:rsidRPr="00C94E8C">
        <w:rPr>
          <w:lang w:val="fr-CA"/>
        </w:rPr>
        <w:t xml:space="preserve"> une garantie conçue pour fonctionner au profit de tous les créanciers. Il n’en faut pas davantage pour trancher le pourvoi.</w:t>
      </w:r>
    </w:p>
    <w:p w:rsidR="003B1714" w:rsidRPr="00C94E8C" w:rsidRDefault="003B1714" w:rsidP="003B1714">
      <w:pPr>
        <w:pStyle w:val="SCCNormalDoubleSpacing"/>
        <w:widowControl w:val="0"/>
        <w:spacing w:after="480"/>
        <w:rPr>
          <w:lang w:val="fr-CA"/>
        </w:rPr>
      </w:pPr>
      <w:r w:rsidRPr="00C94E8C">
        <w:rPr>
          <w:lang w:val="fr-CA"/>
        </w:rPr>
        <w:tab/>
        <w:t xml:space="preserve">Cette conclusion </w:t>
      </w:r>
      <w:r>
        <w:rPr>
          <w:lang w:val="fr-CA"/>
        </w:rPr>
        <w:t xml:space="preserve">n’a pas pour effet de créer de conflit entre </w:t>
      </w:r>
      <w:r w:rsidRPr="00C94E8C">
        <w:rPr>
          <w:lang w:val="fr-CA"/>
        </w:rPr>
        <w:t xml:space="preserve">les dispositions relatives à la fiducie réputée contenues dans les lois fiscales </w:t>
      </w:r>
      <w:r>
        <w:rPr>
          <w:lang w:val="fr-CA"/>
        </w:rPr>
        <w:t xml:space="preserve">et </w:t>
      </w:r>
      <w:r w:rsidRPr="00C94E8C">
        <w:rPr>
          <w:lang w:val="fr-CA"/>
        </w:rPr>
        <w:t xml:space="preserve">la </w:t>
      </w:r>
      <w:r w:rsidRPr="00C94E8C">
        <w:rPr>
          <w:i/>
          <w:lang w:val="fr-CA"/>
        </w:rPr>
        <w:t>LACC</w:t>
      </w:r>
      <w:r w:rsidRPr="00C94E8C">
        <w:rPr>
          <w:lang w:val="fr-CA"/>
        </w:rPr>
        <w:t>. L’art</w:t>
      </w:r>
      <w:r>
        <w:rPr>
          <w:lang w:val="fr-CA"/>
        </w:rPr>
        <w:t>icle</w:t>
      </w:r>
      <w:r w:rsidRPr="00C94E8C">
        <w:rPr>
          <w:lang w:val="fr-CA"/>
        </w:rPr>
        <w:t xml:space="preserve"> 11 de la </w:t>
      </w:r>
      <w:r w:rsidRPr="00C94E8C">
        <w:rPr>
          <w:i/>
          <w:lang w:val="fr-CA"/>
        </w:rPr>
        <w:t>LACC</w:t>
      </w:r>
      <w:r w:rsidRPr="00C94E8C">
        <w:rPr>
          <w:lang w:val="fr-CA"/>
        </w:rPr>
        <w:t xml:space="preserve"> confère au tribunal un vaste pouvoir discrétionnaire de surveillance ainsi que le pouvoir de « rendre toute ordonnance qu’il estime indiquée », mais les pouvoirs conférés ne sont pas sans limites. Le législateur a évité tout conflit entre la </w:t>
      </w:r>
      <w:r w:rsidRPr="00C94E8C">
        <w:rPr>
          <w:i/>
          <w:lang w:val="fr-CA"/>
        </w:rPr>
        <w:t>LACC</w:t>
      </w:r>
      <w:r w:rsidRPr="00C94E8C">
        <w:rPr>
          <w:lang w:val="fr-CA"/>
        </w:rPr>
        <w:t xml:space="preserve"> et la </w:t>
      </w:r>
      <w:r w:rsidRPr="00C94E8C">
        <w:rPr>
          <w:i/>
          <w:lang w:val="fr-CA"/>
        </w:rPr>
        <w:t>LIR</w:t>
      </w:r>
      <w:r w:rsidRPr="00C94E8C">
        <w:rPr>
          <w:lang w:val="fr-CA"/>
        </w:rPr>
        <w:t xml:space="preserve"> en imposant</w:t>
      </w:r>
      <w:r w:rsidRPr="00C94E8C">
        <w:rPr>
          <w:szCs w:val="24"/>
          <w:lang w:val="fr-CA"/>
        </w:rPr>
        <w:t xml:space="preserve"> </w:t>
      </w:r>
      <w:r w:rsidRPr="00C94E8C">
        <w:rPr>
          <w:lang w:val="fr-CA"/>
        </w:rPr>
        <w:t xml:space="preserve">trois restrictions </w:t>
      </w:r>
      <w:r>
        <w:rPr>
          <w:lang w:val="fr-CA"/>
        </w:rPr>
        <w:t>q</w:t>
      </w:r>
      <w:r w:rsidRPr="00C94E8C">
        <w:rPr>
          <w:lang w:val="fr-CA"/>
        </w:rPr>
        <w:t xml:space="preserve">ui importent en l’espèce. Premièrement, même si le par. 37(1) de la </w:t>
      </w:r>
      <w:r w:rsidRPr="00C94E8C">
        <w:rPr>
          <w:i/>
          <w:lang w:val="fr-CA"/>
        </w:rPr>
        <w:t>LACC</w:t>
      </w:r>
      <w:r>
        <w:rPr>
          <w:lang w:val="fr-CA"/>
        </w:rPr>
        <w:t xml:space="preserve"> </w:t>
      </w:r>
      <w:r w:rsidRPr="00C94E8C">
        <w:rPr>
          <w:lang w:val="fr-CA"/>
        </w:rPr>
        <w:t>pré</w:t>
      </w:r>
      <w:r>
        <w:rPr>
          <w:lang w:val="fr-CA"/>
        </w:rPr>
        <w:t xml:space="preserve">cise </w:t>
      </w:r>
      <w:r w:rsidRPr="00C94E8C">
        <w:rPr>
          <w:lang w:val="fr-CA"/>
        </w:rPr>
        <w:t>qu</w:t>
      </w:r>
      <w:r>
        <w:rPr>
          <w:lang w:val="fr-CA"/>
        </w:rPr>
        <w:t>’</w:t>
      </w:r>
      <w:r w:rsidRPr="00C94E8C">
        <w:rPr>
          <w:lang w:val="fr-CA"/>
        </w:rPr>
        <w:t>« aucun des biens de la compagnie débitrice ne peut être considéré comme [un bien détenu en fiducie pour Sa Majesté] par le seul effet d’u</w:t>
      </w:r>
      <w:r w:rsidR="00A37F73">
        <w:rPr>
          <w:lang w:val="fr-CA"/>
        </w:rPr>
        <w:t>ne telle disposition », le par. </w:t>
      </w:r>
      <w:r w:rsidRPr="00C94E8C">
        <w:rPr>
          <w:lang w:val="fr-CA"/>
        </w:rPr>
        <w:t>37(2)</w:t>
      </w:r>
      <w:r w:rsidRPr="00C94E8C">
        <w:rPr>
          <w:szCs w:val="24"/>
          <w:lang w:val="fr-CA"/>
        </w:rPr>
        <w:t xml:space="preserve"> </w:t>
      </w:r>
      <w:r w:rsidRPr="00C94E8C">
        <w:rPr>
          <w:lang w:val="fr-CA"/>
        </w:rPr>
        <w:t xml:space="preserve">prévoit le maintien en vigueur de la fiducie réputée créée par les lois fiscales dans le cadre d’une procédure engagée sous le régime de la </w:t>
      </w:r>
      <w:r w:rsidRPr="00C94E8C">
        <w:rPr>
          <w:i/>
          <w:lang w:val="fr-CA"/>
        </w:rPr>
        <w:t>LACC</w:t>
      </w:r>
      <w:r w:rsidRPr="00C94E8C">
        <w:rPr>
          <w:lang w:val="fr-CA"/>
        </w:rPr>
        <w:t xml:space="preserve">. Qui plus est, </w:t>
      </w:r>
      <w:r>
        <w:rPr>
          <w:lang w:val="fr-CA"/>
        </w:rPr>
        <w:t>bien que l</w:t>
      </w:r>
      <w:r w:rsidRPr="00C94E8C">
        <w:rPr>
          <w:lang w:val="fr-CA"/>
        </w:rPr>
        <w:t>es fiducies réputées ne so</w:t>
      </w:r>
      <w:r>
        <w:rPr>
          <w:lang w:val="fr-CA"/>
        </w:rPr>
        <w:t>ie</w:t>
      </w:r>
      <w:r w:rsidRPr="00C94E8C">
        <w:rPr>
          <w:lang w:val="fr-CA"/>
        </w:rPr>
        <w:t>nt pas des</w:t>
      </w:r>
      <w:r w:rsidRPr="00C94E8C">
        <w:rPr>
          <w:i/>
          <w:lang w:val="fr-CA"/>
        </w:rPr>
        <w:t xml:space="preserve"> </w:t>
      </w:r>
      <w:r w:rsidRPr="00C94E8C">
        <w:rPr>
          <w:lang w:val="fr-CA"/>
        </w:rPr>
        <w:t xml:space="preserve">« fiducie[s] véritable[s] » </w:t>
      </w:r>
      <w:r>
        <w:rPr>
          <w:lang w:val="fr-CA"/>
        </w:rPr>
        <w:t>et</w:t>
      </w:r>
      <w:r w:rsidRPr="00C94E8C">
        <w:rPr>
          <w:lang w:val="fr-CA"/>
        </w:rPr>
        <w:t xml:space="preserve"> </w:t>
      </w:r>
      <w:r>
        <w:rPr>
          <w:lang w:val="fr-CA"/>
        </w:rPr>
        <w:t xml:space="preserve">que </w:t>
      </w:r>
      <w:r w:rsidRPr="00C94E8C">
        <w:rPr>
          <w:lang w:val="fr-CA"/>
        </w:rPr>
        <w:t>le regroupement des biens rend</w:t>
      </w:r>
      <w:r>
        <w:rPr>
          <w:lang w:val="fr-CA"/>
        </w:rPr>
        <w:t>e</w:t>
      </w:r>
      <w:r w:rsidRPr="00C94E8C">
        <w:rPr>
          <w:lang w:val="fr-CA"/>
        </w:rPr>
        <w:t xml:space="preserve"> non identifiable le montant </w:t>
      </w:r>
      <w:r w:rsidRPr="00C94E8C">
        <w:rPr>
          <w:lang w:val="fr-CA"/>
        </w:rPr>
        <w:lastRenderedPageBreak/>
        <w:t>assujetti à la fiducie réputée, le retraçage de l’origine du montant</w:t>
      </w:r>
      <w:r w:rsidRPr="00C94E8C">
        <w:rPr>
          <w:szCs w:val="24"/>
          <w:lang w:val="fr-CA"/>
        </w:rPr>
        <w:t xml:space="preserve"> </w:t>
      </w:r>
      <w:r w:rsidRPr="00C94E8C">
        <w:rPr>
          <w:lang w:val="fr-CA"/>
        </w:rPr>
        <w:t>ne s’applique pas au par. 227(4.1). Deuxièmement, les retenues à la source non versées sont réputées ne pas faire partie des biens de la compagnie débitrice. En cas de non</w:t>
      </w:r>
      <w:r w:rsidRPr="00C94E8C">
        <w:rPr>
          <w:lang w:val="fr-CA"/>
        </w:rPr>
        <w:noBreakHyphen/>
        <w:t>versement, la Couronne est réputée obtenir un droit de bénéficiaire sur les biens du débiteur fiscal jusqu’à concurrence du montant des retenues à la source non versées, droit dont elle peut se prévaloir « malgré » tout autre texte législatif ou toute autre garantie. Toutefois,</w:t>
      </w:r>
      <w:r w:rsidRPr="00C94E8C">
        <w:rPr>
          <w:szCs w:val="24"/>
          <w:lang w:val="fr-CA"/>
        </w:rPr>
        <w:t xml:space="preserve"> </w:t>
      </w:r>
      <w:r w:rsidRPr="00C94E8C">
        <w:rPr>
          <w:lang w:val="fr-CA"/>
        </w:rPr>
        <w:t xml:space="preserve">les charges super prioritaires ne peuvent se rattacher qu’aux biens du débiteur, </w:t>
      </w:r>
      <w:r>
        <w:rPr>
          <w:lang w:val="fr-CA"/>
        </w:rPr>
        <w:t xml:space="preserve">de telle sorte que </w:t>
      </w:r>
      <w:r w:rsidRPr="00C94E8C">
        <w:rPr>
          <w:lang w:val="fr-CA"/>
        </w:rPr>
        <w:t>l’intérêt de la Couronne au titre de la fiducie réputée n’est pas subordonné aux charges super prioritaires. Troisièmement,</w:t>
      </w:r>
      <w:r w:rsidRPr="00C94E8C">
        <w:rPr>
          <w:szCs w:val="24"/>
          <w:lang w:val="fr-CA"/>
        </w:rPr>
        <w:t xml:space="preserve"> </w:t>
      </w:r>
      <w:r w:rsidRPr="00C94E8C">
        <w:rPr>
          <w:lang w:val="fr-CA"/>
        </w:rPr>
        <w:t xml:space="preserve">selon la définition de « créancier garanti » énoncée à l’art. 2 de la </w:t>
      </w:r>
      <w:r w:rsidRPr="00C94E8C">
        <w:rPr>
          <w:i/>
          <w:lang w:val="fr-CA"/>
        </w:rPr>
        <w:t>LACC</w:t>
      </w:r>
      <w:r w:rsidRPr="00C94E8C">
        <w:rPr>
          <w:lang w:val="fr-CA"/>
        </w:rPr>
        <w:t>, la Couronne n</w:t>
      </w:r>
      <w:r w:rsidR="00A37F73">
        <w:rPr>
          <w:lang w:val="fr-CA"/>
        </w:rPr>
        <w:t>’est pas un « créancier garanti </w:t>
      </w:r>
      <w:r>
        <w:rPr>
          <w:lang w:val="fr-CA"/>
        </w:rPr>
        <w:t xml:space="preserve">» à l’égard </w:t>
      </w:r>
      <w:r w:rsidRPr="007B7A8D">
        <w:rPr>
          <w:lang w:val="fr-CA"/>
        </w:rPr>
        <w:t>de ses réclamations relatives à une fiducie réputée créée par les lois fiscales</w:t>
      </w:r>
      <w:r w:rsidRPr="00C94E8C">
        <w:rPr>
          <w:lang w:val="fr-CA"/>
        </w:rPr>
        <w:t xml:space="preserve">. </w:t>
      </w:r>
      <w:r w:rsidRPr="00C94E8C">
        <w:rPr>
          <w:szCs w:val="24"/>
          <w:lang w:val="fr-CA"/>
        </w:rPr>
        <w:t>Cette</w:t>
      </w:r>
      <w:r w:rsidRPr="00C94E8C">
        <w:rPr>
          <w:lang w:val="fr-CA"/>
        </w:rPr>
        <w:t xml:space="preserve"> définition de « créancier garanti » </w:t>
      </w:r>
      <w:r w:rsidRPr="00CD7C1D">
        <w:rPr>
          <w:lang w:val="fr-CA"/>
        </w:rPr>
        <w:t>inclut donc un «</w:t>
      </w:r>
      <w:r w:rsidRPr="00C94E8C">
        <w:rPr>
          <w:lang w:val="fr-CA"/>
        </w:rPr>
        <w:t xml:space="preserve"> détenteur de quelque obligation d’une compagnie débitrice garantie par [. . .] une fiducie à [l’égard de l’ensemble ou d’une partie des biens de la compagnie débitrice] », </w:t>
      </w:r>
      <w:r>
        <w:rPr>
          <w:lang w:val="fr-CA"/>
        </w:rPr>
        <w:t xml:space="preserve">ce qui indique de façon </w:t>
      </w:r>
      <w:r w:rsidRPr="00C94E8C">
        <w:rPr>
          <w:lang w:val="fr-CA"/>
        </w:rPr>
        <w:t>tout à fait clair</w:t>
      </w:r>
      <w:r>
        <w:rPr>
          <w:lang w:val="fr-CA"/>
        </w:rPr>
        <w:t>e</w:t>
      </w:r>
      <w:r w:rsidRPr="00C94E8C">
        <w:rPr>
          <w:lang w:val="fr-CA"/>
        </w:rPr>
        <w:t xml:space="preserve"> que la Couronne ne peut être considérée comme tel au regard des réclamations relatives à la fiducie réputée que lui accordent les lois fiscales.</w:t>
      </w:r>
    </w:p>
    <w:p w:rsidR="003B1714" w:rsidRPr="00C94E8C" w:rsidRDefault="003B1714" w:rsidP="003B1714">
      <w:pPr>
        <w:pStyle w:val="SCCNormalDoubleSpacing"/>
        <w:widowControl w:val="0"/>
        <w:spacing w:after="480"/>
        <w:rPr>
          <w:i/>
          <w:lang w:val="fr-CA"/>
        </w:rPr>
      </w:pPr>
      <w:r w:rsidRPr="00C94E8C">
        <w:rPr>
          <w:lang w:val="fr-CA"/>
        </w:rPr>
        <w:tab/>
        <w:t xml:space="preserve">Donner effet à l’intention claire du législateur d’accorder la priorité absolue à la fiducie réputée ne rend pas le par. 6(3) ou l’art. 11.09 de la </w:t>
      </w:r>
      <w:r w:rsidRPr="00C94E8C">
        <w:rPr>
          <w:i/>
          <w:lang w:val="fr-CA"/>
        </w:rPr>
        <w:t>LACC</w:t>
      </w:r>
      <w:r>
        <w:rPr>
          <w:lang w:val="fr-CA"/>
        </w:rPr>
        <w:t xml:space="preserve"> </w:t>
      </w:r>
      <w:r w:rsidRPr="00C94E8C">
        <w:rPr>
          <w:lang w:val="fr-CA"/>
        </w:rPr>
        <w:t xml:space="preserve">dénué de sens. Au contraire, le par. 6(3) et l’art. 11.09 respectent la priorité absolue de la fiducie réputée en permettant le maintien de la priorité absolue de la réclamation de la Couronne sans contrecarrer l’objet réparateur de la </w:t>
      </w:r>
      <w:r w:rsidRPr="00C94E8C">
        <w:rPr>
          <w:i/>
          <w:lang w:val="fr-CA"/>
        </w:rPr>
        <w:t>LACC</w:t>
      </w:r>
      <w:r w:rsidRPr="00C94E8C">
        <w:rPr>
          <w:lang w:val="fr-CA"/>
        </w:rPr>
        <w:t xml:space="preserve">. Le paragraphe 6(3) de la </w:t>
      </w:r>
      <w:r w:rsidRPr="00C94E8C">
        <w:rPr>
          <w:i/>
          <w:lang w:val="fr-CA"/>
        </w:rPr>
        <w:t>LACC</w:t>
      </w:r>
      <w:r w:rsidRPr="00C94E8C">
        <w:rPr>
          <w:lang w:val="fr-CA"/>
        </w:rPr>
        <w:t xml:space="preserve">, </w:t>
      </w:r>
      <w:r>
        <w:rPr>
          <w:lang w:val="fr-CA"/>
        </w:rPr>
        <w:t>qui</w:t>
      </w:r>
      <w:r w:rsidRPr="00C94E8C">
        <w:rPr>
          <w:szCs w:val="24"/>
          <w:shd w:val="clear" w:color="auto" w:fill="FFFFFF"/>
          <w:lang w:val="fr-CA"/>
        </w:rPr>
        <w:t xml:space="preserve"> </w:t>
      </w:r>
      <w:r w:rsidRPr="00C94E8C">
        <w:rPr>
          <w:lang w:val="fr-CA"/>
        </w:rPr>
        <w:t xml:space="preserve">protège les réclamations de la Couronne au titre </w:t>
      </w:r>
      <w:r>
        <w:rPr>
          <w:lang w:val="fr-CA"/>
        </w:rPr>
        <w:t xml:space="preserve">d’une fiducie réputée ainsi </w:t>
      </w:r>
      <w:r>
        <w:rPr>
          <w:lang w:val="fr-CA"/>
        </w:rPr>
        <w:lastRenderedPageBreak/>
        <w:t>que</w:t>
      </w:r>
      <w:r w:rsidRPr="00C94E8C">
        <w:rPr>
          <w:lang w:val="fr-CA"/>
        </w:rPr>
        <w:t xml:space="preserve"> les réclamations qui ne sont pas assujetties à une fiducie réputée créée par les lois fiscales,</w:t>
      </w:r>
      <w:r w:rsidRPr="00C94E8C">
        <w:rPr>
          <w:szCs w:val="24"/>
          <w:lang w:val="fr-CA"/>
        </w:rPr>
        <w:t xml:space="preserve"> </w:t>
      </w:r>
      <w:r w:rsidRPr="00C94E8C">
        <w:rPr>
          <w:lang w:val="fr-CA"/>
        </w:rPr>
        <w:t xml:space="preserve">s’applique seulement si une transaction ou un arrangement est soumis au tribunal. En revanche, la fiducie réputée s’applique immédiatement et de façon continue à compter du moment où le montant est déduit ou retenu sur le salaire d’un employé, et elle s’applique uniquement aux retenues à la source non versées. </w:t>
      </w:r>
      <w:r w:rsidRPr="00C94E8C">
        <w:rPr>
          <w:szCs w:val="24"/>
          <w:lang w:val="fr-CA"/>
        </w:rPr>
        <w:t>E</w:t>
      </w:r>
      <w:r w:rsidRPr="00C94E8C">
        <w:rPr>
          <w:lang w:val="fr-CA"/>
        </w:rPr>
        <w:t xml:space="preserve">n l’absence du par. 6(3), les réclamations de la Couronne à l’égard des retenues à la source non versées seraient garanties une fois que le tribunal aurait homologué une transaction ou un arrangement, mais pas ses autres réclamations visées par le par. 224(1.2) de la </w:t>
      </w:r>
      <w:r w:rsidRPr="00C94E8C">
        <w:rPr>
          <w:i/>
          <w:lang w:val="fr-CA"/>
        </w:rPr>
        <w:t>LIR</w:t>
      </w:r>
      <w:r w:rsidRPr="00C94E8C">
        <w:rPr>
          <w:lang w:val="fr-CA"/>
        </w:rPr>
        <w:t xml:space="preserve">, </w:t>
      </w:r>
      <w:r>
        <w:rPr>
          <w:lang w:val="fr-CA"/>
        </w:rPr>
        <w:t xml:space="preserve">étant donné que </w:t>
      </w:r>
      <w:r w:rsidRPr="00C94E8C">
        <w:rPr>
          <w:lang w:val="fr-CA"/>
        </w:rPr>
        <w:t xml:space="preserve">la plupart des réclamations de la Couronne prennent rang comme réclamations non garanties en application de l’art. 38 de la </w:t>
      </w:r>
      <w:r w:rsidRPr="00C94E8C">
        <w:rPr>
          <w:i/>
          <w:lang w:val="fr-CA"/>
        </w:rPr>
        <w:t>LACC</w:t>
      </w:r>
      <w:r w:rsidR="00A37F73">
        <w:rPr>
          <w:lang w:val="fr-CA"/>
        </w:rPr>
        <w:t>. Toutefois, le par. </w:t>
      </w:r>
      <w:r w:rsidRPr="00C94E8C">
        <w:rPr>
          <w:lang w:val="fr-CA"/>
        </w:rPr>
        <w:t xml:space="preserve">6(3) n’explique </w:t>
      </w:r>
      <w:r>
        <w:rPr>
          <w:lang w:val="fr-CA"/>
        </w:rPr>
        <w:t xml:space="preserve">ni </w:t>
      </w:r>
      <w:r w:rsidRPr="00C94E8C">
        <w:rPr>
          <w:lang w:val="fr-CA"/>
        </w:rPr>
        <w:t>l</w:t>
      </w:r>
      <w:r>
        <w:rPr>
          <w:lang w:val="fr-CA"/>
        </w:rPr>
        <w:t xml:space="preserve">a survie de </w:t>
      </w:r>
      <w:r w:rsidRPr="00C94E8C">
        <w:rPr>
          <w:lang w:val="fr-CA"/>
        </w:rPr>
        <w:t>la fiducie réputée</w:t>
      </w:r>
      <w:r>
        <w:rPr>
          <w:lang w:val="fr-CA"/>
        </w:rPr>
        <w:t xml:space="preserve"> ni </w:t>
      </w:r>
      <w:r w:rsidRPr="00C94E8C">
        <w:rPr>
          <w:lang w:val="fr-CA"/>
        </w:rPr>
        <w:t xml:space="preserve">les droits conférés à la Couronne au titre de la fiducie réputée. </w:t>
      </w:r>
      <w:r>
        <w:rPr>
          <w:lang w:val="fr-CA"/>
        </w:rPr>
        <w:t xml:space="preserve">Leur survie </w:t>
      </w:r>
      <w:r w:rsidR="00A37F73">
        <w:rPr>
          <w:lang w:val="fr-CA"/>
        </w:rPr>
        <w:t>s’explique par le par. </w:t>
      </w:r>
      <w:r w:rsidRPr="00C94E8C">
        <w:rPr>
          <w:lang w:val="fr-CA"/>
        </w:rPr>
        <w:t xml:space="preserve">37(2), qui </w:t>
      </w:r>
      <w:r w:rsidR="00A37F73">
        <w:rPr>
          <w:lang w:val="fr-CA"/>
        </w:rPr>
        <w:t>maintient l’application du par. </w:t>
      </w:r>
      <w:r w:rsidRPr="00C94E8C">
        <w:rPr>
          <w:lang w:val="fr-CA"/>
        </w:rPr>
        <w:t xml:space="preserve">227(4.1), ou par le par. 227(4.1), </w:t>
      </w:r>
      <w:r>
        <w:rPr>
          <w:lang w:val="fr-CA"/>
        </w:rPr>
        <w:t xml:space="preserve">lequel précise </w:t>
      </w:r>
      <w:r w:rsidRPr="00C94E8C">
        <w:rPr>
          <w:lang w:val="fr-CA"/>
        </w:rPr>
        <w:t>que le produit des biens de la fiducie</w:t>
      </w:r>
      <w:r w:rsidRPr="00C94E8C">
        <w:rPr>
          <w:szCs w:val="24"/>
          <w:lang w:val="fr-CA"/>
        </w:rPr>
        <w:t xml:space="preserve"> « </w:t>
      </w:r>
      <w:r w:rsidRPr="00C94E8C">
        <w:rPr>
          <w:lang w:val="fr-CA"/>
        </w:rPr>
        <w:t xml:space="preserve">est payé au receveur général par priorité sur une telle garantie ». Enfin, le par. 6(3) protège des droits différents de ceux visés par la fiducie réputée, </w:t>
      </w:r>
      <w:r>
        <w:rPr>
          <w:lang w:val="fr-CA"/>
        </w:rPr>
        <w:t>et</w:t>
      </w:r>
      <w:r w:rsidRPr="00C94E8C">
        <w:rPr>
          <w:lang w:val="fr-CA"/>
        </w:rPr>
        <w:t xml:space="preserve"> le dr</w:t>
      </w:r>
      <w:r w:rsidR="00A37F73">
        <w:rPr>
          <w:lang w:val="fr-CA"/>
        </w:rPr>
        <w:t xml:space="preserve">oit de ne pas avoir à transiger </w:t>
      </w:r>
      <w:r w:rsidRPr="00C94E8C">
        <w:rPr>
          <w:lang w:val="fr-CA"/>
        </w:rPr>
        <w:t>qu’accorde le par. 6(3) est indépendant du droit de la Couronne au titre de la fiducie réputée.</w:t>
      </w:r>
    </w:p>
    <w:p w:rsidR="003B1714" w:rsidRPr="00C94E8C" w:rsidRDefault="003B1714" w:rsidP="003B1714">
      <w:pPr>
        <w:pStyle w:val="SCCNormalDoubleSpacing"/>
        <w:widowControl w:val="0"/>
        <w:spacing w:after="480"/>
        <w:rPr>
          <w:lang w:val="fr-CA"/>
        </w:rPr>
      </w:pPr>
      <w:r w:rsidRPr="00C94E8C">
        <w:rPr>
          <w:lang w:val="fr-CA"/>
        </w:rPr>
        <w:tab/>
        <w:t>L’art</w:t>
      </w:r>
      <w:r>
        <w:rPr>
          <w:lang w:val="fr-CA"/>
        </w:rPr>
        <w:t>icle</w:t>
      </w:r>
      <w:r w:rsidR="00970F98">
        <w:rPr>
          <w:lang w:val="fr-CA"/>
        </w:rPr>
        <w:t xml:space="preserve"> 11.09 de la </w:t>
      </w:r>
      <w:r w:rsidRPr="00C94E8C">
        <w:rPr>
          <w:i/>
          <w:lang w:val="fr-CA"/>
        </w:rPr>
        <w:t>LACC</w:t>
      </w:r>
      <w:r w:rsidRPr="00C94E8C">
        <w:rPr>
          <w:lang w:val="fr-CA"/>
        </w:rPr>
        <w:t>,</w:t>
      </w:r>
      <w:r w:rsidRPr="00C94E8C">
        <w:rPr>
          <w:i/>
          <w:lang w:val="fr-CA"/>
        </w:rPr>
        <w:t xml:space="preserve"> </w:t>
      </w:r>
      <w:r>
        <w:rPr>
          <w:lang w:val="fr-CA"/>
        </w:rPr>
        <w:t xml:space="preserve">qui </w:t>
      </w:r>
      <w:r w:rsidRPr="00C94E8C">
        <w:rPr>
          <w:lang w:val="fr-CA"/>
        </w:rPr>
        <w:t>permet au tribunal de suspendre l</w:t>
      </w:r>
      <w:r>
        <w:rPr>
          <w:lang w:val="fr-CA"/>
        </w:rPr>
        <w:t>’exercice par l</w:t>
      </w:r>
      <w:r w:rsidRPr="00C94E8C">
        <w:rPr>
          <w:lang w:val="fr-CA"/>
        </w:rPr>
        <w:t>a Couronne d</w:t>
      </w:r>
      <w:r>
        <w:rPr>
          <w:lang w:val="fr-CA"/>
        </w:rPr>
        <w:t xml:space="preserve">e ses droits à l’égard de </w:t>
      </w:r>
      <w:r w:rsidRPr="00C94E8C">
        <w:rPr>
          <w:lang w:val="fr-CA"/>
        </w:rPr>
        <w:t xml:space="preserve">ses réclamations relatives à une fiducie réputée, peut s’appliquer </w:t>
      </w:r>
      <w:r>
        <w:rPr>
          <w:lang w:val="fr-CA"/>
        </w:rPr>
        <w:t xml:space="preserve">à ces </w:t>
      </w:r>
      <w:r w:rsidRPr="00C94E8C">
        <w:rPr>
          <w:lang w:val="fr-CA"/>
        </w:rPr>
        <w:t>réclamations de la Couronne, mais il n’écarte pas la priorité accordée par la fiducie réputée.</w:t>
      </w:r>
    </w:p>
    <w:p w:rsidR="003B1714" w:rsidRPr="00C94E8C" w:rsidRDefault="003B1714" w:rsidP="003B1714">
      <w:pPr>
        <w:pStyle w:val="SCCNormalDoubleSpacing"/>
        <w:widowControl w:val="0"/>
        <w:spacing w:after="480"/>
        <w:rPr>
          <w:lang w:val="fr-CA"/>
        </w:rPr>
      </w:pPr>
      <w:r w:rsidRPr="00C94E8C">
        <w:rPr>
          <w:lang w:val="fr-CA"/>
        </w:rPr>
        <w:lastRenderedPageBreak/>
        <w:tab/>
        <w:t>En outre, il n’existe en l’espèce aucune préoccupation concernant la certitude quant à la matière ou le patrimoine autonome. La fiducie réputée n’est pas une fiducie « véritable » et elle ne confère pas à la Cou</w:t>
      </w:r>
      <w:r>
        <w:rPr>
          <w:lang w:val="fr-CA"/>
        </w:rPr>
        <w:t>ronne un intérêt propriétal ou d</w:t>
      </w:r>
      <w:r w:rsidRPr="00C94E8C">
        <w:rPr>
          <w:lang w:val="fr-CA"/>
        </w:rPr>
        <w:t>es droits de bénéficiaire tel</w:t>
      </w:r>
      <w:r>
        <w:rPr>
          <w:lang w:val="fr-CA"/>
        </w:rPr>
        <w:t>s</w:t>
      </w:r>
      <w:r w:rsidRPr="00C94E8C">
        <w:rPr>
          <w:lang w:val="fr-CA"/>
        </w:rPr>
        <w:t xml:space="preserve"> qu’on les entend en common law ou au sens du </w:t>
      </w:r>
      <w:r w:rsidRPr="00C94E8C">
        <w:rPr>
          <w:i/>
          <w:lang w:val="fr-CA"/>
        </w:rPr>
        <w:t>Code civil du Québec.</w:t>
      </w:r>
      <w:r w:rsidRPr="00C94E8C">
        <w:rPr>
          <w:lang w:val="fr-CA"/>
        </w:rPr>
        <w:t xml:space="preserve"> Les conditions des fiducies « véritables » en droit civil et en common law ne sont d’aucune utilité pour déterminer le fonctionnement d’une fiducie réputée créée en application de la loi</w:t>
      </w:r>
      <w:r>
        <w:rPr>
          <w:lang w:val="fr-CA"/>
        </w:rPr>
        <w:t>,</w:t>
      </w:r>
      <w:r w:rsidRPr="00C94E8C">
        <w:rPr>
          <w:lang w:val="fr-CA"/>
        </w:rPr>
        <w:t xml:space="preserve"> puisque</w:t>
      </w:r>
      <w:r w:rsidRPr="00C94E8C">
        <w:rPr>
          <w:szCs w:val="24"/>
          <w:lang w:val="fr-CA"/>
        </w:rPr>
        <w:t xml:space="preserve"> </w:t>
      </w:r>
      <w:r w:rsidRPr="00C94E8C">
        <w:rPr>
          <w:lang w:val="fr-CA"/>
        </w:rPr>
        <w:t xml:space="preserve">la fiducie réputée est une fiction juridique assortie de caractéristiques </w:t>
      </w:r>
      <w:r w:rsidRPr="00C94E8C">
        <w:rPr>
          <w:i/>
          <w:lang w:val="fr-CA"/>
        </w:rPr>
        <w:t>sui generis</w:t>
      </w:r>
      <w:r w:rsidRPr="00C94E8C">
        <w:rPr>
          <w:lang w:val="fr-CA"/>
        </w:rPr>
        <w:t xml:space="preserve"> décrites aux par. 227(4) et 227(4.1) de la </w:t>
      </w:r>
      <w:r w:rsidRPr="00C94E8C">
        <w:rPr>
          <w:i/>
          <w:lang w:val="fr-CA"/>
        </w:rPr>
        <w:t>LIR</w:t>
      </w:r>
      <w:r w:rsidRPr="00C94E8C">
        <w:rPr>
          <w:lang w:val="fr-CA"/>
        </w:rPr>
        <w:t>.</w:t>
      </w:r>
    </w:p>
    <w:p w:rsidR="003B1714" w:rsidRPr="00C94E8C" w:rsidRDefault="003B1714" w:rsidP="003B1714">
      <w:pPr>
        <w:pStyle w:val="SCCNormalDoubleSpacing"/>
        <w:widowControl w:val="0"/>
        <w:spacing w:after="480"/>
        <w:rPr>
          <w:lang w:val="fr-CA"/>
        </w:rPr>
      </w:pPr>
      <w:r w:rsidRPr="00C94E8C">
        <w:rPr>
          <w:lang w:val="fr-CA"/>
        </w:rPr>
        <w:tab/>
      </w:r>
      <w:r>
        <w:rPr>
          <w:lang w:val="fr-CA"/>
        </w:rPr>
        <w:t>Enfin,</w:t>
      </w:r>
      <w:r w:rsidRPr="00C94E8C">
        <w:rPr>
          <w:szCs w:val="24"/>
          <w:lang w:val="fr-CA"/>
        </w:rPr>
        <w:t xml:space="preserve"> </w:t>
      </w:r>
      <w:r w:rsidRPr="00C94E8C">
        <w:rPr>
          <w:lang w:val="fr-CA"/>
        </w:rPr>
        <w:t>le fait de conclure que la fiducie réputée créée par les lois fiscales a préséance sur les charges super prioritaires n</w:t>
      </w:r>
      <w:r>
        <w:rPr>
          <w:lang w:val="fr-CA"/>
        </w:rPr>
        <w:t xml:space="preserve">’entraînerait </w:t>
      </w:r>
      <w:r w:rsidRPr="00C94E8C">
        <w:rPr>
          <w:lang w:val="fr-CA"/>
        </w:rPr>
        <w:t xml:space="preserve">pas </w:t>
      </w:r>
      <w:r w:rsidRPr="00C94E8C">
        <w:rPr>
          <w:szCs w:val="24"/>
          <w:lang w:val="fr-CA"/>
        </w:rPr>
        <w:t xml:space="preserve">de </w:t>
      </w:r>
      <w:r>
        <w:rPr>
          <w:lang w:val="fr-CA"/>
        </w:rPr>
        <w:t>conséquences absurdes.</w:t>
      </w:r>
      <w:r w:rsidRPr="00C94E8C">
        <w:rPr>
          <w:lang w:val="fr-CA"/>
        </w:rPr>
        <w:t xml:space="preserve"> </w:t>
      </w:r>
      <w:r>
        <w:rPr>
          <w:lang w:val="fr-CA"/>
        </w:rPr>
        <w:t>L</w:t>
      </w:r>
      <w:r w:rsidRPr="00C94E8C">
        <w:rPr>
          <w:lang w:val="fr-CA"/>
        </w:rPr>
        <w:t>a conclusion selon laquelle le financement temporair</w:t>
      </w:r>
      <w:r w:rsidR="00A227C6">
        <w:rPr>
          <w:lang w:val="fr-CA"/>
        </w:rPr>
        <w:t xml:space="preserve">e prendrait tout simplement fin </w:t>
      </w:r>
      <w:r w:rsidRPr="00C94E8C">
        <w:rPr>
          <w:lang w:val="fr-CA"/>
        </w:rPr>
        <w:t>n’était pas étayée par le dossier, et</w:t>
      </w:r>
      <w:r w:rsidRPr="00C94E8C">
        <w:rPr>
          <w:szCs w:val="24"/>
          <w:lang w:val="fr-CA"/>
        </w:rPr>
        <w:t xml:space="preserve"> </w:t>
      </w:r>
      <w:r w:rsidRPr="00C94E8C">
        <w:rPr>
          <w:lang w:val="fr-CA"/>
        </w:rPr>
        <w:t>les fonds disponibles suffisent généralement à couvrir la réclamation de la Couronne et les charges super prioritaires ordonnées par le tribunal. Est également sans fondement l’affirmation s</w:t>
      </w:r>
      <w:r>
        <w:rPr>
          <w:lang w:val="fr-CA"/>
        </w:rPr>
        <w:t xml:space="preserve">uivant </w:t>
      </w:r>
      <w:r w:rsidRPr="00C94E8C">
        <w:rPr>
          <w:lang w:val="fr-CA"/>
        </w:rPr>
        <w:t>laquelle le fait de confirmer la priorité de la fiducie réputée introduirait un niveau d’incertitude inacceptable dans le processus de faillite. Les prêteurs temporaires peuvent se fonder sur les états financiers de la compagnie pour évaluer le risque d’offrir un financement.</w:t>
      </w:r>
    </w:p>
    <w:p w:rsidR="003B1714" w:rsidRPr="00C94E8C" w:rsidRDefault="003B1714" w:rsidP="003B1714">
      <w:pPr>
        <w:pStyle w:val="SCCNormalDoubleSpacing"/>
        <w:widowControl w:val="0"/>
        <w:spacing w:after="480"/>
        <w:rPr>
          <w:lang w:val="fr-CA"/>
        </w:rPr>
      </w:pPr>
      <w:r w:rsidRPr="00C94E8C">
        <w:rPr>
          <w:lang w:val="fr-CA"/>
        </w:rPr>
        <w:tab/>
      </w:r>
      <w:r w:rsidRPr="00C94E8C">
        <w:rPr>
          <w:i/>
          <w:lang w:val="fr-CA"/>
        </w:rPr>
        <w:t xml:space="preserve">Le </w:t>
      </w:r>
      <w:r w:rsidRPr="00A227C6">
        <w:rPr>
          <w:lang w:val="fr-CA"/>
        </w:rPr>
        <w:t>juge</w:t>
      </w:r>
      <w:r w:rsidRPr="00C94E8C">
        <w:rPr>
          <w:lang w:val="fr-CA"/>
        </w:rPr>
        <w:t xml:space="preserve"> </w:t>
      </w:r>
      <w:r w:rsidRPr="00C94E8C">
        <w:rPr>
          <w:b/>
          <w:lang w:val="fr-CA"/>
        </w:rPr>
        <w:t>Moldaver</w:t>
      </w:r>
      <w:r w:rsidRPr="00C94E8C">
        <w:rPr>
          <w:lang w:val="fr-CA"/>
        </w:rPr>
        <w:t xml:space="preserve"> (dissident) : Il y a</w:t>
      </w:r>
      <w:r>
        <w:rPr>
          <w:lang w:val="fr-CA"/>
        </w:rPr>
        <w:t xml:space="preserve"> accord, pour l’essentiel, avec</w:t>
      </w:r>
      <w:r w:rsidRPr="00C94E8C">
        <w:rPr>
          <w:szCs w:val="24"/>
          <w:lang w:val="fr-CA"/>
        </w:rPr>
        <w:t xml:space="preserve"> </w:t>
      </w:r>
      <w:r w:rsidRPr="00C94E8C">
        <w:rPr>
          <w:lang w:val="fr-CA"/>
        </w:rPr>
        <w:t>l’analyse et les conclusions des juges Brown et Rowe.</w:t>
      </w:r>
      <w:r w:rsidRPr="00C94E8C">
        <w:rPr>
          <w:rFonts w:asciiTheme="minorHAnsi" w:eastAsiaTheme="minorHAnsi" w:hAnsiTheme="minorHAnsi"/>
          <w:sz w:val="22"/>
          <w:lang w:val="fr-CA"/>
        </w:rPr>
        <w:t xml:space="preserve"> </w:t>
      </w:r>
      <w:r w:rsidRPr="00C94E8C">
        <w:rPr>
          <w:lang w:val="fr-CA"/>
        </w:rPr>
        <w:t>Toutefois, deux points doivent être abordés. En premier lieu, l’examen de la nature du droit de la Couronne devrait être remis</w:t>
      </w:r>
      <w:r>
        <w:rPr>
          <w:lang w:val="fr-CA"/>
        </w:rPr>
        <w:t xml:space="preserve"> </w:t>
      </w:r>
      <w:r w:rsidRPr="00C94E8C">
        <w:rPr>
          <w:lang w:val="fr-CA"/>
        </w:rPr>
        <w:t xml:space="preserve">à une autre occasion. </w:t>
      </w:r>
      <w:r>
        <w:rPr>
          <w:lang w:val="fr-CA"/>
        </w:rPr>
        <w:t>C’est le cas parce que</w:t>
      </w:r>
      <w:r w:rsidRPr="00C94E8C">
        <w:rPr>
          <w:lang w:val="fr-CA"/>
        </w:rPr>
        <w:t xml:space="preserve">, correctement interprétées, les </w:t>
      </w:r>
      <w:r w:rsidRPr="00C94E8C">
        <w:rPr>
          <w:lang w:val="fr-CA"/>
        </w:rPr>
        <w:lastRenderedPageBreak/>
        <w:t xml:space="preserve">dispositions pertinentes de la </w:t>
      </w:r>
      <w:r w:rsidRPr="00C94E8C">
        <w:rPr>
          <w:i/>
          <w:lang w:val="fr-CA"/>
        </w:rPr>
        <w:t>LACC</w:t>
      </w:r>
      <w:r w:rsidRPr="00C94E8C">
        <w:rPr>
          <w:lang w:val="fr-CA"/>
        </w:rPr>
        <w:t xml:space="preserve"> et de la </w:t>
      </w:r>
      <w:r w:rsidRPr="004169FF">
        <w:rPr>
          <w:i/>
          <w:lang w:val="fr-CA"/>
        </w:rPr>
        <w:t>LIR</w:t>
      </w:r>
      <w:r w:rsidRPr="00C94E8C">
        <w:rPr>
          <w:lang w:val="fr-CA"/>
        </w:rPr>
        <w:t xml:space="preserve"> s’harmonisent de façon à ce que l’intérêt que possède la Couronne</w:t>
      </w:r>
      <w:r w:rsidRPr="00C94E8C">
        <w:rPr>
          <w:szCs w:val="24"/>
          <w:lang w:val="fr-CA"/>
        </w:rPr>
        <w:t xml:space="preserve"> </w:t>
      </w:r>
      <w:r w:rsidRPr="00C94E8C">
        <w:rPr>
          <w:lang w:val="fr-CA"/>
        </w:rPr>
        <w:t>en vertu du par. 227(4.1)</w:t>
      </w:r>
      <w:r w:rsidRPr="00C94E8C">
        <w:rPr>
          <w:rFonts w:asciiTheme="minorHAnsi" w:eastAsiaTheme="minorHAnsi" w:hAnsiTheme="minorHAnsi"/>
          <w:sz w:val="22"/>
          <w:lang w:val="fr-CA"/>
        </w:rPr>
        <w:t xml:space="preserve"> </w:t>
      </w:r>
      <w:r w:rsidRPr="00C94E8C">
        <w:rPr>
          <w:lang w:val="fr-CA"/>
        </w:rPr>
        <w:t xml:space="preserve">de la </w:t>
      </w:r>
      <w:r w:rsidRPr="004169FF">
        <w:rPr>
          <w:i/>
          <w:lang w:val="fr-CA"/>
        </w:rPr>
        <w:t>LIR</w:t>
      </w:r>
      <w:r w:rsidRPr="00C94E8C">
        <w:rPr>
          <w:lang w:val="fr-CA"/>
        </w:rPr>
        <w:t xml:space="preserve"> — quel qu’il soit — ait priorité sur les charges super prioritaires d’origine judiciaire. Cette conclusion suffit pour trancher le pourvoi.</w:t>
      </w:r>
    </w:p>
    <w:p w:rsidR="003B1714" w:rsidRPr="00C94E8C" w:rsidRDefault="003B1714" w:rsidP="003B1714">
      <w:pPr>
        <w:pStyle w:val="SCCNormalDoubleSpacing"/>
        <w:widowControl w:val="0"/>
        <w:spacing w:after="480"/>
        <w:rPr>
          <w:lang w:val="fr-CA"/>
        </w:rPr>
      </w:pPr>
      <w:r w:rsidRPr="00C94E8C">
        <w:rPr>
          <w:lang w:val="fr-CA"/>
        </w:rPr>
        <w:tab/>
        <w:t>En deuxième lieu, bien qu’il y a</w:t>
      </w:r>
      <w:r w:rsidR="00A37F73">
        <w:rPr>
          <w:lang w:val="fr-CA"/>
        </w:rPr>
        <w:t>it accord pour dire que le par. </w:t>
      </w:r>
      <w:r w:rsidRPr="00C94E8C">
        <w:rPr>
          <w:lang w:val="fr-CA"/>
        </w:rPr>
        <w:t xml:space="preserve">37(2) de la </w:t>
      </w:r>
      <w:r w:rsidRPr="00C94E8C">
        <w:rPr>
          <w:i/>
          <w:iCs/>
          <w:lang w:val="fr-CA"/>
        </w:rPr>
        <w:t>LACC</w:t>
      </w:r>
      <w:r w:rsidRPr="00C94E8C">
        <w:rPr>
          <w:szCs w:val="24"/>
          <w:lang w:val="fr-CA"/>
        </w:rPr>
        <w:t xml:space="preserve"> </w:t>
      </w:r>
      <w:r w:rsidRPr="00C94E8C">
        <w:rPr>
          <w:lang w:val="fr-CA"/>
        </w:rPr>
        <w:t xml:space="preserve">peut être interprété comme une restriction interne à l’art. 11, si cette interprétation est inexacte, la portée de l’art. 11 est néanmoins restreinte par le par. 227(4.1), </w:t>
      </w:r>
      <w:r>
        <w:rPr>
          <w:lang w:val="fr-CA"/>
        </w:rPr>
        <w:t xml:space="preserve">étant donné que </w:t>
      </w:r>
      <w:r w:rsidRPr="00C94E8C">
        <w:rPr>
          <w:lang w:val="fr-CA"/>
        </w:rPr>
        <w:t xml:space="preserve">le législateur </w:t>
      </w:r>
      <w:r>
        <w:rPr>
          <w:lang w:val="fr-CA"/>
        </w:rPr>
        <w:t xml:space="preserve">a </w:t>
      </w:r>
      <w:r w:rsidRPr="00C94E8C">
        <w:rPr>
          <w:lang w:val="fr-CA"/>
        </w:rPr>
        <w:t xml:space="preserve">expressément </w:t>
      </w:r>
      <w:r>
        <w:rPr>
          <w:lang w:val="fr-CA"/>
        </w:rPr>
        <w:t xml:space="preserve">indiqué que ce paragraphe </w:t>
      </w:r>
      <w:r w:rsidRPr="00C94E8C">
        <w:rPr>
          <w:lang w:val="fr-CA"/>
        </w:rPr>
        <w:t xml:space="preserve">a priorité sur les dispositions de la </w:t>
      </w:r>
      <w:r w:rsidRPr="00C94E8C">
        <w:rPr>
          <w:i/>
          <w:lang w:val="fr-CA"/>
        </w:rPr>
        <w:t>LACC</w:t>
      </w:r>
      <w:r w:rsidRPr="00C94E8C">
        <w:rPr>
          <w:lang w:val="fr-CA"/>
        </w:rPr>
        <w:t>. La réclamation de la Couronne au titre d’une fiducie réputée a donc priorité sur toutes les charges super prioritaires d’origine judiciaire,</w:t>
      </w:r>
      <w:r w:rsidRPr="00C94E8C">
        <w:rPr>
          <w:szCs w:val="24"/>
          <w:lang w:val="fr-CA"/>
        </w:rPr>
        <w:t xml:space="preserve"> </w:t>
      </w:r>
      <w:r w:rsidRPr="00C94E8C">
        <w:rPr>
          <w:lang w:val="fr-CA"/>
        </w:rPr>
        <w:t>peu importe que celles</w:t>
      </w:r>
      <w:r w:rsidRPr="00C94E8C">
        <w:rPr>
          <w:lang w:val="fr-CA"/>
        </w:rPr>
        <w:noBreakHyphen/>
        <w:t xml:space="preserve">ci aient été créées en vertu des dispositions expresses à cet effet ou en vertu du pouvoir discrétionnaire du tribunal. Une conséquence nécessaire de la primauté absolue dont jouit la réclamation de la Couronne au titre d’une fiducie présumée est que le par. 6(3) de la </w:t>
      </w:r>
      <w:r w:rsidRPr="00C94E8C">
        <w:rPr>
          <w:i/>
          <w:lang w:val="fr-CA"/>
        </w:rPr>
        <w:t>LACC</w:t>
      </w:r>
      <w:r w:rsidRPr="00C94E8C">
        <w:rPr>
          <w:lang w:val="fr-CA"/>
        </w:rPr>
        <w:t xml:space="preserve"> ne permet pas de donner effet à l’intérêt conféré à la Couronne par le par. 227(4.1). </w:t>
      </w:r>
      <w:r w:rsidR="00A37F73">
        <w:rPr>
          <w:lang w:val="fr-CA"/>
        </w:rPr>
        <w:t>À l’inverse du par. </w:t>
      </w:r>
      <w:r>
        <w:rPr>
          <w:lang w:val="fr-CA"/>
        </w:rPr>
        <w:t>227(4.1), qui</w:t>
      </w:r>
      <w:r w:rsidRPr="00C94E8C">
        <w:rPr>
          <w:szCs w:val="24"/>
          <w:lang w:val="fr-CA"/>
        </w:rPr>
        <w:t xml:space="preserve"> </w:t>
      </w:r>
      <w:r w:rsidRPr="00C94E8C">
        <w:rPr>
          <w:lang w:val="fr-CA"/>
        </w:rPr>
        <w:t>vise à accorder priorité à la récl</w:t>
      </w:r>
      <w:r w:rsidR="00A37F73">
        <w:rPr>
          <w:lang w:val="fr-CA"/>
        </w:rPr>
        <w:t>amation de la Couronne, le par. </w:t>
      </w:r>
      <w:r w:rsidRPr="00C94E8C">
        <w:rPr>
          <w:lang w:val="fr-CA"/>
        </w:rPr>
        <w:t>6(3) établit simplement</w:t>
      </w:r>
      <w:r w:rsidRPr="00C94E8C">
        <w:rPr>
          <w:szCs w:val="24"/>
          <w:lang w:val="fr-CA"/>
        </w:rPr>
        <w:t xml:space="preserve"> </w:t>
      </w:r>
      <w:r w:rsidRPr="00C94E8C">
        <w:rPr>
          <w:lang w:val="fr-CA"/>
        </w:rPr>
        <w:t>un délai de six mois pour pa</w:t>
      </w:r>
      <w:r>
        <w:rPr>
          <w:lang w:val="fr-CA"/>
        </w:rPr>
        <w:t xml:space="preserve">yer </w:t>
      </w:r>
      <w:r w:rsidRPr="00C94E8C">
        <w:rPr>
          <w:lang w:val="fr-CA"/>
        </w:rPr>
        <w:t>la Couronne au cas où la compagnie débitrice parviendrait à assurer sa viabil</w:t>
      </w:r>
      <w:r w:rsidR="00A37F73">
        <w:rPr>
          <w:lang w:val="fr-CA"/>
        </w:rPr>
        <w:t>ité. Par conséquent, si le par. </w:t>
      </w:r>
      <w:r w:rsidRPr="00C94E8C">
        <w:rPr>
          <w:lang w:val="fr-CA"/>
        </w:rPr>
        <w:t>6(3) donnait effet à l’intérêt de la Couronne,</w:t>
      </w:r>
      <w:r w:rsidRPr="00C94E8C">
        <w:rPr>
          <w:szCs w:val="24"/>
          <w:lang w:val="fr-CA"/>
        </w:rPr>
        <w:t xml:space="preserve"> </w:t>
      </w:r>
      <w:r w:rsidR="00A37F73">
        <w:rPr>
          <w:szCs w:val="24"/>
          <w:lang w:val="fr-CA"/>
        </w:rPr>
        <w:t>celle</w:t>
      </w:r>
      <w:r w:rsidR="00A37F73">
        <w:rPr>
          <w:szCs w:val="24"/>
          <w:lang w:val="fr-CA"/>
        </w:rPr>
        <w:noBreakHyphen/>
      </w:r>
      <w:r>
        <w:rPr>
          <w:szCs w:val="24"/>
          <w:lang w:val="fr-CA"/>
        </w:rPr>
        <w:t xml:space="preserve">ci </w:t>
      </w:r>
      <w:r w:rsidRPr="00C94E8C">
        <w:rPr>
          <w:lang w:val="fr-CA"/>
        </w:rPr>
        <w:t xml:space="preserve">pourrait être reléguée au dernier rang </w:t>
      </w:r>
      <w:r>
        <w:rPr>
          <w:lang w:val="fr-CA"/>
        </w:rPr>
        <w:t xml:space="preserve">pourvu </w:t>
      </w:r>
      <w:r w:rsidRPr="00C94E8C">
        <w:rPr>
          <w:lang w:val="fr-CA"/>
        </w:rPr>
        <w:t xml:space="preserve">qu’elle soit payée dans les six mois suivant tout arrangement. Un tel résultat serait de toute évidence incompatible avec la priorité absolue </w:t>
      </w:r>
      <w:r>
        <w:rPr>
          <w:lang w:val="fr-CA"/>
        </w:rPr>
        <w:t>accordée</w:t>
      </w:r>
      <w:r w:rsidRPr="00C94E8C">
        <w:rPr>
          <w:lang w:val="fr-CA"/>
        </w:rPr>
        <w:t xml:space="preserve"> à la réclamation de la Cou</w:t>
      </w:r>
      <w:r w:rsidR="00A37F73">
        <w:rPr>
          <w:lang w:val="fr-CA"/>
        </w:rPr>
        <w:t>ronne. De plus, puisque le par. </w:t>
      </w:r>
      <w:r w:rsidRPr="00C94E8C">
        <w:rPr>
          <w:lang w:val="fr-CA"/>
        </w:rPr>
        <w:t>6(3) ne s’applique pas en cas de liquidation</w:t>
      </w:r>
      <w:r w:rsidRPr="00C94E8C">
        <w:rPr>
          <w:szCs w:val="24"/>
          <w:lang w:val="fr-CA"/>
        </w:rPr>
        <w:t xml:space="preserve"> </w:t>
      </w:r>
      <w:r w:rsidRPr="00C94E8C">
        <w:rPr>
          <w:lang w:val="fr-CA"/>
        </w:rPr>
        <w:t xml:space="preserve">sous le régime de la </w:t>
      </w:r>
      <w:r w:rsidRPr="00C94E8C">
        <w:rPr>
          <w:i/>
          <w:lang w:val="fr-CA"/>
        </w:rPr>
        <w:lastRenderedPageBreak/>
        <w:t>LACC</w:t>
      </w:r>
      <w:r w:rsidRPr="00C94E8C">
        <w:rPr>
          <w:lang w:val="fr-CA"/>
        </w:rPr>
        <w:t>, la Couronne perdrait alors sa priorité au profit d’autres garanties.</w:t>
      </w:r>
    </w:p>
    <w:p w:rsidR="003B1714" w:rsidRPr="00C94E8C" w:rsidRDefault="003B1714" w:rsidP="003B1714">
      <w:pPr>
        <w:pStyle w:val="SCCNormalDoubleSpacing"/>
        <w:widowControl w:val="0"/>
        <w:spacing w:after="480"/>
        <w:rPr>
          <w:lang w:val="fr-CA"/>
        </w:rPr>
      </w:pPr>
      <w:r>
        <w:rPr>
          <w:lang w:val="fr-CA"/>
        </w:rPr>
        <w:tab/>
      </w:r>
      <w:r w:rsidRPr="00C94E8C">
        <w:rPr>
          <w:szCs w:val="24"/>
          <w:lang w:val="fr-CA"/>
        </w:rPr>
        <w:t>I</w:t>
      </w:r>
      <w:r w:rsidRPr="00C94E8C">
        <w:rPr>
          <w:lang w:val="fr-CA"/>
        </w:rPr>
        <w:t xml:space="preserve">l ne fait aucun doute que le législateur a réfléchi aux conséquences possibles de ses mesures législatives, y compris sur les procédures engagées sous le régime de la </w:t>
      </w:r>
      <w:r w:rsidRPr="00C94E8C">
        <w:rPr>
          <w:i/>
          <w:lang w:val="fr-CA"/>
        </w:rPr>
        <w:t>LACC</w:t>
      </w:r>
      <w:r w:rsidRPr="00C94E8C">
        <w:rPr>
          <w:lang w:val="fr-CA"/>
        </w:rPr>
        <w:t xml:space="preserve">. S’il devait arriver que la priorité accordée à la réclamation de la Couronne menace la viabilité d’une restructuration, c’est de toute évidence à la Couronne qu’il appartient de faire preuve de souplesse afin d’éviter toute conséquence qui compromettrait l’objet réparateur de la </w:t>
      </w:r>
      <w:r w:rsidRPr="00C94E8C">
        <w:rPr>
          <w:i/>
          <w:lang w:val="fr-CA"/>
        </w:rPr>
        <w:t>LACC</w:t>
      </w:r>
      <w:r w:rsidRPr="00C94E8C">
        <w:rPr>
          <w:lang w:val="fr-CA"/>
        </w:rPr>
        <w:t>.</w:t>
      </w:r>
    </w:p>
    <w:p w:rsidR="004D7D95" w:rsidRPr="00872A1A" w:rsidRDefault="004D7D95" w:rsidP="003B1714">
      <w:pPr>
        <w:pStyle w:val="SCCNormalDoubleSpacing"/>
        <w:spacing w:after="480"/>
        <w:rPr>
          <w:b/>
          <w:lang w:val="fr-CA"/>
        </w:rPr>
      </w:pPr>
      <w:r w:rsidRPr="00872A1A">
        <w:rPr>
          <w:b/>
          <w:lang w:val="fr-CA"/>
        </w:rPr>
        <w:t>Jurisprudence</w:t>
      </w:r>
    </w:p>
    <w:p w:rsidR="007B7573" w:rsidRPr="000D1603" w:rsidRDefault="007B7573" w:rsidP="00213F87">
      <w:pPr>
        <w:pStyle w:val="SCCNormalDoubleSpacing"/>
        <w:widowControl w:val="0"/>
        <w:spacing w:after="720" w:line="240" w:lineRule="auto"/>
        <w:rPr>
          <w:lang w:val="fr-CA"/>
        </w:rPr>
      </w:pPr>
      <w:r w:rsidRPr="00872A1A">
        <w:rPr>
          <w:lang w:val="fr-CA"/>
        </w:rPr>
        <w:t>Citée par la juge Côté</w:t>
      </w:r>
    </w:p>
    <w:p w:rsidR="007B7573" w:rsidRDefault="007B7573" w:rsidP="00213F87">
      <w:pPr>
        <w:pStyle w:val="SCCNormalDoubleSpacing"/>
        <w:widowControl w:val="0"/>
        <w:spacing w:after="480"/>
        <w:rPr>
          <w:iCs/>
        </w:rPr>
      </w:pPr>
      <w:r w:rsidRPr="000D1603">
        <w:rPr>
          <w:lang w:val="fr-CA"/>
        </w:rPr>
        <w:tab/>
      </w:r>
      <w:r w:rsidR="00A227C6" w:rsidRPr="00344043">
        <w:rPr>
          <w:b/>
          <w:lang w:val="en-US"/>
        </w:rPr>
        <w:t>Distinction d’avec l’arrêt</w:t>
      </w:r>
      <w:r w:rsidR="005C7084">
        <w:rPr>
          <w:b/>
          <w:lang w:val="en-US"/>
        </w:rPr>
        <w:t xml:space="preserve"> </w:t>
      </w:r>
      <w:bookmarkStart w:id="0" w:name="_GoBack"/>
      <w:bookmarkEnd w:id="0"/>
      <w:r w:rsidR="00A227C6" w:rsidRPr="00344043">
        <w:rPr>
          <w:b/>
          <w:lang w:val="en-US"/>
        </w:rPr>
        <w:t xml:space="preserve">: </w:t>
      </w:r>
      <w:r w:rsidR="00B43F4A" w:rsidRPr="00344043">
        <w:rPr>
          <w:i/>
          <w:iCs/>
          <w:lang w:val="en-US"/>
        </w:rPr>
        <w:t>Banque Royale du Canada c. Sparrow Electric Corp.</w:t>
      </w:r>
      <w:r w:rsidR="00B43F4A" w:rsidRPr="00344043">
        <w:rPr>
          <w:iCs/>
          <w:lang w:val="en-US"/>
        </w:rPr>
        <w:t xml:space="preserve">, [1997] 1 R.C.S. 411; </w:t>
      </w:r>
      <w:r w:rsidR="00B43F4A" w:rsidRPr="00344043">
        <w:rPr>
          <w:b/>
          <w:iCs/>
          <w:lang w:val="en-US"/>
        </w:rPr>
        <w:t>arrêts examinés</w:t>
      </w:r>
      <w:r w:rsidR="005C7084">
        <w:rPr>
          <w:b/>
          <w:iCs/>
          <w:lang w:val="en-US"/>
        </w:rPr>
        <w:t xml:space="preserve"> </w:t>
      </w:r>
      <w:r w:rsidR="00B43F4A" w:rsidRPr="00344043">
        <w:rPr>
          <w:b/>
          <w:iCs/>
          <w:lang w:val="en-US"/>
        </w:rPr>
        <w:t xml:space="preserve">: </w:t>
      </w:r>
      <w:r w:rsidR="00B43F4A" w:rsidRPr="00344043">
        <w:rPr>
          <w:i/>
          <w:lang w:val="en-US"/>
        </w:rPr>
        <w:t>First Vancouver Finance c. M.R.N.</w:t>
      </w:r>
      <w:r w:rsidR="00B43F4A" w:rsidRPr="00344043">
        <w:rPr>
          <w:lang w:val="en-US"/>
        </w:rPr>
        <w:t xml:space="preserve">, 2002 CSC 49, [2002] 2 R.C.S. 720; </w:t>
      </w:r>
      <w:r w:rsidR="00B43F4A" w:rsidRPr="00344043">
        <w:rPr>
          <w:i/>
          <w:iCs/>
          <w:lang w:val="en-US"/>
        </w:rPr>
        <w:t>Sun Indalex Finance, LLC c. Syndicat des Métallos</w:t>
      </w:r>
      <w:r w:rsidR="00B43F4A" w:rsidRPr="00344043">
        <w:rPr>
          <w:iCs/>
          <w:lang w:val="en-US"/>
        </w:rPr>
        <w:t xml:space="preserve">, 2013 CSC 6, [2013] 1 R.C.S. 271; </w:t>
      </w:r>
      <w:r w:rsidR="00B43F4A" w:rsidRPr="00344043">
        <w:rPr>
          <w:i/>
          <w:iCs/>
          <w:lang w:val="en-US"/>
        </w:rPr>
        <w:t>Colombie</w:t>
      </w:r>
      <w:r w:rsidR="00B43F4A" w:rsidRPr="00344043">
        <w:rPr>
          <w:i/>
          <w:iCs/>
          <w:lang w:val="en-US"/>
        </w:rPr>
        <w:noBreakHyphen/>
        <w:t>Britannique c. Henfrey Samson Belair Ltd.</w:t>
      </w:r>
      <w:r w:rsidR="00B43F4A" w:rsidRPr="00344043">
        <w:rPr>
          <w:iCs/>
          <w:lang w:val="en-US"/>
        </w:rPr>
        <w:t xml:space="preserve">, [1989] 2 R.C.S. 24; </w:t>
      </w:r>
      <w:r w:rsidR="00B43F4A" w:rsidRPr="00344043">
        <w:rPr>
          <w:i/>
          <w:iCs/>
          <w:lang w:val="en-US"/>
        </w:rPr>
        <w:t>Caisse populaire Desjardins de l’Est de Drummond c. Canada</w:t>
      </w:r>
      <w:r w:rsidR="00B43F4A" w:rsidRPr="00344043">
        <w:rPr>
          <w:iCs/>
          <w:lang w:val="en-US"/>
        </w:rPr>
        <w:t xml:space="preserve">, 2009 CSC 29, [2009] 2 R.C.S. 94; </w:t>
      </w:r>
      <w:r w:rsidR="00B43F4A" w:rsidRPr="00344043">
        <w:rPr>
          <w:b/>
          <w:lang w:val="en-US"/>
        </w:rPr>
        <w:t>a</w:t>
      </w:r>
      <w:r w:rsidRPr="00344043">
        <w:rPr>
          <w:b/>
          <w:lang w:val="en-US"/>
        </w:rPr>
        <w:t>rrêts mentionnés :</w:t>
      </w:r>
      <w:r w:rsidR="00CF2478" w:rsidRPr="00344043">
        <w:rPr>
          <w:lang w:val="en-US"/>
        </w:rPr>
        <w:t xml:space="preserve"> </w:t>
      </w:r>
      <w:r w:rsidR="00CF2478" w:rsidRPr="00344043">
        <w:rPr>
          <w:i/>
          <w:lang w:val="en-US"/>
        </w:rPr>
        <w:t>Temple City Housing Inc., Re</w:t>
      </w:r>
      <w:r w:rsidR="00CF2478" w:rsidRPr="00344043">
        <w:rPr>
          <w:lang w:val="en-US"/>
        </w:rPr>
        <w:t xml:space="preserve">, 2007 ABQB 786, 42 C.B.R. (5th) 274; </w:t>
      </w:r>
      <w:r w:rsidR="00B7488C" w:rsidRPr="00344043">
        <w:rPr>
          <w:i/>
          <w:lang w:val="en-US"/>
        </w:rPr>
        <w:t>Century Services Inc. c. Canada (Procureur général)</w:t>
      </w:r>
      <w:r w:rsidR="00B7488C" w:rsidRPr="00344043">
        <w:rPr>
          <w:lang w:val="en-US"/>
        </w:rPr>
        <w:t xml:space="preserve">, 2010 CSC 60, [2010] 3 R.C.S. 379; </w:t>
      </w:r>
      <w:r w:rsidR="00213F87" w:rsidRPr="00344043">
        <w:rPr>
          <w:i/>
          <w:lang w:val="en-US"/>
        </w:rPr>
        <w:t>9354</w:t>
      </w:r>
      <w:r w:rsidR="00213F87" w:rsidRPr="00344043">
        <w:rPr>
          <w:i/>
          <w:lang w:val="en-US"/>
        </w:rPr>
        <w:noBreakHyphen/>
      </w:r>
      <w:r w:rsidR="00A56DEE" w:rsidRPr="00344043">
        <w:rPr>
          <w:i/>
          <w:lang w:val="en-US"/>
        </w:rPr>
        <w:t>9186 Québec inc. c. Callidus Capital Corp.</w:t>
      </w:r>
      <w:r w:rsidR="00A56DEE" w:rsidRPr="00344043">
        <w:rPr>
          <w:lang w:val="en-US"/>
        </w:rPr>
        <w:t>,</w:t>
      </w:r>
      <w:r w:rsidR="00A56DEE" w:rsidRPr="00344043">
        <w:rPr>
          <w:i/>
          <w:lang w:val="en-US"/>
        </w:rPr>
        <w:t xml:space="preserve"> </w:t>
      </w:r>
      <w:r w:rsidR="00A56DEE" w:rsidRPr="00344043">
        <w:rPr>
          <w:lang w:val="en-US"/>
        </w:rPr>
        <w:t>2020 CSC 10;</w:t>
      </w:r>
      <w:r w:rsidR="006B0861" w:rsidRPr="00344043">
        <w:rPr>
          <w:lang w:val="en-US"/>
        </w:rPr>
        <w:t xml:space="preserve"> </w:t>
      </w:r>
      <w:r w:rsidR="006B0861" w:rsidRPr="00344043">
        <w:rPr>
          <w:i/>
          <w:lang w:val="en-US"/>
        </w:rPr>
        <w:t xml:space="preserve">Pacific National Lease Holding Corp., Re </w:t>
      </w:r>
      <w:r w:rsidR="006B0861" w:rsidRPr="00344043">
        <w:rPr>
          <w:lang w:val="en-US"/>
        </w:rPr>
        <w:t xml:space="preserve">(1992), 72 B.C.L.R. (2d) 368; </w:t>
      </w:r>
      <w:r w:rsidR="002F4F82" w:rsidRPr="00344043">
        <w:rPr>
          <w:i/>
          <w:lang w:val="en-US"/>
        </w:rPr>
        <w:t>Grant Forest Products Inc., Re</w:t>
      </w:r>
      <w:r w:rsidR="002F4F82" w:rsidRPr="00344043">
        <w:rPr>
          <w:lang w:val="en-US"/>
        </w:rPr>
        <w:t xml:space="preserve"> (2009), 57 C.B.R. (5th) 128; </w:t>
      </w:r>
      <w:r w:rsidR="002F4F82" w:rsidRPr="00344043">
        <w:rPr>
          <w:i/>
          <w:lang w:val="en-US"/>
        </w:rPr>
        <w:t>Timminco Ltd., Re</w:t>
      </w:r>
      <w:r w:rsidR="002F4F82" w:rsidRPr="00344043">
        <w:rPr>
          <w:lang w:val="en-US"/>
        </w:rPr>
        <w:t xml:space="preserve">, 2012 ONSC 506, 85 C.B.R. (5th) 169; </w:t>
      </w:r>
      <w:r w:rsidR="002F4F82" w:rsidRPr="00344043">
        <w:rPr>
          <w:i/>
          <w:iCs/>
          <w:lang w:val="en-US"/>
        </w:rPr>
        <w:t xml:space="preserve">In the Matter of a Plan </w:t>
      </w:r>
      <w:r w:rsidR="002F4F82" w:rsidRPr="00344043">
        <w:rPr>
          <w:i/>
          <w:iCs/>
          <w:lang w:val="en-US"/>
        </w:rPr>
        <w:lastRenderedPageBreak/>
        <w:t>of Compromise or Arrangement of Green Growth Brands Inc.</w:t>
      </w:r>
      <w:r w:rsidR="002F4F82" w:rsidRPr="00344043">
        <w:rPr>
          <w:iCs/>
          <w:lang w:val="en-US"/>
        </w:rPr>
        <w:t xml:space="preserve">, 2020 ONSC 3565, 84 C.B.R. (6th) 146; </w:t>
      </w:r>
      <w:r w:rsidR="00CE282A" w:rsidRPr="00344043">
        <w:rPr>
          <w:i/>
          <w:iCs/>
          <w:lang w:val="en-US"/>
        </w:rPr>
        <w:t>Ernst &amp; Young Inc. c. Essar Global Fund Ltd.</w:t>
      </w:r>
      <w:r w:rsidR="00CE282A" w:rsidRPr="00344043">
        <w:rPr>
          <w:iCs/>
          <w:lang w:val="en-US"/>
        </w:rPr>
        <w:t xml:space="preserve">, 2017 ONCA 1014, 139 O.R. (3d) 1; </w:t>
      </w:r>
      <w:r w:rsidR="00CE282A" w:rsidRPr="00344043">
        <w:rPr>
          <w:i/>
          <w:iCs/>
          <w:lang w:val="en-US"/>
        </w:rPr>
        <w:t>First Leaside Wealth Management Inc. (Re)</w:t>
      </w:r>
      <w:r w:rsidR="00CE282A" w:rsidRPr="00344043">
        <w:rPr>
          <w:iCs/>
          <w:lang w:val="en-US"/>
        </w:rPr>
        <w:t xml:space="preserve">, 2012 ONSC 1299; </w:t>
      </w:r>
      <w:r w:rsidR="00DD07E0" w:rsidRPr="00344043">
        <w:rPr>
          <w:i/>
          <w:iCs/>
          <w:lang w:val="en-US"/>
        </w:rPr>
        <w:t xml:space="preserve">Triton Électronique inc. </w:t>
      </w:r>
      <w:r w:rsidR="00DD07E0" w:rsidRPr="005435E7">
        <w:rPr>
          <w:i/>
          <w:iCs/>
        </w:rPr>
        <w:t>(Arrangement relatif à)</w:t>
      </w:r>
      <w:r w:rsidR="00DD07E0" w:rsidRPr="005435E7">
        <w:rPr>
          <w:iCs/>
        </w:rPr>
        <w:t xml:space="preserve">, 2009 QCCS 1202; </w:t>
      </w:r>
      <w:r w:rsidR="00DD07E0" w:rsidRPr="005435E7">
        <w:rPr>
          <w:i/>
          <w:iCs/>
        </w:rPr>
        <w:t>Chef Ready Foods Ltd. c. Hongkong Bank of Can.</w:t>
      </w:r>
      <w:r w:rsidR="00DD07E0" w:rsidRPr="005435E7">
        <w:rPr>
          <w:iCs/>
        </w:rPr>
        <w:t xml:space="preserve"> (1990), 51 B.C.L.R. (2d) 84; </w:t>
      </w:r>
      <w:r w:rsidR="00FE66BF" w:rsidRPr="005435E7">
        <w:rPr>
          <w:i/>
          <w:iCs/>
        </w:rPr>
        <w:t>Canada (Procureur général) c. Caisse populaire d’Amos</w:t>
      </w:r>
      <w:r w:rsidR="00FE66BF" w:rsidRPr="005435E7">
        <w:rPr>
          <w:iCs/>
        </w:rPr>
        <w:t>, 2004 CAF 92, 324 N.R. 31;</w:t>
      </w:r>
      <w:r w:rsidR="00DD07E0" w:rsidRPr="005435E7">
        <w:rPr>
          <w:iCs/>
        </w:rPr>
        <w:t xml:space="preserve"> </w:t>
      </w:r>
      <w:r w:rsidR="00DB1D7C" w:rsidRPr="005435E7">
        <w:rPr>
          <w:i/>
          <w:iCs/>
        </w:rPr>
        <w:t>Banque de Nouvelle</w:t>
      </w:r>
      <w:r w:rsidR="00DB1D7C" w:rsidRPr="005435E7">
        <w:rPr>
          <w:i/>
          <w:iCs/>
        </w:rPr>
        <w:noBreakHyphen/>
      </w:r>
      <w:r w:rsidR="00DD07E0" w:rsidRPr="005435E7">
        <w:rPr>
          <w:i/>
          <w:iCs/>
        </w:rPr>
        <w:t>Écosse c. Thibault</w:t>
      </w:r>
      <w:r w:rsidR="00DD07E0" w:rsidRPr="005435E7">
        <w:rPr>
          <w:iCs/>
        </w:rPr>
        <w:t>, 2004 CSC 29, [2004] 1 R.C.S. 758;</w:t>
      </w:r>
      <w:r w:rsidR="00000E60" w:rsidRPr="005435E7">
        <w:rPr>
          <w:iCs/>
        </w:rPr>
        <w:t xml:space="preserve"> </w:t>
      </w:r>
      <w:r w:rsidR="00000E60" w:rsidRPr="005435E7">
        <w:rPr>
          <w:i/>
          <w:iCs/>
        </w:rPr>
        <w:t>Valard Construction Ltd. c. Bird Construction Co.</w:t>
      </w:r>
      <w:r w:rsidR="00000E60" w:rsidRPr="005435E7">
        <w:rPr>
          <w:iCs/>
        </w:rPr>
        <w:t xml:space="preserve">, 2018 CSC 8, [2018] 1 R.C.S. 224; </w:t>
      </w:r>
      <w:r w:rsidR="00000E60" w:rsidRPr="005435E7">
        <w:rPr>
          <w:i/>
          <w:iCs/>
        </w:rPr>
        <w:t>Pecore c. Pecore</w:t>
      </w:r>
      <w:r w:rsidR="00000E60" w:rsidRPr="005435E7">
        <w:rPr>
          <w:iCs/>
        </w:rPr>
        <w:t xml:space="preserve">, 2007 CSC 17, [2007] 1 R.C.S. 795; </w:t>
      </w:r>
      <w:r w:rsidR="00000E60" w:rsidRPr="005435E7">
        <w:rPr>
          <w:i/>
          <w:iCs/>
        </w:rPr>
        <w:t>Csak c. Aumon</w:t>
      </w:r>
      <w:r w:rsidR="00000E60" w:rsidRPr="005435E7">
        <w:rPr>
          <w:iCs/>
        </w:rPr>
        <w:t xml:space="preserve"> (1990), 69 D.L.R. (4th) 567;</w:t>
      </w:r>
      <w:r w:rsidR="005A0576" w:rsidRPr="005435E7">
        <w:rPr>
          <w:iCs/>
        </w:rPr>
        <w:t xml:space="preserve"> </w:t>
      </w:r>
      <w:r w:rsidR="005A0576" w:rsidRPr="005435E7">
        <w:rPr>
          <w:i/>
          <w:iCs/>
        </w:rPr>
        <w:t>Dauphin Plains Credit Union Ltd. c. Xyloid Industries Ltd.</w:t>
      </w:r>
      <w:r w:rsidR="005A0576" w:rsidRPr="005435E7">
        <w:rPr>
          <w:iCs/>
        </w:rPr>
        <w:t>, [1980] 1 R.C.S. 1182;</w:t>
      </w:r>
      <w:r w:rsidR="001779C9" w:rsidRPr="005435E7">
        <w:rPr>
          <w:iCs/>
        </w:rPr>
        <w:t xml:space="preserve"> </w:t>
      </w:r>
      <w:r w:rsidR="00C52425" w:rsidRPr="005435E7">
        <w:rPr>
          <w:i/>
          <w:iCs/>
        </w:rPr>
        <w:t>Banque nationale de Grèce (Canada) c. Katsikonouris</w:t>
      </w:r>
      <w:r w:rsidR="00C52425" w:rsidRPr="005435E7">
        <w:rPr>
          <w:iCs/>
        </w:rPr>
        <w:t xml:space="preserve">, [1990] 2 R.C.S. 1029; </w:t>
      </w:r>
      <w:r w:rsidR="00C52425" w:rsidRPr="005435E7">
        <w:rPr>
          <w:i/>
          <w:iCs/>
          <w:lang w:val="en-US"/>
        </w:rPr>
        <w:t>McDiarmid Lumber Ltd. c. Première Nation de God’s Lake</w:t>
      </w:r>
      <w:r w:rsidR="00C52425" w:rsidRPr="005435E7">
        <w:rPr>
          <w:iCs/>
          <w:lang w:val="en-US"/>
        </w:rPr>
        <w:t xml:space="preserve">, </w:t>
      </w:r>
      <w:r w:rsidR="00C52425" w:rsidRPr="005435E7">
        <w:rPr>
          <w:iCs/>
        </w:rPr>
        <w:t xml:space="preserve">2006 CSC 58, </w:t>
      </w:r>
      <w:r w:rsidR="00C52425" w:rsidRPr="005435E7">
        <w:rPr>
          <w:iCs/>
          <w:lang w:val="en-US"/>
        </w:rPr>
        <w:t xml:space="preserve">[2006] 2 R.C.S. 846; </w:t>
      </w:r>
      <w:r w:rsidR="00C52425" w:rsidRPr="005435E7">
        <w:rPr>
          <w:i/>
          <w:iCs/>
        </w:rPr>
        <w:t>Placer Dome Canada Ltd. c. Ontario (Ministre des Finances)</w:t>
      </w:r>
      <w:r w:rsidR="00C52425" w:rsidRPr="005435E7">
        <w:rPr>
          <w:iCs/>
        </w:rPr>
        <w:t>, 2006 CSC 20, [2006] 1 R.C.S. 715</w:t>
      </w:r>
      <w:r w:rsidR="00A33106" w:rsidRPr="005435E7">
        <w:rPr>
          <w:iCs/>
        </w:rPr>
        <w:t>.</w:t>
      </w:r>
    </w:p>
    <w:p w:rsidR="00C70507" w:rsidRPr="000D1603" w:rsidRDefault="00C70507" w:rsidP="00C70507">
      <w:pPr>
        <w:pStyle w:val="SCCNormalDoubleSpacing"/>
        <w:widowControl w:val="0"/>
        <w:spacing w:after="720" w:line="240" w:lineRule="auto"/>
      </w:pPr>
      <w:r w:rsidRPr="00872A1A">
        <w:t>Citée par la juge Karakatsanis</w:t>
      </w:r>
    </w:p>
    <w:p w:rsidR="00C70507" w:rsidRPr="00C70507" w:rsidRDefault="00C70507" w:rsidP="00213F87">
      <w:pPr>
        <w:pStyle w:val="SCCNormalDoubleSpacing"/>
        <w:widowControl w:val="0"/>
        <w:spacing w:after="480"/>
        <w:rPr>
          <w:b/>
        </w:rPr>
      </w:pPr>
      <w:r w:rsidRPr="000D1603">
        <w:tab/>
      </w:r>
      <w:r w:rsidRPr="005435E7">
        <w:rPr>
          <w:b/>
        </w:rPr>
        <w:t xml:space="preserve">Arrêts </w:t>
      </w:r>
      <w:r w:rsidR="00B43F4A">
        <w:rPr>
          <w:b/>
        </w:rPr>
        <w:t>examinés</w:t>
      </w:r>
      <w:r w:rsidR="005C7084">
        <w:rPr>
          <w:b/>
        </w:rPr>
        <w:t xml:space="preserve"> </w:t>
      </w:r>
      <w:r w:rsidR="00B43F4A">
        <w:rPr>
          <w:b/>
        </w:rPr>
        <w:t xml:space="preserve">: </w:t>
      </w:r>
      <w:r w:rsidR="00B43F4A" w:rsidRPr="005435E7">
        <w:rPr>
          <w:i/>
        </w:rPr>
        <w:t>First Vancouver Finance c. M.R.N.</w:t>
      </w:r>
      <w:r w:rsidR="00B43F4A" w:rsidRPr="005435E7">
        <w:t xml:space="preserve">, 2002 CSC 49, [2002] 2 R.C.S. 720; </w:t>
      </w:r>
      <w:r w:rsidR="00B43F4A" w:rsidRPr="005435E7">
        <w:rPr>
          <w:i/>
          <w:iCs/>
        </w:rPr>
        <w:t>Banque Royale du Canada c. Sparrow Electric Corp.</w:t>
      </w:r>
      <w:r w:rsidR="00B43F4A" w:rsidRPr="005435E7">
        <w:rPr>
          <w:iCs/>
        </w:rPr>
        <w:t xml:space="preserve">, [1997] 1 R.C.S. 411; </w:t>
      </w:r>
      <w:r w:rsidR="00B43F4A" w:rsidRPr="005435E7">
        <w:rPr>
          <w:i/>
          <w:iCs/>
        </w:rPr>
        <w:t>Century Services Inc. c. Canada (Procureur général)</w:t>
      </w:r>
      <w:r w:rsidR="00B43F4A" w:rsidRPr="005435E7">
        <w:rPr>
          <w:iCs/>
        </w:rPr>
        <w:t xml:space="preserve">, 2010 CSC 60, [2010] 3 R.C.S. 379; </w:t>
      </w:r>
      <w:r w:rsidR="00B43F4A" w:rsidRPr="005435E7">
        <w:rPr>
          <w:i/>
          <w:iCs/>
        </w:rPr>
        <w:t>Québec (Revenu) c. Caisse populaire Desjardins de Montmagny</w:t>
      </w:r>
      <w:r w:rsidR="00B43F4A" w:rsidRPr="005435E7">
        <w:rPr>
          <w:iCs/>
        </w:rPr>
        <w:t xml:space="preserve">, 2009 CSC 49, [2009] 3 R.C.S. 286; </w:t>
      </w:r>
      <w:r w:rsidR="00B43F4A">
        <w:rPr>
          <w:b/>
        </w:rPr>
        <w:t xml:space="preserve">arrêts </w:t>
      </w:r>
      <w:r w:rsidRPr="005435E7">
        <w:rPr>
          <w:b/>
        </w:rPr>
        <w:t>mentionnés :</w:t>
      </w:r>
      <w:r w:rsidRPr="005435E7">
        <w:t xml:space="preserve"> </w:t>
      </w:r>
      <w:r w:rsidRPr="005435E7">
        <w:rPr>
          <w:i/>
          <w:iCs/>
        </w:rPr>
        <w:t>Sun Indalex Finance, LLC c. Syndicat des Métallos</w:t>
      </w:r>
      <w:r w:rsidRPr="005435E7">
        <w:rPr>
          <w:iCs/>
        </w:rPr>
        <w:t xml:space="preserve">, 2013 CSC 6, [2013] 1 R.C.S. 271; </w:t>
      </w:r>
      <w:r w:rsidRPr="005435E7">
        <w:rPr>
          <w:i/>
          <w:iCs/>
        </w:rPr>
        <w:t>Saulnier c. Banque Royale du Canada</w:t>
      </w:r>
      <w:r w:rsidRPr="005435E7">
        <w:rPr>
          <w:iCs/>
        </w:rPr>
        <w:t xml:space="preserve">, 2008 CSC 58, [2008] 3 R.C.S. 166; </w:t>
      </w:r>
      <w:r w:rsidRPr="005435E7">
        <w:rPr>
          <w:i/>
          <w:iCs/>
        </w:rPr>
        <w:t xml:space="preserve">Wotherspoon c. Canadien Pacifique </w:t>
      </w:r>
      <w:r w:rsidRPr="005435E7">
        <w:rPr>
          <w:i/>
          <w:iCs/>
        </w:rPr>
        <w:lastRenderedPageBreak/>
        <w:t>Ltée</w:t>
      </w:r>
      <w:r w:rsidRPr="005435E7">
        <w:rPr>
          <w:iCs/>
        </w:rPr>
        <w:t xml:space="preserve">, [1987] 1 R.C.S. 952; </w:t>
      </w:r>
      <w:r w:rsidRPr="005435E7">
        <w:rPr>
          <w:i/>
          <w:iCs/>
        </w:rPr>
        <w:t>Town of Lunenburg c. Municipality of Lunenburg</w:t>
      </w:r>
      <w:r w:rsidRPr="005435E7">
        <w:rPr>
          <w:iCs/>
        </w:rPr>
        <w:t xml:space="preserve">, [1932] 1 D.L.R. 386; </w:t>
      </w:r>
      <w:r w:rsidRPr="005435E7">
        <w:rPr>
          <w:i/>
          <w:iCs/>
        </w:rPr>
        <w:t>R. c. D.L.W.</w:t>
      </w:r>
      <w:r w:rsidRPr="005435E7">
        <w:rPr>
          <w:iCs/>
        </w:rPr>
        <w:t xml:space="preserve">, 2016 CSC 22, [2016] 1 R.C.S. 402; </w:t>
      </w:r>
      <w:r w:rsidRPr="005435E7">
        <w:rPr>
          <w:i/>
          <w:iCs/>
        </w:rPr>
        <w:t>Canada (Procureur général) c. Caisse populaire d’Amos</w:t>
      </w:r>
      <w:r w:rsidRPr="005435E7">
        <w:rPr>
          <w:iCs/>
        </w:rPr>
        <w:t xml:space="preserve">, 2004 CAF 92, 324 N.R. 31; </w:t>
      </w:r>
      <w:r w:rsidRPr="005435E7">
        <w:rPr>
          <w:i/>
          <w:iCs/>
        </w:rPr>
        <w:t>Guarantee Company of North America c. Royal Bank of Canada</w:t>
      </w:r>
      <w:r w:rsidRPr="005435E7">
        <w:rPr>
          <w:iCs/>
        </w:rPr>
        <w:t xml:space="preserve">, 2019 ONCA 9, 144 O.R. (3d) 225; </w:t>
      </w:r>
      <w:r w:rsidRPr="005435E7">
        <w:rPr>
          <w:i/>
          <w:iCs/>
        </w:rPr>
        <w:t>Colombie</w:t>
      </w:r>
      <w:r w:rsidRPr="005435E7">
        <w:rPr>
          <w:i/>
          <w:iCs/>
        </w:rPr>
        <w:noBreakHyphen/>
        <w:t>Britannique c. Henfrey Samson Belair Ltd.</w:t>
      </w:r>
      <w:r w:rsidRPr="005435E7">
        <w:rPr>
          <w:iCs/>
        </w:rPr>
        <w:t xml:space="preserve">, [1989] 2 R.C.S. 24; </w:t>
      </w:r>
      <w:r w:rsidRPr="005435E7">
        <w:rPr>
          <w:i/>
          <w:iCs/>
        </w:rPr>
        <w:t>Friends of Toronto Public Cemeteries Inc. c. Public Guardian and Trustee</w:t>
      </w:r>
      <w:r w:rsidRPr="005435E7">
        <w:rPr>
          <w:iCs/>
        </w:rPr>
        <w:t xml:space="preserve">, 2020 ONCA 282, 59 E.T.R. (4th) 174; </w:t>
      </w:r>
      <w:r w:rsidRPr="005435E7">
        <w:rPr>
          <w:i/>
          <w:iCs/>
        </w:rPr>
        <w:t>Banque de Nouvelle</w:t>
      </w:r>
      <w:r w:rsidRPr="005435E7">
        <w:rPr>
          <w:i/>
          <w:iCs/>
        </w:rPr>
        <w:noBreakHyphen/>
        <w:t>Écosse c. Thibault</w:t>
      </w:r>
      <w:r w:rsidRPr="005435E7">
        <w:rPr>
          <w:iCs/>
        </w:rPr>
        <w:t xml:space="preserve">, 2004 CSC 29, [2004] 1 R.C.S. 758; </w:t>
      </w:r>
      <w:r w:rsidRPr="005435E7">
        <w:rPr>
          <w:i/>
          <w:iCs/>
        </w:rPr>
        <w:t>Rawluk c. Rawluk</w:t>
      </w:r>
      <w:r w:rsidRPr="005435E7">
        <w:rPr>
          <w:iCs/>
        </w:rPr>
        <w:t xml:space="preserve">, [1990] 1 R.C.S. 70; </w:t>
      </w:r>
      <w:r w:rsidRPr="005435E7">
        <w:rPr>
          <w:i/>
          <w:iCs/>
        </w:rPr>
        <w:t>Foskett c. McKeown</w:t>
      </w:r>
      <w:r w:rsidRPr="005435E7">
        <w:rPr>
          <w:iCs/>
        </w:rPr>
        <w:t xml:space="preserve">, [2001] 1 A.C. 102; </w:t>
      </w:r>
      <w:r w:rsidRPr="005435E7">
        <w:rPr>
          <w:i/>
          <w:iCs/>
        </w:rPr>
        <w:t>9354</w:t>
      </w:r>
      <w:r w:rsidRPr="005435E7">
        <w:rPr>
          <w:i/>
          <w:iCs/>
        </w:rPr>
        <w:noBreakHyphen/>
        <w:t>9186 Québec inc. c. Callidus Capital Corp.</w:t>
      </w:r>
      <w:r w:rsidRPr="005435E7">
        <w:rPr>
          <w:iCs/>
        </w:rPr>
        <w:t>,</w:t>
      </w:r>
      <w:r w:rsidRPr="005435E7">
        <w:rPr>
          <w:i/>
          <w:iCs/>
        </w:rPr>
        <w:t xml:space="preserve"> </w:t>
      </w:r>
      <w:r w:rsidRPr="005435E7">
        <w:rPr>
          <w:iCs/>
        </w:rPr>
        <w:t xml:space="preserve">2020 CSC 10; </w:t>
      </w:r>
      <w:r w:rsidRPr="005435E7">
        <w:rPr>
          <w:i/>
          <w:iCs/>
        </w:rPr>
        <w:t>Elan Corp. c.</w:t>
      </w:r>
      <w:r w:rsidRPr="005435E7">
        <w:rPr>
          <w:iCs/>
        </w:rPr>
        <w:t xml:space="preserve"> </w:t>
      </w:r>
      <w:r w:rsidRPr="005435E7">
        <w:rPr>
          <w:i/>
          <w:iCs/>
        </w:rPr>
        <w:t>Comiskey</w:t>
      </w:r>
      <w:r w:rsidRPr="005435E7">
        <w:rPr>
          <w:iCs/>
        </w:rPr>
        <w:t xml:space="preserve"> (1990), 1 O.R. (3d) 289; </w:t>
      </w:r>
      <w:r w:rsidRPr="005435E7">
        <w:rPr>
          <w:i/>
          <w:iCs/>
        </w:rPr>
        <w:t xml:space="preserve">Metcalfe &amp; Mansfield Alternative Investments II Corp. </w:t>
      </w:r>
      <w:r w:rsidRPr="005435E7">
        <w:rPr>
          <w:i/>
          <w:iCs/>
          <w:lang w:val="en-US"/>
        </w:rPr>
        <w:t>(Re)</w:t>
      </w:r>
      <w:r w:rsidRPr="005435E7">
        <w:rPr>
          <w:iCs/>
          <w:lang w:val="en-US"/>
        </w:rPr>
        <w:t xml:space="preserve">, 2008 ONCA 587, 92 O.R. (3d) 513; </w:t>
      </w:r>
      <w:r w:rsidRPr="005435E7">
        <w:rPr>
          <w:i/>
          <w:iCs/>
        </w:rPr>
        <w:t>Stelco Inc. (Re) </w:t>
      </w:r>
      <w:r w:rsidRPr="005435E7">
        <w:rPr>
          <w:iCs/>
        </w:rPr>
        <w:t xml:space="preserve">(2005), 75 O.R. (3d) 5; </w:t>
      </w:r>
      <w:r w:rsidRPr="005435E7">
        <w:rPr>
          <w:i/>
          <w:iCs/>
        </w:rPr>
        <w:t>U.S. Steel Canada Inc., Re</w:t>
      </w:r>
      <w:r w:rsidRPr="005435E7">
        <w:rPr>
          <w:iCs/>
        </w:rPr>
        <w:t xml:space="preserve">, 2016 ONCA 662, 402 D.L.R. (4th) 450; </w:t>
      </w:r>
      <w:r w:rsidRPr="005435E7">
        <w:rPr>
          <w:i/>
          <w:iCs/>
        </w:rPr>
        <w:t>Husky Oil Operations Ltd. c. Ministre du Revenu national</w:t>
      </w:r>
      <w:r w:rsidRPr="005435E7">
        <w:rPr>
          <w:iCs/>
        </w:rPr>
        <w:t xml:space="preserve">, [1995] 3 R.C.S. 453; </w:t>
      </w:r>
      <w:r w:rsidRPr="005435E7">
        <w:rPr>
          <w:i/>
          <w:iCs/>
        </w:rPr>
        <w:t>Canada (Superintendent of Bankruptcy) c. 407 ETR Concession Co</w:t>
      </w:r>
      <w:r w:rsidR="005B58A6" w:rsidRPr="005435E7">
        <w:rPr>
          <w:i/>
          <w:iCs/>
        </w:rPr>
        <w:t>mpany Ltd</w:t>
      </w:r>
      <w:r w:rsidRPr="005435E7">
        <w:rPr>
          <w:i/>
          <w:iCs/>
        </w:rPr>
        <w:t>.</w:t>
      </w:r>
      <w:r w:rsidRPr="005435E7">
        <w:rPr>
          <w:iCs/>
        </w:rPr>
        <w:t xml:space="preserve">, 2013 ONCA 769, 118 O.R. (3d) 161; </w:t>
      </w:r>
      <w:r w:rsidRPr="005435E7">
        <w:rPr>
          <w:i/>
          <w:iCs/>
        </w:rPr>
        <w:t>Royal Oak Mines Inc., Re</w:t>
      </w:r>
      <w:r w:rsidRPr="005435E7">
        <w:rPr>
          <w:iCs/>
        </w:rPr>
        <w:t xml:space="preserve"> (1999), 7 C.B.R. (4th) 293; </w:t>
      </w:r>
      <w:r w:rsidRPr="005435E7">
        <w:rPr>
          <w:i/>
          <w:iCs/>
        </w:rPr>
        <w:t>Royal Oak Mines Inc., Re</w:t>
      </w:r>
      <w:r w:rsidRPr="005435E7">
        <w:rPr>
          <w:iCs/>
        </w:rPr>
        <w:t xml:space="preserve"> (1999), 6 C.B.R. (4th) 314; </w:t>
      </w:r>
      <w:r w:rsidRPr="005435E7">
        <w:rPr>
          <w:i/>
          <w:iCs/>
        </w:rPr>
        <w:t>Urbancorp Cumberland 2 GP Inc. (Re)</w:t>
      </w:r>
      <w:r w:rsidRPr="005435E7">
        <w:rPr>
          <w:iCs/>
        </w:rPr>
        <w:t xml:space="preserve">, 2020 ONCA 197, 444 D.L.R. (4th) 273; </w:t>
      </w:r>
      <w:r w:rsidRPr="005435E7">
        <w:rPr>
          <w:i/>
        </w:rPr>
        <w:t>Temple City Housing Inc., Re</w:t>
      </w:r>
      <w:r w:rsidRPr="005435E7">
        <w:t>, 2007 ABQB 786, 42 C.B.R. (5th) 274.</w:t>
      </w:r>
    </w:p>
    <w:p w:rsidR="007B7573" w:rsidRPr="004D7D95" w:rsidRDefault="007B7573" w:rsidP="00213F87">
      <w:pPr>
        <w:pStyle w:val="SCCNormalDoubleSpacing"/>
        <w:widowControl w:val="0"/>
        <w:spacing w:after="720" w:line="240" w:lineRule="auto"/>
        <w:rPr>
          <w:lang w:val="fr-CA"/>
        </w:rPr>
      </w:pPr>
      <w:r w:rsidRPr="00C70507">
        <w:rPr>
          <w:lang w:val="fr-CA"/>
        </w:rPr>
        <w:t>Citée par les juges Brown et Rowe</w:t>
      </w:r>
      <w:r w:rsidR="00C70507" w:rsidRPr="00C70507">
        <w:rPr>
          <w:lang w:val="fr-CA"/>
        </w:rPr>
        <w:t xml:space="preserve"> (dis</w:t>
      </w:r>
      <w:r w:rsidR="00C70507">
        <w:rPr>
          <w:lang w:val="fr-CA"/>
        </w:rPr>
        <w:t>s</w:t>
      </w:r>
      <w:r w:rsidR="00C70507" w:rsidRPr="00C70507">
        <w:rPr>
          <w:lang w:val="fr-CA"/>
        </w:rPr>
        <w:t>idents)</w:t>
      </w:r>
    </w:p>
    <w:p w:rsidR="007B7573" w:rsidRPr="00C60483" w:rsidRDefault="007B7573" w:rsidP="00213F87">
      <w:pPr>
        <w:pStyle w:val="SCCNormalDoubleSpacing"/>
        <w:widowControl w:val="0"/>
        <w:spacing w:after="480"/>
        <w:rPr>
          <w:b/>
          <w:lang w:val="fr-CA"/>
        </w:rPr>
      </w:pPr>
      <w:r w:rsidRPr="004D7D95">
        <w:rPr>
          <w:lang w:val="fr-CA"/>
        </w:rPr>
        <w:tab/>
      </w:r>
      <w:r w:rsidR="006B6C50" w:rsidRPr="006B6C50">
        <w:rPr>
          <w:i/>
          <w:iCs/>
          <w:lang w:val="fr-CA"/>
        </w:rPr>
        <w:t>Banque Royale du Canada c. Sparrow Electric Corp.</w:t>
      </w:r>
      <w:r w:rsidR="006B6C50" w:rsidRPr="006B6C50">
        <w:rPr>
          <w:iCs/>
          <w:lang w:val="fr-CA"/>
        </w:rPr>
        <w:t>, [1997] 1 R.C.S. 411</w:t>
      </w:r>
      <w:r w:rsidR="006B6C50">
        <w:rPr>
          <w:iCs/>
          <w:lang w:val="fr-CA"/>
        </w:rPr>
        <w:t xml:space="preserve">; </w:t>
      </w:r>
      <w:r w:rsidR="00721000" w:rsidRPr="00721000">
        <w:rPr>
          <w:i/>
          <w:lang w:val="fr-CA"/>
        </w:rPr>
        <w:t>First Vancouver Finance c. M.R.N.</w:t>
      </w:r>
      <w:r w:rsidR="00721000" w:rsidRPr="00721000">
        <w:rPr>
          <w:lang w:val="fr-CA"/>
        </w:rPr>
        <w:t>, 2002 CSC 49, [2002] 2 R.C.S. 720</w:t>
      </w:r>
      <w:r w:rsidR="00721000">
        <w:rPr>
          <w:lang w:val="fr-CA"/>
        </w:rPr>
        <w:t>;</w:t>
      </w:r>
      <w:r w:rsidR="002A2712">
        <w:rPr>
          <w:lang w:val="fr-CA"/>
        </w:rPr>
        <w:t xml:space="preserve"> </w:t>
      </w:r>
      <w:r w:rsidR="002A2712" w:rsidRPr="0056267B">
        <w:rPr>
          <w:i/>
          <w:iCs/>
          <w:lang w:val="fr-CA"/>
        </w:rPr>
        <w:t xml:space="preserve">Canada </w:t>
      </w:r>
      <w:r w:rsidR="002A2712" w:rsidRPr="00B2747F">
        <w:rPr>
          <w:i/>
          <w:iCs/>
          <w:lang w:val="fr-CA"/>
        </w:rPr>
        <w:lastRenderedPageBreak/>
        <w:t xml:space="preserve">(Procureur général) c. </w:t>
      </w:r>
      <w:r w:rsidR="002A2712" w:rsidRPr="005731AC">
        <w:rPr>
          <w:i/>
          <w:iCs/>
          <w:lang w:val="fr-CA"/>
        </w:rPr>
        <w:t>Caisse populaire d’Amos</w:t>
      </w:r>
      <w:r w:rsidR="002A2712" w:rsidRPr="005731AC">
        <w:rPr>
          <w:iCs/>
          <w:lang w:val="fr-CA"/>
        </w:rPr>
        <w:t>, 2004 CAF 92, 324 N.R. 31;</w:t>
      </w:r>
      <w:r w:rsidR="002A2712" w:rsidRPr="005731AC">
        <w:rPr>
          <w:lang w:val="fr-CA"/>
        </w:rPr>
        <w:t xml:space="preserve"> </w:t>
      </w:r>
      <w:r w:rsidR="00661965" w:rsidRPr="005731AC">
        <w:rPr>
          <w:i/>
          <w:lang w:val="fr-CA"/>
        </w:rPr>
        <w:t xml:space="preserve">Banque de </w:t>
      </w:r>
      <w:r w:rsidR="00213F87">
        <w:rPr>
          <w:i/>
          <w:lang w:val="fr-CA"/>
        </w:rPr>
        <w:t>Nouvelle</w:t>
      </w:r>
      <w:r w:rsidR="00213F87">
        <w:rPr>
          <w:i/>
          <w:lang w:val="fr-CA"/>
        </w:rPr>
        <w:noBreakHyphen/>
      </w:r>
      <w:r w:rsidR="00661965" w:rsidRPr="005731AC">
        <w:rPr>
          <w:i/>
          <w:lang w:val="fr-CA"/>
        </w:rPr>
        <w:t>Écosse c. Thibault</w:t>
      </w:r>
      <w:r w:rsidR="005731AC" w:rsidRPr="005731AC">
        <w:rPr>
          <w:lang w:val="fr-CA"/>
        </w:rPr>
        <w:t xml:space="preserve">, 2004 </w:t>
      </w:r>
      <w:r w:rsidR="00661965" w:rsidRPr="005731AC">
        <w:rPr>
          <w:lang w:val="fr-CA"/>
        </w:rPr>
        <w:t>C</w:t>
      </w:r>
      <w:r w:rsidR="005731AC" w:rsidRPr="005731AC">
        <w:rPr>
          <w:lang w:val="fr-CA"/>
        </w:rPr>
        <w:t>S</w:t>
      </w:r>
      <w:r w:rsidR="00661965" w:rsidRPr="005731AC">
        <w:rPr>
          <w:lang w:val="fr-CA"/>
        </w:rPr>
        <w:t xml:space="preserve">C 29, </w:t>
      </w:r>
      <w:r w:rsidR="005731AC" w:rsidRPr="005731AC">
        <w:rPr>
          <w:lang w:val="fr-CA"/>
        </w:rPr>
        <w:t>[2004] 1 R.C.S</w:t>
      </w:r>
      <w:r w:rsidR="00661965" w:rsidRPr="005731AC">
        <w:rPr>
          <w:lang w:val="fr-CA"/>
        </w:rPr>
        <w:t xml:space="preserve">. 758; </w:t>
      </w:r>
      <w:r w:rsidR="005731AC" w:rsidRPr="005731AC">
        <w:rPr>
          <w:i/>
          <w:lang w:val="fr-CA"/>
        </w:rPr>
        <w:t>R. c</w:t>
      </w:r>
      <w:r w:rsidR="00661965" w:rsidRPr="005731AC">
        <w:rPr>
          <w:i/>
          <w:lang w:val="fr-CA"/>
        </w:rPr>
        <w:t>. Verette</w:t>
      </w:r>
      <w:r w:rsidR="005731AC" w:rsidRPr="005731AC">
        <w:rPr>
          <w:lang w:val="fr-CA"/>
        </w:rPr>
        <w:t>, [1978] 2 R.C.S</w:t>
      </w:r>
      <w:r w:rsidR="00661965" w:rsidRPr="005731AC">
        <w:rPr>
          <w:lang w:val="fr-CA"/>
        </w:rPr>
        <w:t xml:space="preserve">. 838; </w:t>
      </w:r>
      <w:r w:rsidR="00213F87">
        <w:rPr>
          <w:i/>
          <w:lang w:val="fr-CA"/>
        </w:rPr>
        <w:t>Banque Toronto</w:t>
      </w:r>
      <w:r w:rsidR="00213F87">
        <w:rPr>
          <w:i/>
          <w:lang w:val="fr-CA"/>
        </w:rPr>
        <w:noBreakHyphen/>
      </w:r>
      <w:r w:rsidR="00FB0823" w:rsidRPr="005731AC">
        <w:rPr>
          <w:i/>
          <w:lang w:val="fr-CA"/>
        </w:rPr>
        <w:t>Dominion c. Canada</w:t>
      </w:r>
      <w:r w:rsidR="00FB0823" w:rsidRPr="005731AC">
        <w:rPr>
          <w:lang w:val="fr-CA"/>
        </w:rPr>
        <w:t xml:space="preserve">, 2020 CAF 80, [2020] 3 R.C.F. 201; </w:t>
      </w:r>
      <w:r w:rsidR="00A659BE" w:rsidRPr="005731AC">
        <w:rPr>
          <w:i/>
          <w:lang w:val="fr-CA"/>
        </w:rPr>
        <w:t>Century Services Inc. c. Canada (Procureur général)</w:t>
      </w:r>
      <w:r w:rsidR="00A659BE" w:rsidRPr="005731AC">
        <w:rPr>
          <w:lang w:val="fr-CA"/>
        </w:rPr>
        <w:t xml:space="preserve">, 2010 CSC 60, [2010] 3 R.C.S. 379; </w:t>
      </w:r>
      <w:r w:rsidR="00A659BE" w:rsidRPr="005731AC">
        <w:rPr>
          <w:i/>
          <w:lang w:val="fr-CA"/>
        </w:rPr>
        <w:t>Merk c. Association internationale des</w:t>
      </w:r>
      <w:r w:rsidR="00A659BE">
        <w:rPr>
          <w:i/>
          <w:lang w:val="fr-CA"/>
        </w:rPr>
        <w:t xml:space="preserve"> travailleurs en ponts, en fer structural, ornemental et d’armature, section locale 771</w:t>
      </w:r>
      <w:r w:rsidR="00A659BE">
        <w:rPr>
          <w:lang w:val="fr-CA"/>
        </w:rPr>
        <w:t xml:space="preserve">, 2005 CSC 70, [2005] 3 R.C.S. 425; </w:t>
      </w:r>
      <w:r w:rsidR="00E609B1" w:rsidRPr="00E609B1">
        <w:rPr>
          <w:i/>
          <w:lang w:val="fr-CA"/>
        </w:rPr>
        <w:t>Caisse populaire D</w:t>
      </w:r>
      <w:r w:rsidR="00E609B1">
        <w:rPr>
          <w:i/>
          <w:lang w:val="fr-CA"/>
        </w:rPr>
        <w:t>esjardins de l’Est de Drummond c</w:t>
      </w:r>
      <w:r w:rsidR="00E609B1" w:rsidRPr="00E609B1">
        <w:rPr>
          <w:i/>
          <w:lang w:val="fr-CA"/>
        </w:rPr>
        <w:t>. Canada</w:t>
      </w:r>
      <w:r w:rsidR="00E609B1">
        <w:rPr>
          <w:lang w:val="fr-CA"/>
        </w:rPr>
        <w:t>, 2009 CSC 29, [2009] 2 R.C.S.</w:t>
      </w:r>
      <w:r w:rsidR="00E609B1" w:rsidRPr="00E609B1">
        <w:rPr>
          <w:lang w:val="fr-CA"/>
        </w:rPr>
        <w:t xml:space="preserve"> 94;</w:t>
      </w:r>
      <w:r w:rsidR="00E609B1">
        <w:rPr>
          <w:lang w:val="fr-CA"/>
        </w:rPr>
        <w:t xml:space="preserve"> </w:t>
      </w:r>
      <w:r w:rsidR="00E609B1" w:rsidRPr="00E609B1">
        <w:rPr>
          <w:i/>
          <w:lang w:val="fr-CA"/>
        </w:rPr>
        <w:t>DaimlerChrysler Financial Services (Debis) Canada Inc.</w:t>
      </w:r>
      <w:r w:rsidR="00E609B1">
        <w:rPr>
          <w:i/>
          <w:lang w:val="fr-CA"/>
        </w:rPr>
        <w:t xml:space="preserve"> c</w:t>
      </w:r>
      <w:r w:rsidR="00E609B1" w:rsidRPr="00E609B1">
        <w:rPr>
          <w:i/>
          <w:lang w:val="fr-CA"/>
        </w:rPr>
        <w:t>. Mega Pets Ltd.</w:t>
      </w:r>
      <w:r w:rsidR="00E609B1" w:rsidRPr="00E609B1">
        <w:rPr>
          <w:lang w:val="fr-CA"/>
        </w:rPr>
        <w:t xml:space="preserve">, 2002 BCCA 242, 1 B.C.L.R. (4th) 237; </w:t>
      </w:r>
      <w:r w:rsidR="00E609B1" w:rsidRPr="00E609B1">
        <w:rPr>
          <w:i/>
          <w:lang w:val="fr-CA"/>
        </w:rPr>
        <w:t xml:space="preserve">Minister of National Revenue </w:t>
      </w:r>
      <w:r w:rsidR="00E609B1">
        <w:rPr>
          <w:i/>
          <w:lang w:val="fr-CA"/>
        </w:rPr>
        <w:t>c</w:t>
      </w:r>
      <w:r w:rsidR="00E609B1" w:rsidRPr="00E609B1">
        <w:rPr>
          <w:i/>
          <w:lang w:val="fr-CA"/>
        </w:rPr>
        <w:t>. Schwab Construction Ltd.</w:t>
      </w:r>
      <w:r w:rsidR="00E609B1" w:rsidRPr="00E609B1">
        <w:rPr>
          <w:lang w:val="fr-CA"/>
        </w:rPr>
        <w:t>, 2002 SKCA 6, 213 Sask. R. 278;</w:t>
      </w:r>
      <w:r w:rsidR="00884527">
        <w:rPr>
          <w:lang w:val="fr-CA"/>
        </w:rPr>
        <w:t xml:space="preserve"> </w:t>
      </w:r>
      <w:r w:rsidR="00884527" w:rsidRPr="00884527">
        <w:rPr>
          <w:i/>
          <w:lang w:val="fr-CA"/>
        </w:rPr>
        <w:t>Temple City Housing Inc., Re</w:t>
      </w:r>
      <w:r w:rsidR="00884527" w:rsidRPr="00884527">
        <w:rPr>
          <w:lang w:val="fr-CA"/>
        </w:rPr>
        <w:t>, 2007 ABQB 786, 42 C.B.R. (5th) 274;</w:t>
      </w:r>
      <w:r w:rsidR="006D54B3">
        <w:rPr>
          <w:lang w:val="fr-CA"/>
        </w:rPr>
        <w:t xml:space="preserve"> </w:t>
      </w:r>
      <w:r w:rsidR="006D54B3" w:rsidRPr="006D54B3">
        <w:rPr>
          <w:i/>
          <w:lang w:val="fr-CA"/>
        </w:rPr>
        <w:t>9354</w:t>
      </w:r>
      <w:r w:rsidR="006D54B3" w:rsidRPr="006D54B3">
        <w:rPr>
          <w:i/>
          <w:lang w:val="fr-CA"/>
        </w:rPr>
        <w:noBreakHyphen/>
        <w:t>9186 Québec i</w:t>
      </w:r>
      <w:r w:rsidR="006D54B3">
        <w:rPr>
          <w:i/>
          <w:lang w:val="fr-CA"/>
        </w:rPr>
        <w:t>nc. c</w:t>
      </w:r>
      <w:r w:rsidR="006D54B3" w:rsidRPr="006D54B3">
        <w:rPr>
          <w:i/>
          <w:lang w:val="fr-CA"/>
        </w:rPr>
        <w:t>. Callidus Capital Corp.</w:t>
      </w:r>
      <w:r w:rsidR="006D54B3" w:rsidRPr="006D54B3">
        <w:rPr>
          <w:lang w:val="fr-CA"/>
        </w:rPr>
        <w:t>,</w:t>
      </w:r>
      <w:r w:rsidR="006D54B3" w:rsidRPr="006D54B3">
        <w:rPr>
          <w:i/>
          <w:lang w:val="fr-CA"/>
        </w:rPr>
        <w:t xml:space="preserve"> </w:t>
      </w:r>
      <w:r w:rsidR="006D54B3">
        <w:rPr>
          <w:lang w:val="fr-CA"/>
        </w:rPr>
        <w:t>2020 CSC</w:t>
      </w:r>
      <w:r w:rsidR="006D54B3" w:rsidRPr="006D54B3">
        <w:rPr>
          <w:lang w:val="fr-CA"/>
        </w:rPr>
        <w:t xml:space="preserve"> 10;</w:t>
      </w:r>
      <w:r w:rsidR="006D54B3">
        <w:rPr>
          <w:lang w:val="fr-CA"/>
        </w:rPr>
        <w:t xml:space="preserve"> </w:t>
      </w:r>
      <w:r w:rsidR="006D54B3" w:rsidRPr="006D54B3">
        <w:rPr>
          <w:i/>
          <w:iCs/>
          <w:lang w:val="fr-CA"/>
        </w:rPr>
        <w:t xml:space="preserve">Stelco Inc. </w:t>
      </w:r>
      <w:r w:rsidR="006D54B3" w:rsidRPr="00CF2E62">
        <w:rPr>
          <w:i/>
          <w:iCs/>
          <w:lang w:val="fr-CA"/>
        </w:rPr>
        <w:t>(Re) </w:t>
      </w:r>
      <w:r w:rsidR="006D54B3" w:rsidRPr="00CF2E62">
        <w:rPr>
          <w:lang w:val="fr-CA"/>
        </w:rPr>
        <w:t xml:space="preserve">(2005), 75 O.R. (3d) 5; </w:t>
      </w:r>
      <w:r w:rsidR="00213F87">
        <w:rPr>
          <w:i/>
          <w:iCs/>
          <w:lang w:val="fr-CA"/>
        </w:rPr>
        <w:t>Colombie</w:t>
      </w:r>
      <w:r w:rsidR="00213F87">
        <w:rPr>
          <w:i/>
          <w:iCs/>
          <w:lang w:val="fr-CA"/>
        </w:rPr>
        <w:noBreakHyphen/>
      </w:r>
      <w:r w:rsidR="003A1009" w:rsidRPr="00CF2E62">
        <w:rPr>
          <w:i/>
          <w:iCs/>
          <w:lang w:val="fr-CA"/>
        </w:rPr>
        <w:t>Britannique c. Henfrey Samson Belair Ltd.</w:t>
      </w:r>
      <w:r w:rsidR="003A1009" w:rsidRPr="00CF2E62">
        <w:rPr>
          <w:iCs/>
          <w:lang w:val="fr-CA"/>
        </w:rPr>
        <w:t xml:space="preserve">, [1989] 2 R.C.S. 24; </w:t>
      </w:r>
      <w:r w:rsidR="00D80620" w:rsidRPr="00CF2E62">
        <w:rPr>
          <w:i/>
          <w:iCs/>
          <w:lang w:val="fr-CA"/>
        </w:rPr>
        <w:t>Bristol</w:t>
      </w:r>
      <w:r w:rsidR="00D80620" w:rsidRPr="00CF2E62">
        <w:rPr>
          <w:i/>
          <w:iCs/>
          <w:lang w:val="fr-CA"/>
        </w:rPr>
        <w:noBreakHyphen/>
        <w:t>Myers Squibb Co. c. Canada (Procureur général)</w:t>
      </w:r>
      <w:r w:rsidR="00D80620" w:rsidRPr="00CF2E62">
        <w:rPr>
          <w:iCs/>
          <w:lang w:val="fr-CA"/>
        </w:rPr>
        <w:t>,</w:t>
      </w:r>
      <w:r w:rsidR="00D80620" w:rsidRPr="00CF2E62">
        <w:rPr>
          <w:i/>
          <w:iCs/>
          <w:lang w:val="fr-CA"/>
        </w:rPr>
        <w:t xml:space="preserve"> </w:t>
      </w:r>
      <w:r w:rsidR="00D80620" w:rsidRPr="00CF2E62">
        <w:rPr>
          <w:iCs/>
          <w:lang w:val="fr-CA"/>
        </w:rPr>
        <w:t>2005 CSC 26, [2005] 1 R.C.S. 533;</w:t>
      </w:r>
      <w:r w:rsidR="00CF2E62" w:rsidRPr="00CF2E62">
        <w:rPr>
          <w:iCs/>
          <w:lang w:val="fr-CA"/>
        </w:rPr>
        <w:t xml:space="preserve"> </w:t>
      </w:r>
      <w:r w:rsidR="00CF2E62" w:rsidRPr="00CF2E62">
        <w:rPr>
          <w:i/>
          <w:iCs/>
          <w:lang w:val="fr-CA"/>
        </w:rPr>
        <w:t>Baxter Student Hou</w:t>
      </w:r>
      <w:r w:rsidR="00213F87">
        <w:rPr>
          <w:i/>
          <w:iCs/>
          <w:lang w:val="fr-CA"/>
        </w:rPr>
        <w:t>sing Ltd. c. College Housing Co</w:t>
      </w:r>
      <w:r w:rsidR="00213F87">
        <w:rPr>
          <w:i/>
          <w:iCs/>
          <w:lang w:val="fr-CA"/>
        </w:rPr>
        <w:noBreakHyphen/>
      </w:r>
      <w:r w:rsidR="00CF2E62" w:rsidRPr="00CF2E62">
        <w:rPr>
          <w:i/>
          <w:iCs/>
          <w:lang w:val="fr-CA"/>
        </w:rPr>
        <w:t>operative Ltd.</w:t>
      </w:r>
      <w:r w:rsidR="00CF2E62" w:rsidRPr="00CF2E62">
        <w:rPr>
          <w:iCs/>
          <w:lang w:val="fr-CA"/>
        </w:rPr>
        <w:t xml:space="preserve">, [1976] 2 R.C.S. 475; </w:t>
      </w:r>
      <w:r w:rsidR="00CF2E62" w:rsidRPr="00CF2E62">
        <w:rPr>
          <w:i/>
          <w:iCs/>
          <w:lang w:val="fr-CA"/>
        </w:rPr>
        <w:t>R. c. Caron</w:t>
      </w:r>
      <w:r w:rsidR="00CF2E62" w:rsidRPr="00CF2E62">
        <w:rPr>
          <w:iCs/>
          <w:lang w:val="fr-CA"/>
        </w:rPr>
        <w:t>,</w:t>
      </w:r>
      <w:r w:rsidR="00CF2E62" w:rsidRPr="00CF2E62">
        <w:rPr>
          <w:i/>
          <w:iCs/>
          <w:lang w:val="fr-CA"/>
        </w:rPr>
        <w:t xml:space="preserve"> </w:t>
      </w:r>
      <w:r w:rsidR="00CF2E62" w:rsidRPr="00CF2E62">
        <w:rPr>
          <w:iCs/>
          <w:lang w:val="fr-CA"/>
        </w:rPr>
        <w:t xml:space="preserve">2011 CSC 5, [2011] 1 R.C.S. 78; </w:t>
      </w:r>
      <w:r w:rsidR="00CF2E62">
        <w:rPr>
          <w:i/>
          <w:iCs/>
          <w:lang w:val="fr-CA"/>
        </w:rPr>
        <w:t>Lévis (Ville) c. Fraternité des policiers de Lévis Inc.</w:t>
      </w:r>
      <w:r w:rsidR="000F40E2">
        <w:rPr>
          <w:iCs/>
          <w:lang w:val="fr-CA"/>
        </w:rPr>
        <w:t xml:space="preserve">, 2007 CSC 14, [2007] 1 R.C.S. 591; </w:t>
      </w:r>
      <w:r w:rsidR="0038125F" w:rsidRPr="0038125F">
        <w:rPr>
          <w:i/>
          <w:iCs/>
          <w:lang w:val="fr-CA"/>
        </w:rPr>
        <w:t xml:space="preserve">Elan Corp. </w:t>
      </w:r>
      <w:r w:rsidR="0038125F">
        <w:rPr>
          <w:i/>
          <w:iCs/>
          <w:lang w:val="fr-CA"/>
        </w:rPr>
        <w:t>c</w:t>
      </w:r>
      <w:r w:rsidR="0038125F" w:rsidRPr="0038125F">
        <w:rPr>
          <w:i/>
          <w:iCs/>
          <w:lang w:val="fr-CA"/>
        </w:rPr>
        <w:t>.</w:t>
      </w:r>
      <w:r w:rsidR="0038125F" w:rsidRPr="0038125F">
        <w:rPr>
          <w:iCs/>
          <w:lang w:val="fr-CA"/>
        </w:rPr>
        <w:t xml:space="preserve"> </w:t>
      </w:r>
      <w:r w:rsidR="0038125F" w:rsidRPr="0038125F">
        <w:rPr>
          <w:i/>
          <w:iCs/>
          <w:lang w:val="fr-CA"/>
        </w:rPr>
        <w:t>Comiskey</w:t>
      </w:r>
      <w:r w:rsidR="0038125F" w:rsidRPr="0038125F">
        <w:rPr>
          <w:iCs/>
          <w:lang w:val="fr-CA"/>
        </w:rPr>
        <w:t xml:space="preserve"> </w:t>
      </w:r>
      <w:r w:rsidR="00C60483">
        <w:rPr>
          <w:iCs/>
          <w:lang w:val="fr-CA"/>
        </w:rPr>
        <w:t xml:space="preserve">(1990), 1 O.R. (3d) 289; </w:t>
      </w:r>
      <w:r w:rsidR="00C60483">
        <w:rPr>
          <w:i/>
          <w:iCs/>
          <w:lang w:val="fr-CA"/>
        </w:rPr>
        <w:t>R. c</w:t>
      </w:r>
      <w:r w:rsidR="00C60483" w:rsidRPr="00C60483">
        <w:rPr>
          <w:i/>
          <w:iCs/>
          <w:lang w:val="fr-CA"/>
        </w:rPr>
        <w:t>. McIntosh</w:t>
      </w:r>
      <w:r w:rsidR="00C60483">
        <w:rPr>
          <w:iCs/>
          <w:lang w:val="fr-CA"/>
        </w:rPr>
        <w:t>, [1995] 1 R.C.S.</w:t>
      </w:r>
      <w:r w:rsidR="00C60483" w:rsidRPr="00C60483">
        <w:rPr>
          <w:iCs/>
          <w:lang w:val="fr-CA"/>
        </w:rPr>
        <w:t xml:space="preserve"> 686</w:t>
      </w:r>
      <w:r w:rsidR="00C60483">
        <w:rPr>
          <w:iCs/>
          <w:lang w:val="fr-CA"/>
        </w:rPr>
        <w:t>.</w:t>
      </w:r>
    </w:p>
    <w:p w:rsidR="007B7573" w:rsidRPr="004D7D95" w:rsidRDefault="007B7573" w:rsidP="00213F87">
      <w:pPr>
        <w:pStyle w:val="SCCNormalDoubleSpacing"/>
        <w:widowControl w:val="0"/>
        <w:spacing w:after="720" w:line="240" w:lineRule="auto"/>
        <w:rPr>
          <w:lang w:val="fr-CA"/>
        </w:rPr>
      </w:pPr>
      <w:r w:rsidRPr="00C70507">
        <w:rPr>
          <w:lang w:val="fr-CA"/>
        </w:rPr>
        <w:t>Citée par le juge Moldaver</w:t>
      </w:r>
      <w:r w:rsidR="00C70507" w:rsidRPr="00C70507">
        <w:rPr>
          <w:lang w:val="fr-CA"/>
        </w:rPr>
        <w:t xml:space="preserve"> (dissident)</w:t>
      </w:r>
    </w:p>
    <w:p w:rsidR="007B7573" w:rsidRPr="004D7D95" w:rsidRDefault="007B7573" w:rsidP="00213F87">
      <w:pPr>
        <w:pStyle w:val="SCCNormalDoubleSpacing"/>
        <w:widowControl w:val="0"/>
        <w:spacing w:after="480"/>
        <w:rPr>
          <w:b/>
          <w:lang w:val="fr-CA"/>
        </w:rPr>
      </w:pPr>
      <w:r w:rsidRPr="004D7D95">
        <w:rPr>
          <w:lang w:val="fr-CA"/>
        </w:rPr>
        <w:tab/>
      </w:r>
      <w:r w:rsidR="007D44C0" w:rsidRPr="007D44C0">
        <w:rPr>
          <w:i/>
          <w:lang w:val="fr-CA"/>
        </w:rPr>
        <w:t>9354</w:t>
      </w:r>
      <w:r w:rsidR="007D44C0" w:rsidRPr="007D44C0">
        <w:rPr>
          <w:i/>
          <w:lang w:val="fr-CA"/>
        </w:rPr>
        <w:noBreakHyphen/>
      </w:r>
      <w:r w:rsidR="007D44C0">
        <w:rPr>
          <w:i/>
          <w:lang w:val="fr-CA"/>
        </w:rPr>
        <w:t>9186 Québec inc. c</w:t>
      </w:r>
      <w:r w:rsidR="007D44C0" w:rsidRPr="007D44C0">
        <w:rPr>
          <w:i/>
          <w:lang w:val="fr-CA"/>
        </w:rPr>
        <w:t>. Callidus Capital Corp.</w:t>
      </w:r>
      <w:r w:rsidR="007D44C0">
        <w:rPr>
          <w:lang w:val="fr-CA"/>
        </w:rPr>
        <w:t>, 2020 CSC</w:t>
      </w:r>
      <w:r w:rsidR="007D44C0" w:rsidRPr="007D44C0">
        <w:rPr>
          <w:lang w:val="fr-CA"/>
        </w:rPr>
        <w:t xml:space="preserve"> 10; </w:t>
      </w:r>
      <w:r w:rsidR="007D44C0" w:rsidRPr="007D44C0">
        <w:rPr>
          <w:i/>
          <w:lang w:val="fr-CA"/>
        </w:rPr>
        <w:t>Stelco Inc. (Re)</w:t>
      </w:r>
      <w:r w:rsidR="007D44C0" w:rsidRPr="007D44C0">
        <w:rPr>
          <w:lang w:val="fr-CA"/>
        </w:rPr>
        <w:t xml:space="preserve"> (2005), 75 O.R. (3d) 5</w:t>
      </w:r>
      <w:r w:rsidR="007D44C0">
        <w:rPr>
          <w:lang w:val="fr-CA"/>
        </w:rPr>
        <w:t>.</w:t>
      </w:r>
    </w:p>
    <w:p w:rsidR="004D7D95" w:rsidRPr="004D7D95" w:rsidRDefault="004D7D95" w:rsidP="00213F87">
      <w:pPr>
        <w:pStyle w:val="SCCNormalDoubleSpacing"/>
        <w:spacing w:after="720" w:line="240" w:lineRule="auto"/>
        <w:rPr>
          <w:b/>
          <w:lang w:val="fr-CA"/>
        </w:rPr>
      </w:pPr>
      <w:r w:rsidRPr="004D7D95">
        <w:rPr>
          <w:b/>
          <w:lang w:val="fr-CA"/>
        </w:rPr>
        <w:lastRenderedPageBreak/>
        <w:t>Lois et règlements cités</w:t>
      </w:r>
    </w:p>
    <w:p w:rsidR="00A60610" w:rsidRPr="00A60610" w:rsidRDefault="00A60610" w:rsidP="00213F87">
      <w:pPr>
        <w:pStyle w:val="SCCNormalDoubleSpacing"/>
        <w:spacing w:after="240" w:line="240" w:lineRule="auto"/>
        <w:ind w:left="540" w:hanging="540"/>
        <w:rPr>
          <w:lang w:val="fr-CA"/>
        </w:rPr>
      </w:pPr>
      <w:r>
        <w:rPr>
          <w:i/>
          <w:lang w:val="fr-CA"/>
        </w:rPr>
        <w:t>Code civil du Québec</w:t>
      </w:r>
      <w:r w:rsidR="00635AFF">
        <w:rPr>
          <w:lang w:val="fr-CA"/>
        </w:rPr>
        <w:t>, art. 1260, 1261, 1278</w:t>
      </w:r>
      <w:r w:rsidR="00C52425">
        <w:rPr>
          <w:lang w:val="fr-CA"/>
        </w:rPr>
        <w:t>, 1306, 1313</w:t>
      </w:r>
      <w:r>
        <w:rPr>
          <w:lang w:val="fr-CA"/>
        </w:rPr>
        <w:t>.</w:t>
      </w:r>
    </w:p>
    <w:p w:rsidR="006B6C50" w:rsidRDefault="00A079A6" w:rsidP="00213F87">
      <w:pPr>
        <w:pStyle w:val="SCCNormalDoubleSpacing"/>
        <w:spacing w:after="240" w:line="240" w:lineRule="auto"/>
        <w:ind w:left="540" w:hanging="540"/>
        <w:rPr>
          <w:lang w:val="fr-CA"/>
        </w:rPr>
      </w:pPr>
      <w:r>
        <w:rPr>
          <w:i/>
          <w:lang w:val="fr-CA"/>
        </w:rPr>
        <w:t>Loi d’interprétation</w:t>
      </w:r>
      <w:r>
        <w:rPr>
          <w:lang w:val="fr-CA"/>
        </w:rPr>
        <w:t>, L.R.C. 1985, c. I</w:t>
      </w:r>
      <w:r>
        <w:rPr>
          <w:lang w:val="fr-CA"/>
        </w:rPr>
        <w:noBreakHyphen/>
        <w:t>21, art. 8.1, 8.2.</w:t>
      </w:r>
    </w:p>
    <w:p w:rsidR="006B6C50" w:rsidRPr="00AE137B" w:rsidRDefault="006B6C50" w:rsidP="00213F87">
      <w:pPr>
        <w:pStyle w:val="SCCNormalDoubleSpacing"/>
        <w:spacing w:after="240" w:line="240" w:lineRule="auto"/>
        <w:ind w:left="540" w:hanging="540"/>
        <w:rPr>
          <w:lang w:val="fr-CA"/>
        </w:rPr>
      </w:pPr>
      <w:r w:rsidRPr="00AE137B">
        <w:rPr>
          <w:i/>
          <w:lang w:val="fr-CA"/>
        </w:rPr>
        <w:t>Loi de l’impôt de guerre sur le revenu</w:t>
      </w:r>
      <w:r w:rsidR="00867BBE">
        <w:rPr>
          <w:lang w:val="fr-CA"/>
        </w:rPr>
        <w:t>, S.R.C.</w:t>
      </w:r>
      <w:r w:rsidR="00AE137B">
        <w:rPr>
          <w:lang w:val="fr-CA"/>
        </w:rPr>
        <w:t xml:space="preserve"> 1927, c. 97 </w:t>
      </w:r>
      <w:r w:rsidR="00AE137B" w:rsidRPr="00AE137B">
        <w:rPr>
          <w:lang w:val="fr-CA"/>
        </w:rPr>
        <w:t>[</w:t>
      </w:r>
      <w:r w:rsidR="00AE137B">
        <w:rPr>
          <w:lang w:val="fr-CA"/>
        </w:rPr>
        <w:t>auparavant</w:t>
      </w:r>
      <w:r w:rsidR="00AE137B" w:rsidRPr="00AE137B">
        <w:rPr>
          <w:lang w:val="fr-CA"/>
        </w:rPr>
        <w:t xml:space="preserve"> S.C. 1917, c. 28]</w:t>
      </w:r>
      <w:r w:rsidR="00AE137B">
        <w:rPr>
          <w:lang w:val="fr-CA"/>
        </w:rPr>
        <w:t>, art</w:t>
      </w:r>
      <w:r w:rsidR="00AE137B" w:rsidRPr="00AE137B">
        <w:rPr>
          <w:lang w:val="fr-CA"/>
        </w:rPr>
        <w:t>. 92(6), (7) [</w:t>
      </w:r>
      <w:r w:rsidR="00AE137B">
        <w:rPr>
          <w:lang w:val="fr-CA"/>
        </w:rPr>
        <w:t>aj</w:t>
      </w:r>
      <w:r w:rsidR="00867BBE">
        <w:rPr>
          <w:lang w:val="fr-CA"/>
        </w:rPr>
        <w:t>. </w:t>
      </w:r>
      <w:r w:rsidR="00AE137B" w:rsidRPr="00AE137B">
        <w:rPr>
          <w:lang w:val="fr-CA"/>
        </w:rPr>
        <w:t>1942</w:t>
      </w:r>
      <w:r w:rsidR="00AE137B" w:rsidRPr="00AE137B">
        <w:rPr>
          <w:lang w:val="fr-CA"/>
        </w:rPr>
        <w:noBreakHyphen/>
      </w:r>
      <w:r w:rsidR="00867BBE">
        <w:rPr>
          <w:lang w:val="fr-CA"/>
        </w:rPr>
        <w:t>19</w:t>
      </w:r>
      <w:r w:rsidR="00AE137B" w:rsidRPr="00AE137B">
        <w:rPr>
          <w:lang w:val="fr-CA"/>
        </w:rPr>
        <w:t>43, c. </w:t>
      </w:r>
      <w:r w:rsidR="00AE137B">
        <w:rPr>
          <w:lang w:val="fr-CA"/>
        </w:rPr>
        <w:t>28, art</w:t>
      </w:r>
      <w:r w:rsidR="00AE137B" w:rsidRPr="00AE137B">
        <w:rPr>
          <w:lang w:val="fr-CA"/>
        </w:rPr>
        <w:t>. 31]</w:t>
      </w:r>
      <w:r w:rsidR="00394540" w:rsidRPr="00AE137B">
        <w:rPr>
          <w:lang w:val="fr-CA"/>
        </w:rPr>
        <w:t>.</w:t>
      </w:r>
    </w:p>
    <w:p w:rsidR="00C36BF4" w:rsidRPr="00AE137B" w:rsidRDefault="00C36BF4" w:rsidP="00213F87">
      <w:pPr>
        <w:pStyle w:val="SCCNormalDoubleSpacing"/>
        <w:spacing w:after="240" w:line="240" w:lineRule="auto"/>
        <w:ind w:left="540" w:hanging="540"/>
        <w:rPr>
          <w:lang w:val="fr-CA"/>
        </w:rPr>
      </w:pPr>
      <w:r w:rsidRPr="00AE137B">
        <w:rPr>
          <w:i/>
          <w:lang w:val="fr-CA"/>
        </w:rPr>
        <w:t>Loi de l’impôt sur le revenu</w:t>
      </w:r>
      <w:r w:rsidRPr="00AE137B">
        <w:rPr>
          <w:lang w:val="fr-CA"/>
        </w:rPr>
        <w:t>, L.R.C. 1985, c. 1 (5</w:t>
      </w:r>
      <w:r w:rsidRPr="00AE137B">
        <w:rPr>
          <w:vertAlign w:val="superscript"/>
          <w:lang w:val="fr-CA"/>
        </w:rPr>
        <w:t>e</w:t>
      </w:r>
      <w:r w:rsidRPr="00AE137B">
        <w:rPr>
          <w:lang w:val="fr-CA"/>
        </w:rPr>
        <w:t xml:space="preserve"> suppl.), art. </w:t>
      </w:r>
      <w:r w:rsidR="00292D3F" w:rsidRPr="00AE137B">
        <w:rPr>
          <w:lang w:val="fr-CA"/>
        </w:rPr>
        <w:t xml:space="preserve">18(5) « garantie », </w:t>
      </w:r>
      <w:r w:rsidR="00920460" w:rsidRPr="00AE137B">
        <w:rPr>
          <w:lang w:val="fr-CA"/>
        </w:rPr>
        <w:t xml:space="preserve">116, </w:t>
      </w:r>
      <w:r w:rsidR="00032626" w:rsidRPr="00AE137B">
        <w:rPr>
          <w:lang w:val="fr-CA"/>
        </w:rPr>
        <w:t>153(1),</w:t>
      </w:r>
      <w:r w:rsidR="00920460" w:rsidRPr="00AE137B">
        <w:rPr>
          <w:lang w:val="fr-CA"/>
        </w:rPr>
        <w:t xml:space="preserve"> partie XII.5, partie XIII,</w:t>
      </w:r>
      <w:r w:rsidR="00032626" w:rsidRPr="00AE137B">
        <w:rPr>
          <w:lang w:val="fr-CA"/>
        </w:rPr>
        <w:t xml:space="preserve"> </w:t>
      </w:r>
      <w:r w:rsidR="000E2B01" w:rsidRPr="00AE137B">
        <w:rPr>
          <w:lang w:val="fr-CA"/>
        </w:rPr>
        <w:t xml:space="preserve">222, 223(1) à (3), (5), (6), </w:t>
      </w:r>
      <w:r w:rsidR="008A3CE6" w:rsidRPr="00AE137B">
        <w:rPr>
          <w:lang w:val="fr-CA"/>
        </w:rPr>
        <w:t>224</w:t>
      </w:r>
      <w:r w:rsidR="000E2B01" w:rsidRPr="00AE137B">
        <w:rPr>
          <w:lang w:val="fr-CA"/>
        </w:rPr>
        <w:t xml:space="preserve">(1), </w:t>
      </w:r>
      <w:r w:rsidR="00920460" w:rsidRPr="00AE137B">
        <w:rPr>
          <w:lang w:val="fr-CA"/>
        </w:rPr>
        <w:t xml:space="preserve">(1.2), </w:t>
      </w:r>
      <w:r w:rsidR="008A3CE6" w:rsidRPr="00AE137B">
        <w:rPr>
          <w:lang w:val="fr-CA"/>
        </w:rPr>
        <w:t>(1.3)</w:t>
      </w:r>
      <w:r w:rsidR="00B420E8" w:rsidRPr="00AE137B">
        <w:rPr>
          <w:lang w:val="fr-CA"/>
        </w:rPr>
        <w:t xml:space="preserve"> « créancier garanti », </w:t>
      </w:r>
      <w:r w:rsidR="008A3CE6" w:rsidRPr="00AE137B">
        <w:rPr>
          <w:lang w:val="fr-CA"/>
        </w:rPr>
        <w:t xml:space="preserve">« garantie », </w:t>
      </w:r>
      <w:r w:rsidRPr="00AE137B">
        <w:rPr>
          <w:lang w:val="fr-CA"/>
        </w:rPr>
        <w:t>227</w:t>
      </w:r>
      <w:r w:rsidR="00A12EB4" w:rsidRPr="00AE137B">
        <w:rPr>
          <w:lang w:val="fr-CA"/>
        </w:rPr>
        <w:t xml:space="preserve">(4), </w:t>
      </w:r>
      <w:r w:rsidRPr="00AE137B">
        <w:rPr>
          <w:lang w:val="fr-CA"/>
        </w:rPr>
        <w:t>(4.1)</w:t>
      </w:r>
      <w:r w:rsidR="00032626" w:rsidRPr="00AE137B">
        <w:rPr>
          <w:lang w:val="fr-CA"/>
        </w:rPr>
        <w:t>,</w:t>
      </w:r>
      <w:r w:rsidR="00C471F5" w:rsidRPr="00AE137B">
        <w:rPr>
          <w:lang w:val="fr-CA"/>
        </w:rPr>
        <w:t xml:space="preserve"> (4.2),</w:t>
      </w:r>
      <w:r w:rsidR="00543C59" w:rsidRPr="00AE137B">
        <w:rPr>
          <w:lang w:val="fr-CA"/>
        </w:rPr>
        <w:t xml:space="preserve"> (9), (9.2), (9.3),</w:t>
      </w:r>
      <w:r w:rsidR="00032626" w:rsidRPr="00AE137B">
        <w:rPr>
          <w:lang w:val="fr-CA"/>
        </w:rPr>
        <w:t xml:space="preserve"> (9.4)</w:t>
      </w:r>
      <w:r w:rsidR="00543C59" w:rsidRPr="00AE137B">
        <w:rPr>
          <w:lang w:val="fr-CA"/>
        </w:rPr>
        <w:t>, (10.1), (10.2)</w:t>
      </w:r>
      <w:r w:rsidR="00394540" w:rsidRPr="00AE137B">
        <w:rPr>
          <w:lang w:val="fr-CA"/>
        </w:rPr>
        <w:t>.</w:t>
      </w:r>
    </w:p>
    <w:p w:rsidR="00394540" w:rsidRPr="00AE137B" w:rsidRDefault="00213F87" w:rsidP="00213F87">
      <w:pPr>
        <w:pStyle w:val="SCCNormalDoubleSpacing"/>
        <w:spacing w:after="240" w:line="240" w:lineRule="auto"/>
        <w:rPr>
          <w:i/>
          <w:lang w:val="fr-CA"/>
        </w:rPr>
      </w:pPr>
      <w:r>
        <w:rPr>
          <w:i/>
          <w:lang w:val="fr-CA"/>
        </w:rPr>
        <w:t>Loi sur l’assurance</w:t>
      </w:r>
      <w:r>
        <w:rPr>
          <w:i/>
          <w:lang w:val="fr-CA"/>
        </w:rPr>
        <w:noBreakHyphen/>
      </w:r>
      <w:r w:rsidR="00394540" w:rsidRPr="00AE137B">
        <w:rPr>
          <w:i/>
          <w:lang w:val="fr-CA"/>
        </w:rPr>
        <w:t>emploi</w:t>
      </w:r>
      <w:r w:rsidR="00394540" w:rsidRPr="00AE137B">
        <w:rPr>
          <w:lang w:val="fr-CA"/>
        </w:rPr>
        <w:t>, L.C. 1996, c. 23, art. 23(4), 86(2), (2.1).</w:t>
      </w:r>
    </w:p>
    <w:p w:rsidR="00C36BF4" w:rsidRDefault="00C36BF4" w:rsidP="00213F87">
      <w:pPr>
        <w:pStyle w:val="SCCNormalDoubleSpacing"/>
        <w:spacing w:after="240" w:line="240" w:lineRule="auto"/>
        <w:ind w:left="540" w:hanging="540"/>
        <w:rPr>
          <w:lang w:val="fr-CA"/>
        </w:rPr>
      </w:pPr>
      <w:r w:rsidRPr="00AE137B">
        <w:rPr>
          <w:i/>
          <w:lang w:val="fr-CA"/>
        </w:rPr>
        <w:t>Loi sur la faillite et l’insolvabilité</w:t>
      </w:r>
      <w:r w:rsidRPr="00AE137B">
        <w:rPr>
          <w:lang w:val="fr-CA"/>
        </w:rPr>
        <w:t>, L.R.C. 1985, c. B</w:t>
      </w:r>
      <w:r w:rsidRPr="00AE137B">
        <w:rPr>
          <w:lang w:val="fr-CA"/>
        </w:rPr>
        <w:noBreakHyphen/>
        <w:t>3, art. </w:t>
      </w:r>
      <w:r w:rsidR="00B2747F" w:rsidRPr="00AE137B">
        <w:rPr>
          <w:lang w:val="fr-CA"/>
        </w:rPr>
        <w:t xml:space="preserve">43(1), </w:t>
      </w:r>
      <w:r w:rsidRPr="00AE137B">
        <w:rPr>
          <w:lang w:val="fr-CA"/>
        </w:rPr>
        <w:t>50.4(1)</w:t>
      </w:r>
      <w:r w:rsidR="00C7338C" w:rsidRPr="00AE137B">
        <w:rPr>
          <w:lang w:val="fr-CA"/>
        </w:rPr>
        <w:t>, 67</w:t>
      </w:r>
      <w:r w:rsidR="0014362E" w:rsidRPr="00AE137B">
        <w:rPr>
          <w:lang w:val="fr-CA"/>
        </w:rPr>
        <w:t>, 81.1</w:t>
      </w:r>
      <w:r w:rsidR="00C5371C" w:rsidRPr="00AE137B">
        <w:rPr>
          <w:lang w:val="fr-CA"/>
        </w:rPr>
        <w:t>, 81.2</w:t>
      </w:r>
      <w:r w:rsidR="0029299D" w:rsidRPr="00AE137B">
        <w:rPr>
          <w:lang w:val="fr-CA"/>
        </w:rPr>
        <w:t>, 86(3)</w:t>
      </w:r>
      <w:r w:rsidR="00C7338C" w:rsidRPr="00AE137B">
        <w:rPr>
          <w:lang w:val="fr-CA"/>
        </w:rPr>
        <w:t>.</w:t>
      </w:r>
    </w:p>
    <w:p w:rsidR="0029299D" w:rsidRPr="0029299D" w:rsidRDefault="0029299D" w:rsidP="00213F87">
      <w:pPr>
        <w:pStyle w:val="SCCNormalDoubleSpacing"/>
        <w:spacing w:after="240" w:line="240" w:lineRule="auto"/>
        <w:ind w:left="540" w:hanging="540"/>
        <w:rPr>
          <w:lang w:val="fr-CA"/>
        </w:rPr>
      </w:pPr>
      <w:r>
        <w:rPr>
          <w:i/>
          <w:lang w:val="fr-CA"/>
        </w:rPr>
        <w:t>Loi sur la taxe d’accise</w:t>
      </w:r>
      <w:r w:rsidR="00213F87">
        <w:rPr>
          <w:lang w:val="fr-CA"/>
        </w:rPr>
        <w:t>, L.R.C. 1985, c. E</w:t>
      </w:r>
      <w:r w:rsidR="00213F87">
        <w:rPr>
          <w:lang w:val="fr-CA"/>
        </w:rPr>
        <w:noBreakHyphen/>
      </w:r>
      <w:r>
        <w:rPr>
          <w:lang w:val="fr-CA"/>
        </w:rPr>
        <w:t>15, art. 222(3).</w:t>
      </w:r>
    </w:p>
    <w:p w:rsidR="004D7D95" w:rsidRDefault="00575202" w:rsidP="00213F87">
      <w:pPr>
        <w:pStyle w:val="SCCNormalDoubleSpacing"/>
        <w:spacing w:after="240" w:line="240" w:lineRule="auto"/>
        <w:ind w:left="540" w:hanging="540"/>
        <w:rPr>
          <w:lang w:val="fr-CA"/>
        </w:rPr>
      </w:pPr>
      <w:r>
        <w:rPr>
          <w:i/>
          <w:lang w:val="fr-CA"/>
        </w:rPr>
        <w:t>Loi sur les arrangements avec les créanciers des compagnies</w:t>
      </w:r>
      <w:r>
        <w:rPr>
          <w:lang w:val="fr-CA"/>
        </w:rPr>
        <w:t>, L.R.C. 1985, c. C</w:t>
      </w:r>
      <w:r>
        <w:rPr>
          <w:lang w:val="fr-CA"/>
        </w:rPr>
        <w:noBreakHyphen/>
        <w:t>36, art. </w:t>
      </w:r>
      <w:r w:rsidR="009D0403">
        <w:rPr>
          <w:lang w:val="fr-CA"/>
        </w:rPr>
        <w:t xml:space="preserve">2(1) « créancier garanti », </w:t>
      </w:r>
      <w:r w:rsidR="00B2747F">
        <w:rPr>
          <w:lang w:val="fr-CA"/>
        </w:rPr>
        <w:t xml:space="preserve">3(1), </w:t>
      </w:r>
      <w:r w:rsidR="00032626">
        <w:rPr>
          <w:lang w:val="fr-CA"/>
        </w:rPr>
        <w:t>6(3),</w:t>
      </w:r>
      <w:r w:rsidR="0038125F">
        <w:rPr>
          <w:lang w:val="fr-CA"/>
        </w:rPr>
        <w:t xml:space="preserve"> 10(2)c),</w:t>
      </w:r>
      <w:r w:rsidR="00032626">
        <w:rPr>
          <w:lang w:val="fr-CA"/>
        </w:rPr>
        <w:t xml:space="preserve"> </w:t>
      </w:r>
      <w:r w:rsidR="008A3CE6">
        <w:rPr>
          <w:lang w:val="fr-CA"/>
        </w:rPr>
        <w:t>11,</w:t>
      </w:r>
      <w:r w:rsidR="0038125F">
        <w:rPr>
          <w:lang w:val="fr-CA"/>
        </w:rPr>
        <w:t xml:space="preserve"> 11.09,</w:t>
      </w:r>
      <w:r w:rsidR="008A3CE6">
        <w:rPr>
          <w:lang w:val="fr-CA"/>
        </w:rPr>
        <w:t xml:space="preserve"> 11.2,</w:t>
      </w:r>
      <w:r w:rsidR="00032626">
        <w:rPr>
          <w:lang w:val="fr-CA"/>
        </w:rPr>
        <w:t xml:space="preserve"> 11.4,</w:t>
      </w:r>
      <w:r w:rsidR="008A3CE6">
        <w:rPr>
          <w:lang w:val="fr-CA"/>
        </w:rPr>
        <w:t xml:space="preserve"> 11.51, 11.52, </w:t>
      </w:r>
      <w:r w:rsidR="005D79FA">
        <w:rPr>
          <w:lang w:val="fr-CA"/>
        </w:rPr>
        <w:t>36</w:t>
      </w:r>
      <w:r w:rsidR="00B420E8" w:rsidRPr="005D79FA">
        <w:rPr>
          <w:lang w:val="fr-CA"/>
        </w:rPr>
        <w:t>,</w:t>
      </w:r>
      <w:r w:rsidR="00A33106" w:rsidRPr="005D79FA">
        <w:rPr>
          <w:lang w:val="fr-CA"/>
        </w:rPr>
        <w:t xml:space="preserve"> 37 à 39.</w:t>
      </w:r>
    </w:p>
    <w:p w:rsidR="00685859" w:rsidRDefault="00685859" w:rsidP="00213F87">
      <w:pPr>
        <w:pStyle w:val="SCCNormalDoubleSpacing"/>
        <w:spacing w:after="240" w:line="240" w:lineRule="auto"/>
        <w:ind w:left="540" w:hanging="540"/>
        <w:rPr>
          <w:lang w:val="fr-CA"/>
        </w:rPr>
      </w:pPr>
      <w:r>
        <w:rPr>
          <w:i/>
          <w:lang w:val="fr-CA"/>
        </w:rPr>
        <w:t>Loi sur les liquidations et les restructurations</w:t>
      </w:r>
      <w:r>
        <w:rPr>
          <w:lang w:val="fr-CA"/>
        </w:rPr>
        <w:t>, L.R.C. 1985, c. W</w:t>
      </w:r>
      <w:r>
        <w:rPr>
          <w:lang w:val="fr-CA"/>
        </w:rPr>
        <w:noBreakHyphen/>
        <w:t>11, art. 6(1).</w:t>
      </w:r>
    </w:p>
    <w:p w:rsidR="006B6C50" w:rsidRPr="006B6C50" w:rsidRDefault="006B6C50" w:rsidP="00213F87">
      <w:pPr>
        <w:pStyle w:val="SCCNormalDoubleSpacing"/>
        <w:spacing w:after="240" w:line="240" w:lineRule="auto"/>
        <w:ind w:left="540" w:hanging="540"/>
        <w:rPr>
          <w:lang w:val="fr-CA"/>
        </w:rPr>
      </w:pPr>
      <w:r>
        <w:rPr>
          <w:i/>
          <w:lang w:val="fr-CA"/>
        </w:rPr>
        <w:t>Régime de pensions du Canada</w:t>
      </w:r>
      <w:r>
        <w:rPr>
          <w:lang w:val="fr-CA"/>
        </w:rPr>
        <w:t>, L.R.C. 1985, c. C</w:t>
      </w:r>
      <w:r>
        <w:rPr>
          <w:lang w:val="fr-CA"/>
        </w:rPr>
        <w:noBreakHyphen/>
        <w:t>8, art. 23(3), (4).</w:t>
      </w:r>
    </w:p>
    <w:p w:rsidR="00575202" w:rsidRDefault="00C471F5" w:rsidP="00213F87">
      <w:pPr>
        <w:pStyle w:val="SCCNormalDoubleSpacing"/>
        <w:spacing w:after="240" w:line="240" w:lineRule="auto"/>
        <w:ind w:left="540" w:hanging="540"/>
        <w:rPr>
          <w:lang w:val="fr-CA"/>
        </w:rPr>
      </w:pPr>
      <w:r>
        <w:rPr>
          <w:i/>
          <w:lang w:val="fr-CA"/>
        </w:rPr>
        <w:t>Règlement de l’impôt sur le revenu</w:t>
      </w:r>
      <w:r>
        <w:rPr>
          <w:lang w:val="fr-CA"/>
        </w:rPr>
        <w:t>, C.R.C, c. 945, art. 2201.</w:t>
      </w:r>
    </w:p>
    <w:p w:rsidR="00E6472E" w:rsidRPr="00853337" w:rsidRDefault="00E6472E" w:rsidP="00213F87">
      <w:pPr>
        <w:pStyle w:val="SCCNormalDoubleSpacing"/>
        <w:spacing w:after="720" w:line="240" w:lineRule="auto"/>
        <w:ind w:left="547" w:hanging="547"/>
        <w:rPr>
          <w:lang w:val="fr-CA"/>
        </w:rPr>
      </w:pPr>
      <w:r>
        <w:rPr>
          <w:lang w:val="fr-CA"/>
        </w:rPr>
        <w:t>Résumé de l’étude d’impac</w:t>
      </w:r>
      <w:r w:rsidR="00213F87">
        <w:rPr>
          <w:lang w:val="fr-CA"/>
        </w:rPr>
        <w:t>t de la réglementation, DORS/99</w:t>
      </w:r>
      <w:r w:rsidR="00213F87">
        <w:rPr>
          <w:lang w:val="fr-CA"/>
        </w:rPr>
        <w:noBreakHyphen/>
      </w:r>
      <w:r>
        <w:rPr>
          <w:lang w:val="fr-CA"/>
        </w:rPr>
        <w:t xml:space="preserve">322, </w:t>
      </w:r>
      <w:r w:rsidR="00853337">
        <w:rPr>
          <w:i/>
          <w:lang w:val="fr-CA"/>
        </w:rPr>
        <w:t>Gazette du Canada</w:t>
      </w:r>
      <w:r w:rsidR="00853337">
        <w:rPr>
          <w:lang w:val="fr-CA"/>
        </w:rPr>
        <w:t>, partie II, vol. 133, n</w:t>
      </w:r>
      <w:r w:rsidR="00853337">
        <w:rPr>
          <w:vertAlign w:val="superscript"/>
          <w:lang w:val="fr-CA"/>
        </w:rPr>
        <w:t>o</w:t>
      </w:r>
      <w:r w:rsidR="00213F87">
        <w:rPr>
          <w:lang w:val="fr-CA"/>
        </w:rPr>
        <w:t> 17, 18 août 1999, p. 2041</w:t>
      </w:r>
      <w:r w:rsidR="00213F87">
        <w:rPr>
          <w:lang w:val="fr-CA"/>
        </w:rPr>
        <w:noBreakHyphen/>
      </w:r>
      <w:r w:rsidR="00867BBE">
        <w:rPr>
          <w:lang w:val="fr-CA"/>
        </w:rPr>
        <w:t>20</w:t>
      </w:r>
      <w:r w:rsidR="00853337">
        <w:rPr>
          <w:lang w:val="fr-CA"/>
        </w:rPr>
        <w:t>42.</w:t>
      </w:r>
    </w:p>
    <w:p w:rsidR="004D7D95" w:rsidRPr="009F1E90" w:rsidRDefault="004D7D95" w:rsidP="00213F87">
      <w:pPr>
        <w:pStyle w:val="SCCNormalDoubleSpacing"/>
        <w:spacing w:after="720" w:line="240" w:lineRule="auto"/>
        <w:rPr>
          <w:b/>
          <w:lang w:val="en-US"/>
        </w:rPr>
      </w:pPr>
      <w:r w:rsidRPr="009F1E90">
        <w:rPr>
          <w:b/>
          <w:lang w:val="en-US"/>
        </w:rPr>
        <w:t>Doctrine et autres documents cités</w:t>
      </w:r>
    </w:p>
    <w:p w:rsidR="009F1E90" w:rsidRDefault="009F1E90" w:rsidP="00213F87">
      <w:pPr>
        <w:pStyle w:val="SCCNormalDoubleSpacing"/>
        <w:spacing w:after="240" w:line="240" w:lineRule="auto"/>
        <w:ind w:left="540" w:hanging="540"/>
        <w:rPr>
          <w:lang w:val="en-US"/>
        </w:rPr>
      </w:pPr>
      <w:r w:rsidRPr="009F1E90">
        <w:rPr>
          <w:i/>
        </w:rPr>
        <w:t>Black’s Law Dictionary</w:t>
      </w:r>
      <w:r w:rsidR="001566FA">
        <w:t>, 11th ed.</w:t>
      </w:r>
      <w:r w:rsidR="00EA609B">
        <w:t>,</w:t>
      </w:r>
      <w:r w:rsidR="001566FA">
        <w:t xml:space="preserve"> by Bryan A. Garner</w:t>
      </w:r>
      <w:r w:rsidR="007F0EB8">
        <w:t>,</w:t>
      </w:r>
      <w:r w:rsidRPr="009F1E90">
        <w:t xml:space="preserve"> </w:t>
      </w:r>
      <w:r w:rsidR="007F0EB8">
        <w:t>St. Paul (Minn.),</w:t>
      </w:r>
      <w:r w:rsidR="001566FA">
        <w:t xml:space="preserve"> Thomson Reuters, 2019</w:t>
      </w:r>
      <w:r w:rsidRPr="009F1E90">
        <w:t xml:space="preserve">, </w:t>
      </w:r>
      <w:r w:rsidR="007F0EB8" w:rsidRPr="007F0EB8">
        <w:rPr>
          <w:lang w:val="en-US"/>
        </w:rPr>
        <w:t>« </w:t>
      </w:r>
      <w:r w:rsidRPr="00275182">
        <w:rPr>
          <w:i/>
        </w:rPr>
        <w:t>beneficial owner</w:t>
      </w:r>
      <w:r w:rsidR="007F0EB8" w:rsidRPr="007F0EB8">
        <w:rPr>
          <w:lang w:val="en-US"/>
        </w:rPr>
        <w:t> »</w:t>
      </w:r>
      <w:r w:rsidR="007F0EB8">
        <w:rPr>
          <w:lang w:val="en-US"/>
        </w:rPr>
        <w:t>.</w:t>
      </w:r>
    </w:p>
    <w:p w:rsidR="00DA6BE0" w:rsidRPr="00D003DE" w:rsidRDefault="00DA6BE0" w:rsidP="00213F87">
      <w:pPr>
        <w:pStyle w:val="SCCNormalDoubleSpacing"/>
        <w:spacing w:after="240" w:line="240" w:lineRule="auto"/>
        <w:ind w:left="540" w:hanging="540"/>
        <w:rPr>
          <w:lang w:val="fr-CA"/>
        </w:rPr>
      </w:pPr>
      <w:r w:rsidRPr="00D003DE">
        <w:rPr>
          <w:lang w:val="fr-CA"/>
        </w:rPr>
        <w:t>Brender, Mark D. « </w:t>
      </w:r>
      <w:r w:rsidR="00D003DE" w:rsidRPr="003725A5">
        <w:rPr>
          <w:lang w:val="fr-CA"/>
        </w:rPr>
        <w:t>Propriété effective dans la législation fiscale canadienne : Réforme nécessaire et incidences sur l</w:t>
      </w:r>
      <w:r w:rsidR="00D003DE">
        <w:rPr>
          <w:lang w:val="fr-CA"/>
        </w:rPr>
        <w:t>’</w:t>
      </w:r>
      <w:r w:rsidR="00D003DE" w:rsidRPr="003725A5">
        <w:rPr>
          <w:lang w:val="fr-CA"/>
        </w:rPr>
        <w:t>harmonisation de la législation fédérale avec le droit civil du Québec</w:t>
      </w:r>
      <w:r w:rsidRPr="00D003DE">
        <w:rPr>
          <w:lang w:val="fr-CA"/>
        </w:rPr>
        <w:t xml:space="preserve"> » (2003), 51 </w:t>
      </w:r>
      <w:r w:rsidR="00FF60E1" w:rsidRPr="00D003DE">
        <w:rPr>
          <w:i/>
          <w:lang w:val="fr-CA"/>
        </w:rPr>
        <w:t>Rev. fisc. can.</w:t>
      </w:r>
      <w:r w:rsidR="00D003DE">
        <w:rPr>
          <w:lang w:val="fr-CA"/>
        </w:rPr>
        <w:t xml:space="preserve"> 355</w:t>
      </w:r>
      <w:r w:rsidRPr="00D003DE">
        <w:rPr>
          <w:lang w:val="fr-CA"/>
        </w:rPr>
        <w:t>.</w:t>
      </w:r>
    </w:p>
    <w:p w:rsidR="00DA6BE0" w:rsidRPr="00D003DE" w:rsidRDefault="00DA6BE0" w:rsidP="00213F87">
      <w:pPr>
        <w:pStyle w:val="SCCNormalDoubleSpacing"/>
        <w:spacing w:after="240" w:line="240" w:lineRule="auto"/>
        <w:ind w:left="540" w:hanging="540"/>
        <w:rPr>
          <w:lang w:val="fr-CA"/>
        </w:rPr>
      </w:pPr>
      <w:r w:rsidRPr="00D85DC2">
        <w:rPr>
          <w:lang w:val="fr-CA"/>
        </w:rPr>
        <w:lastRenderedPageBreak/>
        <w:t xml:space="preserve">Brown, Catherine. </w:t>
      </w:r>
      <w:r w:rsidRPr="00D003DE">
        <w:rPr>
          <w:lang w:val="fr-CA"/>
        </w:rPr>
        <w:t>« </w:t>
      </w:r>
      <w:r w:rsidR="00D003DE" w:rsidRPr="00D003DE">
        <w:rPr>
          <w:lang w:val="fr-CA"/>
        </w:rPr>
        <w:t xml:space="preserve">Propriété effective </w:t>
      </w:r>
      <w:r w:rsidR="00D003DE">
        <w:rPr>
          <w:lang w:val="fr-CA"/>
        </w:rPr>
        <w:t>et Loi de l’impôt sur le revenu</w:t>
      </w:r>
      <w:r w:rsidRPr="00D003DE">
        <w:rPr>
          <w:lang w:val="fr-CA"/>
        </w:rPr>
        <w:t xml:space="preserve"> » (2003), 51 </w:t>
      </w:r>
      <w:r w:rsidRPr="00D003DE">
        <w:rPr>
          <w:i/>
          <w:lang w:val="fr-CA"/>
        </w:rPr>
        <w:t>Rev. fisc. can.</w:t>
      </w:r>
      <w:r w:rsidR="00D003DE">
        <w:rPr>
          <w:lang w:val="fr-CA"/>
        </w:rPr>
        <w:t xml:space="preserve"> 454</w:t>
      </w:r>
      <w:r w:rsidRPr="00D003DE">
        <w:rPr>
          <w:lang w:val="fr-CA"/>
        </w:rPr>
        <w:t>.</w:t>
      </w:r>
    </w:p>
    <w:p w:rsidR="000E2B01" w:rsidRPr="000E2B01" w:rsidRDefault="000E2B01" w:rsidP="00213F87">
      <w:pPr>
        <w:pStyle w:val="SCCNormalDoubleSpacing"/>
        <w:spacing w:after="240" w:line="240" w:lineRule="auto"/>
        <w:ind w:left="540" w:hanging="540"/>
        <w:rPr>
          <w:lang w:val="fr-CA"/>
        </w:rPr>
      </w:pPr>
      <w:r>
        <w:rPr>
          <w:lang w:val="fr-CA"/>
        </w:rPr>
        <w:t xml:space="preserve">Canada. Agence du revenu du Canada. </w:t>
      </w:r>
      <w:r>
        <w:rPr>
          <w:i/>
          <w:lang w:val="fr-CA"/>
        </w:rPr>
        <w:t>Politiques de recouvrement de l’impôt</w:t>
      </w:r>
      <w:r>
        <w:rPr>
          <w:lang w:val="fr-CA"/>
        </w:rPr>
        <w:t xml:space="preserve"> (en ligne : </w:t>
      </w:r>
      <w:r w:rsidR="00A86541" w:rsidRPr="00A86541">
        <w:rPr>
          <w:lang w:val="fr-CA"/>
        </w:rPr>
        <w:t>https://www.canada.ca/fr/agence-revenu/services/formulaires-publications/publications/ic98-1/politiques-recouvrement-impot.html</w:t>
      </w:r>
      <w:r>
        <w:rPr>
          <w:lang w:val="fr-CA"/>
        </w:rPr>
        <w:t xml:space="preserve">; version archivée : </w:t>
      </w:r>
      <w:hyperlink r:id="rId9" w:history="1">
        <w:r w:rsidR="00CB34FF" w:rsidRPr="00FE026A">
          <w:rPr>
            <w:rStyle w:val="Hyperlink"/>
            <w:lang w:val="fr-CA"/>
          </w:rPr>
          <w:t>https://www.scc-csc.ca/cso-dce/2021SCC-CSC</w:t>
        </w:r>
        <w:r w:rsidR="00872A1A" w:rsidRPr="00FE026A">
          <w:rPr>
            <w:rStyle w:val="Hyperlink"/>
            <w:lang w:val="fr-CA"/>
          </w:rPr>
          <w:t>30</w:t>
        </w:r>
        <w:r w:rsidR="00CB34FF" w:rsidRPr="00FE026A">
          <w:rPr>
            <w:rStyle w:val="Hyperlink"/>
            <w:lang w:val="fr-CA"/>
          </w:rPr>
          <w:t>_1_fra.pdf</w:t>
        </w:r>
      </w:hyperlink>
      <w:r>
        <w:rPr>
          <w:lang w:val="fr-CA"/>
        </w:rPr>
        <w:t>).</w:t>
      </w:r>
    </w:p>
    <w:p w:rsidR="00EC5295" w:rsidRDefault="00EC5295" w:rsidP="00213F87">
      <w:pPr>
        <w:pStyle w:val="SCCNormalDoubleSpacing"/>
        <w:spacing w:after="240" w:line="240" w:lineRule="auto"/>
        <w:ind w:left="540" w:hanging="540"/>
        <w:rPr>
          <w:lang w:val="fr-CA"/>
        </w:rPr>
      </w:pPr>
      <w:r w:rsidRPr="00DA6BE0">
        <w:rPr>
          <w:lang w:val="fr-CA"/>
        </w:rPr>
        <w:t xml:space="preserve">Canada. </w:t>
      </w:r>
      <w:r w:rsidRPr="006B6C50">
        <w:rPr>
          <w:lang w:val="fr-CA"/>
        </w:rPr>
        <w:t xml:space="preserve">Ministère des Finances. </w:t>
      </w:r>
      <w:r w:rsidRPr="00EC5295">
        <w:rPr>
          <w:i/>
          <w:lang w:val="fr-CA"/>
        </w:rPr>
        <w:t>Retenues à la source non versées et T</w:t>
      </w:r>
      <w:r w:rsidR="00CB34FF">
        <w:rPr>
          <w:i/>
          <w:lang w:val="fr-CA"/>
        </w:rPr>
        <w:t>PS impayée</w:t>
      </w:r>
      <w:r w:rsidR="00CB34FF">
        <w:rPr>
          <w:lang w:val="fr-CA"/>
        </w:rPr>
        <w:t>, Ottawa, 7 avril 1997</w:t>
      </w:r>
      <w:r>
        <w:rPr>
          <w:lang w:val="fr-CA"/>
        </w:rPr>
        <w:t>.</w:t>
      </w:r>
    </w:p>
    <w:p w:rsidR="00DF46B0" w:rsidRPr="00DF46B0" w:rsidRDefault="00DF46B0" w:rsidP="00213F87">
      <w:pPr>
        <w:pStyle w:val="SCCNormalDoubleSpacing"/>
        <w:spacing w:after="240" w:line="240" w:lineRule="auto"/>
        <w:ind w:left="540" w:hanging="540"/>
        <w:rPr>
          <w:lang w:val="en-US"/>
        </w:rPr>
      </w:pPr>
      <w:r w:rsidRPr="00DF46B0">
        <w:t>Cuming, Ronald C. C., Catherine Walsh</w:t>
      </w:r>
      <w:r w:rsidR="00EA609B">
        <w:t>,</w:t>
      </w:r>
      <w:r w:rsidRPr="00DF46B0">
        <w:t xml:space="preserve"> and Roderick J. Wood. </w:t>
      </w:r>
      <w:r w:rsidRPr="00DF46B0">
        <w:rPr>
          <w:i/>
        </w:rPr>
        <w:t>Personal Property Security Law</w:t>
      </w:r>
      <w:r w:rsidRPr="00DF46B0">
        <w:t xml:space="preserve">, 2nd </w:t>
      </w:r>
      <w:r>
        <w:t>ed.,</w:t>
      </w:r>
      <w:r w:rsidRPr="00DF46B0">
        <w:t xml:space="preserve"> </w:t>
      </w:r>
      <w:r>
        <w:t xml:space="preserve">Toronto, </w:t>
      </w:r>
      <w:r w:rsidRPr="00DF46B0">
        <w:t>Irwin Law, 2012</w:t>
      </w:r>
      <w:r>
        <w:t>.</w:t>
      </w:r>
    </w:p>
    <w:p w:rsidR="00BA0217" w:rsidRDefault="00BA0217" w:rsidP="00213F87">
      <w:pPr>
        <w:pStyle w:val="SCCNormalDoubleSpacing"/>
        <w:spacing w:after="240" w:line="240" w:lineRule="auto"/>
        <w:ind w:left="540" w:hanging="540"/>
      </w:pPr>
      <w:r w:rsidRPr="00BA0217">
        <w:rPr>
          <w:lang w:val="en-US"/>
        </w:rPr>
        <w:t>Duggan, Anthony, and Jacob Ziegel. « </w:t>
      </w:r>
      <w:r w:rsidRPr="00BA0217">
        <w:t>Justice Iacobucci and the Canadian Law of Dee</w:t>
      </w:r>
      <w:r>
        <w:t>med Trusts and Chattel Security</w:t>
      </w:r>
      <w:r w:rsidRPr="00BA0217">
        <w:rPr>
          <w:lang w:val="en-US"/>
        </w:rPr>
        <w:t> »</w:t>
      </w:r>
      <w:r w:rsidRPr="00BA0217">
        <w:t xml:space="preserve"> (2007), 57 </w:t>
      </w:r>
      <w:r w:rsidRPr="00BA0217">
        <w:rPr>
          <w:i/>
        </w:rPr>
        <w:t>U.T.L.J.</w:t>
      </w:r>
      <w:r w:rsidRPr="00BA0217">
        <w:t xml:space="preserve"> 227</w:t>
      </w:r>
      <w:r>
        <w:t>.</w:t>
      </w:r>
    </w:p>
    <w:p w:rsidR="00D44CD8" w:rsidRDefault="00D44CD8" w:rsidP="00213F87">
      <w:pPr>
        <w:pStyle w:val="SCCNormalDoubleSpacing"/>
        <w:spacing w:after="240" w:line="240" w:lineRule="auto"/>
        <w:ind w:left="540" w:hanging="540"/>
      </w:pPr>
      <w:r w:rsidRPr="00D44CD8">
        <w:t xml:space="preserve">Gillese, Eileen E. </w:t>
      </w:r>
      <w:r w:rsidRPr="00D44CD8">
        <w:rPr>
          <w:i/>
        </w:rPr>
        <w:t>The Law of Trusts</w:t>
      </w:r>
      <w:r w:rsidRPr="00D44CD8">
        <w:t>, 3rd ed.</w:t>
      </w:r>
      <w:r w:rsidR="005A0576">
        <w:t>,</w:t>
      </w:r>
      <w:r w:rsidRPr="00D44CD8">
        <w:t xml:space="preserve"> Toront</w:t>
      </w:r>
      <w:r w:rsidR="005A0576">
        <w:t>o,</w:t>
      </w:r>
      <w:r w:rsidRPr="00D44CD8">
        <w:t xml:space="preserve"> Irwin Law, 2014</w:t>
      </w:r>
      <w:r>
        <w:t>.</w:t>
      </w:r>
    </w:p>
    <w:p w:rsidR="00275182" w:rsidRDefault="00275182" w:rsidP="00213F87">
      <w:pPr>
        <w:pStyle w:val="SCCNormalDoubleSpacing"/>
        <w:spacing w:after="240" w:line="240" w:lineRule="auto"/>
        <w:ind w:left="540" w:hanging="540"/>
      </w:pPr>
      <w:r w:rsidRPr="00275182">
        <w:t>Grenon, Aline.</w:t>
      </w:r>
      <w:r>
        <w:t xml:space="preserve"> </w:t>
      </w:r>
      <w:r w:rsidRPr="00275182">
        <w:rPr>
          <w:lang w:val="en-US"/>
        </w:rPr>
        <w:t>« </w:t>
      </w:r>
      <w:r w:rsidR="00CC6896">
        <w:t>Common Law and Statutory Trusts </w:t>
      </w:r>
      <w:r w:rsidR="00CC6896" w:rsidRPr="00CC6896">
        <w:rPr>
          <w:lang w:val="en-US"/>
        </w:rPr>
        <w:t>:</w:t>
      </w:r>
      <w:r w:rsidRPr="00275182">
        <w:t xml:space="preserve"> In Search of Missing Links</w:t>
      </w:r>
      <w:r w:rsidRPr="00275182">
        <w:rPr>
          <w:lang w:val="en-US"/>
        </w:rPr>
        <w:t> »</w:t>
      </w:r>
      <w:r w:rsidRPr="00275182">
        <w:t xml:space="preserve"> (1995), 15 </w:t>
      </w:r>
      <w:r w:rsidRPr="00275182">
        <w:rPr>
          <w:i/>
        </w:rPr>
        <w:t>Est. &amp; Tr. J.</w:t>
      </w:r>
      <w:r w:rsidRPr="00275182">
        <w:t xml:space="preserve"> 109</w:t>
      </w:r>
      <w:r w:rsidR="00CC6896">
        <w:t>.</w:t>
      </w:r>
    </w:p>
    <w:p w:rsidR="0038125F" w:rsidRDefault="00D333F4" w:rsidP="00213F87">
      <w:pPr>
        <w:pStyle w:val="SCCNormalDoubleSpacing"/>
        <w:spacing w:after="240" w:line="240" w:lineRule="auto"/>
        <w:ind w:left="540" w:hanging="540"/>
        <w:rPr>
          <w:lang w:val="en-US"/>
        </w:rPr>
      </w:pPr>
      <w:r w:rsidRPr="00D333F4">
        <w:rPr>
          <w:i/>
          <w:lang w:val="en-US"/>
        </w:rPr>
        <w:t>Halsbury’s Laws of Canada — Bankruptcy and Insolvency</w:t>
      </w:r>
      <w:r w:rsidRPr="00D333F4">
        <w:rPr>
          <w:lang w:val="en-US"/>
        </w:rPr>
        <w:t>, 2017 Reissue, contributed by Michael J. Hanlon</w:t>
      </w:r>
      <w:r>
        <w:rPr>
          <w:lang w:val="en-US"/>
        </w:rPr>
        <w:t>,</w:t>
      </w:r>
      <w:r w:rsidRPr="00D333F4">
        <w:rPr>
          <w:lang w:val="en-US"/>
        </w:rPr>
        <w:t xml:space="preserve"> </w:t>
      </w:r>
      <w:r>
        <w:rPr>
          <w:lang w:val="en-US"/>
        </w:rPr>
        <w:t>Toronto,</w:t>
      </w:r>
      <w:r w:rsidRPr="00D333F4">
        <w:rPr>
          <w:lang w:val="en-US"/>
        </w:rPr>
        <w:t xml:space="preserve"> LexisNexis, 2017</w:t>
      </w:r>
      <w:r>
        <w:rPr>
          <w:lang w:val="en-US"/>
        </w:rPr>
        <w:t>.</w:t>
      </w:r>
    </w:p>
    <w:p w:rsidR="00FB7EC2" w:rsidRDefault="00FB7EC2" w:rsidP="00213F87">
      <w:pPr>
        <w:pStyle w:val="SCCNormalDoubleSpacing"/>
        <w:spacing w:after="240" w:line="240" w:lineRule="auto"/>
        <w:ind w:left="540" w:hanging="540"/>
      </w:pPr>
      <w:r>
        <w:rPr>
          <w:lang w:val="en-US"/>
        </w:rPr>
        <w:t>Hanlon, Michael J., Vicki Tickle</w:t>
      </w:r>
      <w:r w:rsidR="00EA609B">
        <w:rPr>
          <w:lang w:val="en-US"/>
        </w:rPr>
        <w:t>,</w:t>
      </w:r>
      <w:r>
        <w:rPr>
          <w:lang w:val="en-US"/>
        </w:rPr>
        <w:t xml:space="preserve"> and Emily Csiszar. </w:t>
      </w:r>
      <w:r w:rsidR="00772E5C" w:rsidRPr="00772E5C">
        <w:rPr>
          <w:lang w:val="en-US"/>
        </w:rPr>
        <w:t>« </w:t>
      </w:r>
      <w:r w:rsidRPr="00FB7EC2">
        <w:t>Conflicting Case Law, Competing Statutes, and the Confounding Priority Battle of the Interim Financing Charge and the Crown’s Dee</w:t>
      </w:r>
      <w:r w:rsidR="00772E5C">
        <w:t>med Trust for Source Deductions</w:t>
      </w:r>
      <w:r w:rsidR="00772E5C" w:rsidRPr="00772E5C">
        <w:rPr>
          <w:lang w:val="en-US"/>
        </w:rPr>
        <w:t> »</w:t>
      </w:r>
      <w:r>
        <w:t xml:space="preserve">, in Janis P. Sarra et al., eds., </w:t>
      </w:r>
      <w:r>
        <w:rPr>
          <w:i/>
        </w:rPr>
        <w:t>Annual Review of Insolvency Law 2018</w:t>
      </w:r>
      <w:r w:rsidR="00772E5C">
        <w:t>,</w:t>
      </w:r>
      <w:r>
        <w:t xml:space="preserve"> </w:t>
      </w:r>
      <w:r w:rsidR="00772E5C">
        <w:t xml:space="preserve">Toronto, </w:t>
      </w:r>
      <w:r>
        <w:t>Thomson Reuters, 2019, 897.</w:t>
      </w:r>
    </w:p>
    <w:p w:rsidR="00931529" w:rsidRPr="00FB7EC2" w:rsidRDefault="00931529" w:rsidP="00213F87">
      <w:pPr>
        <w:pStyle w:val="SCCNormalDoubleSpacing"/>
        <w:spacing w:after="240" w:line="240" w:lineRule="auto"/>
        <w:ind w:left="540" w:hanging="540"/>
        <w:rPr>
          <w:lang w:val="en-US"/>
        </w:rPr>
      </w:pPr>
      <w:r w:rsidRPr="00931529">
        <w:t>Houlden, L. W., G. B. Morawetz</w:t>
      </w:r>
      <w:r w:rsidR="00EA609B">
        <w:t>,</w:t>
      </w:r>
      <w:r w:rsidRPr="00931529">
        <w:t xml:space="preserve"> and Janis Sarra. </w:t>
      </w:r>
      <w:r w:rsidRPr="00931529">
        <w:rPr>
          <w:i/>
        </w:rPr>
        <w:t>Bankruptcy and Insolvency Law of Canada</w:t>
      </w:r>
      <w:r w:rsidRPr="00931529">
        <w:t>, vol. 4, 4th ed. rev.</w:t>
      </w:r>
      <w:r>
        <w:t>,</w:t>
      </w:r>
      <w:r w:rsidRPr="00931529">
        <w:t xml:space="preserve"> T</w:t>
      </w:r>
      <w:r>
        <w:t>oronto,</w:t>
      </w:r>
      <w:r w:rsidR="00213F87">
        <w:t xml:space="preserve"> Thomson Reuters, 2019 (loose</w:t>
      </w:r>
      <w:r w:rsidR="00213F87">
        <w:noBreakHyphen/>
      </w:r>
      <w:r w:rsidRPr="00931529">
        <w:t>leaf updated 2021, release 3)</w:t>
      </w:r>
      <w:r w:rsidR="00394540">
        <w:t>.</w:t>
      </w:r>
    </w:p>
    <w:p w:rsidR="0038125F" w:rsidRDefault="0038125F" w:rsidP="00213F87">
      <w:pPr>
        <w:pStyle w:val="SCCNormalDoubleSpacing"/>
        <w:spacing w:after="240" w:line="240" w:lineRule="auto"/>
        <w:ind w:left="540" w:hanging="540"/>
        <w:rPr>
          <w:lang w:val="en-US"/>
        </w:rPr>
      </w:pPr>
      <w:r w:rsidRPr="00394540">
        <w:rPr>
          <w:lang w:val="en-US"/>
        </w:rPr>
        <w:t xml:space="preserve">Lamer, Francis L. </w:t>
      </w:r>
      <w:r w:rsidRPr="00394540">
        <w:rPr>
          <w:i/>
          <w:lang w:val="en-US"/>
        </w:rPr>
        <w:t>Priority</w:t>
      </w:r>
      <w:r w:rsidRPr="0038125F">
        <w:rPr>
          <w:i/>
          <w:lang w:val="en-US"/>
        </w:rPr>
        <w:t xml:space="preserve"> of Crown Claims in Insolvency</w:t>
      </w:r>
      <w:r>
        <w:rPr>
          <w:lang w:val="en-US"/>
        </w:rPr>
        <w:t>,</w:t>
      </w:r>
      <w:r w:rsidRPr="0038125F">
        <w:rPr>
          <w:lang w:val="en-US"/>
        </w:rPr>
        <w:t xml:space="preserve"> Toronto</w:t>
      </w:r>
      <w:r>
        <w:rPr>
          <w:lang w:val="en-US"/>
        </w:rPr>
        <w:t>,</w:t>
      </w:r>
      <w:r w:rsidRPr="0038125F">
        <w:rPr>
          <w:lang w:val="en-US"/>
        </w:rPr>
        <w:t xml:space="preserve"> Thomson Reuters, 2021</w:t>
      </w:r>
      <w:r w:rsidR="00DB1D7C">
        <w:rPr>
          <w:lang w:val="en-US"/>
        </w:rPr>
        <w:t xml:space="preserve"> (loose</w:t>
      </w:r>
      <w:r w:rsidR="00DB1D7C">
        <w:rPr>
          <w:lang w:val="en-US"/>
        </w:rPr>
        <w:noBreakHyphen/>
      </w:r>
      <w:r w:rsidR="00394540">
        <w:rPr>
          <w:lang w:val="en-US"/>
        </w:rPr>
        <w:t>leaf updated 2021, release 2)</w:t>
      </w:r>
      <w:r>
        <w:rPr>
          <w:lang w:val="en-US"/>
        </w:rPr>
        <w:t>.</w:t>
      </w:r>
    </w:p>
    <w:p w:rsidR="00C03749" w:rsidRPr="00C03749" w:rsidRDefault="00C03749" w:rsidP="00213F87">
      <w:pPr>
        <w:pStyle w:val="SCCNormalDoubleSpacing"/>
        <w:spacing w:after="240" w:line="240" w:lineRule="auto"/>
        <w:ind w:left="540" w:hanging="540"/>
        <w:rPr>
          <w:lang w:val="fr-CA"/>
        </w:rPr>
      </w:pPr>
      <w:r w:rsidRPr="00C03749">
        <w:rPr>
          <w:lang w:val="fr-CA"/>
        </w:rPr>
        <w:t xml:space="preserve">Lamoureux, Martin. </w:t>
      </w:r>
      <w:r w:rsidRPr="00C03749">
        <w:rPr>
          <w:i/>
          <w:lang w:val="fr-CA"/>
        </w:rPr>
        <w:t>L’harmonisation des lois fiscales</w:t>
      </w:r>
      <w:r>
        <w:rPr>
          <w:i/>
          <w:lang w:val="fr-CA"/>
        </w:rPr>
        <w:t xml:space="preserve"> — La dissociation : un mécanisme d’exception Partie III</w:t>
      </w:r>
      <w:r>
        <w:rPr>
          <w:lang w:val="fr-CA"/>
        </w:rPr>
        <w:t xml:space="preserve"> (en ligne : </w:t>
      </w:r>
      <w:r w:rsidR="008C6259" w:rsidRPr="008C6259">
        <w:rPr>
          <w:lang w:val="fr-CA"/>
        </w:rPr>
        <w:t>https://www.justice.gc.ca/fra/pr-rp/sjc-csj/harmonization/lamou/harm3.html</w:t>
      </w:r>
      <w:r>
        <w:rPr>
          <w:lang w:val="fr-CA"/>
        </w:rPr>
        <w:t xml:space="preserve">; version archivée : </w:t>
      </w:r>
      <w:hyperlink r:id="rId10" w:history="1">
        <w:r w:rsidR="008C6259" w:rsidRPr="00FE026A">
          <w:rPr>
            <w:rStyle w:val="Hyperlink"/>
            <w:lang w:val="fr-CA"/>
          </w:rPr>
          <w:t>https://www.scc-csc.ca/cso-dce/2021SCC-CSC</w:t>
        </w:r>
        <w:r w:rsidR="00872A1A" w:rsidRPr="00FE026A">
          <w:rPr>
            <w:rStyle w:val="Hyperlink"/>
            <w:lang w:val="fr-CA"/>
          </w:rPr>
          <w:t>30</w:t>
        </w:r>
        <w:r w:rsidR="008C6259" w:rsidRPr="00FE026A">
          <w:rPr>
            <w:rStyle w:val="Hyperlink"/>
            <w:lang w:val="fr-CA"/>
          </w:rPr>
          <w:t>_2_fra.pdf</w:t>
        </w:r>
      </w:hyperlink>
      <w:r>
        <w:rPr>
          <w:lang w:val="fr-CA"/>
        </w:rPr>
        <w:t>).</w:t>
      </w:r>
    </w:p>
    <w:p w:rsidR="00F5490E" w:rsidRDefault="00F5490E" w:rsidP="00213F87">
      <w:pPr>
        <w:pStyle w:val="SCCNormalDoubleSpacing"/>
        <w:spacing w:after="240" w:line="240" w:lineRule="auto"/>
        <w:ind w:left="540" w:hanging="540"/>
        <w:rPr>
          <w:lang w:val="fr-CA"/>
        </w:rPr>
      </w:pPr>
      <w:r>
        <w:rPr>
          <w:i/>
          <w:lang w:val="fr-CA"/>
        </w:rPr>
        <w:t>Le Robert</w:t>
      </w:r>
      <w:r w:rsidR="001566FA">
        <w:rPr>
          <w:lang w:val="fr-CA"/>
        </w:rPr>
        <w:t xml:space="preserve"> </w:t>
      </w:r>
      <w:r>
        <w:rPr>
          <w:lang w:val="fr-CA"/>
        </w:rPr>
        <w:t>(</w:t>
      </w:r>
      <w:r w:rsidR="001566FA">
        <w:rPr>
          <w:lang w:val="fr-CA"/>
        </w:rPr>
        <w:t xml:space="preserve">en ligne : </w:t>
      </w:r>
      <w:r w:rsidR="00B87299" w:rsidRPr="00B87299">
        <w:rPr>
          <w:lang w:val="fr-CA"/>
        </w:rPr>
        <w:t>https://dictionnaire.lerobert.com/definition/particulier</w:t>
      </w:r>
      <w:r>
        <w:rPr>
          <w:lang w:val="fr-CA"/>
        </w:rPr>
        <w:t>)</w:t>
      </w:r>
      <w:r w:rsidR="001566FA">
        <w:rPr>
          <w:lang w:val="fr-CA"/>
        </w:rPr>
        <w:t>, « en particulier »</w:t>
      </w:r>
      <w:r>
        <w:rPr>
          <w:lang w:val="fr-CA"/>
        </w:rPr>
        <w:t>.</w:t>
      </w:r>
    </w:p>
    <w:p w:rsidR="00275182" w:rsidRDefault="00275182" w:rsidP="00213F87">
      <w:pPr>
        <w:pStyle w:val="SCCNormalDoubleSpacing"/>
        <w:spacing w:after="240" w:line="240" w:lineRule="auto"/>
        <w:ind w:left="540" w:hanging="540"/>
        <w:rPr>
          <w:lang w:val="en-US"/>
        </w:rPr>
      </w:pPr>
      <w:r w:rsidRPr="00275182">
        <w:rPr>
          <w:lang w:val="en-US"/>
        </w:rPr>
        <w:lastRenderedPageBreak/>
        <w:t>McFarlane, Ben, and Robert Stevens. « The nature of equitable p</w:t>
      </w:r>
      <w:r>
        <w:rPr>
          <w:lang w:val="en-US"/>
        </w:rPr>
        <w:t>roperty</w:t>
      </w:r>
      <w:r w:rsidRPr="00275182">
        <w:rPr>
          <w:lang w:val="en-US"/>
        </w:rPr>
        <w:t xml:space="preserve"> » (2010), 4 </w:t>
      </w:r>
      <w:r w:rsidRPr="00275182">
        <w:rPr>
          <w:i/>
          <w:lang w:val="en-US"/>
        </w:rPr>
        <w:t>J. Eq.</w:t>
      </w:r>
      <w:r w:rsidRPr="00275182">
        <w:rPr>
          <w:lang w:val="en-US"/>
        </w:rPr>
        <w:t xml:space="preserve"> 1</w:t>
      </w:r>
      <w:r>
        <w:rPr>
          <w:lang w:val="en-US"/>
        </w:rPr>
        <w:t>.</w:t>
      </w:r>
    </w:p>
    <w:p w:rsidR="00275182" w:rsidRPr="00275182" w:rsidRDefault="00275182" w:rsidP="00213F87">
      <w:pPr>
        <w:pStyle w:val="SCCNormalDoubleSpacing"/>
        <w:spacing w:after="240" w:line="240" w:lineRule="auto"/>
        <w:ind w:left="540" w:hanging="540"/>
        <w:rPr>
          <w:lang w:val="en-US"/>
        </w:rPr>
      </w:pPr>
      <w:r w:rsidRPr="00275182">
        <w:rPr>
          <w:lang w:val="en-US"/>
        </w:rPr>
        <w:t>Penner, J. E.</w:t>
      </w:r>
      <w:r>
        <w:rPr>
          <w:lang w:val="en-US"/>
        </w:rPr>
        <w:t xml:space="preserve"> </w:t>
      </w:r>
      <w:r w:rsidRPr="00275182">
        <w:rPr>
          <w:lang w:val="en-US"/>
        </w:rPr>
        <w:t>« The (True) Nature of a Beneficiary’s Equitable Pro</w:t>
      </w:r>
      <w:r>
        <w:rPr>
          <w:lang w:val="en-US"/>
        </w:rPr>
        <w:t>prietary Interest under a Trust</w:t>
      </w:r>
      <w:r w:rsidRPr="00275182">
        <w:rPr>
          <w:lang w:val="en-US"/>
        </w:rPr>
        <w:t xml:space="preserve"> » (2014), 27 </w:t>
      </w:r>
      <w:r w:rsidRPr="00275182">
        <w:rPr>
          <w:i/>
          <w:lang w:val="en-US"/>
        </w:rPr>
        <w:t>Can. J.L. &amp; Jur.</w:t>
      </w:r>
      <w:r w:rsidRPr="00275182">
        <w:rPr>
          <w:lang w:val="en-US"/>
        </w:rPr>
        <w:t xml:space="preserve"> 473</w:t>
      </w:r>
      <w:r>
        <w:rPr>
          <w:lang w:val="en-US"/>
        </w:rPr>
        <w:t>.</w:t>
      </w:r>
    </w:p>
    <w:p w:rsidR="001B0B1F" w:rsidRPr="00FB7EC2" w:rsidRDefault="001B0B1F" w:rsidP="00213F87">
      <w:pPr>
        <w:pStyle w:val="SCCNormalDoubleSpacing"/>
        <w:spacing w:after="240" w:line="240" w:lineRule="auto"/>
        <w:ind w:left="540" w:hanging="540"/>
        <w:rPr>
          <w:lang w:val="en-US"/>
        </w:rPr>
      </w:pPr>
      <w:r w:rsidRPr="001B0B1F">
        <w:rPr>
          <w:lang w:val="fr-CA"/>
        </w:rPr>
        <w:t xml:space="preserve">Prévost, Alain. </w:t>
      </w:r>
      <w:r>
        <w:rPr>
          <w:lang w:val="fr-CA"/>
        </w:rPr>
        <w:t>« </w:t>
      </w:r>
      <w:r w:rsidRPr="001B0B1F">
        <w:rPr>
          <w:lang w:val="fr-CA"/>
        </w:rPr>
        <w:t>Que reste</w:t>
      </w:r>
      <w:r w:rsidRPr="001B0B1F">
        <w:rPr>
          <w:lang w:val="fr-CA"/>
        </w:rPr>
        <w:noBreakHyphen/>
        <w:t>t</w:t>
      </w:r>
      <w:r w:rsidRPr="001B0B1F">
        <w:rPr>
          <w:lang w:val="fr-CA"/>
        </w:rPr>
        <w:noBreakHyphen/>
        <w:t>il de la fiducie réputée en m</w:t>
      </w:r>
      <w:r>
        <w:rPr>
          <w:lang w:val="fr-CA"/>
        </w:rPr>
        <w:t xml:space="preserve">atière de régimes de retraite? » </w:t>
      </w:r>
      <w:r w:rsidRPr="00FB7EC2">
        <w:rPr>
          <w:lang w:val="en-US"/>
        </w:rPr>
        <w:t xml:space="preserve">(2016), 75 </w:t>
      </w:r>
      <w:r w:rsidRPr="00FB7EC2">
        <w:rPr>
          <w:i/>
          <w:lang w:val="en-US"/>
        </w:rPr>
        <w:t>R. du B.</w:t>
      </w:r>
      <w:r w:rsidRPr="00FB7EC2">
        <w:rPr>
          <w:lang w:val="en-US"/>
        </w:rPr>
        <w:t xml:space="preserve"> 23.</w:t>
      </w:r>
    </w:p>
    <w:p w:rsidR="00A659BE" w:rsidRDefault="00A659BE" w:rsidP="00213F87">
      <w:pPr>
        <w:pStyle w:val="SCCNormalDoubleSpacing"/>
        <w:spacing w:after="240" w:line="240" w:lineRule="auto"/>
        <w:ind w:left="540" w:hanging="540"/>
      </w:pPr>
      <w:r w:rsidRPr="00A659BE">
        <w:t xml:space="preserve">Salembier, Paul. </w:t>
      </w:r>
      <w:r w:rsidRPr="00A659BE">
        <w:rPr>
          <w:i/>
        </w:rPr>
        <w:t>Legal and Legislative Drafting</w:t>
      </w:r>
      <w:r w:rsidRPr="00A659BE">
        <w:t>, 2nd ed.</w:t>
      </w:r>
      <w:r>
        <w:t>,</w:t>
      </w:r>
      <w:r w:rsidRPr="00A659BE">
        <w:t xml:space="preserve"> Toronto</w:t>
      </w:r>
      <w:r>
        <w:t>,</w:t>
      </w:r>
      <w:r w:rsidRPr="00A659BE">
        <w:t xml:space="preserve"> LexisNexis, 2018</w:t>
      </w:r>
      <w:r>
        <w:t>.</w:t>
      </w:r>
    </w:p>
    <w:p w:rsidR="007B6F3F" w:rsidRDefault="007B6F3F" w:rsidP="00213F87">
      <w:pPr>
        <w:pStyle w:val="SCCNormalDoubleSpacing"/>
        <w:spacing w:after="240" w:line="240" w:lineRule="auto"/>
        <w:ind w:left="540" w:hanging="540"/>
      </w:pPr>
      <w:r w:rsidRPr="007B6F3F">
        <w:t xml:space="preserve">Sarra, Janis P. </w:t>
      </w:r>
      <w:r w:rsidRPr="007B6F3F">
        <w:rPr>
          <w:i/>
        </w:rPr>
        <w:t>Rescue! The Companies’ Creditors Arrangement Act</w:t>
      </w:r>
      <w:r w:rsidRPr="007B6F3F">
        <w:t>, 2nd ed.</w:t>
      </w:r>
      <w:r>
        <w:t>,</w:t>
      </w:r>
      <w:r w:rsidRPr="007B6F3F">
        <w:t xml:space="preserve"> </w:t>
      </w:r>
      <w:r>
        <w:t>Toronto,</w:t>
      </w:r>
      <w:r w:rsidRPr="007B6F3F">
        <w:t xml:space="preserve"> Carswell, 2013</w:t>
      </w:r>
      <w:r>
        <w:t>.</w:t>
      </w:r>
    </w:p>
    <w:p w:rsidR="00552622" w:rsidRDefault="00552622" w:rsidP="00213F87">
      <w:pPr>
        <w:pStyle w:val="SCCNormalDoubleSpacing"/>
        <w:spacing w:after="240" w:line="240" w:lineRule="auto"/>
        <w:ind w:left="540" w:hanging="540"/>
      </w:pPr>
      <w:r w:rsidRPr="00552622">
        <w:rPr>
          <w:lang w:val="en-US"/>
        </w:rPr>
        <w:t xml:space="preserve">Sarra, Janis P., Geoffrey B. Morawetz and L. W. Houlden. </w:t>
      </w:r>
      <w:r w:rsidR="00213F87">
        <w:rPr>
          <w:i/>
        </w:rPr>
        <w:t>The 2020</w:t>
      </w:r>
      <w:r w:rsidR="00213F87">
        <w:rPr>
          <w:i/>
        </w:rPr>
        <w:noBreakHyphen/>
      </w:r>
      <w:r w:rsidRPr="00552622">
        <w:rPr>
          <w:i/>
        </w:rPr>
        <w:t>2021 Annotated Bankruptcy And Insolvency Act</w:t>
      </w:r>
      <w:r>
        <w:t xml:space="preserve">, </w:t>
      </w:r>
      <w:r w:rsidRPr="00552622">
        <w:t>To</w:t>
      </w:r>
      <w:r>
        <w:t xml:space="preserve">ronto, </w:t>
      </w:r>
      <w:r w:rsidRPr="00552622">
        <w:t>Thomson Reuters, 2020</w:t>
      </w:r>
      <w:r>
        <w:t>.</w:t>
      </w:r>
    </w:p>
    <w:p w:rsidR="00C07832" w:rsidRDefault="00C07832" w:rsidP="00213F87">
      <w:pPr>
        <w:pStyle w:val="SCCNormalDoubleSpacing"/>
        <w:spacing w:after="240" w:line="240" w:lineRule="auto"/>
        <w:ind w:left="540" w:hanging="540"/>
        <w:rPr>
          <w:lang w:val="fr-CA"/>
        </w:rPr>
      </w:pPr>
      <w:r w:rsidRPr="00C07832">
        <w:rPr>
          <w:lang w:val="fr-CA"/>
        </w:rPr>
        <w:t xml:space="preserve">Simard, Roger P. </w:t>
      </w:r>
      <w:r w:rsidR="00401791">
        <w:rPr>
          <w:lang w:val="fr-CA"/>
        </w:rPr>
        <w:t>« </w:t>
      </w:r>
      <w:r w:rsidRPr="00C07832">
        <w:rPr>
          <w:lang w:val="fr-CA"/>
        </w:rPr>
        <w:t>Priorités et</w:t>
      </w:r>
      <w:r w:rsidR="00401791">
        <w:rPr>
          <w:lang w:val="fr-CA"/>
        </w:rPr>
        <w:t xml:space="preserve"> droits spéciaux de la couronne », </w:t>
      </w:r>
      <w:r w:rsidR="00401791" w:rsidRPr="00401791">
        <w:rPr>
          <w:lang w:val="fr-CA"/>
        </w:rPr>
        <w:t xml:space="preserve">dans </w:t>
      </w:r>
      <w:r w:rsidR="00401791" w:rsidRPr="00401791">
        <w:rPr>
          <w:i/>
          <w:lang w:val="fr-CA"/>
        </w:rPr>
        <w:t>JurisClasseur Québec — Collection droit civil — Sûretés</w:t>
      </w:r>
      <w:r w:rsidR="00213F87">
        <w:rPr>
          <w:lang w:val="fr-CA"/>
        </w:rPr>
        <w:t>, vol. 1, par Pierre</w:t>
      </w:r>
      <w:r w:rsidR="00213F87">
        <w:rPr>
          <w:lang w:val="fr-CA"/>
        </w:rPr>
        <w:noBreakHyphen/>
      </w:r>
      <w:r w:rsidR="00401791" w:rsidRPr="00401791">
        <w:rPr>
          <w:lang w:val="fr-CA"/>
        </w:rPr>
        <w:t>Claude Lafond, dir.</w:t>
      </w:r>
      <w:r w:rsidR="00401791">
        <w:rPr>
          <w:lang w:val="fr-CA"/>
        </w:rPr>
        <w:t>,</w:t>
      </w:r>
      <w:r w:rsidR="00401791" w:rsidRPr="00401791">
        <w:rPr>
          <w:lang w:val="fr-CA"/>
        </w:rPr>
        <w:t xml:space="preserve"> Montréa</w:t>
      </w:r>
      <w:r w:rsidR="00401791">
        <w:rPr>
          <w:lang w:val="fr-CA"/>
        </w:rPr>
        <w:t>l,</w:t>
      </w:r>
      <w:r w:rsidR="00401791" w:rsidRPr="00401791">
        <w:rPr>
          <w:lang w:val="fr-CA"/>
        </w:rPr>
        <w:t xml:space="preserve"> LexisNexis, 2011, fascicule 4 (feuilles mobiles mises à jour novembre 2020, envoi n</w:t>
      </w:r>
      <w:r w:rsidR="00401791" w:rsidRPr="00401791">
        <w:rPr>
          <w:vertAlign w:val="superscript"/>
          <w:lang w:val="fr-CA"/>
        </w:rPr>
        <w:t>o</w:t>
      </w:r>
      <w:r w:rsidR="00DB1D7C">
        <w:rPr>
          <w:lang w:val="fr-CA"/>
        </w:rPr>
        <w:t> </w:t>
      </w:r>
      <w:r w:rsidR="00401791" w:rsidRPr="00401791">
        <w:rPr>
          <w:lang w:val="fr-CA"/>
        </w:rPr>
        <w:t>17)</w:t>
      </w:r>
      <w:r w:rsidR="00401791">
        <w:rPr>
          <w:lang w:val="fr-CA"/>
        </w:rPr>
        <w:t>.</w:t>
      </w:r>
    </w:p>
    <w:p w:rsidR="0056267B" w:rsidRDefault="0056267B" w:rsidP="00213F87">
      <w:pPr>
        <w:pStyle w:val="SCCNormalDoubleSpacing"/>
        <w:spacing w:after="240" w:line="240" w:lineRule="auto"/>
        <w:ind w:left="540" w:hanging="540"/>
        <w:rPr>
          <w:lang w:val="en-US"/>
        </w:rPr>
      </w:pPr>
      <w:r w:rsidRPr="0056267B">
        <w:rPr>
          <w:lang w:val="en-US"/>
        </w:rPr>
        <w:t xml:space="preserve">Smith, Lionel D. </w:t>
      </w:r>
      <w:r w:rsidRPr="0056267B">
        <w:rPr>
          <w:i/>
          <w:lang w:val="en-US"/>
        </w:rPr>
        <w:t>The Law of Tracing</w:t>
      </w:r>
      <w:r>
        <w:rPr>
          <w:lang w:val="en-US"/>
        </w:rPr>
        <w:t>,</w:t>
      </w:r>
      <w:r w:rsidRPr="0056267B">
        <w:rPr>
          <w:lang w:val="en-US"/>
        </w:rPr>
        <w:t xml:space="preserve"> Oxford</w:t>
      </w:r>
      <w:r>
        <w:rPr>
          <w:lang w:val="en-US"/>
        </w:rPr>
        <w:t>,</w:t>
      </w:r>
      <w:r w:rsidRPr="0056267B">
        <w:rPr>
          <w:lang w:val="en-US"/>
        </w:rPr>
        <w:t xml:space="preserve"> Clarendon Press, 1997</w:t>
      </w:r>
      <w:r>
        <w:rPr>
          <w:lang w:val="en-US"/>
        </w:rPr>
        <w:t>.</w:t>
      </w:r>
    </w:p>
    <w:p w:rsidR="00A60610" w:rsidRPr="00A60610" w:rsidRDefault="00A60610" w:rsidP="00213F87">
      <w:pPr>
        <w:pStyle w:val="SCCNormalDoubleSpacing"/>
        <w:spacing w:after="240" w:line="240" w:lineRule="auto"/>
        <w:ind w:left="540" w:hanging="540"/>
        <w:rPr>
          <w:lang w:val="en-US"/>
        </w:rPr>
      </w:pPr>
      <w:r w:rsidRPr="00A60610">
        <w:rPr>
          <w:lang w:val="en-US"/>
        </w:rPr>
        <w:t>Smith, Lionel D.</w:t>
      </w:r>
      <w:r>
        <w:rPr>
          <w:lang w:val="en-US"/>
        </w:rPr>
        <w:t xml:space="preserve"> </w:t>
      </w:r>
      <w:r w:rsidRPr="00A60610">
        <w:rPr>
          <w:lang w:val="en-US"/>
        </w:rPr>
        <w:t>« </w:t>
      </w:r>
      <w:r>
        <w:rPr>
          <w:lang w:val="en-US"/>
        </w:rPr>
        <w:t>Trust and Patrimony</w:t>
      </w:r>
      <w:r w:rsidRPr="00A60610">
        <w:rPr>
          <w:lang w:val="en-US"/>
        </w:rPr>
        <w:t xml:space="preserve"> » (2008), 38 </w:t>
      </w:r>
      <w:r w:rsidRPr="00A60610">
        <w:rPr>
          <w:i/>
          <w:lang w:val="en-US"/>
        </w:rPr>
        <w:t>R.G.D.</w:t>
      </w:r>
      <w:r w:rsidRPr="00A60610">
        <w:rPr>
          <w:lang w:val="en-US"/>
        </w:rPr>
        <w:t xml:space="preserve"> 379</w:t>
      </w:r>
      <w:r w:rsidR="0056267B">
        <w:rPr>
          <w:lang w:val="en-US"/>
        </w:rPr>
        <w:t>.</w:t>
      </w:r>
    </w:p>
    <w:p w:rsidR="004D7D95" w:rsidRDefault="00AB064E" w:rsidP="00213F87">
      <w:pPr>
        <w:pStyle w:val="SCCNormalDoubleSpacing"/>
        <w:spacing w:after="240" w:line="240" w:lineRule="auto"/>
        <w:ind w:left="540" w:hanging="540"/>
      </w:pPr>
      <w:r w:rsidRPr="00AB064E">
        <w:t xml:space="preserve">Sullivan, Ruth. </w:t>
      </w:r>
      <w:r w:rsidRPr="00AB064E">
        <w:rPr>
          <w:i/>
        </w:rPr>
        <w:t>Sullivan on the Construction of Statutes</w:t>
      </w:r>
      <w:r w:rsidRPr="00AB064E">
        <w:t>, 6th ed.</w:t>
      </w:r>
      <w:r>
        <w:t>,</w:t>
      </w:r>
      <w:r w:rsidRPr="00AB064E">
        <w:t xml:space="preserve"> </w:t>
      </w:r>
      <w:r>
        <w:t>Markham (Ont.),</w:t>
      </w:r>
      <w:r w:rsidRPr="00AB064E">
        <w:t xml:space="preserve"> LexisNexis, 2014</w:t>
      </w:r>
      <w:r w:rsidR="002D440C">
        <w:t>.</w:t>
      </w:r>
    </w:p>
    <w:p w:rsidR="00A60610" w:rsidRDefault="00A60610" w:rsidP="00213F87">
      <w:pPr>
        <w:pStyle w:val="SCCNormalDoubleSpacing"/>
        <w:spacing w:after="240" w:line="240" w:lineRule="auto"/>
        <w:ind w:left="540" w:hanging="540"/>
      </w:pPr>
      <w:r w:rsidRPr="00A60610">
        <w:t xml:space="preserve">Waters, D. W. M. </w:t>
      </w:r>
      <w:r w:rsidRPr="00A60610">
        <w:rPr>
          <w:lang w:val="en-US"/>
        </w:rPr>
        <w:t>« The Nature of t</w:t>
      </w:r>
      <w:r>
        <w:rPr>
          <w:lang w:val="en-US"/>
        </w:rPr>
        <w:t>he Trust Beneficiary’s Interest</w:t>
      </w:r>
      <w:r w:rsidRPr="00A60610">
        <w:rPr>
          <w:lang w:val="en-US"/>
        </w:rPr>
        <w:t xml:space="preserve"> » (1967), 45 </w:t>
      </w:r>
      <w:r>
        <w:rPr>
          <w:i/>
          <w:lang w:val="en-US"/>
        </w:rPr>
        <w:t>R. du B. can.</w:t>
      </w:r>
      <w:r w:rsidRPr="00A60610">
        <w:rPr>
          <w:lang w:val="en-US"/>
        </w:rPr>
        <w:t xml:space="preserve"> 219</w:t>
      </w:r>
      <w:r>
        <w:rPr>
          <w:lang w:val="en-US"/>
        </w:rPr>
        <w:t>.</w:t>
      </w:r>
    </w:p>
    <w:p w:rsidR="000E2B01" w:rsidRDefault="00FD79B4" w:rsidP="00213F87">
      <w:pPr>
        <w:pStyle w:val="SCCNormalDoubleSpacing"/>
        <w:spacing w:after="240" w:line="240" w:lineRule="auto"/>
        <w:ind w:left="540" w:hanging="540"/>
      </w:pPr>
      <w:r w:rsidRPr="00FD79B4">
        <w:rPr>
          <w:i/>
        </w:rPr>
        <w:t>Waters’ Law of Trusts in Canada</w:t>
      </w:r>
      <w:r w:rsidRPr="00FD79B4">
        <w:t>, 4th ed.</w:t>
      </w:r>
      <w:r w:rsidR="000B6688">
        <w:t>,</w:t>
      </w:r>
      <w:r w:rsidRPr="00FD79B4">
        <w:t xml:space="preserve"> by Donovan W. M. Waters, Mark R. Gillen</w:t>
      </w:r>
      <w:r w:rsidR="00EA609B">
        <w:t>,</w:t>
      </w:r>
      <w:r w:rsidRPr="00FD79B4">
        <w:t xml:space="preserve"> and Lionel D. Smi</w:t>
      </w:r>
      <w:r>
        <w:t>th,</w:t>
      </w:r>
      <w:r w:rsidRPr="00FD79B4">
        <w:t xml:space="preserve"> T</w:t>
      </w:r>
      <w:r>
        <w:t xml:space="preserve">oronto, </w:t>
      </w:r>
      <w:r w:rsidRPr="00FD79B4">
        <w:t>Carswell, 2012</w:t>
      </w:r>
      <w:r w:rsidR="00A659BE">
        <w:t>.</w:t>
      </w:r>
    </w:p>
    <w:p w:rsidR="00732B48" w:rsidRDefault="00732B48" w:rsidP="00213F87">
      <w:pPr>
        <w:pStyle w:val="SCCNormalDoubleSpacing"/>
        <w:spacing w:after="240" w:line="240" w:lineRule="auto"/>
        <w:ind w:left="540" w:hanging="540"/>
      </w:pPr>
      <w:r w:rsidRPr="00732B48">
        <w:t>Wood, Roderick J.</w:t>
      </w:r>
      <w:r w:rsidR="006A3566">
        <w:t xml:space="preserve"> </w:t>
      </w:r>
      <w:r w:rsidR="006A3566" w:rsidRPr="006A3566">
        <w:rPr>
          <w:lang w:val="en-US"/>
        </w:rPr>
        <w:t>« </w:t>
      </w:r>
      <w:r w:rsidRPr="00732B48">
        <w:t>Irresistib</w:t>
      </w:r>
      <w:r w:rsidR="006A3566">
        <w:t>le Force Meets Immovable Object </w:t>
      </w:r>
      <w:r w:rsidR="006A3566" w:rsidRPr="006A3566">
        <w:rPr>
          <w:lang w:val="en-US"/>
        </w:rPr>
        <w:t>:</w:t>
      </w:r>
      <w:r w:rsidRPr="00732B48">
        <w:t xml:space="preserve"> </w:t>
      </w:r>
      <w:r w:rsidRPr="00732B48">
        <w:rPr>
          <w:i/>
        </w:rPr>
        <w:t>Canada v. Canada North Group Inc.</w:t>
      </w:r>
      <w:r w:rsidR="006A3566" w:rsidRPr="006A3566">
        <w:rPr>
          <w:lang w:val="en-US"/>
        </w:rPr>
        <w:t> »</w:t>
      </w:r>
      <w:r w:rsidRPr="00732B48">
        <w:t xml:space="preserve"> (2020), 63 </w:t>
      </w:r>
      <w:r>
        <w:rPr>
          <w:i/>
        </w:rPr>
        <w:t>Rev. can. dr. comm.</w:t>
      </w:r>
      <w:r w:rsidRPr="00732B48">
        <w:t xml:space="preserve"> 85</w:t>
      </w:r>
      <w:r>
        <w:t>.</w:t>
      </w:r>
    </w:p>
    <w:p w:rsidR="000E2B01" w:rsidRDefault="000E2B01" w:rsidP="00213F87">
      <w:pPr>
        <w:pStyle w:val="SCCNormalDoubleSpacing"/>
        <w:spacing w:after="240" w:line="240" w:lineRule="auto"/>
        <w:ind w:left="540" w:hanging="540"/>
      </w:pPr>
      <w:r w:rsidRPr="000E2B01">
        <w:t xml:space="preserve">Wood, Roderick J. </w:t>
      </w:r>
      <w:r w:rsidRPr="000E2B01">
        <w:rPr>
          <w:lang w:val="en-US"/>
        </w:rPr>
        <w:t>« </w:t>
      </w:r>
      <w:r>
        <w:t>The Floating Charge in Canada</w:t>
      </w:r>
      <w:r w:rsidRPr="000E2B01">
        <w:rPr>
          <w:lang w:val="en-US"/>
        </w:rPr>
        <w:t> »</w:t>
      </w:r>
      <w:r w:rsidRPr="000E2B01">
        <w:t xml:space="preserve"> (1989), 27 </w:t>
      </w:r>
      <w:r w:rsidRPr="000E2B01">
        <w:rPr>
          <w:i/>
          <w:iCs/>
        </w:rPr>
        <w:t>Alta. L. Rev.</w:t>
      </w:r>
      <w:r w:rsidRPr="000E2B01">
        <w:t> 191</w:t>
      </w:r>
      <w:r>
        <w:t>.</w:t>
      </w:r>
    </w:p>
    <w:p w:rsidR="002D440C" w:rsidRDefault="002D440C" w:rsidP="00213F87">
      <w:pPr>
        <w:pStyle w:val="SCCNormalDoubleSpacing"/>
        <w:spacing w:after="240" w:line="240" w:lineRule="auto"/>
        <w:ind w:left="540" w:hanging="540"/>
      </w:pPr>
      <w:r w:rsidRPr="002D440C">
        <w:t xml:space="preserve">Wood, Roderick J., and Rick T. G. Reeson. </w:t>
      </w:r>
      <w:r w:rsidR="006A3566" w:rsidRPr="006A3566">
        <w:rPr>
          <w:lang w:val="en-US"/>
        </w:rPr>
        <w:t>« </w:t>
      </w:r>
      <w:r w:rsidRPr="002D440C">
        <w:t>The Continuing Sag</w:t>
      </w:r>
      <w:r w:rsidR="006A3566">
        <w:t>a of the Statutory Deemed Trust </w:t>
      </w:r>
      <w:r w:rsidR="006A3566" w:rsidRPr="006A3566">
        <w:rPr>
          <w:lang w:val="en-US"/>
        </w:rPr>
        <w:t>:</w:t>
      </w:r>
      <w:r w:rsidRPr="002D440C">
        <w:t xml:space="preserve"> </w:t>
      </w:r>
      <w:r w:rsidRPr="002D440C">
        <w:rPr>
          <w:i/>
        </w:rPr>
        <w:t>Royal Bank v. Tuxedo Transportation Ltd.</w:t>
      </w:r>
      <w:r w:rsidR="006A3566" w:rsidRPr="006A3566">
        <w:rPr>
          <w:lang w:val="en-US"/>
        </w:rPr>
        <w:t> »</w:t>
      </w:r>
      <w:r w:rsidRPr="002D440C">
        <w:t xml:space="preserve"> (2000), 15 </w:t>
      </w:r>
      <w:r w:rsidRPr="002D440C">
        <w:rPr>
          <w:i/>
        </w:rPr>
        <w:t>B.F.L.R.</w:t>
      </w:r>
      <w:r w:rsidRPr="002D440C">
        <w:t xml:space="preserve"> 515</w:t>
      </w:r>
      <w:r>
        <w:t>.</w:t>
      </w:r>
    </w:p>
    <w:p w:rsidR="00FB7EC2" w:rsidRPr="00AB064E" w:rsidRDefault="00FB7EC2" w:rsidP="00213F87">
      <w:pPr>
        <w:pStyle w:val="SCCNormalDoubleSpacing"/>
        <w:spacing w:after="720" w:line="240" w:lineRule="auto"/>
        <w:ind w:left="547" w:hanging="547"/>
        <w:rPr>
          <w:lang w:val="en-US"/>
        </w:rPr>
      </w:pPr>
      <w:r>
        <w:t xml:space="preserve">Ziegel, </w:t>
      </w:r>
      <w:r w:rsidRPr="00FB7EC2">
        <w:t xml:space="preserve">Jacob S. </w:t>
      </w:r>
      <w:r w:rsidRPr="00FB7EC2">
        <w:rPr>
          <w:lang w:val="en-US"/>
        </w:rPr>
        <w:t>« Crown Priorities, Dee</w:t>
      </w:r>
      <w:r>
        <w:rPr>
          <w:lang w:val="en-US"/>
        </w:rPr>
        <w:t>med Trusts and Floating Charges </w:t>
      </w:r>
      <w:r w:rsidRPr="00FB7EC2">
        <w:rPr>
          <w:lang w:val="en-US"/>
        </w:rPr>
        <w:t xml:space="preserve">: </w:t>
      </w:r>
      <w:r w:rsidRPr="00FB7EC2">
        <w:rPr>
          <w:i/>
          <w:lang w:val="en-US"/>
        </w:rPr>
        <w:t>First Vancouver Finance v. Minister of National Revenue</w:t>
      </w:r>
      <w:r w:rsidRPr="00FB7EC2">
        <w:rPr>
          <w:lang w:val="en-US"/>
        </w:rPr>
        <w:t> » (2004), 45 C.B.R. (4th) 244</w:t>
      </w:r>
      <w:r>
        <w:rPr>
          <w:lang w:val="en-US"/>
        </w:rPr>
        <w:t>.</w:t>
      </w:r>
    </w:p>
    <w:p w:rsidR="004D7D95" w:rsidRPr="00B50EAA" w:rsidRDefault="00E86F63" w:rsidP="00213F87">
      <w:pPr>
        <w:pStyle w:val="SCCNormalDoubleSpacing"/>
        <w:spacing w:after="480"/>
        <w:rPr>
          <w:lang w:val="fr-CA"/>
        </w:rPr>
      </w:pPr>
      <w:r w:rsidRPr="00AB064E">
        <w:rPr>
          <w:lang w:val="en-US"/>
        </w:rPr>
        <w:lastRenderedPageBreak/>
        <w:tab/>
      </w:r>
      <w:r w:rsidR="004D7D95" w:rsidRPr="00D141B1">
        <w:t>POURVOI contre un arrêt de la Cour d</w:t>
      </w:r>
      <w:r w:rsidR="00B77582" w:rsidRPr="00D141B1">
        <w:t>’</w:t>
      </w:r>
      <w:r w:rsidR="004D7D95" w:rsidRPr="00D141B1">
        <w:t>appel de l</w:t>
      </w:r>
      <w:r w:rsidR="00B77582" w:rsidRPr="00D141B1">
        <w:t>’</w:t>
      </w:r>
      <w:r w:rsidRPr="00D141B1">
        <w:t xml:space="preserve">Alberta (les juges Rowbotham, Wakeling et Schutz), 2019 ABCA 314, 93 Alta. L.R. (6th) 29, 437 D.L.R. (4th) 122, </w:t>
      </w:r>
      <w:r w:rsidR="0004783D" w:rsidRPr="00D141B1">
        <w:t>72 C.B.R. (6th) 161,</w:t>
      </w:r>
      <w:r w:rsidRPr="00D141B1">
        <w:t xml:space="preserve"> 95 B.L.R. (5th) 222, </w:t>
      </w:r>
      <w:r w:rsidR="0004783D" w:rsidRPr="00D141B1">
        <w:t>[2019] 12 W.W.R. 635, 11 P.P.S.A.C. (4th) 157, 20</w:t>
      </w:r>
      <w:r w:rsidR="00867BBE">
        <w:t>19 D.T.C. 5111, [2019] A.J. No. </w:t>
      </w:r>
      <w:r w:rsidR="0004783D" w:rsidRPr="00D141B1">
        <w:t>1154 (QL), 2019 CarswellAlta 1815 (WL Can</w:t>
      </w:r>
      <w:r w:rsidR="0004783D" w:rsidRPr="00B50EAA">
        <w:t>.), qui a confirmé une décision d</w:t>
      </w:r>
      <w:r w:rsidR="0004783D" w:rsidRPr="00A21855">
        <w:t>e la juge Topolniski, 2017 ABQB 550, 60 Alta. L.</w:t>
      </w:r>
      <w:r w:rsidR="006556F4" w:rsidRPr="00A21855">
        <w:t>R</w:t>
      </w:r>
      <w:r w:rsidR="0004783D" w:rsidRPr="00A21855">
        <w:t>. (6th) 103</w:t>
      </w:r>
      <w:r w:rsidR="006556F4" w:rsidRPr="00A21855">
        <w:t>, 52 C.B.R. (6th) 308, [2018</w:t>
      </w:r>
      <w:r w:rsidR="00867BBE" w:rsidRPr="00A21855">
        <w:t>] 2 W.W.R. 731, [2017] A.J. No. </w:t>
      </w:r>
      <w:r w:rsidR="006556F4" w:rsidRPr="00A21855">
        <w:t xml:space="preserve">930 (QL), 2017 CarswellAlta 1631 (WL Can.). </w:t>
      </w:r>
      <w:r w:rsidR="006556F4" w:rsidRPr="00A21855">
        <w:rPr>
          <w:lang w:val="fr-CA"/>
        </w:rPr>
        <w:t>Pourvoi</w:t>
      </w:r>
      <w:r w:rsidR="00867BBE" w:rsidRPr="00A21855">
        <w:rPr>
          <w:lang w:val="fr-CA"/>
        </w:rPr>
        <w:t xml:space="preserve"> </w:t>
      </w:r>
      <w:r w:rsidR="00B50EAA" w:rsidRPr="00A21855">
        <w:rPr>
          <w:lang w:val="fr-CA"/>
        </w:rPr>
        <w:t>rejeté, les juges Abella, Moldaver, Brown et Rowe sont dissidents</w:t>
      </w:r>
      <w:r w:rsidR="00867BBE" w:rsidRPr="00A21855">
        <w:rPr>
          <w:lang w:val="fr-CA"/>
        </w:rPr>
        <w:t>.</w:t>
      </w:r>
    </w:p>
    <w:p w:rsidR="00A9558B" w:rsidRPr="00D003DE" w:rsidRDefault="00485465" w:rsidP="00213F87">
      <w:pPr>
        <w:pStyle w:val="SCCNormalDoubleSpacing"/>
        <w:spacing w:after="480"/>
        <w:rPr>
          <w:rStyle w:val="SCCCounselPartyRoleChar"/>
          <w:lang w:val="fr-CA"/>
        </w:rPr>
      </w:pPr>
      <w:r w:rsidRPr="00B50EAA">
        <w:rPr>
          <w:rStyle w:val="SCCCounselNameChar"/>
          <w:lang w:val="fr-CA"/>
        </w:rPr>
        <w:tab/>
      </w:r>
      <w:r w:rsidRPr="00D003DE">
        <w:rPr>
          <w:rStyle w:val="SCCCounselNameChar"/>
          <w:lang w:val="fr-CA"/>
        </w:rPr>
        <w:t>Michael Taylor</w:t>
      </w:r>
      <w:r w:rsidR="00A9558B" w:rsidRPr="00D003DE">
        <w:rPr>
          <w:rStyle w:val="SCCCounselSeparatorChar"/>
          <w:lang w:val="fr-CA"/>
        </w:rPr>
        <w:t xml:space="preserve"> et</w:t>
      </w:r>
      <w:r w:rsidRPr="00D003DE">
        <w:rPr>
          <w:rStyle w:val="SCCCounselSeparatorChar"/>
          <w:lang w:val="fr-CA"/>
        </w:rPr>
        <w:t xml:space="preserve"> </w:t>
      </w:r>
      <w:r w:rsidRPr="00D003DE">
        <w:rPr>
          <w:rStyle w:val="SCCCounselNameChar"/>
          <w:lang w:val="fr-CA"/>
        </w:rPr>
        <w:t>Louis L</w:t>
      </w:r>
      <w:r w:rsidR="00B77582" w:rsidRPr="00D003DE">
        <w:rPr>
          <w:rStyle w:val="SCCCounselNameChar"/>
          <w:lang w:val="fr-CA"/>
        </w:rPr>
        <w:t>’</w:t>
      </w:r>
      <w:r w:rsidRPr="00D003DE">
        <w:rPr>
          <w:rStyle w:val="SCCCounselNameChar"/>
          <w:lang w:val="fr-CA"/>
        </w:rPr>
        <w:t>Heureux</w:t>
      </w:r>
      <w:r w:rsidRPr="00D003DE">
        <w:rPr>
          <w:rStyle w:val="SCCCounselPartyRoleChar"/>
          <w:lang w:val="fr-CA"/>
        </w:rPr>
        <w:t>, pour l</w:t>
      </w:r>
      <w:r w:rsidR="00B77582" w:rsidRPr="00D003DE">
        <w:rPr>
          <w:rStyle w:val="SCCCounselPartyRoleChar"/>
          <w:lang w:val="fr-CA"/>
        </w:rPr>
        <w:t>’</w:t>
      </w:r>
      <w:r w:rsidR="00C6768D" w:rsidRPr="00D003DE">
        <w:rPr>
          <w:rStyle w:val="SCCCounselPartyRoleChar"/>
          <w:lang w:val="fr-CA"/>
        </w:rPr>
        <w:t>appelante</w:t>
      </w:r>
      <w:r w:rsidRPr="00D003DE">
        <w:rPr>
          <w:rStyle w:val="SCCCounselPartyRoleChar"/>
          <w:lang w:val="fr-CA"/>
        </w:rPr>
        <w:t>.</w:t>
      </w:r>
    </w:p>
    <w:p w:rsidR="008826BD" w:rsidRPr="00D003DE" w:rsidRDefault="00A9558B" w:rsidP="00213F87">
      <w:pPr>
        <w:pStyle w:val="SCCNormalDoubleSpacing"/>
        <w:spacing w:after="480"/>
        <w:rPr>
          <w:lang w:val="fr-CA"/>
        </w:rPr>
      </w:pPr>
      <w:r w:rsidRPr="00D003DE">
        <w:rPr>
          <w:rStyle w:val="SCCCounselPartyRoleChar"/>
          <w:lang w:val="fr-CA"/>
        </w:rPr>
        <w:tab/>
      </w:r>
      <w:r w:rsidR="00485465" w:rsidRPr="00D003DE">
        <w:rPr>
          <w:rStyle w:val="SCCCounselNameChar"/>
          <w:lang w:val="fr-CA"/>
        </w:rPr>
        <w:t>Darren</w:t>
      </w:r>
      <w:r w:rsidRPr="00D003DE">
        <w:rPr>
          <w:rStyle w:val="SCCCounselNameChar"/>
          <w:lang w:val="fr-CA"/>
        </w:rPr>
        <w:t xml:space="preserve"> R. Bieganek</w:t>
      </w:r>
      <w:r w:rsidRPr="00D003DE">
        <w:rPr>
          <w:rStyle w:val="SCCCounselNameChar"/>
          <w:i w:val="0"/>
          <w:lang w:val="fr-CA"/>
        </w:rPr>
        <w:t>,</w:t>
      </w:r>
      <w:r w:rsidRPr="00D003DE">
        <w:rPr>
          <w:rStyle w:val="SCCCounselNameChar"/>
          <w:lang w:val="fr-CA"/>
        </w:rPr>
        <w:t xml:space="preserve"> c.r</w:t>
      </w:r>
      <w:r w:rsidR="00485465" w:rsidRPr="00D003DE">
        <w:rPr>
          <w:rStyle w:val="SCCCounselNameChar"/>
          <w:lang w:val="fr-CA"/>
        </w:rPr>
        <w:t>.</w:t>
      </w:r>
      <w:r w:rsidR="00485465" w:rsidRPr="00D003DE">
        <w:rPr>
          <w:rStyle w:val="SCCCounselPartyRoleChar"/>
          <w:lang w:val="fr-CA"/>
        </w:rPr>
        <w:t xml:space="preserve">, </w:t>
      </w:r>
      <w:r w:rsidRPr="00D003DE">
        <w:rPr>
          <w:rStyle w:val="SCCCounselPartyRoleChar"/>
          <w:lang w:val="fr-CA"/>
        </w:rPr>
        <w:t xml:space="preserve">et </w:t>
      </w:r>
      <w:r w:rsidRPr="00D003DE">
        <w:rPr>
          <w:rStyle w:val="SCCCounselPartyRoleChar"/>
          <w:i/>
          <w:lang w:val="fr-CA"/>
        </w:rPr>
        <w:t>Brad Angove</w:t>
      </w:r>
      <w:r w:rsidRPr="00D003DE">
        <w:rPr>
          <w:rStyle w:val="SCCCounselPartyRoleChar"/>
          <w:lang w:val="fr-CA"/>
        </w:rPr>
        <w:t xml:space="preserve">, </w:t>
      </w:r>
      <w:r w:rsidR="00485465" w:rsidRPr="00D003DE">
        <w:rPr>
          <w:rStyle w:val="SCCCounselPartyRoleChar"/>
          <w:lang w:val="fr-CA"/>
        </w:rPr>
        <w:t>pour l</w:t>
      </w:r>
      <w:r w:rsidRPr="00D003DE">
        <w:rPr>
          <w:rStyle w:val="SCCCounselPartyRoleChar"/>
          <w:lang w:val="fr-CA"/>
        </w:rPr>
        <w:t>es intimé</w:t>
      </w:r>
      <w:r w:rsidR="00867BBE" w:rsidRPr="00D003DE">
        <w:rPr>
          <w:rStyle w:val="SCCCounselPartyRoleChar"/>
          <w:lang w:val="fr-CA"/>
        </w:rPr>
        <w:t>e</w:t>
      </w:r>
      <w:r w:rsidRPr="00D003DE">
        <w:rPr>
          <w:rStyle w:val="SCCCounselPartyRoleChar"/>
          <w:lang w:val="fr-CA"/>
        </w:rPr>
        <w:t xml:space="preserve">s </w:t>
      </w:r>
      <w:r w:rsidRPr="00D003DE">
        <w:rPr>
          <w:lang w:val="fr-CA"/>
        </w:rPr>
        <w:t>Canada North Group Inc., Canada North Camps Inc., Campcorp Structures Ltd., DJ Catering Ltd., 816956 Alberta Ltd., 1371047 Alberta Ltd., 1919209 Alberta Ltd. et Ernst &amp; Young Inc</w:t>
      </w:r>
      <w:r w:rsidR="00867BBE" w:rsidRPr="00D003DE">
        <w:rPr>
          <w:lang w:val="fr-CA"/>
        </w:rPr>
        <w:t>.</w:t>
      </w:r>
      <w:r w:rsidRPr="00D003DE">
        <w:rPr>
          <w:lang w:val="fr-CA"/>
        </w:rPr>
        <w:t xml:space="preserve"> en sa qualité de contrôleur</w:t>
      </w:r>
      <w:r w:rsidR="00485465" w:rsidRPr="00D003DE">
        <w:rPr>
          <w:rStyle w:val="SCCCounselPartyRoleChar"/>
          <w:lang w:val="fr-CA"/>
        </w:rPr>
        <w:t>.</w:t>
      </w:r>
    </w:p>
    <w:p w:rsidR="008826BD" w:rsidRPr="00B77582" w:rsidRDefault="00485465" w:rsidP="00213F87">
      <w:pPr>
        <w:pStyle w:val="SCCNormalDoubleSpacing"/>
        <w:spacing w:after="480"/>
        <w:rPr>
          <w:lang w:val="fr-CA"/>
        </w:rPr>
      </w:pPr>
      <w:r w:rsidRPr="00D003DE">
        <w:rPr>
          <w:rStyle w:val="SCCCounselNameChar"/>
          <w:lang w:val="fr-CA"/>
        </w:rPr>
        <w:tab/>
      </w:r>
      <w:r w:rsidRPr="00B77582">
        <w:rPr>
          <w:rStyle w:val="SCCCounselNameChar"/>
          <w:lang w:val="fr-CA"/>
        </w:rPr>
        <w:t>Jeffrey Oliver</w:t>
      </w:r>
      <w:r w:rsidR="00A9558B">
        <w:rPr>
          <w:rStyle w:val="SCCCounselSeparatorChar"/>
          <w:lang w:val="fr-CA"/>
        </w:rPr>
        <w:t xml:space="preserve"> </w:t>
      </w:r>
      <w:r w:rsidR="00A9558B" w:rsidRPr="00B77582">
        <w:rPr>
          <w:rStyle w:val="SCCCounselSeparatorChar"/>
          <w:lang w:val="fr-CA"/>
        </w:rPr>
        <w:t>et</w:t>
      </w:r>
      <w:r w:rsidRPr="00B77582">
        <w:rPr>
          <w:rStyle w:val="SCCCounselSeparatorChar"/>
          <w:lang w:val="fr-CA"/>
        </w:rPr>
        <w:t xml:space="preserve"> </w:t>
      </w:r>
      <w:r w:rsidRPr="00B77582">
        <w:rPr>
          <w:rStyle w:val="SCCCounselNameChar"/>
          <w:lang w:val="fr-CA"/>
        </w:rPr>
        <w:t>Mary I.</w:t>
      </w:r>
      <w:r w:rsidR="00867BBE">
        <w:rPr>
          <w:rStyle w:val="SCCCounselNameChar"/>
          <w:lang w:val="fr-CA"/>
        </w:rPr>
        <w:t> </w:t>
      </w:r>
      <w:r w:rsidRPr="00B77582">
        <w:rPr>
          <w:rStyle w:val="SCCCounselNameChar"/>
          <w:lang w:val="fr-CA"/>
        </w:rPr>
        <w:t>A. Buttery</w:t>
      </w:r>
      <w:r w:rsidRPr="00A9558B">
        <w:rPr>
          <w:rStyle w:val="SCCCounselNameChar"/>
          <w:i w:val="0"/>
          <w:lang w:val="fr-CA"/>
        </w:rPr>
        <w:t>,</w:t>
      </w:r>
      <w:r w:rsidRPr="00B77582">
        <w:rPr>
          <w:rStyle w:val="SCCCounselNameChar"/>
          <w:lang w:val="fr-CA"/>
        </w:rPr>
        <w:t xml:space="preserve"> </w:t>
      </w:r>
      <w:r w:rsidR="00A9558B">
        <w:rPr>
          <w:rStyle w:val="SCCCounselNameChar"/>
          <w:lang w:val="fr-CA"/>
        </w:rPr>
        <w:t>c.r</w:t>
      </w:r>
      <w:r w:rsidRPr="00B77582">
        <w:rPr>
          <w:rStyle w:val="SCCCounselNameChar"/>
          <w:lang w:val="fr-CA"/>
        </w:rPr>
        <w:t>.</w:t>
      </w:r>
      <w:r w:rsidRPr="00B77582">
        <w:rPr>
          <w:rStyle w:val="SCCCounselPartyRoleChar"/>
          <w:lang w:val="fr-CA"/>
        </w:rPr>
        <w:t>, pour l</w:t>
      </w:r>
      <w:r w:rsidR="00B77582">
        <w:rPr>
          <w:rStyle w:val="SCCCounselPartyRoleChar"/>
          <w:lang w:val="fr-CA"/>
        </w:rPr>
        <w:t>’</w:t>
      </w:r>
      <w:r w:rsidR="00A9558B">
        <w:rPr>
          <w:rStyle w:val="SCCCounselPartyRoleChar"/>
          <w:lang w:val="fr-CA"/>
        </w:rPr>
        <w:t>intimée la Banque de développement du Canada</w:t>
      </w:r>
      <w:r w:rsidRPr="00B77582">
        <w:rPr>
          <w:rStyle w:val="SCCCounselPartyRoleChar"/>
          <w:lang w:val="fr-CA"/>
        </w:rPr>
        <w:t>.</w:t>
      </w:r>
    </w:p>
    <w:p w:rsidR="008826BD" w:rsidRPr="00B77582" w:rsidRDefault="00A9558B" w:rsidP="00213F87">
      <w:pPr>
        <w:pStyle w:val="SCCNormalDoubleSpacing"/>
        <w:spacing w:after="480"/>
        <w:rPr>
          <w:lang w:val="fr-CA"/>
        </w:rPr>
      </w:pPr>
      <w:r>
        <w:rPr>
          <w:rStyle w:val="SCCCounselNameChar"/>
          <w:lang w:val="fr-CA"/>
        </w:rPr>
        <w:tab/>
      </w:r>
      <w:r w:rsidR="00485465" w:rsidRPr="00B77582">
        <w:rPr>
          <w:rStyle w:val="SCCCounselNameChar"/>
          <w:lang w:val="fr-CA"/>
        </w:rPr>
        <w:t>Kelly J. Bourassa</w:t>
      </w:r>
      <w:r w:rsidR="00485465" w:rsidRPr="00B77582">
        <w:rPr>
          <w:rStyle w:val="SCCCounselPartyRoleChar"/>
          <w:lang w:val="fr-CA"/>
        </w:rPr>
        <w:t>, pour l</w:t>
      </w:r>
      <w:r w:rsidR="00B77582">
        <w:rPr>
          <w:rStyle w:val="SCCCounselPartyRoleChar"/>
          <w:lang w:val="fr-CA"/>
        </w:rPr>
        <w:t>’</w:t>
      </w:r>
      <w:r>
        <w:rPr>
          <w:rStyle w:val="SCCCounselPartyRoleChar"/>
          <w:lang w:val="fr-CA"/>
        </w:rPr>
        <w:t>intervenant</w:t>
      </w:r>
      <w:r w:rsidR="00485465" w:rsidRPr="00B77582">
        <w:rPr>
          <w:rStyle w:val="SCCCounselPartyRoleChar"/>
          <w:lang w:val="fr-CA"/>
        </w:rPr>
        <w:t xml:space="preserve"> </w:t>
      </w:r>
      <w:r>
        <w:rPr>
          <w:rStyle w:val="SCCCounselPartyRoleChar"/>
          <w:lang w:val="fr-CA"/>
        </w:rPr>
        <w:t>l’</w:t>
      </w:r>
      <w:r w:rsidR="00485465" w:rsidRPr="00B77582">
        <w:rPr>
          <w:rStyle w:val="SCCCounselPartyRoleChar"/>
          <w:lang w:val="fr-CA"/>
        </w:rPr>
        <w:t>Institut d</w:t>
      </w:r>
      <w:r w:rsidR="00B77582">
        <w:rPr>
          <w:rStyle w:val="SCCCounselPartyRoleChar"/>
          <w:lang w:val="fr-CA"/>
        </w:rPr>
        <w:t>’</w:t>
      </w:r>
      <w:r w:rsidR="00485465" w:rsidRPr="00B77582">
        <w:rPr>
          <w:rStyle w:val="SCCCounselPartyRoleChar"/>
          <w:lang w:val="fr-CA"/>
        </w:rPr>
        <w:t>insolvabilité du Canada.</w:t>
      </w:r>
    </w:p>
    <w:p w:rsidR="008826BD" w:rsidRDefault="00485465" w:rsidP="00213F87">
      <w:pPr>
        <w:pStyle w:val="SCCNormalDoubleSpacing"/>
        <w:spacing w:after="480"/>
        <w:rPr>
          <w:rStyle w:val="SCCCounselPartyRoleChar"/>
          <w:lang w:val="fr-CA"/>
        </w:rPr>
      </w:pPr>
      <w:r w:rsidRPr="00B77582">
        <w:rPr>
          <w:rStyle w:val="SCCCounselNameChar"/>
          <w:lang w:val="fr-CA"/>
        </w:rPr>
        <w:tab/>
        <w:t>Randal Van de Mosselaer</w:t>
      </w:r>
      <w:r w:rsidRPr="00B77582">
        <w:rPr>
          <w:rStyle w:val="SCCCounselPartyRoleChar"/>
          <w:lang w:val="fr-CA"/>
        </w:rPr>
        <w:t>, pour l</w:t>
      </w:r>
      <w:r w:rsidR="00B77582">
        <w:rPr>
          <w:rStyle w:val="SCCCounselPartyRoleChar"/>
          <w:lang w:val="fr-CA"/>
        </w:rPr>
        <w:t>’</w:t>
      </w:r>
      <w:r>
        <w:rPr>
          <w:rStyle w:val="SCCCounselPartyRoleChar"/>
          <w:lang w:val="fr-CA"/>
        </w:rPr>
        <w:t>intervenante</w:t>
      </w:r>
      <w:r w:rsidRPr="00B77582">
        <w:rPr>
          <w:rStyle w:val="SCCCounselPartyRoleChar"/>
          <w:lang w:val="fr-CA"/>
        </w:rPr>
        <w:t xml:space="preserve"> </w:t>
      </w:r>
      <w:r>
        <w:rPr>
          <w:rStyle w:val="SCCCounselPartyRoleChar"/>
          <w:lang w:val="fr-CA"/>
        </w:rPr>
        <w:t>l’</w:t>
      </w:r>
      <w:r w:rsidRPr="00B77582">
        <w:rPr>
          <w:rStyle w:val="SCCCounselPartyRoleChar"/>
          <w:lang w:val="fr-CA"/>
        </w:rPr>
        <w:t>Association canadienne des professionnels de l</w:t>
      </w:r>
      <w:r w:rsidR="00B77582">
        <w:rPr>
          <w:rStyle w:val="SCCCounselPartyRoleChar"/>
          <w:lang w:val="fr-CA"/>
        </w:rPr>
        <w:t>’</w:t>
      </w:r>
      <w:r w:rsidRPr="00B77582">
        <w:rPr>
          <w:rStyle w:val="SCCCounselPartyRoleChar"/>
          <w:lang w:val="fr-CA"/>
        </w:rPr>
        <w:t>insolvabilité et de la réorganisation.</w:t>
      </w:r>
    </w:p>
    <w:p w:rsidR="00344043" w:rsidRDefault="00344043" w:rsidP="00213F87">
      <w:pPr>
        <w:pStyle w:val="SCCNormalDoubleSpacing"/>
        <w:spacing w:after="480"/>
        <w:rPr>
          <w:rStyle w:val="SCCCounselPartyRoleChar"/>
          <w:lang w:val="fr-CA"/>
        </w:rPr>
      </w:pPr>
    </w:p>
    <w:p w:rsidR="00344043" w:rsidRDefault="00344043" w:rsidP="00344043">
      <w:pPr>
        <w:jc w:val="both"/>
        <w:rPr>
          <w:lang w:val="fr-CA"/>
        </w:rPr>
      </w:pPr>
      <w:r w:rsidRPr="00796D65">
        <w:rPr>
          <w:lang w:val="fr-CA"/>
        </w:rPr>
        <w:t xml:space="preserve">Version française </w:t>
      </w:r>
      <w:r>
        <w:rPr>
          <w:lang w:val="fr-CA"/>
        </w:rPr>
        <w:t xml:space="preserve">des motifs du juge en chef Wagner et </w:t>
      </w:r>
      <w:r w:rsidRPr="00796D65">
        <w:rPr>
          <w:lang w:val="fr-CA"/>
        </w:rPr>
        <w:t xml:space="preserve">des juges </w:t>
      </w:r>
      <w:r>
        <w:rPr>
          <w:lang w:val="fr-CA"/>
        </w:rPr>
        <w:t>Côté et Kasirer</w:t>
      </w:r>
      <w:r w:rsidRPr="00796D65">
        <w:rPr>
          <w:lang w:val="fr-CA"/>
        </w:rPr>
        <w:t xml:space="preserve"> rendu</w:t>
      </w:r>
      <w:r>
        <w:rPr>
          <w:lang w:val="fr-CA"/>
        </w:rPr>
        <w:t>s</w:t>
      </w:r>
      <w:r w:rsidRPr="00796D65">
        <w:rPr>
          <w:lang w:val="fr-CA"/>
        </w:rPr>
        <w:t xml:space="preserve"> par</w:t>
      </w:r>
    </w:p>
    <w:p w:rsidR="00344043" w:rsidRPr="00F65326" w:rsidRDefault="00344043" w:rsidP="00344043">
      <w:pPr>
        <w:jc w:val="both"/>
        <w:rPr>
          <w:lang w:val="fr-CA"/>
        </w:rPr>
      </w:pPr>
    </w:p>
    <w:p w:rsidR="00344043" w:rsidRPr="00074F59" w:rsidRDefault="00344043" w:rsidP="00344043">
      <w:pPr>
        <w:pStyle w:val="JudgeJuge"/>
        <w:spacing w:before="240"/>
        <w:rPr>
          <w:lang w:val="fr-CA"/>
        </w:rPr>
      </w:pPr>
      <w:r w:rsidRPr="00074F59">
        <w:rPr>
          <w:lang w:val="fr-CA"/>
        </w:rPr>
        <w:tab/>
        <w:t xml:space="preserve">La juge Côté — </w:t>
      </w:r>
    </w:p>
    <w:p w:rsidR="00344043" w:rsidRPr="00074F59" w:rsidRDefault="00344043" w:rsidP="00344043">
      <w:pPr>
        <w:pStyle w:val="Title1LevelTitre1Niveau-AltL"/>
        <w:spacing w:before="0"/>
        <w:rPr>
          <w:rFonts w:cs="Times New Roman"/>
          <w:lang w:val="fr-CA"/>
        </w:rPr>
      </w:pPr>
      <w:r w:rsidRPr="00074F59">
        <w:rPr>
          <w:rFonts w:cs="Times New Roman"/>
          <w:lang w:val="fr-CA"/>
        </w:rPr>
        <w:t>Vue d’ensemble</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L’histoire de la </w:t>
      </w:r>
      <w:r w:rsidRPr="00074F59">
        <w:rPr>
          <w:rFonts w:cs="Times New Roman"/>
          <w:i/>
          <w:lang w:val="fr-CA"/>
        </w:rPr>
        <w:t>Loi sur les arrangements avec les créanciers des compagnies</w:t>
      </w:r>
      <w:r w:rsidRPr="00074F59">
        <w:rPr>
          <w:rFonts w:cs="Times New Roman"/>
          <w:lang w:val="fr-CA"/>
        </w:rPr>
        <w:t>, L.R.C. 1985, c. C</w:t>
      </w:r>
      <w:r w:rsidRPr="00074F59">
        <w:rPr>
          <w:rFonts w:cs="Times New Roman"/>
          <w:lang w:val="fr-CA"/>
        </w:rPr>
        <w:noBreakHyphen/>
        <w:t>36</w:t>
      </w:r>
      <w:r w:rsidRPr="00074F59">
        <w:rPr>
          <w:rFonts w:cs="Times New Roman"/>
          <w:i/>
          <w:lang w:val="fr-CA"/>
        </w:rPr>
        <w:t xml:space="preserve"> </w:t>
      </w:r>
      <w:r w:rsidRPr="00074F59">
        <w:rPr>
          <w:rFonts w:cs="Times New Roman"/>
          <w:lang w:val="fr-CA"/>
        </w:rPr>
        <w:t>(« </w:t>
      </w:r>
      <w:r w:rsidRPr="00074F59">
        <w:rPr>
          <w:rFonts w:cs="Times New Roman"/>
          <w:i/>
          <w:lang w:val="fr-CA"/>
        </w:rPr>
        <w:t>LACC </w:t>
      </w:r>
      <w:r w:rsidRPr="00074F59">
        <w:rPr>
          <w:rFonts w:cs="Times New Roman"/>
          <w:lang w:val="fr-CA"/>
        </w:rPr>
        <w:t>»),</w:t>
      </w:r>
      <w:r w:rsidRPr="00074F59">
        <w:rPr>
          <w:rFonts w:cs="Times New Roman"/>
          <w:i/>
          <w:lang w:val="fr-CA"/>
        </w:rPr>
        <w:t xml:space="preserve"> </w:t>
      </w:r>
      <w:r w:rsidRPr="00074F59">
        <w:rPr>
          <w:rFonts w:cs="Times New Roman"/>
          <w:lang w:val="fr-CA"/>
        </w:rPr>
        <w:t>est longue et mouvementée. Depuis ses origines, à l’époque de la Grande</w:t>
      </w:r>
      <w:r>
        <w:rPr>
          <w:rFonts w:cs="Times New Roman"/>
          <w:lang w:val="fr-CA"/>
        </w:rPr>
        <w:t xml:space="preserve"> </w:t>
      </w:r>
      <w:r w:rsidRPr="00074F59">
        <w:rPr>
          <w:rFonts w:cs="Times New Roman"/>
          <w:lang w:val="fr-CA"/>
        </w:rPr>
        <w:t xml:space="preserve">Dépression, jusqu’à sa renaissance et sa métamorphose dans les années 1970 et 1980, la </w:t>
      </w:r>
      <w:r w:rsidRPr="00074F59">
        <w:rPr>
          <w:rFonts w:cs="Times New Roman"/>
          <w:i/>
          <w:lang w:val="fr-CA"/>
        </w:rPr>
        <w:t xml:space="preserve">LACC </w:t>
      </w:r>
      <w:r w:rsidRPr="00074F59">
        <w:rPr>
          <w:rFonts w:cs="Times New Roman"/>
          <w:lang w:val="fr-CA"/>
        </w:rPr>
        <w:t>n’a jamais cessé de jouer un rôle important dans l’économie canadienne. De nos jours, elle offre aux compagnies insolvables dont le passif excède cinq millions de dollars la possibilité de restructurer leurs affaires au moyen d’un plan d’arrangement. Le processus qu’elle prévoit a pour but d’éviter la faillite et de maximiser la valeur pour toutes les parties prenantes.</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Afin de faciliter le processus de restructuration, les tribunaux chargés de le surveiller peuvent autoriser une compagnie insolvable à effectuer certaines dépenses importantes dans le cadre de ce processus. Ces tribunaux peuvent également garantir le paiement de ces dépenses par la constitution d’une charge super prioritaire grevant l’actif de la compagnie insolvable. Aujourd’hui, la Cour est appelée à décider si le juge surveillant peut grever de charges super prioritaires les actifs qui font l’objet d’une </w:t>
      </w:r>
      <w:r w:rsidRPr="00074F59">
        <w:rPr>
          <w:rFonts w:cs="Times New Roman"/>
          <w:lang w:val="fr-CA"/>
        </w:rPr>
        <w:lastRenderedPageBreak/>
        <w:t xml:space="preserve">créance de Sa Majesté protégée par une fiducie réputée créée en vertu du par. 227(4.1) de la </w:t>
      </w:r>
      <w:r w:rsidRPr="00074F59">
        <w:rPr>
          <w:rFonts w:cs="Times New Roman"/>
          <w:i/>
          <w:lang w:val="fr-CA"/>
        </w:rPr>
        <w:t>Loi de l’impôt sur le revenu</w:t>
      </w:r>
      <w:r w:rsidRPr="00074F59">
        <w:rPr>
          <w:rFonts w:cs="Times New Roman"/>
          <w:lang w:val="fr-CA"/>
        </w:rPr>
        <w:t>, L.R.C. 1985, c. 1 (5</w:t>
      </w:r>
      <w:r w:rsidRPr="00074F59">
        <w:rPr>
          <w:rFonts w:cs="Times New Roman"/>
          <w:vertAlign w:val="superscript"/>
          <w:lang w:val="fr-CA"/>
        </w:rPr>
        <w:t>e</w:t>
      </w:r>
      <w:r w:rsidRPr="00074F59">
        <w:rPr>
          <w:rFonts w:cs="Times New Roman"/>
          <w:lang w:val="fr-CA"/>
        </w:rPr>
        <w:t xml:space="preserve"> suppl.)</w:t>
      </w:r>
      <w:r w:rsidRPr="00074F59">
        <w:rPr>
          <w:rFonts w:cs="Times New Roman"/>
          <w:i/>
          <w:lang w:val="fr-CA"/>
        </w:rPr>
        <w:t xml:space="preserve"> </w:t>
      </w:r>
      <w:r w:rsidRPr="00074F59">
        <w:rPr>
          <w:rFonts w:cs="Times New Roman"/>
          <w:lang w:val="fr-CA"/>
        </w:rPr>
        <w:t>(« </w:t>
      </w:r>
      <w:r w:rsidRPr="00074F59">
        <w:rPr>
          <w:rFonts w:cs="Times New Roman"/>
          <w:i/>
          <w:lang w:val="fr-CA"/>
        </w:rPr>
        <w:t>LIR </w:t>
      </w:r>
      <w:r w:rsidRPr="00074F59">
        <w:rPr>
          <w:rFonts w:cs="Times New Roman"/>
          <w:lang w:val="fr-CA"/>
        </w:rPr>
        <w:t>»).</w:t>
      </w:r>
    </w:p>
    <w:p w:rsidR="00344043" w:rsidRPr="00074F59" w:rsidRDefault="00344043" w:rsidP="00344043">
      <w:pPr>
        <w:pStyle w:val="ParaNoNdepar-AltN"/>
        <w:spacing w:before="0"/>
        <w:rPr>
          <w:rFonts w:cs="Times New Roman"/>
          <w:lang w:val="fr-CA"/>
        </w:rPr>
      </w:pPr>
      <w:r w:rsidRPr="00074F59">
        <w:rPr>
          <w:rFonts w:cs="Times New Roman"/>
          <w:lang w:val="fr-CA"/>
        </w:rPr>
        <w:t>La Couronne fait valoir deux arguments en raison desquels un juge surveillant ne devrait pas pouvoir subordonner l’intérêt de Sa Majesté à des charges super prioritaires. En premier lieu, la Couronne affirme que le par. 227(4.1) crée un intérêt à titre de propriétaire dans les biens du débiteur et que le tribunal ne peut pas grever d’une charge super prioritaire les biens faisant l’objet d’un intérêt de Sa Majesté. En second lieu, la Couronne affirme que, même si le par. 227(4.1) ne crée pas d’intérêt à titre de propriétaire, il crée, en vertu de la loi, une garantie qui a priorité sur toutes les autres garanties, y compris les charges super prioritaires.</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Ces deux arguments doivent être rejetés. Ainsi que notre Cour l’a déjà jugé, la </w:t>
      </w:r>
      <w:r w:rsidRPr="00074F59">
        <w:rPr>
          <w:rFonts w:cs="Times New Roman"/>
          <w:i/>
          <w:lang w:val="fr-CA"/>
        </w:rPr>
        <w:t xml:space="preserve">LACC </w:t>
      </w:r>
      <w:r w:rsidRPr="00074F59">
        <w:rPr>
          <w:rFonts w:cs="Times New Roman"/>
          <w:lang w:val="fr-CA"/>
        </w:rPr>
        <w:t xml:space="preserve">habilite de façon générale les juges surveillants à ordonner des charges super prioritaires qui ont priorité sur toutes les autres créances, y compris celles qui sont protégées par des fiducies réputées. Chaque fois qu’il est en présence d’une fiducie réputée, le juge surveillant doit déterminer la nature du droit conféré par le texte de loi habilitant, et il ne peut se fonder uniquement sur cette notion de fiducie réputée. En l’espèce, lorsqu’on examine les dispositions pertinentes de la </w:t>
      </w:r>
      <w:r w:rsidRPr="00074F59">
        <w:rPr>
          <w:rFonts w:cs="Times New Roman"/>
          <w:i/>
          <w:lang w:val="fr-CA"/>
        </w:rPr>
        <w:t>LIR</w:t>
      </w:r>
      <w:r w:rsidRPr="00074F59">
        <w:rPr>
          <w:rFonts w:cs="Times New Roman"/>
          <w:lang w:val="fr-CA"/>
        </w:rPr>
        <w:t xml:space="preserve"> dans leur intégralité, il est évident que la </w:t>
      </w:r>
      <w:r w:rsidRPr="00074F59">
        <w:rPr>
          <w:rFonts w:cs="Times New Roman"/>
          <w:i/>
          <w:lang w:val="fr-CA"/>
        </w:rPr>
        <w:t xml:space="preserve">LIR </w:t>
      </w:r>
      <w:r w:rsidRPr="00074F59">
        <w:rPr>
          <w:rFonts w:cs="Times New Roman"/>
          <w:lang w:val="fr-CA"/>
        </w:rPr>
        <w:t xml:space="preserve">ne crée pas d’intérêt à titre de propriétaire, parce que la créance de Sa Majesté </w:t>
      </w:r>
      <w:bookmarkStart w:id="1" w:name="_Hlk69290953"/>
      <w:r w:rsidRPr="00074F59">
        <w:rPr>
          <w:rFonts w:cs="Times New Roman"/>
          <w:lang w:val="fr-CA"/>
        </w:rPr>
        <w:t>ne se rattache à aucun bien spécifique</w:t>
      </w:r>
      <w:bookmarkEnd w:id="1"/>
      <w:r w:rsidRPr="00074F59">
        <w:rPr>
          <w:rFonts w:cs="Times New Roman"/>
          <w:lang w:val="fr-CA"/>
        </w:rPr>
        <w:t xml:space="preserve">. De plus, il n’y a pas de conflit entre la </w:t>
      </w:r>
      <w:r w:rsidRPr="00074F59">
        <w:rPr>
          <w:rFonts w:cs="Times New Roman"/>
          <w:i/>
          <w:lang w:val="fr-CA"/>
        </w:rPr>
        <w:t>LIR</w:t>
      </w:r>
      <w:r w:rsidRPr="00074F59">
        <w:rPr>
          <w:rFonts w:cs="Times New Roman"/>
          <w:lang w:val="fr-CA"/>
        </w:rPr>
        <w:t xml:space="preserve"> et l’ordonnance rendue en vertu de la </w:t>
      </w:r>
      <w:r w:rsidRPr="00074F59">
        <w:rPr>
          <w:rFonts w:cs="Times New Roman"/>
          <w:i/>
          <w:lang w:val="fr-CA"/>
        </w:rPr>
        <w:t>LACC</w:t>
      </w:r>
      <w:r w:rsidRPr="00074F59">
        <w:rPr>
          <w:rFonts w:cs="Times New Roman"/>
          <w:lang w:val="fr-CA"/>
        </w:rPr>
        <w:t xml:space="preserve">, étant donné que la fiducie réputée créée en vertu de la </w:t>
      </w:r>
      <w:r w:rsidRPr="00074F59">
        <w:rPr>
          <w:rFonts w:cs="Times New Roman"/>
          <w:i/>
          <w:lang w:val="fr-CA"/>
        </w:rPr>
        <w:t xml:space="preserve">LIR </w:t>
      </w:r>
      <w:r w:rsidRPr="00074F59">
        <w:rPr>
          <w:rFonts w:cs="Times New Roman"/>
          <w:lang w:val="fr-CA"/>
        </w:rPr>
        <w:t xml:space="preserve">n’a priorité que sur un ensemble bien précis de </w:t>
      </w:r>
      <w:r w:rsidRPr="00074F59">
        <w:rPr>
          <w:rFonts w:cs="Times New Roman"/>
          <w:lang w:val="fr-CA"/>
        </w:rPr>
        <w:lastRenderedPageBreak/>
        <w:t xml:space="preserve">garanties. La charge super prioritaire constituée en vertu de l’art. 11 de la </w:t>
      </w:r>
      <w:r w:rsidRPr="00074F59">
        <w:rPr>
          <w:rFonts w:cs="Times New Roman"/>
          <w:i/>
          <w:lang w:val="fr-CA"/>
        </w:rPr>
        <w:t xml:space="preserve">LACC </w:t>
      </w:r>
      <w:r w:rsidRPr="00074F59">
        <w:rPr>
          <w:rFonts w:cs="Times New Roman"/>
          <w:lang w:val="fr-CA"/>
        </w:rPr>
        <w:t>ne répond pas à cette définition. Pour les motifs qui suivent, je suis donc d’avis de rejeter le pourvoi.</w:t>
      </w:r>
    </w:p>
    <w:p w:rsidR="00344043" w:rsidRPr="00074F59" w:rsidRDefault="00344043" w:rsidP="00344043">
      <w:pPr>
        <w:pStyle w:val="Title1LevelTitre1Niveau-AltL"/>
        <w:spacing w:before="0"/>
        <w:rPr>
          <w:rFonts w:cs="Times New Roman"/>
          <w:lang w:val="fr-CA"/>
        </w:rPr>
      </w:pPr>
      <w:r w:rsidRPr="00074F59">
        <w:rPr>
          <w:rFonts w:cs="Times New Roman"/>
          <w:lang w:val="fr-CA"/>
        </w:rPr>
        <w:t>Contexte</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Canada North Group et six sociétés liées (« débitrices ») ont entamé, en vertu du par. 50.4(1) de la </w:t>
      </w:r>
      <w:r w:rsidRPr="00074F59">
        <w:rPr>
          <w:rFonts w:cs="Times New Roman"/>
          <w:i/>
          <w:lang w:val="fr-CA"/>
        </w:rPr>
        <w:t>Loi sur la faillite et l’insolvabilité</w:t>
      </w:r>
      <w:r w:rsidRPr="00074F59">
        <w:rPr>
          <w:rFonts w:cs="Times New Roman"/>
          <w:lang w:val="fr-CA"/>
        </w:rPr>
        <w:t>, L.R.C. 1985, c. B</w:t>
      </w:r>
      <w:r w:rsidRPr="00074F59">
        <w:rPr>
          <w:rFonts w:cs="Times New Roman"/>
          <w:lang w:val="fr-CA"/>
        </w:rPr>
        <w:noBreakHyphen/>
        <w:t>3 (« </w:t>
      </w:r>
      <w:r w:rsidRPr="00074F59">
        <w:rPr>
          <w:rFonts w:cs="Times New Roman"/>
          <w:i/>
          <w:lang w:val="fr-CA"/>
        </w:rPr>
        <w:t>LFI</w:t>
      </w:r>
      <w:r w:rsidRPr="00074F59">
        <w:rPr>
          <w:rFonts w:cs="Times New Roman"/>
          <w:lang w:val="fr-CA"/>
        </w:rPr>
        <w:t xml:space="preserve"> »), un processus de restructuration, mais ont rapidement changé de cap pour tenter de se restructurer sous le régime de la </w:t>
      </w:r>
      <w:r w:rsidRPr="00074F59">
        <w:rPr>
          <w:rFonts w:cs="Times New Roman"/>
          <w:i/>
          <w:lang w:val="fr-CA"/>
        </w:rPr>
        <w:t>LACC</w:t>
      </w:r>
      <w:r w:rsidRPr="00074F59">
        <w:rPr>
          <w:rFonts w:cs="Times New Roman"/>
          <w:lang w:val="fr-CA"/>
        </w:rPr>
        <w:t xml:space="preserve">. Dans la demande initiale qu’elles ont présentée en vertu de la </w:t>
      </w:r>
      <w:r w:rsidRPr="00074F59">
        <w:rPr>
          <w:rFonts w:cs="Times New Roman"/>
          <w:i/>
          <w:lang w:val="fr-CA"/>
        </w:rPr>
        <w:t>LACC</w:t>
      </w:r>
      <w:r w:rsidRPr="00074F59">
        <w:rPr>
          <w:rFonts w:cs="Times New Roman"/>
          <w:lang w:val="fr-CA"/>
        </w:rPr>
        <w:t>, elles réclamaient une série de mesures habituellement demandées dans le cadre des instances introduites sous ce régime</w:t>
      </w:r>
      <w:r w:rsidRPr="00074F59">
        <w:rPr>
          <w:rFonts w:cs="Times New Roman"/>
          <w:iCs/>
          <w:lang w:val="fr-CA"/>
        </w:rPr>
        <w:t>,</w:t>
      </w:r>
      <w:r w:rsidRPr="00074F59">
        <w:rPr>
          <w:rFonts w:cs="Times New Roman"/>
          <w:i/>
          <w:lang w:val="fr-CA"/>
        </w:rPr>
        <w:t xml:space="preserve"> </w:t>
      </w:r>
      <w:r w:rsidRPr="00074F59">
        <w:rPr>
          <w:rFonts w:cs="Times New Roman"/>
          <w:lang w:val="fr-CA"/>
        </w:rPr>
        <w:t xml:space="preserve">y compris les mesures suivantes : une suspension de trente jours de toutes les procédures engagées contre elles, la désignation d’un contrôleur et la création de trois charges super prioritaires. La première charge demandée visait des frais administratifs d’un million de dollars et devait être constituée en faveur des avocats, du contrôleur et du directeur de la restructuration pour les frais qu’ils ont engagés. La deuxième était une charge de financement d’un million de dollars en faveur d’un prêteur temporaire. La troisième était une garantie de 150 000 $ constituée en faveur des administrateurs en vue de les protéger ainsi que les dirigeants contre les obligations contractées après l’introduction de l’instance. Les débitrices ont joint à leur demande initiale un affidavit de l’un de leurs administrateurs pour attester l’existence d’une dette de 1 140 000 $ </w:t>
      </w:r>
      <w:r w:rsidRPr="00074F59">
        <w:rPr>
          <w:rFonts w:cs="Times New Roman"/>
          <w:lang w:val="fr-CA"/>
        </w:rPr>
        <w:lastRenderedPageBreak/>
        <w:t>envers Sa Majesté la Reine pour des retenues à la source et pour la taxe sur les produits et services (« TPS »).</w:t>
      </w:r>
    </w:p>
    <w:p w:rsidR="00344043" w:rsidRPr="00074F59" w:rsidRDefault="00344043" w:rsidP="00344043">
      <w:pPr>
        <w:pStyle w:val="ParaNoNdepar-AltN"/>
        <w:spacing w:before="0"/>
        <w:rPr>
          <w:rFonts w:cs="Times New Roman"/>
          <w:lang w:val="fr-CA"/>
        </w:rPr>
      </w:pPr>
      <w:r w:rsidRPr="00074F59">
        <w:rPr>
          <w:rFonts w:cs="Times New Roman"/>
          <w:lang w:val="fr-CA"/>
        </w:rPr>
        <w:t>Le juge Nielsen, de la Cour du Banc de la Reine, a instruit la requête, ainsi que la requête incidente présentée par le principal prêteur des débitrices, la Banque canadienne de l’Ouest, en vue d’obtenir la nomination d’un séquestre. Le juge Nielsen a rendu, en faveur des débitrices, une ordonnance initiale conforme aux modalités de leur demande initiale (hormis une réduction de 500 000 $ de la charge au titre des frais administratifs)</w:t>
      </w:r>
      <w:r>
        <w:rPr>
          <w:rFonts w:cs="Times New Roman"/>
          <w:lang w:val="fr-CA"/>
        </w:rPr>
        <w:t xml:space="preserve"> (</w:t>
      </w:r>
      <w:r w:rsidRPr="00074F59">
        <w:rPr>
          <w:rFonts w:cs="Times New Roman"/>
          <w:lang w:val="fr-CA"/>
        </w:rPr>
        <w:t>B.R. Alb., n</w:t>
      </w:r>
      <w:r w:rsidRPr="00074F59">
        <w:rPr>
          <w:rFonts w:cs="Times New Roman"/>
          <w:vertAlign w:val="superscript"/>
          <w:lang w:val="fr-CA"/>
        </w:rPr>
        <w:t>o</w:t>
      </w:r>
      <w:r w:rsidRPr="00074F59">
        <w:rPr>
          <w:rFonts w:cs="Times New Roman"/>
          <w:lang w:val="fr-CA"/>
        </w:rPr>
        <w:t> 1703</w:t>
      </w:r>
      <w:r w:rsidRPr="00074F59">
        <w:rPr>
          <w:rFonts w:cs="Times New Roman"/>
          <w:lang w:val="fr-CA"/>
        </w:rPr>
        <w:noBreakHyphen/>
        <w:t>12327, 5 juillet 2017 (« ordonnance initiale »)). Cette ordonnance prévoyait notamment ce qui suit au sujet de l’ordre de priorité :</w:t>
      </w:r>
    </w:p>
    <w:p w:rsidR="00344043" w:rsidRPr="00074F59" w:rsidRDefault="00344043" w:rsidP="00344043">
      <w:pPr>
        <w:pStyle w:val="Citation-AltC"/>
        <w:ind w:hanging="446"/>
        <w:rPr>
          <w:lang w:val="fr-CA"/>
        </w:rPr>
      </w:pPr>
      <w:r w:rsidRPr="00074F59">
        <w:rPr>
          <w:lang w:val="fr-CA"/>
        </w:rPr>
        <w:tab/>
        <w:t>[</w:t>
      </w:r>
      <w:r w:rsidRPr="00074F59">
        <w:rPr>
          <w:smallCaps/>
          <w:lang w:val="fr-CA"/>
        </w:rPr>
        <w:t>traduction</w:t>
      </w:r>
      <w:r w:rsidRPr="00074F59">
        <w:rPr>
          <w:lang w:val="fr-CA"/>
        </w:rPr>
        <w:t>]</w:t>
      </w:r>
      <w:r>
        <w:rPr>
          <w:lang w:val="fr-CA"/>
        </w:rPr>
        <w:t xml:space="preserve"> C</w:t>
      </w:r>
      <w:r w:rsidRPr="00074F59">
        <w:rPr>
          <w:lang w:val="fr-CA"/>
        </w:rPr>
        <w:t xml:space="preserve">hacune des charges relatives à l’administration, aux administrateurs et au prêteur temporaire (constituées et définies aux présentes) grèvent les biens et, sous réserve du paragraphe 34(11) de la </w:t>
      </w:r>
      <w:r w:rsidRPr="009F2E9F">
        <w:rPr>
          <w:lang w:val="fr-CA"/>
        </w:rPr>
        <w:t>LACC</w:t>
      </w:r>
      <w:r w:rsidRPr="00074F59">
        <w:rPr>
          <w:lang w:val="fr-CA"/>
        </w:rPr>
        <w:t xml:space="preserve">, toutes ces charges </w:t>
      </w:r>
      <w:r>
        <w:rPr>
          <w:lang w:val="fr-CA"/>
        </w:rPr>
        <w:t>ont</w:t>
      </w:r>
      <w:r w:rsidRPr="00074F59">
        <w:rPr>
          <w:lang w:val="fr-CA"/>
        </w:rPr>
        <w:t xml:space="preserve"> priorité sur tous les autres privilèges, garanties, fiducies, charges et sûretés, créances de créanciers garantis, d’origine législative ou autre (collectivement « les sûretés ») détenus par quiconque. [</w:t>
      </w:r>
      <w:r>
        <w:rPr>
          <w:lang w:val="fr-CA"/>
        </w:rPr>
        <w:t>Caractères gras omis</w:t>
      </w:r>
      <w:r w:rsidRPr="00074F59">
        <w:rPr>
          <w:lang w:val="fr-CA"/>
        </w:rPr>
        <w:t>; par. 44.]</w:t>
      </w:r>
    </w:p>
    <w:p w:rsidR="00344043" w:rsidRPr="00074F59" w:rsidRDefault="00344043" w:rsidP="00344043">
      <w:pPr>
        <w:pStyle w:val="ContinueParaSuitedupar-AltP"/>
        <w:spacing w:before="0"/>
        <w:rPr>
          <w:rFonts w:cs="Times New Roman"/>
          <w:lang w:val="fr-CA"/>
        </w:rPr>
      </w:pPr>
      <w:r w:rsidRPr="00074F59">
        <w:rPr>
          <w:rFonts w:cs="Times New Roman"/>
          <w:lang w:val="fr-CA"/>
        </w:rPr>
        <w:t>Le juge Nielsen a également précisé que les charges en question [</w:t>
      </w:r>
      <w:r w:rsidRPr="00074F59">
        <w:rPr>
          <w:rFonts w:cs="Times New Roman"/>
          <w:smallCaps/>
          <w:lang w:val="fr-CA"/>
        </w:rPr>
        <w:t>traduction</w:t>
      </w:r>
      <w:r w:rsidRPr="00074F59">
        <w:rPr>
          <w:rFonts w:cs="Times New Roman"/>
          <w:lang w:val="fr-CA"/>
        </w:rPr>
        <w:t xml:space="preserve">] « ne sont pas autrement limitées ou compromises de quelque façon que ce soit par [. . .] </w:t>
      </w:r>
      <w:r>
        <w:rPr>
          <w:rFonts w:cs="Times New Roman"/>
          <w:lang w:val="fr-CA"/>
        </w:rPr>
        <w:t>(</w:t>
      </w:r>
      <w:r w:rsidRPr="00074F59">
        <w:rPr>
          <w:rFonts w:cs="Times New Roman"/>
          <w:lang w:val="fr-CA"/>
        </w:rPr>
        <w:t>d) les dispositions de toute loi fédérale ou provinciale » (par. 46).</w:t>
      </w:r>
    </w:p>
    <w:p w:rsidR="00344043" w:rsidRPr="00074F59" w:rsidRDefault="00344043" w:rsidP="00344043">
      <w:pPr>
        <w:pStyle w:val="ParaNoNdepar-AltN"/>
        <w:spacing w:before="0"/>
        <w:rPr>
          <w:rFonts w:cs="Times New Roman"/>
          <w:lang w:val="fr-CA"/>
        </w:rPr>
      </w:pPr>
      <w:r w:rsidRPr="00074F59">
        <w:rPr>
          <w:rFonts w:cs="Times New Roman"/>
          <w:lang w:val="fr-CA"/>
        </w:rPr>
        <w:t>Trois semaines après le prononcé de l’ordonnance initiale, les débitrices ont demandé des ordonnances supplémentaires pour prolonger la suspension de l’instance et faire passer à 2</w:t>
      </w:r>
      <w:r>
        <w:rPr>
          <w:rFonts w:cs="Times New Roman"/>
          <w:lang w:val="fr-CA"/>
        </w:rPr>
        <w:t>,5 millions de dollars</w:t>
      </w:r>
      <w:r w:rsidRPr="00074F59">
        <w:rPr>
          <w:rFonts w:cs="Times New Roman"/>
          <w:lang w:val="fr-CA"/>
        </w:rPr>
        <w:t xml:space="preserve"> le financement temporaire. La Banque canadienne de l’Ouest a de nouveau déposé une requête en nomination d’un séquestre. </w:t>
      </w:r>
      <w:r w:rsidRPr="00074F59">
        <w:rPr>
          <w:rFonts w:cs="Times New Roman"/>
          <w:lang w:val="fr-CA"/>
        </w:rPr>
        <w:lastRenderedPageBreak/>
        <w:t>Durant l’instruction de ces trois requêtes, l’avocat de Sa Majesté a comparu afin d’annoncer que celle</w:t>
      </w:r>
      <w:r w:rsidRPr="00074F59">
        <w:rPr>
          <w:rFonts w:cs="Times New Roman"/>
          <w:lang w:val="fr-CA"/>
        </w:rPr>
        <w:noBreakHyphen/>
        <w:t>ci s’apprêtait à déposer une requête pour faire modifier l’ordonnance initiale au motif que cette ordonnance ne reconnaissait pas sa priorité sur les retenues à la source non versées (la partie de la rémunération que les employeurs ont l’obligation de retenir auprès de leurs employés et de remettre directement à l’Agence du revenu du Canada (« ARC »)).</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La Couronne a déposé sa requête peu de temps après. L’argument qu’elle invoquait pour justifier sa demande de modification de l’ordonnance initiale reposait sur la nature du droit que possédait Sa Majesté sur les biens des débitrices. Elle a fait valoir que la nature du droit de Sa Majesté était déterminée par le par. 227(4.1) de la </w:t>
      </w:r>
      <w:r w:rsidRPr="00074F59">
        <w:rPr>
          <w:rFonts w:cs="Times New Roman"/>
          <w:i/>
          <w:lang w:val="fr-CA"/>
        </w:rPr>
        <w:t>LIR</w:t>
      </w:r>
      <w:r w:rsidRPr="00074F59">
        <w:rPr>
          <w:rFonts w:cs="Times New Roman"/>
          <w:lang w:val="fr-CA"/>
        </w:rPr>
        <w:t>, qui créait un intérêt à titre de propriétaire :</w:t>
      </w:r>
    </w:p>
    <w:p w:rsidR="00344043" w:rsidRPr="00074F59" w:rsidRDefault="00344043" w:rsidP="00344043">
      <w:pPr>
        <w:pStyle w:val="Citation-AltC"/>
        <w:spacing w:after="240"/>
        <w:ind w:hanging="446"/>
        <w:contextualSpacing w:val="0"/>
        <w:rPr>
          <w:lang w:val="fr-CA"/>
        </w:rPr>
      </w:pPr>
      <w:r w:rsidRPr="00074F59">
        <w:rPr>
          <w:b/>
          <w:lang w:val="fr-CA"/>
        </w:rPr>
        <w:tab/>
        <w:t>(4)</w:t>
      </w:r>
      <w:r w:rsidRPr="00074F59">
        <w:rPr>
          <w:lang w:val="fr-CA"/>
        </w:rPr>
        <w:t xml:space="preserve"> </w:t>
      </w:r>
      <w:r w:rsidRPr="00074F59">
        <w:rPr>
          <w:shd w:val="clear" w:color="auto" w:fill="FFFFFF"/>
          <w:lang w:val="fr-CA"/>
        </w:rPr>
        <w:t>Toute personne qui déduit ou retient un montant en vertu de la présente loi est réputée, malgré toute autre garantie au sens du paragraphe 224(1.3) le concernant, le détenir en fiducie pour Sa Majesté, séparé de ses propres biens et des biens détenus par son créancier garanti au sens de ce paragraphe qui, en l’absence de la garantie, seraient ceux de la personne, et en vue de le verser à Sa Majesté selon les modalités et dans le délai prévus par la présente loi</w:t>
      </w:r>
      <w:r w:rsidRPr="00074F59">
        <w:rPr>
          <w:lang w:val="fr-CA"/>
        </w:rPr>
        <w:t>.</w:t>
      </w:r>
    </w:p>
    <w:p w:rsidR="00344043" w:rsidRPr="00074F59" w:rsidRDefault="00344043" w:rsidP="00344043">
      <w:pPr>
        <w:pStyle w:val="Citation-AltC"/>
        <w:spacing w:after="240"/>
        <w:ind w:hanging="446"/>
        <w:contextualSpacing w:val="0"/>
        <w:rPr>
          <w:lang w:val="fr-CA"/>
        </w:rPr>
      </w:pPr>
      <w:r w:rsidRPr="00074F59">
        <w:rPr>
          <w:b/>
          <w:lang w:val="fr-CA"/>
        </w:rPr>
        <w:tab/>
        <w:t>(4.1)</w:t>
      </w:r>
      <w:r w:rsidRPr="00074F59">
        <w:rPr>
          <w:lang w:val="fr-CA"/>
        </w:rPr>
        <w:t xml:space="preserve"> Malgré les autres dispositions de la présente loi, la </w:t>
      </w:r>
      <w:r w:rsidRPr="00074F59">
        <w:rPr>
          <w:rStyle w:val="HTMLCite"/>
          <w:lang w:val="fr-CA"/>
        </w:rPr>
        <w:t>Loi sur la faillite et l’insolvabilité</w:t>
      </w:r>
      <w:r w:rsidRPr="00074F59">
        <w:rPr>
          <w:lang w:val="fr-CA"/>
        </w:rPr>
        <w:t> (sauf ses articles 81.1 et 81.2), tout autre texte législatif fédéral ou provincial ou toute règle de droit, en cas de non-versement à Sa Majesté, selon les modalités et dans le délai prévus par la présente loi, d’un montant qu’une personne est réputée par le paragraphe (4) détenir en fiducie pour Sa Majesté, les biens de la personne, et les biens détenus par son créancier garanti au sens du paragraphe 224(1.3) qui, en l’absence d’une garantie au sens du même paragraphe, seraient ceux de la personne, d’une valeur égale à ce montant sont réputés :</w:t>
      </w:r>
    </w:p>
    <w:p w:rsidR="00344043" w:rsidRPr="00074F59" w:rsidRDefault="00344043" w:rsidP="00344043">
      <w:pPr>
        <w:pStyle w:val="Citation-AltC"/>
        <w:spacing w:after="240"/>
        <w:ind w:left="1440" w:hanging="360"/>
        <w:contextualSpacing w:val="0"/>
        <w:rPr>
          <w:lang w:val="fr-CA"/>
        </w:rPr>
      </w:pPr>
      <w:r w:rsidRPr="00074F59">
        <w:rPr>
          <w:rStyle w:val="lawlabel"/>
          <w:b/>
          <w:lang w:val="fr-CA"/>
        </w:rPr>
        <w:tab/>
        <w:t>a)</w:t>
      </w:r>
      <w:r w:rsidRPr="00074F59">
        <w:rPr>
          <w:lang w:val="fr-CA"/>
        </w:rPr>
        <w:t> être détenus en fiducie pour Sa Majesté, à compter du moment où le montant est déduit ou retenu, séparés des propres biens de la personne, qu’ils soient ou non assujettis à une telle garantie;</w:t>
      </w:r>
    </w:p>
    <w:p w:rsidR="00344043" w:rsidRPr="00074F59" w:rsidRDefault="00344043" w:rsidP="00344043">
      <w:pPr>
        <w:pStyle w:val="Citation-AltC"/>
        <w:spacing w:after="240"/>
        <w:ind w:left="1440" w:hanging="360"/>
        <w:contextualSpacing w:val="0"/>
        <w:rPr>
          <w:lang w:val="fr-CA"/>
        </w:rPr>
      </w:pPr>
      <w:r w:rsidRPr="00074F59">
        <w:rPr>
          <w:rStyle w:val="lawlabel"/>
          <w:b/>
          <w:lang w:val="fr-CA"/>
        </w:rPr>
        <w:lastRenderedPageBreak/>
        <w:tab/>
        <w:t>b)</w:t>
      </w:r>
      <w:r w:rsidRPr="00074F59">
        <w:rPr>
          <w:lang w:val="fr-CA"/>
        </w:rPr>
        <w:t> ne pas faire partie du patrimoine ou des biens de la personne à compter du moment où le montant est déduit ou retenu, que ces biens aient été ou non tenus séparés de ses propres biens ou de son patrimoine et qu’ils soient ou non assujettis à une telle garantie.</w:t>
      </w:r>
    </w:p>
    <w:p w:rsidR="00344043" w:rsidRPr="00074F59" w:rsidRDefault="00344043" w:rsidP="00344043">
      <w:pPr>
        <w:pStyle w:val="Citation-AltC"/>
        <w:ind w:hanging="446"/>
        <w:contextualSpacing w:val="0"/>
        <w:rPr>
          <w:lang w:val="fr-CA"/>
        </w:rPr>
      </w:pPr>
      <w:r w:rsidRPr="00074F59">
        <w:rPr>
          <w:lang w:val="fr-CA"/>
        </w:rPr>
        <w:tab/>
        <w:t>Ces biens sont des biens dans lesquels Sa Majesté a un droit de bénéficiaire malgré toute autre garantie sur ces biens ou sur le produit en découlant, et le produit découlant de ces biens est payé au receveur général par priorité sur une telle garantie.</w:t>
      </w:r>
    </w:p>
    <w:p w:rsidR="00344043" w:rsidRPr="00074F59" w:rsidRDefault="00344043" w:rsidP="00344043">
      <w:pPr>
        <w:pStyle w:val="Title1LevelTitre1Niveau-AltL"/>
        <w:numPr>
          <w:ilvl w:val="0"/>
          <w:numId w:val="8"/>
        </w:numPr>
        <w:spacing w:before="0"/>
        <w:rPr>
          <w:rFonts w:cs="Times New Roman"/>
          <w:lang w:val="fr-CA"/>
        </w:rPr>
      </w:pPr>
      <w:r w:rsidRPr="00074F59">
        <w:rPr>
          <w:rFonts w:cs="Times New Roman"/>
          <w:lang w:val="fr-CA"/>
        </w:rPr>
        <w:t>Les décisions des juridictions inférieures</w:t>
      </w:r>
    </w:p>
    <w:p w:rsidR="00344043" w:rsidRPr="00074F59" w:rsidRDefault="00344043" w:rsidP="00344043">
      <w:pPr>
        <w:pStyle w:val="Title2LevelTitre2Niveau"/>
        <w:numPr>
          <w:ilvl w:val="1"/>
          <w:numId w:val="8"/>
        </w:numPr>
        <w:spacing w:before="0"/>
        <w:rPr>
          <w:rFonts w:cs="Times New Roman"/>
          <w:i w:val="0"/>
          <w:lang w:val="fr-CA"/>
        </w:rPr>
      </w:pPr>
      <w:bookmarkStart w:id="2" w:name="_Toc57151278"/>
      <w:r w:rsidRPr="00074F59">
        <w:rPr>
          <w:rFonts w:cs="Times New Roman"/>
          <w:lang w:val="fr-CA"/>
        </w:rPr>
        <w:t>Cour du Banc de la Reine, 2017 ABQB 550, 60 Alta</w:t>
      </w:r>
      <w:r>
        <w:rPr>
          <w:rFonts w:cs="Times New Roman"/>
          <w:lang w:val="fr-CA"/>
        </w:rPr>
        <w:t>.</w:t>
      </w:r>
      <w:r w:rsidRPr="00074F59">
        <w:rPr>
          <w:rFonts w:cs="Times New Roman"/>
          <w:lang w:val="fr-CA"/>
        </w:rPr>
        <w:t xml:space="preserve"> L.R. (6th)</w:t>
      </w:r>
      <w:bookmarkEnd w:id="2"/>
      <w:r w:rsidRPr="00074F59">
        <w:rPr>
          <w:rFonts w:cs="Times New Roman"/>
          <w:lang w:val="fr-CA"/>
        </w:rPr>
        <w:t xml:space="preserve"> 103</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La juge Topolniski a instruit la requête présentée par Sa Majesté en vue de faire modifier l’ordonnance initiale. Malgré le délai écoulé entre l’ordonnance initiale et la requête en modification, la juge Topolniski a estimé qu’elle avait compétence pour entendre la requête vu le pouvoir discrétionnaire et la marge de manœuvre que lui confère la </w:t>
      </w:r>
      <w:r w:rsidRPr="00074F59">
        <w:rPr>
          <w:rFonts w:cs="Times New Roman"/>
          <w:i/>
          <w:lang w:val="fr-CA"/>
        </w:rPr>
        <w:t>LACC</w:t>
      </w:r>
      <w:r w:rsidRPr="00074F59">
        <w:rPr>
          <w:rFonts w:cs="Times New Roman"/>
          <w:lang w:val="fr-CA"/>
        </w:rPr>
        <w:t xml:space="preserve">. Elle a toutefois rejeté la requête au motif que le par. 227(4.1) de la </w:t>
      </w:r>
      <w:r w:rsidRPr="00074F59">
        <w:rPr>
          <w:rFonts w:cs="Times New Roman"/>
          <w:i/>
          <w:lang w:val="fr-CA"/>
        </w:rPr>
        <w:t>LIR</w:t>
      </w:r>
      <w:r w:rsidRPr="00074F59">
        <w:rPr>
          <w:rFonts w:cs="Times New Roman"/>
          <w:lang w:val="fr-CA"/>
        </w:rPr>
        <w:t xml:space="preserve"> créait une garantie qui pouvait être subordonnée à des charges super prioritaires d’origine judiciaire.</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La juge Topolniski s’est appuyée sur les arrêts </w:t>
      </w:r>
      <w:r w:rsidRPr="00074F59">
        <w:rPr>
          <w:rFonts w:cs="Times New Roman"/>
          <w:i/>
          <w:lang w:val="fr-CA"/>
        </w:rPr>
        <w:t>Temple City Housing Inc., Re</w:t>
      </w:r>
      <w:r w:rsidRPr="009F2E9F">
        <w:rPr>
          <w:rFonts w:cs="Times New Roman"/>
          <w:lang w:val="fr-CA"/>
        </w:rPr>
        <w:t>,</w:t>
      </w:r>
      <w:r w:rsidRPr="00074F59">
        <w:rPr>
          <w:rFonts w:cs="Times New Roman"/>
          <w:i/>
          <w:lang w:val="fr-CA"/>
        </w:rPr>
        <w:t xml:space="preserve"> </w:t>
      </w:r>
      <w:r w:rsidRPr="00074F59">
        <w:rPr>
          <w:rFonts w:cs="Times New Roman"/>
          <w:lang w:val="fr-CA"/>
        </w:rPr>
        <w:t xml:space="preserve">2007 ABQB 786, 42 C.B.R. (5th) 274, et </w:t>
      </w:r>
      <w:r w:rsidRPr="00074F59">
        <w:rPr>
          <w:rFonts w:cs="Times New Roman"/>
          <w:i/>
          <w:lang w:val="fr-CA"/>
        </w:rPr>
        <w:t>First Vancouver Finance c. M.R.N.</w:t>
      </w:r>
      <w:r w:rsidRPr="00074F59">
        <w:rPr>
          <w:rFonts w:cs="Times New Roman"/>
          <w:lang w:val="fr-CA"/>
        </w:rPr>
        <w:t xml:space="preserve">, 2002 CSC 49, [2002] 2 R.C.S. 720, pour conclure que la fiducie réputée créée en application du par. 227(4.1) de la </w:t>
      </w:r>
      <w:r w:rsidRPr="00074F59">
        <w:rPr>
          <w:rFonts w:cs="Times New Roman"/>
          <w:i/>
          <w:lang w:val="fr-CA"/>
        </w:rPr>
        <w:t xml:space="preserve">LIR </w:t>
      </w:r>
      <w:r w:rsidRPr="00074F59">
        <w:rPr>
          <w:rFonts w:cs="Times New Roman"/>
          <w:lang w:val="fr-CA"/>
        </w:rPr>
        <w:t xml:space="preserve">ne conférait pas d’intérêt à titre de propriétaire. Selon elle, la </w:t>
      </w:r>
      <w:r w:rsidRPr="00074F59">
        <w:rPr>
          <w:rFonts w:cs="Times New Roman"/>
          <w:i/>
          <w:lang w:val="fr-CA"/>
        </w:rPr>
        <w:t xml:space="preserve">LIR </w:t>
      </w:r>
      <w:r w:rsidRPr="00074F59">
        <w:rPr>
          <w:rFonts w:cs="Times New Roman"/>
          <w:lang w:val="fr-CA"/>
        </w:rPr>
        <w:t xml:space="preserve">crée plutôt une sorte de charge flottante sur l’ensemble des actifs du débiteur, ce qui permet à ce dernier d’aliéner ses biens sous réserve de la fiducie </w:t>
      </w:r>
      <w:r w:rsidRPr="00074F59">
        <w:rPr>
          <w:rFonts w:cs="Times New Roman"/>
          <w:lang w:val="fr-CA"/>
        </w:rPr>
        <w:lastRenderedPageBreak/>
        <w:t>réputée.</w:t>
      </w:r>
      <w:r w:rsidRPr="00074F59">
        <w:rPr>
          <w:rFonts w:cs="Times New Roman"/>
          <w:i/>
          <w:lang w:val="fr-CA"/>
        </w:rPr>
        <w:t xml:space="preserve"> </w:t>
      </w:r>
      <w:r w:rsidRPr="00074F59">
        <w:rPr>
          <w:rFonts w:cs="Times New Roman"/>
          <w:lang w:val="fr-CA"/>
        </w:rPr>
        <w:t>Ces caractéristiques sont incompatibles avec un intérêt à titre de propriétaire, de sorte que le par. 227(4.1) ne crée pas un tel intérêt.</w:t>
      </w:r>
    </w:p>
    <w:p w:rsidR="00344043" w:rsidRPr="00074F59" w:rsidRDefault="00344043" w:rsidP="00344043">
      <w:pPr>
        <w:pStyle w:val="ParaNoNdepar-AltN"/>
        <w:spacing w:before="0"/>
        <w:rPr>
          <w:rFonts w:cs="Times New Roman"/>
          <w:lang w:val="fr-CA"/>
        </w:rPr>
      </w:pPr>
      <w:r w:rsidRPr="00074F59">
        <w:rPr>
          <w:rFonts w:cs="Times New Roman"/>
          <w:lang w:val="fr-CA"/>
        </w:rPr>
        <w:t>La juge Topolniski s’est également demandé si le par. 227(4.1) crée une garantie</w:t>
      </w:r>
      <w:r>
        <w:rPr>
          <w:rFonts w:cs="Times New Roman"/>
          <w:lang w:val="fr-CA"/>
        </w:rPr>
        <w:t xml:space="preserve"> qui exige</w:t>
      </w:r>
      <w:r w:rsidRPr="00074F59">
        <w:rPr>
          <w:rFonts w:cs="Times New Roman"/>
          <w:lang w:val="fr-CA"/>
        </w:rPr>
        <w:t xml:space="preserve"> que l’intérêt détenu par Sa Majesté prenne rang devant les charges d’origine judiciaire. Elle a reconnu que la </w:t>
      </w:r>
      <w:r w:rsidRPr="00074F59">
        <w:rPr>
          <w:rFonts w:cs="Times New Roman"/>
          <w:i/>
          <w:lang w:val="fr-CA"/>
        </w:rPr>
        <w:t xml:space="preserve">LACC </w:t>
      </w:r>
      <w:r w:rsidRPr="00074F59">
        <w:rPr>
          <w:rFonts w:cs="Times New Roman"/>
          <w:lang w:val="fr-CA"/>
        </w:rPr>
        <w:t xml:space="preserve">ne fait pas obstacle à la fiducie réputée, mais elle a estimé que cette loi autorise cependant le tribunal à réaménager l’ordre de priorité par ordonnance. Étant donné que chacune des charges énumérées dans l’ordonnance initiale était essentielle au processus de restructuration, elles étaient indispensables au bon fonctionnement du régime de la </w:t>
      </w:r>
      <w:r w:rsidRPr="00074F59">
        <w:rPr>
          <w:rFonts w:cs="Times New Roman"/>
          <w:i/>
          <w:lang w:val="fr-CA"/>
        </w:rPr>
        <w:t>LACC</w:t>
      </w:r>
      <w:r w:rsidRPr="00074F59">
        <w:rPr>
          <w:rFonts w:cs="Times New Roman"/>
          <w:lang w:val="fr-CA"/>
        </w:rPr>
        <w:t>.</w:t>
      </w:r>
    </w:p>
    <w:p w:rsidR="00344043" w:rsidRPr="00074F59" w:rsidRDefault="00344043" w:rsidP="00344043">
      <w:pPr>
        <w:pStyle w:val="Title2LevelTitre2Niveau"/>
        <w:spacing w:before="0"/>
        <w:rPr>
          <w:rFonts w:cs="Times New Roman"/>
          <w:lang w:val="fr-CA"/>
        </w:rPr>
      </w:pPr>
      <w:r w:rsidRPr="00074F59">
        <w:rPr>
          <w:rFonts w:cs="Times New Roman"/>
          <w:lang w:val="fr-CA"/>
        </w:rPr>
        <w:t>Autorisation d’appel, 2017 ABCA 363, 54 C.B.R. (6th) 5</w:t>
      </w:r>
    </w:p>
    <w:p w:rsidR="00344043" w:rsidRPr="00074F59" w:rsidRDefault="00344043" w:rsidP="00344043">
      <w:pPr>
        <w:pStyle w:val="ParaNoNdepar-AltN"/>
        <w:spacing w:before="0"/>
        <w:rPr>
          <w:rFonts w:cs="Times New Roman"/>
          <w:lang w:val="fr-CA"/>
        </w:rPr>
      </w:pPr>
      <w:r w:rsidRPr="00074F59">
        <w:rPr>
          <w:rFonts w:cs="Times New Roman"/>
          <w:lang w:val="fr-CA"/>
        </w:rPr>
        <w:t>Suite au rejet de la requête de la Couronne, les débitrices ont déterminé que les actifs du patrimoine étaient suffisants pour payer intégralement Sa Majesté et les bénéficiaires des trois charges super prioritaires d’origine judiciaire. Toutefois, la Couronne a demandé et obtenu l’autorisation d’interjeter appel afin d’obtenir des directives de la Cour d’appel quant à la nature de la priorité de Sa Majesté.</w:t>
      </w:r>
    </w:p>
    <w:p w:rsidR="00344043" w:rsidRPr="00074F59" w:rsidRDefault="00344043" w:rsidP="00344043">
      <w:pPr>
        <w:pStyle w:val="Title2LevelTitre2Niveau"/>
        <w:widowControl w:val="0"/>
        <w:numPr>
          <w:ilvl w:val="1"/>
          <w:numId w:val="8"/>
        </w:numPr>
        <w:spacing w:before="0"/>
        <w:rPr>
          <w:rFonts w:cs="Times New Roman"/>
          <w:lang w:val="fr-CA"/>
        </w:rPr>
      </w:pPr>
      <w:bookmarkStart w:id="3" w:name="_Toc57151279"/>
      <w:r w:rsidRPr="00074F59">
        <w:rPr>
          <w:rFonts w:cs="Times New Roman"/>
          <w:lang w:val="fr-CA"/>
        </w:rPr>
        <w:t xml:space="preserve">Cour d’appel de l’Alberta, </w:t>
      </w:r>
      <w:bookmarkEnd w:id="3"/>
      <w:r w:rsidRPr="00074F59">
        <w:rPr>
          <w:rFonts w:cs="Times New Roman"/>
          <w:lang w:val="fr-CA"/>
        </w:rPr>
        <w:t>2019 ABCA 314, 93 Alta. L.R. (6th) 29</w:t>
      </w:r>
    </w:p>
    <w:p w:rsidR="00344043" w:rsidRPr="00074F59" w:rsidRDefault="00344043" w:rsidP="00344043">
      <w:pPr>
        <w:pStyle w:val="ParaNoNdepar-AltN"/>
        <w:widowControl w:val="0"/>
        <w:spacing w:before="0"/>
        <w:rPr>
          <w:rFonts w:cs="Times New Roman"/>
          <w:szCs w:val="24"/>
          <w:lang w:val="fr-CA"/>
        </w:rPr>
      </w:pPr>
      <w:bookmarkStart w:id="4" w:name="_Toc57151281"/>
      <w:r w:rsidRPr="00074F59">
        <w:rPr>
          <w:rFonts w:cs="Times New Roman"/>
          <w:lang w:val="fr-CA"/>
        </w:rPr>
        <w:t xml:space="preserve">La Cour d’appel a rejeté l’appel. Elle était divisée sur la question de savoir si les charges super prioritaires prenaient rang devant la créance de Sa Majesté. La juge Rowbotham a écrit au nom de la majorité et s’est dite d’accord avec le juge de première </w:t>
      </w:r>
      <w:r w:rsidRPr="00074F59">
        <w:rPr>
          <w:rFonts w:cs="Times New Roman"/>
          <w:lang w:val="fr-CA"/>
        </w:rPr>
        <w:lastRenderedPageBreak/>
        <w:t xml:space="preserve">instance pour affirmer que le par. 227(4.1) de la </w:t>
      </w:r>
      <w:r w:rsidRPr="00074F59">
        <w:rPr>
          <w:rFonts w:cs="Times New Roman"/>
          <w:i/>
          <w:lang w:val="fr-CA"/>
        </w:rPr>
        <w:t>LIR</w:t>
      </w:r>
      <w:r w:rsidRPr="00074F59">
        <w:rPr>
          <w:rFonts w:cs="Times New Roman"/>
          <w:lang w:val="fr-CA"/>
        </w:rPr>
        <w:t xml:space="preserve"> crée une garantie, conformément à la conclusion tirée par notre Cour dans l’arrêt </w:t>
      </w:r>
      <w:r w:rsidRPr="00074F59">
        <w:rPr>
          <w:rFonts w:cs="Times New Roman"/>
          <w:i/>
          <w:lang w:val="fr-CA"/>
        </w:rPr>
        <w:t xml:space="preserve">First Vancouver </w:t>
      </w:r>
      <w:r w:rsidRPr="00074F59">
        <w:rPr>
          <w:rFonts w:cs="Times New Roman"/>
          <w:lang w:val="fr-CA"/>
        </w:rPr>
        <w:t>selon laquelle la fiducie réputée est assimilable à une « </w:t>
      </w:r>
      <w:r w:rsidRPr="00074F59">
        <w:rPr>
          <w:rFonts w:cs="Times New Roman"/>
          <w:szCs w:val="24"/>
          <w:lang w:val="fr-CA"/>
        </w:rPr>
        <w:t>charge flottante grevant, jusqu’à concurrence du montant en souffrance, l’ensemble des éléments d’actif du débiteur fiscal » (</w:t>
      </w:r>
      <w:r w:rsidRPr="00074F59">
        <w:rPr>
          <w:rFonts w:cs="Times New Roman"/>
          <w:i/>
          <w:szCs w:val="24"/>
          <w:lang w:val="fr-CA"/>
        </w:rPr>
        <w:t>First Vancouver</w:t>
      </w:r>
      <w:r w:rsidRPr="00074F59">
        <w:rPr>
          <w:rFonts w:cs="Times New Roman"/>
          <w:szCs w:val="24"/>
          <w:lang w:val="fr-CA"/>
        </w:rPr>
        <w:t>,</w:t>
      </w:r>
      <w:r w:rsidRPr="00074F59">
        <w:rPr>
          <w:rFonts w:cs="Times New Roman"/>
          <w:i/>
          <w:szCs w:val="24"/>
          <w:lang w:val="fr-CA"/>
        </w:rPr>
        <w:t xml:space="preserve"> </w:t>
      </w:r>
      <w:r w:rsidRPr="00074F59">
        <w:rPr>
          <w:rFonts w:cs="Times New Roman"/>
          <w:szCs w:val="24"/>
          <w:lang w:val="fr-CA"/>
        </w:rPr>
        <w:t xml:space="preserve">par. 40). Elle s’est dite confortée dans son opinion par le fait que la fiducie réputée </w:t>
      </w:r>
      <w:r>
        <w:rPr>
          <w:rFonts w:cs="Times New Roman"/>
          <w:szCs w:val="24"/>
          <w:lang w:val="fr-CA"/>
        </w:rPr>
        <w:t>entre</w:t>
      </w:r>
      <w:r w:rsidRPr="00074F59">
        <w:rPr>
          <w:rFonts w:cs="Times New Roman"/>
          <w:szCs w:val="24"/>
          <w:lang w:val="fr-CA"/>
        </w:rPr>
        <w:t xml:space="preserve"> carrément dans la définition que la </w:t>
      </w:r>
      <w:r w:rsidRPr="00074F59">
        <w:rPr>
          <w:rFonts w:cs="Times New Roman"/>
          <w:i/>
          <w:szCs w:val="24"/>
          <w:lang w:val="fr-CA"/>
        </w:rPr>
        <w:t>LIR</w:t>
      </w:r>
      <w:r w:rsidRPr="00074F59">
        <w:rPr>
          <w:rFonts w:cs="Times New Roman"/>
          <w:szCs w:val="24"/>
          <w:lang w:val="fr-CA"/>
        </w:rPr>
        <w:t xml:space="preserve"> donne de la « garantie » au par. 224(1.3).</w:t>
      </w:r>
    </w:p>
    <w:p w:rsidR="00344043" w:rsidRPr="00074F59" w:rsidRDefault="00344043" w:rsidP="00344043">
      <w:pPr>
        <w:pStyle w:val="ParaNoNdepar-AltN"/>
        <w:spacing w:before="0"/>
        <w:rPr>
          <w:rFonts w:cs="Times New Roman"/>
          <w:lang w:val="fr-CA"/>
        </w:rPr>
      </w:pPr>
      <w:r w:rsidRPr="00074F59">
        <w:rPr>
          <w:rFonts w:cs="Times New Roman"/>
          <w:lang w:val="fr-CA"/>
        </w:rPr>
        <w:t>Après avoir conclu que le droit de Sa Majesté sur les biens des débitrices constituait une garantie, la juge Rowbotham s’est penchée sur la question de savoir si la fiducie réputée pouvait être subordonnée à des charges super prioritaires d’origine judiciaire. Elle a conclu que [</w:t>
      </w:r>
      <w:r w:rsidRPr="00074F59">
        <w:rPr>
          <w:rFonts w:cs="Times New Roman"/>
          <w:smallCaps/>
          <w:lang w:val="fr-CA"/>
        </w:rPr>
        <w:t>traduction</w:t>
      </w:r>
      <w:r w:rsidRPr="00074F59">
        <w:rPr>
          <w:rFonts w:cs="Times New Roman"/>
          <w:lang w:val="fr-CA"/>
        </w:rPr>
        <w:t>] « bien que, si l’on s’en tient rigoureusement à leur libellé respectif, il puisse sembler exister un conflit</w:t>
      </w:r>
      <w:r>
        <w:rPr>
          <w:rFonts w:cs="Times New Roman"/>
          <w:lang w:val="fr-CA"/>
        </w:rPr>
        <w:t> »</w:t>
      </w:r>
      <w:r w:rsidRPr="00074F59">
        <w:rPr>
          <w:rFonts w:cs="Times New Roman"/>
          <w:lang w:val="fr-CA"/>
        </w:rPr>
        <w:t xml:space="preserve"> entre la </w:t>
      </w:r>
      <w:r w:rsidRPr="00074F59">
        <w:rPr>
          <w:rFonts w:cs="Times New Roman"/>
          <w:i/>
          <w:lang w:val="fr-CA"/>
        </w:rPr>
        <w:t xml:space="preserve">LIR </w:t>
      </w:r>
      <w:r w:rsidRPr="00074F59">
        <w:rPr>
          <w:rFonts w:cs="Times New Roman"/>
          <w:lang w:val="fr-CA"/>
        </w:rPr>
        <w:t xml:space="preserve">et la </w:t>
      </w:r>
      <w:r w:rsidRPr="00074F59">
        <w:rPr>
          <w:rFonts w:cs="Times New Roman"/>
          <w:i/>
          <w:lang w:val="fr-CA"/>
        </w:rPr>
        <w:t>LACC</w:t>
      </w:r>
      <w:r w:rsidRPr="00074F59">
        <w:rPr>
          <w:rFonts w:cs="Times New Roman"/>
          <w:lang w:val="fr-CA"/>
        </w:rPr>
        <w:t xml:space="preserve">, </w:t>
      </w:r>
      <w:r>
        <w:rPr>
          <w:rFonts w:cs="Times New Roman"/>
          <w:lang w:val="fr-CA"/>
        </w:rPr>
        <w:t>« </w:t>
      </w:r>
      <w:r w:rsidRPr="00074F59">
        <w:rPr>
          <w:rFonts w:cs="Times New Roman"/>
          <w:lang w:val="fr-CA"/>
        </w:rPr>
        <w:t xml:space="preserve">la présomption de cohérence entre les lois exige[ait] que l’on interprète ces dispositions en considérant qu’elles s’appliquent de concert » (par. 45). Une fiducie réputée qui ne pourrait être subordonnée à des charges super prioritaires irait à l’encontre de l’objectif des deux lois en question parce qu’il serait plus difficile de mener à bien une restructuration et que cela diminuerait par conséquent les recettes fiscales. L’acceptation de la thèse de la Couronne entraînerait selon elle des conséquences absurdes. Environ 75 pour </w:t>
      </w:r>
      <w:r>
        <w:rPr>
          <w:rFonts w:cs="Times New Roman"/>
          <w:lang w:val="fr-CA"/>
        </w:rPr>
        <w:t>100</w:t>
      </w:r>
      <w:r w:rsidRPr="00074F59">
        <w:rPr>
          <w:rFonts w:cs="Times New Roman"/>
          <w:lang w:val="fr-CA"/>
        </w:rPr>
        <w:t xml:space="preserve"> des compagnies qui se restructurent font appel à des prêteurs temporaires. Sans l’assurance d’être remboursés en priorité, ces prêteurs refuseraient de s’engager, tout comme les contrôleurs et les administrateurs. La réalité est que tous ces services sont fournis sur la foi de l’existence de super </w:t>
      </w:r>
      <w:r w:rsidRPr="00074F59">
        <w:rPr>
          <w:rFonts w:cs="Times New Roman"/>
          <w:lang w:val="fr-CA"/>
        </w:rPr>
        <w:lastRenderedPageBreak/>
        <w:t xml:space="preserve">priorités. Sans elles, les restructurations effectuées sous le régime de la </w:t>
      </w:r>
      <w:r w:rsidRPr="00074F59">
        <w:rPr>
          <w:rFonts w:cs="Times New Roman"/>
          <w:i/>
          <w:lang w:val="fr-CA"/>
        </w:rPr>
        <w:t xml:space="preserve">LACC </w:t>
      </w:r>
      <w:r w:rsidRPr="00074F59">
        <w:rPr>
          <w:rFonts w:cs="Times New Roman"/>
          <w:lang w:val="fr-CA"/>
        </w:rPr>
        <w:t>risqueraient d’être fortement compromises, ou à tout le moins retardées, jusqu’à ce qu’on puisse établir le montant exact de la créance de Sa Majesté, alors que la compagnie se serait peut</w:t>
      </w:r>
      <w:r w:rsidRPr="00074F59">
        <w:rPr>
          <w:rFonts w:cs="Times New Roman"/>
          <w:lang w:val="fr-CA"/>
        </w:rPr>
        <w:noBreakHyphen/>
        <w:t>être déjà totalement effondrée.</w:t>
      </w:r>
    </w:p>
    <w:bookmarkEnd w:id="4"/>
    <w:p w:rsidR="00344043" w:rsidRPr="00074F59" w:rsidRDefault="00344043" w:rsidP="00344043">
      <w:pPr>
        <w:pStyle w:val="ParaNoNdepar-AltN"/>
        <w:spacing w:before="0"/>
        <w:rPr>
          <w:rFonts w:cs="Times New Roman"/>
          <w:lang w:val="fr-CA"/>
        </w:rPr>
      </w:pPr>
      <w:r w:rsidRPr="00074F59">
        <w:rPr>
          <w:rFonts w:cs="Times New Roman"/>
          <w:lang w:val="fr-CA"/>
        </w:rPr>
        <w:t xml:space="preserve">Le juge Wakeling a exprimé sa dissidence. À son avis, aucun des arguments soulevés par la majorité ne permettait de faire abstraction du texte de la </w:t>
      </w:r>
      <w:r w:rsidRPr="00074F59">
        <w:rPr>
          <w:rFonts w:cs="Times New Roman"/>
          <w:i/>
          <w:lang w:val="fr-CA"/>
        </w:rPr>
        <w:t>LIR</w:t>
      </w:r>
      <w:r w:rsidRPr="009F2E9F">
        <w:rPr>
          <w:rFonts w:cs="Times New Roman"/>
          <w:lang w:val="fr-CA"/>
        </w:rPr>
        <w:t>.</w:t>
      </w:r>
      <w:r w:rsidRPr="00074F59">
        <w:rPr>
          <w:rFonts w:cs="Times New Roman"/>
          <w:i/>
          <w:lang w:val="fr-CA"/>
        </w:rPr>
        <w:t xml:space="preserve"> </w:t>
      </w:r>
      <w:r w:rsidRPr="00074F59">
        <w:rPr>
          <w:rFonts w:cs="Times New Roman"/>
          <w:lang w:val="fr-CA"/>
        </w:rPr>
        <w:t xml:space="preserve">Selon lui, le libellé du par. 227(4.1) est sans équivoque : Sa Majesté a un droit de bénéficiaire sur les sommes réputées être détenues de façon distincte et séparée </w:t>
      </w:r>
      <w:r>
        <w:rPr>
          <w:rFonts w:cs="Times New Roman"/>
          <w:lang w:val="fr-CA"/>
        </w:rPr>
        <w:t>des biens du débiteur, e</w:t>
      </w:r>
      <w:r w:rsidRPr="00074F59">
        <w:rPr>
          <w:rFonts w:cs="Times New Roman"/>
          <w:lang w:val="fr-CA"/>
        </w:rPr>
        <w:t xml:space="preserve">t ces sommes doivent être payées à Sa Majesté, peu importe le type de garantie, y compris les charges super prioritaires. À son avis, rien dans le libellé de la </w:t>
      </w:r>
      <w:r w:rsidRPr="00074F59">
        <w:rPr>
          <w:rFonts w:cs="Times New Roman"/>
          <w:i/>
          <w:lang w:val="fr-CA"/>
        </w:rPr>
        <w:t xml:space="preserve">LACC </w:t>
      </w:r>
      <w:r w:rsidRPr="00074F59">
        <w:rPr>
          <w:rFonts w:cs="Times New Roman"/>
          <w:iCs/>
          <w:lang w:val="fr-CA"/>
        </w:rPr>
        <w:t>ne permettait d’écarter cet intérêt</w:t>
      </w:r>
      <w:r w:rsidRPr="00074F59">
        <w:rPr>
          <w:rFonts w:cs="Times New Roman"/>
          <w:lang w:val="fr-CA"/>
        </w:rPr>
        <w:t xml:space="preserve"> à titre de propriétaire. L’article 11 de la </w:t>
      </w:r>
      <w:r w:rsidRPr="00074F59">
        <w:rPr>
          <w:rFonts w:cs="Times New Roman"/>
          <w:i/>
          <w:lang w:val="fr-CA"/>
        </w:rPr>
        <w:t xml:space="preserve">LACC </w:t>
      </w:r>
      <w:r w:rsidRPr="00074F59">
        <w:rPr>
          <w:rFonts w:cs="Times New Roman"/>
          <w:lang w:val="fr-CA"/>
        </w:rPr>
        <w:t xml:space="preserve">ne saurait permettre au tribunal d’exercer son pouvoir discrétionnaire sans tenir compte du par. 227(4.1) de la </w:t>
      </w:r>
      <w:r w:rsidRPr="00074F59">
        <w:rPr>
          <w:rFonts w:cs="Times New Roman"/>
          <w:i/>
          <w:lang w:val="fr-CA"/>
        </w:rPr>
        <w:t>LIR</w:t>
      </w:r>
      <w:r w:rsidRPr="00074F59">
        <w:rPr>
          <w:rFonts w:cs="Times New Roman"/>
          <w:lang w:val="fr-CA"/>
        </w:rPr>
        <w:t xml:space="preserve">, et les art. 11.2, 11.51 et 11.52 de la </w:t>
      </w:r>
      <w:r w:rsidRPr="00074F59">
        <w:rPr>
          <w:rFonts w:cs="Times New Roman"/>
          <w:i/>
          <w:lang w:val="fr-CA"/>
        </w:rPr>
        <w:t>LACC</w:t>
      </w:r>
      <w:r w:rsidRPr="00074F59">
        <w:rPr>
          <w:rFonts w:cs="Times New Roman"/>
          <w:lang w:val="fr-CA"/>
        </w:rPr>
        <w:t xml:space="preserve"> ne sauraient non plus être utilisés à cette fin, car ils permettent uniquement au tribunal de rendre des ordonnances concernant « la totalité ou une partie des biens de la compagnie » (par. 11.2(1)). En conclusion, comme aucune des dispositions de la </w:t>
      </w:r>
      <w:r w:rsidRPr="00074F59">
        <w:rPr>
          <w:rFonts w:cs="Times New Roman"/>
          <w:i/>
          <w:lang w:val="fr-CA"/>
        </w:rPr>
        <w:t xml:space="preserve">LACC </w:t>
      </w:r>
      <w:r w:rsidRPr="00074F59">
        <w:rPr>
          <w:rFonts w:cs="Times New Roman"/>
          <w:lang w:val="fr-CA"/>
        </w:rPr>
        <w:t>ne lui permet d’écarter le par. 227(4.1), le tribunal doit donner effet au texte clair du par. 227(4.1) et il ne peut subordonner les créances de Sa Majesté à des charges super prioritaires.</w:t>
      </w:r>
    </w:p>
    <w:p w:rsidR="00344043" w:rsidRPr="00074F59" w:rsidRDefault="00344043" w:rsidP="00344043">
      <w:pPr>
        <w:pStyle w:val="Title1LevelTitre1Niveau-AltL"/>
        <w:spacing w:before="0"/>
        <w:rPr>
          <w:rFonts w:cs="Times New Roman"/>
          <w:lang w:val="fr-CA"/>
        </w:rPr>
      </w:pPr>
      <w:r w:rsidRPr="00074F59">
        <w:rPr>
          <w:rFonts w:cs="Times New Roman"/>
          <w:lang w:val="fr-CA"/>
        </w:rPr>
        <w:t>Question en litige</w:t>
      </w:r>
    </w:p>
    <w:p w:rsidR="00344043" w:rsidRPr="00074F59" w:rsidRDefault="00344043" w:rsidP="00344043">
      <w:pPr>
        <w:pStyle w:val="ParaNoNdepar-AltN"/>
        <w:spacing w:before="0"/>
        <w:rPr>
          <w:rFonts w:cs="Times New Roman"/>
          <w:i/>
          <w:lang w:val="fr-CA"/>
        </w:rPr>
      </w:pPr>
      <w:r w:rsidRPr="00074F59">
        <w:rPr>
          <w:rFonts w:cs="Times New Roman"/>
          <w:lang w:val="fr-CA"/>
        </w:rPr>
        <w:lastRenderedPageBreak/>
        <w:t xml:space="preserve">La principale question à trancher dans le présent pourvoi est celle de savoir si la </w:t>
      </w:r>
      <w:r w:rsidRPr="00074F59">
        <w:rPr>
          <w:rFonts w:cs="Times New Roman"/>
          <w:i/>
          <w:lang w:val="fr-CA"/>
        </w:rPr>
        <w:t>LACC</w:t>
      </w:r>
      <w:r w:rsidRPr="00074F59">
        <w:rPr>
          <w:rFonts w:cs="Times New Roman"/>
          <w:lang w:val="fr-CA"/>
        </w:rPr>
        <w:t xml:space="preserve"> autorise les tribunaux à constituer des charges super prioritaires ayant priorité sur une fiducie réputée créée en vertu du par. 227(4.1) de la </w:t>
      </w:r>
      <w:r w:rsidRPr="00074F59">
        <w:rPr>
          <w:rFonts w:cs="Times New Roman"/>
          <w:i/>
          <w:lang w:val="fr-CA"/>
        </w:rPr>
        <w:t>LIR</w:t>
      </w:r>
      <w:r w:rsidRPr="00074F59">
        <w:rPr>
          <w:rFonts w:cs="Times New Roman"/>
          <w:lang w:val="fr-CA"/>
        </w:rPr>
        <w:t xml:space="preserve">. Pour répondre à cette question, je vais procéder en trois étapes. D’abord, je vais examiner la nature du régime de la </w:t>
      </w:r>
      <w:r w:rsidRPr="00074F59">
        <w:rPr>
          <w:rFonts w:cs="Times New Roman"/>
          <w:i/>
          <w:iCs/>
          <w:lang w:val="fr-CA"/>
        </w:rPr>
        <w:t xml:space="preserve">LACC </w:t>
      </w:r>
      <w:r w:rsidRPr="00074F59">
        <w:rPr>
          <w:rFonts w:cs="Times New Roman"/>
          <w:lang w:val="fr-CA"/>
        </w:rPr>
        <w:t xml:space="preserve">et le pouvoir des tribunaux de surveillance d’ordonner pareilles charges. Étant donné que les tribunaux de surveillance ont généralement le pouvoir d’ordonner des charges super prioritaires qui ont priorité sur toutes les autres créances, je vais ensuite examiner le par. 227(4.1) de la </w:t>
      </w:r>
      <w:r w:rsidRPr="00074F59">
        <w:rPr>
          <w:rFonts w:cs="Times New Roman"/>
          <w:i/>
          <w:iCs/>
          <w:lang w:val="fr-CA"/>
        </w:rPr>
        <w:t>LIR</w:t>
      </w:r>
      <w:r w:rsidRPr="00074F59">
        <w:rPr>
          <w:rFonts w:cs="Times New Roman"/>
          <w:lang w:val="fr-CA"/>
        </w:rPr>
        <w:t xml:space="preserve"> pour déterminer s’il confère à Sa Majesté un intérêt qui ne peut être subordonné à une charge super prioritaire. Je vais passer en revue les deux arguments invoqués par la Couronne pour affirmer que le par. 227(4.1) prévoit une exception à la règle générale, à savoir que Sa Majesté possède un intérêt à titre de propriétaire dans les actifs de la compagnie insolvable et que, même si elle ne possède pas un tel intérêt, le par. 227(4.1) lui confère une garantie qui a priorité absolue sur toutes les créances. Je vais conclure mon analyse en indiquant comment les tribunaux devraient exercer leur pouvoir d’ordonner des charge</w:t>
      </w:r>
      <w:r>
        <w:rPr>
          <w:rFonts w:cs="Times New Roman"/>
          <w:lang w:val="fr-CA"/>
        </w:rPr>
        <w:t xml:space="preserve">s super prioritaires lorsque Sa </w:t>
      </w:r>
      <w:r w:rsidRPr="00074F59">
        <w:rPr>
          <w:rFonts w:cs="Times New Roman"/>
          <w:lang w:val="fr-CA"/>
        </w:rPr>
        <w:t>Majesté fait valoir, contre la compagnie insolvable, une réclamation protégée par une fiducie réputée créée en vertu du par. 227(4.1).</w:t>
      </w:r>
    </w:p>
    <w:p w:rsidR="00344043" w:rsidRPr="00074F59" w:rsidRDefault="00344043" w:rsidP="00344043">
      <w:pPr>
        <w:pStyle w:val="Title1LevelTitre1Niveau-AltL"/>
        <w:spacing w:before="0"/>
        <w:rPr>
          <w:rFonts w:cs="Times New Roman"/>
          <w:lang w:val="fr-CA"/>
        </w:rPr>
      </w:pPr>
      <w:r w:rsidRPr="00074F59">
        <w:rPr>
          <w:rFonts w:cs="Times New Roman"/>
          <w:lang w:val="fr-CA"/>
        </w:rPr>
        <w:t>Analyse</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Afin de déterminer si la </w:t>
      </w:r>
      <w:r w:rsidRPr="00074F59">
        <w:rPr>
          <w:rFonts w:cs="Times New Roman"/>
          <w:i/>
          <w:lang w:val="fr-CA"/>
        </w:rPr>
        <w:t xml:space="preserve">LACC </w:t>
      </w:r>
      <w:r w:rsidRPr="00074F59">
        <w:rPr>
          <w:rFonts w:cs="Times New Roman"/>
          <w:lang w:val="fr-CA"/>
        </w:rPr>
        <w:t xml:space="preserve">habilite un tribunal à ordonner des charges super prioritaires sur des biens assujettis à une fiducie réputée au titre du par. 227(4.1) </w:t>
      </w:r>
      <w:r w:rsidRPr="00074F59">
        <w:rPr>
          <w:rFonts w:cs="Times New Roman"/>
          <w:lang w:val="fr-CA"/>
        </w:rPr>
        <w:lastRenderedPageBreak/>
        <w:t xml:space="preserve">de la </w:t>
      </w:r>
      <w:r w:rsidRPr="00074F59">
        <w:rPr>
          <w:rFonts w:cs="Times New Roman"/>
          <w:i/>
          <w:lang w:val="fr-CA"/>
        </w:rPr>
        <w:t>LIR</w:t>
      </w:r>
      <w:r w:rsidRPr="00074F59">
        <w:rPr>
          <w:rFonts w:cs="Times New Roman"/>
          <w:lang w:val="fr-CA"/>
        </w:rPr>
        <w:t xml:space="preserve">, il nous faut comprendre à la fois le régime de la </w:t>
      </w:r>
      <w:r w:rsidRPr="00074F59">
        <w:rPr>
          <w:rFonts w:cs="Times New Roman"/>
          <w:i/>
          <w:lang w:val="fr-CA"/>
        </w:rPr>
        <w:t xml:space="preserve">LACC </w:t>
      </w:r>
      <w:r w:rsidRPr="00074F59">
        <w:rPr>
          <w:rFonts w:cs="Times New Roman"/>
          <w:lang w:val="fr-CA"/>
        </w:rPr>
        <w:t>et la nature du droit créé par le par. 227(4.1).</w:t>
      </w:r>
    </w:p>
    <w:p w:rsidR="00344043" w:rsidRPr="00074F59" w:rsidRDefault="00344043" w:rsidP="00344043">
      <w:pPr>
        <w:pStyle w:val="Title2LevelTitre2Niveau"/>
        <w:widowControl w:val="0"/>
        <w:spacing w:before="0"/>
        <w:rPr>
          <w:rFonts w:cs="Times New Roman"/>
          <w:lang w:val="fr-CA"/>
        </w:rPr>
      </w:pPr>
      <w:r w:rsidRPr="00074F59">
        <w:rPr>
          <w:rFonts w:cs="Times New Roman"/>
          <w:lang w:val="fr-CA"/>
        </w:rPr>
        <w:t>Le régime de la LACC</w:t>
      </w:r>
    </w:p>
    <w:p w:rsidR="00344043" w:rsidRPr="00074F59" w:rsidRDefault="00344043" w:rsidP="00344043">
      <w:pPr>
        <w:pStyle w:val="ParaNoNdepar-AltN"/>
        <w:widowControl w:val="0"/>
        <w:spacing w:before="0"/>
        <w:rPr>
          <w:rFonts w:cs="Times New Roman"/>
          <w:lang w:val="fr-CA"/>
        </w:rPr>
      </w:pPr>
      <w:r w:rsidRPr="00074F59">
        <w:rPr>
          <w:rFonts w:cs="Times New Roman"/>
          <w:lang w:val="fr-CA"/>
        </w:rPr>
        <w:t xml:space="preserve">La </w:t>
      </w:r>
      <w:r w:rsidRPr="00074F59">
        <w:rPr>
          <w:rFonts w:cs="Times New Roman"/>
          <w:i/>
          <w:lang w:val="fr-CA"/>
        </w:rPr>
        <w:t xml:space="preserve">LACC </w:t>
      </w:r>
      <w:r w:rsidRPr="00074F59">
        <w:rPr>
          <w:rFonts w:cs="Times New Roman"/>
          <w:lang w:val="fr-CA"/>
        </w:rPr>
        <w:t xml:space="preserve">fait partie de la législation canadienne en matière d’insolvabilité, qui comprend également la </w:t>
      </w:r>
      <w:r w:rsidRPr="00074F59">
        <w:rPr>
          <w:rFonts w:cs="Times New Roman"/>
          <w:i/>
          <w:lang w:val="fr-CA"/>
        </w:rPr>
        <w:t xml:space="preserve">LFI </w:t>
      </w:r>
      <w:r w:rsidRPr="00074F59">
        <w:rPr>
          <w:rFonts w:cs="Times New Roman"/>
          <w:lang w:val="fr-CA"/>
        </w:rPr>
        <w:t xml:space="preserve">et la </w:t>
      </w:r>
      <w:r w:rsidRPr="00074F59">
        <w:rPr>
          <w:rFonts w:cs="Times New Roman"/>
          <w:i/>
          <w:lang w:val="fr-CA"/>
        </w:rPr>
        <w:t>Loi sur les liquidations et les restructurations</w:t>
      </w:r>
      <w:r w:rsidRPr="00074F59">
        <w:rPr>
          <w:rFonts w:cs="Times New Roman"/>
          <w:lang w:val="fr-CA"/>
        </w:rPr>
        <w:t>, L.R.C. 1985, c. W</w:t>
      </w:r>
      <w:r w:rsidRPr="00074F59">
        <w:rPr>
          <w:rFonts w:cs="Times New Roman"/>
          <w:lang w:val="fr-CA"/>
        </w:rPr>
        <w:noBreakHyphen/>
        <w:t xml:space="preserve">11, par. 6(1), laquelle s’applique aux banques et à d’autres institutions déterminées. Bien que la </w:t>
      </w:r>
      <w:r w:rsidRPr="00074F59">
        <w:rPr>
          <w:rFonts w:cs="Times New Roman"/>
          <w:i/>
          <w:lang w:val="fr-CA"/>
        </w:rPr>
        <w:t xml:space="preserve">LACC </w:t>
      </w:r>
      <w:r w:rsidRPr="00074F59">
        <w:rPr>
          <w:rFonts w:cs="Times New Roman"/>
          <w:lang w:val="fr-CA"/>
        </w:rPr>
        <w:t xml:space="preserve">et la </w:t>
      </w:r>
      <w:r w:rsidRPr="00074F59">
        <w:rPr>
          <w:rFonts w:cs="Times New Roman"/>
          <w:i/>
          <w:lang w:val="fr-CA"/>
        </w:rPr>
        <w:t xml:space="preserve">LFI </w:t>
      </w:r>
      <w:r w:rsidRPr="00074F59">
        <w:rPr>
          <w:rFonts w:cs="Times New Roman"/>
          <w:lang w:val="fr-CA"/>
        </w:rPr>
        <w:t xml:space="preserve">instaurent toutes deux un régime de réorganisation, ce qui distingue le régime de la </w:t>
      </w:r>
      <w:r w:rsidRPr="00074F59">
        <w:rPr>
          <w:rFonts w:cs="Times New Roman"/>
          <w:i/>
          <w:lang w:val="fr-CA"/>
        </w:rPr>
        <w:t xml:space="preserve">LACC </w:t>
      </w:r>
      <w:r w:rsidRPr="00074F59">
        <w:rPr>
          <w:rFonts w:cs="Times New Roman"/>
          <w:lang w:val="fr-CA"/>
        </w:rPr>
        <w:t>est le fait qu’il est réservé aux compagnies dont le passif dépasse cinq millions de dollars et qu’il « établit un mécanisme plus souple, dans lequel les tribunaux disposent d’un plus grand pouvoir discrétionnaire, ce qui rend le mécanisme mieux adapté aux réorganisations complexes » (</w:t>
      </w:r>
      <w:r w:rsidRPr="00074F59">
        <w:rPr>
          <w:rFonts w:cs="Times New Roman"/>
          <w:i/>
          <w:lang w:val="fr-CA"/>
        </w:rPr>
        <w:t>Century Services Inc. c. Canada (Procureur général)</w:t>
      </w:r>
      <w:r w:rsidRPr="00074F59">
        <w:rPr>
          <w:rFonts w:cs="Times New Roman"/>
          <w:lang w:val="fr-CA"/>
        </w:rPr>
        <w:t>, 2010 CSC 60, [2010] 3 R.C.S. 379, par. 14).</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La </w:t>
      </w:r>
      <w:r w:rsidRPr="00074F59">
        <w:rPr>
          <w:rFonts w:cs="Times New Roman"/>
          <w:i/>
          <w:lang w:val="fr-CA"/>
        </w:rPr>
        <w:t xml:space="preserve">LACC </w:t>
      </w:r>
      <w:r w:rsidRPr="00074F59">
        <w:rPr>
          <w:rFonts w:cs="Times New Roman"/>
          <w:lang w:val="fr-CA"/>
        </w:rPr>
        <w:t xml:space="preserve">vise à accorder au débiteur insolvable la latitude nécessaire pour négocier avec ses créanciers afin de trouver une issue à son insolvabilité. À la suite d’une demande initiale, le juge surveillant rend une ordonnance aux termes de laquelle il préserve habituellement le statu quo en suspendant les réclamations qui visent le débiteur tout en permettant à ce dernier de conserver la possession de ses actifs afin de poursuivre ses activités. Dans l’intervalle, on espère que le débiteur négociera un plan d’arrangement avec ses créanciers et les autres parties prenantes. L’objectif est de permettre aux parties de parvenir à un compromis qui donne au débiteur la possibilité </w:t>
      </w:r>
      <w:r w:rsidRPr="00074F59">
        <w:rPr>
          <w:rFonts w:cs="Times New Roman"/>
          <w:lang w:val="fr-CA"/>
        </w:rPr>
        <w:lastRenderedPageBreak/>
        <w:t xml:space="preserve">de se réorganiser et de poursuivre ses activités à l’issue du processus de la </w:t>
      </w:r>
      <w:r w:rsidRPr="00074F59">
        <w:rPr>
          <w:rFonts w:cs="Times New Roman"/>
          <w:i/>
          <w:lang w:val="fr-CA"/>
        </w:rPr>
        <w:t xml:space="preserve">LACC </w:t>
      </w:r>
      <w:r w:rsidRPr="00074F59">
        <w:rPr>
          <w:rFonts w:cs="Times New Roman"/>
          <w:lang w:val="fr-CA"/>
        </w:rPr>
        <w:t>(</w:t>
      </w:r>
      <w:r w:rsidRPr="00074F59">
        <w:rPr>
          <w:rFonts w:cs="Times New Roman"/>
          <w:i/>
          <w:lang w:val="fr-CA"/>
        </w:rPr>
        <w:t>Century Services</w:t>
      </w:r>
      <w:r w:rsidRPr="00074F59">
        <w:rPr>
          <w:rFonts w:cs="Times New Roman"/>
          <w:lang w:val="fr-CA"/>
        </w:rPr>
        <w:t>, par. 18).</w:t>
      </w:r>
    </w:p>
    <w:p w:rsidR="00344043" w:rsidRPr="00074F59" w:rsidRDefault="00344043" w:rsidP="00344043">
      <w:pPr>
        <w:pStyle w:val="ParaNoNdepar-AltN"/>
        <w:spacing w:before="0"/>
        <w:rPr>
          <w:rFonts w:cs="Times New Roman"/>
          <w:i/>
          <w:lang w:val="fr-CA"/>
        </w:rPr>
      </w:pPr>
      <w:r w:rsidRPr="00074F59">
        <w:rPr>
          <w:rFonts w:cs="Times New Roman"/>
          <w:lang w:val="fr-CA"/>
        </w:rPr>
        <w:t>La vision sous</w:t>
      </w:r>
      <w:r w:rsidRPr="00074F59">
        <w:rPr>
          <w:rFonts w:cs="Times New Roman"/>
          <w:lang w:val="fr-CA"/>
        </w:rPr>
        <w:noBreakHyphen/>
        <w:t xml:space="preserve">jacente au régime de la </w:t>
      </w:r>
      <w:r w:rsidRPr="00074F59">
        <w:rPr>
          <w:rFonts w:cs="Times New Roman"/>
          <w:i/>
          <w:lang w:val="fr-CA"/>
        </w:rPr>
        <w:t xml:space="preserve">LACC </w:t>
      </w:r>
      <w:r w:rsidRPr="00074F59">
        <w:rPr>
          <w:rFonts w:cs="Times New Roman"/>
          <w:lang w:val="fr-CA"/>
        </w:rPr>
        <w:t>est donc qu’une compagnie débitrice possède une plus grande valeur lorsqu’elle poursuit ses activités que lorsqu’elle est liquidée (</w:t>
      </w:r>
      <w:r w:rsidRPr="00074F59">
        <w:rPr>
          <w:rFonts w:cs="Times New Roman"/>
          <w:i/>
          <w:lang w:val="fr-CA"/>
        </w:rPr>
        <w:t>Century Services</w:t>
      </w:r>
      <w:r w:rsidRPr="00074F59">
        <w:rPr>
          <w:rFonts w:cs="Times New Roman"/>
          <w:lang w:val="fr-CA"/>
        </w:rPr>
        <w:t xml:space="preserve">, par. 18). La survie d’une entreprise en activité est généralement le résultat qui présente le plus grand avantage net. Elle permet souvent aux créanciers de maximiser leur rendement, tout en profitant aux actionnaires, aux employés et aux autres entreprises qui font affaire avec la compagnie débitrice (par. 60). Ainsi, notre Cour a récemment jugé que la </w:t>
      </w:r>
      <w:r w:rsidRPr="00074F59">
        <w:rPr>
          <w:rFonts w:cs="Times New Roman"/>
          <w:i/>
          <w:lang w:val="fr-CA"/>
        </w:rPr>
        <w:t xml:space="preserve">LACC </w:t>
      </w:r>
      <w:r w:rsidRPr="00074F59">
        <w:rPr>
          <w:rFonts w:cs="Times New Roman"/>
          <w:lang w:val="fr-CA"/>
        </w:rPr>
        <w:t xml:space="preserve">a </w:t>
      </w:r>
      <w:r>
        <w:rPr>
          <w:rFonts w:cs="Times New Roman"/>
          <w:lang w:val="fr-CA"/>
        </w:rPr>
        <w:t>« </w:t>
      </w:r>
      <w:r w:rsidRPr="00074F59">
        <w:rPr>
          <w:rFonts w:cs="Times New Roman"/>
          <w:lang w:val="fr-CA"/>
        </w:rPr>
        <w:t>comme objectifs simultanés de maximiser le recouvrement au profit des créanciers, de préserver la valeur d’exploitation dans la mesure du possible, de protéger les emplois et les collectivités touchées par les difficultés financières de l’entreprise [. . .] et d’améliorer le système de crédit de manière générale » (</w:t>
      </w:r>
      <w:r w:rsidRPr="00074F59">
        <w:rPr>
          <w:rFonts w:cs="Times New Roman"/>
          <w:i/>
          <w:lang w:val="fr-CA"/>
        </w:rPr>
        <w:t>9354</w:t>
      </w:r>
      <w:r w:rsidRPr="00074F59">
        <w:rPr>
          <w:rFonts w:cs="Times New Roman"/>
          <w:i/>
          <w:lang w:val="fr-CA"/>
        </w:rPr>
        <w:noBreakHyphen/>
        <w:t>9186 Québec inc. c. Callidus Capital Corp.</w:t>
      </w:r>
      <w:r w:rsidRPr="00074F59">
        <w:rPr>
          <w:rFonts w:cs="Times New Roman"/>
          <w:lang w:val="fr-CA"/>
        </w:rPr>
        <w:t>,</w:t>
      </w:r>
      <w:r w:rsidRPr="00074F59">
        <w:rPr>
          <w:rFonts w:cs="Times New Roman"/>
          <w:i/>
          <w:lang w:val="fr-CA"/>
        </w:rPr>
        <w:t xml:space="preserve"> </w:t>
      </w:r>
      <w:r w:rsidRPr="00074F59">
        <w:rPr>
          <w:rFonts w:cs="Times New Roman"/>
          <w:lang w:val="fr-CA"/>
        </w:rPr>
        <w:t>2020 CSC 10, par. 42, citant J</w:t>
      </w:r>
      <w:r>
        <w:rPr>
          <w:rFonts w:cs="Times New Roman"/>
          <w:lang w:val="fr-CA"/>
        </w:rPr>
        <w:t>. </w:t>
      </w:r>
      <w:r w:rsidRPr="00074F59">
        <w:rPr>
          <w:rFonts w:cs="Times New Roman"/>
          <w:lang w:val="fr-CA"/>
        </w:rPr>
        <w:t xml:space="preserve">P. Sarra, </w:t>
      </w:r>
      <w:r w:rsidRPr="00074F59">
        <w:rPr>
          <w:rFonts w:cs="Times New Roman"/>
          <w:i/>
          <w:lang w:val="fr-CA"/>
        </w:rPr>
        <w:t>Rescue! The Companies’ Creditors Arrangement Act</w:t>
      </w:r>
      <w:r w:rsidRPr="00074F59">
        <w:rPr>
          <w:rFonts w:cs="Times New Roman"/>
          <w:lang w:val="fr-CA"/>
        </w:rPr>
        <w:t xml:space="preserve"> (2</w:t>
      </w:r>
      <w:r w:rsidRPr="00074F59">
        <w:rPr>
          <w:rFonts w:cs="Times New Roman"/>
          <w:vertAlign w:val="superscript"/>
          <w:lang w:val="fr-CA"/>
        </w:rPr>
        <w:t>e</w:t>
      </w:r>
      <w:r w:rsidRPr="00074F59">
        <w:rPr>
          <w:rFonts w:cs="Times New Roman"/>
          <w:lang w:val="fr-CA"/>
        </w:rPr>
        <w:t xml:space="preserve"> éd. 2013), p. 14).</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La caractéristique la plus importante de la </w:t>
      </w:r>
      <w:r w:rsidRPr="00074F59">
        <w:rPr>
          <w:rFonts w:cs="Times New Roman"/>
          <w:i/>
          <w:lang w:val="fr-CA"/>
        </w:rPr>
        <w:t xml:space="preserve">LACC </w:t>
      </w:r>
      <w:r w:rsidRPr="00074F59">
        <w:rPr>
          <w:rFonts w:cs="Times New Roman"/>
          <w:lang w:val="fr-CA"/>
        </w:rPr>
        <w:t>— et celle qui la rend assez souple pour s’adapter si aisément à chaque réorganisation — est le vaste pouvoir discrétionnaire qu’elle confère au tribunal de surveillance (</w:t>
      </w:r>
      <w:r w:rsidRPr="00074F59">
        <w:rPr>
          <w:rFonts w:cs="Times New Roman"/>
          <w:i/>
          <w:lang w:val="fr-CA"/>
        </w:rPr>
        <w:t>Callidus Capital</w:t>
      </w:r>
      <w:r w:rsidRPr="00074F59">
        <w:rPr>
          <w:rFonts w:cs="Times New Roman"/>
          <w:lang w:val="fr-CA"/>
        </w:rPr>
        <w:t>, par. 47</w:t>
      </w:r>
      <w:r w:rsidRPr="00074F59">
        <w:rPr>
          <w:rFonts w:cs="Times New Roman"/>
          <w:lang w:val="fr-CA"/>
        </w:rPr>
        <w:noBreakHyphen/>
        <w:t xml:space="preserve">48). L’article 11 de la </w:t>
      </w:r>
      <w:r w:rsidRPr="00074F59">
        <w:rPr>
          <w:rFonts w:cs="Times New Roman"/>
          <w:i/>
          <w:lang w:val="fr-CA"/>
        </w:rPr>
        <w:t>LACC</w:t>
      </w:r>
      <w:r w:rsidRPr="00074F59">
        <w:rPr>
          <w:rFonts w:cs="Times New Roman"/>
          <w:lang w:val="fr-CA"/>
        </w:rPr>
        <w:t xml:space="preserve"> accorde au tribunal le pouvoir de « rendre [. . .] toute ordonnance qu’il estime indiquée ». Ce </w:t>
      </w:r>
      <w:r w:rsidRPr="00074F59">
        <w:rPr>
          <w:rFonts w:cs="Times New Roman"/>
          <w:shd w:val="clear" w:color="auto" w:fill="FFFFFF"/>
          <w:lang w:val="fr-CA"/>
        </w:rPr>
        <w:t xml:space="preserve">pouvoir est vaste. Comme le juge en chef et le juge Moldaver l’ont récemment fait observer dans leurs motifs conjoints, « [s]elon </w:t>
      </w:r>
      <w:r w:rsidRPr="00074F59">
        <w:rPr>
          <w:rFonts w:cs="Times New Roman"/>
          <w:shd w:val="clear" w:color="auto" w:fill="FFFFFF"/>
          <w:lang w:val="fr-CA"/>
        </w:rPr>
        <w:lastRenderedPageBreak/>
        <w:t xml:space="preserve">le libellé clair de la disposition, le pouvoir conféré par l’art. 11 n’est limité que par les restrictions imposées par la </w:t>
      </w:r>
      <w:r w:rsidRPr="00074F59">
        <w:rPr>
          <w:rFonts w:cs="Times New Roman"/>
          <w:i/>
          <w:lang w:val="fr-CA"/>
        </w:rPr>
        <w:t>LACC</w:t>
      </w:r>
      <w:r w:rsidRPr="00074F59">
        <w:rPr>
          <w:rFonts w:cs="Times New Roman"/>
          <w:shd w:val="clear" w:color="auto" w:fill="FFFFFF"/>
          <w:lang w:val="fr-CA"/>
        </w:rPr>
        <w:t xml:space="preserve"> elle</w:t>
      </w:r>
      <w:r w:rsidRPr="00074F59">
        <w:rPr>
          <w:rFonts w:cs="Times New Roman"/>
          <w:shd w:val="clear" w:color="auto" w:fill="FFFFFF"/>
          <w:lang w:val="fr-CA"/>
        </w:rPr>
        <w:noBreakHyphen/>
        <w:t>même, ainsi que par l’exigence que l’ordonnance soit “indiquée” dans les circonstances » (</w:t>
      </w:r>
      <w:r w:rsidRPr="00074F59">
        <w:rPr>
          <w:rFonts w:cs="Times New Roman"/>
          <w:i/>
          <w:iCs/>
          <w:shd w:val="clear" w:color="auto" w:fill="FFFFFF"/>
          <w:lang w:val="fr-CA"/>
        </w:rPr>
        <w:t>Callidus Capital</w:t>
      </w:r>
      <w:r w:rsidRPr="00074F59">
        <w:rPr>
          <w:rFonts w:cs="Times New Roman"/>
          <w:shd w:val="clear" w:color="auto" w:fill="FFFFFF"/>
          <w:lang w:val="fr-CA"/>
        </w:rPr>
        <w:t xml:space="preserve">, par. 67). Étant donné le rôle essentiel que le pouvoir discrétionnaire judiciaire joue dans le cadre du régime de la </w:t>
      </w:r>
      <w:r w:rsidRPr="00074F59">
        <w:rPr>
          <w:rFonts w:cs="Times New Roman"/>
          <w:i/>
          <w:iCs/>
          <w:shd w:val="clear" w:color="auto" w:fill="FFFFFF"/>
          <w:lang w:val="fr-CA"/>
        </w:rPr>
        <w:t>LACC</w:t>
      </w:r>
      <w:r w:rsidRPr="00074F59">
        <w:rPr>
          <w:rFonts w:cs="Times New Roman"/>
          <w:shd w:val="clear" w:color="auto" w:fill="FFFFFF"/>
          <w:lang w:val="fr-CA"/>
        </w:rPr>
        <w:t xml:space="preserve">, notre jurisprudence a mis au point les exigences de base encadrant l’exercice de ce pouvoir : l’opportunité, la bonne foi et la diligence. Le juge doit être convaincu que </w:t>
      </w:r>
      <w:r w:rsidRPr="00074F59">
        <w:rPr>
          <w:rFonts w:cs="Times New Roman"/>
          <w:lang w:val="fr-CA"/>
        </w:rPr>
        <w:t>l’ordonnance est indiquée et que le demandeur a agi de bonne foi et avec la diligence voulue (</w:t>
      </w:r>
      <w:r w:rsidRPr="00074F59">
        <w:rPr>
          <w:rFonts w:cs="Times New Roman"/>
          <w:i/>
          <w:lang w:val="fr-CA"/>
        </w:rPr>
        <w:t>Century Services</w:t>
      </w:r>
      <w:r w:rsidRPr="00074F59">
        <w:rPr>
          <w:rFonts w:cs="Times New Roman"/>
          <w:lang w:val="fr-CA"/>
        </w:rPr>
        <w:t xml:space="preserve">, par. 69). Le juge doit également être convaincu de </w:t>
      </w:r>
      <w:r w:rsidRPr="00074F59">
        <w:rPr>
          <w:rFonts w:cs="Times New Roman"/>
          <w:shd w:val="clear" w:color="auto" w:fill="FFFFFF"/>
          <w:lang w:val="fr-CA"/>
        </w:rPr>
        <w:t xml:space="preserve">l’opportunité de rendre l’ordonnance sollicitée en se demandant si elle favorisera la réalisation des objectifs réparateurs et de politique générale de la </w:t>
      </w:r>
      <w:r w:rsidRPr="00074F59">
        <w:rPr>
          <w:rFonts w:cs="Times New Roman"/>
          <w:i/>
          <w:iCs/>
          <w:shd w:val="clear" w:color="auto" w:fill="FFFFFF"/>
          <w:lang w:val="fr-CA"/>
        </w:rPr>
        <w:t xml:space="preserve">LACC </w:t>
      </w:r>
      <w:r w:rsidRPr="00074F59">
        <w:rPr>
          <w:rFonts w:cs="Times New Roman"/>
          <w:lang w:val="fr-CA"/>
        </w:rPr>
        <w:t xml:space="preserve">(par. 70). Par exemple, étant donné que la </w:t>
      </w:r>
      <w:r w:rsidRPr="00074F59">
        <w:rPr>
          <w:rFonts w:cs="Times New Roman"/>
          <w:i/>
          <w:lang w:val="fr-CA"/>
        </w:rPr>
        <w:t>LACC</w:t>
      </w:r>
      <w:r w:rsidRPr="00074F59">
        <w:rPr>
          <w:rFonts w:cs="Times New Roman"/>
          <w:lang w:val="fr-CA"/>
        </w:rPr>
        <w:t xml:space="preserve"> a pour objet de faciliter la survie des entreprises en leur permettant de poursuivre leurs activités, lorsqu’il rend son ordonnance initiale, « [l]e </w:t>
      </w:r>
      <w:r w:rsidRPr="00074F59">
        <w:rPr>
          <w:rFonts w:cs="Times New Roman"/>
          <w:shd w:val="clear" w:color="auto" w:fill="FFFFFF"/>
          <w:lang w:val="fr-CA"/>
        </w:rPr>
        <w:t>tribunal doit d’abord créer les conditions propres à permettre au débiteur de tenter une réorganisation »</w:t>
      </w:r>
      <w:r w:rsidRPr="00074F59">
        <w:rPr>
          <w:rFonts w:cs="Times New Roman"/>
          <w:lang w:val="fr-CA"/>
        </w:rPr>
        <w:t xml:space="preserve"> (par. 60).</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Lorsqu’une cour d’appel révise l’ordonnance d’un juge surveillant, elle ne doit pas oublier que ce vaste pouvoir discrétionnaire a été confié aux juges surveillants afin qu’ils assument le rôle difficile de concilier sans cesse des intérêts conflictuels et fluctuants. La cour d’appel doit également reconnaître que les ordonnances ont généralement un caractère temporaire ou provisoire, et que le processus de restructuration évolue constamment. Ces considérations nécessitent non seulement que les juges surveillants soient investis d’un large pouvoir discrétionnaire, mais aussi que les cours d’appel fassent preuve d’une déférence particulière avant de modifier des </w:t>
      </w:r>
      <w:r w:rsidRPr="00074F59">
        <w:rPr>
          <w:rFonts w:cs="Times New Roman"/>
          <w:lang w:val="fr-CA"/>
        </w:rPr>
        <w:lastRenderedPageBreak/>
        <w:t>ordonnances rendues en vertu de ce pouvoir discrétionnaire (</w:t>
      </w:r>
      <w:r w:rsidRPr="00074F59">
        <w:rPr>
          <w:rFonts w:cs="Times New Roman"/>
          <w:i/>
          <w:lang w:val="fr-CA"/>
        </w:rPr>
        <w:t xml:space="preserve">Pacific National Lease Holding Corp., Re </w:t>
      </w:r>
      <w:r w:rsidRPr="00074F59">
        <w:rPr>
          <w:rFonts w:cs="Times New Roman"/>
          <w:lang w:val="fr-CA"/>
        </w:rPr>
        <w:t xml:space="preserve">(1992), </w:t>
      </w:r>
      <w:r w:rsidRPr="00074F59">
        <w:rPr>
          <w:rStyle w:val="nowrap"/>
          <w:rFonts w:cs="Times New Roman"/>
          <w:lang w:val="fr-CA"/>
        </w:rPr>
        <w:t xml:space="preserve">72 B.C.L.R. (2d) 368 </w:t>
      </w:r>
      <w:r w:rsidRPr="00074F59">
        <w:rPr>
          <w:rFonts w:cs="Times New Roman"/>
          <w:lang w:val="fr-CA"/>
        </w:rPr>
        <w:t>(C.A.), par. 30</w:t>
      </w:r>
      <w:r w:rsidRPr="00074F59">
        <w:rPr>
          <w:rFonts w:cs="Times New Roman"/>
          <w:lang w:val="fr-CA"/>
        </w:rPr>
        <w:noBreakHyphen/>
        <w:t>31).</w:t>
      </w:r>
    </w:p>
    <w:p w:rsidR="00344043" w:rsidRPr="00074F59" w:rsidRDefault="00344043" w:rsidP="00344043">
      <w:pPr>
        <w:pStyle w:val="ParaNoNdepar-AltN"/>
        <w:spacing w:before="0"/>
        <w:rPr>
          <w:rFonts w:cs="Times New Roman"/>
          <w:lang w:val="fr-CA"/>
        </w:rPr>
      </w:pPr>
      <w:r w:rsidRPr="00074F59">
        <w:rPr>
          <w:rFonts w:cs="Times New Roman"/>
          <w:lang w:val="fr-CA"/>
        </w:rPr>
        <w:t>En plus de l’art. 11, on trouve dans certaines des dispositions qui le suivent des pouvoirs plus spécifiques, dont celui d’ordonner une sûreté ou une charge super prioritaire grevant tout ou partie des actifs de la compagnie débitrice en faveur de prêteurs temporaires (art. 11.2), de fournisseurs essentiels (art. 11.4), du contrôleur et des experts — notamment en finance et en droit — (</w:t>
      </w:r>
      <w:r>
        <w:rPr>
          <w:rFonts w:cs="Times New Roman"/>
          <w:lang w:val="fr-CA"/>
        </w:rPr>
        <w:t>art</w:t>
      </w:r>
      <w:r w:rsidRPr="00074F59">
        <w:rPr>
          <w:rFonts w:cs="Times New Roman"/>
          <w:lang w:val="fr-CA"/>
        </w:rPr>
        <w:t>. 11.</w:t>
      </w:r>
      <w:r>
        <w:rPr>
          <w:rFonts w:cs="Times New Roman"/>
          <w:lang w:val="fr-CA"/>
        </w:rPr>
        <w:t>52</w:t>
      </w:r>
      <w:r w:rsidRPr="00074F59">
        <w:rPr>
          <w:rFonts w:cs="Times New Roman"/>
          <w:lang w:val="fr-CA"/>
        </w:rPr>
        <w:t xml:space="preserve">), ou afin d’indemniser les dirigeants ou administrateurs (art. 11.51). Chacune de ces dispositions habilite le tribunal à </w:t>
      </w:r>
      <w:r w:rsidRPr="00074F59">
        <w:rPr>
          <w:rFonts w:cs="Times New Roman"/>
          <w:szCs w:val="24"/>
          <w:shd w:val="clear" w:color="auto" w:fill="FFFFFF"/>
          <w:lang w:val="fr-CA"/>
        </w:rPr>
        <w:t>« préciser, dans l’ordonnance, que la charge ou sûreté a priorité sur toute réclamation des créanciers garantis de la compagnie » (par. </w:t>
      </w:r>
      <w:r w:rsidRPr="00074F59">
        <w:rPr>
          <w:rFonts w:cs="Times New Roman"/>
          <w:lang w:val="fr-CA"/>
        </w:rPr>
        <w:t>11.2(2), 11.4(4), 11.51(2) et 11.52(2)).</w:t>
      </w:r>
    </w:p>
    <w:p w:rsidR="00344043" w:rsidRPr="009F2E9F" w:rsidRDefault="00344043" w:rsidP="00344043">
      <w:pPr>
        <w:pStyle w:val="ParaNoNdepar-AltN"/>
        <w:spacing w:before="0"/>
        <w:rPr>
          <w:rFonts w:cs="Times New Roman"/>
          <w:lang w:val="fr-CA"/>
        </w:rPr>
      </w:pPr>
      <w:r w:rsidRPr="00074F59">
        <w:rPr>
          <w:rFonts w:cs="Times New Roman"/>
          <w:lang w:val="fr-CA"/>
        </w:rPr>
        <w:t xml:space="preserve">Ainsi que notre Cour l’a jugé dans l’arrêt </w:t>
      </w:r>
      <w:r w:rsidRPr="00074F59">
        <w:rPr>
          <w:rFonts w:cs="Times New Roman"/>
          <w:i/>
          <w:lang w:val="fr-CA"/>
        </w:rPr>
        <w:t>Century Services</w:t>
      </w:r>
      <w:r w:rsidRPr="00074F59">
        <w:rPr>
          <w:rFonts w:cs="Times New Roman"/>
          <w:lang w:val="fr-CA"/>
        </w:rPr>
        <w:t>, par. 70, la possibilité pour le tribunal de rendre ces ordonnances plus spécifiques n’a pas pour effet de restreindre la portée des termes généraux employés à l’art. 11. En fait, les tribunaux constituent régulièrement des charges super prioritaires en faveur de personnes qui ne sont pas expressément mentionnées dans les dispositions susmentionnées, y compris au moyen d’ordonnances ayant préséance sur les ordonnances rendues en vertu de ces dispositions. Songeons, par exemple, aux charges relatives aux plans de rétention des employés clés (</w:t>
      </w:r>
      <w:r w:rsidRPr="00074F59">
        <w:rPr>
          <w:rFonts w:cs="Times New Roman"/>
          <w:i/>
          <w:lang w:val="fr-CA"/>
        </w:rPr>
        <w:t>Grant Forest Products Inc.</w:t>
      </w:r>
      <w:r>
        <w:rPr>
          <w:rFonts w:cs="Times New Roman"/>
          <w:i/>
          <w:lang w:val="fr-CA"/>
        </w:rPr>
        <w:t>,</w:t>
      </w:r>
      <w:r w:rsidRPr="00074F59">
        <w:rPr>
          <w:rFonts w:cs="Times New Roman"/>
          <w:i/>
          <w:lang w:val="fr-CA"/>
        </w:rPr>
        <w:t xml:space="preserve"> </w:t>
      </w:r>
      <w:r w:rsidRPr="009F2E9F">
        <w:rPr>
          <w:rFonts w:cs="Times New Roman"/>
          <w:i/>
          <w:lang w:val="fr-CA"/>
        </w:rPr>
        <w:t>Re</w:t>
      </w:r>
      <w:r w:rsidRPr="009F2E9F">
        <w:rPr>
          <w:rFonts w:cs="Times New Roman"/>
          <w:lang w:val="fr-CA"/>
        </w:rPr>
        <w:t xml:space="preserve"> (2009), 57 C.B.R. (5th) 128 (C.S.J. Ont.); </w:t>
      </w:r>
      <w:r w:rsidRPr="009F2E9F">
        <w:rPr>
          <w:rFonts w:cs="Times New Roman"/>
          <w:i/>
          <w:lang w:val="fr-CA"/>
        </w:rPr>
        <w:t>Timminco Ltd., Re</w:t>
      </w:r>
      <w:r w:rsidRPr="009F2E9F">
        <w:rPr>
          <w:rFonts w:cs="Times New Roman"/>
          <w:lang w:val="fr-CA"/>
        </w:rPr>
        <w:t>, 2012 ONSC 506, 85 C.B.R. (5th) 169</w:t>
      </w:r>
      <w:r>
        <w:rPr>
          <w:rFonts w:cs="Times New Roman"/>
          <w:lang w:val="fr-CA"/>
        </w:rPr>
        <w:t>)</w:t>
      </w:r>
      <w:r w:rsidRPr="009F2E9F">
        <w:rPr>
          <w:rFonts w:cs="Times New Roman"/>
          <w:lang w:val="fr-CA"/>
        </w:rPr>
        <w:t>, et aux charges relatives à la protection des offres (</w:t>
      </w:r>
      <w:r w:rsidRPr="009F2E9F">
        <w:rPr>
          <w:rFonts w:cs="Times New Roman"/>
          <w:i/>
          <w:lang w:val="fr-CA"/>
        </w:rPr>
        <w:t xml:space="preserve">In the Matter </w:t>
      </w:r>
      <w:r w:rsidRPr="009F2E9F">
        <w:rPr>
          <w:rFonts w:cs="Times New Roman"/>
          <w:i/>
          <w:lang w:val="fr-CA"/>
        </w:rPr>
        <w:lastRenderedPageBreak/>
        <w:t>of a Plan of Compromise o</w:t>
      </w:r>
      <w:r>
        <w:rPr>
          <w:rFonts w:cs="Times New Roman"/>
          <w:i/>
          <w:lang w:val="fr-CA"/>
        </w:rPr>
        <w:t>r</w:t>
      </w:r>
      <w:r w:rsidRPr="009F2E9F">
        <w:rPr>
          <w:rFonts w:cs="Times New Roman"/>
          <w:i/>
          <w:lang w:val="fr-CA"/>
        </w:rPr>
        <w:t xml:space="preserve"> Arrangement of </w:t>
      </w:r>
      <w:r w:rsidRPr="009F2E9F">
        <w:rPr>
          <w:rFonts w:cs="Times New Roman"/>
          <w:i/>
          <w:iCs/>
          <w:lang w:val="fr-CA"/>
        </w:rPr>
        <w:t>Green Growth Brands Inc.</w:t>
      </w:r>
      <w:r w:rsidRPr="009F2E9F">
        <w:rPr>
          <w:rFonts w:cs="Times New Roman"/>
          <w:iCs/>
          <w:lang w:val="fr-CA"/>
        </w:rPr>
        <w:t xml:space="preserve">, </w:t>
      </w:r>
      <w:r w:rsidRPr="009F2E9F">
        <w:rPr>
          <w:rFonts w:cs="Times New Roman"/>
          <w:lang w:val="fr-CA"/>
        </w:rPr>
        <w:t>2020 ONSC 3565, 84 C.B.R. (6th) 146).</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Dans l’arrêt </w:t>
      </w:r>
      <w:r w:rsidRPr="00074F59">
        <w:rPr>
          <w:rFonts w:cs="Times New Roman"/>
          <w:i/>
          <w:lang w:val="fr-CA"/>
        </w:rPr>
        <w:t>Sun Indalex Finance, LLC c. Syndicat des Métallos</w:t>
      </w:r>
      <w:r w:rsidRPr="00074F59">
        <w:rPr>
          <w:rFonts w:cs="Times New Roman"/>
          <w:lang w:val="fr-CA"/>
        </w:rPr>
        <w:t xml:space="preserve">, 2013 CSC 6, [2013] 1 R.C.S. 271, par. 60, citant l’ordonnance initiale modifiée dans cette affaire, notre Cour a confirmé que la charge de financement d’origine judiciaire qui devait prendre rang devant </w:t>
      </w:r>
      <w:r>
        <w:rPr>
          <w:rFonts w:cs="Times New Roman"/>
          <w:lang w:val="fr-CA"/>
        </w:rPr>
        <w:t>[</w:t>
      </w:r>
      <w:r w:rsidRPr="00800FB7">
        <w:rPr>
          <w:rFonts w:cs="Times New Roman"/>
          <w:smallCaps/>
          <w:lang w:val="fr-CA"/>
        </w:rPr>
        <w:t>traduction</w:t>
      </w:r>
      <w:r>
        <w:rPr>
          <w:rFonts w:cs="Times New Roman"/>
          <w:lang w:val="fr-CA"/>
        </w:rPr>
        <w:t xml:space="preserve">] </w:t>
      </w:r>
      <w:r w:rsidRPr="00074F59">
        <w:rPr>
          <w:rFonts w:cs="Times New Roman"/>
          <w:shd w:val="clear" w:color="auto" w:fill="FFFFFF"/>
          <w:lang w:val="fr-CA"/>
        </w:rPr>
        <w:t xml:space="preserve">« toutes les autres </w:t>
      </w:r>
      <w:r>
        <w:rPr>
          <w:rFonts w:cs="Times New Roman"/>
          <w:shd w:val="clear" w:color="auto" w:fill="FFFFFF"/>
          <w:lang w:val="fr-CA"/>
        </w:rPr>
        <w:t>sûretés</w:t>
      </w:r>
      <w:r w:rsidRPr="00074F59">
        <w:rPr>
          <w:rFonts w:cs="Times New Roman"/>
          <w:shd w:val="clear" w:color="auto" w:fill="FFFFFF"/>
          <w:lang w:val="fr-CA"/>
        </w:rPr>
        <w:t xml:space="preserve">, y compris les fiducies, privilèges, charges et </w:t>
      </w:r>
      <w:r>
        <w:rPr>
          <w:rFonts w:cs="Times New Roman"/>
          <w:shd w:val="clear" w:color="auto" w:fill="FFFFFF"/>
          <w:lang w:val="fr-CA"/>
        </w:rPr>
        <w:t>grèvements</w:t>
      </w:r>
      <w:r w:rsidRPr="00074F59">
        <w:rPr>
          <w:rFonts w:cs="Times New Roman"/>
          <w:shd w:val="clear" w:color="auto" w:fill="FFFFFF"/>
          <w:lang w:val="fr-CA"/>
        </w:rPr>
        <w:t>, d’origine législative ou autre »</w:t>
      </w:r>
      <w:r w:rsidRPr="00074F59">
        <w:rPr>
          <w:rFonts w:cs="Times New Roman"/>
          <w:lang w:val="fr-CA"/>
        </w:rPr>
        <w:t xml:space="preserve"> prenait effectivement rang devant la fiducie réputée qui avait été établie par la </w:t>
      </w:r>
      <w:r w:rsidRPr="00074F59">
        <w:rPr>
          <w:rFonts w:cs="Times New Roman"/>
          <w:i/>
          <w:lang w:val="fr-CA"/>
        </w:rPr>
        <w:t>Loi sur les sûreté mobilières</w:t>
      </w:r>
      <w:r w:rsidRPr="00074F59">
        <w:rPr>
          <w:rFonts w:cs="Times New Roman"/>
          <w:lang w:val="fr-CA"/>
        </w:rPr>
        <w:t>, L.R.O. 1990, c. P.10 (« </w:t>
      </w:r>
      <w:r w:rsidRPr="00074F59">
        <w:rPr>
          <w:rFonts w:cs="Times New Roman"/>
          <w:i/>
          <w:lang w:val="fr-CA"/>
        </w:rPr>
        <w:t>LSM</w:t>
      </w:r>
      <w:r w:rsidRPr="00074F59">
        <w:rPr>
          <w:rFonts w:cs="Times New Roman"/>
          <w:lang w:val="fr-CA"/>
        </w:rPr>
        <w:t xml:space="preserve"> »), dans le but de protéger les régimes de retraite des employés. La juge Deschamps s’est exprimée sur ce point au nom d’une </w:t>
      </w:r>
      <w:r>
        <w:rPr>
          <w:rFonts w:cs="Times New Roman"/>
          <w:lang w:val="fr-CA"/>
        </w:rPr>
        <w:t>C</w:t>
      </w:r>
      <w:r w:rsidRPr="00074F59">
        <w:rPr>
          <w:rFonts w:cs="Times New Roman"/>
          <w:lang w:val="fr-CA"/>
        </w:rPr>
        <w:t>our unanime. Elle a conclu que l’existence d’une fiducie réputée ne faisait pas obstacle au prononcé d’ordonnances accordant une priorité aux bailleurs de fonds : « </w:t>
      </w:r>
      <w:r>
        <w:rPr>
          <w:rFonts w:cs="Times New Roman"/>
          <w:lang w:val="fr-CA"/>
        </w:rPr>
        <w:t>C</w:t>
      </w:r>
      <w:r w:rsidRPr="00074F59">
        <w:rPr>
          <w:rFonts w:cs="Times New Roman"/>
          <w:lang w:val="fr-CA"/>
        </w:rPr>
        <w:t xml:space="preserve">e sera le cas seulement si la priorité de rang accordée par la province aux participants au régime des salariés, </w:t>
      </w:r>
      <w:r w:rsidRPr="005C7084">
        <w:rPr>
          <w:lang w:val="fr-CA"/>
        </w:rPr>
        <w:t>au par. 30(7) de</w:t>
      </w:r>
      <w:r w:rsidRPr="00074F59">
        <w:rPr>
          <w:rFonts w:cs="Times New Roman"/>
          <w:lang w:val="fr-CA"/>
        </w:rPr>
        <w:t xml:space="preserve"> </w:t>
      </w:r>
      <w:r w:rsidRPr="005C7084">
        <w:rPr>
          <w:lang w:val="fr-CA"/>
        </w:rPr>
        <w:t>la </w:t>
      </w:r>
      <w:r w:rsidRPr="005C7084">
        <w:rPr>
          <w:i/>
          <w:lang w:val="fr-CA"/>
        </w:rPr>
        <w:t>LSM</w:t>
      </w:r>
      <w:r w:rsidRPr="005C7084">
        <w:rPr>
          <w:lang w:val="fr-CA"/>
        </w:rPr>
        <w:t>, fait</w:t>
      </w:r>
      <w:r w:rsidRPr="00074F59">
        <w:rPr>
          <w:rFonts w:cs="Times New Roman"/>
          <w:lang w:val="fr-CA"/>
        </w:rPr>
        <w:t xml:space="preserve"> en sorte que leur réclamation a préséance sur la charge</w:t>
      </w:r>
      <w:r w:rsidRPr="00074F59">
        <w:rPr>
          <w:rFonts w:cs="Times New Roman"/>
          <w:shd w:val="clear" w:color="auto" w:fill="FFFFFF"/>
          <w:lang w:val="fr-CA"/>
        </w:rPr>
        <w:t> [débiteur</w:t>
      </w:r>
      <w:r w:rsidRPr="00074F59">
        <w:rPr>
          <w:rFonts w:cs="Times New Roman"/>
          <w:shd w:val="clear" w:color="auto" w:fill="FFFFFF"/>
          <w:lang w:val="fr-CA"/>
        </w:rPr>
        <w:noBreakHyphen/>
        <w:t>exploitant</w:t>
      </w:r>
      <w:r>
        <w:rPr>
          <w:rFonts w:cs="Times New Roman"/>
          <w:shd w:val="clear" w:color="auto" w:fill="FFFFFF"/>
          <w:lang w:val="fr-CA"/>
        </w:rPr>
        <w:t xml:space="preserve"> (« DE »)</w:t>
      </w:r>
      <w:r w:rsidRPr="00074F59">
        <w:rPr>
          <w:rFonts w:cs="Times New Roman"/>
          <w:shd w:val="clear" w:color="auto" w:fill="FFFFFF"/>
          <w:lang w:val="fr-CA"/>
        </w:rPr>
        <w:t>]</w:t>
      </w:r>
      <w:r w:rsidRPr="00074F59">
        <w:rPr>
          <w:rFonts w:cs="Times New Roman"/>
          <w:lang w:val="fr-CA"/>
        </w:rPr>
        <w:t> » (par. 48).</w:t>
      </w:r>
    </w:p>
    <w:p w:rsidR="00344043" w:rsidRPr="00074F59" w:rsidRDefault="00344043" w:rsidP="00344043">
      <w:pPr>
        <w:pStyle w:val="ParaNoNdepar-AltN"/>
        <w:spacing w:before="0"/>
        <w:rPr>
          <w:rFonts w:cs="Times New Roman"/>
          <w:lang w:val="fr-CA"/>
        </w:rPr>
      </w:pPr>
      <w:r w:rsidRPr="00074F59">
        <w:rPr>
          <w:rFonts w:cs="Times New Roman"/>
          <w:lang w:val="fr-CA"/>
        </w:rPr>
        <w:t>La juge Deschamps a tout d’abord examiné l’ordonnance du juge surveillant afin de déterminer si celle</w:t>
      </w:r>
      <w:r w:rsidRPr="00074F59">
        <w:rPr>
          <w:rFonts w:cs="Times New Roman"/>
          <w:lang w:val="fr-CA"/>
        </w:rPr>
        <w:noBreakHyphen/>
        <w:t xml:space="preserve">ci était véritablement nécessaire pour que la charge de financement ait priorité sur la fiducie réputée. Même s’il ne s’était pas expressément penché sur la fiducie réputée dans l’ordonnance aux termes de laquelle il avait constitué la charge super prioritaire, le juge surveillant avait conclu qu’il n’avait d’autre choix que de rendre l’ordonnance. Le financement devait être garanti par une </w:t>
      </w:r>
      <w:r w:rsidRPr="00074F59">
        <w:rPr>
          <w:rFonts w:cs="Times New Roman"/>
          <w:lang w:val="fr-CA"/>
        </w:rPr>
        <w:lastRenderedPageBreak/>
        <w:t>super priorité pour que la compagnie demeure en activité (par. 59). La juge Deschamps a rejeté l’idée « </w:t>
      </w:r>
      <w:r w:rsidRPr="00074F59">
        <w:rPr>
          <w:rFonts w:cs="Times New Roman"/>
          <w:shd w:val="clear" w:color="auto" w:fill="FFFFFF"/>
          <w:lang w:val="fr-CA"/>
        </w:rPr>
        <w:t xml:space="preserve">que les prêteurs DE auraient accepté que leur réclamation soit subordonnée à celles fondées sur la fiducie réputée », étant donné que </w:t>
      </w:r>
      <w:r w:rsidRPr="00074F59">
        <w:rPr>
          <w:rFonts w:cs="Times New Roman"/>
          <w:lang w:val="fr-CA"/>
        </w:rPr>
        <w:t>« [l]</w:t>
      </w:r>
      <w:r w:rsidRPr="00074F59">
        <w:rPr>
          <w:rFonts w:cs="Times New Roman"/>
          <w:shd w:val="clear" w:color="auto" w:fill="FFFFFF"/>
          <w:lang w:val="fr-CA"/>
        </w:rPr>
        <w:t>a dure réalité est que l</w:t>
      </w:r>
      <w:r w:rsidRPr="00074F59">
        <w:rPr>
          <w:rFonts w:cs="Times New Roman"/>
          <w:smallCaps/>
          <w:shd w:val="clear" w:color="auto" w:fill="FFFFFF"/>
          <w:lang w:val="fr-CA"/>
        </w:rPr>
        <w:t>’</w:t>
      </w:r>
      <w:r w:rsidRPr="00074F59">
        <w:rPr>
          <w:rFonts w:cs="Times New Roman"/>
          <w:shd w:val="clear" w:color="auto" w:fill="FFFFFF"/>
          <w:lang w:val="fr-CA"/>
        </w:rPr>
        <w:t>octroi de prêts est régi par les impératifs commerciaux des prêteurs, et non par les intérêts des participants ou par les considérations de politique générale qui ont incité les législateurs provinciaux à protéger les bénéficiaires de caisses de retraite »</w:t>
      </w:r>
      <w:r w:rsidRPr="00074F59">
        <w:rPr>
          <w:rFonts w:cs="Times New Roman"/>
          <w:lang w:val="fr-CA"/>
        </w:rPr>
        <w:t xml:space="preserve"> (par. 59).</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Après avoir décidé que l’ordonnance était nécessaire, la juge Deschamps a examiné la loi accordant la priorité à la fiducie réputée. Le paragraphe 30(7) de la </w:t>
      </w:r>
      <w:r w:rsidRPr="00074F59">
        <w:rPr>
          <w:rFonts w:cs="Times New Roman"/>
          <w:i/>
          <w:iCs/>
          <w:lang w:val="fr-CA"/>
        </w:rPr>
        <w:t>LSM</w:t>
      </w:r>
      <w:r w:rsidRPr="00074F59">
        <w:rPr>
          <w:rFonts w:cs="Times New Roman"/>
          <w:lang w:val="fr-CA"/>
        </w:rPr>
        <w:t xml:space="preserve"> prévoyait que la fiducie réputée prenait rang devant toutes les garanties, ce qui, à son avis, créait un conflit entre la super priorité d’origine judiciaire et la priorité légale accordée à la créance protégée par la fiducie réputée. La super priorité avait donc préséance sur </w:t>
      </w:r>
      <w:r w:rsidRPr="00074F59">
        <w:rPr>
          <w:rFonts w:cs="Times New Roman"/>
          <w:shd w:val="clear" w:color="auto" w:fill="FFFFFF"/>
          <w:lang w:val="fr-CA"/>
        </w:rPr>
        <w:t>la fiducie réputée</w:t>
      </w:r>
      <w:r w:rsidRPr="00074F59">
        <w:rPr>
          <w:rFonts w:cs="Times New Roman"/>
          <w:lang w:val="fr-CA"/>
        </w:rPr>
        <w:t xml:space="preserve"> en raison </w:t>
      </w:r>
      <w:r w:rsidRPr="00074F59">
        <w:rPr>
          <w:rFonts w:cs="Times New Roman"/>
          <w:shd w:val="clear" w:color="auto" w:fill="FFFFFF"/>
          <w:lang w:val="fr-CA"/>
        </w:rPr>
        <w:t xml:space="preserve">de la doctrine de la prépondérance fédérale </w:t>
      </w:r>
      <w:r w:rsidRPr="00074F59">
        <w:rPr>
          <w:rFonts w:cs="Times New Roman"/>
          <w:lang w:val="fr-CA"/>
        </w:rPr>
        <w:t>(par. 60).</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Il existe aussi des considérations d’ordre pratique qui expliquent pourquoi les juges surveillants doivent disposer du pouvoir discrétionnaire d’ordonner des charges ayant priorité sur les fiducies réputées. Pour restructurer une compagnie sous le régime de la </w:t>
      </w:r>
      <w:r w:rsidRPr="00074F59">
        <w:rPr>
          <w:rFonts w:cs="Times New Roman"/>
          <w:i/>
          <w:lang w:val="fr-CA"/>
        </w:rPr>
        <w:t>LACC</w:t>
      </w:r>
      <w:r w:rsidRPr="00074F59">
        <w:rPr>
          <w:rFonts w:cs="Times New Roman"/>
          <w:lang w:val="fr-CA"/>
        </w:rPr>
        <w:t xml:space="preserve">, il faut souvent obtenir l’aide de nombreux professionnels. Ainsi que le juge en chef Wagner et le juge Moldaver l’ont </w:t>
      </w:r>
      <w:r>
        <w:rPr>
          <w:rFonts w:cs="Times New Roman"/>
          <w:lang w:val="fr-CA"/>
        </w:rPr>
        <w:t>récemment reconnu au nom d’une C</w:t>
      </w:r>
      <w:r w:rsidRPr="00074F59">
        <w:rPr>
          <w:rFonts w:cs="Times New Roman"/>
          <w:lang w:val="fr-CA"/>
        </w:rPr>
        <w:t xml:space="preserve">our unanime, le contrôleur joue un rôle crucial dans une instance introduite sous le régime de la </w:t>
      </w:r>
      <w:r w:rsidRPr="00074F59">
        <w:rPr>
          <w:rFonts w:cs="Times New Roman"/>
          <w:i/>
          <w:lang w:val="fr-CA"/>
        </w:rPr>
        <w:t>LACC</w:t>
      </w:r>
      <w:r w:rsidRPr="00074F59">
        <w:rPr>
          <w:rFonts w:cs="Times New Roman"/>
          <w:lang w:val="fr-CA"/>
        </w:rPr>
        <w:t> : « </w:t>
      </w:r>
      <w:r w:rsidRPr="00074F59">
        <w:rPr>
          <w:rFonts w:cs="Times New Roman"/>
          <w:shd w:val="clear" w:color="auto" w:fill="FFFFFF"/>
          <w:lang w:val="fr-CA"/>
        </w:rPr>
        <w:t xml:space="preserve">Le contrôleur est un expert indépendant et impartial qui agit comme </w:t>
      </w:r>
      <w:r w:rsidRPr="0073351E">
        <w:rPr>
          <w:rFonts w:cs="Times New Roman"/>
          <w:shd w:val="clear" w:color="auto" w:fill="FFFFFF"/>
          <w:lang w:val="fr-CA"/>
        </w:rPr>
        <w:t>[</w:t>
      </w:r>
      <w:r w:rsidRPr="0073351E">
        <w:rPr>
          <w:rFonts w:cs="Times New Roman"/>
          <w:smallCaps/>
          <w:shd w:val="clear" w:color="auto" w:fill="FFFFFF"/>
          <w:lang w:val="fr-CA"/>
        </w:rPr>
        <w:t>traduction</w:t>
      </w:r>
      <w:r>
        <w:rPr>
          <w:rFonts w:cs="Times New Roman"/>
          <w:shd w:val="clear" w:color="auto" w:fill="FFFFFF"/>
          <w:lang w:val="fr-CA"/>
        </w:rPr>
        <w:t xml:space="preserve">] </w:t>
      </w:r>
      <w:r w:rsidRPr="00074F59">
        <w:rPr>
          <w:rFonts w:cs="Times New Roman"/>
          <w:shd w:val="clear" w:color="auto" w:fill="FFFFFF"/>
          <w:lang w:val="fr-CA"/>
        </w:rPr>
        <w:t xml:space="preserve">“les yeux et les oreilles du tribunal” tout au long de la procédure </w:t>
      </w:r>
      <w:r w:rsidRPr="00074F59">
        <w:rPr>
          <w:rFonts w:cs="Times New Roman"/>
          <w:shd w:val="clear" w:color="auto" w:fill="FFFFFF"/>
          <w:lang w:val="fr-CA"/>
        </w:rPr>
        <w:lastRenderedPageBreak/>
        <w:t>[. . .] Il a essentiellement pour rôle de donner au tribunal des avis consultatifs sur le caractère équitable de tout plan d’arrangement proposé et sur les ordonnances demandées par les parties, y compris celles portant sur la vente d’actifs et le financement provisoire »</w:t>
      </w:r>
      <w:r w:rsidRPr="00074F59">
        <w:rPr>
          <w:rFonts w:cs="Times New Roman"/>
          <w:lang w:val="fr-CA"/>
        </w:rPr>
        <w:t xml:space="preserve"> </w:t>
      </w:r>
      <w:r w:rsidRPr="0073351E">
        <w:rPr>
          <w:rFonts w:cs="Times New Roman"/>
          <w:lang w:val="fr-CA"/>
        </w:rPr>
        <w:t>(</w:t>
      </w:r>
      <w:r w:rsidRPr="0073351E">
        <w:rPr>
          <w:rFonts w:cs="Times New Roman"/>
          <w:i/>
          <w:lang w:val="fr-CA"/>
        </w:rPr>
        <w:t>Callidus Capital</w:t>
      </w:r>
      <w:r w:rsidRPr="0073351E">
        <w:rPr>
          <w:rFonts w:cs="Times New Roman"/>
          <w:lang w:val="fr-CA"/>
        </w:rPr>
        <w:t xml:space="preserve">, par. 52, citant </w:t>
      </w:r>
      <w:r w:rsidRPr="0073351E">
        <w:rPr>
          <w:rFonts w:cs="Times New Roman"/>
          <w:i/>
          <w:lang w:val="fr-CA"/>
        </w:rPr>
        <w:t>Ernst &amp; Young Inc. c. Essar Global Fund Ltd.</w:t>
      </w:r>
      <w:r w:rsidRPr="0073351E">
        <w:rPr>
          <w:rFonts w:cs="Times New Roman"/>
          <w:lang w:val="fr-CA"/>
        </w:rPr>
        <w:t xml:space="preserve">, 2017 ONCA 1014, 139 O.R. (3d) 1, par. 109). </w:t>
      </w:r>
      <w:r w:rsidRPr="00074F59">
        <w:rPr>
          <w:rFonts w:cs="Times New Roman"/>
          <w:lang w:val="fr-CA"/>
        </w:rPr>
        <w:t>Comme l’a dit le juge Morawetz (maintenant juge en chef de la Cour supérieure de justice de l’Ontario), [</w:t>
      </w:r>
      <w:r w:rsidRPr="00074F59">
        <w:rPr>
          <w:rFonts w:cs="Times New Roman"/>
          <w:smallCaps/>
          <w:lang w:val="fr-CA"/>
        </w:rPr>
        <w:t>traduction</w:t>
      </w:r>
      <w:r w:rsidRPr="00074F59">
        <w:rPr>
          <w:rFonts w:cs="Times New Roman"/>
          <w:lang w:val="fr-CA"/>
        </w:rPr>
        <w:t>] « [o]n ne peut raisonnablement s’attendre à ce que des professionnels prennent le risque de ne pas être payés pour leurs services et à ce que les administrateurs et les dirigeants demeurent en poste s’ils se retrouvent dans une position délicate » (</w:t>
      </w:r>
      <w:r w:rsidRPr="00074F59">
        <w:rPr>
          <w:rFonts w:cs="Times New Roman"/>
          <w:i/>
          <w:lang w:val="fr-CA"/>
        </w:rPr>
        <w:t>Timminco</w:t>
      </w:r>
      <w:r w:rsidRPr="00074F59">
        <w:rPr>
          <w:rFonts w:cs="Times New Roman"/>
          <w:lang w:val="fr-CA"/>
        </w:rPr>
        <w:t>, par. 66).</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Notre Cour a pareillement conclu que le financement est essentiel, étant donné qu’il « a </w:t>
      </w:r>
      <w:r w:rsidRPr="00074F59">
        <w:rPr>
          <w:rFonts w:cs="Times New Roman"/>
          <w:shd w:val="clear" w:color="auto" w:fill="FFFFFF"/>
          <w:lang w:val="fr-CA"/>
        </w:rPr>
        <w:t>été démontré maintes et maintes fois que [</w:t>
      </w:r>
      <w:r w:rsidRPr="00074F59">
        <w:rPr>
          <w:rFonts w:cs="Times New Roman"/>
          <w:smallCaps/>
          <w:shd w:val="clear" w:color="auto" w:fill="FFFFFF"/>
          <w:lang w:val="fr-CA"/>
        </w:rPr>
        <w:t>traduction</w:t>
      </w:r>
      <w:r w:rsidRPr="00074F59">
        <w:rPr>
          <w:rFonts w:cs="Times New Roman"/>
          <w:shd w:val="clear" w:color="auto" w:fill="FFFFFF"/>
          <w:lang w:val="fr-CA"/>
        </w:rPr>
        <w:t>] “la priorité accordée au financement DE constitue un élément clé de la capacité du débiteur de tenter de conclure un arrangement”</w:t>
      </w:r>
      <w:r w:rsidRPr="00074F59">
        <w:rPr>
          <w:rFonts w:cs="Times New Roman"/>
          <w:lang w:val="fr-CA"/>
        </w:rPr>
        <w:t> » (</w:t>
      </w:r>
      <w:r w:rsidRPr="00074F59">
        <w:rPr>
          <w:rFonts w:cs="Times New Roman"/>
          <w:i/>
          <w:lang w:val="fr-CA"/>
        </w:rPr>
        <w:t>Indalex</w:t>
      </w:r>
      <w:r w:rsidRPr="00074F59">
        <w:rPr>
          <w:rFonts w:cs="Times New Roman"/>
          <w:lang w:val="fr-CA"/>
        </w:rPr>
        <w:t>, par. 59, citant J</w:t>
      </w:r>
      <w:r>
        <w:rPr>
          <w:rFonts w:cs="Times New Roman"/>
          <w:lang w:val="fr-CA"/>
        </w:rPr>
        <w:t>. </w:t>
      </w:r>
      <w:r w:rsidRPr="00074F59">
        <w:rPr>
          <w:rFonts w:cs="Times New Roman"/>
          <w:lang w:val="fr-CA"/>
        </w:rPr>
        <w:t xml:space="preserve">P. Sarra, </w:t>
      </w:r>
      <w:r w:rsidRPr="00074F59">
        <w:rPr>
          <w:rFonts w:cs="Times New Roman"/>
          <w:i/>
          <w:lang w:val="fr-CA"/>
        </w:rPr>
        <w:t xml:space="preserve">Rescue! The Companies’ Creditors Arrangement Act </w:t>
      </w:r>
      <w:r w:rsidRPr="00074F59">
        <w:rPr>
          <w:rFonts w:cs="Times New Roman"/>
          <w:lang w:val="fr-CA"/>
        </w:rPr>
        <w:t xml:space="preserve">(2007), p. 97). Ainsi que les juridictions inférieures l’ont affirmé, </w:t>
      </w:r>
      <w:r w:rsidRPr="00074F59">
        <w:rPr>
          <w:rFonts w:cs="Times New Roman"/>
          <w:shd w:val="clear" w:color="auto" w:fill="FFFFFF"/>
          <w:lang w:val="fr-CA"/>
        </w:rPr>
        <w:t>[</w:t>
      </w:r>
      <w:r w:rsidRPr="00074F59">
        <w:rPr>
          <w:rFonts w:cs="Times New Roman"/>
          <w:smallCaps/>
          <w:shd w:val="clear" w:color="auto" w:fill="FFFFFF"/>
          <w:lang w:val="fr-CA"/>
        </w:rPr>
        <w:t>traduction</w:t>
      </w:r>
      <w:r w:rsidRPr="00074F59">
        <w:rPr>
          <w:rFonts w:cs="Times New Roman"/>
          <w:shd w:val="clear" w:color="auto" w:fill="FFFFFF"/>
          <w:lang w:val="fr-CA"/>
        </w:rPr>
        <w:t>] « </w:t>
      </w:r>
      <w:r>
        <w:rPr>
          <w:rFonts w:cs="Times New Roman"/>
          <w:shd w:val="clear" w:color="auto" w:fill="FFFFFF"/>
          <w:lang w:val="fr-CA"/>
        </w:rPr>
        <w:t>L</w:t>
      </w:r>
      <w:r w:rsidRPr="00074F59">
        <w:rPr>
          <w:rFonts w:cs="Times New Roman"/>
          <w:shd w:val="clear" w:color="auto" w:fill="FFFFFF"/>
          <w:lang w:val="fr-CA"/>
        </w:rPr>
        <w:t>es services professionnels sont fournis et le financement DE est avancé sur la foi des</w:t>
      </w:r>
      <w:r w:rsidRPr="00074F59">
        <w:rPr>
          <w:rFonts w:cs="Times New Roman"/>
          <w:lang w:val="fr-CA"/>
        </w:rPr>
        <w:t xml:space="preserve"> charges super prioritaires contenues dans les ordonnances initiales. Pour assurer l’intégrité, la prévisibilité et l’équité du processus de la </w:t>
      </w:r>
      <w:r w:rsidRPr="00074F59">
        <w:rPr>
          <w:rFonts w:cs="Times New Roman"/>
          <w:i/>
          <w:lang w:val="fr-CA"/>
        </w:rPr>
        <w:t>LACC</w:t>
      </w:r>
      <w:r w:rsidRPr="00074F59">
        <w:rPr>
          <w:rFonts w:cs="Times New Roman"/>
          <w:lang w:val="fr-CA"/>
        </w:rPr>
        <w:t>, la certitude doit caractériser l’octroi de ces charges super prioritaires » (</w:t>
      </w:r>
      <w:r w:rsidRPr="00074F59">
        <w:rPr>
          <w:rFonts w:cs="Times New Roman"/>
          <w:i/>
          <w:lang w:val="fr-CA"/>
        </w:rPr>
        <w:t>First Leaside Wealth Management Inc. (Re)</w:t>
      </w:r>
      <w:r w:rsidRPr="00074F59">
        <w:rPr>
          <w:rFonts w:cs="Times New Roman"/>
          <w:lang w:val="fr-CA"/>
        </w:rPr>
        <w:t>, 2012 ONSC 1299, par. 51 (CanLII)).</w:t>
      </w:r>
    </w:p>
    <w:p w:rsidR="00344043" w:rsidRPr="00074F59" w:rsidRDefault="00344043" w:rsidP="00344043">
      <w:pPr>
        <w:pStyle w:val="ParaNoNdepar-AltN"/>
        <w:spacing w:before="0"/>
        <w:rPr>
          <w:rFonts w:cs="Times New Roman"/>
          <w:lang w:val="fr-CA"/>
        </w:rPr>
      </w:pPr>
      <w:r w:rsidRPr="00074F59">
        <w:rPr>
          <w:rFonts w:cs="Times New Roman"/>
          <w:lang w:val="fr-CA"/>
        </w:rPr>
        <w:lastRenderedPageBreak/>
        <w:t>Pour que les parties prenantes bénéficient d’une valorisation maximale, il est nécessaire de constituer des charges super prioritaires en faveur du contrôleur, des bailleurs de fonds et d’autres professionnels. Ces mesures profitent à l’ensemble des créanciers, y compris ceux dont les créances sont protégées par une fiducie réputée. Le fait qu’ils aient besoin d’une super priorité n’est qu’un des aspects de « </w:t>
      </w:r>
      <w:r w:rsidRPr="0073351E">
        <w:rPr>
          <w:rFonts w:cs="Times New Roman"/>
          <w:lang w:val="fr-CA"/>
        </w:rPr>
        <w:t>[</w:t>
      </w:r>
      <w:r w:rsidRPr="00074F59">
        <w:rPr>
          <w:rFonts w:cs="Times New Roman"/>
          <w:lang w:val="fr-CA"/>
        </w:rPr>
        <w:t>l</w:t>
      </w:r>
      <w:r>
        <w:rPr>
          <w:rFonts w:cs="Times New Roman"/>
          <w:lang w:val="fr-CA"/>
        </w:rPr>
        <w:t>]</w:t>
      </w:r>
      <w:r w:rsidRPr="00074F59">
        <w:rPr>
          <w:rFonts w:cs="Times New Roman"/>
          <w:lang w:val="fr-CA"/>
        </w:rPr>
        <w:t xml:space="preserve">a </w:t>
      </w:r>
      <w:r w:rsidRPr="00074F59">
        <w:rPr>
          <w:rFonts w:cs="Times New Roman"/>
          <w:shd w:val="clear" w:color="auto" w:fill="FFFFFF"/>
          <w:lang w:val="fr-CA"/>
        </w:rPr>
        <w:t>dure réalité [. . .] que l</w:t>
      </w:r>
      <w:r w:rsidRPr="00074F59">
        <w:rPr>
          <w:rFonts w:cs="Times New Roman"/>
          <w:smallCaps/>
          <w:shd w:val="clear" w:color="auto" w:fill="FFFFFF"/>
          <w:lang w:val="fr-CA"/>
        </w:rPr>
        <w:t>’</w:t>
      </w:r>
      <w:r w:rsidRPr="00074F59">
        <w:rPr>
          <w:rFonts w:cs="Times New Roman"/>
          <w:shd w:val="clear" w:color="auto" w:fill="FFFFFF"/>
          <w:lang w:val="fr-CA"/>
        </w:rPr>
        <w:t>octroi de prêts est régi par les impératifs commerciaux des prêteurs »</w:t>
      </w:r>
      <w:r w:rsidRPr="00074F59">
        <w:rPr>
          <w:rFonts w:cs="Times New Roman"/>
          <w:lang w:val="fr-CA"/>
        </w:rPr>
        <w:t xml:space="preserve"> (</w:t>
      </w:r>
      <w:r w:rsidRPr="00074F59">
        <w:rPr>
          <w:rFonts w:cs="Times New Roman"/>
          <w:i/>
          <w:lang w:val="fr-CA"/>
        </w:rPr>
        <w:t>Indalex</w:t>
      </w:r>
      <w:r w:rsidRPr="00074F59">
        <w:rPr>
          <w:rFonts w:cs="Times New Roman"/>
          <w:lang w:val="fr-CA"/>
        </w:rPr>
        <w:t>, par. 59). Il n’est pas sensé, au plan commercial, de s’engager en présence d’un risque élevé. Il n’y a rien d’équitable dans la situation où, pour aider une entreprise à se restructurer et à se développer, un contrôleur et des prêteurs s’exposent à des risques, et découvrent par la suite qu’une fiducie réputée prévaut sur l’ensemble des créances. Comme la juge McLachlin (plus tard juge en chef) l’a dit, accorder la priorité absolue à une fiducie réputée — alors qu’elle ne constitue pas une fiducie selon les principes généraux du droit — serait « contrair[e] à l’équité et au bon sens » (</w:t>
      </w:r>
      <w:r w:rsidRPr="00074F59">
        <w:rPr>
          <w:rFonts w:cs="Times New Roman"/>
          <w:i/>
          <w:iCs/>
          <w:lang w:val="fr-CA"/>
        </w:rPr>
        <w:t>Colombie</w:t>
      </w:r>
      <w:r w:rsidRPr="00074F59">
        <w:rPr>
          <w:rFonts w:cs="Times New Roman"/>
          <w:i/>
          <w:iCs/>
          <w:lang w:val="fr-CA"/>
        </w:rPr>
        <w:noBreakHyphen/>
        <w:t>Britannique c.</w:t>
      </w:r>
      <w:r w:rsidRPr="00074F59">
        <w:rPr>
          <w:rFonts w:cs="Times New Roman"/>
          <w:lang w:val="fr-CA"/>
        </w:rPr>
        <w:t xml:space="preserve"> </w:t>
      </w:r>
      <w:r w:rsidRPr="00074F59">
        <w:rPr>
          <w:rFonts w:cs="Times New Roman"/>
          <w:i/>
          <w:lang w:val="fr-CA"/>
        </w:rPr>
        <w:t>Henfrey Samson Belair Ltd.</w:t>
      </w:r>
      <w:r w:rsidRPr="00074F59">
        <w:rPr>
          <w:rFonts w:cs="Times New Roman"/>
          <w:lang w:val="fr-CA"/>
        </w:rPr>
        <w:t>, [1989] 2 R.C.S. 24, p. 33).</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Il est donc évident qu’en général, les tribunaux chargés de surveiller les restructurations sous le régime de la </w:t>
      </w:r>
      <w:r w:rsidRPr="00074F59">
        <w:rPr>
          <w:rFonts w:cs="Times New Roman"/>
          <w:i/>
          <w:lang w:val="fr-CA"/>
        </w:rPr>
        <w:t xml:space="preserve">LACC </w:t>
      </w:r>
      <w:r w:rsidRPr="00074F59">
        <w:rPr>
          <w:rFonts w:cs="Times New Roman"/>
          <w:lang w:val="fr-CA"/>
        </w:rPr>
        <w:t xml:space="preserve">ont le pouvoir d’ordonner des charges super prioritaires afin de faciliter le processus de restructuration. Dans la même veine, les tribunaux se sont assurés que la </w:t>
      </w:r>
      <w:r w:rsidRPr="00074F59">
        <w:rPr>
          <w:rFonts w:cs="Times New Roman"/>
          <w:i/>
          <w:lang w:val="fr-CA"/>
        </w:rPr>
        <w:t>LACC</w:t>
      </w:r>
      <w:r w:rsidRPr="00074F59">
        <w:rPr>
          <w:rFonts w:cs="Times New Roman"/>
          <w:lang w:val="fr-CA"/>
        </w:rPr>
        <w:t xml:space="preserve"> reçoive une interprétation libérale pour être capables d’en réaliser l’objectif général tout en évitant que cet objectif ne soit neutralisé par d’autres lois : « Ce que les tribunaux ont décidé à maintes reprises, c’est que la finalité de la </w:t>
      </w:r>
      <w:r w:rsidRPr="00074F59">
        <w:rPr>
          <w:rFonts w:cs="Times New Roman"/>
          <w:i/>
          <w:lang w:val="fr-CA"/>
        </w:rPr>
        <w:t>LACC</w:t>
      </w:r>
      <w:r w:rsidRPr="00074F59">
        <w:rPr>
          <w:rFonts w:cs="Times New Roman"/>
          <w:lang w:val="fr-CA"/>
        </w:rPr>
        <w:t xml:space="preserve"> et les ordonnances qui en découlent ne sauraient être affectées, ni neutralisées par une autre loi, fut</w:t>
      </w:r>
      <w:r w:rsidRPr="00074F59">
        <w:rPr>
          <w:rFonts w:cs="Times New Roman"/>
          <w:lang w:val="fr-CA"/>
        </w:rPr>
        <w:noBreakHyphen/>
        <w:t>elle d’ordre public ou non » (</w:t>
      </w:r>
      <w:r w:rsidRPr="00074F59">
        <w:rPr>
          <w:rFonts w:cs="Times New Roman"/>
          <w:i/>
          <w:lang w:val="fr-CA"/>
        </w:rPr>
        <w:t xml:space="preserve">Triton Électronique inc. </w:t>
      </w:r>
      <w:r w:rsidRPr="00074F59">
        <w:rPr>
          <w:rFonts w:cs="Times New Roman"/>
          <w:i/>
          <w:lang w:val="fr-CA"/>
        </w:rPr>
        <w:lastRenderedPageBreak/>
        <w:t>(Arrangement relatif à)</w:t>
      </w:r>
      <w:r w:rsidRPr="00074F59">
        <w:rPr>
          <w:rFonts w:cs="Times New Roman"/>
          <w:lang w:val="fr-CA"/>
        </w:rPr>
        <w:t>, 2009 QCCS 1202, par. 35 (CanLII)). [</w:t>
      </w:r>
      <w:r w:rsidRPr="00074F59">
        <w:rPr>
          <w:rFonts w:cs="Times New Roman"/>
          <w:smallCaps/>
          <w:lang w:val="fr-CA"/>
        </w:rPr>
        <w:t>traduction</w:t>
      </w:r>
      <w:r w:rsidRPr="00074F59">
        <w:rPr>
          <w:rFonts w:cs="Times New Roman"/>
          <w:lang w:val="fr-CA"/>
        </w:rPr>
        <w:t>] « L’affaire qui nous occupe concerne moins les droits des employés en tant que créanciers que le droit accordé par la [</w:t>
      </w:r>
      <w:r w:rsidRPr="00074F59">
        <w:rPr>
          <w:rFonts w:cs="Times New Roman"/>
          <w:i/>
          <w:lang w:val="fr-CA"/>
        </w:rPr>
        <w:t>LACC</w:t>
      </w:r>
      <w:r w:rsidRPr="00074F59">
        <w:rPr>
          <w:rFonts w:cs="Times New Roman"/>
          <w:lang w:val="fr-CA"/>
        </w:rPr>
        <w:t>]</w:t>
      </w:r>
      <w:r w:rsidRPr="00074F59">
        <w:rPr>
          <w:rFonts w:cs="Times New Roman"/>
          <w:i/>
          <w:lang w:val="fr-CA"/>
        </w:rPr>
        <w:t xml:space="preserve"> </w:t>
      </w:r>
      <w:r w:rsidRPr="00074F59">
        <w:rPr>
          <w:rFonts w:cs="Times New Roman"/>
          <w:lang w:val="fr-CA"/>
        </w:rPr>
        <w:t xml:space="preserve">au tribunal de servir non pas les intérêts spéciaux des dirigeants et administrateurs de la compagnie, mais l’ensemble plus large d’intéressés dont il est question dans </w:t>
      </w:r>
      <w:r w:rsidRPr="00074F59">
        <w:rPr>
          <w:rFonts w:cs="Times New Roman"/>
          <w:i/>
          <w:lang w:val="fr-CA"/>
        </w:rPr>
        <w:t>Chef Ready Foods Ltd</w:t>
      </w:r>
      <w:r w:rsidRPr="00074F59">
        <w:rPr>
          <w:rFonts w:cs="Times New Roman"/>
          <w:lang w:val="fr-CA"/>
        </w:rPr>
        <w:t xml:space="preserve">. </w:t>
      </w:r>
      <w:r w:rsidRPr="00074F59">
        <w:rPr>
          <w:rFonts w:cs="Times New Roman"/>
        </w:rPr>
        <w:t>[</w:t>
      </w:r>
      <w:r w:rsidRPr="00074F59">
        <w:rPr>
          <w:rFonts w:cs="Times New Roman"/>
          <w:i/>
          <w:lang w:val="en-US"/>
        </w:rPr>
        <w:t xml:space="preserve">c. Hongkong Bank of Can. </w:t>
      </w:r>
      <w:r w:rsidRPr="00074F59">
        <w:rPr>
          <w:rFonts w:cs="Times New Roman"/>
        </w:rPr>
        <w:t xml:space="preserve">(1990), 51 B.C.L.R. (2d) 84 (C.A.)] </w:t>
      </w:r>
      <w:r w:rsidRPr="00074F59">
        <w:rPr>
          <w:rFonts w:cs="Times New Roman"/>
          <w:lang w:val="fr-CA"/>
        </w:rPr>
        <w:t xml:space="preserve">[. . .] Pareille décision risque d’entrer en conflit avec la législation provinciale, mais il faut atteindre les objectifs généraux de la </w:t>
      </w:r>
      <w:r w:rsidRPr="0073351E">
        <w:rPr>
          <w:rFonts w:cs="Times New Roman"/>
          <w:lang w:val="fr-CA"/>
        </w:rPr>
        <w:t>[</w:t>
      </w:r>
      <w:r w:rsidRPr="00074F59">
        <w:rPr>
          <w:rFonts w:cs="Times New Roman"/>
          <w:i/>
          <w:lang w:val="fr-CA"/>
        </w:rPr>
        <w:t>LACC</w:t>
      </w:r>
      <w:r>
        <w:rPr>
          <w:rFonts w:cs="Times New Roman"/>
          <w:lang w:val="fr-CA"/>
        </w:rPr>
        <w:t>]</w:t>
      </w:r>
      <w:r w:rsidRPr="00074F59">
        <w:rPr>
          <w:rFonts w:cs="Times New Roman"/>
          <w:i/>
          <w:lang w:val="fr-CA"/>
        </w:rPr>
        <w:t> </w:t>
      </w:r>
      <w:r w:rsidRPr="00074F59">
        <w:rPr>
          <w:rFonts w:cs="Times New Roman"/>
          <w:lang w:val="fr-CA"/>
        </w:rPr>
        <w:t>» (</w:t>
      </w:r>
      <w:r w:rsidRPr="00074F59">
        <w:rPr>
          <w:rFonts w:cs="Times New Roman"/>
          <w:i/>
          <w:lang w:val="fr-CA"/>
        </w:rPr>
        <w:t>Pacific National Lease Holding</w:t>
      </w:r>
      <w:r w:rsidRPr="00074F59">
        <w:rPr>
          <w:rFonts w:cs="Times New Roman"/>
          <w:lang w:val="fr-CA"/>
        </w:rPr>
        <w:t xml:space="preserve">, par. 28). Les tribunaux se sont montrés particulièrement vigilants au moment d’interpréter les garanties, pour veiller à ce que l’important objectif de la </w:t>
      </w:r>
      <w:r w:rsidRPr="00074F59">
        <w:rPr>
          <w:rFonts w:cs="Times New Roman"/>
          <w:i/>
          <w:lang w:val="fr-CA"/>
        </w:rPr>
        <w:t>LACC</w:t>
      </w:r>
      <w:r w:rsidRPr="00074F59">
        <w:rPr>
          <w:rFonts w:cs="Times New Roman"/>
          <w:lang w:val="fr-CA"/>
        </w:rPr>
        <w:t xml:space="preserve"> puisse être réalisé. Par exemple, dans l’arrêt </w:t>
      </w:r>
      <w:r>
        <w:rPr>
          <w:rFonts w:cs="Times New Roman"/>
          <w:i/>
          <w:lang w:val="fr-CA"/>
        </w:rPr>
        <w:t xml:space="preserve">Chef Ready Foods </w:t>
      </w:r>
      <w:r w:rsidRPr="00074F59">
        <w:rPr>
          <w:rFonts w:cs="Times New Roman"/>
          <w:i/>
          <w:lang w:val="fr-CA"/>
        </w:rPr>
        <w:t>Ltd.</w:t>
      </w:r>
      <w:r w:rsidRPr="00074F59">
        <w:rPr>
          <w:rFonts w:cs="Times New Roman"/>
          <w:lang w:val="fr-CA"/>
        </w:rPr>
        <w:t xml:space="preserve">, le juge d’appel Gibbs a fait remarquer que, s’il fallait considérer que les droits conférés à une banque par la </w:t>
      </w:r>
      <w:r w:rsidRPr="00074F59">
        <w:rPr>
          <w:rFonts w:cs="Times New Roman"/>
          <w:i/>
          <w:lang w:val="fr-CA"/>
        </w:rPr>
        <w:t>Loi sur les banques</w:t>
      </w:r>
      <w:r w:rsidRPr="00074F59">
        <w:rPr>
          <w:rFonts w:cs="Times New Roman"/>
          <w:lang w:val="fr-CA"/>
        </w:rPr>
        <w:t xml:space="preserve">, L.C. 1991, c. 46, étaient à l’abri des dispositions de la </w:t>
      </w:r>
      <w:r w:rsidRPr="00074F59">
        <w:rPr>
          <w:rFonts w:cs="Times New Roman"/>
          <w:i/>
          <w:lang w:val="fr-CA"/>
        </w:rPr>
        <w:t>LACC</w:t>
      </w:r>
      <w:r w:rsidRPr="00074F59">
        <w:rPr>
          <w:rFonts w:cs="Times New Roman"/>
          <w:lang w:val="fr-CA"/>
        </w:rPr>
        <w:t>, les avantages des procédures intentées sous le régime de cette loi seraient [</w:t>
      </w:r>
      <w:r w:rsidRPr="00074F59">
        <w:rPr>
          <w:rFonts w:cs="Times New Roman"/>
          <w:smallCaps/>
          <w:lang w:val="fr-CA"/>
        </w:rPr>
        <w:t>traduction</w:t>
      </w:r>
      <w:r w:rsidRPr="00074F59">
        <w:rPr>
          <w:rFonts w:cs="Times New Roman"/>
          <w:lang w:val="fr-CA"/>
        </w:rPr>
        <w:t>] « en grande partie illusoires » (p. 92). « Il y aura deux groupes de compagnies débitrices : celles qui peuvent se rétablir sous le régime de la [</w:t>
      </w:r>
      <w:r w:rsidRPr="00074F59">
        <w:rPr>
          <w:rFonts w:cs="Times New Roman"/>
          <w:i/>
          <w:lang w:val="fr-CA"/>
        </w:rPr>
        <w:t>LACC</w:t>
      </w:r>
      <w:r>
        <w:rPr>
          <w:rFonts w:cs="Times New Roman"/>
          <w:lang w:val="fr-CA"/>
        </w:rPr>
        <w:t>]</w:t>
      </w:r>
      <w:r w:rsidRPr="00074F59">
        <w:rPr>
          <w:rFonts w:cs="Times New Roman"/>
          <w:lang w:val="fr-CA"/>
        </w:rPr>
        <w:t xml:space="preserve">, et celles à l’égard de qui la pertinence de la </w:t>
      </w:r>
      <w:r>
        <w:rPr>
          <w:rFonts w:cs="Times New Roman"/>
          <w:lang w:val="fr-CA"/>
        </w:rPr>
        <w:t>[</w:t>
      </w:r>
      <w:r w:rsidRPr="00074F59">
        <w:rPr>
          <w:rFonts w:cs="Times New Roman"/>
          <w:i/>
          <w:lang w:val="fr-CA"/>
        </w:rPr>
        <w:t>LACC</w:t>
      </w:r>
      <w:r>
        <w:rPr>
          <w:rFonts w:cs="Times New Roman"/>
          <w:lang w:val="fr-CA"/>
        </w:rPr>
        <w:t>]</w:t>
      </w:r>
      <w:r w:rsidRPr="00074F59">
        <w:rPr>
          <w:rFonts w:cs="Times New Roman"/>
          <w:lang w:val="fr-CA"/>
        </w:rPr>
        <w:t xml:space="preserve"> varierait selon le caprice du [créancier] » (p. 92). Il importe de garder à l’esprit que ces procédures sont engagées au bénéfice de l’ensemble des créanciers, et non au bénéfice d’un seul d’entre eux. En l’absence de directives claires et expresses, nous ne saurions supposer que le Parlement ait voulu créer une garantie de nature à suggérer que, sous le régime de la </w:t>
      </w:r>
      <w:r w:rsidRPr="00074F59">
        <w:rPr>
          <w:rFonts w:cs="Times New Roman"/>
          <w:i/>
          <w:lang w:val="fr-CA"/>
        </w:rPr>
        <w:t>LACC</w:t>
      </w:r>
      <w:r w:rsidRPr="00074F59">
        <w:rPr>
          <w:rFonts w:cs="Times New Roman"/>
          <w:lang w:val="fr-CA"/>
        </w:rPr>
        <w:t xml:space="preserve">, la perspective de réorganisation et de rétablissement de certaines compagnies sera limitée, voire inexistante. La </w:t>
      </w:r>
      <w:r w:rsidRPr="00074F59">
        <w:rPr>
          <w:rFonts w:cs="Times New Roman"/>
          <w:i/>
          <w:lang w:val="fr-CA"/>
        </w:rPr>
        <w:t>LACC</w:t>
      </w:r>
      <w:r w:rsidRPr="00074F59">
        <w:rPr>
          <w:rFonts w:cs="Times New Roman"/>
          <w:lang w:val="fr-CA"/>
        </w:rPr>
        <w:t xml:space="preserve"> deviendrait alors lettre morte. En </w:t>
      </w:r>
      <w:r w:rsidRPr="00074F59">
        <w:rPr>
          <w:rFonts w:cs="Times New Roman"/>
          <w:lang w:val="fr-CA"/>
        </w:rPr>
        <w:lastRenderedPageBreak/>
        <w:t>gardant ces principes à l’esprit, je me tourne à présent vers la disposition en litige dans la présente affaire.</w:t>
      </w:r>
    </w:p>
    <w:p w:rsidR="00344043" w:rsidRPr="00074F59" w:rsidRDefault="00344043" w:rsidP="00344043">
      <w:pPr>
        <w:pStyle w:val="Title2LevelTitre2Niveau"/>
        <w:widowControl w:val="0"/>
        <w:spacing w:before="0"/>
        <w:rPr>
          <w:rFonts w:cs="Times New Roman"/>
          <w:lang w:val="fr-CA"/>
        </w:rPr>
      </w:pPr>
      <w:r w:rsidRPr="00074F59">
        <w:rPr>
          <w:rFonts w:cs="Times New Roman"/>
          <w:lang w:val="fr-CA"/>
        </w:rPr>
        <w:t xml:space="preserve">Nature de l’intérêt créé par </w:t>
      </w:r>
      <w:r w:rsidRPr="00074F59">
        <w:rPr>
          <w:rFonts w:cs="Times New Roman"/>
          <w:iCs/>
          <w:lang w:val="fr-CA"/>
        </w:rPr>
        <w:t>le paragraphe 227(4.1)</w:t>
      </w:r>
      <w:r w:rsidRPr="00074F59">
        <w:rPr>
          <w:rFonts w:cs="Times New Roman"/>
          <w:lang w:val="fr-CA"/>
        </w:rPr>
        <w:t xml:space="preserve"> de la LIR</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La Couronne soutient que, même si le tribunal de surveillance peut ordonner des charges super prioritaires, la créance de Sa Majesté sur les retenues à la source non versées est protégée par une fiducie réputée, et que la constitution de charges prenant rang devant la fiducie réputée va à l’encontre du par. 227(4.1) de la </w:t>
      </w:r>
      <w:r w:rsidRPr="00074F59">
        <w:rPr>
          <w:rFonts w:cs="Times New Roman"/>
          <w:i/>
          <w:lang w:val="fr-CA"/>
        </w:rPr>
        <w:t>LIR</w:t>
      </w:r>
      <w:r w:rsidRPr="0073351E">
        <w:rPr>
          <w:rFonts w:cs="Times New Roman"/>
          <w:lang w:val="fr-CA"/>
        </w:rPr>
        <w:t>.</w:t>
      </w:r>
      <w:r w:rsidRPr="00074F59">
        <w:rPr>
          <w:rFonts w:cs="Times New Roman"/>
          <w:i/>
          <w:lang w:val="fr-CA"/>
        </w:rPr>
        <w:t xml:space="preserve"> </w:t>
      </w:r>
      <w:r w:rsidRPr="00074F59">
        <w:rPr>
          <w:rFonts w:cs="Times New Roman"/>
          <w:lang w:val="fr-CA"/>
        </w:rPr>
        <w:t>Pour déterminer le bien</w:t>
      </w:r>
      <w:r w:rsidRPr="00074F59">
        <w:rPr>
          <w:rFonts w:cs="Times New Roman"/>
          <w:lang w:val="fr-CA"/>
        </w:rPr>
        <w:noBreakHyphen/>
        <w:t>fondé de cette position, il faut d’abord comprendre l’origine de la fiducie réputée.</w:t>
      </w:r>
    </w:p>
    <w:p w:rsidR="00344043" w:rsidRPr="00074F59" w:rsidRDefault="00344043" w:rsidP="00344043">
      <w:pPr>
        <w:pStyle w:val="ParaNoNdepar-AltN"/>
        <w:widowControl w:val="0"/>
        <w:spacing w:before="0"/>
        <w:rPr>
          <w:rFonts w:cs="Times New Roman"/>
          <w:lang w:val="fr-CA"/>
        </w:rPr>
      </w:pPr>
      <w:r w:rsidRPr="00074F59">
        <w:rPr>
          <w:rFonts w:cs="Times New Roman"/>
          <w:lang w:val="fr-CA"/>
        </w:rPr>
        <w:t xml:space="preserve">Le paragraphe 153(1) de la </w:t>
      </w:r>
      <w:r w:rsidRPr="00074F59">
        <w:rPr>
          <w:rFonts w:cs="Times New Roman"/>
          <w:i/>
          <w:lang w:val="fr-CA"/>
        </w:rPr>
        <w:t xml:space="preserve">LIR </w:t>
      </w:r>
      <w:r w:rsidRPr="00074F59">
        <w:rPr>
          <w:rFonts w:cs="Times New Roman"/>
          <w:lang w:val="fr-CA"/>
        </w:rPr>
        <w:t xml:space="preserve">oblige les employeurs à retenir l’impôt sur le salaire brut de leurs employés et à transmettre les sommes retenues à l’ARC. L’employeur qui retient l’impôt sur le revenu de ses employés conformément à la </w:t>
      </w:r>
      <w:r w:rsidRPr="00074F59">
        <w:rPr>
          <w:rFonts w:cs="Times New Roman"/>
          <w:i/>
          <w:lang w:val="fr-CA"/>
        </w:rPr>
        <w:t>LIR</w:t>
      </w:r>
      <w:r w:rsidRPr="00074F59">
        <w:rPr>
          <w:rFonts w:cs="Times New Roman"/>
          <w:lang w:val="fr-CA"/>
        </w:rPr>
        <w:t xml:space="preserve"> devient responsable des sommes dues à ce titre par ses employés (par. 227(9.4)). Par conséquent, Sa Majesté ne peut exercer de recours contre les employés si l’employeur fait défaut de verser les montants qu’il a retenus. L’intérêt de Sa Majesté est protégé par une fiducie réputée. Le paragraphe 227(4) de la </w:t>
      </w:r>
      <w:r w:rsidRPr="00074F59">
        <w:rPr>
          <w:rFonts w:cs="Times New Roman"/>
          <w:i/>
          <w:lang w:val="fr-CA"/>
        </w:rPr>
        <w:t xml:space="preserve">LIR </w:t>
      </w:r>
      <w:r w:rsidRPr="00074F59">
        <w:rPr>
          <w:rFonts w:cs="Times New Roman"/>
          <w:lang w:val="fr-CA"/>
        </w:rPr>
        <w:t xml:space="preserve">prévoit que les montants retenus sont réputés détenus en fiducie pour Sa Majesté, séparément des propres biens de l’employeur. Si l’employeur fait défaut de verser les retenues conformément aux modalités prévues par la </w:t>
      </w:r>
      <w:r w:rsidRPr="00074F59">
        <w:rPr>
          <w:rFonts w:cs="Times New Roman"/>
          <w:i/>
          <w:lang w:val="fr-CA"/>
        </w:rPr>
        <w:t>LIR</w:t>
      </w:r>
      <w:r w:rsidRPr="00074F59">
        <w:rPr>
          <w:rFonts w:cs="Times New Roman"/>
          <w:lang w:val="fr-CA"/>
        </w:rPr>
        <w:t>, le par. 227(4.1) étend la fiducie à l’ensemble des biens de l’employeur. En l’espèce, les débitrices ont fait défaut de verser les retenues à l’ARC, ce qui a entraîné l’application du par. 227(4.1).</w:t>
      </w:r>
    </w:p>
    <w:p w:rsidR="00344043" w:rsidRPr="0073351E" w:rsidRDefault="00344043" w:rsidP="00344043">
      <w:pPr>
        <w:pStyle w:val="ParaNoNdepar-AltN"/>
        <w:widowControl w:val="0"/>
        <w:spacing w:before="0"/>
        <w:rPr>
          <w:rFonts w:cs="Times New Roman"/>
          <w:lang w:val="fr-CA"/>
        </w:rPr>
      </w:pPr>
      <w:r w:rsidRPr="00074F59">
        <w:rPr>
          <w:rFonts w:cs="Times New Roman"/>
          <w:lang w:val="fr-CA"/>
        </w:rPr>
        <w:lastRenderedPageBreak/>
        <w:t xml:space="preserve">Lorsqu’une compagnie cherche à se prévaloir de la protection de la </w:t>
      </w:r>
      <w:r w:rsidRPr="00074F59">
        <w:rPr>
          <w:rFonts w:cs="Times New Roman"/>
          <w:i/>
          <w:iCs/>
          <w:lang w:val="fr-CA"/>
        </w:rPr>
        <w:t>LACC</w:t>
      </w:r>
      <w:r w:rsidRPr="00074F59">
        <w:rPr>
          <w:rFonts w:cs="Times New Roman"/>
          <w:lang w:val="fr-CA"/>
        </w:rPr>
        <w:t xml:space="preserve">, le par. 37(1) de cette loi prévoit que la plupart des fiducies réputées de Sa Majesté sont annulées (à moins que les biens en question eussent été assimilés à des biens détenus en fiducie même en l’absence de la disposition législative créant la fiducie réputée). Toutefois, le par. 37(2) de la </w:t>
      </w:r>
      <w:r w:rsidRPr="00074F59">
        <w:rPr>
          <w:rFonts w:cs="Times New Roman"/>
          <w:i/>
          <w:iCs/>
          <w:lang w:val="fr-CA"/>
        </w:rPr>
        <w:t>LACC</w:t>
      </w:r>
      <w:r w:rsidRPr="00074F59">
        <w:rPr>
          <w:rFonts w:cs="Times New Roman"/>
          <w:lang w:val="fr-CA"/>
        </w:rPr>
        <w:t xml:space="preserve"> soustrait les fiducies réputées créées en vertu des par. 227(4) et (4.1) de la </w:t>
      </w:r>
      <w:r w:rsidRPr="00074F59">
        <w:rPr>
          <w:rFonts w:cs="Times New Roman"/>
          <w:i/>
          <w:lang w:val="fr-CA"/>
        </w:rPr>
        <w:t xml:space="preserve">LIR </w:t>
      </w:r>
      <w:r w:rsidRPr="00074F59">
        <w:rPr>
          <w:rFonts w:cs="Times New Roman"/>
          <w:lang w:val="fr-CA"/>
        </w:rPr>
        <w:t>à l’annulation prévue au par. 37(1). Ces fiducies réputées continuent de produire leur effet tout au long du processus de la</w:t>
      </w:r>
      <w:r w:rsidRPr="00074F59">
        <w:rPr>
          <w:rFonts w:cs="Times New Roman"/>
          <w:i/>
          <w:iCs/>
          <w:lang w:val="fr-CA"/>
        </w:rPr>
        <w:t xml:space="preserve"> LACC</w:t>
      </w:r>
      <w:r w:rsidRPr="00074F59">
        <w:rPr>
          <w:rFonts w:cs="Times New Roman"/>
          <w:lang w:val="fr-CA"/>
        </w:rPr>
        <w:t xml:space="preserve"> (</w:t>
      </w:r>
      <w:r w:rsidRPr="00074F59">
        <w:rPr>
          <w:rFonts w:cs="Times New Roman"/>
          <w:i/>
          <w:iCs/>
          <w:lang w:val="fr-CA"/>
        </w:rPr>
        <w:t>Century Services</w:t>
      </w:r>
      <w:r w:rsidRPr="00074F59">
        <w:rPr>
          <w:rFonts w:cs="Times New Roman"/>
          <w:lang w:val="fr-CA"/>
        </w:rPr>
        <w:t>, par. 45). À mon avis, le fait que la</w:t>
      </w:r>
      <w:r w:rsidRPr="00074F59">
        <w:rPr>
          <w:rFonts w:cs="Times New Roman"/>
          <w:i/>
          <w:iCs/>
          <w:lang w:val="fr-CA"/>
        </w:rPr>
        <w:t xml:space="preserve"> LACC </w:t>
      </w:r>
      <w:r w:rsidRPr="00074F59">
        <w:rPr>
          <w:rFonts w:cs="Times New Roman"/>
          <w:lang w:val="fr-CA"/>
        </w:rPr>
        <w:t>permet aux fiducies réputées créées par la</w:t>
      </w:r>
      <w:r w:rsidRPr="00074F59">
        <w:rPr>
          <w:rFonts w:cs="Times New Roman"/>
          <w:i/>
          <w:lang w:val="fr-CA"/>
        </w:rPr>
        <w:t xml:space="preserve"> LIR </w:t>
      </w:r>
      <w:r w:rsidRPr="00074F59">
        <w:rPr>
          <w:rFonts w:cs="Times New Roman"/>
          <w:iCs/>
          <w:lang w:val="fr-CA"/>
        </w:rPr>
        <w:t>de continuer à produire leurs effets ne modifie en rien les caractéristiques de ces fiducies</w:t>
      </w:r>
      <w:r w:rsidRPr="0073351E">
        <w:rPr>
          <w:rFonts w:cs="Times New Roman"/>
          <w:lang w:val="fr-CA"/>
        </w:rPr>
        <w:t xml:space="preserve">. </w:t>
      </w:r>
      <w:r w:rsidRPr="00074F59">
        <w:rPr>
          <w:rFonts w:cs="Times New Roman"/>
          <w:iCs/>
          <w:lang w:val="fr-CA"/>
        </w:rPr>
        <w:t>Elles continuent à produire leur effet comme si la compagnie insolvable n’avait pas demandé la protection de la</w:t>
      </w:r>
      <w:r w:rsidRPr="00074F59">
        <w:rPr>
          <w:rFonts w:cs="Times New Roman"/>
          <w:i/>
          <w:lang w:val="fr-CA"/>
        </w:rPr>
        <w:t xml:space="preserve"> </w:t>
      </w:r>
      <w:r w:rsidRPr="00074F59">
        <w:rPr>
          <w:rFonts w:cs="Times New Roman"/>
          <w:i/>
          <w:iCs/>
          <w:lang w:val="fr-CA"/>
        </w:rPr>
        <w:t>LACC</w:t>
      </w:r>
      <w:r w:rsidRPr="0073351E">
        <w:rPr>
          <w:rFonts w:cs="Times New Roman"/>
          <w:iCs/>
          <w:lang w:val="fr-CA"/>
        </w:rPr>
        <w:t>.</w:t>
      </w:r>
      <w:r w:rsidRPr="00074F59">
        <w:rPr>
          <w:rFonts w:cs="Times New Roman"/>
          <w:i/>
          <w:iCs/>
          <w:lang w:val="fr-CA"/>
        </w:rPr>
        <w:t xml:space="preserve"> </w:t>
      </w:r>
      <w:r w:rsidRPr="00074F59">
        <w:rPr>
          <w:rFonts w:cs="Times New Roman"/>
          <w:lang w:val="fr-CA"/>
        </w:rPr>
        <w:t xml:space="preserve">Par conséquent, il faut examiner les arguments de la Couronne en tenant compte de la nature du droit découlant du par. 227(4.1) de la </w:t>
      </w:r>
      <w:r w:rsidRPr="00074F59">
        <w:rPr>
          <w:rFonts w:cs="Times New Roman"/>
          <w:i/>
          <w:lang w:val="fr-CA"/>
        </w:rPr>
        <w:t>LIR</w:t>
      </w:r>
      <w:r w:rsidRPr="0073351E">
        <w:rPr>
          <w:rFonts w:cs="Times New Roman"/>
          <w:lang w:val="fr-CA"/>
        </w:rPr>
        <w:t>.</w:t>
      </w:r>
    </w:p>
    <w:p w:rsidR="00344043" w:rsidRPr="00074F59" w:rsidRDefault="00344043" w:rsidP="00344043">
      <w:pPr>
        <w:pStyle w:val="ParaNoNdepar-AltN"/>
        <w:widowControl w:val="0"/>
        <w:spacing w:before="0"/>
        <w:rPr>
          <w:rFonts w:cs="Times New Roman"/>
          <w:lang w:val="fr-CA"/>
        </w:rPr>
      </w:pPr>
      <w:r w:rsidRPr="00074F59">
        <w:rPr>
          <w:rFonts w:cs="Times New Roman"/>
          <w:lang w:val="fr-CA"/>
        </w:rPr>
        <w:t>Mais avant de procéder à cet examen, et bien que cela ne soit pas à proprement parler nécessaire vu les motifs que j’expose ci</w:t>
      </w:r>
      <w:r w:rsidRPr="00074F59">
        <w:rPr>
          <w:rFonts w:cs="Times New Roman"/>
          <w:lang w:val="fr-CA"/>
        </w:rPr>
        <w:noBreakHyphen/>
        <w:t>dessous, j’ouvre une parenthèse pour clarifier le rôle du par. 6(3) de la</w:t>
      </w:r>
      <w:r w:rsidRPr="00074F59">
        <w:rPr>
          <w:rFonts w:cs="Times New Roman"/>
          <w:i/>
          <w:iCs/>
          <w:lang w:val="fr-CA"/>
        </w:rPr>
        <w:t xml:space="preserve"> LACC</w:t>
      </w:r>
      <w:r w:rsidRPr="00074F59">
        <w:rPr>
          <w:rFonts w:cs="Times New Roman"/>
          <w:lang w:val="fr-CA"/>
        </w:rPr>
        <w:t>, dont voici le texte :</w:t>
      </w:r>
    </w:p>
    <w:p w:rsidR="00344043" w:rsidRPr="00074F59" w:rsidRDefault="00344043" w:rsidP="00344043">
      <w:pPr>
        <w:pStyle w:val="Citation-AltC"/>
        <w:spacing w:after="240"/>
        <w:ind w:hanging="446"/>
        <w:contextualSpacing w:val="0"/>
        <w:rPr>
          <w:lang w:val="fr-CA"/>
        </w:rPr>
      </w:pPr>
      <w:r w:rsidRPr="00074F59">
        <w:rPr>
          <w:b/>
          <w:lang w:val="fr-CA"/>
        </w:rPr>
        <w:tab/>
        <w:t>(3)</w:t>
      </w:r>
      <w:r w:rsidRPr="00074F59">
        <w:rPr>
          <w:lang w:val="fr-CA"/>
        </w:rPr>
        <w:t xml:space="preserve"> Le tribunal ne peut, sans le consentement de Sa Majesté, homologuer la transaction ou l’arrangement qui ne prévoit pas le paiement intégral à Sa Majesté du chef du Canada ou d’une province, dans les six mois suivant l’homologation, de toutes les sommes qui étaient dues lors de la demande d’ordonnance visée aux articles 11 ou 11.02 et qui pourraient, de par leur nature, faire l’objet d’une demande aux termes d’une des dispositions suivantes :</w:t>
      </w:r>
    </w:p>
    <w:p w:rsidR="00344043" w:rsidRPr="00074F59" w:rsidRDefault="00344043" w:rsidP="00344043">
      <w:pPr>
        <w:pStyle w:val="Citation-AltC"/>
        <w:ind w:left="1440" w:hanging="360"/>
        <w:contextualSpacing w:val="0"/>
        <w:rPr>
          <w:lang w:val="fr-CA"/>
        </w:rPr>
      </w:pPr>
      <w:r w:rsidRPr="00074F59">
        <w:rPr>
          <w:b/>
          <w:lang w:val="fr-CA"/>
        </w:rPr>
        <w:tab/>
        <w:t>a)</w:t>
      </w:r>
      <w:r w:rsidRPr="00074F59">
        <w:rPr>
          <w:lang w:val="fr-CA"/>
        </w:rPr>
        <w:t> le paragraphe 224(1.2) de la </w:t>
      </w:r>
      <w:r w:rsidRPr="00074F59">
        <w:rPr>
          <w:i/>
          <w:iCs/>
          <w:lang w:val="fr-CA"/>
        </w:rPr>
        <w:t>Loi de l’impôt sur le revenu</w:t>
      </w:r>
      <w:r>
        <w:rPr>
          <w:i/>
          <w:iCs/>
          <w:lang w:val="fr-CA"/>
        </w:rPr>
        <w:t xml:space="preserve"> </w:t>
      </w:r>
      <w:r w:rsidRPr="00074F59">
        <w:rPr>
          <w:lang w:val="fr-CA"/>
        </w:rPr>
        <w:t>. . .</w:t>
      </w:r>
    </w:p>
    <w:p w:rsidR="00344043" w:rsidRPr="00074F59" w:rsidRDefault="00344043" w:rsidP="00344043">
      <w:pPr>
        <w:pStyle w:val="ParaNoNdepar-AltN"/>
        <w:spacing w:before="0"/>
        <w:rPr>
          <w:rFonts w:cs="Times New Roman"/>
          <w:lang w:val="fr-CA"/>
        </w:rPr>
      </w:pPr>
      <w:r w:rsidRPr="00074F59">
        <w:rPr>
          <w:rFonts w:cs="Times New Roman"/>
          <w:lang w:val="fr-CA"/>
        </w:rPr>
        <w:lastRenderedPageBreak/>
        <w:t xml:space="preserve">Le paragraphe 6(3) accorde simplement à Sa Majesté le droit d’insister auprès du tribunal afin qu’il refuse d’homologuer la transaction ou l’arrangement qui ne prévoit pas le paiement intégral de certaines créances de Sa Majesté dans un délai de six mois suivant l’homologation. Le paragraphe 6(3) ne dit pas qu’il modifie la fiducie présumée créée par le par. 227(4.1) de la </w:t>
      </w:r>
      <w:r w:rsidRPr="00074F59">
        <w:rPr>
          <w:rFonts w:cs="Times New Roman"/>
          <w:i/>
          <w:lang w:val="fr-CA"/>
        </w:rPr>
        <w:t>LIR</w:t>
      </w:r>
      <w:r w:rsidRPr="00074F59">
        <w:rPr>
          <w:rFonts w:cs="Times New Roman"/>
          <w:lang w:val="fr-CA"/>
        </w:rPr>
        <w:t xml:space="preserve"> de quelque façon que ce soit, et il ne s’applique qu’à l’issue de la procédure de la</w:t>
      </w:r>
      <w:r w:rsidRPr="00074F59">
        <w:rPr>
          <w:rFonts w:cs="Times New Roman"/>
          <w:i/>
          <w:iCs/>
          <w:lang w:val="fr-CA"/>
        </w:rPr>
        <w:t xml:space="preserve"> LACC </w:t>
      </w:r>
      <w:r w:rsidRPr="00074F59">
        <w:rPr>
          <w:rFonts w:cs="Times New Roman"/>
          <w:lang w:val="fr-CA"/>
        </w:rPr>
        <w:t>lorsque les parties cherchent à faire homologuer par le tribunal leur arrangement ou leur transaction</w:t>
      </w:r>
      <w:r w:rsidRPr="00074F59">
        <w:rPr>
          <w:rFonts w:cs="Times New Roman"/>
          <w:i/>
          <w:iCs/>
          <w:lang w:val="fr-CA"/>
        </w:rPr>
        <w:t xml:space="preserve">. </w:t>
      </w:r>
      <w:r w:rsidRPr="00074F59">
        <w:rPr>
          <w:rFonts w:cs="Times New Roman"/>
          <w:lang w:val="fr-CA"/>
        </w:rPr>
        <w:t>Le paragraphe 6(3) s’applique également à de nombreuses créances qui ne sont pas protégées par la fiducie réputée, y compris les pénalités, les intérêts, les retenues sur les dispositions relatives aux non</w:t>
      </w:r>
      <w:r w:rsidRPr="00074F59">
        <w:rPr>
          <w:rFonts w:cs="Times New Roman"/>
          <w:lang w:val="fr-CA"/>
        </w:rPr>
        <w:noBreakHyphen/>
        <w:t xml:space="preserve">résidents et certaines cotisations de retraite (voir les par. 224(1.2) et 227(10.1) de la </w:t>
      </w:r>
      <w:r w:rsidRPr="00074F59">
        <w:rPr>
          <w:rFonts w:cs="Times New Roman"/>
          <w:i/>
          <w:lang w:val="fr-CA"/>
        </w:rPr>
        <w:t>LIR</w:t>
      </w:r>
      <w:r w:rsidRPr="00074F59">
        <w:rPr>
          <w:rFonts w:cs="Times New Roman"/>
          <w:lang w:val="fr-CA"/>
        </w:rPr>
        <w:t xml:space="preserve">, le deuxième faisant état des sommes payables en application de l’art. 116 et des par. 227(9), (9.2), (9.3), (9.4) et (10.2), à la partie XII.5 et à la partie XIII). Assimiler la fiducie réputée au droit prévu au par. 6(3) vide de leur sens le par. 37(2) de la </w:t>
      </w:r>
      <w:r w:rsidRPr="00074F59">
        <w:rPr>
          <w:rFonts w:cs="Times New Roman"/>
          <w:i/>
          <w:lang w:val="fr-CA"/>
        </w:rPr>
        <w:t>LACC</w:t>
      </w:r>
      <w:r w:rsidRPr="00074F59">
        <w:rPr>
          <w:rFonts w:cs="Times New Roman"/>
          <w:lang w:val="fr-CA"/>
        </w:rPr>
        <w:t xml:space="preserve"> et la fiducie présumée. La démarche que je vais suivre consiste donc, à l’instar de celle suivie par notre Cour dans l’affaire </w:t>
      </w:r>
      <w:r w:rsidRPr="00074F59">
        <w:rPr>
          <w:rFonts w:cs="Times New Roman"/>
          <w:i/>
          <w:iCs/>
          <w:lang w:val="fr-CA"/>
        </w:rPr>
        <w:t>Indalex</w:t>
      </w:r>
      <w:r w:rsidRPr="00074F59">
        <w:rPr>
          <w:rFonts w:cs="Times New Roman"/>
          <w:lang w:val="fr-CA"/>
        </w:rPr>
        <w:t xml:space="preserve">, à évaluer l’intérêt créé par le par. 227(4.1) de la </w:t>
      </w:r>
      <w:r w:rsidRPr="00074F59">
        <w:rPr>
          <w:rFonts w:cs="Times New Roman"/>
          <w:i/>
          <w:lang w:val="fr-CA"/>
        </w:rPr>
        <w:t>LIR</w:t>
      </w:r>
      <w:r w:rsidRPr="00074F59">
        <w:rPr>
          <w:rFonts w:cs="Times New Roman"/>
          <w:lang w:val="fr-CA"/>
        </w:rPr>
        <w:t xml:space="preserve"> en faisant abstraction de la </w:t>
      </w:r>
      <w:r w:rsidRPr="00074F59">
        <w:rPr>
          <w:rFonts w:cs="Times New Roman"/>
          <w:i/>
          <w:iCs/>
          <w:lang w:val="fr-CA"/>
        </w:rPr>
        <w:t>LACC</w:t>
      </w:r>
      <w:r w:rsidRPr="00074F59">
        <w:rPr>
          <w:rFonts w:cs="Times New Roman"/>
          <w:lang w:val="fr-CA"/>
        </w:rPr>
        <w:t xml:space="preserve"> (</w:t>
      </w:r>
      <w:r w:rsidRPr="00074F59">
        <w:rPr>
          <w:rFonts w:cs="Times New Roman"/>
          <w:i/>
          <w:iCs/>
          <w:lang w:val="fr-CA"/>
        </w:rPr>
        <w:t>Indalex</w:t>
      </w:r>
      <w:r w:rsidRPr="00074F59">
        <w:rPr>
          <w:rFonts w:cs="Times New Roman"/>
          <w:lang w:val="fr-CA"/>
        </w:rPr>
        <w:t>, par. 48).</w:t>
      </w:r>
    </w:p>
    <w:p w:rsidR="00344043" w:rsidRPr="00074F59" w:rsidRDefault="00344043" w:rsidP="00344043">
      <w:pPr>
        <w:pStyle w:val="ParaNoNdepar-AltN"/>
        <w:spacing w:before="0"/>
        <w:rPr>
          <w:rFonts w:cs="Times New Roman"/>
          <w:lang w:val="fr-CA"/>
        </w:rPr>
      </w:pPr>
      <w:r w:rsidRPr="00074F59">
        <w:rPr>
          <w:rFonts w:cs="Times New Roman"/>
          <w:lang w:val="fr-CA"/>
        </w:rPr>
        <w:t>Le paragraphe 227(4.1) dispose :</w:t>
      </w:r>
    </w:p>
    <w:p w:rsidR="00344043" w:rsidRPr="00074F59" w:rsidRDefault="00344043" w:rsidP="00344043">
      <w:pPr>
        <w:pStyle w:val="Citation-AltC"/>
        <w:spacing w:after="240"/>
        <w:ind w:hanging="446"/>
        <w:contextualSpacing w:val="0"/>
        <w:rPr>
          <w:lang w:val="fr-CA"/>
        </w:rPr>
      </w:pPr>
      <w:r w:rsidRPr="00074F59">
        <w:rPr>
          <w:rStyle w:val="lawlabel"/>
          <w:b/>
          <w:lang w:val="fr-CA"/>
        </w:rPr>
        <w:tab/>
        <w:t>(4.1)</w:t>
      </w:r>
      <w:r w:rsidRPr="00074F59">
        <w:rPr>
          <w:lang w:val="fr-CA"/>
        </w:rPr>
        <w:t> Malgré les autres dispositions de la présente loi, la </w:t>
      </w:r>
      <w:r w:rsidRPr="00074F59">
        <w:rPr>
          <w:rStyle w:val="HTMLCite"/>
          <w:lang w:val="fr-CA"/>
        </w:rPr>
        <w:t>Loi sur la faillite et l’insolvabilité</w:t>
      </w:r>
      <w:r w:rsidRPr="00074F59">
        <w:rPr>
          <w:lang w:val="fr-CA"/>
        </w:rPr>
        <w:t> (sauf ses articles 81.1 et 81.2), tout autre texte législatif fédéral ou provincial ou toute règle de droit, en cas de non</w:t>
      </w:r>
      <w:r w:rsidRPr="00074F59">
        <w:rPr>
          <w:lang w:val="fr-CA"/>
        </w:rPr>
        <w:noBreakHyphen/>
        <w:t xml:space="preserve">versement à Sa Majesté, selon les modalités et dans le délai prévus par la présente loi, d’un montant qu’une personne est réputée par le paragraphe (4) détenir en fiducie pour Sa Majesté, les biens de la personne, et les biens détenus par </w:t>
      </w:r>
      <w:r w:rsidRPr="00074F59">
        <w:rPr>
          <w:lang w:val="fr-CA"/>
        </w:rPr>
        <w:lastRenderedPageBreak/>
        <w:t>son créancier garanti au sens du paragraphe 224(1.3) qui, en l’absence d’une garantie au sens du même paragraphe, seraient ceux de la personne, d’une valeur égale à ce montant sont réputés :</w:t>
      </w:r>
    </w:p>
    <w:p w:rsidR="00344043" w:rsidRPr="00074F59" w:rsidRDefault="00344043" w:rsidP="00344043">
      <w:pPr>
        <w:pStyle w:val="Citation-AltC"/>
        <w:spacing w:after="240"/>
        <w:ind w:left="1440" w:hanging="360"/>
        <w:contextualSpacing w:val="0"/>
        <w:rPr>
          <w:lang w:val="fr-CA"/>
        </w:rPr>
      </w:pPr>
      <w:r w:rsidRPr="00074F59">
        <w:rPr>
          <w:rStyle w:val="lawlabel"/>
          <w:b/>
          <w:lang w:val="fr-CA"/>
        </w:rPr>
        <w:tab/>
        <w:t>a)</w:t>
      </w:r>
      <w:r w:rsidRPr="00074F59">
        <w:rPr>
          <w:lang w:val="fr-CA"/>
        </w:rPr>
        <w:t> être détenus en fiducie pour Sa Majesté, à compter du moment où le montant est déduit ou retenu, séparés des propres biens de la personne, qu’ils soient ou non assujettis à une telle garantie;</w:t>
      </w:r>
    </w:p>
    <w:p w:rsidR="00344043" w:rsidRPr="00074F59" w:rsidRDefault="00344043" w:rsidP="00344043">
      <w:pPr>
        <w:pStyle w:val="Citation-AltC"/>
        <w:spacing w:after="240"/>
        <w:ind w:left="1440" w:hanging="360"/>
        <w:contextualSpacing w:val="0"/>
        <w:rPr>
          <w:lang w:val="fr-CA"/>
        </w:rPr>
      </w:pPr>
      <w:r w:rsidRPr="00074F59">
        <w:rPr>
          <w:rStyle w:val="lawlabel"/>
          <w:b/>
          <w:lang w:val="fr-CA"/>
        </w:rPr>
        <w:tab/>
        <w:t>b)</w:t>
      </w:r>
      <w:r w:rsidRPr="00074F59">
        <w:rPr>
          <w:lang w:val="fr-CA"/>
        </w:rPr>
        <w:t> ne pas faire partie du patrimoine ou des biens de la personne à compter du moment où le montant est déduit ou retenu, que ces biens aient été ou non tenus séparés de ses propres biens ou de son patrimoine et qu’ils soient ou non assujettis à une telle garantie.</w:t>
      </w:r>
    </w:p>
    <w:p w:rsidR="00344043" w:rsidRPr="00074F59" w:rsidRDefault="00344043" w:rsidP="00344043">
      <w:pPr>
        <w:pStyle w:val="Citation-AltC"/>
        <w:ind w:hanging="446"/>
        <w:contextualSpacing w:val="0"/>
        <w:rPr>
          <w:lang w:val="fr-CA"/>
        </w:rPr>
      </w:pPr>
      <w:r w:rsidRPr="00074F59">
        <w:rPr>
          <w:lang w:val="fr-CA"/>
        </w:rPr>
        <w:tab/>
        <w:t>Ces biens sont des biens dans lesquels Sa Majesté a un droit de bénéficiaire malgré toute autre garantie sur ces biens ou sur le produit en découlant, et le produit découlant de ces biens est payé au receveur général par priorité sur une telle garantie.</w:t>
      </w:r>
    </w:p>
    <w:p w:rsidR="00344043" w:rsidRPr="00074F59" w:rsidRDefault="00344043" w:rsidP="00344043">
      <w:pPr>
        <w:pStyle w:val="Title3LevelTitre3Niveau"/>
        <w:spacing w:before="0"/>
        <w:rPr>
          <w:rFonts w:cs="Times New Roman"/>
          <w:lang w:val="fr-CA"/>
        </w:rPr>
      </w:pPr>
      <w:r w:rsidRPr="00074F59">
        <w:rPr>
          <w:rFonts w:cs="Times New Roman"/>
          <w:lang w:val="fr-CA"/>
        </w:rPr>
        <w:t xml:space="preserve">Le paragraphe 227(4.1) de la </w:t>
      </w:r>
      <w:r w:rsidRPr="00074F59">
        <w:rPr>
          <w:rFonts w:cs="Times New Roman"/>
          <w:i/>
          <w:lang w:val="fr-CA"/>
        </w:rPr>
        <w:t>LIR</w:t>
      </w:r>
      <w:r w:rsidRPr="00074F59">
        <w:rPr>
          <w:rFonts w:cs="Times New Roman"/>
          <w:lang w:val="fr-CA"/>
        </w:rPr>
        <w:t xml:space="preserve"> crée</w:t>
      </w:r>
      <w:r w:rsidRPr="00074F59">
        <w:rPr>
          <w:rFonts w:cs="Times New Roman"/>
          <w:lang w:val="fr-CA"/>
        </w:rPr>
        <w:noBreakHyphen/>
        <w:t>t</w:t>
      </w:r>
      <w:r w:rsidRPr="00074F59">
        <w:rPr>
          <w:rFonts w:cs="Times New Roman"/>
          <w:lang w:val="fr-CA"/>
        </w:rPr>
        <w:noBreakHyphen/>
        <w:t>il un intérêt à titre de propriétaire dans l’actif du débiteur?</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Le présent pourvoi — comme certains pourvois précédents devant notre Cour — n’oblige pas la Cour à définir de façon exhaustive la nature et le contenu de l’intérêt créé par le par. 227(4.1) de la </w:t>
      </w:r>
      <w:r w:rsidRPr="00074F59">
        <w:rPr>
          <w:rFonts w:cs="Times New Roman"/>
          <w:i/>
          <w:lang w:val="fr-CA"/>
        </w:rPr>
        <w:t>LIR</w:t>
      </w:r>
      <w:r w:rsidRPr="00074F59">
        <w:rPr>
          <w:rFonts w:cs="Times New Roman"/>
          <w:lang w:val="fr-CA"/>
        </w:rPr>
        <w:t xml:space="preserve"> (</w:t>
      </w:r>
      <w:r>
        <w:rPr>
          <w:rFonts w:cs="Times New Roman"/>
          <w:i/>
          <w:lang w:val="fr-CA"/>
        </w:rPr>
        <w:t>Banque R</w:t>
      </w:r>
      <w:r w:rsidRPr="00074F59">
        <w:rPr>
          <w:rFonts w:cs="Times New Roman"/>
          <w:i/>
          <w:lang w:val="fr-CA"/>
        </w:rPr>
        <w:t xml:space="preserve">oyale du Canada c. </w:t>
      </w:r>
      <w:r w:rsidRPr="00074F59">
        <w:rPr>
          <w:rFonts w:cs="Times New Roman"/>
          <w:i/>
          <w:iCs/>
          <w:lang w:val="fr-CA"/>
        </w:rPr>
        <w:t>Sparrow Electric Corp.</w:t>
      </w:r>
      <w:r w:rsidRPr="00074F59">
        <w:rPr>
          <w:rFonts w:cs="Times New Roman"/>
          <w:iCs/>
          <w:lang w:val="fr-CA"/>
        </w:rPr>
        <w:t>, [1997] 1 R.C.S. 411,</w:t>
      </w:r>
      <w:r w:rsidRPr="00074F59">
        <w:rPr>
          <w:rFonts w:cs="Times New Roman"/>
          <w:i/>
          <w:iCs/>
          <w:lang w:val="fr-CA"/>
        </w:rPr>
        <w:t xml:space="preserve"> </w:t>
      </w:r>
      <w:r w:rsidRPr="00074F59">
        <w:rPr>
          <w:rFonts w:cs="Times New Roman"/>
          <w:iCs/>
          <w:lang w:val="fr-CA"/>
        </w:rPr>
        <w:t>et</w:t>
      </w:r>
      <w:r w:rsidRPr="00074F59">
        <w:rPr>
          <w:rFonts w:cs="Times New Roman"/>
          <w:i/>
          <w:iCs/>
          <w:lang w:val="fr-CA"/>
        </w:rPr>
        <w:t xml:space="preserve"> First Vancouver</w:t>
      </w:r>
      <w:r w:rsidRPr="00074F59">
        <w:rPr>
          <w:rFonts w:cs="Times New Roman"/>
          <w:lang w:val="fr-CA"/>
        </w:rPr>
        <w:t>). Il suffit de déterminer si le par. 227(4.1) confère à Sa Majesté un intérêt dans les actifs du débiteur de nature à empêcher un tribunal d’ordonner des charges ayant priorité sur la réclamation de Sa Majesté. La Couronne soutient que c’est ce que fait le par. 227(4.1) en accordant à Sa Majesté un intérêt à titre de propriétaire dans les actifs du débiteur, de sorte que [</w:t>
      </w:r>
      <w:r w:rsidRPr="00074F59">
        <w:rPr>
          <w:rFonts w:cs="Times New Roman"/>
          <w:smallCaps/>
          <w:lang w:val="fr-CA"/>
        </w:rPr>
        <w:t>traduction</w:t>
      </w:r>
      <w:r w:rsidRPr="00074F59">
        <w:rPr>
          <w:rFonts w:cs="Times New Roman"/>
          <w:lang w:val="fr-CA"/>
        </w:rPr>
        <w:t>] « ces actifs deviennent des biens de la Couronne » (m</w:t>
      </w:r>
      <w:r>
        <w:rPr>
          <w:rFonts w:cs="Times New Roman"/>
          <w:lang w:val="fr-CA"/>
        </w:rPr>
        <w:t>.a</w:t>
      </w:r>
      <w:r w:rsidRPr="00074F59">
        <w:rPr>
          <w:rFonts w:cs="Times New Roman"/>
          <w:lang w:val="fr-CA"/>
        </w:rPr>
        <w:t xml:space="preserve">., par. 46). L’argument de la Couronne repose sur le libellé de la disposition. Premièrement, elle affirme que des biens d’une valeur égale au montant réputé détenu en fiducie par une </w:t>
      </w:r>
      <w:r w:rsidRPr="00074F59">
        <w:rPr>
          <w:rFonts w:cs="Times New Roman"/>
          <w:lang w:val="fr-CA"/>
        </w:rPr>
        <w:lastRenderedPageBreak/>
        <w:t xml:space="preserve">personne sont réputés détenus « séparés des propres biens de la personne ». Deuxièmement, elle affirme que les biens qui sont réputés détenus en fiducie sont réputés « ne pas faire partie du patrimoine ou des biens de la personne ». Troisièmement, elle fait valoir que les biens qui sont réputés détenus en fiducie « sont des biens </w:t>
      </w:r>
      <w:r>
        <w:rPr>
          <w:rFonts w:cs="Times New Roman"/>
          <w:lang w:val="fr-CA"/>
        </w:rPr>
        <w:t>dans l</w:t>
      </w:r>
      <w:r w:rsidRPr="00074F59">
        <w:rPr>
          <w:rFonts w:cs="Times New Roman"/>
          <w:lang w:val="fr-CA"/>
        </w:rPr>
        <w:t xml:space="preserve">esquels Sa Majesté </w:t>
      </w:r>
      <w:r>
        <w:rPr>
          <w:rFonts w:cs="Times New Roman"/>
          <w:lang w:val="fr-CA"/>
        </w:rPr>
        <w:t>a</w:t>
      </w:r>
      <w:r w:rsidRPr="00074F59">
        <w:rPr>
          <w:rFonts w:cs="Times New Roman"/>
          <w:lang w:val="fr-CA"/>
        </w:rPr>
        <w:t xml:space="preserve"> un droit de bénéficiaire malgré toute autre garantie sur ces biens ». La Couronne soutient qu’en raison de l’intérêt que possède Sa Majesté à titre de propriétaire, les montants assujettis à la fiducie réputée ne peuvent être considérés comme des actifs du débiteur dans le cadre de procédures intentées sous le régime de la </w:t>
      </w:r>
      <w:r w:rsidRPr="00074F59">
        <w:rPr>
          <w:rFonts w:cs="Times New Roman"/>
          <w:i/>
          <w:lang w:val="fr-CA"/>
        </w:rPr>
        <w:t>LACC</w:t>
      </w:r>
      <w:r w:rsidRPr="00074F59">
        <w:rPr>
          <w:rFonts w:cs="Times New Roman"/>
          <w:lang w:val="fr-CA"/>
        </w:rPr>
        <w:t>.</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Afin de déterminer si le par. 227(4.1) confère à Sa Majesté un intérêt à titre de propriétaire, il nous faut examiner la nature des droits que la fiducie réputée confère à Sa Majesté et comparer ces droits à ceux habituellement accordés à un propriétaire. D’entrée de jeu, il est évident que la loi ne vise pas à transférer à Sa Majesté le titre en common law de quelque bien que ce soit. Au soutien de sa thèse, la Couronne table beaucoup sur le sens que la common law donne aux termes « biens dans lesquels Sa Majesté a un droit de bénéficiaire » et « en fiducie ». La fiducie et la propriété bénéficiaire sont des concepts d’equity qui font partie de la common law. Comme pour tous les cas d’interprétation des lois, le sens de ces termes dépend de l’intention du législateur. Dans l’interprétation d’une loi fédérale qui fait appel à des notions de propriété et de droits civils, il faut se référer aux art. 8.1 et 8.2 de la </w:t>
      </w:r>
      <w:r w:rsidRPr="00074F59">
        <w:rPr>
          <w:rFonts w:cs="Times New Roman"/>
          <w:i/>
          <w:iCs/>
          <w:lang w:val="fr-CA"/>
        </w:rPr>
        <w:t>Loi d’interprétation</w:t>
      </w:r>
      <w:r w:rsidRPr="00074F59">
        <w:rPr>
          <w:rFonts w:cs="Times New Roman"/>
          <w:iCs/>
          <w:lang w:val="fr-CA"/>
        </w:rPr>
        <w:t>, L.R.C. 1985, c. I</w:t>
      </w:r>
      <w:r w:rsidRPr="00074F59">
        <w:rPr>
          <w:rFonts w:cs="Times New Roman"/>
          <w:iCs/>
          <w:lang w:val="fr-CA"/>
        </w:rPr>
        <w:noBreakHyphen/>
        <w:t>21</w:t>
      </w:r>
      <w:r w:rsidRPr="00074F59">
        <w:rPr>
          <w:rFonts w:cs="Times New Roman"/>
          <w:lang w:val="fr-CA"/>
        </w:rPr>
        <w:t>. Ces articles sont ainsi libellés :</w:t>
      </w:r>
    </w:p>
    <w:p w:rsidR="00344043" w:rsidRPr="00074F59" w:rsidRDefault="00344043" w:rsidP="00344043">
      <w:pPr>
        <w:pStyle w:val="Citation-AltC"/>
        <w:spacing w:after="240"/>
        <w:ind w:hanging="446"/>
        <w:contextualSpacing w:val="0"/>
        <w:rPr>
          <w:shd w:val="clear" w:color="auto" w:fill="FFFFFF"/>
          <w:lang w:val="fr-CA"/>
        </w:rPr>
      </w:pPr>
      <w:r w:rsidRPr="00074F59">
        <w:rPr>
          <w:rStyle w:val="sectionlabel"/>
          <w:rFonts w:eastAsiaTheme="minorEastAsia"/>
          <w:b/>
          <w:shd w:val="clear" w:color="auto" w:fill="FFFFFF"/>
          <w:lang w:val="fr-CA"/>
        </w:rPr>
        <w:lastRenderedPageBreak/>
        <w:tab/>
        <w:t>8.1</w:t>
      </w:r>
      <w:r w:rsidRPr="00074F59">
        <w:rPr>
          <w:shd w:val="clear" w:color="auto" w:fill="FFFFFF"/>
          <w:lang w:val="fr-CA"/>
        </w:rPr>
        <w:t> Le droit civil et la common law font pareillement autorité et sont tous deux sources de droit en matière de propriété et de droits civils au Canada et, s’il est nécessaire de recourir à des règles, principes ou notions appartenant au domaine de la propriété et des droits civils en vue d’assurer l’application d’un texte dans une province, il faut, sauf règle de droit s’y opposant, avoir recours aux règles, principes et notions en vigueur dans cette province au moment de l’application du texte.</w:t>
      </w:r>
    </w:p>
    <w:p w:rsidR="00344043" w:rsidRPr="00074F59" w:rsidRDefault="00344043" w:rsidP="00344043">
      <w:pPr>
        <w:pStyle w:val="Citation-AltC"/>
        <w:ind w:hanging="446"/>
        <w:contextualSpacing w:val="0"/>
        <w:rPr>
          <w:lang w:val="fr-CA"/>
        </w:rPr>
      </w:pPr>
      <w:r w:rsidRPr="00074F59">
        <w:rPr>
          <w:rStyle w:val="sectionlabel"/>
          <w:rFonts w:eastAsiaTheme="minorEastAsia"/>
          <w:b/>
          <w:shd w:val="clear" w:color="auto" w:fill="FFFFFF"/>
          <w:lang w:val="fr-CA"/>
        </w:rPr>
        <w:tab/>
        <w:t>8.2</w:t>
      </w:r>
      <w:r w:rsidRPr="00074F59">
        <w:rPr>
          <w:shd w:val="clear" w:color="auto" w:fill="FFFFFF"/>
          <w:lang w:val="fr-CA"/>
        </w:rPr>
        <w:t> Sauf règle de droit s’y opposant, est entendu dans un sens compatible avec le système juridique de la province d’application le texte qui emploie à la fois des termes propres au droit civil de la province de Québec et des termes propres à la common law des autres provinces, ou qui emploie des termes qui ont un sens différent dans l’un et l’autre de ces systèmes.</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En d’autres termes, lorsque le législateur utilise une expression de droit privé et qu’il n’en précise pas le sens, les tribunaux doivent se référer au droit privé provincial applicable. C’est ce qu’on appelle le principe de complémentarité. Toutefois, comme ces deux articles l’indiquent clairement, il est loisible au législateur de déroger au droit privé provincial et de créer une règle uniforme applicable dans toutes les provinces (voir R. Sullivan, </w:t>
      </w:r>
      <w:r w:rsidRPr="00074F59">
        <w:rPr>
          <w:rFonts w:cs="Times New Roman"/>
          <w:i/>
          <w:iCs/>
          <w:lang w:val="fr-CA"/>
        </w:rPr>
        <w:t>Sullivan on the Construction of Statutes</w:t>
      </w:r>
      <w:r w:rsidRPr="00074F59">
        <w:rPr>
          <w:rFonts w:cs="Times New Roman"/>
          <w:lang w:val="fr-CA"/>
        </w:rPr>
        <w:t xml:space="preserve"> (6</w:t>
      </w:r>
      <w:r w:rsidRPr="00074F59">
        <w:rPr>
          <w:rFonts w:cs="Times New Roman"/>
          <w:vertAlign w:val="superscript"/>
          <w:lang w:val="fr-CA"/>
        </w:rPr>
        <w:t>e</w:t>
      </w:r>
      <w:r w:rsidRPr="00074F59">
        <w:rPr>
          <w:rFonts w:cs="Times New Roman"/>
          <w:lang w:val="fr-CA"/>
        </w:rPr>
        <w:t xml:space="preserve"> éd. 2014), p. 158</w:t>
      </w:r>
      <w:r w:rsidRPr="00074F59">
        <w:rPr>
          <w:rFonts w:cs="Times New Roman"/>
          <w:lang w:val="fr-CA"/>
        </w:rPr>
        <w:noBreakHyphen/>
        <w:t>159).</w:t>
      </w:r>
    </w:p>
    <w:p w:rsidR="00344043" w:rsidRPr="00074F59" w:rsidRDefault="00344043" w:rsidP="00344043">
      <w:pPr>
        <w:pStyle w:val="ParaNoNdepar-AltN"/>
        <w:spacing w:before="0"/>
        <w:rPr>
          <w:rFonts w:cs="Times New Roman"/>
          <w:lang w:val="fr-CA"/>
        </w:rPr>
      </w:pPr>
      <w:r w:rsidRPr="00074F59">
        <w:rPr>
          <w:rFonts w:cs="Times New Roman"/>
          <w:lang w:val="fr-CA"/>
        </w:rPr>
        <w:t>En l’espèce, le législateur a délibérément choisi de se dissocier du droit privé provincial. Le par</w:t>
      </w:r>
      <w:r>
        <w:rPr>
          <w:rFonts w:cs="Times New Roman"/>
          <w:lang w:val="fr-CA"/>
        </w:rPr>
        <w:t>agraphe</w:t>
      </w:r>
      <w:r w:rsidRPr="00074F59">
        <w:rPr>
          <w:rFonts w:cs="Times New Roman"/>
          <w:lang w:val="fr-CA"/>
        </w:rPr>
        <w:t> 227(4.1) indique qu’il s’applique « </w:t>
      </w:r>
      <w:r w:rsidRPr="00074F59">
        <w:rPr>
          <w:rFonts w:cs="Times New Roman"/>
          <w:u w:val="single"/>
          <w:lang w:val="fr-CA"/>
        </w:rPr>
        <w:t>[m]algré les autres dispositions de la présente loi</w:t>
      </w:r>
      <w:r w:rsidRPr="00074F59">
        <w:rPr>
          <w:rFonts w:cs="Times New Roman"/>
          <w:lang w:val="fr-CA"/>
        </w:rPr>
        <w:t>, la </w:t>
      </w:r>
      <w:r w:rsidRPr="00074F59">
        <w:rPr>
          <w:rStyle w:val="HTMLCite"/>
          <w:rFonts w:cs="Times New Roman"/>
          <w:lang w:val="fr-CA"/>
        </w:rPr>
        <w:t>Loi sur la faillite et l’insolvabilité</w:t>
      </w:r>
      <w:r w:rsidRPr="00074F59">
        <w:rPr>
          <w:rFonts w:cs="Times New Roman"/>
          <w:lang w:val="fr-CA"/>
        </w:rPr>
        <w:t xml:space="preserve"> (sauf ses articles 81.1 et 81.2), </w:t>
      </w:r>
      <w:r w:rsidRPr="00074F59">
        <w:rPr>
          <w:rFonts w:cs="Times New Roman"/>
          <w:u w:val="single"/>
          <w:lang w:val="fr-CA"/>
        </w:rPr>
        <w:t>tout autre texte législatif fédéral ou provincial ou toute règle de droit</w:t>
      </w:r>
      <w:r w:rsidRPr="00074F59">
        <w:rPr>
          <w:rFonts w:cs="Times New Roman"/>
          <w:lang w:val="fr-CA"/>
        </w:rPr>
        <w:t xml:space="preserve"> ». Dans l’arrêt </w:t>
      </w:r>
      <w:r w:rsidRPr="00074F59">
        <w:rPr>
          <w:rFonts w:cs="Times New Roman"/>
          <w:i/>
          <w:iCs/>
          <w:lang w:val="fr-CA"/>
        </w:rPr>
        <w:t>Caisse populaire Desjardins de l’Est de Drummond c. Canada</w:t>
      </w:r>
      <w:r w:rsidRPr="00074F59">
        <w:rPr>
          <w:rFonts w:cs="Times New Roman"/>
          <w:lang w:val="fr-CA"/>
        </w:rPr>
        <w:t>, 2009 CSC 29, [2009] 2 R.C.S. 94, la majorité a conclu que, par ces termes, le législateur a créé un régime autonome d’application uniforme dans toutes les provinces (par. 11</w:t>
      </w:r>
      <w:r w:rsidRPr="00074F59">
        <w:rPr>
          <w:rFonts w:cs="Times New Roman"/>
          <w:lang w:val="fr-CA"/>
        </w:rPr>
        <w:noBreakHyphen/>
        <w:t xml:space="preserve">13). La </w:t>
      </w:r>
      <w:r w:rsidRPr="00074F59">
        <w:rPr>
          <w:rFonts w:cs="Times New Roman"/>
          <w:lang w:val="fr-CA"/>
        </w:rPr>
        <w:lastRenderedPageBreak/>
        <w:t>nature de la fiducie réputée créée par le par. 227(4.1) doit donc être comprise d’après les termes de cette disposition.</w:t>
      </w:r>
    </w:p>
    <w:p w:rsidR="00344043" w:rsidRPr="00074F59" w:rsidRDefault="00344043" w:rsidP="00344043">
      <w:pPr>
        <w:pStyle w:val="ParaNoNdepar-AltN"/>
        <w:spacing w:before="0"/>
        <w:rPr>
          <w:rFonts w:cs="Times New Roman"/>
          <w:szCs w:val="24"/>
          <w:lang w:val="fr-CA"/>
        </w:rPr>
      </w:pPr>
      <w:r w:rsidRPr="00074F59">
        <w:rPr>
          <w:rFonts w:cs="Times New Roman"/>
          <w:lang w:val="fr-CA"/>
        </w:rPr>
        <w:t xml:space="preserve">Cela dit, il est également clair que le législateur a choisi d’employer des termes qui possèdent une signification juridique bien établie pour constituer la fiducie réputée. Bien que le sens de ces termes ne doive pas être fondé sur le sens précis qu’ils ont selon la common law de l’Alberta, on peut difficilement analyser le par. 227(4.1) sans tenir compte de la façon dont ces concepts opèrent généralement. Malgré les protestations de mes collègues les juges Brown et Rowe, je ne vois pas comment l’on pourrait chercher à comprendre le sens des mots « fiducie réputée », « détenus en fiducie » ou « droit de bénéficiaire » sans tenir compte du droit civil ou de la common law. Le droit des fiducies tant en droit civil qu’en common law fournit donc un contexte essentiel pour comprendre la volonté de législateur. Du point de vue du droit civil, certains tribunaux ont trouvé difficile d’appliquer </w:t>
      </w:r>
      <w:r w:rsidRPr="00074F59">
        <w:rPr>
          <w:rFonts w:cs="Times New Roman"/>
          <w:szCs w:val="24"/>
          <w:shd w:val="clear" w:color="auto" w:fill="FFFFFF"/>
          <w:lang w:val="fr-CA"/>
        </w:rPr>
        <w:t>au Québec le concept de « droit de bénéficiaire » énoncé au par. 227(4.1), « au motif qu’il s’agit d’un concept évidemment issu de la </w:t>
      </w:r>
      <w:r w:rsidRPr="00074F59">
        <w:rPr>
          <w:rFonts w:cs="Times New Roman"/>
          <w:iCs/>
          <w:szCs w:val="24"/>
          <w:shd w:val="clear" w:color="auto" w:fill="FFFFFF"/>
          <w:lang w:val="fr-CA"/>
        </w:rPr>
        <w:t>common law</w:t>
      </w:r>
      <w:r w:rsidRPr="00074F59">
        <w:rPr>
          <w:rFonts w:cs="Times New Roman"/>
          <w:szCs w:val="24"/>
          <w:shd w:val="clear" w:color="auto" w:fill="FFFFFF"/>
          <w:lang w:val="fr-CA"/>
        </w:rPr>
        <w:t> » (</w:t>
      </w:r>
      <w:r w:rsidRPr="00074F59">
        <w:rPr>
          <w:rFonts w:cs="Times New Roman"/>
          <w:i/>
          <w:szCs w:val="24"/>
          <w:shd w:val="clear" w:color="auto" w:fill="FFFFFF"/>
          <w:lang w:val="fr-CA"/>
        </w:rPr>
        <w:t>Canada (Procureur général) c. Caisse populaire d’Amos</w:t>
      </w:r>
      <w:r w:rsidRPr="00074F59">
        <w:rPr>
          <w:rFonts w:cs="Times New Roman"/>
          <w:szCs w:val="24"/>
          <w:shd w:val="clear" w:color="auto" w:fill="FFFFFF"/>
          <w:lang w:val="fr-CA"/>
        </w:rPr>
        <w:t>, 2004 CAF 92,</w:t>
      </w:r>
      <w:r>
        <w:rPr>
          <w:rFonts w:cs="Times New Roman"/>
          <w:szCs w:val="24"/>
          <w:shd w:val="clear" w:color="auto" w:fill="FFFFFF"/>
          <w:lang w:val="fr-CA"/>
        </w:rPr>
        <w:t xml:space="preserve"> 324 N.R. 31,</w:t>
      </w:r>
      <w:r w:rsidRPr="00074F59">
        <w:rPr>
          <w:rFonts w:cs="Times New Roman"/>
          <w:szCs w:val="24"/>
          <w:shd w:val="clear" w:color="auto" w:fill="FFFFFF"/>
          <w:lang w:val="fr-CA"/>
        </w:rPr>
        <w:t xml:space="preserve"> par. 48)</w:t>
      </w:r>
      <w:r>
        <w:rPr>
          <w:rFonts w:cs="Times New Roman"/>
          <w:szCs w:val="24"/>
          <w:shd w:val="clear" w:color="auto" w:fill="FFFFFF"/>
          <w:lang w:val="fr-CA"/>
        </w:rPr>
        <w:t>. J</w:t>
      </w:r>
      <w:r w:rsidRPr="00074F59">
        <w:rPr>
          <w:rFonts w:cs="Times New Roman"/>
          <w:szCs w:val="24"/>
          <w:shd w:val="clear" w:color="auto" w:fill="FFFFFF"/>
          <w:lang w:val="fr-CA"/>
        </w:rPr>
        <w:t xml:space="preserve">e souscris à la remarque suivante </w:t>
      </w:r>
      <w:r w:rsidRPr="00074F59">
        <w:rPr>
          <w:rFonts w:cs="Times New Roman"/>
          <w:szCs w:val="24"/>
          <w:lang w:val="fr-CA"/>
        </w:rPr>
        <w:t>du juge Noël (maintenant juge en chef) :</w:t>
      </w:r>
    </w:p>
    <w:p w:rsidR="00344043" w:rsidRPr="00074F59" w:rsidRDefault="00344043" w:rsidP="00344043">
      <w:pPr>
        <w:pStyle w:val="Citation-AltC"/>
        <w:tabs>
          <w:tab w:val="left" w:pos="1080"/>
          <w:tab w:val="left" w:pos="1440"/>
        </w:tabs>
        <w:ind w:left="1080"/>
        <w:contextualSpacing w:val="0"/>
        <w:rPr>
          <w:lang w:val="fr-CA"/>
        </w:rPr>
      </w:pPr>
      <w:r w:rsidRPr="00074F59">
        <w:rPr>
          <w:shd w:val="clear" w:color="auto" w:fill="FFFFFF"/>
          <w:lang w:val="fr-CA"/>
        </w:rPr>
        <w:tab/>
        <w:t>La question de savoir s’il est opportun pour le législateur fédéral d’utiliser au Québec des concepts de </w:t>
      </w:r>
      <w:r w:rsidRPr="00074F59">
        <w:rPr>
          <w:iCs/>
          <w:shd w:val="clear" w:color="auto" w:fill="FFFFFF"/>
          <w:lang w:val="fr-CA"/>
        </w:rPr>
        <w:t>common law</w:t>
      </w:r>
      <w:r w:rsidRPr="00074F59">
        <w:rPr>
          <w:shd w:val="clear" w:color="auto" w:fill="FFFFFF"/>
          <w:lang w:val="fr-CA"/>
        </w:rPr>
        <w:t> (ou d’utiliser ailleurs au Canada des concepts de droit civil) pour donner effet aux lois fédérales ne relève pas du pouvoir judiciaire. La tâche des tribunaux se limite à déceler l’intention du législateur et [à] y donner effet.</w:t>
      </w:r>
      <w:r w:rsidRPr="00074F59">
        <w:rPr>
          <w:lang w:val="fr-CA"/>
        </w:rPr>
        <w:t xml:space="preserve"> [par. 49]</w:t>
      </w:r>
    </w:p>
    <w:p w:rsidR="00344043" w:rsidRPr="00074F59" w:rsidRDefault="00344043" w:rsidP="00344043">
      <w:pPr>
        <w:pStyle w:val="ParaNoNdepar-AltN"/>
        <w:spacing w:before="0"/>
        <w:rPr>
          <w:rFonts w:cs="Times New Roman"/>
          <w:lang w:val="fr-CA"/>
        </w:rPr>
      </w:pPr>
      <w:r w:rsidRPr="00074F59">
        <w:rPr>
          <w:rFonts w:cs="Times New Roman"/>
          <w:lang w:val="fr-CA"/>
        </w:rPr>
        <w:lastRenderedPageBreak/>
        <w:t xml:space="preserve">En droit civil québécois, il est clair que le par. 227(4.1) ne crée pas de fiducie au sens du </w:t>
      </w:r>
      <w:r w:rsidRPr="00074F59">
        <w:rPr>
          <w:rFonts w:cs="Times New Roman"/>
          <w:i/>
          <w:lang w:val="fr-CA"/>
        </w:rPr>
        <w:t>Code civil du Québec</w:t>
      </w:r>
      <w:r w:rsidRPr="00074F59">
        <w:rPr>
          <w:rFonts w:cs="Times New Roman"/>
          <w:lang w:val="fr-CA"/>
        </w:rPr>
        <w:t xml:space="preserve"> (« </w:t>
      </w:r>
      <w:r w:rsidRPr="00074F59">
        <w:rPr>
          <w:rFonts w:cs="Times New Roman"/>
          <w:i/>
          <w:lang w:val="fr-CA"/>
        </w:rPr>
        <w:t>C.c.Q.</w:t>
      </w:r>
      <w:r w:rsidRPr="00074F59">
        <w:rPr>
          <w:rFonts w:cs="Times New Roman"/>
          <w:lang w:val="fr-CA"/>
        </w:rPr>
        <w:t xml:space="preserve"> »). Les articles 1260 et 1261 </w:t>
      </w:r>
      <w:r w:rsidRPr="00074F59">
        <w:rPr>
          <w:rFonts w:cs="Times New Roman"/>
          <w:i/>
          <w:lang w:val="fr-CA"/>
        </w:rPr>
        <w:t xml:space="preserve">C.c.Q. </w:t>
      </w:r>
      <w:r w:rsidRPr="00074F59">
        <w:rPr>
          <w:rFonts w:cs="Times New Roman"/>
          <w:lang w:val="fr-CA"/>
        </w:rPr>
        <w:t>prévoient ce qui suit :</w:t>
      </w:r>
    </w:p>
    <w:p w:rsidR="00344043" w:rsidRPr="00074F59" w:rsidRDefault="00344043" w:rsidP="00344043">
      <w:pPr>
        <w:pStyle w:val="Citation-AltC"/>
        <w:spacing w:after="240"/>
        <w:ind w:hanging="446"/>
        <w:contextualSpacing w:val="0"/>
        <w:rPr>
          <w:lang w:val="fr-FR"/>
        </w:rPr>
      </w:pPr>
      <w:r w:rsidRPr="00074F59">
        <w:rPr>
          <w:lang w:val="fr-CA"/>
        </w:rPr>
        <w:tab/>
      </w:r>
      <w:r w:rsidRPr="00074F59">
        <w:rPr>
          <w:b/>
          <w:lang w:val="fr-CA"/>
        </w:rPr>
        <w:t>1260.</w:t>
      </w:r>
      <w:r w:rsidRPr="00074F59">
        <w:rPr>
          <w:lang w:val="fr-CA"/>
        </w:rPr>
        <w:t xml:space="preserve"> </w:t>
      </w:r>
      <w:r w:rsidRPr="00074F59">
        <w:rPr>
          <w:lang w:val="fr-FR"/>
        </w:rPr>
        <w:t>La fiducie résulte d’un acte par lequel une personne, le constituant, transfère de son patrimoine à un autre patrimoine qu’il constitue, des biens qu’il affecte à une fin particulière et qu’un fiduciaire s’oblige, par le fait de son acceptation, à détenir et à administrer.</w:t>
      </w:r>
    </w:p>
    <w:p w:rsidR="00344043" w:rsidRPr="00074F59" w:rsidRDefault="00344043" w:rsidP="00344043">
      <w:pPr>
        <w:pStyle w:val="Citation-AltC"/>
        <w:ind w:hanging="446"/>
        <w:contextualSpacing w:val="0"/>
        <w:rPr>
          <w:lang w:val="fr-CA"/>
        </w:rPr>
      </w:pPr>
      <w:r w:rsidRPr="00074F59">
        <w:rPr>
          <w:lang w:val="fr-CA"/>
        </w:rPr>
        <w:tab/>
      </w:r>
      <w:r w:rsidRPr="00074F59">
        <w:rPr>
          <w:b/>
          <w:lang w:val="fr-CA"/>
        </w:rPr>
        <w:t>1261.</w:t>
      </w:r>
      <w:r w:rsidRPr="00074F59">
        <w:rPr>
          <w:lang w:val="fr-CA"/>
        </w:rPr>
        <w:t xml:space="preserve"> </w:t>
      </w:r>
      <w:r w:rsidRPr="00074F59">
        <w:rPr>
          <w:lang w:val="fr-FR"/>
        </w:rPr>
        <w:t>Le patrimoine fiduciaire, formé des biens transférés en fiducie, constitue un patrimoine d’affectation autonome et distinct de celui du constituant, du fiduciaire ou du bénéficiaire, sur lequel aucun d’entre eux n’a de droit réel.</w:t>
      </w:r>
    </w:p>
    <w:p w:rsidR="00344043" w:rsidRPr="00074F59" w:rsidRDefault="00344043" w:rsidP="00344043">
      <w:pPr>
        <w:pStyle w:val="ParaNoNdepar-AltN"/>
        <w:numPr>
          <w:ilvl w:val="0"/>
          <w:numId w:val="0"/>
        </w:numPr>
        <w:spacing w:before="0"/>
        <w:rPr>
          <w:rFonts w:cs="Times New Roman"/>
          <w:lang w:val="fr-CA"/>
        </w:rPr>
      </w:pPr>
      <w:r w:rsidRPr="00074F59">
        <w:rPr>
          <w:rFonts w:cs="Times New Roman"/>
          <w:lang w:val="fr-CA"/>
        </w:rPr>
        <w:t xml:space="preserve">Comme l’a statué notre Cour dans </w:t>
      </w:r>
      <w:r w:rsidRPr="00074F59">
        <w:rPr>
          <w:rFonts w:cs="Times New Roman"/>
          <w:i/>
          <w:lang w:val="fr-CA"/>
        </w:rPr>
        <w:t>Banque de Nouvelle</w:t>
      </w:r>
      <w:r w:rsidRPr="00074F59">
        <w:rPr>
          <w:rFonts w:cs="Times New Roman"/>
          <w:i/>
          <w:lang w:val="fr-CA"/>
        </w:rPr>
        <w:noBreakHyphen/>
        <w:t>Écosse c. Thibault</w:t>
      </w:r>
      <w:r w:rsidRPr="00074F59">
        <w:rPr>
          <w:rFonts w:cs="Times New Roman"/>
          <w:lang w:val="fr-CA"/>
        </w:rPr>
        <w:t>, 2004 CSC 29, [2004] 1 R.C.S. 758,</w:t>
      </w:r>
      <w:r>
        <w:rPr>
          <w:rFonts w:cs="Times New Roman"/>
          <w:lang w:val="fr-CA"/>
        </w:rPr>
        <w:t xml:space="preserve"> </w:t>
      </w:r>
      <w:r w:rsidRPr="00074F59">
        <w:rPr>
          <w:rFonts w:cs="Times New Roman"/>
          <w:lang w:val="fr-CA"/>
        </w:rPr>
        <w:t>par. 31, « [t]rois conditions sont donc nécessaires pour la constitution d’une fiducie [en droit civil québécois] : le transfert de biens du patrimoine d’une personne à un patrimoine d’affectation, l’affectation des biens à une fin particulière et l’acceptation par un fiduciaire ».</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Toutefois, selon le par. 227(4.1) de la </w:t>
      </w:r>
      <w:r w:rsidRPr="00074F59">
        <w:rPr>
          <w:rFonts w:cs="Times New Roman"/>
          <w:i/>
          <w:lang w:val="fr-CA"/>
        </w:rPr>
        <w:t>LIR</w:t>
      </w:r>
      <w:r w:rsidRPr="00074F59">
        <w:rPr>
          <w:rFonts w:cs="Times New Roman"/>
          <w:lang w:val="fr-CA"/>
        </w:rPr>
        <w:t xml:space="preserve">, aucun bien précis n’est transféré au patrimoine fiduciaire. L’incertitude demeure quant aux biens assujettis à la fiducie réputée et, partant, quant aux actifs qui ont quitté le patrimoine du constituant pour entrer dans celui de la fiducie. Bien que le par. 227(4.1) dispose que les biens soient réputés détenus « séparés des propres biens de la personne » et « ne pas faire partie du patrimoine ou des biens de la personne », cela ne suffit pas pour constituer un patrimoine autonome tel que celui envisagé par le régime civiliste de fiducie. Il découle du caractère autonome du patrimoine fiduciaire que les actifs détenus en fiducie doivent </w:t>
      </w:r>
      <w:r w:rsidRPr="00074F59">
        <w:rPr>
          <w:rFonts w:cs="Times New Roman"/>
          <w:lang w:val="fr-CA"/>
        </w:rPr>
        <w:lastRenderedPageBreak/>
        <w:t>être des biens sur lesquels ni le constituant, ni le fiduciaire, ni le bénéficiaire n’a de droit de propriété. Cela va toutefois à l’encontre de l’intérêt créé en vertu du par. 227(4.1), parce que rien dans cette disposition ne prive la personne dont les actifs sont sujets à une fiducie réputée de droits de propriété sur ces actifs. Par conséquent, on ne retrouve pas l’élément principal d’une fiducie civiliste dans la fiducie réputée créée en application du par. 227(4.1) : il n’existe aucun patrimoine autonome auquel sont transférés des biens précis.</w:t>
      </w:r>
    </w:p>
    <w:p w:rsidR="00344043" w:rsidRPr="00074F59" w:rsidRDefault="00344043" w:rsidP="00344043">
      <w:pPr>
        <w:pStyle w:val="ParaNoNdepar-AltN"/>
        <w:spacing w:before="0"/>
        <w:rPr>
          <w:rFonts w:cs="Times New Roman"/>
          <w:lang w:val="fr-CA"/>
        </w:rPr>
      </w:pPr>
      <w:r w:rsidRPr="00074F59">
        <w:rPr>
          <w:rFonts w:cs="Times New Roman"/>
          <w:lang w:val="fr-CA"/>
        </w:rPr>
        <w:t>En outre, selon le par. 227(4.1), la personne dont les actifs sont assujettis à la fiducie réputée agirait comme fiduciaire. Là encore, cela ne cadre pas avec la définition d’un fiduciaire en droit civil. La personne dont les actifs sont assujettis à une fiducie réputée en application du par. </w:t>
      </w:r>
      <w:r>
        <w:rPr>
          <w:rFonts w:cs="Times New Roman"/>
          <w:lang w:val="fr-CA"/>
        </w:rPr>
        <w:t>227(4.1</w:t>
      </w:r>
      <w:r w:rsidRPr="00074F59">
        <w:rPr>
          <w:rFonts w:cs="Times New Roman"/>
          <w:lang w:val="fr-CA"/>
        </w:rPr>
        <w:t>) ne « </w:t>
      </w:r>
      <w:r w:rsidRPr="00074F59">
        <w:rPr>
          <w:rFonts w:cs="Times New Roman"/>
          <w:lang w:val="fr-FR"/>
        </w:rPr>
        <w:t xml:space="preserve">s’oblige </w:t>
      </w:r>
      <w:r w:rsidRPr="00074F59">
        <w:rPr>
          <w:rFonts w:cs="Times New Roman"/>
          <w:lang w:val="fr-CA"/>
        </w:rPr>
        <w:t>[pas]</w:t>
      </w:r>
      <w:r w:rsidRPr="00074F59">
        <w:rPr>
          <w:rFonts w:cs="Times New Roman"/>
          <w:lang w:val="fr-FR"/>
        </w:rPr>
        <w:t>, par le fait de son acceptation, à détenir et à administrer</w:t>
      </w:r>
      <w:r w:rsidRPr="00074F59">
        <w:rPr>
          <w:rFonts w:cs="Times New Roman"/>
          <w:lang w:val="fr-CA"/>
        </w:rPr>
        <w:t xml:space="preserve"> » le patrimoine fiduciaire (art. 1260 </w:t>
      </w:r>
      <w:r w:rsidRPr="00074F59">
        <w:rPr>
          <w:rFonts w:cs="Times New Roman"/>
          <w:i/>
          <w:lang w:val="fr-CA"/>
        </w:rPr>
        <w:t>C.c.Q.</w:t>
      </w:r>
      <w:r w:rsidRPr="00074F59">
        <w:rPr>
          <w:rFonts w:cs="Times New Roman"/>
          <w:lang w:val="fr-CA"/>
        </w:rPr>
        <w:t xml:space="preserve">). Mais plus important encore, le fait que les actifs assujettis à la fiducie réputée sont indéterminés empêche carrément le fiduciaire de jouer son rôle. Aux termes du </w:t>
      </w:r>
      <w:r w:rsidRPr="00074F59">
        <w:rPr>
          <w:rFonts w:cs="Times New Roman"/>
          <w:i/>
          <w:lang w:val="fr-CA"/>
        </w:rPr>
        <w:t>C.c.Q.</w:t>
      </w:r>
      <w:r w:rsidRPr="00074F59">
        <w:rPr>
          <w:rFonts w:cs="Times New Roman"/>
          <w:lang w:val="fr-CA"/>
        </w:rPr>
        <w:t>, celui</w:t>
      </w:r>
      <w:r w:rsidRPr="00074F59">
        <w:rPr>
          <w:rFonts w:cs="Times New Roman"/>
          <w:lang w:val="fr-CA"/>
        </w:rPr>
        <w:noBreakHyphen/>
        <w:t>ci « </w:t>
      </w:r>
      <w:r w:rsidRPr="00074F59">
        <w:rPr>
          <w:rFonts w:cs="Times New Roman"/>
          <w:lang w:val="fr-FR"/>
        </w:rPr>
        <w:t xml:space="preserve">a la maîtrise et l’administration exclusive du patrimoine fiduciaire » et « exerce tous les droits afférents au patrimoine et peut prendre toute mesure propre à en assurer l’affectation » </w:t>
      </w:r>
      <w:r w:rsidRPr="00074F59">
        <w:rPr>
          <w:rFonts w:cs="Times New Roman"/>
          <w:lang w:val="fr-CA"/>
        </w:rPr>
        <w:t>(art. 1278). Ainsi, le fiduciaire visé au par. 227(4.1) serait tenu d’administrer ses propres biens — ou à tout le moins une partie indéterminée de ceux</w:t>
      </w:r>
      <w:r w:rsidRPr="00074F59">
        <w:rPr>
          <w:rFonts w:cs="Times New Roman"/>
          <w:lang w:val="fr-CA"/>
        </w:rPr>
        <w:noBreakHyphen/>
        <w:t xml:space="preserve">ci — dans l’intérêt de Sa Majesté (art. 1306 </w:t>
      </w:r>
      <w:r w:rsidRPr="00074F59">
        <w:rPr>
          <w:rFonts w:cs="Times New Roman"/>
          <w:i/>
          <w:lang w:val="fr-CA"/>
        </w:rPr>
        <w:t>C.c.Q.</w:t>
      </w:r>
      <w:r w:rsidRPr="00074F59">
        <w:rPr>
          <w:rFonts w:cs="Times New Roman"/>
          <w:lang w:val="fr-CA"/>
        </w:rPr>
        <w:t xml:space="preserve">). Le fiduciaire serait assujetti à des obligations impossibles à remplir, comme celle de ne pas confondre les biens administrés avec ses propres biens (art. 1313 </w:t>
      </w:r>
      <w:r w:rsidRPr="00074F59">
        <w:rPr>
          <w:rFonts w:cs="Times New Roman"/>
          <w:i/>
          <w:lang w:val="fr-CA"/>
        </w:rPr>
        <w:t>C.c.Q.</w:t>
      </w:r>
      <w:r w:rsidRPr="00074F59">
        <w:rPr>
          <w:rFonts w:cs="Times New Roman"/>
          <w:lang w:val="fr-CA"/>
        </w:rPr>
        <w:t xml:space="preserve">). De toute évidence, une personne ne saurait agir en tant qu’administrateur des biens d’autrui à l’égard de ses propres </w:t>
      </w:r>
      <w:r w:rsidRPr="00074F59">
        <w:rPr>
          <w:rFonts w:cs="Times New Roman"/>
          <w:lang w:val="fr-CA"/>
        </w:rPr>
        <w:lastRenderedPageBreak/>
        <w:t>biens. Il est donc clair que l’intérêt créé en vertu du par. 227(4.1) n’a pas grand</w:t>
      </w:r>
      <w:r w:rsidRPr="00074F59">
        <w:rPr>
          <w:rFonts w:cs="Times New Roman"/>
          <w:lang w:val="fr-CA"/>
        </w:rPr>
        <w:noBreakHyphen/>
        <w:t>chose, sinon rien, en commun avec la fiducie en droit civil.</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En common law, une fiducie est constituée lorsque la propriété en common law et la propriété bénéficiaire d’un bien en particulier sont dissociées </w:t>
      </w:r>
      <w:r w:rsidRPr="00074F59">
        <w:rPr>
          <w:rFonts w:cs="Times New Roman"/>
          <w:shd w:val="clear" w:color="auto" w:fill="FFFFFF"/>
          <w:lang w:val="fr-CA"/>
        </w:rPr>
        <w:t xml:space="preserve">(voir </w:t>
      </w:r>
      <w:r w:rsidRPr="00074F59">
        <w:rPr>
          <w:rFonts w:cs="Times New Roman"/>
          <w:i/>
          <w:iCs/>
          <w:shd w:val="clear" w:color="auto" w:fill="FFFFFF"/>
          <w:lang w:val="fr-CA"/>
        </w:rPr>
        <w:t>Valard Construction Ltd. c. Bird Construction Co.</w:t>
      </w:r>
      <w:r w:rsidRPr="00074F59">
        <w:rPr>
          <w:rFonts w:cs="Times New Roman"/>
          <w:shd w:val="clear" w:color="auto" w:fill="FFFFFF"/>
          <w:lang w:val="fr-CA"/>
        </w:rPr>
        <w:t>, 2018 CSC 8, [2018] 1 R.C.S. 224, par. 18). « Étant donné que la fiducie divise le titre de propriété en common law et le titre bénéficiaire sur un bien entre un fiduciaire et un bénéficiaire, respectivement, la caractéristique</w:t>
      </w:r>
      <w:r>
        <w:rPr>
          <w:rFonts w:cs="Times New Roman"/>
          <w:shd w:val="clear" w:color="auto" w:fill="FFFFFF"/>
          <w:lang w:val="fr-CA"/>
        </w:rPr>
        <w:t xml:space="preserve"> </w:t>
      </w:r>
      <w:r w:rsidRPr="0073351E">
        <w:rPr>
          <w:rFonts w:cs="Times New Roman"/>
          <w:shd w:val="clear" w:color="auto" w:fill="FFFFFF"/>
          <w:lang w:val="fr-CA"/>
        </w:rPr>
        <w:t>[</w:t>
      </w:r>
      <w:r w:rsidRPr="0073351E">
        <w:rPr>
          <w:rFonts w:cs="Times New Roman"/>
          <w:smallCaps/>
          <w:shd w:val="clear" w:color="auto" w:fill="FFFFFF"/>
          <w:lang w:val="fr-CA"/>
        </w:rPr>
        <w:t>traduction</w:t>
      </w:r>
      <w:r>
        <w:rPr>
          <w:rFonts w:cs="Times New Roman"/>
          <w:shd w:val="clear" w:color="auto" w:fill="FFFFFF"/>
          <w:lang w:val="fr-CA"/>
        </w:rPr>
        <w:t>]</w:t>
      </w:r>
      <w:r w:rsidRPr="00074F59">
        <w:rPr>
          <w:rFonts w:cs="Times New Roman"/>
          <w:shd w:val="clear" w:color="auto" w:fill="FFFFFF"/>
          <w:lang w:val="fr-CA"/>
        </w:rPr>
        <w:t xml:space="preserve"> “distinctive” d’une fiducie réside dans la relation fiduciaire qui existe entre le fiduciaire et le bénéficiaire et suivant laquelle le premier doit détenir les biens en fiducie uniquement pour que le second puisse en jouir » (par. 17</w:t>
      </w:r>
      <w:r>
        <w:rPr>
          <w:rFonts w:cs="Times New Roman"/>
          <w:shd w:val="clear" w:color="auto" w:fill="FFFFFF"/>
          <w:lang w:val="fr-CA"/>
        </w:rPr>
        <w:t xml:space="preserve"> (note en</w:t>
      </w:r>
      <w:r w:rsidRPr="00074F59">
        <w:rPr>
          <w:rFonts w:cs="Times New Roman"/>
          <w:shd w:val="clear" w:color="auto" w:fill="FFFFFF"/>
          <w:lang w:val="fr-CA"/>
        </w:rPr>
        <w:t xml:space="preserve"> bas de page omise)). Ainsi que le juge Rothstein l’a écrit, du fait de cette relation fiduciaire, « [l]</w:t>
      </w:r>
      <w:r w:rsidRPr="00074F59">
        <w:rPr>
          <w:rFonts w:cs="Times New Roman"/>
          <w:szCs w:val="24"/>
          <w:shd w:val="clear" w:color="auto" w:fill="FFFFFF"/>
          <w:lang w:val="fr-CA"/>
        </w:rPr>
        <w:t>e propriétaire bénéficiaire d’un bien est [</w:t>
      </w:r>
      <w:r w:rsidRPr="00074F59">
        <w:rPr>
          <w:rFonts w:cs="Times New Roman"/>
          <w:smallCaps/>
          <w:szCs w:val="24"/>
          <w:shd w:val="clear" w:color="auto" w:fill="FFFFFF"/>
          <w:lang w:val="fr-CA"/>
        </w:rPr>
        <w:t>traduction</w:t>
      </w:r>
      <w:r w:rsidRPr="00074F59">
        <w:rPr>
          <w:rFonts w:cs="Times New Roman"/>
          <w:szCs w:val="24"/>
          <w:shd w:val="clear" w:color="auto" w:fill="FFFFFF"/>
          <w:lang w:val="fr-CA"/>
        </w:rPr>
        <w:t xml:space="preserve">] </w:t>
      </w:r>
      <w:r w:rsidRPr="00074F59">
        <w:rPr>
          <w:rFonts w:cs="Times New Roman"/>
          <w:shd w:val="clear" w:color="auto" w:fill="FFFFFF"/>
          <w:lang w:val="fr-CA"/>
        </w:rPr>
        <w:t>“</w:t>
      </w:r>
      <w:r w:rsidRPr="00074F59">
        <w:rPr>
          <w:rFonts w:cs="Times New Roman"/>
          <w:szCs w:val="24"/>
          <w:shd w:val="clear" w:color="auto" w:fill="FFFFFF"/>
          <w:lang w:val="fr-CA"/>
        </w:rPr>
        <w:t>le véritable propriétaire du bien même si ce dernier n’est pas à son nom</w:t>
      </w:r>
      <w:r w:rsidRPr="00074F59">
        <w:rPr>
          <w:rFonts w:cs="Times New Roman"/>
          <w:shd w:val="clear" w:color="auto" w:fill="FFFFFF"/>
          <w:lang w:val="fr-CA"/>
        </w:rPr>
        <w:t>”</w:t>
      </w:r>
      <w:r w:rsidRPr="00074F59">
        <w:rPr>
          <w:rFonts w:cs="Times New Roman"/>
          <w:szCs w:val="24"/>
          <w:shd w:val="clear" w:color="auto" w:fill="FFFFFF"/>
          <w:lang w:val="fr-CA"/>
        </w:rPr>
        <w:t> » (</w:t>
      </w:r>
      <w:r w:rsidRPr="00074F59">
        <w:rPr>
          <w:rFonts w:cs="Times New Roman"/>
          <w:i/>
          <w:iCs/>
          <w:szCs w:val="24"/>
          <w:shd w:val="clear" w:color="auto" w:fill="FFFFFF"/>
          <w:lang w:val="fr-CA"/>
        </w:rPr>
        <w:t>Pecore c. Pecore</w:t>
      </w:r>
      <w:r w:rsidRPr="00074F59">
        <w:rPr>
          <w:rFonts w:cs="Times New Roman"/>
          <w:szCs w:val="24"/>
          <w:shd w:val="clear" w:color="auto" w:fill="FFFFFF"/>
          <w:lang w:val="fr-CA"/>
        </w:rPr>
        <w:t xml:space="preserve">, 2007 CSC 17, </w:t>
      </w:r>
      <w:r>
        <w:rPr>
          <w:rFonts w:cs="Times New Roman"/>
          <w:szCs w:val="24"/>
          <w:shd w:val="clear" w:color="auto" w:fill="FFFFFF"/>
          <w:lang w:val="fr-CA"/>
        </w:rPr>
        <w:t xml:space="preserve">[2007] 1 R.C.S. 795, </w:t>
      </w:r>
      <w:r w:rsidRPr="00074F59">
        <w:rPr>
          <w:rFonts w:cs="Times New Roman"/>
          <w:szCs w:val="24"/>
          <w:shd w:val="clear" w:color="auto" w:fill="FFFFFF"/>
          <w:lang w:val="fr-CA"/>
        </w:rPr>
        <w:t xml:space="preserve">par. 4, citant </w:t>
      </w:r>
      <w:r w:rsidRPr="00074F59">
        <w:rPr>
          <w:rFonts w:cs="Times New Roman"/>
          <w:i/>
          <w:szCs w:val="24"/>
          <w:shd w:val="clear" w:color="auto" w:fill="FFFFFF"/>
          <w:lang w:val="fr-CA"/>
        </w:rPr>
        <w:t>Csak c. Aumon</w:t>
      </w:r>
      <w:r w:rsidRPr="00074F59">
        <w:rPr>
          <w:rFonts w:cs="Times New Roman"/>
          <w:szCs w:val="24"/>
          <w:shd w:val="clear" w:color="auto" w:fill="FFFFFF"/>
          <w:lang w:val="fr-CA"/>
        </w:rPr>
        <w:t xml:space="preserve"> (1990), 69 D.L.R. </w:t>
      </w:r>
      <w:r>
        <w:rPr>
          <w:rFonts w:cs="Times New Roman"/>
          <w:szCs w:val="24"/>
          <w:shd w:val="clear" w:color="auto" w:fill="FFFFFF"/>
          <w:lang w:val="fr-CA"/>
        </w:rPr>
        <w:t>(4th) 567 (H.C.J.</w:t>
      </w:r>
      <w:r w:rsidRPr="00074F59">
        <w:rPr>
          <w:rFonts w:cs="Times New Roman"/>
          <w:szCs w:val="24"/>
          <w:shd w:val="clear" w:color="auto" w:fill="FFFFFF"/>
          <w:lang w:val="fr-CA"/>
        </w:rPr>
        <w:t xml:space="preserve"> Ont.), p. 570).</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Bien que les droits précis conférés au propriétaire bénéficiaire puissent varier selon les modalités de la fiducie et les principes d’equity, je suis d’accord avec la Couronne pour dire que, lorsque la propriété bénéficiaire existe, il n’est généralement pas indiqué que le juge surveillant grève d’une charge super prioritaire les biens faisant l’objet de l’intérêt, encore que le vaste pouvoir conféré au tribunal par l’art. 11 de la </w:t>
      </w:r>
      <w:r w:rsidRPr="00074F59">
        <w:rPr>
          <w:rFonts w:cs="Times New Roman"/>
          <w:i/>
          <w:lang w:val="fr-CA"/>
        </w:rPr>
        <w:t>LACC</w:t>
      </w:r>
      <w:r w:rsidRPr="00074F59">
        <w:rPr>
          <w:rFonts w:cs="Times New Roman"/>
          <w:lang w:val="fr-CA"/>
        </w:rPr>
        <w:t xml:space="preserve"> lui permettrait de le faire. On ne peut pas dire que les biens détenus en fiducie </w:t>
      </w:r>
      <w:r w:rsidRPr="00074F59">
        <w:rPr>
          <w:rFonts w:cs="Times New Roman"/>
          <w:lang w:val="fr-CA"/>
        </w:rPr>
        <w:lastRenderedPageBreak/>
        <w:t xml:space="preserve">appartiennent au fiduciaire parce qu’« en </w:t>
      </w:r>
      <w:r w:rsidRPr="0073351E">
        <w:rPr>
          <w:rFonts w:cs="Times New Roman"/>
          <w:i/>
          <w:lang w:val="fr-CA"/>
        </w:rPr>
        <w:t>equity</w:t>
      </w:r>
      <w:r w:rsidRPr="00074F59">
        <w:rPr>
          <w:rFonts w:cs="Times New Roman"/>
          <w:lang w:val="fr-CA"/>
        </w:rPr>
        <w:t>, ils appartiennent à une autre personne » (</w:t>
      </w:r>
      <w:r w:rsidRPr="00074F59">
        <w:rPr>
          <w:rFonts w:cs="Times New Roman"/>
          <w:i/>
          <w:iCs/>
          <w:lang w:val="fr-CA"/>
        </w:rPr>
        <w:t>Henfrey</w:t>
      </w:r>
      <w:r w:rsidRPr="00074F59">
        <w:rPr>
          <w:rFonts w:cs="Times New Roman"/>
          <w:lang w:val="fr-CA"/>
        </w:rPr>
        <w:t xml:space="preserve">, p. 31). Toutefois, un examen attentif de la nature de l’intérêt créé par le par. 227(4.1) de la </w:t>
      </w:r>
      <w:r w:rsidRPr="00074F59">
        <w:rPr>
          <w:rFonts w:cs="Times New Roman"/>
          <w:i/>
          <w:lang w:val="fr-CA"/>
        </w:rPr>
        <w:t>LIR</w:t>
      </w:r>
      <w:r w:rsidRPr="00074F59">
        <w:rPr>
          <w:rFonts w:cs="Times New Roman"/>
          <w:lang w:val="fr-CA"/>
        </w:rPr>
        <w:t xml:space="preserve"> révèle que ce dernier ne crée pas de propriété bénéficiaire parce que [</w:t>
      </w:r>
      <w:r w:rsidRPr="00074F59">
        <w:rPr>
          <w:rFonts w:cs="Times New Roman"/>
          <w:smallCaps/>
          <w:lang w:val="fr-CA"/>
        </w:rPr>
        <w:t>traduction</w:t>
      </w:r>
      <w:r w:rsidRPr="00074F59">
        <w:rPr>
          <w:rFonts w:cs="Times New Roman"/>
          <w:lang w:val="fr-CA"/>
        </w:rPr>
        <w:t>] « [l]’employeur n’est pas réellement tenu de détenir l’argent séparément, les obligations fiduciaires habituelles d’un fiduciaire sont absentes et la fiducie n’est associée à aucun bien spécifique. Le droit de retraçage s’en trouve lui aussi vicié » (R. J. Wood et R. T. G. Reeson, « The Continuing Saga of the Statutory Deemed Trust</w:t>
      </w:r>
      <w:r>
        <w:rPr>
          <w:rFonts w:cs="Times New Roman"/>
          <w:lang w:val="fr-CA"/>
        </w:rPr>
        <w:t> </w:t>
      </w:r>
      <w:r w:rsidRPr="00074F59">
        <w:rPr>
          <w:rFonts w:cs="Times New Roman"/>
          <w:lang w:val="fr-CA"/>
        </w:rPr>
        <w:t xml:space="preserve">: </w:t>
      </w:r>
      <w:r w:rsidRPr="00074F59">
        <w:rPr>
          <w:rFonts w:cs="Times New Roman"/>
          <w:i/>
          <w:lang w:val="fr-CA"/>
        </w:rPr>
        <w:t>Royal Bank v. Tuxedo Transportation Ltd.</w:t>
      </w:r>
      <w:r w:rsidRPr="00074F59">
        <w:rPr>
          <w:rFonts w:cs="Times New Roman"/>
          <w:lang w:val="fr-CA"/>
        </w:rPr>
        <w:t xml:space="preserve"> » (2000), 15 </w:t>
      </w:r>
      <w:r w:rsidRPr="00074F59">
        <w:rPr>
          <w:rFonts w:cs="Times New Roman"/>
          <w:i/>
          <w:lang w:val="fr-CA"/>
        </w:rPr>
        <w:t>B.F.L.R.</w:t>
      </w:r>
      <w:r w:rsidRPr="00074F59">
        <w:rPr>
          <w:rFonts w:cs="Times New Roman"/>
          <w:lang w:val="fr-CA"/>
        </w:rPr>
        <w:t xml:space="preserve"> 515, p. 532). En d’autres termes, on ne retrouve pas les caractéristiques essentielles qui permettent en common law de qualifier la propriété bénéficiaire d’intérêt à titre de propriétaire.</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Selon la conception que l’on se fait de la fiducie en common law, le propriétaire en common law ou le fiduciaire a une obligation fiduciaire envers le propriétaire en equity ou envers le propriétaire bénéficiaire. La relation fiduciaire attribue à la charge de fiduciaire </w:t>
      </w:r>
      <w:r w:rsidRPr="00074F59">
        <w:rPr>
          <w:rFonts w:cs="Times New Roman"/>
          <w:shd w:val="clear" w:color="auto" w:fill="FFFFFF"/>
          <w:lang w:val="fr-CA"/>
        </w:rPr>
        <w:t xml:space="preserve">trois devoirs fondamentaux : le fiduciaire doit agir honnêtement et de façon habile et prudente; le fiduciaire ne peut déléguer sa charge à autrui et le fiduciaire ne peut tirer un avantage personnel des opérations qu’il mène à l’égard des biens de la fiducie ou de ses rapports avec ses bénéficiaires (voir </w:t>
      </w:r>
      <w:r w:rsidRPr="00074F59">
        <w:rPr>
          <w:rFonts w:cs="Times New Roman"/>
          <w:i/>
          <w:iCs/>
          <w:shd w:val="clear" w:color="auto" w:fill="FFFFFF"/>
          <w:lang w:val="fr-CA"/>
        </w:rPr>
        <w:t>Valard</w:t>
      </w:r>
      <w:r w:rsidRPr="00074F59">
        <w:rPr>
          <w:rFonts w:cs="Times New Roman"/>
          <w:shd w:val="clear" w:color="auto" w:fill="FFFFFF"/>
          <w:lang w:val="fr-CA"/>
        </w:rPr>
        <w:t>, par. 17).</w:t>
      </w:r>
      <w:r w:rsidRPr="00074F59">
        <w:rPr>
          <w:rFonts w:cs="Times New Roman"/>
          <w:lang w:val="fr-CA"/>
        </w:rPr>
        <w:t xml:space="preserve"> Cela limite considérablement la marge de manœuvre du fiduciaire à l’égard des biens visés par la fiducie et crée une relation très différente de celle qui existe entre un débiteur et un créancier. Par exemple, si un débiteur peut chercher à réduire sa dette ou à trouver un compromis, un fiduciaire doit toujours agir dans l’intérêt supérieur du </w:t>
      </w:r>
      <w:r w:rsidRPr="00074F59">
        <w:rPr>
          <w:rFonts w:cs="Times New Roman"/>
          <w:lang w:val="fr-CA"/>
        </w:rPr>
        <w:lastRenderedPageBreak/>
        <w:t xml:space="preserve">bénéficiaire et ne peut tenir compte de ses propres intérêts. De même, alors que le débiteur est redevable envers le créancier tant qu’il n’a pas remboursé sa dette, le fiduciaire n’est pas redevable envers le propriétaire bénéficiaire en cas de perte des biens, à moins que cette perte ne soit attribuable à l’inobservation de la norme de diligence à laquelle il était tenu (voir E. E. Gillese, </w:t>
      </w:r>
      <w:r w:rsidRPr="00074F59">
        <w:rPr>
          <w:rFonts w:cs="Times New Roman"/>
          <w:i/>
          <w:lang w:val="fr-CA"/>
        </w:rPr>
        <w:t>The Law of Trusts</w:t>
      </w:r>
      <w:r w:rsidRPr="00074F59">
        <w:rPr>
          <w:rFonts w:cs="Times New Roman"/>
          <w:lang w:val="fr-CA"/>
        </w:rPr>
        <w:t xml:space="preserve"> (3</w:t>
      </w:r>
      <w:r w:rsidRPr="00074F59">
        <w:rPr>
          <w:rFonts w:cs="Times New Roman"/>
          <w:vertAlign w:val="superscript"/>
          <w:lang w:val="fr-CA"/>
        </w:rPr>
        <w:t>e</w:t>
      </w:r>
      <w:r w:rsidRPr="00074F59">
        <w:rPr>
          <w:rFonts w:cs="Times New Roman"/>
          <w:lang w:val="fr-CA"/>
        </w:rPr>
        <w:t xml:space="preserve"> éd. 2014), p. 14). Dans le cas de la fiducie réputée, cependant, le législateur n’a pas créé une telle relation fiduciaire. Il a expressément envisagé un compromis potentiel entre Sa Majesté et le débiteur au par. 6(3) de la </w:t>
      </w:r>
      <w:r w:rsidRPr="00074F59">
        <w:rPr>
          <w:rFonts w:cs="Times New Roman"/>
          <w:i/>
          <w:lang w:val="fr-CA"/>
        </w:rPr>
        <w:t>LACC</w:t>
      </w:r>
      <w:r w:rsidRPr="00074F59">
        <w:rPr>
          <w:rFonts w:cs="Times New Roman"/>
          <w:lang w:val="fr-CA"/>
        </w:rPr>
        <w:t xml:space="preserve">. En outre, le libellé de la </w:t>
      </w:r>
      <w:r w:rsidRPr="00074F59">
        <w:rPr>
          <w:rFonts w:cs="Times New Roman"/>
          <w:i/>
          <w:iCs/>
          <w:lang w:val="fr-CA"/>
        </w:rPr>
        <w:t>LIR</w:t>
      </w:r>
      <w:r w:rsidRPr="00074F59">
        <w:rPr>
          <w:rFonts w:cs="Times New Roman"/>
          <w:lang w:val="fr-CA"/>
        </w:rPr>
        <w:t xml:space="preserve"> n’oblige pas le débiteur à scinder effectivement les biens assujettis à la fiducie réputée et à les utiliser uniquement au profit de Sa Majesté. En fait, Sa Majesté ne bénéficie pas de l’intérêt qu’elle possède dans le bien tant que celui</w:t>
      </w:r>
      <w:r w:rsidRPr="00074F59">
        <w:rPr>
          <w:rFonts w:cs="Times New Roman"/>
          <w:lang w:val="fr-CA"/>
        </w:rPr>
        <w:noBreakHyphen/>
        <w:t xml:space="preserve">ci est détenu par le débiteur. Le législateur a plutôt envisagé que le débiteur continuerait à utiliser et à aliéner les biens assujettis à la fiducie à ses propres fins commerciales (voir </w:t>
      </w:r>
      <w:r w:rsidRPr="00074F59">
        <w:rPr>
          <w:rFonts w:cs="Times New Roman"/>
          <w:i/>
          <w:lang w:val="fr-CA"/>
        </w:rPr>
        <w:t>First Vancouver</w:t>
      </w:r>
      <w:r w:rsidRPr="00074F59">
        <w:rPr>
          <w:rFonts w:cs="Times New Roman"/>
          <w:lang w:val="fr-CA"/>
        </w:rPr>
        <w:t>, par. 42</w:t>
      </w:r>
      <w:r w:rsidRPr="00074F59">
        <w:rPr>
          <w:rFonts w:cs="Times New Roman"/>
          <w:lang w:val="fr-CA"/>
        </w:rPr>
        <w:noBreakHyphen/>
        <w:t>46).</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Une autre caractéristique essentielle de la propriété bénéficiaire est la certitude quant aux biens assujettis à la fiducie (voir Gillese, p. 39). Bon nombre de fiducies réputées ne satisfont pas au critère de la certitude quant à l’objet. Par exemple, dans l’affaire </w:t>
      </w:r>
      <w:r w:rsidRPr="00074F59">
        <w:rPr>
          <w:rFonts w:cs="Times New Roman"/>
          <w:i/>
          <w:lang w:val="fr-CA"/>
        </w:rPr>
        <w:t>Henfrey</w:t>
      </w:r>
      <w:r w:rsidRPr="00074F59">
        <w:rPr>
          <w:rFonts w:cs="Times New Roman"/>
          <w:lang w:val="fr-CA"/>
        </w:rPr>
        <w:t xml:space="preserve">, la Cour examinait une fiducie réputée créée en vertu de la </w:t>
      </w:r>
      <w:r w:rsidRPr="00074F59">
        <w:rPr>
          <w:rFonts w:cs="Times New Roman"/>
          <w:i/>
          <w:lang w:val="fr-CA"/>
        </w:rPr>
        <w:t>Social Service Tax Act</w:t>
      </w:r>
      <w:r w:rsidRPr="00074F59">
        <w:rPr>
          <w:rFonts w:cs="Times New Roman"/>
          <w:lang w:val="fr-CA"/>
        </w:rPr>
        <w:t>, R.S.B.C. 1979, c. 388, de la Colombie</w:t>
      </w:r>
      <w:r w:rsidRPr="00074F59">
        <w:rPr>
          <w:rFonts w:cs="Times New Roman"/>
          <w:lang w:val="fr-CA"/>
        </w:rPr>
        <w:noBreakHyphen/>
        <w:t xml:space="preserve">Britannique. À l’instar du par. 227(4.1) de la </w:t>
      </w:r>
      <w:r w:rsidRPr="00074F59">
        <w:rPr>
          <w:rFonts w:cs="Times New Roman"/>
          <w:i/>
          <w:lang w:val="fr-CA"/>
        </w:rPr>
        <w:t>LIR</w:t>
      </w:r>
      <w:r w:rsidRPr="00074F59">
        <w:rPr>
          <w:rFonts w:cs="Times New Roman"/>
          <w:lang w:val="fr-CA"/>
        </w:rPr>
        <w:t xml:space="preserve">, la </w:t>
      </w:r>
      <w:r w:rsidRPr="00074F59">
        <w:rPr>
          <w:rFonts w:cs="Times New Roman"/>
          <w:i/>
          <w:lang w:val="fr-CA"/>
        </w:rPr>
        <w:t>Social Service Tax Act</w:t>
      </w:r>
      <w:r w:rsidRPr="00074F59">
        <w:rPr>
          <w:rFonts w:cs="Times New Roman"/>
          <w:lang w:val="fr-CA"/>
        </w:rPr>
        <w:t xml:space="preserve"> prévoyait que l’impôt perçu, mais non versé, était réputé détenu en fiducie pour Sa Majesté. Elle prévoyait également que les montants non versés étaient réputés détenus séparément et ne pas faire partie du patrimoine ou des biens du percepteur d’impôt. Bien que la juge McLachlin ait conclu </w:t>
      </w:r>
      <w:r w:rsidRPr="00074F59">
        <w:rPr>
          <w:rFonts w:cs="Times New Roman"/>
          <w:lang w:val="fr-CA"/>
        </w:rPr>
        <w:lastRenderedPageBreak/>
        <w:t xml:space="preserve">que </w:t>
      </w:r>
      <w:r w:rsidRPr="00074F59">
        <w:rPr>
          <w:rFonts w:cs="Times New Roman"/>
          <w:spacing w:val="-3"/>
          <w:lang w:val="fr-CA"/>
        </w:rPr>
        <w:t>le bien en fiducie était identifiable </w:t>
      </w:r>
      <w:r w:rsidRPr="00074F59">
        <w:rPr>
          <w:rFonts w:cs="Times New Roman"/>
          <w:lang w:val="fr-CA"/>
        </w:rPr>
        <w:t>a</w:t>
      </w:r>
      <w:r w:rsidRPr="00074F59">
        <w:rPr>
          <w:rFonts w:cs="Times New Roman"/>
          <w:spacing w:val="-3"/>
          <w:lang w:val="fr-CA"/>
        </w:rPr>
        <w:t xml:space="preserve">u moment de la perception de la taxe, elle a souligné que « [l]a difficulté que présente l’espèce, qui est la même que dans la plupart des autres cas, vient de ce que le bien en fiducie cesse bientôt d’être identifiable. </w:t>
      </w:r>
      <w:r w:rsidRPr="00074F59">
        <w:rPr>
          <w:rFonts w:cs="Times New Roman"/>
          <w:spacing w:val="-3"/>
          <w:shd w:val="clear" w:color="auto" w:fill="FFFFFF"/>
          <w:lang w:val="fr-CA"/>
        </w:rPr>
        <w:t>Le montant de la taxe est confondu avec d’autres sommes »</w:t>
      </w:r>
      <w:r w:rsidRPr="00074F59">
        <w:rPr>
          <w:rFonts w:cs="Times New Roman"/>
          <w:spacing w:val="-3"/>
          <w:lang w:val="fr-CA"/>
        </w:rPr>
        <w:t xml:space="preserve"> (p. 34). Elle a donc conclu qu’il n’y avait pas de fiducie selon les principes généraux de l’equity. La tentative de la législature de résoudre ce problème en déclarant que ce montant serait réputé détenu séparément du patrimoine du </w:t>
      </w:r>
      <w:r w:rsidRPr="00074F59">
        <w:rPr>
          <w:rFonts w:cs="Times New Roman"/>
          <w:lang w:val="fr-CA"/>
        </w:rPr>
        <w:t>débiteur fiscal n’était qu’une reconnaissance tacite du fait qu’« e</w:t>
      </w:r>
      <w:r w:rsidRPr="00074F59">
        <w:rPr>
          <w:rFonts w:cs="Times New Roman"/>
          <w:spacing w:val="-3"/>
          <w:lang w:val="fr-CA"/>
        </w:rPr>
        <w:t>n réalité, après l’affectation de la somme, la fiducie légale ressemble peu à une fiducie véritable. Il n’y a pas de bien qu’on puisse considérer comme sujet à la fiducie »</w:t>
      </w:r>
      <w:r w:rsidRPr="00074F59">
        <w:rPr>
          <w:rFonts w:cs="Times New Roman"/>
          <w:lang w:val="fr-CA"/>
        </w:rPr>
        <w:t xml:space="preserve"> (p. 34).</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Dans l’affaire </w:t>
      </w:r>
      <w:r w:rsidRPr="00074F59">
        <w:rPr>
          <w:rFonts w:cs="Times New Roman"/>
          <w:i/>
          <w:lang w:val="fr-CA"/>
        </w:rPr>
        <w:t>First Vancouver</w:t>
      </w:r>
      <w:r w:rsidRPr="00074F59">
        <w:rPr>
          <w:rFonts w:cs="Times New Roman"/>
          <w:lang w:val="fr-CA"/>
        </w:rPr>
        <w:t xml:space="preserve">, notre Cour s’est penchée sur la nature de l’intérêt créé par le par. 227(4.1) de la </w:t>
      </w:r>
      <w:r w:rsidRPr="00074F59">
        <w:rPr>
          <w:rFonts w:cs="Times New Roman"/>
          <w:i/>
          <w:lang w:val="fr-CA"/>
        </w:rPr>
        <w:t>LIR</w:t>
      </w:r>
      <w:r w:rsidRPr="00074F59">
        <w:rPr>
          <w:rFonts w:cs="Times New Roman"/>
          <w:lang w:val="fr-CA"/>
        </w:rPr>
        <w:t>. S’exprimant au nom de la Cour, le juge Iacobucci a conclu que cette disposition crée une charge « </w:t>
      </w:r>
      <w:r w:rsidRPr="00074F59">
        <w:rPr>
          <w:rFonts w:cs="Times New Roman"/>
          <w:szCs w:val="24"/>
          <w:shd w:val="clear" w:color="auto" w:fill="FFFFFF"/>
          <w:lang w:val="fr-CA"/>
        </w:rPr>
        <w:t>s’apparentant, sur le plan des principes, à une charge flottante grevant, jusqu’à concurrence du montant en souffrance, l’ensemble des éléments d’actif du débiteur fiscal »</w:t>
      </w:r>
      <w:r w:rsidRPr="00074F59">
        <w:rPr>
          <w:rFonts w:cs="Times New Roman"/>
          <w:lang w:val="fr-CA"/>
        </w:rPr>
        <w:t xml:space="preserve"> (par. 40). Il a conclu que le législateur souhaitait expressément créer une charge qui se caractériserait par une certaine fluidité et qui grèverait d’emblée la totalité des biens du débiteur plutôt qu’un bien en particulier (par. 33). L’intention du législateur était de viser tout bien se retrouvant en la possession du débiteur fiscal tout en permettant à ce dernier de se départir de tout bien et d’assujettir à la fiducie réputée le produit de la disposition de ce bien (par. 5).</w:t>
      </w:r>
    </w:p>
    <w:p w:rsidR="00344043" w:rsidRPr="00074F59" w:rsidRDefault="00344043" w:rsidP="00344043">
      <w:pPr>
        <w:pStyle w:val="ParaNoNdepar-AltN"/>
        <w:spacing w:before="0"/>
        <w:rPr>
          <w:rFonts w:cs="Times New Roman"/>
          <w:lang w:val="fr-CA"/>
        </w:rPr>
      </w:pPr>
      <w:r w:rsidRPr="00074F59">
        <w:rPr>
          <w:rFonts w:cs="Times New Roman"/>
          <w:lang w:val="fr-CA"/>
        </w:rPr>
        <w:lastRenderedPageBreak/>
        <w:t xml:space="preserve">Cette incertitude quant à l’objet de la fiducie est encore plus frappante en l’espèce que dans l’affaire </w:t>
      </w:r>
      <w:r w:rsidRPr="00074F59">
        <w:rPr>
          <w:rFonts w:cs="Times New Roman"/>
          <w:i/>
          <w:lang w:val="fr-CA"/>
        </w:rPr>
        <w:t>Henfrey</w:t>
      </w:r>
      <w:r w:rsidRPr="00074F59">
        <w:rPr>
          <w:rFonts w:cs="Times New Roman"/>
          <w:lang w:val="fr-CA"/>
        </w:rPr>
        <w:t xml:space="preserve"> ou dans l’affaire </w:t>
      </w:r>
      <w:r w:rsidRPr="00074F59">
        <w:rPr>
          <w:rFonts w:cs="Times New Roman"/>
          <w:i/>
          <w:lang w:val="fr-CA"/>
        </w:rPr>
        <w:t>Sparrow Electric</w:t>
      </w:r>
      <w:r w:rsidRPr="00074F59">
        <w:rPr>
          <w:rFonts w:cs="Times New Roman"/>
          <w:lang w:val="fr-CA"/>
        </w:rPr>
        <w:t>, où il y avait certitude quant aux biens jusqu’au moment où ils avaient été confondus avec d’autres biens. Le paragraphe 227(4.1) a vocation de faire entrer dans son champ d’application tous les biens appartenant au débiteur. Malgré le libellé de la disposition, cet intérêt — qui participe de la nature d’une « charge flottante » — n’est associé à aucun bien spécifique. Sans certitude quant à l’objet, l’equity ne peut savoir sur quels biens porte l’obligation fiduciaire du débiteur stipulée au profit du bénéficiaire, de sorte qu’</w:t>
      </w:r>
      <w:r>
        <w:rPr>
          <w:rFonts w:cs="Times New Roman"/>
          <w:lang w:val="fr-CA"/>
        </w:rPr>
        <w:t>on</w:t>
      </w:r>
      <w:r w:rsidRPr="00074F59">
        <w:rPr>
          <w:rFonts w:cs="Times New Roman"/>
          <w:lang w:val="fr-CA"/>
        </w:rPr>
        <w:t xml:space="preserve"> [</w:t>
      </w:r>
      <w:r w:rsidRPr="00074F59">
        <w:rPr>
          <w:rFonts w:cs="Times New Roman"/>
          <w:smallCaps/>
          <w:lang w:val="fr-CA"/>
        </w:rPr>
        <w:t>traduction</w:t>
      </w:r>
      <w:r w:rsidRPr="00074F59">
        <w:rPr>
          <w:rFonts w:cs="Times New Roman"/>
          <w:lang w:val="fr-CA"/>
        </w:rPr>
        <w:t>] « ne peut tout simplement pas justifier l’idée d’une fiducie qui n’est associée à aucun bien précis » (</w:t>
      </w:r>
      <w:r w:rsidRPr="00074F59">
        <w:rPr>
          <w:rFonts w:cs="Times New Roman"/>
          <w:iCs/>
          <w:lang w:val="fr-CA"/>
        </w:rPr>
        <w:t>Wood et Reeson</w:t>
      </w:r>
      <w:r w:rsidRPr="00074F59">
        <w:rPr>
          <w:rFonts w:cs="Times New Roman"/>
          <w:lang w:val="fr-CA"/>
        </w:rPr>
        <w:t>, p. 532</w:t>
      </w:r>
      <w:r w:rsidRPr="00074F59">
        <w:rPr>
          <w:rFonts w:cs="Times New Roman"/>
          <w:lang w:val="fr-CA"/>
        </w:rPr>
        <w:noBreakHyphen/>
        <w:t>533</w:t>
      </w:r>
      <w:r>
        <w:rPr>
          <w:rFonts w:cs="Times New Roman"/>
          <w:lang w:val="fr-CA"/>
        </w:rPr>
        <w:t xml:space="preserve"> (note en</w:t>
      </w:r>
      <w:r w:rsidRPr="00074F59">
        <w:rPr>
          <w:rFonts w:cs="Times New Roman"/>
          <w:lang w:val="fr-CA"/>
        </w:rPr>
        <w:t xml:space="preserve"> bas de page omise); voir aussi </w:t>
      </w:r>
      <w:r w:rsidRPr="00074F59">
        <w:rPr>
          <w:rFonts w:cs="Times New Roman"/>
          <w:i/>
          <w:iCs/>
          <w:lang w:val="fr-CA"/>
        </w:rPr>
        <w:t>Sparrow Electric</w:t>
      </w:r>
      <w:r w:rsidRPr="00074F59">
        <w:rPr>
          <w:rFonts w:cs="Times New Roman"/>
          <w:lang w:val="fr-CA"/>
        </w:rPr>
        <w:t>, par. 31).</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La décision du législateur de dispenser de l’obligation de démontrer la certitude quant à l’objet est une modification intentionnelle qu’il a apportée à la fiducie réputée à la suite de la décision rendue par notre Cour dans </w:t>
      </w:r>
      <w:r w:rsidRPr="00074F59">
        <w:rPr>
          <w:rFonts w:cs="Times New Roman"/>
          <w:i/>
          <w:iCs/>
          <w:lang w:val="fr-CA"/>
        </w:rPr>
        <w:t xml:space="preserve">Dauphin Plains Credit Union Ltd. c. </w:t>
      </w:r>
      <w:r w:rsidRPr="00074F59">
        <w:rPr>
          <w:rFonts w:cs="Times New Roman"/>
          <w:i/>
          <w:lang w:val="fr-CA"/>
        </w:rPr>
        <w:t>Xyloid Industries Ltd.</w:t>
      </w:r>
      <w:r w:rsidRPr="00074F59">
        <w:rPr>
          <w:rFonts w:cs="Times New Roman"/>
          <w:lang w:val="fr-CA"/>
        </w:rPr>
        <w:t xml:space="preserve">, [1980] 1 R.C.S. 1182. Dans l’arrêt </w:t>
      </w:r>
      <w:r w:rsidRPr="00074F59">
        <w:rPr>
          <w:rFonts w:cs="Times New Roman"/>
          <w:i/>
          <w:iCs/>
          <w:lang w:val="fr-CA"/>
        </w:rPr>
        <w:t>Dauphin Plains</w:t>
      </w:r>
      <w:r w:rsidRPr="00074F59">
        <w:rPr>
          <w:rFonts w:cs="Times New Roman"/>
          <w:lang w:val="fr-CA"/>
        </w:rPr>
        <w:t xml:space="preserve">, la Cour a refusé de rendre exécutoire la réclamation de Sa Majesté parce que la Couronne n’avait pas établi que les sommes censées être retenues existaient bel et bien ou qu’elles avaient été conservées de façon à pouvoir être retracées (p. 1197). La possibilité de retracer l’origine des biens est un autre aspect essentiel de l’intérêt bénéficiaire puisqu’elle permet au propriétaire bénéficiaire de profiter des avantages de la propriété, comme les revenus tirés du bien. Elle garantit également que le propriétaire bénéficiaire est responsable des coûts de la propriété. En décidant de </w:t>
      </w:r>
      <w:r w:rsidRPr="00074F59">
        <w:rPr>
          <w:rFonts w:cs="Times New Roman"/>
          <w:lang w:val="fr-CA"/>
        </w:rPr>
        <w:lastRenderedPageBreak/>
        <w:t>n’associer la créance de Sa Majesté à aucun bien en particulier, le législateur a protégé Sa Majesté des risques que comporte la propriété d’un bien, y compris l’endommagement, la dépréciation et la perte. Je suis d’accord avec le juge Gonthier, qui (même s’il était dissident), déclarait au sujet du prédécesseur du par. 227(4.1) : « </w:t>
      </w:r>
      <w:r>
        <w:rPr>
          <w:rFonts w:cs="Times New Roman"/>
          <w:lang w:val="fr-CA"/>
        </w:rPr>
        <w:t>. . . </w:t>
      </w:r>
      <w:r w:rsidRPr="00074F59">
        <w:rPr>
          <w:rFonts w:cs="Times New Roman"/>
          <w:shd w:val="clear" w:color="auto" w:fill="FFFFFF"/>
          <w:lang w:val="fr-CA"/>
        </w:rPr>
        <w:t>ce paragraphe est à l’opposé du sens traditionnel du mot “retracer”, dans la mesure où il ne nécessite aucun lien entre l’objet de la fiducie et le fonds ou l’actif auquel on rattache cet objet »</w:t>
      </w:r>
      <w:r w:rsidRPr="00074F59">
        <w:rPr>
          <w:rFonts w:cs="Times New Roman"/>
          <w:lang w:val="fr-CA"/>
        </w:rPr>
        <w:t xml:space="preserve"> (</w:t>
      </w:r>
      <w:r w:rsidRPr="00074F59">
        <w:rPr>
          <w:rFonts w:cs="Times New Roman"/>
          <w:i/>
          <w:iCs/>
          <w:lang w:val="fr-CA"/>
        </w:rPr>
        <w:t>Sparrow Electric</w:t>
      </w:r>
      <w:r w:rsidRPr="00074F59">
        <w:rPr>
          <w:rFonts w:cs="Times New Roman"/>
          <w:lang w:val="fr-CA"/>
        </w:rPr>
        <w:t>, par. 37). Mais, si le législateur avait voulu conférer un intérêt de propriété bénéficiaire à Sa Majesté, il lui aurait fallu aussi faire supporter à cette dernière les risques qui y sont associés.</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Pour la même raison que dans l’affaire </w:t>
      </w:r>
      <w:r w:rsidRPr="00074F59">
        <w:rPr>
          <w:rFonts w:cs="Times New Roman"/>
          <w:i/>
          <w:lang w:val="fr-CA"/>
        </w:rPr>
        <w:t>Henfrey</w:t>
      </w:r>
      <w:r w:rsidRPr="00074F59">
        <w:rPr>
          <w:rFonts w:cs="Times New Roman"/>
          <w:lang w:val="fr-CA"/>
        </w:rPr>
        <w:t>, l’énoncé selon lequel des biens sont réputés soustraits au patrimoine du débiteur est tout aussi inefficace pour empêcher un juge de grever les biens du débiteur de charges super prioritaires. Puisque la fiducie réputée n’est associée à aucun bien spécifique, et que le débiteur reste libre d’aliéner n’importe lequel de ses biens, aucun bien n’est soustrait en fait de son patrimoine.</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Cette interprétation est appuyée par l’existence du par. 227(4.2) de la </w:t>
      </w:r>
      <w:r w:rsidRPr="00074F59">
        <w:rPr>
          <w:rFonts w:cs="Times New Roman"/>
          <w:i/>
          <w:lang w:val="fr-CA"/>
        </w:rPr>
        <w:t>LIR</w:t>
      </w:r>
      <w:r w:rsidRPr="00074F59">
        <w:rPr>
          <w:rFonts w:cs="Times New Roman"/>
          <w:lang w:val="fr-CA"/>
        </w:rPr>
        <w:t xml:space="preserve">, qui prévoit expressément que d’autres intérêts prennent rang devant la fiducie réputée (ce qui serait impossible s’il existait un intérêt à titre de propriétaire). Il dispose que « [p]our l’application des paragraphes (4) et (4.1), n’est pas une garantie celle qui est visée par règlement ». Dans le </w:t>
      </w:r>
      <w:r w:rsidRPr="00074F59">
        <w:rPr>
          <w:rFonts w:cs="Times New Roman"/>
          <w:i/>
          <w:lang w:val="fr-CA"/>
        </w:rPr>
        <w:t>Règlement de l’impôt sur le revenu</w:t>
      </w:r>
      <w:r w:rsidRPr="00074F59">
        <w:rPr>
          <w:rFonts w:cs="Times New Roman"/>
          <w:lang w:val="fr-CA"/>
        </w:rPr>
        <w:t xml:space="preserve">, C.R.C., c. 945, par. 2201(1), le gouverneur en conseil a défini comme suit la garantie visée par </w:t>
      </w:r>
      <w:r w:rsidRPr="00074F59">
        <w:rPr>
          <w:rFonts w:cs="Times New Roman"/>
          <w:lang w:val="fr-CA"/>
        </w:rPr>
        <w:lastRenderedPageBreak/>
        <w:t>règlement : « </w:t>
      </w:r>
      <w:r>
        <w:rPr>
          <w:rFonts w:cs="Times New Roman"/>
          <w:lang w:val="fr-CA"/>
        </w:rPr>
        <w:t>. . . </w:t>
      </w:r>
      <w:r w:rsidRPr="00074F59">
        <w:rPr>
          <w:rFonts w:cs="Times New Roman"/>
          <w:lang w:val="fr-CA"/>
        </w:rPr>
        <w:t>hypothèque garantissant l’exécution d’une obligation de la personne qui grève un fonds de terre ou un bâtiment, à condition que l’hypothèque soit enregistrée [. . .] avant le moment où la personne est réputée détenir le montant en fiducie ». Par conséquent, dans certaines situations, les créanciers hypothécaires ont priorité sur Sa Majesté.</w:t>
      </w:r>
    </w:p>
    <w:p w:rsidR="00344043" w:rsidRPr="00074F59" w:rsidRDefault="00344043" w:rsidP="00344043">
      <w:pPr>
        <w:pStyle w:val="ParaNoNdepar-AltN"/>
        <w:spacing w:before="0"/>
        <w:rPr>
          <w:rFonts w:cs="Times New Roman"/>
          <w:lang w:val="fr-CA"/>
        </w:rPr>
      </w:pPr>
      <w:r w:rsidRPr="00074F59">
        <w:rPr>
          <w:rFonts w:cs="Times New Roman"/>
          <w:lang w:val="fr-CA"/>
        </w:rPr>
        <w:t>Je répète qu’il ne peut y avoir de fiducie si aucun bien précis n’y est associé. Le fait que le par. 227(4.1) prévoit expressément que la nature des biens change avec le temps, et ce, indépendamment des biens que le débiteur choisit de soustraire à la fiducie réputée, démontre que le législateur avait autre chose en tête que la propriété bénéficiaire au sens où l’entend la common law. Je suis portée à souscrire à l’avis du juge Noël sur le par. 227(4.1) : « Le mécanisme de la fiducie réputée, qu’il soit appliqué au Québec ou ailleurs, a comme effet de créer en faveur de la Couronne une garantie</w:t>
      </w:r>
      <w:r>
        <w:rPr>
          <w:rFonts w:cs="Times New Roman"/>
          <w:lang w:val="fr-CA"/>
        </w:rPr>
        <w:t> . . .</w:t>
      </w:r>
      <w:r w:rsidRPr="00074F59">
        <w:rPr>
          <w:rFonts w:cs="Times New Roman"/>
          <w:lang w:val="fr-CA"/>
        </w:rPr>
        <w:t> » (</w:t>
      </w:r>
      <w:r w:rsidRPr="00074F59">
        <w:rPr>
          <w:rFonts w:cs="Times New Roman"/>
          <w:i/>
          <w:lang w:val="fr-CA"/>
        </w:rPr>
        <w:t>Caisse populaire d’Amos</w:t>
      </w:r>
      <w:r w:rsidRPr="00074F59">
        <w:rPr>
          <w:rFonts w:cs="Times New Roman"/>
          <w:lang w:val="fr-CA"/>
        </w:rPr>
        <w:t>, par. 46).</w:t>
      </w:r>
    </w:p>
    <w:p w:rsidR="00344043" w:rsidRPr="00074F59" w:rsidRDefault="00344043" w:rsidP="00344043">
      <w:pPr>
        <w:pStyle w:val="ParaNoNdepar-AltN"/>
        <w:spacing w:before="0"/>
        <w:rPr>
          <w:rFonts w:cs="Times New Roman"/>
          <w:lang w:val="fr-CA"/>
        </w:rPr>
      </w:pPr>
      <w:r w:rsidRPr="00074F59">
        <w:rPr>
          <w:rFonts w:cs="Times New Roman"/>
          <w:lang w:val="fr-CA"/>
        </w:rPr>
        <w:t>D’autres universitaires sont d’accord pour dire que le par. 227(4.1) [</w:t>
      </w:r>
      <w:r w:rsidRPr="00074F59">
        <w:rPr>
          <w:rFonts w:cs="Times New Roman"/>
          <w:smallCaps/>
          <w:lang w:val="fr-CA"/>
        </w:rPr>
        <w:t>traduction</w:t>
      </w:r>
      <w:r w:rsidRPr="00074F59">
        <w:rPr>
          <w:rFonts w:cs="Times New Roman"/>
          <w:lang w:val="fr-CA"/>
        </w:rPr>
        <w:t>] « garantit simplement le paiement ou l’exécution d’une obligation » (R. J. Wood, « Irresistible Force Meets Immovable Object</w:t>
      </w:r>
      <w:r>
        <w:rPr>
          <w:rFonts w:cs="Times New Roman"/>
          <w:lang w:val="fr-CA"/>
        </w:rPr>
        <w:t> </w:t>
      </w:r>
      <w:r w:rsidRPr="00074F59">
        <w:rPr>
          <w:rFonts w:cs="Times New Roman"/>
          <w:lang w:val="fr-CA"/>
        </w:rPr>
        <w:t xml:space="preserve">: </w:t>
      </w:r>
      <w:r w:rsidRPr="00074F59">
        <w:rPr>
          <w:rFonts w:cs="Times New Roman"/>
          <w:i/>
          <w:lang w:val="fr-CA"/>
        </w:rPr>
        <w:t>Canada v. Canada North Group Inc.</w:t>
      </w:r>
      <w:r w:rsidRPr="00074F59">
        <w:rPr>
          <w:rFonts w:cs="Times New Roman"/>
          <w:lang w:val="fr-CA"/>
        </w:rPr>
        <w:t xml:space="preserve"> » </w:t>
      </w:r>
      <w:r w:rsidRPr="00074F59">
        <w:rPr>
          <w:rFonts w:cs="Times New Roman"/>
          <w:lang w:val="en-US"/>
        </w:rPr>
        <w:t>(2020), 63 </w:t>
      </w:r>
      <w:r w:rsidRPr="00074F59">
        <w:rPr>
          <w:rFonts w:cs="Times New Roman"/>
          <w:i/>
          <w:lang w:val="en-US"/>
        </w:rPr>
        <w:t xml:space="preserve">Rev. can. dr. comm. </w:t>
      </w:r>
      <w:r w:rsidRPr="00074F59">
        <w:rPr>
          <w:rFonts w:cs="Times New Roman"/>
          <w:lang w:val="en-US"/>
        </w:rPr>
        <w:t>85, p. </w:t>
      </w:r>
      <w:r>
        <w:rPr>
          <w:rFonts w:cs="Times New Roman"/>
          <w:lang w:val="en-US"/>
        </w:rPr>
        <w:t>95; voir aussi A. </w:t>
      </w:r>
      <w:r w:rsidRPr="00074F59">
        <w:rPr>
          <w:rFonts w:cs="Times New Roman"/>
          <w:lang w:val="en-US"/>
        </w:rPr>
        <w:t>Duggan et J</w:t>
      </w:r>
      <w:r>
        <w:rPr>
          <w:rFonts w:cs="Times New Roman"/>
          <w:lang w:val="en-US"/>
        </w:rPr>
        <w:t>. </w:t>
      </w:r>
      <w:r w:rsidRPr="00074F59">
        <w:rPr>
          <w:rFonts w:cs="Times New Roman"/>
          <w:lang w:val="en-US"/>
        </w:rPr>
        <w:t xml:space="preserve">Ziegel, « Justice Iacobucci and the Canadian Law of Deemed Trusts and Chattel Security » (2007), 57 </w:t>
      </w:r>
      <w:r w:rsidRPr="00074F59">
        <w:rPr>
          <w:rFonts w:cs="Times New Roman"/>
          <w:i/>
          <w:iCs/>
          <w:lang w:val="en-US"/>
        </w:rPr>
        <w:t>U.T.L.J</w:t>
      </w:r>
      <w:r w:rsidRPr="00074F59">
        <w:rPr>
          <w:rFonts w:cs="Times New Roman"/>
          <w:lang w:val="en-US"/>
        </w:rPr>
        <w:t>. 227, p. 245</w:t>
      </w:r>
      <w:r w:rsidRPr="00074F59">
        <w:rPr>
          <w:rFonts w:cs="Times New Roman"/>
          <w:lang w:val="en-US"/>
        </w:rPr>
        <w:noBreakHyphen/>
        <w:t xml:space="preserve">246). </w:t>
      </w:r>
      <w:r w:rsidRPr="00074F59">
        <w:rPr>
          <w:rFonts w:cs="Times New Roman"/>
          <w:lang w:val="fr-CA"/>
        </w:rPr>
        <w:t>Wood et Reeson en arrivent à la conclusion particulièrement accablante que [</w:t>
      </w:r>
      <w:r w:rsidRPr="00074F59">
        <w:rPr>
          <w:rFonts w:cs="Times New Roman"/>
          <w:smallCaps/>
          <w:lang w:val="fr-CA"/>
        </w:rPr>
        <w:t>traduction</w:t>
      </w:r>
      <w:r w:rsidRPr="00074F59">
        <w:rPr>
          <w:rFonts w:cs="Times New Roman"/>
          <w:lang w:val="fr-CA"/>
        </w:rPr>
        <w:t xml:space="preserve">] « [l]a loi utilise le concept de fiducie, mais à presque tous les égards, les caractéristiques de la fiducie sont </w:t>
      </w:r>
      <w:r w:rsidRPr="00074F59">
        <w:rPr>
          <w:rFonts w:cs="Times New Roman"/>
          <w:lang w:val="fr-CA"/>
        </w:rPr>
        <w:lastRenderedPageBreak/>
        <w:t>absentes », de sorte que « le recours à des concepts juridiques inadaptés » a mené à la création d’une « disposition législative profondément déficiente » (p. 531</w:t>
      </w:r>
      <w:r w:rsidRPr="00074F59">
        <w:rPr>
          <w:rFonts w:cs="Times New Roman"/>
          <w:lang w:val="fr-CA"/>
        </w:rPr>
        <w:noBreakHyphen/>
        <w:t>532). Ils [</w:t>
      </w:r>
      <w:r w:rsidRPr="00074F59">
        <w:rPr>
          <w:rFonts w:cs="Times New Roman"/>
          <w:smallCaps/>
          <w:lang w:val="fr-CA"/>
        </w:rPr>
        <w:t>traduction</w:t>
      </w:r>
      <w:r w:rsidRPr="00074F59">
        <w:rPr>
          <w:rFonts w:cs="Times New Roman"/>
          <w:lang w:val="fr-CA"/>
        </w:rPr>
        <w:t>] « soupçonne[nt] que l’intention des rédacteurs était que Revenu Canada se voit conférer une charge grevant l’ensemble du patrimoine du débiteur », et ajoutent que « la fiducie réputée créée par la loi n’est rien de plus qu’un mécanisme législatif visant à créer une garantie non consensuelle grevant les biens de l’employeur » (p. 533).</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Néanmoins, pour nos besoins, il n’est pas nécessaire de trancher de façon définitive la question de savoir si l’intérêt créé par le par. 227(4.1) doit être qualifié de garantie. Ce qui est clair, en revanche, c’est que le par. 227(4.1) ne crée pas un droit de bénéficiaire qui peut être considéré comme un intérêt à titre de propriétaire. À l’instar de la fiducie réputée dont il était question dans l’affaire </w:t>
      </w:r>
      <w:r w:rsidRPr="00074F59">
        <w:rPr>
          <w:rFonts w:cs="Times New Roman"/>
          <w:i/>
          <w:iCs/>
          <w:lang w:val="fr-CA"/>
        </w:rPr>
        <w:t>Henfrey</w:t>
      </w:r>
      <w:r w:rsidRPr="00074F59">
        <w:rPr>
          <w:rFonts w:cs="Times New Roman"/>
          <w:lang w:val="fr-CA"/>
        </w:rPr>
        <w:t xml:space="preserve">, le par. 227(4.1) « ne confère pas [à la Couronne] le même droit de propriété qu’une fiducie de </w:t>
      </w:r>
      <w:r w:rsidRPr="007F0247">
        <w:rPr>
          <w:rFonts w:cs="Times New Roman"/>
          <w:i/>
          <w:lang w:val="fr-CA"/>
        </w:rPr>
        <w:t>common law</w:t>
      </w:r>
      <w:r w:rsidRPr="00074F59">
        <w:rPr>
          <w:rFonts w:cs="Times New Roman"/>
          <w:lang w:val="fr-CA"/>
        </w:rPr>
        <w:t> » (p. 35</w:t>
      </w:r>
      <w:r>
        <w:rPr>
          <w:rFonts w:cs="Times New Roman"/>
          <w:lang w:val="fr-CA"/>
        </w:rPr>
        <w:t>-36</w:t>
      </w:r>
      <w:r w:rsidRPr="00074F59">
        <w:rPr>
          <w:rFonts w:cs="Times New Roman"/>
          <w:lang w:val="fr-CA"/>
        </w:rPr>
        <w:t xml:space="preserve">). N’étant associé à aucun bien précis, ce qui conférerait à son titulaire le droit habituel à la jouissance du bien ou imposerait les obligations d’un fiduciaire, l’intérêt créé par le par. 227(4.1) ne possède pas les attributs qui permettent à un tribunal de qualifier le bénéficiaire de propriétaire bénéficiaire. Par conséquent, je n’accepte pas l’argument de la Couronne selon lequel Sa Majesté a un intérêt à titre de propriétaire dans les biens du débiteur qui suffit à empêcher le juge surveillant d’ordonner des charges super prioritaires en vertu du pouvoir discrétionnaire que lui confère l’art. 11 de la </w:t>
      </w:r>
      <w:r w:rsidRPr="00074F59">
        <w:rPr>
          <w:rFonts w:cs="Times New Roman"/>
          <w:i/>
          <w:lang w:val="fr-CA"/>
        </w:rPr>
        <w:t>LACC</w:t>
      </w:r>
      <w:r w:rsidRPr="00074F59">
        <w:rPr>
          <w:rFonts w:cs="Times New Roman"/>
          <w:lang w:val="fr-CA"/>
        </w:rPr>
        <w:t xml:space="preserve"> ou l’un ou l’autre des articles qui le suivent.</w:t>
      </w:r>
    </w:p>
    <w:p w:rsidR="00344043" w:rsidRPr="00074F59" w:rsidRDefault="00344043" w:rsidP="00344043">
      <w:pPr>
        <w:pStyle w:val="Title3LevelTitre3Niveau"/>
        <w:spacing w:before="0"/>
        <w:rPr>
          <w:rFonts w:cs="Times New Roman"/>
          <w:i/>
          <w:lang w:val="fr-CA"/>
        </w:rPr>
      </w:pPr>
      <w:r w:rsidRPr="00074F59">
        <w:rPr>
          <w:rFonts w:cs="Times New Roman"/>
          <w:lang w:val="fr-CA"/>
        </w:rPr>
        <w:lastRenderedPageBreak/>
        <w:t xml:space="preserve">Le paragraphe 227(4.1) de la </w:t>
      </w:r>
      <w:r w:rsidRPr="007F0247">
        <w:rPr>
          <w:rFonts w:cs="Times New Roman"/>
          <w:i/>
          <w:lang w:val="fr-CA"/>
        </w:rPr>
        <w:t>LIR</w:t>
      </w:r>
      <w:r w:rsidRPr="00074F59">
        <w:rPr>
          <w:rFonts w:cs="Times New Roman"/>
          <w:lang w:val="fr-CA"/>
        </w:rPr>
        <w:t xml:space="preserve"> crée</w:t>
      </w:r>
      <w:r w:rsidRPr="00074F59">
        <w:rPr>
          <w:rFonts w:cs="Times New Roman"/>
          <w:lang w:val="fr-CA"/>
        </w:rPr>
        <w:noBreakHyphen/>
        <w:t>t</w:t>
      </w:r>
      <w:r w:rsidRPr="00074F59">
        <w:rPr>
          <w:rFonts w:cs="Times New Roman"/>
          <w:lang w:val="fr-CA"/>
        </w:rPr>
        <w:noBreakHyphen/>
        <w:t>il une super priorité qui entre en conflit avec une charge super prioritaire d’origine judiciaire?</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La Couronne s’appuie également sur la partie du par. 227(4.1) suivant laquelle le receveur général reçoit le produit découlant des biens du débiteur « par priorité sur une telle garantie », au sens du par. 224(1.3). De l’avis de la Couronne, les charges super prioritaires ordonnées par le tribunal en vertu de l’art. 11 de la </w:t>
      </w:r>
      <w:r w:rsidRPr="00074F59">
        <w:rPr>
          <w:rFonts w:cs="Times New Roman"/>
          <w:i/>
          <w:lang w:val="fr-CA"/>
        </w:rPr>
        <w:t>LACC</w:t>
      </w:r>
      <w:r w:rsidRPr="00074F59">
        <w:rPr>
          <w:rFonts w:cs="Times New Roman"/>
          <w:lang w:val="fr-CA"/>
        </w:rPr>
        <w:t xml:space="preserve"> ou de l’un ou l’autre des articles qui le suivent sont des garanties au sens du par. 224(1.3) et, partant, l’intérêt de Sa Majesté a priorité sur elles.</w:t>
      </w:r>
    </w:p>
    <w:p w:rsidR="00344043" w:rsidRPr="00074F59" w:rsidRDefault="00344043" w:rsidP="00344043">
      <w:pPr>
        <w:pStyle w:val="ParaNoNdepar-AltN"/>
        <w:spacing w:before="0"/>
        <w:rPr>
          <w:rFonts w:cs="Times New Roman"/>
          <w:lang w:val="fr-CA"/>
        </w:rPr>
      </w:pPr>
      <w:r w:rsidRPr="00074F59">
        <w:rPr>
          <w:rFonts w:cs="Times New Roman"/>
          <w:lang w:val="fr-CA"/>
        </w:rPr>
        <w:t>Mes collègues les juges Brown et Rowe invoquent l’historique législatif du par. 227(4.1) comme preuve que le législateur voulait que la fiducie réputée de Sa Majesté ait une « priorité absolue » sur toutes les autres garanties (par. </w:t>
      </w:r>
      <w:r w:rsidRPr="007F0247">
        <w:rPr>
          <w:rFonts w:cs="Times New Roman"/>
          <w:lang w:val="fr-CA"/>
        </w:rPr>
        <w:t>201</w:t>
      </w:r>
      <w:r w:rsidRPr="00074F59">
        <w:rPr>
          <w:rFonts w:cs="Times New Roman"/>
          <w:lang w:val="fr-CA"/>
        </w:rPr>
        <w:t xml:space="preserve">). Ils s’appuient en particulier sur le commentaire du juge Iacobucci dans l’arrêt </w:t>
      </w:r>
      <w:r w:rsidRPr="00074F59">
        <w:rPr>
          <w:rFonts w:cs="Times New Roman"/>
          <w:i/>
          <w:iCs/>
          <w:lang w:val="fr-CA"/>
        </w:rPr>
        <w:t>Sparrow Electric</w:t>
      </w:r>
      <w:r w:rsidRPr="00074F59">
        <w:rPr>
          <w:rFonts w:cs="Times New Roman"/>
          <w:lang w:val="fr-CA"/>
        </w:rPr>
        <w:t xml:space="preserve"> selon lequel « il </w:t>
      </w:r>
      <w:r w:rsidRPr="00074F59">
        <w:rPr>
          <w:rFonts w:cs="Times New Roman"/>
          <w:shd w:val="clear" w:color="auto" w:fill="FFFFFF"/>
          <w:lang w:val="fr-CA"/>
        </w:rPr>
        <w:t xml:space="preserve">est loisible au législateur d’intervenir et d’accorder la priorité absolue à la fiducie réputée » en employant les mots « doi[vent] être payée[s] au receveur général par priorité sur toute autre garantie au titre de ce[s] somme[s] » </w:t>
      </w:r>
      <w:r w:rsidRPr="00074F59">
        <w:rPr>
          <w:rFonts w:cs="Times New Roman"/>
          <w:lang w:val="fr-CA"/>
        </w:rPr>
        <w:t>(motifs des juges Brown et Rowe, par. </w:t>
      </w:r>
      <w:r w:rsidRPr="007F0247">
        <w:rPr>
          <w:rFonts w:cs="Times New Roman"/>
          <w:lang w:val="fr-CA"/>
        </w:rPr>
        <w:t>202</w:t>
      </w:r>
      <w:r w:rsidRPr="00074F59">
        <w:rPr>
          <w:rFonts w:cs="Times New Roman"/>
          <w:lang w:val="fr-CA"/>
        </w:rPr>
        <w:t xml:space="preserve">, citant </w:t>
      </w:r>
      <w:r w:rsidRPr="00074F59">
        <w:rPr>
          <w:rFonts w:cs="Times New Roman"/>
          <w:i/>
          <w:iCs/>
          <w:lang w:val="fr-CA"/>
        </w:rPr>
        <w:t>Sparrow Electric</w:t>
      </w:r>
      <w:r w:rsidRPr="00074F59">
        <w:rPr>
          <w:rFonts w:cs="Times New Roman"/>
          <w:lang w:val="fr-CA"/>
        </w:rPr>
        <w:t>, par. 112). Ils s’appuient également sur le communiqué de presse accompagnant les modifications qui indiquait que la fiducie réputée devait avoir priorité absolue.</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Avec égards, je ne suis pas d’accord avec ce raisonnement. L’affaire </w:t>
      </w:r>
      <w:r w:rsidRPr="00074F59">
        <w:rPr>
          <w:rFonts w:cs="Times New Roman"/>
          <w:i/>
          <w:iCs/>
          <w:lang w:val="fr-CA"/>
        </w:rPr>
        <w:t>Sparrow</w:t>
      </w:r>
      <w:r w:rsidRPr="00074F59">
        <w:rPr>
          <w:rFonts w:cs="Times New Roman"/>
          <w:lang w:val="fr-CA"/>
        </w:rPr>
        <w:t xml:space="preserve"> </w:t>
      </w:r>
      <w:r w:rsidRPr="00074F59">
        <w:rPr>
          <w:rFonts w:cs="Times New Roman"/>
          <w:i/>
          <w:iCs/>
          <w:lang w:val="fr-CA"/>
        </w:rPr>
        <w:t>Electric</w:t>
      </w:r>
      <w:r w:rsidRPr="00074F59">
        <w:rPr>
          <w:rFonts w:cs="Times New Roman"/>
          <w:lang w:val="fr-CA"/>
        </w:rPr>
        <w:t xml:space="preserve"> portait sur un type d’intérêt très différent de celui dont nous avons à traiter aujourd’hui. Dans l’arrêt </w:t>
      </w:r>
      <w:r w:rsidRPr="00074F59">
        <w:rPr>
          <w:rFonts w:cs="Times New Roman"/>
          <w:i/>
          <w:iCs/>
          <w:lang w:val="fr-CA"/>
        </w:rPr>
        <w:t>Sparrow Electric</w:t>
      </w:r>
      <w:r w:rsidRPr="00074F59">
        <w:rPr>
          <w:rFonts w:cs="Times New Roman"/>
          <w:lang w:val="fr-CA"/>
        </w:rPr>
        <w:t xml:space="preserve">, notre Cour a jugé qu’une charge fixe </w:t>
      </w:r>
      <w:r w:rsidRPr="00074F59">
        <w:rPr>
          <w:rFonts w:cs="Times New Roman"/>
          <w:lang w:val="fr-CA"/>
        </w:rPr>
        <w:lastRenderedPageBreak/>
        <w:t xml:space="preserve">et spécifique grevant les stocks du débiteur fiscal avait priorité sur la fiducie réputée que la </w:t>
      </w:r>
      <w:r w:rsidRPr="00074F59">
        <w:rPr>
          <w:rFonts w:cs="Times New Roman"/>
          <w:i/>
          <w:lang w:val="fr-CA"/>
        </w:rPr>
        <w:t>LIR</w:t>
      </w:r>
      <w:r w:rsidRPr="00074F59">
        <w:rPr>
          <w:rFonts w:cs="Times New Roman"/>
          <w:lang w:val="fr-CA"/>
        </w:rPr>
        <w:t xml:space="preserve"> constitue en faveur de Sa Majesté. Les modifications cherchaient donc à « préciser que les fiducies [réputées] relatives aux retenues à la source non versées et à la TPS impayée s’appliquent indépendamment du fait que d’autres garanties aient été consenties à l’égard des stocks ou des comptes clients d’une entreprise » (</w:t>
      </w:r>
      <w:r>
        <w:rPr>
          <w:rFonts w:cs="Times New Roman"/>
          <w:lang w:val="fr-CA"/>
        </w:rPr>
        <w:t>M</w:t>
      </w:r>
      <w:r w:rsidRPr="00074F59">
        <w:rPr>
          <w:rFonts w:cs="Times New Roman"/>
          <w:lang w:val="fr-CA"/>
        </w:rPr>
        <w:t xml:space="preserve">inistère des Finances du Canada, </w:t>
      </w:r>
      <w:r w:rsidRPr="00074F59">
        <w:rPr>
          <w:rFonts w:cs="Times New Roman"/>
          <w:i/>
          <w:lang w:val="fr-CA"/>
        </w:rPr>
        <w:t>Retenues à la source non versées et TPS impayée</w:t>
      </w:r>
      <w:r w:rsidRPr="00074F59">
        <w:rPr>
          <w:rFonts w:cs="Times New Roman"/>
          <w:lang w:val="fr-CA"/>
        </w:rPr>
        <w:t xml:space="preserve"> (7 avril 1997), p. 2). Si le législateur avait voulu que la fiducie réputée ait priorité absolue, il n’aurait pas adopté simultanément le par. 227(4.2). Comme je l’ai mentionné plus haut, le par. 227(4.2) prévoit que « n’est pas une garantie celle qui est visée par règlement », et il envisage donc expressément que la fiducie réputée ne bénéficie pas d’une priorité absolue. À mon avis, en utilisant les mots « par priorité sur une telle garantie » au par. 227(4.1), le législateur voulait que la priorité soit absolue non pas sur toutes les garanties possibles, mais seulement sur les garanties au sens où on l’entend au par. 224(1.3). Il faut donc déterminer si une charge super prioritaire ordonnée par le tribunal en vertu de la </w:t>
      </w:r>
      <w:r w:rsidRPr="00074F59">
        <w:rPr>
          <w:rFonts w:cs="Times New Roman"/>
          <w:i/>
          <w:lang w:val="fr-CA"/>
        </w:rPr>
        <w:t>LACC</w:t>
      </w:r>
      <w:r w:rsidRPr="00074F59">
        <w:rPr>
          <w:rFonts w:cs="Times New Roman"/>
          <w:lang w:val="fr-CA"/>
        </w:rPr>
        <w:t xml:space="preserve"> répond à cette définition.</w:t>
      </w:r>
    </w:p>
    <w:p w:rsidR="00344043" w:rsidRPr="00074F59" w:rsidRDefault="00344043" w:rsidP="00344043">
      <w:pPr>
        <w:pStyle w:val="ParaNoNdepar-AltN"/>
        <w:spacing w:before="0"/>
        <w:rPr>
          <w:rFonts w:cs="Times New Roman"/>
          <w:lang w:val="fr-CA"/>
        </w:rPr>
      </w:pPr>
      <w:r w:rsidRPr="00074F59">
        <w:rPr>
          <w:rFonts w:cs="Times New Roman"/>
          <w:lang w:val="fr-CA"/>
        </w:rPr>
        <w:t>Voici la version anglaise du par. 224(1.3) :</w:t>
      </w:r>
    </w:p>
    <w:p w:rsidR="00344043" w:rsidRPr="00074F59" w:rsidRDefault="00344043" w:rsidP="00344043">
      <w:pPr>
        <w:pStyle w:val="Citation-AltC"/>
        <w:ind w:hanging="446"/>
        <w:contextualSpacing w:val="0"/>
        <w:rPr>
          <w:lang w:val="en-US"/>
        </w:rPr>
      </w:pPr>
      <w:r w:rsidRPr="00074F59">
        <w:rPr>
          <w:rStyle w:val="HTMLDefinition"/>
          <w:b/>
          <w:lang w:val="fr-CA"/>
        </w:rPr>
        <w:tab/>
      </w:r>
      <w:r w:rsidRPr="007F0247">
        <w:rPr>
          <w:rStyle w:val="HTMLDefinition"/>
          <w:b/>
        </w:rPr>
        <w:t>security interest</w:t>
      </w:r>
      <w:r w:rsidRPr="007F0247">
        <w:rPr>
          <w:i/>
        </w:rPr>
        <w:t> </w:t>
      </w:r>
      <w:r w:rsidRPr="007F0247">
        <w:rPr>
          <w:i/>
        </w:rPr>
        <w:t>means any interest in, or for civil law any right in, property that secures payment or performance of an obligation and includes an interest, or for civil law a right, created by or arising out of a debenture, mortgage, hypothec, lien, pledge, charge, deemed or actual trust, assignment or encumbrance of any kind whatever, however or whenever arising, created, deemed to arise or otherwise provided for</w:t>
      </w:r>
      <w:r w:rsidRPr="007F0247">
        <w:rPr>
          <w:i/>
          <w:lang w:val="en-US"/>
        </w:rPr>
        <w:t> </w:t>
      </w:r>
      <w:r>
        <w:rPr>
          <w:lang w:val="en-US"/>
        </w:rPr>
        <w:t>. . .</w:t>
      </w:r>
    </w:p>
    <w:p w:rsidR="00344043" w:rsidRPr="00074F59" w:rsidRDefault="00344043" w:rsidP="00344043">
      <w:pPr>
        <w:pStyle w:val="ParaNoNdepar-AltN"/>
        <w:spacing w:before="0"/>
        <w:rPr>
          <w:rFonts w:cs="Times New Roman"/>
          <w:spacing w:val="-3"/>
          <w:lang w:val="fr-CA"/>
        </w:rPr>
      </w:pPr>
      <w:r w:rsidRPr="00074F59">
        <w:rPr>
          <w:rFonts w:cs="Times New Roman"/>
          <w:lang w:val="fr-CA"/>
        </w:rPr>
        <w:lastRenderedPageBreak/>
        <w:t xml:space="preserve">Cette définition est large. Il ressort toutefois de la liste d’exemples de garanties qu’une charge super prioritaire créée en vertu de la </w:t>
      </w:r>
      <w:r w:rsidRPr="00074F59">
        <w:rPr>
          <w:rFonts w:cs="Times New Roman"/>
          <w:i/>
          <w:lang w:val="fr-CA"/>
        </w:rPr>
        <w:t>LACC</w:t>
      </w:r>
      <w:r w:rsidRPr="00074F59">
        <w:rPr>
          <w:rFonts w:cs="Times New Roman"/>
          <w:lang w:val="fr-CA"/>
        </w:rPr>
        <w:t xml:space="preserve"> n’y répond pas. Les charges super prioritaires d’origine judiciaire sont radicalement différentes de n’importe quel des intérêts énumérés. Ces charges super prioritaires sont constituées non pas au seul bénéfice de leur détenteur, mais pour faciliter la restructuration dans l’intérêt de toutes les parties prenantes. Elles bénéficient ainsi à l’ensemble des créanciers. Le fait que le législateur a choisi de dresser une liste d’exemples de nature tellement différente d’une charge super prioritaire démontre qu’il avait sûrement à l’esprit une garantie fort différente au moment où il a rédigé le par. 224(1.3). Je suis tout à fait d’accord avec le professeur Wood au sujet du nombre limité de garanties qu’avait en tête le législateur :</w:t>
      </w:r>
    </w:p>
    <w:p w:rsidR="00344043" w:rsidRPr="00074F59" w:rsidRDefault="00344043" w:rsidP="00344043">
      <w:pPr>
        <w:pStyle w:val="Citation-AltC"/>
        <w:ind w:hanging="446"/>
        <w:contextualSpacing w:val="0"/>
        <w:rPr>
          <w:lang w:val="fr-CA"/>
        </w:rPr>
      </w:pPr>
      <w:r w:rsidRPr="00074F59">
        <w:rPr>
          <w:lang w:val="fr-CA"/>
        </w:rPr>
        <w:tab/>
      </w:r>
      <w:r w:rsidRPr="007F0247">
        <w:rPr>
          <w:lang w:val="fr-CA"/>
        </w:rPr>
        <w:t>[</w:t>
      </w:r>
      <w:r w:rsidRPr="007F0247">
        <w:rPr>
          <w:smallCaps/>
          <w:lang w:val="fr-CA"/>
        </w:rPr>
        <w:t>traduction</w:t>
      </w:r>
      <w:r w:rsidRPr="007F0247">
        <w:rPr>
          <w:lang w:val="fr-CA"/>
        </w:rPr>
        <w:t>]</w:t>
      </w:r>
      <w:r>
        <w:rPr>
          <w:lang w:val="fr-CA"/>
        </w:rPr>
        <w:t xml:space="preserve"> </w:t>
      </w:r>
      <w:r w:rsidRPr="00074F59">
        <w:rPr>
          <w:lang w:val="fr-CA"/>
        </w:rPr>
        <w:t xml:space="preserve">[Les charges super prioritaires d’origine judiciaire] sont d’une nature radicalement différente de celle des garanties résultant de l’accord intervenu entre les parties ou des garanties non consensuelles découlant de l’application de la loi. </w:t>
      </w:r>
      <w:r w:rsidRPr="00074F59">
        <w:rPr>
          <w:u w:val="single"/>
          <w:lang w:val="fr-CA"/>
        </w:rPr>
        <w:t>Elles se distinguent des garanties consensuelles et non consensuelles classiques en ce qu’elles sont intimement liées aux procédures d’insolvabilité qui se déroulent au profit de l’ensemble des créanciers</w:t>
      </w:r>
      <w:r w:rsidRPr="007F0247">
        <w:rPr>
          <w:u w:val="single"/>
          <w:lang w:val="fr-CA"/>
        </w:rPr>
        <w:t>.</w:t>
      </w:r>
      <w:r w:rsidRPr="00074F59">
        <w:rPr>
          <w:lang w:val="fr-CA"/>
        </w:rPr>
        <w:t xml:space="preserve"> Étant donné le caractère radicalement différent des charges d’origine judiciaire, il serait raisonnable de s’attendre à ce qu’elles soient expressément mentionnées dans la définition de « garantie » qui figure dans la </w:t>
      </w:r>
      <w:r w:rsidRPr="007F0247">
        <w:rPr>
          <w:lang w:val="fr-CA"/>
        </w:rPr>
        <w:t>LIR</w:t>
      </w:r>
      <w:r w:rsidRPr="00074F59">
        <w:rPr>
          <w:lang w:val="fr-CA"/>
        </w:rPr>
        <w:t xml:space="preserve"> si elles devaient en faire partie. [Je souligne; p. 98.]</w:t>
      </w:r>
    </w:p>
    <w:p w:rsidR="00344043" w:rsidRPr="00074F59" w:rsidRDefault="00344043" w:rsidP="00344043">
      <w:pPr>
        <w:pStyle w:val="ParaNoNdepar-AltN"/>
        <w:spacing w:before="0"/>
        <w:rPr>
          <w:rFonts w:cs="Times New Roman"/>
          <w:spacing w:val="-3"/>
          <w:lang w:val="fr-CA"/>
        </w:rPr>
      </w:pPr>
      <w:r w:rsidRPr="00074F59">
        <w:rPr>
          <w:rFonts w:cs="Times New Roman"/>
          <w:lang w:val="fr-CA"/>
        </w:rPr>
        <w:t>Mes collègues les juges Brown et Rowe soutiennent que l’interprétation exposée ci</w:t>
      </w:r>
      <w:r w:rsidRPr="00074F59">
        <w:rPr>
          <w:rFonts w:cs="Times New Roman"/>
          <w:lang w:val="fr-CA"/>
        </w:rPr>
        <w:noBreakHyphen/>
        <w:t xml:space="preserve">dessus du par. 224(1.3) va à l’encontre de l’arrêt </w:t>
      </w:r>
      <w:r w:rsidRPr="00074F59">
        <w:rPr>
          <w:rFonts w:cs="Times New Roman"/>
          <w:i/>
          <w:lang w:val="fr-CA"/>
        </w:rPr>
        <w:t>Caisse populaire Desjardins de l’Est de Drummond</w:t>
      </w:r>
      <w:r w:rsidRPr="00074F59">
        <w:rPr>
          <w:rFonts w:cs="Times New Roman"/>
          <w:lang w:val="fr-CA"/>
        </w:rPr>
        <w:t xml:space="preserve"> de notre Cour, où le juge Rothstein a écrit que les exemples donnés « </w:t>
      </w:r>
      <w:r w:rsidRPr="00074F59">
        <w:rPr>
          <w:rFonts w:cs="Times New Roman"/>
          <w:szCs w:val="24"/>
          <w:lang w:val="fr-CA"/>
        </w:rPr>
        <w:t xml:space="preserve">n’[ont] pas pour effet de limiter la portée générale de l’expression </w:t>
      </w:r>
      <w:r w:rsidRPr="00074F59">
        <w:rPr>
          <w:rFonts w:cs="Times New Roman"/>
          <w:szCs w:val="24"/>
          <w:lang w:val="fr-CA"/>
        </w:rPr>
        <w:lastRenderedPageBreak/>
        <w:t xml:space="preserve">“[d]roit sur un bien” » </w:t>
      </w:r>
      <w:r w:rsidRPr="00074F59">
        <w:rPr>
          <w:rFonts w:cs="Times New Roman"/>
          <w:lang w:val="fr-CA"/>
        </w:rPr>
        <w:t>(par. 15; voir aussi par. 14). Avec égards, je ne suis pas d’accord avec mes collègues. Comme l’a expliqué le juge Rothstein au par. 40, il a fait ses commentaires en réponse à l’argument selon lequel la liste des exemples de garanties était exhaustive. Je conviens avec lui que la liste des exemples fournis ne l’était pas. Cependant, les exemples illustrent toujours les types de garantie qu’avait à l’esprit le législateur et celles</w:t>
      </w:r>
      <w:r w:rsidRPr="00074F59">
        <w:rPr>
          <w:rFonts w:cs="Times New Roman"/>
          <w:lang w:val="fr-CA"/>
        </w:rPr>
        <w:noBreakHyphen/>
        <w:t>ci sont clairement unies par une catégorie ou un thème commun parce que, dans la version anglaise du texte de loi, le législateur a structuré sa définition autour des termes « </w:t>
      </w:r>
      <w:r w:rsidRPr="00074F59">
        <w:rPr>
          <w:rFonts w:cs="Times New Roman"/>
          <w:i/>
          <w:iCs/>
          <w:lang w:val="fr-CA"/>
        </w:rPr>
        <w:t>means </w:t>
      </w:r>
      <w:r w:rsidRPr="007F0247">
        <w:rPr>
          <w:rFonts w:cs="Times New Roman"/>
          <w:iCs/>
          <w:lang w:val="fr-CA"/>
        </w:rPr>
        <w:t>[. . .]</w:t>
      </w:r>
      <w:r w:rsidRPr="00074F59">
        <w:rPr>
          <w:rFonts w:cs="Times New Roman"/>
          <w:i/>
          <w:iCs/>
          <w:lang w:val="fr-CA"/>
        </w:rPr>
        <w:t xml:space="preserve"> and includes</w:t>
      </w:r>
      <w:r w:rsidRPr="00074F59">
        <w:rPr>
          <w:rFonts w:cs="Times New Roman"/>
          <w:lang w:val="fr-CA"/>
        </w:rPr>
        <w:t> » : « </w:t>
      </w:r>
      <w:r w:rsidRPr="00074F59">
        <w:rPr>
          <w:rFonts w:cs="Times New Roman"/>
          <w:i/>
          <w:lang w:val="fr-CA"/>
        </w:rPr>
        <w:t>security interest</w:t>
      </w:r>
      <w:r w:rsidRPr="00074F59">
        <w:rPr>
          <w:rFonts w:cs="Times New Roman"/>
          <w:lang w:val="fr-CA"/>
        </w:rPr>
        <w:t xml:space="preserve"> </w:t>
      </w:r>
      <w:r w:rsidRPr="00074F59">
        <w:rPr>
          <w:rFonts w:cs="Times New Roman"/>
          <w:i/>
          <w:u w:val="single"/>
          <w:lang w:val="fr-CA"/>
        </w:rPr>
        <w:t>means</w:t>
      </w:r>
      <w:r w:rsidRPr="00074F59">
        <w:rPr>
          <w:rFonts w:cs="Times New Roman"/>
          <w:i/>
          <w:lang w:val="fr-CA"/>
        </w:rPr>
        <w:t xml:space="preserve"> any interest in, or for civil law any right in, property that secures payment or performance of an obligation </w:t>
      </w:r>
      <w:r w:rsidRPr="00074F59">
        <w:rPr>
          <w:rFonts w:cs="Times New Roman"/>
          <w:i/>
          <w:u w:val="single"/>
          <w:lang w:val="fr-CA"/>
        </w:rPr>
        <w:t>and includes</w:t>
      </w:r>
      <w:r>
        <w:rPr>
          <w:rFonts w:cs="Times New Roman"/>
          <w:i/>
          <w:u w:val="single"/>
          <w:lang w:val="fr-CA"/>
        </w:rPr>
        <w:t> . . .</w:t>
      </w:r>
      <w:r w:rsidRPr="00074F59">
        <w:rPr>
          <w:rFonts w:cs="Times New Roman"/>
          <w:lang w:val="fr-CA"/>
        </w:rPr>
        <w:t xml:space="preserve"> » À mon avis, cette formulation témoigne de l’intention du législateur de restreindre la portée de l’énumération, si bien que seuls les instruments énumérés ou les instruments de nature similaire répondent à la définition. La différence essentielle entre les garanties énumérées et les charges super prioritaires constituées en vertu de l’art. 11 de la </w:t>
      </w:r>
      <w:r w:rsidRPr="00074F59">
        <w:rPr>
          <w:rFonts w:cs="Times New Roman"/>
          <w:i/>
          <w:lang w:val="fr-CA"/>
        </w:rPr>
        <w:t>LACC</w:t>
      </w:r>
      <w:r w:rsidRPr="00074F59">
        <w:rPr>
          <w:rFonts w:cs="Times New Roman"/>
          <w:lang w:val="fr-CA"/>
        </w:rPr>
        <w:t xml:space="preserve"> ou de l’un ou l’autre des articles qui le suivent explique à la fois leur exclusion de la liste des instruments spécifiques et le fait qu’elles ne sauraient être visées par la définition plus large du terme « charge » à la fin de cette liste. La règle </w:t>
      </w:r>
      <w:r w:rsidRPr="00074F59">
        <w:rPr>
          <w:rFonts w:cs="Times New Roman"/>
          <w:i/>
          <w:lang w:val="fr-CA"/>
        </w:rPr>
        <w:t xml:space="preserve">ejusdem generis </w:t>
      </w:r>
      <w:r w:rsidRPr="00074F59">
        <w:rPr>
          <w:rFonts w:cs="Times New Roman"/>
          <w:lang w:val="fr-CA"/>
        </w:rPr>
        <w:t>appuie cette position en limitant la portée générale des derniers termes sur la base de l’énumér</w:t>
      </w:r>
      <w:r>
        <w:rPr>
          <w:rFonts w:cs="Times New Roman"/>
          <w:lang w:val="fr-CA"/>
        </w:rPr>
        <w:t>ation des exemples précis qui les</w:t>
      </w:r>
      <w:r w:rsidRPr="00074F59">
        <w:rPr>
          <w:rFonts w:cs="Times New Roman"/>
          <w:lang w:val="fr-CA"/>
        </w:rPr>
        <w:t xml:space="preserve"> précède (</w:t>
      </w:r>
      <w:r w:rsidRPr="00074F59">
        <w:rPr>
          <w:rFonts w:cs="Times New Roman"/>
          <w:i/>
          <w:iCs/>
          <w:lang w:val="fr-CA"/>
        </w:rPr>
        <w:t>Banque nationale de Grèce (Canada) c. Katsikonouris</w:t>
      </w:r>
      <w:r w:rsidRPr="00074F59">
        <w:rPr>
          <w:rFonts w:cs="Times New Roman"/>
          <w:lang w:val="fr-CA"/>
        </w:rPr>
        <w:t>, [1990] 2 R.C.S. 1029, p. 1040). Tous les autres instruments sont le résultat d’un accord ou de l’application de la loi. Par conséquent, les charges super prioritaires ordonnées par un tribunal en vertu de l’art. 11 ou de l’un ou l’autre des articles qui le suivent sont d’un type différent de toutes les garanties figurant dans l’énumération.</w:t>
      </w:r>
    </w:p>
    <w:p w:rsidR="00344043" w:rsidRPr="00074F59" w:rsidRDefault="00344043" w:rsidP="00344043">
      <w:pPr>
        <w:pStyle w:val="ParaNoNdepar-AltN"/>
        <w:spacing w:before="0"/>
        <w:rPr>
          <w:rFonts w:cs="Times New Roman"/>
          <w:lang w:val="fr-CA"/>
        </w:rPr>
      </w:pPr>
      <w:r w:rsidRPr="00074F59">
        <w:rPr>
          <w:rFonts w:cs="Times New Roman"/>
          <w:lang w:val="fr-CA"/>
        </w:rPr>
        <w:lastRenderedPageBreak/>
        <w:t xml:space="preserve">Recourir à la liste d’exemples précis pour établir l’intention du législateur en l’espèce s’accorde aussi avec la présomption d’absence de tautologie. Dans l’arrêt </w:t>
      </w:r>
      <w:r w:rsidRPr="00074F59">
        <w:rPr>
          <w:rFonts w:cs="Times New Roman"/>
          <w:i/>
          <w:lang w:val="fr-CA"/>
        </w:rPr>
        <w:t>McDiarmid Lumber Ltd. c. Première Nation de God’s Lake</w:t>
      </w:r>
      <w:r w:rsidRPr="007F0247">
        <w:rPr>
          <w:rFonts w:cs="Times New Roman"/>
          <w:lang w:val="fr-CA"/>
        </w:rPr>
        <w:t xml:space="preserve">, </w:t>
      </w:r>
      <w:r w:rsidRPr="00074F59">
        <w:rPr>
          <w:rFonts w:cs="Times New Roman"/>
          <w:lang w:val="fr-CA"/>
        </w:rPr>
        <w:t>2006 CSC 58, [2006] 2 R.C.S. 846, la juge en chef McLachlin définit ainsi cette présomption :</w:t>
      </w:r>
    </w:p>
    <w:p w:rsidR="00344043" w:rsidRDefault="00344043" w:rsidP="00344043">
      <w:pPr>
        <w:pStyle w:val="Citation-AltC"/>
        <w:tabs>
          <w:tab w:val="left" w:pos="1440"/>
        </w:tabs>
        <w:spacing w:after="240"/>
        <w:ind w:left="1170"/>
        <w:contextualSpacing w:val="0"/>
        <w:rPr>
          <w:lang w:val="fr-CA"/>
        </w:rPr>
      </w:pPr>
      <w:r w:rsidRPr="00074F59">
        <w:rPr>
          <w:lang w:val="fr-CA"/>
        </w:rPr>
        <w:tab/>
        <w:t>Le législateur est présumé ne pas utiliser de mots superflus ou dénués de sens</w:t>
      </w:r>
      <w:r>
        <w:rPr>
          <w:lang w:val="fr-CA"/>
        </w:rPr>
        <w:t>, ne pas se répéter inutilement</w:t>
      </w:r>
      <w:r w:rsidRPr="00074F59">
        <w:rPr>
          <w:lang w:val="fr-CA"/>
        </w:rPr>
        <w:t xml:space="preserve"> ni s’exprimer en vain : Sullivan, p. 158. Partant, [</w:t>
      </w:r>
      <w:r w:rsidRPr="00074F59">
        <w:rPr>
          <w:smallCaps/>
          <w:lang w:val="fr-CA"/>
        </w:rPr>
        <w:t>traduction</w:t>
      </w:r>
      <w:r w:rsidRPr="00074F59">
        <w:rPr>
          <w:lang w:val="fr-CA"/>
        </w:rPr>
        <w:t>] « [c]haque mot d’une loi est présumé avoir un sens et jouer un rôle précis dans la réalisation de l’objectif du législateur » (p. 158). Les tribunaux recourent souvent à ce principe pour résoudre une ambiguïté ou déterminer la portée d’un terme général.</w:t>
      </w:r>
    </w:p>
    <w:p w:rsidR="00344043" w:rsidRPr="00074F59" w:rsidRDefault="00344043" w:rsidP="00344043">
      <w:pPr>
        <w:pStyle w:val="Citation-AltC"/>
        <w:tabs>
          <w:tab w:val="left" w:pos="1440"/>
        </w:tabs>
        <w:spacing w:after="240"/>
        <w:ind w:left="1170"/>
        <w:contextualSpacing w:val="0"/>
        <w:rPr>
          <w:sz w:val="27"/>
          <w:szCs w:val="27"/>
          <w:shd w:val="clear" w:color="auto" w:fill="FFFFFF"/>
          <w:lang w:val="fr-CA"/>
        </w:rPr>
      </w:pPr>
    </w:p>
    <w:p w:rsidR="00344043" w:rsidRPr="00074F59" w:rsidRDefault="00344043" w:rsidP="00344043">
      <w:pPr>
        <w:pStyle w:val="Citation-AltC"/>
        <w:ind w:left="0"/>
        <w:rPr>
          <w:spacing w:val="-3"/>
          <w:lang w:val="fr-CA"/>
        </w:rPr>
      </w:pPr>
      <w:r w:rsidRPr="00074F59">
        <w:rPr>
          <w:lang w:val="fr-CA"/>
        </w:rPr>
        <w:t xml:space="preserve">(Par. 36, citant R. Sullivan, </w:t>
      </w:r>
      <w:r w:rsidRPr="00074F59">
        <w:rPr>
          <w:i/>
          <w:lang w:val="fr-CA"/>
        </w:rPr>
        <w:t xml:space="preserve">Sullivan and Driedger on the Construction of Statutes </w:t>
      </w:r>
      <w:r w:rsidRPr="00074F59">
        <w:rPr>
          <w:lang w:val="fr-CA"/>
        </w:rPr>
        <w:t>(4</w:t>
      </w:r>
      <w:r w:rsidRPr="00074F59">
        <w:rPr>
          <w:vertAlign w:val="superscript"/>
          <w:lang w:val="fr-CA"/>
        </w:rPr>
        <w:t>e</w:t>
      </w:r>
      <w:r w:rsidRPr="00074F59">
        <w:rPr>
          <w:lang w:val="fr-CA"/>
        </w:rPr>
        <w:t xml:space="preserve"> éd. 2002), p. 158; voir </w:t>
      </w:r>
      <w:r>
        <w:rPr>
          <w:lang w:val="fr-CA"/>
        </w:rPr>
        <w:t xml:space="preserve">aussi </w:t>
      </w:r>
      <w:r w:rsidRPr="00074F59">
        <w:rPr>
          <w:i/>
          <w:lang w:val="fr-CA"/>
        </w:rPr>
        <w:t xml:space="preserve">Placer Dome Canada Ltd. </w:t>
      </w:r>
      <w:r w:rsidRPr="00074F59">
        <w:rPr>
          <w:i/>
          <w:iCs/>
          <w:lang w:val="fr-CA"/>
        </w:rPr>
        <w:t>c</w:t>
      </w:r>
      <w:r w:rsidRPr="00074F59">
        <w:rPr>
          <w:i/>
          <w:lang w:val="fr-CA"/>
        </w:rPr>
        <w:t>. Ontario (Ministre des Finances)</w:t>
      </w:r>
      <w:r w:rsidRPr="00074F59">
        <w:rPr>
          <w:lang w:val="fr-CA"/>
        </w:rPr>
        <w:t>, 2006 CSC 20, [2006] 1 R.C.S. 715, par. 45</w:t>
      </w:r>
      <w:r>
        <w:rPr>
          <w:lang w:val="fr-CA"/>
        </w:rPr>
        <w:t>.</w:t>
      </w:r>
      <w:r w:rsidRPr="00074F59">
        <w:rPr>
          <w:lang w:val="fr-CA"/>
        </w:rPr>
        <w:t>)</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On retrouve dans la </w:t>
      </w:r>
      <w:r w:rsidRPr="00074F59">
        <w:rPr>
          <w:rFonts w:cs="Times New Roman"/>
          <w:i/>
          <w:lang w:val="fr-CA"/>
        </w:rPr>
        <w:t>LIR</w:t>
      </w:r>
      <w:r w:rsidRPr="00074F59">
        <w:rPr>
          <w:rFonts w:cs="Times New Roman"/>
          <w:lang w:val="fr-CA"/>
        </w:rPr>
        <w:t xml:space="preserve"> deux définitions du terme « garantie », au par. 224(1.3) et au par. 18(5). Pour les besoins du calcul des revenus des contribuables, le législateur a choisi de définir au par. 18(5) le mot « garantie » d’une manière presque identique qu’au par. 224(1.3), sans toutefois énumérer les dix mêmes instruments de garantie spécifiques : « </w:t>
      </w:r>
      <w:r w:rsidRPr="00074F59">
        <w:rPr>
          <w:rFonts w:cs="Times New Roman"/>
          <w:i/>
          <w:iCs/>
          <w:lang w:val="fr-CA"/>
        </w:rPr>
        <w:t>garantie</w:t>
      </w:r>
      <w:r w:rsidRPr="00074F59">
        <w:rPr>
          <w:rFonts w:cs="Times New Roman"/>
          <w:lang w:val="fr-CA"/>
        </w:rPr>
        <w:t xml:space="preserve"> Est une garantie relative à un bien tout intérêt ou, pour l’application du droit civil, tout droit sur le bien qui garantit le paiement d’une obligation ». Selon la présomption d’absence de tautologie, il nous faut présumer que le législateur a inséré certains termes précis au par. 224(1.3) parce </w:t>
      </w:r>
      <w:r w:rsidRPr="00074F59">
        <w:rPr>
          <w:rFonts w:cs="Times New Roman"/>
          <w:szCs w:val="24"/>
          <w:lang w:val="fr-CA"/>
        </w:rPr>
        <w:t xml:space="preserve">qu’ils </w:t>
      </w:r>
      <w:r w:rsidRPr="00074F59">
        <w:rPr>
          <w:rFonts w:cs="Times New Roman"/>
          <w:szCs w:val="24"/>
          <w:shd w:val="clear" w:color="auto" w:fill="FFFFFF"/>
          <w:lang w:val="fr-CA"/>
        </w:rPr>
        <w:t xml:space="preserve">« joue[nt] un rôle précis dans la réalisation de l’objectif du législateur » </w:t>
      </w:r>
      <w:r w:rsidRPr="00074F59">
        <w:rPr>
          <w:rFonts w:cs="Times New Roman"/>
          <w:lang w:val="fr-CA"/>
        </w:rPr>
        <w:t>(</w:t>
      </w:r>
      <w:r w:rsidRPr="00074F59">
        <w:rPr>
          <w:rFonts w:cs="Times New Roman"/>
          <w:i/>
          <w:lang w:val="fr-CA"/>
        </w:rPr>
        <w:t>Placer Dome</w:t>
      </w:r>
      <w:r w:rsidRPr="00074F59">
        <w:rPr>
          <w:rFonts w:cs="Times New Roman"/>
          <w:lang w:val="fr-CA"/>
        </w:rPr>
        <w:t xml:space="preserve">, par. 45, citant </w:t>
      </w:r>
      <w:r>
        <w:rPr>
          <w:rFonts w:cs="Times New Roman"/>
          <w:szCs w:val="24"/>
          <w:shd w:val="clear" w:color="auto" w:fill="FFFFFF"/>
          <w:lang w:val="fr-CA"/>
        </w:rPr>
        <w:t xml:space="preserve">R. Sullivan, </w:t>
      </w:r>
      <w:r w:rsidRPr="00074F59">
        <w:rPr>
          <w:rFonts w:cs="Times New Roman"/>
          <w:i/>
          <w:iCs/>
          <w:szCs w:val="24"/>
          <w:shd w:val="clear" w:color="auto" w:fill="FFFFFF"/>
          <w:lang w:val="fr-CA"/>
        </w:rPr>
        <w:t>Driedger</w:t>
      </w:r>
      <w:r>
        <w:rPr>
          <w:rFonts w:cs="Times New Roman"/>
          <w:i/>
          <w:iCs/>
          <w:szCs w:val="24"/>
          <w:shd w:val="clear" w:color="auto" w:fill="FFFFFF"/>
          <w:lang w:val="fr-CA"/>
        </w:rPr>
        <w:t xml:space="preserve"> </w:t>
      </w:r>
      <w:r w:rsidRPr="00074F59">
        <w:rPr>
          <w:rFonts w:cs="Times New Roman"/>
          <w:i/>
          <w:iCs/>
          <w:szCs w:val="24"/>
          <w:shd w:val="clear" w:color="auto" w:fill="FFFFFF"/>
          <w:lang w:val="fr-CA"/>
        </w:rPr>
        <w:t>on the Construction of Statutes</w:t>
      </w:r>
      <w:r>
        <w:rPr>
          <w:rFonts w:cs="Times New Roman"/>
          <w:szCs w:val="24"/>
          <w:shd w:val="clear" w:color="auto" w:fill="FFFFFF"/>
          <w:lang w:val="fr-CA"/>
        </w:rPr>
        <w:t xml:space="preserve"> </w:t>
      </w:r>
      <w:r w:rsidRPr="00074F59">
        <w:rPr>
          <w:rFonts w:cs="Times New Roman"/>
          <w:szCs w:val="24"/>
          <w:shd w:val="clear" w:color="auto" w:fill="FFFFFF"/>
          <w:lang w:val="fr-CA"/>
        </w:rPr>
        <w:t>(3</w:t>
      </w:r>
      <w:r w:rsidRPr="00074F59">
        <w:rPr>
          <w:rFonts w:cs="Times New Roman"/>
          <w:szCs w:val="24"/>
          <w:shd w:val="clear" w:color="auto" w:fill="FFFFFF"/>
          <w:vertAlign w:val="superscript"/>
          <w:lang w:val="fr-CA"/>
        </w:rPr>
        <w:t>e</w:t>
      </w:r>
      <w:r>
        <w:rPr>
          <w:rFonts w:cs="Times New Roman"/>
          <w:szCs w:val="24"/>
          <w:shd w:val="clear" w:color="auto" w:fill="FFFFFF"/>
          <w:lang w:val="fr-CA"/>
        </w:rPr>
        <w:t xml:space="preserve"> éd. </w:t>
      </w:r>
      <w:r w:rsidRPr="00074F59">
        <w:rPr>
          <w:rFonts w:cs="Times New Roman"/>
          <w:szCs w:val="24"/>
          <w:shd w:val="clear" w:color="auto" w:fill="FFFFFF"/>
          <w:lang w:val="fr-CA"/>
        </w:rPr>
        <w:t xml:space="preserve">1994), p. 159). </w:t>
      </w:r>
      <w:r w:rsidRPr="00074F59">
        <w:rPr>
          <w:rFonts w:cs="Times New Roman"/>
          <w:lang w:val="fr-CA"/>
        </w:rPr>
        <w:lastRenderedPageBreak/>
        <w:t>L’application de la présomption d’absence de tautologie démontre que le législateur voulait que l’on attribue une valeur interprétative aux exemples.</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Pour revenir à l’arrêt </w:t>
      </w:r>
      <w:r w:rsidRPr="00074F59">
        <w:rPr>
          <w:rFonts w:cs="Times New Roman"/>
          <w:i/>
          <w:lang w:val="fr-CA"/>
        </w:rPr>
        <w:t>Caisse populaire Desjardins de l’Est de Drummond</w:t>
      </w:r>
      <w:r w:rsidRPr="00074F59">
        <w:rPr>
          <w:rFonts w:cs="Times New Roman"/>
          <w:lang w:val="fr-CA"/>
        </w:rPr>
        <w:t xml:space="preserve">, je conviens avec le juge Rothstein que la </w:t>
      </w:r>
      <w:r w:rsidRPr="00074F59">
        <w:rPr>
          <w:rFonts w:cs="Times New Roman"/>
          <w:szCs w:val="24"/>
          <w:lang w:val="fr-CA"/>
        </w:rPr>
        <w:t xml:space="preserve">définition de « garantie » figurant au par. 224(1.3) de la </w:t>
      </w:r>
      <w:r w:rsidRPr="00074F59">
        <w:rPr>
          <w:rFonts w:cs="Times New Roman"/>
          <w:i/>
          <w:szCs w:val="24"/>
          <w:lang w:val="fr-CA"/>
        </w:rPr>
        <w:t>LIR</w:t>
      </w:r>
      <w:r w:rsidRPr="00074F59">
        <w:rPr>
          <w:rFonts w:cs="Times New Roman"/>
          <w:szCs w:val="24"/>
          <w:lang w:val="fr-CA"/>
        </w:rPr>
        <w:t xml:space="preserve"> est large de sorte qu’elle « n’exige pas que l’entente entre le créancier et le débiteur revête une forme particulière » (par. 15). </w:t>
      </w:r>
      <w:r w:rsidRPr="00074F59">
        <w:rPr>
          <w:rFonts w:cs="Times New Roman"/>
          <w:lang w:val="fr-CA"/>
        </w:rPr>
        <w:t>Mais si large soit</w:t>
      </w:r>
      <w:r w:rsidRPr="00074F59">
        <w:rPr>
          <w:rFonts w:cs="Times New Roman"/>
          <w:lang w:val="fr-CA"/>
        </w:rPr>
        <w:noBreakHyphen/>
        <w:t>elle, elle contient à mon sens une limite importante.</w:t>
      </w:r>
      <w:r w:rsidRPr="00074F59">
        <w:rPr>
          <w:rFonts w:cs="Times New Roman"/>
          <w:szCs w:val="24"/>
          <w:lang w:val="fr-CA"/>
        </w:rPr>
        <w:t xml:space="preserve"> La </w:t>
      </w:r>
      <w:r w:rsidRPr="00074F59">
        <w:rPr>
          <w:rFonts w:cs="Times New Roman"/>
          <w:lang w:val="fr-CA"/>
        </w:rPr>
        <w:t xml:space="preserve">définition est axée sur les intérêts créés par accord consensuel ou par application de la loi, et ces types d’intérêts visent habituellement à protéger les droits d’un seul créancier, en général au détriment des autres créanciers. Dans cette affaire, la Cour se demandait si un droit de compensation accordé à un seul créancier au moyen d’une convention intervenue entre ce créancier et la débitrice était une garantie au sens du par. 224(1.3). La situation en cause dans cette affaire était tout à fait différente de celle en l’espèce. En effet, dans la présente affaire, l’intérêt des participants à la restructuration est créé par ordonnance judiciaire, et non par accord ou par application de la loi. Comme je l’ai dit précédemment, lorsqu’un juge ordonne une charge super prioritaire dans une procédure intentée sous le régime de la </w:t>
      </w:r>
      <w:r w:rsidRPr="00074F59">
        <w:rPr>
          <w:rFonts w:cs="Times New Roman"/>
          <w:i/>
          <w:lang w:val="fr-CA"/>
        </w:rPr>
        <w:t>LACC</w:t>
      </w:r>
      <w:r w:rsidRPr="00074F59">
        <w:rPr>
          <w:rFonts w:cs="Times New Roman"/>
          <w:lang w:val="fr-CA"/>
        </w:rPr>
        <w:t>, il s’agit d’un type d’intérêt très différent, car le processus de restructuration prévu par cette loi bénéficie à tous les créanciers, et non à un seul en particulier.</w:t>
      </w:r>
    </w:p>
    <w:p w:rsidR="00344043" w:rsidRPr="00074F59" w:rsidRDefault="00344043" w:rsidP="00344043">
      <w:pPr>
        <w:pStyle w:val="ParaNoNdepar-AltN"/>
        <w:spacing w:before="0"/>
        <w:rPr>
          <w:rFonts w:cs="Times New Roman"/>
          <w:lang w:val="fr-CA"/>
        </w:rPr>
      </w:pPr>
      <w:bookmarkStart w:id="5" w:name="_Hlk66462611"/>
      <w:r w:rsidRPr="00074F59">
        <w:rPr>
          <w:rFonts w:cs="Times New Roman"/>
          <w:lang w:val="fr-CA"/>
        </w:rPr>
        <w:t xml:space="preserve">Enfin, si le législateur avait voulu inclure les charges super prioritaires d’origine judiciaire dans la définition de « garantie », il l’aurait dit expressément. Il </w:t>
      </w:r>
      <w:r w:rsidRPr="00074F59">
        <w:rPr>
          <w:rFonts w:cs="Times New Roman"/>
          <w:lang w:val="fr-CA"/>
        </w:rPr>
        <w:lastRenderedPageBreak/>
        <w:t xml:space="preserve">faut tenir pour acquis que le législateur a légiféré en tenant compte de l’application de la </w:t>
      </w:r>
      <w:r w:rsidRPr="00074F59">
        <w:rPr>
          <w:rFonts w:cs="Times New Roman"/>
          <w:i/>
          <w:lang w:val="fr-CA"/>
        </w:rPr>
        <w:t>LACC</w:t>
      </w:r>
      <w:r w:rsidRPr="00074F59">
        <w:rPr>
          <w:rFonts w:cs="Times New Roman"/>
          <w:lang w:val="fr-CA"/>
        </w:rPr>
        <w:t>. Pour citer la professeure Sullivan, [</w:t>
      </w:r>
      <w:r w:rsidRPr="00074F59">
        <w:rPr>
          <w:rFonts w:cs="Times New Roman"/>
          <w:smallCaps/>
          <w:lang w:val="fr-CA"/>
        </w:rPr>
        <w:t>traduction</w:t>
      </w:r>
      <w:r w:rsidRPr="00074F59">
        <w:rPr>
          <w:rFonts w:cs="Times New Roman"/>
          <w:lang w:val="fr-CA"/>
        </w:rPr>
        <w:t>] « [l]e législateur est présumé connaître ses propres lois et rédiger chaque nouvelle disposition en tenant compte des structures, des conventions et des formules d’expression, de même que du droit substantif exprimé dans la législation existante » (Sullivan</w:t>
      </w:r>
      <w:r w:rsidRPr="00074F59">
        <w:rPr>
          <w:rFonts w:cs="Times New Roman"/>
          <w:i/>
          <w:lang w:val="fr-CA"/>
        </w:rPr>
        <w:t xml:space="preserve"> </w:t>
      </w:r>
      <w:r w:rsidRPr="00074F59">
        <w:rPr>
          <w:rFonts w:cs="Times New Roman"/>
          <w:lang w:val="fr-CA"/>
        </w:rPr>
        <w:t xml:space="preserve">(2014), p. 422 (note </w:t>
      </w:r>
      <w:r>
        <w:rPr>
          <w:rFonts w:cs="Times New Roman"/>
          <w:lang w:val="fr-CA"/>
        </w:rPr>
        <w:t>en</w:t>
      </w:r>
      <w:r w:rsidRPr="00074F59">
        <w:rPr>
          <w:rFonts w:cs="Times New Roman"/>
          <w:lang w:val="fr-CA"/>
        </w:rPr>
        <w:t xml:space="preserve"> bas de page omise)). Puisque, dans l’arrêt </w:t>
      </w:r>
      <w:r w:rsidRPr="00074F59">
        <w:rPr>
          <w:rFonts w:cs="Times New Roman"/>
          <w:i/>
          <w:lang w:val="fr-CA"/>
        </w:rPr>
        <w:t>Indalex</w:t>
      </w:r>
      <w:r w:rsidRPr="00074F59">
        <w:rPr>
          <w:rFonts w:cs="Times New Roman"/>
          <w:lang w:val="fr-CA"/>
        </w:rPr>
        <w:t>, notre Cour a déjà statué que l’octroi d’une charge super prioritaire « </w:t>
      </w:r>
      <w:r w:rsidRPr="00074F59">
        <w:rPr>
          <w:rFonts w:cs="Times New Roman"/>
          <w:shd w:val="clear" w:color="auto" w:fill="FFFFFF"/>
          <w:lang w:val="fr-CA"/>
        </w:rPr>
        <w:t>constitue un élément clé de la capacité du débiteur de tenter de conclure un arrangement »</w:t>
      </w:r>
      <w:r w:rsidRPr="00074F59">
        <w:rPr>
          <w:rFonts w:cs="Times New Roman"/>
          <w:lang w:val="fr-CA"/>
        </w:rPr>
        <w:t>, on s’attendrait à ce que le législateur utilise des termes plus clairs dans les cas où une telle définition pourrait compromettre l’application d’une autre de ses propres lois. Je suis donc en total désaccord avec mes collègues les juges Brown et Rowe quand ils affirment que « </w:t>
      </w:r>
      <w:r>
        <w:rPr>
          <w:rFonts w:cs="Times New Roman"/>
          <w:lang w:val="fr-CA"/>
        </w:rPr>
        <w:t xml:space="preserve">rien dans la définition de </w:t>
      </w:r>
      <w:r>
        <w:rPr>
          <w:rFonts w:cs="Times New Roman"/>
          <w:szCs w:val="24"/>
          <w:lang w:val="fr-CA"/>
        </w:rPr>
        <w:t>“</w:t>
      </w:r>
      <w:r w:rsidRPr="00074F59">
        <w:rPr>
          <w:rFonts w:cs="Times New Roman"/>
          <w:lang w:val="fr-CA"/>
        </w:rPr>
        <w:t>garantie</w:t>
      </w:r>
      <w:r>
        <w:rPr>
          <w:rFonts w:cs="Times New Roman"/>
          <w:szCs w:val="24"/>
          <w:lang w:val="fr-CA"/>
        </w:rPr>
        <w:t xml:space="preserve">” </w:t>
      </w:r>
      <w:r w:rsidRPr="00074F59">
        <w:rPr>
          <w:rFonts w:cs="Times New Roman"/>
          <w:lang w:val="fr-CA"/>
        </w:rPr>
        <w:t xml:space="preserve">qui figure dans la </w:t>
      </w:r>
      <w:r w:rsidRPr="00074F59">
        <w:rPr>
          <w:rFonts w:cs="Times New Roman"/>
          <w:i/>
          <w:lang w:val="fr-CA"/>
        </w:rPr>
        <w:t>LIR</w:t>
      </w:r>
      <w:r w:rsidRPr="00074F59">
        <w:rPr>
          <w:rFonts w:cs="Times New Roman"/>
          <w:lang w:val="fr-CA"/>
        </w:rPr>
        <w:t xml:space="preserve"> ne permet d’exclure une garantie conçue pour fonctionner au profit de tous les créanciers » (par. </w:t>
      </w:r>
      <w:r w:rsidRPr="007F0247">
        <w:rPr>
          <w:rFonts w:cs="Times New Roman"/>
          <w:lang w:val="fr-CA"/>
        </w:rPr>
        <w:t>210</w:t>
      </w:r>
      <w:r w:rsidRPr="00074F59">
        <w:rPr>
          <w:rFonts w:cs="Times New Roman"/>
          <w:lang w:val="fr-CA"/>
        </w:rPr>
        <w:t>). Au contraire, tout tend à démontrer que les charges super prioritaires sont exclues de la définition de « garantie ».</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En conclusion, une charge super prioritaire ordonnée par un tribunal en vertu de la </w:t>
      </w:r>
      <w:r w:rsidRPr="00074F59">
        <w:rPr>
          <w:rFonts w:cs="Times New Roman"/>
          <w:i/>
          <w:lang w:val="fr-CA"/>
        </w:rPr>
        <w:t>LACC</w:t>
      </w:r>
      <w:r w:rsidRPr="00074F59">
        <w:rPr>
          <w:rFonts w:cs="Times New Roman"/>
          <w:lang w:val="fr-CA"/>
        </w:rPr>
        <w:t xml:space="preserve"> n’est pas une garantie au sens du par. 224(1.3) de la </w:t>
      </w:r>
      <w:r w:rsidRPr="00074F59">
        <w:rPr>
          <w:rFonts w:cs="Times New Roman"/>
          <w:i/>
          <w:lang w:val="fr-CA"/>
        </w:rPr>
        <w:t>LIR</w:t>
      </w:r>
      <w:r w:rsidRPr="00074F59">
        <w:rPr>
          <w:rFonts w:cs="Times New Roman"/>
          <w:lang w:val="fr-CA"/>
        </w:rPr>
        <w:t xml:space="preserve">. Il n’y a donc pas de conflit entre le par. 227(4.1) de la </w:t>
      </w:r>
      <w:r w:rsidRPr="00074F59">
        <w:rPr>
          <w:rFonts w:cs="Times New Roman"/>
          <w:i/>
          <w:lang w:val="fr-CA"/>
        </w:rPr>
        <w:t>LIR</w:t>
      </w:r>
      <w:r w:rsidRPr="00074F59">
        <w:rPr>
          <w:rFonts w:cs="Times New Roman"/>
          <w:lang w:val="fr-CA"/>
        </w:rPr>
        <w:t xml:space="preserve"> et l’ordonnance initiale rendue en l’espèce. Avec égards, je ne souscris pas à l’idée de mon collègue le juge Moldaver suivant laquelle il y a peut</w:t>
      </w:r>
      <w:r w:rsidRPr="00074F59">
        <w:rPr>
          <w:rFonts w:cs="Times New Roman"/>
          <w:lang w:val="fr-CA"/>
        </w:rPr>
        <w:noBreakHyphen/>
        <w:t xml:space="preserve">être un conflit entre l’art. 11 de la </w:t>
      </w:r>
      <w:r w:rsidRPr="00074F59">
        <w:rPr>
          <w:rFonts w:cs="Times New Roman"/>
          <w:i/>
          <w:lang w:val="fr-CA"/>
        </w:rPr>
        <w:t>LACC</w:t>
      </w:r>
      <w:r w:rsidRPr="00074F59">
        <w:rPr>
          <w:rFonts w:cs="Times New Roman"/>
          <w:lang w:val="fr-CA"/>
        </w:rPr>
        <w:t xml:space="preserve"> et la </w:t>
      </w:r>
      <w:r w:rsidRPr="00074F59">
        <w:rPr>
          <w:rFonts w:cs="Times New Roman"/>
          <w:i/>
          <w:iCs/>
          <w:lang w:val="fr-CA"/>
        </w:rPr>
        <w:t>LIR</w:t>
      </w:r>
      <w:r w:rsidRPr="00074F59">
        <w:rPr>
          <w:rFonts w:cs="Times New Roman"/>
          <w:lang w:val="fr-CA"/>
        </w:rPr>
        <w:t xml:space="preserve"> (par. </w:t>
      </w:r>
      <w:r w:rsidRPr="007B71C5">
        <w:rPr>
          <w:rFonts w:cs="Times New Roman"/>
          <w:lang w:val="fr-CA"/>
        </w:rPr>
        <w:t>258)</w:t>
      </w:r>
      <w:r w:rsidRPr="00074F59">
        <w:rPr>
          <w:rFonts w:cs="Times New Roman"/>
          <w:lang w:val="fr-CA"/>
        </w:rPr>
        <w:t>. Les charges super prioritaires constituées aux termes de l’ordonnance initiale l’emportent sur la fiducie réputée.</w:t>
      </w:r>
    </w:p>
    <w:p w:rsidR="00344043" w:rsidRPr="00074F59" w:rsidRDefault="00344043" w:rsidP="00344043">
      <w:pPr>
        <w:pStyle w:val="Title2LevelTitre2Niveau"/>
        <w:widowControl w:val="0"/>
        <w:spacing w:before="0"/>
        <w:rPr>
          <w:rFonts w:cs="Times New Roman"/>
          <w:lang w:val="fr-CA"/>
        </w:rPr>
      </w:pPr>
      <w:r w:rsidRPr="00074F59">
        <w:rPr>
          <w:rFonts w:cs="Times New Roman"/>
          <w:lang w:val="fr-CA"/>
        </w:rPr>
        <w:lastRenderedPageBreak/>
        <w:t>Était</w:t>
      </w:r>
      <w:r w:rsidRPr="00074F59">
        <w:rPr>
          <w:rFonts w:cs="Times New Roman"/>
          <w:lang w:val="fr-CA"/>
        </w:rPr>
        <w:noBreakHyphen/>
        <w:t>il nécessaire que l’ordonnance initiale subordonne la réclamation de Sa Majesté protégée par une fiducie réputée en l’espèce?</w:t>
      </w:r>
    </w:p>
    <w:p w:rsidR="00344043" w:rsidRPr="00074F59" w:rsidRDefault="00344043" w:rsidP="00344043">
      <w:pPr>
        <w:pStyle w:val="ParaNoNdepar-AltN"/>
        <w:widowControl w:val="0"/>
        <w:spacing w:before="0"/>
        <w:rPr>
          <w:rFonts w:cs="Times New Roman"/>
          <w:lang w:val="fr-CA"/>
        </w:rPr>
      </w:pPr>
      <w:r w:rsidRPr="00074F59">
        <w:rPr>
          <w:rFonts w:cs="Times New Roman"/>
          <w:lang w:val="fr-CA"/>
        </w:rPr>
        <w:t xml:space="preserve">Enfin, je dois maintenant déterminer sur quelle disposition l’ordonnance initiale devrait reposer. Bien que l’ordonnance examinée dans l’arrêt </w:t>
      </w:r>
      <w:r w:rsidRPr="00074F59">
        <w:rPr>
          <w:rFonts w:cs="Times New Roman"/>
          <w:i/>
          <w:lang w:val="fr-CA"/>
        </w:rPr>
        <w:t xml:space="preserve">Indalex </w:t>
      </w:r>
      <w:r w:rsidRPr="00074F59">
        <w:rPr>
          <w:rFonts w:cs="Times New Roman"/>
          <w:lang w:val="fr-CA"/>
        </w:rPr>
        <w:t xml:space="preserve">était fondée sur la compétence du tribunal en equity, dans la plupart des cas, les ordonnances rendues dans le cadre des procédures engagées sous le régime de la </w:t>
      </w:r>
      <w:r w:rsidRPr="00074F59">
        <w:rPr>
          <w:rFonts w:cs="Times New Roman"/>
          <w:i/>
          <w:lang w:val="fr-CA"/>
        </w:rPr>
        <w:t xml:space="preserve">LACC </w:t>
      </w:r>
      <w:r w:rsidRPr="00074F59">
        <w:rPr>
          <w:rFonts w:cs="Times New Roman"/>
          <w:lang w:val="fr-CA"/>
        </w:rPr>
        <w:t>devraient être considérées comme découlant de l’exercice d’un pouvoir conféré par la loi (</w:t>
      </w:r>
      <w:r w:rsidRPr="00074F59">
        <w:rPr>
          <w:rFonts w:cs="Times New Roman"/>
          <w:i/>
          <w:lang w:val="fr-CA"/>
        </w:rPr>
        <w:t>Century Services</w:t>
      </w:r>
      <w:r w:rsidRPr="00074F59">
        <w:rPr>
          <w:rFonts w:cs="Times New Roman"/>
          <w:lang w:val="fr-CA"/>
        </w:rPr>
        <w:t>, par. 65</w:t>
      </w:r>
      <w:r w:rsidRPr="00074F59">
        <w:rPr>
          <w:rFonts w:cs="Times New Roman"/>
          <w:lang w:val="fr-CA"/>
        </w:rPr>
        <w:noBreakHyphen/>
        <w:t>66).</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Comme nous l’avons vu plus haut, le pouvoir du tribunal de surveillance d’ordonner des charges super prioritaires est fondé sur le vaste pouvoir discrétionnaire que lui confère l’art. 11 de la </w:t>
      </w:r>
      <w:r w:rsidRPr="00074F59">
        <w:rPr>
          <w:rFonts w:cs="Times New Roman"/>
          <w:i/>
          <w:lang w:val="fr-CA"/>
        </w:rPr>
        <w:t>LACC</w:t>
      </w:r>
      <w:r w:rsidRPr="00074F59">
        <w:rPr>
          <w:rFonts w:cs="Times New Roman"/>
          <w:lang w:val="fr-CA"/>
        </w:rPr>
        <w:t xml:space="preserve">, ainsi que sur les pouvoirs plus spécifiques que lui accordent les art. 11.2, </w:t>
      </w:r>
      <w:r>
        <w:rPr>
          <w:rFonts w:cs="Times New Roman"/>
          <w:lang w:val="fr-CA"/>
        </w:rPr>
        <w:t xml:space="preserve">11.4, </w:t>
      </w:r>
      <w:r w:rsidRPr="00074F59">
        <w:rPr>
          <w:rFonts w:cs="Times New Roman"/>
          <w:lang w:val="fr-CA"/>
        </w:rPr>
        <w:t xml:space="preserve">11.51 et 11.52. Ces dispositions autorisent le tribunal à accorder certaines charges prioritaires qui prennent rang devant les créances de « tout créancier garanti ». Bien que j’aie déjà conclu que Sa Majesté ne possède pas d’intérêt à titre de propriétaire du fait de sa fiducie présumée, il est moins sûr que la Couronne soit un « créancier garanti » au sens de la </w:t>
      </w:r>
      <w:r w:rsidRPr="00074F59">
        <w:rPr>
          <w:rFonts w:cs="Times New Roman"/>
          <w:i/>
          <w:iCs/>
          <w:lang w:val="fr-CA"/>
        </w:rPr>
        <w:t>LACC</w:t>
      </w:r>
      <w:r w:rsidRPr="00074F59">
        <w:rPr>
          <w:rFonts w:cs="Times New Roman"/>
          <w:lang w:val="fr-CA"/>
        </w:rPr>
        <w:t xml:space="preserve">. Selon le professeur Wood, la fiducie présumée dont bénéficie Sa Majesté ne lui confère pas la qualité de « créancier garanti » au sens de la </w:t>
      </w:r>
      <w:r w:rsidRPr="00074F59">
        <w:rPr>
          <w:rFonts w:cs="Times New Roman"/>
          <w:i/>
          <w:iCs/>
          <w:lang w:val="fr-CA"/>
        </w:rPr>
        <w:t>LACC</w:t>
      </w:r>
      <w:r w:rsidRPr="00074F59">
        <w:rPr>
          <w:rFonts w:cs="Times New Roman"/>
          <w:lang w:val="fr-CA"/>
        </w:rPr>
        <w:t xml:space="preserve">. Les articles 37 à 39 de la </w:t>
      </w:r>
      <w:r w:rsidRPr="00074F59">
        <w:rPr>
          <w:rFonts w:cs="Times New Roman"/>
          <w:i/>
          <w:lang w:val="fr-CA"/>
        </w:rPr>
        <w:t>LACC</w:t>
      </w:r>
      <w:r w:rsidRPr="00074F59">
        <w:rPr>
          <w:rFonts w:cs="Times New Roman"/>
          <w:lang w:val="fr-CA"/>
        </w:rPr>
        <w:t xml:space="preserve"> créent plutôt [</w:t>
      </w:r>
      <w:r w:rsidRPr="00074F59">
        <w:rPr>
          <w:rFonts w:cs="Times New Roman"/>
          <w:smallCaps/>
          <w:lang w:val="fr-CA"/>
        </w:rPr>
        <w:t>traduction</w:t>
      </w:r>
      <w:r w:rsidRPr="00074F59">
        <w:rPr>
          <w:rFonts w:cs="Times New Roman"/>
          <w:lang w:val="fr-CA"/>
        </w:rPr>
        <w:t xml:space="preserve">] « deux approches distinctes : l’une qui s’applique à la fiducie réputée, l’autre qui entre en jeu lorsque la loi reconnaît à la Couronne la qualité de “créancier garanti” » (p. 96). Par conséquent, le fait de faire passer une charge prioritaire devant la fiducie réputée déborderait le cadre des dispositions portant expressément sur les </w:t>
      </w:r>
      <w:r w:rsidRPr="00074F59">
        <w:rPr>
          <w:rFonts w:cs="Times New Roman"/>
          <w:lang w:val="fr-CA"/>
        </w:rPr>
        <w:lastRenderedPageBreak/>
        <w:t xml:space="preserve">charges prioritaires. Je n’ai pas à trancher de façon définitive la question de savoir si Sa Majesté répond à la définition de « créancier garanti » au sens de la </w:t>
      </w:r>
      <w:r w:rsidRPr="00074F59">
        <w:rPr>
          <w:rFonts w:cs="Times New Roman"/>
          <w:i/>
          <w:iCs/>
          <w:lang w:val="fr-CA"/>
        </w:rPr>
        <w:t>LACC</w:t>
      </w:r>
      <w:r w:rsidRPr="00074F59">
        <w:rPr>
          <w:rFonts w:cs="Times New Roman"/>
          <w:lang w:val="fr-CA"/>
        </w:rPr>
        <w:t xml:space="preserve"> du fait de sa fiducie. Je ferais plutôt reposer le pouvoir du tribunal de surveillance sur l’art. 11, qui « permet aux tribunaux de constituer des charges prioritaires qui ne sont pas expressément prévues par la</w:t>
      </w:r>
      <w:r w:rsidRPr="00074F59">
        <w:rPr>
          <w:rFonts w:cs="Times New Roman"/>
          <w:i/>
          <w:iCs/>
          <w:lang w:val="fr-CA"/>
        </w:rPr>
        <w:t xml:space="preserve"> LACC</w:t>
      </w:r>
      <w:r w:rsidRPr="00074F59">
        <w:rPr>
          <w:rFonts w:cs="Times New Roman"/>
          <w:lang w:val="fr-CA"/>
        </w:rPr>
        <w:t> » (p. 98). Avec égards, je ne suis pas d’accord avec la suggestion de mes collègues les juges Brown et Rowe suivant laquelle le professeur Wood ou d’autres auteurs auraient laissé entendre que la portée de l’art. 11 est limitée par les dispositions spécifiques qui le suivent (par. </w:t>
      </w:r>
      <w:r w:rsidRPr="00DE39B0">
        <w:rPr>
          <w:rFonts w:cs="Times New Roman"/>
          <w:lang w:val="fr-CA"/>
        </w:rPr>
        <w:t>228</w:t>
      </w:r>
      <w:r w:rsidRPr="00074F59">
        <w:rPr>
          <w:rFonts w:cs="Times New Roman"/>
          <w:lang w:val="fr-CA"/>
        </w:rPr>
        <w:t>). Au contraire, notre Cour a déclaré aux par. </w:t>
      </w:r>
      <w:r>
        <w:rPr>
          <w:rFonts w:cs="Times New Roman"/>
          <w:lang w:val="fr-CA"/>
        </w:rPr>
        <w:t>68-</w:t>
      </w:r>
      <w:r w:rsidRPr="00074F59">
        <w:rPr>
          <w:rFonts w:cs="Times New Roman"/>
          <w:lang w:val="fr-CA"/>
        </w:rPr>
        <w:t xml:space="preserve">70 de l’arrêt </w:t>
      </w:r>
      <w:r w:rsidRPr="00074F59">
        <w:rPr>
          <w:rFonts w:cs="Times New Roman"/>
          <w:i/>
          <w:iCs/>
          <w:lang w:val="fr-CA"/>
        </w:rPr>
        <w:t xml:space="preserve">Century Services </w:t>
      </w:r>
      <w:r w:rsidRPr="00074F59">
        <w:rPr>
          <w:rFonts w:cs="Times New Roman"/>
          <w:lang w:val="fr-CA"/>
        </w:rPr>
        <w:t>que la possibilité pour le tribunal de rendre des ordonnances plus spécifiques n’avait pas pour effet de restreindre le vaste pouvoir conféré par l’art. 11.</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Mes collègues les juges Brown et Rowe affirment également que « les charges super prioritaires ne peuvent pas prendre rang devant la réclamation de la Couronne au titre de la fiducie réputée puisqu’elles peuvent se rattacher </w:t>
      </w:r>
      <w:r w:rsidRPr="00074F59">
        <w:rPr>
          <w:rFonts w:cs="Times New Roman"/>
          <w:i/>
          <w:lang w:val="fr-CA"/>
        </w:rPr>
        <w:t>uniquement</w:t>
      </w:r>
      <w:r w:rsidRPr="00074F59">
        <w:rPr>
          <w:rFonts w:cs="Times New Roman"/>
          <w:lang w:val="fr-CA"/>
        </w:rPr>
        <w:t xml:space="preserve"> aux </w:t>
      </w:r>
      <w:r w:rsidRPr="00074F59">
        <w:rPr>
          <w:rFonts w:cs="Times New Roman"/>
          <w:i/>
          <w:lang w:val="fr-CA"/>
        </w:rPr>
        <w:t>biens de la compagnie débitrice</w:t>
      </w:r>
      <w:r w:rsidRPr="00074F59">
        <w:rPr>
          <w:rFonts w:cs="Times New Roman"/>
          <w:lang w:val="fr-CA"/>
        </w:rPr>
        <w:t> » (par. </w:t>
      </w:r>
      <w:r w:rsidRPr="00DE39B0">
        <w:rPr>
          <w:rFonts w:cs="Times New Roman"/>
          <w:lang w:val="fr-CA"/>
        </w:rPr>
        <w:t>223</w:t>
      </w:r>
      <w:r w:rsidRPr="00074F59">
        <w:rPr>
          <w:rFonts w:cs="Times New Roman"/>
          <w:lang w:val="fr-CA"/>
        </w:rPr>
        <w:t xml:space="preserve"> (en italiques dans l’original)). Avec égards, cet argument ne peut être retenu, car, bien que les art. 11.2, 11.51 et 11.52 de la </w:t>
      </w:r>
      <w:r w:rsidRPr="00074F59">
        <w:rPr>
          <w:rFonts w:cs="Times New Roman"/>
          <w:i/>
          <w:lang w:val="fr-CA"/>
        </w:rPr>
        <w:t>LACC</w:t>
      </w:r>
      <w:r w:rsidRPr="00074F59">
        <w:rPr>
          <w:rFonts w:cs="Times New Roman"/>
          <w:lang w:val="fr-CA"/>
        </w:rPr>
        <w:t xml:space="preserve"> renferment cette restriction, aucune restriction de ce genre ne figure à l’art. 11. Tel que l’a reconnu le juge Lalonde, « [e]n exerçant l’autorité conférée par la </w:t>
      </w:r>
      <w:r w:rsidRPr="00074F59">
        <w:rPr>
          <w:rFonts w:cs="Times New Roman"/>
          <w:i/>
          <w:iCs/>
          <w:lang w:val="fr-CA"/>
        </w:rPr>
        <w:t>LACC</w:t>
      </w:r>
      <w:r w:rsidRPr="00074F59">
        <w:rPr>
          <w:rFonts w:cs="Times New Roman"/>
          <w:lang w:val="fr-CA"/>
        </w:rPr>
        <w:t>, incluant les pouv</w:t>
      </w:r>
      <w:r>
        <w:rPr>
          <w:rFonts w:cs="Times New Roman"/>
          <w:lang w:val="fr-CA"/>
        </w:rPr>
        <w:t>oirs inhérents, les tribunaux n’</w:t>
      </w:r>
      <w:r w:rsidRPr="00074F59">
        <w:rPr>
          <w:rFonts w:cs="Times New Roman"/>
          <w:lang w:val="fr-CA"/>
        </w:rPr>
        <w:t>ont pas hésité à faire usage de cette compétence pour intervenir dans les rapports contractuels entre une débitrice et ses créanciers, voire à rendre des ordonnances ayant pour effet d’affecter les droits de tiers » (</w:t>
      </w:r>
      <w:r w:rsidRPr="00074F59">
        <w:rPr>
          <w:rFonts w:cs="Times New Roman"/>
          <w:i/>
          <w:lang w:val="fr-CA"/>
        </w:rPr>
        <w:t>Triton Électronique</w:t>
      </w:r>
      <w:r w:rsidRPr="00074F59">
        <w:rPr>
          <w:rFonts w:cs="Times New Roman"/>
          <w:lang w:val="fr-CA"/>
        </w:rPr>
        <w:t xml:space="preserve">, par. 31). Il peut exister des circonstances dans lesquelles </w:t>
      </w:r>
      <w:r w:rsidRPr="00074F59">
        <w:rPr>
          <w:rFonts w:cs="Times New Roman"/>
          <w:lang w:val="fr-CA"/>
        </w:rPr>
        <w:lastRenderedPageBreak/>
        <w:t xml:space="preserve">il convient pour le tribunal de grever de charges des biens qui n’appartiennent pas au débiteur si, par exemple, cette fiducie réputée équivalait à un intérêt à titre de propriétaire. Toutefois, ce n’est pas le cas en l’espèce, car les biens visés par la fiducie réputée de Sa Majesté demeurent la propriété du débiteur, étant donné que la fiducie réputée ne crée pas d’intérêt à titre de propriétaire. Le recours de mes collègues au par. 37(2) de la </w:t>
      </w:r>
      <w:r w:rsidRPr="00074F59">
        <w:rPr>
          <w:rFonts w:cs="Times New Roman"/>
          <w:i/>
          <w:lang w:val="fr-CA"/>
        </w:rPr>
        <w:t>LACC</w:t>
      </w:r>
      <w:r w:rsidRPr="00074F59">
        <w:rPr>
          <w:rFonts w:cs="Times New Roman"/>
          <w:lang w:val="fr-CA"/>
        </w:rPr>
        <w:t xml:space="preserve"> est également mal fondé. Comme je l’ai déjà expliqué, le par. 37(2) préserve simplement le statu quo. Il ne modifie pas l’intérêt de Sa Majesté. Il ne fait que le maintenir et le soustraire à l’application du par. 37(1), qui ramènerait sinon l’intérêt de la Couronne à celui d’un simple créancier chirographaire.</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Cela dit, les tribunaux devraient tout de même reconnaître le caractère distinct de l’intérêt de Sa Majesté et </w:t>
      </w:r>
      <w:r>
        <w:rPr>
          <w:rFonts w:cs="Times New Roman"/>
          <w:lang w:val="fr-CA"/>
        </w:rPr>
        <w:t>n’accorder une charge ayant priorité sur</w:t>
      </w:r>
      <w:r w:rsidRPr="00074F59">
        <w:rPr>
          <w:rFonts w:cs="Times New Roman"/>
          <w:lang w:val="fr-CA"/>
        </w:rPr>
        <w:t xml:space="preserve"> la fiducie réputée </w:t>
      </w:r>
      <w:r>
        <w:rPr>
          <w:rFonts w:cs="Times New Roman"/>
          <w:lang w:val="fr-CA"/>
        </w:rPr>
        <w:t>que dans les cas où c’est nécessaire</w:t>
      </w:r>
      <w:r w:rsidRPr="00074F59">
        <w:rPr>
          <w:rFonts w:cs="Times New Roman"/>
          <w:lang w:val="fr-CA"/>
        </w:rPr>
        <w:t xml:space="preserve">. Lorsqu’il s’agit de constituer une charge super prioritaire, le juge surveillant doit toujours se demander si cette mesure favorisera la réalisation des objectifs de la </w:t>
      </w:r>
      <w:r w:rsidRPr="00074F59">
        <w:rPr>
          <w:rFonts w:cs="Times New Roman"/>
          <w:i/>
          <w:lang w:val="fr-CA"/>
        </w:rPr>
        <w:t>LACC</w:t>
      </w:r>
      <w:r w:rsidRPr="00074F59">
        <w:rPr>
          <w:rFonts w:cs="Times New Roman"/>
          <w:lang w:val="fr-CA"/>
        </w:rPr>
        <w:t>.</w:t>
      </w:r>
      <w:r w:rsidRPr="00074F59">
        <w:rPr>
          <w:rFonts w:cs="Times New Roman"/>
          <w:i/>
          <w:lang w:val="fr-CA"/>
        </w:rPr>
        <w:t xml:space="preserve"> </w:t>
      </w:r>
      <w:r w:rsidRPr="00074F59">
        <w:rPr>
          <w:rFonts w:cs="Times New Roman"/>
          <w:lang w:val="fr-CA"/>
        </w:rPr>
        <w:t xml:space="preserve">Lorsqu’il est possible qu’une créance de Sa Majesté soit protégée par une fiducie réputée, le juge doit également se demander s’il est nécessaire d’accorder une super priorité. Le dossier dont nous disposons ne nous permet pas de connaître les motifs à l’appui de l’ordonnance initiale et il est donc difficile de répondre à la question en l’espèce. Puisque Sa Majesté a été payée et que l’affaire est en fait devenue théorique, il n’est pas essentiel de nous prononcer sur la question de savoir si le juge surveillant croyait qu’il était nécessaire de subordonner la créance de Sa Majesté à des charges super prioritaires. Si l’on se reporte aux motifs exposés par la juge Topolniski pour rejeter la requête présentée par la Couronne en vue </w:t>
      </w:r>
      <w:r w:rsidRPr="00074F59">
        <w:rPr>
          <w:rFonts w:cs="Times New Roman"/>
          <w:lang w:val="fr-CA"/>
        </w:rPr>
        <w:lastRenderedPageBreak/>
        <w:t>de faire modifier l’ordonnance initiale, il est évident qu’elle aurait conclu que les charges super prioritaires méritaient d’avoir priorité sur l’intérêt de Sa Majesté (par. 100</w:t>
      </w:r>
      <w:r w:rsidRPr="00074F59">
        <w:rPr>
          <w:rFonts w:cs="Times New Roman"/>
          <w:lang w:val="fr-CA"/>
        </w:rPr>
        <w:noBreakHyphen/>
        <w:t>104). Je tiens toutefois à dire quelques mots au sujet des cas où il peut s’avérer nécessaire pour le juge surveillant de subordonner l’intérêt de Sa Majesté à des charges super prioritaires.</w:t>
      </w:r>
    </w:p>
    <w:p w:rsidR="00344043" w:rsidRPr="00074F59" w:rsidRDefault="00344043" w:rsidP="00344043">
      <w:pPr>
        <w:pStyle w:val="ParaNoNdepar-AltN"/>
        <w:spacing w:before="0"/>
        <w:rPr>
          <w:rFonts w:cs="Times New Roman"/>
          <w:lang w:val="fr-CA"/>
        </w:rPr>
      </w:pPr>
      <w:r w:rsidRPr="00074F59">
        <w:rPr>
          <w:rFonts w:cs="Times New Roman"/>
          <w:lang w:val="fr-CA"/>
        </w:rPr>
        <w:t xml:space="preserve">Il peut s’avérer nécessaire de subordonner la fiducie réputée de Sa Majesté à d’autres charges lorsque le juge surveillant estime que, sans la charge super prioritaire, un professionnel ou un prêteur donné refuserait de s’engager, ce qui </w:t>
      </w:r>
      <w:r>
        <w:rPr>
          <w:rFonts w:cs="Times New Roman"/>
          <w:lang w:val="fr-CA"/>
        </w:rPr>
        <w:t>peut se produire a</w:t>
      </w:r>
      <w:r w:rsidRPr="00074F59">
        <w:rPr>
          <w:rFonts w:cs="Times New Roman"/>
          <w:lang w:val="fr-CA"/>
        </w:rPr>
        <w:t xml:space="preserve">ssez souvent. Par contre, je suis d’accord avec le professeur Wood pour dire que, même si la subordination des charges super prioritaires à la créance de Sa Majesté aura souvent pour effet d’augmenter les coûts et la complexité de la restructuration, il existe des situations où ce ne sera pas le cas. Par exemple, lorsque la créance de Sa Majesté est peu élevée ou qu’elle est connue avec une grande certitude, les entités commerciales pourront gérer leurs risques et n’auront pas besoin d’une super priorité. Après tout, il existe un ordre de collocation même parmi les charges super prioritaires et il est donc évident que ces créanciers sont disposés à ce que leurs créances soient assujetties à certains plafonds fixes. Un autre exemple où des considérations différentes peuvent entrer en jeu est celui de la procédure dite de liquidation prévue par la </w:t>
      </w:r>
      <w:r w:rsidRPr="00074F59">
        <w:rPr>
          <w:rFonts w:cs="Times New Roman"/>
          <w:i/>
          <w:lang w:val="fr-CA"/>
        </w:rPr>
        <w:t>LACC</w:t>
      </w:r>
      <w:r w:rsidRPr="00074F59">
        <w:rPr>
          <w:rFonts w:cs="Times New Roman"/>
          <w:lang w:val="fr-CA"/>
        </w:rPr>
        <w:t xml:space="preserve">. Ainsi que notre Cour l’a récemment reconnu, les procédures prévues par la </w:t>
      </w:r>
      <w:r w:rsidRPr="00074F59">
        <w:rPr>
          <w:rFonts w:cs="Times New Roman"/>
          <w:i/>
          <w:lang w:val="fr-CA"/>
        </w:rPr>
        <w:t xml:space="preserve">LACC </w:t>
      </w:r>
      <w:r w:rsidRPr="00074F59">
        <w:rPr>
          <w:rFonts w:cs="Times New Roman"/>
          <w:lang w:val="fr-CA"/>
        </w:rPr>
        <w:t xml:space="preserve">dont l’objectif fondamental est la liquidation — et non de porter secours à une entreprise en exploitation — occupent une place légitime au sein du régime de la </w:t>
      </w:r>
      <w:r w:rsidRPr="00074F59">
        <w:rPr>
          <w:rFonts w:cs="Times New Roman"/>
          <w:i/>
          <w:lang w:val="fr-CA"/>
        </w:rPr>
        <w:t xml:space="preserve">LACC </w:t>
      </w:r>
      <w:r w:rsidRPr="00074F59">
        <w:rPr>
          <w:rFonts w:cs="Times New Roman"/>
          <w:lang w:val="fr-CA"/>
        </w:rPr>
        <w:t>et ont été acceptées par le législateur par l’adoption de l’art. 36 (</w:t>
      </w:r>
      <w:r w:rsidRPr="00074F59">
        <w:rPr>
          <w:rFonts w:cs="Times New Roman"/>
          <w:i/>
          <w:lang w:val="fr-CA"/>
        </w:rPr>
        <w:t>Callidus Capital</w:t>
      </w:r>
      <w:r w:rsidRPr="00074F59">
        <w:rPr>
          <w:rFonts w:cs="Times New Roman"/>
          <w:lang w:val="fr-CA"/>
        </w:rPr>
        <w:t>, par. 42</w:t>
      </w:r>
      <w:r w:rsidRPr="00074F59">
        <w:rPr>
          <w:rFonts w:cs="Times New Roman"/>
          <w:lang w:val="fr-CA"/>
        </w:rPr>
        <w:noBreakHyphen/>
        <w:t xml:space="preserve">45). </w:t>
      </w:r>
      <w:r w:rsidRPr="00074F59">
        <w:rPr>
          <w:rFonts w:cs="Times New Roman"/>
          <w:lang w:val="fr-CA"/>
        </w:rPr>
        <w:lastRenderedPageBreak/>
        <w:t xml:space="preserve">Les procédures de liquidation prévues par la </w:t>
      </w:r>
      <w:r w:rsidRPr="00074F59">
        <w:rPr>
          <w:rFonts w:cs="Times New Roman"/>
          <w:i/>
          <w:lang w:val="fr-CA"/>
        </w:rPr>
        <w:t xml:space="preserve">LACC </w:t>
      </w:r>
      <w:r w:rsidRPr="00074F59">
        <w:rPr>
          <w:rFonts w:cs="Times New Roman"/>
          <w:lang w:val="fr-CA"/>
        </w:rPr>
        <w:t>visent souvent à maximiser le rendement au profit des créanciers, de sorte que la subordination de l’intérêt de Sa Majesté s’en trouve moins justifiée, hormis les cas de présumé enrichissement sans cause.</w:t>
      </w:r>
    </w:p>
    <w:bookmarkEnd w:id="5"/>
    <w:p w:rsidR="00344043" w:rsidRPr="00074F59" w:rsidRDefault="00344043" w:rsidP="00344043">
      <w:pPr>
        <w:pStyle w:val="Title1LevelTitre1Niveau-AltL"/>
        <w:spacing w:before="0"/>
        <w:rPr>
          <w:rFonts w:cs="Times New Roman"/>
          <w:lang w:val="fr-CA"/>
        </w:rPr>
      </w:pPr>
      <w:r w:rsidRPr="00074F59">
        <w:rPr>
          <w:rFonts w:cs="Times New Roman"/>
          <w:lang w:val="fr-CA"/>
        </w:rPr>
        <w:t>Dispositif</w:t>
      </w:r>
    </w:p>
    <w:p w:rsidR="00344043" w:rsidRPr="00074F59" w:rsidRDefault="00344043" w:rsidP="00344043">
      <w:pPr>
        <w:pStyle w:val="ParaNoNdepar-AltN"/>
        <w:spacing w:before="0"/>
        <w:rPr>
          <w:rFonts w:cs="Times New Roman"/>
          <w:lang w:val="fr-CA"/>
        </w:rPr>
      </w:pPr>
      <w:r w:rsidRPr="00074F59">
        <w:rPr>
          <w:rFonts w:cs="Times New Roman"/>
          <w:lang w:val="fr-CA"/>
        </w:rPr>
        <w:t>Je suis d’avis de rejeter le pourvoi avec dépens devant notre Cour</w:t>
      </w:r>
      <w:r>
        <w:rPr>
          <w:rFonts w:cs="Times New Roman"/>
          <w:lang w:val="fr-CA"/>
        </w:rPr>
        <w:t>,</w:t>
      </w:r>
      <w:r w:rsidRPr="00074F59">
        <w:rPr>
          <w:rFonts w:cs="Times New Roman"/>
          <w:lang w:val="fr-CA"/>
        </w:rPr>
        <w:t xml:space="preserve"> selon le tarif des honoraires et débours fixé à l’annexe B des </w:t>
      </w:r>
      <w:r w:rsidRPr="00074F59">
        <w:rPr>
          <w:rFonts w:cs="Times New Roman"/>
          <w:i/>
          <w:lang w:val="fr-CA"/>
        </w:rPr>
        <w:t>Règles de la Cour suprême du Canada</w:t>
      </w:r>
      <w:r w:rsidRPr="00074F59">
        <w:rPr>
          <w:rFonts w:cs="Times New Roman"/>
          <w:lang w:val="fr-CA"/>
        </w:rPr>
        <w:t>, DORS/2002</w:t>
      </w:r>
      <w:r w:rsidRPr="00074F59">
        <w:rPr>
          <w:rFonts w:cs="Times New Roman"/>
          <w:lang w:val="fr-CA"/>
        </w:rPr>
        <w:noBreakHyphen/>
        <w:t>156.</w:t>
      </w:r>
    </w:p>
    <w:p w:rsidR="00344043" w:rsidRDefault="00344043" w:rsidP="00213F87">
      <w:pPr>
        <w:pStyle w:val="SCCNormalDoubleSpacing"/>
        <w:spacing w:after="480"/>
        <w:rPr>
          <w:rStyle w:val="SCCCounselPartyRoleChar"/>
          <w:lang w:val="fr-CA"/>
        </w:rPr>
      </w:pPr>
    </w:p>
    <w:p w:rsidR="00344043" w:rsidRDefault="00344043" w:rsidP="00344043">
      <w:pPr>
        <w:jc w:val="both"/>
        <w:rPr>
          <w:lang w:val="fr-CA"/>
        </w:rPr>
      </w:pPr>
      <w:r w:rsidRPr="00796D65">
        <w:rPr>
          <w:lang w:val="fr-CA"/>
        </w:rPr>
        <w:t>Version française d</w:t>
      </w:r>
      <w:r>
        <w:rPr>
          <w:lang w:val="fr-CA"/>
        </w:rPr>
        <w:t>es motifs des juges Karakatsanis et Martin</w:t>
      </w:r>
      <w:r w:rsidRPr="00796D65">
        <w:rPr>
          <w:lang w:val="fr-CA"/>
        </w:rPr>
        <w:t xml:space="preserve"> rendus par</w:t>
      </w:r>
    </w:p>
    <w:p w:rsidR="00344043" w:rsidRDefault="00344043" w:rsidP="00344043">
      <w:pPr>
        <w:jc w:val="both"/>
        <w:rPr>
          <w:lang w:val="fr-CA"/>
        </w:rPr>
      </w:pPr>
    </w:p>
    <w:p w:rsidR="00344043" w:rsidRPr="00414E99" w:rsidRDefault="00344043" w:rsidP="00344043">
      <w:pPr>
        <w:pStyle w:val="JudgeJuge"/>
        <w:spacing w:before="240"/>
        <w:rPr>
          <w:lang w:val="fr-CA"/>
        </w:rPr>
      </w:pPr>
      <w:r w:rsidRPr="00414E99">
        <w:rPr>
          <w:lang w:val="fr-CA"/>
        </w:rPr>
        <w:tab/>
        <w:t>La juge Karakatsanis —</w:t>
      </w:r>
    </w:p>
    <w:p w:rsidR="00344043" w:rsidRPr="00FE026A" w:rsidRDefault="00344043" w:rsidP="00FE026A">
      <w:pPr>
        <w:pStyle w:val="Title1LevelTitre1Niveau-AltL"/>
        <w:numPr>
          <w:ilvl w:val="0"/>
          <w:numId w:val="28"/>
        </w:numPr>
        <w:spacing w:before="0"/>
        <w:rPr>
          <w:rFonts w:cs="Times New Roman"/>
          <w:lang w:val="fr-CA"/>
        </w:rPr>
      </w:pPr>
      <w:r w:rsidRPr="00FE026A">
        <w:rPr>
          <w:rFonts w:cs="Times New Roman"/>
          <w:lang w:val="fr-CA"/>
        </w:rPr>
        <w:t>Aperçu</w:t>
      </w:r>
    </w:p>
    <w:p w:rsidR="00344043" w:rsidRPr="00414E99" w:rsidRDefault="00344043" w:rsidP="00344043">
      <w:pPr>
        <w:pStyle w:val="ParaNoNdepar-AltN"/>
        <w:rPr>
          <w:lang w:val="fr-CA"/>
        </w:rPr>
      </w:pPr>
      <w:r w:rsidRPr="00414E99">
        <w:rPr>
          <w:lang w:val="fr-CA"/>
        </w:rPr>
        <w:t xml:space="preserve">Lorsqu’une compagnie cherche à restructurer ses affaires afin d’éviter la faillite, la </w:t>
      </w:r>
      <w:r w:rsidRPr="00414E99">
        <w:rPr>
          <w:i/>
          <w:lang w:val="fr-CA"/>
        </w:rPr>
        <w:t>Loi sur les arrangements avec les créanciers des compagnies</w:t>
      </w:r>
      <w:r w:rsidRPr="00414E99">
        <w:rPr>
          <w:lang w:val="fr-CA"/>
        </w:rPr>
        <w:t>, L.R.C. 1985, c. C</w:t>
      </w:r>
      <w:r w:rsidRPr="00414E99">
        <w:rPr>
          <w:lang w:val="fr-CA"/>
        </w:rPr>
        <w:noBreakHyphen/>
        <w:t>36 (</w:t>
      </w:r>
      <w:r w:rsidRPr="00414E99">
        <w:rPr>
          <w:i/>
          <w:lang w:val="fr-CA"/>
        </w:rPr>
        <w:t>LACC</w:t>
      </w:r>
      <w:r w:rsidRPr="00414E99">
        <w:rPr>
          <w:lang w:val="fr-CA"/>
        </w:rPr>
        <w:t xml:space="preserve">), permet au tribunal d’ordonner des charges en faveur des parties qui sont nécessaires au processus de restructuration : les prêteurs qui fournissent un financement temporaire, le contrôleur qui administre la restructuration de la compagnie, et les dirigeants et administrateurs qui gèrent la compagnie en déroute </w:t>
      </w:r>
      <w:r w:rsidRPr="00414E99">
        <w:rPr>
          <w:lang w:val="fr-CA"/>
        </w:rPr>
        <w:lastRenderedPageBreak/>
        <w:t>(entre autres). Ces charges, souvent appelées « charges super prioritaires », visent à encourager les investissements dans la compagnie alors qu’elle procède à sa restructuration. La restructuration d’une compagnie — une solution de rechange aux effets dévastateurs d’une faillite — sert l’intérêt public puisqu’elle profite aux créanciers, aux employés et à la santé de l’économie en général.</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 xml:space="preserve">En l’espèce, le juge chargé d’appliquer la </w:t>
      </w:r>
      <w:r w:rsidRPr="00414E99">
        <w:rPr>
          <w:rFonts w:cs="Times New Roman"/>
          <w:i/>
          <w:lang w:val="fr-CA"/>
        </w:rPr>
        <w:t xml:space="preserve">LACC </w:t>
      </w:r>
      <w:r w:rsidRPr="00414E99">
        <w:rPr>
          <w:rFonts w:cs="Times New Roman"/>
          <w:lang w:val="fr-CA"/>
        </w:rPr>
        <w:t xml:space="preserve">a grevé le patrimoine de Canada North Group et de six compagnies apparentées (compagnies débitrices) de charges super prioritaires en faveur d’un prêteur temporaire, du contrôleur et des administrateurs. Toutefois, les biens de deux des compagnies débitrices étaient aussi assujettis à une fiducie réputée créée en faveur de la Couronne, en vertu de la </w:t>
      </w:r>
      <w:r w:rsidRPr="00414E99">
        <w:rPr>
          <w:rFonts w:cs="Times New Roman"/>
          <w:i/>
          <w:lang w:val="fr-CA"/>
        </w:rPr>
        <w:t>Loi de l’impôt sur le revenu</w:t>
      </w:r>
      <w:r w:rsidRPr="00414E99">
        <w:rPr>
          <w:rFonts w:cs="Times New Roman"/>
          <w:lang w:val="fr-CA"/>
        </w:rPr>
        <w:t>, L.R.C. 1985, c. 1 (5</w:t>
      </w:r>
      <w:r w:rsidRPr="00414E99">
        <w:rPr>
          <w:rFonts w:cs="Times New Roman"/>
          <w:vertAlign w:val="superscript"/>
          <w:lang w:val="fr-CA"/>
        </w:rPr>
        <w:t>e</w:t>
      </w:r>
      <w:r w:rsidRPr="00414E99">
        <w:rPr>
          <w:rFonts w:cs="Times New Roman"/>
          <w:lang w:val="fr-CA"/>
        </w:rPr>
        <w:t> suppl.) (« </w:t>
      </w:r>
      <w:r w:rsidRPr="00414E99">
        <w:rPr>
          <w:rFonts w:cs="Times New Roman"/>
          <w:i/>
          <w:lang w:val="fr-CA"/>
        </w:rPr>
        <w:t>LIR</w:t>
      </w:r>
      <w:r w:rsidRPr="00414E99">
        <w:rPr>
          <w:rFonts w:cs="Times New Roman"/>
          <w:lang w:val="fr-CA"/>
        </w:rPr>
        <w:t> »), à cause du non</w:t>
      </w:r>
      <w:r w:rsidRPr="00414E99">
        <w:rPr>
          <w:rFonts w:cs="Times New Roman"/>
          <w:lang w:val="fr-CA"/>
        </w:rPr>
        <w:noBreakHyphen/>
        <w:t xml:space="preserve">versement de retenues à la source (impôt sur le revenu des employés, cotisations au </w:t>
      </w:r>
      <w:r w:rsidRPr="00623402">
        <w:rPr>
          <w:rFonts w:cs="Times New Roman"/>
          <w:lang w:val="fr-CA"/>
        </w:rPr>
        <w:t>Régime de pensions du Canada</w:t>
      </w:r>
      <w:r w:rsidRPr="00414E99">
        <w:rPr>
          <w:rFonts w:cs="Times New Roman"/>
          <w:lang w:val="fr-CA"/>
        </w:rPr>
        <w:t xml:space="preserve"> et cotisations d’assurance</w:t>
      </w:r>
      <w:r w:rsidRPr="00414E99">
        <w:rPr>
          <w:rFonts w:cs="Times New Roman"/>
          <w:lang w:val="fr-CA"/>
        </w:rPr>
        <w:noBreakHyphen/>
        <w:t xml:space="preserve">emploi). Bien que le présent pourvoi soit théorique du fait que les actifs sont suffisants pour couvrir à la fois la réclamation de la Couronne au titre de la fiducie réputée et les charges super prioritaires, notre Cour est appelée à déterminer ce qui est prioritaire dans la restructuration : les charges super prioritaires établies sous le régime de la </w:t>
      </w:r>
      <w:r w:rsidRPr="00414E99">
        <w:rPr>
          <w:rFonts w:cs="Times New Roman"/>
          <w:i/>
          <w:lang w:val="fr-CA"/>
        </w:rPr>
        <w:t>LACC</w:t>
      </w:r>
      <w:r w:rsidRPr="00414E99">
        <w:rPr>
          <w:rFonts w:cs="Times New Roman"/>
          <w:lang w:val="fr-CA"/>
        </w:rPr>
        <w:t xml:space="preserve"> ou la fiducie réputée établie sous le régime de la </w:t>
      </w:r>
      <w:r w:rsidRPr="00414E99">
        <w:rPr>
          <w:rFonts w:cs="Times New Roman"/>
          <w:i/>
          <w:lang w:val="fr-CA"/>
        </w:rPr>
        <w:t>LIR</w:t>
      </w:r>
      <w:r w:rsidRPr="00414E99">
        <w:rPr>
          <w:rFonts w:cs="Times New Roman"/>
          <w:lang w:val="fr-CA"/>
        </w:rPr>
        <w:t>.</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 xml:space="preserve">Le paragraphe 227(4.1) de la </w:t>
      </w:r>
      <w:r w:rsidRPr="00414E99">
        <w:rPr>
          <w:rFonts w:cs="Times New Roman"/>
          <w:i/>
          <w:lang w:val="fr-CA"/>
        </w:rPr>
        <w:t xml:space="preserve">LIR </w:t>
      </w:r>
      <w:r w:rsidRPr="00414E99">
        <w:rPr>
          <w:rFonts w:cs="Times New Roman"/>
          <w:lang w:val="fr-CA"/>
        </w:rPr>
        <w:t xml:space="preserve">prévoit que, lorsqu’un employeur omet de verser des retenues à la source à la Couronne, une fiducie réputée s’attache aux biens de l’employeur jusqu’à concurrence de la valeur des retenues à la source non versées. </w:t>
      </w:r>
      <w:r w:rsidRPr="00414E99">
        <w:rPr>
          <w:rFonts w:cs="Times New Roman"/>
          <w:lang w:val="fr-CA"/>
        </w:rPr>
        <w:lastRenderedPageBreak/>
        <w:t>La fiducie réputée fonctionnee « malgré toute autre garantie sur ces biens » et « </w:t>
      </w:r>
      <w:r>
        <w:rPr>
          <w:rFonts w:cs="Times New Roman"/>
          <w:lang w:val="fr-CA"/>
        </w:rPr>
        <w:t>[</w:t>
      </w:r>
      <w:r w:rsidRPr="00414E99">
        <w:rPr>
          <w:rFonts w:cs="Times New Roman"/>
          <w:lang w:val="fr-CA"/>
        </w:rPr>
        <w:t>m</w:t>
      </w:r>
      <w:r>
        <w:rPr>
          <w:rFonts w:cs="Times New Roman"/>
          <w:lang w:val="fr-CA"/>
        </w:rPr>
        <w:t>]</w:t>
      </w:r>
      <w:r w:rsidRPr="00414E99">
        <w:rPr>
          <w:rFonts w:cs="Times New Roman"/>
          <w:lang w:val="fr-CA"/>
        </w:rPr>
        <w:t xml:space="preserve">algré [. . .] tout autre texte législatif fédéral ». Aux termes des art. 11.2, 11.51 et 11.52 de la </w:t>
      </w:r>
      <w:r w:rsidRPr="00414E99">
        <w:rPr>
          <w:rFonts w:cs="Times New Roman"/>
          <w:i/>
          <w:lang w:val="fr-CA"/>
        </w:rPr>
        <w:t>LACC</w:t>
      </w:r>
      <w:r w:rsidRPr="00414E99">
        <w:rPr>
          <w:rFonts w:cs="Times New Roman"/>
          <w:lang w:val="fr-CA"/>
        </w:rPr>
        <w:t>, un tribunal peut, par ordonnance, déclarer que les biens d’une compagnie sont grevés de charges super prioritaires en faveur de prêteurs temporaires, de dirigeants et d’administrateurs, et d’administrateurs de patrimoine. Les charges super prioritaires peuvent avoir priorité sur toute autre réclamation garantie. Prises individuellement, ces dispositions semblent accorder une super priorité à différentes parties en cas d’insolvabilité. Cette question d’interprétation législative a été décrite comme le choc entre une force irrésistible et un objet inamovible</w:t>
      </w:r>
      <w:r>
        <w:rPr>
          <w:rFonts w:cs="Times New Roman"/>
          <w:lang w:val="fr-CA"/>
        </w:rPr>
        <w:t xml:space="preserve"> (R. J. </w:t>
      </w:r>
      <w:r w:rsidRPr="00414E99">
        <w:rPr>
          <w:rFonts w:cs="Times New Roman"/>
          <w:lang w:val="fr-CA"/>
        </w:rPr>
        <w:t>Wood, « </w:t>
      </w:r>
      <w:r>
        <w:rPr>
          <w:rFonts w:cs="Times New Roman"/>
          <w:bCs/>
          <w:lang w:val="fr-CA"/>
        </w:rPr>
        <w:t xml:space="preserve">Irresistible Force Meets Immovable </w:t>
      </w:r>
      <w:r w:rsidRPr="00414E99">
        <w:rPr>
          <w:rFonts w:cs="Times New Roman"/>
          <w:bCs/>
          <w:lang w:val="fr-CA"/>
        </w:rPr>
        <w:t>Object</w:t>
      </w:r>
      <w:r>
        <w:rPr>
          <w:rFonts w:cs="Times New Roman"/>
          <w:bCs/>
          <w:lang w:val="fr-CA"/>
        </w:rPr>
        <w:t> </w:t>
      </w:r>
      <w:r w:rsidRPr="00414E99">
        <w:rPr>
          <w:rFonts w:cs="Times New Roman"/>
          <w:bCs/>
          <w:lang w:val="fr-CA"/>
        </w:rPr>
        <w:t xml:space="preserve">: </w:t>
      </w:r>
      <w:r w:rsidRPr="00414E99">
        <w:rPr>
          <w:rFonts w:cs="Times New Roman"/>
          <w:bCs/>
          <w:i/>
          <w:lang w:val="fr-CA"/>
        </w:rPr>
        <w:t>Canada v. Canada North Group Inc.</w:t>
      </w:r>
      <w:r w:rsidRPr="00414E99">
        <w:rPr>
          <w:rFonts w:cs="Times New Roman"/>
          <w:bCs/>
          <w:lang w:val="fr-CA"/>
        </w:rPr>
        <w:t xml:space="preserve"> » (2020), 63 </w:t>
      </w:r>
      <w:r w:rsidRPr="00414E99">
        <w:rPr>
          <w:rFonts w:cs="Times New Roman"/>
          <w:i/>
          <w:lang w:val="fr-CA"/>
        </w:rPr>
        <w:t xml:space="preserve">Rev. can. dr. comm. </w:t>
      </w:r>
      <w:r w:rsidRPr="00414E99">
        <w:rPr>
          <w:rFonts w:cs="Times New Roman"/>
          <w:bCs/>
          <w:lang w:val="fr-CA"/>
        </w:rPr>
        <w:t>85)</w:t>
      </w:r>
      <w:r w:rsidRPr="00414E99">
        <w:rPr>
          <w:rFonts w:cs="Times New Roman"/>
          <w:lang w:val="fr-CA"/>
        </w:rPr>
        <w:t>.</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 xml:space="preserve">L’appelante, la Couronne, soutient que le par. 227(4.1) de la </w:t>
      </w:r>
      <w:r w:rsidRPr="00414E99">
        <w:rPr>
          <w:rFonts w:cs="Times New Roman"/>
          <w:i/>
          <w:lang w:val="fr-CA"/>
        </w:rPr>
        <w:t>LIR</w:t>
      </w:r>
      <w:r w:rsidRPr="00414E99">
        <w:rPr>
          <w:rFonts w:cs="Times New Roman"/>
          <w:lang w:val="fr-CA"/>
        </w:rPr>
        <w:t xml:space="preserve"> lui confère un droit propriétal puisque, par le mécanisme d’une fiducie réputée, il accorde à la Couronne un droit de bénéficiaire sur le montant des retenues à la source non versées. Autrement dit, ce </w:t>
      </w:r>
      <w:r w:rsidRPr="00414E99">
        <w:rPr>
          <w:rFonts w:cs="Times New Roman"/>
          <w:i/>
          <w:lang w:val="fr-CA"/>
        </w:rPr>
        <w:t>montant</w:t>
      </w:r>
      <w:r w:rsidRPr="00414E99">
        <w:rPr>
          <w:rFonts w:cs="Times New Roman"/>
          <w:lang w:val="fr-CA"/>
        </w:rPr>
        <w:t xml:space="preserve"> est la propriété de la Couronne, et un juge chargé d’appliquer la </w:t>
      </w:r>
      <w:r w:rsidRPr="00414E99">
        <w:rPr>
          <w:rFonts w:cs="Times New Roman"/>
          <w:i/>
          <w:lang w:val="fr-CA"/>
        </w:rPr>
        <w:t xml:space="preserve">LACC </w:t>
      </w:r>
      <w:r w:rsidRPr="00414E99">
        <w:rPr>
          <w:rFonts w:cs="Times New Roman"/>
          <w:lang w:val="fr-CA"/>
        </w:rPr>
        <w:t>ne peut donc pas grever ce montant d’une charge; il devrait être soustrait du patrimoine et il ne peut jouer aucun rôle dans le processus de restructuration.</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En revanche, les intimées affirment que le par. 227(4.1) confère à la Couronne une garantie nettement visée par les art. 11.2, 11.51</w:t>
      </w:r>
      <w:r>
        <w:rPr>
          <w:rFonts w:cs="Times New Roman"/>
          <w:lang w:val="fr-CA"/>
        </w:rPr>
        <w:t xml:space="preserve"> et </w:t>
      </w:r>
      <w:r w:rsidRPr="00414E99">
        <w:rPr>
          <w:rFonts w:cs="Times New Roman"/>
          <w:lang w:val="fr-CA"/>
        </w:rPr>
        <w:t xml:space="preserve">11.52 de la </w:t>
      </w:r>
      <w:r w:rsidRPr="00414E99">
        <w:rPr>
          <w:rFonts w:cs="Times New Roman"/>
          <w:i/>
          <w:lang w:val="fr-CA"/>
        </w:rPr>
        <w:t>LACC</w:t>
      </w:r>
      <w:r w:rsidRPr="00414E99">
        <w:rPr>
          <w:rFonts w:cs="Times New Roman"/>
          <w:lang w:val="fr-CA"/>
        </w:rPr>
        <w:t xml:space="preserve">. Elles ajoutent qu’il n’existe aucun conflit entre les dispositions en cause parce que les </w:t>
      </w:r>
      <w:r w:rsidRPr="00414E99">
        <w:rPr>
          <w:rFonts w:cs="Times New Roman"/>
          <w:lang w:val="fr-CA"/>
        </w:rPr>
        <w:lastRenderedPageBreak/>
        <w:t>politiques qui sous</w:t>
      </w:r>
      <w:r w:rsidRPr="00414E99">
        <w:rPr>
          <w:rFonts w:cs="Times New Roman"/>
          <w:lang w:val="fr-CA"/>
        </w:rPr>
        <w:noBreakHyphen/>
        <w:t xml:space="preserve">tendent les deux lois peuvent être harmonisées en faveur de l’application des dispositions de la </w:t>
      </w:r>
      <w:r w:rsidRPr="00414E99">
        <w:rPr>
          <w:rFonts w:cs="Times New Roman"/>
          <w:i/>
          <w:lang w:val="fr-CA"/>
        </w:rPr>
        <w:t>LACC</w:t>
      </w:r>
      <w:r w:rsidRPr="00414E99">
        <w:rPr>
          <w:rFonts w:cs="Times New Roman"/>
          <w:lang w:val="fr-CA"/>
        </w:rPr>
        <w:t>.</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Pour les raisons exposées ci</w:t>
      </w:r>
      <w:r w:rsidRPr="00414E99">
        <w:rPr>
          <w:rFonts w:cs="Times New Roman"/>
          <w:lang w:val="fr-CA"/>
        </w:rPr>
        <w:noBreakHyphen/>
        <w:t xml:space="preserve">dessous, je conclus qu’il n’existe aucun conflit entre les dispositions de la </w:t>
      </w:r>
      <w:r w:rsidRPr="00414E99">
        <w:rPr>
          <w:rFonts w:cs="Times New Roman"/>
          <w:i/>
          <w:lang w:val="fr-CA"/>
        </w:rPr>
        <w:t>LIR</w:t>
      </w:r>
      <w:r w:rsidRPr="00414E99">
        <w:rPr>
          <w:rFonts w:cs="Times New Roman"/>
          <w:lang w:val="fr-CA"/>
        </w:rPr>
        <w:t xml:space="preserve"> et celles de la </w:t>
      </w:r>
      <w:r w:rsidRPr="00414E99">
        <w:rPr>
          <w:rFonts w:cs="Times New Roman"/>
          <w:i/>
          <w:lang w:val="fr-CA"/>
        </w:rPr>
        <w:t>LACC</w:t>
      </w:r>
      <w:r w:rsidRPr="00414E99">
        <w:rPr>
          <w:rFonts w:cs="Times New Roman"/>
          <w:lang w:val="fr-CA"/>
        </w:rPr>
        <w:t xml:space="preserve">. Le « droit de bénéficiaire » prévu au par. 227(4.1) de la </w:t>
      </w:r>
      <w:r w:rsidRPr="00414E99">
        <w:rPr>
          <w:rFonts w:cs="Times New Roman"/>
          <w:i/>
          <w:lang w:val="fr-CA"/>
        </w:rPr>
        <w:t>LIR</w:t>
      </w:r>
      <w:r w:rsidRPr="00414E99">
        <w:rPr>
          <w:rFonts w:cs="Times New Roman"/>
          <w:lang w:val="fr-CA"/>
        </w:rPr>
        <w:t xml:space="preserve"> doit être interprété dans le contexte législatif précis où il se manifeste. En l’espèce, le droit de la Couronne sur des retenues à la source non versées dans le cadre d’une restructuration sous le régime de la </w:t>
      </w:r>
      <w:r w:rsidRPr="00414E99">
        <w:rPr>
          <w:rFonts w:cs="Times New Roman"/>
          <w:i/>
          <w:lang w:val="fr-CA"/>
        </w:rPr>
        <w:t xml:space="preserve">LACC </w:t>
      </w:r>
      <w:r w:rsidRPr="00414E99">
        <w:rPr>
          <w:rFonts w:cs="Times New Roman"/>
          <w:lang w:val="fr-CA"/>
        </w:rPr>
        <w:t xml:space="preserve">est protégé par l’exigence qu’un plan de transaction prévoie le paiement intégral à la Couronne. Puisque je ne conclus pas que l’intérêt de la Couronne entre dans la définition applicable de « créancier garanti » contenue dans la </w:t>
      </w:r>
      <w:r w:rsidRPr="00414E99">
        <w:rPr>
          <w:rFonts w:cs="Times New Roman"/>
          <w:i/>
          <w:lang w:val="fr-CA"/>
        </w:rPr>
        <w:t>LACC</w:t>
      </w:r>
      <w:r w:rsidRPr="00414E99">
        <w:rPr>
          <w:rFonts w:cs="Times New Roman"/>
          <w:lang w:val="fr-CA"/>
        </w:rPr>
        <w:t>, il ne relève pas du pouvoir du tribunal d’ordonner des charges super prioritaires en vertu des art. 11.2, 11.51</w:t>
      </w:r>
      <w:r>
        <w:rPr>
          <w:rFonts w:cs="Times New Roman"/>
          <w:lang w:val="fr-CA"/>
        </w:rPr>
        <w:t xml:space="preserve"> et </w:t>
      </w:r>
      <w:r w:rsidRPr="00414E99">
        <w:rPr>
          <w:rFonts w:cs="Times New Roman"/>
          <w:lang w:val="fr-CA"/>
        </w:rPr>
        <w:t xml:space="preserve">11.52 de la </w:t>
      </w:r>
      <w:r w:rsidRPr="00414E99">
        <w:rPr>
          <w:rFonts w:cs="Times New Roman"/>
          <w:i/>
          <w:lang w:val="fr-CA"/>
        </w:rPr>
        <w:t>LACC</w:t>
      </w:r>
      <w:r w:rsidRPr="00414E99">
        <w:rPr>
          <w:rFonts w:cs="Times New Roman"/>
          <w:lang w:val="fr-CA"/>
        </w:rPr>
        <w:t xml:space="preserve">. Cependant, je suis d’avis que le vaste pouvoir discrétionnaire conféré par l’art. 11 de la </w:t>
      </w:r>
      <w:r w:rsidRPr="00414E99">
        <w:rPr>
          <w:rFonts w:cs="Times New Roman"/>
          <w:i/>
          <w:lang w:val="fr-CA"/>
        </w:rPr>
        <w:t>LACC</w:t>
      </w:r>
      <w:r w:rsidRPr="00414E99">
        <w:rPr>
          <w:rFonts w:cs="Times New Roman"/>
          <w:lang w:val="fr-CA"/>
        </w:rPr>
        <w:t xml:space="preserve"> permet au tribunal de faire passer les charges super prioritaires devant la fiducie réputée créée en faveur de la Couronne à l’égard des retenues à la source non versées. Cette conclusion harmonise les objectifs des deux lois fédérales. Je rejetterais le pourvoi.</w:t>
      </w:r>
    </w:p>
    <w:p w:rsidR="00344043" w:rsidRPr="00414E99" w:rsidRDefault="00344043" w:rsidP="00344043">
      <w:pPr>
        <w:pStyle w:val="Title1LevelTitre1Niveau-AltL"/>
        <w:spacing w:before="0"/>
        <w:rPr>
          <w:rFonts w:cs="Times New Roman"/>
          <w:lang w:val="fr-CA"/>
        </w:rPr>
      </w:pPr>
      <w:r w:rsidRPr="00414E99">
        <w:rPr>
          <w:rFonts w:cs="Times New Roman"/>
          <w:lang w:val="fr-CA"/>
        </w:rPr>
        <w:t>Faits</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 xml:space="preserve">En juillet 2017, la Cour du Banc de la Reine de l’Alberta a rendu une ordonnance accordant aux compagnies débitrices la protection de la </w:t>
      </w:r>
      <w:r w:rsidRPr="00414E99">
        <w:rPr>
          <w:rFonts w:cs="Times New Roman"/>
          <w:i/>
          <w:lang w:val="fr-CA"/>
        </w:rPr>
        <w:t>LACC</w:t>
      </w:r>
      <w:r w:rsidRPr="00414E99">
        <w:rPr>
          <w:rFonts w:cs="Times New Roman"/>
          <w:lang w:val="fr-CA"/>
        </w:rPr>
        <w:t xml:space="preserve"> (B.R. Alb., n</w:t>
      </w:r>
      <w:r w:rsidRPr="00414E99">
        <w:rPr>
          <w:rFonts w:cs="Times New Roman"/>
          <w:vertAlign w:val="superscript"/>
          <w:lang w:val="fr-CA"/>
        </w:rPr>
        <w:t>o</w:t>
      </w:r>
      <w:r w:rsidRPr="00414E99">
        <w:rPr>
          <w:rFonts w:cs="Times New Roman"/>
          <w:lang w:val="fr-CA"/>
        </w:rPr>
        <w:t> 1703</w:t>
      </w:r>
      <w:r w:rsidRPr="00414E99">
        <w:rPr>
          <w:rFonts w:cs="Times New Roman"/>
          <w:lang w:val="fr-CA"/>
        </w:rPr>
        <w:noBreakHyphen/>
        <w:t xml:space="preserve">12327, 5 juillet 2017 (ordonnance initiale)). L’ordonnance initiale établissait les charges super prioritaires selon l’ordre de priorité suivant : (1) une charge </w:t>
      </w:r>
      <w:r w:rsidRPr="00414E99">
        <w:rPr>
          <w:rFonts w:cs="Times New Roman"/>
          <w:lang w:val="fr-CA"/>
        </w:rPr>
        <w:lastRenderedPageBreak/>
        <w:t>administrative de 500 000 $ en faveur du contrôleur nommé par le tribunal, Ernst &amp; Young Inc.; (2) une charge de 1 000 000 $ en faveur du prêteur temporaire, la Banque de développement du Canada (BDC); (3) une charge de 150 000 $ en faveur des administrateurs (collectivement, les charges super prioritaires). La charge en faveur du prêteur temporaire a par la suite été portée à 3 500 000 $ et la charge administrative, à 950 000 $.</w:t>
      </w:r>
    </w:p>
    <w:p w:rsidR="00344043" w:rsidRPr="00623402"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Le paragraphe 44 de l’ordonnance initiale indiquait que les charges super prioritaires prenaient rang devant les réclamations des créanciers garantis :</w:t>
      </w:r>
    </w:p>
    <w:p w:rsidR="00344043" w:rsidRPr="00414E99" w:rsidRDefault="00344043" w:rsidP="00344043">
      <w:pPr>
        <w:pStyle w:val="Citation-AltC"/>
        <w:tabs>
          <w:tab w:val="left" w:pos="1440"/>
        </w:tabs>
        <w:contextualSpacing w:val="0"/>
        <w:rPr>
          <w:lang w:val="fr-CA"/>
        </w:rPr>
      </w:pPr>
      <w:r w:rsidRPr="00414E99">
        <w:rPr>
          <w:lang w:val="fr-CA"/>
        </w:rPr>
        <w:tab/>
        <w:t>[</w:t>
      </w:r>
      <w:r w:rsidRPr="00414E99">
        <w:rPr>
          <w:smallCaps/>
          <w:lang w:val="fr-CA"/>
        </w:rPr>
        <w:t>traduction</w:t>
      </w:r>
      <w:r w:rsidRPr="00414E99">
        <w:rPr>
          <w:lang w:val="fr-CA"/>
        </w:rPr>
        <w:t xml:space="preserve">] </w:t>
      </w:r>
      <w:r>
        <w:rPr>
          <w:lang w:val="fr-CA"/>
        </w:rPr>
        <w:t>C</w:t>
      </w:r>
      <w:r w:rsidRPr="00414E99">
        <w:rPr>
          <w:lang w:val="fr-CA"/>
        </w:rPr>
        <w:t xml:space="preserve">hacune des charges relatives à l’administration, aux administrateurs et au prêteur temporaire </w:t>
      </w:r>
      <w:r>
        <w:rPr>
          <w:lang w:val="fr-CA"/>
        </w:rPr>
        <w:t>[. . . ]</w:t>
      </w:r>
      <w:r w:rsidRPr="00414E99">
        <w:rPr>
          <w:lang w:val="fr-CA"/>
        </w:rPr>
        <w:t xml:space="preserve"> grèvent les biens et, sous réserve du paragraphe 34(11) de la </w:t>
      </w:r>
      <w:r w:rsidRPr="00623402">
        <w:rPr>
          <w:lang w:val="fr-CA"/>
        </w:rPr>
        <w:t>LACC</w:t>
      </w:r>
      <w:r w:rsidRPr="00414E99">
        <w:rPr>
          <w:lang w:val="fr-CA"/>
        </w:rPr>
        <w:t xml:space="preserve">, toutes ces charges </w:t>
      </w:r>
      <w:r>
        <w:rPr>
          <w:lang w:val="fr-CA"/>
        </w:rPr>
        <w:t>ont</w:t>
      </w:r>
      <w:r w:rsidRPr="00414E99">
        <w:rPr>
          <w:lang w:val="fr-CA"/>
        </w:rPr>
        <w:t xml:space="preserve"> priorité sur tous les autres privilèges,</w:t>
      </w:r>
      <w:r>
        <w:rPr>
          <w:lang w:val="fr-CA"/>
        </w:rPr>
        <w:t xml:space="preserve"> </w:t>
      </w:r>
      <w:r w:rsidRPr="00414E99">
        <w:rPr>
          <w:lang w:val="fr-CA"/>
        </w:rPr>
        <w:t xml:space="preserve">garanties, fiducies, charges et sûretés, créances de créanciers garantis, d’origine législative ou autre </w:t>
      </w:r>
      <w:r>
        <w:rPr>
          <w:lang w:val="fr-CA"/>
        </w:rPr>
        <w:t>[. . . ]</w:t>
      </w:r>
      <w:r w:rsidRPr="00414E99">
        <w:rPr>
          <w:lang w:val="fr-CA"/>
        </w:rPr>
        <w:t xml:space="preserve"> détenus par quiconque.</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Le paragraphe 46 de l’ordonnance initiale indiquait que les charges super prioritaires [</w:t>
      </w:r>
      <w:r w:rsidRPr="00414E99">
        <w:rPr>
          <w:rFonts w:cs="Times New Roman"/>
          <w:smallCaps/>
          <w:lang w:val="fr-CA"/>
        </w:rPr>
        <w:t>traduction</w:t>
      </w:r>
      <w:r w:rsidRPr="00414E99">
        <w:rPr>
          <w:rFonts w:cs="Times New Roman"/>
          <w:lang w:val="fr-CA"/>
        </w:rPr>
        <w:t>] « </w:t>
      </w:r>
      <w:r>
        <w:rPr>
          <w:rFonts w:cs="Times New Roman"/>
          <w:lang w:val="fr-CA"/>
        </w:rPr>
        <w:t xml:space="preserve">ne sont </w:t>
      </w:r>
      <w:r w:rsidRPr="00414E99">
        <w:rPr>
          <w:rFonts w:cs="Times New Roman"/>
          <w:lang w:val="fr-CA"/>
        </w:rPr>
        <w:t>pas</w:t>
      </w:r>
      <w:r>
        <w:rPr>
          <w:rFonts w:cs="Times New Roman"/>
          <w:lang w:val="fr-CA"/>
        </w:rPr>
        <w:t xml:space="preserve"> autrement</w:t>
      </w:r>
      <w:r w:rsidRPr="00414E99">
        <w:rPr>
          <w:rFonts w:cs="Times New Roman"/>
          <w:lang w:val="fr-CA"/>
        </w:rPr>
        <w:t xml:space="preserve"> limitées ou compromises de quelque façon que ce soit par [. . .] </w:t>
      </w:r>
      <w:r>
        <w:rPr>
          <w:rFonts w:cs="Times New Roman"/>
          <w:lang w:val="fr-CA"/>
        </w:rPr>
        <w:t>(</w:t>
      </w:r>
      <w:r w:rsidRPr="00414E99">
        <w:rPr>
          <w:rFonts w:cs="Times New Roman"/>
          <w:lang w:val="fr-CA"/>
        </w:rPr>
        <w:t>d) les dispositions de toute loi fédérale ou provinciale ».</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 xml:space="preserve">Au moment où a été rendue l’ordonnance initiale, deux des compagnies débitrices avaient omis de verser les retenues à la source et devaient à la Couronne 685 542,93 $. La Couronne a présenté une demande visant à faire modifier les charges super prioritaires établies dans l’ordonnance initiale au motif que les par. 44 et 46d) ne reconnaissaient pas l’intérêt accordé par la loi à la Couronne dans les retenues à la </w:t>
      </w:r>
      <w:r w:rsidRPr="00414E99">
        <w:rPr>
          <w:rFonts w:cs="Times New Roman"/>
          <w:lang w:val="fr-CA"/>
        </w:rPr>
        <w:lastRenderedPageBreak/>
        <w:t xml:space="preserve">source non versées. La Couronne a soutenu que le par. 227(4.1) de la </w:t>
      </w:r>
      <w:r w:rsidRPr="00414E99">
        <w:rPr>
          <w:rFonts w:cs="Times New Roman"/>
          <w:i/>
          <w:lang w:val="fr-CA"/>
        </w:rPr>
        <w:t>LIR</w:t>
      </w:r>
      <w:r w:rsidRPr="00414E99">
        <w:rPr>
          <w:rFonts w:cs="Times New Roman"/>
          <w:lang w:val="fr-CA"/>
        </w:rPr>
        <w:t xml:space="preserve">, le par. 23(4) du </w:t>
      </w:r>
      <w:r w:rsidRPr="00414E99">
        <w:rPr>
          <w:rFonts w:cs="Times New Roman"/>
          <w:i/>
          <w:lang w:val="fr-CA"/>
        </w:rPr>
        <w:t>Régime de pensions du Canada</w:t>
      </w:r>
      <w:r w:rsidRPr="00414E99">
        <w:rPr>
          <w:rFonts w:cs="Times New Roman"/>
          <w:lang w:val="fr-CA"/>
        </w:rPr>
        <w:t>, L.R.C. 1985, c. C</w:t>
      </w:r>
      <w:r w:rsidRPr="00414E99">
        <w:rPr>
          <w:rFonts w:cs="Times New Roman"/>
          <w:lang w:val="fr-CA"/>
        </w:rPr>
        <w:noBreakHyphen/>
        <w:t>8 (</w:t>
      </w:r>
      <w:r w:rsidRPr="00414E99">
        <w:rPr>
          <w:rFonts w:cs="Times New Roman"/>
          <w:i/>
          <w:lang w:val="fr-CA"/>
        </w:rPr>
        <w:t>RPC</w:t>
      </w:r>
      <w:r w:rsidRPr="00414E99">
        <w:rPr>
          <w:rFonts w:cs="Times New Roman"/>
          <w:lang w:val="fr-CA"/>
        </w:rPr>
        <w:t>)</w:t>
      </w:r>
      <w:r>
        <w:rPr>
          <w:rFonts w:cs="Times New Roman"/>
          <w:lang w:val="fr-CA"/>
        </w:rPr>
        <w:t>,</w:t>
      </w:r>
      <w:r w:rsidRPr="00414E99">
        <w:rPr>
          <w:rFonts w:cs="Times New Roman"/>
          <w:lang w:val="fr-CA"/>
        </w:rPr>
        <w:t xml:space="preserve"> et le par. 86(2.1) de la </w:t>
      </w:r>
      <w:r w:rsidRPr="00414E99">
        <w:rPr>
          <w:rFonts w:cs="Times New Roman"/>
          <w:i/>
          <w:lang w:val="fr-CA"/>
        </w:rPr>
        <w:t>Loi sur l’assurance</w:t>
      </w:r>
      <w:r w:rsidRPr="00414E99">
        <w:rPr>
          <w:rFonts w:cs="Times New Roman"/>
          <w:i/>
          <w:lang w:val="fr-CA"/>
        </w:rPr>
        <w:noBreakHyphen/>
        <w:t>emploi</w:t>
      </w:r>
      <w:r w:rsidRPr="00414E99">
        <w:rPr>
          <w:rFonts w:cs="Times New Roman"/>
          <w:lang w:val="fr-CA"/>
        </w:rPr>
        <w:t>, L.C. 1996, c. 23 (</w:t>
      </w:r>
      <w:r w:rsidRPr="00414E99">
        <w:rPr>
          <w:rFonts w:cs="Times New Roman"/>
          <w:i/>
          <w:lang w:val="fr-CA"/>
        </w:rPr>
        <w:t>LAE</w:t>
      </w:r>
      <w:r w:rsidRPr="00414E99">
        <w:rPr>
          <w:rFonts w:cs="Times New Roman"/>
          <w:lang w:val="fr-CA"/>
        </w:rPr>
        <w:t>)</w:t>
      </w:r>
      <w:r>
        <w:rPr>
          <w:rFonts w:cs="Times New Roman"/>
          <w:lang w:val="fr-CA"/>
        </w:rPr>
        <w:t>,</w:t>
      </w:r>
      <w:r w:rsidRPr="00414E99">
        <w:rPr>
          <w:rFonts w:cs="Times New Roman"/>
          <w:lang w:val="fr-CA"/>
        </w:rPr>
        <w:t xml:space="preserve"> exigent que les réclamations de la Couronne à l’égard des retenues à la source non versées prennent rang devant les réclamations de tout autre créancier d’un débiteur, malgré toute autre loi fédérale, y compris la </w:t>
      </w:r>
      <w:r w:rsidRPr="00414E99">
        <w:rPr>
          <w:rFonts w:cs="Times New Roman"/>
          <w:i/>
          <w:lang w:val="fr-CA"/>
        </w:rPr>
        <w:t>LACC</w:t>
      </w:r>
      <w:r w:rsidRPr="00623402">
        <w:rPr>
          <w:rFonts w:cs="Times New Roman"/>
          <w:iCs/>
          <w:lang w:val="fr-CA"/>
        </w:rPr>
        <w:t>.</w:t>
      </w:r>
      <w:r w:rsidRPr="00414E99">
        <w:rPr>
          <w:rFonts w:cs="Times New Roman"/>
          <w:lang w:val="fr-CA"/>
        </w:rPr>
        <w:t xml:space="preserve"> Dans les présents motifs, je me reporterai uniquement au par. 227(4.1) de la </w:t>
      </w:r>
      <w:r w:rsidRPr="00414E99">
        <w:rPr>
          <w:rFonts w:cs="Times New Roman"/>
          <w:i/>
          <w:lang w:val="fr-CA"/>
        </w:rPr>
        <w:t xml:space="preserve">LIR </w:t>
      </w:r>
      <w:r w:rsidRPr="00414E99">
        <w:rPr>
          <w:rFonts w:cs="Times New Roman"/>
          <w:lang w:val="fr-CA"/>
        </w:rPr>
        <w:t xml:space="preserve">parce que les dispositions pertinentes de la </w:t>
      </w:r>
      <w:r w:rsidRPr="00414E99">
        <w:rPr>
          <w:rFonts w:cs="Times New Roman"/>
          <w:i/>
          <w:lang w:val="fr-CA"/>
        </w:rPr>
        <w:t>LIR</w:t>
      </w:r>
      <w:r w:rsidRPr="00414E99">
        <w:rPr>
          <w:rFonts w:cs="Times New Roman"/>
          <w:lang w:val="fr-CA"/>
        </w:rPr>
        <w:t xml:space="preserve">, du </w:t>
      </w:r>
      <w:r w:rsidRPr="00414E99">
        <w:rPr>
          <w:rFonts w:cs="Times New Roman"/>
          <w:i/>
          <w:lang w:val="fr-CA"/>
        </w:rPr>
        <w:t>RPC</w:t>
      </w:r>
      <w:r w:rsidRPr="00414E99">
        <w:rPr>
          <w:rFonts w:cs="Times New Roman"/>
          <w:lang w:val="fr-CA"/>
        </w:rPr>
        <w:t xml:space="preserve"> et de la </w:t>
      </w:r>
      <w:r w:rsidRPr="00414E99">
        <w:rPr>
          <w:rFonts w:cs="Times New Roman"/>
          <w:i/>
          <w:lang w:val="fr-CA"/>
        </w:rPr>
        <w:t>LAE</w:t>
      </w:r>
      <w:r w:rsidRPr="00414E99">
        <w:rPr>
          <w:rFonts w:cs="Times New Roman"/>
          <w:lang w:val="fr-CA"/>
        </w:rPr>
        <w:t xml:space="preserve"> sont identiques et que le </w:t>
      </w:r>
      <w:r w:rsidRPr="00414E99">
        <w:rPr>
          <w:rFonts w:cs="Times New Roman"/>
          <w:i/>
          <w:lang w:val="fr-CA"/>
        </w:rPr>
        <w:t>RPC</w:t>
      </w:r>
      <w:r w:rsidRPr="00414E99">
        <w:rPr>
          <w:rFonts w:cs="Times New Roman"/>
          <w:lang w:val="fr-CA"/>
        </w:rPr>
        <w:t xml:space="preserve"> et la </w:t>
      </w:r>
      <w:r w:rsidRPr="00414E99">
        <w:rPr>
          <w:rFonts w:cs="Times New Roman"/>
          <w:i/>
          <w:lang w:val="fr-CA"/>
        </w:rPr>
        <w:t>LAE</w:t>
      </w:r>
      <w:r w:rsidRPr="00414E99">
        <w:rPr>
          <w:rFonts w:cs="Times New Roman"/>
          <w:lang w:val="fr-CA"/>
        </w:rPr>
        <w:t xml:space="preserve"> renvoient à la </w:t>
      </w:r>
      <w:r w:rsidRPr="00414E99">
        <w:rPr>
          <w:rFonts w:cs="Times New Roman"/>
          <w:i/>
          <w:lang w:val="fr-CA"/>
        </w:rPr>
        <w:t>LIR</w:t>
      </w:r>
      <w:r w:rsidRPr="00414E99">
        <w:rPr>
          <w:rFonts w:cs="Times New Roman"/>
          <w:lang w:val="fr-CA"/>
        </w:rPr>
        <w:t>.</w:t>
      </w:r>
    </w:p>
    <w:p w:rsidR="00344043" w:rsidRPr="00414E99" w:rsidRDefault="00344043" w:rsidP="00344043">
      <w:pPr>
        <w:pStyle w:val="Title1LevelTitre1Niveau-AltL"/>
        <w:spacing w:before="0"/>
        <w:rPr>
          <w:rFonts w:cs="Times New Roman"/>
          <w:lang w:val="fr-CA"/>
        </w:rPr>
      </w:pPr>
      <w:r w:rsidRPr="00414E99">
        <w:rPr>
          <w:rFonts w:cs="Times New Roman"/>
          <w:lang w:val="fr-CA"/>
        </w:rPr>
        <w:t>Décisions des juridictions inférieures</w:t>
      </w:r>
    </w:p>
    <w:p w:rsidR="00344043" w:rsidRPr="00414E99" w:rsidRDefault="00344043" w:rsidP="00344043">
      <w:pPr>
        <w:pStyle w:val="Title2LevelTitre2Niveau"/>
        <w:spacing w:before="0"/>
        <w:rPr>
          <w:rFonts w:cs="Times New Roman"/>
          <w:lang w:val="fr-CA"/>
        </w:rPr>
      </w:pPr>
      <w:r w:rsidRPr="00414E99">
        <w:rPr>
          <w:rFonts w:cs="Times New Roman"/>
          <w:lang w:val="fr-CA"/>
        </w:rPr>
        <w:t>Cour du Banc de la Reine de l’Alberta, 2017 ABQB 550, 60 Alta. L.R. (6th) 103 (la juge Topolniski)</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 xml:space="preserve">La juge de première instance a déclaré que les charges super prioritaires ordonnées par le tribunal en vertu des art. 11.2, 11.51 et 11.52 de la </w:t>
      </w:r>
      <w:r w:rsidRPr="00414E99">
        <w:rPr>
          <w:rFonts w:cs="Times New Roman"/>
          <w:i/>
          <w:iCs/>
          <w:lang w:val="fr-CA"/>
        </w:rPr>
        <w:t>LACC</w:t>
      </w:r>
      <w:r w:rsidRPr="00414E99">
        <w:rPr>
          <w:rFonts w:cs="Times New Roman"/>
          <w:lang w:val="fr-CA"/>
        </w:rPr>
        <w:t xml:space="preserve"> </w:t>
      </w:r>
      <w:r>
        <w:rPr>
          <w:rFonts w:cs="Times New Roman"/>
          <w:lang w:val="fr-CA"/>
        </w:rPr>
        <w:t>on</w:t>
      </w:r>
      <w:r w:rsidRPr="00414E99">
        <w:rPr>
          <w:rFonts w:cs="Times New Roman"/>
          <w:lang w:val="fr-CA"/>
        </w:rPr>
        <w:t>t priorité sur la fiducie réputée créée en faveur de la Couronne à l’égard des retenues à la source non versées. En premier lieu, la juge a conclu que la fiducie réputée créée en faveur de la Couronne en vertu du par. </w:t>
      </w:r>
      <w:r w:rsidRPr="00414E99">
        <w:rPr>
          <w:rStyle w:val="s2"/>
          <w:rFonts w:cs="Times New Roman"/>
          <w:szCs w:val="24"/>
          <w:lang w:val="fr-CA"/>
        </w:rPr>
        <w:t xml:space="preserve">227(4.1) de la </w:t>
      </w:r>
      <w:r w:rsidRPr="00414E99">
        <w:rPr>
          <w:rStyle w:val="s2"/>
          <w:rFonts w:cs="Times New Roman"/>
          <w:i/>
          <w:szCs w:val="24"/>
          <w:lang w:val="fr-CA"/>
        </w:rPr>
        <w:t>LIR</w:t>
      </w:r>
      <w:r w:rsidRPr="00414E99">
        <w:rPr>
          <w:rStyle w:val="s2"/>
          <w:rFonts w:cs="Times New Roman"/>
          <w:szCs w:val="24"/>
          <w:lang w:val="fr-CA"/>
        </w:rPr>
        <w:t xml:space="preserve"> créait une garantie plutôt qu’un intérêt propriétal puisque la définition de « garantie » contenue dans la </w:t>
      </w:r>
      <w:r w:rsidRPr="00414E99">
        <w:rPr>
          <w:rStyle w:val="s3"/>
          <w:rFonts w:cs="Times New Roman"/>
          <w:i/>
          <w:iCs/>
          <w:szCs w:val="24"/>
          <w:lang w:val="fr-CA"/>
        </w:rPr>
        <w:t xml:space="preserve">LIR </w:t>
      </w:r>
      <w:r w:rsidRPr="00414E99">
        <w:rPr>
          <w:rStyle w:val="s2"/>
          <w:rFonts w:cs="Times New Roman"/>
          <w:szCs w:val="24"/>
          <w:lang w:val="fr-CA"/>
        </w:rPr>
        <w:t>comprend tout intérêt créé par une fiducie réputée ou véritable, et qu’il serait incohérent d’interpréter l’intérêt de la Couronne au titre du par. 227(4.1) à l’encontre de sa loi habilitante. Elle a également opiné que la fiducie réputée constituait une garantie en raison de l’absence de certitude quant à sa matière; elle ne constituait donc pas une fiducie véritable.</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lastRenderedPageBreak/>
        <w:t xml:space="preserve">En second lieu, la juge de première instance a conclu que le par. 227(4.1) de la </w:t>
      </w:r>
      <w:r w:rsidRPr="00414E99">
        <w:rPr>
          <w:rFonts w:cs="Times New Roman"/>
          <w:i/>
          <w:lang w:val="fr-CA"/>
        </w:rPr>
        <w:t xml:space="preserve">LIR </w:t>
      </w:r>
      <w:r w:rsidRPr="00414E99">
        <w:rPr>
          <w:rFonts w:cs="Times New Roman"/>
          <w:lang w:val="fr-CA"/>
        </w:rPr>
        <w:t xml:space="preserve">ainsi que les art. 11.2, 11.51 et 11.52 de la </w:t>
      </w:r>
      <w:r w:rsidRPr="00414E99">
        <w:rPr>
          <w:rFonts w:cs="Times New Roman"/>
          <w:i/>
          <w:iCs/>
          <w:lang w:val="fr-CA"/>
        </w:rPr>
        <w:t>LACC</w:t>
      </w:r>
      <w:r w:rsidRPr="00414E99">
        <w:rPr>
          <w:rFonts w:cs="Times New Roman"/>
          <w:iCs/>
          <w:lang w:val="fr-CA"/>
        </w:rPr>
        <w:t xml:space="preserve"> ne sont pas incompatibles puisque tout conflit peut être évité par l’interprétation. Elle a expliqué que les objectifs de politique générale des deux lois doivent être respectés puisque ces dernières ont été édictées par le même gouvernement. D’une part, la perception des retenues à la source sont au cœur de la </w:t>
      </w:r>
      <w:r w:rsidRPr="00414E99">
        <w:rPr>
          <w:rFonts w:cs="Times New Roman"/>
          <w:i/>
          <w:iCs/>
          <w:lang w:val="fr-CA"/>
        </w:rPr>
        <w:t>LIR</w:t>
      </w:r>
      <w:r w:rsidRPr="00623402">
        <w:rPr>
          <w:rFonts w:cs="Times New Roman"/>
          <w:iCs/>
          <w:lang w:val="fr-CA"/>
        </w:rPr>
        <w:t>.</w:t>
      </w:r>
      <w:r w:rsidRPr="00414E99">
        <w:rPr>
          <w:rFonts w:cs="Times New Roman"/>
          <w:iCs/>
          <w:lang w:val="fr-CA"/>
        </w:rPr>
        <w:t xml:space="preserve"> D’autre part, la </w:t>
      </w:r>
      <w:r w:rsidRPr="00414E99">
        <w:rPr>
          <w:rFonts w:cs="Times New Roman"/>
          <w:i/>
          <w:iCs/>
          <w:lang w:val="fr-CA"/>
        </w:rPr>
        <w:t xml:space="preserve">LACC </w:t>
      </w:r>
      <w:r w:rsidRPr="00414E99">
        <w:rPr>
          <w:rFonts w:cs="Times New Roman"/>
          <w:iCs/>
          <w:lang w:val="fr-CA"/>
        </w:rPr>
        <w:t>vise à favoriser la survie des entreprises. La juge de première instance a conclu que, si les tribunaux n’avaient pas la capacité d’ordonner des charges super prioritaires, les prêts temporaires [</w:t>
      </w:r>
      <w:r w:rsidRPr="00414E99">
        <w:rPr>
          <w:rFonts w:cs="Times New Roman"/>
          <w:iCs/>
          <w:smallCaps/>
          <w:lang w:val="fr-CA"/>
        </w:rPr>
        <w:t>traduction</w:t>
      </w:r>
      <w:r w:rsidRPr="00414E99">
        <w:rPr>
          <w:rFonts w:cs="Times New Roman"/>
          <w:iCs/>
          <w:lang w:val="fr-CA"/>
        </w:rPr>
        <w:t xml:space="preserve">] « disparaîtraient tout simplement », de même que « l’espoir de voir des résultats positifs découler de la </w:t>
      </w:r>
      <w:r w:rsidRPr="00414E99">
        <w:rPr>
          <w:rFonts w:cs="Times New Roman"/>
          <w:i/>
          <w:iCs/>
          <w:lang w:val="fr-CA"/>
        </w:rPr>
        <w:t>LACC </w:t>
      </w:r>
      <w:r w:rsidRPr="00414E99">
        <w:rPr>
          <w:rFonts w:cs="Times New Roman"/>
          <w:iCs/>
          <w:lang w:val="fr-CA"/>
        </w:rPr>
        <w:t>» (par. 102). Les objectifs des deux lois ne peuvent toutefois être atteints que si la priorité est accordée [</w:t>
      </w:r>
      <w:r w:rsidRPr="00414E99">
        <w:rPr>
          <w:rFonts w:cs="Times New Roman"/>
          <w:iCs/>
          <w:smallCaps/>
          <w:lang w:val="fr-CA"/>
        </w:rPr>
        <w:t>traduction</w:t>
      </w:r>
      <w:r w:rsidRPr="00414E99">
        <w:rPr>
          <w:rFonts w:cs="Times New Roman"/>
          <w:iCs/>
          <w:lang w:val="fr-CA"/>
        </w:rPr>
        <w:t>] « aux charges nécessaires à la restructuration », alors que la fiducie réputée prend rang devant toutes les autres réclamations garanties (par. 112).</w:t>
      </w:r>
    </w:p>
    <w:p w:rsidR="00344043" w:rsidRPr="00414E99" w:rsidRDefault="00344043" w:rsidP="00344043">
      <w:pPr>
        <w:pStyle w:val="Title2LevelTitre2Niveau"/>
        <w:spacing w:before="0"/>
        <w:rPr>
          <w:rFonts w:cs="Times New Roman"/>
          <w:lang w:val="fr-CA"/>
        </w:rPr>
      </w:pPr>
      <w:r w:rsidRPr="00414E99">
        <w:rPr>
          <w:rFonts w:cs="Times New Roman"/>
          <w:lang w:val="fr-CA"/>
        </w:rPr>
        <w:t>Cour d’appel de l’Alberta, 2019 ABCA 314, 93 Alta. L.R. (6th) 29 (les juges Rowbotham et Schutz, le juge Wakeling, dissident)</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La Cour d’appel a rejeté, à la majorité, l’appel de la Couronne. Tout comme la juge de première instance, elle a jugé que la fiducie réputée créée en faveur de la Couronne en vertu du par. </w:t>
      </w:r>
      <w:r w:rsidRPr="00414E99">
        <w:rPr>
          <w:rStyle w:val="s2"/>
          <w:rFonts w:cs="Times New Roman"/>
          <w:szCs w:val="24"/>
          <w:lang w:val="fr-CA"/>
        </w:rPr>
        <w:t xml:space="preserve">227(4.1) de la </w:t>
      </w:r>
      <w:r w:rsidRPr="00414E99">
        <w:rPr>
          <w:rStyle w:val="s2"/>
          <w:rFonts w:cs="Times New Roman"/>
          <w:i/>
          <w:szCs w:val="24"/>
          <w:lang w:val="fr-CA"/>
        </w:rPr>
        <w:t>LIR</w:t>
      </w:r>
      <w:r w:rsidRPr="00414E99">
        <w:rPr>
          <w:rStyle w:val="s2"/>
          <w:rFonts w:cs="Times New Roman"/>
          <w:szCs w:val="24"/>
          <w:lang w:val="fr-CA"/>
        </w:rPr>
        <w:t xml:space="preserve"> créait une garantie plutôt qu’un intérêt propriétal.</w:t>
      </w:r>
      <w:r w:rsidRPr="00414E99">
        <w:rPr>
          <w:rStyle w:val="s2"/>
          <w:rFonts w:cs="Times New Roman"/>
          <w:lang w:val="fr-CA"/>
        </w:rPr>
        <w:t xml:space="preserve"> Elle a aussi convenu que la position de la Couronne ne conciliait pas les objectifs de la </w:t>
      </w:r>
      <w:r w:rsidRPr="00414E99">
        <w:rPr>
          <w:rFonts w:cs="Times New Roman"/>
          <w:i/>
          <w:lang w:val="fr-CA"/>
        </w:rPr>
        <w:t xml:space="preserve">LIR </w:t>
      </w:r>
      <w:r w:rsidRPr="00414E99">
        <w:rPr>
          <w:rFonts w:cs="Times New Roman"/>
          <w:lang w:val="fr-CA"/>
        </w:rPr>
        <w:t xml:space="preserve">et de la </w:t>
      </w:r>
      <w:r w:rsidRPr="00414E99">
        <w:rPr>
          <w:rFonts w:cs="Times New Roman"/>
          <w:i/>
          <w:lang w:val="fr-CA"/>
        </w:rPr>
        <w:t>LACC</w:t>
      </w:r>
      <w:r w:rsidRPr="00414E99">
        <w:rPr>
          <w:rFonts w:cs="Times New Roman"/>
          <w:lang w:val="fr-CA"/>
        </w:rPr>
        <w:t>. Enfin, compte tenu de l’importance du financement temporaire, elle a conclu que retenir la thèse de la Couronne pourrait entraîner des conséquences absurdes.</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lastRenderedPageBreak/>
        <w:t xml:space="preserve">Le juge Wakeling n’était pas de cet avis. Il a conclu que le par. 227(4.1) de la </w:t>
      </w:r>
      <w:r w:rsidRPr="00414E99">
        <w:rPr>
          <w:rFonts w:cs="Times New Roman"/>
          <w:i/>
          <w:lang w:val="fr-CA"/>
        </w:rPr>
        <w:t>LIR</w:t>
      </w:r>
      <w:r w:rsidRPr="00414E99">
        <w:rPr>
          <w:rFonts w:cs="Times New Roman"/>
          <w:lang w:val="fr-CA"/>
        </w:rPr>
        <w:t xml:space="preserve"> contenait deux déclarations sans équivoque : premièrement, la Couronne a un droit de bénéficiaire sur les biens du débiteur jusqu’à concurrence du montant des retenues à la source non versées; deuxièmement, ce montant doit être payé à la Couronne malgré les garanties accordées à tout autre créancier garanti, y compris, selon lui, les titulaires d’une charge super prioritaire. Par conséquent, il n’était pas nécessaire de concilier les objectifs de politique générale. À son avis, la disposition de dérogation du par. 227(4.1) était concluante puisque les dispositions pertinentes de la </w:t>
      </w:r>
      <w:r w:rsidRPr="00414E99">
        <w:rPr>
          <w:rFonts w:cs="Times New Roman"/>
          <w:i/>
          <w:lang w:val="fr-CA"/>
        </w:rPr>
        <w:t>LACC</w:t>
      </w:r>
      <w:r w:rsidRPr="00414E99">
        <w:rPr>
          <w:rFonts w:cs="Times New Roman"/>
          <w:lang w:val="fr-CA"/>
        </w:rPr>
        <w:t xml:space="preserve"> ne contenaient pas le même libellé. Il n’était donc [</w:t>
      </w:r>
      <w:r w:rsidRPr="00414E99">
        <w:rPr>
          <w:rFonts w:cs="Times New Roman"/>
          <w:smallCaps/>
          <w:lang w:val="fr-CA"/>
        </w:rPr>
        <w:t>traduction</w:t>
      </w:r>
      <w:r w:rsidRPr="00414E99">
        <w:rPr>
          <w:rFonts w:cs="Times New Roman"/>
          <w:lang w:val="fr-CA"/>
        </w:rPr>
        <w:t>] « pas nécessaire d’aller au</w:t>
      </w:r>
      <w:r w:rsidRPr="00414E99">
        <w:rPr>
          <w:rFonts w:cs="Times New Roman"/>
          <w:lang w:val="fr-CA"/>
        </w:rPr>
        <w:noBreakHyphen/>
        <w:t xml:space="preserve">delà des contours du par. 227(4.1) pour déterminer la portée de la priorité inattaquable qu’il établit » (par. 135). Enfin, le juge Wakeling a souligné qu’il existait une corrélation parfaite entre l’objectif de la </w:t>
      </w:r>
      <w:r w:rsidRPr="00414E99">
        <w:rPr>
          <w:rFonts w:cs="Times New Roman"/>
          <w:i/>
          <w:lang w:val="fr-CA"/>
        </w:rPr>
        <w:t xml:space="preserve">LIR </w:t>
      </w:r>
      <w:r w:rsidRPr="00414E99">
        <w:rPr>
          <w:rFonts w:cs="Times New Roman"/>
          <w:lang w:val="fr-CA"/>
        </w:rPr>
        <w:t>et le sens ordinaire du par. 227(4.1).</w:t>
      </w:r>
    </w:p>
    <w:p w:rsidR="00344043" w:rsidRPr="00414E99" w:rsidRDefault="00344043" w:rsidP="00344043">
      <w:pPr>
        <w:pStyle w:val="Title1LevelTitre1Niveau-AltL"/>
        <w:spacing w:before="0"/>
        <w:rPr>
          <w:rFonts w:cs="Times New Roman"/>
          <w:lang w:val="fr-CA"/>
        </w:rPr>
      </w:pPr>
      <w:r w:rsidRPr="00414E99">
        <w:rPr>
          <w:rFonts w:cs="Times New Roman"/>
          <w:lang w:val="fr-CA"/>
        </w:rPr>
        <w:t>Observations des parties</w:t>
      </w:r>
    </w:p>
    <w:p w:rsidR="00344043" w:rsidRPr="00414E99" w:rsidRDefault="00344043" w:rsidP="00344043">
      <w:pPr>
        <w:pStyle w:val="Title2LevelTitre2Niveau"/>
        <w:spacing w:before="0"/>
        <w:rPr>
          <w:rFonts w:cs="Times New Roman"/>
          <w:lang w:val="fr-CA"/>
        </w:rPr>
      </w:pPr>
      <w:r w:rsidRPr="00414E99">
        <w:rPr>
          <w:rFonts w:cs="Times New Roman"/>
          <w:lang w:val="fr-CA"/>
        </w:rPr>
        <w:t>L’appelante, la Couronne</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eastAsia="Times New Roman" w:cs="Times New Roman"/>
          <w:lang w:val="fr-CA"/>
        </w:rPr>
        <w:t>Les arguments présentés par la Couronne devant notre Cour font écho à l’opinion dissidente exprimée en Cour d’appel : le texte du par. 227(4.1) indique sans équivoque que les retenues à la source non versées deviennent la propriété de la Couronne. La Couronne soutient que le sens ordinaire du par. 227(4.1) s’aligne avec son objectif, qui est de protéger la plus grande source de revenus du gouvernement.</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eastAsia="Times New Roman" w:cs="Times New Roman"/>
          <w:lang w:val="fr-CA"/>
        </w:rPr>
        <w:lastRenderedPageBreak/>
        <w:t xml:space="preserve">La Couronne avance deux arguments principaux. Premièrement, elle affirme que l’intérêt de la Couronne au titre du par. 227(4.1) de la </w:t>
      </w:r>
      <w:r w:rsidRPr="00414E99">
        <w:rPr>
          <w:rFonts w:eastAsia="Times New Roman" w:cs="Times New Roman"/>
          <w:i/>
          <w:iCs/>
          <w:lang w:val="fr-CA"/>
        </w:rPr>
        <w:t>LIR</w:t>
      </w:r>
      <w:r w:rsidRPr="00414E99">
        <w:rPr>
          <w:rFonts w:eastAsia="Times New Roman" w:cs="Times New Roman"/>
          <w:lang w:val="fr-CA"/>
        </w:rPr>
        <w:t xml:space="preserve"> est un intérêt propriétal plutôt qu’une garantie puisque, selon ce paragraphe, les retenues à la source non versées deviennent la propriété de la Couronne. Il n’est pas nécessaire de recourir à la « disposition de dérogation » du par. 227(4.1) puisque les dispositions de la </w:t>
      </w:r>
      <w:r w:rsidRPr="00414E99">
        <w:rPr>
          <w:rFonts w:eastAsia="Times New Roman" w:cs="Times New Roman"/>
          <w:i/>
          <w:lang w:val="fr-CA"/>
        </w:rPr>
        <w:t xml:space="preserve">LIR </w:t>
      </w:r>
      <w:r w:rsidRPr="00414E99">
        <w:rPr>
          <w:rFonts w:eastAsia="Times New Roman" w:cs="Times New Roman"/>
          <w:lang w:val="fr-CA"/>
        </w:rPr>
        <w:t xml:space="preserve">et de la </w:t>
      </w:r>
      <w:r w:rsidRPr="00414E99">
        <w:rPr>
          <w:rFonts w:eastAsia="Times New Roman" w:cs="Times New Roman"/>
          <w:i/>
          <w:lang w:val="fr-CA"/>
        </w:rPr>
        <w:t xml:space="preserve">LACC </w:t>
      </w:r>
      <w:r w:rsidRPr="00414E99">
        <w:rPr>
          <w:rFonts w:eastAsia="Times New Roman" w:cs="Times New Roman"/>
          <w:lang w:val="fr-CA"/>
        </w:rPr>
        <w:t>s’appliquent de façon harmonieuse; les charges super prioritaires ne peuvent se rattacher qu’aux biens d’une compagnie, et le par. 227(4.1) prévoit que la Couronne a un droit de bénéficiaire sur les retenues à la source non versées.</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eastAsia="Times New Roman" w:cs="Times New Roman"/>
          <w:lang w:val="fr-CA"/>
        </w:rPr>
        <w:t xml:space="preserve">Deuxièmement, la Couronne soutient à titre subsidiaire que même si son intérêt est une garantie, il prend rang devant les charges super prioritaires du fait qu’une charge super prioritaire visée par la </w:t>
      </w:r>
      <w:r w:rsidRPr="00414E99">
        <w:rPr>
          <w:rFonts w:eastAsia="Times New Roman" w:cs="Times New Roman"/>
          <w:i/>
          <w:lang w:val="fr-CA"/>
        </w:rPr>
        <w:t>LACC</w:t>
      </w:r>
      <w:r w:rsidRPr="00414E99">
        <w:rPr>
          <w:rFonts w:eastAsia="Times New Roman" w:cs="Times New Roman"/>
          <w:lang w:val="fr-CA"/>
        </w:rPr>
        <w:t xml:space="preserve"> est une garantie au sens de la </w:t>
      </w:r>
      <w:r w:rsidRPr="00414E99">
        <w:rPr>
          <w:rFonts w:eastAsia="Times New Roman" w:cs="Times New Roman"/>
          <w:i/>
          <w:lang w:val="fr-CA"/>
        </w:rPr>
        <w:t>LIR</w:t>
      </w:r>
      <w:r w:rsidRPr="00414E99">
        <w:rPr>
          <w:rFonts w:eastAsia="Times New Roman" w:cs="Times New Roman"/>
          <w:lang w:val="fr-CA"/>
        </w:rPr>
        <w:t xml:space="preserve"> et que le par. 227(4.1) prévoit expressément que la fiducie réputée prend rang devant toutes les autres garanties.</w:t>
      </w:r>
    </w:p>
    <w:p w:rsidR="00344043" w:rsidRPr="00414E99" w:rsidRDefault="00344043" w:rsidP="00344043">
      <w:pPr>
        <w:pStyle w:val="Title2LevelTitre2Niveau"/>
        <w:spacing w:before="0"/>
        <w:rPr>
          <w:rFonts w:eastAsiaTheme="minorEastAsia" w:cs="Times New Roman"/>
          <w:lang w:val="fr-CA"/>
        </w:rPr>
      </w:pPr>
      <w:r w:rsidRPr="00414E99">
        <w:rPr>
          <w:rFonts w:eastAsiaTheme="minorEastAsia" w:cs="Times New Roman"/>
          <w:lang w:val="fr-CA"/>
        </w:rPr>
        <w:t>L</w:t>
      </w:r>
      <w:r>
        <w:rPr>
          <w:rFonts w:eastAsiaTheme="minorEastAsia" w:cs="Times New Roman"/>
          <w:lang w:val="fr-CA"/>
        </w:rPr>
        <w:t>’intimée l</w:t>
      </w:r>
      <w:r w:rsidRPr="00414E99">
        <w:rPr>
          <w:rFonts w:eastAsiaTheme="minorEastAsia" w:cs="Times New Roman"/>
          <w:lang w:val="fr-CA"/>
        </w:rPr>
        <w:t xml:space="preserve">a Banque de développement du Canada </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L</w:t>
      </w:r>
      <w:r>
        <w:rPr>
          <w:rFonts w:cs="Times New Roman"/>
          <w:lang w:val="fr-CA"/>
        </w:rPr>
        <w:t>’intimée</w:t>
      </w:r>
      <w:r w:rsidRPr="00414E99">
        <w:rPr>
          <w:rFonts w:cs="Times New Roman"/>
          <w:lang w:val="fr-CA"/>
        </w:rPr>
        <w:t xml:space="preserve"> BDC exhorte notre Cour à suivre l’approche adoptée par les tribunaux d’instance inférieure. Elle soutient que l’intérêt de la Couronne au titre de la fiducie réputée est une garantie puisque (1) la loi habilitante, la </w:t>
      </w:r>
      <w:r w:rsidRPr="00414E99">
        <w:rPr>
          <w:rFonts w:cs="Times New Roman"/>
          <w:i/>
          <w:lang w:val="fr-CA"/>
        </w:rPr>
        <w:t>LIR</w:t>
      </w:r>
      <w:r w:rsidRPr="00414E99">
        <w:rPr>
          <w:rFonts w:cs="Times New Roman"/>
          <w:lang w:val="fr-CA"/>
        </w:rPr>
        <w:t xml:space="preserve">, définit une fiducie réputée comme une garantie; (2) dans l’arrêt </w:t>
      </w:r>
      <w:r w:rsidRPr="00414E99">
        <w:rPr>
          <w:rFonts w:cs="Times New Roman"/>
          <w:i/>
          <w:lang w:val="fr-CA"/>
        </w:rPr>
        <w:t>First Vancouver Finance c. M.R.N.</w:t>
      </w:r>
      <w:r w:rsidRPr="00414E99">
        <w:rPr>
          <w:rFonts w:cs="Times New Roman"/>
          <w:lang w:val="fr-CA"/>
        </w:rPr>
        <w:t>, 2002 CSC 49, [2002] 2 R.C.S. 720,</w:t>
      </w:r>
      <w:r w:rsidRPr="00414E99">
        <w:rPr>
          <w:rFonts w:cs="Times New Roman"/>
          <w:i/>
          <w:lang w:val="fr-CA"/>
        </w:rPr>
        <w:t xml:space="preserve"> </w:t>
      </w:r>
      <w:r w:rsidRPr="00414E99">
        <w:rPr>
          <w:rFonts w:cs="Times New Roman"/>
          <w:lang w:val="fr-CA"/>
        </w:rPr>
        <w:t xml:space="preserve">notre Cour a qualifié la fiducie réputée de « charge flottante », qui est une garantie; (3) la conclusion opposée, à savoir qu’il s’agit d’un intérêt propriétal, serait incompatible avec la réalité commerciale. Comme la définition </w:t>
      </w:r>
      <w:r w:rsidRPr="00414E99">
        <w:rPr>
          <w:rFonts w:cs="Times New Roman"/>
          <w:lang w:val="fr-CA"/>
        </w:rPr>
        <w:lastRenderedPageBreak/>
        <w:t xml:space="preserve">de « créancier garanti » figurant dans la </w:t>
      </w:r>
      <w:r w:rsidRPr="00414E99">
        <w:rPr>
          <w:rFonts w:cs="Times New Roman"/>
          <w:i/>
          <w:lang w:val="fr-CA"/>
        </w:rPr>
        <w:t>LACC</w:t>
      </w:r>
      <w:r w:rsidRPr="00414E99">
        <w:rPr>
          <w:rFonts w:cs="Times New Roman"/>
          <w:lang w:val="fr-CA"/>
        </w:rPr>
        <w:t xml:space="preserve"> englobe le détenteur d’une fiducie réputée, la </w:t>
      </w:r>
      <w:r w:rsidRPr="00414E99">
        <w:rPr>
          <w:rFonts w:cs="Times New Roman"/>
          <w:i/>
          <w:lang w:val="fr-CA"/>
        </w:rPr>
        <w:t>LACC</w:t>
      </w:r>
      <w:r w:rsidRPr="00414E99">
        <w:rPr>
          <w:rFonts w:cs="Times New Roman"/>
          <w:lang w:val="fr-CA"/>
        </w:rPr>
        <w:t xml:space="preserve"> prévoit qu’une charge super prioritaire peut prendre rang devant la fiducie réputée créée en faveur de la Couronne. Ainsi, les art. 11.2, 11.51 et 11.52 de la </w:t>
      </w:r>
      <w:r w:rsidRPr="00414E99">
        <w:rPr>
          <w:rFonts w:cs="Times New Roman"/>
          <w:i/>
          <w:lang w:val="fr-CA"/>
        </w:rPr>
        <w:t>LACC</w:t>
      </w:r>
      <w:r w:rsidRPr="00414E99">
        <w:rPr>
          <w:rFonts w:cs="Times New Roman"/>
          <w:lang w:val="fr-CA"/>
        </w:rPr>
        <w:t xml:space="preserve"> prévoient qu’une charge super prioritaire peut prendre rang devant la fiducie réputée créée en faveur de la Couronne.</w:t>
      </w:r>
    </w:p>
    <w:p w:rsidR="00344043" w:rsidRPr="00414E99" w:rsidRDefault="00344043" w:rsidP="00344043">
      <w:pPr>
        <w:pStyle w:val="Title2LevelTitre2Niveau"/>
        <w:spacing w:before="0"/>
        <w:rPr>
          <w:rFonts w:cs="Times New Roman"/>
          <w:lang w:val="fr-CA"/>
        </w:rPr>
      </w:pPr>
      <w:r w:rsidRPr="00414E99">
        <w:rPr>
          <w:rFonts w:cs="Times New Roman"/>
          <w:lang w:val="fr-CA"/>
        </w:rPr>
        <w:t>L’intimée Ernst &amp; Young, en sa qualité de contrôleur</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 xml:space="preserve">Tant la BDC qu’Ernst &amp; Young (collectivement, les intimées) font valoir que la fiducie réputée créée en faveur de la Couronne est une garantie et que l’on peut interpréter les lois de façon harmonieuse afin d’éviter un conflit. Le contrôleur soutient qu’une charge super prioritaire d’origine judiciaire n’est pas une garantie au sens du par. 227(4.1) de la </w:t>
      </w:r>
      <w:r w:rsidRPr="00414E99">
        <w:rPr>
          <w:rFonts w:cs="Times New Roman"/>
          <w:i/>
          <w:lang w:val="fr-CA"/>
        </w:rPr>
        <w:t xml:space="preserve">LIR </w:t>
      </w:r>
      <w:r w:rsidRPr="00414E99">
        <w:rPr>
          <w:rFonts w:cs="Times New Roman"/>
          <w:lang w:val="fr-CA"/>
        </w:rPr>
        <w:t xml:space="preserve">puisqu’elle n’est pas expressément mentionnée dans la définition de garantie contenue dans la </w:t>
      </w:r>
      <w:r w:rsidRPr="00414E99">
        <w:rPr>
          <w:rFonts w:cs="Times New Roman"/>
          <w:i/>
          <w:lang w:val="fr-CA"/>
        </w:rPr>
        <w:t>LIR</w:t>
      </w:r>
      <w:r w:rsidRPr="00414E99">
        <w:rPr>
          <w:rFonts w:cs="Times New Roman"/>
          <w:lang w:val="fr-CA"/>
        </w:rPr>
        <w:t xml:space="preserve">, et qu’à titre de loi fiscale, la </w:t>
      </w:r>
      <w:r w:rsidRPr="00414E99">
        <w:rPr>
          <w:rFonts w:cs="Times New Roman"/>
          <w:i/>
          <w:lang w:val="fr-CA"/>
        </w:rPr>
        <w:t>LIR</w:t>
      </w:r>
      <w:r w:rsidRPr="00414E99">
        <w:rPr>
          <w:rFonts w:cs="Times New Roman"/>
          <w:lang w:val="fr-CA"/>
        </w:rPr>
        <w:t xml:space="preserve"> commande une méthode d’interprétation stricte et textuelle.</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De plus, le contrôleur souligne que la Couronne est un créancier unique puisqu’elle dispose d’un accès immédiat aux renseignements concernant les remises et qu’elle peut certifier et percevoir les montants dus immédiatement.</w:t>
      </w:r>
    </w:p>
    <w:p w:rsidR="00344043" w:rsidRPr="00414E99" w:rsidRDefault="00344043" w:rsidP="00344043">
      <w:pPr>
        <w:pStyle w:val="Title1LevelTitre1Niveau-AltL"/>
        <w:spacing w:before="0"/>
        <w:rPr>
          <w:rFonts w:cs="Times New Roman"/>
          <w:lang w:val="fr-CA"/>
        </w:rPr>
      </w:pPr>
      <w:r w:rsidRPr="00414E99">
        <w:rPr>
          <w:rFonts w:cs="Times New Roman"/>
          <w:lang w:val="fr-CA"/>
        </w:rPr>
        <w:t>Question en litige</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 xml:space="preserve">La question qui fait l’objet du pourvoi est celle de savoir si les charges super prioritaires ordonnées par un tribunal en vertu de la </w:t>
      </w:r>
      <w:r w:rsidRPr="00414E99">
        <w:rPr>
          <w:rFonts w:cs="Times New Roman"/>
          <w:i/>
          <w:lang w:val="fr-CA"/>
        </w:rPr>
        <w:t>LACC</w:t>
      </w:r>
      <w:r w:rsidRPr="00414E99">
        <w:rPr>
          <w:rFonts w:cs="Times New Roman"/>
          <w:lang w:val="fr-CA"/>
        </w:rPr>
        <w:t xml:space="preserve"> peuvent prendre rang </w:t>
      </w:r>
      <w:r w:rsidRPr="00414E99">
        <w:rPr>
          <w:rFonts w:cs="Times New Roman"/>
          <w:lang w:val="fr-CA"/>
        </w:rPr>
        <w:lastRenderedPageBreak/>
        <w:t xml:space="preserve">devant la fiducie réputée créée en faveur de la Couronne à l’égard des retenues à la source non versées, laquelle fiducie est établie en application du par. 227(4.1) de la </w:t>
      </w:r>
      <w:r w:rsidRPr="00414E99">
        <w:rPr>
          <w:rFonts w:cs="Times New Roman"/>
          <w:i/>
          <w:lang w:val="fr-CA"/>
        </w:rPr>
        <w:t>LIR</w:t>
      </w:r>
      <w:r w:rsidRPr="00414E99">
        <w:rPr>
          <w:rFonts w:cs="Times New Roman"/>
          <w:lang w:val="fr-CA"/>
        </w:rPr>
        <w:t xml:space="preserve"> et des dispositions connexes du </w:t>
      </w:r>
      <w:r w:rsidRPr="00414E99">
        <w:rPr>
          <w:rFonts w:cs="Times New Roman"/>
          <w:i/>
          <w:lang w:val="fr-CA"/>
        </w:rPr>
        <w:t>RPC</w:t>
      </w:r>
      <w:r w:rsidRPr="00414E99">
        <w:rPr>
          <w:rFonts w:cs="Times New Roman"/>
          <w:lang w:val="fr-CA"/>
        </w:rPr>
        <w:t xml:space="preserve"> et de la </w:t>
      </w:r>
      <w:r w:rsidRPr="00414E99">
        <w:rPr>
          <w:rFonts w:cs="Times New Roman"/>
          <w:i/>
          <w:lang w:val="fr-CA"/>
        </w:rPr>
        <w:t>LAE</w:t>
      </w:r>
      <w:r w:rsidRPr="00414E99">
        <w:rPr>
          <w:rFonts w:cs="Times New Roman"/>
          <w:lang w:val="fr-CA"/>
        </w:rPr>
        <w:t xml:space="preserve">. Il ressort clairement du libellé du par. 227(4.1) de la </w:t>
      </w:r>
      <w:r w:rsidRPr="00414E99">
        <w:rPr>
          <w:rFonts w:cs="Times New Roman"/>
          <w:i/>
          <w:lang w:val="fr-CA"/>
        </w:rPr>
        <w:t>LIR</w:t>
      </w:r>
      <w:r w:rsidRPr="00414E99">
        <w:rPr>
          <w:rFonts w:cs="Times New Roman"/>
          <w:lang w:val="fr-CA"/>
        </w:rPr>
        <w:t xml:space="preserve"> qu’en cas de conflit avec une disposition d’une autre loi, le par. 227(4.1) prévaut. En conséquence, le présent pourvoi porte sur la question de savoir si, et dans quelle mesure, le régime de la </w:t>
      </w:r>
      <w:r w:rsidRPr="00414E99">
        <w:rPr>
          <w:rFonts w:cs="Times New Roman"/>
          <w:i/>
          <w:lang w:val="fr-CA"/>
        </w:rPr>
        <w:t>LACC</w:t>
      </w:r>
      <w:r w:rsidRPr="00414E99">
        <w:rPr>
          <w:rFonts w:cs="Times New Roman"/>
          <w:lang w:val="fr-CA"/>
        </w:rPr>
        <w:t xml:space="preserve"> entre en conflit avec le par. 227(4.1) de la </w:t>
      </w:r>
      <w:r w:rsidRPr="00414E99">
        <w:rPr>
          <w:rFonts w:cs="Times New Roman"/>
          <w:i/>
          <w:lang w:val="fr-CA"/>
        </w:rPr>
        <w:t>LIR</w:t>
      </w:r>
      <w:r w:rsidRPr="00414E99">
        <w:rPr>
          <w:rFonts w:cs="Times New Roman"/>
          <w:lang w:val="fr-CA"/>
        </w:rPr>
        <w:t>. Pour répondre à cette question, je procéderai en quatre étapes :</w:t>
      </w:r>
    </w:p>
    <w:p w:rsidR="00344043" w:rsidRPr="00414E99" w:rsidRDefault="00344043" w:rsidP="00344043">
      <w:pPr>
        <w:pStyle w:val="Citation-AltC"/>
        <w:numPr>
          <w:ilvl w:val="0"/>
          <w:numId w:val="22"/>
        </w:numPr>
        <w:spacing w:after="480" w:line="480" w:lineRule="auto"/>
        <w:ind w:left="1526"/>
        <w:contextualSpacing w:val="0"/>
        <w:rPr>
          <w:lang w:val="fr-CA"/>
        </w:rPr>
      </w:pPr>
      <w:r w:rsidRPr="00414E99">
        <w:rPr>
          <w:lang w:val="fr-CA"/>
        </w:rPr>
        <w:t xml:space="preserve">Quel droit le par. 227(4.1) de la </w:t>
      </w:r>
      <w:r w:rsidRPr="00414E99">
        <w:rPr>
          <w:i/>
          <w:lang w:val="fr-CA"/>
        </w:rPr>
        <w:t xml:space="preserve">LIR </w:t>
      </w:r>
      <w:r w:rsidRPr="00414E99">
        <w:rPr>
          <w:lang w:val="fr-CA"/>
        </w:rPr>
        <w:t>confère</w:t>
      </w:r>
      <w:r w:rsidRPr="00414E99">
        <w:rPr>
          <w:lang w:val="fr-CA"/>
        </w:rPr>
        <w:noBreakHyphen/>
        <w:t>t</w:t>
      </w:r>
      <w:r w:rsidRPr="00414E99">
        <w:rPr>
          <w:lang w:val="fr-CA"/>
        </w:rPr>
        <w:noBreakHyphen/>
        <w:t>il à la Couronne relativement aux retenues à la source non versées?</w:t>
      </w:r>
    </w:p>
    <w:p w:rsidR="00344043" w:rsidRPr="00414E99" w:rsidRDefault="00344043" w:rsidP="00344043">
      <w:pPr>
        <w:pStyle w:val="Citation-AltC"/>
        <w:numPr>
          <w:ilvl w:val="0"/>
          <w:numId w:val="22"/>
        </w:numPr>
        <w:spacing w:after="480" w:line="480" w:lineRule="auto"/>
        <w:ind w:left="1526"/>
        <w:contextualSpacing w:val="0"/>
        <w:rPr>
          <w:lang w:val="fr-CA"/>
        </w:rPr>
      </w:pPr>
      <w:r w:rsidRPr="00414E99">
        <w:rPr>
          <w:lang w:val="fr-CA"/>
        </w:rPr>
        <w:t>De quelle façon la fiducie réputée créée en faveur de la Couronne à l’égard des retenues à la source non versées est</w:t>
      </w:r>
      <w:r w:rsidRPr="00414E99">
        <w:rPr>
          <w:lang w:val="fr-CA"/>
        </w:rPr>
        <w:noBreakHyphen/>
        <w:t>elle traitée dans le régime d’insolvabilité du législateur?</w:t>
      </w:r>
    </w:p>
    <w:p w:rsidR="00344043" w:rsidRPr="00414E99" w:rsidRDefault="00344043" w:rsidP="00344043">
      <w:pPr>
        <w:pStyle w:val="Citation-AltC"/>
        <w:numPr>
          <w:ilvl w:val="0"/>
          <w:numId w:val="22"/>
        </w:numPr>
        <w:spacing w:after="480" w:line="480" w:lineRule="auto"/>
        <w:ind w:left="1526"/>
        <w:contextualSpacing w:val="0"/>
        <w:rPr>
          <w:lang w:val="fr-CA"/>
        </w:rPr>
      </w:pPr>
      <w:r w:rsidRPr="00414E99">
        <w:rPr>
          <w:lang w:val="fr-CA"/>
        </w:rPr>
        <w:t xml:space="preserve">Les articles 11.2, 11.51 et 11.52 de la </w:t>
      </w:r>
      <w:r w:rsidRPr="00414E99">
        <w:rPr>
          <w:i/>
          <w:lang w:val="fr-CA"/>
        </w:rPr>
        <w:t>LACC</w:t>
      </w:r>
      <w:r w:rsidRPr="00414E99">
        <w:rPr>
          <w:lang w:val="fr-CA"/>
        </w:rPr>
        <w:t xml:space="preserve"> permettent</w:t>
      </w:r>
      <w:r w:rsidRPr="00414E99">
        <w:rPr>
          <w:lang w:val="fr-CA"/>
        </w:rPr>
        <w:noBreakHyphen/>
        <w:t>ils au tribunal de faire passer les charges super prioritaires devant la fiducie réputée créée en faveur de la Couronne à l’égard des retenues à la source non versées?</w:t>
      </w:r>
    </w:p>
    <w:p w:rsidR="00344043" w:rsidRPr="00414E99" w:rsidRDefault="00344043" w:rsidP="00344043">
      <w:pPr>
        <w:pStyle w:val="Citation-AltC"/>
        <w:numPr>
          <w:ilvl w:val="0"/>
          <w:numId w:val="22"/>
        </w:numPr>
        <w:spacing w:after="480" w:line="480" w:lineRule="auto"/>
        <w:ind w:left="1526"/>
        <w:contextualSpacing w:val="0"/>
        <w:rPr>
          <w:lang w:val="fr-CA"/>
        </w:rPr>
      </w:pPr>
      <w:r w:rsidRPr="00414E99">
        <w:rPr>
          <w:lang w:val="fr-CA"/>
        </w:rPr>
        <w:t xml:space="preserve">Dans la négative, l’art. 11 de la </w:t>
      </w:r>
      <w:r w:rsidRPr="00414E99">
        <w:rPr>
          <w:i/>
          <w:lang w:val="fr-CA"/>
        </w:rPr>
        <w:t>LACC</w:t>
      </w:r>
      <w:r w:rsidRPr="00414E99">
        <w:rPr>
          <w:lang w:val="fr-CA"/>
        </w:rPr>
        <w:t xml:space="preserve"> autorise</w:t>
      </w:r>
      <w:r w:rsidRPr="00414E99">
        <w:rPr>
          <w:lang w:val="fr-CA"/>
        </w:rPr>
        <w:noBreakHyphen/>
        <w:t>t</w:t>
      </w:r>
      <w:r w:rsidRPr="00414E99">
        <w:rPr>
          <w:lang w:val="fr-CA"/>
        </w:rPr>
        <w:noBreakHyphen/>
        <w:t>il le tribunal à faire passer les charges super prioritaires devant la fiducie réputée créée en faveur de la Couronne à l’égard des retenues à la source non versées?</w:t>
      </w:r>
    </w:p>
    <w:p w:rsidR="00344043" w:rsidRPr="00414E99" w:rsidRDefault="00344043" w:rsidP="00344043">
      <w:pPr>
        <w:pStyle w:val="Title1LevelTitre1Niveau-AltL"/>
        <w:spacing w:before="0"/>
        <w:rPr>
          <w:rFonts w:cs="Times New Roman"/>
          <w:lang w:val="fr-CA"/>
        </w:rPr>
      </w:pPr>
      <w:r w:rsidRPr="00414E99">
        <w:rPr>
          <w:rFonts w:cs="Times New Roman"/>
          <w:lang w:val="fr-CA"/>
        </w:rPr>
        <w:lastRenderedPageBreak/>
        <w:t>Analyse</w:t>
      </w:r>
    </w:p>
    <w:p w:rsidR="00344043" w:rsidRPr="00414E99" w:rsidRDefault="00344043" w:rsidP="00344043">
      <w:pPr>
        <w:pStyle w:val="Title2LevelTitre2Niveau"/>
        <w:spacing w:before="0"/>
        <w:rPr>
          <w:rFonts w:cs="Times New Roman"/>
          <w:lang w:val="fr-CA"/>
        </w:rPr>
      </w:pPr>
      <w:r w:rsidRPr="00414E99">
        <w:rPr>
          <w:rFonts w:cs="Times New Roman"/>
          <w:lang w:val="fr-CA"/>
        </w:rPr>
        <w:t>Quels droits le par</w:t>
      </w:r>
      <w:r>
        <w:rPr>
          <w:rFonts w:cs="Times New Roman"/>
          <w:lang w:val="fr-CA"/>
        </w:rPr>
        <w:t>.</w:t>
      </w:r>
      <w:r w:rsidRPr="00414E99">
        <w:rPr>
          <w:rFonts w:cs="Times New Roman"/>
          <w:lang w:val="fr-CA"/>
        </w:rPr>
        <w:t> 227(4.1) de la LIR confère</w:t>
      </w:r>
      <w:r w:rsidRPr="00414E99">
        <w:rPr>
          <w:rFonts w:cs="Times New Roman"/>
          <w:lang w:val="fr-CA"/>
        </w:rPr>
        <w:noBreakHyphen/>
        <w:t>t</w:t>
      </w:r>
      <w:r w:rsidRPr="00414E99">
        <w:rPr>
          <w:rFonts w:cs="Times New Roman"/>
          <w:lang w:val="fr-CA"/>
        </w:rPr>
        <w:noBreakHyphen/>
        <w:t>il à la Couronne relativement aux retenues à la source non versées?</w:t>
      </w:r>
    </w:p>
    <w:p w:rsidR="00344043" w:rsidRPr="00414E99" w:rsidRDefault="00344043" w:rsidP="00344043">
      <w:pPr>
        <w:pStyle w:val="Title3LevelTitre3Niveau"/>
        <w:spacing w:before="0"/>
        <w:rPr>
          <w:rFonts w:cs="Times New Roman"/>
          <w:lang w:val="fr-CA"/>
        </w:rPr>
      </w:pPr>
      <w:r w:rsidRPr="00414E99">
        <w:rPr>
          <w:rFonts w:cs="Times New Roman"/>
          <w:lang w:val="fr-CA"/>
        </w:rPr>
        <w:t>Économie</w:t>
      </w:r>
      <w:r>
        <w:rPr>
          <w:rFonts w:cs="Times New Roman"/>
          <w:lang w:val="fr-CA"/>
        </w:rPr>
        <w:t xml:space="preserve"> générale</w:t>
      </w:r>
      <w:r w:rsidRPr="00414E99">
        <w:rPr>
          <w:rFonts w:cs="Times New Roman"/>
          <w:lang w:val="fr-CA"/>
        </w:rPr>
        <w:t xml:space="preserve"> et c</w:t>
      </w:r>
      <w:r>
        <w:rPr>
          <w:rFonts w:cs="Times New Roman"/>
          <w:lang w:val="fr-CA"/>
        </w:rPr>
        <w:t>ontexte</w:t>
      </w:r>
      <w:r w:rsidRPr="00414E99">
        <w:rPr>
          <w:rFonts w:cs="Times New Roman"/>
          <w:lang w:val="fr-CA"/>
        </w:rPr>
        <w:t xml:space="preserve"> des par</w:t>
      </w:r>
      <w:r>
        <w:rPr>
          <w:rFonts w:cs="Times New Roman"/>
          <w:lang w:val="fr-CA"/>
        </w:rPr>
        <w:t>.</w:t>
      </w:r>
      <w:r w:rsidRPr="00414E99">
        <w:rPr>
          <w:rFonts w:cs="Times New Roman"/>
          <w:lang w:val="fr-CA"/>
        </w:rPr>
        <w:t xml:space="preserve"> 227(4) et 227(4.1) de la </w:t>
      </w:r>
      <w:r w:rsidRPr="00414E99">
        <w:rPr>
          <w:rFonts w:cs="Times New Roman"/>
          <w:i/>
          <w:lang w:val="fr-CA"/>
        </w:rPr>
        <w:t>LIR</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 xml:space="preserve">Le paragraphe 153(1) de la </w:t>
      </w:r>
      <w:r w:rsidRPr="00414E99">
        <w:rPr>
          <w:rFonts w:cs="Times New Roman"/>
          <w:i/>
          <w:lang w:val="fr-CA"/>
        </w:rPr>
        <w:t xml:space="preserve">LIR </w:t>
      </w:r>
      <w:r w:rsidRPr="00414E99">
        <w:rPr>
          <w:rFonts w:cs="Times New Roman"/>
          <w:lang w:val="fr-CA"/>
        </w:rPr>
        <w:t>exige qu’un employeur déduise ou retienne des montants sur les salaires qu’il verse à ses employés (retenues à la source) et qu’il remette ces montants au receveur général au moment fixé par règlement. Une fois les retenues à la source faites, elles sont réputées être détenues, aux termes du par. 227(4), séparées des biens de l’employeur et des biens détenus par son créancier garanti, et ce, malgré toute autre garantie sur ces biens. Les retenues à la source sont réputées être détenues en fiducie pour Sa Majesté en vue de lui être versées au moment fixé par règlement.</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 xml:space="preserve">Si les retenues à la source ne sont pas versées au moment fixé par règlement, le par. 227(4.1) élargit la portée de la fiducie visée au par. 227(4). Une fiducie est réputée s’appliquer aux biens de l’employeur jusqu’à concurrence de la valeur des retenues à la source non versées. Cette fiducie est réputée exister depuis le moment où les retenues à la source ont été faites et n’avoir pas fait partie du patrimoine ou des biens de l’employeur depuis le moment où les retenues à la source ont été faites (peu importe si les biens de l’employeur sont assujettis à une garantie). Les biens de l’employeur jusqu’à concurrence de la valeur des retenues à la source non versées sont </w:t>
      </w:r>
      <w:r w:rsidRPr="00414E99">
        <w:rPr>
          <w:rFonts w:cs="Times New Roman"/>
          <w:lang w:val="fr-CA"/>
        </w:rPr>
        <w:lastRenderedPageBreak/>
        <w:t>aussi réputés être des biens dans lesquels la Couronne a un « droit de bénéficiaire » malgré toute autre garantie sur ces biens :</w:t>
      </w:r>
    </w:p>
    <w:p w:rsidR="00344043" w:rsidRPr="00414E99" w:rsidRDefault="00344043" w:rsidP="00344043">
      <w:pPr>
        <w:pStyle w:val="Citation-AltC"/>
        <w:spacing w:after="240"/>
        <w:ind w:hanging="446"/>
        <w:contextualSpacing w:val="0"/>
        <w:rPr>
          <w:lang w:val="fr-CA"/>
        </w:rPr>
      </w:pPr>
      <w:r w:rsidRPr="00414E99">
        <w:rPr>
          <w:b/>
          <w:lang w:val="fr-CA"/>
        </w:rPr>
        <w:tab/>
        <w:t>(4.1)</w:t>
      </w:r>
      <w:r w:rsidRPr="00414E99">
        <w:rPr>
          <w:lang w:val="fr-CA"/>
        </w:rPr>
        <w:t xml:space="preserve"> Malgré les autres dispositions de la présente loi, la </w:t>
      </w:r>
      <w:r w:rsidRPr="00414E99">
        <w:rPr>
          <w:i/>
          <w:lang w:val="fr-CA"/>
        </w:rPr>
        <w:t>Loi sur la faillite et l’insolvabilité</w:t>
      </w:r>
      <w:r w:rsidRPr="00414E99">
        <w:rPr>
          <w:lang w:val="fr-CA"/>
        </w:rPr>
        <w:t xml:space="preserve"> (sauf ses articles 81.1 et 81.2), tout autre texte législatif fédéral ou provincial ou toute règle de droit, en cas de non</w:t>
      </w:r>
      <w:r w:rsidRPr="00414E99">
        <w:rPr>
          <w:lang w:val="fr-CA"/>
        </w:rPr>
        <w:noBreakHyphen/>
        <w:t>versement à Sa Majesté, selon les modalités et dans le délai prévus par la présente loi, d’un montant qu’une personne est réputée par le paragraphe (4) détenir en fiducie pour Sa Majesté, les biens de la personne, et les biens détenus par son créancier garanti au sens du paragraphe 224(1.3) qui, en l’absence d’une garantie au sens du même paragraphe, seraient ceux de la personne, d’une valeur égale à ce montant sont réputés :</w:t>
      </w:r>
    </w:p>
    <w:p w:rsidR="00344043" w:rsidRPr="00414E99" w:rsidRDefault="00344043" w:rsidP="00344043">
      <w:pPr>
        <w:pStyle w:val="Citation-AltC"/>
        <w:numPr>
          <w:ilvl w:val="4"/>
          <w:numId w:val="1"/>
        </w:numPr>
        <w:spacing w:after="240"/>
        <w:ind w:firstLine="0"/>
        <w:contextualSpacing w:val="0"/>
        <w:rPr>
          <w:lang w:val="fr-CA"/>
        </w:rPr>
      </w:pPr>
      <w:r w:rsidRPr="00414E99">
        <w:rPr>
          <w:lang w:val="fr-CA"/>
        </w:rPr>
        <w:t>être détenus en fiducie pour Sa Majesté, à compter du moment où le montant est déduit ou retenu, séparés des propres biens de la personne, qu’ils soient ou non assujettis à une telle garantie;</w:t>
      </w:r>
    </w:p>
    <w:p w:rsidR="00344043" w:rsidRPr="00414E99" w:rsidRDefault="00344043" w:rsidP="00344043">
      <w:pPr>
        <w:pStyle w:val="Citation-AltC"/>
        <w:numPr>
          <w:ilvl w:val="4"/>
          <w:numId w:val="1"/>
        </w:numPr>
        <w:spacing w:after="240"/>
        <w:ind w:firstLine="0"/>
        <w:contextualSpacing w:val="0"/>
        <w:rPr>
          <w:lang w:val="fr-CA"/>
        </w:rPr>
      </w:pPr>
      <w:r w:rsidRPr="00414E99">
        <w:rPr>
          <w:lang w:val="fr-CA"/>
        </w:rPr>
        <w:t>ne pas faire partie du patrimoine ou des biens de la personne à compter du moment où le montant est déduit ou retenu, que ces biens aient été ou non tenus séparés de ses propres biens ou de son patrimoine et qu’ils soient ou non assujettis à une telle garantie.</w:t>
      </w:r>
    </w:p>
    <w:p w:rsidR="00344043" w:rsidRPr="00414E99" w:rsidRDefault="00344043" w:rsidP="00344043">
      <w:pPr>
        <w:pStyle w:val="Citation-AltC"/>
        <w:ind w:hanging="446"/>
        <w:contextualSpacing w:val="0"/>
        <w:rPr>
          <w:lang w:val="fr-CA"/>
        </w:rPr>
      </w:pPr>
      <w:r w:rsidRPr="00414E99">
        <w:rPr>
          <w:lang w:val="fr-CA"/>
        </w:rPr>
        <w:tab/>
        <w:t>Ces biens sont des biens dans lesquels Sa Majesté a un droit de bénéficiaire malgré toute autre garantie sur ces biens ou sur le produit en découlant, et le produit découlant de ces biens est payé au receveur général par priorité sur une telle garantie.</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 xml:space="preserve">Le paragraphe 224(1.3) de la </w:t>
      </w:r>
      <w:r w:rsidRPr="00414E99">
        <w:rPr>
          <w:rFonts w:cs="Times New Roman"/>
          <w:i/>
          <w:lang w:val="fr-CA"/>
        </w:rPr>
        <w:t>LIR</w:t>
      </w:r>
      <w:r w:rsidRPr="00414E99">
        <w:rPr>
          <w:rFonts w:cs="Times New Roman"/>
          <w:lang w:val="fr-CA"/>
        </w:rPr>
        <w:t xml:space="preserve"> définit « garantie » ainsi :</w:t>
      </w:r>
    </w:p>
    <w:p w:rsidR="00344043" w:rsidRPr="00414E99" w:rsidRDefault="00344043" w:rsidP="00344043">
      <w:pPr>
        <w:pStyle w:val="Citation-AltC"/>
        <w:ind w:hanging="446"/>
        <w:contextualSpacing w:val="0"/>
        <w:rPr>
          <w:lang w:val="fr-CA"/>
        </w:rPr>
      </w:pPr>
      <w:r w:rsidRPr="00414E99">
        <w:rPr>
          <w:b/>
          <w:i/>
          <w:lang w:val="fr-CA"/>
        </w:rPr>
        <w:tab/>
        <w:t>garantie</w:t>
      </w:r>
      <w:r w:rsidRPr="00414E99">
        <w:rPr>
          <w:lang w:val="fr-CA"/>
        </w:rPr>
        <w:t> </w:t>
      </w:r>
      <w:r w:rsidRPr="00414E99">
        <w:rPr>
          <w:lang w:val="fr-CA"/>
        </w:rPr>
        <w:t>Intérêt ou, pour l’application du droit civil, droit sur un bien qui garantit l’exécution d’une obligation, notamment un paiement. Sont en particulier des garanties les intérêts ou, pour l’application du droit civil, les droits nés ou découlant de débentures, hypothèques, privilèges, nantissements, sûretés, fiducies réputées ou réelles, cessions et charges, quelle qu’en soit la nature, de quelque façon ou à quelque date qu’elles soient créées, réputées exister ou prévues par ailleurs.</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lastRenderedPageBreak/>
        <w:t xml:space="preserve">Comme l’a souligné la Couronne, les par. 227(4) </w:t>
      </w:r>
      <w:r>
        <w:rPr>
          <w:rFonts w:cs="Times New Roman"/>
          <w:lang w:val="fr-CA"/>
        </w:rPr>
        <w:t xml:space="preserve">et </w:t>
      </w:r>
      <w:r w:rsidRPr="00414E99">
        <w:rPr>
          <w:rFonts w:cs="Times New Roman"/>
          <w:lang w:val="fr-CA"/>
        </w:rPr>
        <w:t xml:space="preserve">227(4.1) ont été modifiés en leur version actuelle — extraits précités — afin d’annuler l’effet de l’arrêt de notre Cour </w:t>
      </w:r>
      <w:r>
        <w:rPr>
          <w:rFonts w:cs="Times New Roman"/>
          <w:i/>
          <w:lang w:val="fr-CA"/>
        </w:rPr>
        <w:t>Banque R</w:t>
      </w:r>
      <w:r w:rsidRPr="00414E99">
        <w:rPr>
          <w:rFonts w:cs="Times New Roman"/>
          <w:i/>
          <w:lang w:val="fr-CA"/>
        </w:rPr>
        <w:t>oyale du Canada c. Sparrow Electric Corp.</w:t>
      </w:r>
      <w:r w:rsidRPr="00414E99">
        <w:rPr>
          <w:rFonts w:cs="Times New Roman"/>
          <w:lang w:val="fr-CA"/>
        </w:rPr>
        <w:t xml:space="preserve">, [1997] 1 R.C.S. 411. La Couronne soutient qu’en infirmant expressément l’arrêt </w:t>
      </w:r>
      <w:r w:rsidRPr="00414E99">
        <w:rPr>
          <w:rFonts w:cs="Times New Roman"/>
          <w:i/>
          <w:lang w:val="fr-CA"/>
        </w:rPr>
        <w:t>Sparrow Electric</w:t>
      </w:r>
      <w:r w:rsidRPr="00414E99">
        <w:rPr>
          <w:rFonts w:cs="Times New Roman"/>
          <w:lang w:val="fr-CA"/>
        </w:rPr>
        <w:t xml:space="preserve">, le législateur voulait toujours accorder à la Couronne une super priorité dans un cas d’insolvabilité. Je ne suis pas d’avis qu’une conclusion aussi générale puisse être tirée de cet historique législatif. Dans l’arrêt </w:t>
      </w:r>
      <w:r w:rsidRPr="00414E99">
        <w:rPr>
          <w:rFonts w:cs="Times New Roman"/>
          <w:i/>
          <w:lang w:val="fr-CA"/>
        </w:rPr>
        <w:t>Sparrow Electric</w:t>
      </w:r>
      <w:r w:rsidRPr="00414E99">
        <w:rPr>
          <w:rFonts w:cs="Times New Roman"/>
          <w:lang w:val="fr-CA"/>
        </w:rPr>
        <w:t>, la question était de savoir qui, de la banque prêteuse ou de la Couronne, avait la priorité dans le cadre de la faillite de la débitrice. La banque bénéficiait d’une convention de garantie générale portant sur tous les biens de la débitrice, convention que la banque avait signée plusieurs mois avant que sa requête en faillite contre la débitrice soit accueillie. Si la débitrice devait également à la Couronne 625 990,86 $ en retenues à la source non versées au moment de sa faillite, le premier défaut de versement à la Couronne ne s’était produit qu’</w:t>
      </w:r>
      <w:r w:rsidRPr="00414E99">
        <w:rPr>
          <w:rFonts w:cs="Times New Roman"/>
          <w:i/>
          <w:lang w:val="fr-CA"/>
        </w:rPr>
        <w:t>après</w:t>
      </w:r>
      <w:r w:rsidRPr="00414E99">
        <w:rPr>
          <w:rFonts w:cs="Times New Roman"/>
          <w:lang w:val="fr-CA"/>
        </w:rPr>
        <w:t xml:space="preserve"> que la banque eut signé sa convention de garantie générale.</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Le juge Iacobucci, s’exprimant au nom de la majorité de la Cour, a tranché en faveur de la banque. À ce moment</w:t>
      </w:r>
      <w:r w:rsidRPr="00414E99">
        <w:rPr>
          <w:rFonts w:cs="Times New Roman"/>
          <w:lang w:val="fr-CA"/>
        </w:rPr>
        <w:noBreakHyphen/>
        <w:t xml:space="preserve">là, les dispositions relatives à la fiducie réputée étaient formulées différemment, ne s’appliquant qu’en cas de « liquidation, cession, mise sous séquestre ou faillite », et le montant des retenues à la source non versées était seulement considéré comme tenu « séparé et ne formant pas partie du patrimoine </w:t>
      </w:r>
      <w:r w:rsidRPr="00414E99">
        <w:rPr>
          <w:rFonts w:cs="Times New Roman"/>
          <w:u w:val="single"/>
          <w:lang w:val="fr-CA"/>
        </w:rPr>
        <w:t>visé par la liquidation, cession, mise sous séquestre ou faillite </w:t>
      </w:r>
      <w:r w:rsidRPr="00414E99">
        <w:rPr>
          <w:rFonts w:cs="Times New Roman"/>
          <w:lang w:val="fr-CA"/>
        </w:rPr>
        <w:t xml:space="preserve">» (par. 13 (je souligne)). La majorité a donc conclu que la fiducie réputée ne s’attachait pas aux biens de la débitrice puisqu’au moment visé, ces biens appartenaient déjà « légalement à [la banque] » </w:t>
      </w:r>
      <w:r w:rsidRPr="00414E99">
        <w:rPr>
          <w:rFonts w:cs="Times New Roman"/>
          <w:lang w:val="fr-CA"/>
        </w:rPr>
        <w:lastRenderedPageBreak/>
        <w:t>(par. 98). Étant donné que la banque bénéficiait d’un privilège fixe et spécifique sur tous les biens de la débitrice, la fiducie ne pouvait s’attacher à rien. La fiducie ne pouvait s’appliquer que s’il existait des éléments d’actifs libres de toute charge qui auraient pu faire l’objet d’une fiducie réputée (par. 99).</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 xml:space="preserve">À la suite de l’arrêt </w:t>
      </w:r>
      <w:r w:rsidRPr="00414E99">
        <w:rPr>
          <w:rFonts w:cs="Times New Roman"/>
          <w:i/>
          <w:lang w:val="fr-CA"/>
        </w:rPr>
        <w:t>Sparrow Electric</w:t>
      </w:r>
      <w:r w:rsidRPr="00414E99">
        <w:rPr>
          <w:rFonts w:cs="Times New Roman"/>
          <w:lang w:val="fr-CA"/>
        </w:rPr>
        <w:t xml:space="preserve">, le législateur a modifié les dispositions relatives à la fiducie réputée de sorte que, dans une affaire comme </w:t>
      </w:r>
      <w:r w:rsidRPr="00414E99">
        <w:rPr>
          <w:rFonts w:cs="Times New Roman"/>
          <w:i/>
          <w:lang w:val="fr-CA"/>
        </w:rPr>
        <w:t>Sparrow Electric</w:t>
      </w:r>
      <w:r w:rsidRPr="00414E99">
        <w:rPr>
          <w:rFonts w:cs="Times New Roman"/>
          <w:lang w:val="fr-CA"/>
        </w:rPr>
        <w:t>, la fiducie réputée s’applique malgré toute autre garantie grevant les biens du débiteur (</w:t>
      </w:r>
      <w:r w:rsidRPr="00414E99">
        <w:rPr>
          <w:rFonts w:cs="Times New Roman"/>
          <w:i/>
          <w:lang w:val="fr-CA"/>
        </w:rPr>
        <w:t>First Vancouver</w:t>
      </w:r>
      <w:r w:rsidRPr="00414E99">
        <w:rPr>
          <w:rFonts w:cs="Times New Roman"/>
          <w:lang w:val="fr-CA"/>
        </w:rPr>
        <w:t xml:space="preserve">, par. 27). Comme l’a expliqué le juge Iacobucci dans l’arrêt </w:t>
      </w:r>
      <w:r w:rsidRPr="00414E99">
        <w:rPr>
          <w:rFonts w:cs="Times New Roman"/>
          <w:i/>
          <w:lang w:val="fr-CA"/>
        </w:rPr>
        <w:t>First Vancouver</w:t>
      </w:r>
      <w:r w:rsidRPr="00414E99">
        <w:rPr>
          <w:rFonts w:cs="Times New Roman"/>
          <w:lang w:val="fr-CA"/>
        </w:rPr>
        <w:t>, le législateur voulait accorder « la priorité de rang à la fiducie réputée lorsque les biens sont par ailleurs grevés d’une garantie, que celle</w:t>
      </w:r>
      <w:r w:rsidRPr="00414E99">
        <w:rPr>
          <w:rFonts w:cs="Times New Roman"/>
          <w:lang w:val="fr-CA"/>
        </w:rPr>
        <w:noBreakHyphen/>
        <w:t>ci ait pris effet avant ou après les retenues à la source ou l’application de la fiducie réputée » (par. 28)</w:t>
      </w:r>
      <w:r w:rsidRPr="00FE026A">
        <w:rPr>
          <w:rStyle w:val="Hyperlink"/>
          <w:vertAlign w:val="superscript"/>
        </w:rPr>
        <w:footnoteReference w:id="1"/>
      </w:r>
      <w:r w:rsidRPr="00414E99">
        <w:rPr>
          <w:rFonts w:cs="Times New Roman"/>
          <w:lang w:val="fr-CA"/>
        </w:rPr>
        <w:t>.</w:t>
      </w:r>
    </w:p>
    <w:p w:rsidR="00344043" w:rsidRPr="00414E99" w:rsidRDefault="00344043" w:rsidP="00344043">
      <w:pPr>
        <w:pStyle w:val="ParaNoNdepar-AltN"/>
        <w:tabs>
          <w:tab w:val="clear" w:pos="1152"/>
          <w:tab w:val="left" w:pos="1166"/>
        </w:tabs>
        <w:spacing w:before="0"/>
        <w:rPr>
          <w:rFonts w:cs="Times New Roman"/>
          <w:iCs/>
          <w:lang w:val="fr-CA"/>
        </w:rPr>
      </w:pPr>
      <w:r w:rsidRPr="00414E99">
        <w:rPr>
          <w:rFonts w:cs="Times New Roman"/>
          <w:lang w:val="fr-CA"/>
        </w:rPr>
        <w:t xml:space="preserve">Dans le présent pourvoi, la Couronne affirme qu’une charge super prioritaire ordonnée par un tribunal en vertu de la </w:t>
      </w:r>
      <w:r w:rsidRPr="00414E99">
        <w:rPr>
          <w:rFonts w:cs="Times New Roman"/>
          <w:i/>
          <w:lang w:val="fr-CA"/>
        </w:rPr>
        <w:t xml:space="preserve">LACC </w:t>
      </w:r>
      <w:r w:rsidRPr="00414E99">
        <w:rPr>
          <w:rFonts w:cs="Times New Roman"/>
          <w:iCs/>
          <w:lang w:val="fr-CA"/>
        </w:rPr>
        <w:t xml:space="preserve">constitue une garantie pour les besoins de la </w:t>
      </w:r>
      <w:r w:rsidRPr="00414E99">
        <w:rPr>
          <w:rFonts w:cs="Times New Roman"/>
          <w:lang w:val="fr-CA"/>
        </w:rPr>
        <w:t>fiducie réputée créée en faveur de la Couronne</w:t>
      </w:r>
      <w:r w:rsidRPr="00414E99">
        <w:rPr>
          <w:rFonts w:cs="Times New Roman"/>
          <w:iCs/>
          <w:lang w:val="fr-CA"/>
        </w:rPr>
        <w:t xml:space="preserve">. Je conviens que la définition du terme « garantie » figurant au par. 224(1.3) de la </w:t>
      </w:r>
      <w:r w:rsidRPr="00414E99">
        <w:rPr>
          <w:rFonts w:cs="Times New Roman"/>
          <w:i/>
          <w:lang w:val="fr-CA"/>
        </w:rPr>
        <w:t>LIR</w:t>
      </w:r>
      <w:r w:rsidRPr="00414E99">
        <w:rPr>
          <w:rFonts w:cs="Times New Roman"/>
          <w:iCs/>
          <w:lang w:val="fr-CA"/>
        </w:rPr>
        <w:t xml:space="preserve"> est large et assimile « [un i]</w:t>
      </w:r>
      <w:r w:rsidRPr="00414E99">
        <w:rPr>
          <w:rFonts w:cs="Times New Roman"/>
          <w:lang w:val="fr-CA"/>
        </w:rPr>
        <w:t xml:space="preserve">ntérêt sur un bien qui garantit l’exécution d’une obligation, notamment un </w:t>
      </w:r>
      <w:r w:rsidRPr="00414E99">
        <w:rPr>
          <w:rFonts w:cs="Times New Roman"/>
          <w:lang w:val="fr-CA"/>
        </w:rPr>
        <w:lastRenderedPageBreak/>
        <w:t xml:space="preserve">paiement » et en précisant que « [s]ont en particulier des garanties les intérêts [. . .] droits nés ou découlant de charges, </w:t>
      </w:r>
      <w:r w:rsidRPr="00414E99">
        <w:rPr>
          <w:rFonts w:cs="Times New Roman"/>
          <w:u w:val="single"/>
          <w:lang w:val="fr-CA"/>
        </w:rPr>
        <w:t>quelle qu’en soit la nature, de quelque façon ou à quelque date qu’elles soient créées, réputées exister ou prévues par ailleurs</w:t>
      </w:r>
      <w:r w:rsidRPr="00414E99">
        <w:rPr>
          <w:rFonts w:cs="Times New Roman"/>
          <w:lang w:val="fr-CA"/>
        </w:rPr>
        <w:t> ». Cependant, Wood fait remarquer avec justesse que les charges constituées par un tribunal diffèrent fondamentalement des garanties énumérées au par. 224(1.3) qui prennent leur source dans un accord consensuel ou l’application de la loi, car [</w:t>
      </w:r>
      <w:r w:rsidRPr="00414E99">
        <w:rPr>
          <w:rFonts w:cs="Times New Roman"/>
          <w:smallCaps/>
          <w:lang w:val="fr-CA"/>
        </w:rPr>
        <w:t>traduction</w:t>
      </w:r>
      <w:r w:rsidRPr="00414E99">
        <w:rPr>
          <w:rFonts w:cs="Times New Roman"/>
          <w:lang w:val="fr-CA"/>
        </w:rPr>
        <w:t xml:space="preserve">] « elles sont intimement liées aux procédures d’insolvabilité qui fonctionnent au profit de l’ensemble des créanciers » (Wood (2020), p. 98). Par conséquent, il opine qu’« il serait raisonnable de s’attendre à ce qu’elles soient expressément mentionnées dans la définition de garantie qui figure dans la </w:t>
      </w:r>
      <w:r w:rsidRPr="00623402">
        <w:rPr>
          <w:rFonts w:cs="Times New Roman"/>
          <w:lang w:val="fr-CA"/>
        </w:rPr>
        <w:t>LIR</w:t>
      </w:r>
      <w:r w:rsidRPr="00414E99">
        <w:rPr>
          <w:rFonts w:cs="Times New Roman"/>
          <w:lang w:val="fr-CA"/>
        </w:rPr>
        <w:t xml:space="preserve"> si elles devaient en faire partie » (p. 98).</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Bien que le par. 227(4.1) s’applique indéniablement en dépit de l’existence de toute garantie — ou charge super prioritaire — grevant les biens du débiteur, l’évolution des textes législatifs depuis le prononcé de l’arrêt </w:t>
      </w:r>
      <w:r w:rsidRPr="00414E99">
        <w:rPr>
          <w:rFonts w:cs="Times New Roman"/>
          <w:i/>
          <w:iCs/>
          <w:lang w:val="fr-CA"/>
        </w:rPr>
        <w:t>Sparrow Electric</w:t>
      </w:r>
      <w:r w:rsidRPr="00414E99">
        <w:rPr>
          <w:rFonts w:cs="Times New Roman"/>
          <w:lang w:val="fr-CA"/>
        </w:rPr>
        <w:t xml:space="preserve"> est muette à propos du droit spécifique de la Couronne sur les retenues à la source non versées, au titre de la fiducie réputée, lorsqu’une entreprise fait l’objet d’une restructuration sous le régime de la </w:t>
      </w:r>
      <w:r w:rsidRPr="00414E99">
        <w:rPr>
          <w:rFonts w:cs="Times New Roman"/>
          <w:i/>
          <w:lang w:val="fr-CA"/>
        </w:rPr>
        <w:t>LACC</w:t>
      </w:r>
      <w:r w:rsidRPr="00414E99">
        <w:rPr>
          <w:rFonts w:cs="Times New Roman"/>
          <w:lang w:val="fr-CA"/>
        </w:rPr>
        <w:t xml:space="preserve">. Même si, comme l’affirme avec insistance la Couronne, une charge super prioritaire au titre de la </w:t>
      </w:r>
      <w:r w:rsidRPr="00414E99">
        <w:rPr>
          <w:rFonts w:cs="Times New Roman"/>
          <w:i/>
          <w:lang w:val="fr-CA"/>
        </w:rPr>
        <w:t>LACC</w:t>
      </w:r>
      <w:r w:rsidRPr="00414E99">
        <w:rPr>
          <w:rFonts w:cs="Times New Roman"/>
          <w:lang w:val="fr-CA"/>
        </w:rPr>
        <w:t xml:space="preserve"> est une garantie pour les besoins de la fiducie réputée créée en faveur de la Couronne (et je ne tranche pas cette question dans les présents motifs), cela ne définit pas les </w:t>
      </w:r>
      <w:r w:rsidRPr="00414E99">
        <w:rPr>
          <w:rFonts w:cs="Times New Roman"/>
          <w:i/>
          <w:lang w:val="fr-CA"/>
        </w:rPr>
        <w:t>droits</w:t>
      </w:r>
      <w:r w:rsidRPr="00414E99">
        <w:rPr>
          <w:rFonts w:cs="Times New Roman"/>
          <w:lang w:val="fr-CA"/>
        </w:rPr>
        <w:t xml:space="preserve"> de la Couronne au titre de la fiducie réputée dans le cadre d’une restructuration sous le régime de la </w:t>
      </w:r>
      <w:r w:rsidRPr="00414E99">
        <w:rPr>
          <w:rFonts w:cs="Times New Roman"/>
          <w:i/>
          <w:lang w:val="fr-CA"/>
        </w:rPr>
        <w:t>LACC</w:t>
      </w:r>
      <w:r w:rsidRPr="00414E99">
        <w:rPr>
          <w:rFonts w:cs="Times New Roman"/>
          <w:lang w:val="fr-CA"/>
        </w:rPr>
        <w:t xml:space="preserve">. Notre Cour ne s’est jamais penchée sur la façon dont le par. 227(4.1) de la </w:t>
      </w:r>
      <w:r w:rsidRPr="00414E99">
        <w:rPr>
          <w:rFonts w:cs="Times New Roman"/>
          <w:i/>
          <w:lang w:val="fr-CA"/>
        </w:rPr>
        <w:t xml:space="preserve">LIR </w:t>
      </w:r>
      <w:r w:rsidRPr="00414E99">
        <w:rPr>
          <w:rFonts w:cs="Times New Roman"/>
          <w:lang w:val="fr-CA"/>
        </w:rPr>
        <w:t xml:space="preserve">interagit </w:t>
      </w:r>
      <w:r w:rsidRPr="00414E99">
        <w:rPr>
          <w:rFonts w:cs="Times New Roman"/>
          <w:lang w:val="fr-CA"/>
        </w:rPr>
        <w:lastRenderedPageBreak/>
        <w:t xml:space="preserve">avec le régime de la </w:t>
      </w:r>
      <w:r w:rsidRPr="00414E99">
        <w:rPr>
          <w:rFonts w:cs="Times New Roman"/>
          <w:i/>
          <w:lang w:val="fr-CA"/>
        </w:rPr>
        <w:t>LACC</w:t>
      </w:r>
      <w:r w:rsidRPr="00414E99">
        <w:rPr>
          <w:rFonts w:cs="Times New Roman"/>
          <w:lang w:val="fr-CA"/>
        </w:rPr>
        <w:t xml:space="preserve"> à la lumière des arrêts de principe en matière d’insolvabilité </w:t>
      </w:r>
      <w:r w:rsidRPr="00414E99">
        <w:rPr>
          <w:rFonts w:cs="Times New Roman"/>
          <w:i/>
          <w:lang w:val="fr-CA"/>
        </w:rPr>
        <w:t>Century Services Inc. c. Canada (Procureur général)</w:t>
      </w:r>
      <w:r w:rsidRPr="00414E99">
        <w:rPr>
          <w:rFonts w:cs="Times New Roman"/>
          <w:lang w:val="fr-CA"/>
        </w:rPr>
        <w:t>, 2010 CSC 60, [2010] 3 R.C.S. 379,</w:t>
      </w:r>
      <w:r w:rsidRPr="00414E99">
        <w:rPr>
          <w:rFonts w:cs="Times New Roman"/>
          <w:i/>
          <w:lang w:val="fr-CA"/>
        </w:rPr>
        <w:t xml:space="preserve"> </w:t>
      </w:r>
      <w:r w:rsidRPr="00414E99">
        <w:rPr>
          <w:rFonts w:cs="Times New Roman"/>
          <w:lang w:val="fr-CA"/>
        </w:rPr>
        <w:t xml:space="preserve">et </w:t>
      </w:r>
      <w:r w:rsidRPr="00414E99">
        <w:rPr>
          <w:rFonts w:cs="Times New Roman"/>
          <w:i/>
          <w:lang w:val="fr-CA"/>
        </w:rPr>
        <w:t>Sun Indalex Finance, LLC c. Syndicat des Métallos</w:t>
      </w:r>
      <w:r w:rsidRPr="00414E99">
        <w:rPr>
          <w:rFonts w:cs="Times New Roman"/>
          <w:lang w:val="fr-CA"/>
        </w:rPr>
        <w:t>, 2013</w:t>
      </w:r>
      <w:r>
        <w:rPr>
          <w:rFonts w:cs="Times New Roman"/>
          <w:lang w:val="fr-CA"/>
        </w:rPr>
        <w:t xml:space="preserve"> CSC </w:t>
      </w:r>
      <w:r w:rsidRPr="00414E99">
        <w:rPr>
          <w:rFonts w:cs="Times New Roman"/>
          <w:lang w:val="fr-CA"/>
        </w:rPr>
        <w:t>6, [2013] 1 R.C.S. 271. Le présent pourvoi appelle notre Cour à le faire.</w:t>
      </w:r>
    </w:p>
    <w:p w:rsidR="00344043" w:rsidRPr="00414E99" w:rsidRDefault="00344043" w:rsidP="00344043">
      <w:pPr>
        <w:pStyle w:val="Title3LevelTitre3Niveau"/>
        <w:widowControl w:val="0"/>
        <w:spacing w:before="0"/>
        <w:rPr>
          <w:rFonts w:cs="Times New Roman"/>
          <w:lang w:val="fr-CA"/>
        </w:rPr>
      </w:pPr>
      <w:r w:rsidRPr="00414E99">
        <w:rPr>
          <w:rFonts w:cs="Times New Roman"/>
          <w:lang w:val="fr-CA"/>
        </w:rPr>
        <w:t>Le droit de bénéficiaire prévu au par</w:t>
      </w:r>
      <w:r>
        <w:rPr>
          <w:rFonts w:cs="Times New Roman"/>
          <w:lang w:val="fr-CA"/>
        </w:rPr>
        <w:t>.</w:t>
      </w:r>
      <w:r w:rsidRPr="00414E99">
        <w:rPr>
          <w:rFonts w:cs="Times New Roman"/>
          <w:lang w:val="fr-CA"/>
        </w:rPr>
        <w:t xml:space="preserve"> 227(4.1) de la </w:t>
      </w:r>
      <w:r w:rsidRPr="00414E99">
        <w:rPr>
          <w:rFonts w:cs="Times New Roman"/>
          <w:i/>
          <w:lang w:val="fr-CA"/>
        </w:rPr>
        <w:t>LIR</w:t>
      </w:r>
    </w:p>
    <w:p w:rsidR="00344043" w:rsidRPr="00414E99" w:rsidRDefault="00344043" w:rsidP="00344043">
      <w:pPr>
        <w:pStyle w:val="ParaNoNdepar-AltN"/>
        <w:widowControl w:val="0"/>
        <w:spacing w:before="0"/>
        <w:rPr>
          <w:rFonts w:cs="Times New Roman"/>
          <w:lang w:val="fr-CA"/>
        </w:rPr>
      </w:pPr>
      <w:r w:rsidRPr="00414E99">
        <w:rPr>
          <w:rFonts w:cs="Times New Roman"/>
          <w:lang w:val="fr-CA"/>
        </w:rPr>
        <w:t xml:space="preserve">La Couronne soutient que le par. 227(4.1) lui confère un droit propriétal puisqu’il lui accorde un droit de bénéficiaire sur le montant des retenues à la source non versées. Puisqu’il s’agit d’un droit </w:t>
      </w:r>
      <w:r w:rsidRPr="00414E99">
        <w:rPr>
          <w:rFonts w:cs="Times New Roman"/>
          <w:i/>
          <w:lang w:val="fr-CA"/>
        </w:rPr>
        <w:t>propriétal</w:t>
      </w:r>
      <w:r w:rsidRPr="00414E99">
        <w:rPr>
          <w:rFonts w:cs="Times New Roman"/>
          <w:lang w:val="fr-CA"/>
        </w:rPr>
        <w:t xml:space="preserve">, le montant des retenues à la source non versées est soustrait du patrimoine du débiteur, accordant ainsi à la Couronne une super priorité. Autrement dit, la Couronne souscrit à l’opinion dissidente exprimée en Cour d’appel : le bien est la propriété de la Couronne, et un juge chargé d’appliquer la </w:t>
      </w:r>
      <w:r w:rsidRPr="00414E99">
        <w:rPr>
          <w:rFonts w:cs="Times New Roman"/>
          <w:i/>
          <w:lang w:val="fr-CA"/>
        </w:rPr>
        <w:t>LACC</w:t>
      </w:r>
      <w:r w:rsidRPr="00414E99">
        <w:rPr>
          <w:rFonts w:cs="Times New Roman"/>
          <w:lang w:val="fr-CA"/>
        </w:rPr>
        <w:t xml:space="preserve"> ne peut ordonner aucune charge sur ce bien. Les intimées, à l’instar des juges majoritaires de la Cour d’appel, font valoir que le par. 227(4.1) crée une garantie et que celle</w:t>
      </w:r>
      <w:r w:rsidRPr="00414E99">
        <w:rPr>
          <w:rFonts w:cs="Times New Roman"/>
          <w:lang w:val="fr-CA"/>
        </w:rPr>
        <w:noBreakHyphen/>
        <w:t xml:space="preserve">ci peut donc être subordonnée à une charge super prioritaire au titre de la </w:t>
      </w:r>
      <w:r w:rsidRPr="00414E99">
        <w:rPr>
          <w:rFonts w:cs="Times New Roman"/>
          <w:i/>
          <w:lang w:val="fr-CA"/>
        </w:rPr>
        <w:t>LACC</w:t>
      </w:r>
      <w:r w:rsidRPr="00414E99">
        <w:rPr>
          <w:rFonts w:cs="Times New Roman"/>
          <w:lang w:val="fr-CA"/>
        </w:rPr>
        <w:t>.</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Ces prétentions sont fondées en grande partie sur la nature de l’intérêt de la Couronne, à savoir « garantie » ou « droit propriétal ». Cependant, je suis d’avis que le fait de qualifier le droit de l’une ou l’autre façon ne permet pas de résoudre les questions en litige dans le pourvoi étant donné que ni l’une ni l’autre des qualifications ne possède de caractéristiques essentielles dans l’abstrait. La nature d’un droit est définie par la disposition législative qui le prévoit. Les concepts généraux de « droit </w:t>
      </w:r>
      <w:r w:rsidRPr="00414E99">
        <w:rPr>
          <w:rFonts w:cs="Times New Roman"/>
          <w:lang w:val="fr-CA"/>
        </w:rPr>
        <w:lastRenderedPageBreak/>
        <w:t>propriétal » et de « garantie » — ou de « bien », de « fiducie » et de « droit de bénéficiaire » — ne sont pas d’une grande utilité dans la présente analyse.</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Notre Cour a souligné qu’un bien est souvent interprété comme un « faisceau de droits » et d’obligations (</w:t>
      </w:r>
      <w:r w:rsidRPr="00414E99">
        <w:rPr>
          <w:rFonts w:cs="Times New Roman"/>
          <w:i/>
          <w:lang w:val="fr-CA"/>
        </w:rPr>
        <w:t>Saulnier c. Banque Royale du Canada</w:t>
      </w:r>
      <w:r w:rsidRPr="00414E99">
        <w:rPr>
          <w:rFonts w:cs="Times New Roman"/>
          <w:lang w:val="fr-CA"/>
        </w:rPr>
        <w:t xml:space="preserve">, 2008 CSC 58, [2008] 3 R.C.S. 166, par. 43). Selon les droits qu’a une personne, son « faisceau de droits » peut être considéré comme un « intérêt propriétal » faible ou fort. Pour cette raison, on a dit que le titulaire d’une garantie a un droit propriétal sur cette garantie. Dans l’arrêt </w:t>
      </w:r>
      <w:r w:rsidRPr="00414E99">
        <w:rPr>
          <w:rFonts w:cs="Times New Roman"/>
          <w:i/>
          <w:lang w:val="fr-CA"/>
        </w:rPr>
        <w:t>Sparrow Electric</w:t>
      </w:r>
      <w:r w:rsidRPr="00414E99">
        <w:rPr>
          <w:rFonts w:cs="Times New Roman"/>
          <w:lang w:val="fr-CA"/>
        </w:rPr>
        <w:t>, par exemple, le juge Iacobucci, au nom de la majorité, et le juge Gonthier, au nom des juges dissidents, ont expliqué que, dans cette affaire, le créancier garanti avait un droit propriétal sur les biens de la débitrice qui servaient à garantir sa dette et qu’il était effectivement propriétaire de ces biens (par. 42 et 98).</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Dans le même ordre d’idées, Ronald C. C. Cuming, Catherine Walsh et Roderick J. Wood affirment que, dans le contexte des lois en matière de sûretés mobilières, un créancier garanti possède un droit propriétal sur les biens donnés en garantie. La raison en est que, pour ces auteurs, [</w:t>
      </w:r>
      <w:r w:rsidRPr="00414E99">
        <w:rPr>
          <w:rFonts w:cs="Times New Roman"/>
          <w:smallCaps/>
          <w:lang w:val="fr-CA"/>
        </w:rPr>
        <w:t>traduction</w:t>
      </w:r>
      <w:r w:rsidRPr="00414E99">
        <w:rPr>
          <w:rFonts w:cs="Times New Roman"/>
          <w:lang w:val="fr-CA"/>
        </w:rPr>
        <w:t>] « [l]a caractéristique déterminante d’un droit propriétal est [. . .] qu’il est [. . .] opposable à tous</w:t>
      </w:r>
      <w:r>
        <w:rPr>
          <w:rFonts w:cs="Times New Roman"/>
          <w:lang w:val="fr-CA"/>
        </w:rPr>
        <w:t> »</w:t>
      </w:r>
      <w:r w:rsidRPr="00414E99">
        <w:rPr>
          <w:rFonts w:cs="Times New Roman"/>
          <w:lang w:val="fr-CA"/>
        </w:rPr>
        <w:t>, et le droit d’un créancier garanti ayant une sûreté parfaite est opposable à tous (</w:t>
      </w:r>
      <w:r w:rsidRPr="00414E99">
        <w:rPr>
          <w:rFonts w:cs="Times New Roman"/>
          <w:i/>
          <w:iCs/>
          <w:shd w:val="clear" w:color="auto" w:fill="FFFFFF"/>
          <w:lang w:val="fr-CA"/>
        </w:rPr>
        <w:t>Personal Property Security Law</w:t>
      </w:r>
      <w:r w:rsidRPr="00414E99">
        <w:rPr>
          <w:rFonts w:cs="Times New Roman"/>
          <w:shd w:val="clear" w:color="auto" w:fill="FFFFFF"/>
          <w:lang w:val="fr-CA"/>
        </w:rPr>
        <w:t> (2</w:t>
      </w:r>
      <w:r w:rsidRPr="00414E99">
        <w:rPr>
          <w:rFonts w:cs="Times New Roman"/>
          <w:shd w:val="clear" w:color="auto" w:fill="FFFFFF"/>
          <w:vertAlign w:val="superscript"/>
          <w:lang w:val="fr-CA"/>
        </w:rPr>
        <w:t>e</w:t>
      </w:r>
      <w:r w:rsidRPr="00414E99">
        <w:rPr>
          <w:rFonts w:cs="Times New Roman"/>
          <w:shd w:val="clear" w:color="auto" w:fill="FFFFFF"/>
          <w:lang w:val="fr-CA"/>
        </w:rPr>
        <w:t xml:space="preserve"> éd. 2012), p. 613). Sans une explication de ce que signifient les termes dans un contexte donné, il est difficile de tirer quelque conclusion que ce soit de la qualification. </w:t>
      </w:r>
      <w:r w:rsidRPr="00414E99">
        <w:rPr>
          <w:rFonts w:cs="Times New Roman"/>
          <w:lang w:val="fr-CA"/>
        </w:rPr>
        <w:t>(B</w:t>
      </w:r>
      <w:r>
        <w:rPr>
          <w:rFonts w:cs="Times New Roman"/>
          <w:lang w:val="fr-CA"/>
        </w:rPr>
        <w:t>ien qu’il existe une nette diffé</w:t>
      </w:r>
      <w:r w:rsidRPr="00414E99">
        <w:rPr>
          <w:rFonts w:cs="Times New Roman"/>
          <w:lang w:val="fr-CA"/>
        </w:rPr>
        <w:t xml:space="preserve">rence entre un droit réel (opposable à </w:t>
      </w:r>
      <w:r w:rsidRPr="00414E99">
        <w:rPr>
          <w:rFonts w:cs="Times New Roman"/>
          <w:lang w:val="fr-CA"/>
        </w:rPr>
        <w:lastRenderedPageBreak/>
        <w:t>tous) et un droit personnel (opposable à un ensemble déterminé de personnes), la question de savoir si le terme « droit propriétal » s’entend d’un « droit réel » ou si le terme « garantie » s’entend d’un « droit personnel » dépend du contexte législatif. Quoi qu’il en soit, les observations présentées devant notre Cour n’étaient pas formulées en ces termes).</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 xml:space="preserve">Dans l’arrêt </w:t>
      </w:r>
      <w:r w:rsidRPr="00414E99">
        <w:rPr>
          <w:rFonts w:cs="Times New Roman"/>
          <w:i/>
          <w:lang w:val="fr-CA"/>
        </w:rPr>
        <w:t>Saulnier</w:t>
      </w:r>
      <w:r w:rsidRPr="00414E99">
        <w:rPr>
          <w:rFonts w:cs="Times New Roman"/>
          <w:lang w:val="fr-CA"/>
        </w:rPr>
        <w:t xml:space="preserve">, notre Cour a expliqué qu’au moment d’analyser la définition d’un bien contenue dans une loi, il n’est pas utile d’examiner la notion de « bien » dans l’abstrait, ni même dans la common law parce que « le législateur peut, à des fins particulières, créer sa propre nomenclature, et il lui arrive effectivement de le faire » (par. 16; voir aussi </w:t>
      </w:r>
      <w:r w:rsidRPr="00414E99">
        <w:rPr>
          <w:rFonts w:cs="Times New Roman"/>
          <w:i/>
          <w:lang w:val="fr-CA"/>
        </w:rPr>
        <w:t>Québec (Revenu) c. Caisse populaire Desjardins de Montmagny</w:t>
      </w:r>
      <w:r w:rsidRPr="00414E99">
        <w:rPr>
          <w:rFonts w:cs="Times New Roman"/>
          <w:lang w:val="fr-CA"/>
        </w:rPr>
        <w:t>, 2009 CSC 49, [2009] 3 R.C.S. 286, par. 11</w:t>
      </w:r>
      <w:r w:rsidRPr="00414E99">
        <w:rPr>
          <w:rFonts w:cs="Times New Roman"/>
          <w:lang w:val="fr-CA"/>
        </w:rPr>
        <w:noBreakHyphen/>
        <w:t xml:space="preserve">12). En effet, « des droits étrangers à la </w:t>
      </w:r>
      <w:r w:rsidRPr="00414E99">
        <w:rPr>
          <w:rFonts w:cs="Times New Roman"/>
          <w:i/>
          <w:lang w:val="fr-CA"/>
        </w:rPr>
        <w:t>common law</w:t>
      </w:r>
      <w:r w:rsidRPr="00414E99">
        <w:rPr>
          <w:rFonts w:cs="Times New Roman"/>
          <w:lang w:val="fr-CA"/>
        </w:rPr>
        <w:t xml:space="preserve"> peuvent naître d’une loi » (</w:t>
      </w:r>
      <w:r w:rsidRPr="00414E99">
        <w:rPr>
          <w:rFonts w:cs="Times New Roman"/>
          <w:i/>
          <w:lang w:val="fr-CA"/>
        </w:rPr>
        <w:t>Wotherspoon c. Canadien Pacifique Ltée</w:t>
      </w:r>
      <w:r w:rsidRPr="00414E99">
        <w:rPr>
          <w:rFonts w:cs="Times New Roman"/>
          <w:lang w:val="fr-CA"/>
        </w:rPr>
        <w:t xml:space="preserve">, [1987] 1 R.C.S. 952, p. 999, citant le juge Ross dans </w:t>
      </w:r>
      <w:r w:rsidRPr="00414E99">
        <w:rPr>
          <w:rFonts w:cs="Times New Roman"/>
          <w:i/>
          <w:lang w:val="fr-CA"/>
        </w:rPr>
        <w:t>Town of Lunenburg c. Municipality of Lunenburg</w:t>
      </w:r>
      <w:r w:rsidRPr="00414E99">
        <w:rPr>
          <w:rFonts w:cs="Times New Roman"/>
          <w:lang w:val="fr-CA"/>
        </w:rPr>
        <w:t>, [1932] 1 D.L.R. 386 (C.S. N.</w:t>
      </w:r>
      <w:r w:rsidRPr="00414E99">
        <w:rPr>
          <w:rFonts w:cs="Times New Roman"/>
          <w:lang w:val="fr-CA"/>
        </w:rPr>
        <w:noBreakHyphen/>
        <w:t>É.), p. 390). Par conséquent, une certaine prudence s’impose avant d’utiliser des définitions tirées d’autres contextes, de s’appuyer sur des déclarations ou des descriptions tirées d’affaires hors contexte et d’employer des concepts généraux comme le « droit propriétal » et la « garantie ». Il est essentiel, dans le présent pourvoi, de ne pas déborder du cadre des dispositions législatives à interpréter.</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 xml:space="preserve">Aux termes du par. 227(4.1), la Couronne a un « droit de bénéficiaire » sur le montant des retenues à la source non versées. Il ne s’ensuit toutefois pas que ce droit </w:t>
      </w:r>
      <w:r w:rsidRPr="00414E99">
        <w:rPr>
          <w:rFonts w:cs="Times New Roman"/>
          <w:lang w:val="fr-CA"/>
        </w:rPr>
        <w:lastRenderedPageBreak/>
        <w:t>de bénéficiaire est absolu ni qu’il découle de ce terme des droits particuliers. Il ne s’agit pas en l’espèce d’un cas où le législateur a utilisé un terme ayant une signification juridique bien établie — menant à une inférence selon laquelle le législateur a donné cette signification précise au terme dans la loi en question (</w:t>
      </w:r>
      <w:r w:rsidRPr="00414E99">
        <w:rPr>
          <w:rFonts w:cs="Times New Roman"/>
          <w:i/>
          <w:lang w:val="fr-CA"/>
        </w:rPr>
        <w:t>R. c. D.L.W.</w:t>
      </w:r>
      <w:r w:rsidRPr="00414E99">
        <w:rPr>
          <w:rFonts w:cs="Times New Roman"/>
          <w:lang w:val="fr-CA"/>
        </w:rPr>
        <w:t xml:space="preserve">, 2016 CSC 22, [2016] 1 R.C.S. 402, par. 20). Le concept du droit de bénéficiaire n’a pas de signification doctrinale précise dans la common law canadienne, et il n’existe pas dans le droit civil québécois. Il n’est pas non plus utilisé de façon uniforme dans la </w:t>
      </w:r>
      <w:r w:rsidRPr="00414E99">
        <w:rPr>
          <w:rFonts w:cs="Times New Roman"/>
          <w:i/>
          <w:lang w:val="fr-CA"/>
        </w:rPr>
        <w:t>LIR</w:t>
      </w:r>
      <w:r w:rsidRPr="00414E99">
        <w:rPr>
          <w:rFonts w:cs="Times New Roman"/>
          <w:lang w:val="fr-CA"/>
        </w:rPr>
        <w:t>. Le sens du terme « droit de bénéficiaire » utilisé au par. 227(4.1) ne peut être saisi que dans le contexte législatif précis et pertinent où il est employé. À cet égard, bien que le par. 227(4.1) prévoit un mécanisme de fiducie et qu’il confère un certain droit de bénéficiaire à la Couronne, il modifie les caractéristiques qui sont généralement associées à ce droit de bénéficiaire dans la common law.</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 xml:space="preserve">En tant que loi fédérale d’application nationale, la </w:t>
      </w:r>
      <w:r w:rsidRPr="00414E99">
        <w:rPr>
          <w:rFonts w:cs="Times New Roman"/>
          <w:i/>
          <w:iCs/>
          <w:lang w:val="fr-CA"/>
        </w:rPr>
        <w:t xml:space="preserve">LIR </w:t>
      </w:r>
      <w:r w:rsidRPr="00414E99">
        <w:rPr>
          <w:rFonts w:cs="Times New Roman"/>
          <w:lang w:val="fr-CA"/>
        </w:rPr>
        <w:t xml:space="preserve">repose sur le droit privé des provinces. Ce rapport de complémentarité est établi à l’art. 8.1 de la </w:t>
      </w:r>
      <w:r w:rsidRPr="00414E99">
        <w:rPr>
          <w:rFonts w:cs="Times New Roman"/>
          <w:i/>
          <w:lang w:val="fr-CA"/>
        </w:rPr>
        <w:t>Loi d’interprétation</w:t>
      </w:r>
      <w:r w:rsidRPr="00414E99">
        <w:rPr>
          <w:rFonts w:cs="Times New Roman"/>
          <w:lang w:val="fr-CA"/>
        </w:rPr>
        <w:t>, L.R.C. 1985, c. I</w:t>
      </w:r>
      <w:r w:rsidRPr="00414E99">
        <w:rPr>
          <w:rFonts w:cs="Times New Roman"/>
          <w:lang w:val="fr-CA"/>
        </w:rPr>
        <w:noBreakHyphen/>
        <w:t>21. La loi fédérale peut cependant déroger au droit privé et s’en dissocier lorsqu’elle porte sur une matière qui relève de sa compétence : voir M</w:t>
      </w:r>
      <w:r>
        <w:rPr>
          <w:rFonts w:cs="Times New Roman"/>
          <w:lang w:val="fr-CA"/>
        </w:rPr>
        <w:t>.</w:t>
      </w:r>
      <w:r w:rsidRPr="00414E99">
        <w:rPr>
          <w:rFonts w:cs="Times New Roman"/>
          <w:lang w:val="fr-CA"/>
        </w:rPr>
        <w:t xml:space="preserve"> Lamoureux, « </w:t>
      </w:r>
      <w:r>
        <w:rPr>
          <w:rFonts w:cs="Times New Roman"/>
          <w:i/>
          <w:lang w:val="fr-CA"/>
        </w:rPr>
        <w:t>L’harmonisation des lois fiscales — La dissociation : Un mécanisme d’exception Partie III</w:t>
      </w:r>
      <w:r w:rsidRPr="00414E99">
        <w:rPr>
          <w:rFonts w:cs="Times New Roman"/>
          <w:lang w:val="fr-CA"/>
        </w:rPr>
        <w:t> » (en ligne). Comme je l’expliquerai, la fiducie créée en vertu du par. 227(4.1) se dissocie des conditions d’une fiducie tant en common law provinciale qu’en droit civil.</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lastRenderedPageBreak/>
        <w:t xml:space="preserve">Voici de quelle manière je vais procéder : (1) le terme « droit de bénéficiaire » n’a pas de signification établie dans la doctrine et (2) le par. 227(4.1) ne crée pas une fiducie véritable puisqu’il n’existe aucune certitude quant à sa matière. L’absence de certitude à cet égard signifie que la Couronne ne peut pas, au moyen du retraçage de l’origine des biens, réclamer l’appréciation de la valeur de la fiducie, et le fiduciaire (débiteur fiscal) est libre de disposer des biens de la fiducie. Ces caractéristiques font du droit de bénéficiaire de la Couronne un droit plus faible que le sens qui lui est généralement donné en common law. Il en résulte un droit « étrang[er] à la </w:t>
      </w:r>
      <w:r w:rsidRPr="00414E99">
        <w:rPr>
          <w:rFonts w:cs="Times New Roman"/>
          <w:i/>
          <w:lang w:val="fr-CA"/>
        </w:rPr>
        <w:t>common law</w:t>
      </w:r>
      <w:r w:rsidRPr="00414E99">
        <w:rPr>
          <w:rFonts w:cs="Times New Roman"/>
          <w:lang w:val="fr-CA"/>
        </w:rPr>
        <w:t xml:space="preserve"> [ou au droit civil] ». Nous ne pouvons donc pas nous fier au seul par. 227(4.1) pour définir de quelle façon les biens dans lesquels la Couronne a un « droit de bénéficiaire » au titre du par. 227(4.1) devraient être traités en cas d’insolvabilité — cette précision doit venir, et elle vient effectivement, de la législation du Parlement en matière d’insolvabilité.</w:t>
      </w:r>
    </w:p>
    <w:p w:rsidR="00344043" w:rsidRPr="00414E99" w:rsidRDefault="00344043" w:rsidP="00344043">
      <w:pPr>
        <w:pStyle w:val="Title5LevelTitre5Niveau"/>
        <w:spacing w:before="0"/>
        <w:ind w:left="1710" w:hanging="540"/>
        <w:rPr>
          <w:rFonts w:cs="Times New Roman"/>
          <w:lang w:val="fr-CA"/>
        </w:rPr>
      </w:pPr>
      <w:r w:rsidRPr="00414E99">
        <w:rPr>
          <w:rFonts w:cs="Times New Roman"/>
          <w:lang w:val="fr-CA"/>
        </w:rPr>
        <w:t>Aucune signification établie dans la doctrine</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 xml:space="preserve">Le concept du droit de bénéficiaire est plus couramment utilisé dans le domaine du droit des fiducies afin d’établir une distinction générale entre celui qui possède un titre en common law sur un bien (le fiduciaire) et celui qui a la jouissance de ce bien (le bénéficiaire). Selon le </w:t>
      </w:r>
      <w:r w:rsidRPr="00414E99">
        <w:rPr>
          <w:rFonts w:cs="Times New Roman"/>
          <w:i/>
          <w:szCs w:val="24"/>
          <w:lang w:val="fr-CA"/>
        </w:rPr>
        <w:t xml:space="preserve">Black’s Law Dictionary </w:t>
      </w:r>
      <w:r w:rsidRPr="00414E99">
        <w:rPr>
          <w:rFonts w:cs="Times New Roman"/>
          <w:szCs w:val="24"/>
          <w:lang w:val="fr-CA"/>
        </w:rPr>
        <w:t>(11</w:t>
      </w:r>
      <w:r w:rsidRPr="00414E99">
        <w:rPr>
          <w:rFonts w:cs="Times New Roman"/>
          <w:szCs w:val="24"/>
          <w:vertAlign w:val="superscript"/>
          <w:lang w:val="fr-CA"/>
        </w:rPr>
        <w:t>e</w:t>
      </w:r>
      <w:r>
        <w:rPr>
          <w:rFonts w:cs="Times New Roman"/>
          <w:szCs w:val="24"/>
          <w:lang w:val="fr-CA"/>
        </w:rPr>
        <w:t> </w:t>
      </w:r>
      <w:r w:rsidRPr="00414E99">
        <w:rPr>
          <w:rFonts w:cs="Times New Roman"/>
          <w:szCs w:val="24"/>
          <w:lang w:val="fr-CA"/>
        </w:rPr>
        <w:t>éd. 2019), par exemple, le « </w:t>
      </w:r>
      <w:r w:rsidRPr="00414E99">
        <w:rPr>
          <w:rFonts w:cs="Times New Roman"/>
          <w:i/>
          <w:szCs w:val="24"/>
          <w:lang w:val="fr-CA"/>
        </w:rPr>
        <w:t>beneficial owner</w:t>
      </w:r>
      <w:r w:rsidRPr="00414E99">
        <w:rPr>
          <w:rFonts w:cs="Times New Roman"/>
          <w:szCs w:val="24"/>
          <w:lang w:val="fr-CA"/>
        </w:rPr>
        <w:t> » (propriétaire bénéficiaire) est défini comme [</w:t>
      </w:r>
      <w:r w:rsidRPr="00414E99">
        <w:rPr>
          <w:rFonts w:cs="Times New Roman"/>
          <w:smallCaps/>
          <w:szCs w:val="24"/>
          <w:lang w:val="fr-CA"/>
        </w:rPr>
        <w:t>traduction</w:t>
      </w:r>
      <w:r w:rsidRPr="00414E99">
        <w:rPr>
          <w:rFonts w:cs="Times New Roman"/>
          <w:szCs w:val="24"/>
          <w:lang w:val="fr-CA"/>
        </w:rPr>
        <w:t xml:space="preserve">] « [l]a personne reconnue en equity comme le propriétaire d’une chose parce que l’utilisation et le titre lui appartiennent, même si le titre juridique appartient </w:t>
      </w:r>
      <w:r w:rsidRPr="00414E99">
        <w:rPr>
          <w:rFonts w:cs="Times New Roman"/>
          <w:szCs w:val="24"/>
          <w:lang w:val="fr-CA"/>
        </w:rPr>
        <w:lastRenderedPageBreak/>
        <w:t>peut</w:t>
      </w:r>
      <w:r w:rsidRPr="00414E99">
        <w:rPr>
          <w:rFonts w:cs="Times New Roman"/>
          <w:szCs w:val="24"/>
          <w:lang w:val="fr-CA"/>
        </w:rPr>
        <w:noBreakHyphen/>
        <w:t>être à quelqu’un d’autre, surtout une personne pour qui des biens sont détenus en fiducie » (p. 133</w:t>
      </w:r>
      <w:r>
        <w:rPr>
          <w:rFonts w:cs="Times New Roman"/>
          <w:szCs w:val="24"/>
          <w:lang w:val="fr-CA"/>
        </w:rPr>
        <w:t>1</w:t>
      </w:r>
      <w:r w:rsidRPr="00414E99">
        <w:rPr>
          <w:rFonts w:cs="Times New Roman"/>
          <w:szCs w:val="24"/>
          <w:lang w:val="fr-CA"/>
        </w:rPr>
        <w:t>).</w:t>
      </w:r>
    </w:p>
    <w:p w:rsidR="00344043" w:rsidRPr="00414E99" w:rsidRDefault="00344043" w:rsidP="00344043">
      <w:pPr>
        <w:pStyle w:val="ParaNoNdepar-AltN"/>
        <w:tabs>
          <w:tab w:val="clear" w:pos="1152"/>
          <w:tab w:val="left" w:pos="1166"/>
        </w:tabs>
        <w:spacing w:before="0"/>
        <w:rPr>
          <w:rFonts w:cs="Times New Roman"/>
          <w:szCs w:val="24"/>
          <w:lang w:val="fr-CA"/>
        </w:rPr>
      </w:pPr>
      <w:r w:rsidRPr="00414E99">
        <w:rPr>
          <w:rFonts w:cs="Times New Roman"/>
          <w:lang w:val="fr-CA"/>
        </w:rPr>
        <w:t>Malgré ce sens couramment donné, il n’existe pas de définition claire des droits qui découlent du « droit de bénéficiaire » en common law (voir, p. ex., C</w:t>
      </w:r>
      <w:r>
        <w:rPr>
          <w:rFonts w:cs="Times New Roman"/>
          <w:lang w:val="fr-CA"/>
        </w:rPr>
        <w:t>.</w:t>
      </w:r>
      <w:r w:rsidRPr="00414E99">
        <w:rPr>
          <w:rFonts w:cs="Times New Roman"/>
          <w:lang w:val="fr-CA"/>
        </w:rPr>
        <w:t xml:space="preserve"> Brown, « Propriété effective et </w:t>
      </w:r>
      <w:r w:rsidRPr="00623402">
        <w:rPr>
          <w:rFonts w:cs="Times New Roman"/>
          <w:lang w:val="fr-CA"/>
        </w:rPr>
        <w:t>Loi de l’impôt sur le revenu</w:t>
      </w:r>
      <w:r w:rsidRPr="00414E99">
        <w:rPr>
          <w:rFonts w:cs="Times New Roman"/>
          <w:lang w:val="fr-CA"/>
        </w:rPr>
        <w:t xml:space="preserve"> » (2003), 51 </w:t>
      </w:r>
      <w:r w:rsidRPr="00414E99">
        <w:rPr>
          <w:rFonts w:cs="Times New Roman"/>
          <w:i/>
          <w:iCs/>
          <w:lang w:val="fr-CA"/>
        </w:rPr>
        <w:t>Rev. fisc. can</w:t>
      </w:r>
      <w:r w:rsidRPr="00414E99">
        <w:rPr>
          <w:rFonts w:cs="Times New Roman"/>
          <w:lang w:val="fr-CA"/>
        </w:rPr>
        <w:t xml:space="preserve">. 454; M. D. Brender, « Propriété effective dans la législation fiscale canadienne : Réforme nécessaire et incidences sur l’harmonisation de la législation fédérale avec le droit civil du Québec » (2003), 51 </w:t>
      </w:r>
      <w:r w:rsidRPr="00414E99">
        <w:rPr>
          <w:rFonts w:cs="Times New Roman"/>
          <w:i/>
          <w:iCs/>
          <w:lang w:val="fr-CA"/>
        </w:rPr>
        <w:t>Rev. fisc. can</w:t>
      </w:r>
      <w:r w:rsidRPr="00414E99">
        <w:rPr>
          <w:rFonts w:cs="Times New Roman"/>
          <w:lang w:val="fr-CA"/>
        </w:rPr>
        <w:t xml:space="preserve">. 355, p. 360). En outre, le concept de « droit de bénéficiaire » ne figure pas dans le </w:t>
      </w:r>
      <w:r w:rsidRPr="00414E99">
        <w:rPr>
          <w:rFonts w:cs="Times New Roman"/>
          <w:i/>
          <w:lang w:val="fr-CA"/>
        </w:rPr>
        <w:t>Code civil du Québec</w:t>
      </w:r>
      <w:r w:rsidRPr="00414E99">
        <w:rPr>
          <w:rFonts w:cs="Times New Roman"/>
          <w:lang w:val="fr-CA"/>
        </w:rPr>
        <w:t xml:space="preserve"> (voir </w:t>
      </w:r>
      <w:r>
        <w:rPr>
          <w:rFonts w:cs="Times New Roman"/>
          <w:i/>
          <w:szCs w:val="24"/>
          <w:lang w:val="fr-CA"/>
        </w:rPr>
        <w:t>Canada (Procureur général</w:t>
      </w:r>
      <w:r w:rsidRPr="00414E99">
        <w:rPr>
          <w:rFonts w:cs="Times New Roman"/>
          <w:i/>
          <w:szCs w:val="24"/>
          <w:lang w:val="fr-CA"/>
        </w:rPr>
        <w:t>) c. Caisse populaire d’Amos</w:t>
      </w:r>
      <w:r w:rsidRPr="00414E99">
        <w:rPr>
          <w:rFonts w:cs="Times New Roman"/>
          <w:szCs w:val="24"/>
          <w:lang w:val="fr-CA"/>
        </w:rPr>
        <w:t>, 2004 CAF 92, 324 N.R. 31, par. 48</w:t>
      </w:r>
      <w:r w:rsidRPr="00414E99">
        <w:rPr>
          <w:rFonts w:cs="Times New Roman"/>
          <w:szCs w:val="24"/>
          <w:lang w:val="fr-CA"/>
        </w:rPr>
        <w:noBreakHyphen/>
        <w:t>49</w:t>
      </w:r>
      <w:r w:rsidRPr="00414E99">
        <w:rPr>
          <w:rFonts w:cs="Times New Roman"/>
          <w:lang w:val="fr-CA"/>
        </w:rPr>
        <w:t>).</w:t>
      </w:r>
    </w:p>
    <w:p w:rsidR="00344043" w:rsidRPr="00414E99" w:rsidRDefault="00344043" w:rsidP="00344043">
      <w:pPr>
        <w:pStyle w:val="ParaNoNdepar-AltN"/>
        <w:tabs>
          <w:tab w:val="clear" w:pos="1152"/>
          <w:tab w:val="left" w:pos="1166"/>
        </w:tabs>
        <w:spacing w:before="0"/>
        <w:rPr>
          <w:rFonts w:cs="Times New Roman"/>
          <w:szCs w:val="24"/>
          <w:lang w:val="fr-CA"/>
        </w:rPr>
      </w:pPr>
      <w:r w:rsidRPr="00414E99">
        <w:rPr>
          <w:rFonts w:cs="Times New Roman"/>
          <w:lang w:val="fr-CA"/>
        </w:rPr>
        <w:t xml:space="preserve">Également sujet à controverse dans le milieu universitaire, le terme est à l’origine d’un débat houleux sur la question de savoir si le bénéficiaire d’une fiducie devrait être considéré comme un </w:t>
      </w:r>
      <w:r w:rsidRPr="00414E99">
        <w:rPr>
          <w:rFonts w:cs="Times New Roman"/>
          <w:i/>
          <w:lang w:val="fr-CA"/>
        </w:rPr>
        <w:t>propriétaire</w:t>
      </w:r>
      <w:r w:rsidRPr="00414E99">
        <w:rPr>
          <w:rFonts w:cs="Times New Roman"/>
          <w:lang w:val="fr-CA"/>
        </w:rPr>
        <w:t xml:space="preserve"> (voir</w:t>
      </w:r>
      <w:r>
        <w:rPr>
          <w:rFonts w:cs="Times New Roman"/>
          <w:lang w:val="fr-CA"/>
        </w:rPr>
        <w:t>.</w:t>
      </w:r>
      <w:r w:rsidRPr="00414E99">
        <w:rPr>
          <w:rFonts w:cs="Times New Roman"/>
          <w:lang w:val="fr-CA"/>
        </w:rPr>
        <w:t xml:space="preserve"> p. ex., D.</w:t>
      </w:r>
      <w:r>
        <w:rPr>
          <w:rFonts w:cs="Times New Roman"/>
          <w:lang w:val="fr-CA"/>
        </w:rPr>
        <w:t> </w:t>
      </w:r>
      <w:r w:rsidRPr="00414E99">
        <w:rPr>
          <w:rFonts w:cs="Times New Roman"/>
          <w:lang w:val="fr-CA"/>
        </w:rPr>
        <w:t>W.</w:t>
      </w:r>
      <w:r>
        <w:rPr>
          <w:rFonts w:cs="Times New Roman"/>
          <w:lang w:val="fr-CA"/>
        </w:rPr>
        <w:t xml:space="preserve"> M. </w:t>
      </w:r>
      <w:r w:rsidRPr="00414E99">
        <w:rPr>
          <w:rFonts w:cs="Times New Roman"/>
          <w:lang w:val="fr-CA"/>
        </w:rPr>
        <w:t xml:space="preserve">Waters, « The Nature of the Trust Beneficiary’s Interest » (1967), 45 </w:t>
      </w:r>
      <w:r w:rsidRPr="00414E99">
        <w:rPr>
          <w:rFonts w:cs="Times New Roman"/>
          <w:i/>
          <w:lang w:val="fr-CA"/>
        </w:rPr>
        <w:t>R</w:t>
      </w:r>
      <w:r>
        <w:rPr>
          <w:rFonts w:cs="Times New Roman"/>
          <w:i/>
          <w:lang w:val="fr-CA"/>
        </w:rPr>
        <w:t xml:space="preserve">. du </w:t>
      </w:r>
      <w:r w:rsidRPr="00414E99">
        <w:rPr>
          <w:rFonts w:cs="Times New Roman"/>
          <w:i/>
          <w:lang w:val="fr-CA"/>
        </w:rPr>
        <w:t>B</w:t>
      </w:r>
      <w:r>
        <w:rPr>
          <w:rFonts w:cs="Times New Roman"/>
          <w:i/>
          <w:lang w:val="fr-CA"/>
        </w:rPr>
        <w:t>.</w:t>
      </w:r>
      <w:r w:rsidRPr="00414E99">
        <w:rPr>
          <w:rFonts w:cs="Times New Roman"/>
          <w:i/>
          <w:lang w:val="fr-CA"/>
        </w:rPr>
        <w:t xml:space="preserve"> can. </w:t>
      </w:r>
      <w:r w:rsidRPr="00414E99">
        <w:rPr>
          <w:rFonts w:cs="Times New Roman"/>
          <w:lang w:val="fr-CA"/>
        </w:rPr>
        <w:t xml:space="preserve">219; L. D. Smith, « Trust and Patrimony » (2008), 38 </w:t>
      </w:r>
      <w:r w:rsidRPr="00414E99">
        <w:rPr>
          <w:rFonts w:cs="Times New Roman"/>
          <w:i/>
          <w:lang w:val="fr-CA"/>
        </w:rPr>
        <w:t>R</w:t>
      </w:r>
      <w:r>
        <w:rPr>
          <w:rFonts w:cs="Times New Roman"/>
          <w:i/>
          <w:lang w:val="fr-CA"/>
        </w:rPr>
        <w:t>.</w:t>
      </w:r>
      <w:r w:rsidRPr="00414E99">
        <w:rPr>
          <w:rFonts w:cs="Times New Roman"/>
          <w:i/>
          <w:lang w:val="fr-CA"/>
        </w:rPr>
        <w:t xml:space="preserve"> </w:t>
      </w:r>
      <w:r>
        <w:rPr>
          <w:rFonts w:cs="Times New Roman"/>
          <w:i/>
          <w:lang w:val="fr-CA"/>
        </w:rPr>
        <w:t>G. D.</w:t>
      </w:r>
      <w:r w:rsidRPr="00414E99">
        <w:rPr>
          <w:rFonts w:cs="Times New Roman"/>
          <w:i/>
          <w:lang w:val="fr-CA"/>
        </w:rPr>
        <w:t xml:space="preserve"> </w:t>
      </w:r>
      <w:r w:rsidRPr="00414E99">
        <w:rPr>
          <w:rFonts w:cs="Times New Roman"/>
          <w:lang w:val="fr-CA"/>
        </w:rPr>
        <w:t xml:space="preserve">379; B. McFarlane et R. Stevens, « The nature of equitable property » (2010), 4 </w:t>
      </w:r>
      <w:r w:rsidRPr="00414E99">
        <w:rPr>
          <w:rFonts w:cs="Times New Roman"/>
          <w:i/>
          <w:lang w:val="fr-CA"/>
        </w:rPr>
        <w:t xml:space="preserve">J. Eq. </w:t>
      </w:r>
      <w:r w:rsidRPr="00414E99">
        <w:rPr>
          <w:rFonts w:cs="Times New Roman"/>
          <w:lang w:val="fr-CA"/>
        </w:rPr>
        <w:t xml:space="preserve">1; </w:t>
      </w:r>
      <w:r>
        <w:rPr>
          <w:rFonts w:cs="Times New Roman"/>
          <w:szCs w:val="24"/>
          <w:lang w:val="fr-CA"/>
        </w:rPr>
        <w:t>J. </w:t>
      </w:r>
      <w:r w:rsidRPr="00414E99">
        <w:rPr>
          <w:rFonts w:cs="Times New Roman"/>
          <w:szCs w:val="24"/>
          <w:lang w:val="fr-CA"/>
        </w:rPr>
        <w:t xml:space="preserve">E. Penner, « The (True) Nature of a Beneficiary’s Equitable Proprietary Interest under a Trust » (2014), 27 </w:t>
      </w:r>
      <w:r w:rsidRPr="00414E99">
        <w:rPr>
          <w:rFonts w:cs="Times New Roman"/>
          <w:i/>
          <w:szCs w:val="24"/>
          <w:lang w:val="fr-CA"/>
        </w:rPr>
        <w:t>Can. J.L. &amp; Jur.</w:t>
      </w:r>
      <w:r w:rsidRPr="00414E99">
        <w:rPr>
          <w:rFonts w:cs="Times New Roman"/>
          <w:szCs w:val="24"/>
          <w:lang w:val="fr-CA"/>
        </w:rPr>
        <w:t xml:space="preserve"> 473; </w:t>
      </w:r>
      <w:r w:rsidRPr="00414E99">
        <w:rPr>
          <w:rFonts w:cs="Times New Roman"/>
          <w:lang w:val="fr-CA"/>
        </w:rPr>
        <w:t>Brender, p. 360</w:t>
      </w:r>
      <w:r w:rsidRPr="00414E99">
        <w:rPr>
          <w:rFonts w:cs="Times New Roman"/>
          <w:szCs w:val="24"/>
          <w:lang w:val="fr-CA"/>
        </w:rPr>
        <w:t>)</w:t>
      </w:r>
      <w:r w:rsidRPr="00414E99">
        <w:rPr>
          <w:rFonts w:cs="Times New Roman"/>
          <w:lang w:val="fr-CA"/>
        </w:rPr>
        <w:t xml:space="preserve">. On estime d’ordinaire que le bénéficiaire d’une fiducie n’a que le droit personnel d’exiger du fiduciaire qu’il exécute les conditions de la fiducie, lequel droit ne constitue pas un droit de propriété sur les biens de la fiducie. Un autre avis est que le bénéficiaire d’une fiducie a un droit de propriété en equity sur </w:t>
      </w:r>
      <w:r w:rsidRPr="00414E99">
        <w:rPr>
          <w:rFonts w:cs="Times New Roman"/>
          <w:lang w:val="fr-CA"/>
        </w:rPr>
        <w:lastRenderedPageBreak/>
        <w:t>les biens de la fiducie, malgré l’existence d’un intermédiaire détenant un titre légal (Brown, p. 468</w:t>
      </w:r>
      <w:r w:rsidRPr="00414E99">
        <w:rPr>
          <w:rFonts w:cs="Times New Roman"/>
          <w:lang w:val="fr-CA"/>
        </w:rPr>
        <w:noBreakHyphen/>
        <w:t>469). Certains suggèrent qu’il existe une approche intermédiaire au Canada : selon le contexte, le droit d’un bénéficiaire est soit un droit personnel à l’encontre du fiduciaire, soit un droit de propriété sur les biens de la fiducie (Brender, p. 360).</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t xml:space="preserve">Dans « Propriété effective et </w:t>
      </w:r>
      <w:r w:rsidRPr="00623402">
        <w:rPr>
          <w:rFonts w:cs="Times New Roman"/>
          <w:lang w:val="fr-CA"/>
        </w:rPr>
        <w:t>Loi de l’impôt sur le revenu</w:t>
      </w:r>
      <w:r w:rsidRPr="00414E99">
        <w:rPr>
          <w:rFonts w:cs="Times New Roman"/>
          <w:lang w:val="fr-CA"/>
        </w:rPr>
        <w:t> », Brown souligne le débat qui divise les spécialistes du domaine et elle analyse la façon dont les termes « </w:t>
      </w:r>
      <w:r w:rsidRPr="00414E99">
        <w:rPr>
          <w:rFonts w:cs="Times New Roman"/>
          <w:i/>
          <w:lang w:val="fr-CA"/>
        </w:rPr>
        <w:t>beneficial ownership</w:t>
      </w:r>
      <w:r w:rsidRPr="00414E99">
        <w:rPr>
          <w:rFonts w:cs="Times New Roman"/>
          <w:lang w:val="fr-CA"/>
        </w:rPr>
        <w:t> », « </w:t>
      </w:r>
      <w:r w:rsidRPr="00414E99">
        <w:rPr>
          <w:rFonts w:cs="Times New Roman"/>
          <w:i/>
          <w:lang w:val="fr-CA"/>
        </w:rPr>
        <w:t>beneficial owner</w:t>
      </w:r>
      <w:r w:rsidRPr="00414E99">
        <w:rPr>
          <w:rFonts w:cs="Times New Roman"/>
          <w:lang w:val="fr-CA"/>
        </w:rPr>
        <w:t> » et « </w:t>
      </w:r>
      <w:r w:rsidRPr="00414E99">
        <w:rPr>
          <w:rFonts w:cs="Times New Roman"/>
          <w:i/>
          <w:lang w:val="fr-CA"/>
        </w:rPr>
        <w:t>beneficially owned</w:t>
      </w:r>
      <w:r w:rsidRPr="00414E99">
        <w:rPr>
          <w:rFonts w:cs="Times New Roman"/>
          <w:lang w:val="fr-CA"/>
        </w:rPr>
        <w:t xml:space="preserve"> » (« droit de bénéficiaire » et « propriétaire bénéficiaire ») sont utilisés dans la </w:t>
      </w:r>
      <w:r w:rsidRPr="00414E99">
        <w:rPr>
          <w:rFonts w:cs="Times New Roman"/>
          <w:i/>
          <w:lang w:val="fr-CA"/>
        </w:rPr>
        <w:t>LIR</w:t>
      </w:r>
      <w:r w:rsidRPr="00414E99">
        <w:rPr>
          <w:rFonts w:cs="Times New Roman"/>
          <w:lang w:val="fr-CA"/>
        </w:rPr>
        <w:t xml:space="preserve">. Après avoir étudié 26 dispositions de la </w:t>
      </w:r>
      <w:r w:rsidRPr="00414E99">
        <w:rPr>
          <w:rFonts w:cs="Times New Roman"/>
          <w:i/>
          <w:lang w:val="fr-CA"/>
        </w:rPr>
        <w:t>LIR</w:t>
      </w:r>
      <w:r w:rsidRPr="00414E99">
        <w:rPr>
          <w:rFonts w:cs="Times New Roman"/>
          <w:lang w:val="fr-CA"/>
        </w:rPr>
        <w:t xml:space="preserve"> contenant « </w:t>
      </w:r>
      <w:r w:rsidRPr="00414E99">
        <w:rPr>
          <w:rFonts w:cs="Times New Roman"/>
          <w:i/>
          <w:lang w:val="fr-CA"/>
        </w:rPr>
        <w:t>beneficial ownership</w:t>
      </w:r>
      <w:r w:rsidRPr="00414E99">
        <w:rPr>
          <w:rFonts w:cs="Times New Roman"/>
          <w:lang w:val="fr-CA"/>
        </w:rPr>
        <w:t xml:space="preserve"> », elle en arrive à la conclusion que son sens « n’est plus </w:t>
      </w:r>
      <w:r>
        <w:rPr>
          <w:rFonts w:cs="Times New Roman"/>
          <w:lang w:val="fr-CA"/>
        </w:rPr>
        <w:t>aus</w:t>
      </w:r>
      <w:r w:rsidRPr="00414E99">
        <w:rPr>
          <w:rFonts w:cs="Times New Roman"/>
          <w:lang w:val="fr-CA"/>
        </w:rPr>
        <w:t>si évident » (p. 512).</w:t>
      </w:r>
    </w:p>
    <w:p w:rsidR="00344043" w:rsidRPr="00414E99" w:rsidRDefault="00344043" w:rsidP="00344043">
      <w:pPr>
        <w:pStyle w:val="ParaNoNdepar-AltN"/>
        <w:tabs>
          <w:tab w:val="clear" w:pos="1152"/>
          <w:tab w:val="left" w:pos="1166"/>
        </w:tabs>
        <w:spacing w:before="0"/>
        <w:rPr>
          <w:rFonts w:cs="Times New Roman"/>
          <w:szCs w:val="24"/>
          <w:lang w:val="fr-CA"/>
        </w:rPr>
      </w:pPr>
      <w:r w:rsidRPr="00414E99">
        <w:rPr>
          <w:rFonts w:cs="Times New Roman"/>
          <w:lang w:val="fr-CA"/>
        </w:rPr>
        <w:t>Notre Cour n’a pas à résoudre le débat en cours. Toutefois, ce débat fait ressortir que «</w:t>
      </w:r>
      <w:r>
        <w:rPr>
          <w:rFonts w:cs="Times New Roman"/>
          <w:lang w:val="fr-CA"/>
        </w:rPr>
        <w:t> </w:t>
      </w:r>
      <w:r w:rsidRPr="00414E99">
        <w:rPr>
          <w:rFonts w:cs="Times New Roman"/>
          <w:lang w:val="fr-CA"/>
        </w:rPr>
        <w:t xml:space="preserve">la vraie question est la suivante : quelle est la nature de l’intérêt du bénéficiaire à l’égard d’une fiducie dans le contexte de la loi applicable [. . .]? » (Brown, p. 474). Dans le contexte de la </w:t>
      </w:r>
      <w:r w:rsidRPr="00414E99">
        <w:rPr>
          <w:rFonts w:cs="Times New Roman"/>
          <w:i/>
          <w:lang w:val="fr-CA"/>
        </w:rPr>
        <w:t>LIR</w:t>
      </w:r>
      <w:r w:rsidRPr="00414E99">
        <w:rPr>
          <w:rFonts w:cs="Times New Roman"/>
          <w:lang w:val="fr-CA"/>
        </w:rPr>
        <w:t xml:space="preserve">, Brown conclut que « le sens du concept de propriété effective aux fins d’impôt doit être établi dans le contexte de la </w:t>
      </w:r>
      <w:r w:rsidRPr="00623402">
        <w:rPr>
          <w:rFonts w:cs="Times New Roman"/>
          <w:lang w:val="fr-CA"/>
        </w:rPr>
        <w:t>LIR</w:t>
      </w:r>
      <w:r w:rsidRPr="00414E99">
        <w:rPr>
          <w:rFonts w:cs="Times New Roman"/>
          <w:lang w:val="fr-CA"/>
        </w:rPr>
        <w:t xml:space="preserve"> » (p. 493). En outre, la question de savoir si les droits d’un bénéficiaire prévus par la </w:t>
      </w:r>
      <w:r w:rsidRPr="00414E99">
        <w:rPr>
          <w:rFonts w:cs="Times New Roman"/>
          <w:i/>
          <w:lang w:val="fr-CA"/>
        </w:rPr>
        <w:t>LIR</w:t>
      </w:r>
      <w:r w:rsidRPr="00414E99">
        <w:rPr>
          <w:rFonts w:cs="Times New Roman"/>
          <w:lang w:val="fr-CA"/>
        </w:rPr>
        <w:t xml:space="preserve"> sont réels ou personnels (</w:t>
      </w:r>
      <w:r w:rsidRPr="00414E99">
        <w:rPr>
          <w:rFonts w:cs="Times New Roman"/>
          <w:i/>
          <w:lang w:val="fr-CA"/>
        </w:rPr>
        <w:t xml:space="preserve">in rem </w:t>
      </w:r>
      <w:r w:rsidRPr="00414E99">
        <w:rPr>
          <w:rFonts w:cs="Times New Roman"/>
          <w:lang w:val="fr-CA"/>
        </w:rPr>
        <w:t xml:space="preserve">ou </w:t>
      </w:r>
      <w:r w:rsidRPr="00414E99">
        <w:rPr>
          <w:rFonts w:cs="Times New Roman"/>
          <w:i/>
          <w:lang w:val="fr-CA"/>
        </w:rPr>
        <w:t>in personam</w:t>
      </w:r>
      <w:r w:rsidRPr="00414E99">
        <w:rPr>
          <w:rFonts w:cs="Times New Roman"/>
          <w:lang w:val="fr-CA"/>
        </w:rPr>
        <w:t>)</w:t>
      </w:r>
      <w:r w:rsidRPr="00414E99">
        <w:rPr>
          <w:rFonts w:cs="Times New Roman"/>
          <w:i/>
          <w:lang w:val="fr-CA"/>
        </w:rPr>
        <w:t xml:space="preserve"> </w:t>
      </w:r>
      <w:r w:rsidRPr="00414E99">
        <w:rPr>
          <w:rFonts w:cs="Times New Roman"/>
          <w:lang w:val="fr-CA"/>
        </w:rPr>
        <w:t>dépendra souvent d’une combinaison de facteurs, comme le libellé des dispositions déterminatives, les concepts de droit privé, la jurisprudence et les politiques fiscales (voir p. 493</w:t>
      </w:r>
      <w:r w:rsidRPr="00414E99">
        <w:rPr>
          <w:rFonts w:cs="Times New Roman"/>
          <w:lang w:val="fr-CA"/>
        </w:rPr>
        <w:noBreakHyphen/>
        <w:t>494).</w:t>
      </w:r>
    </w:p>
    <w:p w:rsidR="00344043" w:rsidRPr="00414E99" w:rsidRDefault="00344043" w:rsidP="00344043">
      <w:pPr>
        <w:pStyle w:val="ParaNoNdepar-AltN"/>
        <w:tabs>
          <w:tab w:val="clear" w:pos="1152"/>
          <w:tab w:val="left" w:pos="1166"/>
        </w:tabs>
        <w:spacing w:before="0"/>
        <w:rPr>
          <w:rFonts w:cs="Times New Roman"/>
          <w:lang w:val="fr-CA"/>
        </w:rPr>
      </w:pPr>
      <w:r w:rsidRPr="00414E99">
        <w:rPr>
          <w:rFonts w:cs="Times New Roman"/>
          <w:lang w:val="fr-CA"/>
        </w:rPr>
        <w:lastRenderedPageBreak/>
        <w:t xml:space="preserve">À mon avis, les ouvrages précités contredisent l’idée que le par. 227(4.1) de la </w:t>
      </w:r>
      <w:r w:rsidRPr="00414E99">
        <w:rPr>
          <w:rFonts w:cs="Times New Roman"/>
          <w:i/>
          <w:lang w:val="fr-CA"/>
        </w:rPr>
        <w:t>LIR</w:t>
      </w:r>
      <w:r w:rsidRPr="00414E99">
        <w:rPr>
          <w:rFonts w:cs="Times New Roman"/>
          <w:lang w:val="fr-CA"/>
        </w:rPr>
        <w:t xml:space="preserve">, et son recours au concept de droit de bénéficiaire, a un sens sans équivoque. Non seulement il n’existe aucune définition établie du « droit de bénéficiaire » dans la common law, mais il appert également que la </w:t>
      </w:r>
      <w:r w:rsidRPr="00414E99">
        <w:rPr>
          <w:rFonts w:cs="Times New Roman"/>
          <w:i/>
          <w:lang w:val="fr-CA"/>
        </w:rPr>
        <w:t>LIR</w:t>
      </w:r>
      <w:r w:rsidRPr="00414E99">
        <w:rPr>
          <w:rFonts w:cs="Times New Roman"/>
          <w:lang w:val="fr-CA"/>
        </w:rPr>
        <w:t xml:space="preserve"> ne lui donne pas un sens uniforme. En outre, le concept n’existe pas en droit civil québécois. Le sens du terme « droit de bénéficiaire », lorsqu’il est employé dans une loi, doit toujours être interprété dans le contexte de la disposition où il figure. Il est nécessaire de procéder à un examen minutieux du par. </w:t>
      </w:r>
      <w:r w:rsidRPr="00414E99">
        <w:rPr>
          <w:rFonts w:cs="Times New Roman"/>
          <w:szCs w:val="24"/>
          <w:lang w:val="fr-CA"/>
        </w:rPr>
        <w:t>227(4.1) et, plus particulièrement, du droit de bénéficiaire qu’il confère à la Couronne, notamment dans le cas d’une fiducie réputée créée par la loi sans certitude quant à sa matière.</w:t>
      </w:r>
    </w:p>
    <w:p w:rsidR="00344043" w:rsidRPr="00414E99" w:rsidRDefault="00344043" w:rsidP="00344043">
      <w:pPr>
        <w:pStyle w:val="Title5LevelTitre5Niveau"/>
        <w:tabs>
          <w:tab w:val="clear" w:pos="1728"/>
          <w:tab w:val="num" w:pos="1710"/>
        </w:tabs>
        <w:spacing w:before="0"/>
        <w:ind w:left="1710" w:hanging="540"/>
        <w:rPr>
          <w:rFonts w:cs="Times New Roman"/>
          <w:lang w:val="fr-CA"/>
        </w:rPr>
      </w:pPr>
      <w:r w:rsidRPr="00414E99">
        <w:rPr>
          <w:rFonts w:cs="Times New Roman"/>
          <w:lang w:val="fr-CA"/>
        </w:rPr>
        <w:t>Le paragraphe 227(4.1) ne crée pas une fiducie « véritable »</w:t>
      </w:r>
    </w:p>
    <w:p w:rsidR="00344043" w:rsidRPr="00414E99" w:rsidRDefault="00344043" w:rsidP="00344043">
      <w:pPr>
        <w:pStyle w:val="ParaNoNdepar-AltN"/>
        <w:spacing w:before="0"/>
        <w:rPr>
          <w:rFonts w:cs="Times New Roman"/>
          <w:lang w:val="fr-CA"/>
        </w:rPr>
      </w:pPr>
      <w:r w:rsidRPr="00414E99">
        <w:rPr>
          <w:rFonts w:cs="Times New Roman"/>
          <w:lang w:val="fr-CA"/>
        </w:rPr>
        <w:t>Une fiducie réputée créée par la loi est un mécanisme juridique unique. Contrairement à une fiducie expresse, qui peut être établie par contrat, par testament ou par déclaration orale ou écrite</w:t>
      </w:r>
      <w:r w:rsidRPr="00414E99">
        <w:rPr>
          <w:rFonts w:eastAsia="Times New Roman" w:cs="Times New Roman"/>
          <w:lang w:val="fr-CA"/>
        </w:rPr>
        <w:t>, et contrairement à une fiducie qui découle de l’application de la loi, une fiducie réputée créée par la loi [</w:t>
      </w:r>
      <w:r w:rsidRPr="00414E99">
        <w:rPr>
          <w:rFonts w:eastAsia="Times New Roman" w:cs="Times New Roman"/>
          <w:smallCaps/>
          <w:lang w:val="fr-CA"/>
        </w:rPr>
        <w:t>traduction</w:t>
      </w:r>
      <w:r w:rsidRPr="00414E99">
        <w:rPr>
          <w:rFonts w:eastAsia="Times New Roman" w:cs="Times New Roman"/>
          <w:lang w:val="fr-CA"/>
        </w:rPr>
        <w:t>] « est une fiducie que crée la loi en constituant certains biens en biens de fiducie et en désignant une certaine personne comme fiduciaire de ces biens</w:t>
      </w:r>
      <w:r w:rsidRPr="00414E99">
        <w:rPr>
          <w:rFonts w:cs="Times New Roman"/>
          <w:lang w:val="fr-CA"/>
        </w:rPr>
        <w:t> » (</w:t>
      </w:r>
      <w:r w:rsidRPr="00414E99">
        <w:rPr>
          <w:rFonts w:cs="Times New Roman"/>
          <w:i/>
          <w:iCs/>
          <w:lang w:val="fr-CA"/>
        </w:rPr>
        <w:t>Guarantee Company of North America c. Royal Bank of Canada</w:t>
      </w:r>
      <w:r w:rsidRPr="00414E99">
        <w:rPr>
          <w:rFonts w:cs="Times New Roman"/>
          <w:lang w:val="fr-CA"/>
        </w:rPr>
        <w:t>, 2019 ONCA 9, 144 O.R. (3d) 225, par. 18; voir aussi A. Grenon, « Common Law and Statutory Trusts</w:t>
      </w:r>
      <w:r>
        <w:rPr>
          <w:rFonts w:cs="Times New Roman"/>
          <w:lang w:val="fr-CA"/>
        </w:rPr>
        <w:t> </w:t>
      </w:r>
      <w:r w:rsidRPr="00414E99">
        <w:rPr>
          <w:rFonts w:cs="Times New Roman"/>
          <w:lang w:val="fr-CA"/>
        </w:rPr>
        <w:t xml:space="preserve">: In Search of Missing Links » (1995), 15 </w:t>
      </w:r>
      <w:r w:rsidRPr="00414E99">
        <w:rPr>
          <w:rFonts w:cs="Times New Roman"/>
          <w:i/>
          <w:lang w:val="fr-CA"/>
        </w:rPr>
        <w:t xml:space="preserve">Est. &amp; Tr. J. </w:t>
      </w:r>
      <w:r w:rsidRPr="00414E99">
        <w:rPr>
          <w:rFonts w:cs="Times New Roman"/>
          <w:lang w:val="fr-CA"/>
        </w:rPr>
        <w:t>109, p. 110).</w:t>
      </w:r>
    </w:p>
    <w:p w:rsidR="00344043" w:rsidRPr="00414E99" w:rsidRDefault="00344043" w:rsidP="00344043">
      <w:pPr>
        <w:pStyle w:val="ParaNoNdepar-AltN"/>
        <w:spacing w:before="0"/>
        <w:rPr>
          <w:rFonts w:cs="Times New Roman"/>
          <w:lang w:val="fr-CA"/>
        </w:rPr>
      </w:pPr>
      <w:r w:rsidRPr="00414E99">
        <w:rPr>
          <w:rFonts w:eastAsia="Times New Roman" w:cs="Times New Roman"/>
          <w:lang w:val="fr-CA"/>
        </w:rPr>
        <w:lastRenderedPageBreak/>
        <w:t>Tirant son origine de la législation, la fiducie réputée créée par la loi n’a pas à satisfaire aux exigences ordinaires du droit des fiducies, soit la certitude quant à l’intention, la certitude quant à la matière et la certitude quant à l’objet (</w:t>
      </w:r>
      <w:r w:rsidRPr="00414E99">
        <w:rPr>
          <w:rFonts w:eastAsia="Times New Roman" w:cs="Times New Roman"/>
          <w:i/>
          <w:iCs/>
          <w:lang w:val="fr-CA"/>
        </w:rPr>
        <w:t>Colombie</w:t>
      </w:r>
      <w:r w:rsidRPr="00414E99">
        <w:rPr>
          <w:rFonts w:eastAsia="Times New Roman" w:cs="Times New Roman"/>
          <w:i/>
          <w:iCs/>
          <w:lang w:val="fr-CA"/>
        </w:rPr>
        <w:noBreakHyphen/>
        <w:t>Britannique c. Henfrey Samson Belair Ltd.</w:t>
      </w:r>
      <w:r w:rsidRPr="00414E99">
        <w:rPr>
          <w:rFonts w:eastAsia="Times New Roman" w:cs="Times New Roman"/>
          <w:lang w:val="fr-CA"/>
        </w:rPr>
        <w:t xml:space="preserve">, [1989] 2 R.C.S. 24; voir aussi </w:t>
      </w:r>
      <w:r w:rsidRPr="00414E99">
        <w:rPr>
          <w:rFonts w:eastAsia="Times New Roman" w:cs="Times New Roman"/>
          <w:i/>
          <w:lang w:val="fr-CA"/>
        </w:rPr>
        <w:t>Friends of Toronto Public Cemeteries Inc. c. Public Guardian and Trustee</w:t>
      </w:r>
      <w:r w:rsidRPr="00414E99">
        <w:rPr>
          <w:rFonts w:eastAsia="Times New Roman" w:cs="Times New Roman"/>
          <w:lang w:val="fr-CA"/>
        </w:rPr>
        <w:t>, 2020 ONCA 282, 59 E.T.R. (4th) 174, par. 163).</w:t>
      </w:r>
    </w:p>
    <w:p w:rsidR="00344043" w:rsidRPr="00414E99" w:rsidRDefault="00344043" w:rsidP="00344043">
      <w:pPr>
        <w:pStyle w:val="ParaNoNdepar-AltN"/>
        <w:spacing w:before="0"/>
        <w:rPr>
          <w:rFonts w:cs="Times New Roman"/>
          <w:lang w:val="fr-CA"/>
        </w:rPr>
      </w:pPr>
      <w:r w:rsidRPr="00414E99">
        <w:rPr>
          <w:rFonts w:cs="Times New Roman"/>
          <w:lang w:val="fr-CA"/>
        </w:rPr>
        <w:t>Le paragraphe 227(4.1), par exemple, ne satisfait pas aux exigences ordinaires de la common law en matière de fiducies (voir R</w:t>
      </w:r>
      <w:r>
        <w:rPr>
          <w:rFonts w:cs="Times New Roman"/>
          <w:lang w:val="fr-CA"/>
        </w:rPr>
        <w:t>. J. Wood et R. T. G. </w:t>
      </w:r>
      <w:r w:rsidRPr="00414E99">
        <w:rPr>
          <w:rFonts w:cs="Times New Roman"/>
          <w:lang w:val="fr-CA"/>
        </w:rPr>
        <w:t>Reeson, « The Continuing Saga of the Statutory Deemed Trust</w:t>
      </w:r>
      <w:r>
        <w:rPr>
          <w:rFonts w:cs="Times New Roman"/>
          <w:lang w:val="fr-CA"/>
        </w:rPr>
        <w:t> </w:t>
      </w:r>
      <w:r w:rsidRPr="00414E99">
        <w:rPr>
          <w:rFonts w:cs="Times New Roman"/>
          <w:lang w:val="fr-CA"/>
        </w:rPr>
        <w:t xml:space="preserve">: </w:t>
      </w:r>
      <w:r w:rsidRPr="00414E99">
        <w:rPr>
          <w:rFonts w:cs="Times New Roman"/>
          <w:i/>
          <w:lang w:val="fr-CA"/>
        </w:rPr>
        <w:t>Royal Bank v. Tuxedo Transportation Ltd. </w:t>
      </w:r>
      <w:r w:rsidRPr="00414E99">
        <w:rPr>
          <w:rFonts w:cs="Times New Roman"/>
          <w:lang w:val="fr-CA"/>
        </w:rPr>
        <w:t xml:space="preserve">» (2000), 15 </w:t>
      </w:r>
      <w:r w:rsidRPr="00623402">
        <w:rPr>
          <w:rFonts w:cs="Times New Roman"/>
          <w:i/>
          <w:lang w:val="fr-CA"/>
        </w:rPr>
        <w:t>B.F.L.R.</w:t>
      </w:r>
      <w:r w:rsidRPr="00414E99">
        <w:rPr>
          <w:rFonts w:cs="Times New Roman"/>
          <w:lang w:val="fr-CA"/>
        </w:rPr>
        <w:t xml:space="preserve"> 515, p. 522</w:t>
      </w:r>
      <w:r w:rsidRPr="00414E99">
        <w:rPr>
          <w:rFonts w:cs="Times New Roman"/>
          <w:lang w:val="fr-CA"/>
        </w:rPr>
        <w:noBreakHyphen/>
        <w:t>524).</w:t>
      </w:r>
      <w:r w:rsidRPr="00414E99">
        <w:rPr>
          <w:rFonts w:cs="Times New Roman"/>
          <w:szCs w:val="24"/>
          <w:lang w:val="fr-CA"/>
        </w:rPr>
        <w:t xml:space="preserve"> Les biens de la fiducie ne sont pas identifiables, et il n’y a donc aucune certitude quant à sa matière (</w:t>
      </w:r>
      <w:r w:rsidRPr="00414E99">
        <w:rPr>
          <w:rFonts w:cs="Times New Roman"/>
          <w:i/>
          <w:lang w:val="fr-CA"/>
        </w:rPr>
        <w:t>Henfrey</w:t>
      </w:r>
      <w:r w:rsidRPr="00414E99">
        <w:rPr>
          <w:rFonts w:cs="Times New Roman"/>
          <w:lang w:val="fr-CA"/>
        </w:rPr>
        <w:t xml:space="preserve">, p. 35). Pour reprendre la terminologie utilisée dans l’arrêt </w:t>
      </w:r>
      <w:r w:rsidRPr="00414E99">
        <w:rPr>
          <w:rFonts w:cs="Times New Roman"/>
          <w:i/>
          <w:lang w:val="fr-CA"/>
        </w:rPr>
        <w:t>Henfrey</w:t>
      </w:r>
      <w:r w:rsidRPr="00414E99">
        <w:rPr>
          <w:rFonts w:cs="Times New Roman"/>
          <w:lang w:val="fr-CA"/>
        </w:rPr>
        <w:t>, le par. 227(4.1) ne crée pas une fiducie « véritable » (p. 34). De plus, sans transfert de biens précis au patrimoine fiduciaire, le par. 227(4.1) ne satisfait pas aux conditions d’un patrimoine autonome prévues aux art</w:t>
      </w:r>
      <w:r>
        <w:rPr>
          <w:rFonts w:cs="Times New Roman"/>
          <w:lang w:val="fr-CA"/>
        </w:rPr>
        <w:t>.</w:t>
      </w:r>
      <w:r w:rsidRPr="00414E99">
        <w:rPr>
          <w:rFonts w:cs="Times New Roman"/>
          <w:lang w:val="fr-CA"/>
        </w:rPr>
        <w:t xml:space="preserve"> 1260, 1261 et 1278 du </w:t>
      </w:r>
      <w:r w:rsidRPr="00414E99">
        <w:rPr>
          <w:rFonts w:cs="Times New Roman"/>
          <w:i/>
          <w:lang w:val="fr-CA"/>
        </w:rPr>
        <w:t xml:space="preserve">Code civil du Québec </w:t>
      </w:r>
      <w:r w:rsidRPr="00414E99">
        <w:rPr>
          <w:rFonts w:cs="Times New Roman"/>
          <w:lang w:val="fr-CA"/>
        </w:rPr>
        <w:t xml:space="preserve">: voir </w:t>
      </w:r>
      <w:r w:rsidRPr="00414E99">
        <w:rPr>
          <w:rFonts w:cs="Times New Roman"/>
          <w:i/>
          <w:lang w:val="fr-CA"/>
        </w:rPr>
        <w:t>Banque de Nouvelle</w:t>
      </w:r>
      <w:r w:rsidRPr="00414E99">
        <w:rPr>
          <w:rFonts w:cs="Times New Roman"/>
          <w:i/>
          <w:lang w:val="fr-CA"/>
        </w:rPr>
        <w:noBreakHyphen/>
        <w:t>Écosse c. Thibault</w:t>
      </w:r>
      <w:r w:rsidRPr="00414E99">
        <w:rPr>
          <w:rFonts w:cs="Times New Roman"/>
          <w:lang w:val="fr-CA"/>
        </w:rPr>
        <w:t>, 2004 CSC 29, [2004] 1 R.C.S. 758, par. 31.</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Cette dérogation à une exigence normale de la constitution d’une fiducie — la certitude quant à la matière — fait en sorte qu’au moins deux caractéristiques du par. 227(4.1) ne cadrent pas avec le fonctionnement des fiducies ordinaires. </w:t>
      </w:r>
      <w:r w:rsidRPr="00414E99">
        <w:rPr>
          <w:rFonts w:cs="Times New Roman"/>
          <w:szCs w:val="24"/>
          <w:lang w:val="fr-CA"/>
        </w:rPr>
        <w:t xml:space="preserve">Premièrement, grâce aux règles de retraçage des biens en equity, le bénéficiaire d’une </w:t>
      </w:r>
      <w:r w:rsidRPr="00414E99">
        <w:rPr>
          <w:rFonts w:cs="Times New Roman"/>
          <w:szCs w:val="24"/>
          <w:lang w:val="fr-CA"/>
        </w:rPr>
        <w:lastRenderedPageBreak/>
        <w:t>fiducie peut réclamer l’appréciation de la valeur de la fiducie, mais cet avantage ne représente rien si les biens de la fiducie ne sont pas identifiables (</w:t>
      </w:r>
      <w:r w:rsidRPr="00414E99">
        <w:rPr>
          <w:rFonts w:cs="Times New Roman"/>
          <w:i/>
          <w:szCs w:val="24"/>
          <w:lang w:val="fr-CA"/>
        </w:rPr>
        <w:t>Rawluk c. Rawluk</w:t>
      </w:r>
      <w:r w:rsidRPr="00414E99">
        <w:rPr>
          <w:rFonts w:cs="Times New Roman"/>
          <w:szCs w:val="24"/>
          <w:lang w:val="fr-CA"/>
        </w:rPr>
        <w:t>, [1990] 1 R.C.S. 70, p. 79 et 92</w:t>
      </w:r>
      <w:r w:rsidRPr="00414E99">
        <w:rPr>
          <w:rFonts w:cs="Times New Roman"/>
          <w:szCs w:val="24"/>
          <w:lang w:val="fr-CA"/>
        </w:rPr>
        <w:noBreakHyphen/>
        <w:t xml:space="preserve">93; </w:t>
      </w:r>
      <w:r w:rsidRPr="00414E99">
        <w:rPr>
          <w:rFonts w:cs="Times New Roman"/>
          <w:i/>
          <w:szCs w:val="24"/>
          <w:lang w:val="fr-CA"/>
        </w:rPr>
        <w:t>Foskett c. McKeown</w:t>
      </w:r>
      <w:r w:rsidRPr="00414E99">
        <w:rPr>
          <w:rFonts w:cs="Times New Roman"/>
          <w:szCs w:val="24"/>
          <w:lang w:val="fr-CA"/>
        </w:rPr>
        <w:t>, [2001] 1 A.C. 102 (</w:t>
      </w:r>
      <w:r>
        <w:rPr>
          <w:rFonts w:cs="Times New Roman"/>
          <w:szCs w:val="24"/>
          <w:lang w:val="fr-CA"/>
        </w:rPr>
        <w:t>H</w:t>
      </w:r>
      <w:r w:rsidRPr="00414E99">
        <w:rPr>
          <w:rFonts w:cs="Times New Roman"/>
          <w:szCs w:val="24"/>
          <w:lang w:val="fr-CA"/>
        </w:rPr>
        <w:t>.L.), p. 129</w:t>
      </w:r>
      <w:r w:rsidRPr="00414E99">
        <w:rPr>
          <w:rFonts w:cs="Times New Roman"/>
          <w:szCs w:val="24"/>
          <w:lang w:val="fr-CA"/>
        </w:rPr>
        <w:noBreakHyphen/>
        <w:t xml:space="preserve">131; </w:t>
      </w:r>
      <w:r w:rsidRPr="00414E99">
        <w:rPr>
          <w:rFonts w:cs="Times New Roman"/>
          <w:lang w:val="fr-CA"/>
        </w:rPr>
        <w:t xml:space="preserve">L. D. Smith, </w:t>
      </w:r>
      <w:r w:rsidRPr="00414E99">
        <w:rPr>
          <w:rFonts w:cs="Times New Roman"/>
          <w:i/>
          <w:lang w:val="fr-CA"/>
        </w:rPr>
        <w:t>The Law of Tracing</w:t>
      </w:r>
      <w:r w:rsidRPr="00414E99">
        <w:rPr>
          <w:rFonts w:cs="Times New Roman"/>
          <w:lang w:val="fr-CA"/>
        </w:rPr>
        <w:t xml:space="preserve"> (1997), p. 347</w:t>
      </w:r>
      <w:r w:rsidRPr="00414E99">
        <w:rPr>
          <w:rFonts w:cs="Times New Roman"/>
          <w:lang w:val="fr-CA"/>
        </w:rPr>
        <w:noBreakHyphen/>
        <w:t>348)</w:t>
      </w:r>
      <w:r w:rsidRPr="00414E99">
        <w:rPr>
          <w:rFonts w:cs="Times New Roman"/>
          <w:szCs w:val="24"/>
          <w:lang w:val="fr-CA"/>
        </w:rPr>
        <w:t>. Le mécanisme de retraçage exposé au par. 227(4.1) prévoit que la valeur des retenues à la source non versées subsiste dans les actifs qui demeurent en la possession du débiteur fiscal</w:t>
      </w:r>
      <w:r w:rsidRPr="00414E99">
        <w:rPr>
          <w:rFonts w:cs="Times New Roman"/>
          <w:lang w:val="fr-CA"/>
        </w:rPr>
        <w:t xml:space="preserve">. Le paragraphe 227(4.1) permet d’établir la </w:t>
      </w:r>
      <w:r w:rsidRPr="00414E99">
        <w:rPr>
          <w:rFonts w:cs="Times New Roman"/>
          <w:i/>
          <w:szCs w:val="24"/>
          <w:lang w:val="fr-CA"/>
        </w:rPr>
        <w:t>valeur</w:t>
      </w:r>
      <w:r w:rsidRPr="00414E99">
        <w:rPr>
          <w:rFonts w:cs="Times New Roman"/>
          <w:szCs w:val="24"/>
          <w:lang w:val="fr-CA"/>
        </w:rPr>
        <w:t xml:space="preserve"> des retenues à la source non versées, limitant automatiquement le droit de la Couronne à cette valeur. Dans l’arrêt</w:t>
      </w:r>
      <w:r w:rsidRPr="00414E99">
        <w:rPr>
          <w:rFonts w:eastAsia="Times New Roman" w:cs="Times New Roman"/>
          <w:lang w:val="fr-CA"/>
        </w:rPr>
        <w:t xml:space="preserve"> </w:t>
      </w:r>
      <w:r w:rsidRPr="00414E99">
        <w:rPr>
          <w:rFonts w:eastAsia="Times New Roman" w:cs="Times New Roman"/>
          <w:i/>
          <w:lang w:val="fr-CA"/>
        </w:rPr>
        <w:t>Sparrow Electric</w:t>
      </w:r>
      <w:r w:rsidRPr="00414E99">
        <w:rPr>
          <w:rFonts w:eastAsia="Times New Roman" w:cs="Times New Roman"/>
          <w:lang w:val="fr-CA"/>
        </w:rPr>
        <w:t>, le juge Gonthier a expliqué qu’un tel mécanisme permettant de retracer l’origine d’un bien était « </w:t>
      </w:r>
      <w:r w:rsidRPr="00414E99">
        <w:rPr>
          <w:rFonts w:cs="Times New Roman"/>
          <w:lang w:val="fr-CA"/>
        </w:rPr>
        <w:t xml:space="preserve">à l’opposé du sens traditionnel du mot “retracer”, </w:t>
      </w:r>
      <w:r>
        <w:rPr>
          <w:rFonts w:cs="Times New Roman"/>
          <w:lang w:val="fr-CA"/>
        </w:rPr>
        <w:t>dans la mesure où il ne nécessite</w:t>
      </w:r>
      <w:r w:rsidRPr="00414E99">
        <w:rPr>
          <w:rFonts w:cs="Times New Roman"/>
          <w:lang w:val="fr-CA"/>
        </w:rPr>
        <w:t xml:space="preserve"> aucun lien entre l’objet de la fiducie et le fonds ou l’actif auquel on rattache cet objet »</w:t>
      </w:r>
      <w:r w:rsidRPr="00414E99">
        <w:rPr>
          <w:rFonts w:eastAsia="Times New Roman" w:cs="Times New Roman"/>
          <w:lang w:val="fr-CA"/>
        </w:rPr>
        <w:t xml:space="preserve"> (par. 37; voir aussi </w:t>
      </w:r>
      <w:r w:rsidRPr="00414E99">
        <w:rPr>
          <w:rFonts w:cs="Times New Roman"/>
          <w:lang w:val="fr-CA"/>
        </w:rPr>
        <w:t>Wood et Reeson, p. 518; Smith (1997), p. 310-320 et 347</w:t>
      </w:r>
      <w:r w:rsidRPr="00414E99">
        <w:rPr>
          <w:rFonts w:cs="Times New Roman"/>
          <w:lang w:val="fr-CA"/>
        </w:rPr>
        <w:noBreakHyphen/>
        <w:t>348; R. J. Wood, « The Floating Charge in Canada » (1989), 27 </w:t>
      </w:r>
      <w:r w:rsidRPr="00414E99">
        <w:rPr>
          <w:rFonts w:cs="Times New Roman"/>
          <w:i/>
          <w:iCs/>
          <w:lang w:val="fr-CA"/>
        </w:rPr>
        <w:t>Alta. L. Rev.</w:t>
      </w:r>
      <w:r w:rsidRPr="00414E99">
        <w:rPr>
          <w:rFonts w:cs="Times New Roman"/>
          <w:lang w:val="fr-CA"/>
        </w:rPr>
        <w:t> 191, p. 221</w:t>
      </w:r>
      <w:r w:rsidRPr="00414E99">
        <w:rPr>
          <w:rFonts w:eastAsia="Times New Roman" w:cs="Times New Roman"/>
          <w:lang w:val="fr-CA"/>
        </w:rPr>
        <w:t>).</w:t>
      </w:r>
    </w:p>
    <w:p w:rsidR="00344043" w:rsidRPr="00414E99" w:rsidRDefault="00344043" w:rsidP="00344043">
      <w:pPr>
        <w:pStyle w:val="ParaNoNdepar-AltN"/>
        <w:spacing w:before="0"/>
        <w:rPr>
          <w:rFonts w:cs="Times New Roman"/>
          <w:szCs w:val="24"/>
          <w:lang w:val="fr-CA"/>
        </w:rPr>
      </w:pPr>
      <w:r w:rsidRPr="00414E99">
        <w:rPr>
          <w:rFonts w:cs="Times New Roman"/>
          <w:szCs w:val="24"/>
          <w:lang w:val="fr-CA"/>
        </w:rPr>
        <w:t>Si le par. 227(4.1) confère à la Couronne un droit de bénéficiaire sur la valeur des retenues à la source non versées, il ne permet pas à la Couronne de réclamer davantage que la valeur de ces retenues. Autrement dit, il confère à la Couronne un droit de bénéficiaire sans certains des avantages qui y sont souvent rattachés.</w:t>
      </w:r>
    </w:p>
    <w:p w:rsidR="00344043" w:rsidRPr="00414E99" w:rsidRDefault="00344043" w:rsidP="00344043">
      <w:pPr>
        <w:pStyle w:val="ParaNoNdepar-AltN"/>
        <w:rPr>
          <w:rFonts w:cs="Times New Roman"/>
          <w:lang w:val="fr-CA"/>
        </w:rPr>
      </w:pPr>
      <w:r w:rsidRPr="00414E99">
        <w:rPr>
          <w:rFonts w:cs="Times New Roman"/>
          <w:szCs w:val="24"/>
          <w:lang w:val="fr-CA"/>
        </w:rPr>
        <w:t>Deuxièmement, un fiduciaire ne peut généralement pas disposer des biens de la fiducie dans le cours normal de ses activités.</w:t>
      </w:r>
      <w:r w:rsidRPr="00414E99">
        <w:rPr>
          <w:rFonts w:cs="Times New Roman"/>
          <w:lang w:val="fr-CA"/>
        </w:rPr>
        <w:t xml:space="preserve"> Le paragraphe 227(4.1) permet </w:t>
      </w:r>
      <w:r w:rsidRPr="00414E99">
        <w:rPr>
          <w:rFonts w:cs="Times New Roman"/>
          <w:lang w:val="fr-CA"/>
        </w:rPr>
        <w:lastRenderedPageBreak/>
        <w:t>toutefois au débiteur fiscal de disposer de ses biens, traduisant un titre de propriété incontestable sur les biens assujettis à la fiducie.</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C’est le raisonnement qu’a exprimé </w:t>
      </w:r>
      <w:r>
        <w:rPr>
          <w:rFonts w:cs="Times New Roman"/>
          <w:lang w:val="fr-CA"/>
        </w:rPr>
        <w:t xml:space="preserve">le juge </w:t>
      </w:r>
      <w:r w:rsidRPr="00414E99">
        <w:rPr>
          <w:rFonts w:cs="Times New Roman"/>
          <w:lang w:val="fr-CA"/>
        </w:rPr>
        <w:t xml:space="preserve">Iacobucci dans l’arrêt </w:t>
      </w:r>
      <w:r w:rsidRPr="00414E99">
        <w:rPr>
          <w:rFonts w:cs="Times New Roman"/>
          <w:i/>
          <w:lang w:val="fr-CA"/>
        </w:rPr>
        <w:t>First Vancouver</w:t>
      </w:r>
      <w:r w:rsidRPr="00414E99">
        <w:rPr>
          <w:rFonts w:cs="Times New Roman"/>
          <w:lang w:val="fr-CA"/>
        </w:rPr>
        <w:t xml:space="preserve"> quand il a comparé la fiducie réputée prévue au par. 227(4.1) à une charge flottante. Puisqu’une charge flottante est une garantie, les intimées s’appuient sur l’analogie du juge Iacobucci pour soutenir que le par. 227(4.1) crée seulement une garantie et non un droit propriétal. Je ne souscris pas à l’affirmation des intimées — la comparaison restreinte avec une charge flottante faite dans ce contexte ne peut pas être invoquée en l’espèce pour assimiler le droit de la Couronne à une garantie pour l’application de la </w:t>
      </w:r>
      <w:r w:rsidRPr="00414E99">
        <w:rPr>
          <w:rFonts w:cs="Times New Roman"/>
          <w:i/>
          <w:lang w:val="fr-CA"/>
        </w:rPr>
        <w:t>LACC</w:t>
      </w:r>
      <w:r w:rsidRPr="00414E99">
        <w:rPr>
          <w:rFonts w:cs="Times New Roman"/>
          <w:lang w:val="fr-CA"/>
        </w:rPr>
        <w:t>.</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Une des questions soulevées dans l’arrêt </w:t>
      </w:r>
      <w:r w:rsidRPr="00414E99">
        <w:rPr>
          <w:rFonts w:cs="Times New Roman"/>
          <w:i/>
          <w:lang w:val="fr-CA"/>
        </w:rPr>
        <w:t xml:space="preserve">First Vancouver </w:t>
      </w:r>
      <w:r w:rsidRPr="00414E99">
        <w:rPr>
          <w:rFonts w:cs="Times New Roman"/>
          <w:lang w:val="fr-CA"/>
        </w:rPr>
        <w:t>était celle de savoir si la fiducie réputée prévue au par. 227(4.1) s’attachait toujours aux biens vendus à titre onéreux à un tiers par le débiteur fiscal. La Cour a conclu que, si le bien est vendu à un tiers, « ce bien [est] alors remplacé par le produit de la vente » (par. 40). Il en est ainsi parce que la fiducie réputée « ne vise pas certains biens en particulier du débiteur fiscal de façon à en empêcher la vente », le débiteur est donc « libre de se départir d’un bien détenu en fiducie dans le cadre normal de ses activités » (par. 40). De cette façon, la fiducie réputée « s’apparent[e], sur le plan des principes, à une charge flottante grevant [. . .] l’ensemble des éléments d’actif du débiteur fiscal » (par. 40). Par conséquent, la fiducie réputée prévue au par. 227(4.1) ne l’emporterait pas sur le respect des droits de l’acquéreur à titre onéreux (par. 44).</w:t>
      </w:r>
    </w:p>
    <w:p w:rsidR="00344043" w:rsidRPr="00414E99" w:rsidRDefault="00344043" w:rsidP="00344043">
      <w:pPr>
        <w:pStyle w:val="ParaNoNdepar-AltN"/>
        <w:spacing w:before="0"/>
        <w:rPr>
          <w:rFonts w:cs="Times New Roman"/>
          <w:lang w:val="fr-CA"/>
        </w:rPr>
      </w:pPr>
      <w:r w:rsidRPr="00414E99">
        <w:rPr>
          <w:rFonts w:cs="Times New Roman"/>
          <w:lang w:val="fr-CA"/>
        </w:rPr>
        <w:lastRenderedPageBreak/>
        <w:t>En résumé, dans le cas d’une fiducie réputée prévue au par. 227(4.1), « il est [clairement] à prévoir que la nature des biens du débiteur fiscal changera avec le temps » (</w:t>
      </w:r>
      <w:r w:rsidRPr="00414E99">
        <w:rPr>
          <w:rFonts w:cs="Times New Roman"/>
          <w:i/>
          <w:lang w:val="fr-CA"/>
        </w:rPr>
        <w:t>First Vancouver</w:t>
      </w:r>
      <w:r w:rsidRPr="00414E99">
        <w:rPr>
          <w:rFonts w:cs="Times New Roman"/>
          <w:lang w:val="fr-CA"/>
        </w:rPr>
        <w:t>, par. 41). Le juge Iacobucci n’a toutefois pas assimilé la fiducie réputée prévue au par. 227(4.1) à une charge flottante à toutes les fins. Sinon, la fiducie ne s’appliquerait pas avant la cristallisation du droit, et le par. 227(4.1) indique clairement que la fiducie s’applique dès le moment où les retenues à la source sont faites ou détenues (voir les al. 227(4.1)a) et b); voir aussi A. Duggan et J. Ziegel, « Justice Iacobucci and the Canadian Law of Deemed Trusts and Chattel Security » (2007), 57 </w:t>
      </w:r>
      <w:r w:rsidRPr="00414E99">
        <w:rPr>
          <w:rFonts w:cs="Times New Roman"/>
          <w:i/>
          <w:lang w:val="fr-CA"/>
        </w:rPr>
        <w:t xml:space="preserve">U.T.L.J. </w:t>
      </w:r>
      <w:r w:rsidRPr="00414E99">
        <w:rPr>
          <w:rFonts w:cs="Times New Roman"/>
          <w:lang w:val="fr-CA"/>
        </w:rPr>
        <w:t>227, p. 246; Wood (1989), p. 195).</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L’analogie restreinte avec une charge flottante faite par la Cour dans l’arrêt </w:t>
      </w:r>
      <w:r w:rsidRPr="00414E99">
        <w:rPr>
          <w:rFonts w:cs="Times New Roman"/>
          <w:i/>
          <w:lang w:val="fr-CA"/>
        </w:rPr>
        <w:t>First Vancouver</w:t>
      </w:r>
      <w:r w:rsidRPr="00414E99">
        <w:rPr>
          <w:rFonts w:cs="Times New Roman"/>
          <w:lang w:val="fr-CA"/>
        </w:rPr>
        <w:t xml:space="preserve"> aide à expliquer pourquoi le « droit de bénéficiaire » prévu au par. </w:t>
      </w:r>
      <w:r w:rsidRPr="00414E99">
        <w:rPr>
          <w:rFonts w:cs="Times New Roman"/>
          <w:szCs w:val="24"/>
          <w:lang w:val="fr-CA"/>
        </w:rPr>
        <w:t>227(4.1) a une signification plus étroite dans son contexte législatif qu’en dehors de celui</w:t>
      </w:r>
      <w:r w:rsidRPr="00414E99">
        <w:rPr>
          <w:rFonts w:cs="Times New Roman"/>
          <w:szCs w:val="24"/>
          <w:lang w:val="fr-CA"/>
        </w:rPr>
        <w:noBreakHyphen/>
        <w:t xml:space="preserve">ci. Le droit de bénéficiaire de la Couronne </w:t>
      </w:r>
      <w:r w:rsidRPr="00414E99">
        <w:rPr>
          <w:rFonts w:cs="Times New Roman"/>
          <w:lang w:val="fr-CA"/>
        </w:rPr>
        <w:t xml:space="preserve">n’empêche pas le fiduciaire de disposer des biens de la fiducie jusqu’à ce que l’Agence du revenu du Canada (ARC) fasse exécuter la fiducie réputée (Agence du revenu du Canada, </w:t>
      </w:r>
      <w:r w:rsidRPr="00414E99">
        <w:rPr>
          <w:rFonts w:cs="Times New Roman"/>
          <w:i/>
          <w:lang w:val="fr-CA"/>
        </w:rPr>
        <w:t>Politiques de recouvrement de l’impôt</w:t>
      </w:r>
      <w:r w:rsidRPr="00414E99">
        <w:rPr>
          <w:rFonts w:cs="Times New Roman"/>
          <w:lang w:val="fr-CA"/>
        </w:rPr>
        <w:t xml:space="preserve"> (en ligne); voir aussi la </w:t>
      </w:r>
      <w:r w:rsidRPr="00414E99">
        <w:rPr>
          <w:rFonts w:cs="Times New Roman"/>
          <w:i/>
          <w:lang w:val="fr-CA"/>
        </w:rPr>
        <w:t>LIR</w:t>
      </w:r>
      <w:r w:rsidRPr="00414E99">
        <w:rPr>
          <w:rFonts w:cs="Times New Roman"/>
          <w:lang w:val="fr-CA"/>
        </w:rPr>
        <w:t xml:space="preserve">, art. 222 et par. 223(1) à (3), </w:t>
      </w:r>
      <w:r>
        <w:rPr>
          <w:rFonts w:cs="Times New Roman"/>
          <w:lang w:val="fr-CA"/>
        </w:rPr>
        <w:t xml:space="preserve">par. 223 </w:t>
      </w:r>
      <w:r w:rsidRPr="00414E99">
        <w:rPr>
          <w:rFonts w:cs="Times New Roman"/>
          <w:lang w:val="fr-CA"/>
        </w:rPr>
        <w:t>(5) et (6) et par. 224(1)). Disposer librement des biens d’une fiducie, y compris pour ses propres activités commerciales, n’est manifestement pas une chose qu’un fiduciaire peut faire selon les règles de la common law.</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C’est à tort, pour des raisons semblables, que la Couronne s’appuie sur l’al. 227(4.1)b) de la </w:t>
      </w:r>
      <w:r w:rsidRPr="00414E99">
        <w:rPr>
          <w:rFonts w:cs="Times New Roman"/>
          <w:i/>
          <w:lang w:val="fr-CA"/>
        </w:rPr>
        <w:t>LIR</w:t>
      </w:r>
      <w:r w:rsidRPr="00414E99">
        <w:rPr>
          <w:rFonts w:cs="Times New Roman"/>
          <w:lang w:val="fr-CA"/>
        </w:rPr>
        <w:t xml:space="preserve">. Cette disposition précise que le montant des retenues à la </w:t>
      </w:r>
      <w:r w:rsidRPr="00414E99">
        <w:rPr>
          <w:rFonts w:cs="Times New Roman"/>
          <w:lang w:val="fr-CA"/>
        </w:rPr>
        <w:lastRenderedPageBreak/>
        <w:t xml:space="preserve">source non versées est réputé « ne pas faire partie du patrimoine ou des biens de la personne à compter du moment où le montant est déduit ou retenu ». La Couronne plaide que cette disposition vient renforcer la thèse selon laquelle le juge chargé d’appliquer la </w:t>
      </w:r>
      <w:r w:rsidRPr="00414E99">
        <w:rPr>
          <w:rFonts w:cs="Times New Roman"/>
          <w:i/>
          <w:lang w:val="fr-CA"/>
        </w:rPr>
        <w:t>LACC</w:t>
      </w:r>
      <w:r w:rsidRPr="00414E99">
        <w:rPr>
          <w:rFonts w:cs="Times New Roman"/>
          <w:lang w:val="fr-CA"/>
        </w:rPr>
        <w:t xml:space="preserve"> ne peut pas ordonner de charge sur ce montant. Une fois de plus, la disposition déterminative de l’al. 227(4.1)b) doit être interprétée dans le contexte d’une fiducie créée sans certitude quant à sa matière. Dire qu’un certain </w:t>
      </w:r>
      <w:r w:rsidRPr="00414E99">
        <w:rPr>
          <w:rFonts w:cs="Times New Roman"/>
          <w:i/>
          <w:lang w:val="fr-CA"/>
        </w:rPr>
        <w:t>montant</w:t>
      </w:r>
      <w:r w:rsidRPr="00414E99">
        <w:rPr>
          <w:rFonts w:cs="Times New Roman"/>
          <w:lang w:val="fr-CA"/>
        </w:rPr>
        <w:t xml:space="preserve"> ne fait pas partie du patrimoine ou des biens d’un débiteur confirme que la Couronne a un intérêt à l’égard de ce montant; cela confirme également que ce montant est soustrait de l’intérêt du débiteur dans son patrimoine. Cependant, cela ne change rien à la </w:t>
      </w:r>
      <w:r w:rsidRPr="00414E99">
        <w:rPr>
          <w:rFonts w:cs="Times New Roman"/>
          <w:i/>
          <w:lang w:val="fr-CA"/>
        </w:rPr>
        <w:t>constitution</w:t>
      </w:r>
      <w:r w:rsidRPr="00414E99">
        <w:rPr>
          <w:rFonts w:cs="Times New Roman"/>
          <w:lang w:val="fr-CA"/>
        </w:rPr>
        <w:t xml:space="preserve"> </w:t>
      </w:r>
      <w:r>
        <w:rPr>
          <w:rFonts w:cs="Times New Roman"/>
          <w:lang w:val="fr-CA"/>
        </w:rPr>
        <w:t>du patrimoine lui</w:t>
      </w:r>
      <w:r w:rsidRPr="00414E99">
        <w:rPr>
          <w:rFonts w:cs="Times New Roman"/>
          <w:lang w:val="fr-CA"/>
        </w:rPr>
        <w:noBreakHyphen/>
        <w:t xml:space="preserve">même — les biens précis qui font partie </w:t>
      </w:r>
      <w:r>
        <w:rPr>
          <w:rFonts w:cs="Times New Roman"/>
          <w:lang w:val="fr-CA"/>
        </w:rPr>
        <w:t>du patrimoine</w:t>
      </w:r>
      <w:r w:rsidRPr="00414E99">
        <w:rPr>
          <w:rFonts w:cs="Times New Roman"/>
          <w:lang w:val="fr-CA"/>
        </w:rPr>
        <w:t xml:space="preserve"> du débiteur ne changent pas. Tant que ce qui est réputé ne pas faire partie du patrimoine ou des biens du débiteur est un montant d’argent — et non des biens qui ont une matière précise — le patrimoine du débiteur demeure inchangé et le débiteur en conserve la maîtrise.</w:t>
      </w:r>
    </w:p>
    <w:p w:rsidR="00344043" w:rsidRPr="00414E99" w:rsidRDefault="00344043" w:rsidP="00344043">
      <w:pPr>
        <w:pStyle w:val="ParaNoNdepar-AltN"/>
        <w:spacing w:before="0"/>
        <w:rPr>
          <w:rFonts w:cs="Times New Roman"/>
          <w:lang w:val="fr-CA"/>
        </w:rPr>
      </w:pPr>
      <w:r w:rsidRPr="00414E99">
        <w:rPr>
          <w:rFonts w:cs="Times New Roman"/>
          <w:lang w:val="fr-CA"/>
        </w:rPr>
        <w:t>En conclusion, le droit de bénéficiaire prévu au par. 227(4.1) constitue une manipulation du concept du droit de bénéficiaire selon les principes ordinaires du droit des fiducies. L’incohérence logique du par. </w:t>
      </w:r>
      <w:r w:rsidRPr="00414E99">
        <w:rPr>
          <w:rFonts w:cs="Times New Roman"/>
          <w:szCs w:val="24"/>
          <w:lang w:val="fr-CA"/>
        </w:rPr>
        <w:t>227(4.1) a mené certains auteurs à critiquer la disposition, faisant valoir qu’elle emploie des concepts juridiques inappropriés. Par exemple, Wood et Reeson affirment ce qui suit :</w:t>
      </w:r>
    </w:p>
    <w:p w:rsidR="00344043" w:rsidRPr="00414E99" w:rsidRDefault="00344043" w:rsidP="00344043">
      <w:pPr>
        <w:pStyle w:val="Citation-AltC"/>
        <w:spacing w:after="240"/>
        <w:ind w:hanging="446"/>
        <w:contextualSpacing w:val="0"/>
        <w:rPr>
          <w:lang w:val="fr-CA"/>
        </w:rPr>
      </w:pPr>
      <w:r w:rsidRPr="00414E99">
        <w:rPr>
          <w:lang w:val="fr-CA"/>
        </w:rPr>
        <w:tab/>
        <w:t>[</w:t>
      </w:r>
      <w:r w:rsidRPr="00414E99">
        <w:rPr>
          <w:smallCaps/>
          <w:lang w:val="fr-CA"/>
        </w:rPr>
        <w:t>traduction</w:t>
      </w:r>
      <w:r w:rsidRPr="00414E99">
        <w:rPr>
          <w:lang w:val="fr-CA"/>
        </w:rPr>
        <w:t>]</w:t>
      </w:r>
      <w:r>
        <w:rPr>
          <w:lang w:val="fr-CA"/>
        </w:rPr>
        <w:t xml:space="preserve"> . . . </w:t>
      </w:r>
      <w:r w:rsidRPr="00414E99">
        <w:rPr>
          <w:lang w:val="fr-CA"/>
        </w:rPr>
        <w:t xml:space="preserve">nous croyons que la conception du [par. 227(4.1) de la </w:t>
      </w:r>
      <w:r w:rsidRPr="00414E99">
        <w:rPr>
          <w:i/>
          <w:lang w:val="fr-CA"/>
        </w:rPr>
        <w:t>LIR</w:t>
      </w:r>
      <w:r w:rsidRPr="00414E99">
        <w:rPr>
          <w:lang w:val="fr-CA"/>
        </w:rPr>
        <w:t xml:space="preserve">] comporte de graves lacunes [. . .] Dans une large mesure, les lacunes découlent de l’emploi de concepts juridiques inappropriés. On recourt au concept de fiducie, mais à pratiquement tous les égards, les caractéristiques </w:t>
      </w:r>
      <w:r w:rsidRPr="00414E99">
        <w:rPr>
          <w:lang w:val="fr-CA"/>
        </w:rPr>
        <w:lastRenderedPageBreak/>
        <w:t>d’une fiducie ne sont pas présentes. L’employeur n’est, en réalité, pas tenu de détenir l’argent séparément de ses propres biens, les obligations qui incombent généralement à un fiduciaire sont absentes, et la fiducie existe sans certitude quant à la matière. En outre, les règles de retraçage des biens ne sont pas respectées. Le retraçage des biens ne vise pas à déterminer une chaîne de substitutions, et une réclamation fondée sur un droit de propriété est possible sans qu’il soit nécessaire qu’il y ait droit de propriété.</w:t>
      </w:r>
    </w:p>
    <w:p w:rsidR="00344043" w:rsidRPr="00414E99" w:rsidRDefault="00344043" w:rsidP="00344043">
      <w:pPr>
        <w:pStyle w:val="Citation-AltC"/>
        <w:spacing w:after="240"/>
        <w:ind w:left="4590" w:hanging="446"/>
        <w:contextualSpacing w:val="0"/>
        <w:rPr>
          <w:lang w:val="fr-CA"/>
        </w:rPr>
      </w:pPr>
      <w:r w:rsidRPr="00414E99">
        <w:rPr>
          <w:lang w:val="fr-CA"/>
        </w:rPr>
        <w:tab/>
      </w:r>
      <w:r>
        <w:rPr>
          <w:lang w:val="fr-CA"/>
        </w:rPr>
        <w:t>. . .</w:t>
      </w:r>
    </w:p>
    <w:p w:rsidR="00344043" w:rsidRPr="00414E99" w:rsidRDefault="00344043" w:rsidP="00344043">
      <w:pPr>
        <w:pStyle w:val="Citation-AltC"/>
        <w:tabs>
          <w:tab w:val="left" w:pos="1440"/>
        </w:tabs>
        <w:contextualSpacing w:val="0"/>
        <w:rPr>
          <w:lang w:val="fr-CA"/>
        </w:rPr>
      </w:pPr>
      <w:r w:rsidRPr="00414E99">
        <w:rPr>
          <w:lang w:val="fr-CA"/>
        </w:rPr>
        <w:tab/>
        <w:t xml:space="preserve">Le recours erroné au concept de fiducie et le détournement des principes ordinaires d’établissement de l’origine des biens vident ces concepts de leur sens et compromettent la rationalité du droit. </w:t>
      </w:r>
      <w:r>
        <w:rPr>
          <w:lang w:val="fr-CA"/>
        </w:rPr>
        <w:t>[Note en</w:t>
      </w:r>
      <w:r w:rsidRPr="00414E99">
        <w:rPr>
          <w:lang w:val="fr-CA"/>
        </w:rPr>
        <w:t xml:space="preserve"> bas de page omise; p. 531</w:t>
      </w:r>
      <w:r w:rsidRPr="00414E99">
        <w:rPr>
          <w:lang w:val="fr-CA"/>
        </w:rPr>
        <w:noBreakHyphen/>
        <w:t>533.]</w:t>
      </w:r>
    </w:p>
    <w:p w:rsidR="00344043" w:rsidRPr="00D656E7" w:rsidRDefault="00344043" w:rsidP="00344043">
      <w:pPr>
        <w:pStyle w:val="ParaNoNdepar-AltN"/>
        <w:spacing w:before="0"/>
        <w:rPr>
          <w:rFonts w:cs="Times New Roman"/>
        </w:rPr>
      </w:pPr>
      <w:r w:rsidRPr="00D656E7">
        <w:rPr>
          <w:rFonts w:cs="Times New Roman"/>
        </w:rPr>
        <w:t xml:space="preserve">D’autres ont également dit qu’en substance, le par. 227(4.1) crée uniquement une garantie (J. S. Ziegel, « Crown Priorities, Deemed Trusts and Floating Charges : </w:t>
      </w:r>
      <w:r w:rsidRPr="00D656E7">
        <w:rPr>
          <w:rFonts w:cs="Times New Roman"/>
          <w:i/>
        </w:rPr>
        <w:t>First Vancouver Finance v. Minister of National Revenue</w:t>
      </w:r>
      <w:r w:rsidRPr="00D656E7">
        <w:rPr>
          <w:rFonts w:cs="Times New Roman"/>
        </w:rPr>
        <w:t> » (2004), 45 C.B.R. (4</w:t>
      </w:r>
      <w:r w:rsidRPr="00D656E7">
        <w:rPr>
          <w:rFonts w:cs="Times New Roman"/>
          <w:vertAlign w:val="superscript"/>
        </w:rPr>
        <w:t>e</w:t>
      </w:r>
      <w:r w:rsidRPr="00D656E7">
        <w:rPr>
          <w:rFonts w:cs="Times New Roman"/>
        </w:rPr>
        <w:t>) 244, p. 248; Duggan et Ziegel, p. 239 et 245</w:t>
      </w:r>
      <w:r w:rsidRPr="00D656E7">
        <w:rPr>
          <w:rFonts w:cs="Times New Roman"/>
        </w:rPr>
        <w:noBreakHyphen/>
        <w:t xml:space="preserve">246; M. J. Hanlon, V. Tickle et E. Csiszar, « Conflicting Case Law, Competing Statutes, and the Confounding Priority Battle of the Interim Financing Charge and the Crown’s Deemed Trust for Source Deductions », dans J. P. Sarra et autres, dir., </w:t>
      </w:r>
      <w:r w:rsidRPr="00D656E7">
        <w:rPr>
          <w:rFonts w:cs="Times New Roman"/>
          <w:i/>
        </w:rPr>
        <w:t xml:space="preserve">Annual Review of Insolvency Law 2018 </w:t>
      </w:r>
      <w:r w:rsidRPr="00D656E7">
        <w:rPr>
          <w:rFonts w:cs="Times New Roman"/>
        </w:rPr>
        <w:t>(2019), 897).</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De la même façon, dans l’arrêt </w:t>
      </w:r>
      <w:r w:rsidRPr="00414E99">
        <w:rPr>
          <w:rFonts w:eastAsia="Times New Roman" w:cs="Times New Roman"/>
          <w:i/>
          <w:lang w:val="fr-CA"/>
        </w:rPr>
        <w:t>Caisse populaire Desjardins de Montmagny</w:t>
      </w:r>
      <w:r w:rsidRPr="00414E99">
        <w:rPr>
          <w:rFonts w:eastAsia="Times New Roman" w:cs="Times New Roman"/>
          <w:lang w:val="fr-CA"/>
        </w:rPr>
        <w:t xml:space="preserve">, notre Cour a rejeté l’argument de la Couronne selon lequel le par. 222(3) de la </w:t>
      </w:r>
      <w:r w:rsidRPr="00414E99">
        <w:rPr>
          <w:rFonts w:eastAsia="Times New Roman" w:cs="Times New Roman"/>
          <w:i/>
          <w:lang w:val="fr-CA"/>
        </w:rPr>
        <w:t>Loi sur la taxe d’accise</w:t>
      </w:r>
      <w:r w:rsidRPr="00414E99">
        <w:rPr>
          <w:rFonts w:eastAsia="Times New Roman" w:cs="Times New Roman"/>
          <w:lang w:val="fr-CA"/>
        </w:rPr>
        <w:t>, L.R.C. 1985, c. E</w:t>
      </w:r>
      <w:r w:rsidRPr="00414E99">
        <w:rPr>
          <w:rFonts w:eastAsia="Times New Roman" w:cs="Times New Roman"/>
          <w:lang w:val="fr-CA"/>
        </w:rPr>
        <w:noBreakHyphen/>
        <w:t>15 (</w:t>
      </w:r>
      <w:r w:rsidRPr="00414E99">
        <w:rPr>
          <w:rFonts w:eastAsia="Times New Roman" w:cs="Times New Roman"/>
          <w:i/>
          <w:lang w:val="fr-CA"/>
        </w:rPr>
        <w:t>LTA</w:t>
      </w:r>
      <w:r w:rsidRPr="00414E99">
        <w:rPr>
          <w:rFonts w:eastAsia="Times New Roman" w:cs="Times New Roman"/>
          <w:lang w:val="fr-CA"/>
        </w:rPr>
        <w:t xml:space="preserve">), quasi identique au par. 227(4.1) de la </w:t>
      </w:r>
      <w:r w:rsidRPr="00414E99">
        <w:rPr>
          <w:rFonts w:eastAsia="Times New Roman" w:cs="Times New Roman"/>
          <w:i/>
          <w:lang w:val="fr-CA"/>
        </w:rPr>
        <w:t>LIR</w:t>
      </w:r>
      <w:r w:rsidRPr="00414E99">
        <w:rPr>
          <w:rFonts w:eastAsia="Times New Roman" w:cs="Times New Roman"/>
          <w:lang w:val="fr-CA"/>
        </w:rPr>
        <w:t>, conférait à la Couronne un droit propriétal (par. 20</w:t>
      </w:r>
      <w:r w:rsidRPr="00414E99">
        <w:rPr>
          <w:rFonts w:eastAsia="Times New Roman" w:cs="Times New Roman"/>
          <w:lang w:val="fr-CA"/>
        </w:rPr>
        <w:noBreakHyphen/>
        <w:t xml:space="preserve">27). Dans cette affaire, les compagnies débitrices devaient des montants de taxe sur les produits et services (TPS) au moment de leurs faillites respectives. Puisque les réclamations de </w:t>
      </w:r>
      <w:r w:rsidRPr="00414E99">
        <w:rPr>
          <w:rFonts w:eastAsia="Times New Roman" w:cs="Times New Roman"/>
          <w:lang w:val="fr-CA"/>
        </w:rPr>
        <w:lastRenderedPageBreak/>
        <w:t>la Couronne à l’égard de la TPS ne sont pas garanties en cas de faillite, les autorités fiscales ont soutenu que les montants dus à la date de la faillite appartenaient à la Couronne. Notre Cour a rejeté à l’unanimité cet argument, concluant que le mode et le mécanisme de perception de la TPS ne concordaient pas avec un droit de propriété (par. 21</w:t>
      </w:r>
      <w:r w:rsidRPr="00414E99">
        <w:rPr>
          <w:rFonts w:eastAsia="Times New Roman" w:cs="Times New Roman"/>
          <w:lang w:val="fr-CA"/>
        </w:rPr>
        <w:noBreakHyphen/>
        <w:t>23).</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Quoi qu’il en soit, considérer que le par. 227(4.1) ne crée en réalité qu’une garantie, sans examiner la façon dont l’intérêt de la Couronne découle de la </w:t>
      </w:r>
      <w:r w:rsidRPr="00414E99">
        <w:rPr>
          <w:rFonts w:cs="Times New Roman"/>
          <w:i/>
          <w:lang w:val="fr-CA"/>
        </w:rPr>
        <w:t>LACC</w:t>
      </w:r>
      <w:r w:rsidRPr="00414E99">
        <w:rPr>
          <w:rFonts w:cs="Times New Roman"/>
          <w:lang w:val="fr-CA"/>
        </w:rPr>
        <w:t>, ne résoudrait pas les questions en litige dans le présent pourvoi. Comme je l’ai mentionné précédemment, les qualifications générales n’aident pas à définir les attributs précis de la fiducie réputée en cause. Notre Cour doit composer avec le fait que le par. 227(4.1) est structuré comme une garantie (p. ex., une charge), mais qu’il utilise également le mécanisme d’une fiducie réputée.</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Ce qu’il faut retenir pour le présent pourvoi, c’est que la structure du par. 227(4.1) ne permet pas à elle seule de faire la lumière sur ce qu’il convient de faire, dans le cadre des régimes d’insolvabilité, avec le droit de bénéficiaire que détient la Couronne sur les retenues à la source non versées. Bien que la disposition indique clairement que le droit de la Couronne s’applique malgré toute autre garantie, la teneur de ce droit dans un contexte d’insolvabilité ne peut être déduite uniquement du texte de la </w:t>
      </w:r>
      <w:r w:rsidRPr="00414E99">
        <w:rPr>
          <w:rFonts w:cs="Times New Roman"/>
          <w:i/>
          <w:lang w:val="fr-CA"/>
        </w:rPr>
        <w:t>LIR</w:t>
      </w:r>
      <w:r w:rsidRPr="00414E99">
        <w:rPr>
          <w:rFonts w:cs="Times New Roman"/>
          <w:lang w:val="fr-CA"/>
        </w:rPr>
        <w:t xml:space="preserve">. Le mécanisme unique créé par la loi adapte les concepts de droit privé et ne peut mener à une conclusion logique dans un contexte d’insolvabilité. Pour cette raison, il n’est pas étonnant que la </w:t>
      </w:r>
      <w:r w:rsidRPr="00414E99">
        <w:rPr>
          <w:rFonts w:cs="Times New Roman"/>
          <w:i/>
          <w:lang w:val="fr-CA"/>
        </w:rPr>
        <w:t>Loi sur la faillite et l’insolvabilité</w:t>
      </w:r>
      <w:r w:rsidRPr="00414E99">
        <w:rPr>
          <w:rFonts w:cs="Times New Roman"/>
          <w:lang w:val="fr-CA"/>
        </w:rPr>
        <w:t>, L.R.C. 1985, c. B</w:t>
      </w:r>
      <w:r w:rsidRPr="00414E99">
        <w:rPr>
          <w:rFonts w:cs="Times New Roman"/>
          <w:lang w:val="fr-CA"/>
        </w:rPr>
        <w:noBreakHyphen/>
        <w:t xml:space="preserve">3 </w:t>
      </w:r>
      <w:r w:rsidRPr="00414E99">
        <w:rPr>
          <w:rFonts w:cs="Times New Roman"/>
          <w:lang w:val="fr-CA"/>
        </w:rPr>
        <w:lastRenderedPageBreak/>
        <w:t>(</w:t>
      </w:r>
      <w:r w:rsidRPr="00414E99">
        <w:rPr>
          <w:rFonts w:cs="Times New Roman"/>
          <w:i/>
          <w:lang w:val="fr-CA"/>
        </w:rPr>
        <w:t>LFI</w:t>
      </w:r>
      <w:r w:rsidRPr="00414E99">
        <w:rPr>
          <w:rFonts w:cs="Times New Roman"/>
          <w:lang w:val="fr-CA"/>
        </w:rPr>
        <w:t xml:space="preserve">), et la </w:t>
      </w:r>
      <w:r w:rsidRPr="00414E99">
        <w:rPr>
          <w:rFonts w:cs="Times New Roman"/>
          <w:i/>
          <w:lang w:val="fr-CA"/>
        </w:rPr>
        <w:t>LACC</w:t>
      </w:r>
      <w:r w:rsidRPr="00414E99">
        <w:rPr>
          <w:rFonts w:cs="Times New Roman"/>
          <w:lang w:val="fr-CA"/>
        </w:rPr>
        <w:t xml:space="preserve"> énoncent précisément la façon dont la fiducie réputée créée à l’égard des retenues à la source non versées devrait être traitée.</w:t>
      </w:r>
    </w:p>
    <w:p w:rsidR="00344043" w:rsidRPr="00414E99" w:rsidRDefault="00344043" w:rsidP="00344043">
      <w:pPr>
        <w:pStyle w:val="ParaNoNdepar-AltN"/>
        <w:spacing w:before="0"/>
        <w:rPr>
          <w:rFonts w:cs="Times New Roman"/>
          <w:lang w:val="fr-CA"/>
        </w:rPr>
      </w:pPr>
      <w:r w:rsidRPr="00414E99">
        <w:rPr>
          <w:rFonts w:cs="Times New Roman"/>
          <w:lang w:val="fr-CA"/>
        </w:rPr>
        <w:t>Je passe maintenant à cette autre moitié de l’équation : le régime d’insolvabilité du législateur.</w:t>
      </w:r>
    </w:p>
    <w:p w:rsidR="00344043" w:rsidRPr="00414E99" w:rsidRDefault="00344043" w:rsidP="00344043">
      <w:pPr>
        <w:pStyle w:val="Title2LevelTitre2Niveau"/>
        <w:spacing w:before="0"/>
        <w:rPr>
          <w:rFonts w:cs="Times New Roman"/>
          <w:lang w:val="fr-CA"/>
        </w:rPr>
      </w:pPr>
      <w:r w:rsidRPr="00414E99">
        <w:rPr>
          <w:rFonts w:cs="Times New Roman"/>
          <w:lang w:val="fr-CA"/>
        </w:rPr>
        <w:t>De quelle façon la fiducie réputée créée en faveur de la Couronne à l’égard des retenues à la source non versées est</w:t>
      </w:r>
      <w:r w:rsidRPr="00414E99">
        <w:rPr>
          <w:rFonts w:cs="Times New Roman"/>
          <w:lang w:val="fr-CA"/>
        </w:rPr>
        <w:noBreakHyphen/>
        <w:t>elle traitée dans le régime d’insolvabilité du législateur?</w:t>
      </w:r>
    </w:p>
    <w:p w:rsidR="00344043" w:rsidRPr="00414E99" w:rsidRDefault="00344043" w:rsidP="00344043">
      <w:pPr>
        <w:pStyle w:val="Title3LevelTitre3Niveau"/>
        <w:spacing w:before="0"/>
        <w:rPr>
          <w:rFonts w:cs="Times New Roman"/>
          <w:lang w:val="fr-CA"/>
        </w:rPr>
      </w:pPr>
      <w:r w:rsidRPr="00414E99">
        <w:rPr>
          <w:rFonts w:cs="Times New Roman"/>
          <w:lang w:val="fr-CA"/>
        </w:rPr>
        <w:t>Régime d’insolvabilité du législateur</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Le régime d’insolvabilité du législateur comporte trois lois principales : la </w:t>
      </w:r>
      <w:r w:rsidRPr="00414E99">
        <w:rPr>
          <w:rFonts w:cs="Times New Roman"/>
          <w:i/>
          <w:lang w:val="fr-CA"/>
        </w:rPr>
        <w:t>LACC</w:t>
      </w:r>
      <w:r w:rsidRPr="00414E99">
        <w:rPr>
          <w:rFonts w:cs="Times New Roman"/>
          <w:lang w:val="fr-CA"/>
        </w:rPr>
        <w:t xml:space="preserve">, qui est en cause dans le présent pourvoi, la </w:t>
      </w:r>
      <w:r w:rsidRPr="00414E99">
        <w:rPr>
          <w:rFonts w:cs="Times New Roman"/>
          <w:i/>
          <w:lang w:val="fr-CA"/>
        </w:rPr>
        <w:t>LFI</w:t>
      </w:r>
      <w:r w:rsidRPr="00414E99">
        <w:rPr>
          <w:rFonts w:cs="Times New Roman"/>
          <w:lang w:val="fr-CA"/>
        </w:rPr>
        <w:t xml:space="preserve"> et la </w:t>
      </w:r>
      <w:r w:rsidRPr="00414E99">
        <w:rPr>
          <w:rFonts w:cs="Times New Roman"/>
          <w:i/>
          <w:iCs/>
          <w:lang w:val="fr-CA"/>
        </w:rPr>
        <w:t>Loi sur les liquidations et les restructurations</w:t>
      </w:r>
      <w:r w:rsidRPr="00414E99">
        <w:rPr>
          <w:rFonts w:cs="Times New Roman"/>
          <w:lang w:val="fr-CA"/>
        </w:rPr>
        <w:t>, L.R.C. 1985</w:t>
      </w:r>
      <w:r>
        <w:rPr>
          <w:rFonts w:cs="Times New Roman"/>
          <w:lang w:val="fr-CA"/>
        </w:rPr>
        <w:t>, c. </w:t>
      </w:r>
      <w:r w:rsidRPr="00414E99">
        <w:rPr>
          <w:rFonts w:cs="Times New Roman"/>
          <w:lang w:val="fr-CA"/>
        </w:rPr>
        <w:t>W</w:t>
      </w:r>
      <w:r w:rsidRPr="00414E99">
        <w:rPr>
          <w:rFonts w:cs="Times New Roman"/>
          <w:lang w:val="fr-CA"/>
        </w:rPr>
        <w:noBreakHyphen/>
        <w:t>11</w:t>
      </w:r>
      <w:r>
        <w:rPr>
          <w:rFonts w:cs="Times New Roman"/>
          <w:lang w:val="fr-CA"/>
        </w:rPr>
        <w:t xml:space="preserve"> </w:t>
      </w:r>
      <w:r w:rsidRPr="00414E99">
        <w:rPr>
          <w:rFonts w:cs="Times New Roman"/>
          <w:lang w:val="fr-CA"/>
        </w:rPr>
        <w:t>(</w:t>
      </w:r>
      <w:r w:rsidRPr="00414E99">
        <w:rPr>
          <w:rFonts w:cs="Times New Roman"/>
          <w:i/>
          <w:lang w:val="fr-CA"/>
        </w:rPr>
        <w:t>LLR</w:t>
      </w:r>
      <w:r w:rsidRPr="00414E99">
        <w:rPr>
          <w:rFonts w:cs="Times New Roman"/>
          <w:lang w:val="fr-CA"/>
        </w:rPr>
        <w:t xml:space="preserve">). (La </w:t>
      </w:r>
      <w:r w:rsidRPr="00414E99">
        <w:rPr>
          <w:rFonts w:cs="Times New Roman"/>
          <w:i/>
          <w:lang w:val="fr-CA"/>
        </w:rPr>
        <w:t>LLR</w:t>
      </w:r>
      <w:r w:rsidRPr="00414E99">
        <w:rPr>
          <w:rFonts w:cs="Times New Roman"/>
          <w:lang w:val="fr-CA"/>
        </w:rPr>
        <w:t xml:space="preserve"> porte sur l’insolvabilité d’institutions financières et d’autres sociétés en particulier, telles les compagnies d’assurance, et elle n’est pas pertinente en l’espèce (par. 6(1); </w:t>
      </w:r>
      <w:r w:rsidRPr="00414E99">
        <w:rPr>
          <w:rFonts w:cs="Times New Roman"/>
          <w:i/>
          <w:lang w:val="fr-CA"/>
        </w:rPr>
        <w:t>9354</w:t>
      </w:r>
      <w:r w:rsidRPr="00414E99">
        <w:rPr>
          <w:rFonts w:cs="Times New Roman"/>
          <w:i/>
          <w:lang w:val="fr-CA"/>
        </w:rPr>
        <w:noBreakHyphen/>
        <w:t>9186 Québec inc. c. Callidus Capital Corp.</w:t>
      </w:r>
      <w:r w:rsidRPr="00414E99">
        <w:rPr>
          <w:rFonts w:cs="Times New Roman"/>
          <w:lang w:val="fr-CA"/>
        </w:rPr>
        <w:t xml:space="preserve">, 2020 </w:t>
      </w:r>
      <w:r>
        <w:rPr>
          <w:rFonts w:cs="Times New Roman"/>
          <w:lang w:val="fr-CA"/>
        </w:rPr>
        <w:t>C</w:t>
      </w:r>
      <w:r w:rsidRPr="00414E99">
        <w:rPr>
          <w:rFonts w:cs="Times New Roman"/>
          <w:lang w:val="fr-CA"/>
        </w:rPr>
        <w:t xml:space="preserve">SC 10, par. 39)). Dans l’arrêt </w:t>
      </w:r>
      <w:r w:rsidRPr="00414E99">
        <w:rPr>
          <w:rFonts w:cs="Times New Roman"/>
          <w:i/>
          <w:lang w:val="fr-CA"/>
        </w:rPr>
        <w:t>Century Services</w:t>
      </w:r>
      <w:r w:rsidRPr="00414E99">
        <w:rPr>
          <w:rFonts w:cs="Times New Roman"/>
          <w:lang w:val="fr-CA"/>
        </w:rPr>
        <w:t>, la juge Deschamps, se prononçant au nom de la majorité, a décrit l’insolvabilité ainsi :</w:t>
      </w:r>
    </w:p>
    <w:p w:rsidR="00344043" w:rsidRPr="00414E99" w:rsidRDefault="00344043" w:rsidP="00344043">
      <w:pPr>
        <w:pStyle w:val="Citation-AltC"/>
        <w:ind w:hanging="446"/>
        <w:contextualSpacing w:val="0"/>
        <w:rPr>
          <w:lang w:val="fr-CA"/>
        </w:rPr>
      </w:pPr>
      <w:r w:rsidRPr="00414E99">
        <w:rPr>
          <w:lang w:val="fr-CA"/>
        </w:rPr>
        <w:tab/>
        <w:t xml:space="preserve">la situation de fait qui se présente quand un débiteur n’est pas en mesure de payer ses créanciers [. . .] Certaines procédures judiciaires peuvent être intentées en cas d’insolvabilité. Ainsi, le débiteur peut généralement obtenir une ordonnance judiciaire ayant pour effet de suspendre les mesures d’exécution de ses créanciers, puis tenter de conclure avec eux une transaction à caractère exécutoire contenant des conditions de paiement plus réalistes. Ou alors, les biens du débiteur sont liquidés et ses dettes sont remboursées sur le produit de cette liquidation, selon les règles de priorité établies par la loi. Dans le premier cas, on emploie </w:t>
      </w:r>
      <w:r w:rsidRPr="00414E99">
        <w:rPr>
          <w:lang w:val="fr-CA"/>
        </w:rPr>
        <w:lastRenderedPageBreak/>
        <w:t>habituellement les termes de réorganisation ou de restructuration, alors que dans le second, on parle de liquidation. [par. 12]</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La </w:t>
      </w:r>
      <w:r w:rsidRPr="00414E99">
        <w:rPr>
          <w:rFonts w:cs="Times New Roman"/>
          <w:i/>
          <w:lang w:val="fr-CA"/>
        </w:rPr>
        <w:t>LFI</w:t>
      </w:r>
      <w:r w:rsidRPr="00414E99">
        <w:rPr>
          <w:rFonts w:cs="Times New Roman"/>
          <w:lang w:val="fr-CA"/>
        </w:rPr>
        <w:t xml:space="preserve"> comporte à la fois un régime de liquidation et un régime de restructuration (</w:t>
      </w:r>
      <w:r w:rsidRPr="00414E99">
        <w:rPr>
          <w:rFonts w:cs="Times New Roman"/>
          <w:i/>
          <w:lang w:val="fr-CA"/>
        </w:rPr>
        <w:t>Century Services</w:t>
      </w:r>
      <w:r w:rsidRPr="00414E99">
        <w:rPr>
          <w:rFonts w:cs="Times New Roman"/>
          <w:lang w:val="fr-CA"/>
        </w:rPr>
        <w:t xml:space="preserve">, par. 13 et 78). Le régime de liquidation contient des dispositions législatives détaillées en matière de distribution selon lesquelles l’actif du débiteur est liquidé et le produit de la liquidation est distribué aux créanciers. À l’inverse, le régime de restructuration permet au débiteur de présenter à ses créanciers des propositions de rajustement et de réorganisation des dettes. Les débiteurs — personnes physiques ou personnes morales — qui doivent 1 000 $ ou plus peuvent recourir à la </w:t>
      </w:r>
      <w:r w:rsidRPr="00414E99">
        <w:rPr>
          <w:rFonts w:cs="Times New Roman"/>
          <w:i/>
          <w:lang w:val="fr-CA"/>
        </w:rPr>
        <w:t>LFI</w:t>
      </w:r>
      <w:r w:rsidRPr="00414E99">
        <w:rPr>
          <w:rFonts w:cs="Times New Roman"/>
          <w:lang w:val="fr-CA"/>
        </w:rPr>
        <w:t xml:space="preserve"> (par. 43(1)).</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La </w:t>
      </w:r>
      <w:r w:rsidRPr="00414E99">
        <w:rPr>
          <w:rFonts w:cs="Times New Roman"/>
          <w:i/>
          <w:lang w:val="fr-CA"/>
        </w:rPr>
        <w:t>LACC</w:t>
      </w:r>
      <w:r w:rsidRPr="00414E99">
        <w:rPr>
          <w:rFonts w:cs="Times New Roman"/>
          <w:lang w:val="fr-CA"/>
        </w:rPr>
        <w:t xml:space="preserve"> est avant tout une loi de restructuration, et seules les compagnies dont le passif dépasse cinq millions de dollars peuvent s’en prévaloir (par. 3(1)). Comme l’a expliqué la juge Deschamps dans l’arrêt </w:t>
      </w:r>
      <w:r w:rsidRPr="00414E99">
        <w:rPr>
          <w:rFonts w:cs="Times New Roman"/>
          <w:i/>
          <w:lang w:val="fr-CA"/>
        </w:rPr>
        <w:t>Century Services</w:t>
      </w:r>
      <w:r w:rsidRPr="00414E99">
        <w:rPr>
          <w:rFonts w:cs="Times New Roman"/>
          <w:lang w:val="fr-CA"/>
        </w:rPr>
        <w:t xml:space="preserve">, la </w:t>
      </w:r>
      <w:r w:rsidRPr="00414E99">
        <w:rPr>
          <w:rFonts w:cs="Times New Roman"/>
          <w:i/>
          <w:lang w:val="fr-CA"/>
        </w:rPr>
        <w:t>LACC</w:t>
      </w:r>
      <w:r w:rsidRPr="00414E99">
        <w:rPr>
          <w:rFonts w:cs="Times New Roman"/>
          <w:lang w:val="fr-CA"/>
        </w:rPr>
        <w:t xml:space="preserve"> est de nature réparatrice; elle fournit aux compagnies un moyen d’éviter les effets dévastateurs, tant sur le plan social qu’économique, d’une faillite commerciale (par. 15 et 59, citant </w:t>
      </w:r>
      <w:r w:rsidRPr="00414E99">
        <w:rPr>
          <w:rFonts w:cs="Times New Roman"/>
          <w:i/>
          <w:lang w:val="fr-CA"/>
        </w:rPr>
        <w:t>Elan Corp. c. Comiskey</w:t>
      </w:r>
      <w:r w:rsidRPr="00414E99">
        <w:rPr>
          <w:rFonts w:cs="Times New Roman"/>
          <w:lang w:val="fr-CA"/>
        </w:rPr>
        <w:t xml:space="preserve"> (1990), 1 O.R. (3d) 289 (C.A.), p. 306, le juge Doherty, dissident). Les liquidations nuisent non seulement aux créanciers, mais aussi aux employés et aux autres intéressés. La </w:t>
      </w:r>
      <w:r w:rsidRPr="00414E99">
        <w:rPr>
          <w:rFonts w:cs="Times New Roman"/>
          <w:i/>
          <w:lang w:val="fr-CA"/>
        </w:rPr>
        <w:t xml:space="preserve">LACC </w:t>
      </w:r>
      <w:r w:rsidRPr="00414E99">
        <w:rPr>
          <w:rFonts w:cs="Times New Roman"/>
          <w:lang w:val="fr-CA"/>
        </w:rPr>
        <w:t>permet aux compagnies de continuer à exercer leurs activités et de « préserver le statu quo pendant qu’on tente de trouver un terrain d’entente entre les intéressés en vue d’une réorganisation qui soit juste pour tout le monde » (</w:t>
      </w:r>
      <w:r w:rsidRPr="00414E99">
        <w:rPr>
          <w:rFonts w:cs="Times New Roman"/>
          <w:i/>
          <w:lang w:val="fr-CA"/>
        </w:rPr>
        <w:t>Century Services</w:t>
      </w:r>
      <w:r w:rsidRPr="00414E99">
        <w:rPr>
          <w:rFonts w:cs="Times New Roman"/>
          <w:lang w:val="fr-CA"/>
        </w:rPr>
        <w:t xml:space="preserve">, par. 77). En édictant une loi de restructuration, le législateur a reconnu que la valeur des compagnies demeure plus grande lorsque </w:t>
      </w:r>
      <w:r w:rsidRPr="00414E99">
        <w:rPr>
          <w:rFonts w:cs="Times New Roman"/>
          <w:lang w:val="fr-CA"/>
        </w:rPr>
        <w:lastRenderedPageBreak/>
        <w:t>celles</w:t>
      </w:r>
      <w:r w:rsidRPr="00414E99">
        <w:rPr>
          <w:rFonts w:cs="Times New Roman"/>
          <w:lang w:val="fr-CA"/>
        </w:rPr>
        <w:noBreakHyphen/>
        <w:t>ci peuvent poursuivre leurs activités, surtout puisqu’elles constituent « des volets essentiels d’un réseau complexe de rapports économiques interdépendants » (par. 18).</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Étant donné son caractère réparateur, la </w:t>
      </w:r>
      <w:r w:rsidRPr="00414E99">
        <w:rPr>
          <w:rFonts w:cs="Times New Roman"/>
          <w:i/>
          <w:lang w:val="fr-CA"/>
        </w:rPr>
        <w:t>LACC</w:t>
      </w:r>
      <w:r w:rsidRPr="00414E99">
        <w:rPr>
          <w:rFonts w:cs="Times New Roman"/>
          <w:lang w:val="fr-CA"/>
        </w:rPr>
        <w:t xml:space="preserve"> est notoirement schématique par nature (</w:t>
      </w:r>
      <w:r w:rsidRPr="00414E99">
        <w:rPr>
          <w:rFonts w:cs="Times New Roman"/>
          <w:i/>
          <w:lang w:val="fr-CA"/>
        </w:rPr>
        <w:t>Century Services</w:t>
      </w:r>
      <w:r w:rsidRPr="00414E99">
        <w:rPr>
          <w:rFonts w:cs="Times New Roman"/>
          <w:lang w:val="fr-CA"/>
        </w:rPr>
        <w:t>, par. 57</w:t>
      </w:r>
      <w:r w:rsidRPr="00414E99">
        <w:rPr>
          <w:rFonts w:cs="Times New Roman"/>
          <w:lang w:val="fr-CA"/>
        </w:rPr>
        <w:noBreakHyphen/>
        <w:t xml:space="preserve">62). Elle ne « contient pas un code complet énonçant tout ce qui est permis et tout ce qui est interdit » (par. 57, citant </w:t>
      </w:r>
      <w:r w:rsidRPr="00414E99">
        <w:rPr>
          <w:rFonts w:cs="Times New Roman"/>
          <w:i/>
          <w:iCs/>
          <w:lang w:val="fr-CA"/>
        </w:rPr>
        <w:t>Metcalfe &amp; Mansfield Alternative Investments II Corp. (Re)</w:t>
      </w:r>
      <w:r w:rsidRPr="00414E99">
        <w:rPr>
          <w:rFonts w:cs="Times New Roman"/>
          <w:lang w:val="fr-CA"/>
        </w:rPr>
        <w:t>, 2008 ONCA 587, 92 O.R. (3d) 513, par. 44, le juge Blair). En vertu de l’art</w:t>
      </w:r>
      <w:r>
        <w:rPr>
          <w:rFonts w:cs="Times New Roman"/>
          <w:lang w:val="fr-CA"/>
        </w:rPr>
        <w:t>.</w:t>
      </w:r>
      <w:r w:rsidRPr="00414E99">
        <w:rPr>
          <w:rFonts w:cs="Times New Roman"/>
          <w:lang w:val="fr-CA"/>
        </w:rPr>
        <w:t xml:space="preserve"> 11, par exemple, le tribunal peut rendre toute ordonnance qu’il estime indiquée, sous réserve des restrictions prévues par la </w:t>
      </w:r>
      <w:r w:rsidRPr="00414E99">
        <w:rPr>
          <w:rFonts w:cs="Times New Roman"/>
          <w:i/>
          <w:lang w:val="fr-CA"/>
        </w:rPr>
        <w:t>LACC</w:t>
      </w:r>
      <w:r w:rsidRPr="00414E99">
        <w:rPr>
          <w:rFonts w:cs="Times New Roman"/>
          <w:lang w:val="fr-CA"/>
        </w:rPr>
        <w:t>. L’article 11 a été décrit comme étant [</w:t>
      </w:r>
      <w:r w:rsidRPr="00414E99">
        <w:rPr>
          <w:rFonts w:cs="Times New Roman"/>
          <w:smallCaps/>
          <w:lang w:val="fr-CA"/>
        </w:rPr>
        <w:t>traduction</w:t>
      </w:r>
      <w:r w:rsidRPr="00414E99">
        <w:rPr>
          <w:rFonts w:cs="Times New Roman"/>
          <w:lang w:val="fr-CA"/>
        </w:rPr>
        <w:t>] « le moteur de ce régime législatif large et souple » (</w:t>
      </w:r>
      <w:r w:rsidRPr="00440BA5">
        <w:rPr>
          <w:rFonts w:cs="Times New Roman"/>
          <w:i/>
          <w:lang w:val="fr-CA"/>
        </w:rPr>
        <w:t>S</w:t>
      </w:r>
      <w:r w:rsidRPr="00414E99">
        <w:rPr>
          <w:rFonts w:cs="Times New Roman"/>
          <w:i/>
          <w:lang w:val="fr-CA"/>
        </w:rPr>
        <w:t xml:space="preserve">telco Inc. </w:t>
      </w:r>
      <w:r>
        <w:rPr>
          <w:rFonts w:cs="Times New Roman"/>
          <w:i/>
          <w:lang w:val="fr-CA"/>
        </w:rPr>
        <w:t>(</w:t>
      </w:r>
      <w:r w:rsidRPr="00414E99">
        <w:rPr>
          <w:rFonts w:cs="Times New Roman"/>
          <w:i/>
          <w:lang w:val="fr-CA"/>
        </w:rPr>
        <w:t xml:space="preserve">Re) </w:t>
      </w:r>
      <w:r w:rsidRPr="00414E99">
        <w:rPr>
          <w:rFonts w:cs="Times New Roman"/>
          <w:lang w:val="fr-CA"/>
        </w:rPr>
        <w:t>(2005), 75 O.R. (3d) 5 (</w:t>
      </w:r>
      <w:r>
        <w:rPr>
          <w:rFonts w:cs="Times New Roman"/>
          <w:lang w:val="fr-CA"/>
        </w:rPr>
        <w:t>C.A</w:t>
      </w:r>
      <w:r w:rsidRPr="00414E99">
        <w:rPr>
          <w:rFonts w:cs="Times New Roman"/>
          <w:lang w:val="fr-CA"/>
        </w:rPr>
        <w:t xml:space="preserve">.), par. 36; voir </w:t>
      </w:r>
      <w:r>
        <w:rPr>
          <w:rFonts w:cs="Times New Roman"/>
          <w:lang w:val="fr-CA"/>
        </w:rPr>
        <w:t>aussi</w:t>
      </w:r>
      <w:r w:rsidRPr="00414E99">
        <w:rPr>
          <w:rFonts w:cs="Times New Roman"/>
          <w:lang w:val="fr-CA"/>
        </w:rPr>
        <w:t xml:space="preserve"> </w:t>
      </w:r>
      <w:r w:rsidRPr="00414E99">
        <w:rPr>
          <w:rFonts w:cs="Times New Roman"/>
          <w:i/>
          <w:lang w:val="fr-CA"/>
        </w:rPr>
        <w:t>9354</w:t>
      </w:r>
      <w:r w:rsidRPr="00414E99">
        <w:rPr>
          <w:rFonts w:cs="Times New Roman"/>
          <w:i/>
          <w:lang w:val="fr-CA"/>
        </w:rPr>
        <w:noBreakHyphen/>
        <w:t>9186 Québec inc.</w:t>
      </w:r>
      <w:r w:rsidRPr="00414E99">
        <w:rPr>
          <w:rFonts w:cs="Times New Roman"/>
          <w:lang w:val="fr-CA"/>
        </w:rPr>
        <w:t xml:space="preserve">, par. 48). Dans l’arrêt </w:t>
      </w:r>
      <w:r w:rsidRPr="00414E99">
        <w:rPr>
          <w:rFonts w:cs="Times New Roman"/>
          <w:i/>
          <w:lang w:val="fr-CA"/>
        </w:rPr>
        <w:t>Century Services</w:t>
      </w:r>
      <w:r w:rsidRPr="00414E99">
        <w:rPr>
          <w:rFonts w:cs="Times New Roman"/>
          <w:lang w:val="fr-CA"/>
        </w:rPr>
        <w:t xml:space="preserve">, la juge Deschamps a fait observer que l’exercice discrétionnaire de ces pouvoirs par les tribunaux a permis à la </w:t>
      </w:r>
      <w:r w:rsidRPr="00414E99">
        <w:rPr>
          <w:rFonts w:cs="Times New Roman"/>
          <w:i/>
          <w:lang w:val="fr-CA"/>
        </w:rPr>
        <w:t>LACC</w:t>
      </w:r>
      <w:r w:rsidRPr="00414E99">
        <w:rPr>
          <w:rFonts w:cs="Times New Roman"/>
          <w:lang w:val="fr-CA"/>
        </w:rPr>
        <w:t xml:space="preserve"> d’évoluer et de s’adapter aux besoins commerciaux et sociaux contemporains. Bien que l’exercice du pouvoir discrétionnaire du tribunal doive toujours tendre vers la réalisation de l’objectif réparateur de la </w:t>
      </w:r>
      <w:r w:rsidRPr="00414E99">
        <w:rPr>
          <w:rFonts w:cs="Times New Roman"/>
          <w:i/>
          <w:lang w:val="fr-CA"/>
        </w:rPr>
        <w:t>LACC</w:t>
      </w:r>
      <w:r w:rsidRPr="00414E99">
        <w:rPr>
          <w:rFonts w:cs="Times New Roman"/>
          <w:lang w:val="fr-CA"/>
        </w:rPr>
        <w:t>, il peut prendre plusieurs formes et il s’est avéré souple, novateur et nécessaire (par. 58</w:t>
      </w:r>
      <w:r w:rsidRPr="00414E99">
        <w:rPr>
          <w:rFonts w:cs="Times New Roman"/>
          <w:lang w:val="fr-CA"/>
        </w:rPr>
        <w:noBreakHyphen/>
        <w:t xml:space="preserve">61; </w:t>
      </w:r>
      <w:r>
        <w:rPr>
          <w:rFonts w:cs="Times New Roman"/>
          <w:i/>
          <w:lang w:val="fr-CA"/>
        </w:rPr>
        <w:t xml:space="preserve">U.S. Steel Canada Inc., </w:t>
      </w:r>
      <w:r w:rsidRPr="00414E99">
        <w:rPr>
          <w:rFonts w:cs="Times New Roman"/>
          <w:i/>
          <w:lang w:val="fr-CA"/>
        </w:rPr>
        <w:t>Re</w:t>
      </w:r>
      <w:r w:rsidRPr="00414E99">
        <w:rPr>
          <w:rFonts w:cs="Times New Roman"/>
          <w:lang w:val="fr-CA"/>
        </w:rPr>
        <w:t>, 2016 ONCA 662, 402 D.L.R. (4th) 450, par. 102).</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Ce régime contraste avec le régime de liquidation prévu par la </w:t>
      </w:r>
      <w:r w:rsidRPr="00414E99">
        <w:rPr>
          <w:rFonts w:cs="Times New Roman"/>
          <w:i/>
          <w:lang w:val="fr-CA"/>
        </w:rPr>
        <w:t>LFI</w:t>
      </w:r>
      <w:r w:rsidRPr="00414E99">
        <w:rPr>
          <w:rFonts w:cs="Times New Roman"/>
          <w:lang w:val="fr-CA"/>
        </w:rPr>
        <w:t xml:space="preserve">, dont les objectifs diffèrent légèrement. Dans </w:t>
      </w:r>
      <w:r w:rsidRPr="00414E99">
        <w:rPr>
          <w:rFonts w:cs="Times New Roman"/>
          <w:i/>
          <w:lang w:val="fr-CA"/>
        </w:rPr>
        <w:t>Husky Oil Operations Ltd. c. Ministre du Revenu national</w:t>
      </w:r>
      <w:r w:rsidRPr="00414E99">
        <w:rPr>
          <w:rFonts w:cs="Times New Roman"/>
          <w:lang w:val="fr-CA"/>
        </w:rPr>
        <w:t xml:space="preserve">, [1995] 3 R.C.S. 453, le juge Gonthier a expliqué que le régime de faillite a deux objectifs : il « assur[e] un partage équitable des biens du débiteur failli </w:t>
      </w:r>
      <w:r w:rsidRPr="00414E99">
        <w:rPr>
          <w:rFonts w:cs="Times New Roman"/>
          <w:lang w:val="fr-CA"/>
        </w:rPr>
        <w:lastRenderedPageBreak/>
        <w:t xml:space="preserve">entre les créanciers de l’actif [et il assure] la réhabilitation financière de la personne insolvable » (par. 7; voir aussi </w:t>
      </w:r>
      <w:r w:rsidRPr="00414E99">
        <w:rPr>
          <w:rFonts w:cs="Times New Roman"/>
          <w:i/>
          <w:lang w:val="fr-CA"/>
        </w:rPr>
        <w:t>9354</w:t>
      </w:r>
      <w:r w:rsidRPr="00414E99">
        <w:rPr>
          <w:rFonts w:cs="Times New Roman"/>
          <w:i/>
          <w:lang w:val="fr-CA"/>
        </w:rPr>
        <w:noBreakHyphen/>
        <w:t>9186 Québec inc.</w:t>
      </w:r>
      <w:r w:rsidRPr="00414E99">
        <w:rPr>
          <w:rFonts w:cs="Times New Roman"/>
          <w:lang w:val="fr-CA"/>
        </w:rPr>
        <w:t xml:space="preserve">, par. 46). Dans le même ordre d’idées, les juges Houlden et Morawetz de même que la professeure Sarra écrivent que la </w:t>
      </w:r>
      <w:r w:rsidRPr="00414E99">
        <w:rPr>
          <w:rFonts w:cs="Times New Roman"/>
          <w:i/>
          <w:lang w:val="fr-CA"/>
        </w:rPr>
        <w:t>LFI</w:t>
      </w:r>
      <w:r w:rsidRPr="00414E99">
        <w:rPr>
          <w:rFonts w:cs="Times New Roman"/>
          <w:lang w:val="fr-CA"/>
        </w:rPr>
        <w:t xml:space="preserve"> vise à la fois à permettre [</w:t>
      </w:r>
      <w:r w:rsidRPr="00414E99">
        <w:rPr>
          <w:rFonts w:cs="Times New Roman"/>
          <w:smallCaps/>
          <w:lang w:val="fr-CA"/>
        </w:rPr>
        <w:t>traduction</w:t>
      </w:r>
      <w:r w:rsidRPr="00414E99">
        <w:rPr>
          <w:rFonts w:cs="Times New Roman"/>
          <w:lang w:val="fr-CA"/>
        </w:rPr>
        <w:t xml:space="preserve">] « à l’honnête débiteur, frappé de malchance, de se libérer de toute responsabilité afin de pouvoir prendre un nouveau départ et de réintégrer le milieu des affaires [ainsi qu’à permettre] une distribution ordonnée et équitable des biens du failli entre ses créanciers, </w:t>
      </w:r>
      <w:r w:rsidRPr="00414E99">
        <w:rPr>
          <w:rFonts w:cs="Times New Roman"/>
          <w:i/>
          <w:lang w:val="fr-CA"/>
        </w:rPr>
        <w:t>pari passu</w:t>
      </w:r>
      <w:r w:rsidRPr="00414E99">
        <w:rPr>
          <w:rFonts w:cs="Times New Roman"/>
          <w:lang w:val="fr-CA"/>
        </w:rPr>
        <w:t> » (</w:t>
      </w:r>
      <w:r w:rsidRPr="00414E99">
        <w:rPr>
          <w:rFonts w:cs="Times New Roman"/>
          <w:i/>
          <w:lang w:val="fr-CA"/>
        </w:rPr>
        <w:t>The 2020</w:t>
      </w:r>
      <w:r w:rsidRPr="00414E99">
        <w:rPr>
          <w:rFonts w:cs="Times New Roman"/>
          <w:i/>
          <w:lang w:val="fr-CA"/>
        </w:rPr>
        <w:noBreakHyphen/>
        <w:t>2021 Annotated Bankruptcy and Insolvency Act</w:t>
      </w:r>
      <w:r w:rsidRPr="00414E99">
        <w:rPr>
          <w:rFonts w:cs="Times New Roman"/>
          <w:lang w:val="fr-CA"/>
        </w:rPr>
        <w:t xml:space="preserve"> (2020), p. 2).</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Pour réaliser ses objectifs, la </w:t>
      </w:r>
      <w:r w:rsidRPr="00414E99">
        <w:rPr>
          <w:rFonts w:cs="Times New Roman"/>
          <w:i/>
          <w:lang w:val="fr-CA"/>
        </w:rPr>
        <w:t xml:space="preserve">LFI </w:t>
      </w:r>
      <w:r w:rsidRPr="00414E99">
        <w:rPr>
          <w:rFonts w:cs="Times New Roman"/>
          <w:lang w:val="fr-CA"/>
        </w:rPr>
        <w:t>repose strictement sur des règles et elle établit un régime complet pour le processus de liquidation (</w:t>
      </w:r>
      <w:r w:rsidRPr="00414E99">
        <w:rPr>
          <w:rFonts w:cs="Times New Roman"/>
          <w:i/>
          <w:lang w:val="fr-CA"/>
        </w:rPr>
        <w:t>Century Services</w:t>
      </w:r>
      <w:r w:rsidRPr="00414E99">
        <w:rPr>
          <w:rFonts w:cs="Times New Roman"/>
          <w:lang w:val="fr-CA"/>
        </w:rPr>
        <w:t xml:space="preserve">, par. 13; </w:t>
      </w:r>
      <w:r w:rsidRPr="00414E99">
        <w:rPr>
          <w:rFonts w:cs="Times New Roman"/>
          <w:i/>
          <w:lang w:val="fr-CA"/>
        </w:rPr>
        <w:t>Husky Oil</w:t>
      </w:r>
      <w:r w:rsidRPr="00414E99">
        <w:rPr>
          <w:rFonts w:cs="Times New Roman"/>
          <w:lang w:val="fr-CA"/>
        </w:rPr>
        <w:t>, par. 85). Elle « peut être appliqué[e] pour répartir de manière ordonnée les biens du débiteur entre les créanciers, en fonction des règles de priorité qui y sont établies » (</w:t>
      </w:r>
      <w:r w:rsidRPr="00414E99">
        <w:rPr>
          <w:rFonts w:cs="Times New Roman"/>
          <w:i/>
          <w:lang w:val="fr-CA"/>
        </w:rPr>
        <w:t>Century Services</w:t>
      </w:r>
      <w:r w:rsidRPr="00414E99">
        <w:rPr>
          <w:rFonts w:cs="Times New Roman"/>
          <w:lang w:val="fr-CA"/>
        </w:rPr>
        <w:t xml:space="preserve">, par. 15). Le caractère exhaustif de la </w:t>
      </w:r>
      <w:r w:rsidRPr="00414E99">
        <w:rPr>
          <w:rFonts w:cs="Times New Roman"/>
          <w:i/>
          <w:lang w:val="fr-CA"/>
        </w:rPr>
        <w:t>LFI</w:t>
      </w:r>
      <w:r w:rsidRPr="00414E99">
        <w:rPr>
          <w:rFonts w:cs="Times New Roman"/>
          <w:lang w:val="fr-CA"/>
        </w:rPr>
        <w:t xml:space="preserve"> garantit, entre autres choses, qu’il existe une procédure unique dans le cadre de laquelle les créanciers sont placés sur un pied d’égalité et connaissent leurs droits. Elle garantit également qu’après la libération, le failli disposera de ressources suffisantes pour subvenir à ses besoins et qu’il pourra prendre un nouveau départ (</w:t>
      </w:r>
      <w:r w:rsidRPr="00414E99">
        <w:rPr>
          <w:rFonts w:cs="Times New Roman"/>
          <w:i/>
          <w:lang w:val="fr-CA"/>
        </w:rPr>
        <w:t>Canada (Superintendent of Bankruptcy) c. 407 ETR Concession Company Ltd.</w:t>
      </w:r>
      <w:r w:rsidRPr="00414E99">
        <w:rPr>
          <w:rFonts w:cs="Times New Roman"/>
          <w:lang w:val="fr-CA"/>
        </w:rPr>
        <w:t xml:space="preserve">, 2013 ONCA 769, 118 O.R. (3d) 161, par. 41). Les propositions faites en vertu du régime de restructuration de la </w:t>
      </w:r>
      <w:r w:rsidRPr="00414E99">
        <w:rPr>
          <w:rFonts w:cs="Times New Roman"/>
          <w:i/>
          <w:lang w:val="fr-CA"/>
        </w:rPr>
        <w:t>LFI</w:t>
      </w:r>
      <w:r w:rsidRPr="00414E99">
        <w:rPr>
          <w:rFonts w:cs="Times New Roman"/>
          <w:lang w:val="fr-CA"/>
        </w:rPr>
        <w:t xml:space="preserve"> répondent elles aussi à un objectif réparateur, « mais au moyen d’un mécanisme fondé sur des règles et offrant moins de souplesse » (</w:t>
      </w:r>
      <w:r w:rsidRPr="00414E99">
        <w:rPr>
          <w:rFonts w:cs="Times New Roman"/>
          <w:i/>
          <w:lang w:val="fr-CA"/>
        </w:rPr>
        <w:t>Century Services</w:t>
      </w:r>
      <w:r w:rsidRPr="00414E99">
        <w:rPr>
          <w:rFonts w:cs="Times New Roman"/>
          <w:lang w:val="fr-CA"/>
        </w:rPr>
        <w:t>, par. 15).</w:t>
      </w:r>
    </w:p>
    <w:p w:rsidR="00344043" w:rsidRPr="00414E99" w:rsidRDefault="00344043" w:rsidP="00344043">
      <w:pPr>
        <w:pStyle w:val="ParaNoNdepar-AltN"/>
        <w:spacing w:before="0"/>
        <w:rPr>
          <w:rFonts w:cs="Times New Roman"/>
          <w:lang w:val="fr-CA"/>
        </w:rPr>
      </w:pPr>
      <w:r w:rsidRPr="00414E99">
        <w:rPr>
          <w:rFonts w:cs="Times New Roman"/>
          <w:lang w:val="fr-CA"/>
        </w:rPr>
        <w:lastRenderedPageBreak/>
        <w:t xml:space="preserve">Fait important, les objectifs de restructuration propres à la </w:t>
      </w:r>
      <w:r w:rsidRPr="00414E99">
        <w:rPr>
          <w:rFonts w:cs="Times New Roman"/>
          <w:i/>
          <w:lang w:val="fr-CA"/>
        </w:rPr>
        <w:t>LACC</w:t>
      </w:r>
      <w:r w:rsidRPr="00414E99">
        <w:rPr>
          <w:rFonts w:cs="Times New Roman"/>
          <w:lang w:val="fr-CA"/>
        </w:rPr>
        <w:t>, contrairement à la liquidation, permettent l’entrée en scène d’un acteur essentiel : le prêteur temporaire. Le financement temporaire, que l’on appelait auparavant le financement du débiteur</w:t>
      </w:r>
      <w:r w:rsidRPr="00414E99">
        <w:rPr>
          <w:rFonts w:cs="Times New Roman"/>
          <w:lang w:val="fr-CA"/>
        </w:rPr>
        <w:noBreakHyphen/>
        <w:t>exploitant, est un mécanisme sous supervision judiciaire par lequel des fonds sont prêtés à une compagnie insolvable afin d’être utilisés au cours du processus de restructuration et pour les besoins de celui</w:t>
      </w:r>
      <w:r w:rsidRPr="00414E99">
        <w:rPr>
          <w:rFonts w:cs="Times New Roman"/>
          <w:lang w:val="fr-CA"/>
        </w:rPr>
        <w:noBreakHyphen/>
        <w:t xml:space="preserve">ci. Avant les modifications de 2009, il n’existait pas de dispositions législatives sur le financement temporaire dans la </w:t>
      </w:r>
      <w:r w:rsidRPr="00414E99">
        <w:rPr>
          <w:rFonts w:cs="Times New Roman"/>
          <w:i/>
          <w:lang w:val="fr-CA"/>
        </w:rPr>
        <w:t>LACC</w:t>
      </w:r>
      <w:r w:rsidRPr="00414E99">
        <w:rPr>
          <w:rFonts w:cs="Times New Roman"/>
          <w:lang w:val="fr-CA"/>
        </w:rPr>
        <w:t xml:space="preserve">, mais le concept était bien établi dans la jurisprudence (L. W. Houlden, </w:t>
      </w:r>
      <w:r>
        <w:rPr>
          <w:rFonts w:cs="Times New Roman"/>
          <w:lang w:val="fr-CA"/>
        </w:rPr>
        <w:t>G. B. </w:t>
      </w:r>
      <w:r w:rsidRPr="00414E99">
        <w:rPr>
          <w:rFonts w:cs="Times New Roman"/>
          <w:lang w:val="fr-CA"/>
        </w:rPr>
        <w:t xml:space="preserve">Morawetz et J. Sarra, </w:t>
      </w:r>
      <w:r w:rsidRPr="00414E99">
        <w:rPr>
          <w:rFonts w:cs="Times New Roman"/>
          <w:i/>
          <w:lang w:val="fr-CA"/>
        </w:rPr>
        <w:t>Bankruptcy and Insolvency Law of Canada</w:t>
      </w:r>
      <w:r w:rsidRPr="00414E99">
        <w:rPr>
          <w:rFonts w:cs="Times New Roman"/>
          <w:lang w:val="fr-CA"/>
        </w:rPr>
        <w:t xml:space="preserve"> (4</w:t>
      </w:r>
      <w:r w:rsidRPr="00414E99">
        <w:rPr>
          <w:rFonts w:cs="Times New Roman"/>
          <w:vertAlign w:val="superscript"/>
          <w:lang w:val="fr-CA"/>
        </w:rPr>
        <w:t>e</w:t>
      </w:r>
      <w:r w:rsidRPr="00414E99">
        <w:rPr>
          <w:rFonts w:cs="Times New Roman"/>
          <w:lang w:val="fr-CA"/>
        </w:rPr>
        <w:t xml:space="preserve"> éd. rév. (feuilles mobiles)), vol. 4, N§93; voir aussi </w:t>
      </w:r>
      <w:r w:rsidRPr="00414E99">
        <w:rPr>
          <w:rFonts w:cs="Times New Roman"/>
          <w:i/>
          <w:lang w:val="fr-CA"/>
        </w:rPr>
        <w:t>Century Services</w:t>
      </w:r>
      <w:r w:rsidRPr="00414E99">
        <w:rPr>
          <w:rFonts w:cs="Times New Roman"/>
          <w:lang w:val="fr-CA"/>
        </w:rPr>
        <w:t>, par. 62). Les modifications apportées en 2009 ont codifié l’essentiel de la jurisprudence existante, et j’examinerai les dispositions législatives en détail ci</w:t>
      </w:r>
      <w:r w:rsidRPr="00414E99">
        <w:rPr>
          <w:rFonts w:cs="Times New Roman"/>
          <w:lang w:val="fr-CA"/>
        </w:rPr>
        <w:noBreakHyphen/>
        <w:t>dessous.</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Le financement temporaire est essentiel au processus de restructuration. Il permet au débiteur de continuer à exercer ses activités au quotidien pendant qu’un arrangement est mis en place. Un plan de transaction serait vain si, dans les six mois suivants, le débiteur était forcé de cesser ses activités. Pour cette raison, le juge Farley a fait observer dans </w:t>
      </w:r>
      <w:r w:rsidRPr="00414E99">
        <w:rPr>
          <w:rFonts w:cs="Times New Roman"/>
          <w:i/>
          <w:lang w:val="fr-CA"/>
        </w:rPr>
        <w:t xml:space="preserve">Royal Oak Mines Inc., Re </w:t>
      </w:r>
      <w:r w:rsidRPr="00414E99">
        <w:rPr>
          <w:rFonts w:cs="Times New Roman"/>
          <w:lang w:val="fr-CA"/>
        </w:rPr>
        <w:t xml:space="preserve">(1999), 7 C.B.R. (4th) 293 (C.J. Ont. (Div. gén.)), par. 1, citant </w:t>
      </w:r>
      <w:r w:rsidRPr="00414E99">
        <w:rPr>
          <w:rFonts w:cs="Times New Roman"/>
          <w:i/>
          <w:lang w:val="fr-CA"/>
        </w:rPr>
        <w:t xml:space="preserve">Royal Oak Mines Inc., Re </w:t>
      </w:r>
      <w:r w:rsidRPr="00414E99">
        <w:rPr>
          <w:rFonts w:cs="Times New Roman"/>
          <w:lang w:val="fr-CA"/>
        </w:rPr>
        <w:t>(1999), 6 C.B.R. (4th) 314 (C.J. Ont. (Div. gén.)), par. 24, que le financement temporaire aide à [</w:t>
      </w:r>
      <w:r w:rsidRPr="00414E99">
        <w:rPr>
          <w:rFonts w:cs="Times New Roman"/>
          <w:smallCaps/>
          <w:lang w:val="fr-CA"/>
        </w:rPr>
        <w:t>traduction</w:t>
      </w:r>
      <w:r w:rsidRPr="00414E99">
        <w:rPr>
          <w:rFonts w:cs="Times New Roman"/>
          <w:lang w:val="fr-CA"/>
        </w:rPr>
        <w:t xml:space="preserve">] « payer les frais courants ». De même, dans l’arrêt </w:t>
      </w:r>
      <w:r w:rsidRPr="00414E99">
        <w:rPr>
          <w:rFonts w:cs="Times New Roman"/>
          <w:i/>
          <w:lang w:val="fr-CA"/>
        </w:rPr>
        <w:t>Indalex</w:t>
      </w:r>
      <w:r w:rsidRPr="00414E99">
        <w:rPr>
          <w:rFonts w:cs="Times New Roman"/>
          <w:lang w:val="fr-CA"/>
        </w:rPr>
        <w:t>, la juge Deschamps a expliqué que le fait d’accorder une super priorité aux prêteurs temporaires constituait [</w:t>
      </w:r>
      <w:r w:rsidRPr="00414E99">
        <w:rPr>
          <w:rFonts w:cs="Times New Roman"/>
          <w:smallCaps/>
          <w:lang w:val="fr-CA"/>
        </w:rPr>
        <w:t>traduction</w:t>
      </w:r>
      <w:r w:rsidRPr="00414E99">
        <w:rPr>
          <w:rFonts w:cs="Times New Roman"/>
          <w:lang w:val="fr-CA"/>
        </w:rPr>
        <w:t xml:space="preserve">] « un élément clé de la capacité du débiteur de tenter de conclure un </w:t>
      </w:r>
      <w:r w:rsidRPr="00414E99">
        <w:rPr>
          <w:rFonts w:cs="Times New Roman"/>
          <w:lang w:val="fr-CA"/>
        </w:rPr>
        <w:lastRenderedPageBreak/>
        <w:t xml:space="preserve">arrangement » (par. 59, citant </w:t>
      </w:r>
      <w:r>
        <w:rPr>
          <w:rFonts w:cs="Times New Roman"/>
          <w:lang w:val="fr-CA"/>
        </w:rPr>
        <w:t>J. </w:t>
      </w:r>
      <w:r w:rsidRPr="00414E99">
        <w:rPr>
          <w:rFonts w:cs="Times New Roman"/>
          <w:lang w:val="fr-CA"/>
        </w:rPr>
        <w:t xml:space="preserve">P. Sarra, </w:t>
      </w:r>
      <w:r w:rsidRPr="00414E99">
        <w:rPr>
          <w:rFonts w:cs="Times New Roman"/>
          <w:i/>
          <w:lang w:val="fr-CA"/>
        </w:rPr>
        <w:t>Rescue! The Companies’ Creditors Arrangement Act</w:t>
      </w:r>
      <w:r w:rsidRPr="00414E99">
        <w:rPr>
          <w:rFonts w:cs="Times New Roman"/>
          <w:lang w:val="fr-CA"/>
        </w:rPr>
        <w:t xml:space="preserve"> (2007), p. 97). Sans le financement temporaire et la capacité d’accorder la priorité au prêt du prêteur temporaire, la réalisation des objectifs réparateurs de la </w:t>
      </w:r>
      <w:r w:rsidRPr="00414E99">
        <w:rPr>
          <w:rFonts w:cs="Times New Roman"/>
          <w:i/>
          <w:lang w:val="fr-CA"/>
        </w:rPr>
        <w:t>LACC</w:t>
      </w:r>
      <w:r w:rsidRPr="00414E99">
        <w:rPr>
          <w:rFonts w:cs="Times New Roman"/>
          <w:lang w:val="fr-CA"/>
        </w:rPr>
        <w:t xml:space="preserve"> pourrait être compromise (par. 58).</w:t>
      </w:r>
    </w:p>
    <w:p w:rsidR="00344043" w:rsidRPr="00414E99" w:rsidRDefault="00344043" w:rsidP="00344043">
      <w:pPr>
        <w:pStyle w:val="ParaNoNdepar-AltN"/>
        <w:spacing w:before="0"/>
        <w:rPr>
          <w:rFonts w:cs="Times New Roman"/>
          <w:lang w:val="fr-CA"/>
        </w:rPr>
      </w:pPr>
      <w:r w:rsidRPr="00414E99">
        <w:rPr>
          <w:rFonts w:cs="Times New Roman"/>
          <w:lang w:val="fr-CA"/>
        </w:rPr>
        <w:t>Ayant ce contexte à l’esprit, je me pencherai maintenant sur le traitement de la fiducie réputée créée en faveur de la Couronne à l’égard des retenues à la source non versées dans le cadre du régime d’insolvabilité du législateur.</w:t>
      </w:r>
    </w:p>
    <w:p w:rsidR="00344043" w:rsidRPr="00414E99" w:rsidRDefault="00344043" w:rsidP="00344043">
      <w:pPr>
        <w:pStyle w:val="Title3LevelTitre3Niveau"/>
        <w:spacing w:before="0"/>
        <w:rPr>
          <w:rFonts w:cs="Times New Roman"/>
          <w:lang w:val="fr-CA"/>
        </w:rPr>
      </w:pPr>
      <w:r w:rsidRPr="00414E99">
        <w:rPr>
          <w:rFonts w:cs="Times New Roman"/>
          <w:lang w:val="fr-CA"/>
        </w:rPr>
        <w:t xml:space="preserve">La fiducie réputée créée à l’égard des retenues à la source non versées — </w:t>
      </w:r>
      <w:r w:rsidRPr="00414E99">
        <w:rPr>
          <w:rFonts w:cs="Times New Roman"/>
          <w:i/>
          <w:lang w:val="fr-CA"/>
        </w:rPr>
        <w:t>LFI</w:t>
      </w:r>
      <w:r w:rsidRPr="00414E99">
        <w:rPr>
          <w:rFonts w:cs="Times New Roman"/>
          <w:lang w:val="fr-CA"/>
        </w:rPr>
        <w:t xml:space="preserve"> et </w:t>
      </w:r>
      <w:r w:rsidRPr="00414E99">
        <w:rPr>
          <w:rFonts w:cs="Times New Roman"/>
          <w:i/>
          <w:lang w:val="fr-CA"/>
        </w:rPr>
        <w:t>LACC</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Les lois en cause dans la présente affaire sont toutes fédérales. La </w:t>
      </w:r>
      <w:r w:rsidRPr="00414E99">
        <w:rPr>
          <w:rFonts w:cs="Times New Roman"/>
          <w:i/>
          <w:lang w:val="fr-CA"/>
        </w:rPr>
        <w:t>LIR</w:t>
      </w:r>
      <w:r w:rsidRPr="00414E99">
        <w:rPr>
          <w:rFonts w:cs="Times New Roman"/>
          <w:lang w:val="fr-CA"/>
        </w:rPr>
        <w:t xml:space="preserve">, la </w:t>
      </w:r>
      <w:r w:rsidRPr="00414E99">
        <w:rPr>
          <w:rFonts w:cs="Times New Roman"/>
          <w:i/>
          <w:lang w:val="fr-CA"/>
        </w:rPr>
        <w:t>LFI</w:t>
      </w:r>
      <w:r w:rsidRPr="00414E99">
        <w:rPr>
          <w:rFonts w:cs="Times New Roman"/>
          <w:lang w:val="fr-CA"/>
        </w:rPr>
        <w:t xml:space="preserve"> et la </w:t>
      </w:r>
      <w:r w:rsidRPr="00414E99">
        <w:rPr>
          <w:rFonts w:cs="Times New Roman"/>
          <w:i/>
          <w:lang w:val="fr-CA"/>
        </w:rPr>
        <w:t xml:space="preserve">LACC </w:t>
      </w:r>
      <w:r w:rsidRPr="00414E99">
        <w:rPr>
          <w:rFonts w:cs="Times New Roman"/>
          <w:lang w:val="fr-CA"/>
        </w:rPr>
        <w:t xml:space="preserve">coexistent au sein d’un régime législatif harmonieux, édicté par un seul ordre de gouvernement (voir, </w:t>
      </w:r>
      <w:r>
        <w:rPr>
          <w:rFonts w:cs="Times New Roman"/>
          <w:lang w:val="fr-CA"/>
        </w:rPr>
        <w:t>p. ex.</w:t>
      </w:r>
      <w:r w:rsidRPr="00414E99">
        <w:rPr>
          <w:rFonts w:cs="Times New Roman"/>
          <w:lang w:val="fr-CA"/>
        </w:rPr>
        <w:t xml:space="preserve">, </w:t>
      </w:r>
      <w:r w:rsidRPr="00414E99">
        <w:rPr>
          <w:rFonts w:cs="Times New Roman"/>
          <w:shd w:val="clear" w:color="auto" w:fill="FFFFFF"/>
          <w:lang w:val="fr-CA"/>
        </w:rPr>
        <w:t>R. </w:t>
      </w:r>
      <w:r>
        <w:rPr>
          <w:rFonts w:cs="Times New Roman"/>
          <w:shd w:val="clear" w:color="auto" w:fill="FFFFFF"/>
          <w:lang w:val="fr-CA"/>
        </w:rPr>
        <w:t xml:space="preserve">Sullivan, </w:t>
      </w:r>
      <w:r w:rsidRPr="00414E99">
        <w:rPr>
          <w:rFonts w:cs="Times New Roman"/>
          <w:i/>
          <w:iCs/>
          <w:shd w:val="clear" w:color="auto" w:fill="FFFFFF"/>
          <w:lang w:val="fr-CA"/>
        </w:rPr>
        <w:t>Sullivan on the Construction of Statutes</w:t>
      </w:r>
      <w:r w:rsidRPr="00414E99">
        <w:rPr>
          <w:rFonts w:cs="Times New Roman"/>
          <w:shd w:val="clear" w:color="auto" w:fill="FFFFFF"/>
          <w:lang w:val="fr-CA"/>
        </w:rPr>
        <w:t xml:space="preserve"> (6</w:t>
      </w:r>
      <w:r w:rsidRPr="00414E99">
        <w:rPr>
          <w:rFonts w:cs="Times New Roman"/>
          <w:shd w:val="clear" w:color="auto" w:fill="FFFFFF"/>
          <w:vertAlign w:val="superscript"/>
          <w:lang w:val="fr-CA"/>
        </w:rPr>
        <w:t>e</w:t>
      </w:r>
      <w:r w:rsidRPr="00414E99">
        <w:rPr>
          <w:rFonts w:cs="Times New Roman"/>
          <w:shd w:val="clear" w:color="auto" w:fill="FFFFFF"/>
          <w:lang w:val="fr-CA"/>
        </w:rPr>
        <w:t> éd. 2014), p. 337, sur la présomption de cohérence)</w:t>
      </w:r>
      <w:r w:rsidRPr="00414E99">
        <w:rPr>
          <w:rFonts w:cs="Times New Roman"/>
          <w:lang w:val="fr-CA"/>
        </w:rPr>
        <w:t xml:space="preserve">. Cette coexistence se manifeste par exemple lorsque, dans le régime d’insolvabilité, le législateur modifie les droits qu’il accorde autrement à la Couronne en dehors de ce régime. Par exemple, au moyen du par. 222(3) de la </w:t>
      </w:r>
      <w:r w:rsidRPr="00414E99">
        <w:rPr>
          <w:rFonts w:cs="Times New Roman"/>
          <w:i/>
          <w:lang w:val="fr-CA"/>
        </w:rPr>
        <w:t>LTA</w:t>
      </w:r>
      <w:r w:rsidRPr="00414E99">
        <w:rPr>
          <w:rFonts w:cs="Times New Roman"/>
          <w:lang w:val="fr-CA"/>
        </w:rPr>
        <w:t xml:space="preserve">, le législateur prévoit la création d’une fiducie réputée en faveur de la Couronne à l’égard de la TPS non versée. Le législateur rend aussi cette fiducie réputée, qui est quasi identique à celle prévue au par. 227(4.1) de la </w:t>
      </w:r>
      <w:r w:rsidRPr="00414E99">
        <w:rPr>
          <w:rFonts w:cs="Times New Roman"/>
          <w:i/>
          <w:lang w:val="fr-CA"/>
        </w:rPr>
        <w:t>LIR</w:t>
      </w:r>
      <w:r w:rsidRPr="00414E99">
        <w:rPr>
          <w:rFonts w:cs="Times New Roman"/>
          <w:lang w:val="fr-CA"/>
        </w:rPr>
        <w:t xml:space="preserve">, inopérante sous les régimes de la </w:t>
      </w:r>
      <w:r w:rsidRPr="00414E99">
        <w:rPr>
          <w:rFonts w:cs="Times New Roman"/>
          <w:i/>
          <w:lang w:val="fr-CA"/>
        </w:rPr>
        <w:t>LFI</w:t>
      </w:r>
      <w:r w:rsidRPr="00414E99">
        <w:rPr>
          <w:rFonts w:cs="Times New Roman"/>
          <w:lang w:val="fr-CA"/>
        </w:rPr>
        <w:t xml:space="preserve"> et de la </w:t>
      </w:r>
      <w:r w:rsidRPr="00414E99">
        <w:rPr>
          <w:rFonts w:cs="Times New Roman"/>
          <w:i/>
          <w:lang w:val="fr-CA"/>
        </w:rPr>
        <w:t xml:space="preserve">LACC </w:t>
      </w:r>
      <w:r w:rsidRPr="00414E99">
        <w:rPr>
          <w:rFonts w:cs="Times New Roman"/>
          <w:lang w:val="fr-CA"/>
        </w:rPr>
        <w:t>(</w:t>
      </w:r>
      <w:r w:rsidRPr="00414E99">
        <w:rPr>
          <w:rFonts w:cs="Times New Roman"/>
          <w:i/>
          <w:lang w:val="fr-CA"/>
        </w:rPr>
        <w:t>LFI</w:t>
      </w:r>
      <w:r w:rsidRPr="00414E99">
        <w:rPr>
          <w:rFonts w:cs="Times New Roman"/>
          <w:lang w:val="fr-CA"/>
        </w:rPr>
        <w:t xml:space="preserve">, par. 67(2) et 86(3); </w:t>
      </w:r>
      <w:r w:rsidRPr="00414E99">
        <w:rPr>
          <w:rFonts w:cs="Times New Roman"/>
          <w:i/>
          <w:lang w:val="fr-CA"/>
        </w:rPr>
        <w:t>LACC</w:t>
      </w:r>
      <w:r w:rsidRPr="00414E99">
        <w:rPr>
          <w:rFonts w:cs="Times New Roman"/>
          <w:lang w:val="fr-CA"/>
        </w:rPr>
        <w:t xml:space="preserve">, par. 37(1); </w:t>
      </w:r>
      <w:r w:rsidRPr="00414E99">
        <w:rPr>
          <w:rFonts w:cs="Times New Roman"/>
          <w:i/>
          <w:lang w:val="fr-CA"/>
        </w:rPr>
        <w:t>Century Services</w:t>
      </w:r>
      <w:r w:rsidRPr="00414E99">
        <w:rPr>
          <w:rFonts w:cs="Times New Roman"/>
          <w:lang w:val="fr-CA"/>
        </w:rPr>
        <w:t>, par. 51</w:t>
      </w:r>
      <w:r w:rsidRPr="00414E99">
        <w:rPr>
          <w:rFonts w:cs="Times New Roman"/>
          <w:lang w:val="fr-CA"/>
        </w:rPr>
        <w:noBreakHyphen/>
        <w:t xml:space="preserve">56). Comme je l’expliquerai, dans la </w:t>
      </w:r>
      <w:r w:rsidRPr="00414E99">
        <w:rPr>
          <w:rFonts w:cs="Times New Roman"/>
          <w:i/>
          <w:lang w:val="fr-CA"/>
        </w:rPr>
        <w:t>LFI</w:t>
      </w:r>
      <w:r w:rsidRPr="00414E99">
        <w:rPr>
          <w:rFonts w:cs="Times New Roman"/>
          <w:lang w:val="fr-CA"/>
        </w:rPr>
        <w:t xml:space="preserve"> et la </w:t>
      </w:r>
      <w:r w:rsidRPr="00414E99">
        <w:rPr>
          <w:rFonts w:cs="Times New Roman"/>
          <w:i/>
          <w:lang w:val="fr-CA"/>
        </w:rPr>
        <w:lastRenderedPageBreak/>
        <w:t>LACC</w:t>
      </w:r>
      <w:r w:rsidRPr="00414E99">
        <w:rPr>
          <w:rFonts w:cs="Times New Roman"/>
          <w:lang w:val="fr-CA"/>
        </w:rPr>
        <w:t xml:space="preserve">, le législateur traite aussi expressément de la fiducie réputée prévue au par. 227(4.1) de la </w:t>
      </w:r>
      <w:r w:rsidRPr="00414E99">
        <w:rPr>
          <w:rFonts w:cs="Times New Roman"/>
          <w:i/>
          <w:lang w:val="fr-CA"/>
        </w:rPr>
        <w:t>LIR</w:t>
      </w:r>
      <w:r w:rsidRPr="00414E99">
        <w:rPr>
          <w:rFonts w:cs="Times New Roman"/>
          <w:lang w:val="fr-CA"/>
        </w:rPr>
        <w:t>, quoique de manière différente.</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Dans la </w:t>
      </w:r>
      <w:r w:rsidRPr="00414E99">
        <w:rPr>
          <w:rFonts w:cs="Times New Roman"/>
          <w:i/>
          <w:lang w:val="fr-CA"/>
        </w:rPr>
        <w:t>LFI</w:t>
      </w:r>
      <w:r w:rsidRPr="00414E99">
        <w:rPr>
          <w:rFonts w:cs="Times New Roman"/>
          <w:lang w:val="fr-CA"/>
        </w:rPr>
        <w:t>, la fiducie réputée créée à l’égard des retenues à la source non versées figure au par. 67(3). L’article 67 figure sous la rubrique « Biens du failli ». L’alinéa </w:t>
      </w:r>
      <w:r w:rsidRPr="00414E99">
        <w:rPr>
          <w:rFonts w:eastAsia="Times New Roman" w:cs="Times New Roman"/>
          <w:lang w:val="fr-CA"/>
        </w:rPr>
        <w:t xml:space="preserve">67(1)a) exclut du patrimoine attribué aux créanciers du failli les biens détenus par le failli en fiducie. Le paragraphe 67(2) prévoit que toute fiducie réputée créée en faveur de la Couronne en vertu d’une disposition législative fédérale ou provinciale ne peut être considérée comme une fiducie au sens de l’al. 67(1)a), si elle ne le serait pas en l’absence de la disposition législative en question (autrement dit, à moins qu’elle puisse être considérée comme une fiducie de common law ou une fiducie véritable) (voir </w:t>
      </w:r>
      <w:r w:rsidRPr="00414E99">
        <w:rPr>
          <w:rFonts w:eastAsia="Times New Roman" w:cs="Times New Roman"/>
          <w:i/>
          <w:lang w:val="fr-CA"/>
        </w:rPr>
        <w:t>Caisse populaire Desjardins de Montmagny</w:t>
      </w:r>
      <w:r w:rsidRPr="00414E99">
        <w:rPr>
          <w:rFonts w:eastAsia="Times New Roman" w:cs="Times New Roman"/>
          <w:lang w:val="fr-CA"/>
        </w:rPr>
        <w:t xml:space="preserve">, par. 15; </w:t>
      </w:r>
      <w:r w:rsidRPr="00414E99">
        <w:rPr>
          <w:rFonts w:eastAsia="Times New Roman" w:cs="Times New Roman"/>
          <w:i/>
          <w:lang w:val="fr-CA"/>
        </w:rPr>
        <w:t>Urbancorp Cumberland 2 GP Inc. (Re)</w:t>
      </w:r>
      <w:r w:rsidRPr="00414E99">
        <w:rPr>
          <w:rFonts w:eastAsia="Times New Roman" w:cs="Times New Roman"/>
          <w:lang w:val="fr-CA"/>
        </w:rPr>
        <w:t>, 2020 ONCA 197, 444 D.L.R. (4th) 273, par. 32</w:t>
      </w:r>
      <w:r w:rsidRPr="00414E99">
        <w:rPr>
          <w:rFonts w:eastAsia="Times New Roman" w:cs="Times New Roman"/>
          <w:lang w:val="fr-CA"/>
        </w:rPr>
        <w:noBreakHyphen/>
        <w:t xml:space="preserve">33). Le paragraphe 67(3) mentionne que le par. 67(2) ne s’applique pas à la fiducie réputée créée en faveur de la Couronne à l’égard des retenues à la source non versées en vertu de la </w:t>
      </w:r>
      <w:r w:rsidRPr="00414E99">
        <w:rPr>
          <w:rFonts w:eastAsia="Times New Roman" w:cs="Times New Roman"/>
          <w:i/>
          <w:lang w:val="fr-CA"/>
        </w:rPr>
        <w:t>LIR</w:t>
      </w:r>
      <w:r w:rsidRPr="00414E99">
        <w:rPr>
          <w:rFonts w:eastAsia="Times New Roman" w:cs="Times New Roman"/>
          <w:lang w:val="fr-CA"/>
        </w:rPr>
        <w:t xml:space="preserve">, du </w:t>
      </w:r>
      <w:r w:rsidRPr="00414E99">
        <w:rPr>
          <w:rFonts w:eastAsia="Times New Roman" w:cs="Times New Roman"/>
          <w:i/>
          <w:lang w:val="fr-CA"/>
        </w:rPr>
        <w:t>RPC</w:t>
      </w:r>
      <w:r w:rsidRPr="00414E99">
        <w:rPr>
          <w:rFonts w:eastAsia="Times New Roman" w:cs="Times New Roman"/>
          <w:lang w:val="fr-CA"/>
        </w:rPr>
        <w:t xml:space="preserve"> ou de la </w:t>
      </w:r>
      <w:r w:rsidRPr="00414E99">
        <w:rPr>
          <w:rFonts w:eastAsia="Times New Roman" w:cs="Times New Roman"/>
          <w:i/>
          <w:lang w:val="fr-CA"/>
        </w:rPr>
        <w:t>LAE</w:t>
      </w:r>
      <w:r w:rsidRPr="00414E99">
        <w:rPr>
          <w:rFonts w:eastAsia="Times New Roman" w:cs="Times New Roman"/>
          <w:lang w:val="fr-CA"/>
        </w:rPr>
        <w:t>. Par conséquent, même si le par. 67(2) prescrit en termes généraux une exception à l’al. 67(1)a), cette exception ne s’applique pas à la fiducie réputée créée en faveur de la Couronne à l’égard des retenues à la source non versées par application du par. 67(3).</w:t>
      </w:r>
    </w:p>
    <w:p w:rsidR="00344043" w:rsidRPr="00414E99" w:rsidRDefault="00344043" w:rsidP="00344043">
      <w:pPr>
        <w:pStyle w:val="ParaNoNdepar-AltN"/>
        <w:spacing w:before="0"/>
        <w:rPr>
          <w:rFonts w:cs="Times New Roman"/>
          <w:lang w:val="fr-CA"/>
        </w:rPr>
      </w:pPr>
      <w:r w:rsidRPr="00414E99">
        <w:rPr>
          <w:rFonts w:eastAsia="Times New Roman" w:cs="Times New Roman"/>
          <w:lang w:val="fr-CA"/>
        </w:rPr>
        <w:t>Il en résulte que le patrimoine du débiteur — jusqu’à concurrence du montant des retenues à la source non versées — ne fait pas partie des « </w:t>
      </w:r>
      <w:r w:rsidRPr="00414E99">
        <w:rPr>
          <w:rFonts w:cs="Times New Roman"/>
          <w:lang w:val="fr-CA"/>
        </w:rPr>
        <w:t>biens d’un failli, constituant le patrimoine attribué à ses créanciers »</w:t>
      </w:r>
      <w:r w:rsidRPr="00414E99">
        <w:rPr>
          <w:rFonts w:eastAsia="Times New Roman" w:cs="Times New Roman"/>
          <w:lang w:val="fr-CA"/>
        </w:rPr>
        <w:t xml:space="preserve"> (</w:t>
      </w:r>
      <w:r w:rsidRPr="00414E99">
        <w:rPr>
          <w:rFonts w:eastAsia="Times New Roman" w:cs="Times New Roman"/>
          <w:i/>
          <w:lang w:val="fr-CA"/>
        </w:rPr>
        <w:t>LFI</w:t>
      </w:r>
      <w:r w:rsidRPr="00414E99">
        <w:rPr>
          <w:rFonts w:eastAsia="Times New Roman" w:cs="Times New Roman"/>
          <w:lang w:val="fr-CA"/>
        </w:rPr>
        <w:t xml:space="preserve">, par. 67(1)). Pour les besoins </w:t>
      </w:r>
      <w:r w:rsidRPr="00414E99">
        <w:rPr>
          <w:rFonts w:eastAsia="Times New Roman" w:cs="Times New Roman"/>
          <w:lang w:val="fr-CA"/>
        </w:rPr>
        <w:lastRenderedPageBreak/>
        <w:t xml:space="preserve">du régime de liquidation prévu par la </w:t>
      </w:r>
      <w:r w:rsidRPr="00414E99">
        <w:rPr>
          <w:rFonts w:eastAsia="Times New Roman" w:cs="Times New Roman"/>
          <w:i/>
          <w:lang w:val="fr-CA"/>
        </w:rPr>
        <w:t>LFI</w:t>
      </w:r>
      <w:r w:rsidRPr="00414E99">
        <w:rPr>
          <w:rFonts w:eastAsia="Times New Roman" w:cs="Times New Roman"/>
          <w:lang w:val="fr-CA"/>
        </w:rPr>
        <w:t xml:space="preserve">, ce sont effectivement des </w:t>
      </w:r>
      <w:r w:rsidRPr="00414E99">
        <w:rPr>
          <w:rFonts w:eastAsia="Times New Roman" w:cs="Times New Roman"/>
          <w:i/>
          <w:lang w:val="fr-CA"/>
        </w:rPr>
        <w:t>biens</w:t>
      </w:r>
      <w:r w:rsidRPr="00414E99">
        <w:rPr>
          <w:rFonts w:eastAsia="Times New Roman" w:cs="Times New Roman"/>
          <w:lang w:val="fr-CA"/>
        </w:rPr>
        <w:t xml:space="preserve"> de la Couronne. Ensemble, l’al. 67(1)a) et le par. 67(3) déterminent la teneur du droit de bénéficiaire de la Couronne prévu au par. 227(4.1) de la </w:t>
      </w:r>
      <w:r w:rsidRPr="00414E99">
        <w:rPr>
          <w:rFonts w:eastAsia="Times New Roman" w:cs="Times New Roman"/>
          <w:i/>
          <w:lang w:val="fr-CA"/>
        </w:rPr>
        <w:t>LIR</w:t>
      </w:r>
      <w:r w:rsidRPr="00414E99">
        <w:rPr>
          <w:rFonts w:eastAsia="Times New Roman" w:cs="Times New Roman"/>
          <w:lang w:val="fr-CA"/>
        </w:rPr>
        <w:t> :</w:t>
      </w:r>
      <w:r w:rsidRPr="00414E99">
        <w:rPr>
          <w:rFonts w:cs="Times New Roman"/>
          <w:lang w:val="fr-CA"/>
        </w:rPr>
        <w:t xml:space="preserve"> le montant des retenues à la source non versées</w:t>
      </w:r>
      <w:r w:rsidRPr="00414E99">
        <w:rPr>
          <w:rFonts w:eastAsia="Times New Roman" w:cs="Times New Roman"/>
          <w:lang w:val="fr-CA"/>
        </w:rPr>
        <w:t xml:space="preserve"> est soustrait des fonds qui sont distribués aux créanciers dans le cadre d’une liquidation sous le régime de la </w:t>
      </w:r>
      <w:r w:rsidRPr="00414E99">
        <w:rPr>
          <w:rFonts w:eastAsia="Times New Roman" w:cs="Times New Roman"/>
          <w:i/>
          <w:lang w:val="fr-CA"/>
        </w:rPr>
        <w:t>LFI</w:t>
      </w:r>
      <w:r w:rsidRPr="00414E99">
        <w:rPr>
          <w:rFonts w:eastAsia="Times New Roman" w:cs="Times New Roman"/>
          <w:lang w:val="fr-CA"/>
        </w:rPr>
        <w:t>.</w:t>
      </w:r>
    </w:p>
    <w:p w:rsidR="00344043" w:rsidRPr="00414E99" w:rsidRDefault="00344043" w:rsidP="00344043">
      <w:pPr>
        <w:pStyle w:val="ParaNoNdepar-AltN"/>
        <w:spacing w:before="0"/>
        <w:rPr>
          <w:rFonts w:cs="Times New Roman"/>
          <w:lang w:val="fr-CA"/>
        </w:rPr>
      </w:pPr>
      <w:r w:rsidRPr="00414E99">
        <w:rPr>
          <w:rFonts w:eastAsia="Times New Roman" w:cs="Times New Roman"/>
          <w:lang w:val="fr-CA"/>
        </w:rPr>
        <w:t xml:space="preserve">Dans la </w:t>
      </w:r>
      <w:r w:rsidRPr="00414E99">
        <w:rPr>
          <w:rFonts w:eastAsia="Times New Roman" w:cs="Times New Roman"/>
          <w:i/>
          <w:lang w:val="fr-CA"/>
        </w:rPr>
        <w:t>LACC</w:t>
      </w:r>
      <w:r w:rsidRPr="00414E99">
        <w:rPr>
          <w:rFonts w:eastAsia="Times New Roman" w:cs="Times New Roman"/>
          <w:lang w:val="fr-CA"/>
        </w:rPr>
        <w:t>, il est question de la fiducie réputée de la Couronne aux par. 37(2) et 6(3), qui traitent également d’autres fiducies réputées et d’autres mécanismes. Le paragraphe 37(2) protège explicitement l’application du par. </w:t>
      </w:r>
      <w:r w:rsidRPr="00414E99">
        <w:rPr>
          <w:rFonts w:cs="Times New Roman"/>
          <w:lang w:val="fr-CA"/>
        </w:rPr>
        <w:t xml:space="preserve">227(4.1) dans le cadre de procédures engagées sous le régime de la </w:t>
      </w:r>
      <w:r w:rsidRPr="00414E99">
        <w:rPr>
          <w:rFonts w:cs="Times New Roman"/>
          <w:i/>
          <w:lang w:val="fr-CA"/>
        </w:rPr>
        <w:t>LACC</w:t>
      </w:r>
      <w:r w:rsidRPr="00414E99">
        <w:rPr>
          <w:rFonts w:cs="Times New Roman"/>
          <w:lang w:val="fr-CA"/>
        </w:rPr>
        <w:t> :</w:t>
      </w:r>
    </w:p>
    <w:p w:rsidR="00344043" w:rsidRPr="00414E99" w:rsidRDefault="00344043" w:rsidP="00344043">
      <w:pPr>
        <w:pStyle w:val="Citation-AltC"/>
        <w:spacing w:after="240"/>
        <w:ind w:hanging="446"/>
        <w:contextualSpacing w:val="0"/>
        <w:rPr>
          <w:lang w:val="fr-CA"/>
        </w:rPr>
      </w:pPr>
      <w:r w:rsidRPr="00414E99">
        <w:rPr>
          <w:rStyle w:val="sectionlabel"/>
          <w:lang w:val="fr-CA"/>
        </w:rPr>
        <w:tab/>
        <w:t>37</w:t>
      </w:r>
      <w:r w:rsidRPr="00414E99">
        <w:rPr>
          <w:lang w:val="fr-CA"/>
        </w:rPr>
        <w:t> </w:t>
      </w:r>
      <w:r w:rsidRPr="00414E99">
        <w:rPr>
          <w:rStyle w:val="lawlabel"/>
          <w:rFonts w:eastAsiaTheme="minorHAnsi"/>
          <w:b/>
          <w:bCs/>
          <w:lang w:val="fr-CA"/>
        </w:rPr>
        <w:t>(1)</w:t>
      </w:r>
      <w:r w:rsidRPr="00414E99">
        <w:rPr>
          <w:lang w:val="fr-CA"/>
        </w:rPr>
        <w:t> Sous réserve du paragraphe (2) et par dérogation à toute disposition législative fédérale ou provinciale ayant pour effet d’assimiler certains biens à des biens détenus en fiducie pour Sa Majesté, aucun des biens de la compagnie débitrice ne peut être considéré comme tel par le seul effet d’une telle disposition.</w:t>
      </w:r>
    </w:p>
    <w:p w:rsidR="00344043" w:rsidRPr="00414E99" w:rsidRDefault="00344043" w:rsidP="00344043">
      <w:pPr>
        <w:pStyle w:val="Citation-AltC"/>
        <w:spacing w:after="240"/>
        <w:ind w:hanging="446"/>
        <w:contextualSpacing w:val="0"/>
        <w:rPr>
          <w:lang w:val="fr-CA"/>
        </w:rPr>
      </w:pPr>
      <w:r w:rsidRPr="00414E99">
        <w:rPr>
          <w:rStyle w:val="lawlabel"/>
          <w:rFonts w:eastAsiaTheme="minorHAnsi"/>
          <w:b/>
          <w:bCs/>
          <w:lang w:val="fr-CA"/>
        </w:rPr>
        <w:tab/>
        <w:t>(2)</w:t>
      </w:r>
      <w:r w:rsidRPr="00414E99">
        <w:rPr>
          <w:lang w:val="fr-CA"/>
        </w:rPr>
        <w:t xml:space="preserve"> Le paragraphe (1) ne s’applique pas à l’égard des sommes réputées détenues en fiducie aux termes des paragraphes 227(4) ou (4.1) de la </w:t>
      </w:r>
      <w:r w:rsidRPr="00414E99">
        <w:rPr>
          <w:i/>
          <w:lang w:val="fr-CA"/>
        </w:rPr>
        <w:t>Loi de l’impôt sur le revenu</w:t>
      </w:r>
      <w:r w:rsidRPr="00414E99">
        <w:rPr>
          <w:lang w:val="fr-CA"/>
        </w:rPr>
        <w:t xml:space="preserve">, des paragraphes 23(3) ou (4) du </w:t>
      </w:r>
      <w:r w:rsidRPr="00414E99">
        <w:rPr>
          <w:i/>
          <w:lang w:val="fr-CA"/>
        </w:rPr>
        <w:t>Régime de pensions du Canada</w:t>
      </w:r>
      <w:r w:rsidRPr="00414E99">
        <w:rPr>
          <w:lang w:val="fr-CA"/>
        </w:rPr>
        <w:t xml:space="preserve"> ou des paragraphes 86(2) ou (2.1) de la </w:t>
      </w:r>
      <w:r w:rsidRPr="00414E99">
        <w:rPr>
          <w:i/>
          <w:lang w:val="fr-CA"/>
        </w:rPr>
        <w:t>Loi sur l’assurance-emploi</w:t>
      </w:r>
      <w:r w:rsidRPr="00414E99">
        <w:rPr>
          <w:lang w:val="fr-CA"/>
        </w:rPr>
        <w:t xml:space="preserve"> (chacun étant appelé « disposition fédérale » au présent paragraphe) ou à l’égard des sommes réputées détenues en fiducie aux termes de toute loi d’une province créant une fiducie présumée dans le seul but d’assurer à Sa Majesté du chef de cette province la remise de sommes déduites ou retenues aux termes d’une loi de cette province, si, dans ce dernier cas, se réalise l’une des conditions suivantes :</w:t>
      </w:r>
    </w:p>
    <w:p w:rsidR="00344043" w:rsidRPr="00414E99" w:rsidRDefault="00344043" w:rsidP="00344043">
      <w:pPr>
        <w:pStyle w:val="Citation-AltC"/>
        <w:spacing w:after="240"/>
        <w:ind w:left="2160" w:hanging="360"/>
        <w:contextualSpacing w:val="0"/>
        <w:rPr>
          <w:lang w:val="fr-CA"/>
        </w:rPr>
      </w:pPr>
      <w:r w:rsidRPr="00414E99">
        <w:rPr>
          <w:rStyle w:val="lawlabel"/>
          <w:rFonts w:eastAsiaTheme="minorHAnsi"/>
          <w:b/>
          <w:bCs/>
          <w:lang w:val="fr-CA"/>
        </w:rPr>
        <w:tab/>
        <w:t>a)</w:t>
      </w:r>
      <w:r w:rsidRPr="00414E99">
        <w:rPr>
          <w:lang w:val="fr-CA"/>
        </w:rPr>
        <w:t xml:space="preserve"> la loi de cette province prévoit un impôt semblable, de par sa nature, à celui prévu par la </w:t>
      </w:r>
      <w:r w:rsidRPr="00414E99">
        <w:rPr>
          <w:i/>
          <w:lang w:val="fr-CA"/>
        </w:rPr>
        <w:t>Loi de l’impôt sur le revenu</w:t>
      </w:r>
      <w:r w:rsidRPr="00414E99">
        <w:rPr>
          <w:lang w:val="fr-CA"/>
        </w:rPr>
        <w:t xml:space="preserve">, et les sommes déduites ou retenues au titre de cette loi provinciale sont de même nature que celles visées aux paragraphes 227(4) ou (4.1) de la </w:t>
      </w:r>
      <w:r w:rsidRPr="00414E99">
        <w:rPr>
          <w:i/>
          <w:lang w:val="fr-CA"/>
        </w:rPr>
        <w:t>Loi de l’impôt sur le revenu</w:t>
      </w:r>
      <w:r w:rsidRPr="00414E99">
        <w:rPr>
          <w:lang w:val="fr-CA"/>
        </w:rPr>
        <w:t>;</w:t>
      </w:r>
    </w:p>
    <w:p w:rsidR="00344043" w:rsidRPr="00414E99" w:rsidRDefault="00344043" w:rsidP="00344043">
      <w:pPr>
        <w:pStyle w:val="Citation-AltC"/>
        <w:spacing w:after="240"/>
        <w:ind w:left="2160" w:hanging="360"/>
        <w:contextualSpacing w:val="0"/>
        <w:rPr>
          <w:lang w:val="fr-CA"/>
        </w:rPr>
      </w:pPr>
      <w:r w:rsidRPr="00414E99">
        <w:rPr>
          <w:rStyle w:val="lawlabel"/>
          <w:rFonts w:eastAsiaTheme="minorHAnsi"/>
          <w:b/>
          <w:bCs/>
          <w:lang w:val="fr-CA"/>
        </w:rPr>
        <w:tab/>
        <w:t>b)</w:t>
      </w:r>
      <w:r w:rsidRPr="00414E99">
        <w:rPr>
          <w:lang w:val="fr-CA"/>
        </w:rPr>
        <w:t xml:space="preserve"> cette province est une </w:t>
      </w:r>
      <w:r w:rsidRPr="00414E99">
        <w:rPr>
          <w:i/>
          <w:lang w:val="fr-CA"/>
        </w:rPr>
        <w:t>province instituant un régime général de pensions</w:t>
      </w:r>
      <w:r w:rsidRPr="00414E99">
        <w:rPr>
          <w:lang w:val="fr-CA"/>
        </w:rPr>
        <w:t xml:space="preserve"> au sens du paragraphe 3(1) du </w:t>
      </w:r>
      <w:r w:rsidRPr="00414E99">
        <w:rPr>
          <w:i/>
          <w:lang w:val="fr-CA"/>
        </w:rPr>
        <w:t xml:space="preserve">Régime de pensions </w:t>
      </w:r>
      <w:r w:rsidRPr="00414E99">
        <w:rPr>
          <w:i/>
          <w:lang w:val="fr-CA"/>
        </w:rPr>
        <w:lastRenderedPageBreak/>
        <w:t>du Canada</w:t>
      </w:r>
      <w:r w:rsidRPr="00414E99">
        <w:rPr>
          <w:lang w:val="fr-CA"/>
        </w:rPr>
        <w:t xml:space="preserve">, la loi de cette province institue un </w:t>
      </w:r>
      <w:r w:rsidRPr="00414E99">
        <w:rPr>
          <w:i/>
          <w:lang w:val="fr-CA"/>
        </w:rPr>
        <w:t>régime provincial de pensions</w:t>
      </w:r>
      <w:r w:rsidRPr="00414E99">
        <w:rPr>
          <w:lang w:val="fr-CA"/>
        </w:rPr>
        <w:t xml:space="preserve"> au sens de ce paragraphe, et les sommes déduites ou retenues au titre de cette loi provinciale sont de même nature que celles visées aux paragraphes 23(3) ou (4) du </w:t>
      </w:r>
      <w:r w:rsidRPr="00414E99">
        <w:rPr>
          <w:i/>
          <w:lang w:val="fr-CA"/>
        </w:rPr>
        <w:t>Régime de pensions du Canada</w:t>
      </w:r>
      <w:r w:rsidRPr="00414E99">
        <w:rPr>
          <w:lang w:val="fr-CA"/>
        </w:rPr>
        <w:t>.</w:t>
      </w:r>
    </w:p>
    <w:p w:rsidR="00344043" w:rsidRPr="00414E99" w:rsidRDefault="00344043" w:rsidP="00344043">
      <w:pPr>
        <w:pStyle w:val="Citation-AltC"/>
        <w:ind w:hanging="446"/>
        <w:contextualSpacing w:val="0"/>
        <w:rPr>
          <w:lang w:val="fr-CA"/>
        </w:rPr>
      </w:pPr>
      <w:r w:rsidRPr="00414E99">
        <w:rPr>
          <w:lang w:val="fr-CA"/>
        </w:rPr>
        <w:tab/>
        <w:t>Pour l’application du présent paragraphe, toute disposition de la loi provinciale qui crée une fiducie présumée est réputée avoir, à l’encontre de tout créancier de la compagnie et malgré tout texte législatif fédéral ou provincial et toute règle de droit, la même portée et le même effet que la disposition fédérale correspondante, quelle que soit la garantie dont bénéficie le créancier.</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Compte tenu de ce libellé, la Cour, dans l’arrêt </w:t>
      </w:r>
      <w:r w:rsidRPr="00414E99">
        <w:rPr>
          <w:rFonts w:cs="Times New Roman"/>
          <w:i/>
          <w:lang w:val="fr-CA"/>
        </w:rPr>
        <w:t>Century Services</w:t>
      </w:r>
      <w:r w:rsidRPr="00414E99">
        <w:rPr>
          <w:rFonts w:cs="Times New Roman"/>
          <w:lang w:val="fr-CA"/>
        </w:rPr>
        <w:t xml:space="preserve">, a notamment dit des fiducies établies en application du par. 227(4.1) qu’elles « survivent » et qu’elles « continuent de s’appliquer » sous le régime de la </w:t>
      </w:r>
      <w:r w:rsidRPr="00414E99">
        <w:rPr>
          <w:rFonts w:cs="Times New Roman"/>
          <w:i/>
          <w:lang w:val="fr-CA"/>
        </w:rPr>
        <w:t>LACC</w:t>
      </w:r>
      <w:r w:rsidRPr="00414E99">
        <w:rPr>
          <w:rFonts w:cs="Times New Roman"/>
          <w:lang w:val="fr-CA"/>
        </w:rPr>
        <w:t xml:space="preserve"> (voir les par. 38, 45, 49, 53 et 79). La Couronne s’appuie sur ces observations pour faire valoir que la fiducie réputée demeure parfaitement intacte sous le régime de la </w:t>
      </w:r>
      <w:r w:rsidRPr="00414E99">
        <w:rPr>
          <w:rFonts w:cs="Times New Roman"/>
          <w:i/>
          <w:lang w:val="fr-CA"/>
        </w:rPr>
        <w:t>LACC</w:t>
      </w:r>
      <w:r w:rsidRPr="00414E99">
        <w:rPr>
          <w:rFonts w:cs="Times New Roman"/>
          <w:lang w:val="fr-CA"/>
        </w:rPr>
        <w:t>, ce qui lui confère un droit propriétal ne pouvant être subordonné à aucun autre droit.</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À mon avis, la prétention de la Couronne déborde l’analyse faite dans l’arrêt </w:t>
      </w:r>
      <w:r w:rsidRPr="00414E99">
        <w:rPr>
          <w:rFonts w:cs="Times New Roman"/>
          <w:i/>
          <w:lang w:val="fr-CA"/>
        </w:rPr>
        <w:t>Century Services</w:t>
      </w:r>
      <w:r w:rsidRPr="00414E99">
        <w:rPr>
          <w:rFonts w:cs="Times New Roman"/>
          <w:lang w:val="fr-CA"/>
        </w:rPr>
        <w:t xml:space="preserve">. Dans cette affaire, la question en litige était celle de savoir si la fiducie réputée créée en vertu du par. 222(3) de la </w:t>
      </w:r>
      <w:r w:rsidRPr="00414E99">
        <w:rPr>
          <w:rFonts w:cs="Times New Roman"/>
          <w:i/>
          <w:lang w:val="fr-CA"/>
        </w:rPr>
        <w:t>LTA</w:t>
      </w:r>
      <w:r w:rsidRPr="00414E99">
        <w:rPr>
          <w:rFonts w:cs="Times New Roman"/>
          <w:lang w:val="fr-CA"/>
        </w:rPr>
        <w:t xml:space="preserve"> à l’égard de la TPS non versée s’appliquait sous le régime de la </w:t>
      </w:r>
      <w:r w:rsidRPr="00414E99">
        <w:rPr>
          <w:rFonts w:cs="Times New Roman"/>
          <w:i/>
          <w:lang w:val="fr-CA"/>
        </w:rPr>
        <w:t>LACC</w:t>
      </w:r>
      <w:r w:rsidRPr="00414E99">
        <w:rPr>
          <w:rFonts w:cs="Times New Roman"/>
          <w:lang w:val="fr-CA"/>
        </w:rPr>
        <w:t xml:space="preserve">. Comme je l’ai mentionné, le libellé du par. 222(3), quasi identique à celui du par. 227(4.1) de la </w:t>
      </w:r>
      <w:r w:rsidRPr="00414E99">
        <w:rPr>
          <w:rFonts w:cs="Times New Roman"/>
          <w:i/>
          <w:lang w:val="fr-CA"/>
        </w:rPr>
        <w:t>LIR</w:t>
      </w:r>
      <w:r w:rsidRPr="00414E99">
        <w:rPr>
          <w:rFonts w:cs="Times New Roman"/>
          <w:lang w:val="fr-CA"/>
        </w:rPr>
        <w:t xml:space="preserve">, prévoit que la fiducie réputée s’étend aux biens du débiteur fiscal jusqu’à concurrence du montant de la TPS non versée et aux biens détenus, par ailleurs, par un créancier garanti en vertu d’une garantie. Le paragraphe 222(3) de la </w:t>
      </w:r>
      <w:r w:rsidRPr="00414E99">
        <w:rPr>
          <w:rFonts w:cs="Times New Roman"/>
          <w:i/>
          <w:lang w:val="fr-CA"/>
        </w:rPr>
        <w:t>LTA</w:t>
      </w:r>
      <w:r w:rsidRPr="00414E99">
        <w:rPr>
          <w:rFonts w:cs="Times New Roman"/>
          <w:lang w:val="fr-CA"/>
        </w:rPr>
        <w:t xml:space="preserve"> prévoit également que la fiducie réputée s’applique malgré tout autre texte législatif fédéral, sauf la </w:t>
      </w:r>
      <w:r w:rsidRPr="00414E99">
        <w:rPr>
          <w:rFonts w:cs="Times New Roman"/>
          <w:i/>
          <w:lang w:val="fr-CA"/>
        </w:rPr>
        <w:t>LFI</w:t>
      </w:r>
      <w:r w:rsidRPr="00414E99">
        <w:rPr>
          <w:rFonts w:cs="Times New Roman"/>
          <w:lang w:val="fr-CA"/>
        </w:rPr>
        <w:t xml:space="preserve">. Par conséquent, sous </w:t>
      </w:r>
      <w:r w:rsidRPr="00414E99">
        <w:rPr>
          <w:rFonts w:cs="Times New Roman"/>
          <w:lang w:val="fr-CA"/>
        </w:rPr>
        <w:lastRenderedPageBreak/>
        <w:t xml:space="preserve">le régime de la </w:t>
      </w:r>
      <w:r w:rsidRPr="00414E99">
        <w:rPr>
          <w:rFonts w:cs="Times New Roman"/>
          <w:i/>
          <w:lang w:val="fr-CA"/>
        </w:rPr>
        <w:t>LFI</w:t>
      </w:r>
      <w:r w:rsidRPr="00414E99">
        <w:rPr>
          <w:rFonts w:cs="Times New Roman"/>
          <w:lang w:val="fr-CA"/>
        </w:rPr>
        <w:t xml:space="preserve">, la priorité de la Couronne à l’égard de la TPS non versée n’existe plus. Cependant, sous le régime de la </w:t>
      </w:r>
      <w:r w:rsidRPr="00414E99">
        <w:rPr>
          <w:rFonts w:cs="Times New Roman"/>
          <w:i/>
          <w:lang w:val="fr-CA"/>
        </w:rPr>
        <w:t>LACC</w:t>
      </w:r>
      <w:r w:rsidRPr="00414E99">
        <w:rPr>
          <w:rFonts w:cs="Times New Roman"/>
          <w:lang w:val="fr-CA"/>
        </w:rPr>
        <w:t xml:space="preserve">, le par. 37(1) prévoit que les fiducies réputées établies par la loi en faveur de la Couronne ne devraient pas être considérées comme des fiducies à moins qu’elles le soient </w:t>
      </w:r>
      <w:r w:rsidRPr="00414E99">
        <w:rPr>
          <w:rFonts w:eastAsia="Times New Roman" w:cs="Times New Roman"/>
          <w:lang w:val="fr-CA"/>
        </w:rPr>
        <w:t>en l’absence des dispositions déterminatives</w:t>
      </w:r>
      <w:r w:rsidRPr="00414E99">
        <w:rPr>
          <w:rFonts w:cs="Times New Roman"/>
          <w:lang w:val="fr-CA"/>
        </w:rPr>
        <w:t xml:space="preserve">. Dans l’arrêt </w:t>
      </w:r>
      <w:r w:rsidRPr="00414E99">
        <w:rPr>
          <w:rFonts w:cs="Times New Roman"/>
          <w:i/>
          <w:lang w:val="fr-CA"/>
        </w:rPr>
        <w:t>Century Services</w:t>
      </w:r>
      <w:r w:rsidRPr="00414E99">
        <w:rPr>
          <w:rFonts w:cs="Times New Roman"/>
          <w:lang w:val="fr-CA"/>
        </w:rPr>
        <w:t xml:space="preserve">, la Cour s’est attaquée au conflit apparent entre le par. 222(3) de la </w:t>
      </w:r>
      <w:r w:rsidRPr="00414E99">
        <w:rPr>
          <w:rFonts w:cs="Times New Roman"/>
          <w:i/>
          <w:lang w:val="fr-CA"/>
        </w:rPr>
        <w:t>LTA</w:t>
      </w:r>
      <w:r w:rsidRPr="00414E99">
        <w:rPr>
          <w:rFonts w:cs="Times New Roman"/>
          <w:lang w:val="fr-CA"/>
        </w:rPr>
        <w:t xml:space="preserve"> et le par. 37(1) (alors le par. 18.3(1)) de la </w:t>
      </w:r>
      <w:r w:rsidRPr="00414E99">
        <w:rPr>
          <w:rFonts w:cs="Times New Roman"/>
          <w:i/>
          <w:lang w:val="fr-CA"/>
        </w:rPr>
        <w:t>LACC</w:t>
      </w:r>
      <w:r w:rsidRPr="00414E99">
        <w:rPr>
          <w:rFonts w:cs="Times New Roman"/>
          <w:lang w:val="fr-CA"/>
        </w:rPr>
        <w:t>.</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À la majorité, la Cour a estimé, par une interprétation législative, que le conflit apparent pouvait être résolu en faveur de la </w:t>
      </w:r>
      <w:r w:rsidRPr="00414E99">
        <w:rPr>
          <w:rFonts w:cs="Times New Roman"/>
          <w:i/>
          <w:lang w:val="fr-CA"/>
        </w:rPr>
        <w:t>LACC</w:t>
      </w:r>
      <w:r w:rsidRPr="00414E99">
        <w:rPr>
          <w:rFonts w:cs="Times New Roman"/>
          <w:lang w:val="fr-CA"/>
        </w:rPr>
        <w:t xml:space="preserve"> (</w:t>
      </w:r>
      <w:r w:rsidRPr="00414E99">
        <w:rPr>
          <w:rFonts w:cs="Times New Roman"/>
          <w:i/>
          <w:lang w:val="fr-CA"/>
        </w:rPr>
        <w:t>Century Services</w:t>
      </w:r>
      <w:r w:rsidRPr="00414E99">
        <w:rPr>
          <w:rFonts w:cs="Times New Roman"/>
          <w:lang w:val="fr-CA"/>
        </w:rPr>
        <w:t xml:space="preserve">, par. 44). Le législateur avait tendance à ne pas faire valoir la priorité accordée à la Couronne en situation d’insolvabilité. À la fois dans la </w:t>
      </w:r>
      <w:r w:rsidRPr="00414E99">
        <w:rPr>
          <w:rFonts w:cs="Times New Roman"/>
          <w:i/>
          <w:lang w:val="fr-CA"/>
        </w:rPr>
        <w:t>LFI</w:t>
      </w:r>
      <w:r w:rsidRPr="00414E99">
        <w:rPr>
          <w:rFonts w:cs="Times New Roman"/>
          <w:lang w:val="fr-CA"/>
        </w:rPr>
        <w:t xml:space="preserve"> et dans la </w:t>
      </w:r>
      <w:r w:rsidRPr="00414E99">
        <w:rPr>
          <w:rFonts w:cs="Times New Roman"/>
          <w:i/>
          <w:lang w:val="fr-CA"/>
        </w:rPr>
        <w:t>LACC</w:t>
      </w:r>
      <w:r w:rsidRPr="00414E99">
        <w:rPr>
          <w:rFonts w:cs="Times New Roman"/>
          <w:lang w:val="fr-CA"/>
        </w:rPr>
        <w:t xml:space="preserve">, il avait adopté une règle générale selon laquelle les fiducies réputées créées en faveur de la Couronne ne s’appliquaient pas en situation d’insolvabilité. Il avait aussi explicitement établi une exception à cette règle générale pour les retenues à la source non versées. La logique de la </w:t>
      </w:r>
      <w:r w:rsidRPr="00414E99">
        <w:rPr>
          <w:rFonts w:cs="Times New Roman"/>
          <w:i/>
          <w:lang w:val="fr-CA"/>
        </w:rPr>
        <w:t>LACC</w:t>
      </w:r>
      <w:r w:rsidRPr="00414E99">
        <w:rPr>
          <w:rFonts w:cs="Times New Roman"/>
          <w:lang w:val="fr-CA"/>
        </w:rPr>
        <w:t xml:space="preserve"> tendait à indiquer que seules les fiducies réputées visant les retenues à la source non versées continuaient de produire leurs effets (par. 45</w:t>
      </w:r>
      <w:r w:rsidRPr="00414E99">
        <w:rPr>
          <w:rFonts w:cs="Times New Roman"/>
          <w:lang w:val="fr-CA"/>
        </w:rPr>
        <w:noBreakHyphen/>
        <w:t>46).</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Donc, si la Cour a souligné que la fiducie réputée prévue au par. 227(4.1) « survit » sous le régime de la </w:t>
      </w:r>
      <w:r w:rsidRPr="00414E99">
        <w:rPr>
          <w:rFonts w:cs="Times New Roman"/>
          <w:i/>
          <w:lang w:val="fr-CA"/>
        </w:rPr>
        <w:t>LACC</w:t>
      </w:r>
      <w:r w:rsidRPr="00414E99">
        <w:rPr>
          <w:rFonts w:cs="Times New Roman"/>
          <w:lang w:val="fr-CA"/>
        </w:rPr>
        <w:t xml:space="preserve">, elle n’a pas précisé </w:t>
      </w:r>
      <w:r w:rsidRPr="00414E99">
        <w:rPr>
          <w:rFonts w:cs="Times New Roman"/>
          <w:i/>
          <w:lang w:val="fr-CA"/>
        </w:rPr>
        <w:t>comment</w:t>
      </w:r>
      <w:r w:rsidRPr="00414E99">
        <w:rPr>
          <w:rFonts w:cs="Times New Roman"/>
          <w:lang w:val="fr-CA"/>
        </w:rPr>
        <w:t xml:space="preserve"> elle survit. Notre Cour n’a jamais examiné la portée de la fiducie réputée sous le régime de la </w:t>
      </w:r>
      <w:r w:rsidRPr="00414E99">
        <w:rPr>
          <w:rFonts w:cs="Times New Roman"/>
          <w:i/>
          <w:lang w:val="fr-CA"/>
        </w:rPr>
        <w:t>LACC</w:t>
      </w:r>
      <w:r w:rsidRPr="00414E99">
        <w:rPr>
          <w:rFonts w:cs="Times New Roman"/>
          <w:lang w:val="fr-CA"/>
        </w:rPr>
        <w:t xml:space="preserve">, plus particulièrement à la lumière des objectifs de la </w:t>
      </w:r>
      <w:r w:rsidRPr="00414E99">
        <w:rPr>
          <w:rFonts w:cs="Times New Roman"/>
          <w:i/>
          <w:lang w:val="fr-CA"/>
        </w:rPr>
        <w:t>LACC</w:t>
      </w:r>
      <w:r w:rsidRPr="00414E99">
        <w:rPr>
          <w:rFonts w:cs="Times New Roman"/>
          <w:lang w:val="fr-CA"/>
        </w:rPr>
        <w:t xml:space="preserve"> et de la nature équivoque du droit de bénéficiaire conféré au moyen de la disposition déterminative. Pour les besoins du présent pourvoi, il est nécessaire de se pencher sur les par. 37(2) et 6(3) pour </w:t>
      </w:r>
      <w:r w:rsidRPr="00414E99">
        <w:rPr>
          <w:rFonts w:cs="Times New Roman"/>
          <w:lang w:val="fr-CA"/>
        </w:rPr>
        <w:lastRenderedPageBreak/>
        <w:t xml:space="preserve">déterminer </w:t>
      </w:r>
      <w:r w:rsidRPr="00414E99">
        <w:rPr>
          <w:rFonts w:cs="Times New Roman"/>
          <w:i/>
          <w:lang w:val="fr-CA"/>
        </w:rPr>
        <w:t>de quelle façon</w:t>
      </w:r>
      <w:r w:rsidRPr="00414E99">
        <w:rPr>
          <w:rFonts w:cs="Times New Roman"/>
          <w:lang w:val="fr-CA"/>
        </w:rPr>
        <w:t xml:space="preserve"> la </w:t>
      </w:r>
      <w:r w:rsidRPr="00414E99">
        <w:rPr>
          <w:rFonts w:cs="Times New Roman"/>
          <w:i/>
          <w:lang w:val="fr-CA"/>
        </w:rPr>
        <w:t>LACC</w:t>
      </w:r>
      <w:r w:rsidRPr="00414E99">
        <w:rPr>
          <w:rFonts w:cs="Times New Roman"/>
          <w:lang w:val="fr-CA"/>
        </w:rPr>
        <w:t xml:space="preserve"> interprète le droit de la Couronne sur les retenues à la source non versées.</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À cette fin, bien que le par. 37(2) de la </w:t>
      </w:r>
      <w:r w:rsidRPr="00414E99">
        <w:rPr>
          <w:rFonts w:cs="Times New Roman"/>
          <w:i/>
          <w:lang w:val="fr-CA"/>
        </w:rPr>
        <w:t>LACC</w:t>
      </w:r>
      <w:r w:rsidRPr="00414E99">
        <w:rPr>
          <w:rFonts w:cs="Times New Roman"/>
          <w:lang w:val="fr-CA"/>
        </w:rPr>
        <w:t xml:space="preserve"> soit quasi identique au par. 67(3) de la </w:t>
      </w:r>
      <w:r w:rsidRPr="00414E99">
        <w:rPr>
          <w:rFonts w:cs="Times New Roman"/>
          <w:i/>
          <w:lang w:val="fr-CA"/>
        </w:rPr>
        <w:t>LFI</w:t>
      </w:r>
      <w:r w:rsidRPr="00414E99">
        <w:rPr>
          <w:rFonts w:cs="Times New Roman"/>
          <w:lang w:val="fr-CA"/>
        </w:rPr>
        <w:t xml:space="preserve">, il n’a pas le même effet puisqu’il n’est pas subordonné à une disposition comme l’al. 67(1)a). Le paragraphe 37(2) de la </w:t>
      </w:r>
      <w:r w:rsidRPr="00414E99">
        <w:rPr>
          <w:rFonts w:cs="Times New Roman"/>
          <w:i/>
          <w:lang w:val="fr-CA"/>
        </w:rPr>
        <w:t>LACC</w:t>
      </w:r>
      <w:r w:rsidRPr="00414E99">
        <w:rPr>
          <w:rFonts w:cs="Times New Roman"/>
          <w:lang w:val="fr-CA"/>
        </w:rPr>
        <w:t xml:space="preserve"> établit une exception au par. 37(1), une disposition différente de l’al. 67(1)a). Alors que cet alinéa exclut les biens de la fiducie du patrimoine d’un failli, constituant le patrimoine attribué à ses créanciers, le par. 37(1) prévoit seulement qu’« aucun des biens de la compagnie débitrice ne peut être considéré comme [un bien détenu en fiducie pour Sa Majesté] par le seul effet d’une telle disposition ». Contrairement à la </w:t>
      </w:r>
      <w:r w:rsidRPr="00414E99">
        <w:rPr>
          <w:rFonts w:cs="Times New Roman"/>
          <w:i/>
          <w:lang w:val="fr-CA"/>
        </w:rPr>
        <w:t>LFI</w:t>
      </w:r>
      <w:r w:rsidRPr="00414E99">
        <w:rPr>
          <w:rFonts w:cs="Times New Roman"/>
          <w:lang w:val="fr-CA"/>
        </w:rPr>
        <w:t xml:space="preserve">, la </w:t>
      </w:r>
      <w:r w:rsidRPr="00414E99">
        <w:rPr>
          <w:rFonts w:cs="Times New Roman"/>
          <w:i/>
          <w:lang w:val="fr-CA"/>
        </w:rPr>
        <w:t>LACC</w:t>
      </w:r>
      <w:r w:rsidRPr="00414E99">
        <w:rPr>
          <w:rFonts w:cs="Times New Roman"/>
          <w:lang w:val="fr-CA"/>
        </w:rPr>
        <w:t xml:space="preserve"> est muette à propos de la façon dont les biens de la fiducie devraient être traités de même qu’au sujet de ce qui fait partie des biens du débiteur dans un contexte de restructuration. En effet, la </w:t>
      </w:r>
      <w:r w:rsidRPr="00414E99">
        <w:rPr>
          <w:rFonts w:cs="Times New Roman"/>
          <w:i/>
          <w:lang w:val="fr-CA"/>
        </w:rPr>
        <w:t>LACC</w:t>
      </w:r>
      <w:r w:rsidRPr="00414E99">
        <w:rPr>
          <w:rFonts w:cs="Times New Roman"/>
          <w:lang w:val="fr-CA"/>
        </w:rPr>
        <w:t xml:space="preserve"> ne contient aucune définition du terme « bien », ce qui est conforme à sa nature plutôt schématique.</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Ainsi, le par. 37(2) prévoit que la Couronne conserve un droit de bénéficiaire sur les biens du débiteur jusqu’à concurrence du montant des retenues à la source non versées, lesquelles sont « assimil[ées] </w:t>
      </w:r>
      <w:r>
        <w:rPr>
          <w:rFonts w:cs="Times New Roman"/>
          <w:lang w:val="fr-CA"/>
        </w:rPr>
        <w:t>[. . .</w:t>
      </w:r>
      <w:r w:rsidRPr="00414E99">
        <w:rPr>
          <w:rFonts w:cs="Times New Roman"/>
          <w:lang w:val="fr-CA"/>
        </w:rPr>
        <w:t>]</w:t>
      </w:r>
      <w:r>
        <w:rPr>
          <w:rFonts w:cs="Times New Roman"/>
          <w:lang w:val="fr-CA"/>
        </w:rPr>
        <w:t xml:space="preserve"> </w:t>
      </w:r>
      <w:r w:rsidRPr="00414E99">
        <w:rPr>
          <w:rFonts w:cs="Times New Roman"/>
          <w:lang w:val="fr-CA"/>
        </w:rPr>
        <w:t xml:space="preserve">à des biens détenus en fiducie pour Sa Majesté ». Toutefois, bien que cela indique que, contrairement aux fiducies réputées visées par le par. 37(1), la fiducie réputée de la Couronne est maintenue et confère un droit plus fort, le par. 37(2) n’explique pas quoi faire de ce droit dans le cadre d’une procédure engagée sous le régime de la </w:t>
      </w:r>
      <w:r w:rsidRPr="00414E99">
        <w:rPr>
          <w:rFonts w:cs="Times New Roman"/>
          <w:i/>
          <w:lang w:val="fr-CA"/>
        </w:rPr>
        <w:t>LACC</w:t>
      </w:r>
      <w:r w:rsidRPr="00414E99">
        <w:rPr>
          <w:rFonts w:cs="Times New Roman"/>
          <w:lang w:val="fr-CA"/>
        </w:rPr>
        <w:t xml:space="preserve">. Il ne prévoit pas, par </w:t>
      </w:r>
      <w:r w:rsidRPr="00414E99">
        <w:rPr>
          <w:rFonts w:cs="Times New Roman"/>
          <w:lang w:val="fr-CA"/>
        </w:rPr>
        <w:lastRenderedPageBreak/>
        <w:t xml:space="preserve">exemple, que les biens de la fiducie devraient être écartés, comme ce serait le cas dans le contexte de la </w:t>
      </w:r>
      <w:r w:rsidRPr="00414E99">
        <w:rPr>
          <w:rFonts w:cs="Times New Roman"/>
          <w:i/>
          <w:lang w:val="fr-CA"/>
        </w:rPr>
        <w:t>LFI</w:t>
      </w:r>
      <w:r w:rsidRPr="00414E99">
        <w:rPr>
          <w:rFonts w:cs="Times New Roman"/>
          <w:lang w:val="fr-CA"/>
        </w:rPr>
        <w:t xml:space="preserve">. Conformément à la souplesse qui caractérise la </w:t>
      </w:r>
      <w:r w:rsidRPr="00414E99">
        <w:rPr>
          <w:rFonts w:cs="Times New Roman"/>
          <w:i/>
          <w:iCs/>
          <w:lang w:val="fr-CA"/>
        </w:rPr>
        <w:t>LACC</w:t>
      </w:r>
      <w:r w:rsidRPr="00414E99">
        <w:rPr>
          <w:rFonts w:cs="Times New Roman"/>
          <w:lang w:val="fr-CA"/>
        </w:rPr>
        <w:t xml:space="preserve">, le par. 37(2) est peu loquace quant à ce que requiert le droit de bénéficiaire unique que confère à la Couronne le par. 227(4.1) de la </w:t>
      </w:r>
      <w:r w:rsidRPr="00414E99">
        <w:rPr>
          <w:rFonts w:cs="Times New Roman"/>
          <w:i/>
          <w:lang w:val="fr-CA"/>
        </w:rPr>
        <w:t>LIR</w:t>
      </w:r>
      <w:r w:rsidRPr="00414E99">
        <w:rPr>
          <w:rFonts w:cs="Times New Roman"/>
          <w:lang w:val="fr-CA"/>
        </w:rPr>
        <w:t>. Mais comme je vais l’expliquer, l’art. 11 confère au tribunal un vaste pouvoir discrétionnaire pour examiner l’intérêt reconnu à la Couronne par le par. 37(2) et lui donner effet.</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En outre, le par. 6(3) de la </w:t>
      </w:r>
      <w:r w:rsidRPr="00414E99">
        <w:rPr>
          <w:rFonts w:cs="Times New Roman"/>
          <w:i/>
          <w:lang w:val="fr-CA"/>
        </w:rPr>
        <w:t>LACC</w:t>
      </w:r>
      <w:r w:rsidRPr="00414E99">
        <w:rPr>
          <w:rFonts w:cs="Times New Roman"/>
          <w:lang w:val="fr-CA"/>
        </w:rPr>
        <w:t xml:space="preserve"> donne explicitement effet au droit que possède la Couronne en vertu de la fiducie réputée. Aux termes de cette disposition, le tribunal ne peut homologuer un plan de transaction qui ne prévoit pas le paiement intégral à la Couronne des retenues à la source non versées dans les six mois suivant l’homologation (à supposer que la Couronne n’en ait pas convenu autrement) :</w:t>
      </w:r>
    </w:p>
    <w:p w:rsidR="00344043" w:rsidRPr="00414E99" w:rsidRDefault="00344043" w:rsidP="00344043">
      <w:pPr>
        <w:pStyle w:val="Citation-AltC"/>
        <w:spacing w:after="240"/>
        <w:ind w:hanging="446"/>
        <w:contextualSpacing w:val="0"/>
        <w:rPr>
          <w:lang w:val="fr-CA"/>
        </w:rPr>
      </w:pPr>
      <w:r w:rsidRPr="00414E99">
        <w:rPr>
          <w:b/>
          <w:lang w:val="fr-CA"/>
        </w:rPr>
        <w:tab/>
        <w:t>(3)</w:t>
      </w:r>
      <w:r w:rsidRPr="00414E99">
        <w:rPr>
          <w:lang w:val="fr-CA"/>
        </w:rPr>
        <w:t xml:space="preserve"> Le tribunal ne peut, sans le consentement de Sa Majesté, homologuer la transaction ou l’arrangement qui ne prévoit pas le paiement intégral à Sa Majesté du chef du Canada ou d’une province, dans les six mois suivant l’homologation, de toutes les sommes qui étaient dues lors de la demande d’ordonnance visée aux articles 11 ou 11.02 et qui pourraient, de par leur nature, faire l’objet d’une demande aux termes d’une des dispositions suivantes :</w:t>
      </w:r>
    </w:p>
    <w:p w:rsidR="00344043" w:rsidRPr="00414E99" w:rsidRDefault="00344043" w:rsidP="00344043">
      <w:pPr>
        <w:pStyle w:val="Citation-AltC"/>
        <w:tabs>
          <w:tab w:val="left" w:pos="1530"/>
        </w:tabs>
        <w:contextualSpacing w:val="0"/>
        <w:rPr>
          <w:lang w:val="fr-CA"/>
        </w:rPr>
      </w:pPr>
      <w:r w:rsidRPr="00414E99">
        <w:rPr>
          <w:b/>
          <w:lang w:val="fr-CA"/>
        </w:rPr>
        <w:tab/>
        <w:t>a)</w:t>
      </w:r>
      <w:r w:rsidRPr="00414E99">
        <w:rPr>
          <w:lang w:val="fr-CA"/>
        </w:rPr>
        <w:t xml:space="preserve"> le paragraphe 224(1.2) de la </w:t>
      </w:r>
      <w:r w:rsidRPr="00414E99">
        <w:rPr>
          <w:i/>
          <w:lang w:val="fr-CA"/>
        </w:rPr>
        <w:t>Loi de l’impôt sur le revenu</w:t>
      </w:r>
      <w:r>
        <w:rPr>
          <w:lang w:val="fr-CA"/>
        </w:rPr>
        <w:t xml:space="preserve"> </w:t>
      </w:r>
      <w:r w:rsidRPr="00414E99">
        <w:rPr>
          <w:lang w:val="fr-CA"/>
        </w:rPr>
        <w:t>. . .</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Donc, selon le par. 6(3), le droit que possède la Couronne en vertu du par. 227(4.1) </w:t>
      </w:r>
      <w:r>
        <w:rPr>
          <w:rFonts w:cs="Times New Roman"/>
          <w:lang w:val="fr-CA"/>
        </w:rPr>
        <w:t>inclut</w:t>
      </w:r>
      <w:r w:rsidRPr="00414E99">
        <w:rPr>
          <w:rFonts w:cs="Times New Roman"/>
          <w:lang w:val="fr-CA"/>
        </w:rPr>
        <w:t xml:space="preserve"> le droit de </w:t>
      </w:r>
      <w:r w:rsidRPr="00414E99">
        <w:rPr>
          <w:rFonts w:cs="Times New Roman"/>
          <w:i/>
          <w:iCs/>
          <w:lang w:val="fr-CA"/>
        </w:rPr>
        <w:t>ne pas avoir à transiger</w:t>
      </w:r>
      <w:r w:rsidRPr="00414E99">
        <w:rPr>
          <w:rFonts w:cs="Times New Roman"/>
          <w:lang w:val="fr-CA"/>
        </w:rPr>
        <w:t>. La Couronne peut exiger que le plan prévoie le paiement intégral de sa créance « par priorité sur [les] garantie[s] ». Ce droit diffère donc d’une garantie par sa nature. Il y a peut</w:t>
      </w:r>
      <w:r w:rsidRPr="00414E99">
        <w:rPr>
          <w:rFonts w:cs="Times New Roman"/>
          <w:lang w:val="fr-CA"/>
        </w:rPr>
        <w:noBreakHyphen/>
        <w:t xml:space="preserve">être un risque que le plan échoue et que la Couronne ne soit pas payée intégralement si la restructuration se solde </w:t>
      </w:r>
      <w:r w:rsidRPr="00414E99">
        <w:rPr>
          <w:rFonts w:cs="Times New Roman"/>
          <w:lang w:val="fr-CA"/>
        </w:rPr>
        <w:lastRenderedPageBreak/>
        <w:t xml:space="preserve">par une liquidation et que le patrimoine a été épuisé en cours de route, mais la </w:t>
      </w:r>
      <w:r w:rsidRPr="00414E99">
        <w:rPr>
          <w:rFonts w:cs="Times New Roman"/>
          <w:i/>
          <w:lang w:val="fr-CA"/>
        </w:rPr>
        <w:t>LACC</w:t>
      </w:r>
      <w:r w:rsidRPr="00414E99">
        <w:rPr>
          <w:rFonts w:cs="Times New Roman"/>
          <w:lang w:val="fr-CA"/>
        </w:rPr>
        <w:t xml:space="preserve"> reconnaît qu’il est bénéfique pour la société d’aider une compagnie à poursuivre ses activités. Cet objectif réparateur joue un rôle de premier plan lorsqu’il s’agit de prévoir la souplesse nécessaire pour protéger le droit que le par. 37(2) confère à la Couronne sur les retenues à la source non versées et pour donner concrètement effet à ce droit au par. 6(3) de la </w:t>
      </w:r>
      <w:r w:rsidRPr="00414E99">
        <w:rPr>
          <w:rFonts w:cs="Times New Roman"/>
          <w:i/>
          <w:lang w:val="fr-CA"/>
        </w:rPr>
        <w:t>LACC</w:t>
      </w:r>
      <w:r w:rsidRPr="00414E99">
        <w:rPr>
          <w:rFonts w:cs="Times New Roman"/>
          <w:lang w:val="fr-CA"/>
        </w:rPr>
        <w:t>.</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À mon avis, la raison de cette différence entre la </w:t>
      </w:r>
      <w:r w:rsidRPr="00414E99">
        <w:rPr>
          <w:rFonts w:cs="Times New Roman"/>
          <w:i/>
          <w:lang w:val="fr-CA"/>
        </w:rPr>
        <w:t>LFI</w:t>
      </w:r>
      <w:r w:rsidRPr="00414E99">
        <w:rPr>
          <w:rFonts w:cs="Times New Roman"/>
          <w:lang w:val="fr-CA"/>
        </w:rPr>
        <w:t xml:space="preserve"> et la </w:t>
      </w:r>
      <w:r w:rsidRPr="00414E99">
        <w:rPr>
          <w:rFonts w:cs="Times New Roman"/>
          <w:i/>
          <w:lang w:val="fr-CA"/>
        </w:rPr>
        <w:t>LACC</w:t>
      </w:r>
      <w:r w:rsidRPr="00414E99">
        <w:rPr>
          <w:rFonts w:cs="Times New Roman"/>
          <w:lang w:val="fr-CA"/>
        </w:rPr>
        <w:t xml:space="preserve"> est simple. L’objectif d’une liquidation sous le régime de la </w:t>
      </w:r>
      <w:r w:rsidRPr="00414E99">
        <w:rPr>
          <w:rFonts w:cs="Times New Roman"/>
          <w:i/>
          <w:lang w:val="fr-CA"/>
        </w:rPr>
        <w:t>LFI</w:t>
      </w:r>
      <w:r w:rsidRPr="00414E99">
        <w:rPr>
          <w:rFonts w:cs="Times New Roman"/>
          <w:lang w:val="fr-CA"/>
        </w:rPr>
        <w:t xml:space="preserve"> est de permettre au débiteur de prendre un nouveau départ et de rembourser ses créanciers dans la mesure du possible. Les biens du débiteur doivent être répartis en fonction de l’ordre de priorité strict établi par la loi. Pour commencer le processus de répartition, il est nécessaire de regrouper les fonds du débiteur et de déterminer ce qui peut, ou ne peut pas, être attribué aux créanciers. Une énumération complète des biens du débiteur est nécessaire, et aucune souplesse n’est requise dans le régime pour faciliter le processus de liquidation. Il n’y a pas non plus d’</w:t>
      </w:r>
      <w:r>
        <w:rPr>
          <w:rFonts w:cs="Times New Roman"/>
          <w:lang w:val="fr-CA"/>
        </w:rPr>
        <w:t>autre objectif général — </w:t>
      </w:r>
      <w:r w:rsidRPr="00414E99">
        <w:rPr>
          <w:rFonts w:cs="Times New Roman"/>
          <w:lang w:val="fr-CA"/>
        </w:rPr>
        <w:t>comme faciliter la restructuration des activités du débiteur</w:t>
      </w:r>
      <w:r>
        <w:rPr>
          <w:rFonts w:cs="Times New Roman"/>
          <w:lang w:val="fr-CA"/>
        </w:rPr>
        <w:t> — </w:t>
      </w:r>
      <w:r w:rsidRPr="00414E99">
        <w:rPr>
          <w:rFonts w:cs="Times New Roman"/>
          <w:lang w:val="fr-CA"/>
        </w:rPr>
        <w:t>qui nécessite, par exemple, un financement temporaire ou une modification des droits.</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Cependant, dans le cadre d’une restructuration sous le régime de la </w:t>
      </w:r>
      <w:r w:rsidRPr="00414E99">
        <w:rPr>
          <w:rFonts w:cs="Times New Roman"/>
          <w:i/>
          <w:lang w:val="fr-CA"/>
        </w:rPr>
        <w:t>LACC</w:t>
      </w:r>
      <w:r w:rsidRPr="00414E99">
        <w:rPr>
          <w:rFonts w:cs="Times New Roman"/>
          <w:lang w:val="fr-CA"/>
        </w:rPr>
        <w:t xml:space="preserve">, il n’existe pas de formule stricte de répartition des actifs. Certaines dettes peuvent être restructurées, d’autres peuvent être remboursées. Lorsqu’il est question de restructurer les affaires d’un débiteur, l’objectif change, et le financement temporaire est introduit </w:t>
      </w:r>
      <w:r w:rsidRPr="00414E99">
        <w:rPr>
          <w:rFonts w:cs="Times New Roman"/>
          <w:lang w:val="fr-CA"/>
        </w:rPr>
        <w:lastRenderedPageBreak/>
        <w:t>pour faciliter la restructuration. Les droits et les priorités changent du fait de l’entrée en scène d’un acteur essentiel, le prêteur temporaire, lequel ne joue aucun rôle dans la liquidation.</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Le fait que les deux lois traitent différemment le droit que confère à la Couronne le par. 227(4.1) de la </w:t>
      </w:r>
      <w:r w:rsidRPr="00414E99">
        <w:rPr>
          <w:rFonts w:cs="Times New Roman"/>
          <w:i/>
          <w:lang w:val="fr-CA"/>
        </w:rPr>
        <w:t>LIR</w:t>
      </w:r>
      <w:r w:rsidRPr="00414E99">
        <w:rPr>
          <w:rFonts w:cs="Times New Roman"/>
          <w:lang w:val="fr-CA"/>
        </w:rPr>
        <w:t xml:space="preserve"> est donc conforme aux régimes et aux objectifs différents de celles</w:t>
      </w:r>
      <w:r w:rsidRPr="00414E99">
        <w:rPr>
          <w:rFonts w:cs="Times New Roman"/>
          <w:lang w:val="fr-CA"/>
        </w:rPr>
        <w:noBreakHyphen/>
        <w:t xml:space="preserve">ci. Il ne s’agit pas d’un cas où le législateur a tenté d’harmoniser les droits conférés par les différents régimes (voir, p. ex., </w:t>
      </w:r>
      <w:r w:rsidRPr="00414E99">
        <w:rPr>
          <w:rFonts w:cs="Times New Roman"/>
          <w:i/>
          <w:lang w:val="fr-CA"/>
        </w:rPr>
        <w:t>Indalex</w:t>
      </w:r>
      <w:r w:rsidRPr="00414E99">
        <w:rPr>
          <w:rFonts w:cs="Times New Roman"/>
          <w:lang w:val="fr-CA"/>
        </w:rPr>
        <w:t xml:space="preserve">, par. 51, la juge Deschamps). La </w:t>
      </w:r>
      <w:r w:rsidRPr="00414E99">
        <w:rPr>
          <w:rFonts w:cs="Times New Roman"/>
          <w:i/>
          <w:lang w:val="fr-CA"/>
        </w:rPr>
        <w:t>LACC</w:t>
      </w:r>
      <w:r w:rsidRPr="00414E99">
        <w:rPr>
          <w:rFonts w:cs="Times New Roman"/>
          <w:lang w:val="fr-CA"/>
        </w:rPr>
        <w:t xml:space="preserve"> donne à la fiducie réputée le sens qui convient à ses fins. Le sens concret donné est qu’un plan de transaction doit prévoir le paiement intégral des sommes dues à la Couronne dans les six mois suivant l’homologation du plan.</w:t>
      </w:r>
    </w:p>
    <w:p w:rsidR="00344043" w:rsidRPr="00414E99" w:rsidRDefault="00344043" w:rsidP="00344043">
      <w:pPr>
        <w:pStyle w:val="Title2LevelTitre2Niveau"/>
        <w:spacing w:before="0"/>
        <w:rPr>
          <w:rFonts w:cs="Times New Roman"/>
          <w:lang w:val="fr-CA"/>
        </w:rPr>
      </w:pPr>
      <w:r w:rsidRPr="00414E99">
        <w:rPr>
          <w:rFonts w:cs="Times New Roman"/>
          <w:lang w:val="fr-CA"/>
        </w:rPr>
        <w:t xml:space="preserve">Les articles 11.2, 11.51 et 11.52 de la </w:t>
      </w:r>
      <w:r w:rsidRPr="00440BA5">
        <w:rPr>
          <w:rFonts w:cs="Times New Roman"/>
          <w:lang w:val="fr-CA"/>
        </w:rPr>
        <w:t xml:space="preserve">LACC </w:t>
      </w:r>
      <w:r w:rsidRPr="00414E99">
        <w:rPr>
          <w:rFonts w:cs="Times New Roman"/>
          <w:lang w:val="fr-CA"/>
        </w:rPr>
        <w:t>confèrent</w:t>
      </w:r>
      <w:r w:rsidRPr="00414E99">
        <w:rPr>
          <w:rFonts w:cs="Times New Roman"/>
          <w:lang w:val="fr-CA"/>
        </w:rPr>
        <w:noBreakHyphen/>
        <w:t>ils au tribunal le pouvoir de faire passer les charges super prioritaires devant la fiducie réputée créée en faveur de la Couronne à l’égard des retenues à la source non versées?</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En l’espèce, l’ordonnance initiale subordonnait la fiducie réputée de la Couronne aux charges super prioritaires. Les tribunaux d’instance inférieure ont conclu que ce pouvoir découlait des art. 11.2, 11.51 et 11.52 de la </w:t>
      </w:r>
      <w:r w:rsidRPr="00414E99">
        <w:rPr>
          <w:rFonts w:cs="Times New Roman"/>
          <w:i/>
          <w:lang w:val="fr-CA"/>
        </w:rPr>
        <w:t>LACC</w:t>
      </w:r>
      <w:r w:rsidRPr="00414E99">
        <w:rPr>
          <w:rFonts w:cs="Times New Roman"/>
          <w:lang w:val="fr-CA"/>
        </w:rPr>
        <w:t>, aux termes desquels un tribunal peut, par ordonnance, déclarer que les biens d’une compagnie sont grevés de charges super prioritaires en faveur de prêteurs temporaires, de dirigeants et d’administrateurs, et d’administrateurs de patrimoine. Les charges super prioritaires peuvent avoir préséance sur toute réclamation garantie. Par exemple, les passages pertinents de l’art. 11.2, qui sont à peu près semblables aux passages pertinents des art. 11.51 et 11.52, sont ainsi rédigés :</w:t>
      </w:r>
    </w:p>
    <w:p w:rsidR="00344043" w:rsidRPr="00414E99" w:rsidRDefault="00344043" w:rsidP="00344043">
      <w:pPr>
        <w:pStyle w:val="Citation-AltC"/>
        <w:spacing w:after="240"/>
        <w:ind w:hanging="446"/>
        <w:contextualSpacing w:val="0"/>
        <w:rPr>
          <w:lang w:val="fr-CA"/>
        </w:rPr>
      </w:pPr>
      <w:r w:rsidRPr="00414E99">
        <w:rPr>
          <w:b/>
          <w:lang w:val="fr-CA"/>
        </w:rPr>
        <w:lastRenderedPageBreak/>
        <w:tab/>
        <w:t>11.2 (1)</w:t>
      </w:r>
      <w:r w:rsidRPr="00414E99">
        <w:rPr>
          <w:lang w:val="fr-CA"/>
        </w:rPr>
        <w:t> Sur demande de la compagnie débitrice, le tribunal peut par ordonnance, sur préavis de la demande aux créanciers garantis qui seront vraisemblablement touchés par la charge ou sûreté, déclarer que tout ou partie des biens de la compagnie sont grevés d’une charge ou sûreté — d’un montant qu’il estime indiqué — en faveur de la personne nommée dans l’ordonnance qui accepte de prêter à la compagnie la somme qu’il approuve compte tenu de l’état de l’évolution de l’encaisse et des besoins de celle</w:t>
      </w:r>
      <w:r w:rsidRPr="00414E99">
        <w:rPr>
          <w:lang w:val="fr-CA"/>
        </w:rPr>
        <w:noBreakHyphen/>
        <w:t>ci. La charge ou sûreté ne peut garantir qu’une obligation postérieure au prononcé de l’ordonnance.</w:t>
      </w:r>
    </w:p>
    <w:p w:rsidR="00344043" w:rsidRPr="00414E99" w:rsidRDefault="00344043" w:rsidP="00344043">
      <w:pPr>
        <w:pStyle w:val="Citation-AltC"/>
        <w:ind w:hanging="446"/>
        <w:contextualSpacing w:val="0"/>
        <w:rPr>
          <w:lang w:val="fr-CA"/>
        </w:rPr>
      </w:pPr>
      <w:r w:rsidRPr="00414E99">
        <w:rPr>
          <w:b/>
          <w:lang w:val="fr-CA"/>
        </w:rPr>
        <w:tab/>
        <w:t>(2)</w:t>
      </w:r>
      <w:r w:rsidRPr="00414E99">
        <w:rPr>
          <w:lang w:val="fr-CA"/>
        </w:rPr>
        <w:t> Le tribunal peut préciser, dans l’ordonnance, que la charge ou sûreté a priorité sur toute réclamation des créanciers garantis de la compagnie.</w:t>
      </w:r>
    </w:p>
    <w:p w:rsidR="00344043" w:rsidRPr="00414E99" w:rsidRDefault="00344043" w:rsidP="00344043">
      <w:pPr>
        <w:pStyle w:val="ParaNoNdepar-AltN"/>
        <w:spacing w:before="0"/>
        <w:rPr>
          <w:rFonts w:cs="Times New Roman"/>
          <w:lang w:val="fr-CA"/>
        </w:rPr>
      </w:pPr>
      <w:r w:rsidRPr="00414E99">
        <w:rPr>
          <w:rFonts w:cs="Times New Roman"/>
          <w:lang w:val="fr-CA"/>
        </w:rPr>
        <w:t>Comme les charges super prioritaires peuvent avoir « priorité sur toute réclamation des créanciers garantis », la définition de « créancier garanti » au par. 2(1) est primordiale :</w:t>
      </w:r>
    </w:p>
    <w:p w:rsidR="00344043" w:rsidRPr="00414E99" w:rsidRDefault="00344043" w:rsidP="00344043">
      <w:pPr>
        <w:pStyle w:val="Citation-AltC"/>
        <w:ind w:hanging="446"/>
        <w:contextualSpacing w:val="0"/>
        <w:rPr>
          <w:lang w:val="fr-CA"/>
        </w:rPr>
      </w:pPr>
      <w:r w:rsidRPr="00414E99">
        <w:rPr>
          <w:b/>
          <w:i/>
          <w:lang w:val="fr-CA"/>
        </w:rPr>
        <w:tab/>
        <w:t>créancier garanti</w:t>
      </w:r>
      <w:r w:rsidRPr="00414E99">
        <w:rPr>
          <w:lang w:val="fr-CA"/>
        </w:rPr>
        <w:t xml:space="preserve"> Détenteur d’hypothèque, de gage, charge, nantissement ou privilège sur ou contre l’ensemble ou une partie des biens d’une compagnie débitrice, ou tout transport, cession ou transfert de la totalité ou d’une partie de ces biens, à titre de garantie d’une dette de la compagnie débitrice, ou un détenteur de quelque obligation d’une compagnie débitrice garantie par hypothèque, gage, charge, nantissement ou privilège sur ou contre l’ensemble ou une partie des biens de la compagnie débitrice, ou un transport, une cession ou un transfert de tout ou partie de ces biens, ou une fiducie à leur égard, que ce détenteur ou bénéficiaire réside ou soit domicilié au Canada ou à l’étranger. Un fiduciaire en vertu de tout acte de fiducie ou autre instrument garantissant ces obligations est réputé un créancier garanti pour toutes les fins de la présente loi sauf la votation à une assemblée de créanciers relativement à ces obligations…</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Les intimées soutiennent, à l’instar des tribunaux d’instance inférieure, que la Couronne est un « créancier garanti » au sens de la </w:t>
      </w:r>
      <w:r w:rsidRPr="00414E99">
        <w:rPr>
          <w:rFonts w:cs="Times New Roman"/>
          <w:i/>
          <w:lang w:val="fr-CA"/>
        </w:rPr>
        <w:t xml:space="preserve">LACC </w:t>
      </w:r>
      <w:r w:rsidRPr="00414E99">
        <w:rPr>
          <w:rFonts w:cs="Times New Roman"/>
          <w:lang w:val="fr-CA"/>
        </w:rPr>
        <w:t xml:space="preserve">à l’égard de son intérêt sur les retenues à la source non versées puisque la loi habilitante, la </w:t>
      </w:r>
      <w:r w:rsidRPr="00414E99">
        <w:rPr>
          <w:rFonts w:cs="Times New Roman"/>
          <w:i/>
          <w:lang w:val="fr-CA"/>
        </w:rPr>
        <w:t>LIR</w:t>
      </w:r>
      <w:r w:rsidRPr="00414E99">
        <w:rPr>
          <w:rFonts w:cs="Times New Roman"/>
          <w:lang w:val="fr-CA"/>
        </w:rPr>
        <w:t>, dit elle</w:t>
      </w:r>
      <w:r w:rsidRPr="00414E99">
        <w:rPr>
          <w:rFonts w:cs="Times New Roman"/>
          <w:lang w:val="fr-CA"/>
        </w:rPr>
        <w:noBreakHyphen/>
        <w:t xml:space="preserve">même que le détenteur d’une fiducie réputée détient une « garantie » (voir </w:t>
      </w:r>
      <w:r w:rsidRPr="00414E99">
        <w:rPr>
          <w:rFonts w:cs="Times New Roman"/>
          <w:i/>
          <w:szCs w:val="24"/>
          <w:lang w:val="fr-CA"/>
        </w:rPr>
        <w:t xml:space="preserve">Temple City Housing </w:t>
      </w:r>
      <w:r w:rsidRPr="00414E99">
        <w:rPr>
          <w:rFonts w:cs="Times New Roman"/>
          <w:i/>
          <w:szCs w:val="24"/>
          <w:lang w:val="fr-CA"/>
        </w:rPr>
        <w:lastRenderedPageBreak/>
        <w:t>Inc., Re</w:t>
      </w:r>
      <w:r w:rsidRPr="00414E99">
        <w:rPr>
          <w:rFonts w:cs="Times New Roman"/>
          <w:szCs w:val="24"/>
          <w:lang w:val="fr-CA"/>
        </w:rPr>
        <w:t>,</w:t>
      </w:r>
      <w:r w:rsidRPr="00414E99">
        <w:rPr>
          <w:rFonts w:cs="Times New Roman"/>
          <w:i/>
          <w:szCs w:val="24"/>
          <w:lang w:val="fr-CA"/>
        </w:rPr>
        <w:t xml:space="preserve"> </w:t>
      </w:r>
      <w:r w:rsidRPr="00414E99">
        <w:rPr>
          <w:rFonts w:cs="Times New Roman"/>
          <w:szCs w:val="24"/>
          <w:lang w:val="fr-CA"/>
        </w:rPr>
        <w:t>2007 ABQB 786, 42 C.B.R. (5th) 274)</w:t>
      </w:r>
      <w:r w:rsidRPr="00414E99">
        <w:rPr>
          <w:rFonts w:cs="Times New Roman"/>
          <w:lang w:val="fr-CA"/>
        </w:rPr>
        <w:t xml:space="preserve">. En outre, les intimées s’appuient sur l’analogie faite dans l’arrêt </w:t>
      </w:r>
      <w:r w:rsidRPr="00414E99">
        <w:rPr>
          <w:rFonts w:cs="Times New Roman"/>
          <w:i/>
          <w:lang w:val="fr-CA"/>
        </w:rPr>
        <w:t>First Vancouver</w:t>
      </w:r>
      <w:r w:rsidRPr="00414E99">
        <w:rPr>
          <w:rFonts w:cs="Times New Roman"/>
          <w:lang w:val="fr-CA"/>
        </w:rPr>
        <w:t>, où la fiducie réputée de la Couronne est assimilée à une charge flottante (qui constitue une garantie). Les intimées affirment donc que les art. 11.2, 11.51 et 11.52 confèrent au tribunal le pouvoir de faire passer les charges super prioritaires devant la fiducie réputée de la Couronne.</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La Couronne, à l’instar du juge dissident de la Cour d’appel, soutient qu’elle n’est pas un « créancier garanti » étant donné que la définition de ce terme contenue dans la </w:t>
      </w:r>
      <w:r w:rsidRPr="00414E99">
        <w:rPr>
          <w:rFonts w:cs="Times New Roman"/>
          <w:i/>
          <w:lang w:val="fr-CA"/>
        </w:rPr>
        <w:t>LACC</w:t>
      </w:r>
      <w:r w:rsidRPr="00414E99">
        <w:rPr>
          <w:rFonts w:cs="Times New Roman"/>
          <w:lang w:val="fr-CA"/>
        </w:rPr>
        <w:t xml:space="preserve"> ne fait pas mention du détenteur d’une fiducie réputée et que les art. 37</w:t>
      </w:r>
      <w:r>
        <w:rPr>
          <w:rFonts w:cs="Times New Roman"/>
          <w:lang w:val="fr-CA"/>
        </w:rPr>
        <w:t xml:space="preserve"> à </w:t>
      </w:r>
      <w:r w:rsidRPr="00414E99">
        <w:rPr>
          <w:rFonts w:cs="Times New Roman"/>
          <w:lang w:val="fr-CA"/>
        </w:rPr>
        <w:t xml:space="preserve">39 de la </w:t>
      </w:r>
      <w:r w:rsidRPr="00414E99">
        <w:rPr>
          <w:rFonts w:cs="Times New Roman"/>
          <w:i/>
          <w:lang w:val="fr-CA"/>
        </w:rPr>
        <w:t>LACC</w:t>
      </w:r>
      <w:r w:rsidRPr="00414E99">
        <w:rPr>
          <w:rFonts w:cs="Times New Roman"/>
          <w:lang w:val="fr-CA"/>
        </w:rPr>
        <w:t xml:space="preserve"> établissent clairement une distinction </w:t>
      </w:r>
      <w:r w:rsidRPr="00414E99">
        <w:rPr>
          <w:rFonts w:eastAsia="Times New Roman" w:cs="Times New Roman"/>
          <w:lang w:val="fr-CA"/>
        </w:rPr>
        <w:t xml:space="preserve">entre la fiducie réputée créée en faveur de la Couronne à l’égard des retenues à la source non versées, d’une part, et les réclamations garanties et non garanties de la Couronne, d’autre part. Par conséquent, la Couronne affirme que les art. 11.2, </w:t>
      </w:r>
      <w:r w:rsidRPr="00414E99">
        <w:rPr>
          <w:rFonts w:cs="Times New Roman"/>
          <w:lang w:val="fr-CA"/>
        </w:rPr>
        <w:t xml:space="preserve">11.51 et 11.52 </w:t>
      </w:r>
      <w:r w:rsidRPr="00414E99">
        <w:rPr>
          <w:rFonts w:cs="Times New Roman"/>
          <w:i/>
          <w:lang w:val="fr-CA"/>
        </w:rPr>
        <w:t>ne</w:t>
      </w:r>
      <w:r w:rsidRPr="00414E99">
        <w:rPr>
          <w:rFonts w:cs="Times New Roman"/>
          <w:lang w:val="fr-CA"/>
        </w:rPr>
        <w:t xml:space="preserve"> confèrent </w:t>
      </w:r>
      <w:r w:rsidRPr="00414E99">
        <w:rPr>
          <w:rFonts w:cs="Times New Roman"/>
          <w:i/>
          <w:lang w:val="fr-CA"/>
        </w:rPr>
        <w:t>pas</w:t>
      </w:r>
      <w:r w:rsidRPr="00414E99">
        <w:rPr>
          <w:rFonts w:cs="Times New Roman"/>
          <w:lang w:val="fr-CA"/>
        </w:rPr>
        <w:t xml:space="preserve"> au tribunal le pouvoir de faire passer les charges super prioritaires devant la fiducie réputée de la Couronne.</w:t>
      </w:r>
    </w:p>
    <w:p w:rsidR="00344043" w:rsidRPr="00414E99" w:rsidRDefault="00344043" w:rsidP="00344043">
      <w:pPr>
        <w:pStyle w:val="ParaNoNdepar-AltN"/>
        <w:spacing w:before="0"/>
        <w:rPr>
          <w:rFonts w:cs="Times New Roman"/>
          <w:lang w:val="fr-CA"/>
        </w:rPr>
      </w:pPr>
      <w:r w:rsidRPr="00414E99">
        <w:rPr>
          <w:rFonts w:cs="Times New Roman"/>
          <w:lang w:val="fr-CA"/>
        </w:rPr>
        <w:t>Comme je l’explique en détail ci</w:t>
      </w:r>
      <w:r w:rsidRPr="00414E99">
        <w:rPr>
          <w:rFonts w:cs="Times New Roman"/>
          <w:lang w:val="fr-CA"/>
        </w:rPr>
        <w:noBreakHyphen/>
        <w:t>dessous, je conclus que les art. 11.2, 11.51 et 11.52 ne confèrent pas au tribunal le pouvoir de faire passer les charges super prioritaires devant la fiducie réputée créée en faveur de la Couronne à l’égard des retenues à la source non versées.</w:t>
      </w:r>
    </w:p>
    <w:p w:rsidR="00344043" w:rsidRPr="00414E99" w:rsidRDefault="00344043" w:rsidP="00344043">
      <w:pPr>
        <w:pStyle w:val="ParaNoNdepar-AltN"/>
        <w:spacing w:before="0"/>
        <w:rPr>
          <w:rFonts w:cs="Times New Roman"/>
          <w:lang w:val="fr-CA"/>
        </w:rPr>
      </w:pPr>
      <w:r w:rsidRPr="00414E99">
        <w:rPr>
          <w:rFonts w:cs="Times New Roman"/>
          <w:lang w:val="fr-CA"/>
        </w:rPr>
        <w:t>En premier lieu, je conviens avec les intimées que l</w:t>
      </w:r>
      <w:r>
        <w:rPr>
          <w:rFonts w:cs="Times New Roman"/>
          <w:lang w:val="fr-CA"/>
        </w:rPr>
        <w:t>a définition générale du terme « </w:t>
      </w:r>
      <w:r w:rsidRPr="00414E99">
        <w:rPr>
          <w:rFonts w:cs="Times New Roman"/>
          <w:lang w:val="fr-CA"/>
        </w:rPr>
        <w:t>garantie</w:t>
      </w:r>
      <w:r>
        <w:rPr>
          <w:rFonts w:cs="Times New Roman"/>
          <w:lang w:val="fr-CA"/>
        </w:rPr>
        <w:t> »</w:t>
      </w:r>
      <w:r w:rsidRPr="00414E99">
        <w:rPr>
          <w:rFonts w:cs="Times New Roman"/>
          <w:lang w:val="fr-CA"/>
        </w:rPr>
        <w:t xml:space="preserve"> contenue dans la </w:t>
      </w:r>
      <w:r w:rsidRPr="00414E99">
        <w:rPr>
          <w:rFonts w:cs="Times New Roman"/>
          <w:i/>
          <w:lang w:val="fr-CA"/>
        </w:rPr>
        <w:t>LIR</w:t>
      </w:r>
      <w:r w:rsidRPr="00414E99">
        <w:rPr>
          <w:rFonts w:cs="Times New Roman"/>
          <w:lang w:val="fr-CA"/>
        </w:rPr>
        <w:t xml:space="preserve"> comprend le détenteur d’une fiducie réputée ou réelle (par. 224(1.3)). Cependant, le renvoi à une garantie fait au par. 227(4.1) ne </w:t>
      </w:r>
      <w:r w:rsidRPr="00414E99">
        <w:rPr>
          <w:rFonts w:cs="Times New Roman"/>
          <w:lang w:val="fr-CA"/>
        </w:rPr>
        <w:lastRenderedPageBreak/>
        <w:t xml:space="preserve">concerne pas l’intérêt de la Couronne, mais plutôt l’intérêt d’autres parties à l’égard des biens du débiteur. À mon avis, aucune des définitions du terme « garantie » contenues dans la </w:t>
      </w:r>
      <w:r w:rsidRPr="00414E99">
        <w:rPr>
          <w:rFonts w:cs="Times New Roman"/>
          <w:i/>
          <w:lang w:val="fr-CA"/>
        </w:rPr>
        <w:t>LIR</w:t>
      </w:r>
      <w:r w:rsidRPr="00414E99">
        <w:rPr>
          <w:rFonts w:cs="Times New Roman"/>
          <w:lang w:val="fr-CA"/>
        </w:rPr>
        <w:t xml:space="preserve"> n’est pertinente pour définir l’intérêt de la Couronne puisqu’elles servent un objectif tout à fait différent. L’important est de savoir si les dispositions de la </w:t>
      </w:r>
      <w:r w:rsidRPr="00414E99">
        <w:rPr>
          <w:rFonts w:cs="Times New Roman"/>
          <w:i/>
          <w:lang w:val="fr-CA"/>
        </w:rPr>
        <w:t>LACC</w:t>
      </w:r>
      <w:r w:rsidRPr="00414E99">
        <w:rPr>
          <w:rFonts w:cs="Times New Roman"/>
          <w:lang w:val="fr-CA"/>
        </w:rPr>
        <w:t xml:space="preserve"> confèrent au tribunal le pouvoir de faire passer les charges super prioritaires devant la fiducie réputée créée en faveur de la Couronne à l’égard des retenues à la source non versées. On peut répondre à cette question en interprétant le libellé de la </w:t>
      </w:r>
      <w:r w:rsidRPr="00414E99">
        <w:rPr>
          <w:rFonts w:cs="Times New Roman"/>
          <w:i/>
          <w:u w:val="single"/>
          <w:lang w:val="fr-CA"/>
        </w:rPr>
        <w:t>LACC</w:t>
      </w:r>
      <w:r w:rsidRPr="00414E99">
        <w:rPr>
          <w:rFonts w:cs="Times New Roman"/>
          <w:i/>
          <w:lang w:val="fr-CA"/>
        </w:rPr>
        <w:t xml:space="preserve"> </w:t>
      </w:r>
      <w:r w:rsidRPr="00414E99">
        <w:rPr>
          <w:rFonts w:cs="Times New Roman"/>
          <w:lang w:val="fr-CA"/>
        </w:rPr>
        <w:t xml:space="preserve">et la façon dont la </w:t>
      </w:r>
      <w:r w:rsidRPr="00414E99">
        <w:rPr>
          <w:rFonts w:cs="Times New Roman"/>
          <w:i/>
          <w:u w:val="single"/>
          <w:lang w:val="fr-CA"/>
        </w:rPr>
        <w:t>LACC</w:t>
      </w:r>
      <w:r>
        <w:rPr>
          <w:rFonts w:cs="Times New Roman"/>
          <w:lang w:val="fr-CA"/>
        </w:rPr>
        <w:t xml:space="preserve"> définit </w:t>
      </w:r>
      <w:r w:rsidRPr="00414E99">
        <w:rPr>
          <w:rFonts w:cs="Times New Roman"/>
          <w:lang w:val="fr-CA"/>
        </w:rPr>
        <w:t>créancier garanti.</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En deuxième lieu, je conviens avec la Couronne que la définition de « créancier garanti » contenue dans la </w:t>
      </w:r>
      <w:r w:rsidRPr="00414E99">
        <w:rPr>
          <w:rFonts w:cs="Times New Roman"/>
          <w:i/>
          <w:lang w:val="fr-CA"/>
        </w:rPr>
        <w:t>LACC</w:t>
      </w:r>
      <w:r w:rsidRPr="00414E99">
        <w:rPr>
          <w:rFonts w:cs="Times New Roman"/>
          <w:lang w:val="fr-CA"/>
        </w:rPr>
        <w:t xml:space="preserve"> ne mentionne pas expressément le détenteur d’une fiducie réputée ou réelle. En outre, l’intérêt de la Couronne ne peut pas simplement être qualifié de « charge ». Comme je l’ai expliqué précédemment, bien que la fiducie réputée de la Couronne ait des points communs avec une charge flottante, la disposition renvoie aussi à certains aspects du droit de bénéficiaire. J’hésiterais à établir des analogies avec les autres termes énoncés dans la définition contenue dans la </w:t>
      </w:r>
      <w:r w:rsidRPr="00414E99">
        <w:rPr>
          <w:rFonts w:cs="Times New Roman"/>
          <w:i/>
          <w:lang w:val="fr-CA"/>
        </w:rPr>
        <w:t>LACC</w:t>
      </w:r>
      <w:r w:rsidRPr="00414E99">
        <w:rPr>
          <w:rFonts w:cs="Times New Roman"/>
          <w:lang w:val="fr-CA"/>
        </w:rPr>
        <w:t>. Les détenteurs de plusieurs de ces instruments sont souvent décrits comme détenant un droit propriétal sur leur garantie. La décision de les assimiler à</w:t>
      </w:r>
      <w:r>
        <w:rPr>
          <w:rFonts w:cs="Times New Roman"/>
          <w:lang w:val="fr-CA"/>
        </w:rPr>
        <w:t xml:space="preserve"> des </w:t>
      </w:r>
      <w:r w:rsidRPr="00414E99">
        <w:rPr>
          <w:rFonts w:cs="Times New Roman"/>
          <w:lang w:val="fr-CA"/>
        </w:rPr>
        <w:t xml:space="preserve">créanciers garantis pour l’application de la </w:t>
      </w:r>
      <w:r w:rsidRPr="00414E99">
        <w:rPr>
          <w:rFonts w:cs="Times New Roman"/>
          <w:i/>
          <w:lang w:val="fr-CA"/>
        </w:rPr>
        <w:t>LACC</w:t>
      </w:r>
      <w:r w:rsidRPr="00414E99">
        <w:rPr>
          <w:rFonts w:cs="Times New Roman"/>
          <w:lang w:val="fr-CA"/>
        </w:rPr>
        <w:t xml:space="preserve"> était celle du législateur. Il est difficile de faire cadrer la fiducie réputée de la Couronne dans la définition de « créancier garanti » contenue dans la </w:t>
      </w:r>
      <w:r w:rsidRPr="00414E99">
        <w:rPr>
          <w:rFonts w:cs="Times New Roman"/>
          <w:i/>
          <w:lang w:val="fr-CA"/>
        </w:rPr>
        <w:t>LACC</w:t>
      </w:r>
      <w:r w:rsidRPr="00414E99">
        <w:rPr>
          <w:rFonts w:cs="Times New Roman"/>
          <w:lang w:val="fr-CA"/>
        </w:rPr>
        <w:t xml:space="preserve">, d’autant plus que la </w:t>
      </w:r>
      <w:r w:rsidRPr="00414E99">
        <w:rPr>
          <w:rFonts w:cs="Times New Roman"/>
          <w:i/>
          <w:lang w:val="fr-CA"/>
        </w:rPr>
        <w:t>LACC</w:t>
      </w:r>
      <w:r w:rsidRPr="00414E99">
        <w:rPr>
          <w:rFonts w:cs="Times New Roman"/>
          <w:lang w:val="fr-CA"/>
        </w:rPr>
        <w:t xml:space="preserve"> fait précisément mention de la fiducie réputée au par. 37(2).</w:t>
      </w:r>
    </w:p>
    <w:p w:rsidR="00344043" w:rsidRPr="00414E99" w:rsidRDefault="00344043" w:rsidP="00344043">
      <w:pPr>
        <w:pStyle w:val="ParaNoNdepar-AltN"/>
        <w:spacing w:before="0"/>
        <w:rPr>
          <w:rFonts w:cs="Times New Roman"/>
          <w:lang w:val="fr-CA"/>
        </w:rPr>
      </w:pPr>
      <w:r w:rsidRPr="00414E99">
        <w:rPr>
          <w:rFonts w:cs="Times New Roman"/>
          <w:lang w:val="fr-CA"/>
        </w:rPr>
        <w:lastRenderedPageBreak/>
        <w:t xml:space="preserve">Enfin, je conviens avec la Couronne que les art. 37 à 39 de la </w:t>
      </w:r>
      <w:r w:rsidRPr="00414E99">
        <w:rPr>
          <w:rFonts w:cs="Times New Roman"/>
          <w:i/>
          <w:lang w:val="fr-CA"/>
        </w:rPr>
        <w:t xml:space="preserve">LACC </w:t>
      </w:r>
      <w:r w:rsidRPr="00414E99">
        <w:rPr>
          <w:rFonts w:cs="Times New Roman"/>
          <w:lang w:val="fr-CA"/>
        </w:rPr>
        <w:t>traitent la fiducie réputée de la Couronne et les réclamations garanties de la Couronne comme des intérêts distincts</w:t>
      </w:r>
      <w:r w:rsidRPr="00414E99">
        <w:rPr>
          <w:rFonts w:cs="Times New Roman"/>
          <w:bCs/>
          <w:lang w:val="fr-CA"/>
        </w:rPr>
        <w:t>. Après l’art. </w:t>
      </w:r>
      <w:r w:rsidRPr="00414E99">
        <w:rPr>
          <w:rFonts w:cs="Times New Roman"/>
          <w:lang w:val="fr-CA"/>
        </w:rPr>
        <w:t xml:space="preserve">37 de la </w:t>
      </w:r>
      <w:r w:rsidRPr="00414E99">
        <w:rPr>
          <w:rFonts w:cs="Times New Roman"/>
          <w:i/>
          <w:lang w:val="fr-CA"/>
        </w:rPr>
        <w:t>LACC</w:t>
      </w:r>
      <w:r w:rsidRPr="00414E99">
        <w:rPr>
          <w:rFonts w:cs="Times New Roman"/>
          <w:lang w:val="fr-CA"/>
        </w:rPr>
        <w:t>, qui porte sur les fiducies réputées, le par. </w:t>
      </w:r>
      <w:r w:rsidRPr="00414E99">
        <w:rPr>
          <w:rFonts w:cs="Times New Roman"/>
          <w:iCs/>
          <w:lang w:val="fr-CA"/>
        </w:rPr>
        <w:t xml:space="preserve">38(1) prévoit une règle générale selon laquelle les réclamations garanties de la Couronne prennent rang comme réclamations non garanties. Le paragraphe 38(2) soustrait à l’application du par. 38(1) les garanties consensuelles accordées à la Couronne. Le paragraphe 38(3) prévoit une exception pour les </w:t>
      </w:r>
      <w:r w:rsidRPr="00414E99">
        <w:rPr>
          <w:rFonts w:cs="Times New Roman"/>
          <w:lang w:val="fr-CA"/>
        </w:rPr>
        <w:t>demandes péremptoires de paiement renforcées</w:t>
      </w:r>
      <w:r w:rsidRPr="00414E99">
        <w:rPr>
          <w:rFonts w:cs="Times New Roman"/>
          <w:iCs/>
          <w:lang w:val="fr-CA"/>
        </w:rPr>
        <w:t xml:space="preserve"> de l’ARC. Enfin, le par. 39(1) protège les réclamations garanties de la Couronne si elles ont été enregistrées avant l’introduction d’une procédure intentée sous le régime de la </w:t>
      </w:r>
      <w:r w:rsidRPr="00414E99">
        <w:rPr>
          <w:rFonts w:cs="Times New Roman"/>
          <w:i/>
          <w:iCs/>
          <w:lang w:val="fr-CA"/>
        </w:rPr>
        <w:t>LACC</w:t>
      </w:r>
      <w:r w:rsidRPr="00414E99">
        <w:rPr>
          <w:rFonts w:cs="Times New Roman"/>
          <w:iCs/>
          <w:lang w:val="fr-CA"/>
        </w:rPr>
        <w:t>, et le par. 39(2) subordonne une garantie ou une charge de la Couronne aux garanties parfaites antérieures.</w:t>
      </w:r>
    </w:p>
    <w:p w:rsidR="00344043" w:rsidRPr="00414E99" w:rsidRDefault="00344043" w:rsidP="00344043">
      <w:pPr>
        <w:pStyle w:val="ParaNoNdepar-AltN"/>
        <w:spacing w:before="0"/>
        <w:rPr>
          <w:rFonts w:cs="Times New Roman"/>
          <w:lang w:val="fr-CA"/>
        </w:rPr>
      </w:pPr>
      <w:r w:rsidRPr="00414E99">
        <w:rPr>
          <w:rFonts w:cs="Times New Roman"/>
          <w:lang w:val="fr-CA"/>
        </w:rPr>
        <w:t>Comme le fait remarquer Wood, [</w:t>
      </w:r>
      <w:r w:rsidRPr="00414E99">
        <w:rPr>
          <w:rFonts w:cs="Times New Roman"/>
          <w:smallCaps/>
          <w:lang w:val="fr-CA"/>
        </w:rPr>
        <w:t>traduction</w:t>
      </w:r>
      <w:r w:rsidRPr="00414E99">
        <w:rPr>
          <w:rFonts w:cs="Times New Roman"/>
          <w:lang w:val="fr-CA"/>
        </w:rPr>
        <w:t>] « [c]es dispositions adoptent deux approches différentes — l’une s’applique à la fiducie réputée, l’autre s’applique lorsqu’une loi donne à la Couronne le statut de créancier garanti » (Wood (</w:t>
      </w:r>
      <w:r w:rsidRPr="00414E99">
        <w:rPr>
          <w:rFonts w:cs="Times New Roman"/>
          <w:bCs/>
          <w:lang w:val="fr-CA"/>
        </w:rPr>
        <w:t>2020), p. 96).</w:t>
      </w:r>
      <w:r w:rsidRPr="00414E99">
        <w:rPr>
          <w:rFonts w:cs="Times New Roman"/>
          <w:lang w:val="fr-CA"/>
        </w:rPr>
        <w:t xml:space="preserve"> Si le par. 227(4.1) de la </w:t>
      </w:r>
      <w:r w:rsidRPr="00414E99">
        <w:rPr>
          <w:rFonts w:cs="Times New Roman"/>
          <w:i/>
          <w:lang w:val="fr-CA"/>
        </w:rPr>
        <w:t>LIR</w:t>
      </w:r>
      <w:r w:rsidRPr="00414E99">
        <w:rPr>
          <w:rFonts w:cs="Times New Roman"/>
          <w:lang w:val="fr-CA"/>
        </w:rPr>
        <w:t xml:space="preserve"> donnait à la Couronne le statut de créancier garanti, l’ARC devrait vraisemblablement se conformer aux art. 38 </w:t>
      </w:r>
      <w:r>
        <w:rPr>
          <w:rFonts w:cs="Times New Roman"/>
          <w:lang w:val="fr-CA"/>
        </w:rPr>
        <w:t xml:space="preserve">et </w:t>
      </w:r>
      <w:r w:rsidRPr="00414E99">
        <w:rPr>
          <w:rFonts w:cs="Times New Roman"/>
          <w:lang w:val="fr-CA"/>
        </w:rPr>
        <w:t>39 en enregistrant sa garantie. Personne ne laisse entendre que la Couronne doit enregistrer sa réclamation à l’égard des retenues à la source non versées. À mon avis, les art. 37</w:t>
      </w:r>
      <w:r>
        <w:rPr>
          <w:rFonts w:cs="Times New Roman"/>
          <w:lang w:val="fr-CA"/>
        </w:rPr>
        <w:t xml:space="preserve"> à </w:t>
      </w:r>
      <w:r w:rsidRPr="00414E99">
        <w:rPr>
          <w:rFonts w:cs="Times New Roman"/>
          <w:lang w:val="fr-CA"/>
        </w:rPr>
        <w:t xml:space="preserve">39 établissent une distinction entre les fiducies réputées, d’une part, et les réclamations garanties et non garanties, d’autre part. La Couronne n’est donc pas un « créancier garanti » au sens de la </w:t>
      </w:r>
      <w:r w:rsidRPr="00414E99">
        <w:rPr>
          <w:rFonts w:cs="Times New Roman"/>
          <w:i/>
          <w:lang w:val="fr-CA"/>
        </w:rPr>
        <w:t>LACC</w:t>
      </w:r>
      <w:r w:rsidRPr="00414E99">
        <w:rPr>
          <w:rFonts w:cs="Times New Roman"/>
          <w:lang w:val="fr-CA"/>
        </w:rPr>
        <w:t xml:space="preserve"> pour ce qui est de son droit sur les retenues à la source non versées.</w:t>
      </w:r>
    </w:p>
    <w:p w:rsidR="00344043" w:rsidRPr="00414E99" w:rsidRDefault="00344043" w:rsidP="00344043">
      <w:pPr>
        <w:pStyle w:val="ParaNoNdepar-AltN"/>
        <w:spacing w:before="0"/>
        <w:rPr>
          <w:rFonts w:cs="Times New Roman"/>
          <w:lang w:val="fr-CA"/>
        </w:rPr>
      </w:pPr>
      <w:r w:rsidRPr="00414E99">
        <w:rPr>
          <w:rFonts w:cs="Times New Roman"/>
          <w:lang w:val="fr-CA"/>
        </w:rPr>
        <w:lastRenderedPageBreak/>
        <w:t xml:space="preserve">Cela est décisif pour l’application des art. 11.2, 11.51 et 11.52 de la </w:t>
      </w:r>
      <w:r w:rsidRPr="00414E99">
        <w:rPr>
          <w:rFonts w:cs="Times New Roman"/>
          <w:i/>
          <w:lang w:val="fr-CA"/>
        </w:rPr>
        <w:t>LACC</w:t>
      </w:r>
      <w:r w:rsidRPr="00414E99">
        <w:rPr>
          <w:rFonts w:cs="Times New Roman"/>
          <w:lang w:val="fr-CA"/>
        </w:rPr>
        <w:t>. Ces articles ne confèrent pas au tribunal le pouvoir de faire passer les charges super prioritaires devant la fiducie réputée créée en faveur de la Couronne à l’égard des retenues à la source non versées.</w:t>
      </w:r>
    </w:p>
    <w:p w:rsidR="00344043" w:rsidRPr="00414E99" w:rsidRDefault="00344043" w:rsidP="00344043">
      <w:pPr>
        <w:pStyle w:val="Title2LevelTitre2Niveau"/>
        <w:spacing w:before="0"/>
        <w:rPr>
          <w:rFonts w:cs="Times New Roman"/>
          <w:lang w:val="fr-CA"/>
        </w:rPr>
      </w:pPr>
      <w:r w:rsidRPr="00414E99">
        <w:rPr>
          <w:rFonts w:cs="Times New Roman"/>
          <w:lang w:val="fr-CA"/>
        </w:rPr>
        <w:t>L’article 11 de la LACC confère</w:t>
      </w:r>
      <w:r w:rsidRPr="00414E99">
        <w:rPr>
          <w:rFonts w:cs="Times New Roman"/>
          <w:lang w:val="fr-CA"/>
        </w:rPr>
        <w:noBreakHyphen/>
        <w:t>t</w:t>
      </w:r>
      <w:r w:rsidRPr="00414E99">
        <w:rPr>
          <w:rFonts w:cs="Times New Roman"/>
          <w:lang w:val="fr-CA"/>
        </w:rPr>
        <w:noBreakHyphen/>
        <w:t>il au tribunal le pouvoir de faire passer les charges super prioritaires devant la fiducie réputée créée en faveur de la Couronne à l’égard des retenues à la source non versées?</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Il reste à décider si une autre disposition de la </w:t>
      </w:r>
      <w:r w:rsidRPr="00414E99">
        <w:rPr>
          <w:rFonts w:cs="Times New Roman"/>
          <w:i/>
          <w:lang w:val="fr-CA"/>
        </w:rPr>
        <w:t>LACC</w:t>
      </w:r>
      <w:r w:rsidRPr="00414E99">
        <w:rPr>
          <w:rFonts w:cs="Times New Roman"/>
          <w:lang w:val="fr-CA"/>
        </w:rPr>
        <w:t>, à savoir l’art. 11, confère ce pouvoir. Comme je l’ai mentionné plus haut, l’art. 11 permet au tribunal de rendre toute ordonnance qu’il estime indiquée, sous réserve des restrictions prévues par la loi :</w:t>
      </w:r>
    </w:p>
    <w:p w:rsidR="00344043" w:rsidRPr="00414E99" w:rsidRDefault="00344043" w:rsidP="00344043">
      <w:pPr>
        <w:pStyle w:val="Citation-AltC"/>
        <w:ind w:hanging="446"/>
        <w:contextualSpacing w:val="0"/>
        <w:rPr>
          <w:lang w:val="fr-CA"/>
        </w:rPr>
      </w:pPr>
      <w:r w:rsidRPr="00414E99">
        <w:rPr>
          <w:b/>
          <w:lang w:val="fr-CA"/>
        </w:rPr>
        <w:tab/>
        <w:t>11</w:t>
      </w:r>
      <w:r w:rsidRPr="00414E99">
        <w:rPr>
          <w:lang w:val="fr-CA"/>
        </w:rPr>
        <w:t xml:space="preserve"> Malgré toute disposition de la </w:t>
      </w:r>
      <w:r w:rsidRPr="00414E99">
        <w:rPr>
          <w:i/>
          <w:lang w:val="fr-CA"/>
        </w:rPr>
        <w:t>Loi sur la faillite et l’insolvabilité</w:t>
      </w:r>
      <w:r w:rsidRPr="00414E99">
        <w:rPr>
          <w:lang w:val="fr-CA"/>
        </w:rPr>
        <w:t xml:space="preserve"> ou de la </w:t>
      </w:r>
      <w:r w:rsidRPr="00414E99">
        <w:rPr>
          <w:i/>
          <w:lang w:val="fr-CA"/>
        </w:rPr>
        <w:t>Loi sur les liquidations et les restructurations</w:t>
      </w:r>
      <w:r w:rsidRPr="00414E99">
        <w:rPr>
          <w:lang w:val="fr-CA"/>
        </w:rPr>
        <w:t>, le tribunal peut, dans le cas de toute demande sous le régime de la présente loi à l’égard d’une compagnie débitrice, rendre, sur demande d’un intéressé, mais sous réserve des restrictions prévues par la présente loi et avec ou sans avis, toute ordonnance qu’il estime indiquée.</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Dans l’arrêt </w:t>
      </w:r>
      <w:r w:rsidRPr="00414E99">
        <w:rPr>
          <w:rFonts w:cs="Times New Roman"/>
          <w:i/>
          <w:lang w:val="fr-CA"/>
        </w:rPr>
        <w:t>9354</w:t>
      </w:r>
      <w:r w:rsidRPr="00414E99">
        <w:rPr>
          <w:rFonts w:cs="Times New Roman"/>
          <w:i/>
          <w:lang w:val="fr-CA"/>
        </w:rPr>
        <w:noBreakHyphen/>
        <w:t>9186 Québec inc.</w:t>
      </w:r>
      <w:r w:rsidRPr="00414E99">
        <w:rPr>
          <w:rFonts w:cs="Times New Roman"/>
          <w:lang w:val="fr-CA"/>
        </w:rPr>
        <w:t>, notre Cour a expliqué que le pouvoir discrétionnaire prévu à l’art. 11 est vaste, mais non sans limites (par. 49). Il y a trois « considérations de base » qu’il faut garder à l’esprit : (1) l’ordonnance demandée doit être indiquée; (2) le demandeur doit agir de bonne foi; (3) le demandeur doit faire preuve de la diligence voulue (</w:t>
      </w:r>
      <w:r w:rsidRPr="00414E99">
        <w:rPr>
          <w:rFonts w:cs="Times New Roman"/>
          <w:i/>
          <w:lang w:val="fr-CA"/>
        </w:rPr>
        <w:t>Century Services</w:t>
      </w:r>
      <w:r w:rsidRPr="00414E99">
        <w:rPr>
          <w:rFonts w:cs="Times New Roman"/>
          <w:lang w:val="fr-CA"/>
        </w:rPr>
        <w:t xml:space="preserve">, par. 70; </w:t>
      </w:r>
      <w:r w:rsidRPr="00414E99">
        <w:rPr>
          <w:rFonts w:cs="Times New Roman"/>
          <w:i/>
          <w:lang w:val="fr-CA"/>
        </w:rPr>
        <w:t>9354</w:t>
      </w:r>
      <w:r w:rsidRPr="00414E99">
        <w:rPr>
          <w:rFonts w:cs="Times New Roman"/>
          <w:i/>
          <w:lang w:val="fr-CA"/>
        </w:rPr>
        <w:noBreakHyphen/>
        <w:t>9186 Québec inc.</w:t>
      </w:r>
      <w:r w:rsidRPr="00414E99">
        <w:rPr>
          <w:rFonts w:cs="Times New Roman"/>
          <w:lang w:val="fr-CA"/>
        </w:rPr>
        <w:t xml:space="preserve">, par. 49). L’opportunité de l’ordonnance demandée est évaluée en déterminant si elle </w:t>
      </w:r>
      <w:r w:rsidRPr="00414E99">
        <w:rPr>
          <w:rFonts w:cs="Times New Roman"/>
          <w:lang w:val="fr-CA"/>
        </w:rPr>
        <w:lastRenderedPageBreak/>
        <w:t xml:space="preserve">favorisera la réalisation des objectifs réparateurs de la </w:t>
      </w:r>
      <w:r w:rsidRPr="00414E99">
        <w:rPr>
          <w:rFonts w:cs="Times New Roman"/>
          <w:i/>
          <w:lang w:val="fr-CA"/>
        </w:rPr>
        <w:t>LACC</w:t>
      </w:r>
      <w:r w:rsidRPr="00414E99">
        <w:rPr>
          <w:rFonts w:cs="Times New Roman"/>
          <w:lang w:val="fr-CA"/>
        </w:rPr>
        <w:t>. Cependant, « [l]a possibilité [. . .] de rendre des ordonnances plus spécifiques n’a pas pour effet de restreindre » la portée des termes généraux utilisés à l’art. 11 (</w:t>
      </w:r>
      <w:r w:rsidRPr="00414E99">
        <w:rPr>
          <w:rFonts w:cs="Times New Roman"/>
          <w:i/>
          <w:lang w:val="fr-CA"/>
        </w:rPr>
        <w:t>Century Services</w:t>
      </w:r>
      <w:r w:rsidRPr="00414E99">
        <w:rPr>
          <w:rFonts w:cs="Times New Roman"/>
          <w:lang w:val="fr-CA"/>
        </w:rPr>
        <w:t>, par. 70).</w:t>
      </w:r>
    </w:p>
    <w:p w:rsidR="00344043" w:rsidRPr="00414E99" w:rsidRDefault="00344043" w:rsidP="00344043">
      <w:pPr>
        <w:pStyle w:val="ParaNoNdepar-AltN"/>
        <w:spacing w:before="0"/>
        <w:rPr>
          <w:rFonts w:cs="Times New Roman"/>
          <w:lang w:val="fr-CA"/>
        </w:rPr>
      </w:pPr>
      <w:r w:rsidRPr="00414E99">
        <w:rPr>
          <w:rFonts w:cs="Times New Roman"/>
          <w:iCs/>
          <w:lang w:val="fr-CA"/>
        </w:rPr>
        <w:t xml:space="preserve">Conformément à la portée large de son libellé, l’art. 11 de la </w:t>
      </w:r>
      <w:r w:rsidRPr="00414E99">
        <w:rPr>
          <w:rFonts w:cs="Times New Roman"/>
          <w:i/>
          <w:iCs/>
          <w:lang w:val="fr-CA"/>
        </w:rPr>
        <w:t>LACC</w:t>
      </w:r>
      <w:r w:rsidRPr="00414E99">
        <w:rPr>
          <w:rFonts w:cs="Times New Roman"/>
          <w:iCs/>
          <w:lang w:val="fr-CA"/>
        </w:rPr>
        <w:t xml:space="preserve"> a été utilisé pour rendre un vaste éventail d’ordonnances. Plus récemment, par exemple, notre Cour a précisé qu’il pouvait être utilisé pour empêcher un créancier de voter sur un plan d’arrangement lorsqu’il agit dans un but illégitime</w:t>
      </w:r>
      <w:r w:rsidRPr="00414E99">
        <w:rPr>
          <w:rFonts w:cs="Times New Roman"/>
          <w:lang w:val="fr-CA"/>
        </w:rPr>
        <w:t xml:space="preserve"> (</w:t>
      </w:r>
      <w:r w:rsidRPr="00414E99">
        <w:rPr>
          <w:rFonts w:cs="Times New Roman"/>
          <w:i/>
          <w:lang w:val="fr-CA"/>
        </w:rPr>
        <w:t>9354</w:t>
      </w:r>
      <w:r w:rsidRPr="00414E99">
        <w:rPr>
          <w:rFonts w:cs="Times New Roman"/>
          <w:i/>
          <w:lang w:val="fr-CA"/>
        </w:rPr>
        <w:noBreakHyphen/>
        <w:t>9186 Québec inc.</w:t>
      </w:r>
      <w:r w:rsidRPr="00414E99">
        <w:rPr>
          <w:rFonts w:cs="Times New Roman"/>
          <w:lang w:val="fr-CA"/>
        </w:rPr>
        <w:t>, par. 56 et 66).</w:t>
      </w:r>
    </w:p>
    <w:p w:rsidR="00344043" w:rsidRPr="00414E99" w:rsidRDefault="00344043" w:rsidP="00344043">
      <w:pPr>
        <w:pStyle w:val="ParaNoNdepar-AltN"/>
        <w:spacing w:before="0"/>
        <w:rPr>
          <w:rFonts w:cs="Times New Roman"/>
          <w:lang w:val="fr-CA"/>
        </w:rPr>
      </w:pPr>
      <w:r w:rsidRPr="00414E99">
        <w:rPr>
          <w:rFonts w:cs="Times New Roman"/>
          <w:lang w:val="fr-CA"/>
        </w:rPr>
        <w:t>En l’espèce, la question est de savoir si l’art. 11 peut être utilisé pour faire passer le prêt d’un prêteur temporaire, ou toute autre charge super prioritaire, devant la fiducie réputée créée en faveur de la Couronne à l’égard des retenues à la source non versées. À mon avis, il peut l’être, et ce, pour deux raisons.</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Premièrement, étant donné ma conclusion quant à la teneur du droit que confère le par. 227(4.1) de la </w:t>
      </w:r>
      <w:r w:rsidRPr="00414E99">
        <w:rPr>
          <w:rFonts w:cs="Times New Roman"/>
          <w:i/>
          <w:lang w:val="fr-CA"/>
        </w:rPr>
        <w:t>LIR</w:t>
      </w:r>
      <w:r w:rsidRPr="00414E99">
        <w:rPr>
          <w:rFonts w:cs="Times New Roman"/>
          <w:lang w:val="fr-CA"/>
        </w:rPr>
        <w:t xml:space="preserve"> à la Couronne pour l’application de la </w:t>
      </w:r>
      <w:r w:rsidRPr="00414E99">
        <w:rPr>
          <w:rFonts w:cs="Times New Roman"/>
          <w:i/>
          <w:lang w:val="fr-CA"/>
        </w:rPr>
        <w:t>LACC</w:t>
      </w:r>
      <w:r w:rsidRPr="00414E99">
        <w:rPr>
          <w:rFonts w:cs="Times New Roman"/>
          <w:lang w:val="fr-CA"/>
        </w:rPr>
        <w:t xml:space="preserve"> (le droit d’exiger que le plan de transaction prévoie à tout le moins le paiement intégral des sommes dues), le fait de faire passer une charge super prioritaire devant la fiducie réputée de la Couronne n’entre pas en conflit avec la disposition de la </w:t>
      </w:r>
      <w:r w:rsidRPr="00414E99">
        <w:rPr>
          <w:rFonts w:cs="Times New Roman"/>
          <w:i/>
          <w:lang w:val="fr-CA"/>
        </w:rPr>
        <w:t>LIR</w:t>
      </w:r>
      <w:r w:rsidRPr="00414E99">
        <w:rPr>
          <w:rFonts w:cs="Times New Roman"/>
          <w:lang w:val="fr-CA"/>
        </w:rPr>
        <w:t xml:space="preserve">. Dès lors que les sommes qui lui sont dues lui sont payées intégralement dans le cadre d’un plan de transaction, le droit que possède la Couronne en vertu du par. 227(4.1) demeure intact « malgré toute autre garantie » sur le montant des retenues à la source non </w:t>
      </w:r>
      <w:r w:rsidRPr="00414E99">
        <w:rPr>
          <w:rFonts w:cs="Times New Roman"/>
          <w:lang w:val="fr-CA"/>
        </w:rPr>
        <w:lastRenderedPageBreak/>
        <w:t xml:space="preserve">versées. Pour cette raison, il importe peu de savoir si une charge super prioritaire constituée en vertu des art. 11, 11.2, 11.51 ou 11.52 de la </w:t>
      </w:r>
      <w:r w:rsidRPr="00414E99">
        <w:rPr>
          <w:rFonts w:cs="Times New Roman"/>
          <w:i/>
          <w:lang w:val="fr-CA"/>
        </w:rPr>
        <w:t>LACC</w:t>
      </w:r>
      <w:r w:rsidRPr="00414E99">
        <w:rPr>
          <w:rFonts w:cs="Times New Roman"/>
          <w:lang w:val="fr-CA"/>
        </w:rPr>
        <w:t xml:space="preserve"> est une « garantie » au sens des par. 227(4) et (4.1) de la </w:t>
      </w:r>
      <w:r w:rsidRPr="00414E99">
        <w:rPr>
          <w:rFonts w:cs="Times New Roman"/>
          <w:i/>
          <w:lang w:val="fr-CA"/>
        </w:rPr>
        <w:t>LIR</w:t>
      </w:r>
      <w:r w:rsidRPr="00414E99">
        <w:rPr>
          <w:rFonts w:cs="Times New Roman"/>
          <w:lang w:val="fr-CA"/>
        </w:rPr>
        <w:t xml:space="preserve">. L’analyse qui précède n’est pas tributaire de la conclusion selon laquelle une charge super prioritaire n’est pas visée par la définition contenue dans la </w:t>
      </w:r>
      <w:r w:rsidRPr="00414E99">
        <w:rPr>
          <w:rFonts w:cs="Times New Roman"/>
          <w:i/>
          <w:lang w:val="fr-CA"/>
        </w:rPr>
        <w:t>LIR</w:t>
      </w:r>
      <w:r w:rsidRPr="00414E99">
        <w:rPr>
          <w:rFonts w:cs="Times New Roman"/>
          <w:lang w:val="fr-CA"/>
        </w:rPr>
        <w:t>.</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En outre, selon les circonstances, une telle ordonnance peut favoriser la réalisation des objectifs réparateurs de la </w:t>
      </w:r>
      <w:r w:rsidRPr="00414E99">
        <w:rPr>
          <w:rFonts w:cs="Times New Roman"/>
          <w:i/>
          <w:lang w:val="fr-CA"/>
        </w:rPr>
        <w:t>LACC</w:t>
      </w:r>
      <w:r w:rsidRPr="00414E99">
        <w:rPr>
          <w:rFonts w:cs="Times New Roman"/>
          <w:lang w:val="fr-CA"/>
        </w:rPr>
        <w:t xml:space="preserve">. Par exemple, le financement temporaire est souvent crucial pour le processus de restructuration. S’il est démontré que le financement temporaire ne peut être obtenu sans que le prêt temporaire prenne rang devant la fiducie réputée de la Couronne, pareille ordonnance pourrait, là encore selon les circonstances, favoriser la réalisation des objectifs réparateurs de la </w:t>
      </w:r>
      <w:r w:rsidRPr="00414E99">
        <w:rPr>
          <w:rFonts w:cs="Times New Roman"/>
          <w:i/>
          <w:lang w:val="fr-CA"/>
        </w:rPr>
        <w:t>LACC</w:t>
      </w:r>
      <w:r w:rsidRPr="00414E99">
        <w:rPr>
          <w:rFonts w:cs="Times New Roman"/>
          <w:lang w:val="fr-CA"/>
        </w:rPr>
        <w:t>. En général, les tribunaux devraient disposer de la latitude nécessaire pour ordonner des charges super prioritaires en faveur des parties dont la fonction est de faciliter la proposition d’un plan de transaction qui, dans tous les cas, devra prévoir le paiement intégral des sommes dues à la Couronne.</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Deuxièmement, je n’accepte pas l’argument de la Couronne selon lequel il est impossible de recourir à l’art. 11 parce que d’autres dispositions de la </w:t>
      </w:r>
      <w:r w:rsidRPr="00414E99">
        <w:rPr>
          <w:rFonts w:cs="Times New Roman"/>
          <w:i/>
          <w:lang w:val="fr-CA"/>
        </w:rPr>
        <w:t>LACC</w:t>
      </w:r>
      <w:r w:rsidRPr="00414E99">
        <w:rPr>
          <w:rFonts w:cs="Times New Roman"/>
          <w:lang w:val="fr-CA"/>
        </w:rPr>
        <w:t xml:space="preserve">, à savoir les art. 11.2, 11.51 et 11.52, confèrent plus précisément compétence (voir </w:t>
      </w:r>
      <w:r w:rsidRPr="00414E99">
        <w:rPr>
          <w:rFonts w:cs="Times New Roman"/>
          <w:i/>
          <w:lang w:val="fr-CA"/>
        </w:rPr>
        <w:t>9354</w:t>
      </w:r>
      <w:r w:rsidRPr="00414E99">
        <w:rPr>
          <w:rFonts w:cs="Times New Roman"/>
          <w:i/>
          <w:lang w:val="fr-CA"/>
        </w:rPr>
        <w:noBreakHyphen/>
        <w:t>9186 Québec inc.</w:t>
      </w:r>
      <w:r w:rsidRPr="00414E99">
        <w:rPr>
          <w:rFonts w:cs="Times New Roman"/>
          <w:lang w:val="fr-CA"/>
        </w:rPr>
        <w:t>, par. 67</w:t>
      </w:r>
      <w:r w:rsidRPr="00414E99">
        <w:rPr>
          <w:rFonts w:cs="Times New Roman"/>
          <w:lang w:val="fr-CA"/>
        </w:rPr>
        <w:noBreakHyphen/>
        <w:t>68).</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Bien que je convienne que la portée de l’art. 11 soit limitée par les dispositions énoncées dans la </w:t>
      </w:r>
      <w:r w:rsidRPr="00414E99">
        <w:rPr>
          <w:rFonts w:cs="Times New Roman"/>
          <w:i/>
          <w:lang w:val="fr-CA"/>
        </w:rPr>
        <w:t>LACC</w:t>
      </w:r>
      <w:r w:rsidRPr="00414E99">
        <w:rPr>
          <w:rFonts w:cs="Times New Roman"/>
          <w:lang w:val="fr-CA"/>
        </w:rPr>
        <w:t xml:space="preserve"> et que cet article ne puisse être utilisé en </w:t>
      </w:r>
      <w:r w:rsidRPr="00414E99">
        <w:rPr>
          <w:rFonts w:cs="Times New Roman"/>
          <w:lang w:val="fr-CA"/>
        </w:rPr>
        <w:lastRenderedPageBreak/>
        <w:t xml:space="preserve">contravention d’autres dispositions précises de cette loi, « [l]a possibilité [. . .] de rendre des ordonnances plus spécifiques n’a pas pour effet de restreindre » la portée de l’art. 11. Le fait que des dispositions précises de la </w:t>
      </w:r>
      <w:r w:rsidRPr="00414E99">
        <w:rPr>
          <w:rFonts w:cs="Times New Roman"/>
          <w:i/>
          <w:lang w:val="fr-CA"/>
        </w:rPr>
        <w:t>LACC</w:t>
      </w:r>
      <w:r w:rsidRPr="00414E99">
        <w:rPr>
          <w:rFonts w:cs="Times New Roman"/>
          <w:lang w:val="fr-CA"/>
        </w:rPr>
        <w:t xml:space="preserve"> permettent au tribunal de faire passer des charges super prioritaires devant les réclamations des créanciers garantis ne signifie pas que le tribunal peut </w:t>
      </w:r>
      <w:r w:rsidRPr="00414E99">
        <w:rPr>
          <w:rFonts w:cs="Times New Roman"/>
          <w:i/>
          <w:lang w:val="fr-CA"/>
        </w:rPr>
        <w:t xml:space="preserve">seulement </w:t>
      </w:r>
      <w:r w:rsidRPr="00414E99">
        <w:rPr>
          <w:rFonts w:cs="Times New Roman"/>
          <w:lang w:val="fr-CA"/>
        </w:rPr>
        <w:t xml:space="preserve">faire passer des charges super prioritaires devant les réclamations des créanciers garantis. Une telle interprétation reviendrait à ajouter aux art. 11.2, 11.51 et 11.52 des mots qui n’existent pas. Une ordonnance accordant à une charge super prioritaire la préséance sur le bénéficiaire de la fiducie réputée est, par sa nature, différente des ordonnances visées par les art. 11.2, 11.51 et 11.52, qui prévoient la subordination des réclamations des créanciers garantis. Aucune disposition de la </w:t>
      </w:r>
      <w:r w:rsidRPr="00414E99">
        <w:rPr>
          <w:rFonts w:cs="Times New Roman"/>
          <w:i/>
          <w:lang w:val="fr-CA"/>
        </w:rPr>
        <w:t>LACC</w:t>
      </w:r>
      <w:r w:rsidRPr="00414E99">
        <w:rPr>
          <w:rFonts w:cs="Times New Roman"/>
          <w:lang w:val="fr-CA"/>
        </w:rPr>
        <w:t xml:space="preserve"> n’indique ce que le tribunal peut faire avec les biens de la fiducie et aucune disposition de la </w:t>
      </w:r>
      <w:r w:rsidRPr="00414E99">
        <w:rPr>
          <w:rFonts w:cs="Times New Roman"/>
          <w:i/>
          <w:lang w:val="fr-CA"/>
        </w:rPr>
        <w:t>LACC</w:t>
      </w:r>
      <w:r w:rsidRPr="00414E99">
        <w:rPr>
          <w:rFonts w:cs="Times New Roman"/>
          <w:lang w:val="fr-CA"/>
        </w:rPr>
        <w:t xml:space="preserve"> ne confère plus précisément compétence pour décider si une charge super prioritaire peut prendre rang devant le bénéficiaire de la fiducie réputée. Tant qu’elle n’entre pas en conflit avec d’autres dispositions de la </w:t>
      </w:r>
      <w:r w:rsidRPr="00414E99">
        <w:rPr>
          <w:rFonts w:cs="Times New Roman"/>
          <w:i/>
          <w:lang w:val="fr-CA"/>
        </w:rPr>
        <w:t>LACC</w:t>
      </w:r>
      <w:r w:rsidRPr="00414E99">
        <w:rPr>
          <w:rFonts w:cs="Times New Roman"/>
          <w:lang w:val="fr-CA"/>
        </w:rPr>
        <w:t>, à savoir les par. 37(2) et 6(3), et tant qu’elle respecte les « considérations de base » que sont l’opportunité, la bonne foi et la diligence voulue, une ordonnance faisant passer une charge super prioritaire devant la fiducie réputée de la Couronne relèverait du pouvoir conféré par l’art. 11 (</w:t>
      </w:r>
      <w:r w:rsidRPr="00414E99">
        <w:rPr>
          <w:rFonts w:cs="Times New Roman"/>
          <w:i/>
          <w:lang w:val="fr-CA"/>
        </w:rPr>
        <w:t>Century Services</w:t>
      </w:r>
      <w:r w:rsidRPr="00414E99">
        <w:rPr>
          <w:rFonts w:cs="Times New Roman"/>
          <w:lang w:val="fr-CA"/>
        </w:rPr>
        <w:t xml:space="preserve">, par. 70; </w:t>
      </w:r>
      <w:r w:rsidRPr="00414E99">
        <w:rPr>
          <w:rFonts w:cs="Times New Roman"/>
          <w:i/>
          <w:lang w:val="fr-CA"/>
        </w:rPr>
        <w:t>9354</w:t>
      </w:r>
      <w:r w:rsidRPr="00414E99">
        <w:rPr>
          <w:rFonts w:cs="Times New Roman"/>
          <w:i/>
          <w:lang w:val="fr-CA"/>
        </w:rPr>
        <w:noBreakHyphen/>
        <w:t>9186 Québec inc.</w:t>
      </w:r>
      <w:r w:rsidRPr="00414E99">
        <w:rPr>
          <w:rFonts w:cs="Times New Roman"/>
          <w:lang w:val="fr-CA"/>
        </w:rPr>
        <w:t xml:space="preserve">, par. 49). Comme je l’ai expliqué précédemment, il n’y aurait aucun conflit avec les par. 37(2) et 6(3) de la </w:t>
      </w:r>
      <w:r w:rsidRPr="00414E99">
        <w:rPr>
          <w:rFonts w:cs="Times New Roman"/>
          <w:i/>
          <w:lang w:val="fr-CA"/>
        </w:rPr>
        <w:t>LACC</w:t>
      </w:r>
      <w:r w:rsidRPr="00414E99">
        <w:rPr>
          <w:rFonts w:cs="Times New Roman"/>
          <w:lang w:val="fr-CA"/>
        </w:rPr>
        <w:t>.</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Les deux parties ont invoqué des considérations de politique pour faciliter l’exercice d’interprétation. Je n’estime pas nécessaire de recourir à de tels arguments. </w:t>
      </w:r>
      <w:r w:rsidRPr="00414E99">
        <w:rPr>
          <w:rFonts w:cs="Times New Roman"/>
          <w:lang w:val="fr-CA"/>
        </w:rPr>
        <w:lastRenderedPageBreak/>
        <w:t xml:space="preserve">Cependant, il est loin d’être évident que le financement temporaire prendrait tout simplement fin si une super priorité était accordée à la fiducie réputée de la Couronne dans une affaire qui s’y prête. Il est également loin d’être évident que la Couronne subirait un préjudice important si la préséance était accordée aux charges super prioritaires dans une affaire donnée, compte tenu de l’existence du par. 6(3) de la </w:t>
      </w:r>
      <w:r w:rsidRPr="00414E99">
        <w:rPr>
          <w:rFonts w:cs="Times New Roman"/>
          <w:i/>
          <w:lang w:val="fr-CA"/>
        </w:rPr>
        <w:t>LACC</w:t>
      </w:r>
      <w:r w:rsidRPr="00414E99">
        <w:rPr>
          <w:rFonts w:cs="Times New Roman"/>
          <w:lang w:val="fr-CA"/>
        </w:rPr>
        <w:t xml:space="preserve"> exigeant le paiement intégral des sommes dues et du traitement favorable de la Couronne dans le régime de liquidation de la </w:t>
      </w:r>
      <w:r w:rsidRPr="00414E99">
        <w:rPr>
          <w:rFonts w:cs="Times New Roman"/>
          <w:i/>
          <w:lang w:val="fr-CA"/>
        </w:rPr>
        <w:t>LFI</w:t>
      </w:r>
      <w:r w:rsidRPr="00414E99">
        <w:rPr>
          <w:rFonts w:cs="Times New Roman"/>
          <w:lang w:val="fr-CA"/>
        </w:rPr>
        <w:t xml:space="preserve"> en cas d’échec de la restructuration. Chose certaine, le financement temporaire est crucial pour le processus de restructuration, et la fiducie réputée créée en faveur de la Couronne à l’égard des retenues à la source non versées est cruciale pour le recouvrement des créances fiscales. Il reviendra au juge chargé d’appliquer la </w:t>
      </w:r>
      <w:r w:rsidRPr="00414E99">
        <w:rPr>
          <w:rFonts w:cs="Times New Roman"/>
          <w:i/>
          <w:lang w:val="fr-CA"/>
        </w:rPr>
        <w:t>LACC</w:t>
      </w:r>
      <w:r w:rsidRPr="00414E99">
        <w:rPr>
          <w:rFonts w:cs="Times New Roman"/>
          <w:lang w:val="fr-CA"/>
        </w:rPr>
        <w:t xml:space="preserve"> de soupeser et de pondérer les différents facteurs.</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À cette fin, l’art. 11 de la </w:t>
      </w:r>
      <w:r w:rsidRPr="00414E99">
        <w:rPr>
          <w:rFonts w:cs="Times New Roman"/>
          <w:i/>
          <w:lang w:val="fr-CA"/>
        </w:rPr>
        <w:t>LACC</w:t>
      </w:r>
      <w:r w:rsidRPr="00414E99">
        <w:rPr>
          <w:rFonts w:cs="Times New Roman"/>
          <w:lang w:val="fr-CA"/>
        </w:rPr>
        <w:t xml:space="preserve"> donne au tribunal le pouvoir discrétionnaire et la latitude nécessaires pour soupeser les diverses considérations pour se prononcer sur l’opportunité de faire passer une charge super prioritaire devant la fiducie réputée créée en faveur de la Couronne à l’égard des retenues à la source non versées. Le tribunal doit examiner attentivement les faits propres à l’affaire pour décider si une telle ordonnance est nécessaire et appropriée. Le cas échéant, le tribunal tient compte de l’intérêt que possède la Couronne dans la fiducie réputée en raison du par. 37(2). Pour ce faire, le tribunal peut sans aucun doute s’appuyer, entre autres, sur les facteurs déjà énoncés au par. 11.2(4) — la durée probable des</w:t>
      </w:r>
      <w:r>
        <w:rPr>
          <w:rFonts w:cs="Times New Roman"/>
          <w:lang w:val="fr-CA"/>
        </w:rPr>
        <w:t xml:space="preserve"> procédures intentées sous le ré</w:t>
      </w:r>
      <w:r w:rsidRPr="00414E99">
        <w:rPr>
          <w:rFonts w:cs="Times New Roman"/>
          <w:lang w:val="fr-CA"/>
        </w:rPr>
        <w:t xml:space="preserve">gime de la </w:t>
      </w:r>
      <w:r w:rsidRPr="00414E99">
        <w:rPr>
          <w:rFonts w:cs="Times New Roman"/>
          <w:i/>
          <w:lang w:val="fr-CA"/>
        </w:rPr>
        <w:t>LACC</w:t>
      </w:r>
      <w:r w:rsidRPr="00414E99">
        <w:rPr>
          <w:rFonts w:cs="Times New Roman"/>
          <w:lang w:val="fr-CA"/>
        </w:rPr>
        <w:t xml:space="preserve">, les plans d’administration de la compagnie au cours de ces </w:t>
      </w:r>
      <w:r w:rsidRPr="00414E99">
        <w:rPr>
          <w:rFonts w:cs="Times New Roman"/>
          <w:lang w:val="fr-CA"/>
        </w:rPr>
        <w:lastRenderedPageBreak/>
        <w:t xml:space="preserve">procédures, les opinions des créanciers les plus importants de la compagnie et du contrôleur et la capacité de la compagnie d’obtenir un financement temporaire. Le paragraphe 11.2(4) de la </w:t>
      </w:r>
      <w:r w:rsidRPr="00414E99">
        <w:rPr>
          <w:rFonts w:cs="Times New Roman"/>
          <w:i/>
          <w:lang w:val="fr-CA"/>
        </w:rPr>
        <w:t>LACC</w:t>
      </w:r>
      <w:r w:rsidRPr="00414E99">
        <w:rPr>
          <w:rFonts w:cs="Times New Roman"/>
          <w:lang w:val="fr-CA"/>
        </w:rPr>
        <w:t xml:space="preserve"> dispose :</w:t>
      </w:r>
    </w:p>
    <w:p w:rsidR="00344043" w:rsidRPr="00414E99" w:rsidRDefault="00344043" w:rsidP="00344043">
      <w:pPr>
        <w:pStyle w:val="Citation-AltC"/>
        <w:spacing w:after="240"/>
        <w:ind w:left="1170" w:hanging="360"/>
        <w:contextualSpacing w:val="0"/>
        <w:rPr>
          <w:lang w:val="fr-CA"/>
        </w:rPr>
      </w:pPr>
      <w:r w:rsidRPr="00414E99">
        <w:rPr>
          <w:b/>
          <w:lang w:val="fr-CA"/>
        </w:rPr>
        <w:tab/>
        <w:t>(4)</w:t>
      </w:r>
      <w:r w:rsidRPr="00414E99">
        <w:rPr>
          <w:lang w:val="fr-CA"/>
        </w:rPr>
        <w:t xml:space="preserve"> Pour décider s’il rend l’ordonnance, le tribunal prend en considération, entre autres, les facteurs suivants :</w:t>
      </w:r>
    </w:p>
    <w:p w:rsidR="00344043" w:rsidRPr="00414E99" w:rsidRDefault="00344043" w:rsidP="00344043">
      <w:pPr>
        <w:pStyle w:val="Citation-AltC"/>
        <w:tabs>
          <w:tab w:val="left" w:pos="2160"/>
        </w:tabs>
        <w:spacing w:after="240"/>
        <w:ind w:left="2160" w:hanging="360"/>
        <w:contextualSpacing w:val="0"/>
        <w:rPr>
          <w:lang w:val="fr-CA"/>
        </w:rPr>
      </w:pPr>
      <w:r w:rsidRPr="00414E99">
        <w:rPr>
          <w:b/>
          <w:lang w:val="fr-CA"/>
        </w:rPr>
        <w:tab/>
        <w:t>a)</w:t>
      </w:r>
      <w:r w:rsidRPr="00414E99">
        <w:rPr>
          <w:lang w:val="fr-CA"/>
        </w:rPr>
        <w:t xml:space="preserve"> la durée prévue des procédures intentées à l’égard de la compagnie sous le régime de la présente loi;</w:t>
      </w:r>
    </w:p>
    <w:p w:rsidR="00344043" w:rsidRPr="00414E99" w:rsidRDefault="00344043" w:rsidP="00344043">
      <w:pPr>
        <w:pStyle w:val="Citation-AltC"/>
        <w:spacing w:after="240"/>
        <w:ind w:left="2160" w:hanging="360"/>
        <w:contextualSpacing w:val="0"/>
        <w:rPr>
          <w:lang w:val="fr-CA"/>
        </w:rPr>
      </w:pPr>
      <w:r w:rsidRPr="00414E99">
        <w:rPr>
          <w:b/>
          <w:lang w:val="fr-CA"/>
        </w:rPr>
        <w:tab/>
        <w:t>b)</w:t>
      </w:r>
      <w:r w:rsidRPr="00414E99">
        <w:rPr>
          <w:lang w:val="fr-CA"/>
        </w:rPr>
        <w:t xml:space="preserve"> la façon dont les affaires financières et autres de la compagnie seront gérées au cours de ces procédures;</w:t>
      </w:r>
    </w:p>
    <w:p w:rsidR="00344043" w:rsidRPr="00414E99" w:rsidRDefault="00344043" w:rsidP="00344043">
      <w:pPr>
        <w:pStyle w:val="Citation-AltC"/>
        <w:spacing w:after="240"/>
        <w:ind w:left="2160" w:hanging="360"/>
        <w:contextualSpacing w:val="0"/>
        <w:rPr>
          <w:lang w:val="fr-CA"/>
        </w:rPr>
      </w:pPr>
      <w:r w:rsidRPr="00414E99">
        <w:rPr>
          <w:b/>
          <w:lang w:val="fr-CA"/>
        </w:rPr>
        <w:tab/>
        <w:t>c)</w:t>
      </w:r>
      <w:r w:rsidRPr="00414E99">
        <w:rPr>
          <w:lang w:val="fr-CA"/>
        </w:rPr>
        <w:t xml:space="preserve"> la question de savoir si ses dirigeants ont la confiance de ses créanciers les plus importants;</w:t>
      </w:r>
    </w:p>
    <w:p w:rsidR="00344043" w:rsidRPr="00414E99" w:rsidRDefault="00344043" w:rsidP="00344043">
      <w:pPr>
        <w:pStyle w:val="Citation-AltC"/>
        <w:spacing w:after="240"/>
        <w:ind w:left="2160" w:hanging="360"/>
        <w:contextualSpacing w:val="0"/>
        <w:rPr>
          <w:lang w:val="fr-CA"/>
        </w:rPr>
      </w:pPr>
      <w:r w:rsidRPr="00414E99">
        <w:rPr>
          <w:lang w:val="fr-CA"/>
        </w:rPr>
        <w:tab/>
      </w:r>
      <w:r w:rsidRPr="00414E99">
        <w:rPr>
          <w:b/>
          <w:lang w:val="fr-CA"/>
        </w:rPr>
        <w:t>d)</w:t>
      </w:r>
      <w:r w:rsidRPr="00414E99">
        <w:rPr>
          <w:lang w:val="fr-CA"/>
        </w:rPr>
        <w:t xml:space="preserve"> la question de savoir si le prêt favorisera la conclusion d’une transaction ou d’un arrangement viable à l’égard de la compagnie;</w:t>
      </w:r>
    </w:p>
    <w:p w:rsidR="00344043" w:rsidRPr="00414E99" w:rsidRDefault="00344043" w:rsidP="00344043">
      <w:pPr>
        <w:pStyle w:val="Citation-AltC"/>
        <w:spacing w:after="240"/>
        <w:ind w:left="2160" w:hanging="360"/>
        <w:contextualSpacing w:val="0"/>
        <w:rPr>
          <w:lang w:val="fr-CA"/>
        </w:rPr>
      </w:pPr>
      <w:r w:rsidRPr="00414E99">
        <w:rPr>
          <w:lang w:val="fr-CA"/>
        </w:rPr>
        <w:tab/>
      </w:r>
      <w:r w:rsidRPr="00414E99">
        <w:rPr>
          <w:b/>
          <w:lang w:val="fr-CA"/>
        </w:rPr>
        <w:t>e)</w:t>
      </w:r>
      <w:r w:rsidRPr="00414E99">
        <w:rPr>
          <w:lang w:val="fr-CA"/>
        </w:rPr>
        <w:t xml:space="preserve"> la nature et la valeur des biens de la compagnie;</w:t>
      </w:r>
    </w:p>
    <w:p w:rsidR="00344043" w:rsidRPr="00414E99" w:rsidRDefault="00344043" w:rsidP="00344043">
      <w:pPr>
        <w:pStyle w:val="Citation-AltC"/>
        <w:spacing w:after="240"/>
        <w:ind w:left="2160" w:hanging="360"/>
        <w:contextualSpacing w:val="0"/>
        <w:rPr>
          <w:lang w:val="fr-CA"/>
        </w:rPr>
      </w:pPr>
      <w:r w:rsidRPr="00414E99">
        <w:rPr>
          <w:lang w:val="fr-CA"/>
        </w:rPr>
        <w:tab/>
      </w:r>
      <w:r w:rsidRPr="00414E99">
        <w:rPr>
          <w:b/>
          <w:lang w:val="fr-CA"/>
        </w:rPr>
        <w:t>f)</w:t>
      </w:r>
      <w:r w:rsidRPr="00414E99">
        <w:rPr>
          <w:lang w:val="fr-CA"/>
        </w:rPr>
        <w:t xml:space="preserve"> la question de savoir si la charge ou sûreté causera un préjudice sérieux à l’un ou l’autre des créanciers de la compagnie; </w:t>
      </w:r>
    </w:p>
    <w:p w:rsidR="00344043" w:rsidRPr="00414E99" w:rsidRDefault="00344043" w:rsidP="00344043">
      <w:pPr>
        <w:pStyle w:val="Citation-AltC"/>
        <w:ind w:left="2160" w:hanging="360"/>
        <w:contextualSpacing w:val="0"/>
        <w:rPr>
          <w:lang w:val="fr-CA"/>
        </w:rPr>
      </w:pPr>
      <w:r w:rsidRPr="00414E99">
        <w:rPr>
          <w:lang w:val="fr-CA"/>
        </w:rPr>
        <w:tab/>
      </w:r>
      <w:r w:rsidRPr="00414E99">
        <w:rPr>
          <w:b/>
          <w:lang w:val="fr-CA"/>
        </w:rPr>
        <w:t>g)</w:t>
      </w:r>
      <w:r w:rsidRPr="00414E99">
        <w:rPr>
          <w:lang w:val="fr-CA"/>
        </w:rPr>
        <w:t xml:space="preserve"> le rapport du contrôleur visé à l’alinéa 23(1)b).</w:t>
      </w:r>
    </w:p>
    <w:p w:rsidR="00344043" w:rsidRPr="00414E99" w:rsidRDefault="00344043" w:rsidP="00344043">
      <w:pPr>
        <w:pStyle w:val="ParaNoNdepar-AltN"/>
        <w:spacing w:before="0"/>
        <w:rPr>
          <w:rFonts w:cs="Times New Roman"/>
          <w:lang w:val="fr-CA"/>
        </w:rPr>
      </w:pPr>
      <w:r w:rsidRPr="00414E99">
        <w:rPr>
          <w:rFonts w:cs="Times New Roman"/>
          <w:lang w:val="fr-CA"/>
        </w:rPr>
        <w:t>De plus, je suis d’avis que le tribunal peut également tenir compte de ce qui suit :</w:t>
      </w:r>
    </w:p>
    <w:p w:rsidR="00344043" w:rsidRPr="00414E99" w:rsidRDefault="00344043" w:rsidP="00344043">
      <w:pPr>
        <w:pStyle w:val="Citation-AltC"/>
        <w:numPr>
          <w:ilvl w:val="0"/>
          <w:numId w:val="21"/>
        </w:numPr>
        <w:spacing w:after="480" w:line="480" w:lineRule="auto"/>
        <w:ind w:left="1525" w:hanging="357"/>
        <w:contextualSpacing w:val="0"/>
        <w:rPr>
          <w:lang w:val="fr-CA"/>
        </w:rPr>
      </w:pPr>
      <w:r w:rsidRPr="00414E99">
        <w:rPr>
          <w:lang w:val="fr-CA"/>
        </w:rPr>
        <w:t>la question de savoir si le prêteur temporaire a indiqué, de bonne foi, qu’il n’accordera pas de prêt au débiteur à moins que ce prêt prenne rang devant la fiducie réputée de la Couronne;</w:t>
      </w:r>
    </w:p>
    <w:p w:rsidR="00344043" w:rsidRPr="00414E99" w:rsidRDefault="00344043" w:rsidP="00344043">
      <w:pPr>
        <w:pStyle w:val="Citation-AltC"/>
        <w:numPr>
          <w:ilvl w:val="0"/>
          <w:numId w:val="21"/>
        </w:numPr>
        <w:spacing w:after="480" w:line="480" w:lineRule="auto"/>
        <w:ind w:left="1525" w:hanging="357"/>
        <w:contextualSpacing w:val="0"/>
        <w:rPr>
          <w:lang w:val="fr-CA"/>
        </w:rPr>
      </w:pPr>
      <w:r w:rsidRPr="00414E99">
        <w:rPr>
          <w:lang w:val="fr-CA"/>
        </w:rPr>
        <w:lastRenderedPageBreak/>
        <w:t>les montants relatifs du prêt temporaire et des retenues à la source non versées (si le montant des retenues à la source non versées ne représente qu’une petite fraction du montant du prêt temporaire, le prêteur temporaire ne subirait pas nécessairement de préjudice important si une super priorité ne lui était pas accordée);</w:t>
      </w:r>
    </w:p>
    <w:p w:rsidR="00344043" w:rsidRPr="00414E99" w:rsidRDefault="00344043" w:rsidP="00344043">
      <w:pPr>
        <w:pStyle w:val="Citation-AltC"/>
        <w:numPr>
          <w:ilvl w:val="0"/>
          <w:numId w:val="21"/>
        </w:numPr>
        <w:spacing w:after="480" w:line="480" w:lineRule="auto"/>
        <w:ind w:left="1526"/>
        <w:contextualSpacing w:val="0"/>
        <w:rPr>
          <w:lang w:val="fr-CA"/>
        </w:rPr>
      </w:pPr>
      <w:r w:rsidRPr="00414E99">
        <w:rPr>
          <w:lang w:val="fr-CA"/>
        </w:rPr>
        <w:t>la question de savoir si, et pendant combien de temps, la Couronne a permis le non</w:t>
      </w:r>
      <w:r w:rsidRPr="00414E99">
        <w:rPr>
          <w:lang w:val="fr-CA"/>
        </w:rPr>
        <w:noBreakHyphen/>
        <w:t>versement des retenues à la source sans prendre de mesures (voir</w:t>
      </w:r>
      <w:r>
        <w:rPr>
          <w:lang w:val="fr-CA"/>
        </w:rPr>
        <w:t>,</w:t>
      </w:r>
      <w:r w:rsidRPr="00414E99">
        <w:rPr>
          <w:lang w:val="fr-CA"/>
        </w:rPr>
        <w:t xml:space="preserve"> p. ex.</w:t>
      </w:r>
      <w:r>
        <w:rPr>
          <w:lang w:val="fr-CA"/>
        </w:rPr>
        <w:t>,</w:t>
      </w:r>
      <w:r w:rsidRPr="00414E99">
        <w:rPr>
          <w:lang w:val="fr-CA"/>
        </w:rPr>
        <w:t xml:space="preserve"> Hanlon, Tickle et Csiszar); </w:t>
      </w:r>
    </w:p>
    <w:p w:rsidR="00344043" w:rsidRPr="00414E99" w:rsidRDefault="00344043" w:rsidP="00344043">
      <w:pPr>
        <w:pStyle w:val="Citation-AltC"/>
        <w:numPr>
          <w:ilvl w:val="0"/>
          <w:numId w:val="21"/>
        </w:numPr>
        <w:spacing w:after="480" w:line="480" w:lineRule="auto"/>
        <w:ind w:left="1526"/>
        <w:contextualSpacing w:val="0"/>
        <w:rPr>
          <w:lang w:val="fr-CA"/>
        </w:rPr>
      </w:pPr>
      <w:r w:rsidRPr="00414E99">
        <w:rPr>
          <w:lang w:val="fr-CA"/>
        </w:rPr>
        <w:t xml:space="preserve">enfin, les probabilités de succès d’une restructuration et la question de savoir si la </w:t>
      </w:r>
      <w:r w:rsidRPr="00414E99">
        <w:rPr>
          <w:i/>
          <w:lang w:val="fr-CA"/>
        </w:rPr>
        <w:t>LACC</w:t>
      </w:r>
      <w:r w:rsidRPr="00414E99">
        <w:rPr>
          <w:lang w:val="fr-CA"/>
        </w:rPr>
        <w:t xml:space="preserve"> est susceptible d’être invoquée pour liquider les actifs du débiteur. </w:t>
      </w:r>
    </w:p>
    <w:p w:rsidR="00344043" w:rsidRPr="00414E99" w:rsidRDefault="00344043" w:rsidP="00344043">
      <w:pPr>
        <w:pStyle w:val="ParaNoNdepar-AltN"/>
        <w:spacing w:before="0"/>
        <w:rPr>
          <w:rFonts w:cs="Times New Roman"/>
          <w:lang w:val="fr-CA"/>
        </w:rPr>
      </w:pPr>
      <w:r w:rsidRPr="00414E99">
        <w:rPr>
          <w:rFonts w:cs="Times New Roman"/>
          <w:lang w:val="fr-CA"/>
        </w:rPr>
        <w:t>Enfin, différentes considérations entreront en jeu si un tribunal envisage de faire passer la charge d’une autre partie, comme la charge du contrôleur ou des dirigeants, devant la fiducie réputée de la Couronne.</w:t>
      </w:r>
    </w:p>
    <w:p w:rsidR="00344043" w:rsidRPr="00414E99" w:rsidRDefault="00344043" w:rsidP="00344043">
      <w:pPr>
        <w:pStyle w:val="Title1LevelTitre1Niveau-AltL"/>
        <w:spacing w:before="0"/>
        <w:rPr>
          <w:rFonts w:cs="Times New Roman"/>
          <w:lang w:val="fr-CA"/>
        </w:rPr>
      </w:pPr>
      <w:r w:rsidRPr="00414E99">
        <w:rPr>
          <w:rFonts w:cs="Times New Roman"/>
          <w:lang w:val="fr-CA"/>
        </w:rPr>
        <w:t>Conclusion</w:t>
      </w:r>
    </w:p>
    <w:p w:rsidR="00344043" w:rsidRPr="00414E99" w:rsidRDefault="00344043" w:rsidP="00344043">
      <w:pPr>
        <w:pStyle w:val="ParaNoNdepar-AltN"/>
        <w:spacing w:before="0"/>
        <w:rPr>
          <w:rFonts w:cs="Times New Roman"/>
          <w:lang w:val="fr-CA"/>
        </w:rPr>
      </w:pPr>
      <w:r w:rsidRPr="00414E99">
        <w:rPr>
          <w:rFonts w:cs="Times New Roman"/>
          <w:lang w:val="fr-CA"/>
        </w:rPr>
        <w:t xml:space="preserve">Je suis d’avis de rejeter le pourvoi et je précise que le pouvoir de faire passer des charges super prioritaires devant la fiducie réputée créée en faveur de la Couronne à l’égard des retenues à la source non versées découle de l’art. 11 de la </w:t>
      </w:r>
      <w:r w:rsidRPr="00414E99">
        <w:rPr>
          <w:rFonts w:cs="Times New Roman"/>
          <w:i/>
          <w:lang w:val="fr-CA"/>
        </w:rPr>
        <w:t>LACC</w:t>
      </w:r>
      <w:r w:rsidRPr="00414E99">
        <w:rPr>
          <w:rFonts w:cs="Times New Roman"/>
          <w:lang w:val="fr-CA"/>
        </w:rPr>
        <w:t xml:space="preserve"> plutôt que des art. 11.2, 11.51 et 11.52. L’intérêt de la Couronne au titre du </w:t>
      </w:r>
      <w:r w:rsidRPr="00414E99">
        <w:rPr>
          <w:rFonts w:cs="Times New Roman"/>
          <w:lang w:val="fr-CA"/>
        </w:rPr>
        <w:lastRenderedPageBreak/>
        <w:t xml:space="preserve">par. 227(4.1) de la </w:t>
      </w:r>
      <w:r w:rsidRPr="00414E99">
        <w:rPr>
          <w:rFonts w:cs="Times New Roman"/>
          <w:i/>
          <w:lang w:val="fr-CA"/>
        </w:rPr>
        <w:t>LIR</w:t>
      </w:r>
      <w:r w:rsidRPr="00414E99">
        <w:rPr>
          <w:rFonts w:cs="Times New Roman"/>
          <w:lang w:val="fr-CA"/>
        </w:rPr>
        <w:t xml:space="preserve"> est une fiducie réputée, mais le droit de bénéficiaire sur les biens d’une fiducie réputée constitue une adaptation de concepts de droit privé sans signification établie. Par conséquent, la nature particulière du droit de bénéficiaire sur les biens de la fiducie réputée doit être déterminée dans le contexte pertinent où il est invoqué. En l’espèce, le droit de la Couronne sur les retenues à la source non versées dans le cadre d’une restructuration sous le régime de la </w:t>
      </w:r>
      <w:r w:rsidRPr="00414E99">
        <w:rPr>
          <w:rFonts w:cs="Times New Roman"/>
          <w:i/>
          <w:lang w:val="fr-CA"/>
        </w:rPr>
        <w:t>LACC</w:t>
      </w:r>
      <w:r w:rsidRPr="00414E99">
        <w:rPr>
          <w:rFonts w:cs="Times New Roman"/>
          <w:lang w:val="fr-CA"/>
        </w:rPr>
        <w:t xml:space="preserve"> est protégé tant par le par. 37(2) que par le par. 6(3). Le premier est souple et exige que l’on tienne compte des biens réputés détenus en fiducie par la Couronne lorsque cela est approprié dans le cadre de la loi; le deuxième exige spécifiquement que le plan de transaction prévoie le paiement intégral des créances de la Couronne visées par la fiducie réputée dans les six mois suivant l’homologation du plan. Le droit de la Couronne diffère sous le régime de la </w:t>
      </w:r>
      <w:r w:rsidRPr="00414E99">
        <w:rPr>
          <w:rFonts w:cs="Times New Roman"/>
          <w:i/>
          <w:lang w:val="fr-CA"/>
        </w:rPr>
        <w:t>LFI</w:t>
      </w:r>
      <w:r w:rsidRPr="00414E99">
        <w:rPr>
          <w:rFonts w:cs="Times New Roman"/>
          <w:lang w:val="fr-CA"/>
        </w:rPr>
        <w:t xml:space="preserve">, conformément aux objectifs et aux régimes différents de la liquidation et de la restructuration. Étant donné la teneur du droit de la Couronne sur les retenues à la source non versées dans le cadre d’une restructuration sous le régime de la </w:t>
      </w:r>
      <w:r w:rsidRPr="00414E99">
        <w:rPr>
          <w:rFonts w:cs="Times New Roman"/>
          <w:i/>
          <w:lang w:val="fr-CA"/>
        </w:rPr>
        <w:t>LACC</w:t>
      </w:r>
      <w:r w:rsidRPr="00414E99">
        <w:rPr>
          <w:rFonts w:cs="Times New Roman"/>
          <w:lang w:val="fr-CA"/>
        </w:rPr>
        <w:t xml:space="preserve">, il n’y a pas de conflit entre le par. 227(4.1) de la </w:t>
      </w:r>
      <w:r w:rsidRPr="00414E99">
        <w:rPr>
          <w:rFonts w:cs="Times New Roman"/>
          <w:i/>
          <w:lang w:val="fr-CA"/>
        </w:rPr>
        <w:t>LIR</w:t>
      </w:r>
      <w:r w:rsidRPr="00414E99">
        <w:rPr>
          <w:rFonts w:cs="Times New Roman"/>
          <w:lang w:val="fr-CA"/>
        </w:rPr>
        <w:t xml:space="preserve"> et l’art. 11 de la </w:t>
      </w:r>
      <w:r w:rsidRPr="00414E99">
        <w:rPr>
          <w:rFonts w:cs="Times New Roman"/>
          <w:i/>
          <w:lang w:val="fr-CA"/>
        </w:rPr>
        <w:t>LACC</w:t>
      </w:r>
      <w:r w:rsidRPr="00414E99">
        <w:rPr>
          <w:rFonts w:cs="Times New Roman"/>
          <w:lang w:val="fr-CA"/>
        </w:rPr>
        <w:t>. Les régimes des deux lois fédérales peuvent être harmonisés et leurs objectifs, réalisés.</w:t>
      </w:r>
    </w:p>
    <w:p w:rsidR="00344043" w:rsidRPr="00414E99" w:rsidRDefault="00344043" w:rsidP="00344043">
      <w:pPr>
        <w:pStyle w:val="ParaNoNdepar-AltN"/>
        <w:spacing w:before="0"/>
        <w:rPr>
          <w:rFonts w:cs="Times New Roman"/>
          <w:lang w:val="fr-CA"/>
        </w:rPr>
      </w:pPr>
      <w:r w:rsidRPr="00414E99">
        <w:rPr>
          <w:rFonts w:cs="Times New Roman"/>
          <w:lang w:val="fr-CA"/>
        </w:rPr>
        <w:t>Les intimé</w:t>
      </w:r>
      <w:r>
        <w:rPr>
          <w:rFonts w:cs="Times New Roman"/>
          <w:lang w:val="fr-CA"/>
        </w:rPr>
        <w:t>e</w:t>
      </w:r>
      <w:r w:rsidRPr="00414E99">
        <w:rPr>
          <w:rFonts w:cs="Times New Roman"/>
          <w:lang w:val="fr-CA"/>
        </w:rPr>
        <w:t xml:space="preserve">s ont droit à leurs dépens selon le tarif des honoraires et débours fixé à l’annexe B des </w:t>
      </w:r>
      <w:r w:rsidRPr="00414E99">
        <w:rPr>
          <w:rFonts w:cs="Times New Roman"/>
          <w:i/>
          <w:lang w:val="fr-CA"/>
        </w:rPr>
        <w:t>Règles de la Cour suprême du Canada</w:t>
      </w:r>
      <w:r w:rsidRPr="00414E99">
        <w:rPr>
          <w:rFonts w:cs="Times New Roman"/>
          <w:lang w:val="fr-CA"/>
        </w:rPr>
        <w:t>, DORS/2002</w:t>
      </w:r>
      <w:r w:rsidRPr="00414E99">
        <w:rPr>
          <w:rFonts w:cs="Times New Roman"/>
          <w:lang w:val="fr-CA"/>
        </w:rPr>
        <w:noBreakHyphen/>
        <w:t>156.</w:t>
      </w:r>
    </w:p>
    <w:p w:rsidR="00344043" w:rsidRDefault="00344043" w:rsidP="00213F87">
      <w:pPr>
        <w:pStyle w:val="SCCNormalDoubleSpacing"/>
        <w:spacing w:after="480"/>
        <w:rPr>
          <w:rStyle w:val="SCCCounselPartyRoleChar"/>
          <w:lang w:val="fr-CA"/>
        </w:rPr>
      </w:pPr>
    </w:p>
    <w:p w:rsidR="00344043" w:rsidRDefault="00344043" w:rsidP="00344043">
      <w:pPr>
        <w:jc w:val="both"/>
        <w:rPr>
          <w:lang w:val="fr-CA"/>
        </w:rPr>
      </w:pPr>
      <w:r w:rsidRPr="00796D65">
        <w:rPr>
          <w:lang w:val="fr-CA"/>
        </w:rPr>
        <w:t>Version f</w:t>
      </w:r>
      <w:r>
        <w:rPr>
          <w:lang w:val="fr-CA"/>
        </w:rPr>
        <w:t>rançaise des motifs des juges Abella, Brown et Rowe</w:t>
      </w:r>
      <w:r w:rsidRPr="00796D65">
        <w:rPr>
          <w:lang w:val="fr-CA"/>
        </w:rPr>
        <w:t xml:space="preserve"> rendus par</w:t>
      </w:r>
    </w:p>
    <w:p w:rsidR="00344043" w:rsidRPr="00F65326" w:rsidRDefault="00344043" w:rsidP="00344043">
      <w:pPr>
        <w:jc w:val="both"/>
        <w:rPr>
          <w:lang w:val="fr-CA"/>
        </w:rPr>
      </w:pPr>
    </w:p>
    <w:p w:rsidR="00344043" w:rsidRPr="00344043" w:rsidRDefault="00344043" w:rsidP="00344043">
      <w:pPr>
        <w:pStyle w:val="JudgeJuge"/>
        <w:spacing w:before="240"/>
        <w:rPr>
          <w:lang w:val="fr-CA"/>
        </w:rPr>
      </w:pPr>
      <w:r w:rsidRPr="005C7084">
        <w:rPr>
          <w:lang w:val="fr-CA"/>
        </w:rPr>
        <w:lastRenderedPageBreak/>
        <w:tab/>
      </w:r>
      <w:r w:rsidRPr="00344043">
        <w:rPr>
          <w:lang w:val="fr-CA"/>
        </w:rPr>
        <w:t xml:space="preserve">Les juges Brown et Rowe — </w:t>
      </w:r>
    </w:p>
    <w:p w:rsidR="00344043" w:rsidRPr="00E948FA" w:rsidRDefault="00344043" w:rsidP="00E948FA">
      <w:pPr>
        <w:pStyle w:val="Title1LevelTitre1Niveau-AltL"/>
        <w:numPr>
          <w:ilvl w:val="0"/>
          <w:numId w:val="29"/>
        </w:numPr>
        <w:spacing w:before="0"/>
        <w:rPr>
          <w:rFonts w:cs="Times New Roman"/>
        </w:rPr>
      </w:pPr>
      <w:r w:rsidRPr="00E948FA">
        <w:rPr>
          <w:rFonts w:cs="Times New Roman"/>
        </w:rPr>
        <w:t>Aperçu</w:t>
      </w:r>
    </w:p>
    <w:p w:rsidR="00344043" w:rsidRPr="00344043" w:rsidRDefault="00344043" w:rsidP="00344043">
      <w:pPr>
        <w:pStyle w:val="ParaNoNdepar-AltN"/>
        <w:rPr>
          <w:rFonts w:cs="Times New Roman"/>
          <w:lang w:val="fr-CA"/>
        </w:rPr>
      </w:pPr>
      <w:r w:rsidRPr="00344043">
        <w:rPr>
          <w:rFonts w:cs="Times New Roman"/>
          <w:lang w:val="fr-CA"/>
        </w:rPr>
        <w:t xml:space="preserve">Dans le présent pourvoi, la question est de savoir si la réclamation de la Couronne au titre de la fiducie réputée créée à l’égard des retenues à la source non versées en vertu des par. 227(4) et (4.1) de la </w:t>
      </w:r>
      <w:r w:rsidRPr="00344043">
        <w:rPr>
          <w:rFonts w:cs="Times New Roman"/>
          <w:i/>
          <w:lang w:val="fr-CA"/>
        </w:rPr>
        <w:t>Loi de l’impôt sur le revenu</w:t>
      </w:r>
      <w:r w:rsidRPr="00344043">
        <w:rPr>
          <w:rFonts w:cs="Times New Roman"/>
          <w:lang w:val="fr-CA"/>
        </w:rPr>
        <w:t>,</w:t>
      </w:r>
      <w:r w:rsidRPr="00344043">
        <w:rPr>
          <w:rFonts w:cs="Times New Roman"/>
          <w:i/>
          <w:lang w:val="fr-CA"/>
        </w:rPr>
        <w:t xml:space="preserve"> </w:t>
      </w:r>
      <w:r w:rsidRPr="00344043">
        <w:rPr>
          <w:rFonts w:cs="Times New Roman"/>
          <w:lang w:val="fr-CA"/>
        </w:rPr>
        <w:t>L.R.C. 1985, c. 1 (5</w:t>
      </w:r>
      <w:r w:rsidRPr="00344043">
        <w:rPr>
          <w:rFonts w:cs="Times New Roman"/>
          <w:vertAlign w:val="superscript"/>
          <w:lang w:val="fr-CA"/>
        </w:rPr>
        <w:t>e</w:t>
      </w:r>
      <w:r w:rsidRPr="00344043">
        <w:rPr>
          <w:rFonts w:cs="Times New Roman"/>
          <w:lang w:val="fr-CA"/>
        </w:rPr>
        <w:t> suppl.) (« </w:t>
      </w:r>
      <w:r w:rsidRPr="00344043">
        <w:rPr>
          <w:rFonts w:cs="Times New Roman"/>
          <w:i/>
          <w:lang w:val="fr-CA"/>
        </w:rPr>
        <w:t>LIR</w:t>
      </w:r>
      <w:r w:rsidRPr="00344043">
        <w:rPr>
          <w:rFonts w:cs="Times New Roman"/>
          <w:lang w:val="fr-CA"/>
        </w:rPr>
        <w:t xml:space="preserve"> »), des par. 23(3) et (4) du </w:t>
      </w:r>
      <w:r w:rsidRPr="00344043">
        <w:rPr>
          <w:rFonts w:cs="Times New Roman"/>
          <w:i/>
          <w:lang w:val="fr-CA"/>
        </w:rPr>
        <w:t>Régime de pensions du Canada</w:t>
      </w:r>
      <w:r w:rsidRPr="00344043">
        <w:rPr>
          <w:rFonts w:cs="Times New Roman"/>
          <w:lang w:val="fr-CA"/>
        </w:rPr>
        <w:t>, L.R.C. 1985, c. C</w:t>
      </w:r>
      <w:r w:rsidRPr="00344043">
        <w:rPr>
          <w:rFonts w:cs="Times New Roman"/>
          <w:lang w:val="fr-CA"/>
        </w:rPr>
        <w:noBreakHyphen/>
        <w:t>8 (« </w:t>
      </w:r>
      <w:r w:rsidRPr="00344043">
        <w:rPr>
          <w:rFonts w:cs="Times New Roman"/>
          <w:i/>
          <w:lang w:val="fr-CA"/>
        </w:rPr>
        <w:t>RPC</w:t>
      </w:r>
      <w:r w:rsidRPr="00344043">
        <w:rPr>
          <w:rFonts w:cs="Times New Roman"/>
          <w:lang w:val="fr-CA"/>
        </w:rPr>
        <w:t xml:space="preserve"> »), et des par. 23(4) et 86(2) et (2.1) de la </w:t>
      </w:r>
      <w:r w:rsidRPr="00344043">
        <w:rPr>
          <w:rFonts w:cs="Times New Roman"/>
          <w:i/>
          <w:lang w:val="fr-CA"/>
        </w:rPr>
        <w:t>Loi sur l’assurance</w:t>
      </w:r>
      <w:r w:rsidRPr="00344043">
        <w:rPr>
          <w:rFonts w:cs="Times New Roman"/>
          <w:i/>
          <w:lang w:val="fr-CA"/>
        </w:rPr>
        <w:noBreakHyphen/>
        <w:t>emploi</w:t>
      </w:r>
      <w:r w:rsidRPr="00344043">
        <w:rPr>
          <w:rFonts w:cs="Times New Roman"/>
          <w:lang w:val="fr-CA"/>
        </w:rPr>
        <w:t>, L.C. 1996, c. 23 (« </w:t>
      </w:r>
      <w:r w:rsidRPr="00344043">
        <w:rPr>
          <w:rFonts w:cs="Times New Roman"/>
          <w:i/>
          <w:lang w:val="fr-CA"/>
        </w:rPr>
        <w:t>LAE</w:t>
      </w:r>
      <w:r w:rsidRPr="00344043">
        <w:rPr>
          <w:rFonts w:cs="Times New Roman"/>
          <w:lang w:val="fr-CA"/>
        </w:rPr>
        <w:t xml:space="preserve"> ») (collectivement, les « lois fiscales »), a préséance sur les charges super prioritaires ordonnées par un tribunal en vertu de la </w:t>
      </w:r>
      <w:r w:rsidRPr="00344043">
        <w:rPr>
          <w:rFonts w:cs="Times New Roman"/>
          <w:i/>
          <w:lang w:val="fr-CA"/>
        </w:rPr>
        <w:t>Loi sur les arrangements avec les créanciers des compagnies</w:t>
      </w:r>
      <w:r w:rsidRPr="00344043">
        <w:rPr>
          <w:rFonts w:cs="Times New Roman"/>
          <w:lang w:val="fr-CA"/>
        </w:rPr>
        <w:t>, L.R.C. 1985, c. C-36 (« </w:t>
      </w:r>
      <w:r w:rsidRPr="00344043">
        <w:rPr>
          <w:rFonts w:cs="Times New Roman"/>
          <w:i/>
          <w:lang w:val="fr-CA"/>
        </w:rPr>
        <w:t>LACC</w:t>
      </w:r>
      <w:r w:rsidRPr="00344043">
        <w:rPr>
          <w:rFonts w:cs="Times New Roman"/>
          <w:lang w:val="fr-CA"/>
        </w:rPr>
        <w:t> »).</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La version actuelle de la disposition concernant la fiducie réputée, soit le par. 227(4.1) de la </w:t>
      </w:r>
      <w:r w:rsidRPr="00344043">
        <w:rPr>
          <w:rFonts w:cs="Times New Roman"/>
          <w:i/>
          <w:lang w:val="fr-CA"/>
        </w:rPr>
        <w:t>LIR</w:t>
      </w:r>
      <w:r w:rsidRPr="00344043">
        <w:rPr>
          <w:rFonts w:cs="Times New Roman"/>
          <w:lang w:val="fr-CA"/>
        </w:rPr>
        <w:t>,</w:t>
      </w:r>
      <w:r w:rsidRPr="00344043">
        <w:rPr>
          <w:rFonts w:cs="Times New Roman"/>
          <w:i/>
          <w:lang w:val="fr-CA"/>
        </w:rPr>
        <w:t xml:space="preserve"> </w:t>
      </w:r>
      <w:r w:rsidRPr="00344043">
        <w:rPr>
          <w:rFonts w:cs="Times New Roman"/>
          <w:lang w:val="fr-CA"/>
        </w:rPr>
        <w:t xml:space="preserve">est le résultat d’une modification adoptée en 1997 par le législateur en réponse directe à l’interprétation faite par notre Cour de la version antérieure de la disposition dans l’arrêt </w:t>
      </w:r>
      <w:r w:rsidRPr="00344043">
        <w:rPr>
          <w:rFonts w:cs="Times New Roman"/>
          <w:i/>
          <w:lang w:val="fr-CA"/>
        </w:rPr>
        <w:t>Banque Royale du Canada c. Sparrow Electric Corp.</w:t>
      </w:r>
      <w:r w:rsidRPr="00344043">
        <w:rPr>
          <w:rFonts w:cs="Times New Roman"/>
          <w:lang w:val="fr-CA"/>
        </w:rPr>
        <w:t>,</w:t>
      </w:r>
      <w:r w:rsidRPr="00344043">
        <w:rPr>
          <w:rFonts w:cs="Times New Roman"/>
          <w:i/>
          <w:lang w:val="fr-CA"/>
        </w:rPr>
        <w:t xml:space="preserve"> </w:t>
      </w:r>
      <w:r w:rsidRPr="00344043">
        <w:rPr>
          <w:rFonts w:cs="Times New Roman"/>
          <w:lang w:val="fr-CA"/>
        </w:rPr>
        <w:t xml:space="preserve">[1997] 1 R.C.S. 411 (Ministère des Finances Canada, </w:t>
      </w:r>
      <w:r w:rsidRPr="00344043">
        <w:rPr>
          <w:rFonts w:cs="Times New Roman"/>
          <w:i/>
          <w:lang w:val="fr-CA"/>
        </w:rPr>
        <w:t>Retenues à la source non versées et TPS impayée</w:t>
      </w:r>
      <w:r w:rsidRPr="00344043">
        <w:rPr>
          <w:rFonts w:cs="Times New Roman"/>
          <w:lang w:val="fr-CA"/>
        </w:rPr>
        <w:t xml:space="preserve"> (7 avril 1997)). Cette disposition était elle</w:t>
      </w:r>
      <w:r w:rsidRPr="00344043">
        <w:rPr>
          <w:rFonts w:cs="Times New Roman"/>
          <w:lang w:val="fr-CA"/>
        </w:rPr>
        <w:noBreakHyphen/>
        <w:t xml:space="preserve">même le résultat de plusieurs modifications, à commencer, en 1942, par celle qui a introduit la fiducie réputée aux par. 92(6) et (7) de la </w:t>
      </w:r>
      <w:r w:rsidRPr="00344043">
        <w:rPr>
          <w:rFonts w:cs="Times New Roman"/>
          <w:i/>
          <w:lang w:val="fr-CA"/>
        </w:rPr>
        <w:t>Loi de l’impôt de guerre sur le revenu</w:t>
      </w:r>
      <w:r w:rsidRPr="00344043">
        <w:rPr>
          <w:rFonts w:cs="Times New Roman"/>
          <w:lang w:val="fr-CA"/>
        </w:rPr>
        <w:t>, S.R.C. 1927, c. 97 (auparavant S.C. 1917, c. 28) (</w:t>
      </w:r>
      <w:r w:rsidRPr="00344043">
        <w:rPr>
          <w:rFonts w:cs="Times New Roman"/>
          <w:i/>
          <w:lang w:val="fr-CA"/>
        </w:rPr>
        <w:t>Loi modifiant la Loi de l’impôt de guerre sur le revenu</w:t>
      </w:r>
      <w:r w:rsidRPr="00344043">
        <w:rPr>
          <w:rFonts w:cs="Times New Roman"/>
          <w:lang w:val="fr-CA"/>
        </w:rPr>
        <w:t>, L.C. 1942</w:t>
      </w:r>
      <w:r w:rsidRPr="00344043">
        <w:rPr>
          <w:rFonts w:cs="Times New Roman"/>
          <w:lang w:val="fr-CA"/>
        </w:rPr>
        <w:noBreakHyphen/>
        <w:t xml:space="preserve">1943, c. 28, art. 31). La disposition et l’historique des modifications </w:t>
      </w:r>
      <w:r w:rsidRPr="00344043">
        <w:rPr>
          <w:rFonts w:cs="Times New Roman"/>
          <w:lang w:val="fr-CA"/>
        </w:rPr>
        <w:lastRenderedPageBreak/>
        <w:t>démontrent l’intention du législateur de protéger sa capacité de percevoir les retenues à la source en vertu des lois applicables, par priorité sur toute autre réclamation visant les biens d’un débiteur.</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La Couronne se pourvoit contre la décision de la Cour d’appel de l’Alberta qui, comme le juge en cabinet, a conclu que le tribunal chargé d’appliquer la </w:t>
      </w:r>
      <w:r w:rsidRPr="00344043">
        <w:rPr>
          <w:rFonts w:cs="Times New Roman"/>
          <w:i/>
          <w:lang w:val="fr-CA"/>
        </w:rPr>
        <w:t>LACC</w:t>
      </w:r>
      <w:r w:rsidRPr="00344043">
        <w:rPr>
          <w:rFonts w:cs="Times New Roman"/>
          <w:lang w:val="fr-CA"/>
        </w:rPr>
        <w:t xml:space="preserve"> avait le pouvoir de subordonner les réclamations relatives à une fiducie réputée créée par les lois fiscales aux charges super prioritaires (2019 ABCA 314, 93 Alta. L.R. 29, conf. 2017 ABQB 550, 60 Alta. L.R. (6th) 103). Après avoir examiné les dispositions applicables des lois fiscales, et pour les motifs qui suivent, nous ne partageons pas ce point de vue et nous nous rangeons plutôt à l’avis du juge dissident, le juge Wakeling. Les réclamations de la Couronne relatives à une fiducie réputée créée par les lois fiscales ont priorité absolue et ne peuvent pas être subordonnées aux charges super prioritaires.</w:t>
      </w:r>
    </w:p>
    <w:p w:rsidR="00344043" w:rsidRPr="001D51B8" w:rsidRDefault="00344043" w:rsidP="00344043">
      <w:pPr>
        <w:pStyle w:val="ParaNoNdepar-AltN"/>
        <w:spacing w:before="0"/>
        <w:rPr>
          <w:rFonts w:cs="Times New Roman"/>
        </w:rPr>
      </w:pPr>
      <w:r w:rsidRPr="00344043">
        <w:rPr>
          <w:rFonts w:cs="Times New Roman"/>
          <w:lang w:val="fr-CA"/>
        </w:rPr>
        <w:t>À notre avis, le libellé des dispositions contestées des lois fiscales est clair : la fiducie réputée de la Couronne produit ses effets « [m]algré [. . .] tout autre texte législatif fédéral » (</w:t>
      </w:r>
      <w:r w:rsidRPr="00344043">
        <w:rPr>
          <w:rFonts w:cs="Times New Roman"/>
          <w:i/>
          <w:lang w:val="fr-CA"/>
        </w:rPr>
        <w:t>LIR</w:t>
      </w:r>
      <w:r w:rsidRPr="00344043">
        <w:rPr>
          <w:rFonts w:cs="Times New Roman"/>
          <w:lang w:val="fr-CA"/>
        </w:rPr>
        <w:t>, par. 227(4.1))</w:t>
      </w:r>
      <w:r w:rsidRPr="00FE026A">
        <w:rPr>
          <w:rStyle w:val="Hyperlink"/>
          <w:vertAlign w:val="superscript"/>
        </w:rPr>
        <w:footnoteReference w:id="2"/>
      </w:r>
      <w:r w:rsidRPr="00344043">
        <w:rPr>
          <w:rFonts w:cs="Times New Roman"/>
          <w:lang w:val="fr-CA"/>
        </w:rPr>
        <w:t>. Le législateur a employé des termes non équivoques — </w:t>
      </w:r>
      <w:r w:rsidRPr="00344043">
        <w:rPr>
          <w:rFonts w:cs="Times New Roman"/>
          <w:i/>
          <w:lang w:val="fr-CA"/>
        </w:rPr>
        <w:t>les termes mêmes proposés par notre Cour</w:t>
      </w:r>
      <w:r w:rsidRPr="00344043">
        <w:rPr>
          <w:rFonts w:cs="Times New Roman"/>
          <w:lang w:val="fr-CA"/>
        </w:rPr>
        <w:t xml:space="preserve"> dans l’arrêt </w:t>
      </w:r>
      <w:r w:rsidRPr="00344043">
        <w:rPr>
          <w:rFonts w:cs="Times New Roman"/>
          <w:i/>
          <w:lang w:val="fr-CA"/>
        </w:rPr>
        <w:t>Sparrow Electric</w:t>
      </w:r>
      <w:r w:rsidRPr="00344043">
        <w:rPr>
          <w:rFonts w:cs="Times New Roman"/>
          <w:lang w:val="fr-CA"/>
        </w:rPr>
        <w:t xml:space="preserve"> — pour accorder une priorité absolue à la réclamation de la Couronne. En outre, toujours dans un langage clair et non équivoque, le législateur a imposé des </w:t>
      </w:r>
      <w:r w:rsidRPr="00344043">
        <w:rPr>
          <w:rFonts w:cs="Times New Roman"/>
          <w:lang w:val="fr-CA"/>
        </w:rPr>
        <w:lastRenderedPageBreak/>
        <w:t xml:space="preserve">limites aux larges pouvoirs par lesquels un tribunal peut accorder la priorité à des charges super prioritaires, établissant ainsi clairement la supériorité des réclamations relatives à une fiducie réputée. Enfin, cette interprétation ne fait perdre son sens à aucune des dispositions de la </w:t>
      </w:r>
      <w:r w:rsidRPr="00344043">
        <w:rPr>
          <w:rFonts w:cs="Times New Roman"/>
          <w:i/>
          <w:lang w:val="fr-CA"/>
        </w:rPr>
        <w:t>LACC</w:t>
      </w:r>
      <w:r w:rsidRPr="00344043">
        <w:rPr>
          <w:rFonts w:cs="Times New Roman"/>
          <w:lang w:val="fr-CA"/>
        </w:rPr>
        <w:t xml:space="preserve">. Contrairement à d’autres contextes, comme dans celui du régime législatif régissant la TPS/TVH, le législateur n’a pas ouvert la porte à la subordination de la fiducie réputée créée par les lois fiscales en vue de réaliser d’autres objectifs législatifs. </w:t>
      </w:r>
      <w:r w:rsidRPr="001D51B8">
        <w:rPr>
          <w:rFonts w:cs="Times New Roman"/>
        </w:rPr>
        <w:t>Nous sommes donc d’avis d’accueillir le pourvoi.</w:t>
      </w:r>
    </w:p>
    <w:p w:rsidR="00344043" w:rsidRPr="001D51B8" w:rsidRDefault="00344043" w:rsidP="00344043">
      <w:pPr>
        <w:pStyle w:val="Title1LevelTitre1Niveau-AltL"/>
        <w:spacing w:before="0"/>
        <w:rPr>
          <w:rFonts w:cs="Times New Roman"/>
        </w:rPr>
      </w:pPr>
      <w:r w:rsidRPr="001D51B8">
        <w:rPr>
          <w:rFonts w:cs="Times New Roman"/>
        </w:rPr>
        <w:t>Analyse</w:t>
      </w:r>
    </w:p>
    <w:p w:rsidR="00344043" w:rsidRPr="00344043" w:rsidRDefault="00344043" w:rsidP="00344043">
      <w:pPr>
        <w:pStyle w:val="Title2LevelTitre2Niveau"/>
        <w:spacing w:before="0"/>
        <w:rPr>
          <w:rFonts w:cs="Times New Roman"/>
          <w:lang w:val="fr-CA"/>
        </w:rPr>
      </w:pPr>
      <w:r w:rsidRPr="00344043">
        <w:rPr>
          <w:rFonts w:cs="Times New Roman"/>
          <w:lang w:val="fr-CA"/>
        </w:rPr>
        <w:t>Observations générales sur la nature de la fiducie réputée créée par les lois fiscales</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La fiducie réputée créée par la </w:t>
      </w:r>
      <w:r w:rsidRPr="00344043">
        <w:rPr>
          <w:rFonts w:cs="Times New Roman"/>
          <w:i/>
          <w:lang w:val="fr-CA"/>
        </w:rPr>
        <w:t>LIR</w:t>
      </w:r>
      <w:r w:rsidRPr="00344043">
        <w:rPr>
          <w:rFonts w:cs="Times New Roman"/>
          <w:lang w:val="fr-CA"/>
        </w:rPr>
        <w:t xml:space="preserve"> est un instrument essentiel à la perception des retenues à la source (</w:t>
      </w:r>
      <w:r w:rsidRPr="00344043">
        <w:rPr>
          <w:rFonts w:cs="Times New Roman"/>
          <w:i/>
          <w:lang w:val="fr-CA"/>
        </w:rPr>
        <w:t>First Vancouver Finance c. M.R.N.</w:t>
      </w:r>
      <w:r w:rsidRPr="00344043">
        <w:rPr>
          <w:rFonts w:cs="Times New Roman"/>
          <w:lang w:val="fr-CA"/>
        </w:rPr>
        <w:t xml:space="preserve">, 2002 CSC 49, [2002] 2 R.C.S. 720, par. 22). La </w:t>
      </w:r>
      <w:r w:rsidRPr="00344043">
        <w:rPr>
          <w:rFonts w:cs="Times New Roman"/>
          <w:i/>
          <w:lang w:val="fr-CA"/>
        </w:rPr>
        <w:t>LIR</w:t>
      </w:r>
      <w:r w:rsidRPr="00344043">
        <w:rPr>
          <w:rFonts w:cs="Times New Roman"/>
          <w:lang w:val="fr-CA"/>
        </w:rPr>
        <w:t xml:space="preserve"> accorde à la Couronne la priorité de rang pour la perception des retenues à la source non versées, étant donné son statut de « créancier involontaire » (</w:t>
      </w:r>
      <w:r w:rsidRPr="00344043">
        <w:rPr>
          <w:rFonts w:cs="Times New Roman"/>
          <w:i/>
          <w:lang w:val="fr-CA"/>
        </w:rPr>
        <w:t>First Vancouver</w:t>
      </w:r>
      <w:r w:rsidRPr="00344043">
        <w:rPr>
          <w:rFonts w:cs="Times New Roman"/>
          <w:lang w:val="fr-CA"/>
        </w:rPr>
        <w:t>, par. 23).</w:t>
      </w:r>
    </w:p>
    <w:p w:rsidR="00344043" w:rsidRPr="00344043" w:rsidRDefault="00344043" w:rsidP="00344043">
      <w:pPr>
        <w:pStyle w:val="ParaNoNdepar-AltN"/>
        <w:spacing w:before="0" w:line="360" w:lineRule="auto"/>
        <w:rPr>
          <w:rFonts w:cs="Times New Roman"/>
          <w:lang w:val="fr-CA"/>
        </w:rPr>
      </w:pPr>
      <w:r w:rsidRPr="00344043">
        <w:rPr>
          <w:rFonts w:cs="Times New Roman"/>
          <w:lang w:val="fr-CA"/>
        </w:rPr>
        <w:t xml:space="preserve">Les paragraphes 227(4) et (4.1) de la </w:t>
      </w:r>
      <w:r w:rsidRPr="00344043">
        <w:rPr>
          <w:rFonts w:cs="Times New Roman"/>
          <w:i/>
          <w:lang w:val="fr-CA"/>
        </w:rPr>
        <w:t>LIR</w:t>
      </w:r>
      <w:r w:rsidRPr="00344043">
        <w:rPr>
          <w:rFonts w:cs="Times New Roman"/>
          <w:lang w:val="fr-CA"/>
        </w:rPr>
        <w:t xml:space="preserve"> prévoient ce qui suit :</w:t>
      </w:r>
    </w:p>
    <w:p w:rsidR="00344043" w:rsidRPr="00344043" w:rsidRDefault="00344043" w:rsidP="00344043">
      <w:pPr>
        <w:pStyle w:val="Citation-AltC"/>
        <w:spacing w:after="240"/>
        <w:ind w:hanging="446"/>
        <w:contextualSpacing w:val="0"/>
        <w:rPr>
          <w:lang w:val="fr-CA"/>
        </w:rPr>
      </w:pPr>
      <w:r w:rsidRPr="00344043">
        <w:rPr>
          <w:b/>
          <w:lang w:val="fr-CA"/>
        </w:rPr>
        <w:tab/>
        <w:t xml:space="preserve">(4) </w:t>
      </w:r>
      <w:r w:rsidRPr="00344043">
        <w:rPr>
          <w:lang w:val="fr-CA"/>
        </w:rPr>
        <w:t>Toute personne qui déduit ou retient un montant en vertu de la présente loi est réputée, malgré toute autre garantie au sens du paragraphe 224(1.3) le concernant, le détenir en fiducie pour Sa Majesté, séparé de ses propres biens et des biens détenus par son créancier garanti au sens de ce paragraphe qui, en l’absence de la garantie, seraient ceux de la personne, et en vue de le verser à Sa Majesté selon les modalités et dans le délai prévus par la présente loi.</w:t>
      </w:r>
    </w:p>
    <w:p w:rsidR="00344043" w:rsidRPr="00344043" w:rsidRDefault="00344043" w:rsidP="00344043">
      <w:pPr>
        <w:pStyle w:val="Citation-AltC"/>
        <w:widowControl w:val="0"/>
        <w:spacing w:after="240"/>
        <w:ind w:hanging="446"/>
        <w:contextualSpacing w:val="0"/>
        <w:rPr>
          <w:lang w:val="fr-CA"/>
        </w:rPr>
      </w:pPr>
      <w:r w:rsidRPr="00344043">
        <w:rPr>
          <w:b/>
          <w:lang w:val="fr-CA"/>
        </w:rPr>
        <w:lastRenderedPageBreak/>
        <w:tab/>
        <w:t xml:space="preserve">(4.1) </w:t>
      </w:r>
      <w:r w:rsidRPr="00344043">
        <w:rPr>
          <w:lang w:val="fr-CA"/>
        </w:rPr>
        <w:t xml:space="preserve">Malgré les autres dispositions de la présente loi, la </w:t>
      </w:r>
      <w:r w:rsidRPr="00344043">
        <w:rPr>
          <w:i/>
          <w:iCs/>
          <w:lang w:val="fr-CA"/>
        </w:rPr>
        <w:t>Loi sur la faillite et l’insolvabilité</w:t>
      </w:r>
      <w:r w:rsidRPr="00344043">
        <w:rPr>
          <w:lang w:val="fr-CA"/>
        </w:rPr>
        <w:t xml:space="preserve"> (sauf ses articles 81.1 et 81.2), tout autre texte législatif fédéral ou provincial ou toute règle de droit, en cas de non</w:t>
      </w:r>
      <w:r w:rsidRPr="00344043">
        <w:rPr>
          <w:lang w:val="fr-CA"/>
        </w:rPr>
        <w:noBreakHyphen/>
        <w:t>versement à Sa Majesté, selon les modalités et dans le délai prévus par la présente loi, d’un montant qu’une personne est réputée par le paragraphe (4) détenir en fiducie pour Sa Majesté, les biens de la personne, et les biens détenus par son créancier garanti au sens du paragraphe 224(1.3) qui, en l’absence d’une garantie au sens du même paragraphe, seraient ceux de la personne, d’une valeur égale à ce montant sont réputés :</w:t>
      </w:r>
    </w:p>
    <w:p w:rsidR="00344043" w:rsidRPr="00344043" w:rsidRDefault="00344043" w:rsidP="00344043">
      <w:pPr>
        <w:pStyle w:val="Citation-AltC"/>
        <w:spacing w:after="240"/>
        <w:ind w:left="1440" w:hanging="360"/>
        <w:contextualSpacing w:val="0"/>
        <w:rPr>
          <w:lang w:val="fr-CA"/>
        </w:rPr>
      </w:pPr>
      <w:r w:rsidRPr="00344043">
        <w:rPr>
          <w:b/>
          <w:lang w:val="fr-CA"/>
        </w:rPr>
        <w:tab/>
        <w:t>a)</w:t>
      </w:r>
      <w:r w:rsidRPr="00344043">
        <w:rPr>
          <w:lang w:val="fr-CA"/>
        </w:rPr>
        <w:t> être détenus en fiducie pour Sa Majesté, à compter du moment où le montant est déduit ou retenu, séparés des propres biens de la personne, qu’ils soient ou non assujettis à une telle garantie;</w:t>
      </w:r>
    </w:p>
    <w:p w:rsidR="00344043" w:rsidRPr="00344043" w:rsidRDefault="00344043" w:rsidP="00344043">
      <w:pPr>
        <w:pStyle w:val="Citation-AltC"/>
        <w:spacing w:after="240"/>
        <w:ind w:left="1440" w:hanging="360"/>
        <w:contextualSpacing w:val="0"/>
        <w:rPr>
          <w:lang w:val="fr-CA"/>
        </w:rPr>
      </w:pPr>
      <w:r w:rsidRPr="00344043">
        <w:rPr>
          <w:b/>
          <w:lang w:val="fr-CA"/>
        </w:rPr>
        <w:tab/>
        <w:t>b)</w:t>
      </w:r>
      <w:r w:rsidRPr="00344043">
        <w:rPr>
          <w:lang w:val="fr-CA"/>
        </w:rPr>
        <w:t> ne pas faire partie du patrimoine ou des biens de la personne à compter du moment où le montant est déduit ou retenu, que ces biens aient été ou non tenus séparés de ses propres biens ou de son patrimoine et qu’ils soient ou non assujettis à une telle garantie.</w:t>
      </w:r>
    </w:p>
    <w:p w:rsidR="00344043" w:rsidRPr="00344043" w:rsidRDefault="00344043" w:rsidP="00344043">
      <w:pPr>
        <w:pStyle w:val="Citation-AltC"/>
        <w:ind w:hanging="446"/>
        <w:contextualSpacing w:val="0"/>
        <w:rPr>
          <w:lang w:val="fr-CA"/>
        </w:rPr>
      </w:pPr>
      <w:r w:rsidRPr="00344043">
        <w:rPr>
          <w:lang w:val="fr-CA"/>
        </w:rPr>
        <w:tab/>
        <w:t>Ces biens sont des biens dans lesquels Sa Majesté a un droit de bénéficiaire malgré toute autre garantie sur ces biens ou sur le produit en découlant, et le produit découlant de ces biens est payé au receveur général par priorité sur une telle garantie.</w:t>
      </w:r>
    </w:p>
    <w:p w:rsidR="00344043" w:rsidRPr="00344043" w:rsidRDefault="00344043" w:rsidP="00344043">
      <w:pPr>
        <w:pStyle w:val="ParaNoNdepar-AltN"/>
        <w:spacing w:before="0"/>
        <w:rPr>
          <w:rFonts w:cs="Times New Roman"/>
          <w:lang w:val="fr-CA"/>
        </w:rPr>
      </w:pPr>
      <w:r w:rsidRPr="00344043">
        <w:rPr>
          <w:rFonts w:cs="Times New Roman"/>
          <w:lang w:val="fr-CA"/>
        </w:rPr>
        <w:t>Ces paragraphes décrivent deux événements pertinents. Premièrement, dès le moment où le montant est retenu, une fiducie réputée est créée en faveur de la Couronne, contraignant chaque personne (le « débiteur fiscal ») qui effectue des retenues à la source à retenir le montant en vue de le verser à Sa Majesté (</w:t>
      </w:r>
      <w:r w:rsidRPr="00344043">
        <w:rPr>
          <w:rFonts w:cs="Times New Roman"/>
          <w:i/>
          <w:lang w:val="fr-CA"/>
        </w:rPr>
        <w:t>LIR</w:t>
      </w:r>
      <w:r w:rsidRPr="00344043">
        <w:rPr>
          <w:rFonts w:cs="Times New Roman"/>
          <w:lang w:val="fr-CA"/>
        </w:rPr>
        <w:t>,</w:t>
      </w:r>
      <w:r w:rsidRPr="00344043">
        <w:rPr>
          <w:rFonts w:cs="Times New Roman"/>
          <w:i/>
          <w:lang w:val="fr-CA"/>
        </w:rPr>
        <w:t xml:space="preserve"> </w:t>
      </w:r>
      <w:r w:rsidRPr="00344043">
        <w:rPr>
          <w:rFonts w:cs="Times New Roman"/>
          <w:lang w:val="fr-CA"/>
        </w:rPr>
        <w:t>par. 227(4)). Aux termes du par. 227(4), le débiteur fiscal est réputé détenir le montant des retenues à la source « séparé de ses propres biens et des biens détenus par son créancier garanti au sens [du paragraphe 224(1.3)] ».</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Le deuxième événement se produit lorsque le débiteur fiscal fait défaut de verser les retenues à la source selon les modalités et dans le délai prévus par la </w:t>
      </w:r>
      <w:r w:rsidRPr="00344043">
        <w:rPr>
          <w:rFonts w:cs="Times New Roman"/>
          <w:i/>
          <w:lang w:val="fr-CA"/>
        </w:rPr>
        <w:t>LIR</w:t>
      </w:r>
      <w:r w:rsidRPr="00344043">
        <w:rPr>
          <w:rFonts w:cs="Times New Roman"/>
          <w:lang w:val="fr-CA"/>
        </w:rPr>
        <w:t xml:space="preserve">. Le paragraphe 227(4.1) étend la fiducie réputée à tous « les biens de la personne, et les </w:t>
      </w:r>
      <w:r w:rsidRPr="00344043">
        <w:rPr>
          <w:rFonts w:cs="Times New Roman"/>
          <w:lang w:val="fr-CA"/>
        </w:rPr>
        <w:lastRenderedPageBreak/>
        <w:t>biens détenus par son créancier garanti [. . .] d’une valeur égale [au montant réputé être détenu en fiducie] ». Ainsi, les retenues à la source sont réputées être détenues « en fiducie pour Sa Majesté » à compter du moment où le montant est « déduit ou retenu », « sépar[ées] des propres biens de la personne ». Le législateur a également prévu que les retenues à la source non versées au titre des lois fiscales sont réputées « ne pas faire partie du patrimoine ou des biens de la personne » à compter du moment où le montant est déduit ou retenu, et qu’elles constituent des « biens dans lesquels Sa Majesté a un droit de bénéficiaire malgré toute autre garantie sur ces biens ou sur le produit en découlant, et le produit découlant de ces biens est payé au receveur général par priorité sur une telle garantie ».</w:t>
      </w:r>
    </w:p>
    <w:p w:rsidR="00344043" w:rsidRPr="00344043" w:rsidRDefault="00344043" w:rsidP="00344043">
      <w:pPr>
        <w:pStyle w:val="ParaNoNdepar-AltN"/>
        <w:spacing w:before="0"/>
        <w:rPr>
          <w:rFonts w:cs="Times New Roman"/>
          <w:lang w:val="fr-CA"/>
        </w:rPr>
      </w:pPr>
      <w:r w:rsidRPr="00344043">
        <w:rPr>
          <w:rFonts w:cs="Times New Roman"/>
          <w:shd w:val="clear" w:color="auto" w:fill="FFFFFF"/>
          <w:lang w:val="fr-CA"/>
        </w:rPr>
        <w:t>Notre Cour a jugé que la fiducie réputée « tire son origine de la législation » et qu’elle « n’est pas réelle, étant donné que son objet ne peut être identifié à compter de la date de création de la fiducie » (</w:t>
      </w:r>
      <w:r w:rsidRPr="00344043">
        <w:rPr>
          <w:rFonts w:cs="Times New Roman"/>
          <w:i/>
          <w:shd w:val="clear" w:color="auto" w:fill="FFFFFF"/>
          <w:lang w:val="fr-CA"/>
        </w:rPr>
        <w:t>Sparrow Electric</w:t>
      </w:r>
      <w:r w:rsidRPr="00344043">
        <w:rPr>
          <w:rFonts w:cs="Times New Roman"/>
          <w:shd w:val="clear" w:color="auto" w:fill="FFFFFF"/>
          <w:lang w:val="fr-CA"/>
        </w:rPr>
        <w:t xml:space="preserve">, par. 31, le juge Gonthier, citant D. W. M. Waters, </w:t>
      </w:r>
      <w:r w:rsidRPr="00344043">
        <w:rPr>
          <w:rFonts w:cs="Times New Roman"/>
          <w:i/>
          <w:shd w:val="clear" w:color="auto" w:fill="FFFFFF"/>
          <w:lang w:val="fr-CA"/>
        </w:rPr>
        <w:t xml:space="preserve">Law of Trusts in Canada </w:t>
      </w:r>
      <w:r w:rsidRPr="00344043">
        <w:rPr>
          <w:rFonts w:cs="Times New Roman"/>
          <w:shd w:val="clear" w:color="auto" w:fill="FFFFFF"/>
          <w:lang w:val="fr-CA"/>
        </w:rPr>
        <w:t>(2</w:t>
      </w:r>
      <w:r w:rsidRPr="00344043">
        <w:rPr>
          <w:rFonts w:cs="Times New Roman"/>
          <w:shd w:val="clear" w:color="auto" w:fill="FFFFFF"/>
          <w:vertAlign w:val="superscript"/>
          <w:lang w:val="fr-CA"/>
        </w:rPr>
        <w:t>e</w:t>
      </w:r>
      <w:r w:rsidRPr="00344043">
        <w:rPr>
          <w:rFonts w:cs="Times New Roman"/>
          <w:shd w:val="clear" w:color="auto" w:fill="FFFFFF"/>
          <w:lang w:val="fr-CA"/>
        </w:rPr>
        <w:t xml:space="preserve"> éd. 1984), p. 117, et adopté dans </w:t>
      </w:r>
      <w:r w:rsidRPr="00344043">
        <w:rPr>
          <w:rFonts w:cs="Times New Roman"/>
          <w:i/>
          <w:shd w:val="clear" w:color="auto" w:fill="FFFFFF"/>
          <w:lang w:val="fr-CA"/>
        </w:rPr>
        <w:t>First Vancouver</w:t>
      </w:r>
      <w:r w:rsidRPr="00344043">
        <w:rPr>
          <w:rFonts w:cs="Times New Roman"/>
          <w:shd w:val="clear" w:color="auto" w:fill="FFFFFF"/>
          <w:lang w:val="fr-CA"/>
        </w:rPr>
        <w:t>, par. 37). Cette déclaration a donné lieu, dans le cadre du présent pourvoi, à un débat sur la question de savoir si la fiducie réputée crée une garantie ou un intérêt propriétal. Les intimées soutiennent que la Couronne ne peut pas détenir un intérêt propriétal sur les biens des débitrices en raison de l’incertitude quant aux biens sujets à la fiducie.</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Nous convenons avec chacune de nos collègues les juges Karakatsanis et Côté que la fiducie réputée n’est pas une fiducie « véritable » et qu’elle ne confère pas </w:t>
      </w:r>
      <w:r w:rsidRPr="00344043">
        <w:rPr>
          <w:rFonts w:cs="Times New Roman"/>
          <w:lang w:val="fr-CA"/>
        </w:rPr>
        <w:lastRenderedPageBreak/>
        <w:t xml:space="preserve">à la Couronne un intérêt propriétal ou des droits de bénéficiaire tel qu’on les entend en common law ou au sens du </w:t>
      </w:r>
      <w:r w:rsidRPr="00344043">
        <w:rPr>
          <w:rFonts w:cs="Times New Roman"/>
          <w:i/>
          <w:lang w:val="fr-CA"/>
        </w:rPr>
        <w:t xml:space="preserve">Code civil du Québec </w:t>
      </w:r>
      <w:r w:rsidRPr="00344043">
        <w:rPr>
          <w:rFonts w:cs="Times New Roman"/>
          <w:lang w:val="fr-CA"/>
        </w:rPr>
        <w:t>(motifs de la juge Karakatsanis, par. 119</w:t>
      </w:r>
      <w:r w:rsidRPr="00344043">
        <w:rPr>
          <w:rFonts w:cs="Times New Roman"/>
          <w:lang w:val="fr-CA"/>
        </w:rPr>
        <w:noBreakHyphen/>
        <w:t>120; motifs de la juge Côté, par. 43 et 49).</w:t>
      </w:r>
      <w:r w:rsidRPr="00344043">
        <w:rPr>
          <w:rFonts w:cs="Times New Roman"/>
          <w:shd w:val="clear" w:color="auto" w:fill="FFFFFF"/>
          <w:lang w:val="fr-CA"/>
        </w:rPr>
        <w:t xml:space="preserve"> En tout respect, cependant, nos collègues ne saisissent pas le caractère </w:t>
      </w:r>
      <w:r w:rsidRPr="00344043">
        <w:rPr>
          <w:rFonts w:cs="Times New Roman"/>
          <w:i/>
          <w:shd w:val="clear" w:color="auto" w:fill="FFFFFF"/>
          <w:lang w:val="fr-CA"/>
        </w:rPr>
        <w:t>réputé</w:t>
      </w:r>
      <w:r w:rsidRPr="00344043">
        <w:rPr>
          <w:rFonts w:cs="Times New Roman"/>
          <w:shd w:val="clear" w:color="auto" w:fill="FFFFFF"/>
          <w:lang w:val="fr-CA"/>
        </w:rPr>
        <w:t xml:space="preserve"> de la fiducie. Les questions de </w:t>
      </w:r>
      <w:r w:rsidRPr="00344043">
        <w:rPr>
          <w:rFonts w:cs="Times New Roman"/>
          <w:lang w:val="fr-CA"/>
        </w:rPr>
        <w:t xml:space="preserve">l’intérêt propriétal, de la certitude quant aux biens sujets à la fiducie et du patrimoine autonome qui découlent des tentatives d’expliquer le fonctionnement de la fiducie réputée sont dénuées de toute pertinence et n’aident pas à trancher le présent pourvoi, ni à comprendre l’intention du législateur. La fiducie réputée est une fiction juridique assortie de caractéristiques </w:t>
      </w:r>
      <w:r w:rsidRPr="00344043">
        <w:rPr>
          <w:rFonts w:cs="Times New Roman"/>
          <w:i/>
          <w:lang w:val="fr-CA"/>
        </w:rPr>
        <w:t>sui generis</w:t>
      </w:r>
      <w:r w:rsidRPr="00344043">
        <w:rPr>
          <w:rFonts w:cs="Times New Roman"/>
          <w:lang w:val="fr-CA"/>
        </w:rPr>
        <w:t xml:space="preserve"> décrites aux par. 227(4) et 227(4.1) de la </w:t>
      </w:r>
      <w:r w:rsidRPr="00344043">
        <w:rPr>
          <w:rFonts w:cs="Times New Roman"/>
          <w:i/>
          <w:lang w:val="fr-CA"/>
        </w:rPr>
        <w:t>LIR</w:t>
      </w:r>
      <w:r w:rsidRPr="00344043">
        <w:rPr>
          <w:rFonts w:cs="Times New Roman"/>
          <w:lang w:val="fr-CA"/>
        </w:rPr>
        <w:t xml:space="preserve">. Comme il a été souligné au par. 34 de l’arrêt </w:t>
      </w:r>
      <w:r w:rsidRPr="00344043">
        <w:rPr>
          <w:rFonts w:cs="Times New Roman"/>
          <w:i/>
          <w:lang w:val="fr-CA"/>
        </w:rPr>
        <w:t>First Vancouver</w:t>
      </w:r>
      <w:r w:rsidRPr="00344043">
        <w:rPr>
          <w:rFonts w:cs="Times New Roman"/>
          <w:lang w:val="fr-CA"/>
        </w:rPr>
        <w:t xml:space="preserve">, « le législateur peut qualifier la fiducie comme il l’entend; il n’est pas lié par les contraintes découlant des principes habituels du droit des fiducies ». Bien que l’arrêt </w:t>
      </w:r>
      <w:r w:rsidRPr="00344043">
        <w:rPr>
          <w:rFonts w:cs="Times New Roman"/>
          <w:i/>
          <w:lang w:val="fr-CA"/>
        </w:rPr>
        <w:t>First Vancouver</w:t>
      </w:r>
      <w:r w:rsidRPr="00344043">
        <w:rPr>
          <w:rFonts w:cs="Times New Roman"/>
          <w:lang w:val="fr-CA"/>
        </w:rPr>
        <w:t xml:space="preserve"> ait traité du contraste entre une fiducie créée en vertu de la loi et une fiducie en common law, ses enseignements valent pour le renvoi de notre collègue la juge Côté au </w:t>
      </w:r>
      <w:r w:rsidRPr="00344043">
        <w:rPr>
          <w:rFonts w:cs="Times New Roman"/>
          <w:i/>
          <w:lang w:val="fr-CA"/>
        </w:rPr>
        <w:t xml:space="preserve">Code civil </w:t>
      </w:r>
      <w:r w:rsidRPr="00344043">
        <w:rPr>
          <w:rFonts w:cs="Times New Roman"/>
          <w:lang w:val="fr-CA"/>
        </w:rPr>
        <w:t>(</w:t>
      </w:r>
      <w:r w:rsidRPr="00344043">
        <w:rPr>
          <w:rFonts w:cs="Times New Roman"/>
          <w:i/>
          <w:lang w:val="fr-CA"/>
        </w:rPr>
        <w:t>Canada (Procureur général) c. Caisse populaire</w:t>
      </w:r>
      <w:r w:rsidRPr="00344043">
        <w:rPr>
          <w:rFonts w:cs="Times New Roman"/>
          <w:lang w:val="fr-CA"/>
        </w:rPr>
        <w:t xml:space="preserve"> </w:t>
      </w:r>
      <w:r w:rsidRPr="00344043">
        <w:rPr>
          <w:rFonts w:cs="Times New Roman"/>
          <w:i/>
          <w:lang w:val="fr-CA"/>
        </w:rPr>
        <w:t>d’Amos</w:t>
      </w:r>
      <w:r w:rsidRPr="00344043">
        <w:rPr>
          <w:rFonts w:cs="Times New Roman"/>
          <w:lang w:val="fr-CA"/>
        </w:rPr>
        <w:t xml:space="preserve">, 2004 CAF 92, 324 N.R. 31, par. 49). Ce qui importe en l’espèce n’est pas </w:t>
      </w:r>
      <w:r w:rsidRPr="00344043">
        <w:rPr>
          <w:rFonts w:cs="Times New Roman"/>
          <w:i/>
          <w:lang w:val="fr-CA"/>
        </w:rPr>
        <w:t>la qualification</w:t>
      </w:r>
      <w:r w:rsidRPr="00344043">
        <w:rPr>
          <w:rFonts w:cs="Times New Roman"/>
          <w:lang w:val="fr-CA"/>
        </w:rPr>
        <w:t xml:space="preserve"> de la fiducie réputée en cause, mais son </w:t>
      </w:r>
      <w:r w:rsidRPr="00344043">
        <w:rPr>
          <w:rFonts w:cs="Times New Roman"/>
          <w:i/>
          <w:lang w:val="fr-CA"/>
        </w:rPr>
        <w:t>fonctionnement</w:t>
      </w:r>
      <w:r w:rsidRPr="00344043">
        <w:rPr>
          <w:rFonts w:cs="Times New Roman"/>
          <w:lang w:val="fr-CA"/>
        </w:rPr>
        <w:t xml:space="preserve">. Comme nous l’expliquerons, elle </w:t>
      </w:r>
      <w:r w:rsidRPr="00344043">
        <w:rPr>
          <w:rFonts w:cs="Times New Roman"/>
          <w:i/>
          <w:lang w:val="fr-CA"/>
        </w:rPr>
        <w:t>a pour effet</w:t>
      </w:r>
      <w:r w:rsidRPr="00344043">
        <w:rPr>
          <w:rFonts w:cs="Times New Roman"/>
          <w:lang w:val="fr-CA"/>
        </w:rPr>
        <w:t xml:space="preserve"> de conférer à la Couronne un droit d’accès aux biens du débiteur jusqu’à concurrence de la masse fiduciaire ainsi que le droit d’être payée par priorité sur toute garantie.</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En outre, il n’existe aucune préoccupation concernant la certitude quant à la matière ou le patrimoine autonome en l’espèce. Certes, il est vrai qu’en common law au Canada, la certitude quant à l’intention de créer une fiducie, la certitude quant aux </w:t>
      </w:r>
      <w:r w:rsidRPr="00344043">
        <w:rPr>
          <w:rFonts w:cs="Times New Roman"/>
          <w:lang w:val="fr-CA"/>
        </w:rPr>
        <w:lastRenderedPageBreak/>
        <w:t xml:space="preserve">biens sujets à la fiducie et la certitude quant à l’objet sont nécessaires pour qu’une fiducie prenne naissance (D. W. M. Waters, M. R. Gillen et L. D. Smith, dir., </w:t>
      </w:r>
      <w:r w:rsidRPr="00344043">
        <w:rPr>
          <w:rFonts w:cs="Times New Roman"/>
          <w:i/>
          <w:lang w:val="fr-CA"/>
        </w:rPr>
        <w:t>Waters’ Law of Trusts in Canada</w:t>
      </w:r>
      <w:r w:rsidRPr="00344043">
        <w:rPr>
          <w:rFonts w:cs="Times New Roman"/>
          <w:lang w:val="fr-CA"/>
        </w:rPr>
        <w:t xml:space="preserve"> (4</w:t>
      </w:r>
      <w:r w:rsidRPr="00344043">
        <w:rPr>
          <w:rFonts w:cs="Times New Roman"/>
          <w:vertAlign w:val="superscript"/>
          <w:lang w:val="fr-CA"/>
        </w:rPr>
        <w:t>e</w:t>
      </w:r>
      <w:r w:rsidRPr="00344043">
        <w:rPr>
          <w:rFonts w:cs="Times New Roman"/>
          <w:lang w:val="fr-CA"/>
        </w:rPr>
        <w:t xml:space="preserve"> éd. 2012), p. 140; E. E. Gillese, </w:t>
      </w:r>
      <w:r w:rsidRPr="00344043">
        <w:rPr>
          <w:rFonts w:cs="Times New Roman"/>
          <w:i/>
          <w:lang w:val="fr-CA"/>
        </w:rPr>
        <w:t>The Law of Trusts</w:t>
      </w:r>
      <w:r w:rsidRPr="00344043">
        <w:rPr>
          <w:rFonts w:cs="Times New Roman"/>
          <w:lang w:val="fr-CA"/>
        </w:rPr>
        <w:t xml:space="preserve"> (3</w:t>
      </w:r>
      <w:r w:rsidRPr="00344043">
        <w:rPr>
          <w:rFonts w:cs="Times New Roman"/>
          <w:vertAlign w:val="superscript"/>
          <w:lang w:val="fr-CA"/>
        </w:rPr>
        <w:t>e</w:t>
      </w:r>
      <w:r w:rsidRPr="00344043">
        <w:rPr>
          <w:rFonts w:cs="Times New Roman"/>
          <w:lang w:val="fr-CA"/>
        </w:rPr>
        <w:t> éd. 2014), p. 41). De même, en droit civil québécois, « [t]rois conditions sont [. . .] nécessaires pour la constitution d’une fiducie : le transfert de biens du patrimoine d’une personne à un patrimoine d’affectation, l’affectation des biens à une fin particulière et l’acceptation par un fiduciaire » (</w:t>
      </w:r>
      <w:r w:rsidRPr="00344043">
        <w:rPr>
          <w:rFonts w:cs="Times New Roman"/>
          <w:i/>
          <w:lang w:val="fr-CA"/>
        </w:rPr>
        <w:t>Banque de Nouvelle</w:t>
      </w:r>
      <w:r w:rsidRPr="00344043">
        <w:rPr>
          <w:rFonts w:cs="Times New Roman"/>
          <w:i/>
          <w:lang w:val="fr-CA"/>
        </w:rPr>
        <w:noBreakHyphen/>
        <w:t>Écosse c. Thibault</w:t>
      </w:r>
      <w:r w:rsidRPr="00344043">
        <w:rPr>
          <w:rFonts w:cs="Times New Roman"/>
          <w:lang w:val="fr-CA"/>
        </w:rPr>
        <w:t>, 2004 CSC 29, [2004] 1 R.C.S. 758, par. 31). Par ailleurs, il est également vrai que la matière de la fiducie réputée créée par le par. 227(4.1) ne peut être identifiée à compter de la date de création de la fiducie et qu’elle ne constitue pas un patrimoine autonome auquel sont transférés des biens en particulier.</w:t>
      </w:r>
    </w:p>
    <w:p w:rsidR="00344043" w:rsidRPr="00344043" w:rsidRDefault="00344043" w:rsidP="00344043">
      <w:pPr>
        <w:pStyle w:val="ParaNoNdepar-AltN"/>
        <w:spacing w:before="0"/>
        <w:rPr>
          <w:rFonts w:cs="Times New Roman"/>
          <w:lang w:val="fr-CA"/>
        </w:rPr>
      </w:pPr>
      <w:r w:rsidRPr="00344043">
        <w:rPr>
          <w:rFonts w:cs="Times New Roman"/>
          <w:lang w:val="fr-CA"/>
        </w:rPr>
        <w:t>Mais là encore, rien de ce qui précède n’est d’une quelconque pertinence en l’espèce. C’est le texte législatif, et non les principes habituels du droit des fiducies, qui détermine la nature des fiducies réputées et les droits qu’elles confèrent (</w:t>
      </w:r>
      <w:r w:rsidRPr="00344043">
        <w:rPr>
          <w:rFonts w:cs="Times New Roman"/>
          <w:i/>
          <w:lang w:val="fr-CA"/>
        </w:rPr>
        <w:t>First Vancouver</w:t>
      </w:r>
      <w:r w:rsidRPr="00344043">
        <w:rPr>
          <w:rFonts w:cs="Times New Roman"/>
          <w:lang w:val="fr-CA"/>
        </w:rPr>
        <w:t xml:space="preserve">, par. 34). De plus, notre Cour a reconnu que le législateur avait, au moyen de la fiducie réputée prévue au par. 227(4.1) de la </w:t>
      </w:r>
      <w:r w:rsidRPr="00344043">
        <w:rPr>
          <w:rFonts w:cs="Times New Roman"/>
          <w:i/>
          <w:lang w:val="fr-CA"/>
        </w:rPr>
        <w:t>LIR</w:t>
      </w:r>
      <w:r w:rsidRPr="00344043">
        <w:rPr>
          <w:rFonts w:cs="Times New Roman"/>
          <w:lang w:val="fr-CA"/>
        </w:rPr>
        <w:t xml:space="preserve">, « revitalis[é] la fiducie </w:t>
      </w:r>
      <w:r w:rsidRPr="00344043">
        <w:rPr>
          <w:rFonts w:cs="Times New Roman"/>
          <w:shd w:val="clear" w:color="auto" w:fill="FFFFFF"/>
          <w:lang w:val="fr-CA"/>
        </w:rPr>
        <w:t>dont l’objet a perdu toute identité »</w:t>
      </w:r>
      <w:r w:rsidRPr="00344043">
        <w:rPr>
          <w:rFonts w:cs="Times New Roman"/>
          <w:lang w:val="fr-CA"/>
        </w:rPr>
        <w:t xml:space="preserve"> </w:t>
      </w:r>
      <w:r w:rsidRPr="00344043">
        <w:rPr>
          <w:rFonts w:cs="Times New Roman"/>
          <w:shd w:val="clear" w:color="auto" w:fill="FFFFFF"/>
          <w:lang w:val="fr-CA"/>
        </w:rPr>
        <w:t>(</w:t>
      </w:r>
      <w:r w:rsidRPr="00344043">
        <w:rPr>
          <w:rFonts w:cs="Times New Roman"/>
          <w:i/>
          <w:shd w:val="clear" w:color="auto" w:fill="FFFFFF"/>
          <w:lang w:val="fr-CA"/>
        </w:rPr>
        <w:t>Sparrow Electric</w:t>
      </w:r>
      <w:r w:rsidRPr="00344043">
        <w:rPr>
          <w:rFonts w:cs="Times New Roman"/>
          <w:shd w:val="clear" w:color="auto" w:fill="FFFFFF"/>
          <w:lang w:val="fr-CA"/>
        </w:rPr>
        <w:t xml:space="preserve">, par. 31, le juge Gonthier, adopté dans </w:t>
      </w:r>
      <w:r w:rsidRPr="00344043">
        <w:rPr>
          <w:rFonts w:cs="Times New Roman"/>
          <w:i/>
          <w:shd w:val="clear" w:color="auto" w:fill="FFFFFF"/>
          <w:lang w:val="fr-CA"/>
        </w:rPr>
        <w:t>First Vancouver</w:t>
      </w:r>
      <w:r w:rsidRPr="00344043">
        <w:rPr>
          <w:rFonts w:cs="Times New Roman"/>
          <w:shd w:val="clear" w:color="auto" w:fill="FFFFFF"/>
          <w:lang w:val="fr-CA"/>
        </w:rPr>
        <w:t xml:space="preserve">, par. 37). Il en est ainsi parce que les biens sujets à la fiducie réputée sont établis après coup; ils correspondent aux biens du débiteur fiscal et aux biens détenus par un créancier garanti d’une valeur équivalente au montant réputé être détenu en fiducie en vertu du par. 227(4) qui, en l’absence de la garantie, seraient ceux du débiteur fiscal. Bref, les biens sujets à la fiducie correspondent à tous les biens, quels </w:t>
      </w:r>
      <w:r w:rsidRPr="00344043">
        <w:rPr>
          <w:rFonts w:cs="Times New Roman"/>
          <w:shd w:val="clear" w:color="auto" w:fill="FFFFFF"/>
          <w:lang w:val="fr-CA"/>
        </w:rPr>
        <w:lastRenderedPageBreak/>
        <w:t>qu’ils soient, que l’employeur possède alors et au moyen desquels la fiducie initiale peut être réalisée</w:t>
      </w:r>
      <w:r w:rsidRPr="00344043">
        <w:rPr>
          <w:rFonts w:cs="Times New Roman"/>
          <w:lang w:val="fr-CA"/>
        </w:rPr>
        <w:t>. C’est pourquoi</w:t>
      </w:r>
      <w:r w:rsidRPr="00344043">
        <w:rPr>
          <w:rFonts w:cs="Times New Roman"/>
          <w:shd w:val="clear" w:color="auto" w:fill="FFFFFF"/>
          <w:lang w:val="fr-CA"/>
        </w:rPr>
        <w:t xml:space="preserve"> le juge Iacobucci, dans l’arrêt </w:t>
      </w:r>
      <w:r w:rsidRPr="00344043">
        <w:rPr>
          <w:rFonts w:cs="Times New Roman"/>
          <w:i/>
          <w:shd w:val="clear" w:color="auto" w:fill="FFFFFF"/>
          <w:lang w:val="fr-CA"/>
        </w:rPr>
        <w:t>First Vancouver</w:t>
      </w:r>
      <w:r w:rsidRPr="00344043">
        <w:rPr>
          <w:rFonts w:cs="Times New Roman"/>
          <w:shd w:val="clear" w:color="auto" w:fill="FFFFFF"/>
          <w:lang w:val="fr-CA"/>
        </w:rPr>
        <w:t xml:space="preserve">, a déclaré que la fiducie réputée prévue au par. 227(4.1) </w:t>
      </w:r>
      <w:r w:rsidRPr="00344043">
        <w:rPr>
          <w:rFonts w:cs="Times New Roman"/>
          <w:lang w:val="fr-CA"/>
        </w:rPr>
        <w:t xml:space="preserve">« s’apparent[ait] sur le plan des principes à une charge flottante » (par. 4). Le législateur a aussi contourné les conditions classiques établies dans le </w:t>
      </w:r>
      <w:r w:rsidRPr="00344043">
        <w:rPr>
          <w:rFonts w:cs="Times New Roman"/>
          <w:i/>
          <w:lang w:val="fr-CA"/>
        </w:rPr>
        <w:t>Code civil</w:t>
      </w:r>
      <w:r w:rsidRPr="00344043">
        <w:rPr>
          <w:rFonts w:cs="Times New Roman"/>
          <w:lang w:val="fr-CA"/>
        </w:rPr>
        <w:t xml:space="preserve"> pour la constitution d’une fiducie en exigeant que le montant des retenues à la source non versées soit détenu « sépar[é] des propres biens d[u] débiteur » et « ne [fasse pas] partie du patrimoine ou des biens d[u] débiteur » (par. 227(4.1)).</w:t>
      </w:r>
    </w:p>
    <w:p w:rsidR="00344043" w:rsidRPr="00344043" w:rsidRDefault="00344043" w:rsidP="00344043">
      <w:pPr>
        <w:pStyle w:val="ParaNoNdepar-AltN"/>
        <w:spacing w:before="0"/>
        <w:rPr>
          <w:rFonts w:cs="Times New Roman"/>
          <w:lang w:val="fr-CA"/>
        </w:rPr>
      </w:pPr>
      <w:r w:rsidRPr="00344043">
        <w:rPr>
          <w:rFonts w:cs="Times New Roman"/>
          <w:lang w:val="fr-CA"/>
        </w:rPr>
        <w:t>En somme, les conditions des fiducies « véritables » en droit civil et en common law ne sont d’aucune utilité pour déterminer le fonctionnement d’une fiducie réputée créée en application de la loi. Le législateur n’a pas créé une fiducie « véritable ». Il a plutôt adopté une disposition déterminative qui « donne à un mot ou à une expression un sens autre que celui qu’on leur reconnaît habituellement et qu’il conserve là où on l’utilise » (</w:t>
      </w:r>
      <w:r w:rsidRPr="00344043">
        <w:rPr>
          <w:rFonts w:cs="Times New Roman"/>
          <w:i/>
          <w:lang w:val="fr-CA"/>
        </w:rPr>
        <w:t>R. c. Verrette</w:t>
      </w:r>
      <w:r w:rsidRPr="00344043">
        <w:rPr>
          <w:rFonts w:cs="Times New Roman"/>
          <w:lang w:val="fr-CA"/>
        </w:rPr>
        <w:t>, [1978] 2 R.C.S. 838, p. 845).</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Sur ce point, et contrairement à l’avis des juges majoritaires de la Cour d’appel, le juge Iacobucci </w:t>
      </w:r>
      <w:r w:rsidRPr="00344043">
        <w:rPr>
          <w:rFonts w:cs="Times New Roman"/>
          <w:i/>
          <w:lang w:val="fr-CA"/>
        </w:rPr>
        <w:t>n’a pas</w:t>
      </w:r>
      <w:r w:rsidRPr="00344043">
        <w:rPr>
          <w:rFonts w:cs="Times New Roman"/>
          <w:lang w:val="fr-CA"/>
        </w:rPr>
        <w:t xml:space="preserve"> jugé que la fiducie réputée </w:t>
      </w:r>
      <w:r w:rsidRPr="00344043">
        <w:rPr>
          <w:rFonts w:cs="Times New Roman"/>
          <w:i/>
          <w:lang w:val="fr-CA"/>
        </w:rPr>
        <w:t>constituait</w:t>
      </w:r>
      <w:r w:rsidRPr="00344043">
        <w:rPr>
          <w:rFonts w:cs="Times New Roman"/>
          <w:lang w:val="fr-CA"/>
        </w:rPr>
        <w:t xml:space="preserve"> une charge flottante — ni qu’elle [</w:t>
      </w:r>
      <w:r w:rsidRPr="00344043">
        <w:rPr>
          <w:rFonts w:cs="Times New Roman"/>
          <w:smallCaps/>
          <w:lang w:val="fr-CA"/>
        </w:rPr>
        <w:t>traduction</w:t>
      </w:r>
      <w:r w:rsidRPr="00344043">
        <w:rPr>
          <w:rFonts w:cs="Times New Roman"/>
          <w:lang w:val="fr-CA"/>
        </w:rPr>
        <w:t xml:space="preserve">] « particip[ait] de la nature d’une “charge flottante” » (motifs de la juge Côté, par. 51) — mais plutôt qu’elle fonctionnait de manière </w:t>
      </w:r>
      <w:r w:rsidRPr="00344043">
        <w:rPr>
          <w:rFonts w:cs="Times New Roman"/>
          <w:i/>
          <w:lang w:val="fr-CA"/>
        </w:rPr>
        <w:t>semblable</w:t>
      </w:r>
      <w:r w:rsidRPr="00344043">
        <w:rPr>
          <w:rFonts w:cs="Times New Roman"/>
          <w:lang w:val="fr-CA"/>
        </w:rPr>
        <w:t xml:space="preserve"> en permettant à un débiteur, dans l’intervalle, de se départir d’un bien détenu en fiducie dans le cadre normal de ses activités. Ce sont là des concepts juridiques distincts; alors que la fiducie réputée a la « priorité de rang sur les garanties </w:t>
      </w:r>
      <w:r w:rsidRPr="00344043">
        <w:rPr>
          <w:rFonts w:cs="Times New Roman"/>
          <w:lang w:val="fr-CA"/>
        </w:rPr>
        <w:lastRenderedPageBreak/>
        <w:t>actuelles et futures », une charge flottante serait supplantée par une sûreté ultérieure (</w:t>
      </w:r>
      <w:r w:rsidRPr="00344043">
        <w:rPr>
          <w:rFonts w:cs="Times New Roman"/>
          <w:i/>
          <w:lang w:val="fr-CA"/>
        </w:rPr>
        <w:t>Banque Toronto</w:t>
      </w:r>
      <w:r w:rsidRPr="00344043">
        <w:rPr>
          <w:rFonts w:cs="Times New Roman"/>
          <w:i/>
          <w:lang w:val="fr-CA"/>
        </w:rPr>
        <w:noBreakHyphen/>
        <w:t>Dominion c. Canada</w:t>
      </w:r>
      <w:r w:rsidRPr="00344043">
        <w:rPr>
          <w:rFonts w:cs="Times New Roman"/>
          <w:lang w:val="fr-CA"/>
        </w:rPr>
        <w:t xml:space="preserve">, 2020 CAF 80, [2020] 3 R.C.F. 201, par. 62; voir aussi </w:t>
      </w:r>
      <w:r w:rsidRPr="00344043">
        <w:rPr>
          <w:rFonts w:cs="Times New Roman"/>
          <w:i/>
          <w:lang w:val="fr-CA"/>
        </w:rPr>
        <w:t>First Vancouver</w:t>
      </w:r>
      <w:r w:rsidRPr="00344043">
        <w:rPr>
          <w:rFonts w:cs="Times New Roman"/>
          <w:lang w:val="fr-CA"/>
        </w:rPr>
        <w:t>, par. 28).</w:t>
      </w:r>
    </w:p>
    <w:p w:rsidR="00344043" w:rsidRPr="00344043" w:rsidRDefault="00344043" w:rsidP="00344043">
      <w:pPr>
        <w:pStyle w:val="ParaNoNdepar-AltN"/>
        <w:spacing w:before="0"/>
        <w:rPr>
          <w:rFonts w:cs="Times New Roman"/>
          <w:lang w:val="fr-CA"/>
        </w:rPr>
      </w:pPr>
      <w:r w:rsidRPr="00344043">
        <w:rPr>
          <w:rFonts w:cs="Times New Roman"/>
          <w:lang w:val="fr-CA"/>
        </w:rPr>
        <w:t>Fait important à signaler, la fiducie réputée prévue au par. 227(4.1) ne comprend pas l’ensemble des biens du débiteur fiscal, mais seulement les biens d’une valeur équivalente au montant réputé être détenu en fiducie en vertu du par. 227(4). Cela ne signifie pas que la Couronne ne peut pas détenir un intérêt propriétal sur les biens du débiteur, mais seulement que cet intérêt se limite à la valeur des retenues à la source non versées, ce qui est logique. La Couronne ne peut percevoir que ce qui lui est dû.</w:t>
      </w:r>
    </w:p>
    <w:p w:rsidR="00344043" w:rsidRPr="00344043" w:rsidRDefault="00344043" w:rsidP="00344043">
      <w:pPr>
        <w:pStyle w:val="Title2LevelTitre2Niveau"/>
        <w:spacing w:before="0"/>
        <w:rPr>
          <w:rFonts w:cs="Times New Roman"/>
          <w:lang w:val="fr-CA"/>
        </w:rPr>
      </w:pPr>
      <w:r w:rsidRPr="00344043">
        <w:rPr>
          <w:rFonts w:cs="Times New Roman"/>
          <w:lang w:val="fr-CA"/>
        </w:rPr>
        <w:t>La fiducie réputée créée par les lois fiscales a priorité absolue sur toutes les autres réclamations dans le cadre de procédures engagées sous le régime de la LACC</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Le texte, le contexte et l’objectif du par. 227(4.1) de la </w:t>
      </w:r>
      <w:r w:rsidRPr="00344043">
        <w:rPr>
          <w:rFonts w:cs="Times New Roman"/>
          <w:i/>
          <w:lang w:val="fr-CA"/>
        </w:rPr>
        <w:t>LIR</w:t>
      </w:r>
      <w:r w:rsidRPr="00344043">
        <w:rPr>
          <w:rFonts w:cs="Times New Roman"/>
          <w:lang w:val="fr-CA"/>
        </w:rPr>
        <w:t xml:space="preserve"> appuient la conclusion selon laquelle il n’existe qu’une seule interprétation plausible de ce paragraphe et des dispositions connexes concernant la fiducie réputée qui figurent dans les lois fiscales : la fiducie réputée de la Couronne a préséance sur toute autre réclamation, y compris sur les charges super prioritaires accordées en vertu de la </w:t>
      </w:r>
      <w:r w:rsidRPr="00344043">
        <w:rPr>
          <w:rFonts w:cs="Times New Roman"/>
          <w:i/>
          <w:lang w:val="fr-CA"/>
        </w:rPr>
        <w:t>LACC</w:t>
      </w:r>
      <w:r w:rsidRPr="00344043">
        <w:rPr>
          <w:rFonts w:cs="Times New Roman"/>
          <w:lang w:val="fr-CA"/>
        </w:rPr>
        <w:t xml:space="preserve">. Lorsque le législateur a modifié les par. 227(4) et (4.1) de la </w:t>
      </w:r>
      <w:r w:rsidRPr="00344043">
        <w:rPr>
          <w:rFonts w:cs="Times New Roman"/>
          <w:i/>
          <w:lang w:val="fr-CA"/>
        </w:rPr>
        <w:t>LIR</w:t>
      </w:r>
      <w:r w:rsidRPr="00344043">
        <w:rPr>
          <w:rFonts w:cs="Times New Roman"/>
          <w:lang w:val="fr-CA"/>
        </w:rPr>
        <w:t xml:space="preserve"> et élargi leur portée, son intention était claire et sans équivoque.</w:t>
      </w:r>
    </w:p>
    <w:p w:rsidR="00344043" w:rsidRPr="00344043" w:rsidRDefault="00344043" w:rsidP="00344043">
      <w:pPr>
        <w:pStyle w:val="Title3LevelTitre3Niveau"/>
        <w:widowControl w:val="0"/>
        <w:spacing w:before="0"/>
        <w:rPr>
          <w:rFonts w:cs="Times New Roman"/>
          <w:lang w:val="fr-CA"/>
        </w:rPr>
      </w:pPr>
      <w:bookmarkStart w:id="6" w:name="_Toc56980894"/>
      <w:r w:rsidRPr="00344043">
        <w:rPr>
          <w:rFonts w:cs="Times New Roman"/>
          <w:lang w:val="fr-CA"/>
        </w:rPr>
        <w:t xml:space="preserve">La fiducie réputée s’applique malgré les dispositions de la </w:t>
      </w:r>
      <w:r w:rsidRPr="00344043">
        <w:rPr>
          <w:rFonts w:cs="Times New Roman"/>
          <w:i/>
          <w:lang w:val="fr-CA"/>
        </w:rPr>
        <w:t>LACC</w:t>
      </w:r>
      <w:bookmarkEnd w:id="6"/>
    </w:p>
    <w:p w:rsidR="00344043" w:rsidRPr="001D51B8" w:rsidRDefault="00344043" w:rsidP="00344043">
      <w:pPr>
        <w:pStyle w:val="Title4LevelTitre4Niveau"/>
        <w:tabs>
          <w:tab w:val="clear" w:pos="1152"/>
          <w:tab w:val="num" w:pos="2700"/>
        </w:tabs>
        <w:spacing w:before="0"/>
        <w:rPr>
          <w:rFonts w:cs="Times New Roman"/>
        </w:rPr>
      </w:pPr>
      <w:r w:rsidRPr="001D51B8">
        <w:rPr>
          <w:rFonts w:cs="Times New Roman"/>
        </w:rPr>
        <w:lastRenderedPageBreak/>
        <w:t>Texte des lois fiscales</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Le libellé du par. 227(4.1) de la </w:t>
      </w:r>
      <w:r w:rsidRPr="00344043">
        <w:rPr>
          <w:rFonts w:cs="Times New Roman"/>
          <w:i/>
          <w:lang w:val="fr-CA"/>
        </w:rPr>
        <w:t>LIR</w:t>
      </w:r>
      <w:r w:rsidRPr="00344043">
        <w:rPr>
          <w:rFonts w:cs="Times New Roman"/>
          <w:lang w:val="fr-CA"/>
        </w:rPr>
        <w:t xml:space="preserve"> est déterminant : la fiducie réputée de la Couronne a priorité absolue sur toutes les « garanties », y compris sur les charges super prioritaires créées sous le régime de la </w:t>
      </w:r>
      <w:r w:rsidRPr="00344043">
        <w:rPr>
          <w:rFonts w:cs="Times New Roman"/>
          <w:i/>
          <w:lang w:val="fr-CA"/>
        </w:rPr>
        <w:t>LACC</w:t>
      </w:r>
      <w:r w:rsidRPr="00344043">
        <w:rPr>
          <w:rFonts w:cs="Times New Roman"/>
          <w:lang w:val="fr-CA"/>
        </w:rPr>
        <w:t>.</w:t>
      </w:r>
      <w:r w:rsidRPr="00344043">
        <w:rPr>
          <w:rFonts w:cs="Times New Roman"/>
          <w:i/>
          <w:lang w:val="fr-CA"/>
        </w:rPr>
        <w:t xml:space="preserve"> </w:t>
      </w:r>
      <w:r w:rsidRPr="00344043">
        <w:rPr>
          <w:rFonts w:cs="Times New Roman"/>
          <w:lang w:val="fr-CA"/>
        </w:rPr>
        <w:t>Le montant sujet à la fiducie réputée est réputé « être déten[u] [. . .] sépar[é] des propres biens de la personne » et « ne pas faire partie du patrimoine ou des biens de la personne ». « Sa Majesté a un droit de bénéficiaire » sur ce montant et « le produit découlant de ces biens est payé [. . .] par priorité sur [toute autre] garantie ». Le droit conféré à la Couronne par la fiducie réputée créée en sa faveur est clair : il s’agit du droit d’être payée par priorité sur toute garantie.</w:t>
      </w:r>
    </w:p>
    <w:p w:rsidR="00344043" w:rsidRPr="00344043" w:rsidRDefault="00344043" w:rsidP="00344043">
      <w:pPr>
        <w:pStyle w:val="ParaNoNdepar-AltN"/>
        <w:spacing w:before="0"/>
        <w:rPr>
          <w:rFonts w:cs="Times New Roman"/>
          <w:lang w:val="fr-CA"/>
        </w:rPr>
      </w:pPr>
      <w:r w:rsidRPr="00344043">
        <w:rPr>
          <w:rFonts w:cs="Times New Roman"/>
          <w:lang w:val="fr-CA"/>
        </w:rPr>
        <w:t>Le législateur a accordé cette priorité inattaquable en employant ces termes non équivoques : « [m]algré [. . .] tout autre texte législatif fédéral ». Il s’agit d’une [</w:t>
      </w:r>
      <w:r w:rsidRPr="00344043">
        <w:rPr>
          <w:rFonts w:cs="Times New Roman"/>
          <w:smallCaps/>
          <w:lang w:val="fr-CA"/>
        </w:rPr>
        <w:t>traduction</w:t>
      </w:r>
      <w:r w:rsidRPr="00344043">
        <w:rPr>
          <w:rFonts w:cs="Times New Roman"/>
          <w:lang w:val="fr-CA"/>
        </w:rPr>
        <w:t xml:space="preserve">] « disposition générale attributive de préséance »; elle a préséance sur toute autre loi (P. Salembier, </w:t>
      </w:r>
      <w:r w:rsidRPr="00344043">
        <w:rPr>
          <w:rFonts w:cs="Times New Roman"/>
          <w:i/>
          <w:lang w:val="fr-CA"/>
        </w:rPr>
        <w:t>Legal and Legislative Drafting</w:t>
      </w:r>
      <w:r w:rsidRPr="00344043">
        <w:rPr>
          <w:rFonts w:cs="Times New Roman"/>
          <w:lang w:val="fr-CA"/>
        </w:rPr>
        <w:t xml:space="preserve"> (2</w:t>
      </w:r>
      <w:r w:rsidRPr="00344043">
        <w:rPr>
          <w:rFonts w:cs="Times New Roman"/>
          <w:vertAlign w:val="superscript"/>
          <w:lang w:val="fr-CA"/>
        </w:rPr>
        <w:t>e</w:t>
      </w:r>
      <w:r w:rsidRPr="00344043">
        <w:rPr>
          <w:rFonts w:cs="Times New Roman"/>
          <w:lang w:val="fr-CA"/>
        </w:rPr>
        <w:t xml:space="preserve"> éd. 2018), p. 385). Il ne figure dans </w:t>
      </w:r>
      <w:r w:rsidRPr="00344043">
        <w:rPr>
          <w:rFonts w:cs="Times New Roman"/>
          <w:shd w:val="clear" w:color="auto" w:fill="FFFFFF"/>
          <w:lang w:val="fr-CA"/>
        </w:rPr>
        <w:t xml:space="preserve">la </w:t>
      </w:r>
      <w:r w:rsidRPr="00344043">
        <w:rPr>
          <w:rFonts w:cs="Times New Roman"/>
          <w:i/>
          <w:shd w:val="clear" w:color="auto" w:fill="FFFFFF"/>
          <w:lang w:val="fr-CA"/>
        </w:rPr>
        <w:t>LACC</w:t>
      </w:r>
      <w:r w:rsidRPr="00344043">
        <w:rPr>
          <w:rFonts w:cs="Times New Roman"/>
          <w:shd w:val="clear" w:color="auto" w:fill="FFFFFF"/>
          <w:lang w:val="fr-CA"/>
        </w:rPr>
        <w:t xml:space="preserve"> </w:t>
      </w:r>
      <w:r w:rsidRPr="00344043">
        <w:rPr>
          <w:rFonts w:cs="Times New Roman"/>
          <w:lang w:val="fr-CA"/>
        </w:rPr>
        <w:t xml:space="preserve">aucune disposition dérogatoire semblable (« malgré »), subordonnant  aux charges super prioritaires les réclamations relatives à une fiducie réputée créée par les lois fiscales. En fait, c’est tout l’inverse : contrairement à la plupart des fiducies réputées qui sont neutralisées dans le cadre de procédures engagées sous le régime de la </w:t>
      </w:r>
      <w:r w:rsidRPr="00344043">
        <w:rPr>
          <w:rFonts w:cs="Times New Roman"/>
          <w:i/>
          <w:lang w:val="fr-CA"/>
        </w:rPr>
        <w:t>LACC</w:t>
      </w:r>
      <w:r w:rsidRPr="00344043">
        <w:rPr>
          <w:rFonts w:cs="Times New Roman"/>
          <w:lang w:val="fr-CA"/>
        </w:rPr>
        <w:t xml:space="preserve"> par l’application du par. 37(1) de la </w:t>
      </w:r>
      <w:r w:rsidRPr="00344043">
        <w:rPr>
          <w:rFonts w:cs="Times New Roman"/>
          <w:i/>
          <w:lang w:val="fr-CA"/>
        </w:rPr>
        <w:t>LACC</w:t>
      </w:r>
      <w:r w:rsidRPr="00344043">
        <w:rPr>
          <w:rFonts w:cs="Times New Roman"/>
          <w:lang w:val="fr-CA"/>
        </w:rPr>
        <w:t xml:space="preserve">, le par. 37(2) </w:t>
      </w:r>
      <w:r w:rsidRPr="00344043">
        <w:rPr>
          <w:rFonts w:cs="Times New Roman"/>
          <w:i/>
          <w:lang w:val="fr-CA"/>
        </w:rPr>
        <w:t>préserve</w:t>
      </w:r>
      <w:r w:rsidRPr="00344043">
        <w:rPr>
          <w:rFonts w:cs="Times New Roman"/>
          <w:lang w:val="fr-CA"/>
        </w:rPr>
        <w:t xml:space="preserve"> la fiducie réputée prévue par les lois fiscales. Cela distingue la fiducie réputée en litige dans la présente affaire de celles dont il était question dans l’arrêt </w:t>
      </w:r>
      <w:r w:rsidRPr="00344043">
        <w:rPr>
          <w:rFonts w:cs="Times New Roman"/>
          <w:i/>
          <w:lang w:val="fr-CA"/>
        </w:rPr>
        <w:t xml:space="preserve">Century Services Inc. </w:t>
      </w:r>
      <w:r w:rsidRPr="00344043">
        <w:rPr>
          <w:rFonts w:cs="Times New Roman"/>
          <w:i/>
          <w:lang w:val="fr-CA"/>
        </w:rPr>
        <w:lastRenderedPageBreak/>
        <w:t>c. Canada (Procureur général)</w:t>
      </w:r>
      <w:r w:rsidRPr="00344043">
        <w:rPr>
          <w:rFonts w:cs="Times New Roman"/>
          <w:lang w:val="fr-CA"/>
        </w:rPr>
        <w:t>, 2010 CSC 60, [2010] 3 R.C.S. 379, qui ont été neutralisées par l’application de ce qui est maintenant le par. 37(1). La juge Deschamps a maintes fois comparé les différentes fiducies réputées et précisé que « la fiducie réputée établie en faveur de la Couronne et la priorité dont celle</w:t>
      </w:r>
      <w:r w:rsidRPr="00344043">
        <w:rPr>
          <w:rFonts w:cs="Times New Roman"/>
          <w:lang w:val="fr-CA"/>
        </w:rPr>
        <w:noBreakHyphen/>
        <w:t xml:space="preserve">ci jouit de ce fait sur les retenues à la source continuent de s’appliquer autant pendant la réorganisation que pendant la faillite » (par. 38). La </w:t>
      </w:r>
      <w:r w:rsidRPr="00344043">
        <w:rPr>
          <w:rFonts w:cs="Times New Roman"/>
          <w:i/>
          <w:lang w:val="fr-CA"/>
        </w:rPr>
        <w:t>LIR</w:t>
      </w:r>
      <w:r w:rsidRPr="00344043">
        <w:rPr>
          <w:rFonts w:cs="Times New Roman"/>
          <w:lang w:val="fr-CA"/>
        </w:rPr>
        <w:t xml:space="preserve"> et la </w:t>
      </w:r>
      <w:r w:rsidRPr="00344043">
        <w:rPr>
          <w:rFonts w:cs="Times New Roman"/>
          <w:i/>
          <w:lang w:val="fr-CA"/>
        </w:rPr>
        <w:t>LACC</w:t>
      </w:r>
      <w:r w:rsidRPr="00344043">
        <w:rPr>
          <w:rFonts w:cs="Times New Roman"/>
          <w:lang w:val="fr-CA"/>
        </w:rPr>
        <w:t xml:space="preserve"> n’entrent donc pas en conflit.</w:t>
      </w:r>
    </w:p>
    <w:p w:rsidR="00344043" w:rsidRPr="001D51B8" w:rsidRDefault="00344043" w:rsidP="00E948FA">
      <w:pPr>
        <w:pStyle w:val="Title4LevelTitre4Niveau"/>
        <w:numPr>
          <w:ilvl w:val="0"/>
          <w:numId w:val="0"/>
        </w:numPr>
        <w:spacing w:before="0"/>
        <w:ind w:left="576"/>
        <w:rPr>
          <w:rFonts w:cs="Times New Roman"/>
        </w:rPr>
      </w:pPr>
      <w:r w:rsidRPr="001D51B8">
        <w:rPr>
          <w:rFonts w:cs="Times New Roman"/>
          <w:i w:val="0"/>
        </w:rPr>
        <w:t>(b)</w:t>
      </w:r>
      <w:r w:rsidRPr="001D51B8">
        <w:rPr>
          <w:rFonts w:cs="Times New Roman"/>
        </w:rPr>
        <w:tab/>
        <w:t>Dispositions législatives antérieures</w:t>
      </w:r>
    </w:p>
    <w:p w:rsidR="00344043" w:rsidRPr="00344043" w:rsidRDefault="00344043" w:rsidP="00344043">
      <w:pPr>
        <w:pStyle w:val="ParaNoNdepar-AltN"/>
        <w:spacing w:before="0"/>
        <w:rPr>
          <w:rFonts w:cs="Times New Roman"/>
          <w:lang w:val="fr-CA"/>
        </w:rPr>
      </w:pPr>
      <w:r w:rsidRPr="00344043">
        <w:rPr>
          <w:rFonts w:cs="Times New Roman"/>
          <w:lang w:val="fr-CA"/>
        </w:rPr>
        <w:t>Les versions antérieures d’une disposition législative font partie du « contexte global » dans lequel cette disposition doit être interprétée (</w:t>
      </w:r>
      <w:r w:rsidRPr="00344043">
        <w:rPr>
          <w:rFonts w:cs="Times New Roman"/>
          <w:i/>
          <w:lang w:val="fr-CA"/>
        </w:rPr>
        <w:t>Merk c. Association internationale des travailleurs en ponts, en fer structural, ornemental et d’armature, section locale 771</w:t>
      </w:r>
      <w:r w:rsidRPr="00344043">
        <w:rPr>
          <w:rFonts w:cs="Times New Roman"/>
          <w:lang w:val="fr-CA"/>
        </w:rPr>
        <w:t xml:space="preserve">, 2005 CSC 70, [2005] 3 R.C.S. 425, par. 28). En l’espèce, le contexte confirme qu’en édictant le par. 227(4.1) de la </w:t>
      </w:r>
      <w:r w:rsidRPr="00344043">
        <w:rPr>
          <w:rFonts w:cs="Times New Roman"/>
          <w:i/>
          <w:lang w:val="fr-CA"/>
        </w:rPr>
        <w:t>LIR</w:t>
      </w:r>
      <w:r w:rsidRPr="00344043">
        <w:rPr>
          <w:rFonts w:cs="Times New Roman"/>
          <w:lang w:val="fr-CA"/>
        </w:rPr>
        <w:t xml:space="preserve">, le législateur voulait que la fiducie réputée créée par les lois fiscales jouisse d’une priorité absolue sur tous les créanciers garantis, au sens du par. 224(1.3) de la </w:t>
      </w:r>
      <w:r w:rsidRPr="00344043">
        <w:rPr>
          <w:rFonts w:cs="Times New Roman"/>
          <w:i/>
          <w:lang w:val="fr-CA"/>
        </w:rPr>
        <w:t>LIR</w:t>
      </w:r>
      <w:r w:rsidRPr="00344043">
        <w:rPr>
          <w:rFonts w:cs="Times New Roman"/>
          <w:lang w:val="fr-CA"/>
        </w:rPr>
        <w:t>.</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Comme il a déjà été souligné, le législateur a modifié le par. 227(4.1) de la </w:t>
      </w:r>
      <w:r w:rsidRPr="00344043">
        <w:rPr>
          <w:rFonts w:cs="Times New Roman"/>
          <w:i/>
          <w:lang w:val="fr-CA"/>
        </w:rPr>
        <w:t>LIR</w:t>
      </w:r>
      <w:r w:rsidRPr="00344043">
        <w:rPr>
          <w:rFonts w:cs="Times New Roman"/>
          <w:lang w:val="fr-CA"/>
        </w:rPr>
        <w:t xml:space="preserve"> pour adopter son libellé actuel en réponse à l’arrêt </w:t>
      </w:r>
      <w:r w:rsidRPr="00344043">
        <w:rPr>
          <w:rFonts w:cs="Times New Roman"/>
          <w:i/>
          <w:lang w:val="fr-CA"/>
        </w:rPr>
        <w:t>Sparrow Electric</w:t>
      </w:r>
      <w:r w:rsidRPr="00344043">
        <w:rPr>
          <w:rFonts w:cs="Times New Roman"/>
          <w:lang w:val="fr-CA"/>
        </w:rPr>
        <w:t xml:space="preserve"> de notre Cour. Dans l’affaire </w:t>
      </w:r>
      <w:r w:rsidRPr="00344043">
        <w:rPr>
          <w:rFonts w:cs="Times New Roman"/>
          <w:i/>
          <w:lang w:val="fr-CA"/>
        </w:rPr>
        <w:t>Sparrow Electric</w:t>
      </w:r>
      <w:r w:rsidRPr="00344043">
        <w:rPr>
          <w:rFonts w:cs="Times New Roman"/>
          <w:lang w:val="fr-CA"/>
        </w:rPr>
        <w:t xml:space="preserve">, tant la Banque Royale que Sa Majesté revendiquaient la priorité de rang relativement au produit de la vente des biens de la débitrice fiscale. Notre Cour a jugé que la priorité de rang revenait à la Banque puisque les biens figurant dans l’inventaire étaient assujettis à la garantie de la Banque avant que la fiducie réputée n’ait pris naissance. En tirant cette conclusion, le juge Iacobucci a invité le </w:t>
      </w:r>
      <w:r w:rsidRPr="00344043">
        <w:rPr>
          <w:rFonts w:cs="Times New Roman"/>
          <w:lang w:val="fr-CA"/>
        </w:rPr>
        <w:lastRenderedPageBreak/>
        <w:t>législateur à accorder la priorité absolue à la Couronne et lui a montré comment y arriver :</w:t>
      </w:r>
    </w:p>
    <w:p w:rsidR="00344043" w:rsidRPr="001D51B8" w:rsidRDefault="00344043" w:rsidP="00344043">
      <w:pPr>
        <w:pStyle w:val="Citation-AltC"/>
        <w:ind w:hanging="360"/>
        <w:contextualSpacing w:val="0"/>
      </w:pPr>
      <w:r w:rsidRPr="00344043">
        <w:rPr>
          <w:lang w:val="fr-CA"/>
        </w:rPr>
        <w:tab/>
        <w:t xml:space="preserve">. . . </w:t>
      </w:r>
      <w:r w:rsidRPr="00344043">
        <w:rPr>
          <w:u w:val="single"/>
          <w:lang w:val="fr-CA"/>
        </w:rPr>
        <w:t xml:space="preserve">[J]e tiens à souligner qu’il est loisible au législateur d’intervenir et d’accorder la priorité absolue à la fiducie réputée. Le paragraphe 224(1.2) </w:t>
      </w:r>
      <w:r w:rsidRPr="00344043">
        <w:rPr>
          <w:i/>
          <w:u w:val="single"/>
          <w:lang w:val="fr-CA"/>
        </w:rPr>
        <w:t>LIR</w:t>
      </w:r>
      <w:r w:rsidRPr="00344043">
        <w:rPr>
          <w:u w:val="single"/>
          <w:lang w:val="fr-CA"/>
        </w:rPr>
        <w:t xml:space="preserve"> illustre clairement comment cela pourrait se faire. Cette disposition attribue à Sa Majesté certaines sommes « malgré toute autre garantie au titre de ce[s] somme[s] », et prévoit qu’elles « doi[vent] être payée[s] au receveur général par priorité sur toute autre garantie au titre de ce[s] somme[s] ». Pour obtenir le résultat souhaité, il suffit d’utiliser des termes aussi clairs.</w:t>
      </w:r>
      <w:r w:rsidRPr="00344043">
        <w:rPr>
          <w:lang w:val="fr-CA"/>
        </w:rPr>
        <w:t xml:space="preserve"> En l’absence de pareils termes, l’innovation judiciaire n’est pas souhaitable parce qu’il s’agit d’une question qui regorge de considérations de principe et parce qu’une prescription du législateur est plus susceptible d’être claire qu’une règle dont les limites précises ne seront établies que par suite d’une longue et coûteuse série de poursuites. </w:t>
      </w:r>
      <w:r w:rsidRPr="001D51B8">
        <w:t>[Nous soulignons; par. 112.]</w:t>
      </w:r>
    </w:p>
    <w:p w:rsidR="00344043" w:rsidRPr="00344043" w:rsidRDefault="00344043" w:rsidP="00344043">
      <w:pPr>
        <w:pStyle w:val="ParaNoNdepar-AltN"/>
        <w:spacing w:before="0"/>
        <w:rPr>
          <w:rFonts w:cs="Times New Roman"/>
          <w:b/>
          <w:lang w:val="fr-CA"/>
        </w:rPr>
      </w:pPr>
      <w:r w:rsidRPr="00344043">
        <w:rPr>
          <w:rFonts w:cs="Times New Roman"/>
          <w:lang w:val="fr-CA"/>
        </w:rPr>
        <w:t>C’est exactement ce que le législateur a fait. Il a modifié les lois fiscales afin de renforcer sa priorité. Le communiqué qui accompagnait les modifications mentionnait que celles</w:t>
      </w:r>
      <w:r w:rsidRPr="00344043">
        <w:rPr>
          <w:rFonts w:cs="Times New Roman"/>
          <w:lang w:val="fr-CA"/>
        </w:rPr>
        <w:noBreakHyphen/>
        <w:t xml:space="preserve">ci avaient pour objectif d’« établir la </w:t>
      </w:r>
      <w:r w:rsidRPr="00344043">
        <w:rPr>
          <w:rFonts w:cs="Times New Roman"/>
          <w:u w:val="single"/>
          <w:lang w:val="fr-CA"/>
        </w:rPr>
        <w:t>priorité absolue</w:t>
      </w:r>
      <w:r w:rsidRPr="00344043">
        <w:rPr>
          <w:rFonts w:cs="Times New Roman"/>
          <w:lang w:val="fr-CA"/>
        </w:rPr>
        <w:t xml:space="preserve"> des droits de l’État [à l’égard des] retenues à la source non versées [et de] minimiser les pertes de recettes fiscales et empêch[er] les contribuables contrevenants et leurs créanciers garantis de tirer profit du non</w:t>
      </w:r>
      <w:r w:rsidRPr="00344043">
        <w:rPr>
          <w:rFonts w:cs="Times New Roman"/>
          <w:lang w:val="fr-CA"/>
        </w:rPr>
        <w:noBreakHyphen/>
        <w:t>versement de retenues à la source et de TPS au détriment de l’État » (Ministère des Finances du Canada, p. 1 (nous soulignons)).</w:t>
      </w:r>
    </w:p>
    <w:p w:rsidR="00344043" w:rsidRPr="001D51B8" w:rsidRDefault="00344043" w:rsidP="00344043">
      <w:pPr>
        <w:pStyle w:val="ParaNoNdepar-AltN"/>
        <w:spacing w:before="0"/>
        <w:rPr>
          <w:rFonts w:cs="Times New Roman"/>
          <w:b/>
        </w:rPr>
      </w:pPr>
      <w:r w:rsidRPr="00344043">
        <w:rPr>
          <w:rFonts w:cs="Times New Roman"/>
          <w:lang w:val="fr-CA"/>
        </w:rPr>
        <w:t xml:space="preserve">L’objectif de ces modifications a été décrit par le juge Iacobucci au nom de notre Cour dans l’arrêt </w:t>
      </w:r>
      <w:r w:rsidRPr="00344043">
        <w:rPr>
          <w:rFonts w:cs="Times New Roman"/>
          <w:i/>
          <w:lang w:val="fr-CA"/>
        </w:rPr>
        <w:t>First Vancouver</w:t>
      </w:r>
      <w:r w:rsidRPr="00344043">
        <w:rPr>
          <w:rFonts w:cs="Times New Roman"/>
          <w:lang w:val="fr-CA"/>
        </w:rPr>
        <w:t>. Comme il l’a reconnu, l’objectif était d’accorder la priorité de rang à la fiducie réputée et de faire en sorte que la créance de la Couronne ait préséance sur celles des créanciers garantis, peu importe le moment où la garantie a pris naissance (par. 28</w:t>
      </w:r>
      <w:r w:rsidRPr="00344043">
        <w:rPr>
          <w:rFonts w:cs="Times New Roman"/>
          <w:lang w:val="fr-CA"/>
        </w:rPr>
        <w:noBreakHyphen/>
        <w:t xml:space="preserve">29). « Ces modifications révèlent </w:t>
      </w:r>
      <w:r w:rsidRPr="00344043">
        <w:rPr>
          <w:rFonts w:cs="Times New Roman"/>
          <w:shd w:val="clear" w:color="auto" w:fill="FFFFFF"/>
          <w:lang w:val="fr-CA"/>
        </w:rPr>
        <w:t xml:space="preserve">que le législateur </w:t>
      </w:r>
      <w:r w:rsidRPr="00344043">
        <w:rPr>
          <w:rFonts w:cs="Times New Roman"/>
          <w:shd w:val="clear" w:color="auto" w:fill="FFFFFF"/>
          <w:lang w:val="fr-CA"/>
        </w:rPr>
        <w:lastRenderedPageBreak/>
        <w:t>a manifestement voulu consolider la fiducie réputée et en accroître la portée afin de faciliter les opérations de recouvrement du ministre », a</w:t>
      </w:r>
      <w:r w:rsidRPr="00344043">
        <w:rPr>
          <w:rFonts w:cs="Times New Roman"/>
          <w:shd w:val="clear" w:color="auto" w:fill="FFFFFF"/>
          <w:lang w:val="fr-CA"/>
        </w:rPr>
        <w:noBreakHyphen/>
        <w:t>t</w:t>
      </w:r>
      <w:r w:rsidRPr="00344043">
        <w:rPr>
          <w:rFonts w:cs="Times New Roman"/>
          <w:shd w:val="clear" w:color="auto" w:fill="FFFFFF"/>
          <w:lang w:val="fr-CA"/>
        </w:rPr>
        <w:noBreakHyphen/>
        <w:t xml:space="preserve">il ajouté (par. 29). </w:t>
      </w:r>
      <w:r w:rsidRPr="001D51B8">
        <w:rPr>
          <w:rFonts w:cs="Times New Roman"/>
          <w:shd w:val="clear" w:color="auto" w:fill="FFFFFF"/>
        </w:rPr>
        <w:t>L’intention du législateur n’aurait pas pu être plus claire.</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En fait, l’opinion contraire de nos collègues nous amène à nous questionner : si la portée englobante de la disposition de dérogation du par. 227(4.1) de la </w:t>
      </w:r>
      <w:r w:rsidRPr="00344043">
        <w:rPr>
          <w:rFonts w:cs="Times New Roman"/>
          <w:i/>
          <w:lang w:val="fr-CA"/>
        </w:rPr>
        <w:t>LIR</w:t>
      </w:r>
      <w:r w:rsidRPr="00344043">
        <w:rPr>
          <w:rFonts w:cs="Times New Roman"/>
          <w:lang w:val="fr-CA"/>
        </w:rPr>
        <w:t xml:space="preserve"> </w:t>
      </w:r>
      <w:r w:rsidRPr="00344043">
        <w:rPr>
          <w:rFonts w:cs="Times New Roman"/>
          <w:i/>
          <w:lang w:val="fr-CA"/>
        </w:rPr>
        <w:t>ne suffit pas</w:t>
      </w:r>
      <w:r w:rsidRPr="00344043">
        <w:rPr>
          <w:rFonts w:cs="Times New Roman"/>
          <w:lang w:val="fr-CA"/>
        </w:rPr>
        <w:t xml:space="preserve"> à garantir la priorité de rang sur les charges super prioritaires, quel libellé imaginable aurait </w:t>
      </w:r>
      <w:r w:rsidRPr="00344043">
        <w:rPr>
          <w:rFonts w:cs="Times New Roman"/>
          <w:i/>
          <w:lang w:val="fr-CA"/>
        </w:rPr>
        <w:t>suffi</w:t>
      </w:r>
      <w:r w:rsidRPr="00344043">
        <w:rPr>
          <w:rFonts w:cs="Times New Roman"/>
          <w:lang w:val="fr-CA"/>
        </w:rPr>
        <w:t>? Les tribunaux doivent donner dûment effet aux directives législatives claires du législateur et ne pas s’efforcer de les renverser au motif que le libellé sans équivoque ou la « clause omnibus » du législateur ne mentionne pas expressément une garantie en particulier.</w:t>
      </w:r>
    </w:p>
    <w:p w:rsidR="00344043" w:rsidRPr="00344043" w:rsidRDefault="00344043" w:rsidP="00344043">
      <w:pPr>
        <w:pStyle w:val="Title3LevelTitre3Niveau"/>
        <w:widowControl w:val="0"/>
        <w:spacing w:before="0"/>
        <w:rPr>
          <w:rFonts w:cs="Times New Roman"/>
          <w:lang w:val="fr-CA"/>
        </w:rPr>
      </w:pPr>
      <w:bookmarkStart w:id="7" w:name="_Toc56980893"/>
      <w:r w:rsidRPr="00344043">
        <w:rPr>
          <w:rFonts w:cs="Times New Roman"/>
          <w:lang w:val="fr-CA"/>
        </w:rPr>
        <w:t>Les charges super prioritaires constituent une « garantie »</w:t>
      </w:r>
      <w:bookmarkEnd w:id="7"/>
      <w:r w:rsidRPr="00344043">
        <w:rPr>
          <w:rFonts w:cs="Times New Roman"/>
          <w:lang w:val="fr-CA"/>
        </w:rPr>
        <w:t xml:space="preserve"> au sens des lois fiscales</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Selon les dispositions relatives aux charges super prioritaires figurant aux par. 11.2(1), 11.51(1) et 11.52(1) de la </w:t>
      </w:r>
      <w:r w:rsidRPr="00344043">
        <w:rPr>
          <w:rFonts w:cs="Times New Roman"/>
          <w:i/>
          <w:lang w:val="fr-CA"/>
        </w:rPr>
        <w:t>LACC</w:t>
      </w:r>
      <w:r w:rsidRPr="00344043">
        <w:rPr>
          <w:rFonts w:cs="Times New Roman"/>
          <w:lang w:val="fr-CA"/>
        </w:rPr>
        <w:t xml:space="preserve">, un juge surveillant « peut par ordonnance [. . .] déclarer que tout ou partie des biens de la compagnie sont grevés d’une charge ou sûreté ». Cette charge ou sûreté n’a toutefois pas préséance sur la fiducie réputée créée par le par. 227(4.1) de la </w:t>
      </w:r>
      <w:r w:rsidRPr="00344043">
        <w:rPr>
          <w:rFonts w:cs="Times New Roman"/>
          <w:i/>
          <w:lang w:val="fr-CA"/>
        </w:rPr>
        <w:t>LIR</w:t>
      </w:r>
      <w:r w:rsidRPr="00344043">
        <w:rPr>
          <w:rFonts w:cs="Times New Roman"/>
          <w:lang w:val="fr-CA"/>
        </w:rPr>
        <w:t xml:space="preserve">, lequel prévoit que le montant des retenues à la source non versées réputé être détenu en fiducie a priorité sur toute autre « garantie ». Ce terme est ainsi défini au par. 224(1.3) de la </w:t>
      </w:r>
      <w:r w:rsidRPr="00344043">
        <w:rPr>
          <w:rFonts w:cs="Times New Roman"/>
          <w:i/>
          <w:lang w:val="fr-CA"/>
        </w:rPr>
        <w:t>LIR</w:t>
      </w:r>
      <w:r w:rsidRPr="00344043">
        <w:rPr>
          <w:rFonts w:cs="Times New Roman"/>
          <w:lang w:val="fr-CA"/>
        </w:rPr>
        <w:t> :</w:t>
      </w:r>
    </w:p>
    <w:p w:rsidR="00344043" w:rsidRPr="00344043" w:rsidRDefault="00344043" w:rsidP="00344043">
      <w:pPr>
        <w:pStyle w:val="Citation-AltC"/>
        <w:ind w:hanging="360"/>
        <w:contextualSpacing w:val="0"/>
        <w:rPr>
          <w:sz w:val="28"/>
          <w:lang w:val="fr-CA"/>
        </w:rPr>
      </w:pPr>
      <w:r w:rsidRPr="00344043">
        <w:rPr>
          <w:lang w:val="fr-CA"/>
        </w:rPr>
        <w:tab/>
      </w:r>
      <w:r w:rsidRPr="00344043">
        <w:rPr>
          <w:b/>
          <w:i/>
          <w:u w:val="single"/>
          <w:lang w:val="fr-CA"/>
        </w:rPr>
        <w:t>garantie</w:t>
      </w:r>
      <w:r w:rsidRPr="00344043">
        <w:rPr>
          <w:lang w:val="fr-CA"/>
        </w:rPr>
        <w:t xml:space="preserve"> </w:t>
      </w:r>
      <w:r w:rsidRPr="00344043">
        <w:rPr>
          <w:u w:val="single"/>
          <w:lang w:val="fr-CA"/>
        </w:rPr>
        <w:t>Intérêt</w:t>
      </w:r>
      <w:r w:rsidRPr="00344043">
        <w:rPr>
          <w:lang w:val="fr-CA"/>
        </w:rPr>
        <w:t xml:space="preserve"> ou, pour l’application du droit civil, droit sur </w:t>
      </w:r>
      <w:r w:rsidRPr="00344043">
        <w:rPr>
          <w:u w:val="single"/>
          <w:lang w:val="fr-CA"/>
        </w:rPr>
        <w:t>un bien qui garantit l’exécution d’une obligation, notamment un paiement</w:t>
      </w:r>
      <w:r w:rsidRPr="00344043">
        <w:rPr>
          <w:lang w:val="fr-CA"/>
        </w:rPr>
        <w:t xml:space="preserve">. </w:t>
      </w:r>
      <w:r w:rsidRPr="00344043">
        <w:rPr>
          <w:u w:val="single"/>
          <w:lang w:val="fr-CA"/>
        </w:rPr>
        <w:t xml:space="preserve">Sont en </w:t>
      </w:r>
      <w:r w:rsidRPr="00344043">
        <w:rPr>
          <w:u w:val="single"/>
          <w:lang w:val="fr-CA"/>
        </w:rPr>
        <w:lastRenderedPageBreak/>
        <w:t>particulier</w:t>
      </w:r>
      <w:r w:rsidRPr="00344043">
        <w:rPr>
          <w:lang w:val="fr-CA"/>
        </w:rPr>
        <w:t xml:space="preserve"> des garanties les intérêts ou, pour l’application du droit civil, les droits nés ou découlant de débentures, hypothèques, privilèges, nantissements, </w:t>
      </w:r>
      <w:r w:rsidRPr="00344043">
        <w:rPr>
          <w:u w:val="single"/>
          <w:lang w:val="fr-CA"/>
        </w:rPr>
        <w:t>sûretés</w:t>
      </w:r>
      <w:r w:rsidRPr="00344043">
        <w:rPr>
          <w:lang w:val="fr-CA"/>
        </w:rPr>
        <w:t xml:space="preserve">, fiducies réputées ou réelles, cessions et </w:t>
      </w:r>
      <w:r w:rsidRPr="00344043">
        <w:rPr>
          <w:u w:val="single"/>
          <w:lang w:val="fr-CA"/>
        </w:rPr>
        <w:t>charges</w:t>
      </w:r>
      <w:r w:rsidRPr="00344043">
        <w:rPr>
          <w:lang w:val="fr-CA"/>
        </w:rPr>
        <w:t xml:space="preserve">, </w:t>
      </w:r>
      <w:r w:rsidRPr="00344043">
        <w:rPr>
          <w:u w:val="single"/>
          <w:lang w:val="fr-CA"/>
        </w:rPr>
        <w:t>quelle qu’en soit la nature, de quelque façon ou à quelque date qu’elles soient créées, réputées exister ou prévues par ailleurs</w:t>
      </w:r>
      <w:r w:rsidRPr="00344043">
        <w:rPr>
          <w:lang w:val="fr-CA"/>
        </w:rPr>
        <w:t>. (</w:t>
      </w:r>
      <w:r w:rsidRPr="00344043">
        <w:rPr>
          <w:i/>
          <w:lang w:val="fr-CA"/>
        </w:rPr>
        <w:t>security interest</w:t>
      </w:r>
      <w:r w:rsidRPr="00344043">
        <w:rPr>
          <w:lang w:val="fr-CA"/>
        </w:rPr>
        <w:t>)</w:t>
      </w:r>
    </w:p>
    <w:p w:rsidR="00344043" w:rsidRPr="00344043" w:rsidRDefault="00344043" w:rsidP="00344043">
      <w:pPr>
        <w:pStyle w:val="ContinueParaSuitedupar-AltP"/>
        <w:spacing w:before="0"/>
        <w:rPr>
          <w:rFonts w:cs="Times New Roman"/>
          <w:lang w:val="fr-CA"/>
        </w:rPr>
      </w:pPr>
      <w:r w:rsidRPr="00344043">
        <w:rPr>
          <w:rFonts w:cs="Times New Roman"/>
          <w:lang w:val="fr-CA"/>
        </w:rPr>
        <w:t xml:space="preserve">Il est donc clair qu’une « garantie » englobe une « sûreté » et une « charge ». En outre, les par. 11.2(1), 11.51(1) et 11.52(1) de la </w:t>
      </w:r>
      <w:r w:rsidRPr="00344043">
        <w:rPr>
          <w:rFonts w:cs="Times New Roman"/>
          <w:i/>
          <w:lang w:val="fr-CA"/>
        </w:rPr>
        <w:t>LACC</w:t>
      </w:r>
      <w:r w:rsidRPr="00344043">
        <w:rPr>
          <w:rFonts w:cs="Times New Roman"/>
          <w:lang w:val="fr-CA"/>
        </w:rPr>
        <w:t xml:space="preserve"> décrivent les charges super prioritaires comme une « charge ou sûreté ». Par conséquent, il ne fait aucun doute que les charges super prioritaires créées sous le régime de la </w:t>
      </w:r>
      <w:r w:rsidRPr="00344043">
        <w:rPr>
          <w:rFonts w:cs="Times New Roman"/>
          <w:i/>
          <w:lang w:val="fr-CA"/>
        </w:rPr>
        <w:t>LACC</w:t>
      </w:r>
      <w:r w:rsidRPr="00344043">
        <w:rPr>
          <w:rFonts w:cs="Times New Roman"/>
          <w:lang w:val="fr-CA"/>
        </w:rPr>
        <w:t xml:space="preserve"> sont des garanties au sens de la </w:t>
      </w:r>
      <w:r w:rsidRPr="00344043">
        <w:rPr>
          <w:rFonts w:cs="Times New Roman"/>
          <w:i/>
          <w:lang w:val="fr-CA"/>
        </w:rPr>
        <w:t>LIR</w:t>
      </w:r>
      <w:r w:rsidRPr="00344043">
        <w:rPr>
          <w:rFonts w:cs="Times New Roman"/>
          <w:lang w:val="fr-CA"/>
        </w:rPr>
        <w:t>.</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Même si cela ne suffisait pas, la définition de « garantie » énoncée au par. 224(1.3) de la </w:t>
      </w:r>
      <w:r w:rsidRPr="00344043">
        <w:rPr>
          <w:rFonts w:cs="Times New Roman"/>
          <w:i/>
          <w:lang w:val="fr-CA"/>
        </w:rPr>
        <w:t>LIR</w:t>
      </w:r>
      <w:r w:rsidRPr="00344043">
        <w:rPr>
          <w:rFonts w:cs="Times New Roman"/>
          <w:lang w:val="fr-CA"/>
        </w:rPr>
        <w:t xml:space="preserve"> est assez large pour comprendre les charges super prioritaires prévues sous le régime de la </w:t>
      </w:r>
      <w:r w:rsidRPr="00344043">
        <w:rPr>
          <w:rFonts w:cs="Times New Roman"/>
          <w:i/>
          <w:lang w:val="fr-CA"/>
        </w:rPr>
        <w:t>LACC</w:t>
      </w:r>
      <w:r w:rsidRPr="00344043">
        <w:rPr>
          <w:rFonts w:cs="Times New Roman"/>
          <w:lang w:val="fr-CA"/>
        </w:rPr>
        <w:t>. La portée de l’expression « sont en particulier » et du passage catégorique « charges, quelle qu’en soit la nature, de quelque façon ou à quelque date qu’elles soient créées, réputées exister ou prévues par ailleurs » ne pourrait pas être plus large. Comme l’explique la professeure Sullivan, [</w:t>
      </w:r>
      <w:r w:rsidRPr="00344043">
        <w:rPr>
          <w:rFonts w:cs="Times New Roman"/>
          <w:smallCaps/>
          <w:lang w:val="fr-CA"/>
        </w:rPr>
        <w:t>traduction</w:t>
      </w:r>
      <w:r w:rsidRPr="00344043">
        <w:rPr>
          <w:rFonts w:cs="Times New Roman"/>
          <w:lang w:val="fr-CA"/>
        </w:rPr>
        <w:t>] « Une liste d’exemples introduite par le terme “notamment” [ou “sont en particulier” dans le paragraphe qui nous occupe] a généralement pour objectif de souligner la vaste portée des termes généraux et de veiller à ce qu’elle ne soit pas mal interprétée de façon à exclure un élément qui ne doit pas l’être » (</w:t>
      </w:r>
      <w:r w:rsidRPr="00344043">
        <w:rPr>
          <w:rFonts w:cs="Times New Roman"/>
          <w:i/>
          <w:lang w:val="fr-CA"/>
        </w:rPr>
        <w:t>Sullivan on the Construction of Statutes</w:t>
      </w:r>
      <w:r w:rsidRPr="00344043">
        <w:rPr>
          <w:rFonts w:cs="Times New Roman"/>
          <w:lang w:val="fr-CA"/>
        </w:rPr>
        <w:t xml:space="preserve"> (6</w:t>
      </w:r>
      <w:r w:rsidRPr="00344043">
        <w:rPr>
          <w:rFonts w:cs="Times New Roman"/>
          <w:vertAlign w:val="superscript"/>
          <w:lang w:val="fr-CA"/>
        </w:rPr>
        <w:t>e</w:t>
      </w:r>
      <w:r w:rsidRPr="00344043">
        <w:rPr>
          <w:rFonts w:cs="Times New Roman"/>
          <w:lang w:val="fr-CA"/>
        </w:rPr>
        <w:t> éd. 2014), par. 4.39).</w:t>
      </w:r>
    </w:p>
    <w:p w:rsidR="00344043" w:rsidRPr="00344043" w:rsidRDefault="00344043" w:rsidP="00344043">
      <w:pPr>
        <w:pStyle w:val="ParaNoNdepar-AltN"/>
        <w:spacing w:before="0"/>
        <w:rPr>
          <w:rFonts w:cs="Times New Roman"/>
          <w:i/>
          <w:lang w:val="fr-CA"/>
        </w:rPr>
      </w:pPr>
      <w:r w:rsidRPr="00344043">
        <w:rPr>
          <w:rFonts w:cs="Times New Roman"/>
          <w:lang w:val="fr-CA"/>
        </w:rPr>
        <w:t xml:space="preserve">Notre Cour a déjà reconnu, dans l’arrêt </w:t>
      </w:r>
      <w:r w:rsidRPr="00344043">
        <w:rPr>
          <w:rFonts w:cs="Times New Roman"/>
          <w:i/>
          <w:lang w:val="fr-CA"/>
        </w:rPr>
        <w:t>Caisse populaire Desjardins de l’Est de Drummond c. Canada</w:t>
      </w:r>
      <w:r w:rsidRPr="00344043">
        <w:rPr>
          <w:rFonts w:cs="Times New Roman"/>
          <w:lang w:val="fr-CA"/>
        </w:rPr>
        <w:t xml:space="preserve">, 2009 CSC 29, [2009] 2 R.C.S. 94, que le législateur a opté pour « une définition large de la “garantie” afin de maximiser le recouvrement par </w:t>
      </w:r>
      <w:r w:rsidRPr="00344043">
        <w:rPr>
          <w:rFonts w:cs="Times New Roman"/>
          <w:lang w:val="fr-CA"/>
        </w:rPr>
        <w:lastRenderedPageBreak/>
        <w:t>Sa Majesté » (par. 14), qui englobe tout intérêt sur un bien qui garantit l’exécution d’une obligation, notamment un paiement :</w:t>
      </w:r>
    </w:p>
    <w:p w:rsidR="00344043" w:rsidRPr="00344043" w:rsidRDefault="00344043" w:rsidP="00344043">
      <w:pPr>
        <w:pStyle w:val="Citation-AltC"/>
        <w:tabs>
          <w:tab w:val="left" w:pos="1440"/>
        </w:tabs>
        <w:contextualSpacing w:val="0"/>
        <w:rPr>
          <w:lang w:val="fr-CA"/>
        </w:rPr>
      </w:pPr>
      <w:r w:rsidRPr="00344043">
        <w:rPr>
          <w:lang w:val="fr-CA"/>
        </w:rPr>
        <w:tab/>
        <w:t xml:space="preserve">Il y a garantie aux fins des par. 227(4.1) </w:t>
      </w:r>
      <w:r w:rsidRPr="00344043">
        <w:rPr>
          <w:i/>
          <w:iCs/>
          <w:lang w:val="fr-CA"/>
        </w:rPr>
        <w:t>LIR</w:t>
      </w:r>
      <w:r w:rsidRPr="00344043">
        <w:rPr>
          <w:lang w:val="fr-CA"/>
        </w:rPr>
        <w:t xml:space="preserve"> et 86(2.1) </w:t>
      </w:r>
      <w:r w:rsidRPr="00344043">
        <w:rPr>
          <w:i/>
          <w:iCs/>
          <w:lang w:val="fr-CA"/>
        </w:rPr>
        <w:t>LAE</w:t>
      </w:r>
      <w:r w:rsidRPr="00344043">
        <w:rPr>
          <w:lang w:val="fr-CA"/>
        </w:rPr>
        <w:t xml:space="preserve"> lorsque le créancier détient un « [d]roit sur un bien qui garantit l’exécution d’une obligation, notamment un paiement ». </w:t>
      </w:r>
      <w:r w:rsidRPr="00344043">
        <w:rPr>
          <w:u w:val="single"/>
          <w:lang w:val="fr-CA"/>
        </w:rPr>
        <w:t xml:space="preserve">La définition de « garantie » au par. 224(1.3) </w:t>
      </w:r>
      <w:r w:rsidRPr="00344043">
        <w:rPr>
          <w:i/>
          <w:iCs/>
          <w:u w:val="single"/>
          <w:lang w:val="fr-CA"/>
        </w:rPr>
        <w:t>LIR</w:t>
      </w:r>
      <w:r w:rsidRPr="00344043">
        <w:rPr>
          <w:u w:val="single"/>
          <w:lang w:val="fr-CA"/>
        </w:rPr>
        <w:t xml:space="preserve"> n’exige pas que l’entente entre le créancier et le débiteur revête une forme particulière et elle n’en exclut aucune expressément. Dès lors que le droit du créancier sur le bien du débiteur garantit l’exécution d’une obligation, notamment un paiement, il y a « garantie » au sens de cette disposition. L’énumération d’exemples dans la définition légale n’a pas pour effet de limiter la portée générale de l’expression « [d]roit sur un bien » . . .</w:t>
      </w:r>
      <w:r w:rsidRPr="00344043">
        <w:rPr>
          <w:lang w:val="fr-CA"/>
        </w:rPr>
        <w:t xml:space="preserve"> [Nous soulignons; par. 15.]</w:t>
      </w:r>
    </w:p>
    <w:p w:rsidR="00344043" w:rsidRPr="00344043" w:rsidRDefault="00344043" w:rsidP="00344043">
      <w:pPr>
        <w:pStyle w:val="ContinueParaSuitedupar-AltP"/>
        <w:spacing w:before="0"/>
        <w:rPr>
          <w:rFonts w:cs="Times New Roman"/>
          <w:lang w:val="fr-CA"/>
        </w:rPr>
      </w:pPr>
      <w:r w:rsidRPr="00344043">
        <w:rPr>
          <w:rFonts w:cs="Times New Roman"/>
          <w:shd w:val="clear" w:color="auto" w:fill="FFFFFF"/>
          <w:lang w:val="fr-CA"/>
        </w:rPr>
        <w:t xml:space="preserve">Dans ce cas, le juge Rothstein, s’exprimant au nom de la Cour, a déclaré qu’un contrat conférant un droit de compensation pouvait constituer une « garantie » au sens du par. 224(1.3) de la </w:t>
      </w:r>
      <w:r w:rsidRPr="00344043">
        <w:rPr>
          <w:rFonts w:cs="Times New Roman"/>
          <w:i/>
          <w:shd w:val="clear" w:color="auto" w:fill="FFFFFF"/>
          <w:lang w:val="fr-CA"/>
        </w:rPr>
        <w:t>LIR</w:t>
      </w:r>
      <w:r w:rsidRPr="00344043">
        <w:rPr>
          <w:rFonts w:cs="Times New Roman"/>
          <w:shd w:val="clear" w:color="auto" w:fill="FFFFFF"/>
          <w:lang w:val="fr-CA"/>
        </w:rPr>
        <w:t xml:space="preserve"> </w:t>
      </w:r>
      <w:r w:rsidRPr="00344043">
        <w:rPr>
          <w:rFonts w:cs="Times New Roman"/>
          <w:i/>
          <w:shd w:val="clear" w:color="auto" w:fill="FFFFFF"/>
          <w:lang w:val="fr-CA"/>
        </w:rPr>
        <w:t>même si la compensation n’est pas énumérée dans la définition</w:t>
      </w:r>
      <w:r w:rsidRPr="00344043">
        <w:rPr>
          <w:rFonts w:cs="Times New Roman"/>
          <w:shd w:val="clear" w:color="auto" w:fill="FFFFFF"/>
          <w:lang w:val="fr-CA"/>
        </w:rPr>
        <w:t xml:space="preserve"> et même si elle </w:t>
      </w:r>
      <w:r w:rsidRPr="00344043">
        <w:rPr>
          <w:rFonts w:cs="Times New Roman"/>
          <w:i/>
          <w:shd w:val="clear" w:color="auto" w:fill="FFFFFF"/>
          <w:lang w:val="fr-CA"/>
        </w:rPr>
        <w:t>n’est ordinairement pas considérée comme telle</w:t>
      </w:r>
      <w:r w:rsidRPr="00344043">
        <w:rPr>
          <w:rFonts w:cs="Times New Roman"/>
          <w:shd w:val="clear" w:color="auto" w:fill="FFFFFF"/>
          <w:lang w:val="fr-CA"/>
        </w:rPr>
        <w:t xml:space="preserve"> (par. 37</w:t>
      </w:r>
      <w:r w:rsidRPr="00344043">
        <w:rPr>
          <w:rFonts w:cs="Times New Roman"/>
          <w:shd w:val="clear" w:color="auto" w:fill="FFFFFF"/>
          <w:lang w:val="fr-CA"/>
        </w:rPr>
        <w:noBreakHyphen/>
        <w:t>40).</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Pour toutes ces raisons, les charges super prioritaires entrent dans la définition de « garantie » puisqu’elles constituent un « intérêt [. . .] sur un bien qui garantit l’exécution d’une obligation, notamment un paiement », par exemple le paiement du contrôleur, du prêteur temporaire et des dirigeants. Par conséquent, l’intérêt de la Couronne au titre de la fiducie réputée créée par le par. 227(4.1) de la </w:t>
      </w:r>
      <w:r w:rsidRPr="00344043">
        <w:rPr>
          <w:rFonts w:cs="Times New Roman"/>
          <w:i/>
          <w:lang w:val="fr-CA"/>
        </w:rPr>
        <w:t>LIR</w:t>
      </w:r>
      <w:r w:rsidRPr="00344043">
        <w:rPr>
          <w:rFonts w:cs="Times New Roman"/>
          <w:lang w:val="fr-CA"/>
        </w:rPr>
        <w:t xml:space="preserve"> prend rang devant les charges super prioritaires.</w:t>
      </w:r>
    </w:p>
    <w:p w:rsidR="00344043" w:rsidRPr="00344043" w:rsidRDefault="00344043" w:rsidP="00344043">
      <w:pPr>
        <w:pStyle w:val="ParaNoNdepar-AltN"/>
        <w:spacing w:before="0"/>
        <w:rPr>
          <w:rFonts w:cs="Times New Roman"/>
          <w:shd w:val="clear" w:color="auto" w:fill="FFFFFF"/>
          <w:lang w:val="fr-CA"/>
        </w:rPr>
      </w:pPr>
      <w:r w:rsidRPr="00344043">
        <w:rPr>
          <w:rFonts w:cs="Times New Roman"/>
          <w:lang w:val="fr-CA"/>
        </w:rPr>
        <w:t xml:space="preserve">Notre collègue la juge Côté voit toutefois les choses différemment, mais </w:t>
      </w:r>
      <w:r w:rsidRPr="00344043">
        <w:rPr>
          <w:rFonts w:cs="Times New Roman"/>
          <w:shd w:val="clear" w:color="auto" w:fill="FFFFFF"/>
          <w:lang w:val="fr-CA"/>
        </w:rPr>
        <w:t xml:space="preserve">à notre humble avis, elle fait abstraction de l’exposé du droit faisant autorité de notre </w:t>
      </w:r>
      <w:r w:rsidRPr="00344043">
        <w:rPr>
          <w:rFonts w:cs="Times New Roman"/>
          <w:shd w:val="clear" w:color="auto" w:fill="FFFFFF"/>
          <w:lang w:val="fr-CA"/>
        </w:rPr>
        <w:lastRenderedPageBreak/>
        <w:t xml:space="preserve">Cour dans </w:t>
      </w:r>
      <w:r w:rsidRPr="00344043">
        <w:rPr>
          <w:rFonts w:cs="Times New Roman"/>
          <w:i/>
          <w:shd w:val="clear" w:color="auto" w:fill="FFFFFF"/>
          <w:lang w:val="fr-CA"/>
        </w:rPr>
        <w:t>Caisse populaire Desjardins de l’Est de Drummond</w:t>
      </w:r>
      <w:r w:rsidRPr="00344043">
        <w:rPr>
          <w:rFonts w:cs="Times New Roman"/>
          <w:shd w:val="clear" w:color="auto" w:fill="FFFFFF"/>
          <w:lang w:val="fr-CA"/>
        </w:rPr>
        <w:t xml:space="preserve">. </w:t>
      </w:r>
      <w:r w:rsidRPr="00344043">
        <w:rPr>
          <w:rFonts w:cs="Times New Roman"/>
          <w:lang w:val="fr-CA"/>
        </w:rPr>
        <w:t xml:space="preserve">Plus précisément, elle conclut que les charges super prioritaires ne sont pas des « garanties » au sens de la </w:t>
      </w:r>
      <w:r w:rsidRPr="00344043">
        <w:rPr>
          <w:rFonts w:cs="Times New Roman"/>
          <w:i/>
          <w:lang w:val="fr-CA"/>
        </w:rPr>
        <w:t>LIR</w:t>
      </w:r>
      <w:r w:rsidRPr="00344043">
        <w:rPr>
          <w:rFonts w:cs="Times New Roman"/>
          <w:lang w:val="fr-CA"/>
        </w:rPr>
        <w:t xml:space="preserve"> parce que « [les charges super prioritaires d’origine judiciaire] se distinguent des garanties consensuelles et non consensuelles classiques en ce qu’elles sont intimement liées aux procédures d’insolvabilité qui se déroulent au profit de l’ensemble des créanciers » (motifs de la juge Côté, par. 62 (soulignement omis), citant R. J. Wood, « Irresistible Force Meets Immovable Object : </w:t>
      </w:r>
      <w:r w:rsidRPr="00344043">
        <w:rPr>
          <w:rFonts w:cs="Times New Roman"/>
          <w:i/>
          <w:lang w:val="fr-CA"/>
        </w:rPr>
        <w:t>Canada v. Canada North Group Inc. </w:t>
      </w:r>
      <w:r w:rsidRPr="00344043">
        <w:rPr>
          <w:rFonts w:cs="Times New Roman"/>
          <w:lang w:val="fr-CA"/>
        </w:rPr>
        <w:t xml:space="preserve">» (2020), 63 </w:t>
      </w:r>
      <w:r w:rsidRPr="00344043">
        <w:rPr>
          <w:rFonts w:cs="Times New Roman"/>
          <w:i/>
          <w:lang w:val="fr-CA"/>
        </w:rPr>
        <w:t xml:space="preserve">Rev. can. dr. comm. </w:t>
      </w:r>
      <w:r w:rsidRPr="00344043">
        <w:rPr>
          <w:rFonts w:cs="Times New Roman"/>
          <w:lang w:val="fr-CA"/>
        </w:rPr>
        <w:t xml:space="preserve">85, p. 98). Avec égards, rien dans la définition de garantie qui figure dans la </w:t>
      </w:r>
      <w:r w:rsidRPr="00344043">
        <w:rPr>
          <w:rFonts w:cs="Times New Roman"/>
          <w:i/>
          <w:lang w:val="fr-CA"/>
        </w:rPr>
        <w:t>LIR</w:t>
      </w:r>
      <w:r w:rsidRPr="00344043">
        <w:rPr>
          <w:rFonts w:cs="Times New Roman"/>
          <w:lang w:val="fr-CA"/>
        </w:rPr>
        <w:t xml:space="preserve"> ne permet d’exclure une garantie conçue pour fonctionner au profit de tous les créanciers.</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Une fois de plus, et quelle que soit la nature des procédures intentées sous le régime de la </w:t>
      </w:r>
      <w:r w:rsidRPr="00344043">
        <w:rPr>
          <w:rFonts w:cs="Times New Roman"/>
          <w:i/>
          <w:lang w:val="fr-CA"/>
        </w:rPr>
        <w:t>LACC</w:t>
      </w:r>
      <w:r w:rsidRPr="00344043">
        <w:rPr>
          <w:rFonts w:cs="Times New Roman"/>
          <w:lang w:val="fr-CA"/>
        </w:rPr>
        <w:t xml:space="preserve">, la conclusion de notre collègue est inconciliable avec celle de notre Cour dans l’arrêt </w:t>
      </w:r>
      <w:r w:rsidRPr="00344043">
        <w:rPr>
          <w:rFonts w:cs="Times New Roman"/>
          <w:i/>
          <w:lang w:val="fr-CA"/>
        </w:rPr>
        <w:t>Caisse populaire Desjardins de l’Est de Drummond</w:t>
      </w:r>
      <w:r w:rsidRPr="00344043">
        <w:rPr>
          <w:rFonts w:cs="Times New Roman"/>
          <w:lang w:val="fr-CA"/>
        </w:rPr>
        <w:t xml:space="preserve"> de même qu’avec la « définition large » retenue par le législateur pour maximiser le recouvrement (</w:t>
      </w:r>
      <w:r w:rsidRPr="00344043">
        <w:rPr>
          <w:rFonts w:cs="Times New Roman"/>
          <w:i/>
          <w:lang w:val="fr-CA"/>
        </w:rPr>
        <w:t>Caisse populaire Desjardins de l’Est de Drummond</w:t>
      </w:r>
      <w:r w:rsidRPr="00344043">
        <w:rPr>
          <w:rFonts w:cs="Times New Roman"/>
          <w:lang w:val="fr-CA"/>
        </w:rPr>
        <w:t xml:space="preserve">, par. 14). Le fait que l’instrument est constitué par un tribunal et qu’il est présumé bénéficier à tous les créanciers n’a aucune importance. Il n’a aucune incidence sur </w:t>
      </w:r>
      <w:r w:rsidRPr="00344043">
        <w:rPr>
          <w:rFonts w:cs="Times New Roman"/>
          <w:i/>
          <w:lang w:val="fr-CA"/>
        </w:rPr>
        <w:t>la nature</w:t>
      </w:r>
      <w:r w:rsidRPr="00344043">
        <w:rPr>
          <w:rFonts w:cs="Times New Roman"/>
          <w:lang w:val="fr-CA"/>
        </w:rPr>
        <w:t xml:space="preserve"> des charges super prioritaires — soit garantir l’exécution d’une obligation, notamment un paiement — qui constitue le seul critère pertinent (par. 15). En ce qui concerne l’inclusion expresse des « charges super prioritaires » dans la définition et leur constitution par ordonnance judiciaire, nous réitérons que les « sûretés » et « charges » sont </w:t>
      </w:r>
      <w:r w:rsidRPr="00344043">
        <w:rPr>
          <w:rFonts w:cs="Times New Roman"/>
          <w:lang w:val="fr-CA"/>
        </w:rPr>
        <w:lastRenderedPageBreak/>
        <w:t>explicitement incluses « </w:t>
      </w:r>
      <w:r w:rsidRPr="00344043">
        <w:rPr>
          <w:rFonts w:cs="Times New Roman"/>
          <w:u w:val="single"/>
          <w:lang w:val="fr-CA"/>
        </w:rPr>
        <w:t>de quelque façon</w:t>
      </w:r>
      <w:r w:rsidRPr="00344043">
        <w:rPr>
          <w:rFonts w:cs="Times New Roman"/>
          <w:lang w:val="fr-CA"/>
        </w:rPr>
        <w:t xml:space="preserve"> ou à quelque date qu’elles soient </w:t>
      </w:r>
      <w:r w:rsidRPr="00344043">
        <w:rPr>
          <w:rFonts w:cs="Times New Roman"/>
          <w:u w:val="single"/>
          <w:lang w:val="fr-CA"/>
        </w:rPr>
        <w:t>créées</w:t>
      </w:r>
      <w:r w:rsidRPr="00344043">
        <w:rPr>
          <w:rFonts w:cs="Times New Roman"/>
          <w:lang w:val="fr-CA"/>
        </w:rPr>
        <w:t>, réputées exister ou prévues par ailleurs » (</w:t>
      </w:r>
      <w:r w:rsidRPr="00344043">
        <w:rPr>
          <w:rFonts w:cs="Times New Roman"/>
          <w:i/>
          <w:lang w:val="fr-CA"/>
        </w:rPr>
        <w:t>LIR</w:t>
      </w:r>
      <w:r w:rsidRPr="00344043">
        <w:rPr>
          <w:rFonts w:cs="Times New Roman"/>
          <w:lang w:val="fr-CA"/>
        </w:rPr>
        <w:t>, par. 224(1.3)).</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De plus, ni l’observation du professeur Wood ni, par extension, le raisonnement avancé dans </w:t>
      </w:r>
      <w:r w:rsidRPr="00344043">
        <w:rPr>
          <w:rFonts w:cs="Times New Roman"/>
          <w:i/>
          <w:lang w:val="fr-CA"/>
        </w:rPr>
        <w:t>DaimlerChrysler Financial Services (Debis) Canada Inc. c. Mega Pets Ltd.</w:t>
      </w:r>
      <w:r w:rsidRPr="00344043">
        <w:rPr>
          <w:rFonts w:cs="Times New Roman"/>
          <w:lang w:val="fr-CA"/>
        </w:rPr>
        <w:t xml:space="preserve">, 2002 BCCA 242, 1 B.C.L.R. (4th) 237, et </w:t>
      </w:r>
      <w:r w:rsidRPr="00344043">
        <w:rPr>
          <w:rFonts w:cs="Times New Roman"/>
          <w:i/>
          <w:lang w:val="fr-CA"/>
        </w:rPr>
        <w:t>Minister of National Revenue c. Schwab Construction Ltd.</w:t>
      </w:r>
      <w:r w:rsidRPr="00344043">
        <w:rPr>
          <w:rFonts w:cs="Times New Roman"/>
          <w:lang w:val="fr-CA"/>
        </w:rPr>
        <w:t>, 2002 SKCA 6, 213 Sask. R. 278, ne sont d’une quelconque utilité pour notre collègue la juge Karakatsanis (par. 102; voir aussi Wood, p. 98, n. 51</w:t>
      </w:r>
      <w:r w:rsidRPr="00344043">
        <w:rPr>
          <w:rFonts w:cs="Times New Roman"/>
          <w:lang w:val="fr-CA"/>
        </w:rPr>
        <w:noBreakHyphen/>
        <w:t xml:space="preserve">52). Bien qu’il ait été conclu </w:t>
      </w:r>
      <w:r w:rsidRPr="00344043">
        <w:rPr>
          <w:rFonts w:cs="Times New Roman"/>
          <w:shd w:val="clear" w:color="auto" w:fill="FFFFFF"/>
          <w:lang w:val="fr-CA"/>
        </w:rPr>
        <w:t>dans ces jugements que les contrats de location</w:t>
      </w:r>
      <w:r w:rsidRPr="00344043">
        <w:rPr>
          <w:rFonts w:cs="Times New Roman"/>
          <w:shd w:val="clear" w:color="auto" w:fill="FFFFFF"/>
          <w:lang w:val="fr-CA"/>
        </w:rPr>
        <w:noBreakHyphen/>
        <w:t xml:space="preserve">financement et les contrats de vente conditionnelle n’entraient pas dans la définition énoncée </w:t>
      </w:r>
      <w:r w:rsidRPr="00344043">
        <w:rPr>
          <w:rFonts w:cs="Times New Roman"/>
          <w:lang w:val="fr-CA"/>
        </w:rPr>
        <w:t xml:space="preserve">au par. 224(1.3) de la </w:t>
      </w:r>
      <w:r w:rsidRPr="00344043">
        <w:rPr>
          <w:rFonts w:cs="Times New Roman"/>
          <w:i/>
          <w:lang w:val="fr-CA"/>
        </w:rPr>
        <w:t>LIR</w:t>
      </w:r>
      <w:r w:rsidRPr="00344043">
        <w:rPr>
          <w:rFonts w:cs="Times New Roman"/>
          <w:shd w:val="clear" w:color="auto" w:fill="FFFFFF"/>
          <w:lang w:val="fr-CA"/>
        </w:rPr>
        <w:t xml:space="preserve"> parce qu’ils n’y étaient pas précisément mentionnés, ce raisonnement a par la suite été rejeté sans ambages dans l’arrêt </w:t>
      </w:r>
      <w:r w:rsidRPr="00344043">
        <w:rPr>
          <w:rFonts w:cs="Times New Roman"/>
          <w:i/>
          <w:shd w:val="clear" w:color="auto" w:fill="FFFFFF"/>
          <w:lang w:val="fr-CA"/>
        </w:rPr>
        <w:t>Caisse populaire de l’Est de Drummond</w:t>
      </w:r>
      <w:r w:rsidRPr="00344043">
        <w:rPr>
          <w:rFonts w:cs="Times New Roman"/>
          <w:shd w:val="clear" w:color="auto" w:fill="FFFFFF"/>
          <w:lang w:val="fr-CA"/>
        </w:rPr>
        <w:t xml:space="preserve">. Comme si ce n’était pas suffisant, les affaires </w:t>
      </w:r>
      <w:r w:rsidRPr="00344043">
        <w:rPr>
          <w:rFonts w:cs="Times New Roman"/>
          <w:i/>
          <w:shd w:val="clear" w:color="auto" w:fill="FFFFFF"/>
          <w:lang w:val="fr-CA"/>
        </w:rPr>
        <w:t>Mega Pets</w:t>
      </w:r>
      <w:r w:rsidRPr="00344043">
        <w:rPr>
          <w:rFonts w:cs="Times New Roman"/>
          <w:shd w:val="clear" w:color="auto" w:fill="FFFFFF"/>
          <w:lang w:val="fr-CA"/>
        </w:rPr>
        <w:t xml:space="preserve"> et </w:t>
      </w:r>
      <w:r w:rsidRPr="00344043">
        <w:rPr>
          <w:rFonts w:cs="Times New Roman"/>
          <w:i/>
          <w:shd w:val="clear" w:color="auto" w:fill="FFFFFF"/>
          <w:lang w:val="fr-CA"/>
        </w:rPr>
        <w:t>Schwab</w:t>
      </w:r>
      <w:r w:rsidRPr="00344043">
        <w:rPr>
          <w:rFonts w:cs="Times New Roman"/>
          <w:shd w:val="clear" w:color="auto" w:fill="FFFFFF"/>
          <w:lang w:val="fr-CA"/>
        </w:rPr>
        <w:t>, contrairement à l’affaire en l’espèce, concernaient des situations où les biens n’avaient pas été transférés au débiteur, lequel fait avait été considéré comme déterminant et avait mené à la conclusion que les instruments en question dans ces affaires ne constituaient pas des « garanties ». Par exemple, aux termes d’un contrat de vente conditionnelle, le vendeur ne dispose d’aucun intérêt sur les biens du débiteur puisque le vendeur demeure propriétaire jusqu’à l’exécution de l’obligation (</w:t>
      </w:r>
      <w:r w:rsidRPr="00344043">
        <w:rPr>
          <w:rFonts w:cs="Times New Roman"/>
          <w:i/>
          <w:shd w:val="clear" w:color="auto" w:fill="FFFFFF"/>
          <w:lang w:val="fr-CA"/>
        </w:rPr>
        <w:t>Mega Pets</w:t>
      </w:r>
      <w:r w:rsidRPr="00344043">
        <w:rPr>
          <w:rFonts w:cs="Times New Roman"/>
          <w:shd w:val="clear" w:color="auto" w:fill="FFFFFF"/>
          <w:lang w:val="fr-CA"/>
        </w:rPr>
        <w:t>, par. 32). À l’inverse, les charges super prioritaires garantissent le paiement à partir des biens qui appartiennent toujours au débiteur</w:t>
      </w:r>
      <w:r w:rsidRPr="00344043">
        <w:rPr>
          <w:rFonts w:cs="Times New Roman"/>
          <w:lang w:val="fr-CA"/>
        </w:rPr>
        <w:t>.</w:t>
      </w:r>
    </w:p>
    <w:p w:rsidR="00344043" w:rsidRPr="00344043" w:rsidRDefault="00344043" w:rsidP="00344043">
      <w:pPr>
        <w:pStyle w:val="ParaNoNdepar-AltN"/>
        <w:spacing w:before="0"/>
        <w:rPr>
          <w:rFonts w:cs="Times New Roman"/>
          <w:lang w:val="fr-CA"/>
        </w:rPr>
      </w:pPr>
      <w:r w:rsidRPr="00344043">
        <w:rPr>
          <w:rFonts w:cs="Times New Roman"/>
          <w:lang w:val="fr-CA"/>
        </w:rPr>
        <w:lastRenderedPageBreak/>
        <w:t xml:space="preserve">Enfin, l’interprétation que notre Cour donne au terme « garantie » dans </w:t>
      </w:r>
      <w:r w:rsidRPr="00344043">
        <w:rPr>
          <w:rFonts w:cs="Times New Roman"/>
          <w:i/>
          <w:lang w:val="fr-CA"/>
        </w:rPr>
        <w:t xml:space="preserve">Caisse populaire de l’Est de Drummond </w:t>
      </w:r>
      <w:r w:rsidRPr="00344043">
        <w:rPr>
          <w:rFonts w:cs="Times New Roman"/>
          <w:lang w:val="fr-CA"/>
        </w:rPr>
        <w:t xml:space="preserve">est confirmée par la version française du texte. « Sont </w:t>
      </w:r>
      <w:r w:rsidRPr="00344043">
        <w:rPr>
          <w:rFonts w:cs="Times New Roman"/>
          <w:u w:val="single"/>
          <w:lang w:val="fr-CA"/>
        </w:rPr>
        <w:t>en particulier</w:t>
      </w:r>
      <w:r w:rsidRPr="00344043">
        <w:rPr>
          <w:rFonts w:cs="Times New Roman"/>
          <w:lang w:val="fr-CA"/>
        </w:rPr>
        <w:t xml:space="preserve"> des garanties » est un passage illustratif, et non limitatif. </w:t>
      </w:r>
      <w:r w:rsidRPr="00344043">
        <w:rPr>
          <w:rFonts w:cs="Times New Roman"/>
          <w:i/>
          <w:lang w:val="fr-CA"/>
        </w:rPr>
        <w:t xml:space="preserve">Le Robert </w:t>
      </w:r>
      <w:r w:rsidRPr="00344043">
        <w:rPr>
          <w:rFonts w:cs="Times New Roman"/>
          <w:lang w:val="fr-CA"/>
        </w:rPr>
        <w:t>(en ligne) définit « en particulier » comme suit : « </w:t>
      </w:r>
      <w:r w:rsidRPr="00344043">
        <w:rPr>
          <w:rFonts w:cs="Times New Roman"/>
          <w:u w:val="single"/>
          <w:lang w:val="fr-CA"/>
        </w:rPr>
        <w:t>particulièrement</w:t>
      </w:r>
      <w:r w:rsidRPr="00344043">
        <w:rPr>
          <w:rFonts w:cs="Times New Roman"/>
          <w:lang w:val="fr-CA"/>
        </w:rPr>
        <w:t xml:space="preserve">, </w:t>
      </w:r>
      <w:r w:rsidRPr="00344043">
        <w:rPr>
          <w:rFonts w:cs="Times New Roman"/>
          <w:u w:val="single"/>
          <w:lang w:val="fr-CA"/>
        </w:rPr>
        <w:t>notamment</w:t>
      </w:r>
      <w:r w:rsidRPr="00344043">
        <w:rPr>
          <w:rFonts w:cs="Times New Roman"/>
          <w:lang w:val="fr-CA"/>
        </w:rPr>
        <w:t xml:space="preserve">, spécialement, surtout » (nous soulignons). Sans surprise, la version française du par. 224(1.3) a été qualifiée d’« aussi large qu’il est possible de l’écrire » (R. P. Simard, « Priorités et droits spéciaux de la couronne », dans </w:t>
      </w:r>
      <w:r w:rsidRPr="00344043">
        <w:rPr>
          <w:rFonts w:cs="Times New Roman"/>
          <w:i/>
          <w:iCs/>
          <w:lang w:val="fr-CA"/>
        </w:rPr>
        <w:t xml:space="preserve">JurisClasseur Québec — Collection de droit civil — Sûretés </w:t>
      </w:r>
      <w:r w:rsidRPr="00344043">
        <w:rPr>
          <w:rFonts w:cs="Times New Roman"/>
          <w:iCs/>
          <w:lang w:val="fr-CA"/>
        </w:rPr>
        <w:t xml:space="preserve">(feuilles mobiles), vol. 1, </w:t>
      </w:r>
      <w:r w:rsidRPr="00344043">
        <w:rPr>
          <w:rFonts w:cs="Times New Roman"/>
          <w:lang w:val="fr-CA"/>
        </w:rPr>
        <w:t>par P.</w:t>
      </w:r>
      <w:r w:rsidRPr="00344043">
        <w:rPr>
          <w:rFonts w:cs="Times New Roman"/>
          <w:lang w:val="fr-CA"/>
        </w:rPr>
        <w:noBreakHyphen/>
        <w:t>C. Lafond, dir., fasc. 4, par. 20). Il n’y a aucune discordance entre les deux versions du texte. La version française correspond parfaitement à l’emploi du verbe « </w:t>
      </w:r>
      <w:r w:rsidRPr="00344043">
        <w:rPr>
          <w:rFonts w:cs="Times New Roman"/>
          <w:i/>
          <w:lang w:val="fr-CA"/>
        </w:rPr>
        <w:t>includes</w:t>
      </w:r>
      <w:r w:rsidRPr="00344043">
        <w:rPr>
          <w:rFonts w:cs="Times New Roman"/>
          <w:lang w:val="fr-CA"/>
        </w:rPr>
        <w:t> » dans le texte anglais, et confirme le sens clair de la version anglaise.</w:t>
      </w:r>
    </w:p>
    <w:p w:rsidR="00344043" w:rsidRPr="00344043" w:rsidRDefault="00344043" w:rsidP="00344043">
      <w:pPr>
        <w:pStyle w:val="ParaNoNdepar-AltN"/>
        <w:spacing w:before="0"/>
        <w:rPr>
          <w:rFonts w:cs="Times New Roman"/>
          <w:lang w:val="fr-CA"/>
        </w:rPr>
      </w:pPr>
      <w:r w:rsidRPr="00344043">
        <w:rPr>
          <w:rFonts w:cs="Times New Roman"/>
          <w:lang w:val="fr-CA"/>
        </w:rPr>
        <w:t>Avec égards, nos collègues les juges Côté et Karakatsanis contrecarrent la volonté claire du législateur. Un langage clair et englobant devrait être traité comme tel et ne pas être contourné en tentant désespérément de faire des distinctions dénuées de de toute importance sur le plan juridique ou en cherchant ce qui n’est pas expressément mentionné dans le but d’éviter la conclusion, autrement inéluctable, selon laquelle le législateur voulait accorder la priorité absolue à la fiducie réputée.</w:t>
      </w:r>
    </w:p>
    <w:p w:rsidR="00344043" w:rsidRPr="001D51B8" w:rsidRDefault="00344043" w:rsidP="00344043">
      <w:pPr>
        <w:pStyle w:val="Title3LevelTitre3Niveau"/>
        <w:spacing w:before="0"/>
        <w:rPr>
          <w:rFonts w:cs="Times New Roman"/>
        </w:rPr>
      </w:pPr>
      <w:r w:rsidRPr="001D51B8">
        <w:rPr>
          <w:rFonts w:cs="Times New Roman"/>
        </w:rPr>
        <w:t>Conclusion</w:t>
      </w:r>
    </w:p>
    <w:p w:rsidR="00344043" w:rsidRPr="001D51B8" w:rsidRDefault="00344043" w:rsidP="00344043">
      <w:pPr>
        <w:pStyle w:val="ParaNoNdepar-AltN"/>
        <w:spacing w:before="0"/>
        <w:rPr>
          <w:rFonts w:cs="Times New Roman"/>
        </w:rPr>
      </w:pPr>
      <w:r w:rsidRPr="001D51B8">
        <w:rPr>
          <w:rFonts w:cs="Times New Roman"/>
        </w:rPr>
        <w:t>La conclusion est simple :</w:t>
      </w:r>
    </w:p>
    <w:p w:rsidR="00344043" w:rsidRPr="00344043" w:rsidRDefault="00344043" w:rsidP="00344043">
      <w:pPr>
        <w:pStyle w:val="Citation-AltC"/>
        <w:numPr>
          <w:ilvl w:val="0"/>
          <w:numId w:val="24"/>
        </w:numPr>
        <w:spacing w:after="480" w:line="480" w:lineRule="auto"/>
        <w:ind w:left="1530"/>
        <w:contextualSpacing w:val="0"/>
        <w:rPr>
          <w:lang w:val="fr-CA"/>
        </w:rPr>
      </w:pPr>
      <w:r w:rsidRPr="00344043">
        <w:rPr>
          <w:lang w:val="fr-CA"/>
        </w:rPr>
        <w:lastRenderedPageBreak/>
        <w:t xml:space="preserve">les lois fiscales donnent à la fiducie réputée créée à l’égard des retenues à la source priorité absolue sur toute garantie malgré la </w:t>
      </w:r>
      <w:r w:rsidRPr="00344043">
        <w:rPr>
          <w:i/>
          <w:lang w:val="fr-CA"/>
        </w:rPr>
        <w:t>LACC</w:t>
      </w:r>
      <w:r w:rsidRPr="00344043">
        <w:rPr>
          <w:lang w:val="fr-CA"/>
        </w:rPr>
        <w:t>;</w:t>
      </w:r>
    </w:p>
    <w:p w:rsidR="00344043" w:rsidRPr="00344043" w:rsidRDefault="00344043" w:rsidP="00344043">
      <w:pPr>
        <w:pStyle w:val="Citation-AltC"/>
        <w:numPr>
          <w:ilvl w:val="0"/>
          <w:numId w:val="24"/>
        </w:numPr>
        <w:spacing w:after="480" w:line="480" w:lineRule="auto"/>
        <w:ind w:left="1530"/>
        <w:contextualSpacing w:val="0"/>
        <w:rPr>
          <w:lang w:val="fr-CA"/>
        </w:rPr>
      </w:pPr>
      <w:r w:rsidRPr="00344043">
        <w:rPr>
          <w:lang w:val="fr-CA"/>
        </w:rPr>
        <w:t>les charges super prioritaires sont des « garanties » au sens des lois fiscales;</w:t>
      </w:r>
    </w:p>
    <w:p w:rsidR="00344043" w:rsidRPr="00344043" w:rsidRDefault="00344043" w:rsidP="00344043">
      <w:pPr>
        <w:pStyle w:val="Citation-AltC"/>
        <w:numPr>
          <w:ilvl w:val="0"/>
          <w:numId w:val="24"/>
        </w:numPr>
        <w:spacing w:after="480" w:line="480" w:lineRule="auto"/>
        <w:ind w:left="1530"/>
        <w:contextualSpacing w:val="0"/>
        <w:rPr>
          <w:lang w:val="fr-CA"/>
        </w:rPr>
      </w:pPr>
      <w:r w:rsidRPr="00344043">
        <w:rPr>
          <w:lang w:val="fr-CA"/>
        </w:rPr>
        <w:t xml:space="preserve">la </w:t>
      </w:r>
      <w:r w:rsidRPr="00344043">
        <w:rPr>
          <w:i/>
          <w:lang w:val="fr-CA"/>
        </w:rPr>
        <w:t>LACC</w:t>
      </w:r>
      <w:r w:rsidRPr="00344043">
        <w:rPr>
          <w:lang w:val="fr-CA"/>
        </w:rPr>
        <w:t xml:space="preserve"> n’accorde pas aux charges super prioritaires préséance sur une réclamation au titre d’une fiducie réputée créée par les lois fiscales.</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Il n’en faut pas davantage pour trancher le pourvoi : la fiducie réputée créée par les lois fiscales a préséance sur les charges super prioritaires. Cependant, comme les intimées soutiennent que cette conclusion ferait en sorte que les dispositions relatives à la fiducie réputée contenues dans les lois fiscales entrent en conflit avec la </w:t>
      </w:r>
      <w:r w:rsidRPr="00344043">
        <w:rPr>
          <w:rFonts w:cs="Times New Roman"/>
          <w:i/>
          <w:lang w:val="fr-CA"/>
        </w:rPr>
        <w:t>LACC</w:t>
      </w:r>
      <w:r w:rsidRPr="00344043">
        <w:rPr>
          <w:rFonts w:cs="Times New Roman"/>
          <w:lang w:val="fr-CA"/>
        </w:rPr>
        <w:t xml:space="preserve"> et ferait perdre leur sens à certaines dispositions de la </w:t>
      </w:r>
      <w:r w:rsidRPr="00344043">
        <w:rPr>
          <w:rFonts w:cs="Times New Roman"/>
          <w:i/>
          <w:lang w:val="fr-CA"/>
        </w:rPr>
        <w:t>LACC</w:t>
      </w:r>
      <w:r w:rsidRPr="00344043">
        <w:rPr>
          <w:rFonts w:cs="Times New Roman"/>
          <w:lang w:val="fr-CA"/>
        </w:rPr>
        <w:t>, nous nous devons d’expliquer pourquoi ce n’est pas le cas.</w:t>
      </w:r>
    </w:p>
    <w:p w:rsidR="00344043" w:rsidRPr="00344043" w:rsidRDefault="00344043" w:rsidP="00344043">
      <w:pPr>
        <w:pStyle w:val="Title2LevelTitre2Niveau"/>
        <w:spacing w:before="0"/>
        <w:rPr>
          <w:rFonts w:cs="Times New Roman"/>
          <w:lang w:val="fr-CA"/>
        </w:rPr>
      </w:pPr>
      <w:r w:rsidRPr="00344043">
        <w:rPr>
          <w:rFonts w:cs="Times New Roman"/>
          <w:lang w:val="fr-CA"/>
        </w:rPr>
        <w:t>La LACC et les lois fiscales s’appliquent de façon harmonieuse</w:t>
      </w:r>
    </w:p>
    <w:p w:rsidR="00344043" w:rsidRPr="00344043" w:rsidRDefault="00344043" w:rsidP="00344043">
      <w:pPr>
        <w:pStyle w:val="Title3LevelTitre3Niveau"/>
        <w:spacing w:before="0"/>
        <w:rPr>
          <w:rFonts w:cs="Times New Roman"/>
          <w:lang w:val="fr-CA"/>
        </w:rPr>
      </w:pPr>
      <w:r w:rsidRPr="00344043">
        <w:rPr>
          <w:rFonts w:cs="Times New Roman"/>
          <w:lang w:val="fr-CA"/>
        </w:rPr>
        <w:t xml:space="preserve">Les larges pouvoirs conférés par l’art. 11 de la </w:t>
      </w:r>
      <w:r w:rsidRPr="00344043">
        <w:rPr>
          <w:rFonts w:cs="Times New Roman"/>
          <w:i/>
          <w:lang w:val="fr-CA"/>
        </w:rPr>
        <w:t>LACC</w:t>
      </w:r>
      <w:r w:rsidRPr="00344043">
        <w:rPr>
          <w:rFonts w:cs="Times New Roman"/>
          <w:lang w:val="fr-CA"/>
        </w:rPr>
        <w:t xml:space="preserve"> ne sont pas sans limites</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Il n’est pas contesté que l’art. 11 de la </w:t>
      </w:r>
      <w:r w:rsidRPr="00344043">
        <w:rPr>
          <w:rFonts w:cs="Times New Roman"/>
          <w:i/>
          <w:lang w:val="fr-CA"/>
        </w:rPr>
        <w:t>LACC</w:t>
      </w:r>
      <w:r w:rsidRPr="00344043">
        <w:rPr>
          <w:rFonts w:cs="Times New Roman"/>
          <w:lang w:val="fr-CA"/>
        </w:rPr>
        <w:t xml:space="preserve"> confère au tribunal un vaste pouvoir discrétionnaire de surveillance ainsi que le pouvoir de « rendre toute ordonnance qu’il estime indiquée » afin de donner effet à ce rôle de surveillance (voir </w:t>
      </w:r>
      <w:r w:rsidRPr="00344043">
        <w:rPr>
          <w:rFonts w:cs="Times New Roman"/>
          <w:lang w:val="fr-CA"/>
        </w:rPr>
        <w:lastRenderedPageBreak/>
        <w:t xml:space="preserve">J. P. Sarra, </w:t>
      </w:r>
      <w:r w:rsidRPr="00344043">
        <w:rPr>
          <w:rFonts w:cs="Times New Roman"/>
          <w:i/>
          <w:lang w:val="fr-CA"/>
        </w:rPr>
        <w:t>Rescue!</w:t>
      </w:r>
      <w:r w:rsidRPr="00344043">
        <w:rPr>
          <w:rFonts w:cs="Times New Roman"/>
          <w:lang w:val="fr-CA"/>
        </w:rPr>
        <w:t xml:space="preserve"> </w:t>
      </w:r>
      <w:r w:rsidRPr="00344043">
        <w:rPr>
          <w:rFonts w:cs="Times New Roman"/>
          <w:i/>
          <w:lang w:val="fr-CA"/>
        </w:rPr>
        <w:t xml:space="preserve">The Companies’ Creditors Arrangement Act </w:t>
      </w:r>
      <w:r w:rsidRPr="00344043">
        <w:rPr>
          <w:rFonts w:cs="Times New Roman"/>
          <w:lang w:val="fr-CA"/>
        </w:rPr>
        <w:t>(2</w:t>
      </w:r>
      <w:r w:rsidRPr="00344043">
        <w:rPr>
          <w:rFonts w:cs="Times New Roman"/>
          <w:vertAlign w:val="superscript"/>
          <w:lang w:val="fr-CA"/>
        </w:rPr>
        <w:t>e</w:t>
      </w:r>
      <w:r w:rsidRPr="00344043">
        <w:rPr>
          <w:rFonts w:cs="Times New Roman"/>
          <w:lang w:val="fr-CA"/>
        </w:rPr>
        <w:t> éd. 2013), p. 18</w:t>
      </w:r>
      <w:r w:rsidRPr="00344043">
        <w:rPr>
          <w:rFonts w:cs="Times New Roman"/>
          <w:lang w:val="fr-CA"/>
        </w:rPr>
        <w:noBreakHyphen/>
        <w:t>19). Ce sont plutôt les limites de ce vaste pouvoir qui sont contestées.</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La </w:t>
      </w:r>
      <w:r w:rsidRPr="00344043">
        <w:rPr>
          <w:rFonts w:cs="Times New Roman"/>
          <w:i/>
          <w:lang w:val="fr-CA"/>
        </w:rPr>
        <w:t>LACC</w:t>
      </w:r>
      <w:r w:rsidRPr="00344043">
        <w:rPr>
          <w:rFonts w:cs="Times New Roman"/>
          <w:lang w:val="fr-CA"/>
        </w:rPr>
        <w:t xml:space="preserve"> n’a pas toujours conféré à un juge surveillant le pouvoir d’accorder des charges super prioritaires. Avant les modifications de 2009, ce pouvoir découlait de la compétence inhérente du tribunal (</w:t>
      </w:r>
      <w:r w:rsidRPr="00344043">
        <w:rPr>
          <w:rFonts w:cs="Times New Roman"/>
          <w:i/>
          <w:lang w:val="fr-CA"/>
        </w:rPr>
        <w:t>Temple City Housing Inc., Re</w:t>
      </w:r>
      <w:r w:rsidRPr="00344043">
        <w:rPr>
          <w:rFonts w:cs="Times New Roman"/>
          <w:lang w:val="fr-CA"/>
        </w:rPr>
        <w:t>, 2007 ABQB 786, 42 C.B.R. (5th) 274, par. 14; motifs de la C.B.R., par. 105). Les modifications visaient, à certains égards, à codifier les pratiques antérieures, mais elles visaient aussi à clarifier le fonctionnement des charges super prioritaires (</w:t>
      </w:r>
      <w:r w:rsidRPr="00344043">
        <w:rPr>
          <w:rFonts w:cs="Times New Roman"/>
          <w:i/>
          <w:lang w:val="fr-CA"/>
        </w:rPr>
        <w:t>LACC</w:t>
      </w:r>
      <w:r w:rsidRPr="00344043">
        <w:rPr>
          <w:rFonts w:cs="Times New Roman"/>
          <w:lang w:val="fr-CA"/>
        </w:rPr>
        <w:t>,</w:t>
      </w:r>
      <w:r w:rsidRPr="00344043">
        <w:rPr>
          <w:rFonts w:cs="Times New Roman"/>
          <w:i/>
          <w:lang w:val="fr-CA"/>
        </w:rPr>
        <w:t xml:space="preserve"> </w:t>
      </w:r>
      <w:r w:rsidRPr="00344043">
        <w:rPr>
          <w:rFonts w:cs="Times New Roman"/>
          <w:lang w:val="fr-CA"/>
        </w:rPr>
        <w:t>art. 11.2, 11.51 et 11.52). Bien que l’art. 11 ait été qualifié de « moteur du régime législatif », le législateur a expressément déclaré que le pouvoir qu’il confère doit être exercé « </w:t>
      </w:r>
      <w:r w:rsidRPr="00344043">
        <w:rPr>
          <w:rFonts w:cs="Times New Roman"/>
          <w:u w:val="single"/>
          <w:lang w:val="fr-CA"/>
        </w:rPr>
        <w:t>sous réserve des restrictions prévues par la présente loi</w:t>
      </w:r>
      <w:r w:rsidRPr="00344043">
        <w:rPr>
          <w:rFonts w:cs="Times New Roman"/>
          <w:lang w:val="fr-CA"/>
        </w:rPr>
        <w:t xml:space="preserve"> » (voir </w:t>
      </w:r>
      <w:r w:rsidRPr="00344043">
        <w:rPr>
          <w:rFonts w:cs="Times New Roman"/>
          <w:i/>
          <w:lang w:val="fr-CA"/>
        </w:rPr>
        <w:t>9354</w:t>
      </w:r>
      <w:r w:rsidRPr="00344043">
        <w:rPr>
          <w:rFonts w:cs="Times New Roman"/>
          <w:i/>
          <w:lang w:val="fr-CA"/>
        </w:rPr>
        <w:noBreakHyphen/>
        <w:t>9186 Québec inc. c. Callidus Capital Corp.</w:t>
      </w:r>
      <w:r w:rsidRPr="00344043">
        <w:rPr>
          <w:rFonts w:cs="Times New Roman"/>
          <w:lang w:val="fr-CA"/>
        </w:rPr>
        <w:t>,</w:t>
      </w:r>
      <w:r w:rsidRPr="00344043">
        <w:rPr>
          <w:rFonts w:cs="Times New Roman"/>
          <w:i/>
          <w:lang w:val="fr-CA"/>
        </w:rPr>
        <w:t xml:space="preserve"> </w:t>
      </w:r>
      <w:r w:rsidRPr="00344043">
        <w:rPr>
          <w:rFonts w:cs="Times New Roman"/>
          <w:lang w:val="fr-CA"/>
        </w:rPr>
        <w:t>2020 CSC 10, par. 48</w:t>
      </w:r>
      <w:r w:rsidRPr="00344043">
        <w:rPr>
          <w:rFonts w:cs="Times New Roman"/>
          <w:lang w:val="fr-CA"/>
        </w:rPr>
        <w:noBreakHyphen/>
        <w:t xml:space="preserve">49, citant </w:t>
      </w:r>
      <w:r w:rsidRPr="00344043">
        <w:rPr>
          <w:rFonts w:cs="Times New Roman"/>
          <w:i/>
          <w:lang w:val="fr-CA"/>
        </w:rPr>
        <w:t>Stelco Inc. (Re) </w:t>
      </w:r>
      <w:r w:rsidRPr="00344043">
        <w:rPr>
          <w:rFonts w:cs="Times New Roman"/>
          <w:lang w:val="fr-CA"/>
        </w:rPr>
        <w:t>(2005), 75 O.R. (3d) 5 (C.A.), par. 36). Trois restrictions de ce genre importent en l’espèce.</w:t>
      </w:r>
    </w:p>
    <w:p w:rsidR="00344043" w:rsidRPr="00344043" w:rsidRDefault="00344043" w:rsidP="00344043">
      <w:pPr>
        <w:pStyle w:val="Title4LevelTitre4Niveau"/>
        <w:spacing w:before="0"/>
        <w:ind w:left="1181" w:hanging="634"/>
        <w:rPr>
          <w:rFonts w:cs="Times New Roman"/>
          <w:lang w:val="fr-CA"/>
        </w:rPr>
      </w:pPr>
      <w:r w:rsidRPr="00344043">
        <w:rPr>
          <w:rFonts w:cs="Times New Roman"/>
          <w:lang w:val="fr-CA"/>
        </w:rPr>
        <w:t>Le fonctionnement continu des fiducies réputées créées à l’égard des retenues à la source non versées (par. 37(2))</w:t>
      </w:r>
    </w:p>
    <w:p w:rsidR="00344043" w:rsidRPr="001D51B8" w:rsidRDefault="00344043" w:rsidP="00344043">
      <w:pPr>
        <w:pStyle w:val="ParaNoNdepar-AltN"/>
        <w:spacing w:before="0"/>
        <w:rPr>
          <w:rFonts w:cs="Times New Roman"/>
        </w:rPr>
      </w:pPr>
      <w:r w:rsidRPr="00344043">
        <w:rPr>
          <w:rFonts w:cs="Times New Roman"/>
          <w:lang w:val="fr-CA"/>
        </w:rPr>
        <w:t xml:space="preserve">La première restriction imposée au pouvoir d’accorder des charges super prioritaires est énoncée au par. 37(2) de la </w:t>
      </w:r>
      <w:r w:rsidRPr="00344043">
        <w:rPr>
          <w:rFonts w:cs="Times New Roman"/>
          <w:i/>
          <w:lang w:val="fr-CA"/>
        </w:rPr>
        <w:t>LACC</w:t>
      </w:r>
      <w:r w:rsidRPr="00344043">
        <w:rPr>
          <w:rFonts w:cs="Times New Roman"/>
          <w:lang w:val="fr-CA"/>
        </w:rPr>
        <w:t xml:space="preserve">, lequel prévoit le maintien en vigueur de la fiducie réputée créée par les lois fiscales dans le cadre d’une procédure engagée sous le régime de la </w:t>
      </w:r>
      <w:r w:rsidRPr="00344043">
        <w:rPr>
          <w:rFonts w:cs="Times New Roman"/>
          <w:i/>
          <w:lang w:val="fr-CA"/>
        </w:rPr>
        <w:t>LACC</w:t>
      </w:r>
      <w:r w:rsidRPr="00344043">
        <w:rPr>
          <w:rFonts w:cs="Times New Roman"/>
          <w:lang w:val="fr-CA"/>
        </w:rPr>
        <w:t xml:space="preserve"> — un point que notre Cour a souligné </w:t>
      </w:r>
      <w:r w:rsidRPr="00344043">
        <w:rPr>
          <w:rFonts w:cs="Times New Roman"/>
          <w:i/>
          <w:lang w:val="fr-CA"/>
        </w:rPr>
        <w:t>maintes fois</w:t>
      </w:r>
      <w:r w:rsidRPr="00344043">
        <w:rPr>
          <w:rFonts w:cs="Times New Roman"/>
          <w:lang w:val="fr-CA"/>
        </w:rPr>
        <w:t xml:space="preserve"> dans l’arrêt </w:t>
      </w:r>
      <w:r w:rsidRPr="00344043">
        <w:rPr>
          <w:rFonts w:cs="Times New Roman"/>
          <w:i/>
          <w:lang w:val="fr-CA"/>
        </w:rPr>
        <w:t>Century Services</w:t>
      </w:r>
      <w:r w:rsidRPr="00344043">
        <w:rPr>
          <w:rFonts w:cs="Times New Roman"/>
          <w:lang w:val="fr-CA"/>
        </w:rPr>
        <w:t xml:space="preserve">, par. 78 à 81. À l’audition du présent pourvoi, les intimées ont </w:t>
      </w:r>
      <w:r w:rsidRPr="00344043">
        <w:rPr>
          <w:rFonts w:cs="Times New Roman"/>
          <w:lang w:val="fr-CA"/>
        </w:rPr>
        <w:lastRenderedPageBreak/>
        <w:t xml:space="preserve">soutenu que le par. 37(1) a pour effet de neutraliser la priorité de la Couronne en regard de toutes les fiducies réputées sous le régime de la </w:t>
      </w:r>
      <w:r w:rsidRPr="00344043">
        <w:rPr>
          <w:rFonts w:cs="Times New Roman"/>
          <w:i/>
          <w:lang w:val="fr-CA"/>
        </w:rPr>
        <w:t>LACC</w:t>
      </w:r>
      <w:r w:rsidRPr="00344043">
        <w:rPr>
          <w:rFonts w:cs="Times New Roman"/>
          <w:lang w:val="fr-CA"/>
        </w:rPr>
        <w:t xml:space="preserve"> et que le par. 37(2) vise simplement à réintégrer les fiducies réputées créées par les lois fiscales dans les procédures engagées sous le régime de la </w:t>
      </w:r>
      <w:r w:rsidRPr="00344043">
        <w:rPr>
          <w:rFonts w:cs="Times New Roman"/>
          <w:i/>
          <w:lang w:val="fr-CA"/>
        </w:rPr>
        <w:t>LACC</w:t>
      </w:r>
      <w:r w:rsidRPr="00344043">
        <w:rPr>
          <w:rFonts w:cs="Times New Roman"/>
          <w:lang w:val="fr-CA"/>
        </w:rPr>
        <w:t xml:space="preserve">, mais sans leur priorité absolue. </w:t>
      </w:r>
      <w:r w:rsidRPr="001D51B8">
        <w:rPr>
          <w:rFonts w:cs="Times New Roman"/>
        </w:rPr>
        <w:t>Cette interprétation tortueuse se méprend sur l’effet du par. 37(1).</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Le paragraphe 37(1) prévoit que, par dérogation à toute disposition législative fédérale ou provinciale en matière de fiducie réputée, « aucun des biens de la compagnie débitrice ne peut être considéré comme [un bien détenu en fiducie pour Sa Majesté] par le seul effet d’une telle disposition ». Toutefois, cela ne s’applique que « [s]ous réserve du paragraphe (2) ». Au moyen du par. 37(2), le législateur a également protégé l’application de la fiducie réputée créée par les lois fiscales dans le cadre de procédures engagées sous le régime de la </w:t>
      </w:r>
      <w:r w:rsidRPr="00344043">
        <w:rPr>
          <w:rFonts w:cs="Times New Roman"/>
          <w:i/>
          <w:lang w:val="fr-CA"/>
        </w:rPr>
        <w:t>LACC</w:t>
      </w:r>
      <w:r w:rsidRPr="00344043">
        <w:rPr>
          <w:rFonts w:cs="Times New Roman"/>
          <w:lang w:val="fr-CA"/>
        </w:rPr>
        <w:t xml:space="preserve"> en disposant que « [l]e paragraphe (1) ne s’applique pas à l’égard des sommes réputées détenues en fiducie aux termes des [lois fiscales] ». Étant donné la directive claire du législateur voulant que la fiducie réputée s’applique « malgré » tout autre texte législatif, ainsi que la protection de la fiducie réputée expressément prévue par la </w:t>
      </w:r>
      <w:r w:rsidRPr="00344043">
        <w:rPr>
          <w:rFonts w:cs="Times New Roman"/>
          <w:i/>
          <w:lang w:val="fr-CA"/>
        </w:rPr>
        <w:t>LACC</w:t>
      </w:r>
      <w:r w:rsidRPr="00344043">
        <w:rPr>
          <w:rFonts w:cs="Times New Roman"/>
          <w:lang w:val="fr-CA"/>
        </w:rPr>
        <w:t xml:space="preserve">, il n’y a tout simplement aucune raison d’interpréter l’art. 37 comme s’il avait pour effet d’invalider les dispositions relatives à la fiducie réputée contenues dans les lois fiscales pour ensuite les rétablir, comme par hasard, avec une priorité de rang inférieure. Une telle interprétation ne trouve aucun appui dans le libellé, le contexte ou l’objectif des régimes législatifs. Tous ces éléments appuient plutôt la thèse selon laquelle, dans le cadre de procédures engagées sous le régime de la </w:t>
      </w:r>
      <w:r w:rsidRPr="00344043">
        <w:rPr>
          <w:rFonts w:cs="Times New Roman"/>
          <w:i/>
          <w:lang w:val="fr-CA"/>
        </w:rPr>
        <w:t>LACC</w:t>
      </w:r>
      <w:r w:rsidRPr="00344043">
        <w:rPr>
          <w:rFonts w:cs="Times New Roman"/>
          <w:lang w:val="fr-CA"/>
        </w:rPr>
        <w:t xml:space="preserve">, la fiducie réputée créée par </w:t>
      </w:r>
      <w:r w:rsidRPr="00344043">
        <w:rPr>
          <w:rFonts w:cs="Times New Roman"/>
          <w:lang w:val="fr-CA"/>
        </w:rPr>
        <w:lastRenderedPageBreak/>
        <w:t>les lois fiscales est préservée, autant dans la forme que sur le fond, tout comme sa priorité absolue.</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Avant de nous pencher sur la deuxième restriction, nous soulignons qu’aucune de nos collègues les juges Karakatsanis et Côté ne donne effet à la décision du législateur, exprimée dans un texte législatif clair, de « préserv[er] les fiducies réputées et [d’]établi[r] la priorité de la Couronne seulement à l’égard des retenues à la source » sous le régime de la </w:t>
      </w:r>
      <w:r w:rsidRPr="00344043">
        <w:rPr>
          <w:rFonts w:cs="Times New Roman"/>
          <w:i/>
          <w:lang w:val="fr-CA"/>
        </w:rPr>
        <w:t>LACC</w:t>
      </w:r>
      <w:r w:rsidRPr="00344043">
        <w:rPr>
          <w:rFonts w:cs="Times New Roman"/>
          <w:lang w:val="fr-CA"/>
        </w:rPr>
        <w:t xml:space="preserve"> (</w:t>
      </w:r>
      <w:r w:rsidRPr="00344043">
        <w:rPr>
          <w:rFonts w:cs="Times New Roman"/>
          <w:i/>
          <w:lang w:val="fr-CA"/>
        </w:rPr>
        <w:t>Century Services</w:t>
      </w:r>
      <w:r w:rsidRPr="00344043">
        <w:rPr>
          <w:rFonts w:cs="Times New Roman"/>
          <w:lang w:val="fr-CA"/>
        </w:rPr>
        <w:t xml:space="preserve">, par. 45). Pour la même raison, l’importance qu’elles accordent à l’arrêt </w:t>
      </w:r>
      <w:r w:rsidRPr="00344043">
        <w:rPr>
          <w:rFonts w:cs="Times New Roman"/>
          <w:i/>
          <w:lang w:val="fr-CA"/>
        </w:rPr>
        <w:t>Colombie</w:t>
      </w:r>
      <w:r w:rsidRPr="00344043">
        <w:rPr>
          <w:rFonts w:cs="Times New Roman"/>
          <w:i/>
          <w:lang w:val="fr-CA"/>
        </w:rPr>
        <w:noBreakHyphen/>
        <w:t>Britannique c. Henfrey Samson Belair Ltd.</w:t>
      </w:r>
      <w:r w:rsidRPr="00344043">
        <w:rPr>
          <w:rFonts w:cs="Times New Roman"/>
          <w:lang w:val="fr-CA"/>
        </w:rPr>
        <w:t>, [1989] 2 R.C.S. 24, est mal fondée. Dans cet arrêt, la Cour a conclu que la fiducie réputée créée par la loi provinciale n’était pas une</w:t>
      </w:r>
      <w:r w:rsidRPr="00344043">
        <w:rPr>
          <w:rFonts w:cs="Times New Roman"/>
          <w:i/>
          <w:lang w:val="fr-CA"/>
        </w:rPr>
        <w:t xml:space="preserve"> </w:t>
      </w:r>
      <w:r w:rsidRPr="00344043">
        <w:rPr>
          <w:rFonts w:cs="Times New Roman"/>
          <w:lang w:val="fr-CA"/>
        </w:rPr>
        <w:t xml:space="preserve">« fiducie véritable » exclue du patrimoine de la débitrice en vertu de ce qui est maintenant l’al. 67(1)a) de la </w:t>
      </w:r>
      <w:r w:rsidRPr="00344043">
        <w:rPr>
          <w:rFonts w:cs="Times New Roman"/>
          <w:i/>
          <w:lang w:val="fr-CA"/>
        </w:rPr>
        <w:t>Loi sur la faillite et l’insolvabilité</w:t>
      </w:r>
      <w:r w:rsidRPr="00344043">
        <w:rPr>
          <w:rFonts w:cs="Times New Roman"/>
          <w:lang w:val="fr-CA"/>
        </w:rPr>
        <w:t>, L.R.C. 1985, c. B</w:t>
      </w:r>
      <w:r w:rsidRPr="00344043">
        <w:rPr>
          <w:rFonts w:cs="Times New Roman"/>
          <w:lang w:val="fr-CA"/>
        </w:rPr>
        <w:noBreakHyphen/>
        <w:t>3 (« </w:t>
      </w:r>
      <w:r w:rsidRPr="00344043">
        <w:rPr>
          <w:rFonts w:cs="Times New Roman"/>
          <w:i/>
          <w:iCs/>
          <w:lang w:val="fr-CA"/>
        </w:rPr>
        <w:t>LFI</w:t>
      </w:r>
      <w:r w:rsidRPr="00344043">
        <w:rPr>
          <w:rFonts w:cs="Times New Roman"/>
          <w:lang w:val="fr-CA"/>
        </w:rPr>
        <w:t> »). La présente espèce est différente. Contrairement à la fiducie réputée en question dans l’arrêt </w:t>
      </w:r>
      <w:r w:rsidRPr="00344043">
        <w:rPr>
          <w:rFonts w:cs="Times New Roman"/>
          <w:i/>
          <w:lang w:val="fr-CA"/>
        </w:rPr>
        <w:t>Henfrey</w:t>
      </w:r>
      <w:r w:rsidRPr="00344043">
        <w:rPr>
          <w:rFonts w:cs="Times New Roman"/>
          <w:lang w:val="fr-CA"/>
        </w:rPr>
        <w:t xml:space="preserve">, la fiducie réputée créée par les lois fiscales reçoit un traitement particulier dans le cadre d’une procédure en matière de faillite et d’insolvabilité parce qu’elle est préservée par le par. 37(2) de la </w:t>
      </w:r>
      <w:r w:rsidRPr="00344043">
        <w:rPr>
          <w:rFonts w:cs="Times New Roman"/>
          <w:i/>
          <w:lang w:val="fr-CA"/>
        </w:rPr>
        <w:t>LACC</w:t>
      </w:r>
      <w:r w:rsidRPr="00344043">
        <w:rPr>
          <w:rFonts w:cs="Times New Roman"/>
          <w:lang w:val="fr-CA"/>
        </w:rPr>
        <w:t xml:space="preserve"> et le par. 67(3) de la </w:t>
      </w:r>
      <w:r w:rsidRPr="00344043">
        <w:rPr>
          <w:rFonts w:cs="Times New Roman"/>
          <w:i/>
          <w:lang w:val="fr-CA"/>
        </w:rPr>
        <w:t>LFI</w:t>
      </w:r>
      <w:r w:rsidRPr="00344043">
        <w:rPr>
          <w:rFonts w:cs="Times New Roman"/>
          <w:lang w:val="fr-CA"/>
        </w:rPr>
        <w:t xml:space="preserve">. En outre, bien que la Cour ait conclu dans </w:t>
      </w:r>
      <w:r w:rsidRPr="00344043">
        <w:rPr>
          <w:rFonts w:cs="Times New Roman"/>
          <w:i/>
          <w:lang w:val="fr-CA"/>
        </w:rPr>
        <w:t>Henfrey</w:t>
      </w:r>
      <w:r w:rsidRPr="00344043">
        <w:rPr>
          <w:rFonts w:cs="Times New Roman"/>
          <w:lang w:val="fr-CA"/>
        </w:rPr>
        <w:t xml:space="preserve"> que la fiducie réputée était inopérante en cas de faillite du fait que le regroupement des biens rendait non identifiable le montant assujetti à la fiducie réputée, ce raisonnement ne s’applique pas au par. 227(4.1). Dans </w:t>
      </w:r>
      <w:r w:rsidRPr="00344043">
        <w:rPr>
          <w:rFonts w:cs="Times New Roman"/>
          <w:i/>
          <w:lang w:val="fr-CA"/>
        </w:rPr>
        <w:t>First Vancouver</w:t>
      </w:r>
      <w:r w:rsidRPr="00344043">
        <w:rPr>
          <w:rFonts w:cs="Times New Roman"/>
          <w:lang w:val="fr-CA"/>
        </w:rPr>
        <w:t>,</w:t>
      </w:r>
      <w:r w:rsidRPr="00344043">
        <w:rPr>
          <w:rFonts w:cs="Times New Roman"/>
          <w:i/>
          <w:lang w:val="fr-CA"/>
        </w:rPr>
        <w:t xml:space="preserve"> </w:t>
      </w:r>
      <w:r w:rsidRPr="00344043">
        <w:rPr>
          <w:rFonts w:cs="Times New Roman"/>
          <w:lang w:val="fr-CA"/>
        </w:rPr>
        <w:t>notre Cour a souligné que « comme elles prévoient l’application de la fiducie réputée en cas de défaut du débiteur (en anglais, « </w:t>
      </w:r>
      <w:r w:rsidRPr="00344043">
        <w:rPr>
          <w:rFonts w:cs="Times New Roman"/>
          <w:i/>
          <w:lang w:val="fr-CA"/>
        </w:rPr>
        <w:t>at any time </w:t>
      </w:r>
      <w:r w:rsidRPr="00344043">
        <w:rPr>
          <w:rFonts w:cs="Times New Roman"/>
          <w:lang w:val="fr-CA"/>
        </w:rPr>
        <w:t xml:space="preserve">»), les modifications appuient la conclusion que le ministre n’a pas à rattacher son droit aux biens qui appartenaient au </w:t>
      </w:r>
      <w:r w:rsidRPr="00344043">
        <w:rPr>
          <w:rFonts w:cs="Times New Roman"/>
          <w:lang w:val="fr-CA"/>
        </w:rPr>
        <w:lastRenderedPageBreak/>
        <w:t xml:space="preserve">débiteur fiscal lorsque les retenues à la source ont été faites » (par. 37). Encore une fois, aucune conclusion quant à la nature de la fiducie réputée ne découle du fait que l’origine du montant qui y est assujetti n’est pas pertinente au regard du par. 227(4.1) : la fiducie réputée est un instrument législatif et la question qui se pose concerne son fonctionnement, </w:t>
      </w:r>
      <w:r w:rsidRPr="00344043">
        <w:rPr>
          <w:rFonts w:cs="Times New Roman"/>
          <w:i/>
          <w:lang w:val="fr-CA"/>
        </w:rPr>
        <w:t>non</w:t>
      </w:r>
      <w:r w:rsidRPr="00344043">
        <w:rPr>
          <w:rFonts w:cs="Times New Roman"/>
          <w:lang w:val="fr-CA"/>
        </w:rPr>
        <w:t xml:space="preserve"> sa qualification.</w:t>
      </w:r>
    </w:p>
    <w:p w:rsidR="00344043" w:rsidRPr="00344043" w:rsidRDefault="00344043" w:rsidP="00344043">
      <w:pPr>
        <w:pStyle w:val="Title4LevelTitre4Niveau"/>
        <w:spacing w:before="0"/>
        <w:ind w:left="1181" w:hanging="634"/>
        <w:rPr>
          <w:rFonts w:cs="Times New Roman"/>
          <w:lang w:val="fr-CA"/>
        </w:rPr>
      </w:pPr>
      <w:r w:rsidRPr="00344043">
        <w:rPr>
          <w:rFonts w:cs="Times New Roman"/>
          <w:lang w:val="fr-CA"/>
        </w:rPr>
        <w:t>Les charges super prioritaires ne grèvent que les biens de la compagnie débitrice</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La deuxième restriction imposée au vaste pouvoir de constituer des charges super prioritaires que confère la </w:t>
      </w:r>
      <w:r w:rsidRPr="00344043">
        <w:rPr>
          <w:rFonts w:cs="Times New Roman"/>
          <w:i/>
          <w:lang w:val="fr-CA"/>
        </w:rPr>
        <w:t>LACC</w:t>
      </w:r>
      <w:r w:rsidRPr="00344043">
        <w:rPr>
          <w:rFonts w:cs="Times New Roman"/>
          <w:lang w:val="fr-CA"/>
        </w:rPr>
        <w:t xml:space="preserve"> est que celle</w:t>
      </w:r>
      <w:r w:rsidRPr="00344043">
        <w:rPr>
          <w:rFonts w:cs="Times New Roman"/>
          <w:lang w:val="fr-CA"/>
        </w:rPr>
        <w:noBreakHyphen/>
        <w:t xml:space="preserve">ci prévoit que les charges super prioritaires ne peuvent se rattacher qu’à « tout ou partie » des biens de la compagnie débitrice (par. 11.2(1); voir aussi les par. 11.51(1) et 11.52(1)). Le législateur exprime ainsi l’intention claire de préserver la priorité absolue accordée à la fiducie réputée créée par les lois fiscales. Effectivement, par application du par. 227(4.1) de la </w:t>
      </w:r>
      <w:r w:rsidRPr="00344043">
        <w:rPr>
          <w:rFonts w:cs="Times New Roman"/>
          <w:i/>
          <w:lang w:val="fr-CA"/>
        </w:rPr>
        <w:t>LIR</w:t>
      </w:r>
      <w:r w:rsidRPr="00344043">
        <w:rPr>
          <w:rFonts w:cs="Times New Roman"/>
          <w:lang w:val="fr-CA"/>
        </w:rPr>
        <w:t xml:space="preserve"> et du par. 37(2) de la </w:t>
      </w:r>
      <w:r w:rsidRPr="00344043">
        <w:rPr>
          <w:rFonts w:cs="Times New Roman"/>
          <w:i/>
          <w:lang w:val="fr-CA"/>
        </w:rPr>
        <w:t>LACC</w:t>
      </w:r>
      <w:r w:rsidRPr="00344043">
        <w:rPr>
          <w:rFonts w:cs="Times New Roman"/>
          <w:lang w:val="fr-CA"/>
        </w:rPr>
        <w:t xml:space="preserve">, les retenues à la source non versées sont réputées </w:t>
      </w:r>
      <w:r w:rsidRPr="00344043">
        <w:rPr>
          <w:rFonts w:cs="Times New Roman"/>
          <w:i/>
          <w:lang w:val="fr-CA"/>
        </w:rPr>
        <w:t>ne pas</w:t>
      </w:r>
      <w:r w:rsidRPr="00344043">
        <w:rPr>
          <w:rFonts w:cs="Times New Roman"/>
          <w:lang w:val="fr-CA"/>
        </w:rPr>
        <w:t xml:space="preserve"> faire partie des biens de la compagnie débitrice.</w:t>
      </w:r>
    </w:p>
    <w:p w:rsidR="00344043" w:rsidRPr="00F36C6D" w:rsidRDefault="00344043" w:rsidP="00344043">
      <w:pPr>
        <w:pStyle w:val="ParaNoNdepar-AltN"/>
        <w:spacing w:before="0"/>
        <w:rPr>
          <w:rFonts w:cs="Times New Roman"/>
        </w:rPr>
      </w:pPr>
      <w:r w:rsidRPr="00344043">
        <w:rPr>
          <w:rFonts w:cs="Times New Roman"/>
          <w:lang w:val="fr-CA"/>
        </w:rPr>
        <w:t>Le législateur n’aurait pas pu être plus clair : les retenues à la source sont réputées ne jamais faire partie des biens de la compagnie et, en cas de non</w:t>
      </w:r>
      <w:r w:rsidRPr="00344043">
        <w:rPr>
          <w:rFonts w:cs="Times New Roman"/>
          <w:lang w:val="fr-CA"/>
        </w:rPr>
        <w:noBreakHyphen/>
        <w:t xml:space="preserve">versement, la Couronne est réputée obtenir un droit de bénéficiaire sur les biens du débiteur fiscal jusqu’à concurrence du montant des retenues à la source non versées, droit dont elle peut se prévaloir « malgré » tout autre texte législatif ou toute autre garantie. Qu’il s’agisse ou non d’un véritable intérêt propriétal, cela importe peu en l’espèce, car selon </w:t>
      </w:r>
      <w:r w:rsidRPr="00344043">
        <w:rPr>
          <w:rFonts w:cs="Times New Roman"/>
          <w:lang w:val="fr-CA"/>
        </w:rPr>
        <w:lastRenderedPageBreak/>
        <w:t xml:space="preserve">la législation, la Couronne est </w:t>
      </w:r>
      <w:r w:rsidRPr="00344043">
        <w:rPr>
          <w:rFonts w:cs="Times New Roman"/>
          <w:i/>
          <w:lang w:val="fr-CA"/>
        </w:rPr>
        <w:t>réputée</w:t>
      </w:r>
      <w:r w:rsidRPr="00344043">
        <w:rPr>
          <w:rFonts w:cs="Times New Roman"/>
          <w:lang w:val="fr-CA"/>
        </w:rPr>
        <w:t xml:space="preserve"> détenir un droit de bénéficiaire à ces fins. Il s’ensuit que les charges super prioritaires ne peuvent pas prendre rang devant la réclamation de la Couronne au titre de la fiducie réputée puisqu’elles peuvent se rattacher </w:t>
      </w:r>
      <w:r w:rsidRPr="00344043">
        <w:rPr>
          <w:rFonts w:cs="Times New Roman"/>
          <w:i/>
          <w:lang w:val="fr-CA"/>
        </w:rPr>
        <w:t>uniquement</w:t>
      </w:r>
      <w:r w:rsidRPr="00344043">
        <w:rPr>
          <w:rFonts w:cs="Times New Roman"/>
          <w:lang w:val="fr-CA"/>
        </w:rPr>
        <w:t xml:space="preserve"> aux </w:t>
      </w:r>
      <w:r w:rsidRPr="00344043">
        <w:rPr>
          <w:rFonts w:cs="Times New Roman"/>
          <w:i/>
          <w:lang w:val="fr-CA"/>
        </w:rPr>
        <w:t>biens de la compagnie débitrice</w:t>
      </w:r>
      <w:r w:rsidRPr="00344043">
        <w:rPr>
          <w:rFonts w:cs="Times New Roman"/>
          <w:lang w:val="fr-CA"/>
        </w:rPr>
        <w:t xml:space="preserve">, dont les retenues à la source sont réputées ne pas faire partie comme s’en est assuré avec soin le législateur. </w:t>
      </w:r>
      <w:r w:rsidRPr="001D51B8">
        <w:rPr>
          <w:rFonts w:cs="Times New Roman"/>
        </w:rPr>
        <w:t>Comme l’explique Michael J. Hanlon :</w:t>
      </w:r>
    </w:p>
    <w:p w:rsidR="00344043" w:rsidRPr="001D51B8" w:rsidRDefault="00344043" w:rsidP="00344043">
      <w:pPr>
        <w:pStyle w:val="Citation-AltC"/>
        <w:spacing w:after="240"/>
        <w:ind w:hanging="360"/>
        <w:contextualSpacing w:val="0"/>
      </w:pPr>
      <w:r w:rsidRPr="00344043">
        <w:rPr>
          <w:lang w:val="fr-CA"/>
        </w:rPr>
        <w:tab/>
        <w:t>[</w:t>
      </w:r>
      <w:r w:rsidRPr="00344043">
        <w:rPr>
          <w:smallCaps/>
          <w:lang w:val="fr-CA"/>
        </w:rPr>
        <w:t>traduction</w:t>
      </w:r>
      <w:r w:rsidRPr="00344043">
        <w:rPr>
          <w:lang w:val="fr-CA"/>
        </w:rPr>
        <w:t xml:space="preserve">] Bien qu’il ait été jugé qu’une charge en faveur d’un prêteur temporaire peut prendre rang devant une fiducie réputée créée en faveur de l’Agence du revenu du Canada à l’égard d’un montant dû au titre de retenues à la source non versées, cette conclusion semble incorrecte. </w:t>
      </w:r>
      <w:r w:rsidRPr="00344043">
        <w:rPr>
          <w:u w:val="single"/>
          <w:lang w:val="fr-CA"/>
        </w:rPr>
        <w:t xml:space="preserve">Les biens réputés être détenus en fiducie en vertu des dispositions créant la fiducie réputée sont considérés comme ne faisant pas partie du patrimoine du débiteur, et puisque la fiducie réputée créée à l’égard des retenues à la source est préservée sous le régime de la </w:t>
      </w:r>
      <w:r w:rsidRPr="00344043">
        <w:rPr>
          <w:i/>
          <w:u w:val="single"/>
          <w:lang w:val="fr-CA"/>
        </w:rPr>
        <w:t>LACC</w:t>
      </w:r>
      <w:r w:rsidRPr="00344043">
        <w:rPr>
          <w:u w:val="single"/>
          <w:lang w:val="fr-CA"/>
        </w:rPr>
        <w:t>, la charge en faveur d’un prêteur temporaire ne se rattacherait pas à ces biens.</w:t>
      </w:r>
      <w:r w:rsidRPr="00344043">
        <w:rPr>
          <w:lang w:val="fr-CA"/>
        </w:rPr>
        <w:t xml:space="preserve"> </w:t>
      </w:r>
      <w:r w:rsidRPr="001D51B8">
        <w:t>[Nous soulignons; notes</w:t>
      </w:r>
      <w:r>
        <w:t xml:space="preserve"> en</w:t>
      </w:r>
      <w:r w:rsidRPr="001D51B8">
        <w:t xml:space="preserve"> bas de page omises.]</w:t>
      </w:r>
    </w:p>
    <w:p w:rsidR="00344043" w:rsidRPr="00F36C6D" w:rsidRDefault="00344043" w:rsidP="00344043">
      <w:pPr>
        <w:pStyle w:val="Citation-AltC"/>
        <w:ind w:hanging="360"/>
        <w:contextualSpacing w:val="0"/>
      </w:pPr>
      <w:r w:rsidRPr="001D51B8">
        <w:tab/>
      </w:r>
      <w:r w:rsidRPr="00F36C6D">
        <w:t>(</w:t>
      </w:r>
      <w:r w:rsidRPr="00F36C6D">
        <w:rPr>
          <w:i/>
        </w:rPr>
        <w:t xml:space="preserve">Halsbury’s Laws of Canada </w:t>
      </w:r>
      <w:r w:rsidRPr="001D51B8">
        <w:t>⸺</w:t>
      </w:r>
      <w:r w:rsidRPr="00F36C6D">
        <w:t xml:space="preserve"> </w:t>
      </w:r>
      <w:r w:rsidRPr="00F36C6D">
        <w:rPr>
          <w:i/>
        </w:rPr>
        <w:t>Bankruptcy and Insolvency</w:t>
      </w:r>
      <w:r w:rsidRPr="00F36C6D">
        <w:t xml:space="preserve"> (réédition 2017), HBI</w:t>
      </w:r>
      <w:r w:rsidRPr="00F36C6D">
        <w:noBreakHyphen/>
        <w:t>376)</w:t>
      </w:r>
    </w:p>
    <w:p w:rsidR="00344043" w:rsidRPr="00344043" w:rsidRDefault="00344043" w:rsidP="00344043">
      <w:pPr>
        <w:pStyle w:val="Title4LevelTitre4Niveau"/>
        <w:spacing w:before="0"/>
        <w:ind w:left="1170" w:hanging="630"/>
        <w:rPr>
          <w:rFonts w:cs="Times New Roman"/>
          <w:lang w:val="fr-CA"/>
        </w:rPr>
      </w:pPr>
      <w:r w:rsidRPr="00344043">
        <w:rPr>
          <w:rFonts w:cs="Times New Roman"/>
          <w:lang w:val="fr-CA"/>
        </w:rPr>
        <w:t>La définition de « créancier garanti » (art. 2)</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La troisième restriction imposée au vaste pouvoir de constituer des charges super prioritaires que confère la </w:t>
      </w:r>
      <w:r w:rsidRPr="00344043">
        <w:rPr>
          <w:rFonts w:cs="Times New Roman"/>
          <w:i/>
          <w:lang w:val="fr-CA"/>
        </w:rPr>
        <w:t>LACC</w:t>
      </w:r>
      <w:r w:rsidRPr="00344043">
        <w:rPr>
          <w:rFonts w:cs="Times New Roman"/>
          <w:lang w:val="fr-CA"/>
        </w:rPr>
        <w:t xml:space="preserve"> est que le tribunal « peut préciser, dans l’ordonnance, que la charge ou sûreté a priorité sur toute réclamation des </w:t>
      </w:r>
      <w:r w:rsidRPr="00344043">
        <w:rPr>
          <w:rFonts w:cs="Times New Roman"/>
          <w:u w:val="single"/>
          <w:lang w:val="fr-CA"/>
        </w:rPr>
        <w:t>créanciers garantis</w:t>
      </w:r>
      <w:r w:rsidRPr="00344043">
        <w:rPr>
          <w:rFonts w:cs="Times New Roman"/>
          <w:lang w:val="fr-CA"/>
        </w:rPr>
        <w:t xml:space="preserve"> de la compagnie » (par. 11.2(2), 11.51(2) et 11.52(2)). De plus, selon la définition de « créancier garanti » énoncée au par. 2(1) de la </w:t>
      </w:r>
      <w:r w:rsidRPr="00344043">
        <w:rPr>
          <w:rFonts w:cs="Times New Roman"/>
          <w:i/>
          <w:lang w:val="fr-CA"/>
        </w:rPr>
        <w:t>LACC</w:t>
      </w:r>
      <w:r w:rsidRPr="00344043">
        <w:rPr>
          <w:rFonts w:cs="Times New Roman"/>
          <w:lang w:val="fr-CA"/>
        </w:rPr>
        <w:t>, il est tout à fait clair que la Couronne ne peut être considérée comme tel au regard des réclamations relatives à la fiducie réputée que lui accordent les lois fiscales :</w:t>
      </w:r>
    </w:p>
    <w:p w:rsidR="00344043" w:rsidRPr="00344043" w:rsidRDefault="00344043" w:rsidP="00344043">
      <w:pPr>
        <w:pStyle w:val="Citation-AltC"/>
        <w:ind w:hanging="360"/>
        <w:contextualSpacing w:val="0"/>
        <w:rPr>
          <w:lang w:val="fr-CA"/>
        </w:rPr>
      </w:pPr>
      <w:r w:rsidRPr="00344043">
        <w:rPr>
          <w:rStyle w:val="HTMLDefinition"/>
          <w:shd w:val="clear" w:color="auto" w:fill="FFFFFF"/>
          <w:lang w:val="fr-CA"/>
        </w:rPr>
        <w:lastRenderedPageBreak/>
        <w:tab/>
      </w:r>
      <w:r w:rsidRPr="00344043">
        <w:rPr>
          <w:rStyle w:val="HTMLDefinition"/>
          <w:b/>
          <w:shd w:val="clear" w:color="auto" w:fill="FFFFFF"/>
          <w:lang w:val="fr-CA"/>
        </w:rPr>
        <w:t>créancier garanti</w:t>
      </w:r>
      <w:r w:rsidRPr="00344043">
        <w:rPr>
          <w:b/>
          <w:shd w:val="clear" w:color="auto" w:fill="FFFFFF"/>
          <w:lang w:val="fr-CA"/>
        </w:rPr>
        <w:t xml:space="preserve"> </w:t>
      </w:r>
      <w:r w:rsidRPr="00344043">
        <w:rPr>
          <w:shd w:val="clear" w:color="auto" w:fill="FFFFFF"/>
          <w:lang w:val="fr-CA"/>
        </w:rPr>
        <w:t xml:space="preserve">Détenteur d’hypothèque, de gage, charge, nantissement ou privilège sur ou contre l’ensemble ou une partie des biens d’une compagnie débitrice, ou tout transport, cession ou transfert de la totalité ou d’une partie de ces biens, à titre de garantie d’une dette de la compagnie débitrice, </w:t>
      </w:r>
      <w:r w:rsidRPr="00344043">
        <w:rPr>
          <w:u w:val="single"/>
          <w:shd w:val="clear" w:color="auto" w:fill="FFFFFF"/>
          <w:lang w:val="fr-CA"/>
        </w:rPr>
        <w:t>ou un détenteur de quelque obligation d’une compagnie débitrice garantie par</w:t>
      </w:r>
      <w:r w:rsidRPr="00344043">
        <w:rPr>
          <w:shd w:val="clear" w:color="auto" w:fill="FFFFFF"/>
          <w:lang w:val="fr-CA"/>
        </w:rPr>
        <w:t xml:space="preserve"> hypothèque, gage, charge, nantissement ou privilège sur ou contre l’ensemble ou une partie des biens de la compagnie débitrice, ou un transport, une cession ou un transfert de tout ou partie de ces biens, ou </w:t>
      </w:r>
      <w:r w:rsidRPr="00344043">
        <w:rPr>
          <w:u w:val="single"/>
          <w:shd w:val="clear" w:color="auto" w:fill="FFFFFF"/>
          <w:lang w:val="fr-CA"/>
        </w:rPr>
        <w:t>une fiducie à leur égard</w:t>
      </w:r>
      <w:r w:rsidRPr="00344043">
        <w:rPr>
          <w:shd w:val="clear" w:color="auto" w:fill="FFFFFF"/>
          <w:lang w:val="fr-CA"/>
        </w:rPr>
        <w:t>, que ce détenteur ou bénéficiaire réside ou soit domicilié au Canada ou à l’étranger. Un fiduciaire en vertu de tout acte de fiducie ou autre instrument garantissant ces obligations est réputé un créancier garanti pour toutes les fins de la présente loi sauf la votation à une assemblée de créanciers relativement à ces obligations.</w:t>
      </w:r>
    </w:p>
    <w:p w:rsidR="00344043" w:rsidRPr="00344043" w:rsidRDefault="00344043" w:rsidP="00344043">
      <w:pPr>
        <w:pStyle w:val="ContinueParaSuitedupar-AltP"/>
        <w:spacing w:before="0"/>
        <w:rPr>
          <w:rFonts w:cs="Times New Roman"/>
          <w:lang w:val="fr-CA"/>
        </w:rPr>
      </w:pPr>
      <w:r w:rsidRPr="00344043">
        <w:rPr>
          <w:rFonts w:cs="Times New Roman"/>
          <w:lang w:val="fr-CA"/>
        </w:rPr>
        <w:t>Cette définition fait ressortir deux considérations pertinentes. Premièrement, la définition devrait être interprétée comme englobant deux catégories de créanciers. Deuxièmement, il faut attribuer de l’importance, sur le plan juridique, à l’emploi du mot « fiducie ».</w:t>
      </w:r>
    </w:p>
    <w:p w:rsidR="00344043" w:rsidRPr="001D51B8" w:rsidRDefault="00344043" w:rsidP="00344043">
      <w:pPr>
        <w:pStyle w:val="ParaNoNdepar-AltN"/>
        <w:spacing w:before="0"/>
        <w:rPr>
          <w:rFonts w:cs="Times New Roman"/>
        </w:rPr>
      </w:pPr>
      <w:r w:rsidRPr="00344043">
        <w:rPr>
          <w:rFonts w:cs="Times New Roman"/>
          <w:lang w:val="fr-CA"/>
        </w:rPr>
        <w:t xml:space="preserve">En ce qui concerne la première considération, nous acceptons l’argument de la Couronne selon lequel la juste interprétation de la définition de créancier garanti ne renvoie qu’à deux catégories de créanciers garantis : (i) les détenteurs de garanties directes; (ii) les détenteurs d’obligations garanties. </w:t>
      </w:r>
      <w:r w:rsidRPr="001D51B8">
        <w:rPr>
          <w:rFonts w:cs="Times New Roman"/>
        </w:rPr>
        <w:t>Par conséquent, on entend par créancier garanti :</w:t>
      </w:r>
    </w:p>
    <w:p w:rsidR="00344043" w:rsidRPr="00344043" w:rsidRDefault="00344043" w:rsidP="00344043">
      <w:pPr>
        <w:pStyle w:val="Citation-AltC"/>
        <w:spacing w:after="240"/>
        <w:ind w:left="1440" w:hanging="360"/>
        <w:contextualSpacing w:val="0"/>
        <w:rPr>
          <w:shd w:val="clear" w:color="auto" w:fill="FFFFFF"/>
          <w:lang w:val="fr-CA"/>
        </w:rPr>
      </w:pPr>
      <w:r w:rsidRPr="00344043">
        <w:rPr>
          <w:shd w:val="clear" w:color="auto" w:fill="FFFFFF"/>
          <w:lang w:val="fr-CA"/>
        </w:rPr>
        <w:tab/>
        <w:t>un détenteur d’hypothèque, de gage, charge, nantissement ou privilège sur ou contre l’ensemble ou une partie des biens d’une compagnie débitrice, ou tout transport, cession ou transfert de la totalité ou d’une partie de ces biens à titre de garantie d’une dette de la compagnie débitrice</w:t>
      </w:r>
    </w:p>
    <w:p w:rsidR="00344043" w:rsidRPr="00344043" w:rsidRDefault="00344043" w:rsidP="00344043">
      <w:pPr>
        <w:pStyle w:val="Citation-AltC"/>
        <w:spacing w:after="240"/>
        <w:ind w:left="0"/>
        <w:contextualSpacing w:val="0"/>
        <w:rPr>
          <w:shd w:val="clear" w:color="auto" w:fill="FFFFFF"/>
          <w:lang w:val="fr-CA"/>
        </w:rPr>
      </w:pPr>
      <w:r w:rsidRPr="00344043">
        <w:rPr>
          <w:shd w:val="clear" w:color="auto" w:fill="FFFFFF"/>
          <w:lang w:val="fr-CA"/>
        </w:rPr>
        <w:t>ou</w:t>
      </w:r>
    </w:p>
    <w:p w:rsidR="00344043" w:rsidRPr="00344043" w:rsidRDefault="00344043" w:rsidP="00344043">
      <w:pPr>
        <w:pStyle w:val="Citation-AltC"/>
        <w:ind w:left="1440" w:hanging="360"/>
        <w:contextualSpacing w:val="0"/>
        <w:rPr>
          <w:b/>
          <w:shd w:val="clear" w:color="auto" w:fill="FFFFFF"/>
          <w:lang w:val="fr-CA"/>
        </w:rPr>
      </w:pPr>
      <w:r w:rsidRPr="00344043">
        <w:rPr>
          <w:b/>
          <w:shd w:val="clear" w:color="auto" w:fill="FFFFFF"/>
          <w:lang w:val="fr-CA"/>
        </w:rPr>
        <w:lastRenderedPageBreak/>
        <w:tab/>
        <w:t xml:space="preserve">un détenteur de quelque obligation d’une compagnie débitrice garantie par </w:t>
      </w:r>
      <w:r w:rsidRPr="00344043">
        <w:rPr>
          <w:shd w:val="clear" w:color="auto" w:fill="FFFFFF"/>
          <w:lang w:val="fr-CA"/>
        </w:rPr>
        <w:t xml:space="preserve">hypothèque, gage, charge, nantissement ou privilège sur ou contre l’ensemble ou une partie des biens de la compagnie débitrice, ou un transport, une cession ou un transfert de tout ou partie de ces biens, ou </w:t>
      </w:r>
      <w:r w:rsidRPr="00344043">
        <w:rPr>
          <w:b/>
          <w:shd w:val="clear" w:color="auto" w:fill="FFFFFF"/>
          <w:lang w:val="fr-CA"/>
        </w:rPr>
        <w:t>une fiducie à leur égard</w:t>
      </w:r>
      <w:r w:rsidRPr="00344043">
        <w:rPr>
          <w:shd w:val="clear" w:color="auto" w:fill="FFFFFF"/>
          <w:lang w:val="fr-CA"/>
        </w:rPr>
        <w:t> . . .</w:t>
      </w:r>
    </w:p>
    <w:p w:rsidR="00344043" w:rsidRPr="001D51B8" w:rsidRDefault="00344043" w:rsidP="00344043">
      <w:pPr>
        <w:pStyle w:val="ContinueParaSuitedupar-AltP"/>
        <w:spacing w:before="0"/>
        <w:rPr>
          <w:rFonts w:cs="Times New Roman"/>
        </w:rPr>
      </w:pPr>
      <w:r w:rsidRPr="00344043">
        <w:rPr>
          <w:rFonts w:cs="Times New Roman"/>
          <w:lang w:val="fr-CA"/>
        </w:rPr>
        <w:t>Le renvoi à la « fiducie » n’est lié qu’à un instrument garantissant une obligation de la compagnie débitrice. La définition de « créancier garanti » inclut donc un « détenteur de quelque obligation d’une compagnie débitrice garantie par [. . .] une fiducie à [l’égard de l’ensemble ou d’une partie des biens de la compagnie débitrice] ». En conséquence, les détenteurs d’un intérêt en vertu d’une fiducie réputée ne forment pas une troisième catégorie de créanciers (A. Prévost, « Que reste</w:t>
      </w:r>
      <w:r w:rsidRPr="00344043">
        <w:rPr>
          <w:rFonts w:cs="Times New Roman"/>
          <w:lang w:val="fr-CA"/>
        </w:rPr>
        <w:noBreakHyphen/>
        <w:t>t</w:t>
      </w:r>
      <w:r w:rsidRPr="00344043">
        <w:rPr>
          <w:rFonts w:cs="Times New Roman"/>
          <w:lang w:val="fr-CA"/>
        </w:rPr>
        <w:noBreakHyphen/>
        <w:t xml:space="preserve">il de la fiducie réputée en matière de régimes de retraite? » </w:t>
      </w:r>
      <w:r w:rsidRPr="001D51B8">
        <w:rPr>
          <w:rFonts w:cs="Times New Roman"/>
        </w:rPr>
        <w:t>(2016), 75 </w:t>
      </w:r>
      <w:r w:rsidRPr="001D51B8">
        <w:rPr>
          <w:rFonts w:cs="Times New Roman"/>
          <w:i/>
        </w:rPr>
        <w:t>R. du B.</w:t>
      </w:r>
      <w:r w:rsidRPr="001D51B8">
        <w:rPr>
          <w:rFonts w:cs="Times New Roman"/>
        </w:rPr>
        <w:t> 23, p. 58).</w:t>
      </w:r>
    </w:p>
    <w:p w:rsidR="00344043" w:rsidRPr="00344043" w:rsidRDefault="00344043" w:rsidP="00344043">
      <w:pPr>
        <w:pStyle w:val="ParaNoNdepar-AltN"/>
        <w:spacing w:before="0"/>
        <w:rPr>
          <w:rFonts w:cs="Times New Roman"/>
          <w:lang w:val="fr-CA"/>
        </w:rPr>
      </w:pPr>
      <w:r w:rsidRPr="00344043">
        <w:rPr>
          <w:rFonts w:cs="Times New Roman"/>
          <w:lang w:val="fr-CA"/>
        </w:rPr>
        <w:t>Bien qu’ils aient trouvé cette interprétation [</w:t>
      </w:r>
      <w:r w:rsidRPr="00344043">
        <w:rPr>
          <w:rFonts w:cs="Times New Roman"/>
          <w:smallCaps/>
          <w:lang w:val="fr-CA"/>
        </w:rPr>
        <w:t>traduction</w:t>
      </w:r>
      <w:r w:rsidRPr="00344043">
        <w:rPr>
          <w:rFonts w:cs="Times New Roman"/>
          <w:lang w:val="fr-CA"/>
        </w:rPr>
        <w:t>] « intéressante à première vue », les juges majoritaires de la Cour d’appel l’ont ultimement rejetée. Selon eux, indépendamment de la question de savoir si la définition devrait faire mention des « détenteurs de fiducie » comme troisième catégorie, le droit de la Couronne pourrait être qualifié de « charge », faisant ainsi d’elle un membre de la première catégorie des créanciers garantis (motifs de la C.A.,</w:t>
      </w:r>
      <w:r w:rsidRPr="00344043">
        <w:rPr>
          <w:rFonts w:cs="Times New Roman"/>
          <w:i/>
          <w:lang w:val="fr-CA"/>
        </w:rPr>
        <w:t xml:space="preserve"> </w:t>
      </w:r>
      <w:r w:rsidRPr="00344043">
        <w:rPr>
          <w:rFonts w:cs="Times New Roman"/>
          <w:lang w:val="fr-CA"/>
        </w:rPr>
        <w:t>par. 42</w:t>
      </w:r>
      <w:r w:rsidRPr="00344043">
        <w:rPr>
          <w:rFonts w:cs="Times New Roman"/>
          <w:lang w:val="fr-CA"/>
        </w:rPr>
        <w:noBreakHyphen/>
        <w:t xml:space="preserve">43). Avec égards, ce raisonnement est erroné. Le terme « charge » ne vise pas la fiducie réputée. En ce qui concerne la première catégorie de créanciers garantis, conclure que le terme « charge » englobe la « fiducie réputée » alors que les termes « charge » et « fiducie » sont indiqués séparément pour la deuxième catégorie de créanciers garantis (détenteurs d’obligations garanties) serait incohérent et irait à l’encontre des présomptions en </w:t>
      </w:r>
      <w:r w:rsidRPr="00344043">
        <w:rPr>
          <w:rFonts w:cs="Times New Roman"/>
          <w:lang w:val="fr-CA"/>
        </w:rPr>
        <w:lastRenderedPageBreak/>
        <w:t>matière d’interprétation législative. Pourquoi le législateur ferait</w:t>
      </w:r>
      <w:r w:rsidRPr="00344043">
        <w:rPr>
          <w:rFonts w:cs="Times New Roman"/>
          <w:lang w:val="fr-CA"/>
        </w:rPr>
        <w:noBreakHyphen/>
        <w:t xml:space="preserve">il expressément mention des </w:t>
      </w:r>
      <w:r w:rsidRPr="00344043">
        <w:rPr>
          <w:rFonts w:cs="Times New Roman"/>
          <w:i/>
          <w:lang w:val="fr-CA"/>
        </w:rPr>
        <w:t>fiducies</w:t>
      </w:r>
      <w:r w:rsidRPr="00344043">
        <w:rPr>
          <w:rFonts w:cs="Times New Roman"/>
          <w:lang w:val="fr-CA"/>
        </w:rPr>
        <w:t xml:space="preserve"> si celles</w:t>
      </w:r>
      <w:r w:rsidRPr="00344043">
        <w:rPr>
          <w:rFonts w:cs="Times New Roman"/>
          <w:lang w:val="fr-CA"/>
        </w:rPr>
        <w:noBreakHyphen/>
        <w:t xml:space="preserve">ci sont déjà visées par les </w:t>
      </w:r>
      <w:r w:rsidRPr="00344043">
        <w:rPr>
          <w:rFonts w:cs="Times New Roman"/>
          <w:i/>
          <w:lang w:val="fr-CA"/>
        </w:rPr>
        <w:t>charges</w:t>
      </w:r>
      <w:r w:rsidRPr="00344043">
        <w:rPr>
          <w:rFonts w:cs="Times New Roman"/>
          <w:lang w:val="fr-CA"/>
        </w:rPr>
        <w:t>? Le législateur est censé éviter « les termes [et] les phrases [. . .] superflus et dénués de sens » (</w:t>
      </w:r>
      <w:r w:rsidRPr="00344043">
        <w:rPr>
          <w:rFonts w:cs="Times New Roman"/>
          <w:i/>
          <w:lang w:val="fr-CA"/>
        </w:rPr>
        <w:t>Bristol</w:t>
      </w:r>
      <w:r w:rsidRPr="00344043">
        <w:rPr>
          <w:rFonts w:cs="Times New Roman"/>
          <w:i/>
          <w:lang w:val="fr-CA"/>
        </w:rPr>
        <w:noBreakHyphen/>
        <w:t>Myers Squibb Co. c. Canada (Procureur général)</w:t>
      </w:r>
      <w:r w:rsidRPr="00344043">
        <w:rPr>
          <w:rFonts w:cs="Times New Roman"/>
          <w:lang w:val="fr-CA"/>
        </w:rPr>
        <w:t>,</w:t>
      </w:r>
      <w:r w:rsidRPr="00344043">
        <w:rPr>
          <w:rFonts w:cs="Times New Roman"/>
          <w:i/>
          <w:lang w:val="fr-CA"/>
        </w:rPr>
        <w:t xml:space="preserve"> </w:t>
      </w:r>
      <w:r w:rsidRPr="00344043">
        <w:rPr>
          <w:rFonts w:cs="Times New Roman"/>
          <w:lang w:val="fr-CA"/>
        </w:rPr>
        <w:t>2005 CSC 26, [2005] 1 R.C.S. 533, par. 178). L’emploi délibéré et distinct des termes « fiducie » et « charge » montre que le législateur ne voulait pas que les fiducies réputées soient visées par le terme « charge » et que la Couronne puisse, à titre de détentrice d’une fiducie réputée, être considérée comme un créancier garanti dans cette situation.</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De toute façon, s’il n’y avait qu’une seule catégorie de créanciers, la Couronne ne serait pas un créancier garanti au regard de la réclamation relative à la fiducie réputée créée par les lois fiscales. Alors que le législateur a établi une distinction entre les « fiducies réputées ou réelles » au par. 224(1.3) de la </w:t>
      </w:r>
      <w:r w:rsidRPr="00344043">
        <w:rPr>
          <w:rFonts w:cs="Times New Roman"/>
          <w:i/>
          <w:lang w:val="fr-CA"/>
        </w:rPr>
        <w:t>LIR</w:t>
      </w:r>
      <w:r w:rsidRPr="00344043">
        <w:rPr>
          <w:rFonts w:cs="Times New Roman"/>
          <w:lang w:val="fr-CA"/>
        </w:rPr>
        <w:t>, il n’a pas établi la même distinction dans la définition de créancier garanti. Le législateur est présumé légiférer sciemment et choisir ses mots soigneusement. En tant que tribunal, notre rôle en ce qui concerne la législation en est un d’interprétation et non de rédaction. Nous devons attribuer de l’importance, sur le plan juridique, au libellé choisi par le législateur — c’est</w:t>
      </w:r>
      <w:r w:rsidRPr="00344043">
        <w:rPr>
          <w:rFonts w:cs="Times New Roman"/>
          <w:lang w:val="fr-CA"/>
        </w:rPr>
        <w:noBreakHyphen/>
        <w:t>à</w:t>
      </w:r>
      <w:r w:rsidRPr="00344043">
        <w:rPr>
          <w:rFonts w:cs="Times New Roman"/>
          <w:lang w:val="fr-CA"/>
        </w:rPr>
        <w:noBreakHyphen/>
        <w:t xml:space="preserve">dire aux termes que le législateur a et à ceux qu’il </w:t>
      </w:r>
      <w:r w:rsidRPr="00344043">
        <w:rPr>
          <w:rFonts w:cs="Times New Roman"/>
          <w:i/>
          <w:lang w:val="fr-CA"/>
        </w:rPr>
        <w:t>n’a pas</w:t>
      </w:r>
      <w:r w:rsidRPr="00344043">
        <w:rPr>
          <w:rFonts w:cs="Times New Roman"/>
          <w:lang w:val="fr-CA"/>
        </w:rPr>
        <w:t xml:space="preserve"> choisis.</w:t>
      </w:r>
    </w:p>
    <w:p w:rsidR="00344043" w:rsidRPr="00344043" w:rsidRDefault="00344043" w:rsidP="00344043">
      <w:pPr>
        <w:pStyle w:val="Title4LevelTitre4Niveau"/>
        <w:ind w:left="1170" w:hanging="630"/>
        <w:rPr>
          <w:lang w:val="fr-CA"/>
        </w:rPr>
      </w:pPr>
      <w:r w:rsidRPr="00344043">
        <w:rPr>
          <w:lang w:val="fr-CA"/>
        </w:rPr>
        <w:t>Les « restrictions » visées à l’art. 11 de la LACC</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Notre collègue la juge Karakatsanis souscrit à notre analyse des dispositions relatives aux charges super prioritaires, mais elle ne semble pas les considérer comme des « restrictions » au sens de l’article 11 parce que « “[l]a </w:t>
      </w:r>
      <w:r w:rsidRPr="00344043">
        <w:rPr>
          <w:rFonts w:cs="Times New Roman"/>
          <w:lang w:val="fr-CA"/>
        </w:rPr>
        <w:lastRenderedPageBreak/>
        <w:t xml:space="preserve">possibilité [. . .] de rendre des ordonnances plus spécifiques n’a pas pour effet de restreindre” la portée des termes généraux utilisés à l’art. 11 » (motifs de la juge Karakatsanis, par. 170, citant </w:t>
      </w:r>
      <w:r w:rsidRPr="00344043">
        <w:rPr>
          <w:rFonts w:cs="Times New Roman"/>
          <w:i/>
          <w:lang w:val="fr-CA"/>
        </w:rPr>
        <w:t>Century Services</w:t>
      </w:r>
      <w:r w:rsidRPr="00344043">
        <w:rPr>
          <w:rFonts w:cs="Times New Roman"/>
          <w:lang w:val="fr-CA"/>
        </w:rPr>
        <w:t>, par. 70). À notre humble avis, sur le plan du droit et de l’interprétation législative, notre collègue ne peut tout simplement pas faire valoir ce point de vue. Ni l’art. 11 ni la compétence inhérente du tribunal « n’autorise [un juge] à rendre une ordonnance qui va à l’encontre de la volonté clairement exprimée du législateur » (</w:t>
      </w:r>
      <w:r w:rsidRPr="00344043">
        <w:rPr>
          <w:rFonts w:cs="Times New Roman"/>
          <w:i/>
          <w:lang w:val="fr-CA"/>
        </w:rPr>
        <w:t>Baxter Student Housing Ltd. c. College Housing Co-operative Ltd.</w:t>
      </w:r>
      <w:r w:rsidRPr="00344043">
        <w:rPr>
          <w:rFonts w:cs="Times New Roman"/>
          <w:lang w:val="fr-CA"/>
        </w:rPr>
        <w:t xml:space="preserve">, [1976] 2 R.C.S. 475, p. 480; voir aussi </w:t>
      </w:r>
      <w:r w:rsidRPr="00344043">
        <w:rPr>
          <w:rFonts w:cs="Times New Roman"/>
          <w:i/>
          <w:lang w:val="fr-CA"/>
        </w:rPr>
        <w:t>R. c. Caron</w:t>
      </w:r>
      <w:r w:rsidRPr="00344043">
        <w:rPr>
          <w:rFonts w:cs="Times New Roman"/>
          <w:lang w:val="fr-CA"/>
        </w:rPr>
        <w:t>,</w:t>
      </w:r>
      <w:r w:rsidRPr="00344043">
        <w:rPr>
          <w:rFonts w:cs="Times New Roman"/>
          <w:i/>
          <w:lang w:val="fr-CA"/>
        </w:rPr>
        <w:t xml:space="preserve"> </w:t>
      </w:r>
      <w:r w:rsidRPr="00344043">
        <w:rPr>
          <w:rFonts w:cs="Times New Roman"/>
          <w:lang w:val="fr-CA"/>
        </w:rPr>
        <w:t>2011 CSC 5, [2011] 1 R.C.S. 78, par. 32). Le législateur a imposé des restrictions claires au pouvoir des tribunaux d’accorder préséance à des charges super prioritaires. C’est une chose que de se fonder sur l’art. 11 en guise de source de pouvoir général même lorsque d’autres ordonnances plus spécifiques peuvent être rendues; c’en est une autre que d’interpréter l’art. 11, à tort, comme une source de pouvoir absolu de façon à contourner des restrictions sans équivoque. Bien que les tribunaux puissent utiliser le pouvoir général que leur confère l’art. 11 afin de créer des charges super prioritaires à d’autres fins que celles expressément énumérées (voir Wood, p. 90</w:t>
      </w:r>
      <w:r w:rsidRPr="00344043">
        <w:rPr>
          <w:rFonts w:cs="Times New Roman"/>
          <w:lang w:val="fr-CA"/>
        </w:rPr>
        <w:noBreakHyphen/>
        <w:t>91), le législateur a clairement manifesté son intention de restreindre cette charge de manière importante </w:t>
      </w:r>
      <w:r w:rsidRPr="001D51B8">
        <w:rPr>
          <w:rFonts w:cs="Times New Roman"/>
        </w:rPr>
        <w:t>⸺</w:t>
      </w:r>
      <w:r w:rsidRPr="00344043">
        <w:rPr>
          <w:rFonts w:cs="Times New Roman"/>
          <w:lang w:val="fr-CA"/>
        </w:rPr>
        <w:t> elle ne peut avoir préséance sur la fiducie réputée de la Couronne.</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Pour la même raison, nous jugeons, avec égards, insoutenable la proposition de notre collègue le juge Moldaver selon laquelle on ne saurait dire s’il existe des restrictions </w:t>
      </w:r>
      <w:r w:rsidRPr="00344043">
        <w:rPr>
          <w:rFonts w:cs="Times New Roman"/>
          <w:i/>
          <w:lang w:val="fr-CA"/>
        </w:rPr>
        <w:t xml:space="preserve">internes </w:t>
      </w:r>
      <w:r w:rsidRPr="00344043">
        <w:rPr>
          <w:rFonts w:cs="Times New Roman"/>
          <w:lang w:val="fr-CA"/>
        </w:rPr>
        <w:t xml:space="preserve">à la </w:t>
      </w:r>
      <w:r w:rsidRPr="00344043">
        <w:rPr>
          <w:rFonts w:cs="Times New Roman"/>
          <w:i/>
          <w:lang w:val="fr-CA"/>
        </w:rPr>
        <w:t>LACC</w:t>
      </w:r>
      <w:r w:rsidRPr="00344043">
        <w:rPr>
          <w:rFonts w:cs="Times New Roman"/>
          <w:lang w:val="fr-CA"/>
        </w:rPr>
        <w:t xml:space="preserve"> elle</w:t>
      </w:r>
      <w:r w:rsidRPr="00344043">
        <w:rPr>
          <w:rFonts w:cs="Times New Roman"/>
          <w:lang w:val="fr-CA"/>
        </w:rPr>
        <w:noBreakHyphen/>
        <w:t xml:space="preserve">même qui empêcherait un tribunal d’user du pouvoir que lui accorde l’art. 11 pour ordonner qu’une charge super prioritaire ait </w:t>
      </w:r>
      <w:r w:rsidRPr="00344043">
        <w:rPr>
          <w:rFonts w:cs="Times New Roman"/>
          <w:lang w:val="fr-CA"/>
        </w:rPr>
        <w:lastRenderedPageBreak/>
        <w:t xml:space="preserve">préséance sur la réclamation de la Couronne au titre d’une fiducie réputée. Cette affirmation ne tient pas compte de l’intention claire du législateur, consignée au par. 37(2), de préserver le droit de la Couronne d’être payée en priorité absolue aux dépens de tous les créanciers garantis dans une procédure intentée sous le régime de la </w:t>
      </w:r>
      <w:r w:rsidRPr="00344043">
        <w:rPr>
          <w:rFonts w:cs="Times New Roman"/>
          <w:i/>
          <w:lang w:val="fr-CA"/>
        </w:rPr>
        <w:t>LACC</w:t>
      </w:r>
      <w:r w:rsidRPr="00344043">
        <w:rPr>
          <w:rFonts w:cs="Times New Roman"/>
          <w:lang w:val="fr-CA"/>
        </w:rPr>
        <w:t xml:space="preserve">. Elle rend en outre superflue la limitation du pouvoir du tribunal de primer les charges super prioritaires en vertu des par. 11.2(2), 11.51(2) et 11.52(2) de la </w:t>
      </w:r>
      <w:r w:rsidRPr="00344043">
        <w:rPr>
          <w:rFonts w:cs="Times New Roman"/>
          <w:i/>
          <w:lang w:val="fr-CA"/>
        </w:rPr>
        <w:t>LACC</w:t>
      </w:r>
      <w:r w:rsidRPr="00344043">
        <w:rPr>
          <w:rFonts w:cs="Times New Roman"/>
          <w:lang w:val="fr-CA"/>
        </w:rPr>
        <w:t>.</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De plus, notre collègue le juge Moldaver mentionne qu’il n’est pas nécessaire de « définir la nature ou le fonctionnement particulier » de la fiducie réputée sous le régime de la </w:t>
      </w:r>
      <w:r w:rsidRPr="00344043">
        <w:rPr>
          <w:rFonts w:cs="Times New Roman"/>
          <w:i/>
          <w:lang w:val="fr-CA"/>
        </w:rPr>
        <w:t xml:space="preserve">LIR </w:t>
      </w:r>
      <w:r w:rsidRPr="00344043">
        <w:rPr>
          <w:rFonts w:cs="Times New Roman"/>
          <w:lang w:val="fr-CA"/>
        </w:rPr>
        <w:t xml:space="preserve">(par. 255), et il s’appuie sur la disposition de dérogation au par. 227(4.1) de la </w:t>
      </w:r>
      <w:r w:rsidRPr="00344043">
        <w:rPr>
          <w:rFonts w:cs="Times New Roman"/>
          <w:i/>
          <w:lang w:val="fr-CA"/>
        </w:rPr>
        <w:t>LIR</w:t>
      </w:r>
      <w:r w:rsidRPr="00344043">
        <w:rPr>
          <w:rFonts w:cs="Times New Roman"/>
          <w:lang w:val="fr-CA"/>
        </w:rPr>
        <w:t xml:space="preserve"> pour décider si la réclamation de la Couronne peut prendre rang devant des charges super prioritaires. Cette interprétation a pour effet de créer un conflit dans les régimes législatifs, en dépit de la directive claire de notre Cour selon laquelle « </w:t>
      </w:r>
      <w:r w:rsidRPr="00344043">
        <w:rPr>
          <w:rFonts w:cs="Times New Roman"/>
          <w:szCs w:val="27"/>
          <w:lang w:val="fr-CA"/>
        </w:rPr>
        <w:t xml:space="preserve">une interprétation qui donne lieu à un conflit devrait être évitée dans la mesure du possible » </w:t>
      </w:r>
      <w:r w:rsidRPr="00344043">
        <w:rPr>
          <w:rFonts w:cs="Times New Roman"/>
          <w:lang w:val="fr-CA"/>
        </w:rPr>
        <w:t>(</w:t>
      </w:r>
      <w:r w:rsidRPr="00344043">
        <w:rPr>
          <w:rFonts w:cs="Times New Roman"/>
          <w:i/>
          <w:iCs/>
          <w:lang w:val="fr-CA"/>
        </w:rPr>
        <w:t>Lévis (Ville) c. Fraternité des policiers de Lévis Inc.</w:t>
      </w:r>
      <w:r w:rsidRPr="00344043">
        <w:rPr>
          <w:rFonts w:cs="Times New Roman"/>
          <w:lang w:val="fr-CA"/>
        </w:rPr>
        <w:t xml:space="preserve">, 2007 CSC 14, [2007] 1 R.C.S. 591, par. 47). Quoi qu’il en soit, ce n’est pas un conflit </w:t>
      </w:r>
      <w:r w:rsidRPr="00344043">
        <w:rPr>
          <w:rFonts w:cs="Times New Roman"/>
          <w:i/>
          <w:lang w:val="fr-CA"/>
        </w:rPr>
        <w:t xml:space="preserve">inévitable </w:t>
      </w:r>
      <w:r w:rsidRPr="00344043">
        <w:rPr>
          <w:rFonts w:cs="Times New Roman"/>
          <w:lang w:val="fr-CA"/>
        </w:rPr>
        <w:t xml:space="preserve">: il n’y a tout simplement </w:t>
      </w:r>
      <w:r w:rsidRPr="00344043">
        <w:rPr>
          <w:rFonts w:cs="Times New Roman"/>
          <w:i/>
          <w:lang w:val="fr-CA"/>
        </w:rPr>
        <w:t>aucun</w:t>
      </w:r>
      <w:r w:rsidRPr="00344043">
        <w:rPr>
          <w:rFonts w:cs="Times New Roman"/>
          <w:lang w:val="fr-CA"/>
        </w:rPr>
        <w:t xml:space="preserve"> conflit. Le législateur a </w:t>
      </w:r>
      <w:r w:rsidRPr="00344043">
        <w:rPr>
          <w:rFonts w:cs="Times New Roman"/>
          <w:i/>
          <w:lang w:val="fr-CA"/>
        </w:rPr>
        <w:t>évité</w:t>
      </w:r>
      <w:r w:rsidRPr="00344043">
        <w:rPr>
          <w:rFonts w:cs="Times New Roman"/>
          <w:lang w:val="fr-CA"/>
        </w:rPr>
        <w:t xml:space="preserve"> tout conflit entre la </w:t>
      </w:r>
      <w:r w:rsidRPr="00344043">
        <w:rPr>
          <w:rFonts w:cs="Times New Roman"/>
          <w:i/>
          <w:lang w:val="fr-CA"/>
        </w:rPr>
        <w:t>LACC</w:t>
      </w:r>
      <w:r w:rsidRPr="00344043">
        <w:rPr>
          <w:rFonts w:cs="Times New Roman"/>
          <w:lang w:val="fr-CA"/>
        </w:rPr>
        <w:t xml:space="preserve"> et la </w:t>
      </w:r>
      <w:r w:rsidRPr="00344043">
        <w:rPr>
          <w:rFonts w:cs="Times New Roman"/>
          <w:i/>
          <w:lang w:val="fr-CA"/>
        </w:rPr>
        <w:t>LIR</w:t>
      </w:r>
      <w:r w:rsidRPr="00344043">
        <w:rPr>
          <w:rFonts w:cs="Times New Roman"/>
          <w:lang w:val="fr-CA"/>
        </w:rPr>
        <w:t xml:space="preserve"> en restreignant le pouvoir dont le tribunal est investi par l’art. 11 de la </w:t>
      </w:r>
      <w:r w:rsidRPr="00344043">
        <w:rPr>
          <w:rFonts w:cs="Times New Roman"/>
          <w:i/>
          <w:lang w:val="fr-CA"/>
        </w:rPr>
        <w:t>LACC</w:t>
      </w:r>
      <w:r w:rsidRPr="00344043">
        <w:rPr>
          <w:rFonts w:cs="Times New Roman"/>
          <w:lang w:val="fr-CA"/>
        </w:rPr>
        <w:t>.</w:t>
      </w:r>
    </w:p>
    <w:p w:rsidR="00344043" w:rsidRPr="00344043" w:rsidRDefault="00344043" w:rsidP="00344043">
      <w:pPr>
        <w:pStyle w:val="Title4LevelTitre4Niveau"/>
        <w:spacing w:before="0"/>
        <w:ind w:left="1170" w:hanging="630"/>
        <w:rPr>
          <w:rFonts w:cs="Times New Roman"/>
          <w:lang w:val="fr-CA"/>
        </w:rPr>
      </w:pPr>
      <w:r w:rsidRPr="00344043">
        <w:rPr>
          <w:rFonts w:cs="Times New Roman"/>
          <w:lang w:val="fr-CA"/>
        </w:rPr>
        <w:t>Structure des réclamations de la Couronne sous le régime de la LACC</w:t>
      </w:r>
    </w:p>
    <w:p w:rsidR="00344043" w:rsidRPr="00344043" w:rsidRDefault="00344043" w:rsidP="00344043">
      <w:pPr>
        <w:pStyle w:val="ParaNoNdepar-AltN"/>
        <w:spacing w:before="0"/>
        <w:rPr>
          <w:rFonts w:cs="Times New Roman"/>
          <w:lang w:val="fr-CA"/>
        </w:rPr>
      </w:pPr>
      <w:r w:rsidRPr="00344043">
        <w:rPr>
          <w:rFonts w:cs="Times New Roman"/>
          <w:lang w:val="fr-CA"/>
        </w:rPr>
        <w:t>Enfin, bien qu’il ne s’agisse pas d’une « restrictio[n] prévu[e] par la [</w:t>
      </w:r>
      <w:r w:rsidRPr="00344043">
        <w:rPr>
          <w:rFonts w:cs="Times New Roman"/>
          <w:i/>
          <w:lang w:val="fr-CA"/>
        </w:rPr>
        <w:t>LACC</w:t>
      </w:r>
      <w:r w:rsidRPr="00344043">
        <w:rPr>
          <w:rFonts w:cs="Times New Roman"/>
          <w:lang w:val="fr-CA"/>
        </w:rPr>
        <w:t xml:space="preserve">] », comme le précise l’art. 11, la cohérence du régime législatif dans son ensemble dépend d’une interprétation selon laquelle la Couronne n’est pas un créancier </w:t>
      </w:r>
      <w:r w:rsidRPr="00344043">
        <w:rPr>
          <w:rFonts w:cs="Times New Roman"/>
          <w:lang w:val="fr-CA"/>
        </w:rPr>
        <w:lastRenderedPageBreak/>
        <w:t xml:space="preserve">garanti. De fait, qualifier la Couronne de « créancier garanti » aurait pour effet de perturber la structure des réclamations de la Couronne que la </w:t>
      </w:r>
      <w:r w:rsidRPr="00344043">
        <w:rPr>
          <w:rFonts w:cs="Times New Roman"/>
          <w:i/>
          <w:lang w:val="fr-CA"/>
        </w:rPr>
        <w:t>LACC</w:t>
      </w:r>
      <w:r w:rsidRPr="00344043">
        <w:rPr>
          <w:rFonts w:cs="Times New Roman"/>
          <w:lang w:val="fr-CA"/>
        </w:rPr>
        <w:t xml:space="preserve"> définit de façon claire aux art. 37 à 39 (Wood, p. 98). L’article 37 s’applique aux réclamations au titre d’une fiducie réputée. Le paragraphe 37(1) prévoit que les fiducies réputées créées en faveur de la Couronne sont inopérantes sous le régime de la </w:t>
      </w:r>
      <w:r w:rsidRPr="00344043">
        <w:rPr>
          <w:rFonts w:cs="Times New Roman"/>
          <w:i/>
          <w:lang w:val="fr-CA"/>
        </w:rPr>
        <w:t>LACC</w:t>
      </w:r>
      <w:r w:rsidRPr="00344043">
        <w:rPr>
          <w:rFonts w:cs="Times New Roman"/>
          <w:lang w:val="fr-CA"/>
        </w:rPr>
        <w:t xml:space="preserve">, de façon générale, et le par. 37(2) prévoit une exemption pour les fiducies réputées créées à l’égard des retenues à la source. Le paragraphe 38(1) établit la règle générale selon laquelle les réclamations garanties de la Couronne prennent rang comme réclamations non garanties, sous réserve des exceptions énoncées aux par. 38(2) et (3). Enfin, le par. 39(1) protège la réclamation garantie de la Couronne si elle a été enregistrée avant l’introduction d’une procédure intentée sous le régime de la </w:t>
      </w:r>
      <w:r w:rsidRPr="00344043">
        <w:rPr>
          <w:rFonts w:cs="Times New Roman"/>
          <w:i/>
          <w:lang w:val="fr-CA"/>
        </w:rPr>
        <w:t>LACC</w:t>
      </w:r>
      <w:r w:rsidRPr="00344043">
        <w:rPr>
          <w:rFonts w:cs="Times New Roman"/>
          <w:lang w:val="fr-CA"/>
        </w:rPr>
        <w:t>, mais, suivant le par. 39(2), cette réclamation garantie est subordonnée aux garanties opposables antérieures.</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Ce qui précède nous amène à nous demander pourquoi le législateur aurait expressément « protégé » les fiducies réputées créées par les lois fiscales par l’application du par. 37(2), pour ensuite faire de la Couronne un créancier non garanti par l’application du par. 38(1). Contrairement à l’interprétation qui accorde la priorité absolue à la fiducie réputée, le fait de traiter la Couronne comme un créancier non garanti à l’égard de ses réclamations au titre d’une fiducie réputée ferait perdre presque tout son sens au par. 37(2). En outre, cette interprétation exigerait de la Couronne qu’elle enregistre sa réclamation aux termes du par. 39(1) pour protéger son rang puisque la fiducie réputée n’est pas visée par l’exception prévue à l’art. 38. Il serait </w:t>
      </w:r>
      <w:r w:rsidRPr="00344043">
        <w:rPr>
          <w:rFonts w:cs="Times New Roman"/>
          <w:lang w:val="fr-CA"/>
        </w:rPr>
        <w:lastRenderedPageBreak/>
        <w:t>illogique que le législateur ait accordé aux réclamations garanties visées par les exceptions prévues aux par. 38(2) ou (3) une protection plus grande que celle accordée à la fiducie réputée créée à l’égard des retenues à la source, alors que l’objectif manifeste était de conférer une « priorité absolue » à la fiducie réputée (</w:t>
      </w:r>
      <w:r w:rsidRPr="00344043">
        <w:rPr>
          <w:rFonts w:cs="Times New Roman"/>
          <w:i/>
          <w:lang w:val="fr-CA"/>
        </w:rPr>
        <w:t>First Vancouver</w:t>
      </w:r>
      <w:r w:rsidRPr="00344043">
        <w:rPr>
          <w:rFonts w:cs="Times New Roman"/>
          <w:lang w:val="fr-CA"/>
        </w:rPr>
        <w:t>,</w:t>
      </w:r>
      <w:r w:rsidRPr="00344043">
        <w:rPr>
          <w:rFonts w:cs="Times New Roman"/>
          <w:i/>
          <w:lang w:val="fr-CA"/>
        </w:rPr>
        <w:t xml:space="preserve"> </w:t>
      </w:r>
      <w:r w:rsidRPr="00344043">
        <w:rPr>
          <w:rFonts w:cs="Times New Roman"/>
          <w:lang w:val="fr-CA"/>
        </w:rPr>
        <w:t>par. 26</w:t>
      </w:r>
      <w:r w:rsidRPr="00344043">
        <w:rPr>
          <w:rFonts w:cs="Times New Roman"/>
          <w:lang w:val="fr-CA"/>
        </w:rPr>
        <w:noBreakHyphen/>
        <w:t>28).</w:t>
      </w:r>
    </w:p>
    <w:p w:rsidR="00344043" w:rsidRPr="00344043" w:rsidRDefault="00344043" w:rsidP="00344043">
      <w:pPr>
        <w:pStyle w:val="ParaNoNdepar-AltN"/>
        <w:spacing w:before="0"/>
        <w:rPr>
          <w:rFonts w:cs="Times New Roman"/>
          <w:lang w:val="fr-CA"/>
        </w:rPr>
      </w:pPr>
      <w:r w:rsidRPr="00344043">
        <w:rPr>
          <w:rFonts w:cs="Times New Roman"/>
          <w:lang w:val="fr-CA"/>
        </w:rPr>
        <w:t>Nous soulignons que le professeur Wood n’est pas seul à reconnaître que les [</w:t>
      </w:r>
      <w:r w:rsidRPr="00344043">
        <w:rPr>
          <w:rFonts w:cs="Times New Roman"/>
          <w:smallCaps/>
          <w:lang w:val="fr-CA"/>
        </w:rPr>
        <w:t>traduction</w:t>
      </w:r>
      <w:r w:rsidRPr="00344043">
        <w:rPr>
          <w:rFonts w:cs="Times New Roman"/>
          <w:lang w:val="fr-CA"/>
        </w:rPr>
        <w:t xml:space="preserve">] « articles 38 et 39 de la LACC régissent les conditions dans lesquelles une réclamation de la Couronne peut être considérée comme étant “garantie” pour l’application de la LACC » (F. L. Lamer, </w:t>
      </w:r>
      <w:r w:rsidRPr="00344043">
        <w:rPr>
          <w:rFonts w:cs="Times New Roman"/>
          <w:i/>
          <w:lang w:val="fr-CA"/>
        </w:rPr>
        <w:t>Priority of Crown Claims in Insolvency</w:t>
      </w:r>
      <w:r w:rsidRPr="00344043">
        <w:rPr>
          <w:rFonts w:cs="Times New Roman"/>
          <w:lang w:val="fr-CA"/>
        </w:rPr>
        <w:t xml:space="preserve"> (feuilles mobiles), §79.2). Puisque la fiducie réputée créée par les lois fiscales à l’égard des retenues à la source non versées ne satisfait pas aux conditions de ces articles, la réclamation de la Couronne n’est pas « garantie ».</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À notre avis, le sens ordinaire de la définition de créancier garanti dans le contexte du régime législatif général ne peut donner lieu qu’à une seule conclusion inéluctable, à savoir qu’il existe trois catégories de réclamations de la Couronne en vertu de la </w:t>
      </w:r>
      <w:r w:rsidRPr="00344043">
        <w:rPr>
          <w:rFonts w:cs="Times New Roman"/>
          <w:i/>
          <w:lang w:val="fr-CA"/>
        </w:rPr>
        <w:t>LACC</w:t>
      </w:r>
      <w:r w:rsidRPr="00344043">
        <w:rPr>
          <w:rFonts w:cs="Times New Roman"/>
          <w:lang w:val="fr-CA"/>
        </w:rPr>
        <w:t xml:space="preserve"> : (1) les réclamations au titre d’une fiducie réputée maintenue en vigueur sous le régime de la </w:t>
      </w:r>
      <w:r w:rsidRPr="00344043">
        <w:rPr>
          <w:rFonts w:cs="Times New Roman"/>
          <w:i/>
          <w:lang w:val="fr-CA"/>
        </w:rPr>
        <w:t>LACC</w:t>
      </w:r>
      <w:r w:rsidRPr="00344043">
        <w:rPr>
          <w:rFonts w:cs="Times New Roman"/>
          <w:lang w:val="fr-CA"/>
        </w:rPr>
        <w:t xml:space="preserve">; (2) les réclamations garanties; (3) les réclamations non garanties. Les réclamations à l’égard des retenues à la source non versées entrent dans la première catégorie, soit les réclamations au titre d’une fiducie réputée maintenue sous le régime de la </w:t>
      </w:r>
      <w:r w:rsidRPr="00344043">
        <w:rPr>
          <w:rFonts w:cs="Times New Roman"/>
          <w:i/>
          <w:lang w:val="fr-CA"/>
        </w:rPr>
        <w:t>LACC</w:t>
      </w:r>
      <w:r w:rsidRPr="00344043">
        <w:rPr>
          <w:rFonts w:cs="Times New Roman"/>
          <w:lang w:val="fr-CA"/>
        </w:rPr>
        <w:t>.</w:t>
      </w:r>
    </w:p>
    <w:p w:rsidR="00344043" w:rsidRPr="00344043" w:rsidRDefault="00344043" w:rsidP="00344043">
      <w:pPr>
        <w:pStyle w:val="Title3LevelTitre3Niveau"/>
        <w:spacing w:before="0"/>
        <w:rPr>
          <w:rFonts w:cs="Times New Roman"/>
          <w:lang w:val="fr-CA"/>
        </w:rPr>
      </w:pPr>
      <w:r w:rsidRPr="00344043">
        <w:rPr>
          <w:rFonts w:cs="Times New Roman"/>
          <w:lang w:val="fr-CA"/>
        </w:rPr>
        <w:lastRenderedPageBreak/>
        <w:t xml:space="preserve">Reconnaître la priorité absolue de la fiducie réputée de la Couronne ne va à l’encontre de l’objectif d’aucune disposition de la </w:t>
      </w:r>
      <w:r w:rsidRPr="00344043">
        <w:rPr>
          <w:rFonts w:cs="Times New Roman"/>
          <w:i/>
          <w:lang w:val="fr-CA"/>
        </w:rPr>
        <w:t>LACC</w:t>
      </w:r>
    </w:p>
    <w:p w:rsidR="00344043" w:rsidRPr="00344043" w:rsidRDefault="00344043" w:rsidP="00344043">
      <w:pPr>
        <w:pStyle w:val="ParaNoNdepar-AltN"/>
        <w:spacing w:before="0"/>
        <w:rPr>
          <w:rFonts w:cs="Times New Roman"/>
          <w:lang w:val="fr-CA"/>
        </w:rPr>
      </w:pPr>
      <w:r w:rsidRPr="00344043">
        <w:rPr>
          <w:rFonts w:cs="Times New Roman"/>
          <w:lang w:val="fr-CA"/>
        </w:rPr>
        <w:t>Pour deux autres raisons connexes, les juges majoritaires de la Cour d’appel et les intimées refusent de conclure que la fiducie réputée de la Couronne bénéficie d’une priorité absolue.</w:t>
      </w:r>
    </w:p>
    <w:p w:rsidR="00344043" w:rsidRPr="00344043" w:rsidRDefault="00344043" w:rsidP="00344043">
      <w:pPr>
        <w:pStyle w:val="Title4LevelTitre4Niveau"/>
        <w:spacing w:before="0"/>
        <w:ind w:left="1181" w:hanging="634"/>
        <w:rPr>
          <w:rFonts w:cs="Times New Roman"/>
          <w:lang w:val="fr-CA"/>
        </w:rPr>
      </w:pPr>
      <w:r w:rsidRPr="00344043">
        <w:rPr>
          <w:rFonts w:cs="Times New Roman"/>
          <w:lang w:val="fr-CA"/>
        </w:rPr>
        <w:t>Protection des réclamations de la Couronne en application du par. 6(3)</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Premièrement, les juges majoritaires ont statué que le fait d’accorder une priorité absolue à la fiducie réputée ferait perdre son sens au par. 6(3) de la </w:t>
      </w:r>
      <w:r w:rsidRPr="00344043">
        <w:rPr>
          <w:rFonts w:cs="Times New Roman"/>
          <w:i/>
          <w:lang w:val="fr-CA"/>
        </w:rPr>
        <w:t>LACC</w:t>
      </w:r>
      <w:r w:rsidRPr="00344043">
        <w:rPr>
          <w:rFonts w:cs="Times New Roman"/>
          <w:lang w:val="fr-CA"/>
        </w:rPr>
        <w:t xml:space="preserve">. Cette disposition interdit au </w:t>
      </w:r>
      <w:r w:rsidRPr="00344043">
        <w:rPr>
          <w:rFonts w:cs="Times New Roman"/>
          <w:shd w:val="clear" w:color="auto" w:fill="FFFFFF"/>
          <w:lang w:val="fr-CA"/>
        </w:rPr>
        <w:t>tribunal d’homologuer une transaction ou un arrangement qui ne prévoit pas le paiement intégral à la Couronne, dans les six mois suivant l’homologation, de toutes les sommes qui lui sont dues. Les juges majoritaires ont estimé que si les réclamations de la Couronne au titre d’une fiducie réputée créée par les lois fiscales sont toujours payées en priorité, il n’y a pas lieu de protéger les réclamations de la Couronne visées par le par. 6(3).</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Avec égards, cette conclusion est erronée. L’examen de l’objectif et de la portée du par. 6(3) de la </w:t>
      </w:r>
      <w:r w:rsidRPr="00344043">
        <w:rPr>
          <w:rFonts w:cs="Times New Roman"/>
          <w:i/>
          <w:lang w:val="fr-CA"/>
        </w:rPr>
        <w:t>LACC</w:t>
      </w:r>
      <w:r w:rsidRPr="00344043">
        <w:rPr>
          <w:rFonts w:cs="Times New Roman"/>
          <w:lang w:val="fr-CA"/>
        </w:rPr>
        <w:t xml:space="preserve"> est sans équivoque : ce paragraphe s’applique seulement si une transaction ou un arrangement est soumis au tribunal, et</w:t>
      </w:r>
      <w:r w:rsidRPr="00344043">
        <w:rPr>
          <w:rFonts w:cs="Times New Roman"/>
          <w:i/>
          <w:lang w:val="fr-CA"/>
        </w:rPr>
        <w:t xml:space="preserve"> </w:t>
      </w:r>
      <w:r w:rsidRPr="00344043">
        <w:rPr>
          <w:rFonts w:cs="Times New Roman"/>
          <w:lang w:val="fr-CA"/>
        </w:rPr>
        <w:t xml:space="preserve">il protège l’intégralité de la réclamation de la Couronne au titre du par. 224(1.2) de la </w:t>
      </w:r>
      <w:r w:rsidRPr="00344043">
        <w:rPr>
          <w:rFonts w:cs="Times New Roman"/>
          <w:i/>
          <w:lang w:val="fr-CA"/>
        </w:rPr>
        <w:t>LIR</w:t>
      </w:r>
      <w:r w:rsidRPr="00344043">
        <w:rPr>
          <w:rFonts w:cs="Times New Roman"/>
          <w:lang w:val="fr-CA"/>
        </w:rPr>
        <w:t xml:space="preserve"> et des dispositions semblables des lois fiscales. Sont comprises les réclamations qui </w:t>
      </w:r>
      <w:r w:rsidRPr="00344043">
        <w:rPr>
          <w:rFonts w:cs="Times New Roman"/>
          <w:i/>
          <w:lang w:val="fr-CA"/>
        </w:rPr>
        <w:t>ne sont pas</w:t>
      </w:r>
      <w:r w:rsidRPr="00344043">
        <w:rPr>
          <w:rFonts w:cs="Times New Roman"/>
          <w:lang w:val="fr-CA"/>
        </w:rPr>
        <w:t xml:space="preserve"> assujetties à une fiducie réputée créée par les lois fiscales, comme les retenues d’impôt, les </w:t>
      </w:r>
      <w:r w:rsidRPr="00344043">
        <w:rPr>
          <w:rFonts w:cs="Times New Roman"/>
          <w:lang w:val="fr-CA"/>
        </w:rPr>
        <w:lastRenderedPageBreak/>
        <w:t>cotisations d’un employeur à l’assurance</w:t>
      </w:r>
      <w:r w:rsidRPr="00344043">
        <w:rPr>
          <w:rFonts w:cs="Times New Roman"/>
          <w:lang w:val="fr-CA"/>
        </w:rPr>
        <w:noBreakHyphen/>
        <w:t xml:space="preserve">emploi et au RPC, les intérêts et les pénalités. En revanche, la fiducie réputée s’applique immédiatement et de façon continue « à compter du moment où le montant est déduit ou retenu » sur le salaire d’un employé, et elle s’applique </w:t>
      </w:r>
      <w:r w:rsidRPr="00344043">
        <w:rPr>
          <w:rFonts w:cs="Times New Roman"/>
          <w:i/>
          <w:lang w:val="fr-CA"/>
        </w:rPr>
        <w:t>uniquement</w:t>
      </w:r>
      <w:r w:rsidRPr="00344043">
        <w:rPr>
          <w:rFonts w:cs="Times New Roman"/>
          <w:lang w:val="fr-CA"/>
        </w:rPr>
        <w:t xml:space="preserve"> </w:t>
      </w:r>
      <w:r w:rsidRPr="00344043">
        <w:rPr>
          <w:rFonts w:cs="Times New Roman"/>
          <w:i/>
          <w:lang w:val="fr-CA"/>
        </w:rPr>
        <w:t>à ces</w:t>
      </w:r>
      <w:r w:rsidRPr="00344043">
        <w:rPr>
          <w:rFonts w:cs="Times New Roman"/>
          <w:lang w:val="fr-CA"/>
        </w:rPr>
        <w:t xml:space="preserve"> retenues. Par conséquent, en l’absence du par. 6(3), les réclamations de la Couronne à l’égard des retenues à la source non versées seraient garanties une fois que le tribunal aurait homologué une transaction ou un arrangement, mais pas ses autres réclamations visées par le par. 224(1.2) de la </w:t>
      </w:r>
      <w:r w:rsidRPr="00344043">
        <w:rPr>
          <w:rFonts w:cs="Times New Roman"/>
          <w:i/>
          <w:lang w:val="fr-CA"/>
        </w:rPr>
        <w:t>LIR</w:t>
      </w:r>
      <w:r w:rsidRPr="00344043">
        <w:rPr>
          <w:rFonts w:cs="Times New Roman"/>
          <w:lang w:val="fr-CA"/>
        </w:rPr>
        <w:t xml:space="preserve">. En effet, la plupart des réclamations de la Couronne prennent rang comme réclamations non garanties en application de l’art. 38 de la </w:t>
      </w:r>
      <w:r w:rsidRPr="00344043">
        <w:rPr>
          <w:rFonts w:cs="Times New Roman"/>
          <w:i/>
          <w:lang w:val="fr-CA"/>
        </w:rPr>
        <w:t>LACC</w:t>
      </w:r>
      <w:r w:rsidRPr="00344043">
        <w:rPr>
          <w:rFonts w:cs="Times New Roman"/>
          <w:lang w:val="fr-CA"/>
        </w:rPr>
        <w:t>.</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Il importe de souligner que le par. 6(3) </w:t>
      </w:r>
      <w:r w:rsidRPr="00344043">
        <w:rPr>
          <w:rFonts w:cs="Times New Roman"/>
          <w:i/>
          <w:lang w:val="fr-CA"/>
        </w:rPr>
        <w:t xml:space="preserve">ne </w:t>
      </w:r>
      <w:r w:rsidRPr="00344043">
        <w:rPr>
          <w:rFonts w:cs="Times New Roman"/>
          <w:lang w:val="fr-CA"/>
        </w:rPr>
        <w:t>s’applique</w:t>
      </w:r>
      <w:r w:rsidRPr="00344043">
        <w:rPr>
          <w:rFonts w:cs="Times New Roman"/>
          <w:i/>
          <w:lang w:val="fr-CA"/>
        </w:rPr>
        <w:t xml:space="preserve"> pas</w:t>
      </w:r>
      <w:r w:rsidRPr="00344043">
        <w:rPr>
          <w:rFonts w:cs="Times New Roman"/>
          <w:lang w:val="fr-CA"/>
        </w:rPr>
        <w:t xml:space="preserve"> si aucun arrangement n’est proposé ni dans le cadre d’une procédure engagée sous le régime de la </w:t>
      </w:r>
      <w:r w:rsidRPr="00344043">
        <w:rPr>
          <w:rFonts w:cs="Times New Roman"/>
          <w:i/>
          <w:lang w:val="fr-CA"/>
        </w:rPr>
        <w:t>LACC</w:t>
      </w:r>
      <w:r w:rsidRPr="00344043">
        <w:rPr>
          <w:rFonts w:cs="Times New Roman"/>
          <w:lang w:val="fr-CA"/>
        </w:rPr>
        <w:t xml:space="preserve"> qui comprend la liquidation des actifs du débiteur. De telles « procédures de liquidation sous le régime de la </w:t>
      </w:r>
      <w:r w:rsidRPr="00344043">
        <w:rPr>
          <w:rFonts w:cs="Times New Roman"/>
          <w:i/>
          <w:lang w:val="fr-CA"/>
        </w:rPr>
        <w:t>LACC</w:t>
      </w:r>
      <w:r w:rsidRPr="00344043">
        <w:rPr>
          <w:rFonts w:cs="Times New Roman"/>
          <w:lang w:val="fr-CA"/>
        </w:rPr>
        <w:t xml:space="preserve"> » sont « maintenant couran[tes] dans le contexte de la </w:t>
      </w:r>
      <w:r w:rsidRPr="00344043">
        <w:rPr>
          <w:rFonts w:cs="Times New Roman"/>
          <w:i/>
          <w:lang w:val="fr-CA"/>
        </w:rPr>
        <w:t>LACC</w:t>
      </w:r>
      <w:r w:rsidRPr="00344043">
        <w:rPr>
          <w:rFonts w:cs="Times New Roman"/>
          <w:lang w:val="fr-CA"/>
        </w:rPr>
        <w:t> » (</w:t>
      </w:r>
      <w:r w:rsidRPr="00344043">
        <w:rPr>
          <w:rFonts w:cs="Times New Roman"/>
          <w:i/>
          <w:lang w:val="fr-CA"/>
        </w:rPr>
        <w:t>Callidus Capital Corp.</w:t>
      </w:r>
      <w:r w:rsidRPr="00344043">
        <w:rPr>
          <w:rFonts w:cs="Times New Roman"/>
          <w:lang w:val="fr-CA"/>
        </w:rPr>
        <w:t xml:space="preserve">, par. 42). La priorité absolue de la fiducie réputée créée par les lois fiscales, et maintenue par le par. 37(2) de la </w:t>
      </w:r>
      <w:r w:rsidRPr="00344043">
        <w:rPr>
          <w:rFonts w:cs="Times New Roman"/>
          <w:i/>
          <w:lang w:val="fr-CA"/>
        </w:rPr>
        <w:t>LACC</w:t>
      </w:r>
      <w:r w:rsidRPr="00344043">
        <w:rPr>
          <w:rFonts w:cs="Times New Roman"/>
          <w:lang w:val="fr-CA"/>
        </w:rPr>
        <w:t xml:space="preserve">, protège la réclamation de la Couronne à l’égard des retenues à la source non versées dans le cadre de procédures de liquidation sous le régime de la </w:t>
      </w:r>
      <w:r w:rsidRPr="00344043">
        <w:rPr>
          <w:rFonts w:cs="Times New Roman"/>
          <w:i/>
          <w:lang w:val="fr-CA"/>
        </w:rPr>
        <w:t>LACC</w:t>
      </w:r>
      <w:r w:rsidRPr="00344043">
        <w:rPr>
          <w:rFonts w:cs="Times New Roman"/>
          <w:lang w:val="fr-CA"/>
        </w:rPr>
        <w:t>. Nos collègues les juges Karakatsanis et Côté privent toutes deux la Couronne de son droit garanti en pareils cas, alors que le législateur a pourtant clairement accordé la « priorité absolue » aux réclamations à l’égard des retenues à la source non versées (Ministère des Finances du Canada).</w:t>
      </w:r>
    </w:p>
    <w:p w:rsidR="00344043" w:rsidRPr="001D51B8" w:rsidRDefault="00344043" w:rsidP="00344043">
      <w:pPr>
        <w:pStyle w:val="ParaNoNdepar-AltN"/>
        <w:spacing w:before="0"/>
        <w:rPr>
          <w:rFonts w:cs="Times New Roman"/>
        </w:rPr>
      </w:pPr>
      <w:r w:rsidRPr="00344043">
        <w:rPr>
          <w:rFonts w:cs="Times New Roman"/>
          <w:lang w:val="fr-CA"/>
        </w:rPr>
        <w:lastRenderedPageBreak/>
        <w:t xml:space="preserve">Nous soulignons que notre collègue la juge Karakatsanis ne conclut pas que le par. 6(3) est rendu inopérant par notre interprétation. Elle affirme plutôt que, comme le terme « droit de bénéficiaire » utilisé dans le contexte de la fiducie réputée n’a pas la même signification en common law, nous devons nous tourner vers la </w:t>
      </w:r>
      <w:r w:rsidRPr="00344043">
        <w:rPr>
          <w:rFonts w:cs="Times New Roman"/>
          <w:i/>
          <w:lang w:val="fr-CA"/>
        </w:rPr>
        <w:t>LACC</w:t>
      </w:r>
      <w:r w:rsidRPr="00344043">
        <w:rPr>
          <w:rFonts w:cs="Times New Roman"/>
          <w:lang w:val="fr-CA"/>
        </w:rPr>
        <w:t xml:space="preserve"> pour déterminer les droits de la Couronne. Elle ajoute que cette « adaptation de concepts de droit privé sans signification établie » soulève la question de savoir </w:t>
      </w:r>
      <w:r w:rsidRPr="00344043">
        <w:rPr>
          <w:rFonts w:cs="Times New Roman"/>
          <w:i/>
          <w:lang w:val="fr-CA"/>
        </w:rPr>
        <w:t>comment</w:t>
      </w:r>
      <w:r w:rsidRPr="00344043">
        <w:rPr>
          <w:rFonts w:cs="Times New Roman"/>
          <w:lang w:val="fr-CA"/>
        </w:rPr>
        <w:t xml:space="preserve"> la fiducie réputée survit sous le régime de la </w:t>
      </w:r>
      <w:r w:rsidRPr="00344043">
        <w:rPr>
          <w:rFonts w:cs="Times New Roman"/>
          <w:i/>
          <w:lang w:val="fr-CA"/>
        </w:rPr>
        <w:t xml:space="preserve">LACC </w:t>
      </w:r>
      <w:r w:rsidRPr="00344043">
        <w:rPr>
          <w:rFonts w:cs="Times New Roman"/>
          <w:lang w:val="fr-CA"/>
        </w:rPr>
        <w:t xml:space="preserve">(par. 181). </w:t>
      </w:r>
      <w:r w:rsidRPr="001D51B8">
        <w:rPr>
          <w:rFonts w:cs="Times New Roman"/>
        </w:rPr>
        <w:t>À son avis, la réponse réside dans le par. 6(3)</w:t>
      </w:r>
      <w:r w:rsidRPr="00F36C6D">
        <w:rPr>
          <w:rFonts w:cs="Times New Roman"/>
        </w:rPr>
        <w:t>.</w:t>
      </w:r>
    </w:p>
    <w:p w:rsidR="00344043" w:rsidRPr="00344043" w:rsidRDefault="00344043" w:rsidP="00344043">
      <w:pPr>
        <w:pStyle w:val="ParaNoNdepar-AltN"/>
        <w:spacing w:before="0"/>
        <w:rPr>
          <w:rFonts w:cs="Times New Roman"/>
          <w:lang w:val="fr-CA"/>
        </w:rPr>
      </w:pPr>
      <w:r w:rsidRPr="00344043">
        <w:rPr>
          <w:rFonts w:cs="Times New Roman"/>
          <w:lang w:val="fr-CA"/>
        </w:rPr>
        <w:t>Cette conclusion est erronée pour trois raisons. Premièrement, aucune question ne se pose quant à la façon dont</w:t>
      </w:r>
      <w:r w:rsidRPr="00344043">
        <w:rPr>
          <w:rFonts w:cs="Times New Roman"/>
          <w:i/>
          <w:lang w:val="fr-CA"/>
        </w:rPr>
        <w:t xml:space="preserve"> </w:t>
      </w:r>
      <w:r w:rsidRPr="00344043">
        <w:rPr>
          <w:rFonts w:cs="Times New Roman"/>
          <w:lang w:val="fr-CA"/>
        </w:rPr>
        <w:t xml:space="preserve">la fiducie réputée survit. Le paragraphe 37(2) s’applique de façon à soustraire la fiducie réputée créée par les lois fiscales à tout changement de forme ou de fond sous le régime de la </w:t>
      </w:r>
      <w:r w:rsidRPr="00344043">
        <w:rPr>
          <w:rFonts w:cs="Times New Roman"/>
          <w:i/>
          <w:lang w:val="fr-CA"/>
        </w:rPr>
        <w:t>LACC</w:t>
      </w:r>
      <w:r w:rsidRPr="00344043">
        <w:rPr>
          <w:rFonts w:cs="Times New Roman"/>
          <w:lang w:val="fr-CA"/>
        </w:rPr>
        <w:t xml:space="preserve">; est ainsi maintenue l’application du par. 227(4.1), lequel confère une priorité absolue à la réclamation de la Couronne au titre d’une fiducie réputée créée par les lois fiscales. En d’autres mots, la fiducie réputée survit telle qu’elle était en application des lois fiscales. Il n’est donc pas étonnant que notre Cour ne se soit pas prononcée sur la </w:t>
      </w:r>
      <w:r w:rsidRPr="00344043">
        <w:rPr>
          <w:rFonts w:cs="Times New Roman"/>
          <w:i/>
          <w:lang w:val="fr-CA"/>
        </w:rPr>
        <w:t>façon</w:t>
      </w:r>
      <w:r w:rsidRPr="00344043">
        <w:rPr>
          <w:rFonts w:cs="Times New Roman"/>
          <w:lang w:val="fr-CA"/>
        </w:rPr>
        <w:t xml:space="preserve"> dont la fiducie « survit » dans le cadre de procédures engagées sous le régime de la </w:t>
      </w:r>
      <w:r w:rsidRPr="00344043">
        <w:rPr>
          <w:rFonts w:cs="Times New Roman"/>
          <w:i/>
          <w:lang w:val="fr-CA"/>
        </w:rPr>
        <w:t>LACC</w:t>
      </w:r>
      <w:r w:rsidRPr="00344043">
        <w:rPr>
          <w:rFonts w:cs="Times New Roman"/>
          <w:lang w:val="fr-CA"/>
        </w:rPr>
        <w:t xml:space="preserve"> dans l’arrêt </w:t>
      </w:r>
      <w:r w:rsidRPr="00344043">
        <w:rPr>
          <w:rFonts w:cs="Times New Roman"/>
          <w:i/>
          <w:lang w:val="fr-CA"/>
        </w:rPr>
        <w:t>Century Services</w:t>
      </w:r>
      <w:r w:rsidRPr="00344043">
        <w:rPr>
          <w:rFonts w:cs="Times New Roman"/>
          <w:lang w:val="fr-CA"/>
        </w:rPr>
        <w:t> : la réponse est, avec égards, évidente et manifeste.</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Deuxièmement, la proposition de notre collègue la juge Karakatsanis, selon laquelle les droits conférés à la Couronne au titre de la fiducie réputée doivent découler de la lecture du par. 6(3) de la </w:t>
      </w:r>
      <w:r w:rsidRPr="00344043">
        <w:rPr>
          <w:rFonts w:cs="Times New Roman"/>
          <w:i/>
          <w:lang w:val="fr-CA"/>
        </w:rPr>
        <w:t>LACC</w:t>
      </w:r>
      <w:r w:rsidRPr="00344043">
        <w:rPr>
          <w:rFonts w:cs="Times New Roman"/>
          <w:lang w:val="fr-CA"/>
        </w:rPr>
        <w:t xml:space="preserve"> passe complètement à côté du texte de </w:t>
      </w:r>
      <w:r w:rsidRPr="00344043">
        <w:rPr>
          <w:rFonts w:cs="Times New Roman"/>
          <w:lang w:val="fr-CA"/>
        </w:rPr>
        <w:lastRenderedPageBreak/>
        <w:t xml:space="preserve">la </w:t>
      </w:r>
      <w:r w:rsidRPr="00344043">
        <w:rPr>
          <w:rFonts w:cs="Times New Roman"/>
          <w:i/>
          <w:lang w:val="fr-CA"/>
        </w:rPr>
        <w:t>LIR</w:t>
      </w:r>
      <w:r w:rsidRPr="00344043">
        <w:rPr>
          <w:rFonts w:cs="Times New Roman"/>
          <w:lang w:val="fr-CA"/>
        </w:rPr>
        <w:t xml:space="preserve"> qui énonce expressément ces droits. Après avoir disposé que la Couronne détient un « droit de bénéficiaire » sur la valeur des retenues à la source non versées, la </w:t>
      </w:r>
      <w:r w:rsidRPr="00344043">
        <w:rPr>
          <w:rFonts w:cs="Times New Roman"/>
          <w:i/>
          <w:lang w:val="fr-CA"/>
        </w:rPr>
        <w:t>LIR</w:t>
      </w:r>
      <w:r w:rsidRPr="00344043">
        <w:rPr>
          <w:rFonts w:cs="Times New Roman"/>
          <w:lang w:val="fr-CA"/>
        </w:rPr>
        <w:t xml:space="preserve"> ajoute ce qui suit : « le produit découlant de ces biens est payé au receveur général par priorité sur une telle garantie » (par. 227(4.1)). Voilà le droit qui revient à la Couronne au titre de la fiducie réputée, et notre collègue ne donne pas effet à ce droit.</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Enfin, comme nous l’avons vu, le par. 6(3) protège des droits différents de ceux visés par la fiducie réputée. Si le par. 6(3) évacue les droits de la Couronne sous le régime de la </w:t>
      </w:r>
      <w:r w:rsidRPr="00344043">
        <w:rPr>
          <w:rFonts w:cs="Times New Roman"/>
          <w:i/>
          <w:lang w:val="fr-CA"/>
        </w:rPr>
        <w:t>LACC</w:t>
      </w:r>
      <w:r w:rsidRPr="00344043">
        <w:rPr>
          <w:rFonts w:cs="Times New Roman"/>
          <w:lang w:val="fr-CA"/>
        </w:rPr>
        <w:t>, notre collègue la juge Karakatsanis fait remarquer à juste titre qu’il « y a peut</w:t>
      </w:r>
      <w:r w:rsidRPr="00344043">
        <w:rPr>
          <w:rFonts w:cs="Times New Roman"/>
          <w:lang w:val="fr-CA"/>
        </w:rPr>
        <w:noBreakHyphen/>
        <w:t xml:space="preserve">être un risque que le plan échoue et que la Couronne </w:t>
      </w:r>
      <w:r w:rsidRPr="00344043">
        <w:rPr>
          <w:rFonts w:cs="Times New Roman"/>
          <w:u w:val="single"/>
          <w:lang w:val="fr-CA"/>
        </w:rPr>
        <w:t>ne soit pas payée intégralement</w:t>
      </w:r>
      <w:r w:rsidRPr="00344043">
        <w:rPr>
          <w:rFonts w:cs="Times New Roman"/>
          <w:lang w:val="fr-CA"/>
        </w:rPr>
        <w:t xml:space="preserve"> si la restructuration se solde par une liquidation et que le patrimoine a été épuisé en cours de route » (par. 155 (nous soulignons)). Toutefois, cette observation ne fait qu’appuyer notre interprétation. Le droit « de ne pas avoir à transiger » qu’accorde le par. 6(3) est indépendant du droit de la Couronne au titre de la fiducie réputée (par. 155 (italiques supprimés)).</w:t>
      </w:r>
    </w:p>
    <w:p w:rsidR="00344043" w:rsidRPr="00344043" w:rsidRDefault="00344043" w:rsidP="00344043">
      <w:pPr>
        <w:pStyle w:val="Title4LevelTitre4Niveau"/>
        <w:numPr>
          <w:ilvl w:val="1"/>
          <w:numId w:val="23"/>
        </w:numPr>
        <w:spacing w:before="0"/>
        <w:ind w:left="1181" w:hanging="634"/>
        <w:rPr>
          <w:rFonts w:cs="Times New Roman"/>
          <w:lang w:val="fr-CA"/>
        </w:rPr>
      </w:pPr>
      <w:r w:rsidRPr="00344043">
        <w:rPr>
          <w:rFonts w:cs="Times New Roman"/>
          <w:lang w:val="fr-CA"/>
        </w:rPr>
        <w:t>Pouvoir de suspendre l’exercice, par la Couronne, de son droit de saisie</w:t>
      </w:r>
      <w:r w:rsidRPr="00344043">
        <w:rPr>
          <w:rFonts w:cs="Times New Roman"/>
          <w:lang w:val="fr-CA"/>
        </w:rPr>
        <w:noBreakHyphen/>
        <w:t>arrêt (art. 11.09)</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Ensuite, les juges majoritaires de la Cour d’appel et les intimées soutiennent que donner effet au texte législatif clair irait à l’encontre de l’objectif de l’art. 11.09 de la </w:t>
      </w:r>
      <w:r w:rsidRPr="00344043">
        <w:rPr>
          <w:rFonts w:cs="Times New Roman"/>
          <w:i/>
          <w:lang w:val="fr-CA"/>
        </w:rPr>
        <w:t>LACC</w:t>
      </w:r>
      <w:r w:rsidRPr="00344043">
        <w:rPr>
          <w:rFonts w:cs="Times New Roman"/>
          <w:lang w:val="fr-CA"/>
        </w:rPr>
        <w:t xml:space="preserve">, lequel </w:t>
      </w:r>
      <w:r w:rsidRPr="00344043">
        <w:rPr>
          <w:rFonts w:cs="Times New Roman"/>
          <w:shd w:val="clear" w:color="auto" w:fill="FFFFFF"/>
          <w:lang w:val="fr-CA"/>
        </w:rPr>
        <w:t>confère au tribunal le pouvoir de suspendre le droit de saisie</w:t>
      </w:r>
      <w:r w:rsidRPr="00344043">
        <w:rPr>
          <w:rFonts w:cs="Times New Roman"/>
          <w:shd w:val="clear" w:color="auto" w:fill="FFFFFF"/>
          <w:lang w:val="fr-CA"/>
        </w:rPr>
        <w:noBreakHyphen/>
        <w:t xml:space="preserve">arrêt de la Couronne en vertu de la </w:t>
      </w:r>
      <w:r w:rsidRPr="00344043">
        <w:rPr>
          <w:rFonts w:cs="Times New Roman"/>
          <w:i/>
          <w:shd w:val="clear" w:color="auto" w:fill="FFFFFF"/>
          <w:lang w:val="fr-CA"/>
        </w:rPr>
        <w:t>LIR</w:t>
      </w:r>
      <w:r w:rsidRPr="00344043">
        <w:rPr>
          <w:rFonts w:cs="Times New Roman"/>
          <w:shd w:val="clear" w:color="auto" w:fill="FFFFFF"/>
          <w:lang w:val="fr-CA"/>
        </w:rPr>
        <w:t xml:space="preserve"> </w:t>
      </w:r>
      <w:r w:rsidRPr="00344043">
        <w:rPr>
          <w:rFonts w:cs="Times New Roman"/>
          <w:lang w:val="fr-CA"/>
        </w:rPr>
        <w:t>(motifs de la C.A., par. 54)</w:t>
      </w:r>
      <w:r w:rsidRPr="00344043">
        <w:rPr>
          <w:rFonts w:cs="Times New Roman"/>
          <w:shd w:val="clear" w:color="auto" w:fill="FFFFFF"/>
          <w:lang w:val="fr-CA"/>
        </w:rPr>
        <w:t xml:space="preserve">. Si l’on en croit </w:t>
      </w:r>
      <w:r w:rsidRPr="00344043">
        <w:rPr>
          <w:rFonts w:cs="Times New Roman"/>
          <w:lang w:val="fr-CA"/>
        </w:rPr>
        <w:t xml:space="preserve">cet argument, le législateur voulait permettre au tribunal d’exercer un contrôle sur </w:t>
      </w:r>
      <w:r w:rsidRPr="00344043">
        <w:rPr>
          <w:rFonts w:cs="Times New Roman"/>
          <w:lang w:val="fr-CA"/>
        </w:rPr>
        <w:lastRenderedPageBreak/>
        <w:t xml:space="preserve">les droits de la Couronne tout en surveillant le processus de restructuration. </w:t>
      </w:r>
      <w:r w:rsidRPr="00344043">
        <w:rPr>
          <w:rFonts w:cs="Times New Roman"/>
          <w:shd w:val="clear" w:color="auto" w:fill="FFFFFF"/>
          <w:lang w:val="fr-CA"/>
        </w:rPr>
        <w:t xml:space="preserve">Dans cette optique, </w:t>
      </w:r>
      <w:r w:rsidRPr="00344043">
        <w:rPr>
          <w:rFonts w:cs="Times New Roman"/>
          <w:lang w:val="fr-CA"/>
        </w:rPr>
        <w:t xml:space="preserve">accorder la priorité absolue à la fiducie réputée créée par les lois fiscales signifie nécessairement que l’art. 11.09 de la </w:t>
      </w:r>
      <w:r w:rsidRPr="00344043">
        <w:rPr>
          <w:rFonts w:cs="Times New Roman"/>
          <w:i/>
          <w:lang w:val="fr-CA"/>
        </w:rPr>
        <w:t>LACC</w:t>
      </w:r>
      <w:r w:rsidRPr="00344043">
        <w:rPr>
          <w:rFonts w:cs="Times New Roman"/>
          <w:lang w:val="fr-CA"/>
        </w:rPr>
        <w:t xml:space="preserve"> ne s’applique pas à la réclamation relative à une fiducie réputée.</w:t>
      </w:r>
    </w:p>
    <w:p w:rsidR="00344043" w:rsidRPr="00344043" w:rsidRDefault="00344043" w:rsidP="00344043">
      <w:pPr>
        <w:pStyle w:val="ParaNoNdepar-AltN"/>
        <w:spacing w:before="0"/>
        <w:rPr>
          <w:rFonts w:cs="Times New Roman"/>
          <w:lang w:val="fr-CA"/>
        </w:rPr>
      </w:pPr>
      <w:r w:rsidRPr="00344043">
        <w:rPr>
          <w:rFonts w:cs="Times New Roman"/>
          <w:lang w:val="fr-CA"/>
        </w:rPr>
        <w:t>Encore avec égards, ce n’est pas le cas. Une ordonnance de suspension de la saisie</w:t>
      </w:r>
      <w:r w:rsidRPr="00344043">
        <w:rPr>
          <w:rFonts w:cs="Times New Roman"/>
          <w:lang w:val="fr-CA"/>
        </w:rPr>
        <w:noBreakHyphen/>
        <w:t xml:space="preserve">arrêt en vertu de l’art. 11.09 de la </w:t>
      </w:r>
      <w:r w:rsidRPr="00344043">
        <w:rPr>
          <w:rFonts w:cs="Times New Roman"/>
          <w:i/>
          <w:lang w:val="fr-CA"/>
        </w:rPr>
        <w:t>LACC peut</w:t>
      </w:r>
      <w:r w:rsidRPr="00344043">
        <w:rPr>
          <w:rFonts w:cs="Times New Roman"/>
          <w:lang w:val="fr-CA"/>
        </w:rPr>
        <w:t xml:space="preserve"> s’appliquer aux réclamations de la Couronne relatives à la fiducie réputée créée par les lois fiscales, parce que les dispositions en matière de fiducie réputée et l’art. 11.09 servent des fins différentes : la fiducie réputée accorde une priorité à la Couronne, tandis que l’art. 11.09 impose des conditions quant au moment et à la façon dont la Couronne peut exercer son droit de saisie</w:t>
      </w:r>
      <w:r w:rsidRPr="00344043">
        <w:rPr>
          <w:rFonts w:cs="Times New Roman"/>
          <w:lang w:val="fr-CA"/>
        </w:rPr>
        <w:noBreakHyphen/>
        <w:t xml:space="preserve">arrêt au titre du par. 224(1.2) de la </w:t>
      </w:r>
      <w:r w:rsidRPr="00344043">
        <w:rPr>
          <w:rFonts w:cs="Times New Roman"/>
          <w:i/>
          <w:lang w:val="fr-CA"/>
        </w:rPr>
        <w:t>LIR</w:t>
      </w:r>
      <w:r w:rsidRPr="00344043">
        <w:rPr>
          <w:rFonts w:cs="Times New Roman"/>
          <w:lang w:val="fr-CA"/>
        </w:rPr>
        <w:t>. En d’autres mots, l’art. 11.09 permet au tribunal de suspendre la faculté de la Couronne d’exécuter ses réclamations relatives à une fiducie réputée, mais il n’écarte pas la priorité de la Couronne.</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Le point crucial est le suivant : donner effet à l’intention claire du législateur d’accorder la priorité absolue à la fiducie réputée ne rend pas le par. 6(3) ou l’art. 11.09 dénué de sens. Au contraire, le par. 6(3) et l’art. 11.09 respectent la priorité absolue de la fiducie réputée créée par les lois fiscales en permettant le maintien de la priorité absolue de la réclamation de la Couronne sans contrecarrer l’objet réparateur de la </w:t>
      </w:r>
      <w:r w:rsidRPr="00344043">
        <w:rPr>
          <w:rFonts w:cs="Times New Roman"/>
          <w:i/>
          <w:lang w:val="fr-CA"/>
        </w:rPr>
        <w:t>LACC</w:t>
      </w:r>
      <w:r w:rsidRPr="00344043">
        <w:rPr>
          <w:rFonts w:cs="Times New Roman"/>
          <w:lang w:val="fr-CA"/>
        </w:rPr>
        <w:t>.</w:t>
      </w:r>
    </w:p>
    <w:p w:rsidR="00344043" w:rsidRPr="001D51B8" w:rsidRDefault="00344043" w:rsidP="00344043">
      <w:pPr>
        <w:pStyle w:val="Title3LevelTitre3Niveau"/>
        <w:spacing w:before="0"/>
        <w:rPr>
          <w:rFonts w:cs="Times New Roman"/>
        </w:rPr>
      </w:pPr>
      <w:r w:rsidRPr="001D51B8">
        <w:rPr>
          <w:rFonts w:cs="Times New Roman"/>
        </w:rPr>
        <w:t>Conclusion</w:t>
      </w:r>
    </w:p>
    <w:p w:rsidR="00344043" w:rsidRPr="00344043" w:rsidRDefault="00344043" w:rsidP="00344043">
      <w:pPr>
        <w:pStyle w:val="ParaNoNdepar-AltN"/>
        <w:spacing w:before="0"/>
        <w:rPr>
          <w:rFonts w:cs="Times New Roman"/>
          <w:lang w:val="fr-CA"/>
        </w:rPr>
      </w:pPr>
      <w:r w:rsidRPr="00344043">
        <w:rPr>
          <w:rFonts w:cs="Times New Roman"/>
          <w:lang w:val="fr-CA"/>
        </w:rPr>
        <w:lastRenderedPageBreak/>
        <w:t xml:space="preserve">Comme nous l’avons mentionné au sujet de la priorité absolue de la fiducie réputée, l’application harmonieuse de la </w:t>
      </w:r>
      <w:r w:rsidRPr="00344043">
        <w:rPr>
          <w:rFonts w:cs="Times New Roman"/>
          <w:i/>
          <w:lang w:val="fr-CA"/>
        </w:rPr>
        <w:t>LACC</w:t>
      </w:r>
      <w:r w:rsidRPr="00344043">
        <w:rPr>
          <w:rFonts w:cs="Times New Roman"/>
          <w:lang w:val="fr-CA"/>
        </w:rPr>
        <w:t xml:space="preserve"> et des lois fiscales peut se résumer ainsi :</w:t>
      </w:r>
    </w:p>
    <w:p w:rsidR="00344043" w:rsidRPr="00344043" w:rsidRDefault="00344043" w:rsidP="00344043">
      <w:pPr>
        <w:pStyle w:val="Citation-AltC"/>
        <w:numPr>
          <w:ilvl w:val="0"/>
          <w:numId w:val="27"/>
        </w:numPr>
        <w:spacing w:after="480" w:line="480" w:lineRule="auto"/>
        <w:ind w:left="1530"/>
        <w:contextualSpacing w:val="0"/>
        <w:rPr>
          <w:lang w:val="fr-CA"/>
        </w:rPr>
      </w:pPr>
      <w:r w:rsidRPr="00344043">
        <w:rPr>
          <w:lang w:val="fr-CA"/>
        </w:rPr>
        <w:t xml:space="preserve">la </w:t>
      </w:r>
      <w:r w:rsidRPr="00344043">
        <w:rPr>
          <w:i/>
          <w:lang w:val="fr-CA"/>
        </w:rPr>
        <w:t>LACC</w:t>
      </w:r>
      <w:r w:rsidRPr="00344043">
        <w:rPr>
          <w:lang w:val="fr-CA"/>
        </w:rPr>
        <w:t xml:space="preserve"> protège le droit de la Couronne d’être payée par priorité sur toute garantie pour ses réclamations à l’égard de retenues à la source en vertu des lois fiscales;</w:t>
      </w:r>
    </w:p>
    <w:p w:rsidR="00344043" w:rsidRPr="00344043" w:rsidRDefault="00344043" w:rsidP="00344043">
      <w:pPr>
        <w:pStyle w:val="Citation-AltC"/>
        <w:numPr>
          <w:ilvl w:val="0"/>
          <w:numId w:val="27"/>
        </w:numPr>
        <w:spacing w:after="480" w:line="480" w:lineRule="auto"/>
        <w:ind w:left="1530"/>
        <w:contextualSpacing w:val="0"/>
        <w:rPr>
          <w:lang w:val="fr-CA"/>
        </w:rPr>
      </w:pPr>
      <w:r w:rsidRPr="00344043">
        <w:rPr>
          <w:lang w:val="fr-CA"/>
        </w:rPr>
        <w:t xml:space="preserve">sous le régime de la </w:t>
      </w:r>
      <w:r w:rsidRPr="00344043">
        <w:rPr>
          <w:i/>
          <w:lang w:val="fr-CA"/>
        </w:rPr>
        <w:t>LACC</w:t>
      </w:r>
      <w:r w:rsidRPr="00344043">
        <w:rPr>
          <w:lang w:val="fr-CA"/>
        </w:rPr>
        <w:t>,</w:t>
      </w:r>
      <w:r w:rsidRPr="00344043">
        <w:rPr>
          <w:i/>
          <w:lang w:val="fr-CA"/>
        </w:rPr>
        <w:t xml:space="preserve"> </w:t>
      </w:r>
      <w:r w:rsidRPr="00344043">
        <w:rPr>
          <w:lang w:val="fr-CA"/>
        </w:rPr>
        <w:t>la Couronne n’est pas un « créancier garanti » à l’égard de ses réclamations relatives à une fiducie réputée créée par les lois fiscales;</w:t>
      </w:r>
    </w:p>
    <w:p w:rsidR="00344043" w:rsidRPr="00344043" w:rsidRDefault="00344043" w:rsidP="00344043">
      <w:pPr>
        <w:pStyle w:val="Citation-AltC"/>
        <w:numPr>
          <w:ilvl w:val="0"/>
          <w:numId w:val="27"/>
        </w:numPr>
        <w:spacing w:after="480" w:line="480" w:lineRule="auto"/>
        <w:ind w:left="1530"/>
        <w:contextualSpacing w:val="0"/>
        <w:rPr>
          <w:lang w:val="fr-CA"/>
        </w:rPr>
      </w:pPr>
      <w:r w:rsidRPr="00344043">
        <w:rPr>
          <w:lang w:val="fr-CA"/>
        </w:rPr>
        <w:t>comme les charges super prioritaires ne peuvent se rattacher qu’aux biens du débiteur, et le législateur a indiqué clairement que les retenues à la source non versées ne font pas partie des biens du débiteur, l’intérêt de la Couronne au titre de la fiducie réputée n’est pas subordonné aux charges super prioritaires;</w:t>
      </w:r>
    </w:p>
    <w:p w:rsidR="00344043" w:rsidRPr="00344043" w:rsidRDefault="00344043" w:rsidP="00344043">
      <w:pPr>
        <w:pStyle w:val="Citation-AltC"/>
        <w:numPr>
          <w:ilvl w:val="0"/>
          <w:numId w:val="27"/>
        </w:numPr>
        <w:spacing w:after="480" w:line="480" w:lineRule="auto"/>
        <w:ind w:left="1530"/>
        <w:contextualSpacing w:val="0"/>
        <w:rPr>
          <w:lang w:val="fr-CA"/>
        </w:rPr>
      </w:pPr>
      <w:r w:rsidRPr="00344043">
        <w:rPr>
          <w:lang w:val="fr-CA"/>
        </w:rPr>
        <w:t xml:space="preserve">le paragraphe 6(3) de la </w:t>
      </w:r>
      <w:r w:rsidRPr="00344043">
        <w:rPr>
          <w:i/>
          <w:lang w:val="fr-CA"/>
        </w:rPr>
        <w:t>LACC</w:t>
      </w:r>
      <w:r w:rsidRPr="00344043">
        <w:rPr>
          <w:lang w:val="fr-CA"/>
        </w:rPr>
        <w:t xml:space="preserve">, qui s’applique seulement si une transaction ou un arrangement a été soumis au tribunal, protège l’intégralité de la réclamation de la Couronne visée par le par. 224(1.2) de la </w:t>
      </w:r>
      <w:r w:rsidRPr="00344043">
        <w:rPr>
          <w:i/>
          <w:lang w:val="fr-CA"/>
        </w:rPr>
        <w:t>LIR</w:t>
      </w:r>
      <w:r w:rsidRPr="00344043">
        <w:rPr>
          <w:lang w:val="fr-CA"/>
        </w:rPr>
        <w:t xml:space="preserve"> et les dispositions semblables des lois fiscales;</w:t>
      </w:r>
    </w:p>
    <w:p w:rsidR="00344043" w:rsidRPr="00344043" w:rsidRDefault="00344043" w:rsidP="00344043">
      <w:pPr>
        <w:pStyle w:val="Citation-AltC"/>
        <w:numPr>
          <w:ilvl w:val="0"/>
          <w:numId w:val="27"/>
        </w:numPr>
        <w:spacing w:after="480" w:line="480" w:lineRule="auto"/>
        <w:ind w:left="1530"/>
        <w:contextualSpacing w:val="0"/>
        <w:rPr>
          <w:lang w:val="fr-CA"/>
        </w:rPr>
      </w:pPr>
      <w:r w:rsidRPr="00344043">
        <w:rPr>
          <w:lang w:val="fr-CA"/>
        </w:rPr>
        <w:lastRenderedPageBreak/>
        <w:t>la priorité accordée à la Couronne au titre de la fiducie réputée n’est pas touchée par l’art. 11.09, qui impose plutôt des conditions quant au moment et à la façon dont la Couronne peut exercer son droit de saisie</w:t>
      </w:r>
      <w:r w:rsidRPr="00344043">
        <w:rPr>
          <w:lang w:val="fr-CA"/>
        </w:rPr>
        <w:noBreakHyphen/>
        <w:t xml:space="preserve">arrêt en vertu du par. 224(1.2) de la </w:t>
      </w:r>
      <w:r w:rsidRPr="00344043">
        <w:rPr>
          <w:i/>
          <w:lang w:val="fr-CA"/>
        </w:rPr>
        <w:t>LIR</w:t>
      </w:r>
      <w:r w:rsidRPr="00344043">
        <w:rPr>
          <w:lang w:val="fr-CA"/>
        </w:rPr>
        <w:t>.</w:t>
      </w:r>
    </w:p>
    <w:p w:rsidR="00344043" w:rsidRPr="00344043" w:rsidRDefault="00344043" w:rsidP="00344043">
      <w:pPr>
        <w:pStyle w:val="Title2LevelTitre2Niveau"/>
        <w:spacing w:before="0"/>
        <w:rPr>
          <w:rFonts w:cs="Times New Roman"/>
          <w:lang w:val="fr-CA"/>
        </w:rPr>
      </w:pPr>
      <w:r w:rsidRPr="00344043">
        <w:rPr>
          <w:rFonts w:cs="Times New Roman"/>
          <w:lang w:val="fr-CA"/>
        </w:rPr>
        <w:t>Des considérations de politique générale n’appuient pas une interprétation différente</w:t>
      </w:r>
    </w:p>
    <w:p w:rsidR="00344043" w:rsidRPr="001D51B8" w:rsidRDefault="00344043" w:rsidP="00344043">
      <w:pPr>
        <w:pStyle w:val="ParaNoNdepar-AltN"/>
        <w:spacing w:before="0"/>
        <w:rPr>
          <w:rFonts w:cs="Times New Roman"/>
        </w:rPr>
      </w:pPr>
      <w:r w:rsidRPr="00344043">
        <w:rPr>
          <w:rFonts w:cs="Times New Roman"/>
          <w:lang w:val="fr-CA"/>
        </w:rPr>
        <w:t>Les juges majoritaires de la Cour d’appel et les intimées accordent une grande importance aux conséquences, qu’ils jugent potentiellement [</w:t>
      </w:r>
      <w:r w:rsidRPr="00344043">
        <w:rPr>
          <w:rFonts w:cs="Times New Roman"/>
          <w:smallCaps/>
          <w:lang w:val="fr-CA"/>
        </w:rPr>
        <w:t>traduction</w:t>
      </w:r>
      <w:r w:rsidRPr="00344043">
        <w:rPr>
          <w:rFonts w:cs="Times New Roman"/>
          <w:lang w:val="fr-CA"/>
        </w:rPr>
        <w:t>] « absurdes », qu’aurait le fait de conclure que la fiducie réputée créée par les lois fiscales a préséance sur les charges super prioritaires. Le même avis sous</w:t>
      </w:r>
      <w:r w:rsidRPr="00344043">
        <w:rPr>
          <w:rFonts w:cs="Times New Roman"/>
          <w:lang w:val="fr-CA"/>
        </w:rPr>
        <w:noBreakHyphen/>
        <w:t xml:space="preserve">tend implicitement les motifs de notre collègue la juge Côté. En effet, les juges majoritaires de la Cour d’appel sont allés jusqu’à affirmer que, suivant cette interprétation, le financement temporaire « prendrait tout simplement fin », une affirmation qui « est presque assurément exagérée » (motifs de la C.A., par. 50; Wood, p. 99). Ils ont ajouté que cette interprétation mènerait à davantage de faillites d’entreprises et, partant, nuirait à la perception des impôts (par. 48 et 50). </w:t>
      </w:r>
      <w:r w:rsidRPr="001D51B8">
        <w:rPr>
          <w:rFonts w:cs="Times New Roman"/>
        </w:rPr>
        <w:t>Nous sommes en désaccord.</w:t>
      </w:r>
    </w:p>
    <w:p w:rsidR="00344043" w:rsidRPr="00344043" w:rsidRDefault="00344043" w:rsidP="00344043">
      <w:pPr>
        <w:pStyle w:val="ParaNoNdepar-AltN"/>
        <w:spacing w:before="0"/>
        <w:rPr>
          <w:rFonts w:cs="Times New Roman"/>
          <w:lang w:val="fr-CA"/>
        </w:rPr>
      </w:pPr>
      <w:r w:rsidRPr="00344043">
        <w:rPr>
          <w:rFonts w:cs="Times New Roman"/>
          <w:lang w:val="fr-CA"/>
        </w:rPr>
        <w:t>Les [</w:t>
      </w:r>
      <w:r w:rsidRPr="00344043">
        <w:rPr>
          <w:rFonts w:cs="Times New Roman"/>
          <w:smallCaps/>
          <w:lang w:val="fr-CA"/>
        </w:rPr>
        <w:t>traduction</w:t>
      </w:r>
      <w:r w:rsidRPr="00344043">
        <w:rPr>
          <w:rFonts w:cs="Times New Roman"/>
          <w:lang w:val="fr-CA"/>
        </w:rPr>
        <w:t xml:space="preserve">] « conséquences absurdes » dont parlent les juges majoritaires de la Cour d’appel reposent sur de fausses prémisses. La conclusion selon laquelle le financement temporaire « prendrait tout simplement fin » n’était pas étayée par le dossier. Les juges majoritaires ont extrapolé à partir de données incomplètes et désuètes sur le financement temporaire tirées d’un ouvrage qui ne fait aucune mention </w:t>
      </w:r>
      <w:r w:rsidRPr="00344043">
        <w:rPr>
          <w:rFonts w:cs="Times New Roman"/>
          <w:lang w:val="fr-CA"/>
        </w:rPr>
        <w:lastRenderedPageBreak/>
        <w:t xml:space="preserve">de réclamations relatives à une fiducie réputée. Il s’agit d’une affirmation péremptoire qui élude les cas dans lesquels le débiteur ne reçoit aucun financement temporaire et les cas, comme en l’espèce, dans lesquels les actifs du débiteur sont suffisants pour couvrir à la fois le financement temporaire et la réclamation de la Couronne relative à la fiducie réputée. Cette omission ne peut être facilement ignorée puisque les fonds disponibles suffisent généralement à couvrir la réclamation de la Couronne </w:t>
      </w:r>
      <w:r w:rsidRPr="00344043">
        <w:rPr>
          <w:rFonts w:cs="Times New Roman"/>
          <w:i/>
          <w:lang w:val="fr-CA"/>
        </w:rPr>
        <w:t>et</w:t>
      </w:r>
      <w:r w:rsidRPr="00344043">
        <w:rPr>
          <w:rFonts w:cs="Times New Roman"/>
          <w:lang w:val="fr-CA"/>
        </w:rPr>
        <w:t xml:space="preserve"> les charges super prioritaires ordonnées par le tribunal (Wood, p. 100). Est également sans fondement l’affirmation des juges majoritaires selon laquelle le fait de confirmer la priorité de la fiducie réputée créée par les lois fiscales « introduirait un </w:t>
      </w:r>
      <w:r w:rsidRPr="00344043">
        <w:rPr>
          <w:rFonts w:cs="Times New Roman"/>
          <w:shd w:val="clear" w:color="auto" w:fill="FFFFFF"/>
          <w:lang w:val="fr-CA"/>
        </w:rPr>
        <w:t xml:space="preserve">niveau d’incertitude inacceptable dans le processus de faillite » (motifs de la C.A., par. 51). </w:t>
      </w:r>
      <w:r w:rsidRPr="00344043">
        <w:rPr>
          <w:rFonts w:cs="Times New Roman"/>
          <w:lang w:val="fr-CA"/>
        </w:rPr>
        <w:t xml:space="preserve">Une compagnie qui présente une demande sous le régime de la </w:t>
      </w:r>
      <w:r w:rsidRPr="00344043">
        <w:rPr>
          <w:rFonts w:cs="Times New Roman"/>
          <w:i/>
          <w:lang w:val="fr-CA"/>
        </w:rPr>
        <w:t>LACC</w:t>
      </w:r>
      <w:r w:rsidRPr="00344043">
        <w:rPr>
          <w:rFonts w:cs="Times New Roman"/>
          <w:lang w:val="fr-CA"/>
        </w:rPr>
        <w:t xml:space="preserve"> est tenue de fournir ses états financiers (al. 10(2)c)) indiquant les retenues à la source dues à la Couronne. Les prêteurs temporaires peuvent se fonder sur ces renseignements pour évaluer le risque d’offrir un financement.</w:t>
      </w:r>
    </w:p>
    <w:p w:rsidR="00344043" w:rsidRPr="00344043" w:rsidRDefault="00344043" w:rsidP="00344043">
      <w:pPr>
        <w:pStyle w:val="ParaNoNdepar-AltN"/>
        <w:spacing w:before="0"/>
        <w:rPr>
          <w:rFonts w:cs="Times New Roman"/>
          <w:lang w:val="fr-CA"/>
        </w:rPr>
      </w:pPr>
      <w:r w:rsidRPr="00344043">
        <w:rPr>
          <w:rFonts w:cs="Times New Roman"/>
          <w:lang w:val="fr-CA"/>
        </w:rPr>
        <w:t>De plus, les juges majoritaires de la Cour d’appel n’ont pas tenu compte du fait que le législateur peut choisir, et a choisi, d’accorder à l’intégrité du régime fiscal la priorité sur les droits des créanciers garantis. En effet, avec égards, on pourrait soutenir que l’interprétation des juges majoritaires produit elle</w:t>
      </w:r>
      <w:r w:rsidRPr="00344043">
        <w:rPr>
          <w:rFonts w:cs="Times New Roman"/>
          <w:lang w:val="fr-CA"/>
        </w:rPr>
        <w:noBreakHyphen/>
        <w:t>même des résultats absurdes, à savoir que le salaire brut des employés est utilisé comme subvention pour obtenir le financement temporaire et les services des professionnels de l’insolvabilité.</w:t>
      </w:r>
    </w:p>
    <w:p w:rsidR="00344043" w:rsidRPr="00344043" w:rsidRDefault="00344043" w:rsidP="00344043">
      <w:pPr>
        <w:pStyle w:val="ParaNoNdepar-AltN"/>
        <w:spacing w:before="0"/>
        <w:rPr>
          <w:rFonts w:cs="Times New Roman"/>
          <w:lang w:val="fr-CA"/>
        </w:rPr>
      </w:pPr>
      <w:r w:rsidRPr="00344043">
        <w:rPr>
          <w:rFonts w:cs="Times New Roman"/>
          <w:lang w:val="fr-CA"/>
        </w:rPr>
        <w:lastRenderedPageBreak/>
        <w:t>Par conséquent, nous ne croyons absolument pas que les conséquences de notre interprétation constituent une absurdité. Le législateur a, de façon non équivoque, établi l’équilibre qu’il estimait juste au regard du double objectif de recouvrer les retenues à la source non versées, qui ne font pas partie des biens du débiteur, et d’éviter les [</w:t>
      </w:r>
      <w:r w:rsidRPr="00344043">
        <w:rPr>
          <w:rFonts w:cs="Times New Roman"/>
          <w:smallCaps/>
          <w:lang w:val="fr-CA"/>
        </w:rPr>
        <w:t>traduction</w:t>
      </w:r>
      <w:r w:rsidRPr="00344043">
        <w:rPr>
          <w:rFonts w:cs="Times New Roman"/>
          <w:lang w:val="fr-CA"/>
        </w:rPr>
        <w:t>] « effets dévastateurs, — tant sur le plan social qu’économique — de la faillite » (</w:t>
      </w:r>
      <w:r w:rsidRPr="00344043">
        <w:rPr>
          <w:rFonts w:cs="Times New Roman"/>
          <w:i/>
          <w:lang w:val="fr-CA"/>
        </w:rPr>
        <w:t>Century Services</w:t>
      </w:r>
      <w:r w:rsidRPr="00344043">
        <w:rPr>
          <w:rFonts w:cs="Times New Roman"/>
          <w:lang w:val="fr-CA"/>
        </w:rPr>
        <w:t xml:space="preserve">, par. 59, citant </w:t>
      </w:r>
      <w:r w:rsidRPr="00344043">
        <w:rPr>
          <w:rFonts w:cs="Times New Roman"/>
          <w:i/>
          <w:shd w:val="clear" w:color="auto" w:fill="FFFFFF"/>
          <w:lang w:val="fr-CA"/>
        </w:rPr>
        <w:t>Elan Corp. c.</w:t>
      </w:r>
      <w:r w:rsidRPr="00344043">
        <w:rPr>
          <w:rFonts w:cs="Times New Roman"/>
          <w:shd w:val="clear" w:color="auto" w:fill="FFFFFF"/>
          <w:lang w:val="fr-CA"/>
        </w:rPr>
        <w:t> </w:t>
      </w:r>
      <w:r w:rsidRPr="00344043">
        <w:rPr>
          <w:rFonts w:cs="Times New Roman"/>
          <w:i/>
          <w:shd w:val="clear" w:color="auto" w:fill="FFFFFF"/>
          <w:lang w:val="fr-CA"/>
        </w:rPr>
        <w:t>Comiskey</w:t>
      </w:r>
      <w:r w:rsidRPr="00344043">
        <w:rPr>
          <w:rFonts w:cs="Times New Roman"/>
          <w:shd w:val="clear" w:color="auto" w:fill="FFFFFF"/>
          <w:lang w:val="fr-CA"/>
        </w:rPr>
        <w:t> (1990), 1 O.R. (3d) 289 (C.A.), p. 306, le juge Doherty, dissident)</w:t>
      </w:r>
      <w:r w:rsidRPr="00344043">
        <w:rPr>
          <w:rFonts w:cs="Times New Roman"/>
          <w:lang w:val="fr-CA"/>
        </w:rPr>
        <w:t xml:space="preserve">. Notre Cour ne dispose ni de la compétence ni de la légitimité nécessaires pour trancher les questions de savoir si le par. 227(4.1) de la </w:t>
      </w:r>
      <w:r w:rsidRPr="00344043">
        <w:rPr>
          <w:rFonts w:cs="Times New Roman"/>
          <w:i/>
          <w:lang w:val="fr-CA"/>
        </w:rPr>
        <w:t>LIR</w:t>
      </w:r>
      <w:r w:rsidRPr="00344043">
        <w:rPr>
          <w:rFonts w:cs="Times New Roman"/>
          <w:lang w:val="fr-CA"/>
        </w:rPr>
        <w:t xml:space="preserve"> constitue un moyen efficace de protéger l’assiette fiscale ou de savoir si [</w:t>
      </w:r>
      <w:r w:rsidRPr="00344043">
        <w:rPr>
          <w:rFonts w:cs="Times New Roman"/>
          <w:smallCaps/>
          <w:lang w:val="fr-CA"/>
        </w:rPr>
        <w:t>traduction</w:t>
      </w:r>
      <w:r w:rsidRPr="00344043">
        <w:rPr>
          <w:rFonts w:cs="Times New Roman"/>
          <w:lang w:val="fr-CA"/>
        </w:rPr>
        <w:t>] « la Couronne mord la main qui la nourrit » (motifs de la C.A., par. 48).</w:t>
      </w:r>
    </w:p>
    <w:p w:rsidR="00344043" w:rsidRPr="00344043" w:rsidRDefault="00344043" w:rsidP="00344043">
      <w:pPr>
        <w:pStyle w:val="ParaNoNdepar-AltN"/>
        <w:spacing w:before="0"/>
        <w:rPr>
          <w:rFonts w:cs="Times New Roman"/>
          <w:lang w:val="fr-CA"/>
        </w:rPr>
      </w:pPr>
      <w:r w:rsidRPr="00344043">
        <w:rPr>
          <w:rFonts w:cs="Times New Roman"/>
          <w:lang w:val="fr-CA"/>
        </w:rPr>
        <w:t xml:space="preserve">De toute façon, même si des éléments de preuve démontraient que la préséance de la fiducie réputée créée par les lois fiscales sur les charges super prioritaires donnait des résultats absurdes, notre conclusion ne serait pas différente. La présomption contre l’absurdité n’est rien de plus qu’une présomption. Des conséquences illogiques découlant de l’application d’une loi ne permettent pas aux tribunaux de faire fi de l’intention claire du législateur. Comme le juge en chef Lamer l’a souligné dans </w:t>
      </w:r>
      <w:r w:rsidRPr="00344043">
        <w:rPr>
          <w:rFonts w:cs="Times New Roman"/>
          <w:i/>
          <w:lang w:val="fr-CA"/>
        </w:rPr>
        <w:t>R. c. McIntosh</w:t>
      </w:r>
      <w:r w:rsidRPr="00344043">
        <w:rPr>
          <w:rFonts w:cs="Times New Roman"/>
          <w:lang w:val="fr-CA"/>
        </w:rPr>
        <w:t>, [1995] 1 R.C.S. 686, par. 41, « </w:t>
      </w:r>
      <w:r w:rsidRPr="00344043">
        <w:rPr>
          <w:rFonts w:cs="Times New Roman"/>
          <w:shd w:val="clear" w:color="auto" w:fill="FFFFFF"/>
          <w:lang w:val="fr-CA"/>
        </w:rPr>
        <w:t>le législateur a le droit de légiférer de façon illogique (pourvu que cela ne soulève pas de préoccupations d’ordre constitutionnel). Si le législateur n’est pas satisfait de l’application que les tribunaux accordent aux textes législatifs illogiques, il peut les modifier en conséquence. »</w:t>
      </w:r>
    </w:p>
    <w:p w:rsidR="00344043" w:rsidRPr="001D51B8" w:rsidRDefault="00344043" w:rsidP="00344043">
      <w:pPr>
        <w:pStyle w:val="ParaNoNdepar-AltN"/>
        <w:spacing w:before="0"/>
        <w:rPr>
          <w:rFonts w:cs="Times New Roman"/>
        </w:rPr>
      </w:pPr>
      <w:r w:rsidRPr="00344043">
        <w:rPr>
          <w:rFonts w:cs="Times New Roman"/>
          <w:shd w:val="clear" w:color="auto" w:fill="FFFFFF"/>
          <w:lang w:val="fr-CA"/>
        </w:rPr>
        <w:lastRenderedPageBreak/>
        <w:t xml:space="preserve">En l’espèce, l’intention du législateur d’accorder la priorité absolue à la fiducie réputée créée par les lois fiscales est sans équivoque. </w:t>
      </w:r>
      <w:r w:rsidRPr="001D51B8">
        <w:rPr>
          <w:rFonts w:cs="Times New Roman"/>
          <w:shd w:val="clear" w:color="auto" w:fill="FFFFFF"/>
        </w:rPr>
        <w:t>Notre rôle est de donner effet à cette intention.</w:t>
      </w:r>
    </w:p>
    <w:p w:rsidR="00344043" w:rsidRPr="001D51B8" w:rsidRDefault="00344043" w:rsidP="00344043">
      <w:pPr>
        <w:pStyle w:val="Title1LevelTitre1Niveau-AltL"/>
        <w:spacing w:before="0"/>
        <w:rPr>
          <w:rFonts w:cs="Times New Roman"/>
        </w:rPr>
      </w:pPr>
      <w:r w:rsidRPr="001D51B8">
        <w:rPr>
          <w:rFonts w:cs="Times New Roman"/>
        </w:rPr>
        <w:t>Dispositif</w:t>
      </w:r>
    </w:p>
    <w:p w:rsidR="00344043" w:rsidRPr="00344043" w:rsidRDefault="00344043" w:rsidP="00344043">
      <w:pPr>
        <w:pStyle w:val="ParaNoNdepar-AltN"/>
        <w:spacing w:before="0"/>
        <w:rPr>
          <w:rFonts w:cs="Times New Roman"/>
          <w:lang w:val="fr-CA"/>
        </w:rPr>
      </w:pPr>
      <w:r w:rsidRPr="00344043">
        <w:rPr>
          <w:rFonts w:cs="Times New Roman"/>
          <w:lang w:val="fr-CA"/>
        </w:rPr>
        <w:t>Nous sommes d’avis d’accueillir le pourvoi. Les intimées ont droit aux dépens conformément à l’annexe B du règlement (</w:t>
      </w:r>
      <w:r w:rsidRPr="00344043">
        <w:rPr>
          <w:rFonts w:cs="Times New Roman"/>
          <w:i/>
          <w:lang w:val="fr-CA"/>
        </w:rPr>
        <w:t>Règles de la Cour suprême du Canada</w:t>
      </w:r>
      <w:r w:rsidRPr="00344043">
        <w:rPr>
          <w:rFonts w:cs="Times New Roman"/>
          <w:lang w:val="fr-CA"/>
        </w:rPr>
        <w:t>, DORS/2002</w:t>
      </w:r>
      <w:r w:rsidRPr="00344043">
        <w:rPr>
          <w:rFonts w:cs="Times New Roman"/>
          <w:lang w:val="fr-CA"/>
        </w:rPr>
        <w:noBreakHyphen/>
        <w:t>156). Il n’y a aucune circonstance exceptionnelle qui justifierait des dépens majorés. Malgré le caractère théorique du pourvoi, la Couronne a, à bon droit, sollicité une interprétation juste des lois fiscales.</w:t>
      </w:r>
    </w:p>
    <w:p w:rsidR="00344043" w:rsidRDefault="00344043" w:rsidP="00213F87">
      <w:pPr>
        <w:pStyle w:val="SCCNormalDoubleSpacing"/>
        <w:spacing w:after="480"/>
        <w:rPr>
          <w:rStyle w:val="SCCCounselPartyRoleChar"/>
          <w:lang w:val="fr-CA"/>
        </w:rPr>
      </w:pPr>
    </w:p>
    <w:p w:rsidR="00344043" w:rsidRDefault="00344043" w:rsidP="00344043">
      <w:pPr>
        <w:jc w:val="both"/>
        <w:rPr>
          <w:lang w:val="fr-CA"/>
        </w:rPr>
      </w:pPr>
      <w:r w:rsidRPr="00796D65">
        <w:rPr>
          <w:lang w:val="fr-CA"/>
        </w:rPr>
        <w:t>Version française des motifs rendus par</w:t>
      </w:r>
    </w:p>
    <w:p w:rsidR="00344043" w:rsidRPr="00F65326" w:rsidRDefault="00344043" w:rsidP="00344043">
      <w:pPr>
        <w:jc w:val="both"/>
        <w:rPr>
          <w:lang w:val="fr-CA"/>
        </w:rPr>
      </w:pPr>
    </w:p>
    <w:p w:rsidR="00344043" w:rsidRPr="00C35C2E" w:rsidRDefault="00344043" w:rsidP="00344043">
      <w:pPr>
        <w:pStyle w:val="JudgeJuge"/>
        <w:spacing w:before="240"/>
        <w:rPr>
          <w:lang w:val="fr-CA"/>
        </w:rPr>
      </w:pPr>
      <w:r w:rsidRPr="00C35C2E">
        <w:rPr>
          <w:lang w:val="fr-CA"/>
        </w:rPr>
        <w:tab/>
        <w:t>Le juge Moldaver —</w:t>
      </w:r>
    </w:p>
    <w:p w:rsidR="00344043" w:rsidRPr="00C35C2E" w:rsidRDefault="00344043" w:rsidP="00344043">
      <w:pPr>
        <w:pStyle w:val="ParaNoNdepar-AltN"/>
        <w:rPr>
          <w:rFonts w:cs="Times New Roman"/>
          <w:lang w:val="fr-CA"/>
        </w:rPr>
      </w:pPr>
      <w:r w:rsidRPr="00C35C2E">
        <w:rPr>
          <w:rFonts w:cs="Times New Roman"/>
          <w:lang w:val="fr-CA"/>
        </w:rPr>
        <w:t>J’ai pris connaissance des motifs de mes collègues, soit ceux de la juge</w:t>
      </w:r>
      <w:r>
        <w:rPr>
          <w:rFonts w:cs="Times New Roman"/>
          <w:lang w:val="fr-CA"/>
        </w:rPr>
        <w:t xml:space="preserve"> </w:t>
      </w:r>
      <w:r w:rsidRPr="00C35C2E">
        <w:rPr>
          <w:rFonts w:cs="Times New Roman"/>
          <w:szCs w:val="24"/>
          <w:lang w:val="fr-CA"/>
        </w:rPr>
        <w:t xml:space="preserve">Côté, ceux </w:t>
      </w:r>
      <w:r w:rsidRPr="00C35C2E">
        <w:rPr>
          <w:rFonts w:cs="Times New Roman"/>
          <w:lang w:val="fr-CA"/>
        </w:rPr>
        <w:t>la juge Karakatsanis,</w:t>
      </w:r>
      <w:r w:rsidRPr="00C35C2E">
        <w:rPr>
          <w:rFonts w:cs="Times New Roman"/>
          <w:szCs w:val="24"/>
          <w:lang w:val="fr-CA"/>
        </w:rPr>
        <w:t xml:space="preserve"> ainsi que </w:t>
      </w:r>
      <w:r>
        <w:rPr>
          <w:rFonts w:cs="Times New Roman"/>
          <w:szCs w:val="24"/>
          <w:lang w:val="fr-CA"/>
        </w:rPr>
        <w:t xml:space="preserve">ceux des juges </w:t>
      </w:r>
      <w:r w:rsidRPr="00C35C2E">
        <w:rPr>
          <w:rFonts w:cs="Times New Roman"/>
          <w:szCs w:val="24"/>
          <w:lang w:val="fr-CA"/>
        </w:rPr>
        <w:t xml:space="preserve">Brown et Rowe. </w:t>
      </w:r>
      <w:r w:rsidRPr="00C35C2E">
        <w:rPr>
          <w:rFonts w:cs="Times New Roman"/>
          <w:lang w:val="fr-CA"/>
        </w:rPr>
        <w:t xml:space="preserve">Bien que je souscrive pour l’essentiel à l’analyse et aux conclusions des </w:t>
      </w:r>
      <w:r>
        <w:rPr>
          <w:rFonts w:cs="Times New Roman"/>
          <w:lang w:val="fr-CA"/>
        </w:rPr>
        <w:t xml:space="preserve">juges </w:t>
      </w:r>
      <w:r w:rsidRPr="00C35C2E">
        <w:rPr>
          <w:rFonts w:cs="Times New Roman"/>
          <w:lang w:val="fr-CA"/>
        </w:rPr>
        <w:t>Brown et Rowe, il y a deux points que je tiens à aborder.</w:t>
      </w:r>
    </w:p>
    <w:p w:rsidR="00344043" w:rsidRPr="00C35C2E" w:rsidRDefault="00344043" w:rsidP="00344043">
      <w:pPr>
        <w:pStyle w:val="ParaNoNdepar-AltN"/>
        <w:spacing w:before="0"/>
        <w:rPr>
          <w:rFonts w:cs="Times New Roman"/>
          <w:lang w:val="fr-CA"/>
        </w:rPr>
      </w:pPr>
      <w:r w:rsidRPr="00C35C2E">
        <w:rPr>
          <w:rFonts w:cs="Times New Roman"/>
          <w:lang w:val="fr-CA"/>
        </w:rPr>
        <w:t>En premier lieu, c</w:t>
      </w:r>
      <w:r>
        <w:rPr>
          <w:rFonts w:cs="Times New Roman"/>
          <w:lang w:val="fr-CA"/>
        </w:rPr>
        <w:t xml:space="preserve">ontrairement aux juges </w:t>
      </w:r>
      <w:r w:rsidRPr="00C35C2E">
        <w:rPr>
          <w:rFonts w:cs="Times New Roman"/>
          <w:lang w:val="fr-CA"/>
        </w:rPr>
        <w:t>Brown et Rowe</w:t>
      </w:r>
      <w:r w:rsidRPr="00C35C2E">
        <w:rPr>
          <w:rFonts w:cs="Times New Roman"/>
          <w:szCs w:val="24"/>
          <w:lang w:val="fr-CA"/>
        </w:rPr>
        <w:t>, je ne vois aucune raison de définir la nature ou le fonctionnement particulier du droit que le par. </w:t>
      </w:r>
      <w:r w:rsidRPr="00C35C2E">
        <w:rPr>
          <w:rFonts w:cs="Times New Roman"/>
          <w:lang w:val="fr-CA"/>
        </w:rPr>
        <w:t xml:space="preserve">227(4.1) </w:t>
      </w:r>
      <w:r w:rsidRPr="00C35C2E">
        <w:rPr>
          <w:rFonts w:cs="Times New Roman"/>
          <w:lang w:val="fr-CA"/>
        </w:rPr>
        <w:lastRenderedPageBreak/>
        <w:t xml:space="preserve">de la </w:t>
      </w:r>
      <w:r w:rsidRPr="00C35C2E">
        <w:rPr>
          <w:rFonts w:cs="Times New Roman"/>
          <w:i/>
          <w:lang w:val="fr-CA"/>
        </w:rPr>
        <w:t>Loi de l’impôt sur le revenu</w:t>
      </w:r>
      <w:r w:rsidRPr="00C35C2E">
        <w:rPr>
          <w:rFonts w:cs="Times New Roman"/>
          <w:lang w:val="fr-CA"/>
        </w:rPr>
        <w:t>, L.R.C. 1985, c. 1 (5</w:t>
      </w:r>
      <w:r w:rsidRPr="00C35C2E">
        <w:rPr>
          <w:rFonts w:cs="Times New Roman"/>
          <w:vertAlign w:val="superscript"/>
          <w:lang w:val="fr-CA"/>
        </w:rPr>
        <w:t>e</w:t>
      </w:r>
      <w:r w:rsidRPr="00C35C2E">
        <w:rPr>
          <w:rFonts w:cs="Times New Roman"/>
          <w:lang w:val="fr-CA"/>
        </w:rPr>
        <w:t xml:space="preserve"> suppl.) (« </w:t>
      </w:r>
      <w:r w:rsidRPr="00C35C2E">
        <w:rPr>
          <w:rFonts w:cs="Times New Roman"/>
          <w:i/>
          <w:lang w:val="fr-CA"/>
        </w:rPr>
        <w:t>LIR</w:t>
      </w:r>
      <w:r w:rsidRPr="00C35C2E">
        <w:rPr>
          <w:rFonts w:cs="Times New Roman"/>
          <w:lang w:val="fr-CA"/>
        </w:rPr>
        <w:t xml:space="preserve"> »), </w:t>
      </w:r>
      <w:r w:rsidRPr="00C35C2E">
        <w:rPr>
          <w:rFonts w:cs="Times New Roman"/>
          <w:szCs w:val="24"/>
          <w:lang w:val="fr-CA"/>
        </w:rPr>
        <w:t xml:space="preserve">confère à la Couronne </w:t>
      </w:r>
      <w:r w:rsidRPr="00C35C2E">
        <w:rPr>
          <w:rFonts w:cs="Times New Roman"/>
          <w:lang w:val="fr-CA"/>
        </w:rPr>
        <w:t xml:space="preserve">dans le cadre des procédures intentées sous le régime de la </w:t>
      </w:r>
      <w:r w:rsidRPr="00C35C2E">
        <w:rPr>
          <w:rFonts w:cs="Times New Roman"/>
          <w:i/>
          <w:lang w:val="fr-CA"/>
        </w:rPr>
        <w:t>Loi sur les arrangements avec les créanciers des compagnies</w:t>
      </w:r>
      <w:r w:rsidRPr="00C35C2E">
        <w:rPr>
          <w:rFonts w:cs="Times New Roman"/>
          <w:lang w:val="fr-CA"/>
        </w:rPr>
        <w:t>, L.R.C. 1985, c. C</w:t>
      </w:r>
      <w:r w:rsidRPr="00C35C2E">
        <w:rPr>
          <w:rFonts w:cs="Times New Roman"/>
          <w:lang w:val="fr-CA"/>
        </w:rPr>
        <w:noBreakHyphen/>
        <w:t>36 (« </w:t>
      </w:r>
      <w:r w:rsidRPr="00C35C2E">
        <w:rPr>
          <w:rFonts w:cs="Times New Roman"/>
          <w:i/>
          <w:lang w:val="fr-CA"/>
        </w:rPr>
        <w:t>LACC </w:t>
      </w:r>
      <w:r w:rsidRPr="00C35C2E">
        <w:rPr>
          <w:rFonts w:cs="Times New Roman"/>
          <w:lang w:val="fr-CA"/>
        </w:rPr>
        <w:t>»). Bien qu’un futur pourvoi puisse nécessiter que notre Cour précise les circonstances exactes dans lesquelles les intérêts conférés à la Couronne en vertu du par. 227(4.1) « survivent » et s’ils peuvent être assimilés à une certaine forme d’intérêt propriétal sur les biens du débiteur, comme l’affirment les juges Brown et Rowe, à une certaine forme de garantie sur ces biens, ou à quelque chose de complètement différent (p. ex.</w:t>
      </w:r>
      <w:r>
        <w:rPr>
          <w:rFonts w:cs="Times New Roman"/>
          <w:lang w:val="fr-CA"/>
        </w:rPr>
        <w:t>,</w:t>
      </w:r>
      <w:r w:rsidRPr="00C35C2E">
        <w:rPr>
          <w:rFonts w:cs="Times New Roman"/>
          <w:lang w:val="fr-CA"/>
        </w:rPr>
        <w:t xml:space="preserve"> un droit de ne pas avoir à tra</w:t>
      </w:r>
      <w:r>
        <w:rPr>
          <w:rFonts w:cs="Times New Roman"/>
          <w:lang w:val="fr-CA"/>
        </w:rPr>
        <w:t xml:space="preserve">nsiger, comme l’affirme la juge </w:t>
      </w:r>
      <w:r w:rsidRPr="00C35C2E">
        <w:rPr>
          <w:rFonts w:cs="Times New Roman"/>
          <w:lang w:val="fr-CA"/>
        </w:rPr>
        <w:t xml:space="preserve">Karakatsanis), une telle analyse n’est pas nécessaire en l’espèce. Correctement interprétées, les dispositions pertinentes de la </w:t>
      </w:r>
      <w:r w:rsidRPr="00C35C2E">
        <w:rPr>
          <w:rFonts w:cs="Times New Roman"/>
          <w:i/>
          <w:lang w:val="fr-CA"/>
        </w:rPr>
        <w:t>LACC</w:t>
      </w:r>
      <w:r w:rsidRPr="00C35C2E">
        <w:rPr>
          <w:rFonts w:cs="Times New Roman"/>
          <w:lang w:val="fr-CA"/>
        </w:rPr>
        <w:t xml:space="preserve"> et de la </w:t>
      </w:r>
      <w:r>
        <w:rPr>
          <w:rFonts w:cs="Times New Roman"/>
          <w:i/>
          <w:lang w:val="fr-CA"/>
        </w:rPr>
        <w:t>L</w:t>
      </w:r>
      <w:r w:rsidRPr="00C35C2E">
        <w:rPr>
          <w:rFonts w:cs="Times New Roman"/>
          <w:i/>
          <w:lang w:val="fr-CA"/>
        </w:rPr>
        <w:t>I</w:t>
      </w:r>
      <w:r>
        <w:rPr>
          <w:rFonts w:cs="Times New Roman"/>
          <w:i/>
          <w:lang w:val="fr-CA"/>
        </w:rPr>
        <w:t>R</w:t>
      </w:r>
      <w:r w:rsidRPr="00C35C2E">
        <w:rPr>
          <w:rFonts w:cs="Times New Roman"/>
          <w:lang w:val="fr-CA"/>
        </w:rPr>
        <w:t xml:space="preserve"> s’harmonisent de façon à ce que l’intérêt de la Couronne — quel qu’il soit — ait priorité sur les charges super prioritaires d’origine judiciaire. Cette conclusion suffit pour trancher le pourvoi.</w:t>
      </w:r>
    </w:p>
    <w:p w:rsidR="00344043" w:rsidRPr="00C35C2E" w:rsidRDefault="00344043" w:rsidP="00344043">
      <w:pPr>
        <w:pStyle w:val="ParaNoNdepar-AltN"/>
        <w:spacing w:before="0"/>
        <w:rPr>
          <w:rFonts w:cs="Times New Roman"/>
          <w:lang w:val="fr-CA"/>
        </w:rPr>
      </w:pPr>
      <w:r w:rsidRPr="00C35C2E">
        <w:rPr>
          <w:rFonts w:cs="Times New Roman"/>
          <w:lang w:val="fr-CA"/>
        </w:rPr>
        <w:t>À mon avis, dans la mesure où ils estiment que l’intérêt que possède la Couronne en vertu du par. 227(4.1) lui confère un droit de bénéficiaire sur les retenues à la source, de sorte que « les retenues à la source sont réputées ne jamais faire partie des biens de la compagnie », les juges Brown et Rowe ont effectivement tranché le pourvoi par deux voies distinctes : tout d’abord en reconnaissant la priorité absolue dont bénéficie la Couronne en vertu du par. 227(4.1), et, ensuite, en reconnaissant le droit de bénéficiaire qu’elle possède sur les retenues à la source non versées</w:t>
      </w:r>
      <w:r>
        <w:rPr>
          <w:rFonts w:cs="Times New Roman"/>
          <w:lang w:val="fr-CA"/>
        </w:rPr>
        <w:t xml:space="preserve"> (par. </w:t>
      </w:r>
      <w:r w:rsidRPr="0081443A">
        <w:rPr>
          <w:rFonts w:cs="Times New Roman"/>
          <w:lang w:val="fr-CA"/>
        </w:rPr>
        <w:t>223</w:t>
      </w:r>
      <w:r w:rsidRPr="00C35C2E">
        <w:rPr>
          <w:rFonts w:cs="Times New Roman"/>
          <w:lang w:val="fr-CA"/>
        </w:rPr>
        <w:t xml:space="preserve">). Comme ils le font observer, si l’intérêt de la Couronne équivaut à un intérêt propriétal et les retenues à la source non versées ne font pas partie des biens de l’entreprise </w:t>
      </w:r>
      <w:r w:rsidRPr="00C35C2E">
        <w:rPr>
          <w:rFonts w:cs="Times New Roman"/>
          <w:lang w:val="fr-CA"/>
        </w:rPr>
        <w:lastRenderedPageBreak/>
        <w:t xml:space="preserve">débitrice, les charges super prioritaires ne peuvent en aucun cas grever les retenues à la source, qu’elles soient constituées en vertu des dispositions spécifiques relatives aux charges super prioritaires ou en vertu du pouvoir général conféré au tribunal par l’art. 11 de la </w:t>
      </w:r>
      <w:r w:rsidRPr="00C35C2E">
        <w:rPr>
          <w:rFonts w:cs="Times New Roman"/>
          <w:i/>
          <w:lang w:val="fr-CA"/>
        </w:rPr>
        <w:t>LACC</w:t>
      </w:r>
      <w:r w:rsidRPr="00C35C2E">
        <w:rPr>
          <w:rFonts w:cs="Times New Roman"/>
          <w:lang w:val="fr-CA"/>
        </w:rPr>
        <w:t xml:space="preserve"> (par. </w:t>
      </w:r>
      <w:r w:rsidRPr="0081443A">
        <w:rPr>
          <w:rFonts w:cs="Times New Roman"/>
          <w:lang w:val="fr-CA"/>
        </w:rPr>
        <w:t>222</w:t>
      </w:r>
      <w:r w:rsidRPr="0081443A">
        <w:rPr>
          <w:rFonts w:cs="Times New Roman"/>
          <w:lang w:val="fr-CA"/>
        </w:rPr>
        <w:noBreakHyphen/>
        <w:t>223</w:t>
      </w:r>
      <w:r w:rsidRPr="00C35C2E">
        <w:rPr>
          <w:rFonts w:cs="Times New Roman"/>
          <w:lang w:val="fr-CA"/>
        </w:rPr>
        <w:t>). Si c’est</w:t>
      </w:r>
      <w:r>
        <w:rPr>
          <w:rFonts w:cs="Times New Roman"/>
          <w:lang w:val="fr-CA"/>
        </w:rPr>
        <w:t xml:space="preserve"> effectivement</w:t>
      </w:r>
      <w:r w:rsidRPr="00C35C2E">
        <w:rPr>
          <w:rFonts w:cs="Times New Roman"/>
          <w:lang w:val="fr-CA"/>
        </w:rPr>
        <w:t xml:space="preserve"> le cas, </w:t>
      </w:r>
      <w:r>
        <w:rPr>
          <w:rFonts w:cs="Times New Roman"/>
          <w:lang w:val="fr-CA"/>
        </w:rPr>
        <w:t xml:space="preserve">il n’est pas évident que se soulève même un problème de priorités concurrentes entre </w:t>
      </w:r>
      <w:r w:rsidRPr="00C35C2E">
        <w:rPr>
          <w:rFonts w:cs="Times New Roman"/>
          <w:lang w:val="fr-CA"/>
        </w:rPr>
        <w:t xml:space="preserve">l’intérêt de la Couronne </w:t>
      </w:r>
      <w:r>
        <w:rPr>
          <w:rFonts w:cs="Times New Roman"/>
          <w:lang w:val="fr-CA"/>
        </w:rPr>
        <w:t>et</w:t>
      </w:r>
      <w:r w:rsidRPr="00C35C2E">
        <w:rPr>
          <w:rFonts w:cs="Times New Roman"/>
          <w:lang w:val="fr-CA"/>
        </w:rPr>
        <w:t xml:space="preserve"> la charge super prioritaire d’origine judiciaire, </w:t>
      </w:r>
      <w:r>
        <w:rPr>
          <w:rFonts w:cs="Times New Roman"/>
          <w:lang w:val="fr-CA"/>
        </w:rPr>
        <w:t>puisque</w:t>
      </w:r>
      <w:r w:rsidRPr="00C35C2E">
        <w:rPr>
          <w:rFonts w:cs="Times New Roman"/>
          <w:lang w:val="fr-CA"/>
        </w:rPr>
        <w:t xml:space="preserve"> </w:t>
      </w:r>
      <w:r>
        <w:rPr>
          <w:rFonts w:cs="Times New Roman"/>
          <w:lang w:val="fr-CA"/>
        </w:rPr>
        <w:t>personne d’autre que la Couronne n’a accès aux retenues à la source</w:t>
      </w:r>
      <w:r w:rsidRPr="00C35C2E">
        <w:rPr>
          <w:rFonts w:cs="Times New Roman"/>
          <w:lang w:val="fr-CA"/>
        </w:rPr>
        <w:t xml:space="preserve">. </w:t>
      </w:r>
      <w:r>
        <w:rPr>
          <w:rFonts w:cs="Times New Roman"/>
          <w:lang w:val="fr-CA"/>
        </w:rPr>
        <w:t>Comme</w:t>
      </w:r>
      <w:r w:rsidRPr="00C35C2E">
        <w:rPr>
          <w:rFonts w:cs="Times New Roman"/>
          <w:lang w:val="fr-CA"/>
        </w:rPr>
        <w:t xml:space="preserve"> je ne suis pas nécessairement convaincu que l’intérêt que possède la Couronne en vertu du par. 227(4.1) équivaut à un intérêt propriétal, et comme la priorité absolue de la Couronne ne dépend pas de cette conclusion, je remettrais à une autre occasion l’examen de la nature du droit de la Couronne.</w:t>
      </w:r>
    </w:p>
    <w:p w:rsidR="00344043" w:rsidRPr="00C35C2E" w:rsidRDefault="00344043" w:rsidP="00344043">
      <w:pPr>
        <w:pStyle w:val="ParaNoNdepar-AltN"/>
        <w:tabs>
          <w:tab w:val="clear" w:pos="1152"/>
          <w:tab w:val="left" w:pos="1166"/>
        </w:tabs>
        <w:spacing w:before="0"/>
        <w:rPr>
          <w:rFonts w:cs="Times New Roman"/>
          <w:lang w:val="fr-CA"/>
        </w:rPr>
      </w:pPr>
      <w:r w:rsidRPr="00C35C2E">
        <w:rPr>
          <w:rFonts w:cs="Times New Roman"/>
          <w:lang w:val="fr-CA"/>
        </w:rPr>
        <w:t xml:space="preserve">En deuxième lieu, bien que je convienne avec les juges Brown et Rowe que le par. 37(2) de la </w:t>
      </w:r>
      <w:r w:rsidRPr="00C35C2E">
        <w:rPr>
          <w:rFonts w:cs="Times New Roman"/>
          <w:i/>
          <w:iCs/>
          <w:lang w:val="fr-CA"/>
        </w:rPr>
        <w:t xml:space="preserve">LACC </w:t>
      </w:r>
      <w:r w:rsidRPr="00C35C2E">
        <w:rPr>
          <w:rFonts w:cs="Times New Roman"/>
          <w:lang w:val="fr-CA"/>
        </w:rPr>
        <w:t>peut être interprété comme une restriction interne à l’art. 11, j’hésite à accepter cette conclusion, car il me semble que, pour donner un effet approprié à l’intention du législateur de faire de l’art. </w:t>
      </w:r>
      <w:r>
        <w:rPr>
          <w:rFonts w:cs="Times New Roman"/>
          <w:lang w:val="fr-CA"/>
        </w:rPr>
        <w:t>11 le</w:t>
      </w:r>
      <w:r w:rsidRPr="00C35C2E">
        <w:rPr>
          <w:rFonts w:cs="Times New Roman"/>
          <w:lang w:val="fr-CA"/>
        </w:rPr>
        <w:t xml:space="preserve"> « </w:t>
      </w:r>
      <w:r>
        <w:rPr>
          <w:rFonts w:cs="Times New Roman"/>
          <w:lang w:val="fr-CA"/>
        </w:rPr>
        <w:t>moteur</w:t>
      </w:r>
      <w:r w:rsidRPr="00C35C2E">
        <w:rPr>
          <w:rFonts w:cs="Times New Roman"/>
          <w:lang w:val="fr-CA"/>
        </w:rPr>
        <w:t xml:space="preserve"> » de la </w:t>
      </w:r>
      <w:r w:rsidRPr="00C35C2E">
        <w:rPr>
          <w:rFonts w:cs="Times New Roman"/>
          <w:i/>
          <w:iCs/>
          <w:lang w:val="fr-CA"/>
        </w:rPr>
        <w:t>LACC</w:t>
      </w:r>
      <w:r w:rsidRPr="00C35C2E">
        <w:rPr>
          <w:rFonts w:cs="Times New Roman"/>
          <w:lang w:val="fr-CA"/>
        </w:rPr>
        <w:t xml:space="preserve"> qui confère aux juges surveillants le pouvoir de favoriser la réalisation des objectifs réparateurs de cette loi, toute restriction à ce pouvoir discrétionnaire devrait être explicite et non équivoque (</w:t>
      </w:r>
      <w:r w:rsidRPr="00C35C2E">
        <w:rPr>
          <w:rFonts w:cs="Times New Roman"/>
          <w:i/>
          <w:lang w:val="fr-CA"/>
        </w:rPr>
        <w:t>9354</w:t>
      </w:r>
      <w:r w:rsidRPr="00C35C2E">
        <w:rPr>
          <w:rFonts w:cs="Times New Roman"/>
          <w:i/>
          <w:lang w:val="fr-CA"/>
        </w:rPr>
        <w:noBreakHyphen/>
        <w:t>9186 Québec inc. c. Callidus Capital Corp.</w:t>
      </w:r>
      <w:r w:rsidRPr="00C35C2E">
        <w:rPr>
          <w:rFonts w:cs="Times New Roman"/>
          <w:lang w:val="fr-CA"/>
        </w:rPr>
        <w:t>, 2020</w:t>
      </w:r>
      <w:r>
        <w:rPr>
          <w:rFonts w:cs="Times New Roman"/>
          <w:lang w:val="fr-CA"/>
        </w:rPr>
        <w:t xml:space="preserve"> </w:t>
      </w:r>
      <w:r w:rsidRPr="00C35C2E">
        <w:rPr>
          <w:rFonts w:cs="Times New Roman"/>
          <w:lang w:val="fr-CA"/>
        </w:rPr>
        <w:t xml:space="preserve">CSC 10, par. 48, citant </w:t>
      </w:r>
      <w:r w:rsidRPr="00C35C2E">
        <w:rPr>
          <w:rFonts w:cs="Times New Roman"/>
          <w:i/>
          <w:lang w:val="fr-CA"/>
        </w:rPr>
        <w:t>Stelco Inc. (Re)</w:t>
      </w:r>
      <w:r w:rsidRPr="00C35C2E">
        <w:rPr>
          <w:rFonts w:cs="Times New Roman"/>
          <w:lang w:val="fr-CA"/>
        </w:rPr>
        <w:t xml:space="preserve"> (2005), 75</w:t>
      </w:r>
      <w:r>
        <w:rPr>
          <w:rFonts w:cs="Times New Roman"/>
          <w:lang w:val="fr-CA"/>
        </w:rPr>
        <w:t xml:space="preserve"> </w:t>
      </w:r>
      <w:r w:rsidRPr="00C35C2E">
        <w:rPr>
          <w:rFonts w:cs="Times New Roman"/>
          <w:lang w:val="fr-CA"/>
        </w:rPr>
        <w:t xml:space="preserve">O.R. (3d) 5 (C.A.), par. 36). Avec égards, le par. 37(2) ne constitue pas une restriction explicite et non équivoque. Le paragraphe 37(2) est plutôt une simple exception au par. 37(1), qui vise à annuler l’effet </w:t>
      </w:r>
      <w:r w:rsidRPr="00C35C2E">
        <w:rPr>
          <w:rFonts w:cs="Times New Roman"/>
          <w:lang w:val="fr-CA"/>
        </w:rPr>
        <w:lastRenderedPageBreak/>
        <w:t>de toute disposition législative selon laquelle les biens sont réputés être détenus en faveur de la Couronne :</w:t>
      </w:r>
    </w:p>
    <w:p w:rsidR="00344043" w:rsidRPr="00C35C2E" w:rsidRDefault="00344043" w:rsidP="00344043">
      <w:pPr>
        <w:pStyle w:val="Citation-AltC"/>
        <w:spacing w:after="240"/>
        <w:ind w:hanging="446"/>
        <w:contextualSpacing w:val="0"/>
        <w:rPr>
          <w:lang w:val="fr-CA"/>
        </w:rPr>
      </w:pPr>
      <w:r w:rsidRPr="00C35C2E">
        <w:rPr>
          <w:rStyle w:val="sectionlabel"/>
          <w:lang w:val="fr-CA"/>
        </w:rPr>
        <w:tab/>
        <w:t>37</w:t>
      </w:r>
      <w:r w:rsidRPr="00C35C2E">
        <w:rPr>
          <w:lang w:val="fr-CA"/>
        </w:rPr>
        <w:t> </w:t>
      </w:r>
      <w:r w:rsidRPr="00C35C2E">
        <w:rPr>
          <w:rStyle w:val="lawlabel"/>
          <w:rFonts w:eastAsiaTheme="minorHAnsi"/>
          <w:b/>
          <w:bCs/>
          <w:lang w:val="fr-CA"/>
        </w:rPr>
        <w:t>(1)</w:t>
      </w:r>
      <w:r w:rsidRPr="00C35C2E">
        <w:rPr>
          <w:lang w:val="fr-CA"/>
        </w:rPr>
        <w:t> Sous réserve du paragraphe (2) et par dérogation à toute disposition législative fédérale ou provinciale ayant pour effet d’assimiler certains biens à des biens détenus en fiducie pour Sa Majesté, aucun des biens de la compagnie débitrice ne peut être considéré comme tel par le seul effet d’une telle disposition.</w:t>
      </w:r>
    </w:p>
    <w:p w:rsidR="00344043" w:rsidRPr="00C35C2E" w:rsidRDefault="00344043" w:rsidP="00344043">
      <w:pPr>
        <w:pStyle w:val="Citation-AltC"/>
        <w:ind w:hanging="446"/>
        <w:contextualSpacing w:val="0"/>
        <w:rPr>
          <w:lang w:val="fr-CA"/>
        </w:rPr>
      </w:pPr>
      <w:r w:rsidRPr="00C35C2E">
        <w:rPr>
          <w:rStyle w:val="lawlabel"/>
          <w:rFonts w:eastAsiaTheme="minorHAnsi"/>
          <w:b/>
          <w:bCs/>
          <w:lang w:val="fr-CA"/>
        </w:rPr>
        <w:tab/>
        <w:t>(2)</w:t>
      </w:r>
      <w:r w:rsidRPr="00C35C2E">
        <w:rPr>
          <w:lang w:val="fr-CA"/>
        </w:rPr>
        <w:t xml:space="preserve"> Le paragraphe (1) ne s’applique pas à l’égard des sommes réputées détenues en fiducie aux termes des paragraphes 227(4) ou (4.1) de la </w:t>
      </w:r>
      <w:r w:rsidRPr="00C35C2E">
        <w:rPr>
          <w:i/>
          <w:lang w:val="fr-CA"/>
        </w:rPr>
        <w:t>Loi de l’impôt sur le revenu</w:t>
      </w:r>
      <w:r>
        <w:rPr>
          <w:lang w:val="fr-CA"/>
        </w:rPr>
        <w:t xml:space="preserve"> </w:t>
      </w:r>
      <w:r w:rsidRPr="00C35C2E">
        <w:rPr>
          <w:lang w:val="fr-CA"/>
        </w:rPr>
        <w:t>. . .</w:t>
      </w:r>
    </w:p>
    <w:p w:rsidR="00344043" w:rsidRPr="00C35C2E" w:rsidRDefault="00344043" w:rsidP="00344043">
      <w:pPr>
        <w:pStyle w:val="ParaNoNdepar-AltN"/>
        <w:spacing w:before="0"/>
        <w:rPr>
          <w:rFonts w:cs="Times New Roman"/>
          <w:lang w:val="fr-CA"/>
        </w:rPr>
      </w:pPr>
      <w:r w:rsidRPr="00C35C2E">
        <w:rPr>
          <w:rFonts w:cs="Times New Roman"/>
          <w:lang w:val="fr-CA"/>
        </w:rPr>
        <w:t xml:space="preserve">En réalité, le par. 37(2) vise simplement à empêcher que la fiducie réputée de la Couronne en vertu du par. 227(4.1) soit éteinte par application du par. 37(1). Toutefois, bien qu’il vise à protéger l’intérêt de la Couronne, </w:t>
      </w:r>
      <w:r>
        <w:rPr>
          <w:rFonts w:cs="Times New Roman"/>
          <w:lang w:val="fr-CA"/>
        </w:rPr>
        <w:t>« </w:t>
      </w:r>
      <w:r w:rsidRPr="00C35C2E">
        <w:rPr>
          <w:rFonts w:cs="Times New Roman"/>
          <w:lang w:val="fr-CA"/>
        </w:rPr>
        <w:t xml:space="preserve">le par. 37(2) n’explique pas quoi faire de ce droit dans le cadre d’une procédure engagée sous le régime de la </w:t>
      </w:r>
      <w:r w:rsidRPr="00C35C2E">
        <w:rPr>
          <w:rFonts w:cs="Times New Roman"/>
          <w:i/>
          <w:lang w:val="fr-CA"/>
        </w:rPr>
        <w:t>LACC</w:t>
      </w:r>
      <w:r w:rsidRPr="00C35C2E">
        <w:rPr>
          <w:rFonts w:cs="Times New Roman"/>
          <w:lang w:val="fr-CA"/>
        </w:rPr>
        <w:t> », et il ne renferme aucune disposition qui limiterait le pouvoir que possède le tribunal en vertu de l’art. 11 d’ordonner que des charges super prioritaires prennent rang devant la fiducie réputée de la Couronne (motifs de la juge Karakatsanis, par. </w:t>
      </w:r>
      <w:r w:rsidRPr="0081443A">
        <w:rPr>
          <w:rFonts w:cs="Times New Roman"/>
          <w:lang w:val="fr-CA"/>
        </w:rPr>
        <w:t>153</w:t>
      </w:r>
      <w:r w:rsidRPr="00C35C2E">
        <w:rPr>
          <w:rFonts w:cs="Times New Roman"/>
          <w:lang w:val="fr-CA"/>
        </w:rPr>
        <w:t xml:space="preserve">). D’ailleurs, comme le signale la juge Karakatsanis, « [a]ucune disposition de la </w:t>
      </w:r>
      <w:r w:rsidRPr="00C35C2E">
        <w:rPr>
          <w:rFonts w:cs="Times New Roman"/>
          <w:i/>
          <w:lang w:val="fr-CA"/>
        </w:rPr>
        <w:t>LACC</w:t>
      </w:r>
      <w:r w:rsidRPr="00C35C2E">
        <w:rPr>
          <w:rFonts w:cs="Times New Roman"/>
          <w:lang w:val="fr-CA"/>
        </w:rPr>
        <w:t xml:space="preserve"> n’indique ce que le tribunal peut faire avec les biens de la fiducie et aucune disposition de la </w:t>
      </w:r>
      <w:r w:rsidRPr="00C35C2E">
        <w:rPr>
          <w:rFonts w:cs="Times New Roman"/>
          <w:i/>
          <w:lang w:val="fr-CA"/>
        </w:rPr>
        <w:t>LACC</w:t>
      </w:r>
      <w:r w:rsidRPr="00C35C2E">
        <w:rPr>
          <w:rFonts w:cs="Times New Roman"/>
          <w:lang w:val="fr-CA"/>
        </w:rPr>
        <w:t xml:space="preserve"> ne confère plus précisément compétence pour décider si une charge super prioritaire peut prendre rang devant le bénéficiaire de la fiducie réputée » (par. </w:t>
      </w:r>
      <w:r w:rsidRPr="0081443A">
        <w:rPr>
          <w:rFonts w:cs="Times New Roman"/>
          <w:lang w:val="fr-CA"/>
        </w:rPr>
        <w:t>176</w:t>
      </w:r>
      <w:r w:rsidRPr="00C35C2E">
        <w:rPr>
          <w:rFonts w:cs="Times New Roman"/>
          <w:lang w:val="fr-CA"/>
        </w:rPr>
        <w:t xml:space="preserve">). Au contraire, ce n’est en fait que lorsqu’on examine le par. 227(4.1) que la priorité absolue de l’intérêt de la Couronne — et les limites qui découlent de l’art. 11 — deviennent apparentes. Il n’est donc pas parfaitement clair que le fait d’interpréter le par. 37(2) comme une restriction interne s’accorde avec le rôle que joue le par. 37(2) </w:t>
      </w:r>
      <w:r w:rsidRPr="00C35C2E">
        <w:rPr>
          <w:rFonts w:cs="Times New Roman"/>
          <w:lang w:val="fr-CA"/>
        </w:rPr>
        <w:lastRenderedPageBreak/>
        <w:t>ou avec la latitude que le législateur souhaitait donner au tribunal dans l’exercice des pouvoirs que lui confère l’art. 11. En d’autres termes, le lien entre l’art. 11 et le par. 37(2) n’est peut</w:t>
      </w:r>
      <w:r w:rsidRPr="00C35C2E">
        <w:rPr>
          <w:rFonts w:cs="Times New Roman"/>
          <w:lang w:val="fr-CA"/>
        </w:rPr>
        <w:noBreakHyphen/>
        <w:t xml:space="preserve">être pas aussi évident que semblent le suggérer mes collègues. Par conséquent, même si je conviens en fin de compte avec les juges Brown et Rowe que le par. 37(2) peut être interprété comme une restriction interne afin d’éviter un conflit entre la </w:t>
      </w:r>
      <w:r w:rsidRPr="00C35C2E">
        <w:rPr>
          <w:rFonts w:cs="Times New Roman"/>
          <w:i/>
          <w:iCs/>
          <w:lang w:val="fr-CA"/>
        </w:rPr>
        <w:t xml:space="preserve">LACC </w:t>
      </w:r>
      <w:r w:rsidRPr="00C35C2E">
        <w:rPr>
          <w:rFonts w:cs="Times New Roman"/>
          <w:lang w:val="fr-CA"/>
        </w:rPr>
        <w:t xml:space="preserve">et la </w:t>
      </w:r>
      <w:r w:rsidRPr="00C35C2E">
        <w:rPr>
          <w:rFonts w:cs="Times New Roman"/>
          <w:i/>
          <w:iCs/>
          <w:lang w:val="fr-CA"/>
        </w:rPr>
        <w:t>LIR</w:t>
      </w:r>
      <w:r w:rsidRPr="00C35C2E">
        <w:rPr>
          <w:rFonts w:cs="Times New Roman"/>
          <w:lang w:val="fr-CA"/>
        </w:rPr>
        <w:t>, je juge important d’expliquer que, si cette interprétation est inexacte, la portée de l’art. 11 est néanmoins restreinte par le libellé externe du par. 227(4.1).</w:t>
      </w:r>
    </w:p>
    <w:p w:rsidR="00344043" w:rsidRPr="00C35C2E" w:rsidRDefault="00344043" w:rsidP="00344043">
      <w:pPr>
        <w:pStyle w:val="ParaNoNdepar-AltN"/>
        <w:spacing w:before="0"/>
        <w:rPr>
          <w:rFonts w:cs="Times New Roman"/>
          <w:lang w:val="fr-CA"/>
        </w:rPr>
      </w:pPr>
      <w:r w:rsidRPr="00C35C2E">
        <w:rPr>
          <w:rFonts w:cs="Times New Roman"/>
          <w:lang w:val="fr-CA"/>
        </w:rPr>
        <w:t xml:space="preserve">Si le par. 37(2) n’équivaut pas à une restriction interne à l’art. 11, recourir à l’art. 11 pour faire passer une charge super prioritaire devant la réclamation de la Couronne au titre d’une fiducie réputée entrerait en conflit direct avec le par. 227(4.1), ce qui, comme mes collègues les juges Brown et Rowe l’expliquent, exige que la réclamation de la Couronne prenne rang avant toutes les garanties, y compris les charges super prioritaires. Ce conflit direct entraînerait l’application de la disposition restrictive du par. 227(4.1), à savoir que « [m]algré [. . .] tout autre texte législatif fédéral », la réclamation de la Couronne doit avoir priorité. Cette disposition impose donc une limite externe au pouvoir que l’art. 11 confère au tribunal. En fait, la primauté du par. 227(4.1) est implicitement reconnue par le texte de l’art. 11 car, contrairement au par. 227(4.1), qui s’applique « [m]algré [. . .] tout autre texte législatif fédéral », l’art. 11 ne s’applique que « [m]algré toute disposition de la </w:t>
      </w:r>
      <w:r w:rsidRPr="00C35C2E">
        <w:rPr>
          <w:rFonts w:cs="Times New Roman"/>
          <w:i/>
          <w:lang w:val="fr-CA"/>
        </w:rPr>
        <w:t>Loi sur la faillite et l’insolvabilité</w:t>
      </w:r>
      <w:r w:rsidRPr="00C35C2E">
        <w:rPr>
          <w:rFonts w:cs="Times New Roman"/>
          <w:lang w:val="fr-CA"/>
        </w:rPr>
        <w:t xml:space="preserve"> ou de la </w:t>
      </w:r>
      <w:r w:rsidRPr="00C35C2E">
        <w:rPr>
          <w:rFonts w:cs="Times New Roman"/>
          <w:i/>
          <w:lang w:val="fr-CA"/>
        </w:rPr>
        <w:t>Loi sur les liquidations et les restructurations </w:t>
      </w:r>
      <w:r w:rsidRPr="00D17011">
        <w:rPr>
          <w:rFonts w:cs="Times New Roman"/>
          <w:lang w:val="fr-CA"/>
        </w:rPr>
        <w:t>»</w:t>
      </w:r>
      <w:r w:rsidRPr="00C35C2E">
        <w:rPr>
          <w:rFonts w:cs="Times New Roman"/>
          <w:lang w:val="fr-CA"/>
        </w:rPr>
        <w:t xml:space="preserve">, mais non malgré toute disposition de la </w:t>
      </w:r>
      <w:r w:rsidRPr="00C35C2E">
        <w:rPr>
          <w:rFonts w:cs="Times New Roman"/>
          <w:i/>
          <w:lang w:val="fr-CA"/>
        </w:rPr>
        <w:t>LIR</w:t>
      </w:r>
      <w:r w:rsidRPr="00C35C2E">
        <w:rPr>
          <w:rFonts w:cs="Times New Roman"/>
          <w:lang w:val="fr-CA"/>
        </w:rPr>
        <w:t xml:space="preserve">. Par conséquent, bien que le pouvoir discrétionnaire </w:t>
      </w:r>
      <w:r w:rsidRPr="00C35C2E">
        <w:rPr>
          <w:rFonts w:cs="Times New Roman"/>
          <w:lang w:val="fr-CA"/>
        </w:rPr>
        <w:lastRenderedPageBreak/>
        <w:t xml:space="preserve">conféré </w:t>
      </w:r>
      <w:r>
        <w:rPr>
          <w:rFonts w:cs="Times New Roman"/>
          <w:lang w:val="fr-CA"/>
        </w:rPr>
        <w:t>par l’</w:t>
      </w:r>
      <w:r w:rsidRPr="00C35C2E">
        <w:rPr>
          <w:rFonts w:cs="Times New Roman"/>
          <w:lang w:val="fr-CA"/>
        </w:rPr>
        <w:t>art. 11 au tribunal permette en théorie à celui</w:t>
      </w:r>
      <w:r w:rsidRPr="00C35C2E">
        <w:rPr>
          <w:rFonts w:cs="Times New Roman"/>
          <w:lang w:val="fr-CA"/>
        </w:rPr>
        <w:noBreakHyphen/>
        <w:t>ci de subordonner l’intérêt de la Couronne dans les retenues à la source non versées à d’autres intérêts, ce pouvoir est en définitive restreint par les termes exprès du par. 227(4.1).</w:t>
      </w:r>
    </w:p>
    <w:p w:rsidR="00344043" w:rsidRPr="00C35C2E" w:rsidRDefault="00344043" w:rsidP="00344043">
      <w:pPr>
        <w:pStyle w:val="ParaNoNdepar-AltN"/>
        <w:spacing w:before="0"/>
        <w:rPr>
          <w:rFonts w:cs="Times New Roman"/>
          <w:lang w:val="fr-CA"/>
        </w:rPr>
      </w:pPr>
      <w:r w:rsidRPr="00C35C2E">
        <w:rPr>
          <w:rFonts w:cs="Times New Roman"/>
          <w:lang w:val="fr-CA"/>
        </w:rPr>
        <w:t>En exposant cette position, j’estime important de situer dans son contexte l’affirmation de notre Cour dans l’arrêt</w:t>
      </w:r>
      <w:r w:rsidRPr="00C35C2E">
        <w:rPr>
          <w:rFonts w:cs="Times New Roman"/>
          <w:i/>
          <w:lang w:val="fr-CA"/>
        </w:rPr>
        <w:t xml:space="preserve"> Callidus </w:t>
      </w:r>
      <w:r w:rsidRPr="00C35C2E">
        <w:rPr>
          <w:rFonts w:cs="Times New Roman"/>
          <w:lang w:val="fr-CA"/>
        </w:rPr>
        <w:t xml:space="preserve">selon laquelle « le pouvoir conféré par l’art. 11 n’est limité que par les restrictions imposées par la </w:t>
      </w:r>
      <w:r w:rsidRPr="00C35C2E">
        <w:rPr>
          <w:rFonts w:cs="Times New Roman"/>
          <w:i/>
          <w:lang w:val="fr-CA"/>
        </w:rPr>
        <w:t>LACC</w:t>
      </w:r>
      <w:r w:rsidRPr="00C35C2E">
        <w:rPr>
          <w:rFonts w:cs="Times New Roman"/>
          <w:lang w:val="fr-CA"/>
        </w:rPr>
        <w:t xml:space="preserve"> elle</w:t>
      </w:r>
      <w:r w:rsidRPr="00C35C2E">
        <w:rPr>
          <w:rFonts w:cs="Times New Roman"/>
          <w:lang w:val="fr-CA"/>
        </w:rPr>
        <w:noBreakHyphen/>
        <w:t xml:space="preserve">même, ainsi que par l’exigence que l’ordonnance soit “indiquée” dans les circonstances » (par. 67). L’arrêt </w:t>
      </w:r>
      <w:r w:rsidRPr="00C35C2E">
        <w:rPr>
          <w:rFonts w:cs="Times New Roman"/>
          <w:i/>
          <w:lang w:val="fr-CA"/>
        </w:rPr>
        <w:t>Callidus</w:t>
      </w:r>
      <w:r w:rsidRPr="00C35C2E">
        <w:rPr>
          <w:rFonts w:cs="Times New Roman"/>
          <w:lang w:val="fr-CA"/>
        </w:rPr>
        <w:t xml:space="preserve"> mettait l’accent sur l’exercice du pouvoir discrétionnaire du juge surveillant nommé sous le régime de la </w:t>
      </w:r>
      <w:r w:rsidRPr="00C35C2E">
        <w:rPr>
          <w:rFonts w:cs="Times New Roman"/>
          <w:i/>
          <w:lang w:val="fr-CA"/>
        </w:rPr>
        <w:t>LACC</w:t>
      </w:r>
      <w:r w:rsidRPr="00C35C2E">
        <w:rPr>
          <w:rFonts w:cs="Times New Roman"/>
          <w:lang w:val="fr-CA"/>
        </w:rPr>
        <w:t xml:space="preserve"> à l’intérieur des limites imposées par la </w:t>
      </w:r>
      <w:r w:rsidRPr="00C35C2E">
        <w:rPr>
          <w:rFonts w:cs="Times New Roman"/>
          <w:i/>
          <w:lang w:val="fr-CA"/>
        </w:rPr>
        <w:t>LACC</w:t>
      </w:r>
      <w:r w:rsidRPr="00C35C2E">
        <w:rPr>
          <w:rFonts w:cs="Times New Roman"/>
          <w:lang w:val="fr-CA"/>
        </w:rPr>
        <w:t xml:space="preserve"> elle</w:t>
      </w:r>
      <w:r w:rsidRPr="00C35C2E">
        <w:rPr>
          <w:rFonts w:cs="Times New Roman"/>
          <w:lang w:val="fr-CA"/>
        </w:rPr>
        <w:noBreakHyphen/>
        <w:t xml:space="preserve">même, et non pas sur la question du pouvoir du juge d’appliquer l’art. 11 malgré une loi fédérale prépondérante. Avec égards, lorsque, comme en l’espèce, le législateur prévoit expressément qu’une loi a priorité sur les dispositions de la </w:t>
      </w:r>
      <w:r w:rsidRPr="00C35C2E">
        <w:rPr>
          <w:rFonts w:cs="Times New Roman"/>
          <w:i/>
          <w:lang w:val="fr-CA"/>
        </w:rPr>
        <w:t>LACC</w:t>
      </w:r>
      <w:r w:rsidRPr="00C35C2E">
        <w:rPr>
          <w:rFonts w:cs="Times New Roman"/>
          <w:lang w:val="fr-CA"/>
        </w:rPr>
        <w:t>, le pouvoir conféré par l’art. 11 au tribunal est restreint en conséquence.</w:t>
      </w:r>
    </w:p>
    <w:p w:rsidR="00344043" w:rsidRPr="00C35C2E" w:rsidRDefault="00344043" w:rsidP="00344043">
      <w:pPr>
        <w:pStyle w:val="ParaNoNdepar-AltN"/>
        <w:spacing w:before="0"/>
        <w:rPr>
          <w:rFonts w:cs="Times New Roman"/>
          <w:lang w:val="fr-CA"/>
        </w:rPr>
      </w:pPr>
      <w:r w:rsidRPr="00C35C2E">
        <w:rPr>
          <w:rFonts w:cs="Times New Roman"/>
          <w:lang w:val="fr-CA"/>
        </w:rPr>
        <w:t>La réclamation de la Couronne au titre d’une fiducie réputée a donc priorité sur toutes les charges super prioritaires d’origine judiciaire, peu importe que celles</w:t>
      </w:r>
      <w:r w:rsidRPr="00C35C2E">
        <w:rPr>
          <w:rFonts w:cs="Times New Roman"/>
          <w:lang w:val="fr-CA"/>
        </w:rPr>
        <w:noBreakHyphen/>
        <w:t>ci aient été créées en vertu des dispositions expresses à cet effet ou en vertu du pouvoir discrétionnaire du tribunal.</w:t>
      </w:r>
    </w:p>
    <w:p w:rsidR="00344043" w:rsidRPr="00C35C2E" w:rsidRDefault="00344043" w:rsidP="00344043">
      <w:pPr>
        <w:pStyle w:val="ParaNoNdepar-AltN"/>
        <w:spacing w:before="0"/>
        <w:rPr>
          <w:rFonts w:cs="Times New Roman"/>
          <w:lang w:val="fr-CA"/>
        </w:rPr>
      </w:pPr>
      <w:r w:rsidRPr="00C35C2E">
        <w:rPr>
          <w:rFonts w:cs="Times New Roman"/>
          <w:lang w:val="fr-CA"/>
        </w:rPr>
        <w:t xml:space="preserve">Une conséquence nécessaire de la primauté absolue dont jouit la réclamation de la Couronne au titre d’une fiducie présumée sur les charges super prioritaires d’origine judiciaire est que le par. 6(3) de la </w:t>
      </w:r>
      <w:r w:rsidRPr="00C35C2E">
        <w:rPr>
          <w:rFonts w:cs="Times New Roman"/>
          <w:i/>
          <w:lang w:val="fr-CA"/>
        </w:rPr>
        <w:t>LACC</w:t>
      </w:r>
      <w:r w:rsidRPr="00C35C2E">
        <w:rPr>
          <w:rFonts w:cs="Times New Roman"/>
          <w:lang w:val="fr-CA"/>
        </w:rPr>
        <w:t xml:space="preserve"> ne permet pas de donner </w:t>
      </w:r>
      <w:r w:rsidRPr="00C35C2E">
        <w:rPr>
          <w:rFonts w:cs="Times New Roman"/>
          <w:lang w:val="fr-CA"/>
        </w:rPr>
        <w:lastRenderedPageBreak/>
        <w:t xml:space="preserve">effet à l’intérêt conféré à la Couronne par le par. 227(4.1). Le paragraphe 6(3) de la </w:t>
      </w:r>
      <w:r w:rsidRPr="00C35C2E">
        <w:rPr>
          <w:rFonts w:cs="Times New Roman"/>
          <w:i/>
          <w:lang w:val="fr-CA"/>
        </w:rPr>
        <w:t>LACC</w:t>
      </w:r>
      <w:r w:rsidRPr="00C35C2E">
        <w:rPr>
          <w:rFonts w:cs="Times New Roman"/>
          <w:lang w:val="fr-CA"/>
        </w:rPr>
        <w:t xml:space="preserve"> prévoit ce qui suit :</w:t>
      </w:r>
    </w:p>
    <w:p w:rsidR="00344043" w:rsidRPr="00C35C2E" w:rsidRDefault="00344043" w:rsidP="00344043">
      <w:pPr>
        <w:pStyle w:val="Citation-AltC"/>
        <w:tabs>
          <w:tab w:val="left" w:pos="1440"/>
        </w:tabs>
        <w:spacing w:after="240"/>
        <w:contextualSpacing w:val="0"/>
        <w:rPr>
          <w:lang w:val="fr-CA"/>
        </w:rPr>
      </w:pPr>
      <w:r w:rsidRPr="00C35C2E">
        <w:rPr>
          <w:lang w:val="fr-CA"/>
        </w:rPr>
        <w:tab/>
        <w:t>Le tribunal ne peut, sans le consentement de Sa Majesté, homologuer la transaction ou l’arrangement qui ne prévoit pas le paiement intégral à Sa Majesté du chef du Canada ou d’une province, dans les six mois suivant l’homologation, de toutes les sommes qui étaient dues lors de la demande d’ordonnance visée aux articles 11 ou 11.02 et qui pourraient, de par leur nature, faire l’objet d’une demande aux termes d’une des dispositions suivantes :</w:t>
      </w:r>
    </w:p>
    <w:p w:rsidR="00344043" w:rsidRPr="00C35C2E" w:rsidRDefault="00344043" w:rsidP="00344043">
      <w:pPr>
        <w:pStyle w:val="Citation-AltC"/>
        <w:tabs>
          <w:tab w:val="left" w:pos="1440"/>
        </w:tabs>
        <w:contextualSpacing w:val="0"/>
        <w:rPr>
          <w:lang w:val="fr-CA"/>
        </w:rPr>
      </w:pPr>
      <w:r w:rsidRPr="00C35C2E">
        <w:rPr>
          <w:b/>
          <w:lang w:val="fr-CA"/>
        </w:rPr>
        <w:tab/>
        <w:t>a)</w:t>
      </w:r>
      <w:r w:rsidRPr="00C35C2E">
        <w:rPr>
          <w:lang w:val="fr-CA"/>
        </w:rPr>
        <w:t xml:space="preserve"> le paragraphe 224(1.2) de la </w:t>
      </w:r>
      <w:r w:rsidRPr="00C35C2E">
        <w:rPr>
          <w:i/>
          <w:lang w:val="fr-CA"/>
        </w:rPr>
        <w:t>Loi de l’impôt sur le revenu</w:t>
      </w:r>
      <w:r w:rsidRPr="00C35C2E">
        <w:rPr>
          <w:lang w:val="fr-CA"/>
        </w:rPr>
        <w:t> . . .</w:t>
      </w:r>
    </w:p>
    <w:p w:rsidR="00344043" w:rsidRPr="00C35C2E" w:rsidRDefault="00344043" w:rsidP="00344043">
      <w:pPr>
        <w:pStyle w:val="ParaNoNdepar-AltN"/>
        <w:spacing w:before="0"/>
        <w:rPr>
          <w:rFonts w:cs="Times New Roman"/>
          <w:lang w:val="fr-CA"/>
        </w:rPr>
      </w:pPr>
      <w:r w:rsidRPr="00C35C2E">
        <w:rPr>
          <w:rFonts w:cs="Times New Roman"/>
          <w:lang w:val="fr-CA"/>
        </w:rPr>
        <w:t xml:space="preserve">À mon avis, deux raisons expliquent pourquoi le par. 6(3) ne s’applique pas à l’intérêt conféré à la Couronne par le par. 227(4.1). Premièrement, le par. 6(3) vise à établir un délai pour le paiement de certaines créances de la Couronne en souffrance au cas où la compagnie débitrice parviendrait à assurer sa viabilité. À l’inverse, le par. 227(4.1) vise à accorder </w:t>
      </w:r>
      <w:r w:rsidRPr="00C35C2E">
        <w:rPr>
          <w:rFonts w:cs="Times New Roman"/>
          <w:i/>
          <w:lang w:val="fr-CA"/>
        </w:rPr>
        <w:t>priorité</w:t>
      </w:r>
      <w:r w:rsidRPr="00C35C2E">
        <w:rPr>
          <w:rFonts w:cs="Times New Roman"/>
          <w:lang w:val="fr-CA"/>
        </w:rPr>
        <w:t xml:space="preserve"> à la réclamation de la Couronne. La différence essentielle ici est que, par application du par. 6(3), la Couronne pourrait être reléguée au dernier rang à la condition qu’elle soit payée dans les six mois suivant tout arrangement. Un tel résultat serait de toute évidence incompatible avec la priorité absolue que la </w:t>
      </w:r>
      <w:r w:rsidRPr="00C35C2E">
        <w:rPr>
          <w:rFonts w:cs="Times New Roman"/>
          <w:i/>
          <w:lang w:val="fr-CA"/>
        </w:rPr>
        <w:t>LACC</w:t>
      </w:r>
      <w:r w:rsidRPr="00C35C2E">
        <w:rPr>
          <w:rFonts w:cs="Times New Roman"/>
          <w:lang w:val="fr-CA"/>
        </w:rPr>
        <w:t xml:space="preserve"> et la </w:t>
      </w:r>
      <w:r w:rsidRPr="00C35C2E">
        <w:rPr>
          <w:rFonts w:cs="Times New Roman"/>
          <w:i/>
          <w:lang w:val="fr-CA"/>
        </w:rPr>
        <w:t>LIR</w:t>
      </w:r>
      <w:r w:rsidRPr="00C35C2E">
        <w:rPr>
          <w:rFonts w:cs="Times New Roman"/>
          <w:lang w:val="fr-CA"/>
        </w:rPr>
        <w:t xml:space="preserve"> accordent à la réclamation de la Couronne.</w:t>
      </w:r>
      <w:r w:rsidRPr="00C35C2E">
        <w:rPr>
          <w:rFonts w:cs="Times New Roman"/>
          <w:i/>
          <w:lang w:val="fr-CA"/>
        </w:rPr>
        <w:t xml:space="preserve"> </w:t>
      </w:r>
      <w:r w:rsidRPr="00C35C2E">
        <w:rPr>
          <w:rFonts w:cs="Times New Roman"/>
          <w:lang w:val="fr-CA"/>
        </w:rPr>
        <w:t xml:space="preserve">Deuxièmement, comme le par. 6(3) ne s’applique que si les parties concluent une transaction ou parviennent à un arrangement, la réclamation de la Couronne au titre d’une fiducie réputée ne serait pas opposable en cas de liquidation sous le régime de la </w:t>
      </w:r>
      <w:r w:rsidRPr="00C35C2E">
        <w:rPr>
          <w:rFonts w:cs="Times New Roman"/>
          <w:i/>
          <w:lang w:val="fr-CA"/>
        </w:rPr>
        <w:t>LACC</w:t>
      </w:r>
      <w:r w:rsidRPr="00C35C2E">
        <w:rPr>
          <w:rFonts w:cs="Times New Roman"/>
          <w:lang w:val="fr-CA"/>
        </w:rPr>
        <w:t xml:space="preserve">; la Couronne perdrait alors sa priorité au profit d’autres garanties. Là encore, cette conséquence possible irait à l’encontre de l’objectif clair de la </w:t>
      </w:r>
      <w:r w:rsidRPr="00C35C2E">
        <w:rPr>
          <w:rFonts w:cs="Times New Roman"/>
          <w:i/>
          <w:lang w:val="fr-CA"/>
        </w:rPr>
        <w:t>LACC</w:t>
      </w:r>
      <w:r w:rsidRPr="00C35C2E">
        <w:rPr>
          <w:rFonts w:cs="Times New Roman"/>
          <w:lang w:val="fr-CA"/>
        </w:rPr>
        <w:t xml:space="preserve"> et de la </w:t>
      </w:r>
      <w:r w:rsidRPr="00C35C2E">
        <w:rPr>
          <w:rFonts w:cs="Times New Roman"/>
          <w:i/>
          <w:lang w:val="fr-CA"/>
        </w:rPr>
        <w:t>LIR</w:t>
      </w:r>
      <w:r w:rsidRPr="00C35C2E">
        <w:rPr>
          <w:rFonts w:cs="Times New Roman"/>
          <w:lang w:val="fr-CA"/>
        </w:rPr>
        <w:t>.</w:t>
      </w:r>
    </w:p>
    <w:p w:rsidR="00344043" w:rsidRPr="00C35C2E" w:rsidRDefault="00344043" w:rsidP="00344043">
      <w:pPr>
        <w:pStyle w:val="ParaNoNdepar-AltN"/>
        <w:spacing w:before="0"/>
        <w:rPr>
          <w:rFonts w:cs="Times New Roman"/>
          <w:lang w:val="fr-CA"/>
        </w:rPr>
      </w:pPr>
      <w:r w:rsidRPr="00C35C2E">
        <w:rPr>
          <w:rFonts w:cs="Times New Roman"/>
          <w:lang w:val="fr-CA"/>
        </w:rPr>
        <w:lastRenderedPageBreak/>
        <w:t xml:space="preserve">Avant de conclure, je ferai remarquer qu’il ne fait aucun doute que le législateur a réfléchi aux conséquences possibles de ses mesures législatives, y compris sur les procédures engagées sous le régime de la </w:t>
      </w:r>
      <w:r w:rsidRPr="00C35C2E">
        <w:rPr>
          <w:rFonts w:cs="Times New Roman"/>
          <w:i/>
          <w:lang w:val="fr-CA"/>
        </w:rPr>
        <w:t>LACC</w:t>
      </w:r>
      <w:r w:rsidRPr="00C35C2E">
        <w:rPr>
          <w:rFonts w:cs="Times New Roman"/>
          <w:lang w:val="fr-CA"/>
        </w:rPr>
        <w:t xml:space="preserve">. S’il devait arriver que la priorité accordée à la réclamation de la Couronne menace la viabilité d’une restructuration, c’est de toute évidence à la Couronne qu’il appartient de faire preuve de souplesse afin d’éviter toute conséquence qui compromettrait l’objet réparateur de la </w:t>
      </w:r>
      <w:r w:rsidRPr="00C35C2E">
        <w:rPr>
          <w:rFonts w:cs="Times New Roman"/>
          <w:i/>
          <w:lang w:val="fr-CA"/>
        </w:rPr>
        <w:t>LACC</w:t>
      </w:r>
      <w:r w:rsidRPr="00C35C2E">
        <w:rPr>
          <w:rFonts w:cs="Times New Roman"/>
          <w:lang w:val="fr-CA"/>
        </w:rPr>
        <w:t>.</w:t>
      </w:r>
    </w:p>
    <w:p w:rsidR="00344043" w:rsidRPr="00C35C2E" w:rsidRDefault="00344043" w:rsidP="00344043">
      <w:pPr>
        <w:pStyle w:val="ParaNoNdepar-AltN"/>
        <w:spacing w:before="0"/>
        <w:rPr>
          <w:rFonts w:cs="Times New Roman"/>
          <w:lang w:val="fr-CA"/>
        </w:rPr>
      </w:pPr>
      <w:r w:rsidRPr="00C35C2E">
        <w:rPr>
          <w:rFonts w:cs="Times New Roman"/>
          <w:lang w:val="fr-CA"/>
        </w:rPr>
        <w:t xml:space="preserve">Je suis donc d’avis d’accueillir le pourvoi. Les intimées ont droit aux dépens devant notre Cour conformément à l’annexe B des </w:t>
      </w:r>
      <w:r w:rsidRPr="00C35C2E">
        <w:rPr>
          <w:rFonts w:cs="Times New Roman"/>
          <w:i/>
          <w:lang w:val="fr-CA"/>
        </w:rPr>
        <w:t>Règles de la Cour suprême du Canada</w:t>
      </w:r>
      <w:r w:rsidRPr="00C35C2E">
        <w:rPr>
          <w:rFonts w:cs="Times New Roman"/>
          <w:lang w:val="fr-CA"/>
        </w:rPr>
        <w:t>, DORS/2002</w:t>
      </w:r>
      <w:r w:rsidRPr="00C35C2E">
        <w:rPr>
          <w:rFonts w:cs="Times New Roman"/>
          <w:lang w:val="fr-CA"/>
        </w:rPr>
        <w:noBreakHyphen/>
        <w:t>156.</w:t>
      </w:r>
    </w:p>
    <w:p w:rsidR="00344043" w:rsidRPr="00B77582" w:rsidRDefault="00344043" w:rsidP="00213F87">
      <w:pPr>
        <w:pStyle w:val="SCCNormalDoubleSpacing"/>
        <w:spacing w:after="480"/>
        <w:rPr>
          <w:lang w:val="fr-CA"/>
        </w:rPr>
      </w:pPr>
    </w:p>
    <w:p w:rsidR="004D7D95" w:rsidRPr="005435E7" w:rsidRDefault="00485465" w:rsidP="00213F87">
      <w:pPr>
        <w:pStyle w:val="SCCNormalDoubleSpacing"/>
        <w:spacing w:after="480"/>
        <w:rPr>
          <w:lang w:val="fr-CA"/>
        </w:rPr>
      </w:pPr>
      <w:r>
        <w:rPr>
          <w:lang w:val="fr-CA"/>
        </w:rPr>
        <w:tab/>
      </w:r>
      <w:r w:rsidRPr="005435E7">
        <w:rPr>
          <w:i/>
          <w:lang w:val="fr-CA"/>
        </w:rPr>
        <w:t>Pourvoi</w:t>
      </w:r>
      <w:r w:rsidR="00A21855" w:rsidRPr="005435E7">
        <w:rPr>
          <w:i/>
          <w:lang w:val="fr-CA"/>
        </w:rPr>
        <w:t xml:space="preserve"> rejeté avec dépens, les juges </w:t>
      </w:r>
      <w:r w:rsidR="00A21855" w:rsidRPr="005435E7">
        <w:rPr>
          <w:smallCaps/>
          <w:lang w:val="fr-CA"/>
        </w:rPr>
        <w:t>Abella</w:t>
      </w:r>
      <w:r w:rsidR="00A21855" w:rsidRPr="005435E7">
        <w:rPr>
          <w:i/>
          <w:lang w:val="fr-CA"/>
        </w:rPr>
        <w:t xml:space="preserve">, </w:t>
      </w:r>
      <w:r w:rsidR="00A21855" w:rsidRPr="005435E7">
        <w:rPr>
          <w:smallCaps/>
          <w:lang w:val="fr-CA"/>
        </w:rPr>
        <w:t>Moldaver</w:t>
      </w:r>
      <w:r w:rsidR="00A21855" w:rsidRPr="005435E7">
        <w:rPr>
          <w:i/>
          <w:lang w:val="fr-CA"/>
        </w:rPr>
        <w:t xml:space="preserve">, </w:t>
      </w:r>
      <w:r w:rsidR="00A21855" w:rsidRPr="005435E7">
        <w:rPr>
          <w:smallCaps/>
          <w:lang w:val="fr-CA"/>
        </w:rPr>
        <w:t xml:space="preserve">Brown </w:t>
      </w:r>
      <w:r w:rsidR="00A21855" w:rsidRPr="005435E7">
        <w:rPr>
          <w:i/>
          <w:lang w:val="fr-CA"/>
        </w:rPr>
        <w:t xml:space="preserve">et </w:t>
      </w:r>
      <w:r w:rsidR="00A21855" w:rsidRPr="005435E7">
        <w:rPr>
          <w:smallCaps/>
          <w:lang w:val="fr-CA"/>
        </w:rPr>
        <w:t>Rowe</w:t>
      </w:r>
      <w:r w:rsidR="005435E7" w:rsidRPr="005435E7">
        <w:rPr>
          <w:smallCaps/>
          <w:lang w:val="fr-CA"/>
        </w:rPr>
        <w:t xml:space="preserve"> </w:t>
      </w:r>
      <w:r w:rsidR="005435E7" w:rsidRPr="005435E7">
        <w:rPr>
          <w:i/>
          <w:lang w:val="fr-CA"/>
        </w:rPr>
        <w:t>sont dissidents</w:t>
      </w:r>
      <w:r w:rsidR="00486557" w:rsidRPr="005435E7">
        <w:rPr>
          <w:i/>
          <w:lang w:val="fr-CA"/>
        </w:rPr>
        <w:t>.</w:t>
      </w:r>
    </w:p>
    <w:p w:rsidR="008826BD" w:rsidRPr="00485465" w:rsidRDefault="00485465" w:rsidP="00213F87">
      <w:pPr>
        <w:pStyle w:val="SCCLawFirm"/>
        <w:spacing w:after="480"/>
        <w:rPr>
          <w:lang w:val="fr-CA"/>
        </w:rPr>
      </w:pPr>
      <w:r w:rsidRPr="005435E7">
        <w:rPr>
          <w:lang w:val="fr-CA"/>
        </w:rPr>
        <w:tab/>
        <w:t>Procureur de l</w:t>
      </w:r>
      <w:r w:rsidR="00B77582" w:rsidRPr="005435E7">
        <w:rPr>
          <w:lang w:val="fr-CA"/>
        </w:rPr>
        <w:t>’</w:t>
      </w:r>
      <w:r w:rsidRPr="005435E7">
        <w:rPr>
          <w:lang w:val="fr-CA"/>
        </w:rPr>
        <w:t>appelante : Procureur</w:t>
      </w:r>
      <w:r w:rsidRPr="00485465">
        <w:rPr>
          <w:lang w:val="fr-CA"/>
        </w:rPr>
        <w:t xml:space="preserve"> général du Canada, Vancouver.</w:t>
      </w:r>
    </w:p>
    <w:p w:rsidR="008826BD" w:rsidRPr="00B77582" w:rsidRDefault="00485465" w:rsidP="00213F87">
      <w:pPr>
        <w:pStyle w:val="SCCLawFirm"/>
        <w:spacing w:after="480"/>
        <w:rPr>
          <w:lang w:val="fr-CA"/>
        </w:rPr>
      </w:pPr>
      <w:r w:rsidRPr="00485465">
        <w:rPr>
          <w:lang w:val="fr-CA"/>
        </w:rPr>
        <w:tab/>
      </w:r>
      <w:r>
        <w:rPr>
          <w:lang w:val="fr-CA"/>
        </w:rPr>
        <w:t>Procureurs</w:t>
      </w:r>
      <w:r w:rsidRPr="00B77582">
        <w:rPr>
          <w:lang w:val="fr-CA"/>
        </w:rPr>
        <w:t xml:space="preserve"> de</w:t>
      </w:r>
      <w:r>
        <w:rPr>
          <w:lang w:val="fr-CA"/>
        </w:rPr>
        <w:t>s intimé</w:t>
      </w:r>
      <w:r w:rsidR="00867BBE">
        <w:rPr>
          <w:lang w:val="fr-CA"/>
        </w:rPr>
        <w:t>e</w:t>
      </w:r>
      <w:r>
        <w:rPr>
          <w:lang w:val="fr-CA"/>
        </w:rPr>
        <w:t xml:space="preserve">s </w:t>
      </w:r>
      <w:r w:rsidRPr="00A9558B">
        <w:rPr>
          <w:lang w:val="fr-CA"/>
        </w:rPr>
        <w:t xml:space="preserve">Canada North Group Inc., Canada North Camps Inc., Campcorp Structures Ltd., DJ Catering Ltd., 816956 Alberta Ltd., </w:t>
      </w:r>
      <w:r w:rsidRPr="00B77582">
        <w:rPr>
          <w:lang w:val="fr-CA"/>
        </w:rPr>
        <w:t>1371047 Alberta Ltd.,</w:t>
      </w:r>
      <w:r>
        <w:rPr>
          <w:lang w:val="fr-CA"/>
        </w:rPr>
        <w:t xml:space="preserve"> 1919209 Alberta Ltd. et </w:t>
      </w:r>
      <w:r w:rsidRPr="00B77582">
        <w:rPr>
          <w:lang w:val="fr-CA"/>
        </w:rPr>
        <w:t xml:space="preserve">Ernst &amp; </w:t>
      </w:r>
      <w:r w:rsidR="00867BBE">
        <w:rPr>
          <w:lang w:val="fr-CA"/>
        </w:rPr>
        <w:t>Young Inc.</w:t>
      </w:r>
      <w:r w:rsidRPr="007B7573">
        <w:rPr>
          <w:lang w:val="fr-CA"/>
        </w:rPr>
        <w:t xml:space="preserve"> en sa qualité de contrôleur :</w:t>
      </w:r>
      <w:r>
        <w:rPr>
          <w:lang w:val="fr-CA"/>
        </w:rPr>
        <w:t xml:space="preserve"> Duncan Craig</w:t>
      </w:r>
      <w:r w:rsidRPr="00B77582">
        <w:rPr>
          <w:lang w:val="fr-CA"/>
        </w:rPr>
        <w:t>, Edmonton.</w:t>
      </w:r>
    </w:p>
    <w:p w:rsidR="008826BD" w:rsidRPr="00B77582" w:rsidRDefault="00485465" w:rsidP="00213F87">
      <w:pPr>
        <w:pStyle w:val="SCCLawFirm"/>
        <w:spacing w:after="480"/>
        <w:rPr>
          <w:lang w:val="fr-CA"/>
        </w:rPr>
      </w:pPr>
      <w:r>
        <w:rPr>
          <w:lang w:val="fr-CA"/>
        </w:rPr>
        <w:lastRenderedPageBreak/>
        <w:tab/>
        <w:t>Procureurs</w:t>
      </w:r>
      <w:r w:rsidRPr="00B77582">
        <w:rPr>
          <w:lang w:val="fr-CA"/>
        </w:rPr>
        <w:t xml:space="preserve"> de l</w:t>
      </w:r>
      <w:r w:rsidR="00B77582">
        <w:rPr>
          <w:lang w:val="fr-CA"/>
        </w:rPr>
        <w:t>’</w:t>
      </w:r>
      <w:r>
        <w:rPr>
          <w:lang w:val="fr-CA"/>
        </w:rPr>
        <w:t>intimée la Banque de développement du Canada : Cassels Brock &amp; Blackwell</w:t>
      </w:r>
      <w:r w:rsidRPr="00B77582">
        <w:rPr>
          <w:lang w:val="fr-CA"/>
        </w:rPr>
        <w:t>, Calgary.</w:t>
      </w:r>
    </w:p>
    <w:p w:rsidR="008826BD" w:rsidRPr="00B77582" w:rsidRDefault="00485465" w:rsidP="00213F87">
      <w:pPr>
        <w:pStyle w:val="SCCLawFirm"/>
        <w:spacing w:after="480"/>
        <w:rPr>
          <w:lang w:val="fr-CA"/>
        </w:rPr>
      </w:pPr>
      <w:r>
        <w:rPr>
          <w:lang w:val="fr-CA"/>
        </w:rPr>
        <w:tab/>
        <w:t>Procureurs</w:t>
      </w:r>
      <w:r w:rsidRPr="00B77582">
        <w:rPr>
          <w:lang w:val="fr-CA"/>
        </w:rPr>
        <w:t xml:space="preserve"> de l</w:t>
      </w:r>
      <w:r w:rsidR="00B77582">
        <w:rPr>
          <w:lang w:val="fr-CA"/>
        </w:rPr>
        <w:t>’</w:t>
      </w:r>
      <w:r>
        <w:rPr>
          <w:lang w:val="fr-CA"/>
        </w:rPr>
        <w:t>intervenant</w:t>
      </w:r>
      <w:r w:rsidRPr="00B77582">
        <w:rPr>
          <w:lang w:val="fr-CA"/>
        </w:rPr>
        <w:t xml:space="preserve"> </w:t>
      </w:r>
      <w:r>
        <w:rPr>
          <w:lang w:val="fr-CA"/>
        </w:rPr>
        <w:t>l’</w:t>
      </w:r>
      <w:r w:rsidRPr="00B77582">
        <w:rPr>
          <w:lang w:val="fr-CA"/>
        </w:rPr>
        <w:t>Institut d</w:t>
      </w:r>
      <w:r w:rsidR="00B77582">
        <w:rPr>
          <w:lang w:val="fr-CA"/>
        </w:rPr>
        <w:t>’</w:t>
      </w:r>
      <w:r w:rsidRPr="00B77582">
        <w:rPr>
          <w:lang w:val="fr-CA"/>
        </w:rPr>
        <w:t>insolvabilité du Canada : Blake, Cassels &amp; Grayd</w:t>
      </w:r>
      <w:r>
        <w:rPr>
          <w:lang w:val="fr-CA"/>
        </w:rPr>
        <w:t>on</w:t>
      </w:r>
      <w:r w:rsidRPr="00B77582">
        <w:rPr>
          <w:lang w:val="fr-CA"/>
        </w:rPr>
        <w:t>, Calgary.</w:t>
      </w:r>
    </w:p>
    <w:p w:rsidR="008826BD" w:rsidRPr="00B77582" w:rsidRDefault="00485465" w:rsidP="00213F87">
      <w:pPr>
        <w:pStyle w:val="SCCLawFirm"/>
        <w:spacing w:after="480"/>
        <w:rPr>
          <w:lang w:val="fr-CA"/>
        </w:rPr>
      </w:pPr>
      <w:r>
        <w:rPr>
          <w:lang w:val="fr-CA"/>
        </w:rPr>
        <w:tab/>
        <w:t>Procureurs</w:t>
      </w:r>
      <w:r w:rsidRPr="00B77582">
        <w:rPr>
          <w:lang w:val="fr-CA"/>
        </w:rPr>
        <w:t xml:space="preserve"> de l</w:t>
      </w:r>
      <w:r w:rsidR="00B77582">
        <w:rPr>
          <w:lang w:val="fr-CA"/>
        </w:rPr>
        <w:t>’</w:t>
      </w:r>
      <w:r>
        <w:rPr>
          <w:lang w:val="fr-CA"/>
        </w:rPr>
        <w:t>intervenante</w:t>
      </w:r>
      <w:r w:rsidRPr="00B77582">
        <w:rPr>
          <w:lang w:val="fr-CA"/>
        </w:rPr>
        <w:t xml:space="preserve"> </w:t>
      </w:r>
      <w:r>
        <w:rPr>
          <w:lang w:val="fr-CA"/>
        </w:rPr>
        <w:t>l’</w:t>
      </w:r>
      <w:r w:rsidRPr="00B77582">
        <w:rPr>
          <w:lang w:val="fr-CA"/>
        </w:rPr>
        <w:t>Association canadienne des professionnels de l</w:t>
      </w:r>
      <w:r w:rsidR="00B77582">
        <w:rPr>
          <w:lang w:val="fr-CA"/>
        </w:rPr>
        <w:t>’</w:t>
      </w:r>
      <w:r w:rsidRPr="00B77582">
        <w:rPr>
          <w:lang w:val="fr-CA"/>
        </w:rPr>
        <w:t>insolvabilité et de la réorganisation : Os</w:t>
      </w:r>
      <w:r w:rsidR="00213F87">
        <w:rPr>
          <w:lang w:val="fr-CA"/>
        </w:rPr>
        <w:t>ler, Hoskin &amp; Harcourt, Calgary</w:t>
      </w:r>
      <w:r w:rsidR="00B43F4A">
        <w:rPr>
          <w:lang w:val="fr-CA"/>
        </w:rPr>
        <w:t>.</w:t>
      </w:r>
    </w:p>
    <w:sectPr w:rsidR="008826BD" w:rsidRPr="00B77582"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26A" w:rsidRDefault="00FE026A">
      <w:r>
        <w:separator/>
      </w:r>
    </w:p>
  </w:endnote>
  <w:endnote w:type="continuationSeparator" w:id="0">
    <w:p w:rsidR="00FE026A" w:rsidRDefault="00FE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4B" w:rsidRDefault="00000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4B" w:rsidRDefault="00000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4B" w:rsidRDefault="00000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26A" w:rsidRDefault="00FE026A">
      <w:r>
        <w:separator/>
      </w:r>
    </w:p>
  </w:footnote>
  <w:footnote w:type="continuationSeparator" w:id="0">
    <w:p w:rsidR="00FE026A" w:rsidRDefault="00FE026A">
      <w:r>
        <w:continuationSeparator/>
      </w:r>
    </w:p>
  </w:footnote>
  <w:footnote w:id="1">
    <w:p w:rsidR="00FE026A" w:rsidRPr="006A1366" w:rsidRDefault="00FE026A" w:rsidP="00344043">
      <w:pPr>
        <w:pStyle w:val="FootnoteText"/>
        <w:widowControl w:val="0"/>
        <w:rPr>
          <w:lang w:val="fr-CA"/>
        </w:rPr>
      </w:pPr>
      <w:r w:rsidRPr="006A1366">
        <w:rPr>
          <w:rStyle w:val="FootnoteReference"/>
          <w:lang w:val="fr-CA"/>
        </w:rPr>
        <w:footnoteRef/>
      </w:r>
      <w:r>
        <w:rPr>
          <w:lang w:val="fr-CA"/>
        </w:rPr>
        <w:t>  </w:t>
      </w:r>
      <w:r w:rsidRPr="006A1366">
        <w:rPr>
          <w:lang w:val="fr-CA"/>
        </w:rPr>
        <w:t xml:space="preserve">Il convient toutefois de noter </w:t>
      </w:r>
      <w:r>
        <w:rPr>
          <w:lang w:val="fr-CA"/>
        </w:rPr>
        <w:t>que les par. </w:t>
      </w:r>
      <w:r w:rsidRPr="006A1366">
        <w:rPr>
          <w:lang w:val="fr-CA"/>
        </w:rPr>
        <w:t xml:space="preserve">227(4) </w:t>
      </w:r>
      <w:r>
        <w:rPr>
          <w:lang w:val="fr-CA"/>
        </w:rPr>
        <w:t>et </w:t>
      </w:r>
      <w:r w:rsidRPr="006A1366">
        <w:rPr>
          <w:lang w:val="fr-CA"/>
        </w:rPr>
        <w:t>227(4.1)</w:t>
      </w:r>
      <w:r>
        <w:rPr>
          <w:lang w:val="fr-CA"/>
        </w:rPr>
        <w:t xml:space="preserve"> de la </w:t>
      </w:r>
      <w:r w:rsidRPr="007542F7">
        <w:rPr>
          <w:i/>
          <w:lang w:val="fr-CA"/>
        </w:rPr>
        <w:t>LIR</w:t>
      </w:r>
      <w:r w:rsidRPr="006A1366">
        <w:rPr>
          <w:lang w:val="fr-CA"/>
        </w:rPr>
        <w:t xml:space="preserve"> </w:t>
      </w:r>
      <w:r>
        <w:rPr>
          <w:lang w:val="fr-CA"/>
        </w:rPr>
        <w:t>n’accordent pas à la Couronne la priorité sur tous les créanciers</w:t>
      </w:r>
      <w:r w:rsidRPr="006A1366">
        <w:rPr>
          <w:lang w:val="fr-CA"/>
        </w:rPr>
        <w:t xml:space="preserve">. </w:t>
      </w:r>
      <w:r>
        <w:rPr>
          <w:lang w:val="fr-CA"/>
        </w:rPr>
        <w:t xml:space="preserve">Ils prévoient explicitement une exception pour les droits des fournisseurs impayés </w:t>
      </w:r>
      <w:r w:rsidRPr="006A1366">
        <w:rPr>
          <w:lang w:val="fr-CA"/>
        </w:rPr>
        <w:t>(</w:t>
      </w:r>
      <w:r w:rsidRPr="002B4546">
        <w:rPr>
          <w:i/>
          <w:lang w:val="fr-CA"/>
        </w:rPr>
        <w:t>L</w:t>
      </w:r>
      <w:r>
        <w:rPr>
          <w:i/>
          <w:lang w:val="fr-CA"/>
        </w:rPr>
        <w:t>oi sur la faillite et l’insolvabilité</w:t>
      </w:r>
      <w:r w:rsidRPr="006A1366">
        <w:rPr>
          <w:lang w:val="fr-CA"/>
        </w:rPr>
        <w:t>,</w:t>
      </w:r>
      <w:r>
        <w:rPr>
          <w:lang w:val="fr-CA"/>
        </w:rPr>
        <w:t xml:space="preserve"> L.R.C. 1985, c. B</w:t>
      </w:r>
      <w:r>
        <w:rPr>
          <w:lang w:val="fr-CA"/>
        </w:rPr>
        <w:noBreakHyphen/>
        <w:t>3,</w:t>
      </w:r>
      <w:r w:rsidRPr="006A1366">
        <w:rPr>
          <w:lang w:val="fr-CA"/>
        </w:rPr>
        <w:t xml:space="preserve"> </w:t>
      </w:r>
      <w:r>
        <w:rPr>
          <w:lang w:val="fr-CA"/>
        </w:rPr>
        <w:t>art. </w:t>
      </w:r>
      <w:r w:rsidRPr="006A1366">
        <w:rPr>
          <w:lang w:val="fr-CA"/>
        </w:rPr>
        <w:t xml:space="preserve">81.1) </w:t>
      </w:r>
      <w:r>
        <w:rPr>
          <w:lang w:val="fr-CA"/>
        </w:rPr>
        <w:t xml:space="preserve">et les droits des agriculteurs, des pêcheurs et des aquiculteurs </w:t>
      </w:r>
      <w:r w:rsidRPr="006A1366">
        <w:rPr>
          <w:lang w:val="fr-CA"/>
        </w:rPr>
        <w:t>(</w:t>
      </w:r>
      <w:r>
        <w:rPr>
          <w:lang w:val="fr-CA"/>
        </w:rPr>
        <w:t>art. </w:t>
      </w:r>
      <w:r w:rsidRPr="006A1366">
        <w:rPr>
          <w:lang w:val="fr-CA"/>
        </w:rPr>
        <w:t xml:space="preserve">81.2). </w:t>
      </w:r>
      <w:r>
        <w:rPr>
          <w:lang w:val="fr-CA"/>
        </w:rPr>
        <w:t>En outre</w:t>
      </w:r>
      <w:r w:rsidRPr="006A1366">
        <w:rPr>
          <w:lang w:val="fr-CA"/>
        </w:rPr>
        <w:t xml:space="preserve">, </w:t>
      </w:r>
      <w:r>
        <w:rPr>
          <w:lang w:val="fr-CA"/>
        </w:rPr>
        <w:t>le par. </w:t>
      </w:r>
      <w:r w:rsidRPr="006A1366">
        <w:rPr>
          <w:lang w:val="fr-CA"/>
        </w:rPr>
        <w:t xml:space="preserve">227(4.2) </w:t>
      </w:r>
      <w:r>
        <w:rPr>
          <w:lang w:val="fr-CA"/>
        </w:rPr>
        <w:t xml:space="preserve">de la </w:t>
      </w:r>
      <w:r w:rsidRPr="002B4546">
        <w:rPr>
          <w:i/>
          <w:lang w:val="fr-CA"/>
        </w:rPr>
        <w:t>LIR</w:t>
      </w:r>
      <w:r>
        <w:rPr>
          <w:lang w:val="fr-CA"/>
        </w:rPr>
        <w:t xml:space="preserve"> prévoit une exception pour les garanties visées par règlement</w:t>
      </w:r>
      <w:r w:rsidRPr="006A1366">
        <w:rPr>
          <w:lang w:val="fr-CA"/>
        </w:rPr>
        <w:t xml:space="preserve">, </w:t>
      </w:r>
      <w:r>
        <w:rPr>
          <w:lang w:val="fr-CA"/>
        </w:rPr>
        <w:t xml:space="preserve">définies dans le </w:t>
      </w:r>
      <w:r>
        <w:rPr>
          <w:i/>
          <w:iCs/>
          <w:lang w:val="fr-CA"/>
        </w:rPr>
        <w:t>Règlement de l’impôt sur le revenu</w:t>
      </w:r>
      <w:r w:rsidRPr="006A1366">
        <w:rPr>
          <w:lang w:val="fr-CA"/>
        </w:rPr>
        <w:t>, C.R.C.</w:t>
      </w:r>
      <w:r>
        <w:rPr>
          <w:lang w:val="fr-CA"/>
        </w:rPr>
        <w:t>, c. </w:t>
      </w:r>
      <w:r w:rsidRPr="006A1366">
        <w:rPr>
          <w:lang w:val="fr-CA"/>
        </w:rPr>
        <w:t xml:space="preserve">945, </w:t>
      </w:r>
      <w:r>
        <w:rPr>
          <w:lang w:val="fr-CA"/>
        </w:rPr>
        <w:t>art. </w:t>
      </w:r>
      <w:r w:rsidRPr="006A1366">
        <w:rPr>
          <w:lang w:val="fr-CA"/>
        </w:rPr>
        <w:t xml:space="preserve">2201. </w:t>
      </w:r>
      <w:r>
        <w:rPr>
          <w:lang w:val="fr-CA"/>
        </w:rPr>
        <w:t xml:space="preserve">De façon générale, est une garantie visée par règlement une hypothèque qui grève un fond de terre ou un bâtiment, </w:t>
      </w:r>
      <w:r w:rsidRPr="002B4546">
        <w:rPr>
          <w:lang w:val="fr-CA"/>
        </w:rPr>
        <w:t xml:space="preserve">à condition que l’hypothèque </w:t>
      </w:r>
      <w:r>
        <w:rPr>
          <w:lang w:val="fr-CA"/>
        </w:rPr>
        <w:t>ait été</w:t>
      </w:r>
      <w:r w:rsidRPr="002B4546">
        <w:rPr>
          <w:lang w:val="fr-CA"/>
        </w:rPr>
        <w:t xml:space="preserve"> enregistrée</w:t>
      </w:r>
      <w:r>
        <w:rPr>
          <w:lang w:val="fr-CA"/>
        </w:rPr>
        <w:t xml:space="preserve"> </w:t>
      </w:r>
      <w:r w:rsidRPr="002B4546">
        <w:rPr>
          <w:lang w:val="fr-CA"/>
        </w:rPr>
        <w:t xml:space="preserve">avant le </w:t>
      </w:r>
      <w:r>
        <w:rPr>
          <w:lang w:val="fr-CA"/>
        </w:rPr>
        <w:t>non</w:t>
      </w:r>
      <w:r>
        <w:rPr>
          <w:lang w:val="fr-CA"/>
        </w:rPr>
        <w:noBreakHyphen/>
        <w:t xml:space="preserve">versement des retenues à la source en cause </w:t>
      </w:r>
      <w:r w:rsidRPr="006A1366">
        <w:rPr>
          <w:lang w:val="fr-CA"/>
        </w:rPr>
        <w:t>(</w:t>
      </w:r>
      <w:r>
        <w:rPr>
          <w:lang w:val="fr-CA"/>
        </w:rPr>
        <w:t>Résumé de l’étude d’impact de la réglementation, DORS/99</w:t>
      </w:r>
      <w:r>
        <w:rPr>
          <w:lang w:val="fr-CA"/>
        </w:rPr>
        <w:noBreakHyphen/>
      </w:r>
      <w:r w:rsidRPr="006A1366">
        <w:rPr>
          <w:lang w:val="fr-CA"/>
        </w:rPr>
        <w:t xml:space="preserve">322, </w:t>
      </w:r>
      <w:r>
        <w:rPr>
          <w:i/>
          <w:lang w:val="fr-CA"/>
        </w:rPr>
        <w:t>Gazette du Canada</w:t>
      </w:r>
      <w:r>
        <w:rPr>
          <w:lang w:val="fr-CA"/>
        </w:rPr>
        <w:t>, partie II, vol. 133, n</w:t>
      </w:r>
      <w:r w:rsidRPr="007542F7">
        <w:rPr>
          <w:vertAlign w:val="superscript"/>
          <w:lang w:val="fr-CA"/>
        </w:rPr>
        <w:t>o</w:t>
      </w:r>
      <w:r>
        <w:rPr>
          <w:lang w:val="fr-CA"/>
        </w:rPr>
        <w:t xml:space="preserve"> 17, 18 août 1999, </w:t>
      </w:r>
      <w:r w:rsidRPr="006A1366">
        <w:rPr>
          <w:lang w:val="fr-CA"/>
        </w:rPr>
        <w:t>p.</w:t>
      </w:r>
      <w:r>
        <w:rPr>
          <w:lang w:val="fr-CA"/>
        </w:rPr>
        <w:t> 2041</w:t>
      </w:r>
      <w:r>
        <w:rPr>
          <w:lang w:val="fr-CA"/>
        </w:rPr>
        <w:noBreakHyphen/>
      </w:r>
      <w:r w:rsidRPr="006A1366">
        <w:rPr>
          <w:lang w:val="fr-CA"/>
        </w:rPr>
        <w:t>2042).</w:t>
      </w:r>
    </w:p>
  </w:footnote>
  <w:footnote w:id="2">
    <w:p w:rsidR="00FE026A" w:rsidRPr="00344043" w:rsidRDefault="00FE026A" w:rsidP="00344043">
      <w:pPr>
        <w:pStyle w:val="FootnoteText"/>
        <w:rPr>
          <w:lang w:val="fr-CA"/>
        </w:rPr>
      </w:pPr>
      <w:r>
        <w:rPr>
          <w:rStyle w:val="FootnoteReference"/>
          <w:rFonts w:eastAsiaTheme="majorEastAsia"/>
        </w:rPr>
        <w:footnoteRef/>
      </w:r>
      <w:r w:rsidRPr="00344043">
        <w:rPr>
          <w:lang w:val="fr-CA"/>
        </w:rPr>
        <w:t xml:space="preserve">  Les dispositions pertinentes des lois fiscales en matière de fiducie réputée ont un libellé sensiblement identique. La présente décision met l’accent sur les fiducies réputées prévues aux par. 227(4) et (4.1) de la </w:t>
      </w:r>
      <w:r w:rsidRPr="00344043">
        <w:rPr>
          <w:i/>
          <w:lang w:val="fr-CA"/>
        </w:rPr>
        <w:t>LIR</w:t>
      </w:r>
      <w:r w:rsidRPr="00344043">
        <w:rPr>
          <w:lang w:val="fr-CA"/>
        </w:rPr>
        <w:t>. Le raisonnement exposé ici vaut cependant tout autant pour chacune des autres lois.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4B" w:rsidRDefault="00000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26A" w:rsidRPr="00213F87" w:rsidRDefault="00FE026A" w:rsidP="00213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4B" w:rsidRDefault="00000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180D"/>
    <w:multiLevelType w:val="hybridMultilevel"/>
    <w:tmpl w:val="AC5CB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EA76DF"/>
    <w:multiLevelType w:val="multilevel"/>
    <w:tmpl w:val="27CC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E21B7"/>
    <w:multiLevelType w:val="multilevel"/>
    <w:tmpl w:val="436A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77A5E"/>
    <w:multiLevelType w:val="hybridMultilevel"/>
    <w:tmpl w:val="5A2CD0CA"/>
    <w:lvl w:ilvl="0" w:tplc="0409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4C56E45"/>
    <w:multiLevelType w:val="hybridMultilevel"/>
    <w:tmpl w:val="8F9CC948"/>
    <w:lvl w:ilvl="0" w:tplc="0409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6" w15:restartNumberingAfterBreak="0">
    <w:nsid w:val="175E1C51"/>
    <w:multiLevelType w:val="hybridMultilevel"/>
    <w:tmpl w:val="D06E8806"/>
    <w:lvl w:ilvl="0" w:tplc="0409000F">
      <w:start w:val="1"/>
      <w:numFmt w:val="decimal"/>
      <w:lvlText w:val="%1."/>
      <w:lvlJc w:val="lef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241035"/>
    <w:multiLevelType w:val="multilevel"/>
    <w:tmpl w:val="C44C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A58C5"/>
    <w:multiLevelType w:val="hybridMultilevel"/>
    <w:tmpl w:val="E2B27230"/>
    <w:lvl w:ilvl="0" w:tplc="0409000F">
      <w:start w:val="1"/>
      <w:numFmt w:val="decimal"/>
      <w:lvlText w:val="%1."/>
      <w:lvlJc w:val="lef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10" w15:restartNumberingAfterBreak="0">
    <w:nsid w:val="2CB67DDA"/>
    <w:multiLevelType w:val="hybridMultilevel"/>
    <w:tmpl w:val="C554A26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BE02DB7"/>
    <w:multiLevelType w:val="multilevel"/>
    <w:tmpl w:val="DE0A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5179A0"/>
    <w:multiLevelType w:val="hybridMultilevel"/>
    <w:tmpl w:val="5AAE2A0C"/>
    <w:lvl w:ilvl="0" w:tplc="9738A340">
      <w:start w:val="1"/>
      <w:numFmt w:val="lowerLetter"/>
      <w:lvlText w:val="%1)"/>
      <w:lvlJc w:val="left"/>
      <w:pPr>
        <w:ind w:left="1886" w:hanging="360"/>
      </w:pPr>
      <w:rPr>
        <w:b/>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3" w15:restartNumberingAfterBreak="0">
    <w:nsid w:val="44D60189"/>
    <w:multiLevelType w:val="hybridMultilevel"/>
    <w:tmpl w:val="2DF2E17A"/>
    <w:lvl w:ilvl="0" w:tplc="0409000F">
      <w:start w:val="1"/>
      <w:numFmt w:val="decimal"/>
      <w:lvlText w:val="%1."/>
      <w:lvlJc w:val="lef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1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A850DA9"/>
    <w:multiLevelType w:val="hybridMultilevel"/>
    <w:tmpl w:val="8FA8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283EE8"/>
    <w:multiLevelType w:val="multilevel"/>
    <w:tmpl w:val="99A2589C"/>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070B49"/>
    <w:multiLevelType w:val="multilevel"/>
    <w:tmpl w:val="1EA636E6"/>
    <w:lvl w:ilvl="0">
      <w:start w:val="1"/>
      <w:numFmt w:val="decimal"/>
      <w:lvlText w:val="%1."/>
      <w:lvlJc w:val="left"/>
      <w:pPr>
        <w:tabs>
          <w:tab w:val="num" w:pos="1872"/>
        </w:tabs>
        <w:ind w:left="720" w:firstLine="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206761"/>
    <w:multiLevelType w:val="hybridMultilevel"/>
    <w:tmpl w:val="7672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C7565"/>
    <w:multiLevelType w:val="hybridMultilevel"/>
    <w:tmpl w:val="5420ABA8"/>
    <w:lvl w:ilvl="0" w:tplc="ABD0C22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E4B56"/>
    <w:multiLevelType w:val="hybridMultilevel"/>
    <w:tmpl w:val="F784461E"/>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8"/>
  </w:num>
  <w:num w:numId="2">
    <w:abstractNumId w:val="20"/>
  </w:num>
  <w:num w:numId="3">
    <w:abstractNumId w:val="7"/>
  </w:num>
  <w:num w:numId="4">
    <w:abstractNumId w:val="2"/>
  </w:num>
  <w:num w:numId="5">
    <w:abstractNumId w:val="16"/>
  </w:num>
  <w:num w:numId="6">
    <w:abstractNumId w:val="17"/>
  </w:num>
  <w:num w:numId="7">
    <w:abstractNumId w:val="14"/>
  </w:num>
  <w:num w:numId="8">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8"/>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2"/>
    </w:lvlOverride>
  </w:num>
  <w:num w:numId="13">
    <w:abstractNumId w:val="11"/>
  </w:num>
  <w:num w:numId="14">
    <w:abstractNumId w:val="10"/>
  </w:num>
  <w:num w:numId="15">
    <w:abstractNumId w:val="12"/>
  </w:num>
  <w:num w:numId="16">
    <w:abstractNumId w:val="19"/>
  </w:num>
  <w:num w:numId="17">
    <w:abstractNumId w:val="0"/>
  </w:num>
  <w:num w:numId="18">
    <w:abstractNumId w:val="22"/>
    <w:lvlOverride w:ilvl="0">
      <w:startOverride w:val="1"/>
    </w:lvlOverride>
  </w:num>
  <w:num w:numId="19">
    <w:abstractNumId w:val="21"/>
  </w:num>
  <w:num w:numId="20">
    <w:abstractNumId w:val="15"/>
  </w:num>
  <w:num w:numId="21">
    <w:abstractNumId w:val="5"/>
  </w:num>
  <w:num w:numId="22">
    <w:abstractNumId w:val="13"/>
  </w:num>
  <w:num w:numId="23">
    <w:abstractNumId w:val="18"/>
    <w:lvlOverride w:ilvl="0">
      <w:startOverride w:val="1"/>
    </w:lvlOverride>
    <w:lvlOverride w:ilvl="1">
      <w:startOverride w:val="2"/>
    </w:lvlOverride>
  </w:num>
  <w:num w:numId="24">
    <w:abstractNumId w:val="9"/>
  </w:num>
  <w:num w:numId="25">
    <w:abstractNumId w:val="23"/>
  </w:num>
  <w:num w:numId="26">
    <w:abstractNumId w:val="4"/>
  </w:num>
  <w:num w:numId="27">
    <w:abstractNumId w:val="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34B"/>
    <w:rsid w:val="00000E60"/>
    <w:rsid w:val="00000ED4"/>
    <w:rsid w:val="00013186"/>
    <w:rsid w:val="00023FC7"/>
    <w:rsid w:val="00025198"/>
    <w:rsid w:val="00032626"/>
    <w:rsid w:val="0004783D"/>
    <w:rsid w:val="00052A5A"/>
    <w:rsid w:val="000578A3"/>
    <w:rsid w:val="000648CC"/>
    <w:rsid w:val="000B6688"/>
    <w:rsid w:val="000C59B8"/>
    <w:rsid w:val="000C6AF0"/>
    <w:rsid w:val="000D0A77"/>
    <w:rsid w:val="000D1603"/>
    <w:rsid w:val="000D4F59"/>
    <w:rsid w:val="000E2B01"/>
    <w:rsid w:val="000F40E2"/>
    <w:rsid w:val="000F7993"/>
    <w:rsid w:val="00101FF2"/>
    <w:rsid w:val="00104F33"/>
    <w:rsid w:val="00111DE2"/>
    <w:rsid w:val="00116B38"/>
    <w:rsid w:val="00135406"/>
    <w:rsid w:val="00135972"/>
    <w:rsid w:val="001426A9"/>
    <w:rsid w:val="0014362E"/>
    <w:rsid w:val="00154D7C"/>
    <w:rsid w:val="001566FA"/>
    <w:rsid w:val="001570B0"/>
    <w:rsid w:val="0015752C"/>
    <w:rsid w:val="00157737"/>
    <w:rsid w:val="00157843"/>
    <w:rsid w:val="00165277"/>
    <w:rsid w:val="00170592"/>
    <w:rsid w:val="001720F7"/>
    <w:rsid w:val="001779C9"/>
    <w:rsid w:val="00195D83"/>
    <w:rsid w:val="001A00C1"/>
    <w:rsid w:val="001B0B1F"/>
    <w:rsid w:val="001B33E0"/>
    <w:rsid w:val="001B4573"/>
    <w:rsid w:val="001C779F"/>
    <w:rsid w:val="001D2AC1"/>
    <w:rsid w:val="001D4E88"/>
    <w:rsid w:val="001F7ABC"/>
    <w:rsid w:val="00213F87"/>
    <w:rsid w:val="00220FC2"/>
    <w:rsid w:val="002222F4"/>
    <w:rsid w:val="00224FC0"/>
    <w:rsid w:val="00225EA4"/>
    <w:rsid w:val="00226EAF"/>
    <w:rsid w:val="00231F3A"/>
    <w:rsid w:val="002406EE"/>
    <w:rsid w:val="00243EC8"/>
    <w:rsid w:val="00270D93"/>
    <w:rsid w:val="002745CC"/>
    <w:rsid w:val="00275182"/>
    <w:rsid w:val="0029299D"/>
    <w:rsid w:val="00292D3F"/>
    <w:rsid w:val="002A2712"/>
    <w:rsid w:val="002B6FBE"/>
    <w:rsid w:val="002B7924"/>
    <w:rsid w:val="002C10A6"/>
    <w:rsid w:val="002D1674"/>
    <w:rsid w:val="002D28C3"/>
    <w:rsid w:val="002D39A4"/>
    <w:rsid w:val="002D440C"/>
    <w:rsid w:val="002E6705"/>
    <w:rsid w:val="002F4F82"/>
    <w:rsid w:val="0030329A"/>
    <w:rsid w:val="0031086F"/>
    <w:rsid w:val="0031414C"/>
    <w:rsid w:val="00314E01"/>
    <w:rsid w:val="0032089D"/>
    <w:rsid w:val="003310DE"/>
    <w:rsid w:val="003323B0"/>
    <w:rsid w:val="00340A49"/>
    <w:rsid w:val="00344043"/>
    <w:rsid w:val="0035169A"/>
    <w:rsid w:val="0035259D"/>
    <w:rsid w:val="00364B18"/>
    <w:rsid w:val="0038125F"/>
    <w:rsid w:val="00394540"/>
    <w:rsid w:val="00396851"/>
    <w:rsid w:val="003A1009"/>
    <w:rsid w:val="003A125D"/>
    <w:rsid w:val="003A4C70"/>
    <w:rsid w:val="003B1714"/>
    <w:rsid w:val="003B215F"/>
    <w:rsid w:val="003C799C"/>
    <w:rsid w:val="003D0399"/>
    <w:rsid w:val="003E1C71"/>
    <w:rsid w:val="003F327B"/>
    <w:rsid w:val="00401791"/>
    <w:rsid w:val="00406166"/>
    <w:rsid w:val="0040704B"/>
    <w:rsid w:val="00410A55"/>
    <w:rsid w:val="00411300"/>
    <w:rsid w:val="00413F17"/>
    <w:rsid w:val="00415417"/>
    <w:rsid w:val="00426659"/>
    <w:rsid w:val="00450352"/>
    <w:rsid w:val="00454BDB"/>
    <w:rsid w:val="00465132"/>
    <w:rsid w:val="00480C90"/>
    <w:rsid w:val="0048396F"/>
    <w:rsid w:val="00485465"/>
    <w:rsid w:val="00486557"/>
    <w:rsid w:val="00493C18"/>
    <w:rsid w:val="004A600C"/>
    <w:rsid w:val="004A6118"/>
    <w:rsid w:val="004C478D"/>
    <w:rsid w:val="004D7D95"/>
    <w:rsid w:val="004E2C26"/>
    <w:rsid w:val="00511066"/>
    <w:rsid w:val="005125A8"/>
    <w:rsid w:val="00513AE6"/>
    <w:rsid w:val="005158B5"/>
    <w:rsid w:val="00517549"/>
    <w:rsid w:val="00520ABC"/>
    <w:rsid w:val="00521AE8"/>
    <w:rsid w:val="00527180"/>
    <w:rsid w:val="005435E7"/>
    <w:rsid w:val="00543C59"/>
    <w:rsid w:val="00552622"/>
    <w:rsid w:val="00555291"/>
    <w:rsid w:val="0056267B"/>
    <w:rsid w:val="00566AD1"/>
    <w:rsid w:val="005731AC"/>
    <w:rsid w:val="00575202"/>
    <w:rsid w:val="00575EAB"/>
    <w:rsid w:val="00583EDE"/>
    <w:rsid w:val="0059538C"/>
    <w:rsid w:val="005A0576"/>
    <w:rsid w:val="005A517E"/>
    <w:rsid w:val="005A6079"/>
    <w:rsid w:val="005B27AF"/>
    <w:rsid w:val="005B58A6"/>
    <w:rsid w:val="005C7084"/>
    <w:rsid w:val="005D79FA"/>
    <w:rsid w:val="005E4698"/>
    <w:rsid w:val="00603924"/>
    <w:rsid w:val="00610539"/>
    <w:rsid w:val="00613969"/>
    <w:rsid w:val="006251DB"/>
    <w:rsid w:val="00625C35"/>
    <w:rsid w:val="00635AFF"/>
    <w:rsid w:val="00647E49"/>
    <w:rsid w:val="006556F4"/>
    <w:rsid w:val="00656313"/>
    <w:rsid w:val="006565F4"/>
    <w:rsid w:val="00661965"/>
    <w:rsid w:val="00684EEA"/>
    <w:rsid w:val="00685859"/>
    <w:rsid w:val="0069689B"/>
    <w:rsid w:val="006A3566"/>
    <w:rsid w:val="006B0861"/>
    <w:rsid w:val="006B5FF5"/>
    <w:rsid w:val="006B6C50"/>
    <w:rsid w:val="006B79A5"/>
    <w:rsid w:val="006C24A1"/>
    <w:rsid w:val="006D54B3"/>
    <w:rsid w:val="006E0588"/>
    <w:rsid w:val="006F30AF"/>
    <w:rsid w:val="006F7F09"/>
    <w:rsid w:val="00701759"/>
    <w:rsid w:val="00705C15"/>
    <w:rsid w:val="007110F6"/>
    <w:rsid w:val="007208D1"/>
    <w:rsid w:val="00721000"/>
    <w:rsid w:val="00732B48"/>
    <w:rsid w:val="00744518"/>
    <w:rsid w:val="00747288"/>
    <w:rsid w:val="00747DD3"/>
    <w:rsid w:val="007549C8"/>
    <w:rsid w:val="00766D14"/>
    <w:rsid w:val="00767A0F"/>
    <w:rsid w:val="00772E5C"/>
    <w:rsid w:val="00791272"/>
    <w:rsid w:val="007A034D"/>
    <w:rsid w:val="007A05F6"/>
    <w:rsid w:val="007B32CD"/>
    <w:rsid w:val="007B6F3F"/>
    <w:rsid w:val="007B6F4A"/>
    <w:rsid w:val="007B7573"/>
    <w:rsid w:val="007D44C0"/>
    <w:rsid w:val="007D5987"/>
    <w:rsid w:val="007E1C47"/>
    <w:rsid w:val="007E337A"/>
    <w:rsid w:val="007E46CA"/>
    <w:rsid w:val="007E5C70"/>
    <w:rsid w:val="007F0DC9"/>
    <w:rsid w:val="007F0EB8"/>
    <w:rsid w:val="007F2FF5"/>
    <w:rsid w:val="007F3F08"/>
    <w:rsid w:val="00804CC6"/>
    <w:rsid w:val="00817190"/>
    <w:rsid w:val="00821F64"/>
    <w:rsid w:val="008260E2"/>
    <w:rsid w:val="008322BD"/>
    <w:rsid w:val="00834F73"/>
    <w:rsid w:val="00853337"/>
    <w:rsid w:val="00864C8A"/>
    <w:rsid w:val="00864CF8"/>
    <w:rsid w:val="00867BBE"/>
    <w:rsid w:val="00872A1A"/>
    <w:rsid w:val="00874914"/>
    <w:rsid w:val="008826BD"/>
    <w:rsid w:val="00884527"/>
    <w:rsid w:val="00891422"/>
    <w:rsid w:val="00892E1A"/>
    <w:rsid w:val="00896B89"/>
    <w:rsid w:val="008A3CE6"/>
    <w:rsid w:val="008A6CFC"/>
    <w:rsid w:val="008B660A"/>
    <w:rsid w:val="008C01DA"/>
    <w:rsid w:val="008C548C"/>
    <w:rsid w:val="008C6259"/>
    <w:rsid w:val="008F2674"/>
    <w:rsid w:val="008F78E9"/>
    <w:rsid w:val="009179F9"/>
    <w:rsid w:val="00917C7A"/>
    <w:rsid w:val="00920460"/>
    <w:rsid w:val="00931529"/>
    <w:rsid w:val="00933E5E"/>
    <w:rsid w:val="00935218"/>
    <w:rsid w:val="00937C52"/>
    <w:rsid w:val="009403F3"/>
    <w:rsid w:val="009555B7"/>
    <w:rsid w:val="009567AA"/>
    <w:rsid w:val="009602C9"/>
    <w:rsid w:val="00967374"/>
    <w:rsid w:val="00970F98"/>
    <w:rsid w:val="009A343A"/>
    <w:rsid w:val="009B2F23"/>
    <w:rsid w:val="009B57B3"/>
    <w:rsid w:val="009D0403"/>
    <w:rsid w:val="009D2920"/>
    <w:rsid w:val="009D5AEB"/>
    <w:rsid w:val="009F0E33"/>
    <w:rsid w:val="009F1E90"/>
    <w:rsid w:val="00A00812"/>
    <w:rsid w:val="00A079A6"/>
    <w:rsid w:val="00A12EB4"/>
    <w:rsid w:val="00A149DF"/>
    <w:rsid w:val="00A1755C"/>
    <w:rsid w:val="00A21855"/>
    <w:rsid w:val="00A21B90"/>
    <w:rsid w:val="00A227C6"/>
    <w:rsid w:val="00A22AAC"/>
    <w:rsid w:val="00A33106"/>
    <w:rsid w:val="00A37F73"/>
    <w:rsid w:val="00A41805"/>
    <w:rsid w:val="00A51882"/>
    <w:rsid w:val="00A52AFB"/>
    <w:rsid w:val="00A548CB"/>
    <w:rsid w:val="00A5521C"/>
    <w:rsid w:val="00A56DEE"/>
    <w:rsid w:val="00A60610"/>
    <w:rsid w:val="00A643E7"/>
    <w:rsid w:val="00A64D09"/>
    <w:rsid w:val="00A659BE"/>
    <w:rsid w:val="00A70FE3"/>
    <w:rsid w:val="00A73C38"/>
    <w:rsid w:val="00A826F5"/>
    <w:rsid w:val="00A86541"/>
    <w:rsid w:val="00A921A7"/>
    <w:rsid w:val="00A9558B"/>
    <w:rsid w:val="00AB064E"/>
    <w:rsid w:val="00AB670D"/>
    <w:rsid w:val="00AE137B"/>
    <w:rsid w:val="00AF03C5"/>
    <w:rsid w:val="00AF0964"/>
    <w:rsid w:val="00AF1431"/>
    <w:rsid w:val="00AF4520"/>
    <w:rsid w:val="00AF696A"/>
    <w:rsid w:val="00B000D8"/>
    <w:rsid w:val="00B00F75"/>
    <w:rsid w:val="00B040E2"/>
    <w:rsid w:val="00B145B6"/>
    <w:rsid w:val="00B150EC"/>
    <w:rsid w:val="00B261FE"/>
    <w:rsid w:val="00B2747F"/>
    <w:rsid w:val="00B276D9"/>
    <w:rsid w:val="00B279EB"/>
    <w:rsid w:val="00B420E8"/>
    <w:rsid w:val="00B43F4A"/>
    <w:rsid w:val="00B50C81"/>
    <w:rsid w:val="00B50EAA"/>
    <w:rsid w:val="00B557F8"/>
    <w:rsid w:val="00B7488C"/>
    <w:rsid w:val="00B77582"/>
    <w:rsid w:val="00B815FC"/>
    <w:rsid w:val="00B87299"/>
    <w:rsid w:val="00B93FBC"/>
    <w:rsid w:val="00BA0217"/>
    <w:rsid w:val="00BA7DA0"/>
    <w:rsid w:val="00BB2EE4"/>
    <w:rsid w:val="00BB4C92"/>
    <w:rsid w:val="00BC2108"/>
    <w:rsid w:val="00BD0E9E"/>
    <w:rsid w:val="00BD1BEC"/>
    <w:rsid w:val="00BD32FF"/>
    <w:rsid w:val="00BF6FE9"/>
    <w:rsid w:val="00C02092"/>
    <w:rsid w:val="00C03749"/>
    <w:rsid w:val="00C07832"/>
    <w:rsid w:val="00C24D91"/>
    <w:rsid w:val="00C26DB2"/>
    <w:rsid w:val="00C36BF4"/>
    <w:rsid w:val="00C43429"/>
    <w:rsid w:val="00C471F5"/>
    <w:rsid w:val="00C52425"/>
    <w:rsid w:val="00C5371C"/>
    <w:rsid w:val="00C53F14"/>
    <w:rsid w:val="00C600CF"/>
    <w:rsid w:val="00C60483"/>
    <w:rsid w:val="00C6084F"/>
    <w:rsid w:val="00C62A66"/>
    <w:rsid w:val="00C66359"/>
    <w:rsid w:val="00C6768D"/>
    <w:rsid w:val="00C70507"/>
    <w:rsid w:val="00C71458"/>
    <w:rsid w:val="00C7338C"/>
    <w:rsid w:val="00C7671B"/>
    <w:rsid w:val="00C77613"/>
    <w:rsid w:val="00C828E7"/>
    <w:rsid w:val="00C86719"/>
    <w:rsid w:val="00C90E54"/>
    <w:rsid w:val="00C921DD"/>
    <w:rsid w:val="00CA02A5"/>
    <w:rsid w:val="00CA6391"/>
    <w:rsid w:val="00CB34FF"/>
    <w:rsid w:val="00CC12BC"/>
    <w:rsid w:val="00CC6896"/>
    <w:rsid w:val="00CD7C1D"/>
    <w:rsid w:val="00CE036E"/>
    <w:rsid w:val="00CE282A"/>
    <w:rsid w:val="00CE3171"/>
    <w:rsid w:val="00CF1601"/>
    <w:rsid w:val="00CF21D5"/>
    <w:rsid w:val="00CF2478"/>
    <w:rsid w:val="00CF2E62"/>
    <w:rsid w:val="00CF42A6"/>
    <w:rsid w:val="00D003DE"/>
    <w:rsid w:val="00D0172F"/>
    <w:rsid w:val="00D01E33"/>
    <w:rsid w:val="00D068A7"/>
    <w:rsid w:val="00D141B1"/>
    <w:rsid w:val="00D17476"/>
    <w:rsid w:val="00D17B0E"/>
    <w:rsid w:val="00D32086"/>
    <w:rsid w:val="00D333F4"/>
    <w:rsid w:val="00D37A3F"/>
    <w:rsid w:val="00D4431D"/>
    <w:rsid w:val="00D44CD8"/>
    <w:rsid w:val="00D4667A"/>
    <w:rsid w:val="00D63A1C"/>
    <w:rsid w:val="00D7516F"/>
    <w:rsid w:val="00D80620"/>
    <w:rsid w:val="00D85DC2"/>
    <w:rsid w:val="00D95F8E"/>
    <w:rsid w:val="00DA0590"/>
    <w:rsid w:val="00DA6BE0"/>
    <w:rsid w:val="00DB18AE"/>
    <w:rsid w:val="00DB1D7C"/>
    <w:rsid w:val="00DB2CD3"/>
    <w:rsid w:val="00DB4E26"/>
    <w:rsid w:val="00DC1739"/>
    <w:rsid w:val="00DC1788"/>
    <w:rsid w:val="00DD07E0"/>
    <w:rsid w:val="00DE0B06"/>
    <w:rsid w:val="00DE319C"/>
    <w:rsid w:val="00DF0CA8"/>
    <w:rsid w:val="00DF2B48"/>
    <w:rsid w:val="00DF46B0"/>
    <w:rsid w:val="00DF49A7"/>
    <w:rsid w:val="00DF63E5"/>
    <w:rsid w:val="00E07EE2"/>
    <w:rsid w:val="00E07FD1"/>
    <w:rsid w:val="00E15894"/>
    <w:rsid w:val="00E24573"/>
    <w:rsid w:val="00E25E1E"/>
    <w:rsid w:val="00E27EE7"/>
    <w:rsid w:val="00E35404"/>
    <w:rsid w:val="00E45109"/>
    <w:rsid w:val="00E47B7A"/>
    <w:rsid w:val="00E56A44"/>
    <w:rsid w:val="00E60269"/>
    <w:rsid w:val="00E609B1"/>
    <w:rsid w:val="00E6472E"/>
    <w:rsid w:val="00E746FB"/>
    <w:rsid w:val="00E86F63"/>
    <w:rsid w:val="00E948FA"/>
    <w:rsid w:val="00E97830"/>
    <w:rsid w:val="00EA609B"/>
    <w:rsid w:val="00EB2F53"/>
    <w:rsid w:val="00EC5295"/>
    <w:rsid w:val="00EE0830"/>
    <w:rsid w:val="00EE6CB8"/>
    <w:rsid w:val="00EF0683"/>
    <w:rsid w:val="00F0070C"/>
    <w:rsid w:val="00F00EB7"/>
    <w:rsid w:val="00F36AB6"/>
    <w:rsid w:val="00F37A09"/>
    <w:rsid w:val="00F409CE"/>
    <w:rsid w:val="00F4379D"/>
    <w:rsid w:val="00F50D2D"/>
    <w:rsid w:val="00F5490E"/>
    <w:rsid w:val="00F56C8B"/>
    <w:rsid w:val="00F62639"/>
    <w:rsid w:val="00F66810"/>
    <w:rsid w:val="00F84DF4"/>
    <w:rsid w:val="00F85C97"/>
    <w:rsid w:val="00FB0823"/>
    <w:rsid w:val="00FB37D2"/>
    <w:rsid w:val="00FB7EC2"/>
    <w:rsid w:val="00FC4EFB"/>
    <w:rsid w:val="00FD068D"/>
    <w:rsid w:val="00FD4F28"/>
    <w:rsid w:val="00FD79B4"/>
    <w:rsid w:val="00FE026A"/>
    <w:rsid w:val="00FE66BF"/>
    <w:rsid w:val="00FE6784"/>
    <w:rsid w:val="00FE7A8B"/>
    <w:rsid w:val="00FF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26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404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0D1603"/>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0D1603"/>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344043"/>
    <w:pPr>
      <w:spacing w:after="480"/>
    </w:pPr>
    <w:rPr>
      <w:rFonts w:eastAsiaTheme="minorHAnsi" w:cstheme="minorBidi"/>
      <w:szCs w:val="22"/>
      <w:lang w:eastAsia="en-US"/>
    </w:rPr>
  </w:style>
  <w:style w:type="paragraph" w:customStyle="1" w:styleId="SCCCoram">
    <w:name w:val="SCC.Coram"/>
    <w:basedOn w:val="Normal"/>
    <w:next w:val="Normal"/>
    <w:link w:val="SCCCoramChar"/>
    <w:rsid w:val="0034404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4404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44043"/>
    <w:rPr>
      <w:rFonts w:eastAsiaTheme="minorHAnsi" w:cstheme="minorBidi"/>
      <w:sz w:val="24"/>
      <w:szCs w:val="22"/>
      <w:lang w:eastAsia="en-US"/>
    </w:rPr>
  </w:style>
  <w:style w:type="character" w:customStyle="1" w:styleId="SCCBanSummaryChar">
    <w:name w:val="SCC.BanSummary Char"/>
    <w:basedOn w:val="DefaultParagraphFont"/>
    <w:link w:val="SCCBanSummary"/>
    <w:rsid w:val="00344043"/>
    <w:rPr>
      <w:b/>
      <w:sz w:val="24"/>
    </w:rPr>
  </w:style>
  <w:style w:type="table" w:styleId="TableGrid">
    <w:name w:val="Table Grid"/>
    <w:basedOn w:val="TableNormal"/>
    <w:uiPriority w:val="59"/>
    <w:rsid w:val="0034404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4404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4404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4404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4404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4404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44043"/>
    <w:pPr>
      <w:numPr>
        <w:ilvl w:val="2"/>
      </w:numPr>
      <w:outlineLvl w:val="2"/>
    </w:pPr>
  </w:style>
  <w:style w:type="paragraph" w:customStyle="1" w:styleId="Title4LevelTitre4Niveau">
    <w:name w:val="Title 4 Level / Titre 4 Niveau"/>
    <w:basedOn w:val="Title3LevelTitre3Niveau"/>
    <w:next w:val="ParaNoNdepar-AltN"/>
    <w:uiPriority w:val="4"/>
    <w:qFormat/>
    <w:rsid w:val="0034404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44043"/>
    <w:pPr>
      <w:numPr>
        <w:ilvl w:val="4"/>
      </w:numPr>
      <w:outlineLvl w:val="4"/>
    </w:pPr>
  </w:style>
  <w:style w:type="paragraph" w:styleId="TOC1">
    <w:name w:val="toc 1"/>
    <w:basedOn w:val="Normal"/>
    <w:next w:val="Normal"/>
    <w:autoRedefine/>
    <w:uiPriority w:val="39"/>
    <w:unhideWhenUsed/>
    <w:rsid w:val="0034404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4404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4404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4404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4404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44043"/>
    <w:pPr>
      <w:tabs>
        <w:tab w:val="left" w:pos="2160"/>
        <w:tab w:val="right" w:leader="dot" w:pos="8270"/>
      </w:tabs>
      <w:spacing w:after="100"/>
      <w:ind w:left="1800"/>
    </w:pPr>
    <w:rPr>
      <w:noProof/>
    </w:rPr>
  </w:style>
  <w:style w:type="table" w:customStyle="1" w:styleId="TableGrid1">
    <w:name w:val="Table Grid1"/>
    <w:basedOn w:val="TableNormal"/>
    <w:uiPriority w:val="59"/>
    <w:rsid w:val="0034404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4404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44043"/>
    <w:pPr>
      <w:numPr>
        <w:ilvl w:val="5"/>
      </w:numPr>
      <w:outlineLvl w:val="5"/>
    </w:pPr>
    <w:rPr>
      <w:i/>
      <w:u w:val="none"/>
    </w:rPr>
  </w:style>
  <w:style w:type="paragraph" w:styleId="FootnoteText">
    <w:name w:val="footnote text"/>
    <w:basedOn w:val="Normal"/>
    <w:link w:val="FootnoteTextChar"/>
    <w:uiPriority w:val="99"/>
    <w:unhideWhenUsed/>
    <w:rsid w:val="0034404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44043"/>
  </w:style>
  <w:style w:type="character" w:styleId="FootnoteReference">
    <w:name w:val="footnote reference"/>
    <w:basedOn w:val="DefaultParagraphFont"/>
    <w:uiPriority w:val="99"/>
    <w:semiHidden/>
    <w:unhideWhenUsed/>
    <w:rsid w:val="00344043"/>
    <w:rPr>
      <w:vertAlign w:val="superscript"/>
    </w:rPr>
  </w:style>
  <w:style w:type="paragraph" w:customStyle="1" w:styleId="marginalnote">
    <w:name w:val="marginalnote"/>
    <w:basedOn w:val="Normal"/>
    <w:rsid w:val="00344043"/>
    <w:pPr>
      <w:spacing w:before="100" w:beforeAutospacing="1" w:after="100" w:afterAutospacing="1"/>
    </w:pPr>
    <w:rPr>
      <w:szCs w:val="24"/>
      <w:lang w:val="en-US" w:eastAsia="en-US"/>
    </w:rPr>
  </w:style>
  <w:style w:type="paragraph" w:customStyle="1" w:styleId="subsection">
    <w:name w:val="subsection"/>
    <w:basedOn w:val="Normal"/>
    <w:rsid w:val="00344043"/>
    <w:pPr>
      <w:spacing w:before="100" w:beforeAutospacing="1" w:after="100" w:afterAutospacing="1"/>
    </w:pPr>
    <w:rPr>
      <w:szCs w:val="24"/>
      <w:lang w:val="en-US" w:eastAsia="en-US"/>
    </w:rPr>
  </w:style>
  <w:style w:type="character" w:customStyle="1" w:styleId="lawlabel">
    <w:name w:val="lawlabel"/>
    <w:basedOn w:val="DefaultParagraphFont"/>
    <w:rsid w:val="00344043"/>
  </w:style>
  <w:style w:type="character" w:customStyle="1" w:styleId="wb-invisible">
    <w:name w:val="wb-invisible"/>
    <w:basedOn w:val="DefaultParagraphFont"/>
    <w:rsid w:val="00344043"/>
  </w:style>
  <w:style w:type="character" w:styleId="HTMLCite">
    <w:name w:val="HTML Cite"/>
    <w:basedOn w:val="DefaultParagraphFont"/>
    <w:uiPriority w:val="99"/>
    <w:semiHidden/>
    <w:unhideWhenUsed/>
    <w:rsid w:val="00344043"/>
    <w:rPr>
      <w:i/>
      <w:iCs/>
    </w:rPr>
  </w:style>
  <w:style w:type="character" w:styleId="Hyperlink">
    <w:name w:val="Hyperlink"/>
    <w:basedOn w:val="DefaultParagraphFont"/>
    <w:uiPriority w:val="99"/>
    <w:unhideWhenUsed/>
    <w:rsid w:val="00344043"/>
    <w:rPr>
      <w:color w:val="0000FF"/>
      <w:u w:val="single"/>
    </w:rPr>
  </w:style>
  <w:style w:type="paragraph" w:customStyle="1" w:styleId="paragraph">
    <w:name w:val="paragraph"/>
    <w:basedOn w:val="Normal"/>
    <w:rsid w:val="00344043"/>
    <w:pPr>
      <w:spacing w:before="100" w:beforeAutospacing="1" w:after="100" w:afterAutospacing="1"/>
    </w:pPr>
    <w:rPr>
      <w:szCs w:val="24"/>
      <w:lang w:val="en-US" w:eastAsia="en-US"/>
    </w:rPr>
  </w:style>
  <w:style w:type="paragraph" w:customStyle="1" w:styleId="continuedsectionsubsection">
    <w:name w:val="continuedsectionsubsection"/>
    <w:basedOn w:val="Normal"/>
    <w:rsid w:val="00344043"/>
    <w:pPr>
      <w:spacing w:before="100" w:beforeAutospacing="1" w:after="100" w:afterAutospacing="1"/>
    </w:pPr>
    <w:rPr>
      <w:szCs w:val="24"/>
      <w:lang w:val="en-US" w:eastAsia="en-US"/>
    </w:rPr>
  </w:style>
  <w:style w:type="paragraph" w:styleId="ListParagraph">
    <w:name w:val="List Paragraph"/>
    <w:basedOn w:val="Normal"/>
    <w:uiPriority w:val="34"/>
    <w:qFormat/>
    <w:rsid w:val="00344043"/>
    <w:pPr>
      <w:ind w:left="720"/>
      <w:contextualSpacing/>
    </w:pPr>
    <w:rPr>
      <w:szCs w:val="24"/>
    </w:rPr>
  </w:style>
  <w:style w:type="character" w:customStyle="1" w:styleId="sectionlabel">
    <w:name w:val="sectionlabel"/>
    <w:basedOn w:val="DefaultParagraphFont"/>
    <w:rsid w:val="00344043"/>
  </w:style>
  <w:style w:type="character" w:styleId="HTMLDefinition">
    <w:name w:val="HTML Definition"/>
    <w:basedOn w:val="DefaultParagraphFont"/>
    <w:uiPriority w:val="99"/>
    <w:semiHidden/>
    <w:unhideWhenUsed/>
    <w:rsid w:val="00344043"/>
    <w:rPr>
      <w:i/>
      <w:iCs/>
    </w:rPr>
  </w:style>
  <w:style w:type="character" w:customStyle="1" w:styleId="srvd5">
    <w:name w:val="s_rvd5"/>
    <w:basedOn w:val="DefaultParagraphFont"/>
    <w:rsid w:val="00344043"/>
    <w:rPr>
      <w:rFonts w:ascii="Verdana" w:hAnsi="Verdana" w:hint="default"/>
      <w:b/>
      <w:bCs/>
      <w:i w:val="0"/>
      <w:iCs w:val="0"/>
      <w:caps w:val="0"/>
      <w:color w:val="000000"/>
      <w:sz w:val="18"/>
      <w:szCs w:val="18"/>
    </w:rPr>
  </w:style>
  <w:style w:type="character" w:customStyle="1" w:styleId="clickable">
    <w:name w:val="clickable"/>
    <w:basedOn w:val="DefaultParagraphFont"/>
    <w:rsid w:val="00344043"/>
  </w:style>
  <w:style w:type="character" w:customStyle="1" w:styleId="autoselectword1">
    <w:name w:val="autoselectword1"/>
    <w:basedOn w:val="DefaultParagraphFont"/>
    <w:rsid w:val="00344043"/>
  </w:style>
  <w:style w:type="character" w:customStyle="1" w:styleId="solexhl">
    <w:name w:val="solexhl"/>
    <w:basedOn w:val="DefaultParagraphFont"/>
    <w:rsid w:val="00344043"/>
  </w:style>
  <w:style w:type="character" w:customStyle="1" w:styleId="highlight">
    <w:name w:val="highlight"/>
    <w:basedOn w:val="DefaultParagraphFont"/>
    <w:rsid w:val="00344043"/>
  </w:style>
  <w:style w:type="character" w:customStyle="1" w:styleId="reflex2-link">
    <w:name w:val="reflex2-link"/>
    <w:basedOn w:val="DefaultParagraphFont"/>
    <w:rsid w:val="00344043"/>
  </w:style>
  <w:style w:type="character" w:customStyle="1" w:styleId="nowrap">
    <w:name w:val="nowrap"/>
    <w:basedOn w:val="DefaultParagraphFont"/>
    <w:rsid w:val="00344043"/>
  </w:style>
  <w:style w:type="character" w:styleId="CommentReference">
    <w:name w:val="annotation reference"/>
    <w:basedOn w:val="DefaultParagraphFont"/>
    <w:uiPriority w:val="99"/>
    <w:semiHidden/>
    <w:unhideWhenUsed/>
    <w:rsid w:val="00344043"/>
    <w:rPr>
      <w:sz w:val="16"/>
      <w:szCs w:val="16"/>
    </w:rPr>
  </w:style>
  <w:style w:type="paragraph" w:styleId="CommentText">
    <w:name w:val="annotation text"/>
    <w:basedOn w:val="Normal"/>
    <w:link w:val="CommentTextChar"/>
    <w:uiPriority w:val="99"/>
    <w:unhideWhenUsed/>
    <w:rsid w:val="00344043"/>
    <w:rPr>
      <w:sz w:val="20"/>
    </w:rPr>
  </w:style>
  <w:style w:type="character" w:customStyle="1" w:styleId="CommentTextChar">
    <w:name w:val="Comment Text Char"/>
    <w:basedOn w:val="DefaultParagraphFont"/>
    <w:link w:val="CommentText"/>
    <w:uiPriority w:val="99"/>
    <w:rsid w:val="00344043"/>
  </w:style>
  <w:style w:type="paragraph" w:styleId="CommentSubject">
    <w:name w:val="annotation subject"/>
    <w:basedOn w:val="CommentText"/>
    <w:next w:val="CommentText"/>
    <w:link w:val="CommentSubjectChar"/>
    <w:uiPriority w:val="99"/>
    <w:semiHidden/>
    <w:unhideWhenUsed/>
    <w:rsid w:val="00344043"/>
    <w:rPr>
      <w:b/>
      <w:bCs/>
    </w:rPr>
  </w:style>
  <w:style w:type="character" w:customStyle="1" w:styleId="CommentSubjectChar">
    <w:name w:val="Comment Subject Char"/>
    <w:basedOn w:val="CommentTextChar"/>
    <w:link w:val="CommentSubject"/>
    <w:uiPriority w:val="99"/>
    <w:semiHidden/>
    <w:rsid w:val="00344043"/>
    <w:rPr>
      <w:b/>
      <w:bCs/>
    </w:rPr>
  </w:style>
  <w:style w:type="paragraph" w:styleId="NormalWeb">
    <w:name w:val="Normal (Web)"/>
    <w:basedOn w:val="Normal"/>
    <w:uiPriority w:val="99"/>
    <w:semiHidden/>
    <w:unhideWhenUsed/>
    <w:rsid w:val="00344043"/>
    <w:pPr>
      <w:spacing w:before="100" w:beforeAutospacing="1" w:after="100" w:afterAutospacing="1"/>
    </w:pPr>
    <w:rPr>
      <w:rFonts w:ascii="Verdana" w:hAnsi="Verdana"/>
      <w:szCs w:val="24"/>
      <w:lang w:val="en-US" w:eastAsia="en-US"/>
    </w:rPr>
  </w:style>
  <w:style w:type="character" w:styleId="Emphasis">
    <w:name w:val="Emphasis"/>
    <w:basedOn w:val="DefaultParagraphFont"/>
    <w:uiPriority w:val="20"/>
    <w:qFormat/>
    <w:rsid w:val="00344043"/>
    <w:rPr>
      <w:i/>
      <w:iCs/>
    </w:rPr>
  </w:style>
  <w:style w:type="character" w:customStyle="1" w:styleId="Heading3Char">
    <w:name w:val="Heading 3 Char"/>
    <w:basedOn w:val="DefaultParagraphFont"/>
    <w:link w:val="Heading3"/>
    <w:uiPriority w:val="9"/>
    <w:rsid w:val="00344043"/>
    <w:rPr>
      <w:rFonts w:asciiTheme="majorHAnsi" w:eastAsiaTheme="majorEastAsia" w:hAnsiTheme="majorHAnsi" w:cstheme="majorBidi"/>
      <w:color w:val="243F60" w:themeColor="accent1" w:themeShade="7F"/>
      <w:sz w:val="24"/>
      <w:szCs w:val="24"/>
    </w:rPr>
  </w:style>
  <w:style w:type="character" w:customStyle="1" w:styleId="s2">
    <w:name w:val="s2"/>
    <w:basedOn w:val="DefaultParagraphFont"/>
    <w:rsid w:val="00344043"/>
  </w:style>
  <w:style w:type="character" w:customStyle="1" w:styleId="s3">
    <w:name w:val="s3"/>
    <w:basedOn w:val="DefaultParagraphFont"/>
    <w:rsid w:val="00344043"/>
  </w:style>
  <w:style w:type="character" w:styleId="SubtleEmphasis">
    <w:name w:val="Subtle Emphasis"/>
    <w:uiPriority w:val="19"/>
    <w:qFormat/>
    <w:rsid w:val="00344043"/>
    <w:rPr>
      <w:i/>
      <w:iCs/>
    </w:rPr>
  </w:style>
  <w:style w:type="paragraph" w:styleId="PlainText">
    <w:name w:val="Plain Text"/>
    <w:basedOn w:val="Normal"/>
    <w:link w:val="PlainTextChar"/>
    <w:uiPriority w:val="99"/>
    <w:unhideWhenUsed/>
    <w:rsid w:val="00344043"/>
    <w:rPr>
      <w:rFonts w:ascii="Calibri" w:eastAsiaTheme="minorHAnsi" w:hAnsi="Calibri" w:cstheme="minorBidi"/>
      <w:sz w:val="22"/>
      <w:szCs w:val="21"/>
      <w:lang w:val="fr-CA" w:eastAsia="en-US"/>
    </w:rPr>
  </w:style>
  <w:style w:type="character" w:customStyle="1" w:styleId="PlainTextChar">
    <w:name w:val="Plain Text Char"/>
    <w:basedOn w:val="DefaultParagraphFont"/>
    <w:link w:val="PlainText"/>
    <w:uiPriority w:val="99"/>
    <w:rsid w:val="00344043"/>
    <w:rPr>
      <w:rFonts w:ascii="Calibri" w:eastAsiaTheme="minorHAnsi" w:hAnsi="Calibri" w:cstheme="minorBidi"/>
      <w:sz w:val="22"/>
      <w:szCs w:val="21"/>
      <w:lang w:val="fr-CA" w:eastAsia="en-US"/>
    </w:rPr>
  </w:style>
  <w:style w:type="character" w:customStyle="1" w:styleId="decisia-reflex2-icon">
    <w:name w:val="decisia-reflex2-icon"/>
    <w:basedOn w:val="DefaultParagraphFont"/>
    <w:rsid w:val="00344043"/>
  </w:style>
  <w:style w:type="character" w:customStyle="1" w:styleId="sh2421823649">
    <w:name w:val="sh_2421823649"/>
    <w:basedOn w:val="DefaultParagraphFont"/>
    <w:rsid w:val="00344043"/>
  </w:style>
  <w:style w:type="character" w:customStyle="1" w:styleId="reflex">
    <w:name w:val="reflex"/>
    <w:basedOn w:val="DefaultParagraphFont"/>
    <w:rsid w:val="00344043"/>
  </w:style>
  <w:style w:type="table" w:customStyle="1" w:styleId="TableGrid2">
    <w:name w:val="Table Grid2"/>
    <w:basedOn w:val="TableNormal"/>
    <w:next w:val="TableGrid"/>
    <w:uiPriority w:val="59"/>
    <w:rsid w:val="0034404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cc-csc.ca/cso-dce/2021SCC-CSC30_2_fra.pdf" TargetMode="External"/><Relationship Id="rId4" Type="http://schemas.openxmlformats.org/officeDocument/2006/relationships/webSettings" Target="webSettings.xml"/><Relationship Id="rId9" Type="http://schemas.openxmlformats.org/officeDocument/2006/relationships/hyperlink" Target="https://www.scc-csc.ca/cso-dce/2021SCC-CSC30_1_fra.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180</Pages>
  <Words>45108</Words>
  <Characters>257116</Characters>
  <Application>Microsoft Office Word</Application>
  <DocSecurity>0</DocSecurity>
  <Lines>2142</Lines>
  <Paragraphs>603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301621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2021-07-28T01:07:00Z</dcterms:created>
  <dcterms:modified xsi:type="dcterms:W3CDTF">2022-03-24T20:40:00Z</dcterms:modified>
</cp:coreProperties>
</file>