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8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79"/>
        <w:gridCol w:w="1252"/>
        <w:gridCol w:w="3387"/>
      </w:tblGrid>
      <w:tr w:rsidR="00AE79CA" w:rsidRPr="00AE79CA" w:rsidTr="00186E94">
        <w:trPr>
          <w:trHeight w:val="1786"/>
        </w:trPr>
        <w:tc>
          <w:tcPr>
            <w:tcW w:w="5000" w:type="pct"/>
            <w:gridSpan w:val="4"/>
          </w:tcPr>
          <w:p w:rsidR="00AE79CA" w:rsidRPr="00AE79CA" w:rsidRDefault="00AE79CA" w:rsidP="00AE79CA">
            <w:pPr>
              <w:jc w:val="center"/>
              <w:rPr>
                <w:b/>
                <w:lang w:val="fr-CA"/>
              </w:rPr>
            </w:pPr>
            <w:r w:rsidRPr="00AE79CA">
              <w:rPr>
                <w:b/>
                <w:noProof/>
              </w:rPr>
              <w:drawing>
                <wp:inline distT="0" distB="0" distL="0" distR="0" wp14:anchorId="05C2F56A" wp14:editId="234DA9A5">
                  <wp:extent cx="1191895" cy="1638300"/>
                  <wp:effectExtent l="0" t="0" r="8255"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rsidR="00AE79CA" w:rsidRPr="00AE79CA" w:rsidRDefault="00AE79CA" w:rsidP="00AE79CA">
            <w:pPr>
              <w:spacing w:before="120" w:after="100" w:afterAutospacing="1"/>
              <w:jc w:val="center"/>
              <w:rPr>
                <w:lang w:val="fr-CA"/>
              </w:rPr>
            </w:pPr>
            <w:r w:rsidRPr="00AE79CA">
              <w:rPr>
                <w:b/>
                <w:lang w:val="fr-CA"/>
              </w:rPr>
              <w:t>COUR SUPRÊME DU CANADA</w:t>
            </w:r>
          </w:p>
        </w:tc>
      </w:tr>
      <w:tr w:rsidR="00AE79CA" w:rsidRPr="00AE79CA" w:rsidTr="00186E94">
        <w:tblPrEx>
          <w:tblCellMar>
            <w:top w:w="58" w:type="dxa"/>
            <w:left w:w="58" w:type="dxa"/>
            <w:bottom w:w="58" w:type="dxa"/>
            <w:right w:w="58" w:type="dxa"/>
          </w:tblCellMar>
        </w:tblPrEx>
        <w:trPr>
          <w:cantSplit/>
        </w:trPr>
        <w:tc>
          <w:tcPr>
            <w:tcW w:w="2110" w:type="pct"/>
            <w:gridSpan w:val="2"/>
          </w:tcPr>
          <w:p w:rsidR="00AE79CA" w:rsidRPr="00AE79CA" w:rsidRDefault="00AE79CA" w:rsidP="00AE79CA">
            <w:pPr>
              <w:rPr>
                <w:b/>
                <w:smallCaps/>
                <w:lang w:val="fr-CA"/>
              </w:rPr>
            </w:pPr>
          </w:p>
          <w:p w:rsidR="00AE79CA" w:rsidRPr="00AE79CA" w:rsidRDefault="00AE79CA" w:rsidP="00AE79CA">
            <w:pPr>
              <w:rPr>
                <w:b/>
                <w:smallCaps/>
                <w:lang w:val="fr-CA"/>
              </w:rPr>
            </w:pPr>
            <w:r w:rsidRPr="00AE79CA">
              <w:rPr>
                <w:b/>
                <w:smallCaps/>
                <w:lang w:val="fr-CA"/>
              </w:rPr>
              <w:t>Référence :</w:t>
            </w:r>
            <w:r w:rsidRPr="00AE79CA">
              <w:rPr>
                <w:lang w:val="fr-CA"/>
              </w:rPr>
              <w:t xml:space="preserve"> Grant Thornton LLP </w:t>
            </w:r>
            <w:r w:rsidRPr="00AE79CA">
              <w:rPr>
                <w:i/>
                <w:lang w:val="fr-CA"/>
              </w:rPr>
              <w:t>c.</w:t>
            </w:r>
            <w:r w:rsidRPr="00AE79CA">
              <w:rPr>
                <w:lang w:val="fr-CA"/>
              </w:rPr>
              <w:t xml:space="preserve"> Nouveau-Brunswick, 2021 CSC 31</w:t>
            </w:r>
          </w:p>
        </w:tc>
        <w:tc>
          <w:tcPr>
            <w:tcW w:w="780" w:type="pct"/>
          </w:tcPr>
          <w:p w:rsidR="00AE79CA" w:rsidRPr="00AE79CA" w:rsidRDefault="00AE79CA" w:rsidP="00AE79CA">
            <w:pPr>
              <w:rPr>
                <w:lang w:val="fr-CA"/>
              </w:rPr>
            </w:pPr>
          </w:p>
        </w:tc>
        <w:tc>
          <w:tcPr>
            <w:tcW w:w="2110" w:type="pct"/>
          </w:tcPr>
          <w:p w:rsidR="00AE79CA" w:rsidRPr="00AE79CA" w:rsidRDefault="00AE79CA" w:rsidP="00AE79CA">
            <w:pPr>
              <w:jc w:val="both"/>
              <w:rPr>
                <w:b/>
                <w:smallCaps/>
                <w:lang w:val="fr-CA"/>
              </w:rPr>
            </w:pPr>
          </w:p>
          <w:p w:rsidR="00AE79CA" w:rsidRPr="00AE79CA" w:rsidRDefault="00AE79CA" w:rsidP="00AE79CA">
            <w:pPr>
              <w:jc w:val="both"/>
              <w:rPr>
                <w:lang w:val="fr-CA"/>
              </w:rPr>
            </w:pPr>
            <w:r w:rsidRPr="00AE79CA">
              <w:rPr>
                <w:b/>
                <w:smallCaps/>
                <w:lang w:val="fr-CA"/>
              </w:rPr>
              <w:t>Appel</w:t>
            </w:r>
            <w:r w:rsidR="00212FBC">
              <w:rPr>
                <w:b/>
                <w:smallCaps/>
                <w:lang w:val="fr-CA"/>
              </w:rPr>
              <w:t>s</w:t>
            </w:r>
            <w:r w:rsidRPr="00AE79CA">
              <w:rPr>
                <w:b/>
                <w:smallCaps/>
                <w:lang w:val="fr-CA"/>
              </w:rPr>
              <w:t xml:space="preserve"> entendu</w:t>
            </w:r>
            <w:r w:rsidR="00212FBC">
              <w:rPr>
                <w:b/>
                <w:smallCaps/>
                <w:lang w:val="fr-CA"/>
              </w:rPr>
              <w:t>s</w:t>
            </w:r>
            <w:bookmarkStart w:id="0" w:name="_GoBack"/>
            <w:bookmarkEnd w:id="0"/>
            <w:r w:rsidRPr="00AE79CA">
              <w:rPr>
                <w:b/>
                <w:smallCaps/>
                <w:lang w:val="fr-CA"/>
              </w:rPr>
              <w:t> :</w:t>
            </w:r>
            <w:r w:rsidRPr="00AE79CA">
              <w:rPr>
                <w:lang w:val="fr-CA"/>
              </w:rPr>
              <w:t xml:space="preserve"> 24 mars 2021</w:t>
            </w:r>
          </w:p>
          <w:p w:rsidR="00AE79CA" w:rsidRPr="00AE79CA" w:rsidRDefault="00AE79CA" w:rsidP="00AE79CA">
            <w:pPr>
              <w:rPr>
                <w:lang w:val="fr-CA"/>
              </w:rPr>
            </w:pPr>
            <w:r w:rsidRPr="00AE79CA">
              <w:rPr>
                <w:b/>
                <w:smallCaps/>
                <w:lang w:val="fr-CA"/>
              </w:rPr>
              <w:t>Jugement rendu :</w:t>
            </w:r>
            <w:r w:rsidRPr="00AE79CA">
              <w:rPr>
                <w:lang w:val="fr-CA"/>
              </w:rPr>
              <w:t xml:space="preserve"> 29 juillet 2021</w:t>
            </w:r>
          </w:p>
          <w:p w:rsidR="00AE79CA" w:rsidRPr="00AE79CA" w:rsidRDefault="00AE79CA" w:rsidP="00AE79CA">
            <w:pPr>
              <w:rPr>
                <w:lang w:val="fr-CA"/>
              </w:rPr>
            </w:pPr>
            <w:r w:rsidRPr="00AE79CA">
              <w:rPr>
                <w:b/>
                <w:smallCaps/>
                <w:lang w:val="fr-CA"/>
              </w:rPr>
              <w:t>Dossier :</w:t>
            </w:r>
            <w:r w:rsidRPr="00AE79CA">
              <w:rPr>
                <w:lang w:val="fr-CA"/>
              </w:rPr>
              <w:t xml:space="preserve"> 39182</w:t>
            </w:r>
          </w:p>
        </w:tc>
      </w:tr>
      <w:tr w:rsidR="00AE79CA" w:rsidRPr="00212FBC" w:rsidTr="00186E94">
        <w:tblPrEx>
          <w:tblCellMar>
            <w:top w:w="58" w:type="dxa"/>
            <w:left w:w="58" w:type="dxa"/>
            <w:bottom w:w="58" w:type="dxa"/>
            <w:right w:w="58" w:type="dxa"/>
          </w:tblCellMar>
        </w:tblPrEx>
        <w:trPr>
          <w:cantSplit/>
        </w:trPr>
        <w:tc>
          <w:tcPr>
            <w:tcW w:w="5000" w:type="pct"/>
            <w:gridSpan w:val="4"/>
          </w:tcPr>
          <w:p w:rsidR="00AE79CA" w:rsidRPr="00AE79CA" w:rsidRDefault="00AE79CA" w:rsidP="00AE79CA">
            <w:pPr>
              <w:rPr>
                <w:lang w:val="fr-CA"/>
              </w:rPr>
            </w:pPr>
          </w:p>
          <w:p w:rsidR="00AE79CA" w:rsidRPr="00AE79CA" w:rsidRDefault="00AE79CA" w:rsidP="00AE79CA">
            <w:pPr>
              <w:rPr>
                <w:b/>
                <w:smallCaps/>
                <w:lang w:val="fr-CA"/>
              </w:rPr>
            </w:pPr>
            <w:r w:rsidRPr="00AE79CA">
              <w:rPr>
                <w:b/>
                <w:smallCaps/>
                <w:lang w:val="fr-CA"/>
              </w:rPr>
              <w:t>Entre :</w:t>
            </w:r>
          </w:p>
          <w:p w:rsidR="00AE79CA" w:rsidRPr="00AE79CA" w:rsidRDefault="00AE79CA" w:rsidP="00AE79CA">
            <w:pPr>
              <w:jc w:val="center"/>
              <w:rPr>
                <w:b/>
                <w:lang w:val="fr-CA"/>
              </w:rPr>
            </w:pPr>
            <w:r w:rsidRPr="00AE79CA">
              <w:rPr>
                <w:b/>
                <w:lang w:val="fr-CA"/>
              </w:rPr>
              <w:t>Grant Thornton LLP et Kent M. Ostridge</w:t>
            </w:r>
          </w:p>
          <w:p w:rsidR="00AE79CA" w:rsidRPr="00AE79CA" w:rsidRDefault="00AE79CA" w:rsidP="00AE79CA">
            <w:pPr>
              <w:jc w:val="center"/>
              <w:rPr>
                <w:lang w:val="fr-CA"/>
              </w:rPr>
            </w:pPr>
            <w:r w:rsidRPr="00AE79CA">
              <w:rPr>
                <w:lang w:val="fr-CA"/>
              </w:rPr>
              <w:t>Appelants</w:t>
            </w:r>
          </w:p>
          <w:p w:rsidR="00AE79CA" w:rsidRPr="00AE79CA" w:rsidRDefault="00AE79CA" w:rsidP="00AE79CA">
            <w:pPr>
              <w:rPr>
                <w:lang w:val="fr-CA"/>
              </w:rPr>
            </w:pPr>
          </w:p>
          <w:p w:rsidR="00AE79CA" w:rsidRPr="00AE79CA" w:rsidRDefault="00AE79CA" w:rsidP="00AE79CA">
            <w:pPr>
              <w:jc w:val="center"/>
              <w:rPr>
                <w:lang w:val="fr-CA"/>
              </w:rPr>
            </w:pPr>
            <w:r w:rsidRPr="00AE79CA">
              <w:rPr>
                <w:lang w:val="fr-CA"/>
              </w:rPr>
              <w:t>et</w:t>
            </w:r>
          </w:p>
          <w:p w:rsidR="00AE79CA" w:rsidRPr="00AE79CA" w:rsidRDefault="00AE79CA" w:rsidP="00AE79CA">
            <w:pPr>
              <w:rPr>
                <w:lang w:val="fr-CA"/>
              </w:rPr>
            </w:pPr>
          </w:p>
          <w:p w:rsidR="00AE79CA" w:rsidRPr="00AE79CA" w:rsidRDefault="00AE79CA" w:rsidP="00AE79CA">
            <w:pPr>
              <w:jc w:val="center"/>
              <w:rPr>
                <w:b/>
                <w:lang w:val="fr-CA"/>
              </w:rPr>
            </w:pPr>
            <w:r w:rsidRPr="00AE79CA">
              <w:rPr>
                <w:b/>
                <w:lang w:val="fr-CA"/>
              </w:rPr>
              <w:t>Province du Nouveau-Brunswick</w:t>
            </w:r>
          </w:p>
          <w:p w:rsidR="00AE79CA" w:rsidRPr="00AE79CA" w:rsidRDefault="00AE79CA" w:rsidP="00AE79CA">
            <w:pPr>
              <w:jc w:val="center"/>
              <w:rPr>
                <w:lang w:val="fr-CA"/>
              </w:rPr>
            </w:pPr>
            <w:r w:rsidRPr="00AE79CA">
              <w:rPr>
                <w:lang w:val="fr-CA"/>
              </w:rPr>
              <w:t>Intimée</w:t>
            </w:r>
          </w:p>
          <w:p w:rsidR="00AE79CA" w:rsidRPr="00AE79CA" w:rsidRDefault="00AE79CA" w:rsidP="00AE79CA">
            <w:pPr>
              <w:rPr>
                <w:lang w:val="fr-CA"/>
              </w:rPr>
            </w:pPr>
          </w:p>
          <w:p w:rsidR="00AE79CA" w:rsidRPr="00AE79CA" w:rsidRDefault="00AE79CA" w:rsidP="00AE79CA">
            <w:pPr>
              <w:rPr>
                <w:b/>
                <w:smallCaps/>
                <w:lang w:val="fr-CA"/>
              </w:rPr>
            </w:pPr>
            <w:r w:rsidRPr="00AE79CA">
              <w:rPr>
                <w:b/>
                <w:smallCaps/>
                <w:lang w:val="fr-CA"/>
              </w:rPr>
              <w:t>Et entre :</w:t>
            </w:r>
          </w:p>
          <w:p w:rsidR="00AE79CA" w:rsidRPr="00AE79CA" w:rsidRDefault="00AE79CA" w:rsidP="00AE79CA">
            <w:pPr>
              <w:jc w:val="center"/>
              <w:rPr>
                <w:b/>
                <w:lang w:val="fr-CA"/>
              </w:rPr>
            </w:pPr>
            <w:r w:rsidRPr="00AE79CA">
              <w:rPr>
                <w:b/>
                <w:lang w:val="fr-CA"/>
              </w:rPr>
              <w:t>Grant Thornton International Ltd.</w:t>
            </w:r>
          </w:p>
          <w:p w:rsidR="00AE79CA" w:rsidRPr="00AE79CA" w:rsidRDefault="00AE79CA" w:rsidP="00AE79CA">
            <w:pPr>
              <w:jc w:val="center"/>
              <w:rPr>
                <w:lang w:val="fr-CA"/>
              </w:rPr>
            </w:pPr>
            <w:r w:rsidRPr="00AE79CA">
              <w:rPr>
                <w:lang w:val="fr-CA"/>
              </w:rPr>
              <w:t>Appelante</w:t>
            </w:r>
          </w:p>
          <w:p w:rsidR="00AE79CA" w:rsidRPr="00AE79CA" w:rsidRDefault="00AE79CA" w:rsidP="00AE79CA">
            <w:pPr>
              <w:rPr>
                <w:lang w:val="fr-CA"/>
              </w:rPr>
            </w:pPr>
          </w:p>
          <w:p w:rsidR="00AE79CA" w:rsidRPr="00AE79CA" w:rsidRDefault="00AE79CA" w:rsidP="00AE79CA">
            <w:pPr>
              <w:jc w:val="center"/>
              <w:rPr>
                <w:lang w:val="fr-CA"/>
              </w:rPr>
            </w:pPr>
            <w:r w:rsidRPr="00AE79CA">
              <w:rPr>
                <w:lang w:val="fr-CA"/>
              </w:rPr>
              <w:t>et</w:t>
            </w:r>
          </w:p>
          <w:p w:rsidR="00AE79CA" w:rsidRPr="00AE79CA" w:rsidRDefault="00AE79CA" w:rsidP="00AE79CA">
            <w:pPr>
              <w:rPr>
                <w:lang w:val="fr-CA"/>
              </w:rPr>
            </w:pPr>
          </w:p>
          <w:p w:rsidR="00AE79CA" w:rsidRPr="00AE79CA" w:rsidRDefault="00AE79CA" w:rsidP="00AE79CA">
            <w:pPr>
              <w:jc w:val="center"/>
              <w:rPr>
                <w:b/>
                <w:lang w:val="fr-CA"/>
              </w:rPr>
            </w:pPr>
            <w:r w:rsidRPr="00AE79CA">
              <w:rPr>
                <w:b/>
                <w:lang w:val="fr-CA"/>
              </w:rPr>
              <w:t>Province du Nouveau-Brunswick</w:t>
            </w:r>
          </w:p>
          <w:p w:rsidR="00AE79CA" w:rsidRPr="00AE79CA" w:rsidRDefault="00AE79CA" w:rsidP="00AE79CA">
            <w:pPr>
              <w:jc w:val="center"/>
              <w:rPr>
                <w:lang w:val="fr-CA"/>
              </w:rPr>
            </w:pPr>
            <w:r w:rsidRPr="00AE79CA">
              <w:rPr>
                <w:lang w:val="fr-CA"/>
              </w:rPr>
              <w:t>Intimée</w:t>
            </w:r>
          </w:p>
          <w:p w:rsidR="00AE79CA" w:rsidRPr="00AE79CA" w:rsidRDefault="00AE79CA" w:rsidP="00AE79CA">
            <w:pPr>
              <w:rPr>
                <w:lang w:val="fr-CA"/>
              </w:rPr>
            </w:pPr>
          </w:p>
          <w:p w:rsidR="00AE79CA" w:rsidRPr="00AE79CA" w:rsidRDefault="00AE79CA" w:rsidP="00AE79CA">
            <w:pPr>
              <w:jc w:val="center"/>
              <w:rPr>
                <w:lang w:val="fr-CA"/>
              </w:rPr>
            </w:pPr>
            <w:r w:rsidRPr="00AE79CA">
              <w:rPr>
                <w:lang w:val="fr-CA"/>
              </w:rPr>
              <w:t>- et -</w:t>
            </w:r>
          </w:p>
          <w:p w:rsidR="00AE79CA" w:rsidRPr="00AE79CA" w:rsidRDefault="00AE79CA" w:rsidP="00AE79CA">
            <w:pPr>
              <w:rPr>
                <w:lang w:val="fr-CA"/>
              </w:rPr>
            </w:pPr>
          </w:p>
          <w:p w:rsidR="00AE79CA" w:rsidRPr="00AE79CA" w:rsidRDefault="00AE79CA" w:rsidP="00AE79CA">
            <w:pPr>
              <w:jc w:val="center"/>
              <w:rPr>
                <w:b/>
                <w:lang w:val="fr-CA"/>
              </w:rPr>
            </w:pPr>
            <w:r w:rsidRPr="00AE79CA">
              <w:rPr>
                <w:b/>
                <w:lang w:val="fr-CA"/>
              </w:rPr>
              <w:t>Comptables professionnels agréés du Canada</w:t>
            </w:r>
          </w:p>
          <w:p w:rsidR="00AE79CA" w:rsidRPr="00AE79CA" w:rsidRDefault="00AE79CA" w:rsidP="00AE79CA">
            <w:pPr>
              <w:jc w:val="center"/>
              <w:rPr>
                <w:lang w:val="fr-CA"/>
              </w:rPr>
            </w:pPr>
            <w:r w:rsidRPr="00AE79CA">
              <w:rPr>
                <w:lang w:val="fr-CA"/>
              </w:rPr>
              <w:t>Intervenante</w:t>
            </w:r>
          </w:p>
          <w:p w:rsidR="00AE79CA" w:rsidRPr="00AE79CA" w:rsidRDefault="00AE79CA" w:rsidP="00AE79CA">
            <w:pPr>
              <w:rPr>
                <w:lang w:val="fr-CA"/>
              </w:rPr>
            </w:pPr>
          </w:p>
          <w:p w:rsidR="00AE79CA" w:rsidRPr="00AE79CA" w:rsidRDefault="00AE79CA" w:rsidP="00AE79CA">
            <w:pPr>
              <w:jc w:val="center"/>
              <w:rPr>
                <w:b/>
                <w:smallCaps/>
                <w:lang w:val="fr-CA"/>
              </w:rPr>
            </w:pPr>
            <w:r w:rsidRPr="00AE79CA">
              <w:rPr>
                <w:b/>
                <w:smallCaps/>
                <w:lang w:val="fr-CA"/>
              </w:rPr>
              <w:t>Traduction française officielle</w:t>
            </w:r>
          </w:p>
          <w:p w:rsidR="00AE79CA" w:rsidRPr="00AE79CA" w:rsidRDefault="00AE79CA" w:rsidP="00AE79CA">
            <w:pPr>
              <w:rPr>
                <w:lang w:val="fr-CA"/>
              </w:rPr>
            </w:pPr>
          </w:p>
          <w:p w:rsidR="00AE79CA" w:rsidRPr="00AE79CA" w:rsidRDefault="00AE79CA" w:rsidP="00AE79CA">
            <w:pPr>
              <w:rPr>
                <w:lang w:val="fr-CA"/>
              </w:rPr>
            </w:pPr>
            <w:r w:rsidRPr="00AE79CA">
              <w:rPr>
                <w:b/>
                <w:smallCaps/>
                <w:lang w:val="fr-CA"/>
              </w:rPr>
              <w:t>Coram :</w:t>
            </w:r>
            <w:r w:rsidRPr="00AE79CA">
              <w:rPr>
                <w:lang w:val="fr-CA"/>
              </w:rPr>
              <w:t xml:space="preserve"> Les juges Moldaver, Karakatsanis, Côté, Brown, Rowe, Martin et Kasirer</w:t>
            </w:r>
          </w:p>
          <w:p w:rsidR="00AE79CA" w:rsidRPr="00AE79CA" w:rsidRDefault="00AE79CA" w:rsidP="00AE79CA">
            <w:pPr>
              <w:jc w:val="both"/>
              <w:rPr>
                <w:b/>
                <w:smallCaps/>
                <w:lang w:val="fr-CA"/>
              </w:rPr>
            </w:pPr>
          </w:p>
        </w:tc>
      </w:tr>
      <w:tr w:rsidR="00AE79CA" w:rsidRPr="00212FBC" w:rsidTr="00186E94">
        <w:tblPrEx>
          <w:tblCellMar>
            <w:top w:w="58" w:type="dxa"/>
            <w:left w:w="58" w:type="dxa"/>
            <w:bottom w:w="58" w:type="dxa"/>
            <w:right w:w="58" w:type="dxa"/>
          </w:tblCellMar>
        </w:tblPrEx>
        <w:trPr>
          <w:cantSplit/>
        </w:trPr>
        <w:tc>
          <w:tcPr>
            <w:tcW w:w="1251" w:type="pct"/>
          </w:tcPr>
          <w:p w:rsidR="00AE79CA" w:rsidRPr="00AE79CA" w:rsidRDefault="00AE79CA" w:rsidP="00AE79CA">
            <w:pPr>
              <w:rPr>
                <w:smallCaps/>
                <w:lang w:val="fr-CA"/>
              </w:rPr>
            </w:pPr>
            <w:r w:rsidRPr="00AE79CA">
              <w:rPr>
                <w:b/>
                <w:smallCaps/>
                <w:lang w:val="fr-CA"/>
              </w:rPr>
              <w:lastRenderedPageBreak/>
              <w:t>Motifs de jugement :</w:t>
            </w:r>
            <w:r w:rsidRPr="00AE79CA">
              <w:rPr>
                <w:smallCaps/>
                <w:lang w:val="fr-CA"/>
              </w:rPr>
              <w:t xml:space="preserve"> </w:t>
            </w:r>
          </w:p>
          <w:p w:rsidR="00AE79CA" w:rsidRPr="00AE79CA" w:rsidRDefault="00AE79CA" w:rsidP="00AE79CA">
            <w:pPr>
              <w:rPr>
                <w:lang w:val="fr-CA"/>
              </w:rPr>
            </w:pPr>
            <w:r w:rsidRPr="00AE79CA">
              <w:rPr>
                <w:lang w:val="fr-CA"/>
              </w:rPr>
              <w:t>(par. 1 à 64)</w:t>
            </w:r>
          </w:p>
        </w:tc>
        <w:tc>
          <w:tcPr>
            <w:tcW w:w="3749" w:type="pct"/>
            <w:gridSpan w:val="3"/>
          </w:tcPr>
          <w:p w:rsidR="00AE79CA" w:rsidRPr="00AE79CA" w:rsidRDefault="00AE79CA" w:rsidP="00AE79CA">
            <w:pPr>
              <w:rPr>
                <w:lang w:val="fr-CA"/>
              </w:rPr>
            </w:pPr>
            <w:r w:rsidRPr="00AE79CA">
              <w:rPr>
                <w:lang w:val="fr-CA"/>
              </w:rPr>
              <w:t>Le juge Moldaver (avec l’accord des juges Karakatsanis, Côté, Brown, Rowe, Martin et Kasirer)</w:t>
            </w:r>
          </w:p>
        </w:tc>
      </w:tr>
    </w:tbl>
    <w:p w:rsidR="00AE79CA" w:rsidRPr="00AE79CA" w:rsidRDefault="00AE79CA" w:rsidP="00AE79CA">
      <w:pPr>
        <w:rPr>
          <w:rFonts w:eastAsiaTheme="minorHAnsi" w:cstheme="minorBidi"/>
          <w:szCs w:val="24"/>
          <w:lang w:val="fr-CA" w:eastAsia="en-US"/>
        </w:rPr>
      </w:pPr>
    </w:p>
    <w:p w:rsidR="00AE79CA" w:rsidRPr="00AE79CA" w:rsidRDefault="00AE79CA" w:rsidP="00AE79CA">
      <w:pPr>
        <w:rPr>
          <w:rFonts w:eastAsiaTheme="minorHAnsi" w:cstheme="minorBidi"/>
          <w:szCs w:val="24"/>
          <w:lang w:val="fr-CA" w:eastAsia="en-US"/>
        </w:rPr>
      </w:pPr>
    </w:p>
    <w:p w:rsidR="00AE79CA" w:rsidRPr="00AE79CA" w:rsidRDefault="00AE79CA" w:rsidP="00AE79CA">
      <w:pPr>
        <w:rPr>
          <w:rFonts w:eastAsiaTheme="minorHAnsi" w:cstheme="minorBidi"/>
          <w:szCs w:val="24"/>
          <w:lang w:val="fr-CA" w:eastAsia="en-US"/>
        </w:rPr>
      </w:pPr>
    </w:p>
    <w:p w:rsidR="00AE79CA" w:rsidRPr="00AE79CA" w:rsidRDefault="00AE79CA" w:rsidP="00AE79CA">
      <w:pPr>
        <w:rPr>
          <w:rFonts w:eastAsiaTheme="minorHAnsi" w:cstheme="minorBidi"/>
          <w:szCs w:val="24"/>
          <w:lang w:val="fr-CA" w:eastAsia="en-US"/>
        </w:rPr>
      </w:pPr>
    </w:p>
    <w:p w:rsidR="00AE79CA" w:rsidRPr="00AE79CA" w:rsidRDefault="00AE79CA" w:rsidP="00AE79CA">
      <w:pPr>
        <w:rPr>
          <w:rFonts w:eastAsiaTheme="minorHAnsi" w:cstheme="minorBidi"/>
          <w:szCs w:val="24"/>
          <w:lang w:val="fr-CA" w:eastAsia="en-US"/>
        </w:rPr>
      </w:pPr>
    </w:p>
    <w:p w:rsidR="00AE79CA" w:rsidRPr="00AE79CA" w:rsidRDefault="00AE79CA" w:rsidP="00AE79CA">
      <w:pPr>
        <w:rPr>
          <w:rFonts w:eastAsiaTheme="minorHAnsi" w:cstheme="minorBidi"/>
          <w:szCs w:val="24"/>
          <w:lang w:val="fr-CA" w:eastAsia="en-US"/>
        </w:rPr>
      </w:pPr>
      <w:r w:rsidRPr="00AE79CA">
        <w:rPr>
          <w:rFonts w:eastAsiaTheme="minorHAnsi" w:cstheme="minorBidi"/>
          <w:b/>
          <w:smallCaps/>
          <w:szCs w:val="24"/>
          <w:lang w:val="fr-CA" w:eastAsia="en-US"/>
        </w:rPr>
        <w:t>Note :</w:t>
      </w:r>
      <w:r w:rsidRPr="00AE79CA">
        <w:rPr>
          <w:rFonts w:eastAsiaTheme="minorHAnsi" w:cstheme="minorBidi"/>
          <w:b/>
          <w:szCs w:val="24"/>
          <w:lang w:val="fr-CA" w:eastAsia="en-US"/>
        </w:rPr>
        <w:t xml:space="preserve"> </w:t>
      </w:r>
      <w:r w:rsidRPr="00AE79CA">
        <w:rPr>
          <w:rFonts w:eastAsiaTheme="minorHAnsi" w:cstheme="minorBidi"/>
          <w:szCs w:val="24"/>
          <w:lang w:val="fr-CA" w:eastAsia="en-US"/>
        </w:rPr>
        <w:t xml:space="preserve">Ce document fera l’objet de retouches de forme avant la parution de sa version définitive dans le </w:t>
      </w:r>
      <w:r w:rsidRPr="00AE79CA">
        <w:rPr>
          <w:rFonts w:eastAsiaTheme="minorHAnsi" w:cstheme="minorBidi"/>
          <w:i/>
          <w:szCs w:val="24"/>
          <w:lang w:val="fr-CA" w:eastAsia="en-US"/>
        </w:rPr>
        <w:t>Recueil des arrêts de la Cour suprême du Canada</w:t>
      </w:r>
      <w:r w:rsidRPr="00AE79CA">
        <w:rPr>
          <w:rFonts w:eastAsiaTheme="minorHAnsi" w:cstheme="minorBidi"/>
          <w:szCs w:val="24"/>
          <w:lang w:val="fr-CA"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AE79CA" w:rsidRPr="00212FBC" w:rsidTr="00186E94">
        <w:tc>
          <w:tcPr>
            <w:tcW w:w="1500" w:type="pct"/>
            <w:tcMar>
              <w:top w:w="284" w:type="dxa"/>
            </w:tcMar>
          </w:tcPr>
          <w:p w:rsidR="00AE79CA" w:rsidRPr="00AE79CA" w:rsidRDefault="00AE79CA" w:rsidP="00AE79CA">
            <w:pPr>
              <w:rPr>
                <w:lang w:val="fr-CA"/>
              </w:rPr>
            </w:pPr>
          </w:p>
        </w:tc>
        <w:tc>
          <w:tcPr>
            <w:tcW w:w="2000" w:type="pct"/>
            <w:tcBorders>
              <w:bottom w:val="single" w:sz="4" w:space="0" w:color="auto"/>
            </w:tcBorders>
            <w:tcMar>
              <w:top w:w="284" w:type="dxa"/>
            </w:tcMar>
          </w:tcPr>
          <w:p w:rsidR="00AE79CA" w:rsidRPr="00AE79CA" w:rsidRDefault="00AE79CA" w:rsidP="00AE79CA">
            <w:pPr>
              <w:rPr>
                <w:lang w:val="fr-CA"/>
              </w:rPr>
            </w:pPr>
          </w:p>
        </w:tc>
        <w:tc>
          <w:tcPr>
            <w:tcW w:w="1500" w:type="pct"/>
            <w:tcMar>
              <w:top w:w="284" w:type="dxa"/>
            </w:tcMar>
          </w:tcPr>
          <w:p w:rsidR="00AE79CA" w:rsidRPr="00AE79CA" w:rsidRDefault="00AE79CA" w:rsidP="00AE79CA">
            <w:pPr>
              <w:rPr>
                <w:lang w:val="fr-CA"/>
              </w:rPr>
            </w:pPr>
          </w:p>
        </w:tc>
      </w:tr>
    </w:tbl>
    <w:p w:rsidR="00AE79CA" w:rsidRPr="00AE79CA" w:rsidRDefault="00AE79CA" w:rsidP="00AE79CA">
      <w:pPr>
        <w:rPr>
          <w:rFonts w:eastAsiaTheme="minorHAnsi" w:cstheme="minorBidi"/>
          <w:szCs w:val="24"/>
          <w:lang w:val="fr-CA" w:eastAsia="en-US"/>
        </w:rPr>
      </w:pPr>
    </w:p>
    <w:p w:rsidR="00AE79CA" w:rsidRDefault="00AE79CA">
      <w:pPr>
        <w:rPr>
          <w:rStyle w:val="SCCAppellantForRunningHeadChar"/>
          <w:lang w:val="fr-CA"/>
        </w:rPr>
      </w:pPr>
      <w:r>
        <w:rPr>
          <w:rStyle w:val="SCCAppellantForRunningHeadChar"/>
          <w:lang w:val="fr-CA"/>
        </w:rPr>
        <w:br w:type="page"/>
      </w:r>
    </w:p>
    <w:p w:rsidR="004D7D95" w:rsidRPr="000B0F35" w:rsidRDefault="003F1A49" w:rsidP="000B0F35">
      <w:pPr>
        <w:spacing w:after="720"/>
        <w:jc w:val="both"/>
        <w:rPr>
          <w:lang w:val="fr-CA"/>
        </w:rPr>
      </w:pPr>
      <w:r w:rsidRPr="000B0F35">
        <w:rPr>
          <w:rStyle w:val="SCCAppellantForRunningHeadChar"/>
          <w:lang w:val="fr-CA"/>
        </w:rPr>
        <w:lastRenderedPageBreak/>
        <w:t xml:space="preserve">grant thornton llp </w:t>
      </w:r>
      <w:r w:rsidRPr="000B0F35">
        <w:rPr>
          <w:i/>
          <w:lang w:val="fr-CA"/>
        </w:rPr>
        <w:t>c.</w:t>
      </w:r>
      <w:r w:rsidRPr="000B0F35">
        <w:rPr>
          <w:lang w:val="fr-CA"/>
        </w:rPr>
        <w:t xml:space="preserve"> </w:t>
      </w:r>
      <w:r w:rsidRPr="000B0F35">
        <w:rPr>
          <w:rStyle w:val="SCCRespondentForRunningHeadChar"/>
          <w:lang w:val="fr-CA"/>
        </w:rPr>
        <w:t>nouveau</w:t>
      </w:r>
      <w:r w:rsidR="000B0F35" w:rsidRPr="000B0F35">
        <w:rPr>
          <w:rStyle w:val="SCCRespondentForRunningHeadChar"/>
          <w:lang w:val="fr-CA"/>
        </w:rPr>
        <w:noBreakHyphen/>
      </w:r>
      <w:r w:rsidRPr="000B0F35">
        <w:rPr>
          <w:rStyle w:val="SCCRespondentForRunningHeadChar"/>
          <w:lang w:val="fr-CA"/>
        </w:rPr>
        <w:t>brunswick</w:t>
      </w:r>
    </w:p>
    <w:p w:rsidR="00E3673B" w:rsidRPr="000B0F35" w:rsidRDefault="003F1A49">
      <w:pPr>
        <w:pStyle w:val="SCCLsocParty"/>
        <w:rPr>
          <w:lang w:val="fr-CA"/>
        </w:rPr>
      </w:pPr>
      <w:r w:rsidRPr="000B0F35">
        <w:rPr>
          <w:lang w:val="fr-CA"/>
        </w:rPr>
        <w:t>Grant Thornton LLP et</w:t>
      </w:r>
    </w:p>
    <w:p w:rsidR="00E3673B" w:rsidRPr="000B0F35" w:rsidRDefault="003F1A49" w:rsidP="000B0F35">
      <w:pPr>
        <w:pStyle w:val="SCCLsocLastPartyInRole"/>
        <w:rPr>
          <w:lang w:val="fr-CA"/>
        </w:rPr>
      </w:pPr>
      <w:r w:rsidRPr="000B0F35">
        <w:rPr>
          <w:lang w:val="fr-CA"/>
        </w:rPr>
        <w:t>Kent M. Ostridge</w:t>
      </w:r>
      <w:r w:rsidRPr="000B0F35">
        <w:rPr>
          <w:rStyle w:val="SCCLsocPartyRole"/>
          <w:lang w:val="fr-CA"/>
        </w:rPr>
        <w:tab/>
        <w:t>Appelants</w:t>
      </w:r>
    </w:p>
    <w:p w:rsidR="00E3673B" w:rsidRPr="000B0F35" w:rsidRDefault="003F1A49" w:rsidP="000B0F35">
      <w:pPr>
        <w:pStyle w:val="SCCLsocVersus"/>
        <w:rPr>
          <w:lang w:val="fr-CA"/>
        </w:rPr>
      </w:pPr>
      <w:r w:rsidRPr="000B0F35">
        <w:rPr>
          <w:lang w:val="fr-CA"/>
        </w:rPr>
        <w:t>c.</w:t>
      </w:r>
    </w:p>
    <w:p w:rsidR="00E3673B" w:rsidRPr="000B0F35" w:rsidRDefault="003F1A49" w:rsidP="000B0F35">
      <w:pPr>
        <w:pStyle w:val="SCCLsocLastPartyInRole"/>
        <w:rPr>
          <w:lang w:val="fr-CA"/>
        </w:rPr>
      </w:pPr>
      <w:r w:rsidRPr="000B0F35">
        <w:rPr>
          <w:lang w:val="fr-CA"/>
        </w:rPr>
        <w:t>Province du Nouveau</w:t>
      </w:r>
      <w:r w:rsidR="000B0F35" w:rsidRPr="000B0F35">
        <w:rPr>
          <w:lang w:val="fr-CA"/>
        </w:rPr>
        <w:noBreakHyphen/>
      </w:r>
      <w:r w:rsidRPr="000B0F35">
        <w:rPr>
          <w:lang w:val="fr-CA"/>
        </w:rPr>
        <w:t>Brunswick</w:t>
      </w:r>
      <w:r w:rsidRPr="000B0F35">
        <w:rPr>
          <w:rStyle w:val="SCCLsocPartyRole"/>
          <w:lang w:val="fr-CA"/>
        </w:rPr>
        <w:tab/>
        <w:t>Intimée</w:t>
      </w:r>
    </w:p>
    <w:p w:rsidR="00E3673B" w:rsidRPr="000B0F35" w:rsidRDefault="000B0F35" w:rsidP="000B0F35">
      <w:pPr>
        <w:pStyle w:val="SCCLsocSubfileSeparator"/>
        <w:rPr>
          <w:lang w:val="fr-CA"/>
        </w:rPr>
      </w:pPr>
      <w:r w:rsidRPr="000B0F35">
        <w:rPr>
          <w:lang w:val="fr-CA"/>
        </w:rPr>
        <w:noBreakHyphen/>
      </w:r>
      <w:r w:rsidR="003F1A49" w:rsidRPr="000B0F35">
        <w:rPr>
          <w:lang w:val="fr-CA"/>
        </w:rPr>
        <w:t xml:space="preserve"> et </w:t>
      </w:r>
      <w:r w:rsidRPr="000B0F35">
        <w:rPr>
          <w:lang w:val="fr-CA"/>
        </w:rPr>
        <w:noBreakHyphen/>
      </w:r>
    </w:p>
    <w:p w:rsidR="00E3673B" w:rsidRPr="000B0F35" w:rsidRDefault="003F1A49" w:rsidP="000B0F35">
      <w:pPr>
        <w:pStyle w:val="SCCLsocLastPartyInRole"/>
        <w:rPr>
          <w:lang w:val="fr-CA"/>
        </w:rPr>
      </w:pPr>
      <w:r w:rsidRPr="000B0F35">
        <w:rPr>
          <w:lang w:val="fr-CA"/>
        </w:rPr>
        <w:t>Grant Thornton International Ltd.</w:t>
      </w:r>
      <w:r w:rsidRPr="000B0F35">
        <w:rPr>
          <w:rStyle w:val="SCCLsocPartyRole"/>
          <w:lang w:val="fr-CA"/>
        </w:rPr>
        <w:tab/>
        <w:t>Appelante</w:t>
      </w:r>
    </w:p>
    <w:p w:rsidR="00E3673B" w:rsidRPr="000B0F35" w:rsidRDefault="003F1A49" w:rsidP="000B0F35">
      <w:pPr>
        <w:pStyle w:val="SCCLsocVersus"/>
        <w:rPr>
          <w:lang w:val="fr-CA"/>
        </w:rPr>
      </w:pPr>
      <w:r w:rsidRPr="000B0F35">
        <w:rPr>
          <w:lang w:val="fr-CA"/>
        </w:rPr>
        <w:t>c.</w:t>
      </w:r>
    </w:p>
    <w:p w:rsidR="00E3673B" w:rsidRPr="000B0F35" w:rsidRDefault="003F1A49" w:rsidP="000B0F35">
      <w:pPr>
        <w:pStyle w:val="SCCLsocLastPartyInRole"/>
        <w:rPr>
          <w:lang w:val="fr-CA"/>
        </w:rPr>
      </w:pPr>
      <w:r w:rsidRPr="000B0F35">
        <w:rPr>
          <w:lang w:val="fr-CA"/>
        </w:rPr>
        <w:t>Province du Nouveau</w:t>
      </w:r>
      <w:r w:rsidR="000B0F35" w:rsidRPr="000B0F35">
        <w:rPr>
          <w:lang w:val="fr-CA"/>
        </w:rPr>
        <w:noBreakHyphen/>
      </w:r>
      <w:r w:rsidRPr="000B0F35">
        <w:rPr>
          <w:lang w:val="fr-CA"/>
        </w:rPr>
        <w:t>Brunswick</w:t>
      </w:r>
      <w:r w:rsidRPr="000B0F35">
        <w:rPr>
          <w:rStyle w:val="SCCLsocPartyRole"/>
          <w:lang w:val="fr-CA"/>
        </w:rPr>
        <w:tab/>
        <w:t>Intimée</w:t>
      </w:r>
    </w:p>
    <w:p w:rsidR="00E3673B" w:rsidRPr="000B0F35" w:rsidRDefault="003F1A49" w:rsidP="000B0F35">
      <w:pPr>
        <w:pStyle w:val="SCCLsocOtherPartySeparator"/>
        <w:rPr>
          <w:lang w:val="fr-CA"/>
        </w:rPr>
      </w:pPr>
      <w:r w:rsidRPr="000B0F35">
        <w:rPr>
          <w:lang w:val="fr-CA"/>
        </w:rPr>
        <w:t>et</w:t>
      </w:r>
    </w:p>
    <w:p w:rsidR="00E3673B" w:rsidRPr="000B0F35" w:rsidRDefault="003F1A49" w:rsidP="000B0F35">
      <w:pPr>
        <w:pStyle w:val="SCCLsocLastPartyInRole"/>
        <w:rPr>
          <w:lang w:val="fr-CA"/>
        </w:rPr>
      </w:pPr>
      <w:r w:rsidRPr="000B0F35">
        <w:rPr>
          <w:lang w:val="fr-CA"/>
        </w:rPr>
        <w:t>Comptables professionnels agréés du Canada</w:t>
      </w:r>
      <w:r w:rsidRPr="000B0F35">
        <w:rPr>
          <w:rStyle w:val="SCCLsocPartyRole"/>
          <w:lang w:val="fr-CA"/>
        </w:rPr>
        <w:tab/>
        <w:t>Intervenant</w:t>
      </w:r>
      <w:r w:rsidR="0086600D" w:rsidRPr="000B0F35">
        <w:rPr>
          <w:rStyle w:val="SCCLsocPartyRole"/>
          <w:lang w:val="fr-CA"/>
        </w:rPr>
        <w:t>e</w:t>
      </w:r>
    </w:p>
    <w:p w:rsidR="004D7D95" w:rsidRPr="000B0F35" w:rsidRDefault="003F1A49" w:rsidP="000B0F35">
      <w:pPr>
        <w:spacing w:after="720"/>
        <w:jc w:val="both"/>
        <w:rPr>
          <w:b/>
          <w:lang w:val="fr-CA"/>
        </w:rPr>
      </w:pPr>
      <w:r w:rsidRPr="000B0F35">
        <w:rPr>
          <w:b/>
          <w:lang w:val="fr-CA"/>
        </w:rPr>
        <w:t>Répertorié</w:t>
      </w:r>
      <w:r w:rsidR="000B0F35" w:rsidRPr="000B0F35">
        <w:rPr>
          <w:b/>
          <w:lang w:val="fr-CA"/>
        </w:rPr>
        <w:t> :</w:t>
      </w:r>
      <w:r w:rsidRPr="000B0F35">
        <w:rPr>
          <w:b/>
          <w:lang w:val="fr-CA"/>
        </w:rPr>
        <w:t> </w:t>
      </w:r>
      <w:r w:rsidR="004D7D95" w:rsidRPr="000B0F35">
        <w:rPr>
          <w:rStyle w:val="SCCAppellantForIndexChar"/>
          <w:lang w:val="fr-CA"/>
        </w:rPr>
        <w:t xml:space="preserve">Grant Thornton LLP </w:t>
      </w:r>
      <w:r w:rsidR="004D7D95" w:rsidRPr="000B0F35">
        <w:rPr>
          <w:b/>
          <w:i/>
          <w:lang w:val="fr-CA"/>
        </w:rPr>
        <w:t>c.</w:t>
      </w:r>
      <w:r w:rsidR="004D7D95" w:rsidRPr="000B0F35">
        <w:rPr>
          <w:b/>
          <w:lang w:val="fr-CA"/>
        </w:rPr>
        <w:t xml:space="preserve"> </w:t>
      </w:r>
      <w:r w:rsidRPr="000B0F35">
        <w:rPr>
          <w:rStyle w:val="SCCRespondentForIndexChar"/>
          <w:lang w:val="fr-CA"/>
        </w:rPr>
        <w:t>Nouveau</w:t>
      </w:r>
      <w:r w:rsidR="000B0F35" w:rsidRPr="000B0F35">
        <w:rPr>
          <w:rStyle w:val="SCCRespondentForIndexChar"/>
          <w:lang w:val="fr-CA"/>
        </w:rPr>
        <w:noBreakHyphen/>
      </w:r>
      <w:r w:rsidRPr="000B0F35">
        <w:rPr>
          <w:rStyle w:val="SCCRespondentForIndexChar"/>
          <w:lang w:val="fr-CA"/>
        </w:rPr>
        <w:t>Brunswick</w:t>
      </w:r>
    </w:p>
    <w:p w:rsidR="004D7D95" w:rsidRPr="000B0F35" w:rsidRDefault="00D17B0E" w:rsidP="000B0F35">
      <w:pPr>
        <w:pStyle w:val="SCCSystemYear"/>
        <w:spacing w:after="720"/>
        <w:jc w:val="both"/>
        <w:rPr>
          <w:lang w:val="fr-CA"/>
        </w:rPr>
      </w:pPr>
      <w:r w:rsidRPr="000B0F35">
        <w:rPr>
          <w:lang w:val="fr-CA"/>
        </w:rPr>
        <w:t>2021</w:t>
      </w:r>
      <w:r w:rsidR="004D7D95" w:rsidRPr="000B0F35">
        <w:rPr>
          <w:lang w:val="fr-CA"/>
        </w:rPr>
        <w:t xml:space="preserve"> CSC </w:t>
      </w:r>
      <w:r w:rsidR="004430BF" w:rsidRPr="000B0F35">
        <w:rPr>
          <w:lang w:val="fr-CA"/>
        </w:rPr>
        <w:t>31</w:t>
      </w:r>
    </w:p>
    <w:p w:rsidR="004D7D95" w:rsidRPr="000B0F35" w:rsidRDefault="004D7D95" w:rsidP="000B0F35">
      <w:pPr>
        <w:spacing w:after="720"/>
        <w:jc w:val="both"/>
        <w:rPr>
          <w:lang w:val="fr-CA"/>
        </w:rPr>
      </w:pPr>
      <w:r w:rsidRPr="000B0F35">
        <w:rPr>
          <w:lang w:val="fr-CA"/>
        </w:rPr>
        <w:t>N</w:t>
      </w:r>
      <w:r w:rsidRPr="000B0F35">
        <w:rPr>
          <w:vertAlign w:val="superscript"/>
          <w:lang w:val="fr-CA"/>
        </w:rPr>
        <w:t>o</w:t>
      </w:r>
      <w:r w:rsidRPr="000B0F35">
        <w:rPr>
          <w:lang w:val="fr-CA"/>
        </w:rPr>
        <w:t xml:space="preserve"> du greffe</w:t>
      </w:r>
      <w:r w:rsidR="000B0F35" w:rsidRPr="000B0F35">
        <w:rPr>
          <w:lang w:val="fr-CA"/>
        </w:rPr>
        <w:t> :</w:t>
      </w:r>
      <w:r w:rsidRPr="000B0F35">
        <w:rPr>
          <w:lang w:val="fr-CA"/>
        </w:rPr>
        <w:t> 39182.</w:t>
      </w:r>
    </w:p>
    <w:p w:rsidR="004D7D95" w:rsidRPr="000B0F35" w:rsidRDefault="00D17B0E" w:rsidP="000B0F35">
      <w:pPr>
        <w:spacing w:after="720"/>
        <w:jc w:val="both"/>
        <w:rPr>
          <w:lang w:val="fr-CA"/>
        </w:rPr>
      </w:pPr>
      <w:r w:rsidRPr="000B0F35">
        <w:rPr>
          <w:lang w:val="fr-CA"/>
        </w:rPr>
        <w:lastRenderedPageBreak/>
        <w:t>2021</w:t>
      </w:r>
      <w:r w:rsidR="000B0F35" w:rsidRPr="000B0F35">
        <w:rPr>
          <w:lang w:val="fr-CA"/>
        </w:rPr>
        <w:t> : 24 </w:t>
      </w:r>
      <w:r w:rsidRPr="000B0F35">
        <w:rPr>
          <w:lang w:val="fr-CA"/>
        </w:rPr>
        <w:t>mars</w:t>
      </w:r>
      <w:r w:rsidR="004D7D95" w:rsidRPr="000B0F35">
        <w:rPr>
          <w:lang w:val="fr-CA"/>
        </w:rPr>
        <w:t xml:space="preserve">; </w:t>
      </w:r>
      <w:r w:rsidR="001C06CE" w:rsidRPr="000B0F35">
        <w:rPr>
          <w:lang w:val="fr-CA"/>
        </w:rPr>
        <w:t>2021</w:t>
      </w:r>
      <w:r w:rsidR="000B0F35" w:rsidRPr="000B0F35">
        <w:rPr>
          <w:lang w:val="fr-CA"/>
        </w:rPr>
        <w:t> : </w:t>
      </w:r>
      <w:r w:rsidR="000970FE">
        <w:rPr>
          <w:lang w:val="fr-CA"/>
        </w:rPr>
        <w:t>29 </w:t>
      </w:r>
      <w:r w:rsidR="001C06CE" w:rsidRPr="000B0F35">
        <w:rPr>
          <w:lang w:val="fr-CA"/>
        </w:rPr>
        <w:t>juillet</w:t>
      </w:r>
      <w:r w:rsidR="004D7D95" w:rsidRPr="000B0F35">
        <w:rPr>
          <w:lang w:val="fr-CA"/>
        </w:rPr>
        <w:t>.</w:t>
      </w:r>
    </w:p>
    <w:p w:rsidR="004D7D95" w:rsidRPr="000B0F35" w:rsidRDefault="004D7D95" w:rsidP="000B0F35">
      <w:pPr>
        <w:spacing w:after="720"/>
        <w:jc w:val="both"/>
        <w:rPr>
          <w:lang w:val="fr-CA"/>
        </w:rPr>
      </w:pPr>
      <w:r w:rsidRPr="000B0F35">
        <w:rPr>
          <w:lang w:val="fr-CA"/>
        </w:rPr>
        <w:t>Présents</w:t>
      </w:r>
      <w:r w:rsidR="000B0F35" w:rsidRPr="000B0F35">
        <w:rPr>
          <w:lang w:val="fr-CA"/>
        </w:rPr>
        <w:t> :</w:t>
      </w:r>
      <w:r w:rsidRPr="000B0F35">
        <w:rPr>
          <w:lang w:val="fr-CA"/>
        </w:rPr>
        <w:t> Les juges Moldaver, Karakatsanis, Côté, Brown, Rowe, Martin et Kasirer.</w:t>
      </w:r>
    </w:p>
    <w:p w:rsidR="004D7D95" w:rsidRPr="000B0F35" w:rsidRDefault="004D7D95" w:rsidP="000B0F35">
      <w:pPr>
        <w:spacing w:after="720"/>
        <w:jc w:val="both"/>
        <w:rPr>
          <w:smallCaps/>
          <w:lang w:val="fr-CA"/>
        </w:rPr>
      </w:pPr>
      <w:r w:rsidRPr="000B0F35">
        <w:rPr>
          <w:smallCaps/>
          <w:lang w:val="fr-CA"/>
        </w:rPr>
        <w:t>en appel de la cour d</w:t>
      </w:r>
      <w:r w:rsidR="003F1A49" w:rsidRPr="000B0F35">
        <w:rPr>
          <w:smallCaps/>
          <w:lang w:val="fr-CA"/>
        </w:rPr>
        <w:t>’</w:t>
      </w:r>
      <w:r w:rsidRPr="000B0F35">
        <w:rPr>
          <w:smallCaps/>
          <w:lang w:val="fr-CA"/>
        </w:rPr>
        <w:t>appel du nouveau</w:t>
      </w:r>
      <w:r w:rsidR="000B0F35" w:rsidRPr="000B0F35">
        <w:rPr>
          <w:smallCaps/>
          <w:lang w:val="fr-CA"/>
        </w:rPr>
        <w:noBreakHyphen/>
      </w:r>
      <w:r w:rsidRPr="000B0F35">
        <w:rPr>
          <w:smallCaps/>
          <w:lang w:val="fr-CA"/>
        </w:rPr>
        <w:t>brunswick</w:t>
      </w:r>
    </w:p>
    <w:p w:rsidR="00B22820" w:rsidRPr="000B0F35" w:rsidRDefault="004D7D95" w:rsidP="000B0F35">
      <w:pPr>
        <w:pStyle w:val="SCCNormalDoubleSpacing"/>
        <w:spacing w:after="480"/>
        <w:rPr>
          <w:i/>
          <w:lang w:val="fr-CA"/>
        </w:rPr>
      </w:pPr>
      <w:r w:rsidRPr="000B0F35">
        <w:rPr>
          <w:lang w:val="fr-CA"/>
        </w:rPr>
        <w:tab/>
      </w:r>
      <w:r w:rsidR="00B22820" w:rsidRPr="000B0F35">
        <w:rPr>
          <w:i/>
          <w:lang w:val="fr-CA"/>
        </w:rPr>
        <w:t>Prescription — Possibilité de découvrir le dommage — Degré de connaissance requis pour découvrir une réclamation — Négligence — Garanties de prêts accordées à une société par la province sur le fondement du rapport d’un vérificateur — Fonds de roulement de la société épuisé quelq</w:t>
      </w:r>
      <w:r w:rsidR="00153ADE">
        <w:rPr>
          <w:i/>
          <w:lang w:val="fr-CA"/>
        </w:rPr>
        <w:t>ues mois après qu’elle a reçu le</w:t>
      </w:r>
      <w:r w:rsidR="00B22820" w:rsidRPr="000B0F35">
        <w:rPr>
          <w:i/>
          <w:lang w:val="fr-CA"/>
        </w:rPr>
        <w:t xml:space="preserve"> prêt bancaire — Versement des garanties par la province — Réclamation par la province contre le vérificateur pour négligence — Jugement sommaire sollicité par le vérificateur au motif que la réclamation a été présentée après le délai de prescription légale de deux ans — Norme à appliquer pour déterminer si le demandeur a le degré requis de connaissance pour découvrir la réclamation — La province a</w:t>
      </w:r>
      <w:r w:rsidR="000B0F35" w:rsidRPr="000B0F35">
        <w:rPr>
          <w:i/>
          <w:lang w:val="fr-CA"/>
        </w:rPr>
        <w:noBreakHyphen/>
      </w:r>
      <w:r w:rsidR="00B22820" w:rsidRPr="000B0F35">
        <w:rPr>
          <w:i/>
          <w:lang w:val="fr-CA"/>
        </w:rPr>
        <w:t>t</w:t>
      </w:r>
      <w:r w:rsidR="000B0F35" w:rsidRPr="000B0F35">
        <w:rPr>
          <w:i/>
          <w:lang w:val="fr-CA"/>
        </w:rPr>
        <w:noBreakHyphen/>
      </w:r>
      <w:r w:rsidR="00B22820" w:rsidRPr="000B0F35">
        <w:rPr>
          <w:i/>
          <w:lang w:val="fr-CA"/>
        </w:rPr>
        <w:t>elle découvert la réclamation pour négligence contre le vérificateur</w:t>
      </w:r>
      <w:r w:rsidR="00153ADE">
        <w:rPr>
          <w:i/>
          <w:lang w:val="fr-CA"/>
        </w:rPr>
        <w:t> ?</w:t>
      </w:r>
      <w:r w:rsidR="00B22820" w:rsidRPr="000B0F35">
        <w:rPr>
          <w:i/>
          <w:lang w:val="fr-CA"/>
        </w:rPr>
        <w:t xml:space="preserve"> — La réclamation est</w:t>
      </w:r>
      <w:r w:rsidR="000B0F35" w:rsidRPr="000B0F35">
        <w:rPr>
          <w:i/>
          <w:lang w:val="fr-CA"/>
        </w:rPr>
        <w:noBreakHyphen/>
      </w:r>
      <w:r w:rsidR="000970FE">
        <w:rPr>
          <w:i/>
          <w:lang w:val="fr-CA"/>
        </w:rPr>
        <w:t>elle prescrite </w:t>
      </w:r>
      <w:r w:rsidR="00B22820" w:rsidRPr="000B0F35">
        <w:rPr>
          <w:i/>
          <w:lang w:val="fr-CA"/>
        </w:rPr>
        <w:t>? — Loi sur la prescription, L.N.</w:t>
      </w:r>
      <w:r w:rsidR="000B0F35" w:rsidRPr="000B0F35">
        <w:rPr>
          <w:i/>
          <w:lang w:val="fr-CA"/>
        </w:rPr>
        <w:noBreakHyphen/>
      </w:r>
      <w:r w:rsidR="00B22820" w:rsidRPr="000B0F35">
        <w:rPr>
          <w:i/>
          <w:lang w:val="fr-CA"/>
        </w:rPr>
        <w:t>B. 2009, c. L</w:t>
      </w:r>
      <w:r w:rsidR="000B0F35" w:rsidRPr="000B0F35">
        <w:rPr>
          <w:i/>
          <w:lang w:val="fr-CA"/>
        </w:rPr>
        <w:noBreakHyphen/>
      </w:r>
      <w:r w:rsidR="00B22820" w:rsidRPr="000B0F35">
        <w:rPr>
          <w:i/>
          <w:lang w:val="fr-CA"/>
        </w:rPr>
        <w:t xml:space="preserve">8.5, </w:t>
      </w:r>
      <w:r w:rsidR="000B0F35" w:rsidRPr="000B0F35">
        <w:rPr>
          <w:i/>
          <w:lang w:val="fr-CA"/>
        </w:rPr>
        <w:t>art. </w:t>
      </w:r>
      <w:r w:rsidR="00B22820" w:rsidRPr="000B0F35">
        <w:rPr>
          <w:i/>
          <w:lang w:val="fr-CA"/>
        </w:rPr>
        <w:t>5(1)a), (2).</w:t>
      </w:r>
    </w:p>
    <w:p w:rsidR="00B22820" w:rsidRPr="000B0F35" w:rsidRDefault="00B22820" w:rsidP="000B0F35">
      <w:pPr>
        <w:pStyle w:val="SCCNormalDoubleSpacing"/>
        <w:spacing w:after="480"/>
        <w:rPr>
          <w:noProof/>
          <w:lang w:val="fr-CA"/>
        </w:rPr>
      </w:pPr>
      <w:r w:rsidRPr="000B0F35">
        <w:rPr>
          <w:lang w:val="fr-CA"/>
        </w:rPr>
        <w:tab/>
        <w:t>En 2008, une société du Nouveau</w:t>
      </w:r>
      <w:r w:rsidR="000B0F35" w:rsidRPr="000B0F35">
        <w:rPr>
          <w:lang w:val="fr-CA"/>
        </w:rPr>
        <w:noBreakHyphen/>
      </w:r>
      <w:r w:rsidRPr="000B0F35">
        <w:rPr>
          <w:lang w:val="fr-CA"/>
        </w:rPr>
        <w:t xml:space="preserve">Brunswick </w:t>
      </w:r>
      <w:r w:rsidR="00153ADE">
        <w:rPr>
          <w:noProof/>
          <w:lang w:val="fr-CA"/>
        </w:rPr>
        <w:t>a demandé des prêts à une banque. Toutefois, el</w:t>
      </w:r>
      <w:r w:rsidRPr="000B0F35">
        <w:rPr>
          <w:noProof/>
          <w:lang w:val="fr-CA"/>
        </w:rPr>
        <w:t>le avait besoin de garanties de prêts de la province. Cette dernière a accepté de fournir des garanties pour 50 millions de dollars, à la condition que la société accepte de se soumettre à un examen externe de son actif par son vérificateur. Dans un rapport, celui</w:t>
      </w:r>
      <w:r w:rsidR="000B0F35" w:rsidRPr="000B0F35">
        <w:rPr>
          <w:noProof/>
          <w:lang w:val="fr-CA"/>
        </w:rPr>
        <w:noBreakHyphen/>
      </w:r>
      <w:r w:rsidRPr="000B0F35">
        <w:rPr>
          <w:noProof/>
          <w:lang w:val="fr-CA"/>
        </w:rPr>
        <w:t>ci a exprimé l’opinion que les états financiers de la société donnaient, à tous les égards importants, une image fidèle de sa situation financière, conformément aux principes comptables généralement reconnus. Sur la foi de ce rapport, la province a signé et remis les garanties de prêts, permettant ainsi à la société d’emprunter des fonds à la banque. Lorsque la société a épuisé son fonds de roulement quatre mois après avoir reçu les garanties de prêts de la province, la banque a demandé à cette dernière de rembourser les sommes visées par ces garanties, ce qu’elle a fait l</w:t>
      </w:r>
      <w:r w:rsidR="00153ADE">
        <w:rPr>
          <w:noProof/>
          <w:lang w:val="fr-CA"/>
        </w:rPr>
        <w:t xml:space="preserve">e 18 </w:t>
      </w:r>
      <w:r w:rsidR="00867EA7">
        <w:rPr>
          <w:noProof/>
          <w:lang w:val="fr-CA"/>
        </w:rPr>
        <w:t xml:space="preserve">mars </w:t>
      </w:r>
      <w:r w:rsidRPr="000B0F35">
        <w:rPr>
          <w:noProof/>
          <w:lang w:val="fr-CA"/>
        </w:rPr>
        <w:t>2010. La province a alors retenu les services d’un autre cabinet d’experts</w:t>
      </w:r>
      <w:r w:rsidR="000B0F35" w:rsidRPr="000B0F35">
        <w:rPr>
          <w:noProof/>
          <w:lang w:val="fr-CA"/>
        </w:rPr>
        <w:noBreakHyphen/>
      </w:r>
      <w:r w:rsidRPr="000B0F35">
        <w:rPr>
          <w:noProof/>
          <w:lang w:val="fr-CA"/>
        </w:rPr>
        <w:t xml:space="preserve">comptables et de vérificateurs pour qu’il passe en revue les états financiers de la société. Le rapport de l’autre cabinet a été remis </w:t>
      </w:r>
      <w:r w:rsidR="00153ADE">
        <w:rPr>
          <w:noProof/>
          <w:lang w:val="fr-CA"/>
        </w:rPr>
        <w:t xml:space="preserve">dans sa version provisoire le 4 </w:t>
      </w:r>
      <w:r w:rsidRPr="000B0F35">
        <w:rPr>
          <w:noProof/>
          <w:lang w:val="fr-CA"/>
        </w:rPr>
        <w:t>février 2011, et il exprimait l’opinion que les états financiers de la société n’avaient en fait pas été dressés conformément aux principes comptables généralement reconnus. Plus précisément, l’autre cabinet a estimé que l’actif de la société ainsi que ses gains nets avaient été surévalués d’un montant considérable. Ces inexactitudes n’avaient pas été relevées par le vérificateur dans son rapport.</w:t>
      </w:r>
    </w:p>
    <w:p w:rsidR="00B22820" w:rsidRPr="000B0F35" w:rsidRDefault="00B22820" w:rsidP="000B0F35">
      <w:pPr>
        <w:pStyle w:val="SCCNormalDoubleSpacing"/>
        <w:spacing w:after="480"/>
        <w:rPr>
          <w:lang w:val="fr-CA"/>
        </w:rPr>
      </w:pPr>
      <w:r w:rsidRPr="000B0F35">
        <w:rPr>
          <w:lang w:val="fr-CA"/>
        </w:rPr>
        <w:tab/>
      </w:r>
      <w:r w:rsidRPr="000B0F35">
        <w:rPr>
          <w:noProof/>
          <w:lang w:val="fr-CA"/>
        </w:rPr>
        <w:t>L</w:t>
      </w:r>
      <w:r w:rsidR="000B0F35" w:rsidRPr="000B0F35">
        <w:rPr>
          <w:noProof/>
          <w:lang w:val="fr-CA"/>
        </w:rPr>
        <w:t xml:space="preserve">e 23 juin </w:t>
      </w:r>
      <w:r w:rsidRPr="000B0F35">
        <w:rPr>
          <w:noProof/>
          <w:lang w:val="fr-CA"/>
        </w:rPr>
        <w:t>2014, la province a présenté une réclamation pour négligence contre le vérificateur. Celui</w:t>
      </w:r>
      <w:r w:rsidR="000B0F35" w:rsidRPr="000B0F35">
        <w:rPr>
          <w:noProof/>
          <w:lang w:val="fr-CA"/>
        </w:rPr>
        <w:noBreakHyphen/>
      </w:r>
      <w:r w:rsidRPr="000B0F35">
        <w:rPr>
          <w:noProof/>
          <w:lang w:val="fr-CA"/>
        </w:rPr>
        <w:t>ci a sollicité un jugement sommaire en vue de faire rejeter la réclamation, au motif qu’elle était prescrite en application du délai de prescription prévu à l’</w:t>
      </w:r>
      <w:r w:rsidR="000B0F35" w:rsidRPr="000B0F35">
        <w:rPr>
          <w:noProof/>
          <w:lang w:val="fr-CA"/>
        </w:rPr>
        <w:t>al. </w:t>
      </w:r>
      <w:r w:rsidRPr="000B0F35">
        <w:rPr>
          <w:noProof/>
          <w:lang w:val="fr-CA"/>
        </w:rPr>
        <w:t xml:space="preserve">5(1)a) de la </w:t>
      </w:r>
      <w:r w:rsidRPr="000B0F35">
        <w:rPr>
          <w:i/>
          <w:noProof/>
          <w:lang w:val="fr-CA"/>
        </w:rPr>
        <w:t>Loi sur la prescription</w:t>
      </w:r>
      <w:r w:rsidRPr="000B0F35">
        <w:rPr>
          <w:noProof/>
          <w:lang w:val="fr-CA"/>
        </w:rPr>
        <w:t xml:space="preserve"> </w:t>
      </w:r>
      <w:r w:rsidR="00153ADE" w:rsidRPr="000B0F35">
        <w:rPr>
          <w:noProof/>
          <w:lang w:val="fr-CA"/>
        </w:rPr>
        <w:t>(« </w:t>
      </w:r>
      <w:r w:rsidR="00153ADE" w:rsidRPr="000B0F35">
        <w:rPr>
          <w:i/>
          <w:noProof/>
          <w:lang w:val="fr-CA"/>
        </w:rPr>
        <w:t>LP</w:t>
      </w:r>
      <w:r w:rsidR="00153ADE" w:rsidRPr="000B0F35">
        <w:rPr>
          <w:noProof/>
          <w:lang w:val="fr-CA"/>
        </w:rPr>
        <w:t> »)</w:t>
      </w:r>
      <w:r w:rsidR="00153ADE">
        <w:rPr>
          <w:noProof/>
          <w:lang w:val="fr-CA"/>
        </w:rPr>
        <w:t xml:space="preserve"> </w:t>
      </w:r>
      <w:r w:rsidRPr="000B0F35">
        <w:rPr>
          <w:noProof/>
          <w:lang w:val="fr-CA"/>
        </w:rPr>
        <w:t>de la province, qui énonce que toute réclamation se prescrit par un délai de deux ans à compter du jour o</w:t>
      </w:r>
      <w:r w:rsidRPr="000B0F35">
        <w:rPr>
          <w:lang w:val="fr-CA"/>
        </w:rPr>
        <w:t>ù</w:t>
      </w:r>
      <w:r w:rsidRPr="000B0F35">
        <w:rPr>
          <w:noProof/>
          <w:lang w:val="fr-CA"/>
        </w:rPr>
        <w:t xml:space="preserve"> sont découverts les faits y ayant donné naissance. Le juge saisi des motions a conclu que, </w:t>
      </w:r>
      <w:r w:rsidR="009678C9">
        <w:rPr>
          <w:noProof/>
          <w:lang w:val="fr-CA"/>
        </w:rPr>
        <w:t>suivant l’interprétation qu’il convient de donner au</w:t>
      </w:r>
      <w:r w:rsidRPr="000B0F35">
        <w:rPr>
          <w:noProof/>
          <w:lang w:val="fr-CA"/>
        </w:rPr>
        <w:t xml:space="preserve"> </w:t>
      </w:r>
      <w:r w:rsidR="000B0F35" w:rsidRPr="000B0F35">
        <w:rPr>
          <w:noProof/>
          <w:lang w:val="fr-CA"/>
        </w:rPr>
        <w:t>par. </w:t>
      </w:r>
      <w:r w:rsidRPr="000B0F35">
        <w:rPr>
          <w:noProof/>
          <w:lang w:val="fr-CA"/>
        </w:rPr>
        <w:t xml:space="preserve">5(2) de la </w:t>
      </w:r>
      <w:r w:rsidRPr="000B0F35">
        <w:rPr>
          <w:i/>
          <w:noProof/>
          <w:lang w:val="fr-CA"/>
        </w:rPr>
        <w:t>LP</w:t>
      </w:r>
      <w:r w:rsidRPr="000B0F35">
        <w:rPr>
          <w:noProof/>
          <w:lang w:val="fr-CA"/>
        </w:rPr>
        <w:t xml:space="preserve">, </w:t>
      </w:r>
      <w:r w:rsidR="00153ADE">
        <w:rPr>
          <w:noProof/>
          <w:lang w:val="fr-CA"/>
        </w:rPr>
        <w:t>lequel</w:t>
      </w:r>
      <w:r w:rsidRPr="000B0F35">
        <w:rPr>
          <w:noProof/>
          <w:lang w:val="fr-CA"/>
        </w:rPr>
        <w:t xml:space="preserve"> pré</w:t>
      </w:r>
      <w:r w:rsidR="009678C9">
        <w:rPr>
          <w:noProof/>
          <w:lang w:val="fr-CA"/>
        </w:rPr>
        <w:t>cise</w:t>
      </w:r>
      <w:r w:rsidRPr="000B0F35">
        <w:rPr>
          <w:noProof/>
          <w:lang w:val="fr-CA"/>
        </w:rPr>
        <w:t xml:space="preserve"> </w:t>
      </w:r>
      <w:r w:rsidR="00153ADE">
        <w:rPr>
          <w:noProof/>
          <w:lang w:val="fr-CA"/>
        </w:rPr>
        <w:t>à quel moment</w:t>
      </w:r>
      <w:r w:rsidRPr="000B0F35">
        <w:rPr>
          <w:noProof/>
          <w:lang w:val="fr-CA"/>
        </w:rPr>
        <w:t xml:space="preserve"> une réclamation est découverte, </w:t>
      </w:r>
      <w:r w:rsidR="00751E83">
        <w:rPr>
          <w:noProof/>
          <w:lang w:val="fr-CA"/>
        </w:rPr>
        <w:t xml:space="preserve">il devait être établi que </w:t>
      </w:r>
      <w:r w:rsidR="009678C9">
        <w:rPr>
          <w:noProof/>
          <w:lang w:val="fr-CA"/>
        </w:rPr>
        <w:t>la province avait</w:t>
      </w:r>
      <w:r w:rsidRPr="000B0F35">
        <w:rPr>
          <w:noProof/>
          <w:lang w:val="fr-CA"/>
        </w:rPr>
        <w:t xml:space="preserve"> appris ou </w:t>
      </w:r>
      <w:r w:rsidR="009678C9">
        <w:rPr>
          <w:noProof/>
          <w:lang w:val="fr-CA"/>
        </w:rPr>
        <w:t>aur</w:t>
      </w:r>
      <w:r w:rsidRPr="000B0F35">
        <w:rPr>
          <w:noProof/>
          <w:lang w:val="fr-CA"/>
        </w:rPr>
        <w:t xml:space="preserve">ait dû apprendre qu’elle avait des moyens suffisants à première vue pour déduire l’existence d’une réclamation éventuelle contre le vérificateur. Il a prononcé un jugement sommaire et rejeté la </w:t>
      </w:r>
      <w:r w:rsidR="00153ADE">
        <w:rPr>
          <w:noProof/>
          <w:lang w:val="fr-CA"/>
        </w:rPr>
        <w:t>réclamation d</w:t>
      </w:r>
      <w:r w:rsidRPr="000B0F35">
        <w:rPr>
          <w:noProof/>
          <w:lang w:val="fr-CA"/>
        </w:rPr>
        <w:t>e la province, jugeant que celle</w:t>
      </w:r>
      <w:r w:rsidR="000B0F35" w:rsidRPr="000B0F35">
        <w:rPr>
          <w:noProof/>
          <w:lang w:val="fr-CA"/>
        </w:rPr>
        <w:noBreakHyphen/>
      </w:r>
      <w:r w:rsidRPr="000B0F35">
        <w:rPr>
          <w:noProof/>
          <w:lang w:val="fr-CA"/>
        </w:rPr>
        <w:t xml:space="preserve">ci avait </w:t>
      </w:r>
      <w:r w:rsidR="00153ADE">
        <w:rPr>
          <w:noProof/>
          <w:lang w:val="fr-CA"/>
        </w:rPr>
        <w:t xml:space="preserve">déjà </w:t>
      </w:r>
      <w:r w:rsidRPr="000B0F35">
        <w:rPr>
          <w:noProof/>
          <w:lang w:val="fr-CA"/>
        </w:rPr>
        <w:t xml:space="preserve">la connaissance requise </w:t>
      </w:r>
      <w:r w:rsidR="00153ADE">
        <w:rPr>
          <w:noProof/>
          <w:lang w:val="fr-CA"/>
        </w:rPr>
        <w:t>le</w:t>
      </w:r>
      <w:r w:rsidRPr="000B0F35">
        <w:rPr>
          <w:noProof/>
          <w:lang w:val="fr-CA"/>
        </w:rPr>
        <w:t xml:space="preserve"> 18 mars 2010, soit plus de deux ans avant de présenter sa réclamation. La Cour d’appel a accueilli l’appel de la province et annulé </w:t>
      </w:r>
      <w:r w:rsidR="00153ADE">
        <w:rPr>
          <w:noProof/>
          <w:lang w:val="fr-CA"/>
        </w:rPr>
        <w:t>le jugement</w:t>
      </w:r>
      <w:r w:rsidRPr="000B0F35">
        <w:rPr>
          <w:noProof/>
          <w:lang w:val="fr-CA"/>
        </w:rPr>
        <w:t xml:space="preserve"> du juge saisi des motions. Elle a rejeté la norme appliquée par ce dernier et statué que la norme applicable est celle de savoir si le demandeur a appris ou aurait normalement dû apprendre les faits qui lui confèrent un droit exécutoire à un recours, un droit qui, a</w:t>
      </w:r>
      <w:r w:rsidR="000B0F35" w:rsidRPr="000B0F35">
        <w:rPr>
          <w:noProof/>
          <w:lang w:val="fr-CA"/>
        </w:rPr>
        <w:noBreakHyphen/>
      </w:r>
      <w:r w:rsidRPr="000B0F35">
        <w:rPr>
          <w:noProof/>
          <w:lang w:val="fr-CA"/>
        </w:rPr>
        <w:t>t</w:t>
      </w:r>
      <w:r w:rsidR="000B0F35" w:rsidRPr="000B0F35">
        <w:rPr>
          <w:noProof/>
          <w:lang w:val="fr-CA"/>
        </w:rPr>
        <w:noBreakHyphen/>
      </w:r>
      <w:r w:rsidRPr="000B0F35">
        <w:rPr>
          <w:noProof/>
          <w:lang w:val="fr-CA"/>
        </w:rPr>
        <w:t>elle statué, n’existe que si le demandeur est au courant de chacun des éléments constitutifs de la réclamation. Appliquant cette norme, la cour a conclu que le délai de prescription n’avait pas commencé à courir, parce que la province n’avait pas encore découvert les faits ayant donné naissance à sa réclamation.</w:t>
      </w:r>
    </w:p>
    <w:p w:rsidR="00B22820" w:rsidRPr="000B0F35" w:rsidRDefault="00B22820" w:rsidP="000B0F35">
      <w:pPr>
        <w:pStyle w:val="SCCNormalDoubleSpacing"/>
        <w:spacing w:after="480"/>
        <w:rPr>
          <w:lang w:val="fr-CA"/>
        </w:rPr>
      </w:pPr>
      <w:r w:rsidRPr="000B0F35">
        <w:rPr>
          <w:lang w:val="fr-CA"/>
        </w:rPr>
        <w:tab/>
      </w:r>
      <w:r w:rsidRPr="000B0F35">
        <w:rPr>
          <w:i/>
          <w:lang w:val="fr-CA"/>
        </w:rPr>
        <w:t>Arrêt</w:t>
      </w:r>
      <w:r w:rsidR="000B0F35" w:rsidRPr="000B0F35">
        <w:rPr>
          <w:lang w:val="fr-CA"/>
        </w:rPr>
        <w:t> :</w:t>
      </w:r>
      <w:r w:rsidRPr="000B0F35">
        <w:rPr>
          <w:lang w:val="fr-CA"/>
        </w:rPr>
        <w:t xml:space="preserve"> Les appels sont accueillis et </w:t>
      </w:r>
      <w:r w:rsidR="00153ADE">
        <w:rPr>
          <w:lang w:val="fr-CA"/>
        </w:rPr>
        <w:t>le jugement</w:t>
      </w:r>
      <w:r w:rsidRPr="000B0F35">
        <w:rPr>
          <w:lang w:val="fr-CA"/>
        </w:rPr>
        <w:t xml:space="preserve"> du juge </w:t>
      </w:r>
      <w:r w:rsidR="00153ADE">
        <w:rPr>
          <w:lang w:val="fr-CA"/>
        </w:rPr>
        <w:t xml:space="preserve">saisi </w:t>
      </w:r>
      <w:r w:rsidRPr="000B0F35">
        <w:rPr>
          <w:lang w:val="fr-CA"/>
        </w:rPr>
        <w:t>des motions est rétabli.</w:t>
      </w:r>
    </w:p>
    <w:p w:rsidR="00B22820" w:rsidRPr="000B0F35" w:rsidRDefault="00B22820" w:rsidP="000B0F35">
      <w:pPr>
        <w:pStyle w:val="SCCNormalDoubleSpacing"/>
        <w:spacing w:after="480"/>
        <w:rPr>
          <w:noProof/>
          <w:lang w:val="fr-CA"/>
        </w:rPr>
      </w:pPr>
      <w:r w:rsidRPr="000B0F35">
        <w:rPr>
          <w:lang w:val="fr-CA"/>
        </w:rPr>
        <w:tab/>
      </w:r>
      <w:r w:rsidRPr="000B0F35">
        <w:rPr>
          <w:noProof/>
          <w:lang w:val="fr-CA"/>
        </w:rPr>
        <w:t xml:space="preserve">La norme à appliquer pour déterminer si le demandeur a le degré de connaissance requis pour découvrir les faits ayant donné naissance à sa réclamation au sens du </w:t>
      </w:r>
      <w:r w:rsidR="000B0F35" w:rsidRPr="000B0F35">
        <w:rPr>
          <w:noProof/>
          <w:lang w:val="fr-CA"/>
        </w:rPr>
        <w:t>par. </w:t>
      </w:r>
      <w:r w:rsidRPr="000B0F35">
        <w:rPr>
          <w:noProof/>
          <w:lang w:val="fr-CA"/>
        </w:rPr>
        <w:t xml:space="preserve">5(2) de la </w:t>
      </w:r>
      <w:r w:rsidRPr="000B0F35">
        <w:rPr>
          <w:i/>
          <w:noProof/>
          <w:lang w:val="fr-CA"/>
        </w:rPr>
        <w:t>LP</w:t>
      </w:r>
      <w:r w:rsidRPr="000B0F35">
        <w:rPr>
          <w:noProof/>
          <w:lang w:val="fr-CA"/>
        </w:rPr>
        <w:t>, ce qui déclenche l’application du délai de prescription de deux ans prévu à l’</w:t>
      </w:r>
      <w:r w:rsidR="000B0F35" w:rsidRPr="000B0F35">
        <w:rPr>
          <w:noProof/>
          <w:lang w:val="fr-CA"/>
        </w:rPr>
        <w:t>al. </w:t>
      </w:r>
      <w:r w:rsidRPr="000B0F35">
        <w:rPr>
          <w:noProof/>
          <w:lang w:val="fr-CA"/>
        </w:rPr>
        <w:t xml:space="preserve">5(1)a), est celle </w:t>
      </w:r>
      <w:r w:rsidR="0010177C">
        <w:rPr>
          <w:noProof/>
          <w:lang w:val="fr-CA"/>
        </w:rPr>
        <w:t>de savoir s’il a</w:t>
      </w:r>
      <w:r w:rsidRPr="000B0F35">
        <w:rPr>
          <w:noProof/>
          <w:lang w:val="fr-CA"/>
        </w:rPr>
        <w:t xml:space="preserve"> une connaissance, réelle ou imputée, des faits importants permettant d’inférer plausiblement la responsabilité du défendeur. Appliquant cette norme en l’espèce, la province a découvert les faits ayant donné naissance à sa réclamation contre le vérificateur</w:t>
      </w:r>
      <w:r w:rsidR="009E36B4">
        <w:rPr>
          <w:noProof/>
          <w:lang w:val="fr-CA"/>
        </w:rPr>
        <w:t xml:space="preserve"> le 4 février </w:t>
      </w:r>
      <w:r w:rsidRPr="000B0F35">
        <w:rPr>
          <w:noProof/>
          <w:lang w:val="fr-CA"/>
        </w:rPr>
        <w:t>2011. À cette date, elle savait ou aurait dû savoir qu’une perte avait été causée et que cette perte était attribuable entièrement ou en partie aux actions que le vérificateur avait été retenu pour détecter. Cela était suffisant pour inférer plausiblement la négligence du vérificateur. Comme la province n’a présenté sa réclamation que le</w:t>
      </w:r>
      <w:r w:rsidR="009E36B4">
        <w:rPr>
          <w:noProof/>
          <w:lang w:val="fr-CA"/>
        </w:rPr>
        <w:t xml:space="preserve"> 23 juin </w:t>
      </w:r>
      <w:r w:rsidRPr="000B0F35">
        <w:rPr>
          <w:noProof/>
          <w:lang w:val="fr-CA"/>
        </w:rPr>
        <w:t>2014, soit plus de deux ans plus tard, celle</w:t>
      </w:r>
      <w:r w:rsidR="000B0F35" w:rsidRPr="000B0F35">
        <w:rPr>
          <w:noProof/>
          <w:lang w:val="fr-CA"/>
        </w:rPr>
        <w:noBreakHyphen/>
      </w:r>
      <w:r w:rsidRPr="000B0F35">
        <w:rPr>
          <w:noProof/>
          <w:lang w:val="fr-CA"/>
        </w:rPr>
        <w:t xml:space="preserve">ci est prescrite. </w:t>
      </w:r>
    </w:p>
    <w:p w:rsidR="00B22820" w:rsidRPr="000B0F35" w:rsidRDefault="00B22820" w:rsidP="000B0F35">
      <w:pPr>
        <w:pStyle w:val="SCCNormalDoubleSpacing"/>
        <w:spacing w:after="480"/>
        <w:rPr>
          <w:lang w:val="fr-CA"/>
        </w:rPr>
      </w:pPr>
      <w:r w:rsidRPr="000B0F35">
        <w:rPr>
          <w:lang w:val="fr-CA"/>
        </w:rPr>
        <w:tab/>
      </w:r>
      <w:r w:rsidR="00153ADE">
        <w:rPr>
          <w:noProof/>
          <w:lang w:val="fr-CA"/>
        </w:rPr>
        <w:t>Pour bien établir la</w:t>
      </w:r>
      <w:r w:rsidRPr="000B0F35">
        <w:rPr>
          <w:noProof/>
          <w:lang w:val="fr-CA"/>
        </w:rPr>
        <w:t xml:space="preserve"> norme, il faut poser deux questions distinctes. Pour déterminer si un délai de prescription fixé par la loi a commencé à courir, il faut d’abord se demander si le degré de connaissance du demandeur doit être évalué de la même manière que ce</w:t>
      </w:r>
      <w:r w:rsidR="009E36B4">
        <w:rPr>
          <w:noProof/>
          <w:lang w:val="fr-CA"/>
        </w:rPr>
        <w:t xml:space="preserve"> que prévoit la règle de common </w:t>
      </w:r>
      <w:r w:rsidRPr="000B0F35">
        <w:rPr>
          <w:noProof/>
          <w:lang w:val="fr-CA"/>
        </w:rPr>
        <w:t>law de la possibilité de découvrir le dommage. Selon cette règle, une cause d’action prend naissance, aux fins de la prescription, lorsque les faits importants sur lesquels repose cette cause d’action ont été découverts par le demandeur ou auraient dû l’être, s’il avait fait preuve de diligence raisonnable. La règle de common law de la possibilité de découvrir le dommage ne s’applique pas à tous les délais de prescription fixés par le législateur. Il s’agit plutôt d’une règle d’interprétation</w:t>
      </w:r>
      <w:r w:rsidRPr="000B0F35">
        <w:rPr>
          <w:i/>
          <w:iCs/>
          <w:noProof/>
          <w:lang w:val="fr-CA"/>
        </w:rPr>
        <w:t> </w:t>
      </w:r>
      <w:r w:rsidRPr="000B0F35">
        <w:rPr>
          <w:noProof/>
          <w:lang w:val="fr-CA"/>
        </w:rPr>
        <w:t>visant à faciliter l’interprétation des délais de prescription fixés par la loi; elle peut donc être écartée par un texte législatif clair. La question de savoir si une assemblée législative a codifié, limité ou écarté cette règle de common law est une question d’interprétation législative. Le libellé de l’</w:t>
      </w:r>
      <w:r w:rsidR="000B0F35" w:rsidRPr="000B0F35">
        <w:rPr>
          <w:noProof/>
          <w:lang w:val="fr-CA"/>
        </w:rPr>
        <w:t>al. </w:t>
      </w:r>
      <w:r w:rsidRPr="000B0F35">
        <w:rPr>
          <w:noProof/>
          <w:lang w:val="fr-CA"/>
        </w:rPr>
        <w:t xml:space="preserve">5(1)a) et du </w:t>
      </w:r>
      <w:r w:rsidR="000B0F35" w:rsidRPr="000B0F35">
        <w:rPr>
          <w:noProof/>
          <w:lang w:val="fr-CA"/>
        </w:rPr>
        <w:t>par. </w:t>
      </w:r>
      <w:r w:rsidRPr="000B0F35">
        <w:rPr>
          <w:noProof/>
          <w:lang w:val="fr-CA"/>
        </w:rPr>
        <w:t xml:space="preserve">5(2) de la </w:t>
      </w:r>
      <w:r w:rsidRPr="000B0F35">
        <w:rPr>
          <w:i/>
          <w:noProof/>
          <w:lang w:val="fr-CA"/>
        </w:rPr>
        <w:t xml:space="preserve">LP </w:t>
      </w:r>
      <w:r w:rsidRPr="000B0F35">
        <w:rPr>
          <w:noProof/>
          <w:lang w:val="fr-CA"/>
        </w:rPr>
        <w:t>n’écarte ni ne limite la règle de common law; en réalité</w:t>
      </w:r>
      <w:r w:rsidR="00153ADE">
        <w:rPr>
          <w:noProof/>
          <w:lang w:val="fr-CA"/>
        </w:rPr>
        <w:t>,</w:t>
      </w:r>
      <w:r w:rsidRPr="000B0F35">
        <w:rPr>
          <w:noProof/>
          <w:lang w:val="fr-CA"/>
        </w:rPr>
        <w:t xml:space="preserve"> il la codifie. Cette interprétation est confirmée par les </w:t>
      </w:r>
      <w:r w:rsidR="00153ADE">
        <w:rPr>
          <w:noProof/>
          <w:lang w:val="fr-CA"/>
        </w:rPr>
        <w:t>mots</w:t>
      </w:r>
      <w:r w:rsidRPr="000B0F35">
        <w:rPr>
          <w:noProof/>
          <w:lang w:val="fr-CA"/>
        </w:rPr>
        <w:t xml:space="preserve"> de l’</w:t>
      </w:r>
      <w:r w:rsidR="000B0F35" w:rsidRPr="000B0F35">
        <w:rPr>
          <w:noProof/>
          <w:lang w:val="fr-CA"/>
        </w:rPr>
        <w:t>art. </w:t>
      </w:r>
      <w:r w:rsidRPr="000B0F35">
        <w:rPr>
          <w:noProof/>
          <w:lang w:val="fr-CA"/>
        </w:rPr>
        <w:t xml:space="preserve">5, lorsqu’on les lit dans leur contexte global en suivant le sens ordinaire et grammatical qui s’harmonise avec l’économie et l’objet de la </w:t>
      </w:r>
      <w:r w:rsidRPr="000B0F35">
        <w:rPr>
          <w:i/>
          <w:noProof/>
          <w:lang w:val="fr-CA"/>
        </w:rPr>
        <w:t xml:space="preserve">LP </w:t>
      </w:r>
      <w:r w:rsidRPr="000B0F35">
        <w:rPr>
          <w:noProof/>
          <w:lang w:val="fr-CA"/>
        </w:rPr>
        <w:t>ainsi qu’avec</w:t>
      </w:r>
      <w:r w:rsidRPr="000B0F35">
        <w:rPr>
          <w:iCs/>
          <w:noProof/>
          <w:lang w:val="fr-CA"/>
        </w:rPr>
        <w:t xml:space="preserve"> l’intention du législateur. En conséquence, comme l’établissent la règle de la possibilité de découvrir et la </w:t>
      </w:r>
      <w:r w:rsidRPr="000B0F35">
        <w:rPr>
          <w:i/>
          <w:iCs/>
          <w:noProof/>
          <w:lang w:val="fr-CA"/>
        </w:rPr>
        <w:t>LP</w:t>
      </w:r>
      <w:r w:rsidRPr="000B0F35">
        <w:rPr>
          <w:iCs/>
          <w:noProof/>
          <w:lang w:val="fr-CA"/>
        </w:rPr>
        <w:t xml:space="preserve">, le délai de prescription commence à courir </w:t>
      </w:r>
      <w:r w:rsidRPr="000B0F35">
        <w:rPr>
          <w:noProof/>
          <w:lang w:val="fr-CA"/>
        </w:rPr>
        <w:t>lorsque le demandeur découvre ou devrait découvrir, s’il fait preuve de diligence raisonnable, les faits importants sur lesquels repose sa réclamation.</w:t>
      </w:r>
    </w:p>
    <w:p w:rsidR="00B22820" w:rsidRPr="000B0F35" w:rsidRDefault="00B22820" w:rsidP="000B0F35">
      <w:pPr>
        <w:pStyle w:val="SCCNormalDoubleSpacing"/>
        <w:spacing w:after="480"/>
        <w:rPr>
          <w:noProof/>
          <w:lang w:val="fr-CA"/>
        </w:rPr>
      </w:pPr>
      <w:r w:rsidRPr="000B0F35">
        <w:rPr>
          <w:lang w:val="fr-CA"/>
        </w:rPr>
        <w:tab/>
        <w:t xml:space="preserve">Il faut ensuite se questionner sur le </w:t>
      </w:r>
      <w:r w:rsidRPr="000B0F35">
        <w:rPr>
          <w:noProof/>
          <w:lang w:val="fr-CA"/>
        </w:rPr>
        <w:t>degré précis de connaissance requis pour découvrir les faits ayant donné naissance à une réclamation. Le demandeur découvre les faits à l’origine de sa réclamation lorsqu’il a une connaissance, réelle ou imputée, des faits importants permettant d’inférer plausiblement la responsabilité du défendeur. Cette approche reste fidèle à la règle de common law de la possibilité de découvrir le dommage, qui reconna</w:t>
      </w:r>
      <w:r w:rsidR="00153ADE">
        <w:rPr>
          <w:noProof/>
          <w:lang w:val="fr-CA"/>
        </w:rPr>
        <w:t>î</w:t>
      </w:r>
      <w:r w:rsidRPr="000B0F35">
        <w:rPr>
          <w:noProof/>
          <w:lang w:val="fr-CA"/>
        </w:rPr>
        <w:t>t qu’il est injuste de priver un demandeur de la possibilité d’intenter une action avant qu’on puisse raisonnablement s’attendre à ce qu’il soit au courant de l’existence de cette action. Elle est également compatible avec l’</w:t>
      </w:r>
      <w:r w:rsidR="000B0F35" w:rsidRPr="000B0F35">
        <w:rPr>
          <w:noProof/>
          <w:lang w:val="fr-CA"/>
        </w:rPr>
        <w:t>art. </w:t>
      </w:r>
      <w:r w:rsidRPr="000B0F35">
        <w:rPr>
          <w:noProof/>
          <w:lang w:val="fr-CA"/>
        </w:rPr>
        <w:t xml:space="preserve">5 de la </w:t>
      </w:r>
      <w:r w:rsidRPr="000B0F35">
        <w:rPr>
          <w:i/>
          <w:noProof/>
          <w:lang w:val="fr-CA"/>
        </w:rPr>
        <w:t>LP</w:t>
      </w:r>
      <w:r w:rsidRPr="000B0F35">
        <w:rPr>
          <w:noProof/>
          <w:lang w:val="fr-CA"/>
        </w:rPr>
        <w:t xml:space="preserve">, assure la cohérence du droit et </w:t>
      </w:r>
      <w:r w:rsidRPr="000B0F35">
        <w:rPr>
          <w:rStyle w:val="ParaNoNdepar-AltNChar"/>
          <w:rFonts w:cs="Times New Roman"/>
          <w:noProof/>
          <w:lang w:val="fr-CA"/>
        </w:rPr>
        <w:t xml:space="preserve">garantit que le degré de connaissance requis pour découvrir </w:t>
      </w:r>
      <w:r w:rsidRPr="000B0F35">
        <w:rPr>
          <w:noProof/>
          <w:lang w:val="fr-CA"/>
        </w:rPr>
        <w:t xml:space="preserve">les faits ayant donné naissance à une réclamation est plus élevé que </w:t>
      </w:r>
      <w:r w:rsidRPr="000B0F35">
        <w:rPr>
          <w:rStyle w:val="ParaNoNdepar-AltNChar"/>
          <w:rFonts w:cs="Times New Roman"/>
          <w:noProof/>
          <w:lang w:val="fr-CA"/>
        </w:rPr>
        <w:t>de simples soupçons ou spéculations.</w:t>
      </w:r>
      <w:r w:rsidRPr="000B0F35">
        <w:rPr>
          <w:noProof/>
          <w:lang w:val="fr-CA"/>
        </w:rPr>
        <w:t xml:space="preserve"> En même temps, elle</w:t>
      </w:r>
      <w:r w:rsidRPr="000B0F35">
        <w:rPr>
          <w:rStyle w:val="ParaNoNdepar-AltNChar"/>
          <w:rFonts w:cs="Times New Roman"/>
          <w:noProof/>
          <w:lang w:val="fr-CA"/>
        </w:rPr>
        <w:t xml:space="preserve"> fait en sorte que la norme n’est pas stricte au point d’exiger une certitude quant à la responsabilité ou une connaissance parfaite.</w:t>
      </w:r>
      <w:r w:rsidRPr="000B0F35">
        <w:rPr>
          <w:noProof/>
          <w:lang w:val="fr-CA"/>
        </w:rPr>
        <w:t xml:space="preserve"> Une inférence plausible</w:t>
      </w:r>
      <w:r w:rsidRPr="000B0F35">
        <w:rPr>
          <w:bCs/>
          <w:noProof/>
          <w:lang w:val="fr-CA"/>
        </w:rPr>
        <w:t xml:space="preserve"> de responsabilité suffit</w:t>
      </w:r>
      <w:r w:rsidR="000B0F35" w:rsidRPr="000B0F35">
        <w:rPr>
          <w:bCs/>
          <w:noProof/>
          <w:lang w:val="fr-CA"/>
        </w:rPr>
        <w:t> :</w:t>
      </w:r>
      <w:r w:rsidRPr="000B0F35">
        <w:rPr>
          <w:bCs/>
          <w:noProof/>
          <w:lang w:val="fr-CA"/>
        </w:rPr>
        <w:t xml:space="preserve"> elle permet de trouver le juste équilibre entre les divers intérêts en jeu que vise la </w:t>
      </w:r>
      <w:r w:rsidRPr="000B0F35">
        <w:rPr>
          <w:noProof/>
          <w:lang w:val="fr-CA"/>
        </w:rPr>
        <w:t>règle de common law de la possibilité de découvrir le dommage.</w:t>
      </w:r>
    </w:p>
    <w:p w:rsidR="00B22820" w:rsidRPr="000B0F35" w:rsidRDefault="00B22820" w:rsidP="000B0F35">
      <w:pPr>
        <w:pStyle w:val="SCCNormalDoubleSpacing"/>
        <w:spacing w:after="480"/>
        <w:rPr>
          <w:lang w:val="fr-CA"/>
        </w:rPr>
      </w:pPr>
      <w:r w:rsidRPr="000B0F35">
        <w:rPr>
          <w:lang w:val="fr-CA"/>
        </w:rPr>
        <w:tab/>
      </w:r>
      <w:r w:rsidRPr="000B0F35">
        <w:rPr>
          <w:noProof/>
          <w:lang w:val="fr-CA"/>
        </w:rPr>
        <w:t>Les faits importants dont le demandeur doit avoir une connaissance réelle ou imputée sont généralement énoncés dans la loi sur la prescription.</w:t>
      </w:r>
      <w:r w:rsidRPr="000B0F35">
        <w:rPr>
          <w:lang w:val="fr-CA"/>
        </w:rPr>
        <w:t xml:space="preserve"> Dans la </w:t>
      </w:r>
      <w:r w:rsidRPr="000B0F35">
        <w:rPr>
          <w:i/>
          <w:lang w:val="fr-CA"/>
        </w:rPr>
        <w:t>LP</w:t>
      </w:r>
      <w:r w:rsidRPr="000B0F35">
        <w:rPr>
          <w:lang w:val="fr-CA"/>
        </w:rPr>
        <w:t xml:space="preserve">, </w:t>
      </w:r>
      <w:r w:rsidRPr="000B0F35">
        <w:rPr>
          <w:noProof/>
          <w:lang w:val="fr-CA"/>
        </w:rPr>
        <w:t xml:space="preserve">ils sont énumérés aux </w:t>
      </w:r>
      <w:r w:rsidR="000B0F35" w:rsidRPr="000B0F35">
        <w:rPr>
          <w:noProof/>
          <w:lang w:val="fr-CA"/>
        </w:rPr>
        <w:t>al. </w:t>
      </w:r>
      <w:r w:rsidRPr="000B0F35">
        <w:rPr>
          <w:noProof/>
          <w:lang w:val="fr-CA"/>
        </w:rPr>
        <w:t>5(2)a) à c), selon lesquels</w:t>
      </w:r>
      <w:r w:rsidRPr="000B0F35">
        <w:rPr>
          <w:lang w:val="fr-CA"/>
        </w:rPr>
        <w:t xml:space="preserve"> les faits ayant donné naissance à la réclamation sont découverts lorsque le demandeur </w:t>
      </w:r>
      <w:r w:rsidR="00153ADE">
        <w:rPr>
          <w:lang w:val="fr-CA"/>
        </w:rPr>
        <w:t>a</w:t>
      </w:r>
      <w:r w:rsidRPr="000B0F35">
        <w:rPr>
          <w:lang w:val="fr-CA"/>
        </w:rPr>
        <w:t xml:space="preserve"> une connaissance réelle ou imputée</w:t>
      </w:r>
      <w:r w:rsidR="000B0F35" w:rsidRPr="000B0F35">
        <w:rPr>
          <w:lang w:val="fr-CA"/>
        </w:rPr>
        <w:t> :</w:t>
      </w:r>
      <w:r w:rsidR="009E36B4">
        <w:rPr>
          <w:noProof/>
          <w:lang w:val="fr-CA"/>
        </w:rPr>
        <w:t xml:space="preserve"> a) </w:t>
      </w:r>
      <w:r w:rsidRPr="000B0F35">
        <w:rPr>
          <w:noProof/>
          <w:lang w:val="fr-CA"/>
        </w:rPr>
        <w:t xml:space="preserve">des préjudices, pertes ou </w:t>
      </w:r>
      <w:r w:rsidR="009E36B4">
        <w:rPr>
          <w:noProof/>
          <w:lang w:val="fr-CA"/>
        </w:rPr>
        <w:t>dommages survenus; b) </w:t>
      </w:r>
      <w:r w:rsidRPr="000B0F35">
        <w:rPr>
          <w:noProof/>
          <w:lang w:val="fr-CA"/>
        </w:rPr>
        <w:t xml:space="preserve">du fait que les préjudices, pertes ou dommages ont été causés entièrement ou en partie par un acte ou une omission; et </w:t>
      </w:r>
      <w:r w:rsidR="009E36B4">
        <w:rPr>
          <w:noProof/>
          <w:lang w:val="fr-CA"/>
        </w:rPr>
        <w:t>c) </w:t>
      </w:r>
      <w:r w:rsidRPr="000B0F35">
        <w:rPr>
          <w:noProof/>
          <w:lang w:val="fr-CA"/>
        </w:rPr>
        <w:t>du fait que l’acte ou l’omission était le fait du défendeur. Cette énumération est cumulative. Pour déterminer le degré de connaissance du demandeur, on peut utiliser des preuves tant directes que circonstancielles. Le demandeur a une connaissance imputée lorsque la preuve démontre qu’il aurait dû découvrir les faits importants, s’il avait fait preuve d’une diligence raisonnable. Enfin, la norme applicable exige que le demandeur soit en mesure d’inférer plausiblement la responsabilité du défendeur à partir des faits importants dont il a une connaissance réelle ou imputée. Cela signifie que dans le cas d’une réclamation fondée sur la négligence, il n’est pas nécessaire que le demandeur soit au courant du devoir de diligence du défendeur envers lui ou du manquement à cette norme de diligence par un acte ou une omission. Tout ce qu’il faut, c’est une connaissance, réelle ou imputée, des faits importants permettant d’inférer plausiblement la négligence du défendeur.</w:t>
      </w:r>
    </w:p>
    <w:p w:rsidR="00B22820" w:rsidRPr="000B0F35" w:rsidRDefault="00B22820" w:rsidP="000B0F35">
      <w:pPr>
        <w:pStyle w:val="SCCNormalDoubleSpacing"/>
        <w:spacing w:after="480"/>
        <w:rPr>
          <w:lang w:val="fr-CA"/>
        </w:rPr>
      </w:pPr>
      <w:r w:rsidRPr="000B0F35">
        <w:rPr>
          <w:lang w:val="fr-CA"/>
        </w:rPr>
        <w:tab/>
        <w:t xml:space="preserve">En l’espèce, </w:t>
      </w:r>
      <w:r w:rsidRPr="000B0F35">
        <w:rPr>
          <w:noProof/>
          <w:lang w:val="fr-CA"/>
        </w:rPr>
        <w:t>la province avait la connaissance réelle ou imputée des faits importants — à savoir qu’une perte était survenue et que celle</w:t>
      </w:r>
      <w:r w:rsidR="000B0F35" w:rsidRPr="000B0F35">
        <w:rPr>
          <w:noProof/>
          <w:lang w:val="fr-CA"/>
        </w:rPr>
        <w:noBreakHyphen/>
      </w:r>
      <w:r w:rsidRPr="000B0F35">
        <w:rPr>
          <w:noProof/>
          <w:lang w:val="fr-CA"/>
        </w:rPr>
        <w:t>ci avait été causée entièrement ou en partie par un acte ou une omission du vérificateur — après avoir reçu le rapport prov</w:t>
      </w:r>
      <w:r w:rsidR="00153ADE">
        <w:rPr>
          <w:noProof/>
          <w:lang w:val="fr-CA"/>
        </w:rPr>
        <w:t xml:space="preserve">isoire de l’autre cabinet, le 4 </w:t>
      </w:r>
      <w:r w:rsidRPr="000B0F35">
        <w:rPr>
          <w:noProof/>
          <w:lang w:val="fr-CA"/>
        </w:rPr>
        <w:t>février 2011</w:t>
      </w:r>
      <w:r w:rsidRPr="000B0F35">
        <w:rPr>
          <w:lang w:val="fr-CA"/>
        </w:rPr>
        <w:t xml:space="preserve">. </w:t>
      </w:r>
      <w:r w:rsidRPr="000B0F35">
        <w:rPr>
          <w:noProof/>
          <w:lang w:val="fr-CA"/>
        </w:rPr>
        <w:t xml:space="preserve">L’acte ou l’omission du vérificateur a consisté à remettre son rapport portant sur les états financiers de la société, même si ces états n’avaient pas été dressés conformément aux principes comptables généralement reconnus, et ne donnaient pas, à tous les égards importants, une image fidèle de la situation financière de la société. La perte subie par la province a été causée entièrement ou en partie par cet acte ou cette omission parce qu’elle a </w:t>
      </w:r>
      <w:r w:rsidR="009E36B4">
        <w:rPr>
          <w:noProof/>
          <w:lang w:val="fr-CA"/>
        </w:rPr>
        <w:t xml:space="preserve">signé des garanties de prêts de </w:t>
      </w:r>
      <w:r w:rsidRPr="000B0F35">
        <w:rPr>
          <w:noProof/>
          <w:lang w:val="fr-CA"/>
        </w:rPr>
        <w:t>50 millions de dollars en se fiant aux déclarations du vérificateur. Rien de plus n’était nécessaire pour inférer plausiblement la négligence. La réclamation de la province est donc prescrite en application de l’</w:t>
      </w:r>
      <w:r w:rsidR="000B0F35" w:rsidRPr="000B0F35">
        <w:rPr>
          <w:noProof/>
          <w:lang w:val="fr-CA"/>
        </w:rPr>
        <w:t>al. </w:t>
      </w:r>
      <w:r w:rsidRPr="000B0F35">
        <w:rPr>
          <w:noProof/>
          <w:lang w:val="fr-CA"/>
        </w:rPr>
        <w:t xml:space="preserve">5(1)a) de la </w:t>
      </w:r>
      <w:r w:rsidRPr="000B0F35">
        <w:rPr>
          <w:i/>
          <w:noProof/>
          <w:lang w:val="fr-CA"/>
        </w:rPr>
        <w:t>LP</w:t>
      </w:r>
      <w:r w:rsidRPr="000B0F35">
        <w:rPr>
          <w:noProof/>
          <w:lang w:val="fr-CA"/>
        </w:rPr>
        <w:t>.</w:t>
      </w:r>
    </w:p>
    <w:p w:rsidR="004D7D95" w:rsidRPr="000B0F35" w:rsidRDefault="004D7D95" w:rsidP="000B0F35">
      <w:pPr>
        <w:pStyle w:val="SCCNormalDoubleSpacing"/>
        <w:spacing w:after="720" w:line="240" w:lineRule="auto"/>
        <w:rPr>
          <w:b/>
          <w:lang w:val="fr-CA"/>
        </w:rPr>
      </w:pPr>
      <w:r w:rsidRPr="000B0F35">
        <w:rPr>
          <w:b/>
          <w:lang w:val="fr-CA"/>
        </w:rPr>
        <w:t>Jurisprudence</w:t>
      </w:r>
    </w:p>
    <w:p w:rsidR="004D7D95" w:rsidRPr="000B0F35" w:rsidRDefault="004D7D95" w:rsidP="000B0F35">
      <w:pPr>
        <w:pStyle w:val="SCCNormalDoubleSpacing"/>
        <w:spacing w:after="480"/>
        <w:rPr>
          <w:b/>
          <w:lang w:val="en-US"/>
        </w:rPr>
      </w:pPr>
      <w:r w:rsidRPr="000B0F35">
        <w:rPr>
          <w:lang w:val="fr-CA"/>
        </w:rPr>
        <w:tab/>
      </w:r>
      <w:r w:rsidRPr="000B0F35">
        <w:rPr>
          <w:b/>
          <w:lang w:val="fr-CA"/>
        </w:rPr>
        <w:t>Arrêts mentionnés</w:t>
      </w:r>
      <w:r w:rsidR="000B0F35" w:rsidRPr="000B0F35">
        <w:rPr>
          <w:b/>
          <w:lang w:val="fr-CA"/>
        </w:rPr>
        <w:t> :</w:t>
      </w:r>
      <w:r w:rsidRPr="000B0F35">
        <w:rPr>
          <w:lang w:val="fr-CA"/>
        </w:rPr>
        <w:t xml:space="preserve"> </w:t>
      </w:r>
      <w:r w:rsidR="004639F4" w:rsidRPr="000B0F35">
        <w:rPr>
          <w:i/>
          <w:lang w:val="fr-CA"/>
        </w:rPr>
        <w:t>Central Trust Co. c. Rafuse</w:t>
      </w:r>
      <w:r w:rsidR="004639F4" w:rsidRPr="000B0F35">
        <w:rPr>
          <w:lang w:val="fr-CA"/>
        </w:rPr>
        <w:t xml:space="preserve">, [1986] 2 R.C.S. 147; </w:t>
      </w:r>
      <w:r w:rsidR="004639F4" w:rsidRPr="000B0F35">
        <w:rPr>
          <w:i/>
          <w:lang w:val="fr-CA"/>
        </w:rPr>
        <w:t>Kamloops (</w:t>
      </w:r>
      <w:r w:rsidR="00E77B2B" w:rsidRPr="000B0F35">
        <w:rPr>
          <w:i/>
          <w:lang w:val="fr-CA"/>
        </w:rPr>
        <w:t>Ville de</w:t>
      </w:r>
      <w:r w:rsidR="004639F4" w:rsidRPr="000B0F35">
        <w:rPr>
          <w:i/>
          <w:lang w:val="fr-CA"/>
        </w:rPr>
        <w:t>) c. Nielsen</w:t>
      </w:r>
      <w:r w:rsidR="004639F4" w:rsidRPr="000B0F35">
        <w:rPr>
          <w:lang w:val="fr-CA"/>
        </w:rPr>
        <w:t>,</w:t>
      </w:r>
      <w:r w:rsidR="004639F4" w:rsidRPr="000B0F35">
        <w:rPr>
          <w:i/>
          <w:lang w:val="fr-CA"/>
        </w:rPr>
        <w:t xml:space="preserve"> </w:t>
      </w:r>
      <w:r w:rsidR="004639F4" w:rsidRPr="000B0F35">
        <w:rPr>
          <w:lang w:val="fr-CA"/>
        </w:rPr>
        <w:t xml:space="preserve">[1984] 2 R.C.S. 2; </w:t>
      </w:r>
      <w:r w:rsidR="004639F4" w:rsidRPr="000B0F35">
        <w:rPr>
          <w:i/>
          <w:lang w:val="fr-CA"/>
        </w:rPr>
        <w:t>Ryan c. Moore</w:t>
      </w:r>
      <w:r w:rsidR="004639F4" w:rsidRPr="000B0F35">
        <w:rPr>
          <w:lang w:val="fr-CA"/>
        </w:rPr>
        <w:t>,</w:t>
      </w:r>
      <w:r w:rsidR="004639F4" w:rsidRPr="000B0F35">
        <w:rPr>
          <w:i/>
          <w:lang w:val="fr-CA"/>
        </w:rPr>
        <w:t xml:space="preserve"> </w:t>
      </w:r>
      <w:r w:rsidR="004639F4" w:rsidRPr="000B0F35">
        <w:rPr>
          <w:lang w:val="fr-CA"/>
        </w:rPr>
        <w:t xml:space="preserve">2005 CSC 38, [2005] 2 R.C.S. 53; </w:t>
      </w:r>
      <w:r w:rsidR="004639F4" w:rsidRPr="000B0F35">
        <w:rPr>
          <w:i/>
          <w:lang w:val="fr-CA"/>
        </w:rPr>
        <w:t>M. (K.) c. M. (H.)</w:t>
      </w:r>
      <w:r w:rsidR="004639F4" w:rsidRPr="000B0F35">
        <w:rPr>
          <w:lang w:val="fr-CA"/>
        </w:rPr>
        <w:t xml:space="preserve">, [1992] 3 R.C.S. 6; </w:t>
      </w:r>
      <w:r w:rsidR="004639F4" w:rsidRPr="000B0F35">
        <w:rPr>
          <w:i/>
          <w:lang w:val="fr-CA"/>
        </w:rPr>
        <w:t>Peixeiro c. Haberman</w:t>
      </w:r>
      <w:r w:rsidR="004639F4" w:rsidRPr="000B0F35">
        <w:rPr>
          <w:lang w:val="fr-CA"/>
        </w:rPr>
        <w:t>,</w:t>
      </w:r>
      <w:r w:rsidR="004639F4" w:rsidRPr="000B0F35">
        <w:rPr>
          <w:i/>
          <w:lang w:val="fr-CA"/>
        </w:rPr>
        <w:t xml:space="preserve"> </w:t>
      </w:r>
      <w:r w:rsidR="004639F4" w:rsidRPr="000B0F35">
        <w:rPr>
          <w:lang w:val="fr-CA"/>
        </w:rPr>
        <w:t xml:space="preserve">[1997] 3 R.C.S. 549; </w:t>
      </w:r>
      <w:r w:rsidR="004639F4" w:rsidRPr="000B0F35">
        <w:rPr>
          <w:i/>
          <w:lang w:val="fr-CA"/>
        </w:rPr>
        <w:t>Pioneer Cor</w:t>
      </w:r>
      <w:r w:rsidR="000B0F35" w:rsidRPr="000B0F35">
        <w:rPr>
          <w:i/>
          <w:lang w:val="fr-CA"/>
        </w:rPr>
        <w:t>p. </w:t>
      </w:r>
      <w:r w:rsidR="004639F4" w:rsidRPr="000B0F35">
        <w:rPr>
          <w:i/>
          <w:lang w:val="fr-CA"/>
        </w:rPr>
        <w:t>c. Godfrey</w:t>
      </w:r>
      <w:r w:rsidR="004639F4" w:rsidRPr="000B0F35">
        <w:rPr>
          <w:lang w:val="fr-CA"/>
        </w:rPr>
        <w:t>,</w:t>
      </w:r>
      <w:r w:rsidR="004639F4" w:rsidRPr="000B0F35">
        <w:rPr>
          <w:i/>
          <w:lang w:val="fr-CA"/>
        </w:rPr>
        <w:t xml:space="preserve"> </w:t>
      </w:r>
      <w:r w:rsidR="004639F4" w:rsidRPr="000B0F35">
        <w:rPr>
          <w:lang w:val="fr-CA"/>
        </w:rPr>
        <w:t xml:space="preserve">2019 CSC 42; </w:t>
      </w:r>
      <w:r w:rsidR="004639F4" w:rsidRPr="000B0F35">
        <w:rPr>
          <w:i/>
          <w:lang w:val="fr-CA"/>
        </w:rPr>
        <w:t xml:space="preserve">Rizzo &amp; Rizzo Shoes Ltd. </w:t>
      </w:r>
      <w:r w:rsidR="004639F4" w:rsidRPr="000B0F35">
        <w:rPr>
          <w:i/>
        </w:rPr>
        <w:t>(Re)</w:t>
      </w:r>
      <w:r w:rsidR="004639F4" w:rsidRPr="000B0F35">
        <w:t>,</w:t>
      </w:r>
      <w:r w:rsidR="004639F4" w:rsidRPr="000B0F35">
        <w:rPr>
          <w:i/>
        </w:rPr>
        <w:t xml:space="preserve"> </w:t>
      </w:r>
      <w:r w:rsidR="004639F4" w:rsidRPr="000B0F35">
        <w:t xml:space="preserve">[1998] 1 R.C.S. 27; </w:t>
      </w:r>
      <w:r w:rsidR="004639F4" w:rsidRPr="000B0F35">
        <w:rPr>
          <w:i/>
        </w:rPr>
        <w:t>Galota c. Festival Hall Developments Ltd.</w:t>
      </w:r>
      <w:r w:rsidR="004639F4" w:rsidRPr="000B0F35">
        <w:t>,</w:t>
      </w:r>
      <w:r w:rsidR="004639F4" w:rsidRPr="000B0F35">
        <w:rPr>
          <w:i/>
        </w:rPr>
        <w:t xml:space="preserve"> </w:t>
      </w:r>
      <w:r w:rsidR="004639F4" w:rsidRPr="000B0F35">
        <w:t xml:space="preserve">2016 ONCA 585, 133 O.R. (3d) 35; </w:t>
      </w:r>
      <w:r w:rsidR="004639F4" w:rsidRPr="000B0F35">
        <w:rPr>
          <w:i/>
        </w:rPr>
        <w:t>De Shazo c. Nations Energy Co.</w:t>
      </w:r>
      <w:r w:rsidR="004639F4" w:rsidRPr="000B0F35">
        <w:t xml:space="preserve">, 2005 ABCA 241, 48 Alta. L.R. (4th) 25; </w:t>
      </w:r>
      <w:r w:rsidR="004639F4" w:rsidRPr="000B0F35">
        <w:rPr>
          <w:i/>
        </w:rPr>
        <w:t>Jardine c. Saskatoon Police Service</w:t>
      </w:r>
      <w:r w:rsidR="004639F4" w:rsidRPr="000B0F35">
        <w:t xml:space="preserve">, 2017 SKQB 217; </w:t>
      </w:r>
      <w:r w:rsidR="004639F4" w:rsidRPr="000B0F35">
        <w:rPr>
          <w:i/>
          <w:shd w:val="clear" w:color="auto" w:fill="FFFFFF"/>
        </w:rPr>
        <w:t>Crombie Property Holdings Ltd. c. McColl</w:t>
      </w:r>
      <w:r w:rsidR="000B0F35" w:rsidRPr="000B0F35">
        <w:rPr>
          <w:i/>
          <w:shd w:val="clear" w:color="auto" w:fill="FFFFFF"/>
        </w:rPr>
        <w:noBreakHyphen/>
      </w:r>
      <w:r w:rsidR="004639F4" w:rsidRPr="000B0F35">
        <w:rPr>
          <w:i/>
          <w:shd w:val="clear" w:color="auto" w:fill="FFFFFF"/>
        </w:rPr>
        <w:t>Frontenac Inc.</w:t>
      </w:r>
      <w:r w:rsidR="004639F4" w:rsidRPr="000B0F35">
        <w:rPr>
          <w:shd w:val="clear" w:color="auto" w:fill="FFFFFF"/>
        </w:rPr>
        <w:t xml:space="preserve">, 2017 ONCA 16, 406 D.L.R. (4th) 252; </w:t>
      </w:r>
      <w:r w:rsidR="004639F4" w:rsidRPr="000B0F35">
        <w:rPr>
          <w:i/>
          <w:szCs w:val="24"/>
        </w:rPr>
        <w:t>Brown c. Wahl</w:t>
      </w:r>
      <w:r w:rsidR="004639F4" w:rsidRPr="000B0F35">
        <w:rPr>
          <w:szCs w:val="24"/>
        </w:rPr>
        <w:t>,</w:t>
      </w:r>
      <w:r w:rsidR="004639F4" w:rsidRPr="000B0F35">
        <w:rPr>
          <w:i/>
          <w:szCs w:val="24"/>
        </w:rPr>
        <w:t xml:space="preserve"> </w:t>
      </w:r>
      <w:r w:rsidR="004639F4" w:rsidRPr="000B0F35">
        <w:rPr>
          <w:szCs w:val="24"/>
        </w:rPr>
        <w:t>2015 ONCA 778, 128 O.R. (3d) 58</w:t>
      </w:r>
      <w:r w:rsidR="002C31A1" w:rsidRPr="000B0F35">
        <w:rPr>
          <w:szCs w:val="24"/>
        </w:rPr>
        <w:t>8</w:t>
      </w:r>
      <w:r w:rsidR="004639F4" w:rsidRPr="000B0F35">
        <w:rPr>
          <w:szCs w:val="24"/>
        </w:rPr>
        <w:t xml:space="preserve">; </w:t>
      </w:r>
      <w:r w:rsidR="004639F4" w:rsidRPr="000B0F35">
        <w:rPr>
          <w:i/>
          <w:szCs w:val="24"/>
        </w:rPr>
        <w:t>Lawless c. Anderson</w:t>
      </w:r>
      <w:r w:rsidR="004639F4" w:rsidRPr="000B0F35">
        <w:rPr>
          <w:szCs w:val="24"/>
        </w:rPr>
        <w:t xml:space="preserve">, 2011 ONCA 102, 276 O.A.C. 75; </w:t>
      </w:r>
      <w:r w:rsidR="004639F4" w:rsidRPr="000B0F35">
        <w:rPr>
          <w:bCs/>
          <w:i/>
          <w:szCs w:val="24"/>
        </w:rPr>
        <w:t>Insurance Corporation of British Columbia c. Mehat</w:t>
      </w:r>
      <w:r w:rsidR="004639F4" w:rsidRPr="000B0F35">
        <w:rPr>
          <w:szCs w:val="24"/>
        </w:rPr>
        <w:t xml:space="preserve">, 2018 BCCA 242, 11 B.C.L.R. (6th) 217; </w:t>
      </w:r>
      <w:r w:rsidR="004639F4" w:rsidRPr="000B0F35">
        <w:rPr>
          <w:rStyle w:val="ParaNoNdepar-AltNChar"/>
          <w:rFonts w:cs="Times New Roman"/>
          <w:i/>
        </w:rPr>
        <w:t>Kowal c. Shyiak</w:t>
      </w:r>
      <w:r w:rsidR="004639F4" w:rsidRPr="000B0F35">
        <w:rPr>
          <w:rStyle w:val="ParaNoNdepar-AltNChar"/>
          <w:rFonts w:cs="Times New Roman"/>
        </w:rPr>
        <w:t xml:space="preserve">, 2012 ONCA 512, 296 O.A.C. 352; </w:t>
      </w:r>
      <w:r w:rsidR="004639F4" w:rsidRPr="000B0F35">
        <w:rPr>
          <w:rStyle w:val="ParaNoNdepar-AltNChar"/>
          <w:rFonts w:cs="Times New Roman"/>
          <w:i/>
        </w:rPr>
        <w:t xml:space="preserve">Hill c. South Alberta Land Registration District </w:t>
      </w:r>
      <w:r w:rsidR="004639F4" w:rsidRPr="000B0F35">
        <w:rPr>
          <w:rStyle w:val="ParaNoNdepar-AltNChar"/>
          <w:rFonts w:cs="Times New Roman"/>
        </w:rPr>
        <w:t xml:space="preserve">(1993), 8 Alta. L.R. (3d) 379; </w:t>
      </w:r>
      <w:r w:rsidR="004639F4" w:rsidRPr="000B0F35">
        <w:rPr>
          <w:rStyle w:val="ParaNoNdepar-AltNChar"/>
          <w:rFonts w:cs="Times New Roman"/>
          <w:i/>
        </w:rPr>
        <w:t>HOOPP Realty Inc. c. Emery Jamieson LLP</w:t>
      </w:r>
      <w:r w:rsidR="004639F4" w:rsidRPr="000B0F35">
        <w:rPr>
          <w:rStyle w:val="ParaNoNdepar-AltNChar"/>
          <w:rFonts w:cs="Times New Roman"/>
        </w:rPr>
        <w:t xml:space="preserve">, 2018 ABQB 276, 27 C.P.C. (8th) </w:t>
      </w:r>
      <w:r w:rsidR="004639F4" w:rsidRPr="000B0F35">
        <w:rPr>
          <w:rStyle w:val="ParaNoNdepar-AltNChar"/>
          <w:rFonts w:cs="Times New Roman"/>
          <w:lang w:val="en-US"/>
        </w:rPr>
        <w:t>83</w:t>
      </w:r>
      <w:r w:rsidR="00C314F4" w:rsidRPr="000B0F35">
        <w:rPr>
          <w:rStyle w:val="ParaNoNdepar-AltNChar"/>
          <w:rFonts w:cs="Times New Roman"/>
          <w:lang w:val="en-US"/>
        </w:rPr>
        <w:t xml:space="preserve">; </w:t>
      </w:r>
      <w:r w:rsidR="00C314F4" w:rsidRPr="000B0F35">
        <w:rPr>
          <w:i/>
          <w:lang w:val="en-US"/>
        </w:rPr>
        <w:t>K.L.B. c. Colombie</w:t>
      </w:r>
      <w:r w:rsidR="000B0F35" w:rsidRPr="000B0F35">
        <w:rPr>
          <w:i/>
          <w:lang w:val="en-US"/>
        </w:rPr>
        <w:noBreakHyphen/>
      </w:r>
      <w:r w:rsidR="00C314F4" w:rsidRPr="000B0F35">
        <w:rPr>
          <w:i/>
          <w:lang w:val="en-US"/>
        </w:rPr>
        <w:t>Britannique</w:t>
      </w:r>
      <w:r w:rsidR="00C314F4" w:rsidRPr="000B0F35">
        <w:rPr>
          <w:lang w:val="en-US"/>
        </w:rPr>
        <w:t>,</w:t>
      </w:r>
      <w:r w:rsidR="00C314F4" w:rsidRPr="000B0F35">
        <w:rPr>
          <w:i/>
          <w:lang w:val="en-US"/>
        </w:rPr>
        <w:t xml:space="preserve"> </w:t>
      </w:r>
      <w:r w:rsidR="00C314F4" w:rsidRPr="000B0F35">
        <w:rPr>
          <w:lang w:val="en-US"/>
        </w:rPr>
        <w:t>2003 CSC 51, [2003] 2 R.C.S. 403</w:t>
      </w:r>
      <w:r w:rsidR="004639F4" w:rsidRPr="000B0F35">
        <w:rPr>
          <w:rStyle w:val="ParaNoNdepar-AltNChar"/>
          <w:rFonts w:cs="Times New Roman"/>
          <w:lang w:val="en-US"/>
        </w:rPr>
        <w:t>.</w:t>
      </w:r>
    </w:p>
    <w:p w:rsidR="004D7D95" w:rsidRPr="000B0F35" w:rsidRDefault="004D7D95" w:rsidP="000B0F35">
      <w:pPr>
        <w:pStyle w:val="SCCNormalDoubleSpacing"/>
        <w:spacing w:after="720" w:line="240" w:lineRule="auto"/>
        <w:rPr>
          <w:b/>
          <w:lang w:val="fr-CA"/>
        </w:rPr>
      </w:pPr>
      <w:r w:rsidRPr="000B0F35">
        <w:rPr>
          <w:b/>
          <w:lang w:val="fr-CA"/>
        </w:rPr>
        <w:t>Lois et règlements cités</w:t>
      </w:r>
    </w:p>
    <w:p w:rsidR="005169E5" w:rsidRPr="000B0F35" w:rsidRDefault="005169E5" w:rsidP="000B0F35">
      <w:pPr>
        <w:pStyle w:val="SCCNormalDoubleSpacing"/>
        <w:spacing w:after="240" w:line="240" w:lineRule="auto"/>
        <w:ind w:left="539" w:hanging="539"/>
        <w:rPr>
          <w:lang w:val="fr-CA"/>
        </w:rPr>
      </w:pPr>
      <w:r w:rsidRPr="000B0F35">
        <w:rPr>
          <w:i/>
          <w:lang w:val="fr-CA"/>
        </w:rPr>
        <w:t>Loi sur la faillite et l’insolvabilité</w:t>
      </w:r>
      <w:r w:rsidRPr="000B0F35">
        <w:rPr>
          <w:lang w:val="fr-CA"/>
        </w:rPr>
        <w:t>,</w:t>
      </w:r>
      <w:r w:rsidRPr="000B0F35">
        <w:rPr>
          <w:i/>
          <w:lang w:val="fr-CA"/>
        </w:rPr>
        <w:t xml:space="preserve"> </w:t>
      </w:r>
      <w:r w:rsidRPr="000B0F35">
        <w:rPr>
          <w:lang w:val="fr-CA"/>
        </w:rPr>
        <w:t>L.R.C. 1985, c. B</w:t>
      </w:r>
      <w:r w:rsidR="000B0F35" w:rsidRPr="000B0F35">
        <w:rPr>
          <w:lang w:val="fr-CA"/>
        </w:rPr>
        <w:noBreakHyphen/>
      </w:r>
      <w:r w:rsidRPr="000B0F35">
        <w:rPr>
          <w:lang w:val="fr-CA"/>
        </w:rPr>
        <w:t>3.</w:t>
      </w:r>
    </w:p>
    <w:p w:rsidR="005169E5" w:rsidRPr="000B0F35" w:rsidRDefault="005169E5" w:rsidP="000B0F35">
      <w:pPr>
        <w:pStyle w:val="SCCNormalDoubleSpacing"/>
        <w:spacing w:after="240" w:line="240" w:lineRule="auto"/>
        <w:ind w:left="539" w:hanging="539"/>
        <w:rPr>
          <w:lang w:val="fr-CA"/>
        </w:rPr>
      </w:pPr>
      <w:r w:rsidRPr="000B0F35">
        <w:rPr>
          <w:i/>
          <w:lang w:val="fr-CA"/>
        </w:rPr>
        <w:t>Loi sur les arrangements avec les créanciers des compagnies</w:t>
      </w:r>
      <w:r w:rsidRPr="000B0F35">
        <w:rPr>
          <w:lang w:val="fr-CA"/>
        </w:rPr>
        <w:t>,</w:t>
      </w:r>
      <w:r w:rsidRPr="000B0F35">
        <w:rPr>
          <w:i/>
          <w:lang w:val="fr-CA"/>
        </w:rPr>
        <w:t xml:space="preserve"> </w:t>
      </w:r>
      <w:r w:rsidRPr="000B0F35">
        <w:rPr>
          <w:lang w:val="fr-CA"/>
        </w:rPr>
        <w:t>L.R.C. 1985, c. C</w:t>
      </w:r>
      <w:r w:rsidR="000B0F35" w:rsidRPr="000B0F35">
        <w:rPr>
          <w:lang w:val="fr-CA"/>
        </w:rPr>
        <w:noBreakHyphen/>
      </w:r>
      <w:r w:rsidRPr="000B0F35">
        <w:rPr>
          <w:lang w:val="fr-CA"/>
        </w:rPr>
        <w:t>36.</w:t>
      </w:r>
    </w:p>
    <w:p w:rsidR="005169E5" w:rsidRPr="000B0F35" w:rsidRDefault="005169E5" w:rsidP="000B0F35">
      <w:pPr>
        <w:pStyle w:val="SCCNormalDoubleSpacing"/>
        <w:spacing w:after="720" w:line="240" w:lineRule="auto"/>
        <w:ind w:left="540" w:hanging="540"/>
        <w:rPr>
          <w:lang w:val="fr-CA"/>
        </w:rPr>
      </w:pPr>
      <w:r w:rsidRPr="000B0F35">
        <w:rPr>
          <w:i/>
          <w:lang w:val="fr-CA"/>
        </w:rPr>
        <w:t>Loi sur la prescription</w:t>
      </w:r>
      <w:r w:rsidRPr="000B0F35">
        <w:rPr>
          <w:lang w:val="fr-CA"/>
        </w:rPr>
        <w:t>, L.N.</w:t>
      </w:r>
      <w:r w:rsidR="000B0F35" w:rsidRPr="000B0F35">
        <w:rPr>
          <w:lang w:val="fr-CA"/>
        </w:rPr>
        <w:noBreakHyphen/>
      </w:r>
      <w:r w:rsidR="009E36B4">
        <w:rPr>
          <w:lang w:val="fr-CA"/>
        </w:rPr>
        <w:t>B. 2009, c. </w:t>
      </w:r>
      <w:r w:rsidRPr="000B0F35">
        <w:rPr>
          <w:lang w:val="fr-CA"/>
        </w:rPr>
        <w:t>L</w:t>
      </w:r>
      <w:r w:rsidR="000B0F35" w:rsidRPr="000B0F35">
        <w:rPr>
          <w:lang w:val="fr-CA"/>
        </w:rPr>
        <w:noBreakHyphen/>
      </w:r>
      <w:r w:rsidRPr="000B0F35">
        <w:rPr>
          <w:lang w:val="fr-CA"/>
        </w:rPr>
        <w:t xml:space="preserve">8.5, </w:t>
      </w:r>
      <w:r w:rsidR="000B0F35" w:rsidRPr="000B0F35">
        <w:rPr>
          <w:lang w:val="fr-CA"/>
        </w:rPr>
        <w:t>art. </w:t>
      </w:r>
      <w:r w:rsidRPr="000B0F35">
        <w:rPr>
          <w:lang w:val="fr-CA"/>
        </w:rPr>
        <w:t xml:space="preserve">1(1) </w:t>
      </w:r>
      <w:r w:rsidR="00001BE4" w:rsidRPr="000B0F35">
        <w:rPr>
          <w:lang w:val="fr-CA"/>
        </w:rPr>
        <w:t>« </w:t>
      </w:r>
      <w:r w:rsidRPr="000B0F35">
        <w:rPr>
          <w:lang w:val="fr-CA"/>
        </w:rPr>
        <w:t>réclamation</w:t>
      </w:r>
      <w:r w:rsidR="00001BE4" w:rsidRPr="000B0F35">
        <w:rPr>
          <w:lang w:val="fr-CA"/>
        </w:rPr>
        <w:t> »</w:t>
      </w:r>
      <w:r w:rsidRPr="000B0F35">
        <w:rPr>
          <w:lang w:val="fr-CA"/>
        </w:rPr>
        <w:t>, 5.</w:t>
      </w:r>
    </w:p>
    <w:p w:rsidR="004D7D95" w:rsidRPr="000B0F35" w:rsidRDefault="004D7D95" w:rsidP="000B0F35">
      <w:pPr>
        <w:pStyle w:val="SCCNormalDoubleSpacing"/>
        <w:spacing w:before="240" w:after="720" w:line="240" w:lineRule="auto"/>
        <w:rPr>
          <w:b/>
          <w:lang w:val="fr-CA"/>
        </w:rPr>
      </w:pPr>
      <w:r w:rsidRPr="000B0F35">
        <w:rPr>
          <w:b/>
          <w:lang w:val="fr-CA"/>
        </w:rPr>
        <w:t>Doctrine et autres documents cités</w:t>
      </w:r>
    </w:p>
    <w:p w:rsidR="0058332E" w:rsidRPr="000B0F35" w:rsidRDefault="00F205EA" w:rsidP="000B0F35">
      <w:pPr>
        <w:pStyle w:val="SCCNormalDoubleSpacing"/>
        <w:spacing w:after="240" w:line="240" w:lineRule="auto"/>
        <w:ind w:left="539" w:hanging="539"/>
        <w:rPr>
          <w:lang w:val="fr-CA"/>
        </w:rPr>
      </w:pPr>
      <w:r w:rsidRPr="000B0F35">
        <w:rPr>
          <w:lang w:val="fr-CA"/>
        </w:rPr>
        <w:t>Nouveau</w:t>
      </w:r>
      <w:r w:rsidR="000B0F35" w:rsidRPr="000B0F35">
        <w:rPr>
          <w:lang w:val="fr-CA"/>
        </w:rPr>
        <w:noBreakHyphen/>
      </w:r>
      <w:r w:rsidRPr="000B0F35">
        <w:rPr>
          <w:lang w:val="fr-CA"/>
        </w:rPr>
        <w:t>Brunswick</w:t>
      </w:r>
      <w:r w:rsidR="0058332E" w:rsidRPr="000B0F35">
        <w:rPr>
          <w:lang w:val="fr-CA"/>
        </w:rPr>
        <w:t xml:space="preserve">. </w:t>
      </w:r>
      <w:r w:rsidRPr="000B0F35">
        <w:rPr>
          <w:lang w:val="fr-CA"/>
        </w:rPr>
        <w:t>Assemblée législative</w:t>
      </w:r>
      <w:r w:rsidR="0058332E" w:rsidRPr="000B0F35">
        <w:rPr>
          <w:lang w:val="fr-CA"/>
        </w:rPr>
        <w:t xml:space="preserve">. </w:t>
      </w:r>
      <w:r w:rsidR="0058332E" w:rsidRPr="000B0F35">
        <w:rPr>
          <w:i/>
          <w:lang w:val="fr-CA"/>
        </w:rPr>
        <w:t xml:space="preserve">Journal </w:t>
      </w:r>
      <w:r w:rsidRPr="000B0F35">
        <w:rPr>
          <w:i/>
          <w:lang w:val="fr-CA"/>
        </w:rPr>
        <w:t>des débats</w:t>
      </w:r>
      <w:r w:rsidR="0058332E" w:rsidRPr="000B0F35">
        <w:rPr>
          <w:i/>
          <w:lang w:val="fr-CA"/>
        </w:rPr>
        <w:t xml:space="preserve"> (Hansard)</w:t>
      </w:r>
      <w:r w:rsidR="0058332E" w:rsidRPr="000B0F35">
        <w:rPr>
          <w:lang w:val="fr-CA"/>
        </w:rPr>
        <w:t xml:space="preserve">, </w:t>
      </w:r>
      <w:r w:rsidRPr="000B0F35">
        <w:rPr>
          <w:lang w:val="fr-CA"/>
        </w:rPr>
        <w:t>3</w:t>
      </w:r>
      <w:r w:rsidRPr="000B0F35">
        <w:rPr>
          <w:vertAlign w:val="superscript"/>
          <w:lang w:val="fr-CA"/>
        </w:rPr>
        <w:t>e</w:t>
      </w:r>
      <w:r w:rsidRPr="000B0F35">
        <w:rPr>
          <w:lang w:val="fr-CA"/>
        </w:rPr>
        <w:t xml:space="preserve"> sess., 56</w:t>
      </w:r>
      <w:r w:rsidRPr="000B0F35">
        <w:rPr>
          <w:vertAlign w:val="superscript"/>
          <w:lang w:val="fr-CA"/>
        </w:rPr>
        <w:t>e</w:t>
      </w:r>
      <w:r w:rsidR="009E36B4">
        <w:rPr>
          <w:lang w:val="fr-CA"/>
        </w:rPr>
        <w:t xml:space="preserve"> lég., 17 </w:t>
      </w:r>
      <w:r w:rsidRPr="000B0F35">
        <w:rPr>
          <w:lang w:val="fr-CA"/>
        </w:rPr>
        <w:t>juin</w:t>
      </w:r>
      <w:r w:rsidR="0058332E" w:rsidRPr="000B0F35">
        <w:rPr>
          <w:lang w:val="fr-CA"/>
        </w:rPr>
        <w:t xml:space="preserve"> 2009, </w:t>
      </w:r>
      <w:r w:rsidR="000B0F35" w:rsidRPr="000B0F35">
        <w:rPr>
          <w:lang w:val="fr-CA"/>
        </w:rPr>
        <w:t>p. </w:t>
      </w:r>
      <w:r w:rsidR="0058332E" w:rsidRPr="000B0F35">
        <w:rPr>
          <w:lang w:val="fr-CA"/>
        </w:rPr>
        <w:t>50.</w:t>
      </w:r>
    </w:p>
    <w:p w:rsidR="0058332E" w:rsidRPr="000B0F35" w:rsidRDefault="009E36B4" w:rsidP="000B0F35">
      <w:pPr>
        <w:pStyle w:val="SCCNormalDoubleSpacing"/>
        <w:spacing w:before="240" w:after="720" w:line="240" w:lineRule="auto"/>
        <w:ind w:left="540" w:hanging="540"/>
        <w:rPr>
          <w:lang w:val="fr-CA"/>
        </w:rPr>
      </w:pPr>
      <w:r w:rsidRPr="001C06CE">
        <w:rPr>
          <w:lang w:val="fr-CA"/>
        </w:rPr>
        <w:t xml:space="preserve">Nouveau-Brunswick. Cabinet du </w:t>
      </w:r>
      <w:r w:rsidRPr="00F069EC">
        <w:rPr>
          <w:lang w:val="fr-CA"/>
        </w:rPr>
        <w:t>procureur général</w:t>
      </w:r>
      <w:r w:rsidRPr="001C06CE">
        <w:rPr>
          <w:lang w:val="fr-CA"/>
        </w:rPr>
        <w:t xml:space="preserve">. </w:t>
      </w:r>
      <w:r w:rsidRPr="00F205EA">
        <w:rPr>
          <w:i/>
          <w:lang w:val="fr-CA"/>
        </w:rPr>
        <w:t xml:space="preserve">Analyse </w:t>
      </w:r>
      <w:r>
        <w:rPr>
          <w:i/>
          <w:lang w:val="fr-CA"/>
        </w:rPr>
        <w:t>du projet de loi 28 : Loi sur la prescription</w:t>
      </w:r>
      <w:r w:rsidRPr="00F205EA">
        <w:rPr>
          <w:lang w:val="fr-CA"/>
        </w:rPr>
        <w:t>,</w:t>
      </w:r>
      <w:r w:rsidRPr="00F205EA">
        <w:rPr>
          <w:i/>
          <w:lang w:val="fr-CA"/>
        </w:rPr>
        <w:t xml:space="preserve"> </w:t>
      </w:r>
      <w:r w:rsidRPr="00F205EA">
        <w:rPr>
          <w:lang w:val="fr-CA"/>
        </w:rPr>
        <w:t>janvier 2009 (</w:t>
      </w:r>
      <w:r>
        <w:rPr>
          <w:lang w:val="fr-CA"/>
        </w:rPr>
        <w:t>en ligne :</w:t>
      </w:r>
      <w:r w:rsidRPr="00F205EA">
        <w:rPr>
          <w:lang w:val="fr-CA"/>
        </w:rPr>
        <w:t xml:space="preserve"> https://www.gnb.ca/legis/bill/pdf/56/3/Prescription-f.pdf; </w:t>
      </w:r>
      <w:r>
        <w:rPr>
          <w:lang w:val="fr-CA"/>
        </w:rPr>
        <w:t>version archivée :</w:t>
      </w:r>
      <w:r w:rsidRPr="00F205EA">
        <w:rPr>
          <w:color w:val="000000"/>
          <w:shd w:val="clear" w:color="auto" w:fill="FFFFFF"/>
          <w:lang w:val="fr-CA"/>
        </w:rPr>
        <w:t> </w:t>
      </w:r>
      <w:hyperlink r:id="rId10" w:history="1">
        <w:r w:rsidRPr="00655DFE">
          <w:rPr>
            <w:rStyle w:val="Hyperlink"/>
            <w:rFonts w:eastAsiaTheme="majorEastAsia"/>
            <w:lang w:val="fr-CA"/>
          </w:rPr>
          <w:t>https://www.scc-csc.ca/cso-dce/2021SCC-CSC</w:t>
        </w:r>
        <w:r w:rsidRPr="00655DFE">
          <w:rPr>
            <w:rStyle w:val="Hyperlink"/>
            <w:lang w:val="fr-CA"/>
          </w:rPr>
          <w:t>31</w:t>
        </w:r>
        <w:r w:rsidRPr="00655DFE">
          <w:rPr>
            <w:rStyle w:val="Hyperlink"/>
            <w:rFonts w:eastAsiaTheme="majorEastAsia"/>
            <w:lang w:val="fr-CA"/>
          </w:rPr>
          <w:t>_1_fra.pdf</w:t>
        </w:r>
      </w:hyperlink>
      <w:r w:rsidRPr="00F205EA">
        <w:rPr>
          <w:rFonts w:eastAsiaTheme="majorEastAsia"/>
          <w:lang w:val="fr-CA"/>
        </w:rPr>
        <w:t>).</w:t>
      </w:r>
    </w:p>
    <w:p w:rsidR="004D7D95" w:rsidRPr="000B0F35" w:rsidRDefault="004D7D95" w:rsidP="000B0F35">
      <w:pPr>
        <w:pStyle w:val="SCCNormalDoubleSpacing"/>
        <w:spacing w:after="480"/>
        <w:rPr>
          <w:lang w:val="fr-CA"/>
        </w:rPr>
      </w:pPr>
      <w:r w:rsidRPr="000B0F35">
        <w:rPr>
          <w:lang w:val="fr-CA"/>
        </w:rPr>
        <w:tab/>
        <w:t>POURVOI</w:t>
      </w:r>
      <w:r w:rsidR="00E15051" w:rsidRPr="000B0F35">
        <w:rPr>
          <w:lang w:val="fr-CA"/>
        </w:rPr>
        <w:t>S</w:t>
      </w:r>
      <w:r w:rsidRPr="000B0F35">
        <w:rPr>
          <w:lang w:val="fr-CA"/>
        </w:rPr>
        <w:t xml:space="preserve"> contre un arrêt de la Cour d</w:t>
      </w:r>
      <w:r w:rsidR="003F1A49" w:rsidRPr="000B0F35">
        <w:rPr>
          <w:lang w:val="fr-CA"/>
        </w:rPr>
        <w:t>’</w:t>
      </w:r>
      <w:r w:rsidRPr="000B0F35">
        <w:rPr>
          <w:lang w:val="fr-CA"/>
        </w:rPr>
        <w:t>appel du Nouveau</w:t>
      </w:r>
      <w:r w:rsidR="000B0F35" w:rsidRPr="000B0F35">
        <w:rPr>
          <w:lang w:val="fr-CA"/>
        </w:rPr>
        <w:noBreakHyphen/>
      </w:r>
      <w:r w:rsidRPr="000B0F35">
        <w:rPr>
          <w:lang w:val="fr-CA"/>
        </w:rPr>
        <w:t>Brunswick</w:t>
      </w:r>
      <w:r w:rsidR="00365B23" w:rsidRPr="000B0F35">
        <w:rPr>
          <w:lang w:val="fr-CA"/>
        </w:rPr>
        <w:t xml:space="preserve"> (les juges Drapeau, Quigg et Green), 2020 NBCA 18, 54 C.P.C. (8th) 271, [2020]</w:t>
      </w:r>
      <w:r w:rsidR="004663B9" w:rsidRPr="000B0F35">
        <w:rPr>
          <w:lang w:val="fr-CA"/>
        </w:rPr>
        <w:t xml:space="preserve"> A.N.</w:t>
      </w:r>
      <w:r w:rsidR="000B0F35" w:rsidRPr="000B0F35">
        <w:rPr>
          <w:lang w:val="fr-CA"/>
        </w:rPr>
        <w:noBreakHyphen/>
      </w:r>
      <w:r w:rsidR="004663B9" w:rsidRPr="000B0F35">
        <w:rPr>
          <w:lang w:val="fr-CA"/>
        </w:rPr>
        <w:t>B. n</w:t>
      </w:r>
      <w:r w:rsidR="004663B9" w:rsidRPr="000B0F35">
        <w:rPr>
          <w:vertAlign w:val="superscript"/>
          <w:lang w:val="fr-CA"/>
        </w:rPr>
        <w:t>o</w:t>
      </w:r>
      <w:r w:rsidR="00365B23" w:rsidRPr="000B0F35">
        <w:rPr>
          <w:lang w:val="fr-CA"/>
        </w:rPr>
        <w:t> 70 (QL), 2020 CarswellNB 14</w:t>
      </w:r>
      <w:r w:rsidR="004663B9" w:rsidRPr="000B0F35">
        <w:rPr>
          <w:lang w:val="fr-CA"/>
        </w:rPr>
        <w:t>1</w:t>
      </w:r>
      <w:r w:rsidR="00365B23" w:rsidRPr="000B0F35">
        <w:rPr>
          <w:lang w:val="fr-CA"/>
        </w:rPr>
        <w:t xml:space="preserve"> (WL Can.), </w:t>
      </w:r>
      <w:r w:rsidR="004663B9" w:rsidRPr="000B0F35">
        <w:rPr>
          <w:lang w:val="fr-FR"/>
        </w:rPr>
        <w:t xml:space="preserve">qui a infirmé </w:t>
      </w:r>
      <w:r w:rsidR="00153ADE">
        <w:rPr>
          <w:lang w:val="fr-FR"/>
        </w:rPr>
        <w:t xml:space="preserve">une </w:t>
      </w:r>
      <w:r w:rsidR="004663B9" w:rsidRPr="000B0F35">
        <w:rPr>
          <w:lang w:val="fr-FR"/>
        </w:rPr>
        <w:t xml:space="preserve">décision du juge </w:t>
      </w:r>
      <w:r w:rsidR="004663B9" w:rsidRPr="000B0F35">
        <w:rPr>
          <w:lang w:val="fr-CA"/>
        </w:rPr>
        <w:t>Grant</w:t>
      </w:r>
      <w:r w:rsidR="00365B23" w:rsidRPr="000B0F35">
        <w:rPr>
          <w:lang w:val="fr-CA"/>
        </w:rPr>
        <w:t>, 2019 NB</w:t>
      </w:r>
      <w:r w:rsidR="004663B9" w:rsidRPr="000B0F35">
        <w:rPr>
          <w:lang w:val="fr-CA"/>
        </w:rPr>
        <w:t>BR</w:t>
      </w:r>
      <w:r w:rsidR="00365B23" w:rsidRPr="000B0F35">
        <w:rPr>
          <w:lang w:val="fr-CA"/>
        </w:rPr>
        <w:t xml:space="preserve"> 36, [2019] </w:t>
      </w:r>
      <w:r w:rsidR="004663B9" w:rsidRPr="000B0F35">
        <w:rPr>
          <w:lang w:val="fr-CA"/>
        </w:rPr>
        <w:t>A.N.</w:t>
      </w:r>
      <w:r w:rsidR="000B0F35" w:rsidRPr="000B0F35">
        <w:rPr>
          <w:lang w:val="fr-CA"/>
        </w:rPr>
        <w:noBreakHyphen/>
      </w:r>
      <w:r w:rsidR="004663B9" w:rsidRPr="000B0F35">
        <w:rPr>
          <w:lang w:val="fr-CA"/>
        </w:rPr>
        <w:t>B. n</w:t>
      </w:r>
      <w:r w:rsidR="004663B9" w:rsidRPr="000B0F35">
        <w:rPr>
          <w:vertAlign w:val="superscript"/>
          <w:lang w:val="fr-CA"/>
        </w:rPr>
        <w:t>o</w:t>
      </w:r>
      <w:r w:rsidR="000970FE">
        <w:rPr>
          <w:lang w:val="fr-CA"/>
        </w:rPr>
        <w:t> </w:t>
      </w:r>
      <w:r w:rsidR="00365B23" w:rsidRPr="000B0F35">
        <w:rPr>
          <w:lang w:val="fr-CA"/>
        </w:rPr>
        <w:t>76 (QL), 2019 CarswellNB 15</w:t>
      </w:r>
      <w:r w:rsidR="004663B9" w:rsidRPr="000B0F35">
        <w:rPr>
          <w:lang w:val="fr-CA"/>
        </w:rPr>
        <w:t>2</w:t>
      </w:r>
      <w:r w:rsidR="005B7068" w:rsidRPr="000B0F35">
        <w:rPr>
          <w:lang w:val="fr-CA"/>
        </w:rPr>
        <w:t xml:space="preserve"> (WL Can.)</w:t>
      </w:r>
      <w:r w:rsidR="00365B23" w:rsidRPr="000B0F35">
        <w:rPr>
          <w:lang w:val="fr-CA"/>
        </w:rPr>
        <w:t>. Pourvoi</w:t>
      </w:r>
      <w:r w:rsidR="002A0A9F" w:rsidRPr="000B0F35">
        <w:rPr>
          <w:lang w:val="fr-CA"/>
        </w:rPr>
        <w:t>s</w:t>
      </w:r>
      <w:r w:rsidR="00365B23" w:rsidRPr="000B0F35">
        <w:rPr>
          <w:lang w:val="fr-CA"/>
        </w:rPr>
        <w:t xml:space="preserve"> </w:t>
      </w:r>
      <w:r w:rsidR="00A07CFB" w:rsidRPr="000B0F35">
        <w:rPr>
          <w:lang w:val="fr-CA"/>
        </w:rPr>
        <w:t>accueillis</w:t>
      </w:r>
      <w:r w:rsidR="00365B23" w:rsidRPr="000B0F35">
        <w:rPr>
          <w:lang w:val="fr-CA"/>
        </w:rPr>
        <w:t>.</w:t>
      </w:r>
    </w:p>
    <w:p w:rsidR="00E3673B" w:rsidRPr="000B0F35" w:rsidRDefault="003F1A49" w:rsidP="000B0F35">
      <w:pPr>
        <w:pStyle w:val="SCCNormalDoubleSpacing"/>
        <w:spacing w:after="480"/>
        <w:rPr>
          <w:lang w:val="fr-CA"/>
        </w:rPr>
      </w:pPr>
      <w:r w:rsidRPr="000B0F35">
        <w:rPr>
          <w:rStyle w:val="SCCCounselNameChar"/>
          <w:lang w:val="fr-CA"/>
        </w:rPr>
        <w:tab/>
      </w:r>
      <w:r w:rsidR="004753E7" w:rsidRPr="000B0F35">
        <w:rPr>
          <w:rStyle w:val="SCCCounselNameChar"/>
          <w:rFonts w:eastAsiaTheme="majorEastAsia"/>
          <w:lang w:val="fr-CA"/>
        </w:rPr>
        <w:t>Peter Griffin</w:t>
      </w:r>
      <w:r w:rsidR="004753E7" w:rsidRPr="000B0F35">
        <w:rPr>
          <w:rStyle w:val="SCCCounselSeparatorChar"/>
          <w:lang w:val="fr-CA"/>
        </w:rPr>
        <w:t xml:space="preserve"> et </w:t>
      </w:r>
      <w:r w:rsidR="009E36B4">
        <w:rPr>
          <w:rStyle w:val="SCCCounselNameChar"/>
          <w:rFonts w:eastAsiaTheme="majorEastAsia"/>
          <w:lang w:val="fr-CA"/>
        </w:rPr>
        <w:t>Anthony </w:t>
      </w:r>
      <w:r w:rsidR="004753E7" w:rsidRPr="000B0F35">
        <w:rPr>
          <w:rStyle w:val="SCCCounselNameChar"/>
          <w:rFonts w:eastAsiaTheme="majorEastAsia"/>
          <w:lang w:val="fr-CA"/>
        </w:rPr>
        <w:t>S. Richardson</w:t>
      </w:r>
      <w:r w:rsidR="004753E7" w:rsidRPr="000B0F35">
        <w:rPr>
          <w:rStyle w:val="SCCCounselPartyRoleChar"/>
          <w:lang w:val="fr-CA"/>
        </w:rPr>
        <w:t xml:space="preserve">, pour les appelants </w:t>
      </w:r>
      <w:r w:rsidR="004753E7" w:rsidRPr="000B0F35">
        <w:rPr>
          <w:lang w:val="fr-CA"/>
        </w:rPr>
        <w:t>Grant Thornton LLP et</w:t>
      </w:r>
      <w:r w:rsidR="004753E7" w:rsidRPr="000B0F35">
        <w:rPr>
          <w:b/>
          <w:lang w:val="fr-CA"/>
        </w:rPr>
        <w:t xml:space="preserve"> </w:t>
      </w:r>
      <w:r w:rsidR="000970FE">
        <w:rPr>
          <w:lang w:val="fr-CA"/>
        </w:rPr>
        <w:t>Kent </w:t>
      </w:r>
      <w:r w:rsidR="004753E7" w:rsidRPr="000B0F35">
        <w:rPr>
          <w:lang w:val="fr-CA"/>
        </w:rPr>
        <w:t>M. Ostridge</w:t>
      </w:r>
      <w:r w:rsidRPr="000B0F35">
        <w:rPr>
          <w:rStyle w:val="SCCCounselPartyRoleChar"/>
          <w:lang w:val="fr-CA"/>
        </w:rPr>
        <w:t>.</w:t>
      </w:r>
    </w:p>
    <w:p w:rsidR="00E3673B" w:rsidRPr="000B0F35" w:rsidRDefault="003F1A49" w:rsidP="000B0F35">
      <w:pPr>
        <w:pStyle w:val="SCCNormalDoubleSpacing"/>
        <w:spacing w:after="480"/>
        <w:rPr>
          <w:lang w:val="fr-CA"/>
        </w:rPr>
      </w:pPr>
      <w:r w:rsidRPr="000B0F35">
        <w:rPr>
          <w:rStyle w:val="SCCCounselNameChar"/>
          <w:lang w:val="fr-CA"/>
        </w:rPr>
        <w:tab/>
      </w:r>
      <w:r w:rsidR="004753E7" w:rsidRPr="000B0F35">
        <w:rPr>
          <w:rStyle w:val="SCCCounselNameChar"/>
          <w:rFonts w:eastAsiaTheme="majorEastAsia"/>
          <w:lang w:val="fr-CA"/>
        </w:rPr>
        <w:t>Steven R. Barnett</w:t>
      </w:r>
      <w:r w:rsidR="004753E7" w:rsidRPr="000B0F35">
        <w:rPr>
          <w:rStyle w:val="SCCCounselNameChar"/>
          <w:rFonts w:eastAsiaTheme="majorEastAsia"/>
          <w:i w:val="0"/>
          <w:lang w:val="fr-CA"/>
        </w:rPr>
        <w:t>,</w:t>
      </w:r>
      <w:r w:rsidR="004753E7" w:rsidRPr="000B0F35">
        <w:rPr>
          <w:rStyle w:val="SCCCounselNameChar"/>
          <w:rFonts w:eastAsiaTheme="majorEastAsia"/>
          <w:lang w:val="fr-CA"/>
        </w:rPr>
        <w:t xml:space="preserve"> c.r.</w:t>
      </w:r>
      <w:r w:rsidR="004753E7" w:rsidRPr="000B0F35">
        <w:rPr>
          <w:rStyle w:val="SCCCounselNameChar"/>
          <w:rFonts w:eastAsiaTheme="majorEastAsia"/>
          <w:i w:val="0"/>
          <w:lang w:val="fr-CA"/>
        </w:rPr>
        <w:t>,</w:t>
      </w:r>
      <w:r w:rsidR="004753E7" w:rsidRPr="000B0F35">
        <w:rPr>
          <w:rStyle w:val="SCCCounselSeparatorChar"/>
          <w:lang w:val="fr-CA"/>
        </w:rPr>
        <w:t xml:space="preserve"> et </w:t>
      </w:r>
      <w:r w:rsidR="009E36B4">
        <w:rPr>
          <w:rStyle w:val="SCCCounselNameChar"/>
          <w:rFonts w:eastAsiaTheme="majorEastAsia"/>
          <w:lang w:val="fr-CA"/>
        </w:rPr>
        <w:t>J. </w:t>
      </w:r>
      <w:r w:rsidR="004753E7" w:rsidRPr="000B0F35">
        <w:rPr>
          <w:rStyle w:val="SCCCounselNameChar"/>
          <w:rFonts w:eastAsiaTheme="majorEastAsia"/>
          <w:lang w:val="fr-CA"/>
        </w:rPr>
        <w:t>Charles Foster</w:t>
      </w:r>
      <w:r w:rsidR="004753E7" w:rsidRPr="000B0F35">
        <w:rPr>
          <w:rStyle w:val="SCCCounselNameChar"/>
          <w:rFonts w:eastAsiaTheme="majorEastAsia"/>
          <w:i w:val="0"/>
          <w:lang w:val="fr-CA"/>
        </w:rPr>
        <w:t>,</w:t>
      </w:r>
      <w:r w:rsidR="004753E7" w:rsidRPr="000B0F35">
        <w:rPr>
          <w:rStyle w:val="SCCCounselNameChar"/>
          <w:rFonts w:eastAsiaTheme="majorEastAsia"/>
          <w:lang w:val="fr-CA"/>
        </w:rPr>
        <w:t xml:space="preserve"> </w:t>
      </w:r>
      <w:r w:rsidR="00DC68AB" w:rsidRPr="000B0F35">
        <w:rPr>
          <w:rStyle w:val="SCCCounselNameChar"/>
          <w:rFonts w:eastAsiaTheme="majorEastAsia"/>
          <w:lang w:val="fr-CA"/>
        </w:rPr>
        <w:t>c.r</w:t>
      </w:r>
      <w:r w:rsidR="004753E7" w:rsidRPr="000B0F35">
        <w:rPr>
          <w:rStyle w:val="SCCCounselNameChar"/>
          <w:rFonts w:eastAsiaTheme="majorEastAsia"/>
          <w:lang w:val="fr-CA"/>
        </w:rPr>
        <w:t>.</w:t>
      </w:r>
      <w:r w:rsidRPr="000B0F35">
        <w:rPr>
          <w:rStyle w:val="SCCCounselPartyRoleChar"/>
          <w:lang w:val="fr-CA"/>
        </w:rPr>
        <w:t>, pour l’</w:t>
      </w:r>
      <w:r w:rsidR="004753E7" w:rsidRPr="000B0F35">
        <w:rPr>
          <w:rStyle w:val="SCCCounselPartyRoleChar"/>
          <w:lang w:val="fr-CA"/>
        </w:rPr>
        <w:t>appelant</w:t>
      </w:r>
      <w:r w:rsidRPr="000B0F35">
        <w:rPr>
          <w:rStyle w:val="SCCCounselPartyRoleChar"/>
          <w:lang w:val="fr-CA"/>
        </w:rPr>
        <w:t>e</w:t>
      </w:r>
      <w:r w:rsidR="004753E7" w:rsidRPr="000B0F35">
        <w:rPr>
          <w:rStyle w:val="SCCCounselPartyRoleChar"/>
          <w:lang w:val="fr-CA"/>
        </w:rPr>
        <w:t xml:space="preserve"> </w:t>
      </w:r>
      <w:r w:rsidR="004753E7" w:rsidRPr="000B0F35">
        <w:rPr>
          <w:lang w:val="fr-CA"/>
        </w:rPr>
        <w:t>Grant Thornton International Ltd</w:t>
      </w:r>
      <w:r w:rsidRPr="000B0F35">
        <w:rPr>
          <w:rStyle w:val="SCCCounselPartyRoleChar"/>
          <w:lang w:val="fr-CA"/>
        </w:rPr>
        <w:t>.</w:t>
      </w:r>
    </w:p>
    <w:p w:rsidR="00E3673B" w:rsidRPr="000B0F35" w:rsidRDefault="003F1A49" w:rsidP="000B0F35">
      <w:pPr>
        <w:pStyle w:val="SCCNormalDoubleSpacing"/>
        <w:spacing w:after="480"/>
        <w:rPr>
          <w:lang w:val="en-US"/>
        </w:rPr>
      </w:pPr>
      <w:r w:rsidRPr="000B0F35">
        <w:rPr>
          <w:rStyle w:val="SCCCounselNameChar"/>
          <w:lang w:val="fr-CA"/>
        </w:rPr>
        <w:tab/>
      </w:r>
      <w:r w:rsidR="009E36B4">
        <w:rPr>
          <w:rStyle w:val="SCCCounselNameChar"/>
          <w:rFonts w:eastAsiaTheme="majorEastAsia"/>
        </w:rPr>
        <w:t>Josie </w:t>
      </w:r>
      <w:r w:rsidR="004753E7" w:rsidRPr="000B0F35">
        <w:rPr>
          <w:rStyle w:val="SCCCounselNameChar"/>
          <w:rFonts w:eastAsiaTheme="majorEastAsia"/>
        </w:rPr>
        <w:t xml:space="preserve">H. Marks </w:t>
      </w:r>
      <w:r w:rsidR="004753E7" w:rsidRPr="000B0F35">
        <w:rPr>
          <w:rStyle w:val="SCCCounselNameChar"/>
          <w:rFonts w:eastAsiaTheme="majorEastAsia"/>
          <w:i w:val="0"/>
        </w:rPr>
        <w:t xml:space="preserve">and </w:t>
      </w:r>
      <w:r w:rsidR="009E36B4">
        <w:rPr>
          <w:rStyle w:val="SCCCounselNameChar"/>
          <w:rFonts w:eastAsiaTheme="majorEastAsia"/>
        </w:rPr>
        <w:t>Frederick </w:t>
      </w:r>
      <w:r w:rsidR="004753E7" w:rsidRPr="000B0F35">
        <w:rPr>
          <w:rStyle w:val="SCCCounselNameChar"/>
          <w:rFonts w:eastAsiaTheme="majorEastAsia"/>
        </w:rPr>
        <w:t>C. McElman</w:t>
      </w:r>
      <w:r w:rsidR="004753E7" w:rsidRPr="000B0F35">
        <w:rPr>
          <w:rStyle w:val="SCCCounselNameChar"/>
          <w:rFonts w:eastAsiaTheme="majorEastAsia"/>
          <w:i w:val="0"/>
        </w:rPr>
        <w:t>,</w:t>
      </w:r>
      <w:r w:rsidR="004753E7" w:rsidRPr="000B0F35">
        <w:rPr>
          <w:rStyle w:val="SCCCounselNameChar"/>
          <w:rFonts w:eastAsiaTheme="majorEastAsia"/>
        </w:rPr>
        <w:t xml:space="preserve"> c.r.</w:t>
      </w:r>
      <w:r w:rsidRPr="000B0F35">
        <w:rPr>
          <w:rStyle w:val="SCCCounselPartyRoleChar"/>
          <w:lang w:val="en-US"/>
        </w:rPr>
        <w:t>, pour l’</w:t>
      </w:r>
      <w:r w:rsidR="004753E7" w:rsidRPr="000B0F35">
        <w:rPr>
          <w:rStyle w:val="SCCCounselPartyRoleChar"/>
          <w:lang w:val="en-US"/>
        </w:rPr>
        <w:t>intimé</w:t>
      </w:r>
      <w:r w:rsidRPr="000B0F35">
        <w:rPr>
          <w:rStyle w:val="SCCCounselPartyRoleChar"/>
          <w:lang w:val="en-US"/>
        </w:rPr>
        <w:t>e.</w:t>
      </w:r>
    </w:p>
    <w:p w:rsidR="00E3673B" w:rsidRDefault="003F1A49" w:rsidP="000B0F35">
      <w:pPr>
        <w:pStyle w:val="SCCNormalDoubleSpacing"/>
        <w:spacing w:after="480"/>
        <w:rPr>
          <w:rStyle w:val="SCCCounselPartyRoleChar"/>
          <w:lang w:val="fr-CA"/>
        </w:rPr>
      </w:pPr>
      <w:r w:rsidRPr="000B0F35">
        <w:rPr>
          <w:rStyle w:val="SCCCounselNameChar"/>
          <w:lang w:val="en-US"/>
        </w:rPr>
        <w:tab/>
      </w:r>
      <w:r w:rsidR="009E36B4">
        <w:rPr>
          <w:rStyle w:val="SCCCounselNameChar"/>
          <w:lang w:val="fr-CA"/>
        </w:rPr>
        <w:t>Guy </w:t>
      </w:r>
      <w:r w:rsidRPr="000B0F35">
        <w:rPr>
          <w:rStyle w:val="SCCCounselNameChar"/>
          <w:lang w:val="fr-CA"/>
        </w:rPr>
        <w:t>J. Pratte</w:t>
      </w:r>
      <w:r w:rsidRPr="000B0F35">
        <w:rPr>
          <w:rStyle w:val="SCCCounselPartyRoleChar"/>
          <w:lang w:val="fr-CA"/>
        </w:rPr>
        <w:t>, pour l’intervenant</w:t>
      </w:r>
      <w:r w:rsidR="0086600D" w:rsidRPr="000B0F35">
        <w:rPr>
          <w:rStyle w:val="SCCCounselPartyRoleChar"/>
          <w:lang w:val="fr-CA"/>
        </w:rPr>
        <w:t>e</w:t>
      </w:r>
      <w:r w:rsidRPr="000B0F35">
        <w:rPr>
          <w:rStyle w:val="SCCCounselPartyRoleChar"/>
          <w:lang w:val="fr-CA"/>
        </w:rPr>
        <w:t>.</w:t>
      </w:r>
    </w:p>
    <w:p w:rsidR="00AE79CA" w:rsidRDefault="00AE79CA" w:rsidP="000B0F35">
      <w:pPr>
        <w:pStyle w:val="SCCNormalDoubleSpacing"/>
        <w:spacing w:after="480"/>
        <w:rPr>
          <w:rStyle w:val="SCCCounselPartyRoleChar"/>
          <w:lang w:val="fr-CA"/>
        </w:rPr>
      </w:pPr>
    </w:p>
    <w:p w:rsidR="00AE79CA" w:rsidRDefault="00AE79CA" w:rsidP="00AE79CA">
      <w:pPr>
        <w:jc w:val="both"/>
        <w:rPr>
          <w:lang w:val="fr-CA"/>
        </w:rPr>
      </w:pPr>
      <w:r>
        <w:rPr>
          <w:lang w:val="fr-CA"/>
        </w:rPr>
        <w:t>Version française du jugement de la Cour rendu par</w:t>
      </w:r>
    </w:p>
    <w:p w:rsidR="00AE79CA" w:rsidRPr="00BE0323" w:rsidRDefault="00AE79CA" w:rsidP="00AE79CA">
      <w:pPr>
        <w:jc w:val="both"/>
        <w:rPr>
          <w:szCs w:val="24"/>
          <w:lang w:val="fr-CA"/>
        </w:rPr>
      </w:pPr>
    </w:p>
    <w:p w:rsidR="00AE79CA" w:rsidRPr="006A5B99" w:rsidRDefault="00AE79CA" w:rsidP="00AE79CA">
      <w:pPr>
        <w:pStyle w:val="JudgeJuge"/>
        <w:spacing w:before="480"/>
        <w:rPr>
          <w:noProof/>
          <w:lang w:val="fr-CA"/>
        </w:rPr>
      </w:pPr>
      <w:r w:rsidRPr="006A5B99">
        <w:rPr>
          <w:noProof/>
          <w:lang w:val="fr-CA"/>
        </w:rPr>
        <w:tab/>
        <w:t xml:space="preserve">Le juge Moldaver — </w:t>
      </w:r>
    </w:p>
    <w:p w:rsidR="00AE79CA" w:rsidRPr="006A5B99" w:rsidRDefault="00AE79CA" w:rsidP="00AE79CA">
      <w:pPr>
        <w:pStyle w:val="Title1LevelTitre1Niveau-AltL"/>
        <w:rPr>
          <w:rFonts w:cs="Times New Roman"/>
          <w:noProof/>
          <w:lang w:val="fr-CA"/>
        </w:rPr>
      </w:pPr>
      <w:r w:rsidRPr="006A5B99">
        <w:rPr>
          <w:rFonts w:cs="Times New Roman"/>
          <w:noProof/>
          <w:lang w:val="fr-CA"/>
        </w:rPr>
        <w:t>Vue d’ensemble</w:t>
      </w:r>
    </w:p>
    <w:p w:rsidR="00AE79CA" w:rsidRPr="006A5B99" w:rsidRDefault="00AE79CA" w:rsidP="00AE79CA">
      <w:pPr>
        <w:pStyle w:val="ParaNoNdepar-AltN"/>
        <w:rPr>
          <w:rFonts w:cs="Times New Roman"/>
          <w:noProof/>
          <w:lang w:val="fr-CA"/>
        </w:rPr>
      </w:pPr>
      <w:r w:rsidRPr="006A5B99">
        <w:rPr>
          <w:rFonts w:cs="Times New Roman"/>
          <w:noProof/>
          <w:lang w:val="fr-CA"/>
        </w:rPr>
        <w:t>Le 23</w:t>
      </w:r>
      <w:r>
        <w:rPr>
          <w:rFonts w:cs="Times New Roman"/>
          <w:noProof/>
          <w:lang w:val="fr-CA"/>
        </w:rPr>
        <w:t xml:space="preserve"> </w:t>
      </w:r>
      <w:r w:rsidRPr="006A5B99">
        <w:rPr>
          <w:rFonts w:cs="Times New Roman"/>
          <w:noProof/>
          <w:lang w:val="fr-CA"/>
        </w:rPr>
        <w:t>juin 2014, la province du Nouveau</w:t>
      </w:r>
      <w:r>
        <w:rPr>
          <w:rFonts w:cs="Times New Roman"/>
          <w:noProof/>
          <w:lang w:val="fr-CA"/>
        </w:rPr>
        <w:noBreakHyphen/>
      </w:r>
      <w:r w:rsidRPr="006A5B99">
        <w:rPr>
          <w:rFonts w:cs="Times New Roman"/>
          <w:noProof/>
          <w:lang w:val="fr-CA"/>
        </w:rPr>
        <w:t>Brunswick (« province ») a intenté contre Grant Thornton LLP, Kent M. Ostridge et Grant Thornton International Ltd. (collectivement, « Grant Thornton ») une action dans laquelle elle réclamait des dommages</w:t>
      </w:r>
      <w:r>
        <w:rPr>
          <w:rFonts w:cs="Times New Roman"/>
          <w:noProof/>
          <w:lang w:val="fr-CA"/>
        </w:rPr>
        <w:noBreakHyphen/>
      </w:r>
      <w:r w:rsidRPr="006A5B99">
        <w:rPr>
          <w:rFonts w:cs="Times New Roman"/>
          <w:noProof/>
          <w:lang w:val="fr-CA"/>
        </w:rPr>
        <w:t>intérêts pour négligence. En réponse, Grant Thornton a présenté des motions en jugement sommaire en vue de faire rejeter la réclamation de la province, au motif qu’elle était prescrite en application du délai de prescription de deux ans prévu à l’</w:t>
      </w:r>
      <w:r>
        <w:rPr>
          <w:rFonts w:cs="Times New Roman"/>
          <w:noProof/>
          <w:lang w:val="fr-CA"/>
        </w:rPr>
        <w:t>al. </w:t>
      </w:r>
      <w:r w:rsidRPr="006A5B99">
        <w:rPr>
          <w:rFonts w:cs="Times New Roman"/>
          <w:noProof/>
          <w:lang w:val="fr-CA"/>
        </w:rPr>
        <w:t xml:space="preserve">5(1)a) de la </w:t>
      </w:r>
      <w:r w:rsidRPr="006A5B99">
        <w:rPr>
          <w:rFonts w:cs="Times New Roman"/>
          <w:i/>
          <w:noProof/>
          <w:lang w:val="fr-CA"/>
        </w:rPr>
        <w:t>Loi sur la prescription</w:t>
      </w:r>
      <w:r w:rsidRPr="006A5B99">
        <w:rPr>
          <w:rFonts w:cs="Times New Roman"/>
          <w:noProof/>
          <w:lang w:val="fr-CA"/>
        </w:rPr>
        <w:t>, L.N.</w:t>
      </w:r>
      <w:r>
        <w:rPr>
          <w:rFonts w:cs="Times New Roman"/>
          <w:noProof/>
          <w:lang w:val="fr-CA"/>
        </w:rPr>
        <w:noBreakHyphen/>
      </w:r>
      <w:r w:rsidRPr="006A5B99">
        <w:rPr>
          <w:rFonts w:cs="Times New Roman"/>
          <w:noProof/>
          <w:lang w:val="fr-CA"/>
        </w:rPr>
        <w:t>B. 2009, c.</w:t>
      </w:r>
      <w:r>
        <w:rPr>
          <w:rFonts w:cs="Times New Roman"/>
          <w:noProof/>
          <w:lang w:val="fr-CA"/>
        </w:rPr>
        <w:t> </w:t>
      </w:r>
      <w:r w:rsidRPr="006A5B99">
        <w:rPr>
          <w:rFonts w:cs="Times New Roman"/>
          <w:noProof/>
          <w:lang w:val="fr-CA"/>
        </w:rPr>
        <w:t>L</w:t>
      </w:r>
      <w:r>
        <w:rPr>
          <w:rFonts w:cs="Times New Roman"/>
          <w:noProof/>
          <w:lang w:val="fr-CA"/>
        </w:rPr>
        <w:noBreakHyphen/>
      </w:r>
      <w:r w:rsidRPr="006A5B99">
        <w:rPr>
          <w:rFonts w:cs="Times New Roman"/>
          <w:noProof/>
          <w:lang w:val="fr-CA"/>
        </w:rPr>
        <w:t>8.5 (« </w:t>
      </w:r>
      <w:r w:rsidRPr="006A5B99">
        <w:rPr>
          <w:rFonts w:cs="Times New Roman"/>
          <w:i/>
          <w:noProof/>
          <w:lang w:val="fr-CA"/>
        </w:rPr>
        <w:t>LP</w:t>
      </w:r>
      <w:r w:rsidRPr="006A5B99">
        <w:rPr>
          <w:rFonts w:cs="Times New Roman"/>
          <w:noProof/>
          <w:lang w:val="fr-CA"/>
        </w:rPr>
        <w:t xml:space="preserve"> »). </w:t>
      </w:r>
    </w:p>
    <w:p w:rsidR="00AE79CA" w:rsidRPr="006A5B99" w:rsidRDefault="00AE79CA" w:rsidP="00AE79CA">
      <w:pPr>
        <w:pStyle w:val="ParaNoNdepar-AltN"/>
        <w:rPr>
          <w:rFonts w:cs="Times New Roman"/>
          <w:noProof/>
          <w:lang w:val="fr-CA"/>
        </w:rPr>
      </w:pPr>
      <w:r w:rsidRPr="006A5B99">
        <w:rPr>
          <w:rFonts w:cs="Times New Roman"/>
          <w:noProof/>
          <w:lang w:val="fr-CA"/>
        </w:rPr>
        <w:t xml:space="preserve">Le juge saisi des motions a rendu un jugement sommaire </w:t>
      </w:r>
      <w:r>
        <w:rPr>
          <w:rFonts w:cs="Times New Roman"/>
          <w:noProof/>
          <w:lang w:val="fr-CA"/>
        </w:rPr>
        <w:t>en faveur de</w:t>
      </w:r>
      <w:r w:rsidRPr="006A5B99">
        <w:rPr>
          <w:rFonts w:cs="Times New Roman"/>
          <w:noProof/>
          <w:lang w:val="fr-CA"/>
        </w:rPr>
        <w:t xml:space="preserve"> Grant Thornton. Il a conclu que la réclamation était prescrite en application de l’</w:t>
      </w:r>
      <w:r>
        <w:rPr>
          <w:rFonts w:cs="Times New Roman"/>
          <w:noProof/>
          <w:lang w:val="fr-CA"/>
        </w:rPr>
        <w:t>al. </w:t>
      </w:r>
      <w:r w:rsidRPr="006A5B99">
        <w:rPr>
          <w:rFonts w:cs="Times New Roman"/>
          <w:noProof/>
          <w:lang w:val="fr-CA"/>
        </w:rPr>
        <w:t>5(1)a) puisqu’elle avait été intentée plus de deux ans après que la province avait appris ou aurait dû apprendre qu’elle avait des moyens suffisants à première vue pour déduire l’existence d’une réclamation</w:t>
      </w:r>
      <w:r>
        <w:rPr>
          <w:rFonts w:cs="Times New Roman"/>
          <w:noProof/>
          <w:lang w:val="fr-CA"/>
        </w:rPr>
        <w:t xml:space="preserve"> </w:t>
      </w:r>
      <w:r w:rsidRPr="006A5B99">
        <w:rPr>
          <w:rFonts w:cs="Times New Roman"/>
          <w:noProof/>
          <w:lang w:val="fr-CA"/>
        </w:rPr>
        <w:t xml:space="preserve">éventuelle contre </w:t>
      </w:r>
      <w:r w:rsidRPr="006A5B99">
        <w:rPr>
          <w:rFonts w:cs="Times New Roman"/>
          <w:noProof/>
          <w:shd w:val="clear" w:color="auto" w:fill="FFFFFF"/>
          <w:lang w:val="fr-CA"/>
        </w:rPr>
        <w:t>Grant</w:t>
      </w:r>
      <w:r>
        <w:rPr>
          <w:rFonts w:cs="Times New Roman"/>
          <w:noProof/>
          <w:shd w:val="clear" w:color="auto" w:fill="FFFFFF"/>
          <w:lang w:val="fr-CA"/>
        </w:rPr>
        <w:t xml:space="preserve"> </w:t>
      </w:r>
      <w:r w:rsidRPr="006A5B99">
        <w:rPr>
          <w:rFonts w:cs="Times New Roman"/>
          <w:noProof/>
          <w:shd w:val="clear" w:color="auto" w:fill="FFFFFF"/>
          <w:lang w:val="fr-CA"/>
        </w:rPr>
        <w:t>Thornton</w:t>
      </w:r>
      <w:r w:rsidRPr="006A5B99">
        <w:rPr>
          <w:rFonts w:cs="Times New Roman"/>
          <w:noProof/>
          <w:lang w:val="fr-CA"/>
        </w:rPr>
        <w:t>. La Cour d’appel a infirmé cette décision. Elle a rejeté la norme des «</w:t>
      </w:r>
      <w:r>
        <w:rPr>
          <w:rFonts w:cs="Times New Roman"/>
          <w:noProof/>
          <w:lang w:val="fr-CA"/>
        </w:rPr>
        <w:t> </w:t>
      </w:r>
      <w:r w:rsidRPr="006A5B99">
        <w:rPr>
          <w:rFonts w:cs="Times New Roman"/>
          <w:noProof/>
          <w:lang w:val="fr-CA"/>
        </w:rPr>
        <w:t>moyens suffisants à première vue</w:t>
      </w:r>
      <w:r>
        <w:rPr>
          <w:rFonts w:cs="Times New Roman"/>
          <w:noProof/>
          <w:lang w:val="fr-CA"/>
        </w:rPr>
        <w:t> </w:t>
      </w:r>
      <w:r w:rsidRPr="006A5B99">
        <w:rPr>
          <w:rFonts w:cs="Times New Roman"/>
          <w:noProof/>
          <w:lang w:val="fr-CA"/>
        </w:rPr>
        <w:t xml:space="preserve">» appliquée par le juge saisi des motions et a statué que la norme applicable est celle de savoir si le </w:t>
      </w:r>
      <w:r>
        <w:rPr>
          <w:rFonts w:cs="Times New Roman"/>
          <w:noProof/>
          <w:lang w:val="fr-CA"/>
        </w:rPr>
        <w:t>demandeur</w:t>
      </w:r>
      <w:r w:rsidRPr="006A5B99">
        <w:rPr>
          <w:rFonts w:cs="Times New Roman"/>
          <w:noProof/>
          <w:lang w:val="fr-CA"/>
        </w:rPr>
        <w:t xml:space="preserve"> a appris ou aurait normalement dû apprendre les faits qui lui confèrent un droit exécutoire à un recours. Ce droit, a expliqué la cour, n’existe que si le </w:t>
      </w:r>
      <w:r>
        <w:rPr>
          <w:rFonts w:cs="Times New Roman"/>
          <w:noProof/>
          <w:lang w:val="fr-CA"/>
        </w:rPr>
        <w:t>demandeur</w:t>
      </w:r>
      <w:r w:rsidRPr="006A5B99">
        <w:rPr>
          <w:rFonts w:cs="Times New Roman"/>
          <w:noProof/>
          <w:lang w:val="fr-CA"/>
        </w:rPr>
        <w:t xml:space="preserve"> est au courant de chacun des éléments constitutifs de sa réclamation. Appliquant cette norme, la cour a jugé que le délai de prescription de deux ans prévu à l’</w:t>
      </w:r>
      <w:r>
        <w:rPr>
          <w:rFonts w:cs="Times New Roman"/>
          <w:noProof/>
          <w:lang w:val="fr-CA"/>
        </w:rPr>
        <w:t>al. </w:t>
      </w:r>
      <w:r w:rsidRPr="006A5B99">
        <w:rPr>
          <w:rFonts w:cs="Times New Roman"/>
          <w:noProof/>
          <w:lang w:val="fr-CA"/>
        </w:rPr>
        <w:t>5(1)a) n’avait pas commencé à courir, puisque la province n’avait pas encore découvert les faits ayant donné naissance à sa réclamation (et ce, même si elle avait produit une déclaration de 106</w:t>
      </w:r>
      <w:r>
        <w:rPr>
          <w:rFonts w:cs="Times New Roman"/>
          <w:noProof/>
          <w:lang w:val="fr-CA"/>
        </w:rPr>
        <w:t xml:space="preserve"> </w:t>
      </w:r>
      <w:r w:rsidRPr="006A5B99">
        <w:rPr>
          <w:rFonts w:cs="Times New Roman"/>
          <w:noProof/>
          <w:lang w:val="fr-CA"/>
        </w:rPr>
        <w:t xml:space="preserve">paragraphes presque </w:t>
      </w:r>
      <w:r>
        <w:rPr>
          <w:rFonts w:cs="Times New Roman"/>
          <w:noProof/>
          <w:lang w:val="fr-CA"/>
        </w:rPr>
        <w:t>six</w:t>
      </w:r>
      <w:r w:rsidRPr="006A5B99">
        <w:rPr>
          <w:rFonts w:cs="Times New Roman"/>
          <w:noProof/>
          <w:lang w:val="fr-CA"/>
        </w:rPr>
        <w:t xml:space="preserve"> ans avant de recevoir les motifs de la Cour d’appel). Grant Thornton se pourvoit maintenant devant notre Cour. </w:t>
      </w:r>
    </w:p>
    <w:p w:rsidR="00AE79CA" w:rsidRPr="006A5B99" w:rsidRDefault="00AE79CA" w:rsidP="00AE79CA">
      <w:pPr>
        <w:pStyle w:val="ParaNoNdepar-AltN"/>
        <w:rPr>
          <w:rFonts w:cs="Times New Roman"/>
          <w:noProof/>
          <w:lang w:val="fr-CA"/>
        </w:rPr>
      </w:pPr>
      <w:r w:rsidRPr="006A5B99">
        <w:rPr>
          <w:rFonts w:cs="Times New Roman"/>
          <w:noProof/>
          <w:lang w:val="fr-CA"/>
        </w:rPr>
        <w:t xml:space="preserve">La présente </w:t>
      </w:r>
      <w:r>
        <w:rPr>
          <w:rFonts w:cs="Times New Roman"/>
          <w:noProof/>
          <w:lang w:val="fr-CA"/>
        </w:rPr>
        <w:t>affaire</w:t>
      </w:r>
      <w:r w:rsidRPr="006A5B99">
        <w:rPr>
          <w:rFonts w:cs="Times New Roman"/>
          <w:noProof/>
          <w:lang w:val="fr-CA"/>
        </w:rPr>
        <w:t xml:space="preserve"> porte sur la norme à appliquer pour déterminer si le </w:t>
      </w:r>
      <w:r>
        <w:rPr>
          <w:rFonts w:cs="Times New Roman"/>
          <w:noProof/>
          <w:lang w:val="fr-CA"/>
        </w:rPr>
        <w:t>demandeur</w:t>
      </w:r>
      <w:r w:rsidRPr="006A5B99">
        <w:rPr>
          <w:rFonts w:cs="Times New Roman"/>
          <w:noProof/>
          <w:lang w:val="fr-CA"/>
        </w:rPr>
        <w:t xml:space="preserve"> a le degré de connaissance requis pour découvrir les faits ayant donné naissance à sa réclamation au sens du </w:t>
      </w:r>
      <w:r>
        <w:rPr>
          <w:rFonts w:cs="Times New Roman"/>
          <w:noProof/>
          <w:lang w:val="fr-CA"/>
        </w:rPr>
        <w:t>par. </w:t>
      </w:r>
      <w:r w:rsidRPr="006A5B99">
        <w:rPr>
          <w:rFonts w:cs="Times New Roman"/>
          <w:noProof/>
          <w:lang w:val="fr-CA"/>
        </w:rPr>
        <w:t>5(2), ce qui déclenche l’application du délai de prescription de deux ans prévu à l’</w:t>
      </w:r>
      <w:r>
        <w:rPr>
          <w:rFonts w:cs="Times New Roman"/>
          <w:noProof/>
          <w:lang w:val="fr-CA"/>
        </w:rPr>
        <w:t>al. </w:t>
      </w:r>
      <w:r w:rsidRPr="006A5B99">
        <w:rPr>
          <w:rFonts w:cs="Times New Roman"/>
          <w:noProof/>
          <w:lang w:val="fr-CA"/>
        </w:rPr>
        <w:t xml:space="preserve">5(1)a). Soit dit en tout respect, la Cour d’appel a adopté une norme trop exigeante. À mon avis, le </w:t>
      </w:r>
      <w:r>
        <w:rPr>
          <w:rFonts w:cs="Times New Roman"/>
          <w:noProof/>
          <w:lang w:val="fr-CA"/>
        </w:rPr>
        <w:t>demandeur</w:t>
      </w:r>
      <w:r w:rsidRPr="006A5B99">
        <w:rPr>
          <w:rFonts w:cs="Times New Roman"/>
          <w:noProof/>
          <w:lang w:val="fr-CA"/>
        </w:rPr>
        <w:t xml:space="preserve"> découvre les faits à l’origine de sa réclamation lorsqu’il a une connaissance, réelle ou imputée, des faits importants permettant d’inférer plausiblement la responsabilité du défendeur. Il découle de cette norme qu’il n’est pas nécessaire que le </w:t>
      </w:r>
      <w:r>
        <w:rPr>
          <w:rFonts w:cs="Times New Roman"/>
          <w:noProof/>
          <w:lang w:val="fr-CA"/>
        </w:rPr>
        <w:t>demandeur</w:t>
      </w:r>
      <w:r w:rsidRPr="006A5B99">
        <w:rPr>
          <w:rFonts w:cs="Times New Roman"/>
          <w:noProof/>
          <w:lang w:val="fr-CA"/>
        </w:rPr>
        <w:t xml:space="preserve"> connaisse tous les éléments constitutifs de la réclamation pour découvrir les faits y ayant donné naissance. </w:t>
      </w:r>
    </w:p>
    <w:p w:rsidR="00AE79CA" w:rsidRPr="006A5B99" w:rsidRDefault="00AE79CA" w:rsidP="00AE79CA">
      <w:pPr>
        <w:pStyle w:val="ParaNoNdepar-AltN"/>
        <w:rPr>
          <w:rFonts w:cs="Times New Roman"/>
          <w:noProof/>
          <w:lang w:val="fr-CA"/>
        </w:rPr>
      </w:pPr>
      <w:r w:rsidRPr="006A5B99">
        <w:rPr>
          <w:rFonts w:cs="Times New Roman"/>
          <w:noProof/>
          <w:lang w:val="fr-CA"/>
        </w:rPr>
        <w:t xml:space="preserve">Dans le cas qui nous occupe, je suis convaincu que </w:t>
      </w:r>
      <w:bookmarkStart w:id="1" w:name="_Hlk71808343"/>
      <w:r w:rsidRPr="006A5B99">
        <w:rPr>
          <w:rFonts w:cs="Times New Roman"/>
          <w:noProof/>
          <w:lang w:val="fr-CA"/>
        </w:rPr>
        <w:t xml:space="preserve">la province a découvert les faits ayant donné naissance à sa réclamation contre Grant Thornton </w:t>
      </w:r>
      <w:r>
        <w:rPr>
          <w:rFonts w:cs="Times New Roman"/>
          <w:noProof/>
          <w:lang w:val="fr-CA"/>
        </w:rPr>
        <w:t xml:space="preserve">le 4 février </w:t>
      </w:r>
      <w:r w:rsidRPr="006A5B99">
        <w:rPr>
          <w:rFonts w:cs="Times New Roman"/>
          <w:noProof/>
          <w:lang w:val="fr-CA"/>
        </w:rPr>
        <w:t xml:space="preserve">2011. À cette date, elle </w:t>
      </w:r>
      <w:r>
        <w:rPr>
          <w:rFonts w:cs="Times New Roman"/>
          <w:noProof/>
          <w:lang w:val="fr-CA"/>
        </w:rPr>
        <w:t>avait appris</w:t>
      </w:r>
      <w:r w:rsidRPr="006A5B99">
        <w:rPr>
          <w:rFonts w:cs="Times New Roman"/>
          <w:noProof/>
          <w:lang w:val="fr-CA"/>
        </w:rPr>
        <w:t xml:space="preserve"> ou aurait dû </w:t>
      </w:r>
      <w:r>
        <w:rPr>
          <w:rFonts w:cs="Times New Roman"/>
          <w:noProof/>
          <w:lang w:val="fr-CA"/>
        </w:rPr>
        <w:t>avoir appris</w:t>
      </w:r>
      <w:r w:rsidRPr="006A5B99">
        <w:rPr>
          <w:rFonts w:cs="Times New Roman"/>
          <w:noProof/>
          <w:lang w:val="fr-CA"/>
        </w:rPr>
        <w:t xml:space="preserve"> qu’un</w:t>
      </w:r>
      <w:r>
        <w:rPr>
          <w:rFonts w:cs="Times New Roman"/>
          <w:noProof/>
          <w:lang w:val="fr-CA"/>
        </w:rPr>
        <w:t>e perte</w:t>
      </w:r>
      <w:r w:rsidRPr="006A5B99">
        <w:rPr>
          <w:rFonts w:cs="Times New Roman"/>
          <w:noProof/>
          <w:lang w:val="fr-CA"/>
        </w:rPr>
        <w:t xml:space="preserve"> avait été causé</w:t>
      </w:r>
      <w:r>
        <w:rPr>
          <w:rFonts w:cs="Times New Roman"/>
          <w:noProof/>
          <w:lang w:val="fr-CA"/>
        </w:rPr>
        <w:t>e</w:t>
      </w:r>
      <w:r w:rsidRPr="006A5B99">
        <w:rPr>
          <w:rFonts w:cs="Times New Roman"/>
          <w:noProof/>
          <w:lang w:val="fr-CA"/>
        </w:rPr>
        <w:t xml:space="preserve"> et que </w:t>
      </w:r>
      <w:r>
        <w:rPr>
          <w:rFonts w:cs="Times New Roman"/>
          <w:noProof/>
          <w:lang w:val="fr-CA"/>
        </w:rPr>
        <w:t>cette perte</w:t>
      </w:r>
      <w:r w:rsidRPr="006A5B99">
        <w:rPr>
          <w:rFonts w:cs="Times New Roman"/>
          <w:noProof/>
          <w:lang w:val="fr-CA"/>
        </w:rPr>
        <w:t xml:space="preserve"> était attribuable entièrement ou en partie aux actions que Grant Thornton avait été retenu pour détecter. Ces faits étaient suffisants pour inférer plausiblement la négligence de Grant Thornton. </w:t>
      </w:r>
      <w:bookmarkEnd w:id="1"/>
      <w:r w:rsidRPr="006A5B99">
        <w:rPr>
          <w:rFonts w:cs="Times New Roman"/>
          <w:noProof/>
          <w:lang w:val="fr-CA"/>
        </w:rPr>
        <w:t>Même si la province était au courant de ces faits dès le 4</w:t>
      </w:r>
      <w:r>
        <w:rPr>
          <w:rFonts w:cs="Times New Roman"/>
          <w:noProof/>
          <w:lang w:val="fr-CA"/>
        </w:rPr>
        <w:t xml:space="preserve"> </w:t>
      </w:r>
      <w:r w:rsidRPr="006A5B99">
        <w:rPr>
          <w:rFonts w:cs="Times New Roman"/>
          <w:noProof/>
          <w:lang w:val="fr-CA"/>
        </w:rPr>
        <w:t xml:space="preserve">février </w:t>
      </w:r>
      <w:r>
        <w:rPr>
          <w:rFonts w:cs="Times New Roman"/>
          <w:noProof/>
          <w:lang w:val="fr-CA"/>
        </w:rPr>
        <w:t xml:space="preserve">2011, elle a attendu au 23 juin </w:t>
      </w:r>
      <w:r w:rsidRPr="006A5B99">
        <w:rPr>
          <w:rFonts w:cs="Times New Roman"/>
          <w:noProof/>
          <w:lang w:val="fr-CA"/>
        </w:rPr>
        <w:t>2014, soit plus de deux ans, pour présenter sa réclamation. Celle</w:t>
      </w:r>
      <w:r>
        <w:rPr>
          <w:rFonts w:cs="Times New Roman"/>
          <w:noProof/>
          <w:lang w:val="fr-CA"/>
        </w:rPr>
        <w:noBreakHyphen/>
      </w:r>
      <w:r w:rsidRPr="006A5B99">
        <w:rPr>
          <w:rFonts w:cs="Times New Roman"/>
          <w:noProof/>
          <w:lang w:val="fr-CA"/>
        </w:rPr>
        <w:t>ci est donc prescrite en application de l’</w:t>
      </w:r>
      <w:r>
        <w:rPr>
          <w:rFonts w:cs="Times New Roman"/>
          <w:noProof/>
          <w:lang w:val="fr-CA"/>
        </w:rPr>
        <w:t>al. </w:t>
      </w:r>
      <w:r w:rsidRPr="006A5B99">
        <w:rPr>
          <w:rFonts w:cs="Times New Roman"/>
          <w:noProof/>
          <w:lang w:val="fr-CA"/>
        </w:rPr>
        <w:t xml:space="preserve">5(1)a) de la </w:t>
      </w:r>
      <w:r w:rsidRPr="006A5B99">
        <w:rPr>
          <w:rFonts w:cs="Times New Roman"/>
          <w:i/>
          <w:noProof/>
          <w:lang w:val="fr-CA"/>
        </w:rPr>
        <w:t>L</w:t>
      </w:r>
      <w:r>
        <w:rPr>
          <w:rFonts w:cs="Times New Roman"/>
          <w:i/>
          <w:noProof/>
          <w:lang w:val="fr-CA"/>
        </w:rPr>
        <w:t>P</w:t>
      </w:r>
      <w:r w:rsidRPr="00404CB5">
        <w:rPr>
          <w:rFonts w:cs="Times New Roman"/>
          <w:noProof/>
          <w:lang w:val="fr-CA"/>
        </w:rPr>
        <w:t>.</w:t>
      </w:r>
      <w:r>
        <w:rPr>
          <w:rFonts w:cs="Times New Roman"/>
          <w:i/>
          <w:noProof/>
          <w:lang w:val="fr-CA"/>
        </w:rPr>
        <w:t xml:space="preserve"> </w:t>
      </w:r>
      <w:r w:rsidRPr="006A5B99">
        <w:rPr>
          <w:rFonts w:cs="Times New Roman"/>
          <w:noProof/>
          <w:lang w:val="fr-CA"/>
        </w:rPr>
        <w:t>En conséquence, j</w:t>
      </w:r>
      <w:r w:rsidRPr="006A5B99">
        <w:rPr>
          <w:rFonts w:cs="Times New Roman"/>
          <w:iCs/>
          <w:noProof/>
          <w:lang w:val="fr-CA"/>
        </w:rPr>
        <w:t>e suis d’avis de faire droit au pourvoi interjeté par Grant Thornton LLP et Kent M. Ostridge, de même qu’à celui interjeté par Grant Thornton International Ltd.</w:t>
      </w:r>
      <w:r w:rsidRPr="006A5B99">
        <w:rPr>
          <w:rFonts w:cs="Times New Roman"/>
          <w:noProof/>
          <w:lang w:val="fr-CA"/>
        </w:rPr>
        <w:t>, d’annuler le jugement de la Cour d’appel et de rétablir celui du juge saisi des motions.</w:t>
      </w:r>
    </w:p>
    <w:p w:rsidR="00AE79CA" w:rsidRPr="006A5B99" w:rsidRDefault="00AE79CA" w:rsidP="00AE79CA">
      <w:pPr>
        <w:pStyle w:val="Title1LevelTitre1Niveau-AltL"/>
        <w:rPr>
          <w:rFonts w:cs="Times New Roman"/>
          <w:noProof/>
          <w:lang w:val="fr-CA"/>
        </w:rPr>
      </w:pPr>
      <w:r w:rsidRPr="006A5B99">
        <w:rPr>
          <w:rFonts w:cs="Times New Roman"/>
          <w:noProof/>
          <w:lang w:val="fr-CA"/>
        </w:rPr>
        <w:t xml:space="preserve">Faits </w:t>
      </w:r>
    </w:p>
    <w:p w:rsidR="00AE79CA" w:rsidRPr="006A5B99" w:rsidRDefault="00AE79CA" w:rsidP="00AE79CA">
      <w:pPr>
        <w:pStyle w:val="ParaNoNdepar-AltN"/>
        <w:rPr>
          <w:rFonts w:cs="Times New Roman"/>
          <w:noProof/>
          <w:lang w:val="fr-CA"/>
        </w:rPr>
      </w:pPr>
      <w:r w:rsidRPr="006A5B99">
        <w:rPr>
          <w:rFonts w:cs="Times New Roman"/>
          <w:noProof/>
          <w:lang w:val="fr-CA"/>
        </w:rPr>
        <w:t>À l’automne</w:t>
      </w:r>
      <w:r>
        <w:rPr>
          <w:rFonts w:cs="Times New Roman"/>
          <w:noProof/>
          <w:lang w:val="fr-CA"/>
        </w:rPr>
        <w:t xml:space="preserve"> </w:t>
      </w:r>
      <w:r w:rsidRPr="006A5B99">
        <w:rPr>
          <w:rFonts w:cs="Times New Roman"/>
          <w:noProof/>
          <w:lang w:val="fr-CA"/>
        </w:rPr>
        <w:t xml:space="preserve">2008, le groupe de sociétés Atcon (« Atcon ») </w:t>
      </w:r>
      <w:r>
        <w:rPr>
          <w:rFonts w:cs="Times New Roman"/>
          <w:noProof/>
          <w:lang w:val="fr-CA"/>
        </w:rPr>
        <w:t>—</w:t>
      </w:r>
      <w:r w:rsidRPr="006A5B99">
        <w:rPr>
          <w:rFonts w:cs="Times New Roman"/>
          <w:noProof/>
          <w:lang w:val="fr-CA"/>
        </w:rPr>
        <w:t xml:space="preserve"> une entreprise néo</w:t>
      </w:r>
      <w:r>
        <w:rPr>
          <w:rFonts w:cs="Times New Roman"/>
          <w:noProof/>
          <w:lang w:val="fr-CA"/>
        </w:rPr>
        <w:noBreakHyphen/>
      </w:r>
      <w:r w:rsidRPr="006A5B99">
        <w:rPr>
          <w:rFonts w:cs="Times New Roman"/>
          <w:noProof/>
          <w:lang w:val="fr-CA"/>
        </w:rPr>
        <w:t xml:space="preserve">brunswickoise offrant des services dans les domaines de la construction, de l’énergie, de l’industrie et de la gestion des déchets </w:t>
      </w:r>
      <w:r>
        <w:rPr>
          <w:rFonts w:cs="Times New Roman"/>
          <w:noProof/>
          <w:lang w:val="fr-CA"/>
        </w:rPr>
        <w:t>—</w:t>
      </w:r>
      <w:r w:rsidRPr="006A5B99">
        <w:rPr>
          <w:rFonts w:cs="Times New Roman"/>
          <w:noProof/>
          <w:lang w:val="fr-CA"/>
        </w:rPr>
        <w:t xml:space="preserve"> avait de la difficulté à s’acquitter de ses obligations financières. L’entreprise a demandé des prêts à la Banque de Nouvelle</w:t>
      </w:r>
      <w:r>
        <w:rPr>
          <w:rFonts w:cs="Times New Roman"/>
          <w:noProof/>
          <w:lang w:val="fr-CA"/>
        </w:rPr>
        <w:noBreakHyphen/>
      </w:r>
      <w:r w:rsidRPr="006A5B99">
        <w:rPr>
          <w:rFonts w:cs="Times New Roman"/>
          <w:noProof/>
          <w:lang w:val="fr-CA"/>
        </w:rPr>
        <w:t xml:space="preserve">Écosse, mais elle avait besoin de garanties de prêts de la province pour les obtenir. </w:t>
      </w:r>
    </w:p>
    <w:p w:rsidR="00AE79CA" w:rsidRPr="006A5B99" w:rsidRDefault="00AE79CA" w:rsidP="00AE79CA">
      <w:pPr>
        <w:pStyle w:val="ParaNoNdepar-AltN"/>
        <w:rPr>
          <w:rFonts w:cs="Times New Roman"/>
          <w:noProof/>
          <w:lang w:val="fr-CA"/>
        </w:rPr>
      </w:pPr>
      <w:r w:rsidRPr="006A5B99">
        <w:rPr>
          <w:rFonts w:cs="Times New Roman"/>
          <w:noProof/>
          <w:lang w:val="fr-CA"/>
        </w:rPr>
        <w:t>Le 24</w:t>
      </w:r>
      <w:r>
        <w:rPr>
          <w:rFonts w:cs="Times New Roman"/>
          <w:noProof/>
          <w:lang w:val="fr-CA"/>
        </w:rPr>
        <w:t xml:space="preserve"> </w:t>
      </w:r>
      <w:r w:rsidRPr="006A5B99">
        <w:rPr>
          <w:rFonts w:cs="Times New Roman"/>
          <w:noProof/>
          <w:lang w:val="fr-CA"/>
        </w:rPr>
        <w:t xml:space="preserve">avril 2009, la province a accepté de fournir ces garanties pour une somme totalisant 50 millions de dollars, à la condition qu’Atcon accepte de se soumettre à un examen externe de son actif par un cabinet de vérificateurs. La province a accepté que Grant Thornton, le vérificateur d’Atcon, procède à cet examen externe. </w:t>
      </w:r>
    </w:p>
    <w:p w:rsidR="00AE79CA" w:rsidRPr="006A5B99" w:rsidRDefault="00AE79CA" w:rsidP="00AE79CA">
      <w:pPr>
        <w:pStyle w:val="ParaNoNdepar-AltN"/>
        <w:rPr>
          <w:rFonts w:cs="Times New Roman"/>
          <w:noProof/>
          <w:lang w:val="fr-CA"/>
        </w:rPr>
      </w:pPr>
      <w:r w:rsidRPr="006A5B99">
        <w:rPr>
          <w:rFonts w:cs="Times New Roman"/>
          <w:noProof/>
          <w:lang w:val="fr-CA"/>
        </w:rPr>
        <w:t>Un mois plus tard, le 19</w:t>
      </w:r>
      <w:r>
        <w:rPr>
          <w:rFonts w:cs="Times New Roman"/>
          <w:noProof/>
          <w:lang w:val="fr-CA"/>
        </w:rPr>
        <w:t xml:space="preserve"> </w:t>
      </w:r>
      <w:r w:rsidRPr="006A5B99">
        <w:rPr>
          <w:rFonts w:cs="Times New Roman"/>
          <w:noProof/>
          <w:lang w:val="fr-CA"/>
        </w:rPr>
        <w:t>mai 2009, Grant Thornton a remis une lettre à la province (« lettre d’opinion »), dans laquelle il expliquait en détail les travaux qu’il avait effectués dans le cadre de la vérification des états financiers consolidés d’Atcon pour l’exercice clos le 31</w:t>
      </w:r>
      <w:r>
        <w:rPr>
          <w:rFonts w:cs="Times New Roman"/>
          <w:noProof/>
          <w:lang w:val="fr-CA"/>
        </w:rPr>
        <w:t xml:space="preserve"> </w:t>
      </w:r>
      <w:r w:rsidRPr="006A5B99">
        <w:rPr>
          <w:rFonts w:cs="Times New Roman"/>
          <w:noProof/>
          <w:lang w:val="fr-CA"/>
        </w:rPr>
        <w:t>janvier 2009 (« exercice 2009 »). Dans cette lettre, Grant</w:t>
      </w:r>
      <w:r>
        <w:rPr>
          <w:rFonts w:cs="Times New Roman"/>
          <w:noProof/>
          <w:lang w:val="fr-CA"/>
        </w:rPr>
        <w:t xml:space="preserve"> </w:t>
      </w:r>
      <w:r w:rsidRPr="006A5B99">
        <w:rPr>
          <w:rFonts w:cs="Times New Roman"/>
          <w:noProof/>
          <w:lang w:val="fr-CA"/>
        </w:rPr>
        <w:t>Thornton déclarait qu’il avait effectué sa vérification conformément aux normes de vérification généralement reconnues et qu’il lui restait quelques points à régler avant de remettre son rapport de vérification (« rapport sans réserve du vérificateur »).</w:t>
      </w:r>
    </w:p>
    <w:p w:rsidR="00AE79CA" w:rsidRPr="006A5B99" w:rsidRDefault="00AE79CA" w:rsidP="00AE79CA">
      <w:pPr>
        <w:pStyle w:val="ParaNoNdepar-AltN"/>
        <w:rPr>
          <w:rFonts w:cs="Times New Roman"/>
          <w:noProof/>
          <w:lang w:val="fr-CA"/>
        </w:rPr>
      </w:pPr>
      <w:r w:rsidRPr="006A5B99">
        <w:rPr>
          <w:rFonts w:cs="Times New Roman"/>
          <w:noProof/>
          <w:lang w:val="fr-CA"/>
        </w:rPr>
        <w:t xml:space="preserve">Le rapport sans réserve du vérificateur a été remis à la province </w:t>
      </w:r>
      <w:r>
        <w:rPr>
          <w:rFonts w:cs="Times New Roman"/>
          <w:noProof/>
          <w:lang w:val="fr-CA"/>
        </w:rPr>
        <w:t xml:space="preserve">le 18 juin </w:t>
      </w:r>
      <w:r w:rsidRPr="006A5B99">
        <w:rPr>
          <w:rFonts w:cs="Times New Roman"/>
          <w:noProof/>
          <w:lang w:val="fr-CA"/>
        </w:rPr>
        <w:t>2009. Grant Thornton y confirmait qu’il avait vérifié les états financiers de l’exercice</w:t>
      </w:r>
      <w:r>
        <w:rPr>
          <w:rFonts w:cs="Times New Roman"/>
          <w:noProof/>
          <w:lang w:val="fr-CA"/>
        </w:rPr>
        <w:t xml:space="preserve"> </w:t>
      </w:r>
      <w:r w:rsidRPr="006A5B99">
        <w:rPr>
          <w:rFonts w:cs="Times New Roman"/>
          <w:noProof/>
          <w:lang w:val="fr-CA"/>
        </w:rPr>
        <w:t>2009 d’Atcon conformément aux normes de vérification généralement reconnues, qui l’obligeaient notamment [</w:t>
      </w:r>
      <w:r w:rsidRPr="006A5B99">
        <w:rPr>
          <w:rFonts w:cs="Times New Roman"/>
          <w:smallCaps/>
          <w:noProof/>
          <w:lang w:val="fr-CA"/>
        </w:rPr>
        <w:t>traduction</w:t>
      </w:r>
      <w:r w:rsidRPr="006A5B99">
        <w:rPr>
          <w:rFonts w:cs="Times New Roman"/>
          <w:noProof/>
          <w:lang w:val="fr-CA"/>
        </w:rPr>
        <w:t>] «</w:t>
      </w:r>
      <w:r>
        <w:rPr>
          <w:rFonts w:cs="Times New Roman"/>
          <w:noProof/>
          <w:lang w:val="fr-CA"/>
        </w:rPr>
        <w:t> </w:t>
      </w:r>
      <w:r w:rsidRPr="006A5B99">
        <w:rPr>
          <w:rFonts w:cs="Times New Roman"/>
          <w:noProof/>
          <w:lang w:val="fr-CA"/>
        </w:rPr>
        <w:t>à planifier et à effectuer la vérification de manière à avoir l’assurance raisonnable que les états financiers sont exempts d’inexactitudes importantes</w:t>
      </w:r>
      <w:r>
        <w:rPr>
          <w:rFonts w:cs="Times New Roman"/>
          <w:noProof/>
          <w:lang w:val="fr-CA"/>
        </w:rPr>
        <w:t> </w:t>
      </w:r>
      <w:r w:rsidRPr="006A5B99">
        <w:rPr>
          <w:rFonts w:cs="Times New Roman"/>
          <w:noProof/>
          <w:lang w:val="fr-CA"/>
        </w:rPr>
        <w:t xml:space="preserve">» (d.i., </w:t>
      </w:r>
      <w:r>
        <w:rPr>
          <w:rFonts w:cs="Times New Roman"/>
          <w:noProof/>
          <w:lang w:val="fr-CA"/>
        </w:rPr>
        <w:t>p. </w:t>
      </w:r>
      <w:r w:rsidRPr="006A5B99">
        <w:rPr>
          <w:rFonts w:cs="Times New Roman"/>
          <w:noProof/>
          <w:lang w:val="fr-CA"/>
        </w:rPr>
        <w:t>26). Ayant agi de la sorte, Grant</w:t>
      </w:r>
      <w:r>
        <w:rPr>
          <w:rFonts w:cs="Times New Roman"/>
          <w:noProof/>
          <w:lang w:val="fr-CA"/>
        </w:rPr>
        <w:t xml:space="preserve"> </w:t>
      </w:r>
      <w:r w:rsidRPr="006A5B99">
        <w:rPr>
          <w:rFonts w:cs="Times New Roman"/>
          <w:noProof/>
          <w:lang w:val="fr-CA"/>
        </w:rPr>
        <w:t>Thornton a exprimé son opinion que les états financiers d’Atcon donnaient «</w:t>
      </w:r>
      <w:r>
        <w:rPr>
          <w:rFonts w:cs="Times New Roman"/>
          <w:noProof/>
          <w:lang w:val="fr-CA"/>
        </w:rPr>
        <w:t> </w:t>
      </w:r>
      <w:r w:rsidRPr="006A5B99">
        <w:rPr>
          <w:rFonts w:cs="Times New Roman"/>
          <w:noProof/>
          <w:lang w:val="fr-CA"/>
        </w:rPr>
        <w:t>à tous les égards importants, une image fidèle de la situation financière, des résultats des activités et des flux de trésorerie d’[Atcon] au 31 janvier 2009 pour l’exercice terminé à cette date, conformément aux principes comptables généralement reconnus au Canada</w:t>
      </w:r>
      <w:r>
        <w:rPr>
          <w:rFonts w:cs="Times New Roman"/>
          <w:noProof/>
          <w:lang w:val="fr-CA"/>
        </w:rPr>
        <w:t> </w:t>
      </w:r>
      <w:r w:rsidRPr="006A5B99">
        <w:rPr>
          <w:rFonts w:cs="Times New Roman"/>
          <w:noProof/>
          <w:lang w:val="fr-CA"/>
        </w:rPr>
        <w:t>» (</w:t>
      </w:r>
      <w:r w:rsidRPr="006A5B99">
        <w:rPr>
          <w:rFonts w:cs="Times New Roman"/>
          <w:i/>
          <w:noProof/>
          <w:lang w:val="fr-CA"/>
        </w:rPr>
        <w:t>ibid.</w:t>
      </w:r>
      <w:r w:rsidRPr="006A5B99">
        <w:rPr>
          <w:rFonts w:cs="Times New Roman"/>
          <w:noProof/>
          <w:lang w:val="fr-CA"/>
        </w:rPr>
        <w:t>)</w:t>
      </w:r>
      <w:r w:rsidRPr="006A5B99">
        <w:rPr>
          <w:rFonts w:cs="Times New Roman"/>
          <w:noProof/>
          <w:shd w:val="clear" w:color="auto" w:fill="FFFFFF"/>
          <w:lang w:val="fr-CA"/>
        </w:rPr>
        <w:t>. Grant</w:t>
      </w:r>
      <w:r>
        <w:rPr>
          <w:rFonts w:cs="Times New Roman"/>
          <w:noProof/>
          <w:shd w:val="clear" w:color="auto" w:fill="FFFFFF"/>
          <w:lang w:val="fr-CA"/>
        </w:rPr>
        <w:t xml:space="preserve"> </w:t>
      </w:r>
      <w:r w:rsidRPr="006A5B99">
        <w:rPr>
          <w:rFonts w:cs="Times New Roman"/>
          <w:noProof/>
          <w:shd w:val="clear" w:color="auto" w:fill="FFFFFF"/>
          <w:lang w:val="fr-CA"/>
        </w:rPr>
        <w:t>Thornton a joint à son rapport les états financiers vérifiés de l’exercice</w:t>
      </w:r>
      <w:r>
        <w:rPr>
          <w:rFonts w:cs="Times New Roman"/>
          <w:noProof/>
          <w:shd w:val="clear" w:color="auto" w:fill="FFFFFF"/>
          <w:lang w:val="fr-CA"/>
        </w:rPr>
        <w:t xml:space="preserve"> </w:t>
      </w:r>
      <w:r w:rsidRPr="006A5B99">
        <w:rPr>
          <w:rFonts w:cs="Times New Roman"/>
          <w:noProof/>
          <w:shd w:val="clear" w:color="auto" w:fill="FFFFFF"/>
          <w:lang w:val="fr-CA"/>
        </w:rPr>
        <w:t xml:space="preserve">2009 d’Atcon. </w:t>
      </w:r>
    </w:p>
    <w:p w:rsidR="00AE79CA" w:rsidRPr="006A5B99" w:rsidRDefault="00AE79CA" w:rsidP="00AE79CA">
      <w:pPr>
        <w:pStyle w:val="ParaNoNdepar-AltN"/>
        <w:rPr>
          <w:rFonts w:cs="Times New Roman"/>
          <w:noProof/>
          <w:lang w:val="fr-CA"/>
        </w:rPr>
      </w:pPr>
      <w:r w:rsidRPr="006A5B99">
        <w:rPr>
          <w:rFonts w:cs="Times New Roman"/>
          <w:noProof/>
          <w:lang w:val="fr-CA"/>
        </w:rPr>
        <w:t>Le 30</w:t>
      </w:r>
      <w:r>
        <w:rPr>
          <w:rFonts w:cs="Times New Roman"/>
          <w:noProof/>
          <w:lang w:val="fr-CA"/>
        </w:rPr>
        <w:t xml:space="preserve"> </w:t>
      </w:r>
      <w:r w:rsidRPr="006A5B99">
        <w:rPr>
          <w:rFonts w:cs="Times New Roman"/>
          <w:noProof/>
          <w:lang w:val="fr-CA"/>
        </w:rPr>
        <w:t>juin 2009, se déclarant satisfaite sur la foi de la lettre d’opinion, du rapport sans réserve du vérificateur et des états financiers vérifiés de l’exercice</w:t>
      </w:r>
      <w:r>
        <w:rPr>
          <w:rFonts w:cs="Times New Roman"/>
          <w:noProof/>
          <w:lang w:val="fr-CA"/>
        </w:rPr>
        <w:t xml:space="preserve"> </w:t>
      </w:r>
      <w:r w:rsidRPr="006A5B99">
        <w:rPr>
          <w:rFonts w:cs="Times New Roman"/>
          <w:noProof/>
          <w:lang w:val="fr-CA"/>
        </w:rPr>
        <w:t>2009, la province a signé et remis les garanties de prêts d’un montant de</w:t>
      </w:r>
      <w:r>
        <w:rPr>
          <w:rFonts w:cs="Times New Roman"/>
          <w:noProof/>
          <w:lang w:val="fr-CA"/>
        </w:rPr>
        <w:t xml:space="preserve"> 50 </w:t>
      </w:r>
      <w:r w:rsidRPr="006A5B99">
        <w:rPr>
          <w:rFonts w:cs="Times New Roman"/>
          <w:noProof/>
          <w:lang w:val="fr-CA"/>
        </w:rPr>
        <w:t>millions de dollars à Atcon, permettant ainsi à cette dernière d’emprunter des fonds à la Banque de Nouvelle</w:t>
      </w:r>
      <w:r>
        <w:rPr>
          <w:rFonts w:cs="Times New Roman"/>
          <w:noProof/>
          <w:lang w:val="fr-CA"/>
        </w:rPr>
        <w:noBreakHyphen/>
      </w:r>
      <w:r w:rsidRPr="006A5B99">
        <w:rPr>
          <w:rFonts w:cs="Times New Roman"/>
          <w:noProof/>
          <w:lang w:val="fr-CA"/>
        </w:rPr>
        <w:t xml:space="preserve">Écosse. </w:t>
      </w:r>
    </w:p>
    <w:p w:rsidR="00AE79CA" w:rsidRPr="006A5B99" w:rsidRDefault="00AE79CA" w:rsidP="00AE79CA">
      <w:pPr>
        <w:pStyle w:val="ParaNoNdepar-AltN"/>
        <w:rPr>
          <w:rFonts w:cs="Times New Roman"/>
          <w:noProof/>
          <w:lang w:val="fr-CA"/>
        </w:rPr>
      </w:pPr>
      <w:r w:rsidRPr="006A5B99">
        <w:rPr>
          <w:rFonts w:cs="Times New Roman"/>
          <w:noProof/>
          <w:lang w:val="fr-CA"/>
        </w:rPr>
        <w:t xml:space="preserve">Les difficultés financières d’Atcon ont persisté. En raison de ses pertes d’exploitation et de la cessation de ses activités dans l’Ouest canadien, elle a épuisé son fonds de roulement en octobre 2009 </w:t>
      </w:r>
      <w:r>
        <w:rPr>
          <w:rFonts w:cs="Times New Roman"/>
          <w:noProof/>
          <w:lang w:val="fr-CA"/>
        </w:rPr>
        <w:t>—</w:t>
      </w:r>
      <w:r w:rsidRPr="006A5B99">
        <w:rPr>
          <w:rFonts w:cs="Times New Roman"/>
          <w:noProof/>
          <w:lang w:val="fr-CA"/>
        </w:rPr>
        <w:t xml:space="preserve"> soit à peine quatre mois après avoir reçu les garanties de prêts de la province. </w:t>
      </w:r>
    </w:p>
    <w:p w:rsidR="00AE79CA" w:rsidRPr="006A5B99" w:rsidRDefault="00AE79CA" w:rsidP="00AE79CA">
      <w:pPr>
        <w:pStyle w:val="ParaNoNdepar-AltN"/>
        <w:rPr>
          <w:rFonts w:cs="Times New Roman"/>
          <w:noProof/>
          <w:lang w:val="fr-CA"/>
        </w:rPr>
      </w:pPr>
      <w:r w:rsidRPr="006A5B99">
        <w:rPr>
          <w:rFonts w:cs="Times New Roman"/>
          <w:noProof/>
          <w:lang w:val="fr-CA"/>
        </w:rPr>
        <w:t>Peu de temps après, la Banque de Nouvelle</w:t>
      </w:r>
      <w:r>
        <w:rPr>
          <w:rFonts w:cs="Times New Roman"/>
          <w:noProof/>
          <w:lang w:val="fr-CA"/>
        </w:rPr>
        <w:noBreakHyphen/>
      </w:r>
      <w:r w:rsidRPr="006A5B99">
        <w:rPr>
          <w:rFonts w:cs="Times New Roman"/>
          <w:noProof/>
          <w:lang w:val="fr-CA"/>
        </w:rPr>
        <w:t xml:space="preserve">Écosse a réclamé la mise sous séquestre d’Atcon en vertu de la </w:t>
      </w:r>
      <w:r w:rsidRPr="006A5B99">
        <w:rPr>
          <w:rFonts w:cs="Times New Roman"/>
          <w:i/>
          <w:noProof/>
          <w:lang w:val="fr-CA"/>
        </w:rPr>
        <w:t>Loi sur la faillite et l’insolvabilité</w:t>
      </w:r>
      <w:r w:rsidRPr="006A5B99">
        <w:rPr>
          <w:rFonts w:cs="Times New Roman"/>
          <w:iCs/>
          <w:noProof/>
          <w:lang w:val="fr-CA"/>
        </w:rPr>
        <w:t>, L.R.C. </w:t>
      </w:r>
      <w:r w:rsidRPr="006A5B99">
        <w:rPr>
          <w:rFonts w:cs="Times New Roman"/>
          <w:noProof/>
          <w:lang w:val="fr-CA"/>
        </w:rPr>
        <w:t>1985, c. B</w:t>
      </w:r>
      <w:r>
        <w:rPr>
          <w:rFonts w:cs="Times New Roman"/>
          <w:noProof/>
          <w:lang w:val="fr-CA"/>
        </w:rPr>
        <w:noBreakHyphen/>
      </w:r>
      <w:r w:rsidRPr="006A5B99">
        <w:rPr>
          <w:rFonts w:cs="Times New Roman"/>
          <w:noProof/>
          <w:lang w:val="fr-CA"/>
        </w:rPr>
        <w:t xml:space="preserve">3, et a présenté une demande de protection sous le régime de la </w:t>
      </w:r>
      <w:r w:rsidRPr="006A5B99">
        <w:rPr>
          <w:rFonts w:cs="Times New Roman"/>
          <w:i/>
          <w:noProof/>
          <w:lang w:val="fr-CA"/>
        </w:rPr>
        <w:t>Loi sur les arrangements avec les créanciers des compagnies</w:t>
      </w:r>
      <w:r w:rsidRPr="006A5B99">
        <w:rPr>
          <w:rFonts w:cs="Times New Roman"/>
          <w:iCs/>
          <w:noProof/>
          <w:lang w:val="fr-CA"/>
        </w:rPr>
        <w:t>,</w:t>
      </w:r>
      <w:r w:rsidRPr="006A5B99">
        <w:rPr>
          <w:rFonts w:cs="Times New Roman"/>
          <w:i/>
          <w:noProof/>
          <w:lang w:val="fr-CA"/>
        </w:rPr>
        <w:t xml:space="preserve"> </w:t>
      </w:r>
      <w:r w:rsidRPr="006A5B99">
        <w:rPr>
          <w:rFonts w:cs="Times New Roman"/>
          <w:noProof/>
          <w:lang w:val="fr-CA"/>
        </w:rPr>
        <w:t>L.R.C. 1985, c. C</w:t>
      </w:r>
      <w:r>
        <w:rPr>
          <w:rFonts w:cs="Times New Roman"/>
          <w:noProof/>
          <w:lang w:val="fr-CA"/>
        </w:rPr>
        <w:noBreakHyphen/>
      </w:r>
      <w:r w:rsidRPr="006A5B99">
        <w:rPr>
          <w:rFonts w:cs="Times New Roman"/>
          <w:noProof/>
          <w:lang w:val="fr-CA"/>
        </w:rPr>
        <w:t>36. Le 1</w:t>
      </w:r>
      <w:r w:rsidRPr="006A5B99">
        <w:rPr>
          <w:rFonts w:cs="Times New Roman"/>
          <w:noProof/>
          <w:vertAlign w:val="superscript"/>
          <w:lang w:val="fr-CA"/>
        </w:rPr>
        <w:t>er</w:t>
      </w:r>
      <w:r>
        <w:rPr>
          <w:rFonts w:cs="Times New Roman"/>
          <w:noProof/>
          <w:lang w:val="fr-CA"/>
        </w:rPr>
        <w:t xml:space="preserve"> mars </w:t>
      </w:r>
      <w:r w:rsidRPr="006A5B99">
        <w:rPr>
          <w:rFonts w:cs="Times New Roman"/>
          <w:noProof/>
          <w:lang w:val="fr-CA"/>
        </w:rPr>
        <w:t>2010, la Cour du Banc de la Reine du Nouveau</w:t>
      </w:r>
      <w:r>
        <w:rPr>
          <w:rFonts w:cs="Times New Roman"/>
          <w:noProof/>
          <w:lang w:val="fr-CA"/>
        </w:rPr>
        <w:noBreakHyphen/>
      </w:r>
      <w:r w:rsidRPr="006A5B99">
        <w:rPr>
          <w:rFonts w:cs="Times New Roman"/>
          <w:noProof/>
          <w:lang w:val="fr-CA"/>
        </w:rPr>
        <w:t>Brunswick a fait droit aux demandes de la banque. Quelques jours plus tard, celle</w:t>
      </w:r>
      <w:r>
        <w:rPr>
          <w:rFonts w:cs="Times New Roman"/>
          <w:noProof/>
          <w:lang w:val="fr-CA"/>
        </w:rPr>
        <w:noBreakHyphen/>
      </w:r>
      <w:r w:rsidRPr="006A5B99">
        <w:rPr>
          <w:rFonts w:cs="Times New Roman"/>
          <w:noProof/>
          <w:lang w:val="fr-CA"/>
        </w:rPr>
        <w:t>ci a demandé à la province de rembourser les sommes visées par les garanties de prêts. Le 18</w:t>
      </w:r>
      <w:r>
        <w:rPr>
          <w:rFonts w:cs="Times New Roman"/>
          <w:noProof/>
          <w:lang w:val="fr-CA"/>
        </w:rPr>
        <w:t xml:space="preserve"> </w:t>
      </w:r>
      <w:r w:rsidRPr="006A5B99">
        <w:rPr>
          <w:rFonts w:cs="Times New Roman"/>
          <w:noProof/>
          <w:lang w:val="fr-CA"/>
        </w:rPr>
        <w:t>mars</w:t>
      </w:r>
      <w:r>
        <w:rPr>
          <w:rFonts w:cs="Times New Roman"/>
          <w:noProof/>
          <w:lang w:val="fr-CA"/>
        </w:rPr>
        <w:t xml:space="preserve"> </w:t>
      </w:r>
      <w:r w:rsidRPr="006A5B99">
        <w:rPr>
          <w:rFonts w:cs="Times New Roman"/>
          <w:noProof/>
          <w:lang w:val="fr-CA"/>
        </w:rPr>
        <w:t>2010, la province s’est exécutée et a ver</w:t>
      </w:r>
      <w:r>
        <w:rPr>
          <w:rFonts w:cs="Times New Roman"/>
          <w:noProof/>
          <w:lang w:val="fr-CA"/>
        </w:rPr>
        <w:t>sé en totalité les 50 </w:t>
      </w:r>
      <w:r w:rsidRPr="006A5B99">
        <w:rPr>
          <w:rFonts w:cs="Times New Roman"/>
          <w:noProof/>
          <w:lang w:val="fr-CA"/>
        </w:rPr>
        <w:t>millions de dollars.</w:t>
      </w:r>
    </w:p>
    <w:p w:rsidR="00AE79CA" w:rsidRPr="006A5B99" w:rsidRDefault="00AE79CA" w:rsidP="00AE79CA">
      <w:pPr>
        <w:pStyle w:val="ParaNoNdepar-AltN"/>
        <w:rPr>
          <w:rFonts w:cs="Times New Roman"/>
          <w:noProof/>
          <w:lang w:val="fr-CA"/>
        </w:rPr>
      </w:pPr>
      <w:r w:rsidRPr="006A5B99">
        <w:rPr>
          <w:rFonts w:cs="Times New Roman"/>
          <w:noProof/>
          <w:lang w:val="fr-CA"/>
        </w:rPr>
        <w:t>Les instances introduites contre Atcon et la demande de remboursement des garanties de prêt</w:t>
      </w:r>
      <w:r>
        <w:rPr>
          <w:rFonts w:cs="Times New Roman"/>
          <w:noProof/>
          <w:lang w:val="fr-CA"/>
        </w:rPr>
        <w:t>s</w:t>
      </w:r>
      <w:r w:rsidRPr="006A5B99">
        <w:rPr>
          <w:rFonts w:cs="Times New Roman"/>
          <w:noProof/>
          <w:lang w:val="fr-CA"/>
        </w:rPr>
        <w:t xml:space="preserve"> présentée par la banque ont éveillé les soupçons de la province. En juin 2010, celle</w:t>
      </w:r>
      <w:r>
        <w:rPr>
          <w:rFonts w:cs="Times New Roman"/>
          <w:noProof/>
          <w:lang w:val="fr-CA"/>
        </w:rPr>
        <w:noBreakHyphen/>
      </w:r>
      <w:r w:rsidRPr="006A5B99">
        <w:rPr>
          <w:rFonts w:cs="Times New Roman"/>
          <w:noProof/>
          <w:lang w:val="fr-CA"/>
        </w:rPr>
        <w:t xml:space="preserve">ci a donc retenu les services du cabinet RSM Richter Inc. (« Richter ») </w:t>
      </w:r>
      <w:r>
        <w:rPr>
          <w:rFonts w:cs="Times New Roman"/>
          <w:noProof/>
          <w:lang w:val="fr-CA"/>
        </w:rPr>
        <w:t>—</w:t>
      </w:r>
      <w:r w:rsidRPr="006A5B99">
        <w:rPr>
          <w:rFonts w:cs="Times New Roman"/>
          <w:noProof/>
          <w:lang w:val="fr-CA"/>
        </w:rPr>
        <w:t xml:space="preserve"> un cabinet d’experts</w:t>
      </w:r>
      <w:r>
        <w:rPr>
          <w:rFonts w:cs="Times New Roman"/>
          <w:noProof/>
          <w:lang w:val="fr-CA"/>
        </w:rPr>
        <w:noBreakHyphen/>
      </w:r>
      <w:r w:rsidRPr="006A5B99">
        <w:rPr>
          <w:rFonts w:cs="Times New Roman"/>
          <w:noProof/>
          <w:lang w:val="fr-CA"/>
        </w:rPr>
        <w:t xml:space="preserve">comptables et de vérificateurs </w:t>
      </w:r>
      <w:r>
        <w:rPr>
          <w:rFonts w:cs="Times New Roman"/>
          <w:noProof/>
          <w:lang w:val="fr-CA"/>
        </w:rPr>
        <w:t>—</w:t>
      </w:r>
      <w:r w:rsidRPr="006A5B99">
        <w:rPr>
          <w:rFonts w:cs="Times New Roman"/>
          <w:noProof/>
          <w:lang w:val="fr-CA"/>
        </w:rPr>
        <w:t xml:space="preserve"> pour qu’il passe en revue les états financiers d’Atcon pour l’exercice</w:t>
      </w:r>
      <w:r>
        <w:rPr>
          <w:rFonts w:cs="Times New Roman"/>
          <w:noProof/>
          <w:lang w:val="fr-CA"/>
        </w:rPr>
        <w:t xml:space="preserve"> </w:t>
      </w:r>
      <w:r w:rsidRPr="006A5B99">
        <w:rPr>
          <w:rFonts w:cs="Times New Roman"/>
          <w:noProof/>
          <w:lang w:val="fr-CA"/>
        </w:rPr>
        <w:t xml:space="preserve">2009 et qu’il lui remette un rapport faisant état de ses conclusions (« rapport Richter »). </w:t>
      </w:r>
    </w:p>
    <w:p w:rsidR="00AE79CA" w:rsidRPr="006A5B99" w:rsidRDefault="00AE79CA" w:rsidP="00AE79CA">
      <w:pPr>
        <w:pStyle w:val="ParaNoNdepar-AltN"/>
        <w:rPr>
          <w:rFonts w:cs="Times New Roman"/>
          <w:noProof/>
          <w:lang w:val="fr-CA"/>
        </w:rPr>
      </w:pPr>
      <w:r w:rsidRPr="006A5B99">
        <w:rPr>
          <w:rFonts w:cs="Times New Roman"/>
          <w:noProof/>
          <w:lang w:val="fr-CA"/>
        </w:rPr>
        <w:t>Le rapport Richter a été remis dans sa version provisoire le 4</w:t>
      </w:r>
      <w:r>
        <w:rPr>
          <w:rFonts w:cs="Times New Roman"/>
          <w:noProof/>
          <w:lang w:val="fr-CA"/>
        </w:rPr>
        <w:t xml:space="preserve"> </w:t>
      </w:r>
      <w:r w:rsidRPr="006A5B99">
        <w:rPr>
          <w:rFonts w:cs="Times New Roman"/>
          <w:noProof/>
          <w:lang w:val="fr-CA"/>
        </w:rPr>
        <w:t>février 2011, et dans sa version définitive le 30</w:t>
      </w:r>
      <w:r>
        <w:rPr>
          <w:rFonts w:cs="Times New Roman"/>
          <w:noProof/>
          <w:lang w:val="fr-CA"/>
        </w:rPr>
        <w:t xml:space="preserve"> </w:t>
      </w:r>
      <w:r w:rsidRPr="006A5B99">
        <w:rPr>
          <w:rFonts w:cs="Times New Roman"/>
          <w:noProof/>
          <w:lang w:val="fr-CA"/>
        </w:rPr>
        <w:t>novembre 2012. À l’exception de quelques corrections d’ordre grammatical, le rapport définitif était identique au rapport provisoire</w:t>
      </w:r>
      <w:r w:rsidRPr="006A5B99">
        <w:rPr>
          <w:rFonts w:cs="Times New Roman"/>
          <w:noProof/>
          <w:shd w:val="clear" w:color="auto" w:fill="FFFFFF"/>
          <w:lang w:val="fr-CA"/>
        </w:rPr>
        <w:t xml:space="preserve">. </w:t>
      </w:r>
    </w:p>
    <w:p w:rsidR="00AE79CA" w:rsidRPr="006A5B99" w:rsidRDefault="00AE79CA" w:rsidP="00AE79CA">
      <w:pPr>
        <w:pStyle w:val="ParaNoNdepar-AltN"/>
        <w:rPr>
          <w:rFonts w:cs="Times New Roman"/>
          <w:noProof/>
          <w:lang w:val="fr-CA"/>
        </w:rPr>
      </w:pPr>
      <w:r w:rsidRPr="006A5B99">
        <w:rPr>
          <w:rFonts w:cs="Times New Roman"/>
          <w:noProof/>
          <w:shd w:val="clear" w:color="auto" w:fill="FFFFFF"/>
          <w:lang w:val="fr-CA"/>
        </w:rPr>
        <w:t xml:space="preserve">Les conclusions du rapport Richter étaient différentes de celles du </w:t>
      </w:r>
      <w:r w:rsidRPr="006A5B99">
        <w:rPr>
          <w:rFonts w:cs="Times New Roman"/>
          <w:noProof/>
          <w:lang w:val="fr-CA"/>
        </w:rPr>
        <w:t>rapport sans réserve du vérificateur remis par Grant Thornton. Fait important, contrairement à ce dernier, Richter était d’avis que les états financiers de l’exercice</w:t>
      </w:r>
      <w:r>
        <w:rPr>
          <w:rFonts w:cs="Times New Roman"/>
          <w:noProof/>
          <w:lang w:val="fr-CA"/>
        </w:rPr>
        <w:t xml:space="preserve"> </w:t>
      </w:r>
      <w:r w:rsidRPr="006A5B99">
        <w:rPr>
          <w:rFonts w:cs="Times New Roman"/>
          <w:noProof/>
          <w:lang w:val="fr-CA"/>
        </w:rPr>
        <w:t xml:space="preserve">2009 d’Atcon n’avaient en fait pas été dressés conformément aux principes comptables généralement reconnus. Richter fondait son opinion sur ce qu’il </w:t>
      </w:r>
      <w:r>
        <w:rPr>
          <w:rFonts w:cs="Times New Roman"/>
          <w:noProof/>
          <w:lang w:val="fr-CA"/>
        </w:rPr>
        <w:t xml:space="preserve">a </w:t>
      </w:r>
      <w:r w:rsidRPr="006A5B99">
        <w:rPr>
          <w:rFonts w:cs="Times New Roman"/>
          <w:noProof/>
          <w:lang w:val="fr-CA"/>
        </w:rPr>
        <w:t>qualifi</w:t>
      </w:r>
      <w:r>
        <w:rPr>
          <w:rFonts w:cs="Times New Roman"/>
          <w:noProof/>
          <w:lang w:val="fr-CA"/>
        </w:rPr>
        <w:t>é</w:t>
      </w:r>
      <w:r w:rsidRPr="006A5B99">
        <w:rPr>
          <w:rFonts w:cs="Times New Roman"/>
          <w:noProof/>
          <w:lang w:val="fr-CA"/>
        </w:rPr>
        <w:t xml:space="preserve"> de [</w:t>
      </w:r>
      <w:r w:rsidRPr="006A5B99">
        <w:rPr>
          <w:rFonts w:cs="Times New Roman"/>
          <w:smallCaps/>
          <w:noProof/>
          <w:lang w:val="fr-CA"/>
        </w:rPr>
        <w:t>traduction</w:t>
      </w:r>
      <w:r w:rsidRPr="006A5B99">
        <w:rPr>
          <w:rFonts w:cs="Times New Roman"/>
          <w:noProof/>
          <w:lang w:val="fr-CA"/>
        </w:rPr>
        <w:t>] «</w:t>
      </w:r>
      <w:r>
        <w:rPr>
          <w:rFonts w:cs="Times New Roman"/>
          <w:noProof/>
          <w:lang w:val="fr-CA"/>
        </w:rPr>
        <w:t> </w:t>
      </w:r>
      <w:r w:rsidRPr="006A5B99">
        <w:rPr>
          <w:rFonts w:cs="Times New Roman"/>
          <w:noProof/>
          <w:lang w:val="fr-CA"/>
        </w:rPr>
        <w:t>tendance systématique</w:t>
      </w:r>
      <w:r>
        <w:rPr>
          <w:rFonts w:cs="Times New Roman"/>
          <w:noProof/>
          <w:lang w:val="fr-CA"/>
        </w:rPr>
        <w:t> </w:t>
      </w:r>
      <w:r w:rsidRPr="006A5B99">
        <w:rPr>
          <w:rFonts w:cs="Times New Roman"/>
          <w:noProof/>
          <w:lang w:val="fr-CA"/>
        </w:rPr>
        <w:t>» de la direction d’Atcon à «</w:t>
      </w:r>
      <w:r>
        <w:rPr>
          <w:rFonts w:cs="Times New Roman"/>
          <w:noProof/>
          <w:lang w:val="fr-CA"/>
        </w:rPr>
        <w:t> </w:t>
      </w:r>
      <w:r w:rsidRPr="006A5B99">
        <w:rPr>
          <w:rFonts w:cs="Times New Roman"/>
          <w:noProof/>
          <w:lang w:val="fr-CA"/>
        </w:rPr>
        <w:t xml:space="preserve">surévaluer </w:t>
      </w:r>
      <w:r>
        <w:rPr>
          <w:rFonts w:cs="Times New Roman"/>
          <w:noProof/>
          <w:lang w:val="fr-CA"/>
        </w:rPr>
        <w:t>l’actif</w:t>
      </w:r>
      <w:r w:rsidRPr="006A5B99">
        <w:rPr>
          <w:rFonts w:cs="Times New Roman"/>
          <w:noProof/>
          <w:lang w:val="fr-CA"/>
        </w:rPr>
        <w:t>, les recettes et les bénéfices [ainsi qu’à] sous</w:t>
      </w:r>
      <w:r>
        <w:rPr>
          <w:rFonts w:cs="Times New Roman"/>
          <w:noProof/>
          <w:lang w:val="fr-CA"/>
        </w:rPr>
        <w:noBreakHyphen/>
      </w:r>
      <w:r w:rsidRPr="006A5B99">
        <w:rPr>
          <w:rFonts w:cs="Times New Roman"/>
          <w:noProof/>
          <w:lang w:val="fr-CA"/>
        </w:rPr>
        <w:t xml:space="preserve">évaluer </w:t>
      </w:r>
      <w:r>
        <w:rPr>
          <w:rFonts w:cs="Times New Roman"/>
          <w:noProof/>
          <w:lang w:val="fr-CA"/>
        </w:rPr>
        <w:t>le passif</w:t>
      </w:r>
      <w:r w:rsidRPr="006A5B99">
        <w:rPr>
          <w:rFonts w:cs="Times New Roman"/>
          <w:noProof/>
          <w:lang w:val="fr-CA"/>
        </w:rPr>
        <w:t>, les charges et les pertes</w:t>
      </w:r>
      <w:r>
        <w:rPr>
          <w:rFonts w:cs="Times New Roman"/>
          <w:noProof/>
          <w:lang w:val="fr-CA"/>
        </w:rPr>
        <w:t> </w:t>
      </w:r>
      <w:r w:rsidRPr="006A5B99">
        <w:rPr>
          <w:rFonts w:cs="Times New Roman"/>
          <w:noProof/>
          <w:lang w:val="fr-CA"/>
        </w:rPr>
        <w:t xml:space="preserve">» (d.a., </w:t>
      </w:r>
      <w:r>
        <w:rPr>
          <w:rFonts w:cs="Times New Roman"/>
          <w:noProof/>
          <w:lang w:val="fr-CA"/>
        </w:rPr>
        <w:t>vol. </w:t>
      </w:r>
      <w:r w:rsidRPr="006A5B99">
        <w:rPr>
          <w:rFonts w:cs="Times New Roman"/>
          <w:noProof/>
          <w:lang w:val="fr-CA"/>
        </w:rPr>
        <w:t xml:space="preserve">II, </w:t>
      </w:r>
      <w:r>
        <w:rPr>
          <w:rFonts w:cs="Times New Roman"/>
          <w:noProof/>
          <w:lang w:val="fr-CA"/>
        </w:rPr>
        <w:t>p. </w:t>
      </w:r>
      <w:r w:rsidRPr="006A5B99">
        <w:rPr>
          <w:rFonts w:cs="Times New Roman"/>
          <w:noProof/>
          <w:lang w:val="fr-CA"/>
        </w:rPr>
        <w:t>207). Plus précisément, le rapport relevait dans les états financiers diverses erreurs qu’il jugeait « importantes</w:t>
      </w:r>
      <w:r>
        <w:rPr>
          <w:rFonts w:cs="Times New Roman"/>
          <w:noProof/>
          <w:lang w:val="fr-CA"/>
        </w:rPr>
        <w:t> </w:t>
      </w:r>
      <w:r w:rsidRPr="006A5B99">
        <w:rPr>
          <w:rFonts w:cs="Times New Roman"/>
          <w:noProof/>
          <w:lang w:val="fr-CA"/>
        </w:rPr>
        <w:t>» parce qu’il était « probable</w:t>
      </w:r>
      <w:r>
        <w:rPr>
          <w:rFonts w:cs="Times New Roman"/>
          <w:noProof/>
          <w:lang w:val="fr-CA"/>
        </w:rPr>
        <w:t> </w:t>
      </w:r>
      <w:r w:rsidRPr="006A5B99">
        <w:rPr>
          <w:rFonts w:cs="Times New Roman"/>
          <w:noProof/>
          <w:lang w:val="fr-CA"/>
        </w:rPr>
        <w:t>» qu’elles influenceraient la décision de la personne qui se fierait aux états financiers (</w:t>
      </w:r>
      <w:r w:rsidRPr="006A5B99">
        <w:rPr>
          <w:rFonts w:cs="Times New Roman"/>
          <w:i/>
          <w:noProof/>
          <w:lang w:val="fr-CA"/>
        </w:rPr>
        <w:t>ibid.</w:t>
      </w:r>
      <w:r w:rsidRPr="006A5B99">
        <w:rPr>
          <w:rFonts w:cs="Times New Roman"/>
          <w:noProof/>
          <w:lang w:val="fr-CA"/>
        </w:rPr>
        <w:t xml:space="preserve">, </w:t>
      </w:r>
      <w:r>
        <w:rPr>
          <w:rFonts w:cs="Times New Roman"/>
          <w:noProof/>
          <w:lang w:val="fr-CA"/>
        </w:rPr>
        <w:t>p. </w:t>
      </w:r>
      <w:r w:rsidRPr="006A5B99">
        <w:rPr>
          <w:rFonts w:cs="Times New Roman"/>
          <w:noProof/>
          <w:lang w:val="fr-CA"/>
        </w:rPr>
        <w:t>136 (soulignement omis)). À cet égard, Richter a estimé que l’actif d’Atcon pour l’exercice</w:t>
      </w:r>
      <w:r>
        <w:rPr>
          <w:rFonts w:cs="Times New Roman"/>
          <w:noProof/>
          <w:lang w:val="fr-CA"/>
        </w:rPr>
        <w:t xml:space="preserve"> </w:t>
      </w:r>
      <w:r w:rsidRPr="006A5B99">
        <w:rPr>
          <w:rFonts w:cs="Times New Roman"/>
          <w:noProof/>
          <w:lang w:val="fr-CA"/>
        </w:rPr>
        <w:t>2009 ainsi que ses gains nets avaient été surévalués d’un montant considérable compris entre 28,3</w:t>
      </w:r>
      <w:r>
        <w:rPr>
          <w:rFonts w:cs="Times New Roman"/>
          <w:noProof/>
          <w:lang w:val="fr-CA"/>
        </w:rPr>
        <w:t> </w:t>
      </w:r>
      <w:r w:rsidRPr="006A5B99">
        <w:rPr>
          <w:rFonts w:cs="Times New Roman"/>
          <w:noProof/>
          <w:lang w:val="fr-CA"/>
        </w:rPr>
        <w:t>millions de dollars</w:t>
      </w:r>
      <w:r>
        <w:rPr>
          <w:rFonts w:cs="Times New Roman"/>
          <w:noProof/>
          <w:lang w:val="fr-CA"/>
        </w:rPr>
        <w:t xml:space="preserve"> et 35,4 </w:t>
      </w:r>
      <w:r w:rsidRPr="006A5B99">
        <w:rPr>
          <w:rFonts w:cs="Times New Roman"/>
          <w:noProof/>
          <w:lang w:val="fr-CA"/>
        </w:rPr>
        <w:t>millions de dollars. Dans son rapport de vérification d’Atcon, Grant Thornton avait notamment fixé l’importance relative à 1,2 million de dollars, de sorte que les inexactitudes décelées par Richter étaient de loin supérieures à cette importance relative. Grant Thornton n’avait toutefois pas relevé ces inexactitudes dans le rapport sans réserve du vérificateur.</w:t>
      </w:r>
    </w:p>
    <w:p w:rsidR="00AE79CA" w:rsidRPr="006A5B99" w:rsidRDefault="00AE79CA" w:rsidP="00AE79CA">
      <w:pPr>
        <w:pStyle w:val="ParaNoNdepar-AltN"/>
        <w:rPr>
          <w:rFonts w:cs="Times New Roman"/>
          <w:noProof/>
          <w:lang w:val="fr-CA"/>
        </w:rPr>
      </w:pPr>
      <w:r w:rsidRPr="006A5B99">
        <w:rPr>
          <w:rFonts w:cs="Times New Roman"/>
          <w:noProof/>
          <w:lang w:val="fr-CA"/>
        </w:rPr>
        <w:t>Ces renseignements ont incité le sous</w:t>
      </w:r>
      <w:r>
        <w:rPr>
          <w:rFonts w:cs="Times New Roman"/>
          <w:noProof/>
          <w:lang w:val="fr-CA"/>
        </w:rPr>
        <w:noBreakHyphen/>
      </w:r>
      <w:r w:rsidRPr="006A5B99">
        <w:rPr>
          <w:rFonts w:cs="Times New Roman"/>
          <w:noProof/>
          <w:lang w:val="fr-CA"/>
        </w:rPr>
        <w:t>ministre du Développement économique à intervenir. Dans une lettre datée</w:t>
      </w:r>
      <w:r>
        <w:rPr>
          <w:rFonts w:cs="Times New Roman"/>
          <w:noProof/>
          <w:lang w:val="fr-CA"/>
        </w:rPr>
        <w:t xml:space="preserve"> du 21 décembre </w:t>
      </w:r>
      <w:r w:rsidRPr="006A5B99">
        <w:rPr>
          <w:rFonts w:cs="Times New Roman"/>
          <w:noProof/>
          <w:lang w:val="fr-CA"/>
        </w:rPr>
        <w:t>2012 et adressée à l’Institut des comptables agréés du Nouveau</w:t>
      </w:r>
      <w:r>
        <w:rPr>
          <w:rFonts w:cs="Times New Roman"/>
          <w:noProof/>
          <w:lang w:val="fr-CA"/>
        </w:rPr>
        <w:noBreakHyphen/>
      </w:r>
      <w:r w:rsidRPr="006A5B99">
        <w:rPr>
          <w:rFonts w:cs="Times New Roman"/>
          <w:noProof/>
          <w:lang w:val="fr-CA"/>
        </w:rPr>
        <w:t>Brunswick, le sous</w:t>
      </w:r>
      <w:r>
        <w:rPr>
          <w:rFonts w:cs="Times New Roman"/>
          <w:noProof/>
          <w:lang w:val="fr-CA"/>
        </w:rPr>
        <w:noBreakHyphen/>
      </w:r>
      <w:r w:rsidRPr="006A5B99">
        <w:rPr>
          <w:rFonts w:cs="Times New Roman"/>
          <w:noProof/>
          <w:lang w:val="fr-CA"/>
        </w:rPr>
        <w:t>ministre a informé ce dernier que la province procédait au dépôt d’une plainte officielle contre Grant Thornton. Une copie du rapport Richter était jointe à cette lettre.</w:t>
      </w:r>
    </w:p>
    <w:p w:rsidR="00AE79CA" w:rsidRPr="006A5B99" w:rsidRDefault="00AE79CA" w:rsidP="00AE79CA">
      <w:pPr>
        <w:pStyle w:val="ParaNoNdepar-AltN"/>
        <w:rPr>
          <w:rFonts w:cs="Times New Roman"/>
          <w:noProof/>
          <w:lang w:val="fr-CA"/>
        </w:rPr>
      </w:pPr>
      <w:r w:rsidRPr="006A5B99">
        <w:rPr>
          <w:rFonts w:cs="Times New Roman"/>
          <w:noProof/>
          <w:lang w:val="fr-CA"/>
        </w:rPr>
        <w:t>Un an et demi plus tard, le 23</w:t>
      </w:r>
      <w:r>
        <w:rPr>
          <w:rFonts w:cs="Times New Roman"/>
          <w:noProof/>
          <w:lang w:val="fr-CA"/>
        </w:rPr>
        <w:t xml:space="preserve"> juin </w:t>
      </w:r>
      <w:r w:rsidRPr="006A5B99">
        <w:rPr>
          <w:rFonts w:cs="Times New Roman"/>
          <w:noProof/>
          <w:lang w:val="fr-CA"/>
        </w:rPr>
        <w:t xml:space="preserve">2014, la province a présenté une réclamation contre Grant Thornton pour négligence. Dans sa défense, Grant Thornton a nié les allégations. Il a également </w:t>
      </w:r>
      <w:r>
        <w:rPr>
          <w:rFonts w:cs="Times New Roman"/>
          <w:noProof/>
          <w:lang w:val="fr-CA"/>
        </w:rPr>
        <w:t>demandé le</w:t>
      </w:r>
      <w:r w:rsidRPr="006A5B99">
        <w:rPr>
          <w:rFonts w:cs="Times New Roman"/>
          <w:noProof/>
          <w:lang w:val="fr-CA"/>
        </w:rPr>
        <w:t xml:space="preserve"> rejet sommaire de la réclamation de la province, au motif qu’elle était prescrite en application </w:t>
      </w:r>
      <w:r>
        <w:rPr>
          <w:rFonts w:cs="Times New Roman"/>
          <w:noProof/>
          <w:lang w:val="fr-CA"/>
        </w:rPr>
        <w:t xml:space="preserve">du </w:t>
      </w:r>
      <w:r w:rsidRPr="006A5B99">
        <w:rPr>
          <w:rFonts w:cs="Times New Roman"/>
          <w:noProof/>
          <w:lang w:val="fr-CA"/>
        </w:rPr>
        <w:t>délai de prescription de deux ans prévu à l’</w:t>
      </w:r>
      <w:r>
        <w:rPr>
          <w:rFonts w:cs="Times New Roman"/>
          <w:noProof/>
          <w:lang w:val="fr-CA"/>
        </w:rPr>
        <w:t>al. </w:t>
      </w:r>
      <w:r w:rsidRPr="006A5B99">
        <w:rPr>
          <w:rFonts w:cs="Times New Roman"/>
          <w:noProof/>
          <w:lang w:val="fr-CA"/>
        </w:rPr>
        <w:t xml:space="preserve">5(1)a) de la </w:t>
      </w:r>
      <w:r w:rsidRPr="006A5B99">
        <w:rPr>
          <w:rFonts w:cs="Times New Roman"/>
          <w:i/>
          <w:noProof/>
          <w:lang w:val="fr-CA"/>
        </w:rPr>
        <w:t>L</w:t>
      </w:r>
      <w:r>
        <w:rPr>
          <w:rFonts w:cs="Times New Roman"/>
          <w:i/>
          <w:noProof/>
          <w:lang w:val="fr-CA"/>
        </w:rPr>
        <w:t>P. </w:t>
      </w:r>
    </w:p>
    <w:p w:rsidR="00AE79CA" w:rsidRPr="006A5B99" w:rsidRDefault="00AE79CA" w:rsidP="00AE79CA">
      <w:pPr>
        <w:pStyle w:val="Title1LevelTitre1Niveau-AltL"/>
        <w:rPr>
          <w:rFonts w:cs="Times New Roman"/>
          <w:noProof/>
          <w:lang w:val="fr-CA"/>
        </w:rPr>
      </w:pPr>
      <w:r w:rsidRPr="006A5B99">
        <w:rPr>
          <w:rFonts w:cs="Times New Roman"/>
          <w:noProof/>
          <w:lang w:val="fr-CA"/>
        </w:rPr>
        <w:t>Dispositions législatives applicables</w:t>
      </w:r>
    </w:p>
    <w:p w:rsidR="00AE79CA" w:rsidRPr="006A5B99" w:rsidRDefault="00AE79CA" w:rsidP="00AE79CA">
      <w:pPr>
        <w:pStyle w:val="ParaNoNdepar-AltN"/>
        <w:rPr>
          <w:rFonts w:eastAsia="Times New Roman" w:cs="Times New Roman"/>
          <w:noProof/>
          <w:lang w:val="fr-CA"/>
        </w:rPr>
      </w:pPr>
      <w:r w:rsidRPr="006A5B99">
        <w:rPr>
          <w:rFonts w:eastAsia="Times New Roman" w:cs="Times New Roman"/>
          <w:noProof/>
          <w:lang w:val="fr-CA"/>
        </w:rPr>
        <w:t xml:space="preserve">Voici les dispositions pertinentes de la </w:t>
      </w:r>
      <w:r w:rsidRPr="006A5B99">
        <w:rPr>
          <w:rFonts w:eastAsia="Times New Roman" w:cs="Times New Roman"/>
          <w:i/>
          <w:noProof/>
          <w:lang w:val="fr-CA"/>
        </w:rPr>
        <w:t>LP</w:t>
      </w:r>
      <w:r>
        <w:rPr>
          <w:rFonts w:eastAsia="Times New Roman" w:cs="Times New Roman"/>
          <w:i/>
          <w:noProof/>
          <w:lang w:val="fr-CA"/>
        </w:rPr>
        <w:t> :</w:t>
      </w:r>
      <w:r w:rsidRPr="006A5B99">
        <w:rPr>
          <w:rFonts w:eastAsia="Times New Roman" w:cs="Times New Roman"/>
          <w:noProof/>
          <w:lang w:val="fr-CA"/>
        </w:rPr>
        <w:t xml:space="preserve"> </w:t>
      </w:r>
    </w:p>
    <w:p w:rsidR="00AE79CA" w:rsidRPr="00404CB5" w:rsidRDefault="00AE79CA" w:rsidP="00AE79CA">
      <w:pPr>
        <w:pStyle w:val="Citation-AltC"/>
        <w:spacing w:after="240"/>
        <w:ind w:hanging="1166"/>
        <w:contextualSpacing w:val="0"/>
        <w:rPr>
          <w:b/>
          <w:noProof/>
          <w:lang w:val="fr-CA"/>
        </w:rPr>
      </w:pPr>
      <w:r>
        <w:rPr>
          <w:b/>
          <w:noProof/>
          <w:lang w:val="fr-CA"/>
        </w:rPr>
        <w:tab/>
      </w:r>
      <w:r w:rsidRPr="00404CB5">
        <w:rPr>
          <w:b/>
          <w:noProof/>
          <w:lang w:val="fr-CA"/>
        </w:rPr>
        <w:t>Définitions et interprétation</w:t>
      </w:r>
    </w:p>
    <w:p w:rsidR="00AE79CA" w:rsidRDefault="00AE79CA" w:rsidP="00AE79CA">
      <w:pPr>
        <w:pStyle w:val="Citation-AltC"/>
        <w:spacing w:after="240"/>
        <w:ind w:left="1168" w:hanging="1168"/>
        <w:contextualSpacing w:val="0"/>
        <w:rPr>
          <w:noProof/>
          <w:lang w:val="fr-CA"/>
        </w:rPr>
      </w:pPr>
      <w:r>
        <w:rPr>
          <w:b/>
          <w:bCs/>
          <w:noProof/>
          <w:lang w:val="fr-CA"/>
        </w:rPr>
        <w:tab/>
      </w:r>
      <w:r w:rsidRPr="00404CB5">
        <w:rPr>
          <w:b/>
          <w:bCs/>
          <w:noProof/>
          <w:lang w:val="fr-CA"/>
        </w:rPr>
        <w:t>1</w:t>
      </w:r>
      <w:r w:rsidRPr="00404CB5">
        <w:rPr>
          <w:noProof/>
          <w:lang w:val="fr-CA"/>
        </w:rPr>
        <w:t xml:space="preserve">(1) Les </w:t>
      </w:r>
      <w:r w:rsidRPr="00404CB5">
        <w:rPr>
          <w:lang w:val="fr-CA"/>
        </w:rPr>
        <w:t>définitions</w:t>
      </w:r>
      <w:r w:rsidRPr="00404CB5">
        <w:rPr>
          <w:noProof/>
          <w:lang w:val="fr-CA"/>
        </w:rPr>
        <w:t xml:space="preserve"> qui suivent s’appliquent à la présente loi.</w:t>
      </w:r>
    </w:p>
    <w:p w:rsidR="00AE79CA" w:rsidRPr="00404CB5" w:rsidRDefault="00AE79CA" w:rsidP="00AE79CA">
      <w:pPr>
        <w:pStyle w:val="Citation-AltC"/>
        <w:spacing w:after="240"/>
        <w:ind w:left="1168" w:hanging="1168"/>
        <w:contextualSpacing w:val="0"/>
        <w:jc w:val="center"/>
        <w:rPr>
          <w:noProof/>
          <w:lang w:val="fr-CA"/>
        </w:rPr>
      </w:pPr>
      <w:r w:rsidRPr="00404CB5">
        <w:rPr>
          <w:bCs/>
          <w:noProof/>
          <w:lang w:val="fr-CA"/>
        </w:rPr>
        <w:t>. . .</w:t>
      </w:r>
    </w:p>
    <w:p w:rsidR="00AE79CA" w:rsidRPr="00404CB5" w:rsidRDefault="00AE79CA" w:rsidP="00AE79CA">
      <w:pPr>
        <w:pStyle w:val="Citation-AltC"/>
        <w:spacing w:after="240"/>
        <w:ind w:hanging="1166"/>
        <w:contextualSpacing w:val="0"/>
        <w:rPr>
          <w:noProof/>
          <w:lang w:val="fr-CA"/>
        </w:rPr>
      </w:pPr>
      <w:r w:rsidRPr="00404CB5">
        <w:rPr>
          <w:noProof/>
          <w:lang w:val="fr-CA"/>
        </w:rPr>
        <w:tab/>
        <w:t xml:space="preserve">« réclamation » Réclamation pour obtenir réparation de préjudices, de pertes ou de dommages survenus par suite </w:t>
      </w:r>
      <w:r>
        <w:rPr>
          <w:noProof/>
          <w:lang w:val="fr-CA"/>
        </w:rPr>
        <w:t>d’un acte ou d’une omission.</w:t>
      </w:r>
      <w:r w:rsidRPr="00404CB5">
        <w:rPr>
          <w:noProof/>
          <w:lang w:val="fr-CA"/>
        </w:rPr>
        <w:t xml:space="preserve"> </w:t>
      </w:r>
    </w:p>
    <w:p w:rsidR="00AE79CA" w:rsidRPr="00404CB5" w:rsidRDefault="00AE79CA" w:rsidP="00AE79CA">
      <w:pPr>
        <w:pStyle w:val="Citation-AltC"/>
        <w:spacing w:after="240"/>
        <w:ind w:hanging="1166"/>
        <w:contextualSpacing w:val="0"/>
        <w:jc w:val="center"/>
        <w:rPr>
          <w:noProof/>
          <w:lang w:val="fr-CA"/>
        </w:rPr>
      </w:pPr>
      <w:r w:rsidRPr="00404CB5">
        <w:rPr>
          <w:noProof/>
          <w:lang w:val="fr-CA"/>
        </w:rPr>
        <w:tab/>
        <w:t>. . .</w:t>
      </w:r>
    </w:p>
    <w:p w:rsidR="00AE79CA" w:rsidRPr="00404CB5" w:rsidRDefault="00AE79CA" w:rsidP="00AE79CA">
      <w:pPr>
        <w:pStyle w:val="Citation-AltC"/>
        <w:spacing w:after="240"/>
        <w:ind w:left="1168" w:hanging="1168"/>
        <w:contextualSpacing w:val="0"/>
        <w:rPr>
          <w:b/>
          <w:bCs/>
          <w:noProof/>
          <w:lang w:val="fr-CA"/>
        </w:rPr>
      </w:pPr>
      <w:r w:rsidRPr="00404CB5">
        <w:rPr>
          <w:b/>
          <w:bCs/>
          <w:noProof/>
          <w:lang w:val="fr-CA"/>
        </w:rPr>
        <w:tab/>
        <w:t>Délais de prescription ordinaires</w:t>
      </w:r>
    </w:p>
    <w:p w:rsidR="00AE79CA" w:rsidRPr="00404CB5" w:rsidRDefault="00AE79CA" w:rsidP="00AE79CA">
      <w:pPr>
        <w:pStyle w:val="Citation-AltC"/>
        <w:spacing w:after="240"/>
        <w:ind w:left="1168" w:hanging="1168"/>
        <w:contextualSpacing w:val="0"/>
        <w:rPr>
          <w:lang w:val="fr-CA"/>
        </w:rPr>
      </w:pPr>
      <w:r w:rsidRPr="00404CB5">
        <w:rPr>
          <w:b/>
          <w:bCs/>
          <w:lang w:val="fr-CA"/>
        </w:rPr>
        <w:tab/>
        <w:t>5</w:t>
      </w:r>
      <w:r w:rsidRPr="00404CB5">
        <w:rPr>
          <w:lang w:val="fr-CA"/>
        </w:rPr>
        <w:t>(1) Sauf disposition contraire de la présente loi, toute réclamation se prescrit par celui des délais ci</w:t>
      </w:r>
      <w:r w:rsidRPr="00404CB5">
        <w:rPr>
          <w:lang w:val="fr-CA"/>
        </w:rPr>
        <w:noBreakHyphen/>
        <w:t>dessous qui expire le premier : </w:t>
      </w:r>
    </w:p>
    <w:p w:rsidR="00AE79CA" w:rsidRPr="00404CB5" w:rsidRDefault="00AE79CA" w:rsidP="00AE79CA">
      <w:pPr>
        <w:pStyle w:val="Citation-AltC"/>
        <w:spacing w:after="240"/>
        <w:ind w:left="1418" w:hanging="1418"/>
        <w:contextualSpacing w:val="0"/>
        <w:rPr>
          <w:lang w:val="fr-CA"/>
        </w:rPr>
      </w:pPr>
      <w:r w:rsidRPr="00404CB5">
        <w:rPr>
          <w:lang w:val="fr-CA"/>
        </w:rPr>
        <w:tab/>
        <w:t>a) deux ans à compter du jour où sont découverts les faits y ayant donné naissance;</w:t>
      </w:r>
    </w:p>
    <w:p w:rsidR="00AE79CA" w:rsidRPr="00404CB5" w:rsidRDefault="00AE79CA" w:rsidP="00AE79CA">
      <w:pPr>
        <w:pStyle w:val="Citation-AltC"/>
        <w:spacing w:after="240"/>
        <w:ind w:left="1418" w:hanging="1418"/>
        <w:contextualSpacing w:val="0"/>
        <w:rPr>
          <w:lang w:val="fr-CA"/>
        </w:rPr>
      </w:pPr>
      <w:r w:rsidRPr="00404CB5">
        <w:rPr>
          <w:lang w:val="fr-CA"/>
        </w:rPr>
        <w:tab/>
        <w:t>b) quinze ans à compter du jour où a eu lieu l’acte ou l’omission sur lequel elle est fondée.</w:t>
      </w:r>
    </w:p>
    <w:p w:rsidR="00AE79CA" w:rsidRPr="00404CB5" w:rsidRDefault="00AE79CA" w:rsidP="00AE79CA">
      <w:pPr>
        <w:pStyle w:val="Citation-AltC"/>
        <w:spacing w:after="240"/>
        <w:ind w:left="1168" w:hanging="1168"/>
        <w:contextualSpacing w:val="0"/>
        <w:rPr>
          <w:lang w:val="fr-CA"/>
        </w:rPr>
      </w:pPr>
      <w:r w:rsidRPr="00404CB5">
        <w:rPr>
          <w:b/>
          <w:bCs/>
          <w:lang w:val="fr-CA"/>
        </w:rPr>
        <w:tab/>
        <w:t>5</w:t>
      </w:r>
      <w:r w:rsidRPr="00404CB5">
        <w:rPr>
          <w:lang w:val="fr-CA"/>
        </w:rPr>
        <w:t>(2) Les faits ayant donné naissance à la réclamation sont découverts le jour où le réclamant a appris ou aurait dû normalement apprendre :</w:t>
      </w:r>
    </w:p>
    <w:p w:rsidR="00AE79CA" w:rsidRPr="00404CB5" w:rsidRDefault="00AE79CA" w:rsidP="00AE79CA">
      <w:pPr>
        <w:pStyle w:val="Citation-AltC"/>
        <w:spacing w:after="240"/>
        <w:ind w:left="1418" w:hanging="1418"/>
        <w:contextualSpacing w:val="0"/>
        <w:rPr>
          <w:lang w:val="fr-CA"/>
        </w:rPr>
      </w:pPr>
      <w:r w:rsidRPr="00404CB5">
        <w:rPr>
          <w:lang w:val="fr-CA"/>
        </w:rPr>
        <w:tab/>
        <w:t>a) que sont survenus les préjudices, les pertes ou les dommages;</w:t>
      </w:r>
    </w:p>
    <w:p w:rsidR="00AE79CA" w:rsidRPr="00404CB5" w:rsidRDefault="00AE79CA" w:rsidP="00AE79CA">
      <w:pPr>
        <w:pStyle w:val="Citation-AltC"/>
        <w:spacing w:after="240"/>
        <w:ind w:left="1418" w:hanging="1418"/>
        <w:contextualSpacing w:val="0"/>
        <w:rPr>
          <w:lang w:val="fr-CA"/>
        </w:rPr>
      </w:pPr>
      <w:r w:rsidRPr="00404CB5">
        <w:rPr>
          <w:lang w:val="fr-CA"/>
        </w:rPr>
        <w:tab/>
        <w:t>b) que les préjudices, les pertes ou les dommages ont été causés entièrement ou en partie par un acte ou une omission;</w:t>
      </w:r>
    </w:p>
    <w:p w:rsidR="00AE79CA" w:rsidRPr="00404CB5" w:rsidRDefault="00AE79CA" w:rsidP="00AE79CA">
      <w:pPr>
        <w:pStyle w:val="Citation-AltC"/>
        <w:ind w:left="1418" w:hanging="1418"/>
        <w:contextualSpacing w:val="0"/>
        <w:rPr>
          <w:lang w:val="fr-CA"/>
        </w:rPr>
      </w:pPr>
      <w:r w:rsidRPr="00404CB5">
        <w:rPr>
          <w:lang w:val="fr-CA"/>
        </w:rPr>
        <w:tab/>
        <w:t>c) que l’acte ou l’omission était le fait du défendeur.</w:t>
      </w:r>
    </w:p>
    <w:p w:rsidR="00AE79CA" w:rsidRPr="006A5B99" w:rsidRDefault="00AE79CA" w:rsidP="00AE79CA">
      <w:pPr>
        <w:pStyle w:val="Title1LevelTitre1Niveau-AltL"/>
        <w:rPr>
          <w:rFonts w:cs="Times New Roman"/>
          <w:noProof/>
          <w:lang w:val="fr-CA"/>
        </w:rPr>
      </w:pPr>
      <w:r w:rsidRPr="006A5B99">
        <w:rPr>
          <w:rFonts w:cs="Times New Roman"/>
          <w:noProof/>
          <w:lang w:val="fr-CA"/>
        </w:rPr>
        <w:t>Juridictions d’instances inférieures</w:t>
      </w:r>
    </w:p>
    <w:p w:rsidR="00AE79CA" w:rsidRPr="006A5B99" w:rsidRDefault="00AE79CA" w:rsidP="00AE79CA">
      <w:pPr>
        <w:pStyle w:val="Title2LevelTitre2Niveau"/>
        <w:rPr>
          <w:rFonts w:cs="Times New Roman"/>
          <w:noProof/>
          <w:lang w:val="fr-CA"/>
        </w:rPr>
      </w:pPr>
      <w:r w:rsidRPr="006A5B99">
        <w:rPr>
          <w:rFonts w:cs="Times New Roman"/>
          <w:noProof/>
          <w:lang w:val="fr-CA"/>
        </w:rPr>
        <w:t>Cour du Banc de la Reine du Nouveau</w:t>
      </w:r>
      <w:r>
        <w:rPr>
          <w:rFonts w:cs="Times New Roman"/>
          <w:noProof/>
          <w:lang w:val="fr-CA"/>
        </w:rPr>
        <w:noBreakHyphen/>
      </w:r>
      <w:r w:rsidRPr="006A5B99">
        <w:rPr>
          <w:rFonts w:cs="Times New Roman"/>
          <w:noProof/>
          <w:lang w:val="fr-CA"/>
        </w:rPr>
        <w:t>Brunswick, 2019 NBBR 36 (le juge Grant)</w:t>
      </w:r>
    </w:p>
    <w:p w:rsidR="00AE79CA" w:rsidRPr="006A5B99" w:rsidRDefault="00AE79CA" w:rsidP="00AE79CA">
      <w:pPr>
        <w:pStyle w:val="ParaNoNdepar-AltN"/>
        <w:rPr>
          <w:rFonts w:cs="Times New Roman"/>
          <w:noProof/>
          <w:lang w:val="fr-CA"/>
        </w:rPr>
      </w:pPr>
      <w:r w:rsidRPr="006A5B99">
        <w:rPr>
          <w:rFonts w:cs="Times New Roman"/>
          <w:noProof/>
          <w:lang w:val="fr-CA"/>
        </w:rPr>
        <w:t>La principale question que devait trancher le juge saisi des motions était celle de savoir à quel moment, le cas échéant, la province avait découvert les faits ayant donné naissance à sa réclamation contre Grant Thornton au sens de l’</w:t>
      </w:r>
      <w:r>
        <w:rPr>
          <w:rFonts w:cs="Times New Roman"/>
          <w:noProof/>
          <w:lang w:val="fr-CA"/>
        </w:rPr>
        <w:t>art. </w:t>
      </w:r>
      <w:r w:rsidRPr="006A5B99">
        <w:rPr>
          <w:rFonts w:cs="Times New Roman"/>
          <w:noProof/>
          <w:lang w:val="fr-CA"/>
        </w:rPr>
        <w:t xml:space="preserve">5 de la </w:t>
      </w:r>
      <w:r w:rsidRPr="006A5B99">
        <w:rPr>
          <w:rFonts w:cs="Times New Roman"/>
          <w:i/>
          <w:noProof/>
          <w:lang w:val="fr-CA"/>
        </w:rPr>
        <w:t>L</w:t>
      </w:r>
      <w:r>
        <w:rPr>
          <w:rFonts w:cs="Times New Roman"/>
          <w:i/>
          <w:noProof/>
          <w:lang w:val="fr-CA"/>
        </w:rPr>
        <w:t xml:space="preserve">P. </w:t>
      </w:r>
      <w:r w:rsidRPr="006A5B99">
        <w:rPr>
          <w:rFonts w:cs="Times New Roman"/>
          <w:noProof/>
          <w:lang w:val="fr-CA"/>
        </w:rPr>
        <w:t xml:space="preserve">La réponse dépendait, selon lui, de l’interprétation qu’il convient de donner au </w:t>
      </w:r>
      <w:r>
        <w:rPr>
          <w:rFonts w:cs="Times New Roman"/>
          <w:noProof/>
          <w:lang w:val="fr-CA"/>
        </w:rPr>
        <w:t>par. </w:t>
      </w:r>
      <w:r w:rsidRPr="006A5B99">
        <w:rPr>
          <w:rFonts w:cs="Times New Roman"/>
          <w:noProof/>
          <w:lang w:val="fr-CA"/>
        </w:rPr>
        <w:t xml:space="preserve">5(2). </w:t>
      </w:r>
    </w:p>
    <w:p w:rsidR="00AE79CA" w:rsidRPr="006A5B99" w:rsidRDefault="00AE79CA" w:rsidP="00AE79CA">
      <w:pPr>
        <w:pStyle w:val="ParaNoNdepar-AltN"/>
        <w:rPr>
          <w:rFonts w:cs="Times New Roman"/>
          <w:noProof/>
          <w:lang w:val="fr-CA"/>
        </w:rPr>
      </w:pPr>
      <w:r w:rsidRPr="006A5B99">
        <w:rPr>
          <w:rFonts w:cs="Times New Roman"/>
          <w:noProof/>
          <w:lang w:val="fr-CA"/>
        </w:rPr>
        <w:t>À son avis, il fallait</w:t>
      </w:r>
      <w:r>
        <w:rPr>
          <w:rFonts w:cs="Times New Roman"/>
          <w:noProof/>
          <w:lang w:val="fr-CA"/>
        </w:rPr>
        <w:t>, suivant le par. 5(2),</w:t>
      </w:r>
      <w:r w:rsidRPr="006A5B99">
        <w:rPr>
          <w:rFonts w:cs="Times New Roman"/>
          <w:noProof/>
          <w:lang w:val="fr-CA"/>
        </w:rPr>
        <w:t xml:space="preserve"> se demander si la province «</w:t>
      </w:r>
      <w:r>
        <w:rPr>
          <w:rFonts w:cs="Times New Roman"/>
          <w:noProof/>
          <w:lang w:val="fr-CA"/>
        </w:rPr>
        <w:t> </w:t>
      </w:r>
      <w:r w:rsidRPr="006A5B99">
        <w:rPr>
          <w:rFonts w:cs="Times New Roman"/>
          <w:noProof/>
          <w:lang w:val="fr-CA"/>
        </w:rPr>
        <w:t>avait appris ou aurait dû apprendre [. . .] qu’elle avait des moyens suffisants à première vue pour déduire l’existence d’une cause d’action éventuelle contre les défendeurs</w:t>
      </w:r>
      <w:r>
        <w:rPr>
          <w:rFonts w:cs="Times New Roman"/>
          <w:noProof/>
          <w:lang w:val="fr-CA"/>
        </w:rPr>
        <w:t> </w:t>
      </w:r>
      <w:r w:rsidRPr="006A5B99">
        <w:rPr>
          <w:rFonts w:cs="Times New Roman"/>
          <w:noProof/>
          <w:lang w:val="fr-CA"/>
        </w:rPr>
        <w:t>»</w:t>
      </w:r>
      <w:r w:rsidRPr="006A5B99">
        <w:rPr>
          <w:rFonts w:cs="Times New Roman"/>
          <w:noProof/>
          <w:shd w:val="clear" w:color="auto" w:fill="FFFFFF"/>
          <w:lang w:val="fr-CA"/>
        </w:rPr>
        <w:t xml:space="preserve"> (</w:t>
      </w:r>
      <w:r>
        <w:rPr>
          <w:rFonts w:cs="Times New Roman"/>
          <w:noProof/>
          <w:shd w:val="clear" w:color="auto" w:fill="FFFFFF"/>
          <w:lang w:val="fr-CA"/>
        </w:rPr>
        <w:t>par. </w:t>
      </w:r>
      <w:r w:rsidRPr="006A5B99">
        <w:rPr>
          <w:rFonts w:cs="Times New Roman"/>
          <w:noProof/>
          <w:shd w:val="clear" w:color="auto" w:fill="FFFFFF"/>
          <w:lang w:val="fr-CA"/>
        </w:rPr>
        <w:t xml:space="preserve">108 (CanLII)). </w:t>
      </w:r>
      <w:r w:rsidRPr="006A5B99">
        <w:rPr>
          <w:rFonts w:cs="Times New Roman"/>
          <w:noProof/>
          <w:lang w:val="fr-CA"/>
        </w:rPr>
        <w:t>Si la province connaissait ces faits plus de deux ans avant de présenter sa réclamation le 23</w:t>
      </w:r>
      <w:r>
        <w:rPr>
          <w:rFonts w:cs="Times New Roman"/>
          <w:noProof/>
          <w:lang w:val="fr-CA"/>
        </w:rPr>
        <w:t xml:space="preserve"> </w:t>
      </w:r>
      <w:r w:rsidRPr="006A5B99">
        <w:rPr>
          <w:rFonts w:cs="Times New Roman"/>
          <w:noProof/>
          <w:lang w:val="fr-CA"/>
        </w:rPr>
        <w:t>juin</w:t>
      </w:r>
      <w:r>
        <w:rPr>
          <w:rFonts w:cs="Times New Roman"/>
          <w:noProof/>
          <w:lang w:val="fr-CA"/>
        </w:rPr>
        <w:t xml:space="preserve"> </w:t>
      </w:r>
      <w:r w:rsidRPr="006A5B99">
        <w:rPr>
          <w:rFonts w:cs="Times New Roman"/>
          <w:noProof/>
          <w:lang w:val="fr-CA"/>
        </w:rPr>
        <w:t>2014, celle</w:t>
      </w:r>
      <w:r>
        <w:rPr>
          <w:rFonts w:cs="Times New Roman"/>
          <w:noProof/>
          <w:lang w:val="fr-CA"/>
        </w:rPr>
        <w:noBreakHyphen/>
      </w:r>
      <w:r w:rsidRPr="006A5B99">
        <w:rPr>
          <w:rFonts w:cs="Times New Roman"/>
          <w:noProof/>
          <w:lang w:val="fr-CA"/>
        </w:rPr>
        <w:t>ci était prescrite en application du délai de prescription de deux ans prévu à l’</w:t>
      </w:r>
      <w:r>
        <w:rPr>
          <w:rFonts w:cs="Times New Roman"/>
          <w:noProof/>
          <w:lang w:val="fr-CA"/>
        </w:rPr>
        <w:t>al. </w:t>
      </w:r>
      <w:r w:rsidRPr="006A5B99">
        <w:rPr>
          <w:rFonts w:cs="Times New Roman"/>
          <w:noProof/>
          <w:lang w:val="fr-CA"/>
        </w:rPr>
        <w:t xml:space="preserve">5(1)a). </w:t>
      </w:r>
    </w:p>
    <w:p w:rsidR="00AE79CA" w:rsidRPr="006A5B99" w:rsidRDefault="00AE79CA" w:rsidP="00AE79CA">
      <w:pPr>
        <w:pStyle w:val="ParaNoNdepar-AltN"/>
        <w:rPr>
          <w:rFonts w:cs="Times New Roman"/>
          <w:noProof/>
          <w:lang w:val="fr-CA"/>
        </w:rPr>
      </w:pPr>
      <w:r w:rsidRPr="006A5B99">
        <w:rPr>
          <w:rFonts w:cs="Times New Roman"/>
          <w:noProof/>
          <w:lang w:val="fr-CA"/>
        </w:rPr>
        <w:t xml:space="preserve">Selon le juge saisi des motions, </w:t>
      </w:r>
      <w:r>
        <w:rPr>
          <w:rFonts w:cs="Times New Roman"/>
          <w:noProof/>
          <w:lang w:val="fr-CA"/>
        </w:rPr>
        <w:t>le</w:t>
      </w:r>
      <w:r w:rsidRPr="006A5B99">
        <w:rPr>
          <w:rFonts w:cs="Times New Roman"/>
          <w:noProof/>
          <w:lang w:val="fr-CA"/>
        </w:rPr>
        <w:t xml:space="preserve"> 18</w:t>
      </w:r>
      <w:r>
        <w:rPr>
          <w:rFonts w:cs="Times New Roman"/>
          <w:noProof/>
          <w:lang w:val="fr-CA"/>
        </w:rPr>
        <w:t xml:space="preserve"> </w:t>
      </w:r>
      <w:r w:rsidRPr="006A5B99">
        <w:rPr>
          <w:rFonts w:cs="Times New Roman"/>
          <w:noProof/>
          <w:lang w:val="fr-CA"/>
        </w:rPr>
        <w:t xml:space="preserve">mars 2010, la province avait </w:t>
      </w:r>
      <w:r>
        <w:rPr>
          <w:rFonts w:cs="Times New Roman"/>
          <w:noProof/>
          <w:lang w:val="fr-CA"/>
        </w:rPr>
        <w:t xml:space="preserve">déjà </w:t>
      </w:r>
      <w:r w:rsidRPr="006A5B99">
        <w:rPr>
          <w:rFonts w:cs="Times New Roman"/>
          <w:noProof/>
          <w:lang w:val="fr-CA"/>
        </w:rPr>
        <w:t>appris tous ces faits. À ce moment</w:t>
      </w:r>
      <w:r>
        <w:rPr>
          <w:rFonts w:cs="Times New Roman"/>
          <w:noProof/>
          <w:lang w:val="fr-CA"/>
        </w:rPr>
        <w:noBreakHyphen/>
      </w:r>
      <w:r w:rsidRPr="006A5B99">
        <w:rPr>
          <w:rFonts w:cs="Times New Roman"/>
          <w:noProof/>
          <w:lang w:val="fr-CA"/>
        </w:rPr>
        <w:t>là, elle avait subi une perte en payant la som</w:t>
      </w:r>
      <w:r>
        <w:rPr>
          <w:rFonts w:cs="Times New Roman"/>
          <w:noProof/>
          <w:lang w:val="fr-CA"/>
        </w:rPr>
        <w:t>me de 50 </w:t>
      </w:r>
      <w:r w:rsidRPr="006A5B99">
        <w:rPr>
          <w:rFonts w:cs="Times New Roman"/>
          <w:noProof/>
          <w:lang w:val="fr-CA"/>
        </w:rPr>
        <w:t>millions de dollars à la Banque de Nouvelle</w:t>
      </w:r>
      <w:r>
        <w:rPr>
          <w:rFonts w:cs="Times New Roman"/>
          <w:noProof/>
          <w:lang w:val="fr-CA"/>
        </w:rPr>
        <w:noBreakHyphen/>
      </w:r>
      <w:r w:rsidRPr="006A5B99">
        <w:rPr>
          <w:rFonts w:cs="Times New Roman"/>
          <w:noProof/>
          <w:lang w:val="fr-CA"/>
        </w:rPr>
        <w:t xml:space="preserve">Écosse et elle pouvait </w:t>
      </w:r>
      <w:r>
        <w:rPr>
          <w:rFonts w:cs="Times New Roman"/>
          <w:noProof/>
          <w:lang w:val="fr-CA"/>
        </w:rPr>
        <w:t xml:space="preserve">normalement </w:t>
      </w:r>
      <w:r w:rsidRPr="006A5B99">
        <w:rPr>
          <w:rFonts w:cs="Times New Roman"/>
          <w:noProof/>
          <w:lang w:val="fr-CA"/>
        </w:rPr>
        <w:t xml:space="preserve">inférer que Grant Thornton avait, par un acte ou une omission, causé entièrement ou en partie </w:t>
      </w:r>
      <w:r>
        <w:rPr>
          <w:rFonts w:cs="Times New Roman"/>
          <w:noProof/>
          <w:lang w:val="fr-CA"/>
        </w:rPr>
        <w:t>la perte</w:t>
      </w:r>
      <w:r w:rsidRPr="006A5B99">
        <w:rPr>
          <w:rFonts w:cs="Times New Roman"/>
          <w:noProof/>
          <w:lang w:val="fr-CA"/>
        </w:rPr>
        <w:t xml:space="preserve"> survenu</w:t>
      </w:r>
      <w:r>
        <w:rPr>
          <w:rFonts w:cs="Times New Roman"/>
          <w:noProof/>
          <w:lang w:val="fr-CA"/>
        </w:rPr>
        <w:t>e</w:t>
      </w:r>
      <w:r w:rsidRPr="006A5B99">
        <w:rPr>
          <w:rFonts w:cs="Times New Roman"/>
          <w:noProof/>
          <w:lang w:val="fr-CA"/>
        </w:rPr>
        <w:t>. Selon le juge saisi des motions, ces faits donnaient à la province les moyens suffisants à première vue pour déduire l’existence d’une réclamation éventuelle contre Grant Thornton. À titre subsidiaire, il a conclu que la province avait la connaissance requise après avoir reçu la version provisoire du rapport Richter le 4</w:t>
      </w:r>
      <w:r>
        <w:rPr>
          <w:rFonts w:cs="Times New Roman"/>
          <w:noProof/>
          <w:lang w:val="fr-CA"/>
        </w:rPr>
        <w:t xml:space="preserve"> </w:t>
      </w:r>
      <w:r w:rsidRPr="006A5B99">
        <w:rPr>
          <w:rFonts w:cs="Times New Roman"/>
          <w:noProof/>
          <w:lang w:val="fr-CA"/>
        </w:rPr>
        <w:t xml:space="preserve">février 2011. Il a estimé que, dans un cas comme dans l’autre, la province n’avait pas présenté sa réclamation dans le </w:t>
      </w:r>
      <w:r w:rsidRPr="006A5B99">
        <w:rPr>
          <w:rFonts w:cs="Times New Roman"/>
          <w:noProof/>
          <w:shd w:val="clear" w:color="auto" w:fill="FFFFFF"/>
          <w:lang w:val="fr-CA"/>
        </w:rPr>
        <w:t>délai de prescription de deux ans prévu à l’</w:t>
      </w:r>
      <w:r>
        <w:rPr>
          <w:rFonts w:cs="Times New Roman"/>
          <w:noProof/>
          <w:shd w:val="clear" w:color="auto" w:fill="FFFFFF"/>
          <w:lang w:val="fr-CA"/>
        </w:rPr>
        <w:t>al. </w:t>
      </w:r>
      <w:r w:rsidRPr="006A5B99">
        <w:rPr>
          <w:rFonts w:cs="Times New Roman"/>
          <w:noProof/>
          <w:shd w:val="clear" w:color="auto" w:fill="FFFFFF"/>
          <w:lang w:val="fr-CA"/>
        </w:rPr>
        <w:t>5(1)a). Sa réclamation était donc prescrite</w:t>
      </w:r>
      <w:r w:rsidRPr="006A5B99">
        <w:rPr>
          <w:rFonts w:cs="Times New Roman"/>
          <w:noProof/>
          <w:lang w:val="fr-CA"/>
        </w:rPr>
        <w:t xml:space="preserve">. </w:t>
      </w:r>
    </w:p>
    <w:p w:rsidR="00AE79CA" w:rsidRPr="006A5B99" w:rsidRDefault="00AE79CA" w:rsidP="00AE79CA">
      <w:pPr>
        <w:pStyle w:val="ParaNoNdepar-AltN"/>
        <w:rPr>
          <w:rFonts w:cs="Times New Roman"/>
          <w:noProof/>
          <w:lang w:val="fr-CA"/>
        </w:rPr>
      </w:pPr>
      <w:r w:rsidRPr="006A5B99">
        <w:rPr>
          <w:rFonts w:cs="Times New Roman"/>
          <w:noProof/>
          <w:lang w:val="fr-CA"/>
        </w:rPr>
        <w:t xml:space="preserve">En conséquence, le juge saisi des motions a rendu un jugement sommaire </w:t>
      </w:r>
      <w:r>
        <w:rPr>
          <w:rFonts w:cs="Times New Roman"/>
          <w:noProof/>
          <w:lang w:val="fr-CA"/>
        </w:rPr>
        <w:t>en faveur de</w:t>
      </w:r>
      <w:r w:rsidRPr="006A5B99">
        <w:rPr>
          <w:rFonts w:cs="Times New Roman"/>
          <w:noProof/>
          <w:lang w:val="fr-CA"/>
        </w:rPr>
        <w:t xml:space="preserve"> Grant Thornton et rejeté la réclamation de la province.</w:t>
      </w:r>
    </w:p>
    <w:p w:rsidR="00AE79CA" w:rsidRPr="006A5B99" w:rsidRDefault="00AE79CA" w:rsidP="00AE79CA">
      <w:pPr>
        <w:pStyle w:val="Title2LevelTitre2Niveau"/>
        <w:rPr>
          <w:rFonts w:cs="Times New Roman"/>
          <w:noProof/>
          <w:lang w:val="fr-CA"/>
        </w:rPr>
      </w:pPr>
      <w:r w:rsidRPr="006A5B99">
        <w:rPr>
          <w:rFonts w:cs="Times New Roman"/>
          <w:noProof/>
          <w:lang w:val="fr-CA"/>
        </w:rPr>
        <w:t>Cour d’appel du Nouveau</w:t>
      </w:r>
      <w:r>
        <w:rPr>
          <w:rFonts w:cs="Times New Roman"/>
          <w:noProof/>
          <w:lang w:val="fr-CA"/>
        </w:rPr>
        <w:noBreakHyphen/>
      </w:r>
      <w:r w:rsidRPr="006A5B99">
        <w:rPr>
          <w:rFonts w:cs="Times New Roman"/>
          <w:noProof/>
          <w:lang w:val="fr-CA"/>
        </w:rPr>
        <w:t>Brunswick, 2020 NBCA 18 (les juges Drapeau, Quigg et Green)</w:t>
      </w:r>
    </w:p>
    <w:p w:rsidR="00AE79CA" w:rsidRPr="006A5B99" w:rsidRDefault="00AE79CA" w:rsidP="00AE79CA">
      <w:pPr>
        <w:pStyle w:val="ParaNoNdepar-AltN"/>
        <w:rPr>
          <w:rFonts w:cs="Times New Roman"/>
          <w:noProof/>
          <w:lang w:val="fr-CA"/>
        </w:rPr>
      </w:pPr>
      <w:r w:rsidRPr="006A5B99">
        <w:rPr>
          <w:rFonts w:cs="Times New Roman"/>
          <w:noProof/>
          <w:lang w:val="fr-CA"/>
        </w:rPr>
        <w:t>La Cour d’appel a accueilli l’appel à l’unanimité. Elle a estimé que le juge saisi des motions avait «</w:t>
      </w:r>
      <w:r>
        <w:rPr>
          <w:rFonts w:cs="Times New Roman"/>
          <w:noProof/>
          <w:lang w:val="fr-CA"/>
        </w:rPr>
        <w:t> </w:t>
      </w:r>
      <w:r w:rsidRPr="006A5B99">
        <w:rPr>
          <w:rFonts w:cs="Times New Roman"/>
          <w:noProof/>
          <w:lang w:val="fr-CA"/>
        </w:rPr>
        <w:t>appliqué le mauvais critère juridique pour l’application de l’</w:t>
      </w:r>
      <w:r>
        <w:rPr>
          <w:rFonts w:cs="Times New Roman"/>
          <w:noProof/>
          <w:lang w:val="fr-CA"/>
        </w:rPr>
        <w:t>al. </w:t>
      </w:r>
      <w:r w:rsidRPr="006A5B99">
        <w:rPr>
          <w:rFonts w:cs="Times New Roman"/>
          <w:noProof/>
          <w:lang w:val="fr-CA"/>
        </w:rPr>
        <w:t>5(1)a)</w:t>
      </w:r>
      <w:r>
        <w:rPr>
          <w:rFonts w:cs="Times New Roman"/>
          <w:noProof/>
          <w:lang w:val="fr-CA"/>
        </w:rPr>
        <w:t> </w:t>
      </w:r>
      <w:r w:rsidRPr="006A5B99">
        <w:rPr>
          <w:rFonts w:cs="Times New Roman"/>
          <w:noProof/>
          <w:lang w:val="fr-CA"/>
        </w:rPr>
        <w:t>» et qu’il avait «</w:t>
      </w:r>
      <w:r>
        <w:rPr>
          <w:rFonts w:cs="Times New Roman"/>
          <w:noProof/>
          <w:lang w:val="fr-CA"/>
        </w:rPr>
        <w:t> </w:t>
      </w:r>
      <w:r w:rsidRPr="006A5B99">
        <w:rPr>
          <w:rFonts w:cs="Times New Roman"/>
          <w:noProof/>
          <w:lang w:val="fr-CA"/>
        </w:rPr>
        <w:t>commis une erreur manifeste et dominante en concluant que la province avait découvert qu’elle avait une réclamation plus de deux ans avant l’introduction de l’instance</w:t>
      </w:r>
      <w:r>
        <w:rPr>
          <w:rFonts w:cs="Times New Roman"/>
          <w:noProof/>
          <w:lang w:val="fr-CA"/>
        </w:rPr>
        <w:t> </w:t>
      </w:r>
      <w:r w:rsidRPr="006A5B99">
        <w:rPr>
          <w:rFonts w:cs="Times New Roman"/>
          <w:noProof/>
          <w:lang w:val="fr-CA"/>
        </w:rPr>
        <w:t>»</w:t>
      </w:r>
      <w:r w:rsidRPr="006A5B99">
        <w:rPr>
          <w:rFonts w:cs="Times New Roman"/>
          <w:noProof/>
          <w:shd w:val="clear" w:color="auto" w:fill="FFFFFF"/>
          <w:lang w:val="fr-CA"/>
        </w:rPr>
        <w:t xml:space="preserve"> (</w:t>
      </w:r>
      <w:r>
        <w:rPr>
          <w:rFonts w:cs="Times New Roman"/>
          <w:noProof/>
          <w:shd w:val="clear" w:color="auto" w:fill="FFFFFF"/>
          <w:lang w:val="fr-CA"/>
        </w:rPr>
        <w:t>par. </w:t>
      </w:r>
      <w:r w:rsidRPr="006A5B99">
        <w:rPr>
          <w:rFonts w:cs="Times New Roman"/>
          <w:noProof/>
          <w:shd w:val="clear" w:color="auto" w:fill="FFFFFF"/>
          <w:lang w:val="fr-CA"/>
        </w:rPr>
        <w:t>81 et 127</w:t>
      </w:r>
      <w:r>
        <w:rPr>
          <w:rFonts w:cs="Times New Roman"/>
          <w:noProof/>
          <w:shd w:val="clear" w:color="auto" w:fill="FFFFFF"/>
          <w:lang w:val="fr-CA"/>
        </w:rPr>
        <w:t xml:space="preserve"> (CanLII)</w:t>
      </w:r>
      <w:r w:rsidRPr="006A5B99">
        <w:rPr>
          <w:rFonts w:cs="Times New Roman"/>
          <w:noProof/>
          <w:shd w:val="clear" w:color="auto" w:fill="FFFFFF"/>
          <w:lang w:val="fr-CA"/>
        </w:rPr>
        <w:t>).</w:t>
      </w:r>
    </w:p>
    <w:p w:rsidR="00AE79CA" w:rsidRPr="006A5B99" w:rsidRDefault="00AE79CA" w:rsidP="00AE79CA">
      <w:pPr>
        <w:pStyle w:val="ParaNoNdepar-AltN"/>
        <w:rPr>
          <w:rFonts w:cs="Times New Roman"/>
          <w:noProof/>
          <w:lang w:val="fr-CA"/>
        </w:rPr>
      </w:pPr>
      <w:r w:rsidRPr="006A5B99">
        <w:rPr>
          <w:rFonts w:cs="Times New Roman"/>
          <w:noProof/>
          <w:lang w:val="fr-CA"/>
        </w:rPr>
        <w:t xml:space="preserve">En ce qui concerne la norme juridique, la cour a rejeté celle retenue par le juge saisi des motions </w:t>
      </w:r>
      <w:r>
        <w:rPr>
          <w:rFonts w:cs="Times New Roman"/>
          <w:noProof/>
          <w:lang w:val="fr-CA"/>
        </w:rPr>
        <w:t>—</w:t>
      </w:r>
      <w:r w:rsidRPr="006A5B99">
        <w:rPr>
          <w:rFonts w:cs="Times New Roman"/>
          <w:noProof/>
          <w:lang w:val="fr-CA"/>
        </w:rPr>
        <w:t xml:space="preserve"> en l’occurrence celle des «</w:t>
      </w:r>
      <w:r>
        <w:rPr>
          <w:rFonts w:cs="Times New Roman"/>
          <w:noProof/>
          <w:lang w:val="fr-CA"/>
        </w:rPr>
        <w:t> </w:t>
      </w:r>
      <w:r w:rsidRPr="006A5B99">
        <w:rPr>
          <w:rFonts w:cs="Times New Roman"/>
          <w:noProof/>
          <w:lang w:val="fr-CA"/>
        </w:rPr>
        <w:t>moyens suffisants à première vue pour déduire l’existence d’une cause d’action éventuelle</w:t>
      </w:r>
      <w:r>
        <w:rPr>
          <w:rFonts w:cs="Times New Roman"/>
          <w:noProof/>
          <w:lang w:val="fr-CA"/>
        </w:rPr>
        <w:t> </w:t>
      </w:r>
      <w:r w:rsidRPr="006A5B99">
        <w:rPr>
          <w:rFonts w:cs="Times New Roman"/>
          <w:noProof/>
          <w:lang w:val="fr-CA"/>
        </w:rPr>
        <w:t xml:space="preserve">» </w:t>
      </w:r>
      <w:r>
        <w:rPr>
          <w:rFonts w:cs="Times New Roman"/>
          <w:noProof/>
          <w:lang w:val="fr-CA"/>
        </w:rPr>
        <w:t>—</w:t>
      </w:r>
      <w:r w:rsidRPr="006A5B99">
        <w:rPr>
          <w:rFonts w:cs="Times New Roman"/>
          <w:noProof/>
          <w:lang w:val="fr-CA"/>
        </w:rPr>
        <w:t xml:space="preserve"> au motif qu’elle n’était pas suffisamment rigoureuse (</w:t>
      </w:r>
      <w:r>
        <w:rPr>
          <w:rFonts w:cs="Times New Roman"/>
          <w:noProof/>
          <w:lang w:val="fr-CA"/>
        </w:rPr>
        <w:t>par. </w:t>
      </w:r>
      <w:r w:rsidRPr="006A5B99">
        <w:rPr>
          <w:rFonts w:cs="Times New Roman"/>
          <w:noProof/>
          <w:lang w:val="fr-CA"/>
        </w:rPr>
        <w:t>6</w:t>
      </w:r>
      <w:r>
        <w:rPr>
          <w:rFonts w:cs="Times New Roman"/>
          <w:noProof/>
          <w:lang w:val="fr-CA"/>
        </w:rPr>
        <w:noBreakHyphen/>
      </w:r>
      <w:r w:rsidRPr="006A5B99">
        <w:rPr>
          <w:rFonts w:cs="Times New Roman"/>
          <w:noProof/>
          <w:lang w:val="fr-CA"/>
        </w:rPr>
        <w:t xml:space="preserve">7 (soulignement omis), citant les motifs de première instance, </w:t>
      </w:r>
      <w:r>
        <w:rPr>
          <w:rFonts w:cs="Times New Roman"/>
          <w:noProof/>
          <w:lang w:val="fr-CA"/>
        </w:rPr>
        <w:t>par. </w:t>
      </w:r>
      <w:r w:rsidRPr="006A5B99">
        <w:rPr>
          <w:rFonts w:cs="Times New Roman"/>
          <w:noProof/>
          <w:lang w:val="fr-CA"/>
        </w:rPr>
        <w:t>108). La cour a plutôt proposé ce qu’elle estimait être une norme «</w:t>
      </w:r>
      <w:r>
        <w:rPr>
          <w:rFonts w:cs="Times New Roman"/>
          <w:noProof/>
          <w:lang w:val="fr-CA"/>
        </w:rPr>
        <w:t> </w:t>
      </w:r>
      <w:r w:rsidRPr="006A5B99">
        <w:rPr>
          <w:rFonts w:cs="Times New Roman"/>
          <w:noProof/>
          <w:lang w:val="fr-CA"/>
        </w:rPr>
        <w:t>plus exigeant[e]</w:t>
      </w:r>
      <w:r>
        <w:rPr>
          <w:rFonts w:cs="Times New Roman"/>
          <w:noProof/>
          <w:lang w:val="fr-CA"/>
        </w:rPr>
        <w:t> </w:t>
      </w:r>
      <w:r w:rsidRPr="006A5B99">
        <w:rPr>
          <w:rFonts w:cs="Times New Roman"/>
          <w:noProof/>
          <w:lang w:val="fr-CA"/>
        </w:rPr>
        <w:t xml:space="preserve">», en expliquant que </w:t>
      </w:r>
      <w:r w:rsidRPr="006A5B99">
        <w:rPr>
          <w:rFonts w:cs="Times New Roman"/>
          <w:noProof/>
          <w:shd w:val="clear" w:color="auto" w:fill="FFFFFF"/>
          <w:lang w:val="fr-CA"/>
        </w:rPr>
        <w:t>«</w:t>
      </w:r>
      <w:r>
        <w:rPr>
          <w:rFonts w:cs="Times New Roman"/>
          <w:noProof/>
          <w:shd w:val="clear" w:color="auto" w:fill="FFFFFF"/>
          <w:lang w:val="fr-CA"/>
        </w:rPr>
        <w:t> </w:t>
      </w:r>
      <w:r w:rsidRPr="006A5B99">
        <w:rPr>
          <w:rFonts w:cs="Times New Roman"/>
          <w:noProof/>
          <w:shd w:val="clear" w:color="auto" w:fill="FFFFFF"/>
          <w:lang w:val="fr-CA"/>
        </w:rPr>
        <w:t>l</w:t>
      </w:r>
      <w:r w:rsidRPr="006A5B99">
        <w:rPr>
          <w:rFonts w:cs="Times New Roman"/>
          <w:noProof/>
          <w:lang w:val="fr-CA"/>
        </w:rPr>
        <w:t>e délai de prescription de deux ans commence à courir le lendemain de la date à laquelle le demandeur apprend ou aurait normalement dû apprendre les faits qui lui confèrent un droit exécutoire à un recours</w:t>
      </w:r>
      <w:r>
        <w:rPr>
          <w:rFonts w:cs="Times New Roman"/>
          <w:noProof/>
          <w:lang w:val="fr-CA"/>
        </w:rPr>
        <w:t> </w:t>
      </w:r>
      <w:r w:rsidRPr="006A5B99">
        <w:rPr>
          <w:rFonts w:cs="Times New Roman"/>
          <w:noProof/>
          <w:lang w:val="fr-CA"/>
        </w:rPr>
        <w:t>»</w:t>
      </w:r>
      <w:r w:rsidRPr="006A5B99">
        <w:rPr>
          <w:rFonts w:cs="Times New Roman"/>
          <w:noProof/>
          <w:shd w:val="clear" w:color="auto" w:fill="FFFFFF"/>
          <w:lang w:val="fr-CA"/>
        </w:rPr>
        <w:t xml:space="preserve"> (</w:t>
      </w:r>
      <w:r>
        <w:rPr>
          <w:rFonts w:cs="Times New Roman"/>
          <w:noProof/>
          <w:shd w:val="clear" w:color="auto" w:fill="FFFFFF"/>
          <w:lang w:val="fr-CA"/>
        </w:rPr>
        <w:t>par. </w:t>
      </w:r>
      <w:r w:rsidRPr="006A5B99">
        <w:rPr>
          <w:rFonts w:cs="Times New Roman"/>
          <w:noProof/>
          <w:shd w:val="clear" w:color="auto" w:fill="FFFFFF"/>
          <w:lang w:val="fr-CA"/>
        </w:rPr>
        <w:t>7). La cour a expliqué que, dans les actions pour négligence, «</w:t>
      </w:r>
      <w:r>
        <w:rPr>
          <w:rFonts w:cs="Times New Roman"/>
          <w:noProof/>
          <w:shd w:val="clear" w:color="auto" w:fill="FFFFFF"/>
          <w:lang w:val="fr-CA"/>
        </w:rPr>
        <w:t> </w:t>
      </w:r>
      <w:r w:rsidRPr="006A5B99">
        <w:rPr>
          <w:rFonts w:cs="Times New Roman"/>
          <w:noProof/>
          <w:lang w:val="fr-CA"/>
        </w:rPr>
        <w:t>ce droit n’existe que si le défendeur avait un devoir de diligence pertinent et que son acte ou son omission qui est à l’origine de la perte ne respectait pas la norme de diligence applicable</w:t>
      </w:r>
      <w:r>
        <w:rPr>
          <w:rFonts w:cs="Times New Roman"/>
          <w:noProof/>
          <w:shd w:val="clear" w:color="auto" w:fill="FFFFFF"/>
          <w:lang w:val="fr-CA"/>
        </w:rPr>
        <w:t> </w:t>
      </w:r>
      <w:r w:rsidRPr="006A5B99">
        <w:rPr>
          <w:rFonts w:cs="Times New Roman"/>
          <w:noProof/>
          <w:shd w:val="clear" w:color="auto" w:fill="FFFFFF"/>
          <w:lang w:val="fr-CA"/>
        </w:rPr>
        <w:t>» (</w:t>
      </w:r>
      <w:r>
        <w:rPr>
          <w:rFonts w:cs="Times New Roman"/>
          <w:noProof/>
          <w:shd w:val="clear" w:color="auto" w:fill="FFFFFF"/>
          <w:lang w:val="fr-CA"/>
        </w:rPr>
        <w:t>par. </w:t>
      </w:r>
      <w:r w:rsidRPr="006A5B99">
        <w:rPr>
          <w:rFonts w:cs="Times New Roman"/>
          <w:noProof/>
          <w:shd w:val="clear" w:color="auto" w:fill="FFFFFF"/>
          <w:lang w:val="fr-CA"/>
        </w:rPr>
        <w:t xml:space="preserve">7). </w:t>
      </w:r>
    </w:p>
    <w:p w:rsidR="00AE79CA" w:rsidRPr="006A5B99" w:rsidRDefault="00AE79CA" w:rsidP="00AE79CA">
      <w:pPr>
        <w:pStyle w:val="ParaNoNdepar-AltN"/>
        <w:rPr>
          <w:rFonts w:cs="Times New Roman"/>
          <w:noProof/>
          <w:lang w:val="fr-CA"/>
        </w:rPr>
      </w:pPr>
      <w:r w:rsidRPr="006A5B99">
        <w:rPr>
          <w:rFonts w:cs="Times New Roman"/>
          <w:noProof/>
          <w:lang w:val="fr-CA"/>
        </w:rPr>
        <w:t>Appliquant cette norme, la cour a conclu que le délai de prescription de deux ans prévu à l’</w:t>
      </w:r>
      <w:r>
        <w:rPr>
          <w:rFonts w:cs="Times New Roman"/>
          <w:noProof/>
          <w:lang w:val="fr-CA"/>
        </w:rPr>
        <w:t>al. </w:t>
      </w:r>
      <w:r w:rsidRPr="006A5B99">
        <w:rPr>
          <w:rFonts w:cs="Times New Roman"/>
          <w:noProof/>
          <w:lang w:val="fr-CA"/>
        </w:rPr>
        <w:t>5(1)a) n’avait pas commencé à courir, parce que la province n’avait pas encore découvert les faits ayant donné naissance à sa réclamation. Plus précisément, la province ne pouvait savoir si la vérification des états financiers de l’exercice</w:t>
      </w:r>
      <w:r>
        <w:rPr>
          <w:rFonts w:cs="Times New Roman"/>
          <w:noProof/>
          <w:lang w:val="fr-CA"/>
        </w:rPr>
        <w:t xml:space="preserve"> </w:t>
      </w:r>
      <w:r w:rsidRPr="006A5B99">
        <w:rPr>
          <w:rFonts w:cs="Times New Roman"/>
          <w:noProof/>
          <w:lang w:val="fr-CA"/>
        </w:rPr>
        <w:t xml:space="preserve">2009 d’Atcon effectuée par Grant Thornton ne satisfaisait pas à la norme de diligence applicable parce que les normes de vérification généralement reconnues n’avaient pas été respectées. Selon la cour, cet aspect essentiel de l’action pour négligence de la province ne pouvait être connu que si Grant Thornton lui soumettait pour examen ses dossiers afférents à la vérification </w:t>
      </w:r>
      <w:r>
        <w:rPr>
          <w:rFonts w:cs="Times New Roman"/>
          <w:noProof/>
          <w:lang w:val="fr-CA"/>
        </w:rPr>
        <w:t>—</w:t>
      </w:r>
      <w:r w:rsidRPr="006A5B99">
        <w:rPr>
          <w:rFonts w:cs="Times New Roman"/>
          <w:noProof/>
          <w:lang w:val="fr-CA"/>
        </w:rPr>
        <w:t xml:space="preserve"> ce qu’il a toujours refusé de faire. Sans ces dossiers, «</w:t>
      </w:r>
      <w:r>
        <w:rPr>
          <w:rFonts w:cs="Times New Roman"/>
          <w:noProof/>
          <w:lang w:val="fr-CA"/>
        </w:rPr>
        <w:t> </w:t>
      </w:r>
      <w:r w:rsidRPr="006A5B99">
        <w:rPr>
          <w:rFonts w:cs="Times New Roman"/>
          <w:noProof/>
          <w:lang w:val="fr-CA"/>
        </w:rPr>
        <w:t>la Province peut avoir des soupçons et soulever des allégations, mais il lui est impossible de savoir, directement ou par déduction, que la vérification de l’exerci</w:t>
      </w:r>
      <w:r>
        <w:rPr>
          <w:rFonts w:cs="Times New Roman"/>
          <w:noProof/>
          <w:lang w:val="fr-CA"/>
        </w:rPr>
        <w:t xml:space="preserve">ce </w:t>
      </w:r>
      <w:r w:rsidRPr="006A5B99">
        <w:rPr>
          <w:rFonts w:cs="Times New Roman"/>
          <w:noProof/>
          <w:lang w:val="fr-CA"/>
        </w:rPr>
        <w:t>2009 n’était pas conforme aux normes de vérification généralement reconnues</w:t>
      </w:r>
      <w:r>
        <w:rPr>
          <w:rFonts w:cs="Times New Roman"/>
          <w:noProof/>
          <w:lang w:val="fr-CA"/>
        </w:rPr>
        <w:t> </w:t>
      </w:r>
      <w:r w:rsidRPr="006A5B99">
        <w:rPr>
          <w:rFonts w:cs="Times New Roman"/>
          <w:noProof/>
          <w:lang w:val="fr-CA"/>
        </w:rPr>
        <w:t>» (</w:t>
      </w:r>
      <w:r>
        <w:rPr>
          <w:rFonts w:cs="Times New Roman"/>
          <w:noProof/>
          <w:lang w:val="fr-CA"/>
        </w:rPr>
        <w:t>par. </w:t>
      </w:r>
      <w:r w:rsidRPr="006A5B99">
        <w:rPr>
          <w:rFonts w:cs="Times New Roman"/>
          <w:noProof/>
          <w:lang w:val="fr-CA"/>
        </w:rPr>
        <w:t>8). La décision du juge saisi des motions de ne pas tenir compte de l’absence d’éléments de preuve sur cette question constituait une «</w:t>
      </w:r>
      <w:r>
        <w:rPr>
          <w:rFonts w:cs="Times New Roman"/>
          <w:noProof/>
          <w:lang w:val="fr-CA"/>
        </w:rPr>
        <w:t> </w:t>
      </w:r>
      <w:r w:rsidRPr="006A5B99">
        <w:rPr>
          <w:rFonts w:cs="Times New Roman"/>
          <w:noProof/>
          <w:lang w:val="fr-CA"/>
        </w:rPr>
        <w:t>erreur manifeste et dominante dans l’évaluation du dossier de la preuve</w:t>
      </w:r>
      <w:r>
        <w:rPr>
          <w:rFonts w:cs="Times New Roman"/>
          <w:noProof/>
          <w:lang w:val="fr-CA"/>
        </w:rPr>
        <w:t> </w:t>
      </w:r>
      <w:r w:rsidRPr="006A5B99">
        <w:rPr>
          <w:rFonts w:cs="Times New Roman"/>
          <w:noProof/>
          <w:lang w:val="fr-CA"/>
        </w:rPr>
        <w:t>» (</w:t>
      </w:r>
      <w:r w:rsidRPr="006A5B99">
        <w:rPr>
          <w:rFonts w:cs="Times New Roman"/>
          <w:i/>
          <w:noProof/>
          <w:lang w:val="fr-CA"/>
        </w:rPr>
        <w:t>ibid.</w:t>
      </w:r>
      <w:r w:rsidRPr="006A5B99">
        <w:rPr>
          <w:rFonts w:cs="Times New Roman"/>
          <w:noProof/>
          <w:lang w:val="fr-CA"/>
        </w:rPr>
        <w:t>), d’où sa conclusion erronée que la province avait découvert qu’elle avait une réclamation soit le 18</w:t>
      </w:r>
      <w:r>
        <w:rPr>
          <w:rFonts w:cs="Times New Roman"/>
          <w:noProof/>
          <w:lang w:val="fr-CA"/>
        </w:rPr>
        <w:t xml:space="preserve"> </w:t>
      </w:r>
      <w:r w:rsidRPr="006A5B99">
        <w:rPr>
          <w:rFonts w:cs="Times New Roman"/>
          <w:noProof/>
          <w:lang w:val="fr-CA"/>
        </w:rPr>
        <w:t>mars</w:t>
      </w:r>
      <w:r>
        <w:rPr>
          <w:rFonts w:cs="Times New Roman"/>
          <w:noProof/>
          <w:lang w:val="fr-CA"/>
        </w:rPr>
        <w:t xml:space="preserve"> 2010, soit le 4 février </w:t>
      </w:r>
      <w:r w:rsidRPr="006A5B99">
        <w:rPr>
          <w:rFonts w:cs="Times New Roman"/>
          <w:noProof/>
          <w:lang w:val="fr-CA"/>
        </w:rPr>
        <w:t xml:space="preserve">2011. </w:t>
      </w:r>
    </w:p>
    <w:p w:rsidR="00AE79CA" w:rsidRPr="006A5B99" w:rsidRDefault="00AE79CA" w:rsidP="00AE79CA">
      <w:pPr>
        <w:pStyle w:val="ParaNoNdepar-AltN"/>
        <w:rPr>
          <w:rFonts w:cs="Times New Roman"/>
          <w:noProof/>
          <w:lang w:val="fr-CA"/>
        </w:rPr>
      </w:pPr>
      <w:r w:rsidRPr="006A5B99">
        <w:rPr>
          <w:rFonts w:cs="Times New Roman"/>
          <w:noProof/>
          <w:lang w:val="fr-CA"/>
        </w:rPr>
        <w:t xml:space="preserve">Pour ces motifs, la cour a accueilli l’appel et annulé le jugement sommaire. </w:t>
      </w:r>
    </w:p>
    <w:p w:rsidR="00AE79CA" w:rsidRPr="006A5B99" w:rsidRDefault="00AE79CA" w:rsidP="00AE79CA">
      <w:pPr>
        <w:pStyle w:val="Title1LevelTitre1Niveau-AltL"/>
        <w:rPr>
          <w:rFonts w:cs="Times New Roman"/>
          <w:noProof/>
          <w:lang w:val="fr-CA"/>
        </w:rPr>
      </w:pPr>
      <w:r w:rsidRPr="006A5B99">
        <w:rPr>
          <w:rFonts w:cs="Times New Roman"/>
          <w:noProof/>
          <w:lang w:val="fr-CA"/>
        </w:rPr>
        <w:t>Questions en litige</w:t>
      </w:r>
    </w:p>
    <w:p w:rsidR="00AE79CA" w:rsidRPr="006A5B99" w:rsidRDefault="00AE79CA" w:rsidP="00AE79CA">
      <w:pPr>
        <w:pStyle w:val="ParaNoNdepar-AltN"/>
        <w:rPr>
          <w:rFonts w:cs="Times New Roman"/>
          <w:noProof/>
          <w:lang w:val="fr-CA"/>
        </w:rPr>
      </w:pPr>
      <w:r w:rsidRPr="006A5B99">
        <w:rPr>
          <w:rFonts w:cs="Times New Roman"/>
          <w:noProof/>
          <w:lang w:val="fr-CA"/>
        </w:rPr>
        <w:t xml:space="preserve">Je formulerais comme suit les principales questions en litige dans la présente </w:t>
      </w:r>
      <w:r>
        <w:rPr>
          <w:rFonts w:cs="Times New Roman"/>
          <w:noProof/>
          <w:lang w:val="fr-CA"/>
        </w:rPr>
        <w:t>affaire :</w:t>
      </w:r>
      <w:r w:rsidRPr="006A5B99">
        <w:rPr>
          <w:rFonts w:cs="Times New Roman"/>
          <w:noProof/>
          <w:lang w:val="fr-CA"/>
        </w:rPr>
        <w:t xml:space="preserve"> </w:t>
      </w:r>
    </w:p>
    <w:p w:rsidR="00AE79CA" w:rsidRPr="003114C9" w:rsidRDefault="00AE79CA" w:rsidP="00AE79CA">
      <w:pPr>
        <w:pStyle w:val="Citation-AltC"/>
        <w:numPr>
          <w:ilvl w:val="1"/>
          <w:numId w:val="18"/>
        </w:numPr>
        <w:spacing w:after="480" w:line="480" w:lineRule="auto"/>
        <w:ind w:left="1434" w:hanging="357"/>
        <w:contextualSpacing w:val="0"/>
        <w:rPr>
          <w:noProof/>
          <w:lang w:val="fr-CA"/>
        </w:rPr>
      </w:pPr>
      <w:r w:rsidRPr="003114C9">
        <w:rPr>
          <w:noProof/>
          <w:lang w:val="fr-CA"/>
        </w:rPr>
        <w:t>Quelle norme doit</w:t>
      </w:r>
      <w:r w:rsidRPr="003114C9">
        <w:rPr>
          <w:noProof/>
          <w:lang w:val="fr-CA"/>
        </w:rPr>
        <w:noBreakHyphen/>
        <w:t xml:space="preserve">on appliquer pour déterminer si le </w:t>
      </w:r>
      <w:r>
        <w:rPr>
          <w:noProof/>
          <w:lang w:val="fr-CA"/>
        </w:rPr>
        <w:t>demandeur</w:t>
      </w:r>
      <w:r w:rsidRPr="003114C9">
        <w:rPr>
          <w:noProof/>
          <w:lang w:val="fr-CA"/>
        </w:rPr>
        <w:t xml:space="preserve"> a le degré de connaissance requis pour découvrir les faits ayant donné naissance à sa réclamation au sens du par. 5(2), de sorte que le délai de prescription de deux ans prévu à l’al. 5(1)a) commence à courir?</w:t>
      </w:r>
    </w:p>
    <w:p w:rsidR="00AE79CA" w:rsidRPr="006A5B99" w:rsidRDefault="00AE79CA" w:rsidP="00AE79CA">
      <w:pPr>
        <w:pStyle w:val="Citation-AltC"/>
        <w:numPr>
          <w:ilvl w:val="1"/>
          <w:numId w:val="18"/>
        </w:numPr>
        <w:spacing w:after="480" w:line="480" w:lineRule="auto"/>
        <w:ind w:left="1434" w:hanging="357"/>
        <w:contextualSpacing w:val="0"/>
        <w:rPr>
          <w:noProof/>
          <w:lang w:val="fr-CA"/>
        </w:rPr>
      </w:pPr>
      <w:r w:rsidRPr="006A5B99">
        <w:rPr>
          <w:noProof/>
          <w:lang w:val="fr-CA"/>
        </w:rPr>
        <w:t xml:space="preserve">À quel </w:t>
      </w:r>
      <w:r w:rsidRPr="00893617">
        <w:rPr>
          <w:noProof/>
          <w:lang w:val="fr-CA"/>
        </w:rPr>
        <w:t>moment</w:t>
      </w:r>
      <w:r w:rsidRPr="006A5B99">
        <w:rPr>
          <w:noProof/>
          <w:lang w:val="fr-CA"/>
        </w:rPr>
        <w:t>, le cas échéant, la province a</w:t>
      </w:r>
      <w:r>
        <w:rPr>
          <w:noProof/>
          <w:lang w:val="fr-CA"/>
        </w:rPr>
        <w:noBreakHyphen/>
      </w:r>
      <w:r w:rsidRPr="006A5B99">
        <w:rPr>
          <w:noProof/>
          <w:lang w:val="fr-CA"/>
        </w:rPr>
        <w:t>t</w:t>
      </w:r>
      <w:r>
        <w:rPr>
          <w:noProof/>
          <w:lang w:val="fr-CA"/>
        </w:rPr>
        <w:noBreakHyphen/>
      </w:r>
      <w:r w:rsidRPr="006A5B99">
        <w:rPr>
          <w:noProof/>
          <w:lang w:val="fr-CA"/>
        </w:rPr>
        <w:t>elle découvert les faits ayant donné naissance à sa réclamati</w:t>
      </w:r>
      <w:r>
        <w:rPr>
          <w:noProof/>
          <w:lang w:val="fr-CA"/>
        </w:rPr>
        <w:t xml:space="preserve">on pour négligence contre Grant </w:t>
      </w:r>
      <w:r w:rsidRPr="006A5B99">
        <w:rPr>
          <w:noProof/>
          <w:lang w:val="fr-CA"/>
        </w:rPr>
        <w:t xml:space="preserve">Thornton? </w:t>
      </w:r>
    </w:p>
    <w:p w:rsidR="00AE79CA" w:rsidRPr="006A5B99" w:rsidRDefault="00AE79CA" w:rsidP="00AE79CA">
      <w:pPr>
        <w:pStyle w:val="Title1LevelTitre1Niveau-AltL"/>
        <w:rPr>
          <w:rFonts w:cs="Times New Roman"/>
          <w:noProof/>
          <w:lang w:val="fr-CA"/>
        </w:rPr>
      </w:pPr>
      <w:r w:rsidRPr="006A5B99">
        <w:rPr>
          <w:rFonts w:cs="Times New Roman"/>
          <w:noProof/>
          <w:lang w:val="fr-CA"/>
        </w:rPr>
        <w:t>Analyse</w:t>
      </w:r>
    </w:p>
    <w:p w:rsidR="00AE79CA" w:rsidRPr="006A5B99" w:rsidRDefault="00AE79CA" w:rsidP="00AE79CA">
      <w:pPr>
        <w:pStyle w:val="Title2LevelTitre2Niveau"/>
        <w:rPr>
          <w:rFonts w:cs="Times New Roman"/>
          <w:noProof/>
          <w:lang w:val="fr-CA"/>
        </w:rPr>
      </w:pPr>
      <w:r w:rsidRPr="006A5B99">
        <w:rPr>
          <w:rFonts w:cs="Times New Roman"/>
          <w:noProof/>
          <w:lang w:val="fr-CA"/>
        </w:rPr>
        <w:t xml:space="preserve">La norme applicable </w:t>
      </w:r>
    </w:p>
    <w:p w:rsidR="00AE79CA" w:rsidRPr="006A5B99" w:rsidRDefault="00AE79CA" w:rsidP="00AE79CA">
      <w:pPr>
        <w:pStyle w:val="ParaNoNdepar-AltN"/>
        <w:rPr>
          <w:rFonts w:cs="Times New Roman"/>
          <w:noProof/>
          <w:lang w:val="fr-CA"/>
        </w:rPr>
      </w:pPr>
      <w:r w:rsidRPr="006A5B99">
        <w:rPr>
          <w:rFonts w:cs="Times New Roman"/>
          <w:noProof/>
          <w:lang w:val="fr-CA"/>
        </w:rPr>
        <w:t xml:space="preserve">L’alinéa 5(1)(a) de la </w:t>
      </w:r>
      <w:r w:rsidRPr="006A5B99">
        <w:rPr>
          <w:rFonts w:cs="Times New Roman"/>
          <w:i/>
          <w:iCs/>
          <w:noProof/>
          <w:lang w:val="fr-CA"/>
        </w:rPr>
        <w:t>LP</w:t>
      </w:r>
      <w:r w:rsidRPr="006A5B99">
        <w:rPr>
          <w:rFonts w:cs="Times New Roman"/>
          <w:noProof/>
          <w:lang w:val="fr-CA"/>
        </w:rPr>
        <w:t xml:space="preserve"> établit le délai de prescription qui régit la présente </w:t>
      </w:r>
      <w:r>
        <w:rPr>
          <w:rFonts w:cs="Times New Roman"/>
          <w:noProof/>
          <w:lang w:val="fr-CA"/>
        </w:rPr>
        <w:t>affaire :</w:t>
      </w:r>
      <w:r w:rsidRPr="006A5B99">
        <w:rPr>
          <w:rFonts w:cs="Times New Roman"/>
          <w:noProof/>
          <w:lang w:val="fr-CA"/>
        </w:rPr>
        <w:t xml:space="preserve"> toute réclamation contre un défendeur se prescrit par deux ans à compter du jour où sont découverts par le </w:t>
      </w:r>
      <w:r>
        <w:rPr>
          <w:rFonts w:cs="Times New Roman"/>
          <w:noProof/>
          <w:lang w:val="fr-CA"/>
        </w:rPr>
        <w:t>demandeur</w:t>
      </w:r>
      <w:r w:rsidRPr="006A5B99">
        <w:rPr>
          <w:rFonts w:cs="Times New Roman"/>
          <w:noProof/>
          <w:lang w:val="fr-CA"/>
        </w:rPr>
        <w:t xml:space="preserve"> les faits y ayant donné naissance. Comme le libellé du </w:t>
      </w:r>
      <w:r>
        <w:rPr>
          <w:rFonts w:cs="Times New Roman"/>
          <w:noProof/>
          <w:lang w:val="fr-CA"/>
        </w:rPr>
        <w:t>par. </w:t>
      </w:r>
      <w:r w:rsidRPr="006A5B99">
        <w:rPr>
          <w:rFonts w:cs="Times New Roman"/>
          <w:noProof/>
          <w:lang w:val="fr-CA"/>
        </w:rPr>
        <w:t xml:space="preserve">5(2) l’indique clairement, le </w:t>
      </w:r>
      <w:r>
        <w:rPr>
          <w:rFonts w:cs="Times New Roman"/>
          <w:noProof/>
          <w:lang w:val="fr-CA"/>
        </w:rPr>
        <w:t>demandeur</w:t>
      </w:r>
      <w:r w:rsidRPr="006A5B99">
        <w:rPr>
          <w:rFonts w:cs="Times New Roman"/>
          <w:noProof/>
          <w:lang w:val="fr-CA"/>
        </w:rPr>
        <w:t xml:space="preserve"> découvre les faits ayant donné naissance à sa réclamation le jour où il apprend ou aurait dû normalement apprendre que sont survenus les préjudices, les pertes ou les dommages et que ceux</w:t>
      </w:r>
      <w:r>
        <w:rPr>
          <w:rFonts w:cs="Times New Roman"/>
          <w:noProof/>
          <w:lang w:val="fr-CA"/>
        </w:rPr>
        <w:noBreakHyphen/>
      </w:r>
      <w:r w:rsidRPr="006A5B99">
        <w:rPr>
          <w:rFonts w:cs="Times New Roman"/>
          <w:noProof/>
          <w:lang w:val="fr-CA"/>
        </w:rPr>
        <w:t>ci ont été causés entièrement ou en partie par un acte ou une omission du défendeur.</w:t>
      </w:r>
    </w:p>
    <w:p w:rsidR="00AE79CA" w:rsidRPr="006A5B99" w:rsidRDefault="00AE79CA" w:rsidP="00AE79CA">
      <w:pPr>
        <w:pStyle w:val="ParaNoNdepar-AltN"/>
        <w:rPr>
          <w:rFonts w:cs="Times New Roman"/>
          <w:noProof/>
          <w:lang w:val="fr-CA"/>
        </w:rPr>
      </w:pPr>
      <w:r w:rsidRPr="006A5B99">
        <w:rPr>
          <w:rFonts w:cs="Times New Roman"/>
          <w:noProof/>
          <w:lang w:val="fr-CA"/>
        </w:rPr>
        <w:t xml:space="preserve">Le présent pourvoi porte sur la norme à appliquer pour déterminer dans quels cas et quand le </w:t>
      </w:r>
      <w:r>
        <w:rPr>
          <w:rFonts w:cs="Times New Roman"/>
          <w:noProof/>
          <w:lang w:val="fr-CA"/>
        </w:rPr>
        <w:t>demandeur</w:t>
      </w:r>
      <w:r w:rsidRPr="006A5B99">
        <w:rPr>
          <w:rFonts w:cs="Times New Roman"/>
          <w:noProof/>
          <w:lang w:val="fr-CA"/>
        </w:rPr>
        <w:t xml:space="preserve"> a le degré de connaissance requis pour </w:t>
      </w:r>
      <w:bookmarkStart w:id="2" w:name="_Hlk71790070"/>
      <w:r w:rsidRPr="006A5B99">
        <w:rPr>
          <w:rFonts w:cs="Times New Roman"/>
          <w:noProof/>
          <w:lang w:val="fr-CA"/>
        </w:rPr>
        <w:t xml:space="preserve">découvrir les faits ayant donné naissance à sa réclamation au sens du </w:t>
      </w:r>
      <w:bookmarkEnd w:id="2"/>
      <w:r>
        <w:rPr>
          <w:rFonts w:cs="Times New Roman"/>
          <w:noProof/>
          <w:lang w:val="fr-CA"/>
        </w:rPr>
        <w:t>par. </w:t>
      </w:r>
      <w:r w:rsidRPr="006A5B99">
        <w:rPr>
          <w:rFonts w:cs="Times New Roman"/>
          <w:noProof/>
          <w:lang w:val="fr-CA"/>
        </w:rPr>
        <w:t>5(2), de sorte que le délai de prescription de deux ans prévu à l’</w:t>
      </w:r>
      <w:r>
        <w:rPr>
          <w:rFonts w:cs="Times New Roman"/>
          <w:noProof/>
          <w:lang w:val="fr-CA"/>
        </w:rPr>
        <w:t>al. </w:t>
      </w:r>
      <w:r w:rsidRPr="006A5B99">
        <w:rPr>
          <w:rFonts w:cs="Times New Roman"/>
          <w:noProof/>
          <w:lang w:val="fr-CA"/>
        </w:rPr>
        <w:t>5(1)a) commence à courir. Pour bien établir cette norme, il faut répondre à deux questions distinctes. Premièrement, pour déterminer si le délai de prescription prévu à l’</w:t>
      </w:r>
      <w:r>
        <w:rPr>
          <w:rFonts w:cs="Times New Roman"/>
          <w:noProof/>
          <w:lang w:val="fr-CA"/>
        </w:rPr>
        <w:t>al. </w:t>
      </w:r>
      <w:r w:rsidRPr="006A5B99">
        <w:rPr>
          <w:rFonts w:cs="Times New Roman"/>
          <w:noProof/>
          <w:lang w:val="fr-CA"/>
        </w:rPr>
        <w:t>5(1)a) a commencé à courir, doit</w:t>
      </w:r>
      <w:r>
        <w:rPr>
          <w:rFonts w:cs="Times New Roman"/>
          <w:noProof/>
          <w:lang w:val="fr-CA"/>
        </w:rPr>
        <w:noBreakHyphen/>
      </w:r>
      <w:r w:rsidRPr="006A5B99">
        <w:rPr>
          <w:rFonts w:cs="Times New Roman"/>
          <w:noProof/>
          <w:lang w:val="fr-CA"/>
        </w:rPr>
        <w:t xml:space="preserve">on évaluer le degré de connaissance du </w:t>
      </w:r>
      <w:r>
        <w:rPr>
          <w:rFonts w:cs="Times New Roman"/>
          <w:noProof/>
          <w:lang w:val="fr-CA"/>
        </w:rPr>
        <w:t>demandeur</w:t>
      </w:r>
      <w:r w:rsidRPr="006A5B99">
        <w:rPr>
          <w:rFonts w:cs="Times New Roman"/>
          <w:noProof/>
          <w:lang w:val="fr-CA"/>
        </w:rPr>
        <w:t xml:space="preserve"> de la même manière que ce que prévoit la règle de common law de la possibilité de découvrir le dommage? Deuxièmement, quel est le degré précis de connaissance requis pour que le </w:t>
      </w:r>
      <w:r>
        <w:rPr>
          <w:rFonts w:cs="Times New Roman"/>
          <w:noProof/>
          <w:lang w:val="fr-CA"/>
        </w:rPr>
        <w:t>demandeur</w:t>
      </w:r>
      <w:r w:rsidRPr="006A5B99">
        <w:rPr>
          <w:rFonts w:cs="Times New Roman"/>
          <w:noProof/>
          <w:lang w:val="fr-CA"/>
        </w:rPr>
        <w:t xml:space="preserve"> </w:t>
      </w:r>
      <w:r>
        <w:rPr>
          <w:rFonts w:cs="Times New Roman"/>
          <w:noProof/>
          <w:lang w:val="fr-CA"/>
        </w:rPr>
        <w:t>découv</w:t>
      </w:r>
      <w:r w:rsidRPr="006A5B99">
        <w:rPr>
          <w:rFonts w:cs="Times New Roman"/>
          <w:noProof/>
          <w:lang w:val="fr-CA"/>
        </w:rPr>
        <w:t>r</w:t>
      </w:r>
      <w:r>
        <w:rPr>
          <w:rFonts w:cs="Times New Roman"/>
          <w:noProof/>
          <w:lang w:val="fr-CA"/>
        </w:rPr>
        <w:t>e</w:t>
      </w:r>
      <w:r w:rsidRPr="006A5B99">
        <w:rPr>
          <w:rFonts w:cs="Times New Roman"/>
          <w:noProof/>
          <w:lang w:val="fr-CA"/>
        </w:rPr>
        <w:t xml:space="preserve"> les faits ayant donné naissance à une réclamation au sens du </w:t>
      </w:r>
      <w:r>
        <w:rPr>
          <w:rFonts w:cs="Times New Roman"/>
          <w:noProof/>
          <w:lang w:val="fr-CA"/>
        </w:rPr>
        <w:t>par. </w:t>
      </w:r>
      <w:r w:rsidRPr="006A5B99">
        <w:rPr>
          <w:rFonts w:cs="Times New Roman"/>
          <w:noProof/>
          <w:lang w:val="fr-CA"/>
        </w:rPr>
        <w:t>5(2)?</w:t>
      </w:r>
      <w:r>
        <w:rPr>
          <w:rFonts w:cs="Times New Roman"/>
          <w:noProof/>
          <w:lang w:val="fr-CA"/>
        </w:rPr>
        <w:t xml:space="preserve"> </w:t>
      </w:r>
    </w:p>
    <w:p w:rsidR="00AE79CA" w:rsidRPr="006A5B99" w:rsidRDefault="00AE79CA" w:rsidP="00AE79CA">
      <w:pPr>
        <w:pStyle w:val="Title3LevelTitre3Niveau"/>
        <w:rPr>
          <w:rFonts w:cs="Times New Roman"/>
          <w:noProof/>
          <w:lang w:val="fr-CA"/>
        </w:rPr>
      </w:pPr>
      <w:r w:rsidRPr="006A5B99">
        <w:rPr>
          <w:rFonts w:cs="Times New Roman"/>
          <w:noProof/>
          <w:lang w:val="fr-CA"/>
        </w:rPr>
        <w:t>Codification de la règle de common law de la possibilité de découvrir le dommage</w:t>
      </w:r>
    </w:p>
    <w:p w:rsidR="00AE79CA" w:rsidRPr="006A5B99" w:rsidRDefault="00AE79CA" w:rsidP="00AE79CA">
      <w:pPr>
        <w:pStyle w:val="ParaNoNdepar-AltN"/>
        <w:tabs>
          <w:tab w:val="clear" w:pos="1152"/>
          <w:tab w:val="left" w:pos="1166"/>
        </w:tabs>
        <w:rPr>
          <w:rFonts w:cs="Times New Roman"/>
          <w:noProof/>
          <w:lang w:val="fr-CA"/>
        </w:rPr>
      </w:pPr>
      <w:r w:rsidRPr="006A5B99">
        <w:rPr>
          <w:rFonts w:cs="Times New Roman"/>
          <w:noProof/>
          <w:lang w:val="fr-CA"/>
        </w:rPr>
        <w:t xml:space="preserve">L’article 5 de la </w:t>
      </w:r>
      <w:r w:rsidRPr="006A5B99">
        <w:rPr>
          <w:rFonts w:cs="Times New Roman"/>
          <w:i/>
          <w:noProof/>
          <w:lang w:val="fr-CA"/>
        </w:rPr>
        <w:t xml:space="preserve">LP </w:t>
      </w:r>
      <w:r w:rsidRPr="006A5B99">
        <w:rPr>
          <w:rFonts w:cs="Times New Roman"/>
          <w:noProof/>
          <w:lang w:val="fr-CA"/>
        </w:rPr>
        <w:t>s’inscrit dans le cadre de la règle de common law bien connue de la possibilité de découvrir le dommage. Selon cette règle, «</w:t>
      </w:r>
      <w:r>
        <w:rPr>
          <w:rFonts w:cs="Times New Roman"/>
          <w:noProof/>
          <w:lang w:val="fr-CA"/>
        </w:rPr>
        <w:t> </w:t>
      </w:r>
      <w:r w:rsidRPr="006A5B99">
        <w:rPr>
          <w:rFonts w:cs="Times New Roman"/>
          <w:noProof/>
          <w:lang w:val="fr-CA"/>
        </w:rPr>
        <w:t>une cause d’action prend naissance, aux fins de la prescription, lorsque les faits importants sur lesquels repose cette cause d’action ont été découverts par le demandeur ou auraient dû l’être s’il avait fait preuve de diligence raisonnable</w:t>
      </w:r>
      <w:r>
        <w:rPr>
          <w:rFonts w:cs="Times New Roman"/>
          <w:noProof/>
          <w:lang w:val="fr-CA"/>
        </w:rPr>
        <w:t> </w:t>
      </w:r>
      <w:r w:rsidRPr="006A5B99">
        <w:rPr>
          <w:rFonts w:cs="Times New Roman"/>
          <w:noProof/>
          <w:lang w:val="fr-CA"/>
        </w:rPr>
        <w:t>»</w:t>
      </w:r>
      <w:r w:rsidRPr="006A5B99">
        <w:rPr>
          <w:rFonts w:eastAsia="Times New Roman" w:cs="Times New Roman"/>
          <w:noProof/>
          <w:lang w:val="fr-CA"/>
        </w:rPr>
        <w:t xml:space="preserve"> (</w:t>
      </w:r>
      <w:r w:rsidRPr="006A5B99">
        <w:rPr>
          <w:rFonts w:cs="Times New Roman"/>
          <w:i/>
          <w:noProof/>
          <w:lang w:val="fr-CA"/>
        </w:rPr>
        <w:t>Central Trust Co. c. Rafuse</w:t>
      </w:r>
      <w:r w:rsidRPr="006A5B99">
        <w:rPr>
          <w:rFonts w:cs="Times New Roman"/>
          <w:noProof/>
          <w:lang w:val="fr-CA"/>
        </w:rPr>
        <w:t>, [1986]</w:t>
      </w:r>
      <w:r>
        <w:rPr>
          <w:rFonts w:cs="Times New Roman"/>
          <w:noProof/>
          <w:lang w:val="fr-CA"/>
        </w:rPr>
        <w:t xml:space="preserve"> </w:t>
      </w:r>
      <w:r w:rsidRPr="006A5B99">
        <w:rPr>
          <w:rFonts w:cs="Times New Roman"/>
          <w:noProof/>
          <w:lang w:val="fr-CA"/>
        </w:rPr>
        <w:t>2</w:t>
      </w:r>
      <w:r>
        <w:rPr>
          <w:rFonts w:cs="Times New Roman"/>
          <w:noProof/>
          <w:lang w:val="fr-CA"/>
        </w:rPr>
        <w:t xml:space="preserve"> </w:t>
      </w:r>
      <w:r w:rsidRPr="006A5B99">
        <w:rPr>
          <w:rFonts w:cs="Times New Roman"/>
          <w:noProof/>
          <w:lang w:val="fr-CA"/>
        </w:rPr>
        <w:t>R.C.S.</w:t>
      </w:r>
      <w:r>
        <w:rPr>
          <w:rFonts w:cs="Times New Roman"/>
          <w:noProof/>
          <w:lang w:val="fr-CA"/>
        </w:rPr>
        <w:t xml:space="preserve"> </w:t>
      </w:r>
      <w:r w:rsidRPr="006A5B99">
        <w:rPr>
          <w:rFonts w:cs="Times New Roman"/>
          <w:noProof/>
          <w:lang w:val="fr-CA"/>
        </w:rPr>
        <w:t xml:space="preserve">147, </w:t>
      </w:r>
      <w:r>
        <w:rPr>
          <w:rFonts w:cs="Times New Roman"/>
          <w:noProof/>
          <w:lang w:val="fr-CA"/>
        </w:rPr>
        <w:t>p. </w:t>
      </w:r>
      <w:r w:rsidRPr="006A5B99">
        <w:rPr>
          <w:rFonts w:cs="Times New Roman"/>
          <w:noProof/>
          <w:lang w:val="fr-CA"/>
        </w:rPr>
        <w:t xml:space="preserve">224, citant </w:t>
      </w:r>
      <w:r w:rsidRPr="006A5B99">
        <w:rPr>
          <w:rFonts w:cs="Times New Roman"/>
          <w:i/>
          <w:noProof/>
          <w:lang w:val="fr-CA"/>
        </w:rPr>
        <w:t>Kamloops (Ville de) c. Nielsen</w:t>
      </w:r>
      <w:r w:rsidRPr="006A5B99">
        <w:rPr>
          <w:rFonts w:cs="Times New Roman"/>
          <w:noProof/>
          <w:lang w:val="fr-CA"/>
        </w:rPr>
        <w:t>,</w:t>
      </w:r>
      <w:r w:rsidRPr="006A5B99">
        <w:rPr>
          <w:rFonts w:cs="Times New Roman"/>
          <w:i/>
          <w:noProof/>
          <w:lang w:val="fr-CA"/>
        </w:rPr>
        <w:t xml:space="preserve"> </w:t>
      </w:r>
      <w:r w:rsidRPr="006A5B99">
        <w:rPr>
          <w:rFonts w:cs="Times New Roman"/>
          <w:noProof/>
          <w:lang w:val="fr-CA"/>
        </w:rPr>
        <w:t>[1984] 2 R.C.S.</w:t>
      </w:r>
      <w:r>
        <w:rPr>
          <w:rFonts w:cs="Times New Roman"/>
          <w:noProof/>
          <w:lang w:val="fr-CA"/>
        </w:rPr>
        <w:t xml:space="preserve"> </w:t>
      </w:r>
      <w:r w:rsidRPr="006A5B99">
        <w:rPr>
          <w:rFonts w:cs="Times New Roman"/>
          <w:noProof/>
          <w:lang w:val="fr-CA"/>
        </w:rPr>
        <w:t xml:space="preserve">2; voir aussi </w:t>
      </w:r>
      <w:r w:rsidRPr="006A5B99">
        <w:rPr>
          <w:rFonts w:cs="Times New Roman"/>
          <w:i/>
          <w:noProof/>
          <w:lang w:val="fr-CA"/>
        </w:rPr>
        <w:t>Ryan c. Moore</w:t>
      </w:r>
      <w:r w:rsidRPr="006A5B99">
        <w:rPr>
          <w:rFonts w:cs="Times New Roman"/>
          <w:noProof/>
          <w:lang w:val="fr-CA"/>
        </w:rPr>
        <w:t>,</w:t>
      </w:r>
      <w:r w:rsidRPr="006A5B99">
        <w:rPr>
          <w:rFonts w:cs="Times New Roman"/>
          <w:i/>
          <w:noProof/>
          <w:lang w:val="fr-CA"/>
        </w:rPr>
        <w:t xml:space="preserve"> </w:t>
      </w:r>
      <w:r w:rsidRPr="006A5B99">
        <w:rPr>
          <w:rFonts w:cs="Times New Roman"/>
          <w:noProof/>
          <w:lang w:val="fr-CA"/>
        </w:rPr>
        <w:t>2005 CSC</w:t>
      </w:r>
      <w:r>
        <w:rPr>
          <w:rFonts w:cs="Times New Roman"/>
          <w:noProof/>
          <w:lang w:val="fr-CA"/>
        </w:rPr>
        <w:t xml:space="preserve"> </w:t>
      </w:r>
      <w:r w:rsidRPr="006A5B99">
        <w:rPr>
          <w:rFonts w:cs="Times New Roman"/>
          <w:noProof/>
          <w:lang w:val="fr-CA"/>
        </w:rPr>
        <w:t>38, [2005] 2 R.C.S.</w:t>
      </w:r>
      <w:r>
        <w:rPr>
          <w:rFonts w:cs="Times New Roman"/>
          <w:noProof/>
          <w:lang w:val="fr-CA"/>
        </w:rPr>
        <w:t xml:space="preserve"> </w:t>
      </w:r>
      <w:r w:rsidRPr="006A5B99">
        <w:rPr>
          <w:rFonts w:cs="Times New Roman"/>
          <w:noProof/>
          <w:lang w:val="fr-CA"/>
        </w:rPr>
        <w:t>53,</w:t>
      </w:r>
      <w:r w:rsidRPr="006A5B99">
        <w:rPr>
          <w:rFonts w:cs="Times New Roman"/>
          <w:i/>
          <w:noProof/>
          <w:lang w:val="fr-CA"/>
        </w:rPr>
        <w:t xml:space="preserve"> </w:t>
      </w:r>
      <w:r>
        <w:rPr>
          <w:rFonts w:cs="Times New Roman"/>
          <w:noProof/>
          <w:lang w:val="fr-CA"/>
        </w:rPr>
        <w:t>par. </w:t>
      </w:r>
      <w:r w:rsidRPr="006A5B99">
        <w:rPr>
          <w:rFonts w:cs="Times New Roman"/>
          <w:noProof/>
          <w:lang w:val="fr-CA"/>
        </w:rPr>
        <w:t>2 et 22</w:t>
      </w:r>
      <w:r w:rsidRPr="006A5B99">
        <w:rPr>
          <w:rFonts w:eastAsia="Times New Roman" w:cs="Times New Roman"/>
          <w:noProof/>
          <w:lang w:val="fr-CA"/>
        </w:rPr>
        <w:t xml:space="preserve">). Cette règle tire son origine de l’equity. Elle vise notamment à trouver un équilibre entre les trois raisons justifiant l’imposition d’un délai de prescription </w:t>
      </w:r>
      <w:r>
        <w:rPr>
          <w:rFonts w:cs="Times New Roman"/>
          <w:noProof/>
          <w:lang w:val="fr-CA"/>
        </w:rPr>
        <w:t>—</w:t>
      </w:r>
      <w:r w:rsidRPr="006A5B99">
        <w:rPr>
          <w:rFonts w:eastAsia="Times New Roman" w:cs="Times New Roman"/>
          <w:noProof/>
          <w:lang w:val="fr-CA"/>
        </w:rPr>
        <w:t xml:space="preserve"> la garantie de tranquillité d’esprit, la volonté d’empêcher les réclamations fondées sur des éléments de preuve périmés et la diligence attendue du demandeur pour qu’il intente sa poursuite en temps opportun </w:t>
      </w:r>
      <w:r w:rsidRPr="006A5B99">
        <w:rPr>
          <w:rFonts w:cs="Times New Roman"/>
          <w:noProof/>
          <w:lang w:val="fr-CA"/>
        </w:rPr>
        <w:t>(</w:t>
      </w:r>
      <w:r w:rsidRPr="006A5B99">
        <w:rPr>
          <w:rFonts w:cs="Times New Roman"/>
          <w:i/>
          <w:noProof/>
          <w:lang w:val="fr-CA"/>
        </w:rPr>
        <w:t>M. (K.) c. M. (H.)</w:t>
      </w:r>
      <w:r w:rsidRPr="006A5B99">
        <w:rPr>
          <w:rFonts w:cs="Times New Roman"/>
          <w:noProof/>
          <w:lang w:val="fr-CA"/>
        </w:rPr>
        <w:t>, [1992] 3 R.C.S.</w:t>
      </w:r>
      <w:r>
        <w:rPr>
          <w:rFonts w:cs="Times New Roman"/>
          <w:noProof/>
          <w:lang w:val="fr-CA"/>
        </w:rPr>
        <w:t xml:space="preserve"> </w:t>
      </w:r>
      <w:r w:rsidRPr="006A5B99">
        <w:rPr>
          <w:rFonts w:cs="Times New Roman"/>
          <w:noProof/>
          <w:lang w:val="fr-CA"/>
        </w:rPr>
        <w:t xml:space="preserve">6, </w:t>
      </w:r>
      <w:r>
        <w:rPr>
          <w:rFonts w:cs="Times New Roman"/>
          <w:noProof/>
          <w:lang w:val="fr-CA"/>
        </w:rPr>
        <w:t>p. </w:t>
      </w:r>
      <w:r w:rsidRPr="006A5B99">
        <w:rPr>
          <w:rFonts w:cs="Times New Roman"/>
          <w:noProof/>
          <w:lang w:val="fr-CA"/>
        </w:rPr>
        <w:t>29</w:t>
      </w:r>
      <w:r>
        <w:rPr>
          <w:rFonts w:cs="Times New Roman"/>
          <w:noProof/>
          <w:lang w:val="fr-CA"/>
        </w:rPr>
        <w:noBreakHyphen/>
      </w:r>
      <w:r w:rsidRPr="006A5B99">
        <w:rPr>
          <w:rFonts w:cs="Times New Roman"/>
          <w:noProof/>
          <w:lang w:val="fr-CA"/>
        </w:rPr>
        <w:t xml:space="preserve">30) </w:t>
      </w:r>
      <w:r>
        <w:rPr>
          <w:rFonts w:cs="Times New Roman"/>
          <w:noProof/>
          <w:lang w:val="fr-CA"/>
        </w:rPr>
        <w:t>—</w:t>
      </w:r>
      <w:r w:rsidRPr="006A5B99">
        <w:rPr>
          <w:rFonts w:cs="Times New Roman"/>
          <w:noProof/>
          <w:lang w:val="fr-CA"/>
        </w:rPr>
        <w:t xml:space="preserve"> dans le but de prévenir l’injustice qu’entraînerait le fait d’interdire à une personne de faire valoir sa réclamation avant même qu’elle ait connaissance de son existence </w:t>
      </w:r>
      <w:r w:rsidRPr="006A5B99">
        <w:rPr>
          <w:rFonts w:eastAsia="Times New Roman" w:cs="Times New Roman"/>
          <w:noProof/>
          <w:lang w:val="fr-CA"/>
        </w:rPr>
        <w:t>(</w:t>
      </w:r>
      <w:r w:rsidRPr="006A5B99">
        <w:rPr>
          <w:rFonts w:eastAsia="Times New Roman" w:cs="Times New Roman"/>
          <w:i/>
          <w:noProof/>
          <w:lang w:val="fr-CA"/>
        </w:rPr>
        <w:t>Peixeiro c. Haberman</w:t>
      </w:r>
      <w:r w:rsidRPr="006A5B99">
        <w:rPr>
          <w:rFonts w:eastAsia="Times New Roman" w:cs="Times New Roman"/>
          <w:noProof/>
          <w:lang w:val="fr-CA"/>
        </w:rPr>
        <w:t>, [1997]</w:t>
      </w:r>
      <w:r>
        <w:rPr>
          <w:rFonts w:eastAsia="Times New Roman" w:cs="Times New Roman"/>
          <w:noProof/>
          <w:lang w:val="fr-CA"/>
        </w:rPr>
        <w:t xml:space="preserve"> </w:t>
      </w:r>
      <w:r w:rsidRPr="006A5B99">
        <w:rPr>
          <w:rFonts w:eastAsia="Times New Roman" w:cs="Times New Roman"/>
          <w:noProof/>
          <w:lang w:val="fr-CA"/>
        </w:rPr>
        <w:t>3</w:t>
      </w:r>
      <w:r>
        <w:rPr>
          <w:rFonts w:eastAsia="Times New Roman" w:cs="Times New Roman"/>
          <w:noProof/>
          <w:lang w:val="fr-CA"/>
        </w:rPr>
        <w:t xml:space="preserve"> </w:t>
      </w:r>
      <w:r w:rsidRPr="006A5B99">
        <w:rPr>
          <w:rFonts w:eastAsia="Times New Roman" w:cs="Times New Roman"/>
          <w:noProof/>
          <w:lang w:val="fr-CA"/>
        </w:rPr>
        <w:t>R.C.S.</w:t>
      </w:r>
      <w:r>
        <w:rPr>
          <w:rFonts w:eastAsia="Times New Roman" w:cs="Times New Roman"/>
          <w:noProof/>
          <w:lang w:val="fr-CA"/>
        </w:rPr>
        <w:t xml:space="preserve"> </w:t>
      </w:r>
      <w:r w:rsidRPr="006A5B99">
        <w:rPr>
          <w:rFonts w:eastAsia="Times New Roman" w:cs="Times New Roman"/>
          <w:noProof/>
          <w:lang w:val="fr-CA"/>
        </w:rPr>
        <w:t xml:space="preserve">549, </w:t>
      </w:r>
      <w:r>
        <w:rPr>
          <w:rFonts w:eastAsia="Times New Roman" w:cs="Times New Roman"/>
          <w:noProof/>
          <w:lang w:val="fr-CA"/>
        </w:rPr>
        <w:t>par. </w:t>
      </w:r>
      <w:r w:rsidRPr="006A5B99">
        <w:rPr>
          <w:rFonts w:eastAsia="Times New Roman" w:cs="Times New Roman"/>
          <w:noProof/>
          <w:lang w:val="fr-CA"/>
        </w:rPr>
        <w:t xml:space="preserve">36). </w:t>
      </w:r>
    </w:p>
    <w:p w:rsidR="00AE79CA" w:rsidRPr="006A5B99" w:rsidRDefault="00AE79CA" w:rsidP="00AE79CA">
      <w:pPr>
        <w:pStyle w:val="ParaNoNdepar-AltN"/>
        <w:tabs>
          <w:tab w:val="clear" w:pos="1152"/>
          <w:tab w:val="left" w:pos="1166"/>
        </w:tabs>
        <w:rPr>
          <w:rFonts w:cs="Times New Roman"/>
          <w:noProof/>
          <w:lang w:val="fr-CA"/>
        </w:rPr>
      </w:pPr>
      <w:r w:rsidRPr="006A5B99">
        <w:rPr>
          <w:rFonts w:eastAsia="Times New Roman" w:cs="Times New Roman"/>
          <w:noProof/>
          <w:lang w:val="fr-CA"/>
        </w:rPr>
        <w:t>Bien qu’il s’agisse d’une «</w:t>
      </w:r>
      <w:r>
        <w:rPr>
          <w:rFonts w:eastAsia="Times New Roman" w:cs="Times New Roman"/>
          <w:noProof/>
          <w:lang w:val="fr-CA"/>
        </w:rPr>
        <w:t> </w:t>
      </w:r>
      <w:r w:rsidRPr="006A5B99">
        <w:rPr>
          <w:rFonts w:eastAsia="Times New Roman" w:cs="Times New Roman"/>
          <w:noProof/>
          <w:lang w:val="fr-CA"/>
        </w:rPr>
        <w:t>règle générale</w:t>
      </w:r>
      <w:r>
        <w:rPr>
          <w:rFonts w:eastAsia="Times New Roman" w:cs="Times New Roman"/>
          <w:noProof/>
          <w:lang w:val="fr-CA"/>
        </w:rPr>
        <w:t> </w:t>
      </w:r>
      <w:r w:rsidRPr="006A5B99">
        <w:rPr>
          <w:rFonts w:eastAsia="Times New Roman" w:cs="Times New Roman"/>
          <w:noProof/>
          <w:lang w:val="fr-CA"/>
        </w:rPr>
        <w:t xml:space="preserve">», cette règle de common law ne </w:t>
      </w:r>
      <w:r w:rsidRPr="006A5B99">
        <w:rPr>
          <w:rFonts w:cs="Times New Roman"/>
          <w:noProof/>
          <w:lang w:val="fr-CA"/>
        </w:rPr>
        <w:t>s’applique pas à tous les délais de prescription fixés par le législateur</w:t>
      </w:r>
      <w:r w:rsidRPr="006A5B99">
        <w:rPr>
          <w:rFonts w:eastAsia="Times New Roman" w:cs="Times New Roman"/>
          <w:noProof/>
          <w:lang w:val="fr-CA"/>
        </w:rPr>
        <w:t xml:space="preserve"> (</w:t>
      </w:r>
      <w:r w:rsidRPr="006A5B99">
        <w:rPr>
          <w:rFonts w:eastAsia="Times New Roman" w:cs="Times New Roman"/>
          <w:i/>
          <w:noProof/>
          <w:lang w:val="fr-CA"/>
        </w:rPr>
        <w:t>Ryan</w:t>
      </w:r>
      <w:r w:rsidRPr="006A5B99">
        <w:rPr>
          <w:rFonts w:eastAsia="Times New Roman" w:cs="Times New Roman"/>
          <w:noProof/>
          <w:lang w:val="fr-CA"/>
        </w:rPr>
        <w:t>,</w:t>
      </w:r>
      <w:r w:rsidRPr="006A5B99">
        <w:rPr>
          <w:rFonts w:eastAsia="Times New Roman" w:cs="Times New Roman"/>
          <w:i/>
          <w:noProof/>
          <w:lang w:val="fr-CA"/>
        </w:rPr>
        <w:t xml:space="preserve"> </w:t>
      </w:r>
      <w:r>
        <w:rPr>
          <w:rFonts w:eastAsia="Times New Roman" w:cs="Times New Roman"/>
          <w:noProof/>
          <w:lang w:val="fr-CA"/>
        </w:rPr>
        <w:t>par. </w:t>
      </w:r>
      <w:r w:rsidRPr="006A5B99">
        <w:rPr>
          <w:rFonts w:eastAsia="Times New Roman" w:cs="Times New Roman"/>
          <w:noProof/>
          <w:lang w:val="fr-CA"/>
        </w:rPr>
        <w:t xml:space="preserve">23, citant </w:t>
      </w:r>
      <w:r w:rsidRPr="006A5B99">
        <w:rPr>
          <w:rFonts w:eastAsia="Times New Roman" w:cs="Times New Roman"/>
          <w:i/>
          <w:noProof/>
          <w:lang w:val="fr-CA"/>
        </w:rPr>
        <w:t>Rafuse</w:t>
      </w:r>
      <w:r w:rsidRPr="006A5B99">
        <w:rPr>
          <w:rFonts w:eastAsia="Times New Roman" w:cs="Times New Roman"/>
          <w:noProof/>
          <w:lang w:val="fr-CA"/>
        </w:rPr>
        <w:t xml:space="preserve">, </w:t>
      </w:r>
      <w:r>
        <w:rPr>
          <w:rFonts w:eastAsia="Times New Roman" w:cs="Times New Roman"/>
          <w:noProof/>
          <w:lang w:val="fr-CA"/>
        </w:rPr>
        <w:t>p. </w:t>
      </w:r>
      <w:r w:rsidRPr="006A5B99">
        <w:rPr>
          <w:rFonts w:eastAsia="Times New Roman" w:cs="Times New Roman"/>
          <w:noProof/>
          <w:lang w:val="fr-CA"/>
        </w:rPr>
        <w:t xml:space="preserve">224). Il s’agit </w:t>
      </w:r>
      <w:r w:rsidRPr="006A5B99">
        <w:rPr>
          <w:rFonts w:cs="Times New Roman"/>
          <w:noProof/>
          <w:lang w:val="fr-CA"/>
        </w:rPr>
        <w:t>plutôt d’une règle d’interprétation</w:t>
      </w:r>
      <w:r w:rsidRPr="006A5B99">
        <w:rPr>
          <w:rFonts w:cs="Times New Roman"/>
          <w:i/>
          <w:iCs/>
          <w:noProof/>
          <w:lang w:val="fr-CA"/>
        </w:rPr>
        <w:t> </w:t>
      </w:r>
      <w:r w:rsidRPr="006A5B99">
        <w:rPr>
          <w:rFonts w:cs="Times New Roman"/>
          <w:noProof/>
          <w:lang w:val="fr-CA"/>
        </w:rPr>
        <w:t xml:space="preserve">visant à faciliter l’interprétation des délais de prescription fixés par la loi; elle peut donc être écartée par un texte législatif clair </w:t>
      </w:r>
      <w:r w:rsidRPr="006A5B99">
        <w:rPr>
          <w:rFonts w:eastAsia="Times New Roman" w:cs="Times New Roman"/>
          <w:noProof/>
          <w:lang w:val="fr-CA"/>
        </w:rPr>
        <w:t>(</w:t>
      </w:r>
      <w:r w:rsidRPr="006A5B99">
        <w:rPr>
          <w:rFonts w:eastAsia="Times New Roman" w:cs="Times New Roman"/>
          <w:i/>
          <w:noProof/>
          <w:lang w:val="fr-CA"/>
        </w:rPr>
        <w:t>Pioneer Cor</w:t>
      </w:r>
      <w:r>
        <w:rPr>
          <w:rFonts w:eastAsia="Times New Roman" w:cs="Times New Roman"/>
          <w:i/>
          <w:noProof/>
          <w:lang w:val="fr-CA"/>
        </w:rPr>
        <w:t xml:space="preserve">p. </w:t>
      </w:r>
      <w:r w:rsidRPr="006A5B99">
        <w:rPr>
          <w:rFonts w:eastAsia="Times New Roman" w:cs="Times New Roman"/>
          <w:i/>
          <w:noProof/>
          <w:lang w:val="fr-CA"/>
        </w:rPr>
        <w:t>c. Godfrey</w:t>
      </w:r>
      <w:r w:rsidRPr="006A5B99">
        <w:rPr>
          <w:rFonts w:eastAsia="Times New Roman" w:cs="Times New Roman"/>
          <w:noProof/>
          <w:lang w:val="fr-CA"/>
        </w:rPr>
        <w:t>,</w:t>
      </w:r>
      <w:r w:rsidRPr="006A5B99">
        <w:rPr>
          <w:rFonts w:eastAsia="Times New Roman" w:cs="Times New Roman"/>
          <w:i/>
          <w:noProof/>
          <w:lang w:val="fr-CA"/>
        </w:rPr>
        <w:t xml:space="preserve"> </w:t>
      </w:r>
      <w:r w:rsidRPr="006A5B99">
        <w:rPr>
          <w:rFonts w:eastAsia="Times New Roman" w:cs="Times New Roman"/>
          <w:noProof/>
          <w:lang w:val="fr-CA"/>
        </w:rPr>
        <w:t>2019 CSC</w:t>
      </w:r>
      <w:r>
        <w:rPr>
          <w:rFonts w:eastAsia="Times New Roman" w:cs="Times New Roman"/>
          <w:noProof/>
          <w:lang w:val="fr-CA"/>
        </w:rPr>
        <w:t xml:space="preserve"> </w:t>
      </w:r>
      <w:r w:rsidRPr="006A5B99">
        <w:rPr>
          <w:rFonts w:eastAsia="Times New Roman" w:cs="Times New Roman"/>
          <w:noProof/>
          <w:lang w:val="fr-CA"/>
        </w:rPr>
        <w:t xml:space="preserve">42, </w:t>
      </w:r>
      <w:r>
        <w:rPr>
          <w:rFonts w:eastAsia="Times New Roman" w:cs="Times New Roman"/>
          <w:noProof/>
          <w:lang w:val="fr-CA"/>
        </w:rPr>
        <w:t>par. </w:t>
      </w:r>
      <w:r w:rsidRPr="006A5B99">
        <w:rPr>
          <w:rFonts w:eastAsia="Times New Roman" w:cs="Times New Roman"/>
          <w:noProof/>
          <w:lang w:val="fr-CA"/>
        </w:rPr>
        <w:t>32). D’ailleurs, «</w:t>
      </w:r>
      <w:r>
        <w:rPr>
          <w:rFonts w:eastAsia="Times New Roman" w:cs="Times New Roman"/>
          <w:noProof/>
          <w:lang w:val="fr-CA"/>
        </w:rPr>
        <w:t> </w:t>
      </w:r>
      <w:r w:rsidRPr="006A5B99">
        <w:rPr>
          <w:rFonts w:eastAsia="Times New Roman" w:cs="Times New Roman"/>
          <w:noProof/>
          <w:lang w:val="fr-CA"/>
        </w:rPr>
        <w:t>p</w:t>
      </w:r>
      <w:r w:rsidRPr="006A5B99">
        <w:rPr>
          <w:rFonts w:cs="Times New Roman"/>
          <w:noProof/>
          <w:lang w:val="fr-CA"/>
        </w:rPr>
        <w:t>lusieurs législatures provinciales ont choisi d’établir au moyen de lois des délais de prescription qui codifient, limitent ou écartent complètement l’application de la règle de la possibilité de découvrir</w:t>
      </w:r>
      <w:r>
        <w:rPr>
          <w:rFonts w:cs="Times New Roman"/>
          <w:noProof/>
          <w:lang w:val="fr-CA"/>
        </w:rPr>
        <w:t> </w:t>
      </w:r>
      <w:r w:rsidRPr="006A5B99">
        <w:rPr>
          <w:rFonts w:cs="Times New Roman"/>
          <w:noProof/>
          <w:lang w:val="fr-CA"/>
        </w:rPr>
        <w:t>»</w:t>
      </w:r>
      <w:r w:rsidRPr="006A5B99">
        <w:rPr>
          <w:rFonts w:eastAsia="Times New Roman" w:cs="Times New Roman"/>
          <w:noProof/>
          <w:lang w:val="fr-CA"/>
        </w:rPr>
        <w:t xml:space="preserve"> (</w:t>
      </w:r>
      <w:r w:rsidRPr="006A5B99">
        <w:rPr>
          <w:rFonts w:eastAsia="Times New Roman" w:cs="Times New Roman"/>
          <w:i/>
          <w:noProof/>
          <w:lang w:val="fr-CA"/>
        </w:rPr>
        <w:t>ibid.</w:t>
      </w:r>
      <w:r w:rsidRPr="006A5B99">
        <w:rPr>
          <w:rFonts w:eastAsia="Times New Roman" w:cs="Times New Roman"/>
          <w:noProof/>
          <w:lang w:val="fr-CA"/>
        </w:rPr>
        <w:t>). La question de savoir si une législature provinciale a codifié, limité ou écarté cette règle de common law est une question d’interprétation législative (</w:t>
      </w:r>
      <w:r w:rsidRPr="006A5B99">
        <w:rPr>
          <w:rFonts w:eastAsia="Times New Roman" w:cs="Times New Roman"/>
          <w:i/>
          <w:noProof/>
          <w:lang w:val="fr-CA"/>
        </w:rPr>
        <w:t>ibid.</w:t>
      </w:r>
      <w:r w:rsidRPr="006A5B99">
        <w:rPr>
          <w:rFonts w:eastAsia="Times New Roman" w:cs="Times New Roman"/>
          <w:noProof/>
          <w:lang w:val="fr-CA"/>
        </w:rPr>
        <w:t>,</w:t>
      </w:r>
      <w:r w:rsidRPr="006A5B99">
        <w:rPr>
          <w:rFonts w:eastAsia="Times New Roman" w:cs="Times New Roman"/>
          <w:i/>
          <w:noProof/>
          <w:lang w:val="fr-CA"/>
        </w:rPr>
        <w:t xml:space="preserve"> </w:t>
      </w:r>
      <w:r>
        <w:rPr>
          <w:rFonts w:eastAsia="Times New Roman" w:cs="Times New Roman"/>
          <w:noProof/>
          <w:lang w:val="fr-CA"/>
        </w:rPr>
        <w:t>par. </w:t>
      </w:r>
      <w:r w:rsidRPr="006A5B99">
        <w:rPr>
          <w:rFonts w:eastAsia="Times New Roman" w:cs="Times New Roman"/>
          <w:noProof/>
          <w:lang w:val="fr-CA"/>
        </w:rPr>
        <w:t xml:space="preserve">42, citant </w:t>
      </w:r>
      <w:r w:rsidRPr="006A5B99">
        <w:rPr>
          <w:rFonts w:eastAsia="Times New Roman" w:cs="Times New Roman"/>
          <w:i/>
          <w:noProof/>
          <w:lang w:val="fr-CA"/>
        </w:rPr>
        <w:t>Rizzo &amp; Rizzo Shoes Ltd. (Re)</w:t>
      </w:r>
      <w:r w:rsidRPr="006A5B99">
        <w:rPr>
          <w:rFonts w:eastAsia="Times New Roman" w:cs="Times New Roman"/>
          <w:noProof/>
          <w:lang w:val="fr-CA"/>
        </w:rPr>
        <w:t>, [1998</w:t>
      </w:r>
      <w:r w:rsidRPr="006A5B99">
        <w:rPr>
          <w:rFonts w:cs="Times New Roman"/>
          <w:noProof/>
          <w:lang w:val="fr-CA"/>
        </w:rPr>
        <w:t>]</w:t>
      </w:r>
      <w:r>
        <w:rPr>
          <w:rFonts w:cs="Times New Roman"/>
          <w:noProof/>
          <w:lang w:val="fr-CA"/>
        </w:rPr>
        <w:t xml:space="preserve"> </w:t>
      </w:r>
      <w:r w:rsidRPr="006A5B99">
        <w:rPr>
          <w:rFonts w:cs="Times New Roman"/>
          <w:noProof/>
          <w:lang w:val="fr-CA"/>
        </w:rPr>
        <w:t>1</w:t>
      </w:r>
      <w:r>
        <w:rPr>
          <w:rFonts w:cs="Times New Roman"/>
          <w:noProof/>
          <w:lang w:val="fr-CA"/>
        </w:rPr>
        <w:t xml:space="preserve"> </w:t>
      </w:r>
      <w:r w:rsidRPr="006A5B99">
        <w:rPr>
          <w:rFonts w:cs="Times New Roman"/>
          <w:noProof/>
          <w:lang w:val="fr-CA"/>
        </w:rPr>
        <w:t>R.C.S.</w:t>
      </w:r>
      <w:r>
        <w:rPr>
          <w:rFonts w:cs="Times New Roman"/>
          <w:noProof/>
          <w:lang w:val="fr-CA"/>
        </w:rPr>
        <w:t xml:space="preserve"> </w:t>
      </w:r>
      <w:r w:rsidRPr="006A5B99">
        <w:rPr>
          <w:rFonts w:cs="Times New Roman"/>
          <w:noProof/>
          <w:lang w:val="fr-CA"/>
        </w:rPr>
        <w:t xml:space="preserve">27, </w:t>
      </w:r>
      <w:r>
        <w:rPr>
          <w:rFonts w:cs="Times New Roman"/>
          <w:noProof/>
          <w:lang w:val="fr-CA"/>
        </w:rPr>
        <w:t>par. </w:t>
      </w:r>
      <w:r w:rsidRPr="006A5B99">
        <w:rPr>
          <w:rFonts w:cs="Times New Roman"/>
          <w:noProof/>
          <w:lang w:val="fr-CA"/>
        </w:rPr>
        <w:t xml:space="preserve">21). </w:t>
      </w:r>
    </w:p>
    <w:p w:rsidR="00AE79CA" w:rsidRPr="006A5B99" w:rsidRDefault="00AE79CA" w:rsidP="00AE79CA">
      <w:pPr>
        <w:pStyle w:val="ParaNoNdepar-AltN"/>
        <w:rPr>
          <w:rFonts w:cs="Times New Roman"/>
          <w:noProof/>
          <w:lang w:val="fr-CA"/>
        </w:rPr>
      </w:pPr>
      <w:r>
        <w:rPr>
          <w:rFonts w:eastAsia="Times New Roman" w:cs="Times New Roman"/>
          <w:noProof/>
          <w:lang w:val="fr-CA"/>
        </w:rPr>
        <w:t>En l’espèc</w:t>
      </w:r>
      <w:r w:rsidRPr="006A5B99">
        <w:rPr>
          <w:rFonts w:eastAsia="Times New Roman" w:cs="Times New Roman"/>
          <w:noProof/>
          <w:lang w:val="fr-CA"/>
        </w:rPr>
        <w:t>e, Grant Thornton soutient que l’</w:t>
      </w:r>
      <w:r>
        <w:rPr>
          <w:rFonts w:eastAsia="Times New Roman" w:cs="Times New Roman"/>
          <w:noProof/>
          <w:lang w:val="fr-CA"/>
        </w:rPr>
        <w:t>al. </w:t>
      </w:r>
      <w:r w:rsidRPr="006A5B99">
        <w:rPr>
          <w:rFonts w:eastAsia="Times New Roman" w:cs="Times New Roman"/>
          <w:noProof/>
          <w:lang w:val="fr-CA"/>
        </w:rPr>
        <w:t xml:space="preserve">5(1)a) et le </w:t>
      </w:r>
      <w:r>
        <w:rPr>
          <w:rFonts w:eastAsia="Times New Roman" w:cs="Times New Roman"/>
          <w:noProof/>
          <w:lang w:val="fr-CA"/>
        </w:rPr>
        <w:t>par. </w:t>
      </w:r>
      <w:r w:rsidRPr="006A5B99">
        <w:rPr>
          <w:rFonts w:eastAsia="Times New Roman" w:cs="Times New Roman"/>
          <w:noProof/>
          <w:lang w:val="fr-CA"/>
        </w:rPr>
        <w:t>5(2) écartent ou, à tout le moins, limitent la règle de common law de la possibilité de découvrir le dommage. À son avis, la législature du Nouveau</w:t>
      </w:r>
      <w:r>
        <w:rPr>
          <w:rFonts w:eastAsia="Times New Roman" w:cs="Times New Roman"/>
          <w:noProof/>
          <w:lang w:val="fr-CA"/>
        </w:rPr>
        <w:noBreakHyphen/>
      </w:r>
      <w:r w:rsidRPr="006A5B99">
        <w:rPr>
          <w:rFonts w:eastAsia="Times New Roman" w:cs="Times New Roman"/>
          <w:noProof/>
          <w:lang w:val="fr-CA"/>
        </w:rPr>
        <w:t>Brunswick a prévu que le délai de prescription fixé à l’</w:t>
      </w:r>
      <w:r>
        <w:rPr>
          <w:rFonts w:eastAsia="Times New Roman" w:cs="Times New Roman"/>
          <w:noProof/>
          <w:lang w:val="fr-CA"/>
        </w:rPr>
        <w:t>al. </w:t>
      </w:r>
      <w:r w:rsidRPr="006A5B99">
        <w:rPr>
          <w:rFonts w:eastAsia="Times New Roman" w:cs="Times New Roman"/>
          <w:noProof/>
          <w:lang w:val="fr-CA"/>
        </w:rPr>
        <w:t xml:space="preserve">5(1)a) commence à courir lorsque le </w:t>
      </w:r>
      <w:r>
        <w:rPr>
          <w:rFonts w:eastAsia="Times New Roman" w:cs="Times New Roman"/>
          <w:noProof/>
          <w:lang w:val="fr-CA"/>
        </w:rPr>
        <w:t>demandeur</w:t>
      </w:r>
      <w:r w:rsidRPr="006A5B99">
        <w:rPr>
          <w:rFonts w:eastAsia="Times New Roman" w:cs="Times New Roman"/>
          <w:noProof/>
          <w:lang w:val="fr-CA"/>
        </w:rPr>
        <w:t xml:space="preserve"> a un degré de connaissance moindre que celui qu’exige la règle de common</w:t>
      </w:r>
      <w:r>
        <w:rPr>
          <w:rFonts w:eastAsia="Times New Roman" w:cs="Times New Roman"/>
          <w:noProof/>
          <w:lang w:val="fr-CA"/>
        </w:rPr>
        <w:t xml:space="preserve"> </w:t>
      </w:r>
      <w:r w:rsidRPr="006A5B99">
        <w:rPr>
          <w:rFonts w:eastAsia="Times New Roman" w:cs="Times New Roman"/>
          <w:noProof/>
          <w:lang w:val="fr-CA"/>
        </w:rPr>
        <w:t>law, à savoir</w:t>
      </w:r>
      <w:r>
        <w:rPr>
          <w:rFonts w:eastAsia="Times New Roman" w:cs="Times New Roman"/>
          <w:noProof/>
          <w:lang w:val="fr-CA"/>
        </w:rPr>
        <w:t> :</w:t>
      </w:r>
      <w:r w:rsidRPr="006A5B99">
        <w:rPr>
          <w:rFonts w:eastAsia="Times New Roman" w:cs="Times New Roman"/>
          <w:noProof/>
          <w:lang w:val="fr-CA"/>
        </w:rPr>
        <w:t xml:space="preserve"> [</w:t>
      </w:r>
      <w:r w:rsidRPr="006A5B99">
        <w:rPr>
          <w:rFonts w:eastAsia="Times New Roman" w:cs="Times New Roman"/>
          <w:smallCaps/>
          <w:noProof/>
          <w:lang w:val="fr-CA"/>
        </w:rPr>
        <w:t>traduction</w:t>
      </w:r>
      <w:r w:rsidRPr="006A5B99">
        <w:rPr>
          <w:rFonts w:eastAsia="Times New Roman" w:cs="Times New Roman"/>
          <w:noProof/>
          <w:lang w:val="fr-CA"/>
        </w:rPr>
        <w:t>] «</w:t>
      </w:r>
      <w:r>
        <w:rPr>
          <w:rFonts w:eastAsia="Times New Roman" w:cs="Times New Roman"/>
          <w:noProof/>
          <w:lang w:val="fr-CA"/>
        </w:rPr>
        <w:t xml:space="preserve"> . . . </w:t>
      </w:r>
      <w:r w:rsidRPr="006A5B99">
        <w:rPr>
          <w:rFonts w:eastAsia="Times New Roman" w:cs="Times New Roman"/>
          <w:noProof/>
          <w:lang w:val="fr-CA"/>
        </w:rPr>
        <w:t>une raison suffisante, notamment au moyen d’inférences raisonnables fondées sur sa connaissance du fait qu’il a subi une perte, pour intenter une action contre le défendeur et pour entamer le processus judiciaire civil</w:t>
      </w:r>
      <w:r>
        <w:rPr>
          <w:rFonts w:eastAsia="Times New Roman" w:cs="Times New Roman"/>
          <w:noProof/>
          <w:lang w:val="fr-CA"/>
        </w:rPr>
        <w:t> </w:t>
      </w:r>
      <w:r w:rsidRPr="006A5B99">
        <w:rPr>
          <w:rFonts w:eastAsia="Times New Roman" w:cs="Times New Roman"/>
          <w:noProof/>
          <w:lang w:val="fr-CA"/>
        </w:rPr>
        <w:t xml:space="preserve">» (m.a., Grant Thornton LLP et Kent M. Ostridge, </w:t>
      </w:r>
      <w:r>
        <w:rPr>
          <w:rFonts w:eastAsia="Times New Roman" w:cs="Times New Roman"/>
          <w:noProof/>
          <w:lang w:val="fr-CA"/>
        </w:rPr>
        <w:t>par. </w:t>
      </w:r>
      <w:r w:rsidRPr="006A5B99">
        <w:rPr>
          <w:rFonts w:eastAsia="Times New Roman" w:cs="Times New Roman"/>
          <w:noProof/>
          <w:lang w:val="fr-CA"/>
        </w:rPr>
        <w:t>87).</w:t>
      </w:r>
      <w:r>
        <w:rPr>
          <w:rFonts w:eastAsia="Times New Roman" w:cs="Times New Roman"/>
          <w:noProof/>
          <w:lang w:val="fr-CA"/>
        </w:rPr>
        <w:t xml:space="preserve"> </w:t>
      </w:r>
    </w:p>
    <w:p w:rsidR="00AE79CA" w:rsidRPr="006A5B99" w:rsidRDefault="00AE79CA" w:rsidP="00AE79CA">
      <w:pPr>
        <w:pStyle w:val="ParaNoNdepar-AltN"/>
        <w:tabs>
          <w:tab w:val="clear" w:pos="1152"/>
          <w:tab w:val="left" w:pos="1166"/>
        </w:tabs>
        <w:rPr>
          <w:rFonts w:cs="Times New Roman"/>
          <w:noProof/>
          <w:lang w:val="fr-CA"/>
        </w:rPr>
      </w:pPr>
      <w:r w:rsidRPr="006A5B99">
        <w:rPr>
          <w:rFonts w:eastAsia="Times New Roman" w:cs="Times New Roman"/>
          <w:noProof/>
          <w:lang w:val="fr-CA"/>
        </w:rPr>
        <w:t>Avec égards, je ne suis pas d’accord. Selon moi, la législature du Nouveau</w:t>
      </w:r>
      <w:r>
        <w:rPr>
          <w:rFonts w:eastAsia="Times New Roman" w:cs="Times New Roman"/>
          <w:noProof/>
          <w:lang w:val="fr-CA"/>
        </w:rPr>
        <w:noBreakHyphen/>
      </w:r>
      <w:r w:rsidRPr="006A5B99">
        <w:rPr>
          <w:rFonts w:eastAsia="Times New Roman" w:cs="Times New Roman"/>
          <w:noProof/>
          <w:lang w:val="fr-CA"/>
        </w:rPr>
        <w:t>Brunswick a choisi de codifier la règle de common law à l’</w:t>
      </w:r>
      <w:r>
        <w:rPr>
          <w:rFonts w:eastAsia="Times New Roman" w:cs="Times New Roman"/>
          <w:noProof/>
          <w:lang w:val="fr-CA"/>
        </w:rPr>
        <w:t>al. </w:t>
      </w:r>
      <w:r w:rsidRPr="006A5B99">
        <w:rPr>
          <w:rFonts w:eastAsia="Times New Roman" w:cs="Times New Roman"/>
          <w:noProof/>
          <w:lang w:val="fr-CA"/>
        </w:rPr>
        <w:t xml:space="preserve">5(1)a) et au </w:t>
      </w:r>
      <w:r>
        <w:rPr>
          <w:rFonts w:eastAsia="Times New Roman" w:cs="Times New Roman"/>
          <w:noProof/>
          <w:lang w:val="fr-CA"/>
        </w:rPr>
        <w:t>par. </w:t>
      </w:r>
      <w:r w:rsidRPr="006A5B99">
        <w:rPr>
          <w:rFonts w:eastAsia="Times New Roman" w:cs="Times New Roman"/>
          <w:noProof/>
          <w:lang w:val="fr-CA"/>
        </w:rPr>
        <w:t xml:space="preserve">5(2) de la </w:t>
      </w:r>
      <w:r w:rsidRPr="006A5B99">
        <w:rPr>
          <w:rFonts w:eastAsia="Times New Roman" w:cs="Times New Roman"/>
          <w:i/>
          <w:noProof/>
          <w:lang w:val="fr-CA"/>
        </w:rPr>
        <w:t>L</w:t>
      </w:r>
      <w:r>
        <w:rPr>
          <w:rFonts w:eastAsia="Times New Roman" w:cs="Times New Roman"/>
          <w:i/>
          <w:noProof/>
          <w:lang w:val="fr-CA"/>
        </w:rPr>
        <w:t xml:space="preserve">P. </w:t>
      </w:r>
      <w:r w:rsidRPr="006A5B99">
        <w:rPr>
          <w:rFonts w:eastAsia="Times New Roman" w:cs="Times New Roman"/>
          <w:noProof/>
          <w:lang w:val="fr-CA"/>
        </w:rPr>
        <w:t>Cette interprétation est confirmée par les termes de l’</w:t>
      </w:r>
      <w:r>
        <w:rPr>
          <w:rFonts w:eastAsia="Times New Roman" w:cs="Times New Roman"/>
          <w:noProof/>
          <w:lang w:val="fr-CA"/>
        </w:rPr>
        <w:t>art. </w:t>
      </w:r>
      <w:r w:rsidRPr="006A5B99">
        <w:rPr>
          <w:rFonts w:eastAsia="Times New Roman" w:cs="Times New Roman"/>
          <w:noProof/>
          <w:lang w:val="fr-CA"/>
        </w:rPr>
        <w:t xml:space="preserve">5, lorsqu’on les lit dans leur contexte global en suivant le sens ordinaire et grammatical qui s’harmonise avec l’économie </w:t>
      </w:r>
      <w:r>
        <w:rPr>
          <w:rFonts w:eastAsia="Times New Roman" w:cs="Times New Roman"/>
          <w:noProof/>
          <w:lang w:val="fr-CA"/>
        </w:rPr>
        <w:t xml:space="preserve">et </w:t>
      </w:r>
      <w:r w:rsidRPr="006A5B99">
        <w:rPr>
          <w:rFonts w:cs="Times New Roman"/>
          <w:iCs/>
          <w:noProof/>
          <w:lang w:val="fr-CA"/>
        </w:rPr>
        <w:t xml:space="preserve">l’objet </w:t>
      </w:r>
      <w:r w:rsidRPr="006A5B99">
        <w:rPr>
          <w:rFonts w:eastAsia="Times New Roman" w:cs="Times New Roman"/>
          <w:noProof/>
          <w:lang w:val="fr-CA"/>
        </w:rPr>
        <w:t xml:space="preserve">de la </w:t>
      </w:r>
      <w:r w:rsidRPr="006A5B99">
        <w:rPr>
          <w:rFonts w:cs="Times New Roman"/>
          <w:i/>
          <w:noProof/>
          <w:lang w:val="fr-CA"/>
        </w:rPr>
        <w:t>LP</w:t>
      </w:r>
      <w:r>
        <w:rPr>
          <w:rFonts w:cs="Times New Roman"/>
          <w:iCs/>
          <w:noProof/>
          <w:lang w:val="fr-CA"/>
        </w:rPr>
        <w:t xml:space="preserve"> ainsi qu’avec </w:t>
      </w:r>
      <w:r w:rsidRPr="006A5B99">
        <w:rPr>
          <w:rFonts w:cs="Times New Roman"/>
          <w:iCs/>
          <w:noProof/>
          <w:lang w:val="fr-CA"/>
        </w:rPr>
        <w:t xml:space="preserve">l’intention du législateur </w:t>
      </w:r>
      <w:r w:rsidRPr="006A5B99">
        <w:rPr>
          <w:rFonts w:cs="Times New Roman"/>
          <w:noProof/>
          <w:lang w:val="fr-CA"/>
        </w:rPr>
        <w:t xml:space="preserve">(voir </w:t>
      </w:r>
      <w:r w:rsidRPr="006A5B99">
        <w:rPr>
          <w:rFonts w:cs="Times New Roman"/>
          <w:i/>
          <w:noProof/>
          <w:lang w:val="fr-CA"/>
        </w:rPr>
        <w:t>Rizzo &amp; Rizzo</w:t>
      </w:r>
      <w:r w:rsidRPr="006A5B99">
        <w:rPr>
          <w:rFonts w:cs="Times New Roman"/>
          <w:noProof/>
          <w:lang w:val="fr-CA"/>
        </w:rPr>
        <w:t>,</w:t>
      </w:r>
      <w:r w:rsidRPr="006A5B99">
        <w:rPr>
          <w:rFonts w:cs="Times New Roman"/>
          <w:i/>
          <w:noProof/>
          <w:lang w:val="fr-CA"/>
        </w:rPr>
        <w:t xml:space="preserve"> </w:t>
      </w:r>
      <w:r>
        <w:rPr>
          <w:rFonts w:cs="Times New Roman"/>
          <w:noProof/>
          <w:lang w:val="fr-CA"/>
        </w:rPr>
        <w:t>par. </w:t>
      </w:r>
      <w:r w:rsidRPr="006A5B99">
        <w:rPr>
          <w:rFonts w:cs="Times New Roman"/>
          <w:noProof/>
          <w:lang w:val="fr-CA"/>
        </w:rPr>
        <w:t xml:space="preserve">21). </w:t>
      </w:r>
    </w:p>
    <w:p w:rsidR="00AE79CA" w:rsidRPr="006A5B99" w:rsidRDefault="00AE79CA" w:rsidP="00AE79CA">
      <w:pPr>
        <w:pStyle w:val="ParaNoNdepar-AltN"/>
        <w:tabs>
          <w:tab w:val="clear" w:pos="1152"/>
          <w:tab w:val="left" w:pos="1166"/>
        </w:tabs>
        <w:rPr>
          <w:rFonts w:cs="Times New Roman"/>
          <w:noProof/>
          <w:lang w:val="fr-CA"/>
        </w:rPr>
      </w:pPr>
      <w:r w:rsidRPr="006A5B99">
        <w:rPr>
          <w:rFonts w:eastAsia="Times New Roman" w:cs="Times New Roman"/>
          <w:noProof/>
          <w:lang w:val="fr-CA"/>
        </w:rPr>
        <w:t xml:space="preserve">Comme l’énonce le </w:t>
      </w:r>
      <w:r>
        <w:rPr>
          <w:rFonts w:eastAsia="Times New Roman" w:cs="Times New Roman"/>
          <w:noProof/>
          <w:lang w:val="fr-CA"/>
        </w:rPr>
        <w:t>par. </w:t>
      </w:r>
      <w:r w:rsidRPr="006A5B99">
        <w:rPr>
          <w:rFonts w:eastAsia="Times New Roman" w:cs="Times New Roman"/>
          <w:noProof/>
          <w:lang w:val="fr-CA"/>
        </w:rPr>
        <w:t>17 des présents motifs, l’</w:t>
      </w:r>
      <w:r>
        <w:rPr>
          <w:rFonts w:eastAsia="Times New Roman" w:cs="Times New Roman"/>
          <w:noProof/>
          <w:lang w:val="fr-CA"/>
        </w:rPr>
        <w:t>art. </w:t>
      </w:r>
      <w:r w:rsidRPr="006A5B99">
        <w:rPr>
          <w:rFonts w:eastAsia="Times New Roman" w:cs="Times New Roman"/>
          <w:noProof/>
          <w:lang w:val="fr-CA"/>
        </w:rPr>
        <w:t>5</w:t>
      </w:r>
      <w:r w:rsidRPr="006A5B99">
        <w:rPr>
          <w:rFonts w:eastAsia="Times New Roman" w:cs="Times New Roman"/>
          <w:i/>
          <w:noProof/>
          <w:lang w:val="fr-CA"/>
        </w:rPr>
        <w:t xml:space="preserve"> </w:t>
      </w:r>
      <w:r w:rsidRPr="006A5B99">
        <w:rPr>
          <w:rFonts w:eastAsia="Times New Roman" w:cs="Times New Roman"/>
          <w:noProof/>
          <w:lang w:val="fr-CA"/>
        </w:rPr>
        <w:t xml:space="preserve">de la </w:t>
      </w:r>
      <w:r w:rsidRPr="006A5B99">
        <w:rPr>
          <w:rFonts w:eastAsia="Times New Roman" w:cs="Times New Roman"/>
          <w:i/>
          <w:noProof/>
          <w:lang w:val="fr-CA"/>
        </w:rPr>
        <w:t>LP</w:t>
      </w:r>
      <w:r w:rsidRPr="006A5B99">
        <w:rPr>
          <w:rFonts w:eastAsia="Times New Roman" w:cs="Times New Roman"/>
          <w:noProof/>
          <w:lang w:val="fr-CA"/>
        </w:rPr>
        <w:t xml:space="preserve"> est ainsi libellé</w:t>
      </w:r>
      <w:r>
        <w:rPr>
          <w:rFonts w:eastAsia="Times New Roman" w:cs="Times New Roman"/>
          <w:noProof/>
          <w:lang w:val="fr-CA"/>
        </w:rPr>
        <w:t> :</w:t>
      </w:r>
    </w:p>
    <w:p w:rsidR="00AE79CA" w:rsidRPr="006A5B99" w:rsidRDefault="00AE79CA" w:rsidP="00AE79CA">
      <w:pPr>
        <w:pStyle w:val="Citation-AltC"/>
        <w:spacing w:after="240"/>
        <w:ind w:hanging="1166"/>
        <w:contextualSpacing w:val="0"/>
        <w:rPr>
          <w:b/>
          <w:noProof/>
          <w:lang w:val="fr-CA"/>
        </w:rPr>
      </w:pPr>
      <w:r>
        <w:rPr>
          <w:b/>
          <w:noProof/>
          <w:lang w:val="fr-CA"/>
        </w:rPr>
        <w:tab/>
      </w:r>
      <w:r w:rsidRPr="006A5B99">
        <w:rPr>
          <w:b/>
          <w:noProof/>
          <w:lang w:val="fr-CA"/>
        </w:rPr>
        <w:t>Délais de prescription ordinaires</w:t>
      </w:r>
    </w:p>
    <w:p w:rsidR="00AE79CA" w:rsidRPr="00893617" w:rsidRDefault="00AE79CA" w:rsidP="00AE79CA">
      <w:pPr>
        <w:pStyle w:val="Citation-AltC"/>
        <w:spacing w:after="240"/>
        <w:ind w:left="1168" w:hanging="1168"/>
        <w:contextualSpacing w:val="0"/>
        <w:rPr>
          <w:lang w:val="fr-CA"/>
        </w:rPr>
      </w:pPr>
      <w:r w:rsidRPr="003114C9">
        <w:rPr>
          <w:b/>
          <w:bCs/>
          <w:lang w:val="fr-CA"/>
        </w:rPr>
        <w:tab/>
      </w:r>
      <w:r w:rsidRPr="00893617">
        <w:rPr>
          <w:b/>
          <w:bCs/>
          <w:lang w:val="fr-CA"/>
        </w:rPr>
        <w:t>5</w:t>
      </w:r>
      <w:r>
        <w:rPr>
          <w:lang w:val="fr-CA"/>
        </w:rPr>
        <w:t>(1) </w:t>
      </w:r>
      <w:r w:rsidRPr="00893617">
        <w:rPr>
          <w:lang w:val="fr-CA"/>
        </w:rPr>
        <w:t>Sauf disposition contraire de la présente loi, toute réclamation se prescrit par celui des délais ci</w:t>
      </w:r>
      <w:r w:rsidRPr="00893617">
        <w:rPr>
          <w:lang w:val="fr-CA"/>
        </w:rPr>
        <w:noBreakHyphen/>
        <w:t>dessous qui expire le premier : </w:t>
      </w:r>
    </w:p>
    <w:p w:rsidR="00AE79CA" w:rsidRPr="00893617" w:rsidRDefault="00AE79CA" w:rsidP="00AE79CA">
      <w:pPr>
        <w:pStyle w:val="Citation-AltC"/>
        <w:numPr>
          <w:ilvl w:val="0"/>
          <w:numId w:val="19"/>
        </w:numPr>
        <w:spacing w:after="240"/>
        <w:ind w:left="1843"/>
        <w:contextualSpacing w:val="0"/>
        <w:rPr>
          <w:lang w:val="fr-CA"/>
        </w:rPr>
      </w:pPr>
      <w:r w:rsidRPr="00893617">
        <w:rPr>
          <w:lang w:val="fr-CA"/>
        </w:rPr>
        <w:t>deux ans à compter du jour où sont découverts les faits y ayant donné naissance;</w:t>
      </w:r>
    </w:p>
    <w:p w:rsidR="00AE79CA" w:rsidRPr="00893617" w:rsidRDefault="00AE79CA" w:rsidP="00AE79CA">
      <w:pPr>
        <w:pStyle w:val="Citation-AltC"/>
        <w:numPr>
          <w:ilvl w:val="0"/>
          <w:numId w:val="19"/>
        </w:numPr>
        <w:spacing w:after="240"/>
        <w:ind w:left="1843"/>
        <w:contextualSpacing w:val="0"/>
        <w:rPr>
          <w:lang w:val="fr-CA"/>
        </w:rPr>
      </w:pPr>
      <w:r w:rsidRPr="00893617">
        <w:rPr>
          <w:lang w:val="fr-CA"/>
        </w:rPr>
        <w:t>quinze ans à compter du jour où a eu lieu l’acte ou l’omission sur lequel elle est fondée.</w:t>
      </w:r>
    </w:p>
    <w:p w:rsidR="00AE79CA" w:rsidRPr="00893617" w:rsidRDefault="00AE79CA" w:rsidP="00AE79CA">
      <w:pPr>
        <w:pStyle w:val="Citation-AltC"/>
        <w:spacing w:after="240"/>
        <w:ind w:left="1168" w:hanging="1168"/>
        <w:contextualSpacing w:val="0"/>
        <w:rPr>
          <w:lang w:val="fr-CA"/>
        </w:rPr>
      </w:pPr>
      <w:r w:rsidRPr="00893617">
        <w:rPr>
          <w:b/>
          <w:bCs/>
          <w:lang w:val="fr-CA"/>
        </w:rPr>
        <w:tab/>
        <w:t>5</w:t>
      </w:r>
      <w:r w:rsidRPr="00893617">
        <w:rPr>
          <w:lang w:val="fr-CA"/>
        </w:rPr>
        <w:t>(2)</w:t>
      </w:r>
      <w:r>
        <w:rPr>
          <w:lang w:val="fr-CA"/>
        </w:rPr>
        <w:t> </w:t>
      </w:r>
      <w:r w:rsidRPr="00893617">
        <w:rPr>
          <w:lang w:val="fr-CA"/>
        </w:rPr>
        <w:t>Les faits ayant donné naissance à la réclamation sont découverts le jour où le réclamant a appris ou aurait dû normalement apprendre :</w:t>
      </w:r>
    </w:p>
    <w:p w:rsidR="00AE79CA" w:rsidRPr="00893617" w:rsidRDefault="00AE79CA" w:rsidP="00AE79CA">
      <w:pPr>
        <w:pStyle w:val="Citation-AltC"/>
        <w:numPr>
          <w:ilvl w:val="0"/>
          <w:numId w:val="20"/>
        </w:numPr>
        <w:spacing w:after="240"/>
        <w:ind w:left="1843"/>
        <w:contextualSpacing w:val="0"/>
        <w:rPr>
          <w:lang w:val="fr-CA"/>
        </w:rPr>
      </w:pPr>
      <w:r w:rsidRPr="00893617">
        <w:rPr>
          <w:lang w:val="fr-CA"/>
        </w:rPr>
        <w:t>que sont survenus les préjudices, les pertes ou les dommages;</w:t>
      </w:r>
    </w:p>
    <w:p w:rsidR="00AE79CA" w:rsidRPr="00893617" w:rsidRDefault="00AE79CA" w:rsidP="00AE79CA">
      <w:pPr>
        <w:pStyle w:val="Citation-AltC"/>
        <w:numPr>
          <w:ilvl w:val="0"/>
          <w:numId w:val="20"/>
        </w:numPr>
        <w:spacing w:after="240"/>
        <w:ind w:left="1843"/>
        <w:contextualSpacing w:val="0"/>
        <w:rPr>
          <w:lang w:val="fr-CA"/>
        </w:rPr>
      </w:pPr>
      <w:r w:rsidRPr="00893617">
        <w:rPr>
          <w:lang w:val="fr-CA"/>
        </w:rPr>
        <w:t>que les préjudices, les pertes ou les dommages ont été causés entièrement ou en partie par un acte ou une omission;</w:t>
      </w:r>
    </w:p>
    <w:p w:rsidR="00AE79CA" w:rsidRPr="00893617" w:rsidRDefault="00AE79CA" w:rsidP="00AE79CA">
      <w:pPr>
        <w:pStyle w:val="Citation-AltC"/>
        <w:numPr>
          <w:ilvl w:val="0"/>
          <w:numId w:val="20"/>
        </w:numPr>
        <w:ind w:left="1843" w:hanging="357"/>
        <w:contextualSpacing w:val="0"/>
        <w:rPr>
          <w:lang w:val="fr-CA"/>
        </w:rPr>
      </w:pPr>
      <w:r w:rsidRPr="00893617">
        <w:rPr>
          <w:lang w:val="fr-CA"/>
        </w:rPr>
        <w:t>que l’acte ou l’omission était le fait du défendeur.</w:t>
      </w:r>
    </w:p>
    <w:p w:rsidR="00AE79CA" w:rsidRPr="006A5B99" w:rsidRDefault="00AE79CA" w:rsidP="00AE79CA">
      <w:pPr>
        <w:pStyle w:val="ParaNoNdepar-AltN"/>
        <w:rPr>
          <w:rFonts w:cs="Times New Roman"/>
          <w:noProof/>
          <w:lang w:val="fr-CA"/>
        </w:rPr>
      </w:pPr>
      <w:r w:rsidRPr="006A5B99">
        <w:rPr>
          <w:rFonts w:cs="Times New Roman"/>
          <w:noProof/>
          <w:lang w:val="fr-CA"/>
        </w:rPr>
        <w:t>Les termes clairs de cette disposition ne comportent aucune ambiguïté. L’alinéa 5(1)a) prévoit que toute réclamation se prescrit par deux ans à compter du jour où sont «</w:t>
      </w:r>
      <w:r>
        <w:rPr>
          <w:rFonts w:cs="Times New Roman"/>
          <w:noProof/>
          <w:lang w:val="fr-CA"/>
        </w:rPr>
        <w:t> </w:t>
      </w:r>
      <w:r w:rsidRPr="006A5B99">
        <w:rPr>
          <w:rFonts w:cs="Times New Roman"/>
          <w:noProof/>
          <w:lang w:val="fr-CA"/>
        </w:rPr>
        <w:t>découverts</w:t>
      </w:r>
      <w:r>
        <w:rPr>
          <w:rFonts w:cs="Times New Roman"/>
          <w:noProof/>
          <w:lang w:val="fr-CA"/>
        </w:rPr>
        <w:t> </w:t>
      </w:r>
      <w:r w:rsidRPr="006A5B99">
        <w:rPr>
          <w:rFonts w:cs="Times New Roman"/>
          <w:noProof/>
          <w:lang w:val="fr-CA"/>
        </w:rPr>
        <w:t>» les faits y ayant donné naissance. Le paragraphe 5(2) précise que les faits ayant donné naissance à la réclamation sont découverts le jour où le réclamant a appris ou aurait dû normalement apprendre les faits qui sont importants, en l’occurrence la survenance d’un préjudice, d’une perte ou d’un dommage causé entièrement ou en partie par un acte ou une omission du défendeur. Comme il ressort du libellé de cette disposition, il n’y a pas de texte législatif clair qui écarte ou limite la règle de common law; en réalité, c’est exactement le contraire. Les faits donnant lieu à l’application du délai de prescription prévu à l’</w:t>
      </w:r>
      <w:r>
        <w:rPr>
          <w:rFonts w:cs="Times New Roman"/>
          <w:noProof/>
          <w:lang w:val="fr-CA"/>
        </w:rPr>
        <w:t>al. </w:t>
      </w:r>
      <w:r w:rsidRPr="006A5B99">
        <w:rPr>
          <w:rFonts w:cs="Times New Roman"/>
          <w:noProof/>
          <w:lang w:val="fr-CA"/>
        </w:rPr>
        <w:t xml:space="preserve">5(1)a) sont liés au degré de connaissance du </w:t>
      </w:r>
      <w:r>
        <w:rPr>
          <w:rFonts w:cs="Times New Roman"/>
          <w:noProof/>
          <w:lang w:val="fr-CA"/>
        </w:rPr>
        <w:t>demandeur</w:t>
      </w:r>
      <w:r w:rsidRPr="006A5B99">
        <w:rPr>
          <w:rFonts w:cs="Times New Roman"/>
          <w:noProof/>
          <w:lang w:val="fr-CA"/>
        </w:rPr>
        <w:t xml:space="preserve"> de la même manière que ce que prévoit la règle de common law. </w:t>
      </w:r>
    </w:p>
    <w:p w:rsidR="00AE79CA" w:rsidRPr="006A5B99" w:rsidRDefault="00AE79CA" w:rsidP="00AE79CA">
      <w:pPr>
        <w:pStyle w:val="ParaNoNdepar-AltN"/>
        <w:rPr>
          <w:rFonts w:cs="Times New Roman"/>
          <w:noProof/>
          <w:lang w:val="fr-CA"/>
        </w:rPr>
      </w:pPr>
      <w:r w:rsidRPr="006A5B99">
        <w:rPr>
          <w:rFonts w:cs="Times New Roman"/>
          <w:noProof/>
          <w:lang w:val="fr-CA"/>
        </w:rPr>
        <w:t xml:space="preserve">En outre, il n’y a rien dans l’économie ou dans l’objet de la </w:t>
      </w:r>
      <w:r w:rsidRPr="006A5B99">
        <w:rPr>
          <w:rFonts w:cs="Times New Roman"/>
          <w:i/>
          <w:noProof/>
          <w:lang w:val="fr-CA"/>
        </w:rPr>
        <w:t xml:space="preserve">LP </w:t>
      </w:r>
      <w:r w:rsidRPr="006A5B99">
        <w:rPr>
          <w:rFonts w:cs="Times New Roman"/>
          <w:noProof/>
          <w:lang w:val="fr-CA"/>
        </w:rPr>
        <w:t>qui modifie les principes généraux de la règle de common</w:t>
      </w:r>
      <w:r>
        <w:rPr>
          <w:rFonts w:cs="Times New Roman"/>
          <w:noProof/>
          <w:lang w:val="fr-CA"/>
        </w:rPr>
        <w:t xml:space="preserve"> </w:t>
      </w:r>
      <w:r w:rsidRPr="006A5B99">
        <w:rPr>
          <w:rFonts w:cs="Times New Roman"/>
          <w:noProof/>
          <w:lang w:val="fr-CA"/>
        </w:rPr>
        <w:t>law. La législature du Nouveau</w:t>
      </w:r>
      <w:r>
        <w:rPr>
          <w:rFonts w:cs="Times New Roman"/>
          <w:noProof/>
          <w:lang w:val="fr-CA"/>
        </w:rPr>
        <w:noBreakHyphen/>
      </w:r>
      <w:r w:rsidRPr="006A5B99">
        <w:rPr>
          <w:rFonts w:cs="Times New Roman"/>
          <w:noProof/>
          <w:lang w:val="fr-CA"/>
        </w:rPr>
        <w:t>Brunswick a adopté le régime général de prescription prévu à l’</w:t>
      </w:r>
      <w:r>
        <w:rPr>
          <w:rFonts w:cs="Times New Roman"/>
          <w:noProof/>
          <w:lang w:val="fr-CA"/>
        </w:rPr>
        <w:t>art. </w:t>
      </w:r>
      <w:r w:rsidRPr="006A5B99">
        <w:rPr>
          <w:rFonts w:cs="Times New Roman"/>
          <w:noProof/>
          <w:lang w:val="fr-CA"/>
        </w:rPr>
        <w:t>5 pour simplifier les règles de droit en matière de délais de prescription. Pour ce faire, elle a expressément modelé l’</w:t>
      </w:r>
      <w:r>
        <w:rPr>
          <w:rFonts w:cs="Times New Roman"/>
          <w:noProof/>
          <w:lang w:val="fr-CA"/>
        </w:rPr>
        <w:t>art. </w:t>
      </w:r>
      <w:r w:rsidRPr="006A5B99">
        <w:rPr>
          <w:rFonts w:cs="Times New Roman"/>
          <w:noProof/>
          <w:lang w:val="fr-CA"/>
        </w:rPr>
        <w:t>5 en s’inspirant de dispositions similaires en matière de prescription de l’Ontario, de la Saskatchewan et de l’Alberta (Nouveau</w:t>
      </w:r>
      <w:r>
        <w:rPr>
          <w:rFonts w:cs="Times New Roman"/>
          <w:noProof/>
          <w:lang w:val="fr-CA"/>
        </w:rPr>
        <w:noBreakHyphen/>
        <w:t>Brunswick, C</w:t>
      </w:r>
      <w:r w:rsidRPr="006A5B99">
        <w:rPr>
          <w:rFonts w:cs="Times New Roman"/>
          <w:noProof/>
          <w:lang w:val="fr-CA"/>
        </w:rPr>
        <w:t xml:space="preserve">abinet du procureur général, </w:t>
      </w:r>
      <w:r w:rsidRPr="006A5B99">
        <w:rPr>
          <w:rFonts w:cs="Times New Roman"/>
          <w:i/>
          <w:noProof/>
          <w:lang w:val="fr-CA"/>
        </w:rPr>
        <w:t>Analyse du projet de loi 28</w:t>
      </w:r>
      <w:r>
        <w:rPr>
          <w:rFonts w:cs="Times New Roman"/>
          <w:i/>
          <w:noProof/>
          <w:lang w:val="fr-CA"/>
        </w:rPr>
        <w:t> :</w:t>
      </w:r>
      <w:r w:rsidRPr="006A5B99">
        <w:rPr>
          <w:rFonts w:cs="Times New Roman"/>
          <w:i/>
          <w:noProof/>
          <w:lang w:val="fr-CA"/>
        </w:rPr>
        <w:t xml:space="preserve"> Loi sur la prescription</w:t>
      </w:r>
      <w:r w:rsidRPr="006A5B99">
        <w:rPr>
          <w:rFonts w:cs="Times New Roman"/>
          <w:noProof/>
          <w:lang w:val="fr-CA"/>
        </w:rPr>
        <w:t>,</w:t>
      </w:r>
      <w:r w:rsidRPr="006A5B99">
        <w:rPr>
          <w:rFonts w:cs="Times New Roman"/>
          <w:i/>
          <w:noProof/>
          <w:lang w:val="fr-CA"/>
        </w:rPr>
        <w:t xml:space="preserve"> </w:t>
      </w:r>
      <w:r w:rsidRPr="006A5B99">
        <w:rPr>
          <w:rFonts w:cs="Times New Roman"/>
          <w:noProof/>
          <w:lang w:val="fr-CA"/>
        </w:rPr>
        <w:t xml:space="preserve">janvier 2009 (en ligne), </w:t>
      </w:r>
      <w:r>
        <w:rPr>
          <w:rFonts w:cs="Times New Roman"/>
          <w:noProof/>
          <w:lang w:val="fr-CA"/>
        </w:rPr>
        <w:t>p. </w:t>
      </w:r>
      <w:r w:rsidRPr="006A5B99">
        <w:rPr>
          <w:rFonts w:cs="Times New Roman"/>
          <w:noProof/>
          <w:lang w:val="fr-CA"/>
        </w:rPr>
        <w:t>1 et 4</w:t>
      </w:r>
      <w:r>
        <w:rPr>
          <w:rFonts w:cs="Times New Roman"/>
          <w:noProof/>
          <w:lang w:val="fr-CA"/>
        </w:rPr>
        <w:t>-5</w:t>
      </w:r>
      <w:r w:rsidRPr="006A5B99">
        <w:rPr>
          <w:rFonts w:cs="Times New Roman"/>
          <w:noProof/>
          <w:lang w:val="fr-CA"/>
        </w:rPr>
        <w:t xml:space="preserve">), et qui, selon les tribunaux, codifient toutes la règle de common law de la possibilité de découvrir le dommage (voir, par ex., </w:t>
      </w:r>
      <w:r w:rsidRPr="006A5B99">
        <w:rPr>
          <w:rFonts w:cs="Times New Roman"/>
          <w:i/>
          <w:noProof/>
          <w:lang w:val="fr-CA"/>
        </w:rPr>
        <w:t>Galota c. Festival Hall Developments Ltd.</w:t>
      </w:r>
      <w:r w:rsidRPr="006A5B99">
        <w:rPr>
          <w:rFonts w:cs="Times New Roman"/>
          <w:noProof/>
          <w:lang w:val="fr-CA"/>
        </w:rPr>
        <w:t>,</w:t>
      </w:r>
      <w:r w:rsidRPr="006A5B99">
        <w:rPr>
          <w:rFonts w:cs="Times New Roman"/>
          <w:i/>
          <w:noProof/>
          <w:lang w:val="fr-CA"/>
        </w:rPr>
        <w:t xml:space="preserve"> </w:t>
      </w:r>
      <w:r w:rsidRPr="006A5B99">
        <w:rPr>
          <w:rFonts w:cs="Times New Roman"/>
          <w:noProof/>
          <w:lang w:val="fr-CA"/>
        </w:rPr>
        <w:t>2016</w:t>
      </w:r>
      <w:r>
        <w:rPr>
          <w:rFonts w:cs="Times New Roman"/>
          <w:noProof/>
          <w:lang w:val="fr-CA"/>
        </w:rPr>
        <w:t xml:space="preserve"> </w:t>
      </w:r>
      <w:r w:rsidRPr="006A5B99">
        <w:rPr>
          <w:rFonts w:cs="Times New Roman"/>
          <w:noProof/>
          <w:lang w:val="fr-CA"/>
        </w:rPr>
        <w:t>ONCA</w:t>
      </w:r>
      <w:r>
        <w:rPr>
          <w:rFonts w:cs="Times New Roman"/>
          <w:noProof/>
          <w:lang w:val="fr-CA"/>
        </w:rPr>
        <w:t xml:space="preserve"> </w:t>
      </w:r>
      <w:r w:rsidRPr="006A5B99">
        <w:rPr>
          <w:rFonts w:cs="Times New Roman"/>
          <w:noProof/>
          <w:lang w:val="fr-CA"/>
        </w:rPr>
        <w:t xml:space="preserve">585, 133 O.R. (3d) 35, </w:t>
      </w:r>
      <w:r>
        <w:rPr>
          <w:rFonts w:cs="Times New Roman"/>
          <w:noProof/>
          <w:lang w:val="fr-CA"/>
        </w:rPr>
        <w:t>par. </w:t>
      </w:r>
      <w:r w:rsidRPr="006A5B99">
        <w:rPr>
          <w:rFonts w:cs="Times New Roman"/>
          <w:noProof/>
          <w:lang w:val="fr-CA"/>
        </w:rPr>
        <w:t xml:space="preserve">15; </w:t>
      </w:r>
      <w:r w:rsidRPr="006A5B99">
        <w:rPr>
          <w:rFonts w:cs="Times New Roman"/>
          <w:i/>
          <w:noProof/>
          <w:lang w:val="fr-CA"/>
        </w:rPr>
        <w:t>De Shazo c. Nations Energy Co.</w:t>
      </w:r>
      <w:r w:rsidRPr="006A5B99">
        <w:rPr>
          <w:rFonts w:cs="Times New Roman"/>
          <w:noProof/>
          <w:lang w:val="fr-CA"/>
        </w:rPr>
        <w:t>, 2005</w:t>
      </w:r>
      <w:r>
        <w:rPr>
          <w:rFonts w:cs="Times New Roman"/>
          <w:noProof/>
          <w:lang w:val="fr-CA"/>
        </w:rPr>
        <w:t xml:space="preserve"> </w:t>
      </w:r>
      <w:r w:rsidRPr="006A5B99">
        <w:rPr>
          <w:rFonts w:cs="Times New Roman"/>
          <w:noProof/>
          <w:lang w:val="fr-CA"/>
        </w:rPr>
        <w:t>ABCA</w:t>
      </w:r>
      <w:r>
        <w:rPr>
          <w:rFonts w:cs="Times New Roman"/>
          <w:noProof/>
          <w:lang w:val="fr-CA"/>
        </w:rPr>
        <w:t xml:space="preserve"> </w:t>
      </w:r>
      <w:r w:rsidRPr="006A5B99">
        <w:rPr>
          <w:rFonts w:cs="Times New Roman"/>
          <w:noProof/>
          <w:lang w:val="fr-CA"/>
        </w:rPr>
        <w:t xml:space="preserve">241, 48 Alta. L.R. (4th) 25, </w:t>
      </w:r>
      <w:r>
        <w:rPr>
          <w:rFonts w:cs="Times New Roman"/>
          <w:noProof/>
          <w:lang w:val="fr-CA"/>
        </w:rPr>
        <w:t>par. </w:t>
      </w:r>
      <w:r w:rsidRPr="006A5B99">
        <w:rPr>
          <w:rFonts w:cs="Times New Roman"/>
          <w:noProof/>
          <w:lang w:val="fr-CA"/>
        </w:rPr>
        <w:t xml:space="preserve">26; </w:t>
      </w:r>
      <w:r w:rsidRPr="006A5B99">
        <w:rPr>
          <w:rFonts w:cs="Times New Roman"/>
          <w:i/>
          <w:noProof/>
          <w:lang w:val="fr-CA"/>
        </w:rPr>
        <w:t>Jardine c. Saskatoon Police Service</w:t>
      </w:r>
      <w:r w:rsidRPr="006A5B99">
        <w:rPr>
          <w:rFonts w:cs="Times New Roman"/>
          <w:noProof/>
          <w:lang w:val="fr-CA"/>
        </w:rPr>
        <w:t>, 2017</w:t>
      </w:r>
      <w:r>
        <w:rPr>
          <w:rFonts w:cs="Times New Roman"/>
          <w:noProof/>
          <w:lang w:val="fr-CA"/>
        </w:rPr>
        <w:t xml:space="preserve"> </w:t>
      </w:r>
      <w:r w:rsidRPr="006A5B99">
        <w:rPr>
          <w:rFonts w:cs="Times New Roman"/>
          <w:noProof/>
          <w:lang w:val="fr-CA"/>
        </w:rPr>
        <w:t>SKQB</w:t>
      </w:r>
      <w:r>
        <w:rPr>
          <w:rFonts w:cs="Times New Roman"/>
          <w:noProof/>
          <w:lang w:val="fr-CA"/>
        </w:rPr>
        <w:t xml:space="preserve"> </w:t>
      </w:r>
      <w:r w:rsidRPr="006A5B99">
        <w:rPr>
          <w:rFonts w:cs="Times New Roman"/>
          <w:noProof/>
          <w:lang w:val="fr-CA"/>
        </w:rPr>
        <w:t xml:space="preserve">217, </w:t>
      </w:r>
      <w:r>
        <w:rPr>
          <w:rFonts w:cs="Times New Roman"/>
          <w:noProof/>
          <w:lang w:val="fr-CA"/>
        </w:rPr>
        <w:t>par. </w:t>
      </w:r>
      <w:r w:rsidRPr="006A5B99">
        <w:rPr>
          <w:rFonts w:cs="Times New Roman"/>
          <w:noProof/>
          <w:lang w:val="fr-CA"/>
        </w:rPr>
        <w:t>36 (CanLII)). La volonté explicite du législateur de reprendre des dispositions qui codifient la règle de common law constitue une preuve convaincante que le Nouveau</w:t>
      </w:r>
      <w:r>
        <w:rPr>
          <w:rFonts w:cs="Times New Roman"/>
          <w:noProof/>
          <w:lang w:val="fr-CA"/>
        </w:rPr>
        <w:noBreakHyphen/>
      </w:r>
      <w:r w:rsidRPr="006A5B99">
        <w:rPr>
          <w:rFonts w:cs="Times New Roman"/>
          <w:noProof/>
          <w:lang w:val="fr-CA"/>
        </w:rPr>
        <w:t>Brunswick entendait emboîter le pas à ces provinces.</w:t>
      </w:r>
    </w:p>
    <w:p w:rsidR="00AE79CA" w:rsidRPr="006A5B99" w:rsidRDefault="00AE79CA" w:rsidP="00AE79CA">
      <w:pPr>
        <w:pStyle w:val="ParaNoNdepar-AltN"/>
        <w:tabs>
          <w:tab w:val="clear" w:pos="1152"/>
          <w:tab w:val="left" w:pos="1166"/>
        </w:tabs>
        <w:rPr>
          <w:rFonts w:cs="Times New Roman"/>
          <w:noProof/>
          <w:lang w:val="fr-CA"/>
        </w:rPr>
      </w:pPr>
      <w:r w:rsidRPr="006A5B99">
        <w:rPr>
          <w:rFonts w:cs="Times New Roman"/>
          <w:noProof/>
          <w:lang w:val="fr-CA"/>
        </w:rPr>
        <w:t>À l’appui de son argument voulant que le législateur a écarté la règle de common</w:t>
      </w:r>
      <w:r>
        <w:rPr>
          <w:rFonts w:cs="Times New Roman"/>
          <w:noProof/>
          <w:lang w:val="fr-CA"/>
        </w:rPr>
        <w:t xml:space="preserve"> </w:t>
      </w:r>
      <w:r w:rsidRPr="006A5B99">
        <w:rPr>
          <w:rFonts w:cs="Times New Roman"/>
          <w:noProof/>
          <w:lang w:val="fr-CA"/>
        </w:rPr>
        <w:t>law, Grant</w:t>
      </w:r>
      <w:r>
        <w:rPr>
          <w:rFonts w:cs="Times New Roman"/>
          <w:noProof/>
          <w:lang w:val="fr-CA"/>
        </w:rPr>
        <w:t xml:space="preserve"> </w:t>
      </w:r>
      <w:r w:rsidRPr="006A5B99">
        <w:rPr>
          <w:rFonts w:cs="Times New Roman"/>
          <w:noProof/>
          <w:lang w:val="fr-CA"/>
        </w:rPr>
        <w:t>Thornton signale certaines différences de terminologie entre la formulation de cette règle et celle de l’</w:t>
      </w:r>
      <w:r>
        <w:rPr>
          <w:rFonts w:cs="Times New Roman"/>
          <w:noProof/>
          <w:lang w:val="fr-CA"/>
        </w:rPr>
        <w:t>art. </w:t>
      </w:r>
      <w:r w:rsidRPr="006A5B99">
        <w:rPr>
          <w:rFonts w:cs="Times New Roman"/>
          <w:noProof/>
          <w:lang w:val="fr-CA"/>
        </w:rPr>
        <w:t>5. Il insiste sur le fait que la première utilise le terme «</w:t>
      </w:r>
      <w:r>
        <w:rPr>
          <w:rFonts w:cs="Times New Roman"/>
          <w:noProof/>
          <w:lang w:val="fr-CA"/>
        </w:rPr>
        <w:t> </w:t>
      </w:r>
      <w:r w:rsidRPr="006A5B99">
        <w:rPr>
          <w:rFonts w:cs="Times New Roman"/>
          <w:i/>
          <w:noProof/>
          <w:lang w:val="fr-CA"/>
        </w:rPr>
        <w:t>cause of action</w:t>
      </w:r>
      <w:r>
        <w:rPr>
          <w:rFonts w:cs="Times New Roman"/>
          <w:noProof/>
          <w:lang w:val="fr-CA"/>
        </w:rPr>
        <w:t> </w:t>
      </w:r>
      <w:r w:rsidRPr="006A5B99">
        <w:rPr>
          <w:rFonts w:cs="Times New Roman"/>
          <w:noProof/>
          <w:lang w:val="fr-CA"/>
        </w:rPr>
        <w:t>» en anglais (« cause d’action » en français), alors que l’</w:t>
      </w:r>
      <w:r>
        <w:rPr>
          <w:rFonts w:cs="Times New Roman"/>
          <w:noProof/>
          <w:lang w:val="fr-CA"/>
        </w:rPr>
        <w:t>art. </w:t>
      </w:r>
      <w:r w:rsidRPr="006A5B99">
        <w:rPr>
          <w:rFonts w:cs="Times New Roman"/>
          <w:noProof/>
          <w:lang w:val="fr-CA"/>
        </w:rPr>
        <w:t>5 emploie le terme « </w:t>
      </w:r>
      <w:r w:rsidRPr="006A5B99">
        <w:rPr>
          <w:rFonts w:cs="Times New Roman"/>
          <w:i/>
          <w:noProof/>
          <w:lang w:val="fr-CA"/>
        </w:rPr>
        <w:t>claim</w:t>
      </w:r>
      <w:r w:rsidRPr="006A5B99">
        <w:rPr>
          <w:rFonts w:cs="Times New Roman"/>
          <w:noProof/>
          <w:lang w:val="fr-CA"/>
        </w:rPr>
        <w:t> » en anglais («</w:t>
      </w:r>
      <w:r>
        <w:rPr>
          <w:rFonts w:cs="Times New Roman"/>
          <w:noProof/>
          <w:lang w:val="fr-CA"/>
        </w:rPr>
        <w:t> </w:t>
      </w:r>
      <w:r w:rsidRPr="006A5B99">
        <w:rPr>
          <w:rFonts w:cs="Times New Roman"/>
          <w:noProof/>
          <w:lang w:val="fr-CA"/>
        </w:rPr>
        <w:t>réclamation</w:t>
      </w:r>
      <w:r>
        <w:rPr>
          <w:rFonts w:cs="Times New Roman"/>
          <w:noProof/>
          <w:lang w:val="fr-CA"/>
        </w:rPr>
        <w:t> </w:t>
      </w:r>
      <w:r w:rsidRPr="006A5B99">
        <w:rPr>
          <w:rFonts w:cs="Times New Roman"/>
          <w:noProof/>
          <w:lang w:val="fr-CA"/>
        </w:rPr>
        <w:t>» en français). Selon Grant Thornton, il s’agit de concepts distincts</w:t>
      </w:r>
      <w:r>
        <w:rPr>
          <w:rFonts w:cs="Times New Roman"/>
          <w:noProof/>
          <w:lang w:val="fr-CA"/>
        </w:rPr>
        <w:t> :</w:t>
      </w:r>
      <w:r w:rsidRPr="006A5B99">
        <w:rPr>
          <w:rFonts w:cs="Times New Roman"/>
          <w:noProof/>
          <w:lang w:val="fr-CA"/>
        </w:rPr>
        <w:t xml:space="preserve"> le premier viserait un ensemble de faits qui confèrent au </w:t>
      </w:r>
      <w:r>
        <w:rPr>
          <w:rFonts w:cs="Times New Roman"/>
          <w:noProof/>
          <w:lang w:val="fr-CA"/>
        </w:rPr>
        <w:t>demandeur</w:t>
      </w:r>
      <w:r w:rsidRPr="006A5B99">
        <w:rPr>
          <w:rFonts w:cs="Times New Roman"/>
          <w:noProof/>
          <w:lang w:val="fr-CA"/>
        </w:rPr>
        <w:t xml:space="preserve"> un recours en justice, alors que le second serait </w:t>
      </w:r>
      <w:r w:rsidRPr="006A5B99">
        <w:rPr>
          <w:rFonts w:eastAsia="Times New Roman" w:cs="Times New Roman"/>
          <w:noProof/>
          <w:lang w:val="fr-CA"/>
        </w:rPr>
        <w:t>[</w:t>
      </w:r>
      <w:r w:rsidRPr="006A5B99">
        <w:rPr>
          <w:rFonts w:eastAsia="Times New Roman" w:cs="Times New Roman"/>
          <w:smallCaps/>
          <w:noProof/>
          <w:lang w:val="fr-CA"/>
        </w:rPr>
        <w:t>traduction</w:t>
      </w:r>
      <w:r w:rsidRPr="006A5B99">
        <w:rPr>
          <w:rFonts w:eastAsia="Times New Roman" w:cs="Times New Roman"/>
          <w:noProof/>
          <w:lang w:val="fr-CA"/>
        </w:rPr>
        <w:t>] «</w:t>
      </w:r>
      <w:r>
        <w:rPr>
          <w:rFonts w:eastAsia="Times New Roman" w:cs="Times New Roman"/>
          <w:noProof/>
          <w:lang w:val="fr-CA"/>
        </w:rPr>
        <w:t> </w:t>
      </w:r>
      <w:r w:rsidRPr="006A5B99">
        <w:rPr>
          <w:rFonts w:eastAsia="Times New Roman" w:cs="Times New Roman"/>
          <w:noProof/>
          <w:lang w:val="fr-CA"/>
        </w:rPr>
        <w:t xml:space="preserve">un pur concept de prescription » qui ne comporte « que deux volets factuels (un acte fautif et le </w:t>
      </w:r>
      <w:r>
        <w:rPr>
          <w:rFonts w:eastAsia="Times New Roman" w:cs="Times New Roman"/>
          <w:noProof/>
          <w:lang w:val="fr-CA"/>
        </w:rPr>
        <w:t>préjudice</w:t>
      </w:r>
      <w:r w:rsidRPr="006A5B99">
        <w:rPr>
          <w:rFonts w:eastAsia="Times New Roman" w:cs="Times New Roman"/>
          <w:noProof/>
          <w:lang w:val="fr-CA"/>
        </w:rPr>
        <w:t xml:space="preserve"> qui en découle)</w:t>
      </w:r>
      <w:r>
        <w:rPr>
          <w:rFonts w:eastAsia="Times New Roman" w:cs="Times New Roman"/>
          <w:noProof/>
          <w:lang w:val="fr-CA"/>
        </w:rPr>
        <w:t> </w:t>
      </w:r>
      <w:r w:rsidRPr="006A5B99">
        <w:rPr>
          <w:rFonts w:eastAsia="Times New Roman" w:cs="Times New Roman"/>
          <w:noProof/>
          <w:lang w:val="fr-CA"/>
        </w:rPr>
        <w:t>» (</w:t>
      </w:r>
      <w:r w:rsidRPr="006A5B99">
        <w:rPr>
          <w:rFonts w:cs="Times New Roman"/>
          <w:noProof/>
          <w:lang w:val="fr-CA"/>
        </w:rPr>
        <w:t xml:space="preserve">m.a., Grant Thornton LLP et Kent M. Ostridge, </w:t>
      </w:r>
      <w:r>
        <w:rPr>
          <w:rFonts w:cs="Times New Roman"/>
          <w:noProof/>
          <w:lang w:val="fr-CA"/>
        </w:rPr>
        <w:t>par. </w:t>
      </w:r>
      <w:r w:rsidRPr="006A5B99">
        <w:rPr>
          <w:rFonts w:cs="Times New Roman"/>
          <w:noProof/>
          <w:lang w:val="fr-CA"/>
        </w:rPr>
        <w:t>65, citant D.</w:t>
      </w:r>
      <w:r>
        <w:rPr>
          <w:rFonts w:cs="Times New Roman"/>
          <w:noProof/>
          <w:lang w:val="fr-CA"/>
        </w:rPr>
        <w:t> </w:t>
      </w:r>
      <w:r w:rsidRPr="006A5B99">
        <w:rPr>
          <w:rFonts w:cs="Times New Roman"/>
          <w:noProof/>
          <w:lang w:val="fr-CA"/>
        </w:rPr>
        <w:t>Zacks, «</w:t>
      </w:r>
      <w:r>
        <w:rPr>
          <w:rFonts w:cs="Times New Roman"/>
          <w:noProof/>
          <w:lang w:val="fr-CA"/>
        </w:rPr>
        <w:t> </w:t>
      </w:r>
      <w:r w:rsidRPr="006A5B99">
        <w:rPr>
          <w:rFonts w:cs="Times New Roman"/>
          <w:noProof/>
          <w:lang w:val="fr-CA"/>
        </w:rPr>
        <w:t>Claims, Not Causes of Action</w:t>
      </w:r>
      <w:r>
        <w:rPr>
          <w:rFonts w:cs="Times New Roman"/>
          <w:noProof/>
          <w:lang w:val="fr-CA"/>
        </w:rPr>
        <w:t> :</w:t>
      </w:r>
      <w:r w:rsidRPr="006A5B99">
        <w:rPr>
          <w:rFonts w:cs="Times New Roman"/>
          <w:noProof/>
          <w:lang w:val="fr-CA"/>
        </w:rPr>
        <w:t xml:space="preserve"> The Misapprehension of Limitations Principles</w:t>
      </w:r>
      <w:r>
        <w:rPr>
          <w:rFonts w:cs="Times New Roman"/>
          <w:noProof/>
          <w:lang w:val="fr-CA"/>
        </w:rPr>
        <w:t> </w:t>
      </w:r>
      <w:r w:rsidRPr="006A5B99">
        <w:rPr>
          <w:rFonts w:cs="Times New Roman"/>
          <w:noProof/>
          <w:lang w:val="fr-CA"/>
        </w:rPr>
        <w:t>» (2018),</w:t>
      </w:r>
      <w:r>
        <w:rPr>
          <w:rFonts w:cs="Times New Roman"/>
          <w:noProof/>
          <w:lang w:val="fr-CA"/>
        </w:rPr>
        <w:t xml:space="preserve"> </w:t>
      </w:r>
      <w:r w:rsidRPr="006A5B99">
        <w:rPr>
          <w:rFonts w:cs="Times New Roman"/>
          <w:noProof/>
          <w:lang w:val="fr-CA"/>
        </w:rPr>
        <w:t>48</w:t>
      </w:r>
      <w:r>
        <w:rPr>
          <w:rFonts w:cs="Times New Roman"/>
          <w:noProof/>
          <w:lang w:val="fr-CA"/>
        </w:rPr>
        <w:t xml:space="preserve"> </w:t>
      </w:r>
      <w:r w:rsidRPr="006A5B99">
        <w:rPr>
          <w:rFonts w:cs="Times New Roman"/>
          <w:i/>
          <w:iCs/>
          <w:noProof/>
          <w:lang w:val="fr-CA"/>
        </w:rPr>
        <w:t xml:space="preserve">Advocates’ Q. </w:t>
      </w:r>
      <w:r w:rsidRPr="006A5B99">
        <w:rPr>
          <w:rFonts w:cs="Times New Roman"/>
          <w:noProof/>
          <w:lang w:val="fr-CA"/>
        </w:rPr>
        <w:t xml:space="preserve">165, </w:t>
      </w:r>
      <w:r>
        <w:rPr>
          <w:rFonts w:cs="Times New Roman"/>
          <w:noProof/>
          <w:lang w:val="fr-CA"/>
        </w:rPr>
        <w:t>p. </w:t>
      </w:r>
      <w:r w:rsidRPr="006A5B99">
        <w:rPr>
          <w:rFonts w:cs="Times New Roman"/>
          <w:noProof/>
          <w:lang w:val="fr-CA"/>
        </w:rPr>
        <w:t>165).</w:t>
      </w:r>
    </w:p>
    <w:p w:rsidR="00AE79CA" w:rsidRPr="006A5B99" w:rsidRDefault="00AE79CA" w:rsidP="00AE79CA">
      <w:pPr>
        <w:pStyle w:val="ParaNoNdepar-AltN"/>
        <w:tabs>
          <w:tab w:val="clear" w:pos="1152"/>
          <w:tab w:val="left" w:pos="1166"/>
        </w:tabs>
        <w:rPr>
          <w:rFonts w:cs="Times New Roman"/>
          <w:noProof/>
          <w:lang w:val="fr-CA"/>
        </w:rPr>
      </w:pPr>
      <w:r w:rsidRPr="006A5B99">
        <w:rPr>
          <w:rFonts w:cs="Times New Roman"/>
          <w:noProof/>
          <w:lang w:val="fr-CA"/>
        </w:rPr>
        <w:t>J’admets que la distinction entre ce qu’on appelle en anglais une «</w:t>
      </w:r>
      <w:r>
        <w:rPr>
          <w:rFonts w:cs="Times New Roman"/>
          <w:noProof/>
          <w:lang w:val="fr-CA"/>
        </w:rPr>
        <w:t> </w:t>
      </w:r>
      <w:r w:rsidRPr="006A5B99">
        <w:rPr>
          <w:rFonts w:cs="Times New Roman"/>
          <w:i/>
          <w:noProof/>
          <w:lang w:val="fr-CA"/>
        </w:rPr>
        <w:t>claim</w:t>
      </w:r>
      <w:r>
        <w:rPr>
          <w:rFonts w:cs="Times New Roman"/>
          <w:noProof/>
          <w:lang w:val="fr-CA"/>
        </w:rPr>
        <w:t> </w:t>
      </w:r>
      <w:r w:rsidRPr="006A5B99">
        <w:rPr>
          <w:rFonts w:cs="Times New Roman"/>
          <w:noProof/>
          <w:lang w:val="fr-CA"/>
        </w:rPr>
        <w:t>» et une «</w:t>
      </w:r>
      <w:r>
        <w:rPr>
          <w:rFonts w:cs="Times New Roman"/>
          <w:noProof/>
          <w:lang w:val="fr-CA"/>
        </w:rPr>
        <w:t> </w:t>
      </w:r>
      <w:r w:rsidRPr="006A5B99">
        <w:rPr>
          <w:rFonts w:cs="Times New Roman"/>
          <w:i/>
          <w:noProof/>
          <w:lang w:val="fr-CA"/>
        </w:rPr>
        <w:t>cause of action</w:t>
      </w:r>
      <w:r>
        <w:rPr>
          <w:rFonts w:cs="Times New Roman"/>
          <w:noProof/>
          <w:lang w:val="fr-CA"/>
        </w:rPr>
        <w:t> </w:t>
      </w:r>
      <w:r w:rsidRPr="006A5B99">
        <w:rPr>
          <w:rFonts w:cs="Times New Roman"/>
          <w:noProof/>
          <w:lang w:val="fr-CA"/>
        </w:rPr>
        <w:t xml:space="preserve">» pourrait être significative dans certaines circonstances, mais, à mon avis, ce n’est pas le cas en l’espèce. En fait, le libellé même de la </w:t>
      </w:r>
      <w:r w:rsidRPr="006A5B99">
        <w:rPr>
          <w:rFonts w:cs="Times New Roman"/>
          <w:i/>
          <w:noProof/>
          <w:lang w:val="fr-CA"/>
        </w:rPr>
        <w:t>LP</w:t>
      </w:r>
      <w:r w:rsidRPr="006A5B99">
        <w:rPr>
          <w:rFonts w:cs="Times New Roman"/>
          <w:noProof/>
          <w:lang w:val="fr-CA"/>
        </w:rPr>
        <w:t xml:space="preserve"> illustre que l’utilisation du terme anglais «</w:t>
      </w:r>
      <w:r>
        <w:rPr>
          <w:rFonts w:cs="Times New Roman"/>
          <w:noProof/>
          <w:lang w:val="fr-CA"/>
        </w:rPr>
        <w:t> </w:t>
      </w:r>
      <w:r w:rsidRPr="006A5B99">
        <w:rPr>
          <w:rFonts w:cs="Times New Roman"/>
          <w:i/>
          <w:noProof/>
          <w:lang w:val="fr-CA"/>
        </w:rPr>
        <w:t>claim</w:t>
      </w:r>
      <w:r>
        <w:rPr>
          <w:rFonts w:cs="Times New Roman"/>
          <w:noProof/>
          <w:lang w:val="fr-CA"/>
        </w:rPr>
        <w:t> </w:t>
      </w:r>
      <w:r w:rsidRPr="006A5B99">
        <w:rPr>
          <w:rFonts w:cs="Times New Roman"/>
          <w:noProof/>
          <w:lang w:val="fr-CA"/>
        </w:rPr>
        <w:t>» n’est pas incompatible avec l’attribution d’une signification commune à ce terme et à l’expression anglaise «</w:t>
      </w:r>
      <w:r>
        <w:rPr>
          <w:rFonts w:cs="Times New Roman"/>
          <w:noProof/>
          <w:lang w:val="fr-CA"/>
        </w:rPr>
        <w:t> </w:t>
      </w:r>
      <w:r w:rsidRPr="006A5B99">
        <w:rPr>
          <w:rFonts w:cs="Times New Roman"/>
          <w:i/>
          <w:noProof/>
          <w:lang w:val="fr-CA"/>
        </w:rPr>
        <w:t>cause of action</w:t>
      </w:r>
      <w:r>
        <w:rPr>
          <w:rFonts w:cs="Times New Roman"/>
          <w:noProof/>
          <w:lang w:val="fr-CA"/>
        </w:rPr>
        <w:t> </w:t>
      </w:r>
      <w:r w:rsidRPr="006A5B99">
        <w:rPr>
          <w:rFonts w:cs="Times New Roman"/>
          <w:noProof/>
          <w:lang w:val="fr-CA"/>
        </w:rPr>
        <w:t xml:space="preserve">». </w:t>
      </w:r>
      <w:r w:rsidRPr="006A5B99">
        <w:rPr>
          <w:rFonts w:cs="Times New Roman"/>
          <w:noProof/>
          <w:lang w:val="en-US"/>
        </w:rPr>
        <w:t xml:space="preserve">En effet, la version anglaise du </w:t>
      </w:r>
      <w:r>
        <w:rPr>
          <w:rFonts w:cs="Times New Roman"/>
          <w:noProof/>
          <w:lang w:val="en-US"/>
        </w:rPr>
        <w:t>par. </w:t>
      </w:r>
      <w:r w:rsidRPr="006A5B99">
        <w:rPr>
          <w:rFonts w:cs="Times New Roman"/>
          <w:noProof/>
          <w:lang w:val="en-US"/>
        </w:rPr>
        <w:t xml:space="preserve">1(1) définit comme suit le terme </w:t>
      </w:r>
      <w:r w:rsidRPr="006A5B99">
        <w:rPr>
          <w:rFonts w:cs="Times New Roman"/>
          <w:i/>
          <w:noProof/>
          <w:lang w:val="en-US"/>
        </w:rPr>
        <w:t>claim</w:t>
      </w:r>
      <w:r>
        <w:rPr>
          <w:rFonts w:cs="Times New Roman"/>
          <w:noProof/>
          <w:lang w:val="en-US"/>
        </w:rPr>
        <w:t> :</w:t>
      </w:r>
      <w:r w:rsidRPr="006A5B99">
        <w:rPr>
          <w:rFonts w:cs="Times New Roman"/>
          <w:noProof/>
          <w:lang w:val="en-US"/>
        </w:rPr>
        <w:t xml:space="preserve"> « </w:t>
      </w:r>
      <w:r>
        <w:rPr>
          <w:rFonts w:cs="Times New Roman"/>
          <w:noProof/>
        </w:rPr>
        <w:t xml:space="preserve">[. . .] </w:t>
      </w:r>
      <w:r w:rsidRPr="006A5B99">
        <w:rPr>
          <w:rFonts w:cs="Times New Roman"/>
          <w:i/>
          <w:noProof/>
          <w:lang w:val="en-US"/>
        </w:rPr>
        <w:t>a claim to reme</w:t>
      </w:r>
      <w:r>
        <w:rPr>
          <w:rFonts w:cs="Times New Roman"/>
          <w:i/>
          <w:noProof/>
          <w:lang w:val="en-US"/>
        </w:rPr>
        <w:t>dy the injury, loss or damage th</w:t>
      </w:r>
      <w:r w:rsidRPr="006A5B99">
        <w:rPr>
          <w:rFonts w:cs="Times New Roman"/>
          <w:i/>
          <w:noProof/>
          <w:lang w:val="en-US"/>
        </w:rPr>
        <w:t>at occurred as a result of an act or omission</w:t>
      </w:r>
      <w:r>
        <w:rPr>
          <w:rFonts w:cs="Times New Roman"/>
          <w:noProof/>
          <w:lang w:val="en-US"/>
        </w:rPr>
        <w:t> </w:t>
      </w:r>
      <w:r w:rsidRPr="006A5B99">
        <w:rPr>
          <w:rFonts w:cs="Times New Roman"/>
          <w:noProof/>
          <w:lang w:val="en-US"/>
        </w:rPr>
        <w:t xml:space="preserve">». </w:t>
      </w:r>
      <w:r w:rsidRPr="006A5B99">
        <w:rPr>
          <w:rFonts w:cs="Times New Roman"/>
          <w:noProof/>
          <w:lang w:val="fr-CA"/>
        </w:rPr>
        <w:t xml:space="preserve">En un mot, le libellé du </w:t>
      </w:r>
      <w:r>
        <w:rPr>
          <w:rFonts w:cs="Times New Roman"/>
          <w:noProof/>
          <w:lang w:val="fr-CA"/>
        </w:rPr>
        <w:t>par. </w:t>
      </w:r>
      <w:r w:rsidRPr="006A5B99">
        <w:rPr>
          <w:rFonts w:cs="Times New Roman"/>
          <w:noProof/>
          <w:lang w:val="fr-CA"/>
        </w:rPr>
        <w:t>1(1) permet de constater qu’en employant le terme «</w:t>
      </w:r>
      <w:r>
        <w:rPr>
          <w:rFonts w:cs="Times New Roman"/>
          <w:noProof/>
          <w:lang w:val="fr-CA"/>
        </w:rPr>
        <w:t> </w:t>
      </w:r>
      <w:r w:rsidRPr="006A5B99">
        <w:rPr>
          <w:rFonts w:cs="Times New Roman"/>
          <w:i/>
          <w:noProof/>
          <w:lang w:val="fr-CA"/>
        </w:rPr>
        <w:t>claim</w:t>
      </w:r>
      <w:r>
        <w:rPr>
          <w:rFonts w:cs="Times New Roman"/>
          <w:noProof/>
          <w:lang w:val="fr-CA"/>
        </w:rPr>
        <w:t> </w:t>
      </w:r>
      <w:r w:rsidRPr="006A5B99">
        <w:rPr>
          <w:rFonts w:cs="Times New Roman"/>
          <w:noProof/>
          <w:lang w:val="fr-CA"/>
        </w:rPr>
        <w:t>», le législateur met l’accent sur un ensemble de faits donnant ouverture à un recours, ce qui correspond au sens que Grant</w:t>
      </w:r>
      <w:r>
        <w:rPr>
          <w:rFonts w:cs="Times New Roman"/>
          <w:noProof/>
          <w:lang w:val="fr-CA"/>
        </w:rPr>
        <w:t xml:space="preserve"> </w:t>
      </w:r>
      <w:r w:rsidRPr="006A5B99">
        <w:rPr>
          <w:rFonts w:cs="Times New Roman"/>
          <w:noProof/>
          <w:lang w:val="fr-CA"/>
        </w:rPr>
        <w:t>Thornton attribue à l’expression anglaise «</w:t>
      </w:r>
      <w:r>
        <w:rPr>
          <w:rFonts w:cs="Times New Roman"/>
          <w:noProof/>
          <w:lang w:val="fr-CA"/>
        </w:rPr>
        <w:t> </w:t>
      </w:r>
      <w:r w:rsidRPr="006A5B99">
        <w:rPr>
          <w:rFonts w:cs="Times New Roman"/>
          <w:i/>
          <w:noProof/>
          <w:lang w:val="fr-CA"/>
        </w:rPr>
        <w:t>cause of action</w:t>
      </w:r>
      <w:r>
        <w:rPr>
          <w:rFonts w:cs="Times New Roman"/>
          <w:noProof/>
          <w:lang w:val="fr-CA"/>
        </w:rPr>
        <w:t> </w:t>
      </w:r>
      <w:r w:rsidRPr="006A5B99">
        <w:rPr>
          <w:rFonts w:cs="Times New Roman"/>
          <w:noProof/>
          <w:lang w:val="fr-CA"/>
        </w:rPr>
        <w:t>».</w:t>
      </w:r>
    </w:p>
    <w:p w:rsidR="00AE79CA" w:rsidRPr="006A5B99" w:rsidRDefault="00AE79CA" w:rsidP="00AE79CA">
      <w:pPr>
        <w:pStyle w:val="ParaNoNdepar-AltN"/>
        <w:tabs>
          <w:tab w:val="clear" w:pos="1152"/>
          <w:tab w:val="left" w:pos="1166"/>
        </w:tabs>
        <w:rPr>
          <w:rFonts w:cs="Times New Roman"/>
          <w:noProof/>
          <w:lang w:val="fr-CA"/>
        </w:rPr>
      </w:pPr>
      <w:r w:rsidRPr="006A5B99">
        <w:rPr>
          <w:rFonts w:cs="Times New Roman"/>
          <w:noProof/>
          <w:lang w:val="fr-CA"/>
        </w:rPr>
        <w:t xml:space="preserve">Cette interprétation est étayée par le texte français du </w:t>
      </w:r>
      <w:r>
        <w:rPr>
          <w:rFonts w:cs="Times New Roman"/>
          <w:noProof/>
          <w:lang w:val="fr-CA"/>
        </w:rPr>
        <w:t>par. </w:t>
      </w:r>
      <w:r w:rsidRPr="006A5B99">
        <w:rPr>
          <w:rFonts w:cs="Times New Roman"/>
          <w:noProof/>
          <w:lang w:val="fr-CA"/>
        </w:rPr>
        <w:t xml:space="preserve">5(2) de la </w:t>
      </w:r>
      <w:r w:rsidRPr="006A5B99">
        <w:rPr>
          <w:rFonts w:cs="Times New Roman"/>
          <w:i/>
          <w:noProof/>
          <w:lang w:val="fr-CA"/>
        </w:rPr>
        <w:t>LP</w:t>
      </w:r>
      <w:r w:rsidRPr="006A5B99">
        <w:rPr>
          <w:rFonts w:cs="Times New Roman"/>
          <w:noProof/>
          <w:lang w:val="fr-CA"/>
        </w:rPr>
        <w:t>, dont une partie du libellé est la suivante « </w:t>
      </w:r>
      <w:r w:rsidRPr="006A5B99">
        <w:rPr>
          <w:rFonts w:cs="Times New Roman"/>
          <w:noProof/>
          <w:u w:val="single"/>
          <w:lang w:val="fr-CA"/>
        </w:rPr>
        <w:t>[l]es faits ayant donné naissance à la réclamation</w:t>
      </w:r>
      <w:r w:rsidRPr="006A5B99">
        <w:rPr>
          <w:rFonts w:cs="Times New Roman"/>
          <w:noProof/>
          <w:lang w:val="fr-CA"/>
        </w:rPr>
        <w:t xml:space="preserve"> sont découverts le jour où le réclamant a appris ou aurait dû normalement apprendre ». En outre, selon la version française du </w:t>
      </w:r>
      <w:r>
        <w:rPr>
          <w:rFonts w:cs="Times New Roman"/>
          <w:noProof/>
          <w:lang w:val="fr-CA"/>
        </w:rPr>
        <w:t>par. </w:t>
      </w:r>
      <w:r w:rsidRPr="006A5B99">
        <w:rPr>
          <w:rFonts w:cs="Times New Roman"/>
          <w:noProof/>
          <w:lang w:val="fr-CA"/>
        </w:rPr>
        <w:t>1(1), « réclamation » s’entend d’une « [r]éclamation pour obtenir réparation de préjudices, de pertes ou de dommages survenus par suite d’un acte ou d’une omission ». Visiblement, le libellé du texte français étaye mon interprétation du texte anglais et confirme que le terme anglais « </w:t>
      </w:r>
      <w:r w:rsidRPr="006A5B99">
        <w:rPr>
          <w:rFonts w:cs="Times New Roman"/>
          <w:i/>
          <w:noProof/>
          <w:lang w:val="fr-CA"/>
        </w:rPr>
        <w:t>claim</w:t>
      </w:r>
      <w:r w:rsidRPr="006A5B99">
        <w:rPr>
          <w:rFonts w:cs="Times New Roman"/>
          <w:noProof/>
          <w:lang w:val="fr-CA"/>
        </w:rPr>
        <w:t> » à l’</w:t>
      </w:r>
      <w:r>
        <w:rPr>
          <w:rFonts w:cs="Times New Roman"/>
          <w:noProof/>
          <w:lang w:val="fr-CA"/>
        </w:rPr>
        <w:t>art. </w:t>
      </w:r>
      <w:r w:rsidRPr="006A5B99">
        <w:rPr>
          <w:rFonts w:cs="Times New Roman"/>
          <w:noProof/>
          <w:lang w:val="fr-CA"/>
        </w:rPr>
        <w:t>5 signifie en anglais « </w:t>
      </w:r>
      <w:r w:rsidRPr="006A5B99">
        <w:rPr>
          <w:rFonts w:cs="Times New Roman"/>
          <w:i/>
          <w:noProof/>
          <w:lang w:val="fr-CA"/>
        </w:rPr>
        <w:t>cause of action</w:t>
      </w:r>
      <w:r w:rsidRPr="006A5B99">
        <w:rPr>
          <w:rFonts w:cs="Times New Roman"/>
          <w:noProof/>
          <w:lang w:val="fr-CA"/>
        </w:rPr>
        <w:t> », soit</w:t>
      </w:r>
      <w:r>
        <w:rPr>
          <w:rFonts w:cs="Times New Roman"/>
          <w:noProof/>
          <w:lang w:val="fr-CA"/>
        </w:rPr>
        <w:t> :</w:t>
      </w:r>
      <w:r w:rsidRPr="006A5B99">
        <w:rPr>
          <w:rFonts w:cs="Times New Roman"/>
          <w:noProof/>
          <w:lang w:val="fr-CA"/>
        </w:rPr>
        <w:t xml:space="preserve"> la découverte des faits ayant donné naissance à la réclamation pour obtenir réparation des préjudices, des pertes ou des dommages survenus par suite d’un acte ou d’une omission. Il s’agit de l’équivalent juridique d’un [</w:t>
      </w:r>
      <w:r w:rsidRPr="006A5B99">
        <w:rPr>
          <w:rFonts w:cs="Times New Roman"/>
          <w:smallCaps/>
          <w:noProof/>
          <w:lang w:val="fr-CA"/>
        </w:rPr>
        <w:t>traduction</w:t>
      </w:r>
      <w:r w:rsidRPr="006A5B99">
        <w:rPr>
          <w:rFonts w:cs="Times New Roman"/>
          <w:noProof/>
          <w:lang w:val="fr-CA"/>
        </w:rPr>
        <w:t>] « ensemble de faits donnant le droit au demandeur à une réparation », la définition d’une « cause d’action » donnée par Grant Thornton.</w:t>
      </w:r>
    </w:p>
    <w:p w:rsidR="00AE79CA" w:rsidRPr="006A5B99" w:rsidRDefault="00AE79CA" w:rsidP="00AE79CA">
      <w:pPr>
        <w:pStyle w:val="ParaNoNdepar-AltN"/>
        <w:tabs>
          <w:tab w:val="clear" w:pos="1152"/>
          <w:tab w:val="left" w:pos="1166"/>
        </w:tabs>
        <w:rPr>
          <w:rFonts w:cs="Times New Roman"/>
          <w:noProof/>
          <w:lang w:val="fr-CA"/>
        </w:rPr>
      </w:pPr>
      <w:r w:rsidRPr="006A5B99">
        <w:rPr>
          <w:rFonts w:cs="Times New Roman"/>
          <w:noProof/>
          <w:lang w:val="fr-CA"/>
        </w:rPr>
        <w:t xml:space="preserve">Les débats qui ont précédé l’adoption de la </w:t>
      </w:r>
      <w:r w:rsidRPr="006A5B99">
        <w:rPr>
          <w:rFonts w:cs="Times New Roman"/>
          <w:i/>
          <w:noProof/>
          <w:lang w:val="fr-CA"/>
        </w:rPr>
        <w:t>LP</w:t>
      </w:r>
      <w:r w:rsidRPr="006A5B99">
        <w:rPr>
          <w:rFonts w:cs="Times New Roman"/>
          <w:noProof/>
          <w:lang w:val="fr-CA"/>
        </w:rPr>
        <w:t xml:space="preserve"> sont encore plus probants. Lorsqu’on lui a demandé la raison pour laquelle la loi employait le terme «</w:t>
      </w:r>
      <w:r>
        <w:rPr>
          <w:rFonts w:cs="Times New Roman"/>
          <w:noProof/>
          <w:lang w:val="fr-CA"/>
        </w:rPr>
        <w:t> </w:t>
      </w:r>
      <w:r w:rsidRPr="006A5B99">
        <w:rPr>
          <w:rFonts w:cs="Times New Roman"/>
          <w:noProof/>
          <w:lang w:val="fr-CA"/>
        </w:rPr>
        <w:t>réclamation</w:t>
      </w:r>
      <w:r>
        <w:rPr>
          <w:rFonts w:cs="Times New Roman"/>
          <w:noProof/>
          <w:lang w:val="fr-CA"/>
        </w:rPr>
        <w:t> </w:t>
      </w:r>
      <w:r w:rsidRPr="006A5B99">
        <w:rPr>
          <w:rFonts w:cs="Times New Roman"/>
          <w:noProof/>
          <w:lang w:val="fr-CA"/>
        </w:rPr>
        <w:t>» plutôt que «</w:t>
      </w:r>
      <w:r>
        <w:rPr>
          <w:rFonts w:cs="Times New Roman"/>
          <w:noProof/>
          <w:lang w:val="fr-CA"/>
        </w:rPr>
        <w:t> </w:t>
      </w:r>
      <w:r w:rsidRPr="006A5B99">
        <w:rPr>
          <w:rFonts w:cs="Times New Roman"/>
          <w:noProof/>
          <w:lang w:val="fr-CA"/>
        </w:rPr>
        <w:t>cause d’action</w:t>
      </w:r>
      <w:r>
        <w:rPr>
          <w:rFonts w:cs="Times New Roman"/>
          <w:noProof/>
          <w:lang w:val="fr-CA"/>
        </w:rPr>
        <w:t> </w:t>
      </w:r>
      <w:r w:rsidRPr="006A5B99">
        <w:rPr>
          <w:rFonts w:cs="Times New Roman"/>
          <w:noProof/>
          <w:lang w:val="fr-CA"/>
        </w:rPr>
        <w:t>», le ministre de la Justice a expliqué</w:t>
      </w:r>
      <w:r>
        <w:rPr>
          <w:rFonts w:cs="Times New Roman"/>
          <w:noProof/>
          <w:lang w:val="fr-CA"/>
        </w:rPr>
        <w:t> :</w:t>
      </w:r>
      <w:r w:rsidRPr="006A5B99">
        <w:rPr>
          <w:rFonts w:cs="Times New Roman"/>
          <w:noProof/>
          <w:lang w:val="fr-CA"/>
        </w:rPr>
        <w:t xml:space="preserve"> </w:t>
      </w:r>
    </w:p>
    <w:p w:rsidR="00AE79CA" w:rsidRPr="006A5B99" w:rsidRDefault="00AE79CA" w:rsidP="00AE79CA">
      <w:pPr>
        <w:pStyle w:val="Citation-AltC"/>
        <w:spacing w:after="240"/>
        <w:ind w:left="1168" w:hanging="1168"/>
        <w:contextualSpacing w:val="0"/>
        <w:rPr>
          <w:noProof/>
          <w:lang w:val="fr-CA"/>
        </w:rPr>
      </w:pPr>
      <w:r>
        <w:rPr>
          <w:noProof/>
          <w:lang w:val="fr-CA"/>
        </w:rPr>
        <w:tab/>
      </w:r>
      <w:r>
        <w:rPr>
          <w:noProof/>
          <w:lang w:val="fr-CA"/>
        </w:rPr>
        <w:tab/>
      </w:r>
      <w:r w:rsidRPr="006A5B99">
        <w:rPr>
          <w:noProof/>
          <w:lang w:val="fr-CA"/>
        </w:rPr>
        <w:t>[</w:t>
      </w:r>
      <w:r w:rsidRPr="006A5B99">
        <w:rPr>
          <w:smallCaps/>
          <w:noProof/>
          <w:lang w:val="fr-CA"/>
        </w:rPr>
        <w:t>traduction</w:t>
      </w:r>
      <w:r w:rsidRPr="006A5B99">
        <w:rPr>
          <w:noProof/>
          <w:lang w:val="fr-CA"/>
        </w:rPr>
        <w:t xml:space="preserve">] En un sens, il ne s’agit que de sémantique. Tim Rattenbury, qui travaille pour le Cabinet du procureur général, et moi avons eu une bonne discussion. Le mot « réclamation » n’est qu’une autre façon de caractériser le fait de présenter votre affaire à des fins de litige. C’est la même chose qu’une « cause d’action ». L’uniformisation de ces façons particulières de caractériser une action devant les tribunaux n’est que de la sémantique. </w:t>
      </w:r>
    </w:p>
    <w:p w:rsidR="00AE79CA" w:rsidRPr="006A5B99" w:rsidRDefault="00AE79CA" w:rsidP="00AE79CA">
      <w:pPr>
        <w:pStyle w:val="Citation-AltC"/>
        <w:ind w:hanging="1166"/>
        <w:rPr>
          <w:noProof/>
          <w:lang w:val="fr-CA"/>
        </w:rPr>
      </w:pPr>
      <w:r>
        <w:rPr>
          <w:noProof/>
          <w:lang w:val="fr-CA"/>
        </w:rPr>
        <w:tab/>
      </w:r>
      <w:r w:rsidRPr="006A5B99">
        <w:rPr>
          <w:noProof/>
          <w:lang w:val="fr-CA"/>
        </w:rPr>
        <w:t>(Nouveau</w:t>
      </w:r>
      <w:r>
        <w:rPr>
          <w:noProof/>
          <w:lang w:val="fr-CA"/>
        </w:rPr>
        <w:noBreakHyphen/>
      </w:r>
      <w:r w:rsidRPr="006A5B99">
        <w:rPr>
          <w:noProof/>
          <w:lang w:val="fr-CA"/>
        </w:rPr>
        <w:t xml:space="preserve">Brunswick, Assemblée législative, </w:t>
      </w:r>
      <w:r w:rsidRPr="006A5B99">
        <w:rPr>
          <w:i/>
          <w:noProof/>
          <w:lang w:val="fr-CA"/>
        </w:rPr>
        <w:t>Journal des débats (Hansard)</w:t>
      </w:r>
      <w:r w:rsidRPr="006A5B99">
        <w:rPr>
          <w:noProof/>
          <w:lang w:val="fr-CA"/>
        </w:rPr>
        <w:t>,</w:t>
      </w:r>
      <w:r w:rsidRPr="006A5B99">
        <w:rPr>
          <w:i/>
          <w:noProof/>
          <w:lang w:val="fr-CA"/>
        </w:rPr>
        <w:t xml:space="preserve"> </w:t>
      </w:r>
      <w:r w:rsidRPr="006A5B99">
        <w:rPr>
          <w:noProof/>
          <w:lang w:val="fr-CA"/>
        </w:rPr>
        <w:t>3</w:t>
      </w:r>
      <w:r w:rsidRPr="006A5B99">
        <w:rPr>
          <w:noProof/>
          <w:vertAlign w:val="superscript"/>
          <w:lang w:val="fr-CA"/>
        </w:rPr>
        <w:t>e</w:t>
      </w:r>
      <w:r w:rsidRPr="006A5B99">
        <w:rPr>
          <w:noProof/>
          <w:lang w:val="fr-CA"/>
        </w:rPr>
        <w:t xml:space="preserve"> sess., 56</w:t>
      </w:r>
      <w:r w:rsidRPr="006A5B99">
        <w:rPr>
          <w:noProof/>
          <w:vertAlign w:val="superscript"/>
          <w:lang w:val="fr-CA"/>
        </w:rPr>
        <w:t>e</w:t>
      </w:r>
      <w:r w:rsidRPr="006A5B99">
        <w:rPr>
          <w:noProof/>
          <w:lang w:val="fr-CA"/>
        </w:rPr>
        <w:t xml:space="preserve"> lég., 17 juin 2009, </w:t>
      </w:r>
      <w:r>
        <w:rPr>
          <w:noProof/>
          <w:lang w:val="fr-CA"/>
        </w:rPr>
        <w:t>p. </w:t>
      </w:r>
      <w:r w:rsidRPr="006A5B99">
        <w:rPr>
          <w:noProof/>
          <w:lang w:val="fr-CA"/>
        </w:rPr>
        <w:t>50 (hon. M. Burke))</w:t>
      </w:r>
    </w:p>
    <w:p w:rsidR="00AE79CA" w:rsidRPr="006A5B99" w:rsidRDefault="00AE79CA" w:rsidP="00AE79CA">
      <w:pPr>
        <w:pStyle w:val="ContinueParaSuitedupar-AltP"/>
        <w:rPr>
          <w:noProof/>
        </w:rPr>
      </w:pPr>
      <w:r w:rsidRPr="003114C9">
        <w:rPr>
          <w:noProof/>
          <w:lang w:val="fr-CA"/>
        </w:rPr>
        <w:t xml:space="preserve">En d’autres termes, selon le ministre, l’utilisation du terme « réclamation » plutôt que de l’expression « cause d’action » équivaut à une distinction vide de sens. Bien qu’elle ne soit pas en soi déterminante, l’affirmation du ministre peut difficilement être considérée comme une preuve du « texte législatif clair » nécessaire pour écarter la règle de common law (voir </w:t>
      </w:r>
      <w:r w:rsidRPr="003114C9">
        <w:rPr>
          <w:i/>
          <w:noProof/>
          <w:lang w:val="fr-CA"/>
        </w:rPr>
        <w:t>Godfrey</w:t>
      </w:r>
      <w:r w:rsidRPr="003114C9">
        <w:rPr>
          <w:noProof/>
          <w:lang w:val="fr-CA"/>
        </w:rPr>
        <w:t>,</w:t>
      </w:r>
      <w:r w:rsidRPr="003114C9">
        <w:rPr>
          <w:i/>
          <w:noProof/>
          <w:lang w:val="fr-CA"/>
        </w:rPr>
        <w:t xml:space="preserve"> </w:t>
      </w:r>
      <w:r w:rsidRPr="003114C9">
        <w:rPr>
          <w:noProof/>
          <w:lang w:val="fr-CA"/>
        </w:rPr>
        <w:t xml:space="preserve">par. 32). </w:t>
      </w:r>
      <w:r w:rsidRPr="006A5B99">
        <w:rPr>
          <w:noProof/>
        </w:rPr>
        <w:t xml:space="preserve">En fait, elle démontre le contraire. </w:t>
      </w:r>
    </w:p>
    <w:p w:rsidR="00AE79CA" w:rsidRPr="006A5B99" w:rsidRDefault="00AE79CA" w:rsidP="00AE79CA">
      <w:pPr>
        <w:pStyle w:val="ParaNoNdepar-AltN"/>
        <w:tabs>
          <w:tab w:val="clear" w:pos="1152"/>
          <w:tab w:val="left" w:pos="1166"/>
        </w:tabs>
        <w:rPr>
          <w:rFonts w:cs="Times New Roman"/>
          <w:noProof/>
          <w:lang w:val="fr-CA"/>
        </w:rPr>
      </w:pPr>
      <w:r w:rsidRPr="006A5B99">
        <w:rPr>
          <w:rFonts w:cs="Times New Roman"/>
          <w:noProof/>
          <w:lang w:val="fr-CA"/>
        </w:rPr>
        <w:t xml:space="preserve">En somme, je suis convaincu que </w:t>
      </w:r>
      <w:r w:rsidRPr="006A5B99">
        <w:rPr>
          <w:rFonts w:cs="Times New Roman"/>
          <w:noProof/>
          <w:shd w:val="clear" w:color="auto" w:fill="FFFFFF"/>
          <w:lang w:val="fr-CA"/>
        </w:rPr>
        <w:t>l’</w:t>
      </w:r>
      <w:r>
        <w:rPr>
          <w:rFonts w:cs="Times New Roman"/>
          <w:noProof/>
          <w:shd w:val="clear" w:color="auto" w:fill="FFFFFF"/>
          <w:lang w:val="fr-CA"/>
        </w:rPr>
        <w:t>al. </w:t>
      </w:r>
      <w:r w:rsidRPr="006A5B99">
        <w:rPr>
          <w:rFonts w:cs="Times New Roman"/>
          <w:noProof/>
          <w:shd w:val="clear" w:color="auto" w:fill="FFFFFF"/>
          <w:lang w:val="fr-CA"/>
        </w:rPr>
        <w:t xml:space="preserve">5(1)a) et le </w:t>
      </w:r>
      <w:r>
        <w:rPr>
          <w:rFonts w:cs="Times New Roman"/>
          <w:noProof/>
          <w:shd w:val="clear" w:color="auto" w:fill="FFFFFF"/>
          <w:lang w:val="fr-CA"/>
        </w:rPr>
        <w:t>par. </w:t>
      </w:r>
      <w:r w:rsidRPr="006A5B99">
        <w:rPr>
          <w:rFonts w:cs="Times New Roman"/>
          <w:noProof/>
          <w:shd w:val="clear" w:color="auto" w:fill="FFFFFF"/>
          <w:lang w:val="fr-CA"/>
        </w:rPr>
        <w:t xml:space="preserve">5(2) codifient la règle de common law de la possibilité de découvrir le dommage. Comme le confirment cette règle et la </w:t>
      </w:r>
      <w:r w:rsidRPr="006A5B99">
        <w:rPr>
          <w:rFonts w:eastAsia="Times New Roman" w:cs="Times New Roman"/>
          <w:i/>
          <w:noProof/>
          <w:lang w:val="fr-CA"/>
        </w:rPr>
        <w:t>LP</w:t>
      </w:r>
      <w:r w:rsidRPr="006A5B99">
        <w:rPr>
          <w:rFonts w:eastAsia="Times New Roman" w:cs="Times New Roman"/>
          <w:iCs/>
          <w:noProof/>
          <w:lang w:val="fr-CA"/>
        </w:rPr>
        <w:t xml:space="preserve">, </w:t>
      </w:r>
      <w:r w:rsidRPr="006A5B99">
        <w:rPr>
          <w:rFonts w:eastAsia="Times New Roman" w:cs="Times New Roman"/>
          <w:noProof/>
          <w:lang w:val="fr-CA"/>
        </w:rPr>
        <w:t xml:space="preserve">le délai de prescription commence à courir lorsque le </w:t>
      </w:r>
      <w:r>
        <w:rPr>
          <w:rFonts w:eastAsia="Times New Roman" w:cs="Times New Roman"/>
          <w:noProof/>
          <w:lang w:val="fr-CA"/>
        </w:rPr>
        <w:t xml:space="preserve">demandeur </w:t>
      </w:r>
      <w:r w:rsidRPr="006A5B99">
        <w:rPr>
          <w:rFonts w:eastAsia="Times New Roman" w:cs="Times New Roman"/>
          <w:noProof/>
          <w:lang w:val="fr-CA"/>
        </w:rPr>
        <w:t xml:space="preserve">découvre ou devrait </w:t>
      </w:r>
      <w:r>
        <w:rPr>
          <w:rFonts w:eastAsia="Times New Roman" w:cs="Times New Roman"/>
          <w:noProof/>
          <w:lang w:val="fr-CA"/>
        </w:rPr>
        <w:t xml:space="preserve">avoir </w:t>
      </w:r>
      <w:r w:rsidRPr="006A5B99">
        <w:rPr>
          <w:rFonts w:eastAsia="Times New Roman" w:cs="Times New Roman"/>
          <w:noProof/>
          <w:lang w:val="fr-CA"/>
        </w:rPr>
        <w:t>découv</w:t>
      </w:r>
      <w:r>
        <w:rPr>
          <w:rFonts w:eastAsia="Times New Roman" w:cs="Times New Roman"/>
          <w:noProof/>
          <w:lang w:val="fr-CA"/>
        </w:rPr>
        <w:t>ert</w:t>
      </w:r>
      <w:r w:rsidRPr="006A5B99">
        <w:rPr>
          <w:rFonts w:eastAsia="Times New Roman" w:cs="Times New Roman"/>
          <w:noProof/>
          <w:lang w:val="fr-CA"/>
        </w:rPr>
        <w:t xml:space="preserve">, s’il </w:t>
      </w:r>
      <w:r>
        <w:rPr>
          <w:rFonts w:eastAsia="Times New Roman" w:cs="Times New Roman"/>
          <w:noProof/>
          <w:lang w:val="fr-CA"/>
        </w:rPr>
        <w:t xml:space="preserve">a </w:t>
      </w:r>
      <w:r w:rsidRPr="006A5B99">
        <w:rPr>
          <w:rFonts w:eastAsia="Times New Roman" w:cs="Times New Roman"/>
          <w:noProof/>
          <w:lang w:val="fr-CA"/>
        </w:rPr>
        <w:t>fait preuve de diligence raisonnable, les faits importants sur lesquels repose sa réclamation. Ayant tiré cette conclusion, je passe maintenant à la détermination du degré de connaissance requis pour découvrir</w:t>
      </w:r>
      <w:r w:rsidRPr="006A5B99">
        <w:rPr>
          <w:rFonts w:cs="Times New Roman"/>
          <w:noProof/>
          <w:lang w:val="fr-CA"/>
        </w:rPr>
        <w:t xml:space="preserve"> les faits ayant donné naissance à une réclamation au sens de l’</w:t>
      </w:r>
      <w:r>
        <w:rPr>
          <w:rFonts w:cs="Times New Roman"/>
          <w:noProof/>
          <w:lang w:val="fr-CA"/>
        </w:rPr>
        <w:t>art. </w:t>
      </w:r>
      <w:r w:rsidRPr="006A5B99">
        <w:rPr>
          <w:rFonts w:cs="Times New Roman"/>
          <w:noProof/>
          <w:lang w:val="fr-CA"/>
        </w:rPr>
        <w:t>5.</w:t>
      </w:r>
    </w:p>
    <w:p w:rsidR="00AE79CA" w:rsidRPr="006A5B99" w:rsidRDefault="00AE79CA" w:rsidP="00AE79CA">
      <w:pPr>
        <w:pStyle w:val="Title3LevelTitre3Niveau"/>
        <w:rPr>
          <w:rFonts w:cs="Times New Roman"/>
          <w:noProof/>
          <w:lang w:val="fr-CA"/>
        </w:rPr>
      </w:pPr>
      <w:r w:rsidRPr="006A5B99">
        <w:rPr>
          <w:rFonts w:cs="Times New Roman"/>
          <w:noProof/>
          <w:lang w:val="fr-CA"/>
        </w:rPr>
        <w:t xml:space="preserve">Degré de connaissance requis </w:t>
      </w:r>
    </w:p>
    <w:p w:rsidR="00AE79CA" w:rsidRPr="006A5B99" w:rsidRDefault="00AE79CA" w:rsidP="00AE79CA">
      <w:pPr>
        <w:pStyle w:val="ParaNoNdepar-AltN"/>
        <w:rPr>
          <w:rFonts w:cs="Times New Roman"/>
          <w:noProof/>
          <w:lang w:val="fr-CA"/>
        </w:rPr>
      </w:pPr>
      <w:r w:rsidRPr="006A5B99">
        <w:rPr>
          <w:rFonts w:cs="Times New Roman"/>
          <w:noProof/>
          <w:lang w:val="fr-CA"/>
        </w:rPr>
        <w:t>Comme je l’ai mentionné, la Cour d’appel s’est dite en désaccord avec le juge saisi des motions quant au degré de connaissance requis pour découvrir les faits ayant donné naissance à une réclamation au sens de l’</w:t>
      </w:r>
      <w:r>
        <w:rPr>
          <w:rFonts w:cs="Times New Roman"/>
          <w:noProof/>
          <w:lang w:val="fr-CA"/>
        </w:rPr>
        <w:t>art. </w:t>
      </w:r>
      <w:r w:rsidRPr="006A5B99">
        <w:rPr>
          <w:rFonts w:cs="Times New Roman"/>
          <w:noProof/>
          <w:lang w:val="fr-CA"/>
        </w:rPr>
        <w:t>5</w:t>
      </w:r>
      <w:r w:rsidRPr="006A5B99">
        <w:rPr>
          <w:rFonts w:cs="Times New Roman"/>
          <w:i/>
          <w:noProof/>
          <w:lang w:val="fr-CA"/>
        </w:rPr>
        <w:t>.</w:t>
      </w:r>
      <w:r w:rsidRPr="006A5B99">
        <w:rPr>
          <w:rFonts w:cs="Times New Roman"/>
          <w:noProof/>
          <w:lang w:val="fr-CA"/>
        </w:rPr>
        <w:t xml:space="preserve"> Selon le juge saisi des motions, le </w:t>
      </w:r>
      <w:r>
        <w:rPr>
          <w:rFonts w:cs="Times New Roman"/>
          <w:noProof/>
          <w:lang w:val="fr-CA"/>
        </w:rPr>
        <w:t>demandeur</w:t>
      </w:r>
      <w:r w:rsidRPr="006A5B99">
        <w:rPr>
          <w:rFonts w:cs="Times New Roman"/>
          <w:noProof/>
          <w:lang w:val="fr-CA"/>
        </w:rPr>
        <w:t xml:space="preserve"> n’a à avoir qu’une connaissance suffisante des faits afin d’avoir les moyens suffisants à première vue pour déduire l’existence d’une réclamation éventuelle. En revanche, la Cour d’appel a jugé que l</w:t>
      </w:r>
      <w:r w:rsidRPr="006A5B99">
        <w:rPr>
          <w:rFonts w:cs="Times New Roman"/>
          <w:lang w:val="fr-CA"/>
        </w:rPr>
        <w:t xml:space="preserve">a règle de la possibilité de découvrir exige du demandeur une connaissance, réelle ou imputée, de </w:t>
      </w:r>
      <w:r w:rsidRPr="006A5B99">
        <w:rPr>
          <w:rFonts w:cs="Times New Roman"/>
          <w:noProof/>
          <w:lang w:val="fr-CA"/>
        </w:rPr>
        <w:t xml:space="preserve">faits lui conférant un droit exécutoire à un recours, ce qui exige qu’il soit au courant de chacun des éléments constitutifs de la cause d’action plaidée. Ainsi, selon l’interprétation de la Cour d’appel, en plus de la connaissance d’une perte et du lien de causalité, pour pouvoir faire valoir une </w:t>
      </w:r>
      <w:r>
        <w:rPr>
          <w:rFonts w:cs="Times New Roman"/>
          <w:noProof/>
          <w:lang w:val="fr-CA"/>
        </w:rPr>
        <w:t>réclamation</w:t>
      </w:r>
      <w:r w:rsidRPr="006A5B99">
        <w:rPr>
          <w:rFonts w:cs="Times New Roman"/>
          <w:noProof/>
          <w:lang w:val="fr-CA"/>
        </w:rPr>
        <w:t xml:space="preserve"> pour négligence, le demandeur </w:t>
      </w:r>
      <w:r>
        <w:rPr>
          <w:rFonts w:cs="Times New Roman"/>
          <w:noProof/>
          <w:lang w:val="fr-CA"/>
        </w:rPr>
        <w:t xml:space="preserve">doit </w:t>
      </w:r>
      <w:r w:rsidRPr="006A5B99">
        <w:rPr>
          <w:rFonts w:cs="Times New Roman"/>
          <w:noProof/>
          <w:lang w:val="fr-CA"/>
        </w:rPr>
        <w:t>savoir que le défendeur a un devoir de diligence envers lui et qu’il a manqué à cette norme de diligence.</w:t>
      </w:r>
    </w:p>
    <w:p w:rsidR="00AE79CA" w:rsidRPr="006A5B99" w:rsidRDefault="00AE79CA" w:rsidP="00AE79CA">
      <w:pPr>
        <w:pStyle w:val="ParaNoNdepar-AltN"/>
        <w:rPr>
          <w:rFonts w:cs="Times New Roman"/>
          <w:noProof/>
          <w:lang w:val="fr-CA"/>
        </w:rPr>
      </w:pPr>
      <w:r>
        <w:rPr>
          <w:rFonts w:cs="Times New Roman"/>
          <w:noProof/>
          <w:lang w:val="fr-CA"/>
        </w:rPr>
        <w:t>Avec égards, je suis d’avis que</w:t>
      </w:r>
      <w:r w:rsidRPr="006A5B99">
        <w:rPr>
          <w:rFonts w:cs="Times New Roman"/>
          <w:noProof/>
          <w:lang w:val="fr-CA"/>
        </w:rPr>
        <w:t xml:space="preserve"> ni l’une ni l’autre de ces approches ne définit correctement le degré de connaissance requis </w:t>
      </w:r>
      <w:r w:rsidRPr="006A5B99">
        <w:rPr>
          <w:rFonts w:eastAsia="Times New Roman" w:cs="Times New Roman"/>
          <w:noProof/>
          <w:lang w:val="fr-CA"/>
        </w:rPr>
        <w:t xml:space="preserve">du </w:t>
      </w:r>
      <w:r>
        <w:rPr>
          <w:rFonts w:eastAsia="Times New Roman" w:cs="Times New Roman"/>
          <w:noProof/>
          <w:lang w:val="fr-CA"/>
        </w:rPr>
        <w:t>demandeur</w:t>
      </w:r>
      <w:r w:rsidRPr="006A5B99">
        <w:rPr>
          <w:rFonts w:eastAsia="Times New Roman" w:cs="Times New Roman"/>
          <w:noProof/>
          <w:lang w:val="fr-CA"/>
        </w:rPr>
        <w:t xml:space="preserve"> pour</w:t>
      </w:r>
      <w:r w:rsidRPr="006A5B99">
        <w:rPr>
          <w:rFonts w:cs="Times New Roman"/>
          <w:noProof/>
          <w:lang w:val="fr-CA"/>
        </w:rPr>
        <w:t xml:space="preserve"> découvrir les faits ayant donné naissance à sa réclamation au sens du </w:t>
      </w:r>
      <w:r>
        <w:rPr>
          <w:rFonts w:cs="Times New Roman"/>
          <w:noProof/>
          <w:lang w:val="fr-CA"/>
        </w:rPr>
        <w:t>par. </w:t>
      </w:r>
      <w:r w:rsidRPr="006A5B99">
        <w:rPr>
          <w:rFonts w:cs="Times New Roman"/>
          <w:noProof/>
          <w:lang w:val="fr-CA"/>
        </w:rPr>
        <w:t>5(2) et pour déclencher l’application du délai de prescription prévu à l’</w:t>
      </w:r>
      <w:r>
        <w:rPr>
          <w:rFonts w:cs="Times New Roman"/>
          <w:noProof/>
          <w:lang w:val="fr-CA"/>
        </w:rPr>
        <w:t>al. </w:t>
      </w:r>
      <w:r w:rsidRPr="006A5B99">
        <w:rPr>
          <w:rFonts w:cs="Times New Roman"/>
          <w:noProof/>
          <w:lang w:val="fr-CA"/>
        </w:rPr>
        <w:t>5(1)a). Je propose plutôt la démarche suivante</w:t>
      </w:r>
      <w:r>
        <w:rPr>
          <w:rFonts w:cs="Times New Roman"/>
          <w:noProof/>
          <w:lang w:val="fr-CA"/>
        </w:rPr>
        <w:t> :</w:t>
      </w:r>
      <w:r w:rsidRPr="006A5B99">
        <w:rPr>
          <w:rFonts w:cs="Times New Roman"/>
          <w:noProof/>
          <w:lang w:val="fr-CA"/>
        </w:rPr>
        <w:t xml:space="preserve"> le </w:t>
      </w:r>
      <w:r>
        <w:rPr>
          <w:rFonts w:cs="Times New Roman"/>
          <w:noProof/>
          <w:lang w:val="fr-CA"/>
        </w:rPr>
        <w:t>demandeur</w:t>
      </w:r>
      <w:r w:rsidRPr="006A5B99">
        <w:rPr>
          <w:rFonts w:cs="Times New Roman"/>
          <w:noProof/>
          <w:lang w:val="fr-CA"/>
        </w:rPr>
        <w:t xml:space="preserve"> découvre les faits à l’origine de sa réclamation lorsqu’il a une connaissance, réelle ou imputée, des faits importants permettant d’inférer plausiblement la responsabilité du défendeur. À mon avis, cette approche reste fidèle à la règle de common law de la possibilité de découvrir le dommage énoncée dans l’arrêt </w:t>
      </w:r>
      <w:r w:rsidRPr="006A5B99">
        <w:rPr>
          <w:rFonts w:cs="Times New Roman"/>
          <w:i/>
          <w:noProof/>
          <w:lang w:val="fr-CA"/>
        </w:rPr>
        <w:t xml:space="preserve">Rafuse </w:t>
      </w:r>
      <w:r w:rsidRPr="006A5B99">
        <w:rPr>
          <w:rFonts w:cs="Times New Roman"/>
          <w:noProof/>
          <w:lang w:val="fr-CA"/>
        </w:rPr>
        <w:t>et est compatible avec l’</w:t>
      </w:r>
      <w:r>
        <w:rPr>
          <w:rFonts w:cs="Times New Roman"/>
          <w:noProof/>
          <w:lang w:val="fr-CA"/>
        </w:rPr>
        <w:t>art. </w:t>
      </w:r>
      <w:r w:rsidRPr="006A5B99">
        <w:rPr>
          <w:rFonts w:cs="Times New Roman"/>
          <w:noProof/>
          <w:lang w:val="fr-CA"/>
        </w:rPr>
        <w:t xml:space="preserve">5 de la </w:t>
      </w:r>
      <w:r w:rsidRPr="006A5B99">
        <w:rPr>
          <w:rFonts w:cs="Times New Roman"/>
          <w:i/>
          <w:noProof/>
          <w:lang w:val="fr-CA"/>
        </w:rPr>
        <w:t>L</w:t>
      </w:r>
      <w:r>
        <w:rPr>
          <w:rFonts w:cs="Times New Roman"/>
          <w:i/>
          <w:noProof/>
          <w:lang w:val="fr-CA"/>
        </w:rPr>
        <w:t>P. </w:t>
      </w:r>
    </w:p>
    <w:p w:rsidR="00AE79CA" w:rsidRPr="006A5B99" w:rsidRDefault="00AE79CA" w:rsidP="00AE79CA">
      <w:pPr>
        <w:pStyle w:val="ParaNoNdepar-AltN"/>
        <w:rPr>
          <w:rFonts w:cs="Times New Roman"/>
          <w:noProof/>
          <w:lang w:val="fr-CA"/>
        </w:rPr>
      </w:pPr>
      <w:r w:rsidRPr="006A5B99">
        <w:rPr>
          <w:rFonts w:cs="Times New Roman"/>
          <w:noProof/>
          <w:lang w:val="fr-CA"/>
        </w:rPr>
        <w:t>À titre d’explication, les faits importants dont le demandeur doit avoir une connaissance réelle ou imputée sont généralement énoncés dans l</w:t>
      </w:r>
      <w:r>
        <w:rPr>
          <w:rFonts w:cs="Times New Roman"/>
          <w:noProof/>
          <w:lang w:val="fr-CA"/>
        </w:rPr>
        <w:t>a</w:t>
      </w:r>
      <w:r w:rsidRPr="006A5B99">
        <w:rPr>
          <w:rFonts w:cs="Times New Roman"/>
          <w:noProof/>
          <w:lang w:val="fr-CA"/>
        </w:rPr>
        <w:t xml:space="preserve"> loi sur la prescription. Dans le cas qui nous occupe, ils sont énumérés aux </w:t>
      </w:r>
      <w:r>
        <w:rPr>
          <w:rFonts w:cs="Times New Roman"/>
          <w:noProof/>
          <w:lang w:val="fr-CA"/>
        </w:rPr>
        <w:t>al. </w:t>
      </w:r>
      <w:r w:rsidRPr="006A5B99">
        <w:rPr>
          <w:rFonts w:cs="Times New Roman"/>
          <w:noProof/>
          <w:lang w:val="fr-CA"/>
        </w:rPr>
        <w:t xml:space="preserve">5(2)a) à c). Selon le </w:t>
      </w:r>
      <w:r>
        <w:rPr>
          <w:rFonts w:cs="Times New Roman"/>
          <w:noProof/>
          <w:lang w:val="fr-CA"/>
        </w:rPr>
        <w:t>par. </w:t>
      </w:r>
      <w:r w:rsidRPr="006A5B99">
        <w:rPr>
          <w:rFonts w:cs="Times New Roman"/>
          <w:noProof/>
          <w:lang w:val="fr-CA"/>
        </w:rPr>
        <w:t xml:space="preserve">5(2), les faits ayant donné naissance à la réclamation sont découverts le jour où le </w:t>
      </w:r>
      <w:r>
        <w:rPr>
          <w:rFonts w:cs="Times New Roman"/>
          <w:noProof/>
          <w:lang w:val="fr-CA"/>
        </w:rPr>
        <w:t>demandeur</w:t>
      </w:r>
      <w:r w:rsidRPr="006A5B99">
        <w:rPr>
          <w:rFonts w:cs="Times New Roman"/>
          <w:noProof/>
          <w:lang w:val="fr-CA"/>
        </w:rPr>
        <w:t xml:space="preserve"> à une connaissance réelle ou imputée</w:t>
      </w:r>
      <w:r>
        <w:rPr>
          <w:rFonts w:cs="Times New Roman"/>
          <w:noProof/>
          <w:lang w:val="fr-CA"/>
        </w:rPr>
        <w:t> : a) </w:t>
      </w:r>
      <w:r w:rsidRPr="006A5B99">
        <w:rPr>
          <w:rFonts w:cs="Times New Roman"/>
          <w:noProof/>
          <w:lang w:val="fr-CA"/>
        </w:rPr>
        <w:t>des préjudices, pertes ou dommages survenus</w:t>
      </w:r>
      <w:r>
        <w:rPr>
          <w:rFonts w:cs="Times New Roman"/>
          <w:noProof/>
          <w:lang w:val="fr-CA"/>
        </w:rPr>
        <w:t>; b) </w:t>
      </w:r>
      <w:r w:rsidRPr="006A5B99">
        <w:rPr>
          <w:rFonts w:cs="Times New Roman"/>
          <w:noProof/>
          <w:lang w:val="fr-CA"/>
        </w:rPr>
        <w:t xml:space="preserve">du fait que les préjudices, pertes ou dommages ont été causés entièrement ou en partie par un acte ou une omission; et </w:t>
      </w:r>
      <w:r>
        <w:rPr>
          <w:rFonts w:cs="Times New Roman"/>
          <w:noProof/>
          <w:lang w:val="fr-CA"/>
        </w:rPr>
        <w:t>c) </w:t>
      </w:r>
      <w:r w:rsidRPr="006A5B99">
        <w:rPr>
          <w:rFonts w:cs="Times New Roman"/>
          <w:noProof/>
          <w:lang w:val="fr-CA"/>
        </w:rPr>
        <w:t xml:space="preserve">du fait que l’acte ou l’omission était le fait du défendeur. Cette énumération est cumulative et non disjonctive. Par exemple, la connaissance </w:t>
      </w:r>
      <w:r>
        <w:rPr>
          <w:rFonts w:cs="Times New Roman"/>
          <w:noProof/>
          <w:lang w:val="fr-CA"/>
        </w:rPr>
        <w:t>d’une perte</w:t>
      </w:r>
      <w:r w:rsidRPr="006A5B99">
        <w:rPr>
          <w:rFonts w:cs="Times New Roman"/>
          <w:noProof/>
          <w:lang w:val="fr-CA"/>
        </w:rPr>
        <w:t xml:space="preserve">, sans plus, ne suffit pas pour que le </w:t>
      </w:r>
      <w:r w:rsidRPr="006A5B99">
        <w:rPr>
          <w:rFonts w:eastAsia="Times New Roman" w:cs="Times New Roman"/>
          <w:noProof/>
          <w:lang w:val="fr-CA"/>
        </w:rPr>
        <w:t xml:space="preserve">délai de prescription commence à courir. </w:t>
      </w:r>
    </w:p>
    <w:p w:rsidR="00AE79CA" w:rsidRPr="006A5B99" w:rsidRDefault="00AE79CA" w:rsidP="00AE79CA">
      <w:pPr>
        <w:pStyle w:val="ParaNoNdepar-AltN"/>
        <w:rPr>
          <w:rFonts w:eastAsia="Times New Roman" w:cs="Times New Roman"/>
          <w:noProof/>
          <w:lang w:val="fr-CA"/>
        </w:rPr>
      </w:pPr>
      <w:r w:rsidRPr="006A5B99">
        <w:rPr>
          <w:rFonts w:cs="Times New Roman"/>
          <w:noProof/>
          <w:lang w:val="fr-CA"/>
        </w:rPr>
        <w:t>Pour déterminer le degré de connaissance du demandeur, on peut utiliser des preuves tant directes que circonstancielles. De plus, le demandeur a une connaissance imputée lorsque la preuve démontre qu’il aurait dû découvrir les faits importants s’il avait fait preuve d’une diligence raisonnable</w:t>
      </w:r>
      <w:r w:rsidRPr="006A5B99">
        <w:rPr>
          <w:rFonts w:eastAsia="Times New Roman" w:cs="Times New Roman"/>
          <w:noProof/>
          <w:lang w:val="fr-CA"/>
        </w:rPr>
        <w:t xml:space="preserve">. L’existence de soupçons peut donner lieu à cette analyse </w:t>
      </w:r>
      <w:r w:rsidRPr="006A5B99">
        <w:rPr>
          <w:rFonts w:cs="Times New Roman"/>
          <w:noProof/>
          <w:lang w:val="fr-CA"/>
        </w:rPr>
        <w:t>(</w:t>
      </w:r>
      <w:r w:rsidRPr="006A5B99">
        <w:rPr>
          <w:rFonts w:cs="Times New Roman"/>
          <w:i/>
          <w:noProof/>
          <w:shd w:val="clear" w:color="auto" w:fill="FFFFFF"/>
          <w:lang w:val="fr-CA"/>
        </w:rPr>
        <w:t>Crombie Property Holdings Ltd. c. McColl</w:t>
      </w:r>
      <w:r>
        <w:rPr>
          <w:rFonts w:cs="Times New Roman"/>
          <w:i/>
          <w:noProof/>
          <w:shd w:val="clear" w:color="auto" w:fill="FFFFFF"/>
          <w:lang w:val="fr-CA"/>
        </w:rPr>
        <w:noBreakHyphen/>
      </w:r>
      <w:r w:rsidRPr="006A5B99">
        <w:rPr>
          <w:rFonts w:cs="Times New Roman"/>
          <w:i/>
          <w:noProof/>
          <w:shd w:val="clear" w:color="auto" w:fill="FFFFFF"/>
          <w:lang w:val="fr-CA"/>
        </w:rPr>
        <w:t>Frontenac Inc.</w:t>
      </w:r>
      <w:r w:rsidRPr="006A5B99">
        <w:rPr>
          <w:rFonts w:cs="Times New Roman"/>
          <w:noProof/>
          <w:shd w:val="clear" w:color="auto" w:fill="FFFFFF"/>
          <w:lang w:val="fr-CA"/>
        </w:rPr>
        <w:t xml:space="preserve">, 2017 ONCA 16, 406 D.L.R. (4th) 252, </w:t>
      </w:r>
      <w:r>
        <w:rPr>
          <w:rFonts w:cs="Times New Roman"/>
          <w:noProof/>
          <w:shd w:val="clear" w:color="auto" w:fill="FFFFFF"/>
          <w:lang w:val="fr-CA"/>
        </w:rPr>
        <w:t>par. </w:t>
      </w:r>
      <w:r w:rsidRPr="006A5B99">
        <w:rPr>
          <w:rFonts w:cs="Times New Roman"/>
          <w:noProof/>
          <w:lang w:val="fr-CA"/>
        </w:rPr>
        <w:t>42).</w:t>
      </w:r>
    </w:p>
    <w:p w:rsidR="00AE79CA" w:rsidRPr="006A5B99" w:rsidRDefault="00AE79CA" w:rsidP="00AE79CA">
      <w:pPr>
        <w:pStyle w:val="ParaNoNdepar-AltN"/>
        <w:rPr>
          <w:rFonts w:cs="Times New Roman"/>
          <w:noProof/>
          <w:lang w:val="fr-CA"/>
        </w:rPr>
      </w:pPr>
      <w:r w:rsidRPr="006A5B99">
        <w:rPr>
          <w:rFonts w:cs="Times New Roman"/>
          <w:noProof/>
          <w:lang w:val="fr-CA"/>
        </w:rPr>
        <w:t>Enfin, la norme applicable exige que le demandeur soit en mesure d’inférer plausiblement la responsabilité du défendeur à partir des faits importants dont il a une connaissance réelle ou imputée. Dans ce contexte particulier, déterminer si l’on peut inférer plausiblement la responsabilité à partir des faits importants qui sont connus revient à évaluer si le demandeur [</w:t>
      </w:r>
      <w:r w:rsidRPr="006A5B99">
        <w:rPr>
          <w:rFonts w:cs="Times New Roman"/>
          <w:smallCaps/>
          <w:noProof/>
          <w:lang w:val="fr-CA"/>
        </w:rPr>
        <w:t>traduction</w:t>
      </w:r>
      <w:r w:rsidRPr="006A5B99">
        <w:rPr>
          <w:rFonts w:cs="Times New Roman"/>
          <w:noProof/>
          <w:lang w:val="fr-CA"/>
        </w:rPr>
        <w:t>] «</w:t>
      </w:r>
      <w:r>
        <w:rPr>
          <w:rFonts w:cs="Times New Roman"/>
          <w:noProof/>
          <w:lang w:val="fr-CA"/>
        </w:rPr>
        <w:t> </w:t>
      </w:r>
      <w:r w:rsidRPr="006A5B99">
        <w:rPr>
          <w:rFonts w:cs="Times New Roman"/>
          <w:noProof/>
          <w:lang w:val="fr-CA"/>
        </w:rPr>
        <w:t xml:space="preserve">était au courant de tous les faits importants nécessaires pour déterminer qu’[il] disposait de </w:t>
      </w:r>
      <w:r w:rsidRPr="006A5B99">
        <w:rPr>
          <w:rFonts w:cs="Times New Roman"/>
          <w:noProof/>
          <w:szCs w:val="24"/>
          <w:lang w:val="fr-CA"/>
        </w:rPr>
        <w:t>moyens suffisants à première vue pour inférer la [responsabilité du défendeur]</w:t>
      </w:r>
      <w:r>
        <w:rPr>
          <w:rFonts w:cs="Times New Roman"/>
          <w:noProof/>
          <w:szCs w:val="24"/>
          <w:lang w:val="fr-CA"/>
        </w:rPr>
        <w:t> </w:t>
      </w:r>
      <w:r w:rsidRPr="006A5B99">
        <w:rPr>
          <w:rFonts w:cs="Times New Roman"/>
          <w:noProof/>
          <w:szCs w:val="24"/>
          <w:lang w:val="fr-CA"/>
        </w:rPr>
        <w:t>» (</w:t>
      </w:r>
      <w:r w:rsidRPr="006A5B99">
        <w:rPr>
          <w:rFonts w:cs="Times New Roman"/>
          <w:i/>
          <w:noProof/>
          <w:szCs w:val="24"/>
          <w:lang w:val="fr-CA"/>
        </w:rPr>
        <w:t>Brown c. Wahl</w:t>
      </w:r>
      <w:r w:rsidRPr="006A5B99">
        <w:rPr>
          <w:rFonts w:cs="Times New Roman"/>
          <w:noProof/>
          <w:szCs w:val="24"/>
          <w:lang w:val="fr-CA"/>
        </w:rPr>
        <w:t>,</w:t>
      </w:r>
      <w:r w:rsidRPr="006A5B99">
        <w:rPr>
          <w:rFonts w:cs="Times New Roman"/>
          <w:i/>
          <w:noProof/>
          <w:szCs w:val="24"/>
          <w:lang w:val="fr-CA"/>
        </w:rPr>
        <w:t xml:space="preserve"> </w:t>
      </w:r>
      <w:r w:rsidRPr="006A5B99">
        <w:rPr>
          <w:rFonts w:cs="Times New Roman"/>
          <w:noProof/>
          <w:szCs w:val="24"/>
          <w:lang w:val="fr-CA"/>
        </w:rPr>
        <w:t xml:space="preserve">2015 ONCA 778, </w:t>
      </w:r>
      <w:r>
        <w:rPr>
          <w:rFonts w:cs="Times New Roman"/>
          <w:noProof/>
          <w:szCs w:val="24"/>
          <w:lang w:val="fr-CA"/>
        </w:rPr>
        <w:t>128 O.R. (3d) 588</w:t>
      </w:r>
      <w:r w:rsidRPr="006A5B99">
        <w:rPr>
          <w:rFonts w:cs="Times New Roman"/>
          <w:noProof/>
          <w:szCs w:val="24"/>
          <w:lang w:val="fr-CA"/>
        </w:rPr>
        <w:t xml:space="preserve">, </w:t>
      </w:r>
      <w:r>
        <w:rPr>
          <w:rFonts w:cs="Times New Roman"/>
          <w:noProof/>
          <w:szCs w:val="24"/>
          <w:lang w:val="fr-CA"/>
        </w:rPr>
        <w:t>par. </w:t>
      </w:r>
      <w:r w:rsidRPr="006A5B99">
        <w:rPr>
          <w:rFonts w:cs="Times New Roman"/>
          <w:noProof/>
          <w:szCs w:val="24"/>
          <w:lang w:val="fr-CA"/>
        </w:rPr>
        <w:t xml:space="preserve">7; voir aussi </w:t>
      </w:r>
      <w:r>
        <w:rPr>
          <w:rFonts w:cs="Times New Roman"/>
          <w:noProof/>
          <w:szCs w:val="24"/>
          <w:lang w:val="fr-CA"/>
        </w:rPr>
        <w:t>par. </w:t>
      </w:r>
      <w:r w:rsidRPr="006A5B99">
        <w:rPr>
          <w:rFonts w:cs="Times New Roman"/>
          <w:noProof/>
          <w:szCs w:val="24"/>
          <w:lang w:val="fr-CA"/>
        </w:rPr>
        <w:t xml:space="preserve">8, citant </w:t>
      </w:r>
      <w:r w:rsidRPr="006A5B99">
        <w:rPr>
          <w:rFonts w:cs="Times New Roman"/>
          <w:i/>
          <w:noProof/>
          <w:szCs w:val="24"/>
          <w:lang w:val="fr-CA"/>
        </w:rPr>
        <w:t>Lawless c. Anderson</w:t>
      </w:r>
      <w:r w:rsidRPr="006A5B99">
        <w:rPr>
          <w:rFonts w:cs="Times New Roman"/>
          <w:noProof/>
          <w:szCs w:val="24"/>
          <w:lang w:val="fr-CA"/>
        </w:rPr>
        <w:t>, 2011 ONCA</w:t>
      </w:r>
      <w:r>
        <w:rPr>
          <w:rFonts w:cs="Times New Roman"/>
          <w:noProof/>
          <w:szCs w:val="24"/>
          <w:lang w:val="fr-CA"/>
        </w:rPr>
        <w:t xml:space="preserve"> </w:t>
      </w:r>
      <w:r w:rsidRPr="006A5B99">
        <w:rPr>
          <w:rFonts w:cs="Times New Roman"/>
          <w:noProof/>
          <w:szCs w:val="24"/>
          <w:lang w:val="fr-CA"/>
        </w:rPr>
        <w:t>102,</w:t>
      </w:r>
      <w:r w:rsidRPr="006A5B99">
        <w:rPr>
          <w:rFonts w:cs="Times New Roman"/>
          <w:i/>
          <w:noProof/>
          <w:szCs w:val="24"/>
          <w:lang w:val="fr-CA"/>
        </w:rPr>
        <w:t xml:space="preserve"> </w:t>
      </w:r>
      <w:r w:rsidRPr="006A5B99">
        <w:rPr>
          <w:rFonts w:cs="Times New Roman"/>
          <w:noProof/>
          <w:szCs w:val="24"/>
          <w:lang w:val="fr-CA"/>
        </w:rPr>
        <w:t>276 O.A.C.</w:t>
      </w:r>
      <w:r>
        <w:rPr>
          <w:rFonts w:cs="Times New Roman"/>
          <w:noProof/>
          <w:szCs w:val="24"/>
          <w:lang w:val="fr-CA"/>
        </w:rPr>
        <w:t xml:space="preserve"> </w:t>
      </w:r>
      <w:r w:rsidRPr="006A5B99">
        <w:rPr>
          <w:rFonts w:cs="Times New Roman"/>
          <w:noProof/>
          <w:szCs w:val="24"/>
          <w:lang w:val="fr-CA"/>
        </w:rPr>
        <w:t xml:space="preserve">75, </w:t>
      </w:r>
      <w:r>
        <w:rPr>
          <w:rFonts w:cs="Times New Roman"/>
          <w:noProof/>
          <w:szCs w:val="24"/>
          <w:lang w:val="fr-CA"/>
        </w:rPr>
        <w:t>par. </w:t>
      </w:r>
      <w:r w:rsidRPr="006A5B99">
        <w:rPr>
          <w:rFonts w:cs="Times New Roman"/>
          <w:noProof/>
          <w:szCs w:val="24"/>
          <w:lang w:val="fr-CA"/>
        </w:rPr>
        <w:t>30). Bien que, dans les deux scénarios, la question qui se pose est celle de savoir si la connaissance, par le demandeur, des faits importants permet d’inférer la responsabilité du défendeur, je préfère employer le terme « inférence plausible » parce que, en matière civile, il ne semble pas exister de définition universelle de ce qu’il faut entendre par moyens suffisants à première vue</w:t>
      </w:r>
      <w:r>
        <w:rPr>
          <w:rFonts w:cs="Times New Roman"/>
          <w:noProof/>
          <w:szCs w:val="24"/>
          <w:lang w:val="fr-CA"/>
        </w:rPr>
        <w:t xml:space="preserve"> ou motifs suffisants </w:t>
      </w:r>
      <w:r>
        <w:rPr>
          <w:rFonts w:cs="Times New Roman"/>
          <w:i/>
          <w:noProof/>
          <w:szCs w:val="24"/>
          <w:lang w:val="fr-CA"/>
        </w:rPr>
        <w:t>prima facie</w:t>
      </w:r>
      <w:r w:rsidRPr="006A5B99">
        <w:rPr>
          <w:rFonts w:cs="Times New Roman"/>
          <w:noProof/>
          <w:szCs w:val="24"/>
          <w:lang w:val="fr-CA"/>
        </w:rPr>
        <w:t>. Comme l’a signalé la Cour d’appel de la Colombie</w:t>
      </w:r>
      <w:r>
        <w:rPr>
          <w:rFonts w:cs="Times New Roman"/>
          <w:noProof/>
          <w:szCs w:val="24"/>
          <w:lang w:val="fr-CA"/>
        </w:rPr>
        <w:noBreakHyphen/>
      </w:r>
      <w:r w:rsidRPr="006A5B99">
        <w:rPr>
          <w:rFonts w:cs="Times New Roman"/>
          <w:noProof/>
          <w:szCs w:val="24"/>
          <w:lang w:val="fr-CA"/>
        </w:rPr>
        <w:t xml:space="preserve">Britannique dans </w:t>
      </w:r>
      <w:r w:rsidRPr="006A5B99">
        <w:rPr>
          <w:rFonts w:cs="Times New Roman"/>
          <w:bCs/>
          <w:i/>
          <w:noProof/>
          <w:szCs w:val="24"/>
          <w:lang w:val="fr-CA"/>
        </w:rPr>
        <w:t>Insurance Corporation of British Columbia c. Mehat</w:t>
      </w:r>
      <w:r w:rsidRPr="006A5B99">
        <w:rPr>
          <w:rFonts w:cs="Times New Roman"/>
          <w:noProof/>
          <w:szCs w:val="24"/>
          <w:lang w:val="fr-CA"/>
        </w:rPr>
        <w:t>, 2018 BCCA</w:t>
      </w:r>
      <w:r>
        <w:rPr>
          <w:rFonts w:cs="Times New Roman"/>
          <w:noProof/>
          <w:szCs w:val="24"/>
          <w:lang w:val="fr-CA"/>
        </w:rPr>
        <w:t xml:space="preserve"> </w:t>
      </w:r>
      <w:r w:rsidRPr="006A5B99">
        <w:rPr>
          <w:rFonts w:cs="Times New Roman"/>
          <w:noProof/>
          <w:szCs w:val="24"/>
          <w:lang w:val="fr-CA"/>
        </w:rPr>
        <w:t xml:space="preserve">242, </w:t>
      </w:r>
      <w:r>
        <w:rPr>
          <w:rFonts w:cs="Times New Roman"/>
          <w:noProof/>
          <w:szCs w:val="24"/>
          <w:lang w:val="fr-CA"/>
        </w:rPr>
        <w:t xml:space="preserve">11 B.C.L.R. (6th) </w:t>
      </w:r>
      <w:r w:rsidRPr="006A5B99">
        <w:rPr>
          <w:rFonts w:cs="Times New Roman"/>
          <w:noProof/>
          <w:szCs w:val="24"/>
          <w:lang w:val="fr-CA"/>
        </w:rPr>
        <w:t xml:space="preserve">217, </w:t>
      </w:r>
      <w:r>
        <w:rPr>
          <w:rFonts w:cs="Times New Roman"/>
          <w:noProof/>
          <w:szCs w:val="24"/>
          <w:lang w:val="fr-CA"/>
        </w:rPr>
        <w:t>par. </w:t>
      </w:r>
      <w:r w:rsidRPr="006A5B99">
        <w:rPr>
          <w:rFonts w:cs="Times New Roman"/>
          <w:noProof/>
          <w:szCs w:val="24"/>
          <w:lang w:val="fr-CA"/>
        </w:rPr>
        <w:t>77</w:t>
      </w:r>
      <w:r>
        <w:rPr>
          <w:rFonts w:cs="Times New Roman"/>
          <w:noProof/>
          <w:szCs w:val="24"/>
          <w:lang w:val="fr-CA"/>
        </w:rPr>
        <w:t> :</w:t>
      </w:r>
    </w:p>
    <w:p w:rsidR="00AE79CA" w:rsidRPr="006A5B99" w:rsidRDefault="00AE79CA" w:rsidP="00AE79CA">
      <w:pPr>
        <w:pStyle w:val="Citation-AltC"/>
        <w:ind w:hanging="1166"/>
        <w:rPr>
          <w:noProof/>
          <w:lang w:val="fr-CA"/>
        </w:rPr>
      </w:pPr>
      <w:r>
        <w:rPr>
          <w:noProof/>
          <w:lang w:val="fr-CA"/>
        </w:rPr>
        <w:tab/>
      </w:r>
      <w:r w:rsidRPr="006A5B99">
        <w:rPr>
          <w:noProof/>
          <w:lang w:val="fr-CA"/>
        </w:rPr>
        <w:t>[</w:t>
      </w:r>
      <w:r w:rsidRPr="006A5B99">
        <w:rPr>
          <w:smallCaps/>
          <w:noProof/>
          <w:lang w:val="fr-CA"/>
        </w:rPr>
        <w:t>traduction</w:t>
      </w:r>
      <w:r w:rsidRPr="006A5B99">
        <w:rPr>
          <w:noProof/>
          <w:lang w:val="fr-CA"/>
        </w:rPr>
        <w:t xml:space="preserve">] Comme </w:t>
      </w:r>
      <w:r>
        <w:rPr>
          <w:noProof/>
          <w:lang w:val="fr-CA"/>
        </w:rPr>
        <w:t>il est mentionné dans l’ouvrage</w:t>
      </w:r>
      <w:r w:rsidRPr="006A5B99">
        <w:rPr>
          <w:noProof/>
          <w:lang w:val="fr-CA"/>
        </w:rPr>
        <w:t xml:space="preserve"> </w:t>
      </w:r>
      <w:r w:rsidRPr="006A5B99">
        <w:rPr>
          <w:i/>
          <w:noProof/>
          <w:lang w:val="fr-CA"/>
        </w:rPr>
        <w:t>Sopinka, Lederman &amp; Bryant</w:t>
      </w:r>
      <w:r>
        <w:rPr>
          <w:i/>
          <w:noProof/>
          <w:lang w:val="fr-CA"/>
        </w:rPr>
        <w:t> :</w:t>
      </w:r>
      <w:r w:rsidRPr="006A5B99">
        <w:rPr>
          <w:noProof/>
          <w:lang w:val="fr-CA"/>
        </w:rPr>
        <w:t xml:space="preserve"> </w:t>
      </w:r>
      <w:r>
        <w:rPr>
          <w:i/>
          <w:noProof/>
          <w:lang w:val="fr-CA"/>
        </w:rPr>
        <w:t>T</w:t>
      </w:r>
      <w:r w:rsidRPr="006A5B99">
        <w:rPr>
          <w:i/>
          <w:noProof/>
          <w:lang w:val="fr-CA"/>
        </w:rPr>
        <w:t>h</w:t>
      </w:r>
      <w:r w:rsidRPr="006A5B99">
        <w:rPr>
          <w:i/>
          <w:iCs/>
          <w:noProof/>
          <w:lang w:val="fr-CA"/>
        </w:rPr>
        <w:t>e Law of Evidence in Canada</w:t>
      </w:r>
      <w:r w:rsidRPr="006A5B99">
        <w:rPr>
          <w:noProof/>
          <w:lang w:val="fr-CA"/>
        </w:rPr>
        <w:t>, certaines décisions assimilent la</w:t>
      </w:r>
      <w:r>
        <w:rPr>
          <w:noProof/>
          <w:lang w:val="fr-CA"/>
        </w:rPr>
        <w:t xml:space="preserve"> notion de</w:t>
      </w:r>
      <w:r w:rsidRPr="006A5B99">
        <w:rPr>
          <w:noProof/>
          <w:lang w:val="fr-CA"/>
        </w:rPr>
        <w:t xml:space="preserve"> preuve </w:t>
      </w:r>
      <w:r>
        <w:rPr>
          <w:i/>
          <w:noProof/>
          <w:lang w:val="fr-CA"/>
        </w:rPr>
        <w:t xml:space="preserve">prima facie </w:t>
      </w:r>
      <w:r>
        <w:rPr>
          <w:noProof/>
          <w:lang w:val="fr-CA"/>
        </w:rPr>
        <w:t xml:space="preserve">aux </w:t>
      </w:r>
      <w:r w:rsidRPr="006A5B99">
        <w:rPr>
          <w:noProof/>
          <w:lang w:val="fr-CA"/>
        </w:rPr>
        <w:t xml:space="preserve">situations </w:t>
      </w:r>
      <w:r>
        <w:rPr>
          <w:noProof/>
          <w:lang w:val="fr-CA"/>
        </w:rPr>
        <w:t>où</w:t>
      </w:r>
      <w:r w:rsidRPr="006A5B99">
        <w:rPr>
          <w:noProof/>
          <w:lang w:val="fr-CA"/>
        </w:rPr>
        <w:t xml:space="preserve"> la preuve permet de tirer une </w:t>
      </w:r>
      <w:r>
        <w:rPr>
          <w:noProof/>
          <w:lang w:val="fr-CA"/>
        </w:rPr>
        <w:t>inférence de fait acceptable</w:t>
      </w:r>
      <w:r w:rsidRPr="006A5B99">
        <w:rPr>
          <w:noProof/>
          <w:lang w:val="fr-CA"/>
        </w:rPr>
        <w:t xml:space="preserve">, alors que d’autres l’assimilent aux </w:t>
      </w:r>
      <w:r>
        <w:rPr>
          <w:noProof/>
          <w:lang w:val="fr-CA"/>
        </w:rPr>
        <w:t>situations</w:t>
      </w:r>
      <w:r w:rsidRPr="006A5B99">
        <w:rPr>
          <w:noProof/>
          <w:lang w:val="fr-CA"/>
        </w:rPr>
        <w:t xml:space="preserve"> où la preuve </w:t>
      </w:r>
      <w:r>
        <w:rPr>
          <w:noProof/>
          <w:lang w:val="fr-CA"/>
        </w:rPr>
        <w:t>mène</w:t>
      </w:r>
      <w:r w:rsidRPr="006A5B99">
        <w:rPr>
          <w:noProof/>
          <w:lang w:val="fr-CA"/>
        </w:rPr>
        <w:t xml:space="preserve"> à une conclusion de fait </w:t>
      </w:r>
      <w:r>
        <w:rPr>
          <w:noProof/>
          <w:lang w:val="fr-CA"/>
        </w:rPr>
        <w:t>impérieuse</w:t>
      </w:r>
      <w:r w:rsidRPr="006A5B99">
        <w:rPr>
          <w:noProof/>
          <w:lang w:val="fr-CA"/>
        </w:rPr>
        <w:t xml:space="preserve">, </w:t>
      </w:r>
      <w:r>
        <w:rPr>
          <w:noProof/>
          <w:lang w:val="fr-CA"/>
        </w:rPr>
        <w:t>en l’absence de preuve à l’effet contraire</w:t>
      </w:r>
      <w:r w:rsidRPr="006A5B99">
        <w:rPr>
          <w:noProof/>
          <w:lang w:val="fr-CA"/>
        </w:rPr>
        <w:t>. [Référence omise.] </w:t>
      </w:r>
    </w:p>
    <w:p w:rsidR="00AE79CA" w:rsidRPr="003114C9" w:rsidRDefault="00AE79CA" w:rsidP="00AE79CA">
      <w:pPr>
        <w:pStyle w:val="ContinueParaSuitedupar-AltP"/>
        <w:rPr>
          <w:i/>
          <w:noProof/>
          <w:lang w:val="fr-CA"/>
        </w:rPr>
      </w:pPr>
      <w:r w:rsidRPr="003114C9">
        <w:rPr>
          <w:noProof/>
          <w:lang w:val="fr-CA"/>
        </w:rPr>
        <w:t>Puisque l’expression à première vue</w:t>
      </w:r>
      <w:r>
        <w:rPr>
          <w:noProof/>
          <w:lang w:val="fr-CA"/>
        </w:rPr>
        <w:t xml:space="preserve"> ou </w:t>
      </w:r>
      <w:r>
        <w:rPr>
          <w:i/>
          <w:noProof/>
          <w:lang w:val="fr-CA"/>
        </w:rPr>
        <w:t>prima facie</w:t>
      </w:r>
      <w:r w:rsidRPr="003114C9">
        <w:rPr>
          <w:noProof/>
          <w:lang w:val="fr-CA"/>
        </w:rPr>
        <w:t xml:space="preserve"> peut avoir différents sens, employer l’expression inférence plausible dans le présent contexte assure la cohérence du droit. On entend par inférence plausible</w:t>
      </w:r>
      <w:r>
        <w:rPr>
          <w:noProof/>
          <w:lang w:val="fr-CA"/>
        </w:rPr>
        <w:t xml:space="preserve"> une inférence </w:t>
      </w:r>
      <w:r w:rsidRPr="003114C9">
        <w:rPr>
          <w:noProof/>
          <w:lang w:val="fr-CA"/>
        </w:rPr>
        <w:t xml:space="preserve">qui permet de tirer une </w:t>
      </w:r>
      <w:r>
        <w:rPr>
          <w:noProof/>
          <w:lang w:val="fr-CA"/>
        </w:rPr>
        <w:t>« inférence de fait acceptable</w:t>
      </w:r>
      <w:r w:rsidRPr="003114C9">
        <w:rPr>
          <w:noProof/>
          <w:lang w:val="fr-CA"/>
        </w:rPr>
        <w:t xml:space="preserve"> ». </w:t>
      </w:r>
    </w:p>
    <w:p w:rsidR="00AE79CA" w:rsidRPr="006A5B99" w:rsidRDefault="00AE79CA" w:rsidP="00AE79CA">
      <w:pPr>
        <w:pStyle w:val="ParaNoNdepar-AltN"/>
        <w:rPr>
          <w:rStyle w:val="ParaNoNdepar-AltNChar"/>
          <w:rFonts w:cs="Times New Roman"/>
          <w:noProof/>
          <w:lang w:val="fr-CA"/>
        </w:rPr>
      </w:pPr>
      <w:r w:rsidRPr="006A5B99">
        <w:rPr>
          <w:rFonts w:cs="Times New Roman"/>
          <w:noProof/>
          <w:szCs w:val="24"/>
          <w:lang w:val="fr-CA"/>
        </w:rPr>
        <w:t>L’exigence relative à l’inférence plausible</w:t>
      </w:r>
      <w:r w:rsidRPr="006A5B99">
        <w:rPr>
          <w:rFonts w:cs="Times New Roman"/>
          <w:noProof/>
          <w:lang w:val="fr-CA"/>
        </w:rPr>
        <w:t xml:space="preserve"> de responsabilité</w:t>
      </w:r>
      <w:r w:rsidRPr="006A5B99">
        <w:rPr>
          <w:rStyle w:val="ParaNoNdepar-AltNChar"/>
          <w:rFonts w:cs="Times New Roman"/>
          <w:noProof/>
          <w:lang w:val="fr-CA"/>
        </w:rPr>
        <w:t xml:space="preserve"> garantit que le degré de connaissance requis pour découvrir </w:t>
      </w:r>
      <w:r w:rsidRPr="006A5B99">
        <w:rPr>
          <w:rFonts w:cs="Times New Roman"/>
          <w:noProof/>
          <w:lang w:val="fr-CA"/>
        </w:rPr>
        <w:t xml:space="preserve">les faits ayant donné naissance à une réclamation est plus élevé que </w:t>
      </w:r>
      <w:r w:rsidRPr="006A5B99">
        <w:rPr>
          <w:rStyle w:val="ParaNoNdepar-AltNChar"/>
          <w:rFonts w:cs="Times New Roman"/>
          <w:noProof/>
          <w:lang w:val="fr-CA"/>
        </w:rPr>
        <w:t>de simples soupçons ou spéculations. Cette exigence s’accorde par ailleurs avec les principes sous</w:t>
      </w:r>
      <w:r>
        <w:rPr>
          <w:rStyle w:val="ParaNoNdepar-AltNChar"/>
          <w:rFonts w:cs="Times New Roman"/>
          <w:noProof/>
          <w:lang w:val="fr-CA"/>
        </w:rPr>
        <w:noBreakHyphen/>
      </w:r>
      <w:r w:rsidRPr="006A5B99">
        <w:rPr>
          <w:rStyle w:val="ParaNoNdepar-AltNChar"/>
          <w:rFonts w:cs="Times New Roman"/>
          <w:noProof/>
          <w:lang w:val="fr-CA"/>
        </w:rPr>
        <w:t xml:space="preserve">jacents à la </w:t>
      </w:r>
      <w:r w:rsidRPr="006A5B99">
        <w:rPr>
          <w:rFonts w:cs="Times New Roman"/>
          <w:noProof/>
          <w:lang w:val="fr-CA"/>
        </w:rPr>
        <w:t xml:space="preserve">règle de la possibilité de découvrir le dommage qui reconnaissent qu’il est injuste de priver le demandeur de la possibilité d’intenter une action avant qu’on puisse raisonnablement s’attendre à ce qu’il soit au courant de l’existence de cette action. En même temps, l’exigence de l’existence d’une inférence plausible </w:t>
      </w:r>
      <w:r w:rsidRPr="006A5B99">
        <w:rPr>
          <w:rStyle w:val="ParaNoNdepar-AltNChar"/>
          <w:rFonts w:cs="Times New Roman"/>
          <w:noProof/>
          <w:lang w:val="fr-CA"/>
        </w:rPr>
        <w:t>de responsabilité fait en sorte que la norme n’est pas stricte au point d’exiger une certitude quant à la responsabilité du défendeur (</w:t>
      </w:r>
      <w:r w:rsidRPr="006A5B99">
        <w:rPr>
          <w:rStyle w:val="ParaNoNdepar-AltNChar"/>
          <w:rFonts w:cs="Times New Roman"/>
          <w:i/>
          <w:noProof/>
          <w:lang w:val="fr-CA"/>
        </w:rPr>
        <w:t>Kowal c. Shyiak</w:t>
      </w:r>
      <w:r w:rsidRPr="006A5B99">
        <w:rPr>
          <w:rStyle w:val="ParaNoNdepar-AltNChar"/>
          <w:rFonts w:cs="Times New Roman"/>
          <w:noProof/>
          <w:lang w:val="fr-CA"/>
        </w:rPr>
        <w:t>, 2012 ONCA 512, 296 O.A.C. 352) ou une [</w:t>
      </w:r>
      <w:r w:rsidRPr="006A5B99">
        <w:rPr>
          <w:rStyle w:val="ParaNoNdepar-AltNChar"/>
          <w:rFonts w:cs="Times New Roman"/>
          <w:smallCaps/>
          <w:noProof/>
          <w:lang w:val="fr-CA"/>
        </w:rPr>
        <w:t>traduction</w:t>
      </w:r>
      <w:r w:rsidRPr="006A5B99">
        <w:rPr>
          <w:rStyle w:val="ParaNoNdepar-AltNChar"/>
          <w:rFonts w:cs="Times New Roman"/>
          <w:noProof/>
          <w:lang w:val="fr-CA"/>
        </w:rPr>
        <w:t>] «</w:t>
      </w:r>
      <w:r>
        <w:rPr>
          <w:rStyle w:val="ParaNoNdepar-AltNChar"/>
          <w:rFonts w:cs="Times New Roman"/>
          <w:noProof/>
          <w:lang w:val="fr-CA"/>
        </w:rPr>
        <w:t> </w:t>
      </w:r>
      <w:r w:rsidRPr="006A5B99">
        <w:rPr>
          <w:rStyle w:val="ParaNoNdepar-AltNChar"/>
          <w:rFonts w:cs="Times New Roman"/>
          <w:noProof/>
          <w:lang w:val="fr-CA"/>
        </w:rPr>
        <w:t>connaissance parfaite</w:t>
      </w:r>
      <w:r>
        <w:rPr>
          <w:rStyle w:val="ParaNoNdepar-AltNChar"/>
          <w:rFonts w:cs="Times New Roman"/>
          <w:noProof/>
          <w:lang w:val="fr-CA"/>
        </w:rPr>
        <w:t> </w:t>
      </w:r>
      <w:r w:rsidRPr="006A5B99">
        <w:rPr>
          <w:rStyle w:val="ParaNoNdepar-AltNChar"/>
          <w:rFonts w:cs="Times New Roman"/>
          <w:noProof/>
          <w:lang w:val="fr-CA"/>
        </w:rPr>
        <w:t>» (</w:t>
      </w:r>
      <w:r w:rsidRPr="006A5B99">
        <w:rPr>
          <w:rStyle w:val="ParaNoNdepar-AltNChar"/>
          <w:rFonts w:cs="Times New Roman"/>
          <w:i/>
          <w:noProof/>
          <w:lang w:val="fr-CA"/>
        </w:rPr>
        <w:t>De Shazo</w:t>
      </w:r>
      <w:r w:rsidRPr="006A5B99">
        <w:rPr>
          <w:rStyle w:val="ParaNoNdepar-AltNChar"/>
          <w:rFonts w:cs="Times New Roman"/>
          <w:noProof/>
          <w:lang w:val="fr-CA"/>
        </w:rPr>
        <w:t xml:space="preserve">, </w:t>
      </w:r>
      <w:r>
        <w:rPr>
          <w:rStyle w:val="ParaNoNdepar-AltNChar"/>
          <w:rFonts w:cs="Times New Roman"/>
          <w:noProof/>
          <w:lang w:val="fr-CA"/>
        </w:rPr>
        <w:t>par. </w:t>
      </w:r>
      <w:r w:rsidRPr="006A5B99">
        <w:rPr>
          <w:rStyle w:val="ParaNoNdepar-AltNChar"/>
          <w:rFonts w:cs="Times New Roman"/>
          <w:noProof/>
          <w:lang w:val="fr-CA"/>
        </w:rPr>
        <w:t>31; voir également le concept de [</w:t>
      </w:r>
      <w:r w:rsidRPr="006A5B99">
        <w:rPr>
          <w:rStyle w:val="ParaNoNdepar-AltNChar"/>
          <w:rFonts w:cs="Times New Roman"/>
          <w:smallCaps/>
          <w:noProof/>
          <w:lang w:val="fr-CA"/>
        </w:rPr>
        <w:t>traduction</w:t>
      </w:r>
      <w:r w:rsidRPr="006A5B99">
        <w:rPr>
          <w:rStyle w:val="ParaNoNdepar-AltNChar"/>
          <w:rFonts w:cs="Times New Roman"/>
          <w:noProof/>
          <w:lang w:val="fr-CA"/>
        </w:rPr>
        <w:t xml:space="preserve">] « certitude absolue » dans </w:t>
      </w:r>
      <w:r w:rsidRPr="006A5B99">
        <w:rPr>
          <w:rStyle w:val="ParaNoNdepar-AltNChar"/>
          <w:rFonts w:cs="Times New Roman"/>
          <w:i/>
          <w:noProof/>
          <w:lang w:val="fr-CA"/>
        </w:rPr>
        <w:t>Hill c. South Alberta Land Registration District</w:t>
      </w:r>
      <w:r w:rsidRPr="006A5B99">
        <w:rPr>
          <w:rStyle w:val="ParaNoNdepar-AltNChar"/>
          <w:rFonts w:cs="Times New Roman"/>
          <w:noProof/>
          <w:lang w:val="fr-CA"/>
        </w:rPr>
        <w:t xml:space="preserve"> (1993), 8 Alta. L.R. (3d) 379, </w:t>
      </w:r>
      <w:r>
        <w:rPr>
          <w:rStyle w:val="ParaNoNdepar-AltNChar"/>
          <w:rFonts w:cs="Times New Roman"/>
          <w:noProof/>
          <w:lang w:val="fr-CA"/>
        </w:rPr>
        <w:t>par. </w:t>
      </w:r>
      <w:r w:rsidRPr="006A5B99">
        <w:rPr>
          <w:rStyle w:val="ParaNoNdepar-AltNChar"/>
          <w:rFonts w:cs="Times New Roman"/>
          <w:noProof/>
          <w:lang w:val="fr-CA"/>
        </w:rPr>
        <w:t>8). En effet, il est bien établi dans la jurisprudence qu’il n’est pas nécessaire que le demandeur connaisse l’ampleur ou le type exact de préjudice qu’il a subi ou la cause précise de celui</w:t>
      </w:r>
      <w:r>
        <w:rPr>
          <w:rStyle w:val="ParaNoNdepar-AltNChar"/>
          <w:rFonts w:cs="Times New Roman"/>
          <w:noProof/>
          <w:lang w:val="fr-CA"/>
        </w:rPr>
        <w:noBreakHyphen/>
      </w:r>
      <w:r w:rsidRPr="006A5B99">
        <w:rPr>
          <w:rStyle w:val="ParaNoNdepar-AltNChar"/>
          <w:rFonts w:cs="Times New Roman"/>
          <w:noProof/>
          <w:lang w:val="fr-CA"/>
        </w:rPr>
        <w:t>ci pour que le délai de prescription commence à courir (</w:t>
      </w:r>
      <w:r w:rsidRPr="006A5B99">
        <w:rPr>
          <w:rStyle w:val="ParaNoNdepar-AltNChar"/>
          <w:rFonts w:cs="Times New Roman"/>
          <w:i/>
          <w:noProof/>
          <w:lang w:val="fr-CA"/>
        </w:rPr>
        <w:t>HOOPP Realty Inc. c. Emery Jamieson LLP</w:t>
      </w:r>
      <w:r w:rsidRPr="006A5B99">
        <w:rPr>
          <w:rStyle w:val="ParaNoNdepar-AltNChar"/>
          <w:rFonts w:cs="Times New Roman"/>
          <w:noProof/>
          <w:lang w:val="fr-CA"/>
        </w:rPr>
        <w:t>, 2018 ABQB</w:t>
      </w:r>
      <w:r>
        <w:rPr>
          <w:rStyle w:val="ParaNoNdepar-AltNChar"/>
          <w:rFonts w:cs="Times New Roman"/>
          <w:noProof/>
          <w:lang w:val="fr-CA"/>
        </w:rPr>
        <w:t xml:space="preserve"> </w:t>
      </w:r>
      <w:r w:rsidRPr="006A5B99">
        <w:rPr>
          <w:rStyle w:val="ParaNoNdepar-AltNChar"/>
          <w:rFonts w:cs="Times New Roman"/>
          <w:noProof/>
          <w:lang w:val="fr-CA"/>
        </w:rPr>
        <w:t xml:space="preserve">276, 27 C.P.C. (8th) 83, </w:t>
      </w:r>
      <w:r>
        <w:rPr>
          <w:rStyle w:val="ParaNoNdepar-AltNChar"/>
          <w:rFonts w:cs="Times New Roman"/>
          <w:noProof/>
          <w:lang w:val="fr-CA"/>
        </w:rPr>
        <w:t>par. </w:t>
      </w:r>
      <w:r w:rsidRPr="006A5B99">
        <w:rPr>
          <w:rStyle w:val="ParaNoNdepar-AltNChar"/>
          <w:rFonts w:cs="Times New Roman"/>
          <w:noProof/>
          <w:lang w:val="fr-CA"/>
        </w:rPr>
        <w:t xml:space="preserve">213, citant </w:t>
      </w:r>
      <w:r w:rsidRPr="006A5B99">
        <w:rPr>
          <w:rStyle w:val="ParaNoNdepar-AltNChar"/>
          <w:rFonts w:cs="Times New Roman"/>
          <w:i/>
          <w:noProof/>
          <w:lang w:val="fr-CA"/>
        </w:rPr>
        <w:t>Peixeiro</w:t>
      </w:r>
      <w:r w:rsidRPr="006A5B99">
        <w:rPr>
          <w:rStyle w:val="ParaNoNdepar-AltNChar"/>
          <w:rFonts w:cs="Times New Roman"/>
          <w:noProof/>
          <w:lang w:val="fr-CA"/>
        </w:rPr>
        <w:t xml:space="preserve">, </w:t>
      </w:r>
      <w:r>
        <w:rPr>
          <w:rStyle w:val="ParaNoNdepar-AltNChar"/>
          <w:rFonts w:cs="Times New Roman"/>
          <w:noProof/>
          <w:lang w:val="fr-CA"/>
        </w:rPr>
        <w:t>par. </w:t>
      </w:r>
      <w:r w:rsidRPr="006A5B99">
        <w:rPr>
          <w:rStyle w:val="ParaNoNdepar-AltNChar"/>
          <w:rFonts w:cs="Times New Roman"/>
          <w:noProof/>
          <w:lang w:val="fr-CA"/>
        </w:rPr>
        <w:t xml:space="preserve">18). </w:t>
      </w:r>
    </w:p>
    <w:p w:rsidR="00AE79CA" w:rsidRPr="006A5B99" w:rsidRDefault="00AE79CA" w:rsidP="00AE79CA">
      <w:pPr>
        <w:pStyle w:val="ParaNoNdepar-AltN"/>
        <w:rPr>
          <w:rFonts w:cs="Times New Roman"/>
          <w:noProof/>
          <w:lang w:val="fr-CA"/>
        </w:rPr>
      </w:pPr>
      <w:r>
        <w:rPr>
          <w:rFonts w:cs="Times New Roman"/>
          <w:noProof/>
          <w:lang w:val="fr-CA"/>
        </w:rPr>
        <w:t xml:space="preserve">Avec égards, </w:t>
      </w:r>
      <w:r w:rsidRPr="006A5B99">
        <w:rPr>
          <w:rFonts w:cs="Times New Roman"/>
          <w:noProof/>
          <w:lang w:val="fr-CA"/>
        </w:rPr>
        <w:t xml:space="preserve">si l’on retenait la démarche de la Cour d’appel selon laquelle pour qu’il découvre les faits ayant donné naissance à sa réclamation le </w:t>
      </w:r>
      <w:r>
        <w:rPr>
          <w:rFonts w:cs="Times New Roman"/>
          <w:noProof/>
          <w:lang w:val="fr-CA"/>
        </w:rPr>
        <w:t>demandeur</w:t>
      </w:r>
      <w:r w:rsidRPr="006A5B99">
        <w:rPr>
          <w:rFonts w:cs="Times New Roman"/>
          <w:noProof/>
          <w:lang w:val="fr-CA"/>
        </w:rPr>
        <w:t xml:space="preserve"> doit avoir appris les faits qui lui confèrent un droit exécutoire à un recours, y compris des éléments constitutifs de sa réclamation, on appliquerait une norme s’apparentant trop à une certitude. Une inférence plausible</w:t>
      </w:r>
      <w:r w:rsidRPr="006A5B99">
        <w:rPr>
          <w:rFonts w:cs="Times New Roman"/>
          <w:bCs/>
          <w:noProof/>
          <w:lang w:val="fr-CA"/>
        </w:rPr>
        <w:t xml:space="preserve"> de responsabilité suffit</w:t>
      </w:r>
      <w:r>
        <w:rPr>
          <w:rFonts w:cs="Times New Roman"/>
          <w:bCs/>
          <w:noProof/>
          <w:lang w:val="fr-CA"/>
        </w:rPr>
        <w:t> :</w:t>
      </w:r>
      <w:r w:rsidRPr="006A5B99">
        <w:rPr>
          <w:rFonts w:cs="Times New Roman"/>
          <w:bCs/>
          <w:noProof/>
          <w:lang w:val="fr-CA"/>
        </w:rPr>
        <w:t xml:space="preserve"> cette norme permet de trouver le juste équilibre entre les divers intérêts en jeu que vise la </w:t>
      </w:r>
      <w:r w:rsidRPr="006A5B99">
        <w:rPr>
          <w:rFonts w:cs="Times New Roman"/>
          <w:noProof/>
          <w:lang w:val="fr-CA"/>
        </w:rPr>
        <w:t>règle de common law de la possibilité de découvrir le dommage.</w:t>
      </w:r>
      <w:r>
        <w:rPr>
          <w:rFonts w:cs="Times New Roman"/>
          <w:noProof/>
          <w:lang w:val="fr-CA"/>
        </w:rPr>
        <w:t xml:space="preserve"> </w:t>
      </w:r>
    </w:p>
    <w:p w:rsidR="00AE79CA" w:rsidRPr="006A5B99" w:rsidRDefault="00AE79CA" w:rsidP="00AE79CA">
      <w:pPr>
        <w:pStyle w:val="ParaNoNdepar-AltN"/>
        <w:rPr>
          <w:rFonts w:cs="Times New Roman"/>
          <w:noProof/>
          <w:lang w:val="fr-CA"/>
        </w:rPr>
      </w:pPr>
      <w:r w:rsidRPr="006A5B99">
        <w:rPr>
          <w:rFonts w:cs="Times New Roman"/>
          <w:noProof/>
          <w:lang w:val="fr-CA"/>
        </w:rPr>
        <w:t xml:space="preserve">Il s’ensuit que, dans le cas d’une réclamation fondée sur la négligence, il n’est pas nécessaire que le </w:t>
      </w:r>
      <w:r>
        <w:rPr>
          <w:rFonts w:cs="Times New Roman"/>
          <w:noProof/>
          <w:lang w:val="fr-CA"/>
        </w:rPr>
        <w:t>demandeur</w:t>
      </w:r>
      <w:r w:rsidRPr="006A5B99">
        <w:rPr>
          <w:rFonts w:cs="Times New Roman"/>
          <w:noProof/>
          <w:lang w:val="fr-CA"/>
        </w:rPr>
        <w:t xml:space="preserve"> soit au courant du devoir de diligence du défendeur envers lui ou du manquement à cette norme de diligence par un acte ou une omission. Conclure autrement pourrait avoir pour conséquence involontaire de repousser indéfiniment le délai de prescription. Après tout, il arrive souvent que le réclamant ne prenne conscience du manquement du défendeur à la norme de diligence qu’au moment de la communication préalable des documents ou à la suite de l’échange de rapports d’experts, ce qui, dans un cas comme dans l’autre, ne survient généralement qu’après que le </w:t>
      </w:r>
      <w:r>
        <w:rPr>
          <w:rFonts w:cs="Times New Roman"/>
          <w:noProof/>
          <w:lang w:val="fr-CA"/>
        </w:rPr>
        <w:t>demandeur</w:t>
      </w:r>
      <w:r w:rsidRPr="006A5B99">
        <w:rPr>
          <w:rFonts w:cs="Times New Roman"/>
          <w:noProof/>
          <w:lang w:val="fr-CA"/>
        </w:rPr>
        <w:t xml:space="preserve"> a présenté sa réclamation. Ainsi que la Cour l’a déclaré dans l’arrêt </w:t>
      </w:r>
      <w:r w:rsidRPr="006A5B99">
        <w:rPr>
          <w:rFonts w:cs="Times New Roman"/>
          <w:i/>
          <w:noProof/>
          <w:lang w:val="fr-CA"/>
        </w:rPr>
        <w:t>K.L.B. c. Colombie</w:t>
      </w:r>
      <w:r>
        <w:rPr>
          <w:rFonts w:cs="Times New Roman"/>
          <w:i/>
          <w:noProof/>
          <w:lang w:val="fr-CA"/>
        </w:rPr>
        <w:noBreakHyphen/>
      </w:r>
      <w:r w:rsidRPr="006A5B99">
        <w:rPr>
          <w:rFonts w:cs="Times New Roman"/>
          <w:i/>
          <w:noProof/>
          <w:lang w:val="fr-CA"/>
        </w:rPr>
        <w:t>Britannique</w:t>
      </w:r>
      <w:r w:rsidRPr="006A5B99">
        <w:rPr>
          <w:rFonts w:cs="Times New Roman"/>
          <w:noProof/>
          <w:lang w:val="fr-CA"/>
        </w:rPr>
        <w:t>,</w:t>
      </w:r>
      <w:r w:rsidRPr="006A5B99">
        <w:rPr>
          <w:rFonts w:cs="Times New Roman"/>
          <w:i/>
          <w:noProof/>
          <w:lang w:val="fr-CA"/>
        </w:rPr>
        <w:t xml:space="preserve"> </w:t>
      </w:r>
      <w:r w:rsidRPr="006A5B99">
        <w:rPr>
          <w:rFonts w:cs="Times New Roman"/>
          <w:noProof/>
          <w:lang w:val="fr-CA"/>
        </w:rPr>
        <w:t>2003 CSC</w:t>
      </w:r>
      <w:r>
        <w:rPr>
          <w:rFonts w:cs="Times New Roman"/>
          <w:noProof/>
          <w:lang w:val="fr-CA"/>
        </w:rPr>
        <w:t xml:space="preserve"> </w:t>
      </w:r>
      <w:r w:rsidRPr="006A5B99">
        <w:rPr>
          <w:rFonts w:cs="Times New Roman"/>
          <w:noProof/>
          <w:lang w:val="fr-CA"/>
        </w:rPr>
        <w:t>51, [2003] 2 R.C.S.</w:t>
      </w:r>
      <w:r>
        <w:rPr>
          <w:rFonts w:cs="Times New Roman"/>
          <w:noProof/>
          <w:lang w:val="fr-CA"/>
        </w:rPr>
        <w:t xml:space="preserve"> </w:t>
      </w:r>
      <w:r w:rsidRPr="006A5B99">
        <w:rPr>
          <w:rFonts w:cs="Times New Roman"/>
          <w:noProof/>
          <w:lang w:val="fr-CA"/>
        </w:rPr>
        <w:t xml:space="preserve">403, </w:t>
      </w:r>
      <w:r>
        <w:rPr>
          <w:rFonts w:cs="Times New Roman"/>
          <w:noProof/>
          <w:lang w:val="fr-CA"/>
        </w:rPr>
        <w:t>par. </w:t>
      </w:r>
      <w:r w:rsidRPr="006A5B99">
        <w:rPr>
          <w:rFonts w:cs="Times New Roman"/>
          <w:noProof/>
          <w:lang w:val="fr-CA"/>
        </w:rPr>
        <w:t>55</w:t>
      </w:r>
      <w:r>
        <w:rPr>
          <w:rFonts w:cs="Times New Roman"/>
          <w:noProof/>
          <w:lang w:val="fr-CA"/>
        </w:rPr>
        <w:t> :</w:t>
      </w:r>
    </w:p>
    <w:p w:rsidR="00AE79CA" w:rsidRPr="006A5B99" w:rsidRDefault="00AE79CA" w:rsidP="00AE79CA">
      <w:pPr>
        <w:pStyle w:val="Citation-AltC"/>
        <w:ind w:hanging="1166"/>
        <w:rPr>
          <w:noProof/>
          <w:lang w:val="fr-CA"/>
        </w:rPr>
      </w:pPr>
      <w:r>
        <w:rPr>
          <w:noProof/>
          <w:lang w:val="fr-CA"/>
        </w:rPr>
        <w:tab/>
      </w:r>
      <w:r w:rsidRPr="006A5B99">
        <w:rPr>
          <w:noProof/>
          <w:lang w:val="fr-CA"/>
        </w:rPr>
        <w:t xml:space="preserve">Comme l’objet de la règle [de la possibilité raisonnable de découvrir la cause d’action] est de s’assurer que les demandeurs ont une connaissance suffisante des faits pour être en mesure d’engager une action, </w:t>
      </w:r>
      <w:r w:rsidRPr="006A5B99">
        <w:rPr>
          <w:noProof/>
          <w:u w:val="single"/>
          <w:lang w:val="fr-CA"/>
        </w:rPr>
        <w:t>la connaissance requise ne peut être un type de connaissance que les parties n’auraient pas nécessairement après l’introduction de l’action</w:t>
      </w:r>
      <w:r w:rsidRPr="006A5B99">
        <w:rPr>
          <w:noProof/>
          <w:lang w:val="fr-CA"/>
        </w:rPr>
        <w:t>. [Je souligne.]</w:t>
      </w:r>
    </w:p>
    <w:p w:rsidR="00AE79CA" w:rsidRPr="003114C9" w:rsidRDefault="00AE79CA" w:rsidP="00AE79CA">
      <w:pPr>
        <w:pStyle w:val="ContinueParaSuitedupar-AltP"/>
        <w:rPr>
          <w:noProof/>
          <w:lang w:val="fr-CA"/>
        </w:rPr>
      </w:pPr>
      <w:r w:rsidRPr="003114C9">
        <w:rPr>
          <w:noProof/>
          <w:lang w:val="fr-CA"/>
        </w:rPr>
        <w:t xml:space="preserve">Même si, dans l’affaire </w:t>
      </w:r>
      <w:r w:rsidRPr="003114C9">
        <w:rPr>
          <w:i/>
          <w:noProof/>
          <w:lang w:val="fr-CA"/>
        </w:rPr>
        <w:t>K.L.B.</w:t>
      </w:r>
      <w:r w:rsidRPr="003114C9">
        <w:rPr>
          <w:noProof/>
          <w:lang w:val="fr-CA"/>
        </w:rPr>
        <w:t>, la Cour se penchait sur la règle de la possibilité de découvrir le dommage dans un contexte différent, le principe de base qu’elle y énonce s’applique en l’espèce. La norme ne doit pas être exigeante au point que le demandeur ne puisse obtenir la connaissance requise qu’au moyen de la communication préalable ou de la production de rapports d’experts. C’est pourtant précisément celle qu’a adoptée la Cour d’appel en l’espèce. Avec égards, j’estime que cette norme est trop exigeante. De même, la norme n’est pas aussi peu exigeante que celle à laquelle il faut satisfaire pour écarter une demande en radiation d’une réclamation. Ce qu’il faut, c’est une connaissance, réelle ou imputée, des faits importants permettant d’inférer plausiblement la négligence du défendeur.</w:t>
      </w:r>
    </w:p>
    <w:p w:rsidR="00AE79CA" w:rsidRPr="006A5B99" w:rsidRDefault="00AE79CA" w:rsidP="00AE79CA">
      <w:pPr>
        <w:pStyle w:val="Title2LevelTitre2Niveau"/>
        <w:rPr>
          <w:rFonts w:cs="Times New Roman"/>
          <w:noProof/>
          <w:lang w:val="fr-CA"/>
        </w:rPr>
      </w:pPr>
      <w:r w:rsidRPr="006A5B99">
        <w:rPr>
          <w:rFonts w:cs="Times New Roman"/>
          <w:noProof/>
          <w:lang w:val="fr-CA"/>
        </w:rPr>
        <w:t xml:space="preserve">Application aux faits de l’espèce </w:t>
      </w:r>
    </w:p>
    <w:p w:rsidR="00AE79CA" w:rsidRPr="006A5B99" w:rsidRDefault="00AE79CA" w:rsidP="00AE79CA">
      <w:pPr>
        <w:pStyle w:val="ParaNoNdepar-AltN"/>
        <w:rPr>
          <w:rFonts w:cs="Times New Roman"/>
          <w:noProof/>
          <w:lang w:val="fr-CA"/>
        </w:rPr>
      </w:pPr>
      <w:r w:rsidRPr="006A5B99">
        <w:rPr>
          <w:rFonts w:cs="Times New Roman"/>
          <w:noProof/>
          <w:lang w:val="fr-CA"/>
        </w:rPr>
        <w:t xml:space="preserve">Compte tenu de cette approche, je passe maintenant à la question de savoir quand, le cas échéant, la province a </w:t>
      </w:r>
      <w:r w:rsidRPr="006A5B99">
        <w:rPr>
          <w:rStyle w:val="ParaNoNdepar-AltNChar"/>
          <w:rFonts w:cs="Times New Roman"/>
          <w:noProof/>
          <w:lang w:val="fr-CA"/>
        </w:rPr>
        <w:t xml:space="preserve">découvert </w:t>
      </w:r>
      <w:r w:rsidRPr="006A5B99">
        <w:rPr>
          <w:rFonts w:cs="Times New Roman"/>
          <w:noProof/>
          <w:lang w:val="fr-CA"/>
        </w:rPr>
        <w:t>les faits ayant donné naissance à sa réclamation contre Grant</w:t>
      </w:r>
      <w:r>
        <w:rPr>
          <w:rFonts w:cs="Times New Roman"/>
          <w:noProof/>
          <w:lang w:val="fr-CA"/>
        </w:rPr>
        <w:t xml:space="preserve"> </w:t>
      </w:r>
      <w:r w:rsidRPr="006A5B99">
        <w:rPr>
          <w:rFonts w:cs="Times New Roman"/>
          <w:noProof/>
          <w:lang w:val="fr-CA"/>
        </w:rPr>
        <w:t xml:space="preserve">Thornton. </w:t>
      </w:r>
    </w:p>
    <w:p w:rsidR="00AE79CA" w:rsidRPr="006A5B99" w:rsidRDefault="00AE79CA" w:rsidP="00AE79CA">
      <w:pPr>
        <w:pStyle w:val="ParaNoNdepar-AltN"/>
        <w:rPr>
          <w:rFonts w:cs="Times New Roman"/>
          <w:noProof/>
          <w:lang w:val="fr-CA"/>
        </w:rPr>
      </w:pPr>
      <w:r w:rsidRPr="006A5B99">
        <w:rPr>
          <w:rFonts w:cs="Times New Roman"/>
          <w:noProof/>
          <w:lang w:val="fr-CA"/>
        </w:rPr>
        <w:t>Grant Thornton soutient que la province a découvert les faits ayant donné naissanc</w:t>
      </w:r>
      <w:r>
        <w:rPr>
          <w:rFonts w:cs="Times New Roman"/>
          <w:noProof/>
          <w:lang w:val="fr-CA"/>
        </w:rPr>
        <w:t xml:space="preserve">e à sa réclamation le 4 février </w:t>
      </w:r>
      <w:r w:rsidRPr="006A5B99">
        <w:rPr>
          <w:rFonts w:cs="Times New Roman"/>
          <w:noProof/>
          <w:lang w:val="fr-CA"/>
        </w:rPr>
        <w:t xml:space="preserve">2011, </w:t>
      </w:r>
      <w:r>
        <w:rPr>
          <w:rFonts w:cs="Times New Roman"/>
          <w:noProof/>
          <w:lang w:val="fr-CA"/>
        </w:rPr>
        <w:t>après avoir reçu le</w:t>
      </w:r>
      <w:r w:rsidRPr="006A5B99">
        <w:rPr>
          <w:rFonts w:cs="Times New Roman"/>
          <w:noProof/>
          <w:lang w:val="fr-CA"/>
        </w:rPr>
        <w:t xml:space="preserve"> rapport Richter provisoire. Je suis du même avis. À</w:t>
      </w:r>
      <w:r>
        <w:rPr>
          <w:rFonts w:cs="Times New Roman"/>
          <w:noProof/>
          <w:lang w:val="fr-CA"/>
        </w:rPr>
        <w:t xml:space="preserve"> </w:t>
      </w:r>
      <w:r w:rsidRPr="006A5B99">
        <w:rPr>
          <w:rFonts w:cs="Times New Roman"/>
          <w:noProof/>
          <w:lang w:val="fr-CA"/>
        </w:rPr>
        <w:t xml:space="preserve">cette date, la province avait la connaissance réelle ou imputée des faits importants, à savoir qu’elle avait subi </w:t>
      </w:r>
      <w:r>
        <w:rPr>
          <w:rFonts w:cs="Times New Roman"/>
          <w:noProof/>
          <w:lang w:val="fr-CA"/>
        </w:rPr>
        <w:t>une perte</w:t>
      </w:r>
      <w:r w:rsidRPr="006A5B99">
        <w:rPr>
          <w:rFonts w:cs="Times New Roman"/>
          <w:noProof/>
          <w:lang w:val="fr-CA"/>
        </w:rPr>
        <w:t xml:space="preserve"> et que </w:t>
      </w:r>
      <w:r>
        <w:rPr>
          <w:rFonts w:cs="Times New Roman"/>
          <w:noProof/>
          <w:lang w:val="fr-CA"/>
        </w:rPr>
        <w:t>celle-ci</w:t>
      </w:r>
      <w:r w:rsidRPr="006A5B99">
        <w:rPr>
          <w:rFonts w:cs="Times New Roman"/>
          <w:noProof/>
          <w:lang w:val="fr-CA"/>
        </w:rPr>
        <w:t xml:space="preserve"> avait été causé</w:t>
      </w:r>
      <w:r>
        <w:rPr>
          <w:rFonts w:cs="Times New Roman"/>
          <w:noProof/>
          <w:lang w:val="fr-CA"/>
        </w:rPr>
        <w:t>e</w:t>
      </w:r>
      <w:r w:rsidRPr="006A5B99">
        <w:rPr>
          <w:rFonts w:cs="Times New Roman"/>
          <w:noProof/>
          <w:lang w:val="fr-CA"/>
        </w:rPr>
        <w:t xml:space="preserve"> entièrement ou en partie par un </w:t>
      </w:r>
      <w:r>
        <w:rPr>
          <w:rFonts w:cs="Times New Roman"/>
          <w:noProof/>
          <w:lang w:val="fr-CA"/>
        </w:rPr>
        <w:t xml:space="preserve">acte ou une omission de Grant </w:t>
      </w:r>
      <w:r w:rsidRPr="006A5B99">
        <w:rPr>
          <w:rFonts w:cs="Times New Roman"/>
          <w:noProof/>
          <w:lang w:val="fr-CA"/>
        </w:rPr>
        <w:t xml:space="preserve">Thornton. Rien de plus n’était nécessaire pour inférer plausiblement la négligence. </w:t>
      </w:r>
    </w:p>
    <w:p w:rsidR="00AE79CA" w:rsidRPr="006A5B99" w:rsidRDefault="00AE79CA" w:rsidP="00AE79CA">
      <w:pPr>
        <w:pStyle w:val="Title3LevelTitre3Niveau"/>
        <w:rPr>
          <w:rFonts w:cs="Times New Roman"/>
          <w:noProof/>
          <w:lang w:val="fr-CA"/>
        </w:rPr>
      </w:pPr>
      <w:r w:rsidRPr="006A5B99">
        <w:rPr>
          <w:rFonts w:cs="Times New Roman"/>
          <w:noProof/>
          <w:lang w:val="fr-CA"/>
        </w:rPr>
        <w:t xml:space="preserve">La province était au courant des faits importants </w:t>
      </w:r>
    </w:p>
    <w:p w:rsidR="00AE79CA" w:rsidRPr="006A5B99" w:rsidRDefault="00AE79CA" w:rsidP="00AE79CA">
      <w:pPr>
        <w:pStyle w:val="ParaNoNdepar-AltN"/>
        <w:rPr>
          <w:rFonts w:cs="Times New Roman"/>
          <w:noProof/>
          <w:lang w:val="fr-CA"/>
        </w:rPr>
      </w:pPr>
      <w:r w:rsidRPr="006A5B99">
        <w:rPr>
          <w:rFonts w:cs="Times New Roman"/>
          <w:noProof/>
          <w:lang w:val="fr-CA"/>
        </w:rPr>
        <w:t>Le premier aspect de la norme applicable exige que l’on détermine si la province était au courant des faits importants. Il est incontestable que, en date d</w:t>
      </w:r>
      <w:r>
        <w:rPr>
          <w:rFonts w:cs="Times New Roman"/>
          <w:noProof/>
          <w:lang w:val="fr-CA"/>
        </w:rPr>
        <w:t xml:space="preserve">u 4 février </w:t>
      </w:r>
      <w:r w:rsidRPr="006A5B99">
        <w:rPr>
          <w:rFonts w:cs="Times New Roman"/>
          <w:noProof/>
          <w:lang w:val="fr-CA"/>
        </w:rPr>
        <w:t>2011, elle savait qu’elle avait subi une perte. En fait, elle le savait le 18</w:t>
      </w:r>
      <w:r>
        <w:rPr>
          <w:rFonts w:cs="Times New Roman"/>
          <w:noProof/>
          <w:lang w:val="fr-CA"/>
        </w:rPr>
        <w:t xml:space="preserve"> </w:t>
      </w:r>
      <w:r w:rsidRPr="006A5B99">
        <w:rPr>
          <w:rFonts w:cs="Times New Roman"/>
          <w:noProof/>
          <w:lang w:val="fr-CA"/>
        </w:rPr>
        <w:t>mars</w:t>
      </w:r>
      <w:r>
        <w:rPr>
          <w:rFonts w:cs="Times New Roman"/>
          <w:noProof/>
          <w:lang w:val="fr-CA"/>
        </w:rPr>
        <w:t xml:space="preserve"> </w:t>
      </w:r>
      <w:r w:rsidRPr="006A5B99">
        <w:rPr>
          <w:rFonts w:cs="Times New Roman"/>
          <w:noProof/>
          <w:lang w:val="fr-CA"/>
        </w:rPr>
        <w:t>2010, lorsqu’elle a remboursé à la Banque de Nouvelle</w:t>
      </w:r>
      <w:r>
        <w:rPr>
          <w:rFonts w:cs="Times New Roman"/>
          <w:noProof/>
          <w:lang w:val="fr-CA"/>
        </w:rPr>
        <w:noBreakHyphen/>
      </w:r>
      <w:r w:rsidRPr="006A5B99">
        <w:rPr>
          <w:rFonts w:cs="Times New Roman"/>
          <w:noProof/>
          <w:lang w:val="fr-CA"/>
        </w:rPr>
        <w:t>Écosse les sommes visées par les garanties de prêts</w:t>
      </w:r>
      <w:r>
        <w:rPr>
          <w:rFonts w:cs="Times New Roman"/>
          <w:noProof/>
          <w:lang w:val="fr-CA"/>
        </w:rPr>
        <w:t>, soit la totalité des 50 </w:t>
      </w:r>
      <w:r w:rsidRPr="006A5B99">
        <w:rPr>
          <w:rFonts w:cs="Times New Roman"/>
          <w:noProof/>
          <w:lang w:val="fr-CA"/>
        </w:rPr>
        <w:t>millions de dollars. De plus, le dossier me permet de conclure que, le 4</w:t>
      </w:r>
      <w:r>
        <w:rPr>
          <w:rFonts w:cs="Times New Roman"/>
          <w:noProof/>
          <w:lang w:val="fr-CA"/>
        </w:rPr>
        <w:t xml:space="preserve"> </w:t>
      </w:r>
      <w:r w:rsidRPr="006A5B99">
        <w:rPr>
          <w:rFonts w:cs="Times New Roman"/>
          <w:noProof/>
          <w:lang w:val="fr-CA"/>
        </w:rPr>
        <w:t xml:space="preserve">février 2011, la province </w:t>
      </w:r>
      <w:r>
        <w:rPr>
          <w:rFonts w:cs="Times New Roman"/>
          <w:noProof/>
          <w:lang w:val="fr-CA"/>
        </w:rPr>
        <w:t>avait appris</w:t>
      </w:r>
      <w:r w:rsidRPr="006A5B99">
        <w:rPr>
          <w:rFonts w:cs="Times New Roman"/>
          <w:noProof/>
          <w:lang w:val="fr-CA"/>
        </w:rPr>
        <w:t xml:space="preserve"> ou, à tout le moins, aurait dû </w:t>
      </w:r>
      <w:r>
        <w:rPr>
          <w:rFonts w:cs="Times New Roman"/>
          <w:noProof/>
          <w:lang w:val="fr-CA"/>
        </w:rPr>
        <w:t>normalement</w:t>
      </w:r>
      <w:r w:rsidRPr="006A5B99">
        <w:rPr>
          <w:rFonts w:cs="Times New Roman"/>
          <w:noProof/>
          <w:lang w:val="fr-CA"/>
        </w:rPr>
        <w:t xml:space="preserve"> </w:t>
      </w:r>
      <w:r>
        <w:rPr>
          <w:rFonts w:cs="Times New Roman"/>
          <w:noProof/>
          <w:lang w:val="fr-CA"/>
        </w:rPr>
        <w:t>avoir appris</w:t>
      </w:r>
      <w:r w:rsidRPr="006A5B99">
        <w:rPr>
          <w:rFonts w:cs="Times New Roman"/>
          <w:noProof/>
          <w:lang w:val="fr-CA"/>
        </w:rPr>
        <w:t xml:space="preserve"> que cette perte avait été causée entièrement ou en partie par un acte ou une omission de Grant Thornton. </w:t>
      </w:r>
    </w:p>
    <w:p w:rsidR="00AE79CA" w:rsidRPr="006A5B99" w:rsidRDefault="00AE79CA" w:rsidP="00AE79CA">
      <w:pPr>
        <w:pStyle w:val="ParaNoNdepar-AltN"/>
        <w:rPr>
          <w:rFonts w:cs="Times New Roman"/>
          <w:noProof/>
          <w:lang w:val="fr-CA"/>
        </w:rPr>
      </w:pPr>
      <w:r w:rsidRPr="006A5B99">
        <w:rPr>
          <w:rFonts w:cs="Times New Roman"/>
          <w:noProof/>
          <w:lang w:val="fr-CA"/>
        </w:rPr>
        <w:t>La décision de la province d’acquiescer à la demande d’Atcon de g</w:t>
      </w:r>
      <w:r>
        <w:rPr>
          <w:rFonts w:cs="Times New Roman"/>
          <w:noProof/>
          <w:lang w:val="fr-CA"/>
        </w:rPr>
        <w:t>arantir des prêts totalisant 50 </w:t>
      </w:r>
      <w:r w:rsidRPr="006A5B99">
        <w:rPr>
          <w:rFonts w:cs="Times New Roman"/>
          <w:noProof/>
          <w:lang w:val="fr-CA"/>
        </w:rPr>
        <w:t>millions de dollars était conditionnelle à la réalisation d’une vérification externe par Grant Thornton des états financiers consolidés de l’exercice</w:t>
      </w:r>
      <w:r>
        <w:rPr>
          <w:rFonts w:cs="Times New Roman"/>
          <w:noProof/>
          <w:lang w:val="fr-CA"/>
        </w:rPr>
        <w:t xml:space="preserve"> </w:t>
      </w:r>
      <w:r w:rsidRPr="006A5B99">
        <w:rPr>
          <w:rFonts w:cs="Times New Roman"/>
          <w:noProof/>
          <w:lang w:val="fr-CA"/>
        </w:rPr>
        <w:t>2009 d’Atcon. Après avoir terminé cette vérification, Grant Thornton a déclaré à la province, dans le rapport sans réserve du vérificateur qu’il lui a remis, qu’il avait vérifié les états financiers d’Atcon conformément aux normes de vérification généralement reconnues et que, à la suite de sa vérification, il était d’avis que les états financiers d’Atcon donnaient «</w:t>
      </w:r>
      <w:r>
        <w:rPr>
          <w:rFonts w:cs="Times New Roman"/>
          <w:noProof/>
          <w:lang w:val="fr-CA"/>
        </w:rPr>
        <w:t> </w:t>
      </w:r>
      <w:r w:rsidRPr="006A5B99">
        <w:rPr>
          <w:rFonts w:cs="Times New Roman"/>
          <w:noProof/>
          <w:lang w:val="fr-CA"/>
        </w:rPr>
        <w:t>à tous les égards importants, une image fidèle de la situation financière, des résultats des activités et des flux de trésorerie d’[Atcon]</w:t>
      </w:r>
      <w:r>
        <w:rPr>
          <w:rFonts w:cs="Times New Roman"/>
          <w:noProof/>
          <w:lang w:val="fr-CA"/>
        </w:rPr>
        <w:t xml:space="preserve"> au 31 janvier </w:t>
      </w:r>
      <w:r w:rsidRPr="006A5B99">
        <w:rPr>
          <w:rFonts w:cs="Times New Roman"/>
          <w:noProof/>
          <w:lang w:val="fr-CA"/>
        </w:rPr>
        <w:t>2009 pour l’exercice terminé à cette date, conformément aux principes comptables généralement reconnus au Canada</w:t>
      </w:r>
      <w:r>
        <w:rPr>
          <w:rFonts w:cs="Times New Roman"/>
          <w:noProof/>
          <w:lang w:val="fr-CA"/>
        </w:rPr>
        <w:t> </w:t>
      </w:r>
      <w:r w:rsidRPr="006A5B99">
        <w:rPr>
          <w:rFonts w:cs="Times New Roman"/>
          <w:noProof/>
          <w:lang w:val="fr-CA"/>
        </w:rPr>
        <w:t>» (d.i</w:t>
      </w:r>
      <w:r w:rsidRPr="006A5B99">
        <w:rPr>
          <w:rFonts w:cs="Times New Roman"/>
          <w:noProof/>
          <w:shd w:val="clear" w:color="auto" w:fill="FFFFFF"/>
          <w:lang w:val="fr-CA"/>
        </w:rPr>
        <w:t xml:space="preserve">., </w:t>
      </w:r>
      <w:r>
        <w:rPr>
          <w:rFonts w:cs="Times New Roman"/>
          <w:noProof/>
          <w:shd w:val="clear" w:color="auto" w:fill="FFFFFF"/>
          <w:lang w:val="fr-CA"/>
        </w:rPr>
        <w:t>p. </w:t>
      </w:r>
      <w:r w:rsidRPr="006A5B99">
        <w:rPr>
          <w:rFonts w:cs="Times New Roman"/>
          <w:noProof/>
          <w:shd w:val="clear" w:color="auto" w:fill="FFFFFF"/>
          <w:lang w:val="fr-CA"/>
        </w:rPr>
        <w:t>26). La province s’est fiée à ces déclarations pour signer les garanties de prêts.</w:t>
      </w:r>
    </w:p>
    <w:p w:rsidR="00AE79CA" w:rsidRPr="006A5B99" w:rsidRDefault="00AE79CA" w:rsidP="00AE79CA">
      <w:pPr>
        <w:pStyle w:val="ParaNoNdepar-AltN"/>
        <w:rPr>
          <w:rFonts w:cs="Times New Roman"/>
          <w:noProof/>
          <w:lang w:val="fr-CA"/>
        </w:rPr>
      </w:pPr>
      <w:r w:rsidRPr="006A5B99">
        <w:rPr>
          <w:rFonts w:cs="Times New Roman"/>
          <w:noProof/>
          <w:lang w:val="fr-CA"/>
        </w:rPr>
        <w:t>À peine quatre mois après avoir reçu les garanties de prêts, Atcon avait épuisé son fonds de roulement, ce qui a incité la Banque de Nouvelle</w:t>
      </w:r>
      <w:r>
        <w:rPr>
          <w:rFonts w:cs="Times New Roman"/>
          <w:noProof/>
          <w:lang w:val="fr-CA"/>
        </w:rPr>
        <w:noBreakHyphen/>
      </w:r>
      <w:r w:rsidRPr="006A5B99">
        <w:rPr>
          <w:rFonts w:cs="Times New Roman"/>
          <w:noProof/>
          <w:lang w:val="fr-CA"/>
        </w:rPr>
        <w:t>Écosse à entamer des procédures de faillite et d’insolvabilité contre elle. L’avocat du procureur général du Nouveau</w:t>
      </w:r>
      <w:r>
        <w:rPr>
          <w:rFonts w:cs="Times New Roman"/>
          <w:noProof/>
          <w:lang w:val="fr-CA"/>
        </w:rPr>
        <w:noBreakHyphen/>
      </w:r>
      <w:r w:rsidRPr="006A5B99">
        <w:rPr>
          <w:rFonts w:cs="Times New Roman"/>
          <w:noProof/>
          <w:lang w:val="fr-CA"/>
        </w:rPr>
        <w:t>Brunswick a participé à certaines des audiences, de sorte que la province a été mise au courant de ces procédures. D’ailleurs, elle savait que, le 1</w:t>
      </w:r>
      <w:r w:rsidRPr="006A5B99">
        <w:rPr>
          <w:rFonts w:cs="Times New Roman"/>
          <w:noProof/>
          <w:vertAlign w:val="superscript"/>
          <w:lang w:val="fr-CA"/>
        </w:rPr>
        <w:t>er</w:t>
      </w:r>
      <w:r>
        <w:rPr>
          <w:rFonts w:cs="Times New Roman"/>
          <w:noProof/>
          <w:lang w:val="fr-CA"/>
        </w:rPr>
        <w:t xml:space="preserve"> mars </w:t>
      </w:r>
      <w:r w:rsidRPr="006A5B99">
        <w:rPr>
          <w:rFonts w:cs="Times New Roman"/>
          <w:noProof/>
          <w:lang w:val="fr-CA"/>
        </w:rPr>
        <w:t>2010, le tribunal avait fait droit aux demandes de la banque et ordonné la mise sous séquestre d’Atcon.</w:t>
      </w:r>
    </w:p>
    <w:p w:rsidR="00AE79CA" w:rsidRPr="006A5B99" w:rsidRDefault="00AE79CA" w:rsidP="00AE79CA">
      <w:pPr>
        <w:pStyle w:val="ParaNoNdepar-AltN"/>
        <w:rPr>
          <w:rFonts w:cs="Times New Roman"/>
          <w:noProof/>
          <w:lang w:val="fr-CA"/>
        </w:rPr>
      </w:pPr>
      <w:r w:rsidRPr="006A5B99">
        <w:rPr>
          <w:rFonts w:cs="Times New Roman"/>
          <w:noProof/>
          <w:lang w:val="fr-CA"/>
        </w:rPr>
        <w:t xml:space="preserve">Peu de temps après, soit </w:t>
      </w:r>
      <w:r>
        <w:rPr>
          <w:rFonts w:cs="Times New Roman"/>
          <w:noProof/>
          <w:lang w:val="fr-CA"/>
        </w:rPr>
        <w:t xml:space="preserve">le 18 mars </w:t>
      </w:r>
      <w:r w:rsidRPr="006A5B99">
        <w:rPr>
          <w:rFonts w:cs="Times New Roman"/>
          <w:noProof/>
          <w:lang w:val="fr-CA"/>
        </w:rPr>
        <w:t>2010, la banque a demandé à la province de rembourser les sommes visées par les garanties de prêts. Cette dernière était très préoccupée de l’état réel des affaires financières d’Atcon car, quelques mois plus tard, elle a retenu les services de Richter pour examiner les états financiers de celle</w:t>
      </w:r>
      <w:r>
        <w:rPr>
          <w:rFonts w:cs="Times New Roman"/>
          <w:noProof/>
          <w:lang w:val="fr-CA"/>
        </w:rPr>
        <w:noBreakHyphen/>
      </w:r>
      <w:r w:rsidRPr="006A5B99">
        <w:rPr>
          <w:rFonts w:cs="Times New Roman"/>
          <w:noProof/>
          <w:lang w:val="fr-CA"/>
        </w:rPr>
        <w:t>ci pour l’exercice</w:t>
      </w:r>
      <w:r>
        <w:rPr>
          <w:rFonts w:cs="Times New Roman"/>
          <w:noProof/>
          <w:lang w:val="fr-CA"/>
        </w:rPr>
        <w:t xml:space="preserve"> </w:t>
      </w:r>
      <w:r w:rsidRPr="006A5B99">
        <w:rPr>
          <w:rFonts w:cs="Times New Roman"/>
          <w:noProof/>
          <w:lang w:val="fr-CA"/>
        </w:rPr>
        <w:t xml:space="preserve">2009 et lui remettre un rapport faisant état de ses conclusions. </w:t>
      </w:r>
    </w:p>
    <w:p w:rsidR="00AE79CA" w:rsidRPr="006A5B99" w:rsidRDefault="00AE79CA" w:rsidP="00AE79CA">
      <w:pPr>
        <w:pStyle w:val="ParaNoNdepar-AltN"/>
        <w:rPr>
          <w:rFonts w:cs="Times New Roman"/>
          <w:noProof/>
          <w:lang w:val="fr-CA"/>
        </w:rPr>
      </w:pPr>
      <w:r w:rsidRPr="006A5B99">
        <w:rPr>
          <w:rFonts w:cs="Times New Roman"/>
          <w:noProof/>
          <w:lang w:val="fr-CA"/>
        </w:rPr>
        <w:t>Richter a entrep</w:t>
      </w:r>
      <w:r>
        <w:rPr>
          <w:rFonts w:cs="Times New Roman"/>
          <w:noProof/>
          <w:lang w:val="fr-CA"/>
        </w:rPr>
        <w:t xml:space="preserve">ris cet examen et, le 4 février </w:t>
      </w:r>
      <w:r w:rsidRPr="006A5B99">
        <w:rPr>
          <w:rFonts w:cs="Times New Roman"/>
          <w:noProof/>
          <w:lang w:val="fr-CA"/>
        </w:rPr>
        <w:t xml:space="preserve">2011, a remis un rapport provisoire de 88 pages. C’est à cette date, à mon avis, que s’est cristallisée la connaissance de la province </w:t>
      </w:r>
      <w:r>
        <w:rPr>
          <w:rFonts w:cs="Times New Roman"/>
          <w:noProof/>
          <w:lang w:val="fr-CA"/>
        </w:rPr>
        <w:t>de sa</w:t>
      </w:r>
      <w:r w:rsidRPr="006A5B99">
        <w:rPr>
          <w:rFonts w:cs="Times New Roman"/>
          <w:noProof/>
          <w:lang w:val="fr-CA"/>
        </w:rPr>
        <w:t xml:space="preserve"> réclamation éventuelle</w:t>
      </w:r>
      <w:r w:rsidRPr="006A5B99">
        <w:rPr>
          <w:rFonts w:cs="Times New Roman"/>
          <w:noProof/>
          <w:shd w:val="clear" w:color="auto" w:fill="FFFFFF"/>
          <w:lang w:val="fr-CA"/>
        </w:rPr>
        <w:t xml:space="preserve">. </w:t>
      </w:r>
    </w:p>
    <w:p w:rsidR="00AE79CA" w:rsidRPr="006A5B99" w:rsidRDefault="00AE79CA" w:rsidP="00AE79CA">
      <w:pPr>
        <w:pStyle w:val="ParaNoNdepar-AltN"/>
        <w:rPr>
          <w:rFonts w:cs="Times New Roman"/>
          <w:noProof/>
          <w:lang w:val="fr-CA"/>
        </w:rPr>
      </w:pPr>
      <w:r w:rsidRPr="006A5B99">
        <w:rPr>
          <w:rFonts w:cs="Times New Roman"/>
          <w:noProof/>
          <w:shd w:val="clear" w:color="auto" w:fill="FFFFFF"/>
          <w:lang w:val="fr-CA"/>
        </w:rPr>
        <w:t xml:space="preserve">Dans ce rapport, Richter se disait </w:t>
      </w:r>
      <w:r w:rsidRPr="006A5B99">
        <w:rPr>
          <w:rFonts w:cs="Times New Roman"/>
          <w:noProof/>
          <w:lang w:val="fr-CA"/>
        </w:rPr>
        <w:t>d’avis que les états financiers de l’exercice</w:t>
      </w:r>
      <w:r>
        <w:rPr>
          <w:rFonts w:cs="Times New Roman"/>
          <w:noProof/>
          <w:lang w:val="fr-CA"/>
        </w:rPr>
        <w:t xml:space="preserve"> </w:t>
      </w:r>
      <w:r w:rsidRPr="006A5B99">
        <w:rPr>
          <w:rFonts w:cs="Times New Roman"/>
          <w:noProof/>
          <w:lang w:val="fr-CA"/>
        </w:rPr>
        <w:t>2009 d’Atcon n’avaient pas été dressés à tous les égards importants conformément aux principes comptables généralement reconnus. Richter fondait son opinion sur ce qu’il a qualifié de [</w:t>
      </w:r>
      <w:r w:rsidRPr="006A5B99">
        <w:rPr>
          <w:rFonts w:cs="Times New Roman"/>
          <w:smallCaps/>
          <w:noProof/>
          <w:lang w:val="fr-CA"/>
        </w:rPr>
        <w:t>traduction</w:t>
      </w:r>
      <w:r w:rsidRPr="006A5B99">
        <w:rPr>
          <w:rFonts w:cs="Times New Roman"/>
          <w:noProof/>
          <w:lang w:val="fr-CA"/>
        </w:rPr>
        <w:t>] «</w:t>
      </w:r>
      <w:r>
        <w:rPr>
          <w:rFonts w:cs="Times New Roman"/>
          <w:noProof/>
          <w:lang w:val="fr-CA"/>
        </w:rPr>
        <w:t> </w:t>
      </w:r>
      <w:r w:rsidRPr="006A5B99">
        <w:rPr>
          <w:rFonts w:cs="Times New Roman"/>
          <w:noProof/>
          <w:lang w:val="fr-CA"/>
        </w:rPr>
        <w:t>tendance systématique</w:t>
      </w:r>
      <w:r>
        <w:rPr>
          <w:rFonts w:cs="Times New Roman"/>
          <w:noProof/>
          <w:lang w:val="fr-CA"/>
        </w:rPr>
        <w:t> </w:t>
      </w:r>
      <w:r w:rsidRPr="006A5B99">
        <w:rPr>
          <w:rFonts w:cs="Times New Roman"/>
          <w:noProof/>
          <w:lang w:val="fr-CA"/>
        </w:rPr>
        <w:t>» de la direction d’Atcon à «</w:t>
      </w:r>
      <w:r>
        <w:rPr>
          <w:rFonts w:cs="Times New Roman"/>
          <w:noProof/>
          <w:lang w:val="fr-CA"/>
        </w:rPr>
        <w:t> </w:t>
      </w:r>
      <w:r w:rsidRPr="006A5B99">
        <w:rPr>
          <w:rFonts w:cs="Times New Roman"/>
          <w:noProof/>
          <w:lang w:val="fr-CA"/>
        </w:rPr>
        <w:t xml:space="preserve">surévaluer </w:t>
      </w:r>
      <w:r>
        <w:rPr>
          <w:rFonts w:cs="Times New Roman"/>
          <w:noProof/>
          <w:lang w:val="fr-CA"/>
        </w:rPr>
        <w:t>l’actif</w:t>
      </w:r>
      <w:r w:rsidRPr="006A5B99">
        <w:rPr>
          <w:rFonts w:cs="Times New Roman"/>
          <w:noProof/>
          <w:lang w:val="fr-CA"/>
        </w:rPr>
        <w:t>, les recettes et les bénéfices [ainsi qu’à] sous</w:t>
      </w:r>
      <w:r>
        <w:rPr>
          <w:rFonts w:cs="Times New Roman"/>
          <w:noProof/>
          <w:lang w:val="fr-CA"/>
        </w:rPr>
        <w:noBreakHyphen/>
      </w:r>
      <w:r w:rsidRPr="006A5B99">
        <w:rPr>
          <w:rFonts w:cs="Times New Roman"/>
          <w:noProof/>
          <w:lang w:val="fr-CA"/>
        </w:rPr>
        <w:t xml:space="preserve">évaluer </w:t>
      </w:r>
      <w:r>
        <w:rPr>
          <w:rFonts w:cs="Times New Roman"/>
          <w:noProof/>
          <w:lang w:val="fr-CA"/>
        </w:rPr>
        <w:t>le passif</w:t>
      </w:r>
      <w:r w:rsidRPr="006A5B99">
        <w:rPr>
          <w:rFonts w:cs="Times New Roman"/>
          <w:noProof/>
          <w:lang w:val="fr-CA"/>
        </w:rPr>
        <w:t>, les charges et les pertes</w:t>
      </w:r>
      <w:r>
        <w:rPr>
          <w:rFonts w:cs="Times New Roman"/>
          <w:noProof/>
          <w:lang w:val="fr-CA"/>
        </w:rPr>
        <w:t> </w:t>
      </w:r>
      <w:r w:rsidRPr="006A5B99">
        <w:rPr>
          <w:rFonts w:cs="Times New Roman"/>
          <w:noProof/>
          <w:lang w:val="fr-CA"/>
        </w:rPr>
        <w:t xml:space="preserve">» (d.a., </w:t>
      </w:r>
      <w:r>
        <w:rPr>
          <w:rFonts w:cs="Times New Roman"/>
          <w:noProof/>
          <w:lang w:val="fr-CA"/>
        </w:rPr>
        <w:t>vol. </w:t>
      </w:r>
      <w:r w:rsidRPr="006A5B99">
        <w:rPr>
          <w:rFonts w:cs="Times New Roman"/>
          <w:noProof/>
          <w:lang w:val="fr-CA"/>
        </w:rPr>
        <w:t xml:space="preserve">II, </w:t>
      </w:r>
      <w:r>
        <w:rPr>
          <w:rFonts w:cs="Times New Roman"/>
          <w:noProof/>
          <w:lang w:val="fr-CA"/>
        </w:rPr>
        <w:t>p. </w:t>
      </w:r>
      <w:r w:rsidRPr="006A5B99">
        <w:rPr>
          <w:rFonts w:cs="Times New Roman"/>
          <w:noProof/>
          <w:lang w:val="fr-CA"/>
        </w:rPr>
        <w:t>207). Plus précisément, Richter avait relevé dans les états financiers diverses erreurs qu’il a jugées «</w:t>
      </w:r>
      <w:r>
        <w:rPr>
          <w:rFonts w:cs="Times New Roman"/>
          <w:noProof/>
          <w:lang w:val="fr-CA"/>
        </w:rPr>
        <w:t> </w:t>
      </w:r>
      <w:r w:rsidRPr="006A5B99">
        <w:rPr>
          <w:rFonts w:cs="Times New Roman"/>
          <w:noProof/>
          <w:lang w:val="fr-CA"/>
        </w:rPr>
        <w:t>importantes</w:t>
      </w:r>
      <w:r>
        <w:rPr>
          <w:rFonts w:cs="Times New Roman"/>
          <w:noProof/>
          <w:lang w:val="fr-CA"/>
        </w:rPr>
        <w:t> </w:t>
      </w:r>
      <w:r w:rsidRPr="006A5B99">
        <w:rPr>
          <w:rFonts w:cs="Times New Roman"/>
          <w:noProof/>
          <w:lang w:val="fr-CA"/>
        </w:rPr>
        <w:t>» parce qu’elles auraient vraisemblablement influencé la décision de la personne qui se fierait aux états financiers. À cet égard, Richter a estimé que l’actif d’Atcon pour l’exercice</w:t>
      </w:r>
      <w:r>
        <w:rPr>
          <w:rFonts w:cs="Times New Roman"/>
          <w:noProof/>
          <w:lang w:val="fr-CA"/>
        </w:rPr>
        <w:t xml:space="preserve"> </w:t>
      </w:r>
      <w:r w:rsidRPr="006A5B99">
        <w:rPr>
          <w:rFonts w:cs="Times New Roman"/>
          <w:noProof/>
          <w:lang w:val="fr-CA"/>
        </w:rPr>
        <w:t xml:space="preserve">2009 et ses gains nets avaient été surévalués d’un montant compris </w:t>
      </w:r>
      <w:r>
        <w:rPr>
          <w:rFonts w:cs="Times New Roman"/>
          <w:noProof/>
          <w:lang w:val="fr-CA"/>
        </w:rPr>
        <w:t>entre 28,3 millions de dollars et 35,4 </w:t>
      </w:r>
      <w:r w:rsidRPr="006A5B99">
        <w:rPr>
          <w:rFonts w:cs="Times New Roman"/>
          <w:noProof/>
          <w:lang w:val="fr-CA"/>
        </w:rPr>
        <w:t>millions de dollars. Comme Richter avait estimé l’importance relative des montants en cause dans les états financiers d’Atcon entre 1,3 million de dollars et 2,6 millions de dollars, les inexactitudes qu’il a décelées étaient de 14 à 22 fois supérieures à l’importance relative acceptable qui avait été retenue. Dans son rapport de vérification d’Atcon, Grant Thornton avait fixé l’importance relative à 1,2 million de dollars, de sorte que les inexactitudes dépassaient aussi clairement de loin ce montant.</w:t>
      </w:r>
    </w:p>
    <w:p w:rsidR="00AE79CA" w:rsidRPr="006A5B99" w:rsidRDefault="00AE79CA" w:rsidP="00AE79CA">
      <w:pPr>
        <w:pStyle w:val="ParaNoNdepar-AltN"/>
        <w:rPr>
          <w:rFonts w:cs="Times New Roman"/>
          <w:noProof/>
          <w:lang w:val="fr-CA"/>
        </w:rPr>
      </w:pPr>
      <w:r w:rsidRPr="006A5B99">
        <w:rPr>
          <w:rFonts w:cs="Times New Roman"/>
          <w:noProof/>
          <w:lang w:val="fr-CA"/>
        </w:rPr>
        <w:t>Même si, dans le cadre de son mandat, il n’était pas censé formuler de commentaires sur la conformité de la vérification de Grant Thornton aux normes de vérification généralement reconnues, Richter avait reçu un mandat semblable à celui de Grant Thornton</w:t>
      </w:r>
      <w:r>
        <w:rPr>
          <w:rFonts w:cs="Times New Roman"/>
          <w:noProof/>
          <w:lang w:val="fr-CA"/>
        </w:rPr>
        <w:t> :</w:t>
      </w:r>
      <w:r w:rsidRPr="006A5B99">
        <w:rPr>
          <w:rFonts w:cs="Times New Roman"/>
          <w:noProof/>
          <w:lang w:val="fr-CA"/>
        </w:rPr>
        <w:t xml:space="preserve"> tous deux avaient été chargés par la province de déterminer si les états financiers d’Atcon avaient été dressés conformément aux principes comptables généralement reconnus. La conclusion de Grant Thornton suivant laquelle les états financiers avaient été établis conformément à ces principes — et, partant, qu’il était convaincu qu’ils ne comportaient pas d’inexactitudes importantes — tranche avec les constatations de Richter selon lesquelles non seulement les états financiers comportaient des inexactitudes, mais ces dernières dépassaient largement le seuil d’importance relative fixé pour la vérification. L’ampleur de ces inexactitudes — l’actif et les gains nets avaient été surévalués d’un montant compris entre 2</w:t>
      </w:r>
      <w:r>
        <w:rPr>
          <w:rFonts w:cs="Times New Roman"/>
          <w:noProof/>
          <w:lang w:val="fr-CA"/>
        </w:rPr>
        <w:t>8,3 millions de dollars et 35,4 </w:t>
      </w:r>
      <w:r w:rsidRPr="006A5B99">
        <w:rPr>
          <w:rFonts w:cs="Times New Roman"/>
          <w:noProof/>
          <w:lang w:val="fr-CA"/>
        </w:rPr>
        <w:t>millions de dollars — est en</w:t>
      </w:r>
      <w:r>
        <w:rPr>
          <w:rFonts w:cs="Times New Roman"/>
          <w:noProof/>
          <w:lang w:val="fr-CA"/>
        </w:rPr>
        <w:t>core plus frappante lorsqu’on les</w:t>
      </w:r>
      <w:r w:rsidRPr="006A5B99">
        <w:rPr>
          <w:rFonts w:cs="Times New Roman"/>
          <w:noProof/>
          <w:lang w:val="fr-CA"/>
        </w:rPr>
        <w:t xml:space="preserve"> situe dans le contexte des garanties de prêts totalisant 50 millions de dollars. </w:t>
      </w:r>
    </w:p>
    <w:p w:rsidR="00AE79CA" w:rsidRPr="006A5B99" w:rsidRDefault="00AE79CA" w:rsidP="00AE79CA">
      <w:pPr>
        <w:pStyle w:val="ParaNoNdepar-AltN"/>
        <w:rPr>
          <w:rFonts w:cs="Times New Roman"/>
          <w:noProof/>
          <w:lang w:val="fr-CA"/>
        </w:rPr>
      </w:pPr>
      <w:r w:rsidRPr="006A5B99">
        <w:rPr>
          <w:rFonts w:cs="Times New Roman"/>
          <w:noProof/>
          <w:lang w:val="fr-CA"/>
        </w:rPr>
        <w:t xml:space="preserve">À la lumière des conclusions du rapport Richter examinées en tenant compte de toutes les circonstances, force est de conclure que la province </w:t>
      </w:r>
      <w:r>
        <w:rPr>
          <w:rFonts w:cs="Times New Roman"/>
          <w:noProof/>
          <w:lang w:val="fr-CA"/>
        </w:rPr>
        <w:t>avait appris</w:t>
      </w:r>
      <w:r w:rsidRPr="006A5B99">
        <w:rPr>
          <w:rFonts w:cs="Times New Roman"/>
          <w:noProof/>
          <w:lang w:val="fr-CA"/>
        </w:rPr>
        <w:t xml:space="preserve"> ou aurait dû </w:t>
      </w:r>
      <w:r>
        <w:rPr>
          <w:rFonts w:cs="Times New Roman"/>
          <w:noProof/>
          <w:lang w:val="fr-CA"/>
        </w:rPr>
        <w:t>avoir appris</w:t>
      </w:r>
      <w:r w:rsidRPr="006A5B99">
        <w:rPr>
          <w:rFonts w:cs="Times New Roman"/>
          <w:noProof/>
          <w:lang w:val="fr-CA"/>
        </w:rPr>
        <w:t xml:space="preserve"> que l’acte ou l’omission de Grant Thornton avait causé entièrement ou en partie la perte qu’elle avait subie. Plus précisément, l’acte ou l’omission de Grant Thornton a consisté à remettre le rapport sans réserve du vérificateur portant sur les états financiers de l’exercice</w:t>
      </w:r>
      <w:r>
        <w:rPr>
          <w:rFonts w:cs="Times New Roman"/>
          <w:noProof/>
          <w:lang w:val="fr-CA"/>
        </w:rPr>
        <w:t xml:space="preserve"> </w:t>
      </w:r>
      <w:r w:rsidRPr="006A5B99">
        <w:rPr>
          <w:rFonts w:cs="Times New Roman"/>
          <w:noProof/>
          <w:lang w:val="fr-CA"/>
        </w:rPr>
        <w:t xml:space="preserve">2009 d’Atcon, même si ces états n’avaient pas été dressés conformément aux principes comptables généralement reconnus, et </w:t>
      </w:r>
      <w:r>
        <w:rPr>
          <w:rFonts w:cs="Times New Roman"/>
          <w:noProof/>
          <w:lang w:val="fr-CA"/>
        </w:rPr>
        <w:t>ne donnaient pas</w:t>
      </w:r>
      <w:r w:rsidRPr="006A5B99">
        <w:rPr>
          <w:rFonts w:cs="Times New Roman"/>
          <w:noProof/>
          <w:lang w:val="fr-CA"/>
        </w:rPr>
        <w:t>, à tous les égards importants, une image fidèle de la situation financière d’Atcon pour l’exercice</w:t>
      </w:r>
      <w:r>
        <w:rPr>
          <w:rFonts w:cs="Times New Roman"/>
          <w:noProof/>
          <w:lang w:val="fr-CA"/>
        </w:rPr>
        <w:t xml:space="preserve"> </w:t>
      </w:r>
      <w:r w:rsidRPr="006A5B99">
        <w:rPr>
          <w:rFonts w:cs="Times New Roman"/>
          <w:noProof/>
          <w:lang w:val="fr-CA"/>
        </w:rPr>
        <w:t>2009. La perte subie par la province a été causée entièrement ou en partie par cet acte ou cette omission parce qu’elle a signé des garanties de prêts de</w:t>
      </w:r>
      <w:r>
        <w:rPr>
          <w:rFonts w:cs="Times New Roman"/>
          <w:noProof/>
          <w:lang w:val="fr-CA"/>
        </w:rPr>
        <w:t xml:space="preserve"> </w:t>
      </w:r>
      <w:r w:rsidRPr="006A5B99">
        <w:rPr>
          <w:rFonts w:cs="Times New Roman"/>
          <w:noProof/>
          <w:lang w:val="fr-CA"/>
        </w:rPr>
        <w:t>50 millions de dollars en se fiant aux déclarations de Grant Thornton.</w:t>
      </w:r>
    </w:p>
    <w:p w:rsidR="00AE79CA" w:rsidRPr="006A5B99" w:rsidRDefault="00AE79CA" w:rsidP="00AE79CA">
      <w:pPr>
        <w:pStyle w:val="Title3LevelTitre3Niveau"/>
        <w:rPr>
          <w:rFonts w:cs="Times New Roman"/>
          <w:noProof/>
          <w:lang w:val="fr-CA"/>
        </w:rPr>
      </w:pPr>
      <w:r w:rsidRPr="006A5B99">
        <w:rPr>
          <w:rFonts w:cs="Times New Roman"/>
          <w:noProof/>
          <w:lang w:val="fr-CA"/>
        </w:rPr>
        <w:t xml:space="preserve">La province aurait pu inférer plausiblement la négligence </w:t>
      </w:r>
    </w:p>
    <w:p w:rsidR="00AE79CA" w:rsidRPr="006A5B99" w:rsidRDefault="00AE79CA" w:rsidP="00AE79CA">
      <w:pPr>
        <w:pStyle w:val="ParaNoNdepar-AltN"/>
        <w:rPr>
          <w:rFonts w:cs="Times New Roman"/>
          <w:noProof/>
          <w:lang w:val="fr-CA"/>
        </w:rPr>
      </w:pPr>
      <w:r w:rsidRPr="006A5B99">
        <w:rPr>
          <w:rFonts w:cs="Times New Roman"/>
          <w:noProof/>
          <w:lang w:val="fr-CA"/>
        </w:rPr>
        <w:t>Compte tenu de tous les faits importants que la province connaissait ou aurait dû connaître, je suis en mesure de conclure que, au 4</w:t>
      </w:r>
      <w:r>
        <w:rPr>
          <w:rFonts w:cs="Times New Roman"/>
          <w:noProof/>
          <w:lang w:val="fr-CA"/>
        </w:rPr>
        <w:t xml:space="preserve"> </w:t>
      </w:r>
      <w:r w:rsidRPr="006A5B99">
        <w:rPr>
          <w:rFonts w:cs="Times New Roman"/>
          <w:noProof/>
          <w:lang w:val="fr-CA"/>
        </w:rPr>
        <w:t>février 2011, la province avait une connaissance suffisante pour inférer plausiblement la négligence de Grant</w:t>
      </w:r>
      <w:r>
        <w:rPr>
          <w:rFonts w:cs="Times New Roman"/>
          <w:noProof/>
          <w:lang w:val="fr-CA"/>
        </w:rPr>
        <w:t xml:space="preserve"> </w:t>
      </w:r>
      <w:r w:rsidRPr="006A5B99">
        <w:rPr>
          <w:rFonts w:cs="Times New Roman"/>
          <w:noProof/>
          <w:lang w:val="fr-CA"/>
        </w:rPr>
        <w:t xml:space="preserve">Thornton. </w:t>
      </w:r>
    </w:p>
    <w:p w:rsidR="00AE79CA" w:rsidRPr="006A5B99" w:rsidRDefault="00AE79CA" w:rsidP="00AE79CA">
      <w:pPr>
        <w:pStyle w:val="ParaNoNdepar-AltN"/>
        <w:rPr>
          <w:rFonts w:cs="Times New Roman"/>
          <w:noProof/>
          <w:lang w:val="fr-CA"/>
        </w:rPr>
      </w:pPr>
      <w:r w:rsidRPr="006A5B99">
        <w:rPr>
          <w:rFonts w:cs="Times New Roman"/>
          <w:noProof/>
          <w:lang w:val="fr-CA"/>
        </w:rPr>
        <w:t>La province maintient que le délai de prescription n’a pas commencé à courir le 4</w:t>
      </w:r>
      <w:r>
        <w:rPr>
          <w:rFonts w:cs="Times New Roman"/>
          <w:noProof/>
          <w:lang w:val="fr-CA"/>
        </w:rPr>
        <w:t xml:space="preserve"> </w:t>
      </w:r>
      <w:r w:rsidRPr="006A5B99">
        <w:rPr>
          <w:rFonts w:cs="Times New Roman"/>
          <w:noProof/>
          <w:lang w:val="fr-CA"/>
        </w:rPr>
        <w:t>février 2011. Elle soutient que, à ce jour, le délai de prescription n’a pas encore commencé à courir parce qu’elle n’a pas accès aux dossiers afférents à la vérification de Grant</w:t>
      </w:r>
      <w:r>
        <w:rPr>
          <w:rFonts w:cs="Times New Roman"/>
          <w:noProof/>
          <w:lang w:val="fr-CA"/>
        </w:rPr>
        <w:t xml:space="preserve"> </w:t>
      </w:r>
      <w:r w:rsidRPr="006A5B99">
        <w:rPr>
          <w:rFonts w:cs="Times New Roman"/>
          <w:noProof/>
          <w:lang w:val="fr-CA"/>
        </w:rPr>
        <w:t>Thornton et qu’il lui est donc impossible de savoir si Grant</w:t>
      </w:r>
      <w:r>
        <w:rPr>
          <w:rFonts w:cs="Times New Roman"/>
          <w:noProof/>
          <w:lang w:val="fr-CA"/>
        </w:rPr>
        <w:t xml:space="preserve"> </w:t>
      </w:r>
      <w:r w:rsidRPr="006A5B99">
        <w:rPr>
          <w:rFonts w:cs="Times New Roman"/>
          <w:noProof/>
          <w:lang w:val="fr-CA"/>
        </w:rPr>
        <w:t>Thornton a manqué à la norme de diligence applicable en n’effectuant pas sa vérification conformément aux normes de vérification généralement reconnues. C’est ce que plaide la province en dépit du fait qu’elle a pris l’initiative de déposer sa réclamation il y a de nombreuses années, le 23</w:t>
      </w:r>
      <w:r>
        <w:rPr>
          <w:rFonts w:cs="Times New Roman"/>
          <w:noProof/>
          <w:lang w:val="fr-CA"/>
        </w:rPr>
        <w:t xml:space="preserve"> </w:t>
      </w:r>
      <w:r w:rsidRPr="006A5B99">
        <w:rPr>
          <w:rFonts w:cs="Times New Roman"/>
          <w:noProof/>
          <w:lang w:val="fr-CA"/>
        </w:rPr>
        <w:t>juin 2014, et qu’elle a admis avoir agi ainsi sans avoir connaissance de nouveaux éléments d’information sur les agissements de Grant</w:t>
      </w:r>
      <w:r>
        <w:rPr>
          <w:rFonts w:cs="Times New Roman"/>
          <w:noProof/>
          <w:lang w:val="fr-CA"/>
        </w:rPr>
        <w:t xml:space="preserve"> </w:t>
      </w:r>
      <w:r w:rsidRPr="006A5B99">
        <w:rPr>
          <w:rFonts w:cs="Times New Roman"/>
          <w:noProof/>
          <w:lang w:val="fr-CA"/>
        </w:rPr>
        <w:t>Thornton entre cette date et le 4</w:t>
      </w:r>
      <w:r>
        <w:rPr>
          <w:rFonts w:cs="Times New Roman"/>
          <w:noProof/>
          <w:lang w:val="fr-CA"/>
        </w:rPr>
        <w:t xml:space="preserve"> </w:t>
      </w:r>
      <w:r w:rsidRPr="006A5B99">
        <w:rPr>
          <w:rFonts w:cs="Times New Roman"/>
          <w:noProof/>
          <w:lang w:val="fr-CA"/>
        </w:rPr>
        <w:t xml:space="preserve">février 2011, date à laquelle elle a reçu le rapport Richter provisoire. </w:t>
      </w:r>
    </w:p>
    <w:p w:rsidR="00AE79CA" w:rsidRPr="006A5B99" w:rsidRDefault="00AE79CA" w:rsidP="00AE79CA">
      <w:pPr>
        <w:pStyle w:val="ParaNoNdepar-AltN"/>
        <w:rPr>
          <w:rFonts w:cs="Times New Roman"/>
          <w:noProof/>
          <w:lang w:val="fr-CA"/>
        </w:rPr>
      </w:pPr>
      <w:r w:rsidRPr="006A5B99">
        <w:rPr>
          <w:rFonts w:cs="Times New Roman"/>
          <w:noProof/>
          <w:lang w:val="fr-CA"/>
        </w:rPr>
        <w:t xml:space="preserve">Avec égards, je ne puis souscrire à la thèse de la province. Comme je l’ai expliqué, le </w:t>
      </w:r>
      <w:r>
        <w:rPr>
          <w:rFonts w:cs="Times New Roman"/>
          <w:noProof/>
          <w:lang w:val="fr-CA"/>
        </w:rPr>
        <w:t xml:space="preserve">demandeur </w:t>
      </w:r>
      <w:r w:rsidRPr="006A5B99">
        <w:rPr>
          <w:rFonts w:cs="Times New Roman"/>
          <w:noProof/>
          <w:lang w:val="fr-CA"/>
        </w:rPr>
        <w:t xml:space="preserve">n’a pas besoin de connaître tous les éléments constitutifs de la négligence pour découvrir les faits ayant donné naissance à sa réclamation. Il suffit qu’il soit au courant des faits importants dont il est question dans la </w:t>
      </w:r>
      <w:r w:rsidRPr="006A5B99">
        <w:rPr>
          <w:rFonts w:cs="Times New Roman"/>
          <w:i/>
          <w:noProof/>
          <w:lang w:val="fr-CA"/>
        </w:rPr>
        <w:t>LP</w:t>
      </w:r>
      <w:r w:rsidRPr="006A5B99">
        <w:rPr>
          <w:rFonts w:cs="Times New Roman"/>
          <w:noProof/>
          <w:lang w:val="fr-CA"/>
        </w:rPr>
        <w:t xml:space="preserve"> et qui permettent d’inférer plausiblement la responsabilité. Contrairement à ce qu’elle prétend, la province n’avait pas besoin de consulter les dossiers afférents à la vérification de Grant</w:t>
      </w:r>
      <w:r>
        <w:rPr>
          <w:rFonts w:cs="Times New Roman"/>
          <w:noProof/>
          <w:lang w:val="fr-CA"/>
        </w:rPr>
        <w:t xml:space="preserve"> </w:t>
      </w:r>
      <w:r w:rsidRPr="006A5B99">
        <w:rPr>
          <w:rFonts w:cs="Times New Roman"/>
          <w:noProof/>
          <w:lang w:val="fr-CA"/>
        </w:rPr>
        <w:t xml:space="preserve">Thornton pour inférer plausiblement le manquement de ce dernier à la norme de diligence applicable en n’effectuant pas sa vérification conformément aux normes de vérification généralement reconnues. En particulier, compte tenu des </w:t>
      </w:r>
      <w:r>
        <w:rPr>
          <w:rFonts w:cs="Times New Roman"/>
          <w:noProof/>
          <w:lang w:val="fr-CA"/>
        </w:rPr>
        <w:t xml:space="preserve">inexactitudes importantes </w:t>
      </w:r>
      <w:r w:rsidRPr="006A5B99">
        <w:rPr>
          <w:rFonts w:cs="Times New Roman"/>
          <w:noProof/>
          <w:lang w:val="fr-CA"/>
        </w:rPr>
        <w:t xml:space="preserve">relevées dans le rapport Richter auxquels j’ai fait référence plus tôt aux </w:t>
      </w:r>
      <w:r>
        <w:rPr>
          <w:rFonts w:cs="Times New Roman"/>
          <w:noProof/>
          <w:lang w:val="fr-CA"/>
        </w:rPr>
        <w:t>par. </w:t>
      </w:r>
      <w:r w:rsidRPr="006A5B99">
        <w:rPr>
          <w:rFonts w:cs="Times New Roman"/>
          <w:noProof/>
          <w:lang w:val="fr-CA"/>
        </w:rPr>
        <w:t>56</w:t>
      </w:r>
      <w:r>
        <w:rPr>
          <w:rFonts w:cs="Times New Roman"/>
          <w:noProof/>
          <w:lang w:val="fr-CA"/>
        </w:rPr>
        <w:noBreakHyphen/>
      </w:r>
      <w:r w:rsidRPr="006A5B99">
        <w:rPr>
          <w:rFonts w:cs="Times New Roman"/>
          <w:noProof/>
          <w:lang w:val="fr-CA"/>
        </w:rPr>
        <w:t>57, la province aurait pu inférer que la perte était le fruit d’une vérification qui n’avait pas satisfait aux normes applicables, lesquelles obligent les vérificateurs [</w:t>
      </w:r>
      <w:r w:rsidRPr="006A5B99">
        <w:rPr>
          <w:rFonts w:cs="Times New Roman"/>
          <w:smallCaps/>
          <w:noProof/>
          <w:lang w:val="fr-CA"/>
        </w:rPr>
        <w:t>traduction</w:t>
      </w:r>
      <w:r w:rsidRPr="006A5B99">
        <w:rPr>
          <w:rFonts w:cs="Times New Roman"/>
          <w:noProof/>
          <w:lang w:val="fr-CA"/>
        </w:rPr>
        <w:t>] «</w:t>
      </w:r>
      <w:r>
        <w:rPr>
          <w:rFonts w:cs="Times New Roman"/>
          <w:noProof/>
          <w:lang w:val="fr-CA"/>
        </w:rPr>
        <w:t> </w:t>
      </w:r>
      <w:r w:rsidRPr="006A5B99">
        <w:rPr>
          <w:rFonts w:cs="Times New Roman"/>
          <w:noProof/>
          <w:lang w:val="fr-CA"/>
        </w:rPr>
        <w:t>à planifier et à effectuer la vérification de manière à avoir l’assurance raisonnable que les états financiers sont exempts d’inexactitudes importantes</w:t>
      </w:r>
      <w:r>
        <w:rPr>
          <w:rFonts w:cs="Times New Roman"/>
          <w:noProof/>
          <w:lang w:val="fr-CA"/>
        </w:rPr>
        <w:t> </w:t>
      </w:r>
      <w:r w:rsidRPr="006A5B99">
        <w:rPr>
          <w:rFonts w:cs="Times New Roman"/>
          <w:noProof/>
          <w:lang w:val="fr-CA"/>
        </w:rPr>
        <w:t xml:space="preserve">» (d.i., </w:t>
      </w:r>
      <w:r>
        <w:rPr>
          <w:rFonts w:cs="Times New Roman"/>
          <w:noProof/>
          <w:lang w:val="fr-CA"/>
        </w:rPr>
        <w:t>p. </w:t>
      </w:r>
      <w:r w:rsidRPr="006A5B99">
        <w:rPr>
          <w:rFonts w:cs="Times New Roman"/>
          <w:noProof/>
          <w:lang w:val="fr-CA"/>
        </w:rPr>
        <w:t xml:space="preserve">26). </w:t>
      </w:r>
    </w:p>
    <w:p w:rsidR="00AE79CA" w:rsidRPr="006A5B99" w:rsidRDefault="00AE79CA" w:rsidP="00AE79CA">
      <w:pPr>
        <w:pStyle w:val="ParaNoNdepar-AltN"/>
        <w:rPr>
          <w:rFonts w:cs="Times New Roman"/>
          <w:noProof/>
          <w:lang w:val="fr-CA"/>
        </w:rPr>
      </w:pPr>
      <w:r w:rsidRPr="006A5B99">
        <w:rPr>
          <w:rFonts w:cs="Times New Roman"/>
          <w:noProof/>
          <w:lang w:val="fr-CA"/>
        </w:rPr>
        <w:t>En somme, compte tenu des faits importants que j’ai signalés, et qu’elle connaissait ou aurait dû connaître, la province disposait d’amplement d’éléments d’information au 4</w:t>
      </w:r>
      <w:r>
        <w:rPr>
          <w:rFonts w:cs="Times New Roman"/>
          <w:noProof/>
          <w:lang w:val="fr-CA"/>
        </w:rPr>
        <w:t xml:space="preserve"> </w:t>
      </w:r>
      <w:r w:rsidRPr="006A5B99">
        <w:rPr>
          <w:rFonts w:cs="Times New Roman"/>
          <w:noProof/>
          <w:lang w:val="fr-CA"/>
        </w:rPr>
        <w:t>février 2011 pour inférer plausiblement la négligence de Grant Thornton. Cela ne veut pas dire que cette dernière a effectivement été négligente. Cette question aurait relevé du procès, si la province avait intenté son recours avant qu’il ne soit prescrit.</w:t>
      </w:r>
    </w:p>
    <w:p w:rsidR="00AE79CA" w:rsidRPr="006A5B99" w:rsidRDefault="00AE79CA" w:rsidP="00AE79CA">
      <w:pPr>
        <w:pStyle w:val="Title1LevelTitre1Niveau-AltL"/>
        <w:rPr>
          <w:rFonts w:cs="Times New Roman"/>
          <w:noProof/>
          <w:lang w:val="fr-CA"/>
        </w:rPr>
      </w:pPr>
      <w:r w:rsidRPr="006A5B99">
        <w:rPr>
          <w:rFonts w:cs="Times New Roman"/>
          <w:noProof/>
          <w:lang w:val="fr-CA"/>
        </w:rPr>
        <w:t xml:space="preserve">Conclusion </w:t>
      </w:r>
    </w:p>
    <w:p w:rsidR="00AE79CA" w:rsidRPr="006A5B99" w:rsidRDefault="00AE79CA" w:rsidP="00AE79CA">
      <w:pPr>
        <w:pStyle w:val="ParaNoNdepar-AltN"/>
        <w:rPr>
          <w:rFonts w:cs="Times New Roman"/>
          <w:noProof/>
          <w:lang w:val="fr-CA"/>
        </w:rPr>
      </w:pPr>
      <w:r w:rsidRPr="006A5B99">
        <w:rPr>
          <w:rFonts w:cs="Times New Roman"/>
          <w:noProof/>
          <w:lang w:val="fr-CA"/>
        </w:rPr>
        <w:t>En conclusion, je suis convaincu que la province a découvert les faits ayant donné naissance à sa réclamation le 4</w:t>
      </w:r>
      <w:r>
        <w:rPr>
          <w:rFonts w:cs="Times New Roman"/>
          <w:noProof/>
          <w:lang w:val="fr-CA"/>
        </w:rPr>
        <w:t xml:space="preserve"> février </w:t>
      </w:r>
      <w:r w:rsidRPr="006A5B99">
        <w:rPr>
          <w:rFonts w:cs="Times New Roman"/>
          <w:noProof/>
          <w:lang w:val="fr-CA"/>
        </w:rPr>
        <w:t xml:space="preserve">2011, soit </w:t>
      </w:r>
      <w:r>
        <w:rPr>
          <w:rFonts w:cs="Times New Roman"/>
          <w:noProof/>
          <w:lang w:val="fr-CA"/>
        </w:rPr>
        <w:t xml:space="preserve">plus de deux </w:t>
      </w:r>
      <w:r w:rsidRPr="006A5B99">
        <w:rPr>
          <w:rFonts w:cs="Times New Roman"/>
          <w:noProof/>
          <w:lang w:val="fr-CA"/>
        </w:rPr>
        <w:t xml:space="preserve">ans avant d’intenter son action </w:t>
      </w:r>
      <w:r>
        <w:rPr>
          <w:rFonts w:cs="Times New Roman"/>
          <w:noProof/>
          <w:lang w:val="fr-CA"/>
        </w:rPr>
        <w:t xml:space="preserve">le 23 juin </w:t>
      </w:r>
      <w:r w:rsidRPr="006A5B99">
        <w:rPr>
          <w:rFonts w:cs="Times New Roman"/>
          <w:noProof/>
          <w:lang w:val="fr-CA"/>
        </w:rPr>
        <w:t>2014. Celle</w:t>
      </w:r>
      <w:r>
        <w:rPr>
          <w:rFonts w:cs="Times New Roman"/>
          <w:noProof/>
          <w:lang w:val="fr-CA"/>
        </w:rPr>
        <w:noBreakHyphen/>
      </w:r>
      <w:r w:rsidRPr="006A5B99">
        <w:rPr>
          <w:rFonts w:cs="Times New Roman"/>
          <w:noProof/>
          <w:lang w:val="fr-CA"/>
        </w:rPr>
        <w:t>ci est donc prescrite en application de l’</w:t>
      </w:r>
      <w:r>
        <w:rPr>
          <w:rFonts w:cs="Times New Roman"/>
          <w:noProof/>
          <w:lang w:val="fr-CA"/>
        </w:rPr>
        <w:t>al. </w:t>
      </w:r>
      <w:r w:rsidRPr="006A5B99">
        <w:rPr>
          <w:rFonts w:cs="Times New Roman"/>
          <w:noProof/>
          <w:lang w:val="fr-CA"/>
        </w:rPr>
        <w:t xml:space="preserve">5(1)a) de la </w:t>
      </w:r>
      <w:r w:rsidRPr="006A5B99">
        <w:rPr>
          <w:rFonts w:cs="Times New Roman"/>
          <w:i/>
          <w:noProof/>
          <w:lang w:val="fr-CA"/>
        </w:rPr>
        <w:t>L</w:t>
      </w:r>
      <w:r>
        <w:rPr>
          <w:rFonts w:cs="Times New Roman"/>
          <w:i/>
          <w:noProof/>
          <w:lang w:val="fr-CA"/>
        </w:rPr>
        <w:t>P. </w:t>
      </w:r>
    </w:p>
    <w:p w:rsidR="00AE79CA" w:rsidRPr="006A5B99" w:rsidRDefault="00AE79CA" w:rsidP="00AE79CA">
      <w:pPr>
        <w:pStyle w:val="ParaNoNdepar-AltN"/>
        <w:rPr>
          <w:rFonts w:cs="Times New Roman"/>
          <w:noProof/>
          <w:lang w:val="fr-CA"/>
        </w:rPr>
      </w:pPr>
      <w:r w:rsidRPr="006A5B99">
        <w:rPr>
          <w:rFonts w:cs="Times New Roman"/>
          <w:noProof/>
          <w:lang w:val="fr-CA"/>
        </w:rPr>
        <w:t xml:space="preserve">En conséquence, le pourvoi </w:t>
      </w:r>
      <w:r>
        <w:rPr>
          <w:rFonts w:cs="Times New Roman"/>
          <w:noProof/>
          <w:lang w:val="fr-CA"/>
        </w:rPr>
        <w:t>interjeté par Grant Th</w:t>
      </w:r>
      <w:r w:rsidRPr="006A5B99">
        <w:rPr>
          <w:rFonts w:cs="Times New Roman"/>
          <w:noProof/>
          <w:lang w:val="fr-CA"/>
        </w:rPr>
        <w:t>o</w:t>
      </w:r>
      <w:r>
        <w:rPr>
          <w:rFonts w:cs="Times New Roman"/>
          <w:noProof/>
          <w:lang w:val="fr-CA"/>
        </w:rPr>
        <w:t>r</w:t>
      </w:r>
      <w:r w:rsidRPr="006A5B99">
        <w:rPr>
          <w:rFonts w:cs="Times New Roman"/>
          <w:noProof/>
          <w:lang w:val="fr-CA"/>
        </w:rPr>
        <w:t>nton LLP et Kent M. Ostridge ainsi que celui</w:t>
      </w:r>
      <w:r>
        <w:rPr>
          <w:rFonts w:cs="Times New Roman"/>
          <w:noProof/>
          <w:lang w:val="fr-CA"/>
        </w:rPr>
        <w:t xml:space="preserve"> interjeté par Grant Th</w:t>
      </w:r>
      <w:r w:rsidRPr="006A5B99">
        <w:rPr>
          <w:rFonts w:cs="Times New Roman"/>
          <w:noProof/>
          <w:lang w:val="fr-CA"/>
        </w:rPr>
        <w:t>o</w:t>
      </w:r>
      <w:r>
        <w:rPr>
          <w:rFonts w:cs="Times New Roman"/>
          <w:noProof/>
          <w:lang w:val="fr-CA"/>
        </w:rPr>
        <w:t>r</w:t>
      </w:r>
      <w:r w:rsidRPr="006A5B99">
        <w:rPr>
          <w:rFonts w:cs="Times New Roman"/>
          <w:noProof/>
          <w:lang w:val="fr-CA"/>
        </w:rPr>
        <w:t xml:space="preserve">nton International Ltd. sont tous les deux accueillis. Le jugement de la Cour d’appel est annulé et le </w:t>
      </w:r>
      <w:r>
        <w:rPr>
          <w:rFonts w:cs="Times New Roman"/>
          <w:noProof/>
          <w:lang w:val="fr-CA"/>
        </w:rPr>
        <w:t>jugement du juge de la Cour du B</w:t>
      </w:r>
      <w:r w:rsidRPr="006A5B99">
        <w:rPr>
          <w:rFonts w:cs="Times New Roman"/>
          <w:noProof/>
          <w:lang w:val="fr-CA"/>
        </w:rPr>
        <w:t>anc de la Reine saisi des motions est rétabli</w:t>
      </w:r>
      <w:r w:rsidRPr="00AE79CA">
        <w:rPr>
          <w:rStyle w:val="Hyperlink"/>
          <w:vertAlign w:val="superscript"/>
        </w:rPr>
        <w:footnoteReference w:id="1"/>
      </w:r>
      <w:r w:rsidRPr="006A5B99">
        <w:rPr>
          <w:rFonts w:cs="Times New Roman"/>
          <w:noProof/>
          <w:lang w:val="fr-CA"/>
        </w:rPr>
        <w:t xml:space="preserve">. Les appelants ont droit à leurs dépens devant toutes les cours. </w:t>
      </w:r>
    </w:p>
    <w:p w:rsidR="00AE79CA" w:rsidRPr="000B0F35" w:rsidRDefault="00AE79CA" w:rsidP="000B0F35">
      <w:pPr>
        <w:pStyle w:val="SCCNormalDoubleSpacing"/>
        <w:spacing w:after="480"/>
        <w:rPr>
          <w:lang w:val="fr-CA"/>
        </w:rPr>
      </w:pPr>
    </w:p>
    <w:p w:rsidR="004D7D95" w:rsidRPr="000B0F35" w:rsidRDefault="004D7D95" w:rsidP="000B0F35">
      <w:pPr>
        <w:pStyle w:val="SCCNormalDoubleSpacing"/>
        <w:spacing w:after="480"/>
        <w:rPr>
          <w:lang w:val="fr-CA"/>
        </w:rPr>
      </w:pPr>
      <w:r w:rsidRPr="000B0F35">
        <w:rPr>
          <w:lang w:val="fr-CA"/>
        </w:rPr>
        <w:tab/>
      </w:r>
      <w:r w:rsidR="0046565F" w:rsidRPr="000B0F35">
        <w:rPr>
          <w:i/>
          <w:lang w:val="fr-CA"/>
        </w:rPr>
        <w:t>Pourvois</w:t>
      </w:r>
      <w:r w:rsidR="00A07CFB" w:rsidRPr="000B0F35">
        <w:rPr>
          <w:i/>
          <w:lang w:val="fr-CA"/>
        </w:rPr>
        <w:t xml:space="preserve"> </w:t>
      </w:r>
      <w:r w:rsidR="00A07CFB" w:rsidRPr="000B0F35">
        <w:rPr>
          <w:i/>
          <w:iCs/>
          <w:lang w:val="fr-CA"/>
        </w:rPr>
        <w:t>accueillis avec dépens devant toutes les cours.</w:t>
      </w:r>
    </w:p>
    <w:p w:rsidR="00E3673B" w:rsidRPr="000B0F35" w:rsidRDefault="00F11ED6" w:rsidP="000B0F35">
      <w:pPr>
        <w:pStyle w:val="SCCLawFirm"/>
        <w:spacing w:after="480"/>
        <w:rPr>
          <w:lang w:val="fr-CA"/>
        </w:rPr>
      </w:pPr>
      <w:r w:rsidRPr="000B0F35">
        <w:rPr>
          <w:lang w:val="fr-CA"/>
        </w:rPr>
        <w:tab/>
        <w:t>Procureurs</w:t>
      </w:r>
      <w:r w:rsidR="003F1A49" w:rsidRPr="000B0F35">
        <w:rPr>
          <w:lang w:val="fr-CA"/>
        </w:rPr>
        <w:t xml:space="preserve"> de</w:t>
      </w:r>
      <w:r w:rsidRPr="000B0F35">
        <w:rPr>
          <w:lang w:val="fr-CA"/>
        </w:rPr>
        <w:t>s</w:t>
      </w:r>
      <w:r w:rsidR="003F1A49" w:rsidRPr="000B0F35">
        <w:rPr>
          <w:lang w:val="fr-CA"/>
        </w:rPr>
        <w:t xml:space="preserve"> appelant</w:t>
      </w:r>
      <w:r w:rsidR="000970FE">
        <w:rPr>
          <w:lang w:val="fr-CA"/>
        </w:rPr>
        <w:t>s Grant Thornton LLP et Kent </w:t>
      </w:r>
      <w:r w:rsidRPr="000B0F35">
        <w:rPr>
          <w:lang w:val="fr-CA"/>
        </w:rPr>
        <w:t>M. Ostridge</w:t>
      </w:r>
      <w:r w:rsidR="000B0F35" w:rsidRPr="000B0F35">
        <w:rPr>
          <w:lang w:val="fr-CA"/>
        </w:rPr>
        <w:t> :</w:t>
      </w:r>
      <w:r w:rsidR="000970FE">
        <w:rPr>
          <w:lang w:val="fr-CA"/>
        </w:rPr>
        <w:t> </w:t>
      </w:r>
      <w:r w:rsidRPr="000B0F35">
        <w:rPr>
          <w:lang w:val="fr-CA"/>
        </w:rPr>
        <w:t>Lenczner Slaght Royce Smith Griffin, Toronto; McInnes Cooper, Fredericton.</w:t>
      </w:r>
    </w:p>
    <w:p w:rsidR="00E3673B" w:rsidRPr="000B0F35" w:rsidRDefault="00F11ED6" w:rsidP="000B0F35">
      <w:pPr>
        <w:pStyle w:val="SCCLawFirm"/>
        <w:spacing w:after="480"/>
        <w:rPr>
          <w:lang w:val="fr-CA"/>
        </w:rPr>
      </w:pPr>
      <w:r w:rsidRPr="000B0F35">
        <w:rPr>
          <w:lang w:val="fr-CA"/>
        </w:rPr>
        <w:tab/>
        <w:t>Procureur</w:t>
      </w:r>
      <w:r w:rsidR="003F1A49" w:rsidRPr="000B0F35">
        <w:rPr>
          <w:lang w:val="fr-CA"/>
        </w:rPr>
        <w:t>s de l’appelante</w:t>
      </w:r>
      <w:r w:rsidRPr="000B0F35">
        <w:rPr>
          <w:lang w:val="fr-CA"/>
        </w:rPr>
        <w:t xml:space="preserve"> Grant Thornton International Ltd.</w:t>
      </w:r>
      <w:r w:rsidR="000B0F35" w:rsidRPr="000B0F35">
        <w:rPr>
          <w:lang w:val="fr-CA"/>
        </w:rPr>
        <w:t> :</w:t>
      </w:r>
      <w:r w:rsidR="000970FE">
        <w:rPr>
          <w:lang w:val="fr-CA"/>
        </w:rPr>
        <w:t> </w:t>
      </w:r>
      <w:r w:rsidR="003F1A49" w:rsidRPr="000B0F35">
        <w:rPr>
          <w:lang w:val="fr-CA"/>
        </w:rPr>
        <w:t>Foster &amp; Company, Fredericton.</w:t>
      </w:r>
    </w:p>
    <w:p w:rsidR="00E3673B" w:rsidRPr="000B0F35" w:rsidRDefault="00F11ED6" w:rsidP="000B0F35">
      <w:pPr>
        <w:pStyle w:val="SCCLawFirm"/>
        <w:spacing w:after="480"/>
        <w:rPr>
          <w:lang w:val="fr-CA"/>
        </w:rPr>
      </w:pPr>
      <w:r w:rsidRPr="000B0F35">
        <w:rPr>
          <w:lang w:val="fr-CA"/>
        </w:rPr>
        <w:tab/>
        <w:t>Procureurs</w:t>
      </w:r>
      <w:r w:rsidR="003F1A49" w:rsidRPr="000B0F35">
        <w:rPr>
          <w:lang w:val="fr-CA"/>
        </w:rPr>
        <w:t xml:space="preserve"> de l’</w:t>
      </w:r>
      <w:r w:rsidRPr="000B0F35">
        <w:rPr>
          <w:lang w:val="fr-CA"/>
        </w:rPr>
        <w:t>intimée</w:t>
      </w:r>
      <w:r w:rsidR="000B0F35" w:rsidRPr="000B0F35">
        <w:rPr>
          <w:lang w:val="fr-CA"/>
        </w:rPr>
        <w:t> :</w:t>
      </w:r>
      <w:r w:rsidR="000970FE">
        <w:rPr>
          <w:lang w:val="fr-CA"/>
        </w:rPr>
        <w:t> </w:t>
      </w:r>
      <w:r w:rsidR="003F1A49" w:rsidRPr="000B0F35">
        <w:rPr>
          <w:lang w:val="fr-CA"/>
        </w:rPr>
        <w:t>Stewart McKelvey, Fredericton.</w:t>
      </w:r>
    </w:p>
    <w:p w:rsidR="004D7D95" w:rsidRPr="000B0F35" w:rsidRDefault="00F11ED6" w:rsidP="003F1A49">
      <w:pPr>
        <w:pStyle w:val="SCCLawFirm"/>
        <w:rPr>
          <w:lang w:val="fr-CA"/>
        </w:rPr>
      </w:pPr>
      <w:r w:rsidRPr="000B0F35">
        <w:rPr>
          <w:lang w:val="fr-CA"/>
        </w:rPr>
        <w:tab/>
        <w:t>Procureurs</w:t>
      </w:r>
      <w:r w:rsidR="003F1A49" w:rsidRPr="000B0F35">
        <w:rPr>
          <w:lang w:val="fr-CA"/>
        </w:rPr>
        <w:t xml:space="preserve"> de l’intervenant</w:t>
      </w:r>
      <w:r w:rsidR="0086600D" w:rsidRPr="000B0F35">
        <w:rPr>
          <w:lang w:val="fr-CA"/>
        </w:rPr>
        <w:t>e</w:t>
      </w:r>
      <w:r w:rsidR="000B0F35" w:rsidRPr="000B0F35">
        <w:rPr>
          <w:lang w:val="fr-CA"/>
        </w:rPr>
        <w:t> :</w:t>
      </w:r>
      <w:r w:rsidR="000970FE">
        <w:rPr>
          <w:lang w:val="fr-CA"/>
        </w:rPr>
        <w:t> </w:t>
      </w:r>
      <w:r w:rsidR="003F1A49" w:rsidRPr="000B0F35">
        <w:rPr>
          <w:lang w:val="fr-CA"/>
        </w:rPr>
        <w:t>Borden Ladner Gervais, Toronto.</w:t>
      </w:r>
    </w:p>
    <w:sectPr w:rsidR="004D7D95" w:rsidRPr="000B0F35" w:rsidSect="000648CC">
      <w:headerReference w:type="even" r:id="rId11"/>
      <w:headerReference w:type="default" r:id="rId12"/>
      <w:footerReference w:type="even" r:id="rId13"/>
      <w:footerReference w:type="default" r:id="rId14"/>
      <w:headerReference w:type="first" r:id="rId15"/>
      <w:footerReference w:type="first" r:id="rId16"/>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B0E" w:rsidRDefault="00D17B0E">
      <w:r>
        <w:separator/>
      </w:r>
    </w:p>
  </w:endnote>
  <w:endnote w:type="continuationSeparator" w:id="0">
    <w:p w:rsidR="00D17B0E" w:rsidRDefault="00D1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D6E" w:rsidRDefault="00E96D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D6E" w:rsidRDefault="00E96D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D6E" w:rsidRDefault="00E96D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B0E" w:rsidRDefault="00D17B0E">
      <w:r>
        <w:separator/>
      </w:r>
    </w:p>
  </w:footnote>
  <w:footnote w:type="continuationSeparator" w:id="0">
    <w:p w:rsidR="00D17B0E" w:rsidRDefault="00D17B0E">
      <w:r>
        <w:continuationSeparator/>
      </w:r>
    </w:p>
  </w:footnote>
  <w:footnote w:id="1">
    <w:p w:rsidR="00AE79CA" w:rsidRDefault="00AE79CA" w:rsidP="00AE79CA">
      <w:pPr>
        <w:pStyle w:val="FootnoteText"/>
      </w:pPr>
      <w:r>
        <w:rPr>
          <w:rStyle w:val="FootnoteReference"/>
        </w:rPr>
        <w:footnoteRef/>
      </w:r>
      <w:r>
        <w:t xml:space="preserve"> Puisque je tranche les présents pourvois sur la base des éléments de preuve dûment présentés au juge saisi des motions, je m’abstiens d’examiner l’ordonnance proposée par la province (voir m.i., par. 145), qui aurait consisté à renvoyer l’affaire à la Cour d’appel pour qu’elle examine les autres motifs d’appel relatifs aux décisions en matière de preuve du juge saisi des motions, qui ont été soulevés devant cette cour, mais qui n’y ont pas été tranchés (voir motifs de la C.A., par. 80-81).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D6E" w:rsidRDefault="00E96D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9E36B4" w:rsidRDefault="00450352" w:rsidP="009E36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D6E" w:rsidRDefault="00E96D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87CE56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00204E"/>
    <w:multiLevelType w:val="hybridMultilevel"/>
    <w:tmpl w:val="805229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9C55019"/>
    <w:multiLevelType w:val="hybridMultilevel"/>
    <w:tmpl w:val="8E46A462"/>
    <w:lvl w:ilvl="0" w:tplc="D1DA1EC4">
      <w:start w:val="1"/>
      <w:numFmt w:val="lowerLetter"/>
      <w:lvlText w:val="%1)"/>
      <w:lvlJc w:val="left"/>
      <w:pPr>
        <w:ind w:left="1800" w:hanging="360"/>
      </w:pPr>
      <w:rPr>
        <w:rFonts w:hint="default"/>
      </w:r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4" w15:restartNumberingAfterBreak="0">
    <w:nsid w:val="19F44E99"/>
    <w:multiLevelType w:val="hybridMultilevel"/>
    <w:tmpl w:val="05F03792"/>
    <w:lvl w:ilvl="0" w:tplc="86F4C048">
      <w:start w:val="1"/>
      <w:numFmt w:val="decimal"/>
      <w:lvlText w:val="(%1)"/>
      <w:lvlJc w:val="left"/>
      <w:pPr>
        <w:ind w:left="1886" w:hanging="360"/>
      </w:pPr>
      <w:rPr>
        <w:rFonts w:hint="default"/>
      </w:rPr>
    </w:lvl>
    <w:lvl w:ilvl="1" w:tplc="86F4C04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6926DC"/>
    <w:multiLevelType w:val="hybridMultilevel"/>
    <w:tmpl w:val="1F5A16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39A05A9"/>
    <w:multiLevelType w:val="hybridMultilevel"/>
    <w:tmpl w:val="8D520882"/>
    <w:lvl w:ilvl="0" w:tplc="C7E8A130">
      <w:start w:val="1"/>
      <w:numFmt w:val="upperRoman"/>
      <w:lvlText w:val="%1."/>
      <w:lvlJc w:val="left"/>
      <w:pPr>
        <w:ind w:left="10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9"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0"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4283EE8"/>
    <w:multiLevelType w:val="multilevel"/>
    <w:tmpl w:val="4E94F83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08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5DD5717"/>
    <w:multiLevelType w:val="hybridMultilevel"/>
    <w:tmpl w:val="BA60A3F4"/>
    <w:lvl w:ilvl="0" w:tplc="231E8DB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A51A3C"/>
    <w:multiLevelType w:val="hybridMultilevel"/>
    <w:tmpl w:val="AF0041FA"/>
    <w:lvl w:ilvl="0" w:tplc="898402F0">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EDF02C3"/>
    <w:multiLevelType w:val="hybridMultilevel"/>
    <w:tmpl w:val="1F5A16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6"/>
  </w:num>
  <w:num w:numId="4">
    <w:abstractNumId w:val="2"/>
  </w:num>
  <w:num w:numId="5">
    <w:abstractNumId w:val="9"/>
  </w:num>
  <w:num w:numId="6">
    <w:abstractNumId w:val="10"/>
  </w:num>
  <w:num w:numId="7">
    <w:abstractNumId w:val="8"/>
  </w:num>
  <w:num w:numId="8">
    <w:abstractNumId w:val="8"/>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0"/>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17">
    <w:abstractNumId w:val="3"/>
  </w:num>
  <w:num w:numId="18">
    <w:abstractNumId w:val="4"/>
  </w:num>
  <w:num w:numId="19">
    <w:abstractNumId w:val="5"/>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1BE4"/>
    <w:rsid w:val="00020897"/>
    <w:rsid w:val="00023FC7"/>
    <w:rsid w:val="00025198"/>
    <w:rsid w:val="000578A3"/>
    <w:rsid w:val="000648CC"/>
    <w:rsid w:val="000711E8"/>
    <w:rsid w:val="00084383"/>
    <w:rsid w:val="000970FE"/>
    <w:rsid w:val="000B0F35"/>
    <w:rsid w:val="000C59B8"/>
    <w:rsid w:val="000C6AF0"/>
    <w:rsid w:val="000D0A77"/>
    <w:rsid w:val="000F7993"/>
    <w:rsid w:val="0010177C"/>
    <w:rsid w:val="00104F33"/>
    <w:rsid w:val="00111DE2"/>
    <w:rsid w:val="00116B38"/>
    <w:rsid w:val="00135406"/>
    <w:rsid w:val="00135972"/>
    <w:rsid w:val="001426A9"/>
    <w:rsid w:val="00153ADE"/>
    <w:rsid w:val="00154D7C"/>
    <w:rsid w:val="001570B0"/>
    <w:rsid w:val="0015752C"/>
    <w:rsid w:val="00157737"/>
    <w:rsid w:val="0016280A"/>
    <w:rsid w:val="00165277"/>
    <w:rsid w:val="00170592"/>
    <w:rsid w:val="001720F7"/>
    <w:rsid w:val="00195D83"/>
    <w:rsid w:val="001A00C1"/>
    <w:rsid w:val="001B33E0"/>
    <w:rsid w:val="001B4573"/>
    <w:rsid w:val="001C06CE"/>
    <w:rsid w:val="001C779F"/>
    <w:rsid w:val="001D2AC1"/>
    <w:rsid w:val="001D4E88"/>
    <w:rsid w:val="00212FBC"/>
    <w:rsid w:val="00220FC2"/>
    <w:rsid w:val="002222F4"/>
    <w:rsid w:val="00224FC0"/>
    <w:rsid w:val="00225EA4"/>
    <w:rsid w:val="00226EAF"/>
    <w:rsid w:val="00231F3A"/>
    <w:rsid w:val="00236C28"/>
    <w:rsid w:val="002406EE"/>
    <w:rsid w:val="00243EC8"/>
    <w:rsid w:val="00270D93"/>
    <w:rsid w:val="002745CC"/>
    <w:rsid w:val="002A0A9F"/>
    <w:rsid w:val="002B6FBE"/>
    <w:rsid w:val="002B7924"/>
    <w:rsid w:val="002C10A6"/>
    <w:rsid w:val="002C31A1"/>
    <w:rsid w:val="002D28C3"/>
    <w:rsid w:val="002D39A4"/>
    <w:rsid w:val="002E6705"/>
    <w:rsid w:val="0030329A"/>
    <w:rsid w:val="0031086F"/>
    <w:rsid w:val="0031414C"/>
    <w:rsid w:val="00314E01"/>
    <w:rsid w:val="0032089D"/>
    <w:rsid w:val="003310DE"/>
    <w:rsid w:val="003323B0"/>
    <w:rsid w:val="00340A49"/>
    <w:rsid w:val="0035169A"/>
    <w:rsid w:val="0035259D"/>
    <w:rsid w:val="00364B18"/>
    <w:rsid w:val="00365B23"/>
    <w:rsid w:val="003A125D"/>
    <w:rsid w:val="003A4C70"/>
    <w:rsid w:val="003B215F"/>
    <w:rsid w:val="003C799C"/>
    <w:rsid w:val="003D0399"/>
    <w:rsid w:val="003E1C71"/>
    <w:rsid w:val="003F1A49"/>
    <w:rsid w:val="003F327B"/>
    <w:rsid w:val="00406166"/>
    <w:rsid w:val="0040704B"/>
    <w:rsid w:val="00410A55"/>
    <w:rsid w:val="00411300"/>
    <w:rsid w:val="00413F17"/>
    <w:rsid w:val="00415417"/>
    <w:rsid w:val="00426659"/>
    <w:rsid w:val="00436C7A"/>
    <w:rsid w:val="004430BF"/>
    <w:rsid w:val="00450352"/>
    <w:rsid w:val="00454BDB"/>
    <w:rsid w:val="004639F4"/>
    <w:rsid w:val="00465132"/>
    <w:rsid w:val="0046565F"/>
    <w:rsid w:val="004663B9"/>
    <w:rsid w:val="004753E7"/>
    <w:rsid w:val="00480C90"/>
    <w:rsid w:val="0048396F"/>
    <w:rsid w:val="0049259B"/>
    <w:rsid w:val="00493C18"/>
    <w:rsid w:val="004A600C"/>
    <w:rsid w:val="004A6118"/>
    <w:rsid w:val="004C478D"/>
    <w:rsid w:val="004D7D95"/>
    <w:rsid w:val="004E2C26"/>
    <w:rsid w:val="005125A8"/>
    <w:rsid w:val="005169E5"/>
    <w:rsid w:val="00517549"/>
    <w:rsid w:val="00520ABC"/>
    <w:rsid w:val="00521AE8"/>
    <w:rsid w:val="00527180"/>
    <w:rsid w:val="00555291"/>
    <w:rsid w:val="00566AD1"/>
    <w:rsid w:val="0058332E"/>
    <w:rsid w:val="00583EDE"/>
    <w:rsid w:val="005A6079"/>
    <w:rsid w:val="005B7068"/>
    <w:rsid w:val="005E4698"/>
    <w:rsid w:val="005E6006"/>
    <w:rsid w:val="00603924"/>
    <w:rsid w:val="00605C1A"/>
    <w:rsid w:val="00610539"/>
    <w:rsid w:val="00613969"/>
    <w:rsid w:val="00625C35"/>
    <w:rsid w:val="006432D6"/>
    <w:rsid w:val="00647E49"/>
    <w:rsid w:val="00655DFE"/>
    <w:rsid w:val="00656313"/>
    <w:rsid w:val="006565F4"/>
    <w:rsid w:val="00684EEA"/>
    <w:rsid w:val="0069689B"/>
    <w:rsid w:val="006B5FF5"/>
    <w:rsid w:val="006D03E7"/>
    <w:rsid w:val="006F30AF"/>
    <w:rsid w:val="00701759"/>
    <w:rsid w:val="00705C15"/>
    <w:rsid w:val="007110F6"/>
    <w:rsid w:val="007208D1"/>
    <w:rsid w:val="00744518"/>
    <w:rsid w:val="00747288"/>
    <w:rsid w:val="00747DD3"/>
    <w:rsid w:val="00751E83"/>
    <w:rsid w:val="007549C8"/>
    <w:rsid w:val="00766D14"/>
    <w:rsid w:val="00767A0F"/>
    <w:rsid w:val="00791272"/>
    <w:rsid w:val="007A05F6"/>
    <w:rsid w:val="007B6F4A"/>
    <w:rsid w:val="007C5454"/>
    <w:rsid w:val="007E1C47"/>
    <w:rsid w:val="007E337A"/>
    <w:rsid w:val="007E5C70"/>
    <w:rsid w:val="007F2FF5"/>
    <w:rsid w:val="007F3F08"/>
    <w:rsid w:val="00804CC6"/>
    <w:rsid w:val="00817190"/>
    <w:rsid w:val="008260E2"/>
    <w:rsid w:val="008322BD"/>
    <w:rsid w:val="00834F73"/>
    <w:rsid w:val="008412F7"/>
    <w:rsid w:val="008536CE"/>
    <w:rsid w:val="00864C8A"/>
    <w:rsid w:val="00864CF8"/>
    <w:rsid w:val="0086600D"/>
    <w:rsid w:val="00867EA7"/>
    <w:rsid w:val="00874914"/>
    <w:rsid w:val="00891422"/>
    <w:rsid w:val="00892E1A"/>
    <w:rsid w:val="00892EC7"/>
    <w:rsid w:val="008A7AB7"/>
    <w:rsid w:val="008B660A"/>
    <w:rsid w:val="008C01DA"/>
    <w:rsid w:val="008F2674"/>
    <w:rsid w:val="008F78E9"/>
    <w:rsid w:val="009179F9"/>
    <w:rsid w:val="00917C7A"/>
    <w:rsid w:val="00933E5E"/>
    <w:rsid w:val="00935218"/>
    <w:rsid w:val="00936269"/>
    <w:rsid w:val="00937C52"/>
    <w:rsid w:val="009403F3"/>
    <w:rsid w:val="009555B7"/>
    <w:rsid w:val="009567AA"/>
    <w:rsid w:val="009602C9"/>
    <w:rsid w:val="00967374"/>
    <w:rsid w:val="009678C9"/>
    <w:rsid w:val="009A343A"/>
    <w:rsid w:val="009B2F23"/>
    <w:rsid w:val="009B57B3"/>
    <w:rsid w:val="009D2920"/>
    <w:rsid w:val="009D5AEB"/>
    <w:rsid w:val="009E36B4"/>
    <w:rsid w:val="009F0E33"/>
    <w:rsid w:val="00A07CFB"/>
    <w:rsid w:val="00A149DF"/>
    <w:rsid w:val="00A1755C"/>
    <w:rsid w:val="00A21B90"/>
    <w:rsid w:val="00A22AAC"/>
    <w:rsid w:val="00A41805"/>
    <w:rsid w:val="00A51882"/>
    <w:rsid w:val="00A52AFB"/>
    <w:rsid w:val="00A548CB"/>
    <w:rsid w:val="00A5521C"/>
    <w:rsid w:val="00A643E7"/>
    <w:rsid w:val="00A73C38"/>
    <w:rsid w:val="00A921A7"/>
    <w:rsid w:val="00AB670D"/>
    <w:rsid w:val="00AE79CA"/>
    <w:rsid w:val="00AF03C5"/>
    <w:rsid w:val="00B000D8"/>
    <w:rsid w:val="00B00F75"/>
    <w:rsid w:val="00B145B6"/>
    <w:rsid w:val="00B22820"/>
    <w:rsid w:val="00B279EB"/>
    <w:rsid w:val="00B50C81"/>
    <w:rsid w:val="00B557F8"/>
    <w:rsid w:val="00B815FC"/>
    <w:rsid w:val="00B93FBC"/>
    <w:rsid w:val="00BA7DA0"/>
    <w:rsid w:val="00BB2EE4"/>
    <w:rsid w:val="00BB4C92"/>
    <w:rsid w:val="00BC2108"/>
    <w:rsid w:val="00BC746B"/>
    <w:rsid w:val="00BD0E9E"/>
    <w:rsid w:val="00BD1BEC"/>
    <w:rsid w:val="00BD32FF"/>
    <w:rsid w:val="00BF6FE9"/>
    <w:rsid w:val="00C02092"/>
    <w:rsid w:val="00C02CD9"/>
    <w:rsid w:val="00C24D91"/>
    <w:rsid w:val="00C26DB2"/>
    <w:rsid w:val="00C314F4"/>
    <w:rsid w:val="00C53F14"/>
    <w:rsid w:val="00C600CF"/>
    <w:rsid w:val="00C6084F"/>
    <w:rsid w:val="00C62A66"/>
    <w:rsid w:val="00C66359"/>
    <w:rsid w:val="00C71458"/>
    <w:rsid w:val="00C77613"/>
    <w:rsid w:val="00C828E7"/>
    <w:rsid w:val="00C86719"/>
    <w:rsid w:val="00C921DD"/>
    <w:rsid w:val="00CA6391"/>
    <w:rsid w:val="00CE036E"/>
    <w:rsid w:val="00CE3171"/>
    <w:rsid w:val="00CF1601"/>
    <w:rsid w:val="00D0172F"/>
    <w:rsid w:val="00D01E33"/>
    <w:rsid w:val="00D068A7"/>
    <w:rsid w:val="00D17476"/>
    <w:rsid w:val="00D17B0E"/>
    <w:rsid w:val="00D32086"/>
    <w:rsid w:val="00D37A3F"/>
    <w:rsid w:val="00D4431D"/>
    <w:rsid w:val="00D4667A"/>
    <w:rsid w:val="00D63A1C"/>
    <w:rsid w:val="00D7516F"/>
    <w:rsid w:val="00D95F8E"/>
    <w:rsid w:val="00DA0590"/>
    <w:rsid w:val="00DC1739"/>
    <w:rsid w:val="00DC1788"/>
    <w:rsid w:val="00DC68AB"/>
    <w:rsid w:val="00DE319C"/>
    <w:rsid w:val="00DF0CA8"/>
    <w:rsid w:val="00DF2B48"/>
    <w:rsid w:val="00DF49A7"/>
    <w:rsid w:val="00E07EE2"/>
    <w:rsid w:val="00E07FD1"/>
    <w:rsid w:val="00E15051"/>
    <w:rsid w:val="00E24573"/>
    <w:rsid w:val="00E25E1E"/>
    <w:rsid w:val="00E27EE7"/>
    <w:rsid w:val="00E35404"/>
    <w:rsid w:val="00E3673B"/>
    <w:rsid w:val="00E45109"/>
    <w:rsid w:val="00E47B7A"/>
    <w:rsid w:val="00E56A44"/>
    <w:rsid w:val="00E60269"/>
    <w:rsid w:val="00E77B2B"/>
    <w:rsid w:val="00E96D6E"/>
    <w:rsid w:val="00E97830"/>
    <w:rsid w:val="00EB317A"/>
    <w:rsid w:val="00EE0830"/>
    <w:rsid w:val="00EE6CB8"/>
    <w:rsid w:val="00EF0683"/>
    <w:rsid w:val="00F0070C"/>
    <w:rsid w:val="00F00EB7"/>
    <w:rsid w:val="00F069EC"/>
    <w:rsid w:val="00F11ED6"/>
    <w:rsid w:val="00F205EA"/>
    <w:rsid w:val="00F21494"/>
    <w:rsid w:val="00F36AB6"/>
    <w:rsid w:val="00F37A09"/>
    <w:rsid w:val="00F409CE"/>
    <w:rsid w:val="00F4379D"/>
    <w:rsid w:val="00F50D2D"/>
    <w:rsid w:val="00F56C8B"/>
    <w:rsid w:val="00F62639"/>
    <w:rsid w:val="00F66810"/>
    <w:rsid w:val="00F84DF4"/>
    <w:rsid w:val="00F85C97"/>
    <w:rsid w:val="00F86E06"/>
    <w:rsid w:val="00FB37D2"/>
    <w:rsid w:val="00FC4EFB"/>
    <w:rsid w:val="00FD068D"/>
    <w:rsid w:val="00FD4F28"/>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9CA"/>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ListParagraph"/>
    <w:next w:val="Normal"/>
    <w:link w:val="Heading8Char"/>
    <w:uiPriority w:val="9"/>
    <w:unhideWhenUsed/>
    <w:qFormat/>
    <w:rsid w:val="00AE79CA"/>
    <w:pPr>
      <w:tabs>
        <w:tab w:val="left" w:pos="2340"/>
      </w:tabs>
      <w:ind w:left="2520" w:hanging="360"/>
      <w:jc w:val="both"/>
      <w:outlineLvl w:val="7"/>
    </w:pPr>
    <w:rPr>
      <w:rFonts w:eastAsiaTheme="minorHAnsi" w:cstheme="minorBidi"/>
      <w:szCs w:val="2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customStyle="1" w:styleId="ParaNoNdepar-AltN">
    <w:name w:val="Para. No. / Nº de par. - Alt N"/>
    <w:link w:val="ParaNoNdepar-AltNChar"/>
    <w:qFormat/>
    <w:rsid w:val="004639F4"/>
    <w:pPr>
      <w:numPr>
        <w:numId w:val="1"/>
      </w:num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4639F4"/>
    <w:rPr>
      <w:rFonts w:eastAsiaTheme="minorEastAsia" w:cstheme="minorBidi"/>
      <w:sz w:val="24"/>
      <w:szCs w:val="22"/>
      <w:lang w:eastAsia="en-US"/>
    </w:rPr>
  </w:style>
  <w:style w:type="character" w:customStyle="1" w:styleId="Heading8Char">
    <w:name w:val="Heading 8 Char"/>
    <w:basedOn w:val="DefaultParagraphFont"/>
    <w:link w:val="Heading8"/>
    <w:uiPriority w:val="9"/>
    <w:rsid w:val="00AE79CA"/>
    <w:rPr>
      <w:rFonts w:eastAsiaTheme="minorHAnsi" w:cstheme="minorBidi"/>
      <w:noProof/>
      <w:sz w:val="24"/>
      <w:szCs w:val="22"/>
      <w:lang w:val="en-US" w:eastAsia="en-US" w:bidi="en-US"/>
    </w:rPr>
  </w:style>
  <w:style w:type="paragraph" w:customStyle="1" w:styleId="SCCLsocOtherPartyRoleSeparator">
    <w:name w:val="SCC.Lsoc.OtherPartyRoleSeparator"/>
    <w:basedOn w:val="Normal"/>
    <w:next w:val="Normal"/>
    <w:link w:val="SCCLsocOtherPartyRoleSeparatorChar"/>
    <w:rsid w:val="00AE79CA"/>
    <w:pPr>
      <w:spacing w:after="480"/>
    </w:pPr>
    <w:rPr>
      <w:rFonts w:eastAsiaTheme="minorHAnsi" w:cstheme="minorBidi"/>
      <w:noProof/>
      <w:szCs w:val="22"/>
      <w:lang w:val="fr-CA" w:eastAsia="en-US"/>
    </w:rPr>
  </w:style>
  <w:style w:type="paragraph" w:customStyle="1" w:styleId="SCCCoram">
    <w:name w:val="SCC.Coram"/>
    <w:basedOn w:val="Normal"/>
    <w:next w:val="Normal"/>
    <w:link w:val="SCCCoramChar"/>
    <w:rsid w:val="00AE79CA"/>
    <w:pPr>
      <w:pBdr>
        <w:bottom w:val="single" w:sz="4" w:space="1" w:color="auto"/>
      </w:pBdr>
    </w:pPr>
    <w:rPr>
      <w:rFonts w:eastAsiaTheme="minorHAnsi" w:cstheme="minorBidi"/>
      <w:noProof/>
      <w:szCs w:val="22"/>
      <w:lang w:val="fr-CA" w:eastAsia="en-US"/>
    </w:rPr>
  </w:style>
  <w:style w:type="character" w:customStyle="1" w:styleId="SCCCoramChar">
    <w:name w:val="SCC.Coram Char"/>
    <w:basedOn w:val="DefaultParagraphFont"/>
    <w:link w:val="SCCCoram"/>
    <w:rsid w:val="00AE79CA"/>
    <w:rPr>
      <w:rFonts w:eastAsiaTheme="minorHAnsi" w:cstheme="minorBidi"/>
      <w:noProof/>
      <w:sz w:val="24"/>
      <w:szCs w:val="22"/>
      <w:lang w:val="fr-CA" w:eastAsia="en-US"/>
    </w:rPr>
  </w:style>
  <w:style w:type="character" w:customStyle="1" w:styleId="SCCLsocOtherPartyRoleSeparatorChar">
    <w:name w:val="SCC.Lsoc.OtherPartyRoleSeparator Char"/>
    <w:basedOn w:val="DefaultParagraphFont"/>
    <w:link w:val="SCCLsocOtherPartyRoleSeparator"/>
    <w:rsid w:val="00AE79CA"/>
    <w:rPr>
      <w:rFonts w:eastAsiaTheme="minorHAnsi" w:cstheme="minorBidi"/>
      <w:noProof/>
      <w:sz w:val="24"/>
      <w:szCs w:val="22"/>
      <w:lang w:val="fr-CA" w:eastAsia="en-US"/>
    </w:rPr>
  </w:style>
  <w:style w:type="character" w:customStyle="1" w:styleId="SCCBanSummaryChar">
    <w:name w:val="SCC.BanSummary Char"/>
    <w:basedOn w:val="DefaultParagraphFont"/>
    <w:link w:val="SCCBanSummary"/>
    <w:rsid w:val="00AE79CA"/>
    <w:rPr>
      <w:b/>
      <w:sz w:val="24"/>
    </w:rPr>
  </w:style>
  <w:style w:type="table" w:styleId="TableGrid">
    <w:name w:val="Table Grid"/>
    <w:basedOn w:val="TableNormal"/>
    <w:uiPriority w:val="59"/>
    <w:rsid w:val="00AE79CA"/>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AE79CA"/>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AE79CA"/>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AE79CA"/>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AE79CA"/>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AE79CA"/>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AE79CA"/>
    <w:pPr>
      <w:numPr>
        <w:ilvl w:val="2"/>
      </w:numPr>
      <w:outlineLvl w:val="2"/>
    </w:pPr>
  </w:style>
  <w:style w:type="paragraph" w:customStyle="1" w:styleId="Title4LevelTitre4Niveau">
    <w:name w:val="Title 4 Level / Titre 4 Niveau"/>
    <w:basedOn w:val="Title3LevelTitre3Niveau"/>
    <w:next w:val="ParaNoNdepar-AltN"/>
    <w:uiPriority w:val="4"/>
    <w:qFormat/>
    <w:rsid w:val="00AE79CA"/>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AE79CA"/>
    <w:pPr>
      <w:numPr>
        <w:ilvl w:val="4"/>
      </w:numPr>
      <w:outlineLvl w:val="4"/>
    </w:pPr>
  </w:style>
  <w:style w:type="paragraph" w:styleId="TOC1">
    <w:name w:val="toc 1"/>
    <w:basedOn w:val="Normal"/>
    <w:next w:val="Normal"/>
    <w:autoRedefine/>
    <w:uiPriority w:val="39"/>
    <w:unhideWhenUsed/>
    <w:rsid w:val="00AE79CA"/>
    <w:pPr>
      <w:tabs>
        <w:tab w:val="left" w:pos="360"/>
        <w:tab w:val="right" w:leader="dot" w:pos="8270"/>
      </w:tabs>
      <w:spacing w:before="120" w:after="120"/>
    </w:pPr>
    <w:rPr>
      <w:noProof/>
      <w:u w:val="single"/>
      <w:lang w:val="fr-CA"/>
    </w:rPr>
  </w:style>
  <w:style w:type="paragraph" w:styleId="TOC2">
    <w:name w:val="toc 2"/>
    <w:basedOn w:val="Normal"/>
    <w:next w:val="Normal"/>
    <w:autoRedefine/>
    <w:uiPriority w:val="39"/>
    <w:unhideWhenUsed/>
    <w:rsid w:val="00AE79CA"/>
    <w:pPr>
      <w:tabs>
        <w:tab w:val="left" w:pos="720"/>
        <w:tab w:val="right" w:leader="dot" w:pos="8270"/>
      </w:tabs>
      <w:spacing w:before="120" w:after="120"/>
      <w:ind w:left="432" w:hanging="432"/>
    </w:pPr>
    <w:rPr>
      <w:i/>
      <w:noProof/>
      <w:szCs w:val="24"/>
      <w:lang w:val="fr-CA"/>
    </w:rPr>
  </w:style>
  <w:style w:type="paragraph" w:styleId="TOC3">
    <w:name w:val="toc 3"/>
    <w:basedOn w:val="Normal"/>
    <w:next w:val="Normal"/>
    <w:autoRedefine/>
    <w:uiPriority w:val="39"/>
    <w:unhideWhenUsed/>
    <w:rsid w:val="00AE79CA"/>
    <w:pPr>
      <w:tabs>
        <w:tab w:val="left" w:pos="1080"/>
        <w:tab w:val="right" w:leader="dot" w:pos="8270"/>
      </w:tabs>
      <w:spacing w:before="120" w:after="120"/>
      <w:ind w:left="864" w:hanging="432"/>
    </w:pPr>
    <w:rPr>
      <w:noProof/>
      <w:u w:val="single"/>
      <w:lang w:val="fr-CA"/>
    </w:rPr>
  </w:style>
  <w:style w:type="paragraph" w:styleId="TOC4">
    <w:name w:val="toc 4"/>
    <w:basedOn w:val="Normal"/>
    <w:next w:val="Normal"/>
    <w:autoRedefine/>
    <w:uiPriority w:val="39"/>
    <w:unhideWhenUsed/>
    <w:rsid w:val="00AE79CA"/>
    <w:pPr>
      <w:tabs>
        <w:tab w:val="left" w:pos="900"/>
        <w:tab w:val="right" w:leader="dot" w:pos="8270"/>
      </w:tabs>
      <w:spacing w:before="120" w:after="120"/>
      <w:ind w:left="900" w:hanging="450"/>
    </w:pPr>
    <w:rPr>
      <w:rFonts w:eastAsiaTheme="minorEastAsia" w:cstheme="minorBidi"/>
      <w:i/>
      <w:noProof/>
      <w:szCs w:val="22"/>
      <w:lang w:val="fr-CA"/>
    </w:rPr>
  </w:style>
  <w:style w:type="paragraph" w:styleId="TOC5">
    <w:name w:val="toc 5"/>
    <w:basedOn w:val="Normal"/>
    <w:next w:val="Normal"/>
    <w:autoRedefine/>
    <w:uiPriority w:val="39"/>
    <w:unhideWhenUsed/>
    <w:rsid w:val="00AE79CA"/>
    <w:pPr>
      <w:tabs>
        <w:tab w:val="left" w:pos="1440"/>
        <w:tab w:val="right" w:leader="dot" w:pos="8270"/>
      </w:tabs>
      <w:spacing w:before="120" w:after="120"/>
      <w:ind w:left="1454" w:hanging="547"/>
    </w:pPr>
    <w:rPr>
      <w:noProof/>
      <w:u w:val="single"/>
      <w:lang w:val="fr-CA"/>
    </w:rPr>
  </w:style>
  <w:style w:type="paragraph" w:styleId="TOC6">
    <w:name w:val="toc 6"/>
    <w:basedOn w:val="Normal"/>
    <w:next w:val="Normal"/>
    <w:autoRedefine/>
    <w:uiPriority w:val="39"/>
    <w:unhideWhenUsed/>
    <w:rsid w:val="00AE79CA"/>
    <w:pPr>
      <w:tabs>
        <w:tab w:val="left" w:pos="2160"/>
        <w:tab w:val="right" w:leader="dot" w:pos="8270"/>
      </w:tabs>
      <w:spacing w:after="100"/>
      <w:ind w:left="1800"/>
    </w:pPr>
    <w:rPr>
      <w:noProof/>
      <w:lang w:val="fr-CA"/>
    </w:rPr>
  </w:style>
  <w:style w:type="table" w:customStyle="1" w:styleId="TableGrid1">
    <w:name w:val="Table Grid1"/>
    <w:basedOn w:val="TableNormal"/>
    <w:uiPriority w:val="59"/>
    <w:rsid w:val="00AE79CA"/>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AE79CA"/>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AE79CA"/>
    <w:pPr>
      <w:numPr>
        <w:ilvl w:val="5"/>
      </w:numPr>
      <w:outlineLvl w:val="5"/>
    </w:pPr>
    <w:rPr>
      <w:i/>
      <w:u w:val="none"/>
    </w:rPr>
  </w:style>
  <w:style w:type="paragraph" w:styleId="FootnoteText">
    <w:name w:val="footnote text"/>
    <w:basedOn w:val="Normal"/>
    <w:link w:val="FootnoteTextChar"/>
    <w:uiPriority w:val="99"/>
    <w:unhideWhenUsed/>
    <w:rsid w:val="00AE79CA"/>
    <w:pPr>
      <w:tabs>
        <w:tab w:val="left" w:pos="180"/>
      </w:tabs>
      <w:ind w:left="187" w:hanging="187"/>
      <w:jc w:val="both"/>
    </w:pPr>
    <w:rPr>
      <w:noProof/>
      <w:sz w:val="20"/>
      <w:lang w:val="fr-CA"/>
    </w:rPr>
  </w:style>
  <w:style w:type="character" w:customStyle="1" w:styleId="FootnoteTextChar">
    <w:name w:val="Footnote Text Char"/>
    <w:basedOn w:val="DefaultParagraphFont"/>
    <w:link w:val="FootnoteText"/>
    <w:uiPriority w:val="99"/>
    <w:rsid w:val="00AE79CA"/>
    <w:rPr>
      <w:noProof/>
      <w:lang w:val="fr-CA"/>
    </w:rPr>
  </w:style>
  <w:style w:type="character" w:styleId="FootnoteReference">
    <w:name w:val="footnote reference"/>
    <w:basedOn w:val="DefaultParagraphFont"/>
    <w:uiPriority w:val="99"/>
    <w:semiHidden/>
    <w:unhideWhenUsed/>
    <w:rsid w:val="00AE79CA"/>
    <w:rPr>
      <w:vertAlign w:val="superscript"/>
    </w:rPr>
  </w:style>
  <w:style w:type="paragraph" w:styleId="CommentText">
    <w:name w:val="annotation text"/>
    <w:basedOn w:val="Normal"/>
    <w:link w:val="CommentTextChar"/>
    <w:uiPriority w:val="99"/>
    <w:unhideWhenUsed/>
    <w:rsid w:val="00AE79CA"/>
    <w:rPr>
      <w:noProof/>
      <w:sz w:val="20"/>
      <w:lang w:val="fr-CA"/>
    </w:rPr>
  </w:style>
  <w:style w:type="character" w:customStyle="1" w:styleId="CommentTextChar">
    <w:name w:val="Comment Text Char"/>
    <w:basedOn w:val="DefaultParagraphFont"/>
    <w:link w:val="CommentText"/>
    <w:uiPriority w:val="99"/>
    <w:rsid w:val="00AE79CA"/>
    <w:rPr>
      <w:noProof/>
      <w:lang w:val="fr-CA"/>
    </w:rPr>
  </w:style>
  <w:style w:type="character" w:styleId="Emphasis">
    <w:name w:val="Emphasis"/>
    <w:basedOn w:val="DefaultParagraphFont"/>
    <w:uiPriority w:val="20"/>
    <w:qFormat/>
    <w:rsid w:val="00AE79CA"/>
    <w:rPr>
      <w:i/>
      <w:iCs/>
    </w:rPr>
  </w:style>
  <w:style w:type="character" w:styleId="CommentReference">
    <w:name w:val="annotation reference"/>
    <w:basedOn w:val="DefaultParagraphFont"/>
    <w:uiPriority w:val="99"/>
    <w:semiHidden/>
    <w:unhideWhenUsed/>
    <w:rsid w:val="00AE79CA"/>
    <w:rPr>
      <w:sz w:val="16"/>
      <w:szCs w:val="16"/>
    </w:rPr>
  </w:style>
  <w:style w:type="paragraph" w:styleId="ListParagraph">
    <w:name w:val="List Paragraph"/>
    <w:basedOn w:val="Normal"/>
    <w:uiPriority w:val="34"/>
    <w:qFormat/>
    <w:rsid w:val="00AE79CA"/>
    <w:pPr>
      <w:ind w:left="720"/>
      <w:contextualSpacing/>
    </w:pPr>
    <w:rPr>
      <w:noProof/>
      <w:szCs w:val="24"/>
      <w:lang w:val="fr-CA"/>
    </w:rPr>
  </w:style>
  <w:style w:type="character" w:customStyle="1" w:styleId="reflex3-block">
    <w:name w:val="reflex3-block"/>
    <w:basedOn w:val="DefaultParagraphFont"/>
    <w:rsid w:val="00AE79CA"/>
  </w:style>
  <w:style w:type="character" w:styleId="Hyperlink">
    <w:name w:val="Hyperlink"/>
    <w:basedOn w:val="DefaultParagraphFont"/>
    <w:uiPriority w:val="99"/>
    <w:unhideWhenUsed/>
    <w:rsid w:val="00AE79CA"/>
    <w:rPr>
      <w:color w:val="0000FF"/>
      <w:u w:val="single"/>
    </w:rPr>
  </w:style>
  <w:style w:type="paragraph" w:styleId="CommentSubject">
    <w:name w:val="annotation subject"/>
    <w:basedOn w:val="CommentText"/>
    <w:next w:val="CommentText"/>
    <w:link w:val="CommentSubjectChar"/>
    <w:uiPriority w:val="99"/>
    <w:semiHidden/>
    <w:unhideWhenUsed/>
    <w:rsid w:val="00AE79CA"/>
    <w:rPr>
      <w:b/>
      <w:bCs/>
    </w:rPr>
  </w:style>
  <w:style w:type="character" w:customStyle="1" w:styleId="CommentSubjectChar">
    <w:name w:val="Comment Subject Char"/>
    <w:basedOn w:val="CommentTextChar"/>
    <w:link w:val="CommentSubject"/>
    <w:uiPriority w:val="99"/>
    <w:semiHidden/>
    <w:rsid w:val="00AE79CA"/>
    <w:rPr>
      <w:b/>
      <w:bCs/>
      <w:noProof/>
      <w:lang w:val="fr-CA"/>
    </w:rPr>
  </w:style>
  <w:style w:type="character" w:customStyle="1" w:styleId="solexhl">
    <w:name w:val="solexhl"/>
    <w:basedOn w:val="DefaultParagraphFont"/>
    <w:rsid w:val="00AE79CA"/>
  </w:style>
  <w:style w:type="paragraph" w:styleId="BodyText">
    <w:name w:val="Body Text"/>
    <w:basedOn w:val="Normal"/>
    <w:link w:val="BodyTextChar"/>
    <w:uiPriority w:val="99"/>
    <w:semiHidden/>
    <w:unhideWhenUsed/>
    <w:rsid w:val="00AE79CA"/>
    <w:pPr>
      <w:spacing w:before="100" w:beforeAutospacing="1" w:after="100" w:afterAutospacing="1"/>
    </w:pPr>
    <w:rPr>
      <w:noProof/>
      <w:szCs w:val="24"/>
      <w:lang w:val="en-US" w:eastAsia="en-US"/>
    </w:rPr>
  </w:style>
  <w:style w:type="character" w:customStyle="1" w:styleId="BodyTextChar">
    <w:name w:val="Body Text Char"/>
    <w:basedOn w:val="DefaultParagraphFont"/>
    <w:link w:val="BodyText"/>
    <w:uiPriority w:val="99"/>
    <w:semiHidden/>
    <w:rsid w:val="00AE79CA"/>
    <w:rPr>
      <w:noProof/>
      <w:sz w:val="24"/>
      <w:szCs w:val="24"/>
      <w:lang w:val="en-US" w:eastAsia="en-US"/>
    </w:rPr>
  </w:style>
  <w:style w:type="table" w:customStyle="1" w:styleId="TableGrid2">
    <w:name w:val="Table Grid2"/>
    <w:basedOn w:val="TableNormal"/>
    <w:next w:val="TableGrid"/>
    <w:uiPriority w:val="59"/>
    <w:rsid w:val="00AE79CA"/>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scc-csc.ca/cso-dce/2021SCC-CSC31_1_fra.pdf" TargetMode="External"/><Relationship Id="rId4" Type="http://schemas.openxmlformats.org/officeDocument/2006/relationships/settings" Target="settings.xml"/><Relationship Id="rId9" Type="http://schemas.openxmlformats.org/officeDocument/2006/relationships/image" Target="cid:image001.jpg@01D72252.19B69DE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0C167-F59F-4977-8235-C1975C7E6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10378</Words>
  <Characters>52989</Characters>
  <Application>Microsoft Office Word</Application>
  <DocSecurity>0</DocSecurity>
  <Lines>441</Lines>
  <Paragraphs>126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2021-07-28T23:58:00Z</dcterms:created>
  <dcterms:modified xsi:type="dcterms:W3CDTF">2021-11-08T12:55:00Z</dcterms:modified>
</cp:coreProperties>
</file>