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84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2468"/>
        <w:gridCol w:w="1273"/>
        <w:gridCol w:w="1079"/>
        <w:gridCol w:w="3205"/>
      </w:tblGrid>
      <w:tr w:rsidR="009F09DA" w:rsidRPr="009F09DA" w:rsidTr="000264DA">
        <w:trPr>
          <w:trHeight w:val="1786"/>
        </w:trPr>
        <w:tc>
          <w:tcPr>
            <w:tcW w:w="5000" w:type="pct"/>
            <w:gridSpan w:val="4"/>
          </w:tcPr>
          <w:p w:rsidR="009F09DA" w:rsidRPr="009F09DA" w:rsidRDefault="009F09DA" w:rsidP="009F09DA">
            <w:pPr>
              <w:jc w:val="center"/>
              <w:rPr>
                <w:b/>
                <w:lang w:val="fr-CA"/>
              </w:rPr>
            </w:pPr>
            <w:r w:rsidRPr="009F09DA">
              <w:rPr>
                <w:b/>
                <w:noProof/>
              </w:rPr>
              <w:drawing>
                <wp:inline distT="0" distB="0" distL="0" distR="0" wp14:anchorId="4ED0AF00" wp14:editId="36D67A7A">
                  <wp:extent cx="1191895" cy="1638300"/>
                  <wp:effectExtent l="0" t="0" r="8255" b="0"/>
                  <wp:docPr id="3" name="Picture 3"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rsidR="009F09DA" w:rsidRPr="009F09DA" w:rsidRDefault="009F09DA" w:rsidP="009F09DA">
            <w:pPr>
              <w:spacing w:before="120" w:after="100" w:afterAutospacing="1"/>
              <w:jc w:val="center"/>
              <w:rPr>
                <w:lang w:val="fr-CA"/>
              </w:rPr>
            </w:pPr>
            <w:r w:rsidRPr="009F09DA">
              <w:rPr>
                <w:b/>
                <w:lang w:val="fr-CA"/>
              </w:rPr>
              <w:t>COUR SUPRÊME DU CANADA</w:t>
            </w:r>
          </w:p>
        </w:tc>
      </w:tr>
      <w:tr w:rsidR="009F09DA" w:rsidRPr="009F09DA" w:rsidTr="009F09DA">
        <w:tblPrEx>
          <w:tblCellMar>
            <w:top w:w="58" w:type="dxa"/>
            <w:left w:w="58" w:type="dxa"/>
            <w:bottom w:w="58" w:type="dxa"/>
            <w:right w:w="58" w:type="dxa"/>
          </w:tblCellMar>
        </w:tblPrEx>
        <w:trPr>
          <w:cantSplit/>
        </w:trPr>
        <w:tc>
          <w:tcPr>
            <w:tcW w:w="2331" w:type="pct"/>
            <w:gridSpan w:val="2"/>
          </w:tcPr>
          <w:p w:rsidR="009F09DA" w:rsidRPr="009F09DA" w:rsidRDefault="009F09DA" w:rsidP="009F09DA">
            <w:pPr>
              <w:rPr>
                <w:b/>
                <w:smallCaps/>
                <w:lang w:val="fr-CA"/>
              </w:rPr>
            </w:pPr>
          </w:p>
          <w:p w:rsidR="009F09DA" w:rsidRPr="009F09DA" w:rsidRDefault="009F09DA" w:rsidP="009F09DA">
            <w:pPr>
              <w:rPr>
                <w:b/>
                <w:smallCaps/>
                <w:lang w:val="fr-CA"/>
              </w:rPr>
            </w:pPr>
            <w:r w:rsidRPr="009F09DA">
              <w:rPr>
                <w:b/>
                <w:smallCaps/>
                <w:lang w:val="fr-CA"/>
              </w:rPr>
              <w:t>Référence :</w:t>
            </w:r>
            <w:r w:rsidRPr="009F09DA">
              <w:rPr>
                <w:lang w:val="fr-CA"/>
              </w:rPr>
              <w:t xml:space="preserve"> Société Radio-Canada </w:t>
            </w:r>
            <w:r w:rsidRPr="009F09DA">
              <w:rPr>
                <w:i/>
                <w:lang w:val="fr-CA"/>
              </w:rPr>
              <w:t>c</w:t>
            </w:r>
            <w:r w:rsidRPr="009F09DA">
              <w:rPr>
                <w:lang w:val="fr-CA"/>
              </w:rPr>
              <w:t>. Manitoba, 2021 CSC 33</w:t>
            </w:r>
          </w:p>
        </w:tc>
        <w:tc>
          <w:tcPr>
            <w:tcW w:w="672" w:type="pct"/>
          </w:tcPr>
          <w:p w:rsidR="009F09DA" w:rsidRPr="009F09DA" w:rsidRDefault="009F09DA" w:rsidP="009F09DA">
            <w:pPr>
              <w:rPr>
                <w:lang w:val="fr-CA"/>
              </w:rPr>
            </w:pPr>
          </w:p>
        </w:tc>
        <w:tc>
          <w:tcPr>
            <w:tcW w:w="1997" w:type="pct"/>
          </w:tcPr>
          <w:p w:rsidR="009F09DA" w:rsidRPr="009F09DA" w:rsidRDefault="009F09DA" w:rsidP="009F09DA">
            <w:pPr>
              <w:jc w:val="both"/>
              <w:rPr>
                <w:b/>
                <w:smallCaps/>
                <w:lang w:val="fr-CA"/>
              </w:rPr>
            </w:pPr>
          </w:p>
          <w:p w:rsidR="009F09DA" w:rsidRPr="009F09DA" w:rsidRDefault="009F09DA" w:rsidP="009F09DA">
            <w:pPr>
              <w:jc w:val="both"/>
              <w:rPr>
                <w:lang w:val="fr-CA"/>
              </w:rPr>
            </w:pPr>
            <w:r w:rsidRPr="009F09DA">
              <w:rPr>
                <w:b/>
                <w:smallCaps/>
                <w:lang w:val="fr-CA"/>
              </w:rPr>
              <w:t>Appel entendu :</w:t>
            </w:r>
            <w:r w:rsidRPr="009F09DA">
              <w:rPr>
                <w:lang w:val="fr-CA"/>
              </w:rPr>
              <w:t xml:space="preserve"> 17 mars 2021</w:t>
            </w:r>
          </w:p>
          <w:p w:rsidR="009F09DA" w:rsidRPr="009F09DA" w:rsidRDefault="009F09DA" w:rsidP="009F09DA">
            <w:pPr>
              <w:rPr>
                <w:lang w:val="fr-CA"/>
              </w:rPr>
            </w:pPr>
            <w:r w:rsidRPr="009F09DA">
              <w:rPr>
                <w:b/>
                <w:smallCaps/>
                <w:lang w:val="fr-CA"/>
              </w:rPr>
              <w:t>Jugement rendu :</w:t>
            </w:r>
            <w:r w:rsidRPr="009F09DA">
              <w:rPr>
                <w:lang w:val="fr-CA"/>
              </w:rPr>
              <w:t xml:space="preserve"> 24 septembre 2021</w:t>
            </w:r>
          </w:p>
          <w:p w:rsidR="009F09DA" w:rsidRPr="009F09DA" w:rsidRDefault="009F09DA" w:rsidP="009F09DA">
            <w:pPr>
              <w:rPr>
                <w:lang w:val="fr-CA"/>
              </w:rPr>
            </w:pPr>
            <w:r w:rsidRPr="009F09DA">
              <w:rPr>
                <w:b/>
                <w:smallCaps/>
                <w:lang w:val="fr-CA"/>
              </w:rPr>
              <w:t>Dossier :</w:t>
            </w:r>
            <w:r w:rsidRPr="009F09DA">
              <w:rPr>
                <w:lang w:val="fr-CA"/>
              </w:rPr>
              <w:t xml:space="preserve"> 38992</w:t>
            </w:r>
          </w:p>
        </w:tc>
      </w:tr>
      <w:tr w:rsidR="009F09DA" w:rsidRPr="009F09DA" w:rsidTr="000264DA">
        <w:tblPrEx>
          <w:tblCellMar>
            <w:top w:w="58" w:type="dxa"/>
            <w:left w:w="58" w:type="dxa"/>
            <w:bottom w:w="58" w:type="dxa"/>
            <w:right w:w="58" w:type="dxa"/>
          </w:tblCellMar>
        </w:tblPrEx>
        <w:trPr>
          <w:cantSplit/>
        </w:trPr>
        <w:tc>
          <w:tcPr>
            <w:tcW w:w="5000" w:type="pct"/>
            <w:gridSpan w:val="4"/>
          </w:tcPr>
          <w:p w:rsidR="009F09DA" w:rsidRPr="009F09DA" w:rsidRDefault="009F09DA" w:rsidP="009F09DA">
            <w:pPr>
              <w:rPr>
                <w:lang w:val="fr-CA"/>
              </w:rPr>
            </w:pPr>
          </w:p>
          <w:p w:rsidR="009F09DA" w:rsidRPr="009F09DA" w:rsidRDefault="009F09DA" w:rsidP="009F09DA">
            <w:pPr>
              <w:rPr>
                <w:b/>
                <w:smallCaps/>
                <w:lang w:val="fr-CA"/>
              </w:rPr>
            </w:pPr>
            <w:r w:rsidRPr="009F09DA">
              <w:rPr>
                <w:b/>
                <w:smallCaps/>
                <w:lang w:val="fr-CA"/>
              </w:rPr>
              <w:t>Entre :</w:t>
            </w:r>
          </w:p>
          <w:p w:rsidR="009F09DA" w:rsidRPr="009F09DA" w:rsidRDefault="009F09DA" w:rsidP="009F09DA">
            <w:pPr>
              <w:jc w:val="center"/>
              <w:rPr>
                <w:b/>
                <w:lang w:val="fr-CA"/>
              </w:rPr>
            </w:pPr>
            <w:r w:rsidRPr="009F09DA">
              <w:rPr>
                <w:b/>
                <w:lang w:val="fr-CA"/>
              </w:rPr>
              <w:t>Société Radio-Canada</w:t>
            </w:r>
          </w:p>
          <w:p w:rsidR="009F09DA" w:rsidRPr="009F09DA" w:rsidRDefault="009F09DA" w:rsidP="009F09DA">
            <w:pPr>
              <w:jc w:val="center"/>
              <w:rPr>
                <w:lang w:val="fr-CA"/>
              </w:rPr>
            </w:pPr>
            <w:r w:rsidRPr="009F09DA">
              <w:rPr>
                <w:lang w:val="fr-CA"/>
              </w:rPr>
              <w:t>Appelante</w:t>
            </w:r>
          </w:p>
          <w:p w:rsidR="009F09DA" w:rsidRPr="009F09DA" w:rsidRDefault="009F09DA" w:rsidP="009F09DA">
            <w:pPr>
              <w:rPr>
                <w:lang w:val="fr-CA"/>
              </w:rPr>
            </w:pPr>
          </w:p>
          <w:p w:rsidR="009F09DA" w:rsidRPr="009F09DA" w:rsidRDefault="009F09DA" w:rsidP="009F09DA">
            <w:pPr>
              <w:jc w:val="center"/>
              <w:rPr>
                <w:lang w:val="fr-CA"/>
              </w:rPr>
            </w:pPr>
            <w:r w:rsidRPr="009F09DA">
              <w:rPr>
                <w:lang w:val="fr-CA"/>
              </w:rPr>
              <w:t>et</w:t>
            </w:r>
          </w:p>
          <w:p w:rsidR="009F09DA" w:rsidRPr="009F09DA" w:rsidRDefault="009F09DA" w:rsidP="009F09DA">
            <w:pPr>
              <w:rPr>
                <w:lang w:val="fr-CA"/>
              </w:rPr>
            </w:pPr>
          </w:p>
          <w:p w:rsidR="009F09DA" w:rsidRPr="009F09DA" w:rsidRDefault="009F09DA" w:rsidP="009F09DA">
            <w:pPr>
              <w:jc w:val="center"/>
              <w:rPr>
                <w:b/>
                <w:lang w:val="fr-CA"/>
              </w:rPr>
            </w:pPr>
            <w:r w:rsidRPr="009F09DA">
              <w:rPr>
                <w:b/>
                <w:lang w:val="fr-CA"/>
              </w:rPr>
              <w:t xml:space="preserve">Sa Majesté la Reine, Stanley Frank Ostrowski, B.B., conjointe de feu M.D., et </w:t>
            </w:r>
          </w:p>
          <w:p w:rsidR="009F09DA" w:rsidRPr="009F09DA" w:rsidRDefault="009F09DA" w:rsidP="009F09DA">
            <w:pPr>
              <w:jc w:val="center"/>
              <w:rPr>
                <w:b/>
                <w:lang w:val="fr-CA"/>
              </w:rPr>
            </w:pPr>
            <w:r w:rsidRPr="009F09DA">
              <w:rPr>
                <w:b/>
                <w:lang w:val="fr-CA"/>
              </w:rPr>
              <w:t>J.D., en sa qualité d’exécuteur de la succession de feu M.D.</w:t>
            </w:r>
          </w:p>
          <w:p w:rsidR="009F09DA" w:rsidRPr="009F09DA" w:rsidRDefault="009F09DA" w:rsidP="009F09DA">
            <w:pPr>
              <w:jc w:val="center"/>
              <w:rPr>
                <w:lang w:val="fr-CA"/>
              </w:rPr>
            </w:pPr>
            <w:r w:rsidRPr="009F09DA">
              <w:rPr>
                <w:lang w:val="fr-CA"/>
              </w:rPr>
              <w:t>Intimés</w:t>
            </w:r>
          </w:p>
          <w:p w:rsidR="009F09DA" w:rsidRPr="009F09DA" w:rsidRDefault="009F09DA" w:rsidP="009F09DA">
            <w:pPr>
              <w:jc w:val="center"/>
              <w:rPr>
                <w:lang w:val="fr-CA"/>
              </w:rPr>
            </w:pPr>
          </w:p>
          <w:p w:rsidR="009F09DA" w:rsidRPr="009F09DA" w:rsidRDefault="009F09DA" w:rsidP="009F09DA">
            <w:pPr>
              <w:jc w:val="center"/>
              <w:rPr>
                <w:lang w:val="fr-CA"/>
              </w:rPr>
            </w:pPr>
            <w:r w:rsidRPr="009F09DA">
              <w:rPr>
                <w:lang w:val="fr-CA"/>
              </w:rPr>
              <w:t>- et -</w:t>
            </w:r>
          </w:p>
          <w:p w:rsidR="009F09DA" w:rsidRPr="009F09DA" w:rsidRDefault="009F09DA" w:rsidP="009F09DA">
            <w:pPr>
              <w:jc w:val="center"/>
              <w:rPr>
                <w:lang w:val="fr-CA"/>
              </w:rPr>
            </w:pPr>
          </w:p>
          <w:p w:rsidR="009F09DA" w:rsidRPr="009F09DA" w:rsidRDefault="009F09DA" w:rsidP="009F09DA">
            <w:pPr>
              <w:jc w:val="center"/>
              <w:rPr>
                <w:b/>
                <w:lang w:val="fr-CA"/>
              </w:rPr>
            </w:pPr>
            <w:r w:rsidRPr="009F09DA">
              <w:rPr>
                <w:b/>
                <w:lang w:val="fr-CA"/>
              </w:rPr>
              <w:t>Procureur général de l’Ontario, procureur général de la Colombie-Britannique, Centre for Free Expression, Association canadienne des journalistes, Médias d’Info Canada, Guilde canadienne des médias/Syndicat des communications d’Amérique/Canada et Ad Idem/Canadian Media Lawyers Association</w:t>
            </w:r>
          </w:p>
          <w:p w:rsidR="009F09DA" w:rsidRPr="009F09DA" w:rsidRDefault="009F09DA" w:rsidP="009F09DA">
            <w:pPr>
              <w:jc w:val="center"/>
              <w:rPr>
                <w:lang w:val="fr-CA"/>
              </w:rPr>
            </w:pPr>
            <w:r w:rsidRPr="009F09DA">
              <w:rPr>
                <w:lang w:val="fr-CA"/>
              </w:rPr>
              <w:t>Intervenants</w:t>
            </w:r>
          </w:p>
          <w:p w:rsidR="009F09DA" w:rsidRPr="009F09DA" w:rsidRDefault="009F09DA" w:rsidP="009F09DA">
            <w:pPr>
              <w:rPr>
                <w:lang w:val="fr-CA"/>
              </w:rPr>
            </w:pPr>
          </w:p>
          <w:p w:rsidR="009F09DA" w:rsidRPr="009F09DA" w:rsidRDefault="009F09DA" w:rsidP="009F09DA">
            <w:pPr>
              <w:jc w:val="center"/>
              <w:rPr>
                <w:b/>
                <w:smallCaps/>
                <w:lang w:val="fr-CA"/>
              </w:rPr>
            </w:pPr>
            <w:r w:rsidRPr="009F09DA">
              <w:rPr>
                <w:b/>
                <w:smallCaps/>
                <w:lang w:val="fr-CA"/>
              </w:rPr>
              <w:t>Traduction française officielle</w:t>
            </w:r>
          </w:p>
          <w:p w:rsidR="009F09DA" w:rsidRPr="009F09DA" w:rsidRDefault="009F09DA" w:rsidP="009F09DA">
            <w:pPr>
              <w:rPr>
                <w:lang w:val="fr-CA"/>
              </w:rPr>
            </w:pPr>
          </w:p>
          <w:p w:rsidR="009F09DA" w:rsidRPr="009F09DA" w:rsidRDefault="009F09DA" w:rsidP="009F09DA">
            <w:pPr>
              <w:rPr>
                <w:lang w:val="fr-CA"/>
              </w:rPr>
            </w:pPr>
            <w:r w:rsidRPr="009F09DA">
              <w:rPr>
                <w:b/>
                <w:smallCaps/>
                <w:lang w:val="fr-CA"/>
              </w:rPr>
              <w:t>Coram :</w:t>
            </w:r>
            <w:r w:rsidRPr="009F09DA">
              <w:rPr>
                <w:lang w:val="fr-CA"/>
              </w:rPr>
              <w:t xml:space="preserve"> Le juge en chef Wagner et les juges Abella, Moldaver, Karakatsanis, Côté, Brown, Rowe, Martin et Kasirer</w:t>
            </w:r>
          </w:p>
          <w:p w:rsidR="009F09DA" w:rsidRPr="009F09DA" w:rsidRDefault="009F09DA" w:rsidP="009F09DA">
            <w:pPr>
              <w:jc w:val="both"/>
              <w:rPr>
                <w:b/>
                <w:smallCaps/>
                <w:lang w:val="fr-CA"/>
              </w:rPr>
            </w:pPr>
          </w:p>
        </w:tc>
      </w:tr>
      <w:tr w:rsidR="009F09DA" w:rsidRPr="009F09DA" w:rsidTr="000264DA">
        <w:tblPrEx>
          <w:tblCellMar>
            <w:top w:w="58" w:type="dxa"/>
            <w:left w:w="58" w:type="dxa"/>
            <w:bottom w:w="58" w:type="dxa"/>
            <w:right w:w="58" w:type="dxa"/>
          </w:tblCellMar>
        </w:tblPrEx>
        <w:trPr>
          <w:cantSplit/>
        </w:trPr>
        <w:tc>
          <w:tcPr>
            <w:tcW w:w="1538" w:type="pct"/>
          </w:tcPr>
          <w:p w:rsidR="009F09DA" w:rsidRPr="009F09DA" w:rsidRDefault="009F09DA" w:rsidP="009F09DA">
            <w:pPr>
              <w:rPr>
                <w:b/>
                <w:smallCaps/>
                <w:lang w:val="fr-CA"/>
              </w:rPr>
            </w:pPr>
            <w:r w:rsidRPr="009F09DA">
              <w:rPr>
                <w:b/>
                <w:smallCaps/>
                <w:lang w:val="fr-CA"/>
              </w:rPr>
              <w:t>Motifs de jugement :</w:t>
            </w:r>
          </w:p>
          <w:p w:rsidR="009F09DA" w:rsidRPr="009F09DA" w:rsidRDefault="009F09DA" w:rsidP="009F09DA">
            <w:pPr>
              <w:rPr>
                <w:smallCaps/>
                <w:lang w:val="fr-CA"/>
              </w:rPr>
            </w:pPr>
            <w:r w:rsidRPr="009F09DA">
              <w:rPr>
                <w:lang w:val="fr-CA"/>
              </w:rPr>
              <w:t>(par. 1 à 107)</w:t>
            </w:r>
          </w:p>
        </w:tc>
        <w:tc>
          <w:tcPr>
            <w:tcW w:w="3462" w:type="pct"/>
            <w:gridSpan w:val="3"/>
          </w:tcPr>
          <w:p w:rsidR="009F09DA" w:rsidRPr="009F09DA" w:rsidRDefault="009F09DA" w:rsidP="009F09DA">
            <w:pPr>
              <w:rPr>
                <w:lang w:val="fr-CA"/>
              </w:rPr>
            </w:pPr>
            <w:r w:rsidRPr="009F09DA">
              <w:rPr>
                <w:lang w:val="fr-CA"/>
              </w:rPr>
              <w:t>Le juge Kasirer (avec l’accord du juge en chef Wagner et des juges Moldaver, Karakatsanis, Côté, Brown, Rowe et Martin)</w:t>
            </w:r>
          </w:p>
        </w:tc>
      </w:tr>
      <w:tr w:rsidR="009F09DA" w:rsidRPr="009F09DA" w:rsidTr="000264DA">
        <w:tblPrEx>
          <w:tblCellMar>
            <w:top w:w="58" w:type="dxa"/>
            <w:left w:w="58" w:type="dxa"/>
            <w:bottom w:w="58" w:type="dxa"/>
            <w:right w:w="58" w:type="dxa"/>
          </w:tblCellMar>
        </w:tblPrEx>
        <w:trPr>
          <w:cantSplit/>
        </w:trPr>
        <w:tc>
          <w:tcPr>
            <w:tcW w:w="1538" w:type="pct"/>
          </w:tcPr>
          <w:p w:rsidR="009F09DA" w:rsidRPr="009F09DA" w:rsidRDefault="009F09DA" w:rsidP="009F09DA">
            <w:pPr>
              <w:rPr>
                <w:b/>
                <w:lang w:val="fr-CA"/>
              </w:rPr>
            </w:pPr>
            <w:r w:rsidRPr="009F09DA">
              <w:rPr>
                <w:b/>
                <w:smallCaps/>
                <w:lang w:val="fr-CA"/>
              </w:rPr>
              <w:t>Motifs dissidents </w:t>
            </w:r>
            <w:r w:rsidRPr="009F09DA">
              <w:rPr>
                <w:b/>
                <w:lang w:val="fr-CA"/>
              </w:rPr>
              <w:t>:</w:t>
            </w:r>
          </w:p>
          <w:p w:rsidR="009F09DA" w:rsidRPr="009F09DA" w:rsidRDefault="009F09DA" w:rsidP="009F09DA">
            <w:pPr>
              <w:rPr>
                <w:lang w:val="fr-CA"/>
              </w:rPr>
            </w:pPr>
            <w:r w:rsidRPr="009F09DA">
              <w:rPr>
                <w:lang w:val="fr-CA"/>
              </w:rPr>
              <w:t>(par. 108 à 131)</w:t>
            </w:r>
          </w:p>
        </w:tc>
        <w:tc>
          <w:tcPr>
            <w:tcW w:w="3462" w:type="pct"/>
            <w:gridSpan w:val="3"/>
          </w:tcPr>
          <w:p w:rsidR="009F09DA" w:rsidRPr="009F09DA" w:rsidRDefault="009F09DA" w:rsidP="009F09DA">
            <w:pPr>
              <w:rPr>
                <w:lang w:val="fr-CA"/>
              </w:rPr>
            </w:pPr>
            <w:r w:rsidRPr="009F09DA">
              <w:rPr>
                <w:lang w:val="fr-CA"/>
              </w:rPr>
              <w:t>La juge Abella</w:t>
            </w:r>
          </w:p>
        </w:tc>
      </w:tr>
    </w:tbl>
    <w:p w:rsidR="009F09DA" w:rsidRPr="009F09DA" w:rsidRDefault="009F09DA" w:rsidP="009F09DA">
      <w:pPr>
        <w:rPr>
          <w:rFonts w:eastAsiaTheme="minorHAnsi" w:cstheme="minorBidi"/>
          <w:szCs w:val="24"/>
          <w:lang w:val="fr-CA" w:eastAsia="en-US"/>
        </w:rPr>
      </w:pPr>
    </w:p>
    <w:p w:rsidR="009F09DA" w:rsidRPr="009F09DA" w:rsidRDefault="009F09DA" w:rsidP="009F09DA">
      <w:pPr>
        <w:rPr>
          <w:rFonts w:eastAsiaTheme="minorHAnsi" w:cstheme="minorBidi"/>
          <w:szCs w:val="24"/>
          <w:lang w:val="fr-CA" w:eastAsia="en-US"/>
        </w:rPr>
      </w:pPr>
    </w:p>
    <w:p w:rsidR="009F09DA" w:rsidRPr="009F09DA" w:rsidRDefault="009F09DA" w:rsidP="009F09DA">
      <w:pPr>
        <w:rPr>
          <w:rFonts w:eastAsiaTheme="minorHAnsi" w:cstheme="minorBidi"/>
          <w:szCs w:val="24"/>
          <w:lang w:val="fr-CA" w:eastAsia="en-US"/>
        </w:rPr>
      </w:pPr>
    </w:p>
    <w:p w:rsidR="009F09DA" w:rsidRPr="009F09DA" w:rsidRDefault="009F09DA" w:rsidP="009F09DA">
      <w:pPr>
        <w:rPr>
          <w:rFonts w:eastAsiaTheme="minorHAnsi" w:cstheme="minorBidi"/>
          <w:szCs w:val="24"/>
          <w:lang w:val="fr-CA" w:eastAsia="en-US"/>
        </w:rPr>
      </w:pPr>
      <w:r w:rsidRPr="009F09DA">
        <w:rPr>
          <w:rFonts w:eastAsiaTheme="minorHAnsi" w:cstheme="minorBidi"/>
          <w:b/>
          <w:smallCaps/>
          <w:szCs w:val="24"/>
          <w:lang w:val="fr-CA" w:eastAsia="en-US"/>
        </w:rPr>
        <w:t>Note :</w:t>
      </w:r>
      <w:r w:rsidRPr="009F09DA">
        <w:rPr>
          <w:rFonts w:eastAsiaTheme="minorHAnsi" w:cstheme="minorBidi"/>
          <w:b/>
          <w:szCs w:val="24"/>
          <w:lang w:val="fr-CA" w:eastAsia="en-US"/>
        </w:rPr>
        <w:t xml:space="preserve"> </w:t>
      </w:r>
      <w:r w:rsidRPr="009F09DA">
        <w:rPr>
          <w:rFonts w:eastAsiaTheme="minorHAnsi" w:cstheme="minorBidi"/>
          <w:szCs w:val="24"/>
          <w:lang w:val="fr-CA" w:eastAsia="en-US"/>
        </w:rPr>
        <w:t xml:space="preserve">Ce document fera l’objet de retouches de forme avant la parution de sa version définitive dans le </w:t>
      </w:r>
      <w:r w:rsidRPr="009F09DA">
        <w:rPr>
          <w:rFonts w:eastAsiaTheme="minorHAnsi" w:cstheme="minorBidi"/>
          <w:i/>
          <w:szCs w:val="24"/>
          <w:lang w:val="fr-CA" w:eastAsia="en-US"/>
        </w:rPr>
        <w:t>Recueil des arrêts de la Cour suprême du Canada</w:t>
      </w:r>
      <w:r w:rsidRPr="009F09DA">
        <w:rPr>
          <w:rFonts w:eastAsiaTheme="minorHAnsi" w:cstheme="minorBidi"/>
          <w:szCs w:val="24"/>
          <w:lang w:val="fr-CA" w:eastAsia="en-US"/>
        </w:rPr>
        <w:t>.</w:t>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3312"/>
        <w:gridCol w:w="2484"/>
      </w:tblGrid>
      <w:tr w:rsidR="009F09DA" w:rsidRPr="009F09DA" w:rsidTr="000264DA">
        <w:tc>
          <w:tcPr>
            <w:tcW w:w="1500" w:type="pct"/>
            <w:tcMar>
              <w:top w:w="284" w:type="dxa"/>
            </w:tcMar>
          </w:tcPr>
          <w:p w:rsidR="009F09DA" w:rsidRPr="009F09DA" w:rsidRDefault="009F09DA" w:rsidP="009F09DA">
            <w:pPr>
              <w:rPr>
                <w:lang w:val="fr-CA"/>
              </w:rPr>
            </w:pPr>
          </w:p>
        </w:tc>
        <w:tc>
          <w:tcPr>
            <w:tcW w:w="2000" w:type="pct"/>
            <w:tcBorders>
              <w:bottom w:val="single" w:sz="4" w:space="0" w:color="auto"/>
            </w:tcBorders>
            <w:tcMar>
              <w:top w:w="284" w:type="dxa"/>
            </w:tcMar>
          </w:tcPr>
          <w:p w:rsidR="009F09DA" w:rsidRPr="009F09DA" w:rsidRDefault="009F09DA" w:rsidP="009F09DA">
            <w:pPr>
              <w:rPr>
                <w:lang w:val="fr-CA"/>
              </w:rPr>
            </w:pPr>
          </w:p>
        </w:tc>
        <w:tc>
          <w:tcPr>
            <w:tcW w:w="1500" w:type="pct"/>
            <w:tcMar>
              <w:top w:w="284" w:type="dxa"/>
            </w:tcMar>
          </w:tcPr>
          <w:p w:rsidR="009F09DA" w:rsidRPr="009F09DA" w:rsidRDefault="009F09DA" w:rsidP="009F09DA">
            <w:pPr>
              <w:rPr>
                <w:lang w:val="fr-CA"/>
              </w:rPr>
            </w:pPr>
          </w:p>
        </w:tc>
      </w:tr>
    </w:tbl>
    <w:p w:rsidR="009F09DA" w:rsidRPr="009F09DA" w:rsidRDefault="009F09DA" w:rsidP="009F09DA">
      <w:pPr>
        <w:rPr>
          <w:rFonts w:eastAsiaTheme="minorHAnsi" w:cstheme="minorBidi"/>
          <w:szCs w:val="24"/>
          <w:lang w:val="fr-CA" w:eastAsia="en-US"/>
        </w:rPr>
      </w:pPr>
    </w:p>
    <w:p w:rsidR="009F09DA" w:rsidRDefault="009F09DA">
      <w:pPr>
        <w:rPr>
          <w:b/>
          <w:lang w:val="fr-CA"/>
        </w:rPr>
      </w:pPr>
      <w:r>
        <w:rPr>
          <w:lang w:val="fr-CA"/>
        </w:rPr>
        <w:br w:type="page"/>
      </w:r>
    </w:p>
    <w:p w:rsidR="00CC79D5" w:rsidRDefault="00EE666A">
      <w:pPr>
        <w:pStyle w:val="SCCLsocLastPartyInRole"/>
        <w:rPr>
          <w:lang w:val="fr-CA"/>
        </w:rPr>
      </w:pPr>
      <w:r>
        <w:rPr>
          <w:lang w:val="fr-CA"/>
        </w:rPr>
        <w:t>Société Radio</w:t>
      </w:r>
      <w:r>
        <w:rPr>
          <w:lang w:val="fr-CA"/>
        </w:rPr>
        <w:noBreakHyphen/>
        <w:t>Canada</w:t>
      </w:r>
      <w:r>
        <w:rPr>
          <w:rStyle w:val="SCCLsocPartyRole"/>
          <w:lang w:val="fr-CA"/>
        </w:rPr>
        <w:tab/>
        <w:t>Appelante</w:t>
      </w:r>
    </w:p>
    <w:p w:rsidR="00CC79D5" w:rsidRDefault="00EE666A">
      <w:pPr>
        <w:pStyle w:val="SCCLsocVersus"/>
        <w:rPr>
          <w:lang w:val="fr-CA"/>
        </w:rPr>
      </w:pPr>
      <w:proofErr w:type="gramStart"/>
      <w:r>
        <w:rPr>
          <w:lang w:val="fr-CA"/>
        </w:rPr>
        <w:t>c</w:t>
      </w:r>
      <w:proofErr w:type="gramEnd"/>
      <w:r>
        <w:rPr>
          <w:lang w:val="fr-CA"/>
        </w:rPr>
        <w:t>.</w:t>
      </w:r>
    </w:p>
    <w:p w:rsidR="00CC79D5" w:rsidRDefault="00EE666A">
      <w:pPr>
        <w:pStyle w:val="SCCLsocParty"/>
        <w:rPr>
          <w:lang w:val="fr-CA"/>
        </w:rPr>
      </w:pPr>
      <w:r>
        <w:rPr>
          <w:lang w:val="fr-CA"/>
        </w:rPr>
        <w:t>Sa Majesté la Reine,</w:t>
      </w:r>
    </w:p>
    <w:p w:rsidR="00CC79D5" w:rsidRDefault="00EE666A">
      <w:pPr>
        <w:pStyle w:val="SCCLsocParty"/>
        <w:rPr>
          <w:lang w:val="fr-CA"/>
        </w:rPr>
      </w:pPr>
      <w:r>
        <w:rPr>
          <w:lang w:val="fr-CA"/>
        </w:rPr>
        <w:t>Stanley Frank Ostrowski,</w:t>
      </w:r>
    </w:p>
    <w:p w:rsidR="00CC79D5" w:rsidRDefault="00EE666A">
      <w:pPr>
        <w:pStyle w:val="SCCLsocLastPartyInRole"/>
        <w:spacing w:after="0"/>
        <w:rPr>
          <w:lang w:val="fr-CA"/>
        </w:rPr>
      </w:pPr>
      <w:r>
        <w:rPr>
          <w:lang w:val="fr-CA"/>
        </w:rPr>
        <w:t xml:space="preserve">B.B., conjointe de feu M.D., et </w:t>
      </w:r>
    </w:p>
    <w:p w:rsidR="00CC79D5" w:rsidRDefault="00EE666A">
      <w:pPr>
        <w:pStyle w:val="SCCLsocLastPartyInRole"/>
        <w:rPr>
          <w:lang w:val="fr-CA"/>
        </w:rPr>
      </w:pPr>
      <w:r>
        <w:rPr>
          <w:lang w:val="fr-CA"/>
        </w:rPr>
        <w:t>J.D., en sa qualité d’exécuteur de la succession de feu M.D.</w:t>
      </w:r>
      <w:r>
        <w:rPr>
          <w:rStyle w:val="SCCLsocPartyRole"/>
          <w:lang w:val="fr-CA"/>
        </w:rPr>
        <w:tab/>
        <w:t>Intimés</w:t>
      </w:r>
    </w:p>
    <w:p w:rsidR="00CC79D5" w:rsidRDefault="00EE666A">
      <w:pPr>
        <w:pStyle w:val="SCCLsocOtherPartySeparator"/>
        <w:rPr>
          <w:lang w:val="fr-CA"/>
        </w:rPr>
      </w:pPr>
      <w:proofErr w:type="gramStart"/>
      <w:r>
        <w:rPr>
          <w:lang w:val="fr-CA"/>
        </w:rPr>
        <w:t>et</w:t>
      </w:r>
      <w:proofErr w:type="gramEnd"/>
    </w:p>
    <w:p w:rsidR="00CC79D5" w:rsidRDefault="00EE666A">
      <w:pPr>
        <w:pStyle w:val="SCCLsocParty"/>
        <w:rPr>
          <w:lang w:val="fr-CA"/>
        </w:rPr>
      </w:pPr>
      <w:r>
        <w:rPr>
          <w:lang w:val="fr-CA"/>
        </w:rPr>
        <w:t>Procureur général de l’Ontario,</w:t>
      </w:r>
    </w:p>
    <w:p w:rsidR="00CC79D5" w:rsidRDefault="00EE666A">
      <w:pPr>
        <w:pStyle w:val="SCCLsocParty"/>
        <w:rPr>
          <w:lang w:val="fr-CA"/>
        </w:rPr>
      </w:pPr>
      <w:proofErr w:type="gramStart"/>
      <w:r>
        <w:rPr>
          <w:lang w:val="fr-CA"/>
        </w:rPr>
        <w:t>procureur</w:t>
      </w:r>
      <w:proofErr w:type="gramEnd"/>
      <w:r>
        <w:rPr>
          <w:lang w:val="fr-CA"/>
        </w:rPr>
        <w:t xml:space="preserve"> général de la Colombie</w:t>
      </w:r>
      <w:r>
        <w:rPr>
          <w:lang w:val="fr-CA"/>
        </w:rPr>
        <w:noBreakHyphen/>
        <w:t>Britannique,</w:t>
      </w:r>
    </w:p>
    <w:p w:rsidR="00CC79D5" w:rsidRDefault="00EE666A">
      <w:pPr>
        <w:pStyle w:val="SCCLsocParty"/>
        <w:rPr>
          <w:lang w:val="fr-CA"/>
        </w:rPr>
      </w:pPr>
      <w:r>
        <w:rPr>
          <w:lang w:val="fr-CA"/>
        </w:rPr>
        <w:t>Centre for Free Expression,</w:t>
      </w:r>
    </w:p>
    <w:p w:rsidR="00CC79D5" w:rsidRDefault="00EE666A">
      <w:pPr>
        <w:pStyle w:val="SCCLsocParty"/>
        <w:rPr>
          <w:lang w:val="fr-CA"/>
        </w:rPr>
      </w:pPr>
      <w:r>
        <w:rPr>
          <w:lang w:val="fr-CA"/>
        </w:rPr>
        <w:t xml:space="preserve">Association canadienne des journalistes, </w:t>
      </w:r>
    </w:p>
    <w:p w:rsidR="00CC79D5" w:rsidRDefault="00EE666A">
      <w:pPr>
        <w:pStyle w:val="SCCLsocParty"/>
        <w:rPr>
          <w:lang w:val="fr-CA"/>
        </w:rPr>
      </w:pPr>
      <w:r>
        <w:rPr>
          <w:lang w:val="fr-CA"/>
        </w:rPr>
        <w:t>Médias d’Info Canada,</w:t>
      </w:r>
    </w:p>
    <w:p w:rsidR="00CC79D5" w:rsidRDefault="00EE666A">
      <w:pPr>
        <w:pStyle w:val="SCCLsocParty"/>
        <w:rPr>
          <w:lang w:val="fr-CA"/>
        </w:rPr>
      </w:pPr>
      <w:r>
        <w:rPr>
          <w:lang w:val="fr-CA"/>
        </w:rPr>
        <w:t xml:space="preserve">Guilde canadienne des médias/Syndicat des </w:t>
      </w:r>
    </w:p>
    <w:p w:rsidR="00CC79D5" w:rsidRDefault="00EE666A">
      <w:pPr>
        <w:pStyle w:val="SCCLsocParty"/>
        <w:rPr>
          <w:lang w:val="fr-CA"/>
        </w:rPr>
      </w:pPr>
      <w:proofErr w:type="gramStart"/>
      <w:r>
        <w:rPr>
          <w:lang w:val="fr-CA"/>
        </w:rPr>
        <w:t>communications</w:t>
      </w:r>
      <w:proofErr w:type="gramEnd"/>
      <w:r>
        <w:rPr>
          <w:lang w:val="fr-CA"/>
        </w:rPr>
        <w:t xml:space="preserve"> d’Amérique/Canada et</w:t>
      </w:r>
    </w:p>
    <w:p w:rsidR="00CC79D5" w:rsidRDefault="00EE666A">
      <w:pPr>
        <w:pStyle w:val="SCCLsocLastPartyInRole"/>
        <w:rPr>
          <w:lang w:val="fr-CA"/>
        </w:rPr>
      </w:pPr>
      <w:r>
        <w:rPr>
          <w:lang w:val="fr-CA"/>
        </w:rPr>
        <w:t>Ad Idem/Canadian Media Lawyers Association</w:t>
      </w:r>
      <w:r>
        <w:rPr>
          <w:rStyle w:val="SCCLsocPartyRole"/>
          <w:lang w:val="fr-CA"/>
        </w:rPr>
        <w:tab/>
        <w:t>Intervenants</w:t>
      </w:r>
    </w:p>
    <w:p w:rsidR="00CC79D5" w:rsidRDefault="00EE666A">
      <w:pPr>
        <w:spacing w:after="720"/>
        <w:jc w:val="both"/>
        <w:rPr>
          <w:b/>
          <w:lang w:val="fr-CA"/>
        </w:rPr>
      </w:pPr>
      <w:r>
        <w:rPr>
          <w:b/>
          <w:lang w:val="fr-CA"/>
        </w:rPr>
        <w:t xml:space="preserve">Répertorié : </w:t>
      </w:r>
      <w:r>
        <w:rPr>
          <w:rStyle w:val="SCCAppellantForIndexChar"/>
          <w:lang w:val="fr-CA"/>
        </w:rPr>
        <w:t>Société Radio</w:t>
      </w:r>
      <w:r>
        <w:rPr>
          <w:rStyle w:val="SCCAppellantForIndexChar"/>
          <w:lang w:val="fr-CA"/>
        </w:rPr>
        <w:noBreakHyphen/>
        <w:t xml:space="preserve">Canada </w:t>
      </w:r>
      <w:r>
        <w:rPr>
          <w:rStyle w:val="SCCAppellantForIndexChar"/>
          <w:i/>
          <w:lang w:val="fr-CA"/>
        </w:rPr>
        <w:t>c.</w:t>
      </w:r>
      <w:r>
        <w:rPr>
          <w:rStyle w:val="SCCAppellantForIndexChar"/>
          <w:lang w:val="fr-CA"/>
        </w:rPr>
        <w:t xml:space="preserve"> Manitoba</w:t>
      </w:r>
    </w:p>
    <w:p w:rsidR="00CC79D5" w:rsidRDefault="00EE666A">
      <w:pPr>
        <w:pStyle w:val="SCCSystemYear"/>
        <w:spacing w:after="720"/>
        <w:jc w:val="both"/>
        <w:rPr>
          <w:lang w:val="fr-CA"/>
        </w:rPr>
      </w:pPr>
      <w:r>
        <w:rPr>
          <w:lang w:val="fr-CA"/>
        </w:rPr>
        <w:t>2021 CSC 33</w:t>
      </w:r>
    </w:p>
    <w:p w:rsidR="00CC79D5" w:rsidRDefault="00EE666A">
      <w:pPr>
        <w:spacing w:after="720"/>
        <w:jc w:val="both"/>
        <w:rPr>
          <w:lang w:val="fr-CA"/>
        </w:rPr>
      </w:pPr>
      <w:r>
        <w:rPr>
          <w:lang w:val="fr-CA"/>
        </w:rPr>
        <w:t>N</w:t>
      </w:r>
      <w:r>
        <w:rPr>
          <w:vertAlign w:val="superscript"/>
          <w:lang w:val="fr-CA"/>
        </w:rPr>
        <w:t>o</w:t>
      </w:r>
      <w:r>
        <w:rPr>
          <w:lang w:val="fr-CA"/>
        </w:rPr>
        <w:t xml:space="preserve"> du greffe : 38992.</w:t>
      </w:r>
    </w:p>
    <w:p w:rsidR="00CC79D5" w:rsidRDefault="00EE666A">
      <w:pPr>
        <w:spacing w:after="720"/>
        <w:jc w:val="both"/>
        <w:rPr>
          <w:lang w:val="fr-CA"/>
        </w:rPr>
      </w:pPr>
      <w:r>
        <w:rPr>
          <w:lang w:val="fr-CA"/>
        </w:rPr>
        <w:t>2021 : 17 mars; 2021 : 24 septembre.</w:t>
      </w:r>
    </w:p>
    <w:p w:rsidR="00CC79D5" w:rsidRDefault="00EE666A">
      <w:pPr>
        <w:spacing w:after="720"/>
        <w:jc w:val="both"/>
        <w:rPr>
          <w:lang w:val="fr-CA"/>
        </w:rPr>
      </w:pPr>
      <w:r>
        <w:rPr>
          <w:lang w:val="fr-CA"/>
        </w:rPr>
        <w:t>Présents : Le juge en chef Wagner et les juges Abella, Moldaver, Karakatsanis, Côté, Brown, Rowe, Martin et Kasirer.</w:t>
      </w:r>
    </w:p>
    <w:p w:rsidR="00CC79D5" w:rsidRDefault="00EE666A">
      <w:pPr>
        <w:spacing w:after="720"/>
        <w:jc w:val="both"/>
        <w:rPr>
          <w:smallCaps/>
          <w:lang w:val="fr-CA"/>
        </w:rPr>
      </w:pPr>
      <w:r>
        <w:rPr>
          <w:smallCaps/>
          <w:lang w:val="fr-CA"/>
        </w:rPr>
        <w:t xml:space="preserve">en appel de la cour d’appel du </w:t>
      </w:r>
      <w:proofErr w:type="spellStart"/>
      <w:r>
        <w:rPr>
          <w:smallCaps/>
          <w:lang w:val="fr-CA"/>
        </w:rPr>
        <w:t>manitoba</w:t>
      </w:r>
      <w:proofErr w:type="spellEnd"/>
    </w:p>
    <w:p w:rsidR="00CC79D5" w:rsidRDefault="00EE666A">
      <w:pPr>
        <w:pStyle w:val="SCCNormalDoubleSpacing"/>
        <w:spacing w:after="480"/>
        <w:rPr>
          <w:i/>
          <w:lang w:val="fr-CA"/>
        </w:rPr>
      </w:pPr>
      <w:r>
        <w:rPr>
          <w:lang w:val="fr-CA"/>
        </w:rPr>
        <w:lastRenderedPageBreak/>
        <w:tab/>
      </w:r>
      <w:r>
        <w:rPr>
          <w:i/>
          <w:lang w:val="fr-CA"/>
        </w:rPr>
        <w:t>Tribunaux — Compétence — Interdictions de publi</w:t>
      </w:r>
      <w:r w:rsidR="00556B35">
        <w:rPr>
          <w:i/>
          <w:lang w:val="fr-CA"/>
        </w:rPr>
        <w:t>cation — Modification — Procédures</w:t>
      </w:r>
      <w:r>
        <w:rPr>
          <w:i/>
          <w:lang w:val="fr-CA"/>
        </w:rPr>
        <w:t xml:space="preserve"> criminelle</w:t>
      </w:r>
      <w:r w:rsidR="00556B35">
        <w:rPr>
          <w:i/>
          <w:lang w:val="fr-CA"/>
        </w:rPr>
        <w:t>s</w:t>
      </w:r>
      <w:r>
        <w:rPr>
          <w:i/>
          <w:lang w:val="fr-CA"/>
        </w:rPr>
        <w:t xml:space="preserve"> — Interdiction de publication </w:t>
      </w:r>
      <w:r w:rsidR="00556B35">
        <w:rPr>
          <w:i/>
          <w:lang w:val="fr-CA"/>
        </w:rPr>
        <w:t xml:space="preserve">d’une durée indéterminée </w:t>
      </w:r>
      <w:r>
        <w:rPr>
          <w:i/>
          <w:lang w:val="fr-CA"/>
        </w:rPr>
        <w:t xml:space="preserve">prononcée par la cour d’appel </w:t>
      </w:r>
      <w:r w:rsidR="00556B35">
        <w:rPr>
          <w:i/>
          <w:lang w:val="fr-CA"/>
        </w:rPr>
        <w:t>à l’égard d’</w:t>
      </w:r>
      <w:r>
        <w:rPr>
          <w:i/>
          <w:lang w:val="fr-CA"/>
        </w:rPr>
        <w:t xml:space="preserve">un affidavit déposé dans une instance criminelle </w:t>
      </w:r>
      <w:r w:rsidR="00556B35">
        <w:rPr>
          <w:i/>
          <w:lang w:val="fr-CA"/>
        </w:rPr>
        <w:t>se déroulant devant elle</w:t>
      </w:r>
      <w:r>
        <w:rPr>
          <w:i/>
          <w:lang w:val="fr-CA"/>
        </w:rPr>
        <w:t xml:space="preserve"> — Motion présentée par un représentant des médias après qu’un jugement eut été rendu sur le fond de l’instance pour demander à la cour d’appel d’annuler l’interdiction de publication — Refus de la cour d’appel d’entendre la motion au motif qu’elle a épuisé sa compétence — Un tribunal demeure</w:t>
      </w:r>
      <w:r>
        <w:rPr>
          <w:i/>
          <w:lang w:val="fr-CA"/>
        </w:rPr>
        <w:noBreakHyphen/>
        <w:t>t</w:t>
      </w:r>
      <w:r>
        <w:rPr>
          <w:i/>
          <w:lang w:val="fr-CA"/>
        </w:rPr>
        <w:noBreakHyphen/>
        <w:t>il compétent pour réexaminer des ordonnances de non</w:t>
      </w:r>
      <w:r>
        <w:rPr>
          <w:i/>
          <w:lang w:val="fr-CA"/>
        </w:rPr>
        <w:noBreakHyphen/>
        <w:t xml:space="preserve">publication et d’autres ordonnances accessoires de cette nature après qu’il a été statué sur le fond d’une instance criminelle? </w:t>
      </w:r>
    </w:p>
    <w:p w:rsidR="00CC79D5" w:rsidRDefault="00EE666A">
      <w:pPr>
        <w:pStyle w:val="SCCNormalDoubleSpacing"/>
        <w:spacing w:after="480"/>
        <w:rPr>
          <w:strike/>
          <w:lang w:val="fr-CA"/>
        </w:rPr>
      </w:pPr>
      <w:r>
        <w:rPr>
          <w:lang w:val="fr-CA"/>
        </w:rPr>
        <w:tab/>
        <w:t xml:space="preserve">Un affidavit déposé dans une affaire criminelle dont était saisie la Cour d’appel avait fait l’objet d’une interdiction de publication en attendant qu’il soit statué sur son admissibilité en tant que nouvel élément de preuve. Dans ses motifs de novembre 2018 accueillant l’appel sur le fond, la Cour d’appel a rejeté la motion pour présentation d’éléments de preuve nouveaux, mais elle a ordonné que l’interdiction de publication reste en vigueur indéfiniment. En mai 2019, la SRC a présenté une motion </w:t>
      </w:r>
      <w:r w:rsidR="00556B35">
        <w:rPr>
          <w:lang w:val="fr-CA"/>
        </w:rPr>
        <w:t>à</w:t>
      </w:r>
      <w:r>
        <w:rPr>
          <w:lang w:val="fr-CA"/>
        </w:rPr>
        <w:t xml:space="preserve"> la Cour d’appel </w:t>
      </w:r>
      <w:r w:rsidR="00556B35">
        <w:rPr>
          <w:lang w:val="fr-CA"/>
        </w:rPr>
        <w:t>sollicitant</w:t>
      </w:r>
      <w:r>
        <w:rPr>
          <w:lang w:val="fr-CA"/>
        </w:rPr>
        <w:t xml:space="preserve"> l’annulation de l’interdiction de publication, soutenant </w:t>
      </w:r>
      <w:r w:rsidR="00556B35">
        <w:rPr>
          <w:lang w:val="fr-CA"/>
        </w:rPr>
        <w:t>que l’accès à</w:t>
      </w:r>
      <w:r>
        <w:rPr>
          <w:lang w:val="fr-CA"/>
        </w:rPr>
        <w:t xml:space="preserve"> l’affidavit permettrait de faire la lumière sur </w:t>
      </w:r>
      <w:r w:rsidR="00556B35">
        <w:rPr>
          <w:lang w:val="fr-CA"/>
        </w:rPr>
        <w:t>l’affaire</w:t>
      </w:r>
      <w:r>
        <w:rPr>
          <w:lang w:val="fr-CA"/>
        </w:rPr>
        <w:t xml:space="preserve"> criminelle dont la Cour d’appel </w:t>
      </w:r>
      <w:r w:rsidR="00556B35">
        <w:rPr>
          <w:lang w:val="fr-CA"/>
        </w:rPr>
        <w:t xml:space="preserve">était saisie </w:t>
      </w:r>
      <w:r>
        <w:rPr>
          <w:lang w:val="fr-CA"/>
        </w:rPr>
        <w:t xml:space="preserve">et </w:t>
      </w:r>
      <w:r w:rsidR="00556B35">
        <w:rPr>
          <w:lang w:val="fr-CA"/>
        </w:rPr>
        <w:t>sur la</w:t>
      </w:r>
      <w:r>
        <w:rPr>
          <w:lang w:val="fr-CA"/>
        </w:rPr>
        <w:t xml:space="preserve"> conclusion </w:t>
      </w:r>
      <w:r w:rsidR="00556B35">
        <w:rPr>
          <w:lang w:val="fr-CA"/>
        </w:rPr>
        <w:t xml:space="preserve">de cette dernière </w:t>
      </w:r>
      <w:r>
        <w:rPr>
          <w:lang w:val="fr-CA"/>
        </w:rPr>
        <w:t xml:space="preserve">sur le fond selon laquelle une erreur judiciaire s’était produite au procès. </w:t>
      </w:r>
    </w:p>
    <w:p w:rsidR="00CC79D5" w:rsidRDefault="00EE666A">
      <w:pPr>
        <w:pStyle w:val="SCCNormalDoubleSpacing"/>
        <w:spacing w:after="480"/>
        <w:rPr>
          <w:lang w:val="fr-CA"/>
        </w:rPr>
      </w:pPr>
      <w:r>
        <w:rPr>
          <w:lang w:val="fr-CA"/>
        </w:rPr>
        <w:lastRenderedPageBreak/>
        <w:tab/>
        <w:t xml:space="preserve">La Cour d’appel a refusé d’examiner la motion de la SRC, invoquant </w:t>
      </w:r>
      <w:r w:rsidR="00556B35">
        <w:rPr>
          <w:lang w:val="fr-CA"/>
        </w:rPr>
        <w:t xml:space="preserve">la règle du </w:t>
      </w:r>
      <w:r w:rsidR="00556B35">
        <w:rPr>
          <w:i/>
          <w:lang w:val="fr-CA"/>
        </w:rPr>
        <w:t>functus officio</w:t>
      </w:r>
      <w:r w:rsidR="00556B35">
        <w:rPr>
          <w:lang w:val="fr-CA"/>
        </w:rPr>
        <w:t xml:space="preserve"> et </w:t>
      </w:r>
      <w:r>
        <w:rPr>
          <w:lang w:val="fr-CA"/>
        </w:rPr>
        <w:t xml:space="preserve">sa règle de pratique </w:t>
      </w:r>
      <w:r w:rsidR="00556B35">
        <w:rPr>
          <w:lang w:val="fr-CA"/>
        </w:rPr>
        <w:t>qui interdit</w:t>
      </w:r>
      <w:r>
        <w:rPr>
          <w:lang w:val="fr-CA"/>
        </w:rPr>
        <w:t xml:space="preserve"> les nouvelles audiences. La cour estimait avoir épuisé sa compétence dès qu’elle s’était prononcée sur le fond de l’affaire et</w:t>
      </w:r>
      <w:r w:rsidR="00556B35">
        <w:rPr>
          <w:lang w:val="fr-CA"/>
        </w:rPr>
        <w:t xml:space="preserve"> avait</w:t>
      </w:r>
      <w:r>
        <w:rPr>
          <w:lang w:val="fr-CA"/>
        </w:rPr>
        <w:t xml:space="preserve"> inscrit son jugement formel tranchant l’appel. Elle a conclu qu’elle n’avait pas compétence pour entendre la motion. La SRC a demandé et obtenu l’autorisation d’interjeter appel</w:t>
      </w:r>
      <w:r w:rsidR="00556B35">
        <w:rPr>
          <w:lang w:val="fr-CA"/>
        </w:rPr>
        <w:t xml:space="preserve"> à la Cour</w:t>
      </w:r>
      <w:r>
        <w:rPr>
          <w:lang w:val="fr-CA"/>
        </w:rPr>
        <w:t xml:space="preserve"> à la fois de la décision, rendue par la Cour d’appel en 2019, portant refus de réexaminer l’interdiction de publication (« jugement de 2019 sur la compétence ») et de la décision, rendue par la Cour d’appel en 2018, d’imposer l’interdiction de publication</w:t>
      </w:r>
      <w:r w:rsidR="00556B35">
        <w:rPr>
          <w:lang w:val="fr-CA"/>
        </w:rPr>
        <w:t xml:space="preserve"> d’une durée indéterminée</w:t>
      </w:r>
      <w:r>
        <w:rPr>
          <w:lang w:val="fr-CA"/>
        </w:rPr>
        <w:t xml:space="preserve"> (« jugement de 2018 sur l’interdiction de publication »). </w:t>
      </w:r>
    </w:p>
    <w:p w:rsidR="00CC79D5" w:rsidRDefault="00EE666A">
      <w:pPr>
        <w:pStyle w:val="SCCNormalDoubleSpacing"/>
        <w:spacing w:after="480"/>
        <w:rPr>
          <w:lang w:val="fr-CA"/>
        </w:rPr>
      </w:pPr>
      <w:r>
        <w:rPr>
          <w:lang w:val="fr-CA"/>
        </w:rPr>
        <w:tab/>
      </w:r>
      <w:r>
        <w:rPr>
          <w:i/>
          <w:lang w:val="fr-CA"/>
        </w:rPr>
        <w:t xml:space="preserve">Arrêt </w:t>
      </w:r>
      <w:r>
        <w:rPr>
          <w:rStyle w:val="QuoteChar"/>
          <w:i w:val="0"/>
          <w:color w:val="auto"/>
          <w:lang w:val="fr-CA"/>
        </w:rPr>
        <w:t>(la juge Abella est dissidente) :</w:t>
      </w:r>
      <w:r>
        <w:rPr>
          <w:lang w:val="fr-CA"/>
        </w:rPr>
        <w:t xml:space="preserve"> Le pourvoi contre le jugement de 2019 sur la compétence est accueilli et l’affaire est renvoyée à la Cour d’appel. Le pourvoi contre le jugement de 2018 sur l’interdiction de publication est ajourné </w:t>
      </w:r>
      <w:r>
        <w:rPr>
          <w:i/>
          <w:lang w:val="fr-CA"/>
        </w:rPr>
        <w:t>sine die</w:t>
      </w:r>
      <w:r>
        <w:rPr>
          <w:lang w:val="fr-CA"/>
        </w:rPr>
        <w:t>.</w:t>
      </w:r>
    </w:p>
    <w:p w:rsidR="00CC79D5" w:rsidRDefault="00EE666A">
      <w:pPr>
        <w:pStyle w:val="SCCNormalDoubleSpacing"/>
        <w:spacing w:after="480"/>
        <w:rPr>
          <w:highlight w:val="red"/>
          <w:lang w:val="fr-CA"/>
        </w:rPr>
      </w:pPr>
      <w:r>
        <w:rPr>
          <w:lang w:val="fr-CA"/>
        </w:rPr>
        <w:tab/>
      </w:r>
      <w:r>
        <w:rPr>
          <w:i/>
          <w:lang w:val="fr-CA"/>
        </w:rPr>
        <w:t xml:space="preserve">Le </w:t>
      </w:r>
      <w:r>
        <w:rPr>
          <w:lang w:val="fr-CA"/>
        </w:rPr>
        <w:t xml:space="preserve">juge en chef Wagner et les juges Moldaver, Karakatsanis, Côté, Brown, Rowe, Martin et </w:t>
      </w:r>
      <w:r>
        <w:rPr>
          <w:b/>
          <w:lang w:val="fr-CA"/>
        </w:rPr>
        <w:t>Kasirer</w:t>
      </w:r>
      <w:r>
        <w:rPr>
          <w:lang w:val="fr-CA"/>
        </w:rPr>
        <w:t xml:space="preserve"> : La Cour d’appel avait compétence pour examiner la motion de la SRC visant à faire annuler l’interdiction de publication. Même si la cour ne pouvait pas entendre de nouveau l’appel sur le fond et bien que la règle du </w:t>
      </w:r>
      <w:r>
        <w:rPr>
          <w:i/>
          <w:lang w:val="fr-CA"/>
        </w:rPr>
        <w:t>functus officio</w:t>
      </w:r>
      <w:r>
        <w:rPr>
          <w:lang w:val="fr-CA"/>
        </w:rPr>
        <w:t xml:space="preserve"> l’empêche de se prononcer encore une fois sur le mérite de l’appel, elle a conservé le pouvoir de superviser l’accès au dossier de sa propre instance, ce qui lui permettait d’assurer la conformité au principe constitutionnel de la publicité des débats </w:t>
      </w:r>
      <w:r>
        <w:rPr>
          <w:lang w:val="fr-CA"/>
        </w:rPr>
        <w:lastRenderedPageBreak/>
        <w:t>judiciaires et la protection d’autres intérêts publics importants par rapport auxquels il doit être soupesé. Il y a lieu de renvoyer l’affaire à la Cour d’appel, car elle est la mieux placée pour trancher la motion de la SRC ainsi que les questions discrétionnaires et tributaires des faits</w:t>
      </w:r>
      <w:r w:rsidR="00556B35">
        <w:rPr>
          <w:lang w:val="fr-CA"/>
        </w:rPr>
        <w:t xml:space="preserve"> qui sont</w:t>
      </w:r>
      <w:r>
        <w:rPr>
          <w:lang w:val="fr-CA"/>
        </w:rPr>
        <w:t xml:space="preserve"> soulevées. Il serait inopportun que la Cour décide du pourvoi formé par la SRC contre le jugement de 2018 sur l’interdiction de publication avant que la Cour d’appel ait eu une occasion d’examiner la motion déposée par la SRC en vue de faire annuler l’interdiction de publication. </w:t>
      </w:r>
    </w:p>
    <w:p w:rsidR="00CC79D5" w:rsidRDefault="00EE666A">
      <w:pPr>
        <w:pStyle w:val="SCCNormalDoubleSpacing"/>
        <w:spacing w:after="480"/>
        <w:rPr>
          <w:lang w:val="fr-CA"/>
        </w:rPr>
      </w:pPr>
      <w:r>
        <w:rPr>
          <w:lang w:val="fr-CA"/>
        </w:rPr>
        <w:tab/>
        <w:t xml:space="preserve">Selon la règle du </w:t>
      </w:r>
      <w:r>
        <w:rPr>
          <w:i/>
          <w:lang w:val="fr-CA"/>
        </w:rPr>
        <w:t>functus officio</w:t>
      </w:r>
      <w:r>
        <w:rPr>
          <w:lang w:val="fr-CA"/>
        </w:rPr>
        <w:t xml:space="preserve">, la décision définitive d’un tribunal qui est susceptible d’appel ne peut pas, en règle générale, être examinée de nouveau par le tribunal qui a rendu cette décision. Un tribunal perd sa compétence une fois le jugement officiel rendu. Cette règle favorise la reconnaissance du caractère définitif des procédures et une procédure d’appel ordonnée. Si les juridictions inférieures pouvaient réexaminer continuellement leurs propres décisions, les justiciables seraient privés d’une assise fiable à partir de laquelle interjeter appel à une juridiction supérieure. </w:t>
      </w:r>
    </w:p>
    <w:p w:rsidR="00CC79D5" w:rsidRDefault="00EE666A">
      <w:pPr>
        <w:pStyle w:val="SCCNormalDoubleSpacing"/>
        <w:spacing w:after="480"/>
        <w:rPr>
          <w:lang w:val="fr-CA"/>
        </w:rPr>
      </w:pPr>
      <w:r>
        <w:rPr>
          <w:lang w:val="fr-CA"/>
        </w:rPr>
        <w:tab/>
        <w:t xml:space="preserve">Cela dit, il importe de faire la distinction entre le pouvoir de connaître du fond, perdu par l’application de la règle du </w:t>
      </w:r>
      <w:r>
        <w:rPr>
          <w:i/>
          <w:lang w:val="fr-CA"/>
        </w:rPr>
        <w:t>functus officio</w:t>
      </w:r>
      <w:r>
        <w:rPr>
          <w:iCs/>
          <w:lang w:val="fr-CA"/>
        </w:rPr>
        <w:t>,</w:t>
      </w:r>
      <w:r>
        <w:rPr>
          <w:i/>
          <w:lang w:val="fr-CA"/>
        </w:rPr>
        <w:t xml:space="preserve"> </w:t>
      </w:r>
      <w:r>
        <w:rPr>
          <w:lang w:val="fr-CA"/>
        </w:rPr>
        <w:t>et la compétence qui existe pour superviser le dossier judiciaire. Même lorsqu’un tribunal a perdu le pouvoir de connaître du fond d’une affaire pour avoir inscrit son jugement formel, il demeure compétent pour contrôler son propre dossier à l’égard d’une instance généralement considérée comme étant une affaire accessoire, mais indépendante. Ce pouvoir fait partie de la maîtrise par le tribunal de sa propre procédure et découle, par déduction nécessaire, de l’octroi par voie législative du pouvoir juridictionnel d’un tribunal. Il est ancré dans la politique publique essentielle favorisant l’accès aux rouages des tribunaux. D’importantes décisions au sujet de la publicité du dossier judiciaire, comme prononcer, modifier ou annuler des interdictions de publication et ordonnances de mise sous scellés, peuvent devoir être prises après la fin de l’instance sur le fond. Reconnaître que cette compétence subsiste après la fin de l’instance sous</w:t>
      </w:r>
      <w:r>
        <w:rPr>
          <w:lang w:val="fr-CA"/>
        </w:rPr>
        <w:noBreakHyphen/>
        <w:t xml:space="preserve">jacente n’est pas incompatible avec les objectifs du caractère définitif des procédures et de la stabilité des jugements, car la règle du </w:t>
      </w:r>
      <w:r>
        <w:rPr>
          <w:i/>
          <w:lang w:val="fr-CA"/>
        </w:rPr>
        <w:t>functus officio</w:t>
      </w:r>
      <w:r>
        <w:rPr>
          <w:lang w:val="fr-CA"/>
        </w:rPr>
        <w:t xml:space="preserve"> n’a jamais eu pour but de restreindre la capacité des tribunaux d’instance inférieure d’être maîtres de leurs propres dossiers. </w:t>
      </w:r>
    </w:p>
    <w:p w:rsidR="00CC79D5" w:rsidRDefault="00EE666A">
      <w:pPr>
        <w:pStyle w:val="SCCNormalDoubleSpacing"/>
        <w:spacing w:after="480"/>
        <w:rPr>
          <w:lang w:val="fr-CA"/>
        </w:rPr>
      </w:pPr>
      <w:r>
        <w:rPr>
          <w:lang w:val="fr-CA"/>
        </w:rPr>
        <w:tab/>
        <w:t xml:space="preserve">Le fait que les tribunaux conservent un pouvoir de surveillance à l’égard de leurs dossiers judiciaires ne veut pas dire que les décisions portant sur la publicité des débats judiciaires, une fois prises, sont susceptibles d’être réexaminées n’importe quand ou pour n’importe quelle raison. Une interdiction de publication ou une ordonnance de mise sous scellés est susceptible d’être réexaminée par le tribunal qui l’a prononcée pour deux motifs restreints et peu importe qu’elle soit consacrée dans une ordonnance ou non. </w:t>
      </w:r>
    </w:p>
    <w:p w:rsidR="00CC79D5" w:rsidRDefault="00EE666A">
      <w:pPr>
        <w:pStyle w:val="SCCNormalDoubleSpacing"/>
        <w:spacing w:after="480"/>
        <w:rPr>
          <w:lang w:val="fr-CA"/>
        </w:rPr>
      </w:pPr>
      <w:r>
        <w:rPr>
          <w:lang w:val="fr-CA"/>
        </w:rPr>
        <w:tab/>
      </w:r>
      <w:r>
        <w:rPr>
          <w:szCs w:val="24"/>
          <w:lang w:val="fr-CA"/>
        </w:rPr>
        <w:t xml:space="preserve">Premièrement, </w:t>
      </w:r>
      <w:r>
        <w:rPr>
          <w:lang w:val="fr-CA"/>
        </w:rPr>
        <w:t>un tribunal peut modifier ou annuler une interdiction de publication ou une ordonnance de mise sous scellés qu’il a rendue sur motion déposée en temps opportun par une personne touchée, tels les médias, qui n’a pas été avisée du prononcé de cette ordonnance et à qui il y a lieu d’accorder la qualité pour agir à cette fin. Pour ce qui est des interdictions de publication dans les affaires criminelles, la qualité pour agir devrait relever du pouvoir discrétionnaire d’un tribunal. Les médias devraient généralement avoir qualité pour contester une ordonnance qui menace le principe de la publicité des débats judiciaires s’ils sont à même de démontrer qu’ils présenteront des observations qui n’ont pas été prises en compte et qui auraient pu influer sur le résultat. Le tribunal conserve effectivement le pouvoir discrétionnaire de refuser la qualité pour</w:t>
      </w:r>
      <w:r w:rsidR="00556B35">
        <w:rPr>
          <w:lang w:val="fr-CA"/>
        </w:rPr>
        <w:t xml:space="preserve"> agir lorsque l’audition de la motion</w:t>
      </w:r>
      <w:r>
        <w:rPr>
          <w:lang w:val="fr-CA"/>
        </w:rPr>
        <w:t xml:space="preserve"> ne serait pas dans l’intérêt de la justice, comme dans le cas où la </w:t>
      </w:r>
      <w:r w:rsidR="00556B35">
        <w:rPr>
          <w:lang w:val="fr-CA"/>
        </w:rPr>
        <w:t>motion</w:t>
      </w:r>
      <w:r>
        <w:rPr>
          <w:lang w:val="fr-CA"/>
        </w:rPr>
        <w:t xml:space="preserve"> serait indûment préjudiciable aux parties, ou ne ferait que répéter des arguments dont le tribunal a déjà connaissance. Quant au délai, on s’attend à ce que la partie requérante agisse avec célérité pour contester pareille ordonnance dès qu’elle en apprend l’existence. </w:t>
      </w:r>
      <w:r>
        <w:rPr>
          <w:shd w:val="clear" w:color="auto" w:fill="FFFFFF"/>
          <w:lang w:val="fr-CA"/>
        </w:rPr>
        <w:t>Faute d’une directive législative, les tribunaux doivent être guidés par l’objet de la règle et les circonstances de chaque cas. Leur tâche consiste à mettre en balance dans le contexte le caractère définitif d’une décision et la justice rendue en temps utile par rapport à l’importance que l’affaire soit instruite sur le fond. C</w:t>
      </w:r>
      <w:r>
        <w:rPr>
          <w:lang w:val="fr-CA"/>
        </w:rPr>
        <w:t xml:space="preserve">ette détermination est intrinsèquement fonction des faits de chaque affaire et de la nature de la question soulevée. </w:t>
      </w:r>
    </w:p>
    <w:p w:rsidR="00CC79D5" w:rsidRDefault="00EE666A">
      <w:pPr>
        <w:pStyle w:val="SCCNormalDoubleSpacing"/>
        <w:spacing w:after="480"/>
        <w:rPr>
          <w:lang w:val="fr-CA"/>
        </w:rPr>
      </w:pPr>
      <w:r>
        <w:rPr>
          <w:lang w:val="fr-CA"/>
        </w:rPr>
        <w:tab/>
        <w:t>Deuxièmement, le tribunal peut modifier ou annuler une interdiction de publication ou une ordonnance de mise sous scellés lorsqu’il y a eu changement important des circonstances relatives au prononcé de l’ordonnance. La partie requérante doit établir à la fois qu’il y a eu changement de circonstances et que le changement, s’il avait été connu à l’époque de l’ordonnance initiale, se serait vraisemblablement traduit par une ordonnance aux conditions différentes. La justesse de l’ordonnance initiale est présumée et n’est pas pertinente quant à l’existence d’un changement important de circonstances.</w:t>
      </w:r>
    </w:p>
    <w:p w:rsidR="00CC79D5" w:rsidRDefault="00EE666A">
      <w:pPr>
        <w:pStyle w:val="SCCNormalDoubleSpacing"/>
        <w:spacing w:after="480"/>
        <w:rPr>
          <w:lang w:val="fr-CA"/>
        </w:rPr>
      </w:pPr>
      <w:r>
        <w:rPr>
          <w:lang w:val="fr-CA"/>
        </w:rPr>
        <w:tab/>
        <w:t xml:space="preserve">Les situations dans lesquelles un tribunal peut réexaminer une interdiction de publication ou une ordonnance de mise sous scellés se distinguent de l’appel ou d’une demande de </w:t>
      </w:r>
      <w:r>
        <w:rPr>
          <w:i/>
          <w:lang w:val="fr-CA"/>
        </w:rPr>
        <w:t xml:space="preserve">certiorari </w:t>
      </w:r>
      <w:r>
        <w:rPr>
          <w:lang w:val="fr-CA"/>
        </w:rPr>
        <w:t>faits à une juridiction supérieure de ces décisions, car on ne demande pas au tribunal d’origine de réexaminer sa décision parce qu’elle était erronée. Enfin, les principes généraux qui sous</w:t>
      </w:r>
      <w:r>
        <w:rPr>
          <w:lang w:val="fr-CA"/>
        </w:rPr>
        <w:noBreakHyphen/>
        <w:t>tendent les deux motifs de réexamen peuvent être écartés par une mesure législative, par exemple les règles de procédure applicables.</w:t>
      </w:r>
    </w:p>
    <w:p w:rsidR="00CC79D5" w:rsidRDefault="00EE666A">
      <w:pPr>
        <w:pStyle w:val="SCCNormalDoubleSpacing"/>
        <w:spacing w:after="480"/>
        <w:rPr>
          <w:lang w:val="fr-CA"/>
        </w:rPr>
      </w:pPr>
      <w:r>
        <w:rPr>
          <w:lang w:val="fr-CA"/>
        </w:rPr>
        <w:tab/>
        <w:t xml:space="preserve">En l’espèce, la Cour d’appel a eu tort de conclure que les textes législatifs applicables, comme ses règles de procédure, ou la règle du </w:t>
      </w:r>
      <w:r>
        <w:rPr>
          <w:i/>
          <w:lang w:val="fr-CA"/>
        </w:rPr>
        <w:t>functus officio</w:t>
      </w:r>
      <w:r>
        <w:rPr>
          <w:lang w:val="fr-CA"/>
        </w:rPr>
        <w:t xml:space="preserve"> lui enlevait compétence pour examiner la motion de la SRC visant à faire annuler l’interdiction de publication. La Cour d’appel est demeurée compétente pour surveiller son dossier, même après que le certificat de décision dans l’instance sous</w:t>
      </w:r>
      <w:r>
        <w:rPr>
          <w:lang w:val="fr-CA"/>
        </w:rPr>
        <w:noBreakHyphen/>
        <w:t xml:space="preserve">jacente sur le fond a été inscrit. Ce n’est toutefois pas parce que la Cour d’appel avait compétence pour examiner la motion de la SRC que cette dernière a droit à la mesure de redressement qu’elle a demandée. La possibilité d’obtenir cette mesure de redressement dépend d’une bonne application du droit aux faits, une décision qui devrait être rendue par la Cour d’appel. Puisque la SRC n’a pas établi un changement important de circonstances, elle devra s’appuyer sur le pouvoir de la Cour d’appel de réexaminer une ordonnance au motif qu’elle a été rendue sans avis à une partie touchée. L’ordonnance attaquée a été prononcée du propre chef de la Cour d’appel à l’audience, puis maintenue pour une durée indéterminée. La cour n’a entendu aucune observation sur le point, et n’a donné de préavis à qui que ce soit, dont les médias, notamment la SRC qui a eu vent de l’interdiction attaquée peu après le prononcé des motifs. La Cour d’appel devra se demander si la SRC a qualité pour contester l’ordonnance en question et si la SRC a déposé sa motion en temps opportun. De plus, toute limite discrétionnaire à l’accès au dossier judiciaire et à la publication de son contenu doit être comprise à l’aune du test concernant les limites discrétionnaires à la publicité des débats judiciaires : un tribunal ne peut imposer de limites discrétionnaires portant sur la publicité des débats que si les conditions suivantes sont remplies : (1) la publicité des débats pose un risque sérieux pour un intérêt public important; (2) l’ordonnance sollicitée est nécessaire pour écarter ce risque; (3) les avantages de l’ordonnance l’emportent sur ses effets négatifs.  </w:t>
      </w:r>
    </w:p>
    <w:p w:rsidR="00CC79D5" w:rsidRDefault="00EE666A">
      <w:pPr>
        <w:pStyle w:val="SCCNormalDoubleSpacing"/>
        <w:spacing w:after="480"/>
        <w:rPr>
          <w:lang w:val="fr-CA"/>
        </w:rPr>
      </w:pPr>
      <w:r>
        <w:rPr>
          <w:i/>
          <w:lang w:val="fr-CA"/>
        </w:rPr>
        <w:tab/>
        <w:t xml:space="preserve">La </w:t>
      </w:r>
      <w:r>
        <w:rPr>
          <w:lang w:val="fr-CA"/>
        </w:rPr>
        <w:t xml:space="preserve">juge </w:t>
      </w:r>
      <w:r>
        <w:rPr>
          <w:b/>
          <w:lang w:val="fr-CA"/>
        </w:rPr>
        <w:t>Abella</w:t>
      </w:r>
      <w:r>
        <w:rPr>
          <w:lang w:val="fr-CA"/>
        </w:rPr>
        <w:t xml:space="preserve"> (dissidente) : Il y a lieu de rejeter les pourvois. La SRC n’a pas droit au réexamen de l’interdiction de publication en raison de son retard indu et injustifié à présenter sa motion. </w:t>
      </w:r>
    </w:p>
    <w:p w:rsidR="00CC79D5" w:rsidRDefault="00EE666A">
      <w:pPr>
        <w:pStyle w:val="SCCNormalDoubleSpacing"/>
        <w:spacing w:after="480"/>
        <w:rPr>
          <w:lang w:val="fr-CA"/>
        </w:rPr>
      </w:pPr>
      <w:r>
        <w:rPr>
          <w:lang w:val="fr-CA"/>
        </w:rPr>
        <w:tab/>
        <w:t>Les médias jouent un rôle crucial dans la protection et la promotion de la publicité des débats judiciaires, et leur droit d’attaquer des interdictions de publication n’est pas contesté. Cependant, au terme de l’instance sous</w:t>
      </w:r>
      <w:r>
        <w:rPr>
          <w:lang w:val="fr-CA"/>
        </w:rPr>
        <w:noBreakHyphen/>
        <w:t xml:space="preserve">jacente, la règle du </w:t>
      </w:r>
      <w:r>
        <w:rPr>
          <w:i/>
          <w:lang w:val="fr-CA"/>
        </w:rPr>
        <w:t xml:space="preserve">functus officio </w:t>
      </w:r>
      <w:r>
        <w:rPr>
          <w:iCs/>
          <w:lang w:val="fr-CA"/>
        </w:rPr>
        <w:t>fait en sorte qu’</w:t>
      </w:r>
      <w:r>
        <w:rPr>
          <w:lang w:val="fr-CA"/>
        </w:rPr>
        <w:t xml:space="preserve">une décision définitive ne peut pas, en général, être réexaminée par le tribunal qui l’a rendue. Bien que l’application de la règle du </w:t>
      </w:r>
      <w:r>
        <w:rPr>
          <w:i/>
          <w:lang w:val="fr-CA"/>
        </w:rPr>
        <w:t xml:space="preserve">functus officio </w:t>
      </w:r>
      <w:r>
        <w:rPr>
          <w:lang w:val="fr-CA"/>
        </w:rPr>
        <w:t>soit moins formaliste et plus souple en ce qui concerne les ordonnances accessoires et les interdictions de publication, et qu’il faille maintenir des voies circonscrites par lesquelles les médias peuvent demander à un tribunal de réexaminer une interdiction de publication après la fin de l’instance sous</w:t>
      </w:r>
      <w:r>
        <w:rPr>
          <w:lang w:val="fr-CA"/>
        </w:rPr>
        <w:noBreakHyphen/>
        <w:t>jacente, les considérations qui sous</w:t>
      </w:r>
      <w:r>
        <w:rPr>
          <w:lang w:val="fr-CA"/>
        </w:rPr>
        <w:noBreakHyphen/>
        <w:t>tendent cette règle montrent qu’elle a un rôle à jouer relativement aux ordonnances de non</w:t>
      </w:r>
      <w:r>
        <w:rPr>
          <w:lang w:val="fr-CA"/>
        </w:rPr>
        <w:noBreakHyphen/>
        <w:t xml:space="preserve">publication. </w:t>
      </w:r>
    </w:p>
    <w:p w:rsidR="00CC79D5" w:rsidRDefault="00EE666A">
      <w:pPr>
        <w:pStyle w:val="SCCNormalDoubleSpacing"/>
        <w:spacing w:after="480"/>
        <w:rPr>
          <w:lang w:val="fr-CA"/>
        </w:rPr>
      </w:pPr>
      <w:r>
        <w:rPr>
          <w:lang w:val="fr-CA"/>
        </w:rPr>
        <w:tab/>
        <w:t>Le caractère définitif d’une décision est important. Il faut que les parties puissent tourner la page et être à l’abri des préjudices psychologiques et financiers associés au fait d’être entraînées de nouveau malgré elles dans le système de justice lorsqu’une affaire est close. Voilà pourquoi il faut demander le réexamen d’une interdiction de publication en temps opportun et pourquoi les tribunaux ne devraient généralement pas réexaminer une interdiction de publication après la fin de l’instance principale, sauf s’il existe une raison valable de croire que la demande formulée par un représentant des médias sert l’intérêt public et qu’elle pourrait raisonnablement amener le tribunal à rendre une décision différente. Il s’agit d’un exercice de pondération, sans barème préétabli, entre les intérêts qui sous</w:t>
      </w:r>
      <w:r>
        <w:rPr>
          <w:lang w:val="fr-CA"/>
        </w:rPr>
        <w:noBreakHyphen/>
        <w:t>tendent le caractère définitif d’une décision et les intérêts liés au principe de la publicité des débats judiciaires. Les tribunaux qui prononcent des interdictions de publication sont censés tenir compte de l’importance du principe de la publicité des débats judiciaires, même lorsqu’aucun représentant des médias ne présente d’arguments à ce sujet, et il n’y a aucune raison de supposer que cela ne s’est pas produit en l’espèce.</w:t>
      </w:r>
    </w:p>
    <w:p w:rsidR="00CC79D5" w:rsidRDefault="00EE666A">
      <w:pPr>
        <w:pStyle w:val="SCCNormalDoubleSpacing"/>
        <w:spacing w:after="480"/>
        <w:rPr>
          <w:i/>
          <w:lang w:val="fr-CA"/>
        </w:rPr>
      </w:pPr>
      <w:r>
        <w:rPr>
          <w:lang w:val="fr-CA"/>
        </w:rPr>
        <w:tab/>
        <w:t xml:space="preserve">Dans la présente affaire, la SRC ne peut établir qu’un changement important de circonstances s’est produit. Elle ne peut demander un réexamen de l’interdiction de publication que si elle démontre que l’interdiction de publication a été prononcée sans avis, que ses observations peuvent avoir une incidence importante sur le résultat, et qu’elle a déposé la motion en réexamen en temps opportun. Aucune de ces conditions n’a été remplie. </w:t>
      </w:r>
    </w:p>
    <w:p w:rsidR="00CC79D5" w:rsidRDefault="00EE666A">
      <w:pPr>
        <w:pStyle w:val="SCCNormalDoubleSpacing"/>
        <w:spacing w:after="480"/>
        <w:rPr>
          <w:lang w:val="fr-CA"/>
        </w:rPr>
      </w:pPr>
      <w:r>
        <w:rPr>
          <w:lang w:val="fr-CA"/>
        </w:rPr>
        <w:tab/>
        <w:t xml:space="preserve">Premièrement, l’interdiction de publication n’a pas été prononcée sans avis. Si les médias sont présents dans la salle d’audience lorsqu’une interdiction de publication est prononcée, comme l’était la SRC, il s’ensuit qu’ils en connaissent l’existence. Deuxièmement, la SRC ne s’est pas acquittée de son fardeau de démontrer que ses observations envisagées pourraient avoir une incidence importante, ou quelque incidence que ce soit, sur le résultat. </w:t>
      </w:r>
    </w:p>
    <w:p w:rsidR="00CC79D5" w:rsidRDefault="00EE666A">
      <w:pPr>
        <w:pStyle w:val="SCCNormalDoubleSpacing"/>
        <w:spacing w:after="480"/>
        <w:rPr>
          <w:lang w:val="fr-CA"/>
        </w:rPr>
      </w:pPr>
      <w:r>
        <w:rPr>
          <w:lang w:val="fr-CA"/>
        </w:rPr>
        <w:tab/>
        <w:t xml:space="preserve">Troisièmement, </w:t>
      </w:r>
      <w:r w:rsidR="00556B35">
        <w:rPr>
          <w:lang w:val="fr-CA"/>
        </w:rPr>
        <w:t>fait plus important encore</w:t>
      </w:r>
      <w:r>
        <w:rPr>
          <w:lang w:val="fr-CA"/>
        </w:rPr>
        <w:t xml:space="preserve">, </w:t>
      </w:r>
      <w:r w:rsidR="00556B35">
        <w:rPr>
          <w:lang w:val="fr-CA"/>
        </w:rPr>
        <w:t>la tardiveté de</w:t>
      </w:r>
      <w:r>
        <w:rPr>
          <w:lang w:val="fr-CA"/>
        </w:rPr>
        <w:t xml:space="preserve"> la SRC à agir est déterminant. Un délai non expliqué de six mois pour déposer une motion en réexamen d’une interdiction de publication est excessif. Peu importe la définition que l’on donne au concept d’agir « avec célérité », le délai ne saurait être justifié, en particulier parce que la SRC était parfaitement au courant du prononcé de l’interdiction dès le début de l’instance. Le délai en l’espèce cause un préjudice grave aux parties, qui s’attendaient raisonnablement à ce que leur droit au respect de la vie privée et à la dignité soit protégé par le caractère définitif de l’instance. </w:t>
      </w:r>
    </w:p>
    <w:p w:rsidR="00CC79D5" w:rsidRDefault="00EE666A">
      <w:pPr>
        <w:pStyle w:val="SCCNormalDoubleSpacing"/>
        <w:spacing w:after="720" w:line="240" w:lineRule="auto"/>
        <w:rPr>
          <w:b/>
          <w:lang w:val="fr-CA"/>
        </w:rPr>
      </w:pPr>
      <w:r>
        <w:rPr>
          <w:b/>
          <w:lang w:val="fr-CA"/>
        </w:rPr>
        <w:t>Jurisprudence</w:t>
      </w:r>
    </w:p>
    <w:p w:rsidR="00CC79D5" w:rsidRDefault="00EE666A">
      <w:pPr>
        <w:pStyle w:val="SCCNormalDoubleSpacing"/>
        <w:spacing w:after="720" w:line="240" w:lineRule="auto"/>
        <w:rPr>
          <w:lang w:val="fr-CA"/>
        </w:rPr>
      </w:pPr>
      <w:r>
        <w:rPr>
          <w:lang w:val="fr-CA"/>
        </w:rPr>
        <w:t>Citée par le juge Kasirer</w:t>
      </w:r>
    </w:p>
    <w:p w:rsidR="00CC79D5" w:rsidRDefault="00EE666A">
      <w:pPr>
        <w:pStyle w:val="SCCNormalDoubleSpacing"/>
        <w:spacing w:after="480"/>
      </w:pPr>
      <w:r>
        <w:rPr>
          <w:lang w:val="fr-CA"/>
        </w:rPr>
        <w:tab/>
      </w:r>
      <w:r>
        <w:rPr>
          <w:b/>
          <w:lang w:val="fr-CA"/>
        </w:rPr>
        <w:t>Arrêts mentionnés :</w:t>
      </w:r>
      <w:r>
        <w:rPr>
          <w:lang w:val="fr-CA"/>
        </w:rPr>
        <w:t xml:space="preserve"> </w:t>
      </w:r>
      <w:r>
        <w:rPr>
          <w:i/>
          <w:lang w:val="fr-CA"/>
        </w:rPr>
        <w:t>Sherman (Succession) c. Donovan</w:t>
      </w:r>
      <w:r>
        <w:rPr>
          <w:lang w:val="fr-CA"/>
        </w:rPr>
        <w:t xml:space="preserve">, 2021 CSC 25; </w:t>
      </w:r>
      <w:r>
        <w:rPr>
          <w:i/>
          <w:lang w:val="fr-CA"/>
        </w:rPr>
        <w:t>R. c. Ostrowski and Correia</w:t>
      </w:r>
      <w:r>
        <w:rPr>
          <w:lang w:val="fr-CA"/>
        </w:rPr>
        <w:t xml:space="preserve"> (1989), 57 Man. R. (2d) 255, conf. </w:t>
      </w:r>
      <w:r w:rsidRPr="00FB6CBE">
        <w:t xml:space="preserve">par </w:t>
      </w:r>
      <w:r w:rsidRPr="00FB6CBE">
        <w:rPr>
          <w:i/>
        </w:rPr>
        <w:t>R. c. Ostrowski</w:t>
      </w:r>
      <w:r w:rsidRPr="00FB6CBE">
        <w:t xml:space="preserve">, [1990] 2 R.C.S. 82; </w:t>
      </w:r>
      <w:r>
        <w:rPr>
          <w:i/>
          <w:lang w:val="fr-CA"/>
        </w:rPr>
        <w:t>Dagenais c. Société Radio</w:t>
      </w:r>
      <w:r>
        <w:rPr>
          <w:i/>
          <w:lang w:val="fr-CA"/>
        </w:rPr>
        <w:noBreakHyphen/>
        <w:t>Canada</w:t>
      </w:r>
      <w:r>
        <w:rPr>
          <w:lang w:val="fr-CA"/>
        </w:rPr>
        <w:t>,</w:t>
      </w:r>
      <w:r>
        <w:rPr>
          <w:i/>
          <w:lang w:val="fr-CA"/>
        </w:rPr>
        <w:t xml:space="preserve"> </w:t>
      </w:r>
      <w:r>
        <w:rPr>
          <w:lang w:val="fr-CA"/>
        </w:rPr>
        <w:t xml:space="preserve">[1994] 3 R.C.S. 835; </w:t>
      </w:r>
      <w:r>
        <w:rPr>
          <w:i/>
          <w:lang w:val="fr-CA"/>
        </w:rPr>
        <w:t>R. c. Mentuck</w:t>
      </w:r>
      <w:r>
        <w:rPr>
          <w:lang w:val="fr-CA"/>
        </w:rPr>
        <w:t xml:space="preserve">, 2001 CSC 76, [2001] 3 R.C.S. 442; </w:t>
      </w:r>
      <w:r>
        <w:rPr>
          <w:i/>
          <w:lang w:val="fr-CA"/>
        </w:rPr>
        <w:t xml:space="preserve">Chandler c. Alberta Association of </w:t>
      </w:r>
      <w:proofErr w:type="spellStart"/>
      <w:r>
        <w:rPr>
          <w:i/>
          <w:lang w:val="fr-CA"/>
        </w:rPr>
        <w:t>Architects</w:t>
      </w:r>
      <w:proofErr w:type="spellEnd"/>
      <w:r>
        <w:rPr>
          <w:lang w:val="fr-CA"/>
        </w:rPr>
        <w:t xml:space="preserve">, [1989] 2 R.C.S. 848; </w:t>
      </w:r>
      <w:r>
        <w:rPr>
          <w:i/>
          <w:lang w:val="fr-CA"/>
        </w:rPr>
        <w:t xml:space="preserve">Reekie c. </w:t>
      </w:r>
      <w:proofErr w:type="spellStart"/>
      <w:r>
        <w:rPr>
          <w:i/>
          <w:lang w:val="fr-CA"/>
        </w:rPr>
        <w:t>Messervey</w:t>
      </w:r>
      <w:proofErr w:type="spellEnd"/>
      <w:r>
        <w:rPr>
          <w:lang w:val="fr-CA"/>
        </w:rPr>
        <w:t xml:space="preserve">, [1990] 1 R.C.S. 219; </w:t>
      </w:r>
      <w:r>
        <w:rPr>
          <w:i/>
          <w:shd w:val="clear" w:color="auto" w:fill="FFFFFF"/>
          <w:lang w:val="fr-CA"/>
        </w:rPr>
        <w:t>Doucet</w:t>
      </w:r>
      <w:r>
        <w:rPr>
          <w:i/>
          <w:shd w:val="clear" w:color="auto" w:fill="FFFFFF"/>
          <w:lang w:val="fr-CA"/>
        </w:rPr>
        <w:noBreakHyphen/>
        <w:t xml:space="preserve">Boudreau </w:t>
      </w:r>
      <w:r>
        <w:rPr>
          <w:i/>
          <w:iCs/>
          <w:shd w:val="clear" w:color="auto" w:fill="FFFFFF"/>
          <w:lang w:val="fr-CA"/>
        </w:rPr>
        <w:t xml:space="preserve">c. </w:t>
      </w:r>
      <w:r>
        <w:rPr>
          <w:i/>
          <w:shd w:val="clear" w:color="auto" w:fill="FFFFFF"/>
          <w:lang w:val="fr-CA"/>
        </w:rPr>
        <w:t>Nouvelle</w:t>
      </w:r>
      <w:r>
        <w:rPr>
          <w:i/>
          <w:shd w:val="clear" w:color="auto" w:fill="FFFFFF"/>
          <w:lang w:val="fr-CA"/>
        </w:rPr>
        <w:noBreakHyphen/>
        <w:t>Écosse (Ministre de l’Éducation)</w:t>
      </w:r>
      <w:r>
        <w:rPr>
          <w:shd w:val="clear" w:color="auto" w:fill="FFFFFF"/>
          <w:lang w:val="fr-CA"/>
        </w:rPr>
        <w:t xml:space="preserve">, 2003 CSC 62, [2003] 3 R.C.S. 3; </w:t>
      </w:r>
      <w:r>
        <w:rPr>
          <w:i/>
          <w:lang w:val="fr-CA"/>
        </w:rPr>
        <w:t>R. c. Adams</w:t>
      </w:r>
      <w:r>
        <w:rPr>
          <w:lang w:val="fr-CA"/>
        </w:rPr>
        <w:t xml:space="preserve">, [1995] 4 R.C.S. 707; </w:t>
      </w:r>
      <w:r>
        <w:rPr>
          <w:i/>
          <w:lang w:val="fr-CA"/>
        </w:rPr>
        <w:t xml:space="preserve">R. c. </w:t>
      </w:r>
      <w:proofErr w:type="spellStart"/>
      <w:r>
        <w:rPr>
          <w:i/>
          <w:lang w:val="fr-CA"/>
        </w:rPr>
        <w:t>Smithen</w:t>
      </w:r>
      <w:proofErr w:type="spellEnd"/>
      <w:r>
        <w:rPr>
          <w:i/>
          <w:lang w:val="fr-CA"/>
        </w:rPr>
        <w:noBreakHyphen/>
        <w:t>Davis</w:t>
      </w:r>
      <w:r>
        <w:rPr>
          <w:lang w:val="fr-CA"/>
        </w:rPr>
        <w:t xml:space="preserve">, 2020 ONCA 759, 68 C.R. (7th) 75; </w:t>
      </w:r>
      <w:r>
        <w:rPr>
          <w:i/>
          <w:lang w:val="fr-CA"/>
        </w:rPr>
        <w:t xml:space="preserve">Paper </w:t>
      </w:r>
      <w:proofErr w:type="spellStart"/>
      <w:r>
        <w:rPr>
          <w:i/>
          <w:lang w:val="fr-CA"/>
        </w:rPr>
        <w:t>Machinery</w:t>
      </w:r>
      <w:proofErr w:type="spellEnd"/>
      <w:r>
        <w:rPr>
          <w:i/>
          <w:lang w:val="fr-CA"/>
        </w:rPr>
        <w:t xml:space="preserve"> Ltd. c. J.O. Ross Engineering Corp.</w:t>
      </w:r>
      <w:r>
        <w:rPr>
          <w:lang w:val="fr-CA"/>
        </w:rPr>
        <w:t xml:space="preserve">, [1934] R.C.S. 186; </w:t>
      </w:r>
      <w:r>
        <w:rPr>
          <w:i/>
          <w:lang w:val="fr-CA"/>
        </w:rPr>
        <w:t xml:space="preserve">R. c. H. (E.) </w:t>
      </w:r>
      <w:r>
        <w:t xml:space="preserve">(1997), 33 O.R. (3d) 202; </w:t>
      </w:r>
      <w:r>
        <w:rPr>
          <w:i/>
          <w:szCs w:val="24"/>
        </w:rPr>
        <w:t>The Queen c. Jacobs</w:t>
      </w:r>
      <w:r>
        <w:rPr>
          <w:szCs w:val="24"/>
        </w:rPr>
        <w:t xml:space="preserve">, [1971] R.C.S. 92; </w:t>
      </w:r>
      <w:r>
        <w:rPr>
          <w:i/>
        </w:rPr>
        <w:t>R. c. Burke</w:t>
      </w:r>
      <w:r>
        <w:t xml:space="preserve">, 2002 CSC 55, [2002] 2 R.C.S. 857; </w:t>
      </w:r>
      <w:proofErr w:type="spellStart"/>
      <w:r>
        <w:rPr>
          <w:i/>
        </w:rPr>
        <w:t>Tsaoussis</w:t>
      </w:r>
      <w:proofErr w:type="spellEnd"/>
      <w:r>
        <w:rPr>
          <w:i/>
        </w:rPr>
        <w:t xml:space="preserve"> (Litigation Guardian of) c. </w:t>
      </w:r>
      <w:proofErr w:type="spellStart"/>
      <w:r>
        <w:rPr>
          <w:i/>
        </w:rPr>
        <w:t>Baetz</w:t>
      </w:r>
      <w:proofErr w:type="spellEnd"/>
      <w:r>
        <w:rPr>
          <w:i/>
        </w:rPr>
        <w:t xml:space="preserve"> </w:t>
      </w:r>
      <w:r>
        <w:t xml:space="preserve">(1998), 41 O.R. (3d) 257; </w:t>
      </w:r>
      <w:r>
        <w:rPr>
          <w:i/>
        </w:rPr>
        <w:t>Ayangma c. French School Board</w:t>
      </w:r>
      <w:r>
        <w:t xml:space="preserve">, 2011 PECA 3, 306 Nfld. &amp; P.E.I.R. 103; </w:t>
      </w:r>
      <w:r>
        <w:rPr>
          <w:i/>
        </w:rPr>
        <w:t>GEA Refrigeration Canada Inc. c. Chang</w:t>
      </w:r>
      <w:r>
        <w:t xml:space="preserve">, 2020 BCCA 361, 43 B.C.L.R. (6th) 330; </w:t>
      </w:r>
      <w:r>
        <w:rPr>
          <w:i/>
        </w:rPr>
        <w:t>Procureur général de la Nouvelle</w:t>
      </w:r>
      <w:r>
        <w:rPr>
          <w:i/>
        </w:rPr>
        <w:noBreakHyphen/>
        <w:t>Écosse c. MacIntyre</w:t>
      </w:r>
      <w:r>
        <w:t xml:space="preserve">, [1982] 1 R.C.S. 175; </w:t>
      </w:r>
      <w:r>
        <w:rPr>
          <w:i/>
        </w:rPr>
        <w:t>Société Radio</w:t>
      </w:r>
      <w:r>
        <w:rPr>
          <w:i/>
        </w:rPr>
        <w:noBreakHyphen/>
        <w:t>Canada c. La Reine</w:t>
      </w:r>
      <w:r>
        <w:t xml:space="preserve">, 2011 CSC 3, [2011] 1 R.C.S. 65; </w:t>
      </w:r>
      <w:r>
        <w:rPr>
          <w:i/>
        </w:rPr>
        <w:t>CTV Television Inc. c. Ontario Superior Court of Justice (Toronto Region)</w:t>
      </w:r>
      <w:r>
        <w:t xml:space="preserve"> (2002), 59 O.R. (3d) 18; </w:t>
      </w:r>
      <w:r>
        <w:rPr>
          <w:i/>
        </w:rPr>
        <w:t>Vancouver Sun (Re)</w:t>
      </w:r>
      <w:r>
        <w:t xml:space="preserve">, 2004 CSC 43, [2004] 2 R.C.S. 332; </w:t>
      </w:r>
      <w:r>
        <w:rPr>
          <w:i/>
        </w:rPr>
        <w:t>R. c. Wagner</w:t>
      </w:r>
      <w:r>
        <w:t xml:space="preserve">, 2017 ONSC 6603; </w:t>
      </w:r>
      <w:r>
        <w:rPr>
          <w:i/>
        </w:rPr>
        <w:t>R. c. Henry</w:t>
      </w:r>
      <w:r>
        <w:t xml:space="preserve">, 2012 BCCA 374, 327 B.C.A.C. 190; </w:t>
      </w:r>
      <w:r>
        <w:rPr>
          <w:i/>
        </w:rPr>
        <w:t xml:space="preserve">In re St. </w:t>
      </w:r>
      <w:proofErr w:type="spellStart"/>
      <w:r>
        <w:rPr>
          <w:i/>
        </w:rPr>
        <w:t>Nazaire</w:t>
      </w:r>
      <w:proofErr w:type="spellEnd"/>
      <w:r>
        <w:rPr>
          <w:i/>
        </w:rPr>
        <w:t xml:space="preserve"> Co.</w:t>
      </w:r>
      <w:r>
        <w:t xml:space="preserve"> (1879), 12 Ch. D. 88; </w:t>
      </w:r>
      <w:proofErr w:type="spellStart"/>
      <w:r>
        <w:rPr>
          <w:i/>
          <w:spacing w:val="-3"/>
          <w:shd w:val="clear" w:color="auto" w:fill="FFFFFF"/>
        </w:rPr>
        <w:t>Supermarchés</w:t>
      </w:r>
      <w:proofErr w:type="spellEnd"/>
      <w:r>
        <w:rPr>
          <w:i/>
          <w:spacing w:val="-3"/>
          <w:shd w:val="clear" w:color="auto" w:fill="FFFFFF"/>
        </w:rPr>
        <w:t xml:space="preserve"> Jean Labrecque Inc. c. Flamand</w:t>
      </w:r>
      <w:r>
        <w:rPr>
          <w:spacing w:val="-3"/>
          <w:shd w:val="clear" w:color="auto" w:fill="FFFFFF"/>
        </w:rPr>
        <w:t xml:space="preserve">, [1987] 2 R.C.S. 219; </w:t>
      </w:r>
      <w:r>
        <w:rPr>
          <w:i/>
        </w:rPr>
        <w:t>Wilson c. La Reine</w:t>
      </w:r>
      <w:r>
        <w:t xml:space="preserve">, [1983] 2 R.C.S. 594; </w:t>
      </w:r>
      <w:r>
        <w:rPr>
          <w:i/>
        </w:rPr>
        <w:t>Dickie c. Woodworth</w:t>
      </w:r>
      <w:r>
        <w:t xml:space="preserve"> (1883), 8 R.C.S. 192; </w:t>
      </w:r>
      <w:r>
        <w:rPr>
          <w:i/>
        </w:rPr>
        <w:t xml:space="preserve">Hollinger Inc. c. The </w:t>
      </w:r>
      <w:proofErr w:type="spellStart"/>
      <w:r>
        <w:rPr>
          <w:i/>
        </w:rPr>
        <w:t>Ravelston</w:t>
      </w:r>
      <w:proofErr w:type="spellEnd"/>
      <w:r>
        <w:rPr>
          <w:i/>
        </w:rPr>
        <w:t xml:space="preserve"> Corp.</w:t>
      </w:r>
      <w:r>
        <w:t xml:space="preserve">, 2008 ONCA 207, 89 O.R. (3d) 721; </w:t>
      </w:r>
      <w:r>
        <w:rPr>
          <w:i/>
        </w:rPr>
        <w:t>Sierra Club du Canada c. Canada (Ministre des Finances)</w:t>
      </w:r>
      <w:r>
        <w:t xml:space="preserve">, 2002 CSC 41, [2002] 2 R.C.S. 522; </w:t>
      </w:r>
      <w:r>
        <w:rPr>
          <w:i/>
        </w:rPr>
        <w:t>R. c. White</w:t>
      </w:r>
      <w:r>
        <w:t xml:space="preserve">, 2008 ABCA 294, 93 Alta. L.R. (4th) 239, conf. par </w:t>
      </w:r>
      <w:r>
        <w:rPr>
          <w:i/>
        </w:rPr>
        <w:t>Toronto Star Newspaper Ltd. c. Canada</w:t>
      </w:r>
      <w:r>
        <w:t xml:space="preserve">, 2010 CSC 21, [2010] 1 R.C.S. 721; </w:t>
      </w:r>
      <w:r>
        <w:rPr>
          <w:i/>
        </w:rPr>
        <w:t>Société Radio</w:t>
      </w:r>
      <w:r>
        <w:rPr>
          <w:i/>
        </w:rPr>
        <w:noBreakHyphen/>
        <w:t>Canada c. Canada (Procureur général)</w:t>
      </w:r>
      <w:r>
        <w:t xml:space="preserve">, 2011 CSC 2, [2011] 1 R.C.S. 19; </w:t>
      </w:r>
      <w:proofErr w:type="spellStart"/>
      <w:r>
        <w:rPr>
          <w:i/>
        </w:rPr>
        <w:t>Ivandaeva</w:t>
      </w:r>
      <w:proofErr w:type="spellEnd"/>
      <w:r>
        <w:rPr>
          <w:i/>
        </w:rPr>
        <w:t xml:space="preserve"> Total Image Salon Inc. c. </w:t>
      </w:r>
      <w:proofErr w:type="spellStart"/>
      <w:r>
        <w:rPr>
          <w:i/>
        </w:rPr>
        <w:t>Hlembizky</w:t>
      </w:r>
      <w:proofErr w:type="spellEnd"/>
      <w:r>
        <w:t xml:space="preserve"> (2003), 63 O.R. (3d) 769; </w:t>
      </w:r>
      <w:r>
        <w:rPr>
          <w:i/>
        </w:rPr>
        <w:t>Canadian Transportation Accident Investigation and Safety Board c. Canadian Press</w:t>
      </w:r>
      <w:r>
        <w:t xml:space="preserve"> (2000), 184 N.S.R. (2d) 159; </w:t>
      </w:r>
      <w:r>
        <w:rPr>
          <w:i/>
          <w:shd w:val="clear" w:color="auto" w:fill="FFFFFF"/>
        </w:rPr>
        <w:t>9095</w:t>
      </w:r>
      <w:r>
        <w:rPr>
          <w:i/>
          <w:shd w:val="clear" w:color="auto" w:fill="FFFFFF"/>
        </w:rPr>
        <w:noBreakHyphen/>
        <w:t xml:space="preserve">7267 Québec inc. c. Caisse </w:t>
      </w:r>
      <w:proofErr w:type="spellStart"/>
      <w:r>
        <w:rPr>
          <w:i/>
          <w:shd w:val="clear" w:color="auto" w:fill="FFFFFF"/>
        </w:rPr>
        <w:t>populaire</w:t>
      </w:r>
      <w:proofErr w:type="spellEnd"/>
      <w:r>
        <w:rPr>
          <w:i/>
          <w:shd w:val="clear" w:color="auto" w:fill="FFFFFF"/>
        </w:rPr>
        <w:t xml:space="preserve"> Ste</w:t>
      </w:r>
      <w:r>
        <w:rPr>
          <w:i/>
          <w:shd w:val="clear" w:color="auto" w:fill="FFFFFF"/>
        </w:rPr>
        <w:noBreakHyphen/>
      </w:r>
      <w:proofErr w:type="spellStart"/>
      <w:r>
        <w:rPr>
          <w:i/>
          <w:shd w:val="clear" w:color="auto" w:fill="FFFFFF"/>
        </w:rPr>
        <w:t>Thérèse</w:t>
      </w:r>
      <w:proofErr w:type="spellEnd"/>
      <w:r>
        <w:rPr>
          <w:i/>
          <w:shd w:val="clear" w:color="auto" w:fill="FFFFFF"/>
        </w:rPr>
        <w:noBreakHyphen/>
        <w:t>de</w:t>
      </w:r>
      <w:r>
        <w:rPr>
          <w:i/>
          <w:shd w:val="clear" w:color="auto" w:fill="FFFFFF"/>
        </w:rPr>
        <w:noBreakHyphen/>
      </w:r>
      <w:proofErr w:type="spellStart"/>
      <w:r>
        <w:rPr>
          <w:i/>
          <w:shd w:val="clear" w:color="auto" w:fill="FFFFFF"/>
        </w:rPr>
        <w:t>Blainville</w:t>
      </w:r>
      <w:proofErr w:type="spellEnd"/>
      <w:r w:rsidRPr="00EE666A">
        <w:rPr>
          <w:shd w:val="clear" w:color="auto" w:fill="FFFFFF"/>
        </w:rPr>
        <w:t>,</w:t>
      </w:r>
      <w:r>
        <w:rPr>
          <w:i/>
          <w:shd w:val="clear" w:color="auto" w:fill="FFFFFF"/>
        </w:rPr>
        <w:t xml:space="preserve"> </w:t>
      </w:r>
      <w:r>
        <w:rPr>
          <w:shd w:val="clear" w:color="auto" w:fill="FFFFFF"/>
        </w:rPr>
        <w:t xml:space="preserve">2001 CanLII 14878; </w:t>
      </w:r>
      <w:r>
        <w:rPr>
          <w:i/>
        </w:rPr>
        <w:t xml:space="preserve">Attorney General of Ontario c. 15 </w:t>
      </w:r>
      <w:proofErr w:type="spellStart"/>
      <w:r>
        <w:rPr>
          <w:i/>
        </w:rPr>
        <w:t>Johnswood</w:t>
      </w:r>
      <w:proofErr w:type="spellEnd"/>
      <w:r>
        <w:rPr>
          <w:i/>
        </w:rPr>
        <w:t xml:space="preserve"> Crescent</w:t>
      </w:r>
      <w:r>
        <w:t xml:space="preserve">, 2009 CanLII 50751; </w:t>
      </w:r>
      <w:r>
        <w:rPr>
          <w:i/>
          <w:shd w:val="clear" w:color="auto" w:fill="FFFFFF"/>
        </w:rPr>
        <w:t xml:space="preserve">Marché </w:t>
      </w:r>
      <w:proofErr w:type="spellStart"/>
      <w:r>
        <w:rPr>
          <w:i/>
          <w:shd w:val="clear" w:color="auto" w:fill="FFFFFF"/>
        </w:rPr>
        <w:t>D’Alimentation</w:t>
      </w:r>
      <w:proofErr w:type="spellEnd"/>
      <w:r>
        <w:rPr>
          <w:i/>
          <w:shd w:val="clear" w:color="auto" w:fill="FFFFFF"/>
        </w:rPr>
        <w:t xml:space="preserve"> Denis Thériault Ltée c. Giant Tiger Stores Ltd.</w:t>
      </w:r>
      <w:r>
        <w:rPr>
          <w:shd w:val="clear" w:color="auto" w:fill="FFFFFF"/>
        </w:rPr>
        <w:t xml:space="preserve">, 2007 ONCA 695, 87 O.R. (3d) 660; </w:t>
      </w:r>
      <w:r>
        <w:rPr>
          <w:i/>
          <w:shd w:val="clear" w:color="auto" w:fill="FFFFFF"/>
        </w:rPr>
        <w:t>1196158 Ontario Inc. c. 6274013 Canada Ltd.</w:t>
      </w:r>
      <w:r>
        <w:rPr>
          <w:shd w:val="clear" w:color="auto" w:fill="FFFFFF"/>
        </w:rPr>
        <w:t xml:space="preserve">, 2012 ONCA 544, 112 O.R. (3d) 67; </w:t>
      </w:r>
      <w:r>
        <w:rPr>
          <w:i/>
          <w:shd w:val="clear" w:color="auto" w:fill="FFFFFF"/>
        </w:rPr>
        <w:t xml:space="preserve">Toronto Standard Condominium Corporation No. 2058 c. </w:t>
      </w:r>
      <w:proofErr w:type="spellStart"/>
      <w:r>
        <w:rPr>
          <w:i/>
          <w:shd w:val="clear" w:color="auto" w:fill="FFFFFF"/>
        </w:rPr>
        <w:t>Cresford</w:t>
      </w:r>
      <w:proofErr w:type="spellEnd"/>
      <w:r>
        <w:rPr>
          <w:i/>
          <w:shd w:val="clear" w:color="auto" w:fill="FFFFFF"/>
        </w:rPr>
        <w:t xml:space="preserve"> Developments Inc.</w:t>
      </w:r>
      <w:r>
        <w:rPr>
          <w:shd w:val="clear" w:color="auto" w:fill="FFFFFF"/>
        </w:rPr>
        <w:t xml:space="preserve">, 2019 ONSC 801, 97 C.L.R. (4th) 306; </w:t>
      </w:r>
      <w:r>
        <w:rPr>
          <w:i/>
          <w:shd w:val="clear" w:color="auto" w:fill="FFFFFF"/>
        </w:rPr>
        <w:t>1202600 Ontario Inc. c. Jacob</w:t>
      </w:r>
      <w:r>
        <w:rPr>
          <w:shd w:val="clear" w:color="auto" w:fill="FFFFFF"/>
        </w:rPr>
        <w:t xml:space="preserve">, 2012 ONSC 361; </w:t>
      </w:r>
      <w:r>
        <w:rPr>
          <w:i/>
          <w:shd w:val="clear" w:color="auto" w:fill="FFFFFF"/>
        </w:rPr>
        <w:t>585430 Alberta Ltd. c. Trans Canada Leasing Inc.</w:t>
      </w:r>
      <w:r>
        <w:rPr>
          <w:shd w:val="clear" w:color="auto" w:fill="FFFFFF"/>
        </w:rPr>
        <w:t xml:space="preserve">, 2005 MBQB 220, 196 Man. R. (2d) 191; </w:t>
      </w:r>
      <w:r>
        <w:rPr>
          <w:i/>
          <w:shd w:val="clear" w:color="auto" w:fill="FFFFFF"/>
        </w:rPr>
        <w:t>Jane Doe c. Manitoba</w:t>
      </w:r>
      <w:r>
        <w:rPr>
          <w:shd w:val="clear" w:color="auto" w:fill="FFFFFF"/>
        </w:rPr>
        <w:t xml:space="preserve">, 2005 MBCA 57, 192 Man. R. (2d) 309; </w:t>
      </w:r>
      <w:r>
        <w:rPr>
          <w:i/>
        </w:rPr>
        <w:t>M. (A.) c. Toronto Police Service</w:t>
      </w:r>
      <w:r>
        <w:t xml:space="preserve">, 2015 ONSC 5684, 127 O.R. (3d) </w:t>
      </w:r>
      <w:r w:rsidRPr="00FB6CBE">
        <w:t xml:space="preserve">382; </w:t>
      </w:r>
      <w:r w:rsidRPr="00FB6CBE">
        <w:rPr>
          <w:i/>
        </w:rPr>
        <w:t>R. c. National Post</w:t>
      </w:r>
      <w:r w:rsidRPr="00FB6CBE">
        <w:t>, 2010 CSC 16, [2010] 1 R.C.S. 477;</w:t>
      </w:r>
      <w:r>
        <w:rPr>
          <w:rStyle w:val="Hyperlink"/>
          <w:color w:val="auto"/>
          <w:u w:val="none"/>
        </w:rPr>
        <w:t xml:space="preserve"> </w:t>
      </w:r>
      <w:r>
        <w:rPr>
          <w:i/>
        </w:rPr>
        <w:t>R. c. Média Vice Canada Inc.</w:t>
      </w:r>
      <w:r>
        <w:t>, 2018 CSC 53, [2018] 3 R.C.S. 374;</w:t>
      </w:r>
      <w:r>
        <w:rPr>
          <w:i/>
        </w:rPr>
        <w:t xml:space="preserve"> British Columbia c. BCTF</w:t>
      </w:r>
      <w:r>
        <w:t xml:space="preserve">, 2015 BCCA 185, 75 B.C.L.R. (5th) 257; </w:t>
      </w:r>
      <w:r>
        <w:rPr>
          <w:i/>
        </w:rPr>
        <w:t>Morin c. R.</w:t>
      </w:r>
      <w:r>
        <w:t xml:space="preserve"> (1997), 32 O.R. (3d) 265; </w:t>
      </w:r>
      <w:r>
        <w:rPr>
          <w:i/>
          <w:lang w:val="en-US"/>
        </w:rPr>
        <w:t>R. c. B. (H.)</w:t>
      </w:r>
      <w:r>
        <w:rPr>
          <w:lang w:val="en-US"/>
        </w:rPr>
        <w:t>, 2016 ONCA 953, 345 C.C.C. (3d) 206;</w:t>
      </w:r>
      <w:r>
        <w:t xml:space="preserve"> </w:t>
      </w:r>
      <w:r>
        <w:rPr>
          <w:i/>
          <w:lang w:val="en-US"/>
        </w:rPr>
        <w:t>R. c. Le</w:t>
      </w:r>
      <w:r>
        <w:rPr>
          <w:lang w:val="en-US"/>
        </w:rPr>
        <w:t xml:space="preserve">, 2011 MBCA 83, 270 Man. R. (2d) 82; </w:t>
      </w:r>
      <w:r>
        <w:rPr>
          <w:i/>
        </w:rPr>
        <w:t>L.M.P. c. L.S.</w:t>
      </w:r>
      <w:r>
        <w:t xml:space="preserve">, 2011 CSC 64, [2011] 3 R.C.S. 775; </w:t>
      </w:r>
      <w:r>
        <w:rPr>
          <w:i/>
        </w:rPr>
        <w:t>Droit de la famille — 132380</w:t>
      </w:r>
      <w:r>
        <w:t xml:space="preserve">, 2013 QCCA 1504, 37 R.F.L. (7th) 1; </w:t>
      </w:r>
      <w:r>
        <w:rPr>
          <w:i/>
        </w:rPr>
        <w:t xml:space="preserve">R. c. </w:t>
      </w:r>
      <w:proofErr w:type="spellStart"/>
      <w:r>
        <w:rPr>
          <w:i/>
        </w:rPr>
        <w:t>Baltovitch</w:t>
      </w:r>
      <w:proofErr w:type="spellEnd"/>
      <w:r>
        <w:t xml:space="preserve"> (2000), 47 O.R. (3d) 761; </w:t>
      </w:r>
      <w:r>
        <w:rPr>
          <w:i/>
          <w:shd w:val="clear" w:color="auto" w:fill="FFFFFF"/>
        </w:rPr>
        <w:t xml:space="preserve">R. </w:t>
      </w:r>
      <w:r>
        <w:rPr>
          <w:i/>
          <w:iCs/>
          <w:shd w:val="clear" w:color="auto" w:fill="FFFFFF"/>
        </w:rPr>
        <w:t>c</w:t>
      </w:r>
      <w:r>
        <w:rPr>
          <w:i/>
          <w:shd w:val="clear" w:color="auto" w:fill="FFFFFF"/>
        </w:rPr>
        <w:t>. Smith</w:t>
      </w:r>
      <w:r>
        <w:rPr>
          <w:shd w:val="clear" w:color="auto" w:fill="FFFFFF"/>
        </w:rPr>
        <w:t>, 2004 CSC 14</w:t>
      </w:r>
      <w:r>
        <w:t xml:space="preserve">, </w:t>
      </w:r>
      <w:r>
        <w:rPr>
          <w:shd w:val="clear" w:color="auto" w:fill="FFFFFF"/>
        </w:rPr>
        <w:t>[2004] 1 R.C.S. 385;</w:t>
      </w:r>
      <w:r>
        <w:rPr>
          <w:i/>
          <w:shd w:val="clear" w:color="auto" w:fill="FFFFFF"/>
        </w:rPr>
        <w:t xml:space="preserve"> R. </w:t>
      </w:r>
      <w:r>
        <w:rPr>
          <w:i/>
          <w:iCs/>
          <w:shd w:val="clear" w:color="auto" w:fill="FFFFFF"/>
        </w:rPr>
        <w:t xml:space="preserve">c. </w:t>
      </w:r>
      <w:r>
        <w:rPr>
          <w:i/>
          <w:shd w:val="clear" w:color="auto" w:fill="FFFFFF"/>
        </w:rPr>
        <w:t>Cunningham</w:t>
      </w:r>
      <w:r>
        <w:rPr>
          <w:shd w:val="clear" w:color="auto" w:fill="FFFFFF"/>
        </w:rPr>
        <w:t xml:space="preserve">, 2010 CSC 10, [2010] 1 R.C.S. 331; </w:t>
      </w:r>
      <w:proofErr w:type="spellStart"/>
      <w:r>
        <w:rPr>
          <w:i/>
        </w:rPr>
        <w:t>Lochner</w:t>
      </w:r>
      <w:proofErr w:type="spellEnd"/>
      <w:r>
        <w:rPr>
          <w:i/>
        </w:rPr>
        <w:t xml:space="preserve"> c. Ontario Civilian Police Commission</w:t>
      </w:r>
      <w:r>
        <w:t>, 2020 ONCA 720;</w:t>
      </w:r>
      <w:r>
        <w:rPr>
          <w:shd w:val="clear" w:color="auto" w:fill="FFFFFF"/>
        </w:rPr>
        <w:t xml:space="preserve"> </w:t>
      </w:r>
      <w:r>
        <w:rPr>
          <w:i/>
        </w:rPr>
        <w:t>A.B. c. Bragg Communications Inc.</w:t>
      </w:r>
      <w:r>
        <w:t>, 2012 CSC 46, [2012] 2 R.C.S. 567</w:t>
      </w:r>
      <w:r w:rsidRPr="00FB6CBE">
        <w:t xml:space="preserve">; </w:t>
      </w:r>
      <w:r w:rsidRPr="00FB6CBE">
        <w:rPr>
          <w:i/>
        </w:rPr>
        <w:t>Société Radio</w:t>
      </w:r>
      <w:r w:rsidRPr="00FB6CBE">
        <w:rPr>
          <w:i/>
        </w:rPr>
        <w:noBreakHyphen/>
        <w:t>Canada c. Nouveau</w:t>
      </w:r>
      <w:r w:rsidRPr="00FB6CBE">
        <w:rPr>
          <w:i/>
        </w:rPr>
        <w:noBreakHyphen/>
        <w:t>Brunswick (Procureur général)</w:t>
      </w:r>
      <w:r w:rsidRPr="00FB6CBE">
        <w:t xml:space="preserve">, [1996] 3 R.C.S. 480; </w:t>
      </w:r>
      <w:r w:rsidRPr="00FB6CBE">
        <w:rPr>
          <w:i/>
        </w:rPr>
        <w:t>Lavigne c. Canada (Commissariat aux langues officielles)</w:t>
      </w:r>
      <w:r w:rsidRPr="00FB6CBE">
        <w:t xml:space="preserve">, 2002 CSC 53, [2002] 2 R.C.S. 773; </w:t>
      </w:r>
      <w:r>
        <w:rPr>
          <w:i/>
        </w:rPr>
        <w:t>Edmonton Journal c. Alberta (Procureur général)</w:t>
      </w:r>
      <w:r>
        <w:t xml:space="preserve">, [1989] 2 R.C.S. 1326; </w:t>
      </w:r>
      <w:r>
        <w:rPr>
          <w:i/>
        </w:rPr>
        <w:t>Canadian Broadcasting Corp. c. R.</w:t>
      </w:r>
      <w:r>
        <w:t xml:space="preserve">, 2010 ONCA 726, 102 O.R. (3d) 673; </w:t>
      </w:r>
      <w:r>
        <w:rPr>
          <w:i/>
        </w:rPr>
        <w:t>Aboriginal Peoples Television Network c. Alberta (Attorney General)</w:t>
      </w:r>
      <w:r>
        <w:t xml:space="preserve">, 2018 ABCA 133, 70 Alta. L.R. (6th) 246; </w:t>
      </w:r>
      <w:r>
        <w:rPr>
          <w:i/>
        </w:rPr>
        <w:t>R. c. Regan</w:t>
      </w:r>
      <w:r>
        <w:t xml:space="preserve">, 2002 CSC 12, [2002] 1 R.C.S. 297; </w:t>
      </w:r>
      <w:r>
        <w:rPr>
          <w:i/>
        </w:rPr>
        <w:t>Galambos c. Perez</w:t>
      </w:r>
      <w:r>
        <w:t xml:space="preserve">, 2009 CSC 48, [2009] 3 R.C.S. 247; </w:t>
      </w:r>
      <w:r>
        <w:rPr>
          <w:i/>
        </w:rPr>
        <w:t>Saadati c. Moorhead</w:t>
      </w:r>
      <w:r>
        <w:t xml:space="preserve">, 2017 CSC 28, [2017] 1 R.C.S. 543; </w:t>
      </w:r>
      <w:r>
        <w:rPr>
          <w:i/>
        </w:rPr>
        <w:t>Wells c. Terre</w:t>
      </w:r>
      <w:r>
        <w:rPr>
          <w:i/>
        </w:rPr>
        <w:noBreakHyphen/>
        <w:t>Neuve</w:t>
      </w:r>
      <w:r>
        <w:t xml:space="preserve">, [1999] 3 R.C.S. 199; </w:t>
      </w:r>
      <w:r>
        <w:rPr>
          <w:i/>
        </w:rPr>
        <w:t>Secure 2013 Group Inc. c. Tiger Calcium Services Inc.</w:t>
      </w:r>
      <w:r>
        <w:t xml:space="preserve">, 2017 ABCA 316, 58 Alta. L.R. (6th) 209; </w:t>
      </w:r>
      <w:r>
        <w:rPr>
          <w:i/>
        </w:rPr>
        <w:t>Canadian Planning and Design Consultants Inc. c. Libya (State)</w:t>
      </w:r>
      <w:r>
        <w:t xml:space="preserve">, 2015 ONCA 661, 340 O.A.C. 98; </w:t>
      </w:r>
      <w:r>
        <w:rPr>
          <w:i/>
        </w:rPr>
        <w:t>Gray c. Gray</w:t>
      </w:r>
      <w:r>
        <w:t xml:space="preserve">, 2017 ONCA 100, 137 O.R. (3d) 65; </w:t>
      </w:r>
      <w:r>
        <w:rPr>
          <w:i/>
        </w:rPr>
        <w:t>MK Engineering Inc. c. Assn. of Professional Engineers and Geoscientists of Alberta Appeal Board</w:t>
      </w:r>
      <w:r>
        <w:t xml:space="preserve">, 2014 ABCA 58, 68 Admin. L.R. (5th) 135; </w:t>
      </w:r>
      <w:proofErr w:type="spellStart"/>
      <w:r>
        <w:rPr>
          <w:i/>
        </w:rPr>
        <w:t>Aleong</w:t>
      </w:r>
      <w:proofErr w:type="spellEnd"/>
      <w:r>
        <w:rPr>
          <w:i/>
        </w:rPr>
        <w:t xml:space="preserve"> c. </w:t>
      </w:r>
      <w:proofErr w:type="spellStart"/>
      <w:r>
        <w:rPr>
          <w:i/>
        </w:rPr>
        <w:t>Aleong</w:t>
      </w:r>
      <w:proofErr w:type="spellEnd"/>
      <w:r>
        <w:t xml:space="preserve">, 2013 BCCA 299, 340 B.C.A.C. 44; </w:t>
      </w:r>
      <w:r>
        <w:rPr>
          <w:i/>
        </w:rPr>
        <w:t>Canadian Cablesystems (Ontario) Ltd. c. Consumers’ Association of Canada</w:t>
      </w:r>
      <w:r>
        <w:t>, [1977] 2 R.C.S. 740.</w:t>
      </w:r>
    </w:p>
    <w:p w:rsidR="00CC79D5" w:rsidRDefault="00EE666A">
      <w:pPr>
        <w:pStyle w:val="SCCNormalDoubleSpacing"/>
        <w:spacing w:after="720" w:line="240" w:lineRule="auto"/>
        <w:rPr>
          <w:lang w:val="fr-CA"/>
        </w:rPr>
      </w:pPr>
      <w:r>
        <w:rPr>
          <w:lang w:val="fr-CA"/>
        </w:rPr>
        <w:t>Citée par la juge Abella (dissidente)</w:t>
      </w:r>
    </w:p>
    <w:p w:rsidR="00CC79D5" w:rsidRDefault="00EE666A">
      <w:pPr>
        <w:pStyle w:val="SCCNormalDoubleSpacing"/>
        <w:spacing w:after="480"/>
        <w:rPr>
          <w:lang w:val="fr-CA"/>
        </w:rPr>
      </w:pPr>
      <w:r>
        <w:rPr>
          <w:lang w:val="fr-CA"/>
        </w:rPr>
        <w:tab/>
      </w:r>
      <w:r>
        <w:rPr>
          <w:i/>
          <w:lang w:val="fr-CA"/>
        </w:rPr>
        <w:t>Dagenais c. Société Radio</w:t>
      </w:r>
      <w:r>
        <w:rPr>
          <w:i/>
          <w:lang w:val="fr-CA"/>
        </w:rPr>
        <w:noBreakHyphen/>
        <w:t>Canada</w:t>
      </w:r>
      <w:r>
        <w:rPr>
          <w:lang w:val="fr-CA"/>
        </w:rPr>
        <w:t xml:space="preserve">, [1994] 3 R.C.S. 835; </w:t>
      </w:r>
      <w:r>
        <w:rPr>
          <w:i/>
          <w:lang w:val="fr-CA"/>
        </w:rPr>
        <w:t>R. c. Adams</w:t>
      </w:r>
      <w:r>
        <w:rPr>
          <w:lang w:val="fr-CA"/>
        </w:rPr>
        <w:t xml:space="preserve">, [1995] 4 R.C.S. 707; </w:t>
      </w:r>
      <w:r>
        <w:rPr>
          <w:i/>
          <w:lang w:val="fr-CA"/>
        </w:rPr>
        <w:t>Nova Scotia Government and General Employees Union c. Capital District Health Authority</w:t>
      </w:r>
      <w:r>
        <w:rPr>
          <w:lang w:val="fr-CA"/>
        </w:rPr>
        <w:t xml:space="preserve">, 2006 NSCA 85, 246 N.S.R. (2d) 104; </w:t>
      </w:r>
      <w:proofErr w:type="spellStart"/>
      <w:r>
        <w:rPr>
          <w:i/>
          <w:lang w:val="fr-CA"/>
        </w:rPr>
        <w:t>Tsaoussis</w:t>
      </w:r>
      <w:proofErr w:type="spellEnd"/>
      <w:r>
        <w:rPr>
          <w:i/>
          <w:lang w:val="fr-CA"/>
        </w:rPr>
        <w:t xml:space="preserve"> (Litigation Guardian of) c. </w:t>
      </w:r>
      <w:proofErr w:type="spellStart"/>
      <w:r>
        <w:rPr>
          <w:i/>
          <w:lang w:val="fr-CA"/>
        </w:rPr>
        <w:t>Baetz</w:t>
      </w:r>
      <w:proofErr w:type="spellEnd"/>
      <w:r>
        <w:rPr>
          <w:lang w:val="fr-CA"/>
        </w:rPr>
        <w:t xml:space="preserve"> (1998), 41 O.R. (3d) 257; </w:t>
      </w:r>
      <w:r>
        <w:rPr>
          <w:i/>
          <w:lang w:val="fr-CA"/>
        </w:rPr>
        <w:t>Doucet</w:t>
      </w:r>
      <w:r>
        <w:rPr>
          <w:i/>
          <w:lang w:val="fr-CA"/>
        </w:rPr>
        <w:noBreakHyphen/>
        <w:t>Boudreau c. Nouvelle</w:t>
      </w:r>
      <w:r>
        <w:rPr>
          <w:i/>
          <w:lang w:val="fr-CA"/>
        </w:rPr>
        <w:noBreakHyphen/>
        <w:t>Écosse (Ministre de l’Éducation)</w:t>
      </w:r>
      <w:r>
        <w:rPr>
          <w:lang w:val="fr-CA"/>
        </w:rPr>
        <w:t xml:space="preserve">, 2003 CSC 62, [2003] 3 R.C.S. 3; </w:t>
      </w:r>
      <w:r>
        <w:rPr>
          <w:i/>
          <w:lang w:val="fr-CA"/>
        </w:rPr>
        <w:t>R. c. Henry</w:t>
      </w:r>
      <w:r>
        <w:rPr>
          <w:lang w:val="fr-CA"/>
        </w:rPr>
        <w:t xml:space="preserve">, 2012 BCCA 374, 327 B.C.A.C. 190; </w:t>
      </w:r>
      <w:r>
        <w:rPr>
          <w:i/>
          <w:lang w:val="fr-CA"/>
        </w:rPr>
        <w:t>British Columbia c. BCTF</w:t>
      </w:r>
      <w:r>
        <w:rPr>
          <w:lang w:val="fr-CA"/>
        </w:rPr>
        <w:t xml:space="preserve">, 2015 BCCA 185, 75 B.C.L.R. (5th) 257; </w:t>
      </w:r>
      <w:r>
        <w:rPr>
          <w:i/>
          <w:spacing w:val="-3"/>
          <w:lang w:val="fr-CA"/>
        </w:rPr>
        <w:t xml:space="preserve">R. c. </w:t>
      </w:r>
      <w:proofErr w:type="spellStart"/>
      <w:r>
        <w:rPr>
          <w:i/>
          <w:spacing w:val="-3"/>
          <w:lang w:val="fr-CA"/>
        </w:rPr>
        <w:t>Khela</w:t>
      </w:r>
      <w:proofErr w:type="spellEnd"/>
      <w:r>
        <w:rPr>
          <w:spacing w:val="-3"/>
          <w:lang w:val="fr-CA"/>
        </w:rPr>
        <w:t xml:space="preserve">, [1995] 4 R.C.S. 201; </w:t>
      </w:r>
      <w:proofErr w:type="spellStart"/>
      <w:r>
        <w:rPr>
          <w:i/>
          <w:lang w:val="fr-CA"/>
        </w:rPr>
        <w:t>Hollinger</w:t>
      </w:r>
      <w:proofErr w:type="spellEnd"/>
      <w:r>
        <w:rPr>
          <w:i/>
          <w:lang w:val="fr-CA"/>
        </w:rPr>
        <w:t xml:space="preserve"> Inc. c. </w:t>
      </w:r>
      <w:proofErr w:type="spellStart"/>
      <w:r>
        <w:rPr>
          <w:i/>
          <w:lang w:val="fr-CA"/>
        </w:rPr>
        <w:t>Ravelston</w:t>
      </w:r>
      <w:proofErr w:type="spellEnd"/>
      <w:r>
        <w:rPr>
          <w:i/>
          <w:lang w:val="fr-CA"/>
        </w:rPr>
        <w:t xml:space="preserve"> Corp.</w:t>
      </w:r>
      <w:r>
        <w:rPr>
          <w:lang w:val="fr-CA"/>
        </w:rPr>
        <w:t xml:space="preserve">, 2008 ONCA 207, 89 O.R. (3d) 721; </w:t>
      </w:r>
      <w:r>
        <w:rPr>
          <w:i/>
          <w:lang w:val="fr-CA"/>
        </w:rPr>
        <w:t>R. c. Mentuck</w:t>
      </w:r>
      <w:r>
        <w:rPr>
          <w:lang w:val="fr-CA"/>
        </w:rPr>
        <w:t xml:space="preserve">, 2001 CSC 76, [2001] 3 R.C.S. 442; </w:t>
      </w:r>
      <w:r>
        <w:rPr>
          <w:i/>
          <w:lang w:val="fr-CA"/>
        </w:rPr>
        <w:t>Sherman (Succession) c. Donovan</w:t>
      </w:r>
      <w:r>
        <w:rPr>
          <w:lang w:val="fr-CA"/>
        </w:rPr>
        <w:t xml:space="preserve">, 2021 CSC 25; </w:t>
      </w:r>
      <w:r>
        <w:rPr>
          <w:i/>
          <w:iCs/>
          <w:szCs w:val="24"/>
          <w:lang w:val="fr-CA"/>
        </w:rPr>
        <w:t>Canadian Cablesystems (Ontario) Ltd. c. Association des consommateurs du Canada</w:t>
      </w:r>
      <w:r>
        <w:rPr>
          <w:iCs/>
          <w:szCs w:val="24"/>
          <w:lang w:val="fr-CA"/>
        </w:rPr>
        <w:t>,</w:t>
      </w:r>
      <w:r>
        <w:rPr>
          <w:szCs w:val="24"/>
          <w:lang w:val="fr-CA"/>
        </w:rPr>
        <w:t xml:space="preserve"> [1977] 2 R.C.S. 740.</w:t>
      </w:r>
    </w:p>
    <w:p w:rsidR="00CC79D5" w:rsidRDefault="00EE666A">
      <w:pPr>
        <w:pStyle w:val="SCCNormalDoubleSpacing"/>
        <w:spacing w:after="720" w:line="240" w:lineRule="auto"/>
        <w:rPr>
          <w:b/>
          <w:lang w:val="fr-CA"/>
        </w:rPr>
      </w:pPr>
      <w:r>
        <w:rPr>
          <w:b/>
          <w:lang w:val="fr-CA"/>
        </w:rPr>
        <w:t>Lois et règlements cités</w:t>
      </w:r>
    </w:p>
    <w:p w:rsidR="00CC79D5" w:rsidRPr="00077E48" w:rsidRDefault="00EE666A">
      <w:pPr>
        <w:pStyle w:val="SCCNormalDoubleSpacing"/>
        <w:spacing w:after="240" w:line="240" w:lineRule="auto"/>
        <w:ind w:left="540" w:hanging="540"/>
        <w:rPr>
          <w:highlight w:val="yellow"/>
          <w:lang w:val="fr-CA"/>
        </w:rPr>
      </w:pPr>
      <w:r w:rsidRPr="00077E48">
        <w:rPr>
          <w:i/>
          <w:lang w:val="fr-CA"/>
        </w:rPr>
        <w:t>Alberta Rules of Court</w:t>
      </w:r>
      <w:r w:rsidRPr="00077E48">
        <w:rPr>
          <w:lang w:val="fr-CA"/>
        </w:rPr>
        <w:t>, Alta. Reg. 124/2010, règle 9.15.</w:t>
      </w:r>
    </w:p>
    <w:p w:rsidR="00CC79D5" w:rsidRDefault="00EE666A">
      <w:pPr>
        <w:pStyle w:val="SCCNormalDoubleSpacing"/>
        <w:spacing w:after="240" w:line="240" w:lineRule="auto"/>
        <w:ind w:left="540" w:hanging="540"/>
        <w:rPr>
          <w:lang w:val="fr-CA"/>
        </w:rPr>
      </w:pPr>
      <w:r>
        <w:rPr>
          <w:i/>
          <w:lang w:val="fr-CA"/>
        </w:rPr>
        <w:t>Charte canadienne des droits et libertés</w:t>
      </w:r>
      <w:r>
        <w:rPr>
          <w:lang w:val="fr-CA"/>
        </w:rPr>
        <w:t>, art. 2b).</w:t>
      </w:r>
    </w:p>
    <w:p w:rsidR="00CC79D5" w:rsidRDefault="00EE666A">
      <w:pPr>
        <w:pStyle w:val="SCCNormalDoubleSpacing"/>
        <w:spacing w:after="240" w:line="240" w:lineRule="auto"/>
        <w:ind w:left="540" w:hanging="540"/>
        <w:rPr>
          <w:i/>
          <w:lang w:val="fr-CA"/>
        </w:rPr>
      </w:pPr>
      <w:r>
        <w:rPr>
          <w:i/>
          <w:lang w:val="fr-CA"/>
        </w:rPr>
        <w:t>Code criminel</w:t>
      </w:r>
      <w:r w:rsidRPr="00EE666A">
        <w:rPr>
          <w:lang w:val="fr-CA"/>
        </w:rPr>
        <w:t>,</w:t>
      </w:r>
      <w:r>
        <w:rPr>
          <w:i/>
          <w:lang w:val="fr-CA"/>
        </w:rPr>
        <w:t xml:space="preserve"> </w:t>
      </w:r>
      <w:r>
        <w:rPr>
          <w:rStyle w:val="Hyperlink"/>
          <w:color w:val="auto"/>
          <w:u w:val="none"/>
          <w:lang w:val="fr-CA"/>
        </w:rPr>
        <w:t>L.R.C. 1985, c. C</w:t>
      </w:r>
      <w:r>
        <w:rPr>
          <w:rStyle w:val="Hyperlink"/>
          <w:color w:val="auto"/>
          <w:u w:val="none"/>
          <w:lang w:val="fr-CA"/>
        </w:rPr>
        <w:noBreakHyphen/>
        <w:t xml:space="preserve">46, </w:t>
      </w:r>
      <w:r w:rsidR="00E533E1">
        <w:rPr>
          <w:rStyle w:val="Hyperlink"/>
          <w:color w:val="auto"/>
          <w:u w:val="none"/>
          <w:lang w:val="fr-CA"/>
        </w:rPr>
        <w:t>art</w:t>
      </w:r>
      <w:r>
        <w:rPr>
          <w:lang w:val="fr-CA"/>
        </w:rPr>
        <w:t>.</w:t>
      </w:r>
      <w:r w:rsidR="00E533E1">
        <w:rPr>
          <w:lang w:val="fr-CA"/>
        </w:rPr>
        <w:t xml:space="preserve"> 696.1,</w:t>
      </w:r>
      <w:r>
        <w:rPr>
          <w:lang w:val="fr-CA"/>
        </w:rPr>
        <w:t> 696.3(3</w:t>
      </w:r>
      <w:proofErr w:type="gramStart"/>
      <w:r>
        <w:rPr>
          <w:lang w:val="fr-CA"/>
        </w:rPr>
        <w:t>)(</w:t>
      </w:r>
      <w:proofErr w:type="gramEnd"/>
      <w:r>
        <w:rPr>
          <w:lang w:val="fr-CA"/>
        </w:rPr>
        <w:t>a)(ii).</w:t>
      </w:r>
    </w:p>
    <w:p w:rsidR="00CC79D5" w:rsidRDefault="00EE666A">
      <w:pPr>
        <w:pStyle w:val="SCCNormalDoubleSpacing"/>
        <w:spacing w:after="240" w:line="240" w:lineRule="auto"/>
        <w:ind w:left="540" w:hanging="540"/>
        <w:rPr>
          <w:highlight w:val="yellow"/>
          <w:lang w:val="fr-CA"/>
        </w:rPr>
      </w:pPr>
      <w:r>
        <w:rPr>
          <w:i/>
          <w:lang w:val="fr-CA"/>
        </w:rPr>
        <w:t>Code de procédure civile</w:t>
      </w:r>
      <w:r>
        <w:rPr>
          <w:lang w:val="fr-CA"/>
        </w:rPr>
        <w:t>, RLRQ, c. C</w:t>
      </w:r>
      <w:r>
        <w:rPr>
          <w:lang w:val="fr-CA"/>
        </w:rPr>
        <w:noBreakHyphen/>
        <w:t>25.01, art. 349.</w:t>
      </w:r>
    </w:p>
    <w:p w:rsidR="00CC79D5" w:rsidRDefault="00EE666A">
      <w:pPr>
        <w:pStyle w:val="SCCNormalDoubleSpacing"/>
        <w:spacing w:after="240" w:line="240" w:lineRule="auto"/>
        <w:rPr>
          <w:lang w:val="fr-CA"/>
        </w:rPr>
      </w:pPr>
      <w:r>
        <w:rPr>
          <w:i/>
          <w:lang w:val="fr-CA"/>
        </w:rPr>
        <w:t>Loi sur la Cour suprêm</w:t>
      </w:r>
      <w:r w:rsidRPr="00E533E1">
        <w:rPr>
          <w:i/>
          <w:lang w:val="fr-CA"/>
        </w:rPr>
        <w:t>e</w:t>
      </w:r>
      <w:r>
        <w:rPr>
          <w:lang w:val="fr-CA"/>
        </w:rPr>
        <w:t>, L.R.C. 1985, c. S</w:t>
      </w:r>
      <w:r>
        <w:rPr>
          <w:lang w:val="fr-CA"/>
        </w:rPr>
        <w:noBreakHyphen/>
        <w:t>26, art. 40(1), 46.1.</w:t>
      </w:r>
    </w:p>
    <w:p w:rsidR="00CC79D5" w:rsidRDefault="00EE666A">
      <w:pPr>
        <w:pStyle w:val="SCCNormalDoubleSpacing"/>
        <w:spacing w:after="240" w:line="240" w:lineRule="auto"/>
        <w:ind w:left="540" w:hanging="540"/>
        <w:rPr>
          <w:lang w:val="fr-CA"/>
        </w:rPr>
      </w:pPr>
      <w:r>
        <w:rPr>
          <w:i/>
          <w:lang w:val="fr-CA"/>
        </w:rPr>
        <w:t>Règles de la Cour d’appel</w:t>
      </w:r>
      <w:r>
        <w:rPr>
          <w:lang w:val="fr-CA"/>
        </w:rPr>
        <w:t xml:space="preserve">, Règl. </w:t>
      </w:r>
      <w:proofErr w:type="gramStart"/>
      <w:r>
        <w:rPr>
          <w:lang w:val="fr-CA"/>
        </w:rPr>
        <w:t>du</w:t>
      </w:r>
      <w:proofErr w:type="gramEnd"/>
      <w:r>
        <w:rPr>
          <w:lang w:val="fr-CA"/>
        </w:rPr>
        <w:t xml:space="preserve"> </w:t>
      </w:r>
      <w:r w:rsidRPr="00FB6CBE">
        <w:t>Man. 555/88R, règles</w:t>
      </w:r>
      <w:r>
        <w:rPr>
          <w:lang w:val="fr-CA"/>
        </w:rPr>
        <w:t> 21(4), 33(4) 46.2(1), (2), (4), (12).</w:t>
      </w:r>
    </w:p>
    <w:p w:rsidR="00CC79D5" w:rsidRDefault="00EE666A">
      <w:pPr>
        <w:pStyle w:val="SCCNormalDoubleSpacing"/>
        <w:spacing w:after="240" w:line="240" w:lineRule="auto"/>
        <w:ind w:left="540" w:hanging="540"/>
        <w:rPr>
          <w:lang w:val="fr-CA"/>
        </w:rPr>
      </w:pPr>
      <w:r>
        <w:rPr>
          <w:i/>
          <w:lang w:val="fr-CA"/>
        </w:rPr>
        <w:t>Règles de la Cour du Banc de la Reine</w:t>
      </w:r>
      <w:r>
        <w:rPr>
          <w:lang w:val="fr-CA"/>
        </w:rPr>
        <w:t xml:space="preserve">, Règl. </w:t>
      </w:r>
      <w:proofErr w:type="gramStart"/>
      <w:r>
        <w:rPr>
          <w:lang w:val="fr-CA"/>
        </w:rPr>
        <w:t>du</w:t>
      </w:r>
      <w:proofErr w:type="gramEnd"/>
      <w:r>
        <w:rPr>
          <w:lang w:val="fr-CA"/>
        </w:rPr>
        <w:t xml:space="preserve"> Man. 553/88</w:t>
      </w:r>
      <w:r w:rsidR="00E533E1">
        <w:rPr>
          <w:lang w:val="fr-CA"/>
        </w:rPr>
        <w:t>R</w:t>
      </w:r>
      <w:r>
        <w:rPr>
          <w:lang w:val="fr-CA"/>
        </w:rPr>
        <w:t>, règle 37.11.</w:t>
      </w:r>
    </w:p>
    <w:p w:rsidR="00CC79D5" w:rsidRDefault="00EE666A">
      <w:pPr>
        <w:pStyle w:val="SCCNormalDoubleSpacing"/>
        <w:spacing w:after="240" w:line="240" w:lineRule="auto"/>
        <w:ind w:left="540" w:hanging="540"/>
        <w:rPr>
          <w:lang w:val="fr-CA"/>
        </w:rPr>
      </w:pPr>
      <w:r>
        <w:rPr>
          <w:i/>
          <w:lang w:val="fr-CA"/>
        </w:rPr>
        <w:t>Règles de procédure de la cour d’appel du Manitoba en matière criminelle</w:t>
      </w:r>
      <w:r>
        <w:rPr>
          <w:lang w:val="fr-CA"/>
        </w:rPr>
        <w:t>, TR/92</w:t>
      </w:r>
      <w:r>
        <w:rPr>
          <w:lang w:val="fr-CA"/>
        </w:rPr>
        <w:noBreakHyphen/>
        <w:t xml:space="preserve">106, </w:t>
      </w:r>
      <w:r>
        <w:rPr>
          <w:szCs w:val="24"/>
          <w:lang w:val="fr-CA"/>
        </w:rPr>
        <w:t>règle 45.</w:t>
      </w:r>
    </w:p>
    <w:p w:rsidR="00CC79D5" w:rsidRDefault="00EE666A">
      <w:pPr>
        <w:pStyle w:val="SCCNormalDoubleSpacing"/>
        <w:spacing w:after="720" w:line="240" w:lineRule="auto"/>
        <w:ind w:left="540" w:hanging="540"/>
        <w:rPr>
          <w:lang w:val="fr-CA"/>
        </w:rPr>
      </w:pPr>
      <w:r>
        <w:rPr>
          <w:i/>
          <w:lang w:val="fr-CA"/>
        </w:rPr>
        <w:t>Règles de procédure civile</w:t>
      </w:r>
      <w:r>
        <w:rPr>
          <w:lang w:val="fr-CA"/>
        </w:rPr>
        <w:t>, R.R.O. 1990, règl. 194, règle 37.14.</w:t>
      </w:r>
    </w:p>
    <w:p w:rsidR="00CC79D5" w:rsidRDefault="00EE666A">
      <w:pPr>
        <w:pStyle w:val="SCCNormalDoubleSpacing"/>
        <w:spacing w:after="720" w:line="240" w:lineRule="auto"/>
        <w:rPr>
          <w:b/>
          <w:lang w:val="fr-CA"/>
        </w:rPr>
      </w:pPr>
      <w:r>
        <w:rPr>
          <w:b/>
          <w:lang w:val="fr-CA"/>
        </w:rPr>
        <w:t>Doctrine et autres documents cités</w:t>
      </w:r>
    </w:p>
    <w:p w:rsidR="00CC79D5" w:rsidRDefault="00EE666A">
      <w:pPr>
        <w:pStyle w:val="SCCNormalDoubleSpacing"/>
        <w:spacing w:after="240" w:line="240" w:lineRule="auto"/>
        <w:ind w:left="540" w:hanging="540"/>
        <w:rPr>
          <w:lang w:val="fr-CA"/>
        </w:rPr>
      </w:pPr>
      <w:r>
        <w:rPr>
          <w:szCs w:val="24"/>
          <w:lang w:val="fr-CA"/>
        </w:rPr>
        <w:t>Barbeau, François</w:t>
      </w:r>
      <w:r>
        <w:rPr>
          <w:szCs w:val="24"/>
          <w:lang w:val="fr-CA"/>
        </w:rPr>
        <w:noBreakHyphen/>
        <w:t xml:space="preserve">Olivier. « Rétractation du jugement », dans </w:t>
      </w:r>
      <w:proofErr w:type="spellStart"/>
      <w:r>
        <w:rPr>
          <w:i/>
          <w:szCs w:val="24"/>
          <w:lang w:val="fr-CA"/>
        </w:rPr>
        <w:t>JurisClasseur</w:t>
      </w:r>
      <w:proofErr w:type="spellEnd"/>
      <w:r>
        <w:rPr>
          <w:i/>
          <w:szCs w:val="24"/>
          <w:lang w:val="fr-CA"/>
        </w:rPr>
        <w:t xml:space="preserve"> Québec </w:t>
      </w:r>
      <w:r>
        <w:rPr>
          <w:szCs w:val="24"/>
          <w:lang w:val="fr-CA"/>
        </w:rPr>
        <w:t>—</w:t>
      </w:r>
      <w:r>
        <w:rPr>
          <w:i/>
          <w:szCs w:val="24"/>
          <w:lang w:val="fr-CA"/>
        </w:rPr>
        <w:t xml:space="preserve"> Collection droit civil </w:t>
      </w:r>
      <w:r>
        <w:rPr>
          <w:szCs w:val="24"/>
          <w:lang w:val="fr-CA"/>
        </w:rPr>
        <w:t>—</w:t>
      </w:r>
      <w:r>
        <w:rPr>
          <w:i/>
          <w:szCs w:val="24"/>
          <w:lang w:val="fr-CA"/>
        </w:rPr>
        <w:t xml:space="preserve"> Procédure civile I</w:t>
      </w:r>
      <w:r w:rsidRPr="00077E48">
        <w:rPr>
          <w:szCs w:val="24"/>
          <w:lang w:val="fr-CA"/>
        </w:rPr>
        <w:t>,</w:t>
      </w:r>
      <w:r>
        <w:rPr>
          <w:i/>
          <w:szCs w:val="24"/>
          <w:lang w:val="fr-CA"/>
        </w:rPr>
        <w:t xml:space="preserve"> </w:t>
      </w:r>
      <w:r>
        <w:rPr>
          <w:szCs w:val="24"/>
          <w:lang w:val="fr-CA"/>
        </w:rPr>
        <w:t>par Pierre</w:t>
      </w:r>
      <w:r>
        <w:rPr>
          <w:szCs w:val="24"/>
          <w:lang w:val="fr-CA"/>
        </w:rPr>
        <w:noBreakHyphen/>
        <w:t xml:space="preserve">Claude Lafond, </w:t>
      </w:r>
      <w:proofErr w:type="spellStart"/>
      <w:proofErr w:type="gramStart"/>
      <w:r>
        <w:rPr>
          <w:szCs w:val="24"/>
          <w:lang w:val="fr-CA"/>
        </w:rPr>
        <w:t>dir</w:t>
      </w:r>
      <w:proofErr w:type="spellEnd"/>
      <w:r>
        <w:rPr>
          <w:szCs w:val="24"/>
          <w:lang w:val="fr-CA"/>
        </w:rPr>
        <w:t>.</w:t>
      </w:r>
      <w:r w:rsidR="00077E48">
        <w:rPr>
          <w:szCs w:val="24"/>
          <w:lang w:val="fr-CA"/>
        </w:rPr>
        <w:t>,</w:t>
      </w:r>
      <w:proofErr w:type="gramEnd"/>
      <w:r>
        <w:rPr>
          <w:szCs w:val="24"/>
          <w:lang w:val="fr-CA"/>
        </w:rPr>
        <w:t xml:space="preserve"> Montréal</w:t>
      </w:r>
      <w:r w:rsidR="00077E48">
        <w:rPr>
          <w:szCs w:val="24"/>
          <w:lang w:val="fr-CA"/>
        </w:rPr>
        <w:t xml:space="preserve">, </w:t>
      </w:r>
      <w:r>
        <w:rPr>
          <w:szCs w:val="24"/>
          <w:lang w:val="fr-CA"/>
        </w:rPr>
        <w:t>Lexis Nexis, 2015, fascicule 31 (feuilles mobiles mises à jour novembre 2020, envoi nº11).</w:t>
      </w:r>
    </w:p>
    <w:p w:rsidR="00CC79D5" w:rsidRPr="00077E48" w:rsidRDefault="00EE666A">
      <w:pPr>
        <w:pStyle w:val="SCCNormalDoubleSpacing"/>
        <w:spacing w:after="240" w:line="240" w:lineRule="auto"/>
        <w:ind w:left="540" w:hanging="540"/>
        <w:rPr>
          <w:highlight w:val="yellow"/>
          <w:lang w:val="fr-CA"/>
        </w:rPr>
      </w:pPr>
      <w:proofErr w:type="spellStart"/>
      <w:r>
        <w:rPr>
          <w:lang w:val="fr-CA"/>
        </w:rPr>
        <w:t>Mayrand</w:t>
      </w:r>
      <w:proofErr w:type="spellEnd"/>
      <w:r>
        <w:rPr>
          <w:lang w:val="fr-CA"/>
        </w:rPr>
        <w:t xml:space="preserve">, Albert. </w:t>
      </w:r>
      <w:r>
        <w:rPr>
          <w:i/>
          <w:lang w:val="fr-CA"/>
        </w:rPr>
        <w:t>Dictionnaire de maximes et locutions latines utilisées en droit</w:t>
      </w:r>
      <w:r>
        <w:rPr>
          <w:lang w:val="fr-CA"/>
        </w:rPr>
        <w:t>,</w:t>
      </w:r>
      <w:r>
        <w:rPr>
          <w:i/>
          <w:lang w:val="fr-CA"/>
        </w:rPr>
        <w:t xml:space="preserve"> </w:t>
      </w:r>
      <w:r>
        <w:rPr>
          <w:lang w:val="fr-CA"/>
        </w:rPr>
        <w:t>4</w:t>
      </w:r>
      <w:r>
        <w:rPr>
          <w:vertAlign w:val="superscript"/>
          <w:lang w:val="fr-CA"/>
        </w:rPr>
        <w:t>e</w:t>
      </w:r>
      <w:r w:rsidR="00077E48">
        <w:rPr>
          <w:lang w:val="fr-CA"/>
        </w:rPr>
        <w:t xml:space="preserve"> é</w:t>
      </w:r>
      <w:r>
        <w:rPr>
          <w:lang w:val="fr-CA"/>
        </w:rPr>
        <w:t>d.</w:t>
      </w:r>
      <w:r w:rsidR="00077E48">
        <w:rPr>
          <w:lang w:val="fr-CA"/>
        </w:rPr>
        <w:t>,</w:t>
      </w:r>
      <w:r>
        <w:rPr>
          <w:lang w:val="fr-CA"/>
        </w:rPr>
        <w:t xml:space="preserve"> </w:t>
      </w:r>
      <w:r w:rsidRPr="00077E48">
        <w:rPr>
          <w:lang w:val="fr-CA"/>
        </w:rPr>
        <w:t>Montréal, Yvon Blais, 2007.</w:t>
      </w:r>
    </w:p>
    <w:p w:rsidR="00CC79D5" w:rsidRDefault="00EE666A">
      <w:pPr>
        <w:pStyle w:val="SCCNormalDoubleSpacing"/>
        <w:spacing w:after="240" w:line="240" w:lineRule="auto"/>
        <w:ind w:left="540" w:hanging="540"/>
        <w:rPr>
          <w:lang w:val="en-US"/>
        </w:rPr>
      </w:pPr>
      <w:r>
        <w:rPr>
          <w:lang w:val="en-US"/>
        </w:rPr>
        <w:t xml:space="preserve">Rossiter, James. </w:t>
      </w:r>
      <w:r>
        <w:rPr>
          <w:i/>
          <w:lang w:val="en-US"/>
        </w:rPr>
        <w:t>Law of Publication Bans, Private Hearings and Sealing Orders</w:t>
      </w:r>
      <w:r>
        <w:rPr>
          <w:lang w:val="en-US"/>
        </w:rPr>
        <w:t>, Toronto, Thomson Reuters, 2006 (</w:t>
      </w:r>
      <w:r>
        <w:t>loose</w:t>
      </w:r>
      <w:r>
        <w:noBreakHyphen/>
        <w:t>leaf updated 2020, release 2</w:t>
      </w:r>
      <w:r>
        <w:rPr>
          <w:lang w:val="en-US"/>
        </w:rPr>
        <w:t>).</w:t>
      </w:r>
    </w:p>
    <w:p w:rsidR="00CC79D5" w:rsidRDefault="00EE666A">
      <w:pPr>
        <w:pStyle w:val="SCCNormalDoubleSpacing"/>
        <w:spacing w:after="720" w:line="240" w:lineRule="auto"/>
        <w:ind w:left="540" w:hanging="540"/>
        <w:rPr>
          <w:lang w:val="en-US"/>
        </w:rPr>
      </w:pPr>
      <w:r>
        <w:rPr>
          <w:szCs w:val="24"/>
        </w:rPr>
        <w:t xml:space="preserve">Wong, Anna S. P. « Doctrine of </w:t>
      </w:r>
      <w:r>
        <w:rPr>
          <w:i/>
          <w:szCs w:val="24"/>
        </w:rPr>
        <w:t xml:space="preserve">Functus </w:t>
      </w:r>
      <w:proofErr w:type="gramStart"/>
      <w:r>
        <w:rPr>
          <w:i/>
          <w:szCs w:val="24"/>
        </w:rPr>
        <w:t>Officio </w:t>
      </w:r>
      <w:r w:rsidRPr="00077E48">
        <w:rPr>
          <w:szCs w:val="24"/>
        </w:rPr>
        <w:t>:</w:t>
      </w:r>
      <w:proofErr w:type="gramEnd"/>
      <w:r w:rsidRPr="00077E48">
        <w:rPr>
          <w:szCs w:val="24"/>
        </w:rPr>
        <w:t xml:space="preserve"> </w:t>
      </w:r>
      <w:r>
        <w:rPr>
          <w:szCs w:val="24"/>
        </w:rPr>
        <w:t xml:space="preserve">The Changing Face of Finality’s Old Guard » (2020), 98 </w:t>
      </w:r>
      <w:r>
        <w:rPr>
          <w:i/>
        </w:rPr>
        <w:t>R. du B. can.</w:t>
      </w:r>
      <w:r>
        <w:rPr>
          <w:i/>
          <w:szCs w:val="24"/>
          <w:lang w:val="en-US"/>
        </w:rPr>
        <w:t xml:space="preserve"> </w:t>
      </w:r>
      <w:r>
        <w:rPr>
          <w:szCs w:val="24"/>
          <w:lang w:val="en-US"/>
        </w:rPr>
        <w:t>543.</w:t>
      </w:r>
    </w:p>
    <w:p w:rsidR="00CC79D5" w:rsidRDefault="00EE666A">
      <w:pPr>
        <w:pStyle w:val="SCCNormalDoubleSpacing"/>
        <w:spacing w:after="480"/>
        <w:rPr>
          <w:lang w:val="fr-CA"/>
        </w:rPr>
      </w:pPr>
      <w:r>
        <w:rPr>
          <w:lang w:val="en-US"/>
        </w:rPr>
        <w:tab/>
      </w:r>
      <w:r>
        <w:rPr>
          <w:lang w:val="fr-CA"/>
        </w:rPr>
        <w:t>POURVOI contre un arrêt de la Cour d’appel du Manitoba (les juges Beard, Burnett et Pfuetzner), 2019 MBCA 122 (</w:t>
      </w:r>
      <w:proofErr w:type="spellStart"/>
      <w:r>
        <w:rPr>
          <w:i/>
          <w:lang w:val="fr-CA"/>
        </w:rPr>
        <w:t>sub</w:t>
      </w:r>
      <w:proofErr w:type="spellEnd"/>
      <w:r>
        <w:rPr>
          <w:i/>
          <w:lang w:val="fr-CA"/>
        </w:rPr>
        <w:t xml:space="preserve"> nom. R. c. Ostrowski)</w:t>
      </w:r>
      <w:r>
        <w:rPr>
          <w:lang w:val="fr-CA"/>
        </w:rPr>
        <w:t xml:space="preserve">, [2019] M.J. No. 334 (QL), 2019 </w:t>
      </w:r>
      <w:proofErr w:type="spellStart"/>
      <w:r>
        <w:rPr>
          <w:lang w:val="fr-CA"/>
        </w:rPr>
        <w:t>CarswellMan</w:t>
      </w:r>
      <w:proofErr w:type="spellEnd"/>
      <w:r>
        <w:rPr>
          <w:lang w:val="fr-CA"/>
        </w:rPr>
        <w:t xml:space="preserve"> 923 (WL Can.), qui a rejeté une motion en annulation d’une interdiction de publication. Pourvoi accueilli, la juge Abella est dissidente. </w:t>
      </w:r>
    </w:p>
    <w:p w:rsidR="00CC79D5" w:rsidRDefault="00EE666A">
      <w:pPr>
        <w:pStyle w:val="SCCNormalDoubleSpacing"/>
        <w:spacing w:after="480"/>
        <w:rPr>
          <w:lang w:val="fr-CA"/>
        </w:rPr>
      </w:pPr>
      <w:r>
        <w:rPr>
          <w:lang w:val="fr-CA"/>
        </w:rPr>
        <w:tab/>
        <w:t>POURVOI contre un arrêt de la Cour d’appel du Manitoba (les juges Beard, Burnett et Pfuetzner), 2018 MBCA 125, 369 C.C.C. (3d) 139 (</w:t>
      </w:r>
      <w:proofErr w:type="spellStart"/>
      <w:r>
        <w:rPr>
          <w:i/>
          <w:lang w:val="fr-CA"/>
        </w:rPr>
        <w:t>sub</w:t>
      </w:r>
      <w:proofErr w:type="spellEnd"/>
      <w:r>
        <w:rPr>
          <w:i/>
          <w:lang w:val="fr-CA"/>
        </w:rPr>
        <w:t xml:space="preserve"> nom. R. c. Ostrowski</w:t>
      </w:r>
      <w:r>
        <w:rPr>
          <w:lang w:val="fr-CA"/>
        </w:rPr>
        <w:t xml:space="preserve">), [2018] M.J. No. 306 (QL), 2018 </w:t>
      </w:r>
      <w:proofErr w:type="spellStart"/>
      <w:r>
        <w:rPr>
          <w:lang w:val="fr-CA"/>
        </w:rPr>
        <w:t>CarswellMan</w:t>
      </w:r>
      <w:proofErr w:type="spellEnd"/>
      <w:r>
        <w:rPr>
          <w:lang w:val="fr-CA"/>
        </w:rPr>
        <w:t xml:space="preserve"> 550 (WL Can.), qui a ordonné, entre autres, qu’une interdiction de publication demeure en vigueur. Pourvoi ajourné </w:t>
      </w:r>
      <w:r>
        <w:rPr>
          <w:i/>
          <w:lang w:val="fr-CA"/>
        </w:rPr>
        <w:t>sine die</w:t>
      </w:r>
      <w:r>
        <w:rPr>
          <w:lang w:val="fr-CA"/>
        </w:rPr>
        <w:t>, la juge Abella est dissidente.</w:t>
      </w:r>
    </w:p>
    <w:p w:rsidR="00CC79D5" w:rsidRDefault="00EE666A">
      <w:pPr>
        <w:pStyle w:val="SCCNormalDoubleSpacing"/>
        <w:spacing w:after="480"/>
        <w:rPr>
          <w:lang w:val="fr-CA"/>
        </w:rPr>
      </w:pPr>
      <w:r>
        <w:rPr>
          <w:rStyle w:val="SCCCounselNameChar"/>
          <w:lang w:val="fr-CA"/>
        </w:rPr>
        <w:tab/>
        <w:t xml:space="preserve">Jonathan B. </w:t>
      </w:r>
      <w:proofErr w:type="spellStart"/>
      <w:r>
        <w:rPr>
          <w:rStyle w:val="SCCCounselNameChar"/>
          <w:lang w:val="fr-CA"/>
        </w:rPr>
        <w:t>Kroft</w:t>
      </w:r>
      <w:proofErr w:type="spellEnd"/>
      <w:r w:rsidR="00077E48">
        <w:rPr>
          <w:rStyle w:val="SCCCounselSeparatorChar"/>
          <w:lang w:val="fr-CA"/>
        </w:rPr>
        <w:t xml:space="preserve"> </w:t>
      </w:r>
      <w:r>
        <w:rPr>
          <w:rStyle w:val="SCCCounselSeparatorChar"/>
          <w:lang w:val="fr-CA"/>
        </w:rPr>
        <w:t xml:space="preserve">et </w:t>
      </w:r>
      <w:r>
        <w:rPr>
          <w:rStyle w:val="SCCCounselNameChar"/>
          <w:lang w:val="fr-CA"/>
        </w:rPr>
        <w:t xml:space="preserve">Sean A. </w:t>
      </w:r>
      <w:proofErr w:type="spellStart"/>
      <w:r>
        <w:rPr>
          <w:rStyle w:val="SCCCounselNameChar"/>
          <w:lang w:val="fr-CA"/>
        </w:rPr>
        <w:t>Moreman</w:t>
      </w:r>
      <w:proofErr w:type="spellEnd"/>
      <w:r>
        <w:rPr>
          <w:rStyle w:val="SCCCounselPartyRoleChar"/>
          <w:lang w:val="fr-CA"/>
        </w:rPr>
        <w:t>, pour l’appelante.</w:t>
      </w:r>
    </w:p>
    <w:p w:rsidR="00CC79D5" w:rsidRDefault="00EE666A">
      <w:pPr>
        <w:pStyle w:val="SCCNormalDoubleSpacing"/>
        <w:spacing w:after="480"/>
        <w:rPr>
          <w:lang w:val="fr-CA"/>
        </w:rPr>
      </w:pPr>
      <w:r>
        <w:rPr>
          <w:rStyle w:val="SCCCounselNameChar"/>
          <w:lang w:val="fr-CA"/>
        </w:rPr>
        <w:tab/>
      </w:r>
      <w:r w:rsidR="00077E48">
        <w:rPr>
          <w:rStyle w:val="SCCCounselNameChar"/>
          <w:lang w:val="fr-CA"/>
        </w:rPr>
        <w:t xml:space="preserve">Michael Bodner </w:t>
      </w:r>
      <w:r w:rsidR="00077E48">
        <w:rPr>
          <w:rStyle w:val="SCCCounselNameChar"/>
          <w:i w:val="0"/>
          <w:lang w:val="fr-CA"/>
        </w:rPr>
        <w:t xml:space="preserve">et </w:t>
      </w:r>
      <w:r>
        <w:rPr>
          <w:rStyle w:val="SCCCounselNameChar"/>
          <w:lang w:val="fr-CA"/>
        </w:rPr>
        <w:t>Denis</w:t>
      </w:r>
      <w:r w:rsidR="00077E48">
        <w:rPr>
          <w:rStyle w:val="SCCCounselNameChar"/>
          <w:lang w:val="fr-CA"/>
        </w:rPr>
        <w:t xml:space="preserve"> </w:t>
      </w:r>
      <w:r>
        <w:rPr>
          <w:rStyle w:val="SCCCounselNameChar"/>
          <w:lang w:val="fr-CA"/>
        </w:rPr>
        <w:t>Guénette</w:t>
      </w:r>
      <w:r w:rsidR="00077E48">
        <w:rPr>
          <w:rStyle w:val="SCCCounselSeparatorChar"/>
          <w:lang w:val="fr-CA"/>
        </w:rPr>
        <w:t>,</w:t>
      </w:r>
      <w:r>
        <w:rPr>
          <w:rStyle w:val="SCCCounselPartyRoleChar"/>
          <w:lang w:val="fr-CA"/>
        </w:rPr>
        <w:t xml:space="preserve"> pour </w:t>
      </w:r>
      <w:r w:rsidR="00077E48">
        <w:rPr>
          <w:rStyle w:val="SCCCounselPartyRoleChar"/>
          <w:lang w:val="fr-CA"/>
        </w:rPr>
        <w:t>l’intimée Sa Majesté la Reine</w:t>
      </w:r>
      <w:r>
        <w:rPr>
          <w:rStyle w:val="SCCCounselPartyRoleChar"/>
          <w:lang w:val="fr-CA"/>
        </w:rPr>
        <w:t>.</w:t>
      </w:r>
    </w:p>
    <w:p w:rsidR="00CC79D5" w:rsidRDefault="00EE666A">
      <w:pPr>
        <w:pStyle w:val="SCCNormalDoubleSpacing"/>
        <w:spacing w:after="480"/>
        <w:rPr>
          <w:lang w:val="fr-CA"/>
        </w:rPr>
      </w:pPr>
      <w:r>
        <w:rPr>
          <w:rStyle w:val="SCCCounselNameChar"/>
          <w:lang w:val="fr-CA"/>
        </w:rPr>
        <w:tab/>
      </w:r>
      <w:r w:rsidR="00077E48">
        <w:rPr>
          <w:rStyle w:val="SCCCounselNameChar"/>
          <w:lang w:val="fr-CA"/>
        </w:rPr>
        <w:t xml:space="preserve">Harvey T. </w:t>
      </w:r>
      <w:proofErr w:type="spellStart"/>
      <w:r w:rsidR="00077E48">
        <w:rPr>
          <w:rStyle w:val="SCCCounselNameChar"/>
          <w:lang w:val="fr-CA"/>
        </w:rPr>
        <w:t>Strosberg</w:t>
      </w:r>
      <w:proofErr w:type="spellEnd"/>
      <w:r w:rsidR="00077E48">
        <w:rPr>
          <w:rStyle w:val="SCCCounselNameChar"/>
          <w:i w:val="0"/>
          <w:lang w:val="fr-CA"/>
        </w:rPr>
        <w:t xml:space="preserve">, </w:t>
      </w:r>
      <w:proofErr w:type="gramStart"/>
      <w:r w:rsidR="00077E48">
        <w:rPr>
          <w:rStyle w:val="SCCCounselNameChar"/>
          <w:lang w:val="fr-CA"/>
        </w:rPr>
        <w:t>c.r.</w:t>
      </w:r>
      <w:r w:rsidR="00077E48">
        <w:rPr>
          <w:rStyle w:val="SCCCounselNameChar"/>
          <w:i w:val="0"/>
          <w:lang w:val="fr-CA"/>
        </w:rPr>
        <w:t>,</w:t>
      </w:r>
      <w:proofErr w:type="gramEnd"/>
      <w:r w:rsidR="00077E48">
        <w:rPr>
          <w:rStyle w:val="SCCCounselNameChar"/>
          <w:i w:val="0"/>
          <w:lang w:val="fr-CA"/>
        </w:rPr>
        <w:t xml:space="preserve"> et</w:t>
      </w:r>
      <w:r w:rsidR="00077E48">
        <w:rPr>
          <w:rStyle w:val="SCCCounselNameChar"/>
          <w:lang w:val="fr-CA"/>
        </w:rPr>
        <w:t xml:space="preserve"> </w:t>
      </w:r>
      <w:r>
        <w:rPr>
          <w:rStyle w:val="SCCCounselNameChar"/>
          <w:lang w:val="fr-CA"/>
        </w:rPr>
        <w:t>James Lockyer</w:t>
      </w:r>
      <w:r w:rsidR="00077E48">
        <w:rPr>
          <w:rStyle w:val="SCCCounselPartyRoleChar"/>
          <w:lang w:val="fr-CA"/>
        </w:rPr>
        <w:t>, pour l’intimé Stanley Frank Ostrowski.</w:t>
      </w:r>
    </w:p>
    <w:p w:rsidR="00CC79D5" w:rsidRDefault="00EE666A">
      <w:pPr>
        <w:pStyle w:val="SCCNormalDoubleSpacing"/>
        <w:spacing w:after="480"/>
        <w:rPr>
          <w:lang w:val="fr-CA"/>
        </w:rPr>
      </w:pPr>
      <w:r>
        <w:rPr>
          <w:rStyle w:val="SCCCounselNameChar"/>
          <w:lang w:val="fr-CA"/>
        </w:rPr>
        <w:tab/>
        <w:t xml:space="preserve">Robert </w:t>
      </w:r>
      <w:proofErr w:type="spellStart"/>
      <w:r>
        <w:rPr>
          <w:rStyle w:val="SCCCounselNameChar"/>
          <w:lang w:val="fr-CA"/>
        </w:rPr>
        <w:t>Gosman</w:t>
      </w:r>
      <w:proofErr w:type="spellEnd"/>
      <w:r>
        <w:rPr>
          <w:rStyle w:val="SCCCounselPartyRoleChar"/>
          <w:lang w:val="fr-CA"/>
        </w:rPr>
        <w:t>, pour les intimés</w:t>
      </w:r>
      <w:r w:rsidR="00077E48">
        <w:rPr>
          <w:rStyle w:val="SCCCounselPartyRoleChar"/>
          <w:lang w:val="fr-CA"/>
        </w:rPr>
        <w:t xml:space="preserve"> </w:t>
      </w:r>
      <w:r w:rsidR="00077E48" w:rsidRPr="00077E48">
        <w:rPr>
          <w:rStyle w:val="SCCCounselPartyRoleChar"/>
          <w:lang w:val="fr-CA"/>
        </w:rPr>
        <w:t>B.B., conjointe de feu M.D., et J.D., en sa qualité d’exécuteur de la succession de feu M.D.</w:t>
      </w:r>
    </w:p>
    <w:p w:rsidR="00CC79D5" w:rsidRDefault="00EE666A">
      <w:pPr>
        <w:pStyle w:val="SCCNormalDoubleSpacing"/>
        <w:spacing w:after="480"/>
        <w:rPr>
          <w:lang w:val="fr-CA"/>
        </w:rPr>
      </w:pPr>
      <w:r>
        <w:rPr>
          <w:rStyle w:val="SCCCounselNameChar"/>
          <w:lang w:val="fr-CA"/>
        </w:rPr>
        <w:tab/>
        <w:t>Michael Bernstein</w:t>
      </w:r>
      <w:r>
        <w:rPr>
          <w:rStyle w:val="SCCCounselPartyRoleChar"/>
          <w:lang w:val="fr-CA"/>
        </w:rPr>
        <w:t xml:space="preserve">, pour </w:t>
      </w:r>
      <w:r w:rsidR="00077E48">
        <w:rPr>
          <w:rStyle w:val="SCCCounselPartyRoleChar"/>
          <w:lang w:val="fr-CA"/>
        </w:rPr>
        <w:t>l’intervenant le procureur général de l’Ontario</w:t>
      </w:r>
      <w:r>
        <w:rPr>
          <w:rStyle w:val="SCCCounselPartyRoleChar"/>
          <w:lang w:val="fr-CA"/>
        </w:rPr>
        <w:t>.</w:t>
      </w:r>
    </w:p>
    <w:p w:rsidR="00CC79D5" w:rsidRDefault="00077E48">
      <w:pPr>
        <w:pStyle w:val="SCCNormalDoubleSpacing"/>
        <w:spacing w:after="480"/>
        <w:rPr>
          <w:lang w:val="fr-CA"/>
        </w:rPr>
      </w:pPr>
      <w:r>
        <w:rPr>
          <w:rStyle w:val="SCCCounselNameChar"/>
          <w:lang w:val="fr-CA"/>
        </w:rPr>
        <w:tab/>
        <w:t xml:space="preserve">Lesley </w:t>
      </w:r>
      <w:r w:rsidR="00EE666A">
        <w:rPr>
          <w:rStyle w:val="SCCCounselNameChar"/>
          <w:lang w:val="fr-CA"/>
        </w:rPr>
        <w:t>A. Ruzicka</w:t>
      </w:r>
      <w:r w:rsidR="00EE666A">
        <w:rPr>
          <w:rStyle w:val="SCCCounselSeparatorChar"/>
          <w:lang w:val="fr-CA"/>
        </w:rPr>
        <w:t xml:space="preserve">, </w:t>
      </w:r>
      <w:r w:rsidR="00EE666A">
        <w:rPr>
          <w:rStyle w:val="SCCCounselPartyRoleChar"/>
          <w:lang w:val="fr-CA"/>
        </w:rPr>
        <w:t>pour l’intervenant le procureur général de la Colombie</w:t>
      </w:r>
      <w:r w:rsidR="00EE666A">
        <w:rPr>
          <w:rStyle w:val="SCCCounselPartyRoleChar"/>
          <w:lang w:val="fr-CA"/>
        </w:rPr>
        <w:noBreakHyphen/>
        <w:t>Britannique.</w:t>
      </w:r>
    </w:p>
    <w:p w:rsidR="00CC79D5" w:rsidRDefault="00EE666A">
      <w:pPr>
        <w:pStyle w:val="SCCNormalDoubleSpacing"/>
        <w:spacing w:after="480"/>
        <w:rPr>
          <w:lang w:val="fr-CA"/>
        </w:rPr>
      </w:pPr>
      <w:r>
        <w:rPr>
          <w:rStyle w:val="SCCCounselNameChar"/>
          <w:lang w:val="fr-CA"/>
        </w:rPr>
        <w:tab/>
      </w:r>
      <w:proofErr w:type="spellStart"/>
      <w:r w:rsidRPr="00077E48">
        <w:rPr>
          <w:rStyle w:val="SCCCounselNameChar"/>
          <w:lang w:val="fr-CA"/>
        </w:rPr>
        <w:t>Fredrick</w:t>
      </w:r>
      <w:proofErr w:type="spellEnd"/>
      <w:r w:rsidRPr="00077E48">
        <w:rPr>
          <w:rStyle w:val="SCCCounselNameChar"/>
          <w:lang w:val="fr-CA"/>
        </w:rPr>
        <w:t xml:space="preserve"> Schumann</w:t>
      </w:r>
      <w:r w:rsidR="00077E48" w:rsidRPr="00077E48">
        <w:rPr>
          <w:rStyle w:val="SCCCounselPartyRoleChar"/>
          <w:lang w:val="fr-CA"/>
        </w:rPr>
        <w:t xml:space="preserve">, pour les </w:t>
      </w:r>
      <w:r w:rsidRPr="00077E48">
        <w:rPr>
          <w:rStyle w:val="SCCCounselPartyRoleChar"/>
          <w:lang w:val="fr-CA"/>
        </w:rPr>
        <w:t>intervenant</w:t>
      </w:r>
      <w:r w:rsidR="00077E48">
        <w:rPr>
          <w:rStyle w:val="SCCCounselPartyRoleChar"/>
          <w:lang w:val="fr-CA"/>
        </w:rPr>
        <w:t>s</w:t>
      </w:r>
      <w:r w:rsidRPr="00077E48">
        <w:rPr>
          <w:rStyle w:val="SCCCounselPartyRoleChar"/>
          <w:lang w:val="fr-CA"/>
        </w:rPr>
        <w:t xml:space="preserve"> Centre for Free Expression</w:t>
      </w:r>
      <w:r w:rsidR="00077E48" w:rsidRPr="00077E48">
        <w:rPr>
          <w:rStyle w:val="SCCCounselPartyRoleChar"/>
          <w:lang w:val="fr-CA"/>
        </w:rPr>
        <w:t>,</w:t>
      </w:r>
      <w:r>
        <w:rPr>
          <w:rStyle w:val="SCCCounselPartyRoleChar"/>
          <w:lang w:val="fr-CA"/>
        </w:rPr>
        <w:t xml:space="preserve"> l’Association canadienne des journalistes, Médias d’Info Canada et Guilde canadienne des médias/Syndicat des communications d’Amérique/Canada.</w:t>
      </w:r>
    </w:p>
    <w:p w:rsidR="00CC79D5" w:rsidRDefault="00EE666A">
      <w:pPr>
        <w:pStyle w:val="SCCNormalDoubleSpacing"/>
        <w:rPr>
          <w:lang w:val="fr-CA"/>
        </w:rPr>
      </w:pPr>
      <w:r>
        <w:rPr>
          <w:rStyle w:val="SCCCounselNameChar"/>
          <w:lang w:val="fr-CA"/>
        </w:rPr>
        <w:tab/>
        <w:t>Tess Layton</w:t>
      </w:r>
      <w:r>
        <w:rPr>
          <w:rStyle w:val="SCCCounselPartyRoleChar"/>
          <w:lang w:val="fr-CA"/>
        </w:rPr>
        <w:t>, pour l’intervenante Ad Idem/Canadian Media Lawyers Association.</w:t>
      </w:r>
    </w:p>
    <w:p w:rsidR="00CC79D5" w:rsidRDefault="00CC79D5" w:rsidP="009F09DA">
      <w:pPr>
        <w:pStyle w:val="SCCNormalDoubleSpacing"/>
        <w:spacing w:after="480"/>
        <w:rPr>
          <w:lang w:val="fr-CA"/>
        </w:rPr>
      </w:pPr>
    </w:p>
    <w:p w:rsidR="009F09DA" w:rsidRDefault="009F09DA" w:rsidP="009F09DA">
      <w:pPr>
        <w:jc w:val="both"/>
        <w:rPr>
          <w:lang w:val="fr-CA"/>
        </w:rPr>
      </w:pPr>
      <w:r>
        <w:rPr>
          <w:lang w:val="fr-CA"/>
        </w:rPr>
        <w:t>Version française du jugement du juge en chef Wagner et des juges Moldaver, Karakatsanis, Côté, Brown, Rowe, Martin et Kasirer rendu par</w:t>
      </w:r>
    </w:p>
    <w:p w:rsidR="009F09DA" w:rsidRDefault="009F09DA" w:rsidP="009F09DA">
      <w:pPr>
        <w:jc w:val="both"/>
        <w:rPr>
          <w:lang w:val="fr-CA"/>
        </w:rPr>
      </w:pPr>
    </w:p>
    <w:p w:rsidR="009F09DA" w:rsidRPr="00060362" w:rsidRDefault="009F09DA" w:rsidP="009F09DA">
      <w:pPr>
        <w:pStyle w:val="JudgeJuge"/>
        <w:spacing w:before="480"/>
        <w:rPr>
          <w:lang w:val="fr-CA"/>
        </w:rPr>
      </w:pPr>
      <w:r w:rsidRPr="00060362">
        <w:rPr>
          <w:lang w:val="fr-CA"/>
        </w:rPr>
        <w:tab/>
      </w:r>
      <w:r>
        <w:rPr>
          <w:lang w:val="fr-CA"/>
        </w:rPr>
        <w:t xml:space="preserve">Le juge </w:t>
      </w:r>
      <w:r w:rsidRPr="00060362">
        <w:rPr>
          <w:lang w:val="fr-CA"/>
        </w:rPr>
        <w:t xml:space="preserve">Kasirer — </w:t>
      </w:r>
    </w:p>
    <w:p w:rsidR="009F09DA" w:rsidRPr="00060362" w:rsidRDefault="009F09DA" w:rsidP="009F09DA">
      <w:pPr>
        <w:pStyle w:val="Title1LevelTitre1Niveau-AltL"/>
        <w:rPr>
          <w:rFonts w:cs="Times New Roman"/>
          <w:lang w:val="fr-CA"/>
        </w:rPr>
      </w:pPr>
      <w:r>
        <w:rPr>
          <w:rFonts w:cs="Times New Roman"/>
          <w:lang w:val="fr-CA"/>
        </w:rPr>
        <w:t>Vue d’ensemble</w:t>
      </w:r>
    </w:p>
    <w:p w:rsidR="009F09DA" w:rsidRPr="00636D1D" w:rsidRDefault="009F09DA" w:rsidP="009F09DA">
      <w:pPr>
        <w:pStyle w:val="ParaNoNdepar-AltN"/>
        <w:rPr>
          <w:rFonts w:cs="Times New Roman"/>
          <w:lang w:val="fr-CA"/>
        </w:rPr>
      </w:pPr>
      <w:r w:rsidRPr="00F157DE">
        <w:rPr>
          <w:rFonts w:cs="Times New Roman"/>
          <w:lang w:val="fr-CA"/>
        </w:rPr>
        <w:t xml:space="preserve">La question principale en litige dans les présents pourvois concerne </w:t>
      </w:r>
      <w:r>
        <w:rPr>
          <w:rFonts w:cs="Times New Roman"/>
          <w:lang w:val="fr-CA"/>
        </w:rPr>
        <w:t>le pouvoir d’un tribunal de rendre, de modifier ou d’annuler des ordonnances</w:t>
      </w:r>
      <w:r w:rsidRPr="00060362">
        <w:rPr>
          <w:rFonts w:cs="Times New Roman"/>
          <w:lang w:val="fr-CA"/>
        </w:rPr>
        <w:t xml:space="preserve"> —</w:t>
      </w:r>
      <w:r>
        <w:rPr>
          <w:rFonts w:cs="Times New Roman"/>
          <w:lang w:val="fr-CA"/>
        </w:rPr>
        <w:t xml:space="preserve"> ordonnances de mise sous scellés, interdictions de publication et ainsi de suite </w:t>
      </w:r>
      <w:r w:rsidRPr="00060362">
        <w:rPr>
          <w:rFonts w:cs="Times New Roman"/>
          <w:lang w:val="fr-CA"/>
        </w:rPr>
        <w:t xml:space="preserve">— </w:t>
      </w:r>
      <w:r>
        <w:rPr>
          <w:rFonts w:cs="Times New Roman"/>
          <w:lang w:val="fr-CA"/>
        </w:rPr>
        <w:t>qui limitent le principe de la publicité des débats judiciaires</w:t>
      </w:r>
      <w:r w:rsidRPr="00060362">
        <w:rPr>
          <w:rFonts w:cs="Times New Roman"/>
          <w:lang w:val="fr-CA"/>
        </w:rPr>
        <w:t xml:space="preserve">. </w:t>
      </w:r>
      <w:r>
        <w:rPr>
          <w:rFonts w:cs="Times New Roman"/>
          <w:lang w:val="fr-CA"/>
        </w:rPr>
        <w:t>La question est de savoir si un tribunal demeure compétent à l’égard de ces matières accessoires après qu’il se soit prononcé sur le fond de l’affaire et ait inscrit son jugement formel</w:t>
      </w:r>
      <w:r w:rsidRPr="00060362">
        <w:rPr>
          <w:rFonts w:cs="Times New Roman"/>
          <w:lang w:val="fr-CA"/>
        </w:rPr>
        <w:t xml:space="preserve">. </w:t>
      </w:r>
      <w:r>
        <w:rPr>
          <w:rFonts w:cs="Times New Roman"/>
          <w:lang w:val="fr-CA"/>
        </w:rPr>
        <w:t>La règle du</w:t>
      </w:r>
      <w:r w:rsidRPr="00060362">
        <w:rPr>
          <w:rFonts w:cs="Times New Roman"/>
          <w:lang w:val="fr-CA"/>
        </w:rPr>
        <w:t xml:space="preserve"> </w:t>
      </w:r>
      <w:r w:rsidRPr="00060362">
        <w:rPr>
          <w:rFonts w:cs="Times New Roman"/>
          <w:i/>
          <w:lang w:val="fr-CA"/>
        </w:rPr>
        <w:t>functus officio</w:t>
      </w:r>
      <w:r w:rsidRPr="00060362">
        <w:rPr>
          <w:rFonts w:cs="Times New Roman"/>
          <w:lang w:val="fr-CA"/>
        </w:rPr>
        <w:t xml:space="preserve"> — </w:t>
      </w:r>
      <w:r>
        <w:rPr>
          <w:rFonts w:cs="Times New Roman"/>
          <w:lang w:val="fr-CA"/>
        </w:rPr>
        <w:t xml:space="preserve">l’idée selon laquelle dès qu’un tribunal a exercé sa fonction, il a épuisé sa </w:t>
      </w:r>
      <w:r w:rsidRPr="00636D1D">
        <w:rPr>
          <w:rFonts w:cs="Times New Roman"/>
          <w:lang w:val="fr-CA"/>
        </w:rPr>
        <w:t xml:space="preserve">compétence — </w:t>
      </w:r>
      <w:proofErr w:type="spellStart"/>
      <w:r w:rsidRPr="00636D1D">
        <w:rPr>
          <w:rFonts w:cs="Times New Roman"/>
          <w:lang w:val="fr-CA"/>
        </w:rPr>
        <w:t>interdit</w:t>
      </w:r>
      <w:r>
        <w:rPr>
          <w:rFonts w:cs="Times New Roman"/>
          <w:lang w:val="fr-CA"/>
        </w:rPr>
        <w:noBreakHyphen/>
      </w:r>
      <w:r w:rsidRPr="00636D1D">
        <w:rPr>
          <w:rFonts w:cs="Times New Roman"/>
          <w:lang w:val="fr-CA"/>
        </w:rPr>
        <w:t>elle</w:t>
      </w:r>
      <w:proofErr w:type="spellEnd"/>
      <w:r w:rsidRPr="00636D1D">
        <w:rPr>
          <w:rFonts w:cs="Times New Roman"/>
          <w:lang w:val="fr-CA"/>
        </w:rPr>
        <w:t xml:space="preserve"> à ce tribunal de se pencher de nouveau sur une interdiction de publication qu</w:t>
      </w:r>
      <w:r>
        <w:rPr>
          <w:rFonts w:cs="Times New Roman"/>
          <w:lang w:val="fr-CA"/>
        </w:rPr>
        <w:t>’</w:t>
      </w:r>
      <w:r w:rsidRPr="00636D1D">
        <w:rPr>
          <w:rFonts w:cs="Times New Roman"/>
          <w:lang w:val="fr-CA"/>
        </w:rPr>
        <w:t>il a prononcée ou sur une ordonnance de mise sous scellés mise en place lors d</w:t>
      </w:r>
      <w:r>
        <w:rPr>
          <w:rFonts w:cs="Times New Roman"/>
          <w:lang w:val="fr-CA"/>
        </w:rPr>
        <w:t>’</w:t>
      </w:r>
      <w:r w:rsidRPr="00636D1D">
        <w:rPr>
          <w:rFonts w:cs="Times New Roman"/>
          <w:lang w:val="fr-CA"/>
        </w:rPr>
        <w:t>une instance criminelle?</w:t>
      </w:r>
    </w:p>
    <w:p w:rsidR="009F09DA" w:rsidRPr="00F157DE" w:rsidRDefault="009F09DA" w:rsidP="009F09DA">
      <w:pPr>
        <w:pStyle w:val="ParaNoNdepar-AltN"/>
        <w:rPr>
          <w:rFonts w:cs="Times New Roman"/>
          <w:lang w:val="fr-CA"/>
        </w:rPr>
      </w:pPr>
      <w:r w:rsidRPr="00636D1D">
        <w:rPr>
          <w:rFonts w:cs="Times New Roman"/>
          <w:lang w:val="fr-CA"/>
        </w:rPr>
        <w:t>Un affidavit déposé dans une affaire criminelle dont était saisie la Cour d</w:t>
      </w:r>
      <w:r>
        <w:rPr>
          <w:rFonts w:cs="Times New Roman"/>
          <w:lang w:val="fr-CA"/>
        </w:rPr>
        <w:t>’</w:t>
      </w:r>
      <w:r w:rsidRPr="00636D1D">
        <w:rPr>
          <w:rFonts w:cs="Times New Roman"/>
          <w:lang w:val="fr-CA"/>
        </w:rPr>
        <w:t>appel du Manitoba avait été gardé sous scellés et était visé par une interdiction de publication en attendant qu</w:t>
      </w:r>
      <w:r>
        <w:rPr>
          <w:rFonts w:cs="Times New Roman"/>
          <w:lang w:val="fr-CA"/>
        </w:rPr>
        <w:t>’</w:t>
      </w:r>
      <w:r w:rsidRPr="00636D1D">
        <w:rPr>
          <w:rFonts w:cs="Times New Roman"/>
          <w:lang w:val="fr-CA"/>
        </w:rPr>
        <w:t>il soit statué sur son admissibilité en tant que nouvel élément de preuve. Dans ses motifs accueillant l</w:t>
      </w:r>
      <w:r>
        <w:rPr>
          <w:rFonts w:cs="Times New Roman"/>
          <w:lang w:val="fr-CA"/>
        </w:rPr>
        <w:t>’</w:t>
      </w:r>
      <w:r w:rsidRPr="00636D1D">
        <w:rPr>
          <w:rFonts w:cs="Times New Roman"/>
          <w:lang w:val="fr-CA"/>
        </w:rPr>
        <w:t xml:space="preserve">appel sur le fond, le tribunal a rejeté la motion pour présentation </w:t>
      </w:r>
      <w:r>
        <w:rPr>
          <w:rFonts w:cs="Times New Roman"/>
          <w:lang w:val="fr-CA"/>
        </w:rPr>
        <w:t>d’éléments de preuve nouveaux, jugeant que ceux</w:t>
      </w:r>
      <w:r>
        <w:rPr>
          <w:rFonts w:cs="Times New Roman"/>
          <w:lang w:val="fr-CA"/>
        </w:rPr>
        <w:noBreakHyphen/>
        <w:t>ci</w:t>
      </w:r>
      <w:r w:rsidRPr="007865D1">
        <w:rPr>
          <w:rFonts w:cs="Times New Roman"/>
          <w:lang w:val="fr-CA"/>
        </w:rPr>
        <w:t xml:space="preserve"> n</w:t>
      </w:r>
      <w:r>
        <w:rPr>
          <w:rFonts w:cs="Times New Roman"/>
          <w:lang w:val="fr-CA"/>
        </w:rPr>
        <w:t>’</w:t>
      </w:r>
      <w:r w:rsidRPr="007865D1">
        <w:rPr>
          <w:rFonts w:cs="Times New Roman"/>
          <w:lang w:val="fr-CA"/>
        </w:rPr>
        <w:t>étai</w:t>
      </w:r>
      <w:r>
        <w:rPr>
          <w:rFonts w:cs="Times New Roman"/>
          <w:lang w:val="fr-CA"/>
        </w:rPr>
        <w:t>en</w:t>
      </w:r>
      <w:r w:rsidRPr="007865D1">
        <w:rPr>
          <w:rFonts w:cs="Times New Roman"/>
          <w:lang w:val="fr-CA"/>
        </w:rPr>
        <w:t>t pas pertinent</w:t>
      </w:r>
      <w:r>
        <w:rPr>
          <w:rFonts w:cs="Times New Roman"/>
          <w:lang w:val="fr-CA"/>
        </w:rPr>
        <w:t>s</w:t>
      </w:r>
      <w:r w:rsidRPr="007865D1">
        <w:rPr>
          <w:rFonts w:cs="Times New Roman"/>
          <w:lang w:val="fr-CA"/>
        </w:rPr>
        <w:t xml:space="preserve"> quant à la question en litige. </w:t>
      </w:r>
      <w:r>
        <w:rPr>
          <w:rFonts w:cs="Times New Roman"/>
          <w:lang w:val="fr-CA"/>
        </w:rPr>
        <w:t>Il</w:t>
      </w:r>
      <w:r w:rsidRPr="007865D1">
        <w:rPr>
          <w:rFonts w:cs="Times New Roman"/>
          <w:lang w:val="fr-CA"/>
        </w:rPr>
        <w:t xml:space="preserve"> a néanmoins ordonné </w:t>
      </w:r>
      <w:r>
        <w:rPr>
          <w:rFonts w:cs="Times New Roman"/>
          <w:lang w:val="fr-CA"/>
        </w:rPr>
        <w:t xml:space="preserve">que l’interdiction de </w:t>
      </w:r>
      <w:r w:rsidRPr="00F157DE">
        <w:rPr>
          <w:rFonts w:cs="Times New Roman"/>
          <w:lang w:val="fr-CA"/>
        </w:rPr>
        <w:t>publication reste en vigueur indéfiniment.</w:t>
      </w:r>
    </w:p>
    <w:p w:rsidR="009F09DA" w:rsidRPr="00060362" w:rsidRDefault="009F09DA" w:rsidP="009F09DA">
      <w:pPr>
        <w:pStyle w:val="ParaNoNdepar-AltN"/>
        <w:rPr>
          <w:rFonts w:cs="Times New Roman"/>
          <w:lang w:val="fr-CA"/>
        </w:rPr>
      </w:pPr>
      <w:r>
        <w:rPr>
          <w:rFonts w:cs="Times New Roman"/>
          <w:lang w:val="fr-CA"/>
        </w:rPr>
        <w:t>Invoquant le principe de la publicité des débats judiciaires et le droit constitutionnel à la liberté de la presse avec lequel il est intimement lié, la Société Radio</w:t>
      </w:r>
      <w:r>
        <w:rPr>
          <w:rFonts w:cs="Times New Roman"/>
          <w:lang w:val="fr-CA"/>
        </w:rPr>
        <w:noBreakHyphen/>
        <w:t>Canada appelante (« </w:t>
      </w:r>
      <w:r w:rsidRPr="00636D1D">
        <w:rPr>
          <w:rFonts w:cs="Times New Roman"/>
          <w:lang w:val="fr-CA"/>
        </w:rPr>
        <w:t xml:space="preserve">SRC ») a présenté une motion dans laquelle elle sollicitait </w:t>
      </w:r>
      <w:r>
        <w:rPr>
          <w:rFonts w:cs="Times New Roman"/>
          <w:lang w:val="fr-CA"/>
        </w:rPr>
        <w:t xml:space="preserve">l’accès à l’affidavit et demandait l’annulation de l’interdiction de publication. Elle avait assuré la couverture de l’instance en tant que représentante des médias. Aux dires de la SRC, la levée de l’interdiction de publication ferait la lumière sur la principale question dont </w:t>
      </w:r>
      <w:proofErr w:type="gramStart"/>
      <w:r>
        <w:rPr>
          <w:rFonts w:cs="Times New Roman"/>
          <w:lang w:val="fr-CA"/>
        </w:rPr>
        <w:t>était</w:t>
      </w:r>
      <w:proofErr w:type="gramEnd"/>
      <w:r>
        <w:rPr>
          <w:rFonts w:cs="Times New Roman"/>
          <w:lang w:val="fr-CA"/>
        </w:rPr>
        <w:t xml:space="preserve"> saisie la Cour d’appel et sa conclusion sur le fond selon laquelle une erreur judiciaire s’était produite au procès. Cependant, la Couronne s’est opposée à la motion en modification de l’interdiction, plaidant que l’affidavit n’était pas pertinent et que la Cour d’appel n’avait plus compétence sur la matière</w:t>
      </w:r>
      <w:r w:rsidRPr="00060362">
        <w:rPr>
          <w:rFonts w:cs="Times New Roman"/>
          <w:lang w:val="fr-CA"/>
        </w:rPr>
        <w:t xml:space="preserve">. </w:t>
      </w:r>
      <w:r>
        <w:rPr>
          <w:rFonts w:cs="Times New Roman"/>
          <w:lang w:val="fr-CA"/>
        </w:rPr>
        <w:t>Des membres de la famille d’une personne décédée mentionnée dans l’affidavit sous scellés se sont eux aussi opposés à la levée de l’interdiction, car, disaient</w:t>
      </w:r>
      <w:r>
        <w:rPr>
          <w:rFonts w:cs="Times New Roman"/>
          <w:lang w:val="fr-CA"/>
        </w:rPr>
        <w:noBreakHyphen/>
        <w:t>ils, pareille mesure entraînerait une violation injustifiable de leur vie privée</w:t>
      </w:r>
      <w:r w:rsidRPr="00060362">
        <w:rPr>
          <w:rFonts w:cs="Times New Roman"/>
          <w:lang w:val="fr-CA"/>
        </w:rPr>
        <w:t>.</w:t>
      </w:r>
    </w:p>
    <w:p w:rsidR="009F09DA" w:rsidRPr="00F157DE" w:rsidRDefault="009F09DA" w:rsidP="009F09DA">
      <w:pPr>
        <w:pStyle w:val="ParaNoNdepar-AltN"/>
        <w:rPr>
          <w:rFonts w:cs="Times New Roman"/>
          <w:lang w:val="fr-CA"/>
        </w:rPr>
      </w:pPr>
      <w:r>
        <w:rPr>
          <w:rFonts w:cs="Times New Roman"/>
          <w:lang w:val="fr-CA"/>
        </w:rPr>
        <w:t>La Cour d’appel a refusé d’examiner la motion de la SRC, invoquant sa règle de pratique interdisant les nouvelles audiences et la règle du</w:t>
      </w:r>
      <w:r w:rsidRPr="00060362">
        <w:rPr>
          <w:rFonts w:cs="Times New Roman"/>
          <w:lang w:val="fr-CA"/>
        </w:rPr>
        <w:t xml:space="preserve"> </w:t>
      </w:r>
      <w:r w:rsidRPr="00060362">
        <w:rPr>
          <w:rFonts w:cs="Times New Roman"/>
          <w:i/>
          <w:lang w:val="fr-CA"/>
        </w:rPr>
        <w:t>functus officio</w:t>
      </w:r>
      <w:r w:rsidRPr="00060362">
        <w:rPr>
          <w:rFonts w:cs="Times New Roman"/>
          <w:lang w:val="fr-CA"/>
        </w:rPr>
        <w:t xml:space="preserve">. </w:t>
      </w:r>
      <w:r>
        <w:rPr>
          <w:rFonts w:cs="Times New Roman"/>
          <w:lang w:val="fr-CA"/>
        </w:rPr>
        <w:t>La cour estimait avoir épuisé sa compétence dès lors</w:t>
      </w:r>
      <w:r w:rsidRPr="00532EBE">
        <w:rPr>
          <w:rFonts w:cs="Times New Roman"/>
          <w:lang w:val="fr-CA"/>
        </w:rPr>
        <w:t xml:space="preserve"> qu</w:t>
      </w:r>
      <w:r>
        <w:rPr>
          <w:rFonts w:cs="Times New Roman"/>
          <w:lang w:val="fr-CA"/>
        </w:rPr>
        <w:t>’elle</w:t>
      </w:r>
      <w:r w:rsidRPr="00532EBE">
        <w:rPr>
          <w:rFonts w:cs="Times New Roman"/>
          <w:lang w:val="fr-CA"/>
        </w:rPr>
        <w:t xml:space="preserve"> s</w:t>
      </w:r>
      <w:r>
        <w:rPr>
          <w:rFonts w:cs="Times New Roman"/>
          <w:lang w:val="fr-CA"/>
        </w:rPr>
        <w:t>’était</w:t>
      </w:r>
      <w:r w:rsidRPr="00532EBE">
        <w:rPr>
          <w:rFonts w:cs="Times New Roman"/>
          <w:lang w:val="fr-CA"/>
        </w:rPr>
        <w:t xml:space="preserve"> prononcé</w:t>
      </w:r>
      <w:r>
        <w:rPr>
          <w:rFonts w:cs="Times New Roman"/>
          <w:lang w:val="fr-CA"/>
        </w:rPr>
        <w:t>e</w:t>
      </w:r>
      <w:r w:rsidRPr="00532EBE">
        <w:rPr>
          <w:rFonts w:cs="Times New Roman"/>
          <w:lang w:val="fr-CA"/>
        </w:rPr>
        <w:t xml:space="preserve"> sur le fond de l</w:t>
      </w:r>
      <w:r>
        <w:rPr>
          <w:rFonts w:cs="Times New Roman"/>
          <w:lang w:val="fr-CA"/>
        </w:rPr>
        <w:t>’</w:t>
      </w:r>
      <w:r w:rsidRPr="00532EBE">
        <w:rPr>
          <w:rFonts w:cs="Times New Roman"/>
          <w:lang w:val="fr-CA"/>
        </w:rPr>
        <w:t xml:space="preserve">affaire et inscrit son jugement formel </w:t>
      </w:r>
      <w:r>
        <w:rPr>
          <w:rFonts w:cs="Times New Roman"/>
          <w:lang w:val="fr-CA"/>
        </w:rPr>
        <w:t>tranchant l’appel</w:t>
      </w:r>
      <w:r w:rsidRPr="00060362">
        <w:rPr>
          <w:rFonts w:cs="Times New Roman"/>
          <w:lang w:val="fr-CA"/>
        </w:rPr>
        <w:t xml:space="preserve">. </w:t>
      </w:r>
      <w:r>
        <w:rPr>
          <w:rFonts w:cs="Times New Roman"/>
          <w:lang w:val="fr-CA"/>
        </w:rPr>
        <w:t xml:space="preserve">Elle a conclu qu’elle n’avait pas </w:t>
      </w:r>
      <w:r w:rsidRPr="00F157DE">
        <w:rPr>
          <w:rFonts w:cs="Times New Roman"/>
          <w:lang w:val="fr-CA"/>
        </w:rPr>
        <w:t>compétence pour entendre la motion et a affirmé que la SRC devait s</w:t>
      </w:r>
      <w:r>
        <w:rPr>
          <w:rFonts w:cs="Times New Roman"/>
          <w:lang w:val="fr-CA"/>
        </w:rPr>
        <w:t>’</w:t>
      </w:r>
      <w:r w:rsidRPr="00F157DE">
        <w:rPr>
          <w:rFonts w:cs="Times New Roman"/>
          <w:lang w:val="fr-CA"/>
        </w:rPr>
        <w:t>adresser à notre Cour, dans un pourvoi, pour obtenir réparation.</w:t>
      </w:r>
    </w:p>
    <w:p w:rsidR="009F09DA" w:rsidRPr="00C5565E" w:rsidRDefault="009F09DA" w:rsidP="009F09DA">
      <w:pPr>
        <w:pStyle w:val="ParaNoNdepar-AltN"/>
        <w:rPr>
          <w:rFonts w:cs="Times New Roman"/>
          <w:lang w:val="fr-CA"/>
        </w:rPr>
      </w:pPr>
      <w:r w:rsidRPr="00F157DE">
        <w:rPr>
          <w:rFonts w:cs="Times New Roman"/>
          <w:lang w:val="fr-CA"/>
        </w:rPr>
        <w:t>En fait, notre Cour est saisie de deux pourvois. Dans le premier, elle a accordé l</w:t>
      </w:r>
      <w:r>
        <w:rPr>
          <w:rFonts w:cs="Times New Roman"/>
          <w:lang w:val="fr-CA"/>
        </w:rPr>
        <w:t>’</w:t>
      </w:r>
      <w:r w:rsidRPr="00F157DE">
        <w:rPr>
          <w:rFonts w:cs="Times New Roman"/>
          <w:lang w:val="fr-CA"/>
        </w:rPr>
        <w:t xml:space="preserve">autorisation de pourvoi </w:t>
      </w:r>
      <w:r>
        <w:rPr>
          <w:rFonts w:cs="Times New Roman"/>
          <w:lang w:val="fr-CA"/>
        </w:rPr>
        <w:t xml:space="preserve">à l’encontre du </w:t>
      </w:r>
      <w:r w:rsidRPr="00F157DE">
        <w:rPr>
          <w:rFonts w:cs="Times New Roman"/>
          <w:lang w:val="fr-CA"/>
        </w:rPr>
        <w:t>refus de la Cour d</w:t>
      </w:r>
      <w:r>
        <w:rPr>
          <w:rFonts w:cs="Times New Roman"/>
          <w:lang w:val="fr-CA"/>
        </w:rPr>
        <w:t>’</w:t>
      </w:r>
      <w:r w:rsidRPr="00F157DE">
        <w:rPr>
          <w:rFonts w:cs="Times New Roman"/>
          <w:lang w:val="fr-CA"/>
        </w:rPr>
        <w:t>appel d</w:t>
      </w:r>
      <w:r>
        <w:rPr>
          <w:rFonts w:cs="Times New Roman"/>
          <w:lang w:val="fr-CA"/>
        </w:rPr>
        <w:t>’</w:t>
      </w:r>
      <w:r w:rsidRPr="00F157DE">
        <w:rPr>
          <w:rFonts w:cs="Times New Roman"/>
          <w:lang w:val="fr-CA"/>
        </w:rPr>
        <w:t xml:space="preserve">entendre la motion dans laquelle il lui était demandé de réexaminer sa propre interdiction de publication </w:t>
      </w:r>
      <w:r w:rsidRPr="00C5565E">
        <w:rPr>
          <w:rFonts w:cs="Times New Roman"/>
          <w:lang w:val="fr-CA"/>
        </w:rPr>
        <w:t>et, en outre, de donner à la SRC accès à l</w:t>
      </w:r>
      <w:r>
        <w:rPr>
          <w:rFonts w:cs="Times New Roman"/>
          <w:lang w:val="fr-CA"/>
        </w:rPr>
        <w:t>’</w:t>
      </w:r>
      <w:r w:rsidRPr="00C5565E">
        <w:rPr>
          <w:rFonts w:cs="Times New Roman"/>
          <w:lang w:val="fr-CA"/>
        </w:rPr>
        <w:t>affidavit. Ce premier pourvoi soulève des questions préliminaires relatives aux pouvoirs de la Cour d</w:t>
      </w:r>
      <w:r>
        <w:rPr>
          <w:rFonts w:cs="Times New Roman"/>
          <w:lang w:val="fr-CA"/>
        </w:rPr>
        <w:t>’</w:t>
      </w:r>
      <w:r w:rsidRPr="00C5565E">
        <w:rPr>
          <w:rFonts w:cs="Times New Roman"/>
          <w:lang w:val="fr-CA"/>
        </w:rPr>
        <w:t>appel de réexaminer les décisions de cette nature après qu</w:t>
      </w:r>
      <w:r>
        <w:rPr>
          <w:rFonts w:cs="Times New Roman"/>
          <w:lang w:val="fr-CA"/>
        </w:rPr>
        <w:t>’</w:t>
      </w:r>
      <w:r w:rsidRPr="00C5565E">
        <w:rPr>
          <w:rFonts w:cs="Times New Roman"/>
          <w:lang w:val="fr-CA"/>
        </w:rPr>
        <w:t>elle eut rendu l</w:t>
      </w:r>
      <w:r>
        <w:rPr>
          <w:rFonts w:cs="Times New Roman"/>
          <w:lang w:val="fr-CA"/>
        </w:rPr>
        <w:t>’</w:t>
      </w:r>
      <w:r w:rsidRPr="00C5565E">
        <w:rPr>
          <w:rFonts w:cs="Times New Roman"/>
          <w:lang w:val="fr-CA"/>
        </w:rPr>
        <w:t>ordonnance formelle sur le bien</w:t>
      </w:r>
      <w:r>
        <w:rPr>
          <w:rFonts w:cs="Times New Roman"/>
          <w:lang w:val="fr-CA"/>
        </w:rPr>
        <w:noBreakHyphen/>
      </w:r>
      <w:r w:rsidRPr="00C5565E">
        <w:rPr>
          <w:rFonts w:cs="Times New Roman"/>
          <w:lang w:val="fr-CA"/>
        </w:rPr>
        <w:t>fondé de l</w:t>
      </w:r>
      <w:r>
        <w:rPr>
          <w:rFonts w:cs="Times New Roman"/>
          <w:lang w:val="fr-CA"/>
        </w:rPr>
        <w:t>’</w:t>
      </w:r>
      <w:r w:rsidRPr="00C5565E">
        <w:rPr>
          <w:rFonts w:cs="Times New Roman"/>
          <w:lang w:val="fr-CA"/>
        </w:rPr>
        <w:t>allégation d</w:t>
      </w:r>
      <w:r>
        <w:rPr>
          <w:rFonts w:cs="Times New Roman"/>
          <w:lang w:val="fr-CA"/>
        </w:rPr>
        <w:t>’</w:t>
      </w:r>
      <w:r w:rsidRPr="00C5565E">
        <w:rPr>
          <w:rFonts w:cs="Times New Roman"/>
          <w:lang w:val="fr-CA"/>
        </w:rPr>
        <w:t xml:space="preserve">erreur judiciaire, </w:t>
      </w:r>
      <w:r w:rsidRPr="007B3830">
        <w:rPr>
          <w:rFonts w:cs="Times New Roman"/>
          <w:lang w:val="fr-CA"/>
        </w:rPr>
        <w:t>notamment l</w:t>
      </w:r>
      <w:r>
        <w:rPr>
          <w:rFonts w:cs="Times New Roman"/>
          <w:lang w:val="fr-CA"/>
        </w:rPr>
        <w:t>’</w:t>
      </w:r>
      <w:r w:rsidRPr="007B3830">
        <w:rPr>
          <w:rFonts w:cs="Times New Roman"/>
          <w:lang w:val="fr-CA"/>
        </w:rPr>
        <w:t>examen de la</w:t>
      </w:r>
      <w:r w:rsidRPr="00C5565E">
        <w:rPr>
          <w:rFonts w:cs="Times New Roman"/>
          <w:lang w:val="fr-CA"/>
        </w:rPr>
        <w:t xml:space="preserve"> règle du </w:t>
      </w:r>
      <w:r w:rsidRPr="00C5565E">
        <w:rPr>
          <w:rFonts w:cs="Times New Roman"/>
          <w:i/>
          <w:lang w:val="fr-CA"/>
        </w:rPr>
        <w:t>functus officio</w:t>
      </w:r>
      <w:r w:rsidRPr="00C5565E">
        <w:rPr>
          <w:rFonts w:cs="Times New Roman"/>
          <w:lang w:val="fr-CA"/>
        </w:rPr>
        <w:t>. Dans le second pourvoi, autorisé lui aussi, la SRC conteste directement l</w:t>
      </w:r>
      <w:r>
        <w:rPr>
          <w:rFonts w:cs="Times New Roman"/>
          <w:lang w:val="fr-CA"/>
        </w:rPr>
        <w:t>’</w:t>
      </w:r>
      <w:r w:rsidRPr="00C5565E">
        <w:rPr>
          <w:rFonts w:cs="Times New Roman"/>
          <w:lang w:val="fr-CA"/>
        </w:rPr>
        <w:t xml:space="preserve">interdiction de publication. </w:t>
      </w:r>
      <w:r w:rsidRPr="00636D1D">
        <w:rPr>
          <w:rFonts w:cs="Times New Roman"/>
          <w:lang w:val="fr-CA"/>
        </w:rPr>
        <w:t xml:space="preserve">Ce deuxième </w:t>
      </w:r>
      <w:r w:rsidRPr="00C5565E">
        <w:rPr>
          <w:rFonts w:cs="Times New Roman"/>
          <w:lang w:val="fr-CA"/>
        </w:rPr>
        <w:t>pourvoi prend sa source directement dans l</w:t>
      </w:r>
      <w:r>
        <w:rPr>
          <w:rFonts w:cs="Times New Roman"/>
          <w:lang w:val="fr-CA"/>
        </w:rPr>
        <w:t>’</w:t>
      </w:r>
      <w:r w:rsidRPr="00C5565E">
        <w:rPr>
          <w:rFonts w:cs="Times New Roman"/>
          <w:lang w:val="fr-CA"/>
        </w:rPr>
        <w:t>interdiction de publication elle</w:t>
      </w:r>
      <w:r>
        <w:rPr>
          <w:rFonts w:cs="Times New Roman"/>
          <w:lang w:val="fr-CA"/>
        </w:rPr>
        <w:noBreakHyphen/>
      </w:r>
      <w:r w:rsidRPr="00C5565E">
        <w:rPr>
          <w:rFonts w:cs="Times New Roman"/>
          <w:lang w:val="fr-CA"/>
        </w:rPr>
        <w:t>même, et contrairement au premier pourvoi, il ne concerne pas l</w:t>
      </w:r>
      <w:r>
        <w:rPr>
          <w:rFonts w:cs="Times New Roman"/>
          <w:lang w:val="fr-CA"/>
        </w:rPr>
        <w:t>’</w:t>
      </w:r>
      <w:r w:rsidRPr="00C5565E">
        <w:rPr>
          <w:rFonts w:cs="Times New Roman"/>
          <w:lang w:val="fr-CA"/>
        </w:rPr>
        <w:t>ordonnance donnant accès à l</w:t>
      </w:r>
      <w:r>
        <w:rPr>
          <w:rFonts w:cs="Times New Roman"/>
          <w:lang w:val="fr-CA"/>
        </w:rPr>
        <w:t>’</w:t>
      </w:r>
      <w:r w:rsidRPr="00C5565E">
        <w:rPr>
          <w:rFonts w:cs="Times New Roman"/>
          <w:lang w:val="fr-CA"/>
        </w:rPr>
        <w:t>affidavit sollicité lui aussi dans la motion de la SRC. Il soulève l</w:t>
      </w:r>
      <w:r>
        <w:rPr>
          <w:rFonts w:cs="Times New Roman"/>
          <w:lang w:val="fr-CA"/>
        </w:rPr>
        <w:t>’</w:t>
      </w:r>
      <w:r w:rsidRPr="00C5565E">
        <w:rPr>
          <w:rFonts w:cs="Times New Roman"/>
          <w:lang w:val="fr-CA"/>
        </w:rPr>
        <w:t>unique question de savoir si la Cour d</w:t>
      </w:r>
      <w:r>
        <w:rPr>
          <w:rFonts w:cs="Times New Roman"/>
          <w:lang w:val="fr-CA"/>
        </w:rPr>
        <w:t>’</w:t>
      </w:r>
      <w:r w:rsidRPr="00C5565E">
        <w:rPr>
          <w:rFonts w:cs="Times New Roman"/>
          <w:lang w:val="fr-CA"/>
        </w:rPr>
        <w:t>appel a eu raison d</w:t>
      </w:r>
      <w:r>
        <w:rPr>
          <w:rFonts w:cs="Times New Roman"/>
          <w:lang w:val="fr-CA"/>
        </w:rPr>
        <w:t>’</w:t>
      </w:r>
      <w:r w:rsidRPr="00C5565E">
        <w:rPr>
          <w:rFonts w:cs="Times New Roman"/>
          <w:lang w:val="fr-CA"/>
        </w:rPr>
        <w:t>imposer l</w:t>
      </w:r>
      <w:r>
        <w:rPr>
          <w:rFonts w:cs="Times New Roman"/>
          <w:lang w:val="fr-CA"/>
        </w:rPr>
        <w:t>’</w:t>
      </w:r>
      <w:r w:rsidRPr="00C5565E">
        <w:rPr>
          <w:rFonts w:cs="Times New Roman"/>
          <w:lang w:val="fr-CA"/>
        </w:rPr>
        <w:t>interdiction de publication définitive de durée indéterminée décrétée dans le jugement qui tranchait l</w:t>
      </w:r>
      <w:r>
        <w:rPr>
          <w:rFonts w:cs="Times New Roman"/>
          <w:lang w:val="fr-CA"/>
        </w:rPr>
        <w:t>’</w:t>
      </w:r>
      <w:r w:rsidRPr="00C5565E">
        <w:rPr>
          <w:rFonts w:cs="Times New Roman"/>
          <w:lang w:val="fr-CA"/>
        </w:rPr>
        <w:t>appel sur le fond.</w:t>
      </w:r>
      <w:r>
        <w:rPr>
          <w:rFonts w:cs="Times New Roman"/>
          <w:lang w:val="fr-CA"/>
        </w:rPr>
        <w:t xml:space="preserve"> </w:t>
      </w:r>
    </w:p>
    <w:p w:rsidR="009F09DA" w:rsidRPr="00060362" w:rsidRDefault="009F09DA" w:rsidP="009F09DA">
      <w:pPr>
        <w:pStyle w:val="ParaNoNdepar-AltN"/>
        <w:rPr>
          <w:rFonts w:cs="Times New Roman"/>
          <w:lang w:val="fr-CA"/>
        </w:rPr>
      </w:pPr>
      <w:r w:rsidRPr="00F157DE">
        <w:rPr>
          <w:rFonts w:cs="Times New Roman"/>
          <w:lang w:val="fr-CA"/>
        </w:rPr>
        <w:t xml:space="preserve">En ce qui concerne le premier pourvoi, et soit </w:t>
      </w:r>
      <w:r>
        <w:rPr>
          <w:rFonts w:cs="Times New Roman"/>
          <w:lang w:val="fr-CA"/>
        </w:rPr>
        <w:t>dit en tout</w:t>
      </w:r>
      <w:r w:rsidRPr="00060362">
        <w:rPr>
          <w:rFonts w:cs="Times New Roman"/>
          <w:lang w:val="fr-CA"/>
        </w:rPr>
        <w:t xml:space="preserve"> respect, </w:t>
      </w:r>
      <w:r>
        <w:rPr>
          <w:rFonts w:cs="Times New Roman"/>
          <w:lang w:val="fr-CA"/>
        </w:rPr>
        <w:t xml:space="preserve">je ne partage pas l’opinion de la Cour d’appel selon laquelle elle n’avait pas compétence pour examiner la motion présentée par la SRC. Il est vrai que, dans l’exercice de sa compétence en tant que juridiction d’appel, la Cour d’appel ne pouvait pas entendre de </w:t>
      </w:r>
      <w:r w:rsidRPr="00F157DE">
        <w:rPr>
          <w:rFonts w:cs="Times New Roman"/>
          <w:lang w:val="fr-CA"/>
        </w:rPr>
        <w:t>nouveau l</w:t>
      </w:r>
      <w:r>
        <w:rPr>
          <w:rFonts w:cs="Times New Roman"/>
          <w:lang w:val="fr-CA"/>
        </w:rPr>
        <w:t>’</w:t>
      </w:r>
      <w:r w:rsidRPr="00F157DE">
        <w:rPr>
          <w:rFonts w:cs="Times New Roman"/>
          <w:lang w:val="fr-CA"/>
        </w:rPr>
        <w:t xml:space="preserve">appel sur le fond et que la règle du </w:t>
      </w:r>
      <w:r w:rsidRPr="00F157DE">
        <w:rPr>
          <w:rFonts w:cs="Times New Roman"/>
          <w:i/>
          <w:lang w:val="fr-CA"/>
        </w:rPr>
        <w:t>functus officio</w:t>
      </w:r>
      <w:r w:rsidRPr="00F157DE">
        <w:rPr>
          <w:rFonts w:cs="Times New Roman"/>
          <w:lang w:val="fr-CA"/>
        </w:rPr>
        <w:t xml:space="preserve"> l</w:t>
      </w:r>
      <w:r>
        <w:rPr>
          <w:rFonts w:cs="Times New Roman"/>
          <w:lang w:val="fr-CA"/>
        </w:rPr>
        <w:t>’</w:t>
      </w:r>
      <w:r w:rsidRPr="00F157DE">
        <w:rPr>
          <w:rFonts w:cs="Times New Roman"/>
          <w:lang w:val="fr-CA"/>
        </w:rPr>
        <w:t xml:space="preserve">empêche de se prononcer encore une fois </w:t>
      </w:r>
      <w:r w:rsidRPr="00636D1D">
        <w:rPr>
          <w:rFonts w:cs="Times New Roman"/>
          <w:lang w:val="fr-CA"/>
        </w:rPr>
        <w:t>sur le mérite de</w:t>
      </w:r>
      <w:r w:rsidRPr="00F157DE">
        <w:rPr>
          <w:rFonts w:cs="Times New Roman"/>
          <w:lang w:val="fr-CA"/>
        </w:rPr>
        <w:t xml:space="preserve"> l</w:t>
      </w:r>
      <w:r>
        <w:rPr>
          <w:rFonts w:cs="Times New Roman"/>
          <w:lang w:val="fr-CA"/>
        </w:rPr>
        <w:t>’</w:t>
      </w:r>
      <w:r w:rsidRPr="00F157DE">
        <w:rPr>
          <w:rFonts w:cs="Times New Roman"/>
          <w:lang w:val="fr-CA"/>
        </w:rPr>
        <w:t>appel. Toutefois, après qu</w:t>
      </w:r>
      <w:r>
        <w:rPr>
          <w:rFonts w:cs="Times New Roman"/>
          <w:lang w:val="fr-CA"/>
        </w:rPr>
        <w:t>’</w:t>
      </w:r>
      <w:r w:rsidRPr="00F157DE">
        <w:rPr>
          <w:rFonts w:cs="Times New Roman"/>
          <w:lang w:val="fr-CA"/>
        </w:rPr>
        <w:t>un tribunal perde compétence sur le fond, il conserve généralement le pouvoir de superviser l</w:t>
      </w:r>
      <w:r>
        <w:rPr>
          <w:rFonts w:cs="Times New Roman"/>
          <w:lang w:val="fr-CA"/>
        </w:rPr>
        <w:t>’</w:t>
      </w:r>
      <w:r w:rsidRPr="00F157DE">
        <w:rPr>
          <w:rFonts w:cs="Times New Roman"/>
          <w:lang w:val="fr-CA"/>
        </w:rPr>
        <w:t xml:space="preserve">accès au dossier de sa propre instance. Même après </w:t>
      </w:r>
      <w:r>
        <w:rPr>
          <w:rFonts w:cs="Times New Roman"/>
          <w:lang w:val="fr-CA"/>
        </w:rPr>
        <w:t>le dépôt du jugement formel sur le fond, ce pouvoir continu permet au tribunal d’assurer la conformité au principe constitutionnel de la publicité des débats judiciaires et la protection d’autres intérêts publics importants par rapport auxquels il doit être soupesé. En effet, il est essentiel au maintien de la responsabilité de tous les tribunaux d’administrer leurs dossiers conformément à la</w:t>
      </w:r>
      <w:r w:rsidRPr="00060362">
        <w:rPr>
          <w:rFonts w:cs="Times New Roman"/>
          <w:lang w:val="fr-CA"/>
        </w:rPr>
        <w:t xml:space="preserve"> </w:t>
      </w:r>
      <w:r w:rsidRPr="00060362">
        <w:rPr>
          <w:rFonts w:cs="Times New Roman"/>
          <w:i/>
          <w:lang w:val="fr-CA"/>
        </w:rPr>
        <w:t>C</w:t>
      </w:r>
      <w:r>
        <w:rPr>
          <w:rFonts w:cs="Times New Roman"/>
          <w:i/>
          <w:lang w:val="fr-CA"/>
        </w:rPr>
        <w:t>harte c</w:t>
      </w:r>
      <w:r w:rsidRPr="00060362">
        <w:rPr>
          <w:rFonts w:cs="Times New Roman"/>
          <w:i/>
          <w:lang w:val="fr-CA"/>
        </w:rPr>
        <w:t>anadi</w:t>
      </w:r>
      <w:r>
        <w:rPr>
          <w:rFonts w:cs="Times New Roman"/>
          <w:i/>
          <w:lang w:val="fr-CA"/>
        </w:rPr>
        <w:t>enne des droits et libertés</w:t>
      </w:r>
      <w:r w:rsidRPr="00060362">
        <w:rPr>
          <w:rFonts w:cs="Times New Roman"/>
          <w:i/>
          <w:lang w:val="fr-CA"/>
        </w:rPr>
        <w:t xml:space="preserve"> </w:t>
      </w:r>
      <w:r>
        <w:rPr>
          <w:rFonts w:cs="Times New Roman"/>
          <w:lang w:val="fr-CA"/>
        </w:rPr>
        <w:t xml:space="preserve">et à la bonne administration de la </w:t>
      </w:r>
      <w:r w:rsidRPr="00F157DE">
        <w:rPr>
          <w:rFonts w:cs="Times New Roman"/>
          <w:lang w:val="fr-CA"/>
        </w:rPr>
        <w:t>justice. Puisque ces questions accessoires liées à la publicité des débats judiciaires n</w:t>
      </w:r>
      <w:r>
        <w:rPr>
          <w:rFonts w:cs="Times New Roman"/>
          <w:lang w:val="fr-CA"/>
        </w:rPr>
        <w:t>’</w:t>
      </w:r>
      <w:r w:rsidRPr="00F157DE">
        <w:rPr>
          <w:rFonts w:cs="Times New Roman"/>
          <w:lang w:val="fr-CA"/>
        </w:rPr>
        <w:t xml:space="preserve">ont aucune incidence </w:t>
      </w:r>
      <w:r>
        <w:rPr>
          <w:rFonts w:cs="Times New Roman"/>
          <w:lang w:val="fr-CA"/>
        </w:rPr>
        <w:t>sur les jugements au fond, la Cour d’appel n’avait aucune raison de se lier les mains au service du caractère définitif du jugement sous</w:t>
      </w:r>
      <w:r>
        <w:rPr>
          <w:rFonts w:cs="Times New Roman"/>
          <w:lang w:val="fr-CA"/>
        </w:rPr>
        <w:noBreakHyphen/>
        <w:t>jacent, lequel n’était pas menacé</w:t>
      </w:r>
      <w:r w:rsidRPr="00060362">
        <w:rPr>
          <w:rFonts w:cs="Times New Roman"/>
          <w:lang w:val="fr-CA"/>
        </w:rPr>
        <w:t>.</w:t>
      </w:r>
    </w:p>
    <w:p w:rsidR="009F09DA" w:rsidRPr="00060362" w:rsidRDefault="009F09DA" w:rsidP="009F09DA">
      <w:pPr>
        <w:pStyle w:val="ParaNoNdepar-AltN"/>
        <w:rPr>
          <w:rFonts w:cs="Times New Roman"/>
          <w:lang w:val="fr-CA"/>
        </w:rPr>
      </w:pPr>
      <w:r>
        <w:rPr>
          <w:rFonts w:cs="Times New Roman"/>
          <w:lang w:val="fr-CA"/>
        </w:rPr>
        <w:t>Qui plus est, la Cour d’appel avait prononcé l’interdiction de publication continue dans son jugement sur le fond sans tenir d’audience en vue de décider s’il y avait lieu de limiter le principe de la publicité des débats judiciaires dans les circonstances. La Cour d’appel aurait dû se demander s’il convenait d’annuler son interdiction de publication sur motion de la SRC dans ces circonstances</w:t>
      </w:r>
      <w:r w:rsidRPr="00060362">
        <w:rPr>
          <w:rFonts w:cs="Times New Roman"/>
          <w:lang w:val="fr-CA"/>
        </w:rPr>
        <w:t xml:space="preserve">. </w:t>
      </w:r>
    </w:p>
    <w:p w:rsidR="009F09DA" w:rsidRDefault="009F09DA" w:rsidP="009F09DA">
      <w:pPr>
        <w:pStyle w:val="ParaNoNdepar-AltN"/>
        <w:rPr>
          <w:rFonts w:cs="Times New Roman"/>
          <w:lang w:val="fr-CA"/>
        </w:rPr>
      </w:pPr>
      <w:r>
        <w:rPr>
          <w:rFonts w:cs="Times New Roman"/>
          <w:lang w:val="fr-CA"/>
        </w:rPr>
        <w:t xml:space="preserve">Pour les motifs qui </w:t>
      </w:r>
      <w:r w:rsidRPr="00CC30F6">
        <w:rPr>
          <w:rFonts w:cs="Times New Roman"/>
          <w:lang w:val="fr-CA"/>
        </w:rPr>
        <w:t xml:space="preserve">suivent, en vue de statuer sur le premier pourvoi, </w:t>
      </w:r>
      <w:r>
        <w:rPr>
          <w:rFonts w:cs="Times New Roman"/>
          <w:lang w:val="fr-CA"/>
        </w:rPr>
        <w:t>je propose que l’affaire soit renvoyée à la Cour d’appel pour qu’elle tranche la motion de la SRC</w:t>
      </w:r>
      <w:r w:rsidRPr="00060362">
        <w:rPr>
          <w:rFonts w:cs="Times New Roman"/>
          <w:lang w:val="fr-CA"/>
        </w:rPr>
        <w:t xml:space="preserve">. </w:t>
      </w:r>
      <w:r>
        <w:rPr>
          <w:rFonts w:cs="Times New Roman"/>
          <w:lang w:val="fr-CA"/>
        </w:rPr>
        <w:t xml:space="preserve">Ce tribunal est le </w:t>
      </w:r>
      <w:r w:rsidRPr="00CC30F6">
        <w:rPr>
          <w:rFonts w:cs="Times New Roman"/>
          <w:lang w:val="fr-CA"/>
        </w:rPr>
        <w:t xml:space="preserve">mieux placé pour trancher les questions discrétionnaires et tributaires des faits </w:t>
      </w:r>
      <w:r>
        <w:rPr>
          <w:rFonts w:cs="Times New Roman"/>
          <w:lang w:val="fr-CA"/>
        </w:rPr>
        <w:t xml:space="preserve">qui sont </w:t>
      </w:r>
      <w:r w:rsidRPr="00CC30F6">
        <w:rPr>
          <w:rFonts w:cs="Times New Roman"/>
          <w:lang w:val="fr-CA"/>
        </w:rPr>
        <w:t>soulevées, dont celle de savoir s</w:t>
      </w:r>
      <w:r>
        <w:rPr>
          <w:rFonts w:cs="Times New Roman"/>
          <w:lang w:val="fr-CA"/>
        </w:rPr>
        <w:t>’</w:t>
      </w:r>
      <w:r w:rsidRPr="00CC30F6">
        <w:rPr>
          <w:rFonts w:cs="Times New Roman"/>
          <w:lang w:val="fr-CA"/>
        </w:rPr>
        <w:t>il y a lieu d</w:t>
      </w:r>
      <w:r>
        <w:rPr>
          <w:rFonts w:cs="Times New Roman"/>
          <w:lang w:val="fr-CA"/>
        </w:rPr>
        <w:t>’</w:t>
      </w:r>
      <w:r w:rsidRPr="00CC30F6">
        <w:rPr>
          <w:rFonts w:cs="Times New Roman"/>
          <w:lang w:val="fr-CA"/>
        </w:rPr>
        <w:t>accorder à la SRC qualité pour contester l</w:t>
      </w:r>
      <w:r>
        <w:rPr>
          <w:rFonts w:cs="Times New Roman"/>
          <w:lang w:val="fr-CA"/>
        </w:rPr>
        <w:t>’</w:t>
      </w:r>
      <w:r w:rsidRPr="00CC30F6">
        <w:rPr>
          <w:rFonts w:cs="Times New Roman"/>
          <w:lang w:val="fr-CA"/>
        </w:rPr>
        <w:t xml:space="preserve">interdiction de publication, celle de savoir si la motion a été </w:t>
      </w:r>
      <w:r w:rsidRPr="00636D1D">
        <w:rPr>
          <w:rFonts w:cs="Times New Roman"/>
          <w:lang w:val="fr-CA"/>
        </w:rPr>
        <w:t>déraisonnablement tardive</w:t>
      </w:r>
      <w:r w:rsidRPr="00CC30F6">
        <w:rPr>
          <w:rFonts w:cs="Times New Roman"/>
          <w:lang w:val="fr-CA"/>
        </w:rPr>
        <w:t xml:space="preserve"> si bien qu</w:t>
      </w:r>
      <w:r>
        <w:rPr>
          <w:rFonts w:cs="Times New Roman"/>
          <w:lang w:val="fr-CA"/>
        </w:rPr>
        <w:t>’</w:t>
      </w:r>
      <w:r w:rsidRPr="00CC30F6">
        <w:rPr>
          <w:rFonts w:cs="Times New Roman"/>
          <w:lang w:val="fr-CA"/>
        </w:rPr>
        <w:t>il n</w:t>
      </w:r>
      <w:r>
        <w:rPr>
          <w:rFonts w:cs="Times New Roman"/>
          <w:lang w:val="fr-CA"/>
        </w:rPr>
        <w:t>’</w:t>
      </w:r>
      <w:r w:rsidRPr="00CC30F6">
        <w:rPr>
          <w:rFonts w:cs="Times New Roman"/>
          <w:lang w:val="fr-CA"/>
        </w:rPr>
        <w:t>est pas dans l</w:t>
      </w:r>
      <w:r>
        <w:rPr>
          <w:rFonts w:cs="Times New Roman"/>
          <w:lang w:val="fr-CA"/>
        </w:rPr>
        <w:t>’</w:t>
      </w:r>
      <w:r w:rsidRPr="00CC30F6">
        <w:rPr>
          <w:rFonts w:cs="Times New Roman"/>
          <w:lang w:val="fr-CA"/>
        </w:rPr>
        <w:t>intérêt de la justice de l</w:t>
      </w:r>
      <w:r>
        <w:rPr>
          <w:rFonts w:cs="Times New Roman"/>
          <w:lang w:val="fr-CA"/>
        </w:rPr>
        <w:t>’</w:t>
      </w:r>
      <w:r w:rsidRPr="00CC30F6">
        <w:rPr>
          <w:rFonts w:cs="Times New Roman"/>
          <w:lang w:val="fr-CA"/>
        </w:rPr>
        <w:t>entendre, et celle de savoir si la levée de l</w:t>
      </w:r>
      <w:r>
        <w:rPr>
          <w:rFonts w:cs="Times New Roman"/>
          <w:lang w:val="fr-CA"/>
        </w:rPr>
        <w:t>’</w:t>
      </w:r>
      <w:r w:rsidRPr="00CC30F6">
        <w:rPr>
          <w:rFonts w:cs="Times New Roman"/>
          <w:lang w:val="fr-CA"/>
        </w:rPr>
        <w:t xml:space="preserve">interdiction de publication est </w:t>
      </w:r>
      <w:r>
        <w:rPr>
          <w:rFonts w:cs="Times New Roman"/>
          <w:lang w:val="fr-CA"/>
        </w:rPr>
        <w:t xml:space="preserve">justifiée en l’espèce compte tenu de la décision rendue par notre Cour dans </w:t>
      </w:r>
      <w:r w:rsidRPr="00011D34">
        <w:rPr>
          <w:rFonts w:cs="Times New Roman"/>
          <w:i/>
          <w:lang w:val="fr-CA"/>
        </w:rPr>
        <w:t>S</w:t>
      </w:r>
      <w:r w:rsidRPr="00060362">
        <w:rPr>
          <w:rFonts w:cs="Times New Roman"/>
          <w:i/>
          <w:lang w:val="fr-CA"/>
        </w:rPr>
        <w:t>herman</w:t>
      </w:r>
      <w:r>
        <w:rPr>
          <w:rFonts w:cs="Times New Roman"/>
          <w:i/>
          <w:lang w:val="fr-CA"/>
        </w:rPr>
        <w:t> (Succession)</w:t>
      </w:r>
      <w:r w:rsidRPr="00060362">
        <w:rPr>
          <w:rFonts w:cs="Times New Roman"/>
          <w:i/>
          <w:lang w:val="fr-CA"/>
        </w:rPr>
        <w:t xml:space="preserve"> </w:t>
      </w:r>
      <w:r>
        <w:rPr>
          <w:rFonts w:cs="Times New Roman"/>
          <w:i/>
          <w:lang w:val="fr-CA"/>
        </w:rPr>
        <w:t>c</w:t>
      </w:r>
      <w:r w:rsidRPr="00060362">
        <w:rPr>
          <w:rFonts w:cs="Times New Roman"/>
          <w:i/>
          <w:lang w:val="fr-CA"/>
        </w:rPr>
        <w:t>. Donovan</w:t>
      </w:r>
      <w:r w:rsidRPr="00060362">
        <w:rPr>
          <w:rFonts w:cs="Times New Roman"/>
          <w:lang w:val="fr-CA"/>
        </w:rPr>
        <w:t xml:space="preserve">, 2021 </w:t>
      </w:r>
      <w:r w:rsidRPr="002540AD">
        <w:rPr>
          <w:rFonts w:cs="Times New Roman"/>
          <w:lang w:val="fr-CA"/>
        </w:rPr>
        <w:t>CSC 25.</w:t>
      </w:r>
    </w:p>
    <w:p w:rsidR="009F09DA" w:rsidRPr="00C86AF8" w:rsidRDefault="009F09DA" w:rsidP="009F09DA">
      <w:pPr>
        <w:pStyle w:val="ParaNoNdepar-AltN"/>
        <w:rPr>
          <w:rFonts w:cs="Times New Roman"/>
          <w:lang w:val="fr-CA"/>
        </w:rPr>
      </w:pPr>
      <w:r w:rsidRPr="00CC30F6">
        <w:rPr>
          <w:rFonts w:cs="Times New Roman"/>
          <w:lang w:val="fr-CA"/>
        </w:rPr>
        <w:t>Comme je propose de statuer sur le premier pourvoi en renvoyant l</w:t>
      </w:r>
      <w:r>
        <w:rPr>
          <w:rFonts w:cs="Times New Roman"/>
          <w:lang w:val="fr-CA"/>
        </w:rPr>
        <w:t>’</w:t>
      </w:r>
      <w:r w:rsidRPr="00CC30F6">
        <w:rPr>
          <w:rFonts w:cs="Times New Roman"/>
          <w:lang w:val="fr-CA"/>
        </w:rPr>
        <w:t>affaire à la Cour d</w:t>
      </w:r>
      <w:r>
        <w:rPr>
          <w:rFonts w:cs="Times New Roman"/>
          <w:lang w:val="fr-CA"/>
        </w:rPr>
        <w:t>’</w:t>
      </w:r>
      <w:r w:rsidRPr="00CC30F6">
        <w:rPr>
          <w:rFonts w:cs="Times New Roman"/>
          <w:lang w:val="fr-CA"/>
        </w:rPr>
        <w:t>appel pour qu</w:t>
      </w:r>
      <w:r>
        <w:rPr>
          <w:rFonts w:cs="Times New Roman"/>
          <w:lang w:val="fr-CA"/>
        </w:rPr>
        <w:t>’</w:t>
      </w:r>
      <w:r w:rsidRPr="00CC30F6">
        <w:rPr>
          <w:rFonts w:cs="Times New Roman"/>
          <w:lang w:val="fr-CA"/>
        </w:rPr>
        <w:t xml:space="preserve">elle </w:t>
      </w:r>
      <w:r>
        <w:rPr>
          <w:rFonts w:cs="Times New Roman"/>
          <w:lang w:val="fr-CA"/>
        </w:rPr>
        <w:t xml:space="preserve">se prononce sur </w:t>
      </w:r>
      <w:r w:rsidRPr="00CC30F6">
        <w:rPr>
          <w:rFonts w:cs="Times New Roman"/>
          <w:lang w:val="fr-CA"/>
        </w:rPr>
        <w:t xml:space="preserve">la motion de </w:t>
      </w:r>
      <w:r w:rsidRPr="00636D1D">
        <w:rPr>
          <w:rFonts w:cs="Times New Roman"/>
          <w:lang w:val="fr-CA"/>
        </w:rPr>
        <w:t>la SRC, je suis respectueusement d</w:t>
      </w:r>
      <w:r>
        <w:rPr>
          <w:rFonts w:cs="Times New Roman"/>
          <w:lang w:val="fr-CA"/>
        </w:rPr>
        <w:t>’</w:t>
      </w:r>
      <w:r w:rsidRPr="00636D1D">
        <w:rPr>
          <w:rFonts w:cs="Times New Roman"/>
          <w:lang w:val="fr-CA"/>
        </w:rPr>
        <w:t>avis qu</w:t>
      </w:r>
      <w:r>
        <w:rPr>
          <w:rFonts w:cs="Times New Roman"/>
          <w:lang w:val="fr-CA"/>
        </w:rPr>
        <w:t>’</w:t>
      </w:r>
      <w:r w:rsidRPr="00636D1D">
        <w:rPr>
          <w:rFonts w:cs="Times New Roman"/>
          <w:lang w:val="fr-CA"/>
        </w:rPr>
        <w:t>il serait inopportun que notre Cour décide du second pourvoi contestant l</w:t>
      </w:r>
      <w:r>
        <w:rPr>
          <w:rFonts w:cs="Times New Roman"/>
          <w:lang w:val="fr-CA"/>
        </w:rPr>
        <w:t>’</w:t>
      </w:r>
      <w:r w:rsidRPr="00636D1D">
        <w:rPr>
          <w:rFonts w:cs="Times New Roman"/>
          <w:lang w:val="fr-CA"/>
        </w:rPr>
        <w:t>interdiction de publication elle</w:t>
      </w:r>
      <w:r>
        <w:rPr>
          <w:rFonts w:cs="Times New Roman"/>
          <w:lang w:val="fr-CA"/>
        </w:rPr>
        <w:noBreakHyphen/>
      </w:r>
      <w:r w:rsidRPr="00636D1D">
        <w:rPr>
          <w:rFonts w:cs="Times New Roman"/>
          <w:lang w:val="fr-CA"/>
        </w:rPr>
        <w:t>même, avant que</w:t>
      </w:r>
      <w:r w:rsidRPr="00CC30F6">
        <w:rPr>
          <w:rFonts w:cs="Times New Roman"/>
          <w:lang w:val="fr-CA"/>
        </w:rPr>
        <w:t xml:space="preserve"> la Cour d</w:t>
      </w:r>
      <w:r>
        <w:rPr>
          <w:rFonts w:cs="Times New Roman"/>
          <w:lang w:val="fr-CA"/>
        </w:rPr>
        <w:t>’</w:t>
      </w:r>
      <w:r w:rsidRPr="00CC30F6">
        <w:rPr>
          <w:rFonts w:cs="Times New Roman"/>
          <w:lang w:val="fr-CA"/>
        </w:rPr>
        <w:t>appel ait eu une occasion de réexaminer l</w:t>
      </w:r>
      <w:r>
        <w:rPr>
          <w:rFonts w:cs="Times New Roman"/>
          <w:lang w:val="fr-CA"/>
        </w:rPr>
        <w:t>’</w:t>
      </w:r>
      <w:r w:rsidRPr="00CC30F6">
        <w:rPr>
          <w:rFonts w:cs="Times New Roman"/>
          <w:lang w:val="fr-CA"/>
        </w:rPr>
        <w:t>affaire. Par conséquent, j</w:t>
      </w:r>
      <w:r>
        <w:rPr>
          <w:rFonts w:cs="Times New Roman"/>
          <w:lang w:val="fr-CA"/>
        </w:rPr>
        <w:t>’</w:t>
      </w:r>
      <w:r w:rsidRPr="00CC30F6">
        <w:rPr>
          <w:rFonts w:cs="Times New Roman"/>
          <w:lang w:val="fr-CA"/>
        </w:rPr>
        <w:t xml:space="preserve">ajournerais le second pourvoi </w:t>
      </w:r>
      <w:r w:rsidRPr="00CC30F6">
        <w:rPr>
          <w:rFonts w:cs="Times New Roman"/>
          <w:i/>
          <w:lang w:val="fr-CA"/>
        </w:rPr>
        <w:t>sine die</w:t>
      </w:r>
      <w:r w:rsidRPr="00CC30F6">
        <w:rPr>
          <w:rFonts w:cs="Times New Roman"/>
          <w:lang w:val="fr-CA"/>
        </w:rPr>
        <w:t>.</w:t>
      </w:r>
    </w:p>
    <w:p w:rsidR="009F09DA" w:rsidRPr="00060362" w:rsidRDefault="009F09DA" w:rsidP="009F09DA">
      <w:pPr>
        <w:pStyle w:val="Title1LevelTitre1Niveau-AltL"/>
        <w:numPr>
          <w:ilvl w:val="0"/>
          <w:numId w:val="8"/>
        </w:numPr>
        <w:jc w:val="left"/>
        <w:rPr>
          <w:rFonts w:cs="Times New Roman"/>
          <w:lang w:val="fr-CA"/>
        </w:rPr>
      </w:pPr>
      <w:r>
        <w:rPr>
          <w:rFonts w:cs="Times New Roman"/>
          <w:lang w:val="fr-CA"/>
        </w:rPr>
        <w:t>Contexte et instances devant les juridictions inférieures</w:t>
      </w:r>
    </w:p>
    <w:p w:rsidR="009F09DA" w:rsidRPr="00060362" w:rsidRDefault="009F09DA" w:rsidP="009F09DA">
      <w:pPr>
        <w:pStyle w:val="Title2LevelTitre2Niveau"/>
        <w:numPr>
          <w:ilvl w:val="1"/>
          <w:numId w:val="8"/>
        </w:numPr>
        <w:jc w:val="left"/>
        <w:rPr>
          <w:rFonts w:cs="Times New Roman"/>
          <w:lang w:val="fr-CA"/>
        </w:rPr>
      </w:pPr>
      <w:r>
        <w:rPr>
          <w:rFonts w:cs="Times New Roman"/>
          <w:lang w:val="fr-CA"/>
        </w:rPr>
        <w:t>Le renvoi sur l’erreur judiciaire</w:t>
      </w:r>
    </w:p>
    <w:p w:rsidR="009F09DA" w:rsidRPr="00456F53" w:rsidRDefault="009F09DA" w:rsidP="009F09DA">
      <w:pPr>
        <w:pStyle w:val="ParaNoNdepar-AltN"/>
      </w:pPr>
      <w:r>
        <w:rPr>
          <w:rFonts w:cs="Times New Roman"/>
          <w:lang w:val="fr-CA"/>
        </w:rPr>
        <w:t>Au terme d’un procès devant jury en</w:t>
      </w:r>
      <w:r w:rsidRPr="00060362">
        <w:rPr>
          <w:rFonts w:cs="Times New Roman"/>
          <w:lang w:val="fr-CA"/>
        </w:rPr>
        <w:t xml:space="preserve"> 1987, Stanley Ostrowski </w:t>
      </w:r>
      <w:r>
        <w:rPr>
          <w:rFonts w:cs="Times New Roman"/>
          <w:lang w:val="fr-CA"/>
        </w:rPr>
        <w:t>a été déclaré coupable de meurtre au premier degré</w:t>
      </w:r>
      <w:r w:rsidRPr="00060362">
        <w:rPr>
          <w:rFonts w:cs="Times New Roman"/>
          <w:lang w:val="fr-CA"/>
        </w:rPr>
        <w:t xml:space="preserve">. </w:t>
      </w:r>
      <w:r>
        <w:rPr>
          <w:rFonts w:cs="Times New Roman"/>
          <w:lang w:val="fr-CA"/>
        </w:rPr>
        <w:t>Il a interjeté appel sans succès de la déclaration de culpabilité à la Cour d’appel et, plus tard, à notre Cour</w:t>
      </w:r>
      <w:r w:rsidRPr="00060362">
        <w:rPr>
          <w:rFonts w:cs="Times New Roman"/>
          <w:lang w:val="fr-CA"/>
        </w:rPr>
        <w:t xml:space="preserve"> (</w:t>
      </w:r>
      <w:r w:rsidRPr="00060362">
        <w:rPr>
          <w:rFonts w:cs="Times New Roman"/>
          <w:i/>
          <w:lang w:val="fr-CA"/>
        </w:rPr>
        <w:t xml:space="preserve">R. </w:t>
      </w:r>
      <w:r>
        <w:rPr>
          <w:rFonts w:cs="Times New Roman"/>
          <w:i/>
          <w:lang w:val="fr-CA"/>
        </w:rPr>
        <w:t>c</w:t>
      </w:r>
      <w:r w:rsidRPr="00060362">
        <w:rPr>
          <w:rFonts w:cs="Times New Roman"/>
          <w:i/>
          <w:lang w:val="fr-CA"/>
        </w:rPr>
        <w:t>. Ostrowski and Correia</w:t>
      </w:r>
      <w:r w:rsidRPr="00060362">
        <w:rPr>
          <w:rFonts w:cs="Times New Roman"/>
          <w:lang w:val="fr-CA"/>
        </w:rPr>
        <w:t xml:space="preserve"> (1989), 57 Man. R. (2d) 255</w:t>
      </w:r>
      <w:r>
        <w:rPr>
          <w:rFonts w:cs="Times New Roman"/>
          <w:lang w:val="fr-CA"/>
        </w:rPr>
        <w:t xml:space="preserve">, </w:t>
      </w:r>
      <w:r w:rsidRPr="00456F53">
        <w:t xml:space="preserve">conf. </w:t>
      </w:r>
      <w:proofErr w:type="gramStart"/>
      <w:r w:rsidRPr="00456F53">
        <w:t>par</w:t>
      </w:r>
      <w:proofErr w:type="gramEnd"/>
      <w:r w:rsidRPr="00456F53">
        <w:t xml:space="preserve"> </w:t>
      </w:r>
      <w:r w:rsidRPr="00456F53">
        <w:rPr>
          <w:i/>
        </w:rPr>
        <w:t>R. c. Ostrowski</w:t>
      </w:r>
      <w:r w:rsidRPr="00456F53">
        <w:t>, [1990] 2 R.C.S. 82).</w:t>
      </w:r>
    </w:p>
    <w:p w:rsidR="009F09DA" w:rsidRPr="00060362" w:rsidRDefault="009F09DA" w:rsidP="009F09DA">
      <w:pPr>
        <w:pStyle w:val="ParaNoNdepar-AltN"/>
        <w:rPr>
          <w:rFonts w:cs="Times New Roman"/>
          <w:lang w:val="fr-CA"/>
        </w:rPr>
      </w:pPr>
      <w:r>
        <w:rPr>
          <w:rFonts w:cs="Times New Roman"/>
          <w:lang w:val="fr-CA"/>
        </w:rPr>
        <w:t>En</w:t>
      </w:r>
      <w:r w:rsidRPr="00060362">
        <w:rPr>
          <w:rFonts w:cs="Times New Roman"/>
          <w:lang w:val="fr-CA"/>
        </w:rPr>
        <w:t xml:space="preserve"> 2014, </w:t>
      </w:r>
      <w:r>
        <w:rPr>
          <w:rFonts w:cs="Times New Roman"/>
          <w:lang w:val="fr-CA"/>
        </w:rPr>
        <w:t xml:space="preserve">le ministre de la Justice a renvoyé l’affaire à la Cour d’appel en </w:t>
      </w:r>
      <w:r w:rsidRPr="00636D1D">
        <w:rPr>
          <w:rFonts w:cs="Times New Roman"/>
          <w:lang w:val="fr-CA"/>
        </w:rPr>
        <w:t>application de l</w:t>
      </w:r>
      <w:r>
        <w:rPr>
          <w:rFonts w:cs="Times New Roman"/>
          <w:lang w:val="fr-CA"/>
        </w:rPr>
        <w:t>’art. </w:t>
      </w:r>
      <w:r w:rsidRPr="00636D1D">
        <w:rPr>
          <w:rFonts w:cs="Times New Roman"/>
          <w:lang w:val="fr-CA"/>
        </w:rPr>
        <w:t>696.1 et du sous</w:t>
      </w:r>
      <w:r>
        <w:rPr>
          <w:rFonts w:cs="Times New Roman"/>
          <w:lang w:val="fr-CA"/>
        </w:rPr>
        <w:noBreakHyphen/>
        <w:t>al. </w:t>
      </w:r>
      <w:r w:rsidRPr="00636D1D">
        <w:rPr>
          <w:rFonts w:cs="Times New Roman"/>
          <w:lang w:val="fr-CA"/>
        </w:rPr>
        <w:t>696.3(3)a</w:t>
      </w:r>
      <w:proofErr w:type="gramStart"/>
      <w:r w:rsidRPr="00636D1D">
        <w:rPr>
          <w:rFonts w:cs="Times New Roman"/>
          <w:lang w:val="fr-CA"/>
        </w:rPr>
        <w:t>)(</w:t>
      </w:r>
      <w:proofErr w:type="gramEnd"/>
      <w:r w:rsidRPr="00636D1D">
        <w:rPr>
          <w:rFonts w:cs="Times New Roman"/>
          <w:lang w:val="fr-CA"/>
        </w:rPr>
        <w:t>ii</w:t>
      </w:r>
      <w:r w:rsidRPr="00456F53">
        <w:t xml:space="preserve">) du </w:t>
      </w:r>
      <w:r w:rsidRPr="00456F53">
        <w:rPr>
          <w:i/>
        </w:rPr>
        <w:t>Code criminel</w:t>
      </w:r>
      <w:r w:rsidRPr="00456F53">
        <w:t>, L.R.C. 1985, c. C</w:t>
      </w:r>
      <w:r w:rsidRPr="00456F53">
        <w:noBreakHyphen/>
        <w:t xml:space="preserve">46. </w:t>
      </w:r>
      <w:r w:rsidRPr="00636D1D">
        <w:rPr>
          <w:rFonts w:cs="Times New Roman"/>
          <w:lang w:val="fr-CA"/>
        </w:rPr>
        <w:t xml:space="preserve">Ces dispositions permettent de renvoyer </w:t>
      </w:r>
      <w:r w:rsidRPr="00CC30F6">
        <w:rPr>
          <w:rFonts w:cs="Times New Roman"/>
          <w:lang w:val="fr-CA"/>
        </w:rPr>
        <w:t>des causes à la Cour d</w:t>
      </w:r>
      <w:r>
        <w:rPr>
          <w:rFonts w:cs="Times New Roman"/>
          <w:lang w:val="fr-CA"/>
        </w:rPr>
        <w:t>’</w:t>
      </w:r>
      <w:r w:rsidRPr="00CC30F6">
        <w:rPr>
          <w:rFonts w:cs="Times New Roman"/>
          <w:lang w:val="fr-CA"/>
        </w:rPr>
        <w:t xml:space="preserve">appel dans des situations </w:t>
      </w:r>
      <w:r>
        <w:rPr>
          <w:rFonts w:cs="Times New Roman"/>
          <w:lang w:val="fr-CA"/>
        </w:rPr>
        <w:t>où, de l’avis du ministre, il</w:t>
      </w:r>
      <w:r w:rsidRPr="00060362">
        <w:rPr>
          <w:rFonts w:cs="Times New Roman"/>
          <w:lang w:val="fr-CA"/>
        </w:rPr>
        <w:t xml:space="preserve"> </w:t>
      </w:r>
      <w:r w:rsidRPr="00CC1268">
        <w:rPr>
          <w:rFonts w:cs="Times New Roman"/>
          <w:lang w:val="fr-CA"/>
        </w:rPr>
        <w:t>y a des motifs raisonnables de conclure qu</w:t>
      </w:r>
      <w:r>
        <w:rPr>
          <w:rFonts w:cs="Times New Roman"/>
          <w:lang w:val="fr-CA"/>
        </w:rPr>
        <w:t>’</w:t>
      </w:r>
      <w:r w:rsidRPr="00CC1268">
        <w:rPr>
          <w:rFonts w:cs="Times New Roman"/>
          <w:lang w:val="fr-CA"/>
        </w:rPr>
        <w:t xml:space="preserve">une erreur judiciaire </w:t>
      </w:r>
      <w:r>
        <w:rPr>
          <w:rFonts w:cs="Times New Roman"/>
          <w:lang w:val="fr-CA"/>
        </w:rPr>
        <w:t>s’est probablement produite</w:t>
      </w:r>
      <w:r w:rsidRPr="00060362">
        <w:rPr>
          <w:rFonts w:cs="Times New Roman"/>
          <w:lang w:val="fr-CA"/>
        </w:rPr>
        <w:t>.</w:t>
      </w:r>
    </w:p>
    <w:p w:rsidR="009F09DA" w:rsidRPr="00060362" w:rsidRDefault="009F09DA" w:rsidP="009F09DA">
      <w:pPr>
        <w:pStyle w:val="ParaNoNdepar-AltN"/>
        <w:rPr>
          <w:rFonts w:cs="Times New Roman"/>
          <w:lang w:val="fr-CA"/>
        </w:rPr>
      </w:pPr>
      <w:r w:rsidRPr="00060362">
        <w:rPr>
          <w:rFonts w:cs="Times New Roman"/>
          <w:lang w:val="fr-CA"/>
        </w:rPr>
        <w:t>Certain</w:t>
      </w:r>
      <w:r>
        <w:rPr>
          <w:rFonts w:cs="Times New Roman"/>
          <w:lang w:val="fr-CA"/>
        </w:rPr>
        <w:t>s éléments de preuve nouveaux liés à la déclaration de culpabilité au procès en 1987 ont été proposés pour examen par la Cour d’appel sur motion conjointe de la Couronne et</w:t>
      </w:r>
      <w:r w:rsidRPr="00060362">
        <w:rPr>
          <w:rFonts w:cs="Times New Roman"/>
          <w:lang w:val="fr-CA"/>
        </w:rPr>
        <w:t xml:space="preserve"> </w:t>
      </w:r>
      <w:r>
        <w:rPr>
          <w:rFonts w:cs="Times New Roman"/>
          <w:lang w:val="fr-CA"/>
        </w:rPr>
        <w:t>de M. Ostrowski</w:t>
      </w:r>
      <w:r w:rsidRPr="00060362">
        <w:rPr>
          <w:rFonts w:cs="Times New Roman"/>
          <w:lang w:val="fr-CA"/>
        </w:rPr>
        <w:t xml:space="preserve">. </w:t>
      </w:r>
      <w:r>
        <w:rPr>
          <w:rFonts w:cs="Times New Roman"/>
          <w:lang w:val="fr-CA"/>
        </w:rPr>
        <w:t>Fait inusité, ceci comprenait le témoignage de vive voix de 12 témoins</w:t>
      </w:r>
      <w:r w:rsidRPr="00060362">
        <w:rPr>
          <w:rFonts w:cs="Times New Roman"/>
          <w:lang w:val="fr-CA"/>
        </w:rPr>
        <w:t xml:space="preserve"> </w:t>
      </w:r>
      <w:r>
        <w:rPr>
          <w:rFonts w:cs="Times New Roman"/>
          <w:lang w:val="fr-CA"/>
        </w:rPr>
        <w:t>entendus devant une formation de juges de la Cour d’appel</w:t>
      </w:r>
      <w:r w:rsidRPr="00060362">
        <w:rPr>
          <w:rFonts w:cs="Times New Roman"/>
          <w:lang w:val="fr-CA"/>
        </w:rPr>
        <w:t xml:space="preserve">. </w:t>
      </w:r>
      <w:r>
        <w:rPr>
          <w:rFonts w:cs="Times New Roman"/>
          <w:lang w:val="fr-CA"/>
        </w:rPr>
        <w:t>La Couronne a concédé que ces éléments de preuve étaient admissibles</w:t>
      </w:r>
      <w:r w:rsidRPr="00060362">
        <w:rPr>
          <w:rFonts w:cs="Times New Roman"/>
          <w:lang w:val="fr-CA"/>
        </w:rPr>
        <w:t xml:space="preserve">, </w:t>
      </w:r>
      <w:r>
        <w:rPr>
          <w:rFonts w:cs="Times New Roman"/>
          <w:lang w:val="fr-CA"/>
        </w:rPr>
        <w:t>qu’ils prouvaient une erreur judiciaire et, par conséquent, qu’il y avait lieu d’annuler la déclaration de culpabilité de 1987</w:t>
      </w:r>
      <w:r w:rsidRPr="00060362">
        <w:rPr>
          <w:rFonts w:cs="Times New Roman"/>
          <w:lang w:val="fr-CA"/>
        </w:rPr>
        <w:t xml:space="preserve">. </w:t>
      </w:r>
      <w:r>
        <w:rPr>
          <w:rFonts w:cs="Times New Roman"/>
          <w:lang w:val="fr-CA"/>
        </w:rPr>
        <w:t xml:space="preserve">La </w:t>
      </w:r>
      <w:r w:rsidRPr="00060362">
        <w:rPr>
          <w:rFonts w:cs="Times New Roman"/>
          <w:lang w:val="fr-CA"/>
        </w:rPr>
        <w:t xml:space="preserve">concession </w:t>
      </w:r>
      <w:r>
        <w:rPr>
          <w:rFonts w:cs="Times New Roman"/>
          <w:lang w:val="fr-CA"/>
        </w:rPr>
        <w:t xml:space="preserve">était fondée sur des éléments de preuve qui indiquaient l’existence d’un marché conclu entre les poursuivants et un témoin dont le témoignage </w:t>
      </w:r>
      <w:r w:rsidRPr="004635D2">
        <w:rPr>
          <w:rFonts w:cs="Times New Roman"/>
          <w:lang w:val="fr-CA"/>
        </w:rPr>
        <w:t>au procès</w:t>
      </w:r>
      <w:r>
        <w:rPr>
          <w:rFonts w:cs="Times New Roman"/>
          <w:lang w:val="fr-CA"/>
        </w:rPr>
        <w:t xml:space="preserve"> avait lié M. Ostrowski</w:t>
      </w:r>
      <w:r w:rsidRPr="00060362">
        <w:rPr>
          <w:rFonts w:cs="Times New Roman"/>
          <w:lang w:val="fr-CA"/>
        </w:rPr>
        <w:t xml:space="preserve"> </w:t>
      </w:r>
      <w:r>
        <w:rPr>
          <w:rFonts w:cs="Times New Roman"/>
          <w:lang w:val="fr-CA"/>
        </w:rPr>
        <w:t xml:space="preserve">au </w:t>
      </w:r>
      <w:r w:rsidRPr="00636D1D">
        <w:rPr>
          <w:rFonts w:cs="Times New Roman"/>
          <w:lang w:val="fr-CA"/>
        </w:rPr>
        <w:t>meurtre. Ces éléments n</w:t>
      </w:r>
      <w:r>
        <w:rPr>
          <w:rFonts w:cs="Times New Roman"/>
          <w:lang w:val="fr-CA"/>
        </w:rPr>
        <w:t>’</w:t>
      </w:r>
      <w:r w:rsidRPr="00636D1D">
        <w:rPr>
          <w:rFonts w:cs="Times New Roman"/>
          <w:lang w:val="fr-CA"/>
        </w:rPr>
        <w:t>avaient pas été</w:t>
      </w:r>
      <w:r>
        <w:rPr>
          <w:rFonts w:cs="Times New Roman"/>
          <w:lang w:val="fr-CA"/>
        </w:rPr>
        <w:t xml:space="preserve"> communiqués à</w:t>
      </w:r>
      <w:r w:rsidRPr="00060362">
        <w:rPr>
          <w:rFonts w:cs="Times New Roman"/>
          <w:lang w:val="fr-CA"/>
        </w:rPr>
        <w:t xml:space="preserve"> </w:t>
      </w:r>
      <w:r>
        <w:rPr>
          <w:rFonts w:cs="Times New Roman"/>
          <w:lang w:val="fr-CA"/>
        </w:rPr>
        <w:t>M. Ostrowski au procès</w:t>
      </w:r>
      <w:r w:rsidRPr="00060362">
        <w:rPr>
          <w:rFonts w:cs="Times New Roman"/>
          <w:lang w:val="fr-CA"/>
        </w:rPr>
        <w:t xml:space="preserve">, </w:t>
      </w:r>
      <w:r>
        <w:rPr>
          <w:rFonts w:cs="Times New Roman"/>
          <w:lang w:val="fr-CA"/>
        </w:rPr>
        <w:t>ce qui violait son droit de présenter une défense pleine et entière</w:t>
      </w:r>
      <w:r w:rsidRPr="00060362">
        <w:rPr>
          <w:rFonts w:cs="Times New Roman"/>
          <w:lang w:val="fr-CA"/>
        </w:rPr>
        <w:t xml:space="preserve">. </w:t>
      </w:r>
    </w:p>
    <w:p w:rsidR="009F09DA" w:rsidRPr="00060362" w:rsidRDefault="009F09DA" w:rsidP="009F09DA">
      <w:pPr>
        <w:pStyle w:val="ParaNoNdepar-AltN"/>
        <w:rPr>
          <w:rFonts w:cs="Times New Roman"/>
          <w:lang w:val="fr-CA"/>
        </w:rPr>
      </w:pPr>
      <w:r>
        <w:rPr>
          <w:rFonts w:cs="Times New Roman"/>
          <w:lang w:val="fr-CA"/>
        </w:rPr>
        <w:t>Les parties ne s’entendaient pas sur la réparation qu’il convenait d’accorder pour l’erreur judiciaire. La Couronne a demandé à la Cour d’appel d’ordonner la tenue d’un nouveau procès et l’arrêt de ces procédures, alors que</w:t>
      </w:r>
      <w:r w:rsidRPr="00060362">
        <w:rPr>
          <w:rFonts w:cs="Times New Roman"/>
          <w:lang w:val="fr-CA"/>
        </w:rPr>
        <w:t xml:space="preserve"> </w:t>
      </w:r>
      <w:r>
        <w:rPr>
          <w:rFonts w:cs="Times New Roman"/>
          <w:lang w:val="fr-CA"/>
        </w:rPr>
        <w:t>M. Ostrowski lui a demandé d’inscrire un acquittement</w:t>
      </w:r>
      <w:r w:rsidRPr="00060362">
        <w:rPr>
          <w:rFonts w:cs="Times New Roman"/>
          <w:lang w:val="fr-CA"/>
        </w:rPr>
        <w:t xml:space="preserve">. </w:t>
      </w:r>
    </w:p>
    <w:p w:rsidR="009F09DA" w:rsidRPr="00060362" w:rsidRDefault="009F09DA" w:rsidP="009F09DA">
      <w:pPr>
        <w:pStyle w:val="ParaNoNdepar-AltN"/>
        <w:rPr>
          <w:rFonts w:cs="Times New Roman"/>
          <w:lang w:val="fr-CA"/>
        </w:rPr>
      </w:pPr>
      <w:r>
        <w:rPr>
          <w:rFonts w:cs="Times New Roman"/>
          <w:lang w:val="fr-CA"/>
        </w:rPr>
        <w:t xml:space="preserve">Monsieur </w:t>
      </w:r>
      <w:r w:rsidRPr="00060362">
        <w:rPr>
          <w:rFonts w:cs="Times New Roman"/>
          <w:lang w:val="fr-CA"/>
        </w:rPr>
        <w:t xml:space="preserve">Ostrowski </w:t>
      </w:r>
      <w:r>
        <w:rPr>
          <w:rFonts w:cs="Times New Roman"/>
          <w:lang w:val="fr-CA"/>
        </w:rPr>
        <w:t xml:space="preserve">a </w:t>
      </w:r>
      <w:r w:rsidRPr="00C5565E">
        <w:rPr>
          <w:rFonts w:cs="Times New Roman"/>
          <w:lang w:val="fr-CA"/>
        </w:rPr>
        <w:t>également cherché à produire un autre nouvel élément de preuve, à savoir un affidavit souscrit par son avocat</w:t>
      </w:r>
      <w:r>
        <w:rPr>
          <w:rFonts w:cs="Times New Roman"/>
          <w:lang w:val="fr-CA"/>
        </w:rPr>
        <w:t xml:space="preserve">, Richard Posner </w:t>
      </w:r>
      <w:r w:rsidRPr="00060362">
        <w:rPr>
          <w:rFonts w:cs="Times New Roman"/>
          <w:lang w:val="fr-CA"/>
        </w:rPr>
        <w:t>(</w:t>
      </w:r>
      <w:r>
        <w:rPr>
          <w:rFonts w:cs="Times New Roman"/>
          <w:lang w:val="fr-CA"/>
        </w:rPr>
        <w:t>« </w:t>
      </w:r>
      <w:bookmarkStart w:id="0" w:name="_Hlk71212406"/>
      <w:r>
        <w:rPr>
          <w:rFonts w:cs="Times New Roman"/>
          <w:lang w:val="fr-CA"/>
        </w:rPr>
        <w:t>affidavit de M</w:t>
      </w:r>
      <w:r w:rsidRPr="007B706F">
        <w:rPr>
          <w:rFonts w:cs="Times New Roman"/>
          <w:vertAlign w:val="superscript"/>
          <w:lang w:val="fr-CA"/>
        </w:rPr>
        <w:t>e</w:t>
      </w:r>
      <w:r>
        <w:rPr>
          <w:rFonts w:cs="Times New Roman"/>
          <w:lang w:val="fr-CA"/>
        </w:rPr>
        <w:t> </w:t>
      </w:r>
      <w:r w:rsidRPr="00060362">
        <w:rPr>
          <w:rFonts w:cs="Times New Roman"/>
          <w:lang w:val="fr-CA"/>
        </w:rPr>
        <w:t>Posner</w:t>
      </w:r>
      <w:r>
        <w:rPr>
          <w:rFonts w:cs="Times New Roman"/>
          <w:lang w:val="fr-CA"/>
        </w:rPr>
        <w:t> </w:t>
      </w:r>
      <w:bookmarkEnd w:id="0"/>
      <w:r>
        <w:rPr>
          <w:rFonts w:cs="Times New Roman"/>
          <w:lang w:val="fr-CA"/>
        </w:rPr>
        <w:t>»</w:t>
      </w:r>
      <w:r w:rsidRPr="00060362">
        <w:rPr>
          <w:rFonts w:cs="Times New Roman"/>
          <w:lang w:val="fr-CA"/>
        </w:rPr>
        <w:t xml:space="preserve">). </w:t>
      </w:r>
      <w:r>
        <w:rPr>
          <w:rFonts w:cs="Times New Roman"/>
          <w:lang w:val="fr-CA"/>
        </w:rPr>
        <w:t>L’affidavit renfermait des détails de certains événements qui s’étaient produits après qu’un des 12 témoins</w:t>
      </w:r>
      <w:r w:rsidRPr="00060362">
        <w:rPr>
          <w:rFonts w:cs="Times New Roman"/>
          <w:lang w:val="fr-CA"/>
        </w:rPr>
        <w:t xml:space="preserve">, M.D., </w:t>
      </w:r>
      <w:r>
        <w:rPr>
          <w:rFonts w:cs="Times New Roman"/>
          <w:lang w:val="fr-CA"/>
        </w:rPr>
        <w:t>eut témoigné devant la Cour d’appel dans cette affaire</w:t>
      </w:r>
      <w:r w:rsidRPr="00060362">
        <w:rPr>
          <w:rFonts w:cs="Times New Roman"/>
          <w:lang w:val="fr-CA"/>
        </w:rPr>
        <w:t>.</w:t>
      </w:r>
      <w:r>
        <w:rPr>
          <w:rFonts w:cs="Times New Roman"/>
          <w:lang w:val="fr-CA"/>
        </w:rPr>
        <w:t xml:space="preserve"> Contrairement aux documents liés à l’autre motion en présentation d’éléments de preuve nouveaux</w:t>
      </w:r>
      <w:r w:rsidRPr="00060362">
        <w:rPr>
          <w:rFonts w:cs="Times New Roman"/>
          <w:lang w:val="fr-CA"/>
        </w:rPr>
        <w:t xml:space="preserve">, </w:t>
      </w:r>
      <w:r>
        <w:rPr>
          <w:rFonts w:cs="Times New Roman"/>
          <w:lang w:val="fr-CA"/>
        </w:rPr>
        <w:t>la Couronne n’a pas consenti à ce que l’affidavit de M</w:t>
      </w:r>
      <w:r w:rsidRPr="007B706F">
        <w:rPr>
          <w:rFonts w:cs="Times New Roman"/>
          <w:vertAlign w:val="superscript"/>
          <w:lang w:val="fr-CA"/>
        </w:rPr>
        <w:t>e</w:t>
      </w:r>
      <w:r>
        <w:rPr>
          <w:rFonts w:cs="Times New Roman"/>
          <w:lang w:val="fr-CA"/>
        </w:rPr>
        <w:t> </w:t>
      </w:r>
      <w:r w:rsidRPr="00060362">
        <w:rPr>
          <w:rFonts w:cs="Times New Roman"/>
          <w:lang w:val="fr-CA"/>
        </w:rPr>
        <w:t>Posner</w:t>
      </w:r>
      <w:r>
        <w:rPr>
          <w:rFonts w:cs="Times New Roman"/>
          <w:lang w:val="fr-CA"/>
        </w:rPr>
        <w:t xml:space="preserve"> soit admis en preuve</w:t>
      </w:r>
      <w:r w:rsidRPr="00060362">
        <w:rPr>
          <w:rFonts w:cs="Times New Roman"/>
          <w:lang w:val="fr-CA"/>
        </w:rPr>
        <w:t xml:space="preserve">. </w:t>
      </w:r>
    </w:p>
    <w:p w:rsidR="009F09DA" w:rsidRPr="00060362" w:rsidRDefault="009F09DA" w:rsidP="009F09DA">
      <w:pPr>
        <w:pStyle w:val="ParaNoNdepar-AltN"/>
        <w:rPr>
          <w:rFonts w:cs="Times New Roman"/>
          <w:lang w:val="fr-CA"/>
        </w:rPr>
      </w:pPr>
      <w:r>
        <w:rPr>
          <w:rFonts w:cs="Times New Roman"/>
          <w:lang w:val="fr-CA"/>
        </w:rPr>
        <w:t>Le 28 mai 2018, la Cour d’appel a entendu les plaidoiries des parties, notamment leurs observations sur l’admissibilité de l’affidavit de M</w:t>
      </w:r>
      <w:r w:rsidRPr="00D4736C">
        <w:rPr>
          <w:rFonts w:cs="Times New Roman"/>
          <w:vertAlign w:val="superscript"/>
          <w:lang w:val="fr-CA"/>
        </w:rPr>
        <w:t>e</w:t>
      </w:r>
      <w:r>
        <w:rPr>
          <w:rFonts w:cs="Times New Roman"/>
          <w:lang w:val="fr-CA"/>
        </w:rPr>
        <w:t> Posner</w:t>
      </w:r>
      <w:r w:rsidRPr="00060362">
        <w:rPr>
          <w:rFonts w:cs="Times New Roman"/>
          <w:lang w:val="fr-CA"/>
        </w:rPr>
        <w:t xml:space="preserve">. </w:t>
      </w:r>
      <w:r>
        <w:rPr>
          <w:rFonts w:cs="Times New Roman"/>
          <w:lang w:val="fr-CA"/>
        </w:rPr>
        <w:t xml:space="preserve">L’affidavit était </w:t>
      </w:r>
      <w:r w:rsidRPr="00636D1D">
        <w:rPr>
          <w:rFonts w:cs="Times New Roman"/>
          <w:lang w:val="fr-CA"/>
        </w:rPr>
        <w:t>mis</w:t>
      </w:r>
      <w:r>
        <w:rPr>
          <w:rFonts w:cs="Times New Roman"/>
          <w:lang w:val="fr-CA"/>
        </w:rPr>
        <w:t xml:space="preserve"> sous scellés, en application </w:t>
      </w:r>
      <w:r w:rsidRPr="00456F53">
        <w:t xml:space="preserve">des </w:t>
      </w:r>
      <w:r w:rsidRPr="00456F53">
        <w:rPr>
          <w:i/>
        </w:rPr>
        <w:t>Règles de la Cour d’appel</w:t>
      </w:r>
      <w:r w:rsidRPr="00456F53">
        <w:t>, Règl. Man. 555/88R, relatives aux</w:t>
      </w:r>
      <w:r>
        <w:rPr>
          <w:rFonts w:cs="Times New Roman"/>
          <w:lang w:val="fr-CA"/>
        </w:rPr>
        <w:t xml:space="preserve"> motions en présentation d’éléments de preuve nouveaux, mais la Cour d’appel l’a néanmoins examiné avec le consentement des parties (par. 21(4)). Elle a également prononcé une interdiction de publication de ce document à l’ouverture de l’audience du 28 mai :</w:t>
      </w:r>
    </w:p>
    <w:p w:rsidR="009F09DA" w:rsidRPr="00060362" w:rsidRDefault="009F09DA" w:rsidP="009F09DA">
      <w:pPr>
        <w:pStyle w:val="Citation-AltC"/>
        <w:spacing w:after="240"/>
        <w:ind w:left="1168" w:hanging="1168"/>
        <w:contextualSpacing w:val="0"/>
        <w:rPr>
          <w:lang w:val="fr-CA"/>
        </w:rPr>
      </w:pPr>
      <w:r>
        <w:rPr>
          <w:lang w:val="fr-CA"/>
        </w:rPr>
        <w:tab/>
        <w:t>[</w:t>
      </w:r>
      <w:r w:rsidRPr="00D4736C">
        <w:rPr>
          <w:smallCaps/>
          <w:lang w:val="fr-CA"/>
        </w:rPr>
        <w:t>traduction</w:t>
      </w:r>
      <w:r>
        <w:rPr>
          <w:lang w:val="fr-CA"/>
        </w:rPr>
        <w:t>] LA COUR :</w:t>
      </w:r>
      <w:r w:rsidRPr="00060362">
        <w:rPr>
          <w:lang w:val="fr-CA"/>
        </w:rPr>
        <w:t xml:space="preserve"> . . . [</w:t>
      </w:r>
      <w:r>
        <w:rPr>
          <w:lang w:val="fr-CA"/>
        </w:rPr>
        <w:t>À</w:t>
      </w:r>
      <w:r w:rsidRPr="00060362">
        <w:rPr>
          <w:lang w:val="fr-CA"/>
        </w:rPr>
        <w:t>]</w:t>
      </w:r>
      <w:r>
        <w:rPr>
          <w:lang w:val="fr-CA"/>
        </w:rPr>
        <w:t xml:space="preserve"> notre avis</w:t>
      </w:r>
      <w:r w:rsidRPr="00060362">
        <w:rPr>
          <w:lang w:val="fr-CA"/>
        </w:rPr>
        <w:t xml:space="preserve">, </w:t>
      </w:r>
      <w:r>
        <w:rPr>
          <w:lang w:val="fr-CA"/>
        </w:rPr>
        <w:t>à moins que les avocats soient d’avis contraire, il doit y avoir interdiction de publication</w:t>
      </w:r>
      <w:r w:rsidRPr="00060362">
        <w:rPr>
          <w:lang w:val="fr-CA"/>
        </w:rPr>
        <w:t xml:space="preserve">. </w:t>
      </w:r>
      <w:r>
        <w:rPr>
          <w:lang w:val="fr-CA"/>
        </w:rPr>
        <w:t>Il ne sert à rien de mettre les documents sous scellés dans la mesure où il en est question dans les plaidoiries sans interdiction de publication</w:t>
      </w:r>
      <w:r w:rsidRPr="00060362">
        <w:rPr>
          <w:lang w:val="fr-CA"/>
        </w:rPr>
        <w:t xml:space="preserve">. </w:t>
      </w:r>
      <w:r>
        <w:rPr>
          <w:lang w:val="fr-CA"/>
        </w:rPr>
        <w:t>Il y aura donc en outre une interdiction de publication, à moins que les avocats veuillent se prononcer sur cette question</w:t>
      </w:r>
      <w:r w:rsidRPr="00060362">
        <w:rPr>
          <w:lang w:val="fr-CA"/>
        </w:rPr>
        <w:t>?</w:t>
      </w:r>
    </w:p>
    <w:p w:rsidR="009F09DA" w:rsidRPr="007D58FE" w:rsidRDefault="009F09DA" w:rsidP="009F09DA">
      <w:pPr>
        <w:pStyle w:val="Citation-AltC"/>
        <w:spacing w:after="240"/>
        <w:ind w:left="1168" w:hanging="1168"/>
        <w:contextualSpacing w:val="0"/>
        <w:rPr>
          <w:b/>
          <w:lang w:val="fr-CA"/>
        </w:rPr>
      </w:pPr>
      <w:r>
        <w:rPr>
          <w:b/>
          <w:lang w:val="fr-CA"/>
        </w:rPr>
        <w:tab/>
      </w:r>
      <w:r w:rsidRPr="007D58FE">
        <w:rPr>
          <w:b/>
          <w:lang w:val="fr-CA"/>
        </w:rPr>
        <w:t>Interdiction de publication</w:t>
      </w:r>
    </w:p>
    <w:p w:rsidR="009F09DA" w:rsidRPr="00060362" w:rsidRDefault="009F09DA" w:rsidP="009F09DA">
      <w:pPr>
        <w:pStyle w:val="Citation-AltC"/>
        <w:ind w:hanging="1166"/>
        <w:rPr>
          <w:lang w:val="fr-CA"/>
        </w:rPr>
      </w:pPr>
      <w:r>
        <w:rPr>
          <w:lang w:val="fr-CA"/>
        </w:rPr>
        <w:tab/>
        <w:t>(</w:t>
      </w:r>
      <w:proofErr w:type="spellStart"/>
      <w:proofErr w:type="gramStart"/>
      <w:r>
        <w:rPr>
          <w:lang w:val="fr-CA"/>
        </w:rPr>
        <w:t>d.i</w:t>
      </w:r>
      <w:proofErr w:type="spellEnd"/>
      <w:proofErr w:type="gramEnd"/>
      <w:r>
        <w:rPr>
          <w:lang w:val="fr-CA"/>
        </w:rPr>
        <w:t>. (Couronne)</w:t>
      </w:r>
      <w:r w:rsidRPr="00060362">
        <w:rPr>
          <w:lang w:val="fr-CA"/>
        </w:rPr>
        <w:t xml:space="preserve">, </w:t>
      </w:r>
      <w:r>
        <w:rPr>
          <w:lang w:val="fr-CA"/>
        </w:rPr>
        <w:t>p. </w:t>
      </w:r>
      <w:r w:rsidRPr="00060362">
        <w:rPr>
          <w:lang w:val="fr-CA"/>
        </w:rPr>
        <w:t>137</w:t>
      </w:r>
      <w:r>
        <w:rPr>
          <w:lang w:val="fr-CA"/>
        </w:rPr>
        <w:t>)</w:t>
      </w:r>
    </w:p>
    <w:p w:rsidR="009F09DA" w:rsidRPr="00060362" w:rsidRDefault="009F09DA" w:rsidP="009F09DA">
      <w:pPr>
        <w:pStyle w:val="ParaNoNdepar-AltN"/>
        <w:rPr>
          <w:rFonts w:cs="Times New Roman"/>
          <w:lang w:val="fr-CA"/>
        </w:rPr>
      </w:pPr>
      <w:r w:rsidRPr="00636D1D">
        <w:rPr>
          <w:rFonts w:cs="Times New Roman"/>
          <w:lang w:val="fr-CA"/>
        </w:rPr>
        <w:t>Comme elle l</w:t>
      </w:r>
      <w:r>
        <w:rPr>
          <w:rFonts w:cs="Times New Roman"/>
          <w:lang w:val="fr-CA"/>
        </w:rPr>
        <w:t>’</w:t>
      </w:r>
      <w:r w:rsidRPr="00636D1D">
        <w:rPr>
          <w:rFonts w:cs="Times New Roman"/>
          <w:lang w:val="fr-CA"/>
        </w:rPr>
        <w:t>admettra plus tard devant la Cour d</w:t>
      </w:r>
      <w:r>
        <w:rPr>
          <w:rFonts w:cs="Times New Roman"/>
          <w:lang w:val="fr-CA"/>
        </w:rPr>
        <w:t>’</w:t>
      </w:r>
      <w:r w:rsidRPr="00636D1D">
        <w:rPr>
          <w:rFonts w:cs="Times New Roman"/>
          <w:lang w:val="fr-CA"/>
        </w:rPr>
        <w:t xml:space="preserve">appel, la SRC assurait </w:t>
      </w:r>
      <w:r>
        <w:rPr>
          <w:rFonts w:cs="Times New Roman"/>
          <w:lang w:val="fr-CA"/>
        </w:rPr>
        <w:t>la</w:t>
      </w:r>
      <w:r w:rsidRPr="00636D1D">
        <w:rPr>
          <w:rFonts w:cs="Times New Roman"/>
          <w:lang w:val="fr-CA"/>
        </w:rPr>
        <w:t xml:space="preserve"> couverture médiatique</w:t>
      </w:r>
      <w:r>
        <w:rPr>
          <w:rFonts w:cs="Times New Roman"/>
          <w:lang w:val="fr-CA"/>
        </w:rPr>
        <w:t xml:space="preserve"> de l’instance</w:t>
      </w:r>
      <w:r w:rsidRPr="00636D1D">
        <w:rPr>
          <w:rFonts w:cs="Times New Roman"/>
          <w:lang w:val="fr-CA"/>
        </w:rPr>
        <w:t>, et ses</w:t>
      </w:r>
      <w:r>
        <w:rPr>
          <w:rFonts w:cs="Times New Roman"/>
          <w:lang w:val="fr-CA"/>
        </w:rPr>
        <w:t xml:space="preserve"> journalistes auraient pu assister à n’importe laquelle des audiences, y compris celle du 28 mai</w:t>
      </w:r>
      <w:r w:rsidRPr="00060362">
        <w:rPr>
          <w:rFonts w:cs="Times New Roman"/>
          <w:lang w:val="fr-CA"/>
        </w:rPr>
        <w:t>.</w:t>
      </w:r>
    </w:p>
    <w:p w:rsidR="009F09DA" w:rsidRPr="00833E3E" w:rsidRDefault="009F09DA" w:rsidP="009F09DA">
      <w:pPr>
        <w:pStyle w:val="Title2LevelTitre2Niveau"/>
        <w:numPr>
          <w:ilvl w:val="1"/>
          <w:numId w:val="8"/>
        </w:numPr>
        <w:rPr>
          <w:rFonts w:cs="Times New Roman"/>
          <w:lang w:val="fr-CA"/>
        </w:rPr>
      </w:pPr>
      <w:r>
        <w:rPr>
          <w:rFonts w:cs="Times New Roman"/>
          <w:lang w:val="fr-CA"/>
        </w:rPr>
        <w:t xml:space="preserve">Le </w:t>
      </w:r>
      <w:r w:rsidRPr="00833E3E">
        <w:rPr>
          <w:rFonts w:cs="Times New Roman"/>
          <w:lang w:val="fr-CA"/>
        </w:rPr>
        <w:t xml:space="preserve">jugement de 2018 </w:t>
      </w:r>
      <w:r>
        <w:rPr>
          <w:rFonts w:cs="Times New Roman"/>
          <w:lang w:val="fr-CA"/>
        </w:rPr>
        <w:t xml:space="preserve">sur </w:t>
      </w:r>
      <w:r w:rsidRPr="00833E3E">
        <w:rPr>
          <w:rFonts w:cs="Times New Roman"/>
          <w:lang w:val="fr-CA"/>
        </w:rPr>
        <w:t>l</w:t>
      </w:r>
      <w:r>
        <w:rPr>
          <w:rFonts w:cs="Times New Roman"/>
          <w:lang w:val="fr-CA"/>
        </w:rPr>
        <w:t>’</w:t>
      </w:r>
      <w:r w:rsidRPr="00833E3E">
        <w:rPr>
          <w:rFonts w:cs="Times New Roman"/>
          <w:lang w:val="fr-CA"/>
        </w:rPr>
        <w:t>interdiction de publication (2018 MBCA 125</w:t>
      </w:r>
      <w:r>
        <w:rPr>
          <w:rFonts w:cs="Times New Roman"/>
          <w:lang w:val="fr-CA"/>
        </w:rPr>
        <w:t>, 369 C.C.C. (3d) 139</w:t>
      </w:r>
      <w:r w:rsidRPr="00833E3E">
        <w:rPr>
          <w:rFonts w:cs="Times New Roman"/>
          <w:lang w:val="fr-CA"/>
        </w:rPr>
        <w:t xml:space="preserve"> — les juges Beard, Burnett et</w:t>
      </w:r>
      <w:r>
        <w:rPr>
          <w:rFonts w:cs="Times New Roman"/>
          <w:lang w:val="fr-CA"/>
        </w:rPr>
        <w:t xml:space="preserve"> Pfuetzner)</w:t>
      </w:r>
    </w:p>
    <w:p w:rsidR="009F09DA" w:rsidRPr="00060362" w:rsidRDefault="009F09DA" w:rsidP="009F09DA">
      <w:pPr>
        <w:pStyle w:val="ParaNoNdepar-AltN"/>
        <w:rPr>
          <w:rFonts w:cs="Times New Roman"/>
          <w:lang w:val="fr-CA"/>
        </w:rPr>
      </w:pPr>
      <w:r>
        <w:rPr>
          <w:lang w:val="fr-CA"/>
        </w:rPr>
        <w:t>La Cour d’appel a conclu à une erreur judiciaire en raison de la non</w:t>
      </w:r>
      <w:r>
        <w:rPr>
          <w:lang w:val="fr-CA"/>
        </w:rPr>
        <w:noBreakHyphen/>
        <w:t xml:space="preserve">communication sur la foi de documents révélés par la première motion en présentation d’éléments de preuve nouveaux, </w:t>
      </w:r>
      <w:r w:rsidRPr="00A66AD7">
        <w:rPr>
          <w:lang w:val="fr-CA"/>
        </w:rPr>
        <w:t>prenant acte de la concession</w:t>
      </w:r>
      <w:r>
        <w:rPr>
          <w:lang w:val="fr-CA"/>
        </w:rPr>
        <w:t xml:space="preserve"> susmentionnée de la Couronne</w:t>
      </w:r>
      <w:r w:rsidRPr="00060362">
        <w:rPr>
          <w:lang w:val="fr-CA"/>
        </w:rPr>
        <w:t xml:space="preserve">. </w:t>
      </w:r>
      <w:r>
        <w:rPr>
          <w:lang w:val="fr-CA"/>
        </w:rPr>
        <w:t>Ceci était suffisant pour conclure que la déclaration de culpabilité devrait être annulée. La Cour d’appel a fini par annuler la déclaration de culpabilité, ordonner la tenue d’un nouveau procès, inscrire l’arrêt de toute autre procédure et reconduire indéfiniment l’interdiction de publication (« jugement de 2018 sur l’interdiction de publication »)</w:t>
      </w:r>
      <w:r w:rsidRPr="00060362">
        <w:rPr>
          <w:lang w:val="fr-CA"/>
        </w:rPr>
        <w:t>.</w:t>
      </w:r>
    </w:p>
    <w:p w:rsidR="009F09DA" w:rsidRPr="00060362" w:rsidRDefault="009F09DA" w:rsidP="009F09DA">
      <w:pPr>
        <w:pStyle w:val="ParaNoNdepar-AltN"/>
        <w:rPr>
          <w:rFonts w:cs="Times New Roman"/>
          <w:lang w:val="fr-CA"/>
        </w:rPr>
      </w:pPr>
      <w:r w:rsidRPr="00DD13BF">
        <w:rPr>
          <w:lang w:val="fr-CA"/>
        </w:rPr>
        <w:t xml:space="preserve">La </w:t>
      </w:r>
      <w:r>
        <w:rPr>
          <w:lang w:val="fr-CA"/>
        </w:rPr>
        <w:t>c</w:t>
      </w:r>
      <w:r w:rsidRPr="00DD13BF">
        <w:rPr>
          <w:lang w:val="fr-CA"/>
        </w:rPr>
        <w:t xml:space="preserve">our a refusé </w:t>
      </w:r>
      <w:r w:rsidRPr="00A66AD7">
        <w:rPr>
          <w:lang w:val="fr-CA"/>
        </w:rPr>
        <w:t>d</w:t>
      </w:r>
      <w:r>
        <w:rPr>
          <w:lang w:val="fr-CA"/>
        </w:rPr>
        <w:t>’</w:t>
      </w:r>
      <w:r w:rsidRPr="00A66AD7">
        <w:rPr>
          <w:lang w:val="fr-CA"/>
        </w:rPr>
        <w:t>admettre l</w:t>
      </w:r>
      <w:r>
        <w:rPr>
          <w:lang w:val="fr-CA"/>
        </w:rPr>
        <w:t>’</w:t>
      </w:r>
      <w:r w:rsidRPr="00A66AD7">
        <w:rPr>
          <w:lang w:val="fr-CA"/>
        </w:rPr>
        <w:t>affidavit de M</w:t>
      </w:r>
      <w:r w:rsidRPr="00A66AD7">
        <w:rPr>
          <w:vertAlign w:val="superscript"/>
          <w:lang w:val="fr-CA"/>
        </w:rPr>
        <w:t>e</w:t>
      </w:r>
      <w:r>
        <w:rPr>
          <w:lang w:val="fr-CA"/>
        </w:rPr>
        <w:t> </w:t>
      </w:r>
      <w:r w:rsidRPr="00A66AD7">
        <w:rPr>
          <w:lang w:val="fr-CA"/>
        </w:rPr>
        <w:t>Posner en tant qu</w:t>
      </w:r>
      <w:r>
        <w:rPr>
          <w:lang w:val="fr-CA"/>
        </w:rPr>
        <w:t>’</w:t>
      </w:r>
      <w:r w:rsidRPr="00A66AD7">
        <w:rPr>
          <w:lang w:val="fr-CA"/>
        </w:rPr>
        <w:t>autre élément de preuve nouveau, car elle a conclu qu</w:t>
      </w:r>
      <w:r>
        <w:rPr>
          <w:lang w:val="fr-CA"/>
        </w:rPr>
        <w:t>’</w:t>
      </w:r>
      <w:r w:rsidRPr="00A66AD7">
        <w:rPr>
          <w:lang w:val="fr-CA"/>
        </w:rPr>
        <w:t>il n</w:t>
      </w:r>
      <w:r>
        <w:rPr>
          <w:lang w:val="fr-CA"/>
        </w:rPr>
        <w:t>’</w:t>
      </w:r>
      <w:r w:rsidRPr="00A66AD7">
        <w:rPr>
          <w:lang w:val="fr-CA"/>
        </w:rPr>
        <w:t>était pas pertinent pour</w:t>
      </w:r>
      <w:r>
        <w:rPr>
          <w:lang w:val="fr-CA"/>
        </w:rPr>
        <w:t xml:space="preserve"> trancher la seule question en litige de la réparation qu’il convenait d’accorder à M. Ostrowski. La preuve concernait plutôt [</w:t>
      </w:r>
      <w:r w:rsidRPr="0035312E">
        <w:rPr>
          <w:smallCaps/>
          <w:lang w:val="fr-CA"/>
        </w:rPr>
        <w:t>traduction</w:t>
      </w:r>
      <w:r>
        <w:rPr>
          <w:lang w:val="fr-CA"/>
        </w:rPr>
        <w:t xml:space="preserve">] « la question de savoir si la Couronne s’était mal conduite, un enjeu pertinent pour décider s’il y avait eu erreur judiciaire » </w:t>
      </w:r>
      <w:r w:rsidRPr="00060362">
        <w:rPr>
          <w:lang w:val="fr-CA"/>
        </w:rPr>
        <w:t>(</w:t>
      </w:r>
      <w:r>
        <w:rPr>
          <w:lang w:val="fr-CA"/>
        </w:rPr>
        <w:t>par. </w:t>
      </w:r>
      <w:r w:rsidRPr="00060362">
        <w:rPr>
          <w:lang w:val="fr-CA"/>
        </w:rPr>
        <w:t xml:space="preserve">82). </w:t>
      </w:r>
      <w:r>
        <w:rPr>
          <w:lang w:val="fr-CA"/>
        </w:rPr>
        <w:t>La juge Beard a conclu en ces termes :</w:t>
      </w:r>
      <w:r w:rsidRPr="00060362">
        <w:rPr>
          <w:lang w:val="fr-CA"/>
        </w:rPr>
        <w:t xml:space="preserve"> </w:t>
      </w:r>
      <w:r>
        <w:rPr>
          <w:lang w:val="fr-CA"/>
        </w:rPr>
        <w:t>« Je suis d’avis que l’élément de preuve n’est pas pertinent quant aux questions à trancher et qu’il y a lieu de rejeter la motion. J’ordonnerais que l’interdiction de publication portant sur cet élément de preuve demeure en vigueur »</w:t>
      </w:r>
      <w:r w:rsidRPr="00060362">
        <w:rPr>
          <w:lang w:val="fr-CA"/>
        </w:rPr>
        <w:t xml:space="preserve"> (</w:t>
      </w:r>
      <w:r w:rsidRPr="00CF26E0">
        <w:rPr>
          <w:i/>
          <w:lang w:val="fr-CA"/>
        </w:rPr>
        <w:t>ibid</w:t>
      </w:r>
      <w:r>
        <w:rPr>
          <w:i/>
          <w:lang w:val="fr-CA"/>
        </w:rPr>
        <w:t>.</w:t>
      </w:r>
      <w:r w:rsidRPr="00060362">
        <w:rPr>
          <w:lang w:val="fr-CA"/>
        </w:rPr>
        <w:t>).</w:t>
      </w:r>
    </w:p>
    <w:p w:rsidR="009F09DA" w:rsidRPr="00060362" w:rsidRDefault="009F09DA" w:rsidP="009F09DA">
      <w:pPr>
        <w:pStyle w:val="ParaNoNdepar-AltN"/>
        <w:rPr>
          <w:rFonts w:eastAsiaTheme="minorHAnsi" w:cs="Times New Roman"/>
          <w:lang w:val="fr-CA"/>
        </w:rPr>
      </w:pPr>
      <w:r>
        <w:rPr>
          <w:rFonts w:eastAsiaTheme="minorHAnsi" w:cs="Times New Roman"/>
          <w:lang w:val="fr-CA"/>
        </w:rPr>
        <w:t>Pour nos besoins</w:t>
      </w:r>
      <w:r w:rsidRPr="00060362">
        <w:rPr>
          <w:rFonts w:eastAsiaTheme="minorHAnsi" w:cs="Times New Roman"/>
          <w:lang w:val="fr-CA"/>
        </w:rPr>
        <w:t xml:space="preserve">, </w:t>
      </w:r>
      <w:r>
        <w:rPr>
          <w:rFonts w:eastAsiaTheme="minorHAnsi" w:cs="Times New Roman"/>
          <w:lang w:val="fr-CA"/>
        </w:rPr>
        <w:t xml:space="preserve">il convient de souligner que l’interdiction de publication que la Cour d’appel avait prononcée à l’audience devait, comme il est dit au </w:t>
      </w:r>
      <w:proofErr w:type="spellStart"/>
      <w:r>
        <w:rPr>
          <w:rFonts w:eastAsiaTheme="minorHAnsi" w:cs="Times New Roman"/>
          <w:lang w:val="fr-CA"/>
        </w:rPr>
        <w:t>par</w:t>
      </w:r>
      <w:proofErr w:type="spellEnd"/>
      <w:r>
        <w:rPr>
          <w:rFonts w:eastAsiaTheme="minorHAnsi" w:cs="Times New Roman"/>
          <w:lang w:val="fr-CA"/>
        </w:rPr>
        <w:t>. 82 des motifs de la cour sur le fond, [</w:t>
      </w:r>
      <w:r w:rsidRPr="00EF3597">
        <w:rPr>
          <w:rFonts w:eastAsiaTheme="minorHAnsi" w:cs="Times New Roman"/>
          <w:smallCaps/>
          <w:lang w:val="fr-CA"/>
        </w:rPr>
        <w:t>traduction</w:t>
      </w:r>
      <w:r>
        <w:rPr>
          <w:rFonts w:eastAsiaTheme="minorHAnsi" w:cs="Times New Roman"/>
          <w:lang w:val="fr-CA"/>
        </w:rPr>
        <w:t>] « demeurer en vigueur »</w:t>
      </w:r>
      <w:r w:rsidRPr="00060362">
        <w:rPr>
          <w:rFonts w:eastAsiaTheme="minorHAnsi" w:cs="Times New Roman"/>
          <w:lang w:val="fr-CA"/>
        </w:rPr>
        <w:t xml:space="preserve">. </w:t>
      </w:r>
      <w:r>
        <w:rPr>
          <w:rFonts w:eastAsiaTheme="minorHAnsi" w:cs="Times New Roman"/>
          <w:lang w:val="fr-CA"/>
        </w:rPr>
        <w:t>Cette décision a été rendue sans qu’il y ait eu de motion en ce sens et en l’absence de plaidoiries précises sur la justesse du maintien de l’interdiction de publication à la lumière du principe de la publicité des débats judiciaires</w:t>
      </w:r>
      <w:r w:rsidRPr="00060362">
        <w:rPr>
          <w:rFonts w:eastAsiaTheme="minorHAnsi" w:cs="Times New Roman"/>
          <w:lang w:val="fr-CA"/>
        </w:rPr>
        <w:t xml:space="preserve">. </w:t>
      </w:r>
      <w:r>
        <w:rPr>
          <w:rFonts w:eastAsiaTheme="minorHAnsi" w:cs="Times New Roman"/>
          <w:lang w:val="fr-CA"/>
        </w:rPr>
        <w:t>L’affidavit de M</w:t>
      </w:r>
      <w:r w:rsidRPr="00EF3597">
        <w:rPr>
          <w:rFonts w:eastAsiaTheme="minorHAnsi" w:cs="Times New Roman"/>
          <w:vertAlign w:val="superscript"/>
          <w:lang w:val="fr-CA"/>
        </w:rPr>
        <w:t>e</w:t>
      </w:r>
      <w:r>
        <w:rPr>
          <w:rFonts w:eastAsiaTheme="minorHAnsi" w:cs="Times New Roman"/>
          <w:lang w:val="fr-CA"/>
        </w:rPr>
        <w:t xml:space="preserve"> Posner avait été mis sous scellés en application d’une règle de procédure pendant l’instance en appel</w:t>
      </w:r>
      <w:r w:rsidRPr="00060362">
        <w:rPr>
          <w:rFonts w:eastAsiaTheme="minorHAnsi" w:cs="Times New Roman"/>
          <w:lang w:val="fr-CA"/>
        </w:rPr>
        <w:t xml:space="preserve"> (</w:t>
      </w:r>
      <w:r>
        <w:rPr>
          <w:rFonts w:eastAsiaTheme="minorHAnsi" w:cs="Times New Roman"/>
          <w:i/>
          <w:lang w:val="fr-CA"/>
        </w:rPr>
        <w:t>Règles de la Cour d’appel</w:t>
      </w:r>
      <w:r w:rsidRPr="00060362">
        <w:rPr>
          <w:rFonts w:eastAsiaTheme="minorHAnsi" w:cs="Times New Roman"/>
          <w:lang w:val="fr-CA"/>
        </w:rPr>
        <w:t xml:space="preserve">, </w:t>
      </w:r>
      <w:r>
        <w:rPr>
          <w:rFonts w:eastAsiaTheme="minorHAnsi" w:cs="Times New Roman"/>
          <w:lang w:val="fr-CA"/>
        </w:rPr>
        <w:t>par. </w:t>
      </w:r>
      <w:r w:rsidRPr="00060362">
        <w:rPr>
          <w:rFonts w:eastAsiaTheme="minorHAnsi" w:cs="Times New Roman"/>
          <w:lang w:val="fr-CA"/>
        </w:rPr>
        <w:t xml:space="preserve">21(4)). </w:t>
      </w:r>
      <w:r>
        <w:rPr>
          <w:rFonts w:eastAsiaTheme="minorHAnsi" w:cs="Times New Roman"/>
          <w:lang w:val="fr-CA"/>
        </w:rPr>
        <w:t>Cette ordonnance de mise sous scellés n’est pas mentionnée dans le jugement de</w:t>
      </w:r>
      <w:r w:rsidRPr="00060362">
        <w:rPr>
          <w:rFonts w:eastAsiaTheme="minorHAnsi" w:cs="Times New Roman"/>
          <w:lang w:val="fr-CA"/>
        </w:rPr>
        <w:t xml:space="preserve"> 2018</w:t>
      </w:r>
      <w:r>
        <w:rPr>
          <w:rFonts w:eastAsiaTheme="minorHAnsi" w:cs="Times New Roman"/>
          <w:lang w:val="fr-CA"/>
        </w:rPr>
        <w:t xml:space="preserve"> sur l’interdiction de publication</w:t>
      </w:r>
      <w:r w:rsidRPr="00060362">
        <w:rPr>
          <w:rFonts w:eastAsiaTheme="minorHAnsi" w:cs="Times New Roman"/>
          <w:lang w:val="fr-CA"/>
        </w:rPr>
        <w:t>.</w:t>
      </w:r>
    </w:p>
    <w:p w:rsidR="009F09DA" w:rsidRPr="00060362" w:rsidRDefault="009F09DA" w:rsidP="009F09DA">
      <w:pPr>
        <w:pStyle w:val="ParaNoNdepar-AltN"/>
        <w:rPr>
          <w:rFonts w:eastAsiaTheme="minorHAnsi" w:cs="Times New Roman"/>
          <w:lang w:val="fr-CA"/>
        </w:rPr>
      </w:pPr>
      <w:r>
        <w:rPr>
          <w:rFonts w:eastAsiaTheme="minorHAnsi" w:cs="Times New Roman"/>
          <w:lang w:val="fr-CA"/>
        </w:rPr>
        <w:t>En janvier 2019, un certificat de décision officiel de ce jugement a été inscrit, consignant</w:t>
      </w:r>
      <w:r w:rsidRPr="00060362">
        <w:rPr>
          <w:rFonts w:eastAsiaTheme="minorHAnsi" w:cs="Times New Roman"/>
          <w:lang w:val="fr-CA"/>
        </w:rPr>
        <w:t xml:space="preserve"> </w:t>
      </w:r>
      <w:r>
        <w:rPr>
          <w:rFonts w:eastAsiaTheme="minorHAnsi" w:cs="Times New Roman"/>
          <w:lang w:val="fr-CA"/>
        </w:rPr>
        <w:t>les ordonnances sur l’appel et les deux motions en présentation d’éléments de preuve nouveaux. Le certificat ne fait aucune mention d’une ordonnance de mise sous scellés ou d’une interdiction de publication</w:t>
      </w:r>
      <w:r w:rsidRPr="00060362">
        <w:rPr>
          <w:rFonts w:eastAsiaTheme="minorHAnsi" w:cs="Times New Roman"/>
          <w:lang w:val="fr-CA"/>
        </w:rPr>
        <w:t xml:space="preserve">. </w:t>
      </w:r>
    </w:p>
    <w:p w:rsidR="009F09DA" w:rsidRPr="00DD13BF" w:rsidRDefault="009F09DA" w:rsidP="009F09DA">
      <w:pPr>
        <w:pStyle w:val="Title2LevelTitre2Niveau"/>
        <w:numPr>
          <w:ilvl w:val="1"/>
          <w:numId w:val="8"/>
        </w:numPr>
        <w:rPr>
          <w:rFonts w:cs="Times New Roman"/>
          <w:lang w:val="fr-CA"/>
        </w:rPr>
      </w:pPr>
      <w:r w:rsidRPr="00DD13BF">
        <w:rPr>
          <w:rFonts w:cs="Times New Roman"/>
          <w:lang w:val="fr-CA"/>
        </w:rPr>
        <w:t xml:space="preserve">Le jugement de 2019 </w:t>
      </w:r>
      <w:r>
        <w:rPr>
          <w:rFonts w:cs="Times New Roman"/>
          <w:lang w:val="fr-CA"/>
        </w:rPr>
        <w:t>sur la compétence (</w:t>
      </w:r>
      <w:r w:rsidRPr="00DD13BF">
        <w:rPr>
          <w:rFonts w:cs="Times New Roman"/>
          <w:lang w:val="fr-CA"/>
        </w:rPr>
        <w:t xml:space="preserve">2019 MBCA 122 — </w:t>
      </w:r>
      <w:r>
        <w:rPr>
          <w:rFonts w:cs="Times New Roman"/>
          <w:lang w:val="fr-CA"/>
        </w:rPr>
        <w:t xml:space="preserve">les </w:t>
      </w:r>
      <w:r w:rsidRPr="00DD13BF">
        <w:rPr>
          <w:rFonts w:cs="Times New Roman"/>
          <w:lang w:val="fr-CA"/>
        </w:rPr>
        <w:t>juges Beard, Burnett et Pfuetzner</w:t>
      </w:r>
      <w:r>
        <w:rPr>
          <w:rFonts w:cs="Times New Roman"/>
          <w:lang w:val="fr-CA"/>
        </w:rPr>
        <w:t>)</w:t>
      </w:r>
    </w:p>
    <w:p w:rsidR="009F09DA" w:rsidRPr="00DD13BF" w:rsidRDefault="009F09DA" w:rsidP="009F09DA">
      <w:pPr>
        <w:pStyle w:val="ParaNoNdepar-AltN"/>
        <w:rPr>
          <w:rFonts w:cs="Times New Roman"/>
          <w:lang w:val="fr-CA"/>
        </w:rPr>
      </w:pPr>
      <w:r w:rsidRPr="00DD13BF">
        <w:rPr>
          <w:rFonts w:cs="Times New Roman"/>
          <w:lang w:val="fr-CA"/>
        </w:rPr>
        <w:t>À la suite de la décision sur l</w:t>
      </w:r>
      <w:r>
        <w:rPr>
          <w:rFonts w:cs="Times New Roman"/>
          <w:lang w:val="fr-CA"/>
        </w:rPr>
        <w:t>’</w:t>
      </w:r>
      <w:r w:rsidRPr="00DD13BF">
        <w:rPr>
          <w:rFonts w:cs="Times New Roman"/>
          <w:lang w:val="fr-CA"/>
        </w:rPr>
        <w:t>appel concernant l</w:t>
      </w:r>
      <w:r>
        <w:rPr>
          <w:rFonts w:cs="Times New Roman"/>
          <w:lang w:val="fr-CA"/>
        </w:rPr>
        <w:t>’</w:t>
      </w:r>
      <w:r w:rsidRPr="00DD13BF">
        <w:rPr>
          <w:rFonts w:cs="Times New Roman"/>
          <w:lang w:val="fr-CA"/>
        </w:rPr>
        <w:t>erreur judiciaire, la SRC a demandé à la Cour d</w:t>
      </w:r>
      <w:r>
        <w:rPr>
          <w:rFonts w:cs="Times New Roman"/>
          <w:lang w:val="fr-CA"/>
        </w:rPr>
        <w:t>’</w:t>
      </w:r>
      <w:r w:rsidRPr="00DD13BF">
        <w:rPr>
          <w:rFonts w:cs="Times New Roman"/>
          <w:lang w:val="fr-CA"/>
        </w:rPr>
        <w:t>appel l</w:t>
      </w:r>
      <w:r>
        <w:rPr>
          <w:rFonts w:cs="Times New Roman"/>
          <w:lang w:val="fr-CA"/>
        </w:rPr>
        <w:t>’</w:t>
      </w:r>
      <w:r w:rsidRPr="00DD13BF">
        <w:rPr>
          <w:rFonts w:cs="Times New Roman"/>
          <w:lang w:val="fr-CA"/>
        </w:rPr>
        <w:t>accès à l</w:t>
      </w:r>
      <w:r>
        <w:rPr>
          <w:rFonts w:cs="Times New Roman"/>
          <w:lang w:val="fr-CA"/>
        </w:rPr>
        <w:t>’</w:t>
      </w:r>
      <w:r w:rsidRPr="00DD13BF">
        <w:rPr>
          <w:rFonts w:cs="Times New Roman"/>
          <w:lang w:val="fr-CA"/>
        </w:rPr>
        <w:t>affidavit de M</w:t>
      </w:r>
      <w:r>
        <w:rPr>
          <w:rFonts w:cs="Times New Roman"/>
          <w:vertAlign w:val="superscript"/>
          <w:lang w:val="fr-CA"/>
        </w:rPr>
        <w:t>e </w:t>
      </w:r>
      <w:r w:rsidRPr="00DD13BF">
        <w:rPr>
          <w:rFonts w:cs="Times New Roman"/>
          <w:lang w:val="fr-CA"/>
        </w:rPr>
        <w:t>Posner et l</w:t>
      </w:r>
      <w:r>
        <w:rPr>
          <w:rFonts w:cs="Times New Roman"/>
          <w:lang w:val="fr-CA"/>
        </w:rPr>
        <w:t>’</w:t>
      </w:r>
      <w:r w:rsidRPr="00DD13BF">
        <w:rPr>
          <w:rFonts w:cs="Times New Roman"/>
          <w:lang w:val="fr-CA"/>
        </w:rPr>
        <w:t>annulation de l</w:t>
      </w:r>
      <w:r>
        <w:rPr>
          <w:rFonts w:cs="Times New Roman"/>
          <w:lang w:val="fr-CA"/>
        </w:rPr>
        <w:t>’</w:t>
      </w:r>
      <w:r w:rsidRPr="00DD13BF">
        <w:rPr>
          <w:rFonts w:cs="Times New Roman"/>
          <w:lang w:val="fr-CA"/>
        </w:rPr>
        <w:t>interdiction de publication mentionnée dans le jugement de 2018 sur l</w:t>
      </w:r>
      <w:r>
        <w:rPr>
          <w:rFonts w:cs="Times New Roman"/>
          <w:lang w:val="fr-CA"/>
        </w:rPr>
        <w:t>’interdiction de publication</w:t>
      </w:r>
      <w:r w:rsidRPr="00DD13BF">
        <w:rPr>
          <w:rFonts w:cs="Times New Roman"/>
          <w:lang w:val="fr-CA"/>
        </w:rPr>
        <w:t>. La motion de la SRC a été présentée en mai 2019, après le prononcé des motifs sur le bien</w:t>
      </w:r>
      <w:r>
        <w:rPr>
          <w:rFonts w:cs="Times New Roman"/>
          <w:lang w:val="fr-CA"/>
        </w:rPr>
        <w:noBreakHyphen/>
        <w:t>fondé de l’appel de M. Ostrowski</w:t>
      </w:r>
      <w:r w:rsidRPr="00DD13BF">
        <w:rPr>
          <w:rFonts w:cs="Times New Roman"/>
          <w:lang w:val="fr-CA"/>
        </w:rPr>
        <w:t xml:space="preserve"> et le dépôt du jugement formel dans cette affaire. </w:t>
      </w:r>
    </w:p>
    <w:p w:rsidR="009F09DA" w:rsidRPr="00A66AD7" w:rsidRDefault="009F09DA" w:rsidP="009F09DA">
      <w:pPr>
        <w:pStyle w:val="ParaNoNdepar-AltN"/>
        <w:rPr>
          <w:rFonts w:cs="Times New Roman"/>
          <w:lang w:val="fr-CA"/>
        </w:rPr>
      </w:pPr>
      <w:r w:rsidRPr="00C5565E">
        <w:rPr>
          <w:rFonts w:cs="Times New Roman"/>
          <w:lang w:val="fr-CA"/>
        </w:rPr>
        <w:t>La SRC avait communiqué avec le greffier de la Cour d</w:t>
      </w:r>
      <w:r>
        <w:rPr>
          <w:rFonts w:cs="Times New Roman"/>
          <w:lang w:val="fr-CA"/>
        </w:rPr>
        <w:t>’</w:t>
      </w:r>
      <w:r w:rsidRPr="00C5565E">
        <w:rPr>
          <w:rFonts w:cs="Times New Roman"/>
          <w:lang w:val="fr-CA"/>
        </w:rPr>
        <w:t xml:space="preserve">appel pour demander accès à </w:t>
      </w:r>
      <w:r w:rsidRPr="00A66AD7">
        <w:rPr>
          <w:rFonts w:cs="Times New Roman"/>
          <w:lang w:val="fr-CA"/>
        </w:rPr>
        <w:t>l</w:t>
      </w:r>
      <w:r>
        <w:rPr>
          <w:rFonts w:cs="Times New Roman"/>
          <w:lang w:val="fr-CA"/>
        </w:rPr>
        <w:t>’</w:t>
      </w:r>
      <w:r w:rsidRPr="00A66AD7">
        <w:rPr>
          <w:rFonts w:cs="Times New Roman"/>
          <w:lang w:val="fr-CA"/>
        </w:rPr>
        <w:t>affidavit de M</w:t>
      </w:r>
      <w:r w:rsidRPr="00A66AD7">
        <w:rPr>
          <w:rFonts w:cs="Times New Roman"/>
          <w:vertAlign w:val="superscript"/>
          <w:lang w:val="fr-CA"/>
        </w:rPr>
        <w:t>e</w:t>
      </w:r>
      <w:r w:rsidRPr="00A66AD7">
        <w:rPr>
          <w:rFonts w:cs="Times New Roman"/>
          <w:lang w:val="fr-CA"/>
        </w:rPr>
        <w:t> Posner. Il appert de la preuve que la SRC avait été informée par l</w:t>
      </w:r>
      <w:r>
        <w:rPr>
          <w:rFonts w:cs="Times New Roman"/>
          <w:lang w:val="fr-CA"/>
        </w:rPr>
        <w:t>’</w:t>
      </w:r>
      <w:r w:rsidRPr="00A66AD7">
        <w:rPr>
          <w:rFonts w:cs="Times New Roman"/>
          <w:lang w:val="fr-CA"/>
        </w:rPr>
        <w:t>agent des relations avec les médias de la Cour d</w:t>
      </w:r>
      <w:r>
        <w:rPr>
          <w:rFonts w:cs="Times New Roman"/>
          <w:lang w:val="fr-CA"/>
        </w:rPr>
        <w:t>’</w:t>
      </w:r>
      <w:r w:rsidRPr="00A66AD7">
        <w:rPr>
          <w:rFonts w:cs="Times New Roman"/>
          <w:lang w:val="fr-CA"/>
        </w:rPr>
        <w:t>appel de l</w:t>
      </w:r>
      <w:r>
        <w:rPr>
          <w:rFonts w:cs="Times New Roman"/>
          <w:lang w:val="fr-CA"/>
        </w:rPr>
        <w:t>’</w:t>
      </w:r>
      <w:r w:rsidRPr="00A66AD7">
        <w:rPr>
          <w:rFonts w:cs="Times New Roman"/>
          <w:lang w:val="fr-CA"/>
        </w:rPr>
        <w:t>existence de l</w:t>
      </w:r>
      <w:r>
        <w:rPr>
          <w:rFonts w:cs="Times New Roman"/>
          <w:lang w:val="fr-CA"/>
        </w:rPr>
        <w:t>’</w:t>
      </w:r>
      <w:r w:rsidRPr="00A66AD7">
        <w:rPr>
          <w:rFonts w:cs="Times New Roman"/>
          <w:lang w:val="fr-CA"/>
        </w:rPr>
        <w:t>interdiction de publication dans les jours qui ont suivi le prononcé des motifs de 2018 sur le</w:t>
      </w:r>
      <w:r>
        <w:rPr>
          <w:rFonts w:cs="Times New Roman"/>
          <w:lang w:val="fr-CA"/>
        </w:rPr>
        <w:t xml:space="preserve"> bien</w:t>
      </w:r>
      <w:r>
        <w:rPr>
          <w:rFonts w:cs="Times New Roman"/>
          <w:lang w:val="fr-CA"/>
        </w:rPr>
        <w:noBreakHyphen/>
      </w:r>
      <w:r w:rsidRPr="00A66AD7">
        <w:rPr>
          <w:rFonts w:cs="Times New Roman"/>
          <w:lang w:val="fr-CA"/>
        </w:rPr>
        <w:t>fond</w:t>
      </w:r>
      <w:r>
        <w:rPr>
          <w:rFonts w:cs="Times New Roman"/>
          <w:lang w:val="fr-CA"/>
        </w:rPr>
        <w:t>é</w:t>
      </w:r>
      <w:r w:rsidRPr="00A66AD7">
        <w:rPr>
          <w:rFonts w:cs="Times New Roman"/>
          <w:lang w:val="fr-CA"/>
        </w:rPr>
        <w:t xml:space="preserve"> de l</w:t>
      </w:r>
      <w:r>
        <w:rPr>
          <w:rFonts w:cs="Times New Roman"/>
          <w:lang w:val="fr-CA"/>
        </w:rPr>
        <w:t>’</w:t>
      </w:r>
      <w:r w:rsidRPr="00A66AD7">
        <w:rPr>
          <w:rFonts w:cs="Times New Roman"/>
          <w:lang w:val="fr-CA"/>
        </w:rPr>
        <w:t xml:space="preserve">appel de </w:t>
      </w:r>
      <w:r>
        <w:rPr>
          <w:rFonts w:cs="Times New Roman"/>
          <w:lang w:val="fr-CA"/>
        </w:rPr>
        <w:t>M. Ostrowski</w:t>
      </w:r>
      <w:r w:rsidRPr="00A66AD7">
        <w:rPr>
          <w:rFonts w:cs="Times New Roman"/>
          <w:lang w:val="fr-CA"/>
        </w:rPr>
        <w:t>. Toutefois, c</w:t>
      </w:r>
      <w:r>
        <w:rPr>
          <w:rFonts w:cs="Times New Roman"/>
          <w:lang w:val="fr-CA"/>
        </w:rPr>
        <w:t>’</w:t>
      </w:r>
      <w:r w:rsidRPr="00A66AD7">
        <w:rPr>
          <w:rFonts w:cs="Times New Roman"/>
          <w:lang w:val="fr-CA"/>
        </w:rPr>
        <w:t xml:space="preserve">est plus de cinq mois plus tard que la SRC a déposé la motion susmentionnée. </w:t>
      </w:r>
    </w:p>
    <w:p w:rsidR="009F09DA" w:rsidRPr="00060362" w:rsidRDefault="009F09DA" w:rsidP="009F09DA">
      <w:pPr>
        <w:pStyle w:val="ParaNoNdepar-AltN"/>
        <w:rPr>
          <w:rFonts w:cs="Times New Roman"/>
          <w:lang w:val="fr-CA"/>
        </w:rPr>
      </w:pPr>
      <w:r>
        <w:rPr>
          <w:rFonts w:cs="Times New Roman"/>
          <w:lang w:val="fr-CA"/>
        </w:rPr>
        <w:t>La SRC s’est fondée sur l’al. </w:t>
      </w:r>
      <w:r w:rsidRPr="00060362">
        <w:rPr>
          <w:rFonts w:cs="Times New Roman"/>
          <w:lang w:val="fr-CA"/>
        </w:rPr>
        <w:t xml:space="preserve">2b) </w:t>
      </w:r>
      <w:r>
        <w:rPr>
          <w:rFonts w:cs="Times New Roman"/>
          <w:lang w:val="fr-CA"/>
        </w:rPr>
        <w:t>de la</w:t>
      </w:r>
      <w:r w:rsidRPr="00060362">
        <w:rPr>
          <w:rFonts w:cs="Times New Roman"/>
          <w:lang w:val="fr-CA"/>
        </w:rPr>
        <w:t xml:space="preserve"> </w:t>
      </w:r>
      <w:r w:rsidRPr="00060362">
        <w:rPr>
          <w:rFonts w:cs="Times New Roman"/>
          <w:i/>
          <w:lang w:val="fr-CA"/>
        </w:rPr>
        <w:t xml:space="preserve">Charte </w:t>
      </w:r>
      <w:r>
        <w:rPr>
          <w:rFonts w:cs="Times New Roman"/>
          <w:lang w:val="fr-CA"/>
        </w:rPr>
        <w:t>et a allégué que la preuve ne justifiait [</w:t>
      </w:r>
      <w:r w:rsidRPr="004C0538">
        <w:rPr>
          <w:rFonts w:cs="Times New Roman"/>
          <w:smallCaps/>
          <w:lang w:val="fr-CA"/>
        </w:rPr>
        <w:t>traduction</w:t>
      </w:r>
      <w:r>
        <w:rPr>
          <w:rFonts w:cs="Times New Roman"/>
          <w:lang w:val="fr-CA"/>
        </w:rPr>
        <w:t>] « aucune</w:t>
      </w:r>
      <w:r w:rsidRPr="00060362">
        <w:rPr>
          <w:rFonts w:cs="Times New Roman"/>
          <w:lang w:val="fr-CA"/>
        </w:rPr>
        <w:t xml:space="preserve"> </w:t>
      </w:r>
      <w:r>
        <w:rPr>
          <w:rFonts w:cs="Times New Roman"/>
          <w:lang w:val="fr-CA"/>
        </w:rPr>
        <w:t xml:space="preserve">restriction </w:t>
      </w:r>
      <w:r w:rsidRPr="00A66AD7">
        <w:rPr>
          <w:rFonts w:cs="Times New Roman"/>
          <w:lang w:val="fr-CA"/>
        </w:rPr>
        <w:t>continue au droit des médias et du public d</w:t>
      </w:r>
      <w:r>
        <w:rPr>
          <w:rFonts w:cs="Times New Roman"/>
          <w:lang w:val="fr-CA"/>
        </w:rPr>
        <w:t>’</w:t>
      </w:r>
      <w:r w:rsidRPr="00A66AD7">
        <w:rPr>
          <w:rFonts w:cs="Times New Roman"/>
          <w:lang w:val="fr-CA"/>
        </w:rPr>
        <w:t>avoir accès au dossier intégral de cette instance et de réaliser un reportage sur</w:t>
      </w:r>
      <w:r>
        <w:rPr>
          <w:rFonts w:cs="Times New Roman"/>
          <w:lang w:val="fr-CA"/>
        </w:rPr>
        <w:t xml:space="preserve"> celui</w:t>
      </w:r>
      <w:r>
        <w:rPr>
          <w:rFonts w:cs="Times New Roman"/>
          <w:lang w:val="fr-CA"/>
        </w:rPr>
        <w:noBreakHyphen/>
        <w:t>ci »</w:t>
      </w:r>
      <w:r w:rsidRPr="00060362">
        <w:rPr>
          <w:rFonts w:cs="Times New Roman"/>
          <w:lang w:val="fr-CA"/>
        </w:rPr>
        <w:t xml:space="preserve"> (</w:t>
      </w:r>
      <w:proofErr w:type="gramStart"/>
      <w:r>
        <w:rPr>
          <w:rFonts w:cs="Times New Roman"/>
          <w:lang w:val="fr-CA"/>
        </w:rPr>
        <w:t>d.a</w:t>
      </w:r>
      <w:r w:rsidRPr="00060362">
        <w:rPr>
          <w:rFonts w:cs="Times New Roman"/>
          <w:lang w:val="fr-CA"/>
        </w:rPr>
        <w:t>.,</w:t>
      </w:r>
      <w:proofErr w:type="gramEnd"/>
      <w:r w:rsidRPr="00060362">
        <w:rPr>
          <w:rFonts w:cs="Times New Roman"/>
          <w:lang w:val="fr-CA"/>
        </w:rPr>
        <w:t xml:space="preserve"> </w:t>
      </w:r>
      <w:r>
        <w:rPr>
          <w:rFonts w:cs="Times New Roman"/>
          <w:lang w:val="fr-CA"/>
        </w:rPr>
        <w:t>p. </w:t>
      </w:r>
      <w:r w:rsidRPr="00060362">
        <w:rPr>
          <w:rFonts w:cs="Times New Roman"/>
          <w:lang w:val="fr-CA"/>
        </w:rPr>
        <w:t>75).</w:t>
      </w:r>
      <w:r w:rsidRPr="00060362">
        <w:rPr>
          <w:rFonts w:cs="Times New Roman"/>
          <w:i/>
          <w:lang w:val="fr-CA"/>
        </w:rPr>
        <w:t xml:space="preserve"> </w:t>
      </w:r>
      <w:r>
        <w:rPr>
          <w:rFonts w:cs="Times New Roman"/>
          <w:lang w:val="fr-CA"/>
        </w:rPr>
        <w:t>Dans son mémoire relatif à la motion</w:t>
      </w:r>
      <w:r w:rsidRPr="00060362">
        <w:rPr>
          <w:rFonts w:cs="Times New Roman"/>
          <w:lang w:val="fr-CA"/>
        </w:rPr>
        <w:t xml:space="preserve">, </w:t>
      </w:r>
      <w:r>
        <w:rPr>
          <w:rFonts w:cs="Times New Roman"/>
          <w:lang w:val="fr-CA"/>
        </w:rPr>
        <w:t>la SRC a souligné son objectif de rendre transparentes les circonstances qui ont mené à l’erreur judiciaire, plaidant qu’il était de la plus haute importance que des éléments dans l’affidavit de M</w:t>
      </w:r>
      <w:r w:rsidRPr="0088449B">
        <w:rPr>
          <w:rFonts w:cs="Times New Roman"/>
          <w:vertAlign w:val="superscript"/>
          <w:lang w:val="fr-CA"/>
        </w:rPr>
        <w:t>e</w:t>
      </w:r>
      <w:r>
        <w:rPr>
          <w:rFonts w:cs="Times New Roman"/>
          <w:lang w:val="fr-CA"/>
        </w:rPr>
        <w:t xml:space="preserve"> Posner relatifs à </w:t>
      </w:r>
      <w:r w:rsidRPr="00060362">
        <w:rPr>
          <w:rFonts w:cs="Times New Roman"/>
          <w:lang w:val="fr-CA"/>
        </w:rPr>
        <w:t xml:space="preserve">M.D., </w:t>
      </w:r>
      <w:r>
        <w:rPr>
          <w:rFonts w:cs="Times New Roman"/>
          <w:lang w:val="fr-CA"/>
        </w:rPr>
        <w:t>un des 12 témoins à l’instance en matière d’erreur judiciaire, puissent être ouverts à l’examen du public</w:t>
      </w:r>
      <w:r w:rsidRPr="00060362">
        <w:rPr>
          <w:rFonts w:cs="Times New Roman"/>
          <w:lang w:val="fr-CA"/>
        </w:rPr>
        <w:t xml:space="preserve">. </w:t>
      </w:r>
      <w:r>
        <w:rPr>
          <w:rFonts w:cs="Times New Roman"/>
          <w:lang w:val="fr-CA"/>
        </w:rPr>
        <w:t>Dans un affidavit déposé au soutien de la motion</w:t>
      </w:r>
      <w:r w:rsidRPr="00060362">
        <w:rPr>
          <w:rFonts w:cs="Times New Roman"/>
          <w:lang w:val="fr-CA"/>
        </w:rPr>
        <w:t xml:space="preserve">, </w:t>
      </w:r>
      <w:r>
        <w:rPr>
          <w:rFonts w:cs="Times New Roman"/>
          <w:lang w:val="fr-CA"/>
        </w:rPr>
        <w:t>le directeur du journalisme d’enquête (régions) de la SRC a fait remarquer qu’aucune motion officielle n’avait été déposée pour solliciter une interdiction de publication des éléments et qu’il n’y avait eu aucun avis au public ou aux médias qu’une interdiction était demandée</w:t>
      </w:r>
      <w:r w:rsidRPr="00060362">
        <w:rPr>
          <w:rFonts w:cs="Times New Roman"/>
          <w:lang w:val="fr-CA"/>
        </w:rPr>
        <w:t xml:space="preserve">. </w:t>
      </w:r>
    </w:p>
    <w:p w:rsidR="009F09DA" w:rsidRPr="00060362" w:rsidRDefault="009F09DA" w:rsidP="009F09DA">
      <w:pPr>
        <w:pStyle w:val="ParaNoNdepar-AltN"/>
        <w:rPr>
          <w:rFonts w:cs="Times New Roman"/>
          <w:lang w:val="fr-CA"/>
        </w:rPr>
      </w:pPr>
      <w:r>
        <w:rPr>
          <w:rFonts w:cs="Times New Roman"/>
          <w:lang w:val="fr-CA"/>
        </w:rPr>
        <w:t xml:space="preserve">La conjointe de </w:t>
      </w:r>
      <w:r w:rsidRPr="00060362">
        <w:rPr>
          <w:rFonts w:cs="Times New Roman"/>
          <w:lang w:val="fr-CA"/>
        </w:rPr>
        <w:t xml:space="preserve">M.D., B.B., </w:t>
      </w:r>
      <w:r>
        <w:rPr>
          <w:rFonts w:cs="Times New Roman"/>
          <w:lang w:val="fr-CA"/>
        </w:rPr>
        <w:t>et l’exécuteur de sa succession</w:t>
      </w:r>
      <w:r w:rsidRPr="00060362">
        <w:rPr>
          <w:rFonts w:cs="Times New Roman"/>
          <w:lang w:val="fr-CA"/>
        </w:rPr>
        <w:t>, J.D. (collective</w:t>
      </w:r>
      <w:r>
        <w:rPr>
          <w:rFonts w:cs="Times New Roman"/>
          <w:lang w:val="fr-CA"/>
        </w:rPr>
        <w:t>ment, les « parties intéressées »</w:t>
      </w:r>
      <w:r w:rsidRPr="00060362">
        <w:rPr>
          <w:rFonts w:cs="Times New Roman"/>
          <w:lang w:val="fr-CA"/>
        </w:rPr>
        <w:t>)</w:t>
      </w:r>
      <w:r>
        <w:rPr>
          <w:rFonts w:cs="Times New Roman"/>
          <w:lang w:val="fr-CA"/>
        </w:rPr>
        <w:t>,</w:t>
      </w:r>
      <w:r w:rsidRPr="00060362">
        <w:rPr>
          <w:rFonts w:cs="Times New Roman"/>
          <w:lang w:val="fr-CA"/>
        </w:rPr>
        <w:t xml:space="preserve"> </w:t>
      </w:r>
      <w:r>
        <w:rPr>
          <w:rFonts w:cs="Times New Roman"/>
          <w:lang w:val="fr-CA"/>
        </w:rPr>
        <w:t xml:space="preserve">se sont opposés à la motion de la SRC pour des motifs de compétence, comme l’a fait la Couronne. Signalant que le certificat de décision avait déjà été inscrit, les </w:t>
      </w:r>
      <w:r w:rsidRPr="00DD13BF">
        <w:rPr>
          <w:rFonts w:cs="Times New Roman"/>
          <w:lang w:val="fr-CA"/>
        </w:rPr>
        <w:t xml:space="preserve">parties intéressées et la Couronne ont plaidé que la </w:t>
      </w:r>
      <w:r>
        <w:rPr>
          <w:rFonts w:cs="Times New Roman"/>
          <w:lang w:val="fr-CA"/>
        </w:rPr>
        <w:t xml:space="preserve">Cour d’appel n’avait pas compétence pour trancher la motion en raison de la règle interdisant les nouvelles audiences, prévue dans les </w:t>
      </w:r>
      <w:r w:rsidRPr="009442AB">
        <w:rPr>
          <w:rFonts w:cs="Times New Roman"/>
          <w:i/>
          <w:iCs/>
          <w:lang w:val="fr-CA"/>
        </w:rPr>
        <w:t>Règles de la Cour d</w:t>
      </w:r>
      <w:r>
        <w:rPr>
          <w:rFonts w:cs="Times New Roman"/>
          <w:i/>
          <w:iCs/>
          <w:lang w:val="fr-CA"/>
        </w:rPr>
        <w:t>’</w:t>
      </w:r>
      <w:r w:rsidRPr="009442AB">
        <w:rPr>
          <w:rFonts w:cs="Times New Roman"/>
          <w:i/>
          <w:iCs/>
          <w:lang w:val="fr-CA"/>
        </w:rPr>
        <w:t>appel</w:t>
      </w:r>
      <w:r w:rsidRPr="00060362">
        <w:rPr>
          <w:rFonts w:cs="Times New Roman"/>
          <w:lang w:val="fr-CA"/>
        </w:rPr>
        <w:t>.</w:t>
      </w:r>
    </w:p>
    <w:p w:rsidR="009F09DA" w:rsidRPr="00060362" w:rsidRDefault="009F09DA" w:rsidP="009F09DA">
      <w:pPr>
        <w:pStyle w:val="ParaNoNdepar-AltN"/>
        <w:rPr>
          <w:rFonts w:cs="Times New Roman"/>
          <w:lang w:val="fr-CA"/>
        </w:rPr>
      </w:pPr>
      <w:r>
        <w:rPr>
          <w:rFonts w:eastAsiaTheme="minorHAnsi" w:cs="Times New Roman"/>
          <w:lang w:val="fr-CA"/>
        </w:rPr>
        <w:t xml:space="preserve">La Cour d’appel a </w:t>
      </w:r>
      <w:r w:rsidRPr="00A66AD7">
        <w:rPr>
          <w:rFonts w:eastAsiaTheme="minorHAnsi" w:cs="Times New Roman"/>
          <w:lang w:val="fr-CA"/>
        </w:rPr>
        <w:t>rejeté la motion, invoquant l</w:t>
      </w:r>
      <w:r>
        <w:rPr>
          <w:rFonts w:eastAsiaTheme="minorHAnsi" w:cs="Times New Roman"/>
          <w:lang w:val="fr-CA"/>
        </w:rPr>
        <w:t>’</w:t>
      </w:r>
      <w:r w:rsidRPr="00A66AD7">
        <w:rPr>
          <w:rFonts w:eastAsiaTheme="minorHAnsi" w:cs="Times New Roman"/>
          <w:lang w:val="fr-CA"/>
        </w:rPr>
        <w:t>absence de compétence (« jug</w:t>
      </w:r>
      <w:r>
        <w:rPr>
          <w:rFonts w:eastAsiaTheme="minorHAnsi" w:cs="Times New Roman"/>
          <w:lang w:val="fr-CA"/>
        </w:rPr>
        <w:t>ement de 2019 sur la compétence </w:t>
      </w:r>
      <w:r w:rsidRPr="00A66AD7">
        <w:rPr>
          <w:rFonts w:eastAsiaTheme="minorHAnsi" w:cs="Times New Roman"/>
          <w:lang w:val="fr-CA"/>
        </w:rPr>
        <w:t>»). Elle a expliqué que la SRC sollicitait une nouvelle audience portant sur une interdiction de publication prononcée dans le cadre du jugement définitif sur l</w:t>
      </w:r>
      <w:r>
        <w:rPr>
          <w:rFonts w:eastAsiaTheme="minorHAnsi" w:cs="Times New Roman"/>
          <w:lang w:val="fr-CA"/>
        </w:rPr>
        <w:t>’</w:t>
      </w:r>
      <w:r w:rsidRPr="00A66AD7">
        <w:rPr>
          <w:rFonts w:eastAsiaTheme="minorHAnsi" w:cs="Times New Roman"/>
          <w:lang w:val="fr-CA"/>
        </w:rPr>
        <w:t xml:space="preserve">appel de </w:t>
      </w:r>
      <w:r>
        <w:rPr>
          <w:rFonts w:eastAsiaTheme="minorHAnsi" w:cs="Times New Roman"/>
          <w:lang w:val="fr-CA"/>
        </w:rPr>
        <w:t>M. Ostrowski</w:t>
      </w:r>
      <w:r w:rsidRPr="00A66AD7">
        <w:rPr>
          <w:rFonts w:eastAsiaTheme="minorHAnsi" w:cs="Times New Roman"/>
          <w:lang w:val="fr-CA"/>
        </w:rPr>
        <w:t>. [</w:t>
      </w:r>
      <w:r w:rsidRPr="00A66AD7">
        <w:rPr>
          <w:rFonts w:eastAsiaTheme="minorHAnsi" w:cs="Times New Roman"/>
          <w:smallCaps/>
          <w:lang w:val="fr-CA"/>
        </w:rPr>
        <w:t>traduction</w:t>
      </w:r>
      <w:r w:rsidRPr="00A66AD7">
        <w:rPr>
          <w:rFonts w:eastAsiaTheme="minorHAnsi" w:cs="Times New Roman"/>
          <w:lang w:val="fr-CA"/>
        </w:rPr>
        <w:t xml:space="preserve">] « [I]l ne peut y avoir </w:t>
      </w:r>
      <w:r>
        <w:rPr>
          <w:rFonts w:eastAsiaTheme="minorHAnsi" w:cs="Times New Roman"/>
          <w:lang w:val="fr-CA"/>
        </w:rPr>
        <w:t xml:space="preserve">nouvelle </w:t>
      </w:r>
      <w:r w:rsidRPr="00A66AD7">
        <w:rPr>
          <w:rFonts w:eastAsiaTheme="minorHAnsi" w:cs="Times New Roman"/>
          <w:lang w:val="fr-CA"/>
        </w:rPr>
        <w:t>audition d</w:t>
      </w:r>
      <w:r>
        <w:rPr>
          <w:rFonts w:eastAsiaTheme="minorHAnsi" w:cs="Times New Roman"/>
          <w:lang w:val="fr-CA"/>
        </w:rPr>
        <w:t>’</w:t>
      </w:r>
      <w:r w:rsidRPr="00A66AD7">
        <w:rPr>
          <w:rFonts w:eastAsiaTheme="minorHAnsi" w:cs="Times New Roman"/>
          <w:lang w:val="fr-CA"/>
        </w:rPr>
        <w:t>un appel, ni d</w:t>
      </w:r>
      <w:r>
        <w:rPr>
          <w:rFonts w:eastAsiaTheme="minorHAnsi" w:cs="Times New Roman"/>
          <w:lang w:val="fr-CA"/>
        </w:rPr>
        <w:t>’</w:t>
      </w:r>
      <w:r w:rsidRPr="00A66AD7">
        <w:rPr>
          <w:rFonts w:eastAsiaTheme="minorHAnsi" w:cs="Times New Roman"/>
          <w:lang w:val="fr-CA"/>
        </w:rPr>
        <w:t>aucune question traitée en appel, dès lors que le certificat de décision a été inscrit », a écrit la juge Pfuetzner au nom de la cour, s</w:t>
      </w:r>
      <w:r>
        <w:rPr>
          <w:rFonts w:eastAsiaTheme="minorHAnsi" w:cs="Times New Roman"/>
          <w:lang w:val="fr-CA"/>
        </w:rPr>
        <w:t>’</w:t>
      </w:r>
      <w:r w:rsidRPr="00A66AD7">
        <w:rPr>
          <w:rFonts w:eastAsiaTheme="minorHAnsi" w:cs="Times New Roman"/>
          <w:lang w:val="fr-CA"/>
        </w:rPr>
        <w:t>appuyant sur l</w:t>
      </w:r>
      <w:r>
        <w:rPr>
          <w:rFonts w:eastAsiaTheme="minorHAnsi" w:cs="Times New Roman"/>
          <w:lang w:val="fr-CA"/>
        </w:rPr>
        <w:t>a règle </w:t>
      </w:r>
      <w:r w:rsidRPr="00A66AD7">
        <w:rPr>
          <w:rFonts w:eastAsiaTheme="minorHAnsi" w:cs="Times New Roman"/>
          <w:lang w:val="fr-CA"/>
        </w:rPr>
        <w:t xml:space="preserve">46.2 des </w:t>
      </w:r>
      <w:r w:rsidRPr="00A66AD7">
        <w:rPr>
          <w:rFonts w:cs="Times New Roman"/>
          <w:i/>
          <w:lang w:val="fr-CA"/>
        </w:rPr>
        <w:t>Règles de la Cour d</w:t>
      </w:r>
      <w:r>
        <w:rPr>
          <w:rFonts w:cs="Times New Roman"/>
          <w:i/>
          <w:lang w:val="fr-CA"/>
        </w:rPr>
        <w:t>’</w:t>
      </w:r>
      <w:r w:rsidRPr="00A66AD7">
        <w:rPr>
          <w:rFonts w:cs="Times New Roman"/>
          <w:i/>
          <w:lang w:val="fr-CA"/>
        </w:rPr>
        <w:t>appel</w:t>
      </w:r>
      <w:r w:rsidRPr="00A66AD7">
        <w:rPr>
          <w:rFonts w:cs="Times New Roman"/>
          <w:lang w:val="fr-CA"/>
        </w:rPr>
        <w:t xml:space="preserve"> </w:t>
      </w:r>
      <w:r w:rsidRPr="00A66AD7">
        <w:rPr>
          <w:rFonts w:eastAsiaTheme="minorHAnsi" w:cs="Times New Roman"/>
          <w:lang w:val="fr-CA"/>
        </w:rPr>
        <w:t>et la règle de</w:t>
      </w:r>
      <w:r>
        <w:rPr>
          <w:rFonts w:eastAsiaTheme="minorHAnsi" w:cs="Times New Roman"/>
          <w:lang w:val="fr-CA"/>
        </w:rPr>
        <w:t xml:space="preserve"> common law du</w:t>
      </w:r>
      <w:r w:rsidRPr="00060362">
        <w:rPr>
          <w:rFonts w:eastAsiaTheme="minorHAnsi" w:cs="Times New Roman"/>
          <w:lang w:val="fr-CA"/>
        </w:rPr>
        <w:t xml:space="preserve"> </w:t>
      </w:r>
      <w:r w:rsidRPr="00060362">
        <w:rPr>
          <w:rFonts w:eastAsiaTheme="minorHAnsi" w:cs="Times New Roman"/>
          <w:i/>
          <w:lang w:val="fr-CA"/>
        </w:rPr>
        <w:t xml:space="preserve">functus officio </w:t>
      </w:r>
      <w:r w:rsidRPr="00060362">
        <w:rPr>
          <w:rFonts w:eastAsiaTheme="minorHAnsi" w:cs="Times New Roman"/>
          <w:lang w:val="fr-CA"/>
        </w:rPr>
        <w:t>(</w:t>
      </w:r>
      <w:r>
        <w:rPr>
          <w:rFonts w:eastAsiaTheme="minorHAnsi" w:cs="Times New Roman"/>
          <w:lang w:val="fr-CA"/>
        </w:rPr>
        <w:t>par. </w:t>
      </w:r>
      <w:r w:rsidRPr="00060362">
        <w:rPr>
          <w:rFonts w:eastAsiaTheme="minorHAnsi" w:cs="Times New Roman"/>
          <w:lang w:val="fr-CA"/>
        </w:rPr>
        <w:t>17</w:t>
      </w:r>
      <w:r>
        <w:rPr>
          <w:rFonts w:eastAsiaTheme="minorHAnsi" w:cs="Times New Roman"/>
          <w:lang w:val="fr-CA"/>
        </w:rPr>
        <w:t xml:space="preserve"> (CanLII)</w:t>
      </w:r>
      <w:r w:rsidRPr="00060362">
        <w:rPr>
          <w:rFonts w:eastAsiaTheme="minorHAnsi" w:cs="Times New Roman"/>
          <w:lang w:val="fr-CA"/>
        </w:rPr>
        <w:t xml:space="preserve">). </w:t>
      </w:r>
      <w:r>
        <w:rPr>
          <w:rFonts w:eastAsiaTheme="minorHAnsi" w:cs="Times New Roman"/>
          <w:lang w:val="fr-CA"/>
        </w:rPr>
        <w:t>Le certificat avait été inscrit bien avant la présentation de la motion</w:t>
      </w:r>
      <w:r w:rsidRPr="00060362">
        <w:rPr>
          <w:rFonts w:eastAsiaTheme="minorHAnsi" w:cs="Times New Roman"/>
          <w:lang w:val="fr-CA"/>
        </w:rPr>
        <w:t xml:space="preserve">. </w:t>
      </w:r>
      <w:r>
        <w:rPr>
          <w:rFonts w:eastAsiaTheme="minorHAnsi" w:cs="Times New Roman"/>
          <w:lang w:val="fr-CA"/>
        </w:rPr>
        <w:t>Le fait que le certificat ne mentionnait pas l’interdiction de publication a été jugé non déterminant, parce que celle</w:t>
      </w:r>
      <w:r>
        <w:rPr>
          <w:rFonts w:eastAsiaTheme="minorHAnsi" w:cs="Times New Roman"/>
          <w:lang w:val="fr-CA"/>
        </w:rPr>
        <w:noBreakHyphen/>
        <w:t>ci était « accessoire » au jugement portant sur la motion en présentation d’éléments de preuve nouveaux et au jugement tranchant définitivement l’appel. La motion était en outre irrecevable du fait du par. 46.2(12), lequel prévoit qu’une motion ne peut faire l’objet d’une nouvelle audience. La Cour d’appel a conclu que « la marche à suivre pour un tiers [. . .] qui entend contester une interdiction de publication prononcée par une cour supérieure (y compris une interdiction prononcée par une cour d’appel) consiste à solliciter l’autorisation de se pourvoir en appel devant la Cour suprême du Canada » (par. 21). La Cour d’appel a rejeté la motion pour ce motif de compétence uniquement</w:t>
      </w:r>
      <w:r w:rsidRPr="00060362">
        <w:rPr>
          <w:rFonts w:eastAsiaTheme="minorHAnsi" w:cs="Times New Roman"/>
          <w:lang w:val="fr-CA"/>
        </w:rPr>
        <w:t>.</w:t>
      </w:r>
    </w:p>
    <w:p w:rsidR="009F09DA" w:rsidRPr="00060362" w:rsidRDefault="009F09DA" w:rsidP="009F09DA">
      <w:pPr>
        <w:pStyle w:val="Title1LevelTitre1Niveau-AltL"/>
        <w:numPr>
          <w:ilvl w:val="0"/>
          <w:numId w:val="8"/>
        </w:numPr>
        <w:jc w:val="left"/>
        <w:rPr>
          <w:rFonts w:cs="Times New Roman"/>
          <w:lang w:val="fr-CA"/>
        </w:rPr>
      </w:pPr>
      <w:bookmarkStart w:id="1" w:name="_Toc67581524"/>
      <w:r>
        <w:rPr>
          <w:rFonts w:cs="Times New Roman"/>
          <w:lang w:val="fr-CA"/>
        </w:rPr>
        <w:t>Questions en litige</w:t>
      </w:r>
      <w:bookmarkEnd w:id="1"/>
    </w:p>
    <w:p w:rsidR="009F09DA" w:rsidRPr="00DD13BF" w:rsidRDefault="009F09DA" w:rsidP="009F09DA">
      <w:pPr>
        <w:pStyle w:val="ParaNoNdepar-AltN"/>
        <w:rPr>
          <w:rFonts w:cs="Times New Roman"/>
          <w:lang w:val="fr-CA"/>
        </w:rPr>
      </w:pPr>
      <w:r w:rsidRPr="00DD13BF">
        <w:rPr>
          <w:rFonts w:cs="Times New Roman"/>
          <w:lang w:val="fr-CA"/>
        </w:rPr>
        <w:t>Tel qu</w:t>
      </w:r>
      <w:r>
        <w:rPr>
          <w:rFonts w:cs="Times New Roman"/>
          <w:lang w:val="fr-CA"/>
        </w:rPr>
        <w:t>’</w:t>
      </w:r>
      <w:r w:rsidRPr="00DD13BF">
        <w:rPr>
          <w:rFonts w:cs="Times New Roman"/>
          <w:lang w:val="fr-CA"/>
        </w:rPr>
        <w:t>il ressort des deux demandes d</w:t>
      </w:r>
      <w:r>
        <w:rPr>
          <w:rFonts w:cs="Times New Roman"/>
          <w:lang w:val="fr-CA"/>
        </w:rPr>
        <w:t>’</w:t>
      </w:r>
      <w:r w:rsidRPr="00DD13BF">
        <w:rPr>
          <w:rFonts w:cs="Times New Roman"/>
          <w:lang w:val="fr-CA"/>
        </w:rPr>
        <w:t>autorisation de la SRC, des dispositions du jugement sur autorisation et de l</w:t>
      </w:r>
      <w:r>
        <w:rPr>
          <w:rFonts w:cs="Times New Roman"/>
          <w:lang w:val="fr-CA"/>
        </w:rPr>
        <w:t>’</w:t>
      </w:r>
      <w:r w:rsidRPr="00DD13BF">
        <w:rPr>
          <w:rFonts w:cs="Times New Roman"/>
          <w:lang w:val="fr-CA"/>
        </w:rPr>
        <w:t xml:space="preserve">argumentation présentée devant nous par les parties, la </w:t>
      </w:r>
      <w:r w:rsidRPr="00A66AD7">
        <w:rPr>
          <w:rFonts w:cs="Times New Roman"/>
          <w:lang w:val="fr-CA"/>
        </w:rPr>
        <w:t>présente affaire met en jeu deux pourvois distincts. La SRC interjette appel à la fois du jugement de 2019 sur la compétence rejetant la motion en réexamen et du jugement de 2018 sur l</w:t>
      </w:r>
      <w:r>
        <w:rPr>
          <w:rFonts w:cs="Times New Roman"/>
          <w:lang w:val="fr-CA"/>
        </w:rPr>
        <w:t>’</w:t>
      </w:r>
      <w:r w:rsidRPr="00A66AD7">
        <w:rPr>
          <w:rFonts w:cs="Times New Roman"/>
          <w:lang w:val="fr-CA"/>
        </w:rPr>
        <w:t xml:space="preserve">interdiction </w:t>
      </w:r>
      <w:r w:rsidRPr="00DD13BF">
        <w:rPr>
          <w:rFonts w:cs="Times New Roman"/>
          <w:lang w:val="fr-CA"/>
        </w:rPr>
        <w:t>de publication qui a imposé l</w:t>
      </w:r>
      <w:r>
        <w:rPr>
          <w:rFonts w:cs="Times New Roman"/>
          <w:lang w:val="fr-CA"/>
        </w:rPr>
        <w:t>’</w:t>
      </w:r>
      <w:r w:rsidRPr="00DD13BF">
        <w:rPr>
          <w:rFonts w:cs="Times New Roman"/>
          <w:lang w:val="fr-CA"/>
        </w:rPr>
        <w:t xml:space="preserve">interdiction de publication </w:t>
      </w:r>
      <w:r>
        <w:rPr>
          <w:rFonts w:cs="Times New Roman"/>
          <w:lang w:val="fr-CA"/>
        </w:rPr>
        <w:t>d’une durée indéterminée litigieuse</w:t>
      </w:r>
      <w:r w:rsidRPr="00DD13BF">
        <w:rPr>
          <w:rFonts w:cs="Times New Roman"/>
          <w:lang w:val="fr-CA"/>
        </w:rPr>
        <w:t xml:space="preserve"> en l</w:t>
      </w:r>
      <w:r>
        <w:rPr>
          <w:rFonts w:cs="Times New Roman"/>
          <w:lang w:val="fr-CA"/>
        </w:rPr>
        <w:t>’</w:t>
      </w:r>
      <w:r w:rsidRPr="00DD13BF">
        <w:rPr>
          <w:rFonts w:cs="Times New Roman"/>
          <w:lang w:val="fr-CA"/>
        </w:rPr>
        <w:t>espèce.</w:t>
      </w:r>
    </w:p>
    <w:p w:rsidR="009F09DA" w:rsidRPr="00060362" w:rsidRDefault="009F09DA" w:rsidP="009F09DA">
      <w:pPr>
        <w:pStyle w:val="ParaNoNdepar-AltN"/>
        <w:rPr>
          <w:rFonts w:cs="Times New Roman"/>
          <w:lang w:val="fr-CA"/>
        </w:rPr>
      </w:pPr>
      <w:r w:rsidRPr="00DD13BF">
        <w:rPr>
          <w:rFonts w:cs="Times New Roman"/>
          <w:lang w:val="fr-CA"/>
        </w:rPr>
        <w:t>Dans les deux présents pourvois, la SRC sollicite trois ordonnances de notre Cour. En premier lieu, la SRC demande une ordonnance annulant le jugement de 2019 sur la compétence. Elle soutient que la Cour d</w:t>
      </w:r>
      <w:r>
        <w:rPr>
          <w:rFonts w:cs="Times New Roman"/>
          <w:lang w:val="fr-CA"/>
        </w:rPr>
        <w:t>’</w:t>
      </w:r>
      <w:r w:rsidRPr="00DD13BF">
        <w:rPr>
          <w:rFonts w:cs="Times New Roman"/>
          <w:lang w:val="fr-CA"/>
        </w:rPr>
        <w:t>appel a eu tort de conclure qu</w:t>
      </w:r>
      <w:r>
        <w:rPr>
          <w:rFonts w:cs="Times New Roman"/>
          <w:lang w:val="fr-CA"/>
        </w:rPr>
        <w:t>’</w:t>
      </w:r>
      <w:r w:rsidRPr="00DD13BF">
        <w:rPr>
          <w:rFonts w:cs="Times New Roman"/>
          <w:lang w:val="fr-CA"/>
        </w:rPr>
        <w:t>elle n</w:t>
      </w:r>
      <w:r>
        <w:rPr>
          <w:rFonts w:cs="Times New Roman"/>
          <w:lang w:val="fr-CA"/>
        </w:rPr>
        <w:t>’</w:t>
      </w:r>
      <w:r w:rsidRPr="00DD13BF">
        <w:rPr>
          <w:rFonts w:cs="Times New Roman"/>
          <w:lang w:val="fr-CA"/>
        </w:rPr>
        <w:t>avait pas compétence pour entendre sa motion, et qu</w:t>
      </w:r>
      <w:r>
        <w:rPr>
          <w:rFonts w:cs="Times New Roman"/>
          <w:lang w:val="fr-CA"/>
        </w:rPr>
        <w:t>’</w:t>
      </w:r>
      <w:r w:rsidRPr="00DD13BF">
        <w:rPr>
          <w:rFonts w:cs="Times New Roman"/>
          <w:lang w:val="fr-CA"/>
        </w:rPr>
        <w:t>elle aurait dû aborder les questions de savoir s</w:t>
      </w:r>
      <w:r>
        <w:rPr>
          <w:rFonts w:cs="Times New Roman"/>
          <w:lang w:val="fr-CA"/>
        </w:rPr>
        <w:t>’</w:t>
      </w:r>
      <w:r w:rsidRPr="00DD13BF">
        <w:rPr>
          <w:rFonts w:cs="Times New Roman"/>
          <w:lang w:val="fr-CA"/>
        </w:rPr>
        <w:t xml:space="preserve">il y a lieu de réexaminer </w:t>
      </w:r>
      <w:r>
        <w:rPr>
          <w:rFonts w:cs="Times New Roman"/>
          <w:lang w:val="fr-CA"/>
        </w:rPr>
        <w:t>l’interdiction de publication et si le public et la presse ont le droit d’avoir accès à l’affidavit de M</w:t>
      </w:r>
      <w:r w:rsidRPr="00D01896">
        <w:rPr>
          <w:rFonts w:cs="Times New Roman"/>
          <w:vertAlign w:val="superscript"/>
          <w:lang w:val="fr-CA"/>
        </w:rPr>
        <w:t>e</w:t>
      </w:r>
      <w:r>
        <w:rPr>
          <w:rFonts w:cs="Times New Roman"/>
          <w:lang w:val="fr-CA"/>
        </w:rPr>
        <w:t> Posner</w:t>
      </w:r>
      <w:r w:rsidRPr="00060362">
        <w:rPr>
          <w:rFonts w:cs="Times New Roman"/>
          <w:lang w:val="fr-CA"/>
        </w:rPr>
        <w:t xml:space="preserve">. </w:t>
      </w:r>
      <w:r>
        <w:rPr>
          <w:rFonts w:cs="Times New Roman"/>
          <w:lang w:val="fr-CA"/>
        </w:rPr>
        <w:t xml:space="preserve">Signalons que, d’après la SRC, ni la règle interdisant les nouvelles audiences, prévue dans les </w:t>
      </w:r>
      <w:r>
        <w:rPr>
          <w:rFonts w:cs="Times New Roman"/>
          <w:i/>
          <w:lang w:val="fr-CA"/>
        </w:rPr>
        <w:t>Règles de la Cour d’appel</w:t>
      </w:r>
      <w:r>
        <w:rPr>
          <w:rFonts w:cs="Times New Roman"/>
          <w:iCs/>
          <w:lang w:val="fr-CA"/>
        </w:rPr>
        <w:t>,</w:t>
      </w:r>
      <w:r w:rsidRPr="00060362">
        <w:rPr>
          <w:rFonts w:cs="Times New Roman"/>
          <w:lang w:val="fr-CA"/>
        </w:rPr>
        <w:t xml:space="preserve"> </w:t>
      </w:r>
      <w:r>
        <w:rPr>
          <w:rFonts w:cs="Times New Roman"/>
          <w:lang w:val="fr-CA"/>
        </w:rPr>
        <w:t>ni la règle du</w:t>
      </w:r>
      <w:r w:rsidRPr="00060362">
        <w:rPr>
          <w:rFonts w:cs="Times New Roman"/>
          <w:lang w:val="fr-CA"/>
        </w:rPr>
        <w:t xml:space="preserve"> </w:t>
      </w:r>
      <w:r w:rsidRPr="00060362">
        <w:rPr>
          <w:rFonts w:cs="Times New Roman"/>
          <w:i/>
          <w:lang w:val="fr-CA"/>
        </w:rPr>
        <w:t xml:space="preserve">functus officio </w:t>
      </w:r>
      <w:r>
        <w:rPr>
          <w:rFonts w:cs="Times New Roman"/>
          <w:lang w:val="fr-CA"/>
        </w:rPr>
        <w:t>ne privait la Cour d’appel du pouvoir d’examiner la motion eu égard aux principes constitutionnels de la publicité des débats judiciaires</w:t>
      </w:r>
      <w:r w:rsidRPr="00060362">
        <w:rPr>
          <w:rFonts w:cs="Times New Roman"/>
          <w:lang w:val="fr-CA"/>
        </w:rPr>
        <w:t xml:space="preserve">. </w:t>
      </w:r>
      <w:r>
        <w:rPr>
          <w:rFonts w:cs="Times New Roman"/>
          <w:lang w:val="fr-CA"/>
        </w:rPr>
        <w:t>Selon elle, l’interdiction de publication pourrait être réexaminée en raison d’un changement de circonstances</w:t>
      </w:r>
      <w:r w:rsidRPr="00060362">
        <w:rPr>
          <w:rFonts w:cs="Times New Roman"/>
          <w:lang w:val="fr-CA"/>
        </w:rPr>
        <w:t xml:space="preserve"> </w:t>
      </w:r>
      <w:r>
        <w:rPr>
          <w:rFonts w:cs="Times New Roman"/>
          <w:lang w:val="fr-CA"/>
        </w:rPr>
        <w:t>ou parce que, à titre de partie touchée, elle n’avait pas été avisée du prononcé de cette ordonnance</w:t>
      </w:r>
      <w:r w:rsidRPr="00060362">
        <w:rPr>
          <w:rFonts w:cs="Times New Roman"/>
          <w:lang w:val="fr-CA"/>
        </w:rPr>
        <w:t xml:space="preserve">. </w:t>
      </w:r>
    </w:p>
    <w:p w:rsidR="009F09DA" w:rsidRPr="00060362" w:rsidRDefault="009F09DA" w:rsidP="009F09DA">
      <w:pPr>
        <w:pStyle w:val="ParaNoNdepar-AltN"/>
        <w:rPr>
          <w:rFonts w:cs="Times New Roman"/>
          <w:lang w:val="fr-CA"/>
        </w:rPr>
      </w:pPr>
      <w:r>
        <w:rPr>
          <w:rFonts w:cs="Times New Roman"/>
          <w:lang w:val="fr-CA"/>
        </w:rPr>
        <w:t xml:space="preserve">La SRC </w:t>
      </w:r>
      <w:r w:rsidRPr="00DD13BF">
        <w:rPr>
          <w:rFonts w:cs="Times New Roman"/>
          <w:lang w:val="fr-CA"/>
        </w:rPr>
        <w:t>demande aussi à notre Cour une deuxième ordonnance annulant le maintien de l</w:t>
      </w:r>
      <w:r>
        <w:rPr>
          <w:rFonts w:cs="Times New Roman"/>
          <w:lang w:val="fr-CA"/>
        </w:rPr>
        <w:t>’</w:t>
      </w:r>
      <w:r w:rsidRPr="00DD13BF">
        <w:rPr>
          <w:rFonts w:cs="Times New Roman"/>
          <w:lang w:val="fr-CA"/>
        </w:rPr>
        <w:t xml:space="preserve">interdiction de publication </w:t>
      </w:r>
      <w:r>
        <w:rPr>
          <w:rFonts w:cs="Times New Roman"/>
          <w:lang w:val="fr-CA"/>
        </w:rPr>
        <w:t xml:space="preserve">décrétée </w:t>
      </w:r>
      <w:r w:rsidRPr="00DD13BF">
        <w:rPr>
          <w:rFonts w:cs="Times New Roman"/>
          <w:lang w:val="fr-CA"/>
        </w:rPr>
        <w:t>dans le jugement de 2018 sur l</w:t>
      </w:r>
      <w:r>
        <w:rPr>
          <w:rFonts w:cs="Times New Roman"/>
          <w:lang w:val="fr-CA"/>
        </w:rPr>
        <w:t>’</w:t>
      </w:r>
      <w:r w:rsidRPr="00DD13BF">
        <w:rPr>
          <w:rFonts w:cs="Times New Roman"/>
          <w:lang w:val="fr-CA"/>
        </w:rPr>
        <w:t>interdiction de publication</w:t>
      </w:r>
      <w:r>
        <w:rPr>
          <w:rFonts w:cs="Times New Roman"/>
          <w:lang w:val="fr-CA"/>
        </w:rPr>
        <w:t>,</w:t>
      </w:r>
      <w:r w:rsidRPr="00DD13BF">
        <w:rPr>
          <w:rFonts w:cs="Times New Roman"/>
          <w:lang w:val="fr-CA"/>
        </w:rPr>
        <w:t xml:space="preserve"> et une troisième </w:t>
      </w:r>
      <w:r>
        <w:rPr>
          <w:rFonts w:cs="Times New Roman"/>
          <w:lang w:val="fr-CA"/>
        </w:rPr>
        <w:t>lui donnant</w:t>
      </w:r>
      <w:r w:rsidRPr="00DD13BF">
        <w:rPr>
          <w:rFonts w:cs="Times New Roman"/>
          <w:lang w:val="fr-CA"/>
        </w:rPr>
        <w:t xml:space="preserve"> accès à l</w:t>
      </w:r>
      <w:r>
        <w:rPr>
          <w:rFonts w:cs="Times New Roman"/>
          <w:lang w:val="fr-CA"/>
        </w:rPr>
        <w:t>’</w:t>
      </w:r>
      <w:r w:rsidRPr="00DD13BF">
        <w:rPr>
          <w:rFonts w:cs="Times New Roman"/>
          <w:lang w:val="fr-CA"/>
        </w:rPr>
        <w:t>affidavit de M</w:t>
      </w:r>
      <w:r w:rsidRPr="00DD13BF">
        <w:rPr>
          <w:rFonts w:cs="Times New Roman"/>
          <w:vertAlign w:val="superscript"/>
          <w:lang w:val="fr-CA"/>
        </w:rPr>
        <w:t>e</w:t>
      </w:r>
      <w:r w:rsidRPr="00DD13BF">
        <w:rPr>
          <w:rFonts w:cs="Times New Roman"/>
          <w:lang w:val="fr-CA"/>
        </w:rPr>
        <w:t xml:space="preserve"> Posner en tant </w:t>
      </w:r>
      <w:r>
        <w:rPr>
          <w:rFonts w:cs="Times New Roman"/>
          <w:lang w:val="fr-CA"/>
        </w:rPr>
        <w:t>qu’élément</w:t>
      </w:r>
      <w:r w:rsidRPr="00DD13BF">
        <w:rPr>
          <w:rFonts w:cs="Times New Roman"/>
          <w:lang w:val="fr-CA"/>
        </w:rPr>
        <w:t xml:space="preserve"> du dossier judiciaire. Elle soutient que le principe de la publicité des débats judiciaires s</w:t>
      </w:r>
      <w:r>
        <w:rPr>
          <w:rFonts w:cs="Times New Roman"/>
          <w:lang w:val="fr-CA"/>
        </w:rPr>
        <w:t>’</w:t>
      </w:r>
      <w:r w:rsidRPr="00DD13BF">
        <w:rPr>
          <w:rFonts w:cs="Times New Roman"/>
          <w:lang w:val="fr-CA"/>
        </w:rPr>
        <w:t>applique aux documents qui sont présentés comme éléments de preuve nouveaux même si, au bout du compte, ils n</w:t>
      </w:r>
      <w:r>
        <w:rPr>
          <w:rFonts w:cs="Times New Roman"/>
          <w:lang w:val="fr-CA"/>
        </w:rPr>
        <w:t>’</w:t>
      </w:r>
      <w:r w:rsidRPr="00DD13BF">
        <w:rPr>
          <w:rFonts w:cs="Times New Roman"/>
          <w:lang w:val="fr-CA"/>
        </w:rPr>
        <w:t xml:space="preserve">ont pas été admis. </w:t>
      </w:r>
      <w:r>
        <w:rPr>
          <w:rFonts w:cs="Times New Roman"/>
          <w:lang w:val="fr-CA"/>
        </w:rPr>
        <w:t>Dans le cas présent</w:t>
      </w:r>
      <w:r w:rsidRPr="00DD13BF">
        <w:rPr>
          <w:rFonts w:cs="Times New Roman"/>
          <w:lang w:val="fr-CA"/>
        </w:rPr>
        <w:t>, elle affirme que l</w:t>
      </w:r>
      <w:r>
        <w:rPr>
          <w:rFonts w:cs="Times New Roman"/>
          <w:lang w:val="fr-CA"/>
        </w:rPr>
        <w:t>’</w:t>
      </w:r>
      <w:r w:rsidRPr="00DD13BF">
        <w:rPr>
          <w:rFonts w:cs="Times New Roman"/>
          <w:lang w:val="fr-CA"/>
        </w:rPr>
        <w:t xml:space="preserve">interdiction de publication </w:t>
      </w:r>
      <w:r>
        <w:rPr>
          <w:rFonts w:cs="Times New Roman"/>
          <w:lang w:val="fr-CA"/>
        </w:rPr>
        <w:t>ne satisfait pas au critère des limites discrétionnaires à ce principe établies dans les arrêts</w:t>
      </w:r>
      <w:r w:rsidRPr="00060362">
        <w:rPr>
          <w:rFonts w:cs="Times New Roman"/>
          <w:lang w:val="fr-CA"/>
        </w:rPr>
        <w:t xml:space="preserve"> </w:t>
      </w:r>
      <w:r w:rsidRPr="00060362">
        <w:rPr>
          <w:rFonts w:cs="Times New Roman"/>
          <w:i/>
          <w:lang w:val="fr-CA"/>
        </w:rPr>
        <w:t xml:space="preserve">Dagenais </w:t>
      </w:r>
      <w:r>
        <w:rPr>
          <w:rFonts w:cs="Times New Roman"/>
          <w:i/>
          <w:lang w:val="fr-CA"/>
        </w:rPr>
        <w:t>c</w:t>
      </w:r>
      <w:r w:rsidRPr="00060362">
        <w:rPr>
          <w:rFonts w:cs="Times New Roman"/>
          <w:i/>
          <w:lang w:val="fr-CA"/>
        </w:rPr>
        <w:t xml:space="preserve">. </w:t>
      </w:r>
      <w:r>
        <w:rPr>
          <w:rFonts w:cs="Times New Roman"/>
          <w:i/>
          <w:lang w:val="fr-CA"/>
        </w:rPr>
        <w:t>Société Radio</w:t>
      </w:r>
      <w:r>
        <w:rPr>
          <w:rFonts w:cs="Times New Roman"/>
          <w:i/>
          <w:lang w:val="fr-CA"/>
        </w:rPr>
        <w:noBreakHyphen/>
        <w:t>Canada</w:t>
      </w:r>
      <w:r w:rsidRPr="00060362">
        <w:rPr>
          <w:rFonts w:cs="Times New Roman"/>
          <w:lang w:val="fr-CA"/>
        </w:rPr>
        <w:t>,</w:t>
      </w:r>
      <w:r w:rsidRPr="00060362">
        <w:rPr>
          <w:rFonts w:cs="Times New Roman"/>
          <w:i/>
          <w:lang w:val="fr-CA"/>
        </w:rPr>
        <w:t xml:space="preserve"> </w:t>
      </w:r>
      <w:r w:rsidRPr="00060362">
        <w:rPr>
          <w:rFonts w:cs="Times New Roman"/>
          <w:lang w:val="fr-CA"/>
        </w:rPr>
        <w:t xml:space="preserve">[1994] 3 </w:t>
      </w:r>
      <w:r>
        <w:rPr>
          <w:rFonts w:cs="Times New Roman"/>
          <w:lang w:val="fr-CA"/>
        </w:rPr>
        <w:t>R.C.S</w:t>
      </w:r>
      <w:r w:rsidRPr="00060362">
        <w:rPr>
          <w:rFonts w:cs="Times New Roman"/>
          <w:lang w:val="fr-CA"/>
        </w:rPr>
        <w:t>. 835,</w:t>
      </w:r>
      <w:r w:rsidRPr="00060362">
        <w:rPr>
          <w:rFonts w:cs="Times New Roman"/>
          <w:i/>
          <w:lang w:val="fr-CA"/>
        </w:rPr>
        <w:t xml:space="preserve"> </w:t>
      </w:r>
      <w:r>
        <w:rPr>
          <w:rFonts w:cs="Times New Roman"/>
          <w:lang w:val="fr-CA"/>
        </w:rPr>
        <w:t>et</w:t>
      </w:r>
      <w:r w:rsidRPr="00060362">
        <w:rPr>
          <w:rFonts w:cs="Times New Roman"/>
          <w:lang w:val="fr-CA"/>
        </w:rPr>
        <w:t xml:space="preserve"> </w:t>
      </w:r>
      <w:r w:rsidRPr="00060362">
        <w:rPr>
          <w:rFonts w:cs="Times New Roman"/>
          <w:i/>
          <w:lang w:val="fr-CA"/>
        </w:rPr>
        <w:t xml:space="preserve">R. </w:t>
      </w:r>
      <w:r>
        <w:rPr>
          <w:rFonts w:cs="Times New Roman"/>
          <w:i/>
          <w:lang w:val="fr-CA"/>
        </w:rPr>
        <w:t>c</w:t>
      </w:r>
      <w:r w:rsidRPr="00060362">
        <w:rPr>
          <w:rFonts w:cs="Times New Roman"/>
          <w:i/>
          <w:lang w:val="fr-CA"/>
        </w:rPr>
        <w:t>. Mentuck</w:t>
      </w:r>
      <w:r w:rsidRPr="00060362">
        <w:rPr>
          <w:rFonts w:cs="Times New Roman"/>
          <w:lang w:val="fr-CA"/>
        </w:rPr>
        <w:t xml:space="preserve">, 2001 </w:t>
      </w:r>
      <w:r>
        <w:rPr>
          <w:rFonts w:cs="Times New Roman"/>
          <w:lang w:val="fr-CA"/>
        </w:rPr>
        <w:t>CSC</w:t>
      </w:r>
      <w:r w:rsidRPr="00060362">
        <w:rPr>
          <w:rFonts w:cs="Times New Roman"/>
          <w:lang w:val="fr-CA"/>
        </w:rPr>
        <w:t xml:space="preserve"> 76, [2001] 3 </w:t>
      </w:r>
      <w:r>
        <w:rPr>
          <w:rFonts w:cs="Times New Roman"/>
          <w:lang w:val="fr-CA"/>
        </w:rPr>
        <w:t>R.C.S</w:t>
      </w:r>
      <w:r w:rsidRPr="00060362">
        <w:rPr>
          <w:rFonts w:cs="Times New Roman"/>
          <w:lang w:val="fr-CA"/>
        </w:rPr>
        <w:t>. 442.</w:t>
      </w:r>
      <w:r>
        <w:rPr>
          <w:rFonts w:cs="Times New Roman"/>
          <w:lang w:val="fr-CA"/>
        </w:rPr>
        <w:t xml:space="preserve"> Elle prétend en outre que le public a légalement le droit d’avoir accès à l’affidavit de M</w:t>
      </w:r>
      <w:r w:rsidRPr="002D2A72">
        <w:rPr>
          <w:rFonts w:cs="Times New Roman"/>
          <w:vertAlign w:val="superscript"/>
          <w:lang w:val="fr-CA"/>
        </w:rPr>
        <w:t>e</w:t>
      </w:r>
      <w:r>
        <w:rPr>
          <w:rFonts w:cs="Times New Roman"/>
          <w:lang w:val="fr-CA"/>
        </w:rPr>
        <w:t> </w:t>
      </w:r>
      <w:r w:rsidRPr="00060362">
        <w:rPr>
          <w:rFonts w:cs="Times New Roman"/>
          <w:lang w:val="fr-CA"/>
        </w:rPr>
        <w:t xml:space="preserve">Posner </w:t>
      </w:r>
      <w:r>
        <w:rPr>
          <w:rFonts w:cs="Times New Roman"/>
          <w:lang w:val="fr-CA"/>
        </w:rPr>
        <w:t>parce que les règles applicables ne prévoient pas le maintien sous scellés de ce document</w:t>
      </w:r>
      <w:r w:rsidRPr="00060362">
        <w:rPr>
          <w:rFonts w:cs="Times New Roman"/>
          <w:lang w:val="fr-CA"/>
        </w:rPr>
        <w:t xml:space="preserve">. </w:t>
      </w:r>
      <w:r>
        <w:rPr>
          <w:rFonts w:cs="Times New Roman"/>
          <w:lang w:val="fr-CA"/>
        </w:rPr>
        <w:t xml:space="preserve">Monsieur </w:t>
      </w:r>
      <w:r w:rsidRPr="00060362">
        <w:rPr>
          <w:rFonts w:cs="Times New Roman"/>
          <w:lang w:val="fr-CA"/>
        </w:rPr>
        <w:t xml:space="preserve">Ostrowski </w:t>
      </w:r>
      <w:r>
        <w:rPr>
          <w:rFonts w:cs="Times New Roman"/>
          <w:lang w:val="fr-CA"/>
        </w:rPr>
        <w:t xml:space="preserve">fait sienne la thèse de la SRC et ajoute que les ordonnances de la Cour </w:t>
      </w:r>
      <w:r w:rsidRPr="00A66AD7">
        <w:rPr>
          <w:rFonts w:cs="Times New Roman"/>
          <w:lang w:val="fr-CA"/>
        </w:rPr>
        <w:t>d</w:t>
      </w:r>
      <w:r>
        <w:rPr>
          <w:rFonts w:cs="Times New Roman"/>
          <w:lang w:val="fr-CA"/>
        </w:rPr>
        <w:t>’</w:t>
      </w:r>
      <w:r w:rsidRPr="00A66AD7">
        <w:rPr>
          <w:rFonts w:cs="Times New Roman"/>
          <w:lang w:val="fr-CA"/>
        </w:rPr>
        <w:t>appel excluent une transparence adéquate</w:t>
      </w:r>
      <w:r>
        <w:rPr>
          <w:rFonts w:cs="Times New Roman"/>
          <w:lang w:val="fr-CA"/>
        </w:rPr>
        <w:t xml:space="preserve"> de la part des titulaires de charge publique dont les gestes, allègue</w:t>
      </w:r>
      <w:r>
        <w:rPr>
          <w:rFonts w:cs="Times New Roman"/>
          <w:lang w:val="fr-CA"/>
        </w:rPr>
        <w:noBreakHyphen/>
        <w:t>t</w:t>
      </w:r>
      <w:r>
        <w:rPr>
          <w:rFonts w:cs="Times New Roman"/>
          <w:lang w:val="fr-CA"/>
        </w:rPr>
        <w:noBreakHyphen/>
        <w:t>il, ont contribué à sa condamnation injustifiée</w:t>
      </w:r>
      <w:r w:rsidRPr="00060362">
        <w:rPr>
          <w:rFonts w:cs="Times New Roman"/>
          <w:lang w:val="fr-CA"/>
        </w:rPr>
        <w:t>.</w:t>
      </w:r>
    </w:p>
    <w:p w:rsidR="009F09DA" w:rsidRPr="00060362" w:rsidRDefault="009F09DA" w:rsidP="009F09DA">
      <w:pPr>
        <w:pStyle w:val="ParaNoNdepar-AltN"/>
        <w:rPr>
          <w:rFonts w:cs="Times New Roman"/>
          <w:lang w:val="fr-CA"/>
        </w:rPr>
      </w:pPr>
      <w:r>
        <w:rPr>
          <w:rFonts w:cs="Times New Roman"/>
          <w:lang w:val="fr-CA"/>
        </w:rPr>
        <w:t xml:space="preserve">La Couronne soutient que la Cour d’appel a eu raison de conclure qu’elle n’avait pas </w:t>
      </w:r>
      <w:r w:rsidRPr="00A66AD7">
        <w:rPr>
          <w:rFonts w:cs="Times New Roman"/>
          <w:lang w:val="fr-CA"/>
        </w:rPr>
        <w:t>compétence pour examiner la motion de la SRC. Cependant, la Couronne affirme que, si la Cour d</w:t>
      </w:r>
      <w:r>
        <w:rPr>
          <w:rFonts w:cs="Times New Roman"/>
          <w:lang w:val="fr-CA"/>
        </w:rPr>
        <w:t>’</w:t>
      </w:r>
      <w:r w:rsidRPr="00A66AD7">
        <w:rPr>
          <w:rFonts w:cs="Times New Roman"/>
          <w:lang w:val="fr-CA"/>
        </w:rPr>
        <w:t>appel avait le pouvoir d</w:t>
      </w:r>
      <w:r>
        <w:rPr>
          <w:rFonts w:cs="Times New Roman"/>
          <w:lang w:val="fr-CA"/>
        </w:rPr>
        <w:t>’</w:t>
      </w:r>
      <w:r w:rsidRPr="00A66AD7">
        <w:rPr>
          <w:rFonts w:cs="Times New Roman"/>
          <w:lang w:val="fr-CA"/>
        </w:rPr>
        <w:t>examiner ces questions, notre Cour n</w:t>
      </w:r>
      <w:r>
        <w:rPr>
          <w:rFonts w:cs="Times New Roman"/>
          <w:lang w:val="fr-CA"/>
        </w:rPr>
        <w:t>’</w:t>
      </w:r>
      <w:r w:rsidRPr="00A66AD7">
        <w:rPr>
          <w:rFonts w:cs="Times New Roman"/>
          <w:lang w:val="fr-CA"/>
        </w:rPr>
        <w:t>a pas compétence à l</w:t>
      </w:r>
      <w:r>
        <w:rPr>
          <w:rFonts w:cs="Times New Roman"/>
          <w:lang w:val="fr-CA"/>
        </w:rPr>
        <w:t>’</w:t>
      </w:r>
      <w:r w:rsidRPr="00A66AD7">
        <w:rPr>
          <w:rFonts w:cs="Times New Roman"/>
          <w:lang w:val="fr-CA"/>
        </w:rPr>
        <w:t>égard de l</w:t>
      </w:r>
      <w:r>
        <w:rPr>
          <w:rFonts w:cs="Times New Roman"/>
          <w:lang w:val="fr-CA"/>
        </w:rPr>
        <w:t>’</w:t>
      </w:r>
      <w:r w:rsidRPr="00A66AD7">
        <w:rPr>
          <w:rFonts w:cs="Times New Roman"/>
          <w:lang w:val="fr-CA"/>
        </w:rPr>
        <w:t>interdiction de publication et que, si elle a cette compétence, elle devrait refuser de l</w:t>
      </w:r>
      <w:r>
        <w:rPr>
          <w:rFonts w:cs="Times New Roman"/>
          <w:lang w:val="fr-CA"/>
        </w:rPr>
        <w:t>’</w:t>
      </w:r>
      <w:r w:rsidRPr="00A66AD7">
        <w:rPr>
          <w:rFonts w:cs="Times New Roman"/>
          <w:lang w:val="fr-CA"/>
        </w:rPr>
        <w:t>exercer. Si notre Cour procède sur le fond, la Couronne est d</w:t>
      </w:r>
      <w:r>
        <w:rPr>
          <w:rFonts w:cs="Times New Roman"/>
          <w:lang w:val="fr-CA"/>
        </w:rPr>
        <w:t>’</w:t>
      </w:r>
      <w:r w:rsidRPr="00A66AD7">
        <w:rPr>
          <w:rFonts w:cs="Times New Roman"/>
          <w:lang w:val="fr-CA"/>
        </w:rPr>
        <w:t>avis que la décision de la Cour</w:t>
      </w:r>
      <w:r>
        <w:rPr>
          <w:rFonts w:cs="Times New Roman"/>
          <w:lang w:val="fr-CA"/>
        </w:rPr>
        <w:t xml:space="preserve"> d’appel d’imposer le maintien de l’interdiction de publication était fondée, et ce, même si elle aurait pu donner des motifs plus étoffés. Les éléments qui se trouvent dans l’affidavit de M</w:t>
      </w:r>
      <w:r w:rsidRPr="00D13BAB">
        <w:rPr>
          <w:rFonts w:cs="Times New Roman"/>
          <w:vertAlign w:val="superscript"/>
          <w:lang w:val="fr-CA"/>
        </w:rPr>
        <w:t>e</w:t>
      </w:r>
      <w:r>
        <w:rPr>
          <w:rFonts w:cs="Times New Roman"/>
          <w:lang w:val="fr-CA"/>
        </w:rPr>
        <w:t xml:space="preserve"> Posner sont très personnels et traitent de </w:t>
      </w:r>
      <w:r w:rsidRPr="00A66AD7">
        <w:rPr>
          <w:rFonts w:cs="Times New Roman"/>
          <w:lang w:val="fr-CA"/>
        </w:rPr>
        <w:t>détails intimes concernant M.D. qui ferai</w:t>
      </w:r>
      <w:r>
        <w:rPr>
          <w:rFonts w:cs="Times New Roman"/>
          <w:lang w:val="fr-CA"/>
        </w:rPr>
        <w:t>en</w:t>
      </w:r>
      <w:r w:rsidRPr="00A66AD7">
        <w:rPr>
          <w:rFonts w:cs="Times New Roman"/>
          <w:lang w:val="fr-CA"/>
        </w:rPr>
        <w:t>t vivre à la famille une nouvelle épreuve, si bien que la limite discrétionnaire à la publicité des débats judiciaires était justifiée en l</w:t>
      </w:r>
      <w:r>
        <w:rPr>
          <w:rFonts w:cs="Times New Roman"/>
          <w:lang w:val="fr-CA"/>
        </w:rPr>
        <w:t>’</w:t>
      </w:r>
      <w:r w:rsidRPr="00A66AD7">
        <w:rPr>
          <w:rFonts w:cs="Times New Roman"/>
          <w:lang w:val="fr-CA"/>
        </w:rPr>
        <w:t>espèce. Pareillement</w:t>
      </w:r>
      <w:r>
        <w:rPr>
          <w:rFonts w:cs="Times New Roman"/>
          <w:lang w:val="fr-CA"/>
        </w:rPr>
        <w:t>, les parties intéressées soutiennent que les limites à la publicité des débats judiciaires sont nécessaires pour protéger la vie privée de la famille de M.D. et que la limite est justifiée compte tenu du caractère inadmissible, non pertinent et non fiable des nouveaux éléments de preuve proposés</w:t>
      </w:r>
      <w:r w:rsidRPr="00060362">
        <w:rPr>
          <w:rFonts w:cs="Times New Roman"/>
          <w:lang w:val="fr-CA"/>
        </w:rPr>
        <w:t xml:space="preserve">. </w:t>
      </w:r>
    </w:p>
    <w:p w:rsidR="009F09DA" w:rsidRPr="00060362" w:rsidRDefault="009F09DA" w:rsidP="009F09DA">
      <w:pPr>
        <w:pStyle w:val="ParaNoNdepar-AltN"/>
        <w:rPr>
          <w:rFonts w:cs="Times New Roman"/>
          <w:lang w:val="fr-CA"/>
        </w:rPr>
      </w:pPr>
      <w:r>
        <w:rPr>
          <w:rFonts w:cs="Times New Roman"/>
          <w:lang w:val="fr-CA"/>
        </w:rPr>
        <w:t xml:space="preserve">Les parties soulèvent devant notre Cour un vaste éventail de questions qui portent sur la </w:t>
      </w:r>
      <w:r w:rsidRPr="00DD13BF">
        <w:rPr>
          <w:rFonts w:cs="Times New Roman"/>
          <w:lang w:val="fr-CA"/>
        </w:rPr>
        <w:t>compétence à l</w:t>
      </w:r>
      <w:r>
        <w:rPr>
          <w:rFonts w:cs="Times New Roman"/>
          <w:lang w:val="fr-CA"/>
        </w:rPr>
        <w:t>’</w:t>
      </w:r>
      <w:r w:rsidRPr="00DD13BF">
        <w:rPr>
          <w:rFonts w:cs="Times New Roman"/>
          <w:lang w:val="fr-CA"/>
        </w:rPr>
        <w:t>égard d</w:t>
      </w:r>
      <w:r>
        <w:rPr>
          <w:rFonts w:cs="Times New Roman"/>
          <w:lang w:val="fr-CA"/>
        </w:rPr>
        <w:t>’</w:t>
      </w:r>
      <w:r w:rsidRPr="00DD13BF">
        <w:rPr>
          <w:rFonts w:cs="Times New Roman"/>
          <w:lang w:val="fr-CA"/>
        </w:rPr>
        <w:t xml:space="preserve">une </w:t>
      </w:r>
      <w:r>
        <w:rPr>
          <w:rFonts w:cs="Times New Roman"/>
          <w:lang w:val="fr-CA"/>
        </w:rPr>
        <w:t xml:space="preserve">interdiction de publication ou d’une </w:t>
      </w:r>
      <w:r w:rsidRPr="00DD13BF">
        <w:rPr>
          <w:rFonts w:cs="Times New Roman"/>
          <w:lang w:val="fr-CA"/>
        </w:rPr>
        <w:t xml:space="preserve">ordonnance </w:t>
      </w:r>
      <w:r>
        <w:rPr>
          <w:rFonts w:cs="Times New Roman"/>
          <w:lang w:val="fr-CA"/>
        </w:rPr>
        <w:t xml:space="preserve">de mise sous scellés de même que sur </w:t>
      </w:r>
      <w:r w:rsidRPr="00DD13BF">
        <w:rPr>
          <w:rFonts w:cs="Times New Roman"/>
          <w:lang w:val="fr-CA"/>
        </w:rPr>
        <w:t>l</w:t>
      </w:r>
      <w:r>
        <w:rPr>
          <w:rFonts w:cs="Times New Roman"/>
          <w:lang w:val="fr-CA"/>
        </w:rPr>
        <w:t>’</w:t>
      </w:r>
      <w:r w:rsidRPr="00DD13BF">
        <w:rPr>
          <w:rFonts w:cs="Times New Roman"/>
          <w:lang w:val="fr-CA"/>
        </w:rPr>
        <w:t>opportunité</w:t>
      </w:r>
      <w:r>
        <w:rPr>
          <w:rFonts w:cs="Times New Roman"/>
          <w:lang w:val="fr-CA"/>
        </w:rPr>
        <w:t xml:space="preserve"> de ces mesures </w:t>
      </w:r>
      <w:r w:rsidRPr="00DD13BF">
        <w:rPr>
          <w:rFonts w:cs="Times New Roman"/>
          <w:lang w:val="fr-CA"/>
        </w:rPr>
        <w:t xml:space="preserve">dans les circonstances. Il suffit </w:t>
      </w:r>
      <w:r>
        <w:rPr>
          <w:rFonts w:cs="Times New Roman"/>
          <w:lang w:val="fr-CA"/>
        </w:rPr>
        <w:t>de répondre aux questions suivantes pour trancher la présente affaire :</w:t>
      </w:r>
    </w:p>
    <w:p w:rsidR="009F09DA" w:rsidRPr="00060362" w:rsidRDefault="009F09DA" w:rsidP="009F09DA">
      <w:pPr>
        <w:pStyle w:val="Citation-AltC"/>
        <w:numPr>
          <w:ilvl w:val="3"/>
          <w:numId w:val="37"/>
        </w:numPr>
        <w:spacing w:after="480" w:line="480" w:lineRule="auto"/>
        <w:ind w:left="709" w:hanging="357"/>
        <w:contextualSpacing w:val="0"/>
        <w:rPr>
          <w:lang w:val="fr-CA"/>
        </w:rPr>
      </w:pPr>
      <w:r>
        <w:rPr>
          <w:lang w:val="fr-CA"/>
        </w:rPr>
        <w:t>La Cour d’appel a</w:t>
      </w:r>
      <w:r>
        <w:rPr>
          <w:lang w:val="fr-CA"/>
        </w:rPr>
        <w:noBreakHyphen/>
        <w:t>t</w:t>
      </w:r>
      <w:r>
        <w:rPr>
          <w:lang w:val="fr-CA"/>
        </w:rPr>
        <w:noBreakHyphen/>
        <w:t>elle eu tort de conclure qu’elle n’avait pas compétence pour examiner la motion de la SRC pour le réexamen de l’interdiction de publication et pour avoir accès à l’affidavit de M</w:t>
      </w:r>
      <w:r w:rsidRPr="00B023C0">
        <w:rPr>
          <w:vertAlign w:val="superscript"/>
          <w:lang w:val="fr-CA"/>
        </w:rPr>
        <w:t>e</w:t>
      </w:r>
      <w:r>
        <w:rPr>
          <w:lang w:val="fr-CA"/>
        </w:rPr>
        <w:t> Posner</w:t>
      </w:r>
      <w:r w:rsidRPr="00060362">
        <w:rPr>
          <w:lang w:val="fr-CA"/>
        </w:rPr>
        <w:t>?</w:t>
      </w:r>
    </w:p>
    <w:p w:rsidR="009F09DA" w:rsidRDefault="009F09DA" w:rsidP="009F09DA">
      <w:pPr>
        <w:pStyle w:val="Citation-AltC"/>
        <w:numPr>
          <w:ilvl w:val="3"/>
          <w:numId w:val="37"/>
        </w:numPr>
        <w:spacing w:after="480" w:line="480" w:lineRule="auto"/>
        <w:ind w:left="709" w:hanging="357"/>
        <w:contextualSpacing w:val="0"/>
        <w:rPr>
          <w:lang w:val="fr-CA"/>
        </w:rPr>
      </w:pPr>
      <w:r>
        <w:rPr>
          <w:lang w:val="fr-CA"/>
        </w:rPr>
        <w:t>L’affaire devrait</w:t>
      </w:r>
      <w:r>
        <w:rPr>
          <w:lang w:val="fr-CA"/>
        </w:rPr>
        <w:noBreakHyphen/>
        <w:t>elle être renvoyée à la Cour d’appel pour qu’elle se prononce sur le bien</w:t>
      </w:r>
      <w:r>
        <w:rPr>
          <w:lang w:val="fr-CA"/>
        </w:rPr>
        <w:noBreakHyphen/>
        <w:t>fondé de cette motion</w:t>
      </w:r>
      <w:r w:rsidRPr="00060362">
        <w:rPr>
          <w:lang w:val="fr-CA"/>
        </w:rPr>
        <w:t>?</w:t>
      </w:r>
    </w:p>
    <w:p w:rsidR="009F09DA" w:rsidRPr="00DD13BF" w:rsidRDefault="009F09DA" w:rsidP="009F09DA">
      <w:pPr>
        <w:pStyle w:val="ParaNoNdepar-AltN"/>
        <w:rPr>
          <w:lang w:val="fr-CA"/>
        </w:rPr>
      </w:pPr>
      <w:r w:rsidRPr="00A66AD7">
        <w:rPr>
          <w:lang w:val="fr-CA"/>
        </w:rPr>
        <w:t>Pour les motifs qui suivent, je suis respectueusement d</w:t>
      </w:r>
      <w:r>
        <w:rPr>
          <w:lang w:val="fr-CA"/>
        </w:rPr>
        <w:t>’</w:t>
      </w:r>
      <w:r w:rsidRPr="00A66AD7">
        <w:rPr>
          <w:lang w:val="fr-CA"/>
        </w:rPr>
        <w:t>avis, à l</w:t>
      </w:r>
      <w:r>
        <w:rPr>
          <w:lang w:val="fr-CA"/>
        </w:rPr>
        <w:t>’</w:t>
      </w:r>
      <w:r w:rsidRPr="00A66AD7">
        <w:rPr>
          <w:lang w:val="fr-CA"/>
        </w:rPr>
        <w:t>égard du premier appel formé contre le jugement</w:t>
      </w:r>
      <w:r>
        <w:rPr>
          <w:lang w:val="fr-CA"/>
        </w:rPr>
        <w:t xml:space="preserve"> de 2019</w:t>
      </w:r>
      <w:r w:rsidRPr="00A66AD7">
        <w:rPr>
          <w:lang w:val="fr-CA"/>
        </w:rPr>
        <w:t xml:space="preserve"> sur la compétence, que la Cour d</w:t>
      </w:r>
      <w:r>
        <w:rPr>
          <w:lang w:val="fr-CA"/>
        </w:rPr>
        <w:t>’</w:t>
      </w:r>
      <w:r w:rsidRPr="00A66AD7">
        <w:rPr>
          <w:lang w:val="fr-CA"/>
        </w:rPr>
        <w:t>appel a fait erreur au sujet de la compétence et qu</w:t>
      </w:r>
      <w:r>
        <w:rPr>
          <w:lang w:val="fr-CA"/>
        </w:rPr>
        <w:t>’</w:t>
      </w:r>
      <w:r w:rsidRPr="00A66AD7">
        <w:rPr>
          <w:lang w:val="fr-CA"/>
        </w:rPr>
        <w:t>en conséquence, l</w:t>
      </w:r>
      <w:r>
        <w:rPr>
          <w:lang w:val="fr-CA"/>
        </w:rPr>
        <w:t>’</w:t>
      </w:r>
      <w:r w:rsidRPr="00A66AD7">
        <w:rPr>
          <w:lang w:val="fr-CA"/>
        </w:rPr>
        <w:t>affaire devrait être renvoyée à cette cour. Cela met un terme à l</w:t>
      </w:r>
      <w:r>
        <w:rPr>
          <w:lang w:val="fr-CA"/>
        </w:rPr>
        <w:t>’</w:t>
      </w:r>
      <w:r w:rsidRPr="00A66AD7">
        <w:rPr>
          <w:lang w:val="fr-CA"/>
        </w:rPr>
        <w:t>analyse. Il vaut mieux que le second appel du jugement de 2018 sur l</w:t>
      </w:r>
      <w:r>
        <w:rPr>
          <w:lang w:val="fr-CA"/>
        </w:rPr>
        <w:t>’</w:t>
      </w:r>
      <w:r w:rsidRPr="00A66AD7">
        <w:rPr>
          <w:lang w:val="fr-CA"/>
        </w:rPr>
        <w:t xml:space="preserve">interdiction de publication </w:t>
      </w:r>
      <w:r w:rsidRPr="00DD13BF">
        <w:rPr>
          <w:lang w:val="fr-CA"/>
        </w:rPr>
        <w:t>n</w:t>
      </w:r>
      <w:r>
        <w:rPr>
          <w:lang w:val="fr-CA"/>
        </w:rPr>
        <w:t>’</w:t>
      </w:r>
      <w:r w:rsidRPr="00DD13BF">
        <w:rPr>
          <w:lang w:val="fr-CA"/>
        </w:rPr>
        <w:t>aille pas de l</w:t>
      </w:r>
      <w:r>
        <w:rPr>
          <w:lang w:val="fr-CA"/>
        </w:rPr>
        <w:t>’</w:t>
      </w:r>
      <w:r w:rsidRPr="00DD13BF">
        <w:rPr>
          <w:lang w:val="fr-CA"/>
        </w:rPr>
        <w:t>avant jusqu</w:t>
      </w:r>
      <w:r>
        <w:rPr>
          <w:lang w:val="fr-CA"/>
        </w:rPr>
        <w:t>’</w:t>
      </w:r>
      <w:r w:rsidRPr="00DD13BF">
        <w:rPr>
          <w:lang w:val="fr-CA"/>
        </w:rPr>
        <w:t>à ce que la Cour d</w:t>
      </w:r>
      <w:r>
        <w:rPr>
          <w:lang w:val="fr-CA"/>
        </w:rPr>
        <w:t>’</w:t>
      </w:r>
      <w:r w:rsidRPr="00DD13BF">
        <w:rPr>
          <w:lang w:val="fr-CA"/>
        </w:rPr>
        <w:t xml:space="preserve">appel tranche la motion de la SRC. </w:t>
      </w:r>
    </w:p>
    <w:p w:rsidR="009F09DA" w:rsidRPr="00060362" w:rsidRDefault="009F09DA" w:rsidP="009F09DA">
      <w:pPr>
        <w:pStyle w:val="Title1LevelTitre1Niveau-AltL"/>
        <w:numPr>
          <w:ilvl w:val="0"/>
          <w:numId w:val="8"/>
        </w:numPr>
        <w:jc w:val="left"/>
        <w:rPr>
          <w:rFonts w:cs="Times New Roman"/>
          <w:lang w:val="fr-CA"/>
        </w:rPr>
      </w:pPr>
      <w:bookmarkStart w:id="2" w:name="_Toc67581525"/>
      <w:r w:rsidRPr="00060362">
        <w:rPr>
          <w:rFonts w:cs="Times New Roman"/>
          <w:lang w:val="fr-CA"/>
        </w:rPr>
        <w:t>A</w:t>
      </w:r>
      <w:bookmarkEnd w:id="2"/>
      <w:r w:rsidRPr="00060362">
        <w:rPr>
          <w:rFonts w:cs="Times New Roman"/>
          <w:lang w:val="fr-CA"/>
        </w:rPr>
        <w:t>nalys</w:t>
      </w:r>
      <w:r>
        <w:rPr>
          <w:rFonts w:cs="Times New Roman"/>
          <w:lang w:val="fr-CA"/>
        </w:rPr>
        <w:t>e</w:t>
      </w:r>
    </w:p>
    <w:p w:rsidR="009F09DA" w:rsidRPr="00060362" w:rsidRDefault="009F09DA" w:rsidP="009F09DA">
      <w:pPr>
        <w:pStyle w:val="Title2LevelTitre2Niveau"/>
        <w:numPr>
          <w:ilvl w:val="1"/>
          <w:numId w:val="8"/>
        </w:numPr>
        <w:rPr>
          <w:rFonts w:cs="Times New Roman"/>
          <w:lang w:val="fr-CA"/>
        </w:rPr>
      </w:pPr>
      <w:bookmarkStart w:id="3" w:name="_Toc67581526"/>
      <w:r>
        <w:rPr>
          <w:rFonts w:cs="Times New Roman"/>
          <w:lang w:val="fr-CA"/>
        </w:rPr>
        <w:t>Compétence pour rendre, modifier ou annuler des ordonnances portant sur la publicité des débats judiciaire</w:t>
      </w:r>
      <w:r w:rsidRPr="00060362">
        <w:rPr>
          <w:rFonts w:cs="Times New Roman"/>
          <w:lang w:val="fr-CA"/>
        </w:rPr>
        <w:t>s</w:t>
      </w:r>
    </w:p>
    <w:p w:rsidR="009F09DA" w:rsidRPr="00060362" w:rsidRDefault="009F09DA" w:rsidP="009F09DA">
      <w:pPr>
        <w:pStyle w:val="Title3LevelTitre3Niveau"/>
        <w:numPr>
          <w:ilvl w:val="2"/>
          <w:numId w:val="8"/>
        </w:numPr>
        <w:rPr>
          <w:rFonts w:cs="Times New Roman"/>
          <w:lang w:val="fr-CA"/>
        </w:rPr>
      </w:pPr>
      <w:r>
        <w:rPr>
          <w:rFonts w:cs="Times New Roman"/>
          <w:lang w:val="fr-CA"/>
        </w:rPr>
        <w:t>Le pouvoir de surveillance du dossier judiciaire subsiste après l’inscription du jugement sur le fond</w:t>
      </w:r>
    </w:p>
    <w:p w:rsidR="009F09DA" w:rsidRPr="00060362" w:rsidRDefault="009F09DA" w:rsidP="009F09DA">
      <w:pPr>
        <w:pStyle w:val="ParaNoNdepar-AltN"/>
        <w:rPr>
          <w:rFonts w:cs="Times New Roman"/>
          <w:lang w:val="fr-CA"/>
        </w:rPr>
      </w:pPr>
      <w:r>
        <w:rPr>
          <w:rFonts w:cs="Times New Roman"/>
          <w:lang w:val="fr-CA"/>
        </w:rPr>
        <w:t xml:space="preserve">En concluant qu’elle n’avait pas compétence pour modifier ou annuler les ordonnances en cause concernant la publicité des débats judiciaires, la Cour d’appel s’est appuyée, en partie, sur la règle du </w:t>
      </w:r>
      <w:r w:rsidRPr="00060362">
        <w:rPr>
          <w:rFonts w:cs="Times New Roman"/>
          <w:i/>
          <w:lang w:val="fr-CA"/>
        </w:rPr>
        <w:t>functus officio</w:t>
      </w:r>
      <w:r w:rsidRPr="00060362">
        <w:rPr>
          <w:rFonts w:cs="Times New Roman"/>
          <w:lang w:val="fr-CA"/>
        </w:rPr>
        <w:t xml:space="preserve">. </w:t>
      </w:r>
      <w:r>
        <w:rPr>
          <w:rFonts w:cs="Times New Roman"/>
          <w:lang w:val="fr-CA"/>
        </w:rPr>
        <w:t>Dans son acception traditionnelle, le terme</w:t>
      </w:r>
      <w:r w:rsidRPr="00060362">
        <w:rPr>
          <w:rFonts w:cs="Times New Roman"/>
          <w:lang w:val="fr-CA"/>
        </w:rPr>
        <w:t xml:space="preserve"> </w:t>
      </w:r>
      <w:r w:rsidRPr="00060362">
        <w:rPr>
          <w:rFonts w:cs="Times New Roman"/>
          <w:i/>
          <w:lang w:val="fr-CA"/>
        </w:rPr>
        <w:t xml:space="preserve">functus officio </w:t>
      </w:r>
      <w:r w:rsidRPr="00060362">
        <w:rPr>
          <w:rFonts w:cs="Times New Roman"/>
          <w:lang w:val="fr-CA"/>
        </w:rPr>
        <w:t xml:space="preserve">— </w:t>
      </w:r>
      <w:r>
        <w:rPr>
          <w:rFonts w:cs="Times New Roman"/>
          <w:lang w:val="fr-CA"/>
        </w:rPr>
        <w:t xml:space="preserve">souvent rendu par l’expression </w:t>
      </w:r>
      <w:r w:rsidRPr="00301A3D">
        <w:rPr>
          <w:rFonts w:cs="Times New Roman"/>
          <w:lang w:val="fr-CA"/>
        </w:rPr>
        <w:t>[</w:t>
      </w:r>
      <w:r w:rsidRPr="00301A3D">
        <w:rPr>
          <w:rFonts w:cs="Times New Roman"/>
          <w:smallCaps/>
          <w:lang w:val="fr-CA"/>
        </w:rPr>
        <w:t>traduction</w:t>
      </w:r>
      <w:r>
        <w:rPr>
          <w:rFonts w:cs="Times New Roman"/>
          <w:lang w:val="fr-CA"/>
        </w:rPr>
        <w:t xml:space="preserve">] « ayant rempli </w:t>
      </w:r>
      <w:r w:rsidRPr="00BA4E98">
        <w:rPr>
          <w:rFonts w:cs="Times New Roman"/>
          <w:lang w:val="fr-CA"/>
        </w:rPr>
        <w:t xml:space="preserve">sa </w:t>
      </w:r>
      <w:r>
        <w:rPr>
          <w:rFonts w:cs="Times New Roman"/>
          <w:lang w:val="fr-CA"/>
        </w:rPr>
        <w:t>fonction »</w:t>
      </w:r>
      <w:r w:rsidRPr="00060362">
        <w:rPr>
          <w:rFonts w:cs="Times New Roman"/>
          <w:lang w:val="fr-CA"/>
        </w:rPr>
        <w:t xml:space="preserve"> —</w:t>
      </w:r>
      <w:r w:rsidRPr="00060362">
        <w:rPr>
          <w:rFonts w:cs="Times New Roman"/>
          <w:i/>
          <w:lang w:val="fr-CA"/>
        </w:rPr>
        <w:t xml:space="preserve"> </w:t>
      </w:r>
      <w:r>
        <w:rPr>
          <w:rFonts w:cs="Times New Roman"/>
          <w:lang w:val="fr-CA"/>
        </w:rPr>
        <w:t xml:space="preserve">signifie que lorsqu’un juge a tranché une question, il s’est acquitté de sa fonction et n’a plus la faculté de revenir sur sa décision pour la corriger </w:t>
      </w:r>
      <w:r w:rsidRPr="00060362">
        <w:rPr>
          <w:rFonts w:cs="Times New Roman"/>
          <w:lang w:val="fr-CA"/>
        </w:rPr>
        <w:t>(A.</w:t>
      </w:r>
      <w:r>
        <w:rPr>
          <w:rFonts w:cs="Times New Roman"/>
          <w:lang w:val="fr-CA"/>
        </w:rPr>
        <w:t> </w:t>
      </w:r>
      <w:r w:rsidRPr="00060362">
        <w:rPr>
          <w:rFonts w:cs="Times New Roman"/>
          <w:lang w:val="fr-CA"/>
        </w:rPr>
        <w:t>S.</w:t>
      </w:r>
      <w:r>
        <w:rPr>
          <w:rFonts w:cs="Times New Roman"/>
          <w:lang w:val="fr-CA"/>
        </w:rPr>
        <w:t> P. </w:t>
      </w:r>
      <w:r w:rsidRPr="00060362">
        <w:rPr>
          <w:rFonts w:cs="Times New Roman"/>
          <w:lang w:val="fr-CA"/>
        </w:rPr>
        <w:t xml:space="preserve">Wong, </w:t>
      </w:r>
      <w:r>
        <w:rPr>
          <w:rFonts w:cs="Times New Roman"/>
          <w:lang w:val="fr-CA"/>
        </w:rPr>
        <w:t>« </w:t>
      </w:r>
      <w:r w:rsidRPr="00060362">
        <w:rPr>
          <w:rFonts w:cs="Times New Roman"/>
          <w:lang w:val="fr-CA"/>
        </w:rPr>
        <w:t xml:space="preserve">Doctrine of </w:t>
      </w:r>
      <w:r w:rsidRPr="00D92371">
        <w:rPr>
          <w:rFonts w:cs="Times New Roman"/>
          <w:i/>
          <w:lang w:val="fr-CA"/>
        </w:rPr>
        <w:t>Functus Officio</w:t>
      </w:r>
      <w:r>
        <w:rPr>
          <w:rFonts w:cs="Times New Roman"/>
          <w:i/>
          <w:lang w:val="fr-CA"/>
        </w:rPr>
        <w:t> </w:t>
      </w:r>
      <w:r w:rsidRPr="00B45385">
        <w:rPr>
          <w:rFonts w:cs="Times New Roman"/>
          <w:lang w:val="fr-CA"/>
        </w:rPr>
        <w:t>:</w:t>
      </w:r>
      <w:r w:rsidRPr="00060362">
        <w:rPr>
          <w:rFonts w:cs="Times New Roman"/>
          <w:lang w:val="fr-CA"/>
        </w:rPr>
        <w:t xml:space="preserve"> The </w:t>
      </w:r>
      <w:proofErr w:type="spellStart"/>
      <w:r w:rsidRPr="00060362">
        <w:rPr>
          <w:rFonts w:cs="Times New Roman"/>
          <w:lang w:val="fr-CA"/>
        </w:rPr>
        <w:t>Changing</w:t>
      </w:r>
      <w:proofErr w:type="spellEnd"/>
      <w:r w:rsidRPr="00060362">
        <w:rPr>
          <w:rFonts w:cs="Times New Roman"/>
          <w:lang w:val="fr-CA"/>
        </w:rPr>
        <w:t xml:space="preserve"> Face of </w:t>
      </w:r>
      <w:proofErr w:type="spellStart"/>
      <w:r w:rsidRPr="00060362">
        <w:rPr>
          <w:rFonts w:cs="Times New Roman"/>
          <w:lang w:val="fr-CA"/>
        </w:rPr>
        <w:t>Finality</w:t>
      </w:r>
      <w:r>
        <w:rPr>
          <w:rFonts w:cs="Times New Roman"/>
          <w:lang w:val="fr-CA"/>
        </w:rPr>
        <w:t>’</w:t>
      </w:r>
      <w:r w:rsidRPr="00060362">
        <w:rPr>
          <w:rFonts w:cs="Times New Roman"/>
          <w:lang w:val="fr-CA"/>
        </w:rPr>
        <w:t>s</w:t>
      </w:r>
      <w:proofErr w:type="spellEnd"/>
      <w:r w:rsidRPr="00060362">
        <w:rPr>
          <w:rFonts w:cs="Times New Roman"/>
          <w:lang w:val="fr-CA"/>
        </w:rPr>
        <w:t xml:space="preserve"> Old </w:t>
      </w:r>
      <w:proofErr w:type="spellStart"/>
      <w:r w:rsidRPr="00060362">
        <w:rPr>
          <w:rFonts w:cs="Times New Roman"/>
          <w:lang w:val="fr-CA"/>
        </w:rPr>
        <w:t>Guard</w:t>
      </w:r>
      <w:proofErr w:type="spellEnd"/>
      <w:r>
        <w:rPr>
          <w:rFonts w:cs="Times New Roman"/>
          <w:lang w:val="fr-CA"/>
        </w:rPr>
        <w:t> »</w:t>
      </w:r>
      <w:r w:rsidRPr="00060362">
        <w:rPr>
          <w:rFonts w:cs="Times New Roman"/>
          <w:lang w:val="fr-CA"/>
        </w:rPr>
        <w:t xml:space="preserve"> (2020)</w:t>
      </w:r>
      <w:r>
        <w:rPr>
          <w:rFonts w:cs="Times New Roman"/>
          <w:lang w:val="fr-CA"/>
        </w:rPr>
        <w:t>,</w:t>
      </w:r>
      <w:r w:rsidRPr="00060362">
        <w:rPr>
          <w:rFonts w:cs="Times New Roman"/>
          <w:lang w:val="fr-CA"/>
        </w:rPr>
        <w:t xml:space="preserve"> 98 </w:t>
      </w:r>
      <w:proofErr w:type="spellStart"/>
      <w:r w:rsidRPr="00060362">
        <w:rPr>
          <w:rFonts w:cs="Times New Roman"/>
          <w:i/>
          <w:lang w:val="fr-CA"/>
        </w:rPr>
        <w:t>Rev</w:t>
      </w:r>
      <w:proofErr w:type="spellEnd"/>
      <w:r w:rsidRPr="00060362">
        <w:rPr>
          <w:rFonts w:cs="Times New Roman"/>
          <w:i/>
          <w:lang w:val="fr-CA"/>
        </w:rPr>
        <w:t>.</w:t>
      </w:r>
      <w:r>
        <w:rPr>
          <w:rFonts w:cs="Times New Roman"/>
          <w:i/>
          <w:lang w:val="fr-CA"/>
        </w:rPr>
        <w:t xml:space="preserve"> du B. </w:t>
      </w:r>
      <w:proofErr w:type="spellStart"/>
      <w:r>
        <w:rPr>
          <w:rFonts w:cs="Times New Roman"/>
          <w:i/>
          <w:lang w:val="fr-CA"/>
        </w:rPr>
        <w:t>can</w:t>
      </w:r>
      <w:proofErr w:type="spellEnd"/>
      <w:r>
        <w:rPr>
          <w:rFonts w:cs="Times New Roman"/>
          <w:i/>
          <w:lang w:val="fr-CA"/>
        </w:rPr>
        <w:t>.</w:t>
      </w:r>
      <w:r w:rsidRPr="00060362">
        <w:rPr>
          <w:rFonts w:cs="Times New Roman"/>
          <w:i/>
          <w:lang w:val="fr-CA"/>
        </w:rPr>
        <w:t xml:space="preserve"> </w:t>
      </w:r>
      <w:r w:rsidRPr="00060362">
        <w:rPr>
          <w:rFonts w:cs="Times New Roman"/>
          <w:lang w:val="fr-CA"/>
        </w:rPr>
        <w:t xml:space="preserve">543, </w:t>
      </w:r>
      <w:r>
        <w:rPr>
          <w:rFonts w:cs="Times New Roman"/>
          <w:lang w:val="fr-CA"/>
        </w:rPr>
        <w:t>p. </w:t>
      </w:r>
      <w:r w:rsidRPr="00060362">
        <w:rPr>
          <w:rFonts w:cs="Times New Roman"/>
          <w:lang w:val="fr-CA"/>
        </w:rPr>
        <w:t>546</w:t>
      </w:r>
      <w:r>
        <w:rPr>
          <w:rFonts w:cs="Times New Roman"/>
          <w:lang w:val="fr-CA"/>
        </w:rPr>
        <w:noBreakHyphen/>
        <w:t>5</w:t>
      </w:r>
      <w:r w:rsidRPr="00060362">
        <w:rPr>
          <w:rFonts w:cs="Times New Roman"/>
          <w:lang w:val="fr-CA"/>
        </w:rPr>
        <w:t xml:space="preserve">47; </w:t>
      </w:r>
      <w:r>
        <w:rPr>
          <w:rFonts w:cs="Times New Roman"/>
          <w:lang w:val="fr-CA"/>
        </w:rPr>
        <w:t>voir</w:t>
      </w:r>
      <w:r w:rsidRPr="00060362">
        <w:rPr>
          <w:rFonts w:cs="Times New Roman"/>
          <w:lang w:val="fr-CA"/>
        </w:rPr>
        <w:t xml:space="preserve"> </w:t>
      </w:r>
      <w:r>
        <w:rPr>
          <w:rFonts w:cs="Times New Roman"/>
          <w:lang w:val="fr-CA"/>
        </w:rPr>
        <w:t>A. </w:t>
      </w:r>
      <w:proofErr w:type="spellStart"/>
      <w:r w:rsidRPr="00060362">
        <w:rPr>
          <w:rFonts w:cs="Times New Roman"/>
          <w:lang w:val="fr-CA"/>
        </w:rPr>
        <w:t>Mayrand</w:t>
      </w:r>
      <w:proofErr w:type="spellEnd"/>
      <w:r w:rsidRPr="00060362">
        <w:rPr>
          <w:rFonts w:cs="Times New Roman"/>
          <w:lang w:val="fr-CA"/>
        </w:rPr>
        <w:t xml:space="preserve">, </w:t>
      </w:r>
      <w:r w:rsidRPr="00060362">
        <w:rPr>
          <w:rFonts w:cs="Times New Roman"/>
          <w:i/>
          <w:lang w:val="fr-CA"/>
        </w:rPr>
        <w:t xml:space="preserve">Dictionnaire de maximes et locutions latines utilisées en droit </w:t>
      </w:r>
      <w:r w:rsidRPr="00060362">
        <w:rPr>
          <w:rFonts w:cs="Times New Roman"/>
          <w:lang w:val="fr-CA"/>
        </w:rPr>
        <w:t>(4</w:t>
      </w:r>
      <w:r w:rsidRPr="00BA4E98">
        <w:rPr>
          <w:rFonts w:cs="Times New Roman"/>
          <w:vertAlign w:val="superscript"/>
          <w:lang w:val="fr-CA"/>
        </w:rPr>
        <w:t>e</w:t>
      </w:r>
      <w:r>
        <w:rPr>
          <w:rFonts w:cs="Times New Roman"/>
          <w:lang w:val="fr-CA"/>
        </w:rPr>
        <w:t xml:space="preserve"> éd</w:t>
      </w:r>
      <w:r w:rsidRPr="00060362">
        <w:rPr>
          <w:rFonts w:cs="Times New Roman"/>
          <w:lang w:val="fr-CA"/>
        </w:rPr>
        <w:t xml:space="preserve">. 2007), </w:t>
      </w:r>
      <w:r>
        <w:rPr>
          <w:rFonts w:cs="Times New Roman"/>
          <w:lang w:val="fr-CA"/>
        </w:rPr>
        <w:t>p. </w:t>
      </w:r>
      <w:r w:rsidRPr="00060362">
        <w:rPr>
          <w:rFonts w:cs="Times New Roman"/>
          <w:lang w:val="fr-CA"/>
        </w:rPr>
        <w:t xml:space="preserve">193, </w:t>
      </w:r>
      <w:r>
        <w:rPr>
          <w:rFonts w:cs="Times New Roman"/>
          <w:lang w:val="fr-CA"/>
        </w:rPr>
        <w:t>qui emploie également le terme</w:t>
      </w:r>
      <w:r w:rsidRPr="00060362">
        <w:rPr>
          <w:rFonts w:cs="Times New Roman"/>
          <w:lang w:val="fr-CA"/>
        </w:rPr>
        <w:t xml:space="preserve"> </w:t>
      </w:r>
      <w:proofErr w:type="spellStart"/>
      <w:r w:rsidRPr="00060362">
        <w:rPr>
          <w:rFonts w:cs="Times New Roman"/>
          <w:i/>
          <w:lang w:val="fr-CA"/>
        </w:rPr>
        <w:t>functa</w:t>
      </w:r>
      <w:proofErr w:type="spellEnd"/>
      <w:r w:rsidRPr="00060362">
        <w:rPr>
          <w:rFonts w:cs="Times New Roman"/>
          <w:i/>
          <w:lang w:val="fr-CA"/>
        </w:rPr>
        <w:t xml:space="preserve"> officio</w:t>
      </w:r>
      <w:r w:rsidRPr="00060362">
        <w:rPr>
          <w:rFonts w:cs="Times New Roman"/>
          <w:lang w:val="fr-CA"/>
        </w:rPr>
        <w:t xml:space="preserve">). </w:t>
      </w:r>
    </w:p>
    <w:p w:rsidR="009F09DA" w:rsidRPr="00060362" w:rsidRDefault="009F09DA" w:rsidP="009F09DA">
      <w:pPr>
        <w:pStyle w:val="ParaNoNdepar-AltN"/>
        <w:rPr>
          <w:rFonts w:cs="Times New Roman"/>
          <w:lang w:val="fr-CA"/>
        </w:rPr>
      </w:pPr>
      <w:r>
        <w:rPr>
          <w:rFonts w:cs="Times New Roman"/>
          <w:lang w:val="fr-CA"/>
        </w:rPr>
        <w:t xml:space="preserve">Suivant son </w:t>
      </w:r>
      <w:r w:rsidRPr="00A66AD7">
        <w:rPr>
          <w:rFonts w:cs="Times New Roman"/>
          <w:lang w:val="fr-CA"/>
        </w:rPr>
        <w:t xml:space="preserve">acception actuelle, la règle du </w:t>
      </w:r>
      <w:r w:rsidRPr="00A66AD7">
        <w:rPr>
          <w:rFonts w:cs="Times New Roman"/>
          <w:i/>
          <w:lang w:val="fr-CA"/>
        </w:rPr>
        <w:t>functus officio</w:t>
      </w:r>
      <w:r w:rsidRPr="00A66AD7">
        <w:rPr>
          <w:rFonts w:cs="Times New Roman"/>
          <w:lang w:val="fr-CA"/>
        </w:rPr>
        <w:t xml:space="preserve"> indique que la décision définitive d</w:t>
      </w:r>
      <w:r>
        <w:rPr>
          <w:rFonts w:cs="Times New Roman"/>
          <w:lang w:val="fr-CA"/>
        </w:rPr>
        <w:t>’</w:t>
      </w:r>
      <w:r w:rsidRPr="00A66AD7">
        <w:rPr>
          <w:rFonts w:cs="Times New Roman"/>
          <w:lang w:val="fr-CA"/>
        </w:rPr>
        <w:t>un tribunal qui est susceptible d</w:t>
      </w:r>
      <w:r>
        <w:rPr>
          <w:rFonts w:cs="Times New Roman"/>
          <w:lang w:val="fr-CA"/>
        </w:rPr>
        <w:t>’</w:t>
      </w:r>
      <w:r w:rsidRPr="00A66AD7">
        <w:rPr>
          <w:rFonts w:cs="Times New Roman"/>
          <w:lang w:val="fr-CA"/>
        </w:rPr>
        <w:t xml:space="preserve">appel ne peut pas, en règle générale, être examinée de nouveau par le tribunal qui a rendu cette décision (voir </w:t>
      </w:r>
      <w:r w:rsidRPr="00A66AD7">
        <w:rPr>
          <w:rFonts w:cs="Times New Roman"/>
          <w:i/>
          <w:lang w:val="fr-CA"/>
        </w:rPr>
        <w:t xml:space="preserve">Chandler c. Alberta Association of </w:t>
      </w:r>
      <w:proofErr w:type="spellStart"/>
      <w:r w:rsidRPr="00A66AD7">
        <w:rPr>
          <w:rFonts w:cs="Times New Roman"/>
          <w:i/>
          <w:lang w:val="fr-CA"/>
        </w:rPr>
        <w:t>Architects</w:t>
      </w:r>
      <w:proofErr w:type="spellEnd"/>
      <w:r w:rsidRPr="00A66AD7">
        <w:rPr>
          <w:rFonts w:cs="Times New Roman"/>
          <w:lang w:val="fr-CA"/>
        </w:rPr>
        <w:t xml:space="preserve">, [1989] 2 R.C.S. 848, </w:t>
      </w:r>
      <w:r>
        <w:rPr>
          <w:rFonts w:cs="Times New Roman"/>
          <w:lang w:val="fr-CA"/>
        </w:rPr>
        <w:t>p. </w:t>
      </w:r>
      <w:r w:rsidRPr="00A66AD7">
        <w:rPr>
          <w:rFonts w:cs="Times New Roman"/>
          <w:lang w:val="fr-CA"/>
        </w:rPr>
        <w:t xml:space="preserve">860; </w:t>
      </w:r>
      <w:r w:rsidRPr="00A66AD7">
        <w:rPr>
          <w:rFonts w:cs="Times New Roman"/>
          <w:i/>
          <w:lang w:val="fr-CA"/>
        </w:rPr>
        <w:t>Reekie c.</w:t>
      </w:r>
      <w:r w:rsidRPr="00060362">
        <w:rPr>
          <w:rFonts w:cs="Times New Roman"/>
          <w:i/>
          <w:lang w:val="fr-CA"/>
        </w:rPr>
        <w:t xml:space="preserve"> </w:t>
      </w:r>
      <w:proofErr w:type="spellStart"/>
      <w:r w:rsidRPr="00060362">
        <w:rPr>
          <w:rFonts w:cs="Times New Roman"/>
          <w:i/>
          <w:lang w:val="fr-CA"/>
        </w:rPr>
        <w:t>Messervey</w:t>
      </w:r>
      <w:proofErr w:type="spellEnd"/>
      <w:r w:rsidRPr="00060362">
        <w:rPr>
          <w:rFonts w:cs="Times New Roman"/>
          <w:lang w:val="fr-CA"/>
        </w:rPr>
        <w:t xml:space="preserve">, [1990] 1 </w:t>
      </w:r>
      <w:r>
        <w:rPr>
          <w:rFonts w:cs="Times New Roman"/>
          <w:lang w:val="fr-CA"/>
        </w:rPr>
        <w:t>R.C.S</w:t>
      </w:r>
      <w:r w:rsidRPr="00060362">
        <w:rPr>
          <w:rFonts w:cs="Times New Roman"/>
          <w:lang w:val="fr-CA"/>
        </w:rPr>
        <w:t xml:space="preserve">. 219, </w:t>
      </w:r>
      <w:r>
        <w:rPr>
          <w:rFonts w:cs="Times New Roman"/>
          <w:lang w:val="fr-CA"/>
        </w:rPr>
        <w:t>p. </w:t>
      </w:r>
      <w:r w:rsidRPr="00060362">
        <w:rPr>
          <w:rFonts w:cs="Times New Roman"/>
          <w:lang w:val="fr-CA"/>
        </w:rPr>
        <w:t>222</w:t>
      </w:r>
      <w:r>
        <w:rPr>
          <w:rFonts w:cs="Times New Roman"/>
          <w:lang w:val="fr-CA"/>
        </w:rPr>
        <w:noBreakHyphen/>
        <w:t>2</w:t>
      </w:r>
      <w:r w:rsidRPr="00060362">
        <w:rPr>
          <w:rFonts w:cs="Times New Roman"/>
          <w:lang w:val="fr-CA"/>
        </w:rPr>
        <w:t xml:space="preserve">23; </w:t>
      </w:r>
      <w:r w:rsidRPr="00060362">
        <w:rPr>
          <w:rFonts w:cs="Times New Roman"/>
          <w:i/>
          <w:shd w:val="clear" w:color="auto" w:fill="FFFFFF"/>
          <w:lang w:val="fr-CA"/>
        </w:rPr>
        <w:t>Doucet</w:t>
      </w:r>
      <w:r>
        <w:rPr>
          <w:rFonts w:cs="Times New Roman"/>
          <w:i/>
          <w:shd w:val="clear" w:color="auto" w:fill="FFFFFF"/>
          <w:lang w:val="fr-CA"/>
        </w:rPr>
        <w:noBreakHyphen/>
      </w:r>
      <w:r w:rsidRPr="00060362">
        <w:rPr>
          <w:rFonts w:cs="Times New Roman"/>
          <w:i/>
          <w:shd w:val="clear" w:color="auto" w:fill="FFFFFF"/>
          <w:lang w:val="fr-CA"/>
        </w:rPr>
        <w:t xml:space="preserve">Boudreau </w:t>
      </w:r>
      <w:r>
        <w:rPr>
          <w:rFonts w:cs="Times New Roman"/>
          <w:i/>
          <w:iCs/>
          <w:shd w:val="clear" w:color="auto" w:fill="FFFFFF"/>
          <w:lang w:val="fr-CA"/>
        </w:rPr>
        <w:t>c</w:t>
      </w:r>
      <w:r w:rsidRPr="00060362">
        <w:rPr>
          <w:rFonts w:cs="Times New Roman"/>
          <w:i/>
          <w:iCs/>
          <w:shd w:val="clear" w:color="auto" w:fill="FFFFFF"/>
          <w:lang w:val="fr-CA"/>
        </w:rPr>
        <w:t xml:space="preserve">. </w:t>
      </w:r>
      <w:r>
        <w:rPr>
          <w:rFonts w:cs="Times New Roman"/>
          <w:i/>
          <w:shd w:val="clear" w:color="auto" w:fill="FFFFFF"/>
          <w:lang w:val="fr-CA"/>
        </w:rPr>
        <w:t>Nouvelle</w:t>
      </w:r>
      <w:r>
        <w:rPr>
          <w:rFonts w:cs="Times New Roman"/>
          <w:i/>
          <w:shd w:val="clear" w:color="auto" w:fill="FFFFFF"/>
          <w:lang w:val="fr-CA"/>
        </w:rPr>
        <w:noBreakHyphen/>
        <w:t>Écosse</w:t>
      </w:r>
      <w:r w:rsidRPr="00060362">
        <w:rPr>
          <w:rFonts w:cs="Times New Roman"/>
          <w:i/>
          <w:shd w:val="clear" w:color="auto" w:fill="FFFFFF"/>
          <w:lang w:val="fr-CA"/>
        </w:rPr>
        <w:t xml:space="preserve"> (Minist</w:t>
      </w:r>
      <w:r>
        <w:rPr>
          <w:rFonts w:cs="Times New Roman"/>
          <w:i/>
          <w:shd w:val="clear" w:color="auto" w:fill="FFFFFF"/>
          <w:lang w:val="fr-CA"/>
        </w:rPr>
        <w:t>re de l’Éducation</w:t>
      </w:r>
      <w:r w:rsidRPr="00060362">
        <w:rPr>
          <w:rFonts w:cs="Times New Roman"/>
          <w:i/>
          <w:shd w:val="clear" w:color="auto" w:fill="FFFFFF"/>
          <w:lang w:val="fr-CA"/>
        </w:rPr>
        <w:t>)</w:t>
      </w:r>
      <w:r w:rsidRPr="00060362">
        <w:rPr>
          <w:rFonts w:cs="Times New Roman"/>
          <w:shd w:val="clear" w:color="auto" w:fill="FFFFFF"/>
          <w:lang w:val="fr-CA"/>
        </w:rPr>
        <w:t xml:space="preserve">, 2003 </w:t>
      </w:r>
      <w:r>
        <w:rPr>
          <w:rFonts w:cs="Times New Roman"/>
          <w:shd w:val="clear" w:color="auto" w:fill="FFFFFF"/>
          <w:lang w:val="fr-CA"/>
        </w:rPr>
        <w:t>CSC</w:t>
      </w:r>
      <w:r w:rsidRPr="00060362">
        <w:rPr>
          <w:rFonts w:cs="Times New Roman"/>
          <w:shd w:val="clear" w:color="auto" w:fill="FFFFFF"/>
          <w:lang w:val="fr-CA"/>
        </w:rPr>
        <w:t xml:space="preserve"> 62, [2003] 3 </w:t>
      </w:r>
      <w:r>
        <w:rPr>
          <w:rFonts w:cs="Times New Roman"/>
          <w:shd w:val="clear" w:color="auto" w:fill="FFFFFF"/>
          <w:lang w:val="fr-CA"/>
        </w:rPr>
        <w:t>R.C.S</w:t>
      </w:r>
      <w:r w:rsidRPr="00060362">
        <w:rPr>
          <w:rFonts w:cs="Times New Roman"/>
          <w:shd w:val="clear" w:color="auto" w:fill="FFFFFF"/>
          <w:lang w:val="fr-CA"/>
        </w:rPr>
        <w:t xml:space="preserve">. 3, </w:t>
      </w:r>
      <w:r>
        <w:rPr>
          <w:rFonts w:cs="Times New Roman"/>
          <w:shd w:val="clear" w:color="auto" w:fill="FFFFFF"/>
          <w:lang w:val="fr-CA"/>
        </w:rPr>
        <w:t>par. </w:t>
      </w:r>
      <w:r w:rsidRPr="00060362">
        <w:rPr>
          <w:rFonts w:cs="Times New Roman"/>
          <w:shd w:val="clear" w:color="auto" w:fill="FFFFFF"/>
          <w:lang w:val="fr-CA"/>
        </w:rPr>
        <w:t>77</w:t>
      </w:r>
      <w:r>
        <w:rPr>
          <w:rFonts w:cs="Times New Roman"/>
          <w:shd w:val="clear" w:color="auto" w:fill="FFFFFF"/>
          <w:lang w:val="fr-CA"/>
        </w:rPr>
        <w:noBreakHyphen/>
      </w:r>
      <w:r w:rsidRPr="00060362">
        <w:rPr>
          <w:rFonts w:cs="Times New Roman"/>
          <w:shd w:val="clear" w:color="auto" w:fill="FFFFFF"/>
          <w:lang w:val="fr-CA"/>
        </w:rPr>
        <w:t>79)</w:t>
      </w:r>
      <w:r w:rsidRPr="00060362">
        <w:rPr>
          <w:rFonts w:cs="Times New Roman"/>
          <w:lang w:val="fr-CA"/>
        </w:rPr>
        <w:t xml:space="preserve">. </w:t>
      </w:r>
      <w:r>
        <w:rPr>
          <w:rFonts w:cs="Times New Roman"/>
          <w:lang w:val="fr-CA"/>
        </w:rPr>
        <w:t xml:space="preserve">Un tribunal perd sa compétence, auquel cas on dit qu’il est </w:t>
      </w:r>
      <w:r w:rsidRPr="00060362">
        <w:rPr>
          <w:rFonts w:cs="Times New Roman"/>
          <w:i/>
          <w:lang w:val="fr-CA"/>
        </w:rPr>
        <w:t>functus officio</w:t>
      </w:r>
      <w:r w:rsidRPr="00060362">
        <w:rPr>
          <w:rFonts w:cs="Times New Roman"/>
          <w:lang w:val="fr-CA"/>
        </w:rPr>
        <w:t xml:space="preserve">, </w:t>
      </w:r>
      <w:r>
        <w:rPr>
          <w:rFonts w:cs="Times New Roman"/>
          <w:lang w:val="fr-CA"/>
        </w:rPr>
        <w:t>une fois le jugement officiel rendu</w:t>
      </w:r>
      <w:r w:rsidRPr="00060362">
        <w:rPr>
          <w:rFonts w:cs="Times New Roman"/>
          <w:lang w:val="fr-CA"/>
        </w:rPr>
        <w:t xml:space="preserve"> (</w:t>
      </w:r>
      <w:r w:rsidRPr="00060362">
        <w:rPr>
          <w:rFonts w:cs="Times New Roman"/>
          <w:i/>
          <w:lang w:val="fr-CA"/>
        </w:rPr>
        <w:t xml:space="preserve">R. </w:t>
      </w:r>
      <w:r>
        <w:rPr>
          <w:rFonts w:cs="Times New Roman"/>
          <w:i/>
          <w:lang w:val="fr-CA"/>
        </w:rPr>
        <w:t>c</w:t>
      </w:r>
      <w:r w:rsidRPr="00060362">
        <w:rPr>
          <w:rFonts w:cs="Times New Roman"/>
          <w:i/>
          <w:lang w:val="fr-CA"/>
        </w:rPr>
        <w:t>. Adams</w:t>
      </w:r>
      <w:r w:rsidRPr="00060362">
        <w:rPr>
          <w:rFonts w:cs="Times New Roman"/>
          <w:lang w:val="fr-CA"/>
        </w:rPr>
        <w:t xml:space="preserve">, [1995] 4 </w:t>
      </w:r>
      <w:r>
        <w:rPr>
          <w:rFonts w:cs="Times New Roman"/>
          <w:lang w:val="fr-CA"/>
        </w:rPr>
        <w:t>R.C.S</w:t>
      </w:r>
      <w:r w:rsidRPr="00060362">
        <w:rPr>
          <w:rFonts w:cs="Times New Roman"/>
          <w:lang w:val="fr-CA"/>
        </w:rPr>
        <w:t xml:space="preserve">. 707, </w:t>
      </w:r>
      <w:r>
        <w:rPr>
          <w:rFonts w:cs="Times New Roman"/>
          <w:lang w:val="fr-CA"/>
        </w:rPr>
        <w:t>par. </w:t>
      </w:r>
      <w:r w:rsidRPr="00060362">
        <w:rPr>
          <w:rFonts w:cs="Times New Roman"/>
          <w:lang w:val="fr-CA"/>
        </w:rPr>
        <w:t xml:space="preserve">29; </w:t>
      </w:r>
      <w:r w:rsidRPr="00060362">
        <w:rPr>
          <w:rFonts w:cs="Times New Roman"/>
          <w:i/>
          <w:lang w:val="fr-CA"/>
        </w:rPr>
        <w:t xml:space="preserve">R. </w:t>
      </w:r>
      <w:r>
        <w:rPr>
          <w:rFonts w:cs="Times New Roman"/>
          <w:i/>
          <w:lang w:val="fr-CA"/>
        </w:rPr>
        <w:t>c</w:t>
      </w:r>
      <w:r w:rsidRPr="00060362">
        <w:rPr>
          <w:rFonts w:cs="Times New Roman"/>
          <w:i/>
          <w:lang w:val="fr-CA"/>
        </w:rPr>
        <w:t xml:space="preserve">. </w:t>
      </w:r>
      <w:proofErr w:type="spellStart"/>
      <w:r w:rsidRPr="00060362">
        <w:rPr>
          <w:rFonts w:cs="Times New Roman"/>
          <w:i/>
          <w:lang w:val="fr-CA"/>
        </w:rPr>
        <w:t>Smithen</w:t>
      </w:r>
      <w:proofErr w:type="spellEnd"/>
      <w:r>
        <w:rPr>
          <w:rFonts w:cs="Times New Roman"/>
          <w:i/>
          <w:lang w:val="fr-CA"/>
        </w:rPr>
        <w:noBreakHyphen/>
      </w:r>
      <w:r w:rsidRPr="00060362">
        <w:rPr>
          <w:rFonts w:cs="Times New Roman"/>
          <w:i/>
          <w:lang w:val="fr-CA"/>
        </w:rPr>
        <w:t>Davis</w:t>
      </w:r>
      <w:r w:rsidRPr="00060362">
        <w:rPr>
          <w:rFonts w:cs="Times New Roman"/>
          <w:lang w:val="fr-CA"/>
        </w:rPr>
        <w:t xml:space="preserve">, 2020 </w:t>
      </w:r>
      <w:r w:rsidRPr="00A66AD7">
        <w:rPr>
          <w:rFonts w:cs="Times New Roman"/>
          <w:lang w:val="fr-CA"/>
        </w:rPr>
        <w:t xml:space="preserve">ONCA 759, 68 C.R. (7th) 75, </w:t>
      </w:r>
      <w:r>
        <w:rPr>
          <w:rFonts w:cs="Times New Roman"/>
          <w:lang w:val="fr-CA"/>
        </w:rPr>
        <w:t>par. </w:t>
      </w:r>
      <w:r w:rsidRPr="00A66AD7">
        <w:rPr>
          <w:rFonts w:cs="Times New Roman"/>
          <w:lang w:val="fr-CA"/>
        </w:rPr>
        <w:t>33</w:t>
      </w:r>
      <w:r>
        <w:rPr>
          <w:rFonts w:cs="Times New Roman"/>
          <w:lang w:val="fr-CA"/>
        </w:rPr>
        <w:noBreakHyphen/>
      </w:r>
      <w:r w:rsidRPr="00A66AD7">
        <w:rPr>
          <w:rFonts w:cs="Times New Roman"/>
          <w:lang w:val="fr-CA"/>
        </w:rPr>
        <w:t>34). À partir de ce moment, il est entendu que le tribunal ne peut modifier le jugement que dans des circonstances très limitées, par exemple s</w:t>
      </w:r>
      <w:r>
        <w:rPr>
          <w:rFonts w:cs="Times New Roman"/>
          <w:lang w:val="fr-CA"/>
        </w:rPr>
        <w:t>’</w:t>
      </w:r>
      <w:r w:rsidRPr="00A66AD7">
        <w:rPr>
          <w:rFonts w:cs="Times New Roman"/>
          <w:lang w:val="fr-CA"/>
        </w:rPr>
        <w:t>il existe une assise législative pour ce faire, s</w:t>
      </w:r>
      <w:r>
        <w:rPr>
          <w:rFonts w:cs="Times New Roman"/>
          <w:lang w:val="fr-CA"/>
        </w:rPr>
        <w:t>’</w:t>
      </w:r>
      <w:r w:rsidRPr="00A66AD7">
        <w:rPr>
          <w:rFonts w:cs="Times New Roman"/>
          <w:lang w:val="fr-CA"/>
        </w:rPr>
        <w:t>il faut corriger une erreur dans l</w:t>
      </w:r>
      <w:r>
        <w:rPr>
          <w:rFonts w:cs="Times New Roman"/>
          <w:lang w:val="fr-CA"/>
        </w:rPr>
        <w:t>’</w:t>
      </w:r>
      <w:r w:rsidRPr="00A66AD7">
        <w:rPr>
          <w:rFonts w:cs="Times New Roman"/>
          <w:lang w:val="fr-CA"/>
        </w:rPr>
        <w:t>expression de son intention manifeste ou lorsque l</w:t>
      </w:r>
      <w:r>
        <w:rPr>
          <w:rFonts w:cs="Times New Roman"/>
          <w:lang w:val="fr-CA"/>
        </w:rPr>
        <w:t>’</w:t>
      </w:r>
      <w:r w:rsidRPr="00A66AD7">
        <w:rPr>
          <w:rFonts w:cs="Times New Roman"/>
          <w:lang w:val="fr-CA"/>
        </w:rPr>
        <w:t>affaire n</w:t>
      </w:r>
      <w:r>
        <w:rPr>
          <w:rFonts w:cs="Times New Roman"/>
          <w:lang w:val="fr-CA"/>
        </w:rPr>
        <w:t>’</w:t>
      </w:r>
      <w:r w:rsidRPr="00A66AD7">
        <w:rPr>
          <w:rFonts w:cs="Times New Roman"/>
          <w:lang w:val="fr-CA"/>
        </w:rPr>
        <w:t>a pas été entendue sur le fond (</w:t>
      </w:r>
      <w:r w:rsidRPr="00A66AD7">
        <w:rPr>
          <w:rFonts w:cs="Times New Roman"/>
          <w:i/>
          <w:lang w:val="fr-CA"/>
        </w:rPr>
        <w:t>Chandler</w:t>
      </w:r>
      <w:r w:rsidRPr="00A66AD7">
        <w:rPr>
          <w:rFonts w:cs="Times New Roman"/>
          <w:lang w:val="fr-CA"/>
        </w:rPr>
        <w:t xml:space="preserve">, </w:t>
      </w:r>
      <w:r>
        <w:rPr>
          <w:rFonts w:cs="Times New Roman"/>
          <w:lang w:val="fr-CA"/>
        </w:rPr>
        <w:t>p. </w:t>
      </w:r>
      <w:r w:rsidRPr="00A66AD7">
        <w:rPr>
          <w:rFonts w:cs="Times New Roman"/>
          <w:lang w:val="fr-CA"/>
        </w:rPr>
        <w:t>861, citant</w:t>
      </w:r>
      <w:r w:rsidRPr="00A66AD7">
        <w:rPr>
          <w:rFonts w:cs="Times New Roman"/>
          <w:i/>
          <w:lang w:val="fr-CA"/>
        </w:rPr>
        <w:t xml:space="preserve"> Paper </w:t>
      </w:r>
      <w:proofErr w:type="spellStart"/>
      <w:r w:rsidRPr="00A66AD7">
        <w:rPr>
          <w:rFonts w:cs="Times New Roman"/>
          <w:i/>
          <w:lang w:val="fr-CA"/>
        </w:rPr>
        <w:t>Machinery</w:t>
      </w:r>
      <w:proofErr w:type="spellEnd"/>
      <w:r w:rsidRPr="00A66AD7">
        <w:rPr>
          <w:rFonts w:cs="Times New Roman"/>
          <w:i/>
          <w:lang w:val="fr-CA"/>
        </w:rPr>
        <w:t xml:space="preserve"> Ltd. c. J.O. Ross Engineering Corp.</w:t>
      </w:r>
      <w:r w:rsidRPr="00A66AD7">
        <w:rPr>
          <w:rFonts w:cs="Times New Roman"/>
          <w:lang w:val="fr-CA"/>
        </w:rPr>
        <w:t xml:space="preserve">, [1934] R.C.S. 186; </w:t>
      </w:r>
      <w:r w:rsidRPr="00A66AD7">
        <w:rPr>
          <w:rFonts w:cs="Times New Roman"/>
          <w:i/>
          <w:lang w:val="fr-CA"/>
        </w:rPr>
        <w:t xml:space="preserve">R. c. H. (E.) </w:t>
      </w:r>
      <w:r w:rsidRPr="00A66AD7">
        <w:rPr>
          <w:rFonts w:cs="Times New Roman"/>
          <w:lang w:val="fr-CA"/>
        </w:rPr>
        <w:t>(1997), 33 O.R. (3d) 202 (C.A.),</w:t>
      </w:r>
      <w:r>
        <w:rPr>
          <w:rFonts w:cs="Times New Roman"/>
          <w:lang w:val="fr-CA"/>
        </w:rPr>
        <w:t xml:space="preserve"> p. 214</w:t>
      </w:r>
      <w:r>
        <w:rPr>
          <w:rFonts w:cs="Times New Roman"/>
          <w:lang w:val="fr-CA"/>
        </w:rPr>
        <w:noBreakHyphen/>
        <w:t>215,</w:t>
      </w:r>
      <w:r w:rsidRPr="00A66AD7">
        <w:rPr>
          <w:rFonts w:cs="Times New Roman"/>
          <w:lang w:val="fr-CA"/>
        </w:rPr>
        <w:t xml:space="preserve"> citant </w:t>
      </w:r>
      <w:r>
        <w:rPr>
          <w:rFonts w:cs="Times New Roman"/>
          <w:i/>
          <w:lang w:val="fr-CA"/>
        </w:rPr>
        <w:t>The </w:t>
      </w:r>
      <w:r w:rsidRPr="00A66AD7">
        <w:rPr>
          <w:rFonts w:cs="Times New Roman"/>
          <w:i/>
          <w:lang w:val="fr-CA"/>
        </w:rPr>
        <w:t>Queen</w:t>
      </w:r>
      <w:r w:rsidRPr="00A66AD7">
        <w:rPr>
          <w:rFonts w:cs="Times New Roman"/>
          <w:lang w:val="fr-CA"/>
        </w:rPr>
        <w:t xml:space="preserve"> </w:t>
      </w:r>
      <w:r w:rsidRPr="00A66AD7">
        <w:rPr>
          <w:rFonts w:cs="Times New Roman"/>
          <w:i/>
          <w:lang w:val="fr-CA"/>
        </w:rPr>
        <w:t xml:space="preserve">c. </w:t>
      </w:r>
      <w:r w:rsidRPr="00060362">
        <w:rPr>
          <w:rFonts w:cs="Times New Roman"/>
          <w:i/>
          <w:lang w:val="fr-CA"/>
        </w:rPr>
        <w:t>Jacobs</w:t>
      </w:r>
      <w:r w:rsidRPr="00060362">
        <w:rPr>
          <w:rFonts w:cs="Times New Roman"/>
          <w:lang w:val="fr-CA"/>
        </w:rPr>
        <w:t xml:space="preserve">, [1971] </w:t>
      </w:r>
      <w:r>
        <w:rPr>
          <w:rFonts w:cs="Times New Roman"/>
          <w:lang w:val="fr-CA"/>
        </w:rPr>
        <w:t>R.C.S</w:t>
      </w:r>
      <w:r w:rsidRPr="00060362">
        <w:rPr>
          <w:rFonts w:cs="Times New Roman"/>
          <w:lang w:val="fr-CA"/>
        </w:rPr>
        <w:t xml:space="preserve">. 92; </w:t>
      </w:r>
      <w:r>
        <w:rPr>
          <w:rFonts w:cs="Times New Roman"/>
          <w:lang w:val="fr-CA"/>
        </w:rPr>
        <w:t>voir également</w:t>
      </w:r>
      <w:r w:rsidRPr="00060362">
        <w:rPr>
          <w:rFonts w:cs="Times New Roman"/>
          <w:lang w:val="fr-CA"/>
        </w:rPr>
        <w:t xml:space="preserve"> </w:t>
      </w:r>
      <w:r w:rsidRPr="00060362">
        <w:rPr>
          <w:rFonts w:cs="Times New Roman"/>
          <w:i/>
          <w:lang w:val="fr-CA"/>
        </w:rPr>
        <w:t xml:space="preserve">R. </w:t>
      </w:r>
      <w:r>
        <w:rPr>
          <w:rFonts w:cs="Times New Roman"/>
          <w:i/>
          <w:lang w:val="fr-CA"/>
        </w:rPr>
        <w:t>c</w:t>
      </w:r>
      <w:r w:rsidRPr="00060362">
        <w:rPr>
          <w:rFonts w:cs="Times New Roman"/>
          <w:i/>
          <w:lang w:val="fr-CA"/>
        </w:rPr>
        <w:t>. Burke</w:t>
      </w:r>
      <w:r w:rsidRPr="00060362">
        <w:rPr>
          <w:rFonts w:cs="Times New Roman"/>
          <w:lang w:val="fr-CA"/>
        </w:rPr>
        <w:t xml:space="preserve">, 2002 </w:t>
      </w:r>
      <w:r>
        <w:rPr>
          <w:rFonts w:cs="Times New Roman"/>
          <w:lang w:val="fr-CA"/>
        </w:rPr>
        <w:t>CSC</w:t>
      </w:r>
      <w:r w:rsidRPr="00060362">
        <w:rPr>
          <w:rFonts w:cs="Times New Roman"/>
          <w:lang w:val="fr-CA"/>
        </w:rPr>
        <w:t xml:space="preserve"> 55, [2002] 2 </w:t>
      </w:r>
      <w:r>
        <w:rPr>
          <w:rFonts w:cs="Times New Roman"/>
          <w:lang w:val="fr-CA"/>
        </w:rPr>
        <w:t>R.C.S</w:t>
      </w:r>
      <w:r w:rsidRPr="00060362">
        <w:rPr>
          <w:rFonts w:cs="Times New Roman"/>
          <w:lang w:val="fr-CA"/>
        </w:rPr>
        <w:t xml:space="preserve">. 857, </w:t>
      </w:r>
      <w:r>
        <w:rPr>
          <w:rFonts w:cs="Times New Roman"/>
          <w:lang w:val="fr-CA"/>
        </w:rPr>
        <w:t>par. </w:t>
      </w:r>
      <w:r w:rsidRPr="00060362">
        <w:rPr>
          <w:rFonts w:cs="Times New Roman"/>
          <w:lang w:val="fr-CA"/>
        </w:rPr>
        <w:t>54).</w:t>
      </w:r>
    </w:p>
    <w:p w:rsidR="009F09DA" w:rsidRPr="00060362" w:rsidRDefault="009F09DA" w:rsidP="009F09DA">
      <w:pPr>
        <w:pStyle w:val="ParaNoNdepar-AltN"/>
        <w:rPr>
          <w:rFonts w:cs="Times New Roman"/>
          <w:lang w:val="fr-CA"/>
        </w:rPr>
      </w:pPr>
      <w:r w:rsidRPr="00A66AD7">
        <w:rPr>
          <w:rFonts w:cs="Times New Roman"/>
          <w:lang w:val="fr-CA"/>
        </w:rPr>
        <w:t>Cette règle favorise la reconnaissance du caractère définitif des procédures et, en stabilisant les jugements susceptibles de révision, une procédure d</w:t>
      </w:r>
      <w:r>
        <w:rPr>
          <w:rFonts w:cs="Times New Roman"/>
          <w:lang w:val="fr-CA"/>
        </w:rPr>
        <w:t>’</w:t>
      </w:r>
      <w:r w:rsidRPr="00A66AD7">
        <w:rPr>
          <w:rFonts w:cs="Times New Roman"/>
          <w:lang w:val="fr-CA"/>
        </w:rPr>
        <w:t>appel ordonnée (</w:t>
      </w:r>
      <w:r w:rsidRPr="00A66AD7">
        <w:rPr>
          <w:rFonts w:cs="Times New Roman"/>
          <w:i/>
          <w:lang w:val="fr-CA"/>
        </w:rPr>
        <w:t>Chandler</w:t>
      </w:r>
      <w:r w:rsidRPr="00A66AD7">
        <w:rPr>
          <w:rFonts w:cs="Times New Roman"/>
          <w:lang w:val="fr-CA"/>
        </w:rPr>
        <w:t xml:space="preserve">, </w:t>
      </w:r>
      <w:r>
        <w:rPr>
          <w:rFonts w:cs="Times New Roman"/>
          <w:lang w:val="fr-CA"/>
        </w:rPr>
        <w:t>p. </w:t>
      </w:r>
      <w:r w:rsidRPr="00A66AD7">
        <w:rPr>
          <w:rFonts w:cs="Times New Roman"/>
          <w:lang w:val="fr-CA"/>
        </w:rPr>
        <w:t xml:space="preserve">861; </w:t>
      </w:r>
      <w:r w:rsidRPr="00A66AD7">
        <w:rPr>
          <w:rFonts w:cs="Times New Roman"/>
          <w:i/>
          <w:lang w:val="fr-CA"/>
        </w:rPr>
        <w:t>H. (E.)</w:t>
      </w:r>
      <w:r w:rsidRPr="00A66AD7">
        <w:rPr>
          <w:rFonts w:cs="Times New Roman"/>
          <w:lang w:val="fr-CA"/>
        </w:rPr>
        <w:t xml:space="preserve">, </w:t>
      </w:r>
      <w:r>
        <w:rPr>
          <w:rFonts w:cs="Times New Roman"/>
          <w:lang w:val="fr-CA"/>
        </w:rPr>
        <w:t>p. </w:t>
      </w:r>
      <w:r w:rsidRPr="00A66AD7">
        <w:rPr>
          <w:rFonts w:cs="Times New Roman"/>
          <w:lang w:val="fr-CA"/>
        </w:rPr>
        <w:t xml:space="preserve">214). </w:t>
      </w:r>
      <w:r w:rsidRPr="00A66AD7">
        <w:rPr>
          <w:lang w:val="fr-CA"/>
        </w:rPr>
        <w:t>Comme l</w:t>
      </w:r>
      <w:r>
        <w:rPr>
          <w:lang w:val="fr-CA"/>
        </w:rPr>
        <w:t>’</w:t>
      </w:r>
      <w:r w:rsidRPr="00A66AD7">
        <w:rPr>
          <w:lang w:val="fr-CA"/>
        </w:rPr>
        <w:t xml:space="preserve">a écrit le juge Doherty dans </w:t>
      </w:r>
      <w:proofErr w:type="spellStart"/>
      <w:r w:rsidRPr="00A66AD7">
        <w:rPr>
          <w:i/>
          <w:lang w:val="fr-CA"/>
        </w:rPr>
        <w:t>Tsaoussis</w:t>
      </w:r>
      <w:proofErr w:type="spellEnd"/>
      <w:r w:rsidRPr="00A66AD7">
        <w:rPr>
          <w:i/>
          <w:lang w:val="fr-CA"/>
        </w:rPr>
        <w:t xml:space="preserve"> (Litigation Guardian of) c. </w:t>
      </w:r>
      <w:proofErr w:type="spellStart"/>
      <w:r w:rsidRPr="00A66AD7">
        <w:rPr>
          <w:i/>
          <w:lang w:val="fr-CA"/>
        </w:rPr>
        <w:t>Baetz</w:t>
      </w:r>
      <w:proofErr w:type="spellEnd"/>
      <w:r w:rsidRPr="00A66AD7">
        <w:rPr>
          <w:i/>
          <w:lang w:val="fr-CA"/>
        </w:rPr>
        <w:t xml:space="preserve"> </w:t>
      </w:r>
      <w:r w:rsidRPr="00A66AD7">
        <w:rPr>
          <w:lang w:val="fr-CA"/>
        </w:rPr>
        <w:t>(1998), 41 O.R. (3d) 257 (C.A.), pour les parties à un litige, le caractère définitif répond à un besoin à la fois économique et psychologique, en plus de satisfaire une nécessité pratique pour le système de justice dans son ensemble (</w:t>
      </w:r>
      <w:r>
        <w:rPr>
          <w:lang w:val="fr-CA"/>
        </w:rPr>
        <w:t>p. </w:t>
      </w:r>
      <w:r w:rsidRPr="00A66AD7">
        <w:rPr>
          <w:lang w:val="fr-CA"/>
        </w:rPr>
        <w:t>264</w:t>
      </w:r>
      <w:r>
        <w:rPr>
          <w:lang w:val="fr-CA"/>
        </w:rPr>
        <w:noBreakHyphen/>
      </w:r>
      <w:r w:rsidRPr="00A66AD7">
        <w:rPr>
          <w:lang w:val="fr-CA"/>
        </w:rPr>
        <w:t>265). Plus précisément, si les juridictions inférieures pouvaient réexaminer continuellement leurs propres décisions, les justiciables seraient privés d</w:t>
      </w:r>
      <w:r>
        <w:rPr>
          <w:lang w:val="fr-CA"/>
        </w:rPr>
        <w:t>’</w:t>
      </w:r>
      <w:r w:rsidRPr="00A66AD7">
        <w:rPr>
          <w:lang w:val="fr-CA"/>
        </w:rPr>
        <w:t>une assise fiable à partir de laquelle interjeter appel à une juridiction supérieure</w:t>
      </w:r>
      <w:r w:rsidRPr="00A66AD7">
        <w:rPr>
          <w:rFonts w:cs="Times New Roman"/>
          <w:lang w:val="fr-CA"/>
        </w:rPr>
        <w:t xml:space="preserve"> (</w:t>
      </w:r>
      <w:r w:rsidRPr="00A66AD7">
        <w:rPr>
          <w:rFonts w:cs="Times New Roman"/>
          <w:i/>
          <w:lang w:val="fr-CA"/>
        </w:rPr>
        <w:t>Doucet</w:t>
      </w:r>
      <w:r>
        <w:rPr>
          <w:rFonts w:cs="Times New Roman"/>
          <w:i/>
          <w:lang w:val="fr-CA"/>
        </w:rPr>
        <w:noBreakHyphen/>
      </w:r>
      <w:r w:rsidRPr="00A66AD7">
        <w:rPr>
          <w:rFonts w:cs="Times New Roman"/>
          <w:i/>
          <w:lang w:val="fr-CA"/>
        </w:rPr>
        <w:t>Boudreau</w:t>
      </w:r>
      <w:r w:rsidRPr="00A66AD7">
        <w:rPr>
          <w:rFonts w:cs="Times New Roman"/>
          <w:lang w:val="fr-CA"/>
        </w:rPr>
        <w:t xml:space="preserve">, </w:t>
      </w:r>
      <w:r>
        <w:rPr>
          <w:rFonts w:cs="Times New Roman"/>
          <w:lang w:val="fr-CA"/>
        </w:rPr>
        <w:t>par. </w:t>
      </w:r>
      <w:r w:rsidRPr="00A66AD7">
        <w:rPr>
          <w:rFonts w:cs="Times New Roman"/>
          <w:lang w:val="fr-CA"/>
        </w:rPr>
        <w:t xml:space="preserve">79; voir aussi </w:t>
      </w:r>
      <w:r w:rsidRPr="00A66AD7">
        <w:rPr>
          <w:rFonts w:cs="Times New Roman"/>
          <w:i/>
          <w:lang w:val="fr-CA"/>
        </w:rPr>
        <w:t>Ayangma c. French School Board</w:t>
      </w:r>
      <w:r w:rsidRPr="00A66AD7">
        <w:rPr>
          <w:rFonts w:cs="Times New Roman"/>
          <w:lang w:val="fr-CA"/>
        </w:rPr>
        <w:t xml:space="preserve">, 2011 PECA 3, 306 </w:t>
      </w:r>
      <w:proofErr w:type="spellStart"/>
      <w:r w:rsidRPr="00A66AD7">
        <w:rPr>
          <w:rFonts w:cs="Times New Roman"/>
          <w:lang w:val="fr-CA"/>
        </w:rPr>
        <w:t>Nfld</w:t>
      </w:r>
      <w:proofErr w:type="spellEnd"/>
      <w:r w:rsidRPr="00A66AD7">
        <w:rPr>
          <w:rFonts w:cs="Times New Roman"/>
          <w:lang w:val="fr-CA"/>
        </w:rPr>
        <w:t xml:space="preserve">. &amp; P.E.I.R. 103, </w:t>
      </w:r>
      <w:r>
        <w:rPr>
          <w:rFonts w:cs="Times New Roman"/>
          <w:lang w:val="fr-CA"/>
        </w:rPr>
        <w:t>par. </w:t>
      </w:r>
      <w:r w:rsidRPr="00A66AD7">
        <w:rPr>
          <w:rFonts w:cs="Times New Roman"/>
          <w:lang w:val="fr-CA"/>
        </w:rPr>
        <w:t>11</w:t>
      </w:r>
      <w:r>
        <w:rPr>
          <w:rFonts w:cs="Times New Roman"/>
          <w:lang w:val="fr-CA"/>
        </w:rPr>
        <w:noBreakHyphen/>
      </w:r>
      <w:r w:rsidRPr="00060362">
        <w:rPr>
          <w:rFonts w:cs="Times New Roman"/>
          <w:lang w:val="fr-CA"/>
        </w:rPr>
        <w:t xml:space="preserve">12). </w:t>
      </w:r>
      <w:r>
        <w:rPr>
          <w:rFonts w:cs="Times New Roman"/>
          <w:lang w:val="fr-CA"/>
        </w:rPr>
        <w:t>Le dossier d’appel serait rédigé sur du [</w:t>
      </w:r>
      <w:r w:rsidRPr="003B2511">
        <w:rPr>
          <w:rFonts w:cs="Times New Roman"/>
          <w:smallCaps/>
          <w:lang w:val="fr-CA"/>
        </w:rPr>
        <w:t>traduction</w:t>
      </w:r>
      <w:r>
        <w:rPr>
          <w:rFonts w:cs="Times New Roman"/>
          <w:lang w:val="fr-CA"/>
        </w:rPr>
        <w:t xml:space="preserve">] « sable mouvant », ce qui finirait par faire obstacle à un contrôle efficace </w:t>
      </w:r>
      <w:r w:rsidRPr="00060362">
        <w:rPr>
          <w:rFonts w:cs="Times New Roman"/>
          <w:lang w:val="fr-CA"/>
        </w:rPr>
        <w:t xml:space="preserve">(Wong, </w:t>
      </w:r>
      <w:r>
        <w:rPr>
          <w:rFonts w:cs="Times New Roman"/>
          <w:lang w:val="fr-CA"/>
        </w:rPr>
        <w:t>p. </w:t>
      </w:r>
      <w:r w:rsidRPr="00060362">
        <w:rPr>
          <w:rFonts w:cs="Times New Roman"/>
          <w:lang w:val="fr-CA"/>
        </w:rPr>
        <w:t xml:space="preserve">548). </w:t>
      </w:r>
    </w:p>
    <w:p w:rsidR="009F09DA" w:rsidRPr="00A65ED0" w:rsidRDefault="009F09DA" w:rsidP="009F09DA">
      <w:pPr>
        <w:pStyle w:val="ParaNoNdepar-AltN"/>
        <w:rPr>
          <w:rFonts w:cs="Times New Roman"/>
          <w:lang w:val="fr-CA"/>
        </w:rPr>
      </w:pPr>
      <w:r w:rsidRPr="00DD13BF">
        <w:rPr>
          <w:rFonts w:cs="Times New Roman"/>
          <w:lang w:val="fr-CA"/>
        </w:rPr>
        <w:t xml:space="preserve">Cela dit, </w:t>
      </w:r>
      <w:r w:rsidRPr="00DD13BF">
        <w:rPr>
          <w:rFonts w:cs="Times New Roman"/>
          <w:i/>
          <w:lang w:val="fr-CA"/>
        </w:rPr>
        <w:t xml:space="preserve">functus officio </w:t>
      </w:r>
      <w:r w:rsidRPr="00DD13BF">
        <w:rPr>
          <w:rFonts w:cs="Times New Roman"/>
          <w:lang w:val="fr-CA"/>
        </w:rPr>
        <w:t>n</w:t>
      </w:r>
      <w:r>
        <w:rPr>
          <w:rFonts w:cs="Times New Roman"/>
          <w:lang w:val="fr-CA"/>
        </w:rPr>
        <w:t>’</w:t>
      </w:r>
      <w:r w:rsidRPr="00DD13BF">
        <w:rPr>
          <w:rFonts w:cs="Times New Roman"/>
          <w:lang w:val="fr-CA"/>
        </w:rPr>
        <w:t>est qu</w:t>
      </w:r>
      <w:r>
        <w:rPr>
          <w:rFonts w:cs="Times New Roman"/>
          <w:lang w:val="fr-CA"/>
        </w:rPr>
        <w:t>’</w:t>
      </w:r>
      <w:r w:rsidRPr="00DD13BF">
        <w:rPr>
          <w:rFonts w:cs="Times New Roman"/>
          <w:lang w:val="fr-CA"/>
        </w:rPr>
        <w:t xml:space="preserve">un de plusieurs principes de droit conçus pour </w:t>
      </w:r>
      <w:r>
        <w:rPr>
          <w:rFonts w:cs="Times New Roman"/>
          <w:lang w:val="fr-CA"/>
        </w:rPr>
        <w:t xml:space="preserve">favoriser le </w:t>
      </w:r>
      <w:r w:rsidRPr="00A66AD7">
        <w:rPr>
          <w:rFonts w:cs="Times New Roman"/>
          <w:lang w:val="fr-CA"/>
        </w:rPr>
        <w:t>caractère définitif d</w:t>
      </w:r>
      <w:r>
        <w:rPr>
          <w:rFonts w:cs="Times New Roman"/>
          <w:lang w:val="fr-CA"/>
        </w:rPr>
        <w:t>’</w:t>
      </w:r>
      <w:r w:rsidRPr="00A66AD7">
        <w:rPr>
          <w:rFonts w:cs="Times New Roman"/>
          <w:lang w:val="fr-CA"/>
        </w:rPr>
        <w:t>une décision. En effet, vu qu</w:t>
      </w:r>
      <w:r>
        <w:rPr>
          <w:rFonts w:cs="Times New Roman"/>
          <w:lang w:val="fr-CA"/>
        </w:rPr>
        <w:t>’</w:t>
      </w:r>
      <w:r w:rsidRPr="00A66AD7">
        <w:rPr>
          <w:rFonts w:cs="Times New Roman"/>
          <w:lang w:val="fr-CA"/>
        </w:rPr>
        <w:t>il est intrinsèquement lié à l</w:t>
      </w:r>
      <w:r>
        <w:rPr>
          <w:rFonts w:cs="Times New Roman"/>
          <w:lang w:val="fr-CA"/>
        </w:rPr>
        <w:t>’</w:t>
      </w:r>
      <w:r w:rsidRPr="00A66AD7">
        <w:rPr>
          <w:rFonts w:cs="Times New Roman"/>
          <w:lang w:val="fr-CA"/>
        </w:rPr>
        <w:t xml:space="preserve">inscription du jugement formel et que ses exceptions sont relativement restreintes, notre Cour a décrit la règle du </w:t>
      </w:r>
      <w:r w:rsidRPr="00A66AD7">
        <w:rPr>
          <w:rFonts w:cs="Times New Roman"/>
          <w:i/>
          <w:lang w:val="fr-CA"/>
        </w:rPr>
        <w:t>functus officio</w:t>
      </w:r>
      <w:r w:rsidRPr="00A66AD7">
        <w:rPr>
          <w:rFonts w:cs="Times New Roman"/>
          <w:lang w:val="fr-CA"/>
        </w:rPr>
        <w:t xml:space="preserve"> comme ayant une portée étroite (</w:t>
      </w:r>
      <w:r w:rsidRPr="00A66AD7">
        <w:rPr>
          <w:rFonts w:cs="Times New Roman"/>
          <w:i/>
          <w:lang w:val="fr-CA"/>
        </w:rPr>
        <w:t>Reekie</w:t>
      </w:r>
      <w:r w:rsidRPr="00A66AD7">
        <w:rPr>
          <w:rFonts w:cs="Times New Roman"/>
          <w:lang w:val="fr-CA"/>
        </w:rPr>
        <w:t xml:space="preserve">, </w:t>
      </w:r>
      <w:r>
        <w:rPr>
          <w:rFonts w:cs="Times New Roman"/>
          <w:lang w:val="fr-CA"/>
        </w:rPr>
        <w:t>p. </w:t>
      </w:r>
      <w:r w:rsidRPr="00A66AD7">
        <w:rPr>
          <w:rFonts w:cs="Times New Roman"/>
          <w:lang w:val="fr-CA"/>
        </w:rPr>
        <w:t>222</w:t>
      </w:r>
      <w:r>
        <w:rPr>
          <w:rFonts w:cs="Times New Roman"/>
          <w:lang w:val="fr-CA"/>
        </w:rPr>
        <w:noBreakHyphen/>
        <w:t>2</w:t>
      </w:r>
      <w:r w:rsidRPr="00A66AD7">
        <w:rPr>
          <w:rFonts w:cs="Times New Roman"/>
          <w:lang w:val="fr-CA"/>
        </w:rPr>
        <w:t xml:space="preserve">23; voir aussi Wong, </w:t>
      </w:r>
      <w:r>
        <w:rPr>
          <w:rFonts w:cs="Times New Roman"/>
          <w:lang w:val="fr-CA"/>
        </w:rPr>
        <w:t>p. </w:t>
      </w:r>
      <w:r w:rsidRPr="00A66AD7">
        <w:rPr>
          <w:rFonts w:cs="Times New Roman"/>
          <w:lang w:val="fr-CA"/>
        </w:rPr>
        <w:t>555</w:t>
      </w:r>
      <w:r>
        <w:rPr>
          <w:rFonts w:cs="Times New Roman"/>
          <w:lang w:val="fr-CA"/>
        </w:rPr>
        <w:noBreakHyphen/>
      </w:r>
      <w:r w:rsidRPr="00A66AD7">
        <w:rPr>
          <w:rFonts w:cs="Times New Roman"/>
          <w:lang w:val="fr-CA"/>
        </w:rPr>
        <w:t>556). Donc, bien que notre jurisprudence reconnaisse que cette norme importante</w:t>
      </w:r>
      <w:r w:rsidRPr="00DD13BF">
        <w:rPr>
          <w:rFonts w:cs="Times New Roman"/>
          <w:lang w:val="fr-CA"/>
        </w:rPr>
        <w:t xml:space="preserve"> serve cet objet nécessaire, aucune règle n</w:t>
      </w:r>
      <w:r>
        <w:rPr>
          <w:rFonts w:cs="Times New Roman"/>
          <w:lang w:val="fr-CA"/>
        </w:rPr>
        <w:t>’</w:t>
      </w:r>
      <w:r w:rsidRPr="00DD13BF">
        <w:rPr>
          <w:rFonts w:cs="Times New Roman"/>
          <w:lang w:val="fr-CA"/>
        </w:rPr>
        <w:t>a le monopole du caractère définitif.</w:t>
      </w:r>
      <w:r>
        <w:rPr>
          <w:rFonts w:cs="Times New Roman"/>
          <w:color w:val="FF0000"/>
          <w:lang w:val="fr-CA"/>
        </w:rPr>
        <w:t xml:space="preserve"> </w:t>
      </w:r>
    </w:p>
    <w:p w:rsidR="009F09DA" w:rsidRPr="00C26FA8" w:rsidRDefault="009F09DA" w:rsidP="009F09DA">
      <w:pPr>
        <w:pStyle w:val="ParaNoNdepar-AltN"/>
        <w:rPr>
          <w:rFonts w:cs="Times New Roman"/>
          <w:lang w:val="fr-CA"/>
        </w:rPr>
      </w:pPr>
      <w:r w:rsidRPr="00DD13BF">
        <w:rPr>
          <w:rFonts w:cs="Times New Roman"/>
          <w:lang w:val="fr-CA"/>
        </w:rPr>
        <w:t>I</w:t>
      </w:r>
      <w:r>
        <w:rPr>
          <w:rFonts w:cs="Times New Roman"/>
          <w:lang w:val="fr-CA"/>
        </w:rPr>
        <w:t xml:space="preserve">l est utile </w:t>
      </w:r>
      <w:r w:rsidRPr="00DD13BF">
        <w:rPr>
          <w:rFonts w:cs="Times New Roman"/>
          <w:lang w:val="fr-CA"/>
        </w:rPr>
        <w:t>de faire la distinction entre l</w:t>
      </w:r>
      <w:r>
        <w:rPr>
          <w:rFonts w:cs="Times New Roman"/>
          <w:lang w:val="fr-CA"/>
        </w:rPr>
        <w:t xml:space="preserve">e pouvoir </w:t>
      </w:r>
      <w:r w:rsidRPr="00DD13BF">
        <w:rPr>
          <w:rFonts w:cs="Times New Roman"/>
          <w:lang w:val="fr-CA"/>
        </w:rPr>
        <w:t xml:space="preserve">de connaître du fond, perdu par application </w:t>
      </w:r>
      <w:r>
        <w:rPr>
          <w:rFonts w:cs="Times New Roman"/>
          <w:lang w:val="fr-CA"/>
        </w:rPr>
        <w:t xml:space="preserve">de la règle du </w:t>
      </w:r>
      <w:r w:rsidRPr="00060362">
        <w:rPr>
          <w:rFonts w:cs="Times New Roman"/>
          <w:i/>
          <w:lang w:val="fr-CA"/>
        </w:rPr>
        <w:t>functus officio</w:t>
      </w:r>
      <w:r w:rsidRPr="00200941">
        <w:rPr>
          <w:rFonts w:cs="Times New Roman"/>
          <w:iCs/>
          <w:lang w:val="fr-CA"/>
        </w:rPr>
        <w:t>,</w:t>
      </w:r>
      <w:r w:rsidRPr="00060362">
        <w:rPr>
          <w:rFonts w:cs="Times New Roman"/>
          <w:i/>
          <w:lang w:val="fr-CA"/>
        </w:rPr>
        <w:t xml:space="preserve"> </w:t>
      </w:r>
      <w:r>
        <w:rPr>
          <w:rFonts w:cs="Times New Roman"/>
          <w:lang w:val="fr-CA"/>
        </w:rPr>
        <w:t>et la compétence qui existe pour superviser le dossier judiciaire</w:t>
      </w:r>
      <w:r w:rsidRPr="00060362">
        <w:rPr>
          <w:rFonts w:cs="Times New Roman"/>
          <w:lang w:val="fr-CA"/>
        </w:rPr>
        <w:t xml:space="preserve">. </w:t>
      </w:r>
      <w:r>
        <w:rPr>
          <w:rFonts w:cs="Times New Roman"/>
          <w:lang w:val="fr-CA"/>
        </w:rPr>
        <w:t xml:space="preserve">Comme je </w:t>
      </w:r>
      <w:r w:rsidRPr="00C26FA8">
        <w:rPr>
          <w:rFonts w:cs="Times New Roman"/>
          <w:lang w:val="fr-CA"/>
        </w:rPr>
        <w:t>m</w:t>
      </w:r>
      <w:r>
        <w:rPr>
          <w:rFonts w:cs="Times New Roman"/>
          <w:lang w:val="fr-CA"/>
        </w:rPr>
        <w:t>’</w:t>
      </w:r>
      <w:r w:rsidRPr="00C26FA8">
        <w:rPr>
          <w:rFonts w:cs="Times New Roman"/>
          <w:lang w:val="fr-CA"/>
        </w:rPr>
        <w:t>efforcerai de l</w:t>
      </w:r>
      <w:r>
        <w:rPr>
          <w:rFonts w:cs="Times New Roman"/>
          <w:lang w:val="fr-CA"/>
        </w:rPr>
        <w:t>’</w:t>
      </w:r>
      <w:r w:rsidRPr="00C26FA8">
        <w:rPr>
          <w:rFonts w:cs="Times New Roman"/>
          <w:lang w:val="fr-CA"/>
        </w:rPr>
        <w:t>expliquer plus loin, même lorsqu</w:t>
      </w:r>
      <w:r>
        <w:rPr>
          <w:rFonts w:cs="Times New Roman"/>
          <w:lang w:val="fr-CA"/>
        </w:rPr>
        <w:t>’</w:t>
      </w:r>
      <w:r w:rsidRPr="00C26FA8">
        <w:rPr>
          <w:rFonts w:cs="Times New Roman"/>
          <w:lang w:val="fr-CA"/>
        </w:rPr>
        <w:t>un tribunal a perdu le pouvoir de connaître du fond d</w:t>
      </w:r>
      <w:r>
        <w:rPr>
          <w:rFonts w:cs="Times New Roman"/>
          <w:lang w:val="fr-CA"/>
        </w:rPr>
        <w:t>’</w:t>
      </w:r>
      <w:r w:rsidRPr="00C26FA8">
        <w:rPr>
          <w:rFonts w:cs="Times New Roman"/>
          <w:lang w:val="fr-CA"/>
        </w:rPr>
        <w:t>une affaire pour avoir inscrit son jugement formel, il demeure compétent pour contrôler son propre dossier à l</w:t>
      </w:r>
      <w:r>
        <w:rPr>
          <w:rFonts w:cs="Times New Roman"/>
          <w:lang w:val="fr-CA"/>
        </w:rPr>
        <w:t>’</w:t>
      </w:r>
      <w:r w:rsidRPr="00C26FA8">
        <w:rPr>
          <w:rFonts w:cs="Times New Roman"/>
          <w:lang w:val="fr-CA"/>
        </w:rPr>
        <w:t>égard d</w:t>
      </w:r>
      <w:r>
        <w:rPr>
          <w:rFonts w:cs="Times New Roman"/>
          <w:lang w:val="fr-CA"/>
        </w:rPr>
        <w:t>’</w:t>
      </w:r>
      <w:r w:rsidRPr="00C26FA8">
        <w:rPr>
          <w:rFonts w:cs="Times New Roman"/>
          <w:lang w:val="fr-CA"/>
        </w:rPr>
        <w:t xml:space="preserve">une instance généralement considérée comme étant une affaire accessoire, mais indépendante (voir, </w:t>
      </w:r>
      <w:r>
        <w:rPr>
          <w:rFonts w:cs="Times New Roman"/>
          <w:lang w:val="fr-CA"/>
        </w:rPr>
        <w:t>p. </w:t>
      </w:r>
      <w:r w:rsidRPr="00C26FA8">
        <w:rPr>
          <w:rFonts w:cs="Times New Roman"/>
          <w:lang w:val="fr-CA"/>
        </w:rPr>
        <w:t xml:space="preserve">ex., </w:t>
      </w:r>
      <w:r w:rsidRPr="00C26FA8">
        <w:rPr>
          <w:rFonts w:cs="Times New Roman"/>
          <w:i/>
          <w:lang w:val="fr-CA"/>
        </w:rPr>
        <w:t>GEA Refrigeration Canada Inc. c. Chang</w:t>
      </w:r>
      <w:r w:rsidRPr="00C26FA8">
        <w:rPr>
          <w:rFonts w:cs="Times New Roman"/>
          <w:lang w:val="fr-CA"/>
        </w:rPr>
        <w:t xml:space="preserve">, 2020 BCCA 361, 43 B.C.L.R. (6th) 330, </w:t>
      </w:r>
      <w:r>
        <w:rPr>
          <w:rFonts w:cs="Times New Roman"/>
          <w:lang w:val="fr-CA"/>
        </w:rPr>
        <w:t>par. </w:t>
      </w:r>
      <w:r w:rsidRPr="00C26FA8">
        <w:rPr>
          <w:rFonts w:cs="Times New Roman"/>
          <w:lang w:val="fr-CA"/>
        </w:rPr>
        <w:t>185</w:t>
      </w:r>
      <w:r>
        <w:rPr>
          <w:rFonts w:cs="Times New Roman"/>
          <w:lang w:val="fr-CA"/>
        </w:rPr>
        <w:noBreakHyphen/>
        <w:t>1</w:t>
      </w:r>
      <w:r w:rsidRPr="00C26FA8">
        <w:rPr>
          <w:rFonts w:cs="Times New Roman"/>
          <w:lang w:val="fr-CA"/>
        </w:rPr>
        <w:t xml:space="preserve">86). </w:t>
      </w:r>
    </w:p>
    <w:p w:rsidR="009F09DA" w:rsidRPr="00C26FA8" w:rsidRDefault="009F09DA" w:rsidP="009F09DA">
      <w:pPr>
        <w:pStyle w:val="ParaNoNdepar-AltN"/>
        <w:rPr>
          <w:rFonts w:cs="Times New Roman"/>
          <w:lang w:val="fr-CA"/>
        </w:rPr>
      </w:pPr>
      <w:r w:rsidRPr="00C26FA8">
        <w:rPr>
          <w:rFonts w:cs="Times New Roman"/>
          <w:lang w:val="fr-CA"/>
        </w:rPr>
        <w:t>Le pouvoir de surveillance à l</w:t>
      </w:r>
      <w:r>
        <w:rPr>
          <w:rFonts w:cs="Times New Roman"/>
          <w:lang w:val="fr-CA"/>
        </w:rPr>
        <w:t>’</w:t>
      </w:r>
      <w:r w:rsidRPr="00C26FA8">
        <w:rPr>
          <w:rFonts w:cs="Times New Roman"/>
          <w:lang w:val="fr-CA"/>
        </w:rPr>
        <w:t>égard du dossier judiciaire est reconnu depuis longtemps comme une caractéristique de la compétence de tous les tribunaux (</w:t>
      </w:r>
      <w:r w:rsidRPr="00C26FA8">
        <w:rPr>
          <w:rFonts w:cs="Times New Roman"/>
          <w:i/>
          <w:lang w:val="fr-CA"/>
        </w:rPr>
        <w:t>Procureur général de la Nouvelle</w:t>
      </w:r>
      <w:r>
        <w:rPr>
          <w:rFonts w:cs="Times New Roman"/>
          <w:i/>
          <w:lang w:val="fr-CA"/>
        </w:rPr>
        <w:noBreakHyphen/>
      </w:r>
      <w:r w:rsidRPr="00C26FA8">
        <w:rPr>
          <w:rFonts w:cs="Times New Roman"/>
          <w:i/>
          <w:lang w:val="fr-CA"/>
        </w:rPr>
        <w:t>Écosse c. MacIntyre</w:t>
      </w:r>
      <w:r w:rsidRPr="00C26FA8">
        <w:rPr>
          <w:rFonts w:cs="Times New Roman"/>
          <w:lang w:val="fr-CA"/>
        </w:rPr>
        <w:t xml:space="preserve">, [1982] 1 R.C.S. 175, </w:t>
      </w:r>
      <w:r>
        <w:rPr>
          <w:rFonts w:cs="Times New Roman"/>
          <w:lang w:val="fr-CA"/>
        </w:rPr>
        <w:t>p. </w:t>
      </w:r>
      <w:r w:rsidRPr="00C26FA8">
        <w:rPr>
          <w:rFonts w:cs="Times New Roman"/>
          <w:lang w:val="fr-CA"/>
        </w:rPr>
        <w:t xml:space="preserve">189; voir aussi </w:t>
      </w:r>
      <w:r w:rsidRPr="00C26FA8">
        <w:rPr>
          <w:rFonts w:cs="Times New Roman"/>
          <w:i/>
          <w:lang w:val="fr-CA"/>
        </w:rPr>
        <w:t>Société Radio</w:t>
      </w:r>
      <w:r>
        <w:rPr>
          <w:rFonts w:cs="Times New Roman"/>
          <w:i/>
          <w:lang w:val="fr-CA"/>
        </w:rPr>
        <w:noBreakHyphen/>
      </w:r>
      <w:r w:rsidRPr="00C26FA8">
        <w:rPr>
          <w:rFonts w:cs="Times New Roman"/>
          <w:i/>
          <w:lang w:val="fr-CA"/>
        </w:rPr>
        <w:t>Canada c. La Reine</w:t>
      </w:r>
      <w:r w:rsidRPr="00C26FA8">
        <w:rPr>
          <w:rFonts w:cs="Times New Roman"/>
          <w:lang w:val="fr-CA"/>
        </w:rPr>
        <w:t xml:space="preserve">, 2011 </w:t>
      </w:r>
      <w:r>
        <w:rPr>
          <w:rFonts w:cs="Times New Roman"/>
          <w:lang w:val="fr-CA"/>
        </w:rPr>
        <w:t>CSC</w:t>
      </w:r>
      <w:r w:rsidRPr="00060362">
        <w:rPr>
          <w:rFonts w:cs="Times New Roman"/>
          <w:lang w:val="fr-CA"/>
        </w:rPr>
        <w:t xml:space="preserve"> 3, [2011] 1 </w:t>
      </w:r>
      <w:r>
        <w:rPr>
          <w:rFonts w:cs="Times New Roman"/>
          <w:lang w:val="fr-CA"/>
        </w:rPr>
        <w:t>R.C.S</w:t>
      </w:r>
      <w:r w:rsidRPr="00060362">
        <w:rPr>
          <w:rFonts w:cs="Times New Roman"/>
          <w:lang w:val="fr-CA"/>
        </w:rPr>
        <w:t xml:space="preserve">. 65, </w:t>
      </w:r>
      <w:r>
        <w:rPr>
          <w:rFonts w:cs="Times New Roman"/>
          <w:lang w:val="fr-CA"/>
        </w:rPr>
        <w:t>par. </w:t>
      </w:r>
      <w:r w:rsidRPr="00060362">
        <w:rPr>
          <w:rFonts w:cs="Times New Roman"/>
          <w:lang w:val="fr-CA"/>
        </w:rPr>
        <w:t xml:space="preserve">12). </w:t>
      </w:r>
      <w:r>
        <w:rPr>
          <w:rFonts w:cs="Times New Roman"/>
          <w:lang w:val="fr-CA"/>
        </w:rPr>
        <w:t>Comme l’a fait remarquer le juge</w:t>
      </w:r>
      <w:r w:rsidRPr="00060362">
        <w:rPr>
          <w:rFonts w:cs="Times New Roman"/>
          <w:lang w:val="fr-CA"/>
        </w:rPr>
        <w:t xml:space="preserve"> </w:t>
      </w:r>
      <w:proofErr w:type="spellStart"/>
      <w:r w:rsidRPr="00060362">
        <w:rPr>
          <w:rFonts w:cs="Times New Roman"/>
          <w:lang w:val="fr-CA"/>
        </w:rPr>
        <w:t>Gou</w:t>
      </w:r>
      <w:r>
        <w:rPr>
          <w:rFonts w:cs="Times New Roman"/>
          <w:lang w:val="fr-CA"/>
        </w:rPr>
        <w:t>d</w:t>
      </w:r>
      <w:r w:rsidRPr="00060362">
        <w:rPr>
          <w:rFonts w:cs="Times New Roman"/>
          <w:lang w:val="fr-CA"/>
        </w:rPr>
        <w:t>ge</w:t>
      </w:r>
      <w:proofErr w:type="spellEnd"/>
      <w:r w:rsidRPr="00060362">
        <w:rPr>
          <w:rFonts w:cs="Times New Roman"/>
          <w:lang w:val="fr-CA"/>
        </w:rPr>
        <w:t> </w:t>
      </w:r>
      <w:r>
        <w:rPr>
          <w:rFonts w:cs="Times New Roman"/>
          <w:lang w:val="fr-CA"/>
        </w:rPr>
        <w:t>dans</w:t>
      </w:r>
      <w:r w:rsidRPr="00060362">
        <w:rPr>
          <w:rFonts w:cs="Times New Roman"/>
          <w:lang w:val="fr-CA"/>
        </w:rPr>
        <w:t xml:space="preserve"> </w:t>
      </w:r>
      <w:r w:rsidRPr="00060362">
        <w:rPr>
          <w:rFonts w:cs="Times New Roman"/>
          <w:i/>
          <w:lang w:val="fr-CA"/>
        </w:rPr>
        <w:t xml:space="preserve">CTV Television Inc. </w:t>
      </w:r>
      <w:r>
        <w:rPr>
          <w:rFonts w:cs="Times New Roman"/>
          <w:i/>
          <w:lang w:val="fr-CA"/>
        </w:rPr>
        <w:t>c</w:t>
      </w:r>
      <w:r w:rsidRPr="00060362">
        <w:rPr>
          <w:rFonts w:cs="Times New Roman"/>
          <w:i/>
          <w:lang w:val="fr-CA"/>
        </w:rPr>
        <w:t>. Ontario Superior Court of Justice (Toronto Region)</w:t>
      </w:r>
      <w:r w:rsidRPr="00060362">
        <w:rPr>
          <w:rFonts w:cs="Times New Roman"/>
          <w:lang w:val="fr-CA"/>
        </w:rPr>
        <w:t xml:space="preserve"> (2002), 59 O.R. (3d) 18 (C.A.), </w:t>
      </w:r>
      <w:r>
        <w:rPr>
          <w:rFonts w:cs="Times New Roman"/>
          <w:lang w:val="fr-CA"/>
        </w:rPr>
        <w:t>[</w:t>
      </w:r>
      <w:r w:rsidRPr="00F05B96">
        <w:rPr>
          <w:rFonts w:cs="Times New Roman"/>
          <w:smallCaps/>
          <w:lang w:val="fr-CA"/>
        </w:rPr>
        <w:t>traduction</w:t>
      </w:r>
      <w:r>
        <w:rPr>
          <w:rFonts w:cs="Times New Roman"/>
          <w:lang w:val="fr-CA"/>
        </w:rPr>
        <w:t xml:space="preserve">] « il est important de se rappeler que la compétence du tribunal à l’égard de ses propres dossiers est ancrée dans la politique publique essentielle favorisant l’accès aux rouages des tribunaux » (par. 13). En particulier, les tribunaux doivent assurer le respect du solide principe, protégé par la Constitution, de la publicité des débats judiciaires, tout en demeurant sensibles aux « importants intérêts publics divergents » que cette publicité des débats peut mettre en péril </w:t>
      </w:r>
      <w:r w:rsidRPr="00060362">
        <w:rPr>
          <w:rFonts w:cs="Times New Roman"/>
          <w:lang w:val="fr-CA"/>
        </w:rPr>
        <w:t>(</w:t>
      </w:r>
      <w:r w:rsidRPr="00060362">
        <w:rPr>
          <w:rFonts w:cs="Times New Roman"/>
          <w:i/>
          <w:lang w:val="fr-CA"/>
        </w:rPr>
        <w:t>Vancouver Sun (Re)</w:t>
      </w:r>
      <w:r w:rsidRPr="00060362">
        <w:rPr>
          <w:rFonts w:cs="Times New Roman"/>
          <w:lang w:val="fr-CA"/>
        </w:rPr>
        <w:t xml:space="preserve">, 2004 </w:t>
      </w:r>
      <w:r>
        <w:rPr>
          <w:rFonts w:cs="Times New Roman"/>
          <w:lang w:val="fr-CA"/>
        </w:rPr>
        <w:t>CSC</w:t>
      </w:r>
      <w:r w:rsidRPr="00060362">
        <w:rPr>
          <w:rFonts w:cs="Times New Roman"/>
          <w:lang w:val="fr-CA"/>
        </w:rPr>
        <w:t xml:space="preserve"> 43, [2004] 2 </w:t>
      </w:r>
      <w:r>
        <w:rPr>
          <w:rFonts w:cs="Times New Roman"/>
          <w:lang w:val="fr-CA"/>
        </w:rPr>
        <w:t>R.C.S</w:t>
      </w:r>
      <w:r w:rsidRPr="00060362">
        <w:rPr>
          <w:rFonts w:cs="Times New Roman"/>
          <w:lang w:val="fr-CA"/>
        </w:rPr>
        <w:t xml:space="preserve">. 332, </w:t>
      </w:r>
      <w:r>
        <w:rPr>
          <w:rFonts w:cs="Times New Roman"/>
          <w:lang w:val="fr-CA"/>
        </w:rPr>
        <w:t>par. </w:t>
      </w:r>
      <w:r w:rsidRPr="00C26FA8">
        <w:rPr>
          <w:rFonts w:cs="Times New Roman"/>
          <w:lang w:val="fr-CA"/>
        </w:rPr>
        <w:t xml:space="preserve">26 et 28). </w:t>
      </w:r>
    </w:p>
    <w:p w:rsidR="009F09DA" w:rsidRPr="00DD13BF" w:rsidRDefault="009F09DA" w:rsidP="009F09DA">
      <w:pPr>
        <w:pStyle w:val="ParaNoNdepar-AltN"/>
        <w:rPr>
          <w:rFonts w:cs="Times New Roman"/>
          <w:lang w:val="fr-CA"/>
        </w:rPr>
      </w:pPr>
      <w:r w:rsidRPr="00C26FA8">
        <w:rPr>
          <w:rFonts w:cs="Times New Roman"/>
          <w:lang w:val="fr-CA"/>
        </w:rPr>
        <w:t>Le besoin d</w:t>
      </w:r>
      <w:r>
        <w:rPr>
          <w:rFonts w:cs="Times New Roman"/>
          <w:lang w:val="fr-CA"/>
        </w:rPr>
        <w:t>’</w:t>
      </w:r>
      <w:r w:rsidRPr="00C26FA8">
        <w:rPr>
          <w:rFonts w:cs="Times New Roman"/>
          <w:lang w:val="fr-CA"/>
        </w:rPr>
        <w:t>établir un juste équilibre entre ces intérêts publics fondamentaux ne disparaît pas du seul fait que l</w:t>
      </w:r>
      <w:r>
        <w:rPr>
          <w:rFonts w:cs="Times New Roman"/>
          <w:lang w:val="fr-CA"/>
        </w:rPr>
        <w:t>’</w:t>
      </w:r>
      <w:r w:rsidRPr="00C26FA8">
        <w:rPr>
          <w:rFonts w:cs="Times New Roman"/>
          <w:lang w:val="fr-CA"/>
        </w:rPr>
        <w:t>ordonnance sur le fond est définitive et aurait pu être portée en appel. On peut avoir accès aux dossiers judiciaires même lorsque l</w:t>
      </w:r>
      <w:r>
        <w:rPr>
          <w:rFonts w:cs="Times New Roman"/>
          <w:lang w:val="fr-CA"/>
        </w:rPr>
        <w:t>’</w:t>
      </w:r>
      <w:r w:rsidRPr="00C26FA8">
        <w:rPr>
          <w:rFonts w:cs="Times New Roman"/>
          <w:lang w:val="fr-CA"/>
        </w:rPr>
        <w:t>instance est arrivée à terme. De fait, d</w:t>
      </w:r>
      <w:r>
        <w:rPr>
          <w:rFonts w:cs="Times New Roman"/>
          <w:lang w:val="fr-CA"/>
        </w:rPr>
        <w:t>’</w:t>
      </w:r>
      <w:r w:rsidRPr="00C26FA8">
        <w:rPr>
          <w:rFonts w:cs="Times New Roman"/>
          <w:lang w:val="fr-CA"/>
        </w:rPr>
        <w:t>importantes décisions au sujet de la publicité du dossier judiciaire peuvent devoir être prises après la fin de l</w:t>
      </w:r>
      <w:r>
        <w:rPr>
          <w:rFonts w:cs="Times New Roman"/>
          <w:lang w:val="fr-CA"/>
        </w:rPr>
        <w:t>’</w:t>
      </w:r>
      <w:r w:rsidRPr="00C26FA8">
        <w:rPr>
          <w:rFonts w:cs="Times New Roman"/>
          <w:lang w:val="fr-CA"/>
        </w:rPr>
        <w:t xml:space="preserve">instance sur le fond (voir, </w:t>
      </w:r>
      <w:r>
        <w:rPr>
          <w:rFonts w:cs="Times New Roman"/>
          <w:lang w:val="fr-CA"/>
        </w:rPr>
        <w:t>p. </w:t>
      </w:r>
      <w:r w:rsidRPr="00C26FA8">
        <w:rPr>
          <w:rFonts w:cs="Times New Roman"/>
          <w:lang w:val="fr-CA"/>
        </w:rPr>
        <w:t xml:space="preserve">ex., </w:t>
      </w:r>
      <w:r w:rsidRPr="00C26FA8">
        <w:rPr>
          <w:rFonts w:cs="Times New Roman"/>
          <w:i/>
          <w:lang w:val="fr-CA"/>
        </w:rPr>
        <w:t>R. c. Wagner</w:t>
      </w:r>
      <w:r w:rsidRPr="00C26FA8">
        <w:rPr>
          <w:rFonts w:cs="Times New Roman"/>
          <w:lang w:val="fr-CA"/>
        </w:rPr>
        <w:t xml:space="preserve">, 2017 ONSC 6603; </w:t>
      </w:r>
      <w:r w:rsidRPr="00C26FA8">
        <w:rPr>
          <w:rFonts w:cs="Times New Roman"/>
          <w:i/>
          <w:lang w:val="fr-CA"/>
        </w:rPr>
        <w:t>R. c. Henry</w:t>
      </w:r>
      <w:r w:rsidRPr="00C26FA8">
        <w:rPr>
          <w:rFonts w:cs="Times New Roman"/>
          <w:lang w:val="fr-CA"/>
        </w:rPr>
        <w:t>, 2012 BCCA 374, 327 B.C.A.C. 190). Si la compétence à l</w:t>
      </w:r>
      <w:r>
        <w:rPr>
          <w:rFonts w:cs="Times New Roman"/>
          <w:lang w:val="fr-CA"/>
        </w:rPr>
        <w:t>’</w:t>
      </w:r>
      <w:r w:rsidRPr="00C26FA8">
        <w:rPr>
          <w:rFonts w:cs="Times New Roman"/>
          <w:lang w:val="fr-CA"/>
        </w:rPr>
        <w:t xml:space="preserve">égard de la publicité des </w:t>
      </w:r>
      <w:r>
        <w:rPr>
          <w:rFonts w:cs="Times New Roman"/>
          <w:lang w:val="fr-CA"/>
        </w:rPr>
        <w:t>débats judiciaires cessait lorsque l’ordonnance officielle sur le fond était inscrite, les tribunaux perdraient la maîtrise de leur propre dossier sans raison valable</w:t>
      </w:r>
      <w:r w:rsidRPr="00060362">
        <w:rPr>
          <w:rFonts w:cs="Times New Roman"/>
          <w:lang w:val="fr-CA"/>
        </w:rPr>
        <w:t xml:space="preserve">. </w:t>
      </w:r>
      <w:r w:rsidRPr="00DD13BF">
        <w:rPr>
          <w:rFonts w:cs="Times New Roman"/>
          <w:lang w:val="fr-CA"/>
        </w:rPr>
        <w:t>Prenez par exemple le cas où aucune ordonnance limitant la publicité des débats judiciaire</w:t>
      </w:r>
      <w:r>
        <w:rPr>
          <w:rFonts w:cs="Times New Roman"/>
          <w:lang w:val="fr-CA"/>
        </w:rPr>
        <w:t>s</w:t>
      </w:r>
      <w:r w:rsidRPr="00DD13BF">
        <w:rPr>
          <w:rFonts w:cs="Times New Roman"/>
          <w:lang w:val="fr-CA"/>
        </w:rPr>
        <w:t xml:space="preserve"> n</w:t>
      </w:r>
      <w:r>
        <w:rPr>
          <w:rFonts w:cs="Times New Roman"/>
          <w:lang w:val="fr-CA"/>
        </w:rPr>
        <w:t>’</w:t>
      </w:r>
      <w:r w:rsidRPr="00DD13BF">
        <w:rPr>
          <w:rFonts w:cs="Times New Roman"/>
          <w:lang w:val="fr-CA"/>
        </w:rPr>
        <w:t>est rendue avant l</w:t>
      </w:r>
      <w:r>
        <w:rPr>
          <w:rFonts w:cs="Times New Roman"/>
          <w:lang w:val="fr-CA"/>
        </w:rPr>
        <w:t>’</w:t>
      </w:r>
      <w:r w:rsidRPr="00DD13BF">
        <w:rPr>
          <w:rFonts w:cs="Times New Roman"/>
          <w:lang w:val="fr-CA"/>
        </w:rPr>
        <w:t>inscription du jugement formel sur le fond et où l</w:t>
      </w:r>
      <w:r>
        <w:rPr>
          <w:rFonts w:cs="Times New Roman"/>
          <w:lang w:val="fr-CA"/>
        </w:rPr>
        <w:t>’</w:t>
      </w:r>
      <w:r w:rsidRPr="00DD13BF">
        <w:rPr>
          <w:rFonts w:cs="Times New Roman"/>
          <w:lang w:val="fr-CA"/>
        </w:rPr>
        <w:t>on constate par la suite qu</w:t>
      </w:r>
      <w:r>
        <w:rPr>
          <w:rFonts w:cs="Times New Roman"/>
          <w:lang w:val="fr-CA"/>
        </w:rPr>
        <w:t>’</w:t>
      </w:r>
      <w:r w:rsidRPr="00DD13BF">
        <w:rPr>
          <w:rFonts w:cs="Times New Roman"/>
          <w:lang w:val="fr-CA"/>
        </w:rPr>
        <w:t>il faut protéger un intérêt public important. À mon humble avis, conclure que ce pouvoir est entièrement perdu une fois l</w:t>
      </w:r>
      <w:r>
        <w:rPr>
          <w:rFonts w:cs="Times New Roman"/>
          <w:lang w:val="fr-CA"/>
        </w:rPr>
        <w:t>’</w:t>
      </w:r>
      <w:r w:rsidRPr="00DD13BF">
        <w:rPr>
          <w:rFonts w:cs="Times New Roman"/>
          <w:lang w:val="fr-CA"/>
        </w:rPr>
        <w:t>ordonnance formelle sur le fond inscrite</w:t>
      </w:r>
      <w:r>
        <w:rPr>
          <w:rFonts w:cs="Times New Roman"/>
          <w:lang w:val="fr-CA"/>
        </w:rPr>
        <w:t xml:space="preserve"> </w:t>
      </w:r>
      <w:r w:rsidRPr="00DD13BF">
        <w:rPr>
          <w:rFonts w:cs="Times New Roman"/>
          <w:lang w:val="fr-CA"/>
        </w:rPr>
        <w:t>risque de mettre à mal la bonne administration de la justice au service d</w:t>
      </w:r>
      <w:r>
        <w:rPr>
          <w:rFonts w:cs="Times New Roman"/>
          <w:lang w:val="fr-CA"/>
        </w:rPr>
        <w:t>’</w:t>
      </w:r>
      <w:r w:rsidRPr="00DD13BF">
        <w:rPr>
          <w:rFonts w:cs="Times New Roman"/>
          <w:lang w:val="fr-CA"/>
        </w:rPr>
        <w:t xml:space="preserve">une interprétation de la règle du </w:t>
      </w:r>
      <w:r w:rsidRPr="00DD13BF">
        <w:rPr>
          <w:rFonts w:cs="Times New Roman"/>
          <w:i/>
          <w:lang w:val="fr-CA"/>
        </w:rPr>
        <w:t>functus officio</w:t>
      </w:r>
      <w:r w:rsidRPr="00DD13BF">
        <w:rPr>
          <w:rFonts w:cs="Times New Roman"/>
          <w:lang w:val="fr-CA"/>
        </w:rPr>
        <w:t xml:space="preserve"> qui est étrangère à son objectif.</w:t>
      </w:r>
    </w:p>
    <w:p w:rsidR="009F09DA" w:rsidRPr="00C26FA8" w:rsidRDefault="009F09DA" w:rsidP="009F09DA">
      <w:pPr>
        <w:pStyle w:val="ParaNoNdepar-AltN"/>
        <w:rPr>
          <w:rFonts w:cs="Times New Roman"/>
          <w:lang w:val="fr-CA"/>
        </w:rPr>
      </w:pPr>
      <w:r>
        <w:rPr>
          <w:rFonts w:cs="Times New Roman"/>
          <w:lang w:val="fr-CA"/>
        </w:rPr>
        <w:t>Reconnaître que cette compétence subsiste après la fin de l’instance sous</w:t>
      </w:r>
      <w:r>
        <w:rPr>
          <w:rFonts w:cs="Times New Roman"/>
          <w:lang w:val="fr-CA"/>
        </w:rPr>
        <w:noBreakHyphen/>
        <w:t>jacente n’est pas incompatible avec les objectifs du caractère définitif des procédures et de la stabilité des jugements liés à la règle du</w:t>
      </w:r>
      <w:r w:rsidRPr="00060362">
        <w:rPr>
          <w:rFonts w:cs="Times New Roman"/>
          <w:lang w:val="fr-CA"/>
        </w:rPr>
        <w:t xml:space="preserve"> </w:t>
      </w:r>
      <w:r w:rsidRPr="00060362">
        <w:rPr>
          <w:rFonts w:cs="Times New Roman"/>
          <w:i/>
          <w:lang w:val="fr-CA"/>
        </w:rPr>
        <w:t>functus officio</w:t>
      </w:r>
      <w:r w:rsidRPr="00060362">
        <w:rPr>
          <w:rFonts w:cs="Times New Roman"/>
          <w:lang w:val="fr-CA"/>
        </w:rPr>
        <w:t xml:space="preserve">. </w:t>
      </w:r>
      <w:r>
        <w:rPr>
          <w:rFonts w:cs="Times New Roman"/>
          <w:lang w:val="fr-CA"/>
        </w:rPr>
        <w:t>La réparation accordée en vertu de ce pouvoir laisse intacts le fond de l’instance sous</w:t>
      </w:r>
      <w:r>
        <w:rPr>
          <w:rFonts w:cs="Times New Roman"/>
          <w:lang w:val="fr-CA"/>
        </w:rPr>
        <w:noBreakHyphen/>
        <w:t>jacente et les motifs qui l’appuient</w:t>
      </w:r>
      <w:r w:rsidRPr="00060362">
        <w:rPr>
          <w:rFonts w:cs="Times New Roman"/>
          <w:lang w:val="fr-CA"/>
        </w:rPr>
        <w:t xml:space="preserve">. </w:t>
      </w:r>
      <w:r>
        <w:rPr>
          <w:rFonts w:cs="Times New Roman"/>
          <w:lang w:val="fr-CA"/>
        </w:rPr>
        <w:t xml:space="preserve">Bien que certaines requêtes interlocutoires, par exemple les requêtes portant sur l’admissibilité d’éléments de preuve, puissent avoir un impact sur la décision définitive au fond, la décision concernant l’accès au </w:t>
      </w:r>
      <w:r w:rsidRPr="00C26FA8">
        <w:rPr>
          <w:rFonts w:cs="Times New Roman"/>
          <w:lang w:val="fr-CA"/>
        </w:rPr>
        <w:t>dossier judiciaire n</w:t>
      </w:r>
      <w:r>
        <w:rPr>
          <w:rFonts w:cs="Times New Roman"/>
          <w:lang w:val="fr-CA"/>
        </w:rPr>
        <w:t>’</w:t>
      </w:r>
      <w:r w:rsidRPr="00C26FA8">
        <w:rPr>
          <w:rFonts w:cs="Times New Roman"/>
          <w:lang w:val="fr-CA"/>
        </w:rPr>
        <w:t>a aucune incidence sur l</w:t>
      </w:r>
      <w:r>
        <w:rPr>
          <w:rFonts w:cs="Times New Roman"/>
          <w:lang w:val="fr-CA"/>
        </w:rPr>
        <w:t>’</w:t>
      </w:r>
      <w:r w:rsidRPr="00C26FA8">
        <w:rPr>
          <w:rFonts w:cs="Times New Roman"/>
          <w:lang w:val="fr-CA"/>
        </w:rPr>
        <w:t>instance sous</w:t>
      </w:r>
      <w:r>
        <w:rPr>
          <w:rFonts w:cs="Times New Roman"/>
          <w:lang w:val="fr-CA"/>
        </w:rPr>
        <w:noBreakHyphen/>
      </w:r>
      <w:r w:rsidRPr="00C26FA8">
        <w:rPr>
          <w:rFonts w:cs="Times New Roman"/>
          <w:lang w:val="fr-CA"/>
        </w:rPr>
        <w:t>jacente ou sur l</w:t>
      </w:r>
      <w:r>
        <w:rPr>
          <w:rFonts w:cs="Times New Roman"/>
          <w:lang w:val="fr-CA"/>
        </w:rPr>
        <w:t>’</w:t>
      </w:r>
      <w:r w:rsidRPr="00C26FA8">
        <w:rPr>
          <w:rFonts w:cs="Times New Roman"/>
          <w:lang w:val="fr-CA"/>
        </w:rPr>
        <w:t>appel dont elle peut faire l</w:t>
      </w:r>
      <w:r>
        <w:rPr>
          <w:rFonts w:cs="Times New Roman"/>
          <w:lang w:val="fr-CA"/>
        </w:rPr>
        <w:t>’</w:t>
      </w:r>
      <w:r w:rsidRPr="00C26FA8">
        <w:rPr>
          <w:rFonts w:cs="Times New Roman"/>
          <w:lang w:val="fr-CA"/>
        </w:rPr>
        <w:t xml:space="preserve">objet. La règle du </w:t>
      </w:r>
      <w:r w:rsidRPr="00C26FA8">
        <w:rPr>
          <w:rFonts w:cs="Times New Roman"/>
          <w:i/>
          <w:lang w:val="fr-CA"/>
        </w:rPr>
        <w:t>functus officio</w:t>
      </w:r>
      <w:r w:rsidRPr="00C26FA8">
        <w:rPr>
          <w:rFonts w:cs="Times New Roman"/>
          <w:lang w:val="fr-CA"/>
        </w:rPr>
        <w:t xml:space="preserve"> témoigne du transfert du pouvoir décisionnel à l</w:t>
      </w:r>
      <w:r>
        <w:rPr>
          <w:rFonts w:cs="Times New Roman"/>
          <w:lang w:val="fr-CA"/>
        </w:rPr>
        <w:t>’</w:t>
      </w:r>
      <w:r w:rsidRPr="00C26FA8">
        <w:rPr>
          <w:rFonts w:cs="Times New Roman"/>
          <w:lang w:val="fr-CA"/>
        </w:rPr>
        <w:t>égard des jugements définitifs de la cour de première instance à la cour d</w:t>
      </w:r>
      <w:r>
        <w:rPr>
          <w:rFonts w:cs="Times New Roman"/>
          <w:lang w:val="fr-CA"/>
        </w:rPr>
        <w:t>’</w:t>
      </w:r>
      <w:r w:rsidRPr="00C26FA8">
        <w:rPr>
          <w:rFonts w:cs="Times New Roman"/>
          <w:lang w:val="fr-CA"/>
        </w:rPr>
        <w:t>appel (</w:t>
      </w:r>
      <w:r w:rsidRPr="00C26FA8">
        <w:rPr>
          <w:i/>
          <w:lang w:val="fr-CA"/>
        </w:rPr>
        <w:t>Chandler</w:t>
      </w:r>
      <w:r w:rsidRPr="00C26FA8">
        <w:rPr>
          <w:lang w:val="fr-CA"/>
        </w:rPr>
        <w:t xml:space="preserve">, </w:t>
      </w:r>
      <w:r>
        <w:rPr>
          <w:lang w:val="fr-CA"/>
        </w:rPr>
        <w:t>p. </w:t>
      </w:r>
      <w:r w:rsidRPr="00C26FA8">
        <w:rPr>
          <w:lang w:val="fr-CA"/>
        </w:rPr>
        <w:t xml:space="preserve">860, citant </w:t>
      </w:r>
      <w:r w:rsidRPr="00C26FA8">
        <w:rPr>
          <w:i/>
          <w:lang w:val="fr-CA"/>
        </w:rPr>
        <w:t>In re St. Nazaire Co.</w:t>
      </w:r>
      <w:r w:rsidRPr="00C26FA8">
        <w:rPr>
          <w:lang w:val="fr-CA"/>
        </w:rPr>
        <w:t xml:space="preserve"> (1879</w:t>
      </w:r>
      <w:r w:rsidRPr="00767204">
        <w:rPr>
          <w:lang w:val="fr-CA"/>
        </w:rPr>
        <w:t xml:space="preserve">), </w:t>
      </w:r>
      <w:r w:rsidRPr="00C26FA8">
        <w:rPr>
          <w:lang w:val="fr-CA"/>
        </w:rPr>
        <w:t xml:space="preserve">12 </w:t>
      </w:r>
      <w:r>
        <w:rPr>
          <w:lang w:val="fr-CA"/>
        </w:rPr>
        <w:t>Ch. </w:t>
      </w:r>
      <w:r w:rsidRPr="00C26FA8">
        <w:rPr>
          <w:lang w:val="fr-CA"/>
        </w:rPr>
        <w:t>D. 88)</w:t>
      </w:r>
      <w:r w:rsidRPr="00C26FA8">
        <w:rPr>
          <w:rFonts w:cs="Times New Roman"/>
          <w:lang w:val="fr-CA"/>
        </w:rPr>
        <w:t>. Cette règle n</w:t>
      </w:r>
      <w:r>
        <w:rPr>
          <w:rFonts w:cs="Times New Roman"/>
          <w:lang w:val="fr-CA"/>
        </w:rPr>
        <w:t>’</w:t>
      </w:r>
      <w:r w:rsidRPr="00C26FA8">
        <w:rPr>
          <w:rFonts w:cs="Times New Roman"/>
          <w:lang w:val="fr-CA"/>
        </w:rPr>
        <w:t>a jamais eu pour but de restreindre la capacité de ces tribunaux d</w:t>
      </w:r>
      <w:r>
        <w:rPr>
          <w:rFonts w:cs="Times New Roman"/>
          <w:lang w:val="fr-CA"/>
        </w:rPr>
        <w:t>’</w:t>
      </w:r>
      <w:r w:rsidRPr="00C26FA8">
        <w:rPr>
          <w:rFonts w:cs="Times New Roman"/>
          <w:lang w:val="fr-CA"/>
        </w:rPr>
        <w:t>instance inférieure d</w:t>
      </w:r>
      <w:r>
        <w:rPr>
          <w:rFonts w:cs="Times New Roman"/>
          <w:lang w:val="fr-CA"/>
        </w:rPr>
        <w:t>’</w:t>
      </w:r>
      <w:r w:rsidRPr="00C26FA8">
        <w:rPr>
          <w:rFonts w:cs="Times New Roman"/>
          <w:lang w:val="fr-CA"/>
        </w:rPr>
        <w:t>être maîtres de leurs propres dossiers en ce qui concerne ces décisions.</w:t>
      </w:r>
    </w:p>
    <w:p w:rsidR="009F09DA" w:rsidRPr="00060362" w:rsidRDefault="009F09DA" w:rsidP="009F09DA">
      <w:pPr>
        <w:pStyle w:val="ParaNoNdepar-AltN"/>
        <w:rPr>
          <w:rFonts w:cs="Times New Roman"/>
          <w:lang w:val="fr-CA"/>
        </w:rPr>
      </w:pPr>
      <w:r w:rsidRPr="00C26FA8">
        <w:rPr>
          <w:rFonts w:cs="Times New Roman"/>
          <w:lang w:val="fr-CA"/>
        </w:rPr>
        <w:t xml:space="preserve">Soyons clairs, cela ne veut pas dire que la règle du </w:t>
      </w:r>
      <w:r w:rsidRPr="00C26FA8">
        <w:rPr>
          <w:rFonts w:cs="Times New Roman"/>
          <w:i/>
          <w:lang w:val="fr-CA"/>
        </w:rPr>
        <w:t xml:space="preserve">functus officio </w:t>
      </w:r>
      <w:r w:rsidRPr="00C26FA8">
        <w:rPr>
          <w:rFonts w:cs="Times New Roman"/>
          <w:lang w:val="fr-CA"/>
        </w:rPr>
        <w:t>ne s</w:t>
      </w:r>
      <w:r>
        <w:rPr>
          <w:rFonts w:cs="Times New Roman"/>
          <w:lang w:val="fr-CA"/>
        </w:rPr>
        <w:t>’</w:t>
      </w:r>
      <w:r w:rsidRPr="00C26FA8">
        <w:rPr>
          <w:rFonts w:cs="Times New Roman"/>
          <w:lang w:val="fr-CA"/>
        </w:rPr>
        <w:t>applique jamais aux interdictions de publication ou aux ordonnances de</w:t>
      </w:r>
      <w:r w:rsidRPr="00DD13BF">
        <w:rPr>
          <w:rFonts w:cs="Times New Roman"/>
          <w:lang w:val="fr-CA"/>
        </w:rPr>
        <w:t xml:space="preserve"> mise sous scellés. Je tiens s</w:t>
      </w:r>
      <w:r>
        <w:rPr>
          <w:rFonts w:cs="Times New Roman"/>
          <w:lang w:val="fr-CA"/>
        </w:rPr>
        <w:t xml:space="preserve">implement </w:t>
      </w:r>
      <w:r w:rsidRPr="00DD13BF">
        <w:rPr>
          <w:rFonts w:cs="Times New Roman"/>
          <w:lang w:val="fr-CA"/>
        </w:rPr>
        <w:t xml:space="preserve">à préciser que rien </w:t>
      </w:r>
      <w:r>
        <w:rPr>
          <w:rFonts w:cs="Times New Roman"/>
          <w:lang w:val="fr-CA"/>
        </w:rPr>
        <w:t xml:space="preserve">n’empêche un tribunal de trancher une requête qui concerne la publicité des débats judiciaires simplement parce qu’il est </w:t>
      </w:r>
      <w:r w:rsidRPr="00116BB0">
        <w:rPr>
          <w:rFonts w:cs="Times New Roman"/>
          <w:i/>
          <w:iCs/>
          <w:lang w:val="fr-CA"/>
        </w:rPr>
        <w:t>functus officio</w:t>
      </w:r>
      <w:r>
        <w:rPr>
          <w:rFonts w:cs="Times New Roman"/>
          <w:lang w:val="fr-CA"/>
        </w:rPr>
        <w:t xml:space="preserve"> à l’égard du fond de l’instance sous</w:t>
      </w:r>
      <w:r>
        <w:rPr>
          <w:rFonts w:cs="Times New Roman"/>
          <w:lang w:val="fr-CA"/>
        </w:rPr>
        <w:noBreakHyphen/>
        <w:t>jacente</w:t>
      </w:r>
      <w:r w:rsidRPr="00060362">
        <w:rPr>
          <w:rFonts w:cs="Times New Roman"/>
          <w:lang w:val="fr-CA"/>
        </w:rPr>
        <w:t>.</w:t>
      </w:r>
    </w:p>
    <w:p w:rsidR="009F09DA" w:rsidRPr="00060362" w:rsidRDefault="009F09DA" w:rsidP="009F09DA">
      <w:pPr>
        <w:pStyle w:val="Title3LevelTitre3Niveau"/>
        <w:numPr>
          <w:ilvl w:val="2"/>
          <w:numId w:val="8"/>
        </w:numPr>
        <w:rPr>
          <w:rFonts w:cs="Times New Roman"/>
          <w:lang w:val="fr-CA"/>
        </w:rPr>
      </w:pPr>
      <w:r>
        <w:rPr>
          <w:rFonts w:cs="Times New Roman"/>
          <w:lang w:val="fr-CA"/>
        </w:rPr>
        <w:t>Les décisions portant sur la publicité des débats judiciaires peuvent être réexaminées dans des circonstances limitée</w:t>
      </w:r>
      <w:r w:rsidRPr="00060362">
        <w:rPr>
          <w:rFonts w:cs="Times New Roman"/>
          <w:lang w:val="fr-CA"/>
        </w:rPr>
        <w:t>s</w:t>
      </w:r>
    </w:p>
    <w:p w:rsidR="009F09DA" w:rsidRPr="00391530" w:rsidRDefault="009F09DA" w:rsidP="009F09DA">
      <w:pPr>
        <w:pStyle w:val="ParaNoNdepar-AltN"/>
        <w:rPr>
          <w:rFonts w:cs="Times New Roman"/>
          <w:lang w:val="fr-CA"/>
        </w:rPr>
      </w:pPr>
      <w:r>
        <w:rPr>
          <w:rFonts w:cs="Times New Roman"/>
          <w:lang w:val="fr-CA"/>
        </w:rPr>
        <w:t xml:space="preserve">Le fait que les tribunaux conservent un pouvoir de surveillance à l’égard de leurs dossiers judiciaires ne veut pas dire que les décisions portant sur la publicité des débats judiciaires, une fois prises, sont susceptibles d’être réexaminées n’importe quand ou pour n’importe quelle </w:t>
      </w:r>
      <w:r w:rsidRPr="00C5565E">
        <w:rPr>
          <w:rFonts w:cs="Times New Roman"/>
          <w:lang w:val="fr-CA"/>
        </w:rPr>
        <w:t>raison. Lorsqu</w:t>
      </w:r>
      <w:r>
        <w:rPr>
          <w:rFonts w:cs="Times New Roman"/>
          <w:lang w:val="fr-CA"/>
        </w:rPr>
        <w:t>’</w:t>
      </w:r>
      <w:r w:rsidRPr="00C5565E">
        <w:rPr>
          <w:rFonts w:cs="Times New Roman"/>
          <w:lang w:val="fr-CA"/>
        </w:rPr>
        <w:t xml:space="preserve">une décision sur la publicité des débats judiciaires est officialisée sous la forme </w:t>
      </w:r>
      <w:r w:rsidRPr="00391530">
        <w:rPr>
          <w:rFonts w:cs="Times New Roman"/>
          <w:lang w:val="fr-CA"/>
        </w:rPr>
        <w:t>d</w:t>
      </w:r>
      <w:r>
        <w:rPr>
          <w:rFonts w:cs="Times New Roman"/>
          <w:lang w:val="fr-CA"/>
        </w:rPr>
        <w:t>’</w:t>
      </w:r>
      <w:r w:rsidRPr="00391530">
        <w:rPr>
          <w:rFonts w:cs="Times New Roman"/>
          <w:lang w:val="fr-CA"/>
        </w:rPr>
        <w:t xml:space="preserve">une </w:t>
      </w:r>
      <w:r w:rsidRPr="00391530">
        <w:rPr>
          <w:rFonts w:cs="Times New Roman"/>
          <w:szCs w:val="24"/>
          <w:lang w:val="fr-CA"/>
        </w:rPr>
        <w:t xml:space="preserve">ordonnance, la règle du </w:t>
      </w:r>
      <w:r w:rsidRPr="00391530">
        <w:rPr>
          <w:rFonts w:cs="Times New Roman"/>
          <w:i/>
          <w:iCs/>
          <w:szCs w:val="24"/>
          <w:lang w:val="fr-CA"/>
        </w:rPr>
        <w:t xml:space="preserve">functus officio </w:t>
      </w:r>
      <w:r w:rsidRPr="00391530">
        <w:rPr>
          <w:rFonts w:cs="Times New Roman"/>
          <w:iCs/>
          <w:szCs w:val="24"/>
          <w:lang w:val="fr-CA"/>
        </w:rPr>
        <w:t>peut opérer, peu importe si la décision est accessoire ou non à une autre procédure. Même dans les cas où, comme en l</w:t>
      </w:r>
      <w:r>
        <w:rPr>
          <w:rFonts w:cs="Times New Roman"/>
          <w:iCs/>
          <w:szCs w:val="24"/>
          <w:lang w:val="fr-CA"/>
        </w:rPr>
        <w:t>’</w:t>
      </w:r>
      <w:r w:rsidRPr="00391530">
        <w:rPr>
          <w:rFonts w:cs="Times New Roman"/>
          <w:iCs/>
          <w:szCs w:val="24"/>
          <w:lang w:val="fr-CA"/>
        </w:rPr>
        <w:t>espèce, une décision en matière de publicité des débats judiciaires n</w:t>
      </w:r>
      <w:r>
        <w:rPr>
          <w:rFonts w:cs="Times New Roman"/>
          <w:iCs/>
          <w:szCs w:val="24"/>
          <w:lang w:val="fr-CA"/>
        </w:rPr>
        <w:t>’</w:t>
      </w:r>
      <w:r w:rsidRPr="00391530">
        <w:rPr>
          <w:rFonts w:cs="Times New Roman"/>
          <w:iCs/>
          <w:szCs w:val="24"/>
          <w:lang w:val="fr-CA"/>
        </w:rPr>
        <w:t>est pas officialisée sous la forme d</w:t>
      </w:r>
      <w:r>
        <w:rPr>
          <w:rFonts w:cs="Times New Roman"/>
          <w:iCs/>
          <w:szCs w:val="24"/>
          <w:lang w:val="fr-CA"/>
        </w:rPr>
        <w:t>’</w:t>
      </w:r>
      <w:r w:rsidRPr="00391530">
        <w:rPr>
          <w:rFonts w:cs="Times New Roman"/>
          <w:iCs/>
          <w:szCs w:val="24"/>
          <w:lang w:val="fr-CA"/>
        </w:rPr>
        <w:t xml:space="preserve">une </w:t>
      </w:r>
      <w:r w:rsidRPr="00391530">
        <w:rPr>
          <w:rFonts w:cs="Times New Roman"/>
          <w:szCs w:val="24"/>
          <w:lang w:val="fr-CA"/>
        </w:rPr>
        <w:t>ordonnance, l</w:t>
      </w:r>
      <w:r w:rsidRPr="00391530">
        <w:rPr>
          <w:rFonts w:cs="Times New Roman"/>
          <w:lang w:val="fr-CA"/>
        </w:rPr>
        <w:t>e caractère définitif d</w:t>
      </w:r>
      <w:r>
        <w:rPr>
          <w:rFonts w:cs="Times New Roman"/>
          <w:lang w:val="fr-CA"/>
        </w:rPr>
        <w:t>’</w:t>
      </w:r>
      <w:r w:rsidRPr="00391530">
        <w:rPr>
          <w:rFonts w:cs="Times New Roman"/>
          <w:lang w:val="fr-CA"/>
        </w:rPr>
        <w:t>une décision reste une valeur importante du prononcé d</w:t>
      </w:r>
      <w:r>
        <w:rPr>
          <w:rFonts w:cs="Times New Roman"/>
          <w:lang w:val="fr-CA"/>
        </w:rPr>
        <w:t>’</w:t>
      </w:r>
      <w:r w:rsidRPr="00391530">
        <w:rPr>
          <w:rFonts w:cs="Times New Roman"/>
          <w:lang w:val="fr-CA"/>
        </w:rPr>
        <w:t>interdictions de publication et d</w:t>
      </w:r>
      <w:r>
        <w:rPr>
          <w:rFonts w:cs="Times New Roman"/>
          <w:lang w:val="fr-CA"/>
        </w:rPr>
        <w:t>’</w:t>
      </w:r>
      <w:r w:rsidRPr="00391530">
        <w:rPr>
          <w:rFonts w:cs="Times New Roman"/>
          <w:lang w:val="fr-CA"/>
        </w:rPr>
        <w:t xml:space="preserve">ordonnances de mise sous scellés. </w:t>
      </w:r>
      <w:r w:rsidRPr="00391530">
        <w:rPr>
          <w:rFonts w:cs="Times New Roman"/>
          <w:szCs w:val="24"/>
          <w:lang w:val="fr-CA"/>
        </w:rPr>
        <w:t>D</w:t>
      </w:r>
      <w:r>
        <w:rPr>
          <w:rFonts w:cs="Times New Roman"/>
          <w:szCs w:val="24"/>
          <w:lang w:val="fr-CA"/>
        </w:rPr>
        <w:t>’</w:t>
      </w:r>
      <w:r w:rsidRPr="00391530">
        <w:rPr>
          <w:rFonts w:cs="Times New Roman"/>
          <w:szCs w:val="24"/>
          <w:lang w:val="fr-CA"/>
        </w:rPr>
        <w:t>ailleurs</w:t>
      </w:r>
      <w:r w:rsidRPr="00C5565E">
        <w:rPr>
          <w:rFonts w:cs="Times New Roman"/>
          <w:szCs w:val="24"/>
          <w:lang w:val="fr-CA"/>
        </w:rPr>
        <w:t>, en l</w:t>
      </w:r>
      <w:r>
        <w:rPr>
          <w:rFonts w:cs="Times New Roman"/>
          <w:szCs w:val="24"/>
          <w:lang w:val="fr-CA"/>
        </w:rPr>
        <w:t>’</w:t>
      </w:r>
      <w:r w:rsidRPr="00C5565E">
        <w:rPr>
          <w:rFonts w:cs="Times New Roman"/>
          <w:szCs w:val="24"/>
          <w:lang w:val="fr-CA"/>
        </w:rPr>
        <w:t>espèce, la SRC a effectivement interjeté appel d</w:t>
      </w:r>
      <w:r>
        <w:rPr>
          <w:rFonts w:cs="Times New Roman"/>
          <w:szCs w:val="24"/>
          <w:lang w:val="fr-CA"/>
        </w:rPr>
        <w:t>’</w:t>
      </w:r>
      <w:r w:rsidRPr="00C5565E">
        <w:rPr>
          <w:rFonts w:cs="Times New Roman"/>
          <w:szCs w:val="24"/>
          <w:lang w:val="fr-CA"/>
        </w:rPr>
        <w:t>une interdiction de publication accessoire qui n</w:t>
      </w:r>
      <w:r>
        <w:rPr>
          <w:rFonts w:cs="Times New Roman"/>
          <w:szCs w:val="24"/>
          <w:lang w:val="fr-CA"/>
        </w:rPr>
        <w:t>’</w:t>
      </w:r>
      <w:r w:rsidRPr="00C5565E">
        <w:rPr>
          <w:rFonts w:cs="Times New Roman"/>
          <w:szCs w:val="24"/>
          <w:lang w:val="fr-CA"/>
        </w:rPr>
        <w:t xml:space="preserve">a jamais été consacrée dans une </w:t>
      </w:r>
      <w:r w:rsidRPr="00391530">
        <w:rPr>
          <w:rFonts w:cs="Times New Roman"/>
          <w:szCs w:val="24"/>
          <w:lang w:val="fr-CA"/>
        </w:rPr>
        <w:t>ordonnance. Le besoin de fournir aux parties une ba</w:t>
      </w:r>
      <w:r>
        <w:rPr>
          <w:rFonts w:cs="Times New Roman"/>
          <w:szCs w:val="24"/>
          <w:lang w:val="fr-CA"/>
        </w:rPr>
        <w:t xml:space="preserve">se stable à partir de laquelle elles </w:t>
      </w:r>
      <w:r w:rsidRPr="00391530">
        <w:rPr>
          <w:rFonts w:cs="Times New Roman"/>
          <w:szCs w:val="24"/>
          <w:lang w:val="fr-CA"/>
        </w:rPr>
        <w:t>peuvent former un appel — la raison d</w:t>
      </w:r>
      <w:r>
        <w:rPr>
          <w:rFonts w:cs="Times New Roman"/>
          <w:szCs w:val="24"/>
          <w:lang w:val="fr-CA"/>
        </w:rPr>
        <w:t>’</w:t>
      </w:r>
      <w:r w:rsidRPr="00391530">
        <w:rPr>
          <w:rFonts w:cs="Times New Roman"/>
          <w:szCs w:val="24"/>
          <w:lang w:val="fr-CA"/>
        </w:rPr>
        <w:t xml:space="preserve">être </w:t>
      </w:r>
      <w:r>
        <w:rPr>
          <w:rFonts w:cs="Times New Roman"/>
          <w:szCs w:val="24"/>
          <w:lang w:val="fr-CA"/>
        </w:rPr>
        <w:t xml:space="preserve">de la règle </w:t>
      </w:r>
      <w:r w:rsidRPr="00391530">
        <w:rPr>
          <w:rFonts w:cs="Times New Roman"/>
          <w:szCs w:val="24"/>
          <w:lang w:val="fr-CA"/>
        </w:rPr>
        <w:t xml:space="preserve">du </w:t>
      </w:r>
      <w:r w:rsidRPr="00391530">
        <w:rPr>
          <w:rFonts w:cs="Times New Roman"/>
          <w:i/>
          <w:iCs/>
          <w:szCs w:val="24"/>
          <w:lang w:val="fr-CA"/>
        </w:rPr>
        <w:t xml:space="preserve">functus officio </w:t>
      </w:r>
      <w:r w:rsidRPr="00391530">
        <w:rPr>
          <w:rFonts w:cs="Times New Roman"/>
          <w:szCs w:val="24"/>
          <w:lang w:val="fr-CA"/>
        </w:rPr>
        <w:t xml:space="preserve">(voir </w:t>
      </w:r>
      <w:r w:rsidRPr="00391530">
        <w:rPr>
          <w:rFonts w:cs="Times New Roman"/>
          <w:i/>
          <w:iCs/>
          <w:szCs w:val="24"/>
          <w:lang w:val="fr-CA"/>
        </w:rPr>
        <w:t>Doucet</w:t>
      </w:r>
      <w:r>
        <w:rPr>
          <w:rFonts w:cs="Times New Roman"/>
          <w:i/>
          <w:iCs/>
          <w:szCs w:val="24"/>
          <w:lang w:val="fr-CA"/>
        </w:rPr>
        <w:noBreakHyphen/>
      </w:r>
      <w:r w:rsidRPr="00391530">
        <w:rPr>
          <w:rFonts w:cs="Times New Roman"/>
          <w:i/>
          <w:iCs/>
          <w:szCs w:val="24"/>
          <w:lang w:val="fr-CA"/>
        </w:rPr>
        <w:t>Boudreau</w:t>
      </w:r>
      <w:r w:rsidRPr="00391530">
        <w:rPr>
          <w:rFonts w:cs="Times New Roman"/>
          <w:iCs/>
          <w:szCs w:val="24"/>
          <w:lang w:val="fr-CA"/>
        </w:rPr>
        <w:t>,</w:t>
      </w:r>
      <w:r w:rsidRPr="00391530">
        <w:rPr>
          <w:rFonts w:cs="Times New Roman"/>
          <w:i/>
          <w:iCs/>
          <w:szCs w:val="24"/>
          <w:lang w:val="fr-CA"/>
        </w:rPr>
        <w:t xml:space="preserve"> </w:t>
      </w:r>
      <w:r>
        <w:rPr>
          <w:rFonts w:cs="Times New Roman"/>
          <w:szCs w:val="24"/>
          <w:lang w:val="fr-CA"/>
        </w:rPr>
        <w:t>par. </w:t>
      </w:r>
      <w:r w:rsidRPr="00391530">
        <w:rPr>
          <w:rFonts w:cs="Times New Roman"/>
          <w:szCs w:val="24"/>
          <w:lang w:val="fr-CA"/>
        </w:rPr>
        <w:t>79)</w:t>
      </w:r>
      <w:r w:rsidRPr="00391530">
        <w:rPr>
          <w:rFonts w:cs="Times New Roman"/>
          <w:i/>
          <w:iCs/>
          <w:szCs w:val="24"/>
          <w:lang w:val="fr-CA"/>
        </w:rPr>
        <w:t xml:space="preserve"> </w:t>
      </w:r>
      <w:r w:rsidRPr="00391530">
        <w:rPr>
          <w:rFonts w:cs="Times New Roman"/>
          <w:szCs w:val="24"/>
          <w:lang w:val="fr-CA"/>
        </w:rPr>
        <w:t>— peut se présenter, même lorsque ce n</w:t>
      </w:r>
      <w:r>
        <w:rPr>
          <w:rFonts w:cs="Times New Roman"/>
          <w:szCs w:val="24"/>
          <w:lang w:val="fr-CA"/>
        </w:rPr>
        <w:t>’</w:t>
      </w:r>
      <w:r w:rsidRPr="00391530">
        <w:rPr>
          <w:rFonts w:cs="Times New Roman"/>
          <w:szCs w:val="24"/>
          <w:lang w:val="fr-CA"/>
        </w:rPr>
        <w:t xml:space="preserve">est, techniquement parlant, pas le cas </w:t>
      </w:r>
      <w:r>
        <w:rPr>
          <w:rFonts w:cs="Times New Roman"/>
          <w:szCs w:val="24"/>
          <w:lang w:val="fr-CA"/>
        </w:rPr>
        <w:t xml:space="preserve">de la règle </w:t>
      </w:r>
      <w:r w:rsidRPr="00391530">
        <w:rPr>
          <w:rFonts w:cs="Times New Roman"/>
          <w:szCs w:val="24"/>
          <w:lang w:val="fr-CA"/>
        </w:rPr>
        <w:t xml:space="preserve">du </w:t>
      </w:r>
      <w:r w:rsidRPr="00391530">
        <w:rPr>
          <w:rFonts w:cs="Times New Roman"/>
          <w:i/>
          <w:iCs/>
          <w:szCs w:val="24"/>
          <w:lang w:val="fr-CA"/>
        </w:rPr>
        <w:t>functus officio</w:t>
      </w:r>
      <w:r w:rsidRPr="00391530">
        <w:rPr>
          <w:rFonts w:cs="Times New Roman"/>
          <w:szCs w:val="24"/>
          <w:lang w:val="fr-CA"/>
        </w:rPr>
        <w:t xml:space="preserve">. </w:t>
      </w:r>
    </w:p>
    <w:p w:rsidR="009F09DA" w:rsidRPr="0004028E" w:rsidRDefault="009F09DA" w:rsidP="009F09DA">
      <w:pPr>
        <w:pStyle w:val="ParaNoNdepar-AltN"/>
        <w:rPr>
          <w:rFonts w:cs="Times New Roman"/>
          <w:lang w:val="fr-CA"/>
        </w:rPr>
      </w:pPr>
      <w:r w:rsidRPr="00C5565E">
        <w:rPr>
          <w:rFonts w:cs="Times New Roman"/>
          <w:szCs w:val="24"/>
          <w:lang w:val="fr-CA"/>
        </w:rPr>
        <w:t>En conséquence, peu importe qu</w:t>
      </w:r>
      <w:r>
        <w:rPr>
          <w:rFonts w:cs="Times New Roman"/>
          <w:szCs w:val="24"/>
          <w:lang w:val="fr-CA"/>
        </w:rPr>
        <w:t>’</w:t>
      </w:r>
      <w:r w:rsidRPr="00C5565E">
        <w:rPr>
          <w:rFonts w:cs="Times New Roman"/>
          <w:szCs w:val="24"/>
          <w:lang w:val="fr-CA"/>
        </w:rPr>
        <w:t xml:space="preserve">un </w:t>
      </w:r>
      <w:r w:rsidRPr="00C5565E">
        <w:rPr>
          <w:rFonts w:cs="Times New Roman"/>
          <w:lang w:val="fr-CA"/>
        </w:rPr>
        <w:t xml:space="preserve">tribunal </w:t>
      </w:r>
      <w:r>
        <w:rPr>
          <w:rFonts w:cs="Times New Roman"/>
          <w:lang w:val="fr-CA"/>
        </w:rPr>
        <w:t xml:space="preserve">soit </w:t>
      </w:r>
      <w:r w:rsidRPr="00653116">
        <w:rPr>
          <w:rFonts w:cs="Times New Roman"/>
          <w:lang w:val="fr-CA"/>
        </w:rPr>
        <w:t>privé</w:t>
      </w:r>
      <w:r>
        <w:rPr>
          <w:rFonts w:cs="Times New Roman"/>
          <w:lang w:val="fr-CA"/>
        </w:rPr>
        <w:t xml:space="preserve"> ou non</w:t>
      </w:r>
      <w:r w:rsidRPr="00653116">
        <w:rPr>
          <w:rFonts w:cs="Times New Roman"/>
          <w:lang w:val="fr-CA"/>
        </w:rPr>
        <w:t xml:space="preserve"> de compétence par la règle du </w:t>
      </w:r>
      <w:r w:rsidRPr="00653116">
        <w:rPr>
          <w:rFonts w:cs="Times New Roman"/>
          <w:i/>
          <w:lang w:val="fr-CA"/>
        </w:rPr>
        <w:t>functus officio</w:t>
      </w:r>
      <w:r w:rsidRPr="00653116">
        <w:rPr>
          <w:rFonts w:cs="Times New Roman"/>
          <w:lang w:val="fr-CA"/>
        </w:rPr>
        <w:t>, l</w:t>
      </w:r>
      <w:r>
        <w:rPr>
          <w:rFonts w:cs="Times New Roman"/>
          <w:lang w:val="fr-CA"/>
        </w:rPr>
        <w:t>’</w:t>
      </w:r>
      <w:r w:rsidRPr="00653116">
        <w:rPr>
          <w:rFonts w:cs="Times New Roman"/>
          <w:lang w:val="fr-CA"/>
        </w:rPr>
        <w:t xml:space="preserve">importance </w:t>
      </w:r>
      <w:r w:rsidRPr="0004028E">
        <w:rPr>
          <w:rFonts w:cs="Times New Roman"/>
          <w:lang w:val="fr-CA"/>
        </w:rPr>
        <w:t xml:space="preserve">du règlement définitif signifie que les tribunaux hésiteront, à juste titre, à réexaminer des questions relatives à la publicité des débats judiciaires. Une interdiction de publication ou une ordonnance de mise sous scellés est toutefois </w:t>
      </w:r>
      <w:r w:rsidRPr="00391530">
        <w:rPr>
          <w:rFonts w:cs="Times New Roman"/>
          <w:lang w:val="fr-CA"/>
        </w:rPr>
        <w:t>susceptible d</w:t>
      </w:r>
      <w:r>
        <w:rPr>
          <w:rFonts w:cs="Times New Roman"/>
          <w:lang w:val="fr-CA"/>
        </w:rPr>
        <w:t>’</w:t>
      </w:r>
      <w:r w:rsidRPr="00391530">
        <w:rPr>
          <w:rFonts w:cs="Times New Roman"/>
          <w:lang w:val="fr-CA"/>
        </w:rPr>
        <w:t>être réexaminée par le tribunal qui l</w:t>
      </w:r>
      <w:r>
        <w:rPr>
          <w:rFonts w:cs="Times New Roman"/>
          <w:lang w:val="fr-CA"/>
        </w:rPr>
        <w:t>’</w:t>
      </w:r>
      <w:r w:rsidRPr="00391530">
        <w:rPr>
          <w:rFonts w:cs="Times New Roman"/>
          <w:lang w:val="fr-CA"/>
        </w:rPr>
        <w:t>a prononcée, quoique pour des motifs restreints. Ce sera notamment le cas lorsqu</w:t>
      </w:r>
      <w:r>
        <w:rPr>
          <w:rFonts w:cs="Times New Roman"/>
          <w:lang w:val="fr-CA"/>
        </w:rPr>
        <w:t>’</w:t>
      </w:r>
      <w:r w:rsidRPr="00391530">
        <w:rPr>
          <w:rFonts w:cs="Times New Roman"/>
          <w:lang w:val="fr-CA"/>
        </w:rPr>
        <w:t xml:space="preserve">une partie touchée et non avisée propose de présenter de </w:t>
      </w:r>
      <w:r w:rsidRPr="00C5565E">
        <w:rPr>
          <w:rFonts w:cs="Times New Roman"/>
          <w:lang w:val="fr-CA"/>
        </w:rPr>
        <w:t>nouveaux arguments qui peuvent influer sur le résultat, ou en raison d</w:t>
      </w:r>
      <w:r>
        <w:rPr>
          <w:rFonts w:cs="Times New Roman"/>
          <w:lang w:val="fr-CA"/>
        </w:rPr>
        <w:t>’</w:t>
      </w:r>
      <w:r w:rsidRPr="00C5565E">
        <w:rPr>
          <w:rFonts w:cs="Times New Roman"/>
          <w:lang w:val="fr-CA"/>
        </w:rPr>
        <w:t>un changement important</w:t>
      </w:r>
      <w:r>
        <w:rPr>
          <w:rFonts w:cs="Times New Roman"/>
          <w:lang w:val="fr-CA"/>
        </w:rPr>
        <w:t xml:space="preserve"> de circonstances</w:t>
      </w:r>
      <w:r w:rsidRPr="00C5565E">
        <w:rPr>
          <w:rFonts w:cs="Times New Roman"/>
          <w:lang w:val="fr-CA"/>
        </w:rPr>
        <w:t>. Cela vaut tant pour les interdictions de publication et les ordonnances de mise sous scellés consacrées dans une ordonnance qu</w:t>
      </w:r>
      <w:r>
        <w:rPr>
          <w:rFonts w:cs="Times New Roman"/>
          <w:lang w:val="fr-CA"/>
        </w:rPr>
        <w:t xml:space="preserve">e pour </w:t>
      </w:r>
      <w:r w:rsidRPr="00C5565E">
        <w:rPr>
          <w:rFonts w:cs="Times New Roman"/>
          <w:lang w:val="fr-CA"/>
        </w:rPr>
        <w:t>celles qui ne le sont pas.</w:t>
      </w:r>
      <w:r>
        <w:rPr>
          <w:rFonts w:cs="Times New Roman"/>
          <w:lang w:val="fr-CA"/>
        </w:rPr>
        <w:t xml:space="preserve"> </w:t>
      </w:r>
    </w:p>
    <w:p w:rsidR="009F09DA" w:rsidRPr="00060362" w:rsidRDefault="009F09DA" w:rsidP="009F09DA">
      <w:pPr>
        <w:pStyle w:val="ParaNoNdepar-AltN"/>
        <w:rPr>
          <w:rFonts w:cs="Times New Roman"/>
          <w:lang w:val="fr-CA"/>
        </w:rPr>
      </w:pPr>
      <w:r>
        <w:rPr>
          <w:rFonts w:cs="Times New Roman"/>
          <w:lang w:val="fr-CA"/>
        </w:rPr>
        <w:t>Au cœur de la thèse de la SRC selon laquelle la Cour d’appel avait compétence pour modifier l’interdiction de publication de</w:t>
      </w:r>
      <w:r w:rsidRPr="00060362">
        <w:rPr>
          <w:rFonts w:cs="Times New Roman"/>
          <w:lang w:val="fr-CA"/>
        </w:rPr>
        <w:t xml:space="preserve"> 2018 </w:t>
      </w:r>
      <w:r>
        <w:rPr>
          <w:rFonts w:cs="Times New Roman"/>
          <w:lang w:val="fr-CA"/>
        </w:rPr>
        <w:t>est que cette mesure avait été prise sans que la presse, en tant que partie touchée, en ait été dûment avisée</w:t>
      </w:r>
      <w:r w:rsidRPr="00060362">
        <w:rPr>
          <w:rFonts w:cs="Times New Roman"/>
          <w:lang w:val="fr-CA"/>
        </w:rPr>
        <w:t xml:space="preserve">. </w:t>
      </w:r>
    </w:p>
    <w:p w:rsidR="009F09DA" w:rsidRPr="00060362" w:rsidRDefault="009F09DA" w:rsidP="009F09DA">
      <w:pPr>
        <w:pStyle w:val="ParaNoNdepar-AltN"/>
        <w:spacing w:before="240"/>
        <w:rPr>
          <w:rFonts w:cs="Times New Roman"/>
          <w:lang w:val="fr-CA"/>
        </w:rPr>
      </w:pPr>
      <w:r>
        <w:rPr>
          <w:rFonts w:cs="Times New Roman"/>
          <w:lang w:val="fr-CA"/>
        </w:rPr>
        <w:t xml:space="preserve">Il peut </w:t>
      </w:r>
      <w:r w:rsidRPr="00E21D89">
        <w:rPr>
          <w:rFonts w:cs="Times New Roman"/>
          <w:lang w:val="fr-CA"/>
        </w:rPr>
        <w:t xml:space="preserve">effectivement y avoir lieu de réexaminer une interdiction de publication ou une ordonnance de mise sous scellés lorsque </w:t>
      </w:r>
      <w:r>
        <w:rPr>
          <w:rFonts w:cs="Times New Roman"/>
          <w:lang w:val="fr-CA"/>
        </w:rPr>
        <w:t>la personne touchée qui n’a pas été avisée du prononcé de l’ordonnance cherche ultérieurement à la faire modifier ou annuler</w:t>
      </w:r>
      <w:r w:rsidRPr="00060362">
        <w:rPr>
          <w:rFonts w:cs="Times New Roman"/>
          <w:lang w:val="fr-CA"/>
        </w:rPr>
        <w:t xml:space="preserve">. </w:t>
      </w:r>
      <w:r>
        <w:rPr>
          <w:rFonts w:cs="Times New Roman"/>
          <w:lang w:val="fr-CA"/>
        </w:rPr>
        <w:t>La justice naturelle veut que lorsqu’une personne est touchée par une décision, celle</w:t>
      </w:r>
      <w:r>
        <w:rPr>
          <w:rFonts w:cs="Times New Roman"/>
          <w:lang w:val="fr-CA"/>
        </w:rPr>
        <w:noBreakHyphen/>
        <w:t xml:space="preserve">ci ait généralement le droit d’en être dûment avisée et d’avoir l’occasion d’être </w:t>
      </w:r>
      <w:r w:rsidRPr="00391530">
        <w:rPr>
          <w:rFonts w:cs="Times New Roman"/>
          <w:lang w:val="fr-CA"/>
        </w:rPr>
        <w:t>entendue (</w:t>
      </w:r>
      <w:r w:rsidRPr="00391530">
        <w:rPr>
          <w:rFonts w:cs="Times New Roman"/>
          <w:i/>
          <w:spacing w:val="-3"/>
          <w:shd w:val="clear" w:color="auto" w:fill="FFFFFF"/>
          <w:lang w:val="fr-CA"/>
        </w:rPr>
        <w:t>Supermarchés Jean Labrecque Inc. c. Flamand</w:t>
      </w:r>
      <w:r w:rsidRPr="00391530">
        <w:rPr>
          <w:rFonts w:cs="Times New Roman"/>
          <w:spacing w:val="-3"/>
          <w:shd w:val="clear" w:color="auto" w:fill="FFFFFF"/>
          <w:lang w:val="fr-CA"/>
        </w:rPr>
        <w:t xml:space="preserve">, [1987] 2 R.C.S. 219, </w:t>
      </w:r>
      <w:r>
        <w:rPr>
          <w:rFonts w:cs="Times New Roman"/>
          <w:spacing w:val="-3"/>
          <w:shd w:val="clear" w:color="auto" w:fill="FFFFFF"/>
          <w:lang w:val="fr-CA"/>
        </w:rPr>
        <w:t>p. </w:t>
      </w:r>
      <w:r w:rsidRPr="00391530">
        <w:rPr>
          <w:rFonts w:cs="Times New Roman"/>
          <w:spacing w:val="-3"/>
          <w:shd w:val="clear" w:color="auto" w:fill="FFFFFF"/>
          <w:lang w:val="fr-CA"/>
        </w:rPr>
        <w:t>233</w:t>
      </w:r>
      <w:r>
        <w:rPr>
          <w:rFonts w:cs="Times New Roman"/>
          <w:spacing w:val="-3"/>
          <w:shd w:val="clear" w:color="auto" w:fill="FFFFFF"/>
          <w:lang w:val="fr-CA"/>
        </w:rPr>
        <w:noBreakHyphen/>
      </w:r>
      <w:r w:rsidRPr="00391530">
        <w:rPr>
          <w:rFonts w:cs="Times New Roman"/>
          <w:spacing w:val="-3"/>
          <w:shd w:val="clear" w:color="auto" w:fill="FFFFFF"/>
          <w:lang w:val="fr-CA"/>
        </w:rPr>
        <w:t>234)</w:t>
      </w:r>
      <w:r w:rsidRPr="00391530">
        <w:rPr>
          <w:rFonts w:cs="Times New Roman"/>
          <w:lang w:val="fr-CA"/>
        </w:rPr>
        <w:t>. Lorsqu</w:t>
      </w:r>
      <w:r>
        <w:rPr>
          <w:rFonts w:cs="Times New Roman"/>
          <w:lang w:val="fr-CA"/>
        </w:rPr>
        <w:t>’</w:t>
      </w:r>
      <w:r w:rsidRPr="00391530">
        <w:rPr>
          <w:rFonts w:cs="Times New Roman"/>
          <w:lang w:val="fr-CA"/>
        </w:rPr>
        <w:t>une ordonnance est rendue sans qu</w:t>
      </w:r>
      <w:r>
        <w:rPr>
          <w:rFonts w:cs="Times New Roman"/>
          <w:lang w:val="fr-CA"/>
        </w:rPr>
        <w:t>’</w:t>
      </w:r>
      <w:r w:rsidRPr="00391530">
        <w:rPr>
          <w:rFonts w:cs="Times New Roman"/>
          <w:lang w:val="fr-CA"/>
        </w:rPr>
        <w:t>une personne touchée n</w:t>
      </w:r>
      <w:r>
        <w:rPr>
          <w:rFonts w:cs="Times New Roman"/>
          <w:lang w:val="fr-CA"/>
        </w:rPr>
        <w:t>’</w:t>
      </w:r>
      <w:r w:rsidRPr="00391530">
        <w:rPr>
          <w:rFonts w:cs="Times New Roman"/>
          <w:lang w:val="fr-CA"/>
        </w:rPr>
        <w:t>ait présenté d</w:t>
      </w:r>
      <w:r>
        <w:rPr>
          <w:rFonts w:cs="Times New Roman"/>
          <w:lang w:val="fr-CA"/>
        </w:rPr>
        <w:t>’</w:t>
      </w:r>
      <w:r w:rsidRPr="00391530">
        <w:rPr>
          <w:rFonts w:cs="Times New Roman"/>
          <w:lang w:val="fr-CA"/>
        </w:rPr>
        <w:t>observations parce qu</w:t>
      </w:r>
      <w:r>
        <w:rPr>
          <w:rFonts w:cs="Times New Roman"/>
          <w:lang w:val="fr-CA"/>
        </w:rPr>
        <w:t>’</w:t>
      </w:r>
      <w:r w:rsidRPr="00391530">
        <w:rPr>
          <w:rFonts w:cs="Times New Roman"/>
          <w:lang w:val="fr-CA"/>
        </w:rPr>
        <w:t>elle n</w:t>
      </w:r>
      <w:r>
        <w:rPr>
          <w:rFonts w:cs="Times New Roman"/>
          <w:lang w:val="fr-CA"/>
        </w:rPr>
        <w:t>’</w:t>
      </w:r>
      <w:r w:rsidRPr="00391530">
        <w:rPr>
          <w:rFonts w:cs="Times New Roman"/>
          <w:lang w:val="fr-CA"/>
        </w:rPr>
        <w:t>en a pas été dûment avisée, comme dans le cas d</w:t>
      </w:r>
      <w:r>
        <w:rPr>
          <w:rFonts w:cs="Times New Roman"/>
          <w:lang w:val="fr-CA"/>
        </w:rPr>
        <w:t>’</w:t>
      </w:r>
      <w:r w:rsidRPr="00391530">
        <w:rPr>
          <w:rFonts w:cs="Times New Roman"/>
          <w:lang w:val="fr-CA"/>
        </w:rPr>
        <w:t xml:space="preserve">une ordonnance </w:t>
      </w:r>
      <w:r w:rsidRPr="00391530">
        <w:rPr>
          <w:rFonts w:cs="Times New Roman"/>
          <w:i/>
          <w:lang w:val="fr-CA"/>
        </w:rPr>
        <w:t>ex parte</w:t>
      </w:r>
      <w:r w:rsidRPr="00391530">
        <w:rPr>
          <w:rFonts w:cs="Times New Roman"/>
          <w:lang w:val="fr-CA"/>
        </w:rPr>
        <w:t xml:space="preserve">, le droit </w:t>
      </w:r>
      <w:r>
        <w:rPr>
          <w:rFonts w:cs="Times New Roman"/>
          <w:lang w:val="fr-CA"/>
        </w:rPr>
        <w:t>reconnaît que le tribunal qui a rendu cette ordonnance a généralement le pouvoir de l’examiner sur requête de la personne touchée</w:t>
      </w:r>
      <w:r w:rsidRPr="00060362">
        <w:rPr>
          <w:rFonts w:cs="Times New Roman"/>
          <w:lang w:val="fr-CA"/>
        </w:rPr>
        <w:t xml:space="preserve"> (</w:t>
      </w:r>
      <w:r w:rsidRPr="00060362">
        <w:rPr>
          <w:rFonts w:cs="Times New Roman"/>
          <w:i/>
          <w:lang w:val="fr-CA"/>
        </w:rPr>
        <w:t xml:space="preserve">Wilson </w:t>
      </w:r>
      <w:r>
        <w:rPr>
          <w:rFonts w:cs="Times New Roman"/>
          <w:i/>
          <w:lang w:val="fr-CA"/>
        </w:rPr>
        <w:t>c</w:t>
      </w:r>
      <w:r w:rsidRPr="00060362">
        <w:rPr>
          <w:rFonts w:cs="Times New Roman"/>
          <w:i/>
          <w:lang w:val="fr-CA"/>
        </w:rPr>
        <w:t xml:space="preserve">. </w:t>
      </w:r>
      <w:r>
        <w:rPr>
          <w:rFonts w:cs="Times New Roman"/>
          <w:i/>
          <w:lang w:val="fr-CA"/>
        </w:rPr>
        <w:t>La Reine</w:t>
      </w:r>
      <w:r w:rsidRPr="00060362">
        <w:rPr>
          <w:rFonts w:cs="Times New Roman"/>
          <w:lang w:val="fr-CA"/>
        </w:rPr>
        <w:t xml:space="preserve">, [1983] 2 </w:t>
      </w:r>
      <w:r>
        <w:rPr>
          <w:rFonts w:cs="Times New Roman"/>
          <w:lang w:val="fr-CA"/>
        </w:rPr>
        <w:t>R.C.S</w:t>
      </w:r>
      <w:r w:rsidRPr="00060362">
        <w:rPr>
          <w:rFonts w:cs="Times New Roman"/>
          <w:lang w:val="fr-CA"/>
        </w:rPr>
        <w:t xml:space="preserve">. 594, </w:t>
      </w:r>
      <w:r>
        <w:rPr>
          <w:rFonts w:cs="Times New Roman"/>
          <w:lang w:val="fr-CA"/>
        </w:rPr>
        <w:t>p. </w:t>
      </w:r>
      <w:r w:rsidRPr="00060362">
        <w:rPr>
          <w:rFonts w:cs="Times New Roman"/>
          <w:lang w:val="fr-CA"/>
        </w:rPr>
        <w:t>607, cit</w:t>
      </w:r>
      <w:r>
        <w:rPr>
          <w:rFonts w:cs="Times New Roman"/>
          <w:lang w:val="fr-CA"/>
        </w:rPr>
        <w:t>ant</w:t>
      </w:r>
      <w:r w:rsidRPr="00060362">
        <w:rPr>
          <w:rFonts w:cs="Times New Roman"/>
          <w:lang w:val="fr-CA"/>
        </w:rPr>
        <w:t xml:space="preserve"> </w:t>
      </w:r>
      <w:proofErr w:type="spellStart"/>
      <w:r w:rsidRPr="00060362">
        <w:rPr>
          <w:rFonts w:cs="Times New Roman"/>
          <w:i/>
          <w:lang w:val="fr-CA"/>
        </w:rPr>
        <w:t>Dickie</w:t>
      </w:r>
      <w:proofErr w:type="spellEnd"/>
      <w:r w:rsidRPr="00060362">
        <w:rPr>
          <w:rFonts w:cs="Times New Roman"/>
          <w:i/>
          <w:lang w:val="fr-CA"/>
        </w:rPr>
        <w:t xml:space="preserve"> </w:t>
      </w:r>
      <w:r>
        <w:rPr>
          <w:rFonts w:cs="Times New Roman"/>
          <w:i/>
          <w:lang w:val="fr-CA"/>
        </w:rPr>
        <w:t>c</w:t>
      </w:r>
      <w:r w:rsidRPr="00060362">
        <w:rPr>
          <w:rFonts w:cs="Times New Roman"/>
          <w:i/>
          <w:lang w:val="fr-CA"/>
        </w:rPr>
        <w:t xml:space="preserve">. </w:t>
      </w:r>
      <w:proofErr w:type="spellStart"/>
      <w:r w:rsidRPr="00060362">
        <w:rPr>
          <w:rFonts w:cs="Times New Roman"/>
          <w:i/>
          <w:lang w:val="fr-CA"/>
        </w:rPr>
        <w:t>Woodworth</w:t>
      </w:r>
      <w:proofErr w:type="spellEnd"/>
      <w:r w:rsidRPr="00060362">
        <w:rPr>
          <w:rFonts w:cs="Times New Roman"/>
          <w:lang w:val="fr-CA"/>
        </w:rPr>
        <w:t xml:space="preserve"> (1883), 8 </w:t>
      </w:r>
      <w:r>
        <w:rPr>
          <w:rFonts w:cs="Times New Roman"/>
          <w:lang w:val="fr-CA"/>
        </w:rPr>
        <w:t>R.C.S</w:t>
      </w:r>
      <w:r w:rsidRPr="00060362">
        <w:rPr>
          <w:rFonts w:cs="Times New Roman"/>
          <w:lang w:val="fr-CA"/>
        </w:rPr>
        <w:t>. 192)</w:t>
      </w:r>
      <w:r>
        <w:rPr>
          <w:rFonts w:cs="Times New Roman"/>
          <w:lang w:val="fr-CA"/>
        </w:rPr>
        <w:t>.</w:t>
      </w:r>
      <w:r w:rsidRPr="00060362">
        <w:rPr>
          <w:rFonts w:cs="Times New Roman"/>
          <w:lang w:val="fr-CA"/>
        </w:rPr>
        <w:t xml:space="preserve"> </w:t>
      </w:r>
      <w:r>
        <w:rPr>
          <w:rFonts w:cs="Times New Roman"/>
          <w:lang w:val="fr-CA"/>
        </w:rPr>
        <w:t xml:space="preserve">Ceci fait en sorte que les personnes touchées ne sont pas </w:t>
      </w:r>
      <w:r w:rsidRPr="00E21D89">
        <w:rPr>
          <w:rFonts w:cs="Times New Roman"/>
          <w:lang w:val="fr-CA"/>
        </w:rPr>
        <w:t>injustement soumises à des ordonnances rendues sans que l</w:t>
      </w:r>
      <w:r>
        <w:rPr>
          <w:rFonts w:cs="Times New Roman"/>
          <w:lang w:val="fr-CA"/>
        </w:rPr>
        <w:t>’</w:t>
      </w:r>
      <w:r w:rsidRPr="00E21D89">
        <w:rPr>
          <w:rFonts w:cs="Times New Roman"/>
          <w:lang w:val="fr-CA"/>
        </w:rPr>
        <w:t>on ait pris connaissance de leurs arguments (voir</w:t>
      </w:r>
      <w:r>
        <w:rPr>
          <w:rFonts w:cs="Times New Roman"/>
          <w:lang w:val="fr-CA"/>
        </w:rPr>
        <w:t xml:space="preserve">, en général, </w:t>
      </w:r>
      <w:r w:rsidRPr="00E21D89">
        <w:rPr>
          <w:rFonts w:cs="Times New Roman"/>
          <w:lang w:val="fr-CA"/>
        </w:rPr>
        <w:t>F.</w:t>
      </w:r>
      <w:r>
        <w:rPr>
          <w:rFonts w:cs="Times New Roman"/>
          <w:lang w:val="fr-CA"/>
        </w:rPr>
        <w:noBreakHyphen/>
      </w:r>
      <w:r w:rsidRPr="00E21D89">
        <w:rPr>
          <w:rFonts w:cs="Times New Roman"/>
          <w:lang w:val="fr-CA"/>
        </w:rPr>
        <w:t xml:space="preserve">O. Barbeau, « Rétractation du jugement », dans </w:t>
      </w:r>
      <w:proofErr w:type="spellStart"/>
      <w:r w:rsidRPr="00E21D89">
        <w:rPr>
          <w:rFonts w:cs="Times New Roman"/>
          <w:i/>
          <w:lang w:val="fr-CA"/>
        </w:rPr>
        <w:t>JurisClasseur</w:t>
      </w:r>
      <w:proofErr w:type="spellEnd"/>
      <w:r w:rsidRPr="00E21D89">
        <w:rPr>
          <w:rFonts w:cs="Times New Roman"/>
          <w:i/>
          <w:lang w:val="fr-CA"/>
        </w:rPr>
        <w:t xml:space="preserve"> Québec </w:t>
      </w:r>
      <w:r>
        <w:rPr>
          <w:rFonts w:cs="Times New Roman"/>
          <w:i/>
          <w:lang w:val="fr-CA"/>
        </w:rPr>
        <w:t>—</w:t>
      </w:r>
      <w:r w:rsidRPr="00E21D89">
        <w:rPr>
          <w:rFonts w:cs="Times New Roman"/>
          <w:i/>
          <w:lang w:val="fr-CA"/>
        </w:rPr>
        <w:t xml:space="preserve"> Collection droit civil </w:t>
      </w:r>
      <w:r>
        <w:rPr>
          <w:rFonts w:cs="Times New Roman"/>
          <w:i/>
          <w:lang w:val="fr-CA"/>
        </w:rPr>
        <w:t>—</w:t>
      </w:r>
      <w:r w:rsidRPr="00E21D89">
        <w:rPr>
          <w:rFonts w:cs="Times New Roman"/>
          <w:i/>
          <w:lang w:val="fr-CA"/>
        </w:rPr>
        <w:t xml:space="preserve"> Procédure civile I </w:t>
      </w:r>
      <w:r w:rsidRPr="00E21D89">
        <w:rPr>
          <w:rFonts w:cs="Times New Roman"/>
          <w:lang w:val="fr-CA"/>
        </w:rPr>
        <w:t>(2</w:t>
      </w:r>
      <w:r w:rsidRPr="00E21D89">
        <w:rPr>
          <w:rFonts w:cs="Times New Roman"/>
          <w:vertAlign w:val="superscript"/>
          <w:lang w:val="fr-CA"/>
        </w:rPr>
        <w:t>e</w:t>
      </w:r>
      <w:r w:rsidRPr="00E21D89">
        <w:rPr>
          <w:rFonts w:cs="Times New Roman"/>
          <w:lang w:val="fr-CA"/>
        </w:rPr>
        <w:t xml:space="preserve"> éd.</w:t>
      </w:r>
      <w:r>
        <w:rPr>
          <w:rFonts w:cs="Times New Roman"/>
          <w:lang w:val="fr-CA"/>
        </w:rPr>
        <w:t xml:space="preserve"> (</w:t>
      </w:r>
      <w:r w:rsidRPr="00E21D89">
        <w:rPr>
          <w:rFonts w:cs="Times New Roman"/>
          <w:lang w:val="fr-CA"/>
        </w:rPr>
        <w:t>feuilles mobiles</w:t>
      </w:r>
      <w:r>
        <w:rPr>
          <w:rFonts w:cs="Times New Roman"/>
          <w:lang w:val="fr-CA"/>
        </w:rPr>
        <w:t>))</w:t>
      </w:r>
      <w:r w:rsidRPr="00E21D89">
        <w:rPr>
          <w:rFonts w:cs="Times New Roman"/>
          <w:lang w:val="fr-CA"/>
        </w:rPr>
        <w:t>,</w:t>
      </w:r>
      <w:r>
        <w:rPr>
          <w:rFonts w:cs="Times New Roman"/>
          <w:lang w:val="fr-CA"/>
        </w:rPr>
        <w:t xml:space="preserve"> </w:t>
      </w:r>
      <w:r w:rsidRPr="00391530">
        <w:rPr>
          <w:rFonts w:cs="Times New Roman"/>
          <w:lang w:val="fr-CA"/>
        </w:rPr>
        <w:t>par P.</w:t>
      </w:r>
      <w:r>
        <w:rPr>
          <w:rFonts w:cs="Times New Roman"/>
          <w:lang w:val="fr-CA"/>
        </w:rPr>
        <w:noBreakHyphen/>
      </w:r>
      <w:r w:rsidRPr="00391530">
        <w:rPr>
          <w:rFonts w:cs="Times New Roman"/>
          <w:lang w:val="fr-CA"/>
        </w:rPr>
        <w:t xml:space="preserve">C. Lafond, </w:t>
      </w:r>
      <w:proofErr w:type="spellStart"/>
      <w:proofErr w:type="gramStart"/>
      <w:r w:rsidRPr="00391530">
        <w:rPr>
          <w:rFonts w:cs="Times New Roman"/>
          <w:lang w:val="fr-CA"/>
        </w:rPr>
        <w:t>dir</w:t>
      </w:r>
      <w:proofErr w:type="spellEnd"/>
      <w:r w:rsidRPr="00391530">
        <w:rPr>
          <w:rFonts w:cs="Times New Roman"/>
          <w:lang w:val="fr-CA"/>
        </w:rPr>
        <w:t>.,</w:t>
      </w:r>
      <w:proofErr w:type="gramEnd"/>
      <w:r w:rsidRPr="00391530">
        <w:rPr>
          <w:rFonts w:cs="Times New Roman"/>
          <w:lang w:val="fr-CA"/>
        </w:rPr>
        <w:t xml:space="preserve"> fasc</w:t>
      </w:r>
      <w:r w:rsidRPr="00E21D89">
        <w:rPr>
          <w:rFonts w:cs="Times New Roman"/>
          <w:lang w:val="fr-CA"/>
        </w:rPr>
        <w:t>. 31, n</w:t>
      </w:r>
      <w:r w:rsidRPr="00E21D89">
        <w:rPr>
          <w:rFonts w:cs="Times New Roman"/>
          <w:vertAlign w:val="superscript"/>
          <w:lang w:val="fr-CA"/>
        </w:rPr>
        <w:t>o</w:t>
      </w:r>
      <w:r w:rsidRPr="00E21D89">
        <w:rPr>
          <w:rFonts w:cs="Times New Roman"/>
          <w:lang w:val="fr-CA"/>
        </w:rPr>
        <w:t xml:space="preserve"> 39). Ce principe </w:t>
      </w:r>
      <w:r>
        <w:rPr>
          <w:rFonts w:cs="Times New Roman"/>
          <w:lang w:val="fr-CA"/>
        </w:rPr>
        <w:t xml:space="preserve">trouve en outre son expression </w:t>
      </w:r>
      <w:r w:rsidRPr="00E21D89">
        <w:rPr>
          <w:rFonts w:cs="Times New Roman"/>
          <w:lang w:val="fr-CA"/>
        </w:rPr>
        <w:t xml:space="preserve">dans diverses règles de procédure (voir, </w:t>
      </w:r>
      <w:r>
        <w:rPr>
          <w:rFonts w:cs="Times New Roman"/>
          <w:lang w:val="fr-CA"/>
        </w:rPr>
        <w:t>p. </w:t>
      </w:r>
      <w:r w:rsidRPr="00E21D89">
        <w:rPr>
          <w:rFonts w:cs="Times New Roman"/>
          <w:lang w:val="fr-CA"/>
        </w:rPr>
        <w:t xml:space="preserve">ex., </w:t>
      </w:r>
      <w:r w:rsidRPr="00E21D89">
        <w:rPr>
          <w:rFonts w:cs="Times New Roman"/>
          <w:i/>
          <w:lang w:val="fr-CA"/>
        </w:rPr>
        <w:t>Règles de la Cour du Banc de la Reine</w:t>
      </w:r>
      <w:r w:rsidRPr="00E21D89">
        <w:rPr>
          <w:rFonts w:cs="Times New Roman"/>
          <w:lang w:val="fr-CA"/>
        </w:rPr>
        <w:t>, Règl. du Man. 553/88</w:t>
      </w:r>
      <w:r>
        <w:rPr>
          <w:rFonts w:cs="Times New Roman"/>
          <w:lang w:val="fr-CA"/>
        </w:rPr>
        <w:t>R</w:t>
      </w:r>
      <w:r w:rsidRPr="00E21D89">
        <w:rPr>
          <w:rFonts w:cs="Times New Roman"/>
          <w:lang w:val="fr-CA"/>
        </w:rPr>
        <w:t>, r</w:t>
      </w:r>
      <w:r>
        <w:rPr>
          <w:rFonts w:cs="Times New Roman"/>
          <w:lang w:val="fr-CA"/>
        </w:rPr>
        <w:t xml:space="preserve">. </w:t>
      </w:r>
      <w:r w:rsidRPr="00E21D89">
        <w:rPr>
          <w:rFonts w:cs="Times New Roman"/>
          <w:lang w:val="fr-CA"/>
        </w:rPr>
        <w:t>37.11 (« </w:t>
      </w:r>
      <w:r w:rsidRPr="00E21D89">
        <w:rPr>
          <w:rFonts w:cs="Times New Roman"/>
          <w:i/>
          <w:iCs/>
          <w:lang w:val="fr-CA"/>
        </w:rPr>
        <w:t>Règles du Banc de la Reine</w:t>
      </w:r>
      <w:r w:rsidRPr="00E21D89">
        <w:rPr>
          <w:rFonts w:cs="Times New Roman"/>
          <w:lang w:val="fr-CA"/>
        </w:rPr>
        <w:t> »)</w:t>
      </w:r>
      <w:r>
        <w:rPr>
          <w:rFonts w:cs="Times New Roman"/>
          <w:lang w:val="fr-CA"/>
        </w:rPr>
        <w:t>)</w:t>
      </w:r>
      <w:r w:rsidRPr="00E21D89">
        <w:rPr>
          <w:rFonts w:cs="Times New Roman"/>
          <w:lang w:val="fr-CA"/>
        </w:rPr>
        <w:t>. Des principes analogues s</w:t>
      </w:r>
      <w:r>
        <w:rPr>
          <w:rFonts w:cs="Times New Roman"/>
          <w:lang w:val="fr-CA"/>
        </w:rPr>
        <w:t>’</w:t>
      </w:r>
      <w:r w:rsidRPr="00E21D89">
        <w:rPr>
          <w:rFonts w:cs="Times New Roman"/>
          <w:lang w:val="fr-CA"/>
        </w:rPr>
        <w:t>appliquent aux ordonnances portant sur la publicité des débats judiciaires</w:t>
      </w:r>
      <w:r>
        <w:rPr>
          <w:rFonts w:cs="Times New Roman"/>
          <w:lang w:val="fr-CA"/>
        </w:rPr>
        <w:t> :</w:t>
      </w:r>
      <w:r w:rsidRPr="00E21D89">
        <w:rPr>
          <w:rFonts w:cs="Times New Roman"/>
          <w:lang w:val="fr-CA"/>
        </w:rPr>
        <w:t xml:space="preserve"> je note par exemple que les tribunaux </w:t>
      </w:r>
      <w:r>
        <w:rPr>
          <w:rFonts w:cs="Times New Roman"/>
          <w:lang w:val="fr-CA"/>
        </w:rPr>
        <w:t xml:space="preserve">de l’Ontario se sont appuyés sur les </w:t>
      </w:r>
      <w:r>
        <w:rPr>
          <w:rFonts w:cs="Times New Roman"/>
          <w:i/>
          <w:lang w:val="fr-CA"/>
        </w:rPr>
        <w:t>Règles de procédure civile</w:t>
      </w:r>
      <w:r w:rsidRPr="00060362">
        <w:rPr>
          <w:rFonts w:cs="Times New Roman"/>
          <w:lang w:val="fr-CA"/>
        </w:rPr>
        <w:t xml:space="preserve">, R.R.O. 1990, </w:t>
      </w:r>
      <w:r>
        <w:rPr>
          <w:rFonts w:cs="Times New Roman"/>
          <w:lang w:val="fr-CA"/>
        </w:rPr>
        <w:t>règl</w:t>
      </w:r>
      <w:r w:rsidRPr="00060362">
        <w:rPr>
          <w:rFonts w:cs="Times New Roman"/>
          <w:lang w:val="fr-CA"/>
        </w:rPr>
        <w:t xml:space="preserve">. 194, </w:t>
      </w:r>
      <w:r>
        <w:rPr>
          <w:rFonts w:cs="Times New Roman"/>
          <w:lang w:val="fr-CA"/>
        </w:rPr>
        <w:t>pour trancher des contestations d’ordonnances de mise sous scellés présentées par des représentants des médias qui n’avaient pas été dûment avisés de l’audience à laquelle l’ordonnance a été rendue</w:t>
      </w:r>
      <w:r w:rsidRPr="00060362">
        <w:rPr>
          <w:rFonts w:cs="Times New Roman"/>
          <w:lang w:val="fr-CA"/>
        </w:rPr>
        <w:t xml:space="preserve"> (</w:t>
      </w:r>
      <w:proofErr w:type="spellStart"/>
      <w:r w:rsidRPr="00060362">
        <w:rPr>
          <w:rFonts w:cs="Times New Roman"/>
          <w:i/>
          <w:lang w:val="fr-CA"/>
        </w:rPr>
        <w:t>Hollinger</w:t>
      </w:r>
      <w:proofErr w:type="spellEnd"/>
      <w:r w:rsidRPr="00060362">
        <w:rPr>
          <w:rFonts w:cs="Times New Roman"/>
          <w:i/>
          <w:lang w:val="fr-CA"/>
        </w:rPr>
        <w:t xml:space="preserve"> Inc. </w:t>
      </w:r>
      <w:r>
        <w:rPr>
          <w:rFonts w:cs="Times New Roman"/>
          <w:i/>
          <w:lang w:val="fr-CA"/>
        </w:rPr>
        <w:t>c</w:t>
      </w:r>
      <w:r w:rsidRPr="00060362">
        <w:rPr>
          <w:rFonts w:cs="Times New Roman"/>
          <w:i/>
          <w:lang w:val="fr-CA"/>
        </w:rPr>
        <w:t xml:space="preserve">. The </w:t>
      </w:r>
      <w:proofErr w:type="spellStart"/>
      <w:r w:rsidRPr="00060362">
        <w:rPr>
          <w:rFonts w:cs="Times New Roman"/>
          <w:i/>
          <w:lang w:val="fr-CA"/>
        </w:rPr>
        <w:t>Ravelston</w:t>
      </w:r>
      <w:proofErr w:type="spellEnd"/>
      <w:r w:rsidRPr="00060362">
        <w:rPr>
          <w:rFonts w:cs="Times New Roman"/>
          <w:i/>
          <w:lang w:val="fr-CA"/>
        </w:rPr>
        <w:t xml:space="preserve"> Corp</w:t>
      </w:r>
      <w:r>
        <w:rPr>
          <w:rFonts w:cs="Times New Roman"/>
          <w:i/>
          <w:lang w:val="fr-CA"/>
        </w:rPr>
        <w:t>.</w:t>
      </w:r>
      <w:r w:rsidRPr="00060362">
        <w:rPr>
          <w:rFonts w:cs="Times New Roman"/>
          <w:lang w:val="fr-CA"/>
        </w:rPr>
        <w:t>, 2008 ONCA 207, 89 O.R. (3d) 721,</w:t>
      </w:r>
      <w:r w:rsidRPr="00060362">
        <w:rPr>
          <w:rFonts w:cs="Times New Roman"/>
          <w:i/>
          <w:lang w:val="fr-CA"/>
        </w:rPr>
        <w:t xml:space="preserve"> </w:t>
      </w:r>
      <w:r>
        <w:rPr>
          <w:rFonts w:cs="Times New Roman"/>
          <w:lang w:val="fr-CA"/>
        </w:rPr>
        <w:t>par. </w:t>
      </w:r>
      <w:r w:rsidRPr="00060362">
        <w:rPr>
          <w:rFonts w:cs="Times New Roman"/>
          <w:lang w:val="fr-CA"/>
        </w:rPr>
        <w:t xml:space="preserve">43, </w:t>
      </w:r>
      <w:r>
        <w:rPr>
          <w:rFonts w:cs="Times New Roman"/>
          <w:lang w:val="fr-CA"/>
        </w:rPr>
        <w:t>le juge</w:t>
      </w:r>
      <w:r w:rsidRPr="00060362">
        <w:rPr>
          <w:rFonts w:cs="Times New Roman"/>
          <w:lang w:val="fr-CA"/>
        </w:rPr>
        <w:t xml:space="preserve"> Juriansz, </w:t>
      </w:r>
      <w:r>
        <w:rPr>
          <w:rFonts w:cs="Times New Roman"/>
          <w:lang w:val="fr-CA"/>
        </w:rPr>
        <w:t>dissident en partie, mais non sur ce point</w:t>
      </w:r>
      <w:r w:rsidRPr="00060362">
        <w:rPr>
          <w:rFonts w:cs="Times New Roman"/>
          <w:lang w:val="fr-CA"/>
        </w:rPr>
        <w:t>).</w:t>
      </w:r>
    </w:p>
    <w:p w:rsidR="009F09DA" w:rsidRPr="00060362" w:rsidRDefault="009F09DA" w:rsidP="009F09DA">
      <w:pPr>
        <w:pStyle w:val="ParaNoNdepar-AltN"/>
        <w:rPr>
          <w:rFonts w:cs="Times New Roman"/>
          <w:lang w:val="fr-CA"/>
        </w:rPr>
      </w:pPr>
      <w:r>
        <w:rPr>
          <w:rFonts w:cs="Times New Roman"/>
          <w:lang w:val="fr-CA"/>
        </w:rPr>
        <w:t>Pour contester une ordonnance existante en matière de publicité des débats judiciaires, la partie requérante doit être une personne touchée à qui il convient de reconnaître la qualité pour agir. De plus, s’il y a lieu, la partie doit avoir agi avec célérité dans sa demande d’annulation de l’ordonnance contestée. Compte tenu des arguments présentés en l’espèce, de brèves remarques s’imposent en ce qui concerne ces deux points</w:t>
      </w:r>
      <w:r w:rsidRPr="00060362">
        <w:rPr>
          <w:rFonts w:cs="Times New Roman"/>
          <w:lang w:val="fr-CA"/>
        </w:rPr>
        <w:t>.</w:t>
      </w:r>
    </w:p>
    <w:p w:rsidR="009F09DA" w:rsidRPr="00E21D89" w:rsidRDefault="009F09DA" w:rsidP="009F09DA">
      <w:pPr>
        <w:pStyle w:val="ParaNoNdepar-AltN"/>
        <w:spacing w:before="240"/>
        <w:rPr>
          <w:rFonts w:cs="Times New Roman"/>
          <w:lang w:val="fr-CA"/>
        </w:rPr>
      </w:pPr>
      <w:r w:rsidRPr="00E21D89">
        <w:rPr>
          <w:rFonts w:cs="Times New Roman"/>
          <w:lang w:val="fr-CA"/>
        </w:rPr>
        <w:t>En premier lieu, il importe de reconnaître que l</w:t>
      </w:r>
      <w:r>
        <w:rPr>
          <w:rFonts w:cs="Times New Roman"/>
          <w:lang w:val="fr-CA"/>
        </w:rPr>
        <w:t>’</w:t>
      </w:r>
      <w:r w:rsidRPr="00E21D89">
        <w:rPr>
          <w:rFonts w:cs="Times New Roman"/>
          <w:lang w:val="fr-CA"/>
        </w:rPr>
        <w:t>application du principe susmentionné aux interdictions de publication ou aux ordonnances de mise sous scellés nécessite la prise en compte de la qualité pour agir, en raison des répercussions générales d</w:t>
      </w:r>
      <w:r>
        <w:rPr>
          <w:rFonts w:cs="Times New Roman"/>
          <w:lang w:val="fr-CA"/>
        </w:rPr>
        <w:t>’</w:t>
      </w:r>
      <w:r w:rsidRPr="00E21D89">
        <w:rPr>
          <w:rFonts w:cs="Times New Roman"/>
          <w:lang w:val="fr-CA"/>
        </w:rPr>
        <w:t xml:space="preserve">une telle ordonnance. Dans la mesure où une interdiction de publication ou une ordonnance de mise sous scellés fait entorse au principe de la publicité des débats judiciaires, les ordonnances de ce genre peuvent, par exemple, </w:t>
      </w:r>
      <w:r>
        <w:rPr>
          <w:rFonts w:cs="Times New Roman"/>
          <w:lang w:val="fr-CA"/>
        </w:rPr>
        <w:t xml:space="preserve">porter atteinte au droit du public à la liberté d’expression et à la liberté de la presse que </w:t>
      </w:r>
      <w:r w:rsidRPr="00E21D89">
        <w:rPr>
          <w:rFonts w:cs="Times New Roman"/>
          <w:lang w:val="fr-CA"/>
        </w:rPr>
        <w:t>confère l</w:t>
      </w:r>
      <w:r>
        <w:rPr>
          <w:rFonts w:cs="Times New Roman"/>
          <w:lang w:val="fr-CA"/>
        </w:rPr>
        <w:t>’al. </w:t>
      </w:r>
      <w:r w:rsidRPr="00E21D89">
        <w:rPr>
          <w:rFonts w:cs="Times New Roman"/>
          <w:lang w:val="fr-CA"/>
        </w:rPr>
        <w:t>2b)</w:t>
      </w:r>
      <w:r>
        <w:rPr>
          <w:rFonts w:cs="Times New Roman"/>
          <w:lang w:val="fr-CA"/>
        </w:rPr>
        <w:t xml:space="preserve"> de la </w:t>
      </w:r>
      <w:r w:rsidRPr="00E21D89">
        <w:rPr>
          <w:rFonts w:cs="Times New Roman"/>
          <w:i/>
          <w:lang w:val="fr-CA"/>
        </w:rPr>
        <w:t>Charte</w:t>
      </w:r>
      <w:r w:rsidRPr="00E21D89">
        <w:rPr>
          <w:rFonts w:cs="Times New Roman"/>
          <w:lang w:val="fr-CA"/>
        </w:rPr>
        <w:t xml:space="preserve"> (</w:t>
      </w:r>
      <w:r w:rsidRPr="00E21D89">
        <w:rPr>
          <w:rFonts w:cs="Times New Roman"/>
          <w:i/>
          <w:lang w:val="fr-CA"/>
        </w:rPr>
        <w:t>Vancouver</w:t>
      </w:r>
      <w:r>
        <w:rPr>
          <w:rFonts w:cs="Times New Roman"/>
          <w:i/>
          <w:lang w:val="fr-CA"/>
        </w:rPr>
        <w:t xml:space="preserve"> </w:t>
      </w:r>
      <w:r w:rsidRPr="00E21D89">
        <w:rPr>
          <w:rFonts w:cs="Times New Roman"/>
          <w:i/>
          <w:lang w:val="fr-CA"/>
        </w:rPr>
        <w:t>Sun</w:t>
      </w:r>
      <w:r w:rsidRPr="00E21D89">
        <w:rPr>
          <w:rFonts w:cs="Times New Roman"/>
          <w:lang w:val="fr-CA"/>
        </w:rPr>
        <w:t xml:space="preserve">, </w:t>
      </w:r>
      <w:r>
        <w:rPr>
          <w:rFonts w:cs="Times New Roman"/>
          <w:lang w:val="fr-CA"/>
        </w:rPr>
        <w:t>par. </w:t>
      </w:r>
      <w:r w:rsidRPr="00E21D89">
        <w:rPr>
          <w:rFonts w:cs="Times New Roman"/>
          <w:lang w:val="fr-CA"/>
        </w:rPr>
        <w:t xml:space="preserve">26). La </w:t>
      </w:r>
      <w:r w:rsidRPr="00C5565E">
        <w:rPr>
          <w:rFonts w:cs="Times New Roman"/>
          <w:lang w:val="fr-CA"/>
        </w:rPr>
        <w:t xml:space="preserve">publicité des débats judiciaires se conçoit comme un bien public, et non un intérêt qui appartient à une </w:t>
      </w:r>
      <w:r w:rsidRPr="00391530">
        <w:rPr>
          <w:rFonts w:cs="Times New Roman"/>
          <w:lang w:val="fr-CA"/>
        </w:rPr>
        <w:t>personne ou à une entité en particulier. En outre, les risques pour les intérêts importants et divergents qui justifient</w:t>
      </w:r>
      <w:r w:rsidRPr="00E21D89">
        <w:rPr>
          <w:rFonts w:cs="Times New Roman"/>
          <w:lang w:val="fr-CA"/>
        </w:rPr>
        <w:t xml:space="preserve"> des limites à la publicité des débats judiciaires doivent eux aussi refléter des valeurs publiques, même s</w:t>
      </w:r>
      <w:r>
        <w:rPr>
          <w:rFonts w:cs="Times New Roman"/>
          <w:lang w:val="fr-CA"/>
        </w:rPr>
        <w:t>’</w:t>
      </w:r>
      <w:r w:rsidRPr="00E21D89">
        <w:rPr>
          <w:rFonts w:cs="Times New Roman"/>
          <w:lang w:val="fr-CA"/>
        </w:rPr>
        <w:t xml:space="preserve">ils visent à protéger certaines </w:t>
      </w:r>
      <w:r w:rsidRPr="00391530">
        <w:rPr>
          <w:rFonts w:cs="Times New Roman"/>
          <w:lang w:val="fr-CA"/>
        </w:rPr>
        <w:t>personnes (</w:t>
      </w:r>
      <w:r w:rsidRPr="00391530">
        <w:rPr>
          <w:rFonts w:cs="Times New Roman"/>
          <w:i/>
          <w:lang w:val="fr-CA"/>
        </w:rPr>
        <w:t>Sierra Club du Canada c. Canada (Ministre des Finances)</w:t>
      </w:r>
      <w:r w:rsidRPr="00391530">
        <w:rPr>
          <w:rFonts w:cs="Times New Roman"/>
          <w:lang w:val="fr-CA"/>
        </w:rPr>
        <w:t xml:space="preserve">, 2002 CSC 41, [2002] 2 R.C.S. 522, </w:t>
      </w:r>
      <w:r>
        <w:rPr>
          <w:rFonts w:cs="Times New Roman"/>
          <w:lang w:val="fr-CA"/>
        </w:rPr>
        <w:t>par. </w:t>
      </w:r>
      <w:r w:rsidRPr="00391530">
        <w:rPr>
          <w:rFonts w:cs="Times New Roman"/>
          <w:lang w:val="fr-CA"/>
        </w:rPr>
        <w:t>55). En revanche, dans l</w:t>
      </w:r>
      <w:r>
        <w:rPr>
          <w:rFonts w:cs="Times New Roman"/>
          <w:lang w:val="fr-CA"/>
        </w:rPr>
        <w:t>’</w:t>
      </w:r>
      <w:r w:rsidRPr="00391530">
        <w:rPr>
          <w:rFonts w:cs="Times New Roman"/>
          <w:lang w:val="fr-CA"/>
        </w:rPr>
        <w:t>intérêt d</w:t>
      </w:r>
      <w:r>
        <w:rPr>
          <w:rFonts w:cs="Times New Roman"/>
          <w:lang w:val="fr-CA"/>
        </w:rPr>
        <w:t>’</w:t>
      </w:r>
      <w:r w:rsidRPr="00391530">
        <w:rPr>
          <w:rFonts w:cs="Times New Roman"/>
          <w:lang w:val="fr-CA"/>
        </w:rPr>
        <w:t xml:space="preserve">une administration ordonnée de la justice, on ne peut pas donner à chaque membre du public ou entité médiatique qualité pour présenter une motion visant à faire annuler </w:t>
      </w:r>
      <w:r>
        <w:rPr>
          <w:rFonts w:cs="Times New Roman"/>
          <w:lang w:val="fr-CA"/>
        </w:rPr>
        <w:t>d</w:t>
      </w:r>
      <w:r w:rsidRPr="00391530">
        <w:rPr>
          <w:rFonts w:cs="Times New Roman"/>
          <w:lang w:val="fr-CA"/>
        </w:rPr>
        <w:t>es interdictions de publication en l</w:t>
      </w:r>
      <w:r>
        <w:rPr>
          <w:rFonts w:cs="Times New Roman"/>
          <w:lang w:val="fr-CA"/>
        </w:rPr>
        <w:t>’</w:t>
      </w:r>
      <w:r w:rsidRPr="00391530">
        <w:rPr>
          <w:rFonts w:cs="Times New Roman"/>
          <w:lang w:val="fr-CA"/>
        </w:rPr>
        <w:t>absence d</w:t>
      </w:r>
      <w:r>
        <w:rPr>
          <w:rFonts w:cs="Times New Roman"/>
          <w:lang w:val="fr-CA"/>
        </w:rPr>
        <w:t>’</w:t>
      </w:r>
      <w:r w:rsidRPr="00391530">
        <w:rPr>
          <w:rFonts w:cs="Times New Roman"/>
          <w:lang w:val="fr-CA"/>
        </w:rPr>
        <w:t>un tel préavis. Le nombre de parties ayant droit à un réexamen risquerait d</w:t>
      </w:r>
      <w:r>
        <w:rPr>
          <w:rFonts w:cs="Times New Roman"/>
          <w:lang w:val="fr-CA"/>
        </w:rPr>
        <w:t>’</w:t>
      </w:r>
      <w:r w:rsidRPr="00391530">
        <w:rPr>
          <w:rFonts w:cs="Times New Roman"/>
          <w:lang w:val="fr-CA"/>
        </w:rPr>
        <w:t>être infini. Ainsi que notre Cour l</w:t>
      </w:r>
      <w:r>
        <w:rPr>
          <w:rFonts w:cs="Times New Roman"/>
          <w:lang w:val="fr-CA"/>
        </w:rPr>
        <w:t>’</w:t>
      </w:r>
      <w:r w:rsidRPr="00391530">
        <w:rPr>
          <w:rFonts w:cs="Times New Roman"/>
          <w:lang w:val="fr-CA"/>
        </w:rPr>
        <w:t>a mentionné dans l</w:t>
      </w:r>
      <w:r>
        <w:rPr>
          <w:rFonts w:cs="Times New Roman"/>
          <w:lang w:val="fr-CA"/>
        </w:rPr>
        <w:t>’</w:t>
      </w:r>
      <w:r w:rsidRPr="00391530">
        <w:rPr>
          <w:rFonts w:cs="Times New Roman"/>
          <w:lang w:val="fr-CA"/>
        </w:rPr>
        <w:t xml:space="preserve">arrêt </w:t>
      </w:r>
      <w:r w:rsidRPr="00391530">
        <w:rPr>
          <w:rFonts w:cs="Times New Roman"/>
          <w:i/>
          <w:lang w:val="fr-CA"/>
        </w:rPr>
        <w:t>Dagenais</w:t>
      </w:r>
      <w:r w:rsidRPr="00391530">
        <w:rPr>
          <w:rFonts w:cs="Times New Roman"/>
          <w:lang w:val="fr-CA"/>
        </w:rPr>
        <w:t>, pour ce qui est des interdictions de publication dans les affaires criminelles, la qualité pour agir dans ces affaires devrait plutôt relever du pouvoir discrétionnaire du tribunal (</w:t>
      </w:r>
      <w:r>
        <w:rPr>
          <w:rFonts w:cs="Times New Roman"/>
          <w:lang w:val="fr-CA"/>
        </w:rPr>
        <w:t>p. </w:t>
      </w:r>
      <w:r w:rsidRPr="00391530">
        <w:rPr>
          <w:rFonts w:cs="Times New Roman"/>
          <w:lang w:val="fr-CA"/>
        </w:rPr>
        <w:t xml:space="preserve">869 et 872; voir aussi </w:t>
      </w:r>
      <w:r w:rsidRPr="00391530">
        <w:rPr>
          <w:rFonts w:cs="Times New Roman"/>
          <w:i/>
          <w:lang w:val="fr-CA"/>
        </w:rPr>
        <w:t>R. c. White</w:t>
      </w:r>
      <w:r w:rsidRPr="00391530">
        <w:rPr>
          <w:rFonts w:cs="Times New Roman"/>
          <w:lang w:val="fr-CA"/>
        </w:rPr>
        <w:t xml:space="preserve">, 2008 ABCA 294, 93 Alta. L.R. (4th) 239, </w:t>
      </w:r>
      <w:r>
        <w:rPr>
          <w:rFonts w:cs="Times New Roman"/>
          <w:lang w:val="fr-CA"/>
        </w:rPr>
        <w:t>par. </w:t>
      </w:r>
      <w:r w:rsidRPr="00391530">
        <w:rPr>
          <w:rFonts w:cs="Times New Roman"/>
          <w:lang w:val="fr-CA"/>
        </w:rPr>
        <w:t>12, conf</w:t>
      </w:r>
      <w:r w:rsidRPr="00E21D89">
        <w:rPr>
          <w:rFonts w:cs="Times New Roman"/>
          <w:lang w:val="fr-CA"/>
        </w:rPr>
        <w:t xml:space="preserve">. par </w:t>
      </w:r>
      <w:r w:rsidRPr="00E21D89">
        <w:rPr>
          <w:rFonts w:cs="Times New Roman"/>
          <w:i/>
          <w:lang w:val="fr-CA"/>
        </w:rPr>
        <w:t>Toronto Star Newspaper Ltd. c. Canada</w:t>
      </w:r>
      <w:r w:rsidRPr="00E21D89">
        <w:rPr>
          <w:rFonts w:cs="Times New Roman"/>
          <w:lang w:val="fr-CA"/>
        </w:rPr>
        <w:t>, 2010 CSC 21, [2010] 1 R.C.S. 721).</w:t>
      </w:r>
    </w:p>
    <w:p w:rsidR="009F09DA" w:rsidRPr="00391530" w:rsidRDefault="009F09DA" w:rsidP="009F09DA">
      <w:pPr>
        <w:pStyle w:val="ParaNoNdepar-AltN"/>
        <w:rPr>
          <w:rFonts w:cs="Times New Roman"/>
          <w:lang w:val="fr-CA"/>
        </w:rPr>
      </w:pPr>
      <w:r>
        <w:rPr>
          <w:rFonts w:cs="Times New Roman"/>
          <w:lang w:val="fr-CA"/>
        </w:rPr>
        <w:t>Au chapitre de la qualité pour agir</w:t>
      </w:r>
      <w:r w:rsidRPr="00060362">
        <w:rPr>
          <w:rFonts w:cs="Times New Roman"/>
          <w:lang w:val="fr-CA"/>
        </w:rPr>
        <w:t xml:space="preserve">, </w:t>
      </w:r>
      <w:r>
        <w:rPr>
          <w:rFonts w:cs="Times New Roman"/>
          <w:lang w:val="fr-CA"/>
        </w:rPr>
        <w:t xml:space="preserve">une ordonnance limitant la publicité des débats judiciaires fait entrer en jeu le droit constitutionnel de la liberté de la presse de relater des procédures judiciaires </w:t>
      </w:r>
      <w:r w:rsidRPr="00060362">
        <w:rPr>
          <w:rFonts w:cs="Times New Roman"/>
          <w:lang w:val="fr-CA"/>
        </w:rPr>
        <w:t>(</w:t>
      </w:r>
      <w:r>
        <w:rPr>
          <w:rFonts w:cs="Times New Roman"/>
          <w:i/>
          <w:lang w:val="fr-CA"/>
        </w:rPr>
        <w:t>Société Radio</w:t>
      </w:r>
      <w:r>
        <w:rPr>
          <w:rFonts w:cs="Times New Roman"/>
          <w:i/>
          <w:lang w:val="fr-CA"/>
        </w:rPr>
        <w:noBreakHyphen/>
        <w:t>Canada</w:t>
      </w:r>
      <w:r w:rsidRPr="00060362">
        <w:rPr>
          <w:rFonts w:cs="Times New Roman"/>
          <w:i/>
          <w:lang w:val="fr-CA"/>
        </w:rPr>
        <w:t xml:space="preserve"> </w:t>
      </w:r>
      <w:r>
        <w:rPr>
          <w:rFonts w:cs="Times New Roman"/>
          <w:i/>
          <w:lang w:val="fr-CA"/>
        </w:rPr>
        <w:t>c</w:t>
      </w:r>
      <w:r w:rsidRPr="00060362">
        <w:rPr>
          <w:rFonts w:cs="Times New Roman"/>
          <w:i/>
          <w:lang w:val="fr-CA"/>
        </w:rPr>
        <w:t>. Canada (</w:t>
      </w:r>
      <w:r>
        <w:rPr>
          <w:rFonts w:cs="Times New Roman"/>
          <w:i/>
          <w:lang w:val="fr-CA"/>
        </w:rPr>
        <w:t>Procureur général</w:t>
      </w:r>
      <w:r w:rsidRPr="00060362">
        <w:rPr>
          <w:rFonts w:cs="Times New Roman"/>
          <w:i/>
          <w:lang w:val="fr-CA"/>
        </w:rPr>
        <w:t>)</w:t>
      </w:r>
      <w:r w:rsidRPr="00060362">
        <w:rPr>
          <w:rFonts w:cs="Times New Roman"/>
          <w:lang w:val="fr-CA"/>
        </w:rPr>
        <w:t xml:space="preserve">, 2011 </w:t>
      </w:r>
      <w:r>
        <w:rPr>
          <w:rFonts w:cs="Times New Roman"/>
          <w:lang w:val="fr-CA"/>
        </w:rPr>
        <w:t>CSC</w:t>
      </w:r>
      <w:r w:rsidRPr="00060362">
        <w:rPr>
          <w:rFonts w:cs="Times New Roman"/>
          <w:lang w:val="fr-CA"/>
        </w:rPr>
        <w:t xml:space="preserve"> 2, [2011] 1 </w:t>
      </w:r>
      <w:r>
        <w:rPr>
          <w:rFonts w:cs="Times New Roman"/>
          <w:lang w:val="fr-CA"/>
        </w:rPr>
        <w:t>R.C.S</w:t>
      </w:r>
      <w:r w:rsidRPr="00060362">
        <w:rPr>
          <w:rFonts w:cs="Times New Roman"/>
          <w:lang w:val="fr-CA"/>
        </w:rPr>
        <w:t xml:space="preserve">. 19, </w:t>
      </w:r>
      <w:r>
        <w:rPr>
          <w:rFonts w:cs="Times New Roman"/>
          <w:lang w:val="fr-CA"/>
        </w:rPr>
        <w:t>par. </w:t>
      </w:r>
      <w:r w:rsidRPr="00060362">
        <w:rPr>
          <w:rFonts w:cs="Times New Roman"/>
          <w:lang w:val="fr-CA"/>
        </w:rPr>
        <w:t xml:space="preserve">2; </w:t>
      </w:r>
      <w:r w:rsidRPr="00060362">
        <w:rPr>
          <w:rFonts w:cs="Times New Roman"/>
          <w:i/>
          <w:lang w:val="fr-CA"/>
        </w:rPr>
        <w:t>Vancouver Sun</w:t>
      </w:r>
      <w:r w:rsidRPr="00060362">
        <w:rPr>
          <w:rFonts w:cs="Times New Roman"/>
          <w:lang w:val="fr-CA"/>
        </w:rPr>
        <w:t xml:space="preserve">, </w:t>
      </w:r>
      <w:r>
        <w:rPr>
          <w:rFonts w:cs="Times New Roman"/>
          <w:lang w:val="fr-CA"/>
        </w:rPr>
        <w:t>par. </w:t>
      </w:r>
      <w:r w:rsidRPr="00060362">
        <w:rPr>
          <w:rFonts w:cs="Times New Roman"/>
          <w:lang w:val="fr-CA"/>
        </w:rPr>
        <w:t xml:space="preserve">26). </w:t>
      </w:r>
      <w:r>
        <w:rPr>
          <w:rFonts w:cs="Times New Roman"/>
          <w:lang w:val="fr-CA"/>
        </w:rPr>
        <w:t xml:space="preserve">Lorsque cette ordonnance a été rendue sans avis aux médias, un représentant des médias devrait généralement avoir qualité pour contester une ordonnance qui menace le principe de la publicité des débats </w:t>
      </w:r>
      <w:r w:rsidRPr="00274543">
        <w:rPr>
          <w:rFonts w:cs="Times New Roman"/>
          <w:lang w:val="fr-CA"/>
        </w:rPr>
        <w:t>judiciaires s</w:t>
      </w:r>
      <w:r>
        <w:rPr>
          <w:rFonts w:cs="Times New Roman"/>
          <w:lang w:val="fr-CA"/>
        </w:rPr>
        <w:t>’</w:t>
      </w:r>
      <w:r w:rsidRPr="00274543">
        <w:rPr>
          <w:rFonts w:cs="Times New Roman"/>
          <w:lang w:val="fr-CA"/>
        </w:rPr>
        <w:t>il est à même de démontrer qu</w:t>
      </w:r>
      <w:r>
        <w:rPr>
          <w:rFonts w:cs="Times New Roman"/>
          <w:lang w:val="fr-CA"/>
        </w:rPr>
        <w:t>’</w:t>
      </w:r>
      <w:r w:rsidRPr="00274543">
        <w:rPr>
          <w:rFonts w:cs="Times New Roman"/>
          <w:lang w:val="fr-CA"/>
        </w:rPr>
        <w:t>il présentera des observations qui n</w:t>
      </w:r>
      <w:r>
        <w:rPr>
          <w:rFonts w:cs="Times New Roman"/>
          <w:lang w:val="fr-CA"/>
        </w:rPr>
        <w:t>’</w:t>
      </w:r>
      <w:r w:rsidRPr="00274543">
        <w:rPr>
          <w:rFonts w:cs="Times New Roman"/>
          <w:lang w:val="fr-CA"/>
        </w:rPr>
        <w:t>ont pas été prises en compte au moment du prononcé de l</w:t>
      </w:r>
      <w:r>
        <w:rPr>
          <w:rFonts w:cs="Times New Roman"/>
          <w:lang w:val="fr-CA"/>
        </w:rPr>
        <w:t>’</w:t>
      </w:r>
      <w:r w:rsidRPr="00274543">
        <w:rPr>
          <w:rFonts w:cs="Times New Roman"/>
          <w:lang w:val="fr-CA"/>
        </w:rPr>
        <w:t>ordonnance et qui peuvent influer sur le résultat (voir</w:t>
      </w:r>
      <w:r>
        <w:rPr>
          <w:rFonts w:cs="Times New Roman"/>
          <w:lang w:val="fr-CA"/>
        </w:rPr>
        <w:t xml:space="preserve">, en général, </w:t>
      </w:r>
      <w:proofErr w:type="spellStart"/>
      <w:r w:rsidRPr="00274543">
        <w:rPr>
          <w:rFonts w:cs="Times New Roman"/>
          <w:i/>
          <w:lang w:val="fr-CA"/>
        </w:rPr>
        <w:t>Hollinger</w:t>
      </w:r>
      <w:proofErr w:type="spellEnd"/>
      <w:r w:rsidRPr="00274543">
        <w:rPr>
          <w:rFonts w:cs="Times New Roman"/>
          <w:lang w:val="fr-CA"/>
        </w:rPr>
        <w:t xml:space="preserve">, </w:t>
      </w:r>
      <w:r>
        <w:rPr>
          <w:rFonts w:cs="Times New Roman"/>
          <w:lang w:val="fr-CA"/>
        </w:rPr>
        <w:t>par. </w:t>
      </w:r>
      <w:r w:rsidRPr="00274543">
        <w:rPr>
          <w:rFonts w:cs="Times New Roman"/>
          <w:lang w:val="fr-CA"/>
        </w:rPr>
        <w:t>36</w:t>
      </w:r>
      <w:r>
        <w:rPr>
          <w:rFonts w:cs="Times New Roman"/>
          <w:lang w:val="fr-CA"/>
        </w:rPr>
        <w:noBreakHyphen/>
      </w:r>
      <w:r w:rsidRPr="00274543">
        <w:rPr>
          <w:rFonts w:cs="Times New Roman"/>
          <w:lang w:val="fr-CA"/>
        </w:rPr>
        <w:t xml:space="preserve">39). En pratique, et à juste titre </w:t>
      </w:r>
      <w:r>
        <w:rPr>
          <w:rFonts w:cs="Times New Roman"/>
          <w:lang w:val="fr-CA"/>
        </w:rPr>
        <w:t>selon moi</w:t>
      </w:r>
      <w:r w:rsidRPr="00274543">
        <w:rPr>
          <w:rFonts w:cs="Times New Roman"/>
          <w:lang w:val="fr-CA"/>
        </w:rPr>
        <w:t xml:space="preserve">, la qualité pour participer </w:t>
      </w:r>
      <w:r>
        <w:rPr>
          <w:rFonts w:cs="Times New Roman"/>
          <w:lang w:val="fr-CA"/>
        </w:rPr>
        <w:t xml:space="preserve">aux </w:t>
      </w:r>
      <w:r w:rsidRPr="00274543">
        <w:rPr>
          <w:rFonts w:cs="Times New Roman"/>
          <w:lang w:val="fr-CA"/>
        </w:rPr>
        <w:t xml:space="preserve">instances portant sur la publicité des débats judiciaires est rarement refusée aux médias quand </w:t>
      </w:r>
      <w:r>
        <w:rPr>
          <w:rFonts w:cs="Times New Roman"/>
          <w:lang w:val="fr-CA"/>
        </w:rPr>
        <w:t xml:space="preserve">ils </w:t>
      </w:r>
      <w:r w:rsidRPr="00391530">
        <w:rPr>
          <w:rFonts w:cs="Times New Roman"/>
          <w:lang w:val="fr-CA"/>
        </w:rPr>
        <w:t>la demandent (J. </w:t>
      </w:r>
      <w:proofErr w:type="spellStart"/>
      <w:r w:rsidRPr="00391530">
        <w:rPr>
          <w:rFonts w:cs="Times New Roman"/>
          <w:lang w:val="fr-CA"/>
        </w:rPr>
        <w:t>Rossiter</w:t>
      </w:r>
      <w:proofErr w:type="spellEnd"/>
      <w:r w:rsidRPr="00391530">
        <w:rPr>
          <w:rFonts w:cs="Times New Roman"/>
          <w:lang w:val="fr-CA"/>
        </w:rPr>
        <w:t xml:space="preserve">, </w:t>
      </w:r>
      <w:r w:rsidRPr="00391530">
        <w:rPr>
          <w:rFonts w:cs="Times New Roman"/>
          <w:i/>
          <w:lang w:val="fr-CA"/>
        </w:rPr>
        <w:t xml:space="preserve">Law of Publication Bans, Private Hearings and </w:t>
      </w:r>
      <w:proofErr w:type="spellStart"/>
      <w:r w:rsidRPr="00391530">
        <w:rPr>
          <w:rFonts w:cs="Times New Roman"/>
          <w:i/>
          <w:lang w:val="fr-CA"/>
        </w:rPr>
        <w:t>Sealing</w:t>
      </w:r>
      <w:proofErr w:type="spellEnd"/>
      <w:r w:rsidRPr="00391530">
        <w:rPr>
          <w:rFonts w:cs="Times New Roman"/>
          <w:i/>
          <w:lang w:val="fr-CA"/>
        </w:rPr>
        <w:t xml:space="preserve"> </w:t>
      </w:r>
      <w:proofErr w:type="spellStart"/>
      <w:r w:rsidRPr="00391530">
        <w:rPr>
          <w:rFonts w:cs="Times New Roman"/>
          <w:i/>
          <w:lang w:val="fr-CA"/>
        </w:rPr>
        <w:t>Orders</w:t>
      </w:r>
      <w:proofErr w:type="spellEnd"/>
      <w:r w:rsidRPr="00391530">
        <w:rPr>
          <w:rFonts w:cs="Times New Roman"/>
          <w:i/>
          <w:lang w:val="fr-CA"/>
        </w:rPr>
        <w:t xml:space="preserve"> </w:t>
      </w:r>
      <w:r w:rsidRPr="00391530">
        <w:rPr>
          <w:rFonts w:cs="Times New Roman"/>
          <w:lang w:val="fr-CA"/>
        </w:rPr>
        <w:t xml:space="preserve">(feuilles mobiles), </w:t>
      </w:r>
      <w:r>
        <w:rPr>
          <w:rFonts w:cs="Times New Roman"/>
          <w:lang w:val="fr-CA"/>
        </w:rPr>
        <w:t>section</w:t>
      </w:r>
      <w:r w:rsidRPr="00391530">
        <w:rPr>
          <w:rFonts w:cs="Times New Roman"/>
          <w:lang w:val="fr-CA"/>
        </w:rPr>
        <w:t> 8.1.10). De même, une personne directement touchée par une ordonnance portant sur la publicité des débats judiciaires parce que l</w:t>
      </w:r>
      <w:r>
        <w:rPr>
          <w:rFonts w:cs="Times New Roman"/>
          <w:lang w:val="fr-CA"/>
        </w:rPr>
        <w:t>’</w:t>
      </w:r>
      <w:r w:rsidRPr="00391530">
        <w:rPr>
          <w:rFonts w:cs="Times New Roman"/>
          <w:lang w:val="fr-CA"/>
        </w:rPr>
        <w:t xml:space="preserve">ordonnance est susceptible de porter atteinte à ses droits individuels devrait, dans le cours normal des choses, avoir qualité </w:t>
      </w:r>
      <w:r>
        <w:rPr>
          <w:rFonts w:cs="Times New Roman"/>
          <w:lang w:val="fr-CA"/>
        </w:rPr>
        <w:t xml:space="preserve">pour contester cette ordonnance </w:t>
      </w:r>
      <w:r w:rsidRPr="00060362">
        <w:rPr>
          <w:rFonts w:cs="Times New Roman"/>
          <w:lang w:val="fr-CA"/>
        </w:rPr>
        <w:t>(</w:t>
      </w:r>
      <w:r>
        <w:rPr>
          <w:rFonts w:cs="Times New Roman"/>
          <w:lang w:val="fr-CA"/>
        </w:rPr>
        <w:t xml:space="preserve">voir, en général, </w:t>
      </w:r>
      <w:proofErr w:type="spellStart"/>
      <w:r w:rsidRPr="00060362">
        <w:rPr>
          <w:rFonts w:cs="Times New Roman"/>
          <w:i/>
          <w:lang w:val="fr-CA"/>
        </w:rPr>
        <w:t>Ivandaeva</w:t>
      </w:r>
      <w:proofErr w:type="spellEnd"/>
      <w:r w:rsidRPr="00060362">
        <w:rPr>
          <w:rFonts w:cs="Times New Roman"/>
          <w:i/>
          <w:lang w:val="fr-CA"/>
        </w:rPr>
        <w:t xml:space="preserve"> Total Image Salon Inc. </w:t>
      </w:r>
      <w:r>
        <w:rPr>
          <w:rFonts w:cs="Times New Roman"/>
          <w:i/>
          <w:lang w:val="fr-CA"/>
        </w:rPr>
        <w:t>c</w:t>
      </w:r>
      <w:r w:rsidRPr="00060362">
        <w:rPr>
          <w:rFonts w:cs="Times New Roman"/>
          <w:i/>
          <w:lang w:val="fr-CA"/>
        </w:rPr>
        <w:t xml:space="preserve">. </w:t>
      </w:r>
      <w:proofErr w:type="spellStart"/>
      <w:r w:rsidRPr="00060362">
        <w:rPr>
          <w:rFonts w:cs="Times New Roman"/>
          <w:i/>
          <w:lang w:val="fr-CA"/>
        </w:rPr>
        <w:t>Hlembizky</w:t>
      </w:r>
      <w:proofErr w:type="spellEnd"/>
      <w:r w:rsidRPr="00060362">
        <w:rPr>
          <w:rFonts w:cs="Times New Roman"/>
          <w:lang w:val="fr-CA"/>
        </w:rPr>
        <w:t xml:space="preserve"> (2003), 63 O.R. (3d) 769 (C.A.), </w:t>
      </w:r>
      <w:r>
        <w:rPr>
          <w:rFonts w:cs="Times New Roman"/>
          <w:lang w:val="fr-CA"/>
        </w:rPr>
        <w:t>par. </w:t>
      </w:r>
      <w:r w:rsidRPr="00060362">
        <w:rPr>
          <w:rFonts w:cs="Times New Roman"/>
          <w:lang w:val="fr-CA"/>
        </w:rPr>
        <w:t xml:space="preserve">27). </w:t>
      </w:r>
      <w:r>
        <w:rPr>
          <w:rFonts w:cs="Times New Roman"/>
          <w:lang w:val="fr-CA"/>
        </w:rPr>
        <w:t>Les tribunaux devraient néanmoins conserver un certain pouvoir discrétionnaire de refuser la qualité pour agir lorsque l’audition de la requête ne serait pas dans l’intérêt de la justice, comme dans le cas, par exemple</w:t>
      </w:r>
      <w:r w:rsidRPr="00060362">
        <w:rPr>
          <w:rFonts w:cs="Times New Roman"/>
          <w:lang w:val="fr-CA"/>
        </w:rPr>
        <w:t xml:space="preserve">, </w:t>
      </w:r>
      <w:r>
        <w:rPr>
          <w:rFonts w:cs="Times New Roman"/>
          <w:lang w:val="fr-CA"/>
        </w:rPr>
        <w:t xml:space="preserve">où la requête serait indûment préjudiciable aux parties, ou ne ferait que répéter des arguments dont le tribunal a </w:t>
      </w:r>
      <w:r w:rsidRPr="00391530">
        <w:rPr>
          <w:rFonts w:cs="Times New Roman"/>
          <w:lang w:val="fr-CA"/>
        </w:rPr>
        <w:t>déjà connaissance (</w:t>
      </w:r>
      <w:r w:rsidRPr="00391530">
        <w:rPr>
          <w:rFonts w:cs="Times New Roman"/>
          <w:i/>
          <w:lang w:val="fr-CA"/>
        </w:rPr>
        <w:t>Dagenais</w:t>
      </w:r>
      <w:r w:rsidRPr="00391530">
        <w:rPr>
          <w:rFonts w:cs="Times New Roman"/>
          <w:lang w:val="fr-CA"/>
        </w:rPr>
        <w:t xml:space="preserve">, </w:t>
      </w:r>
      <w:r>
        <w:rPr>
          <w:rFonts w:cs="Times New Roman"/>
          <w:lang w:val="fr-CA"/>
        </w:rPr>
        <w:t>p. </w:t>
      </w:r>
      <w:r w:rsidRPr="00391530">
        <w:rPr>
          <w:rFonts w:cs="Times New Roman"/>
          <w:lang w:val="fr-CA"/>
        </w:rPr>
        <w:t>869;</w:t>
      </w:r>
      <w:r w:rsidRPr="00391530">
        <w:rPr>
          <w:rFonts w:cs="Times New Roman"/>
          <w:i/>
          <w:lang w:val="fr-CA"/>
        </w:rPr>
        <w:t xml:space="preserve"> White</w:t>
      </w:r>
      <w:r w:rsidRPr="00391530">
        <w:rPr>
          <w:rFonts w:cs="Times New Roman"/>
          <w:lang w:val="fr-CA"/>
        </w:rPr>
        <w:t xml:space="preserve">, </w:t>
      </w:r>
      <w:r>
        <w:rPr>
          <w:rFonts w:cs="Times New Roman"/>
          <w:lang w:val="fr-CA"/>
        </w:rPr>
        <w:t>par. </w:t>
      </w:r>
      <w:r w:rsidRPr="00391530">
        <w:rPr>
          <w:rFonts w:cs="Times New Roman"/>
          <w:lang w:val="fr-CA"/>
        </w:rPr>
        <w:t>12;</w:t>
      </w:r>
      <w:r w:rsidRPr="00391530">
        <w:rPr>
          <w:rFonts w:cs="Times New Roman"/>
          <w:i/>
          <w:lang w:val="fr-CA"/>
        </w:rPr>
        <w:t xml:space="preserve"> </w:t>
      </w:r>
      <w:r w:rsidRPr="00391530">
        <w:rPr>
          <w:rFonts w:cs="Times New Roman"/>
          <w:lang w:val="fr-CA"/>
        </w:rPr>
        <w:t xml:space="preserve">voir, </w:t>
      </w:r>
      <w:r>
        <w:rPr>
          <w:rFonts w:cs="Times New Roman"/>
          <w:lang w:val="fr-CA"/>
        </w:rPr>
        <w:t>p. </w:t>
      </w:r>
      <w:r w:rsidRPr="00391530">
        <w:rPr>
          <w:rFonts w:cs="Times New Roman"/>
          <w:lang w:val="fr-CA"/>
        </w:rPr>
        <w:t xml:space="preserve">ex., </w:t>
      </w:r>
      <w:r w:rsidRPr="00391530">
        <w:rPr>
          <w:rFonts w:cs="Times New Roman"/>
          <w:i/>
          <w:lang w:val="fr-CA"/>
        </w:rPr>
        <w:t>Canadian Transportation Accident Investigation and Safety Board c. Canadian Press</w:t>
      </w:r>
      <w:r w:rsidRPr="00391530">
        <w:rPr>
          <w:rFonts w:cs="Times New Roman"/>
          <w:lang w:val="fr-CA"/>
        </w:rPr>
        <w:t xml:space="preserve"> (2000), 184 N.S.R. (2d) 159 (C.S.), </w:t>
      </w:r>
      <w:r>
        <w:rPr>
          <w:rFonts w:cs="Times New Roman"/>
          <w:lang w:val="fr-CA"/>
        </w:rPr>
        <w:t>par. </w:t>
      </w:r>
      <w:r w:rsidRPr="00391530">
        <w:rPr>
          <w:rFonts w:cs="Times New Roman"/>
          <w:lang w:val="fr-CA"/>
        </w:rPr>
        <w:t>18</w:t>
      </w:r>
      <w:r>
        <w:rPr>
          <w:rFonts w:cs="Times New Roman"/>
          <w:lang w:val="fr-CA"/>
        </w:rPr>
        <w:noBreakHyphen/>
      </w:r>
      <w:r w:rsidRPr="00391530">
        <w:rPr>
          <w:rFonts w:cs="Times New Roman"/>
          <w:lang w:val="fr-CA"/>
        </w:rPr>
        <w:t>21). Par conséquent, l</w:t>
      </w:r>
      <w:r>
        <w:rPr>
          <w:rFonts w:cs="Times New Roman"/>
          <w:lang w:val="fr-CA"/>
        </w:rPr>
        <w:t>’</w:t>
      </w:r>
      <w:r w:rsidRPr="00391530">
        <w:rPr>
          <w:rFonts w:cs="Times New Roman"/>
          <w:lang w:val="fr-CA"/>
        </w:rPr>
        <w:t>exigence de faire valoir la qualité pour agir, en limitant ceux et celles qui peuvent contester une interdiction de publication ou une ordonnance de mise sous scellés, favorise la réalisation des objectifs du caractère définitif d</w:t>
      </w:r>
      <w:r>
        <w:rPr>
          <w:rFonts w:cs="Times New Roman"/>
          <w:lang w:val="fr-CA"/>
        </w:rPr>
        <w:t>’</w:t>
      </w:r>
      <w:r w:rsidRPr="00391530">
        <w:rPr>
          <w:rFonts w:cs="Times New Roman"/>
          <w:lang w:val="fr-CA"/>
        </w:rPr>
        <w:t>une décision et reflète la démarche discrétionnaire que notre Cour a déjà adoptée à l</w:t>
      </w:r>
      <w:r>
        <w:rPr>
          <w:rFonts w:cs="Times New Roman"/>
          <w:lang w:val="fr-CA"/>
        </w:rPr>
        <w:t>’</w:t>
      </w:r>
      <w:r w:rsidRPr="00391530">
        <w:rPr>
          <w:rFonts w:cs="Times New Roman"/>
          <w:lang w:val="fr-CA"/>
        </w:rPr>
        <w:t xml:space="preserve">égard de la qualité pour agir. </w:t>
      </w:r>
    </w:p>
    <w:p w:rsidR="009F09DA" w:rsidRPr="004E2A2F" w:rsidRDefault="009F09DA" w:rsidP="009F09DA">
      <w:pPr>
        <w:pStyle w:val="ParaNoNdepar-AltN"/>
        <w:rPr>
          <w:rFonts w:cs="Times New Roman"/>
          <w:lang w:val="fr-CA"/>
        </w:rPr>
      </w:pPr>
      <w:r w:rsidRPr="00391530">
        <w:rPr>
          <w:rFonts w:cs="Times New Roman"/>
          <w:lang w:val="fr-CA"/>
        </w:rPr>
        <w:t>En deuxième lieu, quant au délai, un tribunal peut refuser d</w:t>
      </w:r>
      <w:r>
        <w:rPr>
          <w:rFonts w:cs="Times New Roman"/>
          <w:lang w:val="fr-CA"/>
        </w:rPr>
        <w:t>’</w:t>
      </w:r>
      <w:r w:rsidRPr="00391530">
        <w:rPr>
          <w:rFonts w:cs="Times New Roman"/>
          <w:lang w:val="fr-CA"/>
        </w:rPr>
        <w:t>entendre une motion en modification ou en annulation d</w:t>
      </w:r>
      <w:r>
        <w:rPr>
          <w:rFonts w:cs="Times New Roman"/>
          <w:lang w:val="fr-CA"/>
        </w:rPr>
        <w:t>’</w:t>
      </w:r>
      <w:r w:rsidRPr="00391530">
        <w:rPr>
          <w:rFonts w:cs="Times New Roman"/>
          <w:lang w:val="fr-CA"/>
        </w:rPr>
        <w:t>une ordonnance portant sur la publicité des débats judiciaires rendue sans préavis si la</w:t>
      </w:r>
      <w:r>
        <w:rPr>
          <w:rFonts w:cs="Times New Roman"/>
          <w:lang w:val="fr-CA"/>
        </w:rPr>
        <w:t xml:space="preserve"> partie requérante a déraisonnablement tardé à présenter cette </w:t>
      </w:r>
      <w:r w:rsidRPr="00274543">
        <w:rPr>
          <w:rFonts w:cs="Times New Roman"/>
          <w:lang w:val="fr-CA"/>
        </w:rPr>
        <w:t>motion après avoir eu connaissance de l</w:t>
      </w:r>
      <w:r>
        <w:rPr>
          <w:rFonts w:cs="Times New Roman"/>
          <w:lang w:val="fr-CA"/>
        </w:rPr>
        <w:t>’</w:t>
      </w:r>
      <w:r w:rsidRPr="00274543">
        <w:rPr>
          <w:rFonts w:cs="Times New Roman"/>
          <w:lang w:val="fr-CA"/>
        </w:rPr>
        <w:t>ordonnance, si bien qu</w:t>
      </w:r>
      <w:r>
        <w:rPr>
          <w:rFonts w:cs="Times New Roman"/>
          <w:lang w:val="fr-CA"/>
        </w:rPr>
        <w:t>’</w:t>
      </w:r>
      <w:r w:rsidRPr="00274543">
        <w:rPr>
          <w:rFonts w:cs="Times New Roman"/>
          <w:lang w:val="fr-CA"/>
        </w:rPr>
        <w:t>il n</w:t>
      </w:r>
      <w:r>
        <w:rPr>
          <w:rFonts w:cs="Times New Roman"/>
          <w:lang w:val="fr-CA"/>
        </w:rPr>
        <w:t>’</w:t>
      </w:r>
      <w:r w:rsidRPr="00274543">
        <w:rPr>
          <w:rFonts w:cs="Times New Roman"/>
          <w:lang w:val="fr-CA"/>
        </w:rPr>
        <w:t>est plus dans l</w:t>
      </w:r>
      <w:r>
        <w:rPr>
          <w:rFonts w:cs="Times New Roman"/>
          <w:lang w:val="fr-CA"/>
        </w:rPr>
        <w:t>’</w:t>
      </w:r>
      <w:r w:rsidRPr="00274543">
        <w:rPr>
          <w:rFonts w:cs="Times New Roman"/>
          <w:lang w:val="fr-CA"/>
        </w:rPr>
        <w:t>intérêt de la justice de l</w:t>
      </w:r>
      <w:r>
        <w:rPr>
          <w:rFonts w:cs="Times New Roman"/>
          <w:lang w:val="fr-CA"/>
        </w:rPr>
        <w:t>’</w:t>
      </w:r>
      <w:r w:rsidRPr="00274543">
        <w:rPr>
          <w:rFonts w:cs="Times New Roman"/>
          <w:lang w:val="fr-CA"/>
        </w:rPr>
        <w:t xml:space="preserve">entendre. Dès </w:t>
      </w:r>
      <w:r>
        <w:rPr>
          <w:rFonts w:cs="Times New Roman"/>
          <w:lang w:val="fr-CA"/>
        </w:rPr>
        <w:t xml:space="preserve">que la partie requérante apprend que l’ordonnance existe, </w:t>
      </w:r>
      <w:r w:rsidRPr="003A22D0">
        <w:rPr>
          <w:rFonts w:cs="Times New Roman"/>
          <w:lang w:val="fr-CA"/>
        </w:rPr>
        <w:t>on</w:t>
      </w:r>
      <w:r>
        <w:rPr>
          <w:rFonts w:cs="Times New Roman"/>
          <w:lang w:val="fr-CA"/>
        </w:rPr>
        <w:t xml:space="preserve"> s’attend alors à ce qu’elle agisse avec célérité pour contester l’ordonnance ou acquiescer autrement à son existence</w:t>
      </w:r>
      <w:r w:rsidRPr="00060362">
        <w:rPr>
          <w:rFonts w:cs="Times New Roman"/>
          <w:lang w:val="fr-CA"/>
        </w:rPr>
        <w:t xml:space="preserve"> (</w:t>
      </w:r>
      <w:r>
        <w:rPr>
          <w:rFonts w:cs="Times New Roman"/>
          <w:shd w:val="clear" w:color="auto" w:fill="FFFFFF"/>
          <w:lang w:val="fr-CA"/>
        </w:rPr>
        <w:t>voir, p. ex</w:t>
      </w:r>
      <w:r w:rsidRPr="00060362">
        <w:rPr>
          <w:rFonts w:cs="Times New Roman"/>
          <w:shd w:val="clear" w:color="auto" w:fill="FFFFFF"/>
          <w:lang w:val="fr-CA"/>
        </w:rPr>
        <w:t xml:space="preserve">., </w:t>
      </w:r>
      <w:r w:rsidRPr="00060362">
        <w:rPr>
          <w:rFonts w:cs="Times New Roman"/>
          <w:i/>
          <w:shd w:val="clear" w:color="auto" w:fill="FFFFFF"/>
          <w:lang w:val="fr-CA"/>
        </w:rPr>
        <w:t>9095</w:t>
      </w:r>
      <w:r>
        <w:rPr>
          <w:rFonts w:cs="Times New Roman"/>
          <w:i/>
          <w:shd w:val="clear" w:color="auto" w:fill="FFFFFF"/>
          <w:lang w:val="fr-CA"/>
        </w:rPr>
        <w:noBreakHyphen/>
      </w:r>
      <w:r w:rsidRPr="00060362">
        <w:rPr>
          <w:rFonts w:cs="Times New Roman"/>
          <w:i/>
          <w:shd w:val="clear" w:color="auto" w:fill="FFFFFF"/>
          <w:lang w:val="fr-CA"/>
        </w:rPr>
        <w:t>7267 Québec inc. c. Caisse populaire Ste</w:t>
      </w:r>
      <w:r>
        <w:rPr>
          <w:rFonts w:cs="Times New Roman"/>
          <w:i/>
          <w:shd w:val="clear" w:color="auto" w:fill="FFFFFF"/>
          <w:lang w:val="fr-CA"/>
        </w:rPr>
        <w:noBreakHyphen/>
      </w:r>
      <w:r w:rsidRPr="00060362">
        <w:rPr>
          <w:rFonts w:cs="Times New Roman"/>
          <w:i/>
          <w:shd w:val="clear" w:color="auto" w:fill="FFFFFF"/>
          <w:lang w:val="fr-CA"/>
        </w:rPr>
        <w:t>Thérèse</w:t>
      </w:r>
      <w:r>
        <w:rPr>
          <w:rFonts w:cs="Times New Roman"/>
          <w:i/>
          <w:shd w:val="clear" w:color="auto" w:fill="FFFFFF"/>
          <w:lang w:val="fr-CA"/>
        </w:rPr>
        <w:noBreakHyphen/>
      </w:r>
      <w:r w:rsidRPr="00060362">
        <w:rPr>
          <w:rFonts w:cs="Times New Roman"/>
          <w:i/>
          <w:shd w:val="clear" w:color="auto" w:fill="FFFFFF"/>
          <w:lang w:val="fr-CA"/>
        </w:rPr>
        <w:t>de</w:t>
      </w:r>
      <w:r>
        <w:rPr>
          <w:rFonts w:cs="Times New Roman"/>
          <w:i/>
          <w:shd w:val="clear" w:color="auto" w:fill="FFFFFF"/>
          <w:lang w:val="fr-CA"/>
        </w:rPr>
        <w:noBreakHyphen/>
      </w:r>
      <w:r w:rsidRPr="00060362">
        <w:rPr>
          <w:rFonts w:cs="Times New Roman"/>
          <w:i/>
          <w:shd w:val="clear" w:color="auto" w:fill="FFFFFF"/>
          <w:lang w:val="fr-CA"/>
        </w:rPr>
        <w:t>Blainville</w:t>
      </w:r>
      <w:r>
        <w:rPr>
          <w:rFonts w:cs="Times New Roman"/>
          <w:shd w:val="clear" w:color="auto" w:fill="FFFFFF"/>
          <w:lang w:val="fr-CA"/>
        </w:rPr>
        <w:t>,</w:t>
      </w:r>
      <w:r w:rsidRPr="00060362">
        <w:rPr>
          <w:rFonts w:cs="Times New Roman"/>
          <w:i/>
          <w:shd w:val="clear" w:color="auto" w:fill="FFFFFF"/>
          <w:lang w:val="fr-CA"/>
        </w:rPr>
        <w:t xml:space="preserve"> </w:t>
      </w:r>
      <w:r>
        <w:rPr>
          <w:rFonts w:cs="Times New Roman"/>
          <w:shd w:val="clear" w:color="auto" w:fill="FFFFFF"/>
          <w:lang w:val="fr-CA"/>
        </w:rPr>
        <w:t xml:space="preserve">2001 CanLII 14878 </w:t>
      </w:r>
      <w:r w:rsidRPr="00060362">
        <w:rPr>
          <w:rFonts w:cs="Times New Roman"/>
          <w:shd w:val="clear" w:color="auto" w:fill="FFFFFF"/>
          <w:lang w:val="fr-CA"/>
        </w:rPr>
        <w:t>(C.A.</w:t>
      </w:r>
      <w:r>
        <w:rPr>
          <w:rFonts w:cs="Times New Roman"/>
          <w:shd w:val="clear" w:color="auto" w:fill="FFFFFF"/>
          <w:lang w:val="fr-CA"/>
        </w:rPr>
        <w:t xml:space="preserve"> Qc</w:t>
      </w:r>
      <w:r w:rsidRPr="00060362">
        <w:rPr>
          <w:rFonts w:cs="Times New Roman"/>
          <w:shd w:val="clear" w:color="auto" w:fill="FFFFFF"/>
          <w:lang w:val="fr-CA"/>
        </w:rPr>
        <w:t xml:space="preserve">), </w:t>
      </w:r>
      <w:r>
        <w:rPr>
          <w:rFonts w:cs="Times New Roman"/>
          <w:shd w:val="clear" w:color="auto" w:fill="FFFFFF"/>
          <w:lang w:val="fr-CA"/>
        </w:rPr>
        <w:t>par. </w:t>
      </w:r>
      <w:r w:rsidRPr="00060362">
        <w:rPr>
          <w:rFonts w:cs="Times New Roman"/>
          <w:shd w:val="clear" w:color="auto" w:fill="FFFFFF"/>
          <w:lang w:val="fr-CA"/>
        </w:rPr>
        <w:t xml:space="preserve">46; </w:t>
      </w:r>
      <w:r>
        <w:rPr>
          <w:rFonts w:cs="Times New Roman"/>
          <w:shd w:val="clear" w:color="auto" w:fill="FFFFFF"/>
          <w:lang w:val="fr-CA"/>
        </w:rPr>
        <w:t>voir aussi</w:t>
      </w:r>
      <w:r w:rsidRPr="00060362">
        <w:rPr>
          <w:rFonts w:cs="Times New Roman"/>
          <w:shd w:val="clear" w:color="auto" w:fill="FFFFFF"/>
          <w:lang w:val="fr-CA"/>
        </w:rPr>
        <w:t xml:space="preserve"> </w:t>
      </w:r>
      <w:r>
        <w:rPr>
          <w:rFonts w:cs="Times New Roman"/>
          <w:i/>
          <w:lang w:val="fr-CA"/>
        </w:rPr>
        <w:t>Règles de procédure civile</w:t>
      </w:r>
      <w:r w:rsidRPr="00060362">
        <w:rPr>
          <w:rFonts w:cs="Times New Roman"/>
          <w:lang w:val="fr-CA"/>
        </w:rPr>
        <w:t>, r</w:t>
      </w:r>
      <w:r>
        <w:rPr>
          <w:rFonts w:cs="Times New Roman"/>
          <w:lang w:val="fr-CA"/>
        </w:rPr>
        <w:t xml:space="preserve">. </w:t>
      </w:r>
      <w:r w:rsidRPr="00060362">
        <w:rPr>
          <w:rFonts w:cs="Times New Roman"/>
          <w:lang w:val="fr-CA"/>
        </w:rPr>
        <w:t>37.14</w:t>
      </w:r>
      <w:r>
        <w:rPr>
          <w:rFonts w:cs="Times New Roman"/>
          <w:lang w:val="fr-CA"/>
        </w:rPr>
        <w:t xml:space="preserve"> (Ontario)</w:t>
      </w:r>
      <w:r w:rsidRPr="00060362">
        <w:rPr>
          <w:rFonts w:cs="Times New Roman"/>
          <w:lang w:val="fr-CA"/>
        </w:rPr>
        <w:t xml:space="preserve">; </w:t>
      </w:r>
      <w:r w:rsidRPr="00060362">
        <w:rPr>
          <w:i/>
          <w:iCs/>
          <w:lang w:val="fr-CA"/>
        </w:rPr>
        <w:t xml:space="preserve">Code </w:t>
      </w:r>
      <w:r>
        <w:rPr>
          <w:i/>
          <w:iCs/>
          <w:lang w:val="fr-CA"/>
        </w:rPr>
        <w:t>de procédure civile</w:t>
      </w:r>
      <w:r w:rsidRPr="008A0D15">
        <w:rPr>
          <w:iCs/>
          <w:lang w:val="fr-CA"/>
        </w:rPr>
        <w:t>,</w:t>
      </w:r>
      <w:r w:rsidRPr="00060362">
        <w:rPr>
          <w:lang w:val="fr-CA"/>
        </w:rPr>
        <w:t xml:space="preserve"> </w:t>
      </w:r>
      <w:r>
        <w:rPr>
          <w:lang w:val="fr-CA"/>
        </w:rPr>
        <w:t>RLRQ</w:t>
      </w:r>
      <w:r w:rsidRPr="00060362">
        <w:rPr>
          <w:lang w:val="fr-CA"/>
        </w:rPr>
        <w:t>, c.</w:t>
      </w:r>
      <w:r>
        <w:rPr>
          <w:lang w:val="fr-CA"/>
        </w:rPr>
        <w:t> </w:t>
      </w:r>
      <w:r w:rsidRPr="00060362">
        <w:rPr>
          <w:lang w:val="fr-CA"/>
        </w:rPr>
        <w:t>C</w:t>
      </w:r>
      <w:r>
        <w:rPr>
          <w:lang w:val="fr-CA"/>
        </w:rPr>
        <w:noBreakHyphen/>
      </w:r>
      <w:r w:rsidRPr="00060362">
        <w:rPr>
          <w:lang w:val="fr-CA"/>
        </w:rPr>
        <w:t xml:space="preserve">25.01, </w:t>
      </w:r>
      <w:r>
        <w:rPr>
          <w:lang w:val="fr-CA"/>
        </w:rPr>
        <w:t>art. </w:t>
      </w:r>
      <w:r w:rsidRPr="00060362">
        <w:rPr>
          <w:lang w:val="fr-CA"/>
        </w:rPr>
        <w:t>349</w:t>
      </w:r>
      <w:r>
        <w:rPr>
          <w:lang w:val="fr-CA"/>
        </w:rPr>
        <w:t xml:space="preserve"> (Québec)</w:t>
      </w:r>
      <w:r w:rsidRPr="00060362">
        <w:rPr>
          <w:rFonts w:cs="Times New Roman"/>
          <w:lang w:val="fr-CA"/>
        </w:rPr>
        <w:t xml:space="preserve">; </w:t>
      </w:r>
      <w:r w:rsidRPr="00060362">
        <w:rPr>
          <w:rFonts w:cs="Times New Roman"/>
          <w:i/>
          <w:lang w:val="fr-CA"/>
        </w:rPr>
        <w:t>Alberta Rules of Court</w:t>
      </w:r>
      <w:r w:rsidRPr="00060362">
        <w:rPr>
          <w:rFonts w:cs="Times New Roman"/>
          <w:lang w:val="fr-CA"/>
        </w:rPr>
        <w:t xml:space="preserve">, Alta. Reg. 124/2010, </w:t>
      </w:r>
      <w:r>
        <w:rPr>
          <w:rFonts w:cs="Times New Roman"/>
          <w:lang w:val="fr-CA"/>
        </w:rPr>
        <w:t xml:space="preserve">r. </w:t>
      </w:r>
      <w:r w:rsidRPr="00060362">
        <w:rPr>
          <w:rFonts w:cs="Times New Roman"/>
          <w:lang w:val="fr-CA"/>
        </w:rPr>
        <w:t xml:space="preserve">9.15; </w:t>
      </w:r>
      <w:r>
        <w:rPr>
          <w:rFonts w:cs="Times New Roman"/>
          <w:i/>
          <w:lang w:val="fr-CA"/>
        </w:rPr>
        <w:t>Règles de la Cour du Banc de la Reine</w:t>
      </w:r>
      <w:r w:rsidRPr="00060362">
        <w:rPr>
          <w:rFonts w:cs="Times New Roman"/>
          <w:lang w:val="fr-CA"/>
        </w:rPr>
        <w:t>,</w:t>
      </w:r>
      <w:r>
        <w:rPr>
          <w:rFonts w:cs="Times New Roman"/>
          <w:lang w:val="fr-CA"/>
        </w:rPr>
        <w:t xml:space="preserve"> r. </w:t>
      </w:r>
      <w:r w:rsidRPr="00060362">
        <w:rPr>
          <w:rFonts w:cs="Times New Roman"/>
          <w:lang w:val="fr-CA"/>
        </w:rPr>
        <w:t>37.11</w:t>
      </w:r>
      <w:r>
        <w:rPr>
          <w:rFonts w:cs="Times New Roman"/>
          <w:lang w:val="fr-CA"/>
        </w:rPr>
        <w:t xml:space="preserve"> (Manitoba)</w:t>
      </w:r>
      <w:r w:rsidRPr="00060362">
        <w:rPr>
          <w:rFonts w:cs="Times New Roman"/>
          <w:shd w:val="clear" w:color="auto" w:fill="FFFFFF"/>
          <w:lang w:val="fr-CA"/>
        </w:rPr>
        <w:t>)</w:t>
      </w:r>
      <w:r w:rsidRPr="00060362">
        <w:rPr>
          <w:rFonts w:cs="Times New Roman"/>
          <w:lang w:val="fr-CA"/>
        </w:rPr>
        <w:t xml:space="preserve">. </w:t>
      </w:r>
      <w:r>
        <w:rPr>
          <w:rFonts w:cs="Times New Roman"/>
          <w:lang w:val="fr-CA"/>
        </w:rPr>
        <w:t xml:space="preserve">Le juge </w:t>
      </w:r>
      <w:r w:rsidRPr="00060362">
        <w:rPr>
          <w:rFonts w:cs="Times New Roman"/>
          <w:lang w:val="fr-CA"/>
        </w:rPr>
        <w:t xml:space="preserve">Strathy, </w:t>
      </w:r>
      <w:r>
        <w:rPr>
          <w:rFonts w:cs="Times New Roman"/>
          <w:lang w:val="fr-CA"/>
        </w:rPr>
        <w:t>maintenant juge en chef de l’Ontario</w:t>
      </w:r>
      <w:r w:rsidRPr="00060362">
        <w:rPr>
          <w:rFonts w:cs="Times New Roman"/>
          <w:lang w:val="fr-CA"/>
        </w:rPr>
        <w:t xml:space="preserve">, </w:t>
      </w:r>
      <w:r>
        <w:rPr>
          <w:rFonts w:cs="Times New Roman"/>
          <w:lang w:val="fr-CA"/>
        </w:rPr>
        <w:t>a expliqué que l’obligation d’agir en temps opportun reflète la présomption sensée selon laquelle [</w:t>
      </w:r>
      <w:r w:rsidRPr="005A40DC">
        <w:rPr>
          <w:rFonts w:cs="Times New Roman"/>
          <w:smallCaps/>
          <w:lang w:val="fr-CA"/>
        </w:rPr>
        <w:t>traduction</w:t>
      </w:r>
      <w:r>
        <w:rPr>
          <w:rFonts w:cs="Times New Roman"/>
          <w:lang w:val="fr-CA"/>
        </w:rPr>
        <w:t>] « </w:t>
      </w:r>
      <w:r>
        <w:rPr>
          <w:rFonts w:cs="Times New Roman"/>
          <w:shd w:val="clear" w:color="auto" w:fill="FFFFFF"/>
          <w:lang w:val="fr-CA"/>
        </w:rPr>
        <w:t>la partie qui ne fait pas valoir ses droits à l’encontre d’une ordonnance judiciaire se trouve à accepter la légitimité de l’ordonnance »</w:t>
      </w:r>
      <w:r w:rsidRPr="00060362">
        <w:rPr>
          <w:rFonts w:cs="Times New Roman"/>
          <w:shd w:val="clear" w:color="auto" w:fill="FFFFFF"/>
          <w:lang w:val="fr-CA"/>
        </w:rPr>
        <w:t xml:space="preserve"> (</w:t>
      </w:r>
      <w:r w:rsidRPr="00060362">
        <w:rPr>
          <w:rFonts w:cs="Times New Roman"/>
          <w:i/>
          <w:lang w:val="fr-CA"/>
        </w:rPr>
        <w:t>Attorney General</w:t>
      </w:r>
      <w:r>
        <w:rPr>
          <w:rFonts w:cs="Times New Roman"/>
          <w:i/>
          <w:lang w:val="fr-CA"/>
        </w:rPr>
        <w:t xml:space="preserve"> of Ontario</w:t>
      </w:r>
      <w:r w:rsidRPr="00060362">
        <w:rPr>
          <w:rFonts w:cs="Times New Roman"/>
          <w:i/>
          <w:lang w:val="fr-CA"/>
        </w:rPr>
        <w:t xml:space="preserve"> </w:t>
      </w:r>
      <w:r>
        <w:rPr>
          <w:rFonts w:cs="Times New Roman"/>
          <w:i/>
          <w:lang w:val="fr-CA"/>
        </w:rPr>
        <w:t>c. </w:t>
      </w:r>
      <w:r w:rsidRPr="00060362">
        <w:rPr>
          <w:rFonts w:cs="Times New Roman"/>
          <w:i/>
          <w:lang w:val="fr-CA"/>
        </w:rPr>
        <w:t xml:space="preserve">15 </w:t>
      </w:r>
      <w:proofErr w:type="spellStart"/>
      <w:r w:rsidRPr="00060362">
        <w:rPr>
          <w:rFonts w:cs="Times New Roman"/>
          <w:i/>
          <w:lang w:val="fr-CA"/>
        </w:rPr>
        <w:t>Johnswood</w:t>
      </w:r>
      <w:proofErr w:type="spellEnd"/>
      <w:r w:rsidRPr="00060362">
        <w:rPr>
          <w:rFonts w:cs="Times New Roman"/>
          <w:i/>
          <w:lang w:val="fr-CA"/>
        </w:rPr>
        <w:t xml:space="preserve"> Crescent</w:t>
      </w:r>
      <w:r w:rsidRPr="00060362">
        <w:rPr>
          <w:rFonts w:cs="Times New Roman"/>
          <w:lang w:val="fr-CA"/>
        </w:rPr>
        <w:t>, 2009 CanLII 50751 (C.</w:t>
      </w:r>
      <w:r>
        <w:rPr>
          <w:rFonts w:cs="Times New Roman"/>
          <w:lang w:val="fr-CA"/>
        </w:rPr>
        <w:t xml:space="preserve">S. </w:t>
      </w:r>
      <w:r w:rsidRPr="00060362">
        <w:rPr>
          <w:rFonts w:cs="Times New Roman"/>
          <w:lang w:val="fr-CA"/>
        </w:rPr>
        <w:t>Ont.)</w:t>
      </w:r>
      <w:r w:rsidRPr="00060362">
        <w:rPr>
          <w:rFonts w:cs="Times New Roman"/>
          <w:shd w:val="clear" w:color="auto" w:fill="FFFFFF"/>
          <w:lang w:val="fr-CA"/>
        </w:rPr>
        <w:t xml:space="preserve">, </w:t>
      </w:r>
      <w:r>
        <w:rPr>
          <w:rFonts w:cs="Times New Roman"/>
          <w:shd w:val="clear" w:color="auto" w:fill="FFFFFF"/>
          <w:lang w:val="fr-CA"/>
        </w:rPr>
        <w:t>par. </w:t>
      </w:r>
      <w:r w:rsidRPr="00060362">
        <w:rPr>
          <w:rFonts w:cs="Times New Roman"/>
          <w:shd w:val="clear" w:color="auto" w:fill="FFFFFF"/>
          <w:lang w:val="fr-CA"/>
        </w:rPr>
        <w:t xml:space="preserve">43). </w:t>
      </w:r>
    </w:p>
    <w:p w:rsidR="009F09DA" w:rsidRPr="004B43BD" w:rsidRDefault="009F09DA" w:rsidP="009F09DA">
      <w:pPr>
        <w:pStyle w:val="ParaNoNdepar-AltN"/>
        <w:rPr>
          <w:rFonts w:cs="Times New Roman"/>
          <w:lang w:val="fr-CA"/>
        </w:rPr>
      </w:pPr>
      <w:r w:rsidRPr="00391530">
        <w:rPr>
          <w:rFonts w:cs="Times New Roman"/>
          <w:shd w:val="clear" w:color="auto" w:fill="FFFFFF"/>
          <w:lang w:val="fr-CA"/>
        </w:rPr>
        <w:t>Le législateur donne parfois</w:t>
      </w:r>
      <w:r w:rsidRPr="00274543">
        <w:rPr>
          <w:rFonts w:cs="Times New Roman"/>
          <w:shd w:val="clear" w:color="auto" w:fill="FFFFFF"/>
          <w:lang w:val="fr-CA"/>
        </w:rPr>
        <w:t xml:space="preserve"> des indications du délai convenable. Faute d</w:t>
      </w:r>
      <w:r>
        <w:rPr>
          <w:rFonts w:cs="Times New Roman"/>
          <w:shd w:val="clear" w:color="auto" w:fill="FFFFFF"/>
          <w:lang w:val="fr-CA"/>
        </w:rPr>
        <w:t>’</w:t>
      </w:r>
      <w:r w:rsidRPr="00274543">
        <w:rPr>
          <w:rFonts w:cs="Times New Roman"/>
          <w:shd w:val="clear" w:color="auto" w:fill="FFFFFF"/>
          <w:lang w:val="fr-CA"/>
        </w:rPr>
        <w:t>une directive législative, les tribunaux doivent être guidés par l</w:t>
      </w:r>
      <w:r>
        <w:rPr>
          <w:rFonts w:cs="Times New Roman"/>
          <w:shd w:val="clear" w:color="auto" w:fill="FFFFFF"/>
          <w:lang w:val="fr-CA"/>
        </w:rPr>
        <w:t>’</w:t>
      </w:r>
      <w:r w:rsidRPr="00274543">
        <w:rPr>
          <w:rFonts w:cs="Times New Roman"/>
          <w:shd w:val="clear" w:color="auto" w:fill="FFFFFF"/>
          <w:lang w:val="fr-CA"/>
        </w:rPr>
        <w:t xml:space="preserve">objet de la règle et les circonstances de chaque cas (voir, de façon générale, </w:t>
      </w:r>
      <w:proofErr w:type="spellStart"/>
      <w:r w:rsidRPr="00274543">
        <w:rPr>
          <w:rFonts w:cs="Times New Roman"/>
          <w:i/>
          <w:shd w:val="clear" w:color="auto" w:fill="FFFFFF"/>
          <w:lang w:val="fr-CA"/>
        </w:rPr>
        <w:t>Johnswood</w:t>
      </w:r>
      <w:proofErr w:type="spellEnd"/>
      <w:r w:rsidRPr="00274543">
        <w:rPr>
          <w:rFonts w:cs="Times New Roman"/>
          <w:shd w:val="clear" w:color="auto" w:fill="FFFFFF"/>
          <w:lang w:val="fr-CA"/>
        </w:rPr>
        <w:t xml:space="preserve">, </w:t>
      </w:r>
      <w:r>
        <w:rPr>
          <w:rFonts w:cs="Times New Roman"/>
          <w:shd w:val="clear" w:color="auto" w:fill="FFFFFF"/>
          <w:lang w:val="fr-CA"/>
        </w:rPr>
        <w:t>par. </w:t>
      </w:r>
      <w:r w:rsidRPr="00274543">
        <w:rPr>
          <w:rFonts w:cs="Times New Roman"/>
          <w:shd w:val="clear" w:color="auto" w:fill="FFFFFF"/>
          <w:lang w:val="fr-CA"/>
        </w:rPr>
        <w:t>45). Comme dans les autres cas où l</w:t>
      </w:r>
      <w:r>
        <w:rPr>
          <w:rFonts w:cs="Times New Roman"/>
          <w:shd w:val="clear" w:color="auto" w:fill="FFFFFF"/>
          <w:lang w:val="fr-CA"/>
        </w:rPr>
        <w:t>’</w:t>
      </w:r>
      <w:r w:rsidRPr="00274543">
        <w:rPr>
          <w:rFonts w:cs="Times New Roman"/>
          <w:shd w:val="clear" w:color="auto" w:fill="FFFFFF"/>
          <w:lang w:val="fr-CA"/>
        </w:rPr>
        <w:t>on demande aux tribunaux de ne pas instruire des instances à cause d</w:t>
      </w:r>
      <w:r>
        <w:rPr>
          <w:rFonts w:cs="Times New Roman"/>
          <w:shd w:val="clear" w:color="auto" w:fill="FFFFFF"/>
          <w:lang w:val="fr-CA"/>
        </w:rPr>
        <w:t>’</w:t>
      </w:r>
      <w:r w:rsidRPr="00274543">
        <w:rPr>
          <w:rFonts w:cs="Times New Roman"/>
          <w:shd w:val="clear" w:color="auto" w:fill="FFFFFF"/>
          <w:lang w:val="fr-CA"/>
        </w:rPr>
        <w:t xml:space="preserve">un délai inacceptable, leur tâche consiste non pas à effectuer un calcul mécanique, mais plutôt à mettre en </w:t>
      </w:r>
      <w:r w:rsidRPr="00391530">
        <w:rPr>
          <w:rFonts w:cs="Times New Roman"/>
          <w:shd w:val="clear" w:color="auto" w:fill="FFFFFF"/>
          <w:lang w:val="fr-CA"/>
        </w:rPr>
        <w:t>balance dans le contexte le caractère définitif d</w:t>
      </w:r>
      <w:r>
        <w:rPr>
          <w:rFonts w:cs="Times New Roman"/>
          <w:shd w:val="clear" w:color="auto" w:fill="FFFFFF"/>
          <w:lang w:val="fr-CA"/>
        </w:rPr>
        <w:t>’</w:t>
      </w:r>
      <w:r w:rsidRPr="00391530">
        <w:rPr>
          <w:rFonts w:cs="Times New Roman"/>
          <w:shd w:val="clear" w:color="auto" w:fill="FFFFFF"/>
          <w:lang w:val="fr-CA"/>
        </w:rPr>
        <w:t>une décision et la justice rendue en temps utile par rapport</w:t>
      </w:r>
      <w:r w:rsidRPr="00274543">
        <w:rPr>
          <w:rFonts w:cs="Times New Roman"/>
          <w:shd w:val="clear" w:color="auto" w:fill="FFFFFF"/>
          <w:lang w:val="fr-CA"/>
        </w:rPr>
        <w:t xml:space="preserve"> à l</w:t>
      </w:r>
      <w:r>
        <w:rPr>
          <w:rFonts w:cs="Times New Roman"/>
          <w:shd w:val="clear" w:color="auto" w:fill="FFFFFF"/>
          <w:lang w:val="fr-CA"/>
        </w:rPr>
        <w:t>’</w:t>
      </w:r>
      <w:r w:rsidRPr="00274543">
        <w:rPr>
          <w:rFonts w:cs="Times New Roman"/>
          <w:shd w:val="clear" w:color="auto" w:fill="FFFFFF"/>
          <w:lang w:val="fr-CA"/>
        </w:rPr>
        <w:t>importance que l</w:t>
      </w:r>
      <w:r>
        <w:rPr>
          <w:rFonts w:cs="Times New Roman"/>
          <w:shd w:val="clear" w:color="auto" w:fill="FFFFFF"/>
          <w:lang w:val="fr-CA"/>
        </w:rPr>
        <w:t>’</w:t>
      </w:r>
      <w:r w:rsidRPr="00274543">
        <w:rPr>
          <w:rFonts w:cs="Times New Roman"/>
          <w:shd w:val="clear" w:color="auto" w:fill="FFFFFF"/>
          <w:lang w:val="fr-CA"/>
        </w:rPr>
        <w:t xml:space="preserve">affaire soit instruite sur le fond </w:t>
      </w:r>
      <w:r w:rsidRPr="00274543">
        <w:rPr>
          <w:shd w:val="clear" w:color="auto" w:fill="FFFFFF"/>
          <w:lang w:val="fr-CA"/>
        </w:rPr>
        <w:t>(</w:t>
      </w:r>
      <w:r w:rsidRPr="00274543">
        <w:rPr>
          <w:rFonts w:cs="Times New Roman"/>
          <w:i/>
          <w:shd w:val="clear" w:color="auto" w:fill="FFFFFF"/>
          <w:lang w:val="fr-CA"/>
        </w:rPr>
        <w:t>Marché D</w:t>
      </w:r>
      <w:r>
        <w:rPr>
          <w:rFonts w:cs="Times New Roman"/>
          <w:i/>
          <w:shd w:val="clear" w:color="auto" w:fill="FFFFFF"/>
          <w:lang w:val="fr-CA"/>
        </w:rPr>
        <w:t>’</w:t>
      </w:r>
      <w:r w:rsidRPr="00274543">
        <w:rPr>
          <w:rFonts w:cs="Times New Roman"/>
          <w:i/>
          <w:shd w:val="clear" w:color="auto" w:fill="FFFFFF"/>
          <w:lang w:val="fr-CA"/>
        </w:rPr>
        <w:t>Alimentation Denis Thériault Ltée c. Giant Tiger Stores L</w:t>
      </w:r>
      <w:r>
        <w:rPr>
          <w:rFonts w:cs="Times New Roman"/>
          <w:i/>
          <w:shd w:val="clear" w:color="auto" w:fill="FFFFFF"/>
          <w:lang w:val="fr-CA"/>
        </w:rPr>
        <w:t>td.</w:t>
      </w:r>
      <w:r w:rsidRPr="00274543">
        <w:rPr>
          <w:rFonts w:cs="Times New Roman"/>
          <w:shd w:val="clear" w:color="auto" w:fill="FFFFFF"/>
          <w:lang w:val="fr-CA"/>
        </w:rPr>
        <w:t xml:space="preserve">, 2007 ONCA 695, </w:t>
      </w:r>
      <w:r>
        <w:rPr>
          <w:rFonts w:cs="Times New Roman"/>
          <w:shd w:val="clear" w:color="auto" w:fill="FFFFFF"/>
          <w:lang w:val="fr-CA"/>
        </w:rPr>
        <w:t>87 O.R. (3d) 660, par. </w:t>
      </w:r>
      <w:r w:rsidRPr="00274543">
        <w:rPr>
          <w:rFonts w:cs="Times New Roman"/>
          <w:shd w:val="clear" w:color="auto" w:fill="FFFFFF"/>
          <w:lang w:val="fr-CA"/>
        </w:rPr>
        <w:t xml:space="preserve">34; </w:t>
      </w:r>
      <w:r w:rsidRPr="00274543">
        <w:rPr>
          <w:rFonts w:cs="Times New Roman"/>
          <w:i/>
          <w:shd w:val="clear" w:color="auto" w:fill="FFFFFF"/>
          <w:lang w:val="fr-CA"/>
        </w:rPr>
        <w:t>1196158 Ontario Inc. c. 6274013 Canada L</w:t>
      </w:r>
      <w:r>
        <w:rPr>
          <w:rFonts w:cs="Times New Roman"/>
          <w:i/>
          <w:shd w:val="clear" w:color="auto" w:fill="FFFFFF"/>
          <w:lang w:val="fr-CA"/>
        </w:rPr>
        <w:t>td.</w:t>
      </w:r>
      <w:r w:rsidRPr="00274543">
        <w:rPr>
          <w:rFonts w:cs="Times New Roman"/>
          <w:shd w:val="clear" w:color="auto" w:fill="FFFFFF"/>
          <w:lang w:val="fr-CA"/>
        </w:rPr>
        <w:t>, 2012 ONCA 544,</w:t>
      </w:r>
      <w:r>
        <w:rPr>
          <w:rFonts w:cs="Times New Roman"/>
          <w:shd w:val="clear" w:color="auto" w:fill="FFFFFF"/>
          <w:lang w:val="fr-CA"/>
        </w:rPr>
        <w:t xml:space="preserve"> 112 O.R. (3d) 67,</w:t>
      </w:r>
      <w:r w:rsidRPr="00274543">
        <w:rPr>
          <w:rFonts w:cs="Times New Roman"/>
          <w:shd w:val="clear" w:color="auto" w:fill="FFFFFF"/>
          <w:lang w:val="fr-CA"/>
        </w:rPr>
        <w:t xml:space="preserve"> </w:t>
      </w:r>
      <w:r>
        <w:rPr>
          <w:rFonts w:cs="Times New Roman"/>
          <w:shd w:val="clear" w:color="auto" w:fill="FFFFFF"/>
          <w:lang w:val="fr-CA"/>
        </w:rPr>
        <w:t>par. </w:t>
      </w:r>
      <w:r w:rsidRPr="00274543">
        <w:rPr>
          <w:rFonts w:cs="Times New Roman"/>
          <w:shd w:val="clear" w:color="auto" w:fill="FFFFFF"/>
          <w:lang w:val="fr-CA"/>
        </w:rPr>
        <w:t>19)</w:t>
      </w:r>
      <w:r w:rsidRPr="00274543">
        <w:rPr>
          <w:shd w:val="clear" w:color="auto" w:fill="FFFFFF"/>
          <w:lang w:val="fr-CA"/>
        </w:rPr>
        <w:t>. À titre d</w:t>
      </w:r>
      <w:r>
        <w:rPr>
          <w:shd w:val="clear" w:color="auto" w:fill="FFFFFF"/>
          <w:lang w:val="fr-CA"/>
        </w:rPr>
        <w:t>’</w:t>
      </w:r>
      <w:r w:rsidRPr="00274543">
        <w:rPr>
          <w:shd w:val="clear" w:color="auto" w:fill="FFFFFF"/>
          <w:lang w:val="fr-CA"/>
        </w:rPr>
        <w:t xml:space="preserve">exemple, en vertu des </w:t>
      </w:r>
      <w:r w:rsidRPr="00274543">
        <w:rPr>
          <w:i/>
          <w:shd w:val="clear" w:color="auto" w:fill="FFFFFF"/>
          <w:lang w:val="fr-CA"/>
        </w:rPr>
        <w:t>Règles de procédure civile</w:t>
      </w:r>
      <w:r w:rsidRPr="00274543">
        <w:rPr>
          <w:shd w:val="clear" w:color="auto" w:fill="FFFFFF"/>
          <w:lang w:val="fr-CA"/>
        </w:rPr>
        <w:t>, un délai de trois mois pour présenter une motion</w:t>
      </w:r>
      <w:r>
        <w:rPr>
          <w:shd w:val="clear" w:color="auto" w:fill="FFFFFF"/>
          <w:lang w:val="fr-CA"/>
        </w:rPr>
        <w:t xml:space="preserve"> en vue de </w:t>
      </w:r>
      <w:r w:rsidRPr="00274543">
        <w:rPr>
          <w:shd w:val="clear" w:color="auto" w:fill="FFFFFF"/>
          <w:lang w:val="fr-CA"/>
        </w:rPr>
        <w:t xml:space="preserve">faire annuler une ordonnance </w:t>
      </w:r>
      <w:r>
        <w:rPr>
          <w:shd w:val="clear" w:color="auto" w:fill="FFFFFF"/>
          <w:lang w:val="fr-CA"/>
        </w:rPr>
        <w:t xml:space="preserve">rejetant l’action pour cause de retard </w:t>
      </w:r>
      <w:r w:rsidRPr="00274543">
        <w:rPr>
          <w:shd w:val="clear" w:color="auto" w:fill="FFFFFF"/>
          <w:lang w:val="fr-CA"/>
        </w:rPr>
        <w:t>a été jugée raisonnable dans le contexte d</w:t>
      </w:r>
      <w:r>
        <w:rPr>
          <w:shd w:val="clear" w:color="auto" w:fill="FFFFFF"/>
          <w:lang w:val="fr-CA"/>
        </w:rPr>
        <w:t>’</w:t>
      </w:r>
      <w:r w:rsidRPr="00274543">
        <w:rPr>
          <w:shd w:val="clear" w:color="auto" w:fill="FFFFFF"/>
          <w:lang w:val="fr-CA"/>
        </w:rPr>
        <w:t>un différend (</w:t>
      </w:r>
      <w:r w:rsidRPr="00274543">
        <w:rPr>
          <w:i/>
          <w:shd w:val="clear" w:color="auto" w:fill="FFFFFF"/>
          <w:lang w:val="fr-CA"/>
        </w:rPr>
        <w:t xml:space="preserve">Toronto Standard Condominium Corporation </w:t>
      </w:r>
      <w:r>
        <w:rPr>
          <w:i/>
          <w:shd w:val="clear" w:color="auto" w:fill="FFFFFF"/>
          <w:lang w:val="fr-CA"/>
        </w:rPr>
        <w:t>No. </w:t>
      </w:r>
      <w:r w:rsidRPr="00274543">
        <w:rPr>
          <w:i/>
          <w:shd w:val="clear" w:color="auto" w:fill="FFFFFF"/>
          <w:lang w:val="fr-CA"/>
        </w:rPr>
        <w:t xml:space="preserve">2058 c. </w:t>
      </w:r>
      <w:proofErr w:type="spellStart"/>
      <w:r w:rsidRPr="00274543">
        <w:rPr>
          <w:i/>
          <w:shd w:val="clear" w:color="auto" w:fill="FFFFFF"/>
          <w:lang w:val="fr-CA"/>
        </w:rPr>
        <w:t>Cresford</w:t>
      </w:r>
      <w:proofErr w:type="spellEnd"/>
      <w:r w:rsidRPr="00274543">
        <w:rPr>
          <w:i/>
          <w:shd w:val="clear" w:color="auto" w:fill="FFFFFF"/>
          <w:lang w:val="fr-CA"/>
        </w:rPr>
        <w:t xml:space="preserve"> Developments Inc.</w:t>
      </w:r>
      <w:r w:rsidRPr="00274543">
        <w:rPr>
          <w:shd w:val="clear" w:color="auto" w:fill="FFFFFF"/>
          <w:lang w:val="fr-CA"/>
        </w:rPr>
        <w:t xml:space="preserve">, </w:t>
      </w:r>
      <w:r w:rsidRPr="00391530">
        <w:rPr>
          <w:shd w:val="clear" w:color="auto" w:fill="FFFFFF"/>
          <w:lang w:val="fr-CA"/>
        </w:rPr>
        <w:t xml:space="preserve">2019 ONSC 801, 97 C.L.R. (4th) 306, </w:t>
      </w:r>
      <w:r>
        <w:rPr>
          <w:shd w:val="clear" w:color="auto" w:fill="FFFFFF"/>
          <w:lang w:val="fr-CA"/>
        </w:rPr>
        <w:t>par. </w:t>
      </w:r>
      <w:r w:rsidRPr="00391530">
        <w:rPr>
          <w:shd w:val="clear" w:color="auto" w:fill="FFFFFF"/>
          <w:lang w:val="fr-CA"/>
        </w:rPr>
        <w:t>36), mais un délai de dix mois en grande partie inexpliqué a été vu dans une autre affaire comme signifiant que la demanderesse n</w:t>
      </w:r>
      <w:r>
        <w:rPr>
          <w:shd w:val="clear" w:color="auto" w:fill="FFFFFF"/>
          <w:lang w:val="fr-CA"/>
        </w:rPr>
        <w:t>’</w:t>
      </w:r>
      <w:r w:rsidRPr="00391530">
        <w:rPr>
          <w:shd w:val="clear" w:color="auto" w:fill="FFFFFF"/>
          <w:lang w:val="fr-CA"/>
        </w:rPr>
        <w:t>avait pas procédé sans délai</w:t>
      </w:r>
      <w:r>
        <w:rPr>
          <w:shd w:val="clear" w:color="auto" w:fill="FFFFFF"/>
          <w:lang w:val="fr-CA"/>
        </w:rPr>
        <w:t xml:space="preserve"> </w:t>
      </w:r>
      <w:r w:rsidRPr="00274543">
        <w:rPr>
          <w:shd w:val="clear" w:color="auto" w:fill="FFFFFF"/>
          <w:lang w:val="fr-CA"/>
        </w:rPr>
        <w:t>(</w:t>
      </w:r>
      <w:r w:rsidRPr="00274543">
        <w:rPr>
          <w:i/>
          <w:shd w:val="clear" w:color="auto" w:fill="FFFFFF"/>
          <w:lang w:val="fr-CA"/>
        </w:rPr>
        <w:t>1202600 Ontario Inc. c. Jacob</w:t>
      </w:r>
      <w:r w:rsidRPr="00274543">
        <w:rPr>
          <w:shd w:val="clear" w:color="auto" w:fill="FFFFFF"/>
          <w:lang w:val="fr-CA"/>
        </w:rPr>
        <w:t xml:space="preserve">, </w:t>
      </w:r>
      <w:r w:rsidRPr="00391530">
        <w:rPr>
          <w:shd w:val="clear" w:color="auto" w:fill="FFFFFF"/>
          <w:lang w:val="fr-CA"/>
        </w:rPr>
        <w:t xml:space="preserve">2012 ONSC 361, </w:t>
      </w:r>
      <w:r>
        <w:rPr>
          <w:shd w:val="clear" w:color="auto" w:fill="FFFFFF"/>
          <w:lang w:val="fr-CA"/>
        </w:rPr>
        <w:t>par. </w:t>
      </w:r>
      <w:r w:rsidRPr="00391530">
        <w:rPr>
          <w:shd w:val="clear" w:color="auto" w:fill="FFFFFF"/>
          <w:lang w:val="fr-CA"/>
        </w:rPr>
        <w:t>102 et 121 (CanLII)). Dans une affaire manitobaine, un délai de cinq mois pour solliciter l</w:t>
      </w:r>
      <w:r>
        <w:rPr>
          <w:shd w:val="clear" w:color="auto" w:fill="FFFFFF"/>
          <w:lang w:val="fr-CA"/>
        </w:rPr>
        <w:t>’</w:t>
      </w:r>
      <w:r w:rsidRPr="00391530">
        <w:rPr>
          <w:shd w:val="clear" w:color="auto" w:fill="FFFFFF"/>
          <w:lang w:val="fr-CA"/>
        </w:rPr>
        <w:t>annulation d</w:t>
      </w:r>
      <w:r>
        <w:rPr>
          <w:shd w:val="clear" w:color="auto" w:fill="FFFFFF"/>
          <w:lang w:val="fr-CA"/>
        </w:rPr>
        <w:t>’</w:t>
      </w:r>
      <w:r w:rsidRPr="00391530">
        <w:rPr>
          <w:shd w:val="clear" w:color="auto" w:fill="FFFFFF"/>
          <w:lang w:val="fr-CA"/>
        </w:rPr>
        <w:t>un jugement a été jugé non déraisonnable dans les circonstances (</w:t>
      </w:r>
      <w:r w:rsidRPr="00391530">
        <w:rPr>
          <w:i/>
          <w:shd w:val="clear" w:color="auto" w:fill="FFFFFF"/>
          <w:lang w:val="fr-CA"/>
        </w:rPr>
        <w:t>585430 Alberta Ltd. c. Trans Canada Leasing Inc.</w:t>
      </w:r>
      <w:r w:rsidRPr="00391530">
        <w:rPr>
          <w:shd w:val="clear" w:color="auto" w:fill="FFFFFF"/>
          <w:lang w:val="fr-CA"/>
        </w:rPr>
        <w:t xml:space="preserve">, 2005 MBQB 220, 196 Man. R. (2d) 191, </w:t>
      </w:r>
      <w:r>
        <w:rPr>
          <w:shd w:val="clear" w:color="auto" w:fill="FFFFFF"/>
          <w:lang w:val="fr-CA"/>
        </w:rPr>
        <w:t>par. </w:t>
      </w:r>
      <w:r w:rsidRPr="00391530">
        <w:rPr>
          <w:shd w:val="clear" w:color="auto" w:fill="FFFFFF"/>
          <w:lang w:val="fr-CA"/>
        </w:rPr>
        <w:t xml:space="preserve">56). </w:t>
      </w:r>
      <w:r w:rsidRPr="00391530">
        <w:rPr>
          <w:lang w:val="fr-CA"/>
        </w:rPr>
        <w:t xml:space="preserve">Je souligne toutefois que cette détermination est intrinsèquement fonction des faits de chaque affaire et de la nature de la question soulevée. </w:t>
      </w:r>
      <w:r w:rsidRPr="00391530">
        <w:rPr>
          <w:rFonts w:cs="Times New Roman"/>
          <w:lang w:val="fr-CA"/>
        </w:rPr>
        <w:t>Surtout si ce retard a causé un préjudice réel aux parties intimées, les tribunaux peuvent conclure qu</w:t>
      </w:r>
      <w:r>
        <w:rPr>
          <w:rFonts w:cs="Times New Roman"/>
          <w:lang w:val="fr-CA"/>
        </w:rPr>
        <w:t>’</w:t>
      </w:r>
      <w:r w:rsidRPr="00391530">
        <w:rPr>
          <w:rFonts w:cs="Times New Roman"/>
          <w:lang w:val="fr-CA"/>
        </w:rPr>
        <w:t>il n</w:t>
      </w:r>
      <w:r>
        <w:rPr>
          <w:rFonts w:cs="Times New Roman"/>
          <w:lang w:val="fr-CA"/>
        </w:rPr>
        <w:t>’</w:t>
      </w:r>
      <w:r w:rsidRPr="00391530">
        <w:rPr>
          <w:rFonts w:cs="Times New Roman"/>
          <w:lang w:val="fr-CA"/>
        </w:rPr>
        <w:t>est pas dans l</w:t>
      </w:r>
      <w:r>
        <w:rPr>
          <w:rFonts w:cs="Times New Roman"/>
          <w:lang w:val="fr-CA"/>
        </w:rPr>
        <w:t>’</w:t>
      </w:r>
      <w:r w:rsidRPr="00391530">
        <w:rPr>
          <w:rFonts w:cs="Times New Roman"/>
          <w:lang w:val="fr-CA"/>
        </w:rPr>
        <w:t>intérêt de la justice d</w:t>
      </w:r>
      <w:r>
        <w:rPr>
          <w:rFonts w:cs="Times New Roman"/>
          <w:lang w:val="fr-CA"/>
        </w:rPr>
        <w:t>’</w:t>
      </w:r>
      <w:r w:rsidRPr="00391530">
        <w:rPr>
          <w:rFonts w:cs="Times New Roman"/>
          <w:lang w:val="fr-CA"/>
        </w:rPr>
        <w:t>entendre une motion. Cette exigence préserve le caractère définitif d</w:t>
      </w:r>
      <w:r>
        <w:rPr>
          <w:rFonts w:cs="Times New Roman"/>
          <w:lang w:val="fr-CA"/>
        </w:rPr>
        <w:t>’</w:t>
      </w:r>
      <w:r w:rsidRPr="00391530">
        <w:rPr>
          <w:rFonts w:cs="Times New Roman"/>
          <w:lang w:val="fr-CA"/>
        </w:rPr>
        <w:t xml:space="preserve">une décision en circonscrivant le réexamen dans la dimension </w:t>
      </w:r>
      <w:r w:rsidRPr="00391530">
        <w:rPr>
          <w:lang w:val="fr-CA"/>
        </w:rPr>
        <w:t>tem</w:t>
      </w:r>
      <w:r w:rsidRPr="00274543">
        <w:rPr>
          <w:lang w:val="fr-CA"/>
        </w:rPr>
        <w:t>porelle.</w:t>
      </w:r>
      <w:r>
        <w:rPr>
          <w:color w:val="FF0000"/>
          <w:lang w:val="fr-CA"/>
        </w:rPr>
        <w:t xml:space="preserve"> </w:t>
      </w:r>
    </w:p>
    <w:p w:rsidR="009F09DA" w:rsidRPr="00060362" w:rsidRDefault="009F09DA" w:rsidP="009F09DA">
      <w:pPr>
        <w:pStyle w:val="ParaNoNdepar-AltN"/>
        <w:rPr>
          <w:rFonts w:cs="Times New Roman"/>
          <w:lang w:val="fr-CA"/>
        </w:rPr>
      </w:pPr>
      <w:r>
        <w:rPr>
          <w:rFonts w:cs="Times New Roman"/>
          <w:lang w:val="fr-CA"/>
        </w:rPr>
        <w:t xml:space="preserve">Sur le fondement de ces principes, donc, et faute de disposition contraire explicite, un tribunal peut modifier ou annuler une ordonnance concernant la publicité des débats judiciaires qu’il a rendue sur motion déposée en temps opportun par une personne touchée qui n’a pas été avisée du prononcé de cette </w:t>
      </w:r>
      <w:r w:rsidRPr="00274543">
        <w:rPr>
          <w:rFonts w:cs="Times New Roman"/>
          <w:lang w:val="fr-CA"/>
        </w:rPr>
        <w:t>ordonnance et à qui il y a lieu d</w:t>
      </w:r>
      <w:r>
        <w:rPr>
          <w:rFonts w:cs="Times New Roman"/>
          <w:lang w:val="fr-CA"/>
        </w:rPr>
        <w:t>’</w:t>
      </w:r>
      <w:r w:rsidRPr="00274543">
        <w:rPr>
          <w:rFonts w:cs="Times New Roman"/>
          <w:lang w:val="fr-CA"/>
        </w:rPr>
        <w:t>accorder la qualité pour agir à cette fin.</w:t>
      </w:r>
      <w:r>
        <w:rPr>
          <w:rFonts w:cs="Times New Roman"/>
          <w:color w:val="FF0000"/>
          <w:lang w:val="fr-CA"/>
        </w:rPr>
        <w:t xml:space="preserve"> </w:t>
      </w:r>
    </w:p>
    <w:p w:rsidR="009F09DA" w:rsidRPr="00060362" w:rsidRDefault="009F09DA" w:rsidP="009F09DA">
      <w:pPr>
        <w:pStyle w:val="ParaNoNdepar-AltN"/>
        <w:rPr>
          <w:rFonts w:cs="Times New Roman"/>
          <w:lang w:val="fr-CA"/>
        </w:rPr>
      </w:pPr>
      <w:r>
        <w:rPr>
          <w:rFonts w:cs="Times New Roman"/>
          <w:lang w:val="fr-CA"/>
        </w:rPr>
        <w:t>Soyons clairs, il est possible d’imposer des limites à la publicité des débats judiciaires, par exemple une interdiction de publication, sans avis préalable aux médias</w:t>
      </w:r>
      <w:r w:rsidRPr="00060362">
        <w:rPr>
          <w:rFonts w:cs="Times New Roman"/>
          <w:lang w:val="fr-CA"/>
        </w:rPr>
        <w:t xml:space="preserve">. </w:t>
      </w:r>
      <w:r>
        <w:rPr>
          <w:rFonts w:cs="Times New Roman"/>
          <w:lang w:val="fr-CA"/>
        </w:rPr>
        <w:t xml:space="preserve">Vu l’importance du principe de la publicité des débats judiciaires et le rôle qu’ont les médias d’informer le public au sujet des activités des tribunaux, il sera généralement opportun de </w:t>
      </w:r>
      <w:r w:rsidRPr="00FB20B0">
        <w:rPr>
          <w:rFonts w:cs="Times New Roman"/>
          <w:lang w:val="fr-CA"/>
        </w:rPr>
        <w:t>donner avis aux médias, en plus des personnes qui seraient directement touchées par l</w:t>
      </w:r>
      <w:r>
        <w:rPr>
          <w:rFonts w:cs="Times New Roman"/>
          <w:lang w:val="fr-CA"/>
        </w:rPr>
        <w:t>’</w:t>
      </w:r>
      <w:r w:rsidRPr="00FB20B0">
        <w:rPr>
          <w:rFonts w:cs="Times New Roman"/>
          <w:lang w:val="fr-CA"/>
        </w:rPr>
        <w:t>interdiction de publication ou l</w:t>
      </w:r>
      <w:r>
        <w:rPr>
          <w:rFonts w:cs="Times New Roman"/>
          <w:lang w:val="fr-CA"/>
        </w:rPr>
        <w:t>’</w:t>
      </w:r>
      <w:r w:rsidRPr="00FB20B0">
        <w:rPr>
          <w:rFonts w:cs="Times New Roman"/>
          <w:lang w:val="fr-CA"/>
        </w:rPr>
        <w:t>ordonnance de mise sous scellés, lorsqu</w:t>
      </w:r>
      <w:r>
        <w:rPr>
          <w:rFonts w:cs="Times New Roman"/>
          <w:lang w:val="fr-CA"/>
        </w:rPr>
        <w:t>’</w:t>
      </w:r>
      <w:r w:rsidRPr="00FB20B0">
        <w:rPr>
          <w:rFonts w:cs="Times New Roman"/>
          <w:lang w:val="fr-CA"/>
        </w:rPr>
        <w:t xml:space="preserve">on cherche à limiter la publicité </w:t>
      </w:r>
      <w:r w:rsidRPr="00FD589D">
        <w:rPr>
          <w:rFonts w:cs="Times New Roman"/>
          <w:lang w:val="fr-CA"/>
        </w:rPr>
        <w:t xml:space="preserve">des débats judiciaires (voir </w:t>
      </w:r>
      <w:r w:rsidRPr="00FD589D">
        <w:rPr>
          <w:rFonts w:cs="Times New Roman"/>
          <w:i/>
          <w:lang w:val="fr-CA"/>
        </w:rPr>
        <w:t>Jane Doe c.</w:t>
      </w:r>
      <w:r w:rsidRPr="00FD589D">
        <w:rPr>
          <w:rFonts w:cs="Times New Roman"/>
          <w:lang w:val="fr-CA"/>
        </w:rPr>
        <w:t xml:space="preserve"> </w:t>
      </w:r>
      <w:r w:rsidRPr="00FD589D">
        <w:rPr>
          <w:rFonts w:cs="Times New Roman"/>
          <w:i/>
          <w:lang w:val="fr-CA"/>
        </w:rPr>
        <w:t>Manitoba</w:t>
      </w:r>
      <w:r w:rsidRPr="00FD589D">
        <w:rPr>
          <w:rFonts w:cs="Times New Roman"/>
          <w:lang w:val="fr-CA"/>
        </w:rPr>
        <w:t xml:space="preserve">, 2005 MBCA 57, 192 Man. R. (2d) 309, </w:t>
      </w:r>
      <w:r>
        <w:rPr>
          <w:rFonts w:cs="Times New Roman"/>
          <w:lang w:val="fr-CA"/>
        </w:rPr>
        <w:t>par. </w:t>
      </w:r>
      <w:r w:rsidRPr="00FD589D">
        <w:rPr>
          <w:rFonts w:cs="Times New Roman"/>
          <w:lang w:val="fr-CA"/>
        </w:rPr>
        <w:t xml:space="preserve">24; </w:t>
      </w:r>
      <w:r w:rsidRPr="00FD589D">
        <w:rPr>
          <w:rFonts w:cs="Times New Roman"/>
          <w:i/>
          <w:lang w:val="fr-CA"/>
        </w:rPr>
        <w:t>M. (</w:t>
      </w:r>
      <w:r>
        <w:rPr>
          <w:rFonts w:cs="Times New Roman"/>
          <w:i/>
          <w:lang w:val="fr-CA"/>
        </w:rPr>
        <w:t>A.)</w:t>
      </w:r>
      <w:r w:rsidRPr="00FB20B0">
        <w:rPr>
          <w:rFonts w:cs="Times New Roman"/>
          <w:i/>
          <w:lang w:val="fr-CA"/>
        </w:rPr>
        <w:t xml:space="preserve"> c. Toronto Police </w:t>
      </w:r>
      <w:r w:rsidRPr="00AF740A">
        <w:rPr>
          <w:rFonts w:cs="Times New Roman"/>
          <w:i/>
          <w:lang w:val="fr-CA"/>
        </w:rPr>
        <w:t>Service</w:t>
      </w:r>
      <w:r w:rsidRPr="00FB20B0">
        <w:rPr>
          <w:rFonts w:cs="Times New Roman"/>
          <w:lang w:val="fr-CA"/>
        </w:rPr>
        <w:t xml:space="preserve">, 2015 ONSC 5684, 127 O.R. (3d) 382 (C. div.), </w:t>
      </w:r>
      <w:r>
        <w:rPr>
          <w:rFonts w:cs="Times New Roman"/>
          <w:lang w:val="fr-CA"/>
        </w:rPr>
        <w:t>par. </w:t>
      </w:r>
      <w:r w:rsidRPr="00FB20B0">
        <w:rPr>
          <w:rFonts w:cs="Times New Roman"/>
          <w:lang w:val="fr-CA"/>
        </w:rPr>
        <w:t xml:space="preserve">6). Toutefois, la question de savoir si et quand cet avis </w:t>
      </w:r>
      <w:r>
        <w:rPr>
          <w:rFonts w:cs="Times New Roman"/>
          <w:lang w:val="fr-CA"/>
        </w:rPr>
        <w:t xml:space="preserve">doit être donné relève en dernier ressort du pouvoir discrétionnaire du tribunal compétent </w:t>
      </w:r>
      <w:r w:rsidRPr="00060362">
        <w:rPr>
          <w:rFonts w:cs="Times New Roman"/>
          <w:lang w:val="fr-CA"/>
        </w:rPr>
        <w:t>(</w:t>
      </w:r>
      <w:r w:rsidRPr="00060362">
        <w:rPr>
          <w:rFonts w:cs="Times New Roman"/>
          <w:i/>
          <w:lang w:val="fr-CA"/>
        </w:rPr>
        <w:t>Dagenais</w:t>
      </w:r>
      <w:r w:rsidRPr="00060362">
        <w:rPr>
          <w:rFonts w:cs="Times New Roman"/>
          <w:lang w:val="fr-CA"/>
        </w:rPr>
        <w:t xml:space="preserve">, </w:t>
      </w:r>
      <w:r>
        <w:rPr>
          <w:rFonts w:cs="Times New Roman"/>
          <w:lang w:val="fr-CA"/>
        </w:rPr>
        <w:t>p. </w:t>
      </w:r>
      <w:r w:rsidRPr="00060362">
        <w:rPr>
          <w:rFonts w:cs="Times New Roman"/>
          <w:lang w:val="fr-CA"/>
        </w:rPr>
        <w:t xml:space="preserve">869; </w:t>
      </w:r>
      <w:r w:rsidRPr="00060362">
        <w:rPr>
          <w:rFonts w:cs="Times New Roman"/>
          <w:i/>
          <w:lang w:val="fr-CA"/>
        </w:rPr>
        <w:t>M.</w:t>
      </w:r>
      <w:r>
        <w:rPr>
          <w:rFonts w:cs="Times New Roman"/>
          <w:i/>
          <w:lang w:val="fr-CA"/>
        </w:rPr>
        <w:t xml:space="preserve"> (A.)</w:t>
      </w:r>
      <w:r w:rsidRPr="00060362">
        <w:rPr>
          <w:rFonts w:cs="Times New Roman"/>
          <w:lang w:val="fr-CA"/>
        </w:rPr>
        <w:t xml:space="preserve">, </w:t>
      </w:r>
      <w:r>
        <w:rPr>
          <w:rFonts w:cs="Times New Roman"/>
          <w:lang w:val="fr-CA"/>
        </w:rPr>
        <w:t>par. 5</w:t>
      </w:r>
      <w:r w:rsidRPr="00060362">
        <w:rPr>
          <w:rFonts w:cs="Times New Roman"/>
          <w:shd w:val="clear" w:color="auto" w:fill="FFFFFF"/>
          <w:lang w:val="fr-CA"/>
        </w:rPr>
        <w:t xml:space="preserve">). </w:t>
      </w:r>
      <w:r>
        <w:rPr>
          <w:rFonts w:cs="Times New Roman"/>
          <w:shd w:val="clear" w:color="auto" w:fill="FFFFFF"/>
          <w:lang w:val="fr-CA"/>
        </w:rPr>
        <w:t>Je suis d’accord avec les observations des procureurs généraux de la Colombie</w:t>
      </w:r>
      <w:r>
        <w:rPr>
          <w:rFonts w:cs="Times New Roman"/>
          <w:shd w:val="clear" w:color="auto" w:fill="FFFFFF"/>
          <w:lang w:val="fr-CA"/>
        </w:rPr>
        <w:noBreakHyphen/>
        <w:t>Britannique et de l’</w:t>
      </w:r>
      <w:r w:rsidRPr="00060362">
        <w:rPr>
          <w:rFonts w:cs="Times New Roman"/>
          <w:shd w:val="clear" w:color="auto" w:fill="FFFFFF"/>
          <w:lang w:val="fr-CA"/>
        </w:rPr>
        <w:t xml:space="preserve">Ontario </w:t>
      </w:r>
      <w:r>
        <w:rPr>
          <w:rFonts w:cs="Times New Roman"/>
          <w:shd w:val="clear" w:color="auto" w:fill="FFFFFF"/>
          <w:lang w:val="fr-CA"/>
        </w:rPr>
        <w:t>selon lesquelles les circonstances dans lesquelles les ordonnances limitant la publicité des débats judiciaires sont prononcées varient et que les tribunaux doivent avoir le pouvoir discrétionnaire nécessaire pour veiller à ce que justice soit rendue dans chaque cas</w:t>
      </w:r>
      <w:r w:rsidRPr="00060362">
        <w:rPr>
          <w:rFonts w:cs="Times New Roman"/>
          <w:shd w:val="clear" w:color="auto" w:fill="FFFFFF"/>
          <w:lang w:val="fr-CA"/>
        </w:rPr>
        <w:t>.</w:t>
      </w:r>
      <w:r>
        <w:rPr>
          <w:rFonts w:cs="Times New Roman"/>
          <w:shd w:val="clear" w:color="auto" w:fill="FFFFFF"/>
          <w:lang w:val="fr-CA"/>
        </w:rPr>
        <w:t xml:space="preserve"> </w:t>
      </w:r>
    </w:p>
    <w:p w:rsidR="009F09DA" w:rsidRPr="00527837" w:rsidRDefault="009F09DA" w:rsidP="009F09DA">
      <w:pPr>
        <w:pStyle w:val="ParaNoNdepar-AltN"/>
        <w:rPr>
          <w:rFonts w:cs="Times New Roman"/>
          <w:lang w:val="fr-CA"/>
        </w:rPr>
      </w:pPr>
      <w:r w:rsidRPr="00FB20B0">
        <w:rPr>
          <w:rFonts w:cs="Times New Roman"/>
          <w:lang w:val="fr-CA"/>
        </w:rPr>
        <w:t xml:space="preserve">En effet, notre Cour a explicitement reconnu le pouvoir discrétionnaire des tribunaux de décider </w:t>
      </w:r>
      <w:r>
        <w:rPr>
          <w:rFonts w:cs="Times New Roman"/>
          <w:lang w:val="fr-CA"/>
        </w:rPr>
        <w:t xml:space="preserve">quand </w:t>
      </w:r>
      <w:r w:rsidRPr="00FB20B0">
        <w:rPr>
          <w:rFonts w:cs="Times New Roman"/>
          <w:lang w:val="fr-CA"/>
        </w:rPr>
        <w:t xml:space="preserve">il faut donner un avis aux médias dans le cas des mandats de perquisition et des ordonnances de communication. Dans </w:t>
      </w:r>
      <w:r w:rsidR="007D1A32">
        <w:rPr>
          <w:rFonts w:cs="Times New Roman"/>
          <w:lang w:val="fr-CA"/>
        </w:rPr>
        <w:t xml:space="preserve">l’arrêt </w:t>
      </w:r>
      <w:r w:rsidR="007D1A32" w:rsidRPr="007D1A32">
        <w:rPr>
          <w:rFonts w:cs="Times New Roman"/>
          <w:i/>
          <w:lang w:val="fr-CA"/>
        </w:rPr>
        <w:t>R. c. National Post</w:t>
      </w:r>
      <w:r w:rsidR="007D1A32">
        <w:rPr>
          <w:rFonts w:cs="Times New Roman"/>
          <w:lang w:val="fr-CA"/>
        </w:rPr>
        <w:t>, 2010 CSC 16, [2010] 1 R.C.S. 477,</w:t>
      </w:r>
      <w:bookmarkStart w:id="4" w:name="_GoBack"/>
      <w:bookmarkEnd w:id="4"/>
      <w:r w:rsidR="007D1A32">
        <w:rPr>
          <w:rFonts w:cs="Times New Roman"/>
          <w:lang w:val="fr-CA"/>
        </w:rPr>
        <w:t xml:space="preserve"> notre </w:t>
      </w:r>
      <w:r w:rsidRPr="007D1A32">
        <w:rPr>
          <w:lang w:val="fr-CA"/>
        </w:rPr>
        <w:t>Cour a conclu que délivrer un mandat de perquisition en l’absence du média touché n’était pas une erreur de compétence; le juge qui a décerné le mandat avait le pouvoir discrétionnaire de décider du moment où il convenait de donner l’avis aux médias ainsi que de ses modalités (par. 83</w:t>
      </w:r>
      <w:r w:rsidRPr="007D1A32">
        <w:rPr>
          <w:lang w:val="fr-CA"/>
        </w:rPr>
        <w:noBreakHyphen/>
        <w:t xml:space="preserve">84). De même, dans </w:t>
      </w:r>
      <w:r w:rsidRPr="00FB20B0">
        <w:rPr>
          <w:rFonts w:cs="Times New Roman"/>
          <w:i/>
          <w:lang w:val="fr-CA"/>
        </w:rPr>
        <w:t>R. c. Média Vice Canada Inc.</w:t>
      </w:r>
      <w:r w:rsidRPr="00FB20B0">
        <w:rPr>
          <w:rFonts w:cs="Times New Roman"/>
          <w:lang w:val="fr-CA"/>
        </w:rPr>
        <w:t>, 2018 CSC 53, [2018] 3 R.C.S. 374</w:t>
      </w:r>
      <w:r w:rsidRPr="00FB20B0">
        <w:rPr>
          <w:lang w:val="fr-CA"/>
        </w:rPr>
        <w:t xml:space="preserve">, le juge </w:t>
      </w:r>
      <w:r>
        <w:rPr>
          <w:lang w:val="fr-CA"/>
        </w:rPr>
        <w:t xml:space="preserve">Moldaver </w:t>
      </w:r>
      <w:r w:rsidRPr="00FB20B0">
        <w:rPr>
          <w:lang w:val="fr-CA"/>
        </w:rPr>
        <w:t>a étudié l</w:t>
      </w:r>
      <w:r>
        <w:rPr>
          <w:lang w:val="fr-CA"/>
        </w:rPr>
        <w:t>’</w:t>
      </w:r>
      <w:r w:rsidRPr="00FB20B0">
        <w:rPr>
          <w:lang w:val="fr-CA"/>
        </w:rPr>
        <w:t>argument d</w:t>
      </w:r>
      <w:r>
        <w:rPr>
          <w:lang w:val="fr-CA"/>
        </w:rPr>
        <w:t>’</w:t>
      </w:r>
      <w:r w:rsidRPr="00FB20B0">
        <w:rPr>
          <w:lang w:val="fr-CA"/>
        </w:rPr>
        <w:t xml:space="preserve">un média suivant lequel </w:t>
      </w:r>
      <w:proofErr w:type="gramStart"/>
      <w:r w:rsidRPr="00FB20B0">
        <w:rPr>
          <w:lang w:val="fr-CA"/>
        </w:rPr>
        <w:t>il</w:t>
      </w:r>
      <w:proofErr w:type="gramEnd"/>
      <w:r w:rsidRPr="00FB20B0">
        <w:rPr>
          <w:lang w:val="fr-CA"/>
        </w:rPr>
        <w:t xml:space="preserve"> devait être informé d</w:t>
      </w:r>
      <w:r>
        <w:rPr>
          <w:lang w:val="fr-CA"/>
        </w:rPr>
        <w:t>’</w:t>
      </w:r>
      <w:r w:rsidRPr="00FB20B0">
        <w:rPr>
          <w:lang w:val="fr-CA"/>
        </w:rPr>
        <w:t>une demande d</w:t>
      </w:r>
      <w:r>
        <w:rPr>
          <w:lang w:val="fr-CA"/>
        </w:rPr>
        <w:t>’</w:t>
      </w:r>
      <w:r w:rsidRPr="00FB20B0">
        <w:rPr>
          <w:lang w:val="fr-CA"/>
        </w:rPr>
        <w:t>ordonnance de communication qui le concernait (</w:t>
      </w:r>
      <w:r>
        <w:rPr>
          <w:lang w:val="fr-CA"/>
        </w:rPr>
        <w:t>par. </w:t>
      </w:r>
      <w:r w:rsidRPr="00FB20B0">
        <w:rPr>
          <w:lang w:val="fr-CA"/>
        </w:rPr>
        <w:t xml:space="preserve">59). </w:t>
      </w:r>
      <w:r w:rsidRPr="00FD589D">
        <w:rPr>
          <w:lang w:val="fr-CA"/>
        </w:rPr>
        <w:t>Mon collègue a</w:t>
      </w:r>
      <w:r w:rsidRPr="00FB20B0">
        <w:rPr>
          <w:lang w:val="fr-CA"/>
        </w:rPr>
        <w:t xml:space="preserve"> rejeté cet argument parce que le </w:t>
      </w:r>
      <w:r w:rsidRPr="00FB20B0">
        <w:rPr>
          <w:i/>
          <w:lang w:val="fr-CA"/>
        </w:rPr>
        <w:t>Code criminel</w:t>
      </w:r>
      <w:r w:rsidRPr="00FB20B0">
        <w:rPr>
          <w:lang w:val="fr-CA"/>
        </w:rPr>
        <w:t xml:space="preserve"> prévoyait expressément la tenue d</w:t>
      </w:r>
      <w:r>
        <w:rPr>
          <w:lang w:val="fr-CA"/>
        </w:rPr>
        <w:t>’</w:t>
      </w:r>
      <w:r w:rsidRPr="00FB20B0">
        <w:rPr>
          <w:lang w:val="fr-CA"/>
        </w:rPr>
        <w:t xml:space="preserve">instances </w:t>
      </w:r>
      <w:r w:rsidRPr="00FB20B0">
        <w:rPr>
          <w:i/>
          <w:lang w:val="fr-CA"/>
        </w:rPr>
        <w:t>ex parte</w:t>
      </w:r>
      <w:r w:rsidRPr="00FB20B0">
        <w:rPr>
          <w:lang w:val="fr-CA"/>
        </w:rPr>
        <w:t xml:space="preserve"> et que les répercussions négatives sur le média étaient </w:t>
      </w:r>
      <w:r>
        <w:rPr>
          <w:lang w:val="fr-CA"/>
        </w:rPr>
        <w:t xml:space="preserve">atténuées </w:t>
      </w:r>
      <w:r w:rsidRPr="00FB20B0">
        <w:rPr>
          <w:lang w:val="fr-CA"/>
        </w:rPr>
        <w:t>par le droit légal de demander la modification ou la révocation de l</w:t>
      </w:r>
      <w:r>
        <w:rPr>
          <w:lang w:val="fr-CA"/>
        </w:rPr>
        <w:t>’</w:t>
      </w:r>
      <w:r w:rsidRPr="00FB20B0">
        <w:rPr>
          <w:lang w:val="fr-CA"/>
        </w:rPr>
        <w:t>ordonnance à un stade ultérieur (</w:t>
      </w:r>
      <w:r>
        <w:rPr>
          <w:lang w:val="fr-CA"/>
        </w:rPr>
        <w:t>par. </w:t>
      </w:r>
      <w:r w:rsidRPr="00FB20B0">
        <w:rPr>
          <w:lang w:val="fr-CA"/>
        </w:rPr>
        <w:t>61</w:t>
      </w:r>
      <w:r>
        <w:rPr>
          <w:lang w:val="fr-CA"/>
        </w:rPr>
        <w:noBreakHyphen/>
      </w:r>
      <w:r w:rsidRPr="00FB20B0">
        <w:rPr>
          <w:lang w:val="fr-CA"/>
        </w:rPr>
        <w:t>62). Il découle de ces sources que la signification d</w:t>
      </w:r>
      <w:r>
        <w:rPr>
          <w:lang w:val="fr-CA"/>
        </w:rPr>
        <w:t>’</w:t>
      </w:r>
      <w:r w:rsidRPr="00FB20B0">
        <w:rPr>
          <w:lang w:val="fr-CA"/>
        </w:rPr>
        <w:t>un avis n</w:t>
      </w:r>
      <w:r>
        <w:rPr>
          <w:lang w:val="fr-CA"/>
        </w:rPr>
        <w:t>’</w:t>
      </w:r>
      <w:r w:rsidRPr="00FB20B0">
        <w:rPr>
          <w:lang w:val="fr-CA"/>
        </w:rPr>
        <w:t xml:space="preserve">est pas une </w:t>
      </w:r>
      <w:r w:rsidRPr="00C5565E">
        <w:rPr>
          <w:lang w:val="fr-CA"/>
        </w:rPr>
        <w:t>condition préalable au prononcé d</w:t>
      </w:r>
      <w:r>
        <w:rPr>
          <w:lang w:val="fr-CA"/>
        </w:rPr>
        <w:t>’</w:t>
      </w:r>
      <w:r w:rsidRPr="00C5565E">
        <w:rPr>
          <w:lang w:val="fr-CA"/>
        </w:rPr>
        <w:t xml:space="preserve">une ordonnance valide dans ces circonstances. En revanche, cette </w:t>
      </w:r>
      <w:r w:rsidRPr="00C5565E">
        <w:rPr>
          <w:rFonts w:cs="Times New Roman"/>
          <w:lang w:val="fr-CA"/>
        </w:rPr>
        <w:t>jurisprudence n</w:t>
      </w:r>
      <w:r>
        <w:rPr>
          <w:rFonts w:cs="Times New Roman"/>
          <w:lang w:val="fr-CA"/>
        </w:rPr>
        <w:t>’</w:t>
      </w:r>
      <w:r w:rsidRPr="00C5565E">
        <w:rPr>
          <w:rFonts w:cs="Times New Roman"/>
          <w:lang w:val="fr-CA"/>
        </w:rPr>
        <w:t>exclut pas la possibilité de donner avis après qu</w:t>
      </w:r>
      <w:r>
        <w:rPr>
          <w:rFonts w:cs="Times New Roman"/>
          <w:lang w:val="fr-CA"/>
        </w:rPr>
        <w:t>’</w:t>
      </w:r>
      <w:r w:rsidRPr="00C5565E">
        <w:rPr>
          <w:rFonts w:cs="Times New Roman"/>
          <w:lang w:val="fr-CA"/>
        </w:rPr>
        <w:t>une ordonnance eut été rendue, ou d</w:t>
      </w:r>
      <w:r>
        <w:rPr>
          <w:rFonts w:cs="Times New Roman"/>
          <w:lang w:val="fr-CA"/>
        </w:rPr>
        <w:t>’</w:t>
      </w:r>
      <w:r w:rsidRPr="00C5565E">
        <w:rPr>
          <w:rFonts w:cs="Times New Roman"/>
          <w:lang w:val="fr-CA"/>
        </w:rPr>
        <w:t xml:space="preserve">entendre une motion présentée par une personne touchée en vue de faire modifier ou annuler une ordonnance </w:t>
      </w:r>
      <w:r w:rsidRPr="00C5565E">
        <w:rPr>
          <w:lang w:val="fr-CA"/>
        </w:rPr>
        <w:t>dont elle n</w:t>
      </w:r>
      <w:r>
        <w:rPr>
          <w:lang w:val="fr-CA"/>
        </w:rPr>
        <w:t>’</w:t>
      </w:r>
      <w:r w:rsidRPr="00C5565E">
        <w:rPr>
          <w:lang w:val="fr-CA"/>
        </w:rPr>
        <w:t>a pas été avisée préalablement.</w:t>
      </w:r>
    </w:p>
    <w:p w:rsidR="009F09DA" w:rsidRPr="00913CF2" w:rsidRDefault="009F09DA" w:rsidP="009F09DA">
      <w:pPr>
        <w:pStyle w:val="ParaNoNdepar-AltN"/>
        <w:rPr>
          <w:rFonts w:cs="Times New Roman"/>
          <w:lang w:val="fr-CA"/>
        </w:rPr>
      </w:pPr>
      <w:r>
        <w:rPr>
          <w:rFonts w:cs="Times New Roman"/>
          <w:lang w:val="fr-CA"/>
        </w:rPr>
        <w:t>Je suis également d’accord avec la SRC pour dire que les tribunaux peuvent exercer le pouvoir discrétionnaire de modifier ou d’annuler une interdiction de publication ou une ordonnance de mise sous scellés lorsqu’</w:t>
      </w:r>
      <w:r w:rsidRPr="00C818CD">
        <w:rPr>
          <w:rFonts w:cs="Times New Roman"/>
          <w:lang w:val="fr-CA"/>
        </w:rPr>
        <w:t xml:space="preserve">il y a eu changement important des circonstances </w:t>
      </w:r>
      <w:r>
        <w:rPr>
          <w:rFonts w:cs="Times New Roman"/>
          <w:lang w:val="fr-CA"/>
        </w:rPr>
        <w:t xml:space="preserve">relatives au prononcé de l’ordonnance, conformément au principe énoncé par notre Cour dans l’arrêt </w:t>
      </w:r>
      <w:r w:rsidRPr="00060362">
        <w:rPr>
          <w:rFonts w:cs="Times New Roman"/>
          <w:i/>
          <w:lang w:val="fr-CA"/>
        </w:rPr>
        <w:t>Adams</w:t>
      </w:r>
      <w:r w:rsidRPr="00060362">
        <w:rPr>
          <w:rFonts w:cs="Times New Roman"/>
          <w:lang w:val="fr-CA"/>
        </w:rPr>
        <w:t xml:space="preserve">. </w:t>
      </w:r>
      <w:r>
        <w:rPr>
          <w:rFonts w:cs="Times New Roman"/>
          <w:lang w:val="fr-CA"/>
        </w:rPr>
        <w:t xml:space="preserve">Comme l’a fait remarquer le juge </w:t>
      </w:r>
      <w:r w:rsidRPr="00060362">
        <w:rPr>
          <w:rFonts w:cs="Times New Roman"/>
          <w:lang w:val="fr-CA"/>
        </w:rPr>
        <w:t>Sopinka </w:t>
      </w:r>
      <w:r>
        <w:rPr>
          <w:rFonts w:cs="Times New Roman"/>
          <w:lang w:val="fr-CA"/>
        </w:rPr>
        <w:t>dans cet arrêt</w:t>
      </w:r>
      <w:r w:rsidRPr="00060362">
        <w:rPr>
          <w:rFonts w:cs="Times New Roman"/>
          <w:lang w:val="fr-CA"/>
        </w:rPr>
        <w:t xml:space="preserve">, </w:t>
      </w:r>
      <w:r>
        <w:rPr>
          <w:rFonts w:cs="Times New Roman"/>
          <w:lang w:val="fr-CA"/>
        </w:rPr>
        <w:t>« [e]</w:t>
      </w:r>
      <w:r w:rsidRPr="00C818CD">
        <w:rPr>
          <w:rFonts w:cs="Times New Roman"/>
          <w:lang w:val="fr-CA"/>
        </w:rPr>
        <w:t>n règle générale, toute ordonnance relative au déroulement d</w:t>
      </w:r>
      <w:r>
        <w:rPr>
          <w:rFonts w:cs="Times New Roman"/>
          <w:lang w:val="fr-CA"/>
        </w:rPr>
        <w:t>’</w:t>
      </w:r>
      <w:r w:rsidRPr="00C818CD">
        <w:rPr>
          <w:rFonts w:cs="Times New Roman"/>
          <w:lang w:val="fr-CA"/>
        </w:rPr>
        <w:t>un procès peut être modifiée ou annulée s</w:t>
      </w:r>
      <w:r>
        <w:rPr>
          <w:rFonts w:cs="Times New Roman"/>
          <w:lang w:val="fr-CA"/>
        </w:rPr>
        <w:t>’</w:t>
      </w:r>
      <w:r w:rsidRPr="00C818CD">
        <w:rPr>
          <w:rFonts w:cs="Times New Roman"/>
          <w:lang w:val="fr-CA"/>
        </w:rPr>
        <w:t>il y a eu changement important des circonstances qui existaient au moment où elle a été rendue</w:t>
      </w:r>
      <w:r>
        <w:rPr>
          <w:rFonts w:cs="Times New Roman"/>
          <w:lang w:val="fr-CA"/>
        </w:rPr>
        <w:t> »</w:t>
      </w:r>
      <w:r w:rsidRPr="00060362">
        <w:rPr>
          <w:rFonts w:cs="Times New Roman"/>
          <w:lang w:val="fr-CA"/>
        </w:rPr>
        <w:t xml:space="preserve"> (</w:t>
      </w:r>
      <w:r>
        <w:rPr>
          <w:rFonts w:cs="Times New Roman"/>
          <w:lang w:val="fr-CA"/>
        </w:rPr>
        <w:t>par. </w:t>
      </w:r>
      <w:r w:rsidRPr="00060362">
        <w:rPr>
          <w:rFonts w:cs="Times New Roman"/>
          <w:lang w:val="fr-CA"/>
        </w:rPr>
        <w:t xml:space="preserve">30). </w:t>
      </w:r>
      <w:r>
        <w:rPr>
          <w:rFonts w:cs="Times New Roman"/>
          <w:lang w:val="fr-CA"/>
        </w:rPr>
        <w:t xml:space="preserve">Cette règle s’applique aux </w:t>
      </w:r>
      <w:r w:rsidRPr="00FD589D">
        <w:rPr>
          <w:rFonts w:cs="Times New Roman"/>
          <w:lang w:val="fr-CA"/>
        </w:rPr>
        <w:t xml:space="preserve">ordonnances portant sur la publicité des débats judiciaires (voir, </w:t>
      </w:r>
      <w:r>
        <w:rPr>
          <w:rFonts w:cs="Times New Roman"/>
          <w:lang w:val="fr-CA"/>
        </w:rPr>
        <w:t>p. </w:t>
      </w:r>
      <w:r w:rsidRPr="00FD589D">
        <w:rPr>
          <w:rFonts w:cs="Times New Roman"/>
          <w:lang w:val="fr-CA"/>
        </w:rPr>
        <w:t xml:space="preserve">ex., </w:t>
      </w:r>
      <w:r w:rsidRPr="00FD589D">
        <w:rPr>
          <w:rFonts w:cs="Times New Roman"/>
          <w:i/>
          <w:lang w:val="fr-CA"/>
        </w:rPr>
        <w:t>British Columbia c. BCTF</w:t>
      </w:r>
      <w:r w:rsidRPr="00FD589D">
        <w:rPr>
          <w:rFonts w:cs="Times New Roman"/>
          <w:lang w:val="fr-CA"/>
        </w:rPr>
        <w:t>, 2015 BCCA 185</w:t>
      </w:r>
      <w:r w:rsidRPr="00913CF2">
        <w:rPr>
          <w:rFonts w:cs="Times New Roman"/>
          <w:lang w:val="fr-CA"/>
        </w:rPr>
        <w:t xml:space="preserve">, 75 B.C.L.R. (5th) 257, </w:t>
      </w:r>
      <w:r>
        <w:rPr>
          <w:rFonts w:cs="Times New Roman"/>
          <w:lang w:val="fr-CA"/>
        </w:rPr>
        <w:t>par. </w:t>
      </w:r>
      <w:r w:rsidRPr="00913CF2">
        <w:rPr>
          <w:rFonts w:cs="Times New Roman"/>
          <w:lang w:val="fr-CA"/>
        </w:rPr>
        <w:t>15</w:t>
      </w:r>
      <w:r>
        <w:rPr>
          <w:rFonts w:cs="Times New Roman"/>
          <w:lang w:val="fr-CA"/>
        </w:rPr>
        <w:noBreakHyphen/>
      </w:r>
      <w:r w:rsidRPr="00913CF2">
        <w:rPr>
          <w:rFonts w:cs="Times New Roman"/>
          <w:lang w:val="fr-CA"/>
        </w:rPr>
        <w:t xml:space="preserve">22; </w:t>
      </w:r>
      <w:r w:rsidRPr="00913CF2">
        <w:rPr>
          <w:rFonts w:cs="Times New Roman"/>
          <w:i/>
          <w:lang w:val="fr-CA"/>
        </w:rPr>
        <w:t>Morin c. R.</w:t>
      </w:r>
      <w:r w:rsidRPr="00913CF2">
        <w:rPr>
          <w:rFonts w:cs="Times New Roman"/>
          <w:lang w:val="fr-CA"/>
        </w:rPr>
        <w:t xml:space="preserve"> (1997), 32 O.R. (3d) 265</w:t>
      </w:r>
      <w:r>
        <w:rPr>
          <w:rFonts w:cs="Times New Roman"/>
          <w:lang w:val="fr-CA"/>
        </w:rPr>
        <w:t xml:space="preserve"> (C.A.)</w:t>
      </w:r>
      <w:r w:rsidRPr="00913CF2">
        <w:rPr>
          <w:rFonts w:cs="Times New Roman"/>
          <w:lang w:val="fr-CA"/>
        </w:rPr>
        <w:t xml:space="preserve">, </w:t>
      </w:r>
      <w:r>
        <w:rPr>
          <w:rFonts w:cs="Times New Roman"/>
          <w:lang w:val="fr-CA"/>
        </w:rPr>
        <w:t>p. </w:t>
      </w:r>
      <w:r w:rsidRPr="00913CF2">
        <w:rPr>
          <w:rFonts w:cs="Times New Roman"/>
          <w:lang w:val="fr-CA"/>
        </w:rPr>
        <w:t>272</w:t>
      </w:r>
      <w:r>
        <w:rPr>
          <w:rFonts w:cs="Times New Roman"/>
          <w:lang w:val="fr-CA"/>
        </w:rPr>
        <w:noBreakHyphen/>
        <w:t>2</w:t>
      </w:r>
      <w:r w:rsidRPr="00913CF2">
        <w:rPr>
          <w:rFonts w:cs="Times New Roman"/>
          <w:lang w:val="fr-CA"/>
        </w:rPr>
        <w:t xml:space="preserve">73). </w:t>
      </w:r>
    </w:p>
    <w:p w:rsidR="009F09DA" w:rsidRPr="00C5565E" w:rsidRDefault="009F09DA" w:rsidP="009F09DA">
      <w:pPr>
        <w:pStyle w:val="ParaNoNdepar-AltN"/>
        <w:rPr>
          <w:rFonts w:cs="Times New Roman"/>
          <w:lang w:val="fr-CA"/>
        </w:rPr>
      </w:pPr>
      <w:r w:rsidRPr="00C5565E">
        <w:rPr>
          <w:lang w:val="fr-CA"/>
        </w:rPr>
        <w:t>Je m</w:t>
      </w:r>
      <w:r>
        <w:rPr>
          <w:lang w:val="fr-CA"/>
        </w:rPr>
        <w:t>’</w:t>
      </w:r>
      <w:r w:rsidRPr="00C5565E">
        <w:rPr>
          <w:lang w:val="fr-CA"/>
        </w:rPr>
        <w:t xml:space="preserve">empresse toutefois de </w:t>
      </w:r>
      <w:r w:rsidRPr="00FD589D">
        <w:rPr>
          <w:lang w:val="fr-CA"/>
        </w:rPr>
        <w:t>mentionner qu</w:t>
      </w:r>
      <w:r>
        <w:rPr>
          <w:lang w:val="fr-CA"/>
        </w:rPr>
        <w:t>’</w:t>
      </w:r>
      <w:r w:rsidRPr="00FD589D">
        <w:rPr>
          <w:lang w:val="fr-CA"/>
        </w:rPr>
        <w:t>à mon avis, l</w:t>
      </w:r>
      <w:r>
        <w:rPr>
          <w:lang w:val="fr-CA"/>
        </w:rPr>
        <w:t>’</w:t>
      </w:r>
      <w:r w:rsidRPr="00FD589D">
        <w:rPr>
          <w:lang w:val="fr-CA"/>
        </w:rPr>
        <w:t xml:space="preserve">arrêt </w:t>
      </w:r>
      <w:r w:rsidRPr="00FD589D">
        <w:rPr>
          <w:i/>
          <w:lang w:val="fr-CA"/>
        </w:rPr>
        <w:t>Adams</w:t>
      </w:r>
      <w:r w:rsidRPr="00FD589D">
        <w:rPr>
          <w:lang w:val="fr-CA"/>
        </w:rPr>
        <w:t xml:space="preserve"> n</w:t>
      </w:r>
      <w:r>
        <w:rPr>
          <w:lang w:val="fr-CA"/>
        </w:rPr>
        <w:t>’</w:t>
      </w:r>
      <w:r w:rsidRPr="00FD589D">
        <w:rPr>
          <w:lang w:val="fr-CA"/>
        </w:rPr>
        <w:t>a</w:t>
      </w:r>
      <w:r w:rsidRPr="00C5565E">
        <w:rPr>
          <w:lang w:val="fr-CA"/>
        </w:rPr>
        <w:t xml:space="preserve"> pas la signification que lui attribue la SRC dans son mémoire. La SRC dit que l</w:t>
      </w:r>
      <w:r>
        <w:rPr>
          <w:lang w:val="fr-CA"/>
        </w:rPr>
        <w:t>’</w:t>
      </w:r>
      <w:r w:rsidRPr="00C5565E">
        <w:rPr>
          <w:lang w:val="fr-CA"/>
        </w:rPr>
        <w:t>affaire concernait [</w:t>
      </w:r>
      <w:r w:rsidRPr="00C5565E">
        <w:rPr>
          <w:smallCaps/>
          <w:lang w:val="fr-CA"/>
        </w:rPr>
        <w:t>traduction</w:t>
      </w:r>
      <w:r w:rsidRPr="00C5565E">
        <w:rPr>
          <w:lang w:val="fr-CA"/>
        </w:rPr>
        <w:t xml:space="preserve">] « la question de savoir si la règle du </w:t>
      </w:r>
      <w:r w:rsidRPr="00C5565E">
        <w:rPr>
          <w:i/>
          <w:lang w:val="fr-CA"/>
        </w:rPr>
        <w:t>functus officio</w:t>
      </w:r>
      <w:r w:rsidRPr="00C5565E">
        <w:rPr>
          <w:lang w:val="fr-CA"/>
        </w:rPr>
        <w:t xml:space="preserve"> empêchait un juge de première instance d</w:t>
      </w:r>
      <w:r>
        <w:rPr>
          <w:lang w:val="fr-CA"/>
        </w:rPr>
        <w:t>’</w:t>
      </w:r>
      <w:r w:rsidRPr="00C5565E">
        <w:rPr>
          <w:lang w:val="fr-CA"/>
        </w:rPr>
        <w:t>annuler une interdiction de publication qu</w:t>
      </w:r>
      <w:r>
        <w:rPr>
          <w:lang w:val="fr-CA"/>
        </w:rPr>
        <w:t>’il</w:t>
      </w:r>
      <w:r w:rsidRPr="00C5565E">
        <w:rPr>
          <w:lang w:val="fr-CA"/>
        </w:rPr>
        <w:t xml:space="preserve"> avait prononcée auparavant</w:t>
      </w:r>
      <w:r>
        <w:rPr>
          <w:lang w:val="fr-CA"/>
        </w:rPr>
        <w:t> </w:t>
      </w:r>
      <w:r w:rsidRPr="00C5565E">
        <w:rPr>
          <w:lang w:val="fr-CA"/>
        </w:rPr>
        <w:t>», et elle postule qu</w:t>
      </w:r>
      <w:r>
        <w:rPr>
          <w:lang w:val="fr-CA"/>
        </w:rPr>
        <w:t>’</w:t>
      </w:r>
      <w:r w:rsidRPr="00C5565E">
        <w:rPr>
          <w:lang w:val="fr-CA"/>
        </w:rPr>
        <w:t>il</w:t>
      </w:r>
      <w:r>
        <w:rPr>
          <w:lang w:val="fr-CA"/>
        </w:rPr>
        <w:t xml:space="preserve"> y</w:t>
      </w:r>
      <w:r w:rsidRPr="00C5565E">
        <w:rPr>
          <w:lang w:val="fr-CA"/>
        </w:rPr>
        <w:t xml:space="preserve"> est question de la manière dont la règle du </w:t>
      </w:r>
      <w:r w:rsidRPr="00C5565E">
        <w:rPr>
          <w:i/>
          <w:lang w:val="fr-CA"/>
        </w:rPr>
        <w:t>functus officio</w:t>
      </w:r>
      <w:r w:rsidRPr="00C5565E">
        <w:rPr>
          <w:lang w:val="fr-CA"/>
        </w:rPr>
        <w:t xml:space="preserve"> s</w:t>
      </w:r>
      <w:r>
        <w:rPr>
          <w:lang w:val="fr-CA"/>
        </w:rPr>
        <w:t>’</w:t>
      </w:r>
      <w:r w:rsidRPr="00C5565E">
        <w:rPr>
          <w:lang w:val="fr-CA"/>
        </w:rPr>
        <w:t>applique aux ordonnances accessoires (</w:t>
      </w:r>
      <w:proofErr w:type="spellStart"/>
      <w:proofErr w:type="gramStart"/>
      <w:r w:rsidRPr="00C5565E">
        <w:rPr>
          <w:lang w:val="fr-CA"/>
        </w:rPr>
        <w:t>m.a</w:t>
      </w:r>
      <w:proofErr w:type="spellEnd"/>
      <w:r w:rsidRPr="00C5565E">
        <w:rPr>
          <w:lang w:val="fr-CA"/>
        </w:rPr>
        <w:t>.,</w:t>
      </w:r>
      <w:proofErr w:type="gramEnd"/>
      <w:r w:rsidRPr="00C5565E">
        <w:rPr>
          <w:lang w:val="fr-CA"/>
        </w:rPr>
        <w:t xml:space="preserve"> </w:t>
      </w:r>
      <w:r>
        <w:rPr>
          <w:lang w:val="fr-CA"/>
        </w:rPr>
        <w:t>par. </w:t>
      </w:r>
      <w:r w:rsidRPr="00C5565E">
        <w:rPr>
          <w:lang w:val="fr-CA"/>
        </w:rPr>
        <w:t>82</w:t>
      </w:r>
      <w:r>
        <w:rPr>
          <w:lang w:val="fr-CA"/>
        </w:rPr>
        <w:noBreakHyphen/>
      </w:r>
      <w:r w:rsidRPr="00C5565E">
        <w:rPr>
          <w:lang w:val="fr-CA"/>
        </w:rPr>
        <w:t>83). D</w:t>
      </w:r>
      <w:r>
        <w:rPr>
          <w:lang w:val="fr-CA"/>
        </w:rPr>
        <w:t>’</w:t>
      </w:r>
      <w:r w:rsidRPr="00C5565E">
        <w:rPr>
          <w:lang w:val="fr-CA"/>
        </w:rPr>
        <w:t>après moi, l</w:t>
      </w:r>
      <w:r>
        <w:rPr>
          <w:lang w:val="fr-CA"/>
        </w:rPr>
        <w:t>’</w:t>
      </w:r>
      <w:r w:rsidRPr="00C5565E">
        <w:rPr>
          <w:lang w:val="fr-CA"/>
        </w:rPr>
        <w:t xml:space="preserve">arrêt </w:t>
      </w:r>
      <w:r w:rsidRPr="00C5565E">
        <w:rPr>
          <w:i/>
          <w:lang w:val="fr-CA"/>
        </w:rPr>
        <w:t>Adams</w:t>
      </w:r>
      <w:r w:rsidRPr="00C5565E">
        <w:rPr>
          <w:lang w:val="fr-CA"/>
        </w:rPr>
        <w:t xml:space="preserve"> traitait simplement des circonstances où un juge peut réexaminer une ordonnance rendue plus tôt au cours du procès. Le sort de l</w:t>
      </w:r>
      <w:r>
        <w:rPr>
          <w:lang w:val="fr-CA"/>
        </w:rPr>
        <w:t>’</w:t>
      </w:r>
      <w:r w:rsidRPr="00C5565E">
        <w:rPr>
          <w:lang w:val="fr-CA"/>
        </w:rPr>
        <w:t xml:space="preserve">ordonnance attaquée, qui visait à lever une </w:t>
      </w:r>
      <w:r w:rsidRPr="00FD589D">
        <w:rPr>
          <w:lang w:val="fr-CA"/>
        </w:rPr>
        <w:t>interdiction de publication en vigueur, a été décidé au moment où le juge du procès rejetait les accusations portées contre l</w:t>
      </w:r>
      <w:r>
        <w:rPr>
          <w:lang w:val="fr-CA"/>
        </w:rPr>
        <w:t>’</w:t>
      </w:r>
      <w:r w:rsidRPr="00FD589D">
        <w:rPr>
          <w:lang w:val="fr-CA"/>
        </w:rPr>
        <w:t>accusé (</w:t>
      </w:r>
      <w:r w:rsidRPr="00FD589D">
        <w:rPr>
          <w:i/>
          <w:lang w:val="fr-CA"/>
        </w:rPr>
        <w:t>Adams</w:t>
      </w:r>
      <w:r w:rsidRPr="00FD589D">
        <w:rPr>
          <w:lang w:val="fr-CA"/>
        </w:rPr>
        <w:t xml:space="preserve">, </w:t>
      </w:r>
      <w:r>
        <w:rPr>
          <w:lang w:val="fr-CA"/>
        </w:rPr>
        <w:t>par. </w:t>
      </w:r>
      <w:r w:rsidRPr="00FD589D">
        <w:rPr>
          <w:lang w:val="fr-CA"/>
        </w:rPr>
        <w:t>5). Notre Cour a conclu que le juge du procès n</w:t>
      </w:r>
      <w:r>
        <w:rPr>
          <w:lang w:val="fr-CA"/>
        </w:rPr>
        <w:t>’</w:t>
      </w:r>
      <w:r w:rsidRPr="00FD589D">
        <w:rPr>
          <w:lang w:val="fr-CA"/>
        </w:rPr>
        <w:t>avait pas le pouvoir de révoquer l</w:t>
      </w:r>
      <w:r>
        <w:rPr>
          <w:lang w:val="fr-CA"/>
        </w:rPr>
        <w:t>’</w:t>
      </w:r>
      <w:r w:rsidRPr="00FD589D">
        <w:rPr>
          <w:lang w:val="fr-CA"/>
        </w:rPr>
        <w:t>ordonnance parce que les circonstances qui ont exigé le prononcé de l</w:t>
      </w:r>
      <w:r>
        <w:rPr>
          <w:lang w:val="fr-CA"/>
        </w:rPr>
        <w:t>’</w:t>
      </w:r>
      <w:r w:rsidRPr="00FD589D">
        <w:rPr>
          <w:lang w:val="fr-CA"/>
        </w:rPr>
        <w:t>ordonnance n</w:t>
      </w:r>
      <w:r>
        <w:rPr>
          <w:lang w:val="fr-CA"/>
        </w:rPr>
        <w:t>’</w:t>
      </w:r>
      <w:r w:rsidRPr="00FD589D">
        <w:rPr>
          <w:lang w:val="fr-CA"/>
        </w:rPr>
        <w:t>avaient pas changé (</w:t>
      </w:r>
      <w:r>
        <w:rPr>
          <w:lang w:val="fr-CA"/>
        </w:rPr>
        <w:t>par. </w:t>
      </w:r>
      <w:r w:rsidRPr="00FD589D">
        <w:rPr>
          <w:lang w:val="fr-CA"/>
        </w:rPr>
        <w:t>31). Dans des décisions subséquentes, les cours d</w:t>
      </w:r>
      <w:r>
        <w:rPr>
          <w:lang w:val="fr-CA"/>
        </w:rPr>
        <w:t>’</w:t>
      </w:r>
      <w:r w:rsidRPr="00FD589D">
        <w:rPr>
          <w:lang w:val="fr-CA"/>
        </w:rPr>
        <w:t>appel ont considéré que le jugement établissait une règle générale à propos de la modification de ces ordonnances plutôt qu</w:t>
      </w:r>
      <w:r>
        <w:rPr>
          <w:lang w:val="fr-CA"/>
        </w:rPr>
        <w:t>’</w:t>
      </w:r>
      <w:r w:rsidRPr="00FD589D">
        <w:rPr>
          <w:lang w:val="fr-CA"/>
        </w:rPr>
        <w:t xml:space="preserve">une règle au sujet du </w:t>
      </w:r>
      <w:r w:rsidRPr="00FD589D">
        <w:rPr>
          <w:i/>
          <w:lang w:val="fr-CA"/>
        </w:rPr>
        <w:t>functus officio</w:t>
      </w:r>
      <w:r w:rsidRPr="00FD589D">
        <w:rPr>
          <w:lang w:val="fr-CA"/>
        </w:rPr>
        <w:t xml:space="preserve"> (voir, </w:t>
      </w:r>
      <w:r>
        <w:rPr>
          <w:lang w:val="fr-CA"/>
        </w:rPr>
        <w:t>p. </w:t>
      </w:r>
      <w:r w:rsidRPr="00FD589D">
        <w:rPr>
          <w:lang w:val="fr-CA"/>
        </w:rPr>
        <w:t xml:space="preserve">ex., </w:t>
      </w:r>
      <w:r w:rsidRPr="00FD589D">
        <w:rPr>
          <w:i/>
          <w:lang w:val="fr-CA"/>
        </w:rPr>
        <w:t>BCTF</w:t>
      </w:r>
      <w:r w:rsidRPr="00FD589D">
        <w:rPr>
          <w:lang w:val="fr-CA"/>
        </w:rPr>
        <w:t xml:space="preserve">, </w:t>
      </w:r>
      <w:r>
        <w:rPr>
          <w:lang w:val="fr-CA"/>
        </w:rPr>
        <w:t>par. </w:t>
      </w:r>
      <w:r w:rsidRPr="00FD589D">
        <w:rPr>
          <w:lang w:val="fr-CA"/>
        </w:rPr>
        <w:t xml:space="preserve">22; </w:t>
      </w:r>
      <w:r w:rsidRPr="00FD589D">
        <w:rPr>
          <w:i/>
          <w:lang w:val="fr-CA"/>
        </w:rPr>
        <w:t>R. c. B. (H.)</w:t>
      </w:r>
      <w:r w:rsidRPr="00FD589D">
        <w:rPr>
          <w:lang w:val="fr-CA"/>
        </w:rPr>
        <w:t xml:space="preserve">, 2016 ONCA 953, 345 C.C.C. (3d) 206, </w:t>
      </w:r>
      <w:r>
        <w:rPr>
          <w:lang w:val="fr-CA"/>
        </w:rPr>
        <w:t>par. </w:t>
      </w:r>
      <w:r w:rsidRPr="00FD589D">
        <w:rPr>
          <w:lang w:val="fr-CA"/>
        </w:rPr>
        <w:t xml:space="preserve">51; </w:t>
      </w:r>
      <w:r w:rsidRPr="00FD589D">
        <w:rPr>
          <w:i/>
          <w:lang w:val="fr-CA"/>
        </w:rPr>
        <w:t>R. c. Le</w:t>
      </w:r>
      <w:r w:rsidRPr="00FD589D">
        <w:rPr>
          <w:lang w:val="fr-CA"/>
        </w:rPr>
        <w:t xml:space="preserve">, 2011 MBCA 83, 270 Man. R. (2d) 82, </w:t>
      </w:r>
      <w:r>
        <w:rPr>
          <w:lang w:val="fr-CA"/>
        </w:rPr>
        <w:t>par. </w:t>
      </w:r>
      <w:r w:rsidRPr="00FD589D">
        <w:rPr>
          <w:lang w:val="fr-CA"/>
        </w:rPr>
        <w:t>123).</w:t>
      </w:r>
      <w:r w:rsidRPr="00FD589D">
        <w:rPr>
          <w:i/>
          <w:lang w:val="fr-CA"/>
        </w:rPr>
        <w:t xml:space="preserve"> </w:t>
      </w:r>
      <w:r w:rsidRPr="00FD589D">
        <w:rPr>
          <w:lang w:val="fr-CA"/>
        </w:rPr>
        <w:t xml:space="preserve">Les principes établis dans </w:t>
      </w:r>
      <w:r w:rsidRPr="00FD589D">
        <w:rPr>
          <w:i/>
          <w:lang w:val="fr-CA"/>
        </w:rPr>
        <w:t xml:space="preserve">Adams </w:t>
      </w:r>
      <w:r w:rsidRPr="00FD589D">
        <w:rPr>
          <w:lang w:val="fr-CA"/>
        </w:rPr>
        <w:t>concilient le caractère définitif d</w:t>
      </w:r>
      <w:r>
        <w:rPr>
          <w:lang w:val="fr-CA"/>
        </w:rPr>
        <w:t>’</w:t>
      </w:r>
      <w:r w:rsidRPr="00FD589D">
        <w:rPr>
          <w:lang w:val="fr-CA"/>
        </w:rPr>
        <w:t>une décision et la souplesse même lorsque le</w:t>
      </w:r>
      <w:r w:rsidRPr="00C5565E">
        <w:rPr>
          <w:lang w:val="fr-CA"/>
        </w:rPr>
        <w:t xml:space="preserve"> tribunal n</w:t>
      </w:r>
      <w:r>
        <w:rPr>
          <w:lang w:val="fr-CA"/>
        </w:rPr>
        <w:t>’</w:t>
      </w:r>
      <w:r w:rsidRPr="00C5565E">
        <w:rPr>
          <w:lang w:val="fr-CA"/>
        </w:rPr>
        <w:t xml:space="preserve">est pas </w:t>
      </w:r>
      <w:r w:rsidRPr="00940E3F">
        <w:rPr>
          <w:i/>
          <w:lang w:val="fr-CA"/>
        </w:rPr>
        <w:t>functus officio</w:t>
      </w:r>
      <w:r w:rsidRPr="00C5565E">
        <w:rPr>
          <w:lang w:val="fr-CA"/>
        </w:rPr>
        <w:t>, en autorisant le réexamen de ces ordonnances lorsqu</w:t>
      </w:r>
      <w:r>
        <w:rPr>
          <w:lang w:val="fr-CA"/>
        </w:rPr>
        <w:t>’</w:t>
      </w:r>
      <w:r w:rsidRPr="00C5565E">
        <w:rPr>
          <w:lang w:val="fr-CA"/>
        </w:rPr>
        <w:t>il y a eu changement important de circonstances.</w:t>
      </w:r>
    </w:p>
    <w:p w:rsidR="009F09DA" w:rsidRPr="00060362" w:rsidRDefault="009F09DA" w:rsidP="009F09DA">
      <w:pPr>
        <w:pStyle w:val="ParaNoNdepar-AltN"/>
        <w:rPr>
          <w:rFonts w:cs="Times New Roman"/>
          <w:lang w:val="fr-CA"/>
        </w:rPr>
      </w:pPr>
      <w:r w:rsidRPr="00C5565E">
        <w:rPr>
          <w:rFonts w:cs="Times New Roman"/>
          <w:lang w:val="fr-CA"/>
        </w:rPr>
        <w:t>Lorsqu</w:t>
      </w:r>
      <w:r>
        <w:rPr>
          <w:rFonts w:cs="Times New Roman"/>
          <w:lang w:val="fr-CA"/>
        </w:rPr>
        <w:t>’</w:t>
      </w:r>
      <w:r w:rsidRPr="00C5565E">
        <w:rPr>
          <w:rFonts w:cs="Times New Roman"/>
          <w:lang w:val="fr-CA"/>
        </w:rPr>
        <w:t>il s</w:t>
      </w:r>
      <w:r>
        <w:rPr>
          <w:rFonts w:cs="Times New Roman"/>
          <w:lang w:val="fr-CA"/>
        </w:rPr>
        <w:t>’</w:t>
      </w:r>
      <w:r w:rsidRPr="00C5565E">
        <w:rPr>
          <w:rFonts w:cs="Times New Roman"/>
          <w:lang w:val="fr-CA"/>
        </w:rPr>
        <w:t>agit de décider si cette règle tirée de l</w:t>
      </w:r>
      <w:r>
        <w:rPr>
          <w:rFonts w:cs="Times New Roman"/>
          <w:lang w:val="fr-CA"/>
        </w:rPr>
        <w:t>’</w:t>
      </w:r>
      <w:r w:rsidRPr="00C5565E">
        <w:rPr>
          <w:rFonts w:cs="Times New Roman"/>
          <w:lang w:val="fr-CA"/>
        </w:rPr>
        <w:t xml:space="preserve">arrêt </w:t>
      </w:r>
      <w:r w:rsidRPr="00C5565E">
        <w:rPr>
          <w:rFonts w:cs="Times New Roman"/>
          <w:i/>
          <w:lang w:val="fr-CA"/>
        </w:rPr>
        <w:t>Adams</w:t>
      </w:r>
      <w:r w:rsidRPr="00C5565E">
        <w:rPr>
          <w:rFonts w:cs="Times New Roman"/>
          <w:lang w:val="fr-CA"/>
        </w:rPr>
        <w:t xml:space="preserve"> s</w:t>
      </w:r>
      <w:r>
        <w:rPr>
          <w:rFonts w:cs="Times New Roman"/>
          <w:lang w:val="fr-CA"/>
        </w:rPr>
        <w:t>’</w:t>
      </w:r>
      <w:r w:rsidRPr="00C5565E">
        <w:rPr>
          <w:rFonts w:cs="Times New Roman"/>
          <w:lang w:val="fr-CA"/>
        </w:rPr>
        <w:t>applique, je conviens que la première question à laquelle le tribunal doit répondre est de s</w:t>
      </w:r>
      <w:r>
        <w:rPr>
          <w:rFonts w:cs="Times New Roman"/>
          <w:lang w:val="fr-CA"/>
        </w:rPr>
        <w:t xml:space="preserve">avoir </w:t>
      </w:r>
      <w:r w:rsidRPr="00C5565E">
        <w:rPr>
          <w:rFonts w:cs="Times New Roman"/>
          <w:lang w:val="fr-CA"/>
        </w:rPr>
        <w:t>s</w:t>
      </w:r>
      <w:r>
        <w:rPr>
          <w:rFonts w:cs="Times New Roman"/>
          <w:lang w:val="fr-CA"/>
        </w:rPr>
        <w:t>’</w:t>
      </w:r>
      <w:r w:rsidRPr="00C5565E">
        <w:rPr>
          <w:rFonts w:cs="Times New Roman"/>
          <w:lang w:val="fr-CA"/>
        </w:rPr>
        <w:t xml:space="preserve">il y a eu changement important des circonstances </w:t>
      </w:r>
      <w:r>
        <w:rPr>
          <w:rFonts w:cs="Times New Roman"/>
          <w:lang w:val="fr-CA"/>
        </w:rPr>
        <w:t>depuis que l’ordonnance initiale a été rendue</w:t>
      </w:r>
      <w:r w:rsidRPr="00060362">
        <w:rPr>
          <w:rFonts w:cs="Times New Roman"/>
          <w:lang w:val="fr-CA"/>
        </w:rPr>
        <w:t xml:space="preserve"> (</w:t>
      </w:r>
      <w:r>
        <w:rPr>
          <w:rFonts w:cs="Times New Roman"/>
          <w:lang w:val="fr-CA"/>
        </w:rPr>
        <w:t>par. </w:t>
      </w:r>
      <w:r w:rsidRPr="00060362">
        <w:rPr>
          <w:rFonts w:cs="Times New Roman"/>
          <w:lang w:val="fr-CA"/>
        </w:rPr>
        <w:t xml:space="preserve">30). </w:t>
      </w:r>
      <w:r>
        <w:rPr>
          <w:rFonts w:cs="Times New Roman"/>
          <w:lang w:val="fr-CA"/>
        </w:rPr>
        <w:t>Le fardeau d’établir ce changement incombe à la partie qui sollicite une modification de l’ordonnance (voir, par analogie,</w:t>
      </w:r>
      <w:r w:rsidRPr="00060362">
        <w:rPr>
          <w:rFonts w:cs="Times New Roman"/>
          <w:lang w:val="fr-CA"/>
        </w:rPr>
        <w:t xml:space="preserve"> </w:t>
      </w:r>
      <w:r w:rsidRPr="00060362">
        <w:rPr>
          <w:rFonts w:cs="Times New Roman"/>
          <w:i/>
          <w:lang w:val="fr-CA"/>
        </w:rPr>
        <w:t>L.M.</w:t>
      </w:r>
      <w:r>
        <w:rPr>
          <w:rFonts w:cs="Times New Roman"/>
          <w:i/>
          <w:lang w:val="fr-CA"/>
        </w:rPr>
        <w:t>P. c</w:t>
      </w:r>
      <w:r w:rsidRPr="00060362">
        <w:rPr>
          <w:rFonts w:cs="Times New Roman"/>
          <w:i/>
          <w:lang w:val="fr-CA"/>
        </w:rPr>
        <w:t>. L.S.</w:t>
      </w:r>
      <w:r w:rsidRPr="00060362">
        <w:rPr>
          <w:rFonts w:cs="Times New Roman"/>
          <w:lang w:val="fr-CA"/>
        </w:rPr>
        <w:t xml:space="preserve">, 2011 </w:t>
      </w:r>
      <w:r>
        <w:rPr>
          <w:rFonts w:cs="Times New Roman"/>
          <w:lang w:val="fr-CA"/>
        </w:rPr>
        <w:t>CSC</w:t>
      </w:r>
      <w:r w:rsidRPr="00060362">
        <w:rPr>
          <w:rFonts w:cs="Times New Roman"/>
          <w:lang w:val="fr-CA"/>
        </w:rPr>
        <w:t xml:space="preserve"> 64, [2011] 3 </w:t>
      </w:r>
      <w:r>
        <w:rPr>
          <w:rFonts w:cs="Times New Roman"/>
          <w:lang w:val="fr-CA"/>
        </w:rPr>
        <w:t>R.C.S</w:t>
      </w:r>
      <w:r w:rsidRPr="00060362">
        <w:rPr>
          <w:rFonts w:cs="Times New Roman"/>
          <w:lang w:val="fr-CA"/>
        </w:rPr>
        <w:t xml:space="preserve">. 775, </w:t>
      </w:r>
      <w:r>
        <w:rPr>
          <w:rFonts w:cs="Times New Roman"/>
          <w:lang w:val="fr-CA"/>
        </w:rPr>
        <w:t>par. </w:t>
      </w:r>
      <w:r w:rsidRPr="00060362">
        <w:rPr>
          <w:rFonts w:cs="Times New Roman"/>
          <w:lang w:val="fr-CA"/>
        </w:rPr>
        <w:t xml:space="preserve">31). </w:t>
      </w:r>
      <w:r>
        <w:rPr>
          <w:rFonts w:cs="Times New Roman"/>
          <w:lang w:val="fr-CA"/>
        </w:rPr>
        <w:t xml:space="preserve">Cette partie doit établir à la fois qu’il y a eu changement de circonstances et que le changement, s’il avait été connu à l’époque de </w:t>
      </w:r>
      <w:r w:rsidRPr="00FD589D">
        <w:rPr>
          <w:rFonts w:cs="Times New Roman"/>
          <w:lang w:val="fr-CA"/>
        </w:rPr>
        <w:t>l</w:t>
      </w:r>
      <w:r>
        <w:rPr>
          <w:rFonts w:cs="Times New Roman"/>
          <w:lang w:val="fr-CA"/>
        </w:rPr>
        <w:t>’</w:t>
      </w:r>
      <w:r w:rsidRPr="00FD589D">
        <w:rPr>
          <w:rFonts w:cs="Times New Roman"/>
          <w:lang w:val="fr-CA"/>
        </w:rPr>
        <w:t>ordonnance initiale, se serait vraisemblablement traduit par une ordonnance aux conditions différentes (</w:t>
      </w:r>
      <w:r w:rsidRPr="00FD589D">
        <w:rPr>
          <w:rFonts w:cs="Times New Roman"/>
          <w:i/>
          <w:lang w:val="fr-CA"/>
        </w:rPr>
        <w:t>L.M.P.</w:t>
      </w:r>
      <w:r w:rsidRPr="00FD589D">
        <w:rPr>
          <w:rFonts w:cs="Times New Roman"/>
          <w:lang w:val="fr-CA"/>
        </w:rPr>
        <w:t xml:space="preserve">, </w:t>
      </w:r>
      <w:r>
        <w:rPr>
          <w:rFonts w:cs="Times New Roman"/>
          <w:lang w:val="fr-CA"/>
        </w:rPr>
        <w:t>par. </w:t>
      </w:r>
      <w:r w:rsidRPr="00FD589D">
        <w:rPr>
          <w:rFonts w:cs="Times New Roman"/>
          <w:lang w:val="fr-CA"/>
        </w:rPr>
        <w:t xml:space="preserve">32; </w:t>
      </w:r>
      <w:r w:rsidRPr="00FD589D">
        <w:rPr>
          <w:rFonts w:cs="Times New Roman"/>
          <w:i/>
          <w:lang w:val="fr-CA"/>
        </w:rPr>
        <w:t>Droit de la famille — 132380</w:t>
      </w:r>
      <w:r w:rsidRPr="00FD589D">
        <w:rPr>
          <w:rFonts w:cs="Times New Roman"/>
          <w:lang w:val="fr-CA"/>
        </w:rPr>
        <w:t xml:space="preserve">, 2013 QCCA 1504, 37 R.F.L. (7th) 1, </w:t>
      </w:r>
      <w:r>
        <w:rPr>
          <w:rFonts w:cs="Times New Roman"/>
          <w:lang w:val="fr-CA"/>
        </w:rPr>
        <w:t>par. </w:t>
      </w:r>
      <w:r w:rsidRPr="00FD589D">
        <w:rPr>
          <w:rFonts w:cs="Times New Roman"/>
          <w:lang w:val="fr-CA"/>
        </w:rPr>
        <w:t>75</w:t>
      </w:r>
      <w:r>
        <w:rPr>
          <w:rFonts w:cs="Times New Roman"/>
          <w:lang w:val="fr-CA"/>
        </w:rPr>
        <w:noBreakHyphen/>
      </w:r>
      <w:r w:rsidRPr="00FD589D">
        <w:rPr>
          <w:rFonts w:cs="Times New Roman"/>
          <w:lang w:val="fr-CA"/>
        </w:rPr>
        <w:t xml:space="preserve">76; </w:t>
      </w:r>
      <w:r w:rsidRPr="00FD589D">
        <w:rPr>
          <w:rFonts w:cs="Times New Roman"/>
          <w:i/>
          <w:lang w:val="fr-CA"/>
        </w:rPr>
        <w:t xml:space="preserve">R. c. </w:t>
      </w:r>
      <w:proofErr w:type="spellStart"/>
      <w:r w:rsidRPr="00FD589D">
        <w:rPr>
          <w:rFonts w:cs="Times New Roman"/>
          <w:i/>
          <w:lang w:val="fr-CA"/>
        </w:rPr>
        <w:t>Baltovitch</w:t>
      </w:r>
      <w:proofErr w:type="spellEnd"/>
      <w:r w:rsidRPr="00FD589D">
        <w:rPr>
          <w:rFonts w:cs="Times New Roman"/>
          <w:lang w:val="fr-CA"/>
        </w:rPr>
        <w:t xml:space="preserve"> (2000), 47 O.R. (3d) 761 (C.A.), </w:t>
      </w:r>
      <w:r>
        <w:rPr>
          <w:rFonts w:cs="Times New Roman"/>
          <w:lang w:val="fr-CA"/>
        </w:rPr>
        <w:t>par. </w:t>
      </w:r>
      <w:r w:rsidRPr="00FD589D">
        <w:rPr>
          <w:rFonts w:cs="Times New Roman"/>
          <w:lang w:val="fr-CA"/>
        </w:rPr>
        <w:t>6). La justesse de l</w:t>
      </w:r>
      <w:r>
        <w:rPr>
          <w:rFonts w:cs="Times New Roman"/>
          <w:lang w:val="fr-CA"/>
        </w:rPr>
        <w:t>’</w:t>
      </w:r>
      <w:r w:rsidRPr="00FD589D">
        <w:rPr>
          <w:rFonts w:cs="Times New Roman"/>
          <w:lang w:val="fr-CA"/>
        </w:rPr>
        <w:t>ordonnance initiale est présumée et n</w:t>
      </w:r>
      <w:r>
        <w:rPr>
          <w:rFonts w:cs="Times New Roman"/>
          <w:lang w:val="fr-CA"/>
        </w:rPr>
        <w:t>’</w:t>
      </w:r>
      <w:r w:rsidRPr="00FD589D">
        <w:rPr>
          <w:rFonts w:cs="Times New Roman"/>
          <w:lang w:val="fr-CA"/>
        </w:rPr>
        <w:t xml:space="preserve">est pas </w:t>
      </w:r>
      <w:r>
        <w:rPr>
          <w:rFonts w:cs="Times New Roman"/>
          <w:lang w:val="fr-CA"/>
        </w:rPr>
        <w:t>pertinente quant à l’existence d’un changement important de circonstances</w:t>
      </w:r>
      <w:r w:rsidRPr="00060362">
        <w:rPr>
          <w:rFonts w:cs="Times New Roman"/>
          <w:lang w:val="fr-CA"/>
        </w:rPr>
        <w:t xml:space="preserve"> (</w:t>
      </w:r>
      <w:r w:rsidRPr="00060362">
        <w:rPr>
          <w:rFonts w:cs="Times New Roman"/>
          <w:i/>
          <w:lang w:val="fr-CA"/>
        </w:rPr>
        <w:t>L.M.P.</w:t>
      </w:r>
      <w:r w:rsidRPr="00060362">
        <w:rPr>
          <w:rFonts w:cs="Times New Roman"/>
          <w:lang w:val="fr-CA"/>
        </w:rPr>
        <w:t xml:space="preserve">, </w:t>
      </w:r>
      <w:r>
        <w:rPr>
          <w:rFonts w:cs="Times New Roman"/>
          <w:lang w:val="fr-CA"/>
        </w:rPr>
        <w:t>par. </w:t>
      </w:r>
      <w:r w:rsidRPr="00060362">
        <w:rPr>
          <w:rFonts w:cs="Times New Roman"/>
          <w:lang w:val="fr-CA"/>
        </w:rPr>
        <w:t xml:space="preserve">33; </w:t>
      </w:r>
      <w:r w:rsidRPr="00060362">
        <w:rPr>
          <w:rFonts w:cs="Times New Roman"/>
          <w:i/>
          <w:lang w:val="fr-CA"/>
        </w:rPr>
        <w:t>Droit de la famille — 132</w:t>
      </w:r>
      <w:r>
        <w:rPr>
          <w:rFonts w:cs="Times New Roman"/>
          <w:i/>
          <w:lang w:val="fr-CA"/>
        </w:rPr>
        <w:t>380</w:t>
      </w:r>
      <w:r w:rsidRPr="00060362">
        <w:rPr>
          <w:rFonts w:cs="Times New Roman"/>
          <w:lang w:val="fr-CA"/>
        </w:rPr>
        <w:t xml:space="preserve">, </w:t>
      </w:r>
      <w:r>
        <w:rPr>
          <w:rFonts w:cs="Times New Roman"/>
          <w:lang w:val="fr-CA"/>
        </w:rPr>
        <w:t>par. </w:t>
      </w:r>
      <w:r w:rsidRPr="00060362">
        <w:rPr>
          <w:rFonts w:cs="Times New Roman"/>
          <w:lang w:val="fr-CA"/>
        </w:rPr>
        <w:t xml:space="preserve">78). </w:t>
      </w:r>
    </w:p>
    <w:p w:rsidR="009F09DA" w:rsidRPr="00060362" w:rsidRDefault="009F09DA" w:rsidP="009F09DA">
      <w:pPr>
        <w:pStyle w:val="ParaNoNdepar-AltN"/>
        <w:rPr>
          <w:rFonts w:cs="Times New Roman"/>
          <w:lang w:val="fr-CA"/>
        </w:rPr>
      </w:pPr>
      <w:r>
        <w:rPr>
          <w:rFonts w:cs="Times New Roman"/>
          <w:lang w:val="fr-CA"/>
        </w:rPr>
        <w:t xml:space="preserve">Les situations dans lesquelles un tribunal peut </w:t>
      </w:r>
      <w:proofErr w:type="gramStart"/>
      <w:r>
        <w:rPr>
          <w:rFonts w:cs="Times New Roman"/>
          <w:lang w:val="fr-CA"/>
        </w:rPr>
        <w:t>réexaminer</w:t>
      </w:r>
      <w:proofErr w:type="gramEnd"/>
      <w:r>
        <w:rPr>
          <w:rFonts w:cs="Times New Roman"/>
          <w:lang w:val="fr-CA"/>
        </w:rPr>
        <w:t xml:space="preserve"> une décision portant sur son dossier judiciaire</w:t>
      </w:r>
      <w:r w:rsidRPr="00060362">
        <w:rPr>
          <w:rFonts w:cs="Times New Roman"/>
          <w:lang w:val="fr-CA"/>
        </w:rPr>
        <w:t xml:space="preserve"> </w:t>
      </w:r>
      <w:r>
        <w:rPr>
          <w:rFonts w:cs="Times New Roman"/>
          <w:lang w:val="fr-CA"/>
        </w:rPr>
        <w:t xml:space="preserve">se distinguent de l’appel ou d’une demande de </w:t>
      </w:r>
      <w:r w:rsidRPr="00060362">
        <w:rPr>
          <w:rFonts w:cs="Times New Roman"/>
          <w:i/>
          <w:lang w:val="fr-CA"/>
        </w:rPr>
        <w:t xml:space="preserve">certiorari </w:t>
      </w:r>
      <w:r>
        <w:rPr>
          <w:rFonts w:cs="Times New Roman"/>
          <w:lang w:val="fr-CA"/>
        </w:rPr>
        <w:t>faits à une juridiction supérieure de ces décisions</w:t>
      </w:r>
      <w:r w:rsidRPr="00060362">
        <w:rPr>
          <w:rFonts w:cs="Times New Roman"/>
          <w:lang w:val="fr-CA"/>
        </w:rPr>
        <w:t xml:space="preserve"> (</w:t>
      </w:r>
      <w:r>
        <w:rPr>
          <w:rFonts w:cs="Times New Roman"/>
          <w:lang w:val="fr-CA"/>
        </w:rPr>
        <w:t xml:space="preserve">voir, en général, </w:t>
      </w:r>
      <w:r w:rsidRPr="00060362">
        <w:rPr>
          <w:rFonts w:cs="Times New Roman"/>
          <w:i/>
          <w:lang w:val="fr-CA"/>
        </w:rPr>
        <w:t>Dagenais</w:t>
      </w:r>
      <w:r w:rsidRPr="00060362">
        <w:rPr>
          <w:rFonts w:cs="Times New Roman"/>
          <w:lang w:val="fr-CA"/>
        </w:rPr>
        <w:t xml:space="preserve">, </w:t>
      </w:r>
      <w:r>
        <w:rPr>
          <w:rFonts w:cs="Times New Roman"/>
          <w:lang w:val="fr-CA"/>
        </w:rPr>
        <w:t>p. </w:t>
      </w:r>
      <w:r w:rsidRPr="00060362">
        <w:rPr>
          <w:rFonts w:cs="Times New Roman"/>
          <w:lang w:val="fr-CA"/>
        </w:rPr>
        <w:t>870</w:t>
      </w:r>
      <w:r>
        <w:rPr>
          <w:rFonts w:cs="Times New Roman"/>
          <w:lang w:val="fr-CA"/>
        </w:rPr>
        <w:noBreakHyphen/>
        <w:t>8</w:t>
      </w:r>
      <w:r w:rsidRPr="00060362">
        <w:rPr>
          <w:rFonts w:cs="Times New Roman"/>
          <w:lang w:val="fr-CA"/>
        </w:rPr>
        <w:t xml:space="preserve">72). </w:t>
      </w:r>
      <w:r w:rsidRPr="00C5565E">
        <w:rPr>
          <w:rFonts w:cs="Times New Roman"/>
          <w:lang w:val="fr-CA"/>
        </w:rPr>
        <w:t>Dans une motion en réexamen fondée sur les deux motifs décrits ci</w:t>
      </w:r>
      <w:r>
        <w:rPr>
          <w:rFonts w:cs="Times New Roman"/>
          <w:lang w:val="fr-CA"/>
        </w:rPr>
        <w:noBreakHyphen/>
      </w:r>
      <w:r w:rsidRPr="00C5565E">
        <w:rPr>
          <w:rFonts w:cs="Times New Roman"/>
          <w:lang w:val="fr-CA"/>
        </w:rPr>
        <w:t>dessus, on ne demande pas au tribunal d</w:t>
      </w:r>
      <w:r>
        <w:rPr>
          <w:rFonts w:cs="Times New Roman"/>
          <w:lang w:val="fr-CA"/>
        </w:rPr>
        <w:t>’</w:t>
      </w:r>
      <w:r w:rsidRPr="00C5565E">
        <w:rPr>
          <w:rFonts w:cs="Times New Roman"/>
          <w:lang w:val="fr-CA"/>
        </w:rPr>
        <w:t>origine de réexaminer sa décision parce qu</w:t>
      </w:r>
      <w:r>
        <w:rPr>
          <w:rFonts w:cs="Times New Roman"/>
          <w:lang w:val="fr-CA"/>
        </w:rPr>
        <w:t>’</w:t>
      </w:r>
      <w:r w:rsidRPr="00C5565E">
        <w:rPr>
          <w:rFonts w:cs="Times New Roman"/>
          <w:lang w:val="fr-CA"/>
        </w:rPr>
        <w:t>elle était erronée, mais plutôt parce qu</w:t>
      </w:r>
      <w:r>
        <w:rPr>
          <w:rFonts w:cs="Times New Roman"/>
          <w:lang w:val="fr-CA"/>
        </w:rPr>
        <w:t>’</w:t>
      </w:r>
      <w:r w:rsidRPr="00C5565E">
        <w:rPr>
          <w:rFonts w:cs="Times New Roman"/>
          <w:lang w:val="fr-CA"/>
        </w:rPr>
        <w:t>elle a été rendue en l</w:t>
      </w:r>
      <w:r>
        <w:rPr>
          <w:rFonts w:cs="Times New Roman"/>
          <w:lang w:val="fr-CA"/>
        </w:rPr>
        <w:t>’</w:t>
      </w:r>
      <w:r w:rsidRPr="00C5565E">
        <w:rPr>
          <w:rFonts w:cs="Times New Roman"/>
          <w:lang w:val="fr-CA"/>
        </w:rPr>
        <w:t>absence d</w:t>
      </w:r>
      <w:r>
        <w:rPr>
          <w:rFonts w:cs="Times New Roman"/>
          <w:lang w:val="fr-CA"/>
        </w:rPr>
        <w:t>’</w:t>
      </w:r>
      <w:r w:rsidRPr="00C5565E">
        <w:rPr>
          <w:rFonts w:cs="Times New Roman"/>
          <w:lang w:val="fr-CA"/>
        </w:rPr>
        <w:t>observations utiles de la part d</w:t>
      </w:r>
      <w:r>
        <w:rPr>
          <w:rFonts w:cs="Times New Roman"/>
          <w:lang w:val="fr-CA"/>
        </w:rPr>
        <w:t>’</w:t>
      </w:r>
      <w:r w:rsidRPr="00C5565E">
        <w:rPr>
          <w:rFonts w:cs="Times New Roman"/>
          <w:lang w:val="fr-CA"/>
        </w:rPr>
        <w:t xml:space="preserve">une partie touchée ou en </w:t>
      </w:r>
      <w:r>
        <w:rPr>
          <w:rFonts w:cs="Times New Roman"/>
          <w:lang w:val="fr-CA"/>
        </w:rPr>
        <w:t>raison d’un changement important des circonstances qui justifiaient la décision initiale</w:t>
      </w:r>
      <w:r w:rsidRPr="00060362">
        <w:rPr>
          <w:rFonts w:cs="Times New Roman"/>
          <w:lang w:val="fr-CA"/>
        </w:rPr>
        <w:t xml:space="preserve">. </w:t>
      </w:r>
    </w:p>
    <w:p w:rsidR="009F09DA" w:rsidRPr="00060362" w:rsidRDefault="009F09DA" w:rsidP="009F09DA">
      <w:pPr>
        <w:pStyle w:val="ParaNoNdepar-AltN"/>
        <w:rPr>
          <w:rFonts w:cs="Times New Roman"/>
          <w:lang w:val="fr-CA"/>
        </w:rPr>
      </w:pPr>
      <w:r>
        <w:rPr>
          <w:rFonts w:cs="Times New Roman"/>
          <w:lang w:val="fr-CA"/>
        </w:rPr>
        <w:t xml:space="preserve">Enfin, je souligne que les principes généraux examinés ici peuvent, bien entendu, être écartés par une mesure législative, par exemple les règles de procédure applicables, conçue pour décider plus </w:t>
      </w:r>
      <w:r w:rsidRPr="00FD589D">
        <w:rPr>
          <w:rFonts w:cs="Times New Roman"/>
          <w:lang w:val="fr-CA"/>
        </w:rPr>
        <w:t xml:space="preserve">exactement dans quelles circonstances il y a lieu de réexaminer des ordonnances portant sur la publicité des </w:t>
      </w:r>
      <w:r>
        <w:rPr>
          <w:rFonts w:cs="Times New Roman"/>
          <w:lang w:val="fr-CA"/>
        </w:rPr>
        <w:t>débats judiciaires</w:t>
      </w:r>
      <w:r w:rsidRPr="00060362">
        <w:rPr>
          <w:rFonts w:cs="Times New Roman"/>
          <w:lang w:val="fr-CA"/>
        </w:rPr>
        <w:t>.</w:t>
      </w:r>
    </w:p>
    <w:p w:rsidR="009F09DA" w:rsidRPr="00060362" w:rsidRDefault="009F09DA" w:rsidP="009F09DA">
      <w:pPr>
        <w:pStyle w:val="Title2LevelTitre2Niveau"/>
        <w:numPr>
          <w:ilvl w:val="1"/>
          <w:numId w:val="8"/>
        </w:numPr>
        <w:jc w:val="left"/>
        <w:rPr>
          <w:rFonts w:cs="Times New Roman"/>
          <w:lang w:val="fr-CA"/>
        </w:rPr>
      </w:pPr>
      <w:r w:rsidRPr="00060362">
        <w:rPr>
          <w:rFonts w:cs="Times New Roman"/>
          <w:lang w:val="fr-CA"/>
        </w:rPr>
        <w:t xml:space="preserve">Application </w:t>
      </w:r>
      <w:r>
        <w:rPr>
          <w:rFonts w:cs="Times New Roman"/>
          <w:lang w:val="fr-CA"/>
        </w:rPr>
        <w:t>aux faits de l’espèce</w:t>
      </w:r>
    </w:p>
    <w:p w:rsidR="009F09DA" w:rsidRPr="00060362" w:rsidRDefault="009F09DA" w:rsidP="009F09DA">
      <w:pPr>
        <w:pStyle w:val="Title3LevelTitre3Niveau"/>
        <w:numPr>
          <w:ilvl w:val="2"/>
          <w:numId w:val="8"/>
        </w:numPr>
        <w:rPr>
          <w:rFonts w:cs="Times New Roman"/>
          <w:lang w:val="fr-CA"/>
        </w:rPr>
      </w:pPr>
      <w:r>
        <w:rPr>
          <w:rFonts w:cs="Times New Roman"/>
          <w:lang w:val="fr-CA"/>
        </w:rPr>
        <w:t>La Cour d’appel a eu tort de conclure qu’elle n’avait pas compétence pour examiner la motion de la SRC</w:t>
      </w:r>
      <w:bookmarkEnd w:id="3"/>
    </w:p>
    <w:p w:rsidR="009F09DA" w:rsidRPr="00060362" w:rsidRDefault="009F09DA" w:rsidP="009F09DA">
      <w:pPr>
        <w:pStyle w:val="ParaNoNdepar-AltN"/>
        <w:rPr>
          <w:rFonts w:cs="Times New Roman"/>
          <w:lang w:val="fr-CA"/>
        </w:rPr>
      </w:pPr>
      <w:r w:rsidRPr="00C5565E">
        <w:rPr>
          <w:rFonts w:cs="Times New Roman"/>
          <w:lang w:val="fr-CA"/>
        </w:rPr>
        <w:t>En réponse à la question préliminaire qu</w:t>
      </w:r>
      <w:r>
        <w:rPr>
          <w:rFonts w:cs="Times New Roman"/>
          <w:lang w:val="fr-CA"/>
        </w:rPr>
        <w:t xml:space="preserve">’a </w:t>
      </w:r>
      <w:r w:rsidRPr="00C5565E">
        <w:rPr>
          <w:rFonts w:cs="Times New Roman"/>
          <w:lang w:val="fr-CA"/>
        </w:rPr>
        <w:t xml:space="preserve">soulevée le premier appel du </w:t>
      </w:r>
      <w:r w:rsidRPr="00FD589D">
        <w:rPr>
          <w:rFonts w:cs="Times New Roman"/>
          <w:lang w:val="fr-CA"/>
        </w:rPr>
        <w:t>jugement de 2019 sur la compétence</w:t>
      </w:r>
      <w:r w:rsidRPr="00C5565E">
        <w:rPr>
          <w:rFonts w:cs="Times New Roman"/>
          <w:lang w:val="fr-CA"/>
        </w:rPr>
        <w:t>, j</w:t>
      </w:r>
      <w:r>
        <w:rPr>
          <w:rFonts w:cs="Times New Roman"/>
          <w:lang w:val="fr-CA"/>
        </w:rPr>
        <w:t>’</w:t>
      </w:r>
      <w:r w:rsidRPr="00C5565E">
        <w:rPr>
          <w:rFonts w:cs="Times New Roman"/>
          <w:lang w:val="fr-CA"/>
        </w:rPr>
        <w:t xml:space="preserve">en viens </w:t>
      </w:r>
      <w:r>
        <w:rPr>
          <w:rFonts w:cs="Times New Roman"/>
          <w:lang w:val="fr-CA"/>
        </w:rPr>
        <w:t>maintenant à la question de savoir si la Cour d’appel a eu tort de conclure qu’elle n’avait pas compétence pour entendre la motion de la SRC sollicitant l’accès à l’affidavit de M</w:t>
      </w:r>
      <w:r w:rsidRPr="000D361E">
        <w:rPr>
          <w:rFonts w:cs="Times New Roman"/>
          <w:vertAlign w:val="superscript"/>
          <w:lang w:val="fr-CA"/>
        </w:rPr>
        <w:t>e</w:t>
      </w:r>
      <w:r>
        <w:rPr>
          <w:rFonts w:cs="Times New Roman"/>
          <w:lang w:val="fr-CA"/>
        </w:rPr>
        <w:t> Posner et l’annulation de l’interdiction de publication</w:t>
      </w:r>
      <w:r w:rsidRPr="00060362">
        <w:rPr>
          <w:rFonts w:cs="Times New Roman"/>
          <w:lang w:val="fr-CA"/>
        </w:rPr>
        <w:t>.</w:t>
      </w:r>
    </w:p>
    <w:p w:rsidR="009F09DA" w:rsidRPr="00060362" w:rsidRDefault="009F09DA" w:rsidP="009F09DA">
      <w:pPr>
        <w:pStyle w:val="ParaNoNdepar-AltN"/>
        <w:rPr>
          <w:rFonts w:cs="Times New Roman"/>
          <w:lang w:val="fr-CA"/>
        </w:rPr>
      </w:pPr>
      <w:r>
        <w:rPr>
          <w:rFonts w:cs="Times New Roman"/>
          <w:lang w:val="fr-CA"/>
        </w:rPr>
        <w:t>La SRC prétend que la Cour d’appel a fait erreur lorsqu’elle a décliné compétence sur le fondement de la règle du</w:t>
      </w:r>
      <w:r w:rsidRPr="00060362">
        <w:rPr>
          <w:rFonts w:cs="Times New Roman"/>
          <w:lang w:val="fr-CA"/>
        </w:rPr>
        <w:t xml:space="preserve"> </w:t>
      </w:r>
      <w:r w:rsidRPr="00060362">
        <w:rPr>
          <w:rFonts w:cs="Times New Roman"/>
          <w:i/>
          <w:lang w:val="fr-CA"/>
        </w:rPr>
        <w:t>functus officio</w:t>
      </w:r>
      <w:r w:rsidRPr="00060362">
        <w:rPr>
          <w:rFonts w:cs="Times New Roman"/>
          <w:lang w:val="fr-CA"/>
        </w:rPr>
        <w:t xml:space="preserve">. </w:t>
      </w:r>
      <w:r>
        <w:rPr>
          <w:rFonts w:cs="Times New Roman"/>
          <w:lang w:val="fr-CA"/>
        </w:rPr>
        <w:t>Selon la</w:t>
      </w:r>
      <w:r w:rsidRPr="00060362">
        <w:rPr>
          <w:rFonts w:cs="Times New Roman"/>
          <w:lang w:val="fr-CA"/>
        </w:rPr>
        <w:t xml:space="preserve"> </w:t>
      </w:r>
      <w:r>
        <w:rPr>
          <w:rFonts w:cs="Times New Roman"/>
          <w:lang w:val="fr-CA"/>
        </w:rPr>
        <w:t>SRC</w:t>
      </w:r>
      <w:r w:rsidRPr="00060362">
        <w:rPr>
          <w:rFonts w:cs="Times New Roman"/>
          <w:lang w:val="fr-CA"/>
        </w:rPr>
        <w:t xml:space="preserve">, </w:t>
      </w:r>
      <w:r>
        <w:rPr>
          <w:rFonts w:cs="Times New Roman"/>
          <w:lang w:val="fr-CA"/>
        </w:rPr>
        <w:t>l’approche souple à l’égard du</w:t>
      </w:r>
      <w:r w:rsidRPr="00060362">
        <w:rPr>
          <w:rFonts w:cs="Times New Roman"/>
          <w:lang w:val="fr-CA"/>
        </w:rPr>
        <w:t xml:space="preserve"> </w:t>
      </w:r>
      <w:r w:rsidRPr="00060362">
        <w:rPr>
          <w:rFonts w:cs="Times New Roman"/>
          <w:i/>
          <w:lang w:val="fr-CA"/>
        </w:rPr>
        <w:t>functus officio</w:t>
      </w:r>
      <w:r w:rsidRPr="00060362">
        <w:rPr>
          <w:rFonts w:cs="Times New Roman"/>
          <w:lang w:val="fr-CA"/>
        </w:rPr>
        <w:t xml:space="preserve"> </w:t>
      </w:r>
      <w:r>
        <w:rPr>
          <w:rFonts w:cs="Times New Roman"/>
          <w:lang w:val="fr-CA"/>
        </w:rPr>
        <w:t>dont il est question dans</w:t>
      </w:r>
      <w:r w:rsidRPr="00060362">
        <w:rPr>
          <w:rFonts w:cs="Times New Roman"/>
          <w:lang w:val="fr-CA"/>
        </w:rPr>
        <w:t xml:space="preserve"> </w:t>
      </w:r>
      <w:r w:rsidRPr="00060362">
        <w:rPr>
          <w:rFonts w:cs="Times New Roman"/>
          <w:i/>
          <w:lang w:val="fr-CA"/>
        </w:rPr>
        <w:t xml:space="preserve">Adams </w:t>
      </w:r>
      <w:r>
        <w:rPr>
          <w:rFonts w:cs="Times New Roman"/>
          <w:lang w:val="fr-CA"/>
        </w:rPr>
        <w:t>exige que les ordonnances accessoires, par exemple l’interdiction de publication en l’espèce, soient traitées séparément du fond de l’instance principale</w:t>
      </w:r>
      <w:r w:rsidRPr="00060362">
        <w:rPr>
          <w:rFonts w:cs="Times New Roman"/>
          <w:lang w:val="fr-CA"/>
        </w:rPr>
        <w:t xml:space="preserve">. </w:t>
      </w:r>
      <w:r>
        <w:rPr>
          <w:rFonts w:cs="Times New Roman"/>
          <w:lang w:val="fr-CA"/>
        </w:rPr>
        <w:t>Qui plus est, les circonstances dans lesquelles l’interdiction de publication a été prononcée avaient changé</w:t>
      </w:r>
      <w:r w:rsidRPr="00060362">
        <w:rPr>
          <w:rFonts w:cs="Times New Roman"/>
          <w:lang w:val="fr-CA"/>
        </w:rPr>
        <w:t xml:space="preserve">. </w:t>
      </w:r>
      <w:r>
        <w:rPr>
          <w:rFonts w:cs="Times New Roman"/>
          <w:lang w:val="fr-CA"/>
        </w:rPr>
        <w:t xml:space="preserve">L’interdiction a été prononcée sans avis aux parties touchées, et aucune mention de l’interdiction de publication n’avait été inscrite dans un certificat de décision. La SRC soutient qu’elle n’avait pas demandé que l’appel ou la motion fasse l’objet d’une « nouvelle audience » ce qui, elle le reconnaît, est interdit par les </w:t>
      </w:r>
      <w:r>
        <w:rPr>
          <w:rFonts w:cs="Times New Roman"/>
          <w:i/>
          <w:lang w:val="fr-CA"/>
        </w:rPr>
        <w:t>Règles de la Cour d’appel</w:t>
      </w:r>
      <w:r w:rsidRPr="00060362">
        <w:rPr>
          <w:rFonts w:cs="Times New Roman"/>
          <w:lang w:val="fr-CA"/>
        </w:rPr>
        <w:t xml:space="preserve">. </w:t>
      </w:r>
      <w:r>
        <w:rPr>
          <w:rFonts w:cs="Times New Roman"/>
          <w:lang w:val="fr-CA"/>
        </w:rPr>
        <w:t>Subsidiairement, même si l’interdiction des nouvelles audiences s’applique, elle doit être interprétée avec souplesse, à l’instar de la règle du</w:t>
      </w:r>
      <w:r w:rsidRPr="00060362">
        <w:rPr>
          <w:rFonts w:cs="Times New Roman"/>
          <w:lang w:val="fr-CA"/>
        </w:rPr>
        <w:t xml:space="preserve"> </w:t>
      </w:r>
      <w:r w:rsidRPr="00060362">
        <w:rPr>
          <w:rFonts w:cs="Times New Roman"/>
          <w:i/>
          <w:lang w:val="fr-CA"/>
        </w:rPr>
        <w:t>functus officio</w:t>
      </w:r>
      <w:r w:rsidRPr="00060362">
        <w:rPr>
          <w:rFonts w:cs="Times New Roman"/>
          <w:lang w:val="fr-CA"/>
        </w:rPr>
        <w:t>.</w:t>
      </w:r>
    </w:p>
    <w:p w:rsidR="009F09DA" w:rsidRPr="00060362" w:rsidRDefault="009F09DA" w:rsidP="009F09DA">
      <w:pPr>
        <w:pStyle w:val="ParaNoNdepar-AltN"/>
        <w:rPr>
          <w:rFonts w:cs="Times New Roman"/>
          <w:lang w:val="fr-CA"/>
        </w:rPr>
      </w:pPr>
      <w:r>
        <w:rPr>
          <w:rFonts w:cs="Times New Roman"/>
          <w:lang w:val="fr-CA"/>
        </w:rPr>
        <w:t xml:space="preserve">La Couronne répond que la Cour d’appel a statué à bon droit qu’elle n’avait pas </w:t>
      </w:r>
      <w:r w:rsidRPr="00FD589D">
        <w:rPr>
          <w:rFonts w:cs="Times New Roman"/>
          <w:lang w:val="fr-CA"/>
        </w:rPr>
        <w:t xml:space="preserve">compétence, vu que le jugement formel avait été inscrit. À son avis, la seule exception à la règle du </w:t>
      </w:r>
      <w:r w:rsidRPr="00FD589D">
        <w:rPr>
          <w:rFonts w:cs="Times New Roman"/>
          <w:i/>
          <w:iCs/>
          <w:lang w:val="fr-CA"/>
        </w:rPr>
        <w:t>functus officio</w:t>
      </w:r>
      <w:r w:rsidRPr="00FD589D">
        <w:rPr>
          <w:rFonts w:cs="Times New Roman"/>
          <w:lang w:val="fr-CA"/>
        </w:rPr>
        <w:t xml:space="preserve"> qui pourrait théoriquement s</w:t>
      </w:r>
      <w:r>
        <w:rPr>
          <w:rFonts w:cs="Times New Roman"/>
          <w:lang w:val="fr-CA"/>
        </w:rPr>
        <w:t>’</w:t>
      </w:r>
      <w:r w:rsidRPr="00FD589D">
        <w:rPr>
          <w:rFonts w:cs="Times New Roman"/>
          <w:lang w:val="fr-CA"/>
        </w:rPr>
        <w:t>appliquer en l</w:t>
      </w:r>
      <w:r>
        <w:rPr>
          <w:rFonts w:cs="Times New Roman"/>
          <w:lang w:val="fr-CA"/>
        </w:rPr>
        <w:t>’</w:t>
      </w:r>
      <w:r w:rsidRPr="00FD589D">
        <w:rPr>
          <w:rFonts w:cs="Times New Roman"/>
          <w:lang w:val="fr-CA"/>
        </w:rPr>
        <w:t xml:space="preserve">espèce est que les </w:t>
      </w:r>
      <w:r>
        <w:rPr>
          <w:rFonts w:cs="Times New Roman"/>
          <w:lang w:val="fr-CA"/>
        </w:rPr>
        <w:t xml:space="preserve">arguments </w:t>
      </w:r>
      <w:r w:rsidRPr="00FD589D">
        <w:rPr>
          <w:rFonts w:cs="Times New Roman"/>
          <w:lang w:val="fr-CA"/>
        </w:rPr>
        <w:t>de la SRC n</w:t>
      </w:r>
      <w:r>
        <w:rPr>
          <w:rFonts w:cs="Times New Roman"/>
          <w:lang w:val="fr-CA"/>
        </w:rPr>
        <w:t>’</w:t>
      </w:r>
      <w:r w:rsidRPr="00FD589D">
        <w:rPr>
          <w:rFonts w:cs="Times New Roman"/>
          <w:lang w:val="fr-CA"/>
        </w:rPr>
        <w:t>ont jamais été entendus sur le fond</w:t>
      </w:r>
      <w:r w:rsidRPr="00060362">
        <w:rPr>
          <w:rFonts w:cs="Times New Roman"/>
          <w:lang w:val="fr-CA"/>
        </w:rPr>
        <w:t xml:space="preserve">. </w:t>
      </w:r>
      <w:r>
        <w:rPr>
          <w:rFonts w:cs="Times New Roman"/>
          <w:lang w:val="fr-CA"/>
        </w:rPr>
        <w:t>Selon la Couronne, cette exception ne s’applique pas en l’espèce</w:t>
      </w:r>
      <w:r w:rsidRPr="00060362">
        <w:rPr>
          <w:rFonts w:cs="Times New Roman"/>
          <w:lang w:val="fr-CA"/>
        </w:rPr>
        <w:t xml:space="preserve">. </w:t>
      </w:r>
      <w:r>
        <w:rPr>
          <w:rFonts w:cs="Times New Roman"/>
          <w:lang w:val="fr-CA"/>
        </w:rPr>
        <w:t>Bien que la SRC n’ait pas présenté d’observations, elle couvrait l’affaire et aurait pu contester l’interdiction en tout temps entre le prononcé de l’interdiction de publication initiale en mai 2018 et l’inscription du certificat de décision en janvier 2019</w:t>
      </w:r>
      <w:r w:rsidRPr="00060362">
        <w:rPr>
          <w:rFonts w:cs="Times New Roman"/>
          <w:lang w:val="fr-CA"/>
        </w:rPr>
        <w:t xml:space="preserve">. </w:t>
      </w:r>
      <w:r>
        <w:rPr>
          <w:rFonts w:cs="Times New Roman"/>
          <w:lang w:val="fr-CA"/>
        </w:rPr>
        <w:t>La SRC n’explique pas correctement pourquoi elle a tardé à agir pour faire annuler l’interdiction de publication</w:t>
      </w:r>
      <w:r w:rsidRPr="00060362">
        <w:rPr>
          <w:rFonts w:cs="Times New Roman"/>
          <w:lang w:val="fr-CA"/>
        </w:rPr>
        <w:t xml:space="preserve">. </w:t>
      </w:r>
      <w:r>
        <w:rPr>
          <w:rFonts w:cs="Times New Roman"/>
          <w:lang w:val="fr-CA"/>
        </w:rPr>
        <w:t>Même si un changement important de circonstances permettrait à la Cour d’appel de réexaminer son ordonnance, il n’y a pas eu un tel changement en l’espèce</w:t>
      </w:r>
      <w:r w:rsidRPr="00060362">
        <w:rPr>
          <w:rFonts w:cs="Times New Roman"/>
          <w:lang w:val="fr-CA"/>
        </w:rPr>
        <w:t xml:space="preserve">. </w:t>
      </w:r>
      <w:r>
        <w:rPr>
          <w:rFonts w:cs="Times New Roman"/>
          <w:lang w:val="fr-CA"/>
        </w:rPr>
        <w:t>La compétence de la Cour d’appel sur l’affaire était épuisée</w:t>
      </w:r>
      <w:r w:rsidRPr="00060362">
        <w:rPr>
          <w:rFonts w:cs="Times New Roman"/>
          <w:lang w:val="fr-CA"/>
        </w:rPr>
        <w:t xml:space="preserve">. </w:t>
      </w:r>
    </w:p>
    <w:p w:rsidR="009F09DA" w:rsidRPr="00060362" w:rsidRDefault="009F09DA" w:rsidP="009F09DA">
      <w:pPr>
        <w:pStyle w:val="ParaNoNdepar-AltN"/>
        <w:rPr>
          <w:rFonts w:cs="Times New Roman"/>
          <w:lang w:val="fr-CA"/>
        </w:rPr>
      </w:pPr>
      <w:r>
        <w:rPr>
          <w:rFonts w:cs="Times New Roman"/>
          <w:lang w:val="fr-CA"/>
        </w:rPr>
        <w:t xml:space="preserve">Je suis d’accord avec la SRC pour dire que la Cour d’appel avait le pouvoir </w:t>
      </w:r>
      <w:r w:rsidRPr="00C5565E">
        <w:rPr>
          <w:rFonts w:cs="Times New Roman"/>
          <w:lang w:val="fr-CA"/>
        </w:rPr>
        <w:t xml:space="preserve">de confirmer, de modifier </w:t>
      </w:r>
      <w:r>
        <w:rPr>
          <w:rFonts w:cs="Times New Roman"/>
          <w:lang w:val="fr-CA"/>
        </w:rPr>
        <w:t>ou d’annuler l’interdiction de publication de 2018 et de donner ou de refuser accès au dossier judiciaire</w:t>
      </w:r>
      <w:r w:rsidRPr="00060362">
        <w:rPr>
          <w:rFonts w:cs="Times New Roman"/>
          <w:lang w:val="fr-CA"/>
        </w:rPr>
        <w:t xml:space="preserve">. </w:t>
      </w:r>
    </w:p>
    <w:p w:rsidR="009F09DA" w:rsidRPr="00060362" w:rsidRDefault="009F09DA" w:rsidP="009F09DA">
      <w:pPr>
        <w:pStyle w:val="ParaNoNdepar-AltN"/>
        <w:rPr>
          <w:rFonts w:cs="Times New Roman"/>
          <w:lang w:val="fr-CA"/>
        </w:rPr>
      </w:pPr>
      <w:r>
        <w:rPr>
          <w:rFonts w:cs="Times New Roman"/>
          <w:lang w:val="fr-CA"/>
        </w:rPr>
        <w:t xml:space="preserve">Il vaut mieux souligner d’entrée de jeu que la compétence en matière d’appel, </w:t>
      </w:r>
      <w:r w:rsidRPr="00FD589D">
        <w:rPr>
          <w:rFonts w:cs="Times New Roman"/>
          <w:lang w:val="fr-CA"/>
        </w:rPr>
        <w:t>comme celle qu</w:t>
      </w:r>
      <w:r>
        <w:rPr>
          <w:rFonts w:cs="Times New Roman"/>
          <w:lang w:val="fr-CA"/>
        </w:rPr>
        <w:t>’</w:t>
      </w:r>
      <w:r w:rsidRPr="00FD589D">
        <w:rPr>
          <w:rFonts w:cs="Times New Roman"/>
          <w:lang w:val="fr-CA"/>
        </w:rPr>
        <w:t>exerce la Cour d</w:t>
      </w:r>
      <w:r>
        <w:rPr>
          <w:rFonts w:cs="Times New Roman"/>
          <w:lang w:val="fr-CA"/>
        </w:rPr>
        <w:t>’</w:t>
      </w:r>
      <w:r w:rsidRPr="00FD589D">
        <w:rPr>
          <w:rFonts w:cs="Times New Roman"/>
          <w:lang w:val="fr-CA"/>
        </w:rPr>
        <w:t>appel dans l</w:t>
      </w:r>
      <w:r>
        <w:rPr>
          <w:rFonts w:cs="Times New Roman"/>
          <w:lang w:val="fr-CA"/>
        </w:rPr>
        <w:t>’</w:t>
      </w:r>
      <w:r w:rsidRPr="00FD589D">
        <w:rPr>
          <w:rFonts w:cs="Times New Roman"/>
          <w:lang w:val="fr-CA"/>
        </w:rPr>
        <w:t>instance inférieure, doit reposer sur la loi (</w:t>
      </w:r>
      <w:r w:rsidRPr="00FD589D">
        <w:rPr>
          <w:rFonts w:cs="Times New Roman"/>
          <w:i/>
          <w:shd w:val="clear" w:color="auto" w:fill="FFFFFF"/>
          <w:lang w:val="fr-CA"/>
        </w:rPr>
        <w:t xml:space="preserve">R. </w:t>
      </w:r>
      <w:r w:rsidRPr="00FD589D">
        <w:rPr>
          <w:rFonts w:cs="Times New Roman"/>
          <w:i/>
          <w:iCs/>
          <w:shd w:val="clear" w:color="auto" w:fill="FFFFFF"/>
          <w:lang w:val="fr-CA"/>
        </w:rPr>
        <w:t>c</w:t>
      </w:r>
      <w:r w:rsidRPr="00FD589D">
        <w:rPr>
          <w:rFonts w:cs="Times New Roman"/>
          <w:i/>
          <w:shd w:val="clear" w:color="auto" w:fill="FFFFFF"/>
          <w:lang w:val="fr-CA"/>
        </w:rPr>
        <w:t>. Smith</w:t>
      </w:r>
      <w:r w:rsidRPr="00FD589D">
        <w:rPr>
          <w:rFonts w:cs="Times New Roman"/>
          <w:shd w:val="clear" w:color="auto" w:fill="FFFFFF"/>
          <w:lang w:val="fr-CA"/>
        </w:rPr>
        <w:t>, 2004 CSC 14</w:t>
      </w:r>
      <w:r w:rsidRPr="00FD589D">
        <w:rPr>
          <w:rFonts w:cs="Times New Roman"/>
          <w:lang w:val="fr-CA"/>
        </w:rPr>
        <w:t xml:space="preserve">, </w:t>
      </w:r>
      <w:r w:rsidRPr="00FD589D">
        <w:rPr>
          <w:rFonts w:cs="Times New Roman"/>
          <w:shd w:val="clear" w:color="auto" w:fill="FFFFFF"/>
          <w:lang w:val="fr-CA"/>
        </w:rPr>
        <w:t xml:space="preserve">[2004] 1 R.C.S. 385, </w:t>
      </w:r>
      <w:r>
        <w:rPr>
          <w:rFonts w:cs="Times New Roman"/>
          <w:lang w:val="fr-CA"/>
        </w:rPr>
        <w:t>par. </w:t>
      </w:r>
      <w:r w:rsidRPr="00FD589D">
        <w:rPr>
          <w:rFonts w:cs="Times New Roman"/>
          <w:lang w:val="fr-CA"/>
        </w:rPr>
        <w:t>21). Outre les pouvoirs qui leur sont explicitement conférés, les tribunaux d</w:t>
      </w:r>
      <w:r>
        <w:rPr>
          <w:rFonts w:cs="Times New Roman"/>
          <w:lang w:val="fr-CA"/>
        </w:rPr>
        <w:t>’</w:t>
      </w:r>
      <w:r w:rsidRPr="00FD589D">
        <w:rPr>
          <w:rFonts w:cs="Times New Roman"/>
          <w:lang w:val="fr-CA"/>
        </w:rPr>
        <w:t>origine législative et les</w:t>
      </w:r>
      <w:r>
        <w:rPr>
          <w:rFonts w:cs="Times New Roman"/>
          <w:lang w:val="fr-CA"/>
        </w:rPr>
        <w:t xml:space="preserve"> cours </w:t>
      </w:r>
      <w:r w:rsidRPr="00FD589D">
        <w:rPr>
          <w:rFonts w:cs="Times New Roman"/>
          <w:lang w:val="fr-CA"/>
        </w:rPr>
        <w:t>d</w:t>
      </w:r>
      <w:r>
        <w:rPr>
          <w:rFonts w:cs="Times New Roman"/>
          <w:lang w:val="fr-CA"/>
        </w:rPr>
        <w:t>’</w:t>
      </w:r>
      <w:r w:rsidRPr="00FD589D">
        <w:rPr>
          <w:rFonts w:cs="Times New Roman"/>
          <w:lang w:val="fr-CA"/>
        </w:rPr>
        <w:t>appel ont la maîtrise implicite de leur propre procédure et d</w:t>
      </w:r>
      <w:r>
        <w:rPr>
          <w:rFonts w:cs="Times New Roman"/>
          <w:lang w:val="fr-CA"/>
        </w:rPr>
        <w:t>’</w:t>
      </w:r>
      <w:r w:rsidRPr="00FD589D">
        <w:rPr>
          <w:rFonts w:cs="Times New Roman"/>
          <w:lang w:val="fr-CA"/>
        </w:rPr>
        <w:t>autres pouvoirs qui sont de fait nécessaires à l</w:t>
      </w:r>
      <w:r>
        <w:rPr>
          <w:rFonts w:cs="Times New Roman"/>
          <w:lang w:val="fr-CA"/>
        </w:rPr>
        <w:t>’</w:t>
      </w:r>
      <w:r w:rsidRPr="00FD589D">
        <w:rPr>
          <w:rFonts w:cs="Times New Roman"/>
          <w:lang w:val="fr-CA"/>
        </w:rPr>
        <w:t xml:space="preserve">exercice du rôle que la loi leur </w:t>
      </w:r>
      <w:r>
        <w:rPr>
          <w:rFonts w:cs="Times New Roman"/>
          <w:lang w:val="fr-CA"/>
        </w:rPr>
        <w:t>confie</w:t>
      </w:r>
      <w:r w:rsidRPr="00FD589D">
        <w:rPr>
          <w:rFonts w:cs="Times New Roman"/>
          <w:lang w:val="fr-CA"/>
        </w:rPr>
        <w:t xml:space="preserve"> (</w:t>
      </w:r>
      <w:r w:rsidRPr="00FD589D">
        <w:rPr>
          <w:rFonts w:cs="Times New Roman"/>
          <w:i/>
          <w:shd w:val="clear" w:color="auto" w:fill="FFFFFF"/>
          <w:lang w:val="fr-CA"/>
        </w:rPr>
        <w:t xml:space="preserve">R. </w:t>
      </w:r>
      <w:r w:rsidRPr="00FD589D">
        <w:rPr>
          <w:rFonts w:cs="Times New Roman"/>
          <w:i/>
          <w:iCs/>
          <w:shd w:val="clear" w:color="auto" w:fill="FFFFFF"/>
          <w:lang w:val="fr-CA"/>
        </w:rPr>
        <w:t xml:space="preserve">c. </w:t>
      </w:r>
      <w:r w:rsidRPr="00FD589D">
        <w:rPr>
          <w:rFonts w:cs="Times New Roman"/>
          <w:i/>
          <w:shd w:val="clear" w:color="auto" w:fill="FFFFFF"/>
          <w:lang w:val="fr-CA"/>
        </w:rPr>
        <w:t>Cunningham</w:t>
      </w:r>
      <w:r w:rsidRPr="00FD589D">
        <w:rPr>
          <w:rFonts w:cs="Times New Roman"/>
          <w:shd w:val="clear" w:color="auto" w:fill="FFFFFF"/>
          <w:lang w:val="fr-CA"/>
        </w:rPr>
        <w:t>, 2010 CSC 10, [2010] 1 R.C.S. 331</w:t>
      </w:r>
      <w:r w:rsidRPr="00FD589D">
        <w:rPr>
          <w:rFonts w:cs="Times New Roman"/>
          <w:lang w:val="fr-CA"/>
        </w:rPr>
        <w:t xml:space="preserve">, </w:t>
      </w:r>
      <w:r>
        <w:rPr>
          <w:rFonts w:cs="Times New Roman"/>
          <w:lang w:val="fr-CA"/>
        </w:rPr>
        <w:t>par. </w:t>
      </w:r>
      <w:r w:rsidRPr="00FD589D">
        <w:rPr>
          <w:rFonts w:cs="Times New Roman"/>
          <w:lang w:val="fr-CA"/>
        </w:rPr>
        <w:t xml:space="preserve">19; </w:t>
      </w:r>
      <w:r w:rsidRPr="00FD589D">
        <w:rPr>
          <w:rFonts w:cs="Times New Roman"/>
          <w:i/>
          <w:lang w:val="fr-CA"/>
        </w:rPr>
        <w:t xml:space="preserve">Lochner c. Ontario </w:t>
      </w:r>
      <w:proofErr w:type="spellStart"/>
      <w:r w:rsidRPr="00FD589D">
        <w:rPr>
          <w:rFonts w:cs="Times New Roman"/>
          <w:i/>
          <w:lang w:val="fr-CA"/>
        </w:rPr>
        <w:t>Civilian</w:t>
      </w:r>
      <w:proofErr w:type="spellEnd"/>
      <w:r w:rsidRPr="00FD589D">
        <w:rPr>
          <w:rFonts w:cs="Times New Roman"/>
          <w:i/>
          <w:lang w:val="fr-CA"/>
        </w:rPr>
        <w:t xml:space="preserve"> Police Commission</w:t>
      </w:r>
      <w:r w:rsidRPr="00FD589D">
        <w:rPr>
          <w:rFonts w:cs="Times New Roman"/>
          <w:lang w:val="fr-CA"/>
        </w:rPr>
        <w:t xml:space="preserve">, 2020 ONCA 720, </w:t>
      </w:r>
      <w:r>
        <w:rPr>
          <w:rFonts w:cs="Times New Roman"/>
          <w:lang w:val="fr-CA"/>
        </w:rPr>
        <w:t>par. </w:t>
      </w:r>
      <w:r w:rsidRPr="00FD589D">
        <w:rPr>
          <w:rFonts w:cs="Times New Roman"/>
          <w:lang w:val="fr-CA"/>
        </w:rPr>
        <w:t xml:space="preserve">27 (CanLII)). Je suis </w:t>
      </w:r>
      <w:r>
        <w:rPr>
          <w:rFonts w:cs="Times New Roman"/>
          <w:lang w:val="fr-CA"/>
        </w:rPr>
        <w:t>d’accord avec le procureur général de la Colombie</w:t>
      </w:r>
      <w:r>
        <w:rPr>
          <w:rFonts w:cs="Times New Roman"/>
          <w:lang w:val="fr-CA"/>
        </w:rPr>
        <w:noBreakHyphen/>
        <w:t>Britannique pour dire qu’il est peut</w:t>
      </w:r>
      <w:r>
        <w:rPr>
          <w:rFonts w:cs="Times New Roman"/>
          <w:lang w:val="fr-CA"/>
        </w:rPr>
        <w:noBreakHyphen/>
        <w:t>être inutile de qualifier ce pouvoir implicite de [</w:t>
      </w:r>
      <w:r w:rsidRPr="00A61A42">
        <w:rPr>
          <w:rFonts w:cs="Times New Roman"/>
          <w:smallCaps/>
          <w:lang w:val="fr-CA"/>
        </w:rPr>
        <w:t>traduction</w:t>
      </w:r>
      <w:r>
        <w:rPr>
          <w:rFonts w:cs="Times New Roman"/>
          <w:lang w:val="fr-CA"/>
        </w:rPr>
        <w:t>] « compétence inhérente », vu que les pouvoirs en matière d’appel prennent leur source, en définitive, dans la loi</w:t>
      </w:r>
      <w:r w:rsidRPr="00060362">
        <w:rPr>
          <w:rFonts w:cs="Times New Roman"/>
          <w:lang w:val="fr-CA"/>
        </w:rPr>
        <w:t xml:space="preserve"> (transcript</w:t>
      </w:r>
      <w:r>
        <w:rPr>
          <w:rFonts w:cs="Times New Roman"/>
          <w:lang w:val="fr-CA"/>
        </w:rPr>
        <w:t>ion</w:t>
      </w:r>
      <w:r w:rsidRPr="00060362">
        <w:rPr>
          <w:rFonts w:cs="Times New Roman"/>
          <w:lang w:val="fr-CA"/>
        </w:rPr>
        <w:t xml:space="preserve">, </w:t>
      </w:r>
      <w:r>
        <w:rPr>
          <w:rFonts w:cs="Times New Roman"/>
          <w:lang w:val="fr-CA"/>
        </w:rPr>
        <w:t>p. </w:t>
      </w:r>
      <w:r w:rsidRPr="00060362">
        <w:rPr>
          <w:rFonts w:cs="Times New Roman"/>
          <w:lang w:val="fr-CA"/>
        </w:rPr>
        <w:t>100</w:t>
      </w:r>
      <w:r>
        <w:rPr>
          <w:rFonts w:cs="Times New Roman"/>
          <w:lang w:val="fr-CA"/>
        </w:rPr>
        <w:noBreakHyphen/>
      </w:r>
      <w:r w:rsidRPr="00060362">
        <w:rPr>
          <w:rFonts w:cs="Times New Roman"/>
          <w:lang w:val="fr-CA"/>
        </w:rPr>
        <w:t>101).</w:t>
      </w:r>
    </w:p>
    <w:p w:rsidR="009F09DA" w:rsidRPr="00060362" w:rsidRDefault="009F09DA" w:rsidP="009F09DA">
      <w:pPr>
        <w:pStyle w:val="ParaNoNdepar-AltN"/>
        <w:rPr>
          <w:rFonts w:cs="Times New Roman"/>
          <w:lang w:val="fr-CA"/>
        </w:rPr>
      </w:pPr>
      <w:r>
        <w:rPr>
          <w:rFonts w:cs="Times New Roman"/>
          <w:lang w:val="fr-CA"/>
        </w:rPr>
        <w:t>Le fondement législatif de la compétence de la Cour d’appel à l’égard de la motion portant sur la publicité des débats judiciaires est manifeste en l’espèce</w:t>
      </w:r>
      <w:r w:rsidRPr="00060362">
        <w:rPr>
          <w:rFonts w:cs="Times New Roman"/>
          <w:lang w:val="fr-CA"/>
        </w:rPr>
        <w:t xml:space="preserve">. </w:t>
      </w:r>
      <w:r>
        <w:rPr>
          <w:rFonts w:cs="Times New Roman"/>
          <w:lang w:val="fr-CA"/>
        </w:rPr>
        <w:t xml:space="preserve">Comme je l’ai évoqué précédemment, le pouvoir de surveillance à l’égard du dossier judiciaire est une </w:t>
      </w:r>
      <w:r w:rsidRPr="00FD589D">
        <w:rPr>
          <w:rFonts w:cs="Times New Roman"/>
          <w:lang w:val="fr-CA"/>
        </w:rPr>
        <w:t>caractéristique de tous les tribunaux (</w:t>
      </w:r>
      <w:r w:rsidRPr="00FD589D">
        <w:rPr>
          <w:rFonts w:cs="Times New Roman"/>
          <w:i/>
          <w:lang w:val="fr-CA"/>
        </w:rPr>
        <w:t>MacIntyre</w:t>
      </w:r>
      <w:r w:rsidRPr="00FD589D">
        <w:rPr>
          <w:rFonts w:cs="Times New Roman"/>
          <w:lang w:val="fr-CA"/>
        </w:rPr>
        <w:t xml:space="preserve">, </w:t>
      </w:r>
      <w:r>
        <w:rPr>
          <w:rFonts w:cs="Times New Roman"/>
          <w:lang w:val="fr-CA"/>
        </w:rPr>
        <w:t>p. </w:t>
      </w:r>
      <w:r w:rsidRPr="00FD589D">
        <w:rPr>
          <w:rFonts w:cs="Times New Roman"/>
          <w:lang w:val="fr-CA"/>
        </w:rPr>
        <w:t>189) et ceci vaut autant pour une cour d</w:t>
      </w:r>
      <w:r>
        <w:rPr>
          <w:rFonts w:cs="Times New Roman"/>
          <w:lang w:val="fr-CA"/>
        </w:rPr>
        <w:t>’</w:t>
      </w:r>
      <w:r w:rsidRPr="00FD589D">
        <w:rPr>
          <w:rFonts w:cs="Times New Roman"/>
          <w:lang w:val="fr-CA"/>
        </w:rPr>
        <w:t>appel. Dans le cadre de la maîtrise par le tribunal de sa propre</w:t>
      </w:r>
      <w:r w:rsidRPr="00C5565E">
        <w:rPr>
          <w:rFonts w:cs="Times New Roman"/>
          <w:lang w:val="fr-CA"/>
        </w:rPr>
        <w:t xml:space="preserve"> procédure, </w:t>
      </w:r>
      <w:r>
        <w:rPr>
          <w:rFonts w:cs="Times New Roman"/>
          <w:lang w:val="fr-CA"/>
        </w:rPr>
        <w:t xml:space="preserve">le pouvoir à l’égard de la transparence de l’instance </w:t>
      </w:r>
      <w:r w:rsidRPr="00C5565E">
        <w:rPr>
          <w:rFonts w:cs="Times New Roman"/>
          <w:lang w:val="fr-CA"/>
        </w:rPr>
        <w:t>et du dossier judiciaire découle en l</w:t>
      </w:r>
      <w:r>
        <w:rPr>
          <w:rFonts w:cs="Times New Roman"/>
          <w:lang w:val="fr-CA"/>
        </w:rPr>
        <w:t>’</w:t>
      </w:r>
      <w:r w:rsidRPr="00C5565E">
        <w:rPr>
          <w:rFonts w:cs="Times New Roman"/>
          <w:lang w:val="fr-CA"/>
        </w:rPr>
        <w:t xml:space="preserve">espèce, par déduction </w:t>
      </w:r>
      <w:r>
        <w:rPr>
          <w:rFonts w:cs="Times New Roman"/>
          <w:lang w:val="fr-CA"/>
        </w:rPr>
        <w:t>nécessaire, de l’octroi par voie législative du pouvoir juridictionnel de la cour d’appel</w:t>
      </w:r>
      <w:r w:rsidRPr="00060362">
        <w:rPr>
          <w:rFonts w:cs="Times New Roman"/>
          <w:lang w:val="fr-CA"/>
        </w:rPr>
        <w:t xml:space="preserve"> (</w:t>
      </w:r>
      <w:r>
        <w:rPr>
          <w:rFonts w:cs="Times New Roman"/>
          <w:lang w:val="fr-CA"/>
        </w:rPr>
        <w:t xml:space="preserve">voir, en général, </w:t>
      </w:r>
      <w:r w:rsidRPr="00060362">
        <w:rPr>
          <w:rFonts w:cs="Times New Roman"/>
          <w:i/>
          <w:lang w:val="fr-CA"/>
        </w:rPr>
        <w:t>Cunningham</w:t>
      </w:r>
      <w:r w:rsidRPr="00060362">
        <w:rPr>
          <w:rFonts w:cs="Times New Roman"/>
          <w:lang w:val="fr-CA"/>
        </w:rPr>
        <w:t xml:space="preserve">, </w:t>
      </w:r>
      <w:r>
        <w:rPr>
          <w:rFonts w:cs="Times New Roman"/>
          <w:lang w:val="fr-CA"/>
        </w:rPr>
        <w:t>par. </w:t>
      </w:r>
      <w:r w:rsidRPr="00060362">
        <w:rPr>
          <w:rFonts w:cs="Times New Roman"/>
          <w:lang w:val="fr-CA"/>
        </w:rPr>
        <w:t xml:space="preserve">19). </w:t>
      </w:r>
      <w:r>
        <w:rPr>
          <w:rFonts w:cs="Times New Roman"/>
          <w:lang w:val="fr-CA"/>
        </w:rPr>
        <w:t>Par la force des choses sur le plan de la procédure</w:t>
      </w:r>
      <w:r w:rsidRPr="00060362">
        <w:rPr>
          <w:rFonts w:cs="Times New Roman"/>
          <w:lang w:val="fr-CA"/>
        </w:rPr>
        <w:t xml:space="preserve"> — </w:t>
      </w:r>
      <w:r>
        <w:rPr>
          <w:rFonts w:cs="Times New Roman"/>
          <w:lang w:val="fr-CA"/>
        </w:rPr>
        <w:t>une interdiction de publication ou une ordonnance de mise sous scellés peut demeurer en place longtemps après qu’il a été statué sur le fond de l’appel</w:t>
      </w:r>
      <w:r w:rsidRPr="00060362">
        <w:rPr>
          <w:rFonts w:cs="Times New Roman"/>
          <w:lang w:val="fr-CA"/>
        </w:rPr>
        <w:t xml:space="preserve"> — </w:t>
      </w:r>
      <w:r>
        <w:rPr>
          <w:rFonts w:cs="Times New Roman"/>
          <w:lang w:val="fr-CA"/>
        </w:rPr>
        <w:t>cette compétence subsiste même après que le jugement formel sur le bien</w:t>
      </w:r>
      <w:r>
        <w:rPr>
          <w:rFonts w:cs="Times New Roman"/>
          <w:lang w:val="fr-CA"/>
        </w:rPr>
        <w:noBreakHyphen/>
        <w:t xml:space="preserve">fondé d’un appel donné a été inscrit, à moins qu’elle n’ait été écartée par un texte </w:t>
      </w:r>
      <w:r w:rsidRPr="00FD589D">
        <w:rPr>
          <w:rFonts w:cs="Times New Roman"/>
          <w:lang w:val="fr-CA"/>
        </w:rPr>
        <w:t>législatif. En conséquence, la Cour d</w:t>
      </w:r>
      <w:r>
        <w:rPr>
          <w:rFonts w:cs="Times New Roman"/>
          <w:lang w:val="fr-CA"/>
        </w:rPr>
        <w:t>’</w:t>
      </w:r>
      <w:r w:rsidRPr="00FD589D">
        <w:rPr>
          <w:rFonts w:cs="Times New Roman"/>
          <w:lang w:val="fr-CA"/>
        </w:rPr>
        <w:t>appel avait encore le pouvoir accessoire d</w:t>
      </w:r>
      <w:r>
        <w:rPr>
          <w:rFonts w:cs="Times New Roman"/>
          <w:lang w:val="fr-CA"/>
        </w:rPr>
        <w:t>’</w:t>
      </w:r>
      <w:r w:rsidRPr="00FD589D">
        <w:rPr>
          <w:rFonts w:cs="Times New Roman"/>
          <w:lang w:val="fr-CA"/>
        </w:rPr>
        <w:t xml:space="preserve">examiner la motion de la SRC visant les ordonnances de mise sous scellés et les interdictions de publication. Ceci comprenait </w:t>
      </w:r>
      <w:r>
        <w:rPr>
          <w:rFonts w:cs="Times New Roman"/>
          <w:lang w:val="fr-CA"/>
        </w:rPr>
        <w:t>la compétence implicite pour modifier ou annuler ses ordonnances limitant la publicité des débats judiciaires conformément aux principes de common law examinés ci</w:t>
      </w:r>
      <w:r>
        <w:rPr>
          <w:rFonts w:cs="Times New Roman"/>
          <w:lang w:val="fr-CA"/>
        </w:rPr>
        <w:noBreakHyphen/>
        <w:t>dessus</w:t>
      </w:r>
      <w:r w:rsidRPr="00060362">
        <w:rPr>
          <w:rFonts w:cs="Times New Roman"/>
          <w:lang w:val="fr-CA"/>
        </w:rPr>
        <w:t xml:space="preserve">. </w:t>
      </w:r>
      <w:r>
        <w:rPr>
          <w:rFonts w:cs="Times New Roman"/>
          <w:lang w:val="fr-CA"/>
        </w:rPr>
        <w:t>La seule question qui demeure est celle de savoir si des textes législatifs applicables limitent cette compétence de la Cour d’appel en l’espèce</w:t>
      </w:r>
      <w:r w:rsidRPr="00060362">
        <w:rPr>
          <w:rFonts w:cs="Times New Roman"/>
          <w:lang w:val="fr-CA"/>
        </w:rPr>
        <w:t>.</w:t>
      </w:r>
    </w:p>
    <w:p w:rsidR="009F09DA" w:rsidRPr="00060362" w:rsidRDefault="009F09DA" w:rsidP="009F09DA">
      <w:pPr>
        <w:pStyle w:val="ParaNoNdepar-AltN"/>
        <w:rPr>
          <w:rFonts w:cs="Times New Roman"/>
          <w:lang w:val="fr-CA"/>
        </w:rPr>
      </w:pPr>
      <w:r>
        <w:rPr>
          <w:rFonts w:cs="Times New Roman"/>
          <w:lang w:val="fr-CA"/>
        </w:rPr>
        <w:t>Les</w:t>
      </w:r>
      <w:r w:rsidRPr="00060362">
        <w:rPr>
          <w:rFonts w:cs="Times New Roman"/>
          <w:lang w:val="fr-CA"/>
        </w:rPr>
        <w:t xml:space="preserve"> </w:t>
      </w:r>
      <w:r>
        <w:rPr>
          <w:rFonts w:cs="Times New Roman"/>
          <w:i/>
          <w:lang w:val="fr-CA"/>
        </w:rPr>
        <w:t>Règles de la Cour d’appel</w:t>
      </w:r>
      <w:r w:rsidRPr="00060362">
        <w:rPr>
          <w:rFonts w:cs="Times New Roman"/>
          <w:lang w:val="fr-CA"/>
        </w:rPr>
        <w:t xml:space="preserve"> </w:t>
      </w:r>
      <w:r>
        <w:rPr>
          <w:rFonts w:cs="Times New Roman"/>
          <w:lang w:val="fr-CA"/>
        </w:rPr>
        <w:t>interdisent effectivement qu’un « appel [soit] entendu de nouveau »</w:t>
      </w:r>
      <w:r w:rsidRPr="00060362">
        <w:rPr>
          <w:rFonts w:cs="Times New Roman"/>
          <w:lang w:val="fr-CA"/>
        </w:rPr>
        <w:t xml:space="preserve"> (</w:t>
      </w:r>
      <w:r>
        <w:rPr>
          <w:rFonts w:cs="Times New Roman"/>
          <w:lang w:val="fr-CA"/>
        </w:rPr>
        <w:t>en anglais, « </w:t>
      </w:r>
      <w:r w:rsidRPr="00E217E1">
        <w:rPr>
          <w:rFonts w:cs="Times New Roman"/>
          <w:i/>
          <w:lang w:val="fr-CA"/>
        </w:rPr>
        <w:t>[the</w:t>
      </w:r>
      <w:r>
        <w:rPr>
          <w:rFonts w:cs="Times New Roman"/>
          <w:i/>
          <w:lang w:val="fr-CA"/>
        </w:rPr>
        <w:t>]</w:t>
      </w:r>
      <w:r>
        <w:rPr>
          <w:rFonts w:cs="Times New Roman"/>
          <w:lang w:val="fr-CA"/>
        </w:rPr>
        <w:t xml:space="preserve"> </w:t>
      </w:r>
      <w:proofErr w:type="spellStart"/>
      <w:r w:rsidRPr="00BE71D1">
        <w:rPr>
          <w:rFonts w:cs="Times New Roman"/>
          <w:i/>
          <w:iCs/>
          <w:lang w:val="fr-CA"/>
        </w:rPr>
        <w:t>rehearing</w:t>
      </w:r>
      <w:proofErr w:type="spellEnd"/>
      <w:r w:rsidRPr="00BE71D1">
        <w:rPr>
          <w:rFonts w:cs="Times New Roman"/>
          <w:i/>
          <w:iCs/>
          <w:lang w:val="fr-CA"/>
        </w:rPr>
        <w:t xml:space="preserve"> of an appeal</w:t>
      </w:r>
      <w:r>
        <w:rPr>
          <w:rFonts w:cs="Times New Roman"/>
          <w:lang w:val="fr-CA"/>
        </w:rPr>
        <w:t> »</w:t>
      </w:r>
      <w:r w:rsidRPr="00060362">
        <w:rPr>
          <w:rFonts w:cs="Times New Roman"/>
          <w:lang w:val="fr-CA"/>
        </w:rPr>
        <w:t xml:space="preserve">) </w:t>
      </w:r>
      <w:r>
        <w:rPr>
          <w:rFonts w:cs="Times New Roman"/>
          <w:lang w:val="fr-CA"/>
        </w:rPr>
        <w:t>après que le certificat de décision</w:t>
      </w:r>
      <w:r w:rsidRPr="00060362">
        <w:rPr>
          <w:rFonts w:cs="Times New Roman"/>
          <w:lang w:val="fr-CA"/>
        </w:rPr>
        <w:t xml:space="preserve"> </w:t>
      </w:r>
      <w:r>
        <w:rPr>
          <w:rFonts w:cs="Times New Roman"/>
          <w:lang w:val="fr-CA"/>
        </w:rPr>
        <w:t>ait été inscrit</w:t>
      </w:r>
      <w:r w:rsidRPr="00060362">
        <w:rPr>
          <w:rFonts w:cs="Times New Roman"/>
          <w:lang w:val="fr-CA"/>
        </w:rPr>
        <w:t xml:space="preserve">, </w:t>
      </w:r>
      <w:r>
        <w:rPr>
          <w:rFonts w:cs="Times New Roman"/>
          <w:lang w:val="fr-CA"/>
        </w:rPr>
        <w:t>une règle sur laquelle la Cour d’appel s’est appuyée en l’espèce</w:t>
      </w:r>
      <w:r w:rsidRPr="00060362">
        <w:rPr>
          <w:rFonts w:cs="Times New Roman"/>
          <w:lang w:val="fr-CA"/>
        </w:rPr>
        <w:t xml:space="preserve"> (</w:t>
      </w:r>
      <w:r>
        <w:rPr>
          <w:rFonts w:cs="Times New Roman"/>
          <w:lang w:val="fr-CA"/>
        </w:rPr>
        <w:t>par. </w:t>
      </w:r>
      <w:r w:rsidRPr="00060362">
        <w:rPr>
          <w:rFonts w:cs="Times New Roman"/>
          <w:lang w:val="fr-CA"/>
        </w:rPr>
        <w:t xml:space="preserve">46.2(1) </w:t>
      </w:r>
      <w:r>
        <w:rPr>
          <w:rFonts w:cs="Times New Roman"/>
          <w:lang w:val="fr-CA"/>
        </w:rPr>
        <w:t>et</w:t>
      </w:r>
      <w:r w:rsidRPr="00060362">
        <w:rPr>
          <w:rFonts w:cs="Times New Roman"/>
          <w:lang w:val="fr-CA"/>
        </w:rPr>
        <w:t xml:space="preserve"> (2), applicable</w:t>
      </w:r>
      <w:r>
        <w:rPr>
          <w:rFonts w:cs="Times New Roman"/>
          <w:lang w:val="fr-CA"/>
        </w:rPr>
        <w:t>s</w:t>
      </w:r>
      <w:r w:rsidRPr="00060362">
        <w:rPr>
          <w:rFonts w:cs="Times New Roman"/>
          <w:lang w:val="fr-CA"/>
        </w:rPr>
        <w:t xml:space="preserve"> </w:t>
      </w:r>
      <w:r>
        <w:rPr>
          <w:rFonts w:cs="Times New Roman"/>
          <w:lang w:val="fr-CA"/>
        </w:rPr>
        <w:t>en raison de la règle </w:t>
      </w:r>
      <w:r w:rsidRPr="00060362">
        <w:rPr>
          <w:lang w:val="fr-CA"/>
        </w:rPr>
        <w:t xml:space="preserve">45 </w:t>
      </w:r>
      <w:r>
        <w:rPr>
          <w:lang w:val="fr-CA"/>
        </w:rPr>
        <w:t>des</w:t>
      </w:r>
      <w:r w:rsidRPr="00060362">
        <w:rPr>
          <w:lang w:val="fr-CA"/>
        </w:rPr>
        <w:t xml:space="preserve"> </w:t>
      </w:r>
      <w:r w:rsidRPr="005D1779">
        <w:rPr>
          <w:i/>
          <w:lang w:val="fr-CA"/>
        </w:rPr>
        <w:t>Règles de procédure de la cour d</w:t>
      </w:r>
      <w:r>
        <w:rPr>
          <w:i/>
          <w:lang w:val="fr-CA"/>
        </w:rPr>
        <w:t>’</w:t>
      </w:r>
      <w:r w:rsidRPr="005D1779">
        <w:rPr>
          <w:i/>
          <w:lang w:val="fr-CA"/>
        </w:rPr>
        <w:t>appel du Manitoba en matière criminelle</w:t>
      </w:r>
      <w:r w:rsidRPr="00060362">
        <w:rPr>
          <w:lang w:val="fr-CA"/>
        </w:rPr>
        <w:t xml:space="preserve">, </w:t>
      </w:r>
      <w:r>
        <w:rPr>
          <w:lang w:val="fr-CA"/>
        </w:rPr>
        <w:t>TR</w:t>
      </w:r>
      <w:r w:rsidRPr="00060362">
        <w:rPr>
          <w:lang w:val="fr-CA"/>
        </w:rPr>
        <w:t>/92</w:t>
      </w:r>
      <w:r>
        <w:rPr>
          <w:lang w:val="fr-CA"/>
        </w:rPr>
        <w:noBreakHyphen/>
      </w:r>
      <w:r w:rsidRPr="00060362">
        <w:rPr>
          <w:lang w:val="fr-CA"/>
        </w:rPr>
        <w:t>106</w:t>
      </w:r>
      <w:r w:rsidRPr="00060362">
        <w:rPr>
          <w:rFonts w:cs="Times New Roman"/>
          <w:lang w:val="fr-CA"/>
        </w:rPr>
        <w:t xml:space="preserve">). </w:t>
      </w:r>
      <w:r>
        <w:rPr>
          <w:rFonts w:cs="Times New Roman"/>
          <w:lang w:val="fr-CA"/>
        </w:rPr>
        <w:t>Cette règle interdit également que les motions « </w:t>
      </w:r>
      <w:proofErr w:type="gramStart"/>
      <w:r>
        <w:rPr>
          <w:rFonts w:cs="Times New Roman"/>
          <w:lang w:val="fr-CA"/>
        </w:rPr>
        <w:t>fa</w:t>
      </w:r>
      <w:r w:rsidRPr="00304055">
        <w:rPr>
          <w:rFonts w:cs="Times New Roman"/>
          <w:lang w:val="fr-CA"/>
        </w:rPr>
        <w:t>[</w:t>
      </w:r>
      <w:proofErr w:type="spellStart"/>
      <w:proofErr w:type="gramEnd"/>
      <w:r>
        <w:rPr>
          <w:rFonts w:cs="Times New Roman"/>
          <w:lang w:val="fr-CA"/>
        </w:rPr>
        <w:t>ssent</w:t>
      </w:r>
      <w:proofErr w:type="spellEnd"/>
      <w:r>
        <w:rPr>
          <w:rFonts w:cs="Times New Roman"/>
          <w:lang w:val="fr-CA"/>
        </w:rPr>
        <w:t xml:space="preserve">] </w:t>
      </w:r>
      <w:r w:rsidRPr="005D1779">
        <w:rPr>
          <w:rFonts w:cs="Times New Roman"/>
          <w:lang w:val="fr-CA"/>
        </w:rPr>
        <w:t>l</w:t>
      </w:r>
      <w:r>
        <w:rPr>
          <w:rFonts w:cs="Times New Roman"/>
          <w:lang w:val="fr-CA"/>
        </w:rPr>
        <w:t>’</w:t>
      </w:r>
      <w:r w:rsidRPr="005D1779">
        <w:rPr>
          <w:rFonts w:cs="Times New Roman"/>
          <w:lang w:val="fr-CA"/>
        </w:rPr>
        <w:t>objet d</w:t>
      </w:r>
      <w:r>
        <w:rPr>
          <w:rFonts w:cs="Times New Roman"/>
          <w:lang w:val="fr-CA"/>
        </w:rPr>
        <w:t>’</w:t>
      </w:r>
      <w:r w:rsidRPr="005D1779">
        <w:rPr>
          <w:rFonts w:cs="Times New Roman"/>
          <w:lang w:val="fr-CA"/>
        </w:rPr>
        <w:t>une nouvelle audience</w:t>
      </w:r>
      <w:r>
        <w:rPr>
          <w:rFonts w:cs="Times New Roman"/>
          <w:lang w:val="fr-CA"/>
        </w:rPr>
        <w:t> »</w:t>
      </w:r>
      <w:r w:rsidRPr="00060362">
        <w:rPr>
          <w:rFonts w:cs="Times New Roman"/>
          <w:lang w:val="fr-CA"/>
        </w:rPr>
        <w:t xml:space="preserve"> (</w:t>
      </w:r>
      <w:r>
        <w:rPr>
          <w:rFonts w:cs="Times New Roman"/>
          <w:lang w:val="fr-CA"/>
        </w:rPr>
        <w:t>en anglais, « </w:t>
      </w:r>
      <w:r w:rsidRPr="00E217E1">
        <w:rPr>
          <w:rFonts w:cs="Times New Roman"/>
          <w:i/>
          <w:lang w:val="fr-CA"/>
        </w:rPr>
        <w:t>[the</w:t>
      </w:r>
      <w:r>
        <w:rPr>
          <w:rFonts w:cs="Times New Roman"/>
          <w:i/>
          <w:lang w:val="fr-CA"/>
        </w:rPr>
        <w:t xml:space="preserve">] </w:t>
      </w:r>
      <w:proofErr w:type="spellStart"/>
      <w:r w:rsidRPr="00BE71D1">
        <w:rPr>
          <w:rFonts w:cs="Times New Roman"/>
          <w:i/>
          <w:iCs/>
          <w:lang w:val="fr-CA"/>
        </w:rPr>
        <w:t>rehearing</w:t>
      </w:r>
      <w:proofErr w:type="spellEnd"/>
      <w:r>
        <w:rPr>
          <w:rFonts w:cs="Times New Roman"/>
          <w:i/>
          <w:iCs/>
          <w:lang w:val="fr-CA"/>
        </w:rPr>
        <w:t xml:space="preserve"> of </w:t>
      </w:r>
      <w:r w:rsidRPr="00E217E1">
        <w:rPr>
          <w:rFonts w:cs="Times New Roman"/>
          <w:iCs/>
          <w:lang w:val="fr-CA"/>
        </w:rPr>
        <w:t>[</w:t>
      </w:r>
      <w:r>
        <w:rPr>
          <w:rFonts w:cs="Times New Roman"/>
          <w:iCs/>
          <w:lang w:val="fr-CA"/>
        </w:rPr>
        <w:t>. . .</w:t>
      </w:r>
      <w:r w:rsidRPr="00E217E1">
        <w:rPr>
          <w:rFonts w:cs="Times New Roman"/>
          <w:iCs/>
          <w:lang w:val="fr-CA"/>
        </w:rPr>
        <w:t>]</w:t>
      </w:r>
      <w:r w:rsidRPr="00E217E1">
        <w:rPr>
          <w:rFonts w:cs="Times New Roman"/>
          <w:lang w:val="fr-CA"/>
        </w:rPr>
        <w:t> </w:t>
      </w:r>
      <w:r>
        <w:rPr>
          <w:rFonts w:cs="Times New Roman"/>
          <w:i/>
          <w:lang w:val="fr-CA"/>
        </w:rPr>
        <w:t xml:space="preserve">a motion </w:t>
      </w:r>
      <w:r>
        <w:rPr>
          <w:rFonts w:cs="Times New Roman"/>
          <w:lang w:val="fr-CA"/>
        </w:rPr>
        <w:t>»</w:t>
      </w:r>
      <w:r w:rsidRPr="00060362">
        <w:rPr>
          <w:rFonts w:cs="Times New Roman"/>
          <w:lang w:val="fr-CA"/>
        </w:rPr>
        <w:t>) (</w:t>
      </w:r>
      <w:r>
        <w:rPr>
          <w:rFonts w:cs="Times New Roman"/>
          <w:lang w:val="fr-CA"/>
        </w:rPr>
        <w:t>par. </w:t>
      </w:r>
      <w:r w:rsidRPr="00060362">
        <w:rPr>
          <w:rFonts w:cs="Times New Roman"/>
          <w:lang w:val="fr-CA"/>
        </w:rPr>
        <w:t xml:space="preserve">46.2(12)). </w:t>
      </w:r>
      <w:r>
        <w:rPr>
          <w:rFonts w:cs="Times New Roman"/>
          <w:lang w:val="fr-CA"/>
        </w:rPr>
        <w:t>Les extraits pertinents de la règle</w:t>
      </w:r>
      <w:r w:rsidRPr="00060362">
        <w:rPr>
          <w:rFonts w:cs="Times New Roman"/>
          <w:lang w:val="fr-CA"/>
        </w:rPr>
        <w:t xml:space="preserve"> 46.2 </w:t>
      </w:r>
      <w:r>
        <w:rPr>
          <w:rFonts w:cs="Times New Roman"/>
          <w:lang w:val="fr-CA"/>
        </w:rPr>
        <w:t>prévoient ce qui suit :</w:t>
      </w:r>
    </w:p>
    <w:p w:rsidR="009F09DA" w:rsidRPr="00060362" w:rsidRDefault="009F09DA" w:rsidP="009F09DA">
      <w:pPr>
        <w:pStyle w:val="Citation-AltC"/>
        <w:spacing w:after="240"/>
        <w:ind w:left="1168" w:hanging="1168"/>
        <w:contextualSpacing w:val="0"/>
        <w:rPr>
          <w:lang w:val="fr-CA"/>
        </w:rPr>
      </w:pPr>
      <w:r>
        <w:rPr>
          <w:b/>
          <w:lang w:val="fr-CA"/>
        </w:rPr>
        <w:tab/>
      </w:r>
      <w:r w:rsidRPr="00330070">
        <w:rPr>
          <w:b/>
          <w:lang w:val="fr-CA"/>
        </w:rPr>
        <w:t>46.2(1)</w:t>
      </w:r>
      <w:r>
        <w:rPr>
          <w:lang w:val="fr-CA"/>
        </w:rPr>
        <w:t> </w:t>
      </w:r>
      <w:r w:rsidRPr="00EA76E7">
        <w:rPr>
          <w:lang w:val="fr-CA"/>
        </w:rPr>
        <w:t>Aucun appel ne peut être entendu de</w:t>
      </w:r>
      <w:r w:rsidRPr="00580648">
        <w:rPr>
          <w:lang w:val="fr-CA"/>
        </w:rPr>
        <w:t xml:space="preserve"> </w:t>
      </w:r>
      <w:r w:rsidRPr="00EA76E7">
        <w:rPr>
          <w:lang w:val="fr-CA"/>
        </w:rPr>
        <w:t>nouveau, sauf sur ordonnance du tribunal ou à son</w:t>
      </w:r>
      <w:r w:rsidRPr="00580648">
        <w:rPr>
          <w:lang w:val="fr-CA"/>
        </w:rPr>
        <w:t xml:space="preserve"> </w:t>
      </w:r>
      <w:r w:rsidRPr="00EA76E7">
        <w:rPr>
          <w:lang w:val="fr-CA"/>
        </w:rPr>
        <w:t>initiative</w:t>
      </w:r>
      <w:r w:rsidRPr="00060362">
        <w:rPr>
          <w:lang w:val="fr-CA"/>
        </w:rPr>
        <w:t>.</w:t>
      </w:r>
    </w:p>
    <w:p w:rsidR="009F09DA" w:rsidRPr="00060362" w:rsidRDefault="009F09DA" w:rsidP="009F09DA">
      <w:pPr>
        <w:pStyle w:val="Citation-AltC"/>
        <w:spacing w:after="240"/>
        <w:ind w:left="1168" w:hanging="1168"/>
        <w:contextualSpacing w:val="0"/>
        <w:rPr>
          <w:lang w:val="fr-CA"/>
        </w:rPr>
      </w:pPr>
      <w:r>
        <w:rPr>
          <w:b/>
          <w:lang w:val="fr-CA"/>
        </w:rPr>
        <w:tab/>
      </w:r>
      <w:r w:rsidRPr="00330070">
        <w:rPr>
          <w:b/>
          <w:lang w:val="fr-CA"/>
        </w:rPr>
        <w:t>46.2(2)</w:t>
      </w:r>
      <w:r>
        <w:rPr>
          <w:lang w:val="fr-CA"/>
        </w:rPr>
        <w:t> </w:t>
      </w:r>
      <w:r w:rsidRPr="00EA76E7">
        <w:rPr>
          <w:lang w:val="fr-CA"/>
        </w:rPr>
        <w:t>Une nouvelle audition d</w:t>
      </w:r>
      <w:r>
        <w:rPr>
          <w:lang w:val="fr-CA"/>
        </w:rPr>
        <w:t>’</w:t>
      </w:r>
      <w:r w:rsidRPr="00EA76E7">
        <w:rPr>
          <w:lang w:val="fr-CA"/>
        </w:rPr>
        <w:t>un appel peut</w:t>
      </w:r>
      <w:r w:rsidRPr="00580648">
        <w:rPr>
          <w:lang w:val="fr-CA"/>
        </w:rPr>
        <w:t xml:space="preserve"> ê</w:t>
      </w:r>
      <w:r w:rsidRPr="00EA76E7">
        <w:rPr>
          <w:lang w:val="fr-CA"/>
        </w:rPr>
        <w:t>tre ordonnée avant que le certificat de décision n</w:t>
      </w:r>
      <w:r>
        <w:rPr>
          <w:lang w:val="fr-CA"/>
        </w:rPr>
        <w:t>’</w:t>
      </w:r>
      <w:r w:rsidRPr="00EA76E7">
        <w:rPr>
          <w:lang w:val="fr-CA"/>
        </w:rPr>
        <w:t>ai</w:t>
      </w:r>
      <w:r>
        <w:rPr>
          <w:lang w:val="fr-CA"/>
        </w:rPr>
        <w:t xml:space="preserve">t </w:t>
      </w:r>
      <w:r w:rsidRPr="00EA76E7">
        <w:rPr>
          <w:lang w:val="fr-CA"/>
        </w:rPr>
        <w:t>été inscrit</w:t>
      </w:r>
      <w:r w:rsidRPr="00060362">
        <w:rPr>
          <w:lang w:val="fr-CA"/>
        </w:rPr>
        <w:t>.</w:t>
      </w:r>
    </w:p>
    <w:p w:rsidR="009F09DA" w:rsidRPr="00060362" w:rsidRDefault="009F09DA" w:rsidP="009F09DA">
      <w:pPr>
        <w:pStyle w:val="Citation-AltC"/>
        <w:ind w:hanging="1166"/>
        <w:rPr>
          <w:lang w:val="fr-CA"/>
        </w:rPr>
      </w:pPr>
      <w:r>
        <w:rPr>
          <w:b/>
          <w:lang w:val="fr-CA"/>
        </w:rPr>
        <w:tab/>
      </w:r>
      <w:r w:rsidRPr="00330070">
        <w:rPr>
          <w:b/>
          <w:lang w:val="fr-CA"/>
        </w:rPr>
        <w:t>46.2(12)</w:t>
      </w:r>
      <w:r w:rsidRPr="00060362">
        <w:rPr>
          <w:lang w:val="fr-CA"/>
        </w:rPr>
        <w:t xml:space="preserve"> </w:t>
      </w:r>
      <w:r w:rsidRPr="00EA76E7">
        <w:rPr>
          <w:lang w:val="fr-CA"/>
        </w:rPr>
        <w:t>Aucune requête en autorisation ni</w:t>
      </w:r>
      <w:r w:rsidRPr="00580648">
        <w:rPr>
          <w:lang w:val="fr-CA"/>
        </w:rPr>
        <w:t xml:space="preserve"> </w:t>
      </w:r>
      <w:r w:rsidRPr="00EA76E7">
        <w:rPr>
          <w:lang w:val="fr-CA"/>
        </w:rPr>
        <w:t>aucune motion ne peuvent faire l</w:t>
      </w:r>
      <w:r>
        <w:rPr>
          <w:lang w:val="fr-CA"/>
        </w:rPr>
        <w:t>’</w:t>
      </w:r>
      <w:r w:rsidRPr="00EA76E7">
        <w:rPr>
          <w:lang w:val="fr-CA"/>
        </w:rPr>
        <w:t>objet d</w:t>
      </w:r>
      <w:r>
        <w:rPr>
          <w:lang w:val="fr-CA"/>
        </w:rPr>
        <w:t>’</w:t>
      </w:r>
      <w:r w:rsidRPr="00EA76E7">
        <w:rPr>
          <w:lang w:val="fr-CA"/>
        </w:rPr>
        <w:t>une nouvelle</w:t>
      </w:r>
      <w:r>
        <w:rPr>
          <w:lang w:val="fr-CA"/>
        </w:rPr>
        <w:t xml:space="preserve"> </w:t>
      </w:r>
      <w:r w:rsidRPr="00EA76E7">
        <w:rPr>
          <w:lang w:val="fr-CA"/>
        </w:rPr>
        <w:t>audience</w:t>
      </w:r>
      <w:r w:rsidRPr="00060362">
        <w:rPr>
          <w:lang w:val="fr-CA"/>
        </w:rPr>
        <w:t>.</w:t>
      </w:r>
    </w:p>
    <w:p w:rsidR="009F09DA" w:rsidRPr="00060362" w:rsidRDefault="009F09DA" w:rsidP="009F09DA">
      <w:pPr>
        <w:pStyle w:val="ParaNoNdepar-AltN"/>
        <w:rPr>
          <w:rFonts w:cs="Times New Roman"/>
          <w:lang w:val="fr-CA"/>
        </w:rPr>
      </w:pPr>
      <w:r>
        <w:rPr>
          <w:rFonts w:cs="Times New Roman"/>
          <w:lang w:val="fr-CA"/>
        </w:rPr>
        <w:t xml:space="preserve">Il est vrai que le certificat de décision mentionné au </w:t>
      </w:r>
      <w:proofErr w:type="spellStart"/>
      <w:r>
        <w:rPr>
          <w:rFonts w:cs="Times New Roman"/>
          <w:lang w:val="fr-CA"/>
        </w:rPr>
        <w:t>par</w:t>
      </w:r>
      <w:proofErr w:type="spellEnd"/>
      <w:r>
        <w:rPr>
          <w:rFonts w:cs="Times New Roman"/>
          <w:lang w:val="fr-CA"/>
        </w:rPr>
        <w:t>. </w:t>
      </w:r>
      <w:r w:rsidRPr="00060362">
        <w:rPr>
          <w:rFonts w:cs="Times New Roman"/>
          <w:lang w:val="fr-CA"/>
        </w:rPr>
        <w:t xml:space="preserve">46.2(2) </w:t>
      </w:r>
      <w:r>
        <w:rPr>
          <w:rFonts w:cs="Times New Roman"/>
          <w:lang w:val="fr-CA"/>
        </w:rPr>
        <w:t>a été inscrit en l’espèce à l’égard de l’appel portant sur l’erreur judiciaire</w:t>
      </w:r>
      <w:r w:rsidRPr="00060362">
        <w:rPr>
          <w:rFonts w:cs="Times New Roman"/>
          <w:lang w:val="fr-CA"/>
        </w:rPr>
        <w:t xml:space="preserve">. </w:t>
      </w:r>
      <w:r>
        <w:rPr>
          <w:rFonts w:cs="Times New Roman"/>
          <w:lang w:val="fr-CA"/>
        </w:rPr>
        <w:t xml:space="preserve">Par conséquent, une nouvelle audition de </w:t>
      </w:r>
      <w:r w:rsidRPr="00C5565E">
        <w:rPr>
          <w:rFonts w:cs="Times New Roman"/>
          <w:lang w:val="fr-CA"/>
        </w:rPr>
        <w:t>l</w:t>
      </w:r>
      <w:r>
        <w:rPr>
          <w:rFonts w:cs="Times New Roman"/>
          <w:lang w:val="fr-CA"/>
        </w:rPr>
        <w:t>’</w:t>
      </w:r>
      <w:r w:rsidRPr="00C5565E">
        <w:rPr>
          <w:rFonts w:cs="Times New Roman"/>
          <w:lang w:val="fr-CA"/>
        </w:rPr>
        <w:t xml:space="preserve">appel de </w:t>
      </w:r>
      <w:r>
        <w:rPr>
          <w:rFonts w:cs="Times New Roman"/>
          <w:lang w:val="fr-CA"/>
        </w:rPr>
        <w:t>M. Ostrowski</w:t>
      </w:r>
      <w:r w:rsidRPr="00C5565E">
        <w:rPr>
          <w:rFonts w:cs="Times New Roman"/>
          <w:lang w:val="fr-CA"/>
        </w:rPr>
        <w:t xml:space="preserve"> sur le fond est exclue en </w:t>
      </w:r>
      <w:r>
        <w:rPr>
          <w:rFonts w:cs="Times New Roman"/>
          <w:lang w:val="fr-CA"/>
        </w:rPr>
        <w:t xml:space="preserve">application de la règle </w:t>
      </w:r>
      <w:r w:rsidRPr="00060362">
        <w:rPr>
          <w:rFonts w:cs="Times New Roman"/>
          <w:lang w:val="fr-CA"/>
        </w:rPr>
        <w:t xml:space="preserve">46.2. </w:t>
      </w:r>
      <w:r>
        <w:rPr>
          <w:rFonts w:cs="Times New Roman"/>
          <w:lang w:val="fr-CA"/>
        </w:rPr>
        <w:t>Pareillement, une motion entendue au cours de l’instance ne peut pas maintenant faire l’objet d’une nouvelle audience, puisque le par. </w:t>
      </w:r>
      <w:r w:rsidRPr="00060362">
        <w:rPr>
          <w:rFonts w:cs="Times New Roman"/>
          <w:lang w:val="fr-CA"/>
        </w:rPr>
        <w:t>46.2(12)</w:t>
      </w:r>
      <w:r>
        <w:rPr>
          <w:rFonts w:cs="Times New Roman"/>
          <w:lang w:val="fr-CA"/>
        </w:rPr>
        <w:t xml:space="preserve"> l’en empêche</w:t>
      </w:r>
      <w:r w:rsidRPr="00060362">
        <w:rPr>
          <w:rFonts w:cs="Times New Roman"/>
          <w:lang w:val="fr-CA"/>
        </w:rPr>
        <w:t xml:space="preserve">. </w:t>
      </w:r>
    </w:p>
    <w:p w:rsidR="009F09DA" w:rsidRPr="00060362" w:rsidRDefault="009F09DA" w:rsidP="009F09DA">
      <w:pPr>
        <w:pStyle w:val="ParaNoNdepar-AltN"/>
        <w:rPr>
          <w:rFonts w:cs="Times New Roman"/>
          <w:lang w:val="fr-CA"/>
        </w:rPr>
      </w:pPr>
      <w:r>
        <w:rPr>
          <w:rFonts w:cs="Times New Roman"/>
          <w:lang w:val="fr-CA"/>
        </w:rPr>
        <w:t>Toutefois, ces règles n’ont pas privé la Cour d’appel de la faculté d’entendre la motion de la SRC portant sur la publicité des débats judiciaires. Ceci n’est certainement pas un « appel [. . .] entendu de nouveau » ni une « nouvelle audition d’un appel »</w:t>
      </w:r>
      <w:r w:rsidRPr="00060362">
        <w:rPr>
          <w:rFonts w:cs="Times New Roman"/>
          <w:lang w:val="fr-CA"/>
        </w:rPr>
        <w:t xml:space="preserve"> </w:t>
      </w:r>
      <w:r>
        <w:rPr>
          <w:rFonts w:cs="Times New Roman"/>
          <w:lang w:val="fr-CA"/>
        </w:rPr>
        <w:t>visé aux par. </w:t>
      </w:r>
      <w:r w:rsidRPr="00060362">
        <w:rPr>
          <w:rFonts w:cs="Times New Roman"/>
          <w:lang w:val="fr-CA"/>
        </w:rPr>
        <w:t xml:space="preserve">46.2(1) </w:t>
      </w:r>
      <w:r>
        <w:rPr>
          <w:rFonts w:cs="Times New Roman"/>
          <w:lang w:val="fr-CA"/>
        </w:rPr>
        <w:t>et</w:t>
      </w:r>
      <w:r w:rsidRPr="00060362">
        <w:rPr>
          <w:rFonts w:cs="Times New Roman"/>
          <w:lang w:val="fr-CA"/>
        </w:rPr>
        <w:t xml:space="preserve"> (2). </w:t>
      </w:r>
      <w:r>
        <w:rPr>
          <w:rFonts w:cs="Times New Roman"/>
          <w:lang w:val="fr-CA"/>
        </w:rPr>
        <w:t>La SRC a présenté une motion portant sur l’accès au dossier judiciaire et n’a pas tenté de rouvrir l’instance en matière d’erreur judiciaire elle</w:t>
      </w:r>
      <w:r>
        <w:rPr>
          <w:rFonts w:cs="Times New Roman"/>
          <w:lang w:val="fr-CA"/>
        </w:rPr>
        <w:noBreakHyphen/>
        <w:t>même</w:t>
      </w:r>
      <w:r w:rsidRPr="00060362">
        <w:rPr>
          <w:rFonts w:cs="Times New Roman"/>
          <w:lang w:val="fr-CA"/>
        </w:rPr>
        <w:t xml:space="preserve">. </w:t>
      </w:r>
      <w:r>
        <w:rPr>
          <w:rFonts w:cs="Times New Roman"/>
          <w:lang w:val="fr-CA"/>
        </w:rPr>
        <w:t>Considérer que l’interdiction d’une nouvelle audition d’un appel empêche la Cour d’appel d’entendre une motion portant sur la publicité des débats judiciaires, distincte du fond de l’appel, ne ressort pas manifestement du texte</w:t>
      </w:r>
      <w:r w:rsidRPr="00060362">
        <w:rPr>
          <w:rFonts w:cs="Times New Roman"/>
          <w:lang w:val="fr-CA"/>
        </w:rPr>
        <w:t xml:space="preserve">. </w:t>
      </w:r>
      <w:r>
        <w:rPr>
          <w:rFonts w:cs="Times New Roman"/>
          <w:lang w:val="fr-CA"/>
        </w:rPr>
        <w:t>Il n’y a pas de « </w:t>
      </w:r>
      <w:proofErr w:type="spellStart"/>
      <w:r w:rsidRPr="00BE71D1">
        <w:rPr>
          <w:rFonts w:cs="Times New Roman"/>
          <w:i/>
          <w:iCs/>
          <w:lang w:val="fr-CA"/>
        </w:rPr>
        <w:t>rehearing</w:t>
      </w:r>
      <w:proofErr w:type="spellEnd"/>
      <w:r w:rsidRPr="00BE71D1">
        <w:rPr>
          <w:rFonts w:cs="Times New Roman"/>
          <w:i/>
          <w:iCs/>
          <w:lang w:val="fr-CA"/>
        </w:rPr>
        <w:t xml:space="preserve"> of an appeal</w:t>
      </w:r>
      <w:r>
        <w:rPr>
          <w:rFonts w:cs="Times New Roman"/>
          <w:lang w:val="fr-CA"/>
        </w:rPr>
        <w:t> »</w:t>
      </w:r>
      <w:r w:rsidRPr="00060362">
        <w:rPr>
          <w:rFonts w:cs="Times New Roman"/>
          <w:lang w:val="fr-CA"/>
        </w:rPr>
        <w:t xml:space="preserve">, </w:t>
      </w:r>
      <w:r>
        <w:rPr>
          <w:rFonts w:cs="Times New Roman"/>
          <w:lang w:val="fr-CA"/>
        </w:rPr>
        <w:t>pour reprendre le texte anglais des par. </w:t>
      </w:r>
      <w:r w:rsidRPr="00060362">
        <w:rPr>
          <w:rFonts w:cs="Times New Roman"/>
          <w:lang w:val="fr-CA"/>
        </w:rPr>
        <w:t xml:space="preserve">46.2(1) </w:t>
      </w:r>
      <w:r>
        <w:rPr>
          <w:rFonts w:cs="Times New Roman"/>
          <w:lang w:val="fr-CA"/>
        </w:rPr>
        <w:t>et</w:t>
      </w:r>
      <w:r w:rsidRPr="00060362">
        <w:rPr>
          <w:rFonts w:cs="Times New Roman"/>
          <w:lang w:val="fr-CA"/>
        </w:rPr>
        <w:t xml:space="preserve"> (2). </w:t>
      </w:r>
      <w:r>
        <w:rPr>
          <w:rFonts w:cs="Times New Roman"/>
          <w:lang w:val="fr-CA"/>
        </w:rPr>
        <w:t>Une telle interprétation ne s’accorde pas non plus avec l’objet</w:t>
      </w:r>
      <w:r w:rsidRPr="00060362">
        <w:rPr>
          <w:rFonts w:cs="Times New Roman"/>
          <w:lang w:val="fr-CA"/>
        </w:rPr>
        <w:t xml:space="preserve"> </w:t>
      </w:r>
      <w:r>
        <w:rPr>
          <w:rFonts w:cs="Times New Roman"/>
          <w:lang w:val="fr-CA"/>
        </w:rPr>
        <w:t xml:space="preserve">des règles interdisant les nouvelles auditions de l’appel qui reflètent les mêmes objectifs fondamentaux du caractère définitif et de la stabilité des jugements que l’on associe à la règle du </w:t>
      </w:r>
      <w:r w:rsidRPr="00060362">
        <w:rPr>
          <w:rFonts w:cs="Times New Roman"/>
          <w:i/>
          <w:lang w:val="fr-CA"/>
        </w:rPr>
        <w:t>functus officio</w:t>
      </w:r>
      <w:r w:rsidRPr="00060362">
        <w:rPr>
          <w:rFonts w:cs="Times New Roman"/>
          <w:lang w:val="fr-CA"/>
        </w:rPr>
        <w:t xml:space="preserve"> (</w:t>
      </w:r>
      <w:r>
        <w:rPr>
          <w:rFonts w:cs="Times New Roman"/>
          <w:lang w:val="fr-CA"/>
        </w:rPr>
        <w:t>voir</w:t>
      </w:r>
      <w:r w:rsidRPr="00060362">
        <w:rPr>
          <w:rFonts w:cs="Times New Roman"/>
          <w:lang w:val="fr-CA"/>
        </w:rPr>
        <w:t xml:space="preserve"> </w:t>
      </w:r>
      <w:r w:rsidRPr="00060362">
        <w:rPr>
          <w:rFonts w:cs="Times New Roman"/>
          <w:i/>
          <w:lang w:val="fr-CA"/>
        </w:rPr>
        <w:t>Doucet</w:t>
      </w:r>
      <w:r>
        <w:rPr>
          <w:rFonts w:cs="Times New Roman"/>
          <w:i/>
          <w:lang w:val="fr-CA"/>
        </w:rPr>
        <w:noBreakHyphen/>
      </w:r>
      <w:r w:rsidRPr="00060362">
        <w:rPr>
          <w:rFonts w:cs="Times New Roman"/>
          <w:i/>
          <w:lang w:val="fr-CA"/>
        </w:rPr>
        <w:t>Boudreau</w:t>
      </w:r>
      <w:r w:rsidRPr="00060362">
        <w:rPr>
          <w:rFonts w:cs="Times New Roman"/>
          <w:lang w:val="fr-CA"/>
        </w:rPr>
        <w:t xml:space="preserve">, </w:t>
      </w:r>
      <w:r>
        <w:rPr>
          <w:rFonts w:cs="Times New Roman"/>
          <w:lang w:val="fr-CA"/>
        </w:rPr>
        <w:t>par. </w:t>
      </w:r>
      <w:r w:rsidRPr="00060362">
        <w:rPr>
          <w:rFonts w:cs="Times New Roman"/>
          <w:lang w:val="fr-CA"/>
        </w:rPr>
        <w:t xml:space="preserve">79). </w:t>
      </w:r>
      <w:r>
        <w:rPr>
          <w:rFonts w:cs="Times New Roman"/>
          <w:lang w:val="fr-CA"/>
        </w:rPr>
        <w:t>La règle</w:t>
      </w:r>
      <w:r w:rsidRPr="00060362">
        <w:rPr>
          <w:rFonts w:cs="Times New Roman"/>
          <w:lang w:val="fr-CA"/>
        </w:rPr>
        <w:t xml:space="preserve"> 46.2 </w:t>
      </w:r>
      <w:r>
        <w:rPr>
          <w:rFonts w:cs="Times New Roman"/>
          <w:lang w:val="fr-CA"/>
        </w:rPr>
        <w:t>n’empêche aucunement la SRC de solliciter des ordonnances accessoires liées à la publicité des débats judiciaires après que le certificat de décision ait été inscrit sur le fond</w:t>
      </w:r>
      <w:r w:rsidRPr="00060362">
        <w:rPr>
          <w:rFonts w:cs="Times New Roman"/>
          <w:lang w:val="fr-CA"/>
        </w:rPr>
        <w:t>.</w:t>
      </w:r>
    </w:p>
    <w:p w:rsidR="009F09DA" w:rsidRPr="00060362" w:rsidRDefault="009F09DA" w:rsidP="009F09DA">
      <w:pPr>
        <w:pStyle w:val="ParaNoNdepar-AltN"/>
        <w:rPr>
          <w:lang w:val="fr-CA"/>
        </w:rPr>
      </w:pPr>
      <w:r>
        <w:rPr>
          <w:lang w:val="fr-CA"/>
        </w:rPr>
        <w:t>Pareillement, on ne saurait considérer que l’interdiction de la nouvelle audition d’une motion,</w:t>
      </w:r>
      <w:r w:rsidRPr="00060362">
        <w:rPr>
          <w:lang w:val="fr-CA"/>
        </w:rPr>
        <w:t xml:space="preserve"> </w:t>
      </w:r>
      <w:r>
        <w:rPr>
          <w:lang w:val="fr-CA"/>
        </w:rPr>
        <w:t xml:space="preserve">prévue au </w:t>
      </w:r>
      <w:proofErr w:type="spellStart"/>
      <w:r>
        <w:rPr>
          <w:lang w:val="fr-CA"/>
        </w:rPr>
        <w:t>par</w:t>
      </w:r>
      <w:proofErr w:type="spellEnd"/>
      <w:r>
        <w:rPr>
          <w:lang w:val="fr-CA"/>
        </w:rPr>
        <w:t>. </w:t>
      </w:r>
      <w:r w:rsidRPr="00060362">
        <w:rPr>
          <w:lang w:val="fr-CA"/>
        </w:rPr>
        <w:t>46.2(12)</w:t>
      </w:r>
      <w:r>
        <w:rPr>
          <w:lang w:val="fr-CA"/>
        </w:rPr>
        <w:t>,</w:t>
      </w:r>
      <w:r w:rsidRPr="00060362">
        <w:rPr>
          <w:lang w:val="fr-CA"/>
        </w:rPr>
        <w:t xml:space="preserve"> </w:t>
      </w:r>
      <w:r>
        <w:rPr>
          <w:lang w:val="fr-CA"/>
        </w:rPr>
        <w:t xml:space="preserve">a pour effet d’interdire à la SRC de demander par motion l’annulation de l’interdiction de publication prononcée sans avis et qui a une incidence sur le principe de la publicité des débats judiciaires. L’ordonnance attaquée a été prononcée du propre chef de la Cour d’appel, avec le consentement des parties, et à l’audience, </w:t>
      </w:r>
      <w:r w:rsidRPr="00C5565E">
        <w:rPr>
          <w:lang w:val="fr-CA"/>
        </w:rPr>
        <w:t xml:space="preserve">puis </w:t>
      </w:r>
      <w:r w:rsidRPr="00FD589D">
        <w:rPr>
          <w:lang w:val="fr-CA"/>
        </w:rPr>
        <w:t xml:space="preserve">maintenue pour une durée indéterminée au </w:t>
      </w:r>
      <w:proofErr w:type="spellStart"/>
      <w:r>
        <w:rPr>
          <w:lang w:val="fr-CA"/>
        </w:rPr>
        <w:t>par</w:t>
      </w:r>
      <w:proofErr w:type="spellEnd"/>
      <w:r>
        <w:rPr>
          <w:lang w:val="fr-CA"/>
        </w:rPr>
        <w:t>. </w:t>
      </w:r>
      <w:r w:rsidRPr="00FD589D">
        <w:rPr>
          <w:lang w:val="fr-CA"/>
        </w:rPr>
        <w:t>82 du jugement de 2018 sur l</w:t>
      </w:r>
      <w:r>
        <w:rPr>
          <w:lang w:val="fr-CA"/>
        </w:rPr>
        <w:t>’</w:t>
      </w:r>
      <w:r w:rsidRPr="00FD589D">
        <w:rPr>
          <w:lang w:val="fr-CA"/>
        </w:rPr>
        <w:t>interdiction de publication. Le tribunal n</w:t>
      </w:r>
      <w:r>
        <w:rPr>
          <w:lang w:val="fr-CA"/>
        </w:rPr>
        <w:t>’</w:t>
      </w:r>
      <w:r w:rsidRPr="00FD589D">
        <w:rPr>
          <w:lang w:val="fr-CA"/>
        </w:rPr>
        <w:t>a entendu aucune observation sur le point, et n</w:t>
      </w:r>
      <w:r>
        <w:rPr>
          <w:lang w:val="fr-CA"/>
        </w:rPr>
        <w:t>’</w:t>
      </w:r>
      <w:r w:rsidRPr="00FD589D">
        <w:rPr>
          <w:lang w:val="fr-CA"/>
        </w:rPr>
        <w:t>a donné de préavis à qui que ce soit, dont les médias, notamment la SRC qui a eu vent de l</w:t>
      </w:r>
      <w:r>
        <w:rPr>
          <w:lang w:val="fr-CA"/>
        </w:rPr>
        <w:t>’</w:t>
      </w:r>
      <w:r w:rsidRPr="00FD589D">
        <w:rPr>
          <w:lang w:val="fr-CA"/>
        </w:rPr>
        <w:t>interdiction attaquée peu après le prononcé des motifs. La SRC ne demandait pas à la Cour d</w:t>
      </w:r>
      <w:r>
        <w:rPr>
          <w:lang w:val="fr-CA"/>
        </w:rPr>
        <w:t>’</w:t>
      </w:r>
      <w:r w:rsidRPr="00FD589D">
        <w:rPr>
          <w:lang w:val="fr-CA"/>
        </w:rPr>
        <w:t>appel qu</w:t>
      </w:r>
      <w:r>
        <w:rPr>
          <w:lang w:val="fr-CA"/>
        </w:rPr>
        <w:t>’</w:t>
      </w:r>
      <w:r w:rsidRPr="00FD589D">
        <w:rPr>
          <w:lang w:val="fr-CA"/>
        </w:rPr>
        <w:t>une motion fasse l</w:t>
      </w:r>
      <w:r>
        <w:rPr>
          <w:lang w:val="fr-CA"/>
        </w:rPr>
        <w:t>’</w:t>
      </w:r>
      <w:r w:rsidRPr="00FD589D">
        <w:rPr>
          <w:lang w:val="fr-CA"/>
        </w:rPr>
        <w:t>objet d</w:t>
      </w:r>
      <w:r>
        <w:rPr>
          <w:lang w:val="fr-CA"/>
        </w:rPr>
        <w:t>’</w:t>
      </w:r>
      <w:r w:rsidRPr="00FD589D">
        <w:rPr>
          <w:lang w:val="fr-CA"/>
        </w:rPr>
        <w:t xml:space="preserve">une « nouvelle </w:t>
      </w:r>
      <w:r>
        <w:rPr>
          <w:lang w:val="fr-CA"/>
        </w:rPr>
        <w:t>audience »</w:t>
      </w:r>
      <w:r w:rsidRPr="00060362">
        <w:rPr>
          <w:lang w:val="fr-CA"/>
        </w:rPr>
        <w:t xml:space="preserve">. </w:t>
      </w:r>
      <w:r>
        <w:rPr>
          <w:rFonts w:cs="Times New Roman"/>
          <w:lang w:val="fr-CA"/>
        </w:rPr>
        <w:t>L’idée d’un « </w:t>
      </w:r>
      <w:proofErr w:type="spellStart"/>
      <w:r w:rsidRPr="00BE71D1">
        <w:rPr>
          <w:rFonts w:cs="Times New Roman"/>
          <w:i/>
          <w:iCs/>
          <w:lang w:val="fr-CA"/>
        </w:rPr>
        <w:t>rehearing</w:t>
      </w:r>
      <w:proofErr w:type="spellEnd"/>
      <w:r>
        <w:rPr>
          <w:rFonts w:cs="Times New Roman"/>
          <w:lang w:val="fr-CA"/>
        </w:rPr>
        <w:t xml:space="preserve"> » dont il est question à la règle </w:t>
      </w:r>
      <w:r w:rsidRPr="00060362">
        <w:rPr>
          <w:rFonts w:cs="Times New Roman"/>
          <w:lang w:val="fr-CA"/>
        </w:rPr>
        <w:t xml:space="preserve">46.2 </w:t>
      </w:r>
      <w:r>
        <w:rPr>
          <w:rFonts w:cs="Times New Roman"/>
          <w:lang w:val="fr-CA"/>
        </w:rPr>
        <w:t>implique nécessairement qu’il y a eu une première audience et que le tribunal entendrait la même motion de nouveau, comme l’indique clairement l’expression française « nouvelle audience » à la règle </w:t>
      </w:r>
      <w:r w:rsidRPr="00060362">
        <w:rPr>
          <w:rFonts w:cs="Times New Roman"/>
          <w:lang w:val="fr-CA"/>
        </w:rPr>
        <w:t>46.2.</w:t>
      </w:r>
    </w:p>
    <w:p w:rsidR="009F09DA" w:rsidRPr="00D95D75" w:rsidRDefault="009F09DA" w:rsidP="009F09DA">
      <w:pPr>
        <w:pStyle w:val="ParaNoNdepar-AltN"/>
        <w:rPr>
          <w:lang w:val="fr-CA"/>
        </w:rPr>
      </w:pPr>
      <w:r>
        <w:rPr>
          <w:lang w:val="fr-CA"/>
        </w:rPr>
        <w:t xml:space="preserve">La SRC a </w:t>
      </w:r>
      <w:r w:rsidRPr="00FD589D">
        <w:rPr>
          <w:lang w:val="fr-CA"/>
        </w:rPr>
        <w:t>plutôt déposé une motion entièrement nouvelle pour faire annuler l</w:t>
      </w:r>
      <w:r>
        <w:rPr>
          <w:lang w:val="fr-CA"/>
        </w:rPr>
        <w:t>’</w:t>
      </w:r>
      <w:r w:rsidRPr="00FD589D">
        <w:rPr>
          <w:lang w:val="fr-CA"/>
        </w:rPr>
        <w:t xml:space="preserve">interdiction de publication de 2018 prononcée </w:t>
      </w:r>
      <w:r w:rsidRPr="00D95D75">
        <w:rPr>
          <w:lang w:val="fr-CA"/>
        </w:rPr>
        <w:t xml:space="preserve">en son absence. Cela peut faire entrer en jeu, comme le prétend la SRC, un principe </w:t>
      </w:r>
      <w:r w:rsidRPr="00FD589D">
        <w:rPr>
          <w:lang w:val="fr-CA"/>
        </w:rPr>
        <w:t>fondamental de l</w:t>
      </w:r>
      <w:r>
        <w:rPr>
          <w:lang w:val="fr-CA"/>
        </w:rPr>
        <w:t>’</w:t>
      </w:r>
      <w:r w:rsidRPr="00FD589D">
        <w:rPr>
          <w:lang w:val="fr-CA"/>
        </w:rPr>
        <w:t>administration de la</w:t>
      </w:r>
      <w:r w:rsidRPr="00D95D75">
        <w:rPr>
          <w:lang w:val="fr-CA"/>
        </w:rPr>
        <w:t xml:space="preserve"> justice voulant que les parties touchées par des ordonnances se voient accorder l</w:t>
      </w:r>
      <w:r>
        <w:rPr>
          <w:lang w:val="fr-CA"/>
        </w:rPr>
        <w:t>’</w:t>
      </w:r>
      <w:r w:rsidRPr="00D95D75">
        <w:rPr>
          <w:lang w:val="fr-CA"/>
        </w:rPr>
        <w:t>occasion d</w:t>
      </w:r>
      <w:r>
        <w:rPr>
          <w:lang w:val="fr-CA"/>
        </w:rPr>
        <w:t>’</w:t>
      </w:r>
      <w:r w:rsidRPr="00D95D75">
        <w:rPr>
          <w:lang w:val="fr-CA"/>
        </w:rPr>
        <w:t xml:space="preserve">être entendues. Rien dans le libellé du </w:t>
      </w:r>
      <w:r>
        <w:rPr>
          <w:lang w:val="fr-CA"/>
        </w:rPr>
        <w:t>par. </w:t>
      </w:r>
      <w:r w:rsidRPr="00D95D75">
        <w:rPr>
          <w:lang w:val="fr-CA"/>
        </w:rPr>
        <w:t>46(12) n</w:t>
      </w:r>
      <w:r>
        <w:rPr>
          <w:lang w:val="fr-CA"/>
        </w:rPr>
        <w:t>’</w:t>
      </w:r>
      <w:r w:rsidRPr="00D95D75">
        <w:rPr>
          <w:lang w:val="fr-CA"/>
        </w:rPr>
        <w:t xml:space="preserve">a pour effet de modifier la règle </w:t>
      </w:r>
      <w:r w:rsidRPr="00FD589D">
        <w:rPr>
          <w:lang w:val="fr-CA"/>
        </w:rPr>
        <w:t>généralement applicable qui permet à la Cour</w:t>
      </w:r>
      <w:r w:rsidRPr="00D95D75">
        <w:rPr>
          <w:lang w:val="fr-CA"/>
        </w:rPr>
        <w:t xml:space="preserve"> d</w:t>
      </w:r>
      <w:r>
        <w:rPr>
          <w:lang w:val="fr-CA"/>
        </w:rPr>
        <w:t>’</w:t>
      </w:r>
      <w:r w:rsidRPr="00D95D75">
        <w:rPr>
          <w:lang w:val="fr-CA"/>
        </w:rPr>
        <w:t>appel de modifier ou d</w:t>
      </w:r>
      <w:r>
        <w:rPr>
          <w:lang w:val="fr-CA"/>
        </w:rPr>
        <w:t>’</w:t>
      </w:r>
      <w:r w:rsidRPr="00D95D75">
        <w:rPr>
          <w:lang w:val="fr-CA"/>
        </w:rPr>
        <w:t>annuler son interdiction de publication ou ordonnance de mise sous scellés sur motion d</w:t>
      </w:r>
      <w:r>
        <w:rPr>
          <w:lang w:val="fr-CA"/>
        </w:rPr>
        <w:t>’</w:t>
      </w:r>
      <w:r w:rsidRPr="00D95D75">
        <w:rPr>
          <w:lang w:val="fr-CA"/>
        </w:rPr>
        <w:t>une personne touchée qui n</w:t>
      </w:r>
      <w:r>
        <w:rPr>
          <w:lang w:val="fr-CA"/>
        </w:rPr>
        <w:t>’</w:t>
      </w:r>
      <w:r w:rsidRPr="00D95D75">
        <w:rPr>
          <w:lang w:val="fr-CA"/>
        </w:rPr>
        <w:t>a pas été avisée du prononcé de l</w:t>
      </w:r>
      <w:r>
        <w:rPr>
          <w:lang w:val="fr-CA"/>
        </w:rPr>
        <w:t>’</w:t>
      </w:r>
      <w:r w:rsidRPr="00D95D75">
        <w:rPr>
          <w:lang w:val="fr-CA"/>
        </w:rPr>
        <w:t>ordonnance</w:t>
      </w:r>
      <w:r w:rsidRPr="00D95D75">
        <w:rPr>
          <w:rFonts w:cs="Times New Roman"/>
          <w:lang w:val="fr-CA"/>
        </w:rPr>
        <w:t>.</w:t>
      </w:r>
    </w:p>
    <w:p w:rsidR="009F09DA" w:rsidRPr="00060362" w:rsidRDefault="009F09DA" w:rsidP="009F09DA">
      <w:pPr>
        <w:pStyle w:val="ParaNoNdepar-AltN"/>
        <w:rPr>
          <w:rFonts w:cs="Times New Roman"/>
          <w:lang w:val="fr-CA"/>
        </w:rPr>
      </w:pPr>
      <w:r>
        <w:rPr>
          <w:rFonts w:cs="Times New Roman"/>
          <w:lang w:val="fr-CA"/>
        </w:rPr>
        <w:t>La SRC ajoute que la Cour d’appel aurait dû assumer sa compétence légitime pour modifier l’interdiction de publication portant sur l’affidavit de M</w:t>
      </w:r>
      <w:r w:rsidRPr="00A06BD8">
        <w:rPr>
          <w:rFonts w:cs="Times New Roman"/>
          <w:vertAlign w:val="superscript"/>
          <w:lang w:val="fr-CA"/>
        </w:rPr>
        <w:t>e</w:t>
      </w:r>
      <w:r>
        <w:rPr>
          <w:rFonts w:cs="Times New Roman"/>
          <w:lang w:val="fr-CA"/>
        </w:rPr>
        <w:t> </w:t>
      </w:r>
      <w:r w:rsidRPr="00060362">
        <w:rPr>
          <w:rFonts w:cs="Times New Roman"/>
          <w:lang w:val="fr-CA"/>
        </w:rPr>
        <w:t>Posner</w:t>
      </w:r>
      <w:r>
        <w:rPr>
          <w:rFonts w:cs="Times New Roman"/>
          <w:lang w:val="fr-CA"/>
        </w:rPr>
        <w:t xml:space="preserve"> parce qu’il y avait eu un changement important de circonstances</w:t>
      </w:r>
      <w:r w:rsidRPr="00060362">
        <w:rPr>
          <w:rFonts w:cs="Times New Roman"/>
          <w:lang w:val="fr-CA"/>
        </w:rPr>
        <w:t xml:space="preserve">. </w:t>
      </w:r>
    </w:p>
    <w:p w:rsidR="009F09DA" w:rsidRPr="00060362" w:rsidRDefault="009F09DA" w:rsidP="009F09DA">
      <w:pPr>
        <w:pStyle w:val="ParaNoNdepar-AltN"/>
        <w:rPr>
          <w:rFonts w:cs="Times New Roman"/>
          <w:lang w:val="fr-CA"/>
        </w:rPr>
      </w:pPr>
      <w:r>
        <w:rPr>
          <w:rFonts w:cs="Times New Roman"/>
          <w:lang w:val="fr-CA"/>
        </w:rPr>
        <w:t>Je ne suis pas de cet avis</w:t>
      </w:r>
      <w:r w:rsidRPr="00060362">
        <w:rPr>
          <w:rFonts w:cs="Times New Roman"/>
          <w:lang w:val="fr-CA"/>
        </w:rPr>
        <w:t xml:space="preserve">. </w:t>
      </w:r>
      <w:r>
        <w:rPr>
          <w:rFonts w:cs="Times New Roman"/>
          <w:lang w:val="fr-CA"/>
        </w:rPr>
        <w:t>Selon moi, il faut souligner que la SRC n’a pas, devant les juridictions inférieures, établi de changement important de circonstances</w:t>
      </w:r>
      <w:r w:rsidRPr="00060362">
        <w:rPr>
          <w:rFonts w:cs="Times New Roman"/>
          <w:lang w:val="fr-CA"/>
        </w:rPr>
        <w:t>.</w:t>
      </w:r>
    </w:p>
    <w:p w:rsidR="009F09DA" w:rsidRPr="00060362" w:rsidRDefault="009F09DA" w:rsidP="009F09DA">
      <w:pPr>
        <w:pStyle w:val="ParaNoNdepar-AltN"/>
        <w:rPr>
          <w:rFonts w:cs="Times New Roman"/>
          <w:lang w:val="fr-CA"/>
        </w:rPr>
      </w:pPr>
      <w:r>
        <w:rPr>
          <w:rFonts w:cs="Times New Roman"/>
          <w:lang w:val="fr-CA"/>
        </w:rPr>
        <w:t xml:space="preserve">Bien que la conclusion d’erreur judiciaire à laquelle est arrivée la Cour d’appel ait pu </w:t>
      </w:r>
      <w:r w:rsidRPr="00FD589D">
        <w:rPr>
          <w:rFonts w:cs="Times New Roman"/>
          <w:lang w:val="fr-CA"/>
        </w:rPr>
        <w:t>accroître l</w:t>
      </w:r>
      <w:r>
        <w:rPr>
          <w:rFonts w:cs="Times New Roman"/>
          <w:lang w:val="fr-CA"/>
        </w:rPr>
        <w:t>’</w:t>
      </w:r>
      <w:r w:rsidRPr="00FD589D">
        <w:rPr>
          <w:rFonts w:cs="Times New Roman"/>
          <w:lang w:val="fr-CA"/>
        </w:rPr>
        <w:t>intérêt du public à l</w:t>
      </w:r>
      <w:r>
        <w:rPr>
          <w:rFonts w:cs="Times New Roman"/>
          <w:lang w:val="fr-CA"/>
        </w:rPr>
        <w:t>’</w:t>
      </w:r>
      <w:r w:rsidRPr="00FD589D">
        <w:rPr>
          <w:rFonts w:cs="Times New Roman"/>
          <w:lang w:val="fr-CA"/>
        </w:rPr>
        <w:t>égard des documents, la Cour d</w:t>
      </w:r>
      <w:r>
        <w:rPr>
          <w:rFonts w:cs="Times New Roman"/>
          <w:lang w:val="fr-CA"/>
        </w:rPr>
        <w:t>’</w:t>
      </w:r>
      <w:r w:rsidRPr="00FD589D">
        <w:rPr>
          <w:rFonts w:cs="Times New Roman"/>
          <w:lang w:val="fr-CA"/>
        </w:rPr>
        <w:t>appel a conclu à l</w:t>
      </w:r>
      <w:r>
        <w:rPr>
          <w:rFonts w:cs="Times New Roman"/>
          <w:lang w:val="fr-CA"/>
        </w:rPr>
        <w:t>’</w:t>
      </w:r>
      <w:r w:rsidRPr="00FD589D">
        <w:rPr>
          <w:rFonts w:cs="Times New Roman"/>
          <w:lang w:val="fr-CA"/>
        </w:rPr>
        <w:t>existence de cette erreur dans</w:t>
      </w:r>
      <w:r>
        <w:rPr>
          <w:rFonts w:cs="Times New Roman"/>
          <w:lang w:val="fr-CA"/>
        </w:rPr>
        <w:t xml:space="preserve"> le jugement de 2018 sur l’interdiction de publication, où elle a ordonné le maintien de l’interdiction de publication</w:t>
      </w:r>
      <w:r w:rsidRPr="00060362">
        <w:rPr>
          <w:rFonts w:cs="Times New Roman"/>
          <w:lang w:val="fr-CA"/>
        </w:rPr>
        <w:t xml:space="preserve">. </w:t>
      </w:r>
      <w:r>
        <w:rPr>
          <w:rFonts w:cs="Times New Roman"/>
          <w:lang w:val="fr-CA"/>
        </w:rPr>
        <w:t>Il ne peut donc s’agir d’un changement de circonstances qui s’est produit</w:t>
      </w:r>
      <w:r w:rsidRPr="00060362">
        <w:rPr>
          <w:rFonts w:cs="Times New Roman"/>
          <w:lang w:val="fr-CA"/>
        </w:rPr>
        <w:t xml:space="preserve"> </w:t>
      </w:r>
      <w:r>
        <w:rPr>
          <w:rFonts w:cs="Times New Roman"/>
          <w:i/>
          <w:lang w:val="fr-CA"/>
        </w:rPr>
        <w:t>depuis</w:t>
      </w:r>
      <w:r w:rsidRPr="00060362">
        <w:rPr>
          <w:rFonts w:cs="Times New Roman"/>
          <w:lang w:val="fr-CA"/>
        </w:rPr>
        <w:t xml:space="preserve"> </w:t>
      </w:r>
      <w:r>
        <w:rPr>
          <w:rFonts w:cs="Times New Roman"/>
          <w:lang w:val="fr-CA"/>
        </w:rPr>
        <w:t>le prononcé de l’ordonnance contestée</w:t>
      </w:r>
      <w:r w:rsidRPr="00060362">
        <w:rPr>
          <w:rFonts w:cs="Times New Roman"/>
          <w:lang w:val="fr-CA"/>
        </w:rPr>
        <w:t xml:space="preserve">, </w:t>
      </w:r>
      <w:r>
        <w:rPr>
          <w:rFonts w:cs="Times New Roman"/>
          <w:lang w:val="fr-CA"/>
        </w:rPr>
        <w:t>comme le veut la règle</w:t>
      </w:r>
      <w:r w:rsidRPr="00060362">
        <w:rPr>
          <w:rFonts w:cs="Times New Roman"/>
          <w:lang w:val="fr-CA"/>
        </w:rPr>
        <w:t xml:space="preserve"> (</w:t>
      </w:r>
      <w:r w:rsidRPr="00060362">
        <w:rPr>
          <w:rFonts w:cs="Times New Roman"/>
          <w:i/>
          <w:lang w:val="fr-CA"/>
        </w:rPr>
        <w:t>Adams</w:t>
      </w:r>
      <w:r w:rsidRPr="00060362">
        <w:rPr>
          <w:rFonts w:cs="Times New Roman"/>
          <w:lang w:val="fr-CA"/>
        </w:rPr>
        <w:t xml:space="preserve">, </w:t>
      </w:r>
      <w:r>
        <w:rPr>
          <w:rFonts w:cs="Times New Roman"/>
          <w:lang w:val="fr-CA"/>
        </w:rPr>
        <w:t>par. </w:t>
      </w:r>
      <w:r w:rsidRPr="00060362">
        <w:rPr>
          <w:rFonts w:cs="Times New Roman"/>
          <w:lang w:val="fr-CA"/>
        </w:rPr>
        <w:t xml:space="preserve">30; </w:t>
      </w:r>
      <w:r w:rsidRPr="00060362">
        <w:rPr>
          <w:rFonts w:cs="Times New Roman"/>
          <w:i/>
          <w:lang w:val="fr-CA"/>
        </w:rPr>
        <w:t>L.M.P</w:t>
      </w:r>
      <w:r w:rsidRPr="00060362">
        <w:rPr>
          <w:rFonts w:cs="Times New Roman"/>
          <w:lang w:val="fr-CA"/>
        </w:rPr>
        <w:t xml:space="preserve">., </w:t>
      </w:r>
      <w:r>
        <w:rPr>
          <w:rFonts w:cs="Times New Roman"/>
          <w:lang w:val="fr-CA"/>
        </w:rPr>
        <w:t>par. </w:t>
      </w:r>
      <w:r w:rsidRPr="00060362">
        <w:rPr>
          <w:rFonts w:cs="Times New Roman"/>
          <w:lang w:val="fr-CA"/>
        </w:rPr>
        <w:t>31).</w:t>
      </w:r>
    </w:p>
    <w:p w:rsidR="009F09DA" w:rsidRPr="009D6A6D" w:rsidRDefault="009F09DA" w:rsidP="009F09DA">
      <w:pPr>
        <w:pStyle w:val="ParaNoNdepar-AltN"/>
        <w:rPr>
          <w:rFonts w:cs="Times New Roman"/>
          <w:lang w:val="fr-CA"/>
        </w:rPr>
      </w:pPr>
      <w:r w:rsidRPr="009D6A6D">
        <w:rPr>
          <w:rFonts w:cs="Times New Roman"/>
          <w:lang w:val="fr-CA"/>
        </w:rPr>
        <w:t>De même, la comparution</w:t>
      </w:r>
      <w:r>
        <w:rPr>
          <w:rFonts w:cs="Times New Roman"/>
          <w:lang w:val="fr-CA"/>
        </w:rPr>
        <w:t xml:space="preserve"> subséquente de la SRC dans l’instance en qualité de partie ne constituait pas</w:t>
      </w:r>
      <w:r w:rsidRPr="00060362">
        <w:rPr>
          <w:rFonts w:cs="Times New Roman"/>
          <w:lang w:val="fr-CA"/>
        </w:rPr>
        <w:t xml:space="preserve">, </w:t>
      </w:r>
      <w:r>
        <w:rPr>
          <w:rFonts w:cs="Times New Roman"/>
          <w:lang w:val="fr-CA"/>
        </w:rPr>
        <w:t>en soi</w:t>
      </w:r>
      <w:r w:rsidRPr="00060362">
        <w:rPr>
          <w:rFonts w:cs="Times New Roman"/>
          <w:lang w:val="fr-CA"/>
        </w:rPr>
        <w:t xml:space="preserve">, </w:t>
      </w:r>
      <w:r>
        <w:rPr>
          <w:rFonts w:cs="Times New Roman"/>
          <w:lang w:val="fr-CA"/>
        </w:rPr>
        <w:t>un changement important de circonstances</w:t>
      </w:r>
      <w:r w:rsidRPr="00060362">
        <w:rPr>
          <w:rFonts w:cs="Times New Roman"/>
          <w:lang w:val="fr-CA"/>
        </w:rPr>
        <w:t xml:space="preserve">. </w:t>
      </w:r>
      <w:r>
        <w:rPr>
          <w:rFonts w:cs="Times New Roman"/>
          <w:lang w:val="fr-CA"/>
        </w:rPr>
        <w:t>En présumant que l’ordonnance initiale était bien fondée</w:t>
      </w:r>
      <w:r w:rsidRPr="00060362">
        <w:rPr>
          <w:rFonts w:cs="Times New Roman"/>
          <w:lang w:val="fr-CA"/>
        </w:rPr>
        <w:t xml:space="preserve">, </w:t>
      </w:r>
      <w:r>
        <w:rPr>
          <w:rFonts w:cs="Times New Roman"/>
          <w:lang w:val="fr-CA"/>
        </w:rPr>
        <w:t>comme on doit le faire à ce stade</w:t>
      </w:r>
      <w:r w:rsidRPr="00060362">
        <w:rPr>
          <w:rFonts w:cs="Times New Roman"/>
          <w:lang w:val="fr-CA"/>
        </w:rPr>
        <w:t xml:space="preserve"> (</w:t>
      </w:r>
      <w:r w:rsidRPr="00060362">
        <w:rPr>
          <w:rFonts w:cs="Times New Roman"/>
          <w:i/>
          <w:lang w:val="fr-CA"/>
        </w:rPr>
        <w:t>L.M.P.</w:t>
      </w:r>
      <w:r w:rsidRPr="00060362">
        <w:rPr>
          <w:rFonts w:cs="Times New Roman"/>
          <w:lang w:val="fr-CA"/>
        </w:rPr>
        <w:t xml:space="preserve">, </w:t>
      </w:r>
      <w:r>
        <w:rPr>
          <w:rFonts w:cs="Times New Roman"/>
          <w:lang w:val="fr-CA"/>
        </w:rPr>
        <w:t>par. </w:t>
      </w:r>
      <w:r w:rsidRPr="00060362">
        <w:rPr>
          <w:rFonts w:cs="Times New Roman"/>
          <w:lang w:val="fr-CA"/>
        </w:rPr>
        <w:t xml:space="preserve">33), </w:t>
      </w:r>
      <w:r>
        <w:rPr>
          <w:rFonts w:cs="Times New Roman"/>
          <w:lang w:val="fr-CA"/>
        </w:rPr>
        <w:t xml:space="preserve">et en reconnaissant que la SRC n’avait pas présenté d’observations portant sur l’ordonnance </w:t>
      </w:r>
      <w:r w:rsidRPr="00D95D75">
        <w:rPr>
          <w:rFonts w:cs="Times New Roman"/>
          <w:lang w:val="fr-CA"/>
        </w:rPr>
        <w:t>initiale, j</w:t>
      </w:r>
      <w:r>
        <w:rPr>
          <w:rFonts w:cs="Times New Roman"/>
          <w:lang w:val="fr-CA"/>
        </w:rPr>
        <w:t>’</w:t>
      </w:r>
      <w:r w:rsidRPr="00D95D75">
        <w:rPr>
          <w:rFonts w:cs="Times New Roman"/>
          <w:lang w:val="fr-CA"/>
        </w:rPr>
        <w:t>estime que la simple présence de la SRC n</w:t>
      </w:r>
      <w:r>
        <w:rPr>
          <w:rFonts w:cs="Times New Roman"/>
          <w:lang w:val="fr-CA"/>
        </w:rPr>
        <w:t>’</w:t>
      </w:r>
      <w:r w:rsidRPr="00D95D75">
        <w:rPr>
          <w:rFonts w:cs="Times New Roman"/>
          <w:lang w:val="fr-CA"/>
        </w:rPr>
        <w:t>aurait vraisemblablement pas donné lieu à un résultat différent pour les besoins du test applicable. Cela n</w:t>
      </w:r>
      <w:r>
        <w:rPr>
          <w:rFonts w:cs="Times New Roman"/>
          <w:lang w:val="fr-CA"/>
        </w:rPr>
        <w:t>’</w:t>
      </w:r>
      <w:r w:rsidRPr="00D95D75">
        <w:rPr>
          <w:rFonts w:cs="Times New Roman"/>
          <w:lang w:val="fr-CA"/>
        </w:rPr>
        <w:t>exclut pas la possibilité que le résultat e</w:t>
      </w:r>
      <w:r>
        <w:rPr>
          <w:rFonts w:cs="Times New Roman"/>
          <w:lang w:val="fr-CA"/>
        </w:rPr>
        <w:t>û</w:t>
      </w:r>
      <w:r w:rsidRPr="00D95D75">
        <w:rPr>
          <w:rFonts w:cs="Times New Roman"/>
          <w:lang w:val="fr-CA"/>
        </w:rPr>
        <w:t xml:space="preserve">t été différent si la SRC avait présenté des </w:t>
      </w:r>
      <w:r>
        <w:rPr>
          <w:rFonts w:cs="Times New Roman"/>
          <w:lang w:val="fr-CA"/>
        </w:rPr>
        <w:t>observations</w:t>
      </w:r>
      <w:r w:rsidRPr="00D95D75">
        <w:rPr>
          <w:rFonts w:cs="Times New Roman"/>
          <w:lang w:val="fr-CA"/>
        </w:rPr>
        <w:t>. Mais en reconnaissant cette possibilité, on doit se demander si la Cour d</w:t>
      </w:r>
      <w:r>
        <w:rPr>
          <w:rFonts w:cs="Times New Roman"/>
          <w:lang w:val="fr-CA"/>
        </w:rPr>
        <w:t>’</w:t>
      </w:r>
      <w:r w:rsidRPr="00D95D75">
        <w:rPr>
          <w:rFonts w:cs="Times New Roman"/>
          <w:lang w:val="fr-CA"/>
        </w:rPr>
        <w:t xml:space="preserve">appel </w:t>
      </w:r>
      <w:proofErr w:type="gramStart"/>
      <w:r w:rsidRPr="00D95D75">
        <w:rPr>
          <w:rFonts w:cs="Times New Roman"/>
          <w:lang w:val="fr-CA"/>
        </w:rPr>
        <w:t>a</w:t>
      </w:r>
      <w:proofErr w:type="gramEnd"/>
      <w:r w:rsidRPr="00D95D75">
        <w:rPr>
          <w:rFonts w:cs="Times New Roman"/>
          <w:lang w:val="fr-CA"/>
        </w:rPr>
        <w:t xml:space="preserve"> peut</w:t>
      </w:r>
      <w:r>
        <w:rPr>
          <w:rFonts w:cs="Times New Roman"/>
          <w:lang w:val="fr-CA"/>
        </w:rPr>
        <w:noBreakHyphen/>
      </w:r>
      <w:r w:rsidRPr="00D95D75">
        <w:rPr>
          <w:rFonts w:cs="Times New Roman"/>
          <w:lang w:val="fr-CA"/>
        </w:rPr>
        <w:t>être fait erreur dans l</w:t>
      </w:r>
      <w:r>
        <w:rPr>
          <w:rFonts w:cs="Times New Roman"/>
          <w:lang w:val="fr-CA"/>
        </w:rPr>
        <w:t>’</w:t>
      </w:r>
      <w:r w:rsidRPr="00D95D75">
        <w:rPr>
          <w:rFonts w:cs="Times New Roman"/>
          <w:lang w:val="fr-CA"/>
        </w:rPr>
        <w:t>application du test</w:t>
      </w:r>
      <w:r>
        <w:rPr>
          <w:rFonts w:cs="Times New Roman"/>
          <w:lang w:val="fr-CA"/>
        </w:rPr>
        <w:t xml:space="preserve"> en question</w:t>
      </w:r>
      <w:r w:rsidRPr="00D95D75">
        <w:rPr>
          <w:rFonts w:cs="Times New Roman"/>
          <w:lang w:val="fr-CA"/>
        </w:rPr>
        <w:t xml:space="preserve"> sans avoir pris connaissance de l</w:t>
      </w:r>
      <w:r>
        <w:rPr>
          <w:rFonts w:cs="Times New Roman"/>
          <w:lang w:val="fr-CA"/>
        </w:rPr>
        <w:t>’</w:t>
      </w:r>
      <w:r w:rsidRPr="00D95D75">
        <w:rPr>
          <w:rFonts w:cs="Times New Roman"/>
          <w:lang w:val="fr-CA"/>
        </w:rPr>
        <w:t xml:space="preserve">argument de la SRC. </w:t>
      </w:r>
      <w:r>
        <w:rPr>
          <w:rFonts w:cs="Times New Roman"/>
          <w:lang w:val="fr-CA"/>
        </w:rPr>
        <w:t xml:space="preserve">Cela va à l’encontre du principe </w:t>
      </w:r>
      <w:r w:rsidRPr="00D95D75">
        <w:rPr>
          <w:rFonts w:cs="Times New Roman"/>
          <w:lang w:val="fr-CA"/>
        </w:rPr>
        <w:t>bien établi</w:t>
      </w:r>
      <w:r>
        <w:rPr>
          <w:rFonts w:cs="Times New Roman"/>
          <w:lang w:val="fr-CA"/>
        </w:rPr>
        <w:t xml:space="preserve"> voulant</w:t>
      </w:r>
      <w:r w:rsidRPr="00D95D75">
        <w:rPr>
          <w:rFonts w:cs="Times New Roman"/>
          <w:lang w:val="fr-CA"/>
        </w:rPr>
        <w:t xml:space="preserve"> </w:t>
      </w:r>
      <w:r w:rsidRPr="00567570">
        <w:rPr>
          <w:rFonts w:cs="Times New Roman"/>
          <w:lang w:val="fr-CA"/>
        </w:rPr>
        <w:t>qu</w:t>
      </w:r>
      <w:r>
        <w:rPr>
          <w:rFonts w:cs="Times New Roman"/>
          <w:lang w:val="fr-CA"/>
        </w:rPr>
        <w:t>’</w:t>
      </w:r>
      <w:r w:rsidRPr="00567570">
        <w:rPr>
          <w:rFonts w:cs="Times New Roman"/>
          <w:lang w:val="fr-CA"/>
        </w:rPr>
        <w:t>on ne doive pas envisager la possibilité que le tribunal d</w:t>
      </w:r>
      <w:r>
        <w:rPr>
          <w:rFonts w:cs="Times New Roman"/>
          <w:lang w:val="fr-CA"/>
        </w:rPr>
        <w:t>’</w:t>
      </w:r>
      <w:r w:rsidRPr="00567570">
        <w:rPr>
          <w:rFonts w:cs="Times New Roman"/>
          <w:lang w:val="fr-CA"/>
        </w:rPr>
        <w:t>origine ait commis une erreur au moment de décider s</w:t>
      </w:r>
      <w:r>
        <w:rPr>
          <w:rFonts w:cs="Times New Roman"/>
          <w:lang w:val="fr-CA"/>
        </w:rPr>
        <w:t>’</w:t>
      </w:r>
      <w:r w:rsidRPr="00567570">
        <w:rPr>
          <w:rFonts w:cs="Times New Roman"/>
          <w:lang w:val="fr-CA"/>
        </w:rPr>
        <w:t xml:space="preserve">il y a eu un changement important </w:t>
      </w:r>
      <w:r w:rsidRPr="00D95D75">
        <w:rPr>
          <w:rFonts w:cs="Times New Roman"/>
          <w:lang w:val="fr-CA"/>
        </w:rPr>
        <w:t>(</w:t>
      </w:r>
      <w:r w:rsidRPr="00D95D75">
        <w:rPr>
          <w:rFonts w:cs="Times New Roman"/>
          <w:i/>
          <w:lang w:val="fr-CA"/>
        </w:rPr>
        <w:t>L.M.P.</w:t>
      </w:r>
      <w:r w:rsidRPr="00D95D75">
        <w:rPr>
          <w:rFonts w:cs="Times New Roman"/>
          <w:lang w:val="fr-CA"/>
        </w:rPr>
        <w:t xml:space="preserve">, </w:t>
      </w:r>
      <w:r>
        <w:rPr>
          <w:rFonts w:cs="Times New Roman"/>
          <w:lang w:val="fr-CA"/>
        </w:rPr>
        <w:t>par. </w:t>
      </w:r>
      <w:r w:rsidRPr="00D95D75">
        <w:rPr>
          <w:rFonts w:cs="Times New Roman"/>
          <w:lang w:val="fr-CA"/>
        </w:rPr>
        <w:t>33</w:t>
      </w:r>
      <w:r w:rsidRPr="009D6A6D">
        <w:rPr>
          <w:rFonts w:cs="Times New Roman"/>
          <w:lang w:val="fr-CA"/>
        </w:rPr>
        <w:t xml:space="preserve">). On présume donc à ce stade que la </w:t>
      </w:r>
      <w:r>
        <w:rPr>
          <w:rFonts w:cs="Times New Roman"/>
          <w:lang w:val="fr-CA"/>
        </w:rPr>
        <w:t xml:space="preserve">Cour </w:t>
      </w:r>
      <w:r w:rsidRPr="009D6A6D">
        <w:rPr>
          <w:rFonts w:cs="Times New Roman"/>
          <w:lang w:val="fr-CA"/>
        </w:rPr>
        <w:t>d</w:t>
      </w:r>
      <w:r>
        <w:rPr>
          <w:rFonts w:cs="Times New Roman"/>
          <w:lang w:val="fr-CA"/>
        </w:rPr>
        <w:t>’</w:t>
      </w:r>
      <w:r w:rsidRPr="009D6A6D">
        <w:rPr>
          <w:rFonts w:cs="Times New Roman"/>
          <w:lang w:val="fr-CA"/>
        </w:rPr>
        <w:t>appel a mis en balance, comme elle doit le faire, l</w:t>
      </w:r>
      <w:r>
        <w:rPr>
          <w:rFonts w:cs="Times New Roman"/>
          <w:lang w:val="fr-CA"/>
        </w:rPr>
        <w:t>’</w:t>
      </w:r>
      <w:r w:rsidRPr="009D6A6D">
        <w:rPr>
          <w:rFonts w:cs="Times New Roman"/>
          <w:lang w:val="fr-CA"/>
        </w:rPr>
        <w:t>intérêt des médias dans la publicité des débats judiciaires et les intérêts publics opposés, même en l</w:t>
      </w:r>
      <w:r>
        <w:rPr>
          <w:rFonts w:cs="Times New Roman"/>
          <w:lang w:val="fr-CA"/>
        </w:rPr>
        <w:t>’</w:t>
      </w:r>
      <w:r w:rsidRPr="009D6A6D">
        <w:rPr>
          <w:rFonts w:cs="Times New Roman"/>
          <w:lang w:val="fr-CA"/>
        </w:rPr>
        <w:t>absence d</w:t>
      </w:r>
      <w:r>
        <w:rPr>
          <w:rFonts w:cs="Times New Roman"/>
          <w:lang w:val="fr-CA"/>
        </w:rPr>
        <w:t>’</w:t>
      </w:r>
      <w:r w:rsidRPr="009D6A6D">
        <w:rPr>
          <w:rFonts w:cs="Times New Roman"/>
          <w:lang w:val="fr-CA"/>
        </w:rPr>
        <w:t>un représentant de la presse (</w:t>
      </w:r>
      <w:r w:rsidRPr="009D6A6D">
        <w:rPr>
          <w:rFonts w:cs="Times New Roman"/>
          <w:i/>
          <w:lang w:val="fr-CA"/>
        </w:rPr>
        <w:t>Mentuck</w:t>
      </w:r>
      <w:r w:rsidRPr="009D6A6D">
        <w:rPr>
          <w:rFonts w:cs="Times New Roman"/>
          <w:lang w:val="fr-CA"/>
        </w:rPr>
        <w:t xml:space="preserve">, </w:t>
      </w:r>
      <w:r>
        <w:rPr>
          <w:rFonts w:cs="Times New Roman"/>
          <w:lang w:val="fr-CA"/>
        </w:rPr>
        <w:t>par. </w:t>
      </w:r>
      <w:r w:rsidRPr="009D6A6D">
        <w:rPr>
          <w:rFonts w:cs="Times New Roman"/>
          <w:lang w:val="fr-CA"/>
        </w:rPr>
        <w:t>38). Il vaut mieux examiner l</w:t>
      </w:r>
      <w:r>
        <w:rPr>
          <w:rFonts w:cs="Times New Roman"/>
          <w:lang w:val="fr-CA"/>
        </w:rPr>
        <w:t>’</w:t>
      </w:r>
      <w:r w:rsidRPr="009D6A6D">
        <w:rPr>
          <w:rFonts w:cs="Times New Roman"/>
          <w:lang w:val="fr-CA"/>
        </w:rPr>
        <w:t>absence de la SRC lors du prononcé de l</w:t>
      </w:r>
      <w:r>
        <w:rPr>
          <w:rFonts w:cs="Times New Roman"/>
          <w:lang w:val="fr-CA"/>
        </w:rPr>
        <w:t>’</w:t>
      </w:r>
      <w:r w:rsidRPr="009D6A6D">
        <w:rPr>
          <w:rFonts w:cs="Times New Roman"/>
          <w:lang w:val="fr-CA"/>
        </w:rPr>
        <w:t>ordonnance initiale en fonction des principes applicables aux ordonnances rendues sans qu</w:t>
      </w:r>
      <w:r>
        <w:rPr>
          <w:rFonts w:cs="Times New Roman"/>
          <w:lang w:val="fr-CA"/>
        </w:rPr>
        <w:t>’</w:t>
      </w:r>
      <w:r w:rsidRPr="009D6A6D">
        <w:rPr>
          <w:rFonts w:cs="Times New Roman"/>
          <w:lang w:val="fr-CA"/>
        </w:rPr>
        <w:t>une partie touchée en ait été avisée, car il s</w:t>
      </w:r>
      <w:r>
        <w:rPr>
          <w:rFonts w:cs="Times New Roman"/>
          <w:lang w:val="fr-CA"/>
        </w:rPr>
        <w:t>’</w:t>
      </w:r>
      <w:r w:rsidRPr="009D6A6D">
        <w:rPr>
          <w:rFonts w:cs="Times New Roman"/>
          <w:lang w:val="fr-CA"/>
        </w:rPr>
        <w:t>agit d</w:t>
      </w:r>
      <w:r>
        <w:rPr>
          <w:rFonts w:cs="Times New Roman"/>
          <w:lang w:val="fr-CA"/>
        </w:rPr>
        <w:t>’</w:t>
      </w:r>
      <w:r w:rsidRPr="009D6A6D">
        <w:rPr>
          <w:rFonts w:cs="Times New Roman"/>
          <w:lang w:val="fr-CA"/>
        </w:rPr>
        <w:t>une occasion perdue de présenter des observations, et non au regard d</w:t>
      </w:r>
      <w:r>
        <w:rPr>
          <w:rFonts w:cs="Times New Roman"/>
          <w:lang w:val="fr-CA"/>
        </w:rPr>
        <w:t>’</w:t>
      </w:r>
      <w:r w:rsidRPr="009D6A6D">
        <w:rPr>
          <w:rFonts w:cs="Times New Roman"/>
          <w:lang w:val="fr-CA"/>
        </w:rPr>
        <w:t>un changement de circonstances invoqué par la Cour d</w:t>
      </w:r>
      <w:r>
        <w:rPr>
          <w:rFonts w:cs="Times New Roman"/>
          <w:lang w:val="fr-CA"/>
        </w:rPr>
        <w:t>’</w:t>
      </w:r>
      <w:r w:rsidRPr="009D6A6D">
        <w:rPr>
          <w:rFonts w:cs="Times New Roman"/>
          <w:lang w:val="fr-CA"/>
        </w:rPr>
        <w:t xml:space="preserve">appel. </w:t>
      </w:r>
    </w:p>
    <w:p w:rsidR="009F09DA" w:rsidRPr="00060362" w:rsidRDefault="009F09DA" w:rsidP="009F09DA">
      <w:pPr>
        <w:pStyle w:val="ParaNoNdepar-AltN"/>
        <w:rPr>
          <w:rFonts w:cs="Times New Roman"/>
          <w:lang w:val="fr-CA"/>
        </w:rPr>
      </w:pPr>
      <w:r w:rsidRPr="009D6A6D">
        <w:rPr>
          <w:rFonts w:cs="Times New Roman"/>
          <w:lang w:val="fr-CA"/>
        </w:rPr>
        <w:t>En somme, la Cour d</w:t>
      </w:r>
      <w:r>
        <w:rPr>
          <w:rFonts w:cs="Times New Roman"/>
          <w:lang w:val="fr-CA"/>
        </w:rPr>
        <w:t>’</w:t>
      </w:r>
      <w:r w:rsidRPr="009D6A6D">
        <w:rPr>
          <w:rFonts w:cs="Times New Roman"/>
          <w:lang w:val="fr-CA"/>
        </w:rPr>
        <w:t xml:space="preserve">appel a eu tort de conclure que la règle 46.2 ou la règle du </w:t>
      </w:r>
      <w:r w:rsidRPr="009D6A6D">
        <w:rPr>
          <w:rFonts w:cs="Times New Roman"/>
          <w:i/>
          <w:lang w:val="fr-CA"/>
        </w:rPr>
        <w:t>functus officio</w:t>
      </w:r>
      <w:r w:rsidRPr="009D6A6D">
        <w:rPr>
          <w:rFonts w:cs="Times New Roman"/>
          <w:lang w:val="fr-CA"/>
        </w:rPr>
        <w:t xml:space="preserve"> lui enlevait compétence pour entendre la motion de la SRC. Soit dit respectueusement, l</w:t>
      </w:r>
      <w:r>
        <w:rPr>
          <w:rFonts w:cs="Times New Roman"/>
          <w:lang w:val="fr-CA"/>
        </w:rPr>
        <w:t>’</w:t>
      </w:r>
      <w:r w:rsidRPr="009D6A6D">
        <w:rPr>
          <w:rFonts w:cs="Times New Roman"/>
          <w:lang w:val="fr-CA"/>
        </w:rPr>
        <w:t>interprétation que donne la Cour d</w:t>
      </w:r>
      <w:r>
        <w:rPr>
          <w:rFonts w:cs="Times New Roman"/>
          <w:lang w:val="fr-CA"/>
        </w:rPr>
        <w:t>’</w:t>
      </w:r>
      <w:r w:rsidRPr="009D6A6D">
        <w:rPr>
          <w:rFonts w:cs="Times New Roman"/>
          <w:lang w:val="fr-CA"/>
        </w:rPr>
        <w:t>appel de ces principes n</w:t>
      </w:r>
      <w:r>
        <w:rPr>
          <w:rFonts w:cs="Times New Roman"/>
          <w:lang w:val="fr-CA"/>
        </w:rPr>
        <w:t>’</w:t>
      </w:r>
      <w:r w:rsidRPr="009D6A6D">
        <w:rPr>
          <w:rFonts w:cs="Times New Roman"/>
          <w:lang w:val="fr-CA"/>
        </w:rPr>
        <w:t>était pas nécessaire afin de protéger les valeurs du caractère définitif des procédures et du déroulement ordonné de l</w:t>
      </w:r>
      <w:r>
        <w:rPr>
          <w:rFonts w:cs="Times New Roman"/>
          <w:lang w:val="fr-CA"/>
        </w:rPr>
        <w:t>’</w:t>
      </w:r>
      <w:r w:rsidRPr="009D6A6D">
        <w:rPr>
          <w:rFonts w:cs="Times New Roman"/>
          <w:lang w:val="fr-CA"/>
        </w:rPr>
        <w:t>examen en appel. Elle a eu des effets</w:t>
      </w:r>
      <w:r>
        <w:rPr>
          <w:rFonts w:cs="Times New Roman"/>
          <w:lang w:val="fr-CA"/>
        </w:rPr>
        <w:t xml:space="preserve"> préjudiciables sur l’occasion des médias de présenter des observations à l’égard de cette ordonnance limitant le principe de la publicité des débats judiciaires</w:t>
      </w:r>
      <w:r w:rsidRPr="00060362">
        <w:rPr>
          <w:rFonts w:cs="Times New Roman"/>
          <w:lang w:val="fr-CA"/>
        </w:rPr>
        <w:t xml:space="preserve">. </w:t>
      </w:r>
      <w:r>
        <w:rPr>
          <w:rFonts w:cs="Times New Roman"/>
          <w:lang w:val="fr-CA"/>
        </w:rPr>
        <w:t>De fait, la Cour d’appel est demeurée compétente pour surveiller son dossier, même après que le certificat de décision dans l’instance sous</w:t>
      </w:r>
      <w:r>
        <w:rPr>
          <w:rFonts w:cs="Times New Roman"/>
          <w:lang w:val="fr-CA"/>
        </w:rPr>
        <w:noBreakHyphen/>
        <w:t>jacente sur le fond ait été inscrit</w:t>
      </w:r>
      <w:r w:rsidRPr="00060362">
        <w:rPr>
          <w:rFonts w:cs="Times New Roman"/>
          <w:lang w:val="fr-CA"/>
        </w:rPr>
        <w:t xml:space="preserve">. </w:t>
      </w:r>
    </w:p>
    <w:p w:rsidR="009F09DA" w:rsidRPr="00060362" w:rsidRDefault="009F09DA" w:rsidP="009F09DA">
      <w:pPr>
        <w:pStyle w:val="Title3LevelTitre3Niveau"/>
        <w:numPr>
          <w:ilvl w:val="2"/>
          <w:numId w:val="8"/>
        </w:numPr>
        <w:jc w:val="left"/>
        <w:rPr>
          <w:rFonts w:cs="Times New Roman"/>
          <w:lang w:val="fr-CA"/>
        </w:rPr>
      </w:pPr>
      <w:r>
        <w:rPr>
          <w:rFonts w:cs="Times New Roman"/>
          <w:lang w:val="fr-CA"/>
        </w:rPr>
        <w:t xml:space="preserve">L’affaire </w:t>
      </w:r>
      <w:r w:rsidRPr="00601E18">
        <w:rPr>
          <w:rFonts w:cs="Times New Roman"/>
          <w:lang w:val="fr-CA"/>
        </w:rPr>
        <w:t>doit être renvoyée</w:t>
      </w:r>
      <w:r>
        <w:rPr>
          <w:rFonts w:cs="Times New Roman"/>
          <w:lang w:val="fr-CA"/>
        </w:rPr>
        <w:t xml:space="preserve"> à la Cour d’appel</w:t>
      </w:r>
    </w:p>
    <w:p w:rsidR="009F09DA" w:rsidRPr="009D6A6D" w:rsidRDefault="009F09DA" w:rsidP="009F09DA">
      <w:pPr>
        <w:pStyle w:val="ParaNoNdepar-AltN"/>
        <w:rPr>
          <w:rFonts w:cs="Times New Roman"/>
          <w:lang w:val="fr-CA"/>
        </w:rPr>
      </w:pPr>
      <w:r>
        <w:rPr>
          <w:rFonts w:cs="Times New Roman"/>
          <w:lang w:val="fr-CA"/>
        </w:rPr>
        <w:t xml:space="preserve">Bien entendu, ce n’est pas parce que la Cour d’appel avait compétence pour </w:t>
      </w:r>
      <w:r w:rsidRPr="009D6A6D">
        <w:rPr>
          <w:rFonts w:cs="Times New Roman"/>
          <w:lang w:val="fr-CA"/>
        </w:rPr>
        <w:t>examiner la motion de la SRC et sa demande d</w:t>
      </w:r>
      <w:r>
        <w:rPr>
          <w:rFonts w:cs="Times New Roman"/>
          <w:lang w:val="fr-CA"/>
        </w:rPr>
        <w:t>’</w:t>
      </w:r>
      <w:r w:rsidRPr="009D6A6D">
        <w:rPr>
          <w:rFonts w:cs="Times New Roman"/>
          <w:lang w:val="fr-CA"/>
        </w:rPr>
        <w:t>accès à l</w:t>
      </w:r>
      <w:r>
        <w:rPr>
          <w:rFonts w:cs="Times New Roman"/>
          <w:lang w:val="fr-CA"/>
        </w:rPr>
        <w:t>’</w:t>
      </w:r>
      <w:r w:rsidRPr="009D6A6D">
        <w:rPr>
          <w:rFonts w:cs="Times New Roman"/>
          <w:lang w:val="fr-CA"/>
        </w:rPr>
        <w:t>affidavit de M</w:t>
      </w:r>
      <w:r w:rsidRPr="009D6A6D">
        <w:rPr>
          <w:rFonts w:cs="Times New Roman"/>
          <w:vertAlign w:val="superscript"/>
          <w:lang w:val="fr-CA"/>
        </w:rPr>
        <w:t>e</w:t>
      </w:r>
      <w:r w:rsidRPr="009D6A6D">
        <w:rPr>
          <w:rFonts w:cs="Times New Roman"/>
          <w:lang w:val="fr-CA"/>
        </w:rPr>
        <w:t> Posner que la SRC a droit à la mesure de redressement qu</w:t>
      </w:r>
      <w:r>
        <w:rPr>
          <w:rFonts w:cs="Times New Roman"/>
          <w:lang w:val="fr-CA"/>
        </w:rPr>
        <w:t>’</w:t>
      </w:r>
      <w:r w:rsidRPr="009D6A6D">
        <w:rPr>
          <w:rFonts w:cs="Times New Roman"/>
          <w:lang w:val="fr-CA"/>
        </w:rPr>
        <w:t>elle a demandée. La possibilité d</w:t>
      </w:r>
      <w:r>
        <w:rPr>
          <w:rFonts w:cs="Times New Roman"/>
          <w:lang w:val="fr-CA"/>
        </w:rPr>
        <w:t>’</w:t>
      </w:r>
      <w:r w:rsidRPr="009D6A6D">
        <w:rPr>
          <w:rFonts w:cs="Times New Roman"/>
          <w:lang w:val="fr-CA"/>
        </w:rPr>
        <w:t>obtenir cette mesure de redressement dépend d</w:t>
      </w:r>
      <w:r>
        <w:rPr>
          <w:rFonts w:cs="Times New Roman"/>
          <w:lang w:val="fr-CA"/>
        </w:rPr>
        <w:t>’</w:t>
      </w:r>
      <w:r w:rsidRPr="009D6A6D">
        <w:rPr>
          <w:rFonts w:cs="Times New Roman"/>
          <w:lang w:val="fr-CA"/>
        </w:rPr>
        <w:t>une bonne application du droit aux faits de l</w:t>
      </w:r>
      <w:r>
        <w:rPr>
          <w:rFonts w:cs="Times New Roman"/>
          <w:lang w:val="fr-CA"/>
        </w:rPr>
        <w:t>’</w:t>
      </w:r>
      <w:r w:rsidRPr="009D6A6D">
        <w:rPr>
          <w:rFonts w:cs="Times New Roman"/>
          <w:lang w:val="fr-CA"/>
        </w:rPr>
        <w:t>espèce, et c</w:t>
      </w:r>
      <w:r>
        <w:rPr>
          <w:rFonts w:cs="Times New Roman"/>
          <w:lang w:val="fr-CA"/>
        </w:rPr>
        <w:t>’</w:t>
      </w:r>
      <w:r w:rsidRPr="009D6A6D">
        <w:rPr>
          <w:rFonts w:cs="Times New Roman"/>
          <w:lang w:val="fr-CA"/>
        </w:rPr>
        <w:t>est la Cour d</w:t>
      </w:r>
      <w:r>
        <w:rPr>
          <w:rFonts w:cs="Times New Roman"/>
          <w:lang w:val="fr-CA"/>
        </w:rPr>
        <w:t>’</w:t>
      </w:r>
      <w:r w:rsidRPr="009D6A6D">
        <w:rPr>
          <w:rFonts w:cs="Times New Roman"/>
          <w:lang w:val="fr-CA"/>
        </w:rPr>
        <w:t>appel qui est la mieux à même d</w:t>
      </w:r>
      <w:r>
        <w:rPr>
          <w:rFonts w:cs="Times New Roman"/>
          <w:lang w:val="fr-CA"/>
        </w:rPr>
        <w:t>’</w:t>
      </w:r>
      <w:r w:rsidRPr="009D6A6D">
        <w:rPr>
          <w:rFonts w:cs="Times New Roman"/>
          <w:lang w:val="fr-CA"/>
        </w:rPr>
        <w:t>en décider en première instance.</w:t>
      </w:r>
    </w:p>
    <w:p w:rsidR="009F09DA" w:rsidRPr="00C5565E" w:rsidRDefault="009F09DA" w:rsidP="009F09DA">
      <w:pPr>
        <w:pStyle w:val="ParaNoNdepar-AltN"/>
        <w:rPr>
          <w:rFonts w:cs="Times New Roman"/>
          <w:lang w:val="fr-CA"/>
        </w:rPr>
      </w:pPr>
      <w:r w:rsidRPr="009D6A6D">
        <w:rPr>
          <w:rFonts w:cs="Times New Roman"/>
          <w:lang w:val="fr-CA"/>
        </w:rPr>
        <w:t>Pour ce qui est de l</w:t>
      </w:r>
      <w:r>
        <w:rPr>
          <w:rFonts w:cs="Times New Roman"/>
          <w:lang w:val="fr-CA"/>
        </w:rPr>
        <w:t>’</w:t>
      </w:r>
      <w:r w:rsidRPr="009D6A6D">
        <w:rPr>
          <w:rFonts w:cs="Times New Roman"/>
          <w:lang w:val="fr-CA"/>
        </w:rPr>
        <w:t>interdiction de publication, la SRC s</w:t>
      </w:r>
      <w:r>
        <w:rPr>
          <w:rFonts w:cs="Times New Roman"/>
          <w:lang w:val="fr-CA"/>
        </w:rPr>
        <w:t>’</w:t>
      </w:r>
      <w:r w:rsidRPr="009D6A6D">
        <w:rPr>
          <w:rFonts w:cs="Times New Roman"/>
          <w:lang w:val="fr-CA"/>
        </w:rPr>
        <w:t>appuiera sur le pouvoir de la Cour d</w:t>
      </w:r>
      <w:r>
        <w:rPr>
          <w:rFonts w:cs="Times New Roman"/>
          <w:lang w:val="fr-CA"/>
        </w:rPr>
        <w:t>’</w:t>
      </w:r>
      <w:r w:rsidRPr="009D6A6D">
        <w:rPr>
          <w:rFonts w:cs="Times New Roman"/>
          <w:lang w:val="fr-CA"/>
        </w:rPr>
        <w:t>appel d</w:t>
      </w:r>
      <w:r>
        <w:rPr>
          <w:rFonts w:cs="Times New Roman"/>
          <w:lang w:val="fr-CA"/>
        </w:rPr>
        <w:t>’</w:t>
      </w:r>
      <w:r w:rsidRPr="009D6A6D">
        <w:rPr>
          <w:rFonts w:cs="Times New Roman"/>
          <w:lang w:val="fr-CA"/>
        </w:rPr>
        <w:t>annuler une ordonnance au motif qu</w:t>
      </w:r>
      <w:r>
        <w:rPr>
          <w:rFonts w:cs="Times New Roman"/>
          <w:lang w:val="fr-CA"/>
        </w:rPr>
        <w:t>’</w:t>
      </w:r>
      <w:r w:rsidRPr="009D6A6D">
        <w:rPr>
          <w:rFonts w:cs="Times New Roman"/>
          <w:lang w:val="fr-CA"/>
        </w:rPr>
        <w:t>elle a été rendue sans avis à une partie touchée. À titre préliminaire, la Cour d</w:t>
      </w:r>
      <w:r>
        <w:rPr>
          <w:rFonts w:cs="Times New Roman"/>
          <w:lang w:val="fr-CA"/>
        </w:rPr>
        <w:t>’</w:t>
      </w:r>
      <w:r w:rsidRPr="009D6A6D">
        <w:rPr>
          <w:rFonts w:cs="Times New Roman"/>
          <w:lang w:val="fr-CA"/>
        </w:rPr>
        <w:t xml:space="preserve">appel </w:t>
      </w:r>
      <w:r>
        <w:rPr>
          <w:rFonts w:cs="Times New Roman"/>
          <w:lang w:val="fr-CA"/>
        </w:rPr>
        <w:t xml:space="preserve">doit se demander, compte tenu des </w:t>
      </w:r>
      <w:r w:rsidRPr="00C5565E">
        <w:rPr>
          <w:rFonts w:cs="Times New Roman"/>
          <w:lang w:val="fr-CA"/>
        </w:rPr>
        <w:t>principes sommairement exposés ci</w:t>
      </w:r>
      <w:r>
        <w:rPr>
          <w:rFonts w:cs="Times New Roman"/>
          <w:lang w:val="fr-CA"/>
        </w:rPr>
        <w:noBreakHyphen/>
      </w:r>
      <w:r w:rsidRPr="00C5565E">
        <w:rPr>
          <w:rFonts w:cs="Times New Roman"/>
          <w:lang w:val="fr-CA"/>
        </w:rPr>
        <w:t>dessus, si la SR</w:t>
      </w:r>
      <w:r>
        <w:rPr>
          <w:rFonts w:cs="Times New Roman"/>
          <w:lang w:val="fr-CA"/>
        </w:rPr>
        <w:t>C</w:t>
      </w:r>
      <w:r w:rsidRPr="00C5565E">
        <w:rPr>
          <w:rFonts w:cs="Times New Roman"/>
          <w:lang w:val="fr-CA"/>
        </w:rPr>
        <w:t xml:space="preserve"> a qualité pour contester l</w:t>
      </w:r>
      <w:r>
        <w:rPr>
          <w:rFonts w:cs="Times New Roman"/>
          <w:lang w:val="fr-CA"/>
        </w:rPr>
        <w:t>’</w:t>
      </w:r>
      <w:r w:rsidRPr="00C5565E">
        <w:rPr>
          <w:rFonts w:cs="Times New Roman"/>
          <w:lang w:val="fr-CA"/>
        </w:rPr>
        <w:t xml:space="preserve">ordonnance en question. Ce premier </w:t>
      </w:r>
      <w:r w:rsidRPr="009D6A6D">
        <w:rPr>
          <w:rFonts w:cs="Times New Roman"/>
          <w:lang w:val="fr-CA"/>
        </w:rPr>
        <w:t>obstacle, que doit surmonter la SRC, fait en sorte</w:t>
      </w:r>
      <w:r w:rsidRPr="00C5565E">
        <w:rPr>
          <w:rFonts w:cs="Times New Roman"/>
          <w:lang w:val="fr-CA"/>
        </w:rPr>
        <w:t xml:space="preserve"> que seuls les </w:t>
      </w:r>
      <w:r w:rsidRPr="009D6A6D">
        <w:rPr>
          <w:rFonts w:cs="Times New Roman"/>
          <w:lang w:val="fr-CA"/>
        </w:rPr>
        <w:t>représentants qui sont privés de la possibilité de présenter des observations utiles et susceptibles d</w:t>
      </w:r>
      <w:r>
        <w:rPr>
          <w:rFonts w:cs="Times New Roman"/>
          <w:lang w:val="fr-CA"/>
        </w:rPr>
        <w:t>’</w:t>
      </w:r>
      <w:r w:rsidRPr="009D6A6D">
        <w:rPr>
          <w:rFonts w:cs="Times New Roman"/>
          <w:lang w:val="fr-CA"/>
        </w:rPr>
        <w:t>avoir influé sur le résultat peuvent contester une ordonnance rendue sans que les médias en aient été avisés.</w:t>
      </w:r>
      <w:r w:rsidRPr="00C5565E">
        <w:rPr>
          <w:rFonts w:cs="Times New Roman"/>
          <w:lang w:val="fr-CA"/>
        </w:rPr>
        <w:t xml:space="preserve"> </w:t>
      </w:r>
    </w:p>
    <w:p w:rsidR="009F09DA" w:rsidRPr="00C5565E" w:rsidRDefault="009F09DA" w:rsidP="009F09DA">
      <w:pPr>
        <w:pStyle w:val="ParaNoNdepar-AltN"/>
        <w:rPr>
          <w:rFonts w:cs="Times New Roman"/>
          <w:lang w:val="fr-CA"/>
        </w:rPr>
      </w:pPr>
      <w:r>
        <w:rPr>
          <w:rFonts w:cs="Times New Roman"/>
          <w:lang w:val="fr-CA"/>
        </w:rPr>
        <w:t xml:space="preserve">La SRC aura également à démontrer que le délai qui s’est écoulé entre le moment où elle a pris connaissance de l’ordonnance contestée et le moment où elle a déposé sa motion en mai 2019 n’était pas </w:t>
      </w:r>
      <w:r w:rsidRPr="009D6A6D">
        <w:rPr>
          <w:rFonts w:cs="Times New Roman"/>
          <w:lang w:val="fr-CA"/>
        </w:rPr>
        <w:t>déraisonnable. Je prends note que la Couronne prétend que la SRC aurait dû présenter sa motion plus tôt. En réponse aux questions posées par mes collègues à l</w:t>
      </w:r>
      <w:r>
        <w:rPr>
          <w:rFonts w:cs="Times New Roman"/>
          <w:lang w:val="fr-CA"/>
        </w:rPr>
        <w:t>’</w:t>
      </w:r>
      <w:r w:rsidRPr="009D6A6D">
        <w:rPr>
          <w:rFonts w:cs="Times New Roman"/>
          <w:lang w:val="fr-CA"/>
        </w:rPr>
        <w:t xml:space="preserve">audience, la SRC a </w:t>
      </w:r>
      <w:r>
        <w:rPr>
          <w:rFonts w:cs="Times New Roman"/>
          <w:lang w:val="fr-CA"/>
        </w:rPr>
        <w:t xml:space="preserve">concédé </w:t>
      </w:r>
      <w:r w:rsidRPr="009D6A6D">
        <w:rPr>
          <w:rFonts w:cs="Times New Roman"/>
          <w:lang w:val="fr-CA"/>
        </w:rPr>
        <w:t>à juste titre qu</w:t>
      </w:r>
      <w:r>
        <w:rPr>
          <w:rFonts w:cs="Times New Roman"/>
          <w:lang w:val="fr-CA"/>
        </w:rPr>
        <w:t>’</w:t>
      </w:r>
      <w:r w:rsidRPr="009D6A6D">
        <w:rPr>
          <w:rFonts w:cs="Times New Roman"/>
          <w:lang w:val="fr-CA"/>
        </w:rPr>
        <w:t>elle avait eu connaissance de l</w:t>
      </w:r>
      <w:r>
        <w:rPr>
          <w:rFonts w:cs="Times New Roman"/>
          <w:lang w:val="fr-CA"/>
        </w:rPr>
        <w:t>’</w:t>
      </w:r>
      <w:r w:rsidRPr="009D6A6D">
        <w:rPr>
          <w:rFonts w:cs="Times New Roman"/>
          <w:lang w:val="fr-CA"/>
        </w:rPr>
        <w:t>interdiction de publication peu de temps après le prononcé du jugement de 2018 sur l</w:t>
      </w:r>
      <w:r>
        <w:rPr>
          <w:rFonts w:cs="Times New Roman"/>
          <w:lang w:val="fr-CA"/>
        </w:rPr>
        <w:t>’</w:t>
      </w:r>
      <w:r w:rsidRPr="009D6A6D">
        <w:rPr>
          <w:rFonts w:cs="Times New Roman"/>
          <w:lang w:val="fr-CA"/>
        </w:rPr>
        <w:t>interdiction de publication. Le délai</w:t>
      </w:r>
      <w:r>
        <w:rPr>
          <w:rFonts w:cs="Times New Roman"/>
          <w:lang w:val="fr-CA"/>
        </w:rPr>
        <w:t xml:space="preserve"> qui </w:t>
      </w:r>
      <w:r w:rsidRPr="00C5565E">
        <w:rPr>
          <w:rFonts w:cs="Times New Roman"/>
          <w:lang w:val="fr-CA"/>
        </w:rPr>
        <w:t>s</w:t>
      </w:r>
      <w:r>
        <w:rPr>
          <w:rFonts w:cs="Times New Roman"/>
          <w:lang w:val="fr-CA"/>
        </w:rPr>
        <w:t>’</w:t>
      </w:r>
      <w:r w:rsidRPr="00C5565E">
        <w:rPr>
          <w:rFonts w:cs="Times New Roman"/>
          <w:lang w:val="fr-CA"/>
        </w:rPr>
        <w:t>est écoulé avant qu</w:t>
      </w:r>
      <w:r>
        <w:rPr>
          <w:rFonts w:cs="Times New Roman"/>
          <w:lang w:val="fr-CA"/>
        </w:rPr>
        <w:t>’</w:t>
      </w:r>
      <w:r w:rsidRPr="00C5565E">
        <w:rPr>
          <w:rFonts w:cs="Times New Roman"/>
          <w:lang w:val="fr-CA"/>
        </w:rPr>
        <w:t>elle présente la motion était de l</w:t>
      </w:r>
      <w:r>
        <w:rPr>
          <w:rFonts w:cs="Times New Roman"/>
          <w:lang w:val="fr-CA"/>
        </w:rPr>
        <w:t>’</w:t>
      </w:r>
      <w:r w:rsidRPr="00C5565E">
        <w:rPr>
          <w:rFonts w:cs="Times New Roman"/>
          <w:lang w:val="fr-CA"/>
        </w:rPr>
        <w:t>ordre de six mois. Bien que la question n</w:t>
      </w:r>
      <w:r>
        <w:rPr>
          <w:rFonts w:cs="Times New Roman"/>
          <w:lang w:val="fr-CA"/>
        </w:rPr>
        <w:t>’</w:t>
      </w:r>
      <w:r w:rsidRPr="00C5565E">
        <w:rPr>
          <w:rFonts w:cs="Times New Roman"/>
          <w:lang w:val="fr-CA"/>
        </w:rPr>
        <w:t>ait pas été invoquée par la Couronne en tant que motif du rejet du pourvoi, la SRC a mentionné à l</w:t>
      </w:r>
      <w:r>
        <w:rPr>
          <w:rFonts w:cs="Times New Roman"/>
          <w:lang w:val="fr-CA"/>
        </w:rPr>
        <w:t>’</w:t>
      </w:r>
      <w:r w:rsidRPr="00C5565E">
        <w:rPr>
          <w:rFonts w:cs="Times New Roman"/>
          <w:lang w:val="fr-CA"/>
        </w:rPr>
        <w:t>audience devant notre Cour que le délai était justifié dans les circonstances, soulignant la confusion</w:t>
      </w:r>
      <w:r>
        <w:rPr>
          <w:rFonts w:cs="Times New Roman"/>
          <w:lang w:val="fr-CA"/>
        </w:rPr>
        <w:t xml:space="preserve"> au départ</w:t>
      </w:r>
      <w:r w:rsidRPr="00C5565E">
        <w:rPr>
          <w:rFonts w:cs="Times New Roman"/>
          <w:lang w:val="fr-CA"/>
        </w:rPr>
        <w:t xml:space="preserve"> quant à la nature de l</w:t>
      </w:r>
      <w:r>
        <w:rPr>
          <w:rFonts w:cs="Times New Roman"/>
          <w:lang w:val="fr-CA"/>
        </w:rPr>
        <w:t>’</w:t>
      </w:r>
      <w:r w:rsidRPr="00C5565E">
        <w:rPr>
          <w:rFonts w:cs="Times New Roman"/>
          <w:lang w:val="fr-CA"/>
        </w:rPr>
        <w:t>ordonnance et faisant valoir l</w:t>
      </w:r>
      <w:r>
        <w:rPr>
          <w:rFonts w:cs="Times New Roman"/>
          <w:lang w:val="fr-CA"/>
        </w:rPr>
        <w:t>’</w:t>
      </w:r>
      <w:r w:rsidRPr="00C5565E">
        <w:rPr>
          <w:rFonts w:cs="Times New Roman"/>
          <w:lang w:val="fr-CA"/>
        </w:rPr>
        <w:t>intérêt public à trancher cette question de publicité des débats judiciaire qui touche les droits de tous l</w:t>
      </w:r>
      <w:r>
        <w:rPr>
          <w:rFonts w:cs="Times New Roman"/>
          <w:lang w:val="fr-CA"/>
        </w:rPr>
        <w:t>es Canadiens et les Canadiennes</w:t>
      </w:r>
      <w:r w:rsidRPr="00C5565E">
        <w:rPr>
          <w:rFonts w:cs="Times New Roman"/>
          <w:lang w:val="fr-CA"/>
        </w:rPr>
        <w:t xml:space="preserve">. </w:t>
      </w:r>
    </w:p>
    <w:p w:rsidR="009F09DA" w:rsidRPr="00060362" w:rsidRDefault="009F09DA" w:rsidP="009F09DA">
      <w:pPr>
        <w:pStyle w:val="ParaNoNdepar-AltN"/>
        <w:rPr>
          <w:rFonts w:cs="Times New Roman"/>
          <w:lang w:val="fr-CA"/>
        </w:rPr>
      </w:pPr>
      <w:r w:rsidRPr="00C5565E">
        <w:rPr>
          <w:rFonts w:cs="Times New Roman"/>
          <w:lang w:val="fr-CA"/>
        </w:rPr>
        <w:t xml:space="preserve">En ce qui a trait au fond de la motion de la SRC, toute limite discrétionnaire </w:t>
      </w:r>
      <w:r>
        <w:rPr>
          <w:rFonts w:cs="Times New Roman"/>
          <w:lang w:val="fr-CA"/>
        </w:rPr>
        <w:t xml:space="preserve">à </w:t>
      </w:r>
      <w:r w:rsidRPr="00C5565E">
        <w:rPr>
          <w:rFonts w:cs="Times New Roman"/>
          <w:lang w:val="fr-CA"/>
        </w:rPr>
        <w:t>l</w:t>
      </w:r>
      <w:r>
        <w:rPr>
          <w:rFonts w:cs="Times New Roman"/>
          <w:lang w:val="fr-CA"/>
        </w:rPr>
        <w:t>’</w:t>
      </w:r>
      <w:r w:rsidRPr="00C5565E">
        <w:rPr>
          <w:rFonts w:cs="Times New Roman"/>
          <w:lang w:val="fr-CA"/>
        </w:rPr>
        <w:t>accès au dossier judiciaire et</w:t>
      </w:r>
      <w:r>
        <w:rPr>
          <w:rFonts w:cs="Times New Roman"/>
          <w:lang w:val="fr-CA"/>
        </w:rPr>
        <w:t xml:space="preserve"> à</w:t>
      </w:r>
      <w:r w:rsidRPr="00C5565E">
        <w:rPr>
          <w:rFonts w:cs="Times New Roman"/>
          <w:lang w:val="fr-CA"/>
        </w:rPr>
        <w:t xml:space="preserve"> la publication de son contenu doit être comprise à l</w:t>
      </w:r>
      <w:r>
        <w:rPr>
          <w:rFonts w:cs="Times New Roman"/>
          <w:lang w:val="fr-CA"/>
        </w:rPr>
        <w:t>’</w:t>
      </w:r>
      <w:r w:rsidRPr="00C5565E">
        <w:rPr>
          <w:rFonts w:cs="Times New Roman"/>
          <w:lang w:val="fr-CA"/>
        </w:rPr>
        <w:t xml:space="preserve">aune </w:t>
      </w:r>
      <w:r w:rsidRPr="009D6A6D">
        <w:rPr>
          <w:rFonts w:cs="Times New Roman"/>
          <w:lang w:val="fr-CA"/>
        </w:rPr>
        <w:t>du test</w:t>
      </w:r>
      <w:r w:rsidRPr="00C5565E">
        <w:rPr>
          <w:rFonts w:cs="Times New Roman"/>
          <w:lang w:val="fr-CA"/>
        </w:rPr>
        <w:t xml:space="preserve"> de l</w:t>
      </w:r>
      <w:r>
        <w:rPr>
          <w:rFonts w:cs="Times New Roman"/>
          <w:lang w:val="fr-CA"/>
        </w:rPr>
        <w:t>’</w:t>
      </w:r>
      <w:r w:rsidRPr="00C5565E">
        <w:rPr>
          <w:rFonts w:cs="Times New Roman"/>
          <w:lang w:val="fr-CA"/>
        </w:rPr>
        <w:t xml:space="preserve">arrêt </w:t>
      </w:r>
      <w:r w:rsidRPr="00C5565E">
        <w:rPr>
          <w:rFonts w:cs="Times New Roman"/>
          <w:i/>
          <w:lang w:val="fr-CA"/>
        </w:rPr>
        <w:t>Sierra Club</w:t>
      </w:r>
      <w:r w:rsidRPr="00C5565E">
        <w:rPr>
          <w:rFonts w:cs="Times New Roman"/>
          <w:lang w:val="fr-CA"/>
        </w:rPr>
        <w:t xml:space="preserve"> récemment reformulé</w:t>
      </w:r>
      <w:r>
        <w:rPr>
          <w:rFonts w:cs="Times New Roman"/>
          <w:lang w:val="fr-CA"/>
        </w:rPr>
        <w:t xml:space="preserve"> par notre Cour</w:t>
      </w:r>
      <w:r w:rsidRPr="00C5565E">
        <w:rPr>
          <w:rFonts w:cs="Times New Roman"/>
          <w:lang w:val="fr-CA"/>
        </w:rPr>
        <w:t xml:space="preserve"> dans </w:t>
      </w:r>
      <w:r w:rsidRPr="00060362">
        <w:rPr>
          <w:rFonts w:cs="Times New Roman"/>
          <w:i/>
          <w:lang w:val="fr-CA"/>
        </w:rPr>
        <w:t>Sherman</w:t>
      </w:r>
      <w:r w:rsidRPr="00060362">
        <w:rPr>
          <w:rFonts w:cs="Times New Roman"/>
          <w:lang w:val="fr-CA"/>
        </w:rPr>
        <w:t xml:space="preserve">. </w:t>
      </w:r>
      <w:r>
        <w:rPr>
          <w:rFonts w:cs="Times New Roman"/>
          <w:lang w:val="fr-CA"/>
        </w:rPr>
        <w:t>Les procédures judiciaires sont présumées accessibles au public (</w:t>
      </w:r>
      <w:r w:rsidRPr="00060362">
        <w:rPr>
          <w:rFonts w:cs="Times New Roman"/>
          <w:i/>
          <w:lang w:val="fr-CA"/>
        </w:rPr>
        <w:t xml:space="preserve">A.B. </w:t>
      </w:r>
      <w:r>
        <w:rPr>
          <w:rFonts w:cs="Times New Roman"/>
          <w:i/>
          <w:lang w:val="fr-CA"/>
        </w:rPr>
        <w:t>c</w:t>
      </w:r>
      <w:r w:rsidRPr="00060362">
        <w:rPr>
          <w:rFonts w:cs="Times New Roman"/>
          <w:i/>
          <w:lang w:val="fr-CA"/>
        </w:rPr>
        <w:t>. Bragg Communications Inc.</w:t>
      </w:r>
      <w:r w:rsidRPr="00060362">
        <w:rPr>
          <w:rFonts w:cs="Times New Roman"/>
          <w:lang w:val="fr-CA"/>
        </w:rPr>
        <w:t xml:space="preserve">, 2012 </w:t>
      </w:r>
      <w:r>
        <w:rPr>
          <w:rFonts w:cs="Times New Roman"/>
          <w:lang w:val="fr-CA"/>
        </w:rPr>
        <w:t>CSC</w:t>
      </w:r>
      <w:r w:rsidRPr="00060362">
        <w:rPr>
          <w:rFonts w:cs="Times New Roman"/>
          <w:lang w:val="fr-CA"/>
        </w:rPr>
        <w:t xml:space="preserve"> 46, [2012] 2 </w:t>
      </w:r>
      <w:r>
        <w:rPr>
          <w:rFonts w:cs="Times New Roman"/>
          <w:lang w:val="fr-CA"/>
        </w:rPr>
        <w:t>R.C.S</w:t>
      </w:r>
      <w:r w:rsidRPr="00060362">
        <w:rPr>
          <w:rFonts w:cs="Times New Roman"/>
          <w:lang w:val="fr-CA"/>
        </w:rPr>
        <w:t xml:space="preserve">. 567, </w:t>
      </w:r>
      <w:r>
        <w:rPr>
          <w:rFonts w:cs="Times New Roman"/>
          <w:lang w:val="fr-CA"/>
        </w:rPr>
        <w:t>par. </w:t>
      </w:r>
      <w:r w:rsidRPr="00060362">
        <w:rPr>
          <w:rFonts w:cs="Times New Roman"/>
          <w:lang w:val="fr-CA"/>
        </w:rPr>
        <w:t xml:space="preserve">11). </w:t>
      </w:r>
      <w:r>
        <w:rPr>
          <w:rFonts w:cs="Times New Roman"/>
          <w:lang w:val="fr-CA"/>
        </w:rPr>
        <w:t>Un tribunal ne peut imposer de limites discrétionnaires à la publicité des débats que si les conditions suivantes sont remplies : (1) la publicité des débats pose un risque sérieux pour un intérêt public important; (2) </w:t>
      </w:r>
      <w:r w:rsidRPr="00601E18">
        <w:rPr>
          <w:rFonts w:cs="Times New Roman"/>
          <w:lang w:val="fr-CA"/>
        </w:rPr>
        <w:t>l</w:t>
      </w:r>
      <w:r>
        <w:rPr>
          <w:rFonts w:cs="Times New Roman"/>
          <w:lang w:val="fr-CA"/>
        </w:rPr>
        <w:t>’</w:t>
      </w:r>
      <w:r w:rsidRPr="00601E18">
        <w:rPr>
          <w:rFonts w:cs="Times New Roman"/>
          <w:lang w:val="fr-CA"/>
        </w:rPr>
        <w:t>ordonnance sollicitée est</w:t>
      </w:r>
      <w:r>
        <w:rPr>
          <w:rFonts w:cs="Times New Roman"/>
          <w:lang w:val="fr-CA"/>
        </w:rPr>
        <w:t xml:space="preserve"> nécessaire pour écarter ce risque; (3) les avantages de l’ordonnance l’emportent sur ses effets </w:t>
      </w:r>
      <w:r w:rsidRPr="00601E18">
        <w:rPr>
          <w:rFonts w:cs="Times New Roman"/>
          <w:lang w:val="fr-CA"/>
        </w:rPr>
        <w:t>négatifs</w:t>
      </w:r>
      <w:r w:rsidRPr="00060362">
        <w:rPr>
          <w:rFonts w:cs="Times New Roman"/>
          <w:lang w:val="fr-CA"/>
        </w:rPr>
        <w:t xml:space="preserve"> (</w:t>
      </w:r>
      <w:r w:rsidRPr="00060362">
        <w:rPr>
          <w:rFonts w:cs="Times New Roman"/>
          <w:i/>
          <w:lang w:val="fr-CA"/>
        </w:rPr>
        <w:t>Sherman</w:t>
      </w:r>
      <w:r w:rsidRPr="00060362">
        <w:rPr>
          <w:rFonts w:cs="Times New Roman"/>
          <w:lang w:val="fr-CA"/>
        </w:rPr>
        <w:t>,</w:t>
      </w:r>
      <w:r w:rsidRPr="00060362">
        <w:rPr>
          <w:rFonts w:cs="Times New Roman"/>
          <w:i/>
          <w:lang w:val="fr-CA"/>
        </w:rPr>
        <w:t xml:space="preserve"> </w:t>
      </w:r>
      <w:r>
        <w:rPr>
          <w:rFonts w:cs="Times New Roman"/>
          <w:lang w:val="fr-CA"/>
        </w:rPr>
        <w:t>par. </w:t>
      </w:r>
      <w:r w:rsidRPr="00060362">
        <w:rPr>
          <w:rFonts w:cs="Times New Roman"/>
          <w:lang w:val="fr-CA"/>
        </w:rPr>
        <w:t>3</w:t>
      </w:r>
      <w:r>
        <w:rPr>
          <w:rFonts w:cs="Times New Roman"/>
          <w:lang w:val="fr-CA"/>
        </w:rPr>
        <w:t>8</w:t>
      </w:r>
      <w:r w:rsidRPr="00060362">
        <w:rPr>
          <w:rFonts w:cs="Times New Roman"/>
          <w:lang w:val="fr-CA"/>
        </w:rPr>
        <w:t>, cit</w:t>
      </w:r>
      <w:r>
        <w:rPr>
          <w:rFonts w:cs="Times New Roman"/>
          <w:lang w:val="fr-CA"/>
        </w:rPr>
        <w:t>ant</w:t>
      </w:r>
      <w:r w:rsidRPr="00060362">
        <w:rPr>
          <w:rFonts w:cs="Times New Roman"/>
          <w:lang w:val="fr-CA"/>
        </w:rPr>
        <w:t xml:space="preserve"> </w:t>
      </w:r>
      <w:r w:rsidRPr="00060362">
        <w:rPr>
          <w:rFonts w:cs="Times New Roman"/>
          <w:i/>
          <w:lang w:val="fr-CA"/>
        </w:rPr>
        <w:t>Sierra Club</w:t>
      </w:r>
      <w:r w:rsidRPr="00060362">
        <w:rPr>
          <w:rFonts w:cs="Times New Roman"/>
          <w:lang w:val="fr-CA"/>
        </w:rPr>
        <w:t xml:space="preserve">, </w:t>
      </w:r>
      <w:r>
        <w:rPr>
          <w:rFonts w:cs="Times New Roman"/>
          <w:lang w:val="fr-CA"/>
        </w:rPr>
        <w:t>par. </w:t>
      </w:r>
      <w:r w:rsidRPr="00060362">
        <w:rPr>
          <w:rFonts w:cs="Times New Roman"/>
          <w:lang w:val="fr-CA"/>
        </w:rPr>
        <w:t>53).</w:t>
      </w:r>
    </w:p>
    <w:p w:rsidR="009F09DA" w:rsidRPr="00060362" w:rsidRDefault="009F09DA" w:rsidP="009F09DA">
      <w:pPr>
        <w:pStyle w:val="ParaNoNdepar-AltN"/>
        <w:rPr>
          <w:rFonts w:cs="Times New Roman"/>
          <w:lang w:val="fr-CA"/>
        </w:rPr>
      </w:pPr>
      <w:r>
        <w:rPr>
          <w:rFonts w:cs="Times New Roman"/>
          <w:lang w:val="fr-CA"/>
        </w:rPr>
        <w:t>Devant notre Cour</w:t>
      </w:r>
      <w:r w:rsidRPr="00060362">
        <w:rPr>
          <w:rFonts w:cs="Times New Roman"/>
          <w:lang w:val="fr-CA"/>
        </w:rPr>
        <w:t xml:space="preserve">, </w:t>
      </w:r>
      <w:r>
        <w:rPr>
          <w:rFonts w:cs="Times New Roman"/>
          <w:lang w:val="fr-CA"/>
        </w:rPr>
        <w:t>la Couronne et la famille de</w:t>
      </w:r>
      <w:r w:rsidRPr="00060362">
        <w:rPr>
          <w:rFonts w:cs="Times New Roman"/>
          <w:lang w:val="fr-CA"/>
        </w:rPr>
        <w:t xml:space="preserve"> M.D.</w:t>
      </w:r>
      <w:r>
        <w:rPr>
          <w:rFonts w:cs="Times New Roman"/>
          <w:lang w:val="fr-CA"/>
        </w:rPr>
        <w:t xml:space="preserve"> invoquent toutes les deux la vie privée et la dignité des parties intéressées comme un intérêt public important qui serait menacé si l’interdiction de publication </w:t>
      </w:r>
      <w:r w:rsidRPr="00601E18">
        <w:rPr>
          <w:rFonts w:cs="Times New Roman"/>
          <w:lang w:val="fr-CA"/>
        </w:rPr>
        <w:t>était l</w:t>
      </w:r>
      <w:r>
        <w:rPr>
          <w:rFonts w:cs="Times New Roman"/>
          <w:lang w:val="fr-CA"/>
        </w:rPr>
        <w:t>evée</w:t>
      </w:r>
      <w:r w:rsidRPr="00060362">
        <w:rPr>
          <w:rFonts w:cs="Times New Roman"/>
          <w:lang w:val="fr-CA"/>
        </w:rPr>
        <w:t xml:space="preserve">. </w:t>
      </w:r>
      <w:r>
        <w:rPr>
          <w:rFonts w:cs="Times New Roman"/>
          <w:lang w:val="fr-CA"/>
        </w:rPr>
        <w:t>La SRC répond que les intérêts invoqués ne sont que personnels, sans l’élément public qu’il faut pour écarter le principe de la publicité des débats judiciaires</w:t>
      </w:r>
      <w:r w:rsidRPr="00060362">
        <w:rPr>
          <w:rFonts w:cs="Times New Roman"/>
          <w:lang w:val="fr-CA"/>
        </w:rPr>
        <w:t xml:space="preserve">. </w:t>
      </w:r>
      <w:r>
        <w:rPr>
          <w:rFonts w:cs="Times New Roman"/>
          <w:lang w:val="fr-CA"/>
        </w:rPr>
        <w:t>Tout comme dans l’affaire</w:t>
      </w:r>
      <w:r w:rsidRPr="00060362">
        <w:rPr>
          <w:rFonts w:cs="Times New Roman"/>
          <w:lang w:val="fr-CA"/>
        </w:rPr>
        <w:t xml:space="preserve"> </w:t>
      </w:r>
      <w:r w:rsidRPr="00060362">
        <w:rPr>
          <w:rFonts w:cs="Times New Roman"/>
          <w:i/>
          <w:lang w:val="fr-CA"/>
        </w:rPr>
        <w:t>Sherman</w:t>
      </w:r>
      <w:r w:rsidRPr="00060362">
        <w:rPr>
          <w:rFonts w:cs="Times New Roman"/>
          <w:lang w:val="fr-CA"/>
        </w:rPr>
        <w:t>,</w:t>
      </w:r>
      <w:r w:rsidRPr="00060362">
        <w:rPr>
          <w:rFonts w:cs="Times New Roman"/>
          <w:i/>
          <w:lang w:val="fr-CA"/>
        </w:rPr>
        <w:t xml:space="preserve"> </w:t>
      </w:r>
      <w:r>
        <w:rPr>
          <w:rFonts w:cs="Times New Roman"/>
          <w:lang w:val="fr-CA"/>
        </w:rPr>
        <w:t>le désaccord des parties repose sur la tension inhérente entre le principe de la publicité des débats judiciaires et ce que le juge</w:t>
      </w:r>
      <w:r w:rsidRPr="00060362">
        <w:rPr>
          <w:rFonts w:cs="Times New Roman"/>
          <w:lang w:val="fr-CA"/>
        </w:rPr>
        <w:t xml:space="preserve"> Dickson, </w:t>
      </w:r>
      <w:r>
        <w:rPr>
          <w:rFonts w:cs="Times New Roman"/>
          <w:lang w:val="fr-CA"/>
        </w:rPr>
        <w:t>plus tard juge en chef</w:t>
      </w:r>
      <w:r w:rsidRPr="00060362">
        <w:rPr>
          <w:rFonts w:cs="Times New Roman"/>
          <w:lang w:val="fr-CA"/>
        </w:rPr>
        <w:t xml:space="preserve">, </w:t>
      </w:r>
      <w:r>
        <w:rPr>
          <w:rFonts w:cs="Times New Roman"/>
          <w:lang w:val="fr-CA"/>
        </w:rPr>
        <w:t>a déjà qualifié de valeurs ayant « préséance »</w:t>
      </w:r>
      <w:r w:rsidRPr="00060362">
        <w:rPr>
          <w:rFonts w:cs="Times New Roman"/>
          <w:lang w:val="fr-CA"/>
        </w:rPr>
        <w:t xml:space="preserve"> (</w:t>
      </w:r>
      <w:r w:rsidRPr="00060362">
        <w:rPr>
          <w:rFonts w:cs="Times New Roman"/>
          <w:i/>
          <w:lang w:val="fr-CA"/>
        </w:rPr>
        <w:t>MacIntyre</w:t>
      </w:r>
      <w:r w:rsidRPr="00060362">
        <w:rPr>
          <w:rFonts w:cs="Times New Roman"/>
          <w:lang w:val="fr-CA"/>
        </w:rPr>
        <w:t xml:space="preserve">, </w:t>
      </w:r>
      <w:r>
        <w:rPr>
          <w:rFonts w:cs="Times New Roman"/>
          <w:lang w:val="fr-CA"/>
        </w:rPr>
        <w:t>p. </w:t>
      </w:r>
      <w:r w:rsidRPr="00060362">
        <w:rPr>
          <w:rFonts w:cs="Times New Roman"/>
          <w:lang w:val="fr-CA"/>
        </w:rPr>
        <w:t>186</w:t>
      </w:r>
      <w:r>
        <w:rPr>
          <w:rFonts w:cs="Times New Roman"/>
          <w:lang w:val="fr-CA"/>
        </w:rPr>
        <w:noBreakHyphen/>
        <w:t>1</w:t>
      </w:r>
      <w:r w:rsidRPr="00060362">
        <w:rPr>
          <w:rFonts w:cs="Times New Roman"/>
          <w:lang w:val="fr-CA"/>
        </w:rPr>
        <w:t xml:space="preserve">87). </w:t>
      </w:r>
      <w:r>
        <w:rPr>
          <w:rFonts w:cs="Times New Roman"/>
          <w:lang w:val="fr-CA"/>
        </w:rPr>
        <w:t xml:space="preserve">La vie privée et la publicité des débats judiciaires ont toutes les deux été reconnues dans la jurisprudence comme étant des piliers d’une société libre et </w:t>
      </w:r>
      <w:proofErr w:type="spellStart"/>
      <w:r w:rsidRPr="00456F53">
        <w:t>démocratique</w:t>
      </w:r>
      <w:proofErr w:type="spellEnd"/>
      <w:r w:rsidRPr="00456F53">
        <w:t xml:space="preserve"> (</w:t>
      </w:r>
      <w:r w:rsidRPr="00456F53">
        <w:rPr>
          <w:i/>
        </w:rPr>
        <w:t>Société Radio</w:t>
      </w:r>
      <w:r w:rsidRPr="00456F53">
        <w:rPr>
          <w:i/>
        </w:rPr>
        <w:noBreakHyphen/>
        <w:t>Canada c. Nouveau</w:t>
      </w:r>
      <w:r w:rsidRPr="00456F53">
        <w:rPr>
          <w:i/>
        </w:rPr>
        <w:noBreakHyphen/>
        <w:t>Brunswick (Procureur général)</w:t>
      </w:r>
      <w:r w:rsidRPr="00456F53">
        <w:t>, [1996] 3 R.C.S. 480, par</w:t>
      </w:r>
      <w:r>
        <w:rPr>
          <w:rFonts w:cs="Times New Roman"/>
          <w:lang w:val="fr-CA"/>
        </w:rPr>
        <w:t>. </w:t>
      </w:r>
      <w:r w:rsidRPr="00456F53">
        <w:t xml:space="preserve">23; </w:t>
      </w:r>
      <w:r w:rsidRPr="00456F53">
        <w:rPr>
          <w:i/>
        </w:rPr>
        <w:t>Lavigne c. Canada (Commissariat aux langues officielles)</w:t>
      </w:r>
      <w:r w:rsidRPr="00456F53">
        <w:t xml:space="preserve">, </w:t>
      </w:r>
      <w:bookmarkStart w:id="5" w:name="_Hlk72935478"/>
      <w:r w:rsidRPr="00456F53">
        <w:t>2002 CSC 53</w:t>
      </w:r>
      <w:bookmarkEnd w:id="5"/>
      <w:r w:rsidRPr="00456F53">
        <w:t>, [2002] 2 R.C.S. 773,</w:t>
      </w:r>
      <w:r w:rsidRPr="00060362">
        <w:rPr>
          <w:rFonts w:cs="Times New Roman"/>
          <w:lang w:val="fr-CA"/>
        </w:rPr>
        <w:t xml:space="preserve"> </w:t>
      </w:r>
      <w:r>
        <w:rPr>
          <w:rFonts w:cs="Times New Roman"/>
          <w:lang w:val="fr-CA"/>
        </w:rPr>
        <w:t>par. </w:t>
      </w:r>
      <w:r w:rsidRPr="00060362">
        <w:rPr>
          <w:rFonts w:cs="Times New Roman"/>
          <w:lang w:val="fr-CA"/>
        </w:rPr>
        <w:t xml:space="preserve">25). </w:t>
      </w:r>
      <w:r>
        <w:rPr>
          <w:rFonts w:cs="Times New Roman"/>
          <w:lang w:val="fr-CA"/>
        </w:rPr>
        <w:t>Si la publicité des débats judiciaires doit demeurer la règle plutôt que l’exception, il est inévitable que ceux dont la vie fait l’objet d’un litige subissent une certaine atteinte à leur vie privée</w:t>
      </w:r>
      <w:r w:rsidRPr="00060362">
        <w:rPr>
          <w:rFonts w:cs="Times New Roman"/>
          <w:lang w:val="fr-CA"/>
        </w:rPr>
        <w:t xml:space="preserve">. </w:t>
      </w:r>
      <w:r>
        <w:rPr>
          <w:rFonts w:cs="Times New Roman"/>
          <w:lang w:val="fr-CA"/>
        </w:rPr>
        <w:t xml:space="preserve">Toutefois, il existe effectivement des circonstances où la publicité des débats </w:t>
      </w:r>
      <w:r w:rsidRPr="009D6A6D">
        <w:rPr>
          <w:rFonts w:cs="Times New Roman"/>
          <w:lang w:val="fr-CA"/>
        </w:rPr>
        <w:t>pose un risque sérieux pour un aspect de la vie privée qui fait état d</w:t>
      </w:r>
      <w:r>
        <w:rPr>
          <w:rFonts w:cs="Times New Roman"/>
          <w:lang w:val="fr-CA"/>
        </w:rPr>
        <w:t>’</w:t>
      </w:r>
      <w:r w:rsidRPr="009D6A6D">
        <w:rPr>
          <w:rFonts w:cs="Times New Roman"/>
          <w:lang w:val="fr-CA"/>
        </w:rPr>
        <w:t>un intérêt public impor</w:t>
      </w:r>
      <w:r>
        <w:rPr>
          <w:rFonts w:cs="Times New Roman"/>
          <w:lang w:val="fr-CA"/>
        </w:rPr>
        <w:t>tant</w:t>
      </w:r>
      <w:r w:rsidRPr="00060362">
        <w:rPr>
          <w:rFonts w:cs="Times New Roman"/>
          <w:lang w:val="fr-CA"/>
        </w:rPr>
        <w:t>.</w:t>
      </w:r>
    </w:p>
    <w:p w:rsidR="009F09DA" w:rsidRPr="00060362" w:rsidRDefault="009F09DA" w:rsidP="009F09DA">
      <w:pPr>
        <w:pStyle w:val="ParaNoNdepar-AltN"/>
        <w:rPr>
          <w:rFonts w:cs="Times New Roman"/>
          <w:lang w:val="fr-CA"/>
        </w:rPr>
      </w:pPr>
      <w:r>
        <w:rPr>
          <w:rFonts w:cs="Times New Roman"/>
          <w:lang w:val="fr-CA"/>
        </w:rPr>
        <w:t xml:space="preserve">La Cour d’appel n’a pas pu prendre connaissance de l’arrêt </w:t>
      </w:r>
      <w:r w:rsidRPr="00060362">
        <w:rPr>
          <w:rFonts w:cs="Times New Roman"/>
          <w:i/>
          <w:lang w:val="fr-CA"/>
        </w:rPr>
        <w:t>Sherman</w:t>
      </w:r>
      <w:r>
        <w:rPr>
          <w:rFonts w:cs="Times New Roman"/>
          <w:iCs/>
          <w:lang w:val="fr-CA"/>
        </w:rPr>
        <w:t xml:space="preserve">, </w:t>
      </w:r>
      <w:r>
        <w:rPr>
          <w:rFonts w:cs="Times New Roman"/>
          <w:lang w:val="fr-CA"/>
        </w:rPr>
        <w:t>dans lequel notre Cour a</w:t>
      </w:r>
      <w:r>
        <w:rPr>
          <w:rFonts w:cs="Times New Roman"/>
          <w:iCs/>
          <w:lang w:val="fr-CA"/>
        </w:rPr>
        <w:t xml:space="preserve"> statué qu’il existe un important intérêt public dans une dimension plus étroite de la vie privée qui concerne la protection de la dignité individuelle</w:t>
      </w:r>
      <w:r w:rsidRPr="00060362">
        <w:rPr>
          <w:rFonts w:cs="Times New Roman"/>
          <w:lang w:val="fr-CA"/>
        </w:rPr>
        <w:t>.</w:t>
      </w:r>
      <w:r>
        <w:rPr>
          <w:rFonts w:cs="Times New Roman"/>
          <w:lang w:val="fr-CA"/>
        </w:rPr>
        <w:t xml:space="preserve"> Afin de démontrer l’existence d’un risque sérieux pour cet intérêt, une personne doit établir que les renseignements à son sujet qui seraient diffusés en raison de la publicité des débats judiciaires sont suffisamment sensibles, si bien qu’ils représentent des renseignements biographiques, révélant quelque chose « d’intime et de personnel au sujet de la personne, de son mode de vie ou de son </w:t>
      </w:r>
      <w:r w:rsidRPr="00C5565E">
        <w:rPr>
          <w:rFonts w:cs="Times New Roman"/>
          <w:lang w:val="fr-CA"/>
        </w:rPr>
        <w:t>vécu » (</w:t>
      </w:r>
      <w:r w:rsidRPr="00C5565E">
        <w:rPr>
          <w:rFonts w:cs="Times New Roman"/>
          <w:i/>
          <w:lang w:val="fr-CA"/>
        </w:rPr>
        <w:t>Sherman</w:t>
      </w:r>
      <w:r w:rsidRPr="00C5565E">
        <w:rPr>
          <w:rFonts w:cs="Times New Roman"/>
          <w:lang w:val="fr-CA"/>
        </w:rPr>
        <w:t xml:space="preserve">, </w:t>
      </w:r>
      <w:r>
        <w:rPr>
          <w:rFonts w:cs="Times New Roman"/>
          <w:lang w:val="fr-CA"/>
        </w:rPr>
        <w:t>par. </w:t>
      </w:r>
      <w:r w:rsidRPr="00C5565E">
        <w:rPr>
          <w:rFonts w:cs="Times New Roman"/>
          <w:lang w:val="fr-CA"/>
        </w:rPr>
        <w:t>73</w:t>
      </w:r>
      <w:r>
        <w:rPr>
          <w:rFonts w:cs="Times New Roman"/>
          <w:lang w:val="fr-CA"/>
        </w:rPr>
        <w:noBreakHyphen/>
      </w:r>
      <w:r w:rsidRPr="00C5565E">
        <w:rPr>
          <w:rFonts w:cs="Times New Roman"/>
          <w:lang w:val="fr-CA"/>
        </w:rPr>
        <w:t xml:space="preserve">77, 79 et 85). Si </w:t>
      </w:r>
      <w:r>
        <w:rPr>
          <w:rFonts w:cs="Times New Roman"/>
          <w:lang w:val="fr-CA"/>
        </w:rPr>
        <w:t>elle réussit, il s’agit de se demander si, eu égard à l’ensemble des circonstances, la publicité des débats judiciaires pose un risque pour la dignité individuelle qui concerne concrètement cet important intérêt public</w:t>
      </w:r>
      <w:r w:rsidRPr="00060362">
        <w:rPr>
          <w:rFonts w:cs="Times New Roman"/>
          <w:lang w:val="fr-CA"/>
        </w:rPr>
        <w:t xml:space="preserve">. </w:t>
      </w:r>
      <w:r>
        <w:rPr>
          <w:rFonts w:cs="Times New Roman"/>
          <w:lang w:val="fr-CA"/>
        </w:rPr>
        <w:t>Il n’est pas nécessaire que le risque sérieux soit étayé par une preuve directe; il peut être raisonnablement inféré sur le fondement de faits circonstanciels connus</w:t>
      </w:r>
      <w:r w:rsidRPr="00060362">
        <w:rPr>
          <w:rFonts w:cs="Times New Roman"/>
          <w:lang w:val="fr-CA"/>
        </w:rPr>
        <w:t xml:space="preserve"> (</w:t>
      </w:r>
      <w:r w:rsidRPr="00060362">
        <w:rPr>
          <w:rFonts w:cs="Times New Roman"/>
          <w:i/>
          <w:lang w:val="fr-CA"/>
        </w:rPr>
        <w:t>Bragg</w:t>
      </w:r>
      <w:r w:rsidRPr="00060362">
        <w:rPr>
          <w:rFonts w:cs="Times New Roman"/>
          <w:lang w:val="fr-CA"/>
        </w:rPr>
        <w:t xml:space="preserve">, </w:t>
      </w:r>
      <w:r>
        <w:rPr>
          <w:rFonts w:cs="Times New Roman"/>
          <w:lang w:val="fr-CA"/>
        </w:rPr>
        <w:t>par. </w:t>
      </w:r>
      <w:r w:rsidRPr="00060362">
        <w:rPr>
          <w:rFonts w:cs="Times New Roman"/>
          <w:lang w:val="fr-CA"/>
        </w:rPr>
        <w:t>15</w:t>
      </w:r>
      <w:r>
        <w:rPr>
          <w:rFonts w:cs="Times New Roman"/>
          <w:lang w:val="fr-CA"/>
        </w:rPr>
        <w:noBreakHyphen/>
      </w:r>
      <w:r w:rsidRPr="00060362">
        <w:rPr>
          <w:rFonts w:cs="Times New Roman"/>
          <w:lang w:val="fr-CA"/>
        </w:rPr>
        <w:t>16).</w:t>
      </w:r>
      <w:r w:rsidRPr="00060362" w:rsidDel="00AA735F">
        <w:rPr>
          <w:rFonts w:cs="Times New Roman"/>
          <w:lang w:val="fr-CA"/>
        </w:rPr>
        <w:t xml:space="preserve"> </w:t>
      </w:r>
      <w:r>
        <w:rPr>
          <w:rFonts w:cs="Times New Roman"/>
          <w:lang w:val="fr-CA"/>
        </w:rPr>
        <w:t xml:space="preserve">Si la partie réussit à établir ce risque sérieux, elle doit ensuite démontrer que l’ordonnance qu’elle sollicite est nécessaire pour écarter le risque et que les avantages de l’ordonnance l’emportent sur ses </w:t>
      </w:r>
      <w:r w:rsidRPr="00601E18">
        <w:rPr>
          <w:rFonts w:cs="Times New Roman"/>
          <w:lang w:val="fr-CA"/>
        </w:rPr>
        <w:t>effets négatifs, y</w:t>
      </w:r>
      <w:r>
        <w:rPr>
          <w:rFonts w:cs="Times New Roman"/>
          <w:lang w:val="fr-CA"/>
        </w:rPr>
        <w:t xml:space="preserve"> compris les effets sur la publicité des débats judiciaires, protégée par la Constitution</w:t>
      </w:r>
      <w:r w:rsidRPr="00060362">
        <w:rPr>
          <w:rFonts w:cs="Times New Roman"/>
          <w:lang w:val="fr-CA"/>
        </w:rPr>
        <w:t xml:space="preserve"> (</w:t>
      </w:r>
      <w:r>
        <w:rPr>
          <w:rFonts w:cs="Times New Roman"/>
          <w:i/>
          <w:lang w:val="fr-CA"/>
        </w:rPr>
        <w:t xml:space="preserve">Sierra </w:t>
      </w:r>
      <w:r w:rsidRPr="00060362">
        <w:rPr>
          <w:rFonts w:cs="Times New Roman"/>
          <w:i/>
          <w:lang w:val="fr-CA"/>
        </w:rPr>
        <w:t>Club</w:t>
      </w:r>
      <w:r w:rsidRPr="00060362">
        <w:rPr>
          <w:rFonts w:cs="Times New Roman"/>
          <w:lang w:val="fr-CA"/>
        </w:rPr>
        <w:t xml:space="preserve">, </w:t>
      </w:r>
      <w:r>
        <w:rPr>
          <w:rFonts w:cs="Times New Roman"/>
          <w:lang w:val="fr-CA"/>
        </w:rPr>
        <w:t>par. </w:t>
      </w:r>
      <w:r w:rsidRPr="00060362">
        <w:rPr>
          <w:rFonts w:cs="Times New Roman"/>
          <w:lang w:val="fr-CA"/>
        </w:rPr>
        <w:t xml:space="preserve">53). </w:t>
      </w:r>
    </w:p>
    <w:p w:rsidR="009F09DA" w:rsidRPr="00060362" w:rsidRDefault="009F09DA" w:rsidP="009F09DA">
      <w:pPr>
        <w:pStyle w:val="ParaNoNdepar-AltN"/>
        <w:rPr>
          <w:rFonts w:cs="Times New Roman"/>
          <w:lang w:val="fr-CA"/>
        </w:rPr>
      </w:pPr>
      <w:r>
        <w:rPr>
          <w:rFonts w:cs="Times New Roman"/>
          <w:lang w:val="fr-CA"/>
        </w:rPr>
        <w:t xml:space="preserve">Les parties ne s’entendent pas sur la mesure </w:t>
      </w:r>
      <w:r w:rsidRPr="009D6A6D">
        <w:rPr>
          <w:rFonts w:cs="Times New Roman"/>
          <w:lang w:val="fr-CA"/>
        </w:rPr>
        <w:t>dans laquelle le test concernant les limites discrétionnaires à la publicité des débats judiciaires</w:t>
      </w:r>
      <w:r>
        <w:rPr>
          <w:rFonts w:cs="Times New Roman"/>
          <w:lang w:val="fr-CA"/>
        </w:rPr>
        <w:t xml:space="preserve"> s’applique lorsqu’il s’agit de </w:t>
      </w:r>
      <w:r w:rsidRPr="009D6A6D">
        <w:rPr>
          <w:rFonts w:cs="Times New Roman"/>
          <w:lang w:val="fr-CA"/>
        </w:rPr>
        <w:t>trancher la question de l</w:t>
      </w:r>
      <w:r>
        <w:rPr>
          <w:rFonts w:cs="Times New Roman"/>
          <w:lang w:val="fr-CA"/>
        </w:rPr>
        <w:t>’</w:t>
      </w:r>
      <w:r w:rsidRPr="009D6A6D">
        <w:rPr>
          <w:rFonts w:cs="Times New Roman"/>
          <w:lang w:val="fr-CA"/>
        </w:rPr>
        <w:t>accès à l</w:t>
      </w:r>
      <w:r>
        <w:rPr>
          <w:rFonts w:cs="Times New Roman"/>
          <w:lang w:val="fr-CA"/>
        </w:rPr>
        <w:t>’</w:t>
      </w:r>
      <w:r w:rsidRPr="009D6A6D">
        <w:rPr>
          <w:rFonts w:cs="Times New Roman"/>
          <w:lang w:val="fr-CA"/>
        </w:rPr>
        <w:t>affidavit de M</w:t>
      </w:r>
      <w:r w:rsidRPr="009D6A6D">
        <w:rPr>
          <w:rFonts w:cs="Times New Roman"/>
          <w:vertAlign w:val="superscript"/>
          <w:lang w:val="fr-CA"/>
        </w:rPr>
        <w:t>e</w:t>
      </w:r>
      <w:r>
        <w:rPr>
          <w:rFonts w:cs="Times New Roman"/>
          <w:lang w:val="fr-CA"/>
        </w:rPr>
        <w:t> </w:t>
      </w:r>
      <w:r w:rsidRPr="009D6A6D">
        <w:rPr>
          <w:rFonts w:cs="Times New Roman"/>
          <w:lang w:val="fr-CA"/>
        </w:rPr>
        <w:t>Posner et de sa publication. L</w:t>
      </w:r>
      <w:r>
        <w:rPr>
          <w:rFonts w:cs="Times New Roman"/>
          <w:lang w:val="fr-CA"/>
        </w:rPr>
        <w:t>a S</w:t>
      </w:r>
      <w:r w:rsidRPr="009D6A6D">
        <w:rPr>
          <w:rFonts w:cs="Times New Roman"/>
          <w:lang w:val="fr-CA"/>
        </w:rPr>
        <w:t>R</w:t>
      </w:r>
      <w:r>
        <w:rPr>
          <w:rFonts w:cs="Times New Roman"/>
          <w:lang w:val="fr-CA"/>
        </w:rPr>
        <w:t>C</w:t>
      </w:r>
      <w:r w:rsidRPr="009D6A6D">
        <w:rPr>
          <w:rFonts w:cs="Times New Roman"/>
          <w:lang w:val="fr-CA"/>
        </w:rPr>
        <w:t xml:space="preserve"> a plaidé que l</w:t>
      </w:r>
      <w:r>
        <w:rPr>
          <w:rFonts w:cs="Times New Roman"/>
          <w:lang w:val="fr-CA"/>
        </w:rPr>
        <w:t>’</w:t>
      </w:r>
      <w:r w:rsidRPr="009D6A6D">
        <w:rPr>
          <w:rFonts w:cs="Times New Roman"/>
          <w:lang w:val="fr-CA"/>
        </w:rPr>
        <w:t>ordonnance de mise sous scellés qui s</w:t>
      </w:r>
      <w:r>
        <w:rPr>
          <w:rFonts w:cs="Times New Roman"/>
          <w:lang w:val="fr-CA"/>
        </w:rPr>
        <w:t>’</w:t>
      </w:r>
      <w:r w:rsidRPr="009D6A6D">
        <w:rPr>
          <w:rFonts w:cs="Times New Roman"/>
          <w:lang w:val="fr-CA"/>
        </w:rPr>
        <w:t>appliquait à l</w:t>
      </w:r>
      <w:r>
        <w:rPr>
          <w:rFonts w:cs="Times New Roman"/>
          <w:lang w:val="fr-CA"/>
        </w:rPr>
        <w:t>’</w:t>
      </w:r>
      <w:r w:rsidRPr="009D6A6D">
        <w:rPr>
          <w:rFonts w:cs="Times New Roman"/>
          <w:lang w:val="fr-CA"/>
        </w:rPr>
        <w:t>affidavit en vertu des</w:t>
      </w:r>
      <w:r>
        <w:rPr>
          <w:rFonts w:cs="Times New Roman"/>
          <w:lang w:val="fr-CA"/>
        </w:rPr>
        <w:t xml:space="preserve"> </w:t>
      </w:r>
      <w:r>
        <w:rPr>
          <w:rFonts w:cs="Times New Roman"/>
          <w:i/>
          <w:lang w:val="fr-CA"/>
        </w:rPr>
        <w:t>Règles de la Cour d’appel</w:t>
      </w:r>
      <w:r w:rsidRPr="00060362">
        <w:rPr>
          <w:rFonts w:cs="Times New Roman"/>
          <w:i/>
          <w:lang w:val="fr-CA"/>
        </w:rPr>
        <w:t xml:space="preserve"> </w:t>
      </w:r>
      <w:r>
        <w:rPr>
          <w:rFonts w:cs="Times New Roman"/>
          <w:lang w:val="fr-CA"/>
        </w:rPr>
        <w:t xml:space="preserve">avait pris fin dès que la </w:t>
      </w:r>
      <w:r w:rsidRPr="005B2564">
        <w:rPr>
          <w:rFonts w:cs="Times New Roman"/>
          <w:lang w:val="fr-CA"/>
        </w:rPr>
        <w:t>motion en présentation d</w:t>
      </w:r>
      <w:r>
        <w:rPr>
          <w:rFonts w:cs="Times New Roman"/>
          <w:lang w:val="fr-CA"/>
        </w:rPr>
        <w:t>’</w:t>
      </w:r>
      <w:r w:rsidRPr="005B2564">
        <w:rPr>
          <w:rFonts w:cs="Times New Roman"/>
          <w:lang w:val="fr-CA"/>
        </w:rPr>
        <w:t xml:space="preserve">éléments de preuve </w:t>
      </w:r>
      <w:r>
        <w:rPr>
          <w:rFonts w:cs="Times New Roman"/>
          <w:lang w:val="fr-CA"/>
        </w:rPr>
        <w:t>nouveaux</w:t>
      </w:r>
      <w:r w:rsidRPr="005B2564">
        <w:rPr>
          <w:rFonts w:cs="Times New Roman"/>
          <w:lang w:val="fr-CA"/>
        </w:rPr>
        <w:t xml:space="preserve"> </w:t>
      </w:r>
      <w:r>
        <w:rPr>
          <w:rFonts w:cs="Times New Roman"/>
          <w:lang w:val="fr-CA"/>
        </w:rPr>
        <w:t>a été rejetée</w:t>
      </w:r>
      <w:r w:rsidRPr="00060362">
        <w:rPr>
          <w:rFonts w:cs="Times New Roman"/>
          <w:lang w:val="fr-CA"/>
        </w:rPr>
        <w:t xml:space="preserve">. </w:t>
      </w:r>
      <w:r>
        <w:rPr>
          <w:rFonts w:cs="Times New Roman"/>
          <w:lang w:val="fr-CA"/>
        </w:rPr>
        <w:t>La Couronne a fait valoir que la règle pertinente est silencieuse sur ce qui se passe avec les documents sous scellés après le rejet de la</w:t>
      </w:r>
      <w:r w:rsidRPr="00060362">
        <w:rPr>
          <w:rFonts w:cs="Times New Roman"/>
          <w:lang w:val="fr-CA"/>
        </w:rPr>
        <w:t xml:space="preserve"> </w:t>
      </w:r>
      <w:r w:rsidRPr="005B2564">
        <w:rPr>
          <w:rFonts w:cs="Times New Roman"/>
          <w:lang w:val="fr-CA"/>
        </w:rPr>
        <w:t>motion en présentation d</w:t>
      </w:r>
      <w:r>
        <w:rPr>
          <w:rFonts w:cs="Times New Roman"/>
          <w:lang w:val="fr-CA"/>
        </w:rPr>
        <w:t>’</w:t>
      </w:r>
      <w:r w:rsidRPr="005B2564">
        <w:rPr>
          <w:rFonts w:cs="Times New Roman"/>
          <w:lang w:val="fr-CA"/>
        </w:rPr>
        <w:t>éléments de preuve</w:t>
      </w:r>
      <w:r>
        <w:rPr>
          <w:rFonts w:cs="Times New Roman"/>
          <w:lang w:val="fr-CA"/>
        </w:rPr>
        <w:t xml:space="preserve"> nouveaux,</w:t>
      </w:r>
      <w:r w:rsidRPr="005B2564">
        <w:rPr>
          <w:rFonts w:cs="Times New Roman"/>
          <w:lang w:val="fr-CA"/>
        </w:rPr>
        <w:t xml:space="preserve"> </w:t>
      </w:r>
      <w:r>
        <w:rPr>
          <w:rFonts w:cs="Times New Roman"/>
          <w:lang w:val="fr-CA"/>
        </w:rPr>
        <w:t>si bien qu’il était loisible à la Cour d’appel de ne pas verser les éléments de preuve proposés au dossier public</w:t>
      </w:r>
      <w:r w:rsidRPr="00060362">
        <w:rPr>
          <w:rFonts w:cs="Times New Roman"/>
          <w:lang w:val="fr-CA"/>
        </w:rPr>
        <w:t>.</w:t>
      </w:r>
      <w:r>
        <w:rPr>
          <w:rFonts w:cs="Times New Roman"/>
          <w:lang w:val="fr-CA"/>
        </w:rPr>
        <w:t xml:space="preserve"> Quant à l’interdiction de publication portant sur les détails de ces éléments de preuve, la SRC a soutenu qu’elle ne satisfait pas au critère concernant les limites discrétionnaires à la publicité des débats judiciaires, lequel, selon la SRC, s’applique même si l’affidavit de M</w:t>
      </w:r>
      <w:r w:rsidRPr="00A87AEE">
        <w:rPr>
          <w:rFonts w:cs="Times New Roman"/>
          <w:vertAlign w:val="superscript"/>
          <w:lang w:val="fr-CA"/>
        </w:rPr>
        <w:t>e</w:t>
      </w:r>
      <w:r>
        <w:rPr>
          <w:rFonts w:cs="Times New Roman"/>
          <w:lang w:val="fr-CA"/>
        </w:rPr>
        <w:t> Posner a fini par ne pas être admis en preuve</w:t>
      </w:r>
      <w:r w:rsidRPr="00060362">
        <w:rPr>
          <w:rFonts w:cs="Times New Roman"/>
          <w:lang w:val="fr-CA"/>
        </w:rPr>
        <w:t xml:space="preserve">. </w:t>
      </w:r>
      <w:r>
        <w:rPr>
          <w:rFonts w:cs="Times New Roman"/>
          <w:lang w:val="fr-CA"/>
        </w:rPr>
        <w:t>La Couronne et les parties intéressées ont insisté plutôt sur la non</w:t>
      </w:r>
      <w:r>
        <w:rPr>
          <w:rFonts w:cs="Times New Roman"/>
          <w:lang w:val="fr-CA"/>
        </w:rPr>
        <w:noBreakHyphen/>
        <w:t>pertinence présumée de l’affidavit de M</w:t>
      </w:r>
      <w:r w:rsidRPr="00A87AEE">
        <w:rPr>
          <w:rFonts w:cs="Times New Roman"/>
          <w:vertAlign w:val="superscript"/>
          <w:lang w:val="fr-CA"/>
        </w:rPr>
        <w:t>e</w:t>
      </w:r>
      <w:r>
        <w:rPr>
          <w:rFonts w:cs="Times New Roman"/>
          <w:lang w:val="fr-CA"/>
        </w:rPr>
        <w:t> </w:t>
      </w:r>
      <w:r w:rsidRPr="00060362">
        <w:rPr>
          <w:rFonts w:cs="Times New Roman"/>
          <w:lang w:val="fr-CA"/>
        </w:rPr>
        <w:t xml:space="preserve">Posner </w:t>
      </w:r>
      <w:r>
        <w:rPr>
          <w:rFonts w:cs="Times New Roman"/>
          <w:lang w:val="fr-CA"/>
        </w:rPr>
        <w:t>comme facteur dans cette analyse</w:t>
      </w:r>
      <w:r w:rsidRPr="00060362">
        <w:rPr>
          <w:rFonts w:cs="Times New Roman"/>
          <w:lang w:val="fr-CA"/>
        </w:rPr>
        <w:t xml:space="preserve">. </w:t>
      </w:r>
    </w:p>
    <w:p w:rsidR="009F09DA" w:rsidRPr="00060362" w:rsidRDefault="009F09DA" w:rsidP="009F09DA">
      <w:pPr>
        <w:pStyle w:val="ParaNoNdepar-AltN"/>
        <w:rPr>
          <w:rFonts w:cs="Times New Roman"/>
          <w:lang w:val="fr-CA"/>
        </w:rPr>
      </w:pPr>
      <w:r w:rsidRPr="009D6A6D">
        <w:rPr>
          <w:rFonts w:cs="Times New Roman"/>
          <w:lang w:val="fr-CA"/>
        </w:rPr>
        <w:t>Deux raisons m</w:t>
      </w:r>
      <w:r>
        <w:rPr>
          <w:rFonts w:cs="Times New Roman"/>
          <w:lang w:val="fr-CA"/>
        </w:rPr>
        <w:t>’</w:t>
      </w:r>
      <w:r w:rsidRPr="009D6A6D">
        <w:rPr>
          <w:rFonts w:cs="Times New Roman"/>
          <w:lang w:val="fr-CA"/>
        </w:rPr>
        <w:t>amènent à conclure que</w:t>
      </w:r>
      <w:r>
        <w:rPr>
          <w:rFonts w:cs="Times New Roman"/>
          <w:lang w:val="fr-CA"/>
        </w:rPr>
        <w:t xml:space="preserve"> toute limite à l’accès à l’affidavit de M</w:t>
      </w:r>
      <w:r w:rsidRPr="00780E57">
        <w:rPr>
          <w:rFonts w:cs="Times New Roman"/>
          <w:vertAlign w:val="superscript"/>
          <w:lang w:val="fr-CA"/>
        </w:rPr>
        <w:t>e</w:t>
      </w:r>
      <w:r>
        <w:rPr>
          <w:rFonts w:cs="Times New Roman"/>
          <w:lang w:val="fr-CA"/>
        </w:rPr>
        <w:t> Posner ou à sa publication en l’espèce doit satisfaire au critère généralement applicable aux limites discrétionnaires sur la publicité des débats judiciaires</w:t>
      </w:r>
      <w:r w:rsidRPr="00060362">
        <w:rPr>
          <w:rFonts w:cs="Times New Roman"/>
          <w:lang w:val="fr-CA"/>
        </w:rPr>
        <w:t xml:space="preserve">. </w:t>
      </w:r>
      <w:r>
        <w:rPr>
          <w:rFonts w:cs="Times New Roman"/>
          <w:lang w:val="fr-CA"/>
        </w:rPr>
        <w:t>Premièrement, je suis d’accord avec la SRC pour dire que le par. </w:t>
      </w:r>
      <w:r w:rsidRPr="00060362">
        <w:rPr>
          <w:rFonts w:cs="Times New Roman"/>
          <w:lang w:val="fr-CA"/>
        </w:rPr>
        <w:t xml:space="preserve">21(4) </w:t>
      </w:r>
      <w:r>
        <w:rPr>
          <w:rFonts w:cs="Times New Roman"/>
          <w:lang w:val="fr-CA"/>
        </w:rPr>
        <w:t xml:space="preserve">des </w:t>
      </w:r>
      <w:r>
        <w:rPr>
          <w:rFonts w:cs="Times New Roman"/>
          <w:i/>
          <w:lang w:val="fr-CA"/>
        </w:rPr>
        <w:t>Règles de la Cour d’appel</w:t>
      </w:r>
      <w:r w:rsidRPr="00060362">
        <w:rPr>
          <w:rFonts w:cs="Times New Roman"/>
          <w:i/>
          <w:lang w:val="fr-CA"/>
        </w:rPr>
        <w:t xml:space="preserve"> </w:t>
      </w:r>
      <w:r>
        <w:rPr>
          <w:rFonts w:cs="Times New Roman"/>
          <w:lang w:val="fr-CA"/>
        </w:rPr>
        <w:t xml:space="preserve">ne </w:t>
      </w:r>
      <w:proofErr w:type="gramStart"/>
      <w:r>
        <w:rPr>
          <w:rFonts w:cs="Times New Roman"/>
          <w:lang w:val="fr-CA"/>
        </w:rPr>
        <w:t>prévoit</w:t>
      </w:r>
      <w:proofErr w:type="gramEnd"/>
      <w:r>
        <w:rPr>
          <w:rFonts w:cs="Times New Roman"/>
          <w:lang w:val="fr-CA"/>
        </w:rPr>
        <w:t xml:space="preserve"> pas d’ordonnance permanente de mise sous scellés à l’égard de l’affidavit de M</w:t>
      </w:r>
      <w:r w:rsidRPr="00780E57">
        <w:rPr>
          <w:rFonts w:cs="Times New Roman"/>
          <w:vertAlign w:val="superscript"/>
          <w:lang w:val="fr-CA"/>
        </w:rPr>
        <w:t>e</w:t>
      </w:r>
      <w:r>
        <w:rPr>
          <w:rFonts w:cs="Times New Roman"/>
          <w:lang w:val="fr-CA"/>
        </w:rPr>
        <w:t> </w:t>
      </w:r>
      <w:r w:rsidRPr="00060362">
        <w:rPr>
          <w:rFonts w:cs="Times New Roman"/>
          <w:lang w:val="fr-CA"/>
        </w:rPr>
        <w:t xml:space="preserve">Posner. </w:t>
      </w:r>
      <w:r>
        <w:rPr>
          <w:rFonts w:cs="Times New Roman"/>
          <w:lang w:val="fr-CA"/>
        </w:rPr>
        <w:t>Le paragraphe 21</w:t>
      </w:r>
      <w:r w:rsidRPr="00060362">
        <w:rPr>
          <w:rFonts w:cs="Times New Roman"/>
          <w:lang w:val="fr-CA"/>
        </w:rPr>
        <w:t xml:space="preserve">(4), </w:t>
      </w:r>
      <w:r>
        <w:rPr>
          <w:rFonts w:cs="Times New Roman"/>
          <w:lang w:val="fr-CA"/>
        </w:rPr>
        <w:t>qui précise que les nouveaux éléments de preuve demeurent scellés</w:t>
      </w:r>
      <w:r w:rsidRPr="00060362">
        <w:rPr>
          <w:rFonts w:cs="Times New Roman"/>
          <w:lang w:val="fr-CA"/>
        </w:rPr>
        <w:t xml:space="preserve"> </w:t>
      </w:r>
      <w:r>
        <w:rPr>
          <w:rFonts w:cs="Times New Roman"/>
          <w:lang w:val="fr-CA"/>
        </w:rPr>
        <w:t>« jusqu’à ce qu’il soit statué sur la motion »</w:t>
      </w:r>
      <w:r w:rsidRPr="00060362">
        <w:rPr>
          <w:rFonts w:cs="Times New Roman"/>
          <w:lang w:val="fr-CA"/>
        </w:rPr>
        <w:t xml:space="preserve">, </w:t>
      </w:r>
      <w:r>
        <w:rPr>
          <w:rFonts w:cs="Times New Roman"/>
          <w:lang w:val="fr-CA"/>
        </w:rPr>
        <w:t>prévoit expressément que la mise sous scellés prescrite par cette règle cessera lorsqu’il y aura une décision</w:t>
      </w:r>
      <w:r w:rsidRPr="00060362">
        <w:rPr>
          <w:rFonts w:cs="Times New Roman"/>
          <w:lang w:val="fr-CA"/>
        </w:rPr>
        <w:t xml:space="preserve">. </w:t>
      </w:r>
      <w:r>
        <w:rPr>
          <w:rFonts w:cs="Times New Roman"/>
          <w:lang w:val="fr-CA"/>
        </w:rPr>
        <w:t xml:space="preserve">Cette décision a eu lieu lorsque la motion </w:t>
      </w:r>
      <w:r w:rsidRPr="00780E57">
        <w:rPr>
          <w:rFonts w:cs="Times New Roman"/>
          <w:lang w:val="fr-CA"/>
        </w:rPr>
        <w:t>en présentation d</w:t>
      </w:r>
      <w:r>
        <w:rPr>
          <w:rFonts w:cs="Times New Roman"/>
          <w:lang w:val="fr-CA"/>
        </w:rPr>
        <w:t>’</w:t>
      </w:r>
      <w:r w:rsidRPr="00780E57">
        <w:rPr>
          <w:rFonts w:cs="Times New Roman"/>
          <w:lang w:val="fr-CA"/>
        </w:rPr>
        <w:t xml:space="preserve">éléments de preuve </w:t>
      </w:r>
      <w:r>
        <w:rPr>
          <w:rFonts w:cs="Times New Roman"/>
          <w:lang w:val="fr-CA"/>
        </w:rPr>
        <w:t>nouveaux a été rejetée</w:t>
      </w:r>
      <w:r w:rsidRPr="00060362">
        <w:rPr>
          <w:rFonts w:cs="Times New Roman"/>
          <w:lang w:val="fr-CA"/>
        </w:rPr>
        <w:t xml:space="preserve">. </w:t>
      </w:r>
      <w:r>
        <w:rPr>
          <w:rFonts w:cs="Times New Roman"/>
          <w:lang w:val="fr-CA"/>
        </w:rPr>
        <w:t>Rien dans la règle n’indique que la mise sous scellés vise à protéger les renseignements contre une diffusion publique et que cette mesure est censée se poursuivre indéfiniment après qu’il a été statué sur la motion</w:t>
      </w:r>
      <w:r w:rsidRPr="00060362">
        <w:rPr>
          <w:rFonts w:cs="Times New Roman"/>
          <w:lang w:val="fr-CA"/>
        </w:rPr>
        <w:t xml:space="preserve">. </w:t>
      </w:r>
      <w:r>
        <w:rPr>
          <w:rFonts w:cs="Times New Roman"/>
          <w:lang w:val="fr-CA"/>
        </w:rPr>
        <w:t>À mon avis</w:t>
      </w:r>
      <w:r w:rsidRPr="00060362">
        <w:rPr>
          <w:rFonts w:cs="Times New Roman"/>
          <w:lang w:val="fr-CA"/>
        </w:rPr>
        <w:t xml:space="preserve">, </w:t>
      </w:r>
      <w:r>
        <w:rPr>
          <w:rFonts w:cs="Times New Roman"/>
          <w:lang w:val="fr-CA"/>
        </w:rPr>
        <w:t>la règle</w:t>
      </w:r>
      <w:r w:rsidRPr="00060362">
        <w:rPr>
          <w:rFonts w:cs="Times New Roman"/>
          <w:lang w:val="fr-CA"/>
        </w:rPr>
        <w:t xml:space="preserve"> 21 </w:t>
      </w:r>
      <w:r>
        <w:rPr>
          <w:rFonts w:cs="Times New Roman"/>
          <w:lang w:val="fr-CA"/>
        </w:rPr>
        <w:t>ne maintient pas la mise sous scellés de l’affidavit de M</w:t>
      </w:r>
      <w:r w:rsidRPr="00426D58">
        <w:rPr>
          <w:rFonts w:cs="Times New Roman"/>
          <w:vertAlign w:val="superscript"/>
          <w:lang w:val="fr-CA"/>
        </w:rPr>
        <w:t>e</w:t>
      </w:r>
      <w:r>
        <w:rPr>
          <w:rFonts w:cs="Times New Roman"/>
          <w:lang w:val="fr-CA"/>
        </w:rPr>
        <w:t> </w:t>
      </w:r>
      <w:r w:rsidRPr="00060362">
        <w:rPr>
          <w:rFonts w:cs="Times New Roman"/>
          <w:lang w:val="fr-CA"/>
        </w:rPr>
        <w:t xml:space="preserve">Posner. </w:t>
      </w:r>
    </w:p>
    <w:p w:rsidR="009F09DA" w:rsidRPr="00060362" w:rsidRDefault="009F09DA" w:rsidP="009F09DA">
      <w:pPr>
        <w:pStyle w:val="ParaNoNdepar-AltN"/>
        <w:rPr>
          <w:rFonts w:cs="Times New Roman"/>
          <w:lang w:val="fr-CA"/>
        </w:rPr>
      </w:pPr>
      <w:r>
        <w:rPr>
          <w:rFonts w:cs="Times New Roman"/>
          <w:lang w:val="fr-CA"/>
        </w:rPr>
        <w:t>Deuxièmement, le fait que l’affidavit de M</w:t>
      </w:r>
      <w:r w:rsidRPr="009617AD">
        <w:rPr>
          <w:rFonts w:cs="Times New Roman"/>
          <w:vertAlign w:val="superscript"/>
          <w:lang w:val="fr-CA"/>
        </w:rPr>
        <w:t>e</w:t>
      </w:r>
      <w:r>
        <w:rPr>
          <w:rFonts w:cs="Times New Roman"/>
          <w:lang w:val="fr-CA"/>
        </w:rPr>
        <w:t xml:space="preserve"> Posner n’a pas été admis comme élément de preuve nouveau pour les </w:t>
      </w:r>
      <w:r w:rsidRPr="009D6A6D">
        <w:rPr>
          <w:rFonts w:cs="Times New Roman"/>
          <w:lang w:val="fr-CA"/>
        </w:rPr>
        <w:t>besoins de l</w:t>
      </w:r>
      <w:r>
        <w:rPr>
          <w:rFonts w:cs="Times New Roman"/>
          <w:lang w:val="fr-CA"/>
        </w:rPr>
        <w:t>’</w:t>
      </w:r>
      <w:r w:rsidRPr="009D6A6D">
        <w:rPr>
          <w:rFonts w:cs="Times New Roman"/>
          <w:lang w:val="fr-CA"/>
        </w:rPr>
        <w:t>instance portant sur l</w:t>
      </w:r>
      <w:r>
        <w:rPr>
          <w:rFonts w:cs="Times New Roman"/>
          <w:lang w:val="fr-CA"/>
        </w:rPr>
        <w:t>’</w:t>
      </w:r>
      <w:r w:rsidRPr="009D6A6D">
        <w:rPr>
          <w:rFonts w:cs="Times New Roman"/>
          <w:lang w:val="fr-CA"/>
        </w:rPr>
        <w:t>erreur judiciaire ne doit pas mettre l</w:t>
      </w:r>
      <w:r>
        <w:rPr>
          <w:rFonts w:cs="Times New Roman"/>
          <w:lang w:val="fr-CA"/>
        </w:rPr>
        <w:t>’</w:t>
      </w:r>
      <w:r w:rsidRPr="009D6A6D">
        <w:rPr>
          <w:rFonts w:cs="Times New Roman"/>
          <w:lang w:val="fr-CA"/>
        </w:rPr>
        <w:t>interdiction de publication à l</w:t>
      </w:r>
      <w:r>
        <w:rPr>
          <w:rFonts w:cs="Times New Roman"/>
          <w:lang w:val="fr-CA"/>
        </w:rPr>
        <w:t>’</w:t>
      </w:r>
      <w:r w:rsidRPr="009D6A6D">
        <w:rPr>
          <w:rFonts w:cs="Times New Roman"/>
          <w:lang w:val="fr-CA"/>
        </w:rPr>
        <w:t>abri d</w:t>
      </w:r>
      <w:r>
        <w:rPr>
          <w:rFonts w:cs="Times New Roman"/>
          <w:lang w:val="fr-CA"/>
        </w:rPr>
        <w:t>’</w:t>
      </w:r>
      <w:r w:rsidRPr="009D6A6D">
        <w:rPr>
          <w:rFonts w:cs="Times New Roman"/>
          <w:lang w:val="fr-CA"/>
        </w:rPr>
        <w:t xml:space="preserve">un </w:t>
      </w:r>
      <w:r>
        <w:rPr>
          <w:rFonts w:cs="Times New Roman"/>
          <w:lang w:val="fr-CA"/>
        </w:rPr>
        <w:t>contrôle</w:t>
      </w:r>
      <w:r w:rsidRPr="009D6A6D">
        <w:rPr>
          <w:rFonts w:cs="Times New Roman"/>
          <w:lang w:val="fr-CA"/>
        </w:rPr>
        <w:t>. La Couronne soutient que la [</w:t>
      </w:r>
      <w:r w:rsidRPr="009D6A6D">
        <w:rPr>
          <w:rFonts w:cs="Times New Roman"/>
          <w:smallCaps/>
          <w:lang w:val="fr-CA"/>
        </w:rPr>
        <w:t>traduction</w:t>
      </w:r>
      <w:r w:rsidRPr="009D6A6D">
        <w:rPr>
          <w:rFonts w:cs="Times New Roman"/>
          <w:lang w:val="fr-CA"/>
        </w:rPr>
        <w:t>] « pratique » de la Cour d</w:t>
      </w:r>
      <w:r>
        <w:rPr>
          <w:rFonts w:cs="Times New Roman"/>
          <w:lang w:val="fr-CA"/>
        </w:rPr>
        <w:t>’</w:t>
      </w:r>
      <w:r w:rsidRPr="009D6A6D">
        <w:rPr>
          <w:rFonts w:cs="Times New Roman"/>
          <w:lang w:val="fr-CA"/>
        </w:rPr>
        <w:t xml:space="preserve">appel qui consiste à ne pas admettre de tels éléments de preuve </w:t>
      </w:r>
      <w:r>
        <w:rPr>
          <w:rFonts w:cs="Times New Roman"/>
          <w:lang w:val="fr-CA"/>
        </w:rPr>
        <w:t>pour dépôt au</w:t>
      </w:r>
      <w:r w:rsidRPr="009D6A6D">
        <w:rPr>
          <w:rFonts w:cs="Times New Roman"/>
          <w:lang w:val="fr-CA"/>
        </w:rPr>
        <w:t xml:space="preserve"> greffe du tribunal comble le silence du </w:t>
      </w:r>
      <w:r>
        <w:rPr>
          <w:rFonts w:cs="Times New Roman"/>
          <w:lang w:val="fr-CA"/>
        </w:rPr>
        <w:t>par. </w:t>
      </w:r>
      <w:r w:rsidRPr="009D6A6D">
        <w:rPr>
          <w:rFonts w:cs="Times New Roman"/>
          <w:lang w:val="fr-CA"/>
        </w:rPr>
        <w:t>21(4). Toutefois, une pratique administrative ne saurait avoir pour effet de placer cette affaire en dehors de la portée du test concernant les limites</w:t>
      </w:r>
      <w:r>
        <w:rPr>
          <w:rFonts w:cs="Times New Roman"/>
          <w:lang w:val="fr-CA"/>
        </w:rPr>
        <w:t xml:space="preserve"> discrétionnaires au principe de la publicité des débats judiciaires</w:t>
      </w:r>
      <w:r w:rsidRPr="00060362">
        <w:rPr>
          <w:rFonts w:cs="Times New Roman"/>
          <w:lang w:val="fr-CA"/>
        </w:rPr>
        <w:t xml:space="preserve">. </w:t>
      </w:r>
      <w:r>
        <w:rPr>
          <w:rFonts w:cs="Times New Roman"/>
          <w:lang w:val="fr-CA"/>
        </w:rPr>
        <w:t>Cette publicité sert à maintenir la légitimité de l’exercice du pouvoir judiciaire</w:t>
      </w:r>
      <w:r w:rsidRPr="00060362">
        <w:rPr>
          <w:rFonts w:cs="Times New Roman"/>
          <w:lang w:val="fr-CA"/>
        </w:rPr>
        <w:t xml:space="preserve"> — </w:t>
      </w:r>
      <w:r>
        <w:rPr>
          <w:rFonts w:cs="Times New Roman"/>
          <w:lang w:val="fr-CA"/>
        </w:rPr>
        <w:t xml:space="preserve">y compris la décision de rejeter la motion </w:t>
      </w:r>
      <w:r w:rsidRPr="009E2D1F">
        <w:rPr>
          <w:rFonts w:cs="Times New Roman"/>
          <w:lang w:val="fr-CA"/>
        </w:rPr>
        <w:t>en présentation d</w:t>
      </w:r>
      <w:r>
        <w:rPr>
          <w:rFonts w:cs="Times New Roman"/>
          <w:lang w:val="fr-CA"/>
        </w:rPr>
        <w:t>’</w:t>
      </w:r>
      <w:r w:rsidRPr="009E2D1F">
        <w:rPr>
          <w:rFonts w:cs="Times New Roman"/>
          <w:lang w:val="fr-CA"/>
        </w:rPr>
        <w:t xml:space="preserve">éléments de preuve </w:t>
      </w:r>
      <w:r>
        <w:rPr>
          <w:rFonts w:cs="Times New Roman"/>
          <w:lang w:val="fr-CA"/>
        </w:rPr>
        <w:t xml:space="preserve">nouveaux </w:t>
      </w:r>
      <w:r w:rsidRPr="00060362">
        <w:rPr>
          <w:rFonts w:cs="Times New Roman"/>
          <w:lang w:val="fr-CA"/>
        </w:rPr>
        <w:t xml:space="preserve">— </w:t>
      </w:r>
      <w:r>
        <w:rPr>
          <w:rFonts w:cs="Times New Roman"/>
          <w:lang w:val="fr-CA"/>
        </w:rPr>
        <w:t>en permettant au public d’examiner attentivement cet exercice dans le but de s’assurer que la justice est dispensée équitablement</w:t>
      </w:r>
      <w:r w:rsidRPr="00060362">
        <w:rPr>
          <w:rFonts w:cs="Times New Roman"/>
          <w:lang w:val="fr-CA"/>
        </w:rPr>
        <w:t xml:space="preserve"> (</w:t>
      </w:r>
      <w:r w:rsidRPr="00060362">
        <w:rPr>
          <w:rFonts w:cs="Times New Roman"/>
          <w:i/>
          <w:lang w:val="fr-CA"/>
        </w:rPr>
        <w:t>Vancouver Sun</w:t>
      </w:r>
      <w:r w:rsidRPr="00060362">
        <w:rPr>
          <w:rFonts w:cs="Times New Roman"/>
          <w:lang w:val="fr-CA"/>
        </w:rPr>
        <w:t xml:space="preserve">, </w:t>
      </w:r>
      <w:r>
        <w:rPr>
          <w:rFonts w:cs="Times New Roman"/>
          <w:lang w:val="fr-CA"/>
        </w:rPr>
        <w:t>par. </w:t>
      </w:r>
      <w:r w:rsidRPr="00060362">
        <w:rPr>
          <w:rFonts w:cs="Times New Roman"/>
          <w:lang w:val="fr-CA"/>
        </w:rPr>
        <w:t>25).</w:t>
      </w:r>
      <w:r w:rsidRPr="00060362">
        <w:rPr>
          <w:rFonts w:cs="Times New Roman"/>
          <w:i/>
          <w:lang w:val="fr-CA"/>
        </w:rPr>
        <w:t xml:space="preserve"> </w:t>
      </w:r>
      <w:r>
        <w:rPr>
          <w:rFonts w:cs="Times New Roman"/>
          <w:lang w:val="fr-CA"/>
        </w:rPr>
        <w:t>L’accès public au dossier judiciaire facilite cet examen attentif</w:t>
      </w:r>
      <w:r w:rsidRPr="00060362">
        <w:rPr>
          <w:rFonts w:cs="Times New Roman"/>
          <w:lang w:val="fr-CA"/>
        </w:rPr>
        <w:t xml:space="preserve"> (</w:t>
      </w:r>
      <w:r w:rsidRPr="00060362">
        <w:rPr>
          <w:rFonts w:cs="Times New Roman"/>
          <w:i/>
          <w:lang w:val="fr-CA"/>
        </w:rPr>
        <w:t xml:space="preserve">Edmonton Journal </w:t>
      </w:r>
      <w:r>
        <w:rPr>
          <w:rFonts w:cs="Times New Roman"/>
          <w:i/>
          <w:lang w:val="fr-CA"/>
        </w:rPr>
        <w:t>c</w:t>
      </w:r>
      <w:r w:rsidRPr="00060362">
        <w:rPr>
          <w:rFonts w:cs="Times New Roman"/>
          <w:i/>
          <w:lang w:val="fr-CA"/>
        </w:rPr>
        <w:t>. Alberta (</w:t>
      </w:r>
      <w:r>
        <w:rPr>
          <w:rFonts w:cs="Times New Roman"/>
          <w:i/>
          <w:lang w:val="fr-CA"/>
        </w:rPr>
        <w:t>Procureur général</w:t>
      </w:r>
      <w:r w:rsidRPr="00060362">
        <w:rPr>
          <w:rFonts w:cs="Times New Roman"/>
          <w:i/>
          <w:lang w:val="fr-CA"/>
        </w:rPr>
        <w:t>)</w:t>
      </w:r>
      <w:r w:rsidRPr="00060362">
        <w:rPr>
          <w:rFonts w:cs="Times New Roman"/>
          <w:lang w:val="fr-CA"/>
        </w:rPr>
        <w:t xml:space="preserve">, [1989] 2 </w:t>
      </w:r>
      <w:r>
        <w:rPr>
          <w:rFonts w:cs="Times New Roman"/>
          <w:lang w:val="fr-CA"/>
        </w:rPr>
        <w:t>R.C.S</w:t>
      </w:r>
      <w:r w:rsidRPr="00060362">
        <w:rPr>
          <w:rFonts w:cs="Times New Roman"/>
          <w:lang w:val="fr-CA"/>
        </w:rPr>
        <w:t xml:space="preserve">. 1326, </w:t>
      </w:r>
      <w:r>
        <w:rPr>
          <w:rFonts w:cs="Times New Roman"/>
          <w:lang w:val="fr-CA"/>
        </w:rPr>
        <w:t>p. </w:t>
      </w:r>
      <w:r w:rsidRPr="003D4277">
        <w:rPr>
          <w:rFonts w:cs="Times New Roman"/>
          <w:lang w:val="fr-CA"/>
        </w:rPr>
        <w:t>1339</w:t>
      </w:r>
      <w:r>
        <w:rPr>
          <w:rFonts w:cs="Times New Roman"/>
          <w:lang w:val="fr-CA"/>
        </w:rPr>
        <w:t xml:space="preserve">, le juge </w:t>
      </w:r>
      <w:r w:rsidRPr="00060362">
        <w:rPr>
          <w:rFonts w:cs="Times New Roman"/>
          <w:lang w:val="fr-CA"/>
        </w:rPr>
        <w:t xml:space="preserve">Cory). </w:t>
      </w:r>
    </w:p>
    <w:p w:rsidR="009F09DA" w:rsidRPr="00060362" w:rsidRDefault="009F09DA" w:rsidP="009F09DA">
      <w:pPr>
        <w:pStyle w:val="ParaNoNdepar-AltN"/>
        <w:rPr>
          <w:rFonts w:cs="Times New Roman"/>
          <w:lang w:val="fr-CA"/>
        </w:rPr>
      </w:pPr>
      <w:r>
        <w:rPr>
          <w:rFonts w:cs="Times New Roman"/>
          <w:lang w:val="fr-CA"/>
        </w:rPr>
        <w:t xml:space="preserve">Dans le respect de cet objectif, tous les documents mis à la disposition du tribunal en vue de </w:t>
      </w:r>
      <w:r w:rsidRPr="00C5565E">
        <w:rPr>
          <w:rFonts w:cs="Times New Roman"/>
          <w:lang w:val="fr-CA"/>
        </w:rPr>
        <w:t>trancher l</w:t>
      </w:r>
      <w:r>
        <w:rPr>
          <w:rFonts w:cs="Times New Roman"/>
          <w:lang w:val="fr-CA"/>
        </w:rPr>
        <w:t>’</w:t>
      </w:r>
      <w:r w:rsidRPr="00C5565E">
        <w:rPr>
          <w:rFonts w:cs="Times New Roman"/>
          <w:lang w:val="fr-CA"/>
        </w:rPr>
        <w:t xml:space="preserve">affaire, autrement dit </w:t>
      </w:r>
      <w:r>
        <w:rPr>
          <w:rFonts w:cs="Times New Roman"/>
          <w:lang w:val="fr-CA"/>
        </w:rPr>
        <w:t xml:space="preserve">pour lui permettre </w:t>
      </w:r>
      <w:r w:rsidRPr="00C5565E">
        <w:rPr>
          <w:rFonts w:cs="Times New Roman"/>
          <w:lang w:val="fr-CA"/>
        </w:rPr>
        <w:t>d</w:t>
      </w:r>
      <w:r>
        <w:rPr>
          <w:rFonts w:cs="Times New Roman"/>
          <w:lang w:val="fr-CA"/>
        </w:rPr>
        <w:t>’</w:t>
      </w:r>
      <w:r w:rsidRPr="00C5565E">
        <w:rPr>
          <w:rFonts w:cs="Times New Roman"/>
          <w:lang w:val="fr-CA"/>
        </w:rPr>
        <w:t>exercer son pouvoir judiciaire,</w:t>
      </w:r>
      <w:r>
        <w:rPr>
          <w:rFonts w:cs="Times New Roman"/>
          <w:lang w:val="fr-CA"/>
        </w:rPr>
        <w:t xml:space="preserve"> sont visés par </w:t>
      </w:r>
      <w:r w:rsidRPr="00C5565E">
        <w:rPr>
          <w:rFonts w:cs="Times New Roman"/>
          <w:lang w:val="fr-CA"/>
        </w:rPr>
        <w:t xml:space="preserve">le principe de la publicité </w:t>
      </w:r>
      <w:r>
        <w:rPr>
          <w:rFonts w:cs="Times New Roman"/>
          <w:lang w:val="fr-CA"/>
        </w:rPr>
        <w:t xml:space="preserve">des débats judiciaires </w:t>
      </w:r>
      <w:r w:rsidRPr="00060362">
        <w:rPr>
          <w:rFonts w:cs="Times New Roman"/>
          <w:lang w:val="fr-CA"/>
        </w:rPr>
        <w:t>(</w:t>
      </w:r>
      <w:r>
        <w:rPr>
          <w:rFonts w:cs="Times New Roman"/>
          <w:lang w:val="fr-CA"/>
        </w:rPr>
        <w:t>voir</w:t>
      </w:r>
      <w:r w:rsidRPr="00060362">
        <w:rPr>
          <w:rFonts w:cs="Times New Roman"/>
          <w:lang w:val="fr-CA"/>
        </w:rPr>
        <w:t xml:space="preserve"> </w:t>
      </w:r>
      <w:r w:rsidRPr="00060362">
        <w:rPr>
          <w:rFonts w:cs="Times New Roman"/>
          <w:i/>
          <w:lang w:val="fr-CA"/>
        </w:rPr>
        <w:t>Canadian Broadcasting Cor</w:t>
      </w:r>
      <w:r>
        <w:rPr>
          <w:rFonts w:cs="Times New Roman"/>
          <w:i/>
          <w:lang w:val="fr-CA"/>
        </w:rPr>
        <w:t>p. c. R.</w:t>
      </w:r>
      <w:r w:rsidRPr="00060362">
        <w:rPr>
          <w:rFonts w:cs="Times New Roman"/>
          <w:lang w:val="fr-CA"/>
        </w:rPr>
        <w:t xml:space="preserve">, 2010 ONCA 726, 102 O.R. (3d) 673, </w:t>
      </w:r>
      <w:r>
        <w:rPr>
          <w:rFonts w:cs="Times New Roman"/>
          <w:lang w:val="fr-CA"/>
        </w:rPr>
        <w:t>par. </w:t>
      </w:r>
      <w:r w:rsidRPr="00060362">
        <w:rPr>
          <w:rFonts w:cs="Times New Roman"/>
          <w:lang w:val="fr-CA"/>
        </w:rPr>
        <w:t>42</w:t>
      </w:r>
      <w:r>
        <w:rPr>
          <w:rFonts w:cs="Times New Roman"/>
          <w:lang w:val="fr-CA"/>
        </w:rPr>
        <w:noBreakHyphen/>
      </w:r>
      <w:r w:rsidRPr="00060362">
        <w:rPr>
          <w:rFonts w:cs="Times New Roman"/>
          <w:lang w:val="fr-CA"/>
        </w:rPr>
        <w:t xml:space="preserve">44; </w:t>
      </w:r>
      <w:r>
        <w:rPr>
          <w:rFonts w:cs="Times New Roman"/>
          <w:lang w:val="fr-CA"/>
        </w:rPr>
        <w:t>voir également</w:t>
      </w:r>
      <w:r w:rsidRPr="00060362">
        <w:rPr>
          <w:rFonts w:cs="Times New Roman"/>
          <w:lang w:val="fr-CA"/>
        </w:rPr>
        <w:t xml:space="preserve"> </w:t>
      </w:r>
      <w:r w:rsidRPr="00060362">
        <w:rPr>
          <w:rFonts w:cs="Times New Roman"/>
          <w:i/>
          <w:lang w:val="fr-CA"/>
        </w:rPr>
        <w:t xml:space="preserve">Aboriginal Peoples Television Network </w:t>
      </w:r>
      <w:r>
        <w:rPr>
          <w:rFonts w:cs="Times New Roman"/>
          <w:i/>
          <w:lang w:val="fr-CA"/>
        </w:rPr>
        <w:t>c</w:t>
      </w:r>
      <w:r w:rsidRPr="00060362">
        <w:rPr>
          <w:rFonts w:cs="Times New Roman"/>
          <w:i/>
          <w:lang w:val="fr-CA"/>
        </w:rPr>
        <w:t>. Alberta (Attorney General)</w:t>
      </w:r>
      <w:r w:rsidRPr="00060362">
        <w:rPr>
          <w:rFonts w:cs="Times New Roman"/>
          <w:lang w:val="fr-CA"/>
        </w:rPr>
        <w:t>, 2018 ABCA 133, 70 Alta. L.R. (6th) 24</w:t>
      </w:r>
      <w:r>
        <w:rPr>
          <w:rFonts w:cs="Times New Roman"/>
          <w:lang w:val="fr-CA"/>
        </w:rPr>
        <w:t>6</w:t>
      </w:r>
      <w:r w:rsidRPr="00060362">
        <w:rPr>
          <w:rFonts w:cs="Times New Roman"/>
          <w:lang w:val="fr-CA"/>
        </w:rPr>
        <w:t xml:space="preserve">, </w:t>
      </w:r>
      <w:r>
        <w:rPr>
          <w:rFonts w:cs="Times New Roman"/>
          <w:lang w:val="fr-CA"/>
        </w:rPr>
        <w:t>par. </w:t>
      </w:r>
      <w:r w:rsidRPr="00060362">
        <w:rPr>
          <w:rFonts w:cs="Times New Roman"/>
          <w:lang w:val="fr-CA"/>
        </w:rPr>
        <w:t xml:space="preserve">48). </w:t>
      </w:r>
      <w:r>
        <w:rPr>
          <w:rFonts w:cs="Times New Roman"/>
          <w:lang w:val="fr-CA"/>
        </w:rPr>
        <w:t xml:space="preserve">En l’espèce, la Cour d’appel était saisie d’une motion en vue de faire </w:t>
      </w:r>
      <w:r w:rsidRPr="009D6A6D">
        <w:rPr>
          <w:rFonts w:cs="Times New Roman"/>
          <w:lang w:val="fr-CA"/>
        </w:rPr>
        <w:t>admettre l</w:t>
      </w:r>
      <w:r>
        <w:rPr>
          <w:rFonts w:cs="Times New Roman"/>
          <w:lang w:val="fr-CA"/>
        </w:rPr>
        <w:t>’</w:t>
      </w:r>
      <w:r w:rsidRPr="009D6A6D">
        <w:rPr>
          <w:rFonts w:cs="Times New Roman"/>
          <w:lang w:val="fr-CA"/>
        </w:rPr>
        <w:t>affidavit de M</w:t>
      </w:r>
      <w:r w:rsidRPr="009D6A6D">
        <w:rPr>
          <w:rFonts w:cs="Times New Roman"/>
          <w:vertAlign w:val="superscript"/>
          <w:lang w:val="fr-CA"/>
        </w:rPr>
        <w:t>e</w:t>
      </w:r>
      <w:r w:rsidRPr="009D6A6D">
        <w:rPr>
          <w:rFonts w:cs="Times New Roman"/>
          <w:lang w:val="fr-CA"/>
        </w:rPr>
        <w:t xml:space="preserve"> Posner en tant que nouvel élément de preuve. Avec le consentement des </w:t>
      </w:r>
      <w:r>
        <w:rPr>
          <w:rFonts w:cs="Times New Roman"/>
          <w:lang w:val="fr-CA"/>
        </w:rPr>
        <w:t>parties</w:t>
      </w:r>
      <w:r w:rsidRPr="00060362">
        <w:rPr>
          <w:rFonts w:cs="Times New Roman"/>
          <w:lang w:val="fr-CA"/>
        </w:rPr>
        <w:t xml:space="preserve">, </w:t>
      </w:r>
      <w:r>
        <w:rPr>
          <w:rFonts w:cs="Times New Roman"/>
          <w:lang w:val="fr-CA"/>
        </w:rPr>
        <w:t>le tribunal a étudié cet affidavit lors de l’examen de la motion</w:t>
      </w:r>
      <w:r w:rsidRPr="00060362">
        <w:rPr>
          <w:rFonts w:cs="Times New Roman"/>
          <w:lang w:val="fr-CA"/>
        </w:rPr>
        <w:t xml:space="preserve">. </w:t>
      </w:r>
      <w:r>
        <w:rPr>
          <w:rFonts w:cs="Times New Roman"/>
          <w:lang w:val="fr-CA"/>
        </w:rPr>
        <w:t>Bien que le tribunal ait fini par refuser d’admettre l’affidavit, celui</w:t>
      </w:r>
      <w:r>
        <w:rPr>
          <w:rFonts w:cs="Times New Roman"/>
          <w:lang w:val="fr-CA"/>
        </w:rPr>
        <w:noBreakHyphen/>
        <w:t xml:space="preserve">ci a été examiné lorsqu’il a été statué sur la motion </w:t>
      </w:r>
      <w:r w:rsidRPr="000907FA">
        <w:rPr>
          <w:rFonts w:cs="Times New Roman"/>
          <w:lang w:val="fr-CA"/>
        </w:rPr>
        <w:t>en présentation d</w:t>
      </w:r>
      <w:r>
        <w:rPr>
          <w:rFonts w:cs="Times New Roman"/>
          <w:lang w:val="fr-CA"/>
        </w:rPr>
        <w:t>’</w:t>
      </w:r>
      <w:r w:rsidRPr="000907FA">
        <w:rPr>
          <w:rFonts w:cs="Times New Roman"/>
          <w:lang w:val="fr-CA"/>
        </w:rPr>
        <w:t xml:space="preserve">éléments de preuve </w:t>
      </w:r>
      <w:r>
        <w:rPr>
          <w:rFonts w:cs="Times New Roman"/>
          <w:lang w:val="fr-CA"/>
        </w:rPr>
        <w:t>nouveaux</w:t>
      </w:r>
      <w:r w:rsidRPr="00060362">
        <w:rPr>
          <w:rFonts w:cs="Times New Roman"/>
          <w:lang w:val="fr-CA"/>
        </w:rPr>
        <w:t xml:space="preserve">. </w:t>
      </w:r>
      <w:r>
        <w:rPr>
          <w:rFonts w:cs="Times New Roman"/>
          <w:lang w:val="fr-CA"/>
        </w:rPr>
        <w:t>Il s’ensuit que toute limite discrétionnaire à l’accès à l’affidavit de M</w:t>
      </w:r>
      <w:r w:rsidRPr="00574855">
        <w:rPr>
          <w:rFonts w:cs="Times New Roman"/>
          <w:vertAlign w:val="superscript"/>
          <w:lang w:val="fr-CA"/>
        </w:rPr>
        <w:t>e</w:t>
      </w:r>
      <w:r>
        <w:rPr>
          <w:rFonts w:cs="Times New Roman"/>
          <w:lang w:val="fr-CA"/>
        </w:rPr>
        <w:t> </w:t>
      </w:r>
      <w:r w:rsidRPr="00060362">
        <w:rPr>
          <w:rFonts w:cs="Times New Roman"/>
          <w:lang w:val="fr-CA"/>
        </w:rPr>
        <w:t xml:space="preserve">Posner </w:t>
      </w:r>
      <w:r>
        <w:rPr>
          <w:rFonts w:cs="Times New Roman"/>
          <w:lang w:val="fr-CA"/>
        </w:rPr>
        <w:t xml:space="preserve">ou à sa publication doit satisfaire aux exigences énoncées dans les arrêts </w:t>
      </w:r>
      <w:r w:rsidRPr="00060362">
        <w:rPr>
          <w:rFonts w:cs="Times New Roman"/>
          <w:i/>
          <w:lang w:val="fr-CA"/>
        </w:rPr>
        <w:t>Sierra Club</w:t>
      </w:r>
      <w:r w:rsidRPr="00060362">
        <w:rPr>
          <w:rFonts w:cs="Times New Roman"/>
          <w:lang w:val="fr-CA"/>
        </w:rPr>
        <w:t xml:space="preserve"> </w:t>
      </w:r>
      <w:r>
        <w:rPr>
          <w:rFonts w:cs="Times New Roman"/>
          <w:lang w:val="fr-CA"/>
        </w:rPr>
        <w:t>et</w:t>
      </w:r>
      <w:r w:rsidRPr="00060362">
        <w:rPr>
          <w:rFonts w:cs="Times New Roman"/>
          <w:lang w:val="fr-CA"/>
        </w:rPr>
        <w:t xml:space="preserve"> </w:t>
      </w:r>
      <w:r w:rsidRPr="00060362">
        <w:rPr>
          <w:rFonts w:cs="Times New Roman"/>
          <w:i/>
          <w:lang w:val="fr-CA"/>
        </w:rPr>
        <w:t>Sherman</w:t>
      </w:r>
      <w:r w:rsidRPr="00060362">
        <w:rPr>
          <w:rFonts w:cs="Times New Roman"/>
          <w:lang w:val="fr-CA"/>
        </w:rPr>
        <w:t>.</w:t>
      </w:r>
    </w:p>
    <w:p w:rsidR="009F09DA" w:rsidRPr="00060362" w:rsidRDefault="009F09DA" w:rsidP="009F09DA">
      <w:pPr>
        <w:pStyle w:val="ParaNoNdepar-AltN"/>
        <w:rPr>
          <w:rFonts w:cs="Times New Roman"/>
          <w:shd w:val="clear" w:color="auto" w:fill="FFFFFF"/>
          <w:lang w:val="fr-CA"/>
        </w:rPr>
      </w:pPr>
      <w:r>
        <w:rPr>
          <w:rFonts w:cs="Times New Roman"/>
          <w:shd w:val="clear" w:color="auto" w:fill="FFFFFF"/>
          <w:lang w:val="fr-CA"/>
        </w:rPr>
        <w:t xml:space="preserve">En </w:t>
      </w:r>
      <w:r w:rsidRPr="009D6A6D">
        <w:rPr>
          <w:rFonts w:cs="Times New Roman"/>
          <w:shd w:val="clear" w:color="auto" w:fill="FFFFFF"/>
          <w:lang w:val="fr-CA"/>
        </w:rPr>
        <w:t xml:space="preserve">somme, </w:t>
      </w:r>
      <w:r>
        <w:rPr>
          <w:rFonts w:cs="Times New Roman"/>
          <w:shd w:val="clear" w:color="auto" w:fill="FFFFFF"/>
          <w:lang w:val="fr-CA"/>
        </w:rPr>
        <w:t>dès lors que la mesure de redressement sollicitée l’obligeait à réexaminer son interdiction de publication, la Cour d’appel aurait dû se demander s’il était opportun de modifier ou d’annuler cette décision sur motion de la SRC, vu qu’elle avait été prise sans avis</w:t>
      </w:r>
      <w:r w:rsidRPr="00060362">
        <w:rPr>
          <w:rFonts w:cs="Times New Roman"/>
          <w:shd w:val="clear" w:color="auto" w:fill="FFFFFF"/>
          <w:lang w:val="fr-CA"/>
        </w:rPr>
        <w:t xml:space="preserve">. </w:t>
      </w:r>
      <w:r>
        <w:rPr>
          <w:rFonts w:cs="Times New Roman"/>
          <w:shd w:val="clear" w:color="auto" w:fill="FFFFFF"/>
          <w:lang w:val="fr-CA"/>
        </w:rPr>
        <w:t>Sur le fond de la motion</w:t>
      </w:r>
      <w:r w:rsidRPr="00060362">
        <w:rPr>
          <w:rFonts w:cs="Times New Roman"/>
          <w:shd w:val="clear" w:color="auto" w:fill="FFFFFF"/>
          <w:lang w:val="fr-CA"/>
        </w:rPr>
        <w:t xml:space="preserve">, </w:t>
      </w:r>
      <w:r>
        <w:rPr>
          <w:rFonts w:cs="Times New Roman"/>
          <w:shd w:val="clear" w:color="auto" w:fill="FFFFFF"/>
          <w:lang w:val="fr-CA"/>
        </w:rPr>
        <w:t xml:space="preserve">la Cour d’appel aurait dû se demander si les limites discrétionnaires qu’elle avait imposées à la publication du </w:t>
      </w:r>
      <w:r w:rsidRPr="009D6A6D">
        <w:rPr>
          <w:rFonts w:cs="Times New Roman"/>
          <w:shd w:val="clear" w:color="auto" w:fill="FFFFFF"/>
          <w:lang w:val="fr-CA"/>
        </w:rPr>
        <w:t>dossier judiciaire, qui comprend l</w:t>
      </w:r>
      <w:r>
        <w:rPr>
          <w:rFonts w:cs="Times New Roman"/>
          <w:shd w:val="clear" w:color="auto" w:fill="FFFFFF"/>
          <w:lang w:val="fr-CA"/>
        </w:rPr>
        <w:t>’</w:t>
      </w:r>
      <w:r w:rsidRPr="009D6A6D">
        <w:rPr>
          <w:rFonts w:cs="Times New Roman"/>
          <w:shd w:val="clear" w:color="auto" w:fill="FFFFFF"/>
          <w:lang w:val="fr-CA"/>
        </w:rPr>
        <w:t>affidavit de M</w:t>
      </w:r>
      <w:r w:rsidRPr="009D6A6D">
        <w:rPr>
          <w:rFonts w:cs="Times New Roman"/>
          <w:shd w:val="clear" w:color="auto" w:fill="FFFFFF"/>
          <w:vertAlign w:val="superscript"/>
          <w:lang w:val="fr-CA"/>
        </w:rPr>
        <w:t>e</w:t>
      </w:r>
      <w:r w:rsidRPr="009D6A6D">
        <w:rPr>
          <w:rFonts w:cs="Times New Roman"/>
          <w:shd w:val="clear" w:color="auto" w:fill="FFFFFF"/>
          <w:lang w:val="fr-CA"/>
        </w:rPr>
        <w:t> Posner, s</w:t>
      </w:r>
      <w:r>
        <w:rPr>
          <w:rFonts w:cs="Times New Roman"/>
          <w:shd w:val="clear" w:color="auto" w:fill="FFFFFF"/>
          <w:lang w:val="fr-CA"/>
        </w:rPr>
        <w:t xml:space="preserve">e conformaient </w:t>
      </w:r>
      <w:r w:rsidRPr="009D6A6D">
        <w:rPr>
          <w:rFonts w:cs="Times New Roman"/>
          <w:shd w:val="clear" w:color="auto" w:fill="FFFFFF"/>
          <w:lang w:val="fr-CA"/>
        </w:rPr>
        <w:t xml:space="preserve">au test concernant les limites discrétionnaires à la publicité des débats judiciaires. </w:t>
      </w:r>
    </w:p>
    <w:p w:rsidR="009F09DA" w:rsidRPr="00060362" w:rsidRDefault="009F09DA" w:rsidP="009F09DA">
      <w:pPr>
        <w:pStyle w:val="ParaNoNdepar-AltN"/>
        <w:rPr>
          <w:rFonts w:cs="Times New Roman"/>
          <w:lang w:val="fr-CA"/>
        </w:rPr>
      </w:pPr>
      <w:r>
        <w:rPr>
          <w:rFonts w:cs="Times New Roman"/>
          <w:lang w:val="fr-CA"/>
        </w:rPr>
        <w:t xml:space="preserve">Il </w:t>
      </w:r>
      <w:r w:rsidRPr="00C5565E">
        <w:rPr>
          <w:rFonts w:cs="Times New Roman"/>
          <w:lang w:val="fr-CA"/>
        </w:rPr>
        <w:t xml:space="preserve">reste à se demander quel tribunal doit trancher ces questions soulevées dans le contexte du premier appel du jugement </w:t>
      </w:r>
      <w:r>
        <w:rPr>
          <w:rFonts w:cs="Times New Roman"/>
          <w:lang w:val="fr-CA"/>
        </w:rPr>
        <w:t xml:space="preserve">de </w:t>
      </w:r>
      <w:r w:rsidRPr="009D6A6D">
        <w:rPr>
          <w:rFonts w:cs="Times New Roman"/>
          <w:lang w:val="fr-CA"/>
        </w:rPr>
        <w:t>2019 sur la compétence. Tel qu</w:t>
      </w:r>
      <w:r>
        <w:rPr>
          <w:rFonts w:cs="Times New Roman"/>
          <w:lang w:val="fr-CA"/>
        </w:rPr>
        <w:t>’</w:t>
      </w:r>
      <w:r w:rsidRPr="009D6A6D">
        <w:rPr>
          <w:rFonts w:cs="Times New Roman"/>
          <w:lang w:val="fr-CA"/>
        </w:rPr>
        <w:t>il est indiqué ci</w:t>
      </w:r>
      <w:r>
        <w:rPr>
          <w:rFonts w:cs="Times New Roman"/>
          <w:lang w:val="fr-CA"/>
        </w:rPr>
        <w:noBreakHyphen/>
      </w:r>
      <w:r w:rsidRPr="009D6A6D">
        <w:rPr>
          <w:rFonts w:cs="Times New Roman"/>
          <w:lang w:val="fr-CA"/>
        </w:rPr>
        <w:t>dessus, la Couronne prétend que, si la Cour d</w:t>
      </w:r>
      <w:r>
        <w:rPr>
          <w:rFonts w:cs="Times New Roman"/>
          <w:lang w:val="fr-CA"/>
        </w:rPr>
        <w:t>’</w:t>
      </w:r>
      <w:r w:rsidRPr="009D6A6D">
        <w:rPr>
          <w:rFonts w:cs="Times New Roman"/>
          <w:lang w:val="fr-CA"/>
        </w:rPr>
        <w:t>appel avait compétence pour entendre la motion en réexamen, il s</w:t>
      </w:r>
      <w:r>
        <w:rPr>
          <w:rFonts w:cs="Times New Roman"/>
          <w:lang w:val="fr-CA"/>
        </w:rPr>
        <w:t>’</w:t>
      </w:r>
      <w:r w:rsidRPr="009D6A6D">
        <w:rPr>
          <w:rFonts w:cs="Times New Roman"/>
          <w:lang w:val="fr-CA"/>
        </w:rPr>
        <w:t xml:space="preserve">ensuit </w:t>
      </w:r>
      <w:r>
        <w:rPr>
          <w:rFonts w:cs="Times New Roman"/>
          <w:lang w:val="fr-CA"/>
        </w:rPr>
        <w:t>que notre Cour ne l’a pas</w:t>
      </w:r>
      <w:r w:rsidRPr="00060362">
        <w:rPr>
          <w:rFonts w:cs="Times New Roman"/>
          <w:lang w:val="fr-CA"/>
        </w:rPr>
        <w:t xml:space="preserve">. </w:t>
      </w:r>
      <w:r>
        <w:rPr>
          <w:rFonts w:cs="Times New Roman"/>
          <w:lang w:val="fr-CA"/>
        </w:rPr>
        <w:t>Elle plaide que dans ce scénario, l’interdiction de publication n’est pas</w:t>
      </w:r>
      <w:r w:rsidRPr="00060362">
        <w:rPr>
          <w:rFonts w:cs="Times New Roman"/>
          <w:lang w:val="fr-CA"/>
        </w:rPr>
        <w:t xml:space="preserve"> </w:t>
      </w:r>
      <w:r>
        <w:rPr>
          <w:rFonts w:cs="Times New Roman"/>
          <w:lang w:val="fr-CA"/>
        </w:rPr>
        <w:t>un « </w:t>
      </w:r>
      <w:r w:rsidRPr="00CC774A">
        <w:rPr>
          <w:rFonts w:cs="Times New Roman"/>
          <w:lang w:val="fr-CA"/>
        </w:rPr>
        <w:t xml:space="preserve">jugement, définitif ou autre, rendu par </w:t>
      </w:r>
      <w:r>
        <w:rPr>
          <w:rFonts w:cs="Times New Roman"/>
          <w:lang w:val="fr-CA"/>
        </w:rPr>
        <w:t xml:space="preserve">[. . .] </w:t>
      </w:r>
      <w:r w:rsidRPr="00CC774A">
        <w:rPr>
          <w:rFonts w:cs="Times New Roman"/>
          <w:lang w:val="fr-CA"/>
        </w:rPr>
        <w:t>le plus haut tribunal de dernier ressort</w:t>
      </w:r>
      <w:r>
        <w:rPr>
          <w:rFonts w:cs="Times New Roman"/>
          <w:lang w:val="fr-CA"/>
        </w:rPr>
        <w:t> »</w:t>
      </w:r>
      <w:r w:rsidRPr="00060362">
        <w:rPr>
          <w:rFonts w:cs="Times New Roman"/>
          <w:lang w:val="fr-CA"/>
        </w:rPr>
        <w:t xml:space="preserve"> </w:t>
      </w:r>
      <w:r>
        <w:rPr>
          <w:rFonts w:cs="Times New Roman"/>
          <w:lang w:val="fr-CA"/>
        </w:rPr>
        <w:t>pour l’application du par. </w:t>
      </w:r>
      <w:r w:rsidRPr="00060362">
        <w:rPr>
          <w:rFonts w:cs="Times New Roman"/>
          <w:lang w:val="fr-CA"/>
        </w:rPr>
        <w:t xml:space="preserve">40(1) </w:t>
      </w:r>
      <w:r>
        <w:rPr>
          <w:rFonts w:cs="Times New Roman"/>
          <w:lang w:val="fr-CA"/>
        </w:rPr>
        <w:t>de la</w:t>
      </w:r>
      <w:r w:rsidRPr="00060362">
        <w:rPr>
          <w:rFonts w:cs="Times New Roman"/>
          <w:lang w:val="fr-CA"/>
        </w:rPr>
        <w:t xml:space="preserve"> </w:t>
      </w:r>
      <w:r>
        <w:rPr>
          <w:rFonts w:cs="Times New Roman"/>
          <w:i/>
          <w:lang w:val="fr-CA"/>
        </w:rPr>
        <w:t>Loi sur la Cour suprême</w:t>
      </w:r>
      <w:r w:rsidRPr="00060362">
        <w:rPr>
          <w:rFonts w:cs="Times New Roman"/>
          <w:lang w:val="fr-CA"/>
        </w:rPr>
        <w:t xml:space="preserve">, </w:t>
      </w:r>
      <w:r>
        <w:rPr>
          <w:rFonts w:cs="Times New Roman"/>
          <w:lang w:val="fr-CA"/>
        </w:rPr>
        <w:t>L.R</w:t>
      </w:r>
      <w:r w:rsidRPr="00060362">
        <w:rPr>
          <w:rFonts w:cs="Times New Roman"/>
          <w:lang w:val="fr-CA"/>
        </w:rPr>
        <w:t>.C. 1985, c. S</w:t>
      </w:r>
      <w:r>
        <w:rPr>
          <w:rFonts w:cs="Times New Roman"/>
          <w:lang w:val="fr-CA"/>
        </w:rPr>
        <w:noBreakHyphen/>
      </w:r>
      <w:r w:rsidRPr="00060362">
        <w:rPr>
          <w:rFonts w:cs="Times New Roman"/>
          <w:lang w:val="fr-CA"/>
        </w:rPr>
        <w:t xml:space="preserve">26, </w:t>
      </w:r>
      <w:r>
        <w:rPr>
          <w:rFonts w:cs="Times New Roman"/>
          <w:lang w:val="fr-CA"/>
        </w:rPr>
        <w:t xml:space="preserve">en vertu duquel l’autorisation d’appel en l’espèce a été </w:t>
      </w:r>
      <w:r w:rsidRPr="009D6A6D">
        <w:rPr>
          <w:rFonts w:cs="Times New Roman"/>
          <w:lang w:val="fr-CA"/>
        </w:rPr>
        <w:t>accordée</w:t>
      </w:r>
      <w:r w:rsidRPr="00060362">
        <w:rPr>
          <w:rFonts w:cs="Times New Roman"/>
          <w:lang w:val="fr-CA"/>
        </w:rPr>
        <w:t xml:space="preserve">. </w:t>
      </w:r>
    </w:p>
    <w:p w:rsidR="009F09DA" w:rsidRPr="00C5565E" w:rsidRDefault="009F09DA" w:rsidP="009F09DA">
      <w:pPr>
        <w:pStyle w:val="ParaNoNdepar-AltN"/>
        <w:rPr>
          <w:rFonts w:cs="Times New Roman"/>
          <w:lang w:val="fr-CA"/>
        </w:rPr>
      </w:pPr>
      <w:r>
        <w:rPr>
          <w:rFonts w:cs="Times New Roman"/>
          <w:lang w:val="fr-CA"/>
        </w:rPr>
        <w:t>Je ne suis pas de cet avis</w:t>
      </w:r>
      <w:r w:rsidRPr="00060362">
        <w:rPr>
          <w:rFonts w:cs="Times New Roman"/>
          <w:lang w:val="fr-CA"/>
        </w:rPr>
        <w:t xml:space="preserve">. </w:t>
      </w:r>
      <w:r>
        <w:rPr>
          <w:rFonts w:cs="Times New Roman"/>
          <w:lang w:val="fr-CA"/>
        </w:rPr>
        <w:t>Le réexamen, par la Cour d’appel, de son interdiction de publication n’est pas, comme nous l’avons vu, un appel de l’ordonnance</w:t>
      </w:r>
      <w:r w:rsidRPr="00060362">
        <w:rPr>
          <w:rFonts w:cs="Times New Roman"/>
          <w:lang w:val="fr-CA"/>
        </w:rPr>
        <w:t xml:space="preserve">. </w:t>
      </w:r>
      <w:r>
        <w:rPr>
          <w:rFonts w:cs="Times New Roman"/>
          <w:lang w:val="fr-CA"/>
        </w:rPr>
        <w:t xml:space="preserve">La seule voie d’appel du jugement rendu en 2018 par la Cour d’appel </w:t>
      </w:r>
      <w:r w:rsidRPr="00C5565E">
        <w:rPr>
          <w:rFonts w:cs="Times New Roman"/>
          <w:lang w:val="fr-CA"/>
        </w:rPr>
        <w:t>sur l</w:t>
      </w:r>
      <w:r>
        <w:rPr>
          <w:rFonts w:cs="Times New Roman"/>
          <w:lang w:val="fr-CA"/>
        </w:rPr>
        <w:t>’</w:t>
      </w:r>
      <w:r w:rsidRPr="00C5565E">
        <w:rPr>
          <w:rFonts w:cs="Times New Roman"/>
          <w:lang w:val="fr-CA"/>
        </w:rPr>
        <w:t xml:space="preserve">interdiction de publication ou de son jugement </w:t>
      </w:r>
      <w:r>
        <w:rPr>
          <w:rFonts w:cs="Times New Roman"/>
          <w:lang w:val="fr-CA"/>
        </w:rPr>
        <w:t xml:space="preserve">de 2019 </w:t>
      </w:r>
      <w:r w:rsidRPr="00C5565E">
        <w:rPr>
          <w:rFonts w:cs="Times New Roman"/>
          <w:lang w:val="fr-CA"/>
        </w:rPr>
        <w:t>sur la compétence était l</w:t>
      </w:r>
      <w:r>
        <w:rPr>
          <w:rFonts w:cs="Times New Roman"/>
          <w:lang w:val="fr-CA"/>
        </w:rPr>
        <w:t>’</w:t>
      </w:r>
      <w:r w:rsidRPr="00C5565E">
        <w:rPr>
          <w:rFonts w:cs="Times New Roman"/>
          <w:lang w:val="fr-CA"/>
        </w:rPr>
        <w:t xml:space="preserve">appel à notre Cour, avec son </w:t>
      </w:r>
      <w:r w:rsidRPr="009D6A6D">
        <w:rPr>
          <w:rFonts w:cs="Times New Roman"/>
          <w:lang w:val="fr-CA"/>
        </w:rPr>
        <w:t xml:space="preserve">autorisation, en application du </w:t>
      </w:r>
      <w:r>
        <w:rPr>
          <w:rFonts w:cs="Times New Roman"/>
          <w:lang w:val="fr-CA"/>
        </w:rPr>
        <w:t>par. </w:t>
      </w:r>
      <w:r w:rsidRPr="009D6A6D">
        <w:rPr>
          <w:rFonts w:cs="Times New Roman"/>
          <w:lang w:val="fr-CA"/>
        </w:rPr>
        <w:t xml:space="preserve">40(1) de la </w:t>
      </w:r>
      <w:r w:rsidRPr="009D6A6D">
        <w:rPr>
          <w:rFonts w:cs="Times New Roman"/>
          <w:i/>
          <w:lang w:val="fr-CA"/>
        </w:rPr>
        <w:t>Loi sur la Cour suprême</w:t>
      </w:r>
      <w:r w:rsidRPr="009D6A6D">
        <w:rPr>
          <w:rFonts w:cs="Times New Roman"/>
          <w:lang w:val="fr-CA"/>
        </w:rPr>
        <w:t xml:space="preserve"> (voir</w:t>
      </w:r>
      <w:r>
        <w:rPr>
          <w:rFonts w:cs="Times New Roman"/>
          <w:lang w:val="fr-CA"/>
        </w:rPr>
        <w:t xml:space="preserve">, en général, </w:t>
      </w:r>
      <w:r w:rsidRPr="009D6A6D">
        <w:rPr>
          <w:rFonts w:cs="Times New Roman"/>
          <w:i/>
          <w:lang w:val="fr-CA"/>
        </w:rPr>
        <w:t>Dagenais</w:t>
      </w:r>
      <w:r w:rsidRPr="009D6A6D">
        <w:rPr>
          <w:rFonts w:cs="Times New Roman"/>
          <w:lang w:val="fr-CA"/>
        </w:rPr>
        <w:t xml:space="preserve">, </w:t>
      </w:r>
      <w:r>
        <w:rPr>
          <w:rFonts w:cs="Times New Roman"/>
          <w:lang w:val="fr-CA"/>
        </w:rPr>
        <w:t>p. </w:t>
      </w:r>
      <w:r w:rsidRPr="009D6A6D">
        <w:rPr>
          <w:rFonts w:cs="Times New Roman"/>
          <w:lang w:val="fr-CA"/>
        </w:rPr>
        <w:t xml:space="preserve">872). Par </w:t>
      </w:r>
      <w:r w:rsidRPr="00C5565E">
        <w:rPr>
          <w:rFonts w:cs="Times New Roman"/>
          <w:lang w:val="fr-CA"/>
        </w:rPr>
        <w:t>conséquent, je n</w:t>
      </w:r>
      <w:r>
        <w:rPr>
          <w:rFonts w:cs="Times New Roman"/>
          <w:lang w:val="fr-CA"/>
        </w:rPr>
        <w:t>’</w:t>
      </w:r>
      <w:r w:rsidRPr="00C5565E">
        <w:rPr>
          <w:rFonts w:cs="Times New Roman"/>
          <w:lang w:val="fr-CA"/>
        </w:rPr>
        <w:t>ai aucune difficulté à conclure que les deux étaient des « jugement[s], définitif[s] ou autre[s], rendu[s] par [</w:t>
      </w:r>
      <w:r>
        <w:rPr>
          <w:rFonts w:cs="Times New Roman"/>
          <w:lang w:val="fr-CA"/>
        </w:rPr>
        <w:t>. . .</w:t>
      </w:r>
      <w:r w:rsidRPr="00C5565E">
        <w:rPr>
          <w:rFonts w:cs="Times New Roman"/>
          <w:lang w:val="fr-CA"/>
        </w:rPr>
        <w:t>] le plus haut tribunal de dernier ressort » à l</w:t>
      </w:r>
      <w:r>
        <w:rPr>
          <w:rFonts w:cs="Times New Roman"/>
          <w:lang w:val="fr-CA"/>
        </w:rPr>
        <w:t>’</w:t>
      </w:r>
      <w:r w:rsidRPr="00C5565E">
        <w:rPr>
          <w:rFonts w:cs="Times New Roman"/>
          <w:lang w:val="fr-CA"/>
        </w:rPr>
        <w:t>égard desquels notre Cour a compétence pour entendre un appel avec autorisation (voir</w:t>
      </w:r>
      <w:r>
        <w:rPr>
          <w:rFonts w:cs="Times New Roman"/>
          <w:lang w:val="fr-CA"/>
        </w:rPr>
        <w:t xml:space="preserve">, en général, </w:t>
      </w:r>
      <w:r w:rsidRPr="00C5565E">
        <w:rPr>
          <w:rFonts w:cs="Times New Roman"/>
          <w:i/>
          <w:lang w:val="fr-CA"/>
        </w:rPr>
        <w:t>Mentuck</w:t>
      </w:r>
      <w:r w:rsidRPr="00C5565E">
        <w:rPr>
          <w:rFonts w:cs="Times New Roman"/>
          <w:lang w:val="fr-CA"/>
        </w:rPr>
        <w:t xml:space="preserve">, </w:t>
      </w:r>
      <w:r>
        <w:rPr>
          <w:rFonts w:cs="Times New Roman"/>
          <w:lang w:val="fr-CA"/>
        </w:rPr>
        <w:t>par. </w:t>
      </w:r>
      <w:r w:rsidRPr="00C5565E">
        <w:rPr>
          <w:rFonts w:cs="Times New Roman"/>
          <w:lang w:val="fr-CA"/>
        </w:rPr>
        <w:t>20</w:t>
      </w:r>
      <w:r>
        <w:rPr>
          <w:rFonts w:cs="Times New Roman"/>
          <w:lang w:val="fr-CA"/>
        </w:rPr>
        <w:noBreakHyphen/>
      </w:r>
      <w:r w:rsidRPr="00C5565E">
        <w:rPr>
          <w:rFonts w:cs="Times New Roman"/>
          <w:lang w:val="fr-CA"/>
        </w:rPr>
        <w:t xml:space="preserve">21). </w:t>
      </w:r>
    </w:p>
    <w:p w:rsidR="009F09DA" w:rsidRPr="00C5565E" w:rsidRDefault="009F09DA" w:rsidP="009F09DA">
      <w:pPr>
        <w:pStyle w:val="ParaNoNdepar-AltN"/>
        <w:rPr>
          <w:rFonts w:cs="Times New Roman"/>
          <w:lang w:val="fr-CA"/>
        </w:rPr>
      </w:pPr>
      <w:r w:rsidRPr="00C5565E">
        <w:rPr>
          <w:rFonts w:cs="Times New Roman"/>
          <w:lang w:val="fr-CA"/>
        </w:rPr>
        <w:t>Cela dit, je suis d</w:t>
      </w:r>
      <w:r>
        <w:rPr>
          <w:rFonts w:cs="Times New Roman"/>
          <w:lang w:val="fr-CA"/>
        </w:rPr>
        <w:t>’</w:t>
      </w:r>
      <w:r w:rsidRPr="00C5565E">
        <w:rPr>
          <w:rFonts w:cs="Times New Roman"/>
          <w:lang w:val="fr-CA"/>
        </w:rPr>
        <w:t>avis que, par souci d</w:t>
      </w:r>
      <w:r>
        <w:rPr>
          <w:rFonts w:cs="Times New Roman"/>
          <w:lang w:val="fr-CA"/>
        </w:rPr>
        <w:t>’</w:t>
      </w:r>
      <w:r w:rsidRPr="00C5565E">
        <w:rPr>
          <w:rFonts w:cs="Times New Roman"/>
          <w:lang w:val="fr-CA"/>
        </w:rPr>
        <w:t>équité envers toutes les parties, nous devons renvoyer à la Cour d</w:t>
      </w:r>
      <w:r>
        <w:rPr>
          <w:rFonts w:cs="Times New Roman"/>
          <w:lang w:val="fr-CA"/>
        </w:rPr>
        <w:t>’</w:t>
      </w:r>
      <w:r w:rsidRPr="00C5565E">
        <w:rPr>
          <w:rFonts w:cs="Times New Roman"/>
          <w:lang w:val="fr-CA"/>
        </w:rPr>
        <w:t xml:space="preserve">appel la </w:t>
      </w:r>
      <w:r w:rsidRPr="009D6A6D">
        <w:rPr>
          <w:rFonts w:cs="Times New Roman"/>
          <w:lang w:val="fr-CA"/>
        </w:rPr>
        <w:t xml:space="preserve">motion qui a </w:t>
      </w:r>
      <w:r>
        <w:rPr>
          <w:rFonts w:cs="Times New Roman"/>
          <w:lang w:val="fr-CA"/>
        </w:rPr>
        <w:t xml:space="preserve">mené au </w:t>
      </w:r>
      <w:r w:rsidRPr="00127AA3">
        <w:rPr>
          <w:rFonts w:cs="Times New Roman"/>
          <w:lang w:val="fr-CA"/>
        </w:rPr>
        <w:t xml:space="preserve">jugement de 2019 sur </w:t>
      </w:r>
      <w:r w:rsidRPr="009D6A6D">
        <w:rPr>
          <w:rFonts w:cs="Times New Roman"/>
          <w:lang w:val="fr-CA"/>
        </w:rPr>
        <w:t>la</w:t>
      </w:r>
      <w:r w:rsidRPr="00C5565E">
        <w:rPr>
          <w:rFonts w:cs="Times New Roman"/>
          <w:lang w:val="fr-CA"/>
        </w:rPr>
        <w:t xml:space="preserve"> compétence. Il vaut mieux que ce soit la Cour d</w:t>
      </w:r>
      <w:r>
        <w:rPr>
          <w:rFonts w:cs="Times New Roman"/>
          <w:lang w:val="fr-CA"/>
        </w:rPr>
        <w:t>’</w:t>
      </w:r>
      <w:r w:rsidRPr="00C5565E">
        <w:rPr>
          <w:rFonts w:cs="Times New Roman"/>
          <w:lang w:val="fr-CA"/>
        </w:rPr>
        <w:t xml:space="preserve">appel </w:t>
      </w:r>
      <w:r>
        <w:rPr>
          <w:rFonts w:cs="Times New Roman"/>
          <w:lang w:val="fr-CA"/>
        </w:rPr>
        <w:t>qui tranche les autres questions soulevées</w:t>
      </w:r>
      <w:r w:rsidRPr="00060362">
        <w:rPr>
          <w:rFonts w:cs="Times New Roman"/>
          <w:lang w:val="fr-CA"/>
        </w:rPr>
        <w:t xml:space="preserve">. </w:t>
      </w:r>
      <w:r>
        <w:rPr>
          <w:rFonts w:cs="Times New Roman"/>
          <w:lang w:val="fr-CA"/>
        </w:rPr>
        <w:t>La Cour d’appel a mis fin à son analyse après avoir conclu qu’elle était</w:t>
      </w:r>
      <w:r w:rsidRPr="00060362">
        <w:rPr>
          <w:rFonts w:cs="Times New Roman"/>
          <w:lang w:val="fr-CA"/>
        </w:rPr>
        <w:t xml:space="preserve"> </w:t>
      </w:r>
      <w:r w:rsidRPr="00060362">
        <w:rPr>
          <w:rFonts w:cs="Times New Roman"/>
          <w:i/>
          <w:lang w:val="fr-CA"/>
        </w:rPr>
        <w:t>functus officio</w:t>
      </w:r>
      <w:r>
        <w:rPr>
          <w:rFonts w:cs="Times New Roman"/>
          <w:lang w:val="fr-CA"/>
        </w:rPr>
        <w:t>,</w:t>
      </w:r>
      <w:r w:rsidRPr="00060362">
        <w:rPr>
          <w:rFonts w:cs="Times New Roman"/>
          <w:lang w:val="fr-CA"/>
        </w:rPr>
        <w:t xml:space="preserve"> </w:t>
      </w:r>
      <w:r>
        <w:rPr>
          <w:rFonts w:cs="Times New Roman"/>
          <w:lang w:val="fr-CA"/>
        </w:rPr>
        <w:t xml:space="preserve">et </w:t>
      </w:r>
      <w:r w:rsidRPr="00C5565E">
        <w:rPr>
          <w:rFonts w:cs="Times New Roman"/>
          <w:lang w:val="fr-CA"/>
        </w:rPr>
        <w:t>nous ne disposons pas de motifs de la juridiction inférieure sur ces questions. Comme je l</w:t>
      </w:r>
      <w:r>
        <w:rPr>
          <w:rFonts w:cs="Times New Roman"/>
          <w:lang w:val="fr-CA"/>
        </w:rPr>
        <w:t>’</w:t>
      </w:r>
      <w:r w:rsidRPr="00C5565E">
        <w:rPr>
          <w:rFonts w:cs="Times New Roman"/>
          <w:lang w:val="fr-CA"/>
        </w:rPr>
        <w:t>ai déjà fait remarquer, la motion obligeait la Cour d</w:t>
      </w:r>
      <w:r>
        <w:rPr>
          <w:rFonts w:cs="Times New Roman"/>
          <w:lang w:val="fr-CA"/>
        </w:rPr>
        <w:t>’</w:t>
      </w:r>
      <w:r w:rsidRPr="00C5565E">
        <w:rPr>
          <w:rFonts w:cs="Times New Roman"/>
          <w:lang w:val="fr-CA"/>
        </w:rPr>
        <w:t>appel à rendre plusieurs décisions discrétionnaires</w:t>
      </w:r>
      <w:r>
        <w:rPr>
          <w:rFonts w:cs="Times New Roman"/>
          <w:lang w:val="fr-CA"/>
        </w:rPr>
        <w:t> :</w:t>
      </w:r>
      <w:r w:rsidRPr="00C5565E">
        <w:rPr>
          <w:lang w:val="fr-CA"/>
        </w:rPr>
        <w:t xml:space="preserve"> accorder ou non à la SRC qualité pour agir, accepter ou non d</w:t>
      </w:r>
      <w:r>
        <w:rPr>
          <w:lang w:val="fr-CA"/>
        </w:rPr>
        <w:t>’</w:t>
      </w:r>
      <w:r w:rsidRPr="00C5565E">
        <w:rPr>
          <w:lang w:val="fr-CA"/>
        </w:rPr>
        <w:t xml:space="preserve">entendre la motion compte tenu du délai et, en dernier lieu, confirmer ou non sa limite discrétionnaire à la transparence de son propre dossier. </w:t>
      </w:r>
      <w:r w:rsidRPr="00893954">
        <w:rPr>
          <w:lang w:val="fr-CA"/>
        </w:rPr>
        <w:t>Ce sont des</w:t>
      </w:r>
      <w:r w:rsidRPr="00C5565E">
        <w:rPr>
          <w:lang w:val="fr-CA"/>
        </w:rPr>
        <w:t xml:space="preserve"> décisions que la Cour d</w:t>
      </w:r>
      <w:r>
        <w:rPr>
          <w:lang w:val="fr-CA"/>
        </w:rPr>
        <w:t>’</w:t>
      </w:r>
      <w:r w:rsidRPr="00C5565E">
        <w:rPr>
          <w:lang w:val="fr-CA"/>
        </w:rPr>
        <w:t>appel est la mieux placée à rendre vu qu</w:t>
      </w:r>
      <w:r>
        <w:rPr>
          <w:lang w:val="fr-CA"/>
        </w:rPr>
        <w:t>’</w:t>
      </w:r>
      <w:r w:rsidRPr="00C5565E">
        <w:rPr>
          <w:lang w:val="fr-CA"/>
        </w:rPr>
        <w:t>elles sont intimement liées aux faits et à l</w:t>
      </w:r>
      <w:r>
        <w:rPr>
          <w:lang w:val="fr-CA"/>
        </w:rPr>
        <w:t>’</w:t>
      </w:r>
      <w:r w:rsidRPr="00C5565E">
        <w:rPr>
          <w:lang w:val="fr-CA"/>
        </w:rPr>
        <w:t xml:space="preserve">historique procédural de la présente affaire, où cette cour a exercé dans les faits la fonction de tribunal de première instance. </w:t>
      </w:r>
    </w:p>
    <w:p w:rsidR="009F09DA" w:rsidRPr="00C5565E" w:rsidRDefault="009F09DA" w:rsidP="009F09DA">
      <w:pPr>
        <w:pStyle w:val="ParaNoNdepar-AltN"/>
        <w:rPr>
          <w:rFonts w:cs="Times New Roman"/>
          <w:lang w:val="fr-CA"/>
        </w:rPr>
      </w:pPr>
      <w:r w:rsidRPr="00C5565E">
        <w:rPr>
          <w:lang w:val="fr-CA"/>
        </w:rPr>
        <w:t>À mon avis, il n</w:t>
      </w:r>
      <w:r>
        <w:rPr>
          <w:lang w:val="fr-CA"/>
        </w:rPr>
        <w:t>’</w:t>
      </w:r>
      <w:r w:rsidRPr="00C5565E">
        <w:rPr>
          <w:lang w:val="fr-CA"/>
        </w:rPr>
        <w:t>est pas dans l</w:t>
      </w:r>
      <w:r>
        <w:rPr>
          <w:lang w:val="fr-CA"/>
        </w:rPr>
        <w:t>’</w:t>
      </w:r>
      <w:r w:rsidRPr="00C5565E">
        <w:rPr>
          <w:lang w:val="fr-CA"/>
        </w:rPr>
        <w:t xml:space="preserve">intérêt de la justice que notre Cour se </w:t>
      </w:r>
      <w:r w:rsidRPr="00893954">
        <w:rPr>
          <w:lang w:val="fr-CA"/>
        </w:rPr>
        <w:t xml:space="preserve">mette à </w:t>
      </w:r>
      <w:r>
        <w:rPr>
          <w:lang w:val="fr-CA"/>
        </w:rPr>
        <w:t>l</w:t>
      </w:r>
      <w:r w:rsidRPr="00893954">
        <w:rPr>
          <w:lang w:val="fr-CA"/>
        </w:rPr>
        <w:t>a place</w:t>
      </w:r>
      <w:r>
        <w:rPr>
          <w:lang w:val="fr-CA"/>
        </w:rPr>
        <w:t xml:space="preserve"> de la Cour d’appel </w:t>
      </w:r>
      <w:r w:rsidRPr="00C5565E">
        <w:rPr>
          <w:lang w:val="fr-CA"/>
        </w:rPr>
        <w:t xml:space="preserve">et tranche ces questions en première instance. Cela est très différent du fait </w:t>
      </w:r>
      <w:r w:rsidRPr="00127AA3">
        <w:rPr>
          <w:lang w:val="fr-CA"/>
        </w:rPr>
        <w:t>d</w:t>
      </w:r>
      <w:r>
        <w:rPr>
          <w:lang w:val="fr-CA"/>
        </w:rPr>
        <w:t>’</w:t>
      </w:r>
      <w:r w:rsidRPr="00127AA3">
        <w:rPr>
          <w:lang w:val="fr-CA"/>
        </w:rPr>
        <w:t>examiner ces questions en appel avec un regard empreint de déférence que notre Cour adopterait pour contrôler l</w:t>
      </w:r>
      <w:r>
        <w:rPr>
          <w:lang w:val="fr-CA"/>
        </w:rPr>
        <w:t>’</w:t>
      </w:r>
      <w:r w:rsidRPr="00127AA3">
        <w:rPr>
          <w:lang w:val="fr-CA"/>
        </w:rPr>
        <w:t>exercice du pouvoir discrétionnaire de la juridiction inférieure (voir</w:t>
      </w:r>
      <w:r w:rsidRPr="00C5565E">
        <w:rPr>
          <w:lang w:val="fr-CA"/>
        </w:rPr>
        <w:t xml:space="preserve"> </w:t>
      </w:r>
      <w:r w:rsidRPr="00C5565E">
        <w:rPr>
          <w:i/>
          <w:lang w:val="fr-CA"/>
        </w:rPr>
        <w:t>R. c. Regan</w:t>
      </w:r>
      <w:r w:rsidRPr="00C5565E">
        <w:rPr>
          <w:lang w:val="fr-CA"/>
        </w:rPr>
        <w:t xml:space="preserve">, 2002 CSC 12, [2002] 1 R.C.S. 297, </w:t>
      </w:r>
      <w:r>
        <w:rPr>
          <w:lang w:val="fr-CA"/>
        </w:rPr>
        <w:t>par. </w:t>
      </w:r>
      <w:r w:rsidRPr="00C5565E">
        <w:rPr>
          <w:lang w:val="fr-CA"/>
        </w:rPr>
        <w:t>117).</w:t>
      </w:r>
      <w:r w:rsidRPr="00C5565E">
        <w:rPr>
          <w:rFonts w:cs="Times New Roman"/>
          <w:lang w:val="fr-CA"/>
        </w:rPr>
        <w:t xml:space="preserve"> D</w:t>
      </w:r>
      <w:r>
        <w:rPr>
          <w:rFonts w:cs="Times New Roman"/>
          <w:lang w:val="fr-CA"/>
        </w:rPr>
        <w:t>’</w:t>
      </w:r>
      <w:r w:rsidRPr="00C5565E">
        <w:rPr>
          <w:rFonts w:cs="Times New Roman"/>
          <w:lang w:val="fr-CA"/>
        </w:rPr>
        <w:t>autres cours d</w:t>
      </w:r>
      <w:r>
        <w:rPr>
          <w:rFonts w:cs="Times New Roman"/>
          <w:lang w:val="fr-CA"/>
        </w:rPr>
        <w:t>’</w:t>
      </w:r>
      <w:r w:rsidRPr="00C5565E">
        <w:rPr>
          <w:rFonts w:cs="Times New Roman"/>
          <w:lang w:val="fr-CA"/>
        </w:rPr>
        <w:t xml:space="preserve">appel ne se sont pas hasardées à bon droit à dicter ainsi aux juridictions inférieures leur conduite </w:t>
      </w:r>
      <w:r w:rsidRPr="00C5565E">
        <w:rPr>
          <w:lang w:val="fr-CA"/>
        </w:rPr>
        <w:t xml:space="preserve">(voir, </w:t>
      </w:r>
      <w:r>
        <w:rPr>
          <w:lang w:val="fr-CA"/>
        </w:rPr>
        <w:t>p. </w:t>
      </w:r>
      <w:r w:rsidRPr="00C5565E">
        <w:rPr>
          <w:lang w:val="fr-CA"/>
        </w:rPr>
        <w:t xml:space="preserve">ex., </w:t>
      </w:r>
      <w:r w:rsidRPr="00C5565E">
        <w:rPr>
          <w:i/>
          <w:lang w:val="fr-CA"/>
        </w:rPr>
        <w:t>GEA Refrigeration</w:t>
      </w:r>
      <w:r w:rsidRPr="00C5565E">
        <w:rPr>
          <w:lang w:val="fr-CA"/>
        </w:rPr>
        <w:t xml:space="preserve">, </w:t>
      </w:r>
      <w:r>
        <w:rPr>
          <w:lang w:val="fr-CA"/>
        </w:rPr>
        <w:t>par. </w:t>
      </w:r>
      <w:r w:rsidRPr="00C5565E">
        <w:rPr>
          <w:lang w:val="fr-CA"/>
        </w:rPr>
        <w:t>184)</w:t>
      </w:r>
      <w:r w:rsidRPr="00C5565E">
        <w:rPr>
          <w:rFonts w:cs="Times New Roman"/>
          <w:lang w:val="fr-CA"/>
        </w:rPr>
        <w:t>.</w:t>
      </w:r>
    </w:p>
    <w:p w:rsidR="009F09DA" w:rsidRPr="00C5565E" w:rsidRDefault="009F09DA" w:rsidP="009F09DA">
      <w:pPr>
        <w:pStyle w:val="ParaNoNdepar-AltN"/>
        <w:rPr>
          <w:rFonts w:cs="Times New Roman"/>
          <w:lang w:val="fr-CA"/>
        </w:rPr>
      </w:pPr>
      <w:r w:rsidRPr="00C5565E">
        <w:rPr>
          <w:rFonts w:cs="Times New Roman"/>
          <w:lang w:val="fr-CA"/>
        </w:rPr>
        <w:t>Je signale en outre que la question du délai n</w:t>
      </w:r>
      <w:r>
        <w:rPr>
          <w:rFonts w:cs="Times New Roman"/>
          <w:lang w:val="fr-CA"/>
        </w:rPr>
        <w:t>’</w:t>
      </w:r>
      <w:r w:rsidRPr="00C5565E">
        <w:rPr>
          <w:rFonts w:cs="Times New Roman"/>
          <w:lang w:val="fr-CA"/>
        </w:rPr>
        <w:t xml:space="preserve">a pas été pleinement débattue devant notre Cour et que nous </w:t>
      </w:r>
      <w:r w:rsidRPr="00127AA3">
        <w:rPr>
          <w:rFonts w:cs="Times New Roman"/>
          <w:lang w:val="fr-CA"/>
        </w:rPr>
        <w:t>sommes donc mal placés pour réaliser le juste équilibre en l</w:t>
      </w:r>
      <w:r>
        <w:rPr>
          <w:rFonts w:cs="Times New Roman"/>
          <w:lang w:val="fr-CA"/>
        </w:rPr>
        <w:t>’</w:t>
      </w:r>
      <w:r w:rsidRPr="00127AA3">
        <w:rPr>
          <w:rFonts w:cs="Times New Roman"/>
          <w:lang w:val="fr-CA"/>
        </w:rPr>
        <w:t>espèce de toute manière. Notre Cour a renvoyé à la Cour d</w:t>
      </w:r>
      <w:r>
        <w:rPr>
          <w:rFonts w:cs="Times New Roman"/>
          <w:lang w:val="fr-CA"/>
        </w:rPr>
        <w:t>’</w:t>
      </w:r>
      <w:r w:rsidRPr="00127AA3">
        <w:rPr>
          <w:rFonts w:cs="Times New Roman"/>
          <w:lang w:val="fr-CA"/>
        </w:rPr>
        <w:t xml:space="preserve">appel des </w:t>
      </w:r>
      <w:r w:rsidRPr="00C5565E">
        <w:rPr>
          <w:rFonts w:cs="Times New Roman"/>
          <w:lang w:val="fr-CA"/>
        </w:rPr>
        <w:t>affaires où une question n</w:t>
      </w:r>
      <w:r>
        <w:rPr>
          <w:rFonts w:cs="Times New Roman"/>
          <w:lang w:val="fr-CA"/>
        </w:rPr>
        <w:t>’</w:t>
      </w:r>
      <w:r w:rsidRPr="00C5565E">
        <w:rPr>
          <w:rFonts w:cs="Times New Roman"/>
          <w:lang w:val="fr-CA"/>
        </w:rPr>
        <w:t>avait pas été examinée par les tribunaux d</w:t>
      </w:r>
      <w:r>
        <w:rPr>
          <w:rFonts w:cs="Times New Roman"/>
          <w:lang w:val="fr-CA"/>
        </w:rPr>
        <w:t>’</w:t>
      </w:r>
      <w:r w:rsidRPr="00C5565E">
        <w:rPr>
          <w:rFonts w:cs="Times New Roman"/>
          <w:lang w:val="fr-CA"/>
        </w:rPr>
        <w:t>instance inférieure, et le dossier ainsi que les arguments ne sont « </w:t>
      </w:r>
      <w:r w:rsidRPr="00C5565E">
        <w:rPr>
          <w:szCs w:val="27"/>
          <w:lang w:val="fr-CA"/>
        </w:rPr>
        <w:t>pas suffisamment étoffés pour [</w:t>
      </w:r>
      <w:r>
        <w:rPr>
          <w:szCs w:val="27"/>
          <w:lang w:val="fr-CA"/>
        </w:rPr>
        <w:t>. . .</w:t>
      </w:r>
      <w:r w:rsidRPr="00C5565E">
        <w:rPr>
          <w:szCs w:val="27"/>
          <w:lang w:val="fr-CA"/>
        </w:rPr>
        <w:t>] permettre de statuer sur cette questi</w:t>
      </w:r>
      <w:r>
        <w:rPr>
          <w:szCs w:val="27"/>
          <w:lang w:val="fr-CA"/>
        </w:rPr>
        <w:t>on sans crainte de [s]e tromper </w:t>
      </w:r>
      <w:r w:rsidRPr="00C5565E">
        <w:rPr>
          <w:szCs w:val="27"/>
          <w:lang w:val="fr-CA"/>
        </w:rPr>
        <w:t xml:space="preserve">» </w:t>
      </w:r>
      <w:r w:rsidRPr="00C5565E">
        <w:rPr>
          <w:lang w:val="fr-CA"/>
        </w:rPr>
        <w:t xml:space="preserve">(voir, </w:t>
      </w:r>
      <w:r>
        <w:rPr>
          <w:lang w:val="fr-CA"/>
        </w:rPr>
        <w:t>p. </w:t>
      </w:r>
      <w:r w:rsidRPr="00C5565E">
        <w:rPr>
          <w:lang w:val="fr-CA"/>
        </w:rPr>
        <w:t xml:space="preserve">ex., </w:t>
      </w:r>
      <w:r w:rsidRPr="00C5565E">
        <w:rPr>
          <w:i/>
          <w:lang w:val="fr-CA"/>
        </w:rPr>
        <w:t>Galambos c. Perez</w:t>
      </w:r>
      <w:r w:rsidRPr="00C5565E">
        <w:rPr>
          <w:lang w:val="fr-CA"/>
        </w:rPr>
        <w:t xml:space="preserve">, 2009 CSC 48, [2009] 3 R.C.S. 247, </w:t>
      </w:r>
      <w:r>
        <w:rPr>
          <w:lang w:val="fr-CA"/>
        </w:rPr>
        <w:t>par. </w:t>
      </w:r>
      <w:r w:rsidRPr="00C5565E">
        <w:rPr>
          <w:lang w:val="fr-CA"/>
        </w:rPr>
        <w:t>46). La SRC n</w:t>
      </w:r>
      <w:r>
        <w:rPr>
          <w:lang w:val="fr-CA"/>
        </w:rPr>
        <w:t>’</w:t>
      </w:r>
      <w:r w:rsidRPr="00C5565E">
        <w:rPr>
          <w:lang w:val="fr-CA"/>
        </w:rPr>
        <w:t xml:space="preserve">a pas soulevé la question dans son mémoire parce que, selon elle, la question avait été réglée lorsque nous avons </w:t>
      </w:r>
      <w:r w:rsidRPr="00127AA3">
        <w:rPr>
          <w:lang w:val="fr-CA"/>
        </w:rPr>
        <w:t>accueilli ses requêtes en prorogation</w:t>
      </w:r>
      <w:r w:rsidRPr="00C5565E">
        <w:rPr>
          <w:lang w:val="fr-CA"/>
        </w:rPr>
        <w:t xml:space="preserve"> du délai pour solliciter l</w:t>
      </w:r>
      <w:r>
        <w:rPr>
          <w:lang w:val="fr-CA"/>
        </w:rPr>
        <w:t>’</w:t>
      </w:r>
      <w:r w:rsidRPr="00C5565E">
        <w:rPr>
          <w:lang w:val="fr-CA"/>
        </w:rPr>
        <w:t>autorisation d</w:t>
      </w:r>
      <w:r>
        <w:rPr>
          <w:lang w:val="fr-CA"/>
        </w:rPr>
        <w:t>’</w:t>
      </w:r>
      <w:r w:rsidRPr="00C5565E">
        <w:rPr>
          <w:lang w:val="fr-CA"/>
        </w:rPr>
        <w:t>appel. Bien que la Couronne ait fait allusion au délai en passant, elle n</w:t>
      </w:r>
      <w:r>
        <w:rPr>
          <w:lang w:val="fr-CA"/>
        </w:rPr>
        <w:t>’</w:t>
      </w:r>
      <w:r w:rsidRPr="00C5565E">
        <w:rPr>
          <w:lang w:val="fr-CA"/>
        </w:rPr>
        <w:t>a jamais plaidé que l</w:t>
      </w:r>
      <w:r>
        <w:rPr>
          <w:lang w:val="fr-CA"/>
        </w:rPr>
        <w:t>’</w:t>
      </w:r>
      <w:r w:rsidRPr="00C5565E">
        <w:rPr>
          <w:lang w:val="fr-CA"/>
        </w:rPr>
        <w:t xml:space="preserve">appel portant sur la motion en réexamen pouvait être rejeté pour ce seul motif. </w:t>
      </w:r>
      <w:r w:rsidRPr="00C5565E">
        <w:rPr>
          <w:rFonts w:cs="Times New Roman"/>
          <w:lang w:val="fr-CA"/>
        </w:rPr>
        <w:t>Cela milite encore davantage en faveur du renvoi de l</w:t>
      </w:r>
      <w:r>
        <w:rPr>
          <w:rFonts w:cs="Times New Roman"/>
          <w:lang w:val="fr-CA"/>
        </w:rPr>
        <w:t>’</w:t>
      </w:r>
      <w:r w:rsidRPr="00C5565E">
        <w:rPr>
          <w:rFonts w:cs="Times New Roman"/>
          <w:lang w:val="fr-CA"/>
        </w:rPr>
        <w:t>affaire.</w:t>
      </w:r>
    </w:p>
    <w:p w:rsidR="009F09DA" w:rsidRPr="00C5565E" w:rsidRDefault="009F09DA" w:rsidP="009F09DA">
      <w:pPr>
        <w:pStyle w:val="ParaNoNdepar-AltN"/>
        <w:rPr>
          <w:rFonts w:cs="Times New Roman"/>
          <w:lang w:val="fr-CA"/>
        </w:rPr>
      </w:pPr>
      <w:r>
        <w:rPr>
          <w:rFonts w:cs="Times New Roman"/>
          <w:lang w:val="fr-CA"/>
        </w:rPr>
        <w:t>Même si notre Cour exerçait sa compétence pour trancher ces questions, elle ne dispose pas d’observations des parties sur la manière dont les principes de l’arrêt</w:t>
      </w:r>
      <w:r w:rsidRPr="00060362">
        <w:rPr>
          <w:rFonts w:cs="Times New Roman"/>
          <w:lang w:val="fr-CA"/>
        </w:rPr>
        <w:t xml:space="preserve"> </w:t>
      </w:r>
      <w:r w:rsidRPr="00060362">
        <w:rPr>
          <w:rFonts w:cs="Times New Roman"/>
          <w:i/>
          <w:lang w:val="fr-CA"/>
        </w:rPr>
        <w:t>Sherman</w:t>
      </w:r>
      <w:r w:rsidRPr="00060362">
        <w:rPr>
          <w:rFonts w:cs="Times New Roman"/>
          <w:lang w:val="fr-CA"/>
        </w:rPr>
        <w:t xml:space="preserve"> </w:t>
      </w:r>
      <w:r>
        <w:rPr>
          <w:rFonts w:cs="Times New Roman"/>
          <w:lang w:val="fr-CA"/>
        </w:rPr>
        <w:t>énoncés ci</w:t>
      </w:r>
      <w:r>
        <w:rPr>
          <w:rFonts w:cs="Times New Roman"/>
          <w:lang w:val="fr-CA"/>
        </w:rPr>
        <w:noBreakHyphen/>
        <w:t xml:space="preserve">dessus </w:t>
      </w:r>
      <w:r w:rsidRPr="00C5565E">
        <w:rPr>
          <w:rFonts w:cs="Times New Roman"/>
          <w:lang w:val="fr-CA"/>
        </w:rPr>
        <w:t>s</w:t>
      </w:r>
      <w:r>
        <w:rPr>
          <w:rFonts w:cs="Times New Roman"/>
          <w:lang w:val="fr-CA"/>
        </w:rPr>
        <w:t>’</w:t>
      </w:r>
      <w:r w:rsidRPr="00C5565E">
        <w:rPr>
          <w:rFonts w:cs="Times New Roman"/>
          <w:lang w:val="fr-CA"/>
        </w:rPr>
        <w:t xml:space="preserve">appliquent aux faits </w:t>
      </w:r>
      <w:r>
        <w:rPr>
          <w:rFonts w:cs="Times New Roman"/>
          <w:lang w:val="fr-CA"/>
        </w:rPr>
        <w:t>de</w:t>
      </w:r>
      <w:r w:rsidRPr="00C5565E">
        <w:rPr>
          <w:rFonts w:cs="Times New Roman"/>
          <w:lang w:val="fr-CA"/>
        </w:rPr>
        <w:t xml:space="preserve"> l</w:t>
      </w:r>
      <w:r>
        <w:rPr>
          <w:rFonts w:cs="Times New Roman"/>
          <w:lang w:val="fr-CA"/>
        </w:rPr>
        <w:t>’</w:t>
      </w:r>
      <w:r w:rsidRPr="00C5565E">
        <w:rPr>
          <w:rFonts w:cs="Times New Roman"/>
          <w:lang w:val="fr-CA"/>
        </w:rPr>
        <w:t>espèce. Cet arrêt n</w:t>
      </w:r>
      <w:r>
        <w:rPr>
          <w:rFonts w:cs="Times New Roman"/>
          <w:lang w:val="fr-CA"/>
        </w:rPr>
        <w:t>’</w:t>
      </w:r>
      <w:r w:rsidRPr="00C5565E">
        <w:rPr>
          <w:rFonts w:cs="Times New Roman"/>
          <w:lang w:val="fr-CA"/>
        </w:rPr>
        <w:t xml:space="preserve">a été prononcé </w:t>
      </w:r>
      <w:r>
        <w:rPr>
          <w:rFonts w:cs="Times New Roman"/>
          <w:lang w:val="fr-CA"/>
        </w:rPr>
        <w:t xml:space="preserve">qu’après l’instruction de la </w:t>
      </w:r>
      <w:r w:rsidRPr="00C5565E">
        <w:rPr>
          <w:rFonts w:cs="Times New Roman"/>
          <w:lang w:val="fr-CA"/>
        </w:rPr>
        <w:t>présent</w:t>
      </w:r>
      <w:r>
        <w:rPr>
          <w:rFonts w:cs="Times New Roman"/>
          <w:lang w:val="fr-CA"/>
        </w:rPr>
        <w:t>e affaire</w:t>
      </w:r>
      <w:r w:rsidRPr="00C5565E">
        <w:rPr>
          <w:rFonts w:cs="Times New Roman"/>
          <w:lang w:val="fr-CA"/>
        </w:rPr>
        <w:t>, et j</w:t>
      </w:r>
      <w:r>
        <w:rPr>
          <w:rFonts w:cs="Times New Roman"/>
          <w:lang w:val="fr-CA"/>
        </w:rPr>
        <w:t>’</w:t>
      </w:r>
      <w:r w:rsidRPr="00C5565E">
        <w:rPr>
          <w:rFonts w:cs="Times New Roman"/>
          <w:lang w:val="fr-CA"/>
        </w:rPr>
        <w:t>estime qu</w:t>
      </w:r>
      <w:r>
        <w:rPr>
          <w:rFonts w:cs="Times New Roman"/>
          <w:lang w:val="fr-CA"/>
        </w:rPr>
        <w:t xml:space="preserve">e l’équité exigerait </w:t>
      </w:r>
      <w:r w:rsidRPr="00C5565E">
        <w:rPr>
          <w:rFonts w:cs="Times New Roman"/>
          <w:lang w:val="fr-CA"/>
        </w:rPr>
        <w:t>des observations supplémentaires de la part des parties en ce qui concerne l</w:t>
      </w:r>
      <w:r>
        <w:rPr>
          <w:rFonts w:cs="Times New Roman"/>
          <w:lang w:val="fr-CA"/>
        </w:rPr>
        <w:t>’</w:t>
      </w:r>
      <w:r w:rsidRPr="00C5565E">
        <w:rPr>
          <w:rFonts w:cs="Times New Roman"/>
          <w:lang w:val="fr-CA"/>
        </w:rPr>
        <w:t>incidence de l</w:t>
      </w:r>
      <w:r>
        <w:rPr>
          <w:rFonts w:cs="Times New Roman"/>
          <w:lang w:val="fr-CA"/>
        </w:rPr>
        <w:t>’</w:t>
      </w:r>
      <w:r w:rsidRPr="00C5565E">
        <w:rPr>
          <w:rFonts w:cs="Times New Roman"/>
          <w:lang w:val="fr-CA"/>
        </w:rPr>
        <w:t xml:space="preserve">arrêt </w:t>
      </w:r>
      <w:r w:rsidRPr="00C5565E">
        <w:rPr>
          <w:rFonts w:cs="Times New Roman"/>
          <w:i/>
          <w:lang w:val="fr-CA"/>
        </w:rPr>
        <w:t>Sherman</w:t>
      </w:r>
      <w:r w:rsidRPr="00C5565E">
        <w:rPr>
          <w:rFonts w:cs="Times New Roman"/>
          <w:lang w:val="fr-CA"/>
        </w:rPr>
        <w:t xml:space="preserve"> sur l</w:t>
      </w:r>
      <w:r>
        <w:rPr>
          <w:rFonts w:cs="Times New Roman"/>
          <w:lang w:val="fr-CA"/>
        </w:rPr>
        <w:t>a question à l’étude</w:t>
      </w:r>
      <w:r w:rsidRPr="00C5565E">
        <w:rPr>
          <w:rFonts w:cs="Times New Roman"/>
          <w:lang w:val="fr-CA"/>
        </w:rPr>
        <w:t>. Notre Cour s</w:t>
      </w:r>
      <w:r>
        <w:rPr>
          <w:rFonts w:cs="Times New Roman"/>
          <w:lang w:val="fr-CA"/>
        </w:rPr>
        <w:t>’</w:t>
      </w:r>
      <w:r w:rsidRPr="00C5565E">
        <w:rPr>
          <w:rFonts w:cs="Times New Roman"/>
          <w:lang w:val="fr-CA"/>
        </w:rPr>
        <w:t>est déjà penchée sur l</w:t>
      </w:r>
      <w:r>
        <w:rPr>
          <w:rFonts w:cs="Times New Roman"/>
          <w:lang w:val="fr-CA"/>
        </w:rPr>
        <w:t xml:space="preserve">a protection </w:t>
      </w:r>
      <w:r w:rsidRPr="00C5565E">
        <w:rPr>
          <w:rFonts w:cs="Times New Roman"/>
          <w:lang w:val="fr-CA"/>
        </w:rPr>
        <w:t>de la vie privée dans le cadre de ce test dans l</w:t>
      </w:r>
      <w:r>
        <w:rPr>
          <w:rFonts w:cs="Times New Roman"/>
          <w:lang w:val="fr-CA"/>
        </w:rPr>
        <w:t>’</w:t>
      </w:r>
      <w:r w:rsidRPr="00C5565E">
        <w:rPr>
          <w:rFonts w:cs="Times New Roman"/>
          <w:lang w:val="fr-CA"/>
        </w:rPr>
        <w:t xml:space="preserve">arrêt </w:t>
      </w:r>
      <w:r w:rsidRPr="00C5565E">
        <w:rPr>
          <w:rFonts w:cs="Times New Roman"/>
          <w:i/>
          <w:lang w:val="fr-CA"/>
        </w:rPr>
        <w:t>Bragg</w:t>
      </w:r>
      <w:r w:rsidRPr="00C5565E">
        <w:rPr>
          <w:rFonts w:cs="Times New Roman"/>
          <w:lang w:val="fr-CA"/>
        </w:rPr>
        <w:t>,</w:t>
      </w:r>
      <w:r w:rsidRPr="00C5565E">
        <w:rPr>
          <w:rFonts w:cs="Times New Roman"/>
          <w:i/>
          <w:lang w:val="fr-CA"/>
        </w:rPr>
        <w:t xml:space="preserve"> </w:t>
      </w:r>
      <w:r w:rsidRPr="00C5565E">
        <w:rPr>
          <w:rFonts w:cs="Times New Roman"/>
          <w:lang w:val="fr-CA"/>
        </w:rPr>
        <w:t>mais elle a clairement affirmé qu</w:t>
      </w:r>
      <w:r>
        <w:rPr>
          <w:rFonts w:cs="Times New Roman"/>
          <w:lang w:val="fr-CA"/>
        </w:rPr>
        <w:t>’</w:t>
      </w:r>
      <w:r w:rsidRPr="00C5565E">
        <w:rPr>
          <w:rFonts w:cs="Times New Roman"/>
          <w:lang w:val="fr-CA"/>
        </w:rPr>
        <w:t>il s</w:t>
      </w:r>
      <w:r>
        <w:rPr>
          <w:rFonts w:cs="Times New Roman"/>
          <w:lang w:val="fr-CA"/>
        </w:rPr>
        <w:t>’</w:t>
      </w:r>
      <w:r w:rsidRPr="00C5565E">
        <w:rPr>
          <w:rFonts w:cs="Times New Roman"/>
          <w:lang w:val="fr-CA"/>
        </w:rPr>
        <w:t>agissait non pas uniquement de</w:t>
      </w:r>
      <w:r>
        <w:rPr>
          <w:rFonts w:cs="Times New Roman"/>
          <w:lang w:val="fr-CA"/>
        </w:rPr>
        <w:t xml:space="preserve"> protection</w:t>
      </w:r>
      <w:r w:rsidRPr="00C5565E">
        <w:rPr>
          <w:rFonts w:cs="Times New Roman"/>
          <w:lang w:val="fr-CA"/>
        </w:rPr>
        <w:t xml:space="preserve"> de la vie privée, mais aussi de « </w:t>
      </w:r>
      <w:r w:rsidRPr="00C5565E">
        <w:rPr>
          <w:lang w:val="fr-CA"/>
        </w:rPr>
        <w:t>l</w:t>
      </w:r>
      <w:r>
        <w:rPr>
          <w:lang w:val="fr-CA"/>
        </w:rPr>
        <w:t>’</w:t>
      </w:r>
      <w:r w:rsidRPr="00C5565E">
        <w:rPr>
          <w:lang w:val="fr-CA"/>
        </w:rPr>
        <w:t>humiliation constamment envahissante liée à l</w:t>
      </w:r>
      <w:r>
        <w:rPr>
          <w:lang w:val="fr-CA"/>
        </w:rPr>
        <w:t>’</w:t>
      </w:r>
      <w:r w:rsidRPr="00C5565E">
        <w:rPr>
          <w:lang w:val="fr-CA"/>
        </w:rPr>
        <w:t>intimidation à caractère sexuel en ligne</w:t>
      </w:r>
      <w:r>
        <w:rPr>
          <w:lang w:val="fr-CA"/>
        </w:rPr>
        <w:t> </w:t>
      </w:r>
      <w:r w:rsidRPr="00C5565E">
        <w:rPr>
          <w:rFonts w:cs="Times New Roman"/>
          <w:lang w:val="fr-CA"/>
        </w:rPr>
        <w:t>» (</w:t>
      </w:r>
      <w:r>
        <w:rPr>
          <w:rFonts w:cs="Times New Roman"/>
          <w:lang w:val="fr-CA"/>
        </w:rPr>
        <w:t>par. </w:t>
      </w:r>
      <w:r w:rsidRPr="00C5565E">
        <w:rPr>
          <w:rFonts w:cs="Times New Roman"/>
          <w:lang w:val="fr-CA"/>
        </w:rPr>
        <w:t>14).</w:t>
      </w:r>
    </w:p>
    <w:p w:rsidR="009F09DA" w:rsidRPr="00C5565E" w:rsidRDefault="009F09DA" w:rsidP="009F09DA">
      <w:pPr>
        <w:pStyle w:val="ParaNoNdepar-AltN"/>
        <w:rPr>
          <w:rFonts w:cs="Times New Roman"/>
          <w:lang w:val="fr-CA"/>
        </w:rPr>
      </w:pPr>
      <w:r w:rsidRPr="00C5565E">
        <w:rPr>
          <w:rFonts w:cs="Times New Roman"/>
          <w:lang w:val="fr-CA"/>
        </w:rPr>
        <w:t>L</w:t>
      </w:r>
      <w:r>
        <w:rPr>
          <w:rFonts w:cs="Times New Roman"/>
          <w:lang w:val="fr-CA"/>
        </w:rPr>
        <w:t>’</w:t>
      </w:r>
      <w:r w:rsidRPr="00C5565E">
        <w:rPr>
          <w:rFonts w:cs="Times New Roman"/>
          <w:lang w:val="fr-CA"/>
        </w:rPr>
        <w:t xml:space="preserve">arrêt </w:t>
      </w:r>
      <w:r w:rsidRPr="00C5565E">
        <w:rPr>
          <w:rFonts w:cs="Times New Roman"/>
          <w:i/>
          <w:lang w:val="fr-CA"/>
        </w:rPr>
        <w:t xml:space="preserve">Sherman </w:t>
      </w:r>
      <w:r w:rsidRPr="00C5565E">
        <w:rPr>
          <w:rFonts w:cs="Times New Roman"/>
          <w:lang w:val="fr-CA"/>
        </w:rPr>
        <w:t>a donné à notre Cour l</w:t>
      </w:r>
      <w:r>
        <w:rPr>
          <w:rFonts w:cs="Times New Roman"/>
          <w:lang w:val="fr-CA"/>
        </w:rPr>
        <w:t>’</w:t>
      </w:r>
      <w:r w:rsidRPr="00C5565E">
        <w:rPr>
          <w:rFonts w:cs="Times New Roman"/>
          <w:lang w:val="fr-CA"/>
        </w:rPr>
        <w:t>occasion de s</w:t>
      </w:r>
      <w:r>
        <w:rPr>
          <w:rFonts w:cs="Times New Roman"/>
          <w:lang w:val="fr-CA"/>
        </w:rPr>
        <w:t>’</w:t>
      </w:r>
      <w:r w:rsidRPr="00C5565E">
        <w:rPr>
          <w:rFonts w:cs="Times New Roman"/>
          <w:lang w:val="fr-CA"/>
        </w:rPr>
        <w:t>attaquer à cet enjeu directement d</w:t>
      </w:r>
      <w:r>
        <w:rPr>
          <w:rFonts w:cs="Times New Roman"/>
          <w:lang w:val="fr-CA"/>
        </w:rPr>
        <w:t>’</w:t>
      </w:r>
      <w:r w:rsidRPr="00C5565E">
        <w:rPr>
          <w:rFonts w:cs="Times New Roman"/>
          <w:lang w:val="fr-CA"/>
        </w:rPr>
        <w:t>un autre point de vue. La Cour d</w:t>
      </w:r>
      <w:r>
        <w:rPr>
          <w:rFonts w:cs="Times New Roman"/>
          <w:lang w:val="fr-CA"/>
        </w:rPr>
        <w:t>’</w:t>
      </w:r>
      <w:r w:rsidRPr="00C5565E">
        <w:rPr>
          <w:rFonts w:cs="Times New Roman"/>
          <w:lang w:val="fr-CA"/>
        </w:rPr>
        <w:t xml:space="preserve">appel avait qualifié les droits à la vie privée de simples préoccupations personnelles qui ne pouvaient pas « à elles seules » </w:t>
      </w:r>
      <w:proofErr w:type="gramStart"/>
      <w:r w:rsidRPr="00C5565E">
        <w:rPr>
          <w:rFonts w:cs="Times New Roman"/>
          <w:lang w:val="fr-CA"/>
        </w:rPr>
        <w:t>justifier</w:t>
      </w:r>
      <w:proofErr w:type="gramEnd"/>
      <w:r w:rsidRPr="00C5565E">
        <w:rPr>
          <w:rFonts w:cs="Times New Roman"/>
          <w:lang w:val="fr-CA"/>
        </w:rPr>
        <w:t xml:space="preserve"> une limite à la publicité des débats judiciaires (</w:t>
      </w:r>
      <w:r w:rsidRPr="00C5565E">
        <w:rPr>
          <w:rFonts w:cs="Times New Roman"/>
          <w:i/>
          <w:lang w:val="fr-CA"/>
        </w:rPr>
        <w:t>Sherman</w:t>
      </w:r>
      <w:r w:rsidRPr="00C5565E">
        <w:rPr>
          <w:rFonts w:cs="Times New Roman"/>
          <w:lang w:val="fr-CA"/>
        </w:rPr>
        <w:t xml:space="preserve">, </w:t>
      </w:r>
      <w:r>
        <w:rPr>
          <w:rFonts w:cs="Times New Roman"/>
          <w:lang w:val="fr-CA"/>
        </w:rPr>
        <w:t>par. </w:t>
      </w:r>
      <w:r w:rsidRPr="00C5565E">
        <w:rPr>
          <w:rFonts w:cs="Times New Roman"/>
          <w:lang w:val="fr-CA"/>
        </w:rPr>
        <w:t>18). Notre Cour a conclu en appel qu</w:t>
      </w:r>
      <w:r>
        <w:rPr>
          <w:rFonts w:cs="Times New Roman"/>
          <w:lang w:val="fr-CA"/>
        </w:rPr>
        <w:t>’</w:t>
      </w:r>
      <w:r w:rsidRPr="00C5565E">
        <w:rPr>
          <w:rFonts w:cs="Times New Roman"/>
          <w:lang w:val="fr-CA"/>
        </w:rPr>
        <w:t>il était « inapproprié [</w:t>
      </w:r>
      <w:r>
        <w:rPr>
          <w:rFonts w:cs="Times New Roman"/>
          <w:lang w:val="fr-CA"/>
        </w:rPr>
        <w:t>. . .</w:t>
      </w:r>
      <w:r w:rsidRPr="00C5565E">
        <w:rPr>
          <w:rFonts w:cs="Times New Roman"/>
          <w:lang w:val="fr-CA"/>
        </w:rPr>
        <w:t>] de rejeter l</w:t>
      </w:r>
      <w:r>
        <w:rPr>
          <w:rFonts w:cs="Times New Roman"/>
          <w:lang w:val="fr-CA"/>
        </w:rPr>
        <w:t>’</w:t>
      </w:r>
      <w:r w:rsidRPr="00C5565E">
        <w:rPr>
          <w:rFonts w:cs="Times New Roman"/>
          <w:lang w:val="fr-CA"/>
        </w:rPr>
        <w:t>intérêt du public à la protection de la vie privée au motif qu</w:t>
      </w:r>
      <w:r>
        <w:rPr>
          <w:rFonts w:cs="Times New Roman"/>
          <w:lang w:val="fr-CA"/>
        </w:rPr>
        <w:t>’</w:t>
      </w:r>
      <w:r w:rsidRPr="00C5565E">
        <w:rPr>
          <w:rFonts w:cs="Times New Roman"/>
          <w:lang w:val="fr-CA"/>
        </w:rPr>
        <w:t>il s</w:t>
      </w:r>
      <w:r>
        <w:rPr>
          <w:rFonts w:cs="Times New Roman"/>
          <w:lang w:val="fr-CA"/>
        </w:rPr>
        <w:t>’</w:t>
      </w:r>
      <w:r w:rsidRPr="00C5565E">
        <w:rPr>
          <w:rFonts w:cs="Times New Roman"/>
          <w:lang w:val="fr-CA"/>
        </w:rPr>
        <w:t>agit d</w:t>
      </w:r>
      <w:r>
        <w:rPr>
          <w:rFonts w:cs="Times New Roman"/>
          <w:lang w:val="fr-CA"/>
        </w:rPr>
        <w:t>’</w:t>
      </w:r>
      <w:r w:rsidRPr="00C5565E">
        <w:rPr>
          <w:rFonts w:cs="Times New Roman"/>
          <w:lang w:val="fr-CA"/>
        </w:rPr>
        <w:t>une simple préoccupation personnelle » (</w:t>
      </w:r>
      <w:r>
        <w:rPr>
          <w:rFonts w:cs="Times New Roman"/>
          <w:lang w:val="fr-CA"/>
        </w:rPr>
        <w:t>par. </w:t>
      </w:r>
      <w:r w:rsidRPr="00C5565E">
        <w:rPr>
          <w:rFonts w:cs="Times New Roman"/>
          <w:lang w:val="fr-CA"/>
        </w:rPr>
        <w:t>52), et elle a ensuite reconnu que la « </w:t>
      </w:r>
      <w:r w:rsidRPr="00C5565E">
        <w:rPr>
          <w:lang w:val="fr-CA"/>
        </w:rPr>
        <w:t>vie privée considérée au regard de la dignité constitue un intérêt public important pour l</w:t>
      </w:r>
      <w:r>
        <w:rPr>
          <w:lang w:val="fr-CA"/>
        </w:rPr>
        <w:t>’</w:t>
      </w:r>
      <w:r w:rsidRPr="00C5565E">
        <w:rPr>
          <w:lang w:val="fr-CA"/>
        </w:rPr>
        <w:t>application du test</w:t>
      </w:r>
      <w:r>
        <w:rPr>
          <w:lang w:val="fr-CA"/>
        </w:rPr>
        <w:t> </w:t>
      </w:r>
      <w:r w:rsidRPr="00C5565E">
        <w:rPr>
          <w:lang w:val="fr-CA"/>
        </w:rPr>
        <w:t xml:space="preserve">» </w:t>
      </w:r>
      <w:r w:rsidRPr="00C5565E">
        <w:rPr>
          <w:rFonts w:cs="Times New Roman"/>
          <w:lang w:val="fr-CA"/>
        </w:rPr>
        <w:t>(</w:t>
      </w:r>
      <w:r>
        <w:rPr>
          <w:rFonts w:cs="Times New Roman"/>
          <w:lang w:val="fr-CA"/>
        </w:rPr>
        <w:t>par. </w:t>
      </w:r>
      <w:r w:rsidRPr="00C5565E">
        <w:rPr>
          <w:rFonts w:cs="Times New Roman"/>
          <w:lang w:val="fr-CA"/>
        </w:rPr>
        <w:t xml:space="preserve">86). </w:t>
      </w:r>
    </w:p>
    <w:p w:rsidR="009F09DA" w:rsidRPr="00060362" w:rsidRDefault="009F09DA" w:rsidP="009F09DA">
      <w:pPr>
        <w:pStyle w:val="ParaNoNdepar-AltN"/>
        <w:rPr>
          <w:rFonts w:cs="Times New Roman"/>
          <w:lang w:val="fr-CA"/>
        </w:rPr>
      </w:pPr>
      <w:r w:rsidRPr="00C5565E">
        <w:rPr>
          <w:rFonts w:cs="Times New Roman"/>
          <w:lang w:val="fr-CA"/>
        </w:rPr>
        <w:t>Bien entendu, il n</w:t>
      </w:r>
      <w:r>
        <w:rPr>
          <w:rFonts w:cs="Times New Roman"/>
          <w:lang w:val="fr-CA"/>
        </w:rPr>
        <w:t>’</w:t>
      </w:r>
      <w:r w:rsidRPr="00C5565E">
        <w:rPr>
          <w:rFonts w:cs="Times New Roman"/>
          <w:lang w:val="fr-CA"/>
        </w:rPr>
        <w:t>est pas rare que notre Cour clarifie les règles de droit lors d</w:t>
      </w:r>
      <w:r>
        <w:rPr>
          <w:rFonts w:cs="Times New Roman"/>
          <w:lang w:val="fr-CA"/>
        </w:rPr>
        <w:t>’</w:t>
      </w:r>
      <w:r w:rsidRPr="00C5565E">
        <w:rPr>
          <w:rFonts w:cs="Times New Roman"/>
          <w:lang w:val="fr-CA"/>
        </w:rPr>
        <w:t>un appel, ou d</w:t>
      </w:r>
      <w:r>
        <w:rPr>
          <w:rFonts w:cs="Times New Roman"/>
          <w:lang w:val="fr-CA"/>
        </w:rPr>
        <w:t>’</w:t>
      </w:r>
      <w:r w:rsidRPr="00C5565E">
        <w:rPr>
          <w:rFonts w:cs="Times New Roman"/>
          <w:lang w:val="fr-CA"/>
        </w:rPr>
        <w:t>une série d</w:t>
      </w:r>
      <w:r>
        <w:rPr>
          <w:rFonts w:cs="Times New Roman"/>
          <w:lang w:val="fr-CA"/>
        </w:rPr>
        <w:t>’</w:t>
      </w:r>
      <w:r w:rsidRPr="00C5565E">
        <w:rPr>
          <w:rFonts w:cs="Times New Roman"/>
          <w:lang w:val="fr-CA"/>
        </w:rPr>
        <w:t>appels entendus ensemble, puis applique ces règles de droit clarifiées aux appels en question. Mais la situation en l</w:t>
      </w:r>
      <w:r>
        <w:rPr>
          <w:rFonts w:cs="Times New Roman"/>
          <w:lang w:val="fr-CA"/>
        </w:rPr>
        <w:t>’</w:t>
      </w:r>
      <w:r w:rsidRPr="00C5565E">
        <w:rPr>
          <w:rFonts w:cs="Times New Roman"/>
          <w:lang w:val="fr-CA"/>
        </w:rPr>
        <w:t>espèce est différente parce que ces parties n</w:t>
      </w:r>
      <w:r>
        <w:rPr>
          <w:rFonts w:cs="Times New Roman"/>
          <w:lang w:val="fr-CA"/>
        </w:rPr>
        <w:t>’</w:t>
      </w:r>
      <w:r w:rsidRPr="00C5565E">
        <w:rPr>
          <w:rFonts w:cs="Times New Roman"/>
          <w:lang w:val="fr-CA"/>
        </w:rPr>
        <w:t>ont pas été entendues lorsqu</w:t>
      </w:r>
      <w:r>
        <w:rPr>
          <w:rFonts w:cs="Times New Roman"/>
          <w:lang w:val="fr-CA"/>
        </w:rPr>
        <w:t xml:space="preserve">e </w:t>
      </w:r>
      <w:r w:rsidRPr="00C5565E">
        <w:rPr>
          <w:rFonts w:cs="Times New Roman"/>
          <w:lang w:val="fr-CA"/>
        </w:rPr>
        <w:t>l</w:t>
      </w:r>
      <w:r>
        <w:rPr>
          <w:rFonts w:cs="Times New Roman"/>
          <w:lang w:val="fr-CA"/>
        </w:rPr>
        <w:t>’</w:t>
      </w:r>
      <w:r w:rsidRPr="00C5565E">
        <w:rPr>
          <w:rFonts w:cs="Times New Roman"/>
          <w:lang w:val="fr-CA"/>
        </w:rPr>
        <w:t>approche retenue dans l</w:t>
      </w:r>
      <w:r>
        <w:rPr>
          <w:rFonts w:cs="Times New Roman"/>
          <w:lang w:val="fr-CA"/>
        </w:rPr>
        <w:t>’</w:t>
      </w:r>
      <w:r w:rsidRPr="00C5565E">
        <w:rPr>
          <w:rFonts w:cs="Times New Roman"/>
          <w:lang w:val="fr-CA"/>
        </w:rPr>
        <w:t xml:space="preserve">arrêt </w:t>
      </w:r>
      <w:r w:rsidRPr="00C5565E">
        <w:rPr>
          <w:rFonts w:cs="Times New Roman"/>
          <w:i/>
          <w:lang w:val="fr-CA"/>
        </w:rPr>
        <w:t>Sherman</w:t>
      </w:r>
      <w:r>
        <w:rPr>
          <w:rFonts w:cs="Times New Roman"/>
          <w:lang w:val="fr-CA"/>
        </w:rPr>
        <w:t xml:space="preserve"> a été fixée</w:t>
      </w:r>
      <w:r w:rsidRPr="00C5565E">
        <w:rPr>
          <w:rFonts w:cs="Times New Roman"/>
          <w:lang w:val="fr-CA"/>
        </w:rPr>
        <w:t>. Il serait fondam</w:t>
      </w:r>
      <w:r>
        <w:rPr>
          <w:rFonts w:cs="Times New Roman"/>
          <w:lang w:val="fr-CA"/>
        </w:rPr>
        <w:t xml:space="preserve">entalement injuste envers les parties qu’elles </w:t>
      </w:r>
      <w:r w:rsidRPr="00C5565E">
        <w:rPr>
          <w:rFonts w:cs="Times New Roman"/>
          <w:lang w:val="fr-CA"/>
        </w:rPr>
        <w:t>ne soient pas entendu</w:t>
      </w:r>
      <w:r>
        <w:rPr>
          <w:rFonts w:cs="Times New Roman"/>
          <w:lang w:val="fr-CA"/>
        </w:rPr>
        <w:t>e</w:t>
      </w:r>
      <w:r w:rsidRPr="00C5565E">
        <w:rPr>
          <w:rFonts w:cs="Times New Roman"/>
          <w:lang w:val="fr-CA"/>
        </w:rPr>
        <w:t>s au sujet de l</w:t>
      </w:r>
      <w:r>
        <w:rPr>
          <w:rFonts w:cs="Times New Roman"/>
          <w:lang w:val="fr-CA"/>
        </w:rPr>
        <w:t>’</w:t>
      </w:r>
      <w:r w:rsidRPr="00C5565E">
        <w:rPr>
          <w:rFonts w:cs="Times New Roman"/>
          <w:lang w:val="fr-CA"/>
        </w:rPr>
        <w:t xml:space="preserve">application de cette approche aux faits de leur cause, sans parler du désavantage </w:t>
      </w:r>
      <w:r>
        <w:rPr>
          <w:rFonts w:cs="Times New Roman"/>
          <w:lang w:val="fr-CA"/>
        </w:rPr>
        <w:t>que cela ferait subir à</w:t>
      </w:r>
      <w:r w:rsidRPr="00C5565E">
        <w:rPr>
          <w:rFonts w:cs="Times New Roman"/>
          <w:lang w:val="fr-CA"/>
        </w:rPr>
        <w:t xml:space="preserve"> notre Cour</w:t>
      </w:r>
      <w:r>
        <w:rPr>
          <w:rFonts w:cs="Times New Roman"/>
          <w:lang w:val="fr-CA"/>
        </w:rPr>
        <w:t xml:space="preserve"> quand elle</w:t>
      </w:r>
      <w:r w:rsidRPr="00C5565E">
        <w:rPr>
          <w:rFonts w:cs="Times New Roman"/>
          <w:lang w:val="fr-CA"/>
        </w:rPr>
        <w:t xml:space="preserve"> tranche l</w:t>
      </w:r>
      <w:r>
        <w:rPr>
          <w:rFonts w:cs="Times New Roman"/>
          <w:lang w:val="fr-CA"/>
        </w:rPr>
        <w:t>’</w:t>
      </w:r>
      <w:r w:rsidRPr="00C5565E">
        <w:rPr>
          <w:rFonts w:cs="Times New Roman"/>
          <w:lang w:val="fr-CA"/>
        </w:rPr>
        <w:t>affaire. La nécessité d</w:t>
      </w:r>
      <w:r>
        <w:rPr>
          <w:rFonts w:cs="Times New Roman"/>
          <w:lang w:val="fr-CA"/>
        </w:rPr>
        <w:t>’</w:t>
      </w:r>
      <w:r w:rsidRPr="00C5565E">
        <w:rPr>
          <w:rFonts w:cs="Times New Roman"/>
          <w:lang w:val="fr-CA"/>
        </w:rPr>
        <w:t>obtenir ces observations supplémentaires sur l</w:t>
      </w:r>
      <w:r>
        <w:rPr>
          <w:rFonts w:cs="Times New Roman"/>
          <w:lang w:val="fr-CA"/>
        </w:rPr>
        <w:t>’</w:t>
      </w:r>
      <w:r w:rsidRPr="00C5565E">
        <w:rPr>
          <w:rFonts w:cs="Times New Roman"/>
          <w:lang w:val="fr-CA"/>
        </w:rPr>
        <w:t xml:space="preserve">arrêt </w:t>
      </w:r>
      <w:r w:rsidRPr="00C5565E">
        <w:rPr>
          <w:rFonts w:cs="Times New Roman"/>
          <w:i/>
          <w:lang w:val="fr-CA"/>
        </w:rPr>
        <w:t>Sherman</w:t>
      </w:r>
      <w:r w:rsidRPr="00C5565E">
        <w:rPr>
          <w:rFonts w:cs="Times New Roman"/>
          <w:lang w:val="fr-CA"/>
        </w:rPr>
        <w:t xml:space="preserve"> atténue toute économie des ressources </w:t>
      </w:r>
      <w:r>
        <w:rPr>
          <w:rFonts w:cs="Times New Roman"/>
          <w:lang w:val="fr-CA"/>
        </w:rPr>
        <w:t>judiciaires qui serait réalisée en tranchant l’affaire ici, plutôt que de la renvoyer à la juridiction inférieure</w:t>
      </w:r>
      <w:r w:rsidRPr="00060362">
        <w:rPr>
          <w:rFonts w:cs="Times New Roman"/>
          <w:lang w:val="fr-CA"/>
        </w:rPr>
        <w:t>.</w:t>
      </w:r>
    </w:p>
    <w:p w:rsidR="009F09DA" w:rsidRPr="0077694D" w:rsidRDefault="009F09DA" w:rsidP="009F09DA">
      <w:pPr>
        <w:pStyle w:val="ParaNoNdepar-AltN"/>
        <w:rPr>
          <w:rFonts w:cs="Times New Roman"/>
          <w:lang w:val="fr-CA"/>
        </w:rPr>
      </w:pPr>
      <w:r w:rsidRPr="00C5565E">
        <w:rPr>
          <w:rFonts w:cs="Times New Roman"/>
          <w:lang w:val="fr-CA"/>
        </w:rPr>
        <w:t>Je reconnais, tout comme la Couronne l</w:t>
      </w:r>
      <w:r>
        <w:rPr>
          <w:rFonts w:cs="Times New Roman"/>
          <w:lang w:val="fr-CA"/>
        </w:rPr>
        <w:t>’</w:t>
      </w:r>
      <w:r w:rsidRPr="00C5565E">
        <w:rPr>
          <w:rFonts w:cs="Times New Roman"/>
          <w:lang w:val="fr-CA"/>
        </w:rPr>
        <w:t>a plaidé à l</w:t>
      </w:r>
      <w:r>
        <w:rPr>
          <w:rFonts w:cs="Times New Roman"/>
          <w:lang w:val="fr-CA"/>
        </w:rPr>
        <w:t>’</w:t>
      </w:r>
      <w:r w:rsidRPr="00C5565E">
        <w:rPr>
          <w:rFonts w:cs="Times New Roman"/>
          <w:lang w:val="fr-CA"/>
        </w:rPr>
        <w:t>audience, que le renvoi de l</w:t>
      </w:r>
      <w:r>
        <w:rPr>
          <w:rFonts w:cs="Times New Roman"/>
          <w:lang w:val="fr-CA"/>
        </w:rPr>
        <w:t>’</w:t>
      </w:r>
      <w:r w:rsidRPr="00C5565E">
        <w:rPr>
          <w:rFonts w:cs="Times New Roman"/>
          <w:lang w:val="fr-CA"/>
        </w:rPr>
        <w:t xml:space="preserve">affaire prolongera </w:t>
      </w:r>
      <w:r w:rsidRPr="00127AA3">
        <w:rPr>
          <w:rFonts w:cs="Times New Roman"/>
          <w:lang w:val="fr-CA"/>
        </w:rPr>
        <w:t>l</w:t>
      </w:r>
      <w:r>
        <w:rPr>
          <w:rFonts w:cs="Times New Roman"/>
          <w:lang w:val="fr-CA"/>
        </w:rPr>
        <w:t>’</w:t>
      </w:r>
      <w:r w:rsidRPr="00127AA3">
        <w:rPr>
          <w:rFonts w:cs="Times New Roman"/>
          <w:lang w:val="fr-CA"/>
        </w:rPr>
        <w:t>incertitude pour les parties</w:t>
      </w:r>
      <w:r w:rsidRPr="00C5565E">
        <w:rPr>
          <w:rFonts w:cs="Times New Roman"/>
          <w:lang w:val="fr-CA"/>
        </w:rPr>
        <w:t xml:space="preserve"> intéressées sur la question de savoir si l</w:t>
      </w:r>
      <w:r>
        <w:rPr>
          <w:rFonts w:cs="Times New Roman"/>
          <w:lang w:val="fr-CA"/>
        </w:rPr>
        <w:t>’</w:t>
      </w:r>
      <w:r w:rsidRPr="00C5565E">
        <w:rPr>
          <w:rFonts w:cs="Times New Roman"/>
          <w:lang w:val="fr-CA"/>
        </w:rPr>
        <w:t>interdiction de publication finira par être annulée. Il importe toutefois de se rappeler que les parties intéressées bénéficieront toujours de l</w:t>
      </w:r>
      <w:r>
        <w:rPr>
          <w:rFonts w:cs="Times New Roman"/>
          <w:lang w:val="fr-CA"/>
        </w:rPr>
        <w:t>’</w:t>
      </w:r>
      <w:r w:rsidRPr="00C5565E">
        <w:rPr>
          <w:rFonts w:cs="Times New Roman"/>
          <w:lang w:val="fr-CA"/>
        </w:rPr>
        <w:t>interdiction de publication qui, à leurs dires, est essentielle à la protection de leur vie privée dans l</w:t>
      </w:r>
      <w:r>
        <w:rPr>
          <w:rFonts w:cs="Times New Roman"/>
          <w:lang w:val="fr-CA"/>
        </w:rPr>
        <w:t>’</w:t>
      </w:r>
      <w:r w:rsidRPr="00C5565E">
        <w:rPr>
          <w:rFonts w:cs="Times New Roman"/>
          <w:lang w:val="fr-CA"/>
        </w:rPr>
        <w:t>intervall</w:t>
      </w:r>
      <w:r w:rsidRPr="0077694D">
        <w:rPr>
          <w:rFonts w:cs="Times New Roman"/>
          <w:lang w:val="fr-CA"/>
        </w:rPr>
        <w:t>e.</w:t>
      </w:r>
    </w:p>
    <w:p w:rsidR="009F09DA" w:rsidRPr="00C5565E" w:rsidRDefault="009F09DA" w:rsidP="009F09DA">
      <w:pPr>
        <w:pStyle w:val="ParaNoNdepar-AltN"/>
        <w:rPr>
          <w:rFonts w:cs="Times New Roman"/>
          <w:lang w:val="fr-CA"/>
        </w:rPr>
      </w:pPr>
      <w:r w:rsidRPr="00C5565E">
        <w:rPr>
          <w:rFonts w:cs="Times New Roman"/>
          <w:lang w:val="fr-CA"/>
        </w:rPr>
        <w:t>Il s</w:t>
      </w:r>
      <w:r>
        <w:rPr>
          <w:rFonts w:cs="Times New Roman"/>
          <w:lang w:val="fr-CA"/>
        </w:rPr>
        <w:t>’</w:t>
      </w:r>
      <w:r w:rsidRPr="00C5565E">
        <w:rPr>
          <w:rFonts w:cs="Times New Roman"/>
          <w:lang w:val="fr-CA"/>
        </w:rPr>
        <w:t>agit d</w:t>
      </w:r>
      <w:r>
        <w:rPr>
          <w:rFonts w:cs="Times New Roman"/>
          <w:lang w:val="fr-CA"/>
        </w:rPr>
        <w:t>’une situation tout à fait</w:t>
      </w:r>
      <w:r w:rsidRPr="00C5565E">
        <w:rPr>
          <w:rFonts w:cs="Times New Roman"/>
          <w:lang w:val="fr-CA"/>
        </w:rPr>
        <w:t xml:space="preserve"> différente de celle qui prévalait dans des affaires comme </w:t>
      </w:r>
      <w:r w:rsidRPr="00C5565E">
        <w:rPr>
          <w:rFonts w:cs="Times New Roman"/>
          <w:i/>
          <w:lang w:val="fr-CA"/>
        </w:rPr>
        <w:t>Saadati c. Moorhead</w:t>
      </w:r>
      <w:r w:rsidRPr="00C5565E">
        <w:rPr>
          <w:rFonts w:cs="Times New Roman"/>
          <w:lang w:val="fr-CA"/>
        </w:rPr>
        <w:t>, 2017 CSC 28</w:t>
      </w:r>
      <w:r w:rsidRPr="00313AA1">
        <w:rPr>
          <w:rFonts w:cs="Times New Roman"/>
          <w:lang w:val="fr-CA"/>
        </w:rPr>
        <w:t>, [2017] 1 R.C.S. 543, et</w:t>
      </w:r>
      <w:r w:rsidRPr="00C5565E">
        <w:rPr>
          <w:rFonts w:cs="Times New Roman"/>
          <w:lang w:val="fr-CA"/>
        </w:rPr>
        <w:t xml:space="preserve"> </w:t>
      </w:r>
      <w:r w:rsidRPr="00C5565E">
        <w:rPr>
          <w:rFonts w:cs="Times New Roman"/>
          <w:i/>
          <w:lang w:val="fr-CA"/>
        </w:rPr>
        <w:t>Wells c. Terre</w:t>
      </w:r>
      <w:r>
        <w:rPr>
          <w:rFonts w:cs="Times New Roman"/>
          <w:i/>
          <w:lang w:val="fr-CA"/>
        </w:rPr>
        <w:noBreakHyphen/>
      </w:r>
      <w:r w:rsidRPr="00C5565E">
        <w:rPr>
          <w:rFonts w:cs="Times New Roman"/>
          <w:i/>
          <w:lang w:val="fr-CA"/>
        </w:rPr>
        <w:t>Neuve</w:t>
      </w:r>
      <w:r w:rsidRPr="00C5565E">
        <w:rPr>
          <w:rFonts w:cs="Times New Roman"/>
          <w:lang w:val="fr-CA"/>
        </w:rPr>
        <w:t>, [1999] 3 R.C.S. 199, où il s</w:t>
      </w:r>
      <w:r>
        <w:rPr>
          <w:rFonts w:cs="Times New Roman"/>
          <w:lang w:val="fr-CA"/>
        </w:rPr>
        <w:t>’</w:t>
      </w:r>
      <w:r w:rsidRPr="00C5565E">
        <w:rPr>
          <w:rFonts w:cs="Times New Roman"/>
          <w:lang w:val="fr-CA"/>
        </w:rPr>
        <w:t>était écoulé environ une décennie depuis la conduite reprochée qui faisait l</w:t>
      </w:r>
      <w:r>
        <w:rPr>
          <w:rFonts w:cs="Times New Roman"/>
          <w:lang w:val="fr-CA"/>
        </w:rPr>
        <w:t>’</w:t>
      </w:r>
      <w:r w:rsidRPr="00C5565E">
        <w:rPr>
          <w:rFonts w:cs="Times New Roman"/>
          <w:lang w:val="fr-CA"/>
        </w:rPr>
        <w:t>objet du litige</w:t>
      </w:r>
      <w:r>
        <w:rPr>
          <w:rFonts w:cs="Times New Roman"/>
          <w:lang w:val="fr-CA"/>
        </w:rPr>
        <w:t>,</w:t>
      </w:r>
      <w:r w:rsidRPr="00C5565E">
        <w:rPr>
          <w:rFonts w:cs="Times New Roman"/>
          <w:lang w:val="fr-CA"/>
        </w:rPr>
        <w:t xml:space="preserve"> et notre Cour avait pris connaissance d</w:t>
      </w:r>
      <w:r>
        <w:rPr>
          <w:rFonts w:cs="Times New Roman"/>
          <w:lang w:val="fr-CA"/>
        </w:rPr>
        <w:t>’</w:t>
      </w:r>
      <w:r w:rsidRPr="00C5565E">
        <w:rPr>
          <w:rFonts w:cs="Times New Roman"/>
          <w:lang w:val="fr-CA"/>
        </w:rPr>
        <w:t xml:space="preserve">une décision raisonnable étayée par le dossier et rendue par le décideur compétent </w:t>
      </w:r>
      <w:r>
        <w:rPr>
          <w:rFonts w:cs="Times New Roman"/>
          <w:lang w:val="fr-CA"/>
        </w:rPr>
        <w:t>de</w:t>
      </w:r>
      <w:r w:rsidRPr="00C5565E">
        <w:rPr>
          <w:rFonts w:cs="Times New Roman"/>
          <w:lang w:val="fr-CA"/>
        </w:rPr>
        <w:t xml:space="preserve"> première instance (</w:t>
      </w:r>
      <w:r w:rsidRPr="00C5565E">
        <w:rPr>
          <w:rFonts w:cs="Times New Roman"/>
          <w:i/>
          <w:lang w:val="fr-CA"/>
        </w:rPr>
        <w:t>Saadati</w:t>
      </w:r>
      <w:r w:rsidRPr="00C5565E">
        <w:rPr>
          <w:rFonts w:cs="Times New Roman"/>
          <w:lang w:val="fr-CA"/>
        </w:rPr>
        <w:t xml:space="preserve">, </w:t>
      </w:r>
      <w:r>
        <w:rPr>
          <w:rFonts w:cs="Times New Roman"/>
          <w:lang w:val="fr-CA"/>
        </w:rPr>
        <w:t>par. </w:t>
      </w:r>
      <w:r w:rsidRPr="00C5565E">
        <w:rPr>
          <w:rFonts w:cs="Times New Roman"/>
          <w:lang w:val="fr-CA"/>
        </w:rPr>
        <w:t xml:space="preserve">45; </w:t>
      </w:r>
      <w:r w:rsidRPr="00C5565E">
        <w:rPr>
          <w:rFonts w:cs="Times New Roman"/>
          <w:i/>
          <w:lang w:val="fr-CA"/>
        </w:rPr>
        <w:t>Wells</w:t>
      </w:r>
      <w:r w:rsidRPr="00C5565E">
        <w:rPr>
          <w:rFonts w:cs="Times New Roman"/>
          <w:lang w:val="fr-CA"/>
        </w:rPr>
        <w:t xml:space="preserve">, </w:t>
      </w:r>
      <w:r>
        <w:rPr>
          <w:rFonts w:cs="Times New Roman"/>
          <w:lang w:val="fr-CA"/>
        </w:rPr>
        <w:t>par. </w:t>
      </w:r>
      <w:r w:rsidRPr="00C5565E">
        <w:rPr>
          <w:rFonts w:cs="Times New Roman"/>
          <w:lang w:val="fr-CA"/>
        </w:rPr>
        <w:t>68). En l</w:t>
      </w:r>
      <w:r>
        <w:rPr>
          <w:rFonts w:cs="Times New Roman"/>
          <w:lang w:val="fr-CA"/>
        </w:rPr>
        <w:t>’</w:t>
      </w:r>
      <w:r w:rsidRPr="00C5565E">
        <w:rPr>
          <w:rFonts w:cs="Times New Roman"/>
          <w:lang w:val="fr-CA"/>
        </w:rPr>
        <w:t>espèce, l</w:t>
      </w:r>
      <w:r>
        <w:rPr>
          <w:rFonts w:cs="Times New Roman"/>
          <w:lang w:val="fr-CA"/>
        </w:rPr>
        <w:t>’</w:t>
      </w:r>
      <w:r w:rsidRPr="00C5565E">
        <w:rPr>
          <w:rFonts w:cs="Times New Roman"/>
          <w:lang w:val="fr-CA"/>
        </w:rPr>
        <w:t xml:space="preserve">interdiction de </w:t>
      </w:r>
      <w:r w:rsidRPr="00127AA3">
        <w:rPr>
          <w:rFonts w:cs="Times New Roman"/>
          <w:lang w:val="fr-CA"/>
        </w:rPr>
        <w:t>publication sur laquelle porte</w:t>
      </w:r>
      <w:r>
        <w:rPr>
          <w:rFonts w:cs="Times New Roman"/>
          <w:lang w:val="fr-CA"/>
        </w:rPr>
        <w:t xml:space="preserve"> </w:t>
      </w:r>
      <w:r w:rsidRPr="00C5565E">
        <w:rPr>
          <w:rFonts w:cs="Times New Roman"/>
          <w:lang w:val="fr-CA"/>
        </w:rPr>
        <w:t>la présente instance a ét</w:t>
      </w:r>
      <w:r>
        <w:rPr>
          <w:rFonts w:cs="Times New Roman"/>
          <w:lang w:val="fr-CA"/>
        </w:rPr>
        <w:t xml:space="preserve">é imposée il y a moins de trois </w:t>
      </w:r>
      <w:r w:rsidRPr="00C5565E">
        <w:rPr>
          <w:rFonts w:cs="Times New Roman"/>
          <w:lang w:val="fr-CA"/>
        </w:rPr>
        <w:t>ans, et aucune décision n</w:t>
      </w:r>
      <w:r>
        <w:rPr>
          <w:rFonts w:cs="Times New Roman"/>
          <w:lang w:val="fr-CA"/>
        </w:rPr>
        <w:t>’</w:t>
      </w:r>
      <w:r w:rsidRPr="00C5565E">
        <w:rPr>
          <w:rFonts w:cs="Times New Roman"/>
          <w:lang w:val="fr-CA"/>
        </w:rPr>
        <w:t>a été rendue en première instance sur la motion, encore moins une décision raisonnable.</w:t>
      </w:r>
      <w:r>
        <w:rPr>
          <w:rFonts w:cs="Times New Roman"/>
          <w:lang w:val="fr-CA"/>
        </w:rPr>
        <w:t xml:space="preserve"> </w:t>
      </w:r>
    </w:p>
    <w:p w:rsidR="009F09DA" w:rsidRPr="00C5565E" w:rsidRDefault="009F09DA" w:rsidP="009F09DA">
      <w:pPr>
        <w:pStyle w:val="ParaNoNdepar-AltN"/>
        <w:rPr>
          <w:rFonts w:cs="Times New Roman"/>
          <w:lang w:val="fr-CA"/>
        </w:rPr>
      </w:pPr>
      <w:r w:rsidRPr="00C5565E">
        <w:rPr>
          <w:rFonts w:cs="Times New Roman"/>
          <w:lang w:val="fr-CA"/>
        </w:rPr>
        <w:t>Dans les circonstances, la valeur du raccourcissement de cette période d</w:t>
      </w:r>
      <w:r>
        <w:rPr>
          <w:rFonts w:cs="Times New Roman"/>
          <w:lang w:val="fr-CA"/>
        </w:rPr>
        <w:t>’</w:t>
      </w:r>
      <w:r w:rsidRPr="00C5565E">
        <w:rPr>
          <w:rFonts w:cs="Times New Roman"/>
          <w:lang w:val="fr-CA"/>
        </w:rPr>
        <w:t>incertitude ne l</w:t>
      </w:r>
      <w:r>
        <w:rPr>
          <w:rFonts w:cs="Times New Roman"/>
          <w:lang w:val="fr-CA"/>
        </w:rPr>
        <w:t>’</w:t>
      </w:r>
      <w:r w:rsidRPr="00C5565E">
        <w:rPr>
          <w:rFonts w:cs="Times New Roman"/>
          <w:lang w:val="fr-CA"/>
        </w:rPr>
        <w:t>emporte pas sur l</w:t>
      </w:r>
      <w:r>
        <w:rPr>
          <w:rFonts w:cs="Times New Roman"/>
          <w:lang w:val="fr-CA"/>
        </w:rPr>
        <w:t>’</w:t>
      </w:r>
      <w:r w:rsidRPr="00C5565E">
        <w:rPr>
          <w:rFonts w:cs="Times New Roman"/>
          <w:lang w:val="fr-CA"/>
        </w:rPr>
        <w:t>importance de l</w:t>
      </w:r>
      <w:r>
        <w:rPr>
          <w:rFonts w:cs="Times New Roman"/>
          <w:lang w:val="fr-CA"/>
        </w:rPr>
        <w:t>’</w:t>
      </w:r>
      <w:r w:rsidRPr="00C5565E">
        <w:rPr>
          <w:rFonts w:cs="Times New Roman"/>
          <w:lang w:val="fr-CA"/>
        </w:rPr>
        <w:t>équité envers toutes les parties, laquelle est servie en veillant à ce que l</w:t>
      </w:r>
      <w:r>
        <w:rPr>
          <w:rFonts w:cs="Times New Roman"/>
          <w:lang w:val="fr-CA"/>
        </w:rPr>
        <w:t>’</w:t>
      </w:r>
      <w:r w:rsidRPr="00C5565E">
        <w:rPr>
          <w:rFonts w:cs="Times New Roman"/>
          <w:lang w:val="fr-CA"/>
        </w:rPr>
        <w:t xml:space="preserve">affaire soit tranchée par le décideur compétent </w:t>
      </w:r>
      <w:r>
        <w:rPr>
          <w:rFonts w:cs="Times New Roman"/>
          <w:lang w:val="fr-CA"/>
        </w:rPr>
        <w:t>de</w:t>
      </w:r>
      <w:r w:rsidRPr="00C5565E">
        <w:rPr>
          <w:rFonts w:cs="Times New Roman"/>
          <w:lang w:val="fr-CA"/>
        </w:rPr>
        <w:t xml:space="preserve"> première instance qui dispose des observations voulues.</w:t>
      </w:r>
    </w:p>
    <w:p w:rsidR="009F09DA" w:rsidRPr="005F63DA" w:rsidRDefault="009F09DA" w:rsidP="009F09DA">
      <w:pPr>
        <w:pStyle w:val="ParaNoNdepar-AltN"/>
        <w:rPr>
          <w:rFonts w:cs="Times New Roman"/>
          <w:lang w:val="fr-CA"/>
        </w:rPr>
      </w:pPr>
      <w:r w:rsidRPr="00C5565E">
        <w:rPr>
          <w:rFonts w:cs="Times New Roman"/>
          <w:lang w:val="fr-CA"/>
        </w:rPr>
        <w:t>Je suis donc d</w:t>
      </w:r>
      <w:r>
        <w:rPr>
          <w:rFonts w:cs="Times New Roman"/>
          <w:lang w:val="fr-CA"/>
        </w:rPr>
        <w:t>’</w:t>
      </w:r>
      <w:r w:rsidRPr="00C5565E">
        <w:rPr>
          <w:rFonts w:cs="Times New Roman"/>
          <w:lang w:val="fr-CA"/>
        </w:rPr>
        <w:t>avis d</w:t>
      </w:r>
      <w:r>
        <w:rPr>
          <w:rFonts w:cs="Times New Roman"/>
          <w:lang w:val="fr-CA"/>
        </w:rPr>
        <w:t>’</w:t>
      </w:r>
      <w:r w:rsidRPr="00C5565E">
        <w:rPr>
          <w:rFonts w:cs="Times New Roman"/>
          <w:lang w:val="fr-CA"/>
        </w:rPr>
        <w:t xml:space="preserve">accueillir le </w:t>
      </w:r>
      <w:r w:rsidRPr="005F63DA">
        <w:rPr>
          <w:rFonts w:cs="Times New Roman"/>
          <w:lang w:val="fr-CA"/>
        </w:rPr>
        <w:t xml:space="preserve">pourvoi </w:t>
      </w:r>
      <w:r>
        <w:rPr>
          <w:rFonts w:cs="Times New Roman"/>
          <w:lang w:val="fr-CA"/>
        </w:rPr>
        <w:t xml:space="preserve">contre le </w:t>
      </w:r>
      <w:r w:rsidRPr="005F63DA">
        <w:rPr>
          <w:rFonts w:cs="Times New Roman"/>
          <w:lang w:val="fr-CA"/>
        </w:rPr>
        <w:t>jugement de 2019 sur la compétence et de renvoyer l</w:t>
      </w:r>
      <w:r>
        <w:rPr>
          <w:rFonts w:cs="Times New Roman"/>
          <w:lang w:val="fr-CA"/>
        </w:rPr>
        <w:t>’</w:t>
      </w:r>
      <w:r w:rsidRPr="005F63DA">
        <w:rPr>
          <w:rFonts w:cs="Times New Roman"/>
          <w:lang w:val="fr-CA"/>
        </w:rPr>
        <w:t>affaire à la Cour d</w:t>
      </w:r>
      <w:r>
        <w:rPr>
          <w:rFonts w:cs="Times New Roman"/>
          <w:lang w:val="fr-CA"/>
        </w:rPr>
        <w:t>’</w:t>
      </w:r>
      <w:r w:rsidRPr="005F63DA">
        <w:rPr>
          <w:rFonts w:cs="Times New Roman"/>
          <w:lang w:val="fr-CA"/>
        </w:rPr>
        <w:t>appel pour qu</w:t>
      </w:r>
      <w:r>
        <w:rPr>
          <w:rFonts w:cs="Times New Roman"/>
          <w:lang w:val="fr-CA"/>
        </w:rPr>
        <w:t>’</w:t>
      </w:r>
      <w:r w:rsidRPr="005F63DA">
        <w:rPr>
          <w:rFonts w:cs="Times New Roman"/>
          <w:lang w:val="fr-CA"/>
        </w:rPr>
        <w:t>elle tranche la motion de la SRC conformément aux présents motifs (</w:t>
      </w:r>
      <w:r w:rsidRPr="005F63DA">
        <w:rPr>
          <w:rFonts w:cs="Times New Roman"/>
          <w:i/>
          <w:lang w:val="fr-CA"/>
        </w:rPr>
        <w:t>Loi sur la Cour suprême</w:t>
      </w:r>
      <w:r w:rsidRPr="005F63DA">
        <w:rPr>
          <w:rFonts w:cs="Times New Roman"/>
          <w:lang w:val="fr-CA"/>
        </w:rPr>
        <w:t xml:space="preserve">, </w:t>
      </w:r>
      <w:r>
        <w:rPr>
          <w:rFonts w:cs="Times New Roman"/>
          <w:lang w:val="fr-CA"/>
        </w:rPr>
        <w:t>art. </w:t>
      </w:r>
      <w:r w:rsidRPr="005F63DA">
        <w:rPr>
          <w:rFonts w:cs="Times New Roman"/>
          <w:lang w:val="fr-CA"/>
        </w:rPr>
        <w:t>46.1).</w:t>
      </w:r>
    </w:p>
    <w:p w:rsidR="009F09DA" w:rsidRPr="00C5565E" w:rsidRDefault="009F09DA" w:rsidP="009F09DA">
      <w:pPr>
        <w:pStyle w:val="ParaNoNdepar-AltN"/>
        <w:rPr>
          <w:rFonts w:cs="Times New Roman"/>
          <w:lang w:val="fr-CA"/>
        </w:rPr>
      </w:pPr>
      <w:r w:rsidRPr="005F63DA">
        <w:rPr>
          <w:rFonts w:cs="Times New Roman"/>
          <w:lang w:val="fr-CA"/>
        </w:rPr>
        <w:t xml:space="preserve">Le second appel contre le jugement de 2018 </w:t>
      </w:r>
      <w:r w:rsidRPr="00C5565E">
        <w:rPr>
          <w:rFonts w:cs="Times New Roman"/>
          <w:lang w:val="fr-CA"/>
        </w:rPr>
        <w:t>sur l</w:t>
      </w:r>
      <w:r>
        <w:rPr>
          <w:rFonts w:cs="Times New Roman"/>
          <w:lang w:val="fr-CA"/>
        </w:rPr>
        <w:t>’</w:t>
      </w:r>
      <w:r w:rsidRPr="00C5565E">
        <w:rPr>
          <w:rFonts w:cs="Times New Roman"/>
          <w:lang w:val="fr-CA"/>
        </w:rPr>
        <w:t>interdiction de publication lui</w:t>
      </w:r>
      <w:r>
        <w:rPr>
          <w:rFonts w:cs="Times New Roman"/>
          <w:lang w:val="fr-CA"/>
        </w:rPr>
        <w:noBreakHyphen/>
      </w:r>
      <w:r w:rsidRPr="00C5565E">
        <w:rPr>
          <w:rFonts w:cs="Times New Roman"/>
          <w:lang w:val="fr-CA"/>
        </w:rPr>
        <w:t>même présente une complication procédurale. Comme je l</w:t>
      </w:r>
      <w:r>
        <w:rPr>
          <w:rFonts w:cs="Times New Roman"/>
          <w:lang w:val="fr-CA"/>
        </w:rPr>
        <w:t>’</w:t>
      </w:r>
      <w:r w:rsidRPr="00C5565E">
        <w:rPr>
          <w:rFonts w:cs="Times New Roman"/>
          <w:lang w:val="fr-CA"/>
        </w:rPr>
        <w:t>ai déjà mentionné, la SRC a sollicité et obtenu l</w:t>
      </w:r>
      <w:r>
        <w:rPr>
          <w:rFonts w:cs="Times New Roman"/>
          <w:lang w:val="fr-CA"/>
        </w:rPr>
        <w:t>’</w:t>
      </w:r>
      <w:r w:rsidRPr="00C5565E">
        <w:rPr>
          <w:rFonts w:cs="Times New Roman"/>
          <w:lang w:val="fr-CA"/>
        </w:rPr>
        <w:t>autorisation d</w:t>
      </w:r>
      <w:r>
        <w:rPr>
          <w:rFonts w:cs="Times New Roman"/>
          <w:lang w:val="fr-CA"/>
        </w:rPr>
        <w:t>’</w:t>
      </w:r>
      <w:r w:rsidRPr="00C5565E">
        <w:rPr>
          <w:rFonts w:cs="Times New Roman"/>
          <w:lang w:val="fr-CA"/>
        </w:rPr>
        <w:t>appel non seulement à l</w:t>
      </w:r>
      <w:r>
        <w:rPr>
          <w:rFonts w:cs="Times New Roman"/>
          <w:lang w:val="fr-CA"/>
        </w:rPr>
        <w:t>’</w:t>
      </w:r>
      <w:r w:rsidRPr="00C5565E">
        <w:rPr>
          <w:rFonts w:cs="Times New Roman"/>
          <w:lang w:val="fr-CA"/>
        </w:rPr>
        <w:t>encontre du rejet de sa motion</w:t>
      </w:r>
      <w:r>
        <w:rPr>
          <w:rFonts w:cs="Times New Roman"/>
          <w:lang w:val="fr-CA"/>
        </w:rPr>
        <w:t xml:space="preserve"> en réexamen</w:t>
      </w:r>
      <w:r w:rsidRPr="00C5565E">
        <w:rPr>
          <w:rFonts w:cs="Times New Roman"/>
          <w:lang w:val="fr-CA"/>
        </w:rPr>
        <w:t>, mais aussi directement à l</w:t>
      </w:r>
      <w:r>
        <w:rPr>
          <w:rFonts w:cs="Times New Roman"/>
          <w:lang w:val="fr-CA"/>
        </w:rPr>
        <w:t>’</w:t>
      </w:r>
      <w:r w:rsidRPr="00C5565E">
        <w:rPr>
          <w:rFonts w:cs="Times New Roman"/>
          <w:lang w:val="fr-CA"/>
        </w:rPr>
        <w:t>encontre de l</w:t>
      </w:r>
      <w:r>
        <w:rPr>
          <w:rFonts w:cs="Times New Roman"/>
          <w:lang w:val="fr-CA"/>
        </w:rPr>
        <w:t>’</w:t>
      </w:r>
      <w:r w:rsidRPr="00C5565E">
        <w:rPr>
          <w:rFonts w:cs="Times New Roman"/>
          <w:lang w:val="fr-CA"/>
        </w:rPr>
        <w:t>interdiction de publication. Cela ressort du jugement sur autorisation d</w:t>
      </w:r>
      <w:r>
        <w:rPr>
          <w:rFonts w:cs="Times New Roman"/>
          <w:lang w:val="fr-CA"/>
        </w:rPr>
        <w:t>’</w:t>
      </w:r>
      <w:r w:rsidRPr="00C5565E">
        <w:rPr>
          <w:rFonts w:cs="Times New Roman"/>
          <w:lang w:val="fr-CA"/>
        </w:rPr>
        <w:t>appel, et les parties ont explicitement débattu des deux appels devant notre Cour. Cet appel soulève une seule question restante qui concerne la légalité de l</w:t>
      </w:r>
      <w:r>
        <w:rPr>
          <w:rFonts w:cs="Times New Roman"/>
          <w:lang w:val="fr-CA"/>
        </w:rPr>
        <w:t>’</w:t>
      </w:r>
      <w:r w:rsidRPr="00C5565E">
        <w:rPr>
          <w:rFonts w:cs="Times New Roman"/>
          <w:lang w:val="fr-CA"/>
        </w:rPr>
        <w:t>interdiction de publication en tant qu</w:t>
      </w:r>
      <w:r>
        <w:rPr>
          <w:rFonts w:cs="Times New Roman"/>
          <w:lang w:val="fr-CA"/>
        </w:rPr>
        <w:t>’</w:t>
      </w:r>
      <w:r w:rsidRPr="00C5565E">
        <w:rPr>
          <w:rFonts w:cs="Times New Roman"/>
          <w:lang w:val="fr-CA"/>
        </w:rPr>
        <w:t>exception au principe de la publicité des débats judiciaires.</w:t>
      </w:r>
    </w:p>
    <w:p w:rsidR="009F09DA" w:rsidRPr="005F63DA" w:rsidRDefault="009F09DA" w:rsidP="009F09DA">
      <w:pPr>
        <w:pStyle w:val="ParaNoNdepar-AltN"/>
        <w:rPr>
          <w:rFonts w:cs="Times New Roman"/>
          <w:lang w:val="fr-CA"/>
        </w:rPr>
      </w:pPr>
      <w:r>
        <w:rPr>
          <w:rFonts w:cs="Times New Roman"/>
          <w:lang w:val="fr-CA"/>
        </w:rPr>
        <w:t>V</w:t>
      </w:r>
      <w:r w:rsidRPr="00C5565E">
        <w:rPr>
          <w:rFonts w:cs="Times New Roman"/>
          <w:lang w:val="fr-CA"/>
        </w:rPr>
        <w:t>u ma conclusion que la Cour d</w:t>
      </w:r>
      <w:r>
        <w:rPr>
          <w:rFonts w:cs="Times New Roman"/>
          <w:lang w:val="fr-CA"/>
        </w:rPr>
        <w:t>’</w:t>
      </w:r>
      <w:r w:rsidRPr="00C5565E">
        <w:rPr>
          <w:rFonts w:cs="Times New Roman"/>
          <w:lang w:val="fr-CA"/>
        </w:rPr>
        <w:t xml:space="preserve">appel avait compétence pour entendre la motion de la </w:t>
      </w:r>
      <w:r w:rsidRPr="005F63DA">
        <w:rPr>
          <w:rFonts w:cs="Times New Roman"/>
          <w:lang w:val="fr-CA"/>
        </w:rPr>
        <w:t>SRC, je ne suis pas d</w:t>
      </w:r>
      <w:r>
        <w:rPr>
          <w:rFonts w:cs="Times New Roman"/>
          <w:lang w:val="fr-CA"/>
        </w:rPr>
        <w:t>’</w:t>
      </w:r>
      <w:r w:rsidRPr="005F63DA">
        <w:rPr>
          <w:rFonts w:cs="Times New Roman"/>
          <w:lang w:val="fr-CA"/>
        </w:rPr>
        <w:t>avis de trancher les questions soulevées dans l</w:t>
      </w:r>
      <w:r>
        <w:rPr>
          <w:rFonts w:cs="Times New Roman"/>
          <w:lang w:val="fr-CA"/>
        </w:rPr>
        <w:t>’</w:t>
      </w:r>
      <w:r w:rsidRPr="005F63DA">
        <w:rPr>
          <w:rFonts w:cs="Times New Roman"/>
          <w:lang w:val="fr-CA"/>
        </w:rPr>
        <w:t xml:space="preserve">appel du jugement de 2018 sur </w:t>
      </w:r>
      <w:r>
        <w:rPr>
          <w:rFonts w:cs="Times New Roman"/>
          <w:lang w:val="fr-CA"/>
        </w:rPr>
        <w:t>l’interdiction de publication</w:t>
      </w:r>
      <w:r w:rsidRPr="008C6E30">
        <w:rPr>
          <w:rFonts w:cs="Times New Roman"/>
          <w:lang w:val="fr-CA"/>
        </w:rPr>
        <w:t xml:space="preserve"> avant que la Cour d</w:t>
      </w:r>
      <w:r>
        <w:rPr>
          <w:rFonts w:cs="Times New Roman"/>
          <w:lang w:val="fr-CA"/>
        </w:rPr>
        <w:t>’</w:t>
      </w:r>
      <w:r w:rsidRPr="008C6E30">
        <w:rPr>
          <w:rFonts w:cs="Times New Roman"/>
          <w:lang w:val="fr-CA"/>
        </w:rPr>
        <w:t xml:space="preserve">appel </w:t>
      </w:r>
      <w:r>
        <w:rPr>
          <w:rFonts w:cs="Times New Roman"/>
          <w:lang w:val="fr-CA"/>
        </w:rPr>
        <w:t>n’</w:t>
      </w:r>
      <w:r w:rsidRPr="008C6E30">
        <w:rPr>
          <w:rFonts w:cs="Times New Roman"/>
          <w:lang w:val="fr-CA"/>
        </w:rPr>
        <w:t xml:space="preserve">ait statué sur la motion en réexamen. </w:t>
      </w:r>
      <w:r>
        <w:rPr>
          <w:rFonts w:cs="Times New Roman"/>
          <w:lang w:val="fr-CA"/>
        </w:rPr>
        <w:t>Je signale que les tribunaux d’appel se trouvant dans des situations semblables ont généralement insisté pour que ce type de recours soit introduit au tribunal initial avant d’entendre un appel</w:t>
      </w:r>
      <w:r w:rsidRPr="00060362">
        <w:rPr>
          <w:rFonts w:cs="Times New Roman"/>
          <w:lang w:val="fr-CA"/>
        </w:rPr>
        <w:t xml:space="preserve"> (</w:t>
      </w:r>
      <w:r>
        <w:rPr>
          <w:rFonts w:cs="Times New Roman"/>
          <w:lang w:val="fr-CA"/>
        </w:rPr>
        <w:t>voir, p. ex</w:t>
      </w:r>
      <w:r w:rsidRPr="00060362">
        <w:rPr>
          <w:rFonts w:cs="Times New Roman"/>
          <w:lang w:val="fr-CA"/>
        </w:rPr>
        <w:t xml:space="preserve">., </w:t>
      </w:r>
      <w:r w:rsidRPr="00060362">
        <w:rPr>
          <w:rFonts w:cs="Times New Roman"/>
          <w:i/>
          <w:lang w:val="fr-CA"/>
        </w:rPr>
        <w:t xml:space="preserve">Secure 2013 Group Inc. </w:t>
      </w:r>
      <w:r>
        <w:rPr>
          <w:rFonts w:cs="Times New Roman"/>
          <w:i/>
          <w:lang w:val="fr-CA"/>
        </w:rPr>
        <w:t>c</w:t>
      </w:r>
      <w:r w:rsidRPr="00060362">
        <w:rPr>
          <w:rFonts w:cs="Times New Roman"/>
          <w:i/>
          <w:lang w:val="fr-CA"/>
        </w:rPr>
        <w:t>. Tiger Calcium Services Inc.</w:t>
      </w:r>
      <w:r w:rsidRPr="00AA66EC">
        <w:rPr>
          <w:rFonts w:cs="Times New Roman"/>
          <w:lang w:val="fr-CA"/>
        </w:rPr>
        <w:t>,</w:t>
      </w:r>
      <w:r w:rsidRPr="00060362">
        <w:rPr>
          <w:rFonts w:cs="Times New Roman"/>
          <w:lang w:val="fr-CA"/>
        </w:rPr>
        <w:t xml:space="preserve"> 2017 ABCA 316, 58 Alta. L.R. (6th) 209, </w:t>
      </w:r>
      <w:r>
        <w:rPr>
          <w:rFonts w:cs="Times New Roman"/>
          <w:lang w:val="fr-CA"/>
        </w:rPr>
        <w:t>par. </w:t>
      </w:r>
      <w:r w:rsidRPr="00060362">
        <w:rPr>
          <w:rFonts w:cs="Times New Roman"/>
          <w:lang w:val="fr-CA"/>
        </w:rPr>
        <w:t>54</w:t>
      </w:r>
      <w:r>
        <w:rPr>
          <w:rFonts w:cs="Times New Roman"/>
          <w:lang w:val="fr-CA"/>
        </w:rPr>
        <w:noBreakHyphen/>
      </w:r>
      <w:r w:rsidRPr="00060362">
        <w:rPr>
          <w:rFonts w:cs="Times New Roman"/>
          <w:lang w:val="fr-CA"/>
        </w:rPr>
        <w:t xml:space="preserve">55; </w:t>
      </w:r>
      <w:r w:rsidRPr="00060362">
        <w:rPr>
          <w:rFonts w:cs="Times New Roman"/>
          <w:i/>
          <w:lang w:val="fr-CA"/>
        </w:rPr>
        <w:t>GEA Refrigeration</w:t>
      </w:r>
      <w:r w:rsidRPr="00060362">
        <w:rPr>
          <w:rFonts w:cs="Times New Roman"/>
          <w:lang w:val="fr-CA"/>
        </w:rPr>
        <w:t xml:space="preserve">, </w:t>
      </w:r>
      <w:r>
        <w:rPr>
          <w:rFonts w:cs="Times New Roman"/>
          <w:lang w:val="fr-CA"/>
        </w:rPr>
        <w:t>par. </w:t>
      </w:r>
      <w:r w:rsidRPr="00060362">
        <w:rPr>
          <w:rFonts w:cs="Times New Roman"/>
          <w:lang w:val="fr-CA"/>
        </w:rPr>
        <w:t xml:space="preserve">184). </w:t>
      </w:r>
      <w:r>
        <w:rPr>
          <w:rFonts w:cs="Times New Roman"/>
          <w:lang w:val="fr-CA"/>
        </w:rPr>
        <w:t xml:space="preserve">Pareillement, en l’espèce, il n’est pas dans l’intérêt de la justice de se pencher sur l’appel </w:t>
      </w:r>
      <w:r w:rsidRPr="005F63DA">
        <w:rPr>
          <w:rFonts w:cs="Times New Roman"/>
          <w:lang w:val="fr-CA"/>
        </w:rPr>
        <w:t>contre le jugement de 2018 sur l</w:t>
      </w:r>
      <w:r>
        <w:rPr>
          <w:rFonts w:cs="Times New Roman"/>
          <w:lang w:val="fr-CA"/>
        </w:rPr>
        <w:t>’</w:t>
      </w:r>
      <w:r w:rsidRPr="005F63DA">
        <w:rPr>
          <w:rFonts w:cs="Times New Roman"/>
          <w:lang w:val="fr-CA"/>
        </w:rPr>
        <w:t>interdiction de publication avant qu</w:t>
      </w:r>
      <w:r>
        <w:rPr>
          <w:rFonts w:cs="Times New Roman"/>
          <w:lang w:val="fr-CA"/>
        </w:rPr>
        <w:t>’</w:t>
      </w:r>
      <w:r w:rsidRPr="005F63DA">
        <w:rPr>
          <w:rFonts w:cs="Times New Roman"/>
          <w:lang w:val="fr-CA"/>
        </w:rPr>
        <w:t xml:space="preserve">il </w:t>
      </w:r>
      <w:r>
        <w:rPr>
          <w:rFonts w:cs="Times New Roman"/>
          <w:lang w:val="fr-CA"/>
        </w:rPr>
        <w:t xml:space="preserve">ne </w:t>
      </w:r>
      <w:r w:rsidRPr="005F63DA">
        <w:rPr>
          <w:rFonts w:cs="Times New Roman"/>
          <w:lang w:val="fr-CA"/>
        </w:rPr>
        <w:t>soit statué sur la motion de la SRC, vu que cet appel pourrait devenir théorique par suite de l</w:t>
      </w:r>
      <w:r>
        <w:rPr>
          <w:rFonts w:cs="Times New Roman"/>
          <w:lang w:val="fr-CA"/>
        </w:rPr>
        <w:t>’</w:t>
      </w:r>
      <w:r w:rsidRPr="005F63DA">
        <w:rPr>
          <w:rFonts w:cs="Times New Roman"/>
          <w:lang w:val="fr-CA"/>
        </w:rPr>
        <w:t xml:space="preserve">instance en question. En conséquence, nous ne sommes pas en position utile ou éclairée pour rejeter ou accueillir le second appel. </w:t>
      </w:r>
    </w:p>
    <w:p w:rsidR="009F09DA" w:rsidRPr="005F63DA" w:rsidRDefault="009F09DA" w:rsidP="009F09DA">
      <w:pPr>
        <w:pStyle w:val="ParaNoNdepar-AltN"/>
        <w:rPr>
          <w:rFonts w:cs="Times New Roman"/>
          <w:lang w:val="fr-CA"/>
        </w:rPr>
      </w:pPr>
      <w:r w:rsidRPr="005F63DA">
        <w:rPr>
          <w:lang w:val="fr-CA"/>
        </w:rPr>
        <w:t>Il ne serait pas approprié non plus de renvoyer</w:t>
      </w:r>
      <w:r>
        <w:rPr>
          <w:lang w:val="fr-CA"/>
        </w:rPr>
        <w:t xml:space="preserve"> cet appel </w:t>
      </w:r>
      <w:r w:rsidRPr="005F63DA">
        <w:rPr>
          <w:lang w:val="fr-CA"/>
        </w:rPr>
        <w:t>en totalité à la Cour d</w:t>
      </w:r>
      <w:r>
        <w:rPr>
          <w:lang w:val="fr-CA"/>
        </w:rPr>
        <w:t>’</w:t>
      </w:r>
      <w:r w:rsidRPr="005F63DA">
        <w:rPr>
          <w:lang w:val="fr-CA"/>
        </w:rPr>
        <w:t xml:space="preserve">appel. Contrairement au fait de renvoyer le jugement de 2019 </w:t>
      </w:r>
      <w:r w:rsidRPr="00C5565E">
        <w:rPr>
          <w:lang w:val="fr-CA"/>
        </w:rPr>
        <w:t>sur la compétence à la Cour d</w:t>
      </w:r>
      <w:r>
        <w:rPr>
          <w:lang w:val="fr-CA"/>
        </w:rPr>
        <w:t>’</w:t>
      </w:r>
      <w:r w:rsidRPr="00C5565E">
        <w:rPr>
          <w:lang w:val="fr-CA"/>
        </w:rPr>
        <w:t>appel pour qu</w:t>
      </w:r>
      <w:r>
        <w:rPr>
          <w:lang w:val="fr-CA"/>
        </w:rPr>
        <w:t>’</w:t>
      </w:r>
      <w:r w:rsidRPr="00C5565E">
        <w:rPr>
          <w:lang w:val="fr-CA"/>
        </w:rPr>
        <w:t>elle réexamine l</w:t>
      </w:r>
      <w:r>
        <w:rPr>
          <w:lang w:val="fr-CA"/>
        </w:rPr>
        <w:t>’</w:t>
      </w:r>
      <w:r w:rsidRPr="00C5565E">
        <w:rPr>
          <w:lang w:val="fr-CA"/>
        </w:rPr>
        <w:t>interdiction de publication à la suite des observations d</w:t>
      </w:r>
      <w:r>
        <w:rPr>
          <w:lang w:val="fr-CA"/>
        </w:rPr>
        <w:t>’</w:t>
      </w:r>
      <w:r w:rsidRPr="00C5565E">
        <w:rPr>
          <w:lang w:val="fr-CA"/>
        </w:rPr>
        <w:t xml:space="preserve">une </w:t>
      </w:r>
      <w:r w:rsidRPr="005F63DA">
        <w:rPr>
          <w:lang w:val="fr-CA"/>
        </w:rPr>
        <w:t>partie touchée qui n</w:t>
      </w:r>
      <w:r>
        <w:rPr>
          <w:lang w:val="fr-CA"/>
        </w:rPr>
        <w:t>’</w:t>
      </w:r>
      <w:r w:rsidRPr="005F63DA">
        <w:rPr>
          <w:lang w:val="fr-CA"/>
        </w:rPr>
        <w:t>en a pas été avisée — ce qui, je le répète, se distingue d</w:t>
      </w:r>
      <w:r>
        <w:rPr>
          <w:lang w:val="fr-CA"/>
        </w:rPr>
        <w:t>’</w:t>
      </w:r>
      <w:r w:rsidRPr="005F63DA">
        <w:rPr>
          <w:lang w:val="fr-CA"/>
        </w:rPr>
        <w:t>un appel —</w:t>
      </w:r>
      <w:r>
        <w:rPr>
          <w:lang w:val="fr-CA"/>
        </w:rPr>
        <w:t>,</w:t>
      </w:r>
      <w:r w:rsidRPr="005F63DA">
        <w:rPr>
          <w:lang w:val="fr-CA"/>
        </w:rPr>
        <w:t xml:space="preserve"> renvoyer le jugement de 2018 sur l</w:t>
      </w:r>
      <w:r>
        <w:rPr>
          <w:lang w:val="fr-CA"/>
        </w:rPr>
        <w:t>’</w:t>
      </w:r>
      <w:r w:rsidRPr="005F63DA">
        <w:rPr>
          <w:lang w:val="fr-CA"/>
        </w:rPr>
        <w:t>interdiction de publication à la Cour d</w:t>
      </w:r>
      <w:r>
        <w:rPr>
          <w:lang w:val="fr-CA"/>
        </w:rPr>
        <w:t>’</w:t>
      </w:r>
      <w:r w:rsidRPr="005F63DA">
        <w:rPr>
          <w:lang w:val="fr-CA"/>
        </w:rPr>
        <w:t>appel l</w:t>
      </w:r>
      <w:r>
        <w:rPr>
          <w:lang w:val="fr-CA"/>
        </w:rPr>
        <w:t>’</w:t>
      </w:r>
      <w:r w:rsidRPr="005F63DA">
        <w:rPr>
          <w:lang w:val="fr-CA"/>
        </w:rPr>
        <w:t>obligerait à siéger en appel de l</w:t>
      </w:r>
      <w:r>
        <w:rPr>
          <w:lang w:val="fr-CA"/>
        </w:rPr>
        <w:t>’</w:t>
      </w:r>
      <w:r w:rsidRPr="005F63DA">
        <w:rPr>
          <w:lang w:val="fr-CA"/>
        </w:rPr>
        <w:t>interdiction de publication qu</w:t>
      </w:r>
      <w:r>
        <w:rPr>
          <w:lang w:val="fr-CA"/>
        </w:rPr>
        <w:t>’</w:t>
      </w:r>
      <w:r w:rsidRPr="005F63DA">
        <w:rPr>
          <w:lang w:val="fr-CA"/>
        </w:rPr>
        <w:t>elle a elle</w:t>
      </w:r>
      <w:r>
        <w:rPr>
          <w:lang w:val="fr-CA"/>
        </w:rPr>
        <w:noBreakHyphen/>
        <w:t>même décrétée</w:t>
      </w:r>
      <w:r w:rsidRPr="005F63DA">
        <w:rPr>
          <w:lang w:val="fr-CA"/>
        </w:rPr>
        <w:t xml:space="preserve">. </w:t>
      </w:r>
    </w:p>
    <w:p w:rsidR="009F09DA" w:rsidRPr="00F15C8E" w:rsidRDefault="009F09DA" w:rsidP="009F09DA">
      <w:pPr>
        <w:pStyle w:val="ParaNoNdepar-AltN"/>
        <w:rPr>
          <w:rFonts w:cs="Times New Roman"/>
          <w:lang w:val="fr-CA"/>
        </w:rPr>
      </w:pPr>
      <w:r w:rsidRPr="005F63DA">
        <w:rPr>
          <w:rFonts w:cs="Times New Roman"/>
          <w:lang w:val="fr-CA"/>
        </w:rPr>
        <w:t>Il s</w:t>
      </w:r>
      <w:r>
        <w:rPr>
          <w:rFonts w:cs="Times New Roman"/>
          <w:lang w:val="fr-CA"/>
        </w:rPr>
        <w:t>’</w:t>
      </w:r>
      <w:r w:rsidRPr="005F63DA">
        <w:rPr>
          <w:rFonts w:cs="Times New Roman"/>
          <w:lang w:val="fr-CA"/>
        </w:rPr>
        <w:t>ensuit, dans les circonstances inhabituelles de la présente affaire, que le pourvoi contre le jugement de 2018 sur l</w:t>
      </w:r>
      <w:r>
        <w:rPr>
          <w:rFonts w:cs="Times New Roman"/>
          <w:lang w:val="fr-CA"/>
        </w:rPr>
        <w:t>’</w:t>
      </w:r>
      <w:r w:rsidRPr="005F63DA">
        <w:rPr>
          <w:rFonts w:cs="Times New Roman"/>
          <w:lang w:val="fr-CA"/>
        </w:rPr>
        <w:t xml:space="preserve">interdiction de publication doit être ajourné </w:t>
      </w:r>
      <w:r w:rsidRPr="005F63DA">
        <w:rPr>
          <w:rFonts w:cs="Times New Roman"/>
          <w:i/>
          <w:lang w:val="fr-CA"/>
        </w:rPr>
        <w:t>sine die</w:t>
      </w:r>
      <w:r w:rsidRPr="005F63DA">
        <w:rPr>
          <w:rFonts w:cs="Times New Roman"/>
          <w:lang w:val="fr-CA"/>
        </w:rPr>
        <w:t xml:space="preserve"> en attendant qu</w:t>
      </w:r>
      <w:r>
        <w:rPr>
          <w:rFonts w:cs="Times New Roman"/>
          <w:lang w:val="fr-CA"/>
        </w:rPr>
        <w:t>’</w:t>
      </w:r>
      <w:r w:rsidRPr="005F63DA">
        <w:rPr>
          <w:rFonts w:cs="Times New Roman"/>
          <w:lang w:val="fr-CA"/>
        </w:rPr>
        <w:t>il soit statué sur la motion en réexamen en Cour d</w:t>
      </w:r>
      <w:r>
        <w:rPr>
          <w:rFonts w:cs="Times New Roman"/>
          <w:lang w:val="fr-CA"/>
        </w:rPr>
        <w:t>’</w:t>
      </w:r>
      <w:r w:rsidRPr="005F63DA">
        <w:rPr>
          <w:rFonts w:cs="Times New Roman"/>
          <w:lang w:val="fr-CA"/>
        </w:rPr>
        <w:t xml:space="preserve">appel (voir, </w:t>
      </w:r>
      <w:r>
        <w:rPr>
          <w:rFonts w:cs="Times New Roman"/>
          <w:lang w:val="fr-CA"/>
        </w:rPr>
        <w:t>p. </w:t>
      </w:r>
      <w:r w:rsidRPr="005F63DA">
        <w:rPr>
          <w:rFonts w:cs="Times New Roman"/>
          <w:lang w:val="fr-CA"/>
        </w:rPr>
        <w:t xml:space="preserve">ex., </w:t>
      </w:r>
      <w:r w:rsidRPr="005F63DA">
        <w:rPr>
          <w:rFonts w:cs="Times New Roman"/>
          <w:i/>
          <w:lang w:val="fr-CA"/>
        </w:rPr>
        <w:t xml:space="preserve">Canadian Planning and Design Consultants Inc. c. </w:t>
      </w:r>
      <w:proofErr w:type="spellStart"/>
      <w:r w:rsidRPr="005F63DA">
        <w:rPr>
          <w:rFonts w:cs="Times New Roman"/>
          <w:i/>
          <w:lang w:val="fr-CA"/>
        </w:rPr>
        <w:t>Libya</w:t>
      </w:r>
      <w:proofErr w:type="spellEnd"/>
      <w:r w:rsidRPr="005F63DA">
        <w:rPr>
          <w:rFonts w:cs="Times New Roman"/>
          <w:i/>
          <w:lang w:val="fr-CA"/>
        </w:rPr>
        <w:t xml:space="preserve"> (State)</w:t>
      </w:r>
      <w:r w:rsidRPr="005F63DA">
        <w:rPr>
          <w:rFonts w:cs="Times New Roman"/>
          <w:lang w:val="fr-CA"/>
        </w:rPr>
        <w:t xml:space="preserve">, 2015 ONCA 661, 340 O.A.C. 98, </w:t>
      </w:r>
      <w:r>
        <w:rPr>
          <w:rFonts w:cs="Times New Roman"/>
          <w:lang w:val="fr-CA"/>
        </w:rPr>
        <w:t>par. </w:t>
      </w:r>
      <w:r w:rsidRPr="005F63DA">
        <w:rPr>
          <w:lang w:val="fr-CA"/>
        </w:rPr>
        <w:t>61)</w:t>
      </w:r>
      <w:r w:rsidRPr="005F63DA">
        <w:rPr>
          <w:rFonts w:cs="Times New Roman"/>
          <w:lang w:val="fr-CA"/>
        </w:rPr>
        <w:t>.</w:t>
      </w:r>
      <w:r>
        <w:rPr>
          <w:rFonts w:cs="Times New Roman"/>
          <w:lang w:val="fr-CA"/>
        </w:rPr>
        <w:t xml:space="preserve"> Je signale que</w:t>
      </w:r>
      <w:r w:rsidRPr="005F63DA">
        <w:rPr>
          <w:rFonts w:cs="Times New Roman"/>
          <w:lang w:val="fr-CA"/>
        </w:rPr>
        <w:t xml:space="preserve"> si la Cour d</w:t>
      </w:r>
      <w:r>
        <w:rPr>
          <w:rFonts w:cs="Times New Roman"/>
          <w:lang w:val="fr-CA"/>
        </w:rPr>
        <w:t>’</w:t>
      </w:r>
      <w:r w:rsidRPr="005F63DA">
        <w:rPr>
          <w:rFonts w:cs="Times New Roman"/>
          <w:lang w:val="fr-CA"/>
        </w:rPr>
        <w:t xml:space="preserve">appel se penche </w:t>
      </w:r>
      <w:r w:rsidRPr="00F15C8E">
        <w:rPr>
          <w:rFonts w:cs="Times New Roman"/>
          <w:lang w:val="fr-CA"/>
        </w:rPr>
        <w:t>sur le bien</w:t>
      </w:r>
      <w:r>
        <w:rPr>
          <w:rFonts w:cs="Times New Roman"/>
          <w:lang w:val="fr-CA"/>
        </w:rPr>
        <w:noBreakHyphen/>
      </w:r>
      <w:r w:rsidRPr="00F15C8E">
        <w:rPr>
          <w:rFonts w:cs="Times New Roman"/>
          <w:lang w:val="fr-CA"/>
        </w:rPr>
        <w:t>fondé de l</w:t>
      </w:r>
      <w:r>
        <w:rPr>
          <w:rFonts w:cs="Times New Roman"/>
          <w:lang w:val="fr-CA"/>
        </w:rPr>
        <w:t>’</w:t>
      </w:r>
      <w:r w:rsidRPr="00F15C8E">
        <w:rPr>
          <w:rFonts w:cs="Times New Roman"/>
          <w:lang w:val="fr-CA"/>
        </w:rPr>
        <w:t xml:space="preserve">interdiction de </w:t>
      </w:r>
      <w:r w:rsidRPr="00F15C8E">
        <w:rPr>
          <w:lang w:val="fr-CA"/>
        </w:rPr>
        <w:t xml:space="preserve">publication et le pourvoi contre le jugement </w:t>
      </w:r>
      <w:r>
        <w:rPr>
          <w:lang w:val="fr-CA"/>
        </w:rPr>
        <w:t xml:space="preserve">de 2018 </w:t>
      </w:r>
      <w:r w:rsidRPr="00F15C8E">
        <w:rPr>
          <w:lang w:val="fr-CA"/>
        </w:rPr>
        <w:t xml:space="preserve">sur cette interdiction est ensuite rouvert, notre Cour disposera alors de ces motifs, et elle en prendra connaissance au moment de statuer sur ce pourvoi. </w:t>
      </w:r>
    </w:p>
    <w:p w:rsidR="009F09DA" w:rsidRPr="005F63DA" w:rsidRDefault="009F09DA" w:rsidP="009F09DA">
      <w:pPr>
        <w:pStyle w:val="ParaNoNdepar-AltN"/>
        <w:rPr>
          <w:lang w:val="fr-CA"/>
        </w:rPr>
      </w:pPr>
      <w:r>
        <w:rPr>
          <w:lang w:val="fr-CA"/>
        </w:rPr>
        <w:t>N</w:t>
      </w:r>
      <w:r w:rsidRPr="00FA0CE5">
        <w:rPr>
          <w:lang w:val="fr-CA"/>
        </w:rPr>
        <w:t>otre Cour a</w:t>
      </w:r>
      <w:r>
        <w:rPr>
          <w:lang w:val="fr-CA"/>
        </w:rPr>
        <w:t xml:space="preserve"> donc</w:t>
      </w:r>
      <w:r w:rsidRPr="00FA0CE5">
        <w:rPr>
          <w:lang w:val="fr-CA"/>
        </w:rPr>
        <w:t xml:space="preserve"> entendu des pourvois à la fois directement à l</w:t>
      </w:r>
      <w:r>
        <w:rPr>
          <w:lang w:val="fr-CA"/>
        </w:rPr>
        <w:t>’</w:t>
      </w:r>
      <w:r w:rsidRPr="00FA0CE5">
        <w:rPr>
          <w:lang w:val="fr-CA"/>
        </w:rPr>
        <w:t>encontre d</w:t>
      </w:r>
      <w:r>
        <w:rPr>
          <w:lang w:val="fr-CA"/>
        </w:rPr>
        <w:t>’</w:t>
      </w:r>
      <w:r w:rsidRPr="00FA0CE5">
        <w:rPr>
          <w:lang w:val="fr-CA"/>
        </w:rPr>
        <w:t>un jugement et, parallèlement, contre le</w:t>
      </w:r>
      <w:r>
        <w:rPr>
          <w:lang w:val="fr-CA"/>
        </w:rPr>
        <w:t xml:space="preserve"> refus de réexaminer ce </w:t>
      </w:r>
      <w:r w:rsidRPr="00FA0CE5">
        <w:rPr>
          <w:lang w:val="fr-CA"/>
        </w:rPr>
        <w:t>même jugement. L</w:t>
      </w:r>
      <w:r>
        <w:rPr>
          <w:lang w:val="fr-CA"/>
        </w:rPr>
        <w:t>’</w:t>
      </w:r>
      <w:r w:rsidRPr="00FA0CE5">
        <w:rPr>
          <w:lang w:val="fr-CA"/>
        </w:rPr>
        <w:t>autorisation d</w:t>
      </w:r>
      <w:r>
        <w:rPr>
          <w:lang w:val="fr-CA"/>
        </w:rPr>
        <w:t>’</w:t>
      </w:r>
      <w:r w:rsidRPr="00FA0CE5">
        <w:rPr>
          <w:lang w:val="fr-CA"/>
        </w:rPr>
        <w:t>appel a été accordée à l</w:t>
      </w:r>
      <w:r>
        <w:rPr>
          <w:lang w:val="fr-CA"/>
        </w:rPr>
        <w:t>’</w:t>
      </w:r>
      <w:r w:rsidRPr="00FA0CE5">
        <w:rPr>
          <w:lang w:val="fr-CA"/>
        </w:rPr>
        <w:t>égard des deux jugements en l</w:t>
      </w:r>
      <w:r>
        <w:rPr>
          <w:lang w:val="fr-CA"/>
        </w:rPr>
        <w:t>’</w:t>
      </w:r>
      <w:r w:rsidRPr="00FA0CE5">
        <w:rPr>
          <w:lang w:val="fr-CA"/>
        </w:rPr>
        <w:t>espèce, un fait à l</w:t>
      </w:r>
      <w:r>
        <w:rPr>
          <w:lang w:val="fr-CA"/>
        </w:rPr>
        <w:t>’</w:t>
      </w:r>
      <w:r w:rsidRPr="00FA0CE5">
        <w:rPr>
          <w:lang w:val="fr-CA"/>
        </w:rPr>
        <w:t>origine de la complication procédurale, mais cette complication n</w:t>
      </w:r>
      <w:r>
        <w:rPr>
          <w:lang w:val="fr-CA"/>
        </w:rPr>
        <w:t>’</w:t>
      </w:r>
      <w:r w:rsidRPr="00FA0CE5">
        <w:rPr>
          <w:lang w:val="fr-CA"/>
        </w:rPr>
        <w:t>est pas insurmontable. Les cours d</w:t>
      </w:r>
      <w:r>
        <w:rPr>
          <w:lang w:val="fr-CA"/>
        </w:rPr>
        <w:t>’</w:t>
      </w:r>
      <w:r w:rsidRPr="00FA0CE5">
        <w:rPr>
          <w:lang w:val="fr-CA"/>
        </w:rPr>
        <w:t>appel ont utilisé l</w:t>
      </w:r>
      <w:r>
        <w:rPr>
          <w:lang w:val="fr-CA"/>
        </w:rPr>
        <w:t>’</w:t>
      </w:r>
      <w:r w:rsidRPr="00FA0CE5">
        <w:rPr>
          <w:lang w:val="fr-CA"/>
        </w:rPr>
        <w:t xml:space="preserve">ajournement </w:t>
      </w:r>
      <w:r w:rsidRPr="00254FEE">
        <w:rPr>
          <w:i/>
          <w:lang w:val="fr-CA"/>
        </w:rPr>
        <w:t xml:space="preserve">sine die </w:t>
      </w:r>
      <w:r w:rsidRPr="00254FEE">
        <w:rPr>
          <w:lang w:val="fr-CA"/>
        </w:rPr>
        <w:t>pour traiter des appels jugés prématurés à la suite de l</w:t>
      </w:r>
      <w:r>
        <w:rPr>
          <w:lang w:val="fr-CA"/>
        </w:rPr>
        <w:t>’</w:t>
      </w:r>
      <w:r w:rsidRPr="00254FEE">
        <w:rPr>
          <w:lang w:val="fr-CA"/>
        </w:rPr>
        <w:t>instance en cours devant la juridiction inférieure qui devrait être menée à terme avant l</w:t>
      </w:r>
      <w:r>
        <w:rPr>
          <w:lang w:val="fr-CA"/>
        </w:rPr>
        <w:t>’</w:t>
      </w:r>
      <w:r w:rsidRPr="00254FEE">
        <w:rPr>
          <w:lang w:val="fr-CA"/>
        </w:rPr>
        <w:t>audition de l</w:t>
      </w:r>
      <w:r>
        <w:rPr>
          <w:lang w:val="fr-CA"/>
        </w:rPr>
        <w:t>’</w:t>
      </w:r>
      <w:r w:rsidRPr="00254FEE">
        <w:rPr>
          <w:lang w:val="fr-CA"/>
        </w:rPr>
        <w:t>appel (</w:t>
      </w:r>
      <w:proofErr w:type="spellStart"/>
      <w:r w:rsidRPr="00254FEE">
        <w:rPr>
          <w:i/>
          <w:lang w:val="fr-CA"/>
        </w:rPr>
        <w:t>Libya</w:t>
      </w:r>
      <w:proofErr w:type="spellEnd"/>
      <w:r w:rsidRPr="00254FEE">
        <w:rPr>
          <w:lang w:val="fr-CA"/>
        </w:rPr>
        <w:t xml:space="preserve">, </w:t>
      </w:r>
      <w:r>
        <w:rPr>
          <w:lang w:val="fr-CA"/>
        </w:rPr>
        <w:t>par. </w:t>
      </w:r>
      <w:r w:rsidRPr="00254FEE">
        <w:rPr>
          <w:lang w:val="fr-CA"/>
        </w:rPr>
        <w:t xml:space="preserve">83; </w:t>
      </w:r>
      <w:r w:rsidRPr="00254FEE">
        <w:rPr>
          <w:i/>
          <w:lang w:val="fr-CA"/>
        </w:rPr>
        <w:t>Gray c. Gray</w:t>
      </w:r>
      <w:r w:rsidRPr="00254FEE">
        <w:rPr>
          <w:lang w:val="fr-CA"/>
        </w:rPr>
        <w:t xml:space="preserve">, 2017 ONCA </w:t>
      </w:r>
      <w:r w:rsidRPr="005F63DA">
        <w:rPr>
          <w:lang w:val="fr-CA"/>
        </w:rPr>
        <w:t xml:space="preserve">100, 137 O.R. (3d) 65, </w:t>
      </w:r>
      <w:r>
        <w:rPr>
          <w:lang w:val="fr-CA"/>
        </w:rPr>
        <w:t>par. </w:t>
      </w:r>
      <w:r w:rsidRPr="005F63DA">
        <w:rPr>
          <w:lang w:val="fr-CA"/>
        </w:rPr>
        <w:t xml:space="preserve">33; </w:t>
      </w:r>
      <w:r w:rsidRPr="005F63DA">
        <w:rPr>
          <w:i/>
          <w:lang w:val="fr-CA"/>
        </w:rPr>
        <w:t xml:space="preserve">MK Engineering Inc. c. Assn. of Professional Engineers and </w:t>
      </w:r>
      <w:proofErr w:type="spellStart"/>
      <w:r w:rsidRPr="005F63DA">
        <w:rPr>
          <w:i/>
          <w:lang w:val="fr-CA"/>
        </w:rPr>
        <w:t>Geoscientists</w:t>
      </w:r>
      <w:proofErr w:type="spellEnd"/>
      <w:r w:rsidRPr="005F63DA">
        <w:rPr>
          <w:i/>
          <w:lang w:val="fr-CA"/>
        </w:rPr>
        <w:t xml:space="preserve"> of Alberta Appeal Board</w:t>
      </w:r>
      <w:r w:rsidRPr="002E558A">
        <w:rPr>
          <w:lang w:val="fr-CA"/>
        </w:rPr>
        <w:t>,</w:t>
      </w:r>
      <w:r w:rsidRPr="005F63DA">
        <w:rPr>
          <w:lang w:val="fr-CA"/>
        </w:rPr>
        <w:t xml:space="preserve"> 2014 ABCA 58, 68 Admin. </w:t>
      </w:r>
      <w:r w:rsidRPr="005F63DA">
        <w:rPr>
          <w:lang w:val="en-US"/>
        </w:rPr>
        <w:t xml:space="preserve">L.R. (5th) 135, </w:t>
      </w:r>
      <w:r>
        <w:rPr>
          <w:lang w:val="en-US"/>
        </w:rPr>
        <w:t>par. </w:t>
      </w:r>
      <w:r w:rsidRPr="005F63DA">
        <w:rPr>
          <w:lang w:val="en-US"/>
        </w:rPr>
        <w:t xml:space="preserve">22; </w:t>
      </w:r>
      <w:proofErr w:type="spellStart"/>
      <w:r w:rsidRPr="005F63DA">
        <w:rPr>
          <w:i/>
          <w:lang w:val="en-US"/>
        </w:rPr>
        <w:t>Aleong</w:t>
      </w:r>
      <w:proofErr w:type="spellEnd"/>
      <w:r w:rsidRPr="005F63DA">
        <w:rPr>
          <w:i/>
          <w:lang w:val="en-US"/>
        </w:rPr>
        <w:t xml:space="preserve"> c. </w:t>
      </w:r>
      <w:proofErr w:type="spellStart"/>
      <w:r w:rsidRPr="005F63DA">
        <w:rPr>
          <w:i/>
          <w:lang w:val="en-US"/>
        </w:rPr>
        <w:t>Aleong</w:t>
      </w:r>
      <w:proofErr w:type="spellEnd"/>
      <w:r w:rsidRPr="005F63DA">
        <w:rPr>
          <w:lang w:val="en-US"/>
        </w:rPr>
        <w:t xml:space="preserve">, 2013 BCCA 299, 340 B.C.A.C. 44, </w:t>
      </w:r>
      <w:r>
        <w:rPr>
          <w:lang w:val="en-US"/>
        </w:rPr>
        <w:t>par. </w:t>
      </w:r>
      <w:r w:rsidRPr="005F63DA">
        <w:rPr>
          <w:lang w:val="en-US"/>
        </w:rPr>
        <w:t xml:space="preserve">47). </w:t>
      </w:r>
      <w:r w:rsidRPr="005F63DA">
        <w:rPr>
          <w:lang w:val="fr-CA"/>
        </w:rPr>
        <w:t>C</w:t>
      </w:r>
      <w:r>
        <w:rPr>
          <w:lang w:val="fr-CA"/>
        </w:rPr>
        <w:t>’</w:t>
      </w:r>
      <w:r w:rsidRPr="005F63DA">
        <w:rPr>
          <w:lang w:val="fr-CA"/>
        </w:rPr>
        <w:t>est plus qu</w:t>
      </w:r>
      <w:r>
        <w:rPr>
          <w:lang w:val="fr-CA"/>
        </w:rPr>
        <w:t>’</w:t>
      </w:r>
      <w:r w:rsidRPr="005F63DA">
        <w:rPr>
          <w:lang w:val="fr-CA"/>
        </w:rPr>
        <w:t>une préoccupation d</w:t>
      </w:r>
      <w:r>
        <w:rPr>
          <w:lang w:val="fr-CA"/>
        </w:rPr>
        <w:t>’</w:t>
      </w:r>
      <w:r w:rsidRPr="005F63DA">
        <w:rPr>
          <w:lang w:val="fr-CA"/>
        </w:rPr>
        <w:t>ordre procédural en l</w:t>
      </w:r>
      <w:r>
        <w:rPr>
          <w:lang w:val="fr-CA"/>
        </w:rPr>
        <w:t>’</w:t>
      </w:r>
      <w:r w:rsidRPr="005F63DA">
        <w:rPr>
          <w:lang w:val="fr-CA"/>
        </w:rPr>
        <w:t>espèce</w:t>
      </w:r>
      <w:r>
        <w:rPr>
          <w:lang w:val="fr-CA"/>
        </w:rPr>
        <w:t> :</w:t>
      </w:r>
      <w:r w:rsidRPr="005F63DA">
        <w:rPr>
          <w:lang w:val="fr-CA"/>
        </w:rPr>
        <w:t xml:space="preserve"> avec égards pour l</w:t>
      </w:r>
      <w:r>
        <w:rPr>
          <w:lang w:val="fr-CA"/>
        </w:rPr>
        <w:t>’</w:t>
      </w:r>
      <w:r w:rsidRPr="005F63DA">
        <w:rPr>
          <w:lang w:val="fr-CA"/>
        </w:rPr>
        <w:t>avis contraire, j</w:t>
      </w:r>
      <w:r>
        <w:rPr>
          <w:lang w:val="fr-CA"/>
        </w:rPr>
        <w:t>’</w:t>
      </w:r>
      <w:r w:rsidRPr="005F63DA">
        <w:rPr>
          <w:lang w:val="fr-CA"/>
        </w:rPr>
        <w:t>estime que nous ne pouvons rejeter le second pourvoi sans confondre les questions en jeu dans le réexamen du jugement de 2019 sur la compétence et celles en jeu dans un appel formé directement contre le jugement de 2018 sur l</w:t>
      </w:r>
      <w:r>
        <w:rPr>
          <w:lang w:val="fr-CA"/>
        </w:rPr>
        <w:t>’</w:t>
      </w:r>
      <w:r w:rsidRPr="005F63DA">
        <w:rPr>
          <w:lang w:val="fr-CA"/>
        </w:rPr>
        <w:t>interdiction de publication.</w:t>
      </w:r>
    </w:p>
    <w:p w:rsidR="009F09DA" w:rsidRPr="00C5565E" w:rsidRDefault="009F09DA" w:rsidP="009F09DA">
      <w:pPr>
        <w:pStyle w:val="ParaNoNdepar-AltN"/>
        <w:rPr>
          <w:lang w:val="fr-CA"/>
        </w:rPr>
      </w:pPr>
      <w:r w:rsidRPr="00C5565E">
        <w:rPr>
          <w:lang w:val="fr-CA"/>
        </w:rPr>
        <w:t>Enfin, même s</w:t>
      </w:r>
      <w:r>
        <w:rPr>
          <w:lang w:val="fr-CA"/>
        </w:rPr>
        <w:t>’</w:t>
      </w:r>
      <w:r w:rsidRPr="00C5565E">
        <w:rPr>
          <w:lang w:val="fr-CA"/>
        </w:rPr>
        <w:t>il était indiqué pour notre Cour de décider du caractère raisonnable du temps qu</w:t>
      </w:r>
      <w:r>
        <w:rPr>
          <w:lang w:val="fr-CA"/>
        </w:rPr>
        <w:t>’</w:t>
      </w:r>
      <w:r w:rsidRPr="00C5565E">
        <w:rPr>
          <w:lang w:val="fr-CA"/>
        </w:rPr>
        <w:t>a pris la SRC à déposer sa motion, et même si elle estimait qu</w:t>
      </w:r>
      <w:r>
        <w:rPr>
          <w:lang w:val="fr-CA"/>
        </w:rPr>
        <w:t>’</w:t>
      </w:r>
      <w:r w:rsidRPr="00C5565E">
        <w:rPr>
          <w:lang w:val="fr-CA"/>
        </w:rPr>
        <w:t>il y avait lieu de rejeter la motion pour ce motif, cette conclusion ne suffirait pas à elle seule pour rejeter l</w:t>
      </w:r>
      <w:r>
        <w:rPr>
          <w:lang w:val="fr-CA"/>
        </w:rPr>
        <w:t>’</w:t>
      </w:r>
      <w:r w:rsidRPr="00C5565E">
        <w:rPr>
          <w:lang w:val="fr-CA"/>
        </w:rPr>
        <w:t xml:space="preserve">appel formé </w:t>
      </w:r>
      <w:r w:rsidRPr="005F63DA">
        <w:rPr>
          <w:lang w:val="fr-CA"/>
        </w:rPr>
        <w:t>directement contre le jugement de 2018 sur l</w:t>
      </w:r>
      <w:r>
        <w:rPr>
          <w:lang w:val="fr-CA"/>
        </w:rPr>
        <w:t>’</w:t>
      </w:r>
      <w:r w:rsidRPr="005F63DA">
        <w:rPr>
          <w:lang w:val="fr-CA"/>
        </w:rPr>
        <w:t>interdiction de publication. Notre Cour a accordé l</w:t>
      </w:r>
      <w:r>
        <w:rPr>
          <w:lang w:val="fr-CA"/>
        </w:rPr>
        <w:t>’</w:t>
      </w:r>
      <w:r w:rsidRPr="005F63DA">
        <w:rPr>
          <w:lang w:val="fr-CA"/>
        </w:rPr>
        <w:t>autorisation d</w:t>
      </w:r>
      <w:r>
        <w:rPr>
          <w:lang w:val="fr-CA"/>
        </w:rPr>
        <w:t>’</w:t>
      </w:r>
      <w:r w:rsidRPr="005F63DA">
        <w:rPr>
          <w:lang w:val="fr-CA"/>
        </w:rPr>
        <w:t>appel, de même qu</w:t>
      </w:r>
      <w:r>
        <w:rPr>
          <w:lang w:val="fr-CA"/>
        </w:rPr>
        <w:t>’</w:t>
      </w:r>
      <w:r w:rsidRPr="005F63DA">
        <w:rPr>
          <w:lang w:val="fr-CA"/>
        </w:rPr>
        <w:t>une prorogation du délai pour solliciter l</w:t>
      </w:r>
      <w:r>
        <w:rPr>
          <w:lang w:val="fr-CA"/>
        </w:rPr>
        <w:t>’</w:t>
      </w:r>
      <w:r w:rsidRPr="005F63DA">
        <w:rPr>
          <w:lang w:val="fr-CA"/>
        </w:rPr>
        <w:t>autorisation d</w:t>
      </w:r>
      <w:r>
        <w:rPr>
          <w:lang w:val="fr-CA"/>
        </w:rPr>
        <w:t>’</w:t>
      </w:r>
      <w:r w:rsidRPr="005F63DA">
        <w:rPr>
          <w:lang w:val="fr-CA"/>
        </w:rPr>
        <w:t>appel, directement contre ce jugement distinct. Soit dit respectueusement, il serait inopportun d</w:t>
      </w:r>
      <w:r>
        <w:rPr>
          <w:lang w:val="fr-CA"/>
        </w:rPr>
        <w:t>’</w:t>
      </w:r>
      <w:r w:rsidRPr="005F63DA">
        <w:rPr>
          <w:lang w:val="fr-CA"/>
        </w:rPr>
        <w:t>infirmer dans les faits ces décisions ou d</w:t>
      </w:r>
      <w:r>
        <w:rPr>
          <w:lang w:val="fr-CA"/>
        </w:rPr>
        <w:t>’</w:t>
      </w:r>
      <w:r w:rsidRPr="005F63DA">
        <w:rPr>
          <w:lang w:val="fr-CA"/>
        </w:rPr>
        <w:t>en limiter rétroactivement la portée. Si notre Cour ne cherchait qu</w:t>
      </w:r>
      <w:r>
        <w:rPr>
          <w:lang w:val="fr-CA"/>
        </w:rPr>
        <w:t>’</w:t>
      </w:r>
      <w:r w:rsidRPr="005F63DA">
        <w:rPr>
          <w:lang w:val="fr-CA"/>
        </w:rPr>
        <w:t>à statuer sur les questions de réexamen soulevées dans l</w:t>
      </w:r>
      <w:r>
        <w:rPr>
          <w:lang w:val="fr-CA"/>
        </w:rPr>
        <w:t>’</w:t>
      </w:r>
      <w:r w:rsidRPr="005F63DA">
        <w:rPr>
          <w:lang w:val="fr-CA"/>
        </w:rPr>
        <w:t xml:space="preserve">appel du jugement de 2019 </w:t>
      </w:r>
      <w:r w:rsidRPr="00C5565E">
        <w:rPr>
          <w:lang w:val="fr-CA"/>
        </w:rPr>
        <w:t>sur la compétence, j</w:t>
      </w:r>
      <w:r>
        <w:rPr>
          <w:lang w:val="fr-CA"/>
        </w:rPr>
        <w:t>’</w:t>
      </w:r>
      <w:r w:rsidRPr="00C5565E">
        <w:rPr>
          <w:lang w:val="fr-CA"/>
        </w:rPr>
        <w:t>estime qu</w:t>
      </w:r>
      <w:r>
        <w:rPr>
          <w:lang w:val="fr-CA"/>
        </w:rPr>
        <w:t>’</w:t>
      </w:r>
      <w:r w:rsidRPr="00C5565E">
        <w:rPr>
          <w:lang w:val="fr-CA"/>
        </w:rPr>
        <w:t>elle aurait accordé l</w:t>
      </w:r>
      <w:r>
        <w:rPr>
          <w:lang w:val="fr-CA"/>
        </w:rPr>
        <w:t>’</w:t>
      </w:r>
      <w:r w:rsidRPr="00C5565E">
        <w:rPr>
          <w:lang w:val="fr-CA"/>
        </w:rPr>
        <w:t>autorisation d</w:t>
      </w:r>
      <w:r>
        <w:rPr>
          <w:lang w:val="fr-CA"/>
        </w:rPr>
        <w:t>’</w:t>
      </w:r>
      <w:r w:rsidRPr="00C5565E">
        <w:rPr>
          <w:lang w:val="fr-CA"/>
        </w:rPr>
        <w:t>appel uniquement à l</w:t>
      </w:r>
      <w:r>
        <w:rPr>
          <w:lang w:val="fr-CA"/>
        </w:rPr>
        <w:t>’</w:t>
      </w:r>
      <w:r w:rsidRPr="00C5565E">
        <w:rPr>
          <w:lang w:val="fr-CA"/>
        </w:rPr>
        <w:t>encontre de ce jugement. Or, elle a accordé l</w:t>
      </w:r>
      <w:r>
        <w:rPr>
          <w:lang w:val="fr-CA"/>
        </w:rPr>
        <w:t>’</w:t>
      </w:r>
      <w:r w:rsidRPr="00C5565E">
        <w:rPr>
          <w:lang w:val="fr-CA"/>
        </w:rPr>
        <w:t>autorisation d</w:t>
      </w:r>
      <w:r>
        <w:rPr>
          <w:lang w:val="fr-CA"/>
        </w:rPr>
        <w:t>’</w:t>
      </w:r>
      <w:r w:rsidRPr="00C5565E">
        <w:rPr>
          <w:lang w:val="fr-CA"/>
        </w:rPr>
        <w:t>appel à l</w:t>
      </w:r>
      <w:r>
        <w:rPr>
          <w:lang w:val="fr-CA"/>
        </w:rPr>
        <w:t>’</w:t>
      </w:r>
      <w:r w:rsidRPr="00C5565E">
        <w:rPr>
          <w:lang w:val="fr-CA"/>
        </w:rPr>
        <w:t xml:space="preserve">égard des deux jugements. </w:t>
      </w:r>
    </w:p>
    <w:p w:rsidR="009F09DA" w:rsidRPr="005F63DA" w:rsidRDefault="009F09DA" w:rsidP="009F09DA">
      <w:pPr>
        <w:pStyle w:val="ParaNoNdepar-AltN"/>
        <w:rPr>
          <w:rFonts w:cs="Times New Roman"/>
          <w:lang w:val="fr-CA"/>
        </w:rPr>
      </w:pPr>
      <w:r w:rsidRPr="00871E83">
        <w:rPr>
          <w:rFonts w:cs="Times New Roman"/>
          <w:lang w:val="fr-CA"/>
        </w:rPr>
        <w:t>La SRC n</w:t>
      </w:r>
      <w:r>
        <w:rPr>
          <w:rFonts w:cs="Times New Roman"/>
          <w:lang w:val="fr-CA"/>
        </w:rPr>
        <w:t>’</w:t>
      </w:r>
      <w:r w:rsidRPr="00871E83">
        <w:rPr>
          <w:rFonts w:cs="Times New Roman"/>
          <w:lang w:val="fr-CA"/>
        </w:rPr>
        <w:t xml:space="preserve">a pas </w:t>
      </w:r>
      <w:r w:rsidRPr="005F63DA">
        <w:rPr>
          <w:rFonts w:cs="Times New Roman"/>
          <w:lang w:val="fr-CA"/>
        </w:rPr>
        <w:t>acquiescé au jugement de 2018 sur l</w:t>
      </w:r>
      <w:r>
        <w:rPr>
          <w:rFonts w:cs="Times New Roman"/>
          <w:lang w:val="fr-CA"/>
        </w:rPr>
        <w:t>’</w:t>
      </w:r>
      <w:r w:rsidRPr="005F63DA">
        <w:rPr>
          <w:rFonts w:cs="Times New Roman"/>
          <w:lang w:val="fr-CA"/>
        </w:rPr>
        <w:t>interdiction de publication dont elle interjette appel directement à notre Cour et, malgré tout le respect que je dois à d</w:t>
      </w:r>
      <w:r>
        <w:rPr>
          <w:rFonts w:cs="Times New Roman"/>
          <w:lang w:val="fr-CA"/>
        </w:rPr>
        <w:t>’</w:t>
      </w:r>
      <w:r w:rsidRPr="005F63DA">
        <w:rPr>
          <w:rFonts w:cs="Times New Roman"/>
          <w:lang w:val="fr-CA"/>
        </w:rPr>
        <w:t>autres points de vue, ce second appel n</w:t>
      </w:r>
      <w:r>
        <w:rPr>
          <w:rFonts w:cs="Times New Roman"/>
          <w:lang w:val="fr-CA"/>
        </w:rPr>
        <w:t>’</w:t>
      </w:r>
      <w:r w:rsidRPr="005F63DA">
        <w:rPr>
          <w:rFonts w:cs="Times New Roman"/>
          <w:lang w:val="fr-CA"/>
        </w:rPr>
        <w:t>a pas « perdu sa raison d</w:t>
      </w:r>
      <w:r>
        <w:rPr>
          <w:rFonts w:cs="Times New Roman"/>
          <w:lang w:val="fr-CA"/>
        </w:rPr>
        <w:t>’</w:t>
      </w:r>
      <w:r w:rsidRPr="005F63DA">
        <w:rPr>
          <w:rFonts w:cs="Times New Roman"/>
          <w:lang w:val="fr-CA"/>
        </w:rPr>
        <w:t>être » (</w:t>
      </w:r>
      <w:r w:rsidRPr="005F63DA">
        <w:rPr>
          <w:rFonts w:cs="Times New Roman"/>
          <w:i/>
          <w:lang w:val="fr-CA"/>
        </w:rPr>
        <w:t>Canadian Cablesystems (Ontario) Ltd. c. Association des consommateurs du Canada</w:t>
      </w:r>
      <w:r w:rsidRPr="005F63DA">
        <w:rPr>
          <w:rFonts w:cs="Times New Roman"/>
          <w:lang w:val="fr-CA"/>
        </w:rPr>
        <w:t xml:space="preserve">, [1977] 2 R.C.S. 740, </w:t>
      </w:r>
      <w:r>
        <w:rPr>
          <w:rFonts w:cs="Times New Roman"/>
          <w:lang w:val="fr-CA"/>
        </w:rPr>
        <w:t>p. </w:t>
      </w:r>
      <w:r w:rsidRPr="005F63DA">
        <w:rPr>
          <w:rFonts w:cs="Times New Roman"/>
          <w:lang w:val="fr-CA"/>
        </w:rPr>
        <w:t>744 et 747). La question que cet appel soulève est de savoir s</w:t>
      </w:r>
      <w:r>
        <w:rPr>
          <w:rFonts w:cs="Times New Roman"/>
          <w:lang w:val="fr-CA"/>
        </w:rPr>
        <w:t>’</w:t>
      </w:r>
      <w:r w:rsidRPr="005F63DA">
        <w:rPr>
          <w:rFonts w:cs="Times New Roman"/>
          <w:lang w:val="fr-CA"/>
        </w:rPr>
        <w:t>il y a lieu d</w:t>
      </w:r>
      <w:r>
        <w:rPr>
          <w:rFonts w:cs="Times New Roman"/>
          <w:lang w:val="fr-CA"/>
        </w:rPr>
        <w:t>’</w:t>
      </w:r>
      <w:r w:rsidRPr="005F63DA">
        <w:rPr>
          <w:rFonts w:cs="Times New Roman"/>
          <w:lang w:val="fr-CA"/>
        </w:rPr>
        <w:t>annuler l</w:t>
      </w:r>
      <w:r>
        <w:rPr>
          <w:rFonts w:cs="Times New Roman"/>
          <w:lang w:val="fr-CA"/>
        </w:rPr>
        <w:t>’</w:t>
      </w:r>
      <w:r w:rsidRPr="005F63DA">
        <w:rPr>
          <w:rFonts w:cs="Times New Roman"/>
          <w:lang w:val="fr-CA"/>
        </w:rPr>
        <w:t>interdiction de publication, un enjeu qui divise encore les parties et qui se distingue du caractère opportun du réexamen évoqué dans l</w:t>
      </w:r>
      <w:r>
        <w:rPr>
          <w:rFonts w:cs="Times New Roman"/>
          <w:lang w:val="fr-CA"/>
        </w:rPr>
        <w:t>’</w:t>
      </w:r>
      <w:r w:rsidRPr="005F63DA">
        <w:rPr>
          <w:rFonts w:cs="Times New Roman"/>
          <w:lang w:val="fr-CA"/>
        </w:rPr>
        <w:t>appel du jugement de 2019 sur la compétence. Il n</w:t>
      </w:r>
      <w:r>
        <w:rPr>
          <w:rFonts w:cs="Times New Roman"/>
          <w:lang w:val="fr-CA"/>
        </w:rPr>
        <w:t>’</w:t>
      </w:r>
      <w:r w:rsidRPr="005F63DA">
        <w:rPr>
          <w:rFonts w:cs="Times New Roman"/>
          <w:lang w:val="fr-CA"/>
        </w:rPr>
        <w:t>y a aucune raison d</w:t>
      </w:r>
      <w:r>
        <w:rPr>
          <w:rFonts w:cs="Times New Roman"/>
          <w:lang w:val="fr-CA"/>
        </w:rPr>
        <w:t>’</w:t>
      </w:r>
      <w:r w:rsidRPr="005F63DA">
        <w:rPr>
          <w:rFonts w:cs="Times New Roman"/>
          <w:lang w:val="fr-CA"/>
        </w:rPr>
        <w:t xml:space="preserve">affirmer que ce second appel est devenu théorique. </w:t>
      </w:r>
    </w:p>
    <w:p w:rsidR="009F09DA" w:rsidRPr="00976FE2" w:rsidRDefault="009F09DA" w:rsidP="009F09DA">
      <w:pPr>
        <w:pStyle w:val="ParaNoNdepar-AltN"/>
        <w:rPr>
          <w:rFonts w:cs="Times New Roman"/>
          <w:lang w:val="fr-CA"/>
        </w:rPr>
      </w:pPr>
      <w:r w:rsidRPr="00976FE2">
        <w:rPr>
          <w:lang w:val="fr-CA"/>
        </w:rPr>
        <w:t xml:space="preserve">Contrairement au </w:t>
      </w:r>
      <w:r w:rsidRPr="005F63DA">
        <w:rPr>
          <w:lang w:val="fr-CA"/>
        </w:rPr>
        <w:t>premier appel portant sur la motion en réexamen, l</w:t>
      </w:r>
      <w:r>
        <w:rPr>
          <w:lang w:val="fr-CA"/>
        </w:rPr>
        <w:t>’</w:t>
      </w:r>
      <w:r w:rsidRPr="005F63DA">
        <w:rPr>
          <w:lang w:val="fr-CA"/>
        </w:rPr>
        <w:t xml:space="preserve">appel formé directement contre le jugement de 2018 sur </w:t>
      </w:r>
      <w:r w:rsidRPr="00976FE2">
        <w:rPr>
          <w:lang w:val="fr-CA"/>
        </w:rPr>
        <w:t>l</w:t>
      </w:r>
      <w:r>
        <w:rPr>
          <w:lang w:val="fr-CA"/>
        </w:rPr>
        <w:t>’</w:t>
      </w:r>
      <w:r w:rsidRPr="00976FE2">
        <w:rPr>
          <w:lang w:val="fr-CA"/>
        </w:rPr>
        <w:t>interdiction de publication ne soulève pas de question préliminaire au sujet du temps pris pour présenter la motion, une motion qui n</w:t>
      </w:r>
      <w:r>
        <w:rPr>
          <w:lang w:val="fr-CA"/>
        </w:rPr>
        <w:t>’</w:t>
      </w:r>
      <w:r w:rsidRPr="00976FE2">
        <w:rPr>
          <w:lang w:val="fr-CA"/>
        </w:rPr>
        <w:t xml:space="preserve">a même pas été déposée avant que ce jugement </w:t>
      </w:r>
      <w:r>
        <w:rPr>
          <w:lang w:val="fr-CA"/>
        </w:rPr>
        <w:t>n’</w:t>
      </w:r>
      <w:r w:rsidRPr="00976FE2">
        <w:rPr>
          <w:lang w:val="fr-CA"/>
        </w:rPr>
        <w:t xml:space="preserve">ait été rendu. La seule question en litige </w:t>
      </w:r>
      <w:r w:rsidRPr="005F63DA">
        <w:rPr>
          <w:lang w:val="fr-CA"/>
        </w:rPr>
        <w:t xml:space="preserve">dans ce second appel </w:t>
      </w:r>
      <w:r w:rsidRPr="00976FE2">
        <w:rPr>
          <w:lang w:val="fr-CA"/>
        </w:rPr>
        <w:t>est la validité de la dernière interdiction de publication, de durée indéterminée, qui a été imposée dans le</w:t>
      </w:r>
      <w:r>
        <w:rPr>
          <w:lang w:val="fr-CA"/>
        </w:rPr>
        <w:t xml:space="preserve"> </w:t>
      </w:r>
      <w:r w:rsidRPr="00976FE2">
        <w:rPr>
          <w:lang w:val="fr-CA"/>
        </w:rPr>
        <w:t>jugement de 2018</w:t>
      </w:r>
      <w:r>
        <w:rPr>
          <w:lang w:val="fr-CA"/>
        </w:rPr>
        <w:t xml:space="preserve"> sur l’interdiction de publication</w:t>
      </w:r>
      <w:r w:rsidRPr="00976FE2">
        <w:rPr>
          <w:lang w:val="fr-CA"/>
        </w:rPr>
        <w:t>, ce qui nécessite l</w:t>
      </w:r>
      <w:r>
        <w:rPr>
          <w:lang w:val="fr-CA"/>
        </w:rPr>
        <w:t>’</w:t>
      </w:r>
      <w:r w:rsidRPr="00976FE2">
        <w:rPr>
          <w:lang w:val="fr-CA"/>
        </w:rPr>
        <w:t xml:space="preserve">application </w:t>
      </w:r>
      <w:r w:rsidRPr="00A93E25">
        <w:rPr>
          <w:lang w:val="fr-CA"/>
        </w:rPr>
        <w:t xml:space="preserve">du test </w:t>
      </w:r>
      <w:r w:rsidRPr="009D6A6D">
        <w:rPr>
          <w:rFonts w:cs="Times New Roman"/>
          <w:lang w:val="fr-CA"/>
        </w:rPr>
        <w:t>concernant les limites discrétionnaires à la publicité des débats judiciaires</w:t>
      </w:r>
      <w:r w:rsidRPr="00A93E25">
        <w:rPr>
          <w:lang w:val="fr-CA"/>
        </w:rPr>
        <w:t>.</w:t>
      </w:r>
      <w:r w:rsidRPr="00976FE2">
        <w:rPr>
          <w:lang w:val="fr-CA"/>
        </w:rPr>
        <w:t xml:space="preserve"> Pour résoudre cette question maintenant, notre Cour serait obligée de faire allusion </w:t>
      </w:r>
      <w:r>
        <w:rPr>
          <w:lang w:val="fr-CA"/>
        </w:rPr>
        <w:t xml:space="preserve">à ce </w:t>
      </w:r>
      <w:r w:rsidRPr="00976FE2">
        <w:rPr>
          <w:lang w:val="fr-CA"/>
        </w:rPr>
        <w:t xml:space="preserve">critère, </w:t>
      </w:r>
      <w:r w:rsidRPr="005F63DA">
        <w:rPr>
          <w:lang w:val="fr-CA"/>
        </w:rPr>
        <w:t>ainsi qu</w:t>
      </w:r>
      <w:r>
        <w:rPr>
          <w:lang w:val="fr-CA"/>
        </w:rPr>
        <w:t>’</w:t>
      </w:r>
      <w:r w:rsidRPr="005F63DA">
        <w:rPr>
          <w:lang w:val="fr-CA"/>
        </w:rPr>
        <w:t xml:space="preserve">au récent jugement de notre Cour dans </w:t>
      </w:r>
      <w:r w:rsidRPr="005F63DA">
        <w:rPr>
          <w:i/>
          <w:lang w:val="fr-CA"/>
        </w:rPr>
        <w:t>Sherman</w:t>
      </w:r>
      <w:r w:rsidRPr="005F63DA">
        <w:rPr>
          <w:lang w:val="fr-CA"/>
        </w:rPr>
        <w:t xml:space="preserve"> en disposant des observations voulues, et de les appliquer. Je suis respectueusement d</w:t>
      </w:r>
      <w:r>
        <w:rPr>
          <w:lang w:val="fr-CA"/>
        </w:rPr>
        <w:t>’</w:t>
      </w:r>
      <w:r w:rsidRPr="005F63DA">
        <w:rPr>
          <w:lang w:val="fr-CA"/>
        </w:rPr>
        <w:t>avis qu</w:t>
      </w:r>
      <w:r>
        <w:rPr>
          <w:lang w:val="fr-CA"/>
        </w:rPr>
        <w:t>’</w:t>
      </w:r>
      <w:r w:rsidRPr="005F63DA">
        <w:rPr>
          <w:lang w:val="fr-CA"/>
        </w:rPr>
        <w:t>il ne convient pas d</w:t>
      </w:r>
      <w:r>
        <w:rPr>
          <w:lang w:val="fr-CA"/>
        </w:rPr>
        <w:t>’</w:t>
      </w:r>
      <w:r w:rsidRPr="005F63DA">
        <w:rPr>
          <w:lang w:val="fr-CA"/>
        </w:rPr>
        <w:t>entreprendre cette tâche tant que la Cour</w:t>
      </w:r>
      <w:r w:rsidRPr="00976FE2">
        <w:rPr>
          <w:lang w:val="fr-CA"/>
        </w:rPr>
        <w:t xml:space="preserve"> d</w:t>
      </w:r>
      <w:r>
        <w:rPr>
          <w:lang w:val="fr-CA"/>
        </w:rPr>
        <w:t>’</w:t>
      </w:r>
      <w:r w:rsidRPr="00976FE2">
        <w:rPr>
          <w:lang w:val="fr-CA"/>
        </w:rPr>
        <w:t>appel n</w:t>
      </w:r>
      <w:r>
        <w:rPr>
          <w:lang w:val="fr-CA"/>
        </w:rPr>
        <w:t>’</w:t>
      </w:r>
      <w:r w:rsidRPr="00976FE2">
        <w:rPr>
          <w:lang w:val="fr-CA"/>
        </w:rPr>
        <w:t xml:space="preserve">a pas statué sur la motion en réexamen. </w:t>
      </w:r>
    </w:p>
    <w:p w:rsidR="009F09DA" w:rsidRPr="00060362" w:rsidRDefault="009F09DA" w:rsidP="009F09DA">
      <w:pPr>
        <w:pStyle w:val="Title1LevelTitre1Niveau-AltL"/>
        <w:numPr>
          <w:ilvl w:val="0"/>
          <w:numId w:val="8"/>
        </w:numPr>
        <w:jc w:val="left"/>
        <w:rPr>
          <w:rFonts w:cs="Times New Roman"/>
          <w:lang w:val="fr-CA"/>
        </w:rPr>
      </w:pPr>
      <w:r w:rsidRPr="00060362">
        <w:rPr>
          <w:rFonts w:cs="Times New Roman"/>
          <w:lang w:val="fr-CA"/>
        </w:rPr>
        <w:t>Conclusion</w:t>
      </w:r>
    </w:p>
    <w:p w:rsidR="009F09DA" w:rsidRPr="00060362" w:rsidRDefault="009F09DA" w:rsidP="009F09DA">
      <w:pPr>
        <w:pStyle w:val="ParaNoNdepar-AltN"/>
        <w:rPr>
          <w:rFonts w:cs="Times New Roman"/>
          <w:lang w:val="fr-CA"/>
        </w:rPr>
      </w:pPr>
      <w:r>
        <w:rPr>
          <w:rFonts w:cs="Times New Roman"/>
          <w:lang w:val="fr-CA"/>
        </w:rPr>
        <w:t>Je suis d’avis d’accueillir le pourvoi contre le jugement</w:t>
      </w:r>
      <w:r w:rsidRPr="00060362">
        <w:rPr>
          <w:rFonts w:cs="Times New Roman"/>
          <w:lang w:val="fr-CA"/>
        </w:rPr>
        <w:t xml:space="preserve"> </w:t>
      </w:r>
      <w:r>
        <w:rPr>
          <w:rFonts w:cs="Times New Roman"/>
          <w:lang w:val="fr-CA"/>
        </w:rPr>
        <w:t>sur la compétence rendu par la Cour d’appel en 2019, d’annuler ce jugement et de renvoyer l’affaire à ce tribunal pour qu’il tranche la motion de la SRC conformément aux présents motifs</w:t>
      </w:r>
      <w:r w:rsidRPr="00060362">
        <w:rPr>
          <w:rFonts w:cs="Times New Roman"/>
          <w:lang w:val="fr-CA"/>
        </w:rPr>
        <w:t xml:space="preserve">. </w:t>
      </w:r>
    </w:p>
    <w:p w:rsidR="009F09DA" w:rsidRPr="00060362" w:rsidRDefault="009F09DA" w:rsidP="009F09DA">
      <w:pPr>
        <w:pStyle w:val="ParaNoNdepar-AltN"/>
        <w:rPr>
          <w:rFonts w:cs="Times New Roman"/>
          <w:lang w:val="fr-CA"/>
        </w:rPr>
      </w:pPr>
      <w:r>
        <w:rPr>
          <w:rFonts w:cs="Times New Roman"/>
          <w:lang w:val="fr-CA"/>
        </w:rPr>
        <w:t>Je suis d’avis d’ajourner</w:t>
      </w:r>
      <w:r w:rsidRPr="00060362">
        <w:rPr>
          <w:rFonts w:cs="Times New Roman"/>
          <w:lang w:val="fr-CA"/>
        </w:rPr>
        <w:t xml:space="preserve"> </w:t>
      </w:r>
      <w:r w:rsidRPr="00060362">
        <w:rPr>
          <w:rFonts w:cs="Times New Roman"/>
          <w:i/>
          <w:lang w:val="fr-CA"/>
        </w:rPr>
        <w:t>sine die</w:t>
      </w:r>
      <w:r>
        <w:rPr>
          <w:rFonts w:cs="Times New Roman"/>
          <w:lang w:val="fr-CA"/>
        </w:rPr>
        <w:t xml:space="preserve"> le pourvoi contre le jugement rendu par la Cour d’appel en 2018 sur l’interdiction de publication. J’ordonnerais que si aucune requête pour directives n’est déposée à notre Cour dans les 30 jours qui suivent la date du jugement de la Cour d’appel tranchant l’affaire qui lui est renvoyée conformément aux présents motifs, le pourvoi soit rejeté pour cause d’abandon</w:t>
      </w:r>
      <w:r w:rsidRPr="00060362">
        <w:rPr>
          <w:rFonts w:cs="Times New Roman"/>
          <w:lang w:val="fr-CA"/>
        </w:rPr>
        <w:t>.</w:t>
      </w:r>
    </w:p>
    <w:p w:rsidR="009F09DA" w:rsidRPr="00060362" w:rsidRDefault="009F09DA" w:rsidP="009F09DA">
      <w:pPr>
        <w:pStyle w:val="ParaNoNdepar-AltN"/>
        <w:rPr>
          <w:rFonts w:cs="Times New Roman"/>
          <w:lang w:val="fr-CA"/>
        </w:rPr>
      </w:pPr>
      <w:r>
        <w:rPr>
          <w:rFonts w:cs="Times New Roman"/>
          <w:lang w:val="fr-CA"/>
        </w:rPr>
        <w:t>La SRC ne demande pas l’adjudication de dépens dans les présents pourvois, et je ne rendrais aucune ordonnance concernant les dépens</w:t>
      </w:r>
      <w:r w:rsidRPr="00060362">
        <w:rPr>
          <w:rFonts w:cs="Times New Roman"/>
          <w:lang w:val="fr-CA"/>
        </w:rPr>
        <w:t>.</w:t>
      </w:r>
    </w:p>
    <w:p w:rsidR="009F09DA" w:rsidRDefault="009F09DA" w:rsidP="009F09DA">
      <w:pPr>
        <w:pStyle w:val="SCCNormalDoubleSpacing"/>
        <w:spacing w:after="480"/>
        <w:rPr>
          <w:lang w:val="fr-CA"/>
        </w:rPr>
      </w:pPr>
    </w:p>
    <w:p w:rsidR="009F09DA" w:rsidRDefault="009F09DA" w:rsidP="009F09DA">
      <w:pPr>
        <w:rPr>
          <w:lang w:val="fr-CA"/>
        </w:rPr>
      </w:pPr>
      <w:r>
        <w:rPr>
          <w:lang w:val="fr-CA"/>
        </w:rPr>
        <w:t>Version française des motifs rendus par</w:t>
      </w:r>
    </w:p>
    <w:p w:rsidR="009F09DA" w:rsidRDefault="009F09DA" w:rsidP="009F09DA">
      <w:pPr>
        <w:rPr>
          <w:lang w:val="fr-CA"/>
        </w:rPr>
      </w:pPr>
    </w:p>
    <w:p w:rsidR="009F09DA" w:rsidRPr="00E551CA" w:rsidRDefault="009F09DA" w:rsidP="009F09DA">
      <w:pPr>
        <w:pStyle w:val="JudgeJuge"/>
        <w:spacing w:before="480"/>
      </w:pPr>
      <w:r>
        <w:tab/>
        <w:t xml:space="preserve">La juge Abella — </w:t>
      </w:r>
    </w:p>
    <w:p w:rsidR="009F09DA" w:rsidRPr="009F09DA" w:rsidRDefault="009F09DA" w:rsidP="009F09DA">
      <w:pPr>
        <w:pStyle w:val="ParaNoNdepar-AltN"/>
        <w:rPr>
          <w:lang w:val="fr-CA"/>
        </w:rPr>
      </w:pPr>
      <w:r w:rsidRPr="009F09DA">
        <w:rPr>
          <w:lang w:val="fr-CA"/>
        </w:rPr>
        <w:t>Les présents pourvois concernent une demande déposée par un représentant des médias en vue de faire réexaminer une interdiction de publication après la fin de l’instance sous</w:t>
      </w:r>
      <w:r w:rsidRPr="009F09DA">
        <w:rPr>
          <w:lang w:val="fr-CA"/>
        </w:rPr>
        <w:noBreakHyphen/>
        <w:t xml:space="preserve">jacente. Je souscris dans l’ensemble à l’analyse du juge Kasirer concernant les points relatifs aux « avis », mais je ne suis pas d’accord avec lui pour dire que l’affaire devrait être renvoyée à la Cour d’appel du Manitoba pour décision. </w:t>
      </w:r>
    </w:p>
    <w:p w:rsidR="009F09DA" w:rsidRPr="009F09DA" w:rsidRDefault="009F09DA" w:rsidP="009F09DA">
      <w:pPr>
        <w:pStyle w:val="ParaNoNdepar-AltN"/>
        <w:tabs>
          <w:tab w:val="clear" w:pos="1152"/>
          <w:tab w:val="left" w:pos="1166"/>
        </w:tabs>
        <w:rPr>
          <w:lang w:val="fr-CA"/>
        </w:rPr>
      </w:pPr>
      <w:r w:rsidRPr="009F09DA">
        <w:rPr>
          <w:lang w:val="fr-CA"/>
        </w:rPr>
        <w:t xml:space="preserve">Comme notre Cour l’a souligné à maintes reprises, les médias jouent un rôle crucial dans la protection et la promotion de la publicité des débats judiciaires. C’est pour cette raison que le droit des médias d’attaquer des ordonnances comme les interdictions de publication </w:t>
      </w:r>
      <w:proofErr w:type="gramStart"/>
      <w:r w:rsidRPr="009F09DA">
        <w:rPr>
          <w:lang w:val="fr-CA"/>
        </w:rPr>
        <w:t>n’est</w:t>
      </w:r>
      <w:proofErr w:type="gramEnd"/>
      <w:r w:rsidRPr="009F09DA">
        <w:rPr>
          <w:lang w:val="fr-CA"/>
        </w:rPr>
        <w:t xml:space="preserve"> pas contesté et que les tribunaux ont le pouvoir discrétionnaire d’aviser les médias de la tenue d’audiences sur le sujet. Dans l’arrêt </w:t>
      </w:r>
      <w:r w:rsidRPr="009F09DA">
        <w:rPr>
          <w:i/>
          <w:lang w:val="fr-CA"/>
        </w:rPr>
        <w:t>Dagenais c. Société Radio</w:t>
      </w:r>
      <w:r w:rsidRPr="009F09DA">
        <w:rPr>
          <w:i/>
          <w:lang w:val="fr-CA"/>
        </w:rPr>
        <w:noBreakHyphen/>
        <w:t>Canada</w:t>
      </w:r>
      <w:r w:rsidRPr="009F09DA">
        <w:rPr>
          <w:lang w:val="fr-CA"/>
        </w:rPr>
        <w:t>, [1994] 3 R.C.S. 835, notre Cour a affirmé sans équivoque que les représentants des médias sont des « tiers » et que la notification relève « du pouvoir discrétionnaire du juge, exercé conformément aux règles de procédure provinciales en matière criminelle et à la jurisprudence pertinente » (p. 869).</w:t>
      </w:r>
    </w:p>
    <w:p w:rsidR="009F09DA" w:rsidRPr="009F09DA" w:rsidRDefault="009F09DA" w:rsidP="009F09DA">
      <w:pPr>
        <w:pStyle w:val="ParaNoNdepar-AltN"/>
        <w:rPr>
          <w:lang w:val="fr-CA"/>
        </w:rPr>
      </w:pPr>
      <w:r w:rsidRPr="009F09DA">
        <w:rPr>
          <w:lang w:val="fr-CA"/>
        </w:rPr>
        <w:t>Cependant, au terme de l’instance sous</w:t>
      </w:r>
      <w:r w:rsidRPr="009F09DA">
        <w:rPr>
          <w:lang w:val="fr-CA"/>
        </w:rPr>
        <w:noBreakHyphen/>
        <w:t xml:space="preserve">jacente, la règle du </w:t>
      </w:r>
      <w:r w:rsidRPr="009F09DA">
        <w:rPr>
          <w:i/>
          <w:lang w:val="fr-CA"/>
        </w:rPr>
        <w:t xml:space="preserve">functus officio </w:t>
      </w:r>
      <w:r w:rsidRPr="009F09DA">
        <w:rPr>
          <w:iCs/>
          <w:lang w:val="fr-CA"/>
        </w:rPr>
        <w:t>fait en sorte qu’</w:t>
      </w:r>
      <w:r w:rsidRPr="009F09DA">
        <w:rPr>
          <w:lang w:val="fr-CA"/>
        </w:rPr>
        <w:t xml:space="preserve">une décision définitive ne peut pas, en général, être réexaminée par le tribunal qui l’a rendue. Dans l’arrêt </w:t>
      </w:r>
      <w:r w:rsidRPr="009F09DA">
        <w:rPr>
          <w:i/>
          <w:lang w:val="fr-CA"/>
        </w:rPr>
        <w:t>R. c. Adams</w:t>
      </w:r>
      <w:r w:rsidRPr="009F09DA">
        <w:rPr>
          <w:lang w:val="fr-CA"/>
        </w:rPr>
        <w:t xml:space="preserve">, [1995] 4 R.C.S. 707, le juge Sopinka a reconnu que l’application de la règle du </w:t>
      </w:r>
      <w:r w:rsidRPr="009F09DA">
        <w:rPr>
          <w:i/>
          <w:lang w:val="fr-CA"/>
        </w:rPr>
        <w:t xml:space="preserve">functus officio </w:t>
      </w:r>
      <w:r w:rsidRPr="009F09DA">
        <w:rPr>
          <w:lang w:val="fr-CA"/>
        </w:rPr>
        <w:t>« est moins formaliste et plus souple » en ce qui concerne les ordonnances accessoires, y compris les interdictions de publication (par. 29). Il est donc impératif de maintenir des voies circonscrites par lesquelles les médias peuvent demander à un tribunal de réexaminer une interdiction de publication après la fin de l’instance sous</w:t>
      </w:r>
      <w:r w:rsidRPr="009F09DA">
        <w:rPr>
          <w:lang w:val="fr-CA"/>
        </w:rPr>
        <w:noBreakHyphen/>
        <w:t xml:space="preserve">jacente. </w:t>
      </w:r>
    </w:p>
    <w:p w:rsidR="009F09DA" w:rsidRPr="009F09DA" w:rsidRDefault="009F09DA" w:rsidP="009F09DA">
      <w:pPr>
        <w:pStyle w:val="ParaNoNdepar-AltN"/>
        <w:tabs>
          <w:tab w:val="clear" w:pos="1152"/>
          <w:tab w:val="left" w:pos="1166"/>
        </w:tabs>
        <w:rPr>
          <w:lang w:val="fr-CA"/>
        </w:rPr>
      </w:pPr>
      <w:r w:rsidRPr="009F09DA">
        <w:rPr>
          <w:lang w:val="fr-CA"/>
        </w:rPr>
        <w:t>Les considérations qui sous</w:t>
      </w:r>
      <w:r w:rsidRPr="009F09DA">
        <w:rPr>
          <w:lang w:val="fr-CA"/>
        </w:rPr>
        <w:noBreakHyphen/>
        <w:t xml:space="preserve">tendent la règle du </w:t>
      </w:r>
      <w:r w:rsidRPr="009F09DA">
        <w:rPr>
          <w:i/>
          <w:lang w:val="fr-CA"/>
        </w:rPr>
        <w:t>functus officio</w:t>
      </w:r>
      <w:r w:rsidRPr="009F09DA">
        <w:rPr>
          <w:lang w:val="fr-CA"/>
        </w:rPr>
        <w:t xml:space="preserve"> montrent que la règle a un rôle à jouer relativement aux ordonnances de non</w:t>
      </w:r>
      <w:r w:rsidRPr="009F09DA">
        <w:rPr>
          <w:lang w:val="fr-CA"/>
        </w:rPr>
        <w:noBreakHyphen/>
        <w:t>publication, même lorsque celles</w:t>
      </w:r>
      <w:r w:rsidRPr="009F09DA">
        <w:rPr>
          <w:lang w:val="fr-CA"/>
        </w:rPr>
        <w:noBreakHyphen/>
        <w:t>ci sont accessoires à l’instance sous</w:t>
      </w:r>
      <w:r w:rsidRPr="009F09DA">
        <w:rPr>
          <w:lang w:val="fr-CA"/>
        </w:rPr>
        <w:noBreakHyphen/>
        <w:t xml:space="preserve">jacente. La règle du </w:t>
      </w:r>
      <w:r w:rsidRPr="009F09DA">
        <w:rPr>
          <w:i/>
          <w:lang w:val="fr-CA"/>
        </w:rPr>
        <w:t xml:space="preserve">functus officio </w:t>
      </w:r>
      <w:r w:rsidRPr="009F09DA">
        <w:rPr>
          <w:lang w:val="fr-CA"/>
        </w:rPr>
        <w:t>est [</w:t>
      </w:r>
      <w:r w:rsidRPr="009F09DA">
        <w:rPr>
          <w:smallCaps/>
          <w:lang w:val="fr-CA"/>
        </w:rPr>
        <w:t>traduction</w:t>
      </w:r>
      <w:r w:rsidRPr="009F09DA">
        <w:rPr>
          <w:lang w:val="fr-CA"/>
        </w:rPr>
        <w:t xml:space="preserve">] « souvent décrite comme une “règle sur le caractère définitif d’une décision” » (A. S. P. Wong, « Doctrine of </w:t>
      </w:r>
      <w:r w:rsidRPr="009F09DA">
        <w:rPr>
          <w:i/>
          <w:lang w:val="fr-CA"/>
        </w:rPr>
        <w:t>Functus Officio </w:t>
      </w:r>
      <w:r w:rsidRPr="009F09DA">
        <w:rPr>
          <w:lang w:val="fr-CA"/>
        </w:rPr>
        <w:t xml:space="preserve">: The </w:t>
      </w:r>
      <w:proofErr w:type="spellStart"/>
      <w:r w:rsidRPr="009F09DA">
        <w:rPr>
          <w:lang w:val="fr-CA"/>
        </w:rPr>
        <w:t>Changing</w:t>
      </w:r>
      <w:proofErr w:type="spellEnd"/>
      <w:r w:rsidRPr="009F09DA">
        <w:rPr>
          <w:lang w:val="fr-CA"/>
        </w:rPr>
        <w:t xml:space="preserve"> Face of </w:t>
      </w:r>
      <w:proofErr w:type="spellStart"/>
      <w:r w:rsidRPr="009F09DA">
        <w:rPr>
          <w:lang w:val="fr-CA"/>
        </w:rPr>
        <w:t>Finality’s</w:t>
      </w:r>
      <w:proofErr w:type="spellEnd"/>
      <w:r w:rsidRPr="009F09DA">
        <w:rPr>
          <w:lang w:val="fr-CA"/>
        </w:rPr>
        <w:t xml:space="preserve"> Old </w:t>
      </w:r>
      <w:proofErr w:type="spellStart"/>
      <w:r w:rsidRPr="009F09DA">
        <w:rPr>
          <w:lang w:val="fr-CA"/>
        </w:rPr>
        <w:t>Guard</w:t>
      </w:r>
      <w:proofErr w:type="spellEnd"/>
      <w:r w:rsidRPr="009F09DA">
        <w:rPr>
          <w:lang w:val="fr-CA"/>
        </w:rPr>
        <w:t xml:space="preserve"> » (2020), 98 </w:t>
      </w:r>
      <w:proofErr w:type="spellStart"/>
      <w:r w:rsidRPr="009F09DA">
        <w:rPr>
          <w:i/>
          <w:iCs/>
          <w:lang w:val="fr-CA"/>
        </w:rPr>
        <w:t>Rev</w:t>
      </w:r>
      <w:proofErr w:type="spellEnd"/>
      <w:r w:rsidRPr="009F09DA">
        <w:rPr>
          <w:i/>
          <w:iCs/>
          <w:lang w:val="fr-CA"/>
        </w:rPr>
        <w:t xml:space="preserve">. du B. </w:t>
      </w:r>
      <w:proofErr w:type="spellStart"/>
      <w:r w:rsidRPr="009F09DA">
        <w:rPr>
          <w:i/>
          <w:iCs/>
          <w:lang w:val="fr-CA"/>
        </w:rPr>
        <w:t>can</w:t>
      </w:r>
      <w:proofErr w:type="spellEnd"/>
      <w:r w:rsidRPr="009F09DA">
        <w:rPr>
          <w:i/>
          <w:iCs/>
          <w:lang w:val="fr-CA"/>
        </w:rPr>
        <w:t>.</w:t>
      </w:r>
      <w:r w:rsidRPr="009F09DA">
        <w:rPr>
          <w:lang w:val="fr-CA"/>
        </w:rPr>
        <w:t xml:space="preserve"> 543, p. 549, citant </w:t>
      </w:r>
      <w:r w:rsidRPr="009F09DA">
        <w:rPr>
          <w:i/>
          <w:lang w:val="fr-CA"/>
        </w:rPr>
        <w:t xml:space="preserve">Nova Scotia Government and General Employees Union c. Capital District Health Authority </w:t>
      </w:r>
      <w:r w:rsidRPr="009F09DA">
        <w:rPr>
          <w:lang w:val="fr-CA"/>
        </w:rPr>
        <w:t xml:space="preserve">(2006), 246 N.S.R. (2d) 104 (C.A.), par. 36). Comme l’a fait remarquer le juge Doherty dans l’arrêt </w:t>
      </w:r>
      <w:proofErr w:type="spellStart"/>
      <w:r w:rsidRPr="009F09DA">
        <w:rPr>
          <w:i/>
          <w:lang w:val="fr-CA"/>
        </w:rPr>
        <w:t>Tsaoussis</w:t>
      </w:r>
      <w:proofErr w:type="spellEnd"/>
      <w:r w:rsidRPr="009F09DA">
        <w:rPr>
          <w:i/>
          <w:lang w:val="fr-CA"/>
        </w:rPr>
        <w:t xml:space="preserve"> (Litigation Guardian of) c. </w:t>
      </w:r>
      <w:proofErr w:type="spellStart"/>
      <w:r w:rsidRPr="009F09DA">
        <w:rPr>
          <w:i/>
          <w:lang w:val="fr-CA"/>
        </w:rPr>
        <w:t>Baetz</w:t>
      </w:r>
      <w:proofErr w:type="spellEnd"/>
      <w:r w:rsidRPr="009F09DA">
        <w:rPr>
          <w:lang w:val="fr-CA"/>
        </w:rPr>
        <w:t xml:space="preserve"> (1998), 41 O.R. (3d) 257 (C.A.) :</w:t>
      </w:r>
    </w:p>
    <w:p w:rsidR="009F09DA" w:rsidRPr="009F09DA" w:rsidRDefault="009F09DA" w:rsidP="009F09DA">
      <w:pPr>
        <w:pStyle w:val="Citation-AltC"/>
        <w:spacing w:after="240"/>
        <w:ind w:left="1168" w:hanging="1168"/>
        <w:contextualSpacing w:val="0"/>
        <w:rPr>
          <w:lang w:val="fr-CA"/>
        </w:rPr>
      </w:pPr>
      <w:r w:rsidRPr="009F09DA">
        <w:rPr>
          <w:lang w:val="fr-CA"/>
        </w:rPr>
        <w:tab/>
        <w:t>[</w:t>
      </w:r>
      <w:r w:rsidRPr="009F09DA">
        <w:rPr>
          <w:smallCaps/>
          <w:lang w:val="fr-CA"/>
        </w:rPr>
        <w:t>traduction</w:t>
      </w:r>
      <w:r w:rsidRPr="009F09DA">
        <w:rPr>
          <w:lang w:val="fr-CA"/>
        </w:rPr>
        <w:t>] Le caractère définitif d’une décision est une caractéristique importante de notre système de justice, à la fois pour les parties au litige et, au chapitre institutionnel, pour la collectivité en général. Pour les parties, il est nécessaire sur le plan économique et psychologique. Pour la collectivité, il limite en quelque sorte le fardeau économique qu’impose chaque litige au système et confère aux décisions rendues par le système l’autorité qu’elles ne pourraient espérer détenir si elles étaient assujetties à une réévaluation et à une variation constantes. . .</w:t>
      </w:r>
    </w:p>
    <w:p w:rsidR="009F09DA" w:rsidRPr="00E551CA" w:rsidRDefault="009F09DA" w:rsidP="009F09DA">
      <w:pPr>
        <w:pStyle w:val="Citation-AltC"/>
        <w:ind w:hanging="1166"/>
      </w:pPr>
      <w:r w:rsidRPr="009F09DA">
        <w:rPr>
          <w:lang w:val="fr-CA"/>
        </w:rPr>
        <w:tab/>
      </w:r>
      <w:r w:rsidRPr="009F09DA">
        <w:rPr>
          <w:lang w:val="fr-CA"/>
        </w:rPr>
        <w:tab/>
        <w:t xml:space="preserve">Les parties et la collectivité ont besoin que les litiges aient un caractère définitif et discernable. Les parties doivent pouvoir, à un certain point, savoir que la question a été tranchée et que leurs droits et obligations respectifs ont fait l’objet d’une décision définitive. En l’absence d’une telle issue discernable, les parties ne peuvent pas avoir la certitude que la question a été tranchée définitivement; elles doivent supporter le fardeau économique et psychologique considérable d’instances de durée indéterminée où leurs droits et obligations respectifs sont réexaminés au fur et à mesure que les circonstances changent. </w:t>
      </w:r>
      <w:r w:rsidRPr="003B3B6B">
        <w:t>[</w:t>
      </w:r>
      <w:r>
        <w:t>p. 264</w:t>
      </w:r>
      <w:r>
        <w:noBreakHyphen/>
        <w:t>265]</w:t>
      </w:r>
    </w:p>
    <w:p w:rsidR="009F09DA" w:rsidRPr="009F09DA" w:rsidRDefault="009F09DA" w:rsidP="009F09DA">
      <w:pPr>
        <w:pStyle w:val="ParaNoNdepar-AltN"/>
        <w:tabs>
          <w:tab w:val="clear" w:pos="1152"/>
          <w:tab w:val="left" w:pos="1166"/>
        </w:tabs>
        <w:rPr>
          <w:lang w:val="fr-CA"/>
        </w:rPr>
      </w:pPr>
      <w:r w:rsidRPr="009F09DA">
        <w:rPr>
          <w:lang w:val="fr-CA"/>
        </w:rPr>
        <w:t>Le caractère définitif d’une décision est important, d’une part, parce qu’il fournit une assise stable pour l’appel (</w:t>
      </w:r>
      <w:r w:rsidRPr="009F09DA">
        <w:rPr>
          <w:i/>
          <w:lang w:val="fr-CA"/>
        </w:rPr>
        <w:t>Doucet</w:t>
      </w:r>
      <w:r w:rsidRPr="009F09DA">
        <w:rPr>
          <w:i/>
          <w:lang w:val="fr-CA"/>
        </w:rPr>
        <w:noBreakHyphen/>
        <w:t>Boudreau c. Nouvelle</w:t>
      </w:r>
      <w:r w:rsidRPr="009F09DA">
        <w:rPr>
          <w:i/>
          <w:lang w:val="fr-CA"/>
        </w:rPr>
        <w:noBreakHyphen/>
        <w:t>Écosse (Ministre de l’Éducation)</w:t>
      </w:r>
      <w:r w:rsidRPr="009F09DA">
        <w:rPr>
          <w:lang w:val="fr-CA"/>
        </w:rPr>
        <w:t>, [2003] 3 R.C.S. 3, par. 79). Il est aussi important, d’autre part, parce qu’il constitue une garantie économique et psychologique pour les parties qui sont entraînées malgré elles dans le système de justice, notamment pour celles qui sont touchées par des décisions en matière de non</w:t>
      </w:r>
      <w:r w:rsidRPr="009F09DA">
        <w:rPr>
          <w:lang w:val="fr-CA"/>
        </w:rPr>
        <w:noBreakHyphen/>
        <w:t xml:space="preserve">publication. </w:t>
      </w:r>
    </w:p>
    <w:p w:rsidR="009F09DA" w:rsidRPr="009F09DA" w:rsidRDefault="009F09DA" w:rsidP="009F09DA">
      <w:pPr>
        <w:pStyle w:val="ParaNoNdepar-AltN"/>
        <w:rPr>
          <w:lang w:val="fr-CA"/>
        </w:rPr>
      </w:pPr>
      <w:r w:rsidRPr="009F09DA">
        <w:rPr>
          <w:lang w:val="fr-CA"/>
        </w:rPr>
        <w:t xml:space="preserve">Il est établi depuis l’arrêt </w:t>
      </w:r>
      <w:r w:rsidRPr="009F09DA">
        <w:rPr>
          <w:i/>
          <w:lang w:val="fr-CA"/>
        </w:rPr>
        <w:t>Adams</w:t>
      </w:r>
      <w:r w:rsidRPr="009F09DA">
        <w:rPr>
          <w:lang w:val="fr-CA"/>
        </w:rPr>
        <w:t xml:space="preserve"> que les ordonnances de non</w:t>
      </w:r>
      <w:r w:rsidRPr="009F09DA">
        <w:rPr>
          <w:lang w:val="fr-CA"/>
        </w:rPr>
        <w:noBreakHyphen/>
        <w:t>publication, qui sont accessoires à l’instance sous</w:t>
      </w:r>
      <w:r w:rsidRPr="009F09DA">
        <w:rPr>
          <w:lang w:val="fr-CA"/>
        </w:rPr>
        <w:noBreakHyphen/>
        <w:t xml:space="preserve">jacente, « peu[vent] être modifiée[s] ou annulée[s] s’il y a eu changement important des circonstances qui existaient au moment où elle[s] [ont] été rendue[s] » (par. 30; </w:t>
      </w:r>
      <w:r w:rsidRPr="009F09DA">
        <w:rPr>
          <w:i/>
          <w:lang w:val="fr-CA"/>
        </w:rPr>
        <w:t>R. c. Henry</w:t>
      </w:r>
      <w:r w:rsidRPr="009F09DA">
        <w:rPr>
          <w:lang w:val="fr-CA"/>
        </w:rPr>
        <w:t xml:space="preserve"> (2012), 327 B.C.A.C. 190, par. 11</w:t>
      </w:r>
      <w:r w:rsidRPr="009F09DA">
        <w:rPr>
          <w:iCs/>
          <w:lang w:val="fr-CA"/>
        </w:rPr>
        <w:t>;</w:t>
      </w:r>
      <w:r w:rsidRPr="009F09DA">
        <w:rPr>
          <w:i/>
          <w:lang w:val="fr-CA"/>
        </w:rPr>
        <w:t xml:space="preserve"> British Columbia c. BCTF</w:t>
      </w:r>
      <w:r w:rsidRPr="009F09DA">
        <w:rPr>
          <w:lang w:val="fr-CA"/>
        </w:rPr>
        <w:t xml:space="preserve"> (2015), 75 B.C.L.R. (5th) 257 (C.A.), par. 22). Le changement doit « se rapporter à une question qui a justifié, au départ, la délivrance de l’ordonnance » </w:t>
      </w:r>
      <w:r w:rsidRPr="009F09DA">
        <w:rPr>
          <w:i/>
          <w:lang w:val="fr-CA"/>
        </w:rPr>
        <w:t>et</w:t>
      </w:r>
      <w:r w:rsidRPr="009F09DA">
        <w:rPr>
          <w:lang w:val="fr-CA"/>
        </w:rPr>
        <w:t xml:space="preserve"> le requérant doit agir « à la première occasion » après le changement de circonstances (</w:t>
      </w:r>
      <w:r w:rsidRPr="009F09DA">
        <w:rPr>
          <w:i/>
          <w:lang w:val="fr-CA"/>
        </w:rPr>
        <w:t>Adams</w:t>
      </w:r>
      <w:r w:rsidRPr="009F09DA">
        <w:rPr>
          <w:lang w:val="fr-CA"/>
        </w:rPr>
        <w:t xml:space="preserve">, par. 30, citant </w:t>
      </w:r>
      <w:r w:rsidRPr="009F09DA">
        <w:rPr>
          <w:i/>
          <w:lang w:val="fr-CA"/>
        </w:rPr>
        <w:t xml:space="preserve">R. c. </w:t>
      </w:r>
      <w:proofErr w:type="spellStart"/>
      <w:r w:rsidRPr="009F09DA">
        <w:rPr>
          <w:i/>
          <w:lang w:val="fr-CA"/>
        </w:rPr>
        <w:t>Khela</w:t>
      </w:r>
      <w:proofErr w:type="spellEnd"/>
      <w:r w:rsidRPr="009F09DA">
        <w:rPr>
          <w:lang w:val="fr-CA"/>
        </w:rPr>
        <w:t>, [1995] 4 R.C.S. 201, p. 210</w:t>
      </w:r>
      <w:r w:rsidRPr="009F09DA">
        <w:rPr>
          <w:lang w:val="fr-CA"/>
        </w:rPr>
        <w:noBreakHyphen/>
        <w:t xml:space="preserve">211). Je suis d’accord avec les juges majoritaires pour dire qu’aucun changement important de circonstances ne peut être établi en l’espèce. </w:t>
      </w:r>
    </w:p>
    <w:p w:rsidR="009F09DA" w:rsidRPr="009F09DA" w:rsidRDefault="009F09DA" w:rsidP="009F09DA">
      <w:pPr>
        <w:pStyle w:val="ParaNoNdepar-AltN"/>
        <w:rPr>
          <w:lang w:val="fr-CA"/>
        </w:rPr>
      </w:pPr>
      <w:r w:rsidRPr="009F09DA">
        <w:rPr>
          <w:lang w:val="fr-CA"/>
        </w:rPr>
        <w:t xml:space="preserve">En l’absence d’un changement important de circonstances, les cours de première instance et les cours d’appel ont reconnu que les médias sont « touchés » par les ordonnances qui ont trait à la publicité des débats judiciaires, ce qui signifie qu’ils peuvent généralement demander le réexamen de ces ordonnances lorsqu’elles sont délivrées sans avis (voir, p. ex., </w:t>
      </w:r>
      <w:proofErr w:type="spellStart"/>
      <w:r w:rsidRPr="009F09DA">
        <w:rPr>
          <w:i/>
          <w:lang w:val="fr-CA"/>
        </w:rPr>
        <w:t>Hollinger</w:t>
      </w:r>
      <w:proofErr w:type="spellEnd"/>
      <w:r w:rsidRPr="009F09DA">
        <w:rPr>
          <w:i/>
          <w:lang w:val="fr-CA"/>
        </w:rPr>
        <w:t xml:space="preserve"> Inc. c. The </w:t>
      </w:r>
      <w:proofErr w:type="spellStart"/>
      <w:r w:rsidRPr="009F09DA">
        <w:rPr>
          <w:i/>
          <w:lang w:val="fr-CA"/>
        </w:rPr>
        <w:t>Ravelston</w:t>
      </w:r>
      <w:proofErr w:type="spellEnd"/>
      <w:r w:rsidRPr="009F09DA">
        <w:rPr>
          <w:i/>
          <w:lang w:val="fr-CA"/>
        </w:rPr>
        <w:t xml:space="preserve"> Corp. </w:t>
      </w:r>
      <w:r w:rsidRPr="009F09DA">
        <w:rPr>
          <w:lang w:val="fr-CA"/>
        </w:rPr>
        <w:t xml:space="preserve">(2008), 89 O.R. (3d) 721 (C.A.), par. 43, et les décisions qui y sont citées). Comme le confirme le juge Kasirer, cette approche s’applique si les médias peuvent démontrer que leurs observations sont présentées « avec célérité », qu’elles pourraient avoir une incidence importante sur le résultat et que la nature de leurs observations n’a pas été examinée au départ par le tribunal qui a imposé l’interdiction de publication. Dans ces circonstances, les tribunaux ont le pouvoir discrétionnaire de décider s’il est dans l’intérêt de la justice de réexaminer une interdiction de publication. </w:t>
      </w:r>
    </w:p>
    <w:p w:rsidR="009F09DA" w:rsidRPr="009F09DA" w:rsidRDefault="009F09DA" w:rsidP="009F09DA">
      <w:pPr>
        <w:pStyle w:val="ParaNoNdepar-AltN"/>
        <w:tabs>
          <w:tab w:val="clear" w:pos="1152"/>
          <w:tab w:val="left" w:pos="1166"/>
        </w:tabs>
        <w:rPr>
          <w:lang w:val="fr-CA"/>
        </w:rPr>
      </w:pPr>
      <w:r w:rsidRPr="009F09DA">
        <w:rPr>
          <w:lang w:val="fr-CA"/>
        </w:rPr>
        <w:t xml:space="preserve">Les deux voies par lesquelles les médias peuvent contester une interdiction de publication après coup témoignent du fait que les médias sont indispensables à la publicité des débats judiciaires. Néanmoins, les critères applicables accordent aussi beaucoup d’importance au concept de caractère définitif d’une décision. À un moment donné, il faut que les parties puissent tourner la page et être à l’abri des préjudices psychologiques et financiers associés au fait d’être entraînées de nouveau malgré elles dans le système de justice lorsqu’une affaire est close. </w:t>
      </w:r>
    </w:p>
    <w:p w:rsidR="009F09DA" w:rsidRPr="009F09DA" w:rsidRDefault="009F09DA" w:rsidP="009F09DA">
      <w:pPr>
        <w:pStyle w:val="ParaNoNdepar-AltN"/>
        <w:tabs>
          <w:tab w:val="clear" w:pos="1152"/>
          <w:tab w:val="left" w:pos="1166"/>
        </w:tabs>
        <w:rPr>
          <w:lang w:val="fr-CA"/>
        </w:rPr>
      </w:pPr>
      <w:r w:rsidRPr="009F09DA">
        <w:rPr>
          <w:lang w:val="fr-CA"/>
        </w:rPr>
        <w:t>Voilà pourquoi il faut demander le réexamen d’une interdiction de publication en temps opportun et pourquoi les tribunaux ne devraient généralement pas réexaminer une interdiction de publication après la fin de l’instance principale, sauf s’il existe une raison valable de croire que la demande formulée par un représentant des médias sert l’intérêt public et qu’elle pourrait raisonnablement amener le tribunal à rendre une décision différente. Il s’agit d’un exercice de pondération, sans barème préétabli, entre les intérêts qui sous</w:t>
      </w:r>
      <w:r w:rsidRPr="009F09DA">
        <w:rPr>
          <w:lang w:val="fr-CA"/>
        </w:rPr>
        <w:noBreakHyphen/>
        <w:t xml:space="preserve">tendent le caractère définitif d’une décision et les intérêts liés au principe de la publicité des débats judiciaires. </w:t>
      </w:r>
    </w:p>
    <w:p w:rsidR="009F09DA" w:rsidRPr="009F09DA" w:rsidRDefault="009F09DA" w:rsidP="009F09DA">
      <w:pPr>
        <w:pStyle w:val="ParaNoNdepar-AltN"/>
        <w:rPr>
          <w:lang w:val="fr-CA"/>
        </w:rPr>
      </w:pPr>
      <w:r w:rsidRPr="009F09DA">
        <w:rPr>
          <w:lang w:val="fr-CA"/>
        </w:rPr>
        <w:t xml:space="preserve">En soupesant les principes susmentionnés, et avec égards, j’arrive à une conclusion différente de celle des juges majoritaires quant au renvoi de l’affaire à la Cour d’appel du Manitoba. </w:t>
      </w:r>
    </w:p>
    <w:p w:rsidR="009F09DA" w:rsidRPr="00E551CA" w:rsidRDefault="009F09DA" w:rsidP="009F09DA">
      <w:pPr>
        <w:pStyle w:val="ParaNoNdepar-AltN"/>
      </w:pPr>
      <w:r w:rsidRPr="009F09DA">
        <w:rPr>
          <w:lang w:val="fr-CA"/>
        </w:rPr>
        <w:t xml:space="preserve">Comme je l’ai souligné précédemment, la SRC ne peut établir en l’espèce qu’un changement important de circonstances s’est produit au sens de l’arrêt </w:t>
      </w:r>
      <w:r w:rsidRPr="009F09DA">
        <w:rPr>
          <w:i/>
          <w:lang w:val="fr-CA"/>
        </w:rPr>
        <w:t>Adams</w:t>
      </w:r>
      <w:r w:rsidRPr="009F09DA">
        <w:rPr>
          <w:lang w:val="fr-CA"/>
        </w:rPr>
        <w:t xml:space="preserve">. Par conséquent, la SRC ne peut demander un réexamen après la fin de l’instance que si elle démontre que l’interdiction de publication a été prononcée sans avis, que ses observations peuvent avoir une incidence importante sur le résultat et qu’elle a déposé la motion en réexamen en temps opportun. </w:t>
      </w:r>
      <w:r>
        <w:t xml:space="preserve">En </w:t>
      </w:r>
      <w:proofErr w:type="spellStart"/>
      <w:r>
        <w:t>l’espèce</w:t>
      </w:r>
      <w:proofErr w:type="spellEnd"/>
      <w:r>
        <w:t xml:space="preserve">, aucune de ces conditions n’est </w:t>
      </w:r>
      <w:proofErr w:type="spellStart"/>
      <w:r>
        <w:t>remplie</w:t>
      </w:r>
      <w:proofErr w:type="spellEnd"/>
      <w:r>
        <w:t xml:space="preserve">. </w:t>
      </w:r>
    </w:p>
    <w:p w:rsidR="009F09DA" w:rsidRPr="009F09DA" w:rsidRDefault="009F09DA" w:rsidP="009F09DA">
      <w:pPr>
        <w:pStyle w:val="ParaNoNdepar-AltN"/>
        <w:rPr>
          <w:lang w:val="fr-CA"/>
        </w:rPr>
      </w:pPr>
      <w:r w:rsidRPr="009F09DA">
        <w:rPr>
          <w:lang w:val="fr-CA"/>
        </w:rPr>
        <w:t>Tout d’abord, l’argument de la SRC selon lequel la cour a prononcé l’interdiction de publication sans avis est difficile à accepter dans les circonstances. Lors de l’audience devant la Cour d’appel du Manitoba, les avocats de la SRC ont admis candidement que la SRC avait couvert l’affaire Ostrowski tout au long de l’instance. En outre, devant notre Cour, ils ont confirmé que la SRC avait un représentant dans la salle d’audience lors du prononcé de l’interdiction de publication le 28 mai 2018. La SRC n’a tenté de faire valoir ses intérêts à aucun moment depuis le prononcé de l’ordonnance de non</w:t>
      </w:r>
      <w:r w:rsidRPr="009F09DA">
        <w:rPr>
          <w:lang w:val="fr-CA"/>
        </w:rPr>
        <w:noBreakHyphen/>
        <w:t xml:space="preserve">publication initiale jusqu’à la reconduction de l’ordonnance dans les motifs du jugement que la Cour d’appel a rendus le 27 novembre 2018. </w:t>
      </w:r>
    </w:p>
    <w:p w:rsidR="009F09DA" w:rsidRPr="009F09DA" w:rsidRDefault="009F09DA" w:rsidP="009F09DA">
      <w:pPr>
        <w:pStyle w:val="ParaNoNdepar-AltN"/>
        <w:rPr>
          <w:lang w:val="fr-CA"/>
        </w:rPr>
      </w:pPr>
      <w:r w:rsidRPr="009F09DA">
        <w:rPr>
          <w:lang w:val="fr-CA"/>
        </w:rPr>
        <w:t xml:space="preserve">Quoi qu’il en soit, je ne vois pas très bien quel autre « avis » aurait été requis dans les circonstances. Les tribunaux n’envoient pas d’invitations officielles à leurs audiences — les salles d’audience sont, et devraient être, accessibles à tous, y compris et surtout aux médias. Si les médias sont présents dans la salle d’audience lorsqu’une interdiction de publication est prononcée, il s’ensuit qu’ils en connaissent l’existence. Or, il s’agit là du résultat qu’on cherche à atteindre lorsqu’on transmet un avis. </w:t>
      </w:r>
    </w:p>
    <w:p w:rsidR="009F09DA" w:rsidRPr="009F09DA" w:rsidRDefault="009F09DA" w:rsidP="009F09DA">
      <w:pPr>
        <w:pStyle w:val="ParaNoNdepar-AltN"/>
        <w:rPr>
          <w:lang w:val="fr-CA"/>
        </w:rPr>
      </w:pPr>
      <w:r w:rsidRPr="009F09DA">
        <w:rPr>
          <w:lang w:val="fr-CA"/>
        </w:rPr>
        <w:t>La SRC ne s’est pas non plus acquittée de son fardeau de démontrer que ses observations envisagées pourraient avoir une incidence importante sur le résultat. Il est bien établi que les tribunaux qui prononcent des interdictions de publication sont censés tenir compte de l’importance du principe de la publicité des débats judiciaires, même lorsqu’aucun représentant des médias ne présente d’arguments à ce sujet (</w:t>
      </w:r>
      <w:r w:rsidRPr="009F09DA">
        <w:rPr>
          <w:i/>
          <w:lang w:val="fr-CA"/>
        </w:rPr>
        <w:t>R. c. Mentuck</w:t>
      </w:r>
      <w:r w:rsidRPr="009F09DA">
        <w:rPr>
          <w:lang w:val="fr-CA"/>
        </w:rPr>
        <w:t>, [2001] 3 R.C.S. 442, par. 38). Il n’y a aucune raison de supposer que cela ne s’est pas produit en l’espèce. La SRC ne propose pas de faire valoir une position nouvelle ou unique ni de produire des éléments de preuve dont la Cour d’appel ignorait l’existence. Elle souhaite simplement plaider que le principe de la publicité des débats judiciaires l’emporte sur les intérêts qui appuient l’interdiction, une observation de base que la Cour d’appel est présumée avoir déjà examinée. De plus, ayant entendu l’exposé complet des arguments de la SRC sur le bien</w:t>
      </w:r>
      <w:r w:rsidRPr="009F09DA">
        <w:rPr>
          <w:lang w:val="fr-CA"/>
        </w:rPr>
        <w:noBreakHyphen/>
        <w:t xml:space="preserve">fondé de l’interdiction de publication devant notre Cour, j’ai de la difficulté à voir comment ses observations pourraient mener à un résultat différent. </w:t>
      </w:r>
    </w:p>
    <w:p w:rsidR="009F09DA" w:rsidRPr="009F09DA" w:rsidRDefault="009F09DA" w:rsidP="009F09DA">
      <w:pPr>
        <w:pStyle w:val="ParaNoNdepar-AltN"/>
        <w:rPr>
          <w:lang w:val="fr-CA"/>
        </w:rPr>
      </w:pPr>
      <w:r w:rsidRPr="009F09DA">
        <w:rPr>
          <w:lang w:val="fr-CA"/>
        </w:rPr>
        <w:t xml:space="preserve">Qui plus est, et dans le même ordre d’idées, le fait que la SRC a tardé à agir me paraît déterminant. La Cour d’appel a prononcé l’interdiction de publication le 28 mai 2018 et l’a reconduite dans ses motifs de jugement rendus le 27 novembre 2018. Or, la SRC n’a pas déposé sa motion en réexamen avant le 10 mai 2019, soit plus de cinq mois plus tard. De surcroît, elle n’a pas déposé sa demande d’autorisation d’appel de l’interdiction de publication initiale devant notre Cour avant le 27 janvier 2020, soit près de deux ans après l’imposition de l’interdiction et bien plus d’un an après sa reconduction dans les motifs du jugement rendus en novembre 2018. </w:t>
      </w:r>
    </w:p>
    <w:p w:rsidR="009F09DA" w:rsidRPr="009F09DA" w:rsidRDefault="009F09DA" w:rsidP="009F09DA">
      <w:pPr>
        <w:pStyle w:val="ParaNoNdepar-AltN"/>
        <w:rPr>
          <w:lang w:val="fr-CA"/>
        </w:rPr>
      </w:pPr>
      <w:r w:rsidRPr="009F09DA">
        <w:rPr>
          <w:lang w:val="fr-CA"/>
        </w:rPr>
        <w:t>La SRC a laissé entendre que le délai s’expliquait en partie par le fait qu’il régnait une certaine confusion quant à la nature et à la portée de l’interdiction de publication, qui a fait en sorte que la SRC a communiqué avec la Cour d’appel pour obtenir des précisions sur ce qui était interdit.</w:t>
      </w:r>
    </w:p>
    <w:p w:rsidR="009F09DA" w:rsidRPr="009F09DA" w:rsidRDefault="009F09DA" w:rsidP="009F09DA">
      <w:pPr>
        <w:pStyle w:val="ParaNoNdepar-AltN"/>
        <w:rPr>
          <w:lang w:val="fr-CA"/>
        </w:rPr>
      </w:pPr>
      <w:r w:rsidRPr="009F09DA">
        <w:rPr>
          <w:lang w:val="fr-CA"/>
        </w:rPr>
        <w:t>Les communications entre la SRC et la Cour d’appel du Manitoba qui ont eu lieu après le prononcé des motifs du 27 novembre 2018 démontrent sans équivoque que cette explication est loin d’être solide. Le 30 novembre 2018, l’adjointe exécutive des juges en chef a avisé la SRC que les médias avaient le droit d’examiner les documents [</w:t>
      </w:r>
      <w:r w:rsidRPr="009F09DA">
        <w:rPr>
          <w:smallCaps/>
          <w:lang w:val="fr-CA"/>
        </w:rPr>
        <w:t>traduction</w:t>
      </w:r>
      <w:r w:rsidRPr="009F09DA">
        <w:rPr>
          <w:lang w:val="fr-CA"/>
        </w:rPr>
        <w:t>] « protégés par l’interdiction de publication », mais que la nouvelle preuve par affidavit ne pouvait être examinée étant donné qu’elle n’avait pas été déposée auprès de la cour après le rejet de la motion. Le 21 janvier 2019, à la suite d’autres communications visant à éclaircir davantage la question, le registraire a énoncé en des termes sans équivoque que, [</w:t>
      </w:r>
      <w:r w:rsidRPr="009F09DA">
        <w:rPr>
          <w:smallCaps/>
          <w:lang w:val="fr-CA"/>
        </w:rPr>
        <w:t>traduction</w:t>
      </w:r>
      <w:r w:rsidRPr="009F09DA">
        <w:rPr>
          <w:lang w:val="fr-CA"/>
        </w:rPr>
        <w:t>] « au début de l’instance le 28 mai 2018, la [c]</w:t>
      </w:r>
      <w:proofErr w:type="spellStart"/>
      <w:r w:rsidRPr="009F09DA">
        <w:rPr>
          <w:lang w:val="fr-CA"/>
        </w:rPr>
        <w:t>our</w:t>
      </w:r>
      <w:proofErr w:type="spellEnd"/>
      <w:r w:rsidRPr="009F09DA">
        <w:rPr>
          <w:lang w:val="fr-CA"/>
        </w:rPr>
        <w:t xml:space="preserve"> a imposé une interdiction de publication pour empêcher la publication de tout renseignement relatif aux nouveaux éléments de preuve proposés. Au paragraphe 82 de ses motifs, la [c]</w:t>
      </w:r>
      <w:proofErr w:type="spellStart"/>
      <w:r w:rsidRPr="009F09DA">
        <w:rPr>
          <w:lang w:val="fr-CA"/>
        </w:rPr>
        <w:t>our</w:t>
      </w:r>
      <w:proofErr w:type="spellEnd"/>
      <w:r w:rsidRPr="009F09DA">
        <w:rPr>
          <w:lang w:val="fr-CA"/>
        </w:rPr>
        <w:t xml:space="preserve"> a ordonné que l’interdiction de publication demeure en vigueur. » Pourtant, il a fallu à la SRC encore quatre mois pour déposer une motion en réexamen.</w:t>
      </w:r>
    </w:p>
    <w:p w:rsidR="009F09DA" w:rsidRPr="009F09DA" w:rsidRDefault="009F09DA" w:rsidP="009F09DA">
      <w:pPr>
        <w:pStyle w:val="ParaNoNdepar-AltN"/>
        <w:rPr>
          <w:lang w:val="fr-CA"/>
        </w:rPr>
      </w:pPr>
      <w:r w:rsidRPr="009F09DA">
        <w:rPr>
          <w:lang w:val="fr-CA"/>
        </w:rPr>
        <w:t xml:space="preserve">Pour mettre le temps écoulé en perspective, il est utile de se référer à certains délais prévus dans les </w:t>
      </w:r>
      <w:r w:rsidRPr="009F09DA">
        <w:rPr>
          <w:i/>
          <w:iCs/>
          <w:lang w:val="fr-CA"/>
        </w:rPr>
        <w:t>Règles de la Cour d’appel</w:t>
      </w:r>
      <w:r w:rsidRPr="009F09DA">
        <w:rPr>
          <w:lang w:val="fr-CA"/>
        </w:rPr>
        <w:t>, Règl. du Man. 555/88R, du Manitoba. Si une partie à un appel devant la Cour d’appel souhaite obtenir une nouvelle audience avant que le certificat de décision n’ait été inscrit, elle est présumée disposer de 30 jours après le prononcé des motifs de jugement pour présenter sa motion (par. 46.2(4)). Si l’appelant ne dépose pas son mémoire dans les délais prévus par les règles, son appel sera réputé abandonné 30 jours après l’avis que l’appelant reçoit du registraire (par. 33(4)). Les délais prévus constituent une reconnaissance législative de l’importance d’agir en temps opportun dans le règlement des affaires portées devant les tribunaux.</w:t>
      </w:r>
    </w:p>
    <w:p w:rsidR="009F09DA" w:rsidRPr="00A86BB3" w:rsidRDefault="009F09DA" w:rsidP="009F09DA">
      <w:pPr>
        <w:pStyle w:val="ParaNoNdepar-AltN"/>
      </w:pPr>
      <w:r w:rsidRPr="009F09DA">
        <w:rPr>
          <w:lang w:val="fr-CA"/>
        </w:rPr>
        <w:t>Un délai non expliqué de six mois pour déposer une motion en réexamen d’une interdiction de publication est excessif. Même un délai de quatre mois, calculé de façon indulgente à partir du moment où la SRC connaissait parfaitement et entièrement la nature de l’interdiction de publication, serait excessif. Peu importe la définition que l’on donne au concept d’agir « avec célérité », le délai ne saurait être justifié, en particulier parce que la SRC était parfaitement au courant du prononcé de l’interdiction et de sa reconduction — et qu’elle était présente — dès le début de l’instance. De plus, le délai en l’espèce cause un préjudice grave aux membres de la famille, qui s’attendaient raisonnablement à ce que leur droit au respect de la vie privée et à la dignité soit protégé par le caractère définitif de l’instance et à ce qu’ils n’aient pas à comparaître de nouveau devant le tribunal. </w:t>
      </w:r>
      <w:r>
        <w:t xml:space="preserve">Je ne </w:t>
      </w:r>
      <w:proofErr w:type="spellStart"/>
      <w:r>
        <w:t>vois</w:t>
      </w:r>
      <w:proofErr w:type="spellEnd"/>
      <w:r>
        <w:t xml:space="preserve"> aucune raison de prolonger leur </w:t>
      </w:r>
      <w:proofErr w:type="spellStart"/>
      <w:r>
        <w:t>détresse</w:t>
      </w:r>
      <w:proofErr w:type="spellEnd"/>
      <w:r>
        <w:t>.</w:t>
      </w:r>
    </w:p>
    <w:p w:rsidR="009F09DA" w:rsidRPr="009F09DA" w:rsidRDefault="009F09DA" w:rsidP="009F09DA">
      <w:pPr>
        <w:pStyle w:val="ParaNoNdepar-AltN"/>
        <w:rPr>
          <w:lang w:val="fr-CA"/>
        </w:rPr>
      </w:pPr>
      <w:r w:rsidRPr="009F09DA">
        <w:rPr>
          <w:lang w:val="fr-CA"/>
        </w:rPr>
        <w:t>Même s’il est vrai que le pourvoi formé par la SRC directement à l’encontre de l’interdiction de publication est arrivé techniquement devant notre Cour dans une demande d’autorisation d’appel distincte de celle concernant le refus de la Cour d’appel de réexaminer cette interdiction, les deux pourvois visent en fin de compte à obtenir la même réparation : la levée de l’interdiction de publication. Dans le contexte unique de l’espèce, il est logique que l’autorisation des deux pourvois ait été accordée simultanément puisque la réparation demandée en fin de compte était la même. De plus, la question juridique de savoir dans quels cas les médias peuvent faire réexaminer une ordonnance de non</w:t>
      </w:r>
      <w:r w:rsidRPr="009F09DA">
        <w:rPr>
          <w:lang w:val="fr-CA"/>
        </w:rPr>
        <w:noBreakHyphen/>
        <w:t>publication après la conclusion d’une instance revêt une « importance [. . .] pour le public » qui nécessite des directives de la part de notre Cour (</w:t>
      </w:r>
      <w:r w:rsidRPr="009F09DA">
        <w:rPr>
          <w:i/>
          <w:lang w:val="fr-CA"/>
        </w:rPr>
        <w:t>Loi sur la Cour suprême</w:t>
      </w:r>
      <w:r w:rsidRPr="009F09DA">
        <w:rPr>
          <w:lang w:val="fr-CA"/>
        </w:rPr>
        <w:t>, L.R.C. 1985, c. S</w:t>
      </w:r>
      <w:r w:rsidRPr="009F09DA">
        <w:rPr>
          <w:lang w:val="fr-CA"/>
        </w:rPr>
        <w:noBreakHyphen/>
        <w:t>26, par. 40(1)).</w:t>
      </w:r>
    </w:p>
    <w:p w:rsidR="009F09DA" w:rsidRPr="009F09DA" w:rsidRDefault="009F09DA" w:rsidP="009F09DA">
      <w:pPr>
        <w:pStyle w:val="ParaNoNdepar-AltN"/>
        <w:rPr>
          <w:lang w:val="fr-CA"/>
        </w:rPr>
      </w:pPr>
      <w:r w:rsidRPr="009F09DA">
        <w:rPr>
          <w:lang w:val="fr-CA"/>
        </w:rPr>
        <w:t xml:space="preserve">Étant donné qu’à mon humble avis, la SRC n’avait pas droit au réexamen de l’interdiction de publication en raison de son retard indu et injustifié à présenter sa motion, il serait incongru de conclure que l’incidence du retard de la SRC est différente dans le pourvoi qu’elle a formé contre l’interdiction en tant que telle que dans le pourvoi à l’encontre du rejet de la motion en réexamen. Le pourvoi en réexamen de l’interdiction porte sur cette même interdiction. Prétendre qu’il s’agit de deux questions juridiques distinctes qui requièrent un examen conceptuel distinct reviendrait à faire triompher le formalisme procédural sur la réalité pratique. Un retard indu dans un cas est un retard indu dans l’autre cas. </w:t>
      </w:r>
    </w:p>
    <w:p w:rsidR="009F09DA" w:rsidRPr="009F09DA" w:rsidRDefault="009F09DA" w:rsidP="009F09DA">
      <w:pPr>
        <w:pStyle w:val="ParaNoNdepar-AltN"/>
        <w:rPr>
          <w:lang w:val="fr-CA"/>
        </w:rPr>
      </w:pPr>
      <w:r w:rsidRPr="009F09DA">
        <w:rPr>
          <w:lang w:val="fr-CA"/>
        </w:rPr>
        <w:t xml:space="preserve">Quant au traitement qu’il convient de réserver à la récente décision de notre Cour dans l’affaire </w:t>
      </w:r>
      <w:r w:rsidRPr="009F09DA">
        <w:rPr>
          <w:i/>
          <w:lang w:val="fr-CA"/>
        </w:rPr>
        <w:t>Sherman (Succession) c. Donovan</w:t>
      </w:r>
      <w:r w:rsidRPr="009F09DA">
        <w:rPr>
          <w:lang w:val="fr-CA"/>
        </w:rPr>
        <w:t>, 2021 CSC 25, il était loisible aux juges majoritaires de chercher à obtenir des éclaircissements compte tenu des motifs énoncés dans cet arrêt. Cette façon de faire se serait mieux accordée avec la pratique habituelle de notre Cour lorsqu’elle entend des pourvois relatifs à une interdiction de publication, soit de statuer sur ceux</w:t>
      </w:r>
      <w:r w:rsidRPr="009F09DA">
        <w:rPr>
          <w:lang w:val="fr-CA"/>
        </w:rPr>
        <w:noBreakHyphen/>
        <w:t xml:space="preserve">ci plutôt que de les renvoyer à la cour qui a imposé l’interdiction. Cela aurait aussi limité la prolongation de l’instance. De toute manière, avec égards, je ne vois rien dans l’arrêt </w:t>
      </w:r>
      <w:r w:rsidRPr="009F09DA">
        <w:rPr>
          <w:i/>
          <w:lang w:val="fr-CA"/>
        </w:rPr>
        <w:t>Sherman</w:t>
      </w:r>
      <w:r w:rsidRPr="009F09DA">
        <w:rPr>
          <w:lang w:val="fr-CA"/>
        </w:rPr>
        <w:t xml:space="preserve"> qui soit pertinent pour les intérêts de la SRC au point de justifier que l’on passe outre au délai injustifié. </w:t>
      </w:r>
    </w:p>
    <w:p w:rsidR="009F09DA" w:rsidRPr="009F09DA" w:rsidRDefault="009F09DA" w:rsidP="009F09DA">
      <w:pPr>
        <w:pStyle w:val="ParaNoNdepar-AltN"/>
        <w:rPr>
          <w:lang w:val="fr-CA"/>
        </w:rPr>
      </w:pPr>
      <w:r w:rsidRPr="009F09DA">
        <w:rPr>
          <w:lang w:val="fr-CA"/>
        </w:rPr>
        <w:t xml:space="preserve">Notre Cour conserve un pouvoir discrétionnaire limité qui lui permet de refuser d’examiner le pourvoi au fond, même après que l’autorisation eut été accordée. Comme l’a écrit le juge en chef Laskin au nom de la Cour dans l’arrêt </w:t>
      </w:r>
      <w:r w:rsidRPr="009F09DA">
        <w:rPr>
          <w:i/>
          <w:lang w:val="fr-CA"/>
        </w:rPr>
        <w:t>Canadian Cablesystems (Ontario) Ltd. c. Association des consommateurs du Canada</w:t>
      </w:r>
      <w:r w:rsidRPr="009F09DA">
        <w:rPr>
          <w:lang w:val="fr-CA"/>
        </w:rPr>
        <w:t>, [1977] 2 R.C.S. 740 :</w:t>
      </w:r>
    </w:p>
    <w:p w:rsidR="009F09DA" w:rsidRPr="009F09DA" w:rsidRDefault="009F09DA" w:rsidP="009F09DA">
      <w:pPr>
        <w:pStyle w:val="Citation-AltC"/>
        <w:ind w:hanging="1166"/>
        <w:rPr>
          <w:lang w:val="fr-CA"/>
        </w:rPr>
      </w:pPr>
      <w:r w:rsidRPr="009F09DA">
        <w:rPr>
          <w:lang w:val="fr-CA"/>
        </w:rPr>
        <w:tab/>
        <w:t xml:space="preserve">Une fois l’autorisation accordée, cette Cour ne refusera que rarement d’examiner le pourvoi au fond, mais elle a indubitablement le pouvoir de le </w:t>
      </w:r>
      <w:proofErr w:type="gramStart"/>
      <w:r w:rsidRPr="009F09DA">
        <w:rPr>
          <w:lang w:val="fr-CA"/>
        </w:rPr>
        <w:t>faire .</w:t>
      </w:r>
      <w:proofErr w:type="gramEnd"/>
      <w:r w:rsidRPr="009F09DA">
        <w:rPr>
          <w:lang w:val="fr-CA"/>
        </w:rPr>
        <w:t> . . [p. 742]</w:t>
      </w:r>
    </w:p>
    <w:p w:rsidR="009F09DA" w:rsidRPr="009F09DA" w:rsidRDefault="009F09DA" w:rsidP="009F09DA">
      <w:pPr>
        <w:pStyle w:val="ContinueParaSuitedupar-AltP"/>
        <w:rPr>
          <w:lang w:val="fr-CA"/>
        </w:rPr>
      </w:pPr>
      <w:r w:rsidRPr="009F09DA">
        <w:rPr>
          <w:lang w:val="fr-CA"/>
        </w:rPr>
        <w:t xml:space="preserve">Il s’agit de l’un des rares cas où les intérêts de la justice justifient le refus d’examiner le pourvoi au fond. </w:t>
      </w:r>
    </w:p>
    <w:p w:rsidR="009F09DA" w:rsidRPr="009F09DA" w:rsidRDefault="009F09DA" w:rsidP="009F09DA">
      <w:pPr>
        <w:pStyle w:val="ParaNoNdepar-AltN"/>
        <w:rPr>
          <w:lang w:val="fr-CA"/>
        </w:rPr>
      </w:pPr>
      <w:r w:rsidRPr="009F09DA">
        <w:rPr>
          <w:lang w:val="fr-CA"/>
        </w:rPr>
        <w:t xml:space="preserve">Je suis d’avis de rejeter les pourvois. </w:t>
      </w:r>
    </w:p>
    <w:p w:rsidR="009F09DA" w:rsidRDefault="009F09DA" w:rsidP="009F09DA">
      <w:pPr>
        <w:pStyle w:val="SCCNormalDoubleSpacing"/>
        <w:spacing w:after="480"/>
        <w:rPr>
          <w:lang w:val="fr-CA"/>
        </w:rPr>
      </w:pPr>
    </w:p>
    <w:p w:rsidR="00CC79D5" w:rsidRDefault="00EE666A">
      <w:pPr>
        <w:pStyle w:val="SCCNormalDoubleSpacing"/>
        <w:spacing w:after="480"/>
        <w:rPr>
          <w:lang w:val="fr-CA"/>
        </w:rPr>
      </w:pPr>
      <w:r>
        <w:rPr>
          <w:lang w:val="fr-CA"/>
        </w:rPr>
        <w:tab/>
      </w:r>
      <w:r>
        <w:rPr>
          <w:i/>
          <w:lang w:val="fr-CA"/>
        </w:rPr>
        <w:t xml:space="preserve">Pourvoi formé contre la motion en annulation </w:t>
      </w:r>
      <w:r w:rsidR="00077E48">
        <w:rPr>
          <w:i/>
          <w:lang w:val="fr-CA"/>
        </w:rPr>
        <w:t xml:space="preserve">de l’interdiction de publication </w:t>
      </w:r>
      <w:r>
        <w:rPr>
          <w:i/>
          <w:lang w:val="fr-CA"/>
        </w:rPr>
        <w:t xml:space="preserve">accueilli. Pourvoi formé contre l’interdiction de publication ajourné sine die. La juge </w:t>
      </w:r>
      <w:r w:rsidRPr="00077E48">
        <w:rPr>
          <w:smallCaps/>
          <w:lang w:val="fr-CA"/>
        </w:rPr>
        <w:t>Abella</w:t>
      </w:r>
      <w:r>
        <w:rPr>
          <w:i/>
          <w:lang w:val="fr-CA"/>
        </w:rPr>
        <w:t xml:space="preserve"> est dissidente. </w:t>
      </w:r>
    </w:p>
    <w:p w:rsidR="00CC79D5" w:rsidRDefault="00EE666A">
      <w:pPr>
        <w:pStyle w:val="SCCLawFirm"/>
        <w:spacing w:after="480"/>
        <w:rPr>
          <w:lang w:val="fr-CA"/>
        </w:rPr>
      </w:pPr>
      <w:r>
        <w:rPr>
          <w:lang w:val="fr-CA"/>
        </w:rPr>
        <w:tab/>
        <w:t>Procureurs de l’appelante :</w:t>
      </w:r>
      <w:r w:rsidR="00077E48">
        <w:rPr>
          <w:lang w:val="fr-CA"/>
        </w:rPr>
        <w:t xml:space="preserve"> </w:t>
      </w:r>
      <w:r>
        <w:rPr>
          <w:lang w:val="fr-CA"/>
        </w:rPr>
        <w:t>MLT Aikins, Winnipeg; Société Radio</w:t>
      </w:r>
      <w:r>
        <w:rPr>
          <w:lang w:val="fr-CA"/>
        </w:rPr>
        <w:noBreakHyphen/>
        <w:t>Canada, Toronto.</w:t>
      </w:r>
    </w:p>
    <w:p w:rsidR="00CC79D5" w:rsidRDefault="00EE666A">
      <w:pPr>
        <w:pStyle w:val="SCCLawFirm"/>
        <w:spacing w:after="480"/>
        <w:rPr>
          <w:lang w:val="fr-CA"/>
        </w:rPr>
      </w:pPr>
      <w:r>
        <w:rPr>
          <w:lang w:val="fr-CA"/>
        </w:rPr>
        <w:tab/>
        <w:t>Procureur de l’intimée Sa Majesté la Reine : Procureur général du Manitoba, Winnipeg.</w:t>
      </w:r>
    </w:p>
    <w:p w:rsidR="00CC79D5" w:rsidRDefault="00EE666A">
      <w:pPr>
        <w:pStyle w:val="SCCLawFirm"/>
        <w:spacing w:after="480"/>
        <w:rPr>
          <w:lang w:val="en-US"/>
        </w:rPr>
      </w:pPr>
      <w:r>
        <w:rPr>
          <w:lang w:val="fr-CA"/>
        </w:rPr>
        <w:tab/>
      </w:r>
      <w:r>
        <w:rPr>
          <w:lang w:val="en-US"/>
        </w:rPr>
        <w:t xml:space="preserve">Procureurs de </w:t>
      </w:r>
      <w:proofErr w:type="spellStart"/>
      <w:r>
        <w:rPr>
          <w:lang w:val="en-US"/>
        </w:rPr>
        <w:t>l’intimé</w:t>
      </w:r>
      <w:proofErr w:type="spellEnd"/>
      <w:r>
        <w:rPr>
          <w:lang w:val="en-US"/>
        </w:rPr>
        <w:t xml:space="preserve"> Stanley Frank </w:t>
      </w:r>
      <w:proofErr w:type="gramStart"/>
      <w:r>
        <w:rPr>
          <w:lang w:val="en-US"/>
        </w:rPr>
        <w:t>Ostrowski :</w:t>
      </w:r>
      <w:proofErr w:type="gramEnd"/>
      <w:r>
        <w:rPr>
          <w:lang w:val="en-US"/>
        </w:rPr>
        <w:t> </w:t>
      </w:r>
      <w:proofErr w:type="spellStart"/>
      <w:r>
        <w:t>Strosberg</w:t>
      </w:r>
      <w:proofErr w:type="spellEnd"/>
      <w:r>
        <w:t xml:space="preserve"> </w:t>
      </w:r>
      <w:proofErr w:type="spellStart"/>
      <w:r>
        <w:t>Sasso</w:t>
      </w:r>
      <w:proofErr w:type="spellEnd"/>
      <w:r>
        <w:t xml:space="preserve"> </w:t>
      </w:r>
      <w:proofErr w:type="spellStart"/>
      <w:r>
        <w:t>Sutts</w:t>
      </w:r>
      <w:proofErr w:type="spellEnd"/>
      <w:r>
        <w:t xml:space="preserve">, Windsor; </w:t>
      </w:r>
      <w:r>
        <w:rPr>
          <w:lang w:val="en-US"/>
        </w:rPr>
        <w:t>Lockyer Campbell Posner, Toronto.</w:t>
      </w:r>
    </w:p>
    <w:p w:rsidR="00CC79D5" w:rsidRDefault="00EE666A">
      <w:pPr>
        <w:pStyle w:val="SCCLawFirm"/>
        <w:spacing w:after="480"/>
        <w:rPr>
          <w:lang w:val="fr-CA"/>
        </w:rPr>
      </w:pPr>
      <w:r>
        <w:rPr>
          <w:lang w:val="en-US"/>
        </w:rPr>
        <w:tab/>
      </w:r>
      <w:r>
        <w:rPr>
          <w:lang w:val="fr-CA"/>
        </w:rPr>
        <w:t xml:space="preserve">Procureurs des intimés B.B., conjointe de feu M.D., et J.D., en sa qualité d’exécuteur de la succession de feu M.D. : Robert </w:t>
      </w:r>
      <w:proofErr w:type="spellStart"/>
      <w:r>
        <w:rPr>
          <w:lang w:val="fr-CA"/>
        </w:rPr>
        <w:t>Gosman</w:t>
      </w:r>
      <w:proofErr w:type="spellEnd"/>
      <w:r>
        <w:rPr>
          <w:lang w:val="fr-CA"/>
        </w:rPr>
        <w:t xml:space="preserve"> Law Corporation, Winnipeg.</w:t>
      </w:r>
    </w:p>
    <w:p w:rsidR="00CC79D5" w:rsidRDefault="00EE666A">
      <w:pPr>
        <w:pStyle w:val="SCCLawFirm"/>
        <w:spacing w:after="480"/>
        <w:rPr>
          <w:lang w:val="fr-CA"/>
        </w:rPr>
      </w:pPr>
      <w:r>
        <w:rPr>
          <w:lang w:val="fr-CA"/>
        </w:rPr>
        <w:tab/>
        <w:t>Procureur de l’intervenant le procureur général de l’Ontario : Procureur général de l’Ontario, Toronto.</w:t>
      </w:r>
    </w:p>
    <w:p w:rsidR="00CC79D5" w:rsidRDefault="00EE666A">
      <w:pPr>
        <w:pStyle w:val="SCCLawFirm"/>
        <w:spacing w:after="480"/>
        <w:rPr>
          <w:lang w:val="fr-CA"/>
        </w:rPr>
      </w:pPr>
      <w:r>
        <w:rPr>
          <w:lang w:val="fr-CA"/>
        </w:rPr>
        <w:tab/>
        <w:t>Procureur de l’intervenant le procureur général de la Colombie</w:t>
      </w:r>
      <w:r>
        <w:rPr>
          <w:lang w:val="fr-CA"/>
        </w:rPr>
        <w:noBreakHyphen/>
        <w:t>Britannique : Procureur général de la Colombie</w:t>
      </w:r>
      <w:r>
        <w:rPr>
          <w:lang w:val="fr-CA"/>
        </w:rPr>
        <w:noBreakHyphen/>
        <w:t>Britannique, Victoria.</w:t>
      </w:r>
    </w:p>
    <w:p w:rsidR="00CC79D5" w:rsidRDefault="00EE666A">
      <w:pPr>
        <w:pStyle w:val="SCCLawFirm"/>
        <w:spacing w:after="480"/>
        <w:rPr>
          <w:lang w:val="fr-CA"/>
        </w:rPr>
      </w:pPr>
      <w:r>
        <w:rPr>
          <w:lang w:val="fr-CA"/>
        </w:rPr>
        <w:tab/>
        <w:t>Procureurs des intervenants Centre for Free Expression, l’Association canadienne des journalistes, Médias d’Info Canada et Guilde canadienne des médias/Syndicat des communications d’Amérique/Canada : Stockwoods, Toronto.</w:t>
      </w:r>
    </w:p>
    <w:p w:rsidR="00CC79D5" w:rsidRDefault="00EE666A">
      <w:pPr>
        <w:pStyle w:val="SCCLawFirm"/>
      </w:pPr>
      <w:r>
        <w:rPr>
          <w:lang w:val="fr-CA"/>
        </w:rPr>
        <w:tab/>
      </w:r>
      <w:r>
        <w:t xml:space="preserve">Procureurs de l’intervenante Ad Idem/Canadian Media Lawyers </w:t>
      </w:r>
      <w:proofErr w:type="gramStart"/>
      <w:r>
        <w:t>Association :</w:t>
      </w:r>
      <w:proofErr w:type="gramEnd"/>
      <w:r>
        <w:t> Reynolds Mirth Richards &amp; Farmer, Edmonton.</w:t>
      </w:r>
    </w:p>
    <w:sectPr w:rsidR="00CC79D5">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9D5" w:rsidRDefault="00EE666A">
      <w:r>
        <w:separator/>
      </w:r>
    </w:p>
  </w:endnote>
  <w:endnote w:type="continuationSeparator" w:id="0">
    <w:p w:rsidR="00CC79D5" w:rsidRDefault="00EE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2D" w:rsidRDefault="00CD2D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2D" w:rsidRDefault="00CD2D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2D" w:rsidRDefault="00CD2D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9D5" w:rsidRDefault="00EE666A">
      <w:r>
        <w:separator/>
      </w:r>
    </w:p>
  </w:footnote>
  <w:footnote w:type="continuationSeparator" w:id="0">
    <w:p w:rsidR="00CC79D5" w:rsidRDefault="00EE6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2D" w:rsidRDefault="00CD2D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9D5" w:rsidRDefault="00CC79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2D" w:rsidRDefault="00CD2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B90864"/>
    <w:multiLevelType w:val="hybridMultilevel"/>
    <w:tmpl w:val="154C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197B2A"/>
    <w:multiLevelType w:val="hybridMultilevel"/>
    <w:tmpl w:val="8ABC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BFC410D"/>
    <w:multiLevelType w:val="hybridMultilevel"/>
    <w:tmpl w:val="AE081B2C"/>
    <w:lvl w:ilvl="0" w:tplc="DEFE4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2C7684A"/>
    <w:multiLevelType w:val="hybridMultilevel"/>
    <w:tmpl w:val="5E56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B5F5E"/>
    <w:multiLevelType w:val="hybridMultilevel"/>
    <w:tmpl w:val="A5B48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27867"/>
    <w:multiLevelType w:val="hybridMultilevel"/>
    <w:tmpl w:val="A1468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1B6B0E"/>
    <w:multiLevelType w:val="hybridMultilevel"/>
    <w:tmpl w:val="78E67E0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0" w15:restartNumberingAfterBreak="0">
    <w:nsid w:val="45B61A52"/>
    <w:multiLevelType w:val="hybridMultilevel"/>
    <w:tmpl w:val="D310B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2" w15:restartNumberingAfterBreak="0">
    <w:nsid w:val="47217C75"/>
    <w:multiLevelType w:val="hybridMultilevel"/>
    <w:tmpl w:val="D6E0F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2624771"/>
    <w:multiLevelType w:val="hybridMultilevel"/>
    <w:tmpl w:val="05E45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70D01"/>
    <w:multiLevelType w:val="multilevel"/>
    <w:tmpl w:val="2CAAE052"/>
    <w:lvl w:ilvl="0">
      <w:start w:val="1"/>
      <w:numFmt w:val="decimal"/>
      <w:lvlText w:val="[%1]"/>
      <w:lvlJc w:val="left"/>
      <w:pPr>
        <w:tabs>
          <w:tab w:val="num" w:pos="1152"/>
        </w:tabs>
        <w:ind w:left="0" w:firstLine="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A512D2"/>
    <w:multiLevelType w:val="hybridMultilevel"/>
    <w:tmpl w:val="7FFE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580B62"/>
    <w:multiLevelType w:val="hybridMultilevel"/>
    <w:tmpl w:val="37843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E3CD1"/>
    <w:multiLevelType w:val="hybridMultilevel"/>
    <w:tmpl w:val="0BDC7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BE1162"/>
    <w:multiLevelType w:val="hybridMultilevel"/>
    <w:tmpl w:val="35C08A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BE7120"/>
    <w:multiLevelType w:val="hybridMultilevel"/>
    <w:tmpl w:val="66EE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4"/>
  </w:num>
  <w:num w:numId="4">
    <w:abstractNumId w:val="12"/>
  </w:num>
  <w:num w:numId="5">
    <w:abstractNumId w:val="24"/>
  </w:num>
  <w:num w:numId="6">
    <w:abstractNumId w:val="25"/>
  </w:num>
  <w:num w:numId="7">
    <w:abstractNumId w:val="21"/>
  </w:num>
  <w:num w:numId="8">
    <w:abstractNumId w:val="21"/>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num>
  <w:num w:numId="21">
    <w:abstractNumId w:val="15"/>
  </w:num>
  <w:num w:numId="22">
    <w:abstractNumId w:val="26"/>
  </w:num>
  <w:num w:numId="23">
    <w:abstractNumId w:val="29"/>
  </w:num>
  <w:num w:numId="24">
    <w:abstractNumId w:val="16"/>
  </w:num>
  <w:num w:numId="25">
    <w:abstractNumId w:val="13"/>
  </w:num>
  <w:num w:numId="26">
    <w:abstractNumId w:val="19"/>
  </w:num>
  <w:num w:numId="27">
    <w:abstractNumId w:val="10"/>
  </w:num>
  <w:num w:numId="28">
    <w:abstractNumId w:val="34"/>
  </w:num>
  <w:num w:numId="29">
    <w:abstractNumId w:val="11"/>
  </w:num>
  <w:num w:numId="30">
    <w:abstractNumId w:val="27"/>
  </w:num>
  <w:num w:numId="31">
    <w:abstractNumId w:val="20"/>
  </w:num>
  <w:num w:numId="32">
    <w:abstractNumId w:val="31"/>
  </w:num>
  <w:num w:numId="33">
    <w:abstractNumId w:val="22"/>
  </w:num>
  <w:num w:numId="34">
    <w:abstractNumId w:val="1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7">
    <w:abstractNumId w:val="3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9D5"/>
    <w:rsid w:val="00077E48"/>
    <w:rsid w:val="00456F53"/>
    <w:rsid w:val="00556B35"/>
    <w:rsid w:val="007D1A32"/>
    <w:rsid w:val="009F09DA"/>
    <w:rsid w:val="00CC79D5"/>
    <w:rsid w:val="00CD2D2D"/>
    <w:rsid w:val="00E533E1"/>
    <w:rsid w:val="00EE666A"/>
    <w:rsid w:val="00FB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uiPriority w:val="9"/>
    <w:qFormat/>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F09DA"/>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9F09DA"/>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9F09DA"/>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9F09DA"/>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9F09DA"/>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9F09DA"/>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9F09DA"/>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pPr>
      <w:widowControl w:val="0"/>
    </w:pPr>
  </w:style>
  <w:style w:type="paragraph" w:customStyle="1" w:styleId="SCCNormalDoubleSpacing">
    <w:name w:val="SCC.Normal.DoubleSpacing"/>
    <w:basedOn w:val="Normal"/>
    <w:link w:val="SCCNormalDoubleSpacingChar"/>
    <w:pPr>
      <w:tabs>
        <w:tab w:val="left" w:pos="1168"/>
      </w:tabs>
      <w:spacing w:line="480" w:lineRule="auto"/>
      <w:jc w:val="both"/>
    </w:pPr>
  </w:style>
  <w:style w:type="character" w:customStyle="1" w:styleId="SCCNormalDoubleSpacingChar">
    <w:name w:val="SCC.Normal.DoubleSpacing Char"/>
    <w:basedOn w:val="DefaultParagraphFont"/>
    <w:link w:val="SCCNormalDoubleSpacing"/>
    <w:rPr>
      <w:sz w:val="24"/>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sz w:val="24"/>
      <w:lang w:val="en-US"/>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4"/>
      <w:lang w:val="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4"/>
      <w:lang w:val="en-US"/>
    </w:rPr>
  </w:style>
  <w:style w:type="paragraph" w:customStyle="1" w:styleId="SCCLsocParty">
    <w:name w:val="SCC.Lsoc.Party"/>
    <w:basedOn w:val="Normal"/>
    <w:next w:val="Normal"/>
    <w:link w:val="SCCLsocPartyChar"/>
    <w:pPr>
      <w:tabs>
        <w:tab w:val="right" w:pos="8222"/>
      </w:tabs>
      <w:jc w:val="both"/>
    </w:pPr>
    <w:rPr>
      <w:b/>
    </w:rPr>
  </w:style>
  <w:style w:type="character" w:customStyle="1" w:styleId="SCCLsocPartyChar">
    <w:name w:val="SCC.Lsoc.Party Char"/>
    <w:basedOn w:val="DefaultParagraphFont"/>
    <w:link w:val="SCCLsocParty"/>
    <w:rPr>
      <w:b/>
      <w:sz w:val="24"/>
    </w:rPr>
  </w:style>
  <w:style w:type="paragraph" w:customStyle="1" w:styleId="SCCLsocVersus">
    <w:name w:val="SCC.Lsoc.Versus"/>
    <w:basedOn w:val="Normal"/>
    <w:next w:val="Normal"/>
    <w:link w:val="SCCLsocVersusChar"/>
    <w:pPr>
      <w:spacing w:after="720"/>
    </w:pPr>
    <w:rPr>
      <w:i/>
    </w:rPr>
  </w:style>
  <w:style w:type="character" w:customStyle="1" w:styleId="SCCLsocVersusChar">
    <w:name w:val="SCC.Lsoc.Versus Char"/>
    <w:basedOn w:val="DefaultParagraphFont"/>
    <w:link w:val="SCCLsocVersus"/>
    <w:rPr>
      <w:i/>
      <w:sz w:val="24"/>
    </w:rPr>
  </w:style>
  <w:style w:type="character" w:customStyle="1" w:styleId="SCCLsocPartyRole">
    <w:name w:val="SCC.Lsoc.PartyRole"/>
    <w:basedOn w:val="SCCLsocLastPartyInRoleChar"/>
    <w:uiPriority w:val="1"/>
    <w:rPr>
      <w:b/>
      <w:i/>
      <w:sz w:val="24"/>
    </w:rPr>
  </w:style>
  <w:style w:type="paragraph" w:customStyle="1" w:styleId="SCCLsocSubfileSeparator">
    <w:name w:val="SCC.Lsoc.SubfileSeparator"/>
    <w:basedOn w:val="Normal"/>
    <w:next w:val="Normal"/>
    <w:link w:val="SCCLsocSubfileSeparatorChar"/>
    <w:pPr>
      <w:spacing w:after="720"/>
    </w:pPr>
  </w:style>
  <w:style w:type="character" w:customStyle="1" w:styleId="SCCLsocSubfileSeparatorChar">
    <w:name w:val="SCC.Lsoc.SubfileSeparator Char"/>
    <w:basedOn w:val="DefaultParagraphFont"/>
    <w:link w:val="SCCLsocSubfileSeparator"/>
    <w:rPr>
      <w:sz w:val="24"/>
    </w:rPr>
  </w:style>
  <w:style w:type="paragraph" w:customStyle="1" w:styleId="SCCLsocOtherPartySeparator">
    <w:name w:val="SCC.Lsoc.OtherPartySeparator"/>
    <w:basedOn w:val="Normal"/>
    <w:next w:val="Normal"/>
    <w:link w:val="SCCLsocOtherPartySeparatorChar"/>
    <w:pPr>
      <w:spacing w:after="720"/>
    </w:pPr>
  </w:style>
  <w:style w:type="character" w:customStyle="1" w:styleId="SCCLsocOtherPartySeparatorChar">
    <w:name w:val="SCC.Lsoc.OtherPartySeparator Char"/>
    <w:basedOn w:val="DefaultParagraphFont"/>
    <w:link w:val="SCCLsocOtherPartySeparator"/>
    <w:rPr>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pPr>
      <w:jc w:val="right"/>
    </w:pPr>
    <w:rPr>
      <w:b/>
    </w:rPr>
  </w:style>
  <w:style w:type="paragraph" w:customStyle="1" w:styleId="SCCAppellantForRunningHead">
    <w:name w:val="SCC.AppellantForRunningHead"/>
    <w:basedOn w:val="Normal"/>
    <w:next w:val="Normal"/>
    <w:link w:val="SCCAppellantForRunningHeadChar"/>
    <w:rPr>
      <w:smallCaps/>
    </w:rPr>
  </w:style>
  <w:style w:type="character" w:customStyle="1" w:styleId="SCCAppellantForRunningHeadChar">
    <w:name w:val="SCC.AppellantForRunningHead Char"/>
    <w:basedOn w:val="DefaultParagraphFont"/>
    <w:link w:val="SCCAppellantForRunningHead"/>
    <w:rPr>
      <w:smallCaps/>
      <w:sz w:val="24"/>
    </w:rPr>
  </w:style>
  <w:style w:type="paragraph" w:customStyle="1" w:styleId="SCCRespondentForRunningHead">
    <w:name w:val="SCC.RespondentForRunningHead"/>
    <w:basedOn w:val="Normal"/>
    <w:next w:val="Normal"/>
    <w:link w:val="SCCRespondentForRunningHeadChar"/>
    <w:rPr>
      <w:smallCaps/>
    </w:rPr>
  </w:style>
  <w:style w:type="character" w:customStyle="1" w:styleId="SCCRespondentForRunningHeadChar">
    <w:name w:val="SCC.RespondentForRunningHead Char"/>
    <w:basedOn w:val="DefaultParagraphFont"/>
    <w:link w:val="SCCRespondentForRunningHead"/>
    <w:rPr>
      <w:smallCaps/>
      <w:sz w:val="24"/>
    </w:rPr>
  </w:style>
  <w:style w:type="paragraph" w:customStyle="1" w:styleId="SCCAppellantForIndex">
    <w:name w:val="SCC.AppellantForIndex"/>
    <w:basedOn w:val="Normal"/>
    <w:next w:val="Normal"/>
    <w:link w:val="SCCAppellantForIndexChar"/>
    <w:rPr>
      <w:b/>
    </w:rPr>
  </w:style>
  <w:style w:type="character" w:customStyle="1" w:styleId="SCCAppellantForIndexChar">
    <w:name w:val="SCC.AppellantForIndex Char"/>
    <w:basedOn w:val="DefaultParagraphFont"/>
    <w:link w:val="SCCAppellantForIndex"/>
    <w:rPr>
      <w:b/>
      <w:sz w:val="24"/>
    </w:rPr>
  </w:style>
  <w:style w:type="paragraph" w:customStyle="1" w:styleId="SCCRespondentForIndex">
    <w:name w:val="SCC.RespondentForIndex"/>
    <w:basedOn w:val="Normal"/>
    <w:next w:val="Normal"/>
    <w:link w:val="SCCRespondentForIndexChar"/>
    <w:rPr>
      <w:b/>
    </w:rPr>
  </w:style>
  <w:style w:type="character" w:customStyle="1" w:styleId="SCCRespondentForIndexChar">
    <w:name w:val="SCC.RespondentForIndex Char"/>
    <w:basedOn w:val="DefaultParagraphFont"/>
    <w:link w:val="SCCRespondentForIndex"/>
    <w:rPr>
      <w:b/>
      <w:sz w:val="24"/>
    </w:rPr>
  </w:style>
  <w:style w:type="paragraph" w:customStyle="1" w:styleId="SCCSystemYear">
    <w:name w:val="SCC.SystemYear"/>
    <w:basedOn w:val="Normal"/>
    <w:next w:val="Normal"/>
    <w:link w:val="SCCSystemYearChar"/>
    <w:rPr>
      <w:b/>
    </w:rPr>
  </w:style>
  <w:style w:type="character" w:customStyle="1" w:styleId="SCCSystemYearChar">
    <w:name w:val="SCC.SystemYear Char"/>
    <w:basedOn w:val="DefaultParagraphFont"/>
    <w:link w:val="SCCSystemYear"/>
    <w:rPr>
      <w:b/>
      <w:sz w:val="24"/>
    </w:rPr>
  </w:style>
  <w:style w:type="paragraph" w:customStyle="1" w:styleId="SCCLowerCourtNameLowercase">
    <w:name w:val="SCC.LowerCourtNameLowercase"/>
    <w:basedOn w:val="SCCNormalDoubleSpacing"/>
    <w:next w:val="SCCNormalDoubleSpacing"/>
    <w:rPr>
      <w:smallCaps/>
    </w:rPr>
  </w:style>
  <w:style w:type="paragraph" w:customStyle="1" w:styleId="SCCCounselName">
    <w:name w:val="SCC.CounselName"/>
    <w:basedOn w:val="SCCNormalDoubleSpacing"/>
    <w:next w:val="SCCNormalDoubleSpacing"/>
    <w:link w:val="SCCCounselNameChar"/>
    <w:rPr>
      <w:i/>
    </w:rPr>
  </w:style>
  <w:style w:type="character" w:customStyle="1" w:styleId="SCCCounselNameChar">
    <w:name w:val="SCC.CounselName Char"/>
    <w:basedOn w:val="SCCNormalDoubleSpacingChar"/>
    <w:link w:val="SCCCounselName"/>
    <w:rPr>
      <w:i/>
      <w:sz w:val="24"/>
    </w:rPr>
  </w:style>
  <w:style w:type="paragraph" w:customStyle="1" w:styleId="SCCItalic">
    <w:name w:val="SCC.Italic"/>
    <w:basedOn w:val="SCCNormalDoubleSpacing"/>
    <w:next w:val="SCCNormalDoubleSpacing"/>
    <w:rPr>
      <w:i/>
    </w:rPr>
  </w:style>
  <w:style w:type="paragraph" w:customStyle="1" w:styleId="SCCAppellantForCitation">
    <w:name w:val="SCC.AppellantForCitation"/>
    <w:basedOn w:val="Normal"/>
    <w:next w:val="Normal"/>
    <w:link w:val="SCCAppellantForCitationChar"/>
    <w:rPr>
      <w:i/>
    </w:rPr>
  </w:style>
  <w:style w:type="character" w:customStyle="1" w:styleId="SCCAppellantForCitationChar">
    <w:name w:val="SCC.AppellantForCitation Char"/>
    <w:basedOn w:val="DefaultParagraphFont"/>
    <w:link w:val="SCCAppellantForCitation"/>
    <w:rPr>
      <w:i/>
      <w:sz w:val="24"/>
    </w:rPr>
  </w:style>
  <w:style w:type="paragraph" w:customStyle="1" w:styleId="SCCRespondentForCitation">
    <w:name w:val="SCC.RespondentForCitation"/>
    <w:basedOn w:val="Normal"/>
    <w:next w:val="Normal"/>
    <w:link w:val="SCCRespondentForCitationChar"/>
    <w:rPr>
      <w:i/>
    </w:rPr>
  </w:style>
  <w:style w:type="character" w:customStyle="1" w:styleId="SCCRespondentForCitationChar">
    <w:name w:val="SCC.RespondentForCitation Char"/>
    <w:basedOn w:val="DefaultParagraphFont"/>
    <w:link w:val="SCCRespondentForCitation"/>
    <w:rPr>
      <w:i/>
      <w:sz w:val="24"/>
    </w:rPr>
  </w:style>
  <w:style w:type="paragraph" w:customStyle="1" w:styleId="SCCCounselSeparator">
    <w:name w:val="SCC.CounselSeparator"/>
    <w:basedOn w:val="SCCNormalDoubleSpacing"/>
    <w:next w:val="SCCNormalDoubleSpacing"/>
    <w:link w:val="SCCCounselSeparatorChar"/>
  </w:style>
  <w:style w:type="character" w:customStyle="1" w:styleId="SCCCounselSeparatorChar">
    <w:name w:val="SCC.CounselSeparator Char"/>
    <w:basedOn w:val="SCCNormalDoubleSpacingChar"/>
    <w:link w:val="SCCCounselSeparator"/>
    <w:rPr>
      <w:sz w:val="24"/>
    </w:rPr>
  </w:style>
  <w:style w:type="paragraph" w:customStyle="1" w:styleId="SCCPartyRole">
    <w:name w:val="SCC.PartyRole"/>
    <w:basedOn w:val="SCCNormalDoubleSpacing"/>
    <w:next w:val="SCCNormalDoubleSpacing"/>
    <w:link w:val="SCCPartyRoleChar"/>
  </w:style>
  <w:style w:type="character" w:customStyle="1" w:styleId="SCCPartyRoleChar">
    <w:name w:val="SCC.PartyRole Char"/>
    <w:basedOn w:val="SCCNormalDoubleSpacingChar"/>
    <w:link w:val="SCCPartyRole"/>
    <w:rPr>
      <w:sz w:val="24"/>
    </w:rPr>
  </w:style>
  <w:style w:type="paragraph" w:customStyle="1" w:styleId="SCCLawFirm">
    <w:name w:val="SCC.LawFirm"/>
    <w:basedOn w:val="SCCNormalDoubleSpacing"/>
    <w:next w:val="SCCNormalDoubleSpacing"/>
    <w:link w:val="SCCLawFirmChar"/>
    <w:rPr>
      <w:i/>
    </w:rPr>
  </w:style>
  <w:style w:type="character" w:customStyle="1" w:styleId="SCCLawFirmChar">
    <w:name w:val="SCC.LawFirm Char"/>
    <w:basedOn w:val="SCCNormalDoubleSpacingChar"/>
    <w:link w:val="SCCLawFirm"/>
    <w:rPr>
      <w:i/>
      <w:sz w:val="24"/>
    </w:rPr>
  </w:style>
  <w:style w:type="paragraph" w:customStyle="1" w:styleId="SCCCounselPartyRole">
    <w:name w:val="SCC.CounselPartyRole"/>
    <w:basedOn w:val="SCCNormalDoubleSpacing"/>
    <w:next w:val="SCCNormalDoubleSpacing"/>
    <w:link w:val="SCCCounselPartyRoleChar"/>
  </w:style>
  <w:style w:type="character" w:customStyle="1" w:styleId="SCCCounselPartyRoleChar">
    <w:name w:val="SCC.CounselPartyRole Char"/>
    <w:basedOn w:val="SCCNormalDoubleSpacingChar"/>
    <w:link w:val="SCCCounselPartyRole"/>
    <w:rPr>
      <w:sz w:val="24"/>
    </w:rPr>
  </w:style>
  <w:style w:type="paragraph" w:customStyle="1" w:styleId="SCCLsocLastPartyInRole">
    <w:name w:val="SCC.Lsoc.LastPartyInRole"/>
    <w:basedOn w:val="Normal"/>
    <w:next w:val="Normal"/>
    <w:link w:val="SCCLsocLastPartyInRoleChar"/>
    <w:qFormat/>
    <w:pPr>
      <w:tabs>
        <w:tab w:val="right" w:pos="8222"/>
      </w:tabs>
      <w:spacing w:after="720"/>
    </w:pPr>
    <w:rPr>
      <w:b/>
    </w:rPr>
  </w:style>
  <w:style w:type="character" w:customStyle="1" w:styleId="SCCLsocLastPartyInRoleChar">
    <w:name w:val="SCC.Lsoc.LastPartyInRole Char"/>
    <w:basedOn w:val="SCCLsocPartyChar"/>
    <w:link w:val="SCCLsocLastPartyInRole"/>
    <w:rPr>
      <w:b/>
      <w:sz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customStyle="1" w:styleId="ParaNoNdepar-AltN">
    <w:name w:val="Para. No. / Nº de par. - Alt N"/>
    <w:link w:val="ParaNoNdepar-AltNChar"/>
    <w:qFormat/>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9F09D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9F09D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9F09D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9F09D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9F09DA"/>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9F09D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9F09DA"/>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9F09DA"/>
    <w:pPr>
      <w:spacing w:after="480"/>
    </w:pPr>
    <w:rPr>
      <w:rFonts w:eastAsiaTheme="minorHAnsi" w:cstheme="minorBidi"/>
      <w:szCs w:val="22"/>
      <w:lang w:eastAsia="en-US"/>
    </w:rPr>
  </w:style>
  <w:style w:type="paragraph" w:customStyle="1" w:styleId="SCCCoram">
    <w:name w:val="SCC.Coram"/>
    <w:basedOn w:val="Normal"/>
    <w:next w:val="Normal"/>
    <w:link w:val="SCCCoramChar"/>
    <w:rsid w:val="009F09DA"/>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9F09DA"/>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9F09DA"/>
    <w:rPr>
      <w:rFonts w:eastAsiaTheme="minorHAnsi" w:cstheme="minorBidi"/>
      <w:sz w:val="24"/>
      <w:szCs w:val="22"/>
      <w:lang w:eastAsia="en-US"/>
    </w:rPr>
  </w:style>
  <w:style w:type="character" w:customStyle="1" w:styleId="SCCBanSummaryChar">
    <w:name w:val="SCC.BanSummary Char"/>
    <w:basedOn w:val="DefaultParagraphFont"/>
    <w:link w:val="SCCBanSummary"/>
    <w:rsid w:val="009F09DA"/>
    <w:rPr>
      <w:b/>
      <w:sz w:val="24"/>
    </w:rPr>
  </w:style>
  <w:style w:type="table" w:styleId="TableGrid">
    <w:name w:val="Table Grid"/>
    <w:basedOn w:val="TableNormal"/>
    <w:uiPriority w:val="59"/>
    <w:rsid w:val="009F09DA"/>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9F09DA"/>
    <w:pPr>
      <w:spacing w:after="720"/>
      <w:ind w:left="1166"/>
      <w:contextualSpacing/>
      <w:jc w:val="both"/>
    </w:pPr>
    <w:rPr>
      <w:sz w:val="24"/>
      <w:szCs w:val="24"/>
    </w:rPr>
  </w:style>
  <w:style w:type="paragraph" w:customStyle="1" w:styleId="ContinueParaSuitedupar-AltP">
    <w:name w:val="Continue Para. / Suite du par. - Alt P"/>
    <w:next w:val="ParaNoNdepar-AltN"/>
    <w:link w:val="ContinueParaSuitedupar-AltPChar"/>
    <w:uiPriority w:val="1"/>
    <w:qFormat/>
    <w:rsid w:val="009F09DA"/>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9F09DA"/>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9F09DA"/>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9F09DA"/>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9F09DA"/>
    <w:pPr>
      <w:numPr>
        <w:ilvl w:val="2"/>
      </w:numPr>
      <w:outlineLvl w:val="2"/>
    </w:pPr>
  </w:style>
  <w:style w:type="paragraph" w:customStyle="1" w:styleId="Title4LevelTitre4Niveau">
    <w:name w:val="Title 4 Level / Titre 4 Niveau"/>
    <w:basedOn w:val="Title3LevelTitre3Niveau"/>
    <w:next w:val="ParaNoNdepar-AltN"/>
    <w:uiPriority w:val="4"/>
    <w:qFormat/>
    <w:rsid w:val="009F09DA"/>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9F09DA"/>
    <w:pPr>
      <w:numPr>
        <w:ilvl w:val="4"/>
      </w:numPr>
      <w:outlineLvl w:val="4"/>
    </w:pPr>
  </w:style>
  <w:style w:type="paragraph" w:styleId="TOC1">
    <w:name w:val="toc 1"/>
    <w:basedOn w:val="Normal"/>
    <w:next w:val="Normal"/>
    <w:autoRedefine/>
    <w:uiPriority w:val="39"/>
    <w:unhideWhenUsed/>
    <w:rsid w:val="009F09DA"/>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9F09DA"/>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9F09DA"/>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9F09DA"/>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9F09DA"/>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9F09DA"/>
    <w:pPr>
      <w:tabs>
        <w:tab w:val="left" w:pos="2160"/>
        <w:tab w:val="right" w:leader="dot" w:pos="8270"/>
      </w:tabs>
      <w:spacing w:after="100"/>
      <w:ind w:left="1800"/>
    </w:pPr>
    <w:rPr>
      <w:noProof/>
    </w:rPr>
  </w:style>
  <w:style w:type="table" w:customStyle="1" w:styleId="TableGrid1">
    <w:name w:val="Table Grid1"/>
    <w:basedOn w:val="TableNormal"/>
    <w:uiPriority w:val="59"/>
    <w:rsid w:val="009F09DA"/>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9F09DA"/>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9F09DA"/>
    <w:pPr>
      <w:numPr>
        <w:ilvl w:val="5"/>
      </w:numPr>
      <w:outlineLvl w:val="5"/>
    </w:pPr>
    <w:rPr>
      <w:i/>
      <w:u w:val="none"/>
    </w:rPr>
  </w:style>
  <w:style w:type="paragraph" w:styleId="FootnoteText">
    <w:name w:val="footnote text"/>
    <w:basedOn w:val="Normal"/>
    <w:link w:val="FootnoteTextChar"/>
    <w:uiPriority w:val="99"/>
    <w:unhideWhenUsed/>
    <w:rsid w:val="009F09D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9F09DA"/>
  </w:style>
  <w:style w:type="character" w:styleId="FootnoteReference">
    <w:name w:val="footnote reference"/>
    <w:basedOn w:val="DefaultParagraphFont"/>
    <w:uiPriority w:val="99"/>
    <w:unhideWhenUsed/>
    <w:rsid w:val="009F09DA"/>
    <w:rPr>
      <w:vertAlign w:val="superscript"/>
    </w:rPr>
  </w:style>
  <w:style w:type="character" w:styleId="Emphasis">
    <w:name w:val="Emphasis"/>
    <w:basedOn w:val="DefaultParagraphFont"/>
    <w:uiPriority w:val="20"/>
    <w:rsid w:val="009F09DA"/>
    <w:rPr>
      <w:i/>
      <w:iCs/>
    </w:rPr>
  </w:style>
  <w:style w:type="character" w:customStyle="1" w:styleId="Italic">
    <w:name w:val="Italic"/>
    <w:basedOn w:val="DefaultParagraphFont"/>
    <w:uiPriority w:val="1"/>
    <w:rsid w:val="009F09DA"/>
    <w:rPr>
      <w:i/>
    </w:rPr>
  </w:style>
  <w:style w:type="character" w:customStyle="1" w:styleId="JudgeJugeChar">
    <w:name w:val="Judge / Juge Char"/>
    <w:basedOn w:val="DefaultParagraphFont"/>
    <w:link w:val="JudgeJuge"/>
    <w:uiPriority w:val="3"/>
    <w:rsid w:val="009F09DA"/>
    <w:rPr>
      <w:smallCaps/>
      <w:sz w:val="24"/>
      <w:szCs w:val="24"/>
    </w:rPr>
  </w:style>
  <w:style w:type="paragraph" w:styleId="NoSpacing">
    <w:name w:val="No Spacing"/>
    <w:uiPriority w:val="1"/>
    <w:rsid w:val="009F09DA"/>
    <w:rPr>
      <w:rFonts w:eastAsiaTheme="minorHAnsi" w:cstheme="minorBidi"/>
      <w:sz w:val="24"/>
      <w:szCs w:val="22"/>
      <w:lang w:val="en-US" w:eastAsia="en-US" w:bidi="en-US"/>
    </w:rPr>
  </w:style>
  <w:style w:type="paragraph" w:styleId="TOCHeading">
    <w:name w:val="TOC Heading"/>
    <w:basedOn w:val="Heading1"/>
    <w:next w:val="Normal"/>
    <w:uiPriority w:val="39"/>
    <w:unhideWhenUsed/>
    <w:qFormat/>
    <w:rsid w:val="009F09DA"/>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9F09DA"/>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9F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9F09D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9F09DA"/>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9F09DA"/>
    <w:rPr>
      <w:rFonts w:asciiTheme="majorHAnsi" w:eastAsiaTheme="majorEastAsia" w:hAnsiTheme="majorHAnsi" w:cstheme="majorBidi"/>
      <w:i/>
      <w:iCs/>
      <w:color w:val="4F81BD" w:themeColor="accent1"/>
      <w:spacing w:val="15"/>
      <w:sz w:val="24"/>
      <w:szCs w:val="24"/>
      <w:lang w:val="en-US" w:eastAsia="en-US" w:bidi="en-US"/>
    </w:rPr>
  </w:style>
  <w:style w:type="paragraph" w:styleId="ListParagraph">
    <w:name w:val="List Paragraph"/>
    <w:basedOn w:val="Normal"/>
    <w:uiPriority w:val="34"/>
    <w:qFormat/>
    <w:rsid w:val="009F09DA"/>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9F09DA"/>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9F09DA"/>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9F09DA"/>
    <w:rPr>
      <w:i/>
      <w:iCs/>
      <w:color w:val="808080" w:themeColor="text1" w:themeTint="7F"/>
    </w:rPr>
  </w:style>
  <w:style w:type="character" w:styleId="IntenseEmphasis">
    <w:name w:val="Intense Emphasis"/>
    <w:basedOn w:val="DefaultParagraphFont"/>
    <w:uiPriority w:val="21"/>
    <w:rsid w:val="009F09DA"/>
    <w:rPr>
      <w:b/>
      <w:bCs/>
      <w:i/>
      <w:iCs/>
      <w:color w:val="4F81BD" w:themeColor="accent1"/>
    </w:rPr>
  </w:style>
  <w:style w:type="character" w:styleId="SubtleReference">
    <w:name w:val="Subtle Reference"/>
    <w:basedOn w:val="DefaultParagraphFont"/>
    <w:uiPriority w:val="31"/>
    <w:rsid w:val="009F09DA"/>
    <w:rPr>
      <w:smallCaps/>
      <w:color w:val="C0504D" w:themeColor="accent2"/>
      <w:u w:val="single"/>
    </w:rPr>
  </w:style>
  <w:style w:type="character" w:styleId="IntenseReference">
    <w:name w:val="Intense Reference"/>
    <w:basedOn w:val="DefaultParagraphFont"/>
    <w:uiPriority w:val="32"/>
    <w:rsid w:val="009F09DA"/>
    <w:rPr>
      <w:b/>
      <w:bCs/>
      <w:smallCaps/>
      <w:color w:val="C0504D" w:themeColor="accent2"/>
      <w:spacing w:val="5"/>
      <w:u w:val="single"/>
    </w:rPr>
  </w:style>
  <w:style w:type="character" w:styleId="BookTitle">
    <w:name w:val="Book Title"/>
    <w:basedOn w:val="DefaultParagraphFont"/>
    <w:uiPriority w:val="33"/>
    <w:rsid w:val="009F09DA"/>
    <w:rPr>
      <w:b/>
      <w:bCs/>
      <w:smallCaps/>
      <w:spacing w:val="5"/>
    </w:rPr>
  </w:style>
  <w:style w:type="paragraph" w:styleId="Revision">
    <w:name w:val="Revision"/>
    <w:hidden/>
    <w:uiPriority w:val="99"/>
    <w:semiHidden/>
    <w:rsid w:val="009F09DA"/>
    <w:rPr>
      <w:rFonts w:eastAsiaTheme="minorHAnsi" w:cstheme="minorBidi"/>
      <w:sz w:val="24"/>
      <w:szCs w:val="22"/>
      <w:lang w:val="en-US" w:eastAsia="en-US" w:bidi="en-US"/>
    </w:rPr>
  </w:style>
  <w:style w:type="character" w:customStyle="1" w:styleId="reflex3-block">
    <w:name w:val="reflex3-block"/>
    <w:basedOn w:val="DefaultParagraphFont"/>
    <w:rsid w:val="009F09DA"/>
  </w:style>
  <w:style w:type="character" w:customStyle="1" w:styleId="reflex3-alt">
    <w:name w:val="reflex3-alt"/>
    <w:basedOn w:val="DefaultParagraphFont"/>
    <w:rsid w:val="009F09DA"/>
  </w:style>
  <w:style w:type="character" w:styleId="FollowedHyperlink">
    <w:name w:val="FollowedHyperlink"/>
    <w:basedOn w:val="DefaultParagraphFont"/>
    <w:uiPriority w:val="99"/>
    <w:semiHidden/>
    <w:unhideWhenUsed/>
    <w:rsid w:val="009F09DA"/>
    <w:rPr>
      <w:color w:val="800080" w:themeColor="followedHyperlink"/>
      <w:u w:val="single"/>
    </w:rPr>
  </w:style>
  <w:style w:type="character" w:customStyle="1" w:styleId="ContinueParaSuitedupar-AltPChar">
    <w:name w:val="Continue Para. / Suite du par. - Alt P Char"/>
    <w:basedOn w:val="DefaultParagraphFont"/>
    <w:link w:val="ContinueParaSuitedupar-AltP"/>
    <w:uiPriority w:val="1"/>
    <w:rsid w:val="009F09DA"/>
    <w:rPr>
      <w:rFonts w:eastAsiaTheme="minorHAnsi" w:cstheme="minorBidi"/>
      <w:sz w:val="24"/>
      <w:szCs w:val="22"/>
      <w:lang w:eastAsia="en-US"/>
    </w:rPr>
  </w:style>
  <w:style w:type="paragraph" w:customStyle="1" w:styleId="section">
    <w:name w:val="section"/>
    <w:basedOn w:val="Normal"/>
    <w:rsid w:val="009F09DA"/>
    <w:pPr>
      <w:spacing w:before="100" w:beforeAutospacing="1" w:after="100" w:afterAutospacing="1"/>
    </w:pPr>
    <w:rPr>
      <w:szCs w:val="24"/>
      <w:lang w:val="en-US" w:eastAsia="en-US"/>
    </w:rPr>
  </w:style>
  <w:style w:type="table" w:customStyle="1" w:styleId="TableGrid2">
    <w:name w:val="Table Grid2"/>
    <w:basedOn w:val="TableNormal"/>
    <w:next w:val="TableGrid"/>
    <w:uiPriority w:val="59"/>
    <w:rsid w:val="009F09D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21653</Words>
  <Characters>112547</Characters>
  <Application>Microsoft Office Word</Application>
  <DocSecurity>0</DocSecurity>
  <Lines>937</Lines>
  <Paragraphs>267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2021-09-24T01:18:00Z</dcterms:created>
  <dcterms:modified xsi:type="dcterms:W3CDTF">2021-09-24T01:37:00Z</dcterms:modified>
</cp:coreProperties>
</file>