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3685"/>
      </w:tblGrid>
      <w:tr w:rsidR="00423C0D" w:rsidRPr="00BD1D2B" w:rsidTr="00E7748A">
        <w:trPr>
          <w:trHeight w:val="1786"/>
        </w:trPr>
        <w:tc>
          <w:tcPr>
            <w:tcW w:w="5000" w:type="pct"/>
            <w:gridSpan w:val="4"/>
          </w:tcPr>
          <w:p w:rsidR="00423C0D" w:rsidRPr="00BD1D2B" w:rsidRDefault="00423C0D" w:rsidP="00E7748A">
            <w:pPr>
              <w:pStyle w:val="SCCBold"/>
              <w:widowControl w:val="0"/>
              <w:jc w:val="center"/>
            </w:pPr>
            <w:r w:rsidRPr="00BD1D2B">
              <w:rPr>
                <w:noProof/>
                <w:lang w:val="en-US"/>
              </w:rPr>
              <w:drawing>
                <wp:inline distT="0" distB="0" distL="0" distR="0" wp14:anchorId="4E1468BC" wp14:editId="0002C899">
                  <wp:extent cx="1191895" cy="1638300"/>
                  <wp:effectExtent l="0" t="0" r="8255" b="0"/>
                  <wp:docPr id="3" name="Picture 3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D" w:rsidRPr="00BD1D2B" w:rsidRDefault="00423C0D" w:rsidP="00E7748A">
            <w:pPr>
              <w:widowControl w:val="0"/>
              <w:spacing w:before="120" w:after="100" w:afterAutospacing="1"/>
              <w:jc w:val="center"/>
              <w:rPr>
                <w:rFonts w:eastAsia="Calibri"/>
              </w:rPr>
            </w:pPr>
            <w:r w:rsidRPr="00BD1D2B">
              <w:rPr>
                <w:rFonts w:eastAsia="Calibri"/>
                <w:b/>
              </w:rPr>
              <w:t>COUR SUPRÊME DU CANADA</w:t>
            </w:r>
          </w:p>
        </w:tc>
      </w:tr>
      <w:tr w:rsidR="00D056AE" w:rsidRPr="00BD1D2B" w:rsidTr="00BD1D2B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c>
          <w:tcPr>
            <w:tcW w:w="2110" w:type="pct"/>
            <w:gridSpan w:val="2"/>
          </w:tcPr>
          <w:p w:rsidR="008215C3" w:rsidRPr="00BD1D2B" w:rsidRDefault="008215C3" w:rsidP="00E7748A">
            <w:pPr>
              <w:widowControl w:val="0"/>
              <w:rPr>
                <w:b/>
                <w:smallCaps/>
              </w:rPr>
            </w:pPr>
          </w:p>
          <w:p w:rsidR="00D056AE" w:rsidRPr="00BD1D2B" w:rsidRDefault="00D056AE" w:rsidP="00E7748A">
            <w:pPr>
              <w:widowControl w:val="0"/>
              <w:rPr>
                <w:b/>
                <w:smallCaps/>
              </w:rPr>
            </w:pPr>
            <w:r w:rsidRPr="00BD1D2B">
              <w:rPr>
                <w:b/>
                <w:smallCaps/>
              </w:rPr>
              <w:t>Référence :</w:t>
            </w:r>
            <w:r w:rsidRPr="00BD1D2B">
              <w:t xml:space="preserve"> </w:t>
            </w:r>
            <w:r w:rsidR="006F2943" w:rsidRPr="00BD1D2B">
              <w:t xml:space="preserve">R. </w:t>
            </w:r>
            <w:r w:rsidR="006F2943" w:rsidRPr="00BD1D2B">
              <w:rPr>
                <w:i/>
              </w:rPr>
              <w:t xml:space="preserve">c. </w:t>
            </w:r>
            <w:r w:rsidR="006F2943" w:rsidRPr="00BD1D2B">
              <w:t>Dingwall, 2021 CSC 35</w:t>
            </w:r>
          </w:p>
        </w:tc>
        <w:tc>
          <w:tcPr>
            <w:tcW w:w="859" w:type="pct"/>
          </w:tcPr>
          <w:p w:rsidR="00D056AE" w:rsidRPr="00BD1D2B" w:rsidRDefault="00D056AE" w:rsidP="00E7748A">
            <w:pPr>
              <w:widowControl w:val="0"/>
            </w:pPr>
          </w:p>
        </w:tc>
        <w:tc>
          <w:tcPr>
            <w:tcW w:w="2031" w:type="pct"/>
          </w:tcPr>
          <w:p w:rsidR="00D056AE" w:rsidRPr="00BD1D2B" w:rsidRDefault="00D056AE" w:rsidP="00E7748A">
            <w:pPr>
              <w:widowControl w:val="0"/>
              <w:jc w:val="both"/>
              <w:rPr>
                <w:b/>
                <w:smallCaps/>
              </w:rPr>
            </w:pPr>
          </w:p>
          <w:p w:rsidR="00D056AE" w:rsidRPr="00BD1D2B" w:rsidRDefault="00D056AE" w:rsidP="00E7748A">
            <w:pPr>
              <w:widowControl w:val="0"/>
              <w:jc w:val="both"/>
            </w:pPr>
            <w:r w:rsidRPr="00BD1D2B">
              <w:rPr>
                <w:b/>
                <w:smallCaps/>
              </w:rPr>
              <w:t>Appel entendu :</w:t>
            </w:r>
            <w:r w:rsidRPr="00BD1D2B">
              <w:t xml:space="preserve"> </w:t>
            </w:r>
            <w:r w:rsidR="006F2943" w:rsidRPr="00BD1D2B">
              <w:t>8 octobre 2021</w:t>
            </w:r>
          </w:p>
          <w:p w:rsidR="00D056AE" w:rsidRPr="00BD1D2B" w:rsidRDefault="00D056AE" w:rsidP="00E7748A">
            <w:pPr>
              <w:widowControl w:val="0"/>
            </w:pPr>
            <w:r w:rsidRPr="00BD1D2B">
              <w:rPr>
                <w:b/>
                <w:smallCaps/>
              </w:rPr>
              <w:t>Jugement rendu :</w:t>
            </w:r>
            <w:r w:rsidRPr="00BD1D2B">
              <w:t xml:space="preserve"> </w:t>
            </w:r>
            <w:r w:rsidR="006F2943" w:rsidRPr="00BD1D2B">
              <w:t>8 octobre 2021</w:t>
            </w:r>
          </w:p>
          <w:p w:rsidR="00D056AE" w:rsidRPr="00BD1D2B" w:rsidRDefault="00D056AE" w:rsidP="00E7748A">
            <w:pPr>
              <w:widowControl w:val="0"/>
            </w:pPr>
            <w:r w:rsidRPr="00BD1D2B">
              <w:rPr>
                <w:b/>
                <w:smallCaps/>
              </w:rPr>
              <w:t>Dossier :</w:t>
            </w:r>
            <w:r w:rsidRPr="00BD1D2B">
              <w:t xml:space="preserve"> </w:t>
            </w:r>
            <w:r w:rsidR="006F2943" w:rsidRPr="00BD1D2B">
              <w:t>39274</w:t>
            </w:r>
          </w:p>
        </w:tc>
      </w:tr>
      <w:tr w:rsidR="00423C0D" w:rsidRPr="00BD1D2B" w:rsidTr="00E7748A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c>
          <w:tcPr>
            <w:tcW w:w="5000" w:type="pct"/>
            <w:gridSpan w:val="4"/>
          </w:tcPr>
          <w:p w:rsidR="00CC11D3" w:rsidRPr="00BD1D2B" w:rsidRDefault="00CC11D3" w:rsidP="00E7748A">
            <w:pPr>
              <w:widowControl w:val="0"/>
              <w:rPr>
                <w:b/>
                <w:smallCaps/>
              </w:rPr>
            </w:pPr>
          </w:p>
          <w:p w:rsidR="006F2943" w:rsidRPr="00BD1D2B" w:rsidRDefault="006F2943" w:rsidP="00E7748A">
            <w:pPr>
              <w:widowControl w:val="0"/>
              <w:rPr>
                <w:b/>
                <w:smallCaps/>
              </w:rPr>
            </w:pPr>
            <w:r w:rsidRPr="00BD1D2B">
              <w:rPr>
                <w:b/>
                <w:smallCaps/>
              </w:rPr>
              <w:t>Entre :</w:t>
            </w:r>
          </w:p>
          <w:p w:rsidR="006F2943" w:rsidRPr="00BD1D2B" w:rsidRDefault="006F2943" w:rsidP="00E7748A">
            <w:pPr>
              <w:widowControl w:val="0"/>
            </w:pPr>
          </w:p>
          <w:p w:rsidR="00FD2D69" w:rsidRPr="00BD1D2B" w:rsidRDefault="006F2943" w:rsidP="00E7748A">
            <w:pPr>
              <w:widowControl w:val="0"/>
              <w:jc w:val="center"/>
              <w:rPr>
                <w:b/>
              </w:rPr>
            </w:pPr>
            <w:r w:rsidRPr="00BD1D2B">
              <w:rPr>
                <w:b/>
              </w:rPr>
              <w:t>Meranda Leigh Dingwall</w:t>
            </w:r>
          </w:p>
          <w:p w:rsidR="006F2943" w:rsidRPr="00BD1D2B" w:rsidRDefault="006F2943" w:rsidP="00E7748A">
            <w:pPr>
              <w:widowControl w:val="0"/>
              <w:jc w:val="center"/>
            </w:pPr>
            <w:r w:rsidRPr="00BD1D2B">
              <w:t>Appelante</w:t>
            </w:r>
          </w:p>
          <w:p w:rsidR="00FD2D69" w:rsidRPr="00BD1D2B" w:rsidRDefault="00FD2D69" w:rsidP="00E7748A">
            <w:pPr>
              <w:widowControl w:val="0"/>
              <w:jc w:val="center"/>
            </w:pPr>
          </w:p>
          <w:p w:rsidR="006F2943" w:rsidRPr="00BD1D2B" w:rsidRDefault="006F2943" w:rsidP="00E7748A">
            <w:pPr>
              <w:widowControl w:val="0"/>
              <w:jc w:val="center"/>
            </w:pPr>
            <w:r w:rsidRPr="00BD1D2B">
              <w:t>et</w:t>
            </w:r>
          </w:p>
          <w:p w:rsidR="006F2943" w:rsidRPr="00BD1D2B" w:rsidRDefault="006F2943" w:rsidP="00E7748A">
            <w:pPr>
              <w:widowControl w:val="0"/>
              <w:jc w:val="center"/>
            </w:pPr>
          </w:p>
          <w:p w:rsidR="00FD2D69" w:rsidRPr="00BD1D2B" w:rsidRDefault="006F2943" w:rsidP="00E7748A">
            <w:pPr>
              <w:widowControl w:val="0"/>
              <w:jc w:val="center"/>
              <w:rPr>
                <w:b/>
              </w:rPr>
            </w:pPr>
            <w:r w:rsidRPr="00BD1D2B">
              <w:rPr>
                <w:b/>
              </w:rPr>
              <w:t>Sa Majesté la Reine</w:t>
            </w:r>
          </w:p>
          <w:p w:rsidR="006F2943" w:rsidRPr="00BD1D2B" w:rsidRDefault="006F2943" w:rsidP="00E7748A">
            <w:pPr>
              <w:widowControl w:val="0"/>
              <w:jc w:val="center"/>
            </w:pPr>
            <w:r w:rsidRPr="00BD1D2B">
              <w:t>Intimée</w:t>
            </w:r>
          </w:p>
          <w:p w:rsidR="00FD2D69" w:rsidRPr="00BD1D2B" w:rsidRDefault="00FD2D69" w:rsidP="00E7748A">
            <w:pPr>
              <w:widowControl w:val="0"/>
              <w:jc w:val="center"/>
            </w:pPr>
          </w:p>
          <w:p w:rsidR="006F2943" w:rsidRPr="00BD1D2B" w:rsidRDefault="006F2943" w:rsidP="00E7748A">
            <w:pPr>
              <w:widowControl w:val="0"/>
              <w:rPr>
                <w:b/>
                <w:smallCaps/>
              </w:rPr>
            </w:pPr>
            <w:r w:rsidRPr="00BD1D2B">
              <w:rPr>
                <w:b/>
                <w:smallCaps/>
              </w:rPr>
              <w:t>Et entre :</w:t>
            </w:r>
          </w:p>
          <w:p w:rsidR="006F2943" w:rsidRPr="00BD1D2B" w:rsidRDefault="006F2943" w:rsidP="00E7748A">
            <w:pPr>
              <w:widowControl w:val="0"/>
            </w:pPr>
          </w:p>
          <w:p w:rsidR="00FD2D69" w:rsidRPr="00BD1D2B" w:rsidRDefault="006F2943" w:rsidP="00E7748A">
            <w:pPr>
              <w:widowControl w:val="0"/>
              <w:jc w:val="center"/>
              <w:rPr>
                <w:b/>
              </w:rPr>
            </w:pPr>
            <w:r w:rsidRPr="00BD1D2B">
              <w:rPr>
                <w:b/>
              </w:rPr>
              <w:t>Christopher Ryan Russell</w:t>
            </w:r>
          </w:p>
          <w:p w:rsidR="006F2943" w:rsidRPr="00BD1D2B" w:rsidRDefault="006F2943" w:rsidP="00E7748A">
            <w:pPr>
              <w:widowControl w:val="0"/>
              <w:jc w:val="center"/>
            </w:pPr>
            <w:r w:rsidRPr="00BD1D2B">
              <w:t>Appelant</w:t>
            </w:r>
          </w:p>
          <w:p w:rsidR="00FD2D69" w:rsidRPr="00BD1D2B" w:rsidRDefault="00FD2D69" w:rsidP="00E7748A">
            <w:pPr>
              <w:widowControl w:val="0"/>
              <w:jc w:val="center"/>
            </w:pPr>
          </w:p>
          <w:p w:rsidR="006F2943" w:rsidRPr="00BD1D2B" w:rsidRDefault="006F2943" w:rsidP="00E7748A">
            <w:pPr>
              <w:widowControl w:val="0"/>
              <w:jc w:val="center"/>
            </w:pPr>
            <w:r w:rsidRPr="00BD1D2B">
              <w:t>et</w:t>
            </w:r>
          </w:p>
          <w:p w:rsidR="006F2943" w:rsidRPr="00BD1D2B" w:rsidRDefault="006F2943" w:rsidP="00E7748A">
            <w:pPr>
              <w:widowControl w:val="0"/>
              <w:jc w:val="center"/>
            </w:pPr>
          </w:p>
          <w:p w:rsidR="00FD2D69" w:rsidRPr="00BD1D2B" w:rsidRDefault="006F2943" w:rsidP="00E7748A">
            <w:pPr>
              <w:widowControl w:val="0"/>
              <w:jc w:val="center"/>
              <w:rPr>
                <w:b/>
              </w:rPr>
            </w:pPr>
            <w:r w:rsidRPr="00BD1D2B">
              <w:rPr>
                <w:b/>
              </w:rPr>
              <w:t>Sa Majesté la Reine</w:t>
            </w:r>
          </w:p>
          <w:p w:rsidR="006F2943" w:rsidRPr="00BD1D2B" w:rsidRDefault="006F2943" w:rsidP="00E7748A">
            <w:pPr>
              <w:widowControl w:val="0"/>
              <w:jc w:val="center"/>
            </w:pPr>
            <w:r w:rsidRPr="00BD1D2B">
              <w:t>Intimée</w:t>
            </w:r>
          </w:p>
          <w:p w:rsidR="00FD2D69" w:rsidRPr="00BD1D2B" w:rsidRDefault="00FD2D69" w:rsidP="00E7748A">
            <w:pPr>
              <w:widowControl w:val="0"/>
              <w:jc w:val="center"/>
              <w:rPr>
                <w:smallCaps/>
              </w:rPr>
            </w:pPr>
          </w:p>
          <w:p w:rsidR="006F2943" w:rsidRPr="00BD1D2B" w:rsidRDefault="006F2943" w:rsidP="00E7748A">
            <w:pPr>
              <w:widowControl w:val="0"/>
              <w:rPr>
                <w:b/>
                <w:smallCaps/>
              </w:rPr>
            </w:pPr>
            <w:r w:rsidRPr="00BD1D2B">
              <w:rPr>
                <w:b/>
                <w:smallCaps/>
              </w:rPr>
              <w:t>Et entre :</w:t>
            </w:r>
          </w:p>
          <w:p w:rsidR="006F2943" w:rsidRPr="00BD1D2B" w:rsidRDefault="006F2943" w:rsidP="00E7748A">
            <w:pPr>
              <w:widowControl w:val="0"/>
            </w:pPr>
          </w:p>
          <w:p w:rsidR="00FD2D69" w:rsidRPr="00BD1D2B" w:rsidRDefault="006F2943" w:rsidP="00E7748A">
            <w:pPr>
              <w:widowControl w:val="0"/>
              <w:jc w:val="center"/>
              <w:rPr>
                <w:b/>
              </w:rPr>
            </w:pPr>
            <w:r w:rsidRPr="00BD1D2B">
              <w:rPr>
                <w:b/>
              </w:rPr>
              <w:t>Kelly Michael Richet</w:t>
            </w:r>
          </w:p>
          <w:p w:rsidR="006F2943" w:rsidRPr="00BD1D2B" w:rsidRDefault="006F2943" w:rsidP="00E7748A">
            <w:pPr>
              <w:widowControl w:val="0"/>
              <w:jc w:val="center"/>
            </w:pPr>
            <w:r w:rsidRPr="00BD1D2B">
              <w:t>Appelant</w:t>
            </w:r>
          </w:p>
          <w:p w:rsidR="00FD2D69" w:rsidRPr="00BD1D2B" w:rsidRDefault="00FD2D69" w:rsidP="00E7748A">
            <w:pPr>
              <w:widowControl w:val="0"/>
              <w:jc w:val="center"/>
            </w:pPr>
          </w:p>
          <w:p w:rsidR="006F2943" w:rsidRPr="00BD1D2B" w:rsidRDefault="006F2943" w:rsidP="00E7748A">
            <w:pPr>
              <w:widowControl w:val="0"/>
              <w:jc w:val="center"/>
            </w:pPr>
            <w:r w:rsidRPr="00BD1D2B">
              <w:t>et</w:t>
            </w:r>
          </w:p>
          <w:p w:rsidR="006F2943" w:rsidRPr="00BD1D2B" w:rsidRDefault="006F2943" w:rsidP="00E7748A">
            <w:pPr>
              <w:widowControl w:val="0"/>
              <w:jc w:val="center"/>
            </w:pPr>
          </w:p>
          <w:p w:rsidR="00FD2D69" w:rsidRPr="00BD1D2B" w:rsidRDefault="006F2943" w:rsidP="00E7748A">
            <w:pPr>
              <w:widowControl w:val="0"/>
              <w:jc w:val="center"/>
              <w:rPr>
                <w:b/>
              </w:rPr>
            </w:pPr>
            <w:r w:rsidRPr="00BD1D2B">
              <w:rPr>
                <w:b/>
              </w:rPr>
              <w:t>Sa Majesté la Reine</w:t>
            </w:r>
          </w:p>
          <w:p w:rsidR="006F2943" w:rsidRPr="00BD1D2B" w:rsidRDefault="006F2943" w:rsidP="00E7748A">
            <w:pPr>
              <w:widowControl w:val="0"/>
              <w:jc w:val="center"/>
            </w:pPr>
            <w:r w:rsidRPr="00BD1D2B">
              <w:t>Intimée</w:t>
            </w:r>
          </w:p>
          <w:p w:rsidR="00C34313" w:rsidRPr="00BD1D2B" w:rsidRDefault="00C34313" w:rsidP="00E7748A">
            <w:pPr>
              <w:widowControl w:val="0"/>
            </w:pPr>
          </w:p>
          <w:p w:rsidR="00423C0D" w:rsidRPr="00BD1D2B" w:rsidRDefault="00423C0D" w:rsidP="00E7748A">
            <w:pPr>
              <w:widowControl w:val="0"/>
              <w:jc w:val="center"/>
              <w:rPr>
                <w:b/>
                <w:smallCaps/>
              </w:rPr>
            </w:pPr>
            <w:r w:rsidRPr="00BD1D2B">
              <w:rPr>
                <w:b/>
                <w:smallCaps/>
              </w:rPr>
              <w:t>Traduction française officielle</w:t>
            </w:r>
          </w:p>
          <w:p w:rsidR="00423C0D" w:rsidRPr="00BD1D2B" w:rsidRDefault="00423C0D" w:rsidP="00E7748A">
            <w:pPr>
              <w:widowControl w:val="0"/>
            </w:pPr>
          </w:p>
          <w:p w:rsidR="00423C0D" w:rsidRPr="00BD1D2B" w:rsidRDefault="00423C0D" w:rsidP="00E7748A">
            <w:pPr>
              <w:widowControl w:val="0"/>
            </w:pPr>
            <w:r w:rsidRPr="00BD1D2B">
              <w:rPr>
                <w:b/>
                <w:smallCaps/>
              </w:rPr>
              <w:t>Coram :</w:t>
            </w:r>
            <w:r w:rsidRPr="00BD1D2B">
              <w:t xml:space="preserve"> </w:t>
            </w:r>
            <w:r w:rsidR="008A2040" w:rsidRPr="00BD1D2B">
              <w:t>Le juge en chef Wagner et les juges Moldaver, Karakatsanis, Côté, Brown, Rowe, Martin, Kasirer et Jamal</w:t>
            </w:r>
          </w:p>
          <w:p w:rsidR="00423C0D" w:rsidRPr="00BD1D2B" w:rsidRDefault="00423C0D" w:rsidP="00E7748A">
            <w:pPr>
              <w:widowControl w:val="0"/>
              <w:jc w:val="both"/>
              <w:rPr>
                <w:b/>
                <w:smallCaps/>
              </w:rPr>
            </w:pPr>
          </w:p>
        </w:tc>
      </w:tr>
      <w:tr w:rsidR="004E69EC" w:rsidRPr="00BD1D2B" w:rsidTr="00847E71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c>
          <w:tcPr>
            <w:tcW w:w="1251" w:type="pct"/>
          </w:tcPr>
          <w:p w:rsidR="008A2040" w:rsidRPr="00BD1D2B" w:rsidRDefault="008A2040" w:rsidP="00847E71">
            <w:pPr>
              <w:widowControl w:val="0"/>
              <w:rPr>
                <w:b/>
                <w:smallCaps/>
              </w:rPr>
            </w:pPr>
            <w:r w:rsidRPr="00BD1D2B">
              <w:rPr>
                <w:b/>
                <w:smallCaps/>
              </w:rPr>
              <w:t xml:space="preserve">Jugement unanime lu par : </w:t>
            </w:r>
          </w:p>
          <w:p w:rsidR="004E69EC" w:rsidRPr="00BD1D2B" w:rsidRDefault="006F2943" w:rsidP="00847E71">
            <w:pPr>
              <w:widowControl w:val="0"/>
            </w:pPr>
            <w:r w:rsidRPr="00BD1D2B">
              <w:t>(par. 1)</w:t>
            </w:r>
          </w:p>
          <w:p w:rsidR="00957366" w:rsidRPr="00BD1D2B" w:rsidRDefault="00957366" w:rsidP="00847E71">
            <w:pPr>
              <w:widowControl w:val="0"/>
            </w:pPr>
          </w:p>
        </w:tc>
        <w:tc>
          <w:tcPr>
            <w:tcW w:w="3749" w:type="pct"/>
            <w:gridSpan w:val="3"/>
          </w:tcPr>
          <w:p w:rsidR="004E69EC" w:rsidRPr="00BD1D2B" w:rsidRDefault="00AC456D" w:rsidP="00847E71">
            <w:pPr>
              <w:widowControl w:val="0"/>
              <w:rPr>
                <w:lang w:val="en-US"/>
              </w:rPr>
            </w:pPr>
            <w:r w:rsidRPr="00BD1D2B">
              <w:rPr>
                <w:lang w:val="en-US"/>
              </w:rPr>
              <w:t>Le</w:t>
            </w:r>
            <w:r w:rsidR="00E7577F" w:rsidRPr="00BD1D2B">
              <w:rPr>
                <w:lang w:val="en-US"/>
              </w:rPr>
              <w:t xml:space="preserve"> juge</w:t>
            </w:r>
            <w:r w:rsidR="006F2943" w:rsidRPr="00BD1D2B">
              <w:rPr>
                <w:lang w:val="en-US"/>
              </w:rPr>
              <w:t xml:space="preserve"> Rowe</w:t>
            </w:r>
          </w:p>
        </w:tc>
      </w:tr>
      <w:tr w:rsidR="006F2943" w:rsidRPr="00BD1D2B" w:rsidTr="00E7748A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c>
          <w:tcPr>
            <w:tcW w:w="5000" w:type="pct"/>
            <w:gridSpan w:val="4"/>
          </w:tcPr>
          <w:p w:rsidR="006F2943" w:rsidRPr="00BD1D2B" w:rsidRDefault="006F2943" w:rsidP="0075619B">
            <w:pPr>
              <w:widowControl w:val="0"/>
            </w:pPr>
          </w:p>
        </w:tc>
      </w:tr>
    </w:tbl>
    <w:p w:rsidR="00904937" w:rsidRPr="00BD1D2B" w:rsidRDefault="00904937" w:rsidP="00AC456D">
      <w:pPr>
        <w:widowControl w:val="0"/>
      </w:pPr>
      <w:r w:rsidRPr="00BD1D2B">
        <w:rPr>
          <w:b/>
          <w:smallCaps/>
        </w:rPr>
        <w:t>Note</w:t>
      </w:r>
      <w:r w:rsidR="002F0B6C" w:rsidRPr="00BD1D2B">
        <w:rPr>
          <w:b/>
          <w:smallCaps/>
        </w:rPr>
        <w:t> :</w:t>
      </w:r>
      <w:r w:rsidRPr="00BD1D2B">
        <w:rPr>
          <w:b/>
        </w:rPr>
        <w:t xml:space="preserve"> </w:t>
      </w:r>
      <w:r w:rsidR="001E12E2" w:rsidRPr="00BD1D2B">
        <w:t>Ce document fera l’objet de retouches de forme avant la parution</w:t>
      </w:r>
      <w:r w:rsidR="005C0397" w:rsidRPr="00BD1D2B">
        <w:t xml:space="preserve"> </w:t>
      </w:r>
      <w:r w:rsidR="001E12E2" w:rsidRPr="00BD1D2B">
        <w:t>de sa version définitive dans le</w:t>
      </w:r>
      <w:r w:rsidRPr="00BD1D2B">
        <w:t xml:space="preserve"> </w:t>
      </w:r>
      <w:r w:rsidR="001E12E2" w:rsidRPr="00BD1D2B">
        <w:rPr>
          <w:i/>
        </w:rPr>
        <w:t>Recueil des arrêts de la Cour suprême du C</w:t>
      </w:r>
      <w:r w:rsidRPr="00BD1D2B">
        <w:rPr>
          <w:i/>
        </w:rPr>
        <w:t>anada</w:t>
      </w:r>
      <w:r w:rsidRPr="00BD1D2B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0D1436" w:rsidRPr="00BD1D2B" w:rsidTr="003375C9">
        <w:tc>
          <w:tcPr>
            <w:tcW w:w="1500" w:type="pct"/>
            <w:tcMar>
              <w:top w:w="284" w:type="dxa"/>
            </w:tcMar>
          </w:tcPr>
          <w:p w:rsidR="000D1436" w:rsidRPr="00BD1D2B" w:rsidRDefault="000D1436" w:rsidP="00AC456D">
            <w:pPr>
              <w:widowControl w:val="0"/>
              <w:rPr>
                <w:rFonts w:eastAsia="Calibri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0D1436" w:rsidRPr="00BD1D2B" w:rsidRDefault="000D1436" w:rsidP="00AC456D">
            <w:pPr>
              <w:widowControl w:val="0"/>
              <w:rPr>
                <w:rFonts w:eastAsia="Calibri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0D1436" w:rsidRPr="00BD1D2B" w:rsidRDefault="000D1436" w:rsidP="00AC456D">
            <w:pPr>
              <w:widowControl w:val="0"/>
              <w:rPr>
                <w:rFonts w:eastAsia="Calibri"/>
              </w:rPr>
            </w:pPr>
          </w:p>
        </w:tc>
      </w:tr>
    </w:tbl>
    <w:p w:rsidR="00BD1D2B" w:rsidRPr="00BD1D2B" w:rsidRDefault="00BD1D2B" w:rsidP="00AC456D">
      <w:pPr>
        <w:widowControl w:val="0"/>
      </w:pPr>
    </w:p>
    <w:p w:rsidR="00BD1D2B" w:rsidRPr="00BD1D2B" w:rsidRDefault="00BD1D2B" w:rsidP="00BD1D2B">
      <w:r w:rsidRPr="00BD1D2B">
        <w:br w:type="page"/>
      </w:r>
    </w:p>
    <w:p w:rsidR="00BD1D2B" w:rsidRPr="00BD1D2B" w:rsidRDefault="00BD1D2B" w:rsidP="00BD1D2B">
      <w:pPr>
        <w:pStyle w:val="SCCLsocLastPartyInRole"/>
        <w:rPr>
          <w:lang w:val="en-US"/>
        </w:rPr>
      </w:pPr>
      <w:r w:rsidRPr="00BD1D2B">
        <w:rPr>
          <w:bCs/>
          <w:lang w:val="en-US"/>
        </w:rPr>
        <w:t>Meranda Leigh Dingwall</w:t>
      </w:r>
      <w:r w:rsidRPr="00BD1D2B">
        <w:rPr>
          <w:lang w:val="en-US"/>
        </w:rPr>
        <w:tab/>
      </w:r>
      <w:r w:rsidRPr="00BD1D2B">
        <w:rPr>
          <w:b w:val="0"/>
          <w:i/>
          <w:lang w:val="en-US"/>
        </w:rPr>
        <w:t>Appelante</w:t>
      </w:r>
    </w:p>
    <w:p w:rsidR="00BD1D2B" w:rsidRPr="00BD1D2B" w:rsidRDefault="00BD1D2B" w:rsidP="00BD1D2B">
      <w:pPr>
        <w:pStyle w:val="SCCLsocVersus"/>
        <w:spacing w:after="480" w:line="480" w:lineRule="auto"/>
        <w:jc w:val="left"/>
        <w:rPr>
          <w:i/>
          <w:lang w:val="en-US"/>
        </w:rPr>
      </w:pPr>
      <w:proofErr w:type="gramStart"/>
      <w:r w:rsidRPr="00BD1D2B">
        <w:rPr>
          <w:i/>
          <w:lang w:val="en-US"/>
        </w:rPr>
        <w:t>c</w:t>
      </w:r>
      <w:proofErr w:type="gramEnd"/>
      <w:r w:rsidRPr="00BD1D2B">
        <w:rPr>
          <w:i/>
          <w:lang w:val="en-US"/>
        </w:rPr>
        <w:t>.</w:t>
      </w:r>
    </w:p>
    <w:p w:rsidR="00BD1D2B" w:rsidRPr="00BD1D2B" w:rsidRDefault="00BD1D2B" w:rsidP="00BD1D2B">
      <w:pPr>
        <w:pStyle w:val="SCCLsocLastPartyInRole"/>
        <w:rPr>
          <w:lang w:val="fr-CA"/>
        </w:rPr>
      </w:pPr>
      <w:r w:rsidRPr="00BD1D2B">
        <w:rPr>
          <w:lang w:val="fr-CA"/>
        </w:rPr>
        <w:t>Sa Majesté la Reine</w:t>
      </w:r>
      <w:r w:rsidRPr="00BD1D2B">
        <w:rPr>
          <w:lang w:val="fr-CA"/>
        </w:rPr>
        <w:tab/>
      </w:r>
      <w:r w:rsidRPr="00BD1D2B">
        <w:rPr>
          <w:b w:val="0"/>
          <w:i/>
          <w:lang w:val="fr-CA"/>
        </w:rPr>
        <w:t>Intimée</w:t>
      </w:r>
    </w:p>
    <w:p w:rsidR="00BD1D2B" w:rsidRPr="00BD1D2B" w:rsidRDefault="00BD1D2B" w:rsidP="00BD1D2B">
      <w:pPr>
        <w:pStyle w:val="SCCLsocSubfileSeparator"/>
        <w:spacing w:after="480" w:line="480" w:lineRule="auto"/>
        <w:rPr>
          <w:b w:val="0"/>
          <w:smallCaps w:val="0"/>
        </w:rPr>
      </w:pPr>
      <w:r w:rsidRPr="00BD1D2B">
        <w:rPr>
          <w:b w:val="0"/>
          <w:smallCaps w:val="0"/>
        </w:rPr>
        <w:noBreakHyphen/>
        <w:t xml:space="preserve"> </w:t>
      </w:r>
      <w:proofErr w:type="gramStart"/>
      <w:r w:rsidRPr="00BD1D2B">
        <w:rPr>
          <w:b w:val="0"/>
          <w:smallCaps w:val="0"/>
        </w:rPr>
        <w:t>et</w:t>
      </w:r>
      <w:proofErr w:type="gramEnd"/>
      <w:r w:rsidRPr="00BD1D2B">
        <w:rPr>
          <w:b w:val="0"/>
          <w:smallCaps w:val="0"/>
        </w:rPr>
        <w:t xml:space="preserve"> </w:t>
      </w:r>
      <w:r w:rsidRPr="00BD1D2B">
        <w:rPr>
          <w:b w:val="0"/>
          <w:smallCaps w:val="0"/>
        </w:rPr>
        <w:noBreakHyphen/>
      </w:r>
    </w:p>
    <w:p w:rsidR="00BD1D2B" w:rsidRPr="00BD1D2B" w:rsidRDefault="00BD1D2B" w:rsidP="00BD1D2B">
      <w:pPr>
        <w:pStyle w:val="SCCLsocLastPartyInRole"/>
        <w:rPr>
          <w:lang w:val="fr-CA"/>
        </w:rPr>
      </w:pPr>
      <w:r w:rsidRPr="00BD1D2B">
        <w:rPr>
          <w:bCs/>
          <w:lang w:val="fr-CA"/>
        </w:rPr>
        <w:t>Christopher Ryan Russell</w:t>
      </w:r>
      <w:r w:rsidRPr="00BD1D2B">
        <w:rPr>
          <w:lang w:val="fr-CA"/>
        </w:rPr>
        <w:tab/>
      </w:r>
      <w:r w:rsidRPr="00BD1D2B">
        <w:rPr>
          <w:b w:val="0"/>
          <w:i/>
          <w:lang w:val="fr-CA"/>
        </w:rPr>
        <w:t>Appelant</w:t>
      </w:r>
    </w:p>
    <w:p w:rsidR="00BD1D2B" w:rsidRPr="00BD1D2B" w:rsidRDefault="00BD1D2B" w:rsidP="00BD1D2B">
      <w:pPr>
        <w:pStyle w:val="SCCLsocVersus"/>
        <w:spacing w:after="480" w:line="480" w:lineRule="auto"/>
        <w:jc w:val="left"/>
        <w:rPr>
          <w:i/>
        </w:rPr>
      </w:pPr>
      <w:proofErr w:type="gramStart"/>
      <w:r w:rsidRPr="00BD1D2B">
        <w:rPr>
          <w:i/>
        </w:rPr>
        <w:t>c</w:t>
      </w:r>
      <w:proofErr w:type="gramEnd"/>
      <w:r w:rsidRPr="00BD1D2B">
        <w:rPr>
          <w:i/>
        </w:rPr>
        <w:t>.</w:t>
      </w:r>
    </w:p>
    <w:p w:rsidR="00BD1D2B" w:rsidRPr="00BD1D2B" w:rsidRDefault="00BD1D2B" w:rsidP="00BD1D2B">
      <w:pPr>
        <w:pStyle w:val="SCCLsocLastPartyInRole"/>
        <w:rPr>
          <w:lang w:val="fr-CA"/>
        </w:rPr>
      </w:pPr>
      <w:r w:rsidRPr="00BD1D2B">
        <w:rPr>
          <w:lang w:val="fr-CA"/>
        </w:rPr>
        <w:t>Sa Majesté la Reine</w:t>
      </w:r>
      <w:r w:rsidRPr="00BD1D2B">
        <w:rPr>
          <w:lang w:val="fr-CA"/>
        </w:rPr>
        <w:tab/>
      </w:r>
      <w:r w:rsidRPr="00BD1D2B">
        <w:rPr>
          <w:b w:val="0"/>
          <w:i/>
          <w:lang w:val="fr-CA"/>
        </w:rPr>
        <w:t>Intimée</w:t>
      </w:r>
    </w:p>
    <w:p w:rsidR="00BD1D2B" w:rsidRPr="00BD1D2B" w:rsidRDefault="00BD1D2B" w:rsidP="00BD1D2B">
      <w:pPr>
        <w:pStyle w:val="SCCLsocSubfileSeparator"/>
        <w:spacing w:after="480" w:line="480" w:lineRule="auto"/>
        <w:rPr>
          <w:b w:val="0"/>
          <w:smallCaps w:val="0"/>
        </w:rPr>
      </w:pPr>
      <w:r w:rsidRPr="00BD1D2B">
        <w:rPr>
          <w:b w:val="0"/>
          <w:smallCaps w:val="0"/>
        </w:rPr>
        <w:noBreakHyphen/>
        <w:t xml:space="preserve"> </w:t>
      </w:r>
      <w:proofErr w:type="gramStart"/>
      <w:r w:rsidRPr="00BD1D2B">
        <w:rPr>
          <w:b w:val="0"/>
          <w:smallCaps w:val="0"/>
        </w:rPr>
        <w:t>et</w:t>
      </w:r>
      <w:proofErr w:type="gramEnd"/>
      <w:r w:rsidRPr="00BD1D2B">
        <w:rPr>
          <w:b w:val="0"/>
          <w:smallCaps w:val="0"/>
        </w:rPr>
        <w:t xml:space="preserve"> </w:t>
      </w:r>
      <w:r w:rsidRPr="00BD1D2B">
        <w:rPr>
          <w:b w:val="0"/>
          <w:smallCaps w:val="0"/>
        </w:rPr>
        <w:noBreakHyphen/>
      </w:r>
      <w:bookmarkStart w:id="0" w:name="_GoBack"/>
      <w:bookmarkEnd w:id="0"/>
    </w:p>
    <w:p w:rsidR="00BD1D2B" w:rsidRPr="00BD1D2B" w:rsidRDefault="00BD1D2B" w:rsidP="00BD1D2B">
      <w:pPr>
        <w:pStyle w:val="SCCLsocLastPartyInRole"/>
        <w:rPr>
          <w:lang w:val="fr-CA"/>
        </w:rPr>
      </w:pPr>
      <w:r w:rsidRPr="00BD1D2B">
        <w:rPr>
          <w:bCs/>
          <w:lang w:val="fr-CA"/>
        </w:rPr>
        <w:t>Kelly Michael Richet</w:t>
      </w:r>
      <w:r w:rsidRPr="00BD1D2B">
        <w:rPr>
          <w:lang w:val="fr-CA"/>
        </w:rPr>
        <w:tab/>
      </w:r>
      <w:r w:rsidRPr="00BD1D2B">
        <w:rPr>
          <w:b w:val="0"/>
          <w:i/>
          <w:lang w:val="fr-CA"/>
        </w:rPr>
        <w:t>Appelant</w:t>
      </w:r>
    </w:p>
    <w:p w:rsidR="00BD1D2B" w:rsidRPr="00BD1D2B" w:rsidRDefault="00BD1D2B" w:rsidP="00BD1D2B">
      <w:pPr>
        <w:pStyle w:val="SCCLsocVersus"/>
        <w:spacing w:after="480" w:line="480" w:lineRule="auto"/>
        <w:jc w:val="left"/>
        <w:rPr>
          <w:i/>
        </w:rPr>
      </w:pPr>
      <w:proofErr w:type="gramStart"/>
      <w:r w:rsidRPr="00BD1D2B">
        <w:rPr>
          <w:i/>
        </w:rPr>
        <w:t>c</w:t>
      </w:r>
      <w:proofErr w:type="gramEnd"/>
      <w:r w:rsidRPr="00BD1D2B">
        <w:rPr>
          <w:i/>
        </w:rPr>
        <w:t>.</w:t>
      </w:r>
    </w:p>
    <w:p w:rsidR="00BD1D2B" w:rsidRPr="00BD1D2B" w:rsidRDefault="00BD1D2B" w:rsidP="00BD1D2B">
      <w:pPr>
        <w:pStyle w:val="SCCLsocLastPartyInRole"/>
        <w:rPr>
          <w:lang w:val="fr-CA"/>
        </w:rPr>
      </w:pPr>
      <w:r w:rsidRPr="00BD1D2B">
        <w:rPr>
          <w:lang w:val="fr-CA"/>
        </w:rPr>
        <w:t>Sa Majesté la Reine</w:t>
      </w:r>
      <w:r w:rsidRPr="00BD1D2B">
        <w:rPr>
          <w:lang w:val="fr-CA"/>
        </w:rPr>
        <w:tab/>
      </w:r>
      <w:r w:rsidRPr="00BD1D2B">
        <w:rPr>
          <w:b w:val="0"/>
          <w:i/>
          <w:lang w:val="fr-CA"/>
        </w:rPr>
        <w:t>Intimée</w:t>
      </w:r>
    </w:p>
    <w:p w:rsidR="00BD1D2B" w:rsidRPr="00BD1D2B" w:rsidRDefault="00BD1D2B" w:rsidP="00BD1D2B">
      <w:pPr>
        <w:spacing w:after="720"/>
        <w:jc w:val="both"/>
        <w:rPr>
          <w:b/>
        </w:rPr>
      </w:pPr>
      <w:r w:rsidRPr="00BD1D2B">
        <w:rPr>
          <w:b/>
        </w:rPr>
        <w:t xml:space="preserve">Répertorié : R. </w:t>
      </w:r>
      <w:r w:rsidRPr="00BD1D2B">
        <w:rPr>
          <w:b/>
          <w:i/>
        </w:rPr>
        <w:t>c</w:t>
      </w:r>
      <w:r w:rsidRPr="00BD1D2B">
        <w:rPr>
          <w:b/>
        </w:rPr>
        <w:t>. Dingwall</w:t>
      </w:r>
    </w:p>
    <w:p w:rsidR="00BD1D2B" w:rsidRPr="00BD1D2B" w:rsidRDefault="00BD1D2B" w:rsidP="00BD1D2B">
      <w:pPr>
        <w:pStyle w:val="SCCSystemYear"/>
        <w:spacing w:after="720"/>
        <w:jc w:val="both"/>
        <w:rPr>
          <w:lang w:val="fr-CA"/>
        </w:rPr>
      </w:pPr>
      <w:r w:rsidRPr="00BD1D2B">
        <w:rPr>
          <w:lang w:val="fr-CA"/>
        </w:rPr>
        <w:t>2021 CSC 35</w:t>
      </w:r>
    </w:p>
    <w:p w:rsidR="00BD1D2B" w:rsidRPr="00BD1D2B" w:rsidRDefault="00BD1D2B" w:rsidP="00BD1D2B">
      <w:pPr>
        <w:spacing w:after="720"/>
        <w:jc w:val="both"/>
      </w:pPr>
      <w:r w:rsidRPr="00BD1D2B">
        <w:t>N</w:t>
      </w:r>
      <w:r w:rsidRPr="00BD1D2B">
        <w:rPr>
          <w:vertAlign w:val="superscript"/>
        </w:rPr>
        <w:t>o</w:t>
      </w:r>
      <w:r w:rsidRPr="00BD1D2B">
        <w:t xml:space="preserve"> du greffe : </w:t>
      </w:r>
      <w:r w:rsidRPr="00BD1D2B">
        <w:rPr>
          <w:color w:val="000000"/>
        </w:rPr>
        <w:t>39274</w:t>
      </w:r>
      <w:r w:rsidRPr="00BD1D2B">
        <w:t>.</w:t>
      </w:r>
    </w:p>
    <w:p w:rsidR="00BD1D2B" w:rsidRPr="00BD1D2B" w:rsidRDefault="00BD1D2B" w:rsidP="00BD1D2B">
      <w:pPr>
        <w:spacing w:after="720"/>
        <w:jc w:val="both"/>
      </w:pPr>
      <w:r w:rsidRPr="00BD1D2B">
        <w:t xml:space="preserve">2021 : </w:t>
      </w:r>
      <w:r w:rsidRPr="00BD1D2B">
        <w:rPr>
          <w:color w:val="000000"/>
        </w:rPr>
        <w:t>8 octobre</w:t>
      </w:r>
      <w:r w:rsidRPr="00BD1D2B">
        <w:t>.</w:t>
      </w:r>
    </w:p>
    <w:p w:rsidR="00BD1D2B" w:rsidRPr="00BD1D2B" w:rsidRDefault="00BD1D2B" w:rsidP="00BD1D2B">
      <w:pPr>
        <w:spacing w:after="720"/>
        <w:jc w:val="both"/>
      </w:pPr>
      <w:r w:rsidRPr="00BD1D2B">
        <w:t xml:space="preserve">Présents : </w:t>
      </w:r>
      <w:r w:rsidRPr="00BD1D2B">
        <w:rPr>
          <w:color w:val="000000"/>
        </w:rPr>
        <w:t>Le juge en chef Wagner et les juges Moldaver, Karakatsanis, Côté, Brown, Rowe, Martin, Kasirer et Jamal</w:t>
      </w:r>
      <w:r w:rsidRPr="00BD1D2B">
        <w:t>.</w:t>
      </w:r>
    </w:p>
    <w:p w:rsidR="00BD1D2B" w:rsidRPr="00BD1D2B" w:rsidRDefault="00BD1D2B" w:rsidP="00BD1D2B">
      <w:pPr>
        <w:spacing w:after="720"/>
        <w:jc w:val="both"/>
        <w:rPr>
          <w:smallCaps/>
        </w:rPr>
      </w:pPr>
      <w:r w:rsidRPr="00BD1D2B">
        <w:rPr>
          <w:smallCaps/>
        </w:rPr>
        <w:t>en appel de la cour d’appel de la colombie</w:t>
      </w:r>
      <w:r w:rsidRPr="00BD1D2B">
        <w:rPr>
          <w:smallCaps/>
        </w:rPr>
        <w:noBreakHyphen/>
        <w:t>britannique</w:t>
      </w:r>
    </w:p>
    <w:p w:rsidR="00BD1D2B" w:rsidRPr="00BD1D2B" w:rsidRDefault="00BD1D2B" w:rsidP="00BD1D2B">
      <w:pPr>
        <w:pStyle w:val="SCCNormalDoubleSpacing"/>
        <w:spacing w:after="480"/>
        <w:rPr>
          <w:lang w:val="fr-CA"/>
        </w:rPr>
      </w:pPr>
      <w:r w:rsidRPr="00BD1D2B">
        <w:rPr>
          <w:lang w:val="fr-CA"/>
        </w:rPr>
        <w:tab/>
      </w:r>
      <w:r w:rsidRPr="00BD1D2B">
        <w:rPr>
          <w:i/>
          <w:lang w:val="fr-CA"/>
        </w:rPr>
        <w:t>Droit criminel — Verdict déraisonnable — Preuve — Preuve circonstancielle — Parties à l’infraction — Trois accusés inculpés de voies de fait graves et d’infractions liées aux armes à feu relativement à une fusillade au volant — Cause de la Couronne reposant entièrement sur de la preuve circonstancielle — Juge du procès concluant que la seule inférence rationnelle pouvant être tirée de la preuve est que la Couronne a prouvé tous les éléments des accusations au</w:t>
      </w:r>
      <w:r w:rsidRPr="00BD1D2B">
        <w:rPr>
          <w:i/>
          <w:lang w:val="fr-CA"/>
        </w:rPr>
        <w:noBreakHyphen/>
        <w:t>delà de tout doute raisonnable et déclarant les accusés coupables — Cour d’appel rejetant à la majorité les appels des déclarations de culpabilité et concluant que les verdicts n’étaient pas déraisonnables — Déclarations de culpabilité confirmées.</w:t>
      </w:r>
    </w:p>
    <w:p w:rsidR="00BD1D2B" w:rsidRPr="00BD1D2B" w:rsidRDefault="00BD1D2B" w:rsidP="00BD1D2B">
      <w:pPr>
        <w:pStyle w:val="SCCNormalDoubleSpacing"/>
        <w:widowControl w:val="0"/>
        <w:spacing w:after="720" w:line="240" w:lineRule="auto"/>
        <w:rPr>
          <w:b/>
          <w:lang w:val="fr-CA"/>
        </w:rPr>
      </w:pPr>
      <w:r w:rsidRPr="00BD1D2B">
        <w:rPr>
          <w:b/>
          <w:lang w:val="fr-CA"/>
        </w:rPr>
        <w:t>Jurisprudence</w:t>
      </w:r>
    </w:p>
    <w:p w:rsidR="00BD1D2B" w:rsidRPr="00BD1D2B" w:rsidRDefault="00BD1D2B" w:rsidP="00BD1D2B">
      <w:pPr>
        <w:pStyle w:val="SCCNormalDoubleSpacing"/>
        <w:widowControl w:val="0"/>
        <w:spacing w:after="720" w:line="240" w:lineRule="auto"/>
        <w:rPr>
          <w:b/>
          <w:lang w:val="fr-CA"/>
        </w:rPr>
      </w:pPr>
      <w:r w:rsidRPr="00BD1D2B">
        <w:rPr>
          <w:lang w:val="fr-CA"/>
        </w:rPr>
        <w:tab/>
      </w:r>
      <w:r w:rsidRPr="00BD1D2B">
        <w:rPr>
          <w:b/>
          <w:lang w:val="fr-CA"/>
        </w:rPr>
        <w:t>Arrêt mentionné :</w:t>
      </w:r>
      <w:r w:rsidRPr="00BD1D2B">
        <w:rPr>
          <w:lang w:val="fr-CA"/>
        </w:rPr>
        <w:t xml:space="preserve"> </w:t>
      </w:r>
      <w:r w:rsidRPr="00BD1D2B">
        <w:rPr>
          <w:i/>
          <w:iCs/>
          <w:color w:val="000000"/>
          <w:lang w:val="fr-CA"/>
        </w:rPr>
        <w:t>Hodge’s Case</w:t>
      </w:r>
      <w:r w:rsidRPr="00BD1D2B">
        <w:rPr>
          <w:color w:val="000000"/>
          <w:lang w:val="fr-CA"/>
        </w:rPr>
        <w:t xml:space="preserve"> (1838), 2 Lewin 227, 168 E.R. 1136.</w:t>
      </w:r>
    </w:p>
    <w:p w:rsidR="00BD1D2B" w:rsidRPr="00BD1D2B" w:rsidRDefault="00BD1D2B" w:rsidP="00BD1D2B">
      <w:pPr>
        <w:pStyle w:val="SCCNormalDoubleSpacing"/>
        <w:widowControl w:val="0"/>
        <w:spacing w:after="720" w:line="240" w:lineRule="auto"/>
        <w:rPr>
          <w:b/>
          <w:lang w:val="fr-CA"/>
        </w:rPr>
      </w:pPr>
      <w:r w:rsidRPr="00BD1D2B">
        <w:rPr>
          <w:b/>
          <w:lang w:val="fr-CA"/>
        </w:rPr>
        <w:t>Lois et règlements cités</w:t>
      </w:r>
    </w:p>
    <w:p w:rsidR="00BD1D2B" w:rsidRPr="00BD1D2B" w:rsidRDefault="00BD1D2B" w:rsidP="00BD1D2B">
      <w:pPr>
        <w:pStyle w:val="SCCNormalDoubleSpacing"/>
        <w:widowControl w:val="0"/>
        <w:spacing w:after="720" w:line="240" w:lineRule="auto"/>
        <w:ind w:left="547" w:hanging="547"/>
        <w:rPr>
          <w:lang w:val="fr-CA"/>
        </w:rPr>
      </w:pPr>
      <w:r w:rsidRPr="00BD1D2B">
        <w:rPr>
          <w:rFonts w:eastAsiaTheme="majorEastAsia"/>
          <w:i/>
          <w:iCs/>
          <w:lang w:val="fr-CA"/>
        </w:rPr>
        <w:t>Code criminel</w:t>
      </w:r>
      <w:r w:rsidRPr="00BD1D2B">
        <w:rPr>
          <w:rFonts w:eastAsiaTheme="majorEastAsia"/>
          <w:lang w:val="fr-CA"/>
        </w:rPr>
        <w:t>, L.R.C. 1985, c. C</w:t>
      </w:r>
      <w:r w:rsidRPr="00BD1D2B">
        <w:rPr>
          <w:rFonts w:eastAsiaTheme="majorEastAsia"/>
          <w:lang w:val="fr-CA"/>
        </w:rPr>
        <w:noBreakHyphen/>
        <w:t>46</w:t>
      </w:r>
      <w:r w:rsidRPr="00BD1D2B">
        <w:rPr>
          <w:lang w:val="fr-CA"/>
        </w:rPr>
        <w:t>, art. </w:t>
      </w:r>
      <w:r w:rsidRPr="00BD1D2B">
        <w:rPr>
          <w:color w:val="000000"/>
          <w:lang w:val="fr-CA"/>
        </w:rPr>
        <w:t>686(1)b</w:t>
      </w:r>
      <w:proofErr w:type="gramStart"/>
      <w:r w:rsidRPr="00BD1D2B">
        <w:rPr>
          <w:color w:val="000000"/>
          <w:lang w:val="fr-CA"/>
        </w:rPr>
        <w:t>)(</w:t>
      </w:r>
      <w:proofErr w:type="gramEnd"/>
      <w:r w:rsidRPr="00BD1D2B">
        <w:rPr>
          <w:color w:val="000000"/>
          <w:lang w:val="fr-CA"/>
        </w:rPr>
        <w:t>iii)</w:t>
      </w:r>
      <w:r w:rsidRPr="00BD1D2B">
        <w:rPr>
          <w:lang w:val="fr-CA"/>
        </w:rPr>
        <w:t>.</w:t>
      </w:r>
    </w:p>
    <w:p w:rsidR="00BD1D2B" w:rsidRPr="00BD1D2B" w:rsidRDefault="00BD1D2B" w:rsidP="00BD1D2B">
      <w:pPr>
        <w:pStyle w:val="SCCNormalDoubleSpacing"/>
        <w:spacing w:after="480"/>
        <w:rPr>
          <w:lang w:val="fr-CA"/>
        </w:rPr>
      </w:pPr>
      <w:r w:rsidRPr="00BD1D2B">
        <w:rPr>
          <w:lang w:val="fr-CA"/>
        </w:rPr>
        <w:tab/>
        <w:t xml:space="preserve">POURVOI contre un arrêt de la Cour d’appel de </w:t>
      </w:r>
      <w:r w:rsidRPr="00BD1D2B">
        <w:rPr>
          <w:color w:val="000000"/>
          <w:lang w:val="fr-CA"/>
        </w:rPr>
        <w:t>la Colombie-Britannique</w:t>
      </w:r>
      <w:r w:rsidRPr="00BD1D2B">
        <w:rPr>
          <w:lang w:val="fr-CA"/>
        </w:rPr>
        <w:t xml:space="preserve"> (les juges Newbury, Willcock et Butler), </w:t>
      </w:r>
      <w:hyperlink r:id="rId8" w:history="1">
        <w:r w:rsidRPr="00BD1D2B">
          <w:rPr>
            <w:rStyle w:val="Hyperlink"/>
            <w:lang w:val="fr-CA"/>
          </w:rPr>
          <w:t>2020 BCCA 108</w:t>
        </w:r>
      </w:hyperlink>
      <w:r w:rsidRPr="00BD1D2B">
        <w:rPr>
          <w:color w:val="000000"/>
          <w:lang w:val="fr-CA"/>
        </w:rPr>
        <w:t>, 386 C.C.C. (3d) 480, 462 D.L.R. (4th) 85, [2020] B.C.J. No. 603 (QL), 2020 CarswellBC 902 (WL),</w:t>
      </w:r>
      <w:r w:rsidRPr="00BD1D2B">
        <w:rPr>
          <w:lang w:val="fr-CA"/>
        </w:rPr>
        <w:t xml:space="preserve"> qui a confirmé les déclarations de culpabilité inscrites par le juge Abrioux, 2017 BCSC 1457, [2017] B.C.J. No. 1616 </w:t>
      </w:r>
      <w:r w:rsidRPr="00BD1D2B">
        <w:rPr>
          <w:color w:val="000000"/>
          <w:lang w:val="fr-CA"/>
        </w:rPr>
        <w:t>(QL), 2017 CarswellBC 2266 (WL)</w:t>
      </w:r>
      <w:r w:rsidRPr="00BD1D2B">
        <w:rPr>
          <w:lang w:val="fr-CA"/>
        </w:rPr>
        <w:t>. Pourvoi rejeté.</w:t>
      </w:r>
    </w:p>
    <w:p w:rsidR="00BD1D2B" w:rsidRPr="00BD1D2B" w:rsidRDefault="00BD1D2B" w:rsidP="00BD1D2B">
      <w:pPr>
        <w:pStyle w:val="SCCLawFirm"/>
        <w:spacing w:after="480"/>
        <w:rPr>
          <w:lang w:val="fr-CA"/>
        </w:rPr>
      </w:pPr>
      <w:r w:rsidRPr="00BD1D2B">
        <w:rPr>
          <w:lang w:val="fr-CA"/>
        </w:rPr>
        <w:tab/>
      </w:r>
      <w:r w:rsidRPr="00BD1D2B">
        <w:rPr>
          <w:iCs/>
          <w:color w:val="000000"/>
          <w:lang w:val="fr-CA"/>
        </w:rPr>
        <w:t>Brent V. Bagnall</w:t>
      </w:r>
      <w:r w:rsidRPr="00BD1D2B">
        <w:rPr>
          <w:i w:val="0"/>
          <w:lang w:val="fr-CA"/>
        </w:rPr>
        <w:t>,</w:t>
      </w:r>
      <w:r w:rsidRPr="00BD1D2B">
        <w:rPr>
          <w:lang w:val="fr-CA"/>
        </w:rPr>
        <w:t xml:space="preserve"> </w:t>
      </w:r>
      <w:r w:rsidRPr="00BD1D2B">
        <w:rPr>
          <w:i w:val="0"/>
          <w:color w:val="000000"/>
          <w:lang w:val="fr-CA"/>
        </w:rPr>
        <w:t>pour l’appelante Meranda Leigh Dingwall</w:t>
      </w:r>
      <w:r w:rsidRPr="00BD1D2B">
        <w:rPr>
          <w:i w:val="0"/>
          <w:lang w:val="fr-CA"/>
        </w:rPr>
        <w:t>.</w:t>
      </w:r>
    </w:p>
    <w:p w:rsidR="00BD1D2B" w:rsidRPr="00BD1D2B" w:rsidRDefault="00BD1D2B" w:rsidP="00BD1D2B">
      <w:pPr>
        <w:pStyle w:val="SCCLawFirm"/>
        <w:spacing w:after="480"/>
        <w:rPr>
          <w:i w:val="0"/>
          <w:lang w:val="en-US"/>
        </w:rPr>
      </w:pPr>
      <w:r w:rsidRPr="00BD1D2B">
        <w:rPr>
          <w:lang w:val="fr-CA"/>
        </w:rPr>
        <w:tab/>
      </w:r>
      <w:r w:rsidRPr="00BD1D2B">
        <w:rPr>
          <w:iCs/>
          <w:color w:val="000000"/>
          <w:lang w:val="en-US"/>
        </w:rPr>
        <w:t>Kenneth R. Beatch</w:t>
      </w:r>
      <w:r w:rsidRPr="00BD1D2B">
        <w:rPr>
          <w:color w:val="000000"/>
          <w:lang w:val="en-US"/>
        </w:rPr>
        <w:t xml:space="preserve"> </w:t>
      </w:r>
      <w:proofErr w:type="gramStart"/>
      <w:r w:rsidRPr="00BD1D2B">
        <w:rPr>
          <w:i w:val="0"/>
          <w:lang w:val="en-US"/>
        </w:rPr>
        <w:t>et</w:t>
      </w:r>
      <w:proofErr w:type="gramEnd"/>
      <w:r w:rsidRPr="00BD1D2B">
        <w:rPr>
          <w:lang w:val="en-US"/>
        </w:rPr>
        <w:t xml:space="preserve"> </w:t>
      </w:r>
      <w:r w:rsidRPr="00BD1D2B">
        <w:rPr>
          <w:iCs/>
          <w:color w:val="000000"/>
          <w:lang w:val="en-US"/>
        </w:rPr>
        <w:t>Roger P. Thirkell</w:t>
      </w:r>
      <w:r w:rsidRPr="00BD1D2B">
        <w:rPr>
          <w:i w:val="0"/>
          <w:lang w:val="en-US"/>
        </w:rPr>
        <w:t>,</w:t>
      </w:r>
      <w:r w:rsidRPr="00BD1D2B">
        <w:rPr>
          <w:lang w:val="en-US"/>
        </w:rPr>
        <w:t xml:space="preserve"> </w:t>
      </w:r>
      <w:r w:rsidRPr="00BD1D2B">
        <w:rPr>
          <w:i w:val="0"/>
          <w:color w:val="000000"/>
          <w:lang w:val="en-US"/>
        </w:rPr>
        <w:t>pour l’appelant Christopher Ryan Russell</w:t>
      </w:r>
      <w:r w:rsidRPr="00BD1D2B">
        <w:rPr>
          <w:i w:val="0"/>
          <w:lang w:val="en-US"/>
        </w:rPr>
        <w:t>.</w:t>
      </w:r>
    </w:p>
    <w:p w:rsidR="00BD1D2B" w:rsidRPr="00BD1D2B" w:rsidRDefault="00BD1D2B" w:rsidP="00BD1D2B">
      <w:pPr>
        <w:pStyle w:val="SCCLawFirm"/>
        <w:spacing w:after="480"/>
        <w:rPr>
          <w:lang w:val="fr-CA"/>
        </w:rPr>
      </w:pPr>
      <w:r w:rsidRPr="00BD1D2B">
        <w:rPr>
          <w:lang w:val="en-US"/>
        </w:rPr>
        <w:tab/>
      </w:r>
      <w:r w:rsidRPr="00BD1D2B">
        <w:rPr>
          <w:iCs/>
          <w:color w:val="000000"/>
          <w:lang w:val="fr-CA"/>
        </w:rPr>
        <w:t>Jason C. LeBlond</w:t>
      </w:r>
      <w:r w:rsidRPr="00BD1D2B">
        <w:rPr>
          <w:i w:val="0"/>
          <w:lang w:val="fr-CA"/>
        </w:rPr>
        <w:t>,</w:t>
      </w:r>
      <w:r w:rsidRPr="00BD1D2B">
        <w:rPr>
          <w:lang w:val="fr-CA"/>
        </w:rPr>
        <w:t xml:space="preserve"> </w:t>
      </w:r>
      <w:r w:rsidRPr="00BD1D2B">
        <w:rPr>
          <w:i w:val="0"/>
          <w:color w:val="000000"/>
          <w:lang w:val="fr-CA"/>
        </w:rPr>
        <w:t>pour l’appelant Kelly Michael Richet</w:t>
      </w:r>
      <w:r w:rsidRPr="00BD1D2B">
        <w:rPr>
          <w:i w:val="0"/>
          <w:lang w:val="fr-CA"/>
        </w:rPr>
        <w:t>.</w:t>
      </w:r>
    </w:p>
    <w:p w:rsidR="00BD1D2B" w:rsidRPr="00BD1D2B" w:rsidRDefault="00BD1D2B" w:rsidP="00BD1D2B">
      <w:pPr>
        <w:pStyle w:val="SCCLawFirm"/>
        <w:spacing w:after="480"/>
        <w:rPr>
          <w:i w:val="0"/>
          <w:lang w:val="fr-CA"/>
        </w:rPr>
      </w:pPr>
      <w:r w:rsidRPr="00BD1D2B">
        <w:rPr>
          <w:lang w:val="fr-CA"/>
        </w:rPr>
        <w:tab/>
      </w:r>
      <w:r w:rsidRPr="00BD1D2B">
        <w:rPr>
          <w:iCs/>
          <w:color w:val="000000"/>
          <w:lang w:val="fr-CA"/>
        </w:rPr>
        <w:t>Susanne Elliott</w:t>
      </w:r>
      <w:r w:rsidRPr="00BD1D2B">
        <w:rPr>
          <w:color w:val="000000"/>
          <w:lang w:val="fr-CA"/>
        </w:rPr>
        <w:t xml:space="preserve"> </w:t>
      </w:r>
      <w:r w:rsidRPr="00BD1D2B">
        <w:rPr>
          <w:i w:val="0"/>
          <w:color w:val="000000"/>
          <w:lang w:val="fr-CA"/>
        </w:rPr>
        <w:t>et</w:t>
      </w:r>
      <w:r w:rsidRPr="00BD1D2B">
        <w:rPr>
          <w:color w:val="000000"/>
          <w:lang w:val="fr-CA"/>
        </w:rPr>
        <w:t xml:space="preserve"> </w:t>
      </w:r>
      <w:r w:rsidRPr="00BD1D2B">
        <w:rPr>
          <w:iCs/>
          <w:color w:val="000000"/>
          <w:lang w:val="fr-CA"/>
        </w:rPr>
        <w:t>Geoffrey McDonald</w:t>
      </w:r>
      <w:r w:rsidRPr="00BD1D2B">
        <w:rPr>
          <w:i w:val="0"/>
          <w:lang w:val="fr-CA"/>
        </w:rPr>
        <w:t>,</w:t>
      </w:r>
      <w:r w:rsidRPr="00BD1D2B">
        <w:rPr>
          <w:color w:val="000000"/>
          <w:lang w:val="fr-CA"/>
        </w:rPr>
        <w:t xml:space="preserve"> </w:t>
      </w:r>
      <w:r w:rsidRPr="00BD1D2B">
        <w:rPr>
          <w:i w:val="0"/>
          <w:color w:val="000000"/>
          <w:lang w:val="fr-CA"/>
        </w:rPr>
        <w:t>pour l’intimée</w:t>
      </w:r>
      <w:r w:rsidRPr="00BD1D2B">
        <w:rPr>
          <w:i w:val="0"/>
          <w:lang w:val="fr-CA"/>
        </w:rPr>
        <w:t>.</w:t>
      </w:r>
    </w:p>
    <w:p w:rsidR="00BD1D2B" w:rsidRPr="00BD1D2B" w:rsidRDefault="00BD1D2B" w:rsidP="00BD1D2B">
      <w:pPr>
        <w:pStyle w:val="SCCNormalDoubleSpacing"/>
        <w:spacing w:after="480"/>
        <w:rPr>
          <w:color w:val="000000"/>
          <w:lang w:val="fr-CA"/>
        </w:rPr>
      </w:pPr>
      <w:r w:rsidRPr="00BD1D2B">
        <w:rPr>
          <w:rStyle w:val="SCCCounselNameChar"/>
        </w:rPr>
        <w:tab/>
      </w:r>
      <w:r w:rsidRPr="00BD1D2B">
        <w:rPr>
          <w:color w:val="000000"/>
          <w:lang w:val="fr-CA"/>
        </w:rPr>
        <w:t>Version française du jugement de la Cour rendu oralement par</w:t>
      </w:r>
    </w:p>
    <w:p w:rsidR="00BD1D2B" w:rsidRPr="00BD1D2B" w:rsidRDefault="00BD1D2B" w:rsidP="00BD1D2B">
      <w:pPr>
        <w:pStyle w:val="ParaNoNdepar-AltN"/>
        <w:rPr>
          <w:color w:val="000000"/>
          <w:lang w:val="fr-CA"/>
        </w:rPr>
      </w:pPr>
      <w:r w:rsidRPr="00BD1D2B">
        <w:rPr>
          <w:color w:val="000000"/>
          <w:lang w:val="fr-CA"/>
        </w:rPr>
        <w:t>[1]</w:t>
      </w:r>
      <w:r w:rsidRPr="00BD1D2B">
        <w:rPr>
          <w:color w:val="000000"/>
          <w:lang w:val="fr-CA"/>
        </w:rPr>
        <w:tab/>
      </w:r>
      <w:r w:rsidRPr="00BD1D2B">
        <w:rPr>
          <w:smallCaps/>
          <w:lang w:val="fr-CA"/>
        </w:rPr>
        <w:t xml:space="preserve">Le juge </w:t>
      </w:r>
      <w:r w:rsidRPr="00BD1D2B">
        <w:rPr>
          <w:smallCaps/>
          <w:color w:val="000000"/>
          <w:lang w:val="fr-CA"/>
        </w:rPr>
        <w:t>Rowe</w:t>
      </w:r>
      <w:r w:rsidRPr="00BD1D2B">
        <w:rPr>
          <w:lang w:val="fr-CA"/>
        </w:rPr>
        <w:t xml:space="preserve"> — </w:t>
      </w:r>
      <w:r w:rsidRPr="00BD1D2B">
        <w:rPr>
          <w:color w:val="000000"/>
          <w:lang w:val="fr-CA"/>
        </w:rPr>
        <w:t xml:space="preserve">Nous sommes d’avis de rejeter le pourvoi, essentiellement pour les motifs exposés par la juge Newbury aux par. 51 et 53. Nous ajoutons que malgré l’énoncé erroné du droit relatif à la preuve circonstancielle formulé par le juge du procès au </w:t>
      </w:r>
      <w:proofErr w:type="spellStart"/>
      <w:r w:rsidRPr="00BD1D2B">
        <w:rPr>
          <w:color w:val="000000"/>
          <w:lang w:val="fr-CA"/>
        </w:rPr>
        <w:t>par</w:t>
      </w:r>
      <w:proofErr w:type="spellEnd"/>
      <w:r w:rsidRPr="00BD1D2B">
        <w:rPr>
          <w:color w:val="000000"/>
          <w:lang w:val="fr-CA"/>
        </w:rPr>
        <w:t>. 9(b) de ses motifs (2017 BCSC 1457 (CanLII)), il a bien appliqué le droit en la matière. Il n’est donc pas nécessaire de recourir au pouvoir de réparation que confère le sous</w:t>
      </w:r>
      <w:r w:rsidRPr="00BD1D2B">
        <w:rPr>
          <w:color w:val="000000"/>
          <w:lang w:val="fr-CA"/>
        </w:rPr>
        <w:noBreakHyphen/>
        <w:t>al. 686(1)b</w:t>
      </w:r>
      <w:proofErr w:type="gramStart"/>
      <w:r w:rsidRPr="00BD1D2B">
        <w:rPr>
          <w:color w:val="000000"/>
          <w:lang w:val="fr-CA"/>
        </w:rPr>
        <w:t>)(</w:t>
      </w:r>
      <w:proofErr w:type="gramEnd"/>
      <w:r w:rsidRPr="00BD1D2B">
        <w:rPr>
          <w:color w:val="000000"/>
          <w:lang w:val="fr-CA"/>
        </w:rPr>
        <w:t xml:space="preserve">iii) du </w:t>
      </w:r>
      <w:r w:rsidRPr="00BD1D2B">
        <w:rPr>
          <w:rFonts w:eastAsiaTheme="majorEastAsia"/>
          <w:i/>
          <w:iCs/>
          <w:lang w:val="fr-CA"/>
        </w:rPr>
        <w:t>Code criminel</w:t>
      </w:r>
      <w:r w:rsidRPr="00BD1D2B">
        <w:rPr>
          <w:rFonts w:eastAsiaTheme="majorEastAsia"/>
          <w:lang w:val="fr-CA"/>
        </w:rPr>
        <w:t>, L.R.C. 1985, c. C</w:t>
      </w:r>
      <w:r w:rsidRPr="00BD1D2B">
        <w:rPr>
          <w:rFonts w:eastAsiaTheme="majorEastAsia"/>
          <w:lang w:val="fr-CA"/>
        </w:rPr>
        <w:noBreakHyphen/>
        <w:t>46</w:t>
      </w:r>
      <w:r w:rsidRPr="00BD1D2B">
        <w:rPr>
          <w:color w:val="000000"/>
          <w:lang w:val="fr-CA"/>
        </w:rPr>
        <w:t xml:space="preserve">. Enfin, nous tenons à signaler que, bien que la Cour d’appel ait traité aux par. 39 et 50 de la règle établie dans </w:t>
      </w:r>
      <w:r w:rsidRPr="00BD1D2B">
        <w:rPr>
          <w:i/>
          <w:iCs/>
          <w:color w:val="000000"/>
          <w:lang w:val="fr-CA"/>
        </w:rPr>
        <w:t>Hodge’s Case</w:t>
      </w:r>
      <w:r w:rsidRPr="00BD1D2B">
        <w:rPr>
          <w:color w:val="000000"/>
          <w:lang w:val="fr-CA"/>
        </w:rPr>
        <w:t xml:space="preserve"> (1838), 2 Lewin 227, 168 E.R. 1136, notre Cour n’est pas saisie de la portée et de l’application de cette règle.</w:t>
      </w:r>
    </w:p>
    <w:p w:rsidR="00BD1D2B" w:rsidRPr="00BD1D2B" w:rsidRDefault="00BD1D2B" w:rsidP="00BD1D2B">
      <w:pPr>
        <w:pStyle w:val="SCCNormalDoubleSpacing"/>
        <w:spacing w:after="480"/>
        <w:rPr>
          <w:i/>
          <w:lang w:val="fr-CA"/>
        </w:rPr>
      </w:pPr>
      <w:r w:rsidRPr="00BD1D2B">
        <w:rPr>
          <w:lang w:val="fr-CA"/>
        </w:rPr>
        <w:tab/>
      </w:r>
      <w:r w:rsidRPr="00BD1D2B">
        <w:rPr>
          <w:i/>
          <w:iCs/>
          <w:color w:val="000000"/>
          <w:lang w:val="fr-CA"/>
        </w:rPr>
        <w:t>Jugement en conséquence.</w:t>
      </w:r>
    </w:p>
    <w:p w:rsidR="00BD1D2B" w:rsidRPr="00BD1D2B" w:rsidRDefault="00BD1D2B" w:rsidP="00BD1D2B">
      <w:pPr>
        <w:pStyle w:val="SCCLawFirm"/>
        <w:spacing w:after="480"/>
        <w:rPr>
          <w:iCs/>
          <w:color w:val="000000"/>
          <w:lang w:val="fr-CA"/>
        </w:rPr>
      </w:pPr>
      <w:r w:rsidRPr="00BD1D2B">
        <w:rPr>
          <w:iCs/>
          <w:color w:val="000000"/>
          <w:lang w:val="fr-CA"/>
        </w:rPr>
        <w:tab/>
        <w:t>Procureur de l’appelante Meranda Leigh Dingwall : Brent V. Bagnall, Vancouver.</w:t>
      </w:r>
    </w:p>
    <w:p w:rsidR="00BD1D2B" w:rsidRPr="00BD1D2B" w:rsidRDefault="00BD1D2B" w:rsidP="00BD1D2B">
      <w:pPr>
        <w:pStyle w:val="SCCLawFirm"/>
        <w:spacing w:after="480"/>
        <w:rPr>
          <w:iCs/>
          <w:color w:val="000000"/>
          <w:lang w:val="fr-CA"/>
        </w:rPr>
      </w:pPr>
      <w:r w:rsidRPr="00BD1D2B">
        <w:rPr>
          <w:iCs/>
          <w:color w:val="000000"/>
          <w:lang w:val="fr-CA"/>
        </w:rPr>
        <w:tab/>
        <w:t xml:space="preserve">Procureurs de l’appelant Christopher Ryan Russell : </w:t>
      </w:r>
      <w:r w:rsidRPr="00BD1D2B">
        <w:rPr>
          <w:color w:val="333333"/>
          <w:szCs w:val="21"/>
          <w:shd w:val="clear" w:color="auto" w:fill="FFFFFF"/>
          <w:lang w:val="fr-CA"/>
        </w:rPr>
        <w:t>Thirkell &amp; Company</w:t>
      </w:r>
      <w:r w:rsidRPr="00BD1D2B">
        <w:rPr>
          <w:iCs/>
          <w:color w:val="000000"/>
          <w:lang w:val="fr-CA"/>
        </w:rPr>
        <w:t>, Abbotsford.</w:t>
      </w:r>
    </w:p>
    <w:p w:rsidR="00BD1D2B" w:rsidRPr="00BD1D2B" w:rsidRDefault="00BD1D2B" w:rsidP="00BD1D2B">
      <w:pPr>
        <w:pStyle w:val="SCCLawFirm"/>
        <w:spacing w:after="480"/>
        <w:rPr>
          <w:iCs/>
          <w:color w:val="000000"/>
          <w:lang w:val="fr-CA"/>
        </w:rPr>
      </w:pPr>
      <w:r w:rsidRPr="00BD1D2B">
        <w:rPr>
          <w:iCs/>
          <w:color w:val="000000"/>
          <w:lang w:val="fr-CA"/>
        </w:rPr>
        <w:tab/>
        <w:t>Procureurs de l’appelant Kelly Michael Richet : Third Avenue Law, Prince George.</w:t>
      </w:r>
    </w:p>
    <w:p w:rsidR="00904937" w:rsidRPr="00BD1D2B" w:rsidRDefault="00BD1D2B" w:rsidP="00BD1D2B">
      <w:pPr>
        <w:pStyle w:val="SCCLawFirm"/>
        <w:spacing w:after="480"/>
        <w:rPr>
          <w:iCs/>
          <w:color w:val="000000"/>
          <w:lang w:val="fr-CA"/>
        </w:rPr>
      </w:pPr>
      <w:r w:rsidRPr="00BD1D2B">
        <w:rPr>
          <w:iCs/>
          <w:color w:val="000000"/>
          <w:lang w:val="fr-CA"/>
        </w:rPr>
        <w:tab/>
        <w:t>Procureur de l’intimée : Procureur général de la Colombie</w:t>
      </w:r>
      <w:r w:rsidRPr="00BD1D2B">
        <w:rPr>
          <w:iCs/>
          <w:color w:val="000000"/>
          <w:lang w:val="fr-CA"/>
        </w:rPr>
        <w:noBreakHyphen/>
        <w:t>Britannique, Vancouver.</w:t>
      </w:r>
    </w:p>
    <w:sectPr w:rsidR="00904937" w:rsidRPr="00BD1D2B" w:rsidSect="00F72014">
      <w:headerReference w:type="default" r:id="rId9"/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67" w:rsidRDefault="000F4467" w:rsidP="00F72014">
      <w:r>
        <w:separator/>
      </w:r>
    </w:p>
  </w:endnote>
  <w:endnote w:type="continuationSeparator" w:id="0">
    <w:p w:rsidR="000F4467" w:rsidRDefault="000F4467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67" w:rsidRDefault="000F4467" w:rsidP="00F72014">
      <w:r>
        <w:separator/>
      </w:r>
    </w:p>
  </w:footnote>
  <w:footnote w:type="continuationSeparator" w:id="0">
    <w:p w:rsidR="000F4467" w:rsidRDefault="000F4467" w:rsidP="00F7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82" w:rsidRDefault="00196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11E76"/>
    <w:rsid w:val="000D1436"/>
    <w:rsid w:val="000F4467"/>
    <w:rsid w:val="00100074"/>
    <w:rsid w:val="001311DA"/>
    <w:rsid w:val="00177E57"/>
    <w:rsid w:val="00196882"/>
    <w:rsid w:val="001A2CF8"/>
    <w:rsid w:val="001D6B8C"/>
    <w:rsid w:val="001E12E2"/>
    <w:rsid w:val="001E5B5A"/>
    <w:rsid w:val="001F1F83"/>
    <w:rsid w:val="00256B56"/>
    <w:rsid w:val="0028675F"/>
    <w:rsid w:val="0029156B"/>
    <w:rsid w:val="002F0B6C"/>
    <w:rsid w:val="00355967"/>
    <w:rsid w:val="0036772A"/>
    <w:rsid w:val="00384384"/>
    <w:rsid w:val="003B2BE1"/>
    <w:rsid w:val="003B3C63"/>
    <w:rsid w:val="003B7306"/>
    <w:rsid w:val="00423C0D"/>
    <w:rsid w:val="00460AFC"/>
    <w:rsid w:val="00467372"/>
    <w:rsid w:val="004B6D25"/>
    <w:rsid w:val="004E69EC"/>
    <w:rsid w:val="004F090E"/>
    <w:rsid w:val="004F7322"/>
    <w:rsid w:val="00535189"/>
    <w:rsid w:val="00582136"/>
    <w:rsid w:val="0058383C"/>
    <w:rsid w:val="005C0397"/>
    <w:rsid w:val="005D5624"/>
    <w:rsid w:val="005E1194"/>
    <w:rsid w:val="006034F1"/>
    <w:rsid w:val="006936F1"/>
    <w:rsid w:val="006D697E"/>
    <w:rsid w:val="006F2943"/>
    <w:rsid w:val="00701ABD"/>
    <w:rsid w:val="0075619B"/>
    <w:rsid w:val="007740CA"/>
    <w:rsid w:val="00787F6E"/>
    <w:rsid w:val="008029A6"/>
    <w:rsid w:val="008029AC"/>
    <w:rsid w:val="00803557"/>
    <w:rsid w:val="008215C3"/>
    <w:rsid w:val="00842677"/>
    <w:rsid w:val="00847E71"/>
    <w:rsid w:val="008714CB"/>
    <w:rsid w:val="00880B14"/>
    <w:rsid w:val="008A2040"/>
    <w:rsid w:val="008A731F"/>
    <w:rsid w:val="008B5797"/>
    <w:rsid w:val="008C75A4"/>
    <w:rsid w:val="008C7802"/>
    <w:rsid w:val="008F4691"/>
    <w:rsid w:val="00904937"/>
    <w:rsid w:val="00957366"/>
    <w:rsid w:val="00996510"/>
    <w:rsid w:val="009F0F2D"/>
    <w:rsid w:val="00A51442"/>
    <w:rsid w:val="00A51D10"/>
    <w:rsid w:val="00A863F7"/>
    <w:rsid w:val="00AB2201"/>
    <w:rsid w:val="00AC456D"/>
    <w:rsid w:val="00BD1D2B"/>
    <w:rsid w:val="00BD4217"/>
    <w:rsid w:val="00C34313"/>
    <w:rsid w:val="00CA3730"/>
    <w:rsid w:val="00CB66C1"/>
    <w:rsid w:val="00CC11D3"/>
    <w:rsid w:val="00D030DA"/>
    <w:rsid w:val="00D056AE"/>
    <w:rsid w:val="00D07EED"/>
    <w:rsid w:val="00D5237B"/>
    <w:rsid w:val="00D751FC"/>
    <w:rsid w:val="00D76BDF"/>
    <w:rsid w:val="00E356C7"/>
    <w:rsid w:val="00E53ED9"/>
    <w:rsid w:val="00E64FA7"/>
    <w:rsid w:val="00E7577F"/>
    <w:rsid w:val="00E770CB"/>
    <w:rsid w:val="00E7748A"/>
    <w:rsid w:val="00F01FC5"/>
    <w:rsid w:val="00F060D9"/>
    <w:rsid w:val="00F25646"/>
    <w:rsid w:val="00F72014"/>
    <w:rsid w:val="00F837E7"/>
    <w:rsid w:val="00F9518C"/>
    <w:rsid w:val="00FA59EF"/>
    <w:rsid w:val="00FB616D"/>
    <w:rsid w:val="00FD2D69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E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14"/>
  </w:style>
  <w:style w:type="paragraph" w:styleId="Footer">
    <w:name w:val="footer"/>
    <w:basedOn w:val="Normal"/>
    <w:link w:val="Foot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9F0F2D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9F0F2D"/>
    <w:rPr>
      <w:b/>
      <w:smallCaps/>
      <w:lang w:val="fr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9F0F2D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9F0F2D"/>
    <w:rPr>
      <w:lang w:val="fr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8B5797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8B5797"/>
    <w:rPr>
      <w:lang w:val="fr-CA"/>
    </w:rPr>
  </w:style>
  <w:style w:type="paragraph" w:customStyle="1" w:styleId="SCCLsocParty">
    <w:name w:val="SCC.Lsoc.Party"/>
    <w:basedOn w:val="Normal"/>
    <w:next w:val="Normal"/>
    <w:link w:val="SCCLsocPartyChar"/>
    <w:rsid w:val="008B5797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8B5797"/>
    <w:rPr>
      <w:b/>
      <w:lang w:val="fr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C0397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5C0397"/>
    <w:rPr>
      <w:b/>
      <w:smallCaps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8B5797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8B5797"/>
    <w:rPr>
      <w:lang w:val="fr-CA"/>
    </w:rPr>
  </w:style>
  <w:style w:type="paragraph" w:customStyle="1" w:styleId="SCCLsocPartyRole">
    <w:name w:val="SCC.Lsoc.PartyRole"/>
    <w:basedOn w:val="Normal"/>
    <w:next w:val="Normal"/>
    <w:link w:val="SCCLsocPartyRoleChar"/>
    <w:rsid w:val="008B5797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8B5797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5C0397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5C0397"/>
    <w:rPr>
      <w:b/>
      <w:smallCaps/>
      <w:lang w:val="fr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A3730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A3730"/>
    <w:rPr>
      <w:lang w:val="fr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A3730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A3730"/>
    <w:rPr>
      <w:b/>
      <w:smallCaps/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196882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196882"/>
    <w:rPr>
      <w:lang w:val="fr-CA"/>
    </w:rPr>
  </w:style>
  <w:style w:type="paragraph" w:customStyle="1" w:styleId="SCCCounselName">
    <w:name w:val="SCC.CounselName"/>
    <w:basedOn w:val="Normal"/>
    <w:next w:val="Normal"/>
    <w:link w:val="SCCCounselNameChar"/>
    <w:rsid w:val="003B7306"/>
    <w:rPr>
      <w:i/>
    </w:rPr>
  </w:style>
  <w:style w:type="character" w:customStyle="1" w:styleId="SCCCounselNameChar">
    <w:name w:val="SCC.CounselName Char"/>
    <w:basedOn w:val="DefaultParagraphFont"/>
    <w:link w:val="SCCCounselName"/>
    <w:rsid w:val="003B7306"/>
    <w:rPr>
      <w:rFonts w:eastAsia="Times New Roman" w:cs="Times New Roman"/>
      <w:i/>
      <w:szCs w:val="20"/>
      <w:lang w:val="fr-CA" w:eastAsia="en-CA"/>
    </w:rPr>
  </w:style>
  <w:style w:type="paragraph" w:customStyle="1" w:styleId="SCCCounselSeparator">
    <w:name w:val="SCC.CounselSeparator"/>
    <w:basedOn w:val="Normal"/>
    <w:next w:val="Normal"/>
    <w:link w:val="SCCCounselSeparatorChar"/>
    <w:rsid w:val="003B7306"/>
  </w:style>
  <w:style w:type="character" w:customStyle="1" w:styleId="SCCCounselSeparatorChar">
    <w:name w:val="SCC.CounselSeparator Char"/>
    <w:basedOn w:val="DefaultParagraphFont"/>
    <w:link w:val="SCCCounselSeparator"/>
    <w:rsid w:val="003B7306"/>
    <w:rPr>
      <w:rFonts w:eastAsia="Times New Roman" w:cs="Times New Roman"/>
      <w:szCs w:val="20"/>
      <w:lang w:val="fr-CA" w:eastAsia="en-CA"/>
    </w:rPr>
  </w:style>
  <w:style w:type="paragraph" w:customStyle="1" w:styleId="SCCCounselPartyRole">
    <w:name w:val="SCC.CounselPartyRole"/>
    <w:basedOn w:val="Normal"/>
    <w:next w:val="Normal"/>
    <w:link w:val="SCCCounselPartyRoleChar"/>
    <w:rsid w:val="003B7306"/>
  </w:style>
  <w:style w:type="character" w:customStyle="1" w:styleId="SCCCounselPartyRoleChar">
    <w:name w:val="SCC.CounselPartyRole Char"/>
    <w:basedOn w:val="DefaultParagraphFont"/>
    <w:link w:val="SCCCounselPartyRole"/>
    <w:rsid w:val="003B7306"/>
    <w:rPr>
      <w:rFonts w:eastAsia="Times New Roman" w:cs="Times New Roman"/>
      <w:szCs w:val="20"/>
      <w:lang w:val="fr-CA" w:eastAsia="en-CA"/>
    </w:rPr>
  </w:style>
  <w:style w:type="paragraph" w:customStyle="1" w:styleId="SCCBold">
    <w:name w:val="SCC.Bold"/>
    <w:basedOn w:val="Normal"/>
    <w:next w:val="Normal"/>
    <w:qFormat/>
    <w:rsid w:val="00D07EED"/>
    <w:rPr>
      <w:b/>
    </w:rPr>
  </w:style>
  <w:style w:type="paragraph" w:customStyle="1" w:styleId="SCCReasonsTitle">
    <w:name w:val="SCC.ReasonsTitle"/>
    <w:basedOn w:val="Normal"/>
    <w:next w:val="Normal"/>
    <w:link w:val="SCCReasonsTitleChar"/>
    <w:qFormat/>
    <w:rsid w:val="00D5237B"/>
    <w:rPr>
      <w:b/>
    </w:rPr>
  </w:style>
  <w:style w:type="character" w:customStyle="1" w:styleId="SCCReasonsTitleChar">
    <w:name w:val="SCC.ReasonsTitle Char"/>
    <w:basedOn w:val="DefaultParagraphFont"/>
    <w:link w:val="SCCReasonsTitle"/>
    <w:rsid w:val="00100074"/>
    <w:rPr>
      <w:b/>
      <w:lang w:val="fr-CA"/>
    </w:rPr>
  </w:style>
  <w:style w:type="paragraph" w:customStyle="1" w:styleId="SCCNormalDoubleSpacing">
    <w:name w:val="SCC.Normal.DoubleSpacing"/>
    <w:basedOn w:val="Normal"/>
    <w:link w:val="SCCNormalDoubleSpacingChar"/>
    <w:rsid w:val="00BD1D2B"/>
    <w:pPr>
      <w:tabs>
        <w:tab w:val="left" w:pos="1168"/>
      </w:tabs>
      <w:spacing w:line="480" w:lineRule="auto"/>
      <w:jc w:val="both"/>
    </w:pPr>
    <w:rPr>
      <w:rFonts w:eastAsia="Times New Roman" w:cs="Times New Roman"/>
      <w:szCs w:val="20"/>
      <w:lang w:val="en-CA" w:eastAsia="en-CA"/>
    </w:rPr>
  </w:style>
  <w:style w:type="character" w:customStyle="1" w:styleId="SCCNormalDoubleSpacingChar">
    <w:name w:val="SCC.Normal.DoubleSpacing Char"/>
    <w:basedOn w:val="DefaultParagraphFont"/>
    <w:link w:val="SCCNormalDoubleSpacing"/>
    <w:rsid w:val="00BD1D2B"/>
    <w:rPr>
      <w:rFonts w:eastAsia="Times New Roman" w:cs="Times New Roman"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BD1D2B"/>
    <w:rPr>
      <w:rFonts w:eastAsia="Times New Roman" w:cs="Times New Roman"/>
      <w:b/>
      <w:szCs w:val="20"/>
      <w:lang w:val="en-CA" w:eastAsia="en-CA"/>
    </w:rPr>
  </w:style>
  <w:style w:type="character" w:customStyle="1" w:styleId="SCCSystemYearChar">
    <w:name w:val="SCC.SystemYear Char"/>
    <w:basedOn w:val="DefaultParagraphFont"/>
    <w:link w:val="SCCSystemYear"/>
    <w:rsid w:val="00BD1D2B"/>
    <w:rPr>
      <w:rFonts w:eastAsia="Times New Roman" w:cs="Times New Roman"/>
      <w:b/>
      <w:szCs w:val="20"/>
      <w:lang w:val="en-CA" w:eastAsia="en-CA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BD1D2B"/>
    <w:rPr>
      <w:i/>
    </w:rPr>
  </w:style>
  <w:style w:type="character" w:customStyle="1" w:styleId="SCCLawFirmChar">
    <w:name w:val="SCC.LawFirm Char"/>
    <w:basedOn w:val="SCCNormalDoubleSpacingChar"/>
    <w:link w:val="SCCLawFirm"/>
    <w:rsid w:val="00BD1D2B"/>
    <w:rPr>
      <w:rFonts w:eastAsia="Times New Roman" w:cs="Times New Roman"/>
      <w:i/>
      <w:szCs w:val="20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D1D2B"/>
    <w:pPr>
      <w:tabs>
        <w:tab w:val="right" w:pos="8222"/>
      </w:tabs>
      <w:spacing w:after="720"/>
    </w:pPr>
    <w:rPr>
      <w:rFonts w:eastAsia="Times New Roman" w:cs="Times New Roman"/>
      <w:b/>
      <w:szCs w:val="20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D1D2B"/>
    <w:rPr>
      <w:rFonts w:eastAsia="Times New Roman" w:cs="Times New Roman"/>
      <w:b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D1D2B"/>
    <w:rPr>
      <w:color w:val="660000"/>
      <w:u w:val="none"/>
    </w:rPr>
  </w:style>
  <w:style w:type="paragraph" w:customStyle="1" w:styleId="ParaNoNdepar-AltN">
    <w:name w:val="Para. No. / Nº de par. - Alt N"/>
    <w:link w:val="ParaNoNdepar-AltNChar"/>
    <w:qFormat/>
    <w:rsid w:val="00BD1D2B"/>
    <w:pPr>
      <w:tabs>
        <w:tab w:val="left" w:pos="1166"/>
      </w:tabs>
      <w:spacing w:before="480" w:after="480" w:line="480" w:lineRule="auto"/>
      <w:jc w:val="both"/>
    </w:pPr>
    <w:rPr>
      <w:rFonts w:eastAsiaTheme="minorEastAsia"/>
      <w:szCs w:val="22"/>
      <w:lang w:val="en-CA"/>
    </w:rPr>
  </w:style>
  <w:style w:type="character" w:customStyle="1" w:styleId="ParaNoNdepar-AltNChar">
    <w:name w:val="Para. No. / Nº de par. - Alt N Char"/>
    <w:basedOn w:val="DefaultParagraphFont"/>
    <w:link w:val="ParaNoNdepar-AltN"/>
    <w:rsid w:val="00BD1D2B"/>
    <w:rPr>
      <w:rFonts w:eastAsiaTheme="minorEastAsia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courts.ca/jdb-txt/ca/20/01/2020BCCA0108cor1.ht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72252.19B69D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2022-12-22T18:03:00Z</dcterms:created>
  <dcterms:modified xsi:type="dcterms:W3CDTF">2022-12-22T18:03:00Z</dcterms:modified>
</cp:coreProperties>
</file>