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9"/>
        <w:gridCol w:w="1380"/>
        <w:gridCol w:w="1432"/>
        <w:gridCol w:w="3206"/>
        <w:gridCol w:w="53"/>
      </w:tblGrid>
      <w:tr w:rsidR="00116CBE" w:rsidRPr="00116CBE" w14:paraId="71DA6221" w14:textId="77777777" w:rsidTr="00D85F67">
        <w:trPr>
          <w:gridAfter w:val="1"/>
          <w:wAfter w:w="33" w:type="pct"/>
          <w:trHeight w:val="1786"/>
        </w:trPr>
        <w:tc>
          <w:tcPr>
            <w:tcW w:w="4967" w:type="pct"/>
            <w:gridSpan w:val="4"/>
          </w:tcPr>
          <w:p w14:paraId="4E636C1A" w14:textId="77777777" w:rsidR="00116CBE" w:rsidRPr="00116CBE" w:rsidRDefault="00116CBE" w:rsidP="00116CBE">
            <w:pPr>
              <w:jc w:val="center"/>
              <w:rPr>
                <w:b/>
                <w:lang w:val="fr-CA"/>
              </w:rPr>
            </w:pPr>
            <w:r w:rsidRPr="00116CBE">
              <w:rPr>
                <w:b/>
                <w:noProof/>
              </w:rPr>
              <w:drawing>
                <wp:inline distT="0" distB="0" distL="0" distR="0" wp14:anchorId="4824FC27" wp14:editId="4DEA44E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736F178" w14:textId="77777777" w:rsidR="00116CBE" w:rsidRPr="00116CBE" w:rsidRDefault="00116CBE" w:rsidP="00116CBE">
            <w:pPr>
              <w:spacing w:before="120" w:after="100" w:afterAutospacing="1"/>
              <w:jc w:val="center"/>
              <w:rPr>
                <w:lang w:val="fr-CA"/>
              </w:rPr>
            </w:pPr>
            <w:r w:rsidRPr="00116CBE">
              <w:rPr>
                <w:b/>
                <w:lang w:val="fr-CA"/>
              </w:rPr>
              <w:t>COUR SUPRÊME DU CANADA</w:t>
            </w:r>
          </w:p>
        </w:tc>
      </w:tr>
      <w:tr w:rsidR="00116CBE" w:rsidRPr="00116CBE" w14:paraId="0D098DA2" w14:textId="77777777" w:rsidTr="00D85F67">
        <w:tblPrEx>
          <w:tblCellMar>
            <w:top w:w="58" w:type="dxa"/>
            <w:left w:w="58" w:type="dxa"/>
            <w:bottom w:w="58" w:type="dxa"/>
            <w:right w:w="58" w:type="dxa"/>
          </w:tblCellMar>
        </w:tblPrEx>
        <w:trPr>
          <w:cantSplit/>
        </w:trPr>
        <w:tc>
          <w:tcPr>
            <w:tcW w:w="2097" w:type="pct"/>
            <w:gridSpan w:val="2"/>
          </w:tcPr>
          <w:p w14:paraId="61F38E83" w14:textId="77777777" w:rsidR="00116CBE" w:rsidRPr="00116CBE" w:rsidRDefault="00116CBE" w:rsidP="00116CBE">
            <w:pPr>
              <w:rPr>
                <w:b/>
                <w:smallCaps/>
                <w:lang w:val="fr-CA"/>
              </w:rPr>
            </w:pPr>
          </w:p>
          <w:p w14:paraId="57AF219D" w14:textId="77777777" w:rsidR="00116CBE" w:rsidRPr="00116CBE" w:rsidRDefault="00116CBE" w:rsidP="00116CBE">
            <w:pPr>
              <w:rPr>
                <w:b/>
                <w:smallCaps/>
                <w:lang w:val="fr-CA"/>
              </w:rPr>
            </w:pPr>
            <w:r w:rsidRPr="00116CBE">
              <w:rPr>
                <w:b/>
                <w:smallCaps/>
                <w:lang w:val="fr-CA"/>
              </w:rPr>
              <w:t>Référence :</w:t>
            </w:r>
            <w:r w:rsidRPr="00116CBE">
              <w:rPr>
                <w:lang w:val="fr-CA"/>
              </w:rPr>
              <w:t xml:space="preserve"> Ward </w:t>
            </w:r>
            <w:r w:rsidRPr="00116CBE">
              <w:rPr>
                <w:i/>
                <w:lang w:val="fr-CA"/>
              </w:rPr>
              <w:t>c.</w:t>
            </w:r>
            <w:r w:rsidRPr="00116CBE">
              <w:rPr>
                <w:lang w:val="fr-CA"/>
              </w:rPr>
              <w:t xml:space="preserve"> Québec (Commission des droits de la personne et des droits de la jeunesse), 2021 CSC 43</w:t>
            </w:r>
          </w:p>
        </w:tc>
        <w:tc>
          <w:tcPr>
            <w:tcW w:w="886" w:type="pct"/>
          </w:tcPr>
          <w:p w14:paraId="74A95EB2" w14:textId="77777777" w:rsidR="00116CBE" w:rsidRPr="00116CBE" w:rsidRDefault="00116CBE" w:rsidP="00116CBE">
            <w:pPr>
              <w:rPr>
                <w:lang w:val="fr-CA"/>
              </w:rPr>
            </w:pPr>
          </w:p>
        </w:tc>
        <w:tc>
          <w:tcPr>
            <w:tcW w:w="2017" w:type="pct"/>
            <w:gridSpan w:val="2"/>
          </w:tcPr>
          <w:p w14:paraId="20A2CAA0" w14:textId="77777777" w:rsidR="00116CBE" w:rsidRPr="00116CBE" w:rsidRDefault="00116CBE" w:rsidP="00116CBE">
            <w:pPr>
              <w:jc w:val="both"/>
              <w:rPr>
                <w:b/>
                <w:smallCaps/>
                <w:lang w:val="fr-CA"/>
              </w:rPr>
            </w:pPr>
          </w:p>
          <w:p w14:paraId="20442EA0" w14:textId="77777777" w:rsidR="00116CBE" w:rsidRPr="00116CBE" w:rsidRDefault="00116CBE" w:rsidP="00116CBE">
            <w:pPr>
              <w:jc w:val="both"/>
              <w:rPr>
                <w:lang w:val="fr-CA"/>
              </w:rPr>
            </w:pPr>
            <w:r w:rsidRPr="00116CBE">
              <w:rPr>
                <w:b/>
                <w:smallCaps/>
                <w:lang w:val="fr-CA"/>
              </w:rPr>
              <w:t>Appel entendu :</w:t>
            </w:r>
            <w:r w:rsidRPr="00116CBE">
              <w:rPr>
                <w:lang w:val="fr-CA"/>
              </w:rPr>
              <w:t xml:space="preserve"> 15 février 2021</w:t>
            </w:r>
          </w:p>
          <w:p w14:paraId="72BD6313" w14:textId="77777777" w:rsidR="00116CBE" w:rsidRPr="00116CBE" w:rsidRDefault="00116CBE" w:rsidP="00116CBE">
            <w:pPr>
              <w:rPr>
                <w:lang w:val="fr-CA"/>
              </w:rPr>
            </w:pPr>
            <w:r w:rsidRPr="00116CBE">
              <w:rPr>
                <w:b/>
                <w:smallCaps/>
                <w:lang w:val="fr-CA"/>
              </w:rPr>
              <w:t>Jugement rendu :</w:t>
            </w:r>
            <w:r w:rsidRPr="00116CBE">
              <w:rPr>
                <w:lang w:val="fr-CA"/>
              </w:rPr>
              <w:t xml:space="preserve"> 29 octobre 2021</w:t>
            </w:r>
          </w:p>
          <w:p w14:paraId="668EBD85" w14:textId="77777777" w:rsidR="00116CBE" w:rsidRPr="00116CBE" w:rsidRDefault="00116CBE" w:rsidP="00116CBE">
            <w:r w:rsidRPr="00116CBE">
              <w:rPr>
                <w:b/>
                <w:smallCaps/>
              </w:rPr>
              <w:t>Dossier :</w:t>
            </w:r>
            <w:r w:rsidRPr="00116CBE">
              <w:t xml:space="preserve"> </w:t>
            </w:r>
            <w:r w:rsidRPr="00116CBE">
              <w:rPr>
                <w:lang w:val="fr-CA"/>
              </w:rPr>
              <w:t>39041</w:t>
            </w:r>
          </w:p>
        </w:tc>
      </w:tr>
      <w:tr w:rsidR="00116CBE" w:rsidRPr="00607B5B" w14:paraId="646AF616" w14:textId="77777777" w:rsidTr="00D85F67">
        <w:tblPrEx>
          <w:tblCellMar>
            <w:top w:w="58" w:type="dxa"/>
            <w:left w:w="58" w:type="dxa"/>
            <w:bottom w:w="58" w:type="dxa"/>
            <w:right w:w="58" w:type="dxa"/>
          </w:tblCellMar>
        </w:tblPrEx>
        <w:trPr>
          <w:gridAfter w:val="1"/>
          <w:wAfter w:w="33" w:type="pct"/>
          <w:cantSplit/>
        </w:trPr>
        <w:tc>
          <w:tcPr>
            <w:tcW w:w="4967" w:type="pct"/>
            <w:gridSpan w:val="4"/>
          </w:tcPr>
          <w:p w14:paraId="428B2C0F" w14:textId="77777777" w:rsidR="00116CBE" w:rsidRPr="00116CBE" w:rsidRDefault="00116CBE" w:rsidP="00116CBE">
            <w:pPr>
              <w:rPr>
                <w:lang w:val="fr-CA"/>
              </w:rPr>
            </w:pPr>
          </w:p>
          <w:p w14:paraId="70261BBB" w14:textId="77777777" w:rsidR="00116CBE" w:rsidRPr="00116CBE" w:rsidRDefault="00116CBE" w:rsidP="00116CBE">
            <w:pPr>
              <w:rPr>
                <w:b/>
                <w:smallCaps/>
                <w:lang w:val="fr-CA"/>
              </w:rPr>
            </w:pPr>
            <w:r w:rsidRPr="00116CBE">
              <w:rPr>
                <w:b/>
                <w:smallCaps/>
                <w:lang w:val="fr-CA"/>
              </w:rPr>
              <w:t>Entre :</w:t>
            </w:r>
          </w:p>
          <w:p w14:paraId="0102BE70" w14:textId="77777777" w:rsidR="00116CBE" w:rsidRPr="00116CBE" w:rsidRDefault="00116CBE" w:rsidP="00116CBE">
            <w:pPr>
              <w:jc w:val="center"/>
              <w:rPr>
                <w:b/>
                <w:lang w:val="fr-CA"/>
              </w:rPr>
            </w:pPr>
            <w:r w:rsidRPr="00116CBE">
              <w:rPr>
                <w:b/>
                <w:lang w:val="fr-CA"/>
              </w:rPr>
              <w:t>Mike Ward</w:t>
            </w:r>
          </w:p>
          <w:p w14:paraId="61507892" w14:textId="77777777" w:rsidR="00116CBE" w:rsidRPr="00116CBE" w:rsidRDefault="00116CBE" w:rsidP="00116CBE">
            <w:pPr>
              <w:jc w:val="center"/>
              <w:rPr>
                <w:lang w:val="fr-CA"/>
              </w:rPr>
            </w:pPr>
            <w:r w:rsidRPr="00116CBE">
              <w:rPr>
                <w:lang w:val="fr-CA"/>
              </w:rPr>
              <w:t>Appelant</w:t>
            </w:r>
          </w:p>
          <w:p w14:paraId="672E677C" w14:textId="77777777" w:rsidR="00116CBE" w:rsidRPr="00116CBE" w:rsidRDefault="00116CBE" w:rsidP="00116CBE">
            <w:pPr>
              <w:rPr>
                <w:lang w:val="fr-CA"/>
              </w:rPr>
            </w:pPr>
          </w:p>
          <w:p w14:paraId="7A44DB4E" w14:textId="77777777" w:rsidR="00116CBE" w:rsidRPr="00116CBE" w:rsidRDefault="00116CBE" w:rsidP="00116CBE">
            <w:pPr>
              <w:jc w:val="center"/>
              <w:rPr>
                <w:lang w:val="fr-CA"/>
              </w:rPr>
            </w:pPr>
            <w:r w:rsidRPr="00116CBE">
              <w:rPr>
                <w:lang w:val="fr-CA"/>
              </w:rPr>
              <w:t>et</w:t>
            </w:r>
          </w:p>
          <w:p w14:paraId="3E9E48AE" w14:textId="77777777" w:rsidR="00116CBE" w:rsidRPr="00116CBE" w:rsidRDefault="00116CBE" w:rsidP="00116CBE">
            <w:pPr>
              <w:rPr>
                <w:lang w:val="fr-CA"/>
              </w:rPr>
            </w:pPr>
          </w:p>
          <w:p w14:paraId="5957131A" w14:textId="77777777" w:rsidR="00116CBE" w:rsidRPr="00116CBE" w:rsidRDefault="00116CBE" w:rsidP="00116CBE">
            <w:pPr>
              <w:jc w:val="center"/>
              <w:rPr>
                <w:b/>
                <w:lang w:val="fr-CA"/>
              </w:rPr>
            </w:pPr>
            <w:r w:rsidRPr="00116CBE">
              <w:rPr>
                <w:b/>
                <w:lang w:val="fr-CA"/>
              </w:rPr>
              <w:t>Commission des droits de la personne et des droits de la jeunesse</w:t>
            </w:r>
          </w:p>
          <w:p w14:paraId="7C84A8C1" w14:textId="77777777" w:rsidR="00116CBE" w:rsidRPr="00116CBE" w:rsidRDefault="00116CBE" w:rsidP="00116CBE">
            <w:pPr>
              <w:jc w:val="center"/>
              <w:rPr>
                <w:lang w:val="fr-CA"/>
              </w:rPr>
            </w:pPr>
            <w:r w:rsidRPr="00116CBE">
              <w:rPr>
                <w:lang w:val="fr-CA"/>
              </w:rPr>
              <w:t>Intimée</w:t>
            </w:r>
          </w:p>
          <w:p w14:paraId="084AEBED" w14:textId="77777777" w:rsidR="00116CBE" w:rsidRPr="00116CBE" w:rsidRDefault="00116CBE" w:rsidP="00116CBE">
            <w:pPr>
              <w:rPr>
                <w:lang w:val="fr-CA"/>
              </w:rPr>
            </w:pPr>
          </w:p>
          <w:p w14:paraId="3D49A7A8" w14:textId="77777777" w:rsidR="00116CBE" w:rsidRPr="00116CBE" w:rsidRDefault="00116CBE" w:rsidP="00116CBE">
            <w:pPr>
              <w:jc w:val="center"/>
              <w:rPr>
                <w:lang w:val="fr-CA"/>
              </w:rPr>
            </w:pPr>
            <w:r w:rsidRPr="00116CBE">
              <w:rPr>
                <w:lang w:val="fr-CA"/>
              </w:rPr>
              <w:t>- et -</w:t>
            </w:r>
          </w:p>
          <w:p w14:paraId="4DB1B996" w14:textId="77777777" w:rsidR="00116CBE" w:rsidRPr="00116CBE" w:rsidRDefault="00116CBE" w:rsidP="00116CBE">
            <w:pPr>
              <w:rPr>
                <w:lang w:val="fr-CA"/>
              </w:rPr>
            </w:pPr>
          </w:p>
          <w:p w14:paraId="36299C5D" w14:textId="77777777" w:rsidR="00116CBE" w:rsidRPr="00116CBE" w:rsidRDefault="00116CBE" w:rsidP="00116CBE">
            <w:pPr>
              <w:jc w:val="center"/>
              <w:rPr>
                <w:b/>
                <w:lang w:val="fr-CA"/>
              </w:rPr>
            </w:pPr>
            <w:r w:rsidRPr="00116CBE">
              <w:rPr>
                <w:b/>
                <w:lang w:val="fr-CA"/>
              </w:rPr>
              <w:t>Sylvie Gabriel, Jérémy Gabriel, Association des professionnels de l’industrie de l’humour, Commission internationale de juristes (Canada), Association canadienne des libertés civiles, Canadian Constitutional Foundation et Ligue pour les droits de la personne de B’nai Brith Canada</w:t>
            </w:r>
          </w:p>
          <w:p w14:paraId="756072B3" w14:textId="77777777" w:rsidR="00116CBE" w:rsidRPr="00116CBE" w:rsidRDefault="00116CBE" w:rsidP="00116CBE">
            <w:pPr>
              <w:jc w:val="center"/>
              <w:rPr>
                <w:lang w:val="fr-CA"/>
              </w:rPr>
            </w:pPr>
            <w:r w:rsidRPr="00116CBE">
              <w:rPr>
                <w:lang w:val="fr-CA"/>
              </w:rPr>
              <w:t>Intervenants</w:t>
            </w:r>
          </w:p>
          <w:p w14:paraId="101D31D8" w14:textId="77777777" w:rsidR="00116CBE" w:rsidRPr="00116CBE" w:rsidRDefault="00116CBE" w:rsidP="00116CBE">
            <w:pPr>
              <w:rPr>
                <w:lang w:val="fr-CA"/>
              </w:rPr>
            </w:pPr>
          </w:p>
          <w:p w14:paraId="4B0DE5D6" w14:textId="77777777" w:rsidR="00116CBE" w:rsidRPr="00116CBE" w:rsidRDefault="00116CBE" w:rsidP="00116CBE">
            <w:pPr>
              <w:jc w:val="center"/>
              <w:rPr>
                <w:b/>
                <w:smallCaps/>
                <w:lang w:val="fr-CA"/>
              </w:rPr>
            </w:pPr>
            <w:r w:rsidRPr="00116CBE">
              <w:rPr>
                <w:b/>
                <w:smallCaps/>
                <w:lang w:val="fr-CA"/>
              </w:rPr>
              <w:t xml:space="preserve">Traduction française officielle : </w:t>
            </w:r>
            <w:r w:rsidRPr="00116CBE">
              <w:rPr>
                <w:lang w:val="fr-CA"/>
              </w:rPr>
              <w:t>Motifs des juges Abella et Kasirer</w:t>
            </w:r>
          </w:p>
          <w:p w14:paraId="6F372FAF" w14:textId="77777777" w:rsidR="00116CBE" w:rsidRPr="00116CBE" w:rsidRDefault="00116CBE" w:rsidP="00116CBE">
            <w:pPr>
              <w:rPr>
                <w:lang w:val="fr-CA"/>
              </w:rPr>
            </w:pPr>
          </w:p>
          <w:p w14:paraId="332D50D3" w14:textId="77777777" w:rsidR="00116CBE" w:rsidRPr="00116CBE" w:rsidRDefault="00116CBE" w:rsidP="00116CBE">
            <w:pPr>
              <w:rPr>
                <w:lang w:val="fr-CA"/>
              </w:rPr>
            </w:pPr>
            <w:r w:rsidRPr="00116CBE">
              <w:rPr>
                <w:b/>
                <w:smallCaps/>
                <w:lang w:val="fr-CA"/>
              </w:rPr>
              <w:t>Coram :</w:t>
            </w:r>
            <w:r w:rsidRPr="00116CBE">
              <w:rPr>
                <w:lang w:val="fr-CA"/>
              </w:rPr>
              <w:t xml:space="preserve"> Le juge en chef Wagner et les juges Abella, Moldaver, Karakatsanis, Côté, Brown, Rowe, Martin et Kasirer</w:t>
            </w:r>
          </w:p>
          <w:p w14:paraId="6C82790E" w14:textId="77777777" w:rsidR="00116CBE" w:rsidRPr="00116CBE" w:rsidRDefault="00116CBE" w:rsidP="00116CBE">
            <w:pPr>
              <w:jc w:val="both"/>
              <w:rPr>
                <w:b/>
                <w:smallCaps/>
                <w:lang w:val="fr-CA"/>
              </w:rPr>
            </w:pPr>
          </w:p>
        </w:tc>
      </w:tr>
      <w:tr w:rsidR="00116CBE" w:rsidRPr="00607B5B" w14:paraId="052321B5" w14:textId="77777777" w:rsidTr="00D85F67">
        <w:tblPrEx>
          <w:tblCellMar>
            <w:top w:w="58" w:type="dxa"/>
            <w:left w:w="58" w:type="dxa"/>
            <w:bottom w:w="58" w:type="dxa"/>
            <w:right w:w="58" w:type="dxa"/>
          </w:tblCellMar>
        </w:tblPrEx>
        <w:trPr>
          <w:gridAfter w:val="1"/>
          <w:wAfter w:w="33" w:type="pct"/>
          <w:cantSplit/>
        </w:trPr>
        <w:tc>
          <w:tcPr>
            <w:tcW w:w="1243" w:type="pct"/>
          </w:tcPr>
          <w:p w14:paraId="766F8853" w14:textId="77777777" w:rsidR="00116CBE" w:rsidRPr="00116CBE" w:rsidRDefault="00116CBE" w:rsidP="00116CBE">
            <w:pPr>
              <w:rPr>
                <w:lang w:val="fr-CA"/>
              </w:rPr>
            </w:pPr>
            <w:r w:rsidRPr="00116CBE">
              <w:rPr>
                <w:b/>
                <w:smallCaps/>
                <w:lang w:val="fr-CA"/>
              </w:rPr>
              <w:t>Motifs de jugement conjoints</w:t>
            </w:r>
            <w:r w:rsidRPr="00116CBE">
              <w:rPr>
                <w:b/>
                <w:lang w:val="fr-CA"/>
              </w:rPr>
              <w:t xml:space="preserve"> :</w:t>
            </w:r>
          </w:p>
        </w:tc>
        <w:tc>
          <w:tcPr>
            <w:tcW w:w="3724" w:type="pct"/>
            <w:gridSpan w:val="3"/>
          </w:tcPr>
          <w:p w14:paraId="2FCDCC4B" w14:textId="77777777" w:rsidR="00116CBE" w:rsidRPr="00116CBE" w:rsidRDefault="00116CBE" w:rsidP="00116CBE">
            <w:pPr>
              <w:rPr>
                <w:lang w:val="fr-CA"/>
              </w:rPr>
            </w:pPr>
            <w:r w:rsidRPr="00116CBE">
              <w:rPr>
                <w:lang w:val="fr-CA"/>
              </w:rPr>
              <w:t>Le juge en chef Wagner et la juge Côté (avec l’accord des juges Moldaver, Brown et Rowe)</w:t>
            </w:r>
          </w:p>
        </w:tc>
      </w:tr>
      <w:tr w:rsidR="00116CBE" w:rsidRPr="00116CBE" w14:paraId="15BFBBFE" w14:textId="77777777" w:rsidTr="00D85F67">
        <w:tblPrEx>
          <w:tblCellMar>
            <w:top w:w="58" w:type="dxa"/>
            <w:left w:w="58" w:type="dxa"/>
            <w:bottom w:w="58" w:type="dxa"/>
            <w:right w:w="58" w:type="dxa"/>
          </w:tblCellMar>
        </w:tblPrEx>
        <w:trPr>
          <w:gridAfter w:val="1"/>
          <w:wAfter w:w="33" w:type="pct"/>
          <w:cantSplit/>
        </w:trPr>
        <w:tc>
          <w:tcPr>
            <w:tcW w:w="1243" w:type="pct"/>
          </w:tcPr>
          <w:p w14:paraId="2FD0C2AB" w14:textId="77777777" w:rsidR="00116CBE" w:rsidRPr="00116CBE" w:rsidRDefault="00116CBE" w:rsidP="00116CBE">
            <w:pPr>
              <w:rPr>
                <w:lang w:val="fr-CA"/>
              </w:rPr>
            </w:pPr>
            <w:r w:rsidRPr="00116CBE">
              <w:rPr>
                <w:lang w:val="fr-CA"/>
              </w:rPr>
              <w:t>(par. 1 à 114)</w:t>
            </w:r>
          </w:p>
        </w:tc>
        <w:tc>
          <w:tcPr>
            <w:tcW w:w="3724" w:type="pct"/>
            <w:gridSpan w:val="3"/>
          </w:tcPr>
          <w:p w14:paraId="76C8F083" w14:textId="77777777" w:rsidR="00116CBE" w:rsidRPr="00116CBE" w:rsidRDefault="00116CBE" w:rsidP="00116CBE">
            <w:pPr>
              <w:rPr>
                <w:lang w:val="fr-CA"/>
              </w:rPr>
            </w:pPr>
          </w:p>
        </w:tc>
      </w:tr>
      <w:tr w:rsidR="00116CBE" w:rsidRPr="00607B5B" w14:paraId="4D64C1B6" w14:textId="77777777" w:rsidTr="00D85F67">
        <w:tblPrEx>
          <w:tblCellMar>
            <w:top w:w="58" w:type="dxa"/>
            <w:left w:w="58" w:type="dxa"/>
            <w:bottom w:w="58" w:type="dxa"/>
            <w:right w:w="58" w:type="dxa"/>
          </w:tblCellMar>
        </w:tblPrEx>
        <w:trPr>
          <w:gridAfter w:val="1"/>
          <w:wAfter w:w="33" w:type="pct"/>
          <w:cantSplit/>
        </w:trPr>
        <w:tc>
          <w:tcPr>
            <w:tcW w:w="1243" w:type="pct"/>
          </w:tcPr>
          <w:p w14:paraId="779BB00C" w14:textId="77777777" w:rsidR="00116CBE" w:rsidRPr="00116CBE" w:rsidRDefault="00116CBE" w:rsidP="00116CBE">
            <w:pPr>
              <w:rPr>
                <w:lang w:val="fr-CA"/>
              </w:rPr>
            </w:pPr>
            <w:r w:rsidRPr="00116CBE">
              <w:rPr>
                <w:b/>
                <w:smallCaps/>
                <w:lang w:val="fr-CA"/>
              </w:rPr>
              <w:lastRenderedPageBreak/>
              <w:t>Motifs conjoints dissidents</w:t>
            </w:r>
            <w:r w:rsidRPr="00116CBE">
              <w:rPr>
                <w:b/>
                <w:lang w:val="fr-CA"/>
              </w:rPr>
              <w:t xml:space="preserve"> :</w:t>
            </w:r>
          </w:p>
        </w:tc>
        <w:tc>
          <w:tcPr>
            <w:tcW w:w="3724" w:type="pct"/>
            <w:gridSpan w:val="3"/>
          </w:tcPr>
          <w:p w14:paraId="2ABDC614" w14:textId="77777777" w:rsidR="00116CBE" w:rsidRPr="00116CBE" w:rsidRDefault="00116CBE" w:rsidP="00116CBE">
            <w:pPr>
              <w:rPr>
                <w:lang w:val="fr-CA"/>
              </w:rPr>
            </w:pPr>
            <w:r w:rsidRPr="00116CBE">
              <w:rPr>
                <w:lang w:val="fr-CA"/>
              </w:rPr>
              <w:t>Les juges Abella et Kasirer (avec l’accord des juges Karakatsanis et Martin)</w:t>
            </w:r>
          </w:p>
        </w:tc>
      </w:tr>
      <w:tr w:rsidR="00116CBE" w:rsidRPr="00116CBE" w14:paraId="067CA888" w14:textId="77777777" w:rsidTr="00D85F67">
        <w:tblPrEx>
          <w:tblCellMar>
            <w:top w:w="58" w:type="dxa"/>
            <w:left w:w="58" w:type="dxa"/>
            <w:bottom w:w="58" w:type="dxa"/>
            <w:right w:w="58" w:type="dxa"/>
          </w:tblCellMar>
        </w:tblPrEx>
        <w:trPr>
          <w:gridAfter w:val="1"/>
          <w:wAfter w:w="33" w:type="pct"/>
          <w:cantSplit/>
        </w:trPr>
        <w:tc>
          <w:tcPr>
            <w:tcW w:w="1243" w:type="pct"/>
          </w:tcPr>
          <w:p w14:paraId="2D6831CB" w14:textId="77777777" w:rsidR="00116CBE" w:rsidRPr="00116CBE" w:rsidRDefault="00116CBE" w:rsidP="00116CBE">
            <w:pPr>
              <w:rPr>
                <w:lang w:val="fr-CA"/>
              </w:rPr>
            </w:pPr>
            <w:r w:rsidRPr="00116CBE">
              <w:rPr>
                <w:lang w:val="fr-CA"/>
              </w:rPr>
              <w:t>(par. 115 à 224)</w:t>
            </w:r>
          </w:p>
        </w:tc>
        <w:tc>
          <w:tcPr>
            <w:tcW w:w="3724" w:type="pct"/>
            <w:gridSpan w:val="3"/>
          </w:tcPr>
          <w:p w14:paraId="114B07F3" w14:textId="77777777" w:rsidR="00116CBE" w:rsidRPr="00116CBE" w:rsidRDefault="00116CBE" w:rsidP="00116CBE">
            <w:pPr>
              <w:rPr>
                <w:lang w:val="fr-CA"/>
              </w:rPr>
            </w:pPr>
          </w:p>
        </w:tc>
      </w:tr>
    </w:tbl>
    <w:p w14:paraId="775A262C" w14:textId="77777777" w:rsidR="00116CBE" w:rsidRPr="00116CBE" w:rsidRDefault="00116CBE" w:rsidP="00116CBE">
      <w:pPr>
        <w:rPr>
          <w:rFonts w:eastAsiaTheme="minorHAnsi" w:cstheme="minorBidi"/>
          <w:szCs w:val="24"/>
          <w:lang w:val="fr-CA" w:eastAsia="en-US"/>
        </w:rPr>
      </w:pPr>
    </w:p>
    <w:p w14:paraId="58774BBC" w14:textId="77777777" w:rsidR="00116CBE" w:rsidRPr="00116CBE" w:rsidRDefault="00116CBE" w:rsidP="00116CBE">
      <w:pPr>
        <w:rPr>
          <w:rFonts w:eastAsiaTheme="minorHAnsi" w:cstheme="minorBidi"/>
          <w:szCs w:val="24"/>
          <w:lang w:val="fr-CA" w:eastAsia="en-US"/>
        </w:rPr>
      </w:pPr>
    </w:p>
    <w:p w14:paraId="73A15EE9" w14:textId="77777777" w:rsidR="00116CBE" w:rsidRPr="00116CBE" w:rsidRDefault="00116CBE" w:rsidP="00116CBE">
      <w:pPr>
        <w:rPr>
          <w:rFonts w:eastAsiaTheme="minorHAnsi" w:cstheme="minorBidi"/>
          <w:szCs w:val="24"/>
          <w:lang w:val="fr-CA" w:eastAsia="en-US"/>
        </w:rPr>
      </w:pPr>
    </w:p>
    <w:p w14:paraId="10C2F4E7" w14:textId="77777777" w:rsidR="00116CBE" w:rsidRPr="00116CBE" w:rsidRDefault="00116CBE" w:rsidP="00116CBE">
      <w:pPr>
        <w:rPr>
          <w:rFonts w:eastAsiaTheme="minorHAnsi" w:cstheme="minorBidi"/>
          <w:szCs w:val="24"/>
          <w:lang w:val="fr-CA" w:eastAsia="en-US"/>
        </w:rPr>
      </w:pPr>
    </w:p>
    <w:p w14:paraId="2239F6E5" w14:textId="77777777" w:rsidR="00116CBE" w:rsidRPr="00116CBE" w:rsidRDefault="00116CBE" w:rsidP="00116CBE">
      <w:pPr>
        <w:rPr>
          <w:rFonts w:eastAsiaTheme="minorHAnsi" w:cstheme="minorBidi"/>
          <w:szCs w:val="24"/>
          <w:lang w:val="fr-CA" w:eastAsia="en-US"/>
        </w:rPr>
      </w:pPr>
    </w:p>
    <w:p w14:paraId="24C172C7" w14:textId="77777777" w:rsidR="00116CBE" w:rsidRPr="00116CBE" w:rsidRDefault="00116CBE" w:rsidP="00116CBE">
      <w:pPr>
        <w:rPr>
          <w:rFonts w:eastAsiaTheme="minorHAnsi" w:cstheme="minorBidi"/>
          <w:szCs w:val="24"/>
          <w:lang w:val="fr-CA" w:eastAsia="en-US"/>
        </w:rPr>
      </w:pPr>
      <w:r w:rsidRPr="00116CBE">
        <w:rPr>
          <w:rFonts w:eastAsiaTheme="minorHAnsi" w:cstheme="minorBidi"/>
          <w:b/>
          <w:smallCaps/>
          <w:szCs w:val="24"/>
          <w:lang w:val="fr-CA" w:eastAsia="en-US"/>
        </w:rPr>
        <w:t>Note :</w:t>
      </w:r>
      <w:r w:rsidRPr="00116CBE">
        <w:rPr>
          <w:rFonts w:eastAsiaTheme="minorHAnsi" w:cstheme="minorBidi"/>
          <w:b/>
          <w:szCs w:val="24"/>
          <w:lang w:val="fr-CA" w:eastAsia="en-US"/>
        </w:rPr>
        <w:t xml:space="preserve"> </w:t>
      </w:r>
      <w:r w:rsidRPr="00116CBE">
        <w:rPr>
          <w:rFonts w:eastAsiaTheme="minorHAnsi" w:cstheme="minorBidi"/>
          <w:szCs w:val="24"/>
          <w:lang w:val="fr-CA" w:eastAsia="en-US"/>
        </w:rPr>
        <w:t xml:space="preserve">Ce document fera l’objet de retouches de forme avant la parution de sa version définitive dans le </w:t>
      </w:r>
      <w:r w:rsidRPr="00116CBE">
        <w:rPr>
          <w:rFonts w:eastAsiaTheme="minorHAnsi" w:cstheme="minorBidi"/>
          <w:i/>
          <w:szCs w:val="24"/>
          <w:lang w:val="fr-CA" w:eastAsia="en-US"/>
        </w:rPr>
        <w:t>Recueil des arrêts de la Cour suprême du Canada</w:t>
      </w:r>
      <w:r w:rsidRPr="00116CBE">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16CBE" w:rsidRPr="00607B5B" w14:paraId="34DD89A3" w14:textId="77777777" w:rsidTr="003E6B33">
        <w:tc>
          <w:tcPr>
            <w:tcW w:w="1500" w:type="pct"/>
            <w:tcMar>
              <w:top w:w="284" w:type="dxa"/>
            </w:tcMar>
          </w:tcPr>
          <w:p w14:paraId="2C5D0FFD" w14:textId="77777777" w:rsidR="00116CBE" w:rsidRPr="00116CBE" w:rsidRDefault="00116CBE" w:rsidP="00116CBE">
            <w:pPr>
              <w:rPr>
                <w:lang w:val="fr-CA"/>
              </w:rPr>
            </w:pPr>
          </w:p>
        </w:tc>
        <w:tc>
          <w:tcPr>
            <w:tcW w:w="2000" w:type="pct"/>
            <w:tcBorders>
              <w:bottom w:val="single" w:sz="4" w:space="0" w:color="auto"/>
            </w:tcBorders>
            <w:tcMar>
              <w:top w:w="284" w:type="dxa"/>
            </w:tcMar>
          </w:tcPr>
          <w:p w14:paraId="093B32A2" w14:textId="77777777" w:rsidR="00116CBE" w:rsidRPr="00116CBE" w:rsidRDefault="00116CBE" w:rsidP="00116CBE">
            <w:pPr>
              <w:rPr>
                <w:lang w:val="fr-CA"/>
              </w:rPr>
            </w:pPr>
          </w:p>
        </w:tc>
        <w:tc>
          <w:tcPr>
            <w:tcW w:w="1500" w:type="pct"/>
            <w:tcMar>
              <w:top w:w="284" w:type="dxa"/>
            </w:tcMar>
          </w:tcPr>
          <w:p w14:paraId="3F121C89" w14:textId="77777777" w:rsidR="00116CBE" w:rsidRPr="00116CBE" w:rsidRDefault="00116CBE" w:rsidP="00116CBE">
            <w:pPr>
              <w:rPr>
                <w:lang w:val="fr-CA"/>
              </w:rPr>
            </w:pPr>
          </w:p>
        </w:tc>
      </w:tr>
    </w:tbl>
    <w:p w14:paraId="31F61233" w14:textId="77777777" w:rsidR="00116CBE" w:rsidRPr="00116CBE" w:rsidRDefault="00116CBE" w:rsidP="00116CBE">
      <w:pPr>
        <w:rPr>
          <w:rFonts w:eastAsiaTheme="minorHAnsi" w:cstheme="minorBidi"/>
          <w:szCs w:val="24"/>
          <w:lang w:val="fr-CA" w:eastAsia="en-US"/>
        </w:rPr>
      </w:pPr>
    </w:p>
    <w:p w14:paraId="7A3FB200" w14:textId="77777777" w:rsidR="00116CBE" w:rsidRDefault="00116CBE">
      <w:pPr>
        <w:rPr>
          <w:b/>
          <w:lang w:val="fr-CA"/>
        </w:rPr>
      </w:pPr>
      <w:r>
        <w:rPr>
          <w:lang w:val="fr-CA"/>
        </w:rPr>
        <w:br w:type="page"/>
      </w:r>
    </w:p>
    <w:p w14:paraId="173DAEF9" w14:textId="77BF201B" w:rsidR="00AD6543" w:rsidRPr="008B62B8" w:rsidRDefault="008A633E" w:rsidP="002667A4">
      <w:pPr>
        <w:pStyle w:val="SCCLsocLastPartyInRole"/>
        <w:rPr>
          <w:lang w:val="fr-CA"/>
        </w:rPr>
      </w:pPr>
      <w:r w:rsidRPr="008B62B8">
        <w:rPr>
          <w:lang w:val="fr-CA"/>
        </w:rPr>
        <w:lastRenderedPageBreak/>
        <w:t>Mike Ward</w:t>
      </w:r>
      <w:r w:rsidR="00CC4059" w:rsidRPr="008B62B8">
        <w:rPr>
          <w:rStyle w:val="SCCLsocPartyRole"/>
          <w:lang w:val="fr-CA"/>
        </w:rPr>
        <w:tab/>
        <w:t>Appelant</w:t>
      </w:r>
    </w:p>
    <w:p w14:paraId="346E422D" w14:textId="77777777" w:rsidR="00AD6543" w:rsidRPr="008B62B8" w:rsidRDefault="008A633E" w:rsidP="002667A4">
      <w:pPr>
        <w:pStyle w:val="SCCLsocVersus"/>
        <w:rPr>
          <w:lang w:val="fr-CA"/>
        </w:rPr>
      </w:pPr>
      <w:r w:rsidRPr="008B62B8">
        <w:rPr>
          <w:lang w:val="fr-CA"/>
        </w:rPr>
        <w:t>c.</w:t>
      </w:r>
    </w:p>
    <w:p w14:paraId="04ED8946" w14:textId="77777777" w:rsidR="00AD6543" w:rsidRPr="008B62B8" w:rsidRDefault="008A633E" w:rsidP="002667A4">
      <w:pPr>
        <w:pStyle w:val="SCCLsocLastPartyInRole"/>
        <w:rPr>
          <w:lang w:val="fr-CA"/>
        </w:rPr>
      </w:pPr>
      <w:r w:rsidRPr="008B62B8">
        <w:rPr>
          <w:lang w:val="fr-CA"/>
        </w:rPr>
        <w:t>Commission des droits de la personne et des droits de la jeunesse</w:t>
      </w:r>
      <w:r w:rsidR="00CC4059" w:rsidRPr="008B62B8">
        <w:rPr>
          <w:rStyle w:val="SCCLsocPartyRole"/>
          <w:lang w:val="fr-CA"/>
        </w:rPr>
        <w:tab/>
        <w:t>Intimée</w:t>
      </w:r>
    </w:p>
    <w:p w14:paraId="27B7FC80" w14:textId="77777777" w:rsidR="00AD6543" w:rsidRPr="008B62B8" w:rsidRDefault="008A633E" w:rsidP="002667A4">
      <w:pPr>
        <w:pStyle w:val="SCCLsocOtherPartySeparator"/>
        <w:rPr>
          <w:lang w:val="fr-CA"/>
        </w:rPr>
      </w:pPr>
      <w:r w:rsidRPr="008B62B8">
        <w:rPr>
          <w:lang w:val="fr-CA"/>
        </w:rPr>
        <w:t>et</w:t>
      </w:r>
    </w:p>
    <w:p w14:paraId="585E8B92" w14:textId="77777777" w:rsidR="00AD6543" w:rsidRPr="008B62B8" w:rsidRDefault="008A633E">
      <w:pPr>
        <w:pStyle w:val="SCCLsocParty"/>
        <w:rPr>
          <w:lang w:val="fr-CA"/>
        </w:rPr>
      </w:pPr>
      <w:r w:rsidRPr="008B62B8">
        <w:rPr>
          <w:lang w:val="fr-CA"/>
        </w:rPr>
        <w:t>Sylvie Gabriel,</w:t>
      </w:r>
    </w:p>
    <w:p w14:paraId="3E1D4E69" w14:textId="77777777" w:rsidR="00AD6543" w:rsidRPr="008B62B8" w:rsidRDefault="008A633E">
      <w:pPr>
        <w:pStyle w:val="SCCLsocParty"/>
        <w:rPr>
          <w:lang w:val="fr-CA"/>
        </w:rPr>
      </w:pPr>
      <w:r w:rsidRPr="008B62B8">
        <w:rPr>
          <w:lang w:val="fr-CA"/>
        </w:rPr>
        <w:t>Jérémy Gabriel,</w:t>
      </w:r>
    </w:p>
    <w:p w14:paraId="0555DAFB" w14:textId="77777777" w:rsidR="00AD6543" w:rsidRPr="008B62B8" w:rsidRDefault="008A633E">
      <w:pPr>
        <w:pStyle w:val="SCCLsocParty"/>
        <w:rPr>
          <w:lang w:val="fr-CA"/>
        </w:rPr>
      </w:pPr>
      <w:r w:rsidRPr="008B62B8">
        <w:rPr>
          <w:lang w:val="fr-CA"/>
        </w:rPr>
        <w:t>Association des professionnels de l’industrie de l’humour,</w:t>
      </w:r>
    </w:p>
    <w:p w14:paraId="49BE7193" w14:textId="77777777" w:rsidR="00AD6543" w:rsidRPr="008B62B8" w:rsidRDefault="008A633E">
      <w:pPr>
        <w:pStyle w:val="SCCLsocParty"/>
        <w:rPr>
          <w:lang w:val="fr-CA"/>
        </w:rPr>
      </w:pPr>
      <w:r w:rsidRPr="008B62B8">
        <w:rPr>
          <w:lang w:val="fr-CA"/>
        </w:rPr>
        <w:t>Commission internationale de juristes (Canada),</w:t>
      </w:r>
    </w:p>
    <w:p w14:paraId="2A17FC8E" w14:textId="77777777" w:rsidR="00AD6543" w:rsidRPr="008B62B8" w:rsidRDefault="008A633E">
      <w:pPr>
        <w:pStyle w:val="SCCLsocParty"/>
        <w:rPr>
          <w:lang w:val="fr-CA"/>
        </w:rPr>
      </w:pPr>
      <w:r w:rsidRPr="008B62B8">
        <w:rPr>
          <w:lang w:val="fr-CA"/>
        </w:rPr>
        <w:t>Association canadienne des libertés civiles,</w:t>
      </w:r>
    </w:p>
    <w:p w14:paraId="7540997E" w14:textId="2121A786" w:rsidR="00AD6543" w:rsidRPr="008B62B8" w:rsidRDefault="008A633E">
      <w:pPr>
        <w:pStyle w:val="SCCLsocParty"/>
        <w:rPr>
          <w:lang w:val="fr-CA"/>
        </w:rPr>
      </w:pPr>
      <w:r w:rsidRPr="008B62B8">
        <w:rPr>
          <w:lang w:val="fr-CA"/>
        </w:rPr>
        <w:t>Can</w:t>
      </w:r>
      <w:r w:rsidR="00CC4059" w:rsidRPr="008B62B8">
        <w:rPr>
          <w:lang w:val="fr-CA"/>
        </w:rPr>
        <w:t>adian Constitution</w:t>
      </w:r>
      <w:r w:rsidR="00011995" w:rsidRPr="008B62B8">
        <w:rPr>
          <w:lang w:val="fr-CA"/>
        </w:rPr>
        <w:t>al</w:t>
      </w:r>
      <w:r w:rsidR="00CC4059" w:rsidRPr="008B62B8">
        <w:rPr>
          <w:lang w:val="fr-CA"/>
        </w:rPr>
        <w:t xml:space="preserve"> Foundation et</w:t>
      </w:r>
    </w:p>
    <w:p w14:paraId="4A4D62AB" w14:textId="77777777" w:rsidR="004D7D95" w:rsidRPr="008B62B8" w:rsidRDefault="008A633E" w:rsidP="002667A4">
      <w:pPr>
        <w:pStyle w:val="SCCLsocLastPartyInRole"/>
        <w:rPr>
          <w:lang w:val="fr-CA"/>
        </w:rPr>
      </w:pPr>
      <w:r w:rsidRPr="008B62B8">
        <w:rPr>
          <w:lang w:val="fr-CA"/>
        </w:rPr>
        <w:t>Ligue pour</w:t>
      </w:r>
      <w:r w:rsidR="00D4682F" w:rsidRPr="008B62B8">
        <w:rPr>
          <w:lang w:val="fr-CA"/>
        </w:rPr>
        <w:t xml:space="preserve"> les droits de la personne de B’</w:t>
      </w:r>
      <w:r w:rsidRPr="008B62B8">
        <w:rPr>
          <w:lang w:val="fr-CA"/>
        </w:rPr>
        <w:t>nai Brith Canada</w:t>
      </w:r>
      <w:r w:rsidR="00CC4059" w:rsidRPr="008B62B8">
        <w:rPr>
          <w:rStyle w:val="SCCLsocPartyRole"/>
          <w:lang w:val="fr-CA"/>
        </w:rPr>
        <w:tab/>
        <w:t>Intervenants</w:t>
      </w:r>
    </w:p>
    <w:p w14:paraId="477970CB" w14:textId="4D71206B" w:rsidR="004D7D95" w:rsidRPr="008B62B8" w:rsidRDefault="00CC4059" w:rsidP="002667A4">
      <w:pPr>
        <w:spacing w:after="720"/>
        <w:jc w:val="both"/>
        <w:rPr>
          <w:b/>
          <w:lang w:val="fr-CA"/>
        </w:rPr>
      </w:pPr>
      <w:r w:rsidRPr="008B62B8">
        <w:rPr>
          <w:b/>
          <w:lang w:val="fr-CA"/>
        </w:rPr>
        <w:t>Répertorié</w:t>
      </w:r>
      <w:r w:rsidR="002667A4" w:rsidRPr="008B62B8">
        <w:rPr>
          <w:b/>
          <w:lang w:val="fr-CA"/>
        </w:rPr>
        <w:t> :</w:t>
      </w:r>
      <w:r w:rsidRPr="008B62B8">
        <w:rPr>
          <w:b/>
          <w:lang w:val="fr-CA"/>
        </w:rPr>
        <w:t xml:space="preserve"> </w:t>
      </w:r>
      <w:r w:rsidR="004D7D95" w:rsidRPr="008B62B8">
        <w:rPr>
          <w:rStyle w:val="SCCAppellantForIndexChar"/>
          <w:lang w:val="fr-CA"/>
        </w:rPr>
        <w:t>Ward</w:t>
      </w:r>
      <w:r w:rsidR="004D7D95" w:rsidRPr="008B62B8">
        <w:rPr>
          <w:b/>
          <w:lang w:val="fr-CA"/>
        </w:rPr>
        <w:t xml:space="preserve"> </w:t>
      </w:r>
      <w:r w:rsidR="004D7D95" w:rsidRPr="008B62B8">
        <w:rPr>
          <w:b/>
          <w:i/>
          <w:lang w:val="fr-CA"/>
        </w:rPr>
        <w:t>c.</w:t>
      </w:r>
      <w:r w:rsidR="004D7D95" w:rsidRPr="008B62B8">
        <w:rPr>
          <w:b/>
          <w:lang w:val="fr-CA"/>
        </w:rPr>
        <w:t xml:space="preserve"> </w:t>
      </w:r>
      <w:r w:rsidR="00A32603" w:rsidRPr="008B62B8">
        <w:rPr>
          <w:b/>
          <w:lang w:val="fr-CA"/>
        </w:rPr>
        <w:t>Québec (</w:t>
      </w:r>
      <w:r w:rsidRPr="008B62B8">
        <w:rPr>
          <w:rStyle w:val="SCCRespondentForIndexChar"/>
          <w:lang w:val="fr-CA"/>
        </w:rPr>
        <w:t>Commission des droits de la personne et des droits de la jeun</w:t>
      </w:r>
      <w:r w:rsidR="00177055" w:rsidRPr="008B62B8">
        <w:rPr>
          <w:rStyle w:val="SCCRespondentForIndexChar"/>
          <w:lang w:val="fr-CA"/>
        </w:rPr>
        <w:t>esse</w:t>
      </w:r>
      <w:r w:rsidR="00A32603" w:rsidRPr="008B62B8">
        <w:rPr>
          <w:rStyle w:val="SCCRespondentForIndexChar"/>
          <w:lang w:val="fr-CA"/>
        </w:rPr>
        <w:t>)</w:t>
      </w:r>
    </w:p>
    <w:p w14:paraId="1AF95CCE" w14:textId="303BA543" w:rsidR="004D7D95" w:rsidRPr="008B62B8" w:rsidRDefault="00D17B0E" w:rsidP="002667A4">
      <w:pPr>
        <w:pStyle w:val="SCCSystemYear"/>
        <w:spacing w:after="720"/>
        <w:jc w:val="both"/>
        <w:rPr>
          <w:lang w:val="fr-CA"/>
        </w:rPr>
      </w:pPr>
      <w:r w:rsidRPr="008B62B8">
        <w:rPr>
          <w:lang w:val="fr-CA"/>
        </w:rPr>
        <w:t>2021</w:t>
      </w:r>
      <w:r w:rsidR="00BF498B" w:rsidRPr="008B62B8">
        <w:rPr>
          <w:lang w:val="fr-CA"/>
        </w:rPr>
        <w:t xml:space="preserve"> CSC </w:t>
      </w:r>
      <w:r w:rsidR="00B0126E" w:rsidRPr="008B62B8">
        <w:rPr>
          <w:lang w:val="fr-CA"/>
        </w:rPr>
        <w:t>43</w:t>
      </w:r>
    </w:p>
    <w:p w14:paraId="396D2CB6" w14:textId="71482A6A" w:rsidR="004D7D95" w:rsidRPr="008B62B8" w:rsidRDefault="004D7D95" w:rsidP="002667A4">
      <w:pPr>
        <w:spacing w:after="720"/>
        <w:jc w:val="both"/>
        <w:rPr>
          <w:lang w:val="fr-CA"/>
        </w:rPr>
      </w:pPr>
      <w:r w:rsidRPr="008B62B8">
        <w:rPr>
          <w:lang w:val="fr-CA"/>
        </w:rPr>
        <w:t>N</w:t>
      </w:r>
      <w:r w:rsidRPr="008B62B8">
        <w:rPr>
          <w:vertAlign w:val="superscript"/>
          <w:lang w:val="fr-CA"/>
        </w:rPr>
        <w:t>o</w:t>
      </w:r>
      <w:r w:rsidRPr="008B62B8">
        <w:rPr>
          <w:lang w:val="fr-CA"/>
        </w:rPr>
        <w:t xml:space="preserve"> du greffe</w:t>
      </w:r>
      <w:r w:rsidR="002667A4" w:rsidRPr="008B62B8">
        <w:rPr>
          <w:lang w:val="fr-CA"/>
        </w:rPr>
        <w:t> :</w:t>
      </w:r>
      <w:r w:rsidRPr="008B62B8">
        <w:rPr>
          <w:lang w:val="fr-CA"/>
        </w:rPr>
        <w:t> 39041.</w:t>
      </w:r>
    </w:p>
    <w:p w14:paraId="30E91F8D" w14:textId="2CF51566" w:rsidR="004D7D95" w:rsidRPr="008B62B8" w:rsidRDefault="00CA10FE" w:rsidP="002667A4">
      <w:pPr>
        <w:spacing w:after="720"/>
        <w:jc w:val="both"/>
        <w:rPr>
          <w:lang w:val="fr-CA"/>
        </w:rPr>
      </w:pPr>
      <w:r w:rsidRPr="008B62B8">
        <w:rPr>
          <w:lang w:val="fr-CA"/>
        </w:rPr>
        <w:t>2021</w:t>
      </w:r>
      <w:r w:rsidR="002667A4" w:rsidRPr="008B62B8">
        <w:rPr>
          <w:lang w:val="fr-CA"/>
        </w:rPr>
        <w:t> : 15 </w:t>
      </w:r>
      <w:r w:rsidR="00D17B0E" w:rsidRPr="008B62B8">
        <w:rPr>
          <w:lang w:val="fr-CA"/>
        </w:rPr>
        <w:t>février</w:t>
      </w:r>
      <w:r w:rsidR="004D7D95" w:rsidRPr="008B62B8">
        <w:rPr>
          <w:lang w:val="fr-CA"/>
        </w:rPr>
        <w:t xml:space="preserve">; </w:t>
      </w:r>
      <w:r w:rsidR="00056B60" w:rsidRPr="008B62B8">
        <w:rPr>
          <w:lang w:val="fr-CA"/>
        </w:rPr>
        <w:t>2021</w:t>
      </w:r>
      <w:r w:rsidR="002667A4" w:rsidRPr="008B62B8">
        <w:rPr>
          <w:lang w:val="fr-CA"/>
        </w:rPr>
        <w:t>: 29 </w:t>
      </w:r>
      <w:r w:rsidR="00056B60" w:rsidRPr="008B62B8">
        <w:rPr>
          <w:lang w:val="fr-CA"/>
        </w:rPr>
        <w:t>octobre</w:t>
      </w:r>
      <w:r w:rsidR="004D7D95" w:rsidRPr="008B62B8">
        <w:rPr>
          <w:lang w:val="fr-CA"/>
        </w:rPr>
        <w:t>.</w:t>
      </w:r>
    </w:p>
    <w:p w14:paraId="3BDEC264" w14:textId="2EAFD229" w:rsidR="004D7D95" w:rsidRPr="008B62B8" w:rsidRDefault="004D7D95" w:rsidP="002667A4">
      <w:pPr>
        <w:spacing w:after="720"/>
        <w:jc w:val="both"/>
        <w:rPr>
          <w:lang w:val="fr-CA"/>
        </w:rPr>
      </w:pPr>
      <w:r w:rsidRPr="008B62B8">
        <w:rPr>
          <w:lang w:val="fr-CA"/>
        </w:rPr>
        <w:t>Présents</w:t>
      </w:r>
      <w:r w:rsidR="002667A4" w:rsidRPr="008B62B8">
        <w:rPr>
          <w:lang w:val="fr-CA"/>
        </w:rPr>
        <w:t> :</w:t>
      </w:r>
      <w:r w:rsidRPr="008B62B8">
        <w:rPr>
          <w:lang w:val="fr-CA"/>
        </w:rPr>
        <w:t> Le juge en chef Wagner et les juges Abella, Moldaver, Karakatsanis, Côté, Brown, Rowe, Martin et Kasirer.</w:t>
      </w:r>
    </w:p>
    <w:p w14:paraId="0D933E24" w14:textId="77777777" w:rsidR="004D7D95" w:rsidRPr="008B62B8" w:rsidRDefault="008A633E" w:rsidP="002667A4">
      <w:pPr>
        <w:spacing w:after="720"/>
        <w:jc w:val="both"/>
        <w:rPr>
          <w:smallCaps/>
          <w:lang w:val="fr-CA"/>
        </w:rPr>
      </w:pPr>
      <w:r w:rsidRPr="008B62B8">
        <w:rPr>
          <w:smallCaps/>
          <w:lang w:val="fr-CA"/>
        </w:rPr>
        <w:t>en appel de la cour d’appel du québec</w:t>
      </w:r>
    </w:p>
    <w:p w14:paraId="2C49EBEA" w14:textId="54FEC0A5" w:rsidR="003D592D" w:rsidRPr="008B62B8" w:rsidRDefault="004D7D95" w:rsidP="003D592D">
      <w:pPr>
        <w:pStyle w:val="SCCNormalDoubleSpacing"/>
        <w:spacing w:before="480" w:after="480"/>
        <w:rPr>
          <w:i/>
          <w:lang w:val="fr-CA"/>
        </w:rPr>
      </w:pPr>
      <w:r w:rsidRPr="008B62B8">
        <w:rPr>
          <w:lang w:val="fr-CA"/>
        </w:rPr>
        <w:lastRenderedPageBreak/>
        <w:tab/>
      </w:r>
      <w:r w:rsidR="00B91F12" w:rsidRPr="008B62B8">
        <w:rPr>
          <w:i/>
          <w:iCs/>
          <w:lang w:val="fr-CA"/>
        </w:rPr>
        <w:t xml:space="preserve">Droits de la personne — </w:t>
      </w:r>
      <w:r w:rsidR="003D592D" w:rsidRPr="008B62B8">
        <w:rPr>
          <w:i/>
          <w:iCs/>
          <w:lang w:val="fr-CA"/>
        </w:rPr>
        <w:t xml:space="preserve">Droit à la sauvegarde de la dignité </w:t>
      </w:r>
      <w:r w:rsidR="003D592D" w:rsidRPr="008B62B8">
        <w:rPr>
          <w:i/>
          <w:lang w:val="fr-CA"/>
        </w:rPr>
        <w:t xml:space="preserve">— Droit à l’égalité dans la reconnaissance et l’exercice des droits et libertés de la personne </w:t>
      </w:r>
      <w:r w:rsidR="003D592D" w:rsidRPr="008B62B8">
        <w:rPr>
          <w:i/>
          <w:iCs/>
          <w:lang w:val="fr-CA"/>
        </w:rPr>
        <w:t xml:space="preserve">— Liberté d’expression — Recours en discrimination intenté </w:t>
      </w:r>
      <w:r w:rsidR="003D592D" w:rsidRPr="008B62B8">
        <w:rPr>
          <w:i/>
          <w:lang w:val="fr-CA"/>
        </w:rPr>
        <w:t xml:space="preserve">au nom d’une personnalité publique en situation de handicap à l’encontre d’un humoriste professionnel qui s’est moqué de certaines de ses caractéristiques physiques </w:t>
      </w:r>
      <w:r w:rsidR="003D592D" w:rsidRPr="008B62B8">
        <w:rPr>
          <w:i/>
          <w:iCs/>
          <w:lang w:val="fr-CA"/>
        </w:rPr>
        <w:t xml:space="preserve">— Étendue de la compétence de la Commission des droits de la personne et des droits de la jeunesse et du Tribunal des droits de la personne en matière de discrimination — </w:t>
      </w:r>
      <w:r w:rsidR="003D592D" w:rsidRPr="008B62B8">
        <w:rPr>
          <w:i/>
          <w:lang w:val="fr-CA"/>
        </w:rPr>
        <w:t>Cadre juridique applicable à un recours en discrimination fondé sur des propos qui mettent en opposition le droit à la sauvegarde de la dignité et la liberté d’expression –– Charte des droits et li</w:t>
      </w:r>
      <w:r w:rsidR="00DE049A">
        <w:rPr>
          <w:i/>
          <w:lang w:val="fr-CA"/>
        </w:rPr>
        <w:t>bertés de la personne, RLRQ, c. C</w:t>
      </w:r>
      <w:r w:rsidR="00DE049A">
        <w:rPr>
          <w:i/>
          <w:lang w:val="fr-CA"/>
        </w:rPr>
        <w:noBreakHyphen/>
      </w:r>
      <w:r w:rsidR="003D592D" w:rsidRPr="008B62B8">
        <w:rPr>
          <w:i/>
          <w:lang w:val="fr-CA"/>
        </w:rPr>
        <w:t xml:space="preserve">12, </w:t>
      </w:r>
      <w:r w:rsidR="002667A4" w:rsidRPr="008B62B8">
        <w:rPr>
          <w:i/>
          <w:lang w:val="fr-CA"/>
        </w:rPr>
        <w:t>art. </w:t>
      </w:r>
      <w:r w:rsidR="003D592D" w:rsidRPr="008B62B8">
        <w:rPr>
          <w:i/>
          <w:lang w:val="fr-CA"/>
        </w:rPr>
        <w:t>3, 4, 9.1, 10.</w:t>
      </w:r>
    </w:p>
    <w:p w14:paraId="2AEC414E" w14:textId="1F6FCCD3" w:rsidR="003D592D" w:rsidRPr="008B62B8" w:rsidRDefault="003D592D" w:rsidP="003D592D">
      <w:pPr>
        <w:pStyle w:val="SCCNormalDoubleSpacing"/>
        <w:spacing w:before="480" w:after="480"/>
        <w:rPr>
          <w:lang w:val="fr-CA"/>
        </w:rPr>
      </w:pPr>
      <w:r w:rsidRPr="008B62B8">
        <w:rPr>
          <w:lang w:val="fr-CA"/>
        </w:rPr>
        <w:tab/>
        <w:t>De septembre 2010 à mars 2013, W, un humoriste professionnel, présente un spectacle qui comprend un numéro dans lequel il se moque de certaines personnalités du milieu artistique québécois, dont G,</w:t>
      </w:r>
      <w:r w:rsidR="00011995" w:rsidRPr="008B62B8">
        <w:rPr>
          <w:lang w:val="fr-CA"/>
        </w:rPr>
        <w:t xml:space="preserve"> </w:t>
      </w:r>
      <w:r w:rsidRPr="008B62B8">
        <w:rPr>
          <w:lang w:val="fr-CA"/>
        </w:rPr>
        <w:t>une personnalité publique en situation de handica</w:t>
      </w:r>
      <w:r w:rsidR="000D7084" w:rsidRPr="008B62B8">
        <w:rPr>
          <w:lang w:val="fr-CA"/>
        </w:rPr>
        <w:t xml:space="preserve">p. </w:t>
      </w:r>
      <w:r w:rsidRPr="008B62B8">
        <w:rPr>
          <w:lang w:val="fr-CA"/>
        </w:rPr>
        <w:t xml:space="preserve">W réalise aussi une capsule vidéo qui est diffusée sur son site Internet dans laquelle il prononce des propos désobligeants sur G. Dans sa capsule comme dans son spectacle, W se moque de certaines caractéristiques physiques de G. Au moment où les faits reprochés à W se déroulent, G est mineur, étudie au secondaire et mène une carrière artistique en chant. </w:t>
      </w:r>
    </w:p>
    <w:p w14:paraId="44922A3F" w14:textId="0B36F239" w:rsidR="003D592D" w:rsidRPr="008B62B8" w:rsidRDefault="003D592D" w:rsidP="003D592D">
      <w:pPr>
        <w:pStyle w:val="SCCNormalDoubleSpacing"/>
        <w:spacing w:before="480" w:after="480"/>
        <w:rPr>
          <w:lang w:val="fr-CA"/>
        </w:rPr>
      </w:pPr>
      <w:r w:rsidRPr="008B62B8">
        <w:rPr>
          <w:lang w:val="fr-CA"/>
        </w:rPr>
        <w:tab/>
        <w:t>Les parents de G portent plainte à la Commission des droits de la personne et des droits de la jeunesse. Celle</w:t>
      </w:r>
      <w:r w:rsidR="002667A4" w:rsidRPr="008B62B8">
        <w:rPr>
          <w:lang w:val="fr-CA"/>
        </w:rPr>
        <w:noBreakHyphen/>
      </w:r>
      <w:r w:rsidRPr="008B62B8">
        <w:rPr>
          <w:lang w:val="fr-CA"/>
        </w:rPr>
        <w:t>ci demande alors au Tribunal des droits de la personne de constater que W a porté atteinte au droit de G à la reconnaissance de son droit à la sauvegarde de sa dignité</w:t>
      </w:r>
      <w:r w:rsidR="002667A4" w:rsidRPr="008B62B8">
        <w:rPr>
          <w:lang w:val="fr-CA"/>
        </w:rPr>
        <w:t xml:space="preserve"> </w:t>
      </w:r>
      <w:r w:rsidRPr="008B62B8">
        <w:rPr>
          <w:lang w:val="fr-CA"/>
        </w:rPr>
        <w:t xml:space="preserve">en pleine égalité, contrairement aux </w:t>
      </w:r>
      <w:r w:rsidR="002667A4" w:rsidRPr="008B62B8">
        <w:rPr>
          <w:lang w:val="fr-CA"/>
        </w:rPr>
        <w:t>art. </w:t>
      </w:r>
      <w:r w:rsidRPr="008B62B8">
        <w:rPr>
          <w:lang w:val="fr-CA"/>
        </w:rPr>
        <w:t xml:space="preserve">4 et 10 de la </w:t>
      </w:r>
      <w:r w:rsidRPr="008B62B8">
        <w:rPr>
          <w:i/>
          <w:lang w:val="fr-CA"/>
        </w:rPr>
        <w:t>Charte québécoise</w:t>
      </w:r>
      <w:r w:rsidRPr="008B62B8">
        <w:rPr>
          <w:lang w:val="fr-CA"/>
        </w:rPr>
        <w:t xml:space="preserve">. Le Tribunal conclut que tous les éléments constitutifs de la discrimination, au sens de la </w:t>
      </w:r>
      <w:r w:rsidRPr="008B62B8">
        <w:rPr>
          <w:i/>
          <w:lang w:val="fr-CA"/>
        </w:rPr>
        <w:t>Charte québécoise</w:t>
      </w:r>
      <w:r w:rsidRPr="008B62B8">
        <w:rPr>
          <w:lang w:val="fr-CA"/>
        </w:rPr>
        <w:t>, sont établis. Notamment, W aurait tenu des propos liés au handicap de G, bien qu’il n’ait pas choisi ce dernier à cause de son handicap mais plutôt parce qu’il est une personnalité publique. Le Tribunal rejette le moyen de défense invoqué par W fondé sur la liberté d’expression, protégée par l’</w:t>
      </w:r>
      <w:r w:rsidR="002667A4" w:rsidRPr="008B62B8">
        <w:rPr>
          <w:lang w:val="fr-CA"/>
        </w:rPr>
        <w:t>art. </w:t>
      </w:r>
      <w:r w:rsidRPr="008B62B8">
        <w:rPr>
          <w:lang w:val="fr-CA"/>
        </w:rPr>
        <w:t xml:space="preserve">3 de la </w:t>
      </w:r>
      <w:r w:rsidRPr="008B62B8">
        <w:rPr>
          <w:i/>
          <w:lang w:val="fr-CA"/>
        </w:rPr>
        <w:t>Charte québécoise</w:t>
      </w:r>
      <w:r w:rsidRPr="008B62B8">
        <w:rPr>
          <w:lang w:val="fr-CA"/>
        </w:rPr>
        <w:t>, et</w:t>
      </w:r>
      <w:r w:rsidR="00011995" w:rsidRPr="008B62B8">
        <w:rPr>
          <w:lang w:val="fr-CA"/>
        </w:rPr>
        <w:t xml:space="preserve"> conclut que</w:t>
      </w:r>
      <w:r w:rsidRPr="008B62B8">
        <w:rPr>
          <w:lang w:val="fr-CA"/>
        </w:rPr>
        <w:t xml:space="preserve"> les propos de ce dernier ont outrepassé les limites de ce qu’une personne raisonnable peut tolérer au nom de la liberté d’expression. En conséquence, le Tribunal considère que la discrimination dont G a été victime n’est pas justifiée. W est condamné à verser des dommages moraux et punitifs à G. La Cour d’appel, à la majorité, rejette l’appel de W. De l’avis des juges majoritaires, le Tribunal pouvait conclure à l’existence de la discrimination et conclure que les propos de W n’étaient pas justifiés par la liberté d’expression.</w:t>
      </w:r>
      <w:r w:rsidR="00011995" w:rsidRPr="008B62B8">
        <w:rPr>
          <w:lang w:val="fr-CA"/>
        </w:rPr>
        <w:t xml:space="preserve"> </w:t>
      </w:r>
      <w:r w:rsidRPr="008B62B8">
        <w:rPr>
          <w:lang w:val="fr-CA"/>
        </w:rPr>
        <w:t xml:space="preserve">En dissidence, une juge conclut plutôt que les propos de W ne véhiculent pas un discours discriminatoire. </w:t>
      </w:r>
    </w:p>
    <w:p w14:paraId="366B95B8" w14:textId="55F72BDA" w:rsidR="003D592D" w:rsidRPr="008B62B8" w:rsidRDefault="003D592D" w:rsidP="003D592D">
      <w:pPr>
        <w:pStyle w:val="SCCNormalDoubleSpacing"/>
        <w:spacing w:before="480" w:after="480"/>
        <w:rPr>
          <w:lang w:val="fr-CA"/>
        </w:rPr>
      </w:pPr>
      <w:r w:rsidRPr="008B62B8">
        <w:rPr>
          <w:lang w:val="fr-CA"/>
        </w:rPr>
        <w:tab/>
      </w:r>
      <w:r w:rsidRPr="008B62B8">
        <w:rPr>
          <w:i/>
          <w:lang w:val="fr-CA"/>
        </w:rPr>
        <w:t>Arrêt</w:t>
      </w:r>
      <w:r w:rsidR="00B91F12" w:rsidRPr="008B62B8">
        <w:rPr>
          <w:lang w:val="fr-CA"/>
        </w:rPr>
        <w:t xml:space="preserve"> </w:t>
      </w:r>
      <w:r w:rsidRPr="008B62B8">
        <w:rPr>
          <w:lang w:val="fr-CA"/>
        </w:rPr>
        <w:t>(les juges Abella, Karakatsanis, Martin et Kasirer sont dissidents)</w:t>
      </w:r>
      <w:r w:rsidR="002667A4" w:rsidRPr="008B62B8">
        <w:rPr>
          <w:lang w:val="fr-CA"/>
        </w:rPr>
        <w:t> :</w:t>
      </w:r>
      <w:r w:rsidRPr="008B62B8">
        <w:rPr>
          <w:lang w:val="fr-CA"/>
        </w:rPr>
        <w:t xml:space="preserve"> Le pourvoi est accueilli. </w:t>
      </w:r>
    </w:p>
    <w:p w14:paraId="585B7DB9" w14:textId="6DD53927" w:rsidR="003D592D" w:rsidRPr="008B62B8" w:rsidRDefault="003D592D" w:rsidP="003D592D">
      <w:pPr>
        <w:pStyle w:val="SCCNormalDoubleSpacing"/>
        <w:spacing w:before="480" w:after="480"/>
        <w:rPr>
          <w:lang w:val="fr-CA"/>
        </w:rPr>
      </w:pPr>
      <w:r w:rsidRPr="008B62B8">
        <w:rPr>
          <w:i/>
          <w:lang w:val="fr-CA"/>
        </w:rPr>
        <w:tab/>
        <w:t>Le</w:t>
      </w:r>
      <w:r w:rsidRPr="008B62B8">
        <w:rPr>
          <w:lang w:val="fr-CA"/>
        </w:rPr>
        <w:t xml:space="preserve"> juge en chef</w:t>
      </w:r>
      <w:r w:rsidRPr="008B62B8">
        <w:rPr>
          <w:b/>
          <w:lang w:val="fr-CA"/>
        </w:rPr>
        <w:t xml:space="preserve"> Wagner</w:t>
      </w:r>
      <w:r w:rsidRPr="008B62B8">
        <w:rPr>
          <w:lang w:val="fr-CA"/>
        </w:rPr>
        <w:t xml:space="preserve"> et les juges Moldaver, </w:t>
      </w:r>
      <w:r w:rsidRPr="008B62B8">
        <w:rPr>
          <w:b/>
          <w:lang w:val="fr-CA"/>
        </w:rPr>
        <w:t>Côté</w:t>
      </w:r>
      <w:r w:rsidRPr="008B62B8">
        <w:rPr>
          <w:lang w:val="fr-CA"/>
        </w:rPr>
        <w:t>, Brown et Rowe</w:t>
      </w:r>
      <w:r w:rsidR="002667A4" w:rsidRPr="008B62B8">
        <w:rPr>
          <w:lang w:val="fr-CA"/>
        </w:rPr>
        <w:t> :</w:t>
      </w:r>
      <w:r w:rsidRPr="008B62B8">
        <w:rPr>
          <w:lang w:val="fr-CA"/>
        </w:rPr>
        <w:t xml:space="preserve"> Les éléments constitutifs d’un recours en discrimination fondé sur la </w:t>
      </w:r>
      <w:r w:rsidRPr="008B62B8">
        <w:rPr>
          <w:i/>
          <w:lang w:val="fr-CA"/>
        </w:rPr>
        <w:t>Charte québécoise</w:t>
      </w:r>
      <w:r w:rsidRPr="008B62B8">
        <w:rPr>
          <w:lang w:val="fr-CA"/>
        </w:rPr>
        <w:t xml:space="preserve"> n’ont pas été établis. Le recours en discrimination n’est pas, et ne doit pas devenir, un recours en diffamation. L’un et l’autre obéissent à des considérations différentes et poursuivent des objectifs différents. Le recours en discrimination doit être limité à des propos dont les effets sont réellement discriminatoires. Le Tribunal n’est pas habilité à trancher les recours en diffamation ni les autres recours en responsabilité civile, puisque sa compétence est limitée aux plaintes pour discrimination ou exploitation fondées sur les </w:t>
      </w:r>
      <w:r w:rsidR="002667A4" w:rsidRPr="008B62B8">
        <w:rPr>
          <w:lang w:val="fr-CA"/>
        </w:rPr>
        <w:t>art. </w:t>
      </w:r>
      <w:r w:rsidRPr="008B62B8">
        <w:rPr>
          <w:lang w:val="fr-CA"/>
        </w:rPr>
        <w:t xml:space="preserve">10 à 19 et 48 de la </w:t>
      </w:r>
      <w:r w:rsidRPr="008B62B8">
        <w:rPr>
          <w:i/>
          <w:lang w:val="fr-CA"/>
        </w:rPr>
        <w:t>Charte québécoise</w:t>
      </w:r>
      <w:r w:rsidRPr="008B62B8">
        <w:rPr>
          <w:lang w:val="fr-CA"/>
        </w:rPr>
        <w:t xml:space="preserve">. </w:t>
      </w:r>
      <w:r w:rsidR="00011995" w:rsidRPr="008B62B8">
        <w:rPr>
          <w:lang w:val="fr-CA"/>
        </w:rPr>
        <w:t>En l’espèce,</w:t>
      </w:r>
      <w:r w:rsidRPr="008B62B8">
        <w:rPr>
          <w:lang w:val="fr-CA"/>
        </w:rPr>
        <w:t xml:space="preserve"> G a fait l’objet d’une distinction en ayant été ciblé par les propos de W. Toutefois, considérant la conclusion du Tribunal selon laquelle W n’a pas choisi G à cause de son handicap, mais bien parce qu’il est une personnalité publique, cette distinction n’est pas fondée sur un motif prohibé. De plus, même s’il y avait eu différence de traitement fondée sur un motif prohibé, le droit de G à la reconnaissance de son droit à la sauvegarde de sa dignité en pleine égalité n’a pas été compromis. </w:t>
      </w:r>
    </w:p>
    <w:p w14:paraId="48F2FFCB" w14:textId="7DDC88BB" w:rsidR="003D592D" w:rsidRPr="008B62B8" w:rsidRDefault="003D592D" w:rsidP="003D592D">
      <w:pPr>
        <w:pStyle w:val="SCCNormalDoubleSpacing"/>
        <w:spacing w:before="480" w:after="480"/>
        <w:rPr>
          <w:lang w:val="fr-CA"/>
        </w:rPr>
      </w:pPr>
      <w:r w:rsidRPr="008B62B8">
        <w:rPr>
          <w:lang w:val="fr-CA"/>
        </w:rPr>
        <w:tab/>
        <w:t>Le demandeur qui sollicite la protection de l’</w:t>
      </w:r>
      <w:r w:rsidR="002667A4" w:rsidRPr="008B62B8">
        <w:rPr>
          <w:lang w:val="fr-CA"/>
        </w:rPr>
        <w:t>art. </w:t>
      </w:r>
      <w:r w:rsidRPr="008B62B8">
        <w:rPr>
          <w:lang w:val="fr-CA"/>
        </w:rPr>
        <w:t xml:space="preserve">10 de la </w:t>
      </w:r>
      <w:r w:rsidRPr="008B62B8">
        <w:rPr>
          <w:i/>
          <w:lang w:val="fr-CA"/>
        </w:rPr>
        <w:t>Charte québécoise</w:t>
      </w:r>
      <w:r w:rsidRPr="008B62B8">
        <w:rPr>
          <w:lang w:val="fr-CA"/>
        </w:rPr>
        <w:t xml:space="preserve">, qui assure le droit à l’égalité dans la reconnaissance et l’exercice des autres droits et libertés garantis par la </w:t>
      </w:r>
      <w:r w:rsidRPr="008B62B8">
        <w:rPr>
          <w:i/>
          <w:lang w:val="fr-CA"/>
        </w:rPr>
        <w:t>Charte québécoise</w:t>
      </w:r>
      <w:r w:rsidRPr="008B62B8">
        <w:rPr>
          <w:lang w:val="fr-CA"/>
        </w:rPr>
        <w:t>, doit satisfaire à un fardeau de preuve qui comprend trois éléments. Premièrement, il doit prouver qu’il a fait l’objet d’une distinction, exclusion ou préférence, c’est</w:t>
      </w:r>
      <w:r w:rsidR="002667A4" w:rsidRPr="008B62B8">
        <w:rPr>
          <w:lang w:val="fr-CA"/>
        </w:rPr>
        <w:noBreakHyphen/>
      </w:r>
      <w:r w:rsidRPr="008B62B8">
        <w:rPr>
          <w:lang w:val="fr-CA"/>
        </w:rPr>
        <w:t>à</w:t>
      </w:r>
      <w:r w:rsidR="002667A4" w:rsidRPr="008B62B8">
        <w:rPr>
          <w:lang w:val="fr-CA"/>
        </w:rPr>
        <w:noBreakHyphen/>
      </w:r>
      <w:r w:rsidRPr="008B62B8">
        <w:rPr>
          <w:lang w:val="fr-CA"/>
        </w:rPr>
        <w:t>dire d’une décision, mesure ou conduite qui le touche d’une manière différente par rapport à d’autres personnes auxquelles elle peut s’appliquer. Deuxièmement, il doit établir qu’une des caractéristiques expressément protégées à l’</w:t>
      </w:r>
      <w:r w:rsidR="002667A4" w:rsidRPr="008B62B8">
        <w:rPr>
          <w:lang w:val="fr-CA"/>
        </w:rPr>
        <w:t>art. </w:t>
      </w:r>
      <w:r w:rsidRPr="008B62B8">
        <w:rPr>
          <w:lang w:val="fr-CA"/>
        </w:rPr>
        <w:t xml:space="preserve">10 a été un facteur dans la différence de traitement dont il se plaint. Troisièmement, il doit démontrer que cette différence de traitement compromet l’exercice ou la reconnaissance en pleine égalité d’une liberté ou d’un droit garanti par la </w:t>
      </w:r>
      <w:r w:rsidRPr="008B62B8">
        <w:rPr>
          <w:i/>
          <w:lang w:val="fr-CA"/>
        </w:rPr>
        <w:t>Charte québécoise</w:t>
      </w:r>
      <w:r w:rsidRPr="008B62B8">
        <w:rPr>
          <w:lang w:val="fr-CA"/>
        </w:rPr>
        <w:t>. C’est uniquement lorsque ces trois éléments sont établis que le fardeau de justifier la discrimination revient ensuite au défendeur. La présence de propos blessants, liés à un motif énuméré à l’</w:t>
      </w:r>
      <w:r w:rsidR="002667A4" w:rsidRPr="008B62B8">
        <w:rPr>
          <w:lang w:val="fr-CA"/>
        </w:rPr>
        <w:t>art. </w:t>
      </w:r>
      <w:r w:rsidRPr="008B62B8">
        <w:rPr>
          <w:lang w:val="fr-CA"/>
        </w:rPr>
        <w:t xml:space="preserve">10 de la </w:t>
      </w:r>
      <w:r w:rsidRPr="008B62B8">
        <w:rPr>
          <w:i/>
          <w:lang w:val="fr-CA"/>
        </w:rPr>
        <w:t>Charte québécoise</w:t>
      </w:r>
      <w:r w:rsidRPr="008B62B8">
        <w:rPr>
          <w:lang w:val="fr-CA"/>
        </w:rPr>
        <w:t xml:space="preserve">, et d’un préjudice subi est insuffisante pour constituer de la discrimination et </w:t>
      </w:r>
      <w:r w:rsidR="00011995" w:rsidRPr="008B62B8">
        <w:rPr>
          <w:lang w:val="fr-CA"/>
        </w:rPr>
        <w:t xml:space="preserve">ainsi </w:t>
      </w:r>
      <w:r w:rsidRPr="008B62B8">
        <w:rPr>
          <w:lang w:val="fr-CA"/>
        </w:rPr>
        <w:t xml:space="preserve">relever de la compétence du Tribunal lorsque les effets sociaux de la discrimination, comme la perpétuation de préjugés ou de désavantages, sont absents. </w:t>
      </w:r>
    </w:p>
    <w:p w14:paraId="2D4BE391" w14:textId="11D4AECA" w:rsidR="003D592D" w:rsidRPr="008B62B8" w:rsidRDefault="003D592D" w:rsidP="003D592D">
      <w:pPr>
        <w:pStyle w:val="SCCNormalDoubleSpacing"/>
        <w:spacing w:before="480" w:after="480"/>
        <w:rPr>
          <w:lang w:val="fr-CA"/>
        </w:rPr>
      </w:pPr>
      <w:r w:rsidRPr="008B62B8">
        <w:rPr>
          <w:lang w:val="fr-CA"/>
        </w:rPr>
        <w:tab/>
        <w:t>De plus, l’</w:t>
      </w:r>
      <w:r w:rsidR="002667A4" w:rsidRPr="008B62B8">
        <w:rPr>
          <w:lang w:val="fr-CA"/>
        </w:rPr>
        <w:t>art. </w:t>
      </w:r>
      <w:r w:rsidRPr="008B62B8">
        <w:rPr>
          <w:lang w:val="fr-CA"/>
        </w:rPr>
        <w:t xml:space="preserve">9.1 de la </w:t>
      </w:r>
      <w:r w:rsidRPr="008B62B8">
        <w:rPr>
          <w:i/>
          <w:lang w:val="fr-CA"/>
        </w:rPr>
        <w:t>Charte</w:t>
      </w:r>
      <w:r w:rsidRPr="008B62B8">
        <w:rPr>
          <w:lang w:val="fr-CA"/>
        </w:rPr>
        <w:t xml:space="preserve"> </w:t>
      </w:r>
      <w:r w:rsidRPr="008B62B8">
        <w:rPr>
          <w:i/>
          <w:lang w:val="fr-CA"/>
        </w:rPr>
        <w:t xml:space="preserve">québécoise </w:t>
      </w:r>
      <w:r w:rsidRPr="008B62B8">
        <w:rPr>
          <w:lang w:val="fr-CA"/>
        </w:rPr>
        <w:t>délimite la portée du droit fondamental sur lequel s’appuie la violation alléguée de l’</w:t>
      </w:r>
      <w:r w:rsidR="002667A4" w:rsidRPr="008B62B8">
        <w:rPr>
          <w:lang w:val="fr-CA"/>
        </w:rPr>
        <w:t>art. </w:t>
      </w:r>
      <w:r w:rsidRPr="008B62B8">
        <w:rPr>
          <w:lang w:val="fr-CA"/>
        </w:rPr>
        <w:t xml:space="preserve">10. Dans un contexte où le recours en discrimination s’appuie sur un droit garanti par l’un ou l’autre des </w:t>
      </w:r>
      <w:r w:rsidR="002667A4" w:rsidRPr="008B62B8">
        <w:rPr>
          <w:lang w:val="fr-CA"/>
        </w:rPr>
        <w:t>art. </w:t>
      </w:r>
      <w:r w:rsidRPr="008B62B8">
        <w:rPr>
          <w:lang w:val="fr-CA"/>
        </w:rPr>
        <w:t>1 à 9, et où le défendeur fait aussi valoir un droit prévu par ces dispositions, la portée respective des droits revendiqués doit être déterminée au regard de l’</w:t>
      </w:r>
      <w:r w:rsidR="002667A4" w:rsidRPr="008B62B8">
        <w:rPr>
          <w:lang w:val="fr-CA"/>
        </w:rPr>
        <w:t>art. </w:t>
      </w:r>
      <w:r w:rsidRPr="008B62B8">
        <w:rPr>
          <w:lang w:val="fr-CA"/>
        </w:rPr>
        <w:t>9.1. Puisque l’</w:t>
      </w:r>
      <w:r w:rsidR="002667A4" w:rsidRPr="008B62B8">
        <w:rPr>
          <w:lang w:val="fr-CA"/>
        </w:rPr>
        <w:t>art. </w:t>
      </w:r>
      <w:r w:rsidRPr="008B62B8">
        <w:rPr>
          <w:lang w:val="fr-CA"/>
        </w:rPr>
        <w:t>9.1 ne s’applique pas à l’</w:t>
      </w:r>
      <w:r w:rsidR="002667A4" w:rsidRPr="008B62B8">
        <w:rPr>
          <w:lang w:val="fr-CA"/>
        </w:rPr>
        <w:t>art. </w:t>
      </w:r>
      <w:r w:rsidRPr="008B62B8">
        <w:rPr>
          <w:lang w:val="fr-CA"/>
        </w:rPr>
        <w:t xml:space="preserve">10, cet exercice de pondération doit être fait dans le cadre de l’analyse du troisième élément constitutif de la discrimination. Le droit sur lequel s’appuie le défendeur ne constitue pas un moyen de défense, mais une limitation de la portée du droit invoqué par le demandeur. Avant de conclure à l’existence d’une discrimination dans la reconnaissance ou l’exercice d’un droit prévu à l’un ou l’autre des </w:t>
      </w:r>
      <w:r w:rsidR="002667A4" w:rsidRPr="008B62B8">
        <w:rPr>
          <w:lang w:val="fr-CA"/>
        </w:rPr>
        <w:t>art. </w:t>
      </w:r>
      <w:r w:rsidRPr="008B62B8">
        <w:rPr>
          <w:lang w:val="fr-CA"/>
        </w:rPr>
        <w:t>1 à 9, la protection de ce droit doit s’imposer au regard des valeurs démocratiques, de l’ordre public et du bien</w:t>
      </w:r>
      <w:r w:rsidR="002667A4" w:rsidRPr="008B62B8">
        <w:rPr>
          <w:lang w:val="fr-CA"/>
        </w:rPr>
        <w:noBreakHyphen/>
      </w:r>
      <w:r w:rsidRPr="008B62B8">
        <w:rPr>
          <w:lang w:val="fr-CA"/>
        </w:rPr>
        <w:t>être général des citoyens du Québec dont il est question à l’</w:t>
      </w:r>
      <w:r w:rsidR="002667A4" w:rsidRPr="008B62B8">
        <w:rPr>
          <w:lang w:val="fr-CA"/>
        </w:rPr>
        <w:t>art. </w:t>
      </w:r>
      <w:r w:rsidRPr="008B62B8">
        <w:rPr>
          <w:lang w:val="fr-CA"/>
        </w:rPr>
        <w:t>9.1.</w:t>
      </w:r>
      <w:r w:rsidR="00011995" w:rsidRPr="008B62B8">
        <w:rPr>
          <w:lang w:val="fr-CA"/>
        </w:rPr>
        <w:t xml:space="preserve"> </w:t>
      </w:r>
      <w:r w:rsidRPr="008B62B8">
        <w:rPr>
          <w:lang w:val="fr-CA"/>
        </w:rPr>
        <w:t>Il n’y a pas de discrimination si, dans un contexte donné, cette disposition assure la préséance du droit exercé par le défendeur sur le droit que le demandeur conjugue à l’</w:t>
      </w:r>
      <w:r w:rsidR="002667A4" w:rsidRPr="008B62B8">
        <w:rPr>
          <w:lang w:val="fr-CA"/>
        </w:rPr>
        <w:t>art. </w:t>
      </w:r>
      <w:r w:rsidRPr="008B62B8">
        <w:rPr>
          <w:lang w:val="fr-CA"/>
        </w:rPr>
        <w:t>10.</w:t>
      </w:r>
    </w:p>
    <w:p w14:paraId="5365FCD4" w14:textId="6C1D8046" w:rsidR="003D592D" w:rsidRPr="008B62B8" w:rsidRDefault="003D592D" w:rsidP="003D592D">
      <w:pPr>
        <w:pStyle w:val="SCCNormalDoubleSpacing"/>
        <w:spacing w:before="480" w:after="480"/>
        <w:rPr>
          <w:lang w:val="fr-CA"/>
        </w:rPr>
      </w:pPr>
      <w:r w:rsidRPr="008B62B8">
        <w:rPr>
          <w:lang w:val="fr-CA"/>
        </w:rPr>
        <w:tab/>
        <w:t>Lorsque le recours intenté appelle à délimiter, au regard de l’</w:t>
      </w:r>
      <w:r w:rsidR="002667A4" w:rsidRPr="008B62B8">
        <w:rPr>
          <w:lang w:val="fr-CA"/>
        </w:rPr>
        <w:t>art. </w:t>
      </w:r>
      <w:r w:rsidRPr="008B62B8">
        <w:rPr>
          <w:lang w:val="fr-CA"/>
        </w:rPr>
        <w:t>9.1, l’étendue respective du droit à la sauvegarde de la dignité garanti par l’</w:t>
      </w:r>
      <w:r w:rsidR="002667A4" w:rsidRPr="008B62B8">
        <w:rPr>
          <w:lang w:val="fr-CA"/>
        </w:rPr>
        <w:t>art. </w:t>
      </w:r>
      <w:r w:rsidRPr="008B62B8">
        <w:rPr>
          <w:lang w:val="fr-CA"/>
        </w:rPr>
        <w:t>4 et de la liberté d’expression que protège l’</w:t>
      </w:r>
      <w:r w:rsidR="002667A4" w:rsidRPr="008B62B8">
        <w:rPr>
          <w:lang w:val="fr-CA"/>
        </w:rPr>
        <w:t>art. </w:t>
      </w:r>
      <w:r w:rsidRPr="008B62B8">
        <w:rPr>
          <w:lang w:val="fr-CA"/>
        </w:rPr>
        <w:t>3, l’analyse du troisième élément constitutif de la discrimination consiste à interpréter ces droits de manière à ce que l’un et l’autre s’exercent dans le respect des valeurs démocratiques, de l’ordre public et du bien</w:t>
      </w:r>
      <w:r w:rsidR="002667A4" w:rsidRPr="008B62B8">
        <w:rPr>
          <w:lang w:val="fr-CA"/>
        </w:rPr>
        <w:noBreakHyphen/>
      </w:r>
      <w:r w:rsidRPr="008B62B8">
        <w:rPr>
          <w:lang w:val="fr-CA"/>
        </w:rPr>
        <w:t>être général des citoyens du Québec.</w:t>
      </w:r>
    </w:p>
    <w:p w14:paraId="0AA131FA" w14:textId="1CAFA296" w:rsidR="003D592D" w:rsidRPr="008B62B8" w:rsidRDefault="00DE049A" w:rsidP="003D592D">
      <w:pPr>
        <w:pStyle w:val="SCCNormalDoubleSpacing"/>
        <w:spacing w:before="240" w:after="480"/>
        <w:rPr>
          <w:lang w:val="fr-CA"/>
        </w:rPr>
      </w:pPr>
      <w:r>
        <w:rPr>
          <w:lang w:val="fr-CA"/>
        </w:rPr>
        <w:tab/>
      </w:r>
      <w:r w:rsidR="003D592D" w:rsidRPr="008B62B8">
        <w:rPr>
          <w:lang w:val="fr-CA"/>
        </w:rPr>
        <w:t>Le droit à la sauvegarde de la dignité, consacré à l’</w:t>
      </w:r>
      <w:r w:rsidR="002667A4" w:rsidRPr="008B62B8">
        <w:rPr>
          <w:lang w:val="fr-CA"/>
        </w:rPr>
        <w:t>art. </w:t>
      </w:r>
      <w:r w:rsidR="003D592D" w:rsidRPr="008B62B8">
        <w:rPr>
          <w:lang w:val="fr-CA"/>
        </w:rPr>
        <w:t xml:space="preserve">4 de la </w:t>
      </w:r>
      <w:r w:rsidR="003D592D" w:rsidRPr="008B62B8">
        <w:rPr>
          <w:i/>
          <w:lang w:val="fr-CA"/>
        </w:rPr>
        <w:t>Charte québécoise</w:t>
      </w:r>
      <w:r w:rsidR="003D592D" w:rsidRPr="008B62B8">
        <w:rPr>
          <w:lang w:val="fr-CA"/>
        </w:rPr>
        <w:t>, permet à une personne de réclamer la protection contre la négation de sa valeur en tant qu’être humain. Il protège l’humanité de chaque personne dans ses attributs les plus fondamentaux. Ainsi, pour contrevenir à l’</w:t>
      </w:r>
      <w:r w:rsidR="002667A4" w:rsidRPr="008B62B8">
        <w:rPr>
          <w:lang w:val="fr-CA"/>
        </w:rPr>
        <w:t>art. </w:t>
      </w:r>
      <w:r w:rsidR="003D592D" w:rsidRPr="008B62B8">
        <w:rPr>
          <w:lang w:val="fr-CA"/>
        </w:rPr>
        <w:t xml:space="preserve">4 de la </w:t>
      </w:r>
      <w:r w:rsidR="003D592D" w:rsidRPr="008B62B8">
        <w:rPr>
          <w:i/>
          <w:lang w:val="fr-CA"/>
        </w:rPr>
        <w:t>Charte québécoise</w:t>
      </w:r>
      <w:r w:rsidR="003D592D" w:rsidRPr="008B62B8">
        <w:rPr>
          <w:lang w:val="fr-CA"/>
        </w:rPr>
        <w:t>, une conduite doit atteindre un degré de gravité élevé qui ne banalise pas la notion de dignité. Une telle conduite ne saurait faire l’objet d’une appréciation purement subjective; une analyse objective s’impose plutôt, puisque la dignité n’a pas pour horizon la protection d’une personne particulière, ni même d’une catégorie de personnes, mais de l’humanité en génér</w:t>
      </w:r>
      <w:r w:rsidR="002667A4" w:rsidRPr="008B62B8">
        <w:rPr>
          <w:lang w:val="fr-CA"/>
        </w:rPr>
        <w:t>al.</w:t>
      </w:r>
      <w:r w:rsidR="00D1752A" w:rsidRPr="008B62B8">
        <w:rPr>
          <w:lang w:val="fr-CA"/>
        </w:rPr>
        <w:t xml:space="preserve"> </w:t>
      </w:r>
      <w:r w:rsidR="003D592D" w:rsidRPr="008B62B8">
        <w:rPr>
          <w:lang w:val="fr-CA"/>
        </w:rPr>
        <w:t>Lorsqu’une personne se voit privée de son humanité par l’infliction de traitements qui l’avilissent, l’asservissent, la réifient, l’humilient ou la dégradent, sa dignité est indéniablement bafouée. En ce sens, le droit à la sauvegarde de la dignité constitue un bouclier contre ce type d’atteintes qui ne font pas moins que révolter la conscience de la société.</w:t>
      </w:r>
    </w:p>
    <w:p w14:paraId="6506F8F1" w14:textId="315819A9" w:rsidR="003D592D" w:rsidRPr="008B62B8" w:rsidRDefault="003D592D" w:rsidP="003D592D">
      <w:pPr>
        <w:pStyle w:val="SCCNormalDoubleSpacing"/>
        <w:spacing w:before="240" w:after="480"/>
        <w:rPr>
          <w:lang w:val="fr-CA"/>
        </w:rPr>
      </w:pPr>
      <w:r w:rsidRPr="008B62B8">
        <w:rPr>
          <w:lang w:val="fr-CA"/>
        </w:rPr>
        <w:tab/>
        <w:t>Pour sa part, l’exercice de la liberté d’expression présuppose, en même temps qu’il alimente, la tolérance de la société envers les expressions impopulaires, désobligeantes ou répugnantes. Les limites à la liberté d’expression se justifient lorsqu’il existe, dans un contexte donné, des raisons sérieuses de craindre un préjudice suffisamment précis auquel le discernement et le jugement critique de l’auditoire ne sauraient faire obstacle ou lorsque la liberté d’expression sert à diffuser des propos qui ont pour effet de forcer certaines personnes à défendre leur propre humanité fondamentale ou leur propre statut social avant même d’être admis</w:t>
      </w:r>
      <w:r w:rsidR="00E7747A">
        <w:rPr>
          <w:lang w:val="fr-CA"/>
        </w:rPr>
        <w:t>es</w:t>
      </w:r>
      <w:r w:rsidRPr="008B62B8">
        <w:rPr>
          <w:lang w:val="fr-CA"/>
        </w:rPr>
        <w:t xml:space="preserve"> à participer au débat démocratique. Ces limites s’appliquent aussi dans un contexte artistique. La liberté d’expression ne saurait conférer à l’artiste un degré de protection supérieur à celui de ses concitoyens.</w:t>
      </w:r>
    </w:p>
    <w:p w14:paraId="57892D6F" w14:textId="5EA0B062" w:rsidR="003D592D" w:rsidRPr="008B62B8" w:rsidRDefault="003D592D" w:rsidP="003D592D">
      <w:pPr>
        <w:pStyle w:val="SCCNormalDoubleSpacing"/>
        <w:spacing w:before="240" w:after="480"/>
        <w:rPr>
          <w:lang w:val="fr-CA"/>
        </w:rPr>
      </w:pPr>
      <w:r w:rsidRPr="008B62B8">
        <w:rPr>
          <w:lang w:val="fr-CA"/>
        </w:rPr>
        <w:tab/>
        <w:t xml:space="preserve">Les enseignements qui se dégagent de l’arrêt </w:t>
      </w:r>
      <w:r w:rsidRPr="008B62B8">
        <w:rPr>
          <w:i/>
          <w:lang w:val="fr-CA"/>
        </w:rPr>
        <w:t>Saskatchewan (Human Rights Commission) c. Whatcott</w:t>
      </w:r>
      <w:r w:rsidRPr="008B62B8">
        <w:rPr>
          <w:lang w:val="fr-CA"/>
        </w:rPr>
        <w:t xml:space="preserve">, 2013 CSC 11, [2013] 1 R.C.S. 467, sont incontournables dans l’analyse requise du cadre juridique applicable à un recours en discrimination en vertu de la </w:t>
      </w:r>
      <w:r w:rsidRPr="008B62B8">
        <w:rPr>
          <w:i/>
          <w:lang w:val="fr-CA"/>
        </w:rPr>
        <w:t>Charte québécoise</w:t>
      </w:r>
      <w:r w:rsidRPr="008B62B8">
        <w:rPr>
          <w:lang w:val="fr-CA"/>
        </w:rPr>
        <w:t>, dans un contexte qui implique la liberté d’expression. Dans cet arrêt, la Cour s’est prononcée sur la constitutionnalité, au regard de l’</w:t>
      </w:r>
      <w:r w:rsidR="002667A4" w:rsidRPr="008B62B8">
        <w:rPr>
          <w:lang w:val="fr-CA"/>
        </w:rPr>
        <w:t>al. </w:t>
      </w:r>
      <w:r w:rsidRPr="008B62B8">
        <w:rPr>
          <w:lang w:val="fr-CA"/>
        </w:rPr>
        <w:t xml:space="preserve">2b) de la </w:t>
      </w:r>
      <w:r w:rsidRPr="008B62B8">
        <w:rPr>
          <w:i/>
          <w:lang w:val="fr-CA"/>
        </w:rPr>
        <w:t>Charte canadienne des droits et libertés</w:t>
      </w:r>
      <w:r w:rsidRPr="008B62B8">
        <w:rPr>
          <w:lang w:val="fr-CA"/>
        </w:rPr>
        <w:t>, de l’interdiction des propos haineux édictée à l’</w:t>
      </w:r>
      <w:r w:rsidR="002667A4" w:rsidRPr="008B62B8">
        <w:rPr>
          <w:lang w:val="fr-CA"/>
        </w:rPr>
        <w:t>al. </w:t>
      </w:r>
      <w:r w:rsidRPr="008B62B8">
        <w:rPr>
          <w:lang w:val="fr-CA"/>
        </w:rPr>
        <w:t xml:space="preserve">14(1)(b) du </w:t>
      </w:r>
      <w:r w:rsidRPr="008B62B8">
        <w:rPr>
          <w:i/>
          <w:lang w:val="fr-CA"/>
        </w:rPr>
        <w:t>Saskatchewan Human Rights Code</w:t>
      </w:r>
      <w:r w:rsidRPr="008B62B8">
        <w:rPr>
          <w:lang w:val="fr-CA"/>
        </w:rPr>
        <w:t>. La Cour a limité la prohibition édictée par la disposition en cause aux propos qui peuvent inspirer des sentiments extrêmes de détestation de nature à compromettre l’acceptation du groupe vulnérable au sein de la société et qui, par ailleurs, possèdent une force mobilisatrice suffisante pour mener au genre de traitement discriminatoire que le législateur vise à enrayer. La Cour a refusé de limiter la liberté d’expression pour conférer une protection contre les préjudices émotionnels.</w:t>
      </w:r>
    </w:p>
    <w:p w14:paraId="44A0ED24" w14:textId="09AC6D9F" w:rsidR="003D592D" w:rsidRPr="008B62B8" w:rsidRDefault="003D592D" w:rsidP="003D592D">
      <w:pPr>
        <w:pStyle w:val="SCCNormalDoubleSpacing"/>
        <w:spacing w:before="240" w:after="480"/>
        <w:rPr>
          <w:lang w:val="fr-CA"/>
        </w:rPr>
      </w:pPr>
      <w:r w:rsidRPr="008B62B8">
        <w:rPr>
          <w:lang w:val="fr-CA"/>
        </w:rPr>
        <w:tab/>
        <w:t xml:space="preserve">Pour résoudre le conflit entre le droit à la liberté d’expression et le droit à la sauvegarde de sa dignité dans le contexte de la </w:t>
      </w:r>
      <w:r w:rsidRPr="008B62B8">
        <w:rPr>
          <w:i/>
          <w:lang w:val="fr-CA"/>
        </w:rPr>
        <w:t>Charte québécoise</w:t>
      </w:r>
      <w:r w:rsidRPr="008B62B8">
        <w:rPr>
          <w:lang w:val="fr-CA"/>
        </w:rPr>
        <w:t xml:space="preserve">, le test applicable nécessite de déterminer, dans un premier temps, si une personne raisonnable, informée des circonstances et du contexte pertinents, considérerait que les propos visant un individu ou un groupe incitent à </w:t>
      </w:r>
      <w:r w:rsidR="006F7673" w:rsidRPr="008B62B8">
        <w:rPr>
          <w:lang w:val="fr-CA"/>
        </w:rPr>
        <w:t xml:space="preserve">le </w:t>
      </w:r>
      <w:r w:rsidRPr="008B62B8">
        <w:rPr>
          <w:lang w:val="fr-CA"/>
        </w:rPr>
        <w:t xml:space="preserve">mépriser ou à détester son humanité pour un motif de distinction illicite. Sont donc interdits les propos haineux au sens de </w:t>
      </w:r>
      <w:r w:rsidRPr="008B62B8">
        <w:rPr>
          <w:i/>
          <w:lang w:val="fr-CA"/>
        </w:rPr>
        <w:t>Whatcott</w:t>
      </w:r>
      <w:r w:rsidRPr="008B62B8">
        <w:rPr>
          <w:lang w:val="fr-CA"/>
        </w:rPr>
        <w:t>, de même que les propos qui produisent les mêmes effets sur la dignité des personnes sans pour autant répondre à la définition de la haine donnée dans cet arrêt. Dans un second temps, il doit être démontré qu’une personne raisonnable considérerait que, situés dans leur contexte, les propos tenus peuvent vraisemblablement avoir pour effet de mener au traitement discriminatoire de la personne visée, c’est</w:t>
      </w:r>
      <w:r w:rsidR="002667A4" w:rsidRPr="008B62B8">
        <w:rPr>
          <w:lang w:val="fr-CA"/>
        </w:rPr>
        <w:noBreakHyphen/>
      </w:r>
      <w:r w:rsidRPr="008B62B8">
        <w:rPr>
          <w:lang w:val="fr-CA"/>
        </w:rPr>
        <w:t>à</w:t>
      </w:r>
      <w:r w:rsidR="002667A4" w:rsidRPr="008B62B8">
        <w:rPr>
          <w:lang w:val="fr-CA"/>
        </w:rPr>
        <w:noBreakHyphen/>
      </w:r>
      <w:r w:rsidRPr="008B62B8">
        <w:rPr>
          <w:lang w:val="fr-CA"/>
        </w:rPr>
        <w:t>dire de mettre en péril l’acceptation sociale de cet individu ou de ce groupe. L’analyse est centrée sur les effets probables des propos à l’égard des tiers, c’est</w:t>
      </w:r>
      <w:r w:rsidR="002667A4" w:rsidRPr="008B62B8">
        <w:rPr>
          <w:lang w:val="fr-CA"/>
        </w:rPr>
        <w:noBreakHyphen/>
      </w:r>
      <w:r w:rsidRPr="008B62B8">
        <w:rPr>
          <w:lang w:val="fr-CA"/>
        </w:rPr>
        <w:t>à</w:t>
      </w:r>
      <w:r w:rsidR="002667A4" w:rsidRPr="008B62B8">
        <w:rPr>
          <w:lang w:val="fr-CA"/>
        </w:rPr>
        <w:noBreakHyphen/>
      </w:r>
      <w:r w:rsidRPr="008B62B8">
        <w:rPr>
          <w:lang w:val="fr-CA"/>
        </w:rPr>
        <w:t>dire sur les traitements discriminatoires susceptibles d’en résulter, et non sur le préjudice émotionnel subi par la personne qui allègue être victime de discrimination. Le mode d’expression des propos et l’effet de ce mode d’expression sont déterminants.</w:t>
      </w:r>
    </w:p>
    <w:p w14:paraId="6CB6548B" w14:textId="321ACA9F" w:rsidR="003D592D" w:rsidRPr="008B62B8" w:rsidRDefault="003D592D" w:rsidP="003D592D">
      <w:pPr>
        <w:pStyle w:val="SCCNormalDoubleSpacing"/>
        <w:spacing w:before="240" w:after="480"/>
        <w:rPr>
          <w:lang w:val="fr-CA"/>
        </w:rPr>
      </w:pPr>
      <w:r w:rsidRPr="008B62B8">
        <w:rPr>
          <w:lang w:val="fr-CA"/>
        </w:rPr>
        <w:tab/>
        <w:t>En l’espèce, G a fait l’objet d’une distinction en ayant été exposé à la moquerie dans le spectacle et les capsules humoristiques de W. Toutefois, considérant la conclusion du Tribunal selon laquelle W n’a pas choisi G à cause de son handicap, mais bien parce qu’il est une personnalité publique, cette distinction n’est pas fondée sur un motif prohibé.</w:t>
      </w:r>
      <w:r w:rsidR="002667A4" w:rsidRPr="008B62B8">
        <w:rPr>
          <w:lang w:val="fr-CA"/>
        </w:rPr>
        <w:t xml:space="preserve"> </w:t>
      </w:r>
      <w:r w:rsidRPr="008B62B8">
        <w:rPr>
          <w:lang w:val="fr-CA"/>
        </w:rPr>
        <w:t xml:space="preserve">De plus, les propos tenus par W ne satisfont à aucune des deux exigences du test établi </w:t>
      </w:r>
      <w:r w:rsidR="00011995" w:rsidRPr="008B62B8">
        <w:rPr>
          <w:lang w:val="fr-CA"/>
        </w:rPr>
        <w:t xml:space="preserve">pour </w:t>
      </w:r>
      <w:r w:rsidRPr="008B62B8">
        <w:rPr>
          <w:lang w:val="fr-CA"/>
        </w:rPr>
        <w:t>résoudre le conflit entre les droits fondamentaux invoqués par les parties. La première exigence du test n’est pas rencontrée</w:t>
      </w:r>
      <w:r w:rsidR="002667A4" w:rsidRPr="008B62B8">
        <w:rPr>
          <w:lang w:val="fr-CA"/>
        </w:rPr>
        <w:t> :</w:t>
      </w:r>
      <w:r w:rsidRPr="008B62B8">
        <w:rPr>
          <w:lang w:val="fr-CA"/>
        </w:rPr>
        <w:t xml:space="preserve"> une personne raisonnable informée des circonstances pertinentes ne considérerait pas que les propos de W visant G incitent à </w:t>
      </w:r>
      <w:r w:rsidR="00C27718" w:rsidRPr="008B62B8">
        <w:rPr>
          <w:lang w:val="fr-CA"/>
        </w:rPr>
        <w:t xml:space="preserve">le </w:t>
      </w:r>
      <w:r w:rsidRPr="008B62B8">
        <w:rPr>
          <w:lang w:val="fr-CA"/>
        </w:rPr>
        <w:t>mépriser ou à détester son humanité pour un motif de distinction illicite. Situés dans leur contexte, ses propos ne peuvent être pris au premier degré.</w:t>
      </w:r>
      <w:r w:rsidR="002667A4" w:rsidRPr="008B62B8">
        <w:rPr>
          <w:lang w:val="fr-CA"/>
        </w:rPr>
        <w:t xml:space="preserve"> </w:t>
      </w:r>
      <w:r w:rsidRPr="008B62B8">
        <w:rPr>
          <w:lang w:val="fr-CA"/>
        </w:rPr>
        <w:t>La seconde exigence du test n’est pas rencontrée non plus</w:t>
      </w:r>
      <w:r w:rsidR="002667A4" w:rsidRPr="008B62B8">
        <w:rPr>
          <w:lang w:val="fr-CA"/>
        </w:rPr>
        <w:t> :</w:t>
      </w:r>
      <w:r w:rsidRPr="008B62B8">
        <w:rPr>
          <w:lang w:val="fr-CA"/>
        </w:rPr>
        <w:t xml:space="preserve"> une personne raisonnable ne pourrait considérer que les propos tenus par W, situés dans leur contexte, peuvent vraisemblablement avoir pour effet de mener au traitement discriminatoire de G. Les propos litigieux exploitent, à tort ou à raison, un malaise en vue de divertir, mais ils ne font guère plus que cela. La Commission ne satisfait donc pas aux exigences requises pour avoir gain de cause en vertu des </w:t>
      </w:r>
      <w:r w:rsidR="002667A4" w:rsidRPr="008B62B8">
        <w:rPr>
          <w:lang w:val="fr-CA"/>
        </w:rPr>
        <w:t>art. </w:t>
      </w:r>
      <w:r w:rsidRPr="008B62B8">
        <w:rPr>
          <w:lang w:val="fr-CA"/>
        </w:rPr>
        <w:t xml:space="preserve">4 et 10 de la </w:t>
      </w:r>
      <w:r w:rsidRPr="008B62B8">
        <w:rPr>
          <w:i/>
          <w:lang w:val="fr-CA"/>
        </w:rPr>
        <w:t>Charte québécoise</w:t>
      </w:r>
      <w:r w:rsidRPr="008B62B8">
        <w:rPr>
          <w:lang w:val="fr-CA"/>
        </w:rPr>
        <w:t>.</w:t>
      </w:r>
    </w:p>
    <w:p w14:paraId="3D482A7C" w14:textId="07CBD9B7" w:rsidR="00BD43AC" w:rsidRPr="008B62B8" w:rsidRDefault="00BD43AC" w:rsidP="00BD43AC">
      <w:pPr>
        <w:pStyle w:val="ParaNoNdepar-AltN"/>
        <w:numPr>
          <w:ilvl w:val="0"/>
          <w:numId w:val="0"/>
        </w:numPr>
        <w:ind w:firstLine="1170"/>
        <w:rPr>
          <w:rFonts w:cs="Times New Roman"/>
          <w:szCs w:val="24"/>
        </w:rPr>
      </w:pPr>
      <w:r w:rsidRPr="008B62B8">
        <w:rPr>
          <w:rFonts w:cs="Times New Roman"/>
          <w:i/>
          <w:iCs/>
        </w:rPr>
        <w:t>Les</w:t>
      </w:r>
      <w:r w:rsidRPr="008B62B8">
        <w:rPr>
          <w:rFonts w:cs="Times New Roman"/>
          <w:iCs/>
        </w:rPr>
        <w:t xml:space="preserve"> juges</w:t>
      </w:r>
      <w:r w:rsidRPr="008B62B8">
        <w:rPr>
          <w:rFonts w:cs="Times New Roman"/>
          <w:i/>
          <w:iCs/>
        </w:rPr>
        <w:t xml:space="preserve"> </w:t>
      </w:r>
      <w:r w:rsidRPr="008B62B8">
        <w:rPr>
          <w:rFonts w:cs="Times New Roman"/>
          <w:b/>
        </w:rPr>
        <w:t>Abella</w:t>
      </w:r>
      <w:r w:rsidRPr="008B62B8">
        <w:rPr>
          <w:rFonts w:cs="Times New Roman"/>
        </w:rPr>
        <w:t>,</w:t>
      </w:r>
      <w:r w:rsidRPr="008B62B8">
        <w:rPr>
          <w:rFonts w:cs="Times New Roman"/>
          <w:b/>
        </w:rPr>
        <w:t xml:space="preserve"> </w:t>
      </w:r>
      <w:r w:rsidR="00DE049A">
        <w:rPr>
          <w:rFonts w:cs="Times New Roman"/>
        </w:rPr>
        <w:t xml:space="preserve">Karakatsanis, Martin et </w:t>
      </w:r>
      <w:r w:rsidRPr="008B62B8">
        <w:rPr>
          <w:rFonts w:cs="Times New Roman"/>
          <w:b/>
          <w:bCs/>
        </w:rPr>
        <w:t>Kasirer</w:t>
      </w:r>
      <w:r w:rsidRPr="008B62B8">
        <w:rPr>
          <w:rFonts w:cs="Times New Roman"/>
        </w:rPr>
        <w:t xml:space="preserve"> (dissidents) : Le pourvoi devrait être rejeté. </w:t>
      </w:r>
      <w:r w:rsidR="006368E7">
        <w:rPr>
          <w:rFonts w:cs="Times New Roman"/>
        </w:rPr>
        <w:t xml:space="preserve">Cette </w:t>
      </w:r>
      <w:r w:rsidRPr="008B62B8">
        <w:rPr>
          <w:rFonts w:cs="Times New Roman"/>
        </w:rPr>
        <w:t>affaire concerne le droit des personnes vulnérables et marginalisées, particulièrement les enfants handicapés, de ne pas être l’objet d’humiliation, de cruauté, d’intimidation et de dénigrement publics les ciblant de façon particulière sur la base de leur handicap, ainsi que l’atteinte dévastatrice à leur dignité qui en résulte</w:t>
      </w:r>
      <w:r w:rsidRPr="008B62B8">
        <w:rPr>
          <w:rFonts w:cs="Times New Roman"/>
          <w:szCs w:val="24"/>
        </w:rPr>
        <w:t>. La question en litige consiste à décider si un enfant handicapé a perdu sa protection contre la discrimination et le droit de ne pas être l’objet d’humiliation et d’intimidation publiques du seul fait qu’il est bien connu.</w:t>
      </w:r>
    </w:p>
    <w:p w14:paraId="1492B336" w14:textId="4FBEB3D0" w:rsidR="00BD43AC" w:rsidRPr="008B62B8" w:rsidRDefault="00DE049A" w:rsidP="00BD43AC">
      <w:pPr>
        <w:pStyle w:val="SCCNormalDoubleSpacing"/>
        <w:spacing w:before="480" w:after="480"/>
        <w:rPr>
          <w:lang w:val="fr-CA"/>
        </w:rPr>
      </w:pPr>
      <w:r>
        <w:rPr>
          <w:lang w:val="fr-CA"/>
        </w:rPr>
        <w:tab/>
        <w:t xml:space="preserve">Les blagues de </w:t>
      </w:r>
      <w:r w:rsidR="00BD43AC" w:rsidRPr="008B62B8">
        <w:rPr>
          <w:lang w:val="fr-CA"/>
        </w:rPr>
        <w:t>W au sujet de G, qui avait entre 10 et 13 ans, étaient des insultes péjoratives basées sur le handicap de ce dernier. W a qualifié G de « pas beau qui chante », et il s’est moqué de lui en disant qu’il était incapable de fermer sa bouche au complet et qu’il avait un « sub-woofer » (une caisse de son) sur la tête en décrivant un appareil auditif. Ses blagues sur sa tentative de noyer G s’inspiraient de stéréotypes pernicieux voulant que les personnes handicapées soient des objets de pitié et des fardeaux pour la société dont on peut se débarrasser. W a présenté son spectacle d’humour à 230 reprises, devant plus de 100 000 personnes au total, et il a vendu plus de 7 500 exemplaires du DVD de ce spectacle. Ses capsules vidéo sont demeurées accessibles à toutes et à tous sur son site Web pendant un an, en plus d’être mises à la disposition des intéressés sur d’autres plateformes sans l’autorisation de W. Chaque fois que les blagues étaient répétées, le préjudice causé à G se répétait. Les propos de W étaient à ce point répandus que G ne pouvait pas les ignorer. Ses camarades de classe non plus. Les blagues de W l’ont suivi à l’école, où d’autres enfants répétaient les insultes et exacerbaient la moquerie. Il s’agissait là d’une conséquence directe de la distribution à grande échelle par W, une personnalité bien connue au Québec, de ses numéros à propos de G. Cela doit être considéré comme un facteur dans l’examen de la question de savoir si les commentaires de W étaient susceptibles de causer un préjudice sérieux à une personne raisonnable dans la situation de G. Les propos de W ont causé de l’angoisse à G et l’ont poussé à s’isoler de ses pairs et même à avoir des pensées suicidaires. Les propos formulés par W au sujet du handicap de G, tant dans les représentations devant public que sur Internet, constituaient une atteinte discriminatoire au droit de ce dernier à la dignité, à l’honneur et à la réputation.</w:t>
      </w:r>
    </w:p>
    <w:p w14:paraId="5AF1E220" w14:textId="21A4C920" w:rsidR="00BD43AC" w:rsidRPr="008B62B8" w:rsidRDefault="00BD43AC" w:rsidP="00BD43AC">
      <w:pPr>
        <w:pStyle w:val="SCCNormalDoubleSpacing"/>
        <w:spacing w:before="480" w:after="480"/>
        <w:rPr>
          <w:lang w:val="fr-CA"/>
        </w:rPr>
      </w:pPr>
      <w:r w:rsidRPr="008B62B8">
        <w:rPr>
          <w:lang w:val="fr-CA"/>
        </w:rPr>
        <w:tab/>
      </w:r>
      <w:r w:rsidRPr="008B62B8">
        <w:rPr>
          <w:szCs w:val="24"/>
          <w:lang w:val="fr-CA"/>
        </w:rPr>
        <w:t xml:space="preserve">La disposition en cause en l’espèce est l’art. 10 de la </w:t>
      </w:r>
      <w:r w:rsidRPr="008B62B8">
        <w:rPr>
          <w:i/>
          <w:szCs w:val="24"/>
          <w:lang w:val="fr-CA"/>
        </w:rPr>
        <w:t>Charte</w:t>
      </w:r>
      <w:r w:rsidRPr="008B62B8">
        <w:rPr>
          <w:szCs w:val="24"/>
          <w:lang w:val="fr-CA"/>
        </w:rPr>
        <w:t xml:space="preserve"> </w:t>
      </w:r>
      <w:r w:rsidRPr="00992BCA">
        <w:rPr>
          <w:i/>
          <w:szCs w:val="24"/>
          <w:lang w:val="fr-CA"/>
        </w:rPr>
        <w:t>québécoise</w:t>
      </w:r>
      <w:r w:rsidRPr="008B62B8">
        <w:rPr>
          <w:szCs w:val="24"/>
          <w:lang w:val="fr-CA"/>
        </w:rPr>
        <w:t>, qui protège l’exercice, en pleine égalité, d’autres droits et libertés individuels, y compris le droit d’une personne à la sauvegarde de sa dignité. Cette disposition sert à protéger les gens contre des propos discriminatoires tellement préjudiciables qu’une personne raisonnable se trouvant dans leur situation refuserait de les tolérer.</w:t>
      </w:r>
      <w:r w:rsidRPr="008B62B8">
        <w:rPr>
          <w:lang w:val="fr-CA"/>
        </w:rPr>
        <w:t xml:space="preserve"> Pour déterminer si des propos constituent de la discrimination, il faut appliquer le même cadre d’analyse que celui utilisé dans le contexte d’autres recours en discrimination fondés sur l’art. 10 de</w:t>
      </w:r>
      <w:r w:rsidRPr="008B62B8">
        <w:rPr>
          <w:szCs w:val="24"/>
          <w:lang w:val="fr-CA"/>
        </w:rPr>
        <w:t xml:space="preserve"> la </w:t>
      </w:r>
      <w:r w:rsidRPr="008B62B8">
        <w:rPr>
          <w:i/>
          <w:szCs w:val="24"/>
          <w:lang w:val="fr-CA"/>
        </w:rPr>
        <w:t>Charte</w:t>
      </w:r>
      <w:r w:rsidRPr="008B62B8">
        <w:rPr>
          <w:szCs w:val="24"/>
          <w:lang w:val="fr-CA"/>
        </w:rPr>
        <w:t xml:space="preserve"> </w:t>
      </w:r>
      <w:r w:rsidRPr="00992BCA">
        <w:rPr>
          <w:i/>
          <w:szCs w:val="24"/>
          <w:lang w:val="fr-CA"/>
        </w:rPr>
        <w:t>québécoise</w:t>
      </w:r>
      <w:r w:rsidRPr="008B62B8">
        <w:rPr>
          <w:lang w:val="fr-CA"/>
        </w:rPr>
        <w:t xml:space="preserve">. En l’espèce, l’atteinte à l’exercice en pleine égalité du droit à la dignité </w:t>
      </w:r>
      <w:r w:rsidR="006368E7">
        <w:rPr>
          <w:lang w:val="fr-CA"/>
        </w:rPr>
        <w:t xml:space="preserve">causée par </w:t>
      </w:r>
      <w:r w:rsidR="00937174">
        <w:rPr>
          <w:lang w:val="fr-CA"/>
        </w:rPr>
        <w:t>d</w:t>
      </w:r>
      <w:r w:rsidRPr="008B62B8">
        <w:rPr>
          <w:lang w:val="fr-CA"/>
        </w:rPr>
        <w:t>es moqueries largement diffusées visant un enfant handicapé</w:t>
      </w:r>
      <w:r w:rsidR="00937174">
        <w:rPr>
          <w:lang w:val="fr-CA"/>
        </w:rPr>
        <w:t xml:space="preserve"> et </w:t>
      </w:r>
      <w:r w:rsidRPr="008B62B8">
        <w:rPr>
          <w:lang w:val="fr-CA"/>
        </w:rPr>
        <w:t>soulevant des idées déshumanisantes liées à son handicap, satisfait au critère de la gravité suffisante.</w:t>
      </w:r>
      <w:r w:rsidRPr="008B62B8">
        <w:rPr>
          <w:szCs w:val="24"/>
          <w:lang w:val="fr-CA"/>
        </w:rPr>
        <w:t xml:space="preserve"> Cette atteinte à l’exercice en pleine égalité du droit à la dignité n’est pas justifiée par la liberté d’expression de W.</w:t>
      </w:r>
      <w:r w:rsidRPr="008B62B8">
        <w:rPr>
          <w:lang w:val="fr-CA"/>
        </w:rPr>
        <w:t xml:space="preserve"> Les propos de W entraînent une violation du droit à l’exercice, en pleine égalité, du droit à la sauvegarde de la dignité consacré par la </w:t>
      </w:r>
      <w:r w:rsidRPr="008B62B8">
        <w:rPr>
          <w:i/>
          <w:lang w:val="fr-CA"/>
        </w:rPr>
        <w:t xml:space="preserve">Charte </w:t>
      </w:r>
      <w:r w:rsidRPr="00992BCA">
        <w:rPr>
          <w:i/>
          <w:lang w:val="fr-CA"/>
        </w:rPr>
        <w:t>québécoise</w:t>
      </w:r>
      <w:r w:rsidRPr="008B62B8">
        <w:rPr>
          <w:lang w:val="fr-CA"/>
        </w:rPr>
        <w:t>.</w:t>
      </w:r>
    </w:p>
    <w:p w14:paraId="0C7CD8B8" w14:textId="33BF77AB" w:rsidR="00BD43AC" w:rsidRPr="008B62B8" w:rsidRDefault="00BD43AC" w:rsidP="00BD43AC">
      <w:pPr>
        <w:pStyle w:val="SCCNormalDoubleSpacing"/>
        <w:spacing w:before="480" w:after="480"/>
        <w:rPr>
          <w:lang w:val="fr-CA"/>
        </w:rPr>
      </w:pPr>
      <w:r w:rsidRPr="008B62B8">
        <w:rPr>
          <w:lang w:val="fr-CA"/>
        </w:rPr>
        <w:tab/>
        <w:t xml:space="preserve">Le cadre d’analyse applicable en cas de recours en discrimination fondés sur l’art. 10 de la </w:t>
      </w:r>
      <w:r w:rsidRPr="008B62B8">
        <w:rPr>
          <w:i/>
          <w:lang w:val="fr-CA"/>
        </w:rPr>
        <w:t xml:space="preserve">Charte </w:t>
      </w:r>
      <w:r w:rsidRPr="00992BCA">
        <w:rPr>
          <w:i/>
          <w:lang w:val="fr-CA"/>
        </w:rPr>
        <w:t>québécoise</w:t>
      </w:r>
      <w:r w:rsidRPr="008B62B8">
        <w:rPr>
          <w:lang w:val="fr-CA"/>
        </w:rPr>
        <w:t xml:space="preserve"> a été confirmé par la Cour dans l’arrêt </w:t>
      </w:r>
      <w:r w:rsidRPr="008B62B8">
        <w:rPr>
          <w:i/>
          <w:lang w:val="fr-CA"/>
        </w:rPr>
        <w:t>Québec (Commission des droits de la personne et des droits de la jeunesse) c. Bombardier Inc. (Bombardier Aéronautique Centre de formation)</w:t>
      </w:r>
      <w:r w:rsidRPr="008B62B8">
        <w:rPr>
          <w:lang w:val="fr-CA"/>
        </w:rPr>
        <w:t>,</w:t>
      </w:r>
      <w:r w:rsidR="00DE049A">
        <w:rPr>
          <w:lang w:val="fr-CA"/>
        </w:rPr>
        <w:t xml:space="preserve"> 2015 CSC 39,</w:t>
      </w:r>
      <w:r w:rsidRPr="008B62B8">
        <w:rPr>
          <w:lang w:val="fr-CA"/>
        </w:rPr>
        <w:t xml:space="preserve"> [2015] 2 R.C.S. 789. La démarche en matière de discrimination visée par la </w:t>
      </w:r>
      <w:r w:rsidRPr="008B62B8">
        <w:rPr>
          <w:i/>
          <w:lang w:val="fr-CA"/>
        </w:rPr>
        <w:t>Charte</w:t>
      </w:r>
      <w:r w:rsidRPr="008B62B8">
        <w:rPr>
          <w:lang w:val="fr-CA"/>
        </w:rPr>
        <w:t xml:space="preserve"> </w:t>
      </w:r>
      <w:r w:rsidRPr="00992BCA">
        <w:rPr>
          <w:i/>
          <w:lang w:val="fr-CA"/>
        </w:rPr>
        <w:t>québécoise</w:t>
      </w:r>
      <w:r w:rsidRPr="008B62B8">
        <w:rPr>
          <w:lang w:val="fr-CA"/>
        </w:rPr>
        <w:t xml:space="preserve">, </w:t>
      </w:r>
      <w:r w:rsidR="00AB639B">
        <w:rPr>
          <w:lang w:val="fr-CA"/>
        </w:rPr>
        <w:t xml:space="preserve">démarche </w:t>
      </w:r>
      <w:r w:rsidRPr="008B62B8">
        <w:rPr>
          <w:lang w:val="fr-CA"/>
        </w:rPr>
        <w:t xml:space="preserve">qui est compatible </w:t>
      </w:r>
      <w:r w:rsidR="00AB639B">
        <w:rPr>
          <w:lang w:val="fr-CA"/>
        </w:rPr>
        <w:t xml:space="preserve">avec </w:t>
      </w:r>
      <w:r w:rsidRPr="008B62B8">
        <w:rPr>
          <w:lang w:val="fr-CA"/>
        </w:rPr>
        <w:t xml:space="preserve">l’analyse </w:t>
      </w:r>
      <w:r w:rsidR="009F0E99">
        <w:rPr>
          <w:lang w:val="fr-CA"/>
        </w:rPr>
        <w:t xml:space="preserve">appliquée par </w:t>
      </w:r>
      <w:r w:rsidR="009F0E99" w:rsidRPr="008B62B8">
        <w:rPr>
          <w:lang w:val="fr-CA"/>
        </w:rPr>
        <w:t xml:space="preserve">la Cour </w:t>
      </w:r>
      <w:r w:rsidR="00AB639B">
        <w:rPr>
          <w:lang w:val="fr-CA"/>
        </w:rPr>
        <w:t xml:space="preserve">en matière de </w:t>
      </w:r>
      <w:r w:rsidR="00AB639B" w:rsidRPr="008B62B8">
        <w:rPr>
          <w:lang w:val="fr-CA"/>
        </w:rPr>
        <w:t xml:space="preserve">discrimination </w:t>
      </w:r>
      <w:r w:rsidRPr="008B62B8">
        <w:rPr>
          <w:lang w:val="fr-CA"/>
        </w:rPr>
        <w:t xml:space="preserve">partout au pays, consiste à se demander, à la première étape, si une preuve </w:t>
      </w:r>
      <w:r w:rsidRPr="008B62B8">
        <w:rPr>
          <w:iCs/>
          <w:lang w:val="fr-CA"/>
        </w:rPr>
        <w:t xml:space="preserve">de </w:t>
      </w:r>
      <w:r w:rsidRPr="008B62B8">
        <w:rPr>
          <w:lang w:val="fr-CA"/>
        </w:rPr>
        <w:t xml:space="preserve">discrimination </w:t>
      </w:r>
      <w:r w:rsidRPr="008B62B8">
        <w:rPr>
          <w:i/>
          <w:lang w:val="fr-CA"/>
        </w:rPr>
        <w:t xml:space="preserve">prima facie </w:t>
      </w:r>
      <w:r w:rsidRPr="008B62B8">
        <w:rPr>
          <w:lang w:val="fr-CA"/>
        </w:rPr>
        <w:t xml:space="preserve">a été établie, et, à la seconde, si la conduite était justifiée. </w:t>
      </w:r>
    </w:p>
    <w:p w14:paraId="2C92BE52" w14:textId="1E42FF2B" w:rsidR="00BD43AC" w:rsidRPr="008B62B8" w:rsidRDefault="00BD43AC" w:rsidP="00BD43AC">
      <w:pPr>
        <w:pStyle w:val="SCCNormalDoubleSpacing"/>
        <w:spacing w:before="480" w:after="480"/>
        <w:rPr>
          <w:lang w:val="fr-CA"/>
        </w:rPr>
      </w:pPr>
      <w:r w:rsidRPr="008B62B8">
        <w:rPr>
          <w:lang w:val="fr-CA"/>
        </w:rPr>
        <w:tab/>
        <w:t>À la première étape,</w:t>
      </w:r>
      <w:r w:rsidRPr="008B62B8">
        <w:rPr>
          <w:rStyle w:val="SCCLawFirmChar"/>
          <w:szCs w:val="24"/>
          <w:lang w:val="fr-CA"/>
        </w:rPr>
        <w:t xml:space="preserve"> </w:t>
      </w:r>
      <w:r w:rsidRPr="008B62B8">
        <w:rPr>
          <w:rStyle w:val="subsection"/>
          <w:szCs w:val="24"/>
          <w:lang w:val="fr-CA"/>
        </w:rPr>
        <w:t xml:space="preserve">le plaignant doit établir que l’exercice d’une liberté ou d’un droit garanti par la </w:t>
      </w:r>
      <w:r w:rsidRPr="008B62B8">
        <w:rPr>
          <w:rStyle w:val="subsection"/>
          <w:i/>
          <w:szCs w:val="24"/>
          <w:lang w:val="fr-CA"/>
        </w:rPr>
        <w:t>Charte</w:t>
      </w:r>
      <w:r w:rsidRPr="008B62B8">
        <w:rPr>
          <w:rStyle w:val="subsection"/>
          <w:szCs w:val="24"/>
          <w:lang w:val="fr-CA"/>
        </w:rPr>
        <w:t xml:space="preserve"> </w:t>
      </w:r>
      <w:r w:rsidRPr="00992BCA">
        <w:rPr>
          <w:rStyle w:val="subsection"/>
          <w:i/>
          <w:iCs/>
          <w:szCs w:val="24"/>
          <w:lang w:val="fr-CA"/>
        </w:rPr>
        <w:t>québécoise</w:t>
      </w:r>
      <w:r w:rsidRPr="008B62B8">
        <w:rPr>
          <w:rStyle w:val="subsection"/>
          <w:iCs/>
          <w:szCs w:val="24"/>
          <w:lang w:val="fr-CA"/>
        </w:rPr>
        <w:t>, autre que l’égalité, a été compromis de façon discriminatoire.</w:t>
      </w:r>
      <w:r w:rsidRPr="008B62B8">
        <w:rPr>
          <w:lang w:val="fr-CA"/>
        </w:rPr>
        <w:t xml:space="preserve"> Le fardeau qui incombe au plaignant </w:t>
      </w:r>
      <w:r w:rsidR="009A256C">
        <w:rPr>
          <w:lang w:val="fr-CA"/>
        </w:rPr>
        <w:t xml:space="preserve">se limite à démontrer l’existence d’un </w:t>
      </w:r>
      <w:r w:rsidRPr="008B62B8">
        <w:rPr>
          <w:lang w:val="fr-CA"/>
        </w:rPr>
        <w:t xml:space="preserve">préjudice et </w:t>
      </w:r>
      <w:r w:rsidR="009A256C">
        <w:rPr>
          <w:lang w:val="fr-CA"/>
        </w:rPr>
        <w:t xml:space="preserve">d’un lien entre ce préjudice et </w:t>
      </w:r>
      <w:r w:rsidRPr="008B62B8">
        <w:rPr>
          <w:lang w:val="fr-CA"/>
        </w:rPr>
        <w:t>un motif de discrimination prohibé. Le plaignant n’a pas à</w:t>
      </w:r>
      <w:r w:rsidRPr="008B62B8">
        <w:rPr>
          <w:rStyle w:val="SCCLawFirmChar"/>
          <w:iCs/>
          <w:szCs w:val="24"/>
          <w:lang w:val="fr-CA"/>
        </w:rPr>
        <w:t xml:space="preserve"> </w:t>
      </w:r>
      <w:r w:rsidRPr="008B62B8">
        <w:rPr>
          <w:rStyle w:val="subsection"/>
          <w:iCs/>
          <w:szCs w:val="24"/>
          <w:lang w:val="fr-CA"/>
        </w:rPr>
        <w:t>établir que la liberté ou le droit en question a été violé de façon indépendante</w:t>
      </w:r>
      <w:r w:rsidRPr="008B62B8">
        <w:rPr>
          <w:lang w:val="fr-CA"/>
        </w:rPr>
        <w:t>. Il y aura distinction fondée sur un motif interdit chaque fois qu’un plaignant se voit imposer un fardeau que d’autres n’ont pas, en raison d’une caractéristique personnelle correspondant à un motif énuméré. Le fait de proférer une insulte ouvertement discriminatoire constitue une distinction, exclusion ou préférence fondée sur un motif énuméré, tandis que des propos qui ne sont pas des insultes explicites peuvent constituer de la discrimination eu égard à la façon dont une personne faisant partie du groupe marginalisé en cause les comprendrait. Un traitement uniforme qui ne fait pas de place aux différences peut également constituer une distinction interdite. La question de savoir si, dans un cas donné, il y a distinction fondée sur un motif énuméré à l’art. 10 est une question mixte de fait et de droit qui commande la déférence en appel.</w:t>
      </w:r>
    </w:p>
    <w:p w14:paraId="149C2177" w14:textId="77777777" w:rsidR="00BD43AC" w:rsidRPr="008B62B8" w:rsidRDefault="00BD43AC" w:rsidP="00BD43AC">
      <w:pPr>
        <w:pStyle w:val="SCCNormalDoubleSpacing"/>
        <w:spacing w:before="480" w:after="480"/>
        <w:rPr>
          <w:lang w:val="fr-CA"/>
        </w:rPr>
      </w:pPr>
      <w:r w:rsidRPr="008B62B8">
        <w:rPr>
          <w:lang w:val="fr-CA"/>
        </w:rPr>
        <w:tab/>
        <w:t xml:space="preserve">Si le plaignant est en mesure d’établir qu’il y a discrimination </w:t>
      </w:r>
      <w:r w:rsidRPr="008B62B8">
        <w:rPr>
          <w:i/>
          <w:lang w:val="fr-CA"/>
        </w:rPr>
        <w:t xml:space="preserve">prima facie </w:t>
      </w:r>
      <w:r w:rsidRPr="008B62B8">
        <w:rPr>
          <w:lang w:val="fr-CA"/>
        </w:rPr>
        <w:t>selon la prépondérance des probabilités, le défendeur a le droit de présenter une défense ou une justification. À cette seconde étape, le fardeau de la preuve est transféré au défendeur, qui doit alors justifier sa décision ou sa conduite en invoquant les exemptions prévues par la loi sur les droits de la personne applicable ou celles développées par la jurisprudence.</w:t>
      </w:r>
    </w:p>
    <w:p w14:paraId="44BC8542" w14:textId="01EECE9C" w:rsidR="00BD43AC" w:rsidRPr="008B62B8" w:rsidRDefault="00BD43AC" w:rsidP="00BD43AC">
      <w:pPr>
        <w:pStyle w:val="SCCNormalDoubleSpacing"/>
        <w:spacing w:before="480" w:after="480"/>
        <w:rPr>
          <w:lang w:val="fr-CA"/>
        </w:rPr>
      </w:pPr>
      <w:r w:rsidRPr="008B62B8">
        <w:rPr>
          <w:lang w:val="fr-CA"/>
        </w:rPr>
        <w:t xml:space="preserve"> </w:t>
      </w:r>
      <w:r w:rsidRPr="008B62B8">
        <w:rPr>
          <w:lang w:val="fr-CA"/>
        </w:rPr>
        <w:tab/>
      </w:r>
      <w:r w:rsidR="003A1A95">
        <w:rPr>
          <w:lang w:val="fr-CA"/>
        </w:rPr>
        <w:t xml:space="preserve">Puisque </w:t>
      </w:r>
      <w:r w:rsidRPr="008B62B8">
        <w:rPr>
          <w:lang w:val="fr-CA"/>
        </w:rPr>
        <w:t>ni la</w:t>
      </w:r>
      <w:r w:rsidRPr="008B62B8">
        <w:rPr>
          <w:i/>
          <w:lang w:val="fr-CA"/>
        </w:rPr>
        <w:t xml:space="preserve"> Charte </w:t>
      </w:r>
      <w:r w:rsidRPr="00992BCA">
        <w:rPr>
          <w:i/>
          <w:lang w:val="fr-CA"/>
        </w:rPr>
        <w:t>canadienne</w:t>
      </w:r>
      <w:r w:rsidRPr="008B62B8">
        <w:rPr>
          <w:lang w:val="fr-CA"/>
        </w:rPr>
        <w:t xml:space="preserve"> ni la</w:t>
      </w:r>
      <w:r w:rsidRPr="008B62B8">
        <w:rPr>
          <w:i/>
          <w:lang w:val="fr-CA"/>
        </w:rPr>
        <w:t xml:space="preserve"> Charte</w:t>
      </w:r>
      <w:r w:rsidRPr="008B62B8">
        <w:rPr>
          <w:lang w:val="fr-CA"/>
        </w:rPr>
        <w:t xml:space="preserve"> </w:t>
      </w:r>
      <w:r w:rsidRPr="00992BCA">
        <w:rPr>
          <w:i/>
          <w:lang w:val="fr-CA"/>
        </w:rPr>
        <w:t xml:space="preserve">québécoise </w:t>
      </w:r>
      <w:r w:rsidRPr="008B62B8">
        <w:rPr>
          <w:lang w:val="fr-CA"/>
        </w:rPr>
        <w:t>ne font des propos haineux le seuil à partir duquel des commentaires discriminatoires peuvent donner ouverture à un recours,</w:t>
      </w:r>
      <w:r w:rsidRPr="008B62B8">
        <w:rPr>
          <w:szCs w:val="24"/>
          <w:lang w:val="fr-CA"/>
        </w:rPr>
        <w:t xml:space="preserve"> </w:t>
      </w:r>
      <w:r w:rsidRPr="008B62B8">
        <w:rPr>
          <w:lang w:val="fr-CA"/>
        </w:rPr>
        <w:t>rien dans la Constitution n’empêche d’intenter un recours en justice dans de</w:t>
      </w:r>
      <w:r w:rsidR="003A1A95">
        <w:rPr>
          <w:lang w:val="fr-CA"/>
        </w:rPr>
        <w:t>s</w:t>
      </w:r>
      <w:r w:rsidRPr="008B62B8">
        <w:rPr>
          <w:lang w:val="fr-CA"/>
        </w:rPr>
        <w:t xml:space="preserve"> situations mettant en cause des propos qui peuvent causer un préjudice individuel sans pour autant être haineux. C’est le cas, par exemple, en ce qui concerne le harcèlement, la diffamation et le droit d’une personne à la sauvegarde de sa dignité, de son honneur et de sa réputation prévu à l’art. 4 de la </w:t>
      </w:r>
      <w:r w:rsidRPr="008B62B8">
        <w:rPr>
          <w:i/>
          <w:lang w:val="fr-CA"/>
        </w:rPr>
        <w:t>Charte</w:t>
      </w:r>
      <w:r w:rsidRPr="008B62B8">
        <w:rPr>
          <w:lang w:val="fr-CA"/>
        </w:rPr>
        <w:t xml:space="preserve"> </w:t>
      </w:r>
      <w:r w:rsidRPr="00992BCA">
        <w:rPr>
          <w:i/>
          <w:lang w:val="fr-CA"/>
        </w:rPr>
        <w:t>québécoise</w:t>
      </w:r>
      <w:r w:rsidRPr="008B62B8">
        <w:rPr>
          <w:lang w:val="fr-CA"/>
        </w:rPr>
        <w:t xml:space="preserve">. L’article 10 de la </w:t>
      </w:r>
      <w:r w:rsidRPr="008B62B8">
        <w:rPr>
          <w:i/>
          <w:lang w:val="fr-CA"/>
        </w:rPr>
        <w:t>Charte</w:t>
      </w:r>
      <w:r w:rsidRPr="008B62B8">
        <w:rPr>
          <w:lang w:val="fr-CA"/>
        </w:rPr>
        <w:t xml:space="preserve"> </w:t>
      </w:r>
      <w:r w:rsidRPr="00992BCA">
        <w:rPr>
          <w:i/>
          <w:lang w:val="fr-CA"/>
        </w:rPr>
        <w:t>québécoise</w:t>
      </w:r>
      <w:r w:rsidRPr="008B62B8">
        <w:rPr>
          <w:lang w:val="fr-CA"/>
        </w:rPr>
        <w:t xml:space="preserve"> impose également une limite </w:t>
      </w:r>
      <w:r w:rsidRPr="008B62B8">
        <w:rPr>
          <w:i/>
          <w:lang w:val="fr-CA"/>
        </w:rPr>
        <w:t>prima facie</w:t>
      </w:r>
      <w:r w:rsidRPr="008B62B8">
        <w:rPr>
          <w:lang w:val="fr-CA"/>
        </w:rPr>
        <w:t xml:space="preserve"> à la liberté garantie par l’al. 2b) de la </w:t>
      </w:r>
      <w:r w:rsidRPr="008B62B8">
        <w:rPr>
          <w:i/>
          <w:lang w:val="fr-CA"/>
        </w:rPr>
        <w:t>Charte</w:t>
      </w:r>
      <w:r w:rsidRPr="008B62B8">
        <w:rPr>
          <w:lang w:val="fr-CA"/>
        </w:rPr>
        <w:t xml:space="preserve"> </w:t>
      </w:r>
      <w:r w:rsidRPr="00992BCA">
        <w:rPr>
          <w:i/>
          <w:lang w:val="fr-CA"/>
        </w:rPr>
        <w:t>canadienne</w:t>
      </w:r>
      <w:r w:rsidRPr="008B62B8">
        <w:rPr>
          <w:lang w:val="fr-CA"/>
        </w:rPr>
        <w:t xml:space="preserve"> en interdisant les propos qui empêchent l’exercice, en pleine égalité, du droit à la sauvegarde de la dignité, de l’honneur et de la réputation. </w:t>
      </w:r>
    </w:p>
    <w:p w14:paraId="0F510334" w14:textId="77777777" w:rsidR="00BD43AC" w:rsidRPr="008B62B8" w:rsidRDefault="00BD43AC" w:rsidP="00BD43AC">
      <w:pPr>
        <w:pStyle w:val="SCCNormalDoubleSpacing"/>
        <w:spacing w:before="480" w:after="480"/>
        <w:rPr>
          <w:lang w:val="fr-CA"/>
        </w:rPr>
      </w:pPr>
      <w:r w:rsidRPr="008B62B8">
        <w:rPr>
          <w:lang w:val="fr-CA"/>
        </w:rPr>
        <w:tab/>
        <w:t xml:space="preserve">L’objectif législatif qui sous-tend l’art. 10 est intrinsèquement lié aux autres droits et libertés individuels garantis par la </w:t>
      </w:r>
      <w:r w:rsidRPr="008B62B8">
        <w:rPr>
          <w:i/>
          <w:iCs/>
          <w:lang w:val="fr-CA"/>
        </w:rPr>
        <w:t>Charte</w:t>
      </w:r>
      <w:r w:rsidRPr="008B62B8">
        <w:rPr>
          <w:lang w:val="fr-CA"/>
        </w:rPr>
        <w:t xml:space="preserve"> </w:t>
      </w:r>
      <w:r w:rsidRPr="00992BCA">
        <w:rPr>
          <w:i/>
          <w:lang w:val="fr-CA"/>
        </w:rPr>
        <w:t>québécoise</w:t>
      </w:r>
      <w:r w:rsidRPr="008B62B8">
        <w:rPr>
          <w:lang w:val="fr-CA"/>
        </w:rPr>
        <w:t xml:space="preserve">. Il ne se limite pas à prévenir les préjudices collectifs et la perpétuation d’attitudes discriminatoires au sein du public en général. Cet article ne peut donc pas être interprété par référence aux principes qui régissent la constitutionnalité d’une disposition différente ayant un objectif différent, telle la disposition litigieuse dans l’arrêt </w:t>
      </w:r>
      <w:r w:rsidRPr="008B62B8">
        <w:rPr>
          <w:i/>
          <w:lang w:val="fr-CA"/>
        </w:rPr>
        <w:t>Whatcott</w:t>
      </w:r>
      <w:r w:rsidRPr="008B62B8">
        <w:rPr>
          <w:lang w:val="fr-CA"/>
        </w:rPr>
        <w:t xml:space="preserve">, une affaire de propos haineux. L’arrêt </w:t>
      </w:r>
      <w:r w:rsidRPr="008B62B8">
        <w:rPr>
          <w:i/>
          <w:lang w:val="fr-CA"/>
        </w:rPr>
        <w:t xml:space="preserve">Whatcott </w:t>
      </w:r>
      <w:r w:rsidRPr="008B62B8">
        <w:rPr>
          <w:iCs/>
          <w:lang w:val="fr-CA"/>
        </w:rPr>
        <w:t xml:space="preserve">n’est pas </w:t>
      </w:r>
      <w:r w:rsidRPr="008B62B8">
        <w:rPr>
          <w:lang w:val="fr-CA"/>
        </w:rPr>
        <w:t xml:space="preserve">la norme appropriée pour trancher le présent pourvoi. Il est reconnu que des propos peuvent causer un préjudice individuel sans pour autant être haineux. La liberté d’expression ne limite pas non plus la faculté qu’ont les décideurs administratifs de se pencher sur des propos préjudiciables qui ne sont pas des propos haineux. </w:t>
      </w:r>
    </w:p>
    <w:p w14:paraId="31F4ADA5" w14:textId="62050881" w:rsidR="00BD43AC" w:rsidRPr="008B62B8" w:rsidRDefault="00BD43AC" w:rsidP="00BD43AC">
      <w:pPr>
        <w:pStyle w:val="SCCNormalDoubleSpacing"/>
        <w:spacing w:before="480" w:after="480"/>
        <w:rPr>
          <w:lang w:val="fr-CA"/>
        </w:rPr>
      </w:pPr>
      <w:r w:rsidRPr="008B62B8">
        <w:rPr>
          <w:lang w:val="fr-CA"/>
        </w:rPr>
        <w:t xml:space="preserve"> </w:t>
      </w:r>
      <w:r w:rsidRPr="008B62B8">
        <w:rPr>
          <w:lang w:val="fr-CA"/>
        </w:rPr>
        <w:tab/>
      </w:r>
      <w:r w:rsidRPr="008B62B8">
        <w:rPr>
          <w:szCs w:val="24"/>
          <w:lang w:val="fr-CA"/>
        </w:rPr>
        <w:t xml:space="preserve">L’article 10 doit continuer à être interprété d’une manière qui permette de s’attaquer à ce type de préjudices individuels, conformément à la norme établie par la Cour d’appel du Québec dans </w:t>
      </w:r>
      <w:r w:rsidRPr="008B62B8">
        <w:rPr>
          <w:i/>
          <w:szCs w:val="24"/>
          <w:lang w:val="fr-CA"/>
        </w:rPr>
        <w:t>Calego International inc. c. Commission des droits de la personne et des droits de la jeunesse</w:t>
      </w:r>
      <w:r w:rsidRPr="008B62B8">
        <w:rPr>
          <w:szCs w:val="24"/>
          <w:lang w:val="fr-CA"/>
        </w:rPr>
        <w:t>, 2013 QCCA 924</w:t>
      </w:r>
      <w:r w:rsidRPr="008B62B8">
        <w:rPr>
          <w:lang w:val="fr-CA"/>
        </w:rPr>
        <w:t xml:space="preserve">, </w:t>
      </w:r>
      <w:r w:rsidRPr="008B62B8">
        <w:rPr>
          <w:szCs w:val="24"/>
          <w:lang w:val="fr-CA"/>
        </w:rPr>
        <w:t>[2013] R.J.D.T. 517.</w:t>
      </w:r>
      <w:r w:rsidRPr="008B62B8">
        <w:rPr>
          <w:lang w:val="fr-CA"/>
        </w:rPr>
        <w:t xml:space="preserve"> Le seuil approprié en matière de propos discriminatoires pour l’application de la </w:t>
      </w:r>
      <w:r w:rsidRPr="008B62B8">
        <w:rPr>
          <w:i/>
          <w:lang w:val="fr-CA"/>
        </w:rPr>
        <w:t xml:space="preserve">Charte </w:t>
      </w:r>
      <w:r w:rsidRPr="00992BCA">
        <w:rPr>
          <w:i/>
          <w:iCs/>
          <w:lang w:val="fr-CA"/>
        </w:rPr>
        <w:t>qu</w:t>
      </w:r>
      <w:r w:rsidRPr="00992BCA">
        <w:rPr>
          <w:i/>
          <w:lang w:val="fr-CA"/>
        </w:rPr>
        <w:t>ébécoise</w:t>
      </w:r>
      <w:r w:rsidRPr="008B62B8">
        <w:rPr>
          <w:lang w:val="fr-CA"/>
        </w:rPr>
        <w:t xml:space="preserve"> est celui qui a été énoncé dans l’arrêt </w:t>
      </w:r>
      <w:r w:rsidRPr="003A1A95">
        <w:rPr>
          <w:rStyle w:val="subsection"/>
          <w:i/>
          <w:lang w:val="fr-CA"/>
        </w:rPr>
        <w:t>Calego</w:t>
      </w:r>
      <w:r w:rsidRPr="008B62B8">
        <w:rPr>
          <w:lang w:val="fr-CA"/>
        </w:rPr>
        <w:t xml:space="preserve">. La question de savoir si des propos compromettent l’exercice, en pleine égalité, du droit à la dignité est décidée suivant un critère objectif, et non subjectif, mais qui tient compte de la situation du plaignant. Seuls les propos adressés à un plaignant qui sont un affront particulièrement méprisant envers son identité raciale, ethnique ou autre, et lourd de conséquences constitueront de la discrimination. Il s’agit d’une analyse factuelle et éminemment contextuelle. Suivant l’arrêt </w:t>
      </w:r>
      <w:r w:rsidRPr="008B62B8">
        <w:rPr>
          <w:i/>
          <w:lang w:val="fr-CA"/>
        </w:rPr>
        <w:t>Calego</w:t>
      </w:r>
      <w:r w:rsidRPr="008B62B8">
        <w:rPr>
          <w:lang w:val="fr-CA"/>
        </w:rPr>
        <w:t xml:space="preserve">, des propos fondés sur un motif énuméré violeront la garantie de l’art. 10 à l’exercice, en pleine égalité, du droit prévu à l’art. 4 à la sauvegarde de la dignité lorsqu’ils constituent un affront si méprisant envers l’identité du plaignant qu’ils auraient des conséquences graves sur une personne raisonnable qui se trouverait dans la situation de cet individu. Cette personne raisonnable serait consciente de l’importance de la liberté d’expression dans une société démocratique, et </w:t>
      </w:r>
      <w:r w:rsidR="003A1A95">
        <w:rPr>
          <w:lang w:val="fr-CA"/>
        </w:rPr>
        <w:t xml:space="preserve">serait </w:t>
      </w:r>
      <w:r w:rsidRPr="008B62B8">
        <w:rPr>
          <w:lang w:val="fr-CA"/>
        </w:rPr>
        <w:t>en conséquence censée tolérer des propos blessants, même liés à des motifs protégés, mais n’atteignant pas un seuil élevé de gravité. Bien que la question de savoir si des propos portent atteinte à la dignité soit évaluée objectivement, l’évaluation doit prendre en compte les caractéristiques particulières du plaignant et tenir compte de l’ensemble du contexte dans lequel les propos sont formulés.</w:t>
      </w:r>
    </w:p>
    <w:p w14:paraId="12B65EEC" w14:textId="00449E43" w:rsidR="00BD43AC" w:rsidRPr="008B62B8" w:rsidRDefault="00BD43AC" w:rsidP="00BD43AC">
      <w:pPr>
        <w:pStyle w:val="SCCNormalDoubleSpacing"/>
        <w:spacing w:before="480" w:after="480"/>
        <w:rPr>
          <w:lang w:val="fr-CA"/>
        </w:rPr>
      </w:pPr>
      <w:r w:rsidRPr="008B62B8">
        <w:rPr>
          <w:lang w:val="fr-CA"/>
        </w:rPr>
        <w:tab/>
        <w:t xml:space="preserve">Lorsque la demande a pour objet une entrave discriminatoire à l’exercice des droits et libertés énoncés dans la </w:t>
      </w:r>
      <w:r w:rsidRPr="008B62B8">
        <w:rPr>
          <w:i/>
          <w:lang w:val="fr-CA"/>
        </w:rPr>
        <w:t>Charte</w:t>
      </w:r>
      <w:r w:rsidRPr="008B62B8">
        <w:rPr>
          <w:lang w:val="fr-CA"/>
        </w:rPr>
        <w:t xml:space="preserve"> </w:t>
      </w:r>
      <w:r w:rsidRPr="00992BCA">
        <w:rPr>
          <w:i/>
          <w:lang w:val="fr-CA"/>
        </w:rPr>
        <w:t>québécoise</w:t>
      </w:r>
      <w:r w:rsidRPr="008B62B8">
        <w:rPr>
          <w:lang w:val="fr-CA"/>
        </w:rPr>
        <w:t xml:space="preserve">, l’art. 10 entre en jeu et le Tribunal des droits de la personne a compétence pour entendre la demande. Bien qu’il y ait ressemblance entre une demande présentée en vertu de l’art. 10 et fondée sur l’exercice, en pleine égalité, du droit à la dignité, et une action en diffamation, étant donné que l’art. 4 de la </w:t>
      </w:r>
      <w:r w:rsidRPr="008B62B8">
        <w:rPr>
          <w:i/>
          <w:lang w:val="fr-CA"/>
        </w:rPr>
        <w:t xml:space="preserve">Charte </w:t>
      </w:r>
      <w:r w:rsidRPr="00992BCA">
        <w:rPr>
          <w:i/>
          <w:lang w:val="fr-CA"/>
        </w:rPr>
        <w:t>québécoise</w:t>
      </w:r>
      <w:r w:rsidRPr="008B62B8">
        <w:rPr>
          <w:lang w:val="fr-CA"/>
        </w:rPr>
        <w:t xml:space="preserve"> entre en jeu dans les deux cas, une action en diffamation ne met pas nécessairement en jeu le droit distinct à la dignité et n’est pas fondée sur l’appartenance du demandeur à un groupe particulier. L</w:t>
      </w:r>
      <w:r w:rsidR="003A1A95">
        <w:rPr>
          <w:lang w:val="fr-CA"/>
        </w:rPr>
        <w:t xml:space="preserve">e recours en </w:t>
      </w:r>
      <w:r w:rsidRPr="008B62B8">
        <w:rPr>
          <w:lang w:val="fr-CA"/>
        </w:rPr>
        <w:t xml:space="preserve">diffamation et </w:t>
      </w:r>
      <w:r w:rsidR="003A1A95">
        <w:rPr>
          <w:lang w:val="fr-CA"/>
        </w:rPr>
        <w:t xml:space="preserve">le recours en </w:t>
      </w:r>
      <w:r w:rsidRPr="008B62B8">
        <w:rPr>
          <w:lang w:val="fr-CA"/>
        </w:rPr>
        <w:t>discrimination visent des violations liées, mais distinctes.</w:t>
      </w:r>
    </w:p>
    <w:p w14:paraId="79643E40" w14:textId="7E7415E3" w:rsidR="00BD43AC" w:rsidRPr="008B62B8" w:rsidRDefault="00BD43AC" w:rsidP="00BD43AC">
      <w:pPr>
        <w:pStyle w:val="SCCNormalDoubleSpacing"/>
        <w:spacing w:before="480" w:after="480"/>
        <w:rPr>
          <w:lang w:val="fr-CA"/>
        </w:rPr>
      </w:pPr>
      <w:r w:rsidRPr="008B62B8">
        <w:rPr>
          <w:lang w:val="fr-CA"/>
        </w:rPr>
        <w:tab/>
        <w:t>L</w:t>
      </w:r>
      <w:r w:rsidRPr="008B62B8">
        <w:rPr>
          <w:szCs w:val="24"/>
          <w:lang w:val="fr-CA"/>
        </w:rPr>
        <w:t>es droits énoncés aux art. 1 à 9</w:t>
      </w:r>
      <w:r w:rsidRPr="008B62B8">
        <w:rPr>
          <w:lang w:val="fr-CA"/>
        </w:rPr>
        <w:t xml:space="preserve"> de la </w:t>
      </w:r>
      <w:r w:rsidRPr="008B62B8">
        <w:rPr>
          <w:i/>
          <w:lang w:val="fr-CA"/>
        </w:rPr>
        <w:t xml:space="preserve">Charte </w:t>
      </w:r>
      <w:r w:rsidRPr="00992BCA">
        <w:rPr>
          <w:i/>
          <w:lang w:val="fr-CA"/>
        </w:rPr>
        <w:t>québécoise</w:t>
      </w:r>
      <w:r w:rsidRPr="008B62B8">
        <w:rPr>
          <w:lang w:val="fr-CA"/>
        </w:rPr>
        <w:t xml:space="preserve"> </w:t>
      </w:r>
      <w:r w:rsidRPr="008B62B8">
        <w:rPr>
          <w:szCs w:val="24"/>
          <w:lang w:val="fr-CA"/>
        </w:rPr>
        <w:t>peuvent être reconnus comme des justifications à la discrimination</w:t>
      </w:r>
      <w:r w:rsidRPr="008B62B8">
        <w:rPr>
          <w:i/>
          <w:szCs w:val="24"/>
          <w:lang w:val="fr-CA"/>
        </w:rPr>
        <w:t xml:space="preserve"> prima facie.</w:t>
      </w:r>
      <w:r w:rsidRPr="008B62B8">
        <w:rPr>
          <w:lang w:val="fr-CA"/>
        </w:rPr>
        <w:t xml:space="preserve"> Généralement, les conflits entre les droits individuels garantis par la </w:t>
      </w:r>
      <w:r w:rsidRPr="008B62B8">
        <w:rPr>
          <w:i/>
          <w:lang w:val="fr-CA"/>
        </w:rPr>
        <w:t xml:space="preserve">Charte </w:t>
      </w:r>
      <w:r w:rsidRPr="00992BCA">
        <w:rPr>
          <w:i/>
          <w:lang w:val="fr-CA"/>
        </w:rPr>
        <w:t>québécoise</w:t>
      </w:r>
      <w:r w:rsidRPr="008B62B8">
        <w:rPr>
          <w:lang w:val="fr-CA"/>
        </w:rPr>
        <w:t xml:space="preserve"> sont résolus par application de l’art. 9.1, lequel requiert la prise en compte des valeurs démocratiques, de l’ordre public et du bien-être général des citoyens du Québec dans la mise en balance des droits.</w:t>
      </w:r>
      <w:r w:rsidRPr="008B62B8">
        <w:rPr>
          <w:szCs w:val="24"/>
          <w:lang w:val="fr-CA"/>
        </w:rPr>
        <w:t xml:space="preserve"> Mettre en équilibre de façon proportionnelle les droits garantis aux gens par la </w:t>
      </w:r>
      <w:r w:rsidRPr="008B62B8">
        <w:rPr>
          <w:i/>
          <w:lang w:val="fr-CA"/>
        </w:rPr>
        <w:t xml:space="preserve">Charte </w:t>
      </w:r>
      <w:r w:rsidRPr="00992BCA">
        <w:rPr>
          <w:i/>
          <w:lang w:val="fr-CA"/>
        </w:rPr>
        <w:t>québécoise</w:t>
      </w:r>
      <w:r w:rsidRPr="008B62B8">
        <w:rPr>
          <w:lang w:val="fr-CA"/>
        </w:rPr>
        <w:t xml:space="preserve"> implique la prise en compte des droits particuliers en cause, des valeurs qui les sous-tendent et des circonstances de l’espèce. En raison de l’art. 9.1, le droit à la liberté </w:t>
      </w:r>
      <w:r w:rsidR="00DE049A">
        <w:rPr>
          <w:lang w:val="fr-CA"/>
        </w:rPr>
        <w:t>d’expression protégé par l’art. </w:t>
      </w:r>
      <w:r w:rsidRPr="008B62B8">
        <w:rPr>
          <w:lang w:val="fr-CA"/>
        </w:rPr>
        <w:t>3, tout comme le droit prévu à l’art. 4, ne peut pas être exercé de manière démesurément préjudiciable ou abusive. Ce n’est qu’en mettant adéquatement en balance le droit du plaignant à la sauvegarde de sa dignité et la liberté d’expression du défendeur que la portée du droit prévu à l’art. 10 à l’exercice, en pleine égalité, du droit à la sauvegarde de la dignité peut être appréciée.</w:t>
      </w:r>
      <w:r w:rsidRPr="008B62B8">
        <w:rPr>
          <w:i/>
          <w:szCs w:val="24"/>
          <w:lang w:val="fr-CA"/>
        </w:rPr>
        <w:t xml:space="preserve"> </w:t>
      </w:r>
      <w:r w:rsidRPr="008B62B8">
        <w:rPr>
          <w:lang w:val="fr-CA"/>
        </w:rPr>
        <w:t xml:space="preserve">La mise en balance requise par l’art. 9.1 se rattache ainsi à la norme exprimée dans </w:t>
      </w:r>
      <w:r w:rsidRPr="008B62B8">
        <w:rPr>
          <w:i/>
          <w:lang w:val="fr-CA"/>
        </w:rPr>
        <w:t>Calego</w:t>
      </w:r>
      <w:r w:rsidRPr="008B62B8">
        <w:rPr>
          <w:lang w:val="fr-CA"/>
        </w:rPr>
        <w:t>, qui est en phase avec la valeur de la liberté d’expression dans la société.</w:t>
      </w:r>
    </w:p>
    <w:p w14:paraId="15B51823" w14:textId="6FD7170A" w:rsidR="00BD43AC" w:rsidRPr="008B62B8" w:rsidRDefault="00BD43AC" w:rsidP="00BD43AC">
      <w:pPr>
        <w:pStyle w:val="ParaNoNdepar-AltN"/>
        <w:numPr>
          <w:ilvl w:val="0"/>
          <w:numId w:val="0"/>
        </w:numPr>
        <w:tabs>
          <w:tab w:val="left" w:pos="1166"/>
        </w:tabs>
        <w:rPr>
          <w:rFonts w:cs="Times New Roman"/>
        </w:rPr>
      </w:pPr>
      <w:r w:rsidRPr="008B62B8">
        <w:rPr>
          <w:rFonts w:cs="Times New Roman"/>
        </w:rPr>
        <w:tab/>
        <w:t xml:space="preserve">Lorsqu’ils décident s’il existe un intérêt public proportionnel justifiant l’exercice de la liberté d’expression d’une façon qui viole les droits que la </w:t>
      </w:r>
      <w:r w:rsidRPr="008B62B8">
        <w:rPr>
          <w:rFonts w:cs="Times New Roman"/>
          <w:i/>
        </w:rPr>
        <w:t xml:space="preserve">Charte </w:t>
      </w:r>
      <w:r w:rsidRPr="00992BCA">
        <w:rPr>
          <w:rFonts w:cs="Times New Roman"/>
          <w:i/>
        </w:rPr>
        <w:t>québécoise</w:t>
      </w:r>
      <w:r w:rsidRPr="008B62B8">
        <w:rPr>
          <w:rFonts w:cs="Times New Roman"/>
        </w:rPr>
        <w:t xml:space="preserve"> garantit à une autre personne, les tribunaux doivent tenir compte de toutes les valeurs en présence. Dans le cas d’une personnalité bien connue, comme pour toute autre personne, les tribunaux doivent prendre en compte les intérêts opposés qui sont en jeu, </w:t>
      </w:r>
      <w:r w:rsidR="00CC133A">
        <w:rPr>
          <w:rFonts w:cs="Times New Roman"/>
        </w:rPr>
        <w:t xml:space="preserve">ainsi que </w:t>
      </w:r>
      <w:r w:rsidRPr="008B62B8">
        <w:rPr>
          <w:rFonts w:cs="Times New Roman"/>
        </w:rPr>
        <w:t>le préjudice causé</w:t>
      </w:r>
      <w:r w:rsidR="00CC133A">
        <w:rPr>
          <w:rFonts w:cs="Times New Roman"/>
        </w:rPr>
        <w:t>,</w:t>
      </w:r>
      <w:r w:rsidRPr="008B62B8">
        <w:rPr>
          <w:rFonts w:cs="Times New Roman"/>
        </w:rPr>
        <w:t xml:space="preserve"> et </w:t>
      </w:r>
      <w:r w:rsidR="00CC133A">
        <w:rPr>
          <w:rFonts w:cs="Times New Roman"/>
        </w:rPr>
        <w:t xml:space="preserve">se demander </w:t>
      </w:r>
      <w:r w:rsidRPr="008B62B8">
        <w:rPr>
          <w:rFonts w:cs="Times New Roman"/>
        </w:rPr>
        <w:t>s’il existe un intérêt public réel et identifiable justifiant les propos reprochés.</w:t>
      </w:r>
      <w:r w:rsidRPr="008B62B8">
        <w:rPr>
          <w:rFonts w:cs="Times New Roman"/>
          <w:smallCaps/>
        </w:rPr>
        <w:t xml:space="preserve"> </w:t>
      </w:r>
      <w:r w:rsidRPr="008B62B8">
        <w:rPr>
          <w:rFonts w:cs="Times New Roman"/>
        </w:rPr>
        <w:t>L’expression artistique, à l’instar de toute autre forme d’expression, peut aller trop loin lorsqu’elle a pour effet de causer un préjudice disproportionné à autrui.</w:t>
      </w:r>
    </w:p>
    <w:p w14:paraId="5F6BA5FE" w14:textId="2AFA5EF9" w:rsidR="00BD43AC" w:rsidRPr="008B62B8" w:rsidRDefault="00BD43AC" w:rsidP="00BD43AC">
      <w:pPr>
        <w:pStyle w:val="SCCNormalDoubleSpacing"/>
        <w:spacing w:before="480" w:after="480"/>
        <w:rPr>
          <w:lang w:val="fr-CA"/>
        </w:rPr>
      </w:pPr>
      <w:r w:rsidRPr="008B62B8">
        <w:rPr>
          <w:lang w:val="fr-CA"/>
        </w:rPr>
        <w:tab/>
        <w:t>Il y a désaccord avec la conclusion des juges majoritaires selon laquelle le Tribunal a eu tort de conclure à l’existence d’une distinction fondée sur un motif énuméré ou que, ce faisant, il a commis une erreur manifeste et déterminante.</w:t>
      </w:r>
      <w:r w:rsidR="00DE049A">
        <w:rPr>
          <w:sz w:val="20"/>
          <w:lang w:val="fr-CA"/>
        </w:rPr>
        <w:t xml:space="preserve"> </w:t>
      </w:r>
      <w:r w:rsidRPr="008B62B8">
        <w:rPr>
          <w:lang w:val="fr-CA"/>
        </w:rPr>
        <w:t>Le Tribunal a conclu, à juste titre, que tant les capsules vidéo largement diffusées de W que son spectacle devant public avaient soumis G à une distinction fondée sur son handicap. W a ciblé des aspects de la personnalité publique de G qui étaient inextricablement liés à son handicap, ce qui le distinguait des autr</w:t>
      </w:r>
      <w:r w:rsidR="00DE049A">
        <w:rPr>
          <w:lang w:val="fr-CA"/>
        </w:rPr>
        <w:t xml:space="preserve">es personnalités publiques dont </w:t>
      </w:r>
      <w:r w:rsidRPr="008B62B8">
        <w:rPr>
          <w:lang w:val="fr-CA"/>
        </w:rPr>
        <w:t>W s’est moqué en tant que « vaches sacrées ».</w:t>
      </w:r>
    </w:p>
    <w:p w14:paraId="3FCBF2B7" w14:textId="21FB19A9" w:rsidR="00BD43AC" w:rsidRPr="008B62B8" w:rsidRDefault="00BD43AC" w:rsidP="00BD43AC">
      <w:pPr>
        <w:pStyle w:val="ParaNoNdepar-AltN"/>
        <w:numPr>
          <w:ilvl w:val="0"/>
          <w:numId w:val="0"/>
        </w:numPr>
        <w:ind w:firstLine="720"/>
        <w:rPr>
          <w:rFonts w:cs="Times New Roman"/>
        </w:rPr>
      </w:pPr>
      <w:r w:rsidRPr="008B62B8">
        <w:rPr>
          <w:rFonts w:cs="Times New Roman"/>
        </w:rPr>
        <w:t xml:space="preserve">L’existence de discrimination </w:t>
      </w:r>
      <w:r w:rsidRPr="008B62B8">
        <w:rPr>
          <w:rFonts w:cs="Times New Roman"/>
          <w:i/>
        </w:rPr>
        <w:t xml:space="preserve">prima facie </w:t>
      </w:r>
      <w:r w:rsidRPr="008B62B8">
        <w:rPr>
          <w:rFonts w:cs="Times New Roman"/>
        </w:rPr>
        <w:t xml:space="preserve">dépend de la réponse à la question de savoir si cette distinction a eu pour effet de porter atteinte au droit de G à la reconnaissance, en pleine égalité, du droit que lui garantit l’art. 4 à la sauvegarde de sa dignité, en tant que droit fondamental, conformément à l’art. 10 de la </w:t>
      </w:r>
      <w:r w:rsidRPr="008B62B8">
        <w:rPr>
          <w:rFonts w:cs="Times New Roman"/>
          <w:i/>
        </w:rPr>
        <w:t xml:space="preserve">Charte </w:t>
      </w:r>
      <w:r w:rsidRPr="00992BCA">
        <w:rPr>
          <w:rFonts w:cs="Times New Roman"/>
          <w:i/>
        </w:rPr>
        <w:t>québécoise</w:t>
      </w:r>
      <w:r w:rsidRPr="008B62B8">
        <w:rPr>
          <w:rFonts w:cs="Times New Roman"/>
        </w:rPr>
        <w:t xml:space="preserve">. La norme à laquelle devaient satisfaire les propos de W pour donner ouverture à un recours pour violation de l’interdiction de discriminer est celle de savoir si les commentaires de W étaient susceptibles de causer un préjudice sérieux à une personne raisonnable dans la situation de G. Au regard de la norme objective modifiée que le Tribunal aurait dû appliquer, la présente affaire comporte des aspects singuliers qui constituent des faits suffisants pour conclure que la Commission s’est acquittée de son fardeau et que la discrimination </w:t>
      </w:r>
      <w:r w:rsidRPr="008B62B8">
        <w:rPr>
          <w:rFonts w:cs="Times New Roman"/>
          <w:i/>
        </w:rPr>
        <w:t xml:space="preserve">prima facie </w:t>
      </w:r>
      <w:r w:rsidRPr="008B62B8">
        <w:rPr>
          <w:rFonts w:cs="Times New Roman"/>
        </w:rPr>
        <w:t>a été établie. Lorsque W a commencé à présenter son spectacle dans lequel il a fait sa blague concernant sa tentative de noyer G, celui-ci était âgé de 13 ans. Dans son numéro d’humour, W faisait remarquer qu’il avait initialement défendu G contre les critiques, jusqu’à ce qu’il apprenne que ce dernier n’était pas mourant, après quoi il a décidé de le noyer. Les blagues de W insinuaient que la société s’en porterait mieux si G était mort et s’appuyaient sur des attitudes archaïques, qui préconisent l’exclusion et la ségrégation des enfants handicapés. W a utilisé le handicap de G et ses manifestations pour faire rire son auditoire, présentant l’enfant comme un objet de ridicule, plutôt que comme une personne digne de respect. De toute évidence, il s’agit là du type de propos qui amèneraient un enfant handicapé à mettre en doute son</w:t>
      </w:r>
      <w:r w:rsidR="00DE049A">
        <w:rPr>
          <w:rFonts w:cs="Times New Roman"/>
        </w:rPr>
        <w:t xml:space="preserve"> </w:t>
      </w:r>
      <w:r w:rsidRPr="008B62B8">
        <w:rPr>
          <w:rFonts w:cs="Times New Roman"/>
        </w:rPr>
        <w:t xml:space="preserve">respect et son estime de soi, violant ainsi l’art. 10 de la </w:t>
      </w:r>
      <w:r w:rsidRPr="008B62B8">
        <w:rPr>
          <w:rFonts w:cs="Times New Roman"/>
          <w:i/>
        </w:rPr>
        <w:t>Charte</w:t>
      </w:r>
      <w:r w:rsidRPr="008B62B8">
        <w:rPr>
          <w:rFonts w:cs="Times New Roman"/>
        </w:rPr>
        <w:t xml:space="preserve"> </w:t>
      </w:r>
      <w:r w:rsidRPr="00992BCA">
        <w:rPr>
          <w:rFonts w:cs="Times New Roman"/>
          <w:i/>
        </w:rPr>
        <w:t>québécoise</w:t>
      </w:r>
      <w:r w:rsidRPr="008B62B8">
        <w:rPr>
          <w:rFonts w:cs="Times New Roman"/>
        </w:rPr>
        <w:t xml:space="preserve"> et causant une atteinte grave à la dignité. </w:t>
      </w:r>
    </w:p>
    <w:p w14:paraId="0E2B3079" w14:textId="56554AF7" w:rsidR="00BD43AC" w:rsidRPr="008B62B8" w:rsidRDefault="00BD43AC" w:rsidP="00BD43AC">
      <w:pPr>
        <w:pStyle w:val="ParaNoNdepar-AltN"/>
        <w:numPr>
          <w:ilvl w:val="0"/>
          <w:numId w:val="0"/>
        </w:numPr>
        <w:tabs>
          <w:tab w:val="left" w:pos="1166"/>
        </w:tabs>
        <w:rPr>
          <w:rFonts w:cs="Times New Roman"/>
        </w:rPr>
      </w:pPr>
      <w:r w:rsidRPr="008B62B8">
        <w:rPr>
          <w:rFonts w:cs="Times New Roman"/>
        </w:rPr>
        <w:tab/>
        <w:t xml:space="preserve">Cette conclusion a pour effet de transférer à W le fardeau de justifier ses propos discriminatoires </w:t>
      </w:r>
      <w:r w:rsidRPr="008B62B8">
        <w:rPr>
          <w:rFonts w:cs="Times New Roman"/>
          <w:i/>
        </w:rPr>
        <w:t>prima facie</w:t>
      </w:r>
      <w:r w:rsidRPr="008B62B8">
        <w:rPr>
          <w:rFonts w:cs="Times New Roman"/>
        </w:rPr>
        <w:t xml:space="preserve">. Il tente de le faire en invoquant le droit à la liberté d’expression qui lui est garanti par l’art. 3 de la </w:t>
      </w:r>
      <w:r w:rsidRPr="008B62B8">
        <w:rPr>
          <w:rFonts w:cs="Times New Roman"/>
          <w:i/>
        </w:rPr>
        <w:t xml:space="preserve">Charte </w:t>
      </w:r>
      <w:r w:rsidRPr="00992BCA">
        <w:rPr>
          <w:rFonts w:cs="Times New Roman"/>
          <w:i/>
        </w:rPr>
        <w:t>québécoise</w:t>
      </w:r>
      <w:r w:rsidRPr="008B62B8">
        <w:rPr>
          <w:rFonts w:cs="Times New Roman"/>
        </w:rPr>
        <w:t xml:space="preserve"> et par l’al. 2b) de la </w:t>
      </w:r>
      <w:r w:rsidRPr="008B62B8">
        <w:rPr>
          <w:rFonts w:cs="Times New Roman"/>
          <w:i/>
        </w:rPr>
        <w:t xml:space="preserve">Charte </w:t>
      </w:r>
      <w:r w:rsidRPr="00992BCA">
        <w:rPr>
          <w:rFonts w:cs="Times New Roman"/>
          <w:i/>
        </w:rPr>
        <w:t xml:space="preserve">canadienne </w:t>
      </w:r>
      <w:r w:rsidRPr="008B62B8">
        <w:rPr>
          <w:rFonts w:cs="Times New Roman"/>
        </w:rPr>
        <w:t>comme moyen de défense. Toutefois,</w:t>
      </w:r>
      <w:r w:rsidRPr="008B62B8">
        <w:rPr>
          <w:rFonts w:cs="Times New Roman"/>
          <w:smallCaps/>
        </w:rPr>
        <w:t xml:space="preserve"> </w:t>
      </w:r>
      <w:r w:rsidRPr="008B62B8">
        <w:rPr>
          <w:rFonts w:cs="Times New Roman"/>
        </w:rPr>
        <w:t>les justifications avancées par W, à savoir qu’il n’avait pas l’intention de discriminer, qu’il traitait G comme n’importe quelle autre célébrité et que sa liberté artistique en tant qu’humoriste lui conférait le droit de se moquer d’un enfant handicapé, sont dénuées de fondement juridique. La jurisprudence de la Cour confirme que c’est l’effet de la conduite qui importe, et non l’intention : il importe peu que W ait eu ou non l’intention de se moquer de G parce que cel</w:t>
      </w:r>
      <w:r w:rsidR="00DE049A">
        <w:rPr>
          <w:rFonts w:cs="Times New Roman"/>
        </w:rPr>
        <w:t xml:space="preserve">ui-ci avait un handicap, que </w:t>
      </w:r>
      <w:r w:rsidRPr="008B62B8">
        <w:rPr>
          <w:rFonts w:cs="Times New Roman"/>
        </w:rPr>
        <w:t xml:space="preserve">W ait parlé à la blague ou sérieusement ou que G ait été l’objet de railleries de la même façon que d’autres célébrités. La jurisprudence de la Cour rejette également la proposition voulant qu’il soit acceptable de discriminer, si la discrimination résulte du fait de traiter également des gens dans la même situation. Elle rejette aussi la proposition voulant que la liberté d’expression emporte le droit de se livrer à de la discrimination. La jurisprudence confirme en outre le principe selon lequel la dignité des personnalités publiques n’est pas nécessairement subordonnée au droit d’exprimer des propos préjudiciables. Il n’y a aucune raison de s’écarter de cette jurisprudence. </w:t>
      </w:r>
    </w:p>
    <w:p w14:paraId="498E74A7" w14:textId="58904241" w:rsidR="00BD43AC" w:rsidRPr="008B62B8" w:rsidRDefault="00BD43AC" w:rsidP="00BD43AC">
      <w:pPr>
        <w:pStyle w:val="SCCNormalDoubleSpacing"/>
        <w:spacing w:before="240" w:after="480"/>
        <w:rPr>
          <w:lang w:val="fr-CA"/>
        </w:rPr>
      </w:pPr>
      <w:r w:rsidRPr="008B62B8">
        <w:rPr>
          <w:lang w:val="fr-CA"/>
        </w:rPr>
        <w:tab/>
        <w:t xml:space="preserve">Les propos de W ne peuvent se justifier dans les circonstances et ils entraînent une violation du droit à l’exercice, en pleine égalité, du droit à la sauvegarde de la dignité consacré par la </w:t>
      </w:r>
      <w:r w:rsidRPr="008B62B8">
        <w:rPr>
          <w:i/>
          <w:lang w:val="fr-CA"/>
        </w:rPr>
        <w:t xml:space="preserve">Charte </w:t>
      </w:r>
      <w:r w:rsidRPr="00992BCA">
        <w:rPr>
          <w:i/>
          <w:lang w:val="fr-CA"/>
        </w:rPr>
        <w:t>québécoise</w:t>
      </w:r>
      <w:r w:rsidRPr="008B62B8">
        <w:rPr>
          <w:lang w:val="fr-CA"/>
        </w:rPr>
        <w:t>. L’exercice par W du droit à la liberté d’expression que lui garantit l’art. 3 de la</w:t>
      </w:r>
      <w:r w:rsidRPr="008B62B8">
        <w:rPr>
          <w:i/>
          <w:lang w:val="fr-CA"/>
        </w:rPr>
        <w:t xml:space="preserve"> Charte </w:t>
      </w:r>
      <w:r w:rsidRPr="00992BCA">
        <w:rPr>
          <w:i/>
          <w:lang w:val="fr-CA"/>
        </w:rPr>
        <w:t>québécoise</w:t>
      </w:r>
      <w:r w:rsidRPr="008B62B8">
        <w:rPr>
          <w:lang w:val="fr-CA"/>
        </w:rPr>
        <w:t xml:space="preserve"> est complètement disproportionné par rapport au préjudice subi par G au regard de l’art. 4. On ne s’attendrait pas à ce qu’une personne raisonn</w:t>
      </w:r>
      <w:r w:rsidR="00DE049A">
        <w:rPr>
          <w:lang w:val="fr-CA"/>
        </w:rPr>
        <w:t xml:space="preserve">able dans la même situation que </w:t>
      </w:r>
      <w:r w:rsidRPr="008B62B8">
        <w:rPr>
          <w:lang w:val="fr-CA"/>
        </w:rPr>
        <w:t xml:space="preserve">G, même si elle était sensible à l’importance accordée à la liberté d’expression, y compris l’expression artistique et la satire, supporte les propos litigieux prononcés en l’espèce. </w:t>
      </w:r>
      <w:r w:rsidRPr="008B62B8">
        <w:rPr>
          <w:shd w:val="clear" w:color="auto" w:fill="FFFFFF"/>
          <w:lang w:val="fr-CA"/>
        </w:rPr>
        <w:t xml:space="preserve">Il était loisible au Tribunal d’octroyer des dommages-intérêts punitifs et il n’y a aucune raison de les écarter ou de les modifier. En l’espèce, les dommages-intérêts punitifs servent non seulement un objectif de dénonciation, mais ils servent également à dissuader des gens comme W de profiter d’une atteinte intentionnelle aux droits que garantit la </w:t>
      </w:r>
      <w:r w:rsidRPr="008B62B8">
        <w:rPr>
          <w:i/>
          <w:shd w:val="clear" w:color="auto" w:fill="FFFFFF"/>
          <w:lang w:val="fr-CA"/>
        </w:rPr>
        <w:t>Charte</w:t>
      </w:r>
      <w:r w:rsidRPr="008B62B8">
        <w:rPr>
          <w:shd w:val="clear" w:color="auto" w:fill="FFFFFF"/>
          <w:lang w:val="fr-CA"/>
        </w:rPr>
        <w:t xml:space="preserve"> à autrui et de considérer l’indemnité versée à l’égard de ce préjudice comme de simples frais d’exploitation.</w:t>
      </w:r>
    </w:p>
    <w:p w14:paraId="106B4732" w14:textId="77777777" w:rsidR="004D7D95" w:rsidRPr="008B62B8" w:rsidRDefault="004D7D95" w:rsidP="00B91F12">
      <w:pPr>
        <w:pStyle w:val="SCCNormalDoubleSpacing"/>
        <w:spacing w:after="480"/>
        <w:rPr>
          <w:b/>
          <w:lang w:val="fr-CA"/>
        </w:rPr>
      </w:pPr>
      <w:r w:rsidRPr="008B62B8">
        <w:rPr>
          <w:b/>
          <w:lang w:val="fr-CA"/>
        </w:rPr>
        <w:t>Jurisprudence</w:t>
      </w:r>
    </w:p>
    <w:p w14:paraId="7E970208" w14:textId="48D2B8AD" w:rsidR="004D7D95" w:rsidRPr="008B62B8" w:rsidRDefault="00C74885" w:rsidP="00B91F12">
      <w:pPr>
        <w:pStyle w:val="SCCNormalDoubleSpacing"/>
        <w:spacing w:after="480"/>
        <w:rPr>
          <w:lang w:val="fr-CA"/>
        </w:rPr>
      </w:pPr>
      <w:r w:rsidRPr="008B62B8">
        <w:rPr>
          <w:lang w:val="fr-CA"/>
        </w:rPr>
        <w:t>Citée par le juge en chef Wagner et la juge Côté</w:t>
      </w:r>
    </w:p>
    <w:p w14:paraId="48F4571E" w14:textId="6CFD8585" w:rsidR="00C74885" w:rsidRPr="008B62B8" w:rsidRDefault="004D7D95" w:rsidP="00B91F12">
      <w:pPr>
        <w:pStyle w:val="SCCNormalDoubleSpacing"/>
        <w:spacing w:after="480"/>
        <w:rPr>
          <w:lang w:val="fr-CA"/>
        </w:rPr>
      </w:pPr>
      <w:r w:rsidRPr="008B62B8">
        <w:rPr>
          <w:lang w:val="fr-CA"/>
        </w:rPr>
        <w:tab/>
      </w:r>
      <w:r w:rsidRPr="008B62B8">
        <w:rPr>
          <w:b/>
          <w:lang w:val="fr-CA"/>
        </w:rPr>
        <w:t xml:space="preserve">Arrêts </w:t>
      </w:r>
      <w:r w:rsidR="00C75DA4">
        <w:rPr>
          <w:b/>
          <w:lang w:val="fr-CA"/>
        </w:rPr>
        <w:t xml:space="preserve">appliqués : </w:t>
      </w:r>
      <w:r w:rsidR="00C75DA4" w:rsidRPr="008B62B8">
        <w:rPr>
          <w:i/>
          <w:lang w:val="fr-CA"/>
        </w:rPr>
        <w:t>Québec (Commission des droits de la personne et des droits de la jeunesse) c. Bombardier Inc. (Bombardier Aéronautique Centre de formation)</w:t>
      </w:r>
      <w:r w:rsidR="00C75DA4" w:rsidRPr="008B62B8">
        <w:rPr>
          <w:lang w:val="fr-CA"/>
        </w:rPr>
        <w:t xml:space="preserve">, 2015 CSC 39, [2015] 2 R.C.S. 789; </w:t>
      </w:r>
      <w:r w:rsidR="00C75DA4" w:rsidRPr="008B62B8">
        <w:rPr>
          <w:i/>
          <w:lang w:val="fr-CA"/>
        </w:rPr>
        <w:t>Canada (Ministre de la Citoyenneté et de l’Immigration) c. Vavilov</w:t>
      </w:r>
      <w:r w:rsidR="00C75DA4" w:rsidRPr="008B62B8">
        <w:rPr>
          <w:lang w:val="fr-CA"/>
        </w:rPr>
        <w:t>, 2019 CSC 65;</w:t>
      </w:r>
      <w:r w:rsidR="00C75DA4" w:rsidRPr="008B62B8">
        <w:rPr>
          <w:i/>
          <w:lang w:val="fr-CA"/>
        </w:rPr>
        <w:t xml:space="preserve"> </w:t>
      </w:r>
      <w:r w:rsidR="00C75DA4">
        <w:rPr>
          <w:b/>
          <w:lang w:val="fr-CA"/>
        </w:rPr>
        <w:t xml:space="preserve">arrêts suivis : </w:t>
      </w:r>
      <w:r w:rsidR="00C75DA4" w:rsidRPr="008B62B8">
        <w:rPr>
          <w:i/>
          <w:lang w:val="fr-CA"/>
        </w:rPr>
        <w:t>Saskatchewan (Human Rights Commission) c.</w:t>
      </w:r>
      <w:r w:rsidR="00C75DA4" w:rsidRPr="008B62B8">
        <w:rPr>
          <w:lang w:val="fr-CA"/>
        </w:rPr>
        <w:t xml:space="preserve"> </w:t>
      </w:r>
      <w:r w:rsidR="00C75DA4" w:rsidRPr="008B62B8">
        <w:rPr>
          <w:i/>
          <w:lang w:val="fr-CA"/>
        </w:rPr>
        <w:t>Whatcott</w:t>
      </w:r>
      <w:r w:rsidR="00C75DA4" w:rsidRPr="008B62B8">
        <w:rPr>
          <w:lang w:val="fr-CA"/>
        </w:rPr>
        <w:t xml:space="preserve">, 2013 CSC 11, [2013] 1 R.C.S. 467; </w:t>
      </w:r>
      <w:r w:rsidR="00C75DA4" w:rsidRPr="008B62B8">
        <w:rPr>
          <w:i/>
          <w:lang w:val="fr-CA"/>
        </w:rPr>
        <w:t>Devine c. Québec (Procureur général)</w:t>
      </w:r>
      <w:r w:rsidR="00C75DA4" w:rsidRPr="008B62B8">
        <w:rPr>
          <w:lang w:val="fr-CA"/>
        </w:rPr>
        <w:t xml:space="preserve">, [1988] 2 R.C.S. 790; </w:t>
      </w:r>
      <w:r w:rsidR="00C75DA4">
        <w:rPr>
          <w:b/>
          <w:lang w:val="fr-CA"/>
        </w:rPr>
        <w:t xml:space="preserve">arrêt examiné : </w:t>
      </w:r>
      <w:r w:rsidR="00C75DA4" w:rsidRPr="008B62B8">
        <w:rPr>
          <w:i/>
          <w:lang w:val="fr-CA"/>
        </w:rPr>
        <w:t>Calego International inc. c. Commission des droits de la personne et des droits de la jeunesse</w:t>
      </w:r>
      <w:r w:rsidR="00C75DA4" w:rsidRPr="008B62B8">
        <w:rPr>
          <w:lang w:val="fr-CA"/>
        </w:rPr>
        <w:t>, 2013 QCCA 924, [2013] R.J.D.T. 517;</w:t>
      </w:r>
      <w:r w:rsidR="00C75DA4" w:rsidRPr="008B62B8">
        <w:rPr>
          <w:i/>
          <w:lang w:val="fr-CA"/>
        </w:rPr>
        <w:t xml:space="preserve"> </w:t>
      </w:r>
      <w:r w:rsidR="00C75DA4">
        <w:rPr>
          <w:b/>
          <w:lang w:val="fr-CA"/>
        </w:rPr>
        <w:t xml:space="preserve">arrêts </w:t>
      </w:r>
      <w:r w:rsidRPr="008B62B8">
        <w:rPr>
          <w:b/>
          <w:lang w:val="fr-CA"/>
        </w:rPr>
        <w:t>mentionnés</w:t>
      </w:r>
      <w:r w:rsidR="002667A4" w:rsidRPr="008B62B8">
        <w:rPr>
          <w:b/>
          <w:lang w:val="fr-CA"/>
        </w:rPr>
        <w:t> :</w:t>
      </w:r>
      <w:r w:rsidRPr="008B62B8">
        <w:rPr>
          <w:lang w:val="fr-CA"/>
        </w:rPr>
        <w:t xml:space="preserve"> </w:t>
      </w:r>
      <w:r w:rsidR="00C74885" w:rsidRPr="008B62B8">
        <w:rPr>
          <w:i/>
          <w:lang w:val="fr-CA"/>
        </w:rPr>
        <w:t>Housen c. Nikolaisen</w:t>
      </w:r>
      <w:r w:rsidR="00C74885" w:rsidRPr="008B62B8">
        <w:rPr>
          <w:lang w:val="fr-CA"/>
        </w:rPr>
        <w:t>, 2002 CSC 33, [2002] 2 R.C.S. 235;</w:t>
      </w:r>
      <w:r w:rsidR="00C74885" w:rsidRPr="008B62B8">
        <w:rPr>
          <w:i/>
          <w:lang w:val="fr-CA"/>
        </w:rPr>
        <w:t xml:space="preserve"> Aubry c. Éditions Vice</w:t>
      </w:r>
      <w:r w:rsidR="002667A4" w:rsidRPr="008B62B8">
        <w:rPr>
          <w:i/>
          <w:lang w:val="fr-CA"/>
        </w:rPr>
        <w:noBreakHyphen/>
      </w:r>
      <w:r w:rsidR="00C74885" w:rsidRPr="008B62B8">
        <w:rPr>
          <w:i/>
          <w:lang w:val="fr-CA"/>
        </w:rPr>
        <w:t>Versa inc.</w:t>
      </w:r>
      <w:r w:rsidR="00C74885" w:rsidRPr="008B62B8">
        <w:rPr>
          <w:lang w:val="fr-CA"/>
        </w:rPr>
        <w:t xml:space="preserve">, [1998] 1 R.C.S. 591; </w:t>
      </w:r>
      <w:r w:rsidR="00C74885" w:rsidRPr="008B62B8">
        <w:rPr>
          <w:i/>
          <w:lang w:val="fr-CA"/>
        </w:rPr>
        <w:t>Béliveau St</w:t>
      </w:r>
      <w:r w:rsidR="002667A4" w:rsidRPr="008B62B8">
        <w:rPr>
          <w:i/>
          <w:lang w:val="fr-CA"/>
        </w:rPr>
        <w:noBreakHyphen/>
      </w:r>
      <w:r w:rsidR="00C74885" w:rsidRPr="008B62B8">
        <w:rPr>
          <w:i/>
          <w:lang w:val="fr-CA"/>
        </w:rPr>
        <w:t>Jacques c. Fédération des employées et employés de services publics inc.</w:t>
      </w:r>
      <w:r w:rsidR="00C74885" w:rsidRPr="008B62B8">
        <w:rPr>
          <w:lang w:val="fr-CA"/>
        </w:rPr>
        <w:t xml:space="preserve">, [1996] 2 R.C.S. 345; </w:t>
      </w:r>
      <w:r w:rsidR="00D752DF" w:rsidRPr="008B62B8">
        <w:rPr>
          <w:i/>
          <w:lang w:val="fr-CA"/>
        </w:rPr>
        <w:t>Prud’homme c. Prud’homme</w:t>
      </w:r>
      <w:r w:rsidR="00D752DF" w:rsidRPr="008B62B8">
        <w:rPr>
          <w:lang w:val="fr-CA"/>
        </w:rPr>
        <w:t xml:space="preserve">, 2002 CSC 85, [2002] 4 R.C.S. 663; </w:t>
      </w:r>
      <w:r w:rsidR="00C74885" w:rsidRPr="008B62B8">
        <w:rPr>
          <w:i/>
          <w:lang w:val="fr-CA"/>
        </w:rPr>
        <w:t>Mouvement laïque québécois c. Saguenay (Ville)</w:t>
      </w:r>
      <w:r w:rsidR="00C74885" w:rsidRPr="008B62B8">
        <w:rPr>
          <w:lang w:val="fr-CA"/>
        </w:rPr>
        <w:t xml:space="preserve">, 2015 CSC 16, [2015] 2 R.C.S. 3; </w:t>
      </w:r>
      <w:r w:rsidR="00B000C1" w:rsidRPr="008B62B8">
        <w:rPr>
          <w:i/>
          <w:lang w:val="fr-CA"/>
        </w:rPr>
        <w:t>Commission des droits de la personne et des droits de la jeunesse c. Filion</w:t>
      </w:r>
      <w:r w:rsidR="00226177" w:rsidRPr="008B62B8">
        <w:rPr>
          <w:lang w:val="fr-CA"/>
        </w:rPr>
        <w:t>, 2004 CanLII 468</w:t>
      </w:r>
      <w:r w:rsidR="00B000C1" w:rsidRPr="008B62B8">
        <w:rPr>
          <w:lang w:val="fr-CA"/>
        </w:rPr>
        <w:t xml:space="preserve">; </w:t>
      </w:r>
      <w:r w:rsidR="00C74885" w:rsidRPr="008B62B8">
        <w:rPr>
          <w:i/>
          <w:lang w:val="fr-CA"/>
        </w:rPr>
        <w:t>Tchanderli</w:t>
      </w:r>
      <w:r w:rsidR="002667A4" w:rsidRPr="008B62B8">
        <w:rPr>
          <w:i/>
          <w:lang w:val="fr-CA"/>
        </w:rPr>
        <w:noBreakHyphen/>
      </w:r>
      <w:r w:rsidR="00C74885" w:rsidRPr="008B62B8">
        <w:rPr>
          <w:i/>
          <w:lang w:val="fr-CA"/>
        </w:rPr>
        <w:t>Braham c. Bériault</w:t>
      </w:r>
      <w:r w:rsidR="00C74885" w:rsidRPr="008B62B8">
        <w:rPr>
          <w:lang w:val="fr-CA"/>
        </w:rPr>
        <w:t>, 2018 QCTDP 4;</w:t>
      </w:r>
      <w:r w:rsidR="00C74885" w:rsidRPr="008B62B8">
        <w:rPr>
          <w:i/>
          <w:lang w:val="fr-CA"/>
        </w:rPr>
        <w:t xml:space="preserve"> Jied c. Éthier</w:t>
      </w:r>
      <w:r w:rsidR="00C74885" w:rsidRPr="008B62B8">
        <w:rPr>
          <w:lang w:val="fr-CA"/>
        </w:rPr>
        <w:t xml:space="preserve">, 2019 QCTDP 26; </w:t>
      </w:r>
      <w:r w:rsidR="00C74885" w:rsidRPr="008B62B8">
        <w:rPr>
          <w:i/>
          <w:lang w:val="fr-CA"/>
        </w:rPr>
        <w:t>Mirouh c. Gaudreault</w:t>
      </w:r>
      <w:r w:rsidR="00C74885" w:rsidRPr="008B62B8">
        <w:rPr>
          <w:lang w:val="fr-CA"/>
        </w:rPr>
        <w:t>, 2021 QCTDP 10;</w:t>
      </w:r>
      <w:r w:rsidR="00B000C1" w:rsidRPr="008B62B8">
        <w:rPr>
          <w:lang w:val="fr-CA"/>
        </w:rPr>
        <w:t xml:space="preserve"> </w:t>
      </w:r>
      <w:r w:rsidR="00B000C1" w:rsidRPr="008B62B8">
        <w:rPr>
          <w:i/>
          <w:lang w:val="fr-CA"/>
        </w:rPr>
        <w:t>Ayotte c. Tremblay</w:t>
      </w:r>
      <w:r w:rsidR="00B000C1" w:rsidRPr="008B62B8">
        <w:rPr>
          <w:lang w:val="fr-CA"/>
        </w:rPr>
        <w:t>, 2021 QCTDP 13;</w:t>
      </w:r>
      <w:r w:rsidR="00C74885" w:rsidRPr="008B62B8">
        <w:rPr>
          <w:i/>
          <w:lang w:val="fr-CA"/>
        </w:rPr>
        <w:t xml:space="preserve"> Québec (Commission des droits de la personne et des droits de la jeunesse) c. Montréal (Ville)</w:t>
      </w:r>
      <w:r w:rsidR="00C74885" w:rsidRPr="008B62B8">
        <w:rPr>
          <w:lang w:val="fr-CA"/>
        </w:rPr>
        <w:t xml:space="preserve">, 2000 CSC 27, [2000] 1 R.C.S. 665; </w:t>
      </w:r>
      <w:r w:rsidR="00C74885" w:rsidRPr="008B62B8">
        <w:rPr>
          <w:i/>
          <w:lang w:val="fr-CA"/>
        </w:rPr>
        <w:t>Québec (Commission des droits de la personne et des droits de la jeunesse) c. Maksteel Québec inc.</w:t>
      </w:r>
      <w:r w:rsidR="00C74885" w:rsidRPr="008B62B8">
        <w:rPr>
          <w:lang w:val="fr-CA"/>
        </w:rPr>
        <w:t>, 2003 CSC 68, [2003] 3 R.C.S. 228;</w:t>
      </w:r>
      <w:r w:rsidR="00D912E3" w:rsidRPr="008B62B8">
        <w:rPr>
          <w:i/>
          <w:lang w:val="fr-CA"/>
        </w:rPr>
        <w:t xml:space="preserve"> Commission ontarienne des droits de la personne c. Simpsons</w:t>
      </w:r>
      <w:r w:rsidR="002667A4" w:rsidRPr="008B62B8">
        <w:rPr>
          <w:i/>
          <w:lang w:val="fr-CA"/>
        </w:rPr>
        <w:noBreakHyphen/>
      </w:r>
      <w:r w:rsidR="00D912E3" w:rsidRPr="008B62B8">
        <w:rPr>
          <w:i/>
          <w:lang w:val="fr-CA"/>
        </w:rPr>
        <w:t>Sears Ltd.</w:t>
      </w:r>
      <w:r w:rsidR="00D912E3" w:rsidRPr="008B62B8">
        <w:rPr>
          <w:lang w:val="fr-CA"/>
        </w:rPr>
        <w:t>, [1985] 2 R.C.S. 536;</w:t>
      </w:r>
      <w:r w:rsidR="00C74885" w:rsidRPr="008B62B8">
        <w:rPr>
          <w:lang w:val="fr-CA"/>
        </w:rPr>
        <w:t xml:space="preserve"> </w:t>
      </w:r>
      <w:r w:rsidR="00AE3284" w:rsidRPr="008B62B8">
        <w:rPr>
          <w:i/>
          <w:lang w:val="fr-CA"/>
        </w:rPr>
        <w:t>Ford c. Québec (Procureur général)</w:t>
      </w:r>
      <w:r w:rsidR="00AE3284" w:rsidRPr="008B62B8">
        <w:rPr>
          <w:lang w:val="fr-CA"/>
        </w:rPr>
        <w:t xml:space="preserve">, [1988] 2 R.C.S. 712; </w:t>
      </w:r>
      <w:r w:rsidR="00C74885" w:rsidRPr="008B62B8">
        <w:rPr>
          <w:i/>
          <w:lang w:val="fr-CA"/>
        </w:rPr>
        <w:t>Bruker c. Marcovitz</w:t>
      </w:r>
      <w:r w:rsidR="00C74885" w:rsidRPr="008B62B8">
        <w:rPr>
          <w:lang w:val="fr-CA"/>
        </w:rPr>
        <w:t xml:space="preserve">, 2007 CSC 54, [2007] 3 R.C.S. 607; </w:t>
      </w:r>
      <w:r w:rsidR="00C74885" w:rsidRPr="008B62B8">
        <w:rPr>
          <w:i/>
          <w:lang w:val="fr-CA"/>
        </w:rPr>
        <w:t xml:space="preserve">Health Services and Support </w:t>
      </w:r>
      <w:r w:rsidR="00C74885" w:rsidRPr="008B62B8">
        <w:rPr>
          <w:bCs/>
          <w:i/>
          <w:iCs/>
          <w:lang w:val="fr-CA"/>
        </w:rPr>
        <w:t>—</w:t>
      </w:r>
      <w:r w:rsidR="00C74885" w:rsidRPr="008B62B8">
        <w:rPr>
          <w:i/>
          <w:lang w:val="fr-CA"/>
        </w:rPr>
        <w:t xml:space="preserve"> Facilities Subsector Bargaining Assn. c. Colombie</w:t>
      </w:r>
      <w:r w:rsidR="002667A4" w:rsidRPr="008B62B8">
        <w:rPr>
          <w:i/>
          <w:lang w:val="fr-CA"/>
        </w:rPr>
        <w:noBreakHyphen/>
      </w:r>
      <w:r w:rsidR="00C74885" w:rsidRPr="008B62B8">
        <w:rPr>
          <w:i/>
          <w:lang w:val="fr-CA"/>
        </w:rPr>
        <w:t>Britannique</w:t>
      </w:r>
      <w:r w:rsidR="00C74885" w:rsidRPr="008B62B8">
        <w:rPr>
          <w:lang w:val="fr-CA"/>
        </w:rPr>
        <w:t xml:space="preserve">, 2007 CSC 27, [2007] 2 R.C.S. 391; </w:t>
      </w:r>
      <w:r w:rsidR="00C74885" w:rsidRPr="008B62B8">
        <w:rPr>
          <w:i/>
          <w:lang w:val="fr-CA"/>
        </w:rPr>
        <w:t>Québec (Curateur public) c. Synd</w:t>
      </w:r>
      <w:r w:rsidR="00056B60" w:rsidRPr="008B62B8">
        <w:rPr>
          <w:i/>
          <w:lang w:val="fr-CA"/>
        </w:rPr>
        <w:t>icat national des employés de l’</w:t>
      </w:r>
      <w:r w:rsidR="00C74885" w:rsidRPr="008B62B8">
        <w:rPr>
          <w:i/>
          <w:lang w:val="fr-CA"/>
        </w:rPr>
        <w:t>hôpital St</w:t>
      </w:r>
      <w:r w:rsidR="002667A4" w:rsidRPr="008B62B8">
        <w:rPr>
          <w:i/>
          <w:lang w:val="fr-CA"/>
        </w:rPr>
        <w:noBreakHyphen/>
      </w:r>
      <w:r w:rsidR="00C74885" w:rsidRPr="008B62B8">
        <w:rPr>
          <w:i/>
          <w:lang w:val="fr-CA"/>
        </w:rPr>
        <w:t>Ferdinand</w:t>
      </w:r>
      <w:r w:rsidR="00C74885" w:rsidRPr="008B62B8">
        <w:rPr>
          <w:lang w:val="fr-CA"/>
        </w:rPr>
        <w:t xml:space="preserve">, [1996] 3 R.C.S. 211; </w:t>
      </w:r>
      <w:r w:rsidR="00C74885" w:rsidRPr="008B62B8">
        <w:rPr>
          <w:i/>
          <w:lang w:val="fr-CA"/>
        </w:rPr>
        <w:t>R. c. Kapp</w:t>
      </w:r>
      <w:r w:rsidR="00C74885" w:rsidRPr="008B62B8">
        <w:rPr>
          <w:lang w:val="fr-CA"/>
        </w:rPr>
        <w:t>, 2008 CSC 41, [2008] 2 R.C.S. 483;</w:t>
      </w:r>
      <w:r w:rsidR="00C74885" w:rsidRPr="008B62B8">
        <w:rPr>
          <w:i/>
          <w:lang w:val="fr-CA"/>
        </w:rPr>
        <w:t xml:space="preserve"> Cinar Corporation c. Robinson</w:t>
      </w:r>
      <w:r w:rsidR="00C74885" w:rsidRPr="008B62B8">
        <w:rPr>
          <w:lang w:val="fr-CA"/>
        </w:rPr>
        <w:t>, 2013 CSC 73, [2013] 3 R.C.S. 1168;</w:t>
      </w:r>
      <w:r w:rsidR="00C74885" w:rsidRPr="008B62B8">
        <w:rPr>
          <w:i/>
          <w:lang w:val="fr-CA"/>
        </w:rPr>
        <w:t xml:space="preserve"> Gauthier c. Beaumont</w:t>
      </w:r>
      <w:r w:rsidR="00C74885" w:rsidRPr="008B62B8">
        <w:rPr>
          <w:lang w:val="fr-CA"/>
        </w:rPr>
        <w:t xml:space="preserve">, [1998] 2 R.C.S. 3; </w:t>
      </w:r>
      <w:r w:rsidR="00C74885" w:rsidRPr="008B62B8">
        <w:rPr>
          <w:i/>
          <w:lang w:val="fr-CA"/>
        </w:rPr>
        <w:t>Fortier c. Québec (Procureure générale</w:t>
      </w:r>
      <w:r w:rsidR="00C74885" w:rsidRPr="008B62B8">
        <w:rPr>
          <w:lang w:val="fr-CA"/>
        </w:rPr>
        <w:t xml:space="preserve">), 2015 QCCA 1426; </w:t>
      </w:r>
      <w:r w:rsidR="00C74885" w:rsidRPr="008B62B8">
        <w:rPr>
          <w:i/>
          <w:lang w:val="fr-CA"/>
        </w:rPr>
        <w:t>Commission des droits de la personne et des droits de la jeunesse c. 9185</w:t>
      </w:r>
      <w:r w:rsidR="002667A4" w:rsidRPr="008B62B8">
        <w:rPr>
          <w:i/>
          <w:lang w:val="fr-CA"/>
        </w:rPr>
        <w:noBreakHyphen/>
      </w:r>
      <w:r w:rsidR="00C74885" w:rsidRPr="008B62B8">
        <w:rPr>
          <w:i/>
          <w:lang w:val="fr-CA"/>
        </w:rPr>
        <w:t>2152 Québec inc. (Radio Lounge Brossard)</w:t>
      </w:r>
      <w:r w:rsidR="00C74885" w:rsidRPr="008B62B8">
        <w:rPr>
          <w:lang w:val="fr-CA"/>
        </w:rPr>
        <w:t>, 2015 QCCA 577;</w:t>
      </w:r>
      <w:r w:rsidR="00C74885" w:rsidRPr="008B62B8">
        <w:rPr>
          <w:i/>
          <w:lang w:val="fr-CA"/>
        </w:rPr>
        <w:t xml:space="preserve"> Genex Communications inc. c. Association québécoise de l’industrie du disque, du spectacle et de la vidéo</w:t>
      </w:r>
      <w:r w:rsidR="00C74885" w:rsidRPr="008B62B8">
        <w:rPr>
          <w:lang w:val="fr-CA"/>
        </w:rPr>
        <w:t>, 2009 QCCA 2201, [2009] R.J.Q. 2743;</w:t>
      </w:r>
      <w:r w:rsidR="00C74885" w:rsidRPr="008B62B8">
        <w:rPr>
          <w:i/>
          <w:lang w:val="fr-CA"/>
        </w:rPr>
        <w:t xml:space="preserve"> Solomon c. Québec (Procureur général)</w:t>
      </w:r>
      <w:r w:rsidR="00C74885" w:rsidRPr="008B62B8">
        <w:rPr>
          <w:lang w:val="fr-CA"/>
        </w:rPr>
        <w:t xml:space="preserve">, 2008 QCCA 1832, [2008] R.J.Q. 2127; </w:t>
      </w:r>
      <w:r w:rsidR="00C74885" w:rsidRPr="008B62B8">
        <w:rPr>
          <w:i/>
          <w:lang w:val="fr-CA"/>
        </w:rPr>
        <w:t>Procureur général du Canada c. Manoukian</w:t>
      </w:r>
      <w:r w:rsidR="00C74885" w:rsidRPr="008B62B8">
        <w:rPr>
          <w:lang w:val="fr-CA"/>
        </w:rPr>
        <w:t xml:space="preserve">, 2020 QCCA 1486, 70 C.C.L.T. (4th) 182; </w:t>
      </w:r>
      <w:r w:rsidR="00C74885" w:rsidRPr="008B62B8">
        <w:rPr>
          <w:i/>
          <w:lang w:val="fr-CA"/>
        </w:rPr>
        <w:t>J.L. c. S.B.</w:t>
      </w:r>
      <w:r w:rsidR="00C74885" w:rsidRPr="008B62B8">
        <w:rPr>
          <w:lang w:val="fr-CA"/>
        </w:rPr>
        <w:t xml:space="preserve">, [2000] R.R.A. 665; </w:t>
      </w:r>
      <w:r w:rsidR="00C74885" w:rsidRPr="008B62B8">
        <w:rPr>
          <w:i/>
          <w:lang w:val="fr-CA"/>
        </w:rPr>
        <w:t>Bourdeau c. Hamel</w:t>
      </w:r>
      <w:r w:rsidR="00C74885" w:rsidRPr="008B62B8">
        <w:rPr>
          <w:lang w:val="fr-CA"/>
        </w:rPr>
        <w:t>, 2013 QCCS 752;</w:t>
      </w:r>
      <w:r w:rsidR="00C74885" w:rsidRPr="008B62B8">
        <w:rPr>
          <w:i/>
          <w:lang w:val="fr-CA"/>
        </w:rPr>
        <w:t xml:space="preserve"> Hébert c. Giguère</w:t>
      </w:r>
      <w:r w:rsidR="00C74885" w:rsidRPr="008B62B8">
        <w:rPr>
          <w:lang w:val="fr-CA"/>
        </w:rPr>
        <w:t xml:space="preserve">, [2003] R.J.Q. 89; </w:t>
      </w:r>
      <w:r w:rsidR="00C74885" w:rsidRPr="008B62B8">
        <w:rPr>
          <w:i/>
          <w:lang w:val="fr-CA"/>
        </w:rPr>
        <w:t>Commission des droits de la personne et des</w:t>
      </w:r>
      <w:r w:rsidR="003546AA" w:rsidRPr="008B62B8">
        <w:rPr>
          <w:i/>
          <w:lang w:val="fr-CA"/>
        </w:rPr>
        <w:t xml:space="preserve"> droits de la jeunesse </w:t>
      </w:r>
      <w:r w:rsidR="00C74885" w:rsidRPr="008B62B8">
        <w:rPr>
          <w:i/>
          <w:lang w:val="fr-CA"/>
        </w:rPr>
        <w:t>c. 9113</w:t>
      </w:r>
      <w:r w:rsidR="002667A4" w:rsidRPr="008B62B8">
        <w:rPr>
          <w:i/>
          <w:lang w:val="fr-CA"/>
        </w:rPr>
        <w:noBreakHyphen/>
      </w:r>
      <w:r w:rsidR="00C74885" w:rsidRPr="008B62B8">
        <w:rPr>
          <w:i/>
          <w:lang w:val="fr-CA"/>
        </w:rPr>
        <w:t>0831 Québec inc. (Bronzage Évasion au soleil du monde)</w:t>
      </w:r>
      <w:r w:rsidR="00C74885" w:rsidRPr="008B62B8">
        <w:rPr>
          <w:lang w:val="fr-CA"/>
        </w:rPr>
        <w:t xml:space="preserve">, 2007 QCTDP 18, [2007] R.J.D.T. 1289; </w:t>
      </w:r>
      <w:r w:rsidR="00C74885" w:rsidRPr="008B62B8">
        <w:rPr>
          <w:i/>
          <w:lang w:val="fr-CA"/>
        </w:rPr>
        <w:t>Law c. Canada (Ministre de l’Emploi et de l’Immigration)</w:t>
      </w:r>
      <w:r w:rsidR="00C74885" w:rsidRPr="008B62B8">
        <w:rPr>
          <w:lang w:val="fr-CA"/>
        </w:rPr>
        <w:t xml:space="preserve">, [1999] 1 R.C.S. 497; </w:t>
      </w:r>
      <w:r w:rsidR="00C74885" w:rsidRPr="008B62B8">
        <w:rPr>
          <w:i/>
          <w:lang w:val="fr-CA"/>
        </w:rPr>
        <w:t>Irwin Toy Ltd. c. Québec (Procureur général)</w:t>
      </w:r>
      <w:r w:rsidR="00C74885" w:rsidRPr="008B62B8">
        <w:rPr>
          <w:lang w:val="fr-CA"/>
        </w:rPr>
        <w:t xml:space="preserve">, [1989] 1 R.C.S. 927; </w:t>
      </w:r>
      <w:r w:rsidR="00C74885" w:rsidRPr="008B62B8">
        <w:rPr>
          <w:i/>
          <w:lang w:val="fr-CA"/>
        </w:rPr>
        <w:t>R. c.</w:t>
      </w:r>
      <w:r w:rsidR="00C74885" w:rsidRPr="008B62B8">
        <w:rPr>
          <w:lang w:val="fr-CA"/>
        </w:rPr>
        <w:t xml:space="preserve"> </w:t>
      </w:r>
      <w:r w:rsidR="00C74885" w:rsidRPr="008B62B8">
        <w:rPr>
          <w:i/>
          <w:lang w:val="fr-CA"/>
        </w:rPr>
        <w:t>Zundel</w:t>
      </w:r>
      <w:r w:rsidR="00C74885" w:rsidRPr="008B62B8">
        <w:rPr>
          <w:lang w:val="fr-CA"/>
        </w:rPr>
        <w:t xml:space="preserve">, [1992] 2 R.C.S. 731; </w:t>
      </w:r>
      <w:r w:rsidR="00C74885" w:rsidRPr="008B62B8">
        <w:rPr>
          <w:i/>
          <w:lang w:val="fr-CA"/>
        </w:rPr>
        <w:t>Montréal (Ville de) c. Cabaret Sex Appeal inc.</w:t>
      </w:r>
      <w:r w:rsidR="00C74885" w:rsidRPr="008B62B8">
        <w:rPr>
          <w:lang w:val="fr-CA"/>
        </w:rPr>
        <w:t xml:space="preserve">, [1994] R.J.Q. 2133; </w:t>
      </w:r>
      <w:r w:rsidR="00C74885" w:rsidRPr="008B62B8">
        <w:rPr>
          <w:i/>
          <w:lang w:val="fr-CA"/>
        </w:rPr>
        <w:t>Hill c. Église de scientologie de Toronto</w:t>
      </w:r>
      <w:r w:rsidR="00C74885" w:rsidRPr="008B62B8">
        <w:rPr>
          <w:lang w:val="fr-CA"/>
        </w:rPr>
        <w:t xml:space="preserve">, [1995] 2 R.C.S. 1130; </w:t>
      </w:r>
      <w:r w:rsidR="00C74885" w:rsidRPr="008B62B8">
        <w:rPr>
          <w:i/>
          <w:lang w:val="fr-CA"/>
        </w:rPr>
        <w:t>Bou Malhab c. Diffusion Métromédia CMR inc.</w:t>
      </w:r>
      <w:r w:rsidR="00C74885" w:rsidRPr="008B62B8">
        <w:rPr>
          <w:lang w:val="fr-CA"/>
        </w:rPr>
        <w:t xml:space="preserve">, 2011 CSC 9, [2011] 1 R.C.S. 214; </w:t>
      </w:r>
      <w:r w:rsidR="00C74885" w:rsidRPr="008B62B8">
        <w:rPr>
          <w:i/>
          <w:lang w:val="fr-CA"/>
        </w:rPr>
        <w:t>R. c. Keegstra</w:t>
      </w:r>
      <w:r w:rsidR="00C74885" w:rsidRPr="008B62B8">
        <w:rPr>
          <w:lang w:val="fr-CA"/>
        </w:rPr>
        <w:t xml:space="preserve">, [1990] 3 R.C.S. 697; </w:t>
      </w:r>
      <w:r w:rsidR="00C74885" w:rsidRPr="008B62B8">
        <w:rPr>
          <w:i/>
          <w:lang w:val="fr-CA"/>
        </w:rPr>
        <w:t>Canada (Commission des droits de la personne) c. Taylor</w:t>
      </w:r>
      <w:r w:rsidR="0013299F" w:rsidRPr="008B62B8">
        <w:rPr>
          <w:lang w:val="fr-CA"/>
        </w:rPr>
        <w:t xml:space="preserve">, </w:t>
      </w:r>
      <w:r w:rsidR="00C74885" w:rsidRPr="008B62B8">
        <w:rPr>
          <w:lang w:val="fr-CA"/>
        </w:rPr>
        <w:t xml:space="preserve">[1990] 3 R.C.S. 892; </w:t>
      </w:r>
      <w:r w:rsidR="00C74885" w:rsidRPr="008B62B8">
        <w:rPr>
          <w:i/>
          <w:lang w:val="fr-CA"/>
        </w:rPr>
        <w:t>R. c. Butler</w:t>
      </w:r>
      <w:r w:rsidR="00C74885" w:rsidRPr="008B62B8">
        <w:rPr>
          <w:lang w:val="fr-CA"/>
        </w:rPr>
        <w:t xml:space="preserve">, [1992] 1 R.C.S. 452; </w:t>
      </w:r>
      <w:r w:rsidR="00C74885" w:rsidRPr="008B62B8">
        <w:rPr>
          <w:i/>
          <w:lang w:val="fr-CA"/>
        </w:rPr>
        <w:t>Little Sisters Book and Art Emporium c. Canada (Ministre de la Justice)</w:t>
      </w:r>
      <w:r w:rsidR="00C74885" w:rsidRPr="008B62B8">
        <w:rPr>
          <w:lang w:val="fr-CA"/>
        </w:rPr>
        <w:t xml:space="preserve">, 2000 CSC 69, [2000] 2 R.C.S. 1120; </w:t>
      </w:r>
      <w:r w:rsidR="00C74885" w:rsidRPr="008B62B8">
        <w:rPr>
          <w:i/>
          <w:lang w:val="fr-CA"/>
        </w:rPr>
        <w:t>R. c. Sharpe</w:t>
      </w:r>
      <w:r w:rsidR="00C74885" w:rsidRPr="008B62B8">
        <w:rPr>
          <w:lang w:val="fr-CA"/>
        </w:rPr>
        <w:t>, 2001 CSC 2, [2001] 1 R.C.S. 45;</w:t>
      </w:r>
      <w:r w:rsidR="00C74885" w:rsidRPr="008B62B8">
        <w:rPr>
          <w:i/>
          <w:lang w:val="fr-CA"/>
        </w:rPr>
        <w:t xml:space="preserve"> Brodie, Dansky and Rubin c. The Queen</w:t>
      </w:r>
      <w:r w:rsidR="00C74885" w:rsidRPr="008B62B8">
        <w:rPr>
          <w:lang w:val="fr-CA"/>
        </w:rPr>
        <w:t>,</w:t>
      </w:r>
      <w:r w:rsidR="00C74885" w:rsidRPr="008B62B8">
        <w:rPr>
          <w:i/>
          <w:lang w:val="fr-CA"/>
        </w:rPr>
        <w:t xml:space="preserve"> </w:t>
      </w:r>
      <w:r w:rsidR="00D912E3" w:rsidRPr="008B62B8">
        <w:rPr>
          <w:lang w:val="fr-CA"/>
        </w:rPr>
        <w:t>[1962] R.C.S. 681</w:t>
      </w:r>
      <w:r w:rsidR="001F0F90" w:rsidRPr="008B62B8">
        <w:rPr>
          <w:lang w:val="fr-CA"/>
        </w:rPr>
        <w:t>;</w:t>
      </w:r>
      <w:r w:rsidR="00C74885" w:rsidRPr="008B62B8">
        <w:rPr>
          <w:lang w:val="fr-CA"/>
        </w:rPr>
        <w:t xml:space="preserve"> </w:t>
      </w:r>
      <w:r w:rsidR="00C74885" w:rsidRPr="008B62B8">
        <w:rPr>
          <w:i/>
          <w:lang w:val="fr-CA"/>
        </w:rPr>
        <w:t>WIC Radio Ltd. c. Simpson</w:t>
      </w:r>
      <w:r w:rsidR="00C74885" w:rsidRPr="008B62B8">
        <w:rPr>
          <w:lang w:val="fr-CA"/>
        </w:rPr>
        <w:t xml:space="preserve">, 2008 CSC 40, [2008] 2 R.C.S. 420; </w:t>
      </w:r>
      <w:r w:rsidR="00C74885" w:rsidRPr="008B62B8">
        <w:rPr>
          <w:i/>
          <w:lang w:val="fr-CA"/>
        </w:rPr>
        <w:t>Trudeau c. AD4 Distribution Canada inc.</w:t>
      </w:r>
      <w:r w:rsidR="00C74885" w:rsidRPr="008B62B8">
        <w:rPr>
          <w:lang w:val="fr-CA"/>
        </w:rPr>
        <w:t xml:space="preserve">, 2014 QCCA 1740; </w:t>
      </w:r>
      <w:r w:rsidR="00C74885" w:rsidRPr="008B62B8">
        <w:rPr>
          <w:i/>
          <w:lang w:val="fr-CA"/>
        </w:rPr>
        <w:t>Hydro</w:t>
      </w:r>
      <w:r w:rsidR="002667A4" w:rsidRPr="008B62B8">
        <w:rPr>
          <w:i/>
          <w:lang w:val="fr-CA"/>
        </w:rPr>
        <w:noBreakHyphen/>
      </w:r>
      <w:r w:rsidR="00C74885" w:rsidRPr="008B62B8">
        <w:rPr>
          <w:i/>
          <w:lang w:val="fr-CA"/>
        </w:rPr>
        <w:t>Québec c. Matta</w:t>
      </w:r>
      <w:r w:rsidR="00C74885" w:rsidRPr="008B62B8">
        <w:rPr>
          <w:lang w:val="fr-CA"/>
        </w:rPr>
        <w:t>, 2020 CSC 37.</w:t>
      </w:r>
    </w:p>
    <w:p w14:paraId="62185FCC" w14:textId="1D48E3AF" w:rsidR="006F77C2" w:rsidRPr="008B62B8" w:rsidRDefault="006F77C2" w:rsidP="00B91F12">
      <w:pPr>
        <w:pStyle w:val="SCCNormalDoubleSpacing"/>
        <w:spacing w:after="720" w:line="240" w:lineRule="auto"/>
        <w:rPr>
          <w:lang w:val="fr-CA"/>
        </w:rPr>
      </w:pPr>
      <w:r w:rsidRPr="008B62B8">
        <w:rPr>
          <w:lang w:val="fr-CA"/>
        </w:rPr>
        <w:t>Citée par les juges Abella et Kasirer</w:t>
      </w:r>
      <w:r w:rsidR="00717E00" w:rsidRPr="008B62B8">
        <w:rPr>
          <w:lang w:val="fr-CA"/>
        </w:rPr>
        <w:t xml:space="preserve"> (dissidents)</w:t>
      </w:r>
    </w:p>
    <w:p w14:paraId="0235E7F1" w14:textId="799E8A59" w:rsidR="004D7D95" w:rsidRPr="008B62B8" w:rsidRDefault="006F77C2" w:rsidP="00B91F12">
      <w:pPr>
        <w:pStyle w:val="SCCNormalDoubleSpacing"/>
        <w:spacing w:after="480"/>
        <w:rPr>
          <w:lang w:val="fr-CA"/>
        </w:rPr>
      </w:pPr>
      <w:r w:rsidRPr="008B62B8">
        <w:rPr>
          <w:lang w:val="fr-CA"/>
        </w:rPr>
        <w:tab/>
      </w:r>
      <w:r w:rsidRPr="008B62B8">
        <w:rPr>
          <w:i/>
          <w:lang w:val="fr-CA"/>
        </w:rPr>
        <w:t>Calego International inc. c. Commission des droits de la personne et des droits de la jeunesse</w:t>
      </w:r>
      <w:r w:rsidRPr="008B62B8">
        <w:rPr>
          <w:lang w:val="fr-CA"/>
        </w:rPr>
        <w:t>, 2013 QCCA 924</w:t>
      </w:r>
      <w:r w:rsidR="00074232" w:rsidRPr="008B62B8">
        <w:rPr>
          <w:lang w:val="fr-CA"/>
        </w:rPr>
        <w:t>, [2013] R.J.D.T. 517</w:t>
      </w:r>
      <w:r w:rsidRPr="008B62B8">
        <w:rPr>
          <w:lang w:val="fr-CA"/>
        </w:rPr>
        <w:t xml:space="preserve">; </w:t>
      </w:r>
      <w:r w:rsidRPr="008B62B8">
        <w:rPr>
          <w:i/>
          <w:lang w:val="fr-CA"/>
        </w:rPr>
        <w:t>Québec (Commission des droits de la personne et des droits de la jeunesse) c. Bombardier Inc. (Bombardier Aéronautique Centre de formation)</w:t>
      </w:r>
      <w:r w:rsidRPr="008B62B8">
        <w:rPr>
          <w:lang w:val="fr-CA"/>
        </w:rPr>
        <w:t xml:space="preserve">, 2015 CSC 39, [2015] 2 R.C.S. 789; </w:t>
      </w:r>
      <w:r w:rsidR="00FA2B18" w:rsidRPr="008B62B8">
        <w:rPr>
          <w:i/>
          <w:lang w:val="fr-CA"/>
        </w:rPr>
        <w:t>V</w:t>
      </w:r>
      <w:r w:rsidRPr="008B62B8">
        <w:rPr>
          <w:i/>
          <w:lang w:val="fr-CA"/>
        </w:rPr>
        <w:t>elk c. McGill University</w:t>
      </w:r>
      <w:r w:rsidRPr="008B62B8">
        <w:rPr>
          <w:lang w:val="fr-CA"/>
        </w:rPr>
        <w:t xml:space="preserve">, 2011 QCCA 578, 89 C.C.P.B. 175; </w:t>
      </w:r>
      <w:r w:rsidRPr="008B62B8">
        <w:rPr>
          <w:i/>
          <w:lang w:val="fr-CA"/>
        </w:rPr>
        <w:t>Commission scolaire St</w:t>
      </w:r>
      <w:r w:rsidR="002667A4" w:rsidRPr="008B62B8">
        <w:rPr>
          <w:i/>
          <w:lang w:val="fr-CA"/>
        </w:rPr>
        <w:noBreakHyphen/>
      </w:r>
      <w:r w:rsidRPr="008B62B8">
        <w:rPr>
          <w:i/>
          <w:lang w:val="fr-CA"/>
        </w:rPr>
        <w:t>Jean</w:t>
      </w:r>
      <w:r w:rsidR="002667A4" w:rsidRPr="008B62B8">
        <w:rPr>
          <w:i/>
          <w:lang w:val="fr-CA"/>
        </w:rPr>
        <w:noBreakHyphen/>
      </w:r>
      <w:r w:rsidRPr="008B62B8">
        <w:rPr>
          <w:i/>
          <w:lang w:val="fr-CA"/>
        </w:rPr>
        <w:t>sur</w:t>
      </w:r>
      <w:r w:rsidR="002667A4" w:rsidRPr="008B62B8">
        <w:rPr>
          <w:i/>
          <w:lang w:val="fr-CA"/>
        </w:rPr>
        <w:noBreakHyphen/>
      </w:r>
      <w:r w:rsidRPr="008B62B8">
        <w:rPr>
          <w:i/>
          <w:lang w:val="fr-CA"/>
        </w:rPr>
        <w:t>Richelieu c. Commission des droits de la personne du Québec</w:t>
      </w:r>
      <w:r w:rsidRPr="008B62B8">
        <w:rPr>
          <w:lang w:val="fr-CA"/>
        </w:rPr>
        <w:t xml:space="preserve">, [1994] R.J.Q. 1227; </w:t>
      </w:r>
      <w:r w:rsidRPr="008B62B8">
        <w:rPr>
          <w:i/>
          <w:lang w:val="fr-CA"/>
        </w:rPr>
        <w:t>Colombie</w:t>
      </w:r>
      <w:r w:rsidR="002667A4" w:rsidRPr="008B62B8">
        <w:rPr>
          <w:i/>
          <w:lang w:val="fr-CA"/>
        </w:rPr>
        <w:noBreakHyphen/>
      </w:r>
      <w:r w:rsidRPr="008B62B8">
        <w:rPr>
          <w:i/>
          <w:lang w:val="fr-CA"/>
        </w:rPr>
        <w:t>Britannique (Public Service Employee Relations Commission) c. BCGSEU</w:t>
      </w:r>
      <w:r w:rsidRPr="008B62B8">
        <w:rPr>
          <w:lang w:val="fr-CA"/>
        </w:rPr>
        <w:t>,</w:t>
      </w:r>
      <w:r w:rsidRPr="008B62B8">
        <w:rPr>
          <w:i/>
          <w:lang w:val="fr-CA"/>
        </w:rPr>
        <w:t xml:space="preserve"> </w:t>
      </w:r>
      <w:r w:rsidRPr="008B62B8">
        <w:rPr>
          <w:lang w:val="fr-CA"/>
        </w:rPr>
        <w:t xml:space="preserve">[1999] 3 R.C.S. 3; </w:t>
      </w:r>
      <w:r w:rsidRPr="008B62B8">
        <w:rPr>
          <w:i/>
          <w:lang w:val="fr-CA"/>
        </w:rPr>
        <w:t>Centre universitaire de santé McGill (Hôpital général de Montréal) c. Syndicat des employés de l’Hôpital général de Montréal</w:t>
      </w:r>
      <w:r w:rsidRPr="008B62B8">
        <w:rPr>
          <w:lang w:val="fr-CA"/>
        </w:rPr>
        <w:t xml:space="preserve">, 2007 CSC 4, [2007] 1 R.C.S. 161; </w:t>
      </w:r>
      <w:r w:rsidRPr="008B62B8">
        <w:rPr>
          <w:i/>
          <w:lang w:val="fr-CA"/>
        </w:rPr>
        <w:t>Moore c. Colombie</w:t>
      </w:r>
      <w:r w:rsidR="002667A4" w:rsidRPr="008B62B8">
        <w:rPr>
          <w:i/>
          <w:lang w:val="fr-CA"/>
        </w:rPr>
        <w:noBreakHyphen/>
      </w:r>
      <w:r w:rsidRPr="008B62B8">
        <w:rPr>
          <w:i/>
          <w:lang w:val="fr-CA"/>
        </w:rPr>
        <w:t>Britannique (Éducation)</w:t>
      </w:r>
      <w:r w:rsidRPr="008B62B8">
        <w:rPr>
          <w:lang w:val="fr-CA"/>
        </w:rPr>
        <w:t>, 201</w:t>
      </w:r>
      <w:r w:rsidR="00F75ADD" w:rsidRPr="008B62B8">
        <w:rPr>
          <w:lang w:val="fr-CA"/>
        </w:rPr>
        <w:t xml:space="preserve">2 CSC 61, [2012] 3 R.C.S. 360; </w:t>
      </w:r>
      <w:r w:rsidRPr="008B62B8">
        <w:rPr>
          <w:i/>
          <w:lang w:val="fr-CA"/>
        </w:rPr>
        <w:t>Colombie</w:t>
      </w:r>
      <w:r w:rsidR="002667A4" w:rsidRPr="008B62B8">
        <w:rPr>
          <w:i/>
          <w:lang w:val="fr-CA"/>
        </w:rPr>
        <w:noBreakHyphen/>
      </w:r>
      <w:r w:rsidRPr="008B62B8">
        <w:rPr>
          <w:i/>
          <w:lang w:val="fr-CA"/>
        </w:rPr>
        <w:t>Britannique (Superintendent of Motor Vehicles) c. Colombie</w:t>
      </w:r>
      <w:r w:rsidR="002667A4" w:rsidRPr="008B62B8">
        <w:rPr>
          <w:i/>
          <w:lang w:val="fr-CA"/>
        </w:rPr>
        <w:noBreakHyphen/>
      </w:r>
      <w:r w:rsidRPr="008B62B8">
        <w:rPr>
          <w:i/>
          <w:lang w:val="fr-CA"/>
        </w:rPr>
        <w:t>Britannique (Council of Human Rights)</w:t>
      </w:r>
      <w:r w:rsidRPr="008B62B8">
        <w:rPr>
          <w:lang w:val="fr-CA"/>
        </w:rPr>
        <w:t xml:space="preserve">, [1999] 3 R.C.S. 868; </w:t>
      </w:r>
      <w:r w:rsidRPr="008B62B8">
        <w:rPr>
          <w:i/>
          <w:lang w:val="fr-CA"/>
        </w:rPr>
        <w:t>Québec (Commission des droits de la personne et des droits de la jeunesse) c. Montréal (Ville)</w:t>
      </w:r>
      <w:r w:rsidRPr="008B62B8">
        <w:rPr>
          <w:lang w:val="fr-CA"/>
        </w:rPr>
        <w:t xml:space="preserve">, 2000 CSC 27, [2000] 1 R.C.S. 665; </w:t>
      </w:r>
      <w:r w:rsidRPr="008B62B8">
        <w:rPr>
          <w:i/>
          <w:lang w:val="fr-CA"/>
        </w:rPr>
        <w:t>Janzen c. Platy Enterprises Ltd.</w:t>
      </w:r>
      <w:r w:rsidRPr="008B62B8">
        <w:rPr>
          <w:lang w:val="fr-CA"/>
        </w:rPr>
        <w:t>,</w:t>
      </w:r>
      <w:r w:rsidRPr="008B62B8">
        <w:rPr>
          <w:i/>
          <w:lang w:val="fr-CA"/>
        </w:rPr>
        <w:t xml:space="preserve"> </w:t>
      </w:r>
      <w:r w:rsidR="00F75ADD" w:rsidRPr="008B62B8">
        <w:rPr>
          <w:lang w:val="fr-CA"/>
        </w:rPr>
        <w:t xml:space="preserve">[1989] 1 R.C.S. 1252; </w:t>
      </w:r>
      <w:r w:rsidRPr="008B62B8">
        <w:rPr>
          <w:i/>
          <w:lang w:val="fr-CA"/>
        </w:rPr>
        <w:t>Desroches c. Commission des droits de la personne</w:t>
      </w:r>
      <w:r w:rsidRPr="008B62B8">
        <w:rPr>
          <w:lang w:val="fr-CA"/>
        </w:rPr>
        <w:t>,</w:t>
      </w:r>
      <w:r w:rsidRPr="008B62B8">
        <w:rPr>
          <w:i/>
          <w:lang w:val="fr-CA"/>
        </w:rPr>
        <w:t xml:space="preserve"> </w:t>
      </w:r>
      <w:r w:rsidRPr="008B62B8">
        <w:rPr>
          <w:lang w:val="fr-CA"/>
        </w:rPr>
        <w:t xml:space="preserve">[1997] R.J.Q. 1540; </w:t>
      </w:r>
      <w:r w:rsidRPr="008B62B8">
        <w:rPr>
          <w:i/>
          <w:lang w:val="fr-CA"/>
        </w:rPr>
        <w:t>Commission des droits de la personne et de</w:t>
      </w:r>
      <w:r w:rsidR="005810A9" w:rsidRPr="008B62B8">
        <w:rPr>
          <w:i/>
          <w:lang w:val="fr-CA"/>
        </w:rPr>
        <w:t xml:space="preserve">s droits de la jeunesse </w:t>
      </w:r>
      <w:r w:rsidRPr="008B62B8">
        <w:rPr>
          <w:i/>
          <w:lang w:val="fr-CA"/>
        </w:rPr>
        <w:t>c. Remorquage Sud</w:t>
      </w:r>
      <w:r w:rsidR="002667A4" w:rsidRPr="008B62B8">
        <w:rPr>
          <w:i/>
          <w:lang w:val="fr-CA"/>
        </w:rPr>
        <w:noBreakHyphen/>
      </w:r>
      <w:r w:rsidRPr="008B62B8">
        <w:rPr>
          <w:i/>
          <w:lang w:val="fr-CA"/>
        </w:rPr>
        <w:t>Ouest (9148</w:t>
      </w:r>
      <w:r w:rsidR="002667A4" w:rsidRPr="008B62B8">
        <w:rPr>
          <w:i/>
          <w:lang w:val="fr-CA"/>
        </w:rPr>
        <w:noBreakHyphen/>
      </w:r>
      <w:r w:rsidRPr="008B62B8">
        <w:rPr>
          <w:i/>
          <w:lang w:val="fr-CA"/>
        </w:rPr>
        <w:t>7314 Québec inc.)</w:t>
      </w:r>
      <w:r w:rsidRPr="008B62B8">
        <w:rPr>
          <w:lang w:val="fr-CA"/>
        </w:rPr>
        <w:t xml:space="preserve">, 2010 QCTDP 12; </w:t>
      </w:r>
      <w:r w:rsidRPr="008B62B8">
        <w:rPr>
          <w:i/>
          <w:lang w:val="fr-CA"/>
        </w:rPr>
        <w:t>St</w:t>
      </w:r>
      <w:r w:rsidR="002667A4" w:rsidRPr="008B62B8">
        <w:rPr>
          <w:i/>
          <w:lang w:val="fr-CA"/>
        </w:rPr>
        <w:noBreakHyphen/>
      </w:r>
      <w:r w:rsidRPr="008B62B8">
        <w:rPr>
          <w:i/>
          <w:lang w:val="fr-CA"/>
        </w:rPr>
        <w:t>Éloi c. Rivard</w:t>
      </w:r>
      <w:r w:rsidRPr="008B62B8">
        <w:rPr>
          <w:lang w:val="fr-CA"/>
        </w:rPr>
        <w:t xml:space="preserve">, 2018 QCTDP 2; </w:t>
      </w:r>
      <w:r w:rsidRPr="008B62B8">
        <w:rPr>
          <w:i/>
          <w:lang w:val="fr-CA"/>
        </w:rPr>
        <w:t>Commission des droits de la personne et des dro</w:t>
      </w:r>
      <w:r w:rsidR="005810A9" w:rsidRPr="008B62B8">
        <w:rPr>
          <w:i/>
          <w:lang w:val="fr-CA"/>
        </w:rPr>
        <w:t xml:space="preserve">its de la jeunesse </w:t>
      </w:r>
      <w:r w:rsidRPr="008B62B8">
        <w:rPr>
          <w:i/>
          <w:lang w:val="fr-CA"/>
        </w:rPr>
        <w:t>c. Camirand</w:t>
      </w:r>
      <w:r w:rsidRPr="008B62B8">
        <w:rPr>
          <w:lang w:val="fr-CA"/>
        </w:rPr>
        <w:t xml:space="preserve">, 2008 QCTDP 11; </w:t>
      </w:r>
      <w:r w:rsidRPr="008B62B8">
        <w:rPr>
          <w:i/>
          <w:lang w:val="fr-CA"/>
        </w:rPr>
        <w:t xml:space="preserve">Commission des droits de la personne et des droits </w:t>
      </w:r>
      <w:r w:rsidR="005810A9" w:rsidRPr="008B62B8">
        <w:rPr>
          <w:i/>
          <w:lang w:val="fr-CA"/>
        </w:rPr>
        <w:t>de la jeunesse</w:t>
      </w:r>
      <w:r w:rsidRPr="008B62B8" w:rsidDel="003A5D18">
        <w:rPr>
          <w:i/>
          <w:lang w:val="fr-CA"/>
        </w:rPr>
        <w:t xml:space="preserve"> </w:t>
      </w:r>
      <w:r w:rsidRPr="008B62B8">
        <w:rPr>
          <w:i/>
          <w:lang w:val="fr-CA"/>
        </w:rPr>
        <w:t>c. Paradis</w:t>
      </w:r>
      <w:r w:rsidRPr="008B62B8">
        <w:rPr>
          <w:lang w:val="fr-CA"/>
        </w:rPr>
        <w:t xml:space="preserve">, 2016 QCTDP 17; </w:t>
      </w:r>
      <w:r w:rsidRPr="008B62B8">
        <w:rPr>
          <w:i/>
          <w:lang w:val="fr-CA"/>
        </w:rPr>
        <w:t>Commission des droits de la personne et des</w:t>
      </w:r>
      <w:r w:rsidR="005810A9" w:rsidRPr="008B62B8">
        <w:rPr>
          <w:i/>
          <w:lang w:val="fr-CA"/>
        </w:rPr>
        <w:t xml:space="preserve"> droits de la jeunesse</w:t>
      </w:r>
      <w:r w:rsidRPr="008B62B8">
        <w:rPr>
          <w:i/>
          <w:lang w:val="fr-CA"/>
        </w:rPr>
        <w:t xml:space="preserve"> c. Quenneville</w:t>
      </w:r>
      <w:r w:rsidRPr="008B62B8">
        <w:rPr>
          <w:lang w:val="fr-CA"/>
        </w:rPr>
        <w:t xml:space="preserve">, 2019 QCTDP 18; </w:t>
      </w:r>
      <w:r w:rsidRPr="008B62B8">
        <w:rPr>
          <w:i/>
          <w:lang w:val="fr-CA"/>
        </w:rPr>
        <w:t>De Gaston c. Wojcik</w:t>
      </w:r>
      <w:r w:rsidRPr="008B62B8">
        <w:rPr>
          <w:lang w:val="fr-CA"/>
        </w:rPr>
        <w:t xml:space="preserve">, 2012 QCTDP 20; </w:t>
      </w:r>
      <w:r w:rsidRPr="008B62B8">
        <w:rPr>
          <w:i/>
          <w:lang w:val="fr-CA"/>
        </w:rPr>
        <w:t>Commission des droits de la personne et des droits de l</w:t>
      </w:r>
      <w:r w:rsidR="005810A9" w:rsidRPr="008B62B8">
        <w:rPr>
          <w:i/>
          <w:lang w:val="fr-CA"/>
        </w:rPr>
        <w:t xml:space="preserve">a jeunesse </w:t>
      </w:r>
      <w:r w:rsidRPr="008B62B8">
        <w:rPr>
          <w:i/>
          <w:lang w:val="fr-CA"/>
        </w:rPr>
        <w:t>c. Brisson</w:t>
      </w:r>
      <w:r w:rsidRPr="008B62B8">
        <w:rPr>
          <w:lang w:val="fr-CA"/>
        </w:rPr>
        <w:t xml:space="preserve">, 2009 QCTDP 3; </w:t>
      </w:r>
      <w:r w:rsidRPr="008B62B8">
        <w:rPr>
          <w:i/>
          <w:lang w:val="fr-CA"/>
        </w:rPr>
        <w:t>Eldridge c. Colombie</w:t>
      </w:r>
      <w:r w:rsidR="002667A4" w:rsidRPr="008B62B8">
        <w:rPr>
          <w:i/>
          <w:lang w:val="fr-CA"/>
        </w:rPr>
        <w:noBreakHyphen/>
      </w:r>
      <w:r w:rsidRPr="008B62B8">
        <w:rPr>
          <w:i/>
          <w:lang w:val="fr-CA"/>
        </w:rPr>
        <w:t>Britannique (Procureur général)</w:t>
      </w:r>
      <w:r w:rsidRPr="008B62B8">
        <w:rPr>
          <w:lang w:val="fr-CA"/>
        </w:rPr>
        <w:t>,</w:t>
      </w:r>
      <w:r w:rsidRPr="008B62B8">
        <w:rPr>
          <w:i/>
          <w:lang w:val="fr-CA"/>
        </w:rPr>
        <w:t xml:space="preserve"> </w:t>
      </w:r>
      <w:r w:rsidRPr="008B62B8">
        <w:rPr>
          <w:lang w:val="fr-CA"/>
        </w:rPr>
        <w:t xml:space="preserve">[1997] 3 R.C.S. 624; </w:t>
      </w:r>
      <w:r w:rsidRPr="008B62B8">
        <w:rPr>
          <w:i/>
          <w:lang w:val="fr-CA"/>
        </w:rPr>
        <w:t>Commission scolaire régionale de Chambly c. Bergevin</w:t>
      </w:r>
      <w:r w:rsidRPr="008B62B8">
        <w:rPr>
          <w:lang w:val="fr-CA"/>
        </w:rPr>
        <w:t xml:space="preserve">, [1994] 2 R.C.S. 525; </w:t>
      </w:r>
      <w:r w:rsidRPr="008B62B8">
        <w:rPr>
          <w:i/>
          <w:lang w:val="fr-CA"/>
        </w:rPr>
        <w:t>Andrews c. Law Society of British Columbia</w:t>
      </w:r>
      <w:r w:rsidRPr="008B62B8">
        <w:rPr>
          <w:lang w:val="fr-CA"/>
        </w:rPr>
        <w:t>,</w:t>
      </w:r>
      <w:r w:rsidRPr="008B62B8">
        <w:rPr>
          <w:i/>
          <w:lang w:val="fr-CA"/>
        </w:rPr>
        <w:t xml:space="preserve"> </w:t>
      </w:r>
      <w:r w:rsidRPr="008B62B8">
        <w:rPr>
          <w:lang w:val="fr-CA"/>
        </w:rPr>
        <w:t>[1989] 1 R.C.S. 143;</w:t>
      </w:r>
      <w:r w:rsidR="00276F58" w:rsidRPr="008B62B8">
        <w:rPr>
          <w:lang w:val="fr-CA"/>
        </w:rPr>
        <w:t xml:space="preserve"> </w:t>
      </w:r>
      <w:r w:rsidR="00276F58" w:rsidRPr="008B62B8">
        <w:rPr>
          <w:i/>
          <w:lang w:val="fr-CA"/>
        </w:rPr>
        <w:t>Dennis c. United States</w:t>
      </w:r>
      <w:r w:rsidR="00276F58" w:rsidRPr="008B62B8">
        <w:rPr>
          <w:lang w:val="fr-CA"/>
        </w:rPr>
        <w:t>, 339 U.S. 162 (1950);</w:t>
      </w:r>
      <w:r w:rsidRPr="008B62B8">
        <w:rPr>
          <w:lang w:val="fr-CA"/>
        </w:rPr>
        <w:t xml:space="preserve"> </w:t>
      </w:r>
      <w:r w:rsidRPr="008B62B8">
        <w:rPr>
          <w:i/>
          <w:lang w:val="fr-CA"/>
        </w:rPr>
        <w:t>Withler c. Canada (Procureur général)</w:t>
      </w:r>
      <w:r w:rsidRPr="008B62B8">
        <w:rPr>
          <w:lang w:val="fr-CA"/>
        </w:rPr>
        <w:t xml:space="preserve">, 2011 CSC 12, [2011] 1 R.C.S. 396; </w:t>
      </w:r>
      <w:r w:rsidRPr="008B62B8">
        <w:rPr>
          <w:i/>
          <w:lang w:val="fr-CA"/>
        </w:rPr>
        <w:t>Mouvement laïque québécois c. Saguenay (Ville)</w:t>
      </w:r>
      <w:r w:rsidRPr="008B62B8">
        <w:rPr>
          <w:lang w:val="fr-CA"/>
        </w:rPr>
        <w:t xml:space="preserve">, 2015 CSC 16, [2015] 2 R.C.S. 3; </w:t>
      </w:r>
      <w:r w:rsidRPr="008B62B8">
        <w:rPr>
          <w:i/>
          <w:lang w:val="fr-CA"/>
        </w:rPr>
        <w:t>Commission ontarienne des droits de la personne c. Simpsons</w:t>
      </w:r>
      <w:r w:rsidR="002667A4" w:rsidRPr="008B62B8">
        <w:rPr>
          <w:i/>
          <w:lang w:val="fr-CA"/>
        </w:rPr>
        <w:noBreakHyphen/>
      </w:r>
      <w:r w:rsidRPr="008B62B8">
        <w:rPr>
          <w:i/>
          <w:lang w:val="fr-CA"/>
        </w:rPr>
        <w:t>Sears Ltd.</w:t>
      </w:r>
      <w:r w:rsidRPr="008B62B8">
        <w:rPr>
          <w:lang w:val="fr-CA"/>
        </w:rPr>
        <w:t xml:space="preserve">, [1985] 2 R.C.S. 536; </w:t>
      </w:r>
      <w:r w:rsidRPr="008B62B8">
        <w:rPr>
          <w:i/>
          <w:lang w:val="fr-CA"/>
        </w:rPr>
        <w:t>Saskatchewan (Human Rights Commission) c. Whatcott</w:t>
      </w:r>
      <w:r w:rsidRPr="008B62B8">
        <w:rPr>
          <w:lang w:val="fr-CA"/>
        </w:rPr>
        <w:t>, 2013 CSC 11,</w:t>
      </w:r>
      <w:r w:rsidRPr="008B62B8">
        <w:rPr>
          <w:i/>
          <w:lang w:val="fr-CA"/>
        </w:rPr>
        <w:t xml:space="preserve"> </w:t>
      </w:r>
      <w:r w:rsidRPr="008B62B8">
        <w:rPr>
          <w:lang w:val="fr-CA"/>
        </w:rPr>
        <w:t>[2013] 1 R.C.S. 467</w:t>
      </w:r>
      <w:r w:rsidR="00335AB1" w:rsidRPr="008B62B8">
        <w:rPr>
          <w:lang w:val="fr-CA"/>
        </w:rPr>
        <w:t xml:space="preserve">; </w:t>
      </w:r>
      <w:r w:rsidR="00335AB1" w:rsidRPr="008B62B8">
        <w:rPr>
          <w:i/>
          <w:lang w:val="fr-CA"/>
        </w:rPr>
        <w:t>Canada (Commission des droits de la personne) c. Taylor</w:t>
      </w:r>
      <w:r w:rsidR="00F75ADD" w:rsidRPr="008B62B8">
        <w:rPr>
          <w:lang w:val="fr-CA"/>
        </w:rPr>
        <w:t xml:space="preserve">, </w:t>
      </w:r>
      <w:r w:rsidR="00335AB1" w:rsidRPr="008B62B8">
        <w:rPr>
          <w:lang w:val="fr-CA"/>
        </w:rPr>
        <w:t xml:space="preserve">[1990] 3 R.C.S. 892; </w:t>
      </w:r>
      <w:r w:rsidR="00335AB1" w:rsidRPr="008B62B8">
        <w:rPr>
          <w:i/>
          <w:lang w:val="fr-CA"/>
        </w:rPr>
        <w:t>Société Radio</w:t>
      </w:r>
      <w:r w:rsidR="002667A4" w:rsidRPr="008B62B8">
        <w:rPr>
          <w:i/>
          <w:lang w:val="fr-CA"/>
        </w:rPr>
        <w:noBreakHyphen/>
      </w:r>
      <w:r w:rsidR="00335AB1" w:rsidRPr="008B62B8">
        <w:rPr>
          <w:i/>
          <w:lang w:val="fr-CA"/>
        </w:rPr>
        <w:t>Canada c. Canada (Procureur général)</w:t>
      </w:r>
      <w:r w:rsidR="00335AB1" w:rsidRPr="008B62B8">
        <w:rPr>
          <w:lang w:val="fr-CA"/>
        </w:rPr>
        <w:t xml:space="preserve">, 2011 CSC 2, [2011] 1 R.C.S. 19; </w:t>
      </w:r>
      <w:r w:rsidR="00335AB1" w:rsidRPr="008B62B8">
        <w:rPr>
          <w:i/>
          <w:lang w:val="fr-CA"/>
        </w:rPr>
        <w:t>Commission des droits de la personne et des droits de la jeunesse c. Sfiridis</w:t>
      </w:r>
      <w:r w:rsidR="00335AB1" w:rsidRPr="008B62B8">
        <w:rPr>
          <w:lang w:val="fr-CA"/>
        </w:rPr>
        <w:t xml:space="preserve">, 2002 QCTDP 42 (CanLII); </w:t>
      </w:r>
      <w:r w:rsidR="00335AB1" w:rsidRPr="008B62B8">
        <w:rPr>
          <w:i/>
          <w:lang w:val="fr-CA"/>
        </w:rPr>
        <w:t>McCoy c. McCoy</w:t>
      </w:r>
      <w:r w:rsidR="00335AB1" w:rsidRPr="008B62B8">
        <w:rPr>
          <w:lang w:val="fr-CA"/>
        </w:rPr>
        <w:t xml:space="preserve">, 2014 QCCS 286; </w:t>
      </w:r>
      <w:r w:rsidR="00335AB1" w:rsidRPr="008B62B8">
        <w:rPr>
          <w:i/>
          <w:lang w:val="fr-CA"/>
        </w:rPr>
        <w:t>Bou Malhab c. Diffusion Métromédia CMR inc.</w:t>
      </w:r>
      <w:r w:rsidR="00335AB1" w:rsidRPr="008B62B8">
        <w:rPr>
          <w:lang w:val="fr-CA"/>
        </w:rPr>
        <w:t xml:space="preserve">, 2011 CSC 9, [2011] 1 R.C.S. 214; </w:t>
      </w:r>
      <w:r w:rsidR="00335AB1" w:rsidRPr="008B62B8">
        <w:rPr>
          <w:i/>
          <w:lang w:val="fr-CA"/>
        </w:rPr>
        <w:t>British Columbia Human Rights Tribunal c. Schrenk</w:t>
      </w:r>
      <w:r w:rsidR="00335AB1" w:rsidRPr="008B62B8">
        <w:rPr>
          <w:lang w:val="fr-CA"/>
        </w:rPr>
        <w:t xml:space="preserve">, 2017 CSC 62, [2017] 2 R.C.S. 795; </w:t>
      </w:r>
      <w:r w:rsidR="00335AB1" w:rsidRPr="008B62B8">
        <w:rPr>
          <w:i/>
          <w:lang w:val="fr-CA"/>
        </w:rPr>
        <w:t>Canadian Centre for Bio</w:t>
      </w:r>
      <w:r w:rsidR="002667A4" w:rsidRPr="008B62B8">
        <w:rPr>
          <w:i/>
          <w:lang w:val="fr-CA"/>
        </w:rPr>
        <w:noBreakHyphen/>
      </w:r>
      <w:r w:rsidR="00335AB1" w:rsidRPr="008B62B8">
        <w:rPr>
          <w:i/>
          <w:lang w:val="fr-CA"/>
        </w:rPr>
        <w:t>Ethical Reform c. Grande Prairie (City)</w:t>
      </w:r>
      <w:r w:rsidR="00335AB1" w:rsidRPr="008B62B8">
        <w:rPr>
          <w:lang w:val="fr-CA"/>
        </w:rPr>
        <w:t xml:space="preserve">, 2018 ABCA 154, 67 Alta. L.R. (6th) 230; </w:t>
      </w:r>
      <w:r w:rsidR="00335AB1" w:rsidRPr="008B62B8">
        <w:rPr>
          <w:i/>
          <w:lang w:val="fr-CA"/>
        </w:rPr>
        <w:t>Commission des droits de la personne et d</w:t>
      </w:r>
      <w:r w:rsidR="003546AA" w:rsidRPr="008B62B8">
        <w:rPr>
          <w:i/>
          <w:lang w:val="fr-CA"/>
        </w:rPr>
        <w:t xml:space="preserve">es droits de la jeunesse </w:t>
      </w:r>
      <w:r w:rsidR="00335AB1" w:rsidRPr="008B62B8">
        <w:rPr>
          <w:i/>
          <w:lang w:val="fr-CA"/>
        </w:rPr>
        <w:t>c. Chamberland</w:t>
      </w:r>
      <w:r w:rsidR="00335AB1" w:rsidRPr="008B62B8">
        <w:rPr>
          <w:lang w:val="fr-CA"/>
        </w:rPr>
        <w:t xml:space="preserve">, 2013 QCTDP 37; </w:t>
      </w:r>
      <w:r w:rsidR="00335AB1" w:rsidRPr="008B62B8">
        <w:rPr>
          <w:i/>
          <w:lang w:val="fr-CA"/>
        </w:rPr>
        <w:t>Yapi c. Moustafa</w:t>
      </w:r>
      <w:r w:rsidR="00335AB1" w:rsidRPr="008B62B8">
        <w:rPr>
          <w:lang w:val="fr-CA"/>
        </w:rPr>
        <w:t xml:space="preserve">, 2021 QCTDP 9; </w:t>
      </w:r>
      <w:r w:rsidR="00335AB1" w:rsidRPr="008B62B8">
        <w:rPr>
          <w:i/>
          <w:lang w:val="fr-CA"/>
        </w:rPr>
        <w:t>Ferdia c. 9142</w:t>
      </w:r>
      <w:r w:rsidR="002667A4" w:rsidRPr="008B62B8">
        <w:rPr>
          <w:i/>
          <w:lang w:val="fr-CA"/>
        </w:rPr>
        <w:noBreakHyphen/>
      </w:r>
      <w:r w:rsidR="00335AB1" w:rsidRPr="008B62B8">
        <w:rPr>
          <w:i/>
          <w:lang w:val="fr-CA"/>
        </w:rPr>
        <w:t>7963 Québec inc.</w:t>
      </w:r>
      <w:r w:rsidR="00335AB1" w:rsidRPr="008B62B8">
        <w:rPr>
          <w:lang w:val="fr-CA"/>
        </w:rPr>
        <w:t xml:space="preserve">, 2021 QCTDP 2; </w:t>
      </w:r>
      <w:r w:rsidR="00335AB1" w:rsidRPr="008B62B8">
        <w:rPr>
          <w:i/>
          <w:lang w:val="fr-CA"/>
        </w:rPr>
        <w:t>Québec (Curateur public) c. Synd</w:t>
      </w:r>
      <w:r w:rsidR="00056B60" w:rsidRPr="008B62B8">
        <w:rPr>
          <w:i/>
          <w:lang w:val="fr-CA"/>
        </w:rPr>
        <w:t>icat national des employés de l’</w:t>
      </w:r>
      <w:r w:rsidR="00335AB1" w:rsidRPr="008B62B8">
        <w:rPr>
          <w:i/>
          <w:lang w:val="fr-CA"/>
        </w:rPr>
        <w:t>hôpital St</w:t>
      </w:r>
      <w:r w:rsidR="002667A4" w:rsidRPr="008B62B8">
        <w:rPr>
          <w:i/>
          <w:lang w:val="fr-CA"/>
        </w:rPr>
        <w:noBreakHyphen/>
      </w:r>
      <w:r w:rsidR="00335AB1" w:rsidRPr="008B62B8">
        <w:rPr>
          <w:i/>
          <w:lang w:val="fr-CA"/>
        </w:rPr>
        <w:t>Ferdinand</w:t>
      </w:r>
      <w:r w:rsidR="00335AB1" w:rsidRPr="008B62B8">
        <w:rPr>
          <w:lang w:val="fr-CA"/>
        </w:rPr>
        <w:t xml:space="preserve">, [1996] 3 R.C.S. 211; </w:t>
      </w:r>
      <w:r w:rsidR="00335AB1" w:rsidRPr="008B62B8">
        <w:rPr>
          <w:i/>
          <w:lang w:val="fr-CA"/>
        </w:rPr>
        <w:t>R</w:t>
      </w:r>
      <w:r w:rsidR="00A301F1" w:rsidRPr="008B62B8">
        <w:rPr>
          <w:i/>
          <w:lang w:val="fr-CA"/>
        </w:rPr>
        <w:t>.</w:t>
      </w:r>
      <w:r w:rsidR="00335AB1" w:rsidRPr="008B62B8">
        <w:rPr>
          <w:i/>
          <w:lang w:val="fr-CA"/>
        </w:rPr>
        <w:t xml:space="preserve"> c. Kapp</w:t>
      </w:r>
      <w:r w:rsidR="00335AB1" w:rsidRPr="008B62B8">
        <w:rPr>
          <w:lang w:val="fr-CA"/>
        </w:rPr>
        <w:t>, 2008 CSC 41,</w:t>
      </w:r>
      <w:r w:rsidR="00335AB1" w:rsidRPr="008B62B8">
        <w:rPr>
          <w:i/>
          <w:lang w:val="fr-CA"/>
        </w:rPr>
        <w:t xml:space="preserve"> </w:t>
      </w:r>
      <w:r w:rsidR="00335AB1" w:rsidRPr="008B62B8">
        <w:rPr>
          <w:lang w:val="fr-CA"/>
        </w:rPr>
        <w:t xml:space="preserve">[2008] 2 R.C.S. 483; </w:t>
      </w:r>
      <w:r w:rsidR="00335AB1" w:rsidRPr="008B62B8">
        <w:rPr>
          <w:i/>
          <w:lang w:val="fr-CA"/>
        </w:rPr>
        <w:t>Law c. Canada (Ministre de l’Emploi et de l’Immigration)</w:t>
      </w:r>
      <w:r w:rsidR="00335AB1" w:rsidRPr="008B62B8">
        <w:rPr>
          <w:lang w:val="fr-CA"/>
        </w:rPr>
        <w:t>,</w:t>
      </w:r>
      <w:r w:rsidR="00335AB1" w:rsidRPr="008B62B8">
        <w:rPr>
          <w:i/>
          <w:lang w:val="fr-CA"/>
        </w:rPr>
        <w:t xml:space="preserve"> </w:t>
      </w:r>
      <w:r w:rsidR="00335AB1" w:rsidRPr="008B62B8">
        <w:rPr>
          <w:lang w:val="fr-CA"/>
        </w:rPr>
        <w:t xml:space="preserve">[1999] 1 R.C.S. 497; </w:t>
      </w:r>
      <w:r w:rsidR="00335AB1" w:rsidRPr="008B62B8">
        <w:rPr>
          <w:i/>
          <w:lang w:val="fr-CA"/>
        </w:rPr>
        <w:t>Gauthier c. Beaumont</w:t>
      </w:r>
      <w:r w:rsidR="00335AB1" w:rsidRPr="008B62B8">
        <w:rPr>
          <w:lang w:val="fr-CA"/>
        </w:rPr>
        <w:t xml:space="preserve">, [1998] 2 R.C.S. 3; </w:t>
      </w:r>
      <w:r w:rsidR="00335AB1" w:rsidRPr="008B62B8">
        <w:rPr>
          <w:i/>
          <w:lang w:val="fr-CA"/>
        </w:rPr>
        <w:t>Cinar Corporation c. Robinson</w:t>
      </w:r>
      <w:r w:rsidR="00335AB1" w:rsidRPr="008B62B8">
        <w:rPr>
          <w:lang w:val="fr-CA"/>
        </w:rPr>
        <w:t xml:space="preserve">, 2013 CSC 73, [2013] 3 R.C.S. 1168; </w:t>
      </w:r>
      <w:r w:rsidR="00335AB1" w:rsidRPr="008B62B8">
        <w:rPr>
          <w:i/>
          <w:lang w:val="fr-CA"/>
        </w:rPr>
        <w:t>Procureur général du Canada c. Manoukian</w:t>
      </w:r>
      <w:r w:rsidR="00335AB1" w:rsidRPr="008B62B8">
        <w:rPr>
          <w:lang w:val="fr-CA"/>
        </w:rPr>
        <w:t xml:space="preserve">, 2020 QCCA 1486, 70 C.C.L.T. (4th) 182; </w:t>
      </w:r>
      <w:r w:rsidR="00335AB1" w:rsidRPr="008B62B8">
        <w:rPr>
          <w:i/>
          <w:lang w:val="fr-CA"/>
        </w:rPr>
        <w:t>Béliveau St‑Jacques c. Fédération des employées et employés de services publics inc.</w:t>
      </w:r>
      <w:r w:rsidR="00335AB1" w:rsidRPr="008B62B8">
        <w:rPr>
          <w:lang w:val="fr-CA"/>
        </w:rPr>
        <w:t>, [1996] 2 R.C.S. 345</w:t>
      </w:r>
      <w:r w:rsidR="005C7850" w:rsidRPr="008B62B8">
        <w:rPr>
          <w:lang w:val="fr-CA"/>
        </w:rPr>
        <w:t xml:space="preserve">; </w:t>
      </w:r>
      <w:r w:rsidR="005C7850" w:rsidRPr="008B62B8">
        <w:rPr>
          <w:i/>
          <w:lang w:val="fr-CA"/>
        </w:rPr>
        <w:t>Canadian Foundation for Children, Youth and the Law c. Canada (Procureur général)</w:t>
      </w:r>
      <w:r w:rsidR="005C7850" w:rsidRPr="008B62B8">
        <w:rPr>
          <w:lang w:val="fr-CA"/>
        </w:rPr>
        <w:t>,</w:t>
      </w:r>
      <w:r w:rsidR="005C7850" w:rsidRPr="008B62B8">
        <w:rPr>
          <w:i/>
          <w:lang w:val="fr-CA"/>
        </w:rPr>
        <w:t xml:space="preserve"> </w:t>
      </w:r>
      <w:r w:rsidR="005C7850" w:rsidRPr="008B62B8">
        <w:rPr>
          <w:lang w:val="fr-CA"/>
        </w:rPr>
        <w:t xml:space="preserve">2004 CSC 4, [2004] 1 R.C.S. 76; </w:t>
      </w:r>
      <w:r w:rsidR="00FC7860" w:rsidRPr="008B62B8">
        <w:rPr>
          <w:i/>
          <w:lang w:val="fr-CA"/>
        </w:rPr>
        <w:t>R. c. Sharpe</w:t>
      </w:r>
      <w:r w:rsidR="00FC7860" w:rsidRPr="008B62B8">
        <w:rPr>
          <w:lang w:val="fr-CA"/>
        </w:rPr>
        <w:t>,</w:t>
      </w:r>
      <w:r w:rsidR="00FC7860" w:rsidRPr="008B62B8">
        <w:rPr>
          <w:i/>
          <w:lang w:val="fr-CA"/>
        </w:rPr>
        <w:t xml:space="preserve"> </w:t>
      </w:r>
      <w:r w:rsidR="00FC7860" w:rsidRPr="008B62B8">
        <w:rPr>
          <w:lang w:val="fr-CA"/>
        </w:rPr>
        <w:t>2001 CSC 2,</w:t>
      </w:r>
      <w:r w:rsidR="00FC7860" w:rsidRPr="008B62B8">
        <w:rPr>
          <w:i/>
          <w:lang w:val="fr-CA"/>
        </w:rPr>
        <w:t xml:space="preserve"> </w:t>
      </w:r>
      <w:r w:rsidR="00FC7860" w:rsidRPr="008B62B8">
        <w:rPr>
          <w:lang w:val="fr-CA"/>
        </w:rPr>
        <w:t xml:space="preserve">[2001] 1 R.C.S. 45; </w:t>
      </w:r>
      <w:r w:rsidR="005C7850" w:rsidRPr="008B62B8">
        <w:rPr>
          <w:i/>
          <w:lang w:val="fr-CA"/>
        </w:rPr>
        <w:t>R. c. D.B.</w:t>
      </w:r>
      <w:r w:rsidR="005C7850" w:rsidRPr="008B62B8">
        <w:rPr>
          <w:lang w:val="fr-CA"/>
        </w:rPr>
        <w:t xml:space="preserve">, 2008 CSC 25, [2008] 2 R.C.S. 3; </w:t>
      </w:r>
      <w:r w:rsidR="005C7850" w:rsidRPr="008B62B8">
        <w:rPr>
          <w:i/>
          <w:lang w:val="fr-CA"/>
        </w:rPr>
        <w:t>A.B. c. Bragg Communications Inc.</w:t>
      </w:r>
      <w:r w:rsidR="005C7850" w:rsidRPr="008B62B8">
        <w:rPr>
          <w:lang w:val="fr-CA"/>
        </w:rPr>
        <w:t xml:space="preserve">, 2012 CSC 46, [2012] 2 R.C.S. 567; </w:t>
      </w:r>
      <w:r w:rsidR="005C7850" w:rsidRPr="008B62B8">
        <w:rPr>
          <w:i/>
          <w:lang w:val="fr-CA"/>
        </w:rPr>
        <w:t>Québec (Commission des droits de la personne et des droits de la jeunesse) c. Communauté urbaine de Montréal</w:t>
      </w:r>
      <w:r w:rsidR="005C7850" w:rsidRPr="008B62B8">
        <w:rPr>
          <w:lang w:val="fr-CA"/>
        </w:rPr>
        <w:t xml:space="preserve">, 2004 CSC 30, [2004] 1 R.C.S. 789; </w:t>
      </w:r>
      <w:r w:rsidR="005C7850" w:rsidRPr="008B62B8">
        <w:rPr>
          <w:i/>
          <w:lang w:val="fr-CA"/>
        </w:rPr>
        <w:t>de Montigny c. Brossard (Succession)</w:t>
      </w:r>
      <w:r w:rsidR="005C7850" w:rsidRPr="008B62B8">
        <w:rPr>
          <w:lang w:val="fr-CA"/>
        </w:rPr>
        <w:t xml:space="preserve">, 2010 CSC 51, [2010] 3 R.C.S. 64; </w:t>
      </w:r>
      <w:r w:rsidR="005C7850" w:rsidRPr="008B62B8">
        <w:rPr>
          <w:i/>
          <w:lang w:val="fr-CA"/>
        </w:rPr>
        <w:t>Derbal c. Tchassao</w:t>
      </w:r>
      <w:r w:rsidR="005C7850" w:rsidRPr="008B62B8">
        <w:rPr>
          <w:lang w:val="fr-CA"/>
        </w:rPr>
        <w:t xml:space="preserve">, 2021 QCTDP 11; </w:t>
      </w:r>
      <w:r w:rsidR="005C7850" w:rsidRPr="008B62B8">
        <w:rPr>
          <w:i/>
          <w:lang w:val="fr-CA"/>
        </w:rPr>
        <w:t>Commission des droits de la personne et des droits</w:t>
      </w:r>
      <w:r w:rsidR="003546AA" w:rsidRPr="008B62B8">
        <w:rPr>
          <w:i/>
          <w:lang w:val="fr-CA"/>
        </w:rPr>
        <w:t xml:space="preserve"> de la jeunesse</w:t>
      </w:r>
      <w:r w:rsidR="005C7850" w:rsidRPr="008B62B8">
        <w:rPr>
          <w:i/>
          <w:lang w:val="fr-CA"/>
        </w:rPr>
        <w:t xml:space="preserve"> c. Ville de Longueuil</w:t>
      </w:r>
      <w:r w:rsidR="005C7850" w:rsidRPr="008B62B8">
        <w:rPr>
          <w:lang w:val="fr-CA"/>
        </w:rPr>
        <w:t xml:space="preserve">, 2020 QCTDP 21; </w:t>
      </w:r>
      <w:r w:rsidR="005C7850" w:rsidRPr="008B62B8">
        <w:rPr>
          <w:i/>
          <w:lang w:val="fr-CA"/>
        </w:rPr>
        <w:t>Laroche c. Lamothe</w:t>
      </w:r>
      <w:r w:rsidR="005C7850" w:rsidRPr="008B62B8">
        <w:rPr>
          <w:lang w:val="fr-CA"/>
        </w:rPr>
        <w:t xml:space="preserve">, 2018 QCCA 1726; </w:t>
      </w:r>
      <w:r w:rsidR="005C7850" w:rsidRPr="008B62B8">
        <w:rPr>
          <w:i/>
          <w:lang w:val="fr-CA"/>
        </w:rPr>
        <w:t>Ford c. Québec (Procureur général)</w:t>
      </w:r>
      <w:r w:rsidR="005C7850" w:rsidRPr="008B62B8">
        <w:rPr>
          <w:lang w:val="fr-CA"/>
        </w:rPr>
        <w:t xml:space="preserve">, [1988] 2 R.C.S. 712; </w:t>
      </w:r>
      <w:r w:rsidR="005C7850" w:rsidRPr="008B62B8">
        <w:rPr>
          <w:i/>
          <w:lang w:val="fr-CA"/>
        </w:rPr>
        <w:t>Devine</w:t>
      </w:r>
      <w:r w:rsidR="005C7850" w:rsidRPr="008B62B8">
        <w:rPr>
          <w:lang w:val="fr-CA"/>
        </w:rPr>
        <w:t xml:space="preserve"> </w:t>
      </w:r>
      <w:r w:rsidR="005C7850" w:rsidRPr="008B62B8">
        <w:rPr>
          <w:i/>
          <w:lang w:val="fr-CA"/>
        </w:rPr>
        <w:t>c.</w:t>
      </w:r>
      <w:r w:rsidR="005C7850" w:rsidRPr="008B62B8">
        <w:rPr>
          <w:lang w:val="fr-CA"/>
        </w:rPr>
        <w:t xml:space="preserve"> </w:t>
      </w:r>
      <w:r w:rsidR="005C7850" w:rsidRPr="008B62B8">
        <w:rPr>
          <w:i/>
          <w:lang w:val="fr-CA"/>
        </w:rPr>
        <w:t>Québec</w:t>
      </w:r>
      <w:r w:rsidR="005C7850" w:rsidRPr="008B62B8">
        <w:rPr>
          <w:lang w:val="fr-CA"/>
        </w:rPr>
        <w:t xml:space="preserve"> </w:t>
      </w:r>
      <w:r w:rsidR="005C7850" w:rsidRPr="008B62B8">
        <w:rPr>
          <w:i/>
          <w:lang w:val="fr-CA"/>
        </w:rPr>
        <w:t>(Procureur général)</w:t>
      </w:r>
      <w:r w:rsidR="005C7850" w:rsidRPr="008B62B8">
        <w:rPr>
          <w:lang w:val="fr-CA"/>
        </w:rPr>
        <w:t>, [1988] 2 R.C.S. 790</w:t>
      </w:r>
      <w:r w:rsidR="00E61509" w:rsidRPr="008B62B8">
        <w:rPr>
          <w:lang w:val="fr-CA"/>
        </w:rPr>
        <w:t xml:space="preserve">; </w:t>
      </w:r>
      <w:r w:rsidR="00E61509" w:rsidRPr="008B62B8">
        <w:rPr>
          <w:i/>
          <w:lang w:val="fr-CA"/>
        </w:rPr>
        <w:t>Irwin Toy Ltd. c. Québec (Procureur général)</w:t>
      </w:r>
      <w:r w:rsidR="00E61509" w:rsidRPr="008B62B8">
        <w:rPr>
          <w:lang w:val="fr-CA"/>
        </w:rPr>
        <w:t>,</w:t>
      </w:r>
      <w:r w:rsidR="00E61509" w:rsidRPr="008B62B8">
        <w:rPr>
          <w:i/>
          <w:lang w:val="fr-CA"/>
        </w:rPr>
        <w:t xml:space="preserve"> </w:t>
      </w:r>
      <w:r w:rsidR="00E61509" w:rsidRPr="008B62B8">
        <w:rPr>
          <w:lang w:val="fr-CA"/>
        </w:rPr>
        <w:t xml:space="preserve">[1989] 1 R.C.S. 927; </w:t>
      </w:r>
      <w:r w:rsidR="00E61509" w:rsidRPr="008B62B8">
        <w:rPr>
          <w:i/>
          <w:lang w:val="fr-CA"/>
        </w:rPr>
        <w:t>Bruker c. Marcovitz</w:t>
      </w:r>
      <w:r w:rsidR="00E61509" w:rsidRPr="008B62B8">
        <w:rPr>
          <w:lang w:val="fr-CA"/>
        </w:rPr>
        <w:t xml:space="preserve">, 2007 CSC 54, [2007] 3 R.C.S. 607; </w:t>
      </w:r>
      <w:r w:rsidR="00E61509" w:rsidRPr="008B62B8">
        <w:rPr>
          <w:i/>
          <w:lang w:val="fr-CA"/>
        </w:rPr>
        <w:t>Syndicat Northcrest c. Amselem</w:t>
      </w:r>
      <w:r w:rsidR="00E61509" w:rsidRPr="008B62B8">
        <w:rPr>
          <w:lang w:val="fr-CA"/>
        </w:rPr>
        <w:t xml:space="preserve">, 2004 CSC 47, [2004] 2 R.C.S. 551; </w:t>
      </w:r>
      <w:r w:rsidR="00E61509" w:rsidRPr="008B62B8">
        <w:rPr>
          <w:i/>
          <w:lang w:val="fr-CA"/>
        </w:rPr>
        <w:t>Aubry c. Éditions Vice</w:t>
      </w:r>
      <w:r w:rsidR="002667A4" w:rsidRPr="008B62B8">
        <w:rPr>
          <w:i/>
          <w:lang w:val="fr-CA"/>
        </w:rPr>
        <w:noBreakHyphen/>
      </w:r>
      <w:r w:rsidR="00E61509" w:rsidRPr="008B62B8">
        <w:rPr>
          <w:i/>
          <w:lang w:val="fr-CA"/>
        </w:rPr>
        <w:t>Versa inc.</w:t>
      </w:r>
      <w:r w:rsidR="00E61509" w:rsidRPr="008B62B8">
        <w:rPr>
          <w:lang w:val="fr-CA"/>
        </w:rPr>
        <w:t xml:space="preserve">, [1998] 1 R.C.S. 591; </w:t>
      </w:r>
      <w:r w:rsidR="00E61509" w:rsidRPr="008B62B8">
        <w:rPr>
          <w:i/>
          <w:lang w:val="fr-CA"/>
        </w:rPr>
        <w:t>R. c. Keegstra</w:t>
      </w:r>
      <w:r w:rsidR="00E61509" w:rsidRPr="008B62B8">
        <w:rPr>
          <w:lang w:val="fr-CA"/>
        </w:rPr>
        <w:t xml:space="preserve">, [1990] 3 R.C.S. 697; </w:t>
      </w:r>
      <w:r w:rsidR="00E61509" w:rsidRPr="008B62B8">
        <w:rPr>
          <w:i/>
          <w:lang w:val="fr-CA"/>
        </w:rPr>
        <w:t>R. c. Lucas</w:t>
      </w:r>
      <w:r w:rsidR="00E61509" w:rsidRPr="008B62B8">
        <w:rPr>
          <w:lang w:val="fr-CA"/>
        </w:rPr>
        <w:t xml:space="preserve">, [1998] 1 R.C.S. 439; </w:t>
      </w:r>
      <w:r w:rsidR="00E61509" w:rsidRPr="008B62B8">
        <w:rPr>
          <w:i/>
          <w:lang w:val="fr-CA"/>
        </w:rPr>
        <w:t>Gilles E. Néron Communication Marketing inc. c. Chambre des notaires du Québec</w:t>
      </w:r>
      <w:r w:rsidR="00E61509" w:rsidRPr="008B62B8">
        <w:rPr>
          <w:lang w:val="fr-CA"/>
        </w:rPr>
        <w:t xml:space="preserve">, 2004 CSC 53, [2004] 3 R.C.S. 95; </w:t>
      </w:r>
      <w:r w:rsidR="00E61509" w:rsidRPr="008B62B8">
        <w:rPr>
          <w:i/>
          <w:lang w:val="fr-CA"/>
        </w:rPr>
        <w:t>Prud’homme c. Prud’homme</w:t>
      </w:r>
      <w:r w:rsidR="00E61509" w:rsidRPr="008B62B8">
        <w:rPr>
          <w:lang w:val="fr-CA"/>
        </w:rPr>
        <w:t>, 2002 CSC 85, [2002] 4 R.C.S. 663</w:t>
      </w:r>
      <w:r w:rsidR="005F43B8" w:rsidRPr="008B62B8">
        <w:rPr>
          <w:lang w:val="fr-CA"/>
        </w:rPr>
        <w:t xml:space="preserve">; </w:t>
      </w:r>
      <w:r w:rsidR="005F43B8" w:rsidRPr="008B62B8">
        <w:rPr>
          <w:i/>
          <w:lang w:val="fr-CA"/>
        </w:rPr>
        <w:t>WIC Radio Ltd. c. Simpson</w:t>
      </w:r>
      <w:r w:rsidR="005F43B8" w:rsidRPr="008B62B8">
        <w:rPr>
          <w:lang w:val="fr-CA"/>
        </w:rPr>
        <w:t>,</w:t>
      </w:r>
      <w:r w:rsidR="005F43B8" w:rsidRPr="008B62B8">
        <w:rPr>
          <w:i/>
          <w:lang w:val="fr-CA"/>
        </w:rPr>
        <w:t xml:space="preserve"> </w:t>
      </w:r>
      <w:r w:rsidR="005F43B8" w:rsidRPr="008B62B8">
        <w:rPr>
          <w:lang w:val="fr-CA"/>
        </w:rPr>
        <w:t xml:space="preserve">2008 CSC 40, [2008] 2 R.C.S. 420; </w:t>
      </w:r>
      <w:r w:rsidR="005F43B8" w:rsidRPr="008B62B8">
        <w:rPr>
          <w:i/>
          <w:lang w:val="fr-CA"/>
        </w:rPr>
        <w:t>R. c. Butler</w:t>
      </w:r>
      <w:r w:rsidR="005F43B8" w:rsidRPr="008B62B8">
        <w:rPr>
          <w:lang w:val="fr-CA"/>
        </w:rPr>
        <w:t xml:space="preserve">, [1992] 1 R.C.S. 452; </w:t>
      </w:r>
      <w:r w:rsidR="005F43B8" w:rsidRPr="008B62B8">
        <w:rPr>
          <w:i/>
          <w:lang w:val="fr-CA"/>
        </w:rPr>
        <w:t>Rocket c. Collège royal des chirurgiens dentistes d’Ontario</w:t>
      </w:r>
      <w:r w:rsidR="005F43B8" w:rsidRPr="008B62B8">
        <w:rPr>
          <w:lang w:val="fr-CA"/>
        </w:rPr>
        <w:t xml:space="preserve">, [1990] 2 R.C.S. 232; </w:t>
      </w:r>
      <w:r w:rsidR="005F43B8" w:rsidRPr="008B62B8">
        <w:rPr>
          <w:i/>
          <w:lang w:val="fr-CA"/>
        </w:rPr>
        <w:t>RJR</w:t>
      </w:r>
      <w:r w:rsidR="002667A4" w:rsidRPr="008B62B8">
        <w:rPr>
          <w:i/>
          <w:lang w:val="fr-CA"/>
        </w:rPr>
        <w:noBreakHyphen/>
      </w:r>
      <w:r w:rsidR="005F43B8" w:rsidRPr="008B62B8">
        <w:rPr>
          <w:i/>
          <w:lang w:val="fr-CA"/>
        </w:rPr>
        <w:t>MacDonald Inc. c. Canada (Procureur général)</w:t>
      </w:r>
      <w:r w:rsidR="005F43B8" w:rsidRPr="008B62B8">
        <w:rPr>
          <w:lang w:val="fr-CA"/>
        </w:rPr>
        <w:t>,</w:t>
      </w:r>
      <w:r w:rsidR="005F43B8" w:rsidRPr="008B62B8">
        <w:rPr>
          <w:i/>
          <w:lang w:val="fr-CA"/>
        </w:rPr>
        <w:t xml:space="preserve"> </w:t>
      </w:r>
      <w:r w:rsidR="005F43B8" w:rsidRPr="008B62B8">
        <w:rPr>
          <w:lang w:val="fr-CA"/>
        </w:rPr>
        <w:t xml:space="preserve">[1995] 3 R.C.S. 199; </w:t>
      </w:r>
      <w:r w:rsidR="005F43B8" w:rsidRPr="008B62B8">
        <w:rPr>
          <w:i/>
          <w:lang w:val="fr-CA"/>
        </w:rPr>
        <w:t>Grant c. Torstar Corp.</w:t>
      </w:r>
      <w:r w:rsidR="005F43B8" w:rsidRPr="008B62B8">
        <w:rPr>
          <w:lang w:val="fr-CA"/>
        </w:rPr>
        <w:t xml:space="preserve">, 2009 CSC 61, [2009] 3 R.C.S. 640; </w:t>
      </w:r>
      <w:r w:rsidR="005F43B8" w:rsidRPr="008B62B8">
        <w:rPr>
          <w:i/>
          <w:lang w:val="fr-CA"/>
        </w:rPr>
        <w:t>Thomson Newspapers Co. c. Canada (Procureur général)</w:t>
      </w:r>
      <w:r w:rsidR="005F43B8" w:rsidRPr="008B62B8">
        <w:rPr>
          <w:lang w:val="fr-CA"/>
        </w:rPr>
        <w:t xml:space="preserve">, [1998] 1 R.C.S. 877; </w:t>
      </w:r>
      <w:r w:rsidR="005F43B8" w:rsidRPr="008B62B8">
        <w:rPr>
          <w:i/>
          <w:lang w:val="fr-CA"/>
        </w:rPr>
        <w:t>Groia c. Barreau du Haut</w:t>
      </w:r>
      <w:r w:rsidR="002667A4" w:rsidRPr="008B62B8">
        <w:rPr>
          <w:i/>
          <w:lang w:val="fr-CA"/>
        </w:rPr>
        <w:noBreakHyphen/>
      </w:r>
      <w:r w:rsidR="005F43B8" w:rsidRPr="008B62B8">
        <w:rPr>
          <w:i/>
          <w:lang w:val="fr-CA"/>
        </w:rPr>
        <w:t>Canada</w:t>
      </w:r>
      <w:r w:rsidR="005F43B8" w:rsidRPr="008B62B8">
        <w:rPr>
          <w:lang w:val="fr-CA"/>
        </w:rPr>
        <w:t xml:space="preserve">, 2018 CSC 27, [2018] 1 R.C.S. 772; </w:t>
      </w:r>
      <w:r w:rsidR="005F43B8" w:rsidRPr="008B62B8">
        <w:rPr>
          <w:i/>
          <w:lang w:val="fr-CA"/>
        </w:rPr>
        <w:t>Pardy c. Earle</w:t>
      </w:r>
      <w:r w:rsidR="005F43B8" w:rsidRPr="008B62B8">
        <w:rPr>
          <w:lang w:val="fr-CA"/>
        </w:rPr>
        <w:t xml:space="preserve">, 2013 BCSC 1079, 52 B.C.L.R. (5th) 295; </w:t>
      </w:r>
      <w:r w:rsidR="005F43B8" w:rsidRPr="008B62B8">
        <w:rPr>
          <w:i/>
          <w:lang w:val="fr-CA"/>
        </w:rPr>
        <w:t>Hill c. Église de scientologie de Toronto</w:t>
      </w:r>
      <w:r w:rsidR="005F43B8" w:rsidRPr="008B62B8">
        <w:rPr>
          <w:lang w:val="fr-CA"/>
        </w:rPr>
        <w:t>,</w:t>
      </w:r>
      <w:r w:rsidR="005F43B8" w:rsidRPr="008B62B8">
        <w:rPr>
          <w:i/>
          <w:lang w:val="fr-CA"/>
        </w:rPr>
        <w:t xml:space="preserve"> </w:t>
      </w:r>
      <w:r w:rsidR="005F43B8" w:rsidRPr="008B62B8">
        <w:rPr>
          <w:lang w:val="fr-CA"/>
        </w:rPr>
        <w:t>[1995] 2 R.C.S. 1130</w:t>
      </w:r>
      <w:r w:rsidR="00A679F4" w:rsidRPr="008B62B8">
        <w:rPr>
          <w:lang w:val="fr-CA"/>
        </w:rPr>
        <w:t xml:space="preserve">; </w:t>
      </w:r>
      <w:r w:rsidR="00A679F4" w:rsidRPr="008B62B8">
        <w:rPr>
          <w:i/>
          <w:lang w:val="fr-CA"/>
        </w:rPr>
        <w:t>Campbell c. MGN Ltd.</w:t>
      </w:r>
      <w:r w:rsidR="00A679F4" w:rsidRPr="008B62B8">
        <w:rPr>
          <w:lang w:val="fr-CA"/>
        </w:rPr>
        <w:t xml:space="preserve">, [2004] UKHL 22, [2004] 2 A.C. 457; </w:t>
      </w:r>
      <w:r w:rsidR="00A679F4" w:rsidRPr="008B62B8">
        <w:rPr>
          <w:i/>
          <w:lang w:val="fr-CA"/>
        </w:rPr>
        <w:t>HRH the Duchess of Sussex c. Associated Newspapers Ltd.</w:t>
      </w:r>
      <w:r w:rsidR="00A679F4" w:rsidRPr="008B62B8">
        <w:rPr>
          <w:lang w:val="fr-CA"/>
        </w:rPr>
        <w:t>, [2021] EWHC 273 (Ch</w:t>
      </w:r>
      <w:r w:rsidR="00F80166" w:rsidRPr="008B62B8">
        <w:rPr>
          <w:lang w:val="fr-CA"/>
        </w:rPr>
        <w:t>.</w:t>
      </w:r>
      <w:r w:rsidR="00A679F4" w:rsidRPr="008B62B8">
        <w:rPr>
          <w:lang w:val="fr-CA"/>
        </w:rPr>
        <w:t xml:space="preserve">), [2021] 4 W.L.R. 35; </w:t>
      </w:r>
      <w:r w:rsidR="00A679F4" w:rsidRPr="008B62B8">
        <w:rPr>
          <w:i/>
          <w:lang w:val="fr-CA"/>
        </w:rPr>
        <w:t>Von Hannover c. Allemagne</w:t>
      </w:r>
      <w:r w:rsidR="00A679F4" w:rsidRPr="008B62B8">
        <w:rPr>
          <w:lang w:val="fr-CA"/>
        </w:rPr>
        <w:t>, n</w:t>
      </w:r>
      <w:r w:rsidR="00A679F4" w:rsidRPr="008B62B8">
        <w:rPr>
          <w:vertAlign w:val="superscript"/>
          <w:lang w:val="fr-CA"/>
        </w:rPr>
        <w:t>o</w:t>
      </w:r>
      <w:r w:rsidR="00A679F4" w:rsidRPr="008B62B8">
        <w:rPr>
          <w:lang w:val="fr-CA"/>
        </w:rPr>
        <w:t xml:space="preserve"> 59320/00, CEDH 2004</w:t>
      </w:r>
      <w:r w:rsidR="002667A4" w:rsidRPr="008B62B8">
        <w:rPr>
          <w:lang w:val="fr-CA"/>
        </w:rPr>
        <w:noBreakHyphen/>
      </w:r>
      <w:r w:rsidR="00A679F4" w:rsidRPr="008B62B8">
        <w:rPr>
          <w:lang w:val="fr-CA"/>
        </w:rPr>
        <w:t xml:space="preserve">VI; </w:t>
      </w:r>
      <w:r w:rsidR="00A679F4" w:rsidRPr="008B62B8">
        <w:rPr>
          <w:i/>
          <w:lang w:val="fr-CA"/>
        </w:rPr>
        <w:t>Housen c. Nikolaisen</w:t>
      </w:r>
      <w:r w:rsidR="00A679F4" w:rsidRPr="008B62B8">
        <w:rPr>
          <w:lang w:val="fr-CA"/>
        </w:rPr>
        <w:t xml:space="preserve">, 2002 CSC 33, [2002] 2 R.C.S. 235; </w:t>
      </w:r>
      <w:r w:rsidR="00F746A9" w:rsidRPr="008B62B8">
        <w:rPr>
          <w:i/>
          <w:lang w:val="fr-CA"/>
        </w:rPr>
        <w:t>Southwind c. Canada</w:t>
      </w:r>
      <w:r w:rsidR="00F746A9" w:rsidRPr="008B62B8">
        <w:rPr>
          <w:lang w:val="fr-CA"/>
        </w:rPr>
        <w:t xml:space="preserve">, 2021 CSC 28; </w:t>
      </w:r>
      <w:r w:rsidR="00A679F4" w:rsidRPr="008B62B8">
        <w:rPr>
          <w:i/>
          <w:lang w:val="fr-CA"/>
        </w:rPr>
        <w:t>Richard c. Time Inc.</w:t>
      </w:r>
      <w:r w:rsidR="00A679F4" w:rsidRPr="008B62B8">
        <w:rPr>
          <w:lang w:val="fr-CA"/>
        </w:rPr>
        <w:t>, 2012 CSC 8, [2012] 1 R.C.S. 265.</w:t>
      </w:r>
    </w:p>
    <w:p w14:paraId="1D289926" w14:textId="77777777" w:rsidR="004D7D95" w:rsidRPr="008B62B8" w:rsidRDefault="004D7D95" w:rsidP="002667A4">
      <w:pPr>
        <w:pStyle w:val="SCCNormalDoubleSpacing"/>
        <w:spacing w:after="720" w:line="240" w:lineRule="auto"/>
        <w:rPr>
          <w:b/>
          <w:lang w:val="en-US"/>
        </w:rPr>
      </w:pPr>
      <w:r w:rsidRPr="008B62B8">
        <w:rPr>
          <w:b/>
          <w:lang w:val="en-US"/>
        </w:rPr>
        <w:t>Lois et règlements cités</w:t>
      </w:r>
    </w:p>
    <w:p w14:paraId="43FA678D" w14:textId="77777777" w:rsidR="00961310" w:rsidRPr="008B62B8" w:rsidRDefault="00961310" w:rsidP="002667A4">
      <w:pPr>
        <w:pStyle w:val="SCCNormalDoubleSpacing"/>
        <w:spacing w:after="240" w:line="240" w:lineRule="auto"/>
        <w:ind w:left="540" w:hanging="540"/>
        <w:rPr>
          <w:lang w:val="en-US"/>
        </w:rPr>
      </w:pPr>
      <w:r w:rsidRPr="008B62B8">
        <w:rPr>
          <w:i/>
          <w:lang w:val="en-US"/>
        </w:rPr>
        <w:t>Act to Amend the Alberta Bill of Rights to Protect Our Children</w:t>
      </w:r>
      <w:r w:rsidRPr="008B62B8">
        <w:rPr>
          <w:lang w:val="en-US"/>
        </w:rPr>
        <w:t>, S.A. 2015, c. 1.</w:t>
      </w:r>
    </w:p>
    <w:p w14:paraId="15724677" w14:textId="2436240E" w:rsidR="00961310" w:rsidRPr="008B62B8" w:rsidRDefault="00961310" w:rsidP="002667A4">
      <w:pPr>
        <w:pStyle w:val="SCCNormalDoubleSpacing"/>
        <w:spacing w:after="240" w:line="240" w:lineRule="auto"/>
        <w:ind w:left="540" w:hanging="540"/>
        <w:rPr>
          <w:lang w:val="fr-CA"/>
        </w:rPr>
      </w:pPr>
      <w:r w:rsidRPr="008B62B8">
        <w:rPr>
          <w:i/>
          <w:lang w:val="fr-CA"/>
        </w:rPr>
        <w:t>Charte canadienne des droits et libertés</w:t>
      </w:r>
      <w:r w:rsidR="00710087" w:rsidRPr="008B62B8">
        <w:rPr>
          <w:lang w:val="fr-CA"/>
        </w:rPr>
        <w:t xml:space="preserve">, </w:t>
      </w:r>
      <w:r w:rsidR="002667A4" w:rsidRPr="008B62B8">
        <w:rPr>
          <w:lang w:val="fr-CA"/>
        </w:rPr>
        <w:t>art. </w:t>
      </w:r>
      <w:r w:rsidR="00FC089B" w:rsidRPr="008B62B8">
        <w:rPr>
          <w:lang w:val="fr-CA"/>
        </w:rPr>
        <w:t xml:space="preserve">1, </w:t>
      </w:r>
      <w:r w:rsidRPr="008B62B8">
        <w:rPr>
          <w:lang w:val="fr-CA"/>
        </w:rPr>
        <w:t>2b)</w:t>
      </w:r>
      <w:r w:rsidR="00744C30" w:rsidRPr="008B62B8">
        <w:rPr>
          <w:lang w:val="fr-CA"/>
        </w:rPr>
        <w:t>.</w:t>
      </w:r>
    </w:p>
    <w:p w14:paraId="24A4DCF4" w14:textId="690E15DF" w:rsidR="00961310" w:rsidRPr="008B62B8" w:rsidRDefault="00961310" w:rsidP="002667A4">
      <w:pPr>
        <w:pStyle w:val="SCCNormalDoubleSpacing"/>
        <w:spacing w:after="240" w:line="240" w:lineRule="auto"/>
        <w:ind w:left="540" w:hanging="540"/>
        <w:rPr>
          <w:lang w:val="fr-CA"/>
        </w:rPr>
      </w:pPr>
      <w:r w:rsidRPr="008B62B8">
        <w:rPr>
          <w:i/>
          <w:lang w:val="fr-CA"/>
        </w:rPr>
        <w:t>Charte des droits et libertés de la personne</w:t>
      </w:r>
      <w:r w:rsidR="00710087" w:rsidRPr="008B62B8">
        <w:rPr>
          <w:lang w:val="fr-CA"/>
        </w:rPr>
        <w:t xml:space="preserve">, RLRQ, c. C‑12, préambule, </w:t>
      </w:r>
      <w:r w:rsidR="002667A4" w:rsidRPr="008B62B8">
        <w:rPr>
          <w:lang w:val="fr-CA"/>
        </w:rPr>
        <w:t>art. </w:t>
      </w:r>
      <w:r w:rsidRPr="008B62B8">
        <w:rPr>
          <w:lang w:val="fr-CA"/>
        </w:rPr>
        <w:t>1 à 9</w:t>
      </w:r>
      <w:r w:rsidR="00C62509" w:rsidRPr="008B62B8">
        <w:rPr>
          <w:lang w:val="fr-CA"/>
        </w:rPr>
        <w:t>.1</w:t>
      </w:r>
      <w:r w:rsidRPr="008B62B8">
        <w:rPr>
          <w:lang w:val="fr-CA"/>
        </w:rPr>
        <w:t>, 10 à 19</w:t>
      </w:r>
      <w:r w:rsidR="00E8612E" w:rsidRPr="008B62B8">
        <w:rPr>
          <w:lang w:val="fr-CA"/>
        </w:rPr>
        <w:t>, 21,</w:t>
      </w:r>
      <w:r w:rsidRPr="008B62B8">
        <w:rPr>
          <w:lang w:val="fr-CA"/>
        </w:rPr>
        <w:t xml:space="preserve"> 22, 23 à 38, 39 à 48, 49, 54, 55, 71, 80, 111, 132, 133, 134(1).</w:t>
      </w:r>
    </w:p>
    <w:p w14:paraId="70A5EA1F" w14:textId="6B8BA9D7" w:rsidR="00961310" w:rsidRPr="008B62B8" w:rsidRDefault="00961310" w:rsidP="002667A4">
      <w:pPr>
        <w:pStyle w:val="SCCNormalDoubleSpacing"/>
        <w:spacing w:after="240" w:line="240" w:lineRule="auto"/>
        <w:ind w:left="540" w:hanging="540"/>
        <w:rPr>
          <w:lang w:val="fr-CA"/>
        </w:rPr>
      </w:pPr>
      <w:r w:rsidRPr="008B62B8">
        <w:rPr>
          <w:i/>
          <w:lang w:val="fr-CA"/>
        </w:rPr>
        <w:t>Code civil du Québec</w:t>
      </w:r>
      <w:r w:rsidRPr="008B62B8">
        <w:rPr>
          <w:lang w:val="fr-CA"/>
        </w:rPr>
        <w:t xml:space="preserve">, disposition préliminaire, </w:t>
      </w:r>
      <w:r w:rsidR="002667A4" w:rsidRPr="008B62B8">
        <w:rPr>
          <w:lang w:val="fr-CA"/>
        </w:rPr>
        <w:t>art. </w:t>
      </w:r>
      <w:r w:rsidRPr="008B62B8">
        <w:rPr>
          <w:lang w:val="fr-CA"/>
        </w:rPr>
        <w:t>1457.</w:t>
      </w:r>
    </w:p>
    <w:p w14:paraId="13B081B4" w14:textId="5A014677" w:rsidR="00961310" w:rsidRPr="008B62B8" w:rsidRDefault="00961310" w:rsidP="002667A4">
      <w:pPr>
        <w:pStyle w:val="SCCNormalDoubleSpacing"/>
        <w:spacing w:after="240" w:line="240" w:lineRule="auto"/>
        <w:ind w:left="540" w:hanging="540"/>
        <w:rPr>
          <w:lang w:val="fr-CA"/>
        </w:rPr>
      </w:pPr>
      <w:r w:rsidRPr="008B62B8">
        <w:rPr>
          <w:lang w:val="fr-CA"/>
        </w:rPr>
        <w:t>Décret 1676</w:t>
      </w:r>
      <w:r w:rsidR="002667A4" w:rsidRPr="008B62B8">
        <w:rPr>
          <w:lang w:val="fr-CA"/>
        </w:rPr>
        <w:noBreakHyphen/>
      </w:r>
      <w:r w:rsidRPr="008B62B8">
        <w:rPr>
          <w:lang w:val="fr-CA"/>
        </w:rPr>
        <w:t>91, (1992) 124 G.O. II, 51.</w:t>
      </w:r>
    </w:p>
    <w:p w14:paraId="61F4642B" w14:textId="5C274751" w:rsidR="00961310" w:rsidRPr="008B62B8" w:rsidRDefault="00961310" w:rsidP="002667A4">
      <w:pPr>
        <w:pStyle w:val="SCCNormalDoubleSpacing"/>
        <w:spacing w:after="240" w:line="240" w:lineRule="auto"/>
        <w:ind w:left="540" w:hanging="540"/>
        <w:rPr>
          <w:lang w:val="fr-CA"/>
        </w:rPr>
      </w:pPr>
      <w:r w:rsidRPr="008B62B8">
        <w:rPr>
          <w:lang w:val="fr-CA"/>
        </w:rPr>
        <w:t>Décret 179</w:t>
      </w:r>
      <w:r w:rsidR="002667A4" w:rsidRPr="008B62B8">
        <w:rPr>
          <w:lang w:val="fr-CA"/>
        </w:rPr>
        <w:noBreakHyphen/>
      </w:r>
      <w:r w:rsidRPr="008B62B8">
        <w:rPr>
          <w:lang w:val="fr-CA"/>
        </w:rPr>
        <w:t>2010, (2010) 142 G.O. II, 1196.</w:t>
      </w:r>
    </w:p>
    <w:p w14:paraId="455A511A" w14:textId="7EF1883B" w:rsidR="00961310" w:rsidRPr="008B62B8" w:rsidRDefault="00961310" w:rsidP="002667A4">
      <w:pPr>
        <w:pStyle w:val="SCCNormalDoubleSpacing"/>
        <w:spacing w:after="240" w:line="240" w:lineRule="auto"/>
        <w:ind w:left="540" w:hanging="540"/>
        <w:rPr>
          <w:lang w:val="en-US"/>
        </w:rPr>
      </w:pPr>
      <w:r w:rsidRPr="008B62B8">
        <w:rPr>
          <w:i/>
          <w:lang w:val="en-US"/>
        </w:rPr>
        <w:t>Intimate Images and Cyber</w:t>
      </w:r>
      <w:r w:rsidR="002667A4" w:rsidRPr="008B62B8">
        <w:rPr>
          <w:i/>
          <w:lang w:val="en-US"/>
        </w:rPr>
        <w:noBreakHyphen/>
      </w:r>
      <w:r w:rsidRPr="008B62B8">
        <w:rPr>
          <w:i/>
          <w:lang w:val="en-US"/>
        </w:rPr>
        <w:t>protection Act</w:t>
      </w:r>
      <w:r w:rsidRPr="008B62B8">
        <w:rPr>
          <w:lang w:val="en-US"/>
        </w:rPr>
        <w:t>, S.N.S. 2017, c. 7.</w:t>
      </w:r>
    </w:p>
    <w:p w14:paraId="7DC7B7FB" w14:textId="77777777" w:rsidR="00961310" w:rsidRPr="008B62B8" w:rsidRDefault="00961310" w:rsidP="002667A4">
      <w:pPr>
        <w:pStyle w:val="SCCNormalDoubleSpacing"/>
        <w:spacing w:after="240" w:line="240" w:lineRule="auto"/>
        <w:ind w:left="540" w:hanging="540"/>
        <w:rPr>
          <w:lang w:val="fr-CA"/>
        </w:rPr>
      </w:pPr>
      <w:r w:rsidRPr="008B62B8">
        <w:rPr>
          <w:i/>
          <w:lang w:val="fr-CA"/>
        </w:rPr>
        <w:t>Loi de 2012 pour des écoles tolérantes</w:t>
      </w:r>
      <w:r w:rsidRPr="008B62B8">
        <w:rPr>
          <w:lang w:val="fr-CA"/>
        </w:rPr>
        <w:t>, L.O. 2012, c. 5.</w:t>
      </w:r>
    </w:p>
    <w:p w14:paraId="3BBF2AD6" w14:textId="22E7FA89" w:rsidR="00961310" w:rsidRPr="008B62B8" w:rsidRDefault="00961310" w:rsidP="002667A4">
      <w:pPr>
        <w:pStyle w:val="SCCNormalDoubleSpacing"/>
        <w:spacing w:after="240" w:line="240" w:lineRule="auto"/>
        <w:ind w:left="540" w:hanging="540"/>
        <w:rPr>
          <w:lang w:val="fr-CA"/>
        </w:rPr>
      </w:pPr>
      <w:r w:rsidRPr="008B62B8">
        <w:rPr>
          <w:i/>
          <w:lang w:val="fr-CA"/>
        </w:rPr>
        <w:t>Loi modifiant la Loi sur l’éducation</w:t>
      </w:r>
      <w:r w:rsidRPr="008B62B8">
        <w:rPr>
          <w:lang w:val="fr-CA"/>
        </w:rPr>
        <w:t>, L.N.</w:t>
      </w:r>
      <w:r w:rsidR="002667A4" w:rsidRPr="008B62B8">
        <w:rPr>
          <w:lang w:val="fr-CA"/>
        </w:rPr>
        <w:noBreakHyphen/>
      </w:r>
      <w:r w:rsidRPr="008B62B8">
        <w:rPr>
          <w:lang w:val="fr-CA"/>
        </w:rPr>
        <w:t>B. 2012, c. 21.</w:t>
      </w:r>
    </w:p>
    <w:p w14:paraId="030C65DC" w14:textId="77777777" w:rsidR="00961310" w:rsidRPr="008B62B8" w:rsidRDefault="00961310" w:rsidP="002667A4">
      <w:pPr>
        <w:pStyle w:val="SCCNormalDoubleSpacing"/>
        <w:spacing w:after="240" w:line="240" w:lineRule="auto"/>
        <w:ind w:left="540" w:hanging="540"/>
        <w:rPr>
          <w:lang w:val="fr-CA"/>
        </w:rPr>
      </w:pPr>
      <w:r w:rsidRPr="008B62B8">
        <w:rPr>
          <w:i/>
          <w:lang w:val="fr-CA"/>
        </w:rPr>
        <w:t>Loi modifiant la Loi sur les écoles publiques (obligation de faire rapport des cas d’intimidation et des préjudices subis)</w:t>
      </w:r>
      <w:r w:rsidRPr="008B62B8">
        <w:rPr>
          <w:lang w:val="fr-CA"/>
        </w:rPr>
        <w:t>, L.M. 2011, c. 18.</w:t>
      </w:r>
    </w:p>
    <w:p w14:paraId="2AD9EA47" w14:textId="514BD396" w:rsidR="00961310" w:rsidRPr="008B62B8" w:rsidRDefault="00961310" w:rsidP="002667A4">
      <w:pPr>
        <w:pStyle w:val="SCCNormalDoubleSpacing"/>
        <w:spacing w:after="240" w:line="240" w:lineRule="auto"/>
        <w:ind w:left="540" w:hanging="540"/>
        <w:rPr>
          <w:lang w:val="fr-CA"/>
        </w:rPr>
      </w:pPr>
      <w:r w:rsidRPr="008B62B8">
        <w:rPr>
          <w:i/>
          <w:lang w:val="fr-CA"/>
        </w:rPr>
        <w:t>Loi sur l’instruction publique</w:t>
      </w:r>
      <w:r w:rsidRPr="008B62B8">
        <w:rPr>
          <w:lang w:val="fr-CA"/>
        </w:rPr>
        <w:t>, L.R.Q., c. I</w:t>
      </w:r>
      <w:r w:rsidR="002667A4" w:rsidRPr="008B62B8">
        <w:rPr>
          <w:lang w:val="fr-CA"/>
        </w:rPr>
        <w:noBreakHyphen/>
      </w:r>
      <w:r w:rsidRPr="008B62B8">
        <w:rPr>
          <w:lang w:val="fr-CA"/>
        </w:rPr>
        <w:t>13.3,</w:t>
      </w:r>
      <w:r w:rsidRPr="008B62B8">
        <w:rPr>
          <w:i/>
          <w:lang w:val="fr-CA"/>
        </w:rPr>
        <w:t xml:space="preserve"> </w:t>
      </w:r>
      <w:r w:rsidR="002667A4" w:rsidRPr="008B62B8">
        <w:rPr>
          <w:lang w:val="fr-CA"/>
        </w:rPr>
        <w:t>art. </w:t>
      </w:r>
      <w:r w:rsidRPr="008B62B8">
        <w:rPr>
          <w:lang w:val="fr-CA"/>
        </w:rPr>
        <w:t>13.</w:t>
      </w:r>
    </w:p>
    <w:p w14:paraId="0BD41E80" w14:textId="74C1BA80" w:rsidR="00961310" w:rsidRPr="008B62B8" w:rsidRDefault="00961310" w:rsidP="002667A4">
      <w:pPr>
        <w:pStyle w:val="SCCNormalDoubleSpacing"/>
        <w:spacing w:after="720" w:line="240" w:lineRule="auto"/>
        <w:ind w:left="540" w:hanging="540"/>
        <w:rPr>
          <w:lang w:val="fr-CA"/>
        </w:rPr>
      </w:pPr>
      <w:r w:rsidRPr="008B62B8">
        <w:rPr>
          <w:i/>
          <w:lang w:val="fr-CA"/>
        </w:rPr>
        <w:t>Loi visant à prévenir et à combattre l’intimidation et la violence à l’école</w:t>
      </w:r>
      <w:r w:rsidR="00710087" w:rsidRPr="008B62B8">
        <w:rPr>
          <w:lang w:val="fr-CA"/>
        </w:rPr>
        <w:t>, L.Q. </w:t>
      </w:r>
      <w:r w:rsidR="008C4DFD" w:rsidRPr="008B62B8">
        <w:rPr>
          <w:lang w:val="fr-CA"/>
        </w:rPr>
        <w:t xml:space="preserve">2012, c. 19, </w:t>
      </w:r>
      <w:r w:rsidR="002667A4" w:rsidRPr="008B62B8">
        <w:rPr>
          <w:lang w:val="fr-CA"/>
        </w:rPr>
        <w:t>art. </w:t>
      </w:r>
      <w:r w:rsidR="008C4DFD" w:rsidRPr="008B62B8">
        <w:rPr>
          <w:lang w:val="fr-CA"/>
        </w:rPr>
        <w:t>2.</w:t>
      </w:r>
    </w:p>
    <w:p w14:paraId="36DCCB12" w14:textId="22E62830" w:rsidR="003E5223" w:rsidRPr="008B62B8" w:rsidRDefault="003E5223" w:rsidP="002667A4">
      <w:pPr>
        <w:pStyle w:val="SCCNormalDoubleSpacing"/>
        <w:spacing w:after="720" w:line="240" w:lineRule="auto"/>
        <w:rPr>
          <w:b/>
          <w:lang w:val="fr-CA"/>
        </w:rPr>
      </w:pPr>
      <w:r w:rsidRPr="008B62B8">
        <w:rPr>
          <w:b/>
          <w:lang w:val="fr-CA"/>
        </w:rPr>
        <w:t>Traités et autres instruments internationaux</w:t>
      </w:r>
    </w:p>
    <w:p w14:paraId="54ACA7DD" w14:textId="34647336" w:rsidR="00961310" w:rsidRPr="008B62B8" w:rsidRDefault="00961310" w:rsidP="002667A4">
      <w:pPr>
        <w:pStyle w:val="SCCNormalDoubleSpacing"/>
        <w:spacing w:after="240" w:line="240" w:lineRule="auto"/>
        <w:ind w:left="540" w:hanging="540"/>
        <w:rPr>
          <w:lang w:val="fr-CA"/>
        </w:rPr>
      </w:pPr>
      <w:r w:rsidRPr="008B62B8">
        <w:rPr>
          <w:i/>
          <w:iCs/>
          <w:lang w:val="fr-CA"/>
        </w:rPr>
        <w:t>Convention relative aux droits de l’enfant</w:t>
      </w:r>
      <w:r w:rsidRPr="008B62B8">
        <w:rPr>
          <w:lang w:val="fr-CA"/>
        </w:rPr>
        <w:t>, R.T. Can. 1992 n</w:t>
      </w:r>
      <w:r w:rsidRPr="008B62B8">
        <w:rPr>
          <w:vertAlign w:val="superscript"/>
          <w:lang w:val="fr-CA"/>
        </w:rPr>
        <w:t>o</w:t>
      </w:r>
      <w:r w:rsidRPr="008B62B8">
        <w:rPr>
          <w:lang w:val="fr-CA"/>
        </w:rPr>
        <w:t xml:space="preserve"> 3, </w:t>
      </w:r>
      <w:r w:rsidR="002667A4" w:rsidRPr="008B62B8">
        <w:rPr>
          <w:lang w:val="fr-CA"/>
        </w:rPr>
        <w:t>art. </w:t>
      </w:r>
      <w:r w:rsidRPr="008B62B8">
        <w:rPr>
          <w:lang w:val="fr-CA"/>
        </w:rPr>
        <w:t>2, 19, 23.</w:t>
      </w:r>
    </w:p>
    <w:p w14:paraId="5BFE36CF" w14:textId="24DDE258" w:rsidR="00961310" w:rsidRPr="008B62B8" w:rsidRDefault="00961310" w:rsidP="002667A4">
      <w:pPr>
        <w:pStyle w:val="SCCNormalDoubleSpacing"/>
        <w:spacing w:after="240" w:line="240" w:lineRule="auto"/>
        <w:ind w:left="540" w:hanging="540"/>
        <w:rPr>
          <w:i/>
          <w:lang w:val="fr-CA"/>
        </w:rPr>
      </w:pPr>
      <w:r w:rsidRPr="008B62B8">
        <w:rPr>
          <w:i/>
          <w:lang w:val="fr-CA"/>
        </w:rPr>
        <w:t>Convention relative aux droits des personnes handicapées</w:t>
      </w:r>
      <w:r w:rsidRPr="008B62B8">
        <w:rPr>
          <w:lang w:val="fr-CA"/>
        </w:rPr>
        <w:t>, R.T. Can. 2010 n</w:t>
      </w:r>
      <w:r w:rsidRPr="008B62B8">
        <w:rPr>
          <w:vertAlign w:val="superscript"/>
          <w:lang w:val="fr-CA"/>
        </w:rPr>
        <w:t>o</w:t>
      </w:r>
      <w:r w:rsidRPr="008B62B8">
        <w:rPr>
          <w:lang w:val="fr-CA"/>
        </w:rPr>
        <w:t> 8</w:t>
      </w:r>
      <w:r w:rsidR="00710087" w:rsidRPr="008B62B8">
        <w:rPr>
          <w:lang w:val="fr-CA"/>
        </w:rPr>
        <w:t xml:space="preserve">, </w:t>
      </w:r>
      <w:r w:rsidR="002667A4" w:rsidRPr="008B62B8">
        <w:rPr>
          <w:lang w:val="fr-CA"/>
        </w:rPr>
        <w:t>art. </w:t>
      </w:r>
      <w:r w:rsidR="003D3FD6" w:rsidRPr="008B62B8">
        <w:rPr>
          <w:lang w:val="fr-CA"/>
        </w:rPr>
        <w:t>5, 7, 16</w:t>
      </w:r>
      <w:r w:rsidRPr="008B62B8">
        <w:rPr>
          <w:lang w:val="fr-CA"/>
        </w:rPr>
        <w:t>.</w:t>
      </w:r>
    </w:p>
    <w:p w14:paraId="54ECC60F" w14:textId="1722031C" w:rsidR="003E5223" w:rsidRPr="008B62B8" w:rsidRDefault="003E5223" w:rsidP="002667A4">
      <w:pPr>
        <w:pStyle w:val="SCCNormalDoubleSpacing"/>
        <w:spacing w:after="720" w:line="240" w:lineRule="auto"/>
        <w:ind w:left="540" w:hanging="540"/>
        <w:rPr>
          <w:lang w:val="fr-CA"/>
        </w:rPr>
      </w:pPr>
      <w:r w:rsidRPr="008B62B8">
        <w:rPr>
          <w:i/>
          <w:lang w:val="fr-CA"/>
        </w:rPr>
        <w:t>Déclaration universelle des droits de l’homme</w:t>
      </w:r>
      <w:r w:rsidR="00710087" w:rsidRPr="008B62B8">
        <w:rPr>
          <w:lang w:val="fr-CA"/>
        </w:rPr>
        <w:t xml:space="preserve">, A.G. Rés. 217 A (III), Doc. N.U. A/810, </w:t>
      </w:r>
      <w:r w:rsidR="002667A4" w:rsidRPr="008B62B8">
        <w:rPr>
          <w:lang w:val="fr-CA"/>
        </w:rPr>
        <w:t>p. </w:t>
      </w:r>
      <w:r w:rsidRPr="008B62B8">
        <w:rPr>
          <w:lang w:val="fr-CA"/>
        </w:rPr>
        <w:t>71 (1948).</w:t>
      </w:r>
    </w:p>
    <w:p w14:paraId="0C02D963" w14:textId="77777777" w:rsidR="004D7D95" w:rsidRPr="008B62B8" w:rsidRDefault="004D7D95" w:rsidP="002667A4">
      <w:pPr>
        <w:pStyle w:val="SCCNormalDoubleSpacing"/>
        <w:spacing w:after="720" w:line="240" w:lineRule="auto"/>
        <w:rPr>
          <w:b/>
          <w:lang w:val="fr-CA"/>
        </w:rPr>
      </w:pPr>
      <w:r w:rsidRPr="008B62B8">
        <w:rPr>
          <w:b/>
          <w:lang w:val="fr-CA"/>
        </w:rPr>
        <w:t>Doctrine et autres documents cités</w:t>
      </w:r>
    </w:p>
    <w:p w14:paraId="7ED3C374" w14:textId="60D1A473" w:rsidR="00206371" w:rsidRPr="008B62B8" w:rsidRDefault="00D6455A" w:rsidP="002667A4">
      <w:pPr>
        <w:pStyle w:val="SCCNormalDoubleSpacing"/>
        <w:spacing w:after="240" w:line="240" w:lineRule="auto"/>
        <w:ind w:left="540" w:hanging="540"/>
        <w:rPr>
          <w:lang w:val="fr-CA"/>
        </w:rPr>
      </w:pPr>
      <w:r w:rsidRPr="00D85F67">
        <w:rPr>
          <w:lang w:val="fr-CA"/>
        </w:rPr>
        <w:t xml:space="preserve">Bailey, Jane. </w:t>
      </w:r>
      <w:r w:rsidRPr="008B62B8">
        <w:rPr>
          <w:lang w:val="en-US"/>
        </w:rPr>
        <w:t>« “Sexualized Online Bullyin</w:t>
      </w:r>
      <w:r w:rsidRPr="008B62B8">
        <w:t>g” Through an Equality Lens</w:t>
      </w:r>
      <w:r w:rsidR="002667A4" w:rsidRPr="008B62B8">
        <w:t> :</w:t>
      </w:r>
      <w:r w:rsidRPr="008B62B8">
        <w:t xml:space="preserve"> Missed Opportunity in </w:t>
      </w:r>
      <w:r w:rsidRPr="008B62B8">
        <w:rPr>
          <w:i/>
        </w:rPr>
        <w:t>AB v. Bragg</w:t>
      </w:r>
      <w:r w:rsidRPr="008B62B8">
        <w:t>?</w:t>
      </w:r>
      <w:r w:rsidRPr="008B62B8">
        <w:rPr>
          <w:lang w:val="en-US" w:bidi="en-US"/>
        </w:rPr>
        <w:t> »</w:t>
      </w:r>
      <w:r w:rsidRPr="008B62B8">
        <w:t xml:space="preserve"> </w:t>
      </w:r>
      <w:r w:rsidRPr="008B62B8">
        <w:rPr>
          <w:lang w:val="fr-CA"/>
        </w:rPr>
        <w:t xml:space="preserve">(2014), 59 </w:t>
      </w:r>
      <w:r w:rsidR="00710087" w:rsidRPr="008B62B8">
        <w:rPr>
          <w:i/>
          <w:lang w:val="fr-CA"/>
        </w:rPr>
        <w:t xml:space="preserve">R.D. </w:t>
      </w:r>
      <w:r w:rsidRPr="008B62B8">
        <w:rPr>
          <w:i/>
          <w:lang w:val="fr-CA"/>
        </w:rPr>
        <w:t>McGill</w:t>
      </w:r>
      <w:r w:rsidRPr="008B62B8">
        <w:rPr>
          <w:lang w:val="fr-CA"/>
        </w:rPr>
        <w:t xml:space="preserve"> 709.</w:t>
      </w:r>
    </w:p>
    <w:p w14:paraId="04A0F0F6" w14:textId="637ED26E" w:rsidR="00206371" w:rsidRPr="008B62B8" w:rsidRDefault="00710087" w:rsidP="002667A4">
      <w:pPr>
        <w:pStyle w:val="SCCNormalDoubleSpacing"/>
        <w:spacing w:after="240" w:line="240" w:lineRule="auto"/>
        <w:ind w:left="540" w:hanging="540"/>
        <w:rPr>
          <w:lang w:val="fr-CA"/>
        </w:rPr>
      </w:pPr>
      <w:r w:rsidRPr="008B62B8">
        <w:rPr>
          <w:lang w:val="fr-CA"/>
        </w:rPr>
        <w:t>Baudouin, Jean</w:t>
      </w:r>
      <w:r w:rsidR="002667A4" w:rsidRPr="008B62B8">
        <w:rPr>
          <w:lang w:val="fr-CA"/>
        </w:rPr>
        <w:noBreakHyphen/>
      </w:r>
      <w:r w:rsidR="00184368" w:rsidRPr="008B62B8">
        <w:rPr>
          <w:lang w:val="fr-CA"/>
        </w:rPr>
        <w:t xml:space="preserve">Louis, Patrice </w:t>
      </w:r>
      <w:r w:rsidR="00992BCA">
        <w:rPr>
          <w:lang w:val="fr-CA"/>
        </w:rPr>
        <w:t>Deslauriers</w:t>
      </w:r>
      <w:r w:rsidRPr="008B62B8">
        <w:rPr>
          <w:lang w:val="fr-CA"/>
        </w:rPr>
        <w:t xml:space="preserve"> et Benoît</w:t>
      </w:r>
      <w:r w:rsidR="00184368" w:rsidRPr="008B62B8">
        <w:rPr>
          <w:lang w:val="fr-CA"/>
        </w:rPr>
        <w:t xml:space="preserve"> </w:t>
      </w:r>
      <w:r w:rsidRPr="008B62B8">
        <w:rPr>
          <w:lang w:val="fr-CA"/>
        </w:rPr>
        <w:t xml:space="preserve">Moore. </w:t>
      </w:r>
      <w:r w:rsidR="00206371" w:rsidRPr="008B62B8">
        <w:rPr>
          <w:i/>
          <w:iCs/>
          <w:lang w:val="fr-CA"/>
        </w:rPr>
        <w:t>La responsabilité civile</w:t>
      </w:r>
      <w:r w:rsidR="00206371" w:rsidRPr="008B62B8">
        <w:rPr>
          <w:lang w:val="fr-CA"/>
        </w:rPr>
        <w:t xml:space="preserve">, </w:t>
      </w:r>
      <w:r w:rsidR="002667A4" w:rsidRPr="008B62B8">
        <w:rPr>
          <w:lang w:val="fr-CA"/>
        </w:rPr>
        <w:t>vol. </w:t>
      </w:r>
      <w:r w:rsidRPr="008B62B8">
        <w:rPr>
          <w:lang w:val="fr-CA"/>
        </w:rPr>
        <w:t xml:space="preserve">1, </w:t>
      </w:r>
      <w:r w:rsidR="00206371" w:rsidRPr="008B62B8">
        <w:rPr>
          <w:i/>
          <w:iCs/>
          <w:lang w:val="fr-CA"/>
        </w:rPr>
        <w:t>Principes généraux</w:t>
      </w:r>
      <w:r w:rsidR="00206371" w:rsidRPr="008B62B8">
        <w:rPr>
          <w:lang w:val="fr-CA"/>
        </w:rPr>
        <w:t>, 9</w:t>
      </w:r>
      <w:r w:rsidR="00206371" w:rsidRPr="008B62B8">
        <w:rPr>
          <w:vertAlign w:val="superscript"/>
          <w:lang w:val="fr-CA"/>
        </w:rPr>
        <w:t>e</w:t>
      </w:r>
      <w:r w:rsidR="00206371" w:rsidRPr="008B62B8">
        <w:rPr>
          <w:lang w:val="fr-CA"/>
        </w:rPr>
        <w:t> éd., Montréal, Yvon Blais, 2020.</w:t>
      </w:r>
    </w:p>
    <w:p w14:paraId="5DCE4F07" w14:textId="16EC650E" w:rsidR="00206371" w:rsidRPr="008B62B8" w:rsidRDefault="00D6455A" w:rsidP="002667A4">
      <w:pPr>
        <w:pStyle w:val="SCCNormalDoubleSpacing"/>
        <w:spacing w:after="240" w:line="240" w:lineRule="auto"/>
        <w:ind w:left="540" w:hanging="540"/>
      </w:pPr>
      <w:r w:rsidRPr="008B62B8">
        <w:rPr>
          <w:lang w:val="en-US"/>
        </w:rPr>
        <w:t>Besson, Samantha</w:t>
      </w:r>
      <w:r w:rsidR="00184368" w:rsidRPr="008B62B8">
        <w:rPr>
          <w:lang w:val="en-US"/>
        </w:rPr>
        <w:t xml:space="preserve">, and Eleonor </w:t>
      </w:r>
      <w:r w:rsidR="00710087" w:rsidRPr="008B62B8">
        <w:rPr>
          <w:lang w:val="en-US"/>
        </w:rPr>
        <w:t>Kleber. « Article </w:t>
      </w:r>
      <w:r w:rsidRPr="008B62B8">
        <w:rPr>
          <w:lang w:val="en-US"/>
        </w:rPr>
        <w:t>2</w:t>
      </w:r>
      <w:r w:rsidR="00EE7CD1" w:rsidRPr="008B62B8">
        <w:rPr>
          <w:lang w:val="en-US"/>
        </w:rPr>
        <w:t>.</w:t>
      </w:r>
      <w:r w:rsidR="00710087" w:rsidRPr="008B62B8">
        <w:rPr>
          <w:lang w:val="en-US"/>
        </w:rPr>
        <w:t xml:space="preserve"> The Right to Non</w:t>
      </w:r>
      <w:r w:rsidR="002667A4" w:rsidRPr="008B62B8">
        <w:rPr>
          <w:lang w:val="en-US"/>
        </w:rPr>
        <w:noBreakHyphen/>
      </w:r>
      <w:r w:rsidR="00710087" w:rsidRPr="008B62B8">
        <w:rPr>
          <w:lang w:val="en-US"/>
        </w:rPr>
        <w:t>Discrimination », in John</w:t>
      </w:r>
      <w:r w:rsidR="00184368" w:rsidRPr="008B62B8">
        <w:rPr>
          <w:lang w:val="en-US"/>
        </w:rPr>
        <w:t xml:space="preserve"> </w:t>
      </w:r>
      <w:r w:rsidRPr="008B62B8">
        <w:rPr>
          <w:lang w:val="en-US"/>
        </w:rPr>
        <w:t xml:space="preserve">Tobin, ed., </w:t>
      </w:r>
      <w:r w:rsidRPr="008B62B8">
        <w:rPr>
          <w:i/>
          <w:lang w:val="en-US"/>
        </w:rPr>
        <w:t>The UN Convention on the Rights of the Child</w:t>
      </w:r>
      <w:r w:rsidR="002667A4" w:rsidRPr="008B62B8">
        <w:rPr>
          <w:i/>
          <w:lang w:val="en-US"/>
        </w:rPr>
        <w:t> :</w:t>
      </w:r>
      <w:r w:rsidRPr="008B62B8">
        <w:rPr>
          <w:i/>
          <w:lang w:val="en-US"/>
        </w:rPr>
        <w:t xml:space="preserve"> A Commentary</w:t>
      </w:r>
      <w:r w:rsidRPr="008B62B8">
        <w:rPr>
          <w:lang w:val="en-US"/>
        </w:rPr>
        <w:t>, New York, Oxford University Press, 2019, 41.</w:t>
      </w:r>
    </w:p>
    <w:p w14:paraId="27CEDFA5" w14:textId="43A00184" w:rsidR="00206371" w:rsidRPr="008B62B8" w:rsidRDefault="00710087" w:rsidP="002667A4">
      <w:pPr>
        <w:pStyle w:val="SCCNormalDoubleSpacing"/>
        <w:spacing w:after="240" w:line="240" w:lineRule="auto"/>
        <w:ind w:left="540" w:hanging="540"/>
        <w:rPr>
          <w:lang w:val="en-US"/>
        </w:rPr>
      </w:pPr>
      <w:r w:rsidRPr="008B62B8">
        <w:rPr>
          <w:lang w:val="en-US"/>
        </w:rPr>
        <w:t>Bollinger, Lee </w:t>
      </w:r>
      <w:r w:rsidR="00206371" w:rsidRPr="008B62B8">
        <w:rPr>
          <w:lang w:val="en-US"/>
        </w:rPr>
        <w:t xml:space="preserve">C. </w:t>
      </w:r>
      <w:r w:rsidR="00206371" w:rsidRPr="008B62B8">
        <w:rPr>
          <w:i/>
          <w:lang w:val="en-US"/>
        </w:rPr>
        <w:t>The Tolerant Society</w:t>
      </w:r>
      <w:r w:rsidR="00206371" w:rsidRPr="008B62B8">
        <w:rPr>
          <w:lang w:val="en-US"/>
        </w:rPr>
        <w:t>, New York, Oxford University Press, 1986 (1988 reprint).</w:t>
      </w:r>
    </w:p>
    <w:p w14:paraId="645A6F99" w14:textId="0131D558" w:rsidR="004D7D95" w:rsidRPr="008B62B8" w:rsidRDefault="00710087" w:rsidP="002667A4">
      <w:pPr>
        <w:pStyle w:val="SCCNormalDoubleSpacing"/>
        <w:spacing w:after="240" w:line="240" w:lineRule="auto"/>
        <w:ind w:left="540" w:hanging="540"/>
        <w:rPr>
          <w:lang w:val="fr-CA"/>
        </w:rPr>
      </w:pPr>
      <w:r w:rsidRPr="008B62B8">
        <w:rPr>
          <w:lang w:val="fr-CA"/>
        </w:rPr>
        <w:t>Brunelle, Christian. « </w:t>
      </w:r>
      <w:r w:rsidR="00206371" w:rsidRPr="008B62B8">
        <w:rPr>
          <w:lang w:val="fr-CA"/>
        </w:rPr>
        <w:t xml:space="preserve">La dignité dans la </w:t>
      </w:r>
      <w:r w:rsidR="00206371" w:rsidRPr="008B62B8">
        <w:rPr>
          <w:i/>
          <w:lang w:val="fr-CA"/>
        </w:rPr>
        <w:t>Charte des droits et libertés de la personne</w:t>
      </w:r>
      <w:r w:rsidR="002667A4" w:rsidRPr="008B62B8">
        <w:rPr>
          <w:lang w:val="fr-CA"/>
        </w:rPr>
        <w:t> :</w:t>
      </w:r>
      <w:r w:rsidR="00206371" w:rsidRPr="008B62B8">
        <w:rPr>
          <w:lang w:val="fr-CA"/>
        </w:rPr>
        <w:t xml:space="preserve"> de l’ubiquité à l’ambi</w:t>
      </w:r>
      <w:r w:rsidRPr="008B62B8">
        <w:rPr>
          <w:lang w:val="fr-CA"/>
        </w:rPr>
        <w:t>guïté d’une notion fondamentale </w:t>
      </w:r>
      <w:r w:rsidR="00206371" w:rsidRPr="008B62B8">
        <w:rPr>
          <w:lang w:val="fr-CA"/>
        </w:rPr>
        <w:t xml:space="preserve">», dans </w:t>
      </w:r>
      <w:r w:rsidRPr="008B62B8">
        <w:rPr>
          <w:i/>
          <w:lang w:val="fr-CA"/>
        </w:rPr>
        <w:t>La Charte québécoise</w:t>
      </w:r>
      <w:r w:rsidR="002667A4" w:rsidRPr="008B62B8">
        <w:rPr>
          <w:i/>
          <w:lang w:val="fr-CA"/>
        </w:rPr>
        <w:t> :</w:t>
      </w:r>
      <w:r w:rsidR="00206371" w:rsidRPr="008B62B8">
        <w:rPr>
          <w:i/>
          <w:lang w:val="fr-CA"/>
        </w:rPr>
        <w:t xml:space="preserve"> origines, enjeux et perspectives</w:t>
      </w:r>
      <w:r w:rsidR="00206371" w:rsidRPr="008B62B8">
        <w:rPr>
          <w:lang w:val="fr-CA"/>
        </w:rPr>
        <w:t xml:space="preserve">, [2006] </w:t>
      </w:r>
      <w:r w:rsidR="00206371" w:rsidRPr="008B62B8">
        <w:rPr>
          <w:i/>
          <w:lang w:val="fr-CA"/>
        </w:rPr>
        <w:t>R. du B.</w:t>
      </w:r>
      <w:r w:rsidR="00206371" w:rsidRPr="008B62B8">
        <w:rPr>
          <w:lang w:val="fr-CA"/>
        </w:rPr>
        <w:t xml:space="preserve"> (numéro thématique) 143.</w:t>
      </w:r>
    </w:p>
    <w:p w14:paraId="66D8FDAA" w14:textId="470664CF" w:rsidR="00206371" w:rsidRPr="008B62B8" w:rsidRDefault="00206371" w:rsidP="002667A4">
      <w:pPr>
        <w:pStyle w:val="SCCNormalDoubleSpacing"/>
        <w:spacing w:after="240" w:line="240" w:lineRule="auto"/>
        <w:ind w:left="540" w:hanging="540"/>
        <w:rPr>
          <w:lang w:val="fr-CA"/>
        </w:rPr>
      </w:pPr>
      <w:r w:rsidRPr="008B62B8">
        <w:rPr>
          <w:lang w:val="fr-CA"/>
        </w:rPr>
        <w:t xml:space="preserve">Brunelle, Christian. « Pour une restructuration de la </w:t>
      </w:r>
      <w:r w:rsidRPr="008B62B8">
        <w:rPr>
          <w:i/>
          <w:lang w:val="fr-CA"/>
        </w:rPr>
        <w:t>Charte</w:t>
      </w:r>
      <w:r w:rsidRPr="008B62B8">
        <w:rPr>
          <w:lang w:val="fr-CA"/>
        </w:rPr>
        <w:t xml:space="preserve"> </w:t>
      </w:r>
      <w:r w:rsidRPr="008B62B8">
        <w:rPr>
          <w:i/>
          <w:lang w:val="fr-CA"/>
        </w:rPr>
        <w:t>québécoise</w:t>
      </w:r>
      <w:r w:rsidRPr="008B62B8">
        <w:rPr>
          <w:lang w:val="fr-CA"/>
        </w:rPr>
        <w:t xml:space="preserve">? », dans </w:t>
      </w:r>
      <w:r w:rsidRPr="008B62B8">
        <w:rPr>
          <w:i/>
          <w:lang w:val="fr-CA"/>
        </w:rPr>
        <w:t>Mélanges en l’honneur de Jacques</w:t>
      </w:r>
      <w:r w:rsidR="002667A4" w:rsidRPr="008B62B8">
        <w:rPr>
          <w:i/>
          <w:lang w:val="fr-CA"/>
        </w:rPr>
        <w:noBreakHyphen/>
      </w:r>
      <w:r w:rsidRPr="008B62B8">
        <w:rPr>
          <w:i/>
          <w:lang w:val="fr-CA"/>
        </w:rPr>
        <w:t>Yvan Morin</w:t>
      </w:r>
      <w:r w:rsidRPr="008B62B8">
        <w:rPr>
          <w:lang w:val="fr-CA"/>
        </w:rPr>
        <w:t xml:space="preserve">, [2015] </w:t>
      </w:r>
      <w:r w:rsidRPr="008B62B8">
        <w:rPr>
          <w:i/>
          <w:lang w:val="fr-CA"/>
        </w:rPr>
        <w:t xml:space="preserve">R.Q.D.I. </w:t>
      </w:r>
      <w:r w:rsidRPr="008B62B8">
        <w:rPr>
          <w:lang w:val="fr-CA"/>
        </w:rPr>
        <w:t>(hors</w:t>
      </w:r>
      <w:r w:rsidR="002667A4" w:rsidRPr="008B62B8">
        <w:rPr>
          <w:lang w:val="fr-CA"/>
        </w:rPr>
        <w:noBreakHyphen/>
      </w:r>
      <w:r w:rsidRPr="008B62B8">
        <w:rPr>
          <w:lang w:val="fr-CA"/>
        </w:rPr>
        <w:t>série) 199.</w:t>
      </w:r>
    </w:p>
    <w:p w14:paraId="19ADA43C" w14:textId="72F43FED" w:rsidR="00206371" w:rsidRPr="008B62B8" w:rsidRDefault="00D6455A" w:rsidP="002667A4">
      <w:pPr>
        <w:pStyle w:val="SCCNormalDoubleSpacing"/>
        <w:spacing w:after="240" w:line="240" w:lineRule="auto"/>
        <w:ind w:left="540" w:hanging="540"/>
        <w:rPr>
          <w:lang w:val="fr-CA"/>
        </w:rPr>
      </w:pPr>
      <w:r w:rsidRPr="008B62B8">
        <w:rPr>
          <w:lang w:val="fr-CA"/>
        </w:rPr>
        <w:t xml:space="preserve">Canada. Commission canadienne des droits de la personne. </w:t>
      </w:r>
      <w:r w:rsidRPr="008B62B8">
        <w:rPr>
          <w:i/>
          <w:lang w:val="fr-CA"/>
        </w:rPr>
        <w:t>Négligés</w:t>
      </w:r>
      <w:r w:rsidR="002667A4" w:rsidRPr="008B62B8">
        <w:rPr>
          <w:i/>
          <w:lang w:val="fr-CA"/>
        </w:rPr>
        <w:t> :</w:t>
      </w:r>
      <w:r w:rsidRPr="008B62B8">
        <w:rPr>
          <w:i/>
          <w:lang w:val="fr-CA"/>
        </w:rPr>
        <w:t xml:space="preserve"> difficultés vécues par les personnes handicapées dans les établissements d’enseignement du Canada</w:t>
      </w:r>
      <w:r w:rsidRPr="008B62B8">
        <w:rPr>
          <w:lang w:val="fr-CA"/>
        </w:rPr>
        <w:t>, Ottawa, 2017.</w:t>
      </w:r>
    </w:p>
    <w:p w14:paraId="35CC4CF8" w14:textId="430C1891" w:rsidR="003E5223" w:rsidRPr="008B62B8" w:rsidRDefault="006F77C2" w:rsidP="002667A4">
      <w:pPr>
        <w:pStyle w:val="SCCNormalDoubleSpacing"/>
        <w:spacing w:after="240" w:line="240" w:lineRule="auto"/>
        <w:ind w:left="540" w:hanging="540"/>
        <w:rPr>
          <w:lang w:val="fr-CA"/>
        </w:rPr>
      </w:pPr>
      <w:r w:rsidRPr="008B62B8">
        <w:rPr>
          <w:lang w:val="fr-CA"/>
        </w:rPr>
        <w:t>Carignan, Pierre. « </w:t>
      </w:r>
      <w:r w:rsidR="00710087" w:rsidRPr="008B62B8">
        <w:rPr>
          <w:lang w:val="fr-CA"/>
        </w:rPr>
        <w:t>L’égalité dans le droit</w:t>
      </w:r>
      <w:r w:rsidR="002667A4" w:rsidRPr="008B62B8">
        <w:rPr>
          <w:lang w:val="fr-CA"/>
        </w:rPr>
        <w:t> :</w:t>
      </w:r>
      <w:r w:rsidR="003E5223" w:rsidRPr="008B62B8">
        <w:rPr>
          <w:lang w:val="fr-CA"/>
        </w:rPr>
        <w:t xml:space="preserve"> une méthode d</w:t>
      </w:r>
      <w:r w:rsidR="00710087" w:rsidRPr="008B62B8">
        <w:rPr>
          <w:lang w:val="fr-CA"/>
        </w:rPr>
        <w:t>’approche appliquée à l’article </w:t>
      </w:r>
      <w:r w:rsidR="003E5223" w:rsidRPr="008B62B8">
        <w:rPr>
          <w:lang w:val="fr-CA"/>
        </w:rPr>
        <w:t>10 de la Charte des dr</w:t>
      </w:r>
      <w:r w:rsidRPr="008B62B8">
        <w:rPr>
          <w:lang w:val="fr-CA"/>
        </w:rPr>
        <w:t>oits et libertés de la personne »</w:t>
      </w:r>
      <w:r w:rsidR="003E5223" w:rsidRPr="008B62B8">
        <w:rPr>
          <w:lang w:val="fr-CA"/>
        </w:rPr>
        <w:t xml:space="preserve"> (1987), 21 </w:t>
      </w:r>
      <w:r w:rsidR="003E5223" w:rsidRPr="008B62B8">
        <w:rPr>
          <w:i/>
          <w:lang w:val="fr-CA"/>
        </w:rPr>
        <w:t>R.J.T.</w:t>
      </w:r>
      <w:r w:rsidR="003E5223" w:rsidRPr="008B62B8">
        <w:rPr>
          <w:lang w:val="fr-CA"/>
        </w:rPr>
        <w:t xml:space="preserve"> 491.</w:t>
      </w:r>
    </w:p>
    <w:p w14:paraId="6751AAA0" w14:textId="12D69604" w:rsidR="00206371" w:rsidRPr="008B62B8" w:rsidRDefault="00206371" w:rsidP="002667A4">
      <w:pPr>
        <w:pStyle w:val="SCCNormalDoubleSpacing"/>
        <w:spacing w:after="240" w:line="240" w:lineRule="auto"/>
        <w:ind w:left="540" w:hanging="540"/>
        <w:rPr>
          <w:lang w:val="fr-CA"/>
        </w:rPr>
      </w:pPr>
      <w:r w:rsidRPr="008B62B8">
        <w:rPr>
          <w:lang w:val="fr-CA"/>
        </w:rPr>
        <w:t xml:space="preserve">Commend, Susanne. </w:t>
      </w:r>
      <w:r w:rsidRPr="008B62B8">
        <w:rPr>
          <w:i/>
          <w:lang w:val="fr-CA"/>
        </w:rPr>
        <w:t>« Au secours des petits infirmes »</w:t>
      </w:r>
      <w:r w:rsidR="002667A4" w:rsidRPr="008B62B8">
        <w:rPr>
          <w:i/>
          <w:lang w:val="fr-CA"/>
        </w:rPr>
        <w:t> :</w:t>
      </w:r>
      <w:r w:rsidRPr="008B62B8">
        <w:rPr>
          <w:i/>
          <w:lang w:val="fr-CA"/>
        </w:rPr>
        <w:t xml:space="preserve"> Les enfants handicapés physiques au Québec entre charité et exclusion, 1920</w:t>
      </w:r>
      <w:r w:rsidR="002667A4" w:rsidRPr="008B62B8">
        <w:rPr>
          <w:i/>
          <w:lang w:val="fr-CA"/>
        </w:rPr>
        <w:noBreakHyphen/>
      </w:r>
      <w:r w:rsidRPr="008B62B8">
        <w:rPr>
          <w:i/>
          <w:lang w:val="fr-CA"/>
        </w:rPr>
        <w:t>1990</w:t>
      </w:r>
      <w:r w:rsidRPr="008B62B8">
        <w:rPr>
          <w:lang w:val="fr-CA"/>
        </w:rPr>
        <w:t>, thèse de doctorat,</w:t>
      </w:r>
      <w:r w:rsidRPr="008B62B8">
        <w:rPr>
          <w:i/>
          <w:lang w:val="fr-CA"/>
        </w:rPr>
        <w:t xml:space="preserve"> </w:t>
      </w:r>
      <w:r w:rsidRPr="008B62B8">
        <w:rPr>
          <w:lang w:val="fr-CA"/>
        </w:rPr>
        <w:t>Montréal, Université de Montréal, 2018.</w:t>
      </w:r>
    </w:p>
    <w:p w14:paraId="430BAC25" w14:textId="20BEA763" w:rsidR="00206371" w:rsidRPr="008B62B8" w:rsidRDefault="00710087" w:rsidP="002667A4">
      <w:pPr>
        <w:pStyle w:val="SCCNormalDoubleSpacing"/>
        <w:spacing w:after="240" w:line="240" w:lineRule="auto"/>
        <w:ind w:left="540" w:hanging="540"/>
        <w:rPr>
          <w:lang w:val="fr-CA"/>
        </w:rPr>
      </w:pPr>
      <w:r w:rsidRPr="008B62B8">
        <w:rPr>
          <w:lang w:val="fr-CA"/>
        </w:rPr>
        <w:t>De </w:t>
      </w:r>
      <w:r w:rsidR="00206371" w:rsidRPr="008B62B8">
        <w:rPr>
          <w:lang w:val="fr-CA"/>
        </w:rPr>
        <w:t xml:space="preserve">Koninck, Thomas. </w:t>
      </w:r>
      <w:r w:rsidR="00206371" w:rsidRPr="008B62B8">
        <w:rPr>
          <w:i/>
          <w:lang w:val="fr-CA"/>
        </w:rPr>
        <w:t>De la dignité humaine</w:t>
      </w:r>
      <w:r w:rsidR="00206371" w:rsidRPr="008B62B8">
        <w:rPr>
          <w:lang w:val="fr-CA"/>
        </w:rPr>
        <w:t>, Paris, Quadrige/PUF, 2002.</w:t>
      </w:r>
    </w:p>
    <w:p w14:paraId="5368CE71" w14:textId="11803493" w:rsidR="005F19D2" w:rsidRPr="008B62B8" w:rsidRDefault="005F19D2" w:rsidP="002667A4">
      <w:pPr>
        <w:pStyle w:val="SCCNormalDoubleSpacing"/>
        <w:spacing w:after="240" w:line="240" w:lineRule="auto"/>
        <w:ind w:left="540" w:hanging="540"/>
        <w:rPr>
          <w:lang w:val="fr-CA"/>
        </w:rPr>
      </w:pPr>
      <w:r w:rsidRPr="008B62B8">
        <w:rPr>
          <w:i/>
          <w:lang w:val="fr-CA"/>
        </w:rPr>
        <w:t>Dictionnaire de l’Académie française</w:t>
      </w:r>
      <w:r w:rsidRPr="008B62B8">
        <w:rPr>
          <w:lang w:val="fr-CA"/>
        </w:rPr>
        <w:t>, 9</w:t>
      </w:r>
      <w:r w:rsidRPr="008B62B8">
        <w:rPr>
          <w:vertAlign w:val="superscript"/>
          <w:lang w:val="fr-CA"/>
        </w:rPr>
        <w:t>e</w:t>
      </w:r>
      <w:r w:rsidRPr="008B62B8">
        <w:rPr>
          <w:lang w:val="fr-CA"/>
        </w:rPr>
        <w:t> éd. (en ligne</w:t>
      </w:r>
      <w:r w:rsidR="002667A4" w:rsidRPr="008B62B8">
        <w:rPr>
          <w:lang w:val="fr-CA"/>
        </w:rPr>
        <w:t> :</w:t>
      </w:r>
      <w:r w:rsidRPr="008B62B8">
        <w:rPr>
          <w:lang w:val="fr-CA"/>
        </w:rPr>
        <w:t xml:space="preserve"> https://www.dictionnaire</w:t>
      </w:r>
      <w:r w:rsidR="00B91F12" w:rsidRPr="008B62B8">
        <w:rPr>
          <w:lang w:val="fr-CA"/>
        </w:rPr>
        <w:t>-</w:t>
      </w:r>
      <w:r w:rsidRPr="008B62B8">
        <w:rPr>
          <w:lang w:val="fr-CA"/>
        </w:rPr>
        <w:t>a</w:t>
      </w:r>
      <w:r w:rsidR="00226177" w:rsidRPr="008B62B8">
        <w:rPr>
          <w:lang w:val="fr-CA"/>
        </w:rPr>
        <w:t>cademie.fr/), « respect », « sauvegarde ».</w:t>
      </w:r>
    </w:p>
    <w:p w14:paraId="735D8B91" w14:textId="059490DB" w:rsidR="00206371" w:rsidRPr="008B62B8" w:rsidRDefault="00184368" w:rsidP="002667A4">
      <w:pPr>
        <w:pStyle w:val="SCCNormalDoubleSpacing"/>
        <w:spacing w:after="240" w:line="240" w:lineRule="auto"/>
        <w:ind w:left="540" w:hanging="540"/>
        <w:rPr>
          <w:lang w:val="fr-CA"/>
        </w:rPr>
      </w:pPr>
      <w:r w:rsidRPr="008B62B8">
        <w:rPr>
          <w:lang w:val="fr-CA"/>
        </w:rPr>
        <w:t xml:space="preserve">Ducharme, Daniel, et Karina </w:t>
      </w:r>
      <w:r w:rsidR="00206371" w:rsidRPr="008B62B8">
        <w:rPr>
          <w:lang w:val="fr-CA"/>
        </w:rPr>
        <w:t xml:space="preserve">Montminy. </w:t>
      </w:r>
      <w:r w:rsidR="00206371" w:rsidRPr="008B62B8">
        <w:rPr>
          <w:i/>
          <w:lang w:val="fr-CA"/>
        </w:rPr>
        <w:t>L’accommodement des étudiants et étudiantes en situation de handicap dans les établissements d’enseignement collégial</w:t>
      </w:r>
      <w:r w:rsidR="00206371" w:rsidRPr="008B62B8">
        <w:rPr>
          <w:lang w:val="fr-CA"/>
        </w:rPr>
        <w:t>, Montréal, Commission des droits de la personne et des droits de la jeunesse, 2012.</w:t>
      </w:r>
    </w:p>
    <w:p w14:paraId="3BC40BC2" w14:textId="10C8C3FB" w:rsidR="00206371" w:rsidRPr="008B62B8" w:rsidRDefault="00710087" w:rsidP="002667A4">
      <w:pPr>
        <w:pStyle w:val="SCCNormalDoubleSpacing"/>
        <w:spacing w:after="240" w:line="240" w:lineRule="auto"/>
        <w:ind w:left="540" w:hanging="540"/>
        <w:rPr>
          <w:lang w:val="en-US"/>
        </w:rPr>
      </w:pPr>
      <w:r w:rsidRPr="008B62B8">
        <w:rPr>
          <w:lang w:val="en-US"/>
        </w:rPr>
        <w:t>Dworkin, Ronald. « Foreword », in I</w:t>
      </w:r>
      <w:r w:rsidR="007726A9" w:rsidRPr="008B62B8">
        <w:rPr>
          <w:lang w:val="en-US"/>
        </w:rPr>
        <w:t xml:space="preserve">van Hare and James </w:t>
      </w:r>
      <w:r w:rsidR="00206371" w:rsidRPr="008B62B8">
        <w:rPr>
          <w:lang w:val="en-US"/>
        </w:rPr>
        <w:t xml:space="preserve">Weinstein, eds., </w:t>
      </w:r>
      <w:r w:rsidR="00206371" w:rsidRPr="008B62B8">
        <w:rPr>
          <w:i/>
          <w:lang w:val="en-US"/>
        </w:rPr>
        <w:t>Extreme Speech and Democracy</w:t>
      </w:r>
      <w:r w:rsidR="00206371" w:rsidRPr="008B62B8">
        <w:rPr>
          <w:lang w:val="en-US"/>
        </w:rPr>
        <w:t>, New York, Oxford University Press, 2009, v.</w:t>
      </w:r>
    </w:p>
    <w:p w14:paraId="191747D6" w14:textId="4C568AFB" w:rsidR="00206371" w:rsidRPr="008B62B8" w:rsidRDefault="00206371" w:rsidP="002667A4">
      <w:pPr>
        <w:pStyle w:val="SCCNormalDoubleSpacing"/>
        <w:spacing w:after="240" w:line="240" w:lineRule="auto"/>
        <w:ind w:left="540" w:hanging="540"/>
        <w:rPr>
          <w:lang w:val="en-US"/>
        </w:rPr>
      </w:pPr>
      <w:r w:rsidRPr="008B62B8">
        <w:rPr>
          <w:lang w:val="en-US"/>
        </w:rPr>
        <w:t xml:space="preserve">Dworkin, Ronald. </w:t>
      </w:r>
      <w:r w:rsidRPr="008B62B8">
        <w:rPr>
          <w:i/>
          <w:lang w:val="en-US"/>
        </w:rPr>
        <w:t>Justice for Hedgehogs</w:t>
      </w:r>
      <w:r w:rsidRPr="008B62B8">
        <w:rPr>
          <w:lang w:val="en-US"/>
        </w:rPr>
        <w:t>, Cambridge (Mass.), Belknap Press of Harvard University Press, 2011.</w:t>
      </w:r>
    </w:p>
    <w:p w14:paraId="2D2B9145" w14:textId="55A3F27D" w:rsidR="00206371" w:rsidRPr="008B62B8" w:rsidRDefault="00206371" w:rsidP="002667A4">
      <w:pPr>
        <w:pStyle w:val="SCCNormalDoubleSpacing"/>
        <w:spacing w:after="240" w:line="240" w:lineRule="auto"/>
        <w:ind w:left="540" w:hanging="540"/>
        <w:rPr>
          <w:lang w:val="fr-CA"/>
        </w:rPr>
      </w:pPr>
      <w:r w:rsidRPr="008B62B8">
        <w:rPr>
          <w:lang w:val="fr-CA"/>
        </w:rPr>
        <w:t>Fabre</w:t>
      </w:r>
      <w:r w:rsidR="002667A4" w:rsidRPr="008B62B8">
        <w:rPr>
          <w:lang w:val="fr-CA"/>
        </w:rPr>
        <w:noBreakHyphen/>
      </w:r>
      <w:r w:rsidRPr="008B62B8">
        <w:rPr>
          <w:lang w:val="fr-CA"/>
        </w:rPr>
        <w:t>Magnan, Muriel. « La dignité en Droit</w:t>
      </w:r>
      <w:r w:rsidR="002667A4" w:rsidRPr="008B62B8">
        <w:rPr>
          <w:lang w:val="fr-CA"/>
        </w:rPr>
        <w:t> :</w:t>
      </w:r>
      <w:r w:rsidRPr="008B62B8">
        <w:rPr>
          <w:lang w:val="fr-CA"/>
        </w:rPr>
        <w:t xml:space="preserve"> un axiome » (2007), 58 </w:t>
      </w:r>
      <w:r w:rsidRPr="008B62B8">
        <w:rPr>
          <w:i/>
          <w:lang w:val="fr-CA"/>
        </w:rPr>
        <w:t>R.I.E.J.</w:t>
      </w:r>
      <w:r w:rsidRPr="008B62B8">
        <w:rPr>
          <w:lang w:val="fr-CA"/>
        </w:rPr>
        <w:t xml:space="preserve"> 1.</w:t>
      </w:r>
    </w:p>
    <w:p w14:paraId="10F66318" w14:textId="3C0E2EA8" w:rsidR="00206371" w:rsidRPr="008B62B8" w:rsidRDefault="00206371" w:rsidP="002667A4">
      <w:pPr>
        <w:pStyle w:val="SCCNormalDoubleSpacing"/>
        <w:spacing w:after="240" w:line="240" w:lineRule="auto"/>
        <w:ind w:left="540" w:hanging="540"/>
        <w:rPr>
          <w:lang w:val="en-US"/>
        </w:rPr>
      </w:pPr>
      <w:r w:rsidRPr="008B62B8">
        <w:rPr>
          <w:lang w:val="en-US"/>
        </w:rPr>
        <w:t>Gajda, Amy. « The Trouble with Dignity », in Andrew T.</w:t>
      </w:r>
      <w:r w:rsidR="00184368" w:rsidRPr="008B62B8">
        <w:rPr>
          <w:lang w:val="en-US"/>
        </w:rPr>
        <w:t xml:space="preserve"> </w:t>
      </w:r>
      <w:r w:rsidRPr="008B62B8">
        <w:rPr>
          <w:lang w:val="en-US"/>
        </w:rPr>
        <w:t xml:space="preserve">Kenyon, ed., </w:t>
      </w:r>
      <w:r w:rsidRPr="008B62B8">
        <w:rPr>
          <w:i/>
          <w:lang w:val="en-US"/>
        </w:rPr>
        <w:t>Comparative Defamation and Privacy Law</w:t>
      </w:r>
      <w:r w:rsidRPr="008B62B8">
        <w:rPr>
          <w:lang w:val="en-US"/>
        </w:rPr>
        <w:t>, Cambridge, Cambridge University Press, 2016, 246.</w:t>
      </w:r>
    </w:p>
    <w:p w14:paraId="33703B91" w14:textId="5A1B6B14" w:rsidR="00206371" w:rsidRPr="008B62B8" w:rsidRDefault="00206371" w:rsidP="002667A4">
      <w:pPr>
        <w:pStyle w:val="SCCNormalDoubleSpacing"/>
        <w:spacing w:after="240" w:line="240" w:lineRule="auto"/>
        <w:ind w:left="540" w:hanging="540"/>
      </w:pPr>
      <w:r w:rsidRPr="008B62B8">
        <w:rPr>
          <w:lang w:val="fr-CA"/>
        </w:rPr>
        <w:t>Gaudreault</w:t>
      </w:r>
      <w:r w:rsidR="002667A4" w:rsidRPr="008B62B8">
        <w:rPr>
          <w:lang w:val="fr-CA"/>
        </w:rPr>
        <w:noBreakHyphen/>
      </w:r>
      <w:r w:rsidRPr="008B62B8">
        <w:rPr>
          <w:lang w:val="fr-CA"/>
        </w:rPr>
        <w:t>DesBiens, Jean</w:t>
      </w:r>
      <w:r w:rsidR="002667A4" w:rsidRPr="008B62B8">
        <w:rPr>
          <w:lang w:val="fr-CA"/>
        </w:rPr>
        <w:noBreakHyphen/>
      </w:r>
      <w:r w:rsidRPr="008B62B8">
        <w:rPr>
          <w:lang w:val="fr-CA"/>
        </w:rPr>
        <w:t>François, and Charles</w:t>
      </w:r>
      <w:r w:rsidR="002667A4" w:rsidRPr="008B62B8">
        <w:rPr>
          <w:lang w:val="fr-CA"/>
        </w:rPr>
        <w:noBreakHyphen/>
      </w:r>
      <w:r w:rsidR="007726A9" w:rsidRPr="008B62B8">
        <w:rPr>
          <w:lang w:val="fr-CA"/>
        </w:rPr>
        <w:t xml:space="preserve">Maxime </w:t>
      </w:r>
      <w:r w:rsidRPr="008B62B8">
        <w:rPr>
          <w:lang w:val="fr-CA"/>
        </w:rPr>
        <w:t xml:space="preserve">Panaccio. </w:t>
      </w:r>
      <w:r w:rsidRPr="008B62B8">
        <w:rPr>
          <w:lang w:val="en-US"/>
        </w:rPr>
        <w:t>« </w:t>
      </w:r>
      <w:r w:rsidR="00A9149B" w:rsidRPr="008B62B8">
        <w:rPr>
          <w:lang w:val="en-US" w:bidi="en-US"/>
        </w:rPr>
        <w:t>The asymmetrical d</w:t>
      </w:r>
      <w:r w:rsidRPr="008B62B8">
        <w:rPr>
          <w:lang w:val="en-US" w:bidi="en-US"/>
        </w:rPr>
        <w:t xml:space="preserve">istinctness of the </w:t>
      </w:r>
      <w:r w:rsidRPr="008B62B8">
        <w:rPr>
          <w:i/>
          <w:lang w:val="en-US" w:bidi="en-US"/>
        </w:rPr>
        <w:t>Charter of Human Rights and Freedoms</w:t>
      </w:r>
      <w:r w:rsidRPr="008B62B8">
        <w:rPr>
          <w:lang w:val="en-US" w:bidi="en-US"/>
        </w:rPr>
        <w:t xml:space="preserve"> in the post</w:t>
      </w:r>
      <w:r w:rsidR="002667A4" w:rsidRPr="008B62B8">
        <w:rPr>
          <w:lang w:val="en-US" w:bidi="en-US"/>
        </w:rPr>
        <w:noBreakHyphen/>
      </w:r>
      <w:r w:rsidRPr="008B62B8">
        <w:rPr>
          <w:i/>
          <w:lang w:val="en-US" w:bidi="en-US"/>
        </w:rPr>
        <w:t>Chaoulli</w:t>
      </w:r>
      <w:r w:rsidR="00A9149B" w:rsidRPr="008B62B8">
        <w:rPr>
          <w:lang w:val="en-US" w:bidi="en-US"/>
        </w:rPr>
        <w:t xml:space="preserve"> e</w:t>
      </w:r>
      <w:r w:rsidRPr="008B62B8">
        <w:rPr>
          <w:lang w:val="en-US" w:bidi="en-US"/>
        </w:rPr>
        <w:t>ra »</w:t>
      </w:r>
      <w:r w:rsidRPr="008B62B8">
        <w:t xml:space="preserve">, in </w:t>
      </w:r>
      <w:r w:rsidRPr="008B62B8">
        <w:rPr>
          <w:i/>
          <w:iCs/>
        </w:rPr>
        <w:t>La Charte québécoise</w:t>
      </w:r>
      <w:r w:rsidR="002667A4" w:rsidRPr="008B62B8">
        <w:rPr>
          <w:i/>
          <w:iCs/>
        </w:rPr>
        <w:t> :</w:t>
      </w:r>
      <w:r w:rsidRPr="008B62B8">
        <w:rPr>
          <w:i/>
          <w:iCs/>
        </w:rPr>
        <w:t xml:space="preserve"> origines, enjeux et perspectives</w:t>
      </w:r>
      <w:r w:rsidRPr="008B62B8">
        <w:t>, [2006]</w:t>
      </w:r>
      <w:r w:rsidRPr="008B62B8">
        <w:rPr>
          <w:i/>
          <w:iCs/>
        </w:rPr>
        <w:t xml:space="preserve"> R. du B.</w:t>
      </w:r>
      <w:r w:rsidRPr="008B62B8">
        <w:t xml:space="preserve"> (numéro thématique) 217.</w:t>
      </w:r>
    </w:p>
    <w:p w14:paraId="5744509B" w14:textId="1E15AF5C" w:rsidR="00206371" w:rsidRPr="008B62B8" w:rsidRDefault="00206371" w:rsidP="002667A4">
      <w:pPr>
        <w:pStyle w:val="SCCNormalDoubleSpacing"/>
        <w:spacing w:after="240" w:line="240" w:lineRule="auto"/>
        <w:ind w:left="540" w:hanging="540"/>
        <w:rPr>
          <w:lang w:val="fr-CA"/>
        </w:rPr>
      </w:pPr>
      <w:r w:rsidRPr="008B62B8">
        <w:rPr>
          <w:lang w:val="fr-CA"/>
        </w:rPr>
        <w:t>Goubau, Dominique, ave</w:t>
      </w:r>
      <w:r w:rsidR="00710087" w:rsidRPr="008B62B8">
        <w:rPr>
          <w:lang w:val="fr-CA"/>
        </w:rPr>
        <w:t>c la collaboration d’Anne</w:t>
      </w:r>
      <w:r w:rsidR="002667A4" w:rsidRPr="008B62B8">
        <w:rPr>
          <w:lang w:val="fr-CA"/>
        </w:rPr>
        <w:noBreakHyphen/>
      </w:r>
      <w:r w:rsidR="007726A9" w:rsidRPr="008B62B8">
        <w:rPr>
          <w:lang w:val="fr-CA"/>
        </w:rPr>
        <w:t xml:space="preserve">Marie </w:t>
      </w:r>
      <w:r w:rsidRPr="008B62B8">
        <w:rPr>
          <w:lang w:val="fr-CA"/>
        </w:rPr>
        <w:t xml:space="preserve">Savard. </w:t>
      </w:r>
      <w:r w:rsidRPr="008B62B8">
        <w:rPr>
          <w:i/>
          <w:lang w:val="fr-CA"/>
        </w:rPr>
        <w:t>Le droit des personnes physiques</w:t>
      </w:r>
      <w:r w:rsidRPr="008B62B8">
        <w:rPr>
          <w:lang w:val="fr-CA"/>
        </w:rPr>
        <w:t>, 6</w:t>
      </w:r>
      <w:r w:rsidRPr="008B62B8">
        <w:rPr>
          <w:vertAlign w:val="superscript"/>
          <w:lang w:val="fr-CA"/>
        </w:rPr>
        <w:t>e</w:t>
      </w:r>
      <w:r w:rsidR="00710087" w:rsidRPr="008B62B8">
        <w:rPr>
          <w:lang w:val="fr-CA"/>
        </w:rPr>
        <w:t> </w:t>
      </w:r>
      <w:r w:rsidRPr="008B62B8">
        <w:rPr>
          <w:lang w:val="fr-CA"/>
        </w:rPr>
        <w:t>éd., Montréal, Yvon Blais, 2019.</w:t>
      </w:r>
    </w:p>
    <w:p w14:paraId="5F1F47B5" w14:textId="27BCC61F" w:rsidR="00206371" w:rsidRPr="008B62B8" w:rsidRDefault="00D6455A" w:rsidP="002667A4">
      <w:pPr>
        <w:pStyle w:val="SCCNormalDoubleSpacing"/>
        <w:spacing w:after="240" w:line="240" w:lineRule="auto"/>
        <w:ind w:left="540" w:hanging="540"/>
        <w:rPr>
          <w:lang w:val="fr-CA" w:bidi="en-US"/>
        </w:rPr>
      </w:pPr>
      <w:r w:rsidRPr="008B62B8">
        <w:rPr>
          <w:lang w:val="fr-CA" w:bidi="en-US"/>
        </w:rPr>
        <w:t>Grammond, Sébastien. « Un nouveau départ pour les dommages</w:t>
      </w:r>
      <w:r w:rsidR="002667A4" w:rsidRPr="008B62B8">
        <w:rPr>
          <w:lang w:val="fr-CA" w:bidi="en-US"/>
        </w:rPr>
        <w:noBreakHyphen/>
      </w:r>
      <w:r w:rsidRPr="008B62B8">
        <w:rPr>
          <w:lang w:val="fr-CA" w:bidi="en-US"/>
        </w:rPr>
        <w:t xml:space="preserve">intérêts punitifs » (2012), 42 </w:t>
      </w:r>
      <w:r w:rsidRPr="008B62B8">
        <w:rPr>
          <w:i/>
          <w:lang w:val="fr-CA" w:bidi="en-US"/>
        </w:rPr>
        <w:t xml:space="preserve">R.G.D. </w:t>
      </w:r>
      <w:r w:rsidRPr="008B62B8">
        <w:rPr>
          <w:lang w:val="fr-CA" w:bidi="en-US"/>
        </w:rPr>
        <w:t>105.</w:t>
      </w:r>
    </w:p>
    <w:p w14:paraId="6A7C803D" w14:textId="572ED9BF" w:rsidR="003E6F97" w:rsidRPr="008B62B8" w:rsidRDefault="003E6F97" w:rsidP="002667A4">
      <w:pPr>
        <w:pStyle w:val="SCCNormalDoubleSpacing"/>
        <w:spacing w:after="240" w:line="240" w:lineRule="auto"/>
        <w:ind w:left="540" w:hanging="540"/>
        <w:rPr>
          <w:lang w:val="fr-CA"/>
        </w:rPr>
      </w:pPr>
      <w:r w:rsidRPr="008B62B8">
        <w:rPr>
          <w:i/>
          <w:iCs/>
          <w:lang w:val="fr-CA"/>
        </w:rPr>
        <w:t xml:space="preserve">Grand Robert de la langue française </w:t>
      </w:r>
      <w:r w:rsidRPr="008B62B8">
        <w:rPr>
          <w:iCs/>
          <w:lang w:val="fr-CA"/>
        </w:rPr>
        <w:t>(version électronique),</w:t>
      </w:r>
      <w:r w:rsidRPr="008B62B8">
        <w:rPr>
          <w:i/>
          <w:iCs/>
          <w:lang w:val="fr-CA"/>
        </w:rPr>
        <w:t xml:space="preserve"> </w:t>
      </w:r>
      <w:r w:rsidR="00226177" w:rsidRPr="008B62B8">
        <w:rPr>
          <w:lang w:val="fr-CA"/>
        </w:rPr>
        <w:t>« respect », « sauvegarde »</w:t>
      </w:r>
      <w:r w:rsidRPr="008B62B8">
        <w:rPr>
          <w:lang w:val="fr-CA"/>
        </w:rPr>
        <w:t>.</w:t>
      </w:r>
    </w:p>
    <w:p w14:paraId="7E11DDF7" w14:textId="0F61D885" w:rsidR="00206371" w:rsidRPr="008B62B8" w:rsidRDefault="00206371" w:rsidP="002667A4">
      <w:pPr>
        <w:pStyle w:val="SCCNormalDoubleSpacing"/>
        <w:spacing w:after="240" w:line="240" w:lineRule="auto"/>
        <w:ind w:left="540" w:hanging="540"/>
        <w:rPr>
          <w:lang w:val="en-US"/>
        </w:rPr>
      </w:pPr>
      <w:r w:rsidRPr="008B62B8">
        <w:rPr>
          <w:lang w:val="fr-CA"/>
        </w:rPr>
        <w:t>Grégoire, Marie</w:t>
      </w:r>
      <w:r w:rsidR="00184368" w:rsidRPr="008B62B8">
        <w:rPr>
          <w:lang w:val="fr-CA"/>
        </w:rPr>
        <w:t xml:space="preserve"> </w:t>
      </w:r>
      <w:r w:rsidRPr="008B62B8">
        <w:rPr>
          <w:lang w:val="fr-CA"/>
        </w:rPr>
        <w:t>Annik. « Le parcours tumultueux des propos injurieux en droit québécois depuis 2009</w:t>
      </w:r>
      <w:r w:rsidR="002667A4" w:rsidRPr="008B62B8">
        <w:rPr>
          <w:lang w:val="fr-CA"/>
        </w:rPr>
        <w:t> :</w:t>
      </w:r>
      <w:r w:rsidRPr="008B62B8">
        <w:rPr>
          <w:lang w:val="fr-CA"/>
        </w:rPr>
        <w:t xml:space="preserve"> l’arrêt </w:t>
      </w:r>
      <w:r w:rsidRPr="008B62B8">
        <w:rPr>
          <w:i/>
          <w:lang w:val="fr-CA"/>
        </w:rPr>
        <w:t xml:space="preserve">Génex Communications inc. </w:t>
      </w:r>
      <w:r w:rsidRPr="008B62B8">
        <w:rPr>
          <w:lang w:val="fr-CA"/>
        </w:rPr>
        <w:t>c.</w:t>
      </w:r>
      <w:r w:rsidRPr="008B62B8">
        <w:rPr>
          <w:i/>
          <w:lang w:val="fr-CA"/>
        </w:rPr>
        <w:t xml:space="preserve"> Association québécoise de l’industrie du disque, du spectacle et de la vidéo (ADISQ)</w:t>
      </w:r>
      <w:r w:rsidRPr="008B62B8">
        <w:rPr>
          <w:lang w:val="fr-CA"/>
        </w:rPr>
        <w:t xml:space="preserve"> est</w:t>
      </w:r>
      <w:r w:rsidR="002667A4" w:rsidRPr="008B62B8">
        <w:rPr>
          <w:lang w:val="fr-CA"/>
        </w:rPr>
        <w:noBreakHyphen/>
      </w:r>
      <w:r w:rsidRPr="008B62B8">
        <w:rPr>
          <w:lang w:val="fr-CA"/>
        </w:rPr>
        <w:t xml:space="preserve">il toujours pertinent? » </w:t>
      </w:r>
      <w:r w:rsidRPr="008B62B8">
        <w:rPr>
          <w:lang w:val="en-US"/>
        </w:rPr>
        <w:t xml:space="preserve">(2016), 57 </w:t>
      </w:r>
      <w:r w:rsidRPr="008B62B8">
        <w:rPr>
          <w:i/>
          <w:lang w:val="en-US"/>
        </w:rPr>
        <w:t xml:space="preserve">C. de D. </w:t>
      </w:r>
      <w:r w:rsidRPr="008B62B8">
        <w:rPr>
          <w:lang w:val="en-US"/>
        </w:rPr>
        <w:t>3.</w:t>
      </w:r>
    </w:p>
    <w:p w14:paraId="786A5B4C" w14:textId="10E37CBC" w:rsidR="00206371" w:rsidRPr="008B62B8" w:rsidRDefault="00206371" w:rsidP="002667A4">
      <w:pPr>
        <w:pStyle w:val="SCCNormalDoubleSpacing"/>
        <w:spacing w:after="240" w:line="240" w:lineRule="auto"/>
        <w:ind w:left="540" w:hanging="540"/>
        <w:rPr>
          <w:lang w:val="en-US"/>
        </w:rPr>
      </w:pPr>
      <w:r w:rsidRPr="008B62B8">
        <w:rPr>
          <w:lang w:val="en-US"/>
        </w:rPr>
        <w:t>Grimm, Dieter. « Freedom of Speech a</w:t>
      </w:r>
      <w:r w:rsidR="007726A9" w:rsidRPr="008B62B8">
        <w:rPr>
          <w:lang w:val="en-US"/>
        </w:rPr>
        <w:t xml:space="preserve">nd Human Dignity », in Adrienne Stone and Frederick </w:t>
      </w:r>
      <w:r w:rsidRPr="008B62B8">
        <w:rPr>
          <w:lang w:val="en-US"/>
        </w:rPr>
        <w:t xml:space="preserve">Schauer, eds., </w:t>
      </w:r>
      <w:r w:rsidRPr="008B62B8">
        <w:rPr>
          <w:i/>
          <w:lang w:val="en-US"/>
        </w:rPr>
        <w:t>The Oxford Handbook of Freedom of Speech</w:t>
      </w:r>
      <w:r w:rsidRPr="008B62B8">
        <w:rPr>
          <w:lang w:val="en-US"/>
        </w:rPr>
        <w:t>, New York, Oxford University Press, 2021, 106.</w:t>
      </w:r>
    </w:p>
    <w:p w14:paraId="764E11F8" w14:textId="59DF3EC2" w:rsidR="00206371" w:rsidRPr="008B62B8" w:rsidRDefault="00710087" w:rsidP="002667A4">
      <w:pPr>
        <w:pStyle w:val="SCCNormalDoubleSpacing"/>
        <w:spacing w:after="240" w:line="240" w:lineRule="auto"/>
        <w:ind w:left="540" w:hanging="540"/>
        <w:rPr>
          <w:lang w:val="fr-CA"/>
        </w:rPr>
      </w:pPr>
      <w:r w:rsidRPr="008B62B8">
        <w:rPr>
          <w:lang w:val="en-US"/>
        </w:rPr>
        <w:t>Hogg, Peter </w:t>
      </w:r>
      <w:r w:rsidR="00206371" w:rsidRPr="008B62B8">
        <w:rPr>
          <w:lang w:val="en-US"/>
        </w:rPr>
        <w:t>W.</w:t>
      </w:r>
      <w:r w:rsidR="007726A9" w:rsidRPr="008B62B8">
        <w:rPr>
          <w:lang w:val="en-US"/>
        </w:rPr>
        <w:t xml:space="preserve">, and Wade K. </w:t>
      </w:r>
      <w:r w:rsidR="00C42E7E" w:rsidRPr="008B62B8">
        <w:rPr>
          <w:lang w:val="en-US"/>
        </w:rPr>
        <w:t xml:space="preserve">Wright. </w:t>
      </w:r>
      <w:r w:rsidR="00206371" w:rsidRPr="008B62B8">
        <w:rPr>
          <w:i/>
          <w:lang w:val="en-US"/>
        </w:rPr>
        <w:t>Constitutional Law of Canada</w:t>
      </w:r>
      <w:r w:rsidR="007726A9" w:rsidRPr="008B62B8">
        <w:rPr>
          <w:lang w:val="en-US"/>
        </w:rPr>
        <w:t xml:space="preserve">, 5th </w:t>
      </w:r>
      <w:r w:rsidR="00206371" w:rsidRPr="008B62B8">
        <w:rPr>
          <w:lang w:val="en-US"/>
        </w:rPr>
        <w:t xml:space="preserve">ed. </w:t>
      </w:r>
      <w:r w:rsidR="00206371" w:rsidRPr="008B62B8">
        <w:rPr>
          <w:lang w:val="fr-CA"/>
        </w:rPr>
        <w:t>Supp.</w:t>
      </w:r>
      <w:r w:rsidR="00F82513" w:rsidRPr="008B62B8">
        <w:rPr>
          <w:lang w:val="fr-CA"/>
        </w:rPr>
        <w:t>, Toronto,</w:t>
      </w:r>
      <w:r w:rsidRPr="008B62B8">
        <w:rPr>
          <w:lang w:val="fr-CA"/>
        </w:rPr>
        <w:t xml:space="preserve"> Thomson Reuters, 2021 (updated</w:t>
      </w:r>
      <w:r w:rsidR="00184368" w:rsidRPr="008B62B8">
        <w:rPr>
          <w:lang w:val="fr-CA"/>
        </w:rPr>
        <w:t xml:space="preserve"> </w:t>
      </w:r>
      <w:r w:rsidR="00F82513" w:rsidRPr="008B62B8">
        <w:rPr>
          <w:lang w:val="fr-CA"/>
        </w:rPr>
        <w:t>2021</w:t>
      </w:r>
      <w:r w:rsidRPr="008B62B8">
        <w:rPr>
          <w:lang w:val="fr-CA"/>
        </w:rPr>
        <w:t>, release</w:t>
      </w:r>
      <w:r w:rsidR="00184368" w:rsidRPr="008B62B8">
        <w:rPr>
          <w:lang w:val="fr-CA"/>
        </w:rPr>
        <w:t xml:space="preserve"> </w:t>
      </w:r>
      <w:r w:rsidR="00206371" w:rsidRPr="008B62B8">
        <w:rPr>
          <w:lang w:val="fr-CA"/>
        </w:rPr>
        <w:t>1).</w:t>
      </w:r>
    </w:p>
    <w:p w14:paraId="20D294D5" w14:textId="77777777" w:rsidR="00D6455A" w:rsidRPr="008B62B8" w:rsidRDefault="00D6455A" w:rsidP="002667A4">
      <w:pPr>
        <w:pStyle w:val="SCCNormalDoubleSpacing"/>
        <w:spacing w:after="240" w:line="240" w:lineRule="auto"/>
        <w:ind w:left="540" w:hanging="540"/>
        <w:rPr>
          <w:lang w:val="fr-CA"/>
        </w:rPr>
      </w:pPr>
      <w:r w:rsidRPr="008B62B8">
        <w:rPr>
          <w:lang w:val="fr-CA"/>
        </w:rPr>
        <w:t xml:space="preserve">Lavallée, Carmen. « La Convention internationale relative aux droits de l’enfant et son application au Canada » (1996), 48 </w:t>
      </w:r>
      <w:r w:rsidRPr="008B62B8">
        <w:rPr>
          <w:i/>
          <w:lang w:val="fr-CA"/>
        </w:rPr>
        <w:t xml:space="preserve">R.I.D.C. </w:t>
      </w:r>
      <w:r w:rsidRPr="008B62B8">
        <w:rPr>
          <w:lang w:val="fr-CA"/>
        </w:rPr>
        <w:t>605.</w:t>
      </w:r>
    </w:p>
    <w:p w14:paraId="62D76AF6" w14:textId="51C61CBE" w:rsidR="00206371" w:rsidRPr="008B62B8" w:rsidRDefault="00206371" w:rsidP="002667A4">
      <w:pPr>
        <w:pStyle w:val="SCCNormalDoubleSpacing"/>
        <w:spacing w:after="240" w:line="240" w:lineRule="auto"/>
        <w:ind w:left="540" w:hanging="540"/>
        <w:rPr>
          <w:lang w:val="fr-CA"/>
        </w:rPr>
      </w:pPr>
      <w:r w:rsidRPr="008B62B8">
        <w:rPr>
          <w:lang w:val="fr-CA"/>
        </w:rPr>
        <w:t xml:space="preserve">Littré, Émile. </w:t>
      </w:r>
      <w:r w:rsidRPr="008B62B8">
        <w:rPr>
          <w:i/>
          <w:lang w:val="fr-CA"/>
        </w:rPr>
        <w:t>Dictionnaire de la langue française</w:t>
      </w:r>
      <w:r w:rsidR="00710087" w:rsidRPr="008B62B8">
        <w:rPr>
          <w:lang w:val="fr-CA"/>
        </w:rPr>
        <w:t>, t. </w:t>
      </w:r>
      <w:r w:rsidRPr="008B62B8">
        <w:rPr>
          <w:lang w:val="fr-CA"/>
        </w:rPr>
        <w:t>6, Pari</w:t>
      </w:r>
      <w:r w:rsidR="00226177" w:rsidRPr="008B62B8">
        <w:rPr>
          <w:lang w:val="fr-CA"/>
        </w:rPr>
        <w:t>s, Gallimard et Hachette, 1958</w:t>
      </w:r>
      <w:r w:rsidRPr="008B62B8">
        <w:rPr>
          <w:lang w:val="fr-CA"/>
        </w:rPr>
        <w:t>, « respect »</w:t>
      </w:r>
      <w:r w:rsidR="00226177" w:rsidRPr="008B62B8">
        <w:rPr>
          <w:lang w:val="fr-CA"/>
        </w:rPr>
        <w:t>, « sauvegarde »</w:t>
      </w:r>
      <w:r w:rsidRPr="008B62B8">
        <w:rPr>
          <w:lang w:val="fr-CA"/>
        </w:rPr>
        <w:t>.</w:t>
      </w:r>
    </w:p>
    <w:p w14:paraId="7FC96F9E" w14:textId="07F09A6D" w:rsidR="00206371" w:rsidRPr="008B62B8" w:rsidRDefault="00206371" w:rsidP="002667A4">
      <w:pPr>
        <w:pStyle w:val="SCCNormalDoubleSpacing"/>
        <w:spacing w:after="240" w:line="240" w:lineRule="auto"/>
        <w:ind w:left="540" w:hanging="540"/>
        <w:rPr>
          <w:lang w:val="fr-CA"/>
        </w:rPr>
      </w:pPr>
      <w:r w:rsidRPr="008B62B8">
        <w:rPr>
          <w:lang w:val="fr-CA"/>
        </w:rPr>
        <w:t>Martin, Stefan. « Rira bien qui rira le dernier</w:t>
      </w:r>
      <w:r w:rsidR="002667A4" w:rsidRPr="008B62B8">
        <w:rPr>
          <w:lang w:val="fr-CA"/>
        </w:rPr>
        <w:t> :</w:t>
      </w:r>
      <w:r w:rsidRPr="008B62B8">
        <w:rPr>
          <w:lang w:val="fr-CA"/>
        </w:rPr>
        <w:t xml:space="preserve"> la caricature confrontée au droit à l’image » (2004), 16 </w:t>
      </w:r>
      <w:r w:rsidRPr="008B62B8">
        <w:rPr>
          <w:i/>
          <w:lang w:val="fr-CA"/>
        </w:rPr>
        <w:t xml:space="preserve">C.P.I. </w:t>
      </w:r>
      <w:r w:rsidRPr="008B62B8">
        <w:rPr>
          <w:lang w:val="fr-CA"/>
        </w:rPr>
        <w:t>611.</w:t>
      </w:r>
    </w:p>
    <w:p w14:paraId="47BA3B74" w14:textId="7D2F3D19" w:rsidR="00206371" w:rsidRPr="008B62B8" w:rsidRDefault="00206371" w:rsidP="002667A4">
      <w:pPr>
        <w:pStyle w:val="SCCNormalDoubleSpacing"/>
        <w:spacing w:after="240" w:line="240" w:lineRule="auto"/>
        <w:ind w:left="540" w:hanging="540"/>
        <w:rPr>
          <w:lang w:val="en-US"/>
        </w:rPr>
      </w:pPr>
      <w:r w:rsidRPr="008B62B8">
        <w:rPr>
          <w:lang w:val="en-US"/>
        </w:rPr>
        <w:t xml:space="preserve">McCrudden, Christopher. « Human Dignity and Judicial Interpretation of Human Rights » (2008), 19 </w:t>
      </w:r>
      <w:r w:rsidRPr="008B62B8">
        <w:rPr>
          <w:i/>
          <w:lang w:val="en-US"/>
        </w:rPr>
        <w:t>E.J.I.L.</w:t>
      </w:r>
      <w:r w:rsidRPr="008B62B8">
        <w:rPr>
          <w:lang w:val="en-US"/>
        </w:rPr>
        <w:t xml:space="preserve"> 655.</w:t>
      </w:r>
    </w:p>
    <w:p w14:paraId="5374BE07" w14:textId="089DED4B" w:rsidR="00D6455A" w:rsidRPr="008B62B8" w:rsidRDefault="00D6455A" w:rsidP="002667A4">
      <w:pPr>
        <w:pStyle w:val="SCCNormalDoubleSpacing"/>
        <w:spacing w:after="240" w:line="240" w:lineRule="auto"/>
        <w:ind w:left="540" w:hanging="540"/>
        <w:rPr>
          <w:lang w:val="en-US"/>
        </w:rPr>
      </w:pPr>
      <w:r w:rsidRPr="008B62B8">
        <w:rPr>
          <w:lang w:val="en-US"/>
        </w:rPr>
        <w:t>McGill, Jena. « “Now it’s My Rights Versus Yours”</w:t>
      </w:r>
      <w:r w:rsidR="002667A4" w:rsidRPr="008B62B8">
        <w:rPr>
          <w:lang w:val="en-US"/>
        </w:rPr>
        <w:t> :</w:t>
      </w:r>
      <w:r w:rsidRPr="008B62B8">
        <w:rPr>
          <w:lang w:val="en-US"/>
        </w:rPr>
        <w:t xml:space="preserve"> Equality in Tension with Religious Freedoms</w:t>
      </w:r>
      <w:r w:rsidRPr="008B62B8">
        <w:rPr>
          <w:lang w:val="en-US" w:bidi="en-US"/>
        </w:rPr>
        <w:t> »</w:t>
      </w:r>
      <w:r w:rsidRPr="008B62B8">
        <w:rPr>
          <w:lang w:val="en-US"/>
        </w:rPr>
        <w:t xml:space="preserve"> (2016), 53 </w:t>
      </w:r>
      <w:r w:rsidRPr="008B62B8">
        <w:rPr>
          <w:i/>
          <w:lang w:val="en-US"/>
        </w:rPr>
        <w:t xml:space="preserve">Alta. L. Rev. </w:t>
      </w:r>
      <w:r w:rsidRPr="008B62B8">
        <w:rPr>
          <w:lang w:val="en-US"/>
        </w:rPr>
        <w:t>583.</w:t>
      </w:r>
    </w:p>
    <w:p w14:paraId="700E843A" w14:textId="0766CCFE" w:rsidR="00D6455A" w:rsidRPr="008B62B8" w:rsidRDefault="00B33E9E" w:rsidP="002667A4">
      <w:pPr>
        <w:pStyle w:val="SCCNormalDoubleSpacing"/>
        <w:spacing w:after="240" w:line="240" w:lineRule="auto"/>
        <w:ind w:left="540" w:hanging="540"/>
        <w:rPr>
          <w:lang w:val="en-US"/>
        </w:rPr>
      </w:pPr>
      <w:r w:rsidRPr="008B62B8">
        <w:rPr>
          <w:lang w:val="en-US"/>
        </w:rPr>
        <w:t>Mendes, Errol </w:t>
      </w:r>
      <w:r w:rsidR="002667A4" w:rsidRPr="008B62B8">
        <w:rPr>
          <w:lang w:val="en-US"/>
        </w:rPr>
        <w:t>P.</w:t>
      </w:r>
      <w:r w:rsidR="007726A9" w:rsidRPr="008B62B8">
        <w:rPr>
          <w:lang w:val="en-US"/>
        </w:rPr>
        <w:t xml:space="preserve"> </w:t>
      </w:r>
      <w:r w:rsidR="00D6455A" w:rsidRPr="008B62B8">
        <w:rPr>
          <w:lang w:val="en-US"/>
        </w:rPr>
        <w:t>« Reaching Equilibrium between Conflicting Rights</w:t>
      </w:r>
      <w:r w:rsidR="00D6455A" w:rsidRPr="008B62B8">
        <w:rPr>
          <w:lang w:val="en-US" w:bidi="en-US"/>
        </w:rPr>
        <w:t> »</w:t>
      </w:r>
      <w:r w:rsidR="007726A9" w:rsidRPr="008B62B8">
        <w:rPr>
          <w:lang w:val="en-US"/>
        </w:rPr>
        <w:t>, in Shaheen</w:t>
      </w:r>
      <w:r w:rsidR="00184368" w:rsidRPr="008B62B8">
        <w:rPr>
          <w:lang w:val="en-US"/>
        </w:rPr>
        <w:t xml:space="preserve"> </w:t>
      </w:r>
      <w:r w:rsidR="007726A9" w:rsidRPr="008B62B8">
        <w:rPr>
          <w:lang w:val="en-US"/>
        </w:rPr>
        <w:t xml:space="preserve">Azmi, Lorne </w:t>
      </w:r>
      <w:r w:rsidR="00710087" w:rsidRPr="008B62B8">
        <w:rPr>
          <w:lang w:val="en-US"/>
        </w:rPr>
        <w:t>Foster and Lesley</w:t>
      </w:r>
      <w:r w:rsidR="00184368" w:rsidRPr="008B62B8">
        <w:rPr>
          <w:lang w:val="en-US"/>
        </w:rPr>
        <w:t xml:space="preserve"> </w:t>
      </w:r>
      <w:r w:rsidR="00D6455A" w:rsidRPr="008B62B8">
        <w:rPr>
          <w:lang w:val="en-US"/>
        </w:rPr>
        <w:t xml:space="preserve">Jacobs, eds., </w:t>
      </w:r>
      <w:r w:rsidR="00D6455A" w:rsidRPr="008B62B8">
        <w:rPr>
          <w:i/>
          <w:lang w:val="en-US"/>
        </w:rPr>
        <w:t>Balancing Competing Human Rights Claims in a Diverse Society</w:t>
      </w:r>
      <w:r w:rsidR="002667A4" w:rsidRPr="008B62B8">
        <w:rPr>
          <w:i/>
          <w:lang w:val="en-US"/>
        </w:rPr>
        <w:t> :</w:t>
      </w:r>
      <w:r w:rsidR="00D6455A" w:rsidRPr="008B62B8">
        <w:rPr>
          <w:i/>
          <w:lang w:val="en-US"/>
        </w:rPr>
        <w:t xml:space="preserve"> Institutions, Policy, Principles</w:t>
      </w:r>
      <w:r w:rsidR="00D6455A" w:rsidRPr="008B62B8">
        <w:rPr>
          <w:lang w:val="en-US"/>
        </w:rPr>
        <w:t>, Toronto, Irwin Law, 2012, 241.</w:t>
      </w:r>
    </w:p>
    <w:p w14:paraId="1847F134" w14:textId="139A24CF" w:rsidR="00206371" w:rsidRPr="008B62B8" w:rsidRDefault="00206371" w:rsidP="002667A4">
      <w:pPr>
        <w:pStyle w:val="SCCNormalDoubleSpacing"/>
        <w:spacing w:after="240" w:line="240" w:lineRule="auto"/>
        <w:ind w:left="540" w:hanging="540"/>
        <w:rPr>
          <w:lang w:val="fr-CA"/>
        </w:rPr>
      </w:pPr>
      <w:r w:rsidRPr="008B62B8">
        <w:rPr>
          <w:lang w:val="en-US"/>
        </w:rPr>
        <w:t xml:space="preserve">Moon, Richard. « What happens when the assumptions underlying our commitment to free speech no longer hold? » </w:t>
      </w:r>
      <w:r w:rsidRPr="008B62B8">
        <w:rPr>
          <w:lang w:val="fr-CA"/>
        </w:rPr>
        <w:t xml:space="preserve">(2019), 28:1 </w:t>
      </w:r>
      <w:r w:rsidRPr="008B62B8">
        <w:rPr>
          <w:i/>
          <w:lang w:val="fr-CA"/>
        </w:rPr>
        <w:t>Forum const.</w:t>
      </w:r>
      <w:r w:rsidRPr="008B62B8">
        <w:rPr>
          <w:lang w:val="fr-CA"/>
        </w:rPr>
        <w:t xml:space="preserve"> 1.</w:t>
      </w:r>
    </w:p>
    <w:p w14:paraId="2C4EDCA6" w14:textId="76A19582" w:rsidR="003E5223" w:rsidRPr="008B62B8" w:rsidRDefault="00206371" w:rsidP="002667A4">
      <w:pPr>
        <w:pStyle w:val="SCCNormalDoubleSpacing"/>
        <w:spacing w:after="240" w:line="240" w:lineRule="auto"/>
        <w:ind w:left="540" w:hanging="540"/>
        <w:rPr>
          <w:lang w:val="fr-CA"/>
        </w:rPr>
      </w:pPr>
      <w:r w:rsidRPr="008B62B8">
        <w:rPr>
          <w:lang w:val="fr-CA"/>
        </w:rPr>
        <w:t xml:space="preserve">Morin, Alexandre. </w:t>
      </w:r>
      <w:r w:rsidRPr="008B62B8">
        <w:rPr>
          <w:i/>
          <w:lang w:val="fr-CA"/>
        </w:rPr>
        <w:t>Le droit à l’égalité au Canada</w:t>
      </w:r>
      <w:r w:rsidRPr="008B62B8">
        <w:rPr>
          <w:lang w:val="fr-CA"/>
        </w:rPr>
        <w:t>, 2</w:t>
      </w:r>
      <w:r w:rsidRPr="008B62B8">
        <w:rPr>
          <w:vertAlign w:val="superscript"/>
          <w:lang w:val="fr-CA"/>
        </w:rPr>
        <w:t>e</w:t>
      </w:r>
      <w:r w:rsidR="00710087" w:rsidRPr="008B62B8">
        <w:rPr>
          <w:lang w:val="fr-CA"/>
        </w:rPr>
        <w:t> </w:t>
      </w:r>
      <w:r w:rsidRPr="008B62B8">
        <w:rPr>
          <w:lang w:val="fr-CA"/>
        </w:rPr>
        <w:t>éd., Montréal, LexisNexis, 2012.</w:t>
      </w:r>
    </w:p>
    <w:p w14:paraId="11A1AE38" w14:textId="6EAAB13D" w:rsidR="00D6455A" w:rsidRPr="008B62B8" w:rsidRDefault="007726A9" w:rsidP="002667A4">
      <w:pPr>
        <w:pStyle w:val="SCCNormalDoubleSpacing"/>
        <w:spacing w:after="240" w:line="240" w:lineRule="auto"/>
        <w:ind w:left="540" w:hanging="540"/>
        <w:rPr>
          <w:lang w:val="fr-CA"/>
        </w:rPr>
      </w:pPr>
      <w:r w:rsidRPr="008B62B8">
        <w:rPr>
          <w:lang w:val="fr-CA"/>
        </w:rPr>
        <w:t xml:space="preserve">Nations </w:t>
      </w:r>
      <w:r w:rsidR="00D6455A" w:rsidRPr="008B62B8">
        <w:rPr>
          <w:lang w:val="fr-CA"/>
        </w:rPr>
        <w:t xml:space="preserve">Unies. Comité des droits de l’enfant. </w:t>
      </w:r>
      <w:r w:rsidR="00D6455A" w:rsidRPr="008B62B8">
        <w:rPr>
          <w:i/>
          <w:lang w:val="fr-CA"/>
        </w:rPr>
        <w:t>Observation générale n</w:t>
      </w:r>
      <w:r w:rsidR="00D6455A" w:rsidRPr="008B62B8">
        <w:rPr>
          <w:i/>
          <w:vertAlign w:val="superscript"/>
          <w:lang w:val="fr-CA"/>
        </w:rPr>
        <w:t>o</w:t>
      </w:r>
      <w:r w:rsidR="00D6455A" w:rsidRPr="008B62B8">
        <w:rPr>
          <w:i/>
          <w:lang w:val="fr-CA"/>
        </w:rPr>
        <w:t> 13 (2011)</w:t>
      </w:r>
      <w:r w:rsidR="002667A4" w:rsidRPr="008B62B8">
        <w:rPr>
          <w:i/>
          <w:lang w:val="fr-CA"/>
        </w:rPr>
        <w:t> :</w:t>
      </w:r>
      <w:r w:rsidR="00D6455A" w:rsidRPr="008B62B8">
        <w:rPr>
          <w:i/>
          <w:lang w:val="fr-CA"/>
        </w:rPr>
        <w:t xml:space="preserve"> Le droit de l’enfant d’être protégé contre toutes les formes de violence</w:t>
      </w:r>
      <w:r w:rsidR="00710087" w:rsidRPr="008B62B8">
        <w:rPr>
          <w:lang w:val="fr-CA"/>
        </w:rPr>
        <w:t xml:space="preserve">, </w:t>
      </w:r>
      <w:r w:rsidR="00184368" w:rsidRPr="008B62B8">
        <w:rPr>
          <w:lang w:val="fr-CA"/>
        </w:rPr>
        <w:t xml:space="preserve">Doc. N.U. CRC/C/GC/13, 18 </w:t>
      </w:r>
      <w:r w:rsidRPr="008B62B8">
        <w:rPr>
          <w:lang w:val="fr-CA"/>
        </w:rPr>
        <w:t xml:space="preserve">avril </w:t>
      </w:r>
      <w:r w:rsidR="00D6455A" w:rsidRPr="008B62B8">
        <w:rPr>
          <w:lang w:val="fr-CA"/>
        </w:rPr>
        <w:t>2011.</w:t>
      </w:r>
    </w:p>
    <w:p w14:paraId="45CE2FD2" w14:textId="782E161E" w:rsidR="00206371" w:rsidRPr="008B62B8" w:rsidRDefault="00710087" w:rsidP="002667A4">
      <w:pPr>
        <w:pStyle w:val="SCCNormalDoubleSpacing"/>
        <w:spacing w:after="240" w:line="240" w:lineRule="auto"/>
        <w:ind w:left="540" w:hanging="540"/>
        <w:rPr>
          <w:lang w:val="fr-CA"/>
        </w:rPr>
      </w:pPr>
      <w:r w:rsidRPr="008B62B8">
        <w:rPr>
          <w:lang w:val="fr-CA"/>
        </w:rPr>
        <w:t>Nouvelle</w:t>
      </w:r>
      <w:r w:rsidR="002667A4" w:rsidRPr="008B62B8">
        <w:rPr>
          <w:lang w:val="fr-CA"/>
        </w:rPr>
        <w:noBreakHyphen/>
      </w:r>
      <w:r w:rsidRPr="008B62B8">
        <w:rPr>
          <w:lang w:val="fr-CA"/>
        </w:rPr>
        <w:t xml:space="preserve">Écosse. </w:t>
      </w:r>
      <w:r w:rsidR="00D6455A" w:rsidRPr="008B62B8">
        <w:rPr>
          <w:lang w:val="fr-CA"/>
        </w:rPr>
        <w:t>Commission d’étude sur l’intimidation et la cyberintimidation.</w:t>
      </w:r>
      <w:r w:rsidRPr="008B62B8">
        <w:rPr>
          <w:i/>
          <w:lang w:val="fr-CA"/>
        </w:rPr>
        <w:t xml:space="preserve"> </w:t>
      </w:r>
      <w:r w:rsidR="00D6455A" w:rsidRPr="008B62B8">
        <w:rPr>
          <w:i/>
          <w:iCs/>
          <w:lang w:val="fr-CA"/>
        </w:rPr>
        <w:t>Respect et responsabilité dans les relations</w:t>
      </w:r>
      <w:r w:rsidR="002667A4" w:rsidRPr="008B62B8">
        <w:rPr>
          <w:i/>
          <w:iCs/>
          <w:lang w:val="fr-CA"/>
        </w:rPr>
        <w:t> :</w:t>
      </w:r>
      <w:r w:rsidR="00D6455A" w:rsidRPr="008B62B8">
        <w:rPr>
          <w:i/>
          <w:iCs/>
          <w:lang w:val="fr-CA"/>
        </w:rPr>
        <w:t xml:space="preserve"> il n’y a pas d’app pour ça</w:t>
      </w:r>
      <w:r w:rsidR="002667A4" w:rsidRPr="008B62B8">
        <w:rPr>
          <w:i/>
          <w:iCs/>
          <w:lang w:val="fr-CA"/>
        </w:rPr>
        <w:t> :</w:t>
      </w:r>
      <w:r w:rsidR="00D6455A" w:rsidRPr="008B62B8">
        <w:rPr>
          <w:i/>
          <w:iCs/>
          <w:lang w:val="fr-CA"/>
        </w:rPr>
        <w:t xml:space="preserve"> Rapport de la Commission d’étude sur l’intimidation et la cyberintimidation</w:t>
      </w:r>
      <w:r w:rsidR="00D6455A" w:rsidRPr="008B62B8">
        <w:rPr>
          <w:lang w:val="fr-CA"/>
        </w:rPr>
        <w:t>, Halifax, 2012.</w:t>
      </w:r>
    </w:p>
    <w:p w14:paraId="6BA06880" w14:textId="082AB1C4" w:rsidR="00206371" w:rsidRPr="008B62B8" w:rsidRDefault="00206371" w:rsidP="002667A4">
      <w:pPr>
        <w:pStyle w:val="SCCNormalDoubleSpacing"/>
        <w:spacing w:after="240" w:line="240" w:lineRule="auto"/>
        <w:ind w:left="540" w:hanging="540"/>
        <w:rPr>
          <w:lang w:val="fr-CA"/>
        </w:rPr>
      </w:pPr>
      <w:r w:rsidRPr="008B62B8">
        <w:rPr>
          <w:lang w:val="fr-CA"/>
        </w:rPr>
        <w:t>Proulx, Dani</w:t>
      </w:r>
      <w:r w:rsidR="00710087" w:rsidRPr="008B62B8">
        <w:rPr>
          <w:lang w:val="fr-CA"/>
        </w:rPr>
        <w:t xml:space="preserve">el. « Droit à l’égalité », dans </w:t>
      </w:r>
      <w:r w:rsidR="00710087" w:rsidRPr="008B62B8">
        <w:rPr>
          <w:i/>
          <w:iCs/>
          <w:lang w:val="fr-CA"/>
        </w:rPr>
        <w:t xml:space="preserve">JurisClasseur Québec </w:t>
      </w:r>
      <w:r w:rsidRPr="008B62B8">
        <w:rPr>
          <w:i/>
          <w:iCs/>
          <w:lang w:val="fr-CA"/>
        </w:rPr>
        <w:t>— Collection droit public — Droit constitutionnel</w:t>
      </w:r>
      <w:r w:rsidR="00710087" w:rsidRPr="008B62B8">
        <w:rPr>
          <w:lang w:val="fr-CA"/>
        </w:rPr>
        <w:t xml:space="preserve">, </w:t>
      </w:r>
      <w:r w:rsidR="002667A4" w:rsidRPr="008B62B8">
        <w:rPr>
          <w:lang w:val="fr-CA"/>
        </w:rPr>
        <w:t>vol. </w:t>
      </w:r>
      <w:r w:rsidR="00710087" w:rsidRPr="008B62B8">
        <w:rPr>
          <w:lang w:val="fr-CA"/>
        </w:rPr>
        <w:t>2, par Stéphane</w:t>
      </w:r>
      <w:r w:rsidR="00184368" w:rsidRPr="008B62B8">
        <w:rPr>
          <w:lang w:val="fr-CA"/>
        </w:rPr>
        <w:t xml:space="preserve"> </w:t>
      </w:r>
      <w:r w:rsidR="00710087" w:rsidRPr="008B62B8">
        <w:rPr>
          <w:lang w:val="fr-CA"/>
        </w:rPr>
        <w:t>Beaulac et Jean</w:t>
      </w:r>
      <w:r w:rsidR="002667A4" w:rsidRPr="008B62B8">
        <w:rPr>
          <w:lang w:val="fr-CA"/>
        </w:rPr>
        <w:noBreakHyphen/>
      </w:r>
      <w:r w:rsidR="00710087" w:rsidRPr="008B62B8">
        <w:rPr>
          <w:lang w:val="fr-CA"/>
        </w:rPr>
        <w:t>François</w:t>
      </w:r>
      <w:r w:rsidR="00184368" w:rsidRPr="008B62B8">
        <w:rPr>
          <w:lang w:val="fr-CA"/>
        </w:rPr>
        <w:t xml:space="preserve"> </w:t>
      </w:r>
      <w:r w:rsidRPr="008B62B8">
        <w:rPr>
          <w:lang w:val="fr-CA"/>
        </w:rPr>
        <w:t>Gaudreault</w:t>
      </w:r>
      <w:r w:rsidR="002667A4" w:rsidRPr="008B62B8">
        <w:rPr>
          <w:lang w:val="fr-CA"/>
        </w:rPr>
        <w:noBreakHyphen/>
      </w:r>
      <w:r w:rsidRPr="008B62B8">
        <w:rPr>
          <w:lang w:val="fr-CA"/>
        </w:rPr>
        <w:t>Des</w:t>
      </w:r>
      <w:r w:rsidR="00607B5B">
        <w:rPr>
          <w:lang w:val="fr-CA"/>
        </w:rPr>
        <w:t>B</w:t>
      </w:r>
      <w:r w:rsidRPr="008B62B8">
        <w:rPr>
          <w:lang w:val="fr-CA"/>
        </w:rPr>
        <w:t>iens, dir., Montré</w:t>
      </w:r>
      <w:r w:rsidR="00710087" w:rsidRPr="008B62B8">
        <w:rPr>
          <w:lang w:val="fr-CA"/>
        </w:rPr>
        <w:t>al, LexisNexis, 2011, fascicule</w:t>
      </w:r>
      <w:r w:rsidR="00184368" w:rsidRPr="008B62B8">
        <w:rPr>
          <w:lang w:val="fr-CA"/>
        </w:rPr>
        <w:t xml:space="preserve"> </w:t>
      </w:r>
      <w:r w:rsidRPr="008B62B8">
        <w:rPr>
          <w:lang w:val="fr-CA"/>
        </w:rPr>
        <w:t>9 (fe</w:t>
      </w:r>
      <w:r w:rsidR="00710087" w:rsidRPr="008B62B8">
        <w:rPr>
          <w:lang w:val="fr-CA"/>
        </w:rPr>
        <w:t>uilles mobiles mises à jour mai</w:t>
      </w:r>
      <w:r w:rsidR="00184368" w:rsidRPr="008B62B8">
        <w:rPr>
          <w:lang w:val="fr-CA"/>
        </w:rPr>
        <w:t xml:space="preserve"> </w:t>
      </w:r>
      <w:r w:rsidRPr="008B62B8">
        <w:rPr>
          <w:lang w:val="fr-CA"/>
        </w:rPr>
        <w:t>2021, envoi n° 19).</w:t>
      </w:r>
    </w:p>
    <w:p w14:paraId="21CF4856" w14:textId="5351BB9C" w:rsidR="00206371" w:rsidRPr="008B62B8" w:rsidRDefault="00206371" w:rsidP="002667A4">
      <w:pPr>
        <w:pStyle w:val="SCCNormalDoubleSpacing"/>
        <w:spacing w:after="240" w:line="240" w:lineRule="auto"/>
        <w:ind w:left="540" w:hanging="540"/>
        <w:rPr>
          <w:lang w:val="fr-CA"/>
        </w:rPr>
      </w:pPr>
      <w:r w:rsidRPr="008B62B8">
        <w:rPr>
          <w:lang w:val="fr-CA"/>
        </w:rPr>
        <w:t>Rainville, Pierre.</w:t>
      </w:r>
      <w:r w:rsidRPr="008B62B8">
        <w:rPr>
          <w:i/>
          <w:lang w:val="fr-CA"/>
        </w:rPr>
        <w:t xml:space="preserve"> La répression de l’art et l’art de la répression</w:t>
      </w:r>
      <w:r w:rsidR="002667A4" w:rsidRPr="008B62B8">
        <w:rPr>
          <w:i/>
          <w:lang w:val="fr-CA"/>
        </w:rPr>
        <w:t> :</w:t>
      </w:r>
      <w:r w:rsidRPr="008B62B8">
        <w:rPr>
          <w:i/>
          <w:lang w:val="fr-CA"/>
        </w:rPr>
        <w:t xml:space="preserve"> La profanation de la religion à l’épreuve des mutations du droit pénal au sujet du blasphème et de la protection des identités religieuses</w:t>
      </w:r>
      <w:r w:rsidRPr="008B62B8">
        <w:rPr>
          <w:lang w:val="fr-CA"/>
        </w:rPr>
        <w:t>, Québec, Presses de l’Université Laval, 2019.</w:t>
      </w:r>
    </w:p>
    <w:p w14:paraId="3A8F9C53" w14:textId="77777777" w:rsidR="00D6455A" w:rsidRPr="008B62B8" w:rsidRDefault="00D6455A" w:rsidP="002667A4">
      <w:pPr>
        <w:pStyle w:val="SCCNormalDoubleSpacing"/>
        <w:spacing w:after="240" w:line="240" w:lineRule="auto"/>
        <w:ind w:left="540" w:hanging="540"/>
        <w:rPr>
          <w:lang w:val="fr-CA"/>
        </w:rPr>
      </w:pPr>
      <w:r w:rsidRPr="008B62B8">
        <w:rPr>
          <w:lang w:val="en-US"/>
        </w:rPr>
        <w:t xml:space="preserve">Raz, Joseph. « Free Expression and Personal Identification » (1991), 11 </w:t>
      </w:r>
      <w:r w:rsidRPr="008B62B8">
        <w:rPr>
          <w:i/>
          <w:lang w:val="en-US"/>
        </w:rPr>
        <w:t xml:space="preserve">Oxford J. Leg. </w:t>
      </w:r>
      <w:r w:rsidRPr="008B62B8">
        <w:rPr>
          <w:i/>
          <w:lang w:val="fr-CA"/>
        </w:rPr>
        <w:t>Stud.</w:t>
      </w:r>
      <w:r w:rsidRPr="008B62B8">
        <w:rPr>
          <w:lang w:val="fr-CA"/>
        </w:rPr>
        <w:t xml:space="preserve"> 303.</w:t>
      </w:r>
    </w:p>
    <w:p w14:paraId="0A1A3463" w14:textId="1ECCFC04" w:rsidR="00206371" w:rsidRPr="008B62B8" w:rsidRDefault="00206371" w:rsidP="002667A4">
      <w:pPr>
        <w:pStyle w:val="SCCNormalDoubleSpacing"/>
        <w:spacing w:after="240" w:line="240" w:lineRule="auto"/>
        <w:ind w:left="540" w:hanging="540"/>
        <w:rPr>
          <w:b/>
          <w:lang w:val="fr-CA"/>
        </w:rPr>
      </w:pPr>
      <w:r w:rsidRPr="008B62B8">
        <w:rPr>
          <w:lang w:val="fr-CA"/>
        </w:rPr>
        <w:t>Robitaille, David. « Non</w:t>
      </w:r>
      <w:r w:rsidR="002667A4" w:rsidRPr="008B62B8">
        <w:rPr>
          <w:lang w:val="fr-CA"/>
        </w:rPr>
        <w:noBreakHyphen/>
      </w:r>
      <w:r w:rsidRPr="008B62B8">
        <w:rPr>
          <w:lang w:val="fr-CA"/>
        </w:rPr>
        <w:t>indépendance et autonomie de la norme d’égalité québécoise</w:t>
      </w:r>
      <w:r w:rsidR="002667A4" w:rsidRPr="008B62B8">
        <w:rPr>
          <w:lang w:val="fr-CA"/>
        </w:rPr>
        <w:t> :</w:t>
      </w:r>
      <w:r w:rsidRPr="008B62B8">
        <w:rPr>
          <w:lang w:val="fr-CA"/>
        </w:rPr>
        <w:t xml:space="preserve"> Des concepts “fondateurs” qui méritent d’être mieux connus » (2004), 35 </w:t>
      </w:r>
      <w:r w:rsidRPr="008B62B8">
        <w:rPr>
          <w:i/>
          <w:lang w:val="fr-CA"/>
        </w:rPr>
        <w:t>R.D.U.S.</w:t>
      </w:r>
      <w:r w:rsidRPr="008B62B8">
        <w:rPr>
          <w:lang w:val="fr-CA"/>
        </w:rPr>
        <w:t xml:space="preserve"> 103.</w:t>
      </w:r>
    </w:p>
    <w:p w14:paraId="76D6BC71" w14:textId="1D469E1E" w:rsidR="00206371" w:rsidRPr="008B62B8" w:rsidRDefault="00D6455A" w:rsidP="002667A4">
      <w:pPr>
        <w:pStyle w:val="SCCNormalDoubleSpacing"/>
        <w:spacing w:after="240" w:line="240" w:lineRule="auto"/>
        <w:ind w:left="540" w:hanging="540"/>
        <w:rPr>
          <w:lang w:val="en-US" w:bidi="en-US"/>
        </w:rPr>
      </w:pPr>
      <w:r w:rsidRPr="008B62B8">
        <w:rPr>
          <w:lang w:val="fr-CA" w:bidi="en-US"/>
        </w:rPr>
        <w:t>Samson, Mélanie. « Les dommages punitifs en droit québécois</w:t>
      </w:r>
      <w:r w:rsidR="002667A4" w:rsidRPr="008B62B8">
        <w:rPr>
          <w:lang w:val="fr-CA" w:bidi="en-US"/>
        </w:rPr>
        <w:t> :</w:t>
      </w:r>
      <w:r w:rsidRPr="008B62B8">
        <w:rPr>
          <w:lang w:val="fr-CA" w:bidi="en-US"/>
        </w:rPr>
        <w:t xml:space="preserve"> tradition, évolution et . . .</w:t>
      </w:r>
      <w:r w:rsidR="00184368" w:rsidRPr="008B62B8">
        <w:rPr>
          <w:lang w:val="fr-CA" w:bidi="en-US"/>
        </w:rPr>
        <w:t> </w:t>
      </w:r>
      <w:r w:rsidRPr="008B62B8">
        <w:rPr>
          <w:lang w:val="fr-CA" w:bidi="en-US"/>
        </w:rPr>
        <w:t xml:space="preserve">révolution? » </w:t>
      </w:r>
      <w:r w:rsidRPr="008B62B8">
        <w:rPr>
          <w:lang w:val="en-US" w:bidi="en-US"/>
        </w:rPr>
        <w:t xml:space="preserve">(2012), 42 </w:t>
      </w:r>
      <w:r w:rsidRPr="008B62B8">
        <w:rPr>
          <w:i/>
          <w:lang w:val="en-US" w:bidi="en-US"/>
        </w:rPr>
        <w:t xml:space="preserve">R.D.U.S. </w:t>
      </w:r>
      <w:r w:rsidRPr="008B62B8">
        <w:rPr>
          <w:lang w:val="en-US" w:bidi="en-US"/>
        </w:rPr>
        <w:t>159.</w:t>
      </w:r>
    </w:p>
    <w:p w14:paraId="27082C0B" w14:textId="742CE401" w:rsidR="00206371" w:rsidRPr="008B62B8" w:rsidRDefault="007726A9" w:rsidP="002667A4">
      <w:pPr>
        <w:pStyle w:val="SCCNormalDoubleSpacing"/>
        <w:spacing w:after="240" w:line="240" w:lineRule="auto"/>
        <w:ind w:left="540" w:hanging="540"/>
        <w:rPr>
          <w:lang w:val="en-US"/>
        </w:rPr>
      </w:pPr>
      <w:r w:rsidRPr="008B62B8">
        <w:rPr>
          <w:lang w:val="en-US"/>
        </w:rPr>
        <w:t xml:space="preserve">Samson, Mélanie, and Louise </w:t>
      </w:r>
      <w:r w:rsidR="00206371" w:rsidRPr="008B62B8">
        <w:rPr>
          <w:lang w:val="en-US"/>
        </w:rPr>
        <w:t xml:space="preserve">Langevin. « Revisiting Québec’s </w:t>
      </w:r>
      <w:r w:rsidR="00206371" w:rsidRPr="008B62B8">
        <w:rPr>
          <w:i/>
          <w:lang w:val="en-US"/>
        </w:rPr>
        <w:t>Jus Commune</w:t>
      </w:r>
      <w:r w:rsidR="00206371" w:rsidRPr="008B62B8">
        <w:rPr>
          <w:lang w:val="en-US"/>
        </w:rPr>
        <w:t xml:space="preserve"> in the Era of the Human Rights Charters » (2015), 63 </w:t>
      </w:r>
      <w:r w:rsidR="00206371" w:rsidRPr="008B62B8">
        <w:rPr>
          <w:i/>
          <w:lang w:val="en-US"/>
        </w:rPr>
        <w:t>Am. J. Com</w:t>
      </w:r>
      <w:r w:rsidR="002667A4" w:rsidRPr="008B62B8">
        <w:rPr>
          <w:i/>
          <w:lang w:val="en-US"/>
        </w:rPr>
        <w:t>p. </w:t>
      </w:r>
      <w:r w:rsidR="00206371" w:rsidRPr="008B62B8">
        <w:rPr>
          <w:i/>
          <w:lang w:val="en-US"/>
        </w:rPr>
        <w:t xml:space="preserve">L. </w:t>
      </w:r>
      <w:r w:rsidR="00206371" w:rsidRPr="008B62B8">
        <w:rPr>
          <w:lang w:val="en-US"/>
        </w:rPr>
        <w:t>719.</w:t>
      </w:r>
    </w:p>
    <w:p w14:paraId="0D4037C4" w14:textId="3E77F14C" w:rsidR="00206371" w:rsidRPr="008B62B8" w:rsidRDefault="00D6455A" w:rsidP="002667A4">
      <w:pPr>
        <w:pStyle w:val="SCCNormalDoubleSpacing"/>
        <w:spacing w:after="240" w:line="240" w:lineRule="auto"/>
        <w:ind w:left="540" w:hanging="540"/>
      </w:pPr>
      <w:r w:rsidRPr="008B62B8">
        <w:t xml:space="preserve">Short, Donn. </w:t>
      </w:r>
      <w:r w:rsidRPr="008B62B8">
        <w:rPr>
          <w:i/>
          <w:lang w:val="en-US"/>
        </w:rPr>
        <w:t>« </w:t>
      </w:r>
      <w:r w:rsidRPr="008B62B8">
        <w:rPr>
          <w:i/>
        </w:rPr>
        <w:t>Don’t Be So Gay!</w:t>
      </w:r>
      <w:r w:rsidRPr="008B62B8">
        <w:rPr>
          <w:i/>
          <w:lang w:bidi="en-US"/>
        </w:rPr>
        <w:t> »</w:t>
      </w:r>
      <w:r w:rsidR="002667A4" w:rsidRPr="008B62B8">
        <w:rPr>
          <w:i/>
          <w:lang w:bidi="en-US"/>
        </w:rPr>
        <w:t> :</w:t>
      </w:r>
      <w:r w:rsidRPr="008B62B8">
        <w:rPr>
          <w:i/>
        </w:rPr>
        <w:t xml:space="preserve"> Queers, Bullying, and Making Schools Safe</w:t>
      </w:r>
      <w:r w:rsidRPr="008B62B8">
        <w:t>, Vancouver, UBC Press, 2013.</w:t>
      </w:r>
    </w:p>
    <w:p w14:paraId="400A288D" w14:textId="3A7F834A" w:rsidR="003E5223" w:rsidRPr="008B62B8" w:rsidRDefault="003E5223" w:rsidP="002667A4">
      <w:pPr>
        <w:pStyle w:val="SCCNormalDoubleSpacing"/>
        <w:spacing w:after="240" w:line="240" w:lineRule="auto"/>
        <w:ind w:left="540" w:hanging="540"/>
        <w:rPr>
          <w:lang w:val="fr-CA"/>
        </w:rPr>
      </w:pPr>
      <w:r w:rsidRPr="008B62B8">
        <w:rPr>
          <w:lang w:val="fr-CA"/>
        </w:rPr>
        <w:t>To</w:t>
      </w:r>
      <w:r w:rsidR="00710087" w:rsidRPr="008B62B8">
        <w:rPr>
          <w:lang w:val="fr-CA"/>
        </w:rPr>
        <w:t>rres</w:t>
      </w:r>
      <w:r w:rsidR="002667A4" w:rsidRPr="008B62B8">
        <w:rPr>
          <w:lang w:val="fr-CA"/>
        </w:rPr>
        <w:noBreakHyphen/>
      </w:r>
      <w:r w:rsidR="00710087" w:rsidRPr="008B62B8">
        <w:rPr>
          <w:lang w:val="fr-CA"/>
        </w:rPr>
        <w:t>Ceyte, Jérémie, et Mariève</w:t>
      </w:r>
      <w:r w:rsidR="00184368" w:rsidRPr="008B62B8">
        <w:rPr>
          <w:lang w:val="fr-CA"/>
        </w:rPr>
        <w:t xml:space="preserve"> </w:t>
      </w:r>
      <w:r w:rsidR="00710087" w:rsidRPr="008B62B8">
        <w:rPr>
          <w:lang w:val="fr-CA"/>
        </w:rPr>
        <w:t xml:space="preserve">Lacroix. </w:t>
      </w:r>
      <w:r w:rsidRPr="008B62B8">
        <w:rPr>
          <w:lang w:val="fr-CA"/>
        </w:rPr>
        <w:t>« Impression(</w:t>
      </w:r>
      <w:r w:rsidR="00184368" w:rsidRPr="008B62B8">
        <w:rPr>
          <w:lang w:val="fr-CA"/>
        </w:rPr>
        <w:t xml:space="preserve">s), la dignité », dans Brigitte </w:t>
      </w:r>
      <w:r w:rsidR="004F0F90" w:rsidRPr="008B62B8">
        <w:rPr>
          <w:lang w:val="fr-CA"/>
        </w:rPr>
        <w:t>Lefebvre et Benoît</w:t>
      </w:r>
      <w:r w:rsidR="00184368" w:rsidRPr="008B62B8">
        <w:rPr>
          <w:lang w:val="fr-CA"/>
        </w:rPr>
        <w:t xml:space="preserve"> </w:t>
      </w:r>
      <w:r w:rsidRPr="008B62B8">
        <w:rPr>
          <w:lang w:val="fr-CA"/>
        </w:rPr>
        <w:t xml:space="preserve">Moore, dir., </w:t>
      </w:r>
      <w:r w:rsidRPr="008B62B8">
        <w:rPr>
          <w:i/>
          <w:lang w:val="fr-CA"/>
        </w:rPr>
        <w:t>Les grandes valeurs</w:t>
      </w:r>
      <w:r w:rsidRPr="008B62B8">
        <w:rPr>
          <w:lang w:val="fr-CA"/>
        </w:rPr>
        <w:t>, Montréal, Thémis, 2019, 19.</w:t>
      </w:r>
    </w:p>
    <w:p w14:paraId="58140884" w14:textId="526BFF9C" w:rsidR="003E5223" w:rsidRPr="008B62B8" w:rsidRDefault="00D6455A" w:rsidP="002667A4">
      <w:pPr>
        <w:pStyle w:val="SCCNormalDoubleSpacing"/>
        <w:spacing w:after="240" w:line="240" w:lineRule="auto"/>
        <w:ind w:left="540" w:hanging="540"/>
        <w:rPr>
          <w:lang w:val="en-US" w:bidi="en-US"/>
        </w:rPr>
      </w:pPr>
      <w:r w:rsidRPr="008B62B8">
        <w:rPr>
          <w:lang w:val="en-US" w:bidi="en-US"/>
        </w:rPr>
        <w:t>Vandenhole, Wo</w:t>
      </w:r>
      <w:r w:rsidR="007726A9" w:rsidRPr="008B62B8">
        <w:rPr>
          <w:lang w:val="en-US" w:bidi="en-US"/>
        </w:rPr>
        <w:t xml:space="preserve">uter, Gamze Erdem Türkelli and Sara </w:t>
      </w:r>
      <w:r w:rsidRPr="008B62B8">
        <w:rPr>
          <w:lang w:val="en-US" w:bidi="en-US"/>
        </w:rPr>
        <w:t xml:space="preserve">Lembrechts. </w:t>
      </w:r>
      <w:r w:rsidRPr="008B62B8">
        <w:rPr>
          <w:i/>
          <w:lang w:val="en-US" w:bidi="en-US"/>
        </w:rPr>
        <w:t>Children’s Rights</w:t>
      </w:r>
      <w:r w:rsidR="002667A4" w:rsidRPr="008B62B8">
        <w:rPr>
          <w:i/>
          <w:lang w:val="en-US" w:bidi="en-US"/>
        </w:rPr>
        <w:t> :</w:t>
      </w:r>
      <w:r w:rsidRPr="008B62B8">
        <w:rPr>
          <w:i/>
          <w:lang w:val="en-US" w:bidi="en-US"/>
        </w:rPr>
        <w:t xml:space="preserve"> A Commentary on the Convention on the Rights of the Child and its Protocols</w:t>
      </w:r>
      <w:r w:rsidRPr="008B62B8">
        <w:rPr>
          <w:lang w:val="en-US" w:bidi="en-US"/>
        </w:rPr>
        <w:t>, Northampton (Mass.), Edward Elgar, 2019.</w:t>
      </w:r>
    </w:p>
    <w:p w14:paraId="154A63F2" w14:textId="77777777" w:rsidR="003E5223" w:rsidRPr="008B62B8" w:rsidRDefault="003E5223" w:rsidP="002667A4">
      <w:pPr>
        <w:pStyle w:val="SCCNormalDoubleSpacing"/>
        <w:spacing w:after="720" w:line="240" w:lineRule="auto"/>
        <w:ind w:left="540" w:hanging="540"/>
        <w:rPr>
          <w:lang w:val="en-US"/>
        </w:rPr>
      </w:pPr>
      <w:r w:rsidRPr="008B62B8">
        <w:rPr>
          <w:lang w:val="en-US"/>
        </w:rPr>
        <w:t xml:space="preserve">Waldron, Jeremy. </w:t>
      </w:r>
      <w:r w:rsidRPr="008B62B8">
        <w:rPr>
          <w:i/>
          <w:lang w:val="en-US"/>
        </w:rPr>
        <w:t>The Harm in Hate Speech</w:t>
      </w:r>
      <w:r w:rsidRPr="008B62B8">
        <w:rPr>
          <w:lang w:val="en-US"/>
        </w:rPr>
        <w:t>, Cambridge (Mass.), Harvard University Press, 2012.</w:t>
      </w:r>
    </w:p>
    <w:p w14:paraId="7C201A63" w14:textId="0F494598" w:rsidR="004D7D95" w:rsidRPr="008B62B8" w:rsidRDefault="004D7D95" w:rsidP="00B91F12">
      <w:pPr>
        <w:pStyle w:val="SCCNormalDoubleSpacing"/>
        <w:spacing w:after="480"/>
        <w:rPr>
          <w:lang w:val="fr-CA"/>
        </w:rPr>
      </w:pPr>
      <w:r w:rsidRPr="008B62B8">
        <w:rPr>
          <w:lang w:val="en-US"/>
        </w:rPr>
        <w:tab/>
      </w:r>
      <w:r w:rsidRPr="008B62B8">
        <w:rPr>
          <w:lang w:val="fr-CA"/>
        </w:rPr>
        <w:t>POURVOI contre un arrêt de la C</w:t>
      </w:r>
      <w:r w:rsidR="008A633E" w:rsidRPr="008B62B8">
        <w:rPr>
          <w:lang w:val="fr-CA"/>
        </w:rPr>
        <w:t>our d’appel du Québec (</w:t>
      </w:r>
      <w:r w:rsidR="00E26A40" w:rsidRPr="008B62B8">
        <w:rPr>
          <w:lang w:val="fr-CA"/>
        </w:rPr>
        <w:t>les juges Savard, Roy et Cotnam), 2019 QCCA 2042, 62 C.C.L.T. (4th) 230, [2019] AZ</w:t>
      </w:r>
      <w:r w:rsidR="002667A4" w:rsidRPr="008B62B8">
        <w:rPr>
          <w:lang w:val="fr-CA"/>
        </w:rPr>
        <w:noBreakHyphen/>
      </w:r>
      <w:r w:rsidR="00E26A40" w:rsidRPr="008B62B8">
        <w:rPr>
          <w:lang w:val="fr-CA"/>
        </w:rPr>
        <w:t>51648647, [2019] J.Q. n</w:t>
      </w:r>
      <w:r w:rsidR="00E26A40" w:rsidRPr="008B62B8">
        <w:rPr>
          <w:vertAlign w:val="superscript"/>
          <w:lang w:val="fr-CA"/>
        </w:rPr>
        <w:t>o</w:t>
      </w:r>
      <w:r w:rsidR="00E26A40" w:rsidRPr="008B62B8">
        <w:rPr>
          <w:lang w:val="fr-CA"/>
        </w:rPr>
        <w:t> 10380 (QL), 2019 CarswellQue 10278 (WL Can.), qui a infirmé en partie une décision du Tribunal des droits de la personne</w:t>
      </w:r>
      <w:r w:rsidR="00126F21" w:rsidRPr="008B62B8">
        <w:rPr>
          <w:lang w:val="fr-CA"/>
        </w:rPr>
        <w:t xml:space="preserve"> du Québec</w:t>
      </w:r>
      <w:r w:rsidR="00E26A40" w:rsidRPr="008B62B8">
        <w:rPr>
          <w:lang w:val="fr-CA"/>
        </w:rPr>
        <w:t>, 2016 QCTDP 18, 35 C.C.L.T. (4th) 258, 84 C.H.R.R. D/155, [2016] AZ</w:t>
      </w:r>
      <w:r w:rsidR="002667A4" w:rsidRPr="008B62B8">
        <w:rPr>
          <w:lang w:val="fr-CA"/>
        </w:rPr>
        <w:noBreakHyphen/>
      </w:r>
      <w:r w:rsidR="00E26A40" w:rsidRPr="008B62B8">
        <w:rPr>
          <w:lang w:val="fr-CA"/>
        </w:rPr>
        <w:t>51307297, [2016] J.T.D.P.Q. n</w:t>
      </w:r>
      <w:r w:rsidR="00E26A40" w:rsidRPr="008B62B8">
        <w:rPr>
          <w:vertAlign w:val="superscript"/>
          <w:lang w:val="fr-CA"/>
        </w:rPr>
        <w:t>o</w:t>
      </w:r>
      <w:r w:rsidR="00E26A40" w:rsidRPr="008B62B8">
        <w:rPr>
          <w:lang w:val="fr-CA"/>
        </w:rPr>
        <w:t> 18 (QL), 2016 CarswellQue 6568 (WL Can.). Pourvoi</w:t>
      </w:r>
      <w:r w:rsidR="00BC6343" w:rsidRPr="008B62B8">
        <w:rPr>
          <w:lang w:val="fr-CA"/>
        </w:rPr>
        <w:t xml:space="preserve"> </w:t>
      </w:r>
      <w:r w:rsidR="00184368" w:rsidRPr="008B62B8">
        <w:rPr>
          <w:lang w:val="fr-CA"/>
        </w:rPr>
        <w:t>accueilli, les juges Abella, Karakatsanis, Martin et Kasirer sont dissidents.</w:t>
      </w:r>
    </w:p>
    <w:p w14:paraId="24350D20" w14:textId="07ABA37E" w:rsidR="00AD6543" w:rsidRPr="008B62B8" w:rsidRDefault="008A633E" w:rsidP="00B91F12">
      <w:pPr>
        <w:pStyle w:val="SCCNormalDoubleSpacing"/>
        <w:spacing w:after="480"/>
        <w:rPr>
          <w:lang w:val="fr-CA"/>
        </w:rPr>
      </w:pPr>
      <w:r w:rsidRPr="008B62B8">
        <w:rPr>
          <w:rStyle w:val="SCCCounselNameChar"/>
          <w:lang w:val="fr-CA"/>
        </w:rPr>
        <w:tab/>
      </w:r>
      <w:r w:rsidR="00B91F12" w:rsidRPr="008B62B8">
        <w:rPr>
          <w:rStyle w:val="SCCCounselNameChar"/>
          <w:lang w:val="fr-CA"/>
        </w:rPr>
        <w:t>Julius </w:t>
      </w:r>
      <w:r w:rsidRPr="008B62B8">
        <w:rPr>
          <w:rStyle w:val="SCCCounselNameChar"/>
          <w:lang w:val="fr-CA"/>
        </w:rPr>
        <w:t>H. Grey</w:t>
      </w:r>
      <w:r w:rsidR="00DD290E" w:rsidRPr="008B62B8">
        <w:rPr>
          <w:rStyle w:val="SCCCounselSeparatorChar"/>
          <w:lang w:val="fr-CA"/>
        </w:rPr>
        <w:t xml:space="preserve"> et</w:t>
      </w:r>
      <w:r w:rsidRPr="008B62B8">
        <w:rPr>
          <w:rStyle w:val="SCCCounselSeparatorChar"/>
          <w:lang w:val="fr-CA"/>
        </w:rPr>
        <w:t xml:space="preserve"> </w:t>
      </w:r>
      <w:r w:rsidR="00DD290E" w:rsidRPr="008B62B8">
        <w:rPr>
          <w:rStyle w:val="SCCCounselNameChar"/>
          <w:lang w:val="fr-CA"/>
        </w:rPr>
        <w:t>Geneviève Grey</w:t>
      </w:r>
      <w:r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appelant</w:t>
      </w:r>
      <w:r w:rsidRPr="008B62B8">
        <w:rPr>
          <w:rStyle w:val="SCCCounselPartyRoleChar"/>
          <w:lang w:val="fr-CA"/>
        </w:rPr>
        <w:t>.</w:t>
      </w:r>
    </w:p>
    <w:p w14:paraId="58D5DD74" w14:textId="7B87D0E0" w:rsidR="00AD6543" w:rsidRPr="008B62B8" w:rsidRDefault="008A633E" w:rsidP="00B91F12">
      <w:pPr>
        <w:pStyle w:val="SCCNormalDoubleSpacing"/>
        <w:spacing w:after="480"/>
        <w:rPr>
          <w:lang w:val="fr-CA"/>
        </w:rPr>
      </w:pPr>
      <w:r w:rsidRPr="008B62B8">
        <w:rPr>
          <w:rStyle w:val="SCCCounselNameChar"/>
          <w:lang w:val="fr-CA"/>
        </w:rPr>
        <w:tab/>
        <w:t>Stéphanie Fournier</w:t>
      </w:r>
      <w:r w:rsidRPr="008B62B8">
        <w:rPr>
          <w:rStyle w:val="SCCCounselSeparatorChar"/>
          <w:lang w:val="fr-CA"/>
        </w:rPr>
        <w:t xml:space="preserve"> et </w:t>
      </w:r>
      <w:r w:rsidR="00DD290E" w:rsidRPr="008B62B8">
        <w:rPr>
          <w:rStyle w:val="SCCCounselNameChar"/>
          <w:lang w:val="fr-CA"/>
        </w:rPr>
        <w:t>Lysiane Clément</w:t>
      </w:r>
      <w:r w:rsidR="002667A4" w:rsidRPr="008B62B8">
        <w:rPr>
          <w:rStyle w:val="SCCCounselNameChar"/>
          <w:lang w:val="fr-CA"/>
        </w:rPr>
        <w:noBreakHyphen/>
      </w:r>
      <w:r w:rsidR="00DD290E" w:rsidRPr="008B62B8">
        <w:rPr>
          <w:rStyle w:val="SCCCounselNameChar"/>
          <w:lang w:val="fr-CA"/>
        </w:rPr>
        <w:t>Major</w:t>
      </w:r>
      <w:r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intimée</w:t>
      </w:r>
      <w:r w:rsidRPr="008B62B8">
        <w:rPr>
          <w:rStyle w:val="SCCCounselPartyRoleChar"/>
          <w:lang w:val="fr-CA"/>
        </w:rPr>
        <w:t>.</w:t>
      </w:r>
    </w:p>
    <w:p w14:paraId="7D41F1F8" w14:textId="77777777" w:rsidR="00DD290E" w:rsidRPr="008B62B8" w:rsidRDefault="00DD290E" w:rsidP="00B91F12">
      <w:pPr>
        <w:pStyle w:val="SCCNormalDoubleSpacing"/>
        <w:spacing w:after="480"/>
        <w:rPr>
          <w:lang w:val="fr-CA"/>
        </w:rPr>
      </w:pPr>
      <w:r w:rsidRPr="008B62B8">
        <w:rPr>
          <w:rStyle w:val="SCCCounselNameChar"/>
          <w:lang w:val="fr-CA"/>
        </w:rPr>
        <w:tab/>
        <w:t>Stéphane Harvey</w:t>
      </w:r>
      <w:r w:rsidRPr="008B62B8">
        <w:rPr>
          <w:rStyle w:val="SCCCounselPartyRoleChar"/>
          <w:lang w:val="fr-CA"/>
        </w:rPr>
        <w:t>, pour les intervenants Sylvie Gabriel et Jérémy Gabriel.</w:t>
      </w:r>
    </w:p>
    <w:p w14:paraId="41B45939" w14:textId="77777777" w:rsidR="00AD6543" w:rsidRPr="008B62B8" w:rsidRDefault="008A633E" w:rsidP="00B91F12">
      <w:pPr>
        <w:pStyle w:val="SCCNormalDoubleSpacing"/>
        <w:spacing w:after="480"/>
        <w:rPr>
          <w:lang w:val="fr-CA"/>
        </w:rPr>
      </w:pPr>
      <w:r w:rsidRPr="008B62B8">
        <w:rPr>
          <w:rStyle w:val="SCCCounselNameChar"/>
          <w:lang w:val="fr-CA"/>
        </w:rPr>
        <w:tab/>
        <w:t>Walid Hijazi</w:t>
      </w:r>
      <w:r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intervenante</w:t>
      </w:r>
      <w:r w:rsidRPr="008B62B8">
        <w:rPr>
          <w:rStyle w:val="SCCCounselPartyRoleChar"/>
          <w:lang w:val="fr-CA"/>
        </w:rPr>
        <w:t xml:space="preserve"> </w:t>
      </w:r>
      <w:r w:rsidR="00DD290E" w:rsidRPr="008B62B8">
        <w:rPr>
          <w:rStyle w:val="SCCCounselPartyRoleChar"/>
          <w:lang w:val="fr-CA"/>
        </w:rPr>
        <w:t>l’</w:t>
      </w:r>
      <w:r w:rsidRPr="008B62B8">
        <w:rPr>
          <w:rStyle w:val="SCCCounselPartyRoleChar"/>
          <w:lang w:val="fr-CA"/>
        </w:rPr>
        <w:t>Association des professionnels de l’industrie de l’humour.</w:t>
      </w:r>
    </w:p>
    <w:p w14:paraId="42B799E7" w14:textId="77777777" w:rsidR="00AD6543" w:rsidRPr="008B62B8" w:rsidRDefault="008A633E" w:rsidP="00B91F12">
      <w:pPr>
        <w:pStyle w:val="SCCNormalDoubleSpacing"/>
        <w:spacing w:after="480"/>
        <w:rPr>
          <w:lang w:val="fr-CA"/>
        </w:rPr>
      </w:pPr>
      <w:r w:rsidRPr="008B62B8">
        <w:rPr>
          <w:rStyle w:val="SCCCounselNameChar"/>
          <w:lang w:val="fr-CA"/>
        </w:rPr>
        <w:tab/>
        <w:t>Guy Régimbald</w:t>
      </w:r>
      <w:r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 xml:space="preserve">intervenante la </w:t>
      </w:r>
      <w:r w:rsidRPr="008B62B8">
        <w:rPr>
          <w:rStyle w:val="SCCCounselPartyRoleChar"/>
          <w:lang w:val="fr-CA"/>
        </w:rPr>
        <w:t>Commission internationale de juristes (Canada).</w:t>
      </w:r>
    </w:p>
    <w:p w14:paraId="1A2BB74D" w14:textId="7E3AD6C4" w:rsidR="00AD6543" w:rsidRPr="008B62B8" w:rsidRDefault="00B91F12" w:rsidP="00B91F12">
      <w:pPr>
        <w:pStyle w:val="SCCNormalDoubleSpacing"/>
        <w:spacing w:after="480"/>
        <w:rPr>
          <w:lang w:val="fr-CA"/>
        </w:rPr>
      </w:pPr>
      <w:r w:rsidRPr="008B62B8">
        <w:rPr>
          <w:rStyle w:val="SCCCounselNameChar"/>
          <w:lang w:val="fr-CA"/>
        </w:rPr>
        <w:tab/>
        <w:t>Christopher </w:t>
      </w:r>
      <w:r w:rsidR="008A633E" w:rsidRPr="008B62B8">
        <w:rPr>
          <w:rStyle w:val="SCCCounselNameChar"/>
          <w:lang w:val="fr-CA"/>
        </w:rPr>
        <w:t>D. Bredt</w:t>
      </w:r>
      <w:r w:rsidR="008A633E"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intervenante l’</w:t>
      </w:r>
      <w:r w:rsidR="008A633E" w:rsidRPr="008B62B8">
        <w:rPr>
          <w:rStyle w:val="SCCCounselPartyRoleChar"/>
          <w:lang w:val="fr-CA"/>
        </w:rPr>
        <w:t>Association canadienne des libertés civiles.</w:t>
      </w:r>
    </w:p>
    <w:p w14:paraId="68A6F718" w14:textId="4D78BC9E" w:rsidR="00AD6543" w:rsidRPr="008B62B8" w:rsidRDefault="008A633E" w:rsidP="00B91F12">
      <w:pPr>
        <w:pStyle w:val="SCCNormalDoubleSpacing"/>
        <w:spacing w:after="480"/>
        <w:rPr>
          <w:lang w:val="fr-CA"/>
        </w:rPr>
      </w:pPr>
      <w:r w:rsidRPr="008B62B8">
        <w:rPr>
          <w:rStyle w:val="SCCCounselNameChar"/>
          <w:lang w:val="fr-CA"/>
        </w:rPr>
        <w:tab/>
        <w:t>Annamaria Enenajor</w:t>
      </w:r>
      <w:r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 xml:space="preserve">intervenante </w:t>
      </w:r>
      <w:r w:rsidRPr="008B62B8">
        <w:rPr>
          <w:rStyle w:val="SCCCounselPartyRoleChar"/>
          <w:lang w:val="fr-CA"/>
        </w:rPr>
        <w:t>Canadian Constitution</w:t>
      </w:r>
      <w:r w:rsidR="00011995" w:rsidRPr="008B62B8">
        <w:rPr>
          <w:rStyle w:val="SCCCounselPartyRoleChar"/>
          <w:lang w:val="fr-CA"/>
        </w:rPr>
        <w:t>al</w:t>
      </w:r>
      <w:r w:rsidRPr="008B62B8">
        <w:rPr>
          <w:rStyle w:val="SCCCounselPartyRoleChar"/>
          <w:lang w:val="fr-CA"/>
        </w:rPr>
        <w:t xml:space="preserve"> Foundation.</w:t>
      </w:r>
    </w:p>
    <w:p w14:paraId="19D9745B" w14:textId="77777777" w:rsidR="00AD6543" w:rsidRDefault="008A633E" w:rsidP="00B91F12">
      <w:pPr>
        <w:pStyle w:val="SCCNormalDoubleSpacing"/>
        <w:spacing w:after="480"/>
        <w:rPr>
          <w:rStyle w:val="SCCCounselPartyRoleChar"/>
          <w:lang w:val="fr-CA"/>
        </w:rPr>
      </w:pPr>
      <w:r w:rsidRPr="008B62B8">
        <w:rPr>
          <w:rStyle w:val="SCCCounselNameChar"/>
          <w:lang w:val="fr-CA"/>
        </w:rPr>
        <w:tab/>
        <w:t>David Matas</w:t>
      </w:r>
      <w:r w:rsidRPr="008B62B8">
        <w:rPr>
          <w:rStyle w:val="SCCCounselPartyRoleChar"/>
          <w:lang w:val="fr-CA"/>
        </w:rPr>
        <w:t>, pour l</w:t>
      </w:r>
      <w:r w:rsidR="00D4682F" w:rsidRPr="008B62B8">
        <w:rPr>
          <w:rStyle w:val="SCCCounselPartyRoleChar"/>
          <w:lang w:val="fr-CA"/>
        </w:rPr>
        <w:t>’</w:t>
      </w:r>
      <w:r w:rsidR="00DD290E" w:rsidRPr="008B62B8">
        <w:rPr>
          <w:rStyle w:val="SCCCounselPartyRoleChar"/>
          <w:lang w:val="fr-CA"/>
        </w:rPr>
        <w:t xml:space="preserve">intervenante la </w:t>
      </w:r>
      <w:r w:rsidRPr="008B62B8">
        <w:rPr>
          <w:rStyle w:val="SCCCounselPartyRoleChar"/>
          <w:lang w:val="fr-CA"/>
        </w:rPr>
        <w:t>Ligue pour les droits de la personne de B</w:t>
      </w:r>
      <w:r w:rsidR="00D4682F" w:rsidRPr="008B62B8">
        <w:rPr>
          <w:rStyle w:val="SCCCounselPartyRoleChar"/>
          <w:lang w:val="fr-CA"/>
        </w:rPr>
        <w:t>’</w:t>
      </w:r>
      <w:r w:rsidRPr="008B62B8">
        <w:rPr>
          <w:rStyle w:val="SCCCounselPartyRoleChar"/>
          <w:lang w:val="fr-CA"/>
        </w:rPr>
        <w:t>nai Brith Canada.</w:t>
      </w:r>
    </w:p>
    <w:p w14:paraId="2D459370" w14:textId="77777777" w:rsidR="00116CBE" w:rsidRDefault="00116CBE" w:rsidP="00B91F12">
      <w:pPr>
        <w:pStyle w:val="SCCNormalDoubleSpacing"/>
        <w:spacing w:after="480"/>
        <w:rPr>
          <w:rStyle w:val="SCCCounselPartyRoleChar"/>
          <w:lang w:val="fr-CA"/>
        </w:rPr>
      </w:pPr>
    </w:p>
    <w:p w14:paraId="1994DED5" w14:textId="77777777" w:rsidR="00116CBE" w:rsidRDefault="00116CBE" w:rsidP="00116CBE">
      <w:pPr>
        <w:rPr>
          <w:lang w:val="fr-CA"/>
        </w:rPr>
      </w:pPr>
      <w:r w:rsidRPr="00812C91">
        <w:rPr>
          <w:lang w:val="fr-CA"/>
        </w:rPr>
        <w:t>Le jugement du juge en chef Wagner et des juges Moldaver, Côté, Brown et Rowe a été rendu par</w:t>
      </w:r>
    </w:p>
    <w:p w14:paraId="7F355A21" w14:textId="77777777" w:rsidR="00116CBE" w:rsidRPr="00812C91" w:rsidRDefault="00116CBE" w:rsidP="00116CBE">
      <w:pPr>
        <w:rPr>
          <w:lang w:val="fr-CA"/>
        </w:rPr>
      </w:pPr>
    </w:p>
    <w:p w14:paraId="673E5D3E" w14:textId="77777777" w:rsidR="00116CBE" w:rsidRPr="001901D8" w:rsidRDefault="00116CBE" w:rsidP="00116CBE">
      <w:pPr>
        <w:pStyle w:val="JudgeJuge"/>
      </w:pPr>
      <w:r w:rsidRPr="001901D8">
        <w:tab/>
        <w:t xml:space="preserve">Le juge en chef et la juge Côté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16CBE" w:rsidRPr="001901D8" w14:paraId="28D56B8C" w14:textId="77777777" w:rsidTr="003E6B33">
        <w:trPr>
          <w:trHeight w:val="432"/>
        </w:trPr>
        <w:tc>
          <w:tcPr>
            <w:tcW w:w="9356" w:type="dxa"/>
            <w:gridSpan w:val="2"/>
          </w:tcPr>
          <w:p w14:paraId="5E8C00FF" w14:textId="77777777" w:rsidR="00116CBE" w:rsidRPr="001901D8" w:rsidRDefault="00116CBE" w:rsidP="003E6B33">
            <w:pPr>
              <w:tabs>
                <w:tab w:val="center" w:pos="4050"/>
              </w:tabs>
              <w:rPr>
                <w:rFonts w:cs="Times New Roman"/>
                <w:b/>
                <w:szCs w:val="24"/>
                <w:lang w:val="fr-FR"/>
              </w:rPr>
            </w:pPr>
            <w:r w:rsidRPr="00116CBE">
              <w:rPr>
                <w:rFonts w:cs="Times New Roman"/>
                <w:b/>
                <w:szCs w:val="24"/>
                <w:lang w:val="fr-CA"/>
              </w:rPr>
              <w:tab/>
            </w:r>
            <w:r w:rsidRPr="001901D8">
              <w:rPr>
                <w:rFonts w:cs="Times New Roman"/>
                <w:b/>
                <w:lang w:val="fr-FR"/>
              </w:rPr>
              <w:t>TABLE DES MATIÈRES</w:t>
            </w:r>
          </w:p>
          <w:p w14:paraId="3C0F0F94" w14:textId="77777777" w:rsidR="00116CBE" w:rsidRPr="001901D8" w:rsidRDefault="00116CBE" w:rsidP="003E6B33">
            <w:pPr>
              <w:tabs>
                <w:tab w:val="center" w:pos="4050"/>
              </w:tabs>
              <w:rPr>
                <w:rFonts w:cs="Times New Roman"/>
                <w:b/>
                <w:szCs w:val="24"/>
                <w:lang w:val="en-CA"/>
              </w:rPr>
            </w:pPr>
          </w:p>
        </w:tc>
      </w:tr>
      <w:tr w:rsidR="00116CBE" w:rsidRPr="001901D8" w14:paraId="6C521B8C" w14:textId="77777777" w:rsidTr="003E6B33">
        <w:trPr>
          <w:trHeight w:val="432"/>
        </w:trPr>
        <w:tc>
          <w:tcPr>
            <w:tcW w:w="9356" w:type="dxa"/>
            <w:gridSpan w:val="2"/>
          </w:tcPr>
          <w:p w14:paraId="1E8B97FA" w14:textId="77777777" w:rsidR="00116CBE" w:rsidRPr="001901D8" w:rsidRDefault="00116CBE" w:rsidP="003E6B33">
            <w:pPr>
              <w:tabs>
                <w:tab w:val="center" w:pos="4050"/>
              </w:tabs>
              <w:jc w:val="right"/>
              <w:rPr>
                <w:rFonts w:cs="Times New Roman"/>
                <w:szCs w:val="24"/>
                <w:lang w:val="en-CA"/>
              </w:rPr>
            </w:pPr>
            <w:r w:rsidRPr="001901D8">
              <w:rPr>
                <w:rFonts w:cs="Times New Roman"/>
                <w:szCs w:val="24"/>
                <w:lang w:val="en-CA"/>
              </w:rPr>
              <w:t>Paragraphe</w:t>
            </w:r>
          </w:p>
        </w:tc>
      </w:tr>
      <w:tr w:rsidR="00116CBE" w:rsidRPr="001901D8" w14:paraId="491AA22D" w14:textId="77777777" w:rsidTr="003E6B33">
        <w:trPr>
          <w:trHeight w:val="432"/>
        </w:trPr>
        <w:tc>
          <w:tcPr>
            <w:tcW w:w="8505" w:type="dxa"/>
          </w:tcPr>
          <w:p w14:paraId="24F7BFE0" w14:textId="77777777" w:rsidR="00116CBE" w:rsidRPr="001901D8" w:rsidRDefault="00116CBE" w:rsidP="003E6B33">
            <w:pPr>
              <w:tabs>
                <w:tab w:val="left" w:pos="480"/>
                <w:tab w:val="right" w:leader="dot" w:pos="8270"/>
              </w:tabs>
              <w:spacing w:after="100"/>
              <w:rPr>
                <w:rFonts w:cs="Times New Roman"/>
                <w:noProof/>
                <w:szCs w:val="24"/>
                <w:u w:val="single"/>
              </w:rPr>
            </w:pPr>
            <w:r w:rsidRPr="001901D8">
              <w:rPr>
                <w:rFonts w:cs="Times New Roman"/>
                <w:noProof/>
                <w:szCs w:val="24"/>
                <w:lang w:bidi="en-US"/>
              </w:rPr>
              <w:t>I.</w:t>
            </w:r>
            <w:r w:rsidRPr="001901D8">
              <w:rPr>
                <w:rFonts w:cs="Times New Roman"/>
                <w:noProof/>
                <w:szCs w:val="24"/>
              </w:rPr>
              <w:tab/>
            </w:r>
            <w:r w:rsidRPr="001901D8">
              <w:rPr>
                <w:rFonts w:cs="Times New Roman"/>
                <w:noProof/>
                <w:szCs w:val="24"/>
                <w:u w:val="single"/>
              </w:rPr>
              <w:t>Introduction</w:t>
            </w:r>
          </w:p>
        </w:tc>
        <w:tc>
          <w:tcPr>
            <w:tcW w:w="851" w:type="dxa"/>
          </w:tcPr>
          <w:p w14:paraId="4F88AB26"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1</w:t>
            </w:r>
          </w:p>
        </w:tc>
      </w:tr>
      <w:tr w:rsidR="00116CBE" w:rsidRPr="001901D8" w14:paraId="065311EA" w14:textId="77777777" w:rsidTr="003E6B33">
        <w:trPr>
          <w:trHeight w:val="432"/>
        </w:trPr>
        <w:tc>
          <w:tcPr>
            <w:tcW w:w="8505" w:type="dxa"/>
          </w:tcPr>
          <w:p w14:paraId="1DCC7C3B" w14:textId="77777777" w:rsidR="00116CBE" w:rsidRPr="001901D8" w:rsidRDefault="00116CBE" w:rsidP="003E6B33">
            <w:pPr>
              <w:tabs>
                <w:tab w:val="left" w:pos="480"/>
                <w:tab w:val="right" w:leader="dot" w:pos="8270"/>
              </w:tabs>
              <w:spacing w:after="100"/>
              <w:rPr>
                <w:rFonts w:cs="Times New Roman"/>
                <w:noProof/>
                <w:szCs w:val="24"/>
                <w:u w:val="single"/>
                <w:lang w:val="en-CA"/>
              </w:rPr>
            </w:pPr>
            <w:r w:rsidRPr="001901D8">
              <w:rPr>
                <w:rFonts w:cs="Times New Roman"/>
                <w:noProof/>
                <w:szCs w:val="24"/>
                <w:lang w:val="en-CA" w:bidi="en-US"/>
              </w:rPr>
              <w:t>II.</w:t>
            </w:r>
            <w:r w:rsidRPr="001901D8">
              <w:rPr>
                <w:rFonts w:cs="Times New Roman"/>
                <w:noProof/>
                <w:szCs w:val="24"/>
              </w:rPr>
              <w:tab/>
            </w:r>
            <w:r w:rsidRPr="001901D8">
              <w:rPr>
                <w:rFonts w:cs="Times New Roman"/>
                <w:noProof/>
                <w:szCs w:val="24"/>
                <w:u w:val="single"/>
              </w:rPr>
              <w:t>Contexte</w:t>
            </w:r>
          </w:p>
        </w:tc>
        <w:tc>
          <w:tcPr>
            <w:tcW w:w="851" w:type="dxa"/>
          </w:tcPr>
          <w:p w14:paraId="48C69BC8"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8</w:t>
            </w:r>
          </w:p>
        </w:tc>
      </w:tr>
      <w:tr w:rsidR="00116CBE" w:rsidRPr="001901D8" w14:paraId="49A3F0E8" w14:textId="77777777" w:rsidTr="003E6B33">
        <w:trPr>
          <w:trHeight w:val="432"/>
        </w:trPr>
        <w:tc>
          <w:tcPr>
            <w:tcW w:w="8505" w:type="dxa"/>
          </w:tcPr>
          <w:p w14:paraId="3BE2F1B5" w14:textId="77777777" w:rsidR="00116CBE" w:rsidRPr="001901D8" w:rsidRDefault="00116CBE" w:rsidP="003E6B33">
            <w:pPr>
              <w:tabs>
                <w:tab w:val="left" w:pos="480"/>
                <w:tab w:val="right" w:leader="dot" w:pos="8270"/>
              </w:tabs>
              <w:spacing w:after="100"/>
              <w:rPr>
                <w:rFonts w:cs="Times New Roman"/>
                <w:i/>
                <w:noProof/>
                <w:szCs w:val="24"/>
                <w:lang w:val="en-CA"/>
              </w:rPr>
            </w:pPr>
            <w:r w:rsidRPr="001901D8">
              <w:rPr>
                <w:rFonts w:cs="Times New Roman"/>
                <w:noProof/>
                <w:szCs w:val="24"/>
                <w:lang w:val="en-CA" w:bidi="en-US"/>
              </w:rPr>
              <w:t>III.</w:t>
            </w:r>
            <w:r w:rsidRPr="001901D8">
              <w:rPr>
                <w:rFonts w:cs="Times New Roman"/>
                <w:noProof/>
                <w:szCs w:val="24"/>
                <w:lang w:val="en-CA"/>
              </w:rPr>
              <w:tab/>
            </w:r>
            <w:r w:rsidRPr="001901D8">
              <w:rPr>
                <w:rFonts w:cs="Times New Roman"/>
                <w:noProof/>
                <w:szCs w:val="24"/>
                <w:u w:val="single"/>
              </w:rPr>
              <w:t>Historique procédural</w:t>
            </w:r>
          </w:p>
        </w:tc>
        <w:tc>
          <w:tcPr>
            <w:tcW w:w="851" w:type="dxa"/>
          </w:tcPr>
          <w:p w14:paraId="0C5F9356"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16</w:t>
            </w:r>
          </w:p>
        </w:tc>
      </w:tr>
      <w:tr w:rsidR="00116CBE" w:rsidRPr="001901D8" w14:paraId="6F475D85" w14:textId="77777777" w:rsidTr="003E6B33">
        <w:trPr>
          <w:trHeight w:val="432"/>
        </w:trPr>
        <w:tc>
          <w:tcPr>
            <w:tcW w:w="8505" w:type="dxa"/>
          </w:tcPr>
          <w:p w14:paraId="315DC3A2" w14:textId="77777777" w:rsidR="00116CBE" w:rsidRPr="00116CBE" w:rsidRDefault="00116CBE" w:rsidP="003E6B33">
            <w:pPr>
              <w:tabs>
                <w:tab w:val="left" w:pos="480"/>
                <w:tab w:val="right" w:leader="dot" w:pos="8270"/>
              </w:tabs>
              <w:spacing w:after="100"/>
              <w:ind w:left="450" w:hanging="450"/>
              <w:rPr>
                <w:rFonts w:cs="Times New Roman"/>
                <w:i/>
                <w:noProof/>
                <w:szCs w:val="24"/>
                <w:lang w:val="fr-CA"/>
              </w:rPr>
            </w:pPr>
            <w:r w:rsidRPr="00116CBE">
              <w:rPr>
                <w:rFonts w:cs="Times New Roman"/>
                <w:noProof/>
                <w:szCs w:val="24"/>
                <w:lang w:val="fr-CA" w:bidi="en-US"/>
              </w:rPr>
              <w:t>A.</w:t>
            </w:r>
            <w:r w:rsidRPr="00116CBE">
              <w:rPr>
                <w:rFonts w:cs="Times New Roman"/>
                <w:noProof/>
                <w:szCs w:val="24"/>
                <w:lang w:val="fr-CA"/>
              </w:rPr>
              <w:tab/>
            </w:r>
            <w:r w:rsidRPr="00116CBE">
              <w:rPr>
                <w:rFonts w:cs="Times New Roman"/>
                <w:i/>
                <w:noProof/>
                <w:szCs w:val="24"/>
                <w:lang w:val="fr-CA"/>
              </w:rPr>
              <w:t>Tribunal des droits de la personne, 2016 QCTDP 18, 35 C.C.L.T. (4th) 258 (sous la présidence du juge Hughes)</w:t>
            </w:r>
          </w:p>
        </w:tc>
        <w:tc>
          <w:tcPr>
            <w:tcW w:w="851" w:type="dxa"/>
          </w:tcPr>
          <w:p w14:paraId="7526DF09"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16</w:t>
            </w:r>
          </w:p>
        </w:tc>
      </w:tr>
      <w:tr w:rsidR="00116CBE" w:rsidRPr="001901D8" w14:paraId="43013E90" w14:textId="77777777" w:rsidTr="003E6B33">
        <w:trPr>
          <w:trHeight w:val="432"/>
        </w:trPr>
        <w:tc>
          <w:tcPr>
            <w:tcW w:w="8505" w:type="dxa"/>
          </w:tcPr>
          <w:p w14:paraId="1FDB9DE5" w14:textId="77777777" w:rsidR="00116CBE" w:rsidRPr="00116CBE" w:rsidRDefault="00116CBE" w:rsidP="003E6B33">
            <w:pPr>
              <w:tabs>
                <w:tab w:val="left" w:pos="480"/>
                <w:tab w:val="right" w:leader="dot" w:pos="8270"/>
              </w:tabs>
              <w:spacing w:after="100"/>
              <w:ind w:left="450" w:hanging="450"/>
              <w:rPr>
                <w:rFonts w:cs="Times New Roman"/>
                <w:noProof/>
                <w:szCs w:val="24"/>
                <w:u w:val="single"/>
                <w:lang w:val="fr-CA" w:bidi="en-US"/>
              </w:rPr>
            </w:pPr>
            <w:r w:rsidRPr="00116CBE">
              <w:rPr>
                <w:rFonts w:cs="Times New Roman"/>
                <w:noProof/>
                <w:szCs w:val="24"/>
                <w:lang w:val="fr-CA"/>
              </w:rPr>
              <w:t>B.</w:t>
            </w:r>
            <w:r w:rsidRPr="00116CBE">
              <w:rPr>
                <w:rFonts w:cs="Times New Roman"/>
                <w:noProof/>
                <w:szCs w:val="24"/>
                <w:lang w:val="fr-CA"/>
              </w:rPr>
              <w:tab/>
            </w:r>
            <w:r w:rsidRPr="00116CBE">
              <w:rPr>
                <w:rFonts w:cs="Times New Roman"/>
                <w:i/>
                <w:noProof/>
                <w:szCs w:val="24"/>
                <w:lang w:val="fr-CA"/>
              </w:rPr>
              <w:t>Cour d’appel du Québec, 2019 QCCA 2042, 62 C.C.L.T. (4th) 230</w:t>
            </w:r>
          </w:p>
        </w:tc>
        <w:tc>
          <w:tcPr>
            <w:tcW w:w="851" w:type="dxa"/>
          </w:tcPr>
          <w:p w14:paraId="4745274B"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18</w:t>
            </w:r>
          </w:p>
        </w:tc>
      </w:tr>
      <w:tr w:rsidR="00116CBE" w:rsidRPr="001901D8" w14:paraId="05F3FC81" w14:textId="77777777" w:rsidTr="003E6B33">
        <w:trPr>
          <w:trHeight w:val="432"/>
        </w:trPr>
        <w:tc>
          <w:tcPr>
            <w:tcW w:w="8505" w:type="dxa"/>
          </w:tcPr>
          <w:p w14:paraId="21C9FDBF" w14:textId="77777777" w:rsidR="00116CBE" w:rsidRPr="00116CBE" w:rsidRDefault="00116CBE" w:rsidP="003E6B33">
            <w:pPr>
              <w:tabs>
                <w:tab w:val="left" w:pos="1100"/>
                <w:tab w:val="right" w:leader="dot" w:pos="8270"/>
              </w:tabs>
              <w:spacing w:after="100"/>
              <w:ind w:left="480"/>
              <w:rPr>
                <w:rFonts w:cs="Times New Roman"/>
                <w:noProof/>
                <w:szCs w:val="24"/>
                <w:u w:val="single"/>
                <w:lang w:val="fr-CA" w:bidi="en-US"/>
              </w:rPr>
            </w:pPr>
            <w:r w:rsidRPr="00116CBE">
              <w:rPr>
                <w:rFonts w:cs="Times New Roman"/>
                <w:noProof/>
                <w:szCs w:val="24"/>
                <w:lang w:val="fr-CA" w:bidi="en-US"/>
                <w14:scene3d>
                  <w14:camera w14:prst="orthographicFront"/>
                  <w14:lightRig w14:rig="threePt" w14:dir="t">
                    <w14:rot w14:lat="0" w14:lon="0" w14:rev="0"/>
                  </w14:lightRig>
                </w14:scene3d>
              </w:rPr>
              <w:t>(1)</w:t>
            </w:r>
            <w:r w:rsidRPr="00116CBE">
              <w:rPr>
                <w:rFonts w:cs="Times New Roman"/>
                <w:noProof/>
                <w:szCs w:val="24"/>
                <w:lang w:val="fr-CA"/>
              </w:rPr>
              <w:tab/>
            </w:r>
            <w:r w:rsidRPr="00116CBE">
              <w:rPr>
                <w:rFonts w:cs="Times New Roman"/>
                <w:noProof/>
                <w:szCs w:val="24"/>
                <w:u w:val="single"/>
                <w:lang w:val="fr-CA"/>
              </w:rPr>
              <w:t>Motifs majoritaires (les juges Roy et Cotnam)</w:t>
            </w:r>
          </w:p>
        </w:tc>
        <w:tc>
          <w:tcPr>
            <w:tcW w:w="851" w:type="dxa"/>
          </w:tcPr>
          <w:p w14:paraId="5D183D49"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18</w:t>
            </w:r>
          </w:p>
        </w:tc>
      </w:tr>
      <w:tr w:rsidR="00116CBE" w:rsidRPr="001901D8" w14:paraId="01431537" w14:textId="77777777" w:rsidTr="003E6B33">
        <w:trPr>
          <w:trHeight w:val="432"/>
        </w:trPr>
        <w:tc>
          <w:tcPr>
            <w:tcW w:w="8505" w:type="dxa"/>
          </w:tcPr>
          <w:p w14:paraId="7C2A9250" w14:textId="77777777" w:rsidR="00116CBE" w:rsidRPr="00116CBE" w:rsidRDefault="00116CBE" w:rsidP="003E6B33">
            <w:pPr>
              <w:tabs>
                <w:tab w:val="left" w:pos="1100"/>
                <w:tab w:val="left" w:pos="1845"/>
              </w:tabs>
              <w:spacing w:after="100"/>
              <w:ind w:left="480"/>
              <w:rPr>
                <w:rFonts w:cs="Times New Roman"/>
                <w:noProof/>
                <w:szCs w:val="24"/>
                <w:lang w:val="fr-CA" w:bidi="en-US"/>
                <w14:scene3d>
                  <w14:camera w14:prst="orthographicFront"/>
                  <w14:lightRig w14:rig="threePt" w14:dir="t">
                    <w14:rot w14:lat="0" w14:lon="0" w14:rev="0"/>
                  </w14:lightRig>
                </w14:scene3d>
              </w:rPr>
            </w:pPr>
            <w:r w:rsidRPr="00116CBE">
              <w:rPr>
                <w:rFonts w:cs="Times New Roman"/>
                <w:noProof/>
                <w:szCs w:val="24"/>
                <w:lang w:val="fr-CA" w:bidi="en-US"/>
                <w14:scene3d>
                  <w14:camera w14:prst="orthographicFront"/>
                  <w14:lightRig w14:rig="threePt" w14:dir="t">
                    <w14:rot w14:lat="0" w14:lon="0" w14:rev="0"/>
                  </w14:lightRig>
                </w14:scene3d>
              </w:rPr>
              <w:t>(2)</w:t>
            </w:r>
            <w:r w:rsidRPr="00116CBE">
              <w:rPr>
                <w:rFonts w:cs="Times New Roman"/>
                <w:noProof/>
                <w:szCs w:val="24"/>
                <w:lang w:val="fr-CA"/>
              </w:rPr>
              <w:tab/>
            </w:r>
            <w:r w:rsidRPr="00116CBE">
              <w:rPr>
                <w:rFonts w:cs="Times New Roman"/>
                <w:noProof/>
                <w:szCs w:val="24"/>
                <w:u w:val="single"/>
                <w:lang w:val="fr-CA"/>
              </w:rPr>
              <w:t>Motifs dissidents (la juge Savard)</w:t>
            </w:r>
          </w:p>
        </w:tc>
        <w:tc>
          <w:tcPr>
            <w:tcW w:w="851" w:type="dxa"/>
          </w:tcPr>
          <w:p w14:paraId="083C02C6"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20</w:t>
            </w:r>
          </w:p>
        </w:tc>
      </w:tr>
      <w:tr w:rsidR="00116CBE" w:rsidRPr="001901D8" w14:paraId="605C7AC6" w14:textId="77777777" w:rsidTr="003E6B33">
        <w:trPr>
          <w:trHeight w:val="432"/>
        </w:trPr>
        <w:tc>
          <w:tcPr>
            <w:tcW w:w="8505" w:type="dxa"/>
          </w:tcPr>
          <w:p w14:paraId="059183B3" w14:textId="77777777" w:rsidR="00116CBE" w:rsidRPr="001901D8" w:rsidRDefault="00116CBE" w:rsidP="003E6B33">
            <w:pPr>
              <w:tabs>
                <w:tab w:val="left" w:pos="480"/>
                <w:tab w:val="right" w:leader="dot" w:pos="8270"/>
              </w:tabs>
              <w:spacing w:after="100"/>
              <w:rPr>
                <w:rFonts w:cs="Times New Roman"/>
                <w:i/>
                <w:noProof/>
                <w:szCs w:val="24"/>
                <w:lang w:val="en-CA"/>
              </w:rPr>
            </w:pPr>
            <w:r w:rsidRPr="001901D8">
              <w:rPr>
                <w:rFonts w:cs="Times New Roman"/>
                <w:noProof/>
                <w:szCs w:val="24"/>
                <w:lang w:val="en-CA" w:bidi="en-US"/>
              </w:rPr>
              <w:t>IV.</w:t>
            </w:r>
            <w:r w:rsidRPr="001901D8">
              <w:rPr>
                <w:rFonts w:cs="Times New Roman"/>
                <w:noProof/>
                <w:szCs w:val="24"/>
                <w:lang w:val="en-CA"/>
              </w:rPr>
              <w:tab/>
            </w:r>
            <w:r w:rsidRPr="001901D8">
              <w:rPr>
                <w:rFonts w:cs="Times New Roman"/>
                <w:noProof/>
                <w:szCs w:val="24"/>
                <w:u w:val="single"/>
              </w:rPr>
              <w:t>Question en litige</w:t>
            </w:r>
          </w:p>
        </w:tc>
        <w:tc>
          <w:tcPr>
            <w:tcW w:w="851" w:type="dxa"/>
          </w:tcPr>
          <w:p w14:paraId="3A761DA8"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22</w:t>
            </w:r>
          </w:p>
        </w:tc>
      </w:tr>
      <w:tr w:rsidR="00116CBE" w:rsidRPr="001901D8" w14:paraId="6B064DF4" w14:textId="77777777" w:rsidTr="003E6B33">
        <w:trPr>
          <w:trHeight w:val="432"/>
        </w:trPr>
        <w:tc>
          <w:tcPr>
            <w:tcW w:w="8505" w:type="dxa"/>
          </w:tcPr>
          <w:p w14:paraId="56DED61F" w14:textId="77777777" w:rsidR="00116CBE" w:rsidRPr="00116CBE" w:rsidRDefault="00116CBE" w:rsidP="003E6B33">
            <w:pPr>
              <w:tabs>
                <w:tab w:val="left" w:pos="480"/>
                <w:tab w:val="right" w:leader="dot" w:pos="8270"/>
              </w:tabs>
              <w:spacing w:after="100"/>
              <w:rPr>
                <w:rFonts w:cs="Times New Roman"/>
                <w:i/>
                <w:noProof/>
                <w:szCs w:val="24"/>
                <w:lang w:val="fr-CA"/>
              </w:rPr>
            </w:pPr>
            <w:r w:rsidRPr="00116CBE">
              <w:rPr>
                <w:rFonts w:cs="Times New Roman"/>
                <w:noProof/>
                <w:szCs w:val="24"/>
                <w:lang w:val="fr-CA" w:bidi="en-US"/>
              </w:rPr>
              <w:t>V.</w:t>
            </w:r>
            <w:r w:rsidRPr="00116CBE">
              <w:rPr>
                <w:rFonts w:cs="Times New Roman"/>
                <w:noProof/>
                <w:szCs w:val="24"/>
                <w:lang w:val="fr-CA"/>
              </w:rPr>
              <w:tab/>
            </w:r>
            <w:r w:rsidRPr="00116CBE">
              <w:rPr>
                <w:rFonts w:cs="Times New Roman"/>
                <w:noProof/>
                <w:szCs w:val="24"/>
                <w:u w:val="single"/>
                <w:lang w:val="fr-CA"/>
              </w:rPr>
              <w:t xml:space="preserve">Dispositions pertinentes de la </w:t>
            </w:r>
            <w:r w:rsidRPr="00116CBE">
              <w:rPr>
                <w:rFonts w:cs="Times New Roman"/>
                <w:i/>
                <w:noProof/>
                <w:szCs w:val="24"/>
                <w:u w:val="single"/>
                <w:lang w:val="fr-CA"/>
              </w:rPr>
              <w:t>Charte québécoise</w:t>
            </w:r>
          </w:p>
        </w:tc>
        <w:tc>
          <w:tcPr>
            <w:tcW w:w="851" w:type="dxa"/>
          </w:tcPr>
          <w:p w14:paraId="3DC93515"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23</w:t>
            </w:r>
          </w:p>
        </w:tc>
      </w:tr>
      <w:tr w:rsidR="00116CBE" w:rsidRPr="001901D8" w14:paraId="64406242" w14:textId="77777777" w:rsidTr="003E6B33">
        <w:trPr>
          <w:trHeight w:val="432"/>
        </w:trPr>
        <w:tc>
          <w:tcPr>
            <w:tcW w:w="8505" w:type="dxa"/>
          </w:tcPr>
          <w:p w14:paraId="6BE975FC" w14:textId="77777777" w:rsidR="00116CBE" w:rsidRPr="00116CBE" w:rsidRDefault="00116CBE" w:rsidP="003E6B33">
            <w:pPr>
              <w:tabs>
                <w:tab w:val="left" w:pos="480"/>
                <w:tab w:val="right" w:leader="dot" w:pos="8270"/>
              </w:tabs>
              <w:spacing w:after="100"/>
              <w:rPr>
                <w:rFonts w:cs="Times New Roman"/>
                <w:i/>
                <w:noProof/>
                <w:szCs w:val="24"/>
                <w:lang w:val="fr-CA"/>
              </w:rPr>
            </w:pPr>
            <w:r w:rsidRPr="00116CBE">
              <w:rPr>
                <w:rFonts w:cs="Times New Roman"/>
                <w:noProof/>
                <w:szCs w:val="24"/>
                <w:lang w:val="fr-CA" w:bidi="en-US"/>
              </w:rPr>
              <w:t>VI.</w:t>
            </w:r>
            <w:r w:rsidRPr="00116CBE">
              <w:rPr>
                <w:rFonts w:cs="Times New Roman"/>
                <w:noProof/>
                <w:szCs w:val="24"/>
                <w:lang w:val="fr-CA"/>
              </w:rPr>
              <w:tab/>
            </w:r>
            <w:r w:rsidRPr="00116CBE">
              <w:rPr>
                <w:rFonts w:cs="Times New Roman"/>
                <w:noProof/>
                <w:szCs w:val="24"/>
                <w:u w:val="single"/>
                <w:lang w:val="fr-CA"/>
              </w:rPr>
              <w:t>Norme de contrôle applicable</w:t>
            </w:r>
          </w:p>
        </w:tc>
        <w:tc>
          <w:tcPr>
            <w:tcW w:w="851" w:type="dxa"/>
          </w:tcPr>
          <w:p w14:paraId="7660378F"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24</w:t>
            </w:r>
          </w:p>
        </w:tc>
      </w:tr>
      <w:tr w:rsidR="00116CBE" w:rsidRPr="001901D8" w14:paraId="5B945899" w14:textId="77777777" w:rsidTr="003E6B33">
        <w:trPr>
          <w:trHeight w:val="432"/>
        </w:trPr>
        <w:tc>
          <w:tcPr>
            <w:tcW w:w="8505" w:type="dxa"/>
          </w:tcPr>
          <w:p w14:paraId="15065AD1" w14:textId="77777777" w:rsidR="00116CBE" w:rsidRPr="00116CBE" w:rsidRDefault="00116CBE" w:rsidP="003E6B33">
            <w:pPr>
              <w:tabs>
                <w:tab w:val="left" w:pos="480"/>
                <w:tab w:val="right" w:leader="dot" w:pos="8270"/>
              </w:tabs>
              <w:spacing w:after="100"/>
              <w:rPr>
                <w:rFonts w:cs="Times New Roman"/>
                <w:i/>
                <w:noProof/>
                <w:szCs w:val="24"/>
                <w:lang w:val="fr-CA"/>
              </w:rPr>
            </w:pPr>
            <w:r w:rsidRPr="00116CBE">
              <w:rPr>
                <w:rFonts w:cs="Times New Roman"/>
                <w:noProof/>
                <w:szCs w:val="24"/>
                <w:lang w:val="fr-CA" w:bidi="en-US"/>
              </w:rPr>
              <w:t>VII.</w:t>
            </w:r>
            <w:r w:rsidRPr="00116CBE">
              <w:rPr>
                <w:rFonts w:cs="Times New Roman"/>
                <w:noProof/>
                <w:szCs w:val="24"/>
                <w:lang w:val="fr-CA"/>
              </w:rPr>
              <w:tab/>
            </w:r>
            <w:r w:rsidRPr="00116CBE">
              <w:rPr>
                <w:rFonts w:cs="Times New Roman"/>
                <w:noProof/>
                <w:szCs w:val="24"/>
                <w:u w:val="single"/>
                <w:lang w:val="fr-CA"/>
              </w:rPr>
              <w:t>Compétence en matière de diffamation et discrimination</w:t>
            </w:r>
          </w:p>
        </w:tc>
        <w:tc>
          <w:tcPr>
            <w:tcW w:w="851" w:type="dxa"/>
          </w:tcPr>
          <w:p w14:paraId="2FD6B96D"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26</w:t>
            </w:r>
          </w:p>
        </w:tc>
      </w:tr>
      <w:tr w:rsidR="00116CBE" w:rsidRPr="001901D8" w14:paraId="0DC131C1" w14:textId="77777777" w:rsidTr="003E6B33">
        <w:trPr>
          <w:trHeight w:val="432"/>
        </w:trPr>
        <w:tc>
          <w:tcPr>
            <w:tcW w:w="8505" w:type="dxa"/>
          </w:tcPr>
          <w:p w14:paraId="6517C2CA" w14:textId="77777777" w:rsidR="00116CBE" w:rsidRPr="001901D8" w:rsidRDefault="00116CBE" w:rsidP="003E6B33">
            <w:pPr>
              <w:tabs>
                <w:tab w:val="left" w:pos="480"/>
                <w:tab w:val="right" w:leader="dot" w:pos="8270"/>
              </w:tabs>
              <w:spacing w:after="100"/>
              <w:rPr>
                <w:rFonts w:cs="Times New Roman"/>
                <w:i/>
                <w:noProof/>
                <w:szCs w:val="24"/>
              </w:rPr>
            </w:pPr>
            <w:r w:rsidRPr="001901D8">
              <w:rPr>
                <w:rFonts w:cs="Times New Roman"/>
                <w:noProof/>
                <w:szCs w:val="24"/>
                <w:lang w:bidi="en-US"/>
              </w:rPr>
              <w:t>VIII.</w:t>
            </w:r>
            <w:r w:rsidRPr="001901D8">
              <w:rPr>
                <w:rFonts w:cs="Times New Roman"/>
                <w:noProof/>
                <w:szCs w:val="24"/>
              </w:rPr>
              <w:tab/>
            </w:r>
            <w:r w:rsidRPr="001901D8">
              <w:rPr>
                <w:rFonts w:cs="Times New Roman"/>
                <w:noProof/>
                <w:szCs w:val="24"/>
                <w:u w:val="single"/>
              </w:rPr>
              <w:t>Analyse</w:t>
            </w:r>
          </w:p>
        </w:tc>
        <w:tc>
          <w:tcPr>
            <w:tcW w:w="851" w:type="dxa"/>
          </w:tcPr>
          <w:p w14:paraId="5B98BE16"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31</w:t>
            </w:r>
          </w:p>
        </w:tc>
      </w:tr>
      <w:tr w:rsidR="00116CBE" w:rsidRPr="001901D8" w14:paraId="264D3EC8" w14:textId="77777777" w:rsidTr="003E6B33">
        <w:trPr>
          <w:trHeight w:val="432"/>
        </w:trPr>
        <w:tc>
          <w:tcPr>
            <w:tcW w:w="8505" w:type="dxa"/>
          </w:tcPr>
          <w:p w14:paraId="479E71D5" w14:textId="77777777" w:rsidR="00116CBE" w:rsidRPr="001901D8" w:rsidRDefault="00116CBE" w:rsidP="003E6B33">
            <w:pPr>
              <w:tabs>
                <w:tab w:val="left" w:pos="480"/>
                <w:tab w:val="right" w:leader="dot" w:pos="8270"/>
              </w:tabs>
              <w:spacing w:after="100"/>
              <w:ind w:left="450" w:hanging="450"/>
              <w:rPr>
                <w:rFonts w:cs="Times New Roman"/>
                <w:noProof/>
                <w:szCs w:val="24"/>
                <w:lang w:bidi="en-US"/>
              </w:rPr>
            </w:pPr>
            <w:r w:rsidRPr="001901D8">
              <w:rPr>
                <w:rFonts w:cs="Times New Roman"/>
                <w:noProof/>
                <w:szCs w:val="24"/>
                <w:lang w:bidi="en-US"/>
              </w:rPr>
              <w:t>A.</w:t>
            </w:r>
            <w:r w:rsidRPr="001901D8">
              <w:rPr>
                <w:rFonts w:cs="Times New Roman"/>
                <w:noProof/>
                <w:szCs w:val="24"/>
              </w:rPr>
              <w:tab/>
            </w:r>
            <w:r w:rsidRPr="001901D8">
              <w:rPr>
                <w:rFonts w:cs="Times New Roman"/>
                <w:i/>
                <w:noProof/>
                <w:szCs w:val="24"/>
              </w:rPr>
              <w:t>Remarques liminaires</w:t>
            </w:r>
          </w:p>
        </w:tc>
        <w:tc>
          <w:tcPr>
            <w:tcW w:w="851" w:type="dxa"/>
          </w:tcPr>
          <w:p w14:paraId="2481E57A"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31</w:t>
            </w:r>
          </w:p>
        </w:tc>
      </w:tr>
      <w:tr w:rsidR="00116CBE" w:rsidRPr="001901D8" w14:paraId="745DAC52" w14:textId="77777777" w:rsidTr="003E6B33">
        <w:trPr>
          <w:trHeight w:val="432"/>
        </w:trPr>
        <w:tc>
          <w:tcPr>
            <w:tcW w:w="8505" w:type="dxa"/>
          </w:tcPr>
          <w:p w14:paraId="7C6E40BD" w14:textId="77777777" w:rsidR="00116CBE" w:rsidRPr="00116CBE" w:rsidRDefault="00116CBE" w:rsidP="003E6B33">
            <w:pPr>
              <w:tabs>
                <w:tab w:val="left" w:pos="480"/>
                <w:tab w:val="right" w:leader="dot" w:pos="8270"/>
              </w:tabs>
              <w:spacing w:after="100"/>
              <w:ind w:left="450" w:hanging="450"/>
              <w:rPr>
                <w:rFonts w:cs="Times New Roman"/>
                <w:i/>
                <w:noProof/>
                <w:szCs w:val="24"/>
                <w:lang w:val="fr-CA"/>
              </w:rPr>
            </w:pPr>
            <w:r w:rsidRPr="00116CBE">
              <w:rPr>
                <w:rFonts w:cs="Times New Roman"/>
                <w:noProof/>
                <w:szCs w:val="24"/>
                <w:lang w:val="fr-CA" w:bidi="en-US"/>
              </w:rPr>
              <w:t>B.</w:t>
            </w:r>
            <w:r w:rsidRPr="00116CBE">
              <w:rPr>
                <w:rFonts w:cs="Times New Roman"/>
                <w:noProof/>
                <w:szCs w:val="24"/>
                <w:lang w:val="fr-CA"/>
              </w:rPr>
              <w:tab/>
            </w:r>
            <w:r w:rsidRPr="00116CBE">
              <w:rPr>
                <w:rFonts w:cs="Times New Roman"/>
                <w:i/>
                <w:noProof/>
                <w:szCs w:val="24"/>
                <w:lang w:val="fr-CA"/>
              </w:rPr>
              <w:t>Les éléments constitutifs de la discrimination au regard de la</w:t>
            </w:r>
            <w:r w:rsidRPr="00116CBE">
              <w:rPr>
                <w:rFonts w:cs="Times New Roman"/>
                <w:noProof/>
                <w:szCs w:val="24"/>
                <w:lang w:val="fr-CA"/>
              </w:rPr>
              <w:t xml:space="preserve"> </w:t>
            </w:r>
            <w:r w:rsidRPr="00116CBE">
              <w:rPr>
                <w:rFonts w:cs="Times New Roman"/>
                <w:i/>
                <w:noProof/>
                <w:szCs w:val="24"/>
                <w:lang w:val="fr-CA"/>
              </w:rPr>
              <w:t>Charte québécoise</w:t>
            </w:r>
          </w:p>
        </w:tc>
        <w:tc>
          <w:tcPr>
            <w:tcW w:w="851" w:type="dxa"/>
          </w:tcPr>
          <w:p w14:paraId="2CB69ACE"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33</w:t>
            </w:r>
          </w:p>
        </w:tc>
      </w:tr>
      <w:tr w:rsidR="00116CBE" w:rsidRPr="001901D8" w14:paraId="5A7E9D70" w14:textId="77777777" w:rsidTr="003E6B33">
        <w:trPr>
          <w:trHeight w:val="432"/>
        </w:trPr>
        <w:tc>
          <w:tcPr>
            <w:tcW w:w="8505" w:type="dxa"/>
          </w:tcPr>
          <w:p w14:paraId="48A8BDAD" w14:textId="77777777" w:rsidR="00116CBE" w:rsidRPr="00116CBE" w:rsidRDefault="00116CBE" w:rsidP="003E6B33">
            <w:pPr>
              <w:tabs>
                <w:tab w:val="left" w:pos="480"/>
                <w:tab w:val="right" w:leader="dot" w:pos="8270"/>
              </w:tabs>
              <w:spacing w:after="100"/>
              <w:ind w:left="450" w:hanging="450"/>
              <w:rPr>
                <w:rFonts w:cs="Times New Roman"/>
                <w:noProof/>
                <w:szCs w:val="24"/>
                <w:lang w:val="fr-CA" w:bidi="en-US"/>
              </w:rPr>
            </w:pPr>
            <w:r w:rsidRPr="00116CBE">
              <w:rPr>
                <w:rFonts w:cs="Times New Roman"/>
                <w:noProof/>
                <w:szCs w:val="24"/>
                <w:lang w:val="fr-CA" w:bidi="en-US"/>
              </w:rPr>
              <w:t>C.</w:t>
            </w:r>
            <w:r w:rsidRPr="00116CBE">
              <w:rPr>
                <w:rFonts w:cs="Times New Roman"/>
                <w:noProof/>
                <w:szCs w:val="24"/>
                <w:lang w:val="fr-CA" w:bidi="en-US"/>
              </w:rPr>
              <w:tab/>
            </w:r>
            <w:r w:rsidRPr="00116CBE">
              <w:rPr>
                <w:rFonts w:cs="Times New Roman"/>
                <w:i/>
                <w:noProof/>
                <w:szCs w:val="24"/>
                <w:lang w:val="fr-CA" w:bidi="en-US"/>
              </w:rPr>
              <w:t xml:space="preserve">Le troisième élément constitutif de la discrimination dans un contexte de </w:t>
            </w:r>
            <w:r w:rsidRPr="00116CBE">
              <w:rPr>
                <w:rFonts w:cs="Times New Roman"/>
                <w:i/>
                <w:noProof/>
                <w:szCs w:val="24"/>
                <w:lang w:val="fr-CA"/>
              </w:rPr>
              <w:t>conflit</w:t>
            </w:r>
            <w:r w:rsidRPr="00116CBE">
              <w:rPr>
                <w:rFonts w:cs="Times New Roman"/>
                <w:i/>
                <w:noProof/>
                <w:szCs w:val="24"/>
                <w:lang w:val="fr-CA" w:bidi="en-US"/>
              </w:rPr>
              <w:t xml:space="preserve"> entre le droit à la sauvegarde de la dignité et la liberté d’expression</w:t>
            </w:r>
          </w:p>
        </w:tc>
        <w:tc>
          <w:tcPr>
            <w:tcW w:w="851" w:type="dxa"/>
          </w:tcPr>
          <w:p w14:paraId="0C81614E"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46</w:t>
            </w:r>
          </w:p>
        </w:tc>
      </w:tr>
      <w:tr w:rsidR="00116CBE" w:rsidRPr="001901D8" w14:paraId="3F4EC68A" w14:textId="77777777" w:rsidTr="003E6B33">
        <w:trPr>
          <w:trHeight w:val="432"/>
        </w:trPr>
        <w:tc>
          <w:tcPr>
            <w:tcW w:w="8505" w:type="dxa"/>
          </w:tcPr>
          <w:p w14:paraId="466AC30E" w14:textId="77777777" w:rsidR="00116CBE" w:rsidRPr="00116CBE" w:rsidRDefault="00116CBE" w:rsidP="003E6B33">
            <w:pPr>
              <w:tabs>
                <w:tab w:val="left" w:pos="1100"/>
                <w:tab w:val="left" w:pos="3090"/>
              </w:tabs>
              <w:spacing w:after="100"/>
              <w:ind w:left="480"/>
              <w:rPr>
                <w:rFonts w:cs="Times New Roman"/>
                <w:noProof/>
                <w:szCs w:val="24"/>
                <w:u w:val="single"/>
                <w:lang w:val="fr-CA" w:bidi="en-US"/>
              </w:rPr>
            </w:pPr>
            <w:r w:rsidRPr="00116CBE">
              <w:rPr>
                <w:rFonts w:cs="Times New Roman"/>
                <w:noProof/>
                <w:szCs w:val="24"/>
                <w:lang w:val="fr-CA" w:bidi="en-US"/>
                <w14:scene3d>
                  <w14:camera w14:prst="orthographicFront"/>
                  <w14:lightRig w14:rig="threePt" w14:dir="t">
                    <w14:rot w14:lat="0" w14:lon="0" w14:rev="0"/>
                  </w14:lightRig>
                </w14:scene3d>
              </w:rPr>
              <w:t>(1)</w:t>
            </w:r>
            <w:r w:rsidRPr="00116CBE">
              <w:rPr>
                <w:rFonts w:cs="Times New Roman"/>
                <w:noProof/>
                <w:szCs w:val="24"/>
                <w:lang w:val="fr-CA"/>
              </w:rPr>
              <w:tab/>
            </w:r>
            <w:r w:rsidRPr="00116CBE">
              <w:rPr>
                <w:rFonts w:cs="Times New Roman"/>
                <w:noProof/>
                <w:szCs w:val="24"/>
                <w:u w:val="single"/>
                <w:lang w:val="fr-CA"/>
              </w:rPr>
              <w:t>Droit à la sauvegarde de la dignité</w:t>
            </w:r>
          </w:p>
        </w:tc>
        <w:tc>
          <w:tcPr>
            <w:tcW w:w="851" w:type="dxa"/>
          </w:tcPr>
          <w:p w14:paraId="08C9C31C"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48</w:t>
            </w:r>
          </w:p>
        </w:tc>
      </w:tr>
      <w:tr w:rsidR="00116CBE" w:rsidRPr="001901D8" w14:paraId="0E43F59C" w14:textId="77777777" w:rsidTr="003E6B33">
        <w:trPr>
          <w:trHeight w:val="432"/>
        </w:trPr>
        <w:tc>
          <w:tcPr>
            <w:tcW w:w="8505" w:type="dxa"/>
          </w:tcPr>
          <w:p w14:paraId="4C236CE8" w14:textId="77777777" w:rsidR="00116CBE" w:rsidRPr="001901D8" w:rsidRDefault="00116CBE" w:rsidP="003E6B33">
            <w:pPr>
              <w:tabs>
                <w:tab w:val="left" w:pos="1100"/>
                <w:tab w:val="right" w:leader="dot" w:pos="8270"/>
              </w:tabs>
              <w:spacing w:after="100"/>
              <w:ind w:left="480"/>
              <w:rPr>
                <w:rFonts w:cs="Times New Roman"/>
                <w:noProof/>
                <w:szCs w:val="24"/>
                <w:lang w:val="en-CA" w:bidi="en-US"/>
                <w14:scene3d>
                  <w14:camera w14:prst="orthographicFront"/>
                  <w14:lightRig w14:rig="threePt" w14:dir="t">
                    <w14:rot w14:lat="0" w14:lon="0" w14:rev="0"/>
                  </w14:lightRig>
                </w14:scene3d>
              </w:rPr>
            </w:pPr>
            <w:r w:rsidRPr="001901D8">
              <w:rPr>
                <w:rFonts w:cs="Times New Roman"/>
                <w:noProof/>
                <w:szCs w:val="24"/>
                <w:lang w:bidi="en-US"/>
                <w14:scene3d>
                  <w14:camera w14:prst="orthographicFront"/>
                  <w14:lightRig w14:rig="threePt" w14:dir="t">
                    <w14:rot w14:lat="0" w14:lon="0" w14:rev="0"/>
                  </w14:lightRig>
                </w14:scene3d>
              </w:rPr>
              <w:t>(2)</w:t>
            </w:r>
            <w:r w:rsidRPr="001901D8">
              <w:rPr>
                <w:rFonts w:cs="Times New Roman"/>
                <w:noProof/>
                <w:szCs w:val="24"/>
              </w:rPr>
              <w:tab/>
            </w:r>
            <w:r w:rsidRPr="001901D8">
              <w:rPr>
                <w:rFonts w:cs="Times New Roman"/>
                <w:noProof/>
                <w:szCs w:val="24"/>
                <w:u w:val="single"/>
              </w:rPr>
              <w:t>Liberté d’expression</w:t>
            </w:r>
          </w:p>
        </w:tc>
        <w:tc>
          <w:tcPr>
            <w:tcW w:w="851" w:type="dxa"/>
          </w:tcPr>
          <w:p w14:paraId="0615D2C8"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59</w:t>
            </w:r>
          </w:p>
        </w:tc>
      </w:tr>
      <w:tr w:rsidR="00116CBE" w:rsidRPr="001901D8" w14:paraId="14BB68D9" w14:textId="77777777" w:rsidTr="003E6B33">
        <w:trPr>
          <w:trHeight w:val="432"/>
        </w:trPr>
        <w:tc>
          <w:tcPr>
            <w:tcW w:w="8505" w:type="dxa"/>
          </w:tcPr>
          <w:p w14:paraId="603228ED" w14:textId="77777777" w:rsidR="00116CBE" w:rsidRPr="00116CBE" w:rsidRDefault="00116CBE" w:rsidP="003E6B33">
            <w:pPr>
              <w:tabs>
                <w:tab w:val="left" w:pos="1100"/>
                <w:tab w:val="right" w:leader="dot" w:pos="8270"/>
              </w:tabs>
              <w:spacing w:after="100"/>
              <w:ind w:left="482"/>
              <w:rPr>
                <w:rFonts w:cs="Times New Roman"/>
                <w:noProof/>
                <w:szCs w:val="24"/>
                <w:lang w:val="fr-CA" w:bidi="en-US"/>
                <w14:scene3d>
                  <w14:camera w14:prst="orthographicFront"/>
                  <w14:lightRig w14:rig="threePt" w14:dir="t">
                    <w14:rot w14:lat="0" w14:lon="0" w14:rev="0"/>
                  </w14:lightRig>
                </w14:scene3d>
              </w:rPr>
            </w:pPr>
            <w:r w:rsidRPr="00116CBE">
              <w:rPr>
                <w:rFonts w:cs="Times New Roman"/>
                <w:noProof/>
                <w:szCs w:val="24"/>
                <w:lang w:val="fr-CA" w:bidi="en-US"/>
                <w14:scene3d>
                  <w14:camera w14:prst="orthographicFront"/>
                  <w14:lightRig w14:rig="threePt" w14:dir="t">
                    <w14:rot w14:lat="0" w14:lon="0" w14:rev="0"/>
                  </w14:lightRig>
                </w14:scene3d>
              </w:rPr>
              <w:t>(3)</w:t>
            </w:r>
            <w:r w:rsidRPr="00116CBE">
              <w:rPr>
                <w:rFonts w:cs="Times New Roman"/>
                <w:noProof/>
                <w:szCs w:val="24"/>
                <w:lang w:val="fr-CA"/>
              </w:rPr>
              <w:tab/>
            </w:r>
            <w:r w:rsidRPr="00116CBE">
              <w:rPr>
                <w:rFonts w:cs="Times New Roman"/>
                <w:noProof/>
                <w:szCs w:val="24"/>
                <w:u w:val="single"/>
                <w:lang w:val="fr-CA"/>
              </w:rPr>
              <w:t xml:space="preserve">Démarche adoptée dans l’arrêt </w:t>
            </w:r>
            <w:r w:rsidRPr="00116CBE">
              <w:rPr>
                <w:rFonts w:cs="Times New Roman"/>
                <w:i/>
                <w:noProof/>
                <w:szCs w:val="24"/>
                <w:u w:val="single"/>
                <w:lang w:val="fr-CA"/>
              </w:rPr>
              <w:t>Whatcott</w:t>
            </w:r>
          </w:p>
        </w:tc>
        <w:tc>
          <w:tcPr>
            <w:tcW w:w="851" w:type="dxa"/>
          </w:tcPr>
          <w:p w14:paraId="7F590255"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65</w:t>
            </w:r>
          </w:p>
        </w:tc>
      </w:tr>
      <w:tr w:rsidR="00D85F67" w:rsidRPr="001901D8" w14:paraId="4C2F8164" w14:textId="77777777" w:rsidTr="003E6B33">
        <w:trPr>
          <w:trHeight w:val="432"/>
        </w:trPr>
        <w:tc>
          <w:tcPr>
            <w:tcW w:w="8505" w:type="dxa"/>
          </w:tcPr>
          <w:p w14:paraId="3F23585F" w14:textId="5FAA2996" w:rsidR="00D85F67" w:rsidRPr="00D85F67" w:rsidRDefault="00D85F67" w:rsidP="00D85F67">
            <w:pPr>
              <w:tabs>
                <w:tab w:val="left" w:pos="1100"/>
                <w:tab w:val="right" w:leader="dot" w:pos="8270"/>
              </w:tabs>
              <w:spacing w:after="100"/>
              <w:ind w:left="1111" w:hanging="629"/>
              <w:rPr>
                <w:lang w:val="fr-CA"/>
              </w:rPr>
            </w:pPr>
            <w:r>
              <w:rPr>
                <w:noProof/>
                <w:szCs w:val="24"/>
                <w:lang w:val="fr-CA" w:bidi="en-US"/>
                <w14:scene3d>
                  <w14:camera w14:prst="orthographicFront"/>
                  <w14:lightRig w14:rig="threePt" w14:dir="t">
                    <w14:rot w14:lat="0" w14:lon="0" w14:rev="0"/>
                  </w14:lightRig>
                </w14:scene3d>
              </w:rPr>
              <w:t>(4)</w:t>
            </w:r>
            <w:r w:rsidRPr="00116CBE">
              <w:rPr>
                <w:rFonts w:cs="Times New Roman"/>
                <w:noProof/>
                <w:szCs w:val="24"/>
                <w:lang w:val="fr-CA"/>
              </w:rPr>
              <w:tab/>
            </w:r>
            <w:r w:rsidRPr="00116CBE">
              <w:rPr>
                <w:rFonts w:cs="Times New Roman"/>
                <w:noProof/>
                <w:szCs w:val="24"/>
                <w:u w:val="single"/>
                <w:lang w:val="fr-CA"/>
              </w:rPr>
              <w:t>Le test applicable en cas de conflit entre le droit à la sauvegarde de la dignité et le droit à la liberté d’expression</w:t>
            </w:r>
          </w:p>
        </w:tc>
        <w:tc>
          <w:tcPr>
            <w:tcW w:w="851" w:type="dxa"/>
          </w:tcPr>
          <w:p w14:paraId="4A021013" w14:textId="5583C706" w:rsidR="00D85F67" w:rsidRPr="001901D8" w:rsidRDefault="00D85F67" w:rsidP="003E6B33">
            <w:pPr>
              <w:tabs>
                <w:tab w:val="left" w:pos="480"/>
                <w:tab w:val="right" w:leader="dot" w:pos="8270"/>
              </w:tabs>
              <w:spacing w:after="100"/>
              <w:rPr>
                <w:szCs w:val="24"/>
                <w:lang w:bidi="en-US"/>
              </w:rPr>
            </w:pPr>
            <w:r>
              <w:rPr>
                <w:szCs w:val="24"/>
                <w:lang w:bidi="en-US"/>
              </w:rPr>
              <w:t>79</w:t>
            </w:r>
          </w:p>
        </w:tc>
      </w:tr>
      <w:tr w:rsidR="00116CBE" w:rsidRPr="001901D8" w14:paraId="7A11C8E5" w14:textId="77777777" w:rsidTr="003E6B33">
        <w:trPr>
          <w:trHeight w:val="432"/>
        </w:trPr>
        <w:tc>
          <w:tcPr>
            <w:tcW w:w="8505" w:type="dxa"/>
          </w:tcPr>
          <w:p w14:paraId="77567202" w14:textId="77777777" w:rsidR="00116CBE" w:rsidRPr="001901D8" w:rsidRDefault="00116CBE" w:rsidP="003E6B33">
            <w:pPr>
              <w:tabs>
                <w:tab w:val="left" w:pos="480"/>
                <w:tab w:val="right" w:leader="dot" w:pos="8270"/>
              </w:tabs>
              <w:spacing w:after="100"/>
              <w:rPr>
                <w:rFonts w:cs="Times New Roman"/>
                <w:i/>
                <w:noProof/>
                <w:szCs w:val="24"/>
              </w:rPr>
            </w:pPr>
            <w:r w:rsidRPr="001901D8">
              <w:rPr>
                <w:rFonts w:cs="Times New Roman"/>
                <w:noProof/>
                <w:szCs w:val="24"/>
                <w:lang w:bidi="en-US"/>
              </w:rPr>
              <w:t>D.</w:t>
            </w:r>
            <w:r w:rsidRPr="001901D8">
              <w:rPr>
                <w:rFonts w:cs="Times New Roman"/>
                <w:noProof/>
                <w:szCs w:val="24"/>
              </w:rPr>
              <w:tab/>
            </w:r>
            <w:r w:rsidRPr="001901D8">
              <w:rPr>
                <w:rFonts w:cs="Times New Roman"/>
                <w:i/>
                <w:noProof/>
                <w:szCs w:val="24"/>
              </w:rPr>
              <w:t xml:space="preserve">Application à l’espèce </w:t>
            </w:r>
          </w:p>
        </w:tc>
        <w:tc>
          <w:tcPr>
            <w:tcW w:w="851" w:type="dxa"/>
          </w:tcPr>
          <w:p w14:paraId="4A60AE76"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91</w:t>
            </w:r>
          </w:p>
        </w:tc>
      </w:tr>
      <w:tr w:rsidR="00116CBE" w:rsidRPr="001901D8" w14:paraId="0142B875" w14:textId="77777777" w:rsidTr="003E6B33">
        <w:trPr>
          <w:trHeight w:val="432"/>
        </w:trPr>
        <w:tc>
          <w:tcPr>
            <w:tcW w:w="8505" w:type="dxa"/>
          </w:tcPr>
          <w:p w14:paraId="1754E5D7" w14:textId="77777777" w:rsidR="00116CBE" w:rsidRPr="00116CBE" w:rsidRDefault="00116CBE" w:rsidP="003E6B33">
            <w:pPr>
              <w:tabs>
                <w:tab w:val="left" w:pos="1100"/>
                <w:tab w:val="right" w:leader="dot" w:pos="8270"/>
              </w:tabs>
              <w:spacing w:after="100"/>
              <w:ind w:left="480"/>
              <w:rPr>
                <w:rFonts w:cs="Times New Roman"/>
                <w:noProof/>
                <w:szCs w:val="24"/>
                <w:u w:val="single"/>
                <w:lang w:val="fr-CA" w:bidi="en-US"/>
              </w:rPr>
            </w:pPr>
            <w:r w:rsidRPr="00116CBE">
              <w:rPr>
                <w:rFonts w:cs="Times New Roman"/>
                <w:noProof/>
                <w:szCs w:val="24"/>
                <w:lang w:val="fr-CA" w:bidi="en-US"/>
                <w14:scene3d>
                  <w14:camera w14:prst="orthographicFront"/>
                  <w14:lightRig w14:rig="threePt" w14:dir="t">
                    <w14:rot w14:lat="0" w14:lon="0" w14:rev="0"/>
                  </w14:lightRig>
                </w14:scene3d>
              </w:rPr>
              <w:t>(1)</w:t>
            </w:r>
            <w:r w:rsidRPr="00116CBE">
              <w:rPr>
                <w:rFonts w:cs="Times New Roman"/>
                <w:noProof/>
                <w:szCs w:val="24"/>
                <w:lang w:val="fr-CA"/>
              </w:rPr>
              <w:tab/>
            </w:r>
            <w:r w:rsidRPr="00116CBE">
              <w:rPr>
                <w:rFonts w:cs="Times New Roman"/>
                <w:noProof/>
                <w:szCs w:val="24"/>
                <w:u w:val="single"/>
                <w:lang w:val="fr-CA"/>
              </w:rPr>
              <w:t>Une distinction, exclusion ou préférence</w:t>
            </w:r>
          </w:p>
        </w:tc>
        <w:tc>
          <w:tcPr>
            <w:tcW w:w="851" w:type="dxa"/>
          </w:tcPr>
          <w:p w14:paraId="2F022B45"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92</w:t>
            </w:r>
          </w:p>
        </w:tc>
      </w:tr>
      <w:tr w:rsidR="00116CBE" w:rsidRPr="001901D8" w14:paraId="42D28734" w14:textId="77777777" w:rsidTr="003E6B33">
        <w:trPr>
          <w:trHeight w:val="432"/>
        </w:trPr>
        <w:tc>
          <w:tcPr>
            <w:tcW w:w="8505" w:type="dxa"/>
          </w:tcPr>
          <w:p w14:paraId="77AB116E" w14:textId="77777777" w:rsidR="00116CBE" w:rsidRPr="00116CBE" w:rsidRDefault="00116CBE" w:rsidP="003E6B33">
            <w:pPr>
              <w:tabs>
                <w:tab w:val="left" w:pos="1100"/>
                <w:tab w:val="right" w:leader="dot" w:pos="8270"/>
              </w:tabs>
              <w:spacing w:after="100"/>
              <w:ind w:left="1080" w:hanging="600"/>
              <w:rPr>
                <w:rFonts w:cs="Times New Roman"/>
                <w:noProof/>
                <w:szCs w:val="24"/>
                <w:lang w:val="fr-CA" w:bidi="en-US"/>
                <w14:scene3d>
                  <w14:camera w14:prst="orthographicFront"/>
                  <w14:lightRig w14:rig="threePt" w14:dir="t">
                    <w14:rot w14:lat="0" w14:lon="0" w14:rev="0"/>
                  </w14:lightRig>
                </w14:scene3d>
              </w:rPr>
            </w:pPr>
            <w:r w:rsidRPr="00116CBE">
              <w:rPr>
                <w:rFonts w:cs="Times New Roman"/>
                <w:noProof/>
                <w:szCs w:val="24"/>
                <w:lang w:val="fr-CA" w:bidi="en-US"/>
                <w14:scene3d>
                  <w14:camera w14:prst="orthographicFront"/>
                  <w14:lightRig w14:rig="threePt" w14:dir="t">
                    <w14:rot w14:lat="0" w14:lon="0" w14:rev="0"/>
                  </w14:lightRig>
                </w14:scene3d>
              </w:rPr>
              <w:t>(2)</w:t>
            </w:r>
            <w:r w:rsidRPr="00116CBE">
              <w:rPr>
                <w:rFonts w:cs="Times New Roman"/>
                <w:noProof/>
                <w:szCs w:val="24"/>
                <w:lang w:val="fr-CA"/>
              </w:rPr>
              <w:tab/>
            </w:r>
            <w:r w:rsidRPr="00116CBE">
              <w:rPr>
                <w:rFonts w:cs="Times New Roman"/>
                <w:noProof/>
                <w:szCs w:val="24"/>
                <w:u w:val="single"/>
                <w:lang w:val="fr-CA"/>
              </w:rPr>
              <w:t>Fondée sur un motif prohibé</w:t>
            </w:r>
          </w:p>
        </w:tc>
        <w:tc>
          <w:tcPr>
            <w:tcW w:w="851" w:type="dxa"/>
          </w:tcPr>
          <w:p w14:paraId="78C89A40" w14:textId="77777777" w:rsidR="00116CBE" w:rsidRPr="001901D8" w:rsidRDefault="00116CBE" w:rsidP="003E6B33">
            <w:pPr>
              <w:tabs>
                <w:tab w:val="left" w:pos="480"/>
                <w:tab w:val="right" w:leader="dot" w:pos="8270"/>
              </w:tabs>
              <w:spacing w:after="100"/>
              <w:rPr>
                <w:rFonts w:cs="Times New Roman"/>
                <w:szCs w:val="24"/>
                <w:lang w:bidi="en-US"/>
              </w:rPr>
            </w:pPr>
            <w:r w:rsidRPr="001901D8">
              <w:rPr>
                <w:rFonts w:cs="Times New Roman"/>
                <w:szCs w:val="24"/>
                <w:lang w:bidi="en-US"/>
              </w:rPr>
              <w:t>96</w:t>
            </w:r>
          </w:p>
        </w:tc>
      </w:tr>
      <w:tr w:rsidR="00116CBE" w:rsidRPr="001901D8" w14:paraId="659D8EAC" w14:textId="77777777" w:rsidTr="003E6B33">
        <w:trPr>
          <w:trHeight w:val="432"/>
        </w:trPr>
        <w:tc>
          <w:tcPr>
            <w:tcW w:w="8505" w:type="dxa"/>
          </w:tcPr>
          <w:p w14:paraId="2199BCC5" w14:textId="77777777" w:rsidR="00116CBE" w:rsidRPr="00116CBE" w:rsidRDefault="00116CBE" w:rsidP="003E6B33">
            <w:pPr>
              <w:tabs>
                <w:tab w:val="left" w:pos="1100"/>
                <w:tab w:val="right" w:leader="dot" w:pos="8270"/>
              </w:tabs>
              <w:spacing w:after="100"/>
              <w:ind w:left="1080" w:hanging="600"/>
              <w:rPr>
                <w:rFonts w:cs="Times New Roman"/>
                <w:noProof/>
                <w:szCs w:val="24"/>
                <w:lang w:val="fr-CA" w:bidi="en-US"/>
                <w14:scene3d>
                  <w14:camera w14:prst="orthographicFront"/>
                  <w14:lightRig w14:rig="threePt" w14:dir="t">
                    <w14:rot w14:lat="0" w14:lon="0" w14:rev="0"/>
                  </w14:lightRig>
                </w14:scene3d>
              </w:rPr>
            </w:pPr>
            <w:r w:rsidRPr="00116CBE">
              <w:rPr>
                <w:rFonts w:cs="Times New Roman"/>
                <w:noProof/>
                <w:szCs w:val="24"/>
                <w:lang w:val="fr-CA" w:bidi="en-US"/>
                <w14:scene3d>
                  <w14:camera w14:prst="orthographicFront"/>
                  <w14:lightRig w14:rig="threePt" w14:dir="t">
                    <w14:rot w14:lat="0" w14:lon="0" w14:rev="0"/>
                  </w14:lightRig>
                </w14:scene3d>
              </w:rPr>
              <w:t>(3)</w:t>
            </w:r>
            <w:r w:rsidRPr="00116CBE">
              <w:rPr>
                <w:rFonts w:cs="Times New Roman"/>
                <w:noProof/>
                <w:szCs w:val="24"/>
                <w:lang w:val="fr-CA"/>
              </w:rPr>
              <w:tab/>
            </w:r>
            <w:r w:rsidRPr="00116CBE">
              <w:rPr>
                <w:rFonts w:cs="Times New Roman"/>
                <w:noProof/>
                <w:szCs w:val="24"/>
                <w:u w:val="single"/>
                <w:lang w:val="fr-CA"/>
              </w:rPr>
              <w:t>Compromettant la reconnaissance du droit à la sauvegarde de la dignité</w:t>
            </w:r>
          </w:p>
        </w:tc>
        <w:tc>
          <w:tcPr>
            <w:tcW w:w="851" w:type="dxa"/>
          </w:tcPr>
          <w:p w14:paraId="21EB941B"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103</w:t>
            </w:r>
          </w:p>
        </w:tc>
      </w:tr>
      <w:tr w:rsidR="00116CBE" w:rsidRPr="001901D8" w14:paraId="774C72D8" w14:textId="77777777" w:rsidTr="003E6B33">
        <w:trPr>
          <w:trHeight w:val="432"/>
        </w:trPr>
        <w:tc>
          <w:tcPr>
            <w:tcW w:w="8505" w:type="dxa"/>
          </w:tcPr>
          <w:p w14:paraId="68774588" w14:textId="77777777" w:rsidR="00116CBE" w:rsidRPr="001901D8" w:rsidRDefault="00116CBE" w:rsidP="003E6B33">
            <w:pPr>
              <w:tabs>
                <w:tab w:val="left" w:pos="480"/>
                <w:tab w:val="right" w:leader="dot" w:pos="8270"/>
              </w:tabs>
              <w:spacing w:after="100"/>
              <w:rPr>
                <w:rFonts w:cs="Times New Roman"/>
                <w:i/>
                <w:noProof/>
                <w:szCs w:val="24"/>
                <w:lang w:val="en-CA"/>
              </w:rPr>
            </w:pPr>
            <w:r w:rsidRPr="001901D8">
              <w:rPr>
                <w:rFonts w:cs="Times New Roman"/>
                <w:noProof/>
                <w:szCs w:val="24"/>
                <w:lang w:val="en-CA" w:bidi="en-US"/>
              </w:rPr>
              <w:t>IX.</w:t>
            </w:r>
            <w:r w:rsidRPr="001901D8">
              <w:rPr>
                <w:rFonts w:cs="Times New Roman"/>
                <w:noProof/>
                <w:szCs w:val="24"/>
                <w:lang w:val="en-CA"/>
              </w:rPr>
              <w:tab/>
            </w:r>
            <w:r w:rsidRPr="001901D8">
              <w:rPr>
                <w:rFonts w:cs="Times New Roman"/>
                <w:noProof/>
                <w:szCs w:val="24"/>
                <w:u w:val="single"/>
              </w:rPr>
              <w:t>Dispositif</w:t>
            </w:r>
          </w:p>
        </w:tc>
        <w:tc>
          <w:tcPr>
            <w:tcW w:w="851" w:type="dxa"/>
          </w:tcPr>
          <w:p w14:paraId="42B36592" w14:textId="77777777" w:rsidR="00116CBE" w:rsidRPr="001901D8" w:rsidRDefault="00116CBE" w:rsidP="003E6B33">
            <w:pPr>
              <w:tabs>
                <w:tab w:val="left" w:pos="480"/>
                <w:tab w:val="right" w:leader="dot" w:pos="8270"/>
              </w:tabs>
              <w:spacing w:after="100"/>
              <w:rPr>
                <w:rFonts w:cs="Times New Roman"/>
                <w:szCs w:val="24"/>
                <w:lang w:val="en-CA" w:bidi="en-US"/>
              </w:rPr>
            </w:pPr>
            <w:r w:rsidRPr="001901D8">
              <w:rPr>
                <w:rFonts w:cs="Times New Roman"/>
                <w:szCs w:val="24"/>
                <w:lang w:bidi="en-US"/>
              </w:rPr>
              <w:t>114</w:t>
            </w:r>
          </w:p>
        </w:tc>
      </w:tr>
    </w:tbl>
    <w:p w14:paraId="4ADEBC62" w14:textId="77777777" w:rsidR="00116CBE" w:rsidRPr="001901D8" w:rsidRDefault="00116CBE" w:rsidP="00116CBE">
      <w:pPr>
        <w:pStyle w:val="Title1LevelTitre1Niveau-AltL"/>
        <w:numPr>
          <w:ilvl w:val="0"/>
          <w:numId w:val="8"/>
        </w:numPr>
        <w:rPr>
          <w:rFonts w:cs="Times New Roman"/>
          <w:lang w:val="fr-CA"/>
        </w:rPr>
      </w:pPr>
      <w:bookmarkStart w:id="0" w:name="_Toc71277672"/>
      <w:bookmarkStart w:id="1" w:name="_Toc74300976"/>
      <w:bookmarkStart w:id="2" w:name="_Toc77683243"/>
      <w:bookmarkStart w:id="3" w:name="_Toc78294036"/>
      <w:bookmarkStart w:id="4" w:name="_Toc83114010"/>
      <w:r w:rsidRPr="001901D8">
        <w:rPr>
          <w:rFonts w:cs="Times New Roman"/>
          <w:lang w:val="fr-CA"/>
        </w:rPr>
        <w:t>Introduction</w:t>
      </w:r>
      <w:bookmarkEnd w:id="0"/>
      <w:bookmarkEnd w:id="1"/>
      <w:bookmarkEnd w:id="2"/>
      <w:bookmarkEnd w:id="3"/>
      <w:bookmarkEnd w:id="4"/>
    </w:p>
    <w:p w14:paraId="5DEDD57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 présent pourvoi porte sur le cadre juridique applicable à un recours en discrimination qui met en cause le droit à la sauvegarde de la dignité d’une personnalité publique, d’une part, </w:t>
      </w:r>
      <w:r>
        <w:rPr>
          <w:rFonts w:cs="Times New Roman"/>
        </w:rPr>
        <w:t xml:space="preserve">et la liberté d’expression </w:t>
      </w:r>
      <w:r w:rsidRPr="001901D8">
        <w:rPr>
          <w:rFonts w:cs="Times New Roman"/>
        </w:rPr>
        <w:t xml:space="preserve">d’un humoriste professionnel, d’autre part. Il nous invite, de façon incidente, à préciser l’étendue de la compétence de la Commission des droits de la personne et des droits de la jeunesse (« Commission ») et du Tribunal des droits de la personne (« Tribunal ») en matière de recours en discrimination fondés sur la </w:t>
      </w:r>
      <w:r w:rsidRPr="001901D8">
        <w:rPr>
          <w:rFonts w:cs="Times New Roman"/>
          <w:i/>
        </w:rPr>
        <w:t>Charte des droits et libertés de la personne</w:t>
      </w:r>
      <w:r>
        <w:rPr>
          <w:rFonts w:cs="Times New Roman"/>
        </w:rPr>
        <w:t>, RLRQ, c. C</w:t>
      </w:r>
      <w:r>
        <w:rPr>
          <w:rFonts w:cs="Times New Roman"/>
        </w:rPr>
        <w:noBreakHyphen/>
        <w:t>12 (« </w:t>
      </w:r>
      <w:r w:rsidRPr="001901D8">
        <w:rPr>
          <w:rFonts w:cs="Times New Roman"/>
          <w:i/>
        </w:rPr>
        <w:t>Charte</w:t>
      </w:r>
      <w:r>
        <w:rPr>
          <w:rFonts w:cs="Times New Roman"/>
          <w:i/>
        </w:rPr>
        <w:t> </w:t>
      </w:r>
      <w:r>
        <w:rPr>
          <w:rFonts w:cs="Times New Roman"/>
        </w:rPr>
        <w:t>» ou « </w:t>
      </w:r>
      <w:r w:rsidRPr="001901D8">
        <w:rPr>
          <w:rFonts w:cs="Times New Roman"/>
          <w:i/>
        </w:rPr>
        <w:t>Charte québécoise</w:t>
      </w:r>
      <w:r>
        <w:rPr>
          <w:rFonts w:cs="Times New Roman"/>
          <w:i/>
        </w:rPr>
        <w:t> </w:t>
      </w:r>
      <w:r w:rsidRPr="001901D8">
        <w:rPr>
          <w:rFonts w:cs="Times New Roman"/>
        </w:rPr>
        <w:t>»).</w:t>
      </w:r>
    </w:p>
    <w:p w14:paraId="082221BA"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Très souvent, les plaintes en matière de discrimination s’inscrivent dans le contexte de l’emploi,</w:t>
      </w:r>
      <w:r>
        <w:rPr>
          <w:rFonts w:cs="Times New Roman"/>
        </w:rPr>
        <w:t xml:space="preserve"> </w:t>
      </w:r>
      <w:r w:rsidRPr="001901D8">
        <w:rPr>
          <w:rFonts w:cs="Times New Roman"/>
        </w:rPr>
        <w:t>du logement ou encore des biens et services offerts aux citoyens. En l’espèce, la plainte à l’origine du pourvoi est tout autre, en ce qu’elle</w:t>
      </w:r>
      <w:r>
        <w:rPr>
          <w:rFonts w:cs="Times New Roman"/>
        </w:rPr>
        <w:t xml:space="preserve"> </w:t>
      </w:r>
      <w:r w:rsidRPr="001901D8">
        <w:rPr>
          <w:rFonts w:cs="Times New Roman"/>
        </w:rPr>
        <w:t>concerne un humoriste professionnel, en l’occurrence l’appelant Mike Ward, qui s’est moqué d’une personnalité publique en situation de handicap</w:t>
      </w:r>
      <w:r>
        <w:rPr>
          <w:rFonts w:cs="Times New Roman"/>
        </w:rPr>
        <w:t>,</w:t>
      </w:r>
      <w:r w:rsidRPr="001901D8">
        <w:rPr>
          <w:rFonts w:cs="Times New Roman"/>
        </w:rPr>
        <w:t xml:space="preserve"> en l’occurrence Jérémy Gabriel. </w:t>
      </w:r>
    </w:p>
    <w:p w14:paraId="20748F9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Or, la plainte à l’origine du présent pourvoi ne s’est pas traduite par un recours en </w:t>
      </w:r>
      <w:r w:rsidRPr="001901D8">
        <w:rPr>
          <w:rFonts w:cs="Times New Roman"/>
          <w:i/>
        </w:rPr>
        <w:t>diffamation</w:t>
      </w:r>
      <w:r w:rsidRPr="001901D8">
        <w:rPr>
          <w:rFonts w:cs="Times New Roman"/>
        </w:rPr>
        <w:t xml:space="preserve"> basé sur les propos en cause, mais plutôt par un recours en </w:t>
      </w:r>
      <w:r w:rsidRPr="001901D8">
        <w:rPr>
          <w:rFonts w:cs="Times New Roman"/>
          <w:i/>
        </w:rPr>
        <w:t>discrimination</w:t>
      </w:r>
      <w:r w:rsidRPr="001901D8">
        <w:rPr>
          <w:rFonts w:cs="Times New Roman"/>
        </w:rPr>
        <w:t xml:space="preserve"> basé sur lesdits propos</w:t>
      </w:r>
      <w:r w:rsidRPr="001901D8">
        <w:rPr>
          <w:rFonts w:cs="Times New Roman"/>
          <w:i/>
        </w:rPr>
        <w:t>.</w:t>
      </w:r>
      <w:r w:rsidRPr="001901D8">
        <w:rPr>
          <w:rFonts w:cs="Times New Roman"/>
        </w:rPr>
        <w:t xml:space="preserve"> </w:t>
      </w:r>
      <w:r>
        <w:rPr>
          <w:rFonts w:cs="Times New Roman"/>
        </w:rPr>
        <w:t>Le Tribunal pouvait-il conclure au bien</w:t>
      </w:r>
      <w:r>
        <w:rPr>
          <w:rFonts w:cs="Times New Roman"/>
        </w:rPr>
        <w:noBreakHyphen/>
        <w:t xml:space="preserve">fondé de la plainte pour </w:t>
      </w:r>
      <w:r w:rsidRPr="00734DF5">
        <w:rPr>
          <w:rFonts w:cs="Times New Roman"/>
          <w:i/>
        </w:rPr>
        <w:t>discrimination</w:t>
      </w:r>
      <w:r>
        <w:rPr>
          <w:rFonts w:cs="Times New Roman"/>
        </w:rPr>
        <w:t xml:space="preserve">? </w:t>
      </w:r>
      <w:r w:rsidRPr="001901D8">
        <w:rPr>
          <w:rFonts w:cs="Times New Roman"/>
        </w:rPr>
        <w:t xml:space="preserve">Nous sommes d’avis qu’il faut répondre par la négative, les éléments constitutifs d’un recours en discrimination fondé sur la </w:t>
      </w:r>
      <w:r w:rsidRPr="001901D8">
        <w:rPr>
          <w:rFonts w:cs="Times New Roman"/>
          <w:i/>
        </w:rPr>
        <w:t>Charte québécoise</w:t>
      </w:r>
      <w:r w:rsidRPr="001901D8">
        <w:rPr>
          <w:rFonts w:cs="Times New Roman"/>
        </w:rPr>
        <w:t xml:space="preserve"> n’ayant pas été établis. </w:t>
      </w:r>
    </w:p>
    <w:p w14:paraId="32B5AECF"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Il importe d’abord de souligner que cette question met en relief une tendance jurisprudentielle</w:t>
      </w:r>
      <w:r>
        <w:rPr>
          <w:rFonts w:cs="Times New Roman"/>
        </w:rPr>
        <w:t xml:space="preserve"> </w:t>
      </w:r>
      <w:r w:rsidRPr="001901D8">
        <w:rPr>
          <w:rFonts w:cs="Times New Roman"/>
        </w:rPr>
        <w:t>suivant laquelle la Commission et le Tribunal interprètent</w:t>
      </w:r>
      <w:r>
        <w:rPr>
          <w:rFonts w:cs="Times New Roman"/>
        </w:rPr>
        <w:t xml:space="preserve"> leur loi constitutive,</w:t>
      </w:r>
      <w:r w:rsidRPr="001901D8">
        <w:rPr>
          <w:rFonts w:cs="Times New Roman"/>
        </w:rPr>
        <w:t xml:space="preserve"> la </w:t>
      </w:r>
      <w:r w:rsidRPr="001901D8">
        <w:rPr>
          <w:rFonts w:cs="Times New Roman"/>
          <w:i/>
        </w:rPr>
        <w:t>Charte québécoise</w:t>
      </w:r>
      <w:r>
        <w:rPr>
          <w:rFonts w:cs="Times New Roman"/>
        </w:rPr>
        <w:t>,</w:t>
      </w:r>
      <w:r w:rsidRPr="001901D8">
        <w:rPr>
          <w:rFonts w:cs="Times New Roman"/>
        </w:rPr>
        <w:t xml:space="preserve"> de manière à se reconnaître une compétence à l’égard de litiges impliquant des propos prétendument « discriminatoires »,</w:t>
      </w:r>
      <w:r>
        <w:rPr>
          <w:rFonts w:cs="Times New Roman"/>
        </w:rPr>
        <w:t xml:space="preserve"> </w:t>
      </w:r>
      <w:r w:rsidRPr="001901D8">
        <w:rPr>
          <w:rFonts w:cs="Times New Roman"/>
        </w:rPr>
        <w:t xml:space="preserve">prononcés par des particuliers, en privé comme en public. Avec égards, nous estimons que cette tendance s’éloigne de la jurisprudence de notre Cour et témoigne d’une interprétation erronée des dispositions en cause dans cette affaire, notamment les art. 4 et 10 de la </w:t>
      </w:r>
      <w:r w:rsidRPr="001901D8">
        <w:rPr>
          <w:rFonts w:cs="Times New Roman"/>
          <w:i/>
        </w:rPr>
        <w:t>Charte québécoise</w:t>
      </w:r>
      <w:r w:rsidRPr="001901D8">
        <w:rPr>
          <w:rFonts w:cs="Times New Roman"/>
        </w:rPr>
        <w:t xml:space="preserve">, lesquels garantissent respectivement le droit à la sauvegarde de la dignité et l’égalité dans la reconnaissance et l’exercice des droits et libertés de la personne, y compris dans le contexte de propos prétendument « discriminatoires ». Elle entraîne la suppression de propos dont le contenu est perçu comme discriminatoire et la condamnation de leurs auteurs au versement de sommes d’argent non négligeables. </w:t>
      </w:r>
    </w:p>
    <w:p w14:paraId="7F0006F3"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D’emblée, il faut reconnaître que la </w:t>
      </w:r>
      <w:r w:rsidRPr="001901D8">
        <w:rPr>
          <w:rFonts w:cs="Times New Roman"/>
          <w:i/>
        </w:rPr>
        <w:t>Charte québécoise</w:t>
      </w:r>
      <w:r w:rsidRPr="001901D8">
        <w:rPr>
          <w:rFonts w:cs="Times New Roman"/>
        </w:rPr>
        <w:t>, qui élève la liberté d’expression au rang de liberté fondamentale, n’a pas été édictée pour encourager la censure. Il s’ensuit que des propos tels que des incivilités prononcées par des particuliers ne constituent pas en soi de la discrimination au sens de cette loi. Mais cela ne signifie pas pour autant que</w:t>
      </w:r>
      <w:r>
        <w:rPr>
          <w:rFonts w:cs="Times New Roman"/>
        </w:rPr>
        <w:t xml:space="preserve"> </w:t>
      </w:r>
      <w:r w:rsidRPr="001901D8">
        <w:rPr>
          <w:rFonts w:cs="Times New Roman"/>
        </w:rPr>
        <w:t>de tels propos</w:t>
      </w:r>
      <w:r>
        <w:rPr>
          <w:rFonts w:cs="Times New Roman"/>
        </w:rPr>
        <w:t xml:space="preserve"> </w:t>
      </w:r>
      <w:r w:rsidRPr="001901D8">
        <w:rPr>
          <w:rFonts w:cs="Times New Roman"/>
        </w:rPr>
        <w:t xml:space="preserve">ne peuvent jamais faire intervenir l’application de la </w:t>
      </w:r>
      <w:r w:rsidRPr="001901D8">
        <w:rPr>
          <w:rFonts w:cs="Times New Roman"/>
          <w:i/>
        </w:rPr>
        <w:t>Charte québécoise</w:t>
      </w:r>
      <w:r w:rsidRPr="001901D8">
        <w:rPr>
          <w:rFonts w:cs="Times New Roman"/>
        </w:rPr>
        <w:t xml:space="preserve"> dans des circonstances bien précises. Dans le présent pourvoi, nous désirons ainsi clarifier le cadre juridique applicable à un recours en discrimination dans un contexte impliquant la liberté d’expression.</w:t>
      </w:r>
    </w:p>
    <w:p w14:paraId="3F178A9E"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En résumé, pour avoir gain de cause,</w:t>
      </w:r>
      <w:r>
        <w:rPr>
          <w:rFonts w:cs="Times New Roman"/>
        </w:rPr>
        <w:t xml:space="preserve"> </w:t>
      </w:r>
      <w:r w:rsidRPr="001901D8">
        <w:rPr>
          <w:rFonts w:cs="Times New Roman"/>
        </w:rPr>
        <w:t xml:space="preserve">un plaignant doit établir tous les éléments constitutifs de la discrimination, tel que le requiert l’art. 10 de la </w:t>
      </w:r>
      <w:r w:rsidRPr="001901D8">
        <w:rPr>
          <w:rFonts w:cs="Times New Roman"/>
          <w:i/>
        </w:rPr>
        <w:t>Charte québécoise</w:t>
      </w:r>
      <w:r w:rsidRPr="001901D8">
        <w:rPr>
          <w:rFonts w:cs="Times New Roman"/>
        </w:rPr>
        <w:t>. Il doit démontrer (1) une distinction, exclusion ou préférence; (2) fondée sur l’un des motifs énumérés au premier alinéa de l’art. 10; (3) qui a pour effet de compromettre le droit à la pleine égalité dans la reconnaissance et l’exercice d’un droit ou d’une liberté de la personne (</w:t>
      </w:r>
      <w:r w:rsidRPr="001901D8">
        <w:rPr>
          <w:rFonts w:cs="Times New Roman"/>
          <w:i/>
        </w:rPr>
        <w:t>Québec (Commission des droits de la personne et des droits de la jeunesse) c. Bombardier Inc. (Bombardier Aéronautique Centre de formation)</w:t>
      </w:r>
      <w:r w:rsidRPr="001901D8">
        <w:rPr>
          <w:rFonts w:cs="Times New Roman"/>
        </w:rPr>
        <w:t xml:space="preserve">, 2015 CSC 39, [2015] 2 R.C.S. 789, par. 35). </w:t>
      </w:r>
      <w:r>
        <w:rPr>
          <w:rFonts w:cs="Times New Roman"/>
        </w:rPr>
        <w:t xml:space="preserve">À cette dernière étape, la portée du droit fondamental sur lequel s’appuie la violation alléguée doit être délimitée à la lumière de l’art. 9.1. Lorsque le droit à la sauvegarde de la dignité est en opposition avec la liberté d’expression, le plaignant doit d’abord démontrer que les propos incitent à le mépriser ou à détester son humanité pour un motif de distinction illicite. </w:t>
      </w:r>
      <w:r w:rsidRPr="001901D8">
        <w:rPr>
          <w:rFonts w:cs="Times New Roman"/>
        </w:rPr>
        <w:t xml:space="preserve">Il doit ensuite établir que ces propos, placés dans leur contexte, peuvent vraisemblablement avoir pour conséquence de lui imposer un traitement discriminatoire. </w:t>
      </w:r>
    </w:p>
    <w:p w14:paraId="052DB06F"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l’espèce, nous sommes d’avis que les éléments constitutifs d’un recours en discrimination fondé sur la </w:t>
      </w:r>
      <w:r w:rsidRPr="001901D8">
        <w:rPr>
          <w:rFonts w:cs="Times New Roman"/>
          <w:i/>
        </w:rPr>
        <w:t>Charte québécoise</w:t>
      </w:r>
      <w:r w:rsidRPr="001901D8">
        <w:rPr>
          <w:rFonts w:cs="Times New Roman"/>
        </w:rPr>
        <w:t xml:space="preserve"> n’ont pas été établis. En conséquence, nous proposons d’accueillir l’appel.</w:t>
      </w:r>
    </w:p>
    <w:p w14:paraId="44D64E6B" w14:textId="77777777" w:rsidR="00116CBE" w:rsidRPr="001901D8" w:rsidRDefault="00116CBE" w:rsidP="00116CBE">
      <w:pPr>
        <w:pStyle w:val="Title1LevelTitre1Niveau-AltL"/>
        <w:numPr>
          <w:ilvl w:val="0"/>
          <w:numId w:val="8"/>
        </w:numPr>
        <w:rPr>
          <w:rFonts w:cs="Times New Roman"/>
          <w:lang w:val="fr-CA"/>
        </w:rPr>
      </w:pPr>
      <w:bookmarkStart w:id="5" w:name="_Toc74300977"/>
      <w:bookmarkStart w:id="6" w:name="_Toc77683244"/>
      <w:bookmarkStart w:id="7" w:name="_Toc78294037"/>
      <w:bookmarkStart w:id="8" w:name="_Toc83114011"/>
      <w:r w:rsidRPr="001901D8">
        <w:rPr>
          <w:rFonts w:cs="Times New Roman"/>
          <w:lang w:val="fr-CA"/>
        </w:rPr>
        <w:t>Contexte</w:t>
      </w:r>
      <w:bookmarkEnd w:id="5"/>
      <w:bookmarkEnd w:id="6"/>
      <w:bookmarkEnd w:id="7"/>
      <w:bookmarkEnd w:id="8"/>
    </w:p>
    <w:p w14:paraId="6C8B2C45"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Le</w:t>
      </w:r>
      <w:r>
        <w:rPr>
          <w:rFonts w:cs="Times New Roman"/>
        </w:rPr>
        <w:t xml:space="preserve"> </w:t>
      </w:r>
      <w:r w:rsidRPr="001901D8">
        <w:rPr>
          <w:rFonts w:cs="Times New Roman"/>
        </w:rPr>
        <w:t>pourvoi oppose M. Ward à la Commission, laquelle agit en l’espèce au bénéfice de M. Gabriel. Lors des instances inférieures, la Commission a aussi agi en faveur des parents de ce dernier, M</w:t>
      </w:r>
      <w:r w:rsidRPr="001901D8">
        <w:rPr>
          <w:rFonts w:cs="Times New Roman"/>
          <w:vertAlign w:val="superscript"/>
        </w:rPr>
        <w:t>me</w:t>
      </w:r>
      <w:r w:rsidRPr="001901D8">
        <w:rPr>
          <w:rFonts w:cs="Times New Roman"/>
        </w:rPr>
        <w:t> Sylvie Gabriel et M. Steeve Lavoie. Précisons que M. Gabriel et M</w:t>
      </w:r>
      <w:r w:rsidRPr="001901D8">
        <w:rPr>
          <w:rFonts w:cs="Times New Roman"/>
          <w:vertAlign w:val="superscript"/>
        </w:rPr>
        <w:t>me</w:t>
      </w:r>
      <w:r w:rsidRPr="001901D8">
        <w:rPr>
          <w:rFonts w:cs="Times New Roman"/>
        </w:rPr>
        <w:t xml:space="preserve"> Gabriel sont intervenants dans </w:t>
      </w:r>
      <w:r>
        <w:rPr>
          <w:rFonts w:cs="Times New Roman"/>
        </w:rPr>
        <w:t xml:space="preserve">le </w:t>
      </w:r>
      <w:r w:rsidRPr="001901D8">
        <w:rPr>
          <w:rFonts w:cs="Times New Roman"/>
        </w:rPr>
        <w:t>présent</w:t>
      </w:r>
      <w:r>
        <w:rPr>
          <w:rFonts w:cs="Times New Roman"/>
        </w:rPr>
        <w:t xml:space="preserve"> pourvoi</w:t>
      </w:r>
      <w:r w:rsidRPr="001901D8">
        <w:rPr>
          <w:rFonts w:cs="Times New Roman"/>
        </w:rPr>
        <w:t xml:space="preserve">. </w:t>
      </w:r>
    </w:p>
    <w:p w14:paraId="322E454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Au moment où les faits reprochés à M. Ward se sont déroulés, M. Gabriel était mineur, étudiait au secondaire et menait une carrière artistique en chant. Les circonstances dans lesquelles M. Gabriel a entamé cette carrière, à l’âge de huit ans, avec le soutien de ses parents, sont méritoires. Monsieur Gabriel est né avec le syndrome de Treacher Collins, qui a entraîné certaines malformations à la tête ainsi qu’une surdité sévère. Monsieur Gabriel a eu, dès l’âge de six ans, un appareil auditif ostéo-intégré lui permettant d’entendre 80 à 90 p. 100 des sons. Grâce à cet appareil, il a appris à parler et à chanter.</w:t>
      </w:r>
    </w:p>
    <w:p w14:paraId="3423C7E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Les deux premières années de sa carrière, en 2005 et 2006, ont été marquées par divers événements médiatisés (p. ex.</w:t>
      </w:r>
      <w:r>
        <w:rPr>
          <w:rFonts w:cs="Times New Roman"/>
        </w:rPr>
        <w:t>,</w:t>
      </w:r>
      <w:r w:rsidRPr="001901D8">
        <w:rPr>
          <w:rFonts w:cs="Times New Roman"/>
        </w:rPr>
        <w:t xml:space="preserve"> l’interprétation de l’hymne national lors d’un événement sportif, une invitation à chanter devant Céline Dion et une prestation musicale, à Rome, en présence du pape Benoît XVI). Il a poursuivi sa carrière en participant à plusieurs émissions de télévision, à la production d’un documentaire portant sur le syndrome de Treacher Collins diffusé en France, au lancement d’un album, puis de son autobiographie, et à des concerts. Fort de cette notoriété, M. Gabriel est devenu en 2012 un patient-ambassadeur pour les hôpitaux Shriners. Il a voyagé au Canada et aux États-Unis, en plus de participer bénévolement à des spectacles ainsi qu’à des collectes de fonds.</w:t>
      </w:r>
    </w:p>
    <w:p w14:paraId="5BB9857F"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Pour sa part, M. Ward est un humoriste professionnel diplômé de l’École nationale de l’humour, dont la carrière a débuté en 1993. Ses prestations, pour lesquelles il a obtenu de nombreux prix, s’inscrivent selon lui dans le sillon de l’humour noir, un genre humoristique dans lequel des sujets scabreux ou des tabous sociaux sont « attaqués ». </w:t>
      </w:r>
    </w:p>
    <w:p w14:paraId="77432E0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De septembre 2010 à mars 2013, M. Ward présente un spectacle intitulé </w:t>
      </w:r>
      <w:r w:rsidRPr="001901D8">
        <w:rPr>
          <w:rFonts w:cs="Times New Roman"/>
          <w:i/>
        </w:rPr>
        <w:t>Mike Ward s’eXpose</w:t>
      </w:r>
      <w:r w:rsidRPr="001901D8">
        <w:rPr>
          <w:rFonts w:cs="Times New Roman"/>
        </w:rPr>
        <w:t xml:space="preserve">, dont le thème principal est la tolérance et le fait qu’« on est tous pareils ». Environ 135 000 billets sont vendus. C’est l’un des numéros de ce spectacle, intitulé </w:t>
      </w:r>
      <w:r>
        <w:rPr>
          <w:rFonts w:cs="Times New Roman"/>
          <w:i/>
        </w:rPr>
        <w:t>Les </w:t>
      </w:r>
      <w:r w:rsidRPr="001901D8">
        <w:rPr>
          <w:rFonts w:cs="Times New Roman"/>
          <w:i/>
        </w:rPr>
        <w:t>Intouchables</w:t>
      </w:r>
      <w:r w:rsidRPr="001901D8">
        <w:rPr>
          <w:rFonts w:cs="Times New Roman"/>
        </w:rPr>
        <w:t>, qui est au cœur du présent litige. Dans ce numéro, M. Ward se moque de certaines personnalités du milieu artistique québécois qu’il qualifie de « vaches sacrées », dont on ne peut rire pour diverses raisons, que ce soit en raison de leur richesse ou de leur influence, ou encore du fait qu’« on les perçoit comme étant faibles »</w:t>
      </w:r>
      <w:r>
        <w:rPr>
          <w:rFonts w:cs="Times New Roman"/>
        </w:rPr>
        <w:t xml:space="preserve"> (interrogatoire principal de M. Ward, d.a., vol. III, p. 146, extraits cités dans les motifs de la C.A., par. 75, 14 et 168)</w:t>
      </w:r>
      <w:r w:rsidRPr="001901D8">
        <w:rPr>
          <w:rFonts w:cs="Times New Roman"/>
        </w:rPr>
        <w:t>. Monsieur Gabriel est l’une des personnalités publiques visées dans ce numéro.</w:t>
      </w:r>
    </w:p>
    <w:p w14:paraId="6749BB0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plus de ce spectacle, M. Ward réalise plusieurs capsules vidéo sur des sujets d’actualité qui sont diffusées sur son site Internet. Ces capsules visent un certain nombre de personnalités publiques. L’une d’elles a été diffusée à l’occasion du lancement de l’autobiographie de M. Gabriel. Dans cette capsule, M. Ward prononce des propos désobligeants sur l’apparence physique de M. Gabriel. </w:t>
      </w:r>
    </w:p>
    <w:p w14:paraId="1298D86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La preuve révèle que des élèves fréquentant la même école secondaire que M. Gabriel se sont moqués de lui en s’inspirant de certains propos entendus dans cette capsule vidéo. La preuve révèle également que M. Gabriel était alors déjà exposé aux plaisanteries de mauvais goût de personnes effectuant un rapprochement entre sa prestation devant le pape Benoît XVI ou sa rencontre avec le cardinal Ouellet et la pédophilie, et ce, bien avant que M. Ward ne tienne ses propos à son sujet.</w:t>
      </w:r>
    </w:p>
    <w:p w14:paraId="0CB1DD1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2012, les parents de M. Gabriel portent plainte à la Commission, en leurs noms et au nom de M. Gabriel, quelque temps après la diffusion d’une entrevue télévisée de M. Ward assortie d’un extrait du numéro </w:t>
      </w:r>
      <w:r w:rsidRPr="001901D8">
        <w:rPr>
          <w:rFonts w:cs="Times New Roman"/>
          <w:i/>
        </w:rPr>
        <w:t>Les Intouchables</w:t>
      </w:r>
      <w:r w:rsidRPr="001901D8">
        <w:rPr>
          <w:rFonts w:cs="Times New Roman"/>
        </w:rPr>
        <w:t xml:space="preserve"> portant sur leur fils. La Commission en arrive à la conclusion qu’il y a matière à discrimination et soumet la plainte au Tribunal.</w:t>
      </w:r>
    </w:p>
    <w:p w14:paraId="1E7BFC73" w14:textId="77777777" w:rsidR="00116CBE" w:rsidRPr="001901D8" w:rsidRDefault="00116CBE" w:rsidP="00116CBE">
      <w:pPr>
        <w:pStyle w:val="Title1LevelTitre1Niveau-AltL"/>
        <w:numPr>
          <w:ilvl w:val="0"/>
          <w:numId w:val="8"/>
        </w:numPr>
        <w:rPr>
          <w:rFonts w:cs="Times New Roman"/>
          <w:lang w:val="fr-CA"/>
        </w:rPr>
      </w:pPr>
      <w:bookmarkStart w:id="9" w:name="_Toc70511337"/>
      <w:bookmarkStart w:id="10" w:name="_Toc71277675"/>
      <w:bookmarkStart w:id="11" w:name="_Toc74300979"/>
      <w:bookmarkStart w:id="12" w:name="_Toc77683245"/>
      <w:bookmarkStart w:id="13" w:name="_Toc78294038"/>
      <w:bookmarkStart w:id="14" w:name="_Toc83114012"/>
      <w:r w:rsidRPr="001901D8">
        <w:rPr>
          <w:rFonts w:cs="Times New Roman"/>
          <w:lang w:val="fr-CA"/>
        </w:rPr>
        <w:t xml:space="preserve">Historique </w:t>
      </w:r>
      <w:bookmarkEnd w:id="9"/>
      <w:bookmarkEnd w:id="10"/>
      <w:bookmarkEnd w:id="11"/>
      <w:r w:rsidRPr="001901D8">
        <w:rPr>
          <w:rFonts w:cs="Times New Roman"/>
          <w:lang w:val="fr-CA"/>
        </w:rPr>
        <w:t>procédural</w:t>
      </w:r>
      <w:bookmarkEnd w:id="12"/>
      <w:bookmarkEnd w:id="13"/>
      <w:bookmarkEnd w:id="14"/>
    </w:p>
    <w:p w14:paraId="15907EA1" w14:textId="77777777" w:rsidR="00116CBE" w:rsidRPr="001901D8" w:rsidRDefault="00116CBE" w:rsidP="00116CBE">
      <w:pPr>
        <w:pStyle w:val="Title2LevelTitre2Niveau"/>
        <w:numPr>
          <w:ilvl w:val="1"/>
          <w:numId w:val="8"/>
        </w:numPr>
        <w:rPr>
          <w:rFonts w:cs="Times New Roman"/>
          <w:lang w:val="fr-CA"/>
        </w:rPr>
      </w:pPr>
      <w:bookmarkStart w:id="15" w:name="_Toc70511338"/>
      <w:bookmarkStart w:id="16" w:name="_Toc71277676"/>
      <w:bookmarkStart w:id="17" w:name="_Toc74300980"/>
      <w:bookmarkStart w:id="18" w:name="_Toc77683246"/>
      <w:bookmarkStart w:id="19" w:name="_Toc78294039"/>
      <w:bookmarkStart w:id="20" w:name="_Toc83114013"/>
      <w:r w:rsidRPr="001901D8">
        <w:rPr>
          <w:rFonts w:cs="Times New Roman"/>
          <w:lang w:val="fr-CA"/>
        </w:rPr>
        <w:t>Tribunal des droits de la personne</w:t>
      </w:r>
      <w:bookmarkEnd w:id="15"/>
      <w:r w:rsidRPr="001901D8">
        <w:rPr>
          <w:rFonts w:cs="Times New Roman"/>
          <w:lang w:val="fr-CA"/>
        </w:rPr>
        <w:t>, 2016 QCTDP 18, 35 C.C.L.T. (4th) 258 (sous la présidence du juge Hughes)</w:t>
      </w:r>
      <w:bookmarkEnd w:id="16"/>
      <w:bookmarkEnd w:id="17"/>
      <w:bookmarkEnd w:id="18"/>
      <w:bookmarkEnd w:id="19"/>
      <w:bookmarkEnd w:id="20"/>
    </w:p>
    <w:p w14:paraId="6356987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 Tribunal examine les trois éléments constitutifs de la discrimination au sens de la </w:t>
      </w:r>
      <w:r w:rsidRPr="001901D8">
        <w:rPr>
          <w:rFonts w:cs="Times New Roman"/>
          <w:i/>
        </w:rPr>
        <w:t>Charte</w:t>
      </w:r>
      <w:r w:rsidRPr="001901D8">
        <w:rPr>
          <w:rFonts w:cs="Times New Roman"/>
        </w:rPr>
        <w:t xml:space="preserve">, à savoir : (1) une distinction (2) fondée sur un motif prohibé (3) qui a pour effet de détruire ou de compromettre l’égalité dans la reconnaissance ou l’exercice d’un droit ou d’une liberté de la personne. Premièrement, M. Ward aurait soumis M. Gabriel à une différence de traitement en tenant des propos à son sujet dans le but de faire rire son auditoire. Deuxièmement, M. Ward aurait tenu des propos liés au handicap de M. Gabriel, bien qu’il n’ait pas choisi ce dernier à cause de son handicap. Dans un troisième temps, les propos désobligeants de M. Ward atteindraient le degré de gravité exigé par l’arrêt </w:t>
      </w:r>
      <w:r w:rsidRPr="001901D8">
        <w:rPr>
          <w:rFonts w:cs="Times New Roman"/>
          <w:i/>
        </w:rPr>
        <w:t>Calego International inc. c. Commission des droits de la personne et des droits de la jeunesse</w:t>
      </w:r>
      <w:r w:rsidRPr="001901D8">
        <w:rPr>
          <w:rFonts w:cs="Times New Roman"/>
        </w:rPr>
        <w:t>, 2013 QCCA 924, [2013] R.J.D.T. 517. Le Tribunal</w:t>
      </w:r>
      <w:r>
        <w:rPr>
          <w:rFonts w:cs="Times New Roman"/>
        </w:rPr>
        <w:t xml:space="preserve"> </w:t>
      </w:r>
      <w:r w:rsidRPr="001901D8">
        <w:rPr>
          <w:rFonts w:cs="Times New Roman"/>
        </w:rPr>
        <w:t>en arrive donc à la conclusion qu’en exposant M. Gabriel à la moquerie en raison de son handicap, M. Ward a porté atteinte de manière discriminatoire au droit de M. Gabriel à la sauvegarde de sa dignité.</w:t>
      </w:r>
    </w:p>
    <w:p w14:paraId="0C23ECFE"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Ayant conclu que tous les éléments constitutifs de la discrimination étaient établis, le Tribunal examine le </w:t>
      </w:r>
      <w:r>
        <w:rPr>
          <w:rFonts w:cs="Times New Roman"/>
        </w:rPr>
        <w:t>« </w:t>
      </w:r>
      <w:r w:rsidRPr="001901D8">
        <w:rPr>
          <w:rFonts w:cs="Times New Roman"/>
        </w:rPr>
        <w:t>moyen de défense</w:t>
      </w:r>
      <w:r>
        <w:rPr>
          <w:rFonts w:cs="Times New Roman"/>
        </w:rPr>
        <w:t> »</w:t>
      </w:r>
      <w:r w:rsidRPr="001901D8">
        <w:rPr>
          <w:rFonts w:cs="Times New Roman"/>
        </w:rPr>
        <w:t xml:space="preserve"> invoqué par M. Ward fondé sur la liberté d’expression. Selon le Tribunal, les propos de ce dernier ont outrepassé les limites de ce qu’une personne raisonnable peut tolérer au nom de la liberté d’expression. En conséquence, le Tribunal considère que la discrimination dont M. Gabriel a été victime n’est pas justifiée. Monsieur Ward est condamné à verser 25 000 $ à titre de dommages moraux et 10 000 $ à titre de dommages punitifs. Il porte alors cette condamnation en appel.</w:t>
      </w:r>
    </w:p>
    <w:p w14:paraId="594784FE" w14:textId="77777777" w:rsidR="00116CBE" w:rsidRPr="001901D8" w:rsidRDefault="00116CBE" w:rsidP="00116CBE">
      <w:pPr>
        <w:pStyle w:val="Title2LevelTitre2Niveau"/>
        <w:numPr>
          <w:ilvl w:val="1"/>
          <w:numId w:val="8"/>
        </w:numPr>
        <w:rPr>
          <w:rFonts w:cs="Times New Roman"/>
          <w:lang w:val="fr-CA"/>
        </w:rPr>
      </w:pPr>
      <w:bookmarkStart w:id="21" w:name="_Toc70511339"/>
      <w:bookmarkStart w:id="22" w:name="_Toc71277677"/>
      <w:bookmarkStart w:id="23" w:name="_Toc74300981"/>
      <w:bookmarkStart w:id="24" w:name="_Toc77683247"/>
      <w:bookmarkStart w:id="25" w:name="_Toc78294040"/>
      <w:bookmarkStart w:id="26" w:name="_Toc83114014"/>
      <w:r w:rsidRPr="001901D8">
        <w:rPr>
          <w:rFonts w:cs="Times New Roman"/>
          <w:lang w:val="fr-CA"/>
        </w:rPr>
        <w:t>Cour d’appel du Québec</w:t>
      </w:r>
      <w:bookmarkEnd w:id="21"/>
      <w:bookmarkEnd w:id="22"/>
      <w:bookmarkEnd w:id="23"/>
      <w:bookmarkEnd w:id="24"/>
      <w:bookmarkEnd w:id="25"/>
      <w:bookmarkEnd w:id="26"/>
      <w:r w:rsidRPr="001901D8">
        <w:rPr>
          <w:rFonts w:cs="Times New Roman"/>
          <w:lang w:val="fr-CA"/>
        </w:rPr>
        <w:t>, 2019 QCCA 2042, 62 C.C.L.T. (4th) 230</w:t>
      </w:r>
    </w:p>
    <w:p w14:paraId="27C5F15F" w14:textId="77777777" w:rsidR="00116CBE" w:rsidRPr="001901D8" w:rsidRDefault="00116CBE" w:rsidP="00116CBE">
      <w:pPr>
        <w:pStyle w:val="Title3LevelTitre3Niveau"/>
        <w:numPr>
          <w:ilvl w:val="2"/>
          <w:numId w:val="8"/>
        </w:numPr>
        <w:rPr>
          <w:rFonts w:cs="Times New Roman"/>
          <w:lang w:val="fr-CA"/>
        </w:rPr>
      </w:pPr>
      <w:bookmarkStart w:id="27" w:name="_Toc70761107"/>
      <w:bookmarkStart w:id="28" w:name="_Toc71277678"/>
      <w:bookmarkStart w:id="29" w:name="_Toc74300982"/>
      <w:bookmarkStart w:id="30" w:name="_Toc77683248"/>
      <w:bookmarkStart w:id="31" w:name="_Toc78294041"/>
      <w:bookmarkStart w:id="32" w:name="_Toc83114015"/>
      <w:r w:rsidRPr="001901D8">
        <w:rPr>
          <w:rFonts w:cs="Times New Roman"/>
          <w:lang w:val="fr-CA"/>
        </w:rPr>
        <w:t xml:space="preserve">Motifs </w:t>
      </w:r>
      <w:bookmarkEnd w:id="27"/>
      <w:r w:rsidRPr="001901D8">
        <w:rPr>
          <w:rFonts w:cs="Times New Roman"/>
          <w:lang w:val="fr-CA"/>
        </w:rPr>
        <w:t>majoritaires (les juges Roy et Cotnam)</w:t>
      </w:r>
      <w:bookmarkEnd w:id="28"/>
      <w:bookmarkEnd w:id="29"/>
      <w:bookmarkEnd w:id="30"/>
      <w:bookmarkEnd w:id="31"/>
      <w:bookmarkEnd w:id="32"/>
    </w:p>
    <w:p w14:paraId="6FC98EF8"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L’appel est rejeté à la majorité par les juges</w:t>
      </w:r>
      <w:r>
        <w:rPr>
          <w:rFonts w:cs="Times New Roman"/>
        </w:rPr>
        <w:t xml:space="preserve"> </w:t>
      </w:r>
      <w:r w:rsidRPr="001901D8">
        <w:rPr>
          <w:rFonts w:cs="Times New Roman"/>
        </w:rPr>
        <w:t>Claudine</w:t>
      </w:r>
      <w:r>
        <w:rPr>
          <w:rFonts w:cs="Times New Roman"/>
        </w:rPr>
        <w:t xml:space="preserve"> </w:t>
      </w:r>
      <w:r w:rsidRPr="001901D8">
        <w:rPr>
          <w:rFonts w:cs="Times New Roman"/>
        </w:rPr>
        <w:t>Roy et Geneviève</w:t>
      </w:r>
      <w:r>
        <w:rPr>
          <w:rFonts w:cs="Times New Roman"/>
        </w:rPr>
        <w:t> </w:t>
      </w:r>
      <w:r w:rsidRPr="001901D8">
        <w:rPr>
          <w:rFonts w:cs="Times New Roman"/>
        </w:rPr>
        <w:t>Cotnam, lesquelles indiquent</w:t>
      </w:r>
      <w:r>
        <w:rPr>
          <w:rFonts w:cs="Times New Roman"/>
        </w:rPr>
        <w:t xml:space="preserve"> </w:t>
      </w:r>
      <w:r w:rsidRPr="001901D8">
        <w:rPr>
          <w:rFonts w:cs="Times New Roman"/>
        </w:rPr>
        <w:t>que la norme de contrôle applicable à l’appel d’une décision rendue par le Tribunal est celle de la décision raisonnable</w:t>
      </w:r>
      <w:r w:rsidRPr="00E20036">
        <w:rPr>
          <w:rStyle w:val="Hyperlink"/>
          <w:vertAlign w:val="superscript"/>
        </w:rPr>
        <w:footnoteReference w:id="1"/>
      </w:r>
      <w:r w:rsidRPr="001901D8">
        <w:rPr>
          <w:rFonts w:cs="Times New Roman"/>
        </w:rPr>
        <w:t>. D’abord, elles soulignent que M. Ward a choisi M. Gabriel à la fois en raison de sa notoriété et en raison de son handicap, et que les propos litigieux ciblent spécifiquement les caractéristiques physiques liées à ce handicap. À leur avis, le Tribunal pouvait raisonnablement conclure à l’existence d’une distinction fondée sur un motif prohibé. La conclusion du Tribunal relative au troisième élément constitutif de la discrimination est elle aussi maintenue, au motif qu’une personne raisonnable visée par les propos de M. Ward, même dans une société pluraliste, serait atteinte dans sa dignité de manière discriminatoire.</w:t>
      </w:r>
    </w:p>
    <w:p w14:paraId="227EA88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Les juges majoritaires analysent ensuite le </w:t>
      </w:r>
      <w:r>
        <w:rPr>
          <w:rFonts w:cs="Times New Roman"/>
        </w:rPr>
        <w:t>« </w:t>
      </w:r>
      <w:r w:rsidRPr="001901D8">
        <w:rPr>
          <w:rFonts w:cs="Times New Roman"/>
        </w:rPr>
        <w:t>moyen de défense</w:t>
      </w:r>
      <w:r>
        <w:rPr>
          <w:rFonts w:cs="Times New Roman"/>
        </w:rPr>
        <w:t> »</w:t>
      </w:r>
      <w:r w:rsidRPr="001901D8">
        <w:rPr>
          <w:rFonts w:cs="Times New Roman"/>
        </w:rPr>
        <w:t xml:space="preserve"> invoqué par M. Ward. Selon elles, le Tribunal a suivi avec précision la démarche énoncée par notre Cour dans l’arrêt </w:t>
      </w:r>
      <w:r w:rsidRPr="001901D8">
        <w:rPr>
          <w:rFonts w:cs="Times New Roman"/>
          <w:i/>
        </w:rPr>
        <w:t>Bombardier</w:t>
      </w:r>
      <w:r w:rsidRPr="001901D8">
        <w:rPr>
          <w:rFonts w:cs="Times New Roman"/>
        </w:rPr>
        <w:t xml:space="preserve"> en traitant de la liberté d’expression comme moyen de justifier des propos à première vue discriminatoires. Elles retiennent aussi le test énoncé dans l’arrêt </w:t>
      </w:r>
      <w:r w:rsidRPr="001901D8">
        <w:rPr>
          <w:rFonts w:cs="Times New Roman"/>
          <w:i/>
        </w:rPr>
        <w:t>Calego</w:t>
      </w:r>
      <w:r w:rsidRPr="001901D8">
        <w:rPr>
          <w:rFonts w:cs="Times New Roman"/>
        </w:rPr>
        <w:t>, qui consiste à déterminer si une personne raisonnable, habituée à une société pluraliste dans laquelle on valorise la liberté d’expression et on admet certains excès de langage, considérerait que l’affront subi est particulièrement méprisant et lourd de conséquences pour elle. De l’avis des juges majoritaires, le Tribunal pouvait raisonnablement conclure que les propos de M. Ward n’étaient pas justifiés par la liberté d’expression. Elles refusent de façon incidente de reconnaître que les prestations humoristiques bénéficient d’un statut particulier en matière de liberté d’expression.</w:t>
      </w:r>
    </w:p>
    <w:p w14:paraId="7014BE6D" w14:textId="77777777" w:rsidR="00116CBE" w:rsidRPr="001901D8" w:rsidRDefault="00116CBE" w:rsidP="00116CBE">
      <w:pPr>
        <w:pStyle w:val="Title3LevelTitre3Niveau"/>
        <w:numPr>
          <w:ilvl w:val="2"/>
          <w:numId w:val="8"/>
        </w:numPr>
        <w:rPr>
          <w:rFonts w:cs="Times New Roman"/>
          <w:lang w:val="fr-CA"/>
        </w:rPr>
      </w:pPr>
      <w:bookmarkStart w:id="33" w:name="_Toc70761108"/>
      <w:bookmarkStart w:id="34" w:name="_Toc71277679"/>
      <w:bookmarkStart w:id="35" w:name="_Toc74300983"/>
      <w:bookmarkStart w:id="36" w:name="_Toc77683249"/>
      <w:bookmarkStart w:id="37" w:name="_Toc78294042"/>
      <w:bookmarkStart w:id="38" w:name="_Toc83114016"/>
      <w:r w:rsidRPr="001901D8">
        <w:rPr>
          <w:rFonts w:cs="Times New Roman"/>
          <w:lang w:val="fr-CA"/>
        </w:rPr>
        <w:t>Motifs dissidents</w:t>
      </w:r>
      <w:bookmarkEnd w:id="33"/>
      <w:r w:rsidRPr="001901D8">
        <w:rPr>
          <w:rFonts w:cs="Times New Roman"/>
          <w:lang w:val="fr-CA"/>
        </w:rPr>
        <w:t xml:space="preserve"> (la juge Savard)</w:t>
      </w:r>
      <w:bookmarkEnd w:id="34"/>
      <w:bookmarkEnd w:id="35"/>
      <w:bookmarkEnd w:id="36"/>
      <w:bookmarkEnd w:id="37"/>
      <w:bookmarkEnd w:id="38"/>
    </w:p>
    <w:p w14:paraId="66DA44F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En dissidence, la juge Manon Savard (maintenant juge en chef de la Cour d’appel) rappelle d’entrée de jeu la seule question juridique soulevée en l’espèce :</w:t>
      </w:r>
    </w:p>
    <w:p w14:paraId="5E93E0BD" w14:textId="77777777" w:rsidR="00116CBE" w:rsidRPr="001901D8" w:rsidRDefault="00116CBE" w:rsidP="00116CBE">
      <w:pPr>
        <w:pStyle w:val="Citation-AltC"/>
        <w:ind w:firstLine="274"/>
      </w:pPr>
      <w:r w:rsidRPr="001901D8">
        <w:t xml:space="preserve">La question soulevée par l’appel est d’une tout autre nature. Elle concerne le cadre d’analyse que doit adopter le Tribunal des droits de la personne (« Tribunal ») lorsque appelé à se prononcer sur une plainte de </w:t>
      </w:r>
      <w:r w:rsidRPr="001901D8">
        <w:rPr>
          <w:i/>
        </w:rPr>
        <w:t>discrimination</w:t>
      </w:r>
      <w:r w:rsidRPr="001901D8">
        <w:t xml:space="preserve"> découlant de propos, et rien d’autre, reposant sur un motif interdit sous l’article 10 de la </w:t>
      </w:r>
      <w:r w:rsidRPr="001901D8">
        <w:rPr>
          <w:i/>
        </w:rPr>
        <w:t>Charte des droits et libertés de la personne</w:t>
      </w:r>
      <w:r w:rsidRPr="001901D8">
        <w:t xml:space="preserve">. Elle demande aussi de revoir, dans un tel cadre, le juste équilibre entre le droit à la dignité et la liberté d’expression. Au delà des expressions litigieuses, formulées dans le style par définition choquant et tranchant du type d’humour adopté par l’appelant, celui-ci a-t-il fait preuve de </w:t>
      </w:r>
      <w:r w:rsidRPr="001901D8">
        <w:rPr>
          <w:i/>
        </w:rPr>
        <w:t>discrimination</w:t>
      </w:r>
      <w:r w:rsidRPr="001901D8">
        <w:t xml:space="preserve"> envers les mis en cause? Et j’insiste : je dis bien </w:t>
      </w:r>
      <w:r w:rsidRPr="001901D8">
        <w:rPr>
          <w:i/>
        </w:rPr>
        <w:t>discrimination</w:t>
      </w:r>
      <w:r w:rsidRPr="001901D8">
        <w:t xml:space="preserve"> et non pas diffamation, puisque le Tribunal n’a pas compétence en cette dernière matière. [En italique dans l’original; note en bas de page omise; par. 7.]</w:t>
      </w:r>
    </w:p>
    <w:p w14:paraId="6A2190E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Selon la juge Savard, qui aurait accueilli l’appel de M. Ward</w:t>
      </w:r>
      <w:r>
        <w:rPr>
          <w:rFonts w:cs="Times New Roman"/>
        </w:rPr>
        <w:t>,</w:t>
      </w:r>
      <w:r w:rsidRPr="001901D8">
        <w:rPr>
          <w:rFonts w:cs="Times New Roman"/>
        </w:rPr>
        <w:t xml:space="preserve"> le Tribunal a fait erreur en écartant toute analyse comparative et contextuelle pour conclure à une différence de traitement. Le fait qu’une personne soit nommément visée dans un spectacle d’humour ne suffit pas pour établir l’existence d’une distinction au sens de l’art. 10 de la </w:t>
      </w:r>
      <w:r w:rsidRPr="001901D8">
        <w:rPr>
          <w:rFonts w:cs="Times New Roman"/>
          <w:i/>
        </w:rPr>
        <w:t>Charte québécoise</w:t>
      </w:r>
      <w:r w:rsidRPr="001901D8">
        <w:rPr>
          <w:rFonts w:cs="Times New Roman"/>
        </w:rPr>
        <w:t xml:space="preserve">. De même, la juge Savard estime que, à elles seules, les allusions à un motif prohibé qui caractérise une personne ne permettent pas de satisfaire aux deux premiers éléments constitutifs de la discrimination. À son avis, le Tribunal a également fait erreur en examinant en vase clos l’atteinte au droit à la sauvegarde de la dignité; il aurait dû considérer la liberté d’expression non pas comme un moyen de défense susceptible de justifier une conduite discriminatoire, mais comme une limite à la portée de ce droit en vertu de l’art. 9.1 de la </w:t>
      </w:r>
      <w:r w:rsidRPr="001901D8">
        <w:rPr>
          <w:rFonts w:cs="Times New Roman"/>
          <w:i/>
        </w:rPr>
        <w:t>Charte québécoise</w:t>
      </w:r>
      <w:r w:rsidRPr="001901D8">
        <w:rPr>
          <w:rFonts w:cs="Times New Roman"/>
        </w:rPr>
        <w:t xml:space="preserve">. Selon elle, cette disposition requiert un exercice de pondération entre la liberté d’expression et le droit à la sauvegarde de la dignité. S’inspirant des enseignements de l’arrêt </w:t>
      </w:r>
      <w:r w:rsidRPr="001901D8">
        <w:rPr>
          <w:rFonts w:cs="Times New Roman"/>
          <w:i/>
        </w:rPr>
        <w:t>Saskatchewan (Human Rights Commission) c.</w:t>
      </w:r>
      <w:r w:rsidRPr="001901D8">
        <w:rPr>
          <w:rFonts w:cs="Times New Roman"/>
        </w:rPr>
        <w:t xml:space="preserve"> </w:t>
      </w:r>
      <w:r w:rsidRPr="001901D8">
        <w:rPr>
          <w:rFonts w:cs="Times New Roman"/>
          <w:i/>
        </w:rPr>
        <w:t>Whatcott</w:t>
      </w:r>
      <w:r w:rsidRPr="001901D8">
        <w:rPr>
          <w:rFonts w:cs="Times New Roman"/>
        </w:rPr>
        <w:t xml:space="preserve">, 2013 CSC 11, [2013] 1 R.C.S. 467, la juge Savard conclut que les propos de M. Ward ne véhiculent pas un discours discriminatoire et que c’est donc à tort que le Tribunal en est arrivé à la conclusion contraire. </w:t>
      </w:r>
    </w:p>
    <w:p w14:paraId="24C1748B" w14:textId="77777777" w:rsidR="00116CBE" w:rsidRPr="001901D8" w:rsidRDefault="00116CBE" w:rsidP="00116CBE">
      <w:pPr>
        <w:pStyle w:val="Title1LevelTitre1Niveau-AltL"/>
        <w:numPr>
          <w:ilvl w:val="0"/>
          <w:numId w:val="8"/>
        </w:numPr>
        <w:rPr>
          <w:rFonts w:cs="Times New Roman"/>
          <w:lang w:val="fr-CA"/>
        </w:rPr>
      </w:pPr>
      <w:bookmarkStart w:id="39" w:name="_Toc71277680"/>
      <w:bookmarkStart w:id="40" w:name="_Toc74300984"/>
      <w:bookmarkStart w:id="41" w:name="_Toc77683250"/>
      <w:bookmarkStart w:id="42" w:name="_Toc78294043"/>
      <w:bookmarkStart w:id="43" w:name="_Toc83114017"/>
      <w:r w:rsidRPr="001901D8">
        <w:rPr>
          <w:rFonts w:cs="Times New Roman"/>
          <w:lang w:val="fr-CA"/>
        </w:rPr>
        <w:t>Question en litige</w:t>
      </w:r>
      <w:bookmarkEnd w:id="39"/>
      <w:bookmarkEnd w:id="40"/>
      <w:bookmarkEnd w:id="41"/>
      <w:bookmarkEnd w:id="42"/>
      <w:bookmarkEnd w:id="43"/>
    </w:p>
    <w:p w14:paraId="2CA0C4ED"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La seule question en litige</w:t>
      </w:r>
      <w:r>
        <w:rPr>
          <w:rFonts w:cs="Times New Roman"/>
        </w:rPr>
        <w:t xml:space="preserve"> </w:t>
      </w:r>
      <w:r w:rsidRPr="001901D8">
        <w:rPr>
          <w:rFonts w:cs="Times New Roman"/>
        </w:rPr>
        <w:t>est celle du cadre juridique applicable à un recours en discrimination</w:t>
      </w:r>
      <w:r>
        <w:rPr>
          <w:rFonts w:cs="Times New Roman"/>
        </w:rPr>
        <w:t xml:space="preserve"> </w:t>
      </w:r>
      <w:r w:rsidRPr="001901D8">
        <w:rPr>
          <w:rFonts w:cs="Times New Roman"/>
        </w:rPr>
        <w:t xml:space="preserve">en vertu de la </w:t>
      </w:r>
      <w:r w:rsidRPr="001901D8">
        <w:rPr>
          <w:rFonts w:cs="Times New Roman"/>
          <w:i/>
        </w:rPr>
        <w:t>Charte québécoise</w:t>
      </w:r>
      <w:r w:rsidRPr="001901D8">
        <w:rPr>
          <w:rFonts w:cs="Times New Roman"/>
        </w:rPr>
        <w:t>, dans un contexte qui implique la liberté d’expression, afin</w:t>
      </w:r>
      <w:r>
        <w:rPr>
          <w:rFonts w:cs="Times New Roman"/>
        </w:rPr>
        <w:t xml:space="preserve"> </w:t>
      </w:r>
      <w:r w:rsidRPr="001901D8">
        <w:rPr>
          <w:rFonts w:cs="Times New Roman"/>
        </w:rPr>
        <w:t>de déterminer si en l’espèce, M. Ward a porté atteinte au droit à la sauvegarde de la dignité de M. Gabriel, et de ce fait, s’il y a effectivement eu discrimination. Avant de traiter de cette question, nous estimons utile d’apporter quelques précisions sur</w:t>
      </w:r>
      <w:r>
        <w:rPr>
          <w:rFonts w:cs="Times New Roman"/>
        </w:rPr>
        <w:t xml:space="preserve"> </w:t>
      </w:r>
      <w:r w:rsidRPr="001901D8">
        <w:rPr>
          <w:rFonts w:cs="Times New Roman"/>
        </w:rPr>
        <w:t>la norme de contrôle applicable et</w:t>
      </w:r>
      <w:r>
        <w:rPr>
          <w:rFonts w:cs="Times New Roman"/>
        </w:rPr>
        <w:t xml:space="preserve"> </w:t>
      </w:r>
      <w:r w:rsidRPr="001901D8">
        <w:rPr>
          <w:rFonts w:cs="Times New Roman"/>
        </w:rPr>
        <w:t xml:space="preserve">de rappeler la distinction qui s’impose eu égard à la compétence en matière de recours en diffamation, d’une part, et de discrimination, d’autre part, dans le contexte de la </w:t>
      </w:r>
      <w:r w:rsidRPr="001901D8">
        <w:rPr>
          <w:rFonts w:cs="Times New Roman"/>
          <w:i/>
        </w:rPr>
        <w:t>Charte québécoise</w:t>
      </w:r>
      <w:r w:rsidRPr="001901D8">
        <w:rPr>
          <w:rFonts w:cs="Times New Roman"/>
        </w:rPr>
        <w:t xml:space="preserve">. </w:t>
      </w:r>
    </w:p>
    <w:p w14:paraId="2EAF7611" w14:textId="77777777" w:rsidR="00116CBE" w:rsidRPr="001901D8" w:rsidRDefault="00116CBE" w:rsidP="00116CBE">
      <w:pPr>
        <w:pStyle w:val="Title1LevelTitre1Niveau-AltL"/>
        <w:numPr>
          <w:ilvl w:val="0"/>
          <w:numId w:val="8"/>
        </w:numPr>
        <w:rPr>
          <w:rFonts w:cs="Times New Roman"/>
          <w:lang w:val="fr-CA"/>
        </w:rPr>
      </w:pPr>
      <w:bookmarkStart w:id="44" w:name="_Toc71277674"/>
      <w:bookmarkStart w:id="45" w:name="_Toc74300978"/>
      <w:bookmarkStart w:id="46" w:name="_Toc77683251"/>
      <w:bookmarkStart w:id="47" w:name="_Toc78294044"/>
      <w:bookmarkStart w:id="48" w:name="_Toc83114018"/>
      <w:r w:rsidRPr="001901D8">
        <w:rPr>
          <w:rFonts w:cs="Times New Roman"/>
          <w:lang w:val="fr-CA"/>
        </w:rPr>
        <w:t>Dispositions pertinentes</w:t>
      </w:r>
      <w:bookmarkEnd w:id="44"/>
      <w:bookmarkEnd w:id="45"/>
      <w:bookmarkEnd w:id="46"/>
      <w:bookmarkEnd w:id="47"/>
      <w:bookmarkEnd w:id="48"/>
      <w:r w:rsidRPr="001901D8">
        <w:rPr>
          <w:rFonts w:cs="Times New Roman"/>
          <w:lang w:val="fr-CA"/>
        </w:rPr>
        <w:t xml:space="preserve"> de la </w:t>
      </w:r>
      <w:r w:rsidRPr="001901D8">
        <w:rPr>
          <w:rFonts w:cs="Times New Roman"/>
          <w:i/>
          <w:lang w:val="fr-CA"/>
        </w:rPr>
        <w:t>Charte québécoise</w:t>
      </w:r>
    </w:p>
    <w:p w14:paraId="1C5125F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Les dispositions de la </w:t>
      </w:r>
      <w:r w:rsidRPr="001901D8">
        <w:rPr>
          <w:rFonts w:cs="Times New Roman"/>
          <w:i/>
        </w:rPr>
        <w:t>Charte québécoise</w:t>
      </w:r>
      <w:r w:rsidRPr="001901D8">
        <w:rPr>
          <w:rFonts w:cs="Times New Roman"/>
        </w:rPr>
        <w:t xml:space="preserve"> en cause dans le cadre du présent pourvoi, telles qu’elles existaient à l’époque</w:t>
      </w:r>
      <w:r>
        <w:rPr>
          <w:rFonts w:cs="Times New Roman"/>
        </w:rPr>
        <w:t xml:space="preserve"> pertinente</w:t>
      </w:r>
      <w:r w:rsidRPr="001901D8">
        <w:rPr>
          <w:rFonts w:cs="Times New Roman"/>
        </w:rPr>
        <w:t>,</w:t>
      </w:r>
      <w:r w:rsidRPr="001901D8">
        <w:rPr>
          <w:rFonts w:cs="Times New Roman"/>
          <w:i/>
        </w:rPr>
        <w:t xml:space="preserve"> </w:t>
      </w:r>
      <w:r w:rsidRPr="001901D8">
        <w:rPr>
          <w:rFonts w:cs="Times New Roman"/>
        </w:rPr>
        <w:t xml:space="preserve">sont les suivantes : </w:t>
      </w:r>
    </w:p>
    <w:p w14:paraId="702A72FB" w14:textId="77777777" w:rsidR="00116CBE" w:rsidRPr="001901D8" w:rsidRDefault="00116CBE" w:rsidP="00116CBE">
      <w:pPr>
        <w:pStyle w:val="Citation-AltC"/>
        <w:rPr>
          <w:b/>
        </w:rPr>
      </w:pPr>
      <w:r w:rsidRPr="00155BF1">
        <w:rPr>
          <w:b/>
          <w:caps/>
        </w:rPr>
        <w:t>Chapitre</w:t>
      </w:r>
      <w:r w:rsidRPr="001901D8">
        <w:rPr>
          <w:b/>
          <w:caps/>
        </w:rPr>
        <w:t xml:space="preserve"> </w:t>
      </w:r>
      <w:r w:rsidRPr="001901D8">
        <w:rPr>
          <w:b/>
        </w:rPr>
        <w:t>I</w:t>
      </w:r>
    </w:p>
    <w:p w14:paraId="278A09DC" w14:textId="77777777" w:rsidR="00116CBE" w:rsidRPr="001901D8" w:rsidRDefault="00116CBE" w:rsidP="00116CBE">
      <w:pPr>
        <w:pStyle w:val="Citation-AltC"/>
        <w:rPr>
          <w:b/>
        </w:rPr>
      </w:pPr>
    </w:p>
    <w:p w14:paraId="75A90E5E" w14:textId="77777777" w:rsidR="00116CBE" w:rsidRPr="00E92E9A" w:rsidRDefault="00116CBE" w:rsidP="00116CBE">
      <w:pPr>
        <w:pStyle w:val="Citation-AltC"/>
        <w:rPr>
          <w:caps/>
        </w:rPr>
      </w:pPr>
      <w:r w:rsidRPr="00E92E9A">
        <w:rPr>
          <w:caps/>
        </w:rPr>
        <w:t>Libertés et droits fondamentaux</w:t>
      </w:r>
    </w:p>
    <w:p w14:paraId="719916FE" w14:textId="77777777" w:rsidR="00116CBE" w:rsidRPr="001901D8" w:rsidRDefault="00116CBE" w:rsidP="00116CBE">
      <w:pPr>
        <w:pStyle w:val="Citation-AltC"/>
      </w:pPr>
    </w:p>
    <w:p w14:paraId="19140F61" w14:textId="77777777" w:rsidR="00116CBE" w:rsidRPr="001901D8" w:rsidRDefault="00116CBE" w:rsidP="00116CBE">
      <w:pPr>
        <w:pStyle w:val="Citation-AltC"/>
        <w:jc w:val="center"/>
      </w:pPr>
      <w:r w:rsidRPr="001901D8">
        <w:t>. . .</w:t>
      </w:r>
    </w:p>
    <w:p w14:paraId="319EAE84" w14:textId="77777777" w:rsidR="00116CBE" w:rsidRPr="001901D8" w:rsidRDefault="00116CBE" w:rsidP="00116CBE">
      <w:pPr>
        <w:pStyle w:val="Citation-AltC"/>
      </w:pPr>
    </w:p>
    <w:p w14:paraId="2F99D339" w14:textId="77777777" w:rsidR="00116CBE" w:rsidRPr="001901D8" w:rsidRDefault="00116CBE" w:rsidP="00116CBE">
      <w:pPr>
        <w:pStyle w:val="Citation-AltC"/>
      </w:pPr>
      <w:r w:rsidRPr="001901D8">
        <w:rPr>
          <w:b/>
        </w:rPr>
        <w:t>3.</w:t>
      </w:r>
      <w:r w:rsidRPr="001901D8">
        <w:t xml:space="preserve"> Toute personne est titulaire des libertés fondamentales telles la liberté de conscience, la liberté de religion, la liberté d’opinion, la liberté d’expression, la liberté de réunion pacifique et la liberté d’association.</w:t>
      </w:r>
    </w:p>
    <w:p w14:paraId="3B49004F" w14:textId="77777777" w:rsidR="00116CBE" w:rsidRPr="001901D8" w:rsidRDefault="00116CBE" w:rsidP="00116CBE">
      <w:pPr>
        <w:pStyle w:val="Citation-AltC"/>
        <w:jc w:val="center"/>
      </w:pPr>
    </w:p>
    <w:p w14:paraId="7A9D9EED" w14:textId="77777777" w:rsidR="00116CBE" w:rsidRPr="001901D8" w:rsidRDefault="00116CBE" w:rsidP="00116CBE">
      <w:pPr>
        <w:pStyle w:val="Citation-AltC"/>
        <w:rPr>
          <w:rStyle w:val="texte-courant1"/>
          <w:szCs w:val="22"/>
        </w:rPr>
      </w:pPr>
      <w:r w:rsidRPr="001901D8">
        <w:rPr>
          <w:b/>
        </w:rPr>
        <w:t>4.</w:t>
      </w:r>
      <w:r w:rsidRPr="001901D8">
        <w:t xml:space="preserve"> </w:t>
      </w:r>
      <w:r w:rsidRPr="001901D8">
        <w:rPr>
          <w:rStyle w:val="texte-courant1"/>
          <w:szCs w:val="22"/>
        </w:rPr>
        <w:t>Toute personne a droit à la sauvegarde de sa dignité, de son honneur et de sa réputation.</w:t>
      </w:r>
    </w:p>
    <w:p w14:paraId="0BE6EE33" w14:textId="77777777" w:rsidR="00116CBE" w:rsidRPr="001901D8" w:rsidRDefault="00116CBE" w:rsidP="00116CBE">
      <w:pPr>
        <w:pStyle w:val="Citation-AltC"/>
        <w:rPr>
          <w:rStyle w:val="texte-courant1"/>
          <w:szCs w:val="22"/>
        </w:rPr>
      </w:pPr>
    </w:p>
    <w:p w14:paraId="354CD6FF" w14:textId="77777777" w:rsidR="00116CBE" w:rsidRPr="001901D8" w:rsidRDefault="00116CBE" w:rsidP="00116CBE">
      <w:pPr>
        <w:pStyle w:val="Citation-AltC"/>
        <w:jc w:val="center"/>
        <w:rPr>
          <w:rStyle w:val="texte-courant1"/>
          <w:szCs w:val="22"/>
        </w:rPr>
      </w:pPr>
      <w:r w:rsidRPr="001901D8">
        <w:rPr>
          <w:rStyle w:val="texte-courant1"/>
          <w:szCs w:val="22"/>
        </w:rPr>
        <w:t>. . .</w:t>
      </w:r>
    </w:p>
    <w:p w14:paraId="5FE0BE84" w14:textId="77777777" w:rsidR="00116CBE" w:rsidRPr="001901D8" w:rsidRDefault="00116CBE" w:rsidP="00116CBE">
      <w:pPr>
        <w:pStyle w:val="Citation-AltC"/>
        <w:rPr>
          <w:rStyle w:val="texte-courant1"/>
          <w:szCs w:val="22"/>
        </w:rPr>
      </w:pPr>
    </w:p>
    <w:p w14:paraId="4BF9AB8A" w14:textId="77777777" w:rsidR="00116CBE" w:rsidRPr="001901D8" w:rsidRDefault="00116CBE" w:rsidP="00116CBE">
      <w:pPr>
        <w:pStyle w:val="Citation-AltC"/>
      </w:pPr>
      <w:r w:rsidRPr="001901D8">
        <w:rPr>
          <w:b/>
        </w:rPr>
        <w:t>9.1.</w:t>
      </w:r>
      <w:r w:rsidRPr="001901D8">
        <w:t xml:space="preserve"> Les libertés et droits fondamentaux s’exercent dans le respect des valeurs démocratiques, de l’ordre public et du bien-être général des citoyens du Québec.</w:t>
      </w:r>
    </w:p>
    <w:p w14:paraId="4436A1F4" w14:textId="77777777" w:rsidR="00116CBE" w:rsidRPr="001901D8" w:rsidRDefault="00116CBE" w:rsidP="00116CBE">
      <w:pPr>
        <w:pStyle w:val="Citation-AltC"/>
      </w:pPr>
    </w:p>
    <w:p w14:paraId="7EEFD8CA" w14:textId="77777777" w:rsidR="00116CBE" w:rsidRPr="001901D8" w:rsidRDefault="00116CBE" w:rsidP="00116CBE">
      <w:pPr>
        <w:pStyle w:val="Citation-AltC"/>
        <w:ind w:firstLine="274"/>
      </w:pPr>
      <w:r w:rsidRPr="001901D8">
        <w:t>La Loi peut, à cet égard, en fixer la portée et en aménager l’exercice.</w:t>
      </w:r>
    </w:p>
    <w:p w14:paraId="525CC4B4" w14:textId="77777777" w:rsidR="00116CBE" w:rsidRPr="001901D8" w:rsidRDefault="00116CBE" w:rsidP="00116CBE">
      <w:pPr>
        <w:pStyle w:val="Citation-AltC"/>
      </w:pPr>
    </w:p>
    <w:p w14:paraId="4BF30907" w14:textId="77777777" w:rsidR="00116CBE" w:rsidRPr="001901D8" w:rsidRDefault="00116CBE" w:rsidP="00116CBE">
      <w:pPr>
        <w:pStyle w:val="Citation-AltC"/>
        <w:rPr>
          <w:b/>
        </w:rPr>
      </w:pPr>
      <w:r w:rsidRPr="00155BF1">
        <w:rPr>
          <w:b/>
          <w:caps/>
        </w:rPr>
        <w:t>Chapitre</w:t>
      </w:r>
      <w:r w:rsidRPr="001901D8">
        <w:rPr>
          <w:b/>
        </w:rPr>
        <w:t xml:space="preserve"> I.1</w:t>
      </w:r>
    </w:p>
    <w:p w14:paraId="45AE3100" w14:textId="77777777" w:rsidR="00116CBE" w:rsidRPr="001901D8" w:rsidRDefault="00116CBE" w:rsidP="00116CBE">
      <w:pPr>
        <w:pStyle w:val="Citation-AltC"/>
        <w:rPr>
          <w:b/>
        </w:rPr>
      </w:pPr>
    </w:p>
    <w:p w14:paraId="469AB693" w14:textId="77777777" w:rsidR="00116CBE" w:rsidRPr="00E92E9A" w:rsidRDefault="00116CBE" w:rsidP="00116CBE">
      <w:pPr>
        <w:pStyle w:val="Citation-AltC"/>
        <w:rPr>
          <w:caps/>
        </w:rPr>
      </w:pPr>
      <w:r w:rsidRPr="00E92E9A">
        <w:rPr>
          <w:caps/>
        </w:rPr>
        <w:t>Droit à l’égalité dans la reconnaissance et l’exercice des droits et libertés</w:t>
      </w:r>
    </w:p>
    <w:p w14:paraId="385AFC9F" w14:textId="77777777" w:rsidR="00116CBE" w:rsidRPr="001901D8" w:rsidRDefault="00116CBE" w:rsidP="00116CBE">
      <w:pPr>
        <w:pStyle w:val="Citation-AltC"/>
      </w:pPr>
    </w:p>
    <w:p w14:paraId="159A23B9" w14:textId="77777777" w:rsidR="00116CBE" w:rsidRPr="001901D8" w:rsidRDefault="00116CBE" w:rsidP="00116CBE">
      <w:pPr>
        <w:pStyle w:val="Citation-AltC"/>
      </w:pPr>
      <w:r w:rsidRPr="001901D8">
        <w:rPr>
          <w:b/>
        </w:rPr>
        <w:t>10.</w:t>
      </w:r>
      <w:r w:rsidRPr="001901D8">
        <w:t xml:space="preserve"> Toute personne a droit à la reconnaissance et à l’exercice, en pleine égalité, des droits et libertés de la personne, sans distinction, exclusion ou préférence fondée sur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55594061" w14:textId="77777777" w:rsidR="00116CBE" w:rsidRPr="001901D8" w:rsidRDefault="00116CBE" w:rsidP="00116CBE">
      <w:pPr>
        <w:pStyle w:val="Citation-AltC"/>
      </w:pPr>
    </w:p>
    <w:p w14:paraId="5C07B0B6" w14:textId="77777777" w:rsidR="00116CBE" w:rsidRPr="001901D8" w:rsidRDefault="00116CBE" w:rsidP="00116CBE">
      <w:pPr>
        <w:pStyle w:val="Citation-AltC"/>
        <w:ind w:firstLine="274"/>
      </w:pPr>
      <w:r w:rsidRPr="001901D8">
        <w:t>Il y a discrimination lorsqu’une telle distinction, exclusion ou préférence a pour effet de détruire ou de compromettre ce droit.</w:t>
      </w:r>
    </w:p>
    <w:p w14:paraId="2E133067" w14:textId="77777777" w:rsidR="00116CBE" w:rsidRPr="001901D8" w:rsidRDefault="00116CBE" w:rsidP="00116CBE">
      <w:pPr>
        <w:pStyle w:val="Title1LevelTitre1Niveau-AltL"/>
        <w:numPr>
          <w:ilvl w:val="0"/>
          <w:numId w:val="8"/>
        </w:numPr>
        <w:rPr>
          <w:rFonts w:cs="Times New Roman"/>
          <w:lang w:val="fr-CA"/>
        </w:rPr>
      </w:pPr>
      <w:bookmarkStart w:id="49" w:name="_Toc71277681"/>
      <w:bookmarkStart w:id="50" w:name="_Toc74300985"/>
      <w:bookmarkStart w:id="51" w:name="_Toc77683252"/>
      <w:bookmarkStart w:id="52" w:name="_Toc78294045"/>
      <w:bookmarkStart w:id="53" w:name="_Toc83114019"/>
      <w:r w:rsidRPr="001901D8">
        <w:rPr>
          <w:rFonts w:cs="Times New Roman"/>
          <w:lang w:val="fr-CA"/>
        </w:rPr>
        <w:t>Norme de contrôle applicable</w:t>
      </w:r>
      <w:bookmarkEnd w:id="49"/>
      <w:bookmarkEnd w:id="50"/>
      <w:bookmarkEnd w:id="51"/>
      <w:bookmarkEnd w:id="52"/>
      <w:bookmarkEnd w:id="53"/>
    </w:p>
    <w:p w14:paraId="3134A3AE"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Tel qu’indiqué précédemment, la Cour d’appel en est arrivée à la conclusion que la norme de contrôle applicable en l’espèce est celle de la décision raisonnable. </w:t>
      </w:r>
      <w:r>
        <w:rPr>
          <w:rFonts w:cs="Times New Roman"/>
        </w:rPr>
        <w:t xml:space="preserve">Or, l’arrêt </w:t>
      </w:r>
      <w:r w:rsidRPr="001901D8">
        <w:rPr>
          <w:rFonts w:cs="Times New Roman"/>
          <w:i/>
          <w:iCs/>
        </w:rPr>
        <w:t>Canada (Ministre de la Citoyenneté et de l’Immigration) c. Vavilov</w:t>
      </w:r>
      <w:r w:rsidRPr="001901D8">
        <w:rPr>
          <w:rFonts w:cs="Times New Roman"/>
          <w:iCs/>
        </w:rPr>
        <w:t xml:space="preserve">, 2019 CSC 65, </w:t>
      </w:r>
      <w:r>
        <w:rPr>
          <w:rFonts w:cs="Times New Roman"/>
          <w:iCs/>
        </w:rPr>
        <w:t xml:space="preserve">rendu quelques semaines après le jugement en cause de la Cour d’appel, a modifié la norme de contrôle applicable. Suivant l’arrêt </w:t>
      </w:r>
      <w:r w:rsidRPr="00D17F10">
        <w:rPr>
          <w:rFonts w:cs="Times New Roman"/>
          <w:i/>
          <w:iCs/>
        </w:rPr>
        <w:t>Vavilov</w:t>
      </w:r>
      <w:r>
        <w:rPr>
          <w:rFonts w:cs="Times New Roman"/>
          <w:iCs/>
        </w:rPr>
        <w:t xml:space="preserve">, </w:t>
      </w:r>
      <w:r w:rsidRPr="001901D8">
        <w:rPr>
          <w:rFonts w:cs="Times New Roman"/>
        </w:rPr>
        <w:t xml:space="preserve">la présomption selon laquelle la norme de contrôle applicable à l’égard d’une décision administrative est celle de la décision raisonnable peut être réfutée lorsque le législateur a prévu « un mécanisme d’appel à l’encontre d’un décideur administratif devant une cour de justice, ce qui dénote que les normes générales en matière d’appel trouvent application » (par. 33). </w:t>
      </w:r>
    </w:p>
    <w:p w14:paraId="4B780FE5"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l’espèce, les art. 132 et 133 de la </w:t>
      </w:r>
      <w:r w:rsidRPr="001901D8">
        <w:rPr>
          <w:rFonts w:cs="Times New Roman"/>
          <w:i/>
          <w:iCs/>
        </w:rPr>
        <w:t>Charte québécoise</w:t>
      </w:r>
      <w:r w:rsidRPr="001901D8">
        <w:rPr>
          <w:rFonts w:cs="Times New Roman"/>
        </w:rPr>
        <w:t xml:space="preserve"> précisent que les décisions du Tribunal peuvent faire l’objet d’un appel devant la Cour d’appel du Québec. Comme la loi prévoit un mécanisme d’appel, les normes</w:t>
      </w:r>
      <w:r>
        <w:rPr>
          <w:rFonts w:cs="Times New Roman"/>
        </w:rPr>
        <w:t xml:space="preserve"> </w:t>
      </w:r>
      <w:r w:rsidRPr="001901D8">
        <w:rPr>
          <w:rFonts w:cs="Times New Roman"/>
        </w:rPr>
        <w:t xml:space="preserve">générales en matière d’appel s’appliquent </w:t>
      </w:r>
      <w:r>
        <w:rPr>
          <w:rFonts w:cs="Times New Roman"/>
        </w:rPr>
        <w:t xml:space="preserve">plutôt que la norme de la décision raisonnable </w:t>
      </w:r>
      <w:r w:rsidRPr="001901D8">
        <w:rPr>
          <w:rFonts w:cs="Times New Roman"/>
        </w:rPr>
        <w:t>(</w:t>
      </w:r>
      <w:r w:rsidRPr="001901D8">
        <w:rPr>
          <w:rFonts w:cs="Times New Roman"/>
          <w:i/>
          <w:iCs/>
        </w:rPr>
        <w:t>Vavilov</w:t>
      </w:r>
      <w:r w:rsidRPr="001901D8">
        <w:rPr>
          <w:rFonts w:cs="Times New Roman"/>
        </w:rPr>
        <w:t xml:space="preserve">, par. 37; voir </w:t>
      </w:r>
      <w:r w:rsidRPr="001901D8">
        <w:rPr>
          <w:rFonts w:cs="Times New Roman"/>
          <w:i/>
        </w:rPr>
        <w:t>Housen c. Nikolaisen</w:t>
      </w:r>
      <w:r w:rsidRPr="001901D8">
        <w:rPr>
          <w:rFonts w:cs="Times New Roman"/>
        </w:rPr>
        <w:t>, 2002 CSC 33, [2002] 2 R.C.S. 235). La norme de la décision correcte est applicable pour les questions de droit alors que l’erreur manifeste et déterminante est la norme applicable pour les questions mixtes de fait et de droit.</w:t>
      </w:r>
    </w:p>
    <w:p w14:paraId="58069B2F" w14:textId="77777777" w:rsidR="00116CBE" w:rsidRPr="001901D8" w:rsidRDefault="00116CBE" w:rsidP="00116CBE">
      <w:pPr>
        <w:pStyle w:val="Title1LevelTitre1Niveau-AltL"/>
        <w:numPr>
          <w:ilvl w:val="0"/>
          <w:numId w:val="8"/>
        </w:numPr>
        <w:rPr>
          <w:rFonts w:cs="Times New Roman"/>
          <w:lang w:val="fr-CA"/>
        </w:rPr>
      </w:pPr>
      <w:bookmarkStart w:id="54" w:name="_Toc71277682"/>
      <w:bookmarkStart w:id="55" w:name="_Toc74300986"/>
      <w:bookmarkStart w:id="56" w:name="_Toc77683253"/>
      <w:bookmarkStart w:id="57" w:name="_Toc78294046"/>
      <w:bookmarkStart w:id="58" w:name="_Toc83114020"/>
      <w:r w:rsidRPr="001901D8">
        <w:rPr>
          <w:rFonts w:cs="Times New Roman"/>
          <w:lang w:val="fr-CA"/>
        </w:rPr>
        <w:t>Compétence en matière de diffamation et discrimination</w:t>
      </w:r>
      <w:bookmarkEnd w:id="54"/>
      <w:bookmarkEnd w:id="55"/>
      <w:bookmarkEnd w:id="56"/>
      <w:bookmarkEnd w:id="57"/>
      <w:bookmarkEnd w:id="58"/>
    </w:p>
    <w:p w14:paraId="107C2F7F"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Tout recours en réparation du préjudice moral ou matériel découlant d’une violation d’un droit garanti par la </w:t>
      </w:r>
      <w:r w:rsidRPr="001901D8">
        <w:rPr>
          <w:rFonts w:cs="Times New Roman"/>
          <w:i/>
        </w:rPr>
        <w:t>Charte québécoise</w:t>
      </w:r>
      <w:r w:rsidRPr="001901D8">
        <w:rPr>
          <w:rFonts w:cs="Times New Roman"/>
        </w:rPr>
        <w:t xml:space="preserve"> est assujetti au régime ordinaire de la responsabilité civile (</w:t>
      </w:r>
      <w:r w:rsidRPr="001901D8">
        <w:rPr>
          <w:rFonts w:cs="Times New Roman"/>
          <w:i/>
        </w:rPr>
        <w:t>Aubry c. Éditions Vice-Versa inc</w:t>
      </w:r>
      <w:r w:rsidRPr="001901D8">
        <w:rPr>
          <w:rFonts w:cs="Times New Roman"/>
        </w:rPr>
        <w:t xml:space="preserve">., [1998] 1 R.C.S. 591, par. 49; </w:t>
      </w:r>
      <w:r w:rsidRPr="001901D8">
        <w:rPr>
          <w:rFonts w:cs="Times New Roman"/>
          <w:i/>
        </w:rPr>
        <w:t>Béliveau St-Jacques c. Fédération des employées et employés de services publics inc.</w:t>
      </w:r>
      <w:r w:rsidRPr="001901D8">
        <w:rPr>
          <w:rFonts w:cs="Times New Roman"/>
        </w:rPr>
        <w:t xml:space="preserve">, [1996] 2 R.C.S. 345, par. 122). Le recours en diffamation, dont l’objet est de réparer les conséquences d’une atteinte fautive à la réputation, ne fait pas exception à cette règle. Bien qu’il inclue le droit de chacun à la sauvegarde de sa réputation énoncé à l’art. 4 de la </w:t>
      </w:r>
      <w:r w:rsidRPr="001901D8">
        <w:rPr>
          <w:rFonts w:cs="Times New Roman"/>
          <w:i/>
        </w:rPr>
        <w:t>Charte</w:t>
      </w:r>
      <w:r w:rsidRPr="001901D8">
        <w:rPr>
          <w:rFonts w:cs="Times New Roman"/>
        </w:rPr>
        <w:t>, il n’en exige pas moins la preuve de la coexistence d’une faute, d’un préjudice et d’un lien de causalité entre ces deux éléments (</w:t>
      </w:r>
      <w:r w:rsidRPr="001901D8">
        <w:rPr>
          <w:rFonts w:cs="Times New Roman"/>
          <w:i/>
        </w:rPr>
        <w:t>Prud’homme c. Prud’homme</w:t>
      </w:r>
      <w:r w:rsidRPr="001901D8">
        <w:rPr>
          <w:rFonts w:cs="Times New Roman"/>
        </w:rPr>
        <w:t xml:space="preserve">, 2002 CSC 85, [2002] 4 R.C.S. 663, par. 32). </w:t>
      </w:r>
    </w:p>
    <w:p w14:paraId="0736D15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cet égard, il importe de préciser que les propos tenus par M. Ward à l’endroit de M. Gabriel n’ont pas donné lieu à un recours en diffamation mais plutôt à un recours en discrimination. Cette distinction est importante car le Tribunal n’est pas habilité à trancher les recours en diffamation ni les autres recours en responsabilité civile, puisque sa compétence est limitée aux plaintes pour discrimination ou exploitation fondées sur les art. 10 à 19 et 48 de la </w:t>
      </w:r>
      <w:r w:rsidRPr="001901D8">
        <w:rPr>
          <w:rFonts w:cs="Times New Roman"/>
          <w:i/>
        </w:rPr>
        <w:t xml:space="preserve">Charte québécoise </w:t>
      </w:r>
      <w:r w:rsidRPr="001901D8">
        <w:rPr>
          <w:rFonts w:cs="Times New Roman"/>
        </w:rPr>
        <w:t xml:space="preserve">(art. 111 et 80 et par. 71(1) de la </w:t>
      </w:r>
      <w:r w:rsidRPr="001901D8">
        <w:rPr>
          <w:rFonts w:cs="Times New Roman"/>
          <w:i/>
        </w:rPr>
        <w:t>Charte québécoise</w:t>
      </w:r>
      <w:r w:rsidRPr="001901D8">
        <w:rPr>
          <w:rFonts w:cs="Times New Roman"/>
        </w:rPr>
        <w:t xml:space="preserve">; </w:t>
      </w:r>
      <w:r w:rsidRPr="001901D8">
        <w:rPr>
          <w:rFonts w:cs="Times New Roman"/>
          <w:i/>
        </w:rPr>
        <w:t>Mouvement laïque québécois c. Saguenay (Ville)</w:t>
      </w:r>
      <w:r w:rsidRPr="001901D8">
        <w:rPr>
          <w:rFonts w:cs="Times New Roman"/>
        </w:rPr>
        <w:t xml:space="preserve">, 2015 CSC 16, [2015] 2 R.C.S. 3, par. 40). Pour que le Tribunal puisse entendre des litiges mettant en cause des propos comme ceux prononcés en l’espèce, il faut nécessairement que ces propos </w:t>
      </w:r>
      <w:r>
        <w:rPr>
          <w:rFonts w:cs="Times New Roman"/>
        </w:rPr>
        <w:t xml:space="preserve">puissent constituer de la discrimination au sens de l’art. 10 de la </w:t>
      </w:r>
      <w:r w:rsidRPr="00155BF1">
        <w:rPr>
          <w:rFonts w:cs="Times New Roman"/>
          <w:i/>
        </w:rPr>
        <w:t>Charte</w:t>
      </w:r>
      <w:r w:rsidRPr="001901D8">
        <w:rPr>
          <w:rFonts w:cs="Times New Roman"/>
        </w:rPr>
        <w:t xml:space="preserve">. </w:t>
      </w:r>
    </w:p>
    <w:p w14:paraId="5D08AA0D"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La </w:t>
      </w:r>
      <w:r w:rsidRPr="001901D8">
        <w:rPr>
          <w:rFonts w:cs="Times New Roman"/>
          <w:i/>
        </w:rPr>
        <w:t>Charte québécoise</w:t>
      </w:r>
      <w:r w:rsidRPr="001901D8">
        <w:rPr>
          <w:rFonts w:cs="Times New Roman"/>
        </w:rPr>
        <w:t xml:space="preserve"> confère au Tribunal une compétence directe, quoique restreinte, sur certains types de propos, dans la mesure où elle interdit le harcèlement et la publicité discriminatoires (art. 10.1 et 11). Cette compétence directe et restreinte a toutefois été élargie indirectement au cours des dernières décennies à la faveur d’un courant jurisprudentiel jumelant des interprétations généreuses</w:t>
      </w:r>
      <w:r>
        <w:rPr>
          <w:rFonts w:cs="Times New Roman"/>
        </w:rPr>
        <w:t xml:space="preserve"> </w:t>
      </w:r>
      <w:r w:rsidRPr="001901D8">
        <w:rPr>
          <w:rFonts w:cs="Times New Roman"/>
        </w:rPr>
        <w:t xml:space="preserve">des deux principales dispositions en cause, à savoir celle relative au droit à l’égalité dans la reconnaissance et l’exercice des droits et libertés (art. 10 de la </w:t>
      </w:r>
      <w:r w:rsidRPr="001901D8">
        <w:rPr>
          <w:rFonts w:cs="Times New Roman"/>
          <w:i/>
        </w:rPr>
        <w:t>Charte québécoise</w:t>
      </w:r>
      <w:r w:rsidRPr="001901D8">
        <w:rPr>
          <w:rFonts w:cs="Times New Roman"/>
        </w:rPr>
        <w:t>)</w:t>
      </w:r>
      <w:r w:rsidRPr="001901D8">
        <w:rPr>
          <w:rFonts w:cs="Times New Roman"/>
          <w:i/>
        </w:rPr>
        <w:t xml:space="preserve"> </w:t>
      </w:r>
      <w:r w:rsidRPr="001901D8">
        <w:rPr>
          <w:rFonts w:cs="Times New Roman"/>
        </w:rPr>
        <w:t>et</w:t>
      </w:r>
      <w:r>
        <w:rPr>
          <w:rFonts w:cs="Times New Roman"/>
        </w:rPr>
        <w:t xml:space="preserve"> </w:t>
      </w:r>
      <w:r w:rsidRPr="001901D8">
        <w:rPr>
          <w:rFonts w:cs="Times New Roman"/>
        </w:rPr>
        <w:t xml:space="preserve">celle relative au droit de chacun à la sauvegarde de sa dignité, de son honneur et de sa réputation (art. 4). Selon ce courant jurisprudentiel, des propos blessants, liés à un motif énuméré à l’art. 10 de la </w:t>
      </w:r>
      <w:r w:rsidRPr="001901D8">
        <w:rPr>
          <w:rFonts w:cs="Times New Roman"/>
          <w:i/>
        </w:rPr>
        <w:t>Charte québécoise</w:t>
      </w:r>
      <w:r w:rsidRPr="001901D8">
        <w:rPr>
          <w:rFonts w:cs="Times New Roman"/>
        </w:rPr>
        <w:t>, constituent de la discrimination et relèveraient de la compétence du Tribunal, même si le préjudice subi est relatif</w:t>
      </w:r>
      <w:r>
        <w:rPr>
          <w:rFonts w:cs="Times New Roman"/>
        </w:rPr>
        <w:t xml:space="preserve"> </w:t>
      </w:r>
      <w:r w:rsidRPr="001901D8">
        <w:rPr>
          <w:rFonts w:cs="Times New Roman"/>
        </w:rPr>
        <w:t xml:space="preserve">et que les effets sociaux de la discrimination, comme la perpétuation de préjugés ou de désavantages, sont absents (voir, p. ex., </w:t>
      </w:r>
      <w:r w:rsidRPr="001901D8">
        <w:rPr>
          <w:rFonts w:cs="Times New Roman"/>
          <w:i/>
        </w:rPr>
        <w:t>Commission des droits de la personne et des droits de la jeunesse c. Filion</w:t>
      </w:r>
      <w:r w:rsidRPr="001901D8">
        <w:rPr>
          <w:rFonts w:cs="Times New Roman"/>
        </w:rPr>
        <w:t>, 2004 CanLII 468 (T</w:t>
      </w:r>
      <w:r>
        <w:rPr>
          <w:rFonts w:cs="Times New Roman"/>
        </w:rPr>
        <w:t>.</w:t>
      </w:r>
      <w:r w:rsidRPr="001901D8">
        <w:rPr>
          <w:rFonts w:cs="Times New Roman"/>
        </w:rPr>
        <w:t>D</w:t>
      </w:r>
      <w:r>
        <w:rPr>
          <w:rFonts w:cs="Times New Roman"/>
        </w:rPr>
        <w:t>.</w:t>
      </w:r>
      <w:r w:rsidRPr="001901D8">
        <w:rPr>
          <w:rFonts w:cs="Times New Roman"/>
        </w:rPr>
        <w:t>P</w:t>
      </w:r>
      <w:r>
        <w:rPr>
          <w:rFonts w:cs="Times New Roman"/>
        </w:rPr>
        <w:t>. Qc</w:t>
      </w:r>
      <w:r w:rsidRPr="001901D8">
        <w:rPr>
          <w:rFonts w:cs="Times New Roman"/>
        </w:rPr>
        <w:t xml:space="preserve">); </w:t>
      </w:r>
      <w:r w:rsidRPr="001901D8">
        <w:rPr>
          <w:rFonts w:cs="Times New Roman"/>
          <w:i/>
          <w:szCs w:val="24"/>
        </w:rPr>
        <w:t>Tchanderli-Braham c. Bériault</w:t>
      </w:r>
      <w:r w:rsidRPr="001901D8">
        <w:rPr>
          <w:rFonts w:cs="Times New Roman"/>
          <w:szCs w:val="24"/>
        </w:rPr>
        <w:t xml:space="preserve">, 2018 QCTDP 4; </w:t>
      </w:r>
      <w:r w:rsidRPr="001901D8">
        <w:rPr>
          <w:rFonts w:cs="Times New Roman"/>
          <w:i/>
          <w:szCs w:val="24"/>
        </w:rPr>
        <w:t>Jied c. Éthier</w:t>
      </w:r>
      <w:r w:rsidRPr="001901D8">
        <w:rPr>
          <w:rFonts w:cs="Times New Roman"/>
          <w:szCs w:val="24"/>
        </w:rPr>
        <w:t xml:space="preserve">, 2019 QCTDP 26; </w:t>
      </w:r>
      <w:r w:rsidRPr="001901D8">
        <w:rPr>
          <w:rFonts w:cs="Times New Roman"/>
          <w:i/>
          <w:szCs w:val="24"/>
        </w:rPr>
        <w:t>Mirouh c. Gaudreault</w:t>
      </w:r>
      <w:r w:rsidRPr="001901D8">
        <w:rPr>
          <w:rFonts w:cs="Times New Roman"/>
          <w:szCs w:val="24"/>
        </w:rPr>
        <w:t xml:space="preserve">, 2021 QCTDP 10; </w:t>
      </w:r>
      <w:r w:rsidRPr="001901D8">
        <w:rPr>
          <w:rFonts w:cs="Times New Roman"/>
          <w:i/>
          <w:szCs w:val="24"/>
        </w:rPr>
        <w:t>Ayotte c. Tremblay</w:t>
      </w:r>
      <w:r w:rsidRPr="001901D8">
        <w:rPr>
          <w:rFonts w:cs="Times New Roman"/>
          <w:szCs w:val="24"/>
        </w:rPr>
        <w:t>, 2021 QCTDP 13).</w:t>
      </w:r>
    </w:p>
    <w:p w14:paraId="30709335" w14:textId="77777777" w:rsidR="00116CBE" w:rsidRPr="001901D8" w:rsidRDefault="00116CBE" w:rsidP="00116CBE">
      <w:pPr>
        <w:pStyle w:val="ParaNoNdepar-AltN"/>
        <w:tabs>
          <w:tab w:val="clear" w:pos="1152"/>
          <w:tab w:val="left" w:pos="1166"/>
        </w:tabs>
        <w:rPr>
          <w:rFonts w:cs="Times New Roman"/>
        </w:rPr>
      </w:pPr>
      <w:r>
        <w:rPr>
          <w:rFonts w:cs="Times New Roman"/>
        </w:rPr>
        <w:t xml:space="preserve">En plus de se fonder uniquement sur le </w:t>
      </w:r>
      <w:r w:rsidRPr="001901D8">
        <w:rPr>
          <w:rFonts w:cs="Times New Roman"/>
        </w:rPr>
        <w:t>contenu des propos et non</w:t>
      </w:r>
      <w:r>
        <w:rPr>
          <w:rFonts w:cs="Times New Roman"/>
        </w:rPr>
        <w:t xml:space="preserve"> sur</w:t>
      </w:r>
      <w:r w:rsidRPr="001901D8">
        <w:rPr>
          <w:rFonts w:cs="Times New Roman"/>
        </w:rPr>
        <w:t xml:space="preserve"> leurs effets discriminatoires, ce courant jurisprudentiel, dans lequel s’inscrit le jugement du Tribunal,</w:t>
      </w:r>
      <w:r>
        <w:rPr>
          <w:rFonts w:cs="Times New Roman"/>
        </w:rPr>
        <w:t xml:space="preserve"> met de côté la </w:t>
      </w:r>
      <w:r w:rsidRPr="001901D8">
        <w:rPr>
          <w:rFonts w:cs="Times New Roman"/>
        </w:rPr>
        <w:t xml:space="preserve">juste pondération entre la liberté d’expression et la protection </w:t>
      </w:r>
      <w:r>
        <w:rPr>
          <w:rFonts w:cs="Times New Roman"/>
        </w:rPr>
        <w:t>du droit à la sauvegarde de la dignité</w:t>
      </w:r>
      <w:r w:rsidRPr="001901D8">
        <w:rPr>
          <w:rFonts w:cs="Times New Roman"/>
        </w:rPr>
        <w:t xml:space="preserve">. Ce courant ouvre ainsi une deuxième voie de recours en discrimination, parallèle au recours en diffamation, pour forcer une personne à répondre du préjudice causé par ses propos selon un fardeau de preuve nettement moins onéreux pour le plaignant, qui n’est d’ailleurs pas tenu d’intenter lui-même son recours si la Commission accepte d’agir en sa faveur. </w:t>
      </w:r>
    </w:p>
    <w:p w14:paraId="69CC33F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notre avis, ce courant jurisprudentiel soulève de sérieuses préoccupations au regard de nos précédents en matière de liberté d’expression. Le recours en </w:t>
      </w:r>
      <w:r w:rsidRPr="001901D8">
        <w:rPr>
          <w:rFonts w:cs="Times New Roman"/>
          <w:i/>
        </w:rPr>
        <w:t>discrimination</w:t>
      </w:r>
      <w:r w:rsidRPr="001901D8">
        <w:rPr>
          <w:rFonts w:cs="Times New Roman"/>
        </w:rPr>
        <w:t xml:space="preserve"> n’est pas, et ne doit pas devenir, un recours en </w:t>
      </w:r>
      <w:r w:rsidRPr="001901D8">
        <w:rPr>
          <w:rFonts w:cs="Times New Roman"/>
          <w:i/>
        </w:rPr>
        <w:t>diffamation</w:t>
      </w:r>
      <w:r w:rsidRPr="001901D8">
        <w:rPr>
          <w:rFonts w:cs="Times New Roman"/>
        </w:rPr>
        <w:t xml:space="preserve">. L’un et l’autre obéissent à des considérations différentes et poursuivent des objectifs différents. Le recours en discrimination doit être limité à des propos dont les effets sont réellement discriminatoires. Notre analyse qui suit s’inscrit dans cet esprit afin de préciser le cadre juridique applicable à un recours en discrimination fondé sur les art. 4 et 10 de la </w:t>
      </w:r>
      <w:r w:rsidRPr="001901D8">
        <w:rPr>
          <w:rFonts w:cs="Times New Roman"/>
          <w:i/>
        </w:rPr>
        <w:t xml:space="preserve">Charte québécoise </w:t>
      </w:r>
      <w:r w:rsidRPr="001901D8">
        <w:rPr>
          <w:rFonts w:cs="Times New Roman"/>
        </w:rPr>
        <w:t xml:space="preserve">dans un contexte où des formes d’expression verbale sont en cause, en nous inspirant, avec les adaptations qui s’imposent, des enseignements donnés dans l’arrêt </w:t>
      </w:r>
      <w:r w:rsidRPr="001901D8">
        <w:rPr>
          <w:rFonts w:cs="Times New Roman"/>
          <w:i/>
        </w:rPr>
        <w:t>Whatcott</w:t>
      </w:r>
      <w:r w:rsidRPr="001901D8">
        <w:rPr>
          <w:rFonts w:cs="Times New Roman"/>
        </w:rPr>
        <w:t xml:space="preserve">. </w:t>
      </w:r>
    </w:p>
    <w:p w14:paraId="59F27128" w14:textId="77777777" w:rsidR="00116CBE" w:rsidRPr="001901D8" w:rsidRDefault="00116CBE" w:rsidP="00116CBE">
      <w:pPr>
        <w:pStyle w:val="Title1LevelTitre1Niveau-AltL"/>
        <w:numPr>
          <w:ilvl w:val="0"/>
          <w:numId w:val="8"/>
        </w:numPr>
        <w:rPr>
          <w:rFonts w:cs="Times New Roman"/>
          <w:lang w:val="fr-CA"/>
        </w:rPr>
      </w:pPr>
      <w:bookmarkStart w:id="59" w:name="_Toc71277683"/>
      <w:bookmarkStart w:id="60" w:name="_Toc74300987"/>
      <w:bookmarkStart w:id="61" w:name="_Toc77683254"/>
      <w:bookmarkStart w:id="62" w:name="_Toc78294047"/>
      <w:bookmarkStart w:id="63" w:name="_Toc83114021"/>
      <w:r w:rsidRPr="001901D8">
        <w:rPr>
          <w:rFonts w:cs="Times New Roman"/>
          <w:lang w:val="fr-CA"/>
        </w:rPr>
        <w:t>Analyse</w:t>
      </w:r>
      <w:bookmarkEnd w:id="59"/>
      <w:bookmarkEnd w:id="60"/>
      <w:bookmarkEnd w:id="61"/>
      <w:bookmarkEnd w:id="62"/>
      <w:bookmarkEnd w:id="63"/>
    </w:p>
    <w:p w14:paraId="44EBF0FC" w14:textId="77777777" w:rsidR="00116CBE" w:rsidRPr="001901D8" w:rsidRDefault="00116CBE" w:rsidP="00116CBE">
      <w:pPr>
        <w:pStyle w:val="Title2LevelTitre2Niveau"/>
        <w:numPr>
          <w:ilvl w:val="1"/>
          <w:numId w:val="8"/>
        </w:numPr>
        <w:rPr>
          <w:rFonts w:cs="Times New Roman"/>
        </w:rPr>
      </w:pPr>
      <w:r w:rsidRPr="001901D8">
        <w:rPr>
          <w:rFonts w:cs="Times New Roman"/>
        </w:rPr>
        <w:t>Remarques liminaires</w:t>
      </w:r>
    </w:p>
    <w:p w14:paraId="2A88CB2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Pour l’essentiel, M. Ward soutient que le Tribunal et les juges majoritaires de la Cour d’appel ont commis une erreur dans l’identification et l’application du cadre juridique propre à l’art. 10 de la </w:t>
      </w:r>
      <w:r w:rsidRPr="001901D8">
        <w:rPr>
          <w:rFonts w:cs="Times New Roman"/>
          <w:i/>
        </w:rPr>
        <w:t>Charte québécoise</w:t>
      </w:r>
      <w:r w:rsidRPr="001901D8">
        <w:rPr>
          <w:rFonts w:cs="Times New Roman"/>
        </w:rPr>
        <w:t xml:space="preserve">. Selon lui, l’examen des éléments constitutifs de la discrimination ne peut s’accomplir en vase clos, sans tenir compte de la liberté d’expression, qui limite le droit à la sauvegarde de la dignité. Il soutient que le droit de M. Gabriel à l’égalité n’a pas été brimé. De son côté, la Commission soutient que les propos « humoristiques » de M. Ward ont porté atteinte au droit de M. Gabriel à l’égalité dans la reconnaissance du droit à la sauvegarde de sa dignité et que cette atteinte n’est pas justifiée par la liberté d’expression. Les juridictions inférieures ont traité, de façon plus ou moins interchangeable, des droits à la sauvegarde de la dignité, de l’honneur et de la réputation. Devant notre Cour, la Commission s’appuie principalement sur la notion de dignité. Nous ferons de même. </w:t>
      </w:r>
    </w:p>
    <w:p w14:paraId="5CE5E48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Nous traiterons d’abord des éléments constitutifs de la discrimination et de la limite imposée par l’art. 9.1 de la </w:t>
      </w:r>
      <w:r w:rsidRPr="001901D8">
        <w:rPr>
          <w:rFonts w:cs="Times New Roman"/>
          <w:i/>
        </w:rPr>
        <w:t>Charte québécoise</w:t>
      </w:r>
      <w:r w:rsidRPr="001901D8">
        <w:rPr>
          <w:rFonts w:cs="Times New Roman"/>
        </w:rPr>
        <w:t xml:space="preserve"> au droit revendiqué. Nous examinerons ensuite le conflit entre le droit à la sauvegarde de la dignité et la liberté d’expression, et nous indiquerons comment un tel conflit doit être résolu dans le cadre de l’analyse du troisième élément constitutif du recours en discrimination fondé sur des propos. Enfin, nous appliquerons le cadre juridique de l’art. 10 aux faits de l’espèce. </w:t>
      </w:r>
    </w:p>
    <w:p w14:paraId="7A7C7DE2" w14:textId="77777777" w:rsidR="00116CBE" w:rsidRPr="001901D8" w:rsidRDefault="00116CBE" w:rsidP="00116CBE">
      <w:pPr>
        <w:pStyle w:val="Title2LevelTitre2Niveau"/>
        <w:numPr>
          <w:ilvl w:val="1"/>
          <w:numId w:val="8"/>
        </w:numPr>
        <w:rPr>
          <w:rFonts w:cs="Times New Roman"/>
          <w:lang w:val="fr-CA"/>
        </w:rPr>
      </w:pPr>
      <w:bookmarkStart w:id="64" w:name="_Toc71277684"/>
      <w:bookmarkStart w:id="65" w:name="_Toc74300988"/>
      <w:bookmarkStart w:id="66" w:name="_Toc77683255"/>
      <w:bookmarkStart w:id="67" w:name="_Toc78294048"/>
      <w:bookmarkStart w:id="68" w:name="_Toc83114022"/>
      <w:r w:rsidRPr="001901D8">
        <w:rPr>
          <w:rFonts w:cs="Times New Roman"/>
          <w:lang w:val="fr-CA"/>
        </w:rPr>
        <w:t>Les éléments constitutifs de la discrimination au regard</w:t>
      </w:r>
      <w:r>
        <w:rPr>
          <w:rFonts w:cs="Times New Roman"/>
          <w:lang w:val="fr-CA"/>
        </w:rPr>
        <w:t xml:space="preserve"> </w:t>
      </w:r>
      <w:r w:rsidRPr="001901D8">
        <w:rPr>
          <w:rFonts w:cs="Times New Roman"/>
          <w:lang w:val="fr-CA"/>
        </w:rPr>
        <w:t>de la Charte québécoise</w:t>
      </w:r>
      <w:bookmarkEnd w:id="64"/>
      <w:bookmarkEnd w:id="65"/>
      <w:bookmarkEnd w:id="66"/>
      <w:bookmarkEnd w:id="67"/>
      <w:bookmarkEnd w:id="68"/>
    </w:p>
    <w:p w14:paraId="14F6307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Les objectifs de la </w:t>
      </w:r>
      <w:r w:rsidRPr="001901D8">
        <w:rPr>
          <w:rFonts w:cs="Times New Roman"/>
          <w:i/>
        </w:rPr>
        <w:t>Charte québécoise</w:t>
      </w:r>
      <w:r>
        <w:rPr>
          <w:rFonts w:cs="Times New Roman"/>
        </w:rPr>
        <w:t xml:space="preserve"> </w:t>
      </w:r>
      <w:r w:rsidRPr="001901D8">
        <w:rPr>
          <w:rFonts w:cs="Times New Roman"/>
        </w:rPr>
        <w:t>sont énoncés dans son préambule</w:t>
      </w:r>
      <w:r>
        <w:rPr>
          <w:rFonts w:cs="Times New Roman"/>
        </w:rPr>
        <w:t xml:space="preserve"> </w:t>
      </w:r>
      <w:r w:rsidRPr="001901D8">
        <w:rPr>
          <w:rFonts w:cs="Times New Roman"/>
        </w:rPr>
        <w:t xml:space="preserve">tel qu’il </w:t>
      </w:r>
      <w:r>
        <w:rPr>
          <w:rFonts w:cs="Times New Roman"/>
        </w:rPr>
        <w:t>existait à l’époque</w:t>
      </w:r>
      <w:r w:rsidRPr="001901D8">
        <w:rPr>
          <w:rFonts w:cs="Times New Roman"/>
        </w:rPr>
        <w:t> :</w:t>
      </w:r>
    </w:p>
    <w:p w14:paraId="43AD949A" w14:textId="77777777" w:rsidR="00116CBE" w:rsidRPr="001901D8" w:rsidRDefault="00116CBE" w:rsidP="00116CBE">
      <w:pPr>
        <w:pStyle w:val="Citation-AltC"/>
      </w:pPr>
      <w:r w:rsidRPr="001901D8">
        <w:t>CONSIDÉRANT que tout être humain possède des droits et libertés intrinsèques, destinés à assurer sa protection et son épanouissement;</w:t>
      </w:r>
    </w:p>
    <w:p w14:paraId="752AB634" w14:textId="77777777" w:rsidR="00116CBE" w:rsidRPr="001901D8" w:rsidRDefault="00116CBE" w:rsidP="00116CBE">
      <w:pPr>
        <w:pStyle w:val="Citation-AltC"/>
      </w:pPr>
    </w:p>
    <w:p w14:paraId="029CD611" w14:textId="77777777" w:rsidR="00116CBE" w:rsidRPr="001901D8" w:rsidRDefault="00116CBE" w:rsidP="00116CBE">
      <w:pPr>
        <w:pStyle w:val="Citation-AltC"/>
      </w:pPr>
      <w:r w:rsidRPr="001901D8">
        <w:t>Considérant que tous les êtres humains sont égaux en valeur et en dignité et ont droit à une égale protection de la loi;</w:t>
      </w:r>
    </w:p>
    <w:p w14:paraId="55CCF050" w14:textId="77777777" w:rsidR="00116CBE" w:rsidRPr="001901D8" w:rsidRDefault="00116CBE" w:rsidP="00116CBE">
      <w:pPr>
        <w:pStyle w:val="Citation-AltC"/>
      </w:pPr>
    </w:p>
    <w:p w14:paraId="322C185D" w14:textId="77777777" w:rsidR="00116CBE" w:rsidRPr="001901D8" w:rsidRDefault="00116CBE" w:rsidP="00116CBE">
      <w:pPr>
        <w:pStyle w:val="Citation-AltC"/>
      </w:pPr>
      <w:r w:rsidRPr="001901D8">
        <w:t>Considérant que le respect de la dignité de l’être humain, l’égalité entre les femmes et les hommes et la reconnaissance des droits et libertés dont ils sont titulaires constituent le fondement de la justice, de la liberté et de la paix;</w:t>
      </w:r>
    </w:p>
    <w:p w14:paraId="60AF7675" w14:textId="77777777" w:rsidR="00116CBE" w:rsidRPr="001901D8" w:rsidRDefault="00116CBE" w:rsidP="00116CBE">
      <w:pPr>
        <w:pStyle w:val="Citation-AltC"/>
        <w:ind w:left="0"/>
      </w:pPr>
    </w:p>
    <w:p w14:paraId="46605C11" w14:textId="77777777" w:rsidR="00116CBE" w:rsidRPr="001901D8" w:rsidRDefault="00116CBE" w:rsidP="00116CBE">
      <w:pPr>
        <w:pStyle w:val="Citation-AltC"/>
      </w:pPr>
      <w:r w:rsidRPr="001901D8">
        <w:t>Considérant que les droits et libertés de la personne humaine sont inséparables des droits et libertés d’autrui et du bien-être général;</w:t>
      </w:r>
    </w:p>
    <w:p w14:paraId="79B8D1C9" w14:textId="77777777" w:rsidR="00116CBE" w:rsidRPr="001901D8" w:rsidRDefault="00116CBE" w:rsidP="00116CBE">
      <w:pPr>
        <w:pStyle w:val="Citation-AltC"/>
      </w:pPr>
    </w:p>
    <w:p w14:paraId="42551583" w14:textId="77777777" w:rsidR="00116CBE" w:rsidRPr="001901D8" w:rsidRDefault="00116CBE" w:rsidP="00116CBE">
      <w:pPr>
        <w:pStyle w:val="Citation-AltC"/>
      </w:pPr>
      <w:r w:rsidRPr="001901D8">
        <w:t>Considérant qu’il y a lieu d’affirmer solennellement dans une Charte les libertés et droits fondamentaux de la personne afin que ceux-ci soient garantis par la volonté collective et mieux protégés contre toute violation . . .</w:t>
      </w:r>
    </w:p>
    <w:p w14:paraId="5527286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Reconnaissant que tous les êtres humains sont égaux en valeur et en dignité, la </w:t>
      </w:r>
      <w:r w:rsidRPr="001901D8">
        <w:rPr>
          <w:rFonts w:cs="Times New Roman"/>
          <w:i/>
        </w:rPr>
        <w:t>Charte québécoise</w:t>
      </w:r>
      <w:r w:rsidRPr="001901D8">
        <w:rPr>
          <w:rFonts w:cs="Times New Roman"/>
        </w:rPr>
        <w:t xml:space="preserve"> entend supprimer la discrimination en assurant à tous une égale protection des libertés et droits fondamentaux dont ils sont titulaires (</w:t>
      </w:r>
      <w:r w:rsidRPr="001901D8">
        <w:rPr>
          <w:rFonts w:cs="Times New Roman"/>
          <w:i/>
        </w:rPr>
        <w:t>Québec (Commission des droits de la personne et des droits de la jeunesse) c. Montréal (Ville)</w:t>
      </w:r>
      <w:r w:rsidRPr="001901D8">
        <w:rPr>
          <w:rFonts w:cs="Times New Roman"/>
        </w:rPr>
        <w:t>, 2000 CSC 27, [2000] 1 R.C.S. 665 (« </w:t>
      </w:r>
      <w:r w:rsidRPr="001901D8">
        <w:rPr>
          <w:rFonts w:cs="Times New Roman"/>
          <w:i/>
        </w:rPr>
        <w:t>CDPDJ c. Montréal</w:t>
      </w:r>
      <w:r w:rsidRPr="001901D8">
        <w:rPr>
          <w:rFonts w:cs="Times New Roman"/>
        </w:rPr>
        <w:t xml:space="preserve"> »), par. 34; </w:t>
      </w:r>
      <w:r w:rsidRPr="001901D8">
        <w:rPr>
          <w:rFonts w:cs="Times New Roman"/>
          <w:i/>
        </w:rPr>
        <w:t>Québec (Commission des droits de la personne et des droits de la jeunesse) c. Maksteel Québec inc.</w:t>
      </w:r>
      <w:r w:rsidRPr="001901D8">
        <w:rPr>
          <w:rFonts w:cs="Times New Roman"/>
        </w:rPr>
        <w:t>, 2003 CSC 68, [2003] 3 R.C.S. 228, par. 35). </w:t>
      </w:r>
    </w:p>
    <w:p w14:paraId="5A4664F0" w14:textId="331CE11A"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la différence de la </w:t>
      </w:r>
      <w:r w:rsidRPr="001901D8">
        <w:rPr>
          <w:rFonts w:cs="Times New Roman"/>
          <w:i/>
        </w:rPr>
        <w:t xml:space="preserve">Charte canadienne des droits et libertés </w:t>
      </w:r>
      <w:r w:rsidRPr="001901D8">
        <w:rPr>
          <w:rFonts w:cs="Times New Roman"/>
        </w:rPr>
        <w:t>(« </w:t>
      </w:r>
      <w:r w:rsidRPr="001901D8">
        <w:rPr>
          <w:rFonts w:cs="Times New Roman"/>
          <w:i/>
        </w:rPr>
        <w:t>Charte</w:t>
      </w:r>
      <w:r w:rsidRPr="001901D8">
        <w:rPr>
          <w:rFonts w:cs="Times New Roman"/>
        </w:rPr>
        <w:t xml:space="preserve"> </w:t>
      </w:r>
      <w:r w:rsidRPr="001901D8">
        <w:rPr>
          <w:rFonts w:cs="Times New Roman"/>
          <w:i/>
        </w:rPr>
        <w:t>canadienne</w:t>
      </w:r>
      <w:r w:rsidRPr="001901D8">
        <w:rPr>
          <w:rFonts w:cs="Times New Roman"/>
        </w:rPr>
        <w:t> »),</w:t>
      </w:r>
      <w:r w:rsidRPr="001901D8">
        <w:rPr>
          <w:rFonts w:cs="Times New Roman"/>
          <w:i/>
        </w:rPr>
        <w:t xml:space="preserve"> </w:t>
      </w:r>
      <w:r w:rsidRPr="001901D8">
        <w:rPr>
          <w:rFonts w:cs="Times New Roman"/>
        </w:rPr>
        <w:t xml:space="preserve">la </w:t>
      </w:r>
      <w:r w:rsidRPr="001901D8">
        <w:rPr>
          <w:rFonts w:cs="Times New Roman"/>
          <w:i/>
        </w:rPr>
        <w:t xml:space="preserve">Charte québécoise </w:t>
      </w:r>
      <w:r w:rsidRPr="001901D8">
        <w:rPr>
          <w:rFonts w:cs="Times New Roman"/>
        </w:rPr>
        <w:t xml:space="preserve">ne protège pas l’égalité en soi. En effet, le droit à l’égalité, énoncé à l’art. 10, n’est protégé que dans la reconnaissance et l’exercice des autres droits et libertés garantis par la </w:t>
      </w:r>
      <w:r w:rsidRPr="001901D8">
        <w:rPr>
          <w:rFonts w:cs="Times New Roman"/>
          <w:i/>
        </w:rPr>
        <w:t>Charte québécoise</w:t>
      </w:r>
      <w:r w:rsidRPr="001901D8">
        <w:rPr>
          <w:rFonts w:cs="Times New Roman"/>
        </w:rPr>
        <w:t xml:space="preserve"> (</w:t>
      </w:r>
      <w:r w:rsidRPr="001901D8">
        <w:rPr>
          <w:rFonts w:cs="Times New Roman"/>
          <w:i/>
        </w:rPr>
        <w:t>Bombardier</w:t>
      </w:r>
      <w:r w:rsidRPr="001901D8">
        <w:rPr>
          <w:rFonts w:cs="Times New Roman"/>
        </w:rPr>
        <w:t xml:space="preserve">, par. 53). En ce sens, l’art. 10 ne consacre pas un droit indépendant à l’égalité, mais renforce plutôt la protection de ces autres droits et libertés (P. Carignan, « L’égalité dans le droit : une méthode d’approche appliquée à l’article 10 de la Charte des droits et libertés de la personne » (1987), 21 </w:t>
      </w:r>
      <w:r w:rsidRPr="001901D8">
        <w:rPr>
          <w:rFonts w:cs="Times New Roman"/>
          <w:i/>
        </w:rPr>
        <w:t>R.J.T.</w:t>
      </w:r>
      <w:r w:rsidRPr="001901D8">
        <w:rPr>
          <w:rFonts w:cs="Times New Roman"/>
        </w:rPr>
        <w:t xml:space="preserve"> 491, p. 526-527). En contrepartie, la </w:t>
      </w:r>
      <w:r w:rsidRPr="001901D8">
        <w:rPr>
          <w:rFonts w:cs="Times New Roman"/>
          <w:i/>
        </w:rPr>
        <w:t xml:space="preserve">Charte québécoise </w:t>
      </w:r>
      <w:r w:rsidRPr="001901D8">
        <w:rPr>
          <w:rFonts w:cs="Times New Roman"/>
        </w:rPr>
        <w:t xml:space="preserve">possède un champ d’application beaucoup plus vaste que celui de la </w:t>
      </w:r>
      <w:r w:rsidRPr="001901D8">
        <w:rPr>
          <w:rFonts w:cs="Times New Roman"/>
          <w:i/>
        </w:rPr>
        <w:t>Charte canadienne</w:t>
      </w:r>
      <w:r w:rsidRPr="001901D8">
        <w:rPr>
          <w:rFonts w:cs="Times New Roman"/>
        </w:rPr>
        <w:t xml:space="preserve">, puisqu’elle lie non seulement l’État, mais aussi toutes les personnes physiques et morales situées sur le territoire du Québec (art. 54 et 55 de la </w:t>
      </w:r>
      <w:r w:rsidRPr="001901D8">
        <w:rPr>
          <w:rFonts w:cs="Times New Roman"/>
          <w:i/>
        </w:rPr>
        <w:t>Charte québécoise</w:t>
      </w:r>
      <w:r w:rsidRPr="001901D8">
        <w:rPr>
          <w:rFonts w:cs="Times New Roman"/>
        </w:rPr>
        <w:t xml:space="preserve">; </w:t>
      </w:r>
      <w:r w:rsidRPr="001901D8">
        <w:rPr>
          <w:rFonts w:cs="Times New Roman"/>
          <w:lang w:bidi="ar-DZ"/>
        </w:rPr>
        <w:t xml:space="preserve">D. Proulx, « Droit à l’égalité », dans </w:t>
      </w:r>
      <w:r w:rsidRPr="001901D8">
        <w:rPr>
          <w:rFonts w:cs="Times New Roman"/>
          <w:i/>
          <w:lang w:bidi="ar-DZ"/>
        </w:rPr>
        <w:t>JurisClasseur Québec — Collection droit public — Droit constitutionnel</w:t>
      </w:r>
      <w:r w:rsidRPr="001901D8">
        <w:rPr>
          <w:rFonts w:cs="Times New Roman"/>
          <w:lang w:bidi="ar-DZ"/>
        </w:rPr>
        <w:t xml:space="preserve"> (feuilles mobiles), vol. 2, par S. Beaulac et J.</w:t>
      </w:r>
      <w:r w:rsidRPr="001901D8">
        <w:rPr>
          <w:rFonts w:cs="Times New Roman"/>
          <w:lang w:bidi="ar-DZ"/>
        </w:rPr>
        <w:noBreakHyphen/>
        <w:t>F. Gaudreault</w:t>
      </w:r>
      <w:r w:rsidRPr="001901D8">
        <w:rPr>
          <w:rFonts w:cs="Times New Roman"/>
          <w:lang w:bidi="ar-DZ"/>
        </w:rPr>
        <w:noBreakHyphen/>
        <w:t>Des</w:t>
      </w:r>
      <w:r w:rsidR="00607B5B">
        <w:rPr>
          <w:rFonts w:cs="Times New Roman"/>
          <w:lang w:bidi="ar-DZ"/>
        </w:rPr>
        <w:t>B</w:t>
      </w:r>
      <w:r w:rsidRPr="001901D8">
        <w:rPr>
          <w:rFonts w:cs="Times New Roman"/>
          <w:lang w:bidi="ar-DZ"/>
        </w:rPr>
        <w:t>iens, dir., fasc. 9, n</w:t>
      </w:r>
      <w:r w:rsidRPr="0041607B">
        <w:rPr>
          <w:rFonts w:cs="Times New Roman"/>
          <w:vertAlign w:val="superscript"/>
          <w:lang w:bidi="ar-DZ"/>
        </w:rPr>
        <w:t>o</w:t>
      </w:r>
      <w:r w:rsidRPr="001901D8">
        <w:rPr>
          <w:rFonts w:cs="Times New Roman"/>
          <w:lang w:bidi="ar-DZ"/>
        </w:rPr>
        <w:t> 85-86</w:t>
      </w:r>
      <w:r w:rsidRPr="001901D8">
        <w:rPr>
          <w:rFonts w:cs="Times New Roman"/>
        </w:rPr>
        <w:t xml:space="preserve">). </w:t>
      </w:r>
    </w:p>
    <w:p w14:paraId="599B43BF"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Le demandeur qui sollicite la protection de l’art. 10 doit satisfaire à un fardeau de preuve qui comprend trois éléments. Premièrement, il doit prouver qu’il a fait l’objet d’une « distinction, exclusion ou préférence » (</w:t>
      </w:r>
      <w:r w:rsidRPr="001901D8">
        <w:rPr>
          <w:rFonts w:cs="Times New Roman"/>
          <w:i/>
        </w:rPr>
        <w:t>Charte québécoise</w:t>
      </w:r>
      <w:r w:rsidRPr="001901D8">
        <w:rPr>
          <w:rFonts w:cs="Times New Roman"/>
        </w:rPr>
        <w:t>, art. 10), c’est-à-dire d’une « décision, mesure ou conduite [qui] le “touche [. . .] d’une manière différente par rapport à d’autres personnes auxquelles elle peut s’appliquer” » (</w:t>
      </w:r>
      <w:r w:rsidRPr="001901D8">
        <w:rPr>
          <w:rFonts w:cs="Times New Roman"/>
          <w:i/>
        </w:rPr>
        <w:t>Bombardier</w:t>
      </w:r>
      <w:r w:rsidRPr="001901D8">
        <w:rPr>
          <w:rFonts w:cs="Times New Roman"/>
        </w:rPr>
        <w:t xml:space="preserve">, par. 42, citant </w:t>
      </w:r>
      <w:r w:rsidRPr="001901D8">
        <w:rPr>
          <w:rFonts w:cs="Times New Roman"/>
          <w:i/>
        </w:rPr>
        <w:t>Commission ontarienne des droits de la personne c. Simpsons</w:t>
      </w:r>
      <w:r w:rsidRPr="001901D8">
        <w:rPr>
          <w:rFonts w:cs="Times New Roman"/>
          <w:i/>
        </w:rPr>
        <w:noBreakHyphen/>
        <w:t>Sears Ltd.</w:t>
      </w:r>
      <w:r w:rsidRPr="001901D8">
        <w:rPr>
          <w:rFonts w:cs="Times New Roman"/>
        </w:rPr>
        <w:t>, [1985] 2 R.C.S. 536, p. 551). Deuxièmement, il doit établir qu’une des caractéristiques expressément protégées à l’art. 10 a été un facteur dans la différence de traitement dont il se plaint (</w:t>
      </w:r>
      <w:r w:rsidRPr="001901D8">
        <w:rPr>
          <w:rFonts w:cs="Times New Roman"/>
          <w:i/>
        </w:rPr>
        <w:t>Bombardier</w:t>
      </w:r>
      <w:r w:rsidRPr="001901D8">
        <w:rPr>
          <w:rFonts w:cs="Times New Roman"/>
        </w:rPr>
        <w:t xml:space="preserve">, par. 52 et 56). Troisièmement, il doit démontrer que cette différence de traitement compromet l’exercice ou la reconnaissance en pleine égalité d’une liberté ou d’un droit garanti par la </w:t>
      </w:r>
      <w:r w:rsidRPr="001901D8">
        <w:rPr>
          <w:rFonts w:cs="Times New Roman"/>
          <w:i/>
        </w:rPr>
        <w:t>Charte québécoise</w:t>
      </w:r>
      <w:r w:rsidRPr="001901D8">
        <w:rPr>
          <w:rFonts w:cs="Times New Roman"/>
        </w:rPr>
        <w:t xml:space="preserve"> (</w:t>
      </w:r>
      <w:r w:rsidRPr="001901D8">
        <w:rPr>
          <w:rFonts w:cs="Times New Roman"/>
          <w:i/>
        </w:rPr>
        <w:t>Bombardier</w:t>
      </w:r>
      <w:r w:rsidRPr="001901D8">
        <w:rPr>
          <w:rFonts w:cs="Times New Roman"/>
        </w:rPr>
        <w:t xml:space="preserve">, par. 53). Lorsque ces trois éléments sont établis, le fardeau de justifier la discrimination revient au défendeur. </w:t>
      </w:r>
    </w:p>
    <w:p w14:paraId="3482DA31"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Aucun droit n’est cependant absolu. L’article 9.1 de la </w:t>
      </w:r>
      <w:r w:rsidRPr="001901D8">
        <w:rPr>
          <w:rFonts w:cs="Times New Roman"/>
          <w:i/>
        </w:rPr>
        <w:t>Charte</w:t>
      </w:r>
      <w:r w:rsidRPr="001901D8">
        <w:rPr>
          <w:rFonts w:cs="Times New Roman"/>
        </w:rPr>
        <w:t xml:space="preserve"> délimite la portée du droit fondamental sur lequel s’appuie la violation alléguée de l’art. 10 (</w:t>
      </w:r>
      <w:r w:rsidRPr="001901D8">
        <w:rPr>
          <w:rFonts w:cs="Times New Roman"/>
          <w:i/>
        </w:rPr>
        <w:t>Devine c. Québec (Procureur général)</w:t>
      </w:r>
      <w:r w:rsidRPr="001901D8">
        <w:rPr>
          <w:rFonts w:cs="Times New Roman"/>
        </w:rPr>
        <w:t xml:space="preserve">, [1988] 2 R.C.S. 790, p. 818). </w:t>
      </w:r>
      <w:r>
        <w:rPr>
          <w:rFonts w:cs="Times New Roman"/>
        </w:rPr>
        <w:t>Voici le texte de l</w:t>
      </w:r>
      <w:r w:rsidRPr="001901D8">
        <w:rPr>
          <w:rFonts w:cs="Times New Roman"/>
        </w:rPr>
        <w:t>’art</w:t>
      </w:r>
      <w:r>
        <w:rPr>
          <w:rFonts w:cs="Times New Roman"/>
        </w:rPr>
        <w:t>.</w:t>
      </w:r>
      <w:r w:rsidRPr="001901D8">
        <w:rPr>
          <w:rFonts w:cs="Times New Roman"/>
        </w:rPr>
        <w:t> 9.1, tel qu’il existait à l’époque</w:t>
      </w:r>
      <w:r>
        <w:rPr>
          <w:rFonts w:cs="Times New Roman"/>
        </w:rPr>
        <w:t xml:space="preserve"> pertinente</w:t>
      </w:r>
      <w:r w:rsidRPr="001901D8">
        <w:rPr>
          <w:rFonts w:cs="Times New Roman"/>
        </w:rPr>
        <w:t> :</w:t>
      </w:r>
      <w:r w:rsidRPr="001901D8">
        <w:rPr>
          <w:rFonts w:cs="Times New Roman"/>
          <w:i/>
        </w:rPr>
        <w:t xml:space="preserve"> </w:t>
      </w:r>
    </w:p>
    <w:p w14:paraId="1AF9618B" w14:textId="77777777" w:rsidR="00116CBE" w:rsidRPr="001901D8" w:rsidRDefault="00116CBE" w:rsidP="00116CBE">
      <w:pPr>
        <w:pStyle w:val="Citation-AltC"/>
      </w:pPr>
      <w:r w:rsidRPr="001901D8">
        <w:rPr>
          <w:b/>
        </w:rPr>
        <w:t>9.1.</w:t>
      </w:r>
      <w:r>
        <w:t xml:space="preserve"> </w:t>
      </w:r>
      <w:r w:rsidRPr="001901D8">
        <w:t>Les libertés et droits fondamentaux s’exercent dans le respect des valeurs démocratiques, de l’ordre public et du bien-être général des citoyens du Québec.</w:t>
      </w:r>
    </w:p>
    <w:p w14:paraId="6C1FDFDE" w14:textId="77777777" w:rsidR="00116CBE" w:rsidRPr="001901D8" w:rsidRDefault="00116CBE" w:rsidP="00116CBE">
      <w:pPr>
        <w:pStyle w:val="Citation-AltC"/>
      </w:pPr>
    </w:p>
    <w:p w14:paraId="1DDC47B4" w14:textId="77777777" w:rsidR="00116CBE" w:rsidRPr="001901D8" w:rsidRDefault="00116CBE" w:rsidP="00116CBE">
      <w:pPr>
        <w:pStyle w:val="Citation-AltC"/>
        <w:ind w:firstLine="274"/>
      </w:pPr>
      <w:r w:rsidRPr="001901D8">
        <w:t>La loi peut, à cet égard, en fixer la portée et en aménager l’exercice.</w:t>
      </w:r>
    </w:p>
    <w:p w14:paraId="26B78834" w14:textId="77777777" w:rsidR="00116CBE" w:rsidRPr="001901D8" w:rsidRDefault="00116CBE" w:rsidP="00116CBE">
      <w:pPr>
        <w:pStyle w:val="ParaNoNdepar-AltN"/>
        <w:tabs>
          <w:tab w:val="clear" w:pos="1152"/>
          <w:tab w:val="left" w:pos="1166"/>
        </w:tabs>
      </w:pPr>
      <w:r w:rsidRPr="001901D8">
        <w:t xml:space="preserve">Le premier alinéa de cet article constitue « une indication de la manière d’interpréter l’étendue [des] libertés et droits fondamentaux [garantis par la </w:t>
      </w:r>
      <w:r w:rsidRPr="001901D8">
        <w:rPr>
          <w:i/>
        </w:rPr>
        <w:t>Charte québécoise</w:t>
      </w:r>
      <w:r w:rsidRPr="001901D8">
        <w:t>] » (</w:t>
      </w:r>
      <w:r w:rsidRPr="001901D8">
        <w:rPr>
          <w:i/>
        </w:rPr>
        <w:t>Ford c. Québec (Procureur général)</w:t>
      </w:r>
      <w:r w:rsidRPr="001901D8">
        <w:t>, [1988] 2 R.C.S. 712, p. 770). Cette disposition a pour objet « d’apporter un tempérament au caractère absolu des libertés et droits édictés aux articles 1 à 9 [. . .] sous l’angle des limites imposées au titulaire de ces droits et libertés à l’égard des autres citoyens » (</w:t>
      </w:r>
      <w:r w:rsidRPr="001901D8">
        <w:rPr>
          <w:i/>
        </w:rPr>
        <w:t>Bruker c. Marcovitz</w:t>
      </w:r>
      <w:r w:rsidRPr="001901D8">
        <w:t xml:space="preserve">, 2007 CSC 54, [2007] 3 R.C.S. 607, par. 77, citant </w:t>
      </w:r>
      <w:r w:rsidRPr="001901D8">
        <w:rPr>
          <w:i/>
        </w:rPr>
        <w:t>Journal des débats : Commissions parlementaires</w:t>
      </w:r>
      <w:r w:rsidRPr="001901D8">
        <w:t>, 3</w:t>
      </w:r>
      <w:r w:rsidRPr="001901D8">
        <w:rPr>
          <w:vertAlign w:val="superscript"/>
        </w:rPr>
        <w:t>e</w:t>
      </w:r>
      <w:r w:rsidRPr="001901D8">
        <w:t> sess., 32</w:t>
      </w:r>
      <w:r w:rsidRPr="001901D8">
        <w:rPr>
          <w:vertAlign w:val="superscript"/>
        </w:rPr>
        <w:t>e</w:t>
      </w:r>
      <w:r w:rsidRPr="001901D8">
        <w:t> lég., 16 décembre 1982, p. B</w:t>
      </w:r>
      <w:r w:rsidRPr="001901D8">
        <w:noBreakHyphen/>
        <w:t xml:space="preserve">11609). Elle fait écho au préambule de la </w:t>
      </w:r>
      <w:r w:rsidRPr="001901D8">
        <w:rPr>
          <w:i/>
        </w:rPr>
        <w:t>Charte</w:t>
      </w:r>
      <w:r w:rsidRPr="001901D8">
        <w:t xml:space="preserve"> qui prévoit que « les droits et libertés de la personne humaine sont inséparables des droits et libertés d’autrui et du bien-être général ». Toute revendication d’un droit doit donc être « conciliée avec les droits, les valeurs et le préjudice opposés » (</w:t>
      </w:r>
      <w:r w:rsidRPr="001901D8">
        <w:rPr>
          <w:i/>
        </w:rPr>
        <w:t>Bruker</w:t>
      </w:r>
      <w:r w:rsidRPr="001901D8">
        <w:t xml:space="preserve">, par. 77). </w:t>
      </w:r>
    </w:p>
    <w:p w14:paraId="69F0F520" w14:textId="77777777" w:rsidR="00116CBE" w:rsidRPr="001901D8" w:rsidRDefault="00116CBE" w:rsidP="00116CBE">
      <w:pPr>
        <w:pStyle w:val="ParaNoNdepar-AltN"/>
        <w:tabs>
          <w:tab w:val="clear" w:pos="1152"/>
          <w:tab w:val="left" w:pos="1166"/>
        </w:tabs>
      </w:pPr>
      <w:r w:rsidRPr="001901D8">
        <w:t xml:space="preserve">L’article 10, qui se trouve dans un chapitre différent des articles 1 à 9.1 de la </w:t>
      </w:r>
      <w:r w:rsidRPr="001901D8">
        <w:rPr>
          <w:i/>
        </w:rPr>
        <w:t>Charte</w:t>
      </w:r>
      <w:r w:rsidRPr="001901D8">
        <w:t>, demeure toutefois hors du champ d’application de l’art. 9.1 (</w:t>
      </w:r>
      <w:r w:rsidRPr="001901D8">
        <w:rPr>
          <w:i/>
        </w:rPr>
        <w:t>Ford</w:t>
      </w:r>
      <w:r w:rsidRPr="001901D8">
        <w:t xml:space="preserve">, p. 781; </w:t>
      </w:r>
      <w:r w:rsidRPr="001901D8">
        <w:rPr>
          <w:i/>
        </w:rPr>
        <w:t>Devine</w:t>
      </w:r>
      <w:r w:rsidRPr="001901D8">
        <w:t xml:space="preserve">, p. 818). </w:t>
      </w:r>
    </w:p>
    <w:p w14:paraId="5BF8BC57"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Dans un contexte où le recours en discrimination s’appuie sur un droit garanti par l’un ou l’autre des art. 1 à 9, et où le défendeur fait lui aussi valoir un droit prévu par ces dispositions, la portée respective des droits revendiqués doit être déterminée au regard de l’art. 9.1. Cet exercice de pondération doit être fait dans le cadre de l’analyse des éléments constitutifs de la discrimination. Nous partageons à cet égard l’avis de la juge Savard : le droit sur lequel s’appuie le défendeur ne constitue pas un moyen de défense, mais une limitation de la portée du droit invoqué par le demandeur. En effet, avant de conclure à l’existence d’une discrimination dans la reconnaissance ou l’exercice d’un droit prévu à l’un ou l’autre des art. 1 à 9, encore faut-il que la protection de ce droit s’impose au regard des « valeurs démocratiques, de l’ordre public et du bien-être général des citoyens du Québec » dont il est question à l’art. 9.1</w:t>
      </w:r>
      <w:r>
        <w:rPr>
          <w:rFonts w:cs="Times New Roman"/>
        </w:rPr>
        <w:t>, tel qu’il existait à l’époque pertinente</w:t>
      </w:r>
      <w:r w:rsidRPr="001901D8">
        <w:rPr>
          <w:rFonts w:cs="Times New Roman"/>
        </w:rPr>
        <w:t xml:space="preserve">. Il n’y a pas de discrimination si, dans un contexte donné, cette disposition assure la préséance du droit exercé par le défendeur sur le droit que le demandeur conjugue à l’art. 10. C’est pourquoi l’analyse des éléments constitutifs de la discrimination ne saurait se faire en vase clos. Autrement, cela permettrait de contourner les limites raisonnables du droit invoqué au soutien de l’art. 10 en lui conférant une étendue illimitée. Pareille démarche a été rejetée dans l’arrêt </w:t>
      </w:r>
      <w:r w:rsidRPr="001901D8">
        <w:rPr>
          <w:rFonts w:cs="Times New Roman"/>
          <w:i/>
        </w:rPr>
        <w:t>Devine</w:t>
      </w:r>
      <w:r w:rsidRPr="001901D8">
        <w:rPr>
          <w:rFonts w:cs="Times New Roman"/>
        </w:rPr>
        <w:t xml:space="preserve"> (p. 818).</w:t>
      </w:r>
    </w:p>
    <w:p w14:paraId="705E4F23" w14:textId="77777777" w:rsidR="00116CBE" w:rsidRPr="001901D8" w:rsidRDefault="00116CBE" w:rsidP="00116CBE">
      <w:pPr>
        <w:pStyle w:val="ParaNoNdepar-AltN"/>
        <w:tabs>
          <w:tab w:val="clear" w:pos="1152"/>
          <w:tab w:val="left" w:pos="1166"/>
        </w:tabs>
        <w:rPr>
          <w:i/>
        </w:rPr>
      </w:pPr>
      <w:r w:rsidRPr="001901D8">
        <w:t xml:space="preserve">Dans cet arrêt, la Cour avait, notamment, à déterminer si certaines dispositions de la </w:t>
      </w:r>
      <w:r w:rsidRPr="001901D8">
        <w:rPr>
          <w:i/>
        </w:rPr>
        <w:t>Charte de la langue française</w:t>
      </w:r>
      <w:r w:rsidRPr="001901D8">
        <w:t>, L.R.Q., c. C</w:t>
      </w:r>
      <w:r w:rsidRPr="001901D8">
        <w:noBreakHyphen/>
        <w:t>11,</w:t>
      </w:r>
      <w:r w:rsidRPr="001901D8">
        <w:rPr>
          <w:i/>
        </w:rPr>
        <w:t xml:space="preserve"> </w:t>
      </w:r>
      <w:r w:rsidRPr="001901D8">
        <w:t xml:space="preserve">portaient atteinte à la liberté d’expression (art. 3) de manière discriminatoire au sens de l’art. 10 de la </w:t>
      </w:r>
      <w:r w:rsidRPr="001901D8">
        <w:rPr>
          <w:i/>
        </w:rPr>
        <w:t>Charte québécoise</w:t>
      </w:r>
      <w:r w:rsidRPr="001901D8">
        <w:t xml:space="preserve">. Après avoir établi l’existence d’une distinction fondée sur un motif prohibé (p. 817), la Cour s’est interrogée sur l’interaction entre les art. 10 et 9.1 de la </w:t>
      </w:r>
      <w:r w:rsidRPr="001901D8">
        <w:rPr>
          <w:i/>
        </w:rPr>
        <w:t>Charte québécoise</w:t>
      </w:r>
      <w:r w:rsidRPr="001901D8">
        <w:t xml:space="preserve"> : </w:t>
      </w:r>
    </w:p>
    <w:p w14:paraId="6D0EE361" w14:textId="77777777" w:rsidR="00116CBE" w:rsidRPr="001901D8" w:rsidRDefault="00116CBE" w:rsidP="00116CBE">
      <w:pPr>
        <w:pStyle w:val="Citation-AltC"/>
        <w:ind w:firstLine="274"/>
      </w:pPr>
      <w:r w:rsidRPr="001901D8">
        <w:t xml:space="preserve">Cette distinction a‑t‑elle pour effet de détruire ou de compromettre le droit à la reconnaissance et à l’exercice, en pleine égalité, d’un droit ou d’une liberté de la personne que reconnaît la </w:t>
      </w:r>
      <w:r w:rsidRPr="001901D8">
        <w:rPr>
          <w:i/>
        </w:rPr>
        <w:t>Charte</w:t>
      </w:r>
      <w:r w:rsidRPr="001901D8">
        <w:t xml:space="preserve"> québécoise? Comme dans l’arrêt</w:t>
      </w:r>
      <w:r w:rsidRPr="001901D8">
        <w:rPr>
          <w:i/>
        </w:rPr>
        <w:t xml:space="preserve"> Ford</w:t>
      </w:r>
      <w:r w:rsidRPr="001901D8">
        <w:t xml:space="preserve">, le droit ou la liberté de la personne en cause ici est la liberté d’expression énoncée à l’art. 3 de la </w:t>
      </w:r>
      <w:r w:rsidRPr="001901D8">
        <w:rPr>
          <w:i/>
        </w:rPr>
        <w:t>Charte</w:t>
      </w:r>
      <w:r w:rsidRPr="001901D8">
        <w:t xml:space="preserve"> québécoise. Dans l’arrêt </w:t>
      </w:r>
      <w:r w:rsidRPr="001901D8">
        <w:rPr>
          <w:i/>
        </w:rPr>
        <w:t>Ford</w:t>
      </w:r>
      <w:r w:rsidRPr="001901D8">
        <w:t xml:space="preserve">, la Cour a conclu que le droit garanti par l’art. 3 s’étendait à la protection de la liberté de s’exprimer dans la langue de son choix; toutefois, nous avons conclu dans la présente espèce que l’art. 3 ne comporte pas la garantie du droit de s’exprimer exclusivement dans sa propre langue. Nous sommes parvenus à ce résultat en appliquant l’art. 9.1, qui ne limite pas l’application de l’art. 10 mais limite celle de l’art. 3. Le doyen François Chevrette, dans son article traitant de l’application de l’art. 9.1, « La disposition limitative de la Charte des droits et libertés de la personne : le dit et le non‑dit » (1987), 21 </w:t>
      </w:r>
      <w:r w:rsidRPr="001901D8">
        <w:rPr>
          <w:i/>
        </w:rPr>
        <w:t>R.J.T</w:t>
      </w:r>
      <w:r w:rsidRPr="001901D8">
        <w:t>. 461, à la p. 470, a clarifié le rapport entre les art. 1 à 9, 9.1 et 10 pour aboutir à la même conclusion :</w:t>
      </w:r>
    </w:p>
    <w:p w14:paraId="6F35EF34" w14:textId="77777777" w:rsidR="00116CBE" w:rsidRPr="001901D8" w:rsidRDefault="00116CBE" w:rsidP="00116CBE">
      <w:pPr>
        <w:pStyle w:val="Citation-AltC"/>
        <w:ind w:left="0"/>
      </w:pPr>
    </w:p>
    <w:p w14:paraId="03269E8C" w14:textId="77777777" w:rsidR="00116CBE" w:rsidRPr="001901D8" w:rsidRDefault="00116CBE" w:rsidP="00116CBE">
      <w:pPr>
        <w:pStyle w:val="Citation-AltC"/>
        <w:ind w:left="1440" w:firstLine="720"/>
      </w:pPr>
      <w:r w:rsidRPr="001901D8">
        <w:t>Une dernière et délicate question demeure. C’est celle de savoir si l’article 10 de la Charte, dans la mesure où il garantit l’égalité dans la reconnaissance et l’exercice des droits et libertés — notamment des droits et libertés des articles 1 à 9</w:t>
      </w:r>
      <w:r>
        <w:t xml:space="preserve"> </w:t>
      </w:r>
      <w:r w:rsidRPr="001901D8">
        <w:t>—, se trouve lui‑même assujetti à l’article 9.1 en raison de cette forme d’incorporation qu’il opère de ces derniers. À notre avis, cette question appelle une réponse négative. Certes les droits et libertés — qu’aux termes de l’article 10, toute personne peut exercer en pleine égalité</w:t>
      </w:r>
      <w:r>
        <w:t xml:space="preserve"> </w:t>
      </w:r>
      <w:r w:rsidRPr="001901D8">
        <w:t>—, peuvent, s’ils se retrouvent aux articles 1 à 9, être éventuellement limités par l’article 9.1.</w:t>
      </w:r>
      <w:r>
        <w:t xml:space="preserve"> Mais la clause limitative ne s’</w:t>
      </w:r>
      <w:r w:rsidRPr="001901D8">
        <w:t>applique pas au principe même d’égalité. Conclure autrement équivaudrait tout simplement à élargir le champ d’application, par ailleurs clairement délimité, de l’article 9.1.</w:t>
      </w:r>
    </w:p>
    <w:p w14:paraId="7B9D0FB0" w14:textId="77777777" w:rsidR="00116CBE" w:rsidRPr="001901D8" w:rsidRDefault="00116CBE" w:rsidP="00116CBE">
      <w:pPr>
        <w:pStyle w:val="Citation-AltC"/>
      </w:pPr>
    </w:p>
    <w:p w14:paraId="536FC0EF" w14:textId="77777777" w:rsidR="00116CBE" w:rsidRPr="001901D8" w:rsidRDefault="00116CBE" w:rsidP="00116CBE">
      <w:pPr>
        <w:pStyle w:val="Citation-AltC"/>
      </w:pPr>
      <w:r w:rsidRPr="001901D8">
        <w:t xml:space="preserve">Bien qu’il soit exact que l’art. 9.1 ne s’applique pas au principe d’égalité enchâssé à l’art. 10, il s’applique à la garantie de liberté d’expression enchâssée à l’art. 3. </w:t>
      </w:r>
      <w:r w:rsidRPr="001901D8">
        <w:rPr>
          <w:u w:val="single"/>
        </w:rPr>
        <w:t>Chaque fois qu’il est allégué qu’une distinction fondée sur un motif interdit par l’art. 10 a pour effet de compromettre ou de détruire un droit que prévoit l’art. 3, la portée de cet article doit être déterminée à la lumière de l’art. 9.1.</w:t>
      </w:r>
      <w:r w:rsidRPr="00E92E9A">
        <w:rPr>
          <w:u w:val="single"/>
        </w:rPr>
        <w:t xml:space="preserve"> </w:t>
      </w:r>
      <w:r w:rsidRPr="001901D8">
        <w:rPr>
          <w:u w:val="single"/>
        </w:rPr>
        <w:t>Lorsque, comme en l’espèce, l’art. 9.1 a pour effet de limiter la portée de la liberté d’expression que garantit l’art. 3, l’art. 10 ne peut être invoqué pour contourner les limites raisonnables à cette liberté et y substituer une garantie absolue de liberté d’expression</w:t>
      </w:r>
      <w:r w:rsidRPr="000C5ACC">
        <w:rPr>
          <w:u w:val="single"/>
        </w:rPr>
        <w:t>.</w:t>
      </w:r>
      <w:r w:rsidRPr="001901D8">
        <w:t xml:space="preserve"> Par ailleurs, une fois définie la portée de la liberté d’expression, l’art. 9.1 ne peut être invoqué pour justifier une limite à la reconnaissance et à l’exercice, en pleine égalité, du droit que garantit l’art. 3. En l’espèce, les art. 52 et 57 créent effectivement une distinction fondée sur la langue usuelle mais n’ont pas pour effet de compromettre ou de détruire des droits garantis par l’art. 3. Ils respectent donc la </w:t>
      </w:r>
      <w:r w:rsidRPr="001901D8">
        <w:rPr>
          <w:i/>
        </w:rPr>
        <w:t xml:space="preserve">Charte </w:t>
      </w:r>
      <w:r w:rsidRPr="001901D8">
        <w:t>québécoise. [Nous soulignons; p. 817-819.]</w:t>
      </w:r>
    </w:p>
    <w:p w14:paraId="01497442"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Bien que l’arrêt </w:t>
      </w:r>
      <w:r w:rsidRPr="001901D8">
        <w:rPr>
          <w:rFonts w:cs="Times New Roman"/>
          <w:i/>
        </w:rPr>
        <w:t>Devine</w:t>
      </w:r>
      <w:r w:rsidRPr="001901D8">
        <w:rPr>
          <w:rFonts w:cs="Times New Roman"/>
        </w:rPr>
        <w:t xml:space="preserve"> ne portait pas sur l’opposition entre deux droits fondamentaux, nous sommes d’avis que ses enseignements sur l’interaction entre les art. 9.1 et 10 sont transposables en l’espèce. Puisque l’art. 9.1 ne s’applique pas à l’art. 10, la portée du droit revendiqué au regard de l’art. 9.1 doit être déterminée dans le cadre de l’analyse du troisième élément constitutif de la discrimination. Ainsi, à cette troisième étape, le demandeur doit démontrer que la distinction fondée sur un motif prohibé a pour effet de compromettre la reconnaissance ou l’exercice du droit fondamental revendiqué et, pour ce faire, il devra démontrer que la protection de ce droit s’impose à la lumière de l’art. 9.1. </w:t>
      </w:r>
    </w:p>
    <w:p w14:paraId="79FDBCDF"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En l’occurrence, comme l’a relevé à juste titre la juge Savard, ce n’est pas le droit à l’égalité qui s’oppose à la liberté d’expression, mais bien le droit à la sauvegarde de la dignité du plaignant et le droit à la liberté d’expression du défendeur. Une telle approche est fidèle à l’architecture de la </w:t>
      </w:r>
      <w:r w:rsidRPr="001901D8">
        <w:rPr>
          <w:rFonts w:cs="Times New Roman"/>
          <w:i/>
        </w:rPr>
        <w:t>Charte québécoise</w:t>
      </w:r>
      <w:r w:rsidRPr="001901D8">
        <w:rPr>
          <w:rFonts w:cs="Times New Roman"/>
        </w:rPr>
        <w:t xml:space="preserve"> et aux enseignements de la Cour dans l’arrêt </w:t>
      </w:r>
      <w:r w:rsidRPr="001901D8">
        <w:rPr>
          <w:rFonts w:cs="Times New Roman"/>
          <w:i/>
        </w:rPr>
        <w:t>Devine</w:t>
      </w:r>
      <w:r w:rsidRPr="001901D8">
        <w:rPr>
          <w:rFonts w:cs="Times New Roman"/>
        </w:rPr>
        <w:t xml:space="preserve">. </w:t>
      </w:r>
    </w:p>
    <w:p w14:paraId="1643C05C"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Lorsque le recours en discrimination s’appuie sur une liberté ou un droit garanti par l’un ou l’autre des art. 1 à 9, le demandeur doit donc prouver, selon la prépondérance des probabilités : </w:t>
      </w:r>
    </w:p>
    <w:p w14:paraId="4037467D" w14:textId="77777777" w:rsidR="00116CBE" w:rsidRPr="001901D8" w:rsidRDefault="00116CBE" w:rsidP="00116CBE">
      <w:pPr>
        <w:pStyle w:val="Citation-AltC"/>
        <w:numPr>
          <w:ilvl w:val="0"/>
          <w:numId w:val="28"/>
        </w:numPr>
        <w:spacing w:line="480" w:lineRule="auto"/>
        <w:ind w:left="1525"/>
      </w:pPr>
      <w:r w:rsidRPr="001901D8">
        <w:t>Une « distinction, exclusion ou préférence »;</w:t>
      </w:r>
    </w:p>
    <w:p w14:paraId="239804AD" w14:textId="77777777" w:rsidR="00116CBE" w:rsidRPr="001901D8" w:rsidRDefault="00116CBE" w:rsidP="00116CBE">
      <w:pPr>
        <w:pStyle w:val="Citation-AltC"/>
        <w:tabs>
          <w:tab w:val="left" w:pos="2052"/>
        </w:tabs>
        <w:spacing w:line="480" w:lineRule="auto"/>
        <w:ind w:left="1525" w:firstLine="528"/>
      </w:pPr>
    </w:p>
    <w:p w14:paraId="19F81D78" w14:textId="77777777" w:rsidR="00116CBE" w:rsidRPr="001901D8" w:rsidRDefault="00116CBE" w:rsidP="00116CBE">
      <w:pPr>
        <w:pStyle w:val="Citation-AltC"/>
        <w:numPr>
          <w:ilvl w:val="0"/>
          <w:numId w:val="28"/>
        </w:numPr>
        <w:spacing w:line="480" w:lineRule="auto"/>
        <w:ind w:left="1525"/>
      </w:pPr>
      <w:r w:rsidRPr="001901D8">
        <w:t>fondée sur l’un des motifs énumérés à l’art. 10;</w:t>
      </w:r>
    </w:p>
    <w:p w14:paraId="5E8F360B" w14:textId="77777777" w:rsidR="00116CBE" w:rsidRPr="001901D8" w:rsidRDefault="00116CBE" w:rsidP="00116CBE">
      <w:pPr>
        <w:pStyle w:val="Citation-AltC"/>
        <w:spacing w:line="480" w:lineRule="auto"/>
        <w:ind w:left="1525"/>
      </w:pPr>
    </w:p>
    <w:p w14:paraId="37193FB4" w14:textId="77777777" w:rsidR="00116CBE" w:rsidRPr="001901D8" w:rsidRDefault="00116CBE" w:rsidP="00116CBE">
      <w:pPr>
        <w:pStyle w:val="Citation-AltC"/>
        <w:numPr>
          <w:ilvl w:val="0"/>
          <w:numId w:val="28"/>
        </w:numPr>
        <w:spacing w:line="480" w:lineRule="auto"/>
        <w:ind w:left="1525"/>
      </w:pPr>
      <w:r w:rsidRPr="001901D8">
        <w:t xml:space="preserve">qui a pour effet de détruire ou de compromettre l’égalité dans la reconnaissance ou l’exercice d’un droit dont la protection s’impose au regard de l’art. 9.1 dans le contexte où il est invoqué. </w:t>
      </w:r>
    </w:p>
    <w:p w14:paraId="5EADB1F5" w14:textId="77777777" w:rsidR="00116CBE" w:rsidRPr="001901D8" w:rsidRDefault="00116CBE" w:rsidP="00116CBE">
      <w:pPr>
        <w:pStyle w:val="ContinueParaSuitedupar-AltP"/>
        <w:rPr>
          <w:rFonts w:cs="Times New Roman"/>
        </w:rPr>
      </w:pPr>
      <w:r w:rsidRPr="001901D8">
        <w:rPr>
          <w:rFonts w:cs="Times New Roman"/>
        </w:rPr>
        <w:t xml:space="preserve">La preuve de ces éléments établit, à première vue, l’existence de la discrimination. Dans certaines situations, comme en matière d’emploi, la </w:t>
      </w:r>
      <w:r w:rsidRPr="001901D8">
        <w:rPr>
          <w:rFonts w:cs="Times New Roman"/>
          <w:i/>
        </w:rPr>
        <w:t xml:space="preserve">Charte québécoise </w:t>
      </w:r>
      <w:r w:rsidRPr="001901D8">
        <w:rPr>
          <w:rFonts w:cs="Times New Roman"/>
        </w:rPr>
        <w:t>prévoit des moyens de défense spécifiques en faveur du défendeur. Le cas échéant, il lui appartiendra de justifier sa décision, sa mesure ou sa conduite à première vue discriminatoire (</w:t>
      </w:r>
      <w:r w:rsidRPr="001901D8">
        <w:rPr>
          <w:rFonts w:cs="Times New Roman"/>
          <w:i/>
        </w:rPr>
        <w:t>Bombardier</w:t>
      </w:r>
      <w:r w:rsidRPr="001901D8">
        <w:rPr>
          <w:rFonts w:cs="Times New Roman"/>
        </w:rPr>
        <w:t xml:space="preserve">, par. 37). </w:t>
      </w:r>
    </w:p>
    <w:p w14:paraId="4890EE7A"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 cadre juridique applicable étant tracé, les deux premiers éléments du fardeau du demandeur ne commandent pas plus de précisions, leur mise en œuvre demeurant conforme à l’approche proposée dans l’arrêt </w:t>
      </w:r>
      <w:r w:rsidRPr="001901D8">
        <w:rPr>
          <w:rFonts w:cs="Times New Roman"/>
          <w:i/>
        </w:rPr>
        <w:t>Bombardier</w:t>
      </w:r>
      <w:r w:rsidRPr="001901D8">
        <w:rPr>
          <w:rFonts w:cs="Times New Roman"/>
        </w:rPr>
        <w:t xml:space="preserve">. Toutefois, il convient d’apporter des précisions sur l’analyse du troisième élément constitutif de la discrimination lorsque le recours intenté appelle, comme en l’espèce, à délimiter l’étendue respective du droit à la sauvegarde de la dignité et de la liberté d’expression au regard de l’art. 9.1. </w:t>
      </w:r>
    </w:p>
    <w:p w14:paraId="7B199C6D" w14:textId="77777777" w:rsidR="00116CBE" w:rsidRPr="001901D8" w:rsidRDefault="00116CBE" w:rsidP="00116CBE">
      <w:pPr>
        <w:pStyle w:val="Title2LevelTitre2Niveau"/>
        <w:numPr>
          <w:ilvl w:val="1"/>
          <w:numId w:val="8"/>
        </w:numPr>
        <w:rPr>
          <w:rFonts w:cs="Times New Roman"/>
          <w:lang w:val="fr-CA"/>
        </w:rPr>
      </w:pPr>
      <w:bookmarkStart w:id="69" w:name="_Toc63709726"/>
      <w:bookmarkStart w:id="70" w:name="_Toc71277685"/>
      <w:bookmarkStart w:id="71" w:name="_Toc74300989"/>
      <w:bookmarkStart w:id="72" w:name="_Toc77683256"/>
      <w:bookmarkStart w:id="73" w:name="_Toc78294049"/>
      <w:bookmarkStart w:id="74" w:name="_Toc83114023"/>
      <w:r w:rsidRPr="001901D8">
        <w:rPr>
          <w:rFonts w:cs="Times New Roman"/>
          <w:lang w:val="fr-CA"/>
        </w:rPr>
        <w:t xml:space="preserve">Le troisième élément constitutif de la discrimination dans un contexte de conflit entre le droit à la </w:t>
      </w:r>
      <w:bookmarkEnd w:id="69"/>
      <w:r w:rsidRPr="001901D8">
        <w:rPr>
          <w:rFonts w:cs="Times New Roman"/>
          <w:lang w:val="fr-CA"/>
        </w:rPr>
        <w:t>sauvegarde de la dignité et la liberté d’expression</w:t>
      </w:r>
      <w:bookmarkEnd w:id="70"/>
      <w:bookmarkEnd w:id="71"/>
      <w:bookmarkEnd w:id="72"/>
      <w:bookmarkEnd w:id="73"/>
      <w:bookmarkEnd w:id="74"/>
    </w:p>
    <w:p w14:paraId="2093073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La </w:t>
      </w:r>
      <w:r w:rsidRPr="001901D8">
        <w:rPr>
          <w:rFonts w:cs="Times New Roman"/>
          <w:i/>
        </w:rPr>
        <w:t>Charte québécoise</w:t>
      </w:r>
      <w:r w:rsidRPr="001901D8">
        <w:rPr>
          <w:rFonts w:cs="Times New Roman"/>
        </w:rPr>
        <w:t xml:space="preserve"> n’établit aucune hiérarchie entre le droit à la sauvegarde de la dignité, garanti par l’art. 4, et la liberté d’expression que protège l’art. 3. Lorsque ces droits s’opposent, la solution consiste à les interpréter de manière à ce que l’un et l’autre s’exercent « dans le respect des valeurs démocratiques, de l’ordre public et du bien-être général des citoyens du Québec » (</w:t>
      </w:r>
      <w:r w:rsidRPr="001901D8">
        <w:rPr>
          <w:rFonts w:cs="Times New Roman"/>
          <w:i/>
        </w:rPr>
        <w:t>Ford</w:t>
      </w:r>
      <w:r w:rsidRPr="001901D8">
        <w:rPr>
          <w:rFonts w:cs="Times New Roman"/>
        </w:rPr>
        <w:t xml:space="preserve">, p. 770). </w:t>
      </w:r>
    </w:p>
    <w:p w14:paraId="4387DDE8"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Nous examinerons d’abord ces droits séparément. Nous nous intéresserons ensuite à l’arrêt </w:t>
      </w:r>
      <w:r w:rsidRPr="001901D8">
        <w:rPr>
          <w:rFonts w:cs="Times New Roman"/>
          <w:i/>
        </w:rPr>
        <w:t>Whatcott</w:t>
      </w:r>
      <w:r w:rsidRPr="001901D8">
        <w:rPr>
          <w:rFonts w:cs="Times New Roman"/>
        </w:rPr>
        <w:t xml:space="preserve">, dans lequel la Cour a conclu que la liberté d’expression peut être limitée de manière justifiée dans une société libre et démocratique pour prévenir les effets discriminatoires des propos haineux. Enfin, nous soulignerons la pertinence de cet arrêt pour décrire le test qui doit être réalisé dans le cadre de l’analyse du troisième élément de la discrimination afin de résoudre le conflit entre les art. 3 et 4 de la </w:t>
      </w:r>
      <w:r w:rsidRPr="001901D8">
        <w:rPr>
          <w:rFonts w:cs="Times New Roman"/>
          <w:i/>
        </w:rPr>
        <w:t>Charte québécoise</w:t>
      </w:r>
      <w:r w:rsidRPr="001901D8">
        <w:rPr>
          <w:rFonts w:cs="Times New Roman"/>
        </w:rPr>
        <w:t>. Ce test est destiné à s’appliquer dans un contexte où le demandeur soutient que le défendeur a tenu des propos qui ont eu pour effet de compromettre la reconnaissance de son droit à la sauvegarde de sa dignité. Il ne trouve pas application dans des contextes autres que celui-là. </w:t>
      </w:r>
    </w:p>
    <w:p w14:paraId="4E58F7D4" w14:textId="77777777" w:rsidR="00116CBE" w:rsidRPr="001901D8" w:rsidRDefault="00116CBE" w:rsidP="00116CBE">
      <w:pPr>
        <w:pStyle w:val="Title3LevelTitre3Niveau"/>
        <w:numPr>
          <w:ilvl w:val="2"/>
          <w:numId w:val="8"/>
        </w:numPr>
        <w:rPr>
          <w:rFonts w:cs="Times New Roman"/>
          <w:lang w:val="fr-CA"/>
        </w:rPr>
      </w:pPr>
      <w:bookmarkStart w:id="75" w:name="_Toc71277686"/>
      <w:bookmarkStart w:id="76" w:name="_Toc74300990"/>
      <w:bookmarkStart w:id="77" w:name="_Toc77683257"/>
      <w:bookmarkStart w:id="78" w:name="_Toc78294050"/>
      <w:bookmarkStart w:id="79" w:name="_Toc83114024"/>
      <w:r w:rsidRPr="001901D8">
        <w:rPr>
          <w:rFonts w:cs="Times New Roman"/>
          <w:lang w:val="fr-CA"/>
        </w:rPr>
        <w:t>Droit à la sauvegarde de la dignité</w:t>
      </w:r>
      <w:bookmarkEnd w:id="75"/>
      <w:bookmarkEnd w:id="76"/>
      <w:bookmarkEnd w:id="77"/>
      <w:bookmarkEnd w:id="78"/>
      <w:bookmarkEnd w:id="79"/>
    </w:p>
    <w:p w14:paraId="46286518" w14:textId="77777777" w:rsidR="00116CBE" w:rsidRPr="001901D8" w:rsidRDefault="00116CBE" w:rsidP="00116CBE">
      <w:pPr>
        <w:pStyle w:val="ParaNoNdepar-AltN"/>
        <w:tabs>
          <w:tab w:val="clear" w:pos="1152"/>
          <w:tab w:val="left" w:pos="1166"/>
        </w:tabs>
        <w:rPr>
          <w:rFonts w:cs="Times New Roman"/>
          <w:b/>
          <w:bCs/>
          <w:iCs/>
        </w:rPr>
      </w:pPr>
      <w:r w:rsidRPr="001901D8">
        <w:rPr>
          <w:rFonts w:cs="Times New Roman"/>
        </w:rPr>
        <w:t>Notre Cour a reconnu que « </w:t>
      </w:r>
      <w:r>
        <w:rPr>
          <w:rFonts w:cs="Times New Roman"/>
        </w:rPr>
        <w:t>[</w:t>
      </w:r>
      <w:r w:rsidRPr="001901D8">
        <w:rPr>
          <w:rFonts w:cs="Times New Roman"/>
        </w:rPr>
        <w:t>l</w:t>
      </w:r>
      <w:r>
        <w:rPr>
          <w:rFonts w:cs="Times New Roman"/>
        </w:rPr>
        <w:t>]</w:t>
      </w:r>
      <w:r w:rsidRPr="001901D8">
        <w:rPr>
          <w:rFonts w:cs="Times New Roman"/>
        </w:rPr>
        <w:t xml:space="preserve">a dignité humaine [. . .] f[ait] partie des valeurs inhérentes à la </w:t>
      </w:r>
      <w:r w:rsidRPr="001901D8">
        <w:rPr>
          <w:rFonts w:cs="Times New Roman"/>
          <w:i/>
          <w:iCs/>
        </w:rPr>
        <w:t xml:space="preserve">Charte </w:t>
      </w:r>
      <w:r w:rsidRPr="001901D8">
        <w:rPr>
          <w:rFonts w:cs="Times New Roman"/>
          <w:iCs/>
        </w:rPr>
        <w:t>[</w:t>
      </w:r>
      <w:r w:rsidRPr="001901D8">
        <w:rPr>
          <w:rFonts w:cs="Times New Roman"/>
          <w:i/>
          <w:iCs/>
        </w:rPr>
        <w:t>canadienne</w:t>
      </w:r>
      <w:r w:rsidRPr="001901D8">
        <w:rPr>
          <w:rFonts w:cs="Times New Roman"/>
          <w:iCs/>
        </w:rPr>
        <w:t>] » (</w:t>
      </w:r>
      <w:r w:rsidRPr="001901D8">
        <w:rPr>
          <w:rFonts w:cs="Times New Roman"/>
          <w:bCs/>
          <w:i/>
          <w:iCs/>
        </w:rPr>
        <w:t>Health Services and Support — Facilities Subsector Bargaining Assn. c. Colombie-Britannique</w:t>
      </w:r>
      <w:r w:rsidRPr="001901D8">
        <w:rPr>
          <w:rFonts w:cs="Times New Roman"/>
          <w:bCs/>
          <w:iCs/>
        </w:rPr>
        <w:t>, 2007 CSC 27, [2007] 2 R.C.S. 391, par. 81).</w:t>
      </w:r>
      <w:r w:rsidRPr="001901D8">
        <w:rPr>
          <w:rFonts w:cs="Times New Roman"/>
        </w:rPr>
        <w:t xml:space="preserve"> La </w:t>
      </w:r>
      <w:r w:rsidRPr="001901D8">
        <w:rPr>
          <w:rFonts w:cs="Times New Roman"/>
          <w:i/>
        </w:rPr>
        <w:t>Charte québécoise</w:t>
      </w:r>
      <w:r w:rsidRPr="001901D8">
        <w:rPr>
          <w:rFonts w:cs="Times New Roman"/>
        </w:rPr>
        <w:t xml:space="preserve"> va cependant plus loin, puisque la dignité humaine y constitue non seulement une valeur fondamentale, mais aussi un droit </w:t>
      </w:r>
      <w:r>
        <w:rPr>
          <w:rFonts w:cs="Times New Roman"/>
        </w:rPr>
        <w:t xml:space="preserve">dont la sauvegarde est </w:t>
      </w:r>
      <w:r w:rsidRPr="001901D8">
        <w:rPr>
          <w:rFonts w:cs="Times New Roman"/>
        </w:rPr>
        <w:t>explicitement protégé</w:t>
      </w:r>
      <w:r>
        <w:rPr>
          <w:rFonts w:cs="Times New Roman"/>
        </w:rPr>
        <w:t>e</w:t>
      </w:r>
      <w:r w:rsidRPr="001901D8">
        <w:rPr>
          <w:rFonts w:cs="Times New Roman"/>
        </w:rPr>
        <w:t xml:space="preserve"> (</w:t>
      </w:r>
      <w:r w:rsidRPr="001901D8">
        <w:rPr>
          <w:rFonts w:cs="Times New Roman"/>
          <w:i/>
        </w:rPr>
        <w:t>Québec (Curateur public) c. Syndicat national des employés de l’hôpital St-Ferdinand</w:t>
      </w:r>
      <w:r w:rsidRPr="001901D8">
        <w:rPr>
          <w:rFonts w:cs="Times New Roman"/>
        </w:rPr>
        <w:t>, [1996] 3 R.C.S. 211, par. 100). En effet, elle consacre à l’art. 4 le droit de toute personne « à la sauvegarde de sa dignité ». Mais comme plusieurs auteurs en conviennent, derrière cette formulation éloquente se trouve un droit dont la portée est particulièrement difficile à cerner (voir, p. ex., D. Goubau</w:t>
      </w:r>
      <w:r>
        <w:rPr>
          <w:rFonts w:cs="Times New Roman"/>
        </w:rPr>
        <w:t>,</w:t>
      </w:r>
      <w:r w:rsidRPr="001901D8">
        <w:rPr>
          <w:rFonts w:cs="Times New Roman"/>
        </w:rPr>
        <w:t xml:space="preserve"> avec la collaboration d’A.-M. Savard, </w:t>
      </w:r>
      <w:r w:rsidRPr="001901D8">
        <w:rPr>
          <w:rFonts w:cs="Times New Roman"/>
          <w:i/>
        </w:rPr>
        <w:t>Le droit des personnes physiques</w:t>
      </w:r>
      <w:r w:rsidRPr="001901D8">
        <w:rPr>
          <w:rFonts w:cs="Times New Roman"/>
        </w:rPr>
        <w:t xml:space="preserve"> (6</w:t>
      </w:r>
      <w:r w:rsidRPr="001901D8">
        <w:rPr>
          <w:rFonts w:cs="Times New Roman"/>
          <w:vertAlign w:val="superscript"/>
        </w:rPr>
        <w:t>e</w:t>
      </w:r>
      <w:r w:rsidRPr="001901D8">
        <w:rPr>
          <w:rFonts w:cs="Times New Roman"/>
        </w:rPr>
        <w:t> éd. 2019), n</w:t>
      </w:r>
      <w:r w:rsidRPr="001901D8">
        <w:rPr>
          <w:rFonts w:cs="Times New Roman"/>
          <w:vertAlign w:val="superscript"/>
        </w:rPr>
        <w:t>o</w:t>
      </w:r>
      <w:r w:rsidRPr="001901D8">
        <w:rPr>
          <w:rFonts w:cs="Times New Roman"/>
        </w:rPr>
        <w:t xml:space="preserve"> 180; J. Torres-Ceyte et M. Lacroix, « Impression(s), la dignité », dans B. Lefebvre et B. Moore, dir., </w:t>
      </w:r>
      <w:r w:rsidRPr="001901D8">
        <w:rPr>
          <w:rFonts w:cs="Times New Roman"/>
          <w:i/>
        </w:rPr>
        <w:t>Les grandes valeurs</w:t>
      </w:r>
      <w:r w:rsidRPr="001901D8">
        <w:rPr>
          <w:rFonts w:cs="Times New Roman"/>
        </w:rPr>
        <w:t xml:space="preserve"> (2019), 19, p. 27-28; C. Brunelle, « La dignité dans la </w:t>
      </w:r>
      <w:r w:rsidRPr="001901D8">
        <w:rPr>
          <w:rFonts w:cs="Times New Roman"/>
          <w:i/>
        </w:rPr>
        <w:t>Charte des droits et libertés de la personne</w:t>
      </w:r>
      <w:r w:rsidRPr="001901D8">
        <w:rPr>
          <w:rFonts w:cs="Times New Roman"/>
        </w:rPr>
        <w:t> : de l’ubiquité à l’ambiguïté d’une notion fondamentale »</w:t>
      </w:r>
      <w:r>
        <w:rPr>
          <w:rFonts w:cs="Times New Roman"/>
        </w:rPr>
        <w:t>,</w:t>
      </w:r>
      <w:r w:rsidRPr="001901D8">
        <w:rPr>
          <w:rFonts w:cs="Times New Roman"/>
        </w:rPr>
        <w:t xml:space="preserve"> dans </w:t>
      </w:r>
      <w:r w:rsidRPr="001901D8">
        <w:rPr>
          <w:rFonts w:cs="Times New Roman"/>
          <w:i/>
        </w:rPr>
        <w:t>La Charte québécoise : origines, enjeux et perspectives</w:t>
      </w:r>
      <w:r w:rsidRPr="001901D8">
        <w:rPr>
          <w:rFonts w:cs="Times New Roman"/>
        </w:rPr>
        <w:t xml:space="preserve">, [2006] </w:t>
      </w:r>
      <w:r w:rsidRPr="001901D8">
        <w:rPr>
          <w:rFonts w:cs="Times New Roman"/>
          <w:i/>
        </w:rPr>
        <w:t>R. du B.</w:t>
      </w:r>
      <w:r w:rsidRPr="001901D8">
        <w:rPr>
          <w:rFonts w:cs="Times New Roman"/>
        </w:rPr>
        <w:t xml:space="preserve"> (numéro thématique) 143, p. 172-174). Dès qu’elle quitte le domaine des valeurs pour entrer dans celui des normes juridiques, la notion de dignité suscite de nombreuses difficultés d’application (A. Gajda, « The Trouble with Dignity », dans A. T. Kenyon, dir., </w:t>
      </w:r>
      <w:r w:rsidRPr="001901D8">
        <w:rPr>
          <w:rFonts w:cs="Times New Roman"/>
          <w:i/>
        </w:rPr>
        <w:t>Comparative Defamation and Privacy Law</w:t>
      </w:r>
      <w:r w:rsidRPr="001901D8">
        <w:rPr>
          <w:rFonts w:cs="Times New Roman"/>
        </w:rPr>
        <w:t xml:space="preserve"> (2016), </w:t>
      </w:r>
      <w:r>
        <w:rPr>
          <w:rFonts w:cs="Times New Roman"/>
        </w:rPr>
        <w:t>246, p. </w:t>
      </w:r>
      <w:r w:rsidRPr="001901D8">
        <w:rPr>
          <w:rFonts w:cs="Times New Roman"/>
        </w:rPr>
        <w:t xml:space="preserve">258-261; voir aussi </w:t>
      </w:r>
      <w:r w:rsidRPr="001901D8">
        <w:rPr>
          <w:rFonts w:cs="Times New Roman"/>
          <w:i/>
        </w:rPr>
        <w:t>R. c. Kapp</w:t>
      </w:r>
      <w:r w:rsidRPr="001901D8">
        <w:rPr>
          <w:rFonts w:cs="Times New Roman"/>
        </w:rPr>
        <w:t xml:space="preserve">, 2008 CSC 41, [2008] 2 R.C.S. 483, par. 21-22). Pour les fins de ce pourvoi, ces difficultés peuvent être surmontées sans adopter une définition arrêtée de cette notion. Il suffit de fournir des précisions sur la portée de ce « droit à la sauvegarde de [l]a dignité ». </w:t>
      </w:r>
    </w:p>
    <w:p w14:paraId="16BB24D6"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Les tribunaux ont conclu à des atteintes au droit à la sauvegarde de la dignité dans les contextes les plus divers. Ils ont, par exemple, conclu à une violation de l’art. 4 de la </w:t>
      </w:r>
      <w:r w:rsidRPr="001901D8">
        <w:rPr>
          <w:rFonts w:cs="Times New Roman"/>
          <w:i/>
        </w:rPr>
        <w:t>Charte québécoise</w:t>
      </w:r>
      <w:r w:rsidRPr="001901D8">
        <w:rPr>
          <w:rFonts w:cs="Times New Roman"/>
        </w:rPr>
        <w:t xml:space="preserve"> dans les cas suivants : des bénéficiaires ayant une déficience intellectuelle ont été privés de soins d’hygiène par le personnel d’un centre hospitalier participant à une grève illégale (</w:t>
      </w:r>
      <w:r w:rsidRPr="001901D8">
        <w:rPr>
          <w:rFonts w:cs="Times New Roman"/>
          <w:i/>
        </w:rPr>
        <w:t>St-Ferdinand</w:t>
      </w:r>
      <w:r w:rsidRPr="001901D8">
        <w:rPr>
          <w:rFonts w:cs="Times New Roman"/>
        </w:rPr>
        <w:t xml:space="preserve">, par. 108-109); un </w:t>
      </w:r>
      <w:r>
        <w:rPr>
          <w:rFonts w:cs="Times New Roman"/>
        </w:rPr>
        <w:t>dessinateur</w:t>
      </w:r>
      <w:r w:rsidRPr="001901D8">
        <w:rPr>
          <w:rFonts w:cs="Times New Roman"/>
        </w:rPr>
        <w:t xml:space="preserve"> a été victime d’une violation importante de ses droits d’auteur (</w:t>
      </w:r>
      <w:r w:rsidRPr="001901D8">
        <w:rPr>
          <w:rFonts w:cs="Times New Roman"/>
          <w:i/>
        </w:rPr>
        <w:t>Cinar Corporation c. Robinson</w:t>
      </w:r>
      <w:r w:rsidRPr="001901D8">
        <w:rPr>
          <w:rFonts w:cs="Times New Roman"/>
        </w:rPr>
        <w:t>, 2013 CSC 73, [2013] 3 R.C.S. 1168, par. 116-117); un individu soupçonné de vol a été battu, torturé et menacé de mort par des policiers (</w:t>
      </w:r>
      <w:r w:rsidRPr="001901D8">
        <w:rPr>
          <w:rFonts w:cs="Times New Roman"/>
          <w:i/>
        </w:rPr>
        <w:t>Gauthier c. Beaumont</w:t>
      </w:r>
      <w:r w:rsidRPr="001901D8">
        <w:rPr>
          <w:rFonts w:cs="Times New Roman"/>
        </w:rPr>
        <w:t>, [1998] 2 R.C.S. 3, par. 90); un haut fonctionnaire s’est vu refusé accès à la résidence officielle suivant un congédiement médiatisé sur la foi d’allégations de harcèlement sexuel avant qu’une véritable enquête soit complétée (</w:t>
      </w:r>
      <w:r w:rsidRPr="001901D8">
        <w:rPr>
          <w:rFonts w:cs="Times New Roman"/>
          <w:i/>
        </w:rPr>
        <w:t>Fortier c. Québec (Procureure générale</w:t>
      </w:r>
      <w:r w:rsidRPr="001901D8">
        <w:rPr>
          <w:rFonts w:cs="Times New Roman"/>
        </w:rPr>
        <w:t>), 2015 QCCA 1426, par. </w:t>
      </w:r>
      <w:r>
        <w:rPr>
          <w:rFonts w:cs="Times New Roman"/>
        </w:rPr>
        <w:t>120</w:t>
      </w:r>
      <w:r w:rsidRPr="001901D8">
        <w:rPr>
          <w:rFonts w:cs="Times New Roman"/>
        </w:rPr>
        <w:t xml:space="preserve"> (CanLII)</w:t>
      </w:r>
      <w:r>
        <w:rPr>
          <w:rFonts w:cs="Times New Roman"/>
        </w:rPr>
        <w:t>)</w:t>
      </w:r>
      <w:r w:rsidRPr="001901D8">
        <w:rPr>
          <w:rFonts w:cs="Times New Roman"/>
        </w:rPr>
        <w:t>; un homme non voyant s’est vu refuser l’accès à la piste de danse d’une discothèque avec son chien-guide (</w:t>
      </w:r>
      <w:r w:rsidRPr="001901D8">
        <w:rPr>
          <w:rFonts w:cs="Times New Roman"/>
          <w:i/>
        </w:rPr>
        <w:t>Commission des droits de la personne et des droits de la jeunesse c. 9185-2152 Québec inc. (Radio Lounge Brossard)</w:t>
      </w:r>
      <w:r w:rsidRPr="001901D8">
        <w:rPr>
          <w:rFonts w:cs="Times New Roman"/>
        </w:rPr>
        <w:t>, 2015 QCCA 577, par. 86 (CanLII)); des travailleurs d’origine chinoise ont été contraints de subir des admonestations racistes de leur employeur (</w:t>
      </w:r>
      <w:r w:rsidRPr="001901D8">
        <w:rPr>
          <w:rFonts w:cs="Times New Roman"/>
          <w:i/>
        </w:rPr>
        <w:t>Calego</w:t>
      </w:r>
      <w:r w:rsidRPr="001901D8">
        <w:rPr>
          <w:rFonts w:cs="Times New Roman"/>
        </w:rPr>
        <w:t>, par. 55-56 et 105); une haute dirigeante a été la cible de propos sexistes et injurieux tenus par l’animateur d’une émission de radio-provocation (</w:t>
      </w:r>
      <w:r w:rsidRPr="001901D8">
        <w:rPr>
          <w:rFonts w:cs="Times New Roman"/>
          <w:i/>
        </w:rPr>
        <w:t>Genex Communications inc. c. Association québécoise de l’industrie du disque, du spectacle et de la vidéo</w:t>
      </w:r>
      <w:r w:rsidRPr="001901D8">
        <w:rPr>
          <w:rFonts w:cs="Times New Roman"/>
        </w:rPr>
        <w:t>, 2009 QCCA 2201, [2009] R.J.Q. 2743, par. 92); un couple a fait face à une arrestation et à des accusations criminelles déposées sur la foi de rapports de police falsifiés (</w:t>
      </w:r>
      <w:r w:rsidRPr="001901D8">
        <w:rPr>
          <w:rFonts w:cs="Times New Roman"/>
          <w:i/>
        </w:rPr>
        <w:t>Solomon c. Québec (Procureur général)</w:t>
      </w:r>
      <w:r w:rsidRPr="001901D8">
        <w:rPr>
          <w:rFonts w:cs="Times New Roman"/>
        </w:rPr>
        <w:t xml:space="preserve">, 2008 QCCA 1832, [2008] R.J.Q. 2127, par. 167, 179 et 191; voir aussi, dans le même ordre d’idées, </w:t>
      </w:r>
      <w:r w:rsidRPr="001901D8">
        <w:rPr>
          <w:rFonts w:cs="Times New Roman"/>
          <w:i/>
        </w:rPr>
        <w:t>Procureur général du Canada c. Manoukian</w:t>
      </w:r>
      <w:r w:rsidRPr="001901D8">
        <w:rPr>
          <w:rFonts w:cs="Times New Roman"/>
        </w:rPr>
        <w:t>, 2020 QCCA 1486, 70 C.C.L.T. (4th) 182, par. 139 et 144); des photos intimes ont été transmises à des tiers sans autorisation (</w:t>
      </w:r>
      <w:r w:rsidRPr="001901D8">
        <w:rPr>
          <w:rFonts w:cs="Times New Roman"/>
          <w:i/>
        </w:rPr>
        <w:t>J.L. c. S.B.</w:t>
      </w:r>
      <w:r w:rsidRPr="001901D8">
        <w:rPr>
          <w:rFonts w:cs="Times New Roman"/>
        </w:rPr>
        <w:t xml:space="preserve">, [2000] R.R.A. 665 (C.S. Qc), par. 21). </w:t>
      </w:r>
    </w:p>
    <w:p w14:paraId="2480D46D"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sus de ces cas de figure très variés, un courant jurisprudentiel foisonnant n’hésite pas à assimiler le manque de respect à une violation de l’art. 4 dès lors qu’il atteint une certaine gravité (voir, p. ex., </w:t>
      </w:r>
      <w:r w:rsidRPr="001901D8">
        <w:rPr>
          <w:rFonts w:cs="Times New Roman"/>
          <w:i/>
        </w:rPr>
        <w:t>Cinar</w:t>
      </w:r>
      <w:r w:rsidRPr="001901D8">
        <w:rPr>
          <w:rFonts w:cs="Times New Roman"/>
        </w:rPr>
        <w:t xml:space="preserve">, par. 116; </w:t>
      </w:r>
      <w:r w:rsidRPr="001901D8">
        <w:rPr>
          <w:rFonts w:cs="Times New Roman"/>
          <w:i/>
        </w:rPr>
        <w:t>Bourdeau c. Hamel</w:t>
      </w:r>
      <w:r w:rsidRPr="001901D8">
        <w:rPr>
          <w:rFonts w:cs="Times New Roman"/>
        </w:rPr>
        <w:t xml:space="preserve">, 2013 QCCS 752, par. 197 (CanLII); </w:t>
      </w:r>
      <w:r w:rsidRPr="001901D8">
        <w:rPr>
          <w:rFonts w:cs="Times New Roman"/>
          <w:i/>
        </w:rPr>
        <w:t>Hébert c. Giguère</w:t>
      </w:r>
      <w:r w:rsidRPr="001901D8">
        <w:rPr>
          <w:rFonts w:cs="Times New Roman"/>
        </w:rPr>
        <w:t xml:space="preserve">, [2003] R.J.Q. 89 (C.S.), par. 155 et 159; </w:t>
      </w:r>
      <w:r w:rsidRPr="001901D8">
        <w:rPr>
          <w:rFonts w:cs="Times New Roman"/>
          <w:i/>
        </w:rPr>
        <w:t>Commission des droits de la personne et des droits de la jeunesse c. 9113-0831 Québec inc. (Bronzage Évasion au soleil du monde)</w:t>
      </w:r>
      <w:r w:rsidRPr="001901D8">
        <w:rPr>
          <w:rFonts w:cs="Times New Roman"/>
        </w:rPr>
        <w:t>, 2007 QCTDP 18, [2007] R.J.D.T. 1289, par. 42). Au terme de leur propre analyse de la jurisprudence relative à l’art. 4, les professeurs Goubau et Savard formulent la remarque suivante :</w:t>
      </w:r>
    </w:p>
    <w:p w14:paraId="7D62134A" w14:textId="77777777" w:rsidR="00116CBE" w:rsidRPr="001901D8" w:rsidRDefault="00116CBE" w:rsidP="00116CBE">
      <w:pPr>
        <w:pStyle w:val="Citation-AltC"/>
      </w:pPr>
      <w:r w:rsidRPr="001901D8">
        <w:t>En réalité, l’atteinte à la dignité n’est que très exceptionnellement invoquée de manière isolée. Les demandes de réparation pour atteinte à la dignité s’inscrivent presque toujours dans le cadre d’un recours fondé sur l’atteinte à un autre droit fondamental, que ce soit le droit à la réputation, le droit au respect de la vie privée ou le droit à l’égalité, le droit à l’intégrité physique, etc. Les tribunaux concluront qu’il y a atteinte à la dignité lorsque l’atteinte à un autre droit fondamental est particulièrement grave. En ce sens, l’atteinte à la dignité apparaît comme un seuil de gravité de la violation d’un autre droit. Ainsi, des propos diffamatoires doivent atteindre un certain niveau de gravité pour constituer, en plus d’une atteinte à la réputation, une atteinte à la dignité de la personne. La notion de dignité est ainsi généralement invoquée comme modalité des autres droits fondamentaux plutôt que comme droit indépendant. Ce constat peut paraître surprenant, mais en réalité il ne fait que refléter la difficulté à cerner précisément le concept juridique de dignité. [n</w:t>
      </w:r>
      <w:r w:rsidRPr="001901D8">
        <w:rPr>
          <w:vertAlign w:val="superscript"/>
        </w:rPr>
        <w:t>o</w:t>
      </w:r>
      <w:r w:rsidRPr="001901D8">
        <w:t> 180]</w:t>
      </w:r>
    </w:p>
    <w:p w14:paraId="368AF8D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Ce commentaire illustre bien la confusion qui entoure le droit à la sauvegarde de la dignité. À notre avis, traiter celui-ci comme une simple modalité d’application des autres droits fondamentaux banalise les termes mêmes de l’art. 4. L’étendue d’un droit fondamental ne saurait être déterminée en fonction de l’intensité de la violation de quelque autre droit fondamental. Il n’y a pas lieu d’invoquer le droit à la sauvegarde de la dignité pour protéger un intérêt qui est par ailleurs déjà pleinement assuré par un autre droit fondamental, car cet autre droit fondamental se fonde lui-même sur la dignité (M. Fabre-Magnan, « La dignité en Droit : un axiome » (2007), 58 </w:t>
      </w:r>
      <w:r w:rsidRPr="001901D8">
        <w:rPr>
          <w:rFonts w:cs="Times New Roman"/>
          <w:i/>
        </w:rPr>
        <w:t>R.I.E.J.</w:t>
      </w:r>
      <w:r w:rsidRPr="001901D8">
        <w:rPr>
          <w:rFonts w:cs="Times New Roman"/>
        </w:rPr>
        <w:t xml:space="preserve"> 1, p. 18-19). Ce manque de cohérence dans l’application de l’art. 4 occasionne au moins deux problèmes importants au regard de la question qui nous occupe ici. </w:t>
      </w:r>
    </w:p>
    <w:p w14:paraId="0C792CC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D’une part, la portée incertaine de cette disposition rend difficile tout exercice de mise en balance de droits suivant l’art. 9.1. D’autre part, la conjugaison des art. 4 et 10 tend à modifier la nature de la norme d’égalité prévue par la </w:t>
      </w:r>
      <w:r w:rsidRPr="001901D8">
        <w:rPr>
          <w:rFonts w:cs="Times New Roman"/>
          <w:i/>
        </w:rPr>
        <w:t>Charte québécoise</w:t>
      </w:r>
      <w:r w:rsidRPr="001901D8">
        <w:rPr>
          <w:rFonts w:cs="Times New Roman"/>
        </w:rPr>
        <w:t> — et à accroître la compétence de la Commission et du Tribunal bien au-delà de ce qu’a voulu le législateur. Des auteurs ont, en effet, remarqué que la juxtaposition des deux dispositions élargit considérablement le champ d’application de la norme d’égalité (Proulx, n</w:t>
      </w:r>
      <w:r w:rsidRPr="001901D8">
        <w:rPr>
          <w:rFonts w:cs="Times New Roman"/>
          <w:vertAlign w:val="superscript"/>
        </w:rPr>
        <w:t>o</w:t>
      </w:r>
      <w:r w:rsidRPr="001901D8">
        <w:rPr>
          <w:rFonts w:cs="Times New Roman"/>
        </w:rPr>
        <w:t xml:space="preserve"> 121; A. Morin, </w:t>
      </w:r>
      <w:r w:rsidRPr="001901D8">
        <w:rPr>
          <w:rFonts w:cs="Times New Roman"/>
          <w:i/>
        </w:rPr>
        <w:t>Le droit à l’égalité au Canada</w:t>
      </w:r>
      <w:r w:rsidRPr="001901D8">
        <w:rPr>
          <w:rFonts w:cs="Times New Roman"/>
        </w:rPr>
        <w:t xml:space="preserve"> (2</w:t>
      </w:r>
      <w:r w:rsidRPr="001901D8">
        <w:rPr>
          <w:rFonts w:cs="Times New Roman"/>
          <w:vertAlign w:val="superscript"/>
        </w:rPr>
        <w:t>e</w:t>
      </w:r>
      <w:r w:rsidRPr="001901D8">
        <w:rPr>
          <w:rFonts w:cs="Times New Roman"/>
        </w:rPr>
        <w:t> </w:t>
      </w:r>
      <w:r>
        <w:rPr>
          <w:rFonts w:cs="Times New Roman"/>
        </w:rPr>
        <w:t>éd.</w:t>
      </w:r>
      <w:r w:rsidRPr="001901D8">
        <w:rPr>
          <w:rFonts w:cs="Times New Roman"/>
        </w:rPr>
        <w:t xml:space="preserve"> 2012), p. 186). </w:t>
      </w:r>
    </w:p>
    <w:p w14:paraId="1FB835A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notre avis, cela ne résulte pas de la structure de la </w:t>
      </w:r>
      <w:r w:rsidRPr="001901D8">
        <w:rPr>
          <w:rFonts w:cs="Times New Roman"/>
          <w:i/>
        </w:rPr>
        <w:t>Charte québécoise</w:t>
      </w:r>
      <w:r w:rsidRPr="001901D8">
        <w:rPr>
          <w:rFonts w:cs="Times New Roman"/>
        </w:rPr>
        <w:t>, mais d’une interprétation erronée du droit à la sauvegarde de la dignité, dont l’imprécision est considérée comme ayant pour effet d’alléger le fardeau de preuve du demandeur dans une action en discrimination (voir Morin, p. 185). En suivant ce raisonnement, une violation du droit à l’égalité dans la reconnaissance du droit à la sauvegarde de la dignité serait d’autant plus facile à établir du fait que la dignité est toujours plus ou moins touchée quand il y a atteinte à l’égalité, car la norme d’égalité découle de la dignité (</w:t>
      </w:r>
      <w:r w:rsidRPr="001901D8">
        <w:rPr>
          <w:rFonts w:cs="Times New Roman"/>
          <w:i/>
        </w:rPr>
        <w:t>Law c. Canada (Ministre de l’Emploi et de l’Immigration)</w:t>
      </w:r>
      <w:r w:rsidRPr="001901D8">
        <w:rPr>
          <w:rFonts w:cs="Times New Roman"/>
        </w:rPr>
        <w:t xml:space="preserve">, [1999] 1 R.C.S. 497, par. 51-54). </w:t>
      </w:r>
    </w:p>
    <w:p w14:paraId="78EFDDB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Une telle approche revient, selon nous, à contourner l’intention du législateur et à faire de l’art. 10 de la </w:t>
      </w:r>
      <w:r w:rsidRPr="001901D8">
        <w:rPr>
          <w:rFonts w:cs="Times New Roman"/>
          <w:i/>
        </w:rPr>
        <w:t xml:space="preserve">Charte québécoise </w:t>
      </w:r>
      <w:r w:rsidRPr="001901D8">
        <w:rPr>
          <w:rFonts w:cs="Times New Roman"/>
        </w:rPr>
        <w:t xml:space="preserve">le vecteur d’une protection de l’égalité en soi comparable à celle de la </w:t>
      </w:r>
      <w:r w:rsidRPr="001901D8">
        <w:rPr>
          <w:rFonts w:cs="Times New Roman"/>
          <w:i/>
        </w:rPr>
        <w:t>Charte canadienne</w:t>
      </w:r>
      <w:r w:rsidRPr="001901D8">
        <w:rPr>
          <w:rFonts w:cs="Times New Roman"/>
        </w:rPr>
        <w:t xml:space="preserve">. À ceci près, cependant, que la </w:t>
      </w:r>
      <w:r w:rsidRPr="001901D8">
        <w:rPr>
          <w:rFonts w:cs="Times New Roman"/>
          <w:i/>
        </w:rPr>
        <w:t xml:space="preserve">Charte québécoise </w:t>
      </w:r>
      <w:r w:rsidRPr="001901D8">
        <w:rPr>
          <w:rFonts w:cs="Times New Roman"/>
        </w:rPr>
        <w:t xml:space="preserve">a une portée beaucoup plus vaste que la </w:t>
      </w:r>
      <w:r w:rsidRPr="001901D8">
        <w:rPr>
          <w:rFonts w:cs="Times New Roman"/>
          <w:i/>
        </w:rPr>
        <w:t xml:space="preserve">Charte canadienne </w:t>
      </w:r>
      <w:r w:rsidRPr="001901D8">
        <w:rPr>
          <w:rFonts w:cs="Times New Roman"/>
        </w:rPr>
        <w:t xml:space="preserve">et que les autres lois sur les droits de la personne : elle ne vise pas seulement les rapports avec l’État, ni certains secteurs d’activités, mais elle s’étend à </w:t>
      </w:r>
      <w:r w:rsidRPr="001901D8">
        <w:rPr>
          <w:rFonts w:cs="Times New Roman"/>
          <w:i/>
        </w:rPr>
        <w:t>tous</w:t>
      </w:r>
      <w:r w:rsidRPr="001901D8">
        <w:rPr>
          <w:rFonts w:cs="Times New Roman"/>
        </w:rPr>
        <w:t xml:space="preserve"> les rapports entre particuliers. Or, comme nous l’avons écrit dans l’arrêt </w:t>
      </w:r>
      <w:r w:rsidRPr="001901D8">
        <w:rPr>
          <w:rFonts w:cs="Times New Roman"/>
          <w:i/>
        </w:rPr>
        <w:t>Bombardier</w:t>
      </w:r>
      <w:r w:rsidRPr="001901D8">
        <w:rPr>
          <w:rFonts w:cs="Times New Roman"/>
        </w:rPr>
        <w:t xml:space="preserve">, « contrairement à la </w:t>
      </w:r>
      <w:r w:rsidRPr="001901D8">
        <w:rPr>
          <w:rFonts w:cs="Times New Roman"/>
          <w:i/>
        </w:rPr>
        <w:t>Charte canadienne</w:t>
      </w:r>
      <w:r w:rsidRPr="001901D8">
        <w:rPr>
          <w:rFonts w:cs="Times New Roman"/>
        </w:rPr>
        <w:t xml:space="preserve">, la </w:t>
      </w:r>
      <w:r w:rsidRPr="001901D8">
        <w:rPr>
          <w:rFonts w:cs="Times New Roman"/>
          <w:i/>
        </w:rPr>
        <w:t>Charte</w:t>
      </w:r>
      <w:r w:rsidRPr="001901D8">
        <w:rPr>
          <w:rFonts w:cs="Times New Roman"/>
        </w:rPr>
        <w:t xml:space="preserve"> [</w:t>
      </w:r>
      <w:r w:rsidRPr="001901D8">
        <w:rPr>
          <w:rFonts w:cs="Times New Roman"/>
          <w:i/>
        </w:rPr>
        <w:t>québécoise</w:t>
      </w:r>
      <w:r w:rsidRPr="001901D8">
        <w:rPr>
          <w:rFonts w:cs="Times New Roman"/>
        </w:rPr>
        <w:t xml:space="preserve">] ne protège pas le droit à l’égalité en soi; ce droit n’est protégé que dans l’exercice des autres droits et libertés garantis par la </w:t>
      </w:r>
      <w:r w:rsidRPr="001901D8">
        <w:rPr>
          <w:rFonts w:cs="Times New Roman"/>
          <w:i/>
        </w:rPr>
        <w:t xml:space="preserve">Charte </w:t>
      </w:r>
      <w:r w:rsidRPr="001901D8">
        <w:rPr>
          <w:rFonts w:cs="Times New Roman"/>
        </w:rPr>
        <w:t>[</w:t>
      </w:r>
      <w:r w:rsidRPr="001901D8">
        <w:rPr>
          <w:rFonts w:cs="Times New Roman"/>
          <w:i/>
        </w:rPr>
        <w:t>québécoise</w:t>
      </w:r>
      <w:r w:rsidRPr="001901D8">
        <w:rPr>
          <w:rFonts w:cs="Times New Roman"/>
        </w:rPr>
        <w:t>] » (par. 53). Une interprétation de l’art. 4 qui occulte cette limitation importante doit être rejetée. Le droit à la sauvegarde de la dignité n’est pas — et ne doit pas devenir — une « clause de style » à valeur incantatoire (Torres</w:t>
      </w:r>
      <w:r w:rsidRPr="001901D8">
        <w:rPr>
          <w:rFonts w:cs="Times New Roman"/>
        </w:rPr>
        <w:noBreakHyphen/>
        <w:t xml:space="preserve">Ceyte et Lacroix, p. 28, citant A. Popovici, « La renonciation à un droit de la personnalité », dans </w:t>
      </w:r>
      <w:r w:rsidRPr="001901D8">
        <w:rPr>
          <w:rFonts w:cs="Times New Roman"/>
          <w:i/>
        </w:rPr>
        <w:t>Colloque du trentenaire, 1975-2005 : Regards croisés sur le droit privé</w:t>
      </w:r>
      <w:r w:rsidRPr="001901D8">
        <w:rPr>
          <w:rFonts w:cs="Times New Roman"/>
        </w:rPr>
        <w:t xml:space="preserve"> (2008), 99, p. 107). </w:t>
      </w:r>
    </w:p>
    <w:p w14:paraId="251A050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Selon nous, il est nécessaire de recentrer l’interprétation de cette disposition sur son objet, en tenant compte de son libellé et de son contexte. </w:t>
      </w:r>
    </w:p>
    <w:p w14:paraId="723FE37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Dans l’arrêt </w:t>
      </w:r>
      <w:r w:rsidRPr="001901D8">
        <w:rPr>
          <w:rFonts w:cs="Times New Roman"/>
          <w:i/>
        </w:rPr>
        <w:t>St-Ferdinand</w:t>
      </w:r>
      <w:r w:rsidRPr="001901D8">
        <w:rPr>
          <w:rFonts w:cs="Times New Roman"/>
        </w:rPr>
        <w:t>, notre Cour a conclu que le droit à la sauvegarde de la dignité se rapporte plus exactement à la dignité humaine et protège contre « les atteintes aux attributs fondamentaux de l’être humain qui contreviennent au respect auquel toute personne a droit du seul fait qu’elle est un être humain et au respect qu’elle se doit à elle-même » (par. 105). Autrement dit, l’art. 4 protège non pas chaque personne en tant que telle, mais l’</w:t>
      </w:r>
      <w:r w:rsidRPr="001901D8">
        <w:rPr>
          <w:rFonts w:cs="Times New Roman"/>
          <w:i/>
        </w:rPr>
        <w:t>humanité</w:t>
      </w:r>
      <w:r w:rsidRPr="001901D8">
        <w:rPr>
          <w:rFonts w:cs="Times New Roman"/>
        </w:rPr>
        <w:t xml:space="preserve"> de chaque personne dans ses attributs les plus fondamentaux. C’est donc la notion d’humanité qui est au centre du droit à la sauvegarde de la dignité. Cela est d’ailleurs mis en évidence par le préambule de la </w:t>
      </w:r>
      <w:r w:rsidRPr="001901D8">
        <w:rPr>
          <w:rFonts w:cs="Times New Roman"/>
          <w:i/>
        </w:rPr>
        <w:t>Charte québécoise</w:t>
      </w:r>
      <w:r w:rsidRPr="001901D8">
        <w:rPr>
          <w:rFonts w:cs="Times New Roman"/>
        </w:rPr>
        <w:t xml:space="preserve">, sur lequel s’est appuyée la Cour dans </w:t>
      </w:r>
      <w:r w:rsidRPr="001901D8">
        <w:rPr>
          <w:rFonts w:cs="Times New Roman"/>
          <w:i/>
        </w:rPr>
        <w:t>St-Ferdinand</w:t>
      </w:r>
      <w:r w:rsidRPr="001901D8">
        <w:rPr>
          <w:rFonts w:cs="Times New Roman"/>
        </w:rPr>
        <w:t xml:space="preserve">. Inspiré par la </w:t>
      </w:r>
      <w:r w:rsidRPr="001901D8">
        <w:rPr>
          <w:rFonts w:cs="Times New Roman"/>
          <w:i/>
        </w:rPr>
        <w:t>Déclaration universelle des droits de l’homme</w:t>
      </w:r>
      <w:r w:rsidRPr="001901D8">
        <w:rPr>
          <w:rFonts w:cs="Times New Roman"/>
        </w:rPr>
        <w:t>, A.G. Rés. 217 A (III), Doc. N.U. A/810, p. 71 (1948), le préambule</w:t>
      </w:r>
      <w:r w:rsidRPr="001901D8">
        <w:rPr>
          <w:rFonts w:cs="Times New Roman"/>
          <w:i/>
        </w:rPr>
        <w:t xml:space="preserve"> </w:t>
      </w:r>
      <w:r w:rsidRPr="001901D8">
        <w:rPr>
          <w:rFonts w:cs="Times New Roman"/>
        </w:rPr>
        <w:t xml:space="preserve">dispose que « tous les êtres humains sont égaux en valeur et en dignité » et que « le respect de la dignité de l’être humain » est l’un des « fondement[s] de la justice, de la liberté et de la paix ». Dans ce contexte, la dignité est cette qualité inhérente à chaque être humain « dont la reconnaissance définit en quelque sorte la civilisation, et la méconnaissance, la barbarie » (T. De Koninck, </w:t>
      </w:r>
      <w:r w:rsidRPr="001901D8">
        <w:rPr>
          <w:rFonts w:cs="Times New Roman"/>
          <w:i/>
        </w:rPr>
        <w:t xml:space="preserve">De la dignité humaine </w:t>
      </w:r>
      <w:r w:rsidRPr="001901D8">
        <w:rPr>
          <w:rFonts w:cs="Times New Roman"/>
        </w:rPr>
        <w:t xml:space="preserve">(2002), p. 16; voir aussi R. Dworkin, </w:t>
      </w:r>
      <w:r w:rsidRPr="001901D8">
        <w:rPr>
          <w:rFonts w:cs="Times New Roman"/>
          <w:i/>
        </w:rPr>
        <w:t>Justice for Hedgehogs</w:t>
      </w:r>
      <w:r w:rsidRPr="001901D8">
        <w:rPr>
          <w:rFonts w:cs="Times New Roman"/>
        </w:rPr>
        <w:t xml:space="preserve"> (2011), p. 112). </w:t>
      </w:r>
    </w:p>
    <w:p w14:paraId="1805303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En effet, l’émergence en droit de la notion de dignité et le sens de cette notion ont été façonnés par le contexte historique très particulier des atrocités commises au XX</w:t>
      </w:r>
      <w:r w:rsidRPr="001901D8">
        <w:rPr>
          <w:rFonts w:cs="Times New Roman"/>
          <w:vertAlign w:val="superscript"/>
        </w:rPr>
        <w:t>e</w:t>
      </w:r>
      <w:r w:rsidRPr="001901D8">
        <w:rPr>
          <w:rFonts w:cs="Times New Roman"/>
        </w:rPr>
        <w:t xml:space="preserve"> siècle, notamment au cours de la Seconde Guerre mondiale (C. McCrudden, « Human Dignity and Judicial Interpretation of Human Rights » (2008), 19 </w:t>
      </w:r>
      <w:r w:rsidRPr="001901D8">
        <w:rPr>
          <w:rFonts w:cs="Times New Roman"/>
          <w:i/>
        </w:rPr>
        <w:t>E.J.I.L.</w:t>
      </w:r>
      <w:r w:rsidRPr="001901D8">
        <w:rPr>
          <w:rFonts w:cs="Times New Roman"/>
        </w:rPr>
        <w:t xml:space="preserve"> 655, p. 664-671; Brunelle, p. 145-146). Pour contrevenir à l’art. 4 de la </w:t>
      </w:r>
      <w:r w:rsidRPr="001901D8">
        <w:rPr>
          <w:rFonts w:cs="Times New Roman"/>
          <w:i/>
        </w:rPr>
        <w:t>Charte québécoise</w:t>
      </w:r>
      <w:r w:rsidRPr="001901D8">
        <w:rPr>
          <w:rFonts w:cs="Times New Roman"/>
        </w:rPr>
        <w:t>, une conduite doit atteindre un degré de gravité élevé qui ne banalise pas cette notion chargée de sens. Une telle conduite ne saurait faire l’objet d’une appréciation purement subjective. Une analyse objective s’impose, puisque la dignité « n’a pas pour horizon la protection d’une personne particulière, ni même d’une catégorie de personnes, mais de l’humanité en général » (Fabre-Magnan, p. 21).</w:t>
      </w:r>
    </w:p>
    <w:p w14:paraId="1A181AAE"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L’article 4 ne confère pas un droit</w:t>
      </w:r>
      <w:r w:rsidRPr="001901D8">
        <w:rPr>
          <w:rFonts w:cs="Times New Roman"/>
          <w:i/>
        </w:rPr>
        <w:t xml:space="preserve"> à la dignité</w:t>
      </w:r>
      <w:r w:rsidRPr="001901D8">
        <w:rPr>
          <w:rFonts w:cs="Times New Roman"/>
        </w:rPr>
        <w:t xml:space="preserve">, mais, plus précisément, un droit </w:t>
      </w:r>
      <w:r w:rsidRPr="001901D8">
        <w:rPr>
          <w:rFonts w:cs="Times New Roman"/>
          <w:i/>
        </w:rPr>
        <w:t xml:space="preserve">à la sauvegarde </w:t>
      </w:r>
      <w:r w:rsidRPr="001901D8">
        <w:rPr>
          <w:rFonts w:cs="Times New Roman"/>
        </w:rPr>
        <w:t xml:space="preserve">de la dignité. Le libellé retenu par le législateur à cet article a une connotation et un sens beaucoup plus forts que celui de « respect de la dignité » qui se retrouve dans le préambule de la </w:t>
      </w:r>
      <w:r w:rsidRPr="001901D8">
        <w:rPr>
          <w:rFonts w:cs="Times New Roman"/>
          <w:i/>
        </w:rPr>
        <w:t>Charte québécoise</w:t>
      </w:r>
      <w:r w:rsidRPr="001901D8">
        <w:rPr>
          <w:rFonts w:cs="Times New Roman"/>
        </w:rPr>
        <w:t>. Le terme « sauvegarde » renvoie à une forme de défense ou de protection contre un péril, tandis que le terme « respect » rejoint les notions de considération ou de déférence (</w:t>
      </w:r>
      <w:r w:rsidRPr="001901D8">
        <w:rPr>
          <w:rFonts w:cs="Times New Roman"/>
          <w:i/>
        </w:rPr>
        <w:t>Dictionnaire de l’Académie française</w:t>
      </w:r>
      <w:r w:rsidRPr="001901D8">
        <w:rPr>
          <w:rFonts w:cs="Times New Roman"/>
        </w:rPr>
        <w:t xml:space="preserve"> (</w:t>
      </w:r>
      <w:r>
        <w:rPr>
          <w:rFonts w:cs="Times New Roman"/>
        </w:rPr>
        <w:t>9</w:t>
      </w:r>
      <w:r w:rsidRPr="001901D8">
        <w:rPr>
          <w:rFonts w:cs="Times New Roman"/>
          <w:vertAlign w:val="superscript"/>
        </w:rPr>
        <w:t>e</w:t>
      </w:r>
      <w:r w:rsidRPr="001901D8">
        <w:rPr>
          <w:rFonts w:cs="Times New Roman"/>
        </w:rPr>
        <w:t xml:space="preserve"> éd. </w:t>
      </w:r>
      <w:r>
        <w:rPr>
          <w:rFonts w:cs="Times New Roman"/>
        </w:rPr>
        <w:t>(en ligne)</w:t>
      </w:r>
      <w:r w:rsidRPr="001901D8">
        <w:rPr>
          <w:rFonts w:cs="Times New Roman"/>
        </w:rPr>
        <w:t xml:space="preserve">); É. Littré, </w:t>
      </w:r>
      <w:r w:rsidRPr="001901D8">
        <w:rPr>
          <w:rFonts w:cs="Times New Roman"/>
          <w:i/>
        </w:rPr>
        <w:t>Dictionnaire de la langue française</w:t>
      </w:r>
      <w:r w:rsidRPr="001901D8">
        <w:rPr>
          <w:rFonts w:cs="Times New Roman"/>
        </w:rPr>
        <w:t xml:space="preserve"> (1958), t. 6, p. 1432</w:t>
      </w:r>
      <w:r w:rsidRPr="001901D8">
        <w:rPr>
          <w:rFonts w:cs="Times New Roman"/>
        </w:rPr>
        <w:noBreakHyphen/>
        <w:t>1435 et 1940;</w:t>
      </w:r>
      <w:r w:rsidRPr="001901D8">
        <w:rPr>
          <w:rFonts w:eastAsia="Times New Roman" w:cs="Times New Roman"/>
          <w:i/>
          <w:iCs/>
          <w:szCs w:val="20"/>
          <w:lang w:eastAsia="en-CA"/>
        </w:rPr>
        <w:t xml:space="preserve"> </w:t>
      </w:r>
      <w:r w:rsidRPr="001901D8">
        <w:rPr>
          <w:rFonts w:cs="Times New Roman"/>
          <w:i/>
          <w:iCs/>
        </w:rPr>
        <w:t>Le Grand Robert de la langue française</w:t>
      </w:r>
      <w:r w:rsidRPr="001901D8">
        <w:rPr>
          <w:rFonts w:cs="Times New Roman"/>
          <w:iCs/>
        </w:rPr>
        <w:t xml:space="preserve"> (version électronique)</w:t>
      </w:r>
      <w:r>
        <w:rPr>
          <w:rFonts w:cs="Times New Roman"/>
          <w:iCs/>
        </w:rPr>
        <w:t>)</w:t>
      </w:r>
      <w:r w:rsidRPr="001901D8">
        <w:rPr>
          <w:rFonts w:cs="Times New Roman"/>
        </w:rPr>
        <w:t xml:space="preserve">. À la différence de l’art. 5, par exemple, qui confère un droit au </w:t>
      </w:r>
      <w:r w:rsidRPr="001901D8">
        <w:rPr>
          <w:rFonts w:cs="Times New Roman"/>
          <w:i/>
        </w:rPr>
        <w:t>respect</w:t>
      </w:r>
      <w:r w:rsidRPr="001901D8">
        <w:rPr>
          <w:rFonts w:cs="Times New Roman"/>
        </w:rPr>
        <w:t xml:space="preserve"> de la vie privée, l’art. 4 ne permet pas à une personne de réclamer le respect, mais uniquement la </w:t>
      </w:r>
      <w:r w:rsidRPr="001901D8">
        <w:rPr>
          <w:rFonts w:cs="Times New Roman"/>
          <w:i/>
        </w:rPr>
        <w:t>sauvegarde</w:t>
      </w:r>
      <w:r w:rsidRPr="001901D8">
        <w:rPr>
          <w:rFonts w:cs="Times New Roman"/>
        </w:rPr>
        <w:t xml:space="preserve"> de sa dignité, c’est-à-dire la protection contre la négation de sa valeur en tant qu’être humain. Lorsqu’une personne se voit privée de son humanité par l’infliction de traitements qui l’avilissent, l’asservissent, la réifient, l’humilient ou la dégradent, sa dignité est indéniablement bafouée. En ce sens, le droit à la sauvegarde de la dignité constitue un bouclier contre ce type d’atteintes qui ne font pas moins que révolter la conscience de la société. </w:t>
      </w:r>
    </w:p>
    <w:p w14:paraId="29C4577C" w14:textId="77777777" w:rsidR="00116CBE" w:rsidRPr="001901D8" w:rsidRDefault="00116CBE" w:rsidP="00116CBE">
      <w:pPr>
        <w:pStyle w:val="Title3LevelTitre3Niveau"/>
        <w:numPr>
          <w:ilvl w:val="2"/>
          <w:numId w:val="8"/>
        </w:numPr>
        <w:rPr>
          <w:rFonts w:cs="Times New Roman"/>
          <w:lang w:val="fr-CA"/>
        </w:rPr>
      </w:pPr>
      <w:bookmarkStart w:id="80" w:name="_Toc71277687"/>
      <w:bookmarkStart w:id="81" w:name="_Toc74300991"/>
      <w:bookmarkStart w:id="82" w:name="_Toc77683258"/>
      <w:bookmarkStart w:id="83" w:name="_Toc78294051"/>
      <w:bookmarkStart w:id="84" w:name="_Toc83114025"/>
      <w:r w:rsidRPr="001901D8">
        <w:rPr>
          <w:rFonts w:cs="Times New Roman"/>
          <w:lang w:val="fr-CA"/>
        </w:rPr>
        <w:t>Liberté d’expression</w:t>
      </w:r>
      <w:bookmarkEnd w:id="80"/>
      <w:bookmarkEnd w:id="81"/>
      <w:bookmarkEnd w:id="82"/>
      <w:bookmarkEnd w:id="83"/>
      <w:bookmarkEnd w:id="84"/>
    </w:p>
    <w:p w14:paraId="6C5CF47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Tout comme le droit à la sauvegarde de la dignité, la liberté d’expression découle de la notion de dignité humaine (D. Grimm, « Freedom of Speech and Human Dignity », dans A. Stone et F. Schauer, dir., </w:t>
      </w:r>
      <w:r w:rsidRPr="001901D8">
        <w:rPr>
          <w:rFonts w:cs="Times New Roman"/>
          <w:i/>
        </w:rPr>
        <w:t xml:space="preserve">The Oxford Handbook of Freedom of Speech </w:t>
      </w:r>
      <w:r w:rsidRPr="001901D8">
        <w:rPr>
          <w:rFonts w:cs="Times New Roman"/>
        </w:rPr>
        <w:t xml:space="preserve">(2021), 106, p. 111; J. Waldron, </w:t>
      </w:r>
      <w:r w:rsidRPr="001901D8">
        <w:rPr>
          <w:rFonts w:cs="Times New Roman"/>
          <w:i/>
        </w:rPr>
        <w:t>The Harm in Hate Speech</w:t>
      </w:r>
      <w:r w:rsidRPr="001901D8">
        <w:rPr>
          <w:rFonts w:cs="Times New Roman"/>
        </w:rPr>
        <w:t xml:space="preserve"> (2012), p. 139; R. Dworkin, « Foreword », dans I. Hare et J. Weinstein, dir., </w:t>
      </w:r>
      <w:r w:rsidRPr="001901D8">
        <w:rPr>
          <w:rFonts w:cs="Times New Roman"/>
          <w:i/>
        </w:rPr>
        <w:t>Extreme Speech and Democracy</w:t>
      </w:r>
      <w:r w:rsidRPr="001901D8">
        <w:rPr>
          <w:rFonts w:cs="Times New Roman"/>
        </w:rPr>
        <w:t xml:space="preserve"> (2009), v, p. vii-viii). La </w:t>
      </w:r>
      <w:r w:rsidRPr="001901D8">
        <w:rPr>
          <w:rFonts w:cs="Times New Roman"/>
          <w:i/>
        </w:rPr>
        <w:t xml:space="preserve">Charte québécoise </w:t>
      </w:r>
      <w:r w:rsidRPr="001901D8">
        <w:rPr>
          <w:rFonts w:cs="Times New Roman"/>
        </w:rPr>
        <w:t>reconnaît l’égalité de tous les êtres humains en valeur et en dignité; cette égalité demeurerait un vœu pieux si certaines personnes étaient réduites au silence en raison de leurs opinions. Ainsi, la protection de la liberté d’expression a pour objectif d’« assurer que chacun puisse manifester ses pensées, ses opinions, ses croyances, en fait, toutes les expressions du cœur ou de l’esprit, aussi impopulaires, déplaisantes ou contestataires soient‑elles » (</w:t>
      </w:r>
      <w:r w:rsidRPr="001901D8">
        <w:rPr>
          <w:rFonts w:cs="Times New Roman"/>
          <w:i/>
        </w:rPr>
        <w:t>Irwin Toy Ltd. c. Québec (Procureur général)</w:t>
      </w:r>
      <w:r w:rsidRPr="001901D8">
        <w:rPr>
          <w:rFonts w:cs="Times New Roman"/>
        </w:rPr>
        <w:t xml:space="preserve">, [1989] 1 R.C.S. 927, p. 968). </w:t>
      </w:r>
    </w:p>
    <w:p w14:paraId="451B002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Comme l’a écrit la juge McLachlin (</w:t>
      </w:r>
      <w:r>
        <w:rPr>
          <w:rFonts w:cs="Times New Roman"/>
        </w:rPr>
        <w:t>plus tard j</w:t>
      </w:r>
      <w:r w:rsidRPr="001901D8">
        <w:rPr>
          <w:rFonts w:cs="Times New Roman"/>
        </w:rPr>
        <w:t xml:space="preserve">uge en chef) dans l’arrêt </w:t>
      </w:r>
      <w:r w:rsidRPr="001901D8">
        <w:rPr>
          <w:rFonts w:cs="Times New Roman"/>
          <w:i/>
        </w:rPr>
        <w:t>R. c. Zundel</w:t>
      </w:r>
      <w:r w:rsidRPr="001901D8">
        <w:rPr>
          <w:rFonts w:cs="Times New Roman"/>
        </w:rPr>
        <w:t>, [1992] 2 R.C.S. 731, « [l]’opinion de la majorité n’a pas besoin d’une protection constitutionnelle » (p. 753). De fait, l’exercice de la liberté d’expression présuppose, en même temps qu’il alimente, la tolérance de la société envers les expressions impopulaires, désobligeantes ou répugnantes (</w:t>
      </w:r>
      <w:r w:rsidRPr="001901D8">
        <w:rPr>
          <w:rFonts w:cs="Times New Roman"/>
          <w:i/>
        </w:rPr>
        <w:t>Irwin Toy</w:t>
      </w:r>
      <w:r w:rsidRPr="001901D8">
        <w:rPr>
          <w:rFonts w:cs="Times New Roman"/>
        </w:rPr>
        <w:t xml:space="preserve">, p. 969-971; </w:t>
      </w:r>
      <w:r w:rsidRPr="001901D8">
        <w:rPr>
          <w:rFonts w:cs="Times New Roman"/>
          <w:i/>
        </w:rPr>
        <w:t>Montréal (Ville de) c. Cabaret Sex Appeal inc.</w:t>
      </w:r>
      <w:r w:rsidRPr="001901D8">
        <w:rPr>
          <w:rFonts w:cs="Times New Roman"/>
        </w:rPr>
        <w:t xml:space="preserve">, [1994] R.J.Q. 2133 (C.A.)). </w:t>
      </w:r>
      <w:r w:rsidRPr="001901D8">
        <w:rPr>
          <w:rFonts w:cs="Times New Roman"/>
          <w:lang w:val="en-US"/>
        </w:rPr>
        <w:t xml:space="preserve">La liberté d’exprimer des opinions consensuelles et inoffensives n’est pas la liberté (R. Moon, « What happens when the assumptions underlying our commitment to free speech no longer hold? » </w:t>
      </w:r>
      <w:r w:rsidRPr="00BF4072">
        <w:rPr>
          <w:rFonts w:cs="Times New Roman"/>
        </w:rPr>
        <w:t xml:space="preserve">(2019), 28:1 </w:t>
      </w:r>
      <w:r w:rsidRPr="00BF4072">
        <w:rPr>
          <w:rFonts w:cs="Times New Roman"/>
          <w:i/>
        </w:rPr>
        <w:t>Forum const.</w:t>
      </w:r>
      <w:r w:rsidRPr="00BF4072">
        <w:rPr>
          <w:rFonts w:cs="Times New Roman"/>
        </w:rPr>
        <w:t xml:space="preserve"> </w:t>
      </w:r>
      <w:r w:rsidRPr="002539FD">
        <w:rPr>
          <w:rFonts w:cs="Times New Roman"/>
        </w:rPr>
        <w:t xml:space="preserve">1, p. 4). </w:t>
      </w:r>
      <w:r w:rsidRPr="001901D8">
        <w:rPr>
          <w:rFonts w:cs="Times New Roman"/>
        </w:rPr>
        <w:t xml:space="preserve">C’est pourquoi la liberté d’expression ne commence véritablement que lorsqu’elle fait naître un devoir de tolérance envers les propos d’autrui (L. C. Bollinger, </w:t>
      </w:r>
      <w:r w:rsidRPr="001901D8">
        <w:rPr>
          <w:rFonts w:cs="Times New Roman"/>
          <w:i/>
        </w:rPr>
        <w:t>The Tolerant Society</w:t>
      </w:r>
      <w:r w:rsidRPr="001901D8">
        <w:rPr>
          <w:rFonts w:cs="Times New Roman"/>
        </w:rPr>
        <w:t xml:space="preserve"> (1986</w:t>
      </w:r>
      <w:r>
        <w:rPr>
          <w:rFonts w:cs="Times New Roman"/>
        </w:rPr>
        <w:t>)</w:t>
      </w:r>
      <w:r w:rsidRPr="001901D8">
        <w:rPr>
          <w:rFonts w:cs="Times New Roman"/>
        </w:rPr>
        <w:t>; Dworkin (2009), p. vii). Elle assure ainsi le développement d’une société démocratique, ouverte et pluraliste. Compris en ce sens, [</w:t>
      </w:r>
      <w:r w:rsidRPr="001901D8">
        <w:rPr>
          <w:rFonts w:cs="Times New Roman"/>
          <w:smallCaps/>
        </w:rPr>
        <w:t>traduction</w:t>
      </w:r>
      <w:r w:rsidRPr="001901D8">
        <w:rPr>
          <w:rFonts w:cs="Times New Roman"/>
        </w:rPr>
        <w:t xml:space="preserve">] « la liberté d’expression est protégée non pas pour le bénéfice de la personne qui l’exerce, mais dans l’intérêt public, c’est-à-dire qu’elle est protégée parce qu’elle bénéficie à tous ceux qui vivent dans la société où on la respecte, y compris à ceux qui sont indifférents à leur propre liberté » (J. Raz, « Free Expression and Personal Identification » (1991), 11 </w:t>
      </w:r>
      <w:r w:rsidRPr="001901D8">
        <w:rPr>
          <w:rFonts w:cs="Times New Roman"/>
          <w:i/>
        </w:rPr>
        <w:t>Oxford J. Leg. Stud.</w:t>
      </w:r>
      <w:r w:rsidRPr="001901D8">
        <w:rPr>
          <w:rFonts w:cs="Times New Roman"/>
        </w:rPr>
        <w:t xml:space="preserve"> 303, p. 305). </w:t>
      </w:r>
    </w:p>
    <w:p w14:paraId="37E09A6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Les limites à la liberté d’expression se justifient lorsqu’il existe, dans un contexte donné, des raisons sérieuses de craindre un préjudice suffisamment précis auquel le discernement et le jugement critique de l’auditoire ne sauraient faire obstacle (</w:t>
      </w:r>
      <w:r w:rsidRPr="001901D8">
        <w:rPr>
          <w:rFonts w:cs="Times New Roman"/>
          <w:i/>
        </w:rPr>
        <w:t>Whatcott</w:t>
      </w:r>
      <w:r w:rsidRPr="001901D8">
        <w:rPr>
          <w:rFonts w:cs="Times New Roman"/>
        </w:rPr>
        <w:t>, par. 129-135;</w:t>
      </w:r>
      <w:r w:rsidRPr="001901D8">
        <w:rPr>
          <w:rFonts w:cs="Times New Roman"/>
          <w:i/>
        </w:rPr>
        <w:t xml:space="preserve"> </w:t>
      </w:r>
      <w:r w:rsidRPr="001901D8">
        <w:rPr>
          <w:rFonts w:cs="Times New Roman"/>
        </w:rPr>
        <w:t xml:space="preserve">Moon, p. 1-2 et 4). </w:t>
      </w:r>
    </w:p>
    <w:p w14:paraId="3E8F2B0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À titre d’exemple, le droit de la diffamation repose sur l’idée qu’une « bonne réputation [. . .] peut [. . .] être très rapidement et complètement détruite par de fausses allégations. Et une réputation ternie par le libelle peut rarement regagner son lustre passé » (</w:t>
      </w:r>
      <w:r w:rsidRPr="001901D8">
        <w:rPr>
          <w:rFonts w:cs="Times New Roman"/>
          <w:i/>
        </w:rPr>
        <w:t>Hill c. Église de scientologie de Toronto</w:t>
      </w:r>
      <w:r w:rsidRPr="001901D8">
        <w:rPr>
          <w:rFonts w:cs="Times New Roman"/>
        </w:rPr>
        <w:t xml:space="preserve">, [1995] 2 R.C.S. 1130, par. 108; voir aussi </w:t>
      </w:r>
      <w:r w:rsidRPr="001901D8">
        <w:rPr>
          <w:rFonts w:cs="Times New Roman"/>
          <w:i/>
        </w:rPr>
        <w:t>Bou Malhab c. Diffusion Métromédia CMR inc.</w:t>
      </w:r>
      <w:r w:rsidRPr="001901D8">
        <w:rPr>
          <w:rFonts w:cs="Times New Roman"/>
        </w:rPr>
        <w:t>, 2011 CSC 9, [2011] 1 R.C.S. 214, par. 18). De même, l’interdiction des propos haineux se justifie non seulement parce qu’ils causent des troubles psychologiques aux membres d’un groupe vulnérable, mais aussi parce qu’ils répandent dans le discours social des prémisses d’infériorité de nature à rendre la majorité peu à peu insensible et à préparer le terrain en vue d’attaques plus virulentes (</w:t>
      </w:r>
      <w:r w:rsidRPr="001901D8">
        <w:rPr>
          <w:rFonts w:cs="Times New Roman"/>
          <w:i/>
        </w:rPr>
        <w:t>R. c.</w:t>
      </w:r>
      <w:r w:rsidRPr="001901D8">
        <w:rPr>
          <w:rFonts w:cs="Times New Roman"/>
        </w:rPr>
        <w:t xml:space="preserve"> </w:t>
      </w:r>
      <w:r w:rsidRPr="001901D8">
        <w:rPr>
          <w:rFonts w:cs="Times New Roman"/>
          <w:i/>
        </w:rPr>
        <w:t>Keegstra</w:t>
      </w:r>
      <w:r w:rsidRPr="001901D8">
        <w:rPr>
          <w:rFonts w:cs="Times New Roman"/>
        </w:rPr>
        <w:t xml:space="preserve">, [1990] 3 R.C.S. 697, p. 746-748; </w:t>
      </w:r>
      <w:r w:rsidRPr="001901D8">
        <w:rPr>
          <w:rFonts w:cs="Times New Roman"/>
          <w:i/>
        </w:rPr>
        <w:t>Canada (Commission des</w:t>
      </w:r>
      <w:r w:rsidRPr="001901D8">
        <w:rPr>
          <w:rFonts w:cs="Times New Roman"/>
        </w:rPr>
        <w:t xml:space="preserve"> </w:t>
      </w:r>
      <w:r w:rsidRPr="001901D8">
        <w:rPr>
          <w:rFonts w:cs="Times New Roman"/>
          <w:i/>
        </w:rPr>
        <w:t>droits de la personne) c. Taylor</w:t>
      </w:r>
      <w:r w:rsidRPr="001901D8">
        <w:rPr>
          <w:rFonts w:cs="Times New Roman"/>
        </w:rPr>
        <w:t>, [1990] 3 R.C.S. 892, p. 918</w:t>
      </w:r>
      <w:r>
        <w:rPr>
          <w:rFonts w:cs="Times New Roman"/>
        </w:rPr>
        <w:noBreakHyphen/>
      </w:r>
      <w:r w:rsidRPr="001901D8">
        <w:rPr>
          <w:rFonts w:cs="Times New Roman"/>
        </w:rPr>
        <w:t>919;</w:t>
      </w:r>
      <w:r w:rsidRPr="001901D8">
        <w:rPr>
          <w:rFonts w:cs="Times New Roman"/>
          <w:i/>
        </w:rPr>
        <w:t xml:space="preserve"> Whatcott</w:t>
      </w:r>
      <w:r w:rsidRPr="001901D8">
        <w:rPr>
          <w:rFonts w:cs="Times New Roman"/>
        </w:rPr>
        <w:t>, par. 74). Un préjudice social similaire justifie l’interdiction d’exposer au public certains types de matériel obscène qui véhicule des représentations dégradantes et déshumanisantes de choses sexuelles comme étant normales, acceptables et même désirables, dans la mesure où ce type de matériel prédispose ceux qui y sont exposés à des comportements de violence sexuelle incompatibles avec le bon fonctionnement de la société (</w:t>
      </w:r>
      <w:r w:rsidRPr="001901D8">
        <w:rPr>
          <w:rFonts w:cs="Times New Roman"/>
          <w:i/>
        </w:rPr>
        <w:t>R. c.</w:t>
      </w:r>
      <w:r w:rsidRPr="001901D8">
        <w:rPr>
          <w:rFonts w:cs="Times New Roman"/>
        </w:rPr>
        <w:t xml:space="preserve"> </w:t>
      </w:r>
      <w:r w:rsidRPr="001901D8">
        <w:rPr>
          <w:rFonts w:cs="Times New Roman"/>
          <w:i/>
        </w:rPr>
        <w:t>Butler</w:t>
      </w:r>
      <w:r w:rsidRPr="001901D8">
        <w:rPr>
          <w:rFonts w:cs="Times New Roman"/>
        </w:rPr>
        <w:t xml:space="preserve">, [1992] 1 R.C.S. 452, p. 493-497 et 501-502; </w:t>
      </w:r>
      <w:r w:rsidRPr="001901D8">
        <w:rPr>
          <w:rFonts w:cs="Times New Roman"/>
          <w:i/>
        </w:rPr>
        <w:t>Little Sisters Book and Art Emporium c. Canada (Ministre de la Justice)</w:t>
      </w:r>
      <w:r w:rsidRPr="001901D8">
        <w:rPr>
          <w:rFonts w:cs="Times New Roman"/>
        </w:rPr>
        <w:t xml:space="preserve">, 2000 CSC 69, [2000] 2 R.C.S. 1120, par. 59-60; voir, dans le même sens, </w:t>
      </w:r>
      <w:r w:rsidRPr="001901D8">
        <w:rPr>
          <w:rFonts w:cs="Times New Roman"/>
          <w:i/>
        </w:rPr>
        <w:t>R. c. Sharpe</w:t>
      </w:r>
      <w:r w:rsidRPr="001901D8">
        <w:rPr>
          <w:rFonts w:cs="Times New Roman"/>
        </w:rPr>
        <w:t>, 2001 CSC 2, [2001] 1 R.C.S. 45, par. 34 et 88-92). À l’inverse, l’interdiction de publier de fausses nouvelles a été jugée inconstitutionnelle, car elle reposait sur une définition très vague du préjudice social à enrayer, définition qui lui conférait une portée beaucoup trop large (</w:t>
      </w:r>
      <w:r w:rsidRPr="001901D8">
        <w:rPr>
          <w:rFonts w:cs="Times New Roman"/>
          <w:i/>
        </w:rPr>
        <w:t>Zundel</w:t>
      </w:r>
      <w:r w:rsidRPr="001901D8">
        <w:rPr>
          <w:rFonts w:cs="Times New Roman"/>
        </w:rPr>
        <w:t xml:space="preserve">, p. 769-775). </w:t>
      </w:r>
    </w:p>
    <w:p w14:paraId="15731A7E"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notre avis, les limites à la liberté d’expression se justifient aussi lorsque celle-ci sert à diffuser des propos qui, même s’ils ne répondent pas tout à fait à la définition de la haine donnée dans l’arrêt </w:t>
      </w:r>
      <w:r w:rsidRPr="001901D8">
        <w:rPr>
          <w:rFonts w:cs="Times New Roman"/>
          <w:i/>
        </w:rPr>
        <w:t>Whatcott</w:t>
      </w:r>
      <w:r w:rsidRPr="001901D8">
        <w:rPr>
          <w:rFonts w:cs="Times New Roman"/>
        </w:rPr>
        <w:t>, ont néanmoins pour effet de forcer certaines personnes « à défendre leur propre humanité fondamentale ou leur propre statut social avant même d’être admis</w:t>
      </w:r>
      <w:r w:rsidRPr="00300C0B">
        <w:rPr>
          <w:rFonts w:cs="Times New Roman"/>
        </w:rPr>
        <w:t>[</w:t>
      </w:r>
      <w:r>
        <w:rPr>
          <w:rFonts w:cs="Times New Roman"/>
        </w:rPr>
        <w:t>es]</w:t>
      </w:r>
      <w:r w:rsidRPr="001901D8">
        <w:rPr>
          <w:rFonts w:cs="Times New Roman"/>
        </w:rPr>
        <w:t xml:space="preserve"> à participer au débat démocratique » (</w:t>
      </w:r>
      <w:r w:rsidRPr="001901D8">
        <w:rPr>
          <w:rFonts w:cs="Times New Roman"/>
          <w:i/>
        </w:rPr>
        <w:t>Whatcott</w:t>
      </w:r>
      <w:r w:rsidRPr="001901D8">
        <w:rPr>
          <w:rFonts w:cs="Times New Roman"/>
        </w:rPr>
        <w:t>,</w:t>
      </w:r>
      <w:r w:rsidRPr="001901D8">
        <w:rPr>
          <w:rFonts w:cs="Times New Roman"/>
          <w:i/>
        </w:rPr>
        <w:t xml:space="preserve"> </w:t>
      </w:r>
      <w:r w:rsidRPr="001901D8">
        <w:rPr>
          <w:rFonts w:cs="Times New Roman"/>
        </w:rPr>
        <w:t xml:space="preserve">par. 75; voir aussi </w:t>
      </w:r>
      <w:r w:rsidRPr="001901D8">
        <w:rPr>
          <w:rFonts w:cs="Times New Roman"/>
          <w:i/>
        </w:rPr>
        <w:t>Keegstra</w:t>
      </w:r>
      <w:r w:rsidRPr="001901D8">
        <w:rPr>
          <w:rFonts w:cs="Times New Roman"/>
        </w:rPr>
        <w:t xml:space="preserve">, p. 765). Comme l’écrit le professeur Waldron : </w:t>
      </w:r>
    </w:p>
    <w:p w14:paraId="7BCC10E9" w14:textId="77777777" w:rsidR="00116CBE" w:rsidRPr="001901D8" w:rsidRDefault="00116CBE" w:rsidP="00116CBE">
      <w:pPr>
        <w:pStyle w:val="Citation-AltC"/>
      </w:pPr>
      <w:r w:rsidRPr="001901D8">
        <w:t>[</w:t>
      </w:r>
      <w:r w:rsidRPr="001901D8">
        <w:rPr>
          <w:smallCaps/>
        </w:rPr>
        <w:t>traduction</w:t>
      </w:r>
      <w:r w:rsidRPr="001901D8">
        <w:t xml:space="preserve">] </w:t>
      </w:r>
      <w:r w:rsidRPr="00E92E9A">
        <w:t>[</w:t>
      </w:r>
      <w:r w:rsidRPr="001901D8">
        <w:t>U</w:t>
      </w:r>
      <w:r>
        <w:t>]</w:t>
      </w:r>
      <w:r w:rsidRPr="001901D8">
        <w:t>ne personne [doit pouvoir] se promener dans les rues sans craindre les insultes ou les humiliations, trouver des commerces et des marchés dont les portes lui seront ouvertes, et interagir en société avec l’assurance implicite qu’on ne le traitera pas en paria. [p. 220]</w:t>
      </w:r>
    </w:p>
    <w:p w14:paraId="5EB1C33D" w14:textId="77777777" w:rsidR="00116CBE" w:rsidRPr="001901D8" w:rsidRDefault="00116CBE" w:rsidP="00116CBE">
      <w:pPr>
        <w:pStyle w:val="ParaNoNdepar-AltN"/>
        <w:numPr>
          <w:ilvl w:val="0"/>
          <w:numId w:val="0"/>
        </w:numPr>
        <w:rPr>
          <w:rFonts w:cs="Times New Roman"/>
        </w:rPr>
      </w:pPr>
      <w:r w:rsidRPr="001901D8">
        <w:rPr>
          <w:rFonts w:cs="Times New Roman"/>
        </w:rPr>
        <w:t xml:space="preserve">La liberté d’expression ne bénéficierait pas à l’ensemble de la société si elle empêchait une personne ou une catégorie de personnes de participer réellement au processus politique et aux activités ordinaires de la société au même titre que n’importe qui. </w:t>
      </w:r>
    </w:p>
    <w:p w14:paraId="649BDA18"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Il est entendu que ces limites s’appliquent aussi dans un contexte artistique. Notre Cour a déjà reconnu, dans l’arrêt </w:t>
      </w:r>
      <w:r w:rsidRPr="001901D8">
        <w:rPr>
          <w:rFonts w:cs="Times New Roman"/>
          <w:i/>
        </w:rPr>
        <w:t>Butler</w:t>
      </w:r>
      <w:r w:rsidRPr="001901D8">
        <w:rPr>
          <w:rFonts w:cs="Times New Roman"/>
        </w:rPr>
        <w:t>, que l’expression artistique est au cœur des valeurs à la base de la liberté d’expression (p. 486). Elle a pourtant refusé d’en faire une catégorie à part entière, dont le statut serait supérieur à celui de la liberté d’expression générale (</w:t>
      </w:r>
      <w:r w:rsidRPr="001901D8">
        <w:rPr>
          <w:rFonts w:cs="Times New Roman"/>
          <w:i/>
        </w:rPr>
        <w:t>Aubry</w:t>
      </w:r>
      <w:r w:rsidRPr="001901D8">
        <w:rPr>
          <w:rFonts w:cs="Times New Roman"/>
        </w:rPr>
        <w:t xml:space="preserve">, par. 55). Il n’y a pas lieu de revenir sur cette position. Le contexte artistique d’une activité expressive est et sera toujours pertinent, comme le démontre bien la jurisprudence de notre Cour. En effet, depuis l’arrêt </w:t>
      </w:r>
      <w:r w:rsidRPr="001901D8">
        <w:rPr>
          <w:rFonts w:cs="Times New Roman"/>
          <w:i/>
        </w:rPr>
        <w:t>Brodie, Dansky and Rubin c. The Queen</w:t>
      </w:r>
      <w:r w:rsidRPr="001901D8">
        <w:rPr>
          <w:rFonts w:cs="Times New Roman"/>
        </w:rPr>
        <w:t>,</w:t>
      </w:r>
      <w:r w:rsidRPr="001901D8">
        <w:rPr>
          <w:rFonts w:cs="Times New Roman"/>
          <w:i/>
        </w:rPr>
        <w:t xml:space="preserve"> </w:t>
      </w:r>
      <w:r w:rsidRPr="001901D8">
        <w:rPr>
          <w:rFonts w:cs="Times New Roman"/>
        </w:rPr>
        <w:t xml:space="preserve">[1962] R.C.S. 681, où il était question de censurer </w:t>
      </w:r>
      <w:r w:rsidRPr="001901D8">
        <w:rPr>
          <w:rFonts w:cs="Times New Roman"/>
          <w:i/>
        </w:rPr>
        <w:t>L’Amant de lady Chatterley</w:t>
      </w:r>
      <w:r w:rsidRPr="001901D8">
        <w:rPr>
          <w:rFonts w:cs="Times New Roman"/>
        </w:rPr>
        <w:t xml:space="preserve">, un roman de D. H. Lawrence, notre Cour s’est montrée très réticente à freiner l’évolution des arts et des lettres (voir, p. ex., </w:t>
      </w:r>
      <w:r w:rsidRPr="001901D8">
        <w:rPr>
          <w:rFonts w:cs="Times New Roman"/>
          <w:i/>
        </w:rPr>
        <w:t>Butler</w:t>
      </w:r>
      <w:r w:rsidRPr="001901D8">
        <w:rPr>
          <w:rFonts w:cs="Times New Roman"/>
        </w:rPr>
        <w:t>, p. 486;</w:t>
      </w:r>
      <w:r w:rsidRPr="001901D8">
        <w:rPr>
          <w:rFonts w:cs="Times New Roman"/>
          <w:i/>
        </w:rPr>
        <w:t xml:space="preserve"> Little Sisters</w:t>
      </w:r>
      <w:r w:rsidRPr="001901D8">
        <w:rPr>
          <w:rFonts w:cs="Times New Roman"/>
        </w:rPr>
        <w:t xml:space="preserve">, par. 195-196, le juge Iacobucci, dissident sur un autre point). À notre avis toutefois, la liberté d’expression ne saurait conférer à l’artiste, si tant est qu’il puisse se qualifier ainsi, un degré de protection supérieur à celui de ses concitoyens. </w:t>
      </w:r>
    </w:p>
    <w:p w14:paraId="4A0AA9E1" w14:textId="77777777" w:rsidR="00116CBE" w:rsidRPr="001901D8" w:rsidRDefault="00116CBE" w:rsidP="00116CBE">
      <w:pPr>
        <w:pStyle w:val="Title3LevelTitre3Niveau"/>
        <w:numPr>
          <w:ilvl w:val="2"/>
          <w:numId w:val="8"/>
        </w:numPr>
        <w:rPr>
          <w:rFonts w:cs="Times New Roman"/>
          <w:lang w:val="fr-CA"/>
        </w:rPr>
      </w:pPr>
      <w:bookmarkStart w:id="85" w:name="_Toc71277688"/>
      <w:bookmarkStart w:id="86" w:name="_Toc74300992"/>
      <w:bookmarkStart w:id="87" w:name="_Toc77683259"/>
      <w:bookmarkStart w:id="88" w:name="_Toc78294052"/>
      <w:bookmarkStart w:id="89" w:name="_Toc83114026"/>
      <w:r w:rsidRPr="001901D8">
        <w:rPr>
          <w:rFonts w:cs="Times New Roman"/>
          <w:lang w:val="fr-CA"/>
        </w:rPr>
        <w:t xml:space="preserve">Démarche adoptée dans l’arrêt </w:t>
      </w:r>
      <w:r w:rsidRPr="001901D8">
        <w:rPr>
          <w:rFonts w:cs="Times New Roman"/>
          <w:i/>
          <w:lang w:val="fr-CA"/>
        </w:rPr>
        <w:t>Whatcott</w:t>
      </w:r>
      <w:bookmarkEnd w:id="85"/>
      <w:bookmarkEnd w:id="86"/>
      <w:bookmarkEnd w:id="87"/>
      <w:bookmarkEnd w:id="88"/>
      <w:bookmarkEnd w:id="89"/>
    </w:p>
    <w:p w14:paraId="1623EA71"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Dans l’arrêt </w:t>
      </w:r>
      <w:r w:rsidRPr="001901D8">
        <w:rPr>
          <w:rFonts w:cs="Times New Roman"/>
          <w:i/>
        </w:rPr>
        <w:t>Whatcott</w:t>
      </w:r>
      <w:r w:rsidRPr="001901D8">
        <w:rPr>
          <w:rFonts w:cs="Times New Roman"/>
        </w:rPr>
        <w:t xml:space="preserve">, notre Cour s’est prononcée sur la constitutionnalité, au regard de l’al. 2b) de la </w:t>
      </w:r>
      <w:r w:rsidRPr="001901D8">
        <w:rPr>
          <w:rFonts w:cs="Times New Roman"/>
          <w:i/>
        </w:rPr>
        <w:t>Charte canadienne</w:t>
      </w:r>
      <w:r w:rsidRPr="001901D8">
        <w:rPr>
          <w:rFonts w:cs="Times New Roman"/>
        </w:rPr>
        <w:t xml:space="preserve">, de l’interdiction des propos haineux édictée à l’al. 14(1)(b) du </w:t>
      </w:r>
      <w:r w:rsidRPr="001901D8">
        <w:rPr>
          <w:rFonts w:cs="Times New Roman"/>
          <w:i/>
        </w:rPr>
        <w:t>Saskatchewan Human Rights Code</w:t>
      </w:r>
      <w:r w:rsidRPr="001901D8">
        <w:rPr>
          <w:rFonts w:cs="Times New Roman"/>
        </w:rPr>
        <w:t>, S.S. 1979, c. S</w:t>
      </w:r>
      <w:r w:rsidRPr="001901D8">
        <w:rPr>
          <w:rFonts w:cs="Times New Roman"/>
        </w:rPr>
        <w:noBreakHyphen/>
        <w:t>24.1. Dans le cadre de cet exercice, la Cour devait « trouver un juste équilibre entre, d’une part, les valeurs fondamentales sous‑jacentes à la liberté d’expression [. . .], et, d’autre part, [. . .] la promotion de l’égalité et du respect de chaque groupe et de la dignité inhérente à tout être humain » (</w:t>
      </w:r>
      <w:r w:rsidRPr="001901D8">
        <w:rPr>
          <w:rFonts w:cs="Times New Roman"/>
          <w:i/>
        </w:rPr>
        <w:t>Whatcott</w:t>
      </w:r>
      <w:r w:rsidRPr="001901D8">
        <w:rPr>
          <w:rFonts w:cs="Times New Roman"/>
        </w:rPr>
        <w:t>, par. 66).</w:t>
      </w:r>
    </w:p>
    <w:p w14:paraId="7AE5B263"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Les différences entre le </w:t>
      </w:r>
      <w:r w:rsidRPr="001901D8">
        <w:rPr>
          <w:rFonts w:cs="Times New Roman"/>
          <w:i/>
        </w:rPr>
        <w:t>Saskatchewan Human Rights Code</w:t>
      </w:r>
      <w:r w:rsidRPr="001901D8">
        <w:rPr>
          <w:rFonts w:cs="Times New Roman"/>
        </w:rPr>
        <w:t xml:space="preserve"> et la </w:t>
      </w:r>
      <w:r w:rsidRPr="001901D8">
        <w:rPr>
          <w:rFonts w:cs="Times New Roman"/>
          <w:i/>
        </w:rPr>
        <w:t>Charte québécoise</w:t>
      </w:r>
      <w:r w:rsidRPr="001901D8">
        <w:rPr>
          <w:rFonts w:cs="Times New Roman"/>
        </w:rPr>
        <w:t xml:space="preserve"> ne diminuent en rien, à notre avis, l’importance des enseignements de l’arrêt </w:t>
      </w:r>
      <w:r w:rsidRPr="001901D8">
        <w:rPr>
          <w:rFonts w:cs="Times New Roman"/>
          <w:i/>
        </w:rPr>
        <w:t>Whatcott</w:t>
      </w:r>
      <w:r w:rsidRPr="001901D8">
        <w:rPr>
          <w:rFonts w:cs="Times New Roman"/>
        </w:rPr>
        <w:t xml:space="preserve"> pour répondre à la question qui se pose en l’espèce. Par souci de clarté, nous reproduisons ici les dispositions pertinentes du </w:t>
      </w:r>
      <w:r w:rsidRPr="001901D8">
        <w:rPr>
          <w:rFonts w:cs="Times New Roman"/>
          <w:i/>
        </w:rPr>
        <w:t>Saskatchewan Human Rights Code</w:t>
      </w:r>
      <w:r w:rsidRPr="001901D8">
        <w:rPr>
          <w:rFonts w:cs="Times New Roman"/>
        </w:rPr>
        <w:t> :</w:t>
      </w:r>
    </w:p>
    <w:p w14:paraId="58F968CA" w14:textId="77777777" w:rsidR="00116CBE" w:rsidRPr="001901D8" w:rsidRDefault="00116CBE" w:rsidP="00116CBE">
      <w:pPr>
        <w:pStyle w:val="Citation-AltC"/>
      </w:pPr>
      <w:r w:rsidRPr="001901D8">
        <w:t>[</w:t>
      </w:r>
      <w:r w:rsidRPr="001901D8">
        <w:rPr>
          <w:smallCaps/>
        </w:rPr>
        <w:t>traduction</w:t>
      </w:r>
      <w:r w:rsidRPr="001901D8">
        <w:t>]</w:t>
      </w:r>
    </w:p>
    <w:p w14:paraId="7335EBB7" w14:textId="77777777" w:rsidR="00116CBE" w:rsidRPr="001901D8" w:rsidRDefault="00116CBE" w:rsidP="00116CBE">
      <w:pPr>
        <w:pStyle w:val="Citation-AltC"/>
        <w:rPr>
          <w:b/>
        </w:rPr>
      </w:pPr>
    </w:p>
    <w:p w14:paraId="76A0BF9E" w14:textId="77777777" w:rsidR="00116CBE" w:rsidRPr="001901D8" w:rsidRDefault="00116CBE" w:rsidP="00116CBE">
      <w:pPr>
        <w:pStyle w:val="Citation-AltC"/>
      </w:pPr>
      <w:r w:rsidRPr="001901D8">
        <w:rPr>
          <w:b/>
        </w:rPr>
        <w:t>3</w:t>
      </w:r>
      <w:r w:rsidRPr="001901D8">
        <w:t xml:space="preserve"> La présente loi a pour objet :</w:t>
      </w:r>
    </w:p>
    <w:p w14:paraId="0FE3FF38" w14:textId="77777777" w:rsidR="00116CBE" w:rsidRPr="001901D8" w:rsidRDefault="00116CBE" w:rsidP="00116CBE">
      <w:pPr>
        <w:pStyle w:val="Citation-AltC"/>
      </w:pPr>
    </w:p>
    <w:p w14:paraId="38C2D3B2" w14:textId="77777777" w:rsidR="00116CBE" w:rsidRPr="001901D8" w:rsidRDefault="00116CBE" w:rsidP="00116CBE">
      <w:pPr>
        <w:pStyle w:val="Citation-AltC"/>
        <w:ind w:left="1440"/>
      </w:pPr>
      <w:r w:rsidRPr="001901D8">
        <w:t xml:space="preserve">(a) de promouvoir la </w:t>
      </w:r>
      <w:r w:rsidRPr="001901D8">
        <w:rPr>
          <w:u w:val="single"/>
        </w:rPr>
        <w:t>reconnaissance de la dignité inhérente à tous les membres de la famille humaine</w:t>
      </w:r>
      <w:r w:rsidRPr="001901D8">
        <w:t xml:space="preserve"> et de leurs droits égaux et inaliénables;</w:t>
      </w:r>
    </w:p>
    <w:p w14:paraId="25403107" w14:textId="77777777" w:rsidR="00116CBE" w:rsidRPr="001901D8" w:rsidRDefault="00116CBE" w:rsidP="00116CBE">
      <w:pPr>
        <w:pStyle w:val="Citation-AltC"/>
      </w:pPr>
    </w:p>
    <w:p w14:paraId="2AA59975" w14:textId="77777777" w:rsidR="00116CBE" w:rsidRPr="001901D8" w:rsidRDefault="00116CBE" w:rsidP="00116CBE">
      <w:pPr>
        <w:pStyle w:val="Citation-AltC"/>
        <w:ind w:left="1440"/>
      </w:pPr>
      <w:r w:rsidRPr="001901D8">
        <w:t xml:space="preserve">(b) de favoriser en Saskatchewan l’application du principe que toutes les personnes sont </w:t>
      </w:r>
      <w:r w:rsidRPr="001901D8">
        <w:rPr>
          <w:u w:val="single"/>
        </w:rPr>
        <w:t>libres et égales en droits et en dignité</w:t>
      </w:r>
      <w:r w:rsidRPr="001901D8">
        <w:t>, et de prévenir et d’éliminer la discrimination.</w:t>
      </w:r>
    </w:p>
    <w:p w14:paraId="2DFCF506" w14:textId="77777777" w:rsidR="00116CBE" w:rsidRPr="001901D8" w:rsidRDefault="00116CBE" w:rsidP="00116CBE">
      <w:pPr>
        <w:pStyle w:val="Citation-AltC"/>
      </w:pPr>
    </w:p>
    <w:p w14:paraId="5C50A0A6" w14:textId="77777777" w:rsidR="00116CBE" w:rsidRPr="001901D8" w:rsidRDefault="00116CBE" w:rsidP="00116CBE">
      <w:pPr>
        <w:pStyle w:val="Citation-AltC"/>
        <w:jc w:val="center"/>
      </w:pPr>
      <w:r w:rsidRPr="001901D8">
        <w:t>. . .</w:t>
      </w:r>
    </w:p>
    <w:p w14:paraId="1C2FE65C" w14:textId="77777777" w:rsidR="00116CBE" w:rsidRPr="001901D8" w:rsidRDefault="00116CBE" w:rsidP="00116CBE">
      <w:pPr>
        <w:pStyle w:val="Citation-AltC"/>
      </w:pPr>
    </w:p>
    <w:p w14:paraId="74A51A08" w14:textId="77777777" w:rsidR="00116CBE" w:rsidRPr="001901D8" w:rsidRDefault="00116CBE" w:rsidP="00116CBE">
      <w:pPr>
        <w:pStyle w:val="Citation-AltC"/>
      </w:pPr>
      <w:r w:rsidRPr="001901D8">
        <w:rPr>
          <w:b/>
        </w:rPr>
        <w:t>5</w:t>
      </w:r>
      <w:r w:rsidRPr="001901D8">
        <w:t xml:space="preserve"> Chacun [. . .] jouit, en vertu de la loi, de la liberté d’expression par tout moyen de communication [. . .] et tout moyen de diffusion . . .</w:t>
      </w:r>
    </w:p>
    <w:p w14:paraId="7CE49119" w14:textId="77777777" w:rsidR="00116CBE" w:rsidRPr="001901D8" w:rsidRDefault="00116CBE" w:rsidP="00116CBE">
      <w:pPr>
        <w:pStyle w:val="Citation-AltC"/>
      </w:pPr>
    </w:p>
    <w:p w14:paraId="679F775F" w14:textId="77777777" w:rsidR="00116CBE" w:rsidRPr="001901D8" w:rsidRDefault="00116CBE" w:rsidP="00116CBE">
      <w:pPr>
        <w:pStyle w:val="Citation-AltC"/>
        <w:jc w:val="center"/>
      </w:pPr>
      <w:r w:rsidRPr="001901D8">
        <w:t>. . .</w:t>
      </w:r>
    </w:p>
    <w:p w14:paraId="6BB36B20" w14:textId="77777777" w:rsidR="00116CBE" w:rsidRPr="001901D8" w:rsidRDefault="00116CBE" w:rsidP="00116CBE">
      <w:pPr>
        <w:pStyle w:val="Citation-AltC"/>
      </w:pPr>
    </w:p>
    <w:p w14:paraId="5D218EE1" w14:textId="77777777" w:rsidR="00116CBE" w:rsidRPr="001901D8" w:rsidRDefault="00116CBE" w:rsidP="00116CBE">
      <w:pPr>
        <w:pStyle w:val="Citation-AltC"/>
      </w:pPr>
      <w:r w:rsidRPr="001901D8">
        <w:rPr>
          <w:b/>
        </w:rPr>
        <w:t xml:space="preserve">14 </w:t>
      </w:r>
      <w:r w:rsidRPr="001901D8">
        <w:t>(1) Nul ne doit publier ou exposer [. . .] une représentation [. . .] qui :</w:t>
      </w:r>
    </w:p>
    <w:p w14:paraId="6B732913" w14:textId="77777777" w:rsidR="00116CBE" w:rsidRPr="001901D8" w:rsidRDefault="00116CBE" w:rsidP="00116CBE">
      <w:pPr>
        <w:pStyle w:val="Citation-AltC"/>
      </w:pPr>
    </w:p>
    <w:p w14:paraId="3BFBA7DA" w14:textId="77777777" w:rsidR="00116CBE" w:rsidRPr="001901D8" w:rsidRDefault="00116CBE" w:rsidP="00116CBE">
      <w:pPr>
        <w:pStyle w:val="Citation-AltC"/>
        <w:jc w:val="center"/>
      </w:pPr>
      <w:r w:rsidRPr="001901D8">
        <w:t>. . .</w:t>
      </w:r>
    </w:p>
    <w:p w14:paraId="40632A0A" w14:textId="77777777" w:rsidR="00116CBE" w:rsidRPr="001901D8" w:rsidRDefault="00116CBE" w:rsidP="00116CBE">
      <w:pPr>
        <w:pStyle w:val="Citation-AltC"/>
      </w:pPr>
    </w:p>
    <w:p w14:paraId="3750A54A" w14:textId="77777777" w:rsidR="00116CBE" w:rsidRPr="001901D8" w:rsidRDefault="00116CBE" w:rsidP="00116CBE">
      <w:pPr>
        <w:pStyle w:val="Citation-AltC"/>
        <w:ind w:left="1440"/>
      </w:pPr>
      <w:r w:rsidRPr="001901D8">
        <w:t xml:space="preserve">(b) pour un motif de distinction illicite, expose ou tend à exposer une personne ou une catégorie de personnes à la haine, </w:t>
      </w:r>
      <w:r w:rsidRPr="001901D8">
        <w:rPr>
          <w:u w:val="single"/>
        </w:rPr>
        <w:t>les ridiculise, les rabaisse ou porte par ailleurs atteinte à leur dignité</w:t>
      </w:r>
      <w:r w:rsidRPr="001901D8">
        <w:t>.</w:t>
      </w:r>
    </w:p>
    <w:p w14:paraId="2BE1D1B0" w14:textId="77777777" w:rsidR="00116CBE" w:rsidRPr="001901D8" w:rsidRDefault="00116CBE" w:rsidP="00116CBE">
      <w:pPr>
        <w:pStyle w:val="Citation-AltC"/>
      </w:pPr>
    </w:p>
    <w:p w14:paraId="1136238F" w14:textId="77777777" w:rsidR="00116CBE" w:rsidRPr="001901D8" w:rsidRDefault="00116CBE" w:rsidP="00116CBE">
      <w:pPr>
        <w:pStyle w:val="Citation-AltC"/>
      </w:pPr>
      <w:r w:rsidRPr="001901D8">
        <w:t>(2) Le paragraphe (1) n’a pas pour effet de restreindre le droit à la liberté d’expression reconnu par la loi sur quelque sujet que ce soit.</w:t>
      </w:r>
    </w:p>
    <w:p w14:paraId="64FED786"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Contrairement à la </w:t>
      </w:r>
      <w:r w:rsidRPr="001901D8">
        <w:rPr>
          <w:rFonts w:cs="Times New Roman"/>
          <w:i/>
        </w:rPr>
        <w:t>Charte québécoise</w:t>
      </w:r>
      <w:r w:rsidRPr="001901D8">
        <w:rPr>
          <w:rFonts w:cs="Times New Roman"/>
        </w:rPr>
        <w:t xml:space="preserve">, le </w:t>
      </w:r>
      <w:r w:rsidRPr="001901D8">
        <w:rPr>
          <w:rFonts w:cs="Times New Roman"/>
          <w:i/>
        </w:rPr>
        <w:t>Saskatchewan Human Rights Code</w:t>
      </w:r>
      <w:r w:rsidRPr="001901D8">
        <w:rPr>
          <w:rFonts w:cs="Times New Roman"/>
        </w:rPr>
        <w:t xml:space="preserve"> ne confère pas de droit positif à la « sauvegarde de [l]a dignité, de [l’]honneur et de [l]a réputation ». Il n’en demeure pas moins que l’al. 14(1)(b) du </w:t>
      </w:r>
      <w:r w:rsidRPr="001901D8">
        <w:rPr>
          <w:rFonts w:cs="Times New Roman"/>
          <w:i/>
        </w:rPr>
        <w:t>Saskatchewan Human Rights Code</w:t>
      </w:r>
      <w:r w:rsidRPr="001901D8">
        <w:rPr>
          <w:rFonts w:cs="Times New Roman"/>
        </w:rPr>
        <w:t xml:space="preserve"> protège des droits et des intérêts similaires à ceux garantis par les art. 4 et 10 de la </w:t>
      </w:r>
      <w:r w:rsidRPr="001901D8">
        <w:rPr>
          <w:rFonts w:cs="Times New Roman"/>
          <w:i/>
        </w:rPr>
        <w:t>Charte québécoise</w:t>
      </w:r>
      <w:r w:rsidRPr="001901D8">
        <w:rPr>
          <w:rFonts w:cs="Times New Roman"/>
        </w:rPr>
        <w:t xml:space="preserve"> (</w:t>
      </w:r>
      <w:r w:rsidRPr="001901D8">
        <w:rPr>
          <w:rFonts w:cs="Times New Roman"/>
          <w:i/>
        </w:rPr>
        <w:t>Whatcott</w:t>
      </w:r>
      <w:r w:rsidRPr="001901D8">
        <w:rPr>
          <w:rFonts w:cs="Times New Roman"/>
        </w:rPr>
        <w:t xml:space="preserve">, par. 66 et 70). Les verbes « ridiculiser », « rabaisser » et « porter atteinte à la dignité » renvoient d’ailleurs à des actions négatrices de la réputation, de l’honneur et de la dignité d’une personne. </w:t>
      </w:r>
    </w:p>
    <w:p w14:paraId="1F9F20D3"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D’ailleurs, la jurisprudence de la Cour établit « qu’il ne faut pas se réfugier derrière des différences de terminologie pour conclure à des divergences fondamentales entre les objectifs poursuivis par les lois en matière de droits de la personne » et que, en conséquence, la </w:t>
      </w:r>
      <w:r w:rsidRPr="001901D8">
        <w:rPr>
          <w:rFonts w:cs="Times New Roman"/>
          <w:i/>
        </w:rPr>
        <w:t>Charte québécoise</w:t>
      </w:r>
      <w:r w:rsidRPr="001901D8">
        <w:rPr>
          <w:rFonts w:cs="Times New Roman"/>
        </w:rPr>
        <w:t xml:space="preserve"> devrait s’interpréter « </w:t>
      </w:r>
      <w:r w:rsidRPr="001901D8">
        <w:rPr>
          <w:rFonts w:cs="Times New Roman"/>
          <w:u w:val="single"/>
        </w:rPr>
        <w:t xml:space="preserve">à la lumière de la </w:t>
      </w:r>
      <w:r w:rsidRPr="001901D8">
        <w:rPr>
          <w:rFonts w:cs="Times New Roman"/>
          <w:i/>
          <w:u w:val="single"/>
        </w:rPr>
        <w:t>Charte canadienne</w:t>
      </w:r>
      <w:r w:rsidRPr="001901D8">
        <w:rPr>
          <w:rFonts w:cs="Times New Roman"/>
          <w:u w:val="single"/>
        </w:rPr>
        <w:t xml:space="preserve"> et des autres lois en matière de droits de la personne</w:t>
      </w:r>
      <w:r w:rsidRPr="001901D8">
        <w:rPr>
          <w:rFonts w:cs="Times New Roman"/>
        </w:rPr>
        <w:t> » (</w:t>
      </w:r>
      <w:r w:rsidRPr="001901D8">
        <w:rPr>
          <w:rFonts w:cs="Times New Roman"/>
          <w:i/>
        </w:rPr>
        <w:t>CDPDJ c. Montréal</w:t>
      </w:r>
      <w:r w:rsidRPr="001901D8">
        <w:rPr>
          <w:rFonts w:cs="Times New Roman"/>
        </w:rPr>
        <w:t xml:space="preserve">, par. 46-47 (nous soulignons)). En conséquence, dans la mesure où cela n’est pas incompatible avec les règles usuelles d’interprétation, la symétrie dans l’interprétation des divers instruments de protection des droits et libertés de la personne est souhaitable. </w:t>
      </w:r>
    </w:p>
    <w:p w14:paraId="36BAFCC5"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 fait que le </w:t>
      </w:r>
      <w:r w:rsidRPr="001901D8">
        <w:rPr>
          <w:rFonts w:cs="Times New Roman"/>
          <w:i/>
        </w:rPr>
        <w:t>Saskatchewan Human Rights Code</w:t>
      </w:r>
      <w:r w:rsidRPr="001901D8">
        <w:rPr>
          <w:rFonts w:cs="Times New Roman"/>
        </w:rPr>
        <w:t xml:space="preserve"> assure le respect de la dignité humaine au moyen d’une limitation de la liberté d’expression, au lieu de garantir deux droits positifs concurrents comme le fait la </w:t>
      </w:r>
      <w:r w:rsidRPr="001901D8">
        <w:rPr>
          <w:rFonts w:cs="Times New Roman"/>
          <w:i/>
        </w:rPr>
        <w:t>Charte québécoise</w:t>
      </w:r>
      <w:r w:rsidRPr="001901D8">
        <w:rPr>
          <w:rFonts w:cs="Times New Roman"/>
        </w:rPr>
        <w:t xml:space="preserve">, tient à une différence de moyens plutôt que de finalité. </w:t>
      </w:r>
    </w:p>
    <w:p w14:paraId="3E7FDB4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S’il est vrai par ailleurs que l’arrêt </w:t>
      </w:r>
      <w:r w:rsidRPr="001901D8">
        <w:rPr>
          <w:rFonts w:cs="Times New Roman"/>
          <w:i/>
        </w:rPr>
        <w:t>Whatcott</w:t>
      </w:r>
      <w:r w:rsidRPr="001901D8">
        <w:rPr>
          <w:rFonts w:cs="Times New Roman"/>
        </w:rPr>
        <w:t xml:space="preserve"> porte sur la constitutionnalité d’une disposition au regard de l’article premier de la </w:t>
      </w:r>
      <w:r w:rsidRPr="001901D8">
        <w:rPr>
          <w:rFonts w:cs="Times New Roman"/>
          <w:i/>
        </w:rPr>
        <w:t>Charte canadienne</w:t>
      </w:r>
      <w:r w:rsidRPr="001901D8">
        <w:rPr>
          <w:rFonts w:cs="Times New Roman"/>
        </w:rPr>
        <w:t xml:space="preserve">, plutôt que sur le conflit entre deux droits sous le régime de l’art. 9.1 de la </w:t>
      </w:r>
      <w:r w:rsidRPr="001901D8">
        <w:rPr>
          <w:rFonts w:cs="Times New Roman"/>
          <w:i/>
        </w:rPr>
        <w:t>Charte québécoise</w:t>
      </w:r>
      <w:r w:rsidRPr="001901D8">
        <w:rPr>
          <w:rFonts w:cs="Times New Roman"/>
        </w:rPr>
        <w:t>, il n’en demeure pas moins que ces deux dispositions</w:t>
      </w:r>
      <w:r w:rsidRPr="001901D8">
        <w:rPr>
          <w:rFonts w:cs="Times New Roman"/>
          <w:i/>
        </w:rPr>
        <w:t xml:space="preserve"> </w:t>
      </w:r>
      <w:r w:rsidRPr="001901D8">
        <w:rPr>
          <w:rFonts w:cs="Times New Roman"/>
        </w:rPr>
        <w:t>ne sont pas sans rapport l’une avec l’autre (</w:t>
      </w:r>
      <w:r w:rsidRPr="001901D8">
        <w:rPr>
          <w:rFonts w:cs="Times New Roman"/>
          <w:i/>
        </w:rPr>
        <w:t>Ford</w:t>
      </w:r>
      <w:r w:rsidRPr="001901D8">
        <w:rPr>
          <w:rFonts w:cs="Times New Roman"/>
        </w:rPr>
        <w:t xml:space="preserve">, p. 769-770). En effet, on cherche dans l’un et l’autre cas à circonscrire l’étendue de droits et libertés au regard des exigences d’une société libre et démocratique. Enfin, puisque la </w:t>
      </w:r>
      <w:r w:rsidRPr="001901D8">
        <w:rPr>
          <w:rFonts w:cs="Times New Roman"/>
          <w:i/>
        </w:rPr>
        <w:t>Charte québécoise</w:t>
      </w:r>
      <w:r w:rsidRPr="001901D8">
        <w:rPr>
          <w:rFonts w:cs="Times New Roman"/>
        </w:rPr>
        <w:t xml:space="preserve"> doit se conformer aux normes constitutionnelles, il faut dans la mesure du possible éviter de l’interpréter d’une manière inconciliable avec les dispositions de la </w:t>
      </w:r>
      <w:r w:rsidRPr="001901D8">
        <w:rPr>
          <w:rFonts w:cs="Times New Roman"/>
          <w:i/>
        </w:rPr>
        <w:t>Charte canadienne</w:t>
      </w:r>
      <w:r w:rsidRPr="001901D8">
        <w:rPr>
          <w:rFonts w:cs="Times New Roman"/>
        </w:rPr>
        <w:t>, laquelle,</w:t>
      </w:r>
      <w:r w:rsidRPr="001901D8">
        <w:rPr>
          <w:rFonts w:cs="Times New Roman"/>
          <w:i/>
        </w:rPr>
        <w:t xml:space="preserve"> </w:t>
      </w:r>
      <w:r w:rsidRPr="001901D8">
        <w:rPr>
          <w:rFonts w:cs="Times New Roman"/>
        </w:rPr>
        <w:t>rappelons-le, garantit la liberté d’expression mais non pas un droit positif à la sauvegarde de la dignité (</w:t>
      </w:r>
      <w:r w:rsidRPr="001901D8">
        <w:rPr>
          <w:rFonts w:cs="Times New Roman"/>
          <w:i/>
        </w:rPr>
        <w:t>CDPDJ c. Montréal</w:t>
      </w:r>
      <w:r w:rsidRPr="001901D8">
        <w:rPr>
          <w:rFonts w:cs="Times New Roman"/>
        </w:rPr>
        <w:t xml:space="preserve">, par. 42). </w:t>
      </w:r>
    </w:p>
    <w:p w14:paraId="4A0CC24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Avec égards, nous sommes d’avis que le Tribunal et les juges majoritaires de la Cour d’appel ont fait erreur en écartant de leur raisonnement l’arrêt </w:t>
      </w:r>
      <w:r w:rsidRPr="001901D8">
        <w:rPr>
          <w:rFonts w:cs="Times New Roman"/>
          <w:i/>
        </w:rPr>
        <w:t xml:space="preserve">Whatcott </w:t>
      </w:r>
      <w:r w:rsidRPr="001901D8">
        <w:rPr>
          <w:rFonts w:cs="Times New Roman"/>
        </w:rPr>
        <w:t>(motifs de première instance, par. 127 et 129; motifs de la C.A., par. 210</w:t>
      </w:r>
      <w:r w:rsidRPr="001901D8">
        <w:rPr>
          <w:rFonts w:cs="Times New Roman"/>
        </w:rPr>
        <w:noBreakHyphen/>
        <w:t xml:space="preserve">211). Selon nous, l’arrêt </w:t>
      </w:r>
      <w:r w:rsidRPr="001901D8">
        <w:rPr>
          <w:rFonts w:cs="Times New Roman"/>
          <w:i/>
        </w:rPr>
        <w:t>Whatcott</w:t>
      </w:r>
      <w:r w:rsidRPr="001901D8">
        <w:rPr>
          <w:rFonts w:cs="Times New Roman"/>
        </w:rPr>
        <w:t xml:space="preserve"> mérite une attention particulière, car</w:t>
      </w:r>
      <w:r w:rsidRPr="001901D8">
        <w:rPr>
          <w:rFonts w:cs="Times New Roman"/>
          <w:i/>
        </w:rPr>
        <w:t xml:space="preserve"> </w:t>
      </w:r>
      <w:r w:rsidRPr="001901D8">
        <w:rPr>
          <w:rFonts w:cs="Times New Roman"/>
        </w:rPr>
        <w:t xml:space="preserve">les enseignements qui s’en dégagent sont incontournables dans l’analyse requise en l’espèce. </w:t>
      </w:r>
    </w:p>
    <w:p w14:paraId="66853B0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Monsieur Whatcott avait distribué à des membres du public des tracts méprisants envers les homosexuels. Les plaignants, qui avaient reçu ces tracts à leur domicile, ont soutenu que ces écrits fomentaient la haine contre des personnes en raison de leur orientation sexuelle — un motif de distinction illicite reconnu par la loi de la Saskatchewan. Poursuivi devant le Tribunal des droits de la personne de cette province en vertu de l’al. 14(1)(b) du </w:t>
      </w:r>
      <w:r w:rsidRPr="001901D8">
        <w:rPr>
          <w:rFonts w:cs="Times New Roman"/>
          <w:i/>
        </w:rPr>
        <w:t>Saskatchewan Human Rights Code</w:t>
      </w:r>
      <w:r w:rsidRPr="001901D8">
        <w:rPr>
          <w:rFonts w:cs="Times New Roman"/>
        </w:rPr>
        <w:t xml:space="preserve">, M. Whatcott a contesté la constitutionnalité de cette disposition au motif qu’elle violait l’al. 2b) de la </w:t>
      </w:r>
      <w:r w:rsidRPr="001901D8">
        <w:rPr>
          <w:rFonts w:cs="Times New Roman"/>
          <w:i/>
        </w:rPr>
        <w:t>Charte canadienne</w:t>
      </w:r>
      <w:r w:rsidRPr="001901D8">
        <w:rPr>
          <w:rFonts w:cs="Times New Roman"/>
        </w:rPr>
        <w:t xml:space="preserve"> et qu’elle ne se justifiait pas au regard de l’article premier. </w:t>
      </w:r>
    </w:p>
    <w:p w14:paraId="2036B90A"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Rédigeant l’arrêt de la Cour dans cette affaire, le juge Rothstein</w:t>
      </w:r>
      <w:r>
        <w:rPr>
          <w:rFonts w:cs="Times New Roman"/>
        </w:rPr>
        <w:t xml:space="preserve"> </w:t>
      </w:r>
      <w:r w:rsidRPr="001901D8">
        <w:rPr>
          <w:rFonts w:cs="Times New Roman"/>
        </w:rPr>
        <w:t xml:space="preserve">détermine d’abord la portée de l’al. 14(1)(b) en définissant la notion de « haine ». À son avis, réduire au minimum le risque de subjectivité et de portée excessive suppose d’interdire uniquement les propos de nature à causer le préjudice que le législateur cherche à enrayer, c’est-à-dire « les types de propos les plus extrêmes susceptibles d’inciter ou d’inspirer à l’égard des groupes protégés un traitement discriminatoire pour un motif interdit » (par. 48). Les « déclarations blessantes, l’humiliation ou l’offense » ne tombent pas dans cette catégorie (par. 47). L’objectif de l’al. 14(1)(b) consiste à prévenir les effets discriminatoires (par. 54), et non à « décourager l’expression d’idées répugnantes ou offensantes », ou à « censurer les idées ou à forcer quiconque à penser “correctement” » (par. 51 et 58). L’intention de l’auteur des propos n’est donc pas pertinente, pas plus que ne le sont la teneur ou la nature des idées exprimées (par. 49 et 58). L’analyse doit porter sur le « mode d’expression [de ces idées] en public et [sur] l’effet que peut produire ce mode d’expression » (par. 51). Même s’ils sont répugnants et offensants, des propos qui n’incitent pas à l’exécration, au dénigrement ou au rejet ne risquent pas d’entraîner des effets socialement préjudiciables tels que la discrimination; ils ne sont donc pas susceptibles d’exposer quiconque à la « haine » au sens de l’al. 14(1)(b) du </w:t>
      </w:r>
      <w:r w:rsidRPr="001901D8">
        <w:rPr>
          <w:rFonts w:cs="Times New Roman"/>
          <w:i/>
        </w:rPr>
        <w:t xml:space="preserve">Saskatchewan Human Rights Code </w:t>
      </w:r>
      <w:r>
        <w:rPr>
          <w:rFonts w:cs="Times New Roman"/>
        </w:rPr>
        <w:t>(par. </w:t>
      </w:r>
      <w:r w:rsidRPr="001901D8">
        <w:rPr>
          <w:rFonts w:cs="Times New Roman"/>
        </w:rPr>
        <w:t>57). Pour déterminer s’ils répondent à cette définition, les propos doivent être évalués de manière objective, selon la norme de la personne raisonnable (par. 52, 56 et 59).</w:t>
      </w:r>
    </w:p>
    <w:p w14:paraId="6E65764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Ayant établi la portée de l’al. 14(1)(b), le juge Rothstein se penche ensuite sur l’aspect constitutionnel. Dans la mesure où les propos haineux </w:t>
      </w:r>
      <w:r>
        <w:rPr>
          <w:rFonts w:cs="Times New Roman"/>
        </w:rPr>
        <w:t xml:space="preserve">peuvent </w:t>
      </w:r>
      <w:r w:rsidRPr="001901D8">
        <w:rPr>
          <w:rFonts w:cs="Times New Roman"/>
        </w:rPr>
        <w:t>prépare</w:t>
      </w:r>
      <w:r>
        <w:rPr>
          <w:rFonts w:cs="Times New Roman"/>
        </w:rPr>
        <w:t>r</w:t>
      </w:r>
      <w:r w:rsidRPr="001901D8">
        <w:rPr>
          <w:rFonts w:cs="Times New Roman"/>
        </w:rPr>
        <w:t xml:space="preserve"> le terrain </w:t>
      </w:r>
      <w:r>
        <w:rPr>
          <w:rFonts w:cs="Times New Roman"/>
        </w:rPr>
        <w:t xml:space="preserve">à </w:t>
      </w:r>
      <w:r w:rsidRPr="001901D8">
        <w:rPr>
          <w:rFonts w:cs="Times New Roman"/>
        </w:rPr>
        <w:t>des attaques ultérieures contre les membres d’un groupe vulnérable</w:t>
      </w:r>
      <w:r>
        <w:rPr>
          <w:rFonts w:cs="Times New Roman"/>
        </w:rPr>
        <w:t>,</w:t>
      </w:r>
      <w:r w:rsidRPr="001901D8">
        <w:rPr>
          <w:rFonts w:cs="Times New Roman"/>
        </w:rPr>
        <w:t xml:space="preserve"> </w:t>
      </w:r>
      <w:r>
        <w:rPr>
          <w:rFonts w:cs="Times New Roman"/>
        </w:rPr>
        <w:t xml:space="preserve">attaques </w:t>
      </w:r>
      <w:r w:rsidRPr="001901D8">
        <w:rPr>
          <w:rFonts w:cs="Times New Roman"/>
        </w:rPr>
        <w:t xml:space="preserve">susceptibles de prendre la forme de discrimination et de violence, il n’a aucune difficulté à conclure que leur suppression constitue un objectif urgent et réel (par. 77). Il fait remarquer que pour satisfaire au critère du lien rationnel, l’expression haineuse à enrayer doit « être d’une ampleur telle qu’elle </w:t>
      </w:r>
      <w:r w:rsidRPr="001901D8">
        <w:rPr>
          <w:rFonts w:cs="Times New Roman"/>
          <w:u w:val="single"/>
        </w:rPr>
        <w:t>ne nuit pas seulement à des individus</w:t>
      </w:r>
      <w:r w:rsidRPr="001901D8">
        <w:rPr>
          <w:rFonts w:cs="Times New Roman"/>
        </w:rPr>
        <w:t xml:space="preserve">, mais qu’elle tente également de </w:t>
      </w:r>
      <w:r w:rsidRPr="001901D8">
        <w:rPr>
          <w:rFonts w:cs="Times New Roman"/>
          <w:u w:val="single"/>
        </w:rPr>
        <w:t>marginaliser le groupe</w:t>
      </w:r>
      <w:r w:rsidRPr="001901D8">
        <w:rPr>
          <w:rFonts w:cs="Times New Roman"/>
        </w:rPr>
        <w:t xml:space="preserve"> dont ils font partie </w:t>
      </w:r>
      <w:r w:rsidRPr="001901D8">
        <w:rPr>
          <w:rFonts w:cs="Times New Roman"/>
          <w:u w:val="single"/>
        </w:rPr>
        <w:t>en attaquant son statut social et en compromettant son acceptation aux yeux de la majorité</w:t>
      </w:r>
      <w:r w:rsidRPr="001901D8">
        <w:rPr>
          <w:rFonts w:cs="Times New Roman"/>
        </w:rPr>
        <w:t> » (par. </w:t>
      </w:r>
      <w:r>
        <w:rPr>
          <w:rFonts w:cs="Times New Roman"/>
        </w:rPr>
        <w:t>80 (</w:t>
      </w:r>
      <w:r w:rsidRPr="001901D8">
        <w:rPr>
          <w:rFonts w:cs="Times New Roman"/>
        </w:rPr>
        <w:t>nous soulignons</w:t>
      </w:r>
      <w:r>
        <w:rPr>
          <w:rFonts w:cs="Times New Roman"/>
        </w:rPr>
        <w:t>)</w:t>
      </w:r>
      <w:r w:rsidRPr="001901D8">
        <w:rPr>
          <w:rFonts w:cs="Times New Roman"/>
        </w:rPr>
        <w:t xml:space="preserve">). Or, « il n’existe aucun lien rationnel entre la protection des émotions d’un membre déterminé d’un groupe [et] l’objectif général de réduire la discrimination » (par. 82). C’est la raison pour laquelle, selon lui, l’interdiction de tout propos qui « ridiculise », « rabaisse » ou « porte [. . .] atteinte à [la] dignité » ne se justifie pas au regard de l’article premier de la </w:t>
      </w:r>
      <w:r w:rsidRPr="001901D8">
        <w:rPr>
          <w:rFonts w:cs="Times New Roman"/>
          <w:i/>
        </w:rPr>
        <w:t>Charte canadienne</w:t>
      </w:r>
      <w:r w:rsidRPr="001901D8">
        <w:rPr>
          <w:rFonts w:cs="Times New Roman"/>
        </w:rPr>
        <w:t xml:space="preserve">. Ces termes renvoient à « des propos dénigrants et insensibles qui, par exemple, critiquent ou ridiculisent des groupes protégés en raison de leurs caractéristiques et pratiques communes, ou de stéréotypes » (par. 89). Une société démocratique soucieuse de préserver la liberté d’expression doit faire place à ce type de discours dans la mesure où il ne mène généralement pas à la discrimination systémique envers les groupes vulnérables que le législateur cherche à éradiquer (par. 89-92 et 109). Estimant qu’il est possible de retrancher de l’al. 14(1)(b) les mots « les ridiculise, les rabaisse ou porte par ailleurs atteinte à leur dignité » sans contrevenir à l’intention du législateur, le juge Rothstein conclut à l’inconstitutionnalité de cette partie de l’al. 14(1)(b) (par. 93-95 et 99). Il est toutefois d’avis que le reste de l’al. 14(1)(b) se justifie au regard de l’article premier de la </w:t>
      </w:r>
      <w:r w:rsidRPr="001901D8">
        <w:rPr>
          <w:rFonts w:cs="Times New Roman"/>
          <w:i/>
        </w:rPr>
        <w:t>Charte canadienne</w:t>
      </w:r>
      <w:r w:rsidRPr="001901D8">
        <w:rPr>
          <w:rFonts w:cs="Times New Roman"/>
        </w:rPr>
        <w:t>.</w:t>
      </w:r>
    </w:p>
    <w:p w14:paraId="4577136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Selon lui, l’interdiction énoncée à l’al. 14(1)(b) s’applique si, d’une part, les propos répondent à la définition de la haine au sens de cette disposition. Ce sera le cas « si une personne raisonnable, informée des circonstances et du contexte pertinents, considérerait que les propos en question exposent ou sont susceptibles d’exposer une personne ou une catégorie de personnes à la détestation ou au mépris pour un motif de distinction illicite » (par. 178). Mais cela ne saurait suffire, puisque l’évaluation doit aussi tenir compte des objectifs visés par le législateur (</w:t>
      </w:r>
      <w:r w:rsidRPr="001901D8">
        <w:rPr>
          <w:rFonts w:cs="Times New Roman"/>
          <w:i/>
        </w:rPr>
        <w:t>ibid.</w:t>
      </w:r>
      <w:r w:rsidRPr="001901D8">
        <w:rPr>
          <w:rFonts w:cs="Times New Roman"/>
        </w:rPr>
        <w:t>). Ainsi faut-il se demander, d’autre part, si les propos, « lorsqu’on [les] interprète objectivement en tenant compte du contexte, [. . .] peu[vent] mener au traitement discriminatoire du groupe ciblé » auquel appartient cette personne ou cette catégorie de personnes (par. 191).</w:t>
      </w:r>
    </w:p>
    <w:p w14:paraId="04302446"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Ayant précisé le test applicable, le juge Rothstein affirme qu’il était raisonnable de conclure que deux des quatre tracts en cause dans cette affaire violaient l’al. 14(1)(b)</w:t>
      </w:r>
      <w:r w:rsidRPr="00E20036">
        <w:rPr>
          <w:rStyle w:val="Hyperlink"/>
          <w:vertAlign w:val="superscript"/>
        </w:rPr>
        <w:footnoteReference w:id="2"/>
      </w:r>
      <w:r w:rsidRPr="001901D8">
        <w:rPr>
          <w:rFonts w:cs="Times New Roman"/>
        </w:rPr>
        <w:t>. À son avis, d’une part, ces tracts répondent à la définition de la haine, puisqu’ils s’appuient sur une source respectée — la Bible — pour légitimer des généralisations péjoratives et dépeindre les homosexuels comme des êtres inférieurs, des vecteurs de maladies, des dépendants sexuels, des pédophiles, des prédateurs qui font du prosélytisme auprès des enfants vulnérables et causent leur mort prématurée (par. 187-190). D’autre part, ils invitent expressément les lecteurs à rejeter l’homosexualité et à soumettre les homosexuels à un traitement discriminatoire (par. 191-192). En revanche, le juge Rothstein considère qu’il était déraisonnable de tirer la même conclusion au sujet des deux derniers tracts. Aussi offensants fussent-ils, ces tracts, considérés objectivement, ne répondaient pas à la définition de la haine (par. 194-201). Il n’a donc pas été nécessaire de déterminer s’ils étaient susceptibles de mener au traitement discriminatoire des homosexuels.</w:t>
      </w:r>
    </w:p>
    <w:p w14:paraId="45EC3A5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somme, la Cour limite la prohibition édictée à l’al. 14(1)(b) aux propos qui peuvent inspirer des sentiments extrêmes de détestation de nature à compromettre l’acceptation du groupe vulnérable au sein de la société et qui, par ailleurs, possèdent une force mobilisatrice suffisante pour mener au genre de traitement discriminatoire que le législateur vise à enrayer. La Cour refuse de limiter la liberté d’expression pour conférer une protection contre les préjudices émotionnels. Le professeur Rainville résume avec justesse la nature du préjudice social qui justifiait d’imposer des limites à la liberté d’expression dans l’arrêt </w:t>
      </w:r>
      <w:r w:rsidRPr="001901D8">
        <w:rPr>
          <w:rFonts w:cs="Times New Roman"/>
          <w:i/>
        </w:rPr>
        <w:t>Whatcott </w:t>
      </w:r>
      <w:r w:rsidRPr="001901D8">
        <w:rPr>
          <w:rFonts w:cs="Times New Roman"/>
        </w:rPr>
        <w:t>:</w:t>
      </w:r>
      <w:bookmarkStart w:id="90" w:name="_Toc69373267"/>
      <w:bookmarkStart w:id="91" w:name="_Toc69373543"/>
      <w:bookmarkStart w:id="92" w:name="_Toc69373646"/>
      <w:bookmarkStart w:id="93" w:name="_Toc69373813"/>
      <w:bookmarkStart w:id="94" w:name="_Toc69381436"/>
      <w:bookmarkStart w:id="95" w:name="_Toc69381478"/>
      <w:bookmarkEnd w:id="90"/>
      <w:bookmarkEnd w:id="91"/>
      <w:bookmarkEnd w:id="92"/>
      <w:bookmarkEnd w:id="93"/>
      <w:bookmarkEnd w:id="94"/>
      <w:bookmarkEnd w:id="95"/>
    </w:p>
    <w:p w14:paraId="1286FC31" w14:textId="77777777" w:rsidR="00116CBE" w:rsidRPr="001901D8" w:rsidRDefault="00116CBE" w:rsidP="00116CBE">
      <w:pPr>
        <w:pStyle w:val="Citation-AltC"/>
        <w:ind w:firstLine="274"/>
      </w:pPr>
      <w:r w:rsidRPr="001901D8">
        <w:t xml:space="preserve">Le droit canadien s’assure de la protection du </w:t>
      </w:r>
      <w:r w:rsidRPr="001901D8">
        <w:rPr>
          <w:i/>
        </w:rPr>
        <w:t>statut social de la victime</w:t>
      </w:r>
      <w:r w:rsidRPr="001901D8">
        <w:t xml:space="preserve"> tout en délaissant la protection de sa </w:t>
      </w:r>
      <w:r w:rsidRPr="001901D8">
        <w:rPr>
          <w:i/>
        </w:rPr>
        <w:t>sérénité émotive</w:t>
      </w:r>
      <w:r w:rsidRPr="001901D8">
        <w:t xml:space="preserve">. Les paroles offensantes sont tolérées, tandis que sont interdits les propos de nature à engendrer la discrimination, l’ostracisme ou la violence à l’égard des [personnes]. </w:t>
      </w:r>
      <w:bookmarkStart w:id="96" w:name="_Toc69373268"/>
      <w:bookmarkStart w:id="97" w:name="_Toc69373544"/>
      <w:bookmarkStart w:id="98" w:name="_Toc69373647"/>
      <w:bookmarkStart w:id="99" w:name="_Toc69373814"/>
      <w:bookmarkStart w:id="100" w:name="_Toc69381437"/>
      <w:bookmarkStart w:id="101" w:name="_Toc69381479"/>
      <w:bookmarkEnd w:id="96"/>
      <w:bookmarkEnd w:id="97"/>
      <w:bookmarkEnd w:id="98"/>
      <w:bookmarkEnd w:id="99"/>
      <w:bookmarkEnd w:id="100"/>
      <w:bookmarkEnd w:id="101"/>
    </w:p>
    <w:p w14:paraId="5F859C72" w14:textId="77777777" w:rsidR="00116CBE" w:rsidRPr="001901D8" w:rsidRDefault="00116CBE" w:rsidP="00116CBE">
      <w:pPr>
        <w:pStyle w:val="Citation-AltC"/>
      </w:pPr>
      <w:r w:rsidRPr="001901D8">
        <w:tab/>
      </w:r>
      <w:bookmarkStart w:id="102" w:name="_Toc69373269"/>
      <w:bookmarkStart w:id="103" w:name="_Toc69373545"/>
      <w:bookmarkStart w:id="104" w:name="_Toc69373648"/>
      <w:bookmarkStart w:id="105" w:name="_Toc69373815"/>
      <w:bookmarkStart w:id="106" w:name="_Toc69381438"/>
      <w:bookmarkStart w:id="107" w:name="_Toc69381480"/>
      <w:bookmarkEnd w:id="102"/>
      <w:bookmarkEnd w:id="103"/>
      <w:bookmarkEnd w:id="104"/>
      <w:bookmarkEnd w:id="105"/>
      <w:bookmarkEnd w:id="106"/>
      <w:bookmarkEnd w:id="107"/>
    </w:p>
    <w:p w14:paraId="23CFA78B" w14:textId="77777777" w:rsidR="00116CBE" w:rsidRPr="001901D8" w:rsidRDefault="00116CBE" w:rsidP="00116CBE">
      <w:pPr>
        <w:pStyle w:val="Citation-AltC"/>
        <w:ind w:firstLine="274"/>
      </w:pPr>
      <w:r w:rsidRPr="001901D8">
        <w:t>Le mal susceptible de fonder en l’occurrence une entorse à la liberté d’expression présente donc deux caractéristiques : le préjudice appréhendé se veut de nature collective et sociale . . .</w:t>
      </w:r>
      <w:bookmarkStart w:id="108" w:name="_Toc69373270"/>
      <w:bookmarkStart w:id="109" w:name="_Toc69373546"/>
      <w:bookmarkStart w:id="110" w:name="_Toc69373649"/>
      <w:bookmarkStart w:id="111" w:name="_Toc69373816"/>
      <w:bookmarkStart w:id="112" w:name="_Toc69381439"/>
      <w:bookmarkStart w:id="113" w:name="_Toc69381481"/>
      <w:bookmarkEnd w:id="108"/>
      <w:bookmarkEnd w:id="109"/>
      <w:bookmarkEnd w:id="110"/>
      <w:bookmarkEnd w:id="111"/>
      <w:bookmarkEnd w:id="112"/>
      <w:bookmarkEnd w:id="113"/>
    </w:p>
    <w:p w14:paraId="705B4913" w14:textId="77777777" w:rsidR="00116CBE" w:rsidRPr="001901D8" w:rsidRDefault="00116CBE" w:rsidP="00116CBE">
      <w:pPr>
        <w:pStyle w:val="Citation-AltC"/>
      </w:pPr>
      <w:bookmarkStart w:id="114" w:name="_Toc69373271"/>
      <w:bookmarkStart w:id="115" w:name="_Toc69373547"/>
      <w:bookmarkStart w:id="116" w:name="_Toc69373650"/>
      <w:bookmarkStart w:id="117" w:name="_Toc69373817"/>
      <w:bookmarkStart w:id="118" w:name="_Toc69381440"/>
      <w:bookmarkStart w:id="119" w:name="_Toc69381482"/>
      <w:bookmarkEnd w:id="114"/>
      <w:bookmarkEnd w:id="115"/>
      <w:bookmarkEnd w:id="116"/>
      <w:bookmarkEnd w:id="117"/>
      <w:bookmarkEnd w:id="118"/>
      <w:bookmarkEnd w:id="119"/>
    </w:p>
    <w:p w14:paraId="790F45F9" w14:textId="77777777" w:rsidR="00116CBE" w:rsidRPr="001901D8" w:rsidRDefault="00116CBE" w:rsidP="00116CBE">
      <w:pPr>
        <w:pStyle w:val="Citation-AltC"/>
        <w:ind w:firstLine="274"/>
      </w:pPr>
      <w:r w:rsidRPr="001901D8">
        <w:t xml:space="preserve">Le préjudice interdit est donc social et non point moral, collectif et non pas individuel. </w:t>
      </w:r>
      <w:bookmarkStart w:id="120" w:name="_Toc69373272"/>
      <w:bookmarkStart w:id="121" w:name="_Toc69373548"/>
      <w:bookmarkStart w:id="122" w:name="_Toc69373651"/>
      <w:bookmarkStart w:id="123" w:name="_Toc69373818"/>
      <w:bookmarkStart w:id="124" w:name="_Toc69381441"/>
      <w:bookmarkStart w:id="125" w:name="_Toc69381483"/>
      <w:bookmarkEnd w:id="120"/>
      <w:bookmarkEnd w:id="121"/>
      <w:bookmarkEnd w:id="122"/>
      <w:bookmarkEnd w:id="123"/>
      <w:bookmarkEnd w:id="124"/>
      <w:bookmarkEnd w:id="125"/>
      <w:r w:rsidRPr="001901D8">
        <w:t>[En italique dans l’original.]</w:t>
      </w:r>
    </w:p>
    <w:p w14:paraId="59FC6D32" w14:textId="77777777" w:rsidR="00116CBE" w:rsidRPr="001901D8" w:rsidRDefault="00116CBE" w:rsidP="00116CBE">
      <w:pPr>
        <w:pStyle w:val="Citation-AltC"/>
        <w:ind w:left="0"/>
      </w:pPr>
      <w:bookmarkStart w:id="126" w:name="_Toc69373273"/>
      <w:bookmarkStart w:id="127" w:name="_Toc69373549"/>
      <w:bookmarkStart w:id="128" w:name="_Toc69373652"/>
      <w:bookmarkStart w:id="129" w:name="_Toc69373819"/>
      <w:bookmarkStart w:id="130" w:name="_Toc69381442"/>
      <w:bookmarkStart w:id="131" w:name="_Toc69381484"/>
      <w:bookmarkEnd w:id="126"/>
      <w:bookmarkEnd w:id="127"/>
      <w:bookmarkEnd w:id="128"/>
      <w:bookmarkEnd w:id="129"/>
      <w:bookmarkEnd w:id="130"/>
      <w:bookmarkEnd w:id="131"/>
    </w:p>
    <w:p w14:paraId="43F60E3A" w14:textId="77777777" w:rsidR="00116CBE" w:rsidRPr="001901D8" w:rsidRDefault="00116CBE" w:rsidP="00116CBE">
      <w:pPr>
        <w:pStyle w:val="Citation-AltC"/>
      </w:pPr>
      <w:r w:rsidRPr="001901D8">
        <w:t>(</w:t>
      </w:r>
      <w:r w:rsidRPr="001901D8">
        <w:rPr>
          <w:i/>
        </w:rPr>
        <w:t xml:space="preserve">La répression de l’art et l’art de la répression : La profanation de la religion à l’épreuve des mutations du droit pénal au sujet du blasphème et de la protection des identités religieuses </w:t>
      </w:r>
      <w:r w:rsidRPr="001901D8">
        <w:t>(2019), p. 61</w:t>
      </w:r>
      <w:bookmarkStart w:id="132" w:name="_Toc69373274"/>
      <w:bookmarkStart w:id="133" w:name="_Toc69373550"/>
      <w:bookmarkStart w:id="134" w:name="_Toc69373653"/>
      <w:bookmarkStart w:id="135" w:name="_Toc69373820"/>
      <w:bookmarkStart w:id="136" w:name="_Toc69381443"/>
      <w:bookmarkStart w:id="137" w:name="_Toc69381485"/>
      <w:bookmarkEnd w:id="132"/>
      <w:bookmarkEnd w:id="133"/>
      <w:bookmarkEnd w:id="134"/>
      <w:bookmarkEnd w:id="135"/>
      <w:bookmarkEnd w:id="136"/>
      <w:bookmarkEnd w:id="137"/>
      <w:r w:rsidRPr="001901D8">
        <w:t>)</w:t>
      </w:r>
    </w:p>
    <w:p w14:paraId="518C929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Ces principes étant établis, il convient à présent de cerner comment ils se transposent dans le contexte de la </w:t>
      </w:r>
      <w:r w:rsidRPr="001901D8">
        <w:rPr>
          <w:rFonts w:cs="Times New Roman"/>
          <w:i/>
        </w:rPr>
        <w:t>Charte québécoise</w:t>
      </w:r>
      <w:r w:rsidRPr="001901D8">
        <w:rPr>
          <w:rFonts w:cs="Times New Roman"/>
        </w:rPr>
        <w:t xml:space="preserve">. </w:t>
      </w:r>
    </w:p>
    <w:p w14:paraId="18E0D505" w14:textId="77777777" w:rsidR="00116CBE" w:rsidRPr="001901D8" w:rsidRDefault="00116CBE" w:rsidP="00116CBE">
      <w:pPr>
        <w:pStyle w:val="Title3LevelTitre3Niveau"/>
        <w:numPr>
          <w:ilvl w:val="2"/>
          <w:numId w:val="8"/>
        </w:numPr>
        <w:rPr>
          <w:rFonts w:cs="Times New Roman"/>
          <w:lang w:val="fr-CA"/>
        </w:rPr>
      </w:pPr>
      <w:bookmarkStart w:id="138" w:name="_Toc71277689"/>
      <w:bookmarkStart w:id="139" w:name="_Toc74300993"/>
      <w:bookmarkStart w:id="140" w:name="_Toc77683260"/>
      <w:bookmarkStart w:id="141" w:name="_Toc78294053"/>
      <w:bookmarkStart w:id="142" w:name="_Toc83114027"/>
      <w:r w:rsidRPr="001901D8">
        <w:rPr>
          <w:rFonts w:cs="Times New Roman"/>
          <w:lang w:val="fr-CA"/>
        </w:rPr>
        <w:t>Le test applicable en cas de conflit</w:t>
      </w:r>
      <w:bookmarkEnd w:id="138"/>
      <w:bookmarkEnd w:id="139"/>
      <w:bookmarkEnd w:id="140"/>
      <w:bookmarkEnd w:id="141"/>
      <w:r w:rsidRPr="001901D8">
        <w:rPr>
          <w:rFonts w:cs="Times New Roman"/>
          <w:lang w:val="fr-CA"/>
        </w:rPr>
        <w:t xml:space="preserve"> entre le </w:t>
      </w:r>
      <w:bookmarkEnd w:id="142"/>
      <w:r>
        <w:rPr>
          <w:rFonts w:cs="Times New Roman"/>
          <w:lang w:val="fr-CA"/>
        </w:rPr>
        <w:t>droit à la sauvegarde de l</w:t>
      </w:r>
      <w:r w:rsidRPr="001901D8">
        <w:rPr>
          <w:rFonts w:cs="Times New Roman"/>
          <w:lang w:val="fr-CA"/>
        </w:rPr>
        <w:t>a dignité et le droit à la liberté d’expression</w:t>
      </w:r>
    </w:p>
    <w:p w14:paraId="0458E7B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Après avoir établi une distinction fondée sur un motif prohibé, le demandeur doit en outre démontrer que cette distinction a pour effet de compromettre la reconnaissance, en pleine égalité, du droit à la sauvegarde de sa dignité. Encore faut-il que la protection de ce droit s’impose au regard de l’art. 9.1. Autrement, la demande échouera. Comme l’a à juste titre souligné la juge Savard, c’est à cette étape qu’il convient de résoudre le conflit entre le droit du demandeur à la sauvegarde de sa dignité et la liberté d’expression du défendeur (motifs de la C.A., par. 94-99). </w:t>
      </w:r>
    </w:p>
    <w:p w14:paraId="61BD916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Ce faisant, il importe d’éviter de donner à l’art. 4 une portée si vaste qu’elle neutraliserait la liberté d’expression, ou si imprécise qu’elle contreviendrait aux enseignements de notre Cour dans les arrêts </w:t>
      </w:r>
      <w:r w:rsidRPr="001901D8">
        <w:rPr>
          <w:rFonts w:cs="Times New Roman"/>
          <w:i/>
        </w:rPr>
        <w:t>Taylor</w:t>
      </w:r>
      <w:r w:rsidRPr="001901D8">
        <w:rPr>
          <w:rFonts w:cs="Times New Roman"/>
        </w:rPr>
        <w:t xml:space="preserve"> et </w:t>
      </w:r>
      <w:r w:rsidRPr="001901D8">
        <w:rPr>
          <w:rFonts w:cs="Times New Roman"/>
          <w:i/>
        </w:rPr>
        <w:t>Whatcott</w:t>
      </w:r>
      <w:r w:rsidRPr="001901D8">
        <w:rPr>
          <w:rFonts w:cs="Times New Roman"/>
        </w:rPr>
        <w:t xml:space="preserve">. Enfin, même si cela n’est pas déterminant dans notre analyse, nous prenons note du fait que la violation de l’art. 10 peut donner lieu non seulement à un recours civil, mais aussi à un recours pénal fondé sur le par. 134(1) de la </w:t>
      </w:r>
      <w:r w:rsidRPr="001901D8">
        <w:rPr>
          <w:rFonts w:cs="Times New Roman"/>
          <w:i/>
        </w:rPr>
        <w:t>Charte québécoise</w:t>
      </w:r>
      <w:r w:rsidRPr="001901D8">
        <w:rPr>
          <w:rFonts w:cs="Times New Roman"/>
        </w:rPr>
        <w:t>. S’il était nécessaire d’en trouver une, ce serait là une raison supplémentaire de clarifier le test applicable.</w:t>
      </w:r>
    </w:p>
    <w:p w14:paraId="4080BC71"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Dans l’arrêt </w:t>
      </w:r>
      <w:r w:rsidRPr="001901D8">
        <w:rPr>
          <w:rFonts w:cs="Times New Roman"/>
          <w:i/>
        </w:rPr>
        <w:t>Calego</w:t>
      </w:r>
      <w:r w:rsidRPr="001901D8">
        <w:rPr>
          <w:rFonts w:cs="Times New Roman"/>
        </w:rPr>
        <w:t>, auquel se réfèrent tant les juges majoritaires que la juge dissidente dans leurs motifs, le juge Morissette propose de résoudre ainsi le conflit entre la dignité et la liberté d’expression :</w:t>
      </w:r>
    </w:p>
    <w:p w14:paraId="25CA1D95" w14:textId="77777777" w:rsidR="00116CBE" w:rsidRPr="001901D8" w:rsidRDefault="00116CBE" w:rsidP="00116CBE">
      <w:pPr>
        <w:pStyle w:val="Citation-AltC"/>
        <w:ind w:firstLine="274"/>
      </w:pPr>
      <w:r w:rsidRPr="001901D8">
        <w:t xml:space="preserve">. . . un critère objectif doit d’abord nous guider dans l’interprétation de l’article 4. La pierre de touche des notions de dignité et d’honneur est une norme abstraite. Il s’agit de la perception d’une personne raisonnable qui, visée comme ici par une remarque à teneur discriminatoire, tempère sa réaction parce qu’elle est habituée aux us et coutumes d’une société pluraliste où l’on valorise la liberté d’expression et où l’on admet certains excès de langage dans l’exercice de cet autre droit fondamental. En d’autres termes, on tolère ici une liberté de ton qui n’est pas la norme partout ailleurs. Cette considération doit figurer dans l’analyse des notions de dignité et d’honneur. Aussi, avant de s’estimer atteinte dans son « droit </w:t>
      </w:r>
      <w:r w:rsidRPr="001901D8">
        <w:rPr>
          <w:i/>
        </w:rPr>
        <w:t>à la sauvegarde</w:t>
      </w:r>
      <w:r w:rsidRPr="001901D8">
        <w:t xml:space="preserve"> de sa dignité [ou] de son honneur » d’une manière qui contrevient à l’article 10 de la </w:t>
      </w:r>
      <w:r w:rsidRPr="001901D8">
        <w:rPr>
          <w:i/>
        </w:rPr>
        <w:t>CDLP</w:t>
      </w:r>
      <w:r w:rsidRPr="001901D8">
        <w:t xml:space="preserve">, la personne raisonnable devra avoir essuyé un affront particulièrement méprisant envers son identité raciale, ethnique ou autre, et lourd de conséquences pour elle. Enfin, en ces matières, on devrait toujours garder présente à l’esprit la maxime </w:t>
      </w:r>
      <w:r w:rsidRPr="001901D8">
        <w:rPr>
          <w:i/>
        </w:rPr>
        <w:t>de minimis non curat lex</w:t>
      </w:r>
      <w:r w:rsidRPr="001901D8">
        <w:t>. [En italique dans l’original; texte entre crochets dans l’original; par. 99.]</w:t>
      </w:r>
    </w:p>
    <w:p w14:paraId="55DDB17F"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notre avis, la perception d’une personne raisonnable ciblée par des propos identiques doit être écartée. Cette approche entraîne un glissement vers la protection d’un droit de ne pas être offensé, lequel n’a pas sa place dans une société démocratique (Dworkin (2009), p. viii; voir aussi </w:t>
      </w:r>
      <w:r w:rsidRPr="001901D8">
        <w:rPr>
          <w:rFonts w:cs="Times New Roman"/>
          <w:i/>
        </w:rPr>
        <w:t>Whatcott</w:t>
      </w:r>
      <w:r w:rsidRPr="001901D8">
        <w:rPr>
          <w:rFonts w:cs="Times New Roman"/>
        </w:rPr>
        <w:t>,</w:t>
      </w:r>
      <w:r w:rsidRPr="001901D8">
        <w:rPr>
          <w:rFonts w:cs="Times New Roman"/>
          <w:i/>
        </w:rPr>
        <w:t xml:space="preserve"> </w:t>
      </w:r>
      <w:r w:rsidRPr="001901D8">
        <w:rPr>
          <w:rFonts w:cs="Times New Roman"/>
        </w:rPr>
        <w:t>par. 50 et 90). Le test applicable ne doit être axé ni sur le caractère répugnant ou offensant des propos, ni sur le préjudice émotionnel causé à cette personne. Autrement, cela reviendrait à censurer des propos en raison de leur contenu ou de leur effet sur une personne, indépendamment de leurs effets discriminatoires. Pareille approche a été rejetée par notre Cour (</w:t>
      </w:r>
      <w:r w:rsidRPr="001901D8">
        <w:rPr>
          <w:rFonts w:cs="Times New Roman"/>
          <w:i/>
        </w:rPr>
        <w:t>Whatcott</w:t>
      </w:r>
      <w:r w:rsidRPr="001901D8">
        <w:rPr>
          <w:rFonts w:cs="Times New Roman"/>
        </w:rPr>
        <w:t xml:space="preserve">, par. 50-51, 58 et 82). </w:t>
      </w:r>
    </w:p>
    <w:p w14:paraId="34EF4335" w14:textId="77777777" w:rsidR="00116CBE" w:rsidRPr="001901D8" w:rsidRDefault="00116CBE" w:rsidP="00116CBE">
      <w:pPr>
        <w:pStyle w:val="ParaNoNdepar-AltN"/>
        <w:tabs>
          <w:tab w:val="clear" w:pos="1152"/>
          <w:tab w:val="left" w:pos="1166"/>
        </w:tabs>
        <w:rPr>
          <w:rFonts w:cs="Times New Roman"/>
        </w:rPr>
      </w:pPr>
      <w:r w:rsidRPr="001901D8">
        <w:rPr>
          <w:rFonts w:eastAsia="Times New Roman" w:cs="Times New Roman"/>
          <w:szCs w:val="20"/>
          <w:lang w:eastAsia="en-CA"/>
        </w:rPr>
        <w:t xml:space="preserve">Pour résoudre le conflit entre le droit à la liberté d’expression et le droit à la sauvegarde de sa dignité, </w:t>
      </w:r>
      <w:r w:rsidRPr="001901D8">
        <w:rPr>
          <w:rFonts w:cs="Times New Roman"/>
        </w:rPr>
        <w:t xml:space="preserve">le test applicable nécessite plutôt de déterminer, dans un premier temps, si une personne raisonnable, informée des circonstances et du contexte pertinents, considérerait que les propos visant un individu ou un groupe incitent à </w:t>
      </w:r>
      <w:r>
        <w:rPr>
          <w:rFonts w:cs="Times New Roman"/>
        </w:rPr>
        <w:t xml:space="preserve">le </w:t>
      </w:r>
      <w:r w:rsidRPr="001901D8">
        <w:rPr>
          <w:rFonts w:cs="Times New Roman"/>
        </w:rPr>
        <w:t xml:space="preserve">mépriser ou à détester son humanité pour un motif de distinction illicite. Ce premier critère se concilie davantage avec les exigences de la </w:t>
      </w:r>
      <w:r w:rsidRPr="001901D8">
        <w:rPr>
          <w:rFonts w:cs="Times New Roman"/>
          <w:i/>
        </w:rPr>
        <w:t>Charte canadienne</w:t>
      </w:r>
      <w:r w:rsidRPr="001901D8">
        <w:rPr>
          <w:rFonts w:cs="Times New Roman"/>
        </w:rPr>
        <w:t xml:space="preserve"> telles que formulées dans l’arrêt </w:t>
      </w:r>
      <w:r w:rsidRPr="001901D8">
        <w:rPr>
          <w:rFonts w:cs="Times New Roman"/>
          <w:i/>
        </w:rPr>
        <w:t>Whatcott</w:t>
      </w:r>
      <w:r w:rsidRPr="001901D8">
        <w:rPr>
          <w:rFonts w:cs="Times New Roman"/>
        </w:rPr>
        <w:t xml:space="preserve">. Sont donc interdits les propos haineux au sens de </w:t>
      </w:r>
      <w:r w:rsidRPr="001901D8">
        <w:rPr>
          <w:rFonts w:cs="Times New Roman"/>
          <w:i/>
        </w:rPr>
        <w:t>Whatcott</w:t>
      </w:r>
      <w:r w:rsidRPr="001901D8">
        <w:rPr>
          <w:rFonts w:cs="Times New Roman"/>
        </w:rPr>
        <w:t>, de même que les propos qui produisent les mêmes effets sur la dignité des personnes sans pour autant répondre à la définition de la haine donnée dans cet arrêt.</w:t>
      </w:r>
    </w:p>
    <w:p w14:paraId="59F21B93"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Dans un second temps, il doit être démontré qu’une personne raisonnable considérerait que, situés dans leur contexte, les propos tenus peuvent vraisemblablement avoir pour effet de mener au traitement discriminatoire de la personne visée. Ce second critère prend en compte les objectifs visés par la </w:t>
      </w:r>
      <w:r w:rsidRPr="001901D8">
        <w:rPr>
          <w:rFonts w:cs="Times New Roman"/>
          <w:i/>
        </w:rPr>
        <w:t xml:space="preserve">Charte québécoise </w:t>
      </w:r>
      <w:r w:rsidRPr="001901D8">
        <w:rPr>
          <w:rFonts w:cs="Times New Roman"/>
        </w:rPr>
        <w:t>(</w:t>
      </w:r>
      <w:r w:rsidRPr="001901D8">
        <w:rPr>
          <w:rFonts w:cs="Times New Roman"/>
          <w:i/>
        </w:rPr>
        <w:t>Whatcott</w:t>
      </w:r>
      <w:r w:rsidRPr="001901D8">
        <w:rPr>
          <w:rFonts w:cs="Times New Roman"/>
        </w:rPr>
        <w:t xml:space="preserve">, par. 178 et 191). L’article 10 vise à supprimer la discrimination dans la </w:t>
      </w:r>
      <w:r w:rsidRPr="001901D8">
        <w:rPr>
          <w:rFonts w:cs="Times New Roman"/>
          <w:i/>
        </w:rPr>
        <w:t>reconnaissance</w:t>
      </w:r>
      <w:r w:rsidRPr="001901D8">
        <w:rPr>
          <w:rFonts w:cs="Times New Roman"/>
        </w:rPr>
        <w:t xml:space="preserve"> et l’exercice des droits et libertés de la personne. Or, la reconnaissance d’un droit suppose « l’acceptation sociale de l’obligation générale de le respecter » (</w:t>
      </w:r>
      <w:r w:rsidRPr="001901D8">
        <w:rPr>
          <w:rFonts w:cs="Times New Roman"/>
          <w:i/>
        </w:rPr>
        <w:t>Commission ontarienne des droits de la personne</w:t>
      </w:r>
      <w:r w:rsidRPr="001901D8">
        <w:rPr>
          <w:rFonts w:cs="Times New Roman"/>
        </w:rPr>
        <w:t xml:space="preserve">, p. 554). La discrimination au sens de la </w:t>
      </w:r>
      <w:r w:rsidRPr="001901D8">
        <w:rPr>
          <w:rFonts w:cs="Times New Roman"/>
          <w:i/>
        </w:rPr>
        <w:t xml:space="preserve">Charte québécoise </w:t>
      </w:r>
      <w:r w:rsidRPr="001901D8">
        <w:rPr>
          <w:rFonts w:cs="Times New Roman"/>
        </w:rPr>
        <w:t>implique donc une différence de traitement ayant des effets sur l’acceptation sociale d’un individu. Ainsi, ne sont discriminatoires que les propos qui, situés dans leur contexte, peuvent vraisemblablement mettre en péril l’acceptation sociale de cet individu ou de ce groupe (</w:t>
      </w:r>
      <w:r w:rsidRPr="001901D8">
        <w:rPr>
          <w:rFonts w:cs="Times New Roman"/>
          <w:i/>
        </w:rPr>
        <w:t>Whatcott</w:t>
      </w:r>
      <w:r w:rsidRPr="001901D8">
        <w:rPr>
          <w:rFonts w:cs="Times New Roman"/>
        </w:rPr>
        <w:t>, par. 178 et 191). L’analyse n’est pas centrée sur le contenu des propos en tant que tel, mais sur leurs effets probables à l’égard des tiers, c’est-à-dire sur les traitements discriminatoires susceptibles d’en résulter (</w:t>
      </w:r>
      <w:r w:rsidRPr="001901D8">
        <w:rPr>
          <w:rFonts w:cs="Times New Roman"/>
          <w:i/>
        </w:rPr>
        <w:t>Whatcott</w:t>
      </w:r>
      <w:r w:rsidRPr="001901D8">
        <w:rPr>
          <w:rFonts w:cs="Times New Roman"/>
        </w:rPr>
        <w:t>, par. 54, 58 et 82).</w:t>
      </w:r>
    </w:p>
    <w:p w14:paraId="3818AFA5"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À cet égard, le mode d’expression des propos et l’effet de ce mode d’expression sont déterminants. Des propos qui suscitent chez leurs destinataires des émotions extrêmes et intrinsèquement dangereuses comme la haine n’ont de toute évidence pas le même impact que des propos posés et rationnels. Bien entendu, cela ne signifie pas que des discours à prétention scientifique ou rationnelle sont incapables d’attiser le mépris de la majorité envers l’humanité des groupes vulnérables. Mais de manière générale, des propos qui font appel à la raison de leur destinataire ou à des émotions dépourvues d’une véritable force mobilisatrice ne mèneront vraisemblablement pas au traitement discriminatoire de l’individu ou du groupe ciblé.</w:t>
      </w:r>
    </w:p>
    <w:p w14:paraId="26170D3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Avant de poursuivre notre analyse, quelques remarques s’imposent au sujet des propos prononcés en privé. Le champ d’application de la </w:t>
      </w:r>
      <w:r w:rsidRPr="001901D8">
        <w:rPr>
          <w:rFonts w:cs="Times New Roman"/>
          <w:i/>
        </w:rPr>
        <w:t>Charte québécoise</w:t>
      </w:r>
      <w:r w:rsidRPr="001901D8">
        <w:rPr>
          <w:rFonts w:cs="Times New Roman"/>
        </w:rPr>
        <w:t xml:space="preserve"> n’est pas restreint aux propos diffusés ou publiés, contrairement à la législation en cause dans l’arrêt </w:t>
      </w:r>
      <w:r w:rsidRPr="001901D8">
        <w:rPr>
          <w:rFonts w:cs="Times New Roman"/>
          <w:i/>
        </w:rPr>
        <w:t>Whatcott</w:t>
      </w:r>
      <w:r w:rsidRPr="001901D8">
        <w:rPr>
          <w:rFonts w:cs="Times New Roman"/>
        </w:rPr>
        <w:t xml:space="preserve">. Il n’est pas exclu que des propos prononcés en privé puissent être discriminatoires en vertu de la </w:t>
      </w:r>
      <w:r w:rsidRPr="001901D8">
        <w:rPr>
          <w:rFonts w:cs="Times New Roman"/>
          <w:i/>
        </w:rPr>
        <w:t>Charte québécoise</w:t>
      </w:r>
      <w:r w:rsidRPr="001901D8">
        <w:rPr>
          <w:rFonts w:cs="Times New Roman"/>
        </w:rPr>
        <w:t>, dans des cas exceptionnels. D’une part, de tels propos doivent</w:t>
      </w:r>
      <w:r>
        <w:rPr>
          <w:rFonts w:cs="Times New Roman"/>
        </w:rPr>
        <w:t xml:space="preserve"> être</w:t>
      </w:r>
      <w:r w:rsidRPr="001901D8">
        <w:rPr>
          <w:rFonts w:cs="Times New Roman"/>
        </w:rPr>
        <w:t xml:space="preserve">, aux yeux de la personne raisonnable, </w:t>
      </w:r>
      <w:r>
        <w:rPr>
          <w:rFonts w:cs="Times New Roman"/>
        </w:rPr>
        <w:t xml:space="preserve">de nature à </w:t>
      </w:r>
      <w:r w:rsidRPr="001901D8">
        <w:rPr>
          <w:rFonts w:cs="Times New Roman"/>
        </w:rPr>
        <w:t xml:space="preserve">inciter </w:t>
      </w:r>
      <w:r>
        <w:rPr>
          <w:rFonts w:cs="Times New Roman"/>
        </w:rPr>
        <w:t xml:space="preserve">au mépris ou </w:t>
      </w:r>
      <w:r w:rsidRPr="001901D8">
        <w:rPr>
          <w:rFonts w:cs="Times New Roman"/>
        </w:rPr>
        <w:t xml:space="preserve">à la </w:t>
      </w:r>
      <w:r>
        <w:rPr>
          <w:rFonts w:cs="Times New Roman"/>
        </w:rPr>
        <w:t>détestation</w:t>
      </w:r>
      <w:r w:rsidRPr="001901D8">
        <w:rPr>
          <w:rFonts w:cs="Times New Roman"/>
        </w:rPr>
        <w:t xml:space="preserve"> de l’humanité de la personne ciblée. D’autre part, la personne raisonnable doit conclure que ces propos, placés dans leur contexte, auraient vraisemblablement mené des tiers, s’ils avaient été présents, à imposer un traitement discriminatoire à l’individu ciblé. Au risque de nous répéter, l’analyse doit être centrée sur les effets discriminatoires probables des propos et non sur le préjudice émotionnel subi par la personne qui allègue être victime de discrimination.</w:t>
      </w:r>
    </w:p>
    <w:p w14:paraId="5D63646D"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Ces principes étant exposés, leur application à des propos de nature humoristique commande deux remarques.</w:t>
      </w:r>
    </w:p>
    <w:p w14:paraId="49109B3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Premièrement, une forme d’expression qui malmène ou ridiculise des personnes peut inspirer à leur égard des sentiments de dédain ou de supériorité, mais elle n’invite généralement pas pour autant à nier leur humanité ou à les marginaliser aux yeux de la majorité (</w:t>
      </w:r>
      <w:r w:rsidRPr="001901D8">
        <w:rPr>
          <w:rFonts w:cs="Times New Roman"/>
          <w:i/>
        </w:rPr>
        <w:t>Whatcott</w:t>
      </w:r>
      <w:r w:rsidRPr="001901D8">
        <w:rPr>
          <w:rFonts w:cs="Times New Roman"/>
        </w:rPr>
        <w:t>,</w:t>
      </w:r>
      <w:r w:rsidRPr="001901D8">
        <w:rPr>
          <w:rFonts w:cs="Times New Roman"/>
          <w:i/>
        </w:rPr>
        <w:t xml:space="preserve"> </w:t>
      </w:r>
      <w:r w:rsidRPr="001901D8">
        <w:rPr>
          <w:rFonts w:cs="Times New Roman"/>
        </w:rPr>
        <w:t xml:space="preserve">par. 89-91). Certes, poussé à la limite, le ridicule pourrait franchir cette ligne, mais il ne le fera que dans des circonstances extrêmes et inusitées. </w:t>
      </w:r>
    </w:p>
    <w:p w14:paraId="1D1E685E"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Deuxièmement, l’humour, qu’il soit de bon ou de mauvais goût, possède rarement « l’effet d’entraînement requis pour susciter chez des tiers une attitude de haine et de discrimination » (Rainville, p. 68). Il se caractérise par des procédés bien connus tels que « l’exagération, la généralisation abusive, la provocation et la déformation de la réalité » (motifs de la C.A., par. 129, la juge Savard). L’audi</w:t>
      </w:r>
      <w:r>
        <w:rPr>
          <w:rFonts w:cs="Times New Roman"/>
        </w:rPr>
        <w:t>toire</w:t>
      </w:r>
      <w:r w:rsidRPr="001901D8">
        <w:rPr>
          <w:rFonts w:cs="Times New Roman"/>
        </w:rPr>
        <w:t xml:space="preserve"> sait identifier ces procédés, quand ils sont clairs, et il faut lui reconnaître assez de discernement pour ne pas prendre tout ce qui est dit au pied de la lettre (voir, par analogie, </w:t>
      </w:r>
      <w:r w:rsidRPr="001901D8">
        <w:rPr>
          <w:rFonts w:cs="Times New Roman"/>
          <w:i/>
        </w:rPr>
        <w:t>Bou Malhab</w:t>
      </w:r>
      <w:r w:rsidRPr="001901D8">
        <w:rPr>
          <w:rFonts w:cs="Times New Roman"/>
        </w:rPr>
        <w:t>, par. 74; S. Martin, « Rira bien qui rira le dernier : la caricature confrontée au droit à l’image » (2004)</w:t>
      </w:r>
      <w:r>
        <w:rPr>
          <w:rFonts w:cs="Times New Roman"/>
        </w:rPr>
        <w:t>,</w:t>
      </w:r>
      <w:r w:rsidRPr="001901D8">
        <w:rPr>
          <w:rFonts w:cs="Times New Roman"/>
        </w:rPr>
        <w:t xml:space="preserve"> 16 </w:t>
      </w:r>
      <w:r w:rsidRPr="001901D8">
        <w:rPr>
          <w:rFonts w:cs="Times New Roman"/>
          <w:i/>
        </w:rPr>
        <w:t>C.P.I</w:t>
      </w:r>
      <w:r w:rsidRPr="001901D8">
        <w:rPr>
          <w:rFonts w:cs="Times New Roman"/>
        </w:rPr>
        <w:t>. 611, p. 621</w:t>
      </w:r>
      <w:r w:rsidRPr="001901D8">
        <w:rPr>
          <w:rFonts w:cs="Times New Roman"/>
        </w:rPr>
        <w:noBreakHyphen/>
        <w:t xml:space="preserve">622). Cela vaut à plus forte raison lorsque les propos émanent d’une personne connue du public pour son humour particulier (voir, par analogie, </w:t>
      </w:r>
      <w:r w:rsidRPr="001901D8">
        <w:rPr>
          <w:rFonts w:cs="Times New Roman"/>
          <w:i/>
        </w:rPr>
        <w:t>Bou Malhab</w:t>
      </w:r>
      <w:r w:rsidRPr="001901D8">
        <w:rPr>
          <w:rFonts w:cs="Times New Roman"/>
        </w:rPr>
        <w:t xml:space="preserve">, par. 89) ou lorsqu’ils prennent pour cible une personnalité publique exposée à ce genre de commentaires en raison de sa notoriété (voir, par analogie, </w:t>
      </w:r>
      <w:r w:rsidRPr="001901D8">
        <w:rPr>
          <w:rFonts w:cs="Times New Roman"/>
          <w:i/>
        </w:rPr>
        <w:t>WIC Radio Ltd. c. Simpson</w:t>
      </w:r>
      <w:r w:rsidRPr="001901D8">
        <w:rPr>
          <w:rFonts w:cs="Times New Roman"/>
        </w:rPr>
        <w:t xml:space="preserve">, 2008 CSC 40, [2008] 2 R.C.S. 420, par. 48; </w:t>
      </w:r>
      <w:r w:rsidRPr="001901D8">
        <w:rPr>
          <w:rFonts w:cs="Times New Roman"/>
          <w:i/>
        </w:rPr>
        <w:t>Trudeau c. AD4 Distribution Canada inc.</w:t>
      </w:r>
      <w:r w:rsidRPr="001901D8">
        <w:rPr>
          <w:rFonts w:cs="Times New Roman"/>
        </w:rPr>
        <w:t xml:space="preserve">, 2014 QCCA 1740, par. 21-22 (CanLII)). Sauf dans des cas exceptionnels, il serait étonnant que des propos tenus dans de telles circonstances soient suffisamment mobilisateurs pour susciter des traitements discriminatoires. </w:t>
      </w:r>
    </w:p>
    <w:p w14:paraId="32968F27"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Ces précisions ne doivent pas être interprétées comme ayant pour effet de conférer une forme d’impunité à l’humoriste ou de diminuer la protection que le droit accorde aux personnalités publiques. Le risque que des propos entraînent de la discrimination est moindre lorsqu’il s’agit de propos soi-disant humoristiques qui émanent d’un humoriste connu ou qui visent une personne connue du public. Et, en l’absence d’un risque suffisamment sérieux, le recours doit échouer. </w:t>
      </w:r>
    </w:p>
    <w:p w14:paraId="54FE9D10" w14:textId="77777777" w:rsidR="00116CBE" w:rsidRPr="001901D8" w:rsidRDefault="00116CBE" w:rsidP="00116CBE">
      <w:pPr>
        <w:pStyle w:val="Title2LevelTitre2Niveau"/>
        <w:numPr>
          <w:ilvl w:val="1"/>
          <w:numId w:val="8"/>
        </w:numPr>
        <w:rPr>
          <w:rFonts w:cs="Times New Roman"/>
          <w:lang w:val="fr-CA"/>
        </w:rPr>
      </w:pPr>
      <w:bookmarkStart w:id="143" w:name="_Toc71277690"/>
      <w:bookmarkStart w:id="144" w:name="_Toc74300994"/>
      <w:bookmarkStart w:id="145" w:name="_Toc77683261"/>
      <w:bookmarkStart w:id="146" w:name="_Toc78294054"/>
      <w:bookmarkStart w:id="147" w:name="_Toc83114028"/>
      <w:r w:rsidRPr="001901D8">
        <w:rPr>
          <w:rFonts w:cs="Times New Roman"/>
          <w:lang w:val="fr-CA"/>
        </w:rPr>
        <w:t xml:space="preserve">Application à l’espèce </w:t>
      </w:r>
      <w:bookmarkEnd w:id="143"/>
      <w:bookmarkEnd w:id="144"/>
      <w:bookmarkEnd w:id="145"/>
      <w:bookmarkEnd w:id="146"/>
      <w:bookmarkEnd w:id="147"/>
    </w:p>
    <w:p w14:paraId="46DC5D1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résumé, nous sommes d’avis que M. Gabriel a fait l’objet d’une distinction en ayant été ciblé par les propos de M. Ward. Toutefois, considérant la conclusion du Tribunal selon laquelle M. Ward « n’a pas choisi Jérémy à cause de son handicap », mais bien « parce qu’il est une personnalité publique » (motifs de première instance, par. 86), force est de conclure que cette distinction n’est pas fondée sur un motif prohibé. À elle seule, cette conclusion suffit à décider du pourvoi. </w:t>
      </w:r>
      <w:r>
        <w:rPr>
          <w:rFonts w:cs="Times New Roman"/>
        </w:rPr>
        <w:t>N</w:t>
      </w:r>
      <w:r w:rsidRPr="001901D8">
        <w:rPr>
          <w:rFonts w:cs="Times New Roman"/>
        </w:rPr>
        <w:t xml:space="preserve">ous considérons </w:t>
      </w:r>
      <w:r>
        <w:rPr>
          <w:rFonts w:cs="Times New Roman"/>
        </w:rPr>
        <w:t xml:space="preserve">néanmoins </w:t>
      </w:r>
      <w:r w:rsidRPr="001901D8">
        <w:rPr>
          <w:rFonts w:cs="Times New Roman"/>
        </w:rPr>
        <w:t xml:space="preserve">utile de procéder à l’analyse de la discrimination </w:t>
      </w:r>
      <w:r>
        <w:rPr>
          <w:rFonts w:cs="Times New Roman"/>
        </w:rPr>
        <w:t xml:space="preserve">dans son intégralité, </w:t>
      </w:r>
      <w:r w:rsidRPr="001901D8">
        <w:rPr>
          <w:rFonts w:cs="Times New Roman"/>
        </w:rPr>
        <w:t xml:space="preserve">vu le contexte particulier de l’affaire. </w:t>
      </w:r>
    </w:p>
    <w:p w14:paraId="0EECBD0A" w14:textId="77777777" w:rsidR="00116CBE" w:rsidRPr="001901D8" w:rsidRDefault="00116CBE" w:rsidP="00116CBE">
      <w:pPr>
        <w:pStyle w:val="Title3LevelTitre3Niveau"/>
        <w:numPr>
          <w:ilvl w:val="2"/>
          <w:numId w:val="8"/>
        </w:numPr>
        <w:rPr>
          <w:rFonts w:cs="Times New Roman"/>
          <w:lang w:val="fr-CA"/>
        </w:rPr>
      </w:pPr>
      <w:bookmarkStart w:id="148" w:name="_Toc71277691"/>
      <w:bookmarkStart w:id="149" w:name="_Toc74300995"/>
      <w:bookmarkStart w:id="150" w:name="_Toc77683262"/>
      <w:bookmarkStart w:id="151" w:name="_Toc78294055"/>
      <w:bookmarkStart w:id="152" w:name="_Toc83114029"/>
      <w:r w:rsidRPr="001901D8">
        <w:rPr>
          <w:rFonts w:cs="Times New Roman"/>
          <w:lang w:val="fr-CA"/>
        </w:rPr>
        <w:t>Une distinction, exclusion ou préférence</w:t>
      </w:r>
      <w:bookmarkEnd w:id="148"/>
      <w:bookmarkEnd w:id="149"/>
      <w:bookmarkEnd w:id="150"/>
      <w:bookmarkEnd w:id="151"/>
      <w:bookmarkEnd w:id="152"/>
    </w:p>
    <w:p w14:paraId="2B1CCF26"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Comme la Cour l’a</w:t>
      </w:r>
      <w:r>
        <w:rPr>
          <w:rFonts w:cs="Times New Roman"/>
        </w:rPr>
        <w:t xml:space="preserve"> </w:t>
      </w:r>
      <w:r w:rsidRPr="001901D8">
        <w:rPr>
          <w:rFonts w:cs="Times New Roman"/>
        </w:rPr>
        <w:t xml:space="preserve">indiqué dans l’arrêt </w:t>
      </w:r>
      <w:r w:rsidRPr="001901D8">
        <w:rPr>
          <w:rFonts w:cs="Times New Roman"/>
          <w:i/>
        </w:rPr>
        <w:t>Bombardier</w:t>
      </w:r>
      <w:r w:rsidRPr="001901D8">
        <w:rPr>
          <w:rFonts w:cs="Times New Roman"/>
        </w:rPr>
        <w:t>, « [l]e premier élément constitutif de la discrimination ne présente pas de difficultés » (par. 42). Le demandeur doit prouver qu’il a fait l’objet « d’une différence de traitement, c’est-à-dire [d]’une décision, mesure ou conduite [qui] le “touche [. . .] d’une manière différente par rapport à d’autres personnes auxquelles elle peut s’appliquer” » (</w:t>
      </w:r>
      <w:r w:rsidRPr="001901D8">
        <w:rPr>
          <w:rFonts w:cs="Times New Roman"/>
          <w:i/>
        </w:rPr>
        <w:t>ibid.</w:t>
      </w:r>
      <w:r w:rsidRPr="001901D8">
        <w:rPr>
          <w:rFonts w:cs="Times New Roman"/>
        </w:rPr>
        <w:t xml:space="preserve">, citant </w:t>
      </w:r>
      <w:r w:rsidRPr="001901D8">
        <w:rPr>
          <w:rFonts w:cs="Times New Roman"/>
          <w:i/>
        </w:rPr>
        <w:t>Commission ontarienne des droits de la personne</w:t>
      </w:r>
      <w:r w:rsidRPr="001901D8">
        <w:rPr>
          <w:rFonts w:cs="Times New Roman"/>
        </w:rPr>
        <w:t xml:space="preserve">, p. 551). </w:t>
      </w:r>
    </w:p>
    <w:p w14:paraId="0B43A638"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Monsieur Ward est un humoriste professionnel qui dit pratiquer l’humour noir. Dans le numéro de son spectacle intitulé </w:t>
      </w:r>
      <w:r w:rsidRPr="001901D8">
        <w:rPr>
          <w:rFonts w:cs="Times New Roman"/>
          <w:i/>
        </w:rPr>
        <w:t>Les Intouchables</w:t>
      </w:r>
      <w:r w:rsidRPr="001901D8">
        <w:rPr>
          <w:rFonts w:cs="Times New Roman"/>
        </w:rPr>
        <w:t xml:space="preserve"> comme dans ses capsules humoristiques, il tourne en ridicule plusieurs personnalités publiques. Monsieur Gabriel est l’une d’elles.</w:t>
      </w:r>
    </w:p>
    <w:p w14:paraId="3D4C7BC6"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De l’avis du Tribunal, M. Gabriel a fait l’objet d’une différence de traitement en ayant été exposé à la moquerie dans le spectacle et les capsules humoristiques de M. Ward (motifs de première instance, par. 81). Nous estimons qu’il n’y a pas lieu d’intervenir à l’égard de cette conclusion de fait en l’absence d’une erreur manifeste et déterminante (</w:t>
      </w:r>
      <w:r w:rsidRPr="001901D8">
        <w:rPr>
          <w:rFonts w:cs="Times New Roman"/>
          <w:i/>
        </w:rPr>
        <w:t>Vavilov</w:t>
      </w:r>
      <w:r w:rsidRPr="001901D8">
        <w:rPr>
          <w:rFonts w:cs="Times New Roman"/>
        </w:rPr>
        <w:t xml:space="preserve">, par. 37; </w:t>
      </w:r>
      <w:r w:rsidRPr="001901D8">
        <w:rPr>
          <w:rFonts w:cs="Times New Roman"/>
          <w:i/>
        </w:rPr>
        <w:t>Hydro-Québec c. Matta</w:t>
      </w:r>
      <w:r w:rsidRPr="001901D8">
        <w:rPr>
          <w:rFonts w:cs="Times New Roman"/>
        </w:rPr>
        <w:t xml:space="preserve">, 2020 CSC 37, par. 33). </w:t>
      </w:r>
    </w:p>
    <w:p w14:paraId="3A35351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Cela dit, une distinction à elle seule ne peut suffire. Il importe que la distinction en question ait été fondée sur un motif prohibé, soit le deuxième élément constitutif de la discrimination.  </w:t>
      </w:r>
    </w:p>
    <w:p w14:paraId="2641BAB9" w14:textId="77777777" w:rsidR="00116CBE" w:rsidRPr="001901D8" w:rsidRDefault="00116CBE" w:rsidP="00116CBE">
      <w:pPr>
        <w:pStyle w:val="Title3LevelTitre3Niveau"/>
        <w:numPr>
          <w:ilvl w:val="2"/>
          <w:numId w:val="8"/>
        </w:numPr>
        <w:rPr>
          <w:rFonts w:cs="Times New Roman"/>
          <w:lang w:val="fr-CA"/>
        </w:rPr>
      </w:pPr>
      <w:bookmarkStart w:id="153" w:name="_Toc71277692"/>
      <w:bookmarkStart w:id="154" w:name="_Toc74300996"/>
      <w:bookmarkStart w:id="155" w:name="_Toc77683263"/>
      <w:bookmarkStart w:id="156" w:name="_Toc78294056"/>
      <w:bookmarkStart w:id="157" w:name="_Toc83114030"/>
      <w:r w:rsidRPr="001901D8">
        <w:rPr>
          <w:rFonts w:cs="Times New Roman"/>
          <w:lang w:val="fr-CA"/>
        </w:rPr>
        <w:t>Fondée sur un motif prohibé</w:t>
      </w:r>
      <w:bookmarkEnd w:id="153"/>
      <w:bookmarkEnd w:id="154"/>
      <w:bookmarkEnd w:id="155"/>
      <w:bookmarkEnd w:id="156"/>
      <w:bookmarkEnd w:id="157"/>
    </w:p>
    <w:p w14:paraId="42A5141D"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 Tribunal a correctement identifié le test applicable à l’égard du deuxième élément constitutif de la discrimination en se référant à l’arrêt </w:t>
      </w:r>
      <w:r w:rsidRPr="001901D8">
        <w:rPr>
          <w:rFonts w:cs="Times New Roman"/>
          <w:i/>
        </w:rPr>
        <w:t>Bombardier</w:t>
      </w:r>
      <w:r w:rsidRPr="001901D8">
        <w:rPr>
          <w:rFonts w:cs="Times New Roman"/>
        </w:rPr>
        <w:t xml:space="preserve">. Suivant ce test, « le demandeur a le fardeau de démontrer qu’il existe un </w:t>
      </w:r>
      <w:r w:rsidRPr="001901D8">
        <w:rPr>
          <w:rFonts w:cs="Times New Roman"/>
          <w:i/>
        </w:rPr>
        <w:t>lien</w:t>
      </w:r>
      <w:r w:rsidRPr="001901D8">
        <w:rPr>
          <w:rFonts w:cs="Times New Roman"/>
        </w:rPr>
        <w:t xml:space="preserve"> entre un motif prohibé de discrimination et la distinction, l’exclusion ou la préférence dont il se plaint ou, en d’autres mots, que ce motif a été un </w:t>
      </w:r>
      <w:r w:rsidRPr="001901D8">
        <w:rPr>
          <w:rFonts w:cs="Times New Roman"/>
          <w:i/>
        </w:rPr>
        <w:t>facteur</w:t>
      </w:r>
      <w:r w:rsidRPr="001901D8">
        <w:rPr>
          <w:rFonts w:cs="Times New Roman"/>
        </w:rPr>
        <w:t xml:space="preserve"> dans la distinction, l’exclusion ou la préférence » (</w:t>
      </w:r>
      <w:r w:rsidRPr="001901D8">
        <w:rPr>
          <w:rFonts w:cs="Times New Roman"/>
          <w:i/>
        </w:rPr>
        <w:t>Bombardier</w:t>
      </w:r>
      <w:r w:rsidRPr="001901D8">
        <w:rPr>
          <w:rFonts w:cs="Times New Roman"/>
        </w:rPr>
        <w:t>, par. 52 (en italique dans l’original)). Autrement dit, « il suffit que le motif ait contribué aux décisions ou aux gestes reprochés pour que ces derniers soient considérés comme discriminatoires » (</w:t>
      </w:r>
      <w:r w:rsidRPr="001901D8">
        <w:rPr>
          <w:rFonts w:cs="Times New Roman"/>
          <w:i/>
        </w:rPr>
        <w:t>Bombardier</w:t>
      </w:r>
      <w:r w:rsidRPr="001901D8">
        <w:rPr>
          <w:rFonts w:cs="Times New Roman"/>
        </w:rPr>
        <w:t>, par. 48).</w:t>
      </w:r>
    </w:p>
    <w:p w14:paraId="52016C4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La conclusion du Tribunal sur ce point est contradictoire. Dans un premier temps, le Tribunal conclut, « [à] la lumière de l’ensemble de la preuve », que M. Ward « n’a pas choisi [de prendre pour cible M. Gabriel] à cause de son handicap », mais plutôt « parce qu’il est une personnalité publique qui attire la sympathie du public et paraît “intouchable” » (par. 86). Ainsi, la distinction identifiée préalablement par le Tribunal n’est pas fondée sur un motif prohibé. L’analyse du Tribunal devait s’arrêter là.</w:t>
      </w:r>
    </w:p>
    <w:p w14:paraId="1BA3040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À notre avis, le Tribunal erre lorsqu’il poursuit son analyse en s’attardant aux </w:t>
      </w:r>
      <w:r w:rsidRPr="001901D8">
        <w:rPr>
          <w:rFonts w:cs="Times New Roman"/>
          <w:i/>
        </w:rPr>
        <w:t>propos</w:t>
      </w:r>
      <w:r w:rsidRPr="001901D8">
        <w:rPr>
          <w:rFonts w:cs="Times New Roman"/>
        </w:rPr>
        <w:t xml:space="preserve"> eux-mêmes afin de déterminer s’ils sont ou non liés au handicap de M. Gabriel, et ce, en dépit de sa conclusion voulant que « la </w:t>
      </w:r>
      <w:r w:rsidRPr="001901D8">
        <w:rPr>
          <w:rFonts w:cs="Times New Roman"/>
          <w:u w:val="single"/>
        </w:rPr>
        <w:t>décision</w:t>
      </w:r>
      <w:r w:rsidRPr="001901D8">
        <w:rPr>
          <w:rFonts w:cs="Times New Roman"/>
        </w:rPr>
        <w:t xml:space="preserve"> de [M.] Ward de faire des blagues sur [M. Gabriel n’était] pas elle-même discriminatoire » (par. 87 (nous soulignons)). </w:t>
      </w:r>
    </w:p>
    <w:p w14:paraId="57DD8702"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Le raisonnement du Tribunal consiste essentiellement à conclure à l’existence d’une distinction fondée sur un motif prohibé dès lors que les propos font référence à un tel motif. Or, la simple mention d’un motif prohibé ne peut à elle seule établir que ce motif a constitué un facteur dans la différence de traitement. Certes, cela peut constituer un indice, mais certainement pas une preuve suffisante de son existence. S’il en était autrement, il ne serait plus nécessaire de prouver que le motif a contribué à la différence de traitement. Comme notre Cour l’a affirmé dans </w:t>
      </w:r>
      <w:r w:rsidRPr="001901D8">
        <w:rPr>
          <w:rFonts w:cs="Times New Roman"/>
          <w:i/>
        </w:rPr>
        <w:t>Bombardier</w:t>
      </w:r>
      <w:r w:rsidRPr="001901D8">
        <w:rPr>
          <w:rFonts w:cs="Times New Roman"/>
        </w:rPr>
        <w:t xml:space="preserve">, « bien que la nature de la preuve présentée puisse varier d’une affaire à l’autre, l’“analyse juridique”, elle, ne change pas. Ce qui peut varier, ce sont les circonstances qui pourront permettre de satisfaire aux divers éléments de l’analyse, et les tribunaux doivent adopter une approche qui tienne compte du contexte » (par. 69). </w:t>
      </w:r>
    </w:p>
    <w:p w14:paraId="68914019"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À la lumière de la conclusion du Tribunal, qui retient que M. Gabriel a été ciblé par les propos de M. Ward en raison de sa notoriété et non de son handicap, le Tribunal n’avait d’autre choix que de conclure que le second élément constitutif de la discrimination n’a pas été rempli. En passant outre à sa</w:t>
      </w:r>
      <w:r>
        <w:rPr>
          <w:rFonts w:cs="Times New Roman"/>
        </w:rPr>
        <w:t xml:space="preserve"> propre</w:t>
      </w:r>
      <w:r w:rsidRPr="001901D8">
        <w:rPr>
          <w:rFonts w:cs="Times New Roman"/>
        </w:rPr>
        <w:t xml:space="preserve"> conclusion de fait, le Tribunal fait abstraction de la nature particulière du recours dont il est saisi. Il se limite au message et au préjudice, et conduit son analyse comme il le ferait dans un recours en diffamation, où la partie demanderesse n’a pas à prouver une différence de traitement ni un lien avec un motif prohibé de discrimination.</w:t>
      </w:r>
    </w:p>
    <w:p w14:paraId="27550043"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Par ailleurs, et avec égards, les juges majoritaires de la Cour d’appel occultent la première conclusion de fait du Tribunal et y substituent erronément leur propre analyse, lorsqu’elles concluent que « M. Ward choisit M. Gabriel à la fois en raison de sa notoriété et parce qu’il est en situation de handicap » (motifs de la C.A., par. 168). </w:t>
      </w:r>
    </w:p>
    <w:p w14:paraId="02F7C384"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Cela dit, même si nous adoptions la position du Tribunal ou celle des juges majoritaires de la Cour d’appel, cela n’aurait pas d’incidence sur le sort du présent pourvoi, vu notre conclusion relative au troisième élément constitutif de la discrimination. </w:t>
      </w:r>
    </w:p>
    <w:p w14:paraId="761442C4" w14:textId="77777777" w:rsidR="00116CBE" w:rsidRPr="001901D8" w:rsidRDefault="00116CBE" w:rsidP="00116CBE">
      <w:pPr>
        <w:pStyle w:val="Title3LevelTitre3Niveau"/>
        <w:numPr>
          <w:ilvl w:val="2"/>
          <w:numId w:val="8"/>
        </w:numPr>
        <w:rPr>
          <w:rFonts w:cs="Times New Roman"/>
          <w:lang w:val="fr-CA"/>
        </w:rPr>
      </w:pPr>
      <w:bookmarkStart w:id="158" w:name="_Toc71277693"/>
      <w:bookmarkStart w:id="159" w:name="_Toc74300997"/>
      <w:bookmarkStart w:id="160" w:name="_Toc77683264"/>
      <w:bookmarkStart w:id="161" w:name="_Toc78294057"/>
      <w:bookmarkStart w:id="162" w:name="_Toc83114031"/>
      <w:r w:rsidRPr="001901D8">
        <w:rPr>
          <w:rFonts w:cs="Times New Roman"/>
          <w:lang w:val="fr-CA"/>
        </w:rPr>
        <w:t>Compromettant la reconnaissance d</w:t>
      </w:r>
      <w:r>
        <w:rPr>
          <w:rFonts w:cs="Times New Roman"/>
          <w:lang w:val="fr-CA"/>
        </w:rPr>
        <w:t xml:space="preserve">u droit à </w:t>
      </w:r>
      <w:r w:rsidRPr="001901D8">
        <w:rPr>
          <w:rFonts w:cs="Times New Roman"/>
          <w:lang w:val="fr-CA"/>
        </w:rPr>
        <w:t>la sauvegarde de la dignité</w:t>
      </w:r>
      <w:bookmarkEnd w:id="158"/>
      <w:bookmarkEnd w:id="159"/>
      <w:bookmarkEnd w:id="160"/>
      <w:bookmarkEnd w:id="161"/>
      <w:bookmarkEnd w:id="162"/>
    </w:p>
    <w:p w14:paraId="025252AB"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Le dernier élément de la discrimination requiert d’établir si la différence de traitement fondée sur un motif prohibé compromet le droit de M. Gabriel à la reconnaissance en pleine égalité de son droit à la sauvegarde de sa dignité. Cette démarche nécessite d’abord de déterminer si la protection du droit de M. Gabriel à la sauvegarde de sa dignité s’impose au regard de l’art. 9.1 de la </w:t>
      </w:r>
      <w:r w:rsidRPr="001901D8">
        <w:rPr>
          <w:rFonts w:cs="Times New Roman"/>
          <w:i/>
        </w:rPr>
        <w:t>Charte</w:t>
      </w:r>
      <w:r w:rsidRPr="001901D8">
        <w:rPr>
          <w:rFonts w:cs="Times New Roman"/>
        </w:rPr>
        <w:t xml:space="preserve">. Pour ce faire, ce droit doit être pondéré avec le droit à la liberté d’expression de M. Ward. </w:t>
      </w:r>
    </w:p>
    <w:p w14:paraId="2B3A1F19" w14:textId="77777777" w:rsidR="00116CBE" w:rsidRPr="001901D8" w:rsidRDefault="00116CBE" w:rsidP="00116CBE">
      <w:pPr>
        <w:pStyle w:val="ParaNoNdepar-AltN"/>
        <w:tabs>
          <w:tab w:val="clear" w:pos="1152"/>
          <w:tab w:val="left" w:pos="1166"/>
        </w:tabs>
        <w:rPr>
          <w:rFonts w:cs="Times New Roman"/>
          <w:i/>
        </w:rPr>
      </w:pPr>
      <w:r w:rsidRPr="001901D8">
        <w:rPr>
          <w:rFonts w:cs="Times New Roman"/>
        </w:rPr>
        <w:t xml:space="preserve">Le test établi précédemment permet de résoudre le conflit entre les droits fondamentaux invoqués par les parties. D’abord, il faut se demander si une personne raisonnable, informée des circonstances et du contexte pertinents, considérerait que les propos visant M. Gabriel incitent à </w:t>
      </w:r>
      <w:r>
        <w:rPr>
          <w:rFonts w:cs="Times New Roman"/>
        </w:rPr>
        <w:t xml:space="preserve">le </w:t>
      </w:r>
      <w:r w:rsidRPr="001901D8">
        <w:rPr>
          <w:rFonts w:cs="Times New Roman"/>
        </w:rPr>
        <w:t xml:space="preserve">mépriser ou à détester son humanité pour un motif de distinction illicite. Il faut ensuite se demander si cette personne raisonnable considérerait que, situés dans leur contexte, ces propos peuvent vraisemblablement avoir pour effet de mener au traitement discriminatoire de M. Gabriel. À notre avis, les propos tenus par M. Ward ne satisfont </w:t>
      </w:r>
      <w:r>
        <w:rPr>
          <w:rFonts w:cs="Times New Roman"/>
        </w:rPr>
        <w:t xml:space="preserve">à </w:t>
      </w:r>
      <w:r w:rsidRPr="001901D8">
        <w:rPr>
          <w:rFonts w:cs="Times New Roman"/>
        </w:rPr>
        <w:t xml:space="preserve">aucune de ces deux exigences. </w:t>
      </w:r>
    </w:p>
    <w:p w14:paraId="6FC7C5A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Dans le cadre de sa dissidence, la juge Savard souligne avec justesse l’importance de situer les propos dans leur contexte (motifs de la C.A., par. 128-129). Le présent contexte est celui d’un spectacle d’humour noir destiné à un auditoire qui a payé pour entendre ce genre de propos. Dans son spectacle, M. Ward affirme qu’il est devenu impossible au Québec de se moquer des gens sans s’exposer à des poursuites judiciaires. Il dit vouloir prendre des risques et rire des « intouchables », c’est-à-dire de ceux et celles que les Québécois apprécient, qui ont du succès et du pouvoir. Après s’être moqué de l’apparence physique de nombreuses personnalités publiques, M. Ward en vient à M. Gabriel, qu’il décrit à son auditoire comme le jeune avec un haut-parleur sur la tête. Évoquant les plaintes de ceux qui n’appréciaient guère son talent artistique, il raconte avoir défendu le droit de M. Gabriel de vivre son rêve en croyant qu’il était sur le point de mourir. Monsieur Ward ajoute que, puisque celui-ci ne mourrait pas, il a essayé de le noyer sans y parvenir. En terminant le numéro, il dit avoir découvert, par des recherches, que la maladie de M. Gabriel est d’être laid. </w:t>
      </w:r>
    </w:p>
    <w:p w14:paraId="5DF71BD1"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ce qui concerne la capsule vidéo, elle a été réalisée à l’occasion de la parution de l’autobiographie de M. Gabriel, en 2008, soit deux années avant le lancement du spectacle en litige. L’humoriste a rendu cette capsule accessible sur son site Web professionnel pendant environ une année. Elle consiste en une photographie du jeune M. Gabriel dont les yeux et la bouche seuls sont animés. D’une voix contrefaite, M. Ward y fait parler sa cible à la première personne. Monsieur Gabriel y est présenté comme un jeune avec un haut-parleur sur la tête et une bouche qui ne ferme pas au complet. </w:t>
      </w:r>
    </w:p>
    <w:p w14:paraId="6BF313F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Le témoignage de M. Gabriel est éloquent sur la peine que lui ont causée ces propos blessants, qui remontent à une époque où il était encore jeune adolescent. Le fait qu’un humoriste connu, populaire, profite de sa tribune pour se moquer d’un jeune homme en situation de handicap n’a certes rien d’édifiant. Quoi qu’il en soit, il ne s’agit pas ici de déterminer si les propos de M. Ward sont de bon ou de mauvais goût, mais d’appliquer un cadre juridique à des propos prononcés dans un contexte précis. Ce cadre juridique est centré sur les effets discriminatoires probables des propos et non sur le préjudice émotionnel subi par la personne ciblée.</w:t>
      </w:r>
    </w:p>
    <w:p w14:paraId="6750D76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Selon nous, une personne raisonnable informée des circonstances pertinentes ne considérerait pas que les propos de M. Ward visant M. Gabriel incitent à </w:t>
      </w:r>
      <w:r>
        <w:rPr>
          <w:rFonts w:cs="Times New Roman"/>
        </w:rPr>
        <w:t xml:space="preserve">le </w:t>
      </w:r>
      <w:r w:rsidRPr="001901D8">
        <w:rPr>
          <w:rFonts w:cs="Times New Roman"/>
        </w:rPr>
        <w:t xml:space="preserve">mépriser ou à détester son humanité pour un motif de distinction illicite. Situés dans leur contexte, ses propos ne peuvent être pris au premier degré. Bien que M. Ward prononce des méchancetés et des propos honteux liés au handicap de M. Gabriel, ses propos n’incitent pas l’auditoire à traiter celui-ci comme un être inférieur. </w:t>
      </w:r>
    </w:p>
    <w:p w14:paraId="2365202E"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Dans sa capsule comme dans son spectacle, M. Ward se moque de certaines caractéristiques physiques de M. Gabriel. Rire des caractéristiques physiques d’une personne peut être répugnant; ce l’est assurément lorsque la personne en question est un jeune en situation de handicap qui contribue avec détermination à la société. Mais, de tels propos n’incitent pas, du seul fait qu’ils sont répugnants, à détester ou mépriser l’humanité de la personne ciblée (</w:t>
      </w:r>
      <w:r w:rsidRPr="001901D8">
        <w:rPr>
          <w:rFonts w:cs="Times New Roman"/>
          <w:i/>
        </w:rPr>
        <w:t>Whatcott</w:t>
      </w:r>
      <w:r w:rsidRPr="001901D8">
        <w:rPr>
          <w:rFonts w:cs="Times New Roman"/>
        </w:rPr>
        <w:t xml:space="preserve">, par. 90-91). La première exigence du test n’est donc pas rencontrée, et l’analyse pourrait s’arrêter ici. </w:t>
      </w:r>
    </w:p>
    <w:p w14:paraId="7990454C"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Cela dit, même si nous avions conclu que les propos tenus incite</w:t>
      </w:r>
      <w:r>
        <w:rPr>
          <w:rFonts w:cs="Times New Roman"/>
        </w:rPr>
        <w:t>nt</w:t>
      </w:r>
      <w:r w:rsidRPr="001901D8">
        <w:rPr>
          <w:rFonts w:cs="Times New Roman"/>
        </w:rPr>
        <w:t xml:space="preserve"> au mépris ou à la dé</w:t>
      </w:r>
      <w:r>
        <w:rPr>
          <w:rFonts w:cs="Times New Roman"/>
        </w:rPr>
        <w:t>testation</w:t>
      </w:r>
      <w:r w:rsidRPr="001901D8">
        <w:rPr>
          <w:rFonts w:cs="Times New Roman"/>
        </w:rPr>
        <w:t xml:space="preserve"> de l’humanité de M. Gabriel pour un motif illicite, l’analyse de la seconde exigence du test précisé</w:t>
      </w:r>
      <w:r>
        <w:rPr>
          <w:rFonts w:cs="Times New Roman"/>
        </w:rPr>
        <w:t xml:space="preserve"> </w:t>
      </w:r>
      <w:r w:rsidRPr="001901D8">
        <w:rPr>
          <w:rFonts w:cs="Times New Roman"/>
        </w:rPr>
        <w:t xml:space="preserve">dans le présent arrêt aurait également mené au rejet de son recours. Une personne raisonnable ne pourrait considérer que les propos tenus par M. Ward, situés dans leur contexte, peuvent vraisemblablement avoir pour effet de mener au traitement discriminatoire de M. Gabriel. </w:t>
      </w:r>
    </w:p>
    <w:p w14:paraId="2EBF647B"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En première instance, le Tribunal a retenu que des camarades de classe de M. Gabriel se sont moqués de lui « </w:t>
      </w:r>
      <w:r w:rsidRPr="001901D8">
        <w:rPr>
          <w:rFonts w:cs="Times New Roman"/>
          <w:u w:val="single"/>
        </w:rPr>
        <w:t>en s’inspirant</w:t>
      </w:r>
      <w:r w:rsidRPr="001901D8">
        <w:rPr>
          <w:rFonts w:cs="Times New Roman"/>
        </w:rPr>
        <w:t xml:space="preserve"> des propos de [M.] Ward » (par. 114 (nous soulignons)). Cette preuve est pertinente seulement dans la mesure où elle nous renseigne sur l’effet probable des propos. Il faut rappeler que le test est objectif. En conséquence, il convient de garder à l’esprit qu’un fait postérieur à une conduite n’est pas nécessairement une conséquence de cette conduite. Ainsi, le fait que des gens s’inspirent de certains propos n’est pas pour autant un effet probable de ces propos. Bien entendu, il est prévisible que des propos prononcés par un humoriste connu aient des répercussions en dehors de leur contexte initial, mais ces répercussions ne lui sont pas nécessairement imputables pour autant. Encore faut-il déterminer si, considérés objectivement, les propos tenus encourageaient de telles répercussions. À notre avis, ce n’est pas le cas en l’espèce. </w:t>
      </w:r>
    </w:p>
    <w:p w14:paraId="7F7E7D80"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Les propos litigieux se caractérisent par une provocation affichée et une exagération systématique — des procédés qui accentuent leur effet de dérision. Ils sont le fait d’un humoriste de carrière connu pour ce genre d’humour. Ils exploitent, à tort ou à raison, un malaise en vue de divertir, mais ils ne font guère plus que cela. Ainsi, les propos tenus dans la capsule vidéo et dans le spectacle, replacés dans leur contexte, ne sont pas de nature à produire un effet d’entraînement susceptible de mener au traitement discriminatoire de M. Gabriel.</w:t>
      </w:r>
    </w:p>
    <w:p w14:paraId="32A187E5"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En conséquence, la Commission ne satisfait pas aux exigences requises pour avoir gain de cause en vertu des art. 4 et 10 de la </w:t>
      </w:r>
      <w:r w:rsidRPr="001901D8">
        <w:rPr>
          <w:rFonts w:cs="Times New Roman"/>
          <w:i/>
          <w:iCs/>
        </w:rPr>
        <w:t>Charte québécoise</w:t>
      </w:r>
      <w:r w:rsidRPr="001901D8">
        <w:rPr>
          <w:rFonts w:cs="Times New Roman"/>
          <w:iCs/>
        </w:rPr>
        <w:t xml:space="preserve">. Mais cette conclusion </w:t>
      </w:r>
      <w:r w:rsidRPr="001901D8">
        <w:rPr>
          <w:rFonts w:cs="Times New Roman"/>
        </w:rPr>
        <w:t xml:space="preserve">ne signifie pas que M. Gabriel était sans recours à la suite de ces événements. D’autres recours étaient disponibles. À titre d’exemple, et sans nous prononcer sur les chances de succès de ces recours alternatifs, M. Gabriel aurait pu invoquer la protection contre le harcèlement prévue à l’art. 10.1 de la </w:t>
      </w:r>
      <w:r w:rsidRPr="001901D8">
        <w:rPr>
          <w:rFonts w:cs="Times New Roman"/>
          <w:i/>
        </w:rPr>
        <w:t>Charte</w:t>
      </w:r>
      <w:r w:rsidRPr="001901D8">
        <w:rPr>
          <w:rFonts w:cs="Times New Roman"/>
        </w:rPr>
        <w:t xml:space="preserve"> en raison de l’intimidation qu’il a subie. De même, M. Gabriel aurait pu intenter une action en diffamation. Cependant, ni la Commission ni le Tribunal n’ont compétence en matière de diffamation. La conjugaison de la norme d’égalité de la </w:t>
      </w:r>
      <w:r w:rsidRPr="001901D8">
        <w:rPr>
          <w:rFonts w:cs="Times New Roman"/>
          <w:i/>
        </w:rPr>
        <w:t>Charte québécoise</w:t>
      </w:r>
      <w:r w:rsidRPr="001901D8">
        <w:rPr>
          <w:rFonts w:cs="Times New Roman"/>
        </w:rPr>
        <w:t xml:space="preserve"> et du droit à la sauvegarde de la dignité ne sauraient leur conférer cette compétence par une voie oblique. </w:t>
      </w:r>
    </w:p>
    <w:p w14:paraId="79E72159" w14:textId="77777777" w:rsidR="00116CBE" w:rsidRPr="001901D8" w:rsidRDefault="00116CBE" w:rsidP="00116CBE">
      <w:pPr>
        <w:pStyle w:val="Title1LevelTitre1Niveau-AltL"/>
        <w:numPr>
          <w:ilvl w:val="0"/>
          <w:numId w:val="8"/>
        </w:numPr>
        <w:rPr>
          <w:rFonts w:cs="Times New Roman"/>
          <w:lang w:val="fr-CA"/>
        </w:rPr>
      </w:pPr>
      <w:bookmarkStart w:id="163" w:name="_Toc71277694"/>
      <w:bookmarkStart w:id="164" w:name="_Toc74300998"/>
      <w:bookmarkStart w:id="165" w:name="_Toc77683265"/>
      <w:bookmarkStart w:id="166" w:name="_Toc78294058"/>
      <w:bookmarkStart w:id="167" w:name="_Toc83114032"/>
      <w:r w:rsidRPr="001901D8">
        <w:rPr>
          <w:rFonts w:cs="Times New Roman"/>
          <w:lang w:val="fr-CA"/>
        </w:rPr>
        <w:t>Dispositif</w:t>
      </w:r>
      <w:bookmarkEnd w:id="163"/>
      <w:bookmarkEnd w:id="164"/>
      <w:bookmarkEnd w:id="165"/>
      <w:bookmarkEnd w:id="166"/>
      <w:bookmarkEnd w:id="167"/>
    </w:p>
    <w:p w14:paraId="32F74646" w14:textId="77777777" w:rsidR="00116CBE" w:rsidRPr="001901D8" w:rsidRDefault="00116CBE" w:rsidP="00116CBE">
      <w:pPr>
        <w:pStyle w:val="ParaNoNdepar-AltN"/>
        <w:tabs>
          <w:tab w:val="clear" w:pos="1152"/>
          <w:tab w:val="left" w:pos="1166"/>
        </w:tabs>
        <w:rPr>
          <w:rFonts w:cs="Times New Roman"/>
        </w:rPr>
      </w:pPr>
      <w:r w:rsidRPr="001901D8">
        <w:rPr>
          <w:rFonts w:cs="Times New Roman"/>
        </w:rPr>
        <w:t xml:space="preserve">L’appel est accueilli sans </w:t>
      </w:r>
      <w:r>
        <w:rPr>
          <w:rFonts w:cs="Times New Roman"/>
        </w:rPr>
        <w:t>dépens</w:t>
      </w:r>
      <w:r w:rsidRPr="001901D8">
        <w:rPr>
          <w:rFonts w:cs="Times New Roman"/>
        </w:rPr>
        <w:t xml:space="preserve">. Les jugements </w:t>
      </w:r>
      <w:r>
        <w:rPr>
          <w:rFonts w:cs="Times New Roman"/>
        </w:rPr>
        <w:t xml:space="preserve">du Tribunal et </w:t>
      </w:r>
      <w:r w:rsidRPr="001901D8">
        <w:rPr>
          <w:rFonts w:cs="Times New Roman"/>
        </w:rPr>
        <w:t xml:space="preserve">de la Cour d’appel sont </w:t>
      </w:r>
      <w:r>
        <w:rPr>
          <w:rFonts w:cs="Times New Roman"/>
        </w:rPr>
        <w:t>infirmés en ce qui concerne M. Gabriel</w:t>
      </w:r>
      <w:r w:rsidRPr="001901D8">
        <w:rPr>
          <w:rFonts w:cs="Times New Roman"/>
        </w:rPr>
        <w:t>.</w:t>
      </w:r>
    </w:p>
    <w:p w14:paraId="6135F61E" w14:textId="77777777" w:rsidR="00116CBE" w:rsidRPr="00116CBE" w:rsidRDefault="00116CBE" w:rsidP="00B91F12">
      <w:pPr>
        <w:pStyle w:val="SCCNormalDoubleSpacing"/>
        <w:spacing w:after="480"/>
        <w:rPr>
          <w:lang w:val="fr-CA"/>
        </w:rPr>
      </w:pPr>
    </w:p>
    <w:p w14:paraId="35CE4908" w14:textId="77777777" w:rsidR="00116CBE" w:rsidRDefault="00116CBE" w:rsidP="00116CBE">
      <w:pPr>
        <w:rPr>
          <w:lang w:val="fr-CA"/>
        </w:rPr>
      </w:pPr>
      <w:r w:rsidRPr="00812C91">
        <w:rPr>
          <w:lang w:val="fr-CA"/>
        </w:rPr>
        <w:t>Version française des motifs des juges Abella, Karakatsanis, Martin et Kasirer rendus par</w:t>
      </w:r>
    </w:p>
    <w:p w14:paraId="45D475DF" w14:textId="77777777" w:rsidR="00116CBE" w:rsidRPr="00812C91" w:rsidRDefault="00116CBE" w:rsidP="00116CBE">
      <w:pPr>
        <w:rPr>
          <w:lang w:val="fr-CA"/>
        </w:rPr>
      </w:pPr>
    </w:p>
    <w:p w14:paraId="72133772" w14:textId="77777777" w:rsidR="00116CBE" w:rsidRPr="00985CB4" w:rsidRDefault="00116CBE" w:rsidP="00116CBE">
      <w:pPr>
        <w:pStyle w:val="JudgeJuge"/>
        <w:spacing w:before="480"/>
      </w:pPr>
      <w:r w:rsidRPr="00985CB4">
        <w:tab/>
        <w:t xml:space="preserve">Les juges Abella et Kasirer — </w:t>
      </w:r>
    </w:p>
    <w:p w14:paraId="6642FEC8" w14:textId="77777777" w:rsidR="00116CBE" w:rsidRPr="00985CB4" w:rsidRDefault="00116CBE" w:rsidP="00116CBE">
      <w:pPr>
        <w:pStyle w:val="ParaNoNdepar-AltN"/>
      </w:pPr>
      <w:r w:rsidRPr="00985CB4">
        <w:t>Le présent pourvoi porte sur</w:t>
      </w:r>
      <w:r>
        <w:t xml:space="preserve"> d</w:t>
      </w:r>
      <w:r w:rsidRPr="00985CB4">
        <w:t xml:space="preserve">es propos discriminatoires ciblant un enfant handicapé. Il concerne un humoriste qui, revendiquant sa liberté artistique, a raillé des personnalités publiques, dont un enfant physiquement handicapé qui est devenu connu comme chanteur. La question en litige consiste à décider </w:t>
      </w:r>
      <w:r>
        <w:t>si l’</w:t>
      </w:r>
      <w:r w:rsidRPr="00985CB4">
        <w:t>enfant handicapé a perdu sa protection contre la discrimination et le droit de ne pas être l</w:t>
      </w:r>
      <w:r>
        <w:t>’</w:t>
      </w:r>
      <w:r w:rsidRPr="00985CB4">
        <w:t>objet d</w:t>
      </w:r>
      <w:r>
        <w:t>’</w:t>
      </w:r>
      <w:r w:rsidRPr="00985CB4">
        <w:t>humiliation et d</w:t>
      </w:r>
      <w:r>
        <w:t>’</w:t>
      </w:r>
      <w:r w:rsidRPr="00985CB4">
        <w:t>intimidation publiques du seul fait qu</w:t>
      </w:r>
      <w:r>
        <w:t>’</w:t>
      </w:r>
      <w:r w:rsidRPr="00985CB4">
        <w:t>il est bien connu.</w:t>
      </w:r>
    </w:p>
    <w:p w14:paraId="33352DED" w14:textId="77777777" w:rsidR="00116CBE" w:rsidRPr="00985CB4" w:rsidRDefault="00116CBE" w:rsidP="00116CBE">
      <w:pPr>
        <w:pStyle w:val="ParaNoNdepar-AltN"/>
        <w:rPr>
          <w:rFonts w:cs="Times New Roman"/>
          <w:szCs w:val="24"/>
        </w:rPr>
      </w:pPr>
      <w:r w:rsidRPr="00985CB4">
        <w:rPr>
          <w:rFonts w:cs="Times New Roman"/>
          <w:szCs w:val="24"/>
        </w:rPr>
        <w:t>Depuis des générations, notre pays s</w:t>
      </w:r>
      <w:r>
        <w:rPr>
          <w:rFonts w:cs="Times New Roman"/>
          <w:szCs w:val="24"/>
        </w:rPr>
        <w:t>’</w:t>
      </w:r>
      <w:r w:rsidRPr="00985CB4">
        <w:rPr>
          <w:rFonts w:cs="Times New Roman"/>
          <w:szCs w:val="24"/>
        </w:rPr>
        <w:t>efforce de créer une société qui valorise les droits de la personne et qui protège les gens contre les préjudices qui leur sont causés parce qu</w:t>
      </w:r>
      <w:r>
        <w:rPr>
          <w:rFonts w:cs="Times New Roman"/>
          <w:szCs w:val="24"/>
        </w:rPr>
        <w:t>’</w:t>
      </w:r>
      <w:r w:rsidRPr="00985CB4">
        <w:rPr>
          <w:rFonts w:cs="Times New Roman"/>
          <w:szCs w:val="24"/>
        </w:rPr>
        <w:t>ils sont différents de par leur race, leur religion, leur handicap, leur couleur ou leur orientation sexuelle, entre autres motifs. Jamais nous ne tolérerions une conduite humiliante ou déshumanisante envers des enfants handicapés; il n</w:t>
      </w:r>
      <w:r>
        <w:rPr>
          <w:rFonts w:cs="Times New Roman"/>
          <w:szCs w:val="24"/>
        </w:rPr>
        <w:t>’</w:t>
      </w:r>
      <w:r w:rsidRPr="00985CB4">
        <w:rPr>
          <w:rFonts w:cs="Times New Roman"/>
          <w:szCs w:val="24"/>
        </w:rPr>
        <w:t>existe donc aucune raison de principe justifiant de tolérer des propos qui ont le même effet injurieux. Tenter de justifier une telle conduite discriminatoire en la drapant dans le principe de la liberté d</w:t>
      </w:r>
      <w:r>
        <w:rPr>
          <w:rFonts w:cs="Times New Roman"/>
          <w:szCs w:val="24"/>
        </w:rPr>
        <w:t>’</w:t>
      </w:r>
      <w:r w:rsidRPr="00985CB4">
        <w:rPr>
          <w:rFonts w:cs="Times New Roman"/>
          <w:szCs w:val="24"/>
        </w:rPr>
        <w:t>expression ne la rend pas moins intolérable lorsque ces propos constituent de la maltraitance psychologique délibérée envers un enfant handicapé.</w:t>
      </w:r>
    </w:p>
    <w:p w14:paraId="1A2FACD3" w14:textId="77777777" w:rsidR="00116CBE" w:rsidRPr="00985CB4" w:rsidRDefault="00116CBE" w:rsidP="00116CBE">
      <w:pPr>
        <w:pStyle w:val="ParaNoNdepar-AltN"/>
        <w:rPr>
          <w:rFonts w:cs="Times New Roman"/>
        </w:rPr>
      </w:pPr>
      <w:r w:rsidRPr="00985CB4">
        <w:rPr>
          <w:rFonts w:cs="Times New Roman"/>
        </w:rPr>
        <w:t>Les législateurs et les tribunaux ont systématiquement pris des mesures pour prévenir les graves préjudices que peuvent causer certains propos et pour indemniser les personnes qui en sont victimes. En conséquence, il ne s</w:t>
      </w:r>
      <w:r>
        <w:rPr>
          <w:rFonts w:cs="Times New Roman"/>
        </w:rPr>
        <w:t>’</w:t>
      </w:r>
      <w:r w:rsidRPr="00985CB4">
        <w:rPr>
          <w:rFonts w:cs="Times New Roman"/>
        </w:rPr>
        <w:t>agit pas d</w:t>
      </w:r>
      <w:r>
        <w:rPr>
          <w:rFonts w:cs="Times New Roman"/>
        </w:rPr>
        <w:t>’</w:t>
      </w:r>
      <w:r w:rsidRPr="00985CB4">
        <w:rPr>
          <w:rFonts w:cs="Times New Roman"/>
        </w:rPr>
        <w:t>une affaire portant principalement sur la liberté artistique. Il s</w:t>
      </w:r>
      <w:r>
        <w:rPr>
          <w:rFonts w:cs="Times New Roman"/>
        </w:rPr>
        <w:t>’</w:t>
      </w:r>
      <w:r w:rsidRPr="00985CB4">
        <w:rPr>
          <w:rFonts w:cs="Times New Roman"/>
        </w:rPr>
        <w:t>agit d</w:t>
      </w:r>
      <w:r>
        <w:rPr>
          <w:rFonts w:cs="Times New Roman"/>
        </w:rPr>
        <w:t>’</w:t>
      </w:r>
      <w:r w:rsidRPr="00985CB4">
        <w:rPr>
          <w:rFonts w:cs="Times New Roman"/>
        </w:rPr>
        <w:t>une affaire qui concerne le droit des personnes vulnérables et marginalisées, particulièrement les enfants handicapés, de ne pas être l</w:t>
      </w:r>
      <w:r>
        <w:rPr>
          <w:rFonts w:cs="Times New Roman"/>
        </w:rPr>
        <w:t>’</w:t>
      </w:r>
      <w:r w:rsidRPr="00985CB4">
        <w:rPr>
          <w:rFonts w:cs="Times New Roman"/>
        </w:rPr>
        <w:t>objet d</w:t>
      </w:r>
      <w:r>
        <w:rPr>
          <w:rFonts w:cs="Times New Roman"/>
        </w:rPr>
        <w:t>’</w:t>
      </w:r>
      <w:r w:rsidRPr="00985CB4">
        <w:rPr>
          <w:rFonts w:cs="Times New Roman"/>
        </w:rPr>
        <w:t>humiliation, de cruauté, d</w:t>
      </w:r>
      <w:r>
        <w:rPr>
          <w:rFonts w:cs="Times New Roman"/>
        </w:rPr>
        <w:t>’</w:t>
      </w:r>
      <w:r w:rsidRPr="00985CB4">
        <w:rPr>
          <w:rFonts w:cs="Times New Roman"/>
        </w:rPr>
        <w:t>intimidation et de dénigrement publics les ciblant de façon particulière sur la base de leur handicap, ainsi que l</w:t>
      </w:r>
      <w:r>
        <w:rPr>
          <w:rFonts w:cs="Times New Roman"/>
        </w:rPr>
        <w:t>’</w:t>
      </w:r>
      <w:r w:rsidRPr="00985CB4">
        <w:rPr>
          <w:rFonts w:cs="Times New Roman"/>
        </w:rPr>
        <w:t>atteinte dévastatrice à leur dignité qui en résulte. Il n</w:t>
      </w:r>
      <w:r>
        <w:rPr>
          <w:rFonts w:cs="Times New Roman"/>
        </w:rPr>
        <w:t>’</w:t>
      </w:r>
      <w:r w:rsidRPr="00985CB4">
        <w:rPr>
          <w:rFonts w:cs="Times New Roman"/>
        </w:rPr>
        <w:t>est pas surprenant, compte tenu de la teneur des blagues et du jeune âge de l</w:t>
      </w:r>
      <w:r>
        <w:rPr>
          <w:rFonts w:cs="Times New Roman"/>
        </w:rPr>
        <w:t>’</w:t>
      </w:r>
      <w:r w:rsidRPr="00985CB4">
        <w:rPr>
          <w:rFonts w:cs="Times New Roman"/>
        </w:rPr>
        <w:t>enfant, que les propos aient eu des répercussions sérieuses sur celui</w:t>
      </w:r>
      <w:r>
        <w:rPr>
          <w:rFonts w:cs="Times New Roman"/>
        </w:rPr>
        <w:noBreakHyphen/>
      </w:r>
      <w:r w:rsidRPr="00985CB4">
        <w:rPr>
          <w:rFonts w:cs="Times New Roman"/>
        </w:rPr>
        <w:t>ci. Il a été ostracisé par ses pairs et a eu des pensées suicidaires.</w:t>
      </w:r>
    </w:p>
    <w:p w14:paraId="3205D852" w14:textId="77777777" w:rsidR="00116CBE" w:rsidRPr="00985CB4" w:rsidRDefault="00116CBE" w:rsidP="00116CBE">
      <w:pPr>
        <w:pStyle w:val="ParaNoNdepar-AltN"/>
        <w:rPr>
          <w:rFonts w:cs="Times New Roman"/>
          <w:szCs w:val="24"/>
        </w:rPr>
      </w:pPr>
      <w:r w:rsidRPr="00985CB4">
        <w:rPr>
          <w:rFonts w:cs="Times New Roman"/>
          <w:szCs w:val="24"/>
        </w:rPr>
        <w:t>La disposition en cause en l</w:t>
      </w:r>
      <w:r>
        <w:rPr>
          <w:rFonts w:cs="Times New Roman"/>
          <w:szCs w:val="24"/>
        </w:rPr>
        <w:t>’</w:t>
      </w:r>
      <w:r w:rsidRPr="00985CB4">
        <w:rPr>
          <w:rFonts w:cs="Times New Roman"/>
          <w:szCs w:val="24"/>
        </w:rPr>
        <w:t>espèce est l</w:t>
      </w:r>
      <w:r>
        <w:rPr>
          <w:rFonts w:cs="Times New Roman"/>
          <w:szCs w:val="24"/>
        </w:rPr>
        <w:t>’art. </w:t>
      </w:r>
      <w:r w:rsidRPr="00985CB4">
        <w:rPr>
          <w:rFonts w:cs="Times New Roman"/>
          <w:szCs w:val="24"/>
        </w:rPr>
        <w:t xml:space="preserve">10 de la </w:t>
      </w:r>
      <w:r w:rsidRPr="00985CB4">
        <w:rPr>
          <w:rFonts w:cs="Times New Roman"/>
          <w:i/>
          <w:szCs w:val="24"/>
        </w:rPr>
        <w:t>Charte des droits et libertés de la personne</w:t>
      </w:r>
      <w:r w:rsidRPr="00985CB4">
        <w:rPr>
          <w:rFonts w:cs="Times New Roman"/>
          <w:szCs w:val="24"/>
        </w:rPr>
        <w:t>, RLRQ, c. C</w:t>
      </w:r>
      <w:r>
        <w:rPr>
          <w:rFonts w:cs="Times New Roman"/>
          <w:szCs w:val="24"/>
        </w:rPr>
        <w:noBreakHyphen/>
      </w:r>
      <w:r w:rsidRPr="00985CB4">
        <w:rPr>
          <w:rFonts w:cs="Times New Roman"/>
          <w:szCs w:val="24"/>
        </w:rPr>
        <w:t>12 (« </w:t>
      </w:r>
      <w:r w:rsidRPr="00985CB4">
        <w:rPr>
          <w:rFonts w:cs="Times New Roman"/>
          <w:i/>
          <w:szCs w:val="24"/>
        </w:rPr>
        <w:t>Charte</w:t>
      </w:r>
      <w:r w:rsidRPr="00985CB4">
        <w:rPr>
          <w:rFonts w:cs="Times New Roman"/>
          <w:szCs w:val="24"/>
        </w:rPr>
        <w:t xml:space="preserve"> québécoise »), qui protège l</w:t>
      </w:r>
      <w:r>
        <w:rPr>
          <w:rFonts w:cs="Times New Roman"/>
          <w:szCs w:val="24"/>
        </w:rPr>
        <w:t>’</w:t>
      </w:r>
      <w:r w:rsidRPr="00985CB4">
        <w:rPr>
          <w:rFonts w:cs="Times New Roman"/>
          <w:szCs w:val="24"/>
        </w:rPr>
        <w:t>exercice, en pleine égalité, d</w:t>
      </w:r>
      <w:r>
        <w:rPr>
          <w:rFonts w:cs="Times New Roman"/>
          <w:szCs w:val="24"/>
        </w:rPr>
        <w:t>’</w:t>
      </w:r>
      <w:r w:rsidRPr="00985CB4">
        <w:rPr>
          <w:rFonts w:cs="Times New Roman"/>
          <w:szCs w:val="24"/>
        </w:rPr>
        <w:t>autres droits et libertés individuels, y compris le droit d</w:t>
      </w:r>
      <w:r>
        <w:rPr>
          <w:rFonts w:cs="Times New Roman"/>
          <w:szCs w:val="24"/>
        </w:rPr>
        <w:t>’</w:t>
      </w:r>
      <w:r w:rsidRPr="00985CB4">
        <w:rPr>
          <w:rFonts w:cs="Times New Roman"/>
          <w:szCs w:val="24"/>
        </w:rPr>
        <w:t>une personne à la sauvegarde de sa dignité. À notre avis, cette disposition sert à protéger les gens contre des propos discriminatoires tellement préjudiciables qu</w:t>
      </w:r>
      <w:r>
        <w:rPr>
          <w:rFonts w:cs="Times New Roman"/>
          <w:szCs w:val="24"/>
        </w:rPr>
        <w:t>’</w:t>
      </w:r>
      <w:r w:rsidRPr="00985CB4">
        <w:rPr>
          <w:rFonts w:cs="Times New Roman"/>
          <w:szCs w:val="24"/>
        </w:rPr>
        <w:t>une personne raisonnable se trouvant dans leur situation refuserait de les tolérer. L</w:t>
      </w:r>
      <w:r>
        <w:rPr>
          <w:rFonts w:cs="Times New Roman"/>
          <w:szCs w:val="24"/>
        </w:rPr>
        <w:t>’</w:t>
      </w:r>
      <w:r w:rsidRPr="00985CB4">
        <w:rPr>
          <w:rFonts w:cs="Times New Roman"/>
          <w:szCs w:val="24"/>
        </w:rPr>
        <w:t>article 10 doit continuer à être interprété d</w:t>
      </w:r>
      <w:r>
        <w:rPr>
          <w:rFonts w:cs="Times New Roman"/>
          <w:szCs w:val="24"/>
        </w:rPr>
        <w:t>’</w:t>
      </w:r>
      <w:r w:rsidRPr="00985CB4">
        <w:rPr>
          <w:rFonts w:cs="Times New Roman"/>
          <w:szCs w:val="24"/>
        </w:rPr>
        <w:t>une manière qui permette de s</w:t>
      </w:r>
      <w:r>
        <w:rPr>
          <w:rFonts w:cs="Times New Roman"/>
          <w:szCs w:val="24"/>
        </w:rPr>
        <w:t>’</w:t>
      </w:r>
      <w:r w:rsidRPr="00985CB4">
        <w:rPr>
          <w:rFonts w:cs="Times New Roman"/>
          <w:szCs w:val="24"/>
        </w:rPr>
        <w:t>attaquer à ce type de préjudices individuels, conformément à la norme établie par la Cour d</w:t>
      </w:r>
      <w:r>
        <w:rPr>
          <w:rFonts w:cs="Times New Roman"/>
          <w:szCs w:val="24"/>
        </w:rPr>
        <w:t>’</w:t>
      </w:r>
      <w:r w:rsidRPr="00985CB4">
        <w:rPr>
          <w:rFonts w:cs="Times New Roman"/>
          <w:szCs w:val="24"/>
        </w:rPr>
        <w:t xml:space="preserve">appel dans </w:t>
      </w:r>
      <w:r w:rsidRPr="00985CB4">
        <w:rPr>
          <w:rFonts w:cs="Times New Roman"/>
          <w:i/>
          <w:szCs w:val="24"/>
        </w:rPr>
        <w:t>Calego International inc. c. Commission des droits de la personne et des droits de la jeunesse</w:t>
      </w:r>
      <w:r w:rsidRPr="00985CB4">
        <w:rPr>
          <w:rFonts w:cs="Times New Roman"/>
          <w:szCs w:val="24"/>
        </w:rPr>
        <w:t>, 2013 QCCA 924</w:t>
      </w:r>
      <w:r w:rsidRPr="00985CB4">
        <w:rPr>
          <w:rFonts w:cs="Times New Roman"/>
        </w:rPr>
        <w:t xml:space="preserve">, </w:t>
      </w:r>
      <w:r w:rsidRPr="00985CB4">
        <w:rPr>
          <w:rFonts w:cs="Times New Roman"/>
          <w:szCs w:val="24"/>
        </w:rPr>
        <w:t>[2013] R.J.D.T. 517.</w:t>
      </w:r>
    </w:p>
    <w:p w14:paraId="25488813" w14:textId="77777777" w:rsidR="00116CBE" w:rsidRPr="00985CB4" w:rsidRDefault="00116CBE" w:rsidP="00116CBE">
      <w:pPr>
        <w:pStyle w:val="ParaNoNdepar-AltN"/>
        <w:rPr>
          <w:rFonts w:cs="Times New Roman"/>
        </w:rPr>
      </w:pPr>
      <w:r w:rsidRPr="00985CB4">
        <w:rPr>
          <w:rFonts w:cs="Times New Roman"/>
        </w:rPr>
        <w:t>Pour les motifs qui suivent, nous sommes d</w:t>
      </w:r>
      <w:r>
        <w:rPr>
          <w:rFonts w:cs="Times New Roman"/>
        </w:rPr>
        <w:t>’</w:t>
      </w:r>
      <w:r w:rsidRPr="00985CB4">
        <w:rPr>
          <w:rFonts w:cs="Times New Roman"/>
        </w:rPr>
        <w:t>avis de rejeter le pourvoi. La question centrale consiste à déterminer si l</w:t>
      </w:r>
      <w:r>
        <w:rPr>
          <w:rFonts w:cs="Times New Roman"/>
        </w:rPr>
        <w:t>’</w:t>
      </w:r>
      <w:r w:rsidRPr="00985CB4">
        <w:rPr>
          <w:rFonts w:cs="Times New Roman"/>
        </w:rPr>
        <w:t>atteinte à l</w:t>
      </w:r>
      <w:r>
        <w:rPr>
          <w:rFonts w:cs="Times New Roman"/>
        </w:rPr>
        <w:t>’</w:t>
      </w:r>
      <w:r w:rsidRPr="00985CB4">
        <w:rPr>
          <w:rFonts w:cs="Times New Roman"/>
        </w:rPr>
        <w:t>exercice, en pleine égalité, du droit à la dignité est suffisamment grave, ou si elle est justifiée par la liberté d</w:t>
      </w:r>
      <w:r>
        <w:rPr>
          <w:rFonts w:cs="Times New Roman"/>
        </w:rPr>
        <w:t>’</w:t>
      </w:r>
      <w:r w:rsidRPr="00985CB4">
        <w:rPr>
          <w:rFonts w:cs="Times New Roman"/>
        </w:rPr>
        <w:t>expression de l</w:t>
      </w:r>
      <w:r>
        <w:rPr>
          <w:rFonts w:cs="Times New Roman"/>
        </w:rPr>
        <w:t>’</w:t>
      </w:r>
      <w:r w:rsidRPr="00985CB4">
        <w:rPr>
          <w:rFonts w:cs="Times New Roman"/>
        </w:rPr>
        <w:t>humoriste. Dans les circonstances de la présente affaire, les moqueries largement diffusées visant un enfant handicapé âgé de 10 à 13 ans, qui soulevaient des idées déshumanisantes liées à son handicap, satisfont clairement à ce critère.</w:t>
      </w:r>
    </w:p>
    <w:p w14:paraId="6A9902E9" w14:textId="77777777" w:rsidR="00116CBE" w:rsidRPr="00985CB4" w:rsidRDefault="00116CBE" w:rsidP="00116CBE">
      <w:pPr>
        <w:pStyle w:val="TitleTitre-AltT"/>
        <w:rPr>
          <w:rFonts w:cs="Times New Roman"/>
          <w:lang w:val="fr-CA"/>
        </w:rPr>
      </w:pPr>
      <w:r w:rsidRPr="00985CB4">
        <w:rPr>
          <w:rFonts w:cs="Times New Roman"/>
          <w:u w:val="single"/>
          <w:lang w:val="fr-CA"/>
        </w:rPr>
        <w:t>Contexte</w:t>
      </w:r>
    </w:p>
    <w:p w14:paraId="0B11A5D3" w14:textId="77777777" w:rsidR="00116CBE" w:rsidRPr="00985CB4" w:rsidRDefault="00116CBE" w:rsidP="00116CBE">
      <w:pPr>
        <w:pStyle w:val="ParaNoNdepar-AltN"/>
        <w:rPr>
          <w:rFonts w:cs="Times New Roman"/>
          <w:szCs w:val="24"/>
        </w:rPr>
      </w:pPr>
      <w:r w:rsidRPr="00985CB4">
        <w:rPr>
          <w:rFonts w:cs="Times New Roman"/>
          <w:szCs w:val="24"/>
        </w:rPr>
        <w:t xml:space="preserve">Le plaignant Jérémy Gabriel est né en 1996, atteint du syndrome de Treacher Collins. Ce syndrome entraîne des malformations de la tête, des oreilles et du palais, et dans le cas de </w:t>
      </w:r>
      <w:r>
        <w:rPr>
          <w:rFonts w:cs="Times New Roman"/>
          <w:szCs w:val="24"/>
        </w:rPr>
        <w:t>Jérémy Gabriel</w:t>
      </w:r>
      <w:r w:rsidRPr="00985CB4">
        <w:rPr>
          <w:rFonts w:cs="Times New Roman"/>
          <w:szCs w:val="24"/>
        </w:rPr>
        <w:t xml:space="preserve"> il a causé la surdité. À l</w:t>
      </w:r>
      <w:r>
        <w:rPr>
          <w:rFonts w:cs="Times New Roman"/>
          <w:szCs w:val="24"/>
        </w:rPr>
        <w:t>’</w:t>
      </w:r>
      <w:r w:rsidRPr="00985CB4">
        <w:rPr>
          <w:rFonts w:cs="Times New Roman"/>
          <w:szCs w:val="24"/>
        </w:rPr>
        <w:t>âge de 6 ans, ce dernier s</w:t>
      </w:r>
      <w:r>
        <w:rPr>
          <w:rFonts w:cs="Times New Roman"/>
          <w:szCs w:val="24"/>
        </w:rPr>
        <w:t>’</w:t>
      </w:r>
      <w:r w:rsidRPr="00985CB4">
        <w:rPr>
          <w:rFonts w:cs="Times New Roman"/>
          <w:szCs w:val="24"/>
        </w:rPr>
        <w:t>est fait poser un appareil auditif ostéo</w:t>
      </w:r>
      <w:r>
        <w:rPr>
          <w:rFonts w:cs="Times New Roman"/>
          <w:szCs w:val="24"/>
        </w:rPr>
        <w:noBreakHyphen/>
      </w:r>
      <w:r w:rsidRPr="00985CB4">
        <w:rPr>
          <w:rFonts w:cs="Times New Roman"/>
          <w:szCs w:val="24"/>
        </w:rPr>
        <w:t>intégré qui lui a permis, pour la première fois, d</w:t>
      </w:r>
      <w:r>
        <w:rPr>
          <w:rFonts w:cs="Times New Roman"/>
          <w:szCs w:val="24"/>
        </w:rPr>
        <w:t>’</w:t>
      </w:r>
      <w:r w:rsidRPr="00985CB4">
        <w:rPr>
          <w:rFonts w:cs="Times New Roman"/>
          <w:szCs w:val="24"/>
        </w:rPr>
        <w:t>entendre 80 à 90 </w:t>
      </w:r>
      <w:r>
        <w:rPr>
          <w:rFonts w:cs="Times New Roman"/>
          <w:szCs w:val="24"/>
        </w:rPr>
        <w:t>p. </w:t>
      </w:r>
      <w:r w:rsidRPr="00985CB4">
        <w:rPr>
          <w:rFonts w:cs="Times New Roman"/>
          <w:szCs w:val="24"/>
        </w:rPr>
        <w:t>100 des sons. Grâce à l</w:t>
      </w:r>
      <w:r>
        <w:rPr>
          <w:rFonts w:cs="Times New Roman"/>
          <w:szCs w:val="24"/>
        </w:rPr>
        <w:t>’</w:t>
      </w:r>
      <w:r w:rsidRPr="00985CB4">
        <w:rPr>
          <w:rFonts w:cs="Times New Roman"/>
          <w:szCs w:val="24"/>
        </w:rPr>
        <w:t xml:space="preserve">appareil auditif, il a pu apprendre à parler. </w:t>
      </w:r>
      <w:r w:rsidRPr="00985CB4">
        <w:rPr>
          <w:rFonts w:cs="Times New Roman"/>
        </w:rPr>
        <w:t>Il s</w:t>
      </w:r>
      <w:r>
        <w:rPr>
          <w:rFonts w:cs="Times New Roman"/>
        </w:rPr>
        <w:t>’</w:t>
      </w:r>
      <w:r w:rsidRPr="00985CB4">
        <w:rPr>
          <w:rFonts w:cs="Times New Roman"/>
        </w:rPr>
        <w:t>est également découvert une passion pour le chant. En 2005, à l</w:t>
      </w:r>
      <w:r>
        <w:rPr>
          <w:rFonts w:cs="Times New Roman"/>
        </w:rPr>
        <w:t>’</w:t>
      </w:r>
      <w:r w:rsidRPr="00985CB4">
        <w:rPr>
          <w:rFonts w:cs="Times New Roman"/>
        </w:rPr>
        <w:t xml:space="preserve">âge de 8 ans, il a fait sa première sortie publique comme chanteur dans une émission télévisée appelée </w:t>
      </w:r>
      <w:r w:rsidRPr="009F7CBC">
        <w:rPr>
          <w:rFonts w:cs="Times New Roman"/>
          <w:i/>
        </w:rPr>
        <w:t>Donnez au suivant</w:t>
      </w:r>
      <w:r w:rsidRPr="00985CB4">
        <w:rPr>
          <w:rFonts w:cs="Times New Roman"/>
        </w:rPr>
        <w:t>. Il est devenu bien connu du public par la suite. De 2005 à 2008, de l</w:t>
      </w:r>
      <w:r>
        <w:rPr>
          <w:rFonts w:cs="Times New Roman"/>
        </w:rPr>
        <w:t>’</w:t>
      </w:r>
      <w:r w:rsidRPr="00985CB4">
        <w:rPr>
          <w:rFonts w:cs="Times New Roman"/>
        </w:rPr>
        <w:t xml:space="preserve">âge de 8 à 11 ans, </w:t>
      </w:r>
      <w:r>
        <w:rPr>
          <w:rFonts w:cs="Times New Roman"/>
        </w:rPr>
        <w:t>Jérémy Gabriel</w:t>
      </w:r>
      <w:r w:rsidRPr="00985CB4">
        <w:rPr>
          <w:rFonts w:cs="Times New Roman"/>
        </w:rPr>
        <w:t xml:space="preserve"> a donné de nombreuses représentations, notamment devant le Pape et en présence de Céline Dion. Il a également participé à plusieurs émissions de télévision diffusées au Québec et ailleurs au Canada, et il a chanté l</w:t>
      </w:r>
      <w:r>
        <w:rPr>
          <w:rFonts w:cs="Times New Roman"/>
        </w:rPr>
        <w:t>’</w:t>
      </w:r>
      <w:r w:rsidRPr="00985CB4">
        <w:rPr>
          <w:rFonts w:cs="Times New Roman"/>
        </w:rPr>
        <w:t>hymne national à un match des Canadiens de Montréal.</w:t>
      </w:r>
    </w:p>
    <w:p w14:paraId="3F1348D3" w14:textId="77777777" w:rsidR="00116CBE" w:rsidRPr="00985CB4" w:rsidRDefault="00116CBE" w:rsidP="00116CBE">
      <w:pPr>
        <w:pStyle w:val="ParaNoNdepar-AltN"/>
        <w:rPr>
          <w:rFonts w:cs="Times New Roman"/>
          <w:szCs w:val="24"/>
        </w:rPr>
      </w:pPr>
      <w:r w:rsidRPr="00985CB4">
        <w:rPr>
          <w:rFonts w:cs="Times New Roman"/>
          <w:szCs w:val="24"/>
        </w:rPr>
        <w:t xml:space="preserve">Mike Ward est un humoriste qui se produit sur scène depuis les années 1990. Selon ses dires, il a donné des milliers de spectacles et certains de ses numéros sont accessibles à un auditoire plus large sur Internet. De 2010 à 2013, M. Ward a présenté un spectacle intitulé </w:t>
      </w:r>
      <w:r w:rsidRPr="00985CB4">
        <w:rPr>
          <w:rFonts w:cs="Times New Roman"/>
          <w:i/>
          <w:szCs w:val="24"/>
        </w:rPr>
        <w:t>Mike Ward s</w:t>
      </w:r>
      <w:r>
        <w:rPr>
          <w:rFonts w:cs="Times New Roman"/>
          <w:i/>
          <w:szCs w:val="24"/>
        </w:rPr>
        <w:t>’</w:t>
      </w:r>
      <w:r w:rsidRPr="00985CB4">
        <w:rPr>
          <w:rFonts w:cs="Times New Roman"/>
          <w:i/>
          <w:szCs w:val="24"/>
        </w:rPr>
        <w:t>eXpose</w:t>
      </w:r>
      <w:r w:rsidRPr="00985CB4">
        <w:rPr>
          <w:rFonts w:cs="Times New Roman"/>
          <w:szCs w:val="24"/>
        </w:rPr>
        <w:t>. Dans ce spectacle, il a ciblé des célébrités qu</w:t>
      </w:r>
      <w:r>
        <w:rPr>
          <w:rFonts w:cs="Times New Roman"/>
          <w:szCs w:val="24"/>
        </w:rPr>
        <w:t>’</w:t>
      </w:r>
      <w:r w:rsidRPr="00985CB4">
        <w:rPr>
          <w:rFonts w:cs="Times New Roman"/>
          <w:szCs w:val="24"/>
        </w:rPr>
        <w:t>il qualifie de « vaches sacrées ».</w:t>
      </w:r>
    </w:p>
    <w:p w14:paraId="61DD90D4" w14:textId="77777777" w:rsidR="00116CBE" w:rsidRPr="00985CB4" w:rsidRDefault="00116CBE" w:rsidP="00116CBE">
      <w:pPr>
        <w:pStyle w:val="ParaNoNdepar-AltN"/>
        <w:rPr>
          <w:rFonts w:cs="Times New Roman"/>
        </w:rPr>
      </w:pPr>
      <w:r w:rsidRPr="00985CB4">
        <w:rPr>
          <w:rFonts w:cs="Times New Roman"/>
          <w:szCs w:val="24"/>
        </w:rPr>
        <w:t>En 2007, à l</w:t>
      </w:r>
      <w:r>
        <w:rPr>
          <w:rFonts w:cs="Times New Roman"/>
          <w:szCs w:val="24"/>
        </w:rPr>
        <w:t>’</w:t>
      </w:r>
      <w:r w:rsidRPr="00985CB4">
        <w:rPr>
          <w:rFonts w:cs="Times New Roman"/>
          <w:szCs w:val="24"/>
        </w:rPr>
        <w:t xml:space="preserve">âge de 10 ans, Jérémy Gabriel a publié une autobiographie dans laquelle il décrivait sa carrière et le fait de vivre avec le syndrome de Treacher Collins. Peu de temps après, M. Ward a publié sur son site Web des capsules vidéo dans lesquelles il se moquait de </w:t>
      </w:r>
      <w:r>
        <w:rPr>
          <w:rFonts w:cs="Times New Roman"/>
          <w:szCs w:val="24"/>
        </w:rPr>
        <w:t>Jérémy Gabriel</w:t>
      </w:r>
      <w:r w:rsidRPr="00985CB4">
        <w:rPr>
          <w:rFonts w:cs="Times New Roman"/>
          <w:szCs w:val="24"/>
        </w:rPr>
        <w:t xml:space="preserve">. </w:t>
      </w:r>
      <w:r w:rsidRPr="00985CB4">
        <w:rPr>
          <w:rFonts w:cs="Times New Roman"/>
        </w:rPr>
        <w:t>Dans ces capsules, M. Ward se moquait du handicap de ce dernier, y compris en faisant des imitations, et tenait les propos suivants</w:t>
      </w:r>
      <w:r>
        <w:rPr>
          <w:rFonts w:cs="Times New Roman"/>
        </w:rPr>
        <w:t> :</w:t>
      </w:r>
    </w:p>
    <w:p w14:paraId="0C0A0E7A" w14:textId="77777777" w:rsidR="00116CBE" w:rsidRPr="00985CB4" w:rsidRDefault="00116CBE" w:rsidP="00116CBE">
      <w:pPr>
        <w:pStyle w:val="Citation-AltC"/>
        <w:spacing w:after="240"/>
        <w:ind w:left="1168" w:hanging="1168"/>
        <w:contextualSpacing w:val="0"/>
      </w:pPr>
      <w:r>
        <w:tab/>
      </w:r>
      <w:r>
        <w:tab/>
      </w:r>
      <w:r w:rsidRPr="00985CB4">
        <w:t>Pis là j</w:t>
      </w:r>
      <w:r>
        <w:t>’</w:t>
      </w:r>
      <w:r w:rsidRPr="00985CB4">
        <w:t>en profite t</w:t>
      </w:r>
      <w:r>
        <w:t>’</w:t>
      </w:r>
      <w:r w:rsidRPr="00985CB4">
        <w:t>sais de sortir la marchandise pendant que j</w:t>
      </w:r>
      <w:r>
        <w:t>’</w:t>
      </w:r>
      <w:r w:rsidRPr="00985CB4">
        <w:t>t</w:t>
      </w:r>
      <w:r>
        <w:t>’</w:t>
      </w:r>
      <w:r w:rsidRPr="00985CB4">
        <w:t>encore jeune t</w:t>
      </w:r>
      <w:r>
        <w:t>’</w:t>
      </w:r>
      <w:r w:rsidRPr="00985CB4">
        <w:t>sais parce que je veux dire plus tard, t</w:t>
      </w:r>
      <w:r>
        <w:t>’</w:t>
      </w:r>
      <w:r w:rsidRPr="00985CB4">
        <w:t>sais rendu à 40 ans là j</w:t>
      </w:r>
      <w:r>
        <w:t>’</w:t>
      </w:r>
      <w:r w:rsidRPr="00985CB4">
        <w:t>pourrai pu faire des disques t</w:t>
      </w:r>
      <w:r>
        <w:t>’</w:t>
      </w:r>
      <w:r w:rsidRPr="00985CB4">
        <w:t>sais. J</w:t>
      </w:r>
      <w:r>
        <w:t>’</w:t>
      </w:r>
      <w:r w:rsidRPr="00985CB4">
        <w:t>veux dire pas beau qui chante t</w:t>
      </w:r>
      <w:r>
        <w:t>’</w:t>
      </w:r>
      <w:r w:rsidRPr="00985CB4">
        <w:t>sais y</w:t>
      </w:r>
      <w:r>
        <w:t>’</w:t>
      </w:r>
      <w:r w:rsidRPr="00985CB4">
        <w:t>a déjà Gregory Charles facque lui y</w:t>
      </w:r>
      <w:r>
        <w:t>’</w:t>
      </w:r>
      <w:r w:rsidRPr="00985CB4">
        <w:t>a comme le monopole du marché.</w:t>
      </w:r>
    </w:p>
    <w:p w14:paraId="78DA22A7" w14:textId="77777777" w:rsidR="00116CBE" w:rsidRPr="00985CB4" w:rsidRDefault="00116CBE" w:rsidP="00116CBE">
      <w:pPr>
        <w:pStyle w:val="Citation-AltC"/>
        <w:spacing w:after="240"/>
        <w:ind w:left="1168" w:hanging="1168"/>
        <w:contextualSpacing w:val="0"/>
      </w:pPr>
      <w:r>
        <w:tab/>
      </w:r>
      <w:r>
        <w:tab/>
      </w:r>
      <w:r w:rsidRPr="00985CB4">
        <w:t>Pis là, bin t</w:t>
      </w:r>
      <w:r>
        <w:t>’</w:t>
      </w:r>
      <w:r w:rsidRPr="00985CB4">
        <w:t>sais, ça je voulais pas le dire, mais c</w:t>
      </w:r>
      <w:r>
        <w:t>’</w:t>
      </w:r>
      <w:r w:rsidRPr="00985CB4">
        <w:t xml:space="preserve">est parce que moi </w:t>
      </w:r>
      <w:r w:rsidRPr="00985CB4">
        <w:rPr>
          <w:u w:val="single"/>
        </w:rPr>
        <w:t>je peux pas contrôler qu</w:t>
      </w:r>
      <w:r>
        <w:rPr>
          <w:u w:val="single"/>
        </w:rPr>
        <w:t>’</w:t>
      </w:r>
      <w:r w:rsidRPr="00985CB4">
        <w:rPr>
          <w:u w:val="single"/>
        </w:rPr>
        <w:t>est</w:t>
      </w:r>
      <w:r>
        <w:rPr>
          <w:u w:val="single"/>
        </w:rPr>
        <w:noBreakHyphen/>
      </w:r>
      <w:r w:rsidRPr="00985CB4">
        <w:rPr>
          <w:u w:val="single"/>
        </w:rPr>
        <w:t>ce qui sort parce que ma bouche a ferme pas au complet</w:t>
      </w:r>
      <w:r w:rsidRPr="00985CB4">
        <w:t>, regardez . . .</w:t>
      </w:r>
    </w:p>
    <w:p w14:paraId="637053AE" w14:textId="77777777" w:rsidR="00116CBE" w:rsidRPr="00D44DBB" w:rsidRDefault="00116CBE" w:rsidP="00116CBE">
      <w:pPr>
        <w:pStyle w:val="Citation-AltC"/>
        <w:spacing w:after="240"/>
        <w:ind w:left="1168" w:hanging="1168"/>
        <w:contextualSpacing w:val="0"/>
      </w:pPr>
      <w:r>
        <w:tab/>
      </w:r>
      <w:r>
        <w:tab/>
      </w:r>
      <w:r w:rsidRPr="00985CB4">
        <w:t>Mais ça, ça c</w:t>
      </w:r>
      <w:r>
        <w:t>’</w:t>
      </w:r>
      <w:r w:rsidRPr="00985CB4">
        <w:t>est une opération que j</w:t>
      </w:r>
      <w:r>
        <w:t>’</w:t>
      </w:r>
      <w:r w:rsidRPr="00985CB4">
        <w:t>aurais aimé ça vouloir avoir, mais ça d</w:t>
      </w:r>
      <w:r>
        <w:t>’</w:t>
      </w:r>
      <w:r w:rsidRPr="00985CB4">
        <w:t>l</w:t>
      </w:r>
      <w:r>
        <w:t>’</w:t>
      </w:r>
      <w:r w:rsidRPr="00985CB4">
        <w:t>air j</w:t>
      </w:r>
      <w:r>
        <w:t>’</w:t>
      </w:r>
      <w:r w:rsidRPr="00985CB4">
        <w:t>aimais mieux mettre toute mon argent dans le char sport que ma mère a acheté facque là moi je suis pogné avec ma petite boîte de son su</w:t>
      </w:r>
      <w:r>
        <w:t>’</w:t>
      </w:r>
      <w:r w:rsidRPr="00985CB4">
        <w:t>a tête, ma y</w:t>
      </w:r>
      <w:r>
        <w:t>’</w:t>
      </w:r>
      <w:r w:rsidRPr="00985CB4">
        <w:t xml:space="preserve">eule qui ferme pas, pis un livre assez moyen merci. </w:t>
      </w:r>
      <w:r w:rsidRPr="00D44DBB">
        <w:t>[Nous soulignons.]</w:t>
      </w:r>
    </w:p>
    <w:p w14:paraId="67473385" w14:textId="77777777" w:rsidR="00116CBE" w:rsidRPr="00441D70" w:rsidRDefault="00116CBE" w:rsidP="00116CBE">
      <w:pPr>
        <w:pStyle w:val="Citation-AltC"/>
        <w:ind w:hanging="1166"/>
      </w:pPr>
      <w:r w:rsidRPr="00D44DBB">
        <w:tab/>
        <w:t>(d.a., vol. </w:t>
      </w:r>
      <w:r w:rsidRPr="00441D70">
        <w:t>III, p. 194 (transcription basée sur le CD joint au d.a.))</w:t>
      </w:r>
    </w:p>
    <w:p w14:paraId="31905214" w14:textId="77777777" w:rsidR="00116CBE" w:rsidRPr="00985CB4" w:rsidRDefault="00116CBE" w:rsidP="00116CBE">
      <w:pPr>
        <w:pStyle w:val="ParaNoNdepar-AltN"/>
        <w:rPr>
          <w:rFonts w:cs="Times New Roman"/>
          <w:szCs w:val="24"/>
        </w:rPr>
      </w:pPr>
      <w:r w:rsidRPr="00985CB4">
        <w:rPr>
          <w:rFonts w:cs="Times New Roman"/>
          <w:szCs w:val="24"/>
        </w:rPr>
        <w:t xml:space="preserve">Dans son spectacle </w:t>
      </w:r>
      <w:r w:rsidRPr="00985CB4">
        <w:rPr>
          <w:rFonts w:cs="Times New Roman"/>
          <w:i/>
          <w:szCs w:val="24"/>
        </w:rPr>
        <w:t>Mike Ward s</w:t>
      </w:r>
      <w:r>
        <w:rPr>
          <w:rFonts w:cs="Times New Roman"/>
          <w:i/>
          <w:szCs w:val="24"/>
        </w:rPr>
        <w:t>’</w:t>
      </w:r>
      <w:r w:rsidRPr="00985CB4">
        <w:rPr>
          <w:rFonts w:cs="Times New Roman"/>
          <w:i/>
          <w:szCs w:val="24"/>
        </w:rPr>
        <w:t>eXpose</w:t>
      </w:r>
      <w:r w:rsidRPr="00985CB4">
        <w:rPr>
          <w:rFonts w:cs="Times New Roman"/>
          <w:szCs w:val="24"/>
        </w:rPr>
        <w:t xml:space="preserve">, M. Ward a tenu les propos suivants au sujet de Jérémy Gabriel, </w:t>
      </w:r>
      <w:r>
        <w:rPr>
          <w:rFonts w:cs="Times New Roman"/>
          <w:szCs w:val="24"/>
        </w:rPr>
        <w:t>qui</w:t>
      </w:r>
      <w:r w:rsidRPr="00985CB4">
        <w:rPr>
          <w:rFonts w:cs="Times New Roman"/>
          <w:szCs w:val="24"/>
        </w:rPr>
        <w:t xml:space="preserve"> avait </w:t>
      </w:r>
      <w:r>
        <w:rPr>
          <w:rFonts w:cs="Times New Roman"/>
          <w:szCs w:val="24"/>
        </w:rPr>
        <w:t xml:space="preserve">alors </w:t>
      </w:r>
      <w:r w:rsidRPr="00985CB4">
        <w:rPr>
          <w:rFonts w:cs="Times New Roman"/>
          <w:szCs w:val="24"/>
        </w:rPr>
        <w:t>entre 13 et 16 ans</w:t>
      </w:r>
      <w:r>
        <w:rPr>
          <w:rFonts w:cs="Times New Roman"/>
          <w:szCs w:val="24"/>
        </w:rPr>
        <w:t> :</w:t>
      </w:r>
    </w:p>
    <w:p w14:paraId="08A99E2A" w14:textId="77777777" w:rsidR="00116CBE" w:rsidRPr="00985CB4" w:rsidRDefault="00116CBE" w:rsidP="00116CBE">
      <w:pPr>
        <w:pStyle w:val="Citation-AltC"/>
        <w:spacing w:after="240"/>
        <w:ind w:left="1168" w:hanging="1168"/>
        <w:contextualSpacing w:val="0"/>
      </w:pPr>
      <w:r>
        <w:tab/>
      </w:r>
      <w:r>
        <w:tab/>
      </w:r>
      <w:r w:rsidRPr="00985CB4">
        <w:t>Elle m</w:t>
      </w:r>
      <w:r>
        <w:t>’</w:t>
      </w:r>
      <w:r w:rsidRPr="00985CB4">
        <w:t>impressionne Céline parce qu</w:t>
      </w:r>
      <w:r>
        <w:t>’</w:t>
      </w:r>
      <w:r w:rsidRPr="00985CB4">
        <w:t>elle a chanté pour le pape, le seul autre enfant québécois [à] chanter pour le pape? Le petit Jérémy?</w:t>
      </w:r>
    </w:p>
    <w:p w14:paraId="6E255D03" w14:textId="77777777" w:rsidR="00116CBE" w:rsidRPr="00985CB4" w:rsidRDefault="00116CBE" w:rsidP="00116CBE">
      <w:pPr>
        <w:pStyle w:val="Citation-AltC"/>
        <w:spacing w:after="240"/>
        <w:ind w:left="1168" w:hanging="1168"/>
        <w:contextualSpacing w:val="0"/>
      </w:pPr>
      <w:r>
        <w:tab/>
      </w:r>
      <w:r>
        <w:tab/>
      </w:r>
      <w:r w:rsidRPr="00985CB4">
        <w:t>Vous vous rappelez du petit Jérémy, t</w:t>
      </w:r>
      <w:r>
        <w:t>’</w:t>
      </w:r>
      <w:r w:rsidRPr="00985CB4">
        <w:t>sais le jeune avec le sub</w:t>
      </w:r>
      <w:r>
        <w:noBreakHyphen/>
      </w:r>
      <w:r w:rsidRPr="00985CB4">
        <w:t>woofer su</w:t>
      </w:r>
      <w:r>
        <w:t>’</w:t>
      </w:r>
      <w:r w:rsidRPr="00985CB4">
        <w:t>a tête?</w:t>
      </w:r>
    </w:p>
    <w:p w14:paraId="2A6E3F4A" w14:textId="77777777" w:rsidR="00116CBE" w:rsidRPr="00985CB4" w:rsidRDefault="00116CBE" w:rsidP="00116CBE">
      <w:pPr>
        <w:pStyle w:val="Citation-AltC"/>
        <w:spacing w:after="240"/>
        <w:ind w:left="1168" w:hanging="1168"/>
        <w:contextualSpacing w:val="0"/>
      </w:pPr>
      <w:r>
        <w:tab/>
      </w:r>
      <w:r>
        <w:tab/>
      </w:r>
      <w:r w:rsidRPr="00985CB4">
        <w:t>Quand le petit Jérémy est arrivé tout le monde chialait sauf moi, j</w:t>
      </w:r>
      <w:r>
        <w:t>’</w:t>
      </w:r>
      <w:r w:rsidRPr="00985CB4">
        <w:t>étais le seul à le défendre. T</w:t>
      </w:r>
      <w:r>
        <w:t>’</w:t>
      </w:r>
      <w:r w:rsidRPr="00985CB4">
        <w:t>sais quand y</w:t>
      </w:r>
      <w:r>
        <w:t>’</w:t>
      </w:r>
      <w:r w:rsidRPr="00985CB4">
        <w:t>est arrivé, y</w:t>
      </w:r>
      <w:r>
        <w:t>’</w:t>
      </w:r>
      <w:r w:rsidRPr="00985CB4">
        <w:t>a chanté pour le pape, le monde disait « Y</w:t>
      </w:r>
      <w:r>
        <w:t>’</w:t>
      </w:r>
      <w:r w:rsidRPr="00985CB4">
        <w:t>est ben mauvais, y fausse, y chante m</w:t>
      </w:r>
      <w:r>
        <w:t>al. </w:t>
      </w:r>
      <w:r w:rsidRPr="00985CB4">
        <w:t>» Moi je le défendais, j</w:t>
      </w:r>
      <w:r>
        <w:t>’</w:t>
      </w:r>
      <w:r w:rsidRPr="00985CB4">
        <w:t>disais « Y</w:t>
      </w:r>
      <w:r>
        <w:t>’</w:t>
      </w:r>
      <w:r w:rsidRPr="00985CB4">
        <w:t>est mourant, laissez le vivre son rêve, y vie un rêve. Son rêve était de fausser devant le pape. »</w:t>
      </w:r>
    </w:p>
    <w:p w14:paraId="627ED5D1" w14:textId="77777777" w:rsidR="00116CBE" w:rsidRPr="00985CB4" w:rsidRDefault="00116CBE" w:rsidP="00116CBE">
      <w:pPr>
        <w:pStyle w:val="Citation-AltC"/>
        <w:spacing w:after="240"/>
        <w:ind w:left="1168" w:hanging="1168"/>
        <w:contextualSpacing w:val="0"/>
      </w:pPr>
      <w:r>
        <w:tab/>
      </w:r>
      <w:r>
        <w:tab/>
      </w:r>
      <w:r w:rsidRPr="00985CB4">
        <w:t>Pis après y</w:t>
      </w:r>
      <w:r>
        <w:t>’</w:t>
      </w:r>
      <w:r w:rsidRPr="00985CB4">
        <w:t>a chanté pour les Canadiens, le monde [chialait] encore « Y chante m</w:t>
      </w:r>
      <w:r>
        <w:t>al. </w:t>
      </w:r>
      <w:r w:rsidRPr="00985CB4">
        <w:t>Y fausse, y</w:t>
      </w:r>
      <w:r>
        <w:t>’</w:t>
      </w:r>
      <w:r w:rsidRPr="00985CB4">
        <w:t>est pas bon. » Criss y vie un rêve, laisse le vivre son rêve.</w:t>
      </w:r>
    </w:p>
    <w:p w14:paraId="36DDAE42" w14:textId="77777777" w:rsidR="00116CBE" w:rsidRPr="00985CB4" w:rsidRDefault="00116CBE" w:rsidP="00116CBE">
      <w:pPr>
        <w:pStyle w:val="Citation-AltC"/>
        <w:spacing w:after="240"/>
        <w:ind w:left="1168" w:hanging="1168"/>
        <w:contextualSpacing w:val="0"/>
      </w:pPr>
      <w:r>
        <w:tab/>
      </w:r>
      <w:r>
        <w:tab/>
      </w:r>
      <w:r w:rsidRPr="00985CB4">
        <w:t>[Il a chanté pour] Céline, encore des « Y</w:t>
      </w:r>
      <w:r>
        <w:t>’</w:t>
      </w:r>
      <w:r w:rsidRPr="00985CB4">
        <w:t>est ben poche lui, Y fausse, y chante m</w:t>
      </w:r>
      <w:r>
        <w:t>al. </w:t>
      </w:r>
      <w:r w:rsidRPr="00985CB4">
        <w:t>» Crisse y</w:t>
      </w:r>
      <w:r>
        <w:t>’</w:t>
      </w:r>
      <w:r w:rsidRPr="00985CB4">
        <w:t>est [mourant], laissez le vivre son rêve. Je le [défendais] [. . .] Sauf que là [. . .] 5 ans plus tard [. . .] y</w:t>
      </w:r>
      <w:r>
        <w:t>’</w:t>
      </w:r>
      <w:r w:rsidRPr="00985CB4">
        <w:t>est pas encore mort!</w:t>
      </w:r>
    </w:p>
    <w:p w14:paraId="7172F310" w14:textId="77777777" w:rsidR="00116CBE" w:rsidRPr="00985CB4" w:rsidRDefault="00116CBE" w:rsidP="00116CBE">
      <w:pPr>
        <w:pStyle w:val="Citation-AltC"/>
        <w:spacing w:after="240"/>
        <w:ind w:left="1168" w:hanging="1168"/>
        <w:contextualSpacing w:val="0"/>
      </w:pPr>
      <w:r>
        <w:tab/>
      </w:r>
      <w:r>
        <w:tab/>
      </w:r>
      <w:r w:rsidRPr="00985CB4">
        <w:t>Moi le cave je le [défendais] comme un cave, pis y meurt pas.</w:t>
      </w:r>
    </w:p>
    <w:p w14:paraId="61E3ABE4" w14:textId="77777777" w:rsidR="00116CBE" w:rsidRPr="00985CB4" w:rsidRDefault="00116CBE" w:rsidP="00116CBE">
      <w:pPr>
        <w:pStyle w:val="Citation-AltC"/>
        <w:spacing w:after="240"/>
        <w:ind w:left="1168" w:hanging="1168"/>
        <w:contextualSpacing w:val="0"/>
      </w:pPr>
      <w:r>
        <w:tab/>
      </w:r>
      <w:r>
        <w:tab/>
      </w:r>
      <w:r w:rsidRPr="00985CB4">
        <w:t>Je l</w:t>
      </w:r>
      <w:r>
        <w:t>’</w:t>
      </w:r>
      <w:r w:rsidRPr="00985CB4">
        <w:t>ai vu avec sa mère dans un Club Piscine, j</w:t>
      </w:r>
      <w:r>
        <w:t>’</w:t>
      </w:r>
      <w:r w:rsidRPr="00985CB4">
        <w:t>ai essayé de le noyer [. . .] pas capable, pas capable, y</w:t>
      </w:r>
      <w:r>
        <w:t>’</w:t>
      </w:r>
      <w:r w:rsidRPr="00985CB4">
        <w:t>est pas tuable.</w:t>
      </w:r>
    </w:p>
    <w:p w14:paraId="76462610" w14:textId="77777777" w:rsidR="00116CBE" w:rsidRPr="00985CB4" w:rsidRDefault="00116CBE" w:rsidP="00116CBE">
      <w:pPr>
        <w:pStyle w:val="Citation-AltC"/>
        <w:spacing w:after="240"/>
        <w:ind w:left="1168" w:hanging="1168"/>
        <w:contextualSpacing w:val="0"/>
      </w:pPr>
      <w:r>
        <w:tab/>
      </w:r>
      <w:r>
        <w:tab/>
      </w:r>
      <w:r w:rsidRPr="00985CB4">
        <w:t>J</w:t>
      </w:r>
      <w:r>
        <w:t>’</w:t>
      </w:r>
      <w:r w:rsidRPr="00985CB4">
        <w:t>suis allé voir sur Internet c</w:t>
      </w:r>
      <w:r>
        <w:t>’</w:t>
      </w:r>
      <w:r w:rsidRPr="00985CB4">
        <w:t>était quoi sa maladie? Sais</w:t>
      </w:r>
      <w:r>
        <w:noBreakHyphen/>
      </w:r>
      <w:r w:rsidRPr="00985CB4">
        <w:t>tu c</w:t>
      </w:r>
      <w:r>
        <w:t>’</w:t>
      </w:r>
      <w:r w:rsidRPr="00985CB4">
        <w:t>est quoi qu</w:t>
      </w:r>
      <w:r>
        <w:t>’</w:t>
      </w:r>
      <w:r w:rsidRPr="00985CB4">
        <w:t>y a? Y</w:t>
      </w:r>
      <w:r>
        <w:t>’</w:t>
      </w:r>
      <w:r w:rsidRPr="00985CB4">
        <w:t>est lette!</w:t>
      </w:r>
    </w:p>
    <w:p w14:paraId="7C2F24A7" w14:textId="77777777" w:rsidR="00116CBE" w:rsidRPr="00985CB4" w:rsidRDefault="00116CBE" w:rsidP="00116CBE">
      <w:pPr>
        <w:pStyle w:val="Citation-AltC"/>
        <w:ind w:hanging="1166"/>
      </w:pPr>
      <w:r>
        <w:tab/>
      </w:r>
      <w:r w:rsidRPr="00985CB4">
        <w:t xml:space="preserve">(d.a., </w:t>
      </w:r>
      <w:r>
        <w:t>vol. </w:t>
      </w:r>
      <w:r w:rsidRPr="00985CB4">
        <w:t xml:space="preserve">III, </w:t>
      </w:r>
      <w:r>
        <w:t>p. </w:t>
      </w:r>
      <w:r w:rsidRPr="00985CB4">
        <w:t>260</w:t>
      </w:r>
      <w:r>
        <w:noBreakHyphen/>
      </w:r>
      <w:r w:rsidRPr="00985CB4">
        <w:t>261 (reproduction textuelle de la transcription))</w:t>
      </w:r>
    </w:p>
    <w:p w14:paraId="379E09CA" w14:textId="77777777" w:rsidR="00116CBE" w:rsidRPr="00985CB4" w:rsidRDefault="00116CBE" w:rsidP="00116CBE">
      <w:pPr>
        <w:pStyle w:val="ParaNoNdepar-AltN"/>
        <w:rPr>
          <w:rFonts w:cs="Times New Roman"/>
        </w:rPr>
      </w:pPr>
      <w:r w:rsidRPr="00985CB4">
        <w:rPr>
          <w:rFonts w:cs="Times New Roman"/>
        </w:rPr>
        <w:t>Environ 135 000 billets ont été vendus pour ces représentations, et 7 500 exemplaires DVD de celles</w:t>
      </w:r>
      <w:r>
        <w:rPr>
          <w:rFonts w:cs="Times New Roman"/>
        </w:rPr>
        <w:noBreakHyphen/>
      </w:r>
      <w:r w:rsidRPr="00985CB4">
        <w:rPr>
          <w:rFonts w:cs="Times New Roman"/>
        </w:rPr>
        <w:t>ci ont également été vendus. Une version enregistrée du spectacle était également disponible sur le site Web de M. Ward, auquel le grand public avait accès.</w:t>
      </w:r>
    </w:p>
    <w:p w14:paraId="44EA4C3F" w14:textId="77777777" w:rsidR="00116CBE" w:rsidRPr="00985CB4" w:rsidRDefault="00116CBE" w:rsidP="00116CBE">
      <w:pPr>
        <w:pStyle w:val="ParaNoNdepar-AltN"/>
        <w:rPr>
          <w:rFonts w:cs="Times New Roman"/>
        </w:rPr>
      </w:pPr>
      <w:r w:rsidRPr="00985CB4">
        <w:rPr>
          <w:rFonts w:cs="Times New Roman"/>
        </w:rPr>
        <w:t>Jérémy Gabriel a appris l</w:t>
      </w:r>
      <w:r>
        <w:rPr>
          <w:rFonts w:cs="Times New Roman"/>
        </w:rPr>
        <w:t>’</w:t>
      </w:r>
      <w:r w:rsidRPr="00985CB4">
        <w:rPr>
          <w:rFonts w:cs="Times New Roman"/>
        </w:rPr>
        <w:t>existence des vidéos de M. Ward en 2010 alors qu</w:t>
      </w:r>
      <w:r>
        <w:rPr>
          <w:rFonts w:cs="Times New Roman"/>
        </w:rPr>
        <w:t>’</w:t>
      </w:r>
      <w:r w:rsidRPr="00985CB4">
        <w:rPr>
          <w:rFonts w:cs="Times New Roman"/>
        </w:rPr>
        <w:t>il était âgé de 13 ans et qu</w:t>
      </w:r>
      <w:r>
        <w:rPr>
          <w:rFonts w:cs="Times New Roman"/>
        </w:rPr>
        <w:t>’</w:t>
      </w:r>
      <w:r w:rsidRPr="00985CB4">
        <w:rPr>
          <w:rFonts w:cs="Times New Roman"/>
        </w:rPr>
        <w:t>il venait de commencer ses études secondaires. À l</w:t>
      </w:r>
      <w:r>
        <w:rPr>
          <w:rFonts w:cs="Times New Roman"/>
        </w:rPr>
        <w:t>’</w:t>
      </w:r>
      <w:r w:rsidRPr="00985CB4">
        <w:rPr>
          <w:rFonts w:cs="Times New Roman"/>
        </w:rPr>
        <w:t>école, les élèves le tourmentaient, répétant les blagues que M. Ward avait faites pendant son numéro et qui circulaient en ligne. L</w:t>
      </w:r>
      <w:r>
        <w:rPr>
          <w:rFonts w:cs="Times New Roman"/>
        </w:rPr>
        <w:t>’</w:t>
      </w:r>
      <w:r w:rsidRPr="00985CB4">
        <w:rPr>
          <w:rFonts w:cs="Times New Roman"/>
        </w:rPr>
        <w:t>impact sur Jérémy Gabriel pendant cette étape formative de sa vie a été substantiel. Il se demandait si sa vie avait de la valeur, il se sentait perdu, isolé et a eu à plusieurs occasions des pensées suicidaires.</w:t>
      </w:r>
    </w:p>
    <w:p w14:paraId="6B7BD9C3" w14:textId="77777777" w:rsidR="00116CBE" w:rsidRPr="00985CB4" w:rsidRDefault="00116CBE" w:rsidP="00116CBE">
      <w:pPr>
        <w:pStyle w:val="ParaNoNdepar-AltN"/>
        <w:rPr>
          <w:rFonts w:cs="Times New Roman"/>
          <w:szCs w:val="24"/>
        </w:rPr>
      </w:pPr>
      <w:r w:rsidRPr="00985CB4">
        <w:rPr>
          <w:rFonts w:cs="Times New Roman"/>
          <w:szCs w:val="24"/>
        </w:rPr>
        <w:t xml:space="preserve">En 2012, M. Ward a été interviewé à une émission de télévision appelée </w:t>
      </w:r>
      <w:r w:rsidRPr="009F7CBC">
        <w:rPr>
          <w:rFonts w:cs="Times New Roman"/>
          <w:i/>
          <w:iCs/>
          <w:szCs w:val="24"/>
        </w:rPr>
        <w:t>Les francs</w:t>
      </w:r>
      <w:r w:rsidRPr="009F7CBC">
        <w:rPr>
          <w:rFonts w:cs="Times New Roman"/>
          <w:i/>
          <w:iCs/>
          <w:szCs w:val="24"/>
        </w:rPr>
        <w:noBreakHyphen/>
        <w:t>tireurs</w:t>
      </w:r>
      <w:r w:rsidRPr="00985CB4">
        <w:rPr>
          <w:rFonts w:cs="Times New Roman"/>
          <w:szCs w:val="24"/>
        </w:rPr>
        <w:t>. Il a discuté des blagues qu</w:t>
      </w:r>
      <w:r>
        <w:rPr>
          <w:rFonts w:cs="Times New Roman"/>
          <w:szCs w:val="24"/>
        </w:rPr>
        <w:t>’</w:t>
      </w:r>
      <w:r w:rsidRPr="00985CB4">
        <w:rPr>
          <w:rFonts w:cs="Times New Roman"/>
          <w:szCs w:val="24"/>
        </w:rPr>
        <w:t>il avait faites au sujet de Jérémy Gabriel, expliquant que repousser les limites et aller trop loin étaient au cœur même de son humour. En réponse aux questions de l</w:t>
      </w:r>
      <w:r>
        <w:rPr>
          <w:rFonts w:cs="Times New Roman"/>
          <w:szCs w:val="24"/>
        </w:rPr>
        <w:t>’</w:t>
      </w:r>
      <w:r w:rsidRPr="00985CB4">
        <w:rPr>
          <w:rFonts w:cs="Times New Roman"/>
          <w:szCs w:val="24"/>
        </w:rPr>
        <w:t>intervieweur, M. Ward a reconnu que ses blagues étaient non seulement de mauvais goût, mais qu</w:t>
      </w:r>
      <w:r>
        <w:rPr>
          <w:rFonts w:cs="Times New Roman"/>
          <w:szCs w:val="24"/>
        </w:rPr>
        <w:t>’</w:t>
      </w:r>
      <w:r w:rsidRPr="00985CB4">
        <w:rPr>
          <w:rFonts w:cs="Times New Roman"/>
          <w:szCs w:val="24"/>
        </w:rPr>
        <w:t>elles équivalaient à de l</w:t>
      </w:r>
      <w:r>
        <w:rPr>
          <w:rFonts w:cs="Times New Roman"/>
          <w:szCs w:val="24"/>
        </w:rPr>
        <w:t>’</w:t>
      </w:r>
      <w:r w:rsidRPr="00985CB4">
        <w:rPr>
          <w:rFonts w:cs="Times New Roman"/>
          <w:szCs w:val="24"/>
        </w:rPr>
        <w:t>intimidation visant un enfant handicapé</w:t>
      </w:r>
      <w:r>
        <w:rPr>
          <w:rFonts w:cs="Times New Roman"/>
          <w:szCs w:val="24"/>
        </w:rPr>
        <w:t> :</w:t>
      </w:r>
    </w:p>
    <w:p w14:paraId="095DF59F" w14:textId="77777777" w:rsidR="00116CBE" w:rsidRPr="00985CB4" w:rsidRDefault="00116CBE" w:rsidP="00116CBE">
      <w:pPr>
        <w:pStyle w:val="Citation-AltC"/>
        <w:spacing w:after="240"/>
        <w:ind w:left="1168" w:hanging="1168"/>
        <w:contextualSpacing w:val="0"/>
      </w:pPr>
      <w:r>
        <w:tab/>
      </w:r>
      <w:r w:rsidRPr="00985CB4">
        <w:t>Intervieweur</w:t>
      </w:r>
      <w:r>
        <w:t> :</w:t>
      </w:r>
      <w:r w:rsidRPr="00985CB4">
        <w:t xml:space="preserve"> Ok. Et dans ton show, tu dis qu</w:t>
      </w:r>
      <w:r>
        <w:t>’</w:t>
      </w:r>
      <w:r w:rsidRPr="00985CB4">
        <w:t>y</w:t>
      </w:r>
      <w:r>
        <w:t>’</w:t>
      </w:r>
      <w:r w:rsidRPr="00985CB4">
        <w:t>est laid.</w:t>
      </w:r>
    </w:p>
    <w:p w14:paraId="74A477E6" w14:textId="77777777" w:rsidR="00116CBE" w:rsidRPr="00985CB4" w:rsidRDefault="00116CBE" w:rsidP="00116CBE">
      <w:pPr>
        <w:pStyle w:val="Citation-AltC"/>
        <w:spacing w:after="240"/>
        <w:ind w:left="1168" w:hanging="1168"/>
        <w:contextualSpacing w:val="0"/>
      </w:pPr>
      <w:r>
        <w:tab/>
        <w:t>M. </w:t>
      </w:r>
      <w:r w:rsidRPr="00985CB4">
        <w:t>Ward</w:t>
      </w:r>
      <w:r>
        <w:t> :</w:t>
      </w:r>
      <w:r w:rsidRPr="00985CB4">
        <w:t xml:space="preserve"> Oui.</w:t>
      </w:r>
    </w:p>
    <w:p w14:paraId="6498BA06" w14:textId="77777777" w:rsidR="00116CBE" w:rsidRPr="00985CB4" w:rsidRDefault="00116CBE" w:rsidP="00116CBE">
      <w:pPr>
        <w:pStyle w:val="Citation-AltC"/>
        <w:spacing w:after="240"/>
        <w:ind w:left="1168" w:hanging="1168"/>
        <w:contextualSpacing w:val="0"/>
      </w:pPr>
      <w:r>
        <w:tab/>
      </w:r>
      <w:r w:rsidRPr="00985CB4">
        <w:t>Intervieweur</w:t>
      </w:r>
      <w:r>
        <w:t> :</w:t>
      </w:r>
      <w:r w:rsidRPr="00985CB4">
        <w:t xml:space="preserve"> C</w:t>
      </w:r>
      <w:r>
        <w:t>’</w:t>
      </w:r>
      <w:r w:rsidRPr="00985CB4">
        <w:t>est</w:t>
      </w:r>
      <w:r>
        <w:noBreakHyphen/>
      </w:r>
      <w:r w:rsidRPr="00985CB4">
        <w:t>tu de sa faute si y</w:t>
      </w:r>
      <w:r>
        <w:t>’</w:t>
      </w:r>
      <w:r w:rsidRPr="00985CB4">
        <w:t xml:space="preserve">est laid? </w:t>
      </w:r>
    </w:p>
    <w:p w14:paraId="5225619A" w14:textId="77777777" w:rsidR="00116CBE" w:rsidRPr="00985CB4" w:rsidRDefault="00116CBE" w:rsidP="00116CBE">
      <w:pPr>
        <w:pStyle w:val="Citation-AltC"/>
        <w:spacing w:after="240"/>
        <w:ind w:left="1168" w:hanging="1168"/>
        <w:contextualSpacing w:val="0"/>
      </w:pPr>
      <w:r>
        <w:tab/>
        <w:t>M. </w:t>
      </w:r>
      <w:r w:rsidRPr="00985CB4">
        <w:t>Ward</w:t>
      </w:r>
      <w:r>
        <w:t> :</w:t>
      </w:r>
      <w:r w:rsidRPr="00985CB4">
        <w:t xml:space="preserve"> Non. </w:t>
      </w:r>
    </w:p>
    <w:p w14:paraId="7F1E4096" w14:textId="77777777" w:rsidR="00116CBE" w:rsidRPr="00985CB4" w:rsidRDefault="00116CBE" w:rsidP="00116CBE">
      <w:pPr>
        <w:pStyle w:val="Citation-AltC"/>
        <w:spacing w:after="240"/>
        <w:ind w:left="1168" w:hanging="1168"/>
        <w:contextualSpacing w:val="0"/>
      </w:pPr>
      <w:r>
        <w:tab/>
      </w:r>
      <w:r w:rsidRPr="00985CB4">
        <w:t>Intervieweur</w:t>
      </w:r>
      <w:r>
        <w:t> :</w:t>
      </w:r>
      <w:r w:rsidRPr="00985CB4">
        <w:t xml:space="preserve"> En quoi c</w:t>
      </w:r>
      <w:r>
        <w:t>’</w:t>
      </w:r>
      <w:r w:rsidRPr="00985CB4">
        <w:t>est drôle?</w:t>
      </w:r>
    </w:p>
    <w:p w14:paraId="46A0AD0F" w14:textId="77777777" w:rsidR="00116CBE" w:rsidRPr="00985CB4" w:rsidRDefault="00116CBE" w:rsidP="00116CBE">
      <w:pPr>
        <w:pStyle w:val="Citation-AltC"/>
        <w:spacing w:after="240"/>
        <w:ind w:left="1168" w:hanging="1168"/>
        <w:contextualSpacing w:val="0"/>
      </w:pPr>
      <w:r>
        <w:tab/>
        <w:t>M. </w:t>
      </w:r>
      <w:r w:rsidRPr="00985CB4">
        <w:t>Ward</w:t>
      </w:r>
      <w:r>
        <w:t> :</w:t>
      </w:r>
      <w:r w:rsidRPr="00985CB4">
        <w:t xml:space="preserve"> Je le sais pas, mais c</w:t>
      </w:r>
      <w:r>
        <w:t>’</w:t>
      </w:r>
      <w:r w:rsidRPr="00985CB4">
        <w:t>est [. . .] c</w:t>
      </w:r>
      <w:r>
        <w:t>’</w:t>
      </w:r>
      <w:r w:rsidRPr="00985CB4">
        <w:t>est [. . .] je le sais pas. C</w:t>
      </w:r>
      <w:r>
        <w:t>’</w:t>
      </w:r>
      <w:r w:rsidRPr="00985CB4">
        <w:t xml:space="preserve">est [. . .] Mais, moi, de la manière que mon gag est construit, je le trouve drôle. Pis le monde rit et après je juge le monde pour rire à ça, rire de ça . . . </w:t>
      </w:r>
    </w:p>
    <w:p w14:paraId="1D1BE7F3" w14:textId="77777777" w:rsidR="00116CBE" w:rsidRPr="00985CB4" w:rsidRDefault="00116CBE" w:rsidP="00116CBE">
      <w:pPr>
        <w:pStyle w:val="Citation-AltC"/>
        <w:spacing w:after="240"/>
        <w:ind w:left="1168" w:hanging="1168"/>
        <w:contextualSpacing w:val="0"/>
      </w:pPr>
      <w:r>
        <w:tab/>
      </w:r>
      <w:r w:rsidRPr="00985CB4">
        <w:t>Intervieweur</w:t>
      </w:r>
      <w:r>
        <w:t> :</w:t>
      </w:r>
      <w:r w:rsidRPr="00985CB4">
        <w:t xml:space="preserve"> Si tu ris de Jérémy, de, de qui tu riras pas? </w:t>
      </w:r>
    </w:p>
    <w:p w14:paraId="529E2467" w14:textId="77777777" w:rsidR="00116CBE" w:rsidRPr="00985CB4" w:rsidRDefault="00116CBE" w:rsidP="00116CBE">
      <w:pPr>
        <w:pStyle w:val="Citation-AltC"/>
        <w:spacing w:after="240"/>
        <w:ind w:left="1168" w:hanging="1168"/>
        <w:contextualSpacing w:val="0"/>
        <w:jc w:val="center"/>
      </w:pPr>
      <w:r>
        <w:tab/>
      </w:r>
      <w:r w:rsidRPr="00985CB4">
        <w:t>. . .</w:t>
      </w:r>
    </w:p>
    <w:p w14:paraId="17E75611" w14:textId="77777777" w:rsidR="00116CBE" w:rsidRPr="00985CB4" w:rsidRDefault="00116CBE" w:rsidP="00116CBE">
      <w:pPr>
        <w:pStyle w:val="Citation-AltC"/>
        <w:spacing w:after="240"/>
        <w:ind w:left="1168" w:hanging="1168"/>
        <w:contextualSpacing w:val="0"/>
      </w:pPr>
      <w:r>
        <w:tab/>
      </w:r>
      <w:r w:rsidRPr="00985CB4">
        <w:t>Intervieweur</w:t>
      </w:r>
      <w:r>
        <w:t> :</w:t>
      </w:r>
      <w:r w:rsidRPr="00985CB4">
        <w:t xml:space="preserve"> Parce que je reviens à ça Mike, y</w:t>
      </w:r>
      <w:r>
        <w:t>’</w:t>
      </w:r>
      <w:r w:rsidRPr="00985CB4">
        <w:t>est malade, pas de sa faute. Peux</w:t>
      </w:r>
      <w:r>
        <w:noBreakHyphen/>
      </w:r>
      <w:r w:rsidRPr="00985CB4">
        <w:t>tu y donner un break?</w:t>
      </w:r>
    </w:p>
    <w:p w14:paraId="20DD8B11" w14:textId="77777777" w:rsidR="00116CBE" w:rsidRPr="00985CB4" w:rsidRDefault="00116CBE" w:rsidP="00116CBE">
      <w:pPr>
        <w:pStyle w:val="Citation-AltC"/>
        <w:spacing w:after="240"/>
        <w:ind w:left="1168" w:hanging="1168"/>
        <w:contextualSpacing w:val="0"/>
        <w:rPr>
          <w:i/>
        </w:rPr>
      </w:pPr>
      <w:r>
        <w:tab/>
        <w:t>M. </w:t>
      </w:r>
      <w:r w:rsidRPr="00985CB4">
        <w:t>Ward</w:t>
      </w:r>
      <w:r>
        <w:t> :</w:t>
      </w:r>
      <w:r w:rsidRPr="00985CB4">
        <w:t xml:space="preserve"> Mais vois</w:t>
      </w:r>
      <w:r>
        <w:noBreakHyphen/>
      </w:r>
      <w:r w:rsidRPr="00985CB4">
        <w:t>tu, ça c</w:t>
      </w:r>
      <w:r>
        <w:t>’</w:t>
      </w:r>
      <w:r w:rsidRPr="00985CB4">
        <w:t>est un des gag que quand je disais j</w:t>
      </w:r>
      <w:r>
        <w:t>’</w:t>
      </w:r>
      <w:r w:rsidRPr="00985CB4">
        <w:t xml:space="preserve">ai une limite que je suis tout le temps à la limite, ça </w:t>
      </w:r>
      <w:r w:rsidRPr="00985CB4">
        <w:rPr>
          <w:u w:val="single"/>
        </w:rPr>
        <w:t>je suis du mauvais côté de la limite, mais je le sais pas osti c</w:t>
      </w:r>
      <w:r>
        <w:rPr>
          <w:u w:val="single"/>
        </w:rPr>
        <w:t>’</w:t>
      </w:r>
      <w:r w:rsidRPr="00985CB4">
        <w:rPr>
          <w:u w:val="single"/>
        </w:rPr>
        <w:t>est un problème que j</w:t>
      </w:r>
      <w:r>
        <w:rPr>
          <w:u w:val="single"/>
        </w:rPr>
        <w:t>’</w:t>
      </w:r>
      <w:r w:rsidRPr="00985CB4">
        <w:rPr>
          <w:u w:val="single"/>
        </w:rPr>
        <w:t>ai. Moi [. . .] ça me fait rire</w:t>
      </w:r>
      <w:r w:rsidRPr="00985CB4">
        <w:rPr>
          <w:i/>
        </w:rPr>
        <w:t xml:space="preserve">. </w:t>
      </w:r>
    </w:p>
    <w:p w14:paraId="6E2CCA30" w14:textId="77777777" w:rsidR="00116CBE" w:rsidRPr="00985CB4" w:rsidRDefault="00116CBE" w:rsidP="00116CBE">
      <w:pPr>
        <w:pStyle w:val="Citation-AltC"/>
        <w:spacing w:after="240"/>
        <w:ind w:left="1168" w:hanging="1168"/>
        <w:contextualSpacing w:val="0"/>
        <w:jc w:val="center"/>
      </w:pPr>
      <w:r>
        <w:tab/>
      </w:r>
      <w:r w:rsidRPr="00985CB4">
        <w:t>. . .</w:t>
      </w:r>
    </w:p>
    <w:p w14:paraId="47558A6C" w14:textId="77777777" w:rsidR="00116CBE" w:rsidRPr="00985CB4" w:rsidRDefault="00116CBE" w:rsidP="00116CBE">
      <w:pPr>
        <w:pStyle w:val="Citation-AltC"/>
        <w:spacing w:after="240"/>
        <w:ind w:left="1168" w:hanging="1168"/>
        <w:contextualSpacing w:val="0"/>
      </w:pPr>
      <w:r>
        <w:tab/>
      </w:r>
      <w:r w:rsidRPr="00985CB4">
        <w:t>Intervieweur</w:t>
      </w:r>
      <w:r>
        <w:t> :</w:t>
      </w:r>
      <w:r w:rsidRPr="00985CB4">
        <w:t xml:space="preserve"> T</w:t>
      </w:r>
      <w:r>
        <w:t>’</w:t>
      </w:r>
      <w:r w:rsidRPr="00985CB4">
        <w:t>as participé à une vidéo contre l</w:t>
      </w:r>
      <w:r>
        <w:t>’</w:t>
      </w:r>
      <w:r w:rsidRPr="00985CB4">
        <w:t>intimidation, où tu dis à quel point c</w:t>
      </w:r>
      <w:r>
        <w:t>’</w:t>
      </w:r>
      <w:r w:rsidRPr="00985CB4">
        <w:t>est mal l</w:t>
      </w:r>
      <w:r>
        <w:t>’</w:t>
      </w:r>
      <w:r w:rsidRPr="00985CB4">
        <w:t xml:space="preserve">intimidation, le </w:t>
      </w:r>
      <w:r w:rsidRPr="00985CB4">
        <w:rPr>
          <w:i/>
        </w:rPr>
        <w:t>bullying</w:t>
      </w:r>
      <w:r w:rsidRPr="00985CB4">
        <w:t>. Écoute, moi, ce que tu fais avec Jérémy, je trouve que c</w:t>
      </w:r>
      <w:r>
        <w:t>’</w:t>
      </w:r>
      <w:r w:rsidRPr="00985CB4">
        <w:t xml:space="preserve">est une forme de </w:t>
      </w:r>
      <w:r w:rsidRPr="00985CB4">
        <w:rPr>
          <w:i/>
        </w:rPr>
        <w:t>bullying</w:t>
      </w:r>
      <w:r w:rsidRPr="00985CB4">
        <w:t xml:space="preserve"> de le batter aux quatre coins de la province devant des centaines, devant des milliers de personnes. En quoi c</w:t>
      </w:r>
      <w:r>
        <w:t>’</w:t>
      </w:r>
      <w:r w:rsidRPr="00985CB4">
        <w:t xml:space="preserve">est pas du </w:t>
      </w:r>
      <w:r w:rsidRPr="00985CB4">
        <w:rPr>
          <w:i/>
        </w:rPr>
        <w:t>bullying</w:t>
      </w:r>
      <w:r w:rsidRPr="00985CB4">
        <w:t xml:space="preserve">? </w:t>
      </w:r>
    </w:p>
    <w:p w14:paraId="37AC3C28" w14:textId="77777777" w:rsidR="00116CBE" w:rsidRPr="00D44DBB" w:rsidRDefault="00116CBE" w:rsidP="00116CBE">
      <w:pPr>
        <w:pStyle w:val="Citation-AltC"/>
        <w:spacing w:after="240"/>
        <w:ind w:left="1168" w:hanging="1168"/>
        <w:contextualSpacing w:val="0"/>
      </w:pPr>
      <w:r>
        <w:tab/>
      </w:r>
      <w:r w:rsidRPr="00985CB4">
        <w:t>M. Ward</w:t>
      </w:r>
      <w:r>
        <w:t> :</w:t>
      </w:r>
      <w:r w:rsidRPr="00985CB4">
        <w:t xml:space="preserve"> Je le sais pas. Je le sais pas. </w:t>
      </w:r>
      <w:r w:rsidRPr="00985CB4">
        <w:rPr>
          <w:u w:val="single"/>
        </w:rPr>
        <w:t>C</w:t>
      </w:r>
      <w:r>
        <w:rPr>
          <w:u w:val="single"/>
        </w:rPr>
        <w:t>’</w:t>
      </w:r>
      <w:r w:rsidRPr="00985CB4">
        <w:rPr>
          <w:u w:val="single"/>
        </w:rPr>
        <w:t>est un bon point.</w:t>
      </w:r>
      <w:r w:rsidRPr="00985CB4">
        <w:t xml:space="preserve"> Je t</w:t>
      </w:r>
      <w:r>
        <w:t>’</w:t>
      </w:r>
      <w:r w:rsidRPr="00985CB4">
        <w:t>entends pis t</w:t>
      </w:r>
      <w:r>
        <w:t>’</w:t>
      </w:r>
      <w:r w:rsidRPr="00985CB4">
        <w:t>sais mettons si tu parlais, mettons j</w:t>
      </w:r>
      <w:r>
        <w:t>’</w:t>
      </w:r>
      <w:r w:rsidRPr="00985CB4">
        <w:t>suis dans mon salon, tu parles à quelqu</w:t>
      </w:r>
      <w:r>
        <w:t>’</w:t>
      </w:r>
      <w:r w:rsidRPr="00985CB4">
        <w:t>un pis tu y dis ça, je vas faire criss y</w:t>
      </w:r>
      <w:r>
        <w:t>’</w:t>
      </w:r>
      <w:r w:rsidRPr="00985CB4">
        <w:t>a totalement raison. T</w:t>
      </w:r>
      <w:r>
        <w:t>’</w:t>
      </w:r>
      <w:r w:rsidRPr="00985CB4">
        <w:t>sais l</w:t>
      </w:r>
      <w:r>
        <w:t>’</w:t>
      </w:r>
      <w:r w:rsidRPr="00985CB4">
        <w:t>autre c</w:t>
      </w:r>
      <w:r>
        <w:t>’</w:t>
      </w:r>
      <w:r w:rsidRPr="00985CB4">
        <w:t>est un osti de crétin de parler d</w:t>
      </w:r>
      <w:r>
        <w:t>’</w:t>
      </w:r>
      <w:r w:rsidRPr="00985CB4">
        <w:t xml:space="preserve">un enfant handicapé de même . . . </w:t>
      </w:r>
      <w:r w:rsidRPr="00D44DBB">
        <w:t>[Nous soulignons.]</w:t>
      </w:r>
    </w:p>
    <w:p w14:paraId="658CAC16" w14:textId="77777777" w:rsidR="00116CBE" w:rsidRPr="00DA54A2" w:rsidRDefault="00116CBE" w:rsidP="00116CBE">
      <w:pPr>
        <w:pStyle w:val="Citation-AltC"/>
        <w:ind w:hanging="1166"/>
      </w:pPr>
      <w:r w:rsidRPr="00D44DBB">
        <w:tab/>
        <w:t>(d.a., vol. </w:t>
      </w:r>
      <w:r w:rsidRPr="00DA54A2">
        <w:t>III, p. 196 (transcription basée sur le CD joint au d.a.))</w:t>
      </w:r>
    </w:p>
    <w:p w14:paraId="60B2B4DC" w14:textId="77777777" w:rsidR="00116CBE" w:rsidRPr="00985CB4" w:rsidRDefault="00116CBE" w:rsidP="00116CBE">
      <w:pPr>
        <w:pStyle w:val="ParaNoNdepar-AltN"/>
        <w:rPr>
          <w:rFonts w:cs="Times New Roman"/>
          <w:szCs w:val="24"/>
        </w:rPr>
      </w:pPr>
      <w:r w:rsidRPr="00985CB4">
        <w:rPr>
          <w:rFonts w:cs="Times New Roman"/>
          <w:szCs w:val="24"/>
        </w:rPr>
        <w:t>Cette entrevue a poussé Jérémy Gabriel et ses parents à déposer une plainte à la Commission des droits de la personne et des droits de la jeunesse (« Commission »).</w:t>
      </w:r>
      <w:r w:rsidRPr="00985CB4">
        <w:rPr>
          <w:rFonts w:cs="Times New Roman"/>
          <w:i/>
          <w:szCs w:val="24"/>
        </w:rPr>
        <w:t xml:space="preserve"> </w:t>
      </w:r>
      <w:r w:rsidRPr="00985CB4">
        <w:rPr>
          <w:rFonts w:cs="Times New Roman"/>
          <w:szCs w:val="24"/>
        </w:rPr>
        <w:t>Ils ont allégué que les propos de M. Ward portaient atteinte de façon discriminatoire au droit à la dignité, à l</w:t>
      </w:r>
      <w:r>
        <w:rPr>
          <w:rFonts w:cs="Times New Roman"/>
          <w:szCs w:val="24"/>
        </w:rPr>
        <w:t>’</w:t>
      </w:r>
      <w:r w:rsidRPr="00985CB4">
        <w:rPr>
          <w:rFonts w:cs="Times New Roman"/>
          <w:szCs w:val="24"/>
        </w:rPr>
        <w:t xml:space="preserve">honneur et à la réputation qui leur est garanti par les </w:t>
      </w:r>
      <w:r>
        <w:rPr>
          <w:rFonts w:cs="Times New Roman"/>
          <w:szCs w:val="24"/>
        </w:rPr>
        <w:t>art. </w:t>
      </w:r>
      <w:r w:rsidRPr="00985CB4">
        <w:rPr>
          <w:rFonts w:cs="Times New Roman"/>
          <w:szCs w:val="24"/>
        </w:rPr>
        <w:t xml:space="preserve">4 et 10 de la </w:t>
      </w:r>
      <w:r w:rsidRPr="00985CB4">
        <w:rPr>
          <w:rFonts w:cs="Times New Roman"/>
          <w:i/>
          <w:szCs w:val="24"/>
        </w:rPr>
        <w:t xml:space="preserve">Charte </w:t>
      </w:r>
      <w:r w:rsidRPr="00985CB4">
        <w:rPr>
          <w:rFonts w:cs="Times New Roman"/>
          <w:iCs/>
          <w:szCs w:val="24"/>
        </w:rPr>
        <w:t>québécoise</w:t>
      </w:r>
      <w:r w:rsidRPr="00985CB4">
        <w:rPr>
          <w:rFonts w:cs="Times New Roman"/>
          <w:szCs w:val="24"/>
        </w:rPr>
        <w:t>.</w:t>
      </w:r>
    </w:p>
    <w:p w14:paraId="42D15934" w14:textId="77777777" w:rsidR="00116CBE" w:rsidRPr="00985CB4" w:rsidRDefault="00116CBE" w:rsidP="00116CBE">
      <w:pPr>
        <w:pStyle w:val="ParaNoNdepar-AltN"/>
        <w:rPr>
          <w:rFonts w:cs="Times New Roman"/>
          <w:szCs w:val="24"/>
        </w:rPr>
      </w:pPr>
      <w:r w:rsidRPr="00985CB4">
        <w:rPr>
          <w:rFonts w:cs="Times New Roman"/>
          <w:szCs w:val="24"/>
        </w:rPr>
        <w:t xml:space="preserve">La Commission a conclu que les propos et les vidéos de M. Ward constituaient de la discrimination au sens de la </w:t>
      </w:r>
      <w:r w:rsidRPr="00985CB4">
        <w:rPr>
          <w:rFonts w:cs="Times New Roman"/>
          <w:i/>
          <w:szCs w:val="24"/>
        </w:rPr>
        <w:t xml:space="preserve">Charte </w:t>
      </w:r>
      <w:r w:rsidRPr="00985CB4">
        <w:rPr>
          <w:rFonts w:cs="Times New Roman"/>
          <w:iCs/>
          <w:szCs w:val="24"/>
        </w:rPr>
        <w:t xml:space="preserve">québécoise, et elle a porté la demande devant le Tribunal des droits de la personne </w:t>
      </w:r>
      <w:r w:rsidRPr="00985CB4">
        <w:rPr>
          <w:rFonts w:cs="Times New Roman"/>
          <w:szCs w:val="24"/>
        </w:rPr>
        <w:t xml:space="preserve">(« Tribunal ») au nom de </w:t>
      </w:r>
      <w:r>
        <w:rPr>
          <w:rFonts w:cs="Times New Roman"/>
          <w:szCs w:val="24"/>
        </w:rPr>
        <w:t>Jérémy</w:t>
      </w:r>
      <w:r w:rsidRPr="00985CB4">
        <w:rPr>
          <w:rFonts w:cs="Times New Roman"/>
          <w:szCs w:val="24"/>
        </w:rPr>
        <w:t> Gabriel et de ses parents.</w:t>
      </w:r>
    </w:p>
    <w:p w14:paraId="7457EE56" w14:textId="77777777" w:rsidR="00116CBE" w:rsidRPr="00985CB4" w:rsidRDefault="00116CBE" w:rsidP="00116CBE">
      <w:pPr>
        <w:pStyle w:val="ParaNoNdepar-AltN"/>
        <w:rPr>
          <w:rFonts w:cs="Times New Roman"/>
          <w:szCs w:val="24"/>
        </w:rPr>
      </w:pPr>
      <w:r w:rsidRPr="00985CB4">
        <w:rPr>
          <w:rFonts w:cs="Times New Roman"/>
          <w:szCs w:val="24"/>
        </w:rPr>
        <w:t>Le Tribunal (présidé par le juge Hughes, avec l</w:t>
      </w:r>
      <w:r>
        <w:rPr>
          <w:rFonts w:cs="Times New Roman"/>
          <w:szCs w:val="24"/>
        </w:rPr>
        <w:t>’</w:t>
      </w:r>
      <w:r w:rsidRPr="00985CB4">
        <w:rPr>
          <w:rFonts w:cs="Times New Roman"/>
          <w:szCs w:val="24"/>
        </w:rPr>
        <w:t>assistance des assesseures M</w:t>
      </w:r>
      <w:r w:rsidRPr="00985CB4">
        <w:rPr>
          <w:rFonts w:cs="Times New Roman"/>
          <w:szCs w:val="24"/>
          <w:vertAlign w:val="superscript"/>
        </w:rPr>
        <w:t>e</w:t>
      </w:r>
      <w:r w:rsidRPr="00985CB4">
        <w:rPr>
          <w:rFonts w:cs="Times New Roman"/>
          <w:szCs w:val="24"/>
        </w:rPr>
        <w:t> Claudine</w:t>
      </w:r>
      <w:r>
        <w:rPr>
          <w:rFonts w:cs="Times New Roman"/>
          <w:szCs w:val="24"/>
        </w:rPr>
        <w:t xml:space="preserve"> </w:t>
      </w:r>
      <w:r w:rsidRPr="00985CB4">
        <w:rPr>
          <w:rFonts w:cs="Times New Roman"/>
          <w:szCs w:val="24"/>
        </w:rPr>
        <w:t>Ouellet et M</w:t>
      </w:r>
      <w:r w:rsidRPr="00985CB4">
        <w:rPr>
          <w:rFonts w:cs="Times New Roman"/>
          <w:szCs w:val="24"/>
          <w:vertAlign w:val="superscript"/>
        </w:rPr>
        <w:t>e</w:t>
      </w:r>
      <w:r w:rsidRPr="00985CB4">
        <w:rPr>
          <w:rFonts w:cs="Times New Roman"/>
          <w:szCs w:val="24"/>
        </w:rPr>
        <w:t> Mélanie</w:t>
      </w:r>
      <w:r>
        <w:rPr>
          <w:rFonts w:cs="Times New Roman"/>
          <w:szCs w:val="24"/>
        </w:rPr>
        <w:t xml:space="preserve"> </w:t>
      </w:r>
      <w:r w:rsidRPr="00985CB4">
        <w:rPr>
          <w:rFonts w:cs="Times New Roman"/>
          <w:szCs w:val="24"/>
        </w:rPr>
        <w:t>Samson) a statué que l</w:t>
      </w:r>
      <w:r>
        <w:rPr>
          <w:rFonts w:cs="Times New Roman"/>
          <w:szCs w:val="24"/>
        </w:rPr>
        <w:t>’</w:t>
      </w:r>
      <w:r w:rsidRPr="00985CB4">
        <w:rPr>
          <w:rFonts w:cs="Times New Roman"/>
          <w:szCs w:val="24"/>
        </w:rPr>
        <w:t xml:space="preserve">existence de discrimination </w:t>
      </w:r>
      <w:r w:rsidRPr="00985CB4">
        <w:rPr>
          <w:rFonts w:cs="Times New Roman"/>
          <w:i/>
          <w:szCs w:val="24"/>
        </w:rPr>
        <w:t>prima facie</w:t>
      </w:r>
      <w:r w:rsidRPr="00985CB4">
        <w:rPr>
          <w:rFonts w:cs="Times New Roman"/>
          <w:szCs w:val="24"/>
        </w:rPr>
        <w:t xml:space="preserve"> avait été démontrée au regard de l</w:t>
      </w:r>
      <w:r>
        <w:rPr>
          <w:rFonts w:cs="Times New Roman"/>
          <w:szCs w:val="24"/>
        </w:rPr>
        <w:t>’</w:t>
      </w:r>
      <w:r w:rsidRPr="00985CB4">
        <w:rPr>
          <w:rFonts w:cs="Times New Roman"/>
          <w:szCs w:val="24"/>
        </w:rPr>
        <w:t>analyse établie dans la jurisprudence québécoise (2016 QCTDP 18, 35 C.C.L.T. (4th) 258). Il a conclu que M. Gabriel avait été traité différemment sur la base de son handicap, d</w:t>
      </w:r>
      <w:r>
        <w:rPr>
          <w:rFonts w:cs="Times New Roman"/>
          <w:szCs w:val="24"/>
        </w:rPr>
        <w:t>’</w:t>
      </w:r>
      <w:r w:rsidRPr="00985CB4">
        <w:rPr>
          <w:rFonts w:cs="Times New Roman"/>
          <w:szCs w:val="24"/>
        </w:rPr>
        <w:t>une manière qui violait son droit à l</w:t>
      </w:r>
      <w:r>
        <w:rPr>
          <w:rFonts w:cs="Times New Roman"/>
          <w:szCs w:val="24"/>
        </w:rPr>
        <w:t>’</w:t>
      </w:r>
      <w:r w:rsidRPr="00985CB4">
        <w:rPr>
          <w:rFonts w:cs="Times New Roman"/>
          <w:szCs w:val="24"/>
        </w:rPr>
        <w:t>égalité. Le Tribunal a mentionné les effets dévastateurs qu</w:t>
      </w:r>
      <w:r>
        <w:rPr>
          <w:rFonts w:cs="Times New Roman"/>
          <w:szCs w:val="24"/>
        </w:rPr>
        <w:t>’</w:t>
      </w:r>
      <w:r w:rsidRPr="00985CB4">
        <w:rPr>
          <w:rFonts w:cs="Times New Roman"/>
          <w:szCs w:val="24"/>
        </w:rPr>
        <w:t>ont eu les propos de M. Ward sur l</w:t>
      </w:r>
      <w:r>
        <w:rPr>
          <w:rFonts w:cs="Times New Roman"/>
          <w:szCs w:val="24"/>
        </w:rPr>
        <w:t>’</w:t>
      </w:r>
      <w:r w:rsidRPr="00985CB4">
        <w:rPr>
          <w:rFonts w:cs="Times New Roman"/>
          <w:szCs w:val="24"/>
        </w:rPr>
        <w:t>estime de soi de M. Gabriel, le fait qu</w:t>
      </w:r>
      <w:r>
        <w:rPr>
          <w:rFonts w:cs="Times New Roman"/>
          <w:szCs w:val="24"/>
        </w:rPr>
        <w:t>’</w:t>
      </w:r>
      <w:r w:rsidRPr="00985CB4">
        <w:rPr>
          <w:rFonts w:cs="Times New Roman"/>
          <w:szCs w:val="24"/>
        </w:rPr>
        <w:t>il a été intimidé à l</w:t>
      </w:r>
      <w:r>
        <w:rPr>
          <w:rFonts w:cs="Times New Roman"/>
          <w:szCs w:val="24"/>
        </w:rPr>
        <w:t>’</w:t>
      </w:r>
      <w:r w:rsidRPr="00985CB4">
        <w:rPr>
          <w:rFonts w:cs="Times New Roman"/>
          <w:szCs w:val="24"/>
        </w:rPr>
        <w:t>école, qu</w:t>
      </w:r>
      <w:r>
        <w:rPr>
          <w:rFonts w:cs="Times New Roman"/>
          <w:szCs w:val="24"/>
        </w:rPr>
        <w:t>’</w:t>
      </w:r>
      <w:r w:rsidRPr="00985CB4">
        <w:rPr>
          <w:rFonts w:cs="Times New Roman"/>
          <w:szCs w:val="24"/>
        </w:rPr>
        <w:t>il se sentait éloigné de ses amis et de sa famille et qu</w:t>
      </w:r>
      <w:r>
        <w:rPr>
          <w:rFonts w:cs="Times New Roman"/>
          <w:szCs w:val="24"/>
        </w:rPr>
        <w:t>’</w:t>
      </w:r>
      <w:r w:rsidRPr="00985CB4">
        <w:rPr>
          <w:rFonts w:cs="Times New Roman"/>
          <w:szCs w:val="24"/>
        </w:rPr>
        <w:t>il avait eu des pensées suicidaires.</w:t>
      </w:r>
    </w:p>
    <w:p w14:paraId="6C5F6043" w14:textId="77777777" w:rsidR="00116CBE" w:rsidRPr="00985CB4" w:rsidRDefault="00116CBE" w:rsidP="00116CBE">
      <w:pPr>
        <w:pStyle w:val="ParaNoNdepar-AltN"/>
        <w:rPr>
          <w:rFonts w:cs="Times New Roman"/>
          <w:szCs w:val="24"/>
        </w:rPr>
      </w:pPr>
      <w:r w:rsidRPr="00985CB4">
        <w:rPr>
          <w:rFonts w:cs="Times New Roman"/>
          <w:szCs w:val="24"/>
        </w:rPr>
        <w:t>À l</w:t>
      </w:r>
      <w:r>
        <w:rPr>
          <w:rFonts w:cs="Times New Roman"/>
          <w:szCs w:val="24"/>
        </w:rPr>
        <w:t>’</w:t>
      </w:r>
      <w:r w:rsidRPr="00985CB4">
        <w:rPr>
          <w:rFonts w:cs="Times New Roman"/>
          <w:szCs w:val="24"/>
        </w:rPr>
        <w:t>étape de la justification, le Tribunal a conclu que la liberté d</w:t>
      </w:r>
      <w:r>
        <w:rPr>
          <w:rFonts w:cs="Times New Roman"/>
          <w:szCs w:val="24"/>
        </w:rPr>
        <w:t>’</w:t>
      </w:r>
      <w:r w:rsidRPr="00985CB4">
        <w:rPr>
          <w:rFonts w:cs="Times New Roman"/>
          <w:szCs w:val="24"/>
        </w:rPr>
        <w:t>expression ne pouvait servir de moyen de défense en l</w:t>
      </w:r>
      <w:r>
        <w:rPr>
          <w:rFonts w:cs="Times New Roman"/>
          <w:szCs w:val="24"/>
        </w:rPr>
        <w:t>’</w:t>
      </w:r>
      <w:r w:rsidRPr="00985CB4">
        <w:rPr>
          <w:rFonts w:cs="Times New Roman"/>
          <w:szCs w:val="24"/>
        </w:rPr>
        <w:t>espèce, puisque les blagues de M. Ward ne soulevaient pas de question d</w:t>
      </w:r>
      <w:r>
        <w:rPr>
          <w:rFonts w:cs="Times New Roman"/>
          <w:szCs w:val="24"/>
        </w:rPr>
        <w:t>’</w:t>
      </w:r>
      <w:r w:rsidRPr="00985CB4">
        <w:rPr>
          <w:rFonts w:cs="Times New Roman"/>
          <w:szCs w:val="24"/>
        </w:rPr>
        <w:t>intérêt public et qu</w:t>
      </w:r>
      <w:r>
        <w:rPr>
          <w:rFonts w:cs="Times New Roman"/>
          <w:szCs w:val="24"/>
        </w:rPr>
        <w:t>’</w:t>
      </w:r>
      <w:r w:rsidRPr="00985CB4">
        <w:rPr>
          <w:rFonts w:cs="Times New Roman"/>
          <w:szCs w:val="24"/>
        </w:rPr>
        <w:t>elles s</w:t>
      </w:r>
      <w:r>
        <w:rPr>
          <w:rFonts w:cs="Times New Roman"/>
          <w:szCs w:val="24"/>
        </w:rPr>
        <w:t>’</w:t>
      </w:r>
      <w:r w:rsidRPr="00985CB4">
        <w:rPr>
          <w:rFonts w:cs="Times New Roman"/>
          <w:szCs w:val="24"/>
        </w:rPr>
        <w:t>éloign</w:t>
      </w:r>
      <w:r>
        <w:rPr>
          <w:rFonts w:cs="Times New Roman"/>
          <w:szCs w:val="24"/>
        </w:rPr>
        <w:t>ai</w:t>
      </w:r>
      <w:r w:rsidRPr="00985CB4">
        <w:rPr>
          <w:rFonts w:cs="Times New Roman"/>
          <w:szCs w:val="24"/>
        </w:rPr>
        <w:t>ent des valeurs fondamentales que la liberté d</w:t>
      </w:r>
      <w:r>
        <w:rPr>
          <w:rFonts w:cs="Times New Roman"/>
          <w:szCs w:val="24"/>
        </w:rPr>
        <w:t>’</w:t>
      </w:r>
      <w:r w:rsidRPr="00985CB4">
        <w:rPr>
          <w:rFonts w:cs="Times New Roman"/>
          <w:szCs w:val="24"/>
        </w:rPr>
        <w:t>expression cherche à protéger. En conséquence, l</w:t>
      </w:r>
      <w:r>
        <w:rPr>
          <w:rFonts w:cs="Times New Roman"/>
          <w:szCs w:val="24"/>
        </w:rPr>
        <w:t>’</w:t>
      </w:r>
      <w:r w:rsidRPr="00985CB4">
        <w:rPr>
          <w:rFonts w:cs="Times New Roman"/>
          <w:szCs w:val="24"/>
        </w:rPr>
        <w:t>atteinte à l</w:t>
      </w:r>
      <w:r>
        <w:rPr>
          <w:rFonts w:cs="Times New Roman"/>
          <w:szCs w:val="24"/>
        </w:rPr>
        <w:t>’</w:t>
      </w:r>
      <w:r w:rsidRPr="00985CB4">
        <w:rPr>
          <w:rFonts w:cs="Times New Roman"/>
          <w:szCs w:val="24"/>
        </w:rPr>
        <w:t>exercice, en pleine égalité, du droit de M. Gabriel à la dignité, à l</w:t>
      </w:r>
      <w:r>
        <w:rPr>
          <w:rFonts w:cs="Times New Roman"/>
          <w:szCs w:val="24"/>
        </w:rPr>
        <w:t>’</w:t>
      </w:r>
      <w:r w:rsidRPr="00985CB4">
        <w:rPr>
          <w:rFonts w:cs="Times New Roman"/>
          <w:szCs w:val="24"/>
        </w:rPr>
        <w:t>honneur et à la réputation était injustifiée.</w:t>
      </w:r>
    </w:p>
    <w:p w14:paraId="21FCD078" w14:textId="77777777" w:rsidR="00116CBE" w:rsidRPr="00985CB4" w:rsidRDefault="00116CBE" w:rsidP="00116CBE">
      <w:pPr>
        <w:pStyle w:val="ParaNoNdepar-AltN"/>
        <w:rPr>
          <w:rFonts w:cs="Times New Roman"/>
          <w:szCs w:val="24"/>
        </w:rPr>
      </w:pPr>
      <w:r w:rsidRPr="00985CB4">
        <w:rPr>
          <w:rFonts w:cs="Times New Roman"/>
          <w:szCs w:val="24"/>
        </w:rPr>
        <w:t>Monsieur</w:t>
      </w:r>
      <w:r>
        <w:rPr>
          <w:rFonts w:cs="Times New Roman"/>
          <w:szCs w:val="24"/>
        </w:rPr>
        <w:t xml:space="preserve"> </w:t>
      </w:r>
      <w:r w:rsidRPr="00985CB4">
        <w:rPr>
          <w:rFonts w:cs="Times New Roman"/>
          <w:szCs w:val="24"/>
        </w:rPr>
        <w:t>Ward a été condamné à verser à M. Gabriel la somme de 35 000</w:t>
      </w:r>
      <w:r>
        <w:rPr>
          <w:rFonts w:cs="Times New Roman"/>
          <w:szCs w:val="24"/>
        </w:rPr>
        <w:t> $</w:t>
      </w:r>
      <w:r w:rsidRPr="00985CB4">
        <w:rPr>
          <w:rFonts w:cs="Times New Roman"/>
          <w:szCs w:val="24"/>
        </w:rPr>
        <w:t xml:space="preserve"> à titre de dommages</w:t>
      </w:r>
      <w:r>
        <w:rPr>
          <w:rFonts w:cs="Times New Roman"/>
          <w:szCs w:val="24"/>
        </w:rPr>
        <w:noBreakHyphen/>
      </w:r>
      <w:r w:rsidRPr="00985CB4">
        <w:rPr>
          <w:rFonts w:cs="Times New Roman"/>
          <w:szCs w:val="24"/>
        </w:rPr>
        <w:t>intérêts moraux et punitifs, ainsi que la somme de 7 000</w:t>
      </w:r>
      <w:r>
        <w:rPr>
          <w:rFonts w:cs="Times New Roman"/>
          <w:szCs w:val="24"/>
        </w:rPr>
        <w:t> $</w:t>
      </w:r>
      <w:r w:rsidRPr="00985CB4">
        <w:rPr>
          <w:rFonts w:cs="Times New Roman"/>
          <w:szCs w:val="24"/>
        </w:rPr>
        <w:t xml:space="preserve"> à la mère de ce dernier.</w:t>
      </w:r>
    </w:p>
    <w:p w14:paraId="7AD6553F" w14:textId="77777777" w:rsidR="00116CBE" w:rsidRPr="00985CB4" w:rsidRDefault="00116CBE" w:rsidP="00116CBE">
      <w:pPr>
        <w:pStyle w:val="ParaNoNdepar-AltN"/>
        <w:rPr>
          <w:rFonts w:cs="Times New Roman"/>
          <w:szCs w:val="24"/>
        </w:rPr>
      </w:pPr>
      <w:r w:rsidRPr="00985CB4">
        <w:rPr>
          <w:rFonts w:cs="Times New Roman"/>
          <w:szCs w:val="24"/>
        </w:rPr>
        <w:t>En Cour d</w:t>
      </w:r>
      <w:r>
        <w:rPr>
          <w:rFonts w:cs="Times New Roman"/>
          <w:szCs w:val="24"/>
        </w:rPr>
        <w:t>’</w:t>
      </w:r>
      <w:r w:rsidRPr="00985CB4">
        <w:rPr>
          <w:rFonts w:cs="Times New Roman"/>
          <w:szCs w:val="24"/>
        </w:rPr>
        <w:t>appel, les juges majoritaires, appliquant la même analyse établie par la jurisprudence québécoise qu</w:t>
      </w:r>
      <w:r>
        <w:rPr>
          <w:rFonts w:cs="Times New Roman"/>
          <w:szCs w:val="24"/>
        </w:rPr>
        <w:t>’</w:t>
      </w:r>
      <w:r w:rsidRPr="00985CB4">
        <w:rPr>
          <w:rFonts w:cs="Times New Roman"/>
          <w:szCs w:val="24"/>
        </w:rPr>
        <w:t>avait appliquée le Tribunal, ont convenu que le droit de M. Gabriel à l</w:t>
      </w:r>
      <w:r>
        <w:rPr>
          <w:rFonts w:cs="Times New Roman"/>
          <w:szCs w:val="24"/>
        </w:rPr>
        <w:t>’</w:t>
      </w:r>
      <w:r w:rsidRPr="00985CB4">
        <w:rPr>
          <w:rFonts w:cs="Times New Roman"/>
          <w:szCs w:val="24"/>
        </w:rPr>
        <w:t>exercice, en pleine égalité, de son droit à la dignité, à l</w:t>
      </w:r>
      <w:r>
        <w:rPr>
          <w:rFonts w:cs="Times New Roman"/>
          <w:szCs w:val="24"/>
        </w:rPr>
        <w:t>’</w:t>
      </w:r>
      <w:r w:rsidRPr="00985CB4">
        <w:rPr>
          <w:rFonts w:cs="Times New Roman"/>
          <w:szCs w:val="24"/>
        </w:rPr>
        <w:t>honneur et à la réputation avait été violé et que la liberté d</w:t>
      </w:r>
      <w:r>
        <w:rPr>
          <w:rFonts w:cs="Times New Roman"/>
          <w:szCs w:val="24"/>
        </w:rPr>
        <w:t>’</w:t>
      </w:r>
      <w:r w:rsidRPr="00985CB4">
        <w:rPr>
          <w:rFonts w:cs="Times New Roman"/>
          <w:szCs w:val="24"/>
        </w:rPr>
        <w:t>expression ne pouvait justifier la conduite de M. Ward (2019 QCCA 2042, 62 C.C.L.T. (4th) 230). Les juges majoritaires ont en conséquence confirmé l</w:t>
      </w:r>
      <w:r>
        <w:rPr>
          <w:rFonts w:cs="Times New Roman"/>
          <w:szCs w:val="24"/>
        </w:rPr>
        <w:t>’</w:t>
      </w:r>
      <w:r w:rsidRPr="00985CB4">
        <w:rPr>
          <w:rFonts w:cs="Times New Roman"/>
          <w:szCs w:val="24"/>
        </w:rPr>
        <w:t>octroi de dommages</w:t>
      </w:r>
      <w:r>
        <w:rPr>
          <w:rFonts w:cs="Times New Roman"/>
          <w:szCs w:val="24"/>
        </w:rPr>
        <w:noBreakHyphen/>
      </w:r>
      <w:r w:rsidRPr="00985CB4">
        <w:rPr>
          <w:rFonts w:cs="Times New Roman"/>
          <w:szCs w:val="24"/>
        </w:rPr>
        <w:t>intérêts à M. Gabriel, mais infirmé le jugement en faveur de sa mère, estimant qu</w:t>
      </w:r>
      <w:r>
        <w:rPr>
          <w:rFonts w:cs="Times New Roman"/>
          <w:szCs w:val="24"/>
        </w:rPr>
        <w:t>’</w:t>
      </w:r>
      <w:r w:rsidRPr="00985CB4">
        <w:rPr>
          <w:rFonts w:cs="Times New Roman"/>
          <w:szCs w:val="24"/>
        </w:rPr>
        <w:t>aucun de ses droits n</w:t>
      </w:r>
      <w:r>
        <w:rPr>
          <w:rFonts w:cs="Times New Roman"/>
          <w:szCs w:val="24"/>
        </w:rPr>
        <w:t>’</w:t>
      </w:r>
      <w:r w:rsidRPr="00985CB4">
        <w:rPr>
          <w:rFonts w:cs="Times New Roman"/>
          <w:szCs w:val="24"/>
        </w:rPr>
        <w:t>avait été violé.</w:t>
      </w:r>
    </w:p>
    <w:p w14:paraId="0B9140EF" w14:textId="77777777" w:rsidR="00116CBE" w:rsidRPr="00985CB4" w:rsidRDefault="00116CBE" w:rsidP="00116CBE">
      <w:pPr>
        <w:pStyle w:val="ParaNoNdepar-AltN"/>
        <w:rPr>
          <w:rFonts w:cs="Times New Roman"/>
          <w:szCs w:val="24"/>
        </w:rPr>
      </w:pPr>
      <w:r w:rsidRPr="00985CB4">
        <w:rPr>
          <w:rFonts w:cs="Times New Roman"/>
          <w:szCs w:val="24"/>
        </w:rPr>
        <w:t>La juge dissidente a statué qu</w:t>
      </w:r>
      <w:r>
        <w:rPr>
          <w:rFonts w:cs="Times New Roman"/>
          <w:szCs w:val="24"/>
        </w:rPr>
        <w:t>’</w:t>
      </w:r>
      <w:r w:rsidRPr="00985CB4">
        <w:rPr>
          <w:rFonts w:cs="Times New Roman"/>
          <w:szCs w:val="24"/>
        </w:rPr>
        <w:t>il avait été déraisonnable de la part du Tribunal de juger que M. Gabriel avait fait l</w:t>
      </w:r>
      <w:r>
        <w:rPr>
          <w:rFonts w:cs="Times New Roman"/>
          <w:szCs w:val="24"/>
        </w:rPr>
        <w:t>’</w:t>
      </w:r>
      <w:r w:rsidRPr="00985CB4">
        <w:rPr>
          <w:rFonts w:cs="Times New Roman"/>
          <w:szCs w:val="24"/>
        </w:rPr>
        <w:t>objet d</w:t>
      </w:r>
      <w:r>
        <w:rPr>
          <w:rFonts w:cs="Times New Roman"/>
          <w:szCs w:val="24"/>
        </w:rPr>
        <w:t>’</w:t>
      </w:r>
      <w:r w:rsidRPr="00985CB4">
        <w:rPr>
          <w:rFonts w:cs="Times New Roman"/>
          <w:szCs w:val="24"/>
        </w:rPr>
        <w:t>une distinction fondée sur son handicap, concluant plutôt que ce dernier avait été pris pour cible non pas parce qu</w:t>
      </w:r>
      <w:r>
        <w:rPr>
          <w:rFonts w:cs="Times New Roman"/>
          <w:szCs w:val="24"/>
        </w:rPr>
        <w:t>’</w:t>
      </w:r>
      <w:r w:rsidRPr="00985CB4">
        <w:rPr>
          <w:rFonts w:cs="Times New Roman"/>
          <w:szCs w:val="24"/>
        </w:rPr>
        <w:t>il avait un handicap, mais parce qu</w:t>
      </w:r>
      <w:r>
        <w:rPr>
          <w:rFonts w:cs="Times New Roman"/>
          <w:szCs w:val="24"/>
        </w:rPr>
        <w:t>’</w:t>
      </w:r>
      <w:r w:rsidRPr="00985CB4">
        <w:rPr>
          <w:rFonts w:cs="Times New Roman"/>
          <w:szCs w:val="24"/>
        </w:rPr>
        <w:t>il était une personnalité publique. Elle a ajouté que le fait de caricaturer quelqu</w:t>
      </w:r>
      <w:r>
        <w:rPr>
          <w:rFonts w:cs="Times New Roman"/>
          <w:szCs w:val="24"/>
        </w:rPr>
        <w:t>’</w:t>
      </w:r>
      <w:r w:rsidRPr="00985CB4">
        <w:rPr>
          <w:rFonts w:cs="Times New Roman"/>
          <w:szCs w:val="24"/>
        </w:rPr>
        <w:t xml:space="preserve">un en raison de son handicap ne peut donner ouverture à un recours fondé sur les </w:t>
      </w:r>
      <w:r>
        <w:rPr>
          <w:rFonts w:cs="Times New Roman"/>
          <w:szCs w:val="24"/>
        </w:rPr>
        <w:t>art. </w:t>
      </w:r>
      <w:r w:rsidRPr="00985CB4">
        <w:rPr>
          <w:rFonts w:cs="Times New Roman"/>
          <w:szCs w:val="24"/>
        </w:rPr>
        <w:t>4 et 10, parce qu</w:t>
      </w:r>
      <w:r>
        <w:rPr>
          <w:rFonts w:cs="Times New Roman"/>
          <w:szCs w:val="24"/>
        </w:rPr>
        <w:t>’</w:t>
      </w:r>
      <w:r w:rsidRPr="00985CB4">
        <w:rPr>
          <w:rFonts w:cs="Times New Roman"/>
          <w:szCs w:val="24"/>
        </w:rPr>
        <w:t>il s</w:t>
      </w:r>
      <w:r>
        <w:rPr>
          <w:rFonts w:cs="Times New Roman"/>
          <w:szCs w:val="24"/>
        </w:rPr>
        <w:t>’</w:t>
      </w:r>
      <w:r w:rsidRPr="00985CB4">
        <w:rPr>
          <w:rFonts w:cs="Times New Roman"/>
          <w:szCs w:val="24"/>
        </w:rPr>
        <w:t>agit d</w:t>
      </w:r>
      <w:r>
        <w:rPr>
          <w:rFonts w:cs="Times New Roman"/>
          <w:szCs w:val="24"/>
        </w:rPr>
        <w:t>’</w:t>
      </w:r>
      <w:r w:rsidRPr="00985CB4">
        <w:rPr>
          <w:rFonts w:cs="Times New Roman"/>
          <w:szCs w:val="24"/>
        </w:rPr>
        <w:t>une question de diffamation, et non de discrimination. Puisque le Tribunal n</w:t>
      </w:r>
      <w:r>
        <w:rPr>
          <w:rFonts w:cs="Times New Roman"/>
          <w:szCs w:val="24"/>
        </w:rPr>
        <w:t>’</w:t>
      </w:r>
      <w:r w:rsidRPr="00985CB4">
        <w:rPr>
          <w:rFonts w:cs="Times New Roman"/>
          <w:szCs w:val="24"/>
        </w:rPr>
        <w:t>a pas compétence en matière de diffamation, il n</w:t>
      </w:r>
      <w:r>
        <w:rPr>
          <w:rFonts w:cs="Times New Roman"/>
          <w:szCs w:val="24"/>
        </w:rPr>
        <w:t>’</w:t>
      </w:r>
      <w:r w:rsidRPr="00985CB4">
        <w:rPr>
          <w:rFonts w:cs="Times New Roman"/>
          <w:szCs w:val="24"/>
        </w:rPr>
        <w:t>avait pas compétence à l</w:t>
      </w:r>
      <w:r>
        <w:rPr>
          <w:rFonts w:cs="Times New Roman"/>
          <w:szCs w:val="24"/>
        </w:rPr>
        <w:t>’</w:t>
      </w:r>
      <w:r w:rsidRPr="00985CB4">
        <w:rPr>
          <w:rFonts w:cs="Times New Roman"/>
          <w:szCs w:val="24"/>
        </w:rPr>
        <w:t>égard de la demande. De plus, la juge a conclu que le Tribunal avait commis une erreur en considérant la liberté d</w:t>
      </w:r>
      <w:r>
        <w:rPr>
          <w:rFonts w:cs="Times New Roman"/>
          <w:szCs w:val="24"/>
        </w:rPr>
        <w:t>’</w:t>
      </w:r>
      <w:r w:rsidRPr="00985CB4">
        <w:rPr>
          <w:rFonts w:cs="Times New Roman"/>
          <w:szCs w:val="24"/>
        </w:rPr>
        <w:t>expression au stade de l</w:t>
      </w:r>
      <w:r>
        <w:rPr>
          <w:rFonts w:cs="Times New Roman"/>
          <w:szCs w:val="24"/>
        </w:rPr>
        <w:t>’</w:t>
      </w:r>
      <w:r w:rsidRPr="00985CB4">
        <w:rPr>
          <w:rFonts w:cs="Times New Roman"/>
          <w:szCs w:val="24"/>
        </w:rPr>
        <w:t>analyse de la justification, plutôt que comme une limite interne au droit à la dignité. La juge aurait accueilli l</w:t>
      </w:r>
      <w:r>
        <w:rPr>
          <w:rFonts w:cs="Times New Roman"/>
          <w:szCs w:val="24"/>
        </w:rPr>
        <w:t>’</w:t>
      </w:r>
      <w:r w:rsidRPr="00985CB4">
        <w:rPr>
          <w:rFonts w:cs="Times New Roman"/>
          <w:szCs w:val="24"/>
        </w:rPr>
        <w:t>appel et rejeté les demandes présentées au nom de M. Gabriel et de sa mère.</w:t>
      </w:r>
    </w:p>
    <w:p w14:paraId="5E74CBCB" w14:textId="77777777" w:rsidR="00116CBE" w:rsidRPr="00985CB4" w:rsidRDefault="00116CBE" w:rsidP="00116CBE">
      <w:pPr>
        <w:pStyle w:val="TitleTitre-AltT"/>
        <w:rPr>
          <w:rFonts w:cs="Times New Roman"/>
          <w:lang w:val="fr-CA"/>
        </w:rPr>
      </w:pPr>
      <w:r w:rsidRPr="00985CB4">
        <w:rPr>
          <w:rFonts w:cs="Times New Roman"/>
          <w:u w:val="single"/>
          <w:lang w:val="fr-CA"/>
        </w:rPr>
        <w:t>Analyse</w:t>
      </w:r>
    </w:p>
    <w:p w14:paraId="41BB02B6" w14:textId="77777777" w:rsidR="00116CBE" w:rsidRPr="00985CB4" w:rsidRDefault="00116CBE" w:rsidP="00116CBE">
      <w:pPr>
        <w:pStyle w:val="ParaNoNdepar-AltN"/>
        <w:rPr>
          <w:rFonts w:cs="Times New Roman"/>
        </w:rPr>
      </w:pPr>
      <w:r w:rsidRPr="00985CB4">
        <w:rPr>
          <w:rFonts w:cs="Times New Roman"/>
        </w:rPr>
        <w:t>Nous ne voyons aucune raison de nous écarter de la jurisprudence de notre Cour qui confirme que c</w:t>
      </w:r>
      <w:r>
        <w:rPr>
          <w:rFonts w:cs="Times New Roman"/>
        </w:rPr>
        <w:t>’</w:t>
      </w:r>
      <w:r w:rsidRPr="00985CB4">
        <w:rPr>
          <w:rFonts w:cs="Times New Roman"/>
        </w:rPr>
        <w:t>est l</w:t>
      </w:r>
      <w:r>
        <w:rPr>
          <w:rFonts w:cs="Times New Roman"/>
        </w:rPr>
        <w:t>’</w:t>
      </w:r>
      <w:r w:rsidRPr="00985CB4">
        <w:rPr>
          <w:rFonts w:cs="Times New Roman"/>
        </w:rPr>
        <w:t>effet de la conduite qui importe, et non l</w:t>
      </w:r>
      <w:r>
        <w:rPr>
          <w:rFonts w:cs="Times New Roman"/>
        </w:rPr>
        <w:t>’</w:t>
      </w:r>
      <w:r w:rsidRPr="00985CB4">
        <w:rPr>
          <w:rFonts w:cs="Times New Roman"/>
        </w:rPr>
        <w:t>intention, et qui rejette les propositions voulant qu</w:t>
      </w:r>
      <w:r>
        <w:rPr>
          <w:rFonts w:cs="Times New Roman"/>
        </w:rPr>
        <w:t>’</w:t>
      </w:r>
      <w:r w:rsidRPr="00985CB4">
        <w:rPr>
          <w:rFonts w:cs="Times New Roman"/>
        </w:rPr>
        <w:t>il soit acceptable de discriminer, si la discrimination résulte du fait de traiter également des gens dans la même situation, et que la liberté d</w:t>
      </w:r>
      <w:r>
        <w:rPr>
          <w:rFonts w:cs="Times New Roman"/>
        </w:rPr>
        <w:t>’</w:t>
      </w:r>
      <w:r w:rsidRPr="00985CB4">
        <w:rPr>
          <w:rFonts w:cs="Times New Roman"/>
        </w:rPr>
        <w:t>expression emporte le droit de se livrer à de la discrimination. Il s</w:t>
      </w:r>
      <w:r>
        <w:rPr>
          <w:rFonts w:cs="Times New Roman"/>
        </w:rPr>
        <w:t>’</w:t>
      </w:r>
      <w:r w:rsidRPr="00985CB4">
        <w:rPr>
          <w:rFonts w:cs="Times New Roman"/>
        </w:rPr>
        <w:t>ensuit que les justifications avancées par M. Ward, à savoir qu</w:t>
      </w:r>
      <w:r>
        <w:rPr>
          <w:rFonts w:cs="Times New Roman"/>
        </w:rPr>
        <w:t>’</w:t>
      </w:r>
      <w:r w:rsidRPr="00985CB4">
        <w:rPr>
          <w:rFonts w:cs="Times New Roman"/>
        </w:rPr>
        <w:t>il n</w:t>
      </w:r>
      <w:r>
        <w:rPr>
          <w:rFonts w:cs="Times New Roman"/>
        </w:rPr>
        <w:t>’</w:t>
      </w:r>
      <w:r w:rsidRPr="00985CB4">
        <w:rPr>
          <w:rFonts w:cs="Times New Roman"/>
        </w:rPr>
        <w:t>avait pas l</w:t>
      </w:r>
      <w:r>
        <w:rPr>
          <w:rFonts w:cs="Times New Roman"/>
        </w:rPr>
        <w:t>’</w:t>
      </w:r>
      <w:r w:rsidRPr="00985CB4">
        <w:rPr>
          <w:rFonts w:cs="Times New Roman"/>
        </w:rPr>
        <w:t>intention de discriminer, qu</w:t>
      </w:r>
      <w:r>
        <w:rPr>
          <w:rFonts w:cs="Times New Roman"/>
        </w:rPr>
        <w:t>’</w:t>
      </w:r>
      <w:r w:rsidRPr="00985CB4">
        <w:rPr>
          <w:rFonts w:cs="Times New Roman"/>
        </w:rPr>
        <w:t>il traitait Jérémy Gabriel comme n</w:t>
      </w:r>
      <w:r>
        <w:rPr>
          <w:rFonts w:cs="Times New Roman"/>
        </w:rPr>
        <w:t>’</w:t>
      </w:r>
      <w:r w:rsidRPr="00985CB4">
        <w:rPr>
          <w:rFonts w:cs="Times New Roman"/>
        </w:rPr>
        <w:t>importe quelle autre célébrité et que sa liberté artistique en tant qu</w:t>
      </w:r>
      <w:r>
        <w:rPr>
          <w:rFonts w:cs="Times New Roman"/>
        </w:rPr>
        <w:t>’</w:t>
      </w:r>
      <w:r w:rsidRPr="00985CB4">
        <w:rPr>
          <w:rFonts w:cs="Times New Roman"/>
        </w:rPr>
        <w:t>humoriste lui conférait le droit de se moquer d</w:t>
      </w:r>
      <w:r>
        <w:rPr>
          <w:rFonts w:cs="Times New Roman"/>
        </w:rPr>
        <w:t>’</w:t>
      </w:r>
      <w:r w:rsidRPr="00985CB4">
        <w:rPr>
          <w:rFonts w:cs="Times New Roman"/>
        </w:rPr>
        <w:t>un enfant handicapé, sont dénuées de fondement juridique.</w:t>
      </w:r>
    </w:p>
    <w:p w14:paraId="3E63E366" w14:textId="77777777" w:rsidR="00116CBE" w:rsidRPr="00985CB4" w:rsidRDefault="00116CBE" w:rsidP="00116CBE">
      <w:pPr>
        <w:pStyle w:val="ParaNoNdepar-AltN"/>
        <w:rPr>
          <w:rFonts w:cs="Times New Roman"/>
        </w:rPr>
      </w:pPr>
      <w:r w:rsidRPr="00985CB4">
        <w:rPr>
          <w:rFonts w:cs="Times New Roman"/>
        </w:rPr>
        <w:t>Il est allégué que les propos formulés par M. Ward au sujet du handicap de M. Gabriel, tant dans les représentations devant public que sur Internet, constituaient une atteinte discriminatoire au droit de ce dernier à la dignité, à l</w:t>
      </w:r>
      <w:r>
        <w:rPr>
          <w:rFonts w:cs="Times New Roman"/>
        </w:rPr>
        <w:t>’</w:t>
      </w:r>
      <w:r w:rsidRPr="00985CB4">
        <w:rPr>
          <w:rFonts w:cs="Times New Roman"/>
        </w:rPr>
        <w:t>honneur et à la réputation. L</w:t>
      </w:r>
      <w:r>
        <w:rPr>
          <w:rFonts w:cs="Times New Roman"/>
        </w:rPr>
        <w:t>’</w:t>
      </w:r>
      <w:r w:rsidRPr="00985CB4">
        <w:rPr>
          <w:rFonts w:cs="Times New Roman"/>
        </w:rPr>
        <w:t xml:space="preserve">allégation est basée sur les </w:t>
      </w:r>
      <w:r>
        <w:rPr>
          <w:rFonts w:cs="Times New Roman"/>
        </w:rPr>
        <w:t>art. </w:t>
      </w:r>
      <w:r w:rsidRPr="00985CB4">
        <w:rPr>
          <w:rFonts w:cs="Times New Roman"/>
        </w:rPr>
        <w:t>4 et 10 de la</w:t>
      </w:r>
      <w:r w:rsidRPr="00985CB4">
        <w:rPr>
          <w:rFonts w:cs="Times New Roman"/>
          <w:i/>
        </w:rPr>
        <w:t xml:space="preserve"> Charte </w:t>
      </w:r>
      <w:r w:rsidRPr="00985CB4">
        <w:rPr>
          <w:rFonts w:cs="Times New Roman"/>
          <w:iCs/>
        </w:rPr>
        <w:t>québécoise</w:t>
      </w:r>
      <w:r w:rsidRPr="00985CB4">
        <w:rPr>
          <w:rFonts w:cs="Times New Roman"/>
        </w:rPr>
        <w:t>. L</w:t>
      </w:r>
      <w:r>
        <w:rPr>
          <w:rFonts w:cs="Times New Roman"/>
        </w:rPr>
        <w:t>’</w:t>
      </w:r>
      <w:r w:rsidRPr="00985CB4">
        <w:rPr>
          <w:rFonts w:cs="Times New Roman"/>
        </w:rPr>
        <w:t>article 4 protège, en tant que droit fondamental, le droit d</w:t>
      </w:r>
      <w:r>
        <w:rPr>
          <w:rFonts w:cs="Times New Roman"/>
        </w:rPr>
        <w:t>’</w:t>
      </w:r>
      <w:r w:rsidRPr="00985CB4">
        <w:rPr>
          <w:rFonts w:cs="Times New Roman"/>
        </w:rPr>
        <w:t>une personne à la sauvegarde de sa dignité, de son honneur et de sa réputation. L</w:t>
      </w:r>
      <w:r>
        <w:rPr>
          <w:rFonts w:cs="Times New Roman"/>
        </w:rPr>
        <w:t>’</w:t>
      </w:r>
      <w:r w:rsidRPr="00985CB4">
        <w:rPr>
          <w:rFonts w:cs="Times New Roman"/>
        </w:rPr>
        <w:t xml:space="preserve">article 10 est la disposition de la </w:t>
      </w:r>
      <w:r w:rsidRPr="00985CB4">
        <w:rPr>
          <w:rFonts w:cs="Times New Roman"/>
          <w:i/>
        </w:rPr>
        <w:t>Charte</w:t>
      </w:r>
      <w:r w:rsidRPr="00985CB4">
        <w:rPr>
          <w:rFonts w:cs="Times New Roman"/>
        </w:rPr>
        <w:t xml:space="preserve"> québécoise portant sur l</w:t>
      </w:r>
      <w:r>
        <w:rPr>
          <w:rFonts w:cs="Times New Roman"/>
        </w:rPr>
        <w:t>’</w:t>
      </w:r>
      <w:r w:rsidRPr="00985CB4">
        <w:rPr>
          <w:rFonts w:cs="Times New Roman"/>
        </w:rPr>
        <w:t xml:space="preserve">égalité. Il protège toute personne contre les atteintes discriminatoires aux droits et libertés énoncés dans la </w:t>
      </w:r>
      <w:r w:rsidRPr="00985CB4">
        <w:rPr>
          <w:rFonts w:cs="Times New Roman"/>
          <w:i/>
        </w:rPr>
        <w:t xml:space="preserve">Charte </w:t>
      </w:r>
      <w:r w:rsidRPr="00985CB4">
        <w:rPr>
          <w:rFonts w:cs="Times New Roman"/>
          <w:iCs/>
        </w:rPr>
        <w:t>québécoise</w:t>
      </w:r>
      <w:r w:rsidRPr="00E20036">
        <w:rPr>
          <w:rStyle w:val="Hyperlink"/>
          <w:vertAlign w:val="superscript"/>
        </w:rPr>
        <w:footnoteReference w:id="3"/>
      </w:r>
      <w:r w:rsidRPr="00985CB4">
        <w:rPr>
          <w:rFonts w:cs="Times New Roman"/>
          <w:iCs/>
        </w:rPr>
        <w:t>.</w:t>
      </w:r>
      <w:r w:rsidRPr="00985CB4">
        <w:rPr>
          <w:rFonts w:cs="Times New Roman"/>
        </w:rPr>
        <w:t xml:space="preserve"> Ensemble, les </w:t>
      </w:r>
      <w:r>
        <w:rPr>
          <w:rFonts w:cs="Times New Roman"/>
        </w:rPr>
        <w:t>art. </w:t>
      </w:r>
      <w:r w:rsidRPr="00985CB4">
        <w:rPr>
          <w:rFonts w:cs="Times New Roman"/>
        </w:rPr>
        <w:t>4 et 10 protègent le droit d</w:t>
      </w:r>
      <w:r>
        <w:rPr>
          <w:rFonts w:cs="Times New Roman"/>
        </w:rPr>
        <w:t>’</w:t>
      </w:r>
      <w:r w:rsidRPr="00985CB4">
        <w:rPr>
          <w:rFonts w:cs="Times New Roman"/>
        </w:rPr>
        <w:t>une personne à la sauvegarde, en pleine égalité, de sa dignité, de son honneur et de sa réputation. Ces articles sont ainsi rédigés</w:t>
      </w:r>
      <w:r>
        <w:rPr>
          <w:rFonts w:cs="Times New Roman"/>
        </w:rPr>
        <w:t> :</w:t>
      </w:r>
    </w:p>
    <w:p w14:paraId="19178D62" w14:textId="77777777" w:rsidR="00116CBE" w:rsidRPr="00985CB4" w:rsidRDefault="00116CBE" w:rsidP="00116CBE">
      <w:pPr>
        <w:pStyle w:val="Citation-AltC"/>
        <w:tabs>
          <w:tab w:val="left" w:pos="1701"/>
        </w:tabs>
        <w:spacing w:after="240"/>
        <w:ind w:left="1168" w:hanging="1168"/>
        <w:contextualSpacing w:val="0"/>
        <w:rPr>
          <w:rStyle w:val="subsection"/>
          <w:rFonts w:eastAsiaTheme="minorEastAsia"/>
        </w:rPr>
      </w:pPr>
      <w:r>
        <w:rPr>
          <w:rStyle w:val="label-section"/>
          <w:b/>
          <w:bCs/>
        </w:rPr>
        <w:tab/>
      </w:r>
      <w:r w:rsidRPr="00985CB4">
        <w:rPr>
          <w:rStyle w:val="label-section"/>
          <w:b/>
          <w:bCs/>
        </w:rPr>
        <w:t>4.</w:t>
      </w:r>
      <w:r w:rsidRPr="00985CB4">
        <w:tab/>
      </w:r>
      <w:r w:rsidRPr="00985CB4">
        <w:rPr>
          <w:rFonts w:eastAsiaTheme="minorEastAsia"/>
        </w:rPr>
        <w:t>Toute personne a droit à la sauvegarde de sa dignité, de son honneur et de sa réputation</w:t>
      </w:r>
      <w:r w:rsidRPr="00985CB4">
        <w:rPr>
          <w:rStyle w:val="subsection"/>
          <w:rFonts w:eastAsiaTheme="minorEastAsia"/>
        </w:rPr>
        <w:t>.</w:t>
      </w:r>
    </w:p>
    <w:p w14:paraId="3797AD76" w14:textId="77777777" w:rsidR="00116CBE" w:rsidRPr="00985CB4" w:rsidRDefault="00116CBE" w:rsidP="00116CBE">
      <w:pPr>
        <w:pStyle w:val="Citation-AltC"/>
        <w:tabs>
          <w:tab w:val="left" w:pos="1701"/>
        </w:tabs>
        <w:spacing w:after="240"/>
        <w:ind w:left="1168" w:hanging="1168"/>
        <w:contextualSpacing w:val="0"/>
        <w:rPr>
          <w:rStyle w:val="subsection"/>
        </w:rPr>
      </w:pPr>
      <w:r>
        <w:rPr>
          <w:rStyle w:val="label-section"/>
          <w:b/>
          <w:bCs/>
        </w:rPr>
        <w:tab/>
      </w:r>
      <w:r w:rsidRPr="00985CB4">
        <w:rPr>
          <w:rStyle w:val="label-section"/>
          <w:b/>
          <w:bCs/>
        </w:rPr>
        <w:t>10.</w:t>
      </w:r>
      <w:r w:rsidRPr="00985CB4">
        <w:tab/>
        <w:t>Toute personne a droit à la reconnaissance et à l</w:t>
      </w:r>
      <w:r>
        <w:t>’</w:t>
      </w:r>
      <w:r w:rsidRPr="00985CB4">
        <w:t>exercice, en pleine égalité, des droits et libertés de la personne, sans distinction, exclusion ou préférence fondée sur la race, la couleur, le sexe, l</w:t>
      </w:r>
      <w:r>
        <w:t>’</w:t>
      </w:r>
      <w:r w:rsidRPr="00985CB4">
        <w:t>identité ou l</w:t>
      </w:r>
      <w:r>
        <w:t>’</w:t>
      </w:r>
      <w:r w:rsidRPr="00985CB4">
        <w:t>expression de genre, la grossesse, l</w:t>
      </w:r>
      <w:r>
        <w:t>’</w:t>
      </w:r>
      <w:r w:rsidRPr="00985CB4">
        <w:t>orientation sexuelle, l</w:t>
      </w:r>
      <w:r>
        <w:t>’</w:t>
      </w:r>
      <w:r w:rsidRPr="00985CB4">
        <w:t>état civil, l</w:t>
      </w:r>
      <w:r>
        <w:t>’</w:t>
      </w:r>
      <w:r w:rsidRPr="00985CB4">
        <w:t>âge sauf dans la mesure prévue par la loi, la religion, les convictions politiques, la langue, l</w:t>
      </w:r>
      <w:r>
        <w:t>’</w:t>
      </w:r>
      <w:r w:rsidRPr="00985CB4">
        <w:t>origine ethnique ou nationale, la condition sociale, le handicap ou l</w:t>
      </w:r>
      <w:r>
        <w:t>’</w:t>
      </w:r>
      <w:r w:rsidRPr="00985CB4">
        <w:t>utilisation d</w:t>
      </w:r>
      <w:r>
        <w:t>’</w:t>
      </w:r>
      <w:r w:rsidRPr="00985CB4">
        <w:t>un moyen pour pallier ce handicap</w:t>
      </w:r>
      <w:r w:rsidRPr="00985CB4">
        <w:rPr>
          <w:rStyle w:val="subsection"/>
        </w:rPr>
        <w:t>.</w:t>
      </w:r>
    </w:p>
    <w:p w14:paraId="50E65EEF" w14:textId="77777777" w:rsidR="00116CBE" w:rsidRPr="00985CB4" w:rsidRDefault="00116CBE" w:rsidP="00116CBE">
      <w:pPr>
        <w:pStyle w:val="Citation-AltC"/>
        <w:ind w:hanging="1166"/>
        <w:rPr>
          <w:rStyle w:val="subsection"/>
        </w:rPr>
      </w:pPr>
      <w:r>
        <w:tab/>
      </w:r>
      <w:r>
        <w:tab/>
      </w:r>
      <w:r w:rsidRPr="00985CB4">
        <w:t>Il y a discrimination lorsqu</w:t>
      </w:r>
      <w:r>
        <w:t>’</w:t>
      </w:r>
      <w:r w:rsidRPr="00985CB4">
        <w:t>une telle distinction, exclusion ou préférence a pour effet de détruire ou de compromettre ce droit</w:t>
      </w:r>
      <w:r w:rsidRPr="00985CB4">
        <w:rPr>
          <w:rStyle w:val="subsection"/>
        </w:rPr>
        <w:t>.</w:t>
      </w:r>
    </w:p>
    <w:p w14:paraId="30D4D336" w14:textId="77777777" w:rsidR="00116CBE" w:rsidRPr="00985CB4" w:rsidRDefault="00116CBE" w:rsidP="00116CBE">
      <w:pPr>
        <w:pStyle w:val="ParaNoNdepar-AltN"/>
        <w:rPr>
          <w:rFonts w:cs="Times New Roman"/>
        </w:rPr>
      </w:pPr>
      <w:r w:rsidRPr="00985CB4">
        <w:rPr>
          <w:rFonts w:cs="Times New Roman"/>
        </w:rPr>
        <w:t xml:space="preserve">En vertu de la </w:t>
      </w:r>
      <w:r w:rsidRPr="00985CB4">
        <w:rPr>
          <w:rFonts w:cs="Times New Roman"/>
          <w:i/>
        </w:rPr>
        <w:t xml:space="preserve">Charte </w:t>
      </w:r>
      <w:r w:rsidRPr="00985CB4">
        <w:rPr>
          <w:rFonts w:cs="Times New Roman"/>
          <w:iCs/>
        </w:rPr>
        <w:t>québécoise</w:t>
      </w:r>
      <w:r w:rsidRPr="00985CB4">
        <w:rPr>
          <w:rFonts w:cs="Times New Roman"/>
        </w:rPr>
        <w:t>, les libertés et droits fondamentaux, y compris le droit énoncé à l</w:t>
      </w:r>
      <w:r>
        <w:rPr>
          <w:rFonts w:cs="Times New Roman"/>
        </w:rPr>
        <w:t>’art. </w:t>
      </w:r>
      <w:r w:rsidRPr="00985CB4">
        <w:rPr>
          <w:rFonts w:cs="Times New Roman"/>
        </w:rPr>
        <w:t>4, sont circonscrits et mis en balance par l</w:t>
      </w:r>
      <w:r>
        <w:rPr>
          <w:rFonts w:cs="Times New Roman"/>
        </w:rPr>
        <w:t>’</w:t>
      </w:r>
      <w:r w:rsidRPr="00985CB4">
        <w:rPr>
          <w:rFonts w:cs="Times New Roman"/>
        </w:rPr>
        <w:t>application de l</w:t>
      </w:r>
      <w:r>
        <w:rPr>
          <w:rFonts w:cs="Times New Roman"/>
        </w:rPr>
        <w:t>’art. </w:t>
      </w:r>
      <w:r w:rsidRPr="00985CB4">
        <w:rPr>
          <w:rFonts w:cs="Times New Roman"/>
        </w:rPr>
        <w:t>9.1 qui prévoyait ce qui suit à l</w:t>
      </w:r>
      <w:r>
        <w:rPr>
          <w:rFonts w:cs="Times New Roman"/>
        </w:rPr>
        <w:t>’</w:t>
      </w:r>
      <w:r w:rsidRPr="00985CB4">
        <w:rPr>
          <w:rFonts w:cs="Times New Roman"/>
        </w:rPr>
        <w:t>époque pertinente</w:t>
      </w:r>
      <w:r>
        <w:rPr>
          <w:rFonts w:cs="Times New Roman"/>
        </w:rPr>
        <w:t> :</w:t>
      </w:r>
    </w:p>
    <w:p w14:paraId="6FB79708" w14:textId="77777777" w:rsidR="00116CBE" w:rsidRPr="00985CB4" w:rsidRDefault="00116CBE" w:rsidP="00116CBE">
      <w:pPr>
        <w:pStyle w:val="Citation-AltC"/>
        <w:tabs>
          <w:tab w:val="left" w:pos="1701"/>
        </w:tabs>
        <w:spacing w:after="240"/>
        <w:ind w:left="1168" w:hanging="1168"/>
        <w:contextualSpacing w:val="0"/>
      </w:pPr>
      <w:r>
        <w:rPr>
          <w:b/>
        </w:rPr>
        <w:tab/>
      </w:r>
      <w:r w:rsidRPr="00985CB4">
        <w:rPr>
          <w:b/>
        </w:rPr>
        <w:t>9.1</w:t>
      </w:r>
      <w:r w:rsidRPr="00985CB4">
        <w:tab/>
        <w:t>Les libertés et droits fondamentaux s</w:t>
      </w:r>
      <w:r>
        <w:t>’</w:t>
      </w:r>
      <w:r w:rsidRPr="00985CB4">
        <w:t>exercent dans le respect des valeurs démocratiques, de l</w:t>
      </w:r>
      <w:r>
        <w:t>’</w:t>
      </w:r>
      <w:r w:rsidRPr="00985CB4">
        <w:t>ordre public et du bien</w:t>
      </w:r>
      <w:r>
        <w:noBreakHyphen/>
      </w:r>
      <w:r w:rsidRPr="00985CB4">
        <w:t>être général des citoyens du Québec.</w:t>
      </w:r>
    </w:p>
    <w:p w14:paraId="7129F4A1" w14:textId="77777777" w:rsidR="00116CBE" w:rsidRPr="00985CB4" w:rsidRDefault="00116CBE" w:rsidP="00116CBE">
      <w:pPr>
        <w:pStyle w:val="Citation-AltC"/>
        <w:ind w:hanging="1166"/>
      </w:pPr>
      <w:r>
        <w:tab/>
      </w:r>
      <w:r>
        <w:tab/>
      </w:r>
      <w:r w:rsidRPr="00985CB4">
        <w:t>La loi peut, à cet égard, en fixer la portée et en aménager l</w:t>
      </w:r>
      <w:r>
        <w:t>’</w:t>
      </w:r>
      <w:r w:rsidRPr="00985CB4">
        <w:t>exercice.</w:t>
      </w:r>
    </w:p>
    <w:p w14:paraId="719AC5E3"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Pour déterminer si des propos constituent de la discrimination, il faut appliquer le même cadre d</w:t>
      </w:r>
      <w:r>
        <w:rPr>
          <w:rFonts w:cs="Times New Roman"/>
        </w:rPr>
        <w:t>’</w:t>
      </w:r>
      <w:r w:rsidRPr="00985CB4">
        <w:rPr>
          <w:rFonts w:cs="Times New Roman"/>
        </w:rPr>
        <w:t>analyse que celui utilisé dans le contexte d</w:t>
      </w:r>
      <w:r>
        <w:rPr>
          <w:rFonts w:cs="Times New Roman"/>
        </w:rPr>
        <w:t>’</w:t>
      </w:r>
      <w:r w:rsidRPr="00985CB4">
        <w:rPr>
          <w:rFonts w:cs="Times New Roman"/>
        </w:rPr>
        <w:t>autres recours en discrimination fondés sur l</w:t>
      </w:r>
      <w:r>
        <w:rPr>
          <w:rFonts w:cs="Times New Roman"/>
        </w:rPr>
        <w:t>’art. </w:t>
      </w:r>
      <w:r w:rsidRPr="00985CB4">
        <w:rPr>
          <w:rFonts w:cs="Times New Roman"/>
        </w:rPr>
        <w:t>10. Il a été confirmé récemment par notre Cour dans l</w:t>
      </w:r>
      <w:r>
        <w:rPr>
          <w:rFonts w:cs="Times New Roman"/>
        </w:rPr>
        <w:t>’</w:t>
      </w:r>
      <w:r w:rsidRPr="00985CB4">
        <w:rPr>
          <w:rFonts w:cs="Times New Roman"/>
        </w:rPr>
        <w:t xml:space="preserve">arrêt </w:t>
      </w:r>
      <w:r w:rsidRPr="00985CB4">
        <w:rPr>
          <w:rFonts w:cs="Times New Roman"/>
          <w:i/>
        </w:rPr>
        <w:t>Québec (Commission des droits de la personne et des droits de la jeunesse) c. Bombardier Inc. (Bombardier Aéronautique Centre de formation)</w:t>
      </w:r>
      <w:r w:rsidRPr="00985CB4">
        <w:rPr>
          <w:rFonts w:cs="Times New Roman"/>
        </w:rPr>
        <w:t>, [2015] 2 R.C.S. 789. La Cour a jugé à l</w:t>
      </w:r>
      <w:r>
        <w:rPr>
          <w:rFonts w:cs="Times New Roman"/>
        </w:rPr>
        <w:t>’</w:t>
      </w:r>
      <w:r w:rsidRPr="00985CB4">
        <w:rPr>
          <w:rFonts w:cs="Times New Roman"/>
        </w:rPr>
        <w:t xml:space="preserve">unanimité que la démarche en matière de discrimination visée par la </w:t>
      </w:r>
      <w:r w:rsidRPr="00985CB4">
        <w:rPr>
          <w:rFonts w:cs="Times New Roman"/>
          <w:i/>
        </w:rPr>
        <w:t>Charte</w:t>
      </w:r>
      <w:r w:rsidRPr="00985CB4">
        <w:rPr>
          <w:rFonts w:cs="Times New Roman"/>
        </w:rPr>
        <w:t xml:space="preserve"> québécoise consiste d</w:t>
      </w:r>
      <w:r>
        <w:rPr>
          <w:rFonts w:cs="Times New Roman"/>
        </w:rPr>
        <w:t>’</w:t>
      </w:r>
      <w:r w:rsidRPr="00985CB4">
        <w:rPr>
          <w:rFonts w:cs="Times New Roman"/>
        </w:rPr>
        <w:t xml:space="preserve">abord à se demander si une preuve </w:t>
      </w:r>
      <w:r w:rsidRPr="00985CB4">
        <w:rPr>
          <w:rFonts w:cs="Times New Roman"/>
          <w:iCs/>
        </w:rPr>
        <w:t xml:space="preserve">de </w:t>
      </w:r>
      <w:r w:rsidRPr="00985CB4">
        <w:rPr>
          <w:rFonts w:cs="Times New Roman"/>
        </w:rPr>
        <w:t xml:space="preserve">discrimination </w:t>
      </w:r>
      <w:r w:rsidRPr="00985CB4">
        <w:rPr>
          <w:rFonts w:cs="Times New Roman"/>
          <w:i/>
        </w:rPr>
        <w:t xml:space="preserve">prima facie </w:t>
      </w:r>
      <w:r w:rsidRPr="00985CB4">
        <w:rPr>
          <w:rFonts w:cs="Times New Roman"/>
        </w:rPr>
        <w:t>a été établie, puis à déterminer si la conduite était justifiée (</w:t>
      </w:r>
      <w:r>
        <w:rPr>
          <w:rFonts w:cs="Times New Roman"/>
        </w:rPr>
        <w:t>par. </w:t>
      </w:r>
      <w:r w:rsidRPr="00985CB4">
        <w:rPr>
          <w:rFonts w:cs="Times New Roman"/>
        </w:rPr>
        <w:t>36</w:t>
      </w:r>
      <w:r>
        <w:rPr>
          <w:rFonts w:cs="Times New Roman"/>
        </w:rPr>
        <w:noBreakHyphen/>
      </w:r>
      <w:r w:rsidRPr="00985CB4">
        <w:rPr>
          <w:rFonts w:cs="Times New Roman"/>
        </w:rPr>
        <w:t>37).</w:t>
      </w:r>
    </w:p>
    <w:p w14:paraId="59A689FA"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Suivant l</w:t>
      </w:r>
      <w:r>
        <w:rPr>
          <w:rFonts w:cs="Times New Roman"/>
        </w:rPr>
        <w:t>’</w:t>
      </w:r>
      <w:r w:rsidRPr="00985CB4">
        <w:rPr>
          <w:rFonts w:cs="Times New Roman"/>
        </w:rPr>
        <w:t xml:space="preserve">analyse énoncée dans </w:t>
      </w:r>
      <w:r w:rsidRPr="00985CB4">
        <w:rPr>
          <w:rFonts w:cs="Times New Roman"/>
          <w:i/>
        </w:rPr>
        <w:t>Bombardier</w:t>
      </w:r>
      <w:r w:rsidRPr="00985CB4">
        <w:rPr>
          <w:rFonts w:cs="Times New Roman"/>
        </w:rPr>
        <w:t xml:space="preserve"> pour déterminer s</w:t>
      </w:r>
      <w:r>
        <w:rPr>
          <w:rFonts w:cs="Times New Roman"/>
        </w:rPr>
        <w:t>’</w:t>
      </w:r>
      <w:r w:rsidRPr="00985CB4">
        <w:rPr>
          <w:rFonts w:cs="Times New Roman"/>
        </w:rPr>
        <w:t xml:space="preserve">il y a discrimination </w:t>
      </w:r>
      <w:r w:rsidRPr="00985CB4">
        <w:rPr>
          <w:rFonts w:cs="Times New Roman"/>
          <w:i/>
        </w:rPr>
        <w:t>prima facie</w:t>
      </w:r>
      <w:r w:rsidRPr="00985CB4">
        <w:rPr>
          <w:rFonts w:cs="Times New Roman"/>
        </w:rPr>
        <w:t>,</w:t>
      </w:r>
      <w:r w:rsidRPr="00985CB4">
        <w:rPr>
          <w:rFonts w:cs="Times New Roman"/>
          <w:i/>
        </w:rPr>
        <w:t xml:space="preserve"> </w:t>
      </w:r>
      <w:r w:rsidRPr="00985CB4">
        <w:rPr>
          <w:rFonts w:cs="Times New Roman"/>
        </w:rPr>
        <w:t>les plaignants doivent démontrer, selon la prépondérance des probabilités, qu</w:t>
      </w:r>
      <w:r>
        <w:rPr>
          <w:rFonts w:cs="Times New Roman"/>
        </w:rPr>
        <w:t>’</w:t>
      </w:r>
      <w:r w:rsidRPr="00985CB4">
        <w:rPr>
          <w:rFonts w:cs="Times New Roman"/>
        </w:rPr>
        <w:t>ils ont été l</w:t>
      </w:r>
      <w:r>
        <w:rPr>
          <w:rFonts w:cs="Times New Roman"/>
        </w:rPr>
        <w:t>’</w:t>
      </w:r>
      <w:r w:rsidRPr="00985CB4">
        <w:rPr>
          <w:rFonts w:cs="Times New Roman"/>
        </w:rPr>
        <w:t>objet d</w:t>
      </w:r>
      <w:r>
        <w:rPr>
          <w:rFonts w:cs="Times New Roman"/>
        </w:rPr>
        <w:t>’</w:t>
      </w:r>
      <w:r w:rsidRPr="00985CB4">
        <w:rPr>
          <w:rFonts w:cs="Times New Roman"/>
        </w:rPr>
        <w:t>une « distinction, exclusion ou préférence » fondée sur l</w:t>
      </w:r>
      <w:r>
        <w:rPr>
          <w:rFonts w:cs="Times New Roman"/>
        </w:rPr>
        <w:t>’</w:t>
      </w:r>
      <w:r w:rsidRPr="00985CB4">
        <w:rPr>
          <w:rFonts w:cs="Times New Roman"/>
        </w:rPr>
        <w:t>un des motifs énumérés à l</w:t>
      </w:r>
      <w:r>
        <w:rPr>
          <w:rFonts w:cs="Times New Roman"/>
        </w:rPr>
        <w:t>’art. </w:t>
      </w:r>
      <w:r w:rsidRPr="00985CB4">
        <w:rPr>
          <w:rFonts w:cs="Times New Roman"/>
        </w:rPr>
        <w:t>10 (</w:t>
      </w:r>
      <w:r>
        <w:rPr>
          <w:rFonts w:cs="Times New Roman"/>
        </w:rPr>
        <w:t>par. </w:t>
      </w:r>
      <w:r w:rsidRPr="00985CB4">
        <w:rPr>
          <w:rFonts w:cs="Times New Roman"/>
        </w:rPr>
        <w:t>35). Ils doivent établir que la distinction « affecte l</w:t>
      </w:r>
      <w:r>
        <w:rPr>
          <w:rFonts w:cs="Times New Roman"/>
        </w:rPr>
        <w:t>’</w:t>
      </w:r>
      <w:r w:rsidRPr="00985CB4">
        <w:rPr>
          <w:rFonts w:cs="Times New Roman"/>
        </w:rPr>
        <w:t>exercice en pleine égalité de l</w:t>
      </w:r>
      <w:r>
        <w:rPr>
          <w:rFonts w:cs="Times New Roman"/>
        </w:rPr>
        <w:t>’</w:t>
      </w:r>
      <w:r w:rsidRPr="00985CB4">
        <w:rPr>
          <w:rFonts w:cs="Times New Roman"/>
        </w:rPr>
        <w:t>un de ses droits ou libertés garantis par la </w:t>
      </w:r>
      <w:r w:rsidRPr="00985CB4">
        <w:rPr>
          <w:rFonts w:cs="Times New Roman"/>
          <w:i/>
          <w:iCs/>
        </w:rPr>
        <w:t>Charte</w:t>
      </w:r>
      <w:r w:rsidRPr="00985CB4">
        <w:rPr>
          <w:rFonts w:cs="Times New Roman"/>
        </w:rPr>
        <w:t> » (</w:t>
      </w:r>
      <w:r>
        <w:rPr>
          <w:rFonts w:cs="Times New Roman"/>
        </w:rPr>
        <w:t>par. </w:t>
      </w:r>
      <w:r w:rsidRPr="00985CB4">
        <w:rPr>
          <w:rFonts w:cs="Times New Roman"/>
        </w:rPr>
        <w:t>53). Comme l</w:t>
      </w:r>
      <w:r>
        <w:rPr>
          <w:rFonts w:cs="Times New Roman"/>
        </w:rPr>
        <w:t>’</w:t>
      </w:r>
      <w:r w:rsidRPr="00985CB4">
        <w:rPr>
          <w:rFonts w:cs="Times New Roman"/>
        </w:rPr>
        <w:t xml:space="preserve">a expliqué la Cour, au </w:t>
      </w:r>
      <w:r>
        <w:rPr>
          <w:rFonts w:cs="Times New Roman"/>
        </w:rPr>
        <w:t>par. </w:t>
      </w:r>
      <w:r w:rsidRPr="00985CB4">
        <w:rPr>
          <w:rFonts w:cs="Times New Roman"/>
        </w:rPr>
        <w:t>54</w:t>
      </w:r>
      <w:r>
        <w:rPr>
          <w:rFonts w:cs="Times New Roman"/>
        </w:rPr>
        <w:t> :</w:t>
      </w:r>
    </w:p>
    <w:p w14:paraId="6508270A" w14:textId="77777777" w:rsidR="00116CBE" w:rsidRPr="00985CB4" w:rsidRDefault="00116CBE" w:rsidP="00116CBE">
      <w:pPr>
        <w:pStyle w:val="Citation-AltC"/>
        <w:ind w:hanging="1166"/>
        <w:rPr>
          <w:i/>
        </w:rPr>
      </w:pPr>
      <w:r>
        <w:tab/>
      </w:r>
      <w:r>
        <w:tab/>
      </w:r>
      <w:r w:rsidRPr="00985CB4">
        <w:t>Cela signifie que le droit à l</w:t>
      </w:r>
      <w:r>
        <w:t>’</w:t>
      </w:r>
      <w:r w:rsidRPr="00985CB4">
        <w:t>absence de discrimination ne peut à lui seul fonder un recours et doit nécessairement être rattaché à un autre droit ou à une autre liberté de la personne reconnus par la loi. Il ne faut toutefois pas confondre cette exigence avec la portée autonome du droit à l</w:t>
      </w:r>
      <w:r>
        <w:t>’</w:t>
      </w:r>
      <w:r w:rsidRPr="00985CB4">
        <w:t xml:space="preserve">égalité; la </w:t>
      </w:r>
      <w:r w:rsidRPr="00985CB4">
        <w:rPr>
          <w:i/>
          <w:iCs/>
        </w:rPr>
        <w:t xml:space="preserve">Charte </w:t>
      </w:r>
      <w:r w:rsidRPr="00985CB4">
        <w:t>[québécoise] n</w:t>
      </w:r>
      <w:r>
        <w:t>’</w:t>
      </w:r>
      <w:r w:rsidRPr="00985CB4">
        <w:t>exige pas une « double violation » (droit à l</w:t>
      </w:r>
      <w:r>
        <w:t>’</w:t>
      </w:r>
      <w:r w:rsidRPr="00985CB4">
        <w:t>égalité et, par exemple, liberté de religion), ce qui rendrait l</w:t>
      </w:r>
      <w:r>
        <w:t>’art. </w:t>
      </w:r>
      <w:r w:rsidRPr="00985CB4">
        <w:t>10 superflu. [Références omises.]</w:t>
      </w:r>
    </w:p>
    <w:p w14:paraId="04CEA811" w14:textId="77777777" w:rsidR="00116CBE" w:rsidRPr="00985CB4" w:rsidRDefault="00116CBE" w:rsidP="00116CBE">
      <w:pPr>
        <w:pStyle w:val="ParaNoNdepar-AltN"/>
        <w:rPr>
          <w:rFonts w:cs="Times New Roman"/>
        </w:rPr>
      </w:pPr>
      <w:r w:rsidRPr="00985CB4">
        <w:rPr>
          <w:rStyle w:val="subsection"/>
          <w:rFonts w:cs="Times New Roman"/>
          <w:szCs w:val="24"/>
        </w:rPr>
        <w:t>Par conséquent, pour qu</w:t>
      </w:r>
      <w:r>
        <w:rPr>
          <w:rStyle w:val="subsection"/>
          <w:rFonts w:cs="Times New Roman"/>
          <w:szCs w:val="24"/>
        </w:rPr>
        <w:t>’</w:t>
      </w:r>
      <w:r w:rsidRPr="00985CB4">
        <w:rPr>
          <w:rStyle w:val="subsection"/>
          <w:rFonts w:cs="Times New Roman"/>
          <w:szCs w:val="24"/>
        </w:rPr>
        <w:t>une demande soit accueillie sur le fondement de l</w:t>
      </w:r>
      <w:r>
        <w:rPr>
          <w:rStyle w:val="subsection"/>
          <w:rFonts w:cs="Times New Roman"/>
          <w:szCs w:val="24"/>
        </w:rPr>
        <w:t>’art. </w:t>
      </w:r>
      <w:r w:rsidRPr="00985CB4">
        <w:rPr>
          <w:rStyle w:val="subsection"/>
          <w:rFonts w:cs="Times New Roman"/>
          <w:szCs w:val="24"/>
        </w:rPr>
        <w:t>10, la disposition sur l</w:t>
      </w:r>
      <w:r>
        <w:rPr>
          <w:rStyle w:val="subsection"/>
          <w:rFonts w:cs="Times New Roman"/>
          <w:szCs w:val="24"/>
        </w:rPr>
        <w:t>’</w:t>
      </w:r>
      <w:r w:rsidRPr="00985CB4">
        <w:rPr>
          <w:rStyle w:val="subsection"/>
          <w:rFonts w:cs="Times New Roman"/>
          <w:szCs w:val="24"/>
        </w:rPr>
        <w:t>égalité, le plaignant doit établir que l</w:t>
      </w:r>
      <w:r>
        <w:rPr>
          <w:rStyle w:val="subsection"/>
          <w:rFonts w:cs="Times New Roman"/>
          <w:szCs w:val="24"/>
        </w:rPr>
        <w:t>’</w:t>
      </w:r>
      <w:r w:rsidRPr="00985CB4">
        <w:rPr>
          <w:rStyle w:val="subsection"/>
          <w:rFonts w:cs="Times New Roman"/>
          <w:szCs w:val="24"/>
        </w:rPr>
        <w:t>exercice d</w:t>
      </w:r>
      <w:r>
        <w:rPr>
          <w:rStyle w:val="subsection"/>
          <w:rFonts w:cs="Times New Roman"/>
          <w:szCs w:val="24"/>
        </w:rPr>
        <w:t>’</w:t>
      </w:r>
      <w:r w:rsidRPr="00985CB4">
        <w:rPr>
          <w:rStyle w:val="subsection"/>
          <w:rFonts w:cs="Times New Roman"/>
          <w:szCs w:val="24"/>
        </w:rPr>
        <w:t>une liberté ou d</w:t>
      </w:r>
      <w:r>
        <w:rPr>
          <w:rStyle w:val="subsection"/>
          <w:rFonts w:cs="Times New Roman"/>
          <w:szCs w:val="24"/>
        </w:rPr>
        <w:t>’</w:t>
      </w:r>
      <w:r w:rsidRPr="00985CB4">
        <w:rPr>
          <w:rStyle w:val="subsection"/>
          <w:rFonts w:cs="Times New Roman"/>
          <w:szCs w:val="24"/>
        </w:rPr>
        <w:t xml:space="preserve">un droit garanti par la Charte </w:t>
      </w:r>
      <w:r w:rsidRPr="00985CB4">
        <w:rPr>
          <w:rStyle w:val="subsection"/>
          <w:rFonts w:cs="Times New Roman"/>
          <w:iCs/>
          <w:szCs w:val="24"/>
        </w:rPr>
        <w:t>québécoise, autre que l</w:t>
      </w:r>
      <w:r>
        <w:rPr>
          <w:rStyle w:val="subsection"/>
          <w:rFonts w:cs="Times New Roman"/>
          <w:iCs/>
          <w:szCs w:val="24"/>
        </w:rPr>
        <w:t>’</w:t>
      </w:r>
      <w:r w:rsidRPr="00985CB4">
        <w:rPr>
          <w:rStyle w:val="subsection"/>
          <w:rFonts w:cs="Times New Roman"/>
          <w:iCs/>
          <w:szCs w:val="24"/>
        </w:rPr>
        <w:t>égalité, a été compromis de façon discriminatoire, mais sans avoir à établir que la liberté ou le droit en question a été violé de façon indépendante</w:t>
      </w:r>
      <w:r w:rsidRPr="00985CB4">
        <w:rPr>
          <w:rStyle w:val="subsection"/>
          <w:rFonts w:cs="Times New Roman"/>
          <w:szCs w:val="24"/>
        </w:rPr>
        <w:t xml:space="preserve"> (</w:t>
      </w:r>
      <w:r w:rsidRPr="00985CB4">
        <w:rPr>
          <w:rFonts w:cs="Times New Roman"/>
          <w:i/>
        </w:rPr>
        <w:t>Velk c. McGill University</w:t>
      </w:r>
      <w:r w:rsidRPr="00985CB4">
        <w:rPr>
          <w:rFonts w:cs="Times New Roman"/>
        </w:rPr>
        <w:t xml:space="preserve">, 2011 QCCA 578, 89 C.C.P.B. 175, </w:t>
      </w:r>
      <w:r>
        <w:rPr>
          <w:rFonts w:cs="Times New Roman"/>
        </w:rPr>
        <w:t>par. </w:t>
      </w:r>
      <w:r w:rsidRPr="00985CB4">
        <w:rPr>
          <w:rFonts w:cs="Times New Roman"/>
        </w:rPr>
        <w:t xml:space="preserve">42; </w:t>
      </w:r>
      <w:r w:rsidRPr="00985CB4">
        <w:rPr>
          <w:rFonts w:cs="Times New Roman"/>
          <w:i/>
        </w:rPr>
        <w:t>Commission scolaire St</w:t>
      </w:r>
      <w:r>
        <w:rPr>
          <w:rFonts w:cs="Times New Roman"/>
          <w:i/>
        </w:rPr>
        <w:noBreakHyphen/>
      </w:r>
      <w:r w:rsidRPr="00985CB4">
        <w:rPr>
          <w:rFonts w:cs="Times New Roman"/>
          <w:i/>
        </w:rPr>
        <w:t>Jean</w:t>
      </w:r>
      <w:r>
        <w:rPr>
          <w:rFonts w:cs="Times New Roman"/>
          <w:i/>
        </w:rPr>
        <w:noBreakHyphen/>
      </w:r>
      <w:r w:rsidRPr="00985CB4">
        <w:rPr>
          <w:rFonts w:cs="Times New Roman"/>
          <w:i/>
        </w:rPr>
        <w:t>sur</w:t>
      </w:r>
      <w:r>
        <w:rPr>
          <w:rFonts w:cs="Times New Roman"/>
          <w:i/>
        </w:rPr>
        <w:noBreakHyphen/>
      </w:r>
      <w:r w:rsidRPr="00985CB4">
        <w:rPr>
          <w:rFonts w:cs="Times New Roman"/>
          <w:i/>
        </w:rPr>
        <w:t>Richelieu c. Commission des droits de la personne du Québec</w:t>
      </w:r>
      <w:r w:rsidRPr="00985CB4">
        <w:rPr>
          <w:rFonts w:cs="Times New Roman"/>
        </w:rPr>
        <w:t xml:space="preserve">, [1994] R.J.Q. 1227 (C.A.), </w:t>
      </w:r>
      <w:r>
        <w:rPr>
          <w:rFonts w:cs="Times New Roman"/>
        </w:rPr>
        <w:t>p. 1243</w:t>
      </w:r>
      <w:r w:rsidRPr="00985CB4">
        <w:rPr>
          <w:rFonts w:cs="Times New Roman"/>
        </w:rPr>
        <w:t>; voir aussi David Robitaille, « Non</w:t>
      </w:r>
      <w:r>
        <w:rPr>
          <w:rFonts w:cs="Times New Roman"/>
        </w:rPr>
        <w:noBreakHyphen/>
      </w:r>
      <w:r w:rsidRPr="00985CB4">
        <w:rPr>
          <w:rFonts w:cs="Times New Roman"/>
        </w:rPr>
        <w:t>indépendance et autonomie de la norme d</w:t>
      </w:r>
      <w:r>
        <w:rPr>
          <w:rFonts w:cs="Times New Roman"/>
        </w:rPr>
        <w:t>’</w:t>
      </w:r>
      <w:r w:rsidRPr="00985CB4">
        <w:rPr>
          <w:rFonts w:cs="Times New Roman"/>
        </w:rPr>
        <w:t>égalité québécoise</w:t>
      </w:r>
      <w:r>
        <w:rPr>
          <w:rFonts w:cs="Times New Roman"/>
        </w:rPr>
        <w:t> :</w:t>
      </w:r>
      <w:r w:rsidRPr="00985CB4">
        <w:rPr>
          <w:rFonts w:cs="Times New Roman"/>
        </w:rPr>
        <w:t xml:space="preserve"> Des concepts “fondateurs” qui méritent d</w:t>
      </w:r>
      <w:r>
        <w:rPr>
          <w:rFonts w:cs="Times New Roman"/>
        </w:rPr>
        <w:t>’</w:t>
      </w:r>
      <w:r w:rsidRPr="00985CB4">
        <w:rPr>
          <w:rFonts w:cs="Times New Roman"/>
        </w:rPr>
        <w:t xml:space="preserve">être mieux connus » (2004), 35 </w:t>
      </w:r>
      <w:r w:rsidRPr="00985CB4">
        <w:rPr>
          <w:rFonts w:cs="Times New Roman"/>
          <w:i/>
        </w:rPr>
        <w:t>R.D.U.S.</w:t>
      </w:r>
      <w:r w:rsidRPr="00985CB4">
        <w:rPr>
          <w:rFonts w:cs="Times New Roman"/>
        </w:rPr>
        <w:t xml:space="preserve"> 103, </w:t>
      </w:r>
      <w:r>
        <w:rPr>
          <w:rFonts w:cs="Times New Roman"/>
        </w:rPr>
        <w:t>p. </w:t>
      </w:r>
      <w:r w:rsidRPr="00985CB4">
        <w:rPr>
          <w:rFonts w:cs="Times New Roman"/>
        </w:rPr>
        <w:t>111</w:t>
      </w:r>
      <w:r>
        <w:rPr>
          <w:rFonts w:cs="Times New Roman"/>
        </w:rPr>
        <w:noBreakHyphen/>
      </w:r>
      <w:r w:rsidRPr="00985CB4">
        <w:rPr>
          <w:rFonts w:cs="Times New Roman"/>
        </w:rPr>
        <w:t>113;</w:t>
      </w:r>
      <w:r w:rsidRPr="00985CB4">
        <w:rPr>
          <w:rStyle w:val="subsection"/>
          <w:rFonts w:cs="Times New Roman"/>
          <w:szCs w:val="24"/>
        </w:rPr>
        <w:t xml:space="preserve"> </w:t>
      </w:r>
      <w:r w:rsidRPr="00985CB4">
        <w:rPr>
          <w:rFonts w:cs="Times New Roman"/>
        </w:rPr>
        <w:t xml:space="preserve">Christian Brunelle, « Pour une restructuration de la </w:t>
      </w:r>
      <w:r w:rsidRPr="00985CB4">
        <w:rPr>
          <w:rFonts w:cs="Times New Roman"/>
          <w:i/>
        </w:rPr>
        <w:t>Charte</w:t>
      </w:r>
      <w:r w:rsidRPr="00985CB4">
        <w:rPr>
          <w:rFonts w:cs="Times New Roman"/>
        </w:rPr>
        <w:t xml:space="preserve"> </w:t>
      </w:r>
      <w:r w:rsidRPr="00985CB4">
        <w:rPr>
          <w:rFonts w:cs="Times New Roman"/>
          <w:i/>
        </w:rPr>
        <w:t>québécoise</w:t>
      </w:r>
      <w:r w:rsidRPr="00985CB4">
        <w:rPr>
          <w:rFonts w:cs="Times New Roman"/>
        </w:rPr>
        <w:t xml:space="preserve">? », dans </w:t>
      </w:r>
      <w:r w:rsidRPr="00985CB4">
        <w:rPr>
          <w:rFonts w:cs="Times New Roman"/>
          <w:i/>
        </w:rPr>
        <w:t>Mélanges en l</w:t>
      </w:r>
      <w:r>
        <w:rPr>
          <w:rFonts w:cs="Times New Roman"/>
          <w:i/>
        </w:rPr>
        <w:t>’</w:t>
      </w:r>
      <w:r w:rsidRPr="00985CB4">
        <w:rPr>
          <w:rFonts w:cs="Times New Roman"/>
          <w:i/>
        </w:rPr>
        <w:t>honneur de Jacques</w:t>
      </w:r>
      <w:r>
        <w:rPr>
          <w:rFonts w:cs="Times New Roman"/>
          <w:i/>
        </w:rPr>
        <w:noBreakHyphen/>
      </w:r>
      <w:r w:rsidRPr="00985CB4">
        <w:rPr>
          <w:rFonts w:cs="Times New Roman"/>
          <w:i/>
        </w:rPr>
        <w:t>Yvan Morin</w:t>
      </w:r>
      <w:r w:rsidRPr="00985CB4">
        <w:rPr>
          <w:rFonts w:cs="Times New Roman"/>
        </w:rPr>
        <w:t xml:space="preserve">, [2015] </w:t>
      </w:r>
      <w:r w:rsidRPr="00985CB4">
        <w:rPr>
          <w:rFonts w:cs="Times New Roman"/>
          <w:i/>
        </w:rPr>
        <w:t xml:space="preserve">R.Q.D.I. </w:t>
      </w:r>
      <w:r w:rsidRPr="00985CB4">
        <w:rPr>
          <w:rFonts w:cs="Times New Roman"/>
        </w:rPr>
        <w:t>(hors</w:t>
      </w:r>
      <w:r>
        <w:rPr>
          <w:rFonts w:cs="Times New Roman"/>
        </w:rPr>
        <w:noBreakHyphen/>
      </w:r>
      <w:r w:rsidRPr="00985CB4">
        <w:rPr>
          <w:rFonts w:cs="Times New Roman"/>
        </w:rPr>
        <w:t xml:space="preserve">série) 199, </w:t>
      </w:r>
      <w:r>
        <w:rPr>
          <w:rFonts w:cs="Times New Roman"/>
        </w:rPr>
        <w:t>p. </w:t>
      </w:r>
      <w:r w:rsidRPr="00985CB4">
        <w:rPr>
          <w:rFonts w:cs="Times New Roman"/>
        </w:rPr>
        <w:t>213).</w:t>
      </w:r>
    </w:p>
    <w:p w14:paraId="07124A34"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Si le plaignant est en mesure d</w:t>
      </w:r>
      <w:r>
        <w:rPr>
          <w:rFonts w:cs="Times New Roman"/>
        </w:rPr>
        <w:t>’</w:t>
      </w:r>
      <w:r w:rsidRPr="00985CB4">
        <w:rPr>
          <w:rFonts w:cs="Times New Roman"/>
        </w:rPr>
        <w:t>établir qu</w:t>
      </w:r>
      <w:r>
        <w:rPr>
          <w:rFonts w:cs="Times New Roman"/>
        </w:rPr>
        <w:t>’</w:t>
      </w:r>
      <w:r w:rsidRPr="00985CB4">
        <w:rPr>
          <w:rFonts w:cs="Times New Roman"/>
        </w:rPr>
        <w:t xml:space="preserve">il y a discrimination </w:t>
      </w:r>
      <w:r w:rsidRPr="00985CB4">
        <w:rPr>
          <w:rFonts w:cs="Times New Roman"/>
          <w:i/>
        </w:rPr>
        <w:t xml:space="preserve">prima facie </w:t>
      </w:r>
      <w:r w:rsidRPr="00985CB4">
        <w:rPr>
          <w:rFonts w:cs="Times New Roman"/>
        </w:rPr>
        <w:t>selon la prépondérance des probabilités, le défendeur a le droit de « présenter une défense de justification, dont la preuve lui incombe » (</w:t>
      </w:r>
      <w:r w:rsidRPr="00985CB4">
        <w:rPr>
          <w:rFonts w:cs="Times New Roman"/>
          <w:i/>
        </w:rPr>
        <w:t>Bombardier</w:t>
      </w:r>
      <w:r w:rsidRPr="00985CB4">
        <w:rPr>
          <w:rFonts w:cs="Times New Roman"/>
        </w:rPr>
        <w:t xml:space="preserve">, </w:t>
      </w:r>
      <w:r>
        <w:rPr>
          <w:rFonts w:cs="Times New Roman"/>
        </w:rPr>
        <w:t>par. </w:t>
      </w:r>
      <w:r w:rsidRPr="00985CB4">
        <w:rPr>
          <w:rFonts w:cs="Times New Roman"/>
        </w:rPr>
        <w:t>58). À cette étape, le fardeau de la preuve est transféré au défendeur, qui doit alors « justifier sa décision ou sa conduite en invoquant les exemptions prévues par la loi sur les droits de la personne applicable ou celles développées par la jurisprudence » (</w:t>
      </w:r>
      <w:r>
        <w:rPr>
          <w:rFonts w:cs="Times New Roman"/>
        </w:rPr>
        <w:t>par. </w:t>
      </w:r>
      <w:r w:rsidRPr="00985CB4">
        <w:rPr>
          <w:rFonts w:cs="Times New Roman"/>
        </w:rPr>
        <w:t>37).</w:t>
      </w:r>
    </w:p>
    <w:p w14:paraId="63B55EF1"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Tel qu</w:t>
      </w:r>
      <w:r>
        <w:rPr>
          <w:rFonts w:cs="Times New Roman"/>
        </w:rPr>
        <w:t>’</w:t>
      </w:r>
      <w:r w:rsidRPr="00985CB4">
        <w:rPr>
          <w:rFonts w:cs="Times New Roman"/>
        </w:rPr>
        <w:t>indiqué dans l</w:t>
      </w:r>
      <w:r>
        <w:rPr>
          <w:rFonts w:cs="Times New Roman"/>
        </w:rPr>
        <w:t>’</w:t>
      </w:r>
      <w:r w:rsidRPr="00985CB4">
        <w:rPr>
          <w:rFonts w:cs="Times New Roman"/>
        </w:rPr>
        <w:t xml:space="preserve">arrêt </w:t>
      </w:r>
      <w:r w:rsidRPr="00985CB4">
        <w:rPr>
          <w:rFonts w:cs="Times New Roman"/>
          <w:i/>
        </w:rPr>
        <w:t>Bombardier</w:t>
      </w:r>
      <w:r w:rsidRPr="00985CB4">
        <w:rPr>
          <w:rFonts w:cs="Times New Roman"/>
        </w:rPr>
        <w:t>, cette démarche est compatible avec l</w:t>
      </w:r>
      <w:r>
        <w:rPr>
          <w:rFonts w:cs="Times New Roman"/>
        </w:rPr>
        <w:t>’</w:t>
      </w:r>
      <w:r w:rsidRPr="00985CB4">
        <w:rPr>
          <w:rFonts w:cs="Times New Roman"/>
        </w:rPr>
        <w:t>application par notre Cour de l</w:t>
      </w:r>
      <w:r>
        <w:rPr>
          <w:rFonts w:cs="Times New Roman"/>
        </w:rPr>
        <w:t>’</w:t>
      </w:r>
      <w:r w:rsidRPr="00985CB4">
        <w:rPr>
          <w:rFonts w:cs="Times New Roman"/>
        </w:rPr>
        <w:t>analyse relative à la discrimination partout au pays et elle s</w:t>
      </w:r>
      <w:r>
        <w:rPr>
          <w:rFonts w:cs="Times New Roman"/>
        </w:rPr>
        <w:t>’</w:t>
      </w:r>
      <w:r w:rsidRPr="00985CB4">
        <w:rPr>
          <w:rFonts w:cs="Times New Roman"/>
        </w:rPr>
        <w:t>accorde avec l</w:t>
      </w:r>
      <w:r>
        <w:rPr>
          <w:rFonts w:cs="Times New Roman"/>
        </w:rPr>
        <w:t>’</w:t>
      </w:r>
      <w:r w:rsidRPr="00985CB4">
        <w:rPr>
          <w:rFonts w:cs="Times New Roman"/>
        </w:rPr>
        <w:t>approche de la Cour qui consiste à « privilégie[r] [. . .] une interprétation cohérente des diverses lois provinciales en matière de droits de la personne, sauf intention contraire du législateur » (</w:t>
      </w:r>
      <w:r>
        <w:rPr>
          <w:rFonts w:cs="Times New Roman"/>
        </w:rPr>
        <w:t>par. </w:t>
      </w:r>
      <w:r w:rsidRPr="00985CB4">
        <w:rPr>
          <w:rFonts w:cs="Times New Roman"/>
        </w:rPr>
        <w:t xml:space="preserve">31; voir, </w:t>
      </w:r>
      <w:r>
        <w:rPr>
          <w:rFonts w:cs="Times New Roman"/>
        </w:rPr>
        <w:t>p. </w:t>
      </w:r>
      <w:r w:rsidRPr="00985CB4">
        <w:rPr>
          <w:rFonts w:cs="Times New Roman"/>
        </w:rPr>
        <w:t xml:space="preserve">ex., </w:t>
      </w:r>
      <w:r w:rsidRPr="00985CB4">
        <w:rPr>
          <w:rFonts w:cs="Times New Roman"/>
          <w:i/>
        </w:rPr>
        <w:t>Colombie</w:t>
      </w:r>
      <w:r>
        <w:rPr>
          <w:rFonts w:cs="Times New Roman"/>
          <w:i/>
        </w:rPr>
        <w:noBreakHyphen/>
      </w:r>
      <w:r w:rsidRPr="00985CB4">
        <w:rPr>
          <w:rFonts w:cs="Times New Roman"/>
          <w:i/>
        </w:rPr>
        <w:t>Britannique (Public Service Employee Relations Commission) c. BCGSEU</w:t>
      </w:r>
      <w:r w:rsidRPr="00985CB4">
        <w:rPr>
          <w:rFonts w:cs="Times New Roman"/>
        </w:rPr>
        <w:t>,</w:t>
      </w:r>
      <w:r w:rsidRPr="00985CB4">
        <w:rPr>
          <w:rFonts w:cs="Times New Roman"/>
          <w:i/>
        </w:rPr>
        <w:t xml:space="preserve"> </w:t>
      </w:r>
      <w:r w:rsidRPr="00985CB4">
        <w:rPr>
          <w:rFonts w:cs="Times New Roman"/>
        </w:rPr>
        <w:t xml:space="preserve">[1999] 3 R.C.S. 3, </w:t>
      </w:r>
      <w:r>
        <w:rPr>
          <w:rFonts w:cs="Times New Roman"/>
        </w:rPr>
        <w:t>par. </w:t>
      </w:r>
      <w:r w:rsidRPr="00985CB4">
        <w:rPr>
          <w:rFonts w:cs="Times New Roman"/>
        </w:rPr>
        <w:t xml:space="preserve">2; </w:t>
      </w:r>
      <w:r w:rsidRPr="00985CB4">
        <w:rPr>
          <w:rFonts w:cs="Times New Roman"/>
          <w:i/>
        </w:rPr>
        <w:t>Centre universitaire de santé McGill (Hôpital général de Montréal) c. Syndicat des employés de l</w:t>
      </w:r>
      <w:r>
        <w:rPr>
          <w:rFonts w:cs="Times New Roman"/>
          <w:i/>
        </w:rPr>
        <w:t>’</w:t>
      </w:r>
      <w:r w:rsidRPr="00985CB4">
        <w:rPr>
          <w:rFonts w:cs="Times New Roman"/>
          <w:i/>
        </w:rPr>
        <w:t>Hôpital général de Montréal</w:t>
      </w:r>
      <w:r w:rsidRPr="00985CB4">
        <w:rPr>
          <w:rFonts w:cs="Times New Roman"/>
        </w:rPr>
        <w:t xml:space="preserve">, [2007] 1 R.C.S. 161, </w:t>
      </w:r>
      <w:r>
        <w:rPr>
          <w:rFonts w:cs="Times New Roman"/>
        </w:rPr>
        <w:t>par. </w:t>
      </w:r>
      <w:r w:rsidRPr="00985CB4">
        <w:rPr>
          <w:rFonts w:cs="Times New Roman"/>
        </w:rPr>
        <w:t>44, la juge Abella, motifs concordants;</w:t>
      </w:r>
      <w:r w:rsidRPr="00985CB4">
        <w:rPr>
          <w:rFonts w:cs="Times New Roman"/>
          <w:i/>
        </w:rPr>
        <w:t xml:space="preserve"> Moore c. Colombie</w:t>
      </w:r>
      <w:r>
        <w:rPr>
          <w:rFonts w:cs="Times New Roman"/>
          <w:i/>
        </w:rPr>
        <w:noBreakHyphen/>
      </w:r>
      <w:r w:rsidRPr="00985CB4">
        <w:rPr>
          <w:rFonts w:cs="Times New Roman"/>
          <w:i/>
        </w:rPr>
        <w:t>Britannique (Éducation)</w:t>
      </w:r>
      <w:r w:rsidRPr="00985CB4">
        <w:rPr>
          <w:rFonts w:cs="Times New Roman"/>
        </w:rPr>
        <w:t xml:space="preserve">, [2012] 3 R.C.S. 360; </w:t>
      </w:r>
      <w:r w:rsidRPr="00985CB4">
        <w:rPr>
          <w:rFonts w:cs="Times New Roman"/>
          <w:i/>
        </w:rPr>
        <w:t>Colombie</w:t>
      </w:r>
      <w:r>
        <w:rPr>
          <w:rFonts w:cs="Times New Roman"/>
          <w:i/>
        </w:rPr>
        <w:noBreakHyphen/>
      </w:r>
      <w:r w:rsidRPr="00985CB4">
        <w:rPr>
          <w:rFonts w:cs="Times New Roman"/>
          <w:i/>
        </w:rPr>
        <w:t>Britannique (Superintendent of Motor Vehicles) c. Colombie</w:t>
      </w:r>
      <w:r>
        <w:rPr>
          <w:rFonts w:cs="Times New Roman"/>
          <w:i/>
        </w:rPr>
        <w:noBreakHyphen/>
      </w:r>
      <w:r w:rsidRPr="00985CB4">
        <w:rPr>
          <w:rFonts w:cs="Times New Roman"/>
          <w:i/>
        </w:rPr>
        <w:t>Britannique (Council of Human Rights)</w:t>
      </w:r>
      <w:r w:rsidRPr="00985CB4">
        <w:rPr>
          <w:rFonts w:cs="Times New Roman"/>
        </w:rPr>
        <w:t xml:space="preserve">, [1999] 3 R.C.S. 868, </w:t>
      </w:r>
      <w:r>
        <w:rPr>
          <w:rFonts w:cs="Times New Roman"/>
        </w:rPr>
        <w:t>par. </w:t>
      </w:r>
      <w:r w:rsidRPr="00985CB4">
        <w:rPr>
          <w:rFonts w:cs="Times New Roman"/>
        </w:rPr>
        <w:t>20).</w:t>
      </w:r>
    </w:p>
    <w:p w14:paraId="40082A47"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Nous prenons note du désaccord en Cour d</w:t>
      </w:r>
      <w:r>
        <w:rPr>
          <w:rFonts w:cs="Times New Roman"/>
        </w:rPr>
        <w:t>’</w:t>
      </w:r>
      <w:r w:rsidRPr="00985CB4">
        <w:rPr>
          <w:rFonts w:cs="Times New Roman"/>
        </w:rPr>
        <w:t>appel quant à l</w:t>
      </w:r>
      <w:r>
        <w:rPr>
          <w:rFonts w:cs="Times New Roman"/>
        </w:rPr>
        <w:t>’</w:t>
      </w:r>
      <w:r w:rsidRPr="00985CB4">
        <w:rPr>
          <w:rFonts w:cs="Times New Roman"/>
        </w:rPr>
        <w:t>endroit où la mise en balance prescrite par l</w:t>
      </w:r>
      <w:r>
        <w:rPr>
          <w:rFonts w:cs="Times New Roman"/>
        </w:rPr>
        <w:t>’art. </w:t>
      </w:r>
      <w:r w:rsidRPr="00985CB4">
        <w:rPr>
          <w:rFonts w:cs="Times New Roman"/>
        </w:rPr>
        <w:t xml:space="preserve">9.1 de la </w:t>
      </w:r>
      <w:r w:rsidRPr="00985CB4">
        <w:rPr>
          <w:rFonts w:cs="Times New Roman"/>
          <w:i/>
        </w:rPr>
        <w:t>Charte</w:t>
      </w:r>
      <w:r w:rsidRPr="00985CB4">
        <w:rPr>
          <w:rFonts w:cs="Times New Roman"/>
        </w:rPr>
        <w:t xml:space="preserve"> québécoise doit se faire dans le cadre de l</w:t>
      </w:r>
      <w:r>
        <w:rPr>
          <w:rFonts w:cs="Times New Roman"/>
        </w:rPr>
        <w:t>’</w:t>
      </w:r>
      <w:r w:rsidRPr="00985CB4">
        <w:rPr>
          <w:rFonts w:cs="Times New Roman"/>
        </w:rPr>
        <w:t xml:space="preserve">analyse énoncée dans </w:t>
      </w:r>
      <w:r w:rsidRPr="00985CB4">
        <w:rPr>
          <w:rFonts w:cs="Times New Roman"/>
          <w:i/>
        </w:rPr>
        <w:t>Bombardier</w:t>
      </w:r>
      <w:r w:rsidRPr="00985CB4">
        <w:rPr>
          <w:rFonts w:cs="Times New Roman"/>
        </w:rPr>
        <w:t>. Selon la juge dissidente de la Cour d</w:t>
      </w:r>
      <w:r>
        <w:rPr>
          <w:rFonts w:cs="Times New Roman"/>
        </w:rPr>
        <w:t>’</w:t>
      </w:r>
      <w:r w:rsidRPr="00985CB4">
        <w:rPr>
          <w:rFonts w:cs="Times New Roman"/>
        </w:rPr>
        <w:t>appel, le Tribunal a eu tort de ne pas effectuer cette mise en balance à l</w:t>
      </w:r>
      <w:r>
        <w:rPr>
          <w:rFonts w:cs="Times New Roman"/>
        </w:rPr>
        <w:t>’</w:t>
      </w:r>
      <w:r w:rsidRPr="00985CB4">
        <w:rPr>
          <w:rFonts w:cs="Times New Roman"/>
        </w:rPr>
        <w:t>étape de la détermination de l</w:t>
      </w:r>
      <w:r>
        <w:rPr>
          <w:rFonts w:cs="Times New Roman"/>
        </w:rPr>
        <w:t>’</w:t>
      </w:r>
      <w:r w:rsidRPr="00985CB4">
        <w:rPr>
          <w:rFonts w:cs="Times New Roman"/>
        </w:rPr>
        <w:t xml:space="preserve">existence de discrimination </w:t>
      </w:r>
      <w:r w:rsidRPr="00985CB4">
        <w:rPr>
          <w:rFonts w:cs="Times New Roman"/>
          <w:i/>
        </w:rPr>
        <w:t>prima facie</w:t>
      </w:r>
      <w:r w:rsidRPr="00985CB4">
        <w:rPr>
          <w:rFonts w:cs="Times New Roman"/>
        </w:rPr>
        <w:t xml:space="preserve"> (</w:t>
      </w:r>
      <w:r>
        <w:rPr>
          <w:rFonts w:cs="Times New Roman"/>
        </w:rPr>
        <w:t>par. </w:t>
      </w:r>
      <w:r w:rsidRPr="00985CB4">
        <w:rPr>
          <w:rFonts w:cs="Times New Roman"/>
        </w:rPr>
        <w:t>99), tandis que les juges majoritaires ont conclu qu</w:t>
      </w:r>
      <w:r>
        <w:rPr>
          <w:rFonts w:cs="Times New Roman"/>
        </w:rPr>
        <w:t>’</w:t>
      </w:r>
      <w:r w:rsidRPr="00985CB4">
        <w:rPr>
          <w:rFonts w:cs="Times New Roman"/>
        </w:rPr>
        <w:t>il convenait plutôt d</w:t>
      </w:r>
      <w:r>
        <w:rPr>
          <w:rFonts w:cs="Times New Roman"/>
        </w:rPr>
        <w:t>’</w:t>
      </w:r>
      <w:r w:rsidRPr="00985CB4">
        <w:rPr>
          <w:rFonts w:cs="Times New Roman"/>
        </w:rPr>
        <w:t>y procéder à l</w:t>
      </w:r>
      <w:r>
        <w:rPr>
          <w:rFonts w:cs="Times New Roman"/>
        </w:rPr>
        <w:t>’</w:t>
      </w:r>
      <w:r w:rsidRPr="00985CB4">
        <w:rPr>
          <w:rFonts w:cs="Times New Roman"/>
        </w:rPr>
        <w:t>étape de la justification (</w:t>
      </w:r>
      <w:r>
        <w:rPr>
          <w:rFonts w:cs="Times New Roman"/>
        </w:rPr>
        <w:t>par. </w:t>
      </w:r>
      <w:r w:rsidRPr="00985CB4">
        <w:rPr>
          <w:rFonts w:cs="Times New Roman"/>
        </w:rPr>
        <w:t>194). Dans les cas où, comme en l</w:t>
      </w:r>
      <w:r>
        <w:rPr>
          <w:rFonts w:cs="Times New Roman"/>
        </w:rPr>
        <w:t>’</w:t>
      </w:r>
      <w:r w:rsidRPr="00985CB4">
        <w:rPr>
          <w:rFonts w:cs="Times New Roman"/>
        </w:rPr>
        <w:t>espèce, les considérations de part et d</w:t>
      </w:r>
      <w:r>
        <w:rPr>
          <w:rFonts w:cs="Times New Roman"/>
        </w:rPr>
        <w:t>’</w:t>
      </w:r>
      <w:r w:rsidRPr="00985CB4">
        <w:rPr>
          <w:rFonts w:cs="Times New Roman"/>
        </w:rPr>
        <w:t>autre ont été débattues en profondeur par les parties, le fait de procéder à la mise en balance à la première étape — où le fardeau repose sur la Commission —, ou encore à la seconde — où le fardeau incombe au défendeur —, n</w:t>
      </w:r>
      <w:r>
        <w:rPr>
          <w:rFonts w:cs="Times New Roman"/>
        </w:rPr>
        <w:t>’</w:t>
      </w:r>
      <w:r w:rsidRPr="00985CB4">
        <w:rPr>
          <w:rFonts w:cs="Times New Roman"/>
        </w:rPr>
        <w:t>aura généralement pas d</w:t>
      </w:r>
      <w:r>
        <w:rPr>
          <w:rFonts w:cs="Times New Roman"/>
        </w:rPr>
        <w:t>’</w:t>
      </w:r>
      <w:r w:rsidRPr="00985CB4">
        <w:rPr>
          <w:rFonts w:cs="Times New Roman"/>
        </w:rPr>
        <w:t>incidence sur le résultat. C</w:t>
      </w:r>
      <w:r>
        <w:rPr>
          <w:rFonts w:cs="Times New Roman"/>
        </w:rPr>
        <w:t>’</w:t>
      </w:r>
      <w:r w:rsidRPr="00985CB4">
        <w:rPr>
          <w:rFonts w:cs="Times New Roman"/>
        </w:rPr>
        <w:t>est précisément la situation en l</w:t>
      </w:r>
      <w:r>
        <w:rPr>
          <w:rFonts w:cs="Times New Roman"/>
        </w:rPr>
        <w:t>’</w:t>
      </w:r>
      <w:r w:rsidRPr="00985CB4">
        <w:rPr>
          <w:rFonts w:cs="Times New Roman"/>
        </w:rPr>
        <w:t>espèce en ce qui concerne M. Ward.</w:t>
      </w:r>
    </w:p>
    <w:p w14:paraId="144AC0C2"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Pour décider s</w:t>
      </w:r>
      <w:r>
        <w:rPr>
          <w:rFonts w:cs="Times New Roman"/>
        </w:rPr>
        <w:t>’</w:t>
      </w:r>
      <w:r w:rsidRPr="00985CB4">
        <w:rPr>
          <w:rFonts w:cs="Times New Roman"/>
        </w:rPr>
        <w:t xml:space="preserve">il y a eu discrimination </w:t>
      </w:r>
      <w:r w:rsidRPr="00985CB4">
        <w:rPr>
          <w:rFonts w:cs="Times New Roman"/>
          <w:i/>
        </w:rPr>
        <w:t xml:space="preserve">prima facie </w:t>
      </w:r>
      <w:r w:rsidRPr="00985CB4">
        <w:rPr>
          <w:rFonts w:cs="Times New Roman"/>
        </w:rPr>
        <w:t>en l</w:t>
      </w:r>
      <w:r>
        <w:rPr>
          <w:rFonts w:cs="Times New Roman"/>
        </w:rPr>
        <w:t>’</w:t>
      </w:r>
      <w:r w:rsidRPr="00985CB4">
        <w:rPr>
          <w:rFonts w:cs="Times New Roman"/>
        </w:rPr>
        <w:t>espèce, la première étape consiste à déterminer si M. Ward a soumis M. Gabriel à une distinction fondée sur son handica</w:t>
      </w:r>
      <w:r>
        <w:rPr>
          <w:rFonts w:cs="Times New Roman"/>
        </w:rPr>
        <w:t xml:space="preserve">p. </w:t>
      </w:r>
      <w:r w:rsidRPr="00985CB4">
        <w:rPr>
          <w:rFonts w:cs="Times New Roman"/>
        </w:rPr>
        <w:t>Dans l</w:t>
      </w:r>
      <w:r>
        <w:rPr>
          <w:rFonts w:cs="Times New Roman"/>
        </w:rPr>
        <w:t>’</w:t>
      </w:r>
      <w:r w:rsidRPr="00985CB4">
        <w:rPr>
          <w:rFonts w:cs="Times New Roman"/>
        </w:rPr>
        <w:t>affirmative, il faut alors se demander si cette distinction a eu pour effet de porter atteinte au droit à la reconnaissance et à l</w:t>
      </w:r>
      <w:r>
        <w:rPr>
          <w:rFonts w:cs="Times New Roman"/>
        </w:rPr>
        <w:t>’</w:t>
      </w:r>
      <w:r w:rsidRPr="00985CB4">
        <w:rPr>
          <w:rFonts w:cs="Times New Roman"/>
        </w:rPr>
        <w:t>exercice, en pleine égalité, d</w:t>
      </w:r>
      <w:r>
        <w:rPr>
          <w:rFonts w:cs="Times New Roman"/>
        </w:rPr>
        <w:t>’</w:t>
      </w:r>
      <w:r w:rsidRPr="00985CB4">
        <w:rPr>
          <w:rFonts w:cs="Times New Roman"/>
        </w:rPr>
        <w:t xml:space="preserve">un droit protégé par la </w:t>
      </w:r>
      <w:r w:rsidRPr="00985CB4">
        <w:rPr>
          <w:rFonts w:cs="Times New Roman"/>
          <w:i/>
        </w:rPr>
        <w:t>Charte</w:t>
      </w:r>
      <w:r w:rsidRPr="00985CB4">
        <w:rPr>
          <w:rFonts w:cs="Times New Roman"/>
        </w:rPr>
        <w:t xml:space="preserve"> québécoise.</w:t>
      </w:r>
    </w:p>
    <w:p w14:paraId="12D1999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La question de savoir si, dans un cas donné, il y a distinction fondée sur un motif énuméré à l</w:t>
      </w:r>
      <w:r>
        <w:rPr>
          <w:rFonts w:cs="Times New Roman"/>
        </w:rPr>
        <w:t>’art. </w:t>
      </w:r>
      <w:r w:rsidRPr="00985CB4">
        <w:rPr>
          <w:rFonts w:cs="Times New Roman"/>
        </w:rPr>
        <w:t>10 est une question mixte de fait et de droit qui commande la déférence en appel. Il n</w:t>
      </w:r>
      <w:r>
        <w:rPr>
          <w:rFonts w:cs="Times New Roman"/>
        </w:rPr>
        <w:t>’</w:t>
      </w:r>
      <w:r w:rsidRPr="00985CB4">
        <w:rPr>
          <w:rFonts w:cs="Times New Roman"/>
        </w:rPr>
        <w:t xml:space="preserve">y a aucune raison de modifier la conclusion du Tribunal portant que ce premier élément de la discrimination </w:t>
      </w:r>
      <w:r w:rsidRPr="00985CB4">
        <w:rPr>
          <w:rFonts w:cs="Times New Roman"/>
          <w:i/>
        </w:rPr>
        <w:t xml:space="preserve">prima facie </w:t>
      </w:r>
      <w:r w:rsidRPr="00985CB4">
        <w:rPr>
          <w:rFonts w:cs="Times New Roman"/>
        </w:rPr>
        <w:t>a été établi au vu du dossier.</w:t>
      </w:r>
    </w:p>
    <w:p w14:paraId="0DFDD16F"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Le fardeau qui incombe à la Commission à cette étape « est limité aux éléments de préjudice et au lien avec un motif de discrimination prohibé » (</w:t>
      </w:r>
      <w:r w:rsidRPr="00985CB4">
        <w:rPr>
          <w:rFonts w:cs="Times New Roman"/>
          <w:i/>
        </w:rPr>
        <w:t>Québec (Commission des droits de la personne et des droits de la jeunesse) c. Montréal (Ville)</w:t>
      </w:r>
      <w:r w:rsidRPr="00985CB4">
        <w:rPr>
          <w:rFonts w:cs="Times New Roman"/>
        </w:rPr>
        <w:t>, [2000] 1 R.C.S. 665 (« </w:t>
      </w:r>
      <w:r w:rsidRPr="00985CB4">
        <w:rPr>
          <w:rFonts w:cs="Times New Roman"/>
          <w:i/>
        </w:rPr>
        <w:t>Boisbriand</w:t>
      </w:r>
      <w:r w:rsidRPr="00985CB4">
        <w:rPr>
          <w:rFonts w:cs="Times New Roman"/>
        </w:rPr>
        <w:t xml:space="preserve"> »), </w:t>
      </w:r>
      <w:r>
        <w:rPr>
          <w:rFonts w:cs="Times New Roman"/>
        </w:rPr>
        <w:t>par. </w:t>
      </w:r>
      <w:r w:rsidRPr="00985CB4">
        <w:rPr>
          <w:rFonts w:cs="Times New Roman"/>
        </w:rPr>
        <w:t>65). Cela signifie que la Commission n</w:t>
      </w:r>
      <w:r>
        <w:rPr>
          <w:rFonts w:cs="Times New Roman"/>
        </w:rPr>
        <w:t>’</w:t>
      </w:r>
      <w:r w:rsidRPr="00985CB4">
        <w:rPr>
          <w:rFonts w:cs="Times New Roman"/>
        </w:rPr>
        <w:t>a pas à démontrer que M. Ward avait l</w:t>
      </w:r>
      <w:r>
        <w:rPr>
          <w:rFonts w:cs="Times New Roman"/>
        </w:rPr>
        <w:t>’</w:t>
      </w:r>
      <w:r w:rsidRPr="00985CB4">
        <w:rPr>
          <w:rFonts w:cs="Times New Roman"/>
        </w:rPr>
        <w:t>intention de cibler M. Gabriel en particulier sur la base de son handicap, ou que la distinction était fondée exclusivement, ou même principalement, sur son handica</w:t>
      </w:r>
      <w:r>
        <w:rPr>
          <w:rFonts w:cs="Times New Roman"/>
        </w:rPr>
        <w:t xml:space="preserve">p. </w:t>
      </w:r>
      <w:r w:rsidRPr="00985CB4">
        <w:rPr>
          <w:rFonts w:cs="Times New Roman"/>
        </w:rPr>
        <w:t>Il suffit qu</w:t>
      </w:r>
      <w:r>
        <w:rPr>
          <w:rFonts w:cs="Times New Roman"/>
        </w:rPr>
        <w:t>’</w:t>
      </w:r>
      <w:r w:rsidRPr="00985CB4">
        <w:rPr>
          <w:rFonts w:cs="Times New Roman"/>
        </w:rPr>
        <w:t>il y ait un lien entre la distinction et le motif (</w:t>
      </w:r>
      <w:r w:rsidRPr="00985CB4">
        <w:rPr>
          <w:rFonts w:cs="Times New Roman"/>
          <w:i/>
        </w:rPr>
        <w:t>Bombardier</w:t>
      </w:r>
      <w:r w:rsidRPr="00985CB4">
        <w:rPr>
          <w:rFonts w:cs="Times New Roman"/>
        </w:rPr>
        <w:t>,</w:t>
      </w:r>
      <w:r w:rsidRPr="00985CB4">
        <w:rPr>
          <w:rFonts w:cs="Times New Roman"/>
          <w:i/>
        </w:rPr>
        <w:t xml:space="preserve"> </w:t>
      </w:r>
      <w:r>
        <w:rPr>
          <w:rFonts w:cs="Times New Roman"/>
        </w:rPr>
        <w:t>par. </w:t>
      </w:r>
      <w:r w:rsidRPr="00985CB4">
        <w:rPr>
          <w:rFonts w:cs="Times New Roman"/>
        </w:rPr>
        <w:t>41 et 45</w:t>
      </w:r>
      <w:r>
        <w:rPr>
          <w:rFonts w:cs="Times New Roman"/>
        </w:rPr>
        <w:noBreakHyphen/>
      </w:r>
      <w:r w:rsidRPr="00985CB4">
        <w:rPr>
          <w:rFonts w:cs="Times New Roman"/>
        </w:rPr>
        <w:t>47). Comme l</w:t>
      </w:r>
      <w:r>
        <w:rPr>
          <w:rFonts w:cs="Times New Roman"/>
        </w:rPr>
        <w:t>’</w:t>
      </w:r>
      <w:r w:rsidRPr="00985CB4">
        <w:rPr>
          <w:rFonts w:cs="Times New Roman"/>
        </w:rPr>
        <w:t xml:space="preserve">a affirmé notre Cour dans </w:t>
      </w:r>
      <w:r w:rsidRPr="00985CB4">
        <w:rPr>
          <w:rFonts w:cs="Times New Roman"/>
          <w:i/>
        </w:rPr>
        <w:t>Janzen c. Platy Enterprises Ltd.</w:t>
      </w:r>
      <w:r w:rsidRPr="00985CB4">
        <w:rPr>
          <w:rFonts w:cs="Times New Roman"/>
        </w:rPr>
        <w:t>,</w:t>
      </w:r>
      <w:r w:rsidRPr="00985CB4">
        <w:rPr>
          <w:rFonts w:cs="Times New Roman"/>
          <w:i/>
        </w:rPr>
        <w:t xml:space="preserve"> </w:t>
      </w:r>
      <w:r w:rsidRPr="00985CB4">
        <w:rPr>
          <w:rFonts w:cs="Times New Roman"/>
        </w:rPr>
        <w:t>[1989] 1 R.C.S. 1252, pour qu</w:t>
      </w:r>
      <w:r>
        <w:rPr>
          <w:rFonts w:cs="Times New Roman"/>
        </w:rPr>
        <w:t>’</w:t>
      </w:r>
      <w:r w:rsidRPr="00985CB4">
        <w:rPr>
          <w:rFonts w:cs="Times New Roman"/>
        </w:rPr>
        <w:t>une distinction soit fondée sur un motif énuméré, « [i]l suffit que l</w:t>
      </w:r>
      <w:r>
        <w:rPr>
          <w:rFonts w:cs="Times New Roman"/>
        </w:rPr>
        <w:t>’</w:t>
      </w:r>
      <w:r w:rsidRPr="00985CB4">
        <w:rPr>
          <w:rFonts w:cs="Times New Roman"/>
        </w:rPr>
        <w:t>attribution d</w:t>
      </w:r>
      <w:r>
        <w:rPr>
          <w:rFonts w:cs="Times New Roman"/>
        </w:rPr>
        <w:t>’</w:t>
      </w:r>
      <w:r w:rsidRPr="00985CB4">
        <w:rPr>
          <w:rFonts w:cs="Times New Roman"/>
        </w:rPr>
        <w:t xml:space="preserve">une caractéristique du groupe visé à un de ses membres en particulier constitue </w:t>
      </w:r>
      <w:r w:rsidRPr="00985CB4">
        <w:rPr>
          <w:rFonts w:cs="Times New Roman"/>
          <w:u w:val="single"/>
        </w:rPr>
        <w:t>un facteur du traitement</w:t>
      </w:r>
      <w:r w:rsidRPr="00985CB4">
        <w:rPr>
          <w:rFonts w:cs="Times New Roman"/>
        </w:rPr>
        <w:t xml:space="preserve"> dont il fait l</w:t>
      </w:r>
      <w:r>
        <w:rPr>
          <w:rFonts w:cs="Times New Roman"/>
        </w:rPr>
        <w:t>’</w:t>
      </w:r>
      <w:r w:rsidRPr="00985CB4">
        <w:rPr>
          <w:rFonts w:cs="Times New Roman"/>
        </w:rPr>
        <w:t>objet » (</w:t>
      </w:r>
      <w:r>
        <w:rPr>
          <w:rFonts w:cs="Times New Roman"/>
        </w:rPr>
        <w:t>p. </w:t>
      </w:r>
      <w:r w:rsidRPr="00985CB4">
        <w:rPr>
          <w:rFonts w:cs="Times New Roman"/>
        </w:rPr>
        <w:t>1288</w:t>
      </w:r>
      <w:r>
        <w:rPr>
          <w:rFonts w:cs="Times New Roman"/>
        </w:rPr>
        <w:noBreakHyphen/>
      </w:r>
      <w:r w:rsidRPr="00985CB4">
        <w:rPr>
          <w:rFonts w:cs="Times New Roman"/>
        </w:rPr>
        <w:t xml:space="preserve">1289 (nous soulignons); voir aussi </w:t>
      </w:r>
      <w:r w:rsidRPr="00985CB4">
        <w:rPr>
          <w:rFonts w:cs="Times New Roman"/>
          <w:i/>
        </w:rPr>
        <w:t>Desroches c. Commission des droits de la personne</w:t>
      </w:r>
      <w:r w:rsidRPr="00985CB4">
        <w:rPr>
          <w:rFonts w:cs="Times New Roman"/>
        </w:rPr>
        <w:t>,</w:t>
      </w:r>
      <w:r w:rsidRPr="00985CB4">
        <w:rPr>
          <w:rFonts w:cs="Times New Roman"/>
          <w:i/>
        </w:rPr>
        <w:t xml:space="preserve"> </w:t>
      </w:r>
      <w:r w:rsidRPr="00985CB4">
        <w:rPr>
          <w:rFonts w:cs="Times New Roman"/>
        </w:rPr>
        <w:t>[1997] R.J.Q. 1540 (C.A.)).</w:t>
      </w:r>
    </w:p>
    <w:p w14:paraId="5D583CCE"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Le Tribunal a statué à maintes reprises que le fait de proférer une insulte ouvertement discriminatoire constitue une « distinction, exclusion ou préférence » fondée sur un motif énuméré (voir, </w:t>
      </w:r>
      <w:r>
        <w:rPr>
          <w:rFonts w:cs="Times New Roman"/>
        </w:rPr>
        <w:t>p. </w:t>
      </w:r>
      <w:r w:rsidRPr="00985CB4">
        <w:rPr>
          <w:rFonts w:cs="Times New Roman"/>
        </w:rPr>
        <w:t xml:space="preserve">ex., </w:t>
      </w:r>
      <w:r w:rsidRPr="00985CB4">
        <w:rPr>
          <w:rFonts w:cs="Times New Roman"/>
          <w:i/>
        </w:rPr>
        <w:t>Commission des droits de la personne et des droits de la jeunesse c. Remorquage Sud</w:t>
      </w:r>
      <w:r>
        <w:rPr>
          <w:rFonts w:cs="Times New Roman"/>
          <w:i/>
        </w:rPr>
        <w:noBreakHyphen/>
      </w:r>
      <w:r w:rsidRPr="00985CB4">
        <w:rPr>
          <w:rFonts w:cs="Times New Roman"/>
          <w:i/>
        </w:rPr>
        <w:t>Ouest (9148</w:t>
      </w:r>
      <w:r>
        <w:rPr>
          <w:rFonts w:cs="Times New Roman"/>
          <w:i/>
        </w:rPr>
        <w:noBreakHyphen/>
      </w:r>
      <w:r w:rsidRPr="00985CB4">
        <w:rPr>
          <w:rFonts w:cs="Times New Roman"/>
          <w:i/>
        </w:rPr>
        <w:t>7314 Québec inc.)</w:t>
      </w:r>
      <w:r w:rsidRPr="00985CB4">
        <w:rPr>
          <w:rFonts w:cs="Times New Roman"/>
        </w:rPr>
        <w:t xml:space="preserve">, 2010 QCTDP 12; </w:t>
      </w:r>
      <w:r w:rsidRPr="00985CB4">
        <w:rPr>
          <w:rFonts w:cs="Times New Roman"/>
          <w:i/>
        </w:rPr>
        <w:t>St</w:t>
      </w:r>
      <w:r>
        <w:rPr>
          <w:rFonts w:cs="Times New Roman"/>
          <w:i/>
        </w:rPr>
        <w:noBreakHyphen/>
      </w:r>
      <w:r w:rsidRPr="00985CB4">
        <w:rPr>
          <w:rFonts w:cs="Times New Roman"/>
          <w:i/>
        </w:rPr>
        <w:t>Éloi c. Rivard</w:t>
      </w:r>
      <w:r w:rsidRPr="00985CB4">
        <w:rPr>
          <w:rFonts w:cs="Times New Roman"/>
        </w:rPr>
        <w:t>,</w:t>
      </w:r>
      <w:r w:rsidRPr="00985CB4">
        <w:rPr>
          <w:rFonts w:cs="Times New Roman"/>
          <w:i/>
        </w:rPr>
        <w:t xml:space="preserve"> </w:t>
      </w:r>
      <w:r w:rsidRPr="00985CB4">
        <w:rPr>
          <w:rFonts w:cs="Times New Roman"/>
        </w:rPr>
        <w:t xml:space="preserve">2018 QCTDP 2). Toutefois, il a également statué que des propos qui ne sont pas des insultes explicites peuvent constituer de la discrimination eu égard à la façon dont une personne faisant partie du groupe marginalisé en cause les comprendrait (voir, généralement, </w:t>
      </w:r>
      <w:r w:rsidRPr="00985CB4">
        <w:rPr>
          <w:rFonts w:cs="Times New Roman"/>
          <w:i/>
        </w:rPr>
        <w:t>Commission des droits de la personne et des droits de la jeunesse c. Camirand</w:t>
      </w:r>
      <w:r w:rsidRPr="00985CB4">
        <w:rPr>
          <w:rFonts w:cs="Times New Roman"/>
        </w:rPr>
        <w:t xml:space="preserve">, 2008 QCTDP 11, </w:t>
      </w:r>
      <w:r>
        <w:rPr>
          <w:rFonts w:cs="Times New Roman"/>
        </w:rPr>
        <w:t>par. </w:t>
      </w:r>
      <w:r w:rsidRPr="00985CB4">
        <w:rPr>
          <w:rFonts w:cs="Times New Roman"/>
        </w:rPr>
        <w:t xml:space="preserve">39 (CanLII); </w:t>
      </w:r>
      <w:r w:rsidRPr="00985CB4">
        <w:rPr>
          <w:rFonts w:cs="Times New Roman"/>
          <w:i/>
        </w:rPr>
        <w:t>Commission des droits de la personne et des droits de la jeunesse c. Paradis</w:t>
      </w:r>
      <w:r w:rsidRPr="00985CB4">
        <w:rPr>
          <w:rFonts w:cs="Times New Roman"/>
        </w:rPr>
        <w:t xml:space="preserve">, 2016 QCTDP 17, </w:t>
      </w:r>
      <w:r>
        <w:rPr>
          <w:rFonts w:cs="Times New Roman"/>
        </w:rPr>
        <w:t>par. </w:t>
      </w:r>
      <w:r w:rsidRPr="00985CB4">
        <w:rPr>
          <w:rFonts w:cs="Times New Roman"/>
        </w:rPr>
        <w:t xml:space="preserve">149 (CanLII); </w:t>
      </w:r>
      <w:r w:rsidRPr="00985CB4">
        <w:rPr>
          <w:rFonts w:cs="Times New Roman"/>
          <w:i/>
        </w:rPr>
        <w:t>Commission des droits de la personne et des droits de la jeunesse c. Quenneville</w:t>
      </w:r>
      <w:r w:rsidRPr="00985CB4">
        <w:rPr>
          <w:rFonts w:cs="Times New Roman"/>
        </w:rPr>
        <w:t xml:space="preserve">, 2019 QCTDP 18; </w:t>
      </w:r>
      <w:r w:rsidRPr="00985CB4">
        <w:rPr>
          <w:rFonts w:cs="Times New Roman"/>
          <w:i/>
        </w:rPr>
        <w:t>De Gaston c. Wojcik</w:t>
      </w:r>
      <w:r w:rsidRPr="00985CB4">
        <w:rPr>
          <w:rFonts w:cs="Times New Roman"/>
        </w:rPr>
        <w:t xml:space="preserve">, 2012 QCTDP 20; </w:t>
      </w:r>
      <w:r w:rsidRPr="00985CB4">
        <w:rPr>
          <w:rFonts w:cs="Times New Roman"/>
          <w:i/>
        </w:rPr>
        <w:t>Commission des droits de la personne et des droits de la jeunesse c. Brisson</w:t>
      </w:r>
      <w:r w:rsidRPr="00985CB4">
        <w:rPr>
          <w:rFonts w:cs="Times New Roman"/>
        </w:rPr>
        <w:t xml:space="preserve">, 2009 QCTDP 3, </w:t>
      </w:r>
      <w:r>
        <w:rPr>
          <w:rFonts w:cs="Times New Roman"/>
        </w:rPr>
        <w:t>par. </w:t>
      </w:r>
      <w:r w:rsidRPr="00985CB4">
        <w:rPr>
          <w:rFonts w:cs="Times New Roman"/>
        </w:rPr>
        <w:t>42 (CanLII)).</w:t>
      </w:r>
    </w:p>
    <w:p w14:paraId="1D218E7E"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Les blagues de M. Ward au sujet de M. Gabriel étaient de toute évidence des insultes péjoratives basées sur le handicap de ce dernier. Monsieur</w:t>
      </w:r>
      <w:r>
        <w:rPr>
          <w:rFonts w:cs="Times New Roman"/>
        </w:rPr>
        <w:t xml:space="preserve"> </w:t>
      </w:r>
      <w:r w:rsidRPr="00985CB4">
        <w:rPr>
          <w:rFonts w:cs="Times New Roman"/>
        </w:rPr>
        <w:t>Ward a qualifié Jérémy Gabriel de « pas beau qui chante », et il s</w:t>
      </w:r>
      <w:r>
        <w:rPr>
          <w:rFonts w:cs="Times New Roman"/>
        </w:rPr>
        <w:t>’</w:t>
      </w:r>
      <w:r w:rsidRPr="00985CB4">
        <w:rPr>
          <w:rFonts w:cs="Times New Roman"/>
        </w:rPr>
        <w:t>est moqué de lui en disant qu</w:t>
      </w:r>
      <w:r>
        <w:rPr>
          <w:rFonts w:cs="Times New Roman"/>
        </w:rPr>
        <w:t>’</w:t>
      </w:r>
      <w:r w:rsidRPr="00985CB4">
        <w:rPr>
          <w:rFonts w:cs="Times New Roman"/>
        </w:rPr>
        <w:t>il était incapable de fermer sa bouche au complet (</w:t>
      </w:r>
      <w:r>
        <w:rPr>
          <w:rFonts w:cs="Times New Roman"/>
        </w:rPr>
        <w:t>motifs du T</w:t>
      </w:r>
      <w:r w:rsidRPr="00985CB4">
        <w:rPr>
          <w:rFonts w:cs="Times New Roman"/>
        </w:rPr>
        <w:t xml:space="preserve">ribunal, </w:t>
      </w:r>
      <w:r>
        <w:rPr>
          <w:rFonts w:cs="Times New Roman"/>
        </w:rPr>
        <w:t>par. </w:t>
      </w:r>
      <w:r w:rsidRPr="00985CB4">
        <w:rPr>
          <w:rFonts w:cs="Times New Roman"/>
        </w:rPr>
        <w:t>21) et qu</w:t>
      </w:r>
      <w:r>
        <w:rPr>
          <w:rFonts w:cs="Times New Roman"/>
        </w:rPr>
        <w:t>’</w:t>
      </w:r>
      <w:r w:rsidRPr="00985CB4">
        <w:rPr>
          <w:rFonts w:cs="Times New Roman"/>
        </w:rPr>
        <w:t>il avait un « sub</w:t>
      </w:r>
      <w:r>
        <w:rPr>
          <w:rFonts w:cs="Times New Roman"/>
        </w:rPr>
        <w:noBreakHyphen/>
      </w:r>
      <w:r w:rsidRPr="00985CB4">
        <w:rPr>
          <w:rFonts w:cs="Times New Roman"/>
        </w:rPr>
        <w:t>woofer » (une caisse de son) sur la tête en décrivant un appareil auditif (</w:t>
      </w:r>
      <w:r>
        <w:rPr>
          <w:rFonts w:cs="Times New Roman"/>
        </w:rPr>
        <w:t>par. </w:t>
      </w:r>
      <w:r w:rsidRPr="00985CB4">
        <w:rPr>
          <w:rFonts w:cs="Times New Roman"/>
        </w:rPr>
        <w:t>18). Ses blagues sur sa tentative de noyer M. Gabriel s</w:t>
      </w:r>
      <w:r>
        <w:rPr>
          <w:rFonts w:cs="Times New Roman"/>
        </w:rPr>
        <w:t>’</w:t>
      </w:r>
      <w:r w:rsidRPr="00985CB4">
        <w:rPr>
          <w:rFonts w:cs="Times New Roman"/>
        </w:rPr>
        <w:t>inspiraient de stéréotypes pernicieux voulant que les personnes handicapées soient des objets de pitié et des fardeaux pour la société dont on peut se débarrasser (</w:t>
      </w:r>
      <w:r w:rsidRPr="00985CB4">
        <w:rPr>
          <w:rFonts w:cs="Times New Roman"/>
          <w:i/>
        </w:rPr>
        <w:t>Eldridge c. Colombie</w:t>
      </w:r>
      <w:r>
        <w:rPr>
          <w:rFonts w:cs="Times New Roman"/>
          <w:i/>
        </w:rPr>
        <w:noBreakHyphen/>
      </w:r>
      <w:r w:rsidRPr="00985CB4">
        <w:rPr>
          <w:rFonts w:cs="Times New Roman"/>
          <w:i/>
        </w:rPr>
        <w:t>Britannique (Procureur général)</w:t>
      </w:r>
      <w:r w:rsidRPr="00985CB4">
        <w:rPr>
          <w:rFonts w:cs="Times New Roman"/>
        </w:rPr>
        <w:t>,</w:t>
      </w:r>
      <w:r w:rsidRPr="00985CB4">
        <w:rPr>
          <w:rFonts w:cs="Times New Roman"/>
          <w:i/>
        </w:rPr>
        <w:t xml:space="preserve"> </w:t>
      </w:r>
      <w:r w:rsidRPr="00985CB4">
        <w:rPr>
          <w:rFonts w:cs="Times New Roman"/>
        </w:rPr>
        <w:t xml:space="preserve">[1997] 3 R.C.S. 624, </w:t>
      </w:r>
      <w:r>
        <w:rPr>
          <w:rFonts w:cs="Times New Roman"/>
        </w:rPr>
        <w:t>par. </w:t>
      </w:r>
      <w:r w:rsidRPr="00985CB4">
        <w:rPr>
          <w:rFonts w:cs="Times New Roman"/>
        </w:rPr>
        <w:t xml:space="preserve">56). Des auteurs ont observé ce phénomène, particulièrement en ce qui concerne les mauvais traitements réservés aux enfants handicapés (voir, </w:t>
      </w:r>
      <w:r>
        <w:rPr>
          <w:rFonts w:cs="Times New Roman"/>
        </w:rPr>
        <w:t>p. </w:t>
      </w:r>
      <w:r w:rsidRPr="00985CB4">
        <w:rPr>
          <w:rFonts w:cs="Times New Roman"/>
        </w:rPr>
        <w:t>ex., Susanne</w:t>
      </w:r>
      <w:r>
        <w:rPr>
          <w:rFonts w:cs="Times New Roman"/>
        </w:rPr>
        <w:t xml:space="preserve"> </w:t>
      </w:r>
      <w:r w:rsidRPr="00985CB4">
        <w:rPr>
          <w:rFonts w:cs="Times New Roman"/>
        </w:rPr>
        <w:t xml:space="preserve">Commend, </w:t>
      </w:r>
      <w:r w:rsidRPr="00985CB4">
        <w:rPr>
          <w:rFonts w:cs="Times New Roman"/>
          <w:i/>
        </w:rPr>
        <w:t>« Au secours des petits infirmes »</w:t>
      </w:r>
      <w:r>
        <w:rPr>
          <w:rFonts w:cs="Times New Roman"/>
          <w:i/>
        </w:rPr>
        <w:t> :</w:t>
      </w:r>
      <w:r w:rsidRPr="00985CB4">
        <w:rPr>
          <w:rFonts w:cs="Times New Roman"/>
          <w:i/>
        </w:rPr>
        <w:t xml:space="preserve"> Les enfants handicapés physiques au Québec entre charité et exclusion, 1920</w:t>
      </w:r>
      <w:r>
        <w:rPr>
          <w:rFonts w:cs="Times New Roman"/>
          <w:i/>
        </w:rPr>
        <w:noBreakHyphen/>
      </w:r>
      <w:r w:rsidRPr="00985CB4">
        <w:rPr>
          <w:rFonts w:cs="Times New Roman"/>
          <w:i/>
        </w:rPr>
        <w:t>1990</w:t>
      </w:r>
      <w:r w:rsidRPr="00985CB4">
        <w:rPr>
          <w:rFonts w:cs="Times New Roman"/>
        </w:rPr>
        <w:t>, thèse de doctorat</w:t>
      </w:r>
      <w:r w:rsidRPr="00985CB4">
        <w:rPr>
          <w:rFonts w:cs="Times New Roman"/>
          <w:iCs/>
        </w:rPr>
        <w:t xml:space="preserve"> </w:t>
      </w:r>
      <w:r w:rsidRPr="00985CB4">
        <w:rPr>
          <w:rFonts w:cs="Times New Roman"/>
        </w:rPr>
        <w:t xml:space="preserve">(2018), </w:t>
      </w:r>
      <w:r>
        <w:rPr>
          <w:rFonts w:cs="Times New Roman"/>
        </w:rPr>
        <w:t>p. </w:t>
      </w:r>
      <w:r w:rsidRPr="00985CB4">
        <w:rPr>
          <w:rFonts w:cs="Times New Roman"/>
        </w:rPr>
        <w:t>87).</w:t>
      </w:r>
    </w:p>
    <w:p w14:paraId="2B644194"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Monsieur Ward a plaidé que M. Gabriel n</w:t>
      </w:r>
      <w:r>
        <w:rPr>
          <w:rFonts w:cs="Times New Roman"/>
        </w:rPr>
        <w:t>’</w:t>
      </w:r>
      <w:r w:rsidRPr="00985CB4">
        <w:rPr>
          <w:rFonts w:cs="Times New Roman"/>
        </w:rPr>
        <w:t>avait pas été ciblé de façon particulière parce qu</w:t>
      </w:r>
      <w:r>
        <w:rPr>
          <w:rFonts w:cs="Times New Roman"/>
        </w:rPr>
        <w:t>’</w:t>
      </w:r>
      <w:r w:rsidRPr="00985CB4">
        <w:rPr>
          <w:rFonts w:cs="Times New Roman"/>
        </w:rPr>
        <w:t>il était un enfant handicapé, mais parce qu</w:t>
      </w:r>
      <w:r>
        <w:rPr>
          <w:rFonts w:cs="Times New Roman"/>
        </w:rPr>
        <w:t>’</w:t>
      </w:r>
      <w:r w:rsidRPr="00985CB4">
        <w:rPr>
          <w:rFonts w:cs="Times New Roman"/>
        </w:rPr>
        <w:t>il était une célébrité. Cet argument fait abstraction d</w:t>
      </w:r>
      <w:r>
        <w:rPr>
          <w:rFonts w:cs="Times New Roman"/>
        </w:rPr>
        <w:t>’</w:t>
      </w:r>
      <w:r w:rsidRPr="00985CB4">
        <w:rPr>
          <w:rFonts w:cs="Times New Roman"/>
        </w:rPr>
        <w:t>une réalité fondamentale en l</w:t>
      </w:r>
      <w:r>
        <w:rPr>
          <w:rFonts w:cs="Times New Roman"/>
        </w:rPr>
        <w:t>’</w:t>
      </w:r>
      <w:r w:rsidRPr="00985CB4">
        <w:rPr>
          <w:rFonts w:cs="Times New Roman"/>
        </w:rPr>
        <w:t>espèce</w:t>
      </w:r>
      <w:r>
        <w:rPr>
          <w:rFonts w:cs="Times New Roman"/>
        </w:rPr>
        <w:t> :</w:t>
      </w:r>
      <w:r w:rsidRPr="00985CB4">
        <w:rPr>
          <w:rFonts w:cs="Times New Roman"/>
        </w:rPr>
        <w:t xml:space="preserve"> M. Ward a ciblé des aspects de la personnalité publique de M. Gabriel qui étaient inextricablement liés à son handica</w:t>
      </w:r>
      <w:r>
        <w:rPr>
          <w:rFonts w:cs="Times New Roman"/>
        </w:rPr>
        <w:t xml:space="preserve">p. </w:t>
      </w:r>
      <w:r w:rsidRPr="00985CB4">
        <w:rPr>
          <w:rFonts w:cs="Times New Roman"/>
        </w:rPr>
        <w:t>Par conséquent, ce dernier se distinguait des autres personnalités publiques dont M. Ward s</w:t>
      </w:r>
      <w:r>
        <w:rPr>
          <w:rFonts w:cs="Times New Roman"/>
        </w:rPr>
        <w:t>’</w:t>
      </w:r>
      <w:r w:rsidRPr="00985CB4">
        <w:rPr>
          <w:rFonts w:cs="Times New Roman"/>
        </w:rPr>
        <w:t>est moqué en tant que « vaches sacrées ». Ces réalités ne sauraient être artificiellement écartées de façon à soustraire les propos de M. Ward à un examen judiciaire fondé sur les droits de la personne. Voilà pourquoi le Tribunal a conclu, à juste titre, que tant les capsules vidéo largement diffusées de M. Ward, disponibles jour et nuit à toute personne disposant d</w:t>
      </w:r>
      <w:r>
        <w:rPr>
          <w:rFonts w:cs="Times New Roman"/>
        </w:rPr>
        <w:t>’</w:t>
      </w:r>
      <w:r w:rsidRPr="00985CB4">
        <w:rPr>
          <w:rFonts w:cs="Times New Roman"/>
        </w:rPr>
        <w:t>une connexion Internet, que son spectacle devant public, avaient soumis M. Gabriel à une distinction fondée sur son handica</w:t>
      </w:r>
      <w:r>
        <w:rPr>
          <w:rFonts w:cs="Times New Roman"/>
        </w:rPr>
        <w:t xml:space="preserve">p. </w:t>
      </w:r>
      <w:r w:rsidRPr="00985CB4">
        <w:rPr>
          <w:rFonts w:cs="Times New Roman"/>
        </w:rPr>
        <w:t>Dans ces représentations, M. Ward se moquait explicitement des caractéristiques physiques de M. Gabriel découlant de son handicap, ou traitait d</w:t>
      </w:r>
      <w:r>
        <w:rPr>
          <w:rFonts w:cs="Times New Roman"/>
        </w:rPr>
        <w:t>’</w:t>
      </w:r>
      <w:r w:rsidRPr="00985CB4">
        <w:rPr>
          <w:rFonts w:cs="Times New Roman"/>
        </w:rPr>
        <w:t xml:space="preserve">aspects de sa personnalité publique inextricablement liés à ce handicap (motifs du </w:t>
      </w:r>
      <w:r>
        <w:rPr>
          <w:rFonts w:cs="Times New Roman"/>
        </w:rPr>
        <w:t>T</w:t>
      </w:r>
      <w:r w:rsidRPr="00985CB4">
        <w:rPr>
          <w:rFonts w:cs="Times New Roman"/>
        </w:rPr>
        <w:t xml:space="preserve">ribunal, </w:t>
      </w:r>
      <w:r>
        <w:rPr>
          <w:rFonts w:cs="Times New Roman"/>
        </w:rPr>
        <w:t>par. </w:t>
      </w:r>
      <w:r w:rsidRPr="00985CB4">
        <w:rPr>
          <w:rFonts w:cs="Times New Roman"/>
        </w:rPr>
        <w:t>82).</w:t>
      </w:r>
    </w:p>
    <w:p w14:paraId="4034A162"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Avec égards, l</w:t>
      </w:r>
      <w:r>
        <w:rPr>
          <w:rFonts w:cs="Times New Roman"/>
        </w:rPr>
        <w:t>’</w:t>
      </w:r>
      <w:r w:rsidRPr="00985CB4">
        <w:rPr>
          <w:rFonts w:cs="Times New Roman"/>
        </w:rPr>
        <w:t>idée selon laquelle les propos de M. Ward ne peuvent pas constituer une distinction fondée sur le handicap de M. Gabriel parce que celui</w:t>
      </w:r>
      <w:r>
        <w:rPr>
          <w:rFonts w:cs="Times New Roman"/>
        </w:rPr>
        <w:noBreakHyphen/>
      </w:r>
      <w:r w:rsidRPr="00985CB4">
        <w:rPr>
          <w:rFonts w:cs="Times New Roman"/>
        </w:rPr>
        <w:t>ci a été traité comme n</w:t>
      </w:r>
      <w:r>
        <w:rPr>
          <w:rFonts w:cs="Times New Roman"/>
        </w:rPr>
        <w:t>’</w:t>
      </w:r>
      <w:r w:rsidRPr="00985CB4">
        <w:rPr>
          <w:rFonts w:cs="Times New Roman"/>
        </w:rPr>
        <w:t>importe quelle autre célébrité témoigne d</w:t>
      </w:r>
      <w:r>
        <w:rPr>
          <w:rFonts w:cs="Times New Roman"/>
        </w:rPr>
        <w:t>’</w:t>
      </w:r>
      <w:r w:rsidRPr="00985CB4">
        <w:rPr>
          <w:rFonts w:cs="Times New Roman"/>
        </w:rPr>
        <w:t>une conception discréditée de la discrimination. Dans l</w:t>
      </w:r>
      <w:r>
        <w:rPr>
          <w:rFonts w:cs="Times New Roman"/>
        </w:rPr>
        <w:t>’</w:t>
      </w:r>
      <w:r w:rsidRPr="00985CB4">
        <w:rPr>
          <w:rFonts w:cs="Times New Roman"/>
        </w:rPr>
        <w:t xml:space="preserve">arrêt </w:t>
      </w:r>
      <w:r w:rsidRPr="00985CB4">
        <w:rPr>
          <w:rFonts w:cs="Times New Roman"/>
          <w:i/>
        </w:rPr>
        <w:t>Commission scolaire régionale de Chambly c. Bergevin</w:t>
      </w:r>
      <w:r w:rsidRPr="00985CB4">
        <w:rPr>
          <w:rFonts w:cs="Times New Roman"/>
        </w:rPr>
        <w:t xml:space="preserve">, [1994] 2 R.C.S. 525, </w:t>
      </w:r>
      <w:r>
        <w:rPr>
          <w:rFonts w:cs="Times New Roman"/>
        </w:rPr>
        <w:t>p. </w:t>
      </w:r>
      <w:r w:rsidRPr="00985CB4">
        <w:rPr>
          <w:rFonts w:cs="Times New Roman"/>
        </w:rPr>
        <w:t>540, notre Cour a confirmé que, suivant l</w:t>
      </w:r>
      <w:r>
        <w:rPr>
          <w:rFonts w:cs="Times New Roman"/>
        </w:rPr>
        <w:t>’art. </w:t>
      </w:r>
      <w:r w:rsidRPr="00985CB4">
        <w:rPr>
          <w:rFonts w:cs="Times New Roman"/>
        </w:rPr>
        <w:t xml:space="preserve">10 de la </w:t>
      </w:r>
      <w:r w:rsidRPr="00985CB4">
        <w:rPr>
          <w:rFonts w:cs="Times New Roman"/>
          <w:i/>
        </w:rPr>
        <w:t>Charte</w:t>
      </w:r>
      <w:r w:rsidRPr="00985CB4">
        <w:rPr>
          <w:rFonts w:cs="Times New Roman"/>
        </w:rPr>
        <w:t xml:space="preserve"> québécoise — tout comme dans le droit relatif à la discrimination dans l</w:t>
      </w:r>
      <w:r>
        <w:rPr>
          <w:rFonts w:cs="Times New Roman"/>
        </w:rPr>
        <w:t>’</w:t>
      </w:r>
      <w:r w:rsidRPr="00985CB4">
        <w:rPr>
          <w:rFonts w:cs="Times New Roman"/>
        </w:rPr>
        <w:t>ensemble du Canada — un traitement uniforme qui ne fait pas de place aux différences peut constituer une distinction interdite. Comme l</w:t>
      </w:r>
      <w:r>
        <w:rPr>
          <w:rFonts w:cs="Times New Roman"/>
        </w:rPr>
        <w:t>’</w:t>
      </w:r>
      <w:r w:rsidRPr="00985CB4">
        <w:rPr>
          <w:rFonts w:cs="Times New Roman"/>
        </w:rPr>
        <w:t xml:space="preserve">a expliqué le juge McIntyre dans </w:t>
      </w:r>
      <w:r w:rsidRPr="00985CB4">
        <w:rPr>
          <w:rFonts w:cs="Times New Roman"/>
          <w:i/>
        </w:rPr>
        <w:t>Andrews c. Law Society of British Columbia</w:t>
      </w:r>
      <w:r w:rsidRPr="00985CB4">
        <w:rPr>
          <w:rFonts w:cs="Times New Roman"/>
        </w:rPr>
        <w:t>,</w:t>
      </w:r>
      <w:r w:rsidRPr="00985CB4">
        <w:rPr>
          <w:rFonts w:cs="Times New Roman"/>
          <w:i/>
        </w:rPr>
        <w:t xml:space="preserve"> </w:t>
      </w:r>
      <w:r w:rsidRPr="00985CB4">
        <w:rPr>
          <w:rFonts w:cs="Times New Roman"/>
        </w:rPr>
        <w:t>[1989] 1 R.C.S. 143, [</w:t>
      </w:r>
      <w:r w:rsidRPr="00985CB4">
        <w:rPr>
          <w:rFonts w:cs="Times New Roman"/>
          <w:smallCaps/>
        </w:rPr>
        <w:t>traduction</w:t>
      </w:r>
      <w:r w:rsidRPr="00985CB4">
        <w:rPr>
          <w:rFonts w:cs="Times New Roman"/>
        </w:rPr>
        <w:t>] « il n</w:t>
      </w:r>
      <w:r>
        <w:rPr>
          <w:rFonts w:cs="Times New Roman"/>
        </w:rPr>
        <w:t>’</w:t>
      </w:r>
      <w:r w:rsidRPr="00985CB4">
        <w:rPr>
          <w:rFonts w:cs="Times New Roman"/>
        </w:rPr>
        <w:t>y [a] pas de plus grande inégalité que l</w:t>
      </w:r>
      <w:r>
        <w:rPr>
          <w:rFonts w:cs="Times New Roman"/>
        </w:rPr>
        <w:t>’</w:t>
      </w:r>
      <w:r w:rsidRPr="00985CB4">
        <w:rPr>
          <w:rFonts w:cs="Times New Roman"/>
        </w:rPr>
        <w:t>égalité de traitement entre individus inégaux » (</w:t>
      </w:r>
      <w:r>
        <w:rPr>
          <w:rFonts w:cs="Times New Roman"/>
        </w:rPr>
        <w:t>p. </w:t>
      </w:r>
      <w:r w:rsidRPr="00985CB4">
        <w:rPr>
          <w:rFonts w:cs="Times New Roman"/>
        </w:rPr>
        <w:t xml:space="preserve">164, citant </w:t>
      </w:r>
      <w:r w:rsidRPr="00985CB4">
        <w:rPr>
          <w:rFonts w:cs="Times New Roman"/>
          <w:i/>
        </w:rPr>
        <w:t>Dennis c. United States</w:t>
      </w:r>
      <w:r w:rsidRPr="00985CB4">
        <w:rPr>
          <w:rFonts w:cs="Times New Roman"/>
        </w:rPr>
        <w:t xml:space="preserve">, 339 U.S. 162 (1950), </w:t>
      </w:r>
      <w:r>
        <w:rPr>
          <w:rFonts w:cs="Times New Roman"/>
        </w:rPr>
        <w:t>p. </w:t>
      </w:r>
      <w:r w:rsidRPr="00985CB4">
        <w:rPr>
          <w:rFonts w:cs="Times New Roman"/>
        </w:rPr>
        <w:t>184), de sorte que, pour éviter une telle iniquité, « la principale considération » dont doivent tenir compte les tribunaux saisis de demandes alléguant la discrimination doit être « l</w:t>
      </w:r>
      <w:r>
        <w:rPr>
          <w:rFonts w:cs="Times New Roman"/>
        </w:rPr>
        <w:t>’</w:t>
      </w:r>
      <w:r w:rsidRPr="00985CB4">
        <w:rPr>
          <w:rFonts w:cs="Times New Roman"/>
        </w:rPr>
        <w:t>effet [. . .] sur l</w:t>
      </w:r>
      <w:r>
        <w:rPr>
          <w:rFonts w:cs="Times New Roman"/>
        </w:rPr>
        <w:t>’</w:t>
      </w:r>
      <w:r w:rsidRPr="00985CB4">
        <w:rPr>
          <w:rFonts w:cs="Times New Roman"/>
        </w:rPr>
        <w:t>individu [. . .] concerné » (</w:t>
      </w:r>
      <w:r>
        <w:rPr>
          <w:rFonts w:cs="Times New Roman"/>
        </w:rPr>
        <w:t>p. </w:t>
      </w:r>
      <w:r w:rsidRPr="00985CB4">
        <w:rPr>
          <w:rFonts w:cs="Times New Roman"/>
        </w:rPr>
        <w:t>165). Par conséquent, il y aura distinction fondée sur un motif interdit chaque fois qu</w:t>
      </w:r>
      <w:r>
        <w:rPr>
          <w:rFonts w:cs="Times New Roman"/>
        </w:rPr>
        <w:t>’</w:t>
      </w:r>
      <w:r w:rsidRPr="00985CB4">
        <w:rPr>
          <w:rFonts w:cs="Times New Roman"/>
        </w:rPr>
        <w:t>un demandeur se voit imposer « un fardeau que d</w:t>
      </w:r>
      <w:r>
        <w:rPr>
          <w:rFonts w:cs="Times New Roman"/>
        </w:rPr>
        <w:t>’</w:t>
      </w:r>
      <w:r w:rsidRPr="00985CB4">
        <w:rPr>
          <w:rFonts w:cs="Times New Roman"/>
        </w:rPr>
        <w:t>autres n</w:t>
      </w:r>
      <w:r>
        <w:rPr>
          <w:rFonts w:cs="Times New Roman"/>
        </w:rPr>
        <w:t>’</w:t>
      </w:r>
      <w:r w:rsidRPr="00985CB4">
        <w:rPr>
          <w:rFonts w:cs="Times New Roman"/>
        </w:rPr>
        <w:t>ont pas, en raison d</w:t>
      </w:r>
      <w:r>
        <w:rPr>
          <w:rFonts w:cs="Times New Roman"/>
        </w:rPr>
        <w:t>’</w:t>
      </w:r>
      <w:r w:rsidRPr="00985CB4">
        <w:rPr>
          <w:rFonts w:cs="Times New Roman"/>
        </w:rPr>
        <w:t>une caractéristique personnelle correspondant à un motif énuméré » (</w:t>
      </w:r>
      <w:r w:rsidRPr="00985CB4">
        <w:rPr>
          <w:rFonts w:cs="Times New Roman"/>
          <w:i/>
        </w:rPr>
        <w:t>Withler c. Canada (Procureur général)</w:t>
      </w:r>
      <w:r w:rsidRPr="00985CB4">
        <w:rPr>
          <w:rFonts w:cs="Times New Roman"/>
        </w:rPr>
        <w:t xml:space="preserve">, [2011] 1 R.C.S. 396, </w:t>
      </w:r>
      <w:r>
        <w:rPr>
          <w:rFonts w:cs="Times New Roman"/>
        </w:rPr>
        <w:t>par. </w:t>
      </w:r>
      <w:r w:rsidRPr="00985CB4">
        <w:rPr>
          <w:rFonts w:cs="Times New Roman"/>
        </w:rPr>
        <w:t xml:space="preserve">62; voir aussi </w:t>
      </w:r>
      <w:r w:rsidRPr="00985CB4">
        <w:rPr>
          <w:rFonts w:cs="Times New Roman"/>
          <w:i/>
        </w:rPr>
        <w:t>Boisbriand</w:t>
      </w:r>
      <w:r w:rsidRPr="00985CB4">
        <w:rPr>
          <w:rFonts w:cs="Times New Roman"/>
        </w:rPr>
        <w:t xml:space="preserve">, </w:t>
      </w:r>
      <w:r>
        <w:rPr>
          <w:rFonts w:cs="Times New Roman"/>
        </w:rPr>
        <w:t>par. </w:t>
      </w:r>
      <w:r w:rsidRPr="00985CB4">
        <w:rPr>
          <w:rFonts w:cs="Times New Roman"/>
        </w:rPr>
        <w:t xml:space="preserve">65; </w:t>
      </w:r>
      <w:r w:rsidRPr="00985CB4">
        <w:rPr>
          <w:rFonts w:cs="Times New Roman"/>
          <w:i/>
          <w:szCs w:val="24"/>
        </w:rPr>
        <w:t>Mouvement laïque québécois c. Saguenay (Ville)</w:t>
      </w:r>
      <w:r w:rsidRPr="00985CB4">
        <w:rPr>
          <w:rFonts w:cs="Times New Roman"/>
          <w:szCs w:val="24"/>
        </w:rPr>
        <w:t xml:space="preserve">, [2015] 2 R.C.S. 3, </w:t>
      </w:r>
      <w:r>
        <w:rPr>
          <w:rFonts w:cs="Times New Roman"/>
          <w:szCs w:val="24"/>
        </w:rPr>
        <w:t>par. </w:t>
      </w:r>
      <w:r w:rsidRPr="00985CB4">
        <w:rPr>
          <w:rFonts w:cs="Times New Roman"/>
          <w:szCs w:val="24"/>
        </w:rPr>
        <w:t>120</w:t>
      </w:r>
      <w:r w:rsidRPr="00985CB4">
        <w:rPr>
          <w:rFonts w:cs="Times New Roman"/>
        </w:rPr>
        <w:t>).</w:t>
      </w:r>
    </w:p>
    <w:p w14:paraId="3E20058B" w14:textId="77777777" w:rsidR="00116CBE" w:rsidRPr="00985CB4" w:rsidRDefault="00116CBE" w:rsidP="00116CBE">
      <w:pPr>
        <w:pStyle w:val="ParaNoNdepar-AltN"/>
        <w:rPr>
          <w:rFonts w:cs="Times New Roman"/>
        </w:rPr>
      </w:pPr>
      <w:r w:rsidRPr="00985CB4">
        <w:rPr>
          <w:rFonts w:cs="Times New Roman"/>
        </w:rPr>
        <w:t>À cette étape de l</w:t>
      </w:r>
      <w:r>
        <w:rPr>
          <w:rFonts w:cs="Times New Roman"/>
        </w:rPr>
        <w:t>’</w:t>
      </w:r>
      <w:r w:rsidRPr="00985CB4">
        <w:rPr>
          <w:rFonts w:cs="Times New Roman"/>
        </w:rPr>
        <w:t>analyse, il importe peu que M. Ward ait eu ou non l</w:t>
      </w:r>
      <w:r>
        <w:rPr>
          <w:rFonts w:cs="Times New Roman"/>
        </w:rPr>
        <w:t>’</w:t>
      </w:r>
      <w:r w:rsidRPr="00985CB4">
        <w:rPr>
          <w:rFonts w:cs="Times New Roman"/>
        </w:rPr>
        <w:t>intention de se moquer de M. Gabriel parce que celui</w:t>
      </w:r>
      <w:r>
        <w:rPr>
          <w:rFonts w:cs="Times New Roman"/>
        </w:rPr>
        <w:noBreakHyphen/>
      </w:r>
      <w:r w:rsidRPr="00985CB4">
        <w:rPr>
          <w:rFonts w:cs="Times New Roman"/>
        </w:rPr>
        <w:t>ci avait un handicap, que M. Ward ait parlé à la blague ou sérieusement ou que M. Gabriel ait été l</w:t>
      </w:r>
      <w:r>
        <w:rPr>
          <w:rFonts w:cs="Times New Roman"/>
        </w:rPr>
        <w:t>’</w:t>
      </w:r>
      <w:r w:rsidRPr="00985CB4">
        <w:rPr>
          <w:rFonts w:cs="Times New Roman"/>
        </w:rPr>
        <w:t>objet de railleries de la même façon que d</w:t>
      </w:r>
      <w:r>
        <w:rPr>
          <w:rFonts w:cs="Times New Roman"/>
        </w:rPr>
        <w:t>’</w:t>
      </w:r>
      <w:r w:rsidRPr="00985CB4">
        <w:rPr>
          <w:rFonts w:cs="Times New Roman"/>
        </w:rPr>
        <w:t>autres célébrités. La question en litige n</w:t>
      </w:r>
      <w:r>
        <w:rPr>
          <w:rFonts w:cs="Times New Roman"/>
        </w:rPr>
        <w:t>’</w:t>
      </w:r>
      <w:r w:rsidRPr="00985CB4">
        <w:rPr>
          <w:rFonts w:cs="Times New Roman"/>
        </w:rPr>
        <w:t>est pas l</w:t>
      </w:r>
      <w:r>
        <w:rPr>
          <w:rFonts w:cs="Times New Roman"/>
        </w:rPr>
        <w:t>’</w:t>
      </w:r>
      <w:r w:rsidRPr="00985CB4">
        <w:rPr>
          <w:rFonts w:cs="Times New Roman"/>
        </w:rPr>
        <w:t>intention exprimée par M. Ward, à savoir qu</w:t>
      </w:r>
      <w:r>
        <w:rPr>
          <w:rFonts w:cs="Times New Roman"/>
        </w:rPr>
        <w:t>’</w:t>
      </w:r>
      <w:r w:rsidRPr="00985CB4">
        <w:rPr>
          <w:rFonts w:cs="Times New Roman"/>
        </w:rPr>
        <w:t>il ne voulait pas se livrer à de la discrimination à l</w:t>
      </w:r>
      <w:r>
        <w:rPr>
          <w:rFonts w:cs="Times New Roman"/>
        </w:rPr>
        <w:t>’</w:t>
      </w:r>
      <w:r w:rsidRPr="00985CB4">
        <w:rPr>
          <w:rFonts w:cs="Times New Roman"/>
        </w:rPr>
        <w:t>endroit de M. Gabriel</w:t>
      </w:r>
      <w:r w:rsidRPr="00985CB4">
        <w:rPr>
          <w:rFonts w:cs="Times New Roman"/>
          <w:i/>
        </w:rPr>
        <w:t xml:space="preserve"> </w:t>
      </w:r>
      <w:r w:rsidRPr="00985CB4">
        <w:rPr>
          <w:rFonts w:cs="Times New Roman"/>
        </w:rPr>
        <w:t>(</w:t>
      </w:r>
      <w:r w:rsidRPr="00985CB4">
        <w:rPr>
          <w:rFonts w:cs="Times New Roman"/>
          <w:i/>
        </w:rPr>
        <w:t>Commission ontarienne des droits de la personne c. Simpsons</w:t>
      </w:r>
      <w:r>
        <w:rPr>
          <w:rFonts w:cs="Times New Roman"/>
          <w:i/>
        </w:rPr>
        <w:noBreakHyphen/>
      </w:r>
      <w:r w:rsidRPr="00985CB4">
        <w:rPr>
          <w:rFonts w:cs="Times New Roman"/>
          <w:i/>
        </w:rPr>
        <w:t>Sears Ltd.</w:t>
      </w:r>
      <w:r w:rsidRPr="00985CB4">
        <w:rPr>
          <w:rFonts w:cs="Times New Roman"/>
        </w:rPr>
        <w:t>, [1985] 2 R.C.S. 536). La question en litige est l</w:t>
      </w:r>
      <w:r>
        <w:rPr>
          <w:rFonts w:cs="Times New Roman"/>
        </w:rPr>
        <w:t>’</w:t>
      </w:r>
      <w:r w:rsidRPr="00985CB4">
        <w:rPr>
          <w:rFonts w:cs="Times New Roman"/>
          <w:i/>
        </w:rPr>
        <w:t>effet</w:t>
      </w:r>
      <w:r w:rsidRPr="00985CB4">
        <w:rPr>
          <w:rFonts w:cs="Times New Roman"/>
        </w:rPr>
        <w:t xml:space="preserve"> qu</w:t>
      </w:r>
      <w:r>
        <w:rPr>
          <w:rFonts w:cs="Times New Roman"/>
        </w:rPr>
        <w:t>’</w:t>
      </w:r>
      <w:r w:rsidRPr="00985CB4">
        <w:rPr>
          <w:rFonts w:cs="Times New Roman"/>
        </w:rPr>
        <w:t>ont eu les propos de M. Ward sur cet enfant handicapé. Dans les circonstances, et avec égards pour l</w:t>
      </w:r>
      <w:r>
        <w:rPr>
          <w:rFonts w:cs="Times New Roman"/>
        </w:rPr>
        <w:t>’</w:t>
      </w:r>
      <w:r w:rsidRPr="00985CB4">
        <w:rPr>
          <w:rFonts w:cs="Times New Roman"/>
        </w:rPr>
        <w:t>opinion contraire, nous ne sommes pas d</w:t>
      </w:r>
      <w:r>
        <w:rPr>
          <w:rFonts w:cs="Times New Roman"/>
        </w:rPr>
        <w:t>’</w:t>
      </w:r>
      <w:r w:rsidRPr="00985CB4">
        <w:rPr>
          <w:rFonts w:cs="Times New Roman"/>
        </w:rPr>
        <w:t>accord que le Tribunal a eu tort de conclure à l</w:t>
      </w:r>
      <w:r>
        <w:rPr>
          <w:rFonts w:cs="Times New Roman"/>
        </w:rPr>
        <w:t>’</w:t>
      </w:r>
      <w:r w:rsidRPr="00985CB4">
        <w:rPr>
          <w:rFonts w:cs="Times New Roman"/>
        </w:rPr>
        <w:t>existence d</w:t>
      </w:r>
      <w:r>
        <w:rPr>
          <w:rFonts w:cs="Times New Roman"/>
        </w:rPr>
        <w:t>’</w:t>
      </w:r>
      <w:r w:rsidRPr="00985CB4">
        <w:rPr>
          <w:rFonts w:cs="Times New Roman"/>
        </w:rPr>
        <w:t>une distinction fondée sur un motif énuméré, et encore moins pour dire qu</w:t>
      </w:r>
      <w:r>
        <w:rPr>
          <w:rFonts w:cs="Times New Roman"/>
        </w:rPr>
        <w:t>’</w:t>
      </w:r>
      <w:r w:rsidRPr="00985CB4">
        <w:rPr>
          <w:rFonts w:cs="Times New Roman"/>
        </w:rPr>
        <w:t>il a commis une erreur manifeste et déterminante.</w:t>
      </w:r>
    </w:p>
    <w:p w14:paraId="6D817046" w14:textId="77777777" w:rsidR="00116CBE" w:rsidRPr="00985CB4" w:rsidRDefault="00116CBE" w:rsidP="00116CBE">
      <w:pPr>
        <w:pStyle w:val="ParaNoNdepar-AltN"/>
        <w:tabs>
          <w:tab w:val="clear" w:pos="1152"/>
          <w:tab w:val="left" w:pos="1166"/>
          <w:tab w:val="left" w:pos="4140"/>
        </w:tabs>
        <w:rPr>
          <w:rFonts w:cs="Times New Roman"/>
        </w:rPr>
      </w:pPr>
      <w:r w:rsidRPr="00985CB4">
        <w:rPr>
          <w:rFonts w:cs="Times New Roman"/>
        </w:rPr>
        <w:t>En conséquence, l</w:t>
      </w:r>
      <w:r>
        <w:rPr>
          <w:rFonts w:cs="Times New Roman"/>
        </w:rPr>
        <w:t>’</w:t>
      </w:r>
      <w:r w:rsidRPr="00985CB4">
        <w:rPr>
          <w:rFonts w:cs="Times New Roman"/>
        </w:rPr>
        <w:t xml:space="preserve">existence de discrimination </w:t>
      </w:r>
      <w:r w:rsidRPr="00985CB4">
        <w:rPr>
          <w:rFonts w:cs="Times New Roman"/>
          <w:i/>
        </w:rPr>
        <w:t xml:space="preserve">prima facie </w:t>
      </w:r>
      <w:r w:rsidRPr="00985CB4">
        <w:rPr>
          <w:rFonts w:cs="Times New Roman"/>
        </w:rPr>
        <w:t>dépend de la réponse à la question de savoir si cette distinction a eu pour effet de porter atteinte au droit de M. Gabriel à la reconnaissance, en pleine égalité, du droit que lui garantit l</w:t>
      </w:r>
      <w:r>
        <w:rPr>
          <w:rFonts w:cs="Times New Roman"/>
        </w:rPr>
        <w:t>’art. </w:t>
      </w:r>
      <w:r w:rsidRPr="00985CB4">
        <w:rPr>
          <w:rFonts w:cs="Times New Roman"/>
        </w:rPr>
        <w:t>4, conformément à l</w:t>
      </w:r>
      <w:r>
        <w:rPr>
          <w:rFonts w:cs="Times New Roman"/>
        </w:rPr>
        <w:t>’art. </w:t>
      </w:r>
      <w:r w:rsidRPr="00985CB4">
        <w:rPr>
          <w:rFonts w:cs="Times New Roman"/>
        </w:rPr>
        <w:t xml:space="preserve">10 de la </w:t>
      </w:r>
      <w:r w:rsidRPr="00985CB4">
        <w:rPr>
          <w:rFonts w:cs="Times New Roman"/>
          <w:i/>
        </w:rPr>
        <w:t xml:space="preserve">Charte </w:t>
      </w:r>
      <w:r w:rsidRPr="00985CB4">
        <w:rPr>
          <w:rFonts w:cs="Times New Roman"/>
        </w:rPr>
        <w:t>québécoise.</w:t>
      </w:r>
      <w:r w:rsidRPr="00985CB4">
        <w:rPr>
          <w:rFonts w:cs="Times New Roman"/>
          <w:i/>
          <w:iCs/>
        </w:rPr>
        <w:t xml:space="preserve"> </w:t>
      </w:r>
      <w:r w:rsidRPr="00985CB4">
        <w:rPr>
          <w:rFonts w:cs="Times New Roman"/>
        </w:rPr>
        <w:t>Les parties et les juges des instances inférieures ne s</w:t>
      </w:r>
      <w:r>
        <w:rPr>
          <w:rFonts w:cs="Times New Roman"/>
        </w:rPr>
        <w:t>’</w:t>
      </w:r>
      <w:r w:rsidRPr="00985CB4">
        <w:rPr>
          <w:rFonts w:cs="Times New Roman"/>
        </w:rPr>
        <w:t>entendent pas sur la norme à laquelle devaient satisfaire les propos de M. Ward pour donner ouverture à un recours pour violation de l</w:t>
      </w:r>
      <w:r>
        <w:rPr>
          <w:rFonts w:cs="Times New Roman"/>
        </w:rPr>
        <w:t>’</w:t>
      </w:r>
      <w:r w:rsidRPr="00985CB4">
        <w:rPr>
          <w:rFonts w:cs="Times New Roman"/>
        </w:rPr>
        <w:t>interdiction de discriminer.</w:t>
      </w:r>
    </w:p>
    <w:p w14:paraId="19BD11E9"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Monsieur</w:t>
      </w:r>
      <w:r>
        <w:rPr>
          <w:rFonts w:cs="Times New Roman"/>
        </w:rPr>
        <w:t xml:space="preserve"> </w:t>
      </w:r>
      <w:r w:rsidRPr="00985CB4">
        <w:rPr>
          <w:rFonts w:cs="Times New Roman"/>
        </w:rPr>
        <w:t>Ward invoque l</w:t>
      </w:r>
      <w:r>
        <w:rPr>
          <w:rFonts w:cs="Times New Roman"/>
        </w:rPr>
        <w:t>’</w:t>
      </w:r>
      <w:r w:rsidRPr="00985CB4">
        <w:rPr>
          <w:rFonts w:cs="Times New Roman"/>
        </w:rPr>
        <w:t xml:space="preserve">arrêt de notre Cour </w:t>
      </w:r>
      <w:r w:rsidRPr="00985CB4">
        <w:rPr>
          <w:rFonts w:cs="Times New Roman"/>
          <w:i/>
        </w:rPr>
        <w:t>Saskatchewan (Human Rights Commission) c. Whatcott</w:t>
      </w:r>
      <w:r w:rsidRPr="00985CB4">
        <w:rPr>
          <w:rFonts w:cs="Times New Roman"/>
        </w:rPr>
        <w:t>,</w:t>
      </w:r>
      <w:r w:rsidRPr="00985CB4">
        <w:rPr>
          <w:rFonts w:cs="Times New Roman"/>
          <w:i/>
        </w:rPr>
        <w:t xml:space="preserve"> </w:t>
      </w:r>
      <w:r w:rsidRPr="00985CB4">
        <w:rPr>
          <w:rFonts w:cs="Times New Roman"/>
        </w:rPr>
        <w:t>[2013] 1 R.C.S. 467,</w:t>
      </w:r>
      <w:r w:rsidRPr="00985CB4">
        <w:rPr>
          <w:rFonts w:cs="Times New Roman"/>
          <w:i/>
        </w:rPr>
        <w:t xml:space="preserve"> </w:t>
      </w:r>
      <w:r w:rsidRPr="00985CB4">
        <w:rPr>
          <w:rFonts w:cs="Times New Roman"/>
        </w:rPr>
        <w:t>au soutien de l</w:t>
      </w:r>
      <w:r>
        <w:rPr>
          <w:rFonts w:cs="Times New Roman"/>
        </w:rPr>
        <w:t>’</w:t>
      </w:r>
      <w:r w:rsidRPr="00985CB4">
        <w:rPr>
          <w:rFonts w:cs="Times New Roman"/>
        </w:rPr>
        <w:t>argument suivant lequel la garantie de la liberté d</w:t>
      </w:r>
      <w:r>
        <w:rPr>
          <w:rFonts w:cs="Times New Roman"/>
        </w:rPr>
        <w:t>’</w:t>
      </w:r>
      <w:r w:rsidRPr="00985CB4">
        <w:rPr>
          <w:rFonts w:cs="Times New Roman"/>
        </w:rPr>
        <w:t xml:space="preserve">expression prévue par la </w:t>
      </w:r>
      <w:r w:rsidRPr="00985CB4">
        <w:rPr>
          <w:rFonts w:cs="Times New Roman"/>
          <w:i/>
        </w:rPr>
        <w:t xml:space="preserve">Charte canadienne des droits et libertés </w:t>
      </w:r>
      <w:r w:rsidRPr="00985CB4">
        <w:rPr>
          <w:rFonts w:cs="Times New Roman"/>
        </w:rPr>
        <w:t>(« </w:t>
      </w:r>
      <w:r w:rsidRPr="00985CB4">
        <w:rPr>
          <w:rFonts w:cs="Times New Roman"/>
          <w:i/>
        </w:rPr>
        <w:t>Charte</w:t>
      </w:r>
      <w:r w:rsidRPr="00985CB4">
        <w:rPr>
          <w:rFonts w:cs="Times New Roman"/>
        </w:rPr>
        <w:t xml:space="preserve"> canadienne ») signifie que des propos portant atteinte au droit à l</w:t>
      </w:r>
      <w:r>
        <w:rPr>
          <w:rFonts w:cs="Times New Roman"/>
        </w:rPr>
        <w:t>’</w:t>
      </w:r>
      <w:r w:rsidRPr="00985CB4">
        <w:rPr>
          <w:rFonts w:cs="Times New Roman"/>
        </w:rPr>
        <w:t>égalité ne peuvent donner ouverture à un recours que s</w:t>
      </w:r>
      <w:r>
        <w:rPr>
          <w:rFonts w:cs="Times New Roman"/>
        </w:rPr>
        <w:t>’</w:t>
      </w:r>
      <w:r w:rsidRPr="00985CB4">
        <w:rPr>
          <w:rFonts w:cs="Times New Roman"/>
        </w:rPr>
        <w:t>ils équivalent à des propos haineux. Cette approche, adoptée par la juge dissidente en Cour d</w:t>
      </w:r>
      <w:r>
        <w:rPr>
          <w:rFonts w:cs="Times New Roman"/>
        </w:rPr>
        <w:t>’</w:t>
      </w:r>
      <w:r w:rsidRPr="00985CB4">
        <w:rPr>
          <w:rFonts w:cs="Times New Roman"/>
        </w:rPr>
        <w:t>appel en l</w:t>
      </w:r>
      <w:r>
        <w:rPr>
          <w:rFonts w:cs="Times New Roman"/>
        </w:rPr>
        <w:t>’</w:t>
      </w:r>
      <w:r w:rsidRPr="00985CB4">
        <w:rPr>
          <w:rFonts w:cs="Times New Roman"/>
        </w:rPr>
        <w:t>espèce, a été explicitement rejetée par la Cour d</w:t>
      </w:r>
      <w:r>
        <w:rPr>
          <w:rFonts w:cs="Times New Roman"/>
        </w:rPr>
        <w:t>’</w:t>
      </w:r>
      <w:r w:rsidRPr="00985CB4">
        <w:rPr>
          <w:rFonts w:cs="Times New Roman"/>
        </w:rPr>
        <w:t>appel dans l</w:t>
      </w:r>
      <w:r>
        <w:rPr>
          <w:rFonts w:cs="Times New Roman"/>
        </w:rPr>
        <w:t>’</w:t>
      </w:r>
      <w:r w:rsidRPr="00985CB4">
        <w:rPr>
          <w:rFonts w:cs="Times New Roman"/>
        </w:rPr>
        <w:t xml:space="preserve">arrêt </w:t>
      </w:r>
      <w:r w:rsidRPr="00985CB4">
        <w:rPr>
          <w:rFonts w:cs="Times New Roman"/>
          <w:i/>
        </w:rPr>
        <w:t>Calego</w:t>
      </w:r>
      <w:r w:rsidRPr="00985CB4">
        <w:rPr>
          <w:rFonts w:cs="Times New Roman"/>
        </w:rPr>
        <w:t>.</w:t>
      </w:r>
    </w:p>
    <w:p w14:paraId="0564E174"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Dans </w:t>
      </w:r>
      <w:r w:rsidRPr="00985CB4">
        <w:rPr>
          <w:rFonts w:cs="Times New Roman"/>
          <w:i/>
          <w:shd w:val="clear" w:color="auto" w:fill="FFFFFF"/>
        </w:rPr>
        <w:t>Whatcott</w:t>
      </w:r>
      <w:r w:rsidRPr="00985CB4">
        <w:rPr>
          <w:rFonts w:cs="Times New Roman"/>
          <w:shd w:val="clear" w:color="auto" w:fill="FFFFFF"/>
        </w:rPr>
        <w:t>, notre Cour a examiné la constitutionnalité d</w:t>
      </w:r>
      <w:r>
        <w:rPr>
          <w:rFonts w:cs="Times New Roman"/>
          <w:shd w:val="clear" w:color="auto" w:fill="FFFFFF"/>
        </w:rPr>
        <w:t>’</w:t>
      </w:r>
      <w:r w:rsidRPr="00985CB4">
        <w:rPr>
          <w:rFonts w:cs="Times New Roman"/>
          <w:shd w:val="clear" w:color="auto" w:fill="FFFFFF"/>
        </w:rPr>
        <w:t>une prohibition d</w:t>
      </w:r>
      <w:r>
        <w:rPr>
          <w:rFonts w:cs="Times New Roman"/>
          <w:shd w:val="clear" w:color="auto" w:fill="FFFFFF"/>
        </w:rPr>
        <w:t>’</w:t>
      </w:r>
      <w:r w:rsidRPr="00985CB4">
        <w:rPr>
          <w:rFonts w:cs="Times New Roman"/>
          <w:shd w:val="clear" w:color="auto" w:fill="FFFFFF"/>
        </w:rPr>
        <w:t>origine législative interdisant la</w:t>
      </w:r>
      <w:r w:rsidRPr="00985CB4">
        <w:rPr>
          <w:rFonts w:cs="Times New Roman"/>
        </w:rPr>
        <w:t xml:space="preserve"> publication ou l</w:t>
      </w:r>
      <w:r>
        <w:rPr>
          <w:rFonts w:cs="Times New Roman"/>
        </w:rPr>
        <w:t>’</w:t>
      </w:r>
      <w:r w:rsidRPr="00985CB4">
        <w:rPr>
          <w:rFonts w:cs="Times New Roman"/>
        </w:rPr>
        <w:t>affichage de toute représentation qui, [</w:t>
      </w:r>
      <w:r w:rsidRPr="00985CB4">
        <w:rPr>
          <w:rFonts w:cs="Times New Roman"/>
          <w:smallCaps/>
        </w:rPr>
        <w:t>traduction</w:t>
      </w:r>
      <w:r w:rsidRPr="00985CB4">
        <w:rPr>
          <w:rFonts w:cs="Times New Roman"/>
        </w:rPr>
        <w:t xml:space="preserve">] « pour un motif de distinction illicite, expose ou tend à exposer une personne ou une catégorie de personnes à la haine, les ridiculise, les rabaisse ou porte par ailleurs atteinte à leur dignité », prohibition qui constituait, comme il a été concédé, une violation </w:t>
      </w:r>
      <w:r w:rsidRPr="00985CB4">
        <w:rPr>
          <w:rFonts w:cs="Times New Roman"/>
          <w:i/>
        </w:rPr>
        <w:t>prima facie</w:t>
      </w:r>
      <w:r w:rsidRPr="00985CB4">
        <w:rPr>
          <w:rFonts w:cs="Times New Roman"/>
        </w:rPr>
        <w:t xml:space="preserve"> de l</w:t>
      </w:r>
      <w:r>
        <w:rPr>
          <w:rFonts w:cs="Times New Roman"/>
        </w:rPr>
        <w:t>’al. </w:t>
      </w:r>
      <w:r w:rsidRPr="00985CB4">
        <w:rPr>
          <w:rFonts w:cs="Times New Roman"/>
        </w:rPr>
        <w:t xml:space="preserve">2b) de la </w:t>
      </w:r>
      <w:r w:rsidRPr="00985CB4">
        <w:rPr>
          <w:rFonts w:cs="Times New Roman"/>
          <w:i/>
        </w:rPr>
        <w:t>Charte</w:t>
      </w:r>
      <w:r w:rsidRPr="00985CB4">
        <w:rPr>
          <w:rFonts w:cs="Times New Roman"/>
        </w:rPr>
        <w:t xml:space="preserve"> canadienne (</w:t>
      </w:r>
      <w:r>
        <w:rPr>
          <w:rFonts w:cs="Times New Roman"/>
        </w:rPr>
        <w:t>par. </w:t>
      </w:r>
      <w:r w:rsidRPr="00985CB4">
        <w:rPr>
          <w:rFonts w:cs="Times New Roman"/>
        </w:rPr>
        <w:t>12 et 62). La disposition a été décrite comme ayant pour objectif « [d</w:t>
      </w:r>
      <w:r>
        <w:rPr>
          <w:rFonts w:cs="Times New Roman"/>
        </w:rPr>
        <w:t>’</w:t>
      </w:r>
      <w:r w:rsidRPr="00985CB4">
        <w:rPr>
          <w:rFonts w:cs="Times New Roman"/>
        </w:rPr>
        <w:t>]atténuer les effets préjudiciables et les coûts sociaux de la discrimination en s</w:t>
      </w:r>
      <w:r>
        <w:rPr>
          <w:rFonts w:cs="Times New Roman"/>
        </w:rPr>
        <w:t>’</w:t>
      </w:r>
      <w:r w:rsidRPr="00985CB4">
        <w:rPr>
          <w:rFonts w:cs="Times New Roman"/>
        </w:rPr>
        <w:t>attaquant à certaines des causes de la discrimination » (</w:t>
      </w:r>
      <w:r>
        <w:rPr>
          <w:rFonts w:cs="Times New Roman"/>
        </w:rPr>
        <w:t>par. </w:t>
      </w:r>
      <w:r w:rsidRPr="00985CB4">
        <w:rPr>
          <w:rFonts w:cs="Times New Roman"/>
        </w:rPr>
        <w:t>71). La Cour a conclu que, même si l</w:t>
      </w:r>
      <w:r>
        <w:rPr>
          <w:rFonts w:cs="Times New Roman"/>
        </w:rPr>
        <w:t>’</w:t>
      </w:r>
      <w:r w:rsidRPr="00985CB4">
        <w:rPr>
          <w:rFonts w:cs="Times New Roman"/>
        </w:rPr>
        <w:t>interdiction des représentations qui sont objectivement perçues comme exposant les groupes protégés à la haine avait un lien rationnel avec cet objectif, la prohibition de toute forme d</w:t>
      </w:r>
      <w:r>
        <w:rPr>
          <w:rFonts w:cs="Times New Roman"/>
        </w:rPr>
        <w:t>’</w:t>
      </w:r>
      <w:r w:rsidRPr="00985CB4">
        <w:rPr>
          <w:rFonts w:cs="Times New Roman"/>
        </w:rPr>
        <w:t>expression qui [</w:t>
      </w:r>
      <w:r w:rsidRPr="00985CB4">
        <w:rPr>
          <w:rFonts w:cs="Times New Roman"/>
          <w:smallCaps/>
        </w:rPr>
        <w:t>traduction</w:t>
      </w:r>
      <w:r w:rsidRPr="00985CB4">
        <w:rPr>
          <w:rFonts w:cs="Times New Roman"/>
        </w:rPr>
        <w:t>] « ridiculise, [. . .] rabaisse ou porte par ailleurs atteinte à [la] dignité » de ces groupes protégés ne l</w:t>
      </w:r>
      <w:r>
        <w:rPr>
          <w:rFonts w:cs="Times New Roman"/>
        </w:rPr>
        <w:t>’</w:t>
      </w:r>
      <w:r w:rsidRPr="00985CB4">
        <w:rPr>
          <w:rFonts w:cs="Times New Roman"/>
        </w:rPr>
        <w:t>était pas, et ces mots ont été dissociés de la disposition (</w:t>
      </w:r>
      <w:r>
        <w:rPr>
          <w:rFonts w:cs="Times New Roman"/>
        </w:rPr>
        <w:t>par. </w:t>
      </w:r>
      <w:r w:rsidRPr="00985CB4">
        <w:rPr>
          <w:rFonts w:cs="Times New Roman"/>
        </w:rPr>
        <w:t>99).</w:t>
      </w:r>
    </w:p>
    <w:p w14:paraId="0A29CF66" w14:textId="77777777" w:rsidR="00116CBE" w:rsidRPr="00985CB4" w:rsidRDefault="00116CBE" w:rsidP="00116CBE">
      <w:pPr>
        <w:pStyle w:val="ParaNoNdepar-AltN"/>
        <w:tabs>
          <w:tab w:val="clear" w:pos="1152"/>
          <w:tab w:val="left" w:pos="1166"/>
        </w:tabs>
        <w:rPr>
          <w:rFonts w:cs="Times New Roman"/>
        </w:rPr>
      </w:pPr>
      <w:r w:rsidRPr="00985CB4">
        <w:rPr>
          <w:rFonts w:cs="Times New Roman"/>
          <w:iCs/>
        </w:rPr>
        <w:t>L</w:t>
      </w:r>
      <w:r>
        <w:rPr>
          <w:rFonts w:cs="Times New Roman"/>
          <w:iCs/>
        </w:rPr>
        <w:t>’</w:t>
      </w:r>
      <w:r w:rsidRPr="00985CB4">
        <w:rPr>
          <w:rFonts w:cs="Times New Roman"/>
          <w:iCs/>
        </w:rPr>
        <w:t>arrêt</w:t>
      </w:r>
      <w:r w:rsidRPr="00985CB4">
        <w:rPr>
          <w:rFonts w:cs="Times New Roman"/>
          <w:i/>
        </w:rPr>
        <w:t xml:space="preserve"> Whatcott</w:t>
      </w:r>
      <w:r w:rsidRPr="00985CB4">
        <w:rPr>
          <w:rFonts w:cs="Times New Roman"/>
        </w:rPr>
        <w:t xml:space="preserve"> porte sur un type particulier de discours préjudiciable — les propos haineux — lequel est interdit parce qu</w:t>
      </w:r>
      <w:r>
        <w:rPr>
          <w:rFonts w:cs="Times New Roman"/>
        </w:rPr>
        <w:t>’</w:t>
      </w:r>
      <w:r w:rsidRPr="00985CB4">
        <w:rPr>
          <w:rFonts w:cs="Times New Roman"/>
        </w:rPr>
        <w:t>il cause un préjudice social à un groupe marginalisé plutôt qu</w:t>
      </w:r>
      <w:r>
        <w:rPr>
          <w:rFonts w:cs="Times New Roman"/>
        </w:rPr>
        <w:t>’</w:t>
      </w:r>
      <w:r w:rsidRPr="00985CB4">
        <w:rPr>
          <w:rFonts w:cs="Times New Roman"/>
        </w:rPr>
        <w:t xml:space="preserve">un préjudice individuel. Dans </w:t>
      </w:r>
      <w:r w:rsidRPr="00985CB4">
        <w:rPr>
          <w:rFonts w:cs="Times New Roman"/>
          <w:i/>
        </w:rPr>
        <w:t>Whatcott</w:t>
      </w:r>
      <w:r w:rsidRPr="00985CB4">
        <w:rPr>
          <w:rFonts w:cs="Times New Roman"/>
        </w:rPr>
        <w:t xml:space="preserve">, la Cour, se référant à son arrêt antérieur </w:t>
      </w:r>
      <w:r w:rsidRPr="00985CB4">
        <w:rPr>
          <w:rFonts w:cs="Times New Roman"/>
          <w:i/>
        </w:rPr>
        <w:t>Canada (Commission des droits de la personne) c. Taylor</w:t>
      </w:r>
      <w:r w:rsidRPr="00E20036">
        <w:t>, [1990] 3 R.C.S. 892, a défini la « haine » dans ce contexte par renvoi à la question de</w:t>
      </w:r>
      <w:r w:rsidRPr="00985CB4">
        <w:rPr>
          <w:rFonts w:cs="Times New Roman"/>
        </w:rPr>
        <w:t xml:space="preserve"> savoir si une personne raisonnable et informée « estimerait que les propos sont susceptibles d</w:t>
      </w:r>
      <w:r>
        <w:rPr>
          <w:rFonts w:cs="Times New Roman"/>
        </w:rPr>
        <w:t>’</w:t>
      </w:r>
      <w:r w:rsidRPr="00985CB4">
        <w:rPr>
          <w:rFonts w:cs="Times New Roman"/>
        </w:rPr>
        <w:t>exposer autrui à la détestation et à la diffamation pour un motif de discrimination illicite » (</w:t>
      </w:r>
      <w:r>
        <w:rPr>
          <w:rFonts w:cs="Times New Roman"/>
        </w:rPr>
        <w:t>par. </w:t>
      </w:r>
      <w:r w:rsidRPr="00985CB4">
        <w:rPr>
          <w:rFonts w:cs="Times New Roman"/>
        </w:rPr>
        <w:t>59).</w:t>
      </w:r>
    </w:p>
    <w:p w14:paraId="01062EA3"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Nous ne sommes pas en présence d</w:t>
      </w:r>
      <w:r>
        <w:rPr>
          <w:rFonts w:cs="Times New Roman"/>
        </w:rPr>
        <w:t>’</w:t>
      </w:r>
      <w:r w:rsidRPr="00985CB4">
        <w:rPr>
          <w:rFonts w:cs="Times New Roman"/>
        </w:rPr>
        <w:t xml:space="preserve">une affaire de propos haineux au sens où cette expression est employée dans les arrêts </w:t>
      </w:r>
      <w:r w:rsidRPr="00985CB4">
        <w:rPr>
          <w:rFonts w:cs="Times New Roman"/>
          <w:i/>
        </w:rPr>
        <w:t>Whatcott</w:t>
      </w:r>
      <w:r w:rsidRPr="00985CB4">
        <w:rPr>
          <w:rFonts w:cs="Times New Roman"/>
        </w:rPr>
        <w:t xml:space="preserve"> et </w:t>
      </w:r>
      <w:r w:rsidRPr="00985CB4">
        <w:rPr>
          <w:rFonts w:cs="Times New Roman"/>
          <w:i/>
        </w:rPr>
        <w:t>Taylor</w:t>
      </w:r>
      <w:r w:rsidRPr="00985CB4">
        <w:rPr>
          <w:rFonts w:cs="Times New Roman"/>
        </w:rPr>
        <w:t>. Ni le Tribunal ni les juges majoritaires de la Cour d</w:t>
      </w:r>
      <w:r>
        <w:rPr>
          <w:rFonts w:cs="Times New Roman"/>
        </w:rPr>
        <w:t>’</w:t>
      </w:r>
      <w:r w:rsidRPr="00985CB4">
        <w:rPr>
          <w:rFonts w:cs="Times New Roman"/>
        </w:rPr>
        <w:t>appel ne se sont demandé si les propos de M. Ward équivalaient à des propos haineux.</w:t>
      </w:r>
    </w:p>
    <w:p w14:paraId="6537C7A1"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Tout comme la disposition litigieuse dans </w:t>
      </w:r>
      <w:r w:rsidRPr="00985CB4">
        <w:rPr>
          <w:rFonts w:cs="Times New Roman"/>
          <w:i/>
        </w:rPr>
        <w:t>Whatcott</w:t>
      </w:r>
      <w:r w:rsidRPr="00985CB4">
        <w:rPr>
          <w:rFonts w:cs="Times New Roman"/>
        </w:rPr>
        <w:t>, l</w:t>
      </w:r>
      <w:r>
        <w:rPr>
          <w:rFonts w:cs="Times New Roman"/>
        </w:rPr>
        <w:t>’art. </w:t>
      </w:r>
      <w:r w:rsidRPr="00985CB4">
        <w:rPr>
          <w:rFonts w:cs="Times New Roman"/>
        </w:rPr>
        <w:t xml:space="preserve">10 impose une limite </w:t>
      </w:r>
      <w:r w:rsidRPr="00985CB4">
        <w:rPr>
          <w:rFonts w:cs="Times New Roman"/>
          <w:i/>
        </w:rPr>
        <w:t>prima facie</w:t>
      </w:r>
      <w:r w:rsidRPr="00985CB4">
        <w:rPr>
          <w:rFonts w:cs="Times New Roman"/>
        </w:rPr>
        <w:t xml:space="preserve"> à la liberté garantie par l</w:t>
      </w:r>
      <w:r>
        <w:rPr>
          <w:rFonts w:cs="Times New Roman"/>
        </w:rPr>
        <w:t>’al. </w:t>
      </w:r>
      <w:r w:rsidRPr="00985CB4">
        <w:rPr>
          <w:rFonts w:cs="Times New Roman"/>
        </w:rPr>
        <w:t xml:space="preserve">2b) de la </w:t>
      </w:r>
      <w:r w:rsidRPr="00985CB4">
        <w:rPr>
          <w:rFonts w:cs="Times New Roman"/>
          <w:i/>
        </w:rPr>
        <w:t>Charte</w:t>
      </w:r>
      <w:r w:rsidRPr="00985CB4">
        <w:rPr>
          <w:rFonts w:cs="Times New Roman"/>
        </w:rPr>
        <w:t xml:space="preserve"> canadienne en interdisant les propos qui empêchent l</w:t>
      </w:r>
      <w:r>
        <w:rPr>
          <w:rFonts w:cs="Times New Roman"/>
        </w:rPr>
        <w:t>’</w:t>
      </w:r>
      <w:r w:rsidRPr="00985CB4">
        <w:rPr>
          <w:rFonts w:cs="Times New Roman"/>
        </w:rPr>
        <w:t>exercice, en pleine égalité, du droit à la sauvegarde de la dignité, de l</w:t>
      </w:r>
      <w:r>
        <w:rPr>
          <w:rFonts w:cs="Times New Roman"/>
        </w:rPr>
        <w:t>’</w:t>
      </w:r>
      <w:r w:rsidRPr="00985CB4">
        <w:rPr>
          <w:rFonts w:cs="Times New Roman"/>
        </w:rPr>
        <w:t xml:space="preserve">honneur et de la réputation (voir, généralement, </w:t>
      </w:r>
      <w:r w:rsidRPr="00985CB4">
        <w:rPr>
          <w:rFonts w:cs="Times New Roman"/>
          <w:i/>
          <w:shd w:val="clear" w:color="auto" w:fill="FFFFFF"/>
        </w:rPr>
        <w:t>Société Radio</w:t>
      </w:r>
      <w:r>
        <w:rPr>
          <w:rFonts w:cs="Times New Roman"/>
          <w:i/>
          <w:shd w:val="clear" w:color="auto" w:fill="FFFFFF"/>
        </w:rPr>
        <w:noBreakHyphen/>
      </w:r>
      <w:r w:rsidRPr="00985CB4">
        <w:rPr>
          <w:rFonts w:cs="Times New Roman"/>
          <w:i/>
          <w:shd w:val="clear" w:color="auto" w:fill="FFFFFF"/>
        </w:rPr>
        <w:t xml:space="preserve">Canada </w:t>
      </w:r>
      <w:r w:rsidRPr="00985CB4">
        <w:rPr>
          <w:rFonts w:cs="Times New Roman"/>
          <w:i/>
          <w:iCs/>
          <w:shd w:val="clear" w:color="auto" w:fill="FFFFFF"/>
        </w:rPr>
        <w:t xml:space="preserve">c. </w:t>
      </w:r>
      <w:r w:rsidRPr="00985CB4">
        <w:rPr>
          <w:rFonts w:cs="Times New Roman"/>
          <w:i/>
          <w:shd w:val="clear" w:color="auto" w:fill="FFFFFF"/>
        </w:rPr>
        <w:t>Canada (Procureur général)</w:t>
      </w:r>
      <w:r w:rsidRPr="00985CB4">
        <w:rPr>
          <w:rStyle w:val="sccrespondentforindexchar0"/>
          <w:rFonts w:cs="Times New Roman"/>
          <w:shd w:val="clear" w:color="auto" w:fill="FFFFFF"/>
        </w:rPr>
        <w:t xml:space="preserve">, [2011] 1 R.C.S. 19, </w:t>
      </w:r>
      <w:r>
        <w:rPr>
          <w:rFonts w:cs="Times New Roman"/>
        </w:rPr>
        <w:t>par. </w:t>
      </w:r>
      <w:r w:rsidRPr="00985CB4">
        <w:rPr>
          <w:rFonts w:cs="Times New Roman"/>
        </w:rPr>
        <w:t>38). Toutefois, l</w:t>
      </w:r>
      <w:r>
        <w:rPr>
          <w:rFonts w:cs="Times New Roman"/>
        </w:rPr>
        <w:t>’</w:t>
      </w:r>
      <w:r w:rsidRPr="00985CB4">
        <w:rPr>
          <w:rFonts w:cs="Times New Roman"/>
        </w:rPr>
        <w:t>objectif législatif qui sous</w:t>
      </w:r>
      <w:r>
        <w:rPr>
          <w:rFonts w:cs="Times New Roman"/>
        </w:rPr>
        <w:noBreakHyphen/>
      </w:r>
      <w:r w:rsidRPr="00985CB4">
        <w:rPr>
          <w:rFonts w:cs="Times New Roman"/>
        </w:rPr>
        <w:t>tend l</w:t>
      </w:r>
      <w:r>
        <w:rPr>
          <w:rFonts w:cs="Times New Roman"/>
        </w:rPr>
        <w:t>’art. </w:t>
      </w:r>
      <w:r w:rsidRPr="00985CB4">
        <w:rPr>
          <w:rFonts w:cs="Times New Roman"/>
        </w:rPr>
        <w:t xml:space="preserve">10 est plus large que celui de la disposition en cause dans </w:t>
      </w:r>
      <w:r w:rsidRPr="00985CB4">
        <w:rPr>
          <w:rFonts w:cs="Times New Roman"/>
          <w:i/>
        </w:rPr>
        <w:t>Whatcott</w:t>
      </w:r>
      <w:r w:rsidRPr="00985CB4">
        <w:rPr>
          <w:rFonts w:cs="Times New Roman"/>
        </w:rPr>
        <w:t xml:space="preserve"> et, par conséquent, l</w:t>
      </w:r>
      <w:r>
        <w:rPr>
          <w:rFonts w:cs="Times New Roman"/>
        </w:rPr>
        <w:t>’</w:t>
      </w:r>
      <w:r w:rsidRPr="00985CB4">
        <w:rPr>
          <w:rFonts w:cs="Times New Roman"/>
        </w:rPr>
        <w:t>interdiction peut viser davantage que les propos haineux tout en conservant un lien rationnel avec cet objectif. Parce que l</w:t>
      </w:r>
      <w:r>
        <w:rPr>
          <w:rFonts w:cs="Times New Roman"/>
        </w:rPr>
        <w:t>’art. </w:t>
      </w:r>
      <w:r w:rsidRPr="00985CB4">
        <w:rPr>
          <w:rFonts w:cs="Times New Roman"/>
        </w:rPr>
        <w:t>10 garantit l</w:t>
      </w:r>
      <w:r>
        <w:rPr>
          <w:rFonts w:cs="Times New Roman"/>
        </w:rPr>
        <w:t>’</w:t>
      </w:r>
      <w:r w:rsidRPr="00985CB4">
        <w:rPr>
          <w:rFonts w:cs="Times New Roman"/>
        </w:rPr>
        <w:t>exercice, en pleine égalité, de tous les « droits et libertés de la personne », y compris le droit à la sauvegarde de la dignité, de l</w:t>
      </w:r>
      <w:r>
        <w:rPr>
          <w:rFonts w:cs="Times New Roman"/>
        </w:rPr>
        <w:t>’</w:t>
      </w:r>
      <w:r w:rsidRPr="00985CB4">
        <w:rPr>
          <w:rFonts w:cs="Times New Roman"/>
        </w:rPr>
        <w:t>honneur et de la réputation, l</w:t>
      </w:r>
      <w:r>
        <w:rPr>
          <w:rFonts w:cs="Times New Roman"/>
        </w:rPr>
        <w:t>’</w:t>
      </w:r>
      <w:r w:rsidRPr="00985CB4">
        <w:rPr>
          <w:rFonts w:cs="Times New Roman"/>
        </w:rPr>
        <w:t>objectif de la disposition ne se limite pas à prévenir les préjudices collectifs et la perpétuation d</w:t>
      </w:r>
      <w:r>
        <w:rPr>
          <w:rFonts w:cs="Times New Roman"/>
        </w:rPr>
        <w:t>’</w:t>
      </w:r>
      <w:r w:rsidRPr="00985CB4">
        <w:rPr>
          <w:rFonts w:cs="Times New Roman"/>
        </w:rPr>
        <w:t>attitudes discriminatoires au sein du public en génér</w:t>
      </w:r>
      <w:r>
        <w:rPr>
          <w:rFonts w:cs="Times New Roman"/>
        </w:rPr>
        <w:t xml:space="preserve">al. </w:t>
      </w:r>
      <w:r w:rsidRPr="00985CB4">
        <w:rPr>
          <w:rFonts w:cs="Times New Roman"/>
        </w:rPr>
        <w:t>L</w:t>
      </w:r>
      <w:r>
        <w:rPr>
          <w:rFonts w:cs="Times New Roman"/>
        </w:rPr>
        <w:t>’</w:t>
      </w:r>
      <w:r w:rsidRPr="00985CB4">
        <w:rPr>
          <w:rFonts w:cs="Times New Roman"/>
        </w:rPr>
        <w:t xml:space="preserve">article 10 est intrinsèquement lié aux autres droits et libertés individuels garantis par la </w:t>
      </w:r>
      <w:r w:rsidRPr="00985CB4">
        <w:rPr>
          <w:rFonts w:cs="Times New Roman"/>
          <w:i/>
          <w:iCs/>
        </w:rPr>
        <w:t>Charte</w:t>
      </w:r>
      <w:r w:rsidRPr="00985CB4">
        <w:rPr>
          <w:rFonts w:cs="Times New Roman"/>
        </w:rPr>
        <w:t xml:space="preserve"> québécoise (Robitaille, </w:t>
      </w:r>
      <w:r>
        <w:rPr>
          <w:rFonts w:cs="Times New Roman"/>
        </w:rPr>
        <w:t>p. </w:t>
      </w:r>
      <w:r w:rsidRPr="00985CB4">
        <w:rPr>
          <w:rFonts w:cs="Times New Roman"/>
        </w:rPr>
        <w:t>108). Par contraste, la disposition examinée dans l</w:t>
      </w:r>
      <w:r>
        <w:rPr>
          <w:rFonts w:cs="Times New Roman"/>
        </w:rPr>
        <w:t>’</w:t>
      </w:r>
      <w:r w:rsidRPr="00985CB4">
        <w:rPr>
          <w:rFonts w:cs="Times New Roman"/>
        </w:rPr>
        <w:t xml:space="preserve">arrêt </w:t>
      </w:r>
      <w:r w:rsidRPr="00985CB4">
        <w:rPr>
          <w:rFonts w:cs="Times New Roman"/>
          <w:i/>
        </w:rPr>
        <w:t xml:space="preserve">Whatcott </w:t>
      </w:r>
      <w:r w:rsidRPr="00985CB4">
        <w:rPr>
          <w:rFonts w:cs="Times New Roman"/>
        </w:rPr>
        <w:t>visait spécifiquement à prévenir les préjudices sociétaux plutôt qu</w:t>
      </w:r>
      <w:r>
        <w:rPr>
          <w:rFonts w:cs="Times New Roman"/>
        </w:rPr>
        <w:t>’</w:t>
      </w:r>
      <w:r w:rsidRPr="00985CB4">
        <w:rPr>
          <w:rFonts w:cs="Times New Roman"/>
        </w:rPr>
        <w:t>individuels en « s</w:t>
      </w:r>
      <w:r>
        <w:rPr>
          <w:rFonts w:cs="Times New Roman"/>
        </w:rPr>
        <w:t>’</w:t>
      </w:r>
      <w:r w:rsidRPr="00985CB4">
        <w:rPr>
          <w:rFonts w:cs="Times New Roman"/>
        </w:rPr>
        <w:t>attaquant à certaines des causes de la discrimination » (</w:t>
      </w:r>
      <w:r>
        <w:rPr>
          <w:rFonts w:cs="Times New Roman"/>
        </w:rPr>
        <w:t>par. </w:t>
      </w:r>
      <w:r w:rsidRPr="00985CB4">
        <w:rPr>
          <w:rFonts w:cs="Times New Roman"/>
        </w:rPr>
        <w:t>71 et 79</w:t>
      </w:r>
      <w:r>
        <w:rPr>
          <w:rFonts w:cs="Times New Roman"/>
        </w:rPr>
        <w:noBreakHyphen/>
      </w:r>
      <w:r w:rsidRPr="00985CB4">
        <w:rPr>
          <w:rFonts w:cs="Times New Roman"/>
        </w:rPr>
        <w:t>84). De par son texte même, cette disposition ne visait que les formes d</w:t>
      </w:r>
      <w:r>
        <w:rPr>
          <w:rFonts w:cs="Times New Roman"/>
        </w:rPr>
        <w:t>’</w:t>
      </w:r>
      <w:r w:rsidRPr="00985CB4">
        <w:rPr>
          <w:rFonts w:cs="Times New Roman"/>
        </w:rPr>
        <w:t>expression publiées ou affichées « dans un journal ou une autre publication, ou à la télévision ou la radio » (</w:t>
      </w:r>
      <w:r w:rsidRPr="00985CB4">
        <w:rPr>
          <w:rFonts w:cs="Times New Roman"/>
          <w:i/>
        </w:rPr>
        <w:t>Whatcott</w:t>
      </w:r>
      <w:r w:rsidRPr="00985CB4">
        <w:rPr>
          <w:rFonts w:cs="Times New Roman"/>
        </w:rPr>
        <w:t xml:space="preserve">, </w:t>
      </w:r>
      <w:r>
        <w:rPr>
          <w:rFonts w:cs="Times New Roman"/>
        </w:rPr>
        <w:t>par. </w:t>
      </w:r>
      <w:r w:rsidRPr="00985CB4">
        <w:rPr>
          <w:rFonts w:cs="Times New Roman"/>
        </w:rPr>
        <w:t>83), alors qu</w:t>
      </w:r>
      <w:r>
        <w:rPr>
          <w:rFonts w:cs="Times New Roman"/>
        </w:rPr>
        <w:t>’</w:t>
      </w:r>
      <w:r w:rsidRPr="00985CB4">
        <w:rPr>
          <w:rFonts w:cs="Times New Roman"/>
        </w:rPr>
        <w:t>aucune restriction de portée similaire ne ressort de l</w:t>
      </w:r>
      <w:r>
        <w:rPr>
          <w:rFonts w:cs="Times New Roman"/>
        </w:rPr>
        <w:t>’art. </w:t>
      </w:r>
      <w:r w:rsidRPr="00985CB4">
        <w:rPr>
          <w:rFonts w:cs="Times New Roman"/>
        </w:rPr>
        <w:t>10. Cet article ne peut donc pas être interprété par référence aux principes qui régissent la constitutionnalité d</w:t>
      </w:r>
      <w:r>
        <w:rPr>
          <w:rFonts w:cs="Times New Roman"/>
        </w:rPr>
        <w:t>’</w:t>
      </w:r>
      <w:r w:rsidRPr="00985CB4">
        <w:rPr>
          <w:rFonts w:cs="Times New Roman"/>
        </w:rPr>
        <w:t>une disposition différente ayant un objectif différent.</w:t>
      </w:r>
    </w:p>
    <w:p w14:paraId="27F24FF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Il est reconnu que des propos peuvent causer un préjudice individuel sans pour autant être haineux, et rien dans la Constitution n</w:t>
      </w:r>
      <w:r>
        <w:rPr>
          <w:rFonts w:cs="Times New Roman"/>
        </w:rPr>
        <w:t>’</w:t>
      </w:r>
      <w:r w:rsidRPr="00985CB4">
        <w:rPr>
          <w:rFonts w:cs="Times New Roman"/>
        </w:rPr>
        <w:t>empêche d</w:t>
      </w:r>
      <w:r>
        <w:rPr>
          <w:rFonts w:cs="Times New Roman"/>
        </w:rPr>
        <w:t>’</w:t>
      </w:r>
      <w:r w:rsidRPr="00985CB4">
        <w:rPr>
          <w:rFonts w:cs="Times New Roman"/>
        </w:rPr>
        <w:t>intenter un recours en justice dans de telles situations lorsque la restriction imposée à la liberté d</w:t>
      </w:r>
      <w:r>
        <w:rPr>
          <w:rFonts w:cs="Times New Roman"/>
        </w:rPr>
        <w:t>’</w:t>
      </w:r>
      <w:r w:rsidRPr="00985CB4">
        <w:rPr>
          <w:rFonts w:cs="Times New Roman"/>
        </w:rPr>
        <w:t>expression vise d</w:t>
      </w:r>
      <w:r>
        <w:rPr>
          <w:rFonts w:cs="Times New Roman"/>
        </w:rPr>
        <w:t>’</w:t>
      </w:r>
      <w:r w:rsidRPr="00985CB4">
        <w:rPr>
          <w:rFonts w:cs="Times New Roman"/>
        </w:rPr>
        <w:t>autres objectifs (Jean</w:t>
      </w:r>
      <w:r>
        <w:rPr>
          <w:rFonts w:cs="Times New Roman"/>
        </w:rPr>
        <w:noBreakHyphen/>
      </w:r>
      <w:r w:rsidRPr="00985CB4">
        <w:rPr>
          <w:rFonts w:cs="Times New Roman"/>
        </w:rPr>
        <w:t xml:space="preserve">Louis Baudouin, Patrice Deslauriers et Benoît Moore, </w:t>
      </w:r>
      <w:r w:rsidRPr="00985CB4">
        <w:rPr>
          <w:rFonts w:cs="Times New Roman"/>
          <w:i/>
        </w:rPr>
        <w:t>La responsabilité civile</w:t>
      </w:r>
      <w:r w:rsidRPr="00985CB4">
        <w:rPr>
          <w:rFonts w:cs="Times New Roman"/>
        </w:rPr>
        <w:t xml:space="preserve"> (9</w:t>
      </w:r>
      <w:r w:rsidRPr="00985CB4">
        <w:rPr>
          <w:rFonts w:cs="Times New Roman"/>
          <w:vertAlign w:val="superscript"/>
        </w:rPr>
        <w:t>e</w:t>
      </w:r>
      <w:r w:rsidRPr="00985CB4">
        <w:rPr>
          <w:rFonts w:cs="Times New Roman"/>
        </w:rPr>
        <w:t xml:space="preserve"> éd. 2020), </w:t>
      </w:r>
      <w:r>
        <w:rPr>
          <w:rFonts w:cs="Times New Roman"/>
        </w:rPr>
        <w:t>vol. </w:t>
      </w:r>
      <w:r w:rsidRPr="00985CB4">
        <w:rPr>
          <w:rFonts w:cs="Times New Roman"/>
        </w:rPr>
        <w:t>1, n</w:t>
      </w:r>
      <w:r w:rsidRPr="00985CB4">
        <w:rPr>
          <w:rFonts w:cs="Times New Roman"/>
          <w:vertAlign w:val="superscript"/>
        </w:rPr>
        <w:t>os</w:t>
      </w:r>
      <w:r w:rsidRPr="00985CB4">
        <w:rPr>
          <w:rFonts w:cs="Times New Roman"/>
        </w:rPr>
        <w:t> 1</w:t>
      </w:r>
      <w:r>
        <w:rPr>
          <w:rFonts w:cs="Times New Roman"/>
        </w:rPr>
        <w:noBreakHyphen/>
      </w:r>
      <w:r w:rsidRPr="00985CB4">
        <w:rPr>
          <w:rFonts w:cs="Times New Roman"/>
        </w:rPr>
        <w:t>291, 1</w:t>
      </w:r>
      <w:r>
        <w:rPr>
          <w:rFonts w:cs="Times New Roman"/>
        </w:rPr>
        <w:noBreakHyphen/>
      </w:r>
      <w:r w:rsidRPr="00985CB4">
        <w:rPr>
          <w:rFonts w:cs="Times New Roman"/>
        </w:rPr>
        <w:t>296, 1</w:t>
      </w:r>
      <w:r>
        <w:rPr>
          <w:rFonts w:cs="Times New Roman"/>
        </w:rPr>
        <w:noBreakHyphen/>
      </w:r>
      <w:r w:rsidRPr="00985CB4">
        <w:rPr>
          <w:rFonts w:cs="Times New Roman"/>
        </w:rPr>
        <w:t>600 et 1</w:t>
      </w:r>
      <w:r>
        <w:rPr>
          <w:rFonts w:cs="Times New Roman"/>
        </w:rPr>
        <w:noBreakHyphen/>
      </w:r>
      <w:r w:rsidRPr="00985CB4">
        <w:rPr>
          <w:rFonts w:cs="Times New Roman"/>
        </w:rPr>
        <w:t>603). C</w:t>
      </w:r>
      <w:r>
        <w:rPr>
          <w:rFonts w:cs="Times New Roman"/>
        </w:rPr>
        <w:t>’</w:t>
      </w:r>
      <w:r w:rsidRPr="00985CB4">
        <w:rPr>
          <w:rFonts w:cs="Times New Roman"/>
        </w:rPr>
        <w:t>est le cas, par exemple, en ce qui concerne le harcèlement (</w:t>
      </w:r>
      <w:r w:rsidRPr="00985CB4">
        <w:rPr>
          <w:rFonts w:cs="Times New Roman"/>
          <w:i/>
        </w:rPr>
        <w:t>Charte</w:t>
      </w:r>
      <w:r w:rsidRPr="00985CB4">
        <w:rPr>
          <w:rFonts w:cs="Times New Roman"/>
        </w:rPr>
        <w:t xml:space="preserve"> québécoise, </w:t>
      </w:r>
      <w:r>
        <w:rPr>
          <w:rFonts w:cs="Times New Roman"/>
        </w:rPr>
        <w:t>art. </w:t>
      </w:r>
      <w:r w:rsidRPr="00985CB4">
        <w:rPr>
          <w:rFonts w:cs="Times New Roman"/>
        </w:rPr>
        <w:t xml:space="preserve">10.1; voir, par ex., </w:t>
      </w:r>
      <w:r w:rsidRPr="00985CB4">
        <w:rPr>
          <w:rFonts w:cs="Times New Roman"/>
          <w:i/>
        </w:rPr>
        <w:t>Commission des droits de la personne et des droits de la jeunesse c. Sfiridis</w:t>
      </w:r>
      <w:r w:rsidRPr="00985CB4">
        <w:rPr>
          <w:rFonts w:cs="Times New Roman"/>
        </w:rPr>
        <w:t xml:space="preserve">, 2002 QCTDP 42 (CanLII); </w:t>
      </w:r>
      <w:r w:rsidRPr="00985CB4">
        <w:rPr>
          <w:rFonts w:cs="Times New Roman"/>
          <w:i/>
        </w:rPr>
        <w:t>Janzen</w:t>
      </w:r>
      <w:r w:rsidRPr="00985CB4">
        <w:rPr>
          <w:rFonts w:cs="Times New Roman"/>
        </w:rPr>
        <w:t xml:space="preserve">; </w:t>
      </w:r>
      <w:r w:rsidRPr="00985CB4">
        <w:rPr>
          <w:rFonts w:cs="Times New Roman"/>
          <w:i/>
        </w:rPr>
        <w:t>McCoy c. McCoy</w:t>
      </w:r>
      <w:r w:rsidRPr="00985CB4">
        <w:rPr>
          <w:rFonts w:cs="Times New Roman"/>
        </w:rPr>
        <w:t>, 2014 QCCS 286), la diffamation (</w:t>
      </w:r>
      <w:r>
        <w:rPr>
          <w:rFonts w:cs="Times New Roman"/>
        </w:rPr>
        <w:t>art. </w:t>
      </w:r>
      <w:r w:rsidRPr="00985CB4">
        <w:rPr>
          <w:rFonts w:cs="Times New Roman"/>
        </w:rPr>
        <w:t xml:space="preserve">1457 </w:t>
      </w:r>
      <w:r w:rsidRPr="00985CB4">
        <w:rPr>
          <w:rFonts w:cs="Times New Roman"/>
          <w:i/>
        </w:rPr>
        <w:t>Code civil du Québec</w:t>
      </w:r>
      <w:r w:rsidRPr="00985CB4">
        <w:rPr>
          <w:rFonts w:cs="Times New Roman"/>
        </w:rPr>
        <w:t xml:space="preserve"> (« </w:t>
      </w:r>
      <w:r w:rsidRPr="00985CB4">
        <w:rPr>
          <w:rFonts w:cs="Times New Roman"/>
          <w:i/>
        </w:rPr>
        <w:t>C.c.Q.</w:t>
      </w:r>
      <w:r w:rsidRPr="00985CB4">
        <w:rPr>
          <w:rFonts w:cs="Times New Roman"/>
        </w:rPr>
        <w:t xml:space="preserve"> ») et la </w:t>
      </w:r>
      <w:r w:rsidRPr="00985CB4">
        <w:rPr>
          <w:rFonts w:cs="Times New Roman"/>
          <w:i/>
        </w:rPr>
        <w:t>Charte</w:t>
      </w:r>
      <w:r w:rsidRPr="00985CB4">
        <w:rPr>
          <w:rFonts w:cs="Times New Roman"/>
        </w:rPr>
        <w:t xml:space="preserve"> québécoise, </w:t>
      </w:r>
      <w:r>
        <w:rPr>
          <w:rFonts w:cs="Times New Roman"/>
        </w:rPr>
        <w:t>art. </w:t>
      </w:r>
      <w:r w:rsidRPr="00985CB4">
        <w:rPr>
          <w:rFonts w:cs="Times New Roman"/>
        </w:rPr>
        <w:t xml:space="preserve">4; voir aussi </w:t>
      </w:r>
      <w:r w:rsidRPr="00985CB4">
        <w:rPr>
          <w:rFonts w:cs="Times New Roman"/>
          <w:i/>
        </w:rPr>
        <w:t>Bou Malhab c. Diffusion Métromédia CMR inc.</w:t>
      </w:r>
      <w:r w:rsidRPr="00985CB4">
        <w:rPr>
          <w:rFonts w:cs="Times New Roman"/>
        </w:rPr>
        <w:t xml:space="preserve">, [2011] 1 R.C.S. 214, </w:t>
      </w:r>
      <w:r>
        <w:rPr>
          <w:rFonts w:cs="Times New Roman"/>
        </w:rPr>
        <w:t>par. </w:t>
      </w:r>
      <w:r w:rsidRPr="00985CB4">
        <w:rPr>
          <w:rFonts w:cs="Times New Roman"/>
        </w:rPr>
        <w:t>48</w:t>
      </w:r>
      <w:r>
        <w:rPr>
          <w:rFonts w:cs="Times New Roman"/>
        </w:rPr>
        <w:noBreakHyphen/>
      </w:r>
      <w:r w:rsidRPr="00985CB4">
        <w:rPr>
          <w:rFonts w:cs="Times New Roman"/>
        </w:rPr>
        <w:t xml:space="preserve">49), et les circonstances comme celles dont il est question dans </w:t>
      </w:r>
      <w:r w:rsidRPr="00985CB4">
        <w:rPr>
          <w:rFonts w:cs="Times New Roman"/>
          <w:i/>
        </w:rPr>
        <w:t>British Columbia Human Rights Tribunal c. Schrenk</w:t>
      </w:r>
      <w:r w:rsidRPr="00E20036">
        <w:t>, [2017] 2 R.C.S. 795,</w:t>
      </w:r>
      <w:r w:rsidRPr="00985CB4">
        <w:rPr>
          <w:rFonts w:cs="Times New Roman"/>
        </w:rPr>
        <w:t xml:space="preserve"> où des employés ont été exposés à diverses insultes discriminatoires. La liberté d</w:t>
      </w:r>
      <w:r>
        <w:rPr>
          <w:rFonts w:cs="Times New Roman"/>
        </w:rPr>
        <w:t>’</w:t>
      </w:r>
      <w:r w:rsidRPr="00985CB4">
        <w:rPr>
          <w:rFonts w:cs="Times New Roman"/>
        </w:rPr>
        <w:t>expression ne limite pas non plus la faculté qu</w:t>
      </w:r>
      <w:r>
        <w:rPr>
          <w:rFonts w:cs="Times New Roman"/>
        </w:rPr>
        <w:t>’</w:t>
      </w:r>
      <w:r w:rsidRPr="00985CB4">
        <w:rPr>
          <w:rFonts w:cs="Times New Roman"/>
        </w:rPr>
        <w:t xml:space="preserve">ont les décideurs administratifs de se pencher sur des propos préjudiciables qui ne sont pas des propos haineux (voir, </w:t>
      </w:r>
      <w:r>
        <w:rPr>
          <w:rFonts w:cs="Times New Roman"/>
        </w:rPr>
        <w:t>p. </w:t>
      </w:r>
      <w:r w:rsidRPr="00985CB4">
        <w:rPr>
          <w:rFonts w:cs="Times New Roman"/>
        </w:rPr>
        <w:t xml:space="preserve">ex., </w:t>
      </w:r>
      <w:r w:rsidRPr="00985CB4">
        <w:rPr>
          <w:rFonts w:cs="Times New Roman"/>
          <w:i/>
        </w:rPr>
        <w:t>Canadian Centre for Bio</w:t>
      </w:r>
      <w:r>
        <w:rPr>
          <w:rFonts w:cs="Times New Roman"/>
          <w:i/>
        </w:rPr>
        <w:noBreakHyphen/>
      </w:r>
      <w:r w:rsidRPr="00985CB4">
        <w:rPr>
          <w:rFonts w:cs="Times New Roman"/>
          <w:i/>
        </w:rPr>
        <w:t>Ethical Reform c. Grande Prairie (City)</w:t>
      </w:r>
      <w:r w:rsidRPr="00985CB4">
        <w:rPr>
          <w:rFonts w:cs="Times New Roman"/>
        </w:rPr>
        <w:t xml:space="preserve">, 2018 ABCA 154, 67 Alta. L.R. (6th) 230, </w:t>
      </w:r>
      <w:r>
        <w:rPr>
          <w:rFonts w:cs="Times New Roman"/>
        </w:rPr>
        <w:t>par. </w:t>
      </w:r>
      <w:r w:rsidRPr="00985CB4">
        <w:rPr>
          <w:rFonts w:cs="Times New Roman"/>
        </w:rPr>
        <w:t xml:space="preserve">70 et 114). </w:t>
      </w:r>
    </w:p>
    <w:p w14:paraId="15F2B24A"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En conséquence, ni la</w:t>
      </w:r>
      <w:r w:rsidRPr="00985CB4">
        <w:rPr>
          <w:rFonts w:cs="Times New Roman"/>
          <w:i/>
        </w:rPr>
        <w:t xml:space="preserve"> Charte </w:t>
      </w:r>
      <w:r w:rsidRPr="00985CB4">
        <w:rPr>
          <w:rFonts w:cs="Times New Roman"/>
        </w:rPr>
        <w:t>canadienne ni la</w:t>
      </w:r>
      <w:r w:rsidRPr="00985CB4">
        <w:rPr>
          <w:rFonts w:cs="Times New Roman"/>
          <w:i/>
        </w:rPr>
        <w:t xml:space="preserve"> Charte</w:t>
      </w:r>
      <w:r w:rsidRPr="00985CB4">
        <w:rPr>
          <w:rFonts w:cs="Times New Roman"/>
        </w:rPr>
        <w:t xml:space="preserve"> québécoise ne font des propos haineux le seuil à partir duquel des commentaires discriminatoires peuvent donner ouverture à un recours. En ce sens, l</w:t>
      </w:r>
      <w:r>
        <w:rPr>
          <w:rFonts w:cs="Times New Roman"/>
        </w:rPr>
        <w:t>’</w:t>
      </w:r>
      <w:r w:rsidRPr="00985CB4">
        <w:rPr>
          <w:rFonts w:cs="Times New Roman"/>
        </w:rPr>
        <w:t xml:space="preserve">arrêt </w:t>
      </w:r>
      <w:r w:rsidRPr="00985CB4">
        <w:rPr>
          <w:rFonts w:cs="Times New Roman"/>
          <w:i/>
        </w:rPr>
        <w:t xml:space="preserve">Whatcott </w:t>
      </w:r>
      <w:r w:rsidRPr="00985CB4">
        <w:rPr>
          <w:rFonts w:cs="Times New Roman"/>
          <w:iCs/>
        </w:rPr>
        <w:t>n</w:t>
      </w:r>
      <w:r>
        <w:rPr>
          <w:rFonts w:cs="Times New Roman"/>
          <w:iCs/>
        </w:rPr>
        <w:t>’</w:t>
      </w:r>
      <w:r w:rsidRPr="00985CB4">
        <w:rPr>
          <w:rFonts w:cs="Times New Roman"/>
          <w:iCs/>
        </w:rPr>
        <w:t xml:space="preserve">est pas </w:t>
      </w:r>
      <w:r w:rsidRPr="00985CB4">
        <w:rPr>
          <w:rFonts w:cs="Times New Roman"/>
        </w:rPr>
        <w:t>la norme appropriée pour trancher le présent pourvoi.</w:t>
      </w:r>
    </w:p>
    <w:p w14:paraId="1AAE8884" w14:textId="77777777" w:rsidR="00116CBE" w:rsidRPr="00985CB4" w:rsidRDefault="00116CBE" w:rsidP="00116CBE">
      <w:pPr>
        <w:pStyle w:val="ParaNoNdepar-AltN"/>
        <w:rPr>
          <w:rStyle w:val="subsection"/>
          <w:rFonts w:cs="Times New Roman"/>
        </w:rPr>
      </w:pPr>
      <w:r w:rsidRPr="00985CB4">
        <w:rPr>
          <w:rFonts w:cs="Times New Roman"/>
        </w:rPr>
        <w:t>Le seuil approprié en matière de propos discriminatoires pour l</w:t>
      </w:r>
      <w:r>
        <w:rPr>
          <w:rFonts w:cs="Times New Roman"/>
        </w:rPr>
        <w:t>’</w:t>
      </w:r>
      <w:r w:rsidRPr="00985CB4">
        <w:rPr>
          <w:rFonts w:cs="Times New Roman"/>
        </w:rPr>
        <w:t xml:space="preserve">application de la </w:t>
      </w:r>
      <w:r w:rsidRPr="00985CB4">
        <w:rPr>
          <w:rFonts w:cs="Times New Roman"/>
          <w:i/>
        </w:rPr>
        <w:t xml:space="preserve">Charte </w:t>
      </w:r>
      <w:r w:rsidRPr="00985CB4">
        <w:rPr>
          <w:rFonts w:cs="Times New Roman"/>
          <w:iCs/>
        </w:rPr>
        <w:t>qu</w:t>
      </w:r>
      <w:r w:rsidRPr="00985CB4">
        <w:rPr>
          <w:rFonts w:cs="Times New Roman"/>
        </w:rPr>
        <w:t>ébécoise est plutôt celui qui a été énoncé dans l</w:t>
      </w:r>
      <w:r>
        <w:rPr>
          <w:rFonts w:cs="Times New Roman"/>
        </w:rPr>
        <w:t>’</w:t>
      </w:r>
      <w:r w:rsidRPr="00985CB4">
        <w:rPr>
          <w:rFonts w:cs="Times New Roman"/>
        </w:rPr>
        <w:t xml:space="preserve">arrêt </w:t>
      </w:r>
      <w:bookmarkStart w:id="168" w:name="_GoBack"/>
      <w:r w:rsidRPr="00607B5B">
        <w:rPr>
          <w:rStyle w:val="subsection"/>
          <w:rFonts w:cs="Times New Roman"/>
          <w:i/>
        </w:rPr>
        <w:t>Calego</w:t>
      </w:r>
      <w:bookmarkEnd w:id="168"/>
      <w:r w:rsidRPr="00985CB4">
        <w:rPr>
          <w:rStyle w:val="subsection"/>
          <w:rFonts w:cs="Times New Roman"/>
        </w:rPr>
        <w:t xml:space="preserve"> de la Cour d</w:t>
      </w:r>
      <w:r>
        <w:rPr>
          <w:rStyle w:val="subsection"/>
          <w:rFonts w:cs="Times New Roman"/>
        </w:rPr>
        <w:t>’</w:t>
      </w:r>
      <w:r w:rsidRPr="00985CB4">
        <w:rPr>
          <w:rStyle w:val="subsection"/>
          <w:rFonts w:cs="Times New Roman"/>
        </w:rPr>
        <w:t>appel, affaire dans laquelle un employeur avait convoqué tous ses employés asiatiques à une réunion et les avait traités de malpropres parce qu</w:t>
      </w:r>
      <w:r>
        <w:rPr>
          <w:rStyle w:val="subsection"/>
          <w:rFonts w:cs="Times New Roman"/>
        </w:rPr>
        <w:t>’</w:t>
      </w:r>
      <w:r w:rsidRPr="00985CB4">
        <w:rPr>
          <w:rStyle w:val="subsection"/>
          <w:rFonts w:cs="Times New Roman"/>
        </w:rPr>
        <w:t>ils étaient chinois (</w:t>
      </w:r>
      <w:r>
        <w:rPr>
          <w:rStyle w:val="subsection"/>
          <w:rFonts w:cs="Times New Roman"/>
        </w:rPr>
        <w:t>par. </w:t>
      </w:r>
      <w:r w:rsidRPr="00985CB4">
        <w:rPr>
          <w:rStyle w:val="subsection"/>
          <w:rFonts w:cs="Times New Roman"/>
        </w:rPr>
        <w:t>11). La cour a confirmé à l</w:t>
      </w:r>
      <w:r>
        <w:rPr>
          <w:rStyle w:val="subsection"/>
          <w:rFonts w:cs="Times New Roman"/>
        </w:rPr>
        <w:t>’</w:t>
      </w:r>
      <w:r w:rsidRPr="00985CB4">
        <w:rPr>
          <w:rStyle w:val="subsection"/>
          <w:rFonts w:cs="Times New Roman"/>
        </w:rPr>
        <w:t>unanimité la décision du Tribunal selon laquelle les propos de l</w:t>
      </w:r>
      <w:r>
        <w:rPr>
          <w:rStyle w:val="subsection"/>
          <w:rFonts w:cs="Times New Roman"/>
        </w:rPr>
        <w:t>’</w:t>
      </w:r>
      <w:r w:rsidRPr="00985CB4">
        <w:rPr>
          <w:rStyle w:val="subsection"/>
          <w:rFonts w:cs="Times New Roman"/>
        </w:rPr>
        <w:t xml:space="preserve">employeur constituaient une atteinte discriminatoire au droit de chaque employé à la dignité, et donnaient ouverture à un recours en justice sur le fondement des </w:t>
      </w:r>
      <w:r>
        <w:rPr>
          <w:rStyle w:val="subsection"/>
          <w:rFonts w:cs="Times New Roman"/>
        </w:rPr>
        <w:t>art. </w:t>
      </w:r>
      <w:r w:rsidRPr="00985CB4">
        <w:rPr>
          <w:rStyle w:val="subsection"/>
          <w:rFonts w:cs="Times New Roman"/>
        </w:rPr>
        <w:t xml:space="preserve">4 et 10 de la Charte </w:t>
      </w:r>
      <w:r w:rsidRPr="00985CB4">
        <w:rPr>
          <w:rFonts w:cs="Times New Roman"/>
        </w:rPr>
        <w:t>québécoise</w:t>
      </w:r>
      <w:r w:rsidRPr="00985CB4">
        <w:rPr>
          <w:rStyle w:val="subsection"/>
          <w:rFonts w:cs="Times New Roman"/>
        </w:rPr>
        <w:t xml:space="preserve"> (</w:t>
      </w:r>
      <w:r>
        <w:rPr>
          <w:rStyle w:val="subsection"/>
          <w:rFonts w:cs="Times New Roman"/>
        </w:rPr>
        <w:t>par. </w:t>
      </w:r>
      <w:r w:rsidRPr="00985CB4">
        <w:rPr>
          <w:rStyle w:val="subsection"/>
          <w:rFonts w:cs="Times New Roman"/>
        </w:rPr>
        <w:t>55</w:t>
      </w:r>
      <w:r>
        <w:rPr>
          <w:rStyle w:val="subsection"/>
          <w:rFonts w:cs="Times New Roman"/>
        </w:rPr>
        <w:noBreakHyphen/>
      </w:r>
      <w:r w:rsidRPr="00985CB4">
        <w:rPr>
          <w:rStyle w:val="subsection"/>
          <w:rFonts w:cs="Times New Roman"/>
        </w:rPr>
        <w:t>56, 104</w:t>
      </w:r>
      <w:r>
        <w:rPr>
          <w:rStyle w:val="subsection"/>
          <w:rFonts w:cs="Times New Roman"/>
        </w:rPr>
        <w:noBreakHyphen/>
      </w:r>
      <w:r w:rsidRPr="00985CB4">
        <w:rPr>
          <w:rStyle w:val="subsection"/>
          <w:rFonts w:cs="Times New Roman"/>
        </w:rPr>
        <w:t>105 et 118).</w:t>
      </w:r>
    </w:p>
    <w:p w14:paraId="34B7FC4E" w14:textId="77777777" w:rsidR="00116CBE" w:rsidRPr="00985CB4" w:rsidRDefault="00116CBE" w:rsidP="00116CBE">
      <w:pPr>
        <w:pStyle w:val="ParaNoNdepar-AltN"/>
        <w:rPr>
          <w:rFonts w:cs="Times New Roman"/>
        </w:rPr>
      </w:pPr>
      <w:r w:rsidRPr="00985CB4">
        <w:rPr>
          <w:rFonts w:cs="Times New Roman"/>
        </w:rPr>
        <w:t xml:space="preserve">Dans </w:t>
      </w:r>
      <w:r w:rsidRPr="00985CB4">
        <w:rPr>
          <w:rFonts w:cs="Times New Roman"/>
          <w:i/>
        </w:rPr>
        <w:t>Calego</w:t>
      </w:r>
      <w:r w:rsidRPr="00985CB4">
        <w:rPr>
          <w:rFonts w:cs="Times New Roman"/>
        </w:rPr>
        <w:t>, deux juges ont écrit des motifs concordants et le troisième juge de la formation a souscrit aux deux opinions.</w:t>
      </w:r>
      <w:r w:rsidRPr="00985CB4">
        <w:rPr>
          <w:rFonts w:cs="Times New Roman"/>
          <w:i/>
        </w:rPr>
        <w:t xml:space="preserve"> </w:t>
      </w:r>
      <w:r w:rsidRPr="00985CB4">
        <w:rPr>
          <w:rFonts w:cs="Times New Roman"/>
        </w:rPr>
        <w:t>Dans ses motifs, le juge Morissette a expliqué que la question de savoir si des propos compromettent l</w:t>
      </w:r>
      <w:r>
        <w:rPr>
          <w:rFonts w:cs="Times New Roman"/>
        </w:rPr>
        <w:t>’</w:t>
      </w:r>
      <w:r w:rsidRPr="00985CB4">
        <w:rPr>
          <w:rFonts w:cs="Times New Roman"/>
        </w:rPr>
        <w:t>exercice, en pleine égalité, du droit à la dignité est décidée suivant un critère objectif, et non subjectif, mais qui tient compte de la situation du plaignant (</w:t>
      </w:r>
      <w:r>
        <w:rPr>
          <w:rFonts w:cs="Times New Roman"/>
        </w:rPr>
        <w:t>par. </w:t>
      </w:r>
      <w:r w:rsidRPr="00985CB4">
        <w:rPr>
          <w:rFonts w:cs="Times New Roman"/>
        </w:rPr>
        <w:t>99</w:t>
      </w:r>
      <w:r>
        <w:rPr>
          <w:rFonts w:cs="Times New Roman"/>
        </w:rPr>
        <w:noBreakHyphen/>
      </w:r>
      <w:r w:rsidRPr="00985CB4">
        <w:rPr>
          <w:rFonts w:cs="Times New Roman"/>
        </w:rPr>
        <w:t>102). Seuls les propos adressés à un plaignant qui sont « un affront particulièrement méprisant envers son identité raciale, ethnique ou autre, et lourd de conséquences » constitueront de la discrimination (</w:t>
      </w:r>
      <w:r>
        <w:rPr>
          <w:rFonts w:cs="Times New Roman"/>
        </w:rPr>
        <w:t>par. </w:t>
      </w:r>
      <w:r w:rsidRPr="00985CB4">
        <w:rPr>
          <w:rFonts w:cs="Times New Roman"/>
        </w:rPr>
        <w:t>99). Il s</w:t>
      </w:r>
      <w:r>
        <w:rPr>
          <w:rFonts w:cs="Times New Roman"/>
        </w:rPr>
        <w:t>’</w:t>
      </w:r>
      <w:r w:rsidRPr="00985CB4">
        <w:rPr>
          <w:rFonts w:cs="Times New Roman"/>
        </w:rPr>
        <w:t>agit d</w:t>
      </w:r>
      <w:r>
        <w:rPr>
          <w:rFonts w:cs="Times New Roman"/>
        </w:rPr>
        <w:t>’</w:t>
      </w:r>
      <w:r w:rsidRPr="00985CB4">
        <w:rPr>
          <w:rFonts w:cs="Times New Roman"/>
        </w:rPr>
        <w:t>une analyse factuelle et éminemment contextuelle. Parce que les plaignants dans cette affaire étaient vulnérables et qu</w:t>
      </w:r>
      <w:r>
        <w:rPr>
          <w:rFonts w:cs="Times New Roman"/>
        </w:rPr>
        <w:t>’</w:t>
      </w:r>
      <w:r w:rsidRPr="00985CB4">
        <w:rPr>
          <w:rFonts w:cs="Times New Roman"/>
        </w:rPr>
        <w:t>ils se trouvaient sur les lieux de travail, contraints d</w:t>
      </w:r>
      <w:r>
        <w:rPr>
          <w:rFonts w:cs="Times New Roman"/>
        </w:rPr>
        <w:t>’</w:t>
      </w:r>
      <w:r w:rsidRPr="00985CB4">
        <w:rPr>
          <w:rFonts w:cs="Times New Roman"/>
        </w:rPr>
        <w:t>écouter les propos et de souffrir en silence pendant qu</w:t>
      </w:r>
      <w:r>
        <w:rPr>
          <w:rFonts w:cs="Times New Roman"/>
        </w:rPr>
        <w:t>’</w:t>
      </w:r>
      <w:r w:rsidRPr="00985CB4">
        <w:rPr>
          <w:rFonts w:cs="Times New Roman"/>
        </w:rPr>
        <w:t>ils étaient ciblés en raison de leur appartenance à un groupe ethnique, il était clair qu</w:t>
      </w:r>
      <w:r>
        <w:rPr>
          <w:rFonts w:cs="Times New Roman"/>
        </w:rPr>
        <w:t>’</w:t>
      </w:r>
      <w:r w:rsidRPr="00985CB4">
        <w:rPr>
          <w:rFonts w:cs="Times New Roman"/>
        </w:rPr>
        <w:t>ils avaient souffert de discrimination (</w:t>
      </w:r>
      <w:r>
        <w:rPr>
          <w:rFonts w:cs="Times New Roman"/>
        </w:rPr>
        <w:t>par. </w:t>
      </w:r>
      <w:r w:rsidRPr="00985CB4">
        <w:rPr>
          <w:rFonts w:cs="Times New Roman"/>
        </w:rPr>
        <w:t>104</w:t>
      </w:r>
      <w:r>
        <w:rPr>
          <w:rFonts w:cs="Times New Roman"/>
        </w:rPr>
        <w:noBreakHyphen/>
      </w:r>
      <w:r w:rsidRPr="00985CB4">
        <w:rPr>
          <w:rFonts w:cs="Times New Roman"/>
        </w:rPr>
        <w:t>105).</w:t>
      </w:r>
    </w:p>
    <w:p w14:paraId="115719B3" w14:textId="77777777" w:rsidR="00116CBE" w:rsidRPr="00985CB4" w:rsidRDefault="00116CBE" w:rsidP="00116CBE">
      <w:pPr>
        <w:pStyle w:val="ParaNoNdepar-AltN"/>
        <w:rPr>
          <w:rFonts w:cs="Times New Roman"/>
        </w:rPr>
      </w:pPr>
      <w:r w:rsidRPr="00985CB4">
        <w:rPr>
          <w:rFonts w:cs="Times New Roman"/>
        </w:rPr>
        <w:t>Le juge Vézina a convenu que des propos insultants fondés sur un motif interdit pouvaient constituer de la discrimination visée par l</w:t>
      </w:r>
      <w:r>
        <w:rPr>
          <w:rFonts w:cs="Times New Roman"/>
        </w:rPr>
        <w:t>’art. </w:t>
      </w:r>
      <w:r w:rsidRPr="00985CB4">
        <w:rPr>
          <w:rFonts w:cs="Times New Roman"/>
        </w:rPr>
        <w:t>10. Ce sera le cas lorsque les propos constituent « une atteinte d</w:t>
      </w:r>
      <w:r>
        <w:rPr>
          <w:rFonts w:cs="Times New Roman"/>
        </w:rPr>
        <w:t>’</w:t>
      </w:r>
      <w:r w:rsidRPr="00985CB4">
        <w:rPr>
          <w:rFonts w:cs="Times New Roman"/>
        </w:rPr>
        <w:t>une réelle gravité », et il a souligné que le « seuil est élevé » (</w:t>
      </w:r>
      <w:r>
        <w:rPr>
          <w:rFonts w:cs="Times New Roman"/>
        </w:rPr>
        <w:t>par. </w:t>
      </w:r>
      <w:r w:rsidRPr="00985CB4">
        <w:rPr>
          <w:rFonts w:cs="Times New Roman"/>
        </w:rPr>
        <w:t>50). Faisant état de la conclusion du juge du tribunal selon laquelle les employés avaient été ébranlés et blessés psychologiquement par les paroles de l</w:t>
      </w:r>
      <w:r>
        <w:rPr>
          <w:rFonts w:cs="Times New Roman"/>
        </w:rPr>
        <w:t>’</w:t>
      </w:r>
      <w:r w:rsidRPr="00985CB4">
        <w:rPr>
          <w:rFonts w:cs="Times New Roman"/>
        </w:rPr>
        <w:t>employeur, il était d</w:t>
      </w:r>
      <w:r>
        <w:rPr>
          <w:rFonts w:cs="Times New Roman"/>
        </w:rPr>
        <w:t>’</w:t>
      </w:r>
      <w:r w:rsidRPr="00985CB4">
        <w:rPr>
          <w:rFonts w:cs="Times New Roman"/>
        </w:rPr>
        <w:t>avis que les propos en question avaient violé leur droit à l</w:t>
      </w:r>
      <w:r>
        <w:rPr>
          <w:rFonts w:cs="Times New Roman"/>
        </w:rPr>
        <w:t>’</w:t>
      </w:r>
      <w:r w:rsidRPr="00985CB4">
        <w:rPr>
          <w:rFonts w:cs="Times New Roman"/>
        </w:rPr>
        <w:t>exercice, en toute égalité, au droit à la dignité (</w:t>
      </w:r>
      <w:r>
        <w:rPr>
          <w:rFonts w:cs="Times New Roman"/>
        </w:rPr>
        <w:t>par. </w:t>
      </w:r>
      <w:r w:rsidRPr="00985CB4">
        <w:rPr>
          <w:rFonts w:cs="Times New Roman"/>
        </w:rPr>
        <w:t>54</w:t>
      </w:r>
      <w:r>
        <w:rPr>
          <w:rFonts w:cs="Times New Roman"/>
        </w:rPr>
        <w:noBreakHyphen/>
      </w:r>
      <w:r w:rsidRPr="00985CB4">
        <w:rPr>
          <w:rFonts w:cs="Times New Roman"/>
        </w:rPr>
        <w:t xml:space="preserve">56). </w:t>
      </w:r>
    </w:p>
    <w:p w14:paraId="5581A7F1" w14:textId="77777777" w:rsidR="00116CBE" w:rsidRPr="00985CB4" w:rsidRDefault="00116CBE" w:rsidP="00116CBE">
      <w:pPr>
        <w:pStyle w:val="ParaNoNdepar-AltN"/>
        <w:rPr>
          <w:rFonts w:cs="Times New Roman"/>
        </w:rPr>
      </w:pPr>
      <w:r w:rsidRPr="00985CB4">
        <w:rPr>
          <w:rFonts w:cs="Times New Roman"/>
          <w:iCs/>
        </w:rPr>
        <w:t>L</w:t>
      </w:r>
      <w:r>
        <w:rPr>
          <w:rFonts w:cs="Times New Roman"/>
          <w:iCs/>
        </w:rPr>
        <w:t>’</w:t>
      </w:r>
      <w:r w:rsidRPr="00985CB4">
        <w:rPr>
          <w:rFonts w:cs="Times New Roman"/>
          <w:iCs/>
        </w:rPr>
        <w:t xml:space="preserve">arrêt </w:t>
      </w:r>
      <w:r w:rsidRPr="00985CB4">
        <w:rPr>
          <w:rFonts w:cs="Times New Roman"/>
          <w:i/>
        </w:rPr>
        <w:t xml:space="preserve">Calego </w:t>
      </w:r>
      <w:r w:rsidRPr="00985CB4">
        <w:rPr>
          <w:rFonts w:cs="Times New Roman"/>
        </w:rPr>
        <w:t>s</w:t>
      </w:r>
      <w:r>
        <w:rPr>
          <w:rFonts w:cs="Times New Roman"/>
        </w:rPr>
        <w:t>’</w:t>
      </w:r>
      <w:r w:rsidRPr="00985CB4">
        <w:rPr>
          <w:rFonts w:cs="Times New Roman"/>
        </w:rPr>
        <w:t>appuyait sur une abondante jurisprudence du Tribunal ayant conclu que des propos fondés sur un motif énuméré à l</w:t>
      </w:r>
      <w:r>
        <w:rPr>
          <w:rFonts w:cs="Times New Roman"/>
        </w:rPr>
        <w:t>’art. </w:t>
      </w:r>
      <w:r w:rsidRPr="00985CB4">
        <w:rPr>
          <w:rFonts w:cs="Times New Roman"/>
        </w:rPr>
        <w:t xml:space="preserve">10 de la </w:t>
      </w:r>
      <w:r w:rsidRPr="00985CB4">
        <w:rPr>
          <w:rFonts w:cs="Times New Roman"/>
          <w:i/>
        </w:rPr>
        <w:t>Charte</w:t>
      </w:r>
      <w:r w:rsidRPr="00985CB4">
        <w:rPr>
          <w:rFonts w:cs="Times New Roman"/>
        </w:rPr>
        <w:t xml:space="preserve"> québécoise qui compromettent l</w:t>
      </w:r>
      <w:r>
        <w:rPr>
          <w:rFonts w:cs="Times New Roman"/>
        </w:rPr>
        <w:t>’</w:t>
      </w:r>
      <w:r w:rsidRPr="00985CB4">
        <w:rPr>
          <w:rFonts w:cs="Times New Roman"/>
        </w:rPr>
        <w:t>exercice, en pleine égalité, du droit d</w:t>
      </w:r>
      <w:r>
        <w:rPr>
          <w:rFonts w:cs="Times New Roman"/>
        </w:rPr>
        <w:t>’</w:t>
      </w:r>
      <w:r w:rsidRPr="00985CB4">
        <w:rPr>
          <w:rFonts w:cs="Times New Roman"/>
        </w:rPr>
        <w:t xml:space="preserve">une personne à la sauvegarde de sa dignité constituent de la discrimination donnant ouverture à un recours en justice (voir, </w:t>
      </w:r>
      <w:r>
        <w:rPr>
          <w:rFonts w:cs="Times New Roman"/>
        </w:rPr>
        <w:t>p. </w:t>
      </w:r>
      <w:r w:rsidRPr="00985CB4">
        <w:rPr>
          <w:rFonts w:cs="Times New Roman"/>
        </w:rPr>
        <w:t xml:space="preserve">ex., </w:t>
      </w:r>
      <w:r w:rsidRPr="00985CB4">
        <w:rPr>
          <w:rFonts w:cs="Times New Roman"/>
          <w:i/>
        </w:rPr>
        <w:t>Commission des droits de la personne et des droits de la jeunesse c. Chamberland</w:t>
      </w:r>
      <w:r w:rsidRPr="00985CB4">
        <w:rPr>
          <w:rFonts w:cs="Times New Roman"/>
        </w:rPr>
        <w:t xml:space="preserve">, 2013 QCTDP 37; </w:t>
      </w:r>
      <w:r w:rsidRPr="00985CB4">
        <w:rPr>
          <w:rFonts w:cs="Times New Roman"/>
          <w:i/>
        </w:rPr>
        <w:t>De Gaston</w:t>
      </w:r>
      <w:r w:rsidRPr="00985CB4">
        <w:rPr>
          <w:rFonts w:cs="Times New Roman"/>
        </w:rPr>
        <w:t>).</w:t>
      </w:r>
    </w:p>
    <w:p w14:paraId="6A14A011" w14:textId="77777777" w:rsidR="00116CBE" w:rsidRPr="00E20036" w:rsidRDefault="00116CBE" w:rsidP="00116CBE">
      <w:pPr>
        <w:pStyle w:val="ParaNoNdepar-AltN"/>
        <w:tabs>
          <w:tab w:val="clear" w:pos="1152"/>
          <w:tab w:val="left" w:pos="1166"/>
        </w:tabs>
      </w:pPr>
      <w:r w:rsidRPr="00985CB4">
        <w:rPr>
          <w:rFonts w:cs="Times New Roman"/>
        </w:rPr>
        <w:t xml:space="preserve">Suivant </w:t>
      </w:r>
      <w:r w:rsidRPr="00985CB4">
        <w:rPr>
          <w:rFonts w:cs="Times New Roman"/>
          <w:i/>
        </w:rPr>
        <w:t>Calego</w:t>
      </w:r>
      <w:r w:rsidRPr="00985CB4">
        <w:rPr>
          <w:rFonts w:cs="Times New Roman"/>
        </w:rPr>
        <w:t>, des propos fondés sur un motif énuméré violeront la garantie de l</w:t>
      </w:r>
      <w:r>
        <w:rPr>
          <w:rFonts w:cs="Times New Roman"/>
        </w:rPr>
        <w:t>’art. </w:t>
      </w:r>
      <w:r w:rsidRPr="00985CB4">
        <w:rPr>
          <w:rFonts w:cs="Times New Roman"/>
        </w:rPr>
        <w:t>10 à l</w:t>
      </w:r>
      <w:r>
        <w:rPr>
          <w:rFonts w:cs="Times New Roman"/>
        </w:rPr>
        <w:t>’</w:t>
      </w:r>
      <w:r w:rsidRPr="00985CB4">
        <w:rPr>
          <w:rFonts w:cs="Times New Roman"/>
        </w:rPr>
        <w:t>exercice, en pleine égalité, du droit prévu à l</w:t>
      </w:r>
      <w:r>
        <w:rPr>
          <w:rFonts w:cs="Times New Roman"/>
        </w:rPr>
        <w:t>’art. </w:t>
      </w:r>
      <w:r w:rsidRPr="00985CB4">
        <w:rPr>
          <w:rFonts w:cs="Times New Roman"/>
        </w:rPr>
        <w:t>4 à la sauvegarde de la dignité lorsqu</w:t>
      </w:r>
      <w:r>
        <w:rPr>
          <w:rFonts w:cs="Times New Roman"/>
        </w:rPr>
        <w:t>’</w:t>
      </w:r>
      <w:r w:rsidRPr="00985CB4">
        <w:rPr>
          <w:rFonts w:cs="Times New Roman"/>
        </w:rPr>
        <w:t>ils constituent un affront si méprisant envers l</w:t>
      </w:r>
      <w:r>
        <w:rPr>
          <w:rFonts w:cs="Times New Roman"/>
        </w:rPr>
        <w:t>’</w:t>
      </w:r>
      <w:r w:rsidRPr="00985CB4">
        <w:rPr>
          <w:rFonts w:cs="Times New Roman"/>
        </w:rPr>
        <w:t>identité du plaignant qu</w:t>
      </w:r>
      <w:r>
        <w:rPr>
          <w:rFonts w:cs="Times New Roman"/>
        </w:rPr>
        <w:t>’</w:t>
      </w:r>
      <w:r w:rsidRPr="00985CB4">
        <w:rPr>
          <w:rFonts w:cs="Times New Roman"/>
        </w:rPr>
        <w:t>ils auraient des conséquences graves sur une personne raisonnable qui se trouverait dans la situation de cet individu. Cette personne raisonnable serait consciente de l</w:t>
      </w:r>
      <w:r>
        <w:rPr>
          <w:rFonts w:cs="Times New Roman"/>
        </w:rPr>
        <w:t>’</w:t>
      </w:r>
      <w:r w:rsidRPr="00985CB4">
        <w:rPr>
          <w:rFonts w:cs="Times New Roman"/>
        </w:rPr>
        <w:t>importance de la liberté d</w:t>
      </w:r>
      <w:r>
        <w:rPr>
          <w:rFonts w:cs="Times New Roman"/>
        </w:rPr>
        <w:t>’</w:t>
      </w:r>
      <w:r w:rsidRPr="00985CB4">
        <w:rPr>
          <w:rFonts w:cs="Times New Roman"/>
        </w:rPr>
        <w:t xml:space="preserve">expression dans une société démocratique, et </w:t>
      </w:r>
      <w:r>
        <w:rPr>
          <w:rFonts w:cs="Times New Roman"/>
        </w:rPr>
        <w:t xml:space="preserve">serait </w:t>
      </w:r>
      <w:r w:rsidRPr="00985CB4">
        <w:rPr>
          <w:rFonts w:cs="Times New Roman"/>
        </w:rPr>
        <w:t>en conséquence censée tolérer des propos blessants, même liés à des motifs protégés, mais n</w:t>
      </w:r>
      <w:r>
        <w:rPr>
          <w:rFonts w:cs="Times New Roman"/>
        </w:rPr>
        <w:t>’</w:t>
      </w:r>
      <w:r w:rsidRPr="00985CB4">
        <w:rPr>
          <w:rFonts w:cs="Times New Roman"/>
        </w:rPr>
        <w:t>atteignant pas un seuil élevé de gravité (</w:t>
      </w:r>
      <w:r w:rsidRPr="00985CB4">
        <w:rPr>
          <w:rFonts w:cs="Times New Roman"/>
          <w:i/>
        </w:rPr>
        <w:t>Calego</w:t>
      </w:r>
      <w:r w:rsidRPr="00985CB4">
        <w:rPr>
          <w:rFonts w:cs="Times New Roman"/>
        </w:rPr>
        <w:t xml:space="preserve">, </w:t>
      </w:r>
      <w:r>
        <w:rPr>
          <w:rFonts w:cs="Times New Roman"/>
        </w:rPr>
        <w:t>par. </w:t>
      </w:r>
      <w:r w:rsidRPr="00985CB4">
        <w:rPr>
          <w:rFonts w:cs="Times New Roman"/>
        </w:rPr>
        <w:t xml:space="preserve">99; voir aussi </w:t>
      </w:r>
      <w:r w:rsidRPr="00985CB4">
        <w:rPr>
          <w:rFonts w:cs="Times New Roman"/>
          <w:i/>
        </w:rPr>
        <w:t>Yapi c. Moustafa</w:t>
      </w:r>
      <w:r w:rsidRPr="00E20036">
        <w:t>, 2021 QCTDP 9, par</w:t>
      </w:r>
      <w:r>
        <w:rPr>
          <w:rFonts w:cs="Times New Roman"/>
        </w:rPr>
        <w:t>. </w:t>
      </w:r>
      <w:r w:rsidRPr="00E20036">
        <w:t>37 (CanLII);</w:t>
      </w:r>
      <w:r w:rsidRPr="00985CB4">
        <w:rPr>
          <w:rFonts w:cs="Times New Roman"/>
        </w:rPr>
        <w:t xml:space="preserve"> </w:t>
      </w:r>
      <w:r w:rsidRPr="00985CB4">
        <w:rPr>
          <w:rFonts w:cs="Times New Roman"/>
          <w:i/>
        </w:rPr>
        <w:t>Ferdia c. 9142</w:t>
      </w:r>
      <w:r>
        <w:rPr>
          <w:rFonts w:cs="Times New Roman"/>
          <w:i/>
        </w:rPr>
        <w:noBreakHyphen/>
      </w:r>
      <w:r w:rsidRPr="00985CB4">
        <w:rPr>
          <w:rFonts w:cs="Times New Roman"/>
          <w:i/>
        </w:rPr>
        <w:t>7963 Québec inc.</w:t>
      </w:r>
      <w:r w:rsidRPr="00985CB4">
        <w:rPr>
          <w:rFonts w:cs="Times New Roman"/>
        </w:rPr>
        <w:t xml:space="preserve">, </w:t>
      </w:r>
      <w:r w:rsidRPr="00E20036">
        <w:t>2021 QCTDP 2, par. 28 (CanLII)).</w:t>
      </w:r>
    </w:p>
    <w:p w14:paraId="344D8C03"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Comme l</w:t>
      </w:r>
      <w:r>
        <w:rPr>
          <w:rFonts w:cs="Times New Roman"/>
        </w:rPr>
        <w:t>’</w:t>
      </w:r>
      <w:r w:rsidRPr="00985CB4">
        <w:rPr>
          <w:rFonts w:cs="Times New Roman"/>
        </w:rPr>
        <w:t xml:space="preserve">explique le juge Morissette dans </w:t>
      </w:r>
      <w:r w:rsidRPr="00985CB4">
        <w:rPr>
          <w:rFonts w:cs="Times New Roman"/>
          <w:i/>
        </w:rPr>
        <w:t>Calego</w:t>
      </w:r>
      <w:r w:rsidRPr="00985CB4">
        <w:rPr>
          <w:rFonts w:cs="Times New Roman"/>
        </w:rPr>
        <w:t xml:space="preserve">, au </w:t>
      </w:r>
      <w:r>
        <w:rPr>
          <w:rFonts w:cs="Times New Roman"/>
        </w:rPr>
        <w:t>par. </w:t>
      </w:r>
      <w:r w:rsidRPr="00985CB4">
        <w:rPr>
          <w:rFonts w:cs="Times New Roman"/>
        </w:rPr>
        <w:t>102,</w:t>
      </w:r>
      <w:r w:rsidRPr="00985CB4">
        <w:rPr>
          <w:rFonts w:cs="Times New Roman"/>
          <w:i/>
        </w:rPr>
        <w:t xml:space="preserve"> </w:t>
      </w:r>
      <w:r w:rsidRPr="00985CB4">
        <w:rPr>
          <w:rFonts w:cs="Times New Roman"/>
        </w:rPr>
        <w:t>bien que la question de savoir si des propos portent atteinte à la dignité soit évaluée objectivement, l</w:t>
      </w:r>
      <w:r>
        <w:rPr>
          <w:rFonts w:cs="Times New Roman"/>
        </w:rPr>
        <w:t>’</w:t>
      </w:r>
      <w:r w:rsidRPr="00985CB4">
        <w:rPr>
          <w:rFonts w:cs="Times New Roman"/>
        </w:rPr>
        <w:t>évaluation doit prendre en compte les caractéristiques particulières du plaignant et tenir compte de l</w:t>
      </w:r>
      <w:r>
        <w:rPr>
          <w:rFonts w:cs="Times New Roman"/>
        </w:rPr>
        <w:t>’</w:t>
      </w:r>
      <w:r w:rsidRPr="00985CB4">
        <w:rPr>
          <w:rFonts w:cs="Times New Roman"/>
        </w:rPr>
        <w:t>ensemble du contexte dans lequel les propos sont formulés</w:t>
      </w:r>
      <w:r>
        <w:rPr>
          <w:rFonts w:cs="Times New Roman"/>
        </w:rPr>
        <w:t> :</w:t>
      </w:r>
    </w:p>
    <w:p w14:paraId="1E010EC8" w14:textId="77777777" w:rsidR="00116CBE" w:rsidRPr="00985CB4" w:rsidRDefault="00116CBE" w:rsidP="00116CBE">
      <w:pPr>
        <w:pStyle w:val="Citation-AltC"/>
        <w:ind w:hanging="1166"/>
      </w:pPr>
      <w:r>
        <w:tab/>
      </w:r>
      <w:r>
        <w:tab/>
      </w:r>
      <w:r w:rsidRPr="00985CB4">
        <w:t>Le critère applicable est donc d</w:t>
      </w:r>
      <w:r>
        <w:t>’</w:t>
      </w:r>
      <w:r w:rsidRPr="00985CB4">
        <w:t>abord objectif. Cela dit, il faut en évaluer l</w:t>
      </w:r>
      <w:r>
        <w:t>’</w:t>
      </w:r>
      <w:r w:rsidRPr="00985CB4">
        <w:t>impact dans le contexte précis où quelqu</w:t>
      </w:r>
      <w:r>
        <w:t>’</w:t>
      </w:r>
      <w:r w:rsidRPr="00985CB4">
        <w:t>un se prétend victime de discrimination. Dans cette mesure, on atténue le caractère abstrait du critère (celui qu</w:t>
      </w:r>
      <w:r>
        <w:t>’</w:t>
      </w:r>
      <w:r w:rsidRPr="00985CB4">
        <w:t>exprime la notion de personne objectivement raisonnable) et l</w:t>
      </w:r>
      <w:r>
        <w:t>’</w:t>
      </w:r>
      <w:r w:rsidRPr="00985CB4">
        <w:t>on se rapproche de la situation particulière de l</w:t>
      </w:r>
      <w:r>
        <w:t>’</w:t>
      </w:r>
      <w:r w:rsidRPr="00985CB4">
        <w:t>individu qui se prétend victime de discrimination.</w:t>
      </w:r>
    </w:p>
    <w:p w14:paraId="29A0D145" w14:textId="77777777" w:rsidR="00116CBE" w:rsidRPr="00985CB4" w:rsidRDefault="00116CBE" w:rsidP="00116CBE">
      <w:pPr>
        <w:pStyle w:val="ParaNoNdepar-AltN"/>
        <w:tabs>
          <w:tab w:val="clear" w:pos="1152"/>
          <w:tab w:val="left" w:pos="1166"/>
        </w:tabs>
        <w:rPr>
          <w:rFonts w:cs="Times New Roman"/>
        </w:rPr>
      </w:pPr>
      <w:r w:rsidRPr="00985CB4">
        <w:rPr>
          <w:rFonts w:cs="Times New Roman"/>
          <w:iCs/>
        </w:rPr>
        <w:t>En outre, suivant l</w:t>
      </w:r>
      <w:r>
        <w:rPr>
          <w:rFonts w:cs="Times New Roman"/>
          <w:iCs/>
        </w:rPr>
        <w:t>’</w:t>
      </w:r>
      <w:r w:rsidRPr="00985CB4">
        <w:rPr>
          <w:rFonts w:cs="Times New Roman"/>
          <w:iCs/>
        </w:rPr>
        <w:t xml:space="preserve">arrêt </w:t>
      </w:r>
      <w:r w:rsidRPr="00985CB4">
        <w:rPr>
          <w:rFonts w:cs="Times New Roman"/>
          <w:i/>
        </w:rPr>
        <w:t>Calego</w:t>
      </w:r>
      <w:r w:rsidRPr="00985CB4">
        <w:rPr>
          <w:rFonts w:cs="Times New Roman"/>
        </w:rPr>
        <w:t>, la manière dont les propos reprochés ont été prononcés est pertinente pour déterminer si ces propos compromettent l</w:t>
      </w:r>
      <w:r>
        <w:rPr>
          <w:rFonts w:cs="Times New Roman"/>
        </w:rPr>
        <w:t>’</w:t>
      </w:r>
      <w:r w:rsidRPr="00985CB4">
        <w:rPr>
          <w:rFonts w:cs="Times New Roman"/>
        </w:rPr>
        <w:t>exercice par une personne, en pleine égalité, du droit à la sauvegarde de sa dignité. Dans cette affaire, parce que les employés formaient un « auditoire “captif” » qui n</w:t>
      </w:r>
      <w:r>
        <w:rPr>
          <w:rFonts w:cs="Times New Roman"/>
        </w:rPr>
        <w:t>’</w:t>
      </w:r>
      <w:r w:rsidRPr="00985CB4">
        <w:rPr>
          <w:rFonts w:cs="Times New Roman"/>
        </w:rPr>
        <w:t>avait d</w:t>
      </w:r>
      <w:r>
        <w:rPr>
          <w:rFonts w:cs="Times New Roman"/>
        </w:rPr>
        <w:t>’</w:t>
      </w:r>
      <w:r w:rsidRPr="00985CB4">
        <w:rPr>
          <w:rFonts w:cs="Times New Roman"/>
        </w:rPr>
        <w:t>autre choix que d</w:t>
      </w:r>
      <w:r>
        <w:rPr>
          <w:rFonts w:cs="Times New Roman"/>
        </w:rPr>
        <w:t>’</w:t>
      </w:r>
      <w:r w:rsidRPr="00985CB4">
        <w:rPr>
          <w:rFonts w:cs="Times New Roman"/>
        </w:rPr>
        <w:t>écouter celui qui parlait, il était davantage probable que les propos portent atteinte à leur dignité (</w:t>
      </w:r>
      <w:r>
        <w:rPr>
          <w:rFonts w:cs="Times New Roman"/>
        </w:rPr>
        <w:t>par. </w:t>
      </w:r>
      <w:r w:rsidRPr="00985CB4">
        <w:rPr>
          <w:rFonts w:cs="Times New Roman"/>
        </w:rPr>
        <w:t xml:space="preserve">103). </w:t>
      </w:r>
    </w:p>
    <w:p w14:paraId="198909E7" w14:textId="77777777" w:rsidR="00116CBE" w:rsidRPr="00985CB4" w:rsidRDefault="00116CBE" w:rsidP="00116CBE">
      <w:pPr>
        <w:pStyle w:val="ParaNoNdepar-AltN"/>
        <w:rPr>
          <w:rFonts w:cs="Times New Roman"/>
        </w:rPr>
      </w:pPr>
      <w:r w:rsidRPr="00985CB4">
        <w:rPr>
          <w:rFonts w:cs="Times New Roman"/>
        </w:rPr>
        <w:t>En l</w:t>
      </w:r>
      <w:r>
        <w:rPr>
          <w:rFonts w:cs="Times New Roman"/>
        </w:rPr>
        <w:t>’</w:t>
      </w:r>
      <w:r w:rsidRPr="00985CB4">
        <w:rPr>
          <w:rFonts w:cs="Times New Roman"/>
        </w:rPr>
        <w:t>espèce, le Tribunal a conclu que les propos de M. Ward constituaient de la discrimination parce qu</w:t>
      </w:r>
      <w:r>
        <w:rPr>
          <w:rFonts w:cs="Times New Roman"/>
        </w:rPr>
        <w:t>’</w:t>
      </w:r>
      <w:r w:rsidRPr="00985CB4">
        <w:rPr>
          <w:rFonts w:cs="Times New Roman"/>
        </w:rPr>
        <w:t>ils compromettaient l</w:t>
      </w:r>
      <w:r>
        <w:rPr>
          <w:rFonts w:cs="Times New Roman"/>
        </w:rPr>
        <w:t>’</w:t>
      </w:r>
      <w:r w:rsidRPr="00985CB4">
        <w:rPr>
          <w:rFonts w:cs="Times New Roman"/>
        </w:rPr>
        <w:t>exercice par M. Gabriel, en pleine égalité, de ses droits à la sauvegarde de sa dignité et de son honneur (</w:t>
      </w:r>
      <w:r>
        <w:rPr>
          <w:rFonts w:cs="Times New Roman"/>
        </w:rPr>
        <w:t>par. </w:t>
      </w:r>
      <w:r w:rsidRPr="00985CB4">
        <w:rPr>
          <w:rFonts w:cs="Times New Roman"/>
        </w:rPr>
        <w:t>102), ainsi que de sa réputation (</w:t>
      </w:r>
      <w:r>
        <w:rPr>
          <w:rFonts w:cs="Times New Roman"/>
        </w:rPr>
        <w:t>par. </w:t>
      </w:r>
      <w:r w:rsidRPr="00985CB4">
        <w:rPr>
          <w:rFonts w:cs="Times New Roman"/>
        </w:rPr>
        <w:t xml:space="preserve">116). Dans </w:t>
      </w:r>
      <w:r w:rsidRPr="00985CB4">
        <w:rPr>
          <w:rFonts w:cs="Times New Roman"/>
          <w:i/>
        </w:rPr>
        <w:t>Calego</w:t>
      </w:r>
      <w:r w:rsidRPr="00985CB4">
        <w:rPr>
          <w:rFonts w:cs="Times New Roman"/>
        </w:rPr>
        <w:t>, le juge Morissette a explicitement fait observer que ces notions sont distinctes, et il a cherché à distinguer, en particulier, la notion de dignité et les notions d</w:t>
      </w:r>
      <w:r>
        <w:rPr>
          <w:rFonts w:cs="Times New Roman"/>
        </w:rPr>
        <w:t>’</w:t>
      </w:r>
      <w:r w:rsidRPr="00985CB4">
        <w:rPr>
          <w:rFonts w:cs="Times New Roman"/>
        </w:rPr>
        <w:t xml:space="preserve">honneur et de réputation. Il a souligné, au </w:t>
      </w:r>
      <w:r>
        <w:rPr>
          <w:rFonts w:cs="Times New Roman"/>
        </w:rPr>
        <w:t>par. </w:t>
      </w:r>
      <w:r w:rsidRPr="00985CB4">
        <w:rPr>
          <w:rFonts w:cs="Times New Roman"/>
        </w:rPr>
        <w:t>101, que dans ce contexte la dignité se rapportait précisément au respect dû aux individus du fait de leur statut d</w:t>
      </w:r>
      <w:r>
        <w:rPr>
          <w:rFonts w:cs="Times New Roman"/>
        </w:rPr>
        <w:t>’</w:t>
      </w:r>
      <w:r w:rsidRPr="00985CB4">
        <w:rPr>
          <w:rFonts w:cs="Times New Roman"/>
        </w:rPr>
        <w:t>êtres humains, et qu</w:t>
      </w:r>
      <w:r>
        <w:rPr>
          <w:rFonts w:cs="Times New Roman"/>
        </w:rPr>
        <w:t>’</w:t>
      </w:r>
      <w:r w:rsidRPr="00985CB4">
        <w:rPr>
          <w:rFonts w:cs="Times New Roman"/>
        </w:rPr>
        <w:t>elle n</w:t>
      </w:r>
      <w:r>
        <w:rPr>
          <w:rFonts w:cs="Times New Roman"/>
        </w:rPr>
        <w:t>’</w:t>
      </w:r>
      <w:r w:rsidRPr="00985CB4">
        <w:rPr>
          <w:rFonts w:cs="Times New Roman"/>
        </w:rPr>
        <w:t>était pas nécessairement liée au regard des autres dans la société</w:t>
      </w:r>
      <w:r>
        <w:rPr>
          <w:rFonts w:cs="Times New Roman"/>
        </w:rPr>
        <w:t> :</w:t>
      </w:r>
    </w:p>
    <w:p w14:paraId="394DA17C" w14:textId="77777777" w:rsidR="00116CBE" w:rsidRPr="00985CB4" w:rsidRDefault="00116CBE" w:rsidP="00116CBE">
      <w:pPr>
        <w:pStyle w:val="Citation-AltC"/>
        <w:ind w:hanging="1166"/>
      </w:pPr>
      <w:r>
        <w:tab/>
      </w:r>
      <w:r>
        <w:tab/>
      </w:r>
      <w:r w:rsidRPr="00985CB4">
        <w:t>En outre, les notions de dignité, d</w:t>
      </w:r>
      <w:r>
        <w:t>’</w:t>
      </w:r>
      <w:r w:rsidRPr="00985CB4">
        <w:t>honneur et de réputation ne sont pas réductibles à une seule et même chose. J</w:t>
      </w:r>
      <w:r>
        <w:t>’</w:t>
      </w:r>
      <w:r w:rsidRPr="00985CB4">
        <w:t>incline à penser que les deux dernières connotent, quoique peut</w:t>
      </w:r>
      <w:r>
        <w:noBreakHyphen/>
      </w:r>
      <w:r w:rsidRPr="00985CB4">
        <w:t>être à des degrés différents, l</w:t>
      </w:r>
      <w:r>
        <w:t>’</w:t>
      </w:r>
      <w:r w:rsidRPr="00985CB4">
        <w:t>idée d</w:t>
      </w:r>
      <w:r>
        <w:t>’</w:t>
      </w:r>
      <w:r w:rsidRPr="00985CB4">
        <w:t>un regard porté par un tiers sur la personne qui se prétend victime de l</w:t>
      </w:r>
      <w:r>
        <w:t>’</w:t>
      </w:r>
      <w:r w:rsidRPr="00985CB4">
        <w:t>atteinte. Ce n</w:t>
      </w:r>
      <w:r>
        <w:t>’</w:t>
      </w:r>
      <w:r w:rsidRPr="00985CB4">
        <w:t>est pas le cas, me semble</w:t>
      </w:r>
      <w:r>
        <w:noBreakHyphen/>
      </w:r>
      <w:r w:rsidRPr="00985CB4">
        <w:t>t</w:t>
      </w:r>
      <w:r>
        <w:noBreakHyphen/>
      </w:r>
      <w:r w:rsidRPr="00985CB4">
        <w:t>il, de la première, puisque la dignité est le respect auquel a droit la personne pour elle</w:t>
      </w:r>
      <w:r>
        <w:noBreakHyphen/>
      </w:r>
      <w:r w:rsidRPr="00985CB4">
        <w:t>même, en tant qu</w:t>
      </w:r>
      <w:r>
        <w:t>’</w:t>
      </w:r>
      <w:r w:rsidRPr="00985CB4">
        <w:t>être humain et sujet de droit.</w:t>
      </w:r>
    </w:p>
    <w:p w14:paraId="7238DF38" w14:textId="77777777" w:rsidR="00116CBE" w:rsidRPr="00985CB4" w:rsidRDefault="00116CBE" w:rsidP="00116CBE">
      <w:pPr>
        <w:pStyle w:val="ContinueParaSuitedupar-AltP"/>
        <w:rPr>
          <w:rFonts w:cs="Times New Roman"/>
        </w:rPr>
      </w:pPr>
      <w:r w:rsidRPr="00985CB4">
        <w:rPr>
          <w:rFonts w:cs="Times New Roman"/>
        </w:rPr>
        <w:t>À notre avis, il n</w:t>
      </w:r>
      <w:r>
        <w:rPr>
          <w:rFonts w:cs="Times New Roman"/>
        </w:rPr>
        <w:t>’</w:t>
      </w:r>
      <w:r w:rsidRPr="00985CB4">
        <w:rPr>
          <w:rFonts w:cs="Times New Roman"/>
        </w:rPr>
        <w:t>est pas nécessaire de considérer l</w:t>
      </w:r>
      <w:r>
        <w:rPr>
          <w:rFonts w:cs="Times New Roman"/>
        </w:rPr>
        <w:t>’</w:t>
      </w:r>
      <w:r w:rsidRPr="00985CB4">
        <w:rPr>
          <w:rFonts w:cs="Times New Roman"/>
        </w:rPr>
        <w:t>honneur et la réputation en l</w:t>
      </w:r>
      <w:r>
        <w:rPr>
          <w:rFonts w:cs="Times New Roman"/>
        </w:rPr>
        <w:t>’</w:t>
      </w:r>
      <w:r w:rsidRPr="00985CB4">
        <w:rPr>
          <w:rFonts w:cs="Times New Roman"/>
        </w:rPr>
        <w:t>espèce. Même si l</w:t>
      </w:r>
      <w:r>
        <w:rPr>
          <w:rFonts w:cs="Times New Roman"/>
        </w:rPr>
        <w:t>’</w:t>
      </w:r>
      <w:r w:rsidRPr="00985CB4">
        <w:rPr>
          <w:rFonts w:cs="Times New Roman"/>
        </w:rPr>
        <w:t>on s</w:t>
      </w:r>
      <w:r>
        <w:rPr>
          <w:rFonts w:cs="Times New Roman"/>
        </w:rPr>
        <w:t>’</w:t>
      </w:r>
      <w:r w:rsidRPr="00985CB4">
        <w:rPr>
          <w:rFonts w:cs="Times New Roman"/>
        </w:rPr>
        <w:t>attache uniquement à la dignité, il demeure clair que l</w:t>
      </w:r>
      <w:r>
        <w:rPr>
          <w:rFonts w:cs="Times New Roman"/>
        </w:rPr>
        <w:t>’art. </w:t>
      </w:r>
      <w:r w:rsidRPr="00985CB4">
        <w:rPr>
          <w:rFonts w:cs="Times New Roman"/>
        </w:rPr>
        <w:t>10 a été violé et que l</w:t>
      </w:r>
      <w:r>
        <w:rPr>
          <w:rFonts w:cs="Times New Roman"/>
        </w:rPr>
        <w:t>’</w:t>
      </w:r>
      <w:r w:rsidRPr="00985CB4">
        <w:rPr>
          <w:rFonts w:cs="Times New Roman"/>
        </w:rPr>
        <w:t>octroi de dommages</w:t>
      </w:r>
      <w:r>
        <w:rPr>
          <w:rFonts w:cs="Times New Roman"/>
        </w:rPr>
        <w:noBreakHyphen/>
      </w:r>
      <w:r w:rsidRPr="00985CB4">
        <w:rPr>
          <w:rFonts w:cs="Times New Roman"/>
        </w:rPr>
        <w:t xml:space="preserve">intérêts par le Tribunal doit être maintenu. </w:t>
      </w:r>
    </w:p>
    <w:p w14:paraId="0AD86AFF"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La dignité est « la valeur éminente de tout être humain reconnu comme une personne à part entière, indépendamment de ses caractéristiques individuelles et de ses appartenances sociales » (Dominique Goubau, avec la collaboration d</w:t>
      </w:r>
      <w:r>
        <w:rPr>
          <w:rFonts w:cs="Times New Roman"/>
        </w:rPr>
        <w:t>’</w:t>
      </w:r>
      <w:r w:rsidRPr="00985CB4">
        <w:rPr>
          <w:rFonts w:cs="Times New Roman"/>
        </w:rPr>
        <w:t>Anne</w:t>
      </w:r>
      <w:r>
        <w:rPr>
          <w:rFonts w:cs="Times New Roman"/>
        </w:rPr>
        <w:noBreakHyphen/>
      </w:r>
      <w:r w:rsidRPr="00985CB4">
        <w:rPr>
          <w:rFonts w:cs="Times New Roman"/>
        </w:rPr>
        <w:t xml:space="preserve">Marie Savard, </w:t>
      </w:r>
      <w:r w:rsidRPr="00985CB4">
        <w:rPr>
          <w:rFonts w:cs="Times New Roman"/>
          <w:i/>
          <w:iCs/>
        </w:rPr>
        <w:t>Le droit des personnes physiques</w:t>
      </w:r>
      <w:r w:rsidRPr="00985CB4">
        <w:rPr>
          <w:rFonts w:cs="Times New Roman"/>
        </w:rPr>
        <w:t xml:space="preserve"> (6</w:t>
      </w:r>
      <w:r w:rsidRPr="00985CB4">
        <w:rPr>
          <w:rFonts w:cs="Times New Roman"/>
          <w:vertAlign w:val="superscript"/>
        </w:rPr>
        <w:t>e</w:t>
      </w:r>
      <w:r w:rsidRPr="00985CB4">
        <w:rPr>
          <w:rFonts w:cs="Times New Roman"/>
        </w:rPr>
        <w:t xml:space="preserve"> éd. 2019), n</w:t>
      </w:r>
      <w:r w:rsidRPr="00985CB4">
        <w:rPr>
          <w:rFonts w:cs="Times New Roman"/>
          <w:vertAlign w:val="superscript"/>
        </w:rPr>
        <w:t>o</w:t>
      </w:r>
      <w:r w:rsidRPr="00985CB4">
        <w:rPr>
          <w:rFonts w:cs="Times New Roman"/>
        </w:rPr>
        <w:t> 177, citant Jean</w:t>
      </w:r>
      <w:r>
        <w:rPr>
          <w:rFonts w:cs="Times New Roman"/>
        </w:rPr>
        <w:noBreakHyphen/>
      </w:r>
      <w:r w:rsidRPr="00985CB4">
        <w:rPr>
          <w:rFonts w:cs="Times New Roman"/>
        </w:rPr>
        <w:t xml:space="preserve">Guy Belley, « La protection de la dignité humaine dans le pluralisme juridique contemporain » (2010), 8 </w:t>
      </w:r>
      <w:r w:rsidRPr="00985CB4">
        <w:rPr>
          <w:rFonts w:cs="Times New Roman"/>
          <w:i/>
        </w:rPr>
        <w:t>C.R.D.F.</w:t>
      </w:r>
      <w:r w:rsidRPr="00985CB4">
        <w:rPr>
          <w:rFonts w:cs="Times New Roman"/>
        </w:rPr>
        <w:t xml:space="preserve"> 117, </w:t>
      </w:r>
      <w:r>
        <w:rPr>
          <w:rFonts w:cs="Times New Roman"/>
        </w:rPr>
        <w:t>p. </w:t>
      </w:r>
      <w:r w:rsidRPr="00985CB4">
        <w:rPr>
          <w:rFonts w:cs="Times New Roman"/>
        </w:rPr>
        <w:t>119).</w:t>
      </w:r>
    </w:p>
    <w:p w14:paraId="2B8D71A9"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Le droit à la sauvegarde de sa dignité est un droit autonome garanti par la </w:t>
      </w:r>
      <w:r w:rsidRPr="00985CB4">
        <w:rPr>
          <w:rFonts w:cs="Times New Roman"/>
          <w:i/>
        </w:rPr>
        <w:t>Charte</w:t>
      </w:r>
      <w:r w:rsidRPr="00985CB4">
        <w:rPr>
          <w:rFonts w:cs="Times New Roman"/>
          <w:iCs/>
        </w:rPr>
        <w:t xml:space="preserve"> québécoise</w:t>
      </w:r>
      <w:r w:rsidRPr="00985CB4">
        <w:rPr>
          <w:rFonts w:cs="Times New Roman"/>
        </w:rPr>
        <w:t>. Notre Cour a examiné la dignité visée à l</w:t>
      </w:r>
      <w:r>
        <w:rPr>
          <w:rFonts w:cs="Times New Roman"/>
        </w:rPr>
        <w:t>’art. </w:t>
      </w:r>
      <w:r w:rsidRPr="00985CB4">
        <w:rPr>
          <w:rFonts w:cs="Times New Roman"/>
        </w:rPr>
        <w:t>4 dans l</w:t>
      </w:r>
      <w:r>
        <w:rPr>
          <w:rFonts w:cs="Times New Roman"/>
        </w:rPr>
        <w:t>’</w:t>
      </w:r>
      <w:r w:rsidRPr="00985CB4">
        <w:rPr>
          <w:rFonts w:cs="Times New Roman"/>
        </w:rPr>
        <w:t xml:space="preserve">arrêt </w:t>
      </w:r>
      <w:r w:rsidRPr="00985CB4">
        <w:rPr>
          <w:rFonts w:cs="Times New Roman"/>
          <w:i/>
        </w:rPr>
        <w:t>Québec (Curateur public) c. Syndicat national des employés de l</w:t>
      </w:r>
      <w:r>
        <w:rPr>
          <w:rFonts w:cs="Times New Roman"/>
          <w:i/>
        </w:rPr>
        <w:t>’</w:t>
      </w:r>
      <w:r w:rsidRPr="00985CB4">
        <w:rPr>
          <w:rFonts w:cs="Times New Roman"/>
          <w:i/>
        </w:rPr>
        <w:t>hôpital St</w:t>
      </w:r>
      <w:r>
        <w:rPr>
          <w:rFonts w:cs="Times New Roman"/>
          <w:i/>
        </w:rPr>
        <w:noBreakHyphen/>
      </w:r>
      <w:r w:rsidRPr="00985CB4">
        <w:rPr>
          <w:rFonts w:cs="Times New Roman"/>
          <w:i/>
        </w:rPr>
        <w:t>Ferdinand</w:t>
      </w:r>
      <w:r w:rsidRPr="00985CB4">
        <w:rPr>
          <w:rFonts w:cs="Times New Roman"/>
        </w:rPr>
        <w:t>, [1996] 3 R.C.S. 211, où il s</w:t>
      </w:r>
      <w:r>
        <w:rPr>
          <w:rFonts w:cs="Times New Roman"/>
        </w:rPr>
        <w:t>’</w:t>
      </w:r>
      <w:r w:rsidRPr="00985CB4">
        <w:rPr>
          <w:rFonts w:cs="Times New Roman"/>
        </w:rPr>
        <w:t>agissait de déterminer si les employés d</w:t>
      </w:r>
      <w:r>
        <w:rPr>
          <w:rFonts w:cs="Times New Roman"/>
        </w:rPr>
        <w:t>’</w:t>
      </w:r>
      <w:r w:rsidRPr="00985CB4">
        <w:rPr>
          <w:rFonts w:cs="Times New Roman"/>
        </w:rPr>
        <w:t xml:space="preserve">un hôpital de soins pour personnes âgées avaient violé les droits des patients en les </w:t>
      </w:r>
      <w:r>
        <w:rPr>
          <w:rFonts w:cs="Times New Roman"/>
        </w:rPr>
        <w:t>abandonnant</w:t>
      </w:r>
      <w:r w:rsidRPr="00985CB4">
        <w:rPr>
          <w:rFonts w:cs="Times New Roman"/>
        </w:rPr>
        <w:t>. La juge L</w:t>
      </w:r>
      <w:r>
        <w:rPr>
          <w:rFonts w:cs="Times New Roman"/>
        </w:rPr>
        <w:t>’</w:t>
      </w:r>
      <w:r w:rsidRPr="00985CB4">
        <w:rPr>
          <w:rFonts w:cs="Times New Roman"/>
        </w:rPr>
        <w:t>Heureux</w:t>
      </w:r>
      <w:r>
        <w:rPr>
          <w:rFonts w:cs="Times New Roman"/>
        </w:rPr>
        <w:noBreakHyphen/>
      </w:r>
      <w:r w:rsidRPr="00985CB4">
        <w:rPr>
          <w:rFonts w:cs="Times New Roman"/>
        </w:rPr>
        <w:t>Dubé a défini le droit à la sauvegarde de la dignité comme une interdiction visant « l</w:t>
      </w:r>
      <w:r w:rsidRPr="00985CB4">
        <w:rPr>
          <w:rFonts w:eastAsia="Times New Roman" w:cs="Times New Roman"/>
        </w:rPr>
        <w:t>es atteintes aux attributs fondamentaux de l</w:t>
      </w:r>
      <w:r>
        <w:rPr>
          <w:rFonts w:eastAsia="Times New Roman" w:cs="Times New Roman"/>
        </w:rPr>
        <w:t>’</w:t>
      </w:r>
      <w:r w:rsidRPr="00985CB4">
        <w:rPr>
          <w:rFonts w:eastAsia="Times New Roman" w:cs="Times New Roman"/>
        </w:rPr>
        <w:t>être humain qui contreviennent au respect auquel toute personne a droit du seul fait qu</w:t>
      </w:r>
      <w:r>
        <w:rPr>
          <w:rFonts w:eastAsia="Times New Roman" w:cs="Times New Roman"/>
        </w:rPr>
        <w:t>’</w:t>
      </w:r>
      <w:r w:rsidRPr="00985CB4">
        <w:rPr>
          <w:rFonts w:eastAsia="Times New Roman" w:cs="Times New Roman"/>
        </w:rPr>
        <w:t>elle est un être humain et au respect qu</w:t>
      </w:r>
      <w:r>
        <w:rPr>
          <w:rFonts w:eastAsia="Times New Roman" w:cs="Times New Roman"/>
        </w:rPr>
        <w:t>’</w:t>
      </w:r>
      <w:r w:rsidRPr="00985CB4">
        <w:rPr>
          <w:rFonts w:eastAsia="Times New Roman" w:cs="Times New Roman"/>
        </w:rPr>
        <w:t>elle se doit à elle</w:t>
      </w:r>
      <w:r>
        <w:rPr>
          <w:rFonts w:eastAsia="Times New Roman" w:cs="Times New Roman"/>
        </w:rPr>
        <w:noBreakHyphen/>
      </w:r>
      <w:r w:rsidRPr="00985CB4">
        <w:rPr>
          <w:rFonts w:eastAsia="Times New Roman" w:cs="Times New Roman"/>
        </w:rPr>
        <w:t>même » (</w:t>
      </w:r>
      <w:r>
        <w:rPr>
          <w:rFonts w:eastAsia="Times New Roman" w:cs="Times New Roman"/>
        </w:rPr>
        <w:t>par. </w:t>
      </w:r>
      <w:r w:rsidRPr="00985CB4">
        <w:rPr>
          <w:rFonts w:eastAsia="Times New Roman" w:cs="Times New Roman"/>
        </w:rPr>
        <w:t xml:space="preserve">105; voir aussi </w:t>
      </w:r>
      <w:r w:rsidRPr="00985CB4">
        <w:rPr>
          <w:rFonts w:cs="Times New Roman"/>
        </w:rPr>
        <w:t>Marie Annik Grégoire, « Le parcours tumultueux des propos injurieux en droit québécois depuis 2009</w:t>
      </w:r>
      <w:r>
        <w:rPr>
          <w:rFonts w:cs="Times New Roman"/>
        </w:rPr>
        <w:t> :</w:t>
      </w:r>
      <w:r w:rsidRPr="00985CB4">
        <w:rPr>
          <w:rFonts w:cs="Times New Roman"/>
        </w:rPr>
        <w:t xml:space="preserve"> l</w:t>
      </w:r>
      <w:r>
        <w:rPr>
          <w:rFonts w:cs="Times New Roman"/>
        </w:rPr>
        <w:t>’</w:t>
      </w:r>
      <w:r w:rsidRPr="00985CB4">
        <w:rPr>
          <w:rFonts w:cs="Times New Roman"/>
        </w:rPr>
        <w:t xml:space="preserve">arrêt </w:t>
      </w:r>
      <w:r w:rsidRPr="00985CB4">
        <w:rPr>
          <w:rFonts w:cs="Times New Roman"/>
          <w:i/>
        </w:rPr>
        <w:t xml:space="preserve">Génex Communications inc. </w:t>
      </w:r>
      <w:r w:rsidRPr="00985CB4">
        <w:rPr>
          <w:rFonts w:cs="Times New Roman"/>
        </w:rPr>
        <w:t>c.</w:t>
      </w:r>
      <w:r w:rsidRPr="00985CB4">
        <w:rPr>
          <w:rFonts w:cs="Times New Roman"/>
          <w:i/>
        </w:rPr>
        <w:t xml:space="preserve"> Association québécoise de l</w:t>
      </w:r>
      <w:r>
        <w:rPr>
          <w:rFonts w:cs="Times New Roman"/>
          <w:i/>
        </w:rPr>
        <w:t>’</w:t>
      </w:r>
      <w:r w:rsidRPr="00985CB4">
        <w:rPr>
          <w:rFonts w:cs="Times New Roman"/>
          <w:i/>
        </w:rPr>
        <w:t>industrie du disque, du spectacle et de la vidéo (ADISQ)</w:t>
      </w:r>
      <w:r w:rsidRPr="00985CB4">
        <w:rPr>
          <w:rFonts w:cs="Times New Roman"/>
        </w:rPr>
        <w:t xml:space="preserve"> est</w:t>
      </w:r>
      <w:r>
        <w:rPr>
          <w:rFonts w:cs="Times New Roman"/>
        </w:rPr>
        <w:noBreakHyphen/>
      </w:r>
      <w:r w:rsidRPr="00985CB4">
        <w:rPr>
          <w:rFonts w:cs="Times New Roman"/>
        </w:rPr>
        <w:t xml:space="preserve">il toujours pertinent? » (2016), 57 </w:t>
      </w:r>
      <w:r w:rsidRPr="00985CB4">
        <w:rPr>
          <w:rFonts w:cs="Times New Roman"/>
          <w:i/>
        </w:rPr>
        <w:t xml:space="preserve">C. de D. </w:t>
      </w:r>
      <w:r w:rsidRPr="00985CB4">
        <w:rPr>
          <w:rFonts w:cs="Times New Roman"/>
        </w:rPr>
        <w:t xml:space="preserve">3). </w:t>
      </w:r>
    </w:p>
    <w:p w14:paraId="6C4E1CA2"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Plus largement, dans le contexte canadien, notre Cour a reconnu la dignité comme la valeur guidant l</w:t>
      </w:r>
      <w:r>
        <w:rPr>
          <w:rFonts w:cs="Times New Roman"/>
        </w:rPr>
        <w:t>’</w:t>
      </w:r>
      <w:r w:rsidRPr="00985CB4">
        <w:rPr>
          <w:rFonts w:cs="Times New Roman"/>
        </w:rPr>
        <w:t xml:space="preserve">interprétation de la </w:t>
      </w:r>
      <w:r w:rsidRPr="00985CB4">
        <w:rPr>
          <w:rFonts w:cs="Times New Roman"/>
          <w:i/>
        </w:rPr>
        <w:t>Charte</w:t>
      </w:r>
      <w:r w:rsidRPr="00985CB4">
        <w:rPr>
          <w:rFonts w:cs="Times New Roman"/>
        </w:rPr>
        <w:t xml:space="preserve"> canadienne et de tous les droits garantis par celle</w:t>
      </w:r>
      <w:r>
        <w:rPr>
          <w:rFonts w:cs="Times New Roman"/>
        </w:rPr>
        <w:noBreakHyphen/>
      </w:r>
      <w:r w:rsidRPr="00985CB4">
        <w:rPr>
          <w:rFonts w:cs="Times New Roman"/>
        </w:rPr>
        <w:t>ci (</w:t>
      </w:r>
      <w:r w:rsidRPr="00985CB4">
        <w:rPr>
          <w:rFonts w:cs="Times New Roman"/>
          <w:i/>
        </w:rPr>
        <w:t>R. c. Kapp</w:t>
      </w:r>
      <w:r w:rsidRPr="00985CB4">
        <w:rPr>
          <w:rFonts w:cs="Times New Roman"/>
        </w:rPr>
        <w:t>,</w:t>
      </w:r>
      <w:r w:rsidRPr="00985CB4">
        <w:rPr>
          <w:rFonts w:cs="Times New Roman"/>
          <w:i/>
        </w:rPr>
        <w:t xml:space="preserve"> </w:t>
      </w:r>
      <w:r w:rsidRPr="00985CB4">
        <w:rPr>
          <w:rFonts w:cs="Times New Roman"/>
        </w:rPr>
        <w:t xml:space="preserve">[2008] 2 R.C.S. 483, </w:t>
      </w:r>
      <w:r>
        <w:rPr>
          <w:rFonts w:cs="Times New Roman"/>
        </w:rPr>
        <w:t>par. </w:t>
      </w:r>
      <w:r w:rsidRPr="00985CB4">
        <w:rPr>
          <w:rFonts w:cs="Times New Roman"/>
        </w:rPr>
        <w:t>21). Dans l</w:t>
      </w:r>
      <w:r>
        <w:rPr>
          <w:rFonts w:cs="Times New Roman"/>
        </w:rPr>
        <w:t>’</w:t>
      </w:r>
      <w:r w:rsidRPr="00985CB4">
        <w:rPr>
          <w:rFonts w:cs="Times New Roman"/>
        </w:rPr>
        <w:t xml:space="preserve">arrêt </w:t>
      </w:r>
      <w:r w:rsidRPr="00985CB4">
        <w:rPr>
          <w:rFonts w:cs="Times New Roman"/>
          <w:i/>
        </w:rPr>
        <w:t>Law c. Canada (Ministre de l</w:t>
      </w:r>
      <w:r>
        <w:rPr>
          <w:rFonts w:cs="Times New Roman"/>
          <w:i/>
        </w:rPr>
        <w:t>’</w:t>
      </w:r>
      <w:r w:rsidRPr="00985CB4">
        <w:rPr>
          <w:rFonts w:cs="Times New Roman"/>
          <w:i/>
        </w:rPr>
        <w:t>Emploi et de l</w:t>
      </w:r>
      <w:r>
        <w:rPr>
          <w:rFonts w:cs="Times New Roman"/>
          <w:i/>
        </w:rPr>
        <w:t>’</w:t>
      </w:r>
      <w:r w:rsidRPr="00985CB4">
        <w:rPr>
          <w:rFonts w:cs="Times New Roman"/>
          <w:i/>
        </w:rPr>
        <w:t>Immigration)</w:t>
      </w:r>
      <w:r w:rsidRPr="00985CB4">
        <w:rPr>
          <w:rFonts w:cs="Times New Roman"/>
        </w:rPr>
        <w:t>,</w:t>
      </w:r>
      <w:r w:rsidRPr="00985CB4">
        <w:rPr>
          <w:rFonts w:cs="Times New Roman"/>
          <w:i/>
        </w:rPr>
        <w:t xml:space="preserve"> </w:t>
      </w:r>
      <w:r w:rsidRPr="00985CB4">
        <w:rPr>
          <w:rFonts w:cs="Times New Roman"/>
        </w:rPr>
        <w:t>[1999] 1 R.C.S. 497, la Cour a dit de la dignité qu</w:t>
      </w:r>
      <w:r>
        <w:rPr>
          <w:rFonts w:cs="Times New Roman"/>
        </w:rPr>
        <w:t>’</w:t>
      </w:r>
      <w:r w:rsidRPr="00985CB4">
        <w:rPr>
          <w:rFonts w:cs="Times New Roman"/>
        </w:rPr>
        <w:t>elle concernait l</w:t>
      </w:r>
      <w:r>
        <w:rPr>
          <w:rFonts w:cs="Times New Roman"/>
        </w:rPr>
        <w:t>’</w:t>
      </w:r>
      <w:r w:rsidRPr="00985CB4">
        <w:rPr>
          <w:rFonts w:cs="Times New Roman"/>
        </w:rPr>
        <w:t>intégrité et l</w:t>
      </w:r>
      <w:r>
        <w:rPr>
          <w:rFonts w:cs="Times New Roman"/>
        </w:rPr>
        <w:t>’</w:t>
      </w:r>
      <w:r w:rsidRPr="00985CB4">
        <w:rPr>
          <w:rFonts w:cs="Times New Roman"/>
        </w:rPr>
        <w:t>autonomie des individus et des groupes</w:t>
      </w:r>
      <w:r>
        <w:rPr>
          <w:rFonts w:cs="Times New Roman"/>
        </w:rPr>
        <w:t> :</w:t>
      </w:r>
      <w:r w:rsidRPr="00985CB4">
        <w:rPr>
          <w:rFonts w:cs="Times New Roman"/>
        </w:rPr>
        <w:t xml:space="preserve"> « </w:t>
      </w:r>
      <w:r w:rsidRPr="00985CB4">
        <w:rPr>
          <w:rFonts w:eastAsia="Times New Roman" w:cs="Times New Roman"/>
          <w:szCs w:val="24"/>
          <w:lang w:eastAsia="en-CA"/>
        </w:rPr>
        <w:t>L</w:t>
      </w:r>
      <w:r w:rsidRPr="00985CB4">
        <w:rPr>
          <w:rFonts w:eastAsia="Times New Roman" w:cs="Times New Roman"/>
          <w:sz w:val="27"/>
          <w:szCs w:val="27"/>
          <w:lang w:eastAsia="en-CA"/>
        </w:rPr>
        <w:t xml:space="preserve">a </w:t>
      </w:r>
      <w:r w:rsidRPr="00985CB4">
        <w:rPr>
          <w:rFonts w:cs="Times New Roman"/>
        </w:rPr>
        <w:t>dignité humaine est bafouée par le traitement injuste fondé sur des caractéristiques ou la situation personnelles qui n</w:t>
      </w:r>
      <w:r>
        <w:rPr>
          <w:rFonts w:cs="Times New Roman"/>
        </w:rPr>
        <w:t>’</w:t>
      </w:r>
      <w:r w:rsidRPr="00985CB4">
        <w:rPr>
          <w:rFonts w:cs="Times New Roman"/>
        </w:rPr>
        <w:t>ont rien à voir avec les besoins, les capacités ou les mérites de la personne » (</w:t>
      </w:r>
      <w:r>
        <w:rPr>
          <w:rFonts w:cs="Times New Roman"/>
        </w:rPr>
        <w:t>par. </w:t>
      </w:r>
      <w:r w:rsidRPr="00985CB4">
        <w:rPr>
          <w:rFonts w:cs="Times New Roman"/>
        </w:rPr>
        <w:t xml:space="preserve">53). Selon la Cour dans </w:t>
      </w:r>
      <w:r w:rsidRPr="00985CB4">
        <w:rPr>
          <w:rFonts w:cs="Times New Roman"/>
          <w:i/>
        </w:rPr>
        <w:t>Law</w:t>
      </w:r>
      <w:r w:rsidRPr="00985CB4">
        <w:rPr>
          <w:rFonts w:cs="Times New Roman"/>
        </w:rPr>
        <w:t>, renforcer la dignité signifie faire une place à tous les individus et à tous les groupes dans la société.</w:t>
      </w:r>
    </w:p>
    <w:p w14:paraId="0BAD748E" w14:textId="77777777" w:rsidR="00116CBE" w:rsidRPr="00985CB4" w:rsidRDefault="00116CBE" w:rsidP="00116CBE">
      <w:pPr>
        <w:pStyle w:val="ParaNoNdepar-AltN"/>
        <w:rPr>
          <w:rFonts w:cs="Times New Roman"/>
        </w:rPr>
      </w:pPr>
      <w:r w:rsidRPr="00985CB4">
        <w:rPr>
          <w:rFonts w:cs="Times New Roman"/>
        </w:rPr>
        <w:t>Plus précisément, le droit d</w:t>
      </w:r>
      <w:r>
        <w:rPr>
          <w:rFonts w:cs="Times New Roman"/>
        </w:rPr>
        <w:t>’</w:t>
      </w:r>
      <w:r w:rsidRPr="00985CB4">
        <w:rPr>
          <w:rFonts w:cs="Times New Roman"/>
        </w:rPr>
        <w:t>une personne à la sauvegarde de sa dignité prévu à l</w:t>
      </w:r>
      <w:r>
        <w:rPr>
          <w:rFonts w:cs="Times New Roman"/>
        </w:rPr>
        <w:t>’art. </w:t>
      </w:r>
      <w:r w:rsidRPr="00985CB4">
        <w:rPr>
          <w:rFonts w:cs="Times New Roman"/>
        </w:rPr>
        <w:t xml:space="preserve">4 de la </w:t>
      </w:r>
      <w:r w:rsidRPr="00985CB4">
        <w:rPr>
          <w:rFonts w:cs="Times New Roman"/>
          <w:i/>
        </w:rPr>
        <w:t>Charte</w:t>
      </w:r>
      <w:r w:rsidRPr="00985CB4">
        <w:rPr>
          <w:rFonts w:cs="Times New Roman"/>
        </w:rPr>
        <w:t xml:space="preserve"> québécoise vise à assurer que chaque personne soit traitée avec le même degré de respect auquel tous ont droit du seul fait qu</w:t>
      </w:r>
      <w:r>
        <w:rPr>
          <w:rFonts w:cs="Times New Roman"/>
        </w:rPr>
        <w:t>’</w:t>
      </w:r>
      <w:r w:rsidRPr="00985CB4">
        <w:rPr>
          <w:rFonts w:cs="Times New Roman"/>
        </w:rPr>
        <w:t>elle est un être humain (</w:t>
      </w:r>
      <w:r w:rsidRPr="00985CB4">
        <w:rPr>
          <w:rFonts w:cs="Times New Roman"/>
          <w:i/>
        </w:rPr>
        <w:t>Hôpital St</w:t>
      </w:r>
      <w:r>
        <w:rPr>
          <w:rFonts w:cs="Times New Roman"/>
          <w:i/>
        </w:rPr>
        <w:noBreakHyphen/>
      </w:r>
      <w:r w:rsidRPr="00985CB4">
        <w:rPr>
          <w:rFonts w:cs="Times New Roman"/>
          <w:i/>
        </w:rPr>
        <w:t>Ferdinand</w:t>
      </w:r>
      <w:r w:rsidRPr="00985CB4">
        <w:rPr>
          <w:rFonts w:cs="Times New Roman"/>
        </w:rPr>
        <w:t xml:space="preserve">, </w:t>
      </w:r>
      <w:r>
        <w:rPr>
          <w:rFonts w:cs="Times New Roman"/>
        </w:rPr>
        <w:t>par. </w:t>
      </w:r>
      <w:r w:rsidRPr="00985CB4">
        <w:rPr>
          <w:rFonts w:cs="Times New Roman"/>
        </w:rPr>
        <w:t xml:space="preserve">105; voir aussi </w:t>
      </w:r>
      <w:r w:rsidRPr="00985CB4">
        <w:rPr>
          <w:rFonts w:eastAsia="Times New Roman" w:cs="Times New Roman"/>
          <w:i/>
        </w:rPr>
        <w:t>Gauthier c. Beaumont</w:t>
      </w:r>
      <w:r w:rsidRPr="00985CB4">
        <w:rPr>
          <w:rFonts w:eastAsia="Times New Roman" w:cs="Times New Roman"/>
        </w:rPr>
        <w:t>,</w:t>
      </w:r>
      <w:r w:rsidRPr="00985CB4">
        <w:rPr>
          <w:rFonts w:eastAsia="Times New Roman" w:cs="Times New Roman"/>
          <w:szCs w:val="24"/>
        </w:rPr>
        <w:t xml:space="preserve"> [1998] 2 R.C.S. 3, </w:t>
      </w:r>
      <w:r>
        <w:rPr>
          <w:rFonts w:eastAsia="Times New Roman" w:cs="Times New Roman"/>
          <w:szCs w:val="24"/>
        </w:rPr>
        <w:t>par. </w:t>
      </w:r>
      <w:r w:rsidRPr="00985CB4">
        <w:rPr>
          <w:rFonts w:eastAsia="Times New Roman" w:cs="Times New Roman"/>
          <w:szCs w:val="24"/>
        </w:rPr>
        <w:t xml:space="preserve">90; </w:t>
      </w:r>
      <w:r w:rsidRPr="00985CB4">
        <w:rPr>
          <w:rFonts w:eastAsia="Times New Roman" w:cs="Times New Roman"/>
          <w:i/>
          <w:szCs w:val="24"/>
        </w:rPr>
        <w:t>Cinar Corporation c. Robinson</w:t>
      </w:r>
      <w:r w:rsidRPr="00985CB4">
        <w:rPr>
          <w:rFonts w:eastAsia="Times New Roman" w:cs="Times New Roman"/>
          <w:szCs w:val="24"/>
        </w:rPr>
        <w:t xml:space="preserve">, [2013] 3 R.C.S. 1168, </w:t>
      </w:r>
      <w:r>
        <w:rPr>
          <w:rFonts w:eastAsia="Times New Roman" w:cs="Times New Roman"/>
          <w:szCs w:val="24"/>
        </w:rPr>
        <w:t>par. </w:t>
      </w:r>
      <w:r w:rsidRPr="00985CB4">
        <w:rPr>
          <w:rFonts w:eastAsia="Times New Roman" w:cs="Times New Roman"/>
          <w:szCs w:val="24"/>
        </w:rPr>
        <w:t xml:space="preserve">116; </w:t>
      </w:r>
      <w:r w:rsidRPr="00985CB4">
        <w:rPr>
          <w:rFonts w:eastAsia="Times New Roman" w:cs="Times New Roman"/>
          <w:i/>
          <w:szCs w:val="24"/>
        </w:rPr>
        <w:t>Procureur général du Canada c. Manoukian</w:t>
      </w:r>
      <w:r w:rsidRPr="00985CB4">
        <w:rPr>
          <w:rFonts w:eastAsia="Times New Roman" w:cs="Times New Roman"/>
          <w:szCs w:val="24"/>
        </w:rPr>
        <w:t xml:space="preserve">, 2020 QCCA 1486, 70 C.C.L.T. (4th) 182, </w:t>
      </w:r>
      <w:r>
        <w:rPr>
          <w:rFonts w:eastAsia="Times New Roman" w:cs="Times New Roman"/>
          <w:szCs w:val="24"/>
        </w:rPr>
        <w:t>par. </w:t>
      </w:r>
      <w:r w:rsidRPr="00985CB4">
        <w:rPr>
          <w:rFonts w:eastAsia="Times New Roman" w:cs="Times New Roman"/>
          <w:szCs w:val="24"/>
        </w:rPr>
        <w:t>136</w:t>
      </w:r>
      <w:r w:rsidRPr="00985CB4">
        <w:rPr>
          <w:rFonts w:cs="Times New Roman"/>
        </w:rPr>
        <w:t xml:space="preserve">). Ce droit, comme tout le reste de la </w:t>
      </w:r>
      <w:r w:rsidRPr="00985CB4">
        <w:rPr>
          <w:rFonts w:cs="Times New Roman"/>
          <w:i/>
        </w:rPr>
        <w:t>Charte</w:t>
      </w:r>
      <w:r w:rsidRPr="00985CB4">
        <w:rPr>
          <w:rFonts w:cs="Times New Roman"/>
        </w:rPr>
        <w:t xml:space="preserve"> québécoise, doit recevoir « une interprétation libérale, contextuelle et téléologique » (</w:t>
      </w:r>
      <w:r w:rsidRPr="00985CB4">
        <w:rPr>
          <w:rFonts w:cs="Times New Roman"/>
          <w:i/>
        </w:rPr>
        <w:t>Bombardier</w:t>
      </w:r>
      <w:r w:rsidRPr="00985CB4">
        <w:rPr>
          <w:rFonts w:cs="Times New Roman"/>
        </w:rPr>
        <w:t xml:space="preserve">, </w:t>
      </w:r>
      <w:r>
        <w:rPr>
          <w:rFonts w:cs="Times New Roman"/>
        </w:rPr>
        <w:t>par. </w:t>
      </w:r>
      <w:r w:rsidRPr="00985CB4">
        <w:rPr>
          <w:rFonts w:cs="Times New Roman"/>
        </w:rPr>
        <w:t xml:space="preserve">31; voir aussi </w:t>
      </w:r>
      <w:r w:rsidRPr="00985CB4">
        <w:rPr>
          <w:rFonts w:cs="Times New Roman"/>
          <w:i/>
        </w:rPr>
        <w:t>Béliveau St‑Jacques c. Fédération des employées et employés de services publics inc.</w:t>
      </w:r>
      <w:r w:rsidRPr="00985CB4">
        <w:rPr>
          <w:rFonts w:cs="Times New Roman"/>
        </w:rPr>
        <w:t xml:space="preserve">, [1996] 2 R.C.S. 345, </w:t>
      </w:r>
      <w:r>
        <w:rPr>
          <w:rFonts w:cs="Times New Roman"/>
        </w:rPr>
        <w:t>par. </w:t>
      </w:r>
      <w:r w:rsidRPr="00985CB4">
        <w:rPr>
          <w:rFonts w:cs="Times New Roman"/>
        </w:rPr>
        <w:t xml:space="preserve">116; </w:t>
      </w:r>
      <w:r w:rsidRPr="00985CB4">
        <w:rPr>
          <w:rFonts w:cs="Times New Roman"/>
          <w:i/>
        </w:rPr>
        <w:t>Hôpital St</w:t>
      </w:r>
      <w:r>
        <w:rPr>
          <w:rFonts w:cs="Times New Roman"/>
          <w:i/>
        </w:rPr>
        <w:noBreakHyphen/>
      </w:r>
      <w:r w:rsidRPr="00985CB4">
        <w:rPr>
          <w:rFonts w:cs="Times New Roman"/>
          <w:i/>
        </w:rPr>
        <w:t>Ferdinand</w:t>
      </w:r>
      <w:r w:rsidRPr="00985CB4">
        <w:rPr>
          <w:rFonts w:cs="Times New Roman"/>
        </w:rPr>
        <w:t xml:space="preserve">, </w:t>
      </w:r>
      <w:r>
        <w:rPr>
          <w:rFonts w:cs="Times New Roman"/>
        </w:rPr>
        <w:t>par. </w:t>
      </w:r>
      <w:r w:rsidRPr="00985CB4">
        <w:rPr>
          <w:rFonts w:cs="Times New Roman"/>
        </w:rPr>
        <w:t xml:space="preserve">105). La dignité a été incluse dans la </w:t>
      </w:r>
      <w:r w:rsidRPr="00985CB4">
        <w:rPr>
          <w:rFonts w:cs="Times New Roman"/>
          <w:i/>
        </w:rPr>
        <w:t>Charte</w:t>
      </w:r>
      <w:r w:rsidRPr="00985CB4">
        <w:rPr>
          <w:rFonts w:cs="Times New Roman"/>
        </w:rPr>
        <w:t xml:space="preserve"> québécoise aux côtés du droit à la sauvegarde de son honneur et de sa réputation, reflétant l</w:t>
      </w:r>
      <w:r>
        <w:rPr>
          <w:rFonts w:cs="Times New Roman"/>
        </w:rPr>
        <w:t>’</w:t>
      </w:r>
      <w:r w:rsidRPr="00985CB4">
        <w:rPr>
          <w:rFonts w:cs="Times New Roman"/>
        </w:rPr>
        <w:t>état de la jurisprudence qui ne relevait pas strictement de l</w:t>
      </w:r>
      <w:r>
        <w:rPr>
          <w:rFonts w:cs="Times New Roman"/>
        </w:rPr>
        <w:t>’</w:t>
      </w:r>
      <w:r w:rsidRPr="00985CB4">
        <w:rPr>
          <w:rFonts w:cs="Times New Roman"/>
        </w:rPr>
        <w:t>une ou l</w:t>
      </w:r>
      <w:r>
        <w:rPr>
          <w:rFonts w:cs="Times New Roman"/>
        </w:rPr>
        <w:t>’</w:t>
      </w:r>
      <w:r w:rsidRPr="00985CB4">
        <w:rPr>
          <w:rFonts w:cs="Times New Roman"/>
        </w:rPr>
        <w:t>autre de ces deux notions plus précises (Christian Brunelle, « </w:t>
      </w:r>
      <w:r w:rsidRPr="00985CB4">
        <w:rPr>
          <w:rStyle w:val="solexhl"/>
          <w:rFonts w:cs="Times New Roman"/>
          <w:szCs w:val="24"/>
        </w:rPr>
        <w:t xml:space="preserve">La dignité dans la </w:t>
      </w:r>
      <w:r w:rsidRPr="00985CB4">
        <w:rPr>
          <w:rStyle w:val="solexhl"/>
          <w:rFonts w:cs="Times New Roman"/>
          <w:i/>
          <w:iCs/>
          <w:szCs w:val="24"/>
        </w:rPr>
        <w:t>Charte des droits et libertés de la personne</w:t>
      </w:r>
      <w:r>
        <w:rPr>
          <w:rStyle w:val="solexhl"/>
          <w:rFonts w:cs="Times New Roman"/>
          <w:i/>
          <w:iCs/>
          <w:szCs w:val="24"/>
        </w:rPr>
        <w:t> </w:t>
      </w:r>
      <w:r w:rsidRPr="009F7CBC">
        <w:rPr>
          <w:rStyle w:val="solexhl"/>
          <w:rFonts w:cs="Times New Roman"/>
          <w:iCs/>
          <w:szCs w:val="24"/>
        </w:rPr>
        <w:t>:</w:t>
      </w:r>
      <w:r w:rsidRPr="00985CB4">
        <w:rPr>
          <w:rStyle w:val="solexhl"/>
          <w:rFonts w:cs="Times New Roman"/>
          <w:szCs w:val="24"/>
        </w:rPr>
        <w:t xml:space="preserve"> de l</w:t>
      </w:r>
      <w:r>
        <w:rPr>
          <w:rStyle w:val="solexhl"/>
          <w:rFonts w:cs="Times New Roman"/>
          <w:szCs w:val="24"/>
        </w:rPr>
        <w:t>’</w:t>
      </w:r>
      <w:r w:rsidRPr="00985CB4">
        <w:rPr>
          <w:rStyle w:val="solexhl"/>
          <w:rFonts w:cs="Times New Roman"/>
          <w:szCs w:val="24"/>
        </w:rPr>
        <w:t>ubiquité à l</w:t>
      </w:r>
      <w:r>
        <w:rPr>
          <w:rStyle w:val="solexhl"/>
          <w:rFonts w:cs="Times New Roman"/>
          <w:szCs w:val="24"/>
        </w:rPr>
        <w:t>’</w:t>
      </w:r>
      <w:r w:rsidRPr="00985CB4">
        <w:rPr>
          <w:rStyle w:val="solexhl"/>
          <w:rFonts w:cs="Times New Roman"/>
          <w:szCs w:val="24"/>
        </w:rPr>
        <w:t>ambiguïté d</w:t>
      </w:r>
      <w:r>
        <w:rPr>
          <w:rStyle w:val="solexhl"/>
          <w:rFonts w:cs="Times New Roman"/>
          <w:szCs w:val="24"/>
        </w:rPr>
        <w:t>’</w:t>
      </w:r>
      <w:r w:rsidRPr="00985CB4">
        <w:rPr>
          <w:rStyle w:val="solexhl"/>
          <w:rFonts w:cs="Times New Roman"/>
          <w:szCs w:val="24"/>
        </w:rPr>
        <w:t>une notion fondamentale</w:t>
      </w:r>
      <w:r w:rsidRPr="00985CB4">
        <w:rPr>
          <w:rFonts w:cs="Times New Roman"/>
        </w:rPr>
        <w:t xml:space="preserve"> », dans </w:t>
      </w:r>
      <w:r w:rsidRPr="00985CB4">
        <w:rPr>
          <w:rFonts w:cs="Times New Roman"/>
          <w:i/>
          <w:iCs/>
        </w:rPr>
        <w:t xml:space="preserve">La </w:t>
      </w:r>
      <w:r w:rsidRPr="00985CB4">
        <w:rPr>
          <w:rStyle w:val="reflex2-link"/>
          <w:rFonts w:cs="Times New Roman"/>
          <w:i/>
          <w:iCs/>
          <w:szCs w:val="24"/>
        </w:rPr>
        <w:t>Charte québécoise</w:t>
      </w:r>
      <w:r>
        <w:rPr>
          <w:rStyle w:val="reflex2-link"/>
          <w:rFonts w:cs="Times New Roman"/>
          <w:i/>
          <w:iCs/>
          <w:szCs w:val="24"/>
        </w:rPr>
        <w:t> :</w:t>
      </w:r>
      <w:r w:rsidRPr="00985CB4">
        <w:rPr>
          <w:rFonts w:cs="Times New Roman"/>
          <w:i/>
          <w:iCs/>
        </w:rPr>
        <w:t xml:space="preserve"> origines, enjeux et perspectives</w:t>
      </w:r>
      <w:r w:rsidRPr="00985CB4">
        <w:rPr>
          <w:rFonts w:cs="Times New Roman"/>
        </w:rPr>
        <w:t>, [2006]</w:t>
      </w:r>
      <w:r w:rsidRPr="00985CB4">
        <w:rPr>
          <w:rFonts w:cs="Times New Roman"/>
          <w:i/>
          <w:iCs/>
        </w:rPr>
        <w:t xml:space="preserve"> R. du B.</w:t>
      </w:r>
      <w:r w:rsidRPr="00985CB4">
        <w:rPr>
          <w:rFonts w:cs="Times New Roman"/>
        </w:rPr>
        <w:t xml:space="preserve"> (numéro thématique) 143, </w:t>
      </w:r>
      <w:r>
        <w:rPr>
          <w:rFonts w:cs="Times New Roman"/>
        </w:rPr>
        <w:t>p. </w:t>
      </w:r>
      <w:r w:rsidRPr="00985CB4">
        <w:rPr>
          <w:rFonts w:cs="Times New Roman"/>
        </w:rPr>
        <w:t>162</w:t>
      </w:r>
      <w:r>
        <w:rPr>
          <w:rFonts w:cs="Times New Roman"/>
        </w:rPr>
        <w:noBreakHyphen/>
      </w:r>
      <w:r w:rsidRPr="00985CB4">
        <w:rPr>
          <w:rFonts w:cs="Times New Roman"/>
        </w:rPr>
        <w:t>165). Son inclusion fait en sorte que des conceptions plus larges de la dignité peuvent être protégées sans qu</w:t>
      </w:r>
      <w:r>
        <w:rPr>
          <w:rFonts w:cs="Times New Roman"/>
        </w:rPr>
        <w:t>’</w:t>
      </w:r>
      <w:r w:rsidRPr="00985CB4">
        <w:rPr>
          <w:rFonts w:cs="Times New Roman"/>
        </w:rPr>
        <w:t xml:space="preserve">une liste exhaustive de chacune de ses manifestations ne soit nécessaire (Brunelle (2006), </w:t>
      </w:r>
      <w:r>
        <w:rPr>
          <w:rFonts w:cs="Times New Roman"/>
        </w:rPr>
        <w:t>p. </w:t>
      </w:r>
      <w:r w:rsidRPr="00985CB4">
        <w:rPr>
          <w:rFonts w:cs="Times New Roman"/>
        </w:rPr>
        <w:t>171</w:t>
      </w:r>
      <w:r>
        <w:rPr>
          <w:rFonts w:cs="Times New Roman"/>
        </w:rPr>
        <w:noBreakHyphen/>
      </w:r>
      <w:r w:rsidRPr="00985CB4">
        <w:rPr>
          <w:rFonts w:cs="Times New Roman"/>
        </w:rPr>
        <w:t xml:space="preserve">172). </w:t>
      </w:r>
    </w:p>
    <w:p w14:paraId="185D2F40" w14:textId="77777777" w:rsidR="00116CBE" w:rsidRPr="00985CB4" w:rsidRDefault="00116CBE" w:rsidP="00116CBE">
      <w:pPr>
        <w:pStyle w:val="ParaNoNdepar-AltN"/>
        <w:rPr>
          <w:rFonts w:cs="Times New Roman"/>
        </w:rPr>
      </w:pPr>
      <w:r w:rsidRPr="00985CB4">
        <w:rPr>
          <w:rFonts w:cs="Times New Roman"/>
        </w:rPr>
        <w:t>Dans l</w:t>
      </w:r>
      <w:r>
        <w:rPr>
          <w:rFonts w:cs="Times New Roman"/>
        </w:rPr>
        <w:t>’</w:t>
      </w:r>
      <w:r w:rsidRPr="00985CB4">
        <w:rPr>
          <w:rFonts w:cs="Times New Roman"/>
        </w:rPr>
        <w:t>affaire qui nous occupe, la question consiste à se demander si M. Ward a entravé l</w:t>
      </w:r>
      <w:r>
        <w:rPr>
          <w:rFonts w:cs="Times New Roman"/>
        </w:rPr>
        <w:t>’</w:t>
      </w:r>
      <w:r w:rsidRPr="00985CB4">
        <w:rPr>
          <w:rFonts w:cs="Times New Roman"/>
        </w:rPr>
        <w:t xml:space="preserve">exercice, en pleine égalité, du droit de M. Gabriel à la sauvegarde de sa dignité. Bien que le Tribunal ait correctement identifié </w:t>
      </w:r>
      <w:r w:rsidRPr="00985CB4">
        <w:rPr>
          <w:rFonts w:cs="Times New Roman"/>
          <w:i/>
        </w:rPr>
        <w:t>Calego</w:t>
      </w:r>
      <w:r w:rsidRPr="00985CB4">
        <w:rPr>
          <w:rFonts w:cs="Times New Roman"/>
        </w:rPr>
        <w:t xml:space="preserve"> comme l</w:t>
      </w:r>
      <w:r>
        <w:rPr>
          <w:rFonts w:cs="Times New Roman"/>
        </w:rPr>
        <w:t>’</w:t>
      </w:r>
      <w:r w:rsidRPr="00985CB4">
        <w:rPr>
          <w:rFonts w:cs="Times New Roman"/>
        </w:rPr>
        <w:t xml:space="preserve">arrêt faisant autorité, à notre humble avis, il a eu tort de concentrer son analyse sur les effets purement subjectifs sur M. Gabriel, plutôt que sur une personne raisonnable dans sa situation (motifs du </w:t>
      </w:r>
      <w:r>
        <w:rPr>
          <w:rFonts w:cs="Times New Roman"/>
        </w:rPr>
        <w:t>T</w:t>
      </w:r>
      <w:r w:rsidRPr="00985CB4">
        <w:rPr>
          <w:rFonts w:cs="Times New Roman"/>
        </w:rPr>
        <w:t xml:space="preserve">ribunal, </w:t>
      </w:r>
      <w:r>
        <w:rPr>
          <w:rFonts w:cs="Times New Roman"/>
        </w:rPr>
        <w:t>par. </w:t>
      </w:r>
      <w:r w:rsidRPr="00985CB4">
        <w:rPr>
          <w:rFonts w:cs="Times New Roman"/>
        </w:rPr>
        <w:t>99 et 102). Il s</w:t>
      </w:r>
      <w:r>
        <w:rPr>
          <w:rFonts w:cs="Times New Roman"/>
        </w:rPr>
        <w:t>’</w:t>
      </w:r>
      <w:r w:rsidRPr="00985CB4">
        <w:rPr>
          <w:rFonts w:cs="Times New Roman"/>
        </w:rPr>
        <w:t>agit là d</w:t>
      </w:r>
      <w:r>
        <w:rPr>
          <w:rFonts w:cs="Times New Roman"/>
        </w:rPr>
        <w:t>’</w:t>
      </w:r>
      <w:r w:rsidRPr="00985CB4">
        <w:rPr>
          <w:rFonts w:cs="Times New Roman"/>
        </w:rPr>
        <w:t>une erreur de droit isolable qui justifie une intervention en appel. Néanmoins, même au regard de la norme objective modifiée qui aurait dû être appliquée, la présente affaire comporte des aspects singuliers qui militent en faveur d</w:t>
      </w:r>
      <w:r>
        <w:rPr>
          <w:rFonts w:cs="Times New Roman"/>
        </w:rPr>
        <w:t>’</w:t>
      </w:r>
      <w:r w:rsidRPr="00985CB4">
        <w:rPr>
          <w:rFonts w:cs="Times New Roman"/>
        </w:rPr>
        <w:t>une conclusion d</w:t>
      </w:r>
      <w:r>
        <w:rPr>
          <w:rFonts w:cs="Times New Roman"/>
        </w:rPr>
        <w:t>’</w:t>
      </w:r>
      <w:r w:rsidRPr="00985CB4">
        <w:rPr>
          <w:rFonts w:cs="Times New Roman"/>
        </w:rPr>
        <w:t>entrave.</w:t>
      </w:r>
    </w:p>
    <w:p w14:paraId="49EA5E8D" w14:textId="77777777" w:rsidR="00116CBE" w:rsidRPr="00985CB4" w:rsidRDefault="00116CBE" w:rsidP="00116CBE">
      <w:pPr>
        <w:pStyle w:val="ParaNoNdepar-AltN"/>
        <w:rPr>
          <w:rFonts w:cs="Times New Roman"/>
        </w:rPr>
      </w:pPr>
      <w:r w:rsidRPr="00985CB4">
        <w:rPr>
          <w:rFonts w:cs="Times New Roman"/>
        </w:rPr>
        <w:t>La manière dont les propos ont été prononcés, et en particulier leur large diffusion, sont clairement des considérations pertinentes pour les besoins de l</w:t>
      </w:r>
      <w:r>
        <w:rPr>
          <w:rFonts w:cs="Times New Roman"/>
        </w:rPr>
        <w:t>’</w:t>
      </w:r>
      <w:r w:rsidRPr="00985CB4">
        <w:rPr>
          <w:rFonts w:cs="Times New Roman"/>
        </w:rPr>
        <w:t>analyse. Monsieur</w:t>
      </w:r>
      <w:r>
        <w:rPr>
          <w:rFonts w:cs="Times New Roman"/>
        </w:rPr>
        <w:t xml:space="preserve"> </w:t>
      </w:r>
      <w:r w:rsidRPr="00985CB4">
        <w:rPr>
          <w:rFonts w:cs="Times New Roman"/>
        </w:rPr>
        <w:t>Ward a présenté son spectacle d</w:t>
      </w:r>
      <w:r>
        <w:rPr>
          <w:rFonts w:cs="Times New Roman"/>
        </w:rPr>
        <w:t>’</w:t>
      </w:r>
      <w:r w:rsidRPr="00985CB4">
        <w:rPr>
          <w:rFonts w:cs="Times New Roman"/>
        </w:rPr>
        <w:t>humour à 230 reprises, devant plus de 100 000 personnes au total, et il a vendu plus de 7 500 exemplaires du DVD de ce spectacle. Ses capsules vidéo sont demeurées accessibles à toutes et à tous sur son site Web pendant un an, en plus d</w:t>
      </w:r>
      <w:r>
        <w:rPr>
          <w:rFonts w:cs="Times New Roman"/>
        </w:rPr>
        <w:t>’</w:t>
      </w:r>
      <w:r w:rsidRPr="00985CB4">
        <w:rPr>
          <w:rFonts w:cs="Times New Roman"/>
        </w:rPr>
        <w:t>être mises à la disposition des intéressés sur d</w:t>
      </w:r>
      <w:r>
        <w:rPr>
          <w:rFonts w:cs="Times New Roman"/>
        </w:rPr>
        <w:t>’</w:t>
      </w:r>
      <w:r w:rsidRPr="00985CB4">
        <w:rPr>
          <w:rFonts w:cs="Times New Roman"/>
        </w:rPr>
        <w:t>autres plateformes sans l</w:t>
      </w:r>
      <w:r>
        <w:rPr>
          <w:rFonts w:cs="Times New Roman"/>
        </w:rPr>
        <w:t>’</w:t>
      </w:r>
      <w:r w:rsidRPr="00985CB4">
        <w:rPr>
          <w:rFonts w:cs="Times New Roman"/>
        </w:rPr>
        <w:t>autorisation de M. Ward. Chaque fois que les blagues étaient répétées, le préjudice causé à M. Gabriel se répétait. Les propos de M. Ward étaient à ce point répandus que Jérémy Gabriel ne pouvait pas les ignorer. Ses camarades de classe non plus. Les blagues de M. Ward l</w:t>
      </w:r>
      <w:r>
        <w:rPr>
          <w:rFonts w:cs="Times New Roman"/>
        </w:rPr>
        <w:t>’</w:t>
      </w:r>
      <w:r w:rsidRPr="00985CB4">
        <w:rPr>
          <w:rFonts w:cs="Times New Roman"/>
        </w:rPr>
        <w:t>ont suivi à l</w:t>
      </w:r>
      <w:r>
        <w:rPr>
          <w:rFonts w:cs="Times New Roman"/>
        </w:rPr>
        <w:t>’</w:t>
      </w:r>
      <w:r w:rsidRPr="00985CB4">
        <w:rPr>
          <w:rFonts w:cs="Times New Roman"/>
        </w:rPr>
        <w:t>école, où d</w:t>
      </w:r>
      <w:r>
        <w:rPr>
          <w:rFonts w:cs="Times New Roman"/>
        </w:rPr>
        <w:t>’</w:t>
      </w:r>
      <w:r w:rsidRPr="00985CB4">
        <w:rPr>
          <w:rFonts w:cs="Times New Roman"/>
        </w:rPr>
        <w:t>autres enfants répétaient les insultes et exacerbaient la moquerie. Il s</w:t>
      </w:r>
      <w:r>
        <w:rPr>
          <w:rFonts w:cs="Times New Roman"/>
        </w:rPr>
        <w:t>’</w:t>
      </w:r>
      <w:r w:rsidRPr="00985CB4">
        <w:rPr>
          <w:rFonts w:cs="Times New Roman"/>
        </w:rPr>
        <w:t>agissait là d</w:t>
      </w:r>
      <w:r>
        <w:rPr>
          <w:rFonts w:cs="Times New Roman"/>
        </w:rPr>
        <w:t>’</w:t>
      </w:r>
      <w:r w:rsidRPr="00985CB4">
        <w:rPr>
          <w:rFonts w:cs="Times New Roman"/>
        </w:rPr>
        <w:t xml:space="preserve">une conséquence directe de la distribution à grande échelle par M. Ward, une personnalité bien connue au Québec, de ses numéros à propos de </w:t>
      </w:r>
      <w:r>
        <w:rPr>
          <w:rFonts w:cs="Times New Roman"/>
        </w:rPr>
        <w:t>Jérémy Gabriel</w:t>
      </w:r>
      <w:r w:rsidRPr="00985CB4">
        <w:rPr>
          <w:rFonts w:cs="Times New Roman"/>
        </w:rPr>
        <w:t>. Cela doit être considéré comme un facteur dans l</w:t>
      </w:r>
      <w:r>
        <w:rPr>
          <w:rFonts w:cs="Times New Roman"/>
        </w:rPr>
        <w:t>’</w:t>
      </w:r>
      <w:r w:rsidRPr="00985CB4">
        <w:rPr>
          <w:rFonts w:cs="Times New Roman"/>
        </w:rPr>
        <w:t>examen de la question de savoir si les commentaires de M. Ward étaient susceptibles de causer un préjudice sérieux à une personne raisonnable dans sa situation. Le fait que, dans la présente affaire, M. Gabriel ne pouvait échapper aux propos reprochés est similaire à la situation dans l</w:t>
      </w:r>
      <w:r>
        <w:rPr>
          <w:rFonts w:cs="Times New Roman"/>
        </w:rPr>
        <w:t>’</w:t>
      </w:r>
      <w:r w:rsidRPr="00985CB4">
        <w:rPr>
          <w:rFonts w:cs="Times New Roman"/>
        </w:rPr>
        <w:t xml:space="preserve">affaire </w:t>
      </w:r>
      <w:r w:rsidRPr="00985CB4">
        <w:rPr>
          <w:rFonts w:cs="Times New Roman"/>
          <w:i/>
        </w:rPr>
        <w:t>Calego</w:t>
      </w:r>
      <w:r w:rsidRPr="00985CB4">
        <w:rPr>
          <w:rFonts w:cs="Times New Roman"/>
        </w:rPr>
        <w:t>, où la Cour d</w:t>
      </w:r>
      <w:r>
        <w:rPr>
          <w:rFonts w:cs="Times New Roman"/>
        </w:rPr>
        <w:t>’</w:t>
      </w:r>
      <w:r w:rsidRPr="00985CB4">
        <w:rPr>
          <w:rFonts w:cs="Times New Roman"/>
        </w:rPr>
        <w:t>appel a jugé important le fait que les plaignants n</w:t>
      </w:r>
      <w:r>
        <w:rPr>
          <w:rFonts w:cs="Times New Roman"/>
        </w:rPr>
        <w:t>’</w:t>
      </w:r>
      <w:r w:rsidRPr="00985CB4">
        <w:rPr>
          <w:rFonts w:cs="Times New Roman"/>
        </w:rPr>
        <w:t>avaient d</w:t>
      </w:r>
      <w:r>
        <w:rPr>
          <w:rFonts w:cs="Times New Roman"/>
        </w:rPr>
        <w:t>’</w:t>
      </w:r>
      <w:r w:rsidRPr="00985CB4">
        <w:rPr>
          <w:rFonts w:cs="Times New Roman"/>
        </w:rPr>
        <w:t>autre choix que d</w:t>
      </w:r>
      <w:r>
        <w:rPr>
          <w:rFonts w:cs="Times New Roman"/>
        </w:rPr>
        <w:t>’</w:t>
      </w:r>
      <w:r w:rsidRPr="00985CB4">
        <w:rPr>
          <w:rFonts w:cs="Times New Roman"/>
        </w:rPr>
        <w:t>écouter les propos discriminatoires qui les visaient individuellement (</w:t>
      </w:r>
      <w:r>
        <w:rPr>
          <w:rFonts w:cs="Times New Roman"/>
        </w:rPr>
        <w:t>par. </w:t>
      </w:r>
      <w:r w:rsidRPr="00985CB4">
        <w:rPr>
          <w:rFonts w:cs="Times New Roman"/>
        </w:rPr>
        <w:t>103).</w:t>
      </w:r>
    </w:p>
    <w:p w14:paraId="3F3A18D2"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Les propos de M. Ward doivent en outre être considérés à la lumière du fait que, lorsqu</w:t>
      </w:r>
      <w:r>
        <w:rPr>
          <w:rFonts w:cs="Times New Roman"/>
        </w:rPr>
        <w:t>’</w:t>
      </w:r>
      <w:r w:rsidRPr="00985CB4">
        <w:rPr>
          <w:rFonts w:cs="Times New Roman"/>
        </w:rPr>
        <w:t xml:space="preserve">ils ont été prononcés, </w:t>
      </w:r>
      <w:r>
        <w:rPr>
          <w:rFonts w:cs="Times New Roman"/>
        </w:rPr>
        <w:t>Jérémy Gabriel</w:t>
      </w:r>
      <w:r w:rsidRPr="00985CB4">
        <w:rPr>
          <w:rFonts w:cs="Times New Roman"/>
        </w:rPr>
        <w:t xml:space="preserve"> était d</w:t>
      </w:r>
      <w:r>
        <w:rPr>
          <w:rFonts w:cs="Times New Roman"/>
        </w:rPr>
        <w:t>’</w:t>
      </w:r>
      <w:r w:rsidRPr="00985CB4">
        <w:rPr>
          <w:rFonts w:cs="Times New Roman"/>
        </w:rPr>
        <w:t>abord un enfant, puis un adolescent. Il était âgé de 10 ans lorsqu</w:t>
      </w:r>
      <w:r>
        <w:rPr>
          <w:rFonts w:cs="Times New Roman"/>
        </w:rPr>
        <w:t>’</w:t>
      </w:r>
      <w:r w:rsidRPr="00985CB4">
        <w:rPr>
          <w:rFonts w:cs="Times New Roman"/>
        </w:rPr>
        <w:t>il a publié son autobiographie en 2007; suivant une conclusion du Tribunal (</w:t>
      </w:r>
      <w:r>
        <w:rPr>
          <w:rFonts w:cs="Times New Roman"/>
        </w:rPr>
        <w:t>par. </w:t>
      </w:r>
      <w:r w:rsidRPr="00985CB4">
        <w:rPr>
          <w:rFonts w:cs="Times New Roman"/>
        </w:rPr>
        <w:t>21), peu de temps après, M. Ward a publié sur son site Web les capsules vidéo dans lesquelles il se moquait de Jérémy Gabriel et de son handica</w:t>
      </w:r>
      <w:r>
        <w:rPr>
          <w:rFonts w:cs="Times New Roman"/>
        </w:rPr>
        <w:t xml:space="preserve">p. </w:t>
      </w:r>
      <w:r w:rsidRPr="00985CB4">
        <w:rPr>
          <w:rFonts w:cs="Times New Roman"/>
        </w:rPr>
        <w:t xml:space="preserve">Lorsque M. Ward a commencé à présenter son spectacle </w:t>
      </w:r>
      <w:r w:rsidRPr="00985CB4">
        <w:rPr>
          <w:rFonts w:cs="Times New Roman"/>
          <w:i/>
        </w:rPr>
        <w:t>Mike Ward s</w:t>
      </w:r>
      <w:r>
        <w:rPr>
          <w:rFonts w:cs="Times New Roman"/>
          <w:i/>
        </w:rPr>
        <w:t>’</w:t>
      </w:r>
      <w:r w:rsidRPr="00985CB4">
        <w:rPr>
          <w:rFonts w:cs="Times New Roman"/>
          <w:i/>
        </w:rPr>
        <w:t>eXpose</w:t>
      </w:r>
      <w:r w:rsidRPr="00985CB4">
        <w:rPr>
          <w:rFonts w:cs="Times New Roman"/>
        </w:rPr>
        <w:t>, dans lequel il a fait sa blague concernant sa tentative de noyer Jérémy Gabriel, celui</w:t>
      </w:r>
      <w:r>
        <w:rPr>
          <w:rFonts w:cs="Times New Roman"/>
        </w:rPr>
        <w:noBreakHyphen/>
      </w:r>
      <w:r w:rsidRPr="00985CB4">
        <w:rPr>
          <w:rFonts w:cs="Times New Roman"/>
        </w:rPr>
        <w:t>ci était âgé de 13 ans</w:t>
      </w:r>
      <w:r>
        <w:rPr>
          <w:rFonts w:cs="Times New Roman"/>
        </w:rPr>
        <w:t xml:space="preserve"> (motifs du T</w:t>
      </w:r>
      <w:r w:rsidRPr="00985CB4">
        <w:rPr>
          <w:rFonts w:cs="Times New Roman"/>
        </w:rPr>
        <w:t xml:space="preserve">ribunal, </w:t>
      </w:r>
      <w:r>
        <w:rPr>
          <w:rFonts w:cs="Times New Roman"/>
        </w:rPr>
        <w:t>par. </w:t>
      </w:r>
      <w:r w:rsidRPr="00985CB4">
        <w:rPr>
          <w:rFonts w:cs="Times New Roman"/>
        </w:rPr>
        <w:t>18</w:t>
      </w:r>
      <w:r>
        <w:rPr>
          <w:rFonts w:cs="Times New Roman"/>
        </w:rPr>
        <w:noBreakHyphen/>
      </w:r>
      <w:r w:rsidRPr="00985CB4">
        <w:rPr>
          <w:rFonts w:cs="Times New Roman"/>
        </w:rPr>
        <w:t xml:space="preserve">19). </w:t>
      </w:r>
    </w:p>
    <w:p w14:paraId="32D702B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Dans l</w:t>
      </w:r>
      <w:r>
        <w:rPr>
          <w:rFonts w:cs="Times New Roman"/>
        </w:rPr>
        <w:t>’</w:t>
      </w:r>
      <w:r w:rsidRPr="00985CB4">
        <w:rPr>
          <w:rFonts w:cs="Times New Roman"/>
        </w:rPr>
        <w:t xml:space="preserve">arrêt </w:t>
      </w:r>
      <w:r w:rsidRPr="00985CB4">
        <w:rPr>
          <w:rFonts w:cs="Times New Roman"/>
          <w:i/>
        </w:rPr>
        <w:t>Canadian Foundation for Children, Youth and the Law c. Canada (Procureur général)</w:t>
      </w:r>
      <w:r w:rsidRPr="00985CB4">
        <w:rPr>
          <w:rFonts w:cs="Times New Roman"/>
        </w:rPr>
        <w:t>,</w:t>
      </w:r>
      <w:r w:rsidRPr="00985CB4">
        <w:rPr>
          <w:rFonts w:cs="Times New Roman"/>
          <w:i/>
        </w:rPr>
        <w:t xml:space="preserve"> </w:t>
      </w:r>
      <w:r w:rsidRPr="00985CB4">
        <w:rPr>
          <w:rFonts w:cs="Times New Roman"/>
        </w:rPr>
        <w:t>[2004] 1 R.C.S. 76, notre Cour a expliqué que toute approche pratique à l</w:t>
      </w:r>
      <w:r>
        <w:rPr>
          <w:rFonts w:cs="Times New Roman"/>
        </w:rPr>
        <w:t>’</w:t>
      </w:r>
      <w:r w:rsidRPr="00985CB4">
        <w:rPr>
          <w:rFonts w:cs="Times New Roman"/>
        </w:rPr>
        <w:t>égard des recours en discrimination intentés par des enfants doit incorporer le « point de vue subjectif de l</w:t>
      </w:r>
      <w:r>
        <w:rPr>
          <w:rFonts w:cs="Times New Roman"/>
        </w:rPr>
        <w:t>’</w:t>
      </w:r>
      <w:r w:rsidRPr="00985CB4">
        <w:rPr>
          <w:rFonts w:cs="Times New Roman"/>
        </w:rPr>
        <w:t>enfant, qui comportera souvent un sentiment relatif d</w:t>
      </w:r>
      <w:r>
        <w:rPr>
          <w:rFonts w:cs="Times New Roman"/>
        </w:rPr>
        <w:t>’</w:t>
      </w:r>
      <w:r w:rsidRPr="00985CB4">
        <w:rPr>
          <w:rFonts w:cs="Times New Roman"/>
        </w:rPr>
        <w:t>impuissance ou de vulnérabilité » (</w:t>
      </w:r>
      <w:r>
        <w:rPr>
          <w:rFonts w:cs="Times New Roman"/>
        </w:rPr>
        <w:t>par. </w:t>
      </w:r>
      <w:r w:rsidRPr="00985CB4">
        <w:rPr>
          <w:rFonts w:cs="Times New Roman"/>
        </w:rPr>
        <w:t xml:space="preserve">53). De plus, dans </w:t>
      </w:r>
      <w:r w:rsidRPr="00985CB4">
        <w:rPr>
          <w:rFonts w:cs="Times New Roman"/>
          <w:i/>
        </w:rPr>
        <w:t>R. c. Sharpe</w:t>
      </w:r>
      <w:r w:rsidRPr="00985CB4">
        <w:rPr>
          <w:rFonts w:cs="Times New Roman"/>
        </w:rPr>
        <w:t>,</w:t>
      </w:r>
      <w:r w:rsidRPr="00985CB4">
        <w:rPr>
          <w:rFonts w:cs="Times New Roman"/>
          <w:i/>
        </w:rPr>
        <w:t xml:space="preserve"> </w:t>
      </w:r>
      <w:r w:rsidRPr="00985CB4">
        <w:rPr>
          <w:rFonts w:cs="Times New Roman"/>
        </w:rPr>
        <w:t xml:space="preserve">[2001] 1 R.C.S. 45, </w:t>
      </w:r>
      <w:r>
        <w:rPr>
          <w:rFonts w:cs="Times New Roman"/>
        </w:rPr>
        <w:t>par. </w:t>
      </w:r>
      <w:r w:rsidRPr="00985CB4">
        <w:rPr>
          <w:rFonts w:cs="Times New Roman"/>
        </w:rPr>
        <w:t>169, les juges L</w:t>
      </w:r>
      <w:r>
        <w:rPr>
          <w:rFonts w:cs="Times New Roman"/>
        </w:rPr>
        <w:t>’</w:t>
      </w:r>
      <w:r w:rsidRPr="00985CB4">
        <w:rPr>
          <w:rFonts w:cs="Times New Roman"/>
        </w:rPr>
        <w:t>Heureux</w:t>
      </w:r>
      <w:r>
        <w:rPr>
          <w:rFonts w:cs="Times New Roman"/>
        </w:rPr>
        <w:noBreakHyphen/>
      </w:r>
      <w:r w:rsidRPr="00985CB4">
        <w:rPr>
          <w:rFonts w:cs="Times New Roman"/>
        </w:rPr>
        <w:t xml:space="preserve">Dubé, Gonthier et Bastarache ont souligné que, « [e]n raison de leur immaturité physique, mentale et émotive, les enfants forment un des groupes les plus vulnérables de la société » (voir aussi </w:t>
      </w:r>
      <w:r w:rsidRPr="00985CB4">
        <w:rPr>
          <w:rFonts w:cs="Times New Roman"/>
          <w:i/>
        </w:rPr>
        <w:t>R. c. D.B.</w:t>
      </w:r>
      <w:r w:rsidRPr="00985CB4">
        <w:rPr>
          <w:rFonts w:cs="Times New Roman"/>
        </w:rPr>
        <w:t xml:space="preserve">, [2008] 2 R.C.S. 3, </w:t>
      </w:r>
      <w:r>
        <w:rPr>
          <w:rFonts w:cs="Times New Roman"/>
        </w:rPr>
        <w:t>par. </w:t>
      </w:r>
      <w:r w:rsidRPr="00985CB4">
        <w:rPr>
          <w:rFonts w:cs="Times New Roman"/>
        </w:rPr>
        <w:t xml:space="preserve">43; </w:t>
      </w:r>
      <w:r w:rsidRPr="00985CB4">
        <w:rPr>
          <w:rFonts w:cs="Times New Roman"/>
          <w:i/>
        </w:rPr>
        <w:t>A.B. c. Bragg Communications Inc.</w:t>
      </w:r>
      <w:r w:rsidRPr="00985CB4">
        <w:rPr>
          <w:rFonts w:cs="Times New Roman"/>
        </w:rPr>
        <w:t xml:space="preserve">, [2012] 2 R.C.S. 567, </w:t>
      </w:r>
      <w:r>
        <w:rPr>
          <w:rFonts w:cs="Times New Roman"/>
        </w:rPr>
        <w:t>par. </w:t>
      </w:r>
      <w:r w:rsidRPr="00985CB4">
        <w:rPr>
          <w:rFonts w:cs="Times New Roman"/>
        </w:rPr>
        <w:t>17). L</w:t>
      </w:r>
      <w:r>
        <w:rPr>
          <w:rFonts w:cs="Times New Roman"/>
        </w:rPr>
        <w:t>’</w:t>
      </w:r>
      <w:r w:rsidRPr="00985CB4">
        <w:rPr>
          <w:rFonts w:cs="Times New Roman"/>
        </w:rPr>
        <w:t>enfance et le début de l</w:t>
      </w:r>
      <w:r>
        <w:rPr>
          <w:rFonts w:cs="Times New Roman"/>
        </w:rPr>
        <w:t>’</w:t>
      </w:r>
      <w:r w:rsidRPr="00985CB4">
        <w:rPr>
          <w:rFonts w:cs="Times New Roman"/>
        </w:rPr>
        <w:t>adolescence représentent une étape formative de la vie pendant laquelle le désir d</w:t>
      </w:r>
      <w:r>
        <w:rPr>
          <w:rFonts w:cs="Times New Roman"/>
        </w:rPr>
        <w:t>’</w:t>
      </w:r>
      <w:r w:rsidRPr="00985CB4">
        <w:rPr>
          <w:rFonts w:cs="Times New Roman"/>
        </w:rPr>
        <w:t>appartenance de l</w:t>
      </w:r>
      <w:r>
        <w:rPr>
          <w:rFonts w:cs="Times New Roman"/>
        </w:rPr>
        <w:t>’</w:t>
      </w:r>
      <w:r w:rsidRPr="00985CB4">
        <w:rPr>
          <w:rFonts w:cs="Times New Roman"/>
        </w:rPr>
        <w:t xml:space="preserve">individu peut évidemment être fortement ressenti. Une jeune personne raisonnable qui se trouverait dans la situation de Jérémy Gabriel serait particulièrement vulnérable aux préjudices découlant de propos déshumanisants. </w:t>
      </w:r>
    </w:p>
    <w:p w14:paraId="7D8FD27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Dans son numéro d</w:t>
      </w:r>
      <w:r>
        <w:rPr>
          <w:rFonts w:cs="Times New Roman"/>
        </w:rPr>
        <w:t>’</w:t>
      </w:r>
      <w:r w:rsidRPr="00985CB4">
        <w:rPr>
          <w:rFonts w:cs="Times New Roman"/>
        </w:rPr>
        <w:t>humour, M. Ward faisait remarquer qu</w:t>
      </w:r>
      <w:r>
        <w:rPr>
          <w:rFonts w:cs="Times New Roman"/>
        </w:rPr>
        <w:t>’</w:t>
      </w:r>
      <w:r w:rsidRPr="00985CB4">
        <w:rPr>
          <w:rFonts w:cs="Times New Roman"/>
        </w:rPr>
        <w:t>il avait initialement défendu M. Gabriel contre les critiques, jusqu</w:t>
      </w:r>
      <w:r>
        <w:rPr>
          <w:rFonts w:cs="Times New Roman"/>
        </w:rPr>
        <w:t>’</w:t>
      </w:r>
      <w:r w:rsidRPr="00985CB4">
        <w:rPr>
          <w:rFonts w:cs="Times New Roman"/>
        </w:rPr>
        <w:t>à ce qu</w:t>
      </w:r>
      <w:r>
        <w:rPr>
          <w:rFonts w:cs="Times New Roman"/>
        </w:rPr>
        <w:t>’</w:t>
      </w:r>
      <w:r w:rsidRPr="00985CB4">
        <w:rPr>
          <w:rFonts w:cs="Times New Roman"/>
        </w:rPr>
        <w:t>il apprenne que ce dernier n</w:t>
      </w:r>
      <w:r>
        <w:rPr>
          <w:rFonts w:cs="Times New Roman"/>
        </w:rPr>
        <w:t>’</w:t>
      </w:r>
      <w:r w:rsidRPr="00985CB4">
        <w:rPr>
          <w:rFonts w:cs="Times New Roman"/>
        </w:rPr>
        <w:t>était pas mourant, après quoi il a décidé de le noyer. Cette remarque insinue qu</w:t>
      </w:r>
      <w:r>
        <w:rPr>
          <w:rFonts w:cs="Times New Roman"/>
        </w:rPr>
        <w:t>’</w:t>
      </w:r>
      <w:r w:rsidRPr="00985CB4">
        <w:rPr>
          <w:rFonts w:cs="Times New Roman"/>
        </w:rPr>
        <w:t>il serait trop onéreux pour la société d</w:t>
      </w:r>
      <w:r>
        <w:rPr>
          <w:rFonts w:cs="Times New Roman"/>
        </w:rPr>
        <w:t>’</w:t>
      </w:r>
      <w:r w:rsidRPr="00985CB4">
        <w:rPr>
          <w:rFonts w:cs="Times New Roman"/>
        </w:rPr>
        <w:t>accepter Jérémy Gabriel dans la population générale de façon permanente, et qu</w:t>
      </w:r>
      <w:r>
        <w:rPr>
          <w:rFonts w:cs="Times New Roman"/>
        </w:rPr>
        <w:t>’</w:t>
      </w:r>
      <w:r w:rsidRPr="00985CB4">
        <w:rPr>
          <w:rFonts w:cs="Times New Roman"/>
        </w:rPr>
        <w:t>en fin de compte la société s</w:t>
      </w:r>
      <w:r>
        <w:rPr>
          <w:rFonts w:cs="Times New Roman"/>
        </w:rPr>
        <w:t>’</w:t>
      </w:r>
      <w:r w:rsidRPr="00985CB4">
        <w:rPr>
          <w:rFonts w:cs="Times New Roman"/>
        </w:rPr>
        <w:t>en porterait mieux s</w:t>
      </w:r>
      <w:r>
        <w:rPr>
          <w:rFonts w:cs="Times New Roman"/>
        </w:rPr>
        <w:t>’</w:t>
      </w:r>
      <w:r w:rsidRPr="00985CB4">
        <w:rPr>
          <w:rFonts w:cs="Times New Roman"/>
        </w:rPr>
        <w:t>il était mort. La blague de M. Ward s</w:t>
      </w:r>
      <w:r>
        <w:rPr>
          <w:rFonts w:cs="Times New Roman"/>
        </w:rPr>
        <w:t>’</w:t>
      </w:r>
      <w:r w:rsidRPr="00985CB4">
        <w:rPr>
          <w:rFonts w:cs="Times New Roman"/>
        </w:rPr>
        <w:t>appuie sur des attitudes archaïques, qui préconisent l</w:t>
      </w:r>
      <w:r>
        <w:rPr>
          <w:rFonts w:cs="Times New Roman"/>
        </w:rPr>
        <w:t>’</w:t>
      </w:r>
      <w:r w:rsidRPr="00985CB4">
        <w:rPr>
          <w:rFonts w:cs="Times New Roman"/>
        </w:rPr>
        <w:t xml:space="preserve">exclusion et la ségrégation des enfants handicapés (Commend, </w:t>
      </w:r>
      <w:r>
        <w:rPr>
          <w:rFonts w:cs="Times New Roman"/>
        </w:rPr>
        <w:t>p. </w:t>
      </w:r>
      <w:r w:rsidRPr="00985CB4">
        <w:rPr>
          <w:rFonts w:cs="Times New Roman"/>
        </w:rPr>
        <w:t xml:space="preserve">87; Daniel Ducharme et Karina Montminy, </w:t>
      </w:r>
      <w:r w:rsidRPr="00985CB4">
        <w:rPr>
          <w:rFonts w:cs="Times New Roman"/>
          <w:i/>
        </w:rPr>
        <w:t>L</w:t>
      </w:r>
      <w:r>
        <w:rPr>
          <w:rFonts w:cs="Times New Roman"/>
          <w:i/>
        </w:rPr>
        <w:t>’</w:t>
      </w:r>
      <w:r w:rsidRPr="00985CB4">
        <w:rPr>
          <w:rFonts w:cs="Times New Roman"/>
          <w:i/>
        </w:rPr>
        <w:t>accommodement des étudiants et étudiantes en situation de handicap dans les établissements d</w:t>
      </w:r>
      <w:r>
        <w:rPr>
          <w:rFonts w:cs="Times New Roman"/>
          <w:i/>
        </w:rPr>
        <w:t>’</w:t>
      </w:r>
      <w:r w:rsidRPr="00985CB4">
        <w:rPr>
          <w:rFonts w:cs="Times New Roman"/>
          <w:i/>
        </w:rPr>
        <w:t>enseignement collégial</w:t>
      </w:r>
      <w:r w:rsidRPr="00985CB4">
        <w:rPr>
          <w:rFonts w:cs="Times New Roman"/>
        </w:rPr>
        <w:t xml:space="preserve"> (2012), </w:t>
      </w:r>
      <w:r>
        <w:rPr>
          <w:rFonts w:cs="Times New Roman"/>
        </w:rPr>
        <w:t>p. </w:t>
      </w:r>
      <w:r w:rsidRPr="00985CB4">
        <w:rPr>
          <w:rFonts w:cs="Times New Roman"/>
        </w:rPr>
        <w:t>10).</w:t>
      </w:r>
    </w:p>
    <w:p w14:paraId="1189EA9D"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Monsieur</w:t>
      </w:r>
      <w:r>
        <w:rPr>
          <w:rFonts w:cs="Times New Roman"/>
        </w:rPr>
        <w:t xml:space="preserve"> </w:t>
      </w:r>
      <w:r w:rsidRPr="00985CB4">
        <w:rPr>
          <w:rFonts w:cs="Times New Roman"/>
        </w:rPr>
        <w:t>Ward a utilisé le handicap de Jérémy Gabriel et ses manifestations pour faire rire son auditoire, présentant l</w:t>
      </w:r>
      <w:r>
        <w:rPr>
          <w:rFonts w:cs="Times New Roman"/>
        </w:rPr>
        <w:t>’</w:t>
      </w:r>
      <w:r w:rsidRPr="00985CB4">
        <w:rPr>
          <w:rFonts w:cs="Times New Roman"/>
        </w:rPr>
        <w:t>enfant comme un objet de ridicule, plutôt que comme une personne digne de respect (</w:t>
      </w:r>
      <w:r w:rsidRPr="00985CB4">
        <w:rPr>
          <w:rFonts w:cs="Times New Roman"/>
          <w:szCs w:val="24"/>
        </w:rPr>
        <w:t xml:space="preserve">voir Brunelle (2006), </w:t>
      </w:r>
      <w:r>
        <w:rPr>
          <w:rFonts w:cs="Times New Roman"/>
          <w:szCs w:val="24"/>
        </w:rPr>
        <w:t>p. </w:t>
      </w:r>
      <w:r w:rsidRPr="00985CB4">
        <w:rPr>
          <w:rFonts w:cs="Times New Roman"/>
          <w:szCs w:val="24"/>
        </w:rPr>
        <w:t xml:space="preserve">152). </w:t>
      </w:r>
      <w:r w:rsidRPr="00985CB4">
        <w:rPr>
          <w:rFonts w:cs="Times New Roman"/>
        </w:rPr>
        <w:t>De toute évidence, il s</w:t>
      </w:r>
      <w:r>
        <w:rPr>
          <w:rFonts w:cs="Times New Roman"/>
        </w:rPr>
        <w:t>’</w:t>
      </w:r>
      <w:r w:rsidRPr="00985CB4">
        <w:rPr>
          <w:rFonts w:cs="Times New Roman"/>
        </w:rPr>
        <w:t>agit là du type de propos qui amèneraient un enfant handicapé à mettre en doute son « respect et [son] estime de soi » (</w:t>
      </w:r>
      <w:r w:rsidRPr="00985CB4">
        <w:rPr>
          <w:rFonts w:cs="Times New Roman"/>
          <w:i/>
        </w:rPr>
        <w:t>Law</w:t>
      </w:r>
      <w:r w:rsidRPr="00985CB4">
        <w:rPr>
          <w:rFonts w:cs="Times New Roman"/>
        </w:rPr>
        <w:t xml:space="preserve">, </w:t>
      </w:r>
      <w:r>
        <w:rPr>
          <w:rFonts w:cs="Times New Roman"/>
        </w:rPr>
        <w:t>par. </w:t>
      </w:r>
      <w:r w:rsidRPr="00985CB4">
        <w:rPr>
          <w:rFonts w:cs="Times New Roman"/>
        </w:rPr>
        <w:t>53), violant ainsi l</w:t>
      </w:r>
      <w:r>
        <w:rPr>
          <w:rFonts w:cs="Times New Roman"/>
        </w:rPr>
        <w:t>’art. </w:t>
      </w:r>
      <w:r w:rsidRPr="00985CB4">
        <w:rPr>
          <w:rFonts w:cs="Times New Roman"/>
        </w:rPr>
        <w:t xml:space="preserve">10 de la </w:t>
      </w:r>
      <w:r w:rsidRPr="00985CB4">
        <w:rPr>
          <w:rFonts w:cs="Times New Roman"/>
          <w:i/>
        </w:rPr>
        <w:t>Charte</w:t>
      </w:r>
      <w:r w:rsidRPr="00985CB4">
        <w:rPr>
          <w:rFonts w:cs="Times New Roman"/>
        </w:rPr>
        <w:t xml:space="preserve"> québécoise et causant une atteinte grave à la dignité. </w:t>
      </w:r>
    </w:p>
    <w:p w14:paraId="72FA3251"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Bien que l</w:t>
      </w:r>
      <w:r>
        <w:rPr>
          <w:rFonts w:cs="Times New Roman"/>
        </w:rPr>
        <w:t>’</w:t>
      </w:r>
      <w:r w:rsidRPr="00985CB4">
        <w:rPr>
          <w:rFonts w:cs="Times New Roman"/>
        </w:rPr>
        <w:t>examen de la question de savoir si des propos compromettent l</w:t>
      </w:r>
      <w:r>
        <w:rPr>
          <w:rFonts w:cs="Times New Roman"/>
        </w:rPr>
        <w:t>’</w:t>
      </w:r>
      <w:r w:rsidRPr="00985CB4">
        <w:rPr>
          <w:rFonts w:cs="Times New Roman"/>
        </w:rPr>
        <w:t>exercice, en pleine égalité, du droit protégé par l</w:t>
      </w:r>
      <w:r>
        <w:rPr>
          <w:rFonts w:cs="Times New Roman"/>
        </w:rPr>
        <w:t>’art. </w:t>
      </w:r>
      <w:r w:rsidRPr="00985CB4">
        <w:rPr>
          <w:rFonts w:cs="Times New Roman"/>
        </w:rPr>
        <w:t>4 ait un caractère objectif, il est important de souligner que le Tribunal a conclu que les propos de M. Ward avaient causé de l</w:t>
      </w:r>
      <w:r>
        <w:rPr>
          <w:rFonts w:cs="Times New Roman"/>
        </w:rPr>
        <w:t>’</w:t>
      </w:r>
      <w:r w:rsidRPr="00985CB4">
        <w:rPr>
          <w:rFonts w:cs="Times New Roman"/>
        </w:rPr>
        <w:t>angoisse à M. Gabriel et qu</w:t>
      </w:r>
      <w:r>
        <w:rPr>
          <w:rFonts w:cs="Times New Roman"/>
        </w:rPr>
        <w:t>’</w:t>
      </w:r>
      <w:r w:rsidRPr="00985CB4">
        <w:rPr>
          <w:rFonts w:cs="Times New Roman"/>
        </w:rPr>
        <w:t>ils l</w:t>
      </w:r>
      <w:r>
        <w:rPr>
          <w:rFonts w:cs="Times New Roman"/>
        </w:rPr>
        <w:t>’</w:t>
      </w:r>
      <w:r w:rsidRPr="00985CB4">
        <w:rPr>
          <w:rFonts w:cs="Times New Roman"/>
        </w:rPr>
        <w:t>avaient poussé à s</w:t>
      </w:r>
      <w:r>
        <w:rPr>
          <w:rFonts w:cs="Times New Roman"/>
        </w:rPr>
        <w:t>’</w:t>
      </w:r>
      <w:r w:rsidRPr="00985CB4">
        <w:rPr>
          <w:rFonts w:cs="Times New Roman"/>
        </w:rPr>
        <w:t>isoler de ses pairs et même à avoir des pensées suicidaires (</w:t>
      </w:r>
      <w:r>
        <w:rPr>
          <w:rFonts w:cs="Times New Roman"/>
        </w:rPr>
        <w:t>par. </w:t>
      </w:r>
      <w:r w:rsidRPr="00985CB4">
        <w:rPr>
          <w:rFonts w:cs="Times New Roman"/>
        </w:rPr>
        <w:t>155). Le Tribunal a mentionné que M. Gabriel s</w:t>
      </w:r>
      <w:r>
        <w:rPr>
          <w:rFonts w:cs="Times New Roman"/>
        </w:rPr>
        <w:t>’</w:t>
      </w:r>
      <w:r w:rsidRPr="00985CB4">
        <w:rPr>
          <w:rFonts w:cs="Times New Roman"/>
        </w:rPr>
        <w:t>était souvent demandé si son handicap faisait de lui une personne de moindre valeur.</w:t>
      </w:r>
    </w:p>
    <w:p w14:paraId="036950DB"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Compte tenu de la vulnérabilité particulière d</w:t>
      </w:r>
      <w:r>
        <w:rPr>
          <w:rFonts w:cs="Times New Roman"/>
        </w:rPr>
        <w:t>’</w:t>
      </w:r>
      <w:r w:rsidRPr="00985CB4">
        <w:rPr>
          <w:rFonts w:cs="Times New Roman"/>
        </w:rPr>
        <w:t>un enfant dans la situation de Jérémy Gabriel, la large diffusion des propos de M. Ward et la cruauté de l</w:t>
      </w:r>
      <w:r>
        <w:rPr>
          <w:rFonts w:cs="Times New Roman"/>
        </w:rPr>
        <w:t>’</w:t>
      </w:r>
      <w:r w:rsidRPr="00985CB4">
        <w:rPr>
          <w:rFonts w:cs="Times New Roman"/>
        </w:rPr>
        <w:t>insinuation selon laquelle il était un être humain dont on pouvait se débarrasser ou qui constituait un fardeau, la présente affaire comporte des circonstances exceptionnelles indiquant que le droit à l</w:t>
      </w:r>
      <w:r>
        <w:rPr>
          <w:rFonts w:cs="Times New Roman"/>
        </w:rPr>
        <w:t>’</w:t>
      </w:r>
      <w:r w:rsidRPr="00985CB4">
        <w:rPr>
          <w:rFonts w:cs="Times New Roman"/>
        </w:rPr>
        <w:t>exercice, en pleine égalité, de la dignité a été compromis. À notre avis, ces faits sont suffisants pour conclure que la Commission s</w:t>
      </w:r>
      <w:r>
        <w:rPr>
          <w:rFonts w:cs="Times New Roman"/>
        </w:rPr>
        <w:t>’</w:t>
      </w:r>
      <w:r w:rsidRPr="00985CB4">
        <w:rPr>
          <w:rFonts w:cs="Times New Roman"/>
        </w:rPr>
        <w:t xml:space="preserve">est acquittée de son fardeau et que la discrimination </w:t>
      </w:r>
      <w:r w:rsidRPr="00985CB4">
        <w:rPr>
          <w:rFonts w:cs="Times New Roman"/>
          <w:i/>
        </w:rPr>
        <w:t xml:space="preserve">prima facie </w:t>
      </w:r>
      <w:r w:rsidRPr="00985CB4">
        <w:rPr>
          <w:rFonts w:cs="Times New Roman"/>
        </w:rPr>
        <w:t xml:space="preserve">a été établie. </w:t>
      </w:r>
    </w:p>
    <w:p w14:paraId="7A4F85BF"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Il est vrai que, si le droit de M. Gabriel à la réputation a été violé, il aurait pu intenter une poursuite civile en diffamation. Toutefois, la Commission a plutôt introduit un recours en discrimination, comme il lui était loisible de le faire. En droit québécois, une action en diffamation est un recours visant l</w:t>
      </w:r>
      <w:r>
        <w:rPr>
          <w:rFonts w:cs="Times New Roman"/>
        </w:rPr>
        <w:t>’</w:t>
      </w:r>
      <w:r w:rsidRPr="00985CB4">
        <w:rPr>
          <w:rFonts w:cs="Times New Roman"/>
        </w:rPr>
        <w:t>obtention d</w:t>
      </w:r>
      <w:r>
        <w:rPr>
          <w:rFonts w:cs="Times New Roman"/>
        </w:rPr>
        <w:t>’</w:t>
      </w:r>
      <w:r w:rsidRPr="00985CB4">
        <w:rPr>
          <w:rFonts w:cs="Times New Roman"/>
        </w:rPr>
        <w:t xml:space="preserve">une réparation pour la violation du droit à la sauvegarde de la </w:t>
      </w:r>
      <w:r w:rsidRPr="00985CB4">
        <w:rPr>
          <w:rFonts w:cs="Times New Roman"/>
          <w:i/>
        </w:rPr>
        <w:t xml:space="preserve">réputation </w:t>
      </w:r>
      <w:r w:rsidRPr="00985CB4">
        <w:rPr>
          <w:rFonts w:cs="Times New Roman"/>
        </w:rPr>
        <w:t>sur la base des règles générales de la responsabilité civile (</w:t>
      </w:r>
      <w:r>
        <w:rPr>
          <w:rFonts w:cs="Times New Roman"/>
        </w:rPr>
        <w:t>art. </w:t>
      </w:r>
      <w:r w:rsidRPr="00985CB4">
        <w:rPr>
          <w:rFonts w:cs="Times New Roman"/>
        </w:rPr>
        <w:t xml:space="preserve">1457 </w:t>
      </w:r>
      <w:r w:rsidRPr="00985CB4">
        <w:rPr>
          <w:rFonts w:cs="Times New Roman"/>
          <w:i/>
        </w:rPr>
        <w:t>C.c.Q.</w:t>
      </w:r>
      <w:r w:rsidRPr="00985CB4">
        <w:rPr>
          <w:rFonts w:cs="Times New Roman"/>
        </w:rPr>
        <w:t>) et de l</w:t>
      </w:r>
      <w:r>
        <w:rPr>
          <w:rFonts w:cs="Times New Roman"/>
        </w:rPr>
        <w:t>’art. </w:t>
      </w:r>
      <w:r w:rsidRPr="00985CB4">
        <w:rPr>
          <w:rFonts w:cs="Times New Roman"/>
        </w:rPr>
        <w:t xml:space="preserve">4 de la </w:t>
      </w:r>
      <w:r w:rsidRPr="00985CB4">
        <w:rPr>
          <w:rFonts w:cs="Times New Roman"/>
          <w:i/>
        </w:rPr>
        <w:t>Charte</w:t>
      </w:r>
      <w:r w:rsidRPr="00985CB4">
        <w:rPr>
          <w:rFonts w:cs="Times New Roman"/>
        </w:rPr>
        <w:t xml:space="preserve"> québécoise (</w:t>
      </w:r>
      <w:r w:rsidRPr="00985CB4">
        <w:rPr>
          <w:rFonts w:cs="Times New Roman"/>
          <w:i/>
        </w:rPr>
        <w:t>Bou Malhab</w:t>
      </w:r>
      <w:r w:rsidRPr="00985CB4">
        <w:rPr>
          <w:rFonts w:cs="Times New Roman"/>
        </w:rPr>
        <w:t xml:space="preserve">, </w:t>
      </w:r>
      <w:r>
        <w:rPr>
          <w:rFonts w:cs="Times New Roman"/>
        </w:rPr>
        <w:t>par. </w:t>
      </w:r>
      <w:r w:rsidRPr="00985CB4">
        <w:rPr>
          <w:rFonts w:cs="Times New Roman"/>
        </w:rPr>
        <w:t>22</w:t>
      </w:r>
      <w:r>
        <w:rPr>
          <w:rFonts w:cs="Times New Roman"/>
        </w:rPr>
        <w:noBreakHyphen/>
      </w:r>
      <w:r w:rsidRPr="00985CB4">
        <w:rPr>
          <w:rFonts w:cs="Times New Roman"/>
        </w:rPr>
        <w:t>23 et 27). Un tel recours ne met pas nécessairement en jeu le droit distinct à la dignité et n</w:t>
      </w:r>
      <w:r>
        <w:rPr>
          <w:rFonts w:cs="Times New Roman"/>
        </w:rPr>
        <w:t>’</w:t>
      </w:r>
      <w:r w:rsidRPr="00985CB4">
        <w:rPr>
          <w:rFonts w:cs="Times New Roman"/>
        </w:rPr>
        <w:t>est pas fondé sur l</w:t>
      </w:r>
      <w:r>
        <w:rPr>
          <w:rFonts w:cs="Times New Roman"/>
        </w:rPr>
        <w:t>’</w:t>
      </w:r>
      <w:r w:rsidRPr="00985CB4">
        <w:rPr>
          <w:rFonts w:cs="Times New Roman"/>
        </w:rPr>
        <w:t>appartenance du demandeur à un groupe particulier (Baudouin, Deslauriers et Moore, n</w:t>
      </w:r>
      <w:r w:rsidRPr="00985CB4">
        <w:rPr>
          <w:rFonts w:cs="Times New Roman"/>
          <w:vertAlign w:val="superscript"/>
        </w:rPr>
        <w:t>o</w:t>
      </w:r>
      <w:r w:rsidRPr="00985CB4">
        <w:rPr>
          <w:rFonts w:cs="Times New Roman"/>
        </w:rPr>
        <w:t> 1</w:t>
      </w:r>
      <w:r>
        <w:rPr>
          <w:rFonts w:cs="Times New Roman"/>
        </w:rPr>
        <w:noBreakHyphen/>
      </w:r>
      <w:r w:rsidRPr="00985CB4">
        <w:rPr>
          <w:rFonts w:cs="Times New Roman"/>
        </w:rPr>
        <w:t xml:space="preserve">297; voir aussi </w:t>
      </w:r>
      <w:r w:rsidRPr="00985CB4">
        <w:rPr>
          <w:rFonts w:cs="Times New Roman"/>
          <w:i/>
        </w:rPr>
        <w:t>Bou Malhab</w:t>
      </w:r>
      <w:r w:rsidRPr="00985CB4">
        <w:rPr>
          <w:rFonts w:cs="Times New Roman"/>
        </w:rPr>
        <w:t xml:space="preserve">, </w:t>
      </w:r>
      <w:r>
        <w:rPr>
          <w:rFonts w:cs="Times New Roman"/>
        </w:rPr>
        <w:t>par. </w:t>
      </w:r>
      <w:r w:rsidRPr="00985CB4">
        <w:rPr>
          <w:rFonts w:cs="Times New Roman"/>
        </w:rPr>
        <w:t>27). Comme a pris soin de le souligner le juge Morissette dans l</w:t>
      </w:r>
      <w:r>
        <w:rPr>
          <w:rFonts w:cs="Times New Roman"/>
        </w:rPr>
        <w:t>’</w:t>
      </w:r>
      <w:r w:rsidRPr="00985CB4">
        <w:rPr>
          <w:rFonts w:cs="Times New Roman"/>
        </w:rPr>
        <w:t xml:space="preserve">affaire </w:t>
      </w:r>
      <w:r w:rsidRPr="00985CB4">
        <w:rPr>
          <w:rFonts w:cs="Times New Roman"/>
          <w:i/>
        </w:rPr>
        <w:t>Calego</w:t>
      </w:r>
      <w:r w:rsidRPr="00985CB4">
        <w:rPr>
          <w:rFonts w:cs="Times New Roman"/>
        </w:rPr>
        <w:t>, la dignité se rapporte à l</w:t>
      </w:r>
      <w:r>
        <w:rPr>
          <w:rFonts w:cs="Times New Roman"/>
        </w:rPr>
        <w:t>’</w:t>
      </w:r>
      <w:r w:rsidRPr="00985CB4">
        <w:rPr>
          <w:rFonts w:cs="Times New Roman"/>
        </w:rPr>
        <w:t>individualité d</w:t>
      </w:r>
      <w:r>
        <w:rPr>
          <w:rFonts w:cs="Times New Roman"/>
        </w:rPr>
        <w:t>’</w:t>
      </w:r>
      <w:r w:rsidRPr="00985CB4">
        <w:rPr>
          <w:rFonts w:cs="Times New Roman"/>
        </w:rPr>
        <w:t>une personne et au sentiment que sa valeur intrinsèque a été respectée, alors que la réputation se rapporte à la façon dont les autres perçoivent le plaignant (</w:t>
      </w:r>
      <w:r>
        <w:rPr>
          <w:rFonts w:cs="Times New Roman"/>
        </w:rPr>
        <w:t>par. </w:t>
      </w:r>
      <w:r w:rsidRPr="00985CB4">
        <w:rPr>
          <w:rFonts w:cs="Times New Roman"/>
        </w:rPr>
        <w:t>101). Affirmer que le seul recours dont disposait M. Gabriel était une action civile pour réparer l</w:t>
      </w:r>
      <w:r>
        <w:rPr>
          <w:rFonts w:cs="Times New Roman"/>
        </w:rPr>
        <w:t>’</w:t>
      </w:r>
      <w:r w:rsidRPr="00985CB4">
        <w:rPr>
          <w:rFonts w:cs="Times New Roman"/>
        </w:rPr>
        <w:t>atteinte à sa réputation reviendrait à faire abstraction du fait que la demande que nous examinons en l</w:t>
      </w:r>
      <w:r>
        <w:rPr>
          <w:rFonts w:cs="Times New Roman"/>
        </w:rPr>
        <w:t>’</w:t>
      </w:r>
      <w:r w:rsidRPr="00985CB4">
        <w:rPr>
          <w:rFonts w:cs="Times New Roman"/>
        </w:rPr>
        <w:t>espèce porte principalement sur le droit à l</w:t>
      </w:r>
      <w:r>
        <w:rPr>
          <w:rFonts w:cs="Times New Roman"/>
        </w:rPr>
        <w:t>’</w:t>
      </w:r>
      <w:r w:rsidRPr="00985CB4">
        <w:rPr>
          <w:rFonts w:cs="Times New Roman"/>
        </w:rPr>
        <w:t>exercice, en pleine égalité, du droit à la sauvegarde, entre autres, de la dignité, tel que prévu à l</w:t>
      </w:r>
      <w:r>
        <w:rPr>
          <w:rFonts w:cs="Times New Roman"/>
        </w:rPr>
        <w:t>’art. </w:t>
      </w:r>
      <w:r w:rsidRPr="00985CB4">
        <w:rPr>
          <w:rFonts w:cs="Times New Roman"/>
        </w:rPr>
        <w:t>4. Il s</w:t>
      </w:r>
      <w:r>
        <w:rPr>
          <w:rFonts w:cs="Times New Roman"/>
        </w:rPr>
        <w:t>’</w:t>
      </w:r>
      <w:r w:rsidRPr="00985CB4">
        <w:rPr>
          <w:rFonts w:cs="Times New Roman"/>
        </w:rPr>
        <w:t>agit clairement une demande d</w:t>
      </w:r>
      <w:r>
        <w:rPr>
          <w:rFonts w:cs="Times New Roman"/>
        </w:rPr>
        <w:t>’</w:t>
      </w:r>
      <w:r w:rsidRPr="00985CB4">
        <w:rPr>
          <w:rFonts w:cs="Times New Roman"/>
        </w:rPr>
        <w:t>un autre ordre.</w:t>
      </w:r>
    </w:p>
    <w:p w14:paraId="57CAE653"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Bien que le </w:t>
      </w:r>
      <w:r w:rsidRPr="00985CB4">
        <w:rPr>
          <w:rFonts w:cs="Times New Roman"/>
          <w:i/>
        </w:rPr>
        <w:t>Code civil du Québec</w:t>
      </w:r>
      <w:r w:rsidRPr="00985CB4">
        <w:rPr>
          <w:rFonts w:cs="Times New Roman"/>
        </w:rPr>
        <w:t xml:space="preserve"> doive être lu en harmonie avec la </w:t>
      </w:r>
      <w:r w:rsidRPr="00985CB4">
        <w:rPr>
          <w:rFonts w:cs="Times New Roman"/>
          <w:i/>
        </w:rPr>
        <w:t>Charte</w:t>
      </w:r>
      <w:r w:rsidRPr="00985CB4">
        <w:rPr>
          <w:rFonts w:cs="Times New Roman"/>
        </w:rPr>
        <w:t xml:space="preserve"> québécoise (disposition préliminaire du </w:t>
      </w:r>
      <w:r w:rsidRPr="00985CB4">
        <w:rPr>
          <w:rFonts w:cs="Times New Roman"/>
          <w:i/>
        </w:rPr>
        <w:t>C.c.Q.</w:t>
      </w:r>
      <w:r w:rsidRPr="00985CB4">
        <w:rPr>
          <w:rFonts w:cs="Times New Roman"/>
        </w:rPr>
        <w:t>), cela ne veut pas dire qu</w:t>
      </w:r>
      <w:r>
        <w:rPr>
          <w:rFonts w:cs="Times New Roman"/>
        </w:rPr>
        <w:t>’</w:t>
      </w:r>
      <w:r w:rsidRPr="00985CB4">
        <w:rPr>
          <w:rFonts w:cs="Times New Roman"/>
        </w:rPr>
        <w:t>il faille en quelque sorte atténuer systématiquement la portée des garanties relatives aux droits de la personne sous prétexte de conformité avec la responsabilité civile (voir Mélanie Samson et Louise Langevin, « </w:t>
      </w:r>
      <w:r>
        <w:rPr>
          <w:rFonts w:cs="Times New Roman"/>
        </w:rPr>
        <w:t>Revisiting Qué</w:t>
      </w:r>
      <w:r w:rsidRPr="00985CB4">
        <w:rPr>
          <w:rFonts w:cs="Times New Roman"/>
        </w:rPr>
        <w:t>bec</w:t>
      </w:r>
      <w:r>
        <w:rPr>
          <w:rFonts w:cs="Times New Roman"/>
        </w:rPr>
        <w:t>’</w:t>
      </w:r>
      <w:r w:rsidRPr="00985CB4">
        <w:rPr>
          <w:rFonts w:cs="Times New Roman"/>
        </w:rPr>
        <w:t xml:space="preserve">s </w:t>
      </w:r>
      <w:r w:rsidRPr="00985CB4">
        <w:rPr>
          <w:rFonts w:cs="Times New Roman"/>
          <w:i/>
        </w:rPr>
        <w:t>Jus Commune</w:t>
      </w:r>
      <w:r w:rsidRPr="00985CB4">
        <w:rPr>
          <w:rFonts w:cs="Times New Roman"/>
        </w:rPr>
        <w:t xml:space="preserve"> in the Era of the Human Rights Charters » (2015), 63 </w:t>
      </w:r>
      <w:r w:rsidRPr="00985CB4">
        <w:rPr>
          <w:rFonts w:cs="Times New Roman"/>
          <w:i/>
        </w:rPr>
        <w:t>Am. J. Com</w:t>
      </w:r>
      <w:r>
        <w:rPr>
          <w:rFonts w:cs="Times New Roman"/>
          <w:i/>
        </w:rPr>
        <w:t>p. </w:t>
      </w:r>
      <w:r w:rsidRPr="00985CB4">
        <w:rPr>
          <w:rFonts w:cs="Times New Roman"/>
          <w:i/>
        </w:rPr>
        <w:t xml:space="preserve">L. </w:t>
      </w:r>
      <w:r w:rsidRPr="00985CB4">
        <w:rPr>
          <w:rFonts w:cs="Times New Roman"/>
        </w:rPr>
        <w:t xml:space="preserve">719, </w:t>
      </w:r>
      <w:r>
        <w:rPr>
          <w:rFonts w:cs="Times New Roman"/>
        </w:rPr>
        <w:t>p. </w:t>
      </w:r>
      <w:r w:rsidRPr="00985CB4">
        <w:rPr>
          <w:rFonts w:cs="Times New Roman"/>
        </w:rPr>
        <w:t xml:space="preserve">742). La jurisprudence de notre Cour requiert « de la flexibilité et de la créativité » en matière de réparation des atteintes aux droits de la personne, et avise de ne pas oublier que la </w:t>
      </w:r>
      <w:r w:rsidRPr="00985CB4">
        <w:rPr>
          <w:rFonts w:cs="Times New Roman"/>
          <w:i/>
        </w:rPr>
        <w:t xml:space="preserve">Charte </w:t>
      </w:r>
      <w:r w:rsidRPr="00985CB4">
        <w:rPr>
          <w:rFonts w:cs="Times New Roman"/>
          <w:iCs/>
        </w:rPr>
        <w:t xml:space="preserve">québécoise peut </w:t>
      </w:r>
      <w:r w:rsidRPr="00985CB4">
        <w:rPr>
          <w:rFonts w:cs="Times New Roman"/>
        </w:rPr>
        <w:t>exiger « des interventions qui ne relèvent nullement du droit de la responsabilité civile » (</w:t>
      </w:r>
      <w:r w:rsidRPr="00985CB4">
        <w:rPr>
          <w:rFonts w:cs="Times New Roman"/>
          <w:i/>
        </w:rPr>
        <w:t>Québec (Commission des droits de la personne et des droits de la jeunesse) c. Communauté urbaine de Montréal</w:t>
      </w:r>
      <w:r w:rsidRPr="00985CB4">
        <w:rPr>
          <w:rFonts w:cs="Times New Roman"/>
        </w:rPr>
        <w:t xml:space="preserve">, [2004] 1 R.C.S. 789, </w:t>
      </w:r>
      <w:r>
        <w:rPr>
          <w:rFonts w:cs="Times New Roman"/>
        </w:rPr>
        <w:t>par. </w:t>
      </w:r>
      <w:r w:rsidRPr="00985CB4">
        <w:rPr>
          <w:rFonts w:cs="Times New Roman"/>
        </w:rPr>
        <w:t xml:space="preserve">26; </w:t>
      </w:r>
      <w:r w:rsidRPr="00985CB4">
        <w:rPr>
          <w:rFonts w:cs="Times New Roman"/>
          <w:i/>
        </w:rPr>
        <w:t>Bombardier</w:t>
      </w:r>
      <w:r w:rsidRPr="00985CB4">
        <w:rPr>
          <w:rFonts w:cs="Times New Roman"/>
        </w:rPr>
        <w:t xml:space="preserve">, </w:t>
      </w:r>
      <w:r>
        <w:rPr>
          <w:rFonts w:cs="Times New Roman"/>
        </w:rPr>
        <w:t>par. </w:t>
      </w:r>
      <w:r w:rsidRPr="00985CB4">
        <w:rPr>
          <w:rFonts w:cs="Times New Roman"/>
        </w:rPr>
        <w:t xml:space="preserve">104; voir aussi </w:t>
      </w:r>
      <w:r w:rsidRPr="00985CB4">
        <w:rPr>
          <w:rFonts w:cs="Times New Roman"/>
          <w:i/>
          <w:shd w:val="clear" w:color="auto" w:fill="FFFFFF"/>
        </w:rPr>
        <w:t>de Montigny c. Brossard (Succession)</w:t>
      </w:r>
      <w:r w:rsidRPr="00985CB4">
        <w:rPr>
          <w:rFonts w:cs="Times New Roman"/>
          <w:shd w:val="clear" w:color="auto" w:fill="FFFFFF"/>
        </w:rPr>
        <w:t xml:space="preserve">, [2010] 3 R.C.S. 64, </w:t>
      </w:r>
      <w:r>
        <w:rPr>
          <w:rFonts w:cs="Times New Roman"/>
          <w:shd w:val="clear" w:color="auto" w:fill="FFFFFF"/>
        </w:rPr>
        <w:t>par. </w:t>
      </w:r>
      <w:r w:rsidRPr="00985CB4">
        <w:rPr>
          <w:rFonts w:cs="Times New Roman"/>
          <w:shd w:val="clear" w:color="auto" w:fill="FFFFFF"/>
        </w:rPr>
        <w:t>44</w:t>
      </w:r>
      <w:r w:rsidRPr="00985CB4">
        <w:rPr>
          <w:rFonts w:cs="Times New Roman"/>
        </w:rPr>
        <w:t>). Une approche qui assimile entièrement l</w:t>
      </w:r>
      <w:r>
        <w:rPr>
          <w:rFonts w:cs="Times New Roman"/>
        </w:rPr>
        <w:t>’</w:t>
      </w:r>
      <w:r w:rsidRPr="00985CB4">
        <w:rPr>
          <w:rFonts w:cs="Times New Roman"/>
        </w:rPr>
        <w:t>indemnisation d</w:t>
      </w:r>
      <w:r>
        <w:rPr>
          <w:rFonts w:cs="Times New Roman"/>
        </w:rPr>
        <w:t>’</w:t>
      </w:r>
      <w:r w:rsidRPr="00985CB4">
        <w:rPr>
          <w:rFonts w:cs="Times New Roman"/>
        </w:rPr>
        <w:t>une atteinte illégale aux droits et libertés en application de l</w:t>
      </w:r>
      <w:r>
        <w:rPr>
          <w:rFonts w:cs="Times New Roman"/>
        </w:rPr>
        <w:t>’art. </w:t>
      </w:r>
      <w:r w:rsidRPr="00985CB4">
        <w:rPr>
          <w:rFonts w:cs="Times New Roman"/>
        </w:rPr>
        <w:t xml:space="preserve">49 de la </w:t>
      </w:r>
      <w:r w:rsidRPr="00985CB4">
        <w:rPr>
          <w:rFonts w:cs="Times New Roman"/>
          <w:i/>
        </w:rPr>
        <w:t>Charte</w:t>
      </w:r>
      <w:r w:rsidRPr="00985CB4">
        <w:rPr>
          <w:rFonts w:cs="Times New Roman"/>
        </w:rPr>
        <w:t xml:space="preserve"> québécoise à la responsabilité civile limiterait indûment le pouvoir réparateur du régime (Samson et Langevin, </w:t>
      </w:r>
      <w:r>
        <w:rPr>
          <w:rFonts w:cs="Times New Roman"/>
        </w:rPr>
        <w:t>p. </w:t>
      </w:r>
      <w:r w:rsidRPr="00985CB4">
        <w:rPr>
          <w:rFonts w:cs="Times New Roman"/>
        </w:rPr>
        <w:t>727</w:t>
      </w:r>
      <w:r>
        <w:rPr>
          <w:rFonts w:cs="Times New Roman"/>
        </w:rPr>
        <w:noBreakHyphen/>
      </w:r>
      <w:r w:rsidRPr="00985CB4">
        <w:rPr>
          <w:rFonts w:cs="Times New Roman"/>
        </w:rPr>
        <w:t xml:space="preserve">728). </w:t>
      </w:r>
    </w:p>
    <w:p w14:paraId="1DF2D46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Lorsque la demande a pour objet, comme en l</w:t>
      </w:r>
      <w:r>
        <w:rPr>
          <w:rFonts w:cs="Times New Roman"/>
        </w:rPr>
        <w:t>’</w:t>
      </w:r>
      <w:r w:rsidRPr="00985CB4">
        <w:rPr>
          <w:rFonts w:cs="Times New Roman"/>
        </w:rPr>
        <w:t>espèce, une entrave discriminatoire à l</w:t>
      </w:r>
      <w:r>
        <w:rPr>
          <w:rFonts w:cs="Times New Roman"/>
        </w:rPr>
        <w:t>’</w:t>
      </w:r>
      <w:r w:rsidRPr="00985CB4">
        <w:rPr>
          <w:rFonts w:cs="Times New Roman"/>
        </w:rPr>
        <w:t xml:space="preserve">exercice des droits et libertés énoncés dans la </w:t>
      </w:r>
      <w:r w:rsidRPr="00985CB4">
        <w:rPr>
          <w:rFonts w:cs="Times New Roman"/>
          <w:i/>
        </w:rPr>
        <w:t>Charte</w:t>
      </w:r>
      <w:r w:rsidRPr="00985CB4">
        <w:rPr>
          <w:rFonts w:cs="Times New Roman"/>
        </w:rPr>
        <w:t xml:space="preserve"> québécoise, l</w:t>
      </w:r>
      <w:r>
        <w:rPr>
          <w:rFonts w:cs="Times New Roman"/>
        </w:rPr>
        <w:t>’art. </w:t>
      </w:r>
      <w:r w:rsidRPr="00985CB4">
        <w:rPr>
          <w:rFonts w:cs="Times New Roman"/>
        </w:rPr>
        <w:t>10 entre en jeu et le Tribunal des droits de la personne a compétence pour entendre la demande. L</w:t>
      </w:r>
      <w:r>
        <w:rPr>
          <w:rFonts w:cs="Times New Roman"/>
        </w:rPr>
        <w:t>’</w:t>
      </w:r>
      <w:r w:rsidRPr="00985CB4">
        <w:rPr>
          <w:rFonts w:cs="Times New Roman"/>
        </w:rPr>
        <w:t xml:space="preserve">article 71 de la </w:t>
      </w:r>
      <w:r w:rsidRPr="00985CB4">
        <w:rPr>
          <w:rFonts w:cs="Times New Roman"/>
          <w:i/>
        </w:rPr>
        <w:t xml:space="preserve">Charte </w:t>
      </w:r>
      <w:r w:rsidRPr="00985CB4">
        <w:rPr>
          <w:rFonts w:cs="Times New Roman"/>
          <w:iCs/>
        </w:rPr>
        <w:t xml:space="preserve">québécoise précise que la Commission peut faire enquête sur toute </w:t>
      </w:r>
      <w:r w:rsidRPr="00985CB4">
        <w:rPr>
          <w:rFonts w:cs="Times New Roman"/>
        </w:rPr>
        <w:t>situation « qui lui paraît constituer [. . .] un cas de discrimination au sens des articles 10 à 19 ». En outre, l</w:t>
      </w:r>
      <w:r>
        <w:rPr>
          <w:rFonts w:cs="Times New Roman"/>
        </w:rPr>
        <w:t>’art. </w:t>
      </w:r>
      <w:r w:rsidRPr="00985CB4">
        <w:rPr>
          <w:rFonts w:cs="Times New Roman"/>
        </w:rPr>
        <w:t xml:space="preserve">80 de la </w:t>
      </w:r>
      <w:r w:rsidRPr="00985CB4">
        <w:rPr>
          <w:rFonts w:cs="Times New Roman"/>
          <w:i/>
        </w:rPr>
        <w:t xml:space="preserve">Charte </w:t>
      </w:r>
      <w:r w:rsidRPr="00985CB4">
        <w:rPr>
          <w:rFonts w:cs="Times New Roman"/>
        </w:rPr>
        <w:t>québécoise prévoit que « la Commission peut s</w:t>
      </w:r>
      <w:r>
        <w:rPr>
          <w:rFonts w:cs="Times New Roman"/>
        </w:rPr>
        <w:t>’</w:t>
      </w:r>
      <w:r w:rsidRPr="00985CB4">
        <w:rPr>
          <w:rFonts w:cs="Times New Roman"/>
        </w:rPr>
        <w:t>adresser à un tribunal en vue d</w:t>
      </w:r>
      <w:r>
        <w:rPr>
          <w:rFonts w:cs="Times New Roman"/>
        </w:rPr>
        <w:t>’</w:t>
      </w:r>
      <w:r w:rsidRPr="00985CB4">
        <w:rPr>
          <w:rFonts w:cs="Times New Roman"/>
        </w:rPr>
        <w:t>obtenir, compte tenu de l</w:t>
      </w:r>
      <w:r>
        <w:rPr>
          <w:rFonts w:cs="Times New Roman"/>
        </w:rPr>
        <w:t>’</w:t>
      </w:r>
      <w:r w:rsidRPr="00985CB4">
        <w:rPr>
          <w:rFonts w:cs="Times New Roman"/>
        </w:rPr>
        <w:t>intérêt public, toute mesure appropriée contre la personne en défaut ou pour réclamer, en faveur de la victime, toute mesure de redressement qu</w:t>
      </w:r>
      <w:r>
        <w:rPr>
          <w:rFonts w:cs="Times New Roman"/>
        </w:rPr>
        <w:t>’</w:t>
      </w:r>
      <w:r w:rsidRPr="00985CB4">
        <w:rPr>
          <w:rFonts w:cs="Times New Roman"/>
        </w:rPr>
        <w:t>elle juge alors adéquate ». Enfin, l</w:t>
      </w:r>
      <w:r>
        <w:rPr>
          <w:rFonts w:cs="Times New Roman"/>
        </w:rPr>
        <w:t>’art. </w:t>
      </w:r>
      <w:r w:rsidRPr="00985CB4">
        <w:rPr>
          <w:rFonts w:cs="Times New Roman"/>
        </w:rPr>
        <w:t xml:space="preserve">111 de la </w:t>
      </w:r>
      <w:r w:rsidRPr="00985CB4">
        <w:rPr>
          <w:rFonts w:cs="Times New Roman"/>
          <w:i/>
        </w:rPr>
        <w:t>Charte</w:t>
      </w:r>
      <w:r w:rsidRPr="00985CB4">
        <w:rPr>
          <w:rFonts w:cs="Times New Roman"/>
        </w:rPr>
        <w:t xml:space="preserve"> québécoise confère au Tribunal compétence à l</w:t>
      </w:r>
      <w:r>
        <w:rPr>
          <w:rFonts w:cs="Times New Roman"/>
        </w:rPr>
        <w:t>’</w:t>
      </w:r>
      <w:r w:rsidRPr="00985CB4">
        <w:rPr>
          <w:rFonts w:cs="Times New Roman"/>
        </w:rPr>
        <w:t>égard de « toute demande portée en vertu de [l</w:t>
      </w:r>
      <w:r>
        <w:rPr>
          <w:rFonts w:cs="Times New Roman"/>
        </w:rPr>
        <w:t>’</w:t>
      </w:r>
      <w:r w:rsidRPr="00985CB4">
        <w:rPr>
          <w:rFonts w:cs="Times New Roman"/>
        </w:rPr>
        <w:t>article] 80 ». Le Tribunal est donc compétent pour entendre une demande fondée sur l</w:t>
      </w:r>
      <w:r>
        <w:rPr>
          <w:rFonts w:cs="Times New Roman"/>
        </w:rPr>
        <w:t>’art. </w:t>
      </w:r>
      <w:r w:rsidRPr="00985CB4">
        <w:rPr>
          <w:rFonts w:cs="Times New Roman"/>
        </w:rPr>
        <w:t xml:space="preserve">10 de la </w:t>
      </w:r>
      <w:r w:rsidRPr="00985CB4">
        <w:rPr>
          <w:rFonts w:cs="Times New Roman"/>
          <w:i/>
        </w:rPr>
        <w:t>Charte</w:t>
      </w:r>
      <w:r w:rsidRPr="00985CB4">
        <w:rPr>
          <w:rFonts w:cs="Times New Roman"/>
        </w:rPr>
        <w:t xml:space="preserve"> québécoise et il a correctement identifié cette disposition comme le fondement de sa compétence à l</w:t>
      </w:r>
      <w:r>
        <w:rPr>
          <w:rFonts w:cs="Times New Roman"/>
        </w:rPr>
        <w:t>’</w:t>
      </w:r>
      <w:r w:rsidRPr="00985CB4">
        <w:rPr>
          <w:rFonts w:cs="Times New Roman"/>
        </w:rPr>
        <w:t xml:space="preserve">égard de la présente demande (voir aussi </w:t>
      </w:r>
      <w:r w:rsidRPr="00985CB4">
        <w:rPr>
          <w:rFonts w:cs="Times New Roman"/>
          <w:i/>
          <w:iCs/>
        </w:rPr>
        <w:t>Mouvement laïque</w:t>
      </w:r>
      <w:r w:rsidRPr="00985CB4">
        <w:rPr>
          <w:rFonts w:cs="Times New Roman"/>
        </w:rPr>
        <w:t xml:space="preserve">, </w:t>
      </w:r>
      <w:r>
        <w:rPr>
          <w:rFonts w:cs="Times New Roman"/>
        </w:rPr>
        <w:t>par. </w:t>
      </w:r>
      <w:r w:rsidRPr="00985CB4">
        <w:rPr>
          <w:rFonts w:cs="Times New Roman"/>
        </w:rPr>
        <w:t>40, 58 et 63).</w:t>
      </w:r>
    </w:p>
    <w:p w14:paraId="07CB032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Il y a indubitablement ressemblance entre une demande présentée en vertu de l</w:t>
      </w:r>
      <w:r>
        <w:rPr>
          <w:rFonts w:cs="Times New Roman"/>
        </w:rPr>
        <w:t>’art. </w:t>
      </w:r>
      <w:r w:rsidRPr="00985CB4">
        <w:rPr>
          <w:rFonts w:cs="Times New Roman"/>
        </w:rPr>
        <w:t>10 et fondée sur l</w:t>
      </w:r>
      <w:r>
        <w:rPr>
          <w:rFonts w:cs="Times New Roman"/>
        </w:rPr>
        <w:t>’</w:t>
      </w:r>
      <w:r w:rsidRPr="00985CB4">
        <w:rPr>
          <w:rFonts w:cs="Times New Roman"/>
        </w:rPr>
        <w:t>exercice, en pleine égalité, du droit à la dignité, et une action en diffamation, étant donné que l</w:t>
      </w:r>
      <w:r>
        <w:rPr>
          <w:rFonts w:cs="Times New Roman"/>
        </w:rPr>
        <w:t>’art. </w:t>
      </w:r>
      <w:r w:rsidRPr="00985CB4">
        <w:rPr>
          <w:rFonts w:cs="Times New Roman"/>
        </w:rPr>
        <w:t xml:space="preserve">4 de la </w:t>
      </w:r>
      <w:r w:rsidRPr="00985CB4">
        <w:rPr>
          <w:rFonts w:cs="Times New Roman"/>
          <w:i/>
        </w:rPr>
        <w:t xml:space="preserve">Charte </w:t>
      </w:r>
      <w:r w:rsidRPr="00985CB4">
        <w:rPr>
          <w:rFonts w:cs="Times New Roman"/>
        </w:rPr>
        <w:t xml:space="preserve">québécoise entre en jeu dans les deux cas (voir, </w:t>
      </w:r>
      <w:r>
        <w:rPr>
          <w:rFonts w:cs="Times New Roman"/>
        </w:rPr>
        <w:t>p. </w:t>
      </w:r>
      <w:r w:rsidRPr="00985CB4">
        <w:rPr>
          <w:rFonts w:cs="Times New Roman"/>
        </w:rPr>
        <w:t xml:space="preserve">ex., </w:t>
      </w:r>
      <w:r w:rsidRPr="00985CB4">
        <w:rPr>
          <w:rFonts w:cs="Times New Roman"/>
          <w:i/>
        </w:rPr>
        <w:t>Calego</w:t>
      </w:r>
      <w:r w:rsidRPr="00985CB4">
        <w:rPr>
          <w:rFonts w:cs="Times New Roman"/>
        </w:rPr>
        <w:t xml:space="preserve">, </w:t>
      </w:r>
      <w:r>
        <w:rPr>
          <w:rFonts w:cs="Times New Roman"/>
        </w:rPr>
        <w:t>par. </w:t>
      </w:r>
      <w:r w:rsidRPr="00985CB4">
        <w:rPr>
          <w:rFonts w:cs="Times New Roman"/>
        </w:rPr>
        <w:t>40). Une action en diffamation sera accueillie si l</w:t>
      </w:r>
      <w:r>
        <w:rPr>
          <w:rFonts w:cs="Times New Roman"/>
        </w:rPr>
        <w:t>’</w:t>
      </w:r>
      <w:r w:rsidRPr="00985CB4">
        <w:rPr>
          <w:rFonts w:cs="Times New Roman"/>
        </w:rPr>
        <w:t>atteinte à la réputation constitue une violation « de la norme objective [. . .] qui est celle du comportement de la personne raisonnable » (</w:t>
      </w:r>
      <w:r w:rsidRPr="00985CB4">
        <w:rPr>
          <w:rFonts w:cs="Times New Roman"/>
          <w:i/>
        </w:rPr>
        <w:t>Bou Malhab</w:t>
      </w:r>
      <w:r w:rsidRPr="00985CB4">
        <w:rPr>
          <w:rFonts w:cs="Times New Roman"/>
        </w:rPr>
        <w:t xml:space="preserve">, </w:t>
      </w:r>
      <w:r>
        <w:rPr>
          <w:rFonts w:cs="Times New Roman"/>
        </w:rPr>
        <w:t>par. </w:t>
      </w:r>
      <w:r w:rsidRPr="00985CB4">
        <w:rPr>
          <w:rFonts w:cs="Times New Roman"/>
        </w:rPr>
        <w:t>24), alors qu</w:t>
      </w:r>
      <w:r>
        <w:rPr>
          <w:rFonts w:cs="Times New Roman"/>
        </w:rPr>
        <w:t>’</w:t>
      </w:r>
      <w:r w:rsidRPr="00985CB4">
        <w:rPr>
          <w:rFonts w:cs="Times New Roman"/>
        </w:rPr>
        <w:t>une revendication fondée sur l</w:t>
      </w:r>
      <w:r>
        <w:rPr>
          <w:rFonts w:cs="Times New Roman"/>
        </w:rPr>
        <w:t>’art. </w:t>
      </w:r>
      <w:r w:rsidRPr="00985CB4">
        <w:rPr>
          <w:rFonts w:cs="Times New Roman"/>
        </w:rPr>
        <w:t>10 et sur le droit à la dignité sera accueillie si l</w:t>
      </w:r>
      <w:r>
        <w:rPr>
          <w:rFonts w:cs="Times New Roman"/>
        </w:rPr>
        <w:t>’</w:t>
      </w:r>
      <w:r w:rsidRPr="00985CB4">
        <w:rPr>
          <w:rFonts w:cs="Times New Roman"/>
        </w:rPr>
        <w:t>atteinte à l</w:t>
      </w:r>
      <w:r>
        <w:rPr>
          <w:rFonts w:cs="Times New Roman"/>
        </w:rPr>
        <w:t>’</w:t>
      </w:r>
      <w:r w:rsidRPr="00985CB4">
        <w:rPr>
          <w:rFonts w:cs="Times New Roman"/>
        </w:rPr>
        <w:t>exercice en pleine égalité de ce droit s</w:t>
      </w:r>
      <w:r>
        <w:rPr>
          <w:rFonts w:cs="Times New Roman"/>
        </w:rPr>
        <w:t>’</w:t>
      </w:r>
      <w:r w:rsidRPr="00985CB4">
        <w:rPr>
          <w:rFonts w:cs="Times New Roman"/>
        </w:rPr>
        <w:t>élève à un certain seuil, apprécié du point de vue d</w:t>
      </w:r>
      <w:r>
        <w:rPr>
          <w:rFonts w:cs="Times New Roman"/>
        </w:rPr>
        <w:t>’</w:t>
      </w:r>
      <w:r w:rsidRPr="00985CB4">
        <w:rPr>
          <w:rFonts w:cs="Times New Roman"/>
        </w:rPr>
        <w:t>une personne raisonnable dans la situation du plaignant (</w:t>
      </w:r>
      <w:r w:rsidRPr="00985CB4">
        <w:rPr>
          <w:rFonts w:cs="Times New Roman"/>
          <w:i/>
        </w:rPr>
        <w:t>Calego</w:t>
      </w:r>
      <w:r w:rsidRPr="00985CB4">
        <w:rPr>
          <w:rFonts w:cs="Times New Roman"/>
        </w:rPr>
        <w:t xml:space="preserve">, </w:t>
      </w:r>
      <w:r>
        <w:rPr>
          <w:rFonts w:cs="Times New Roman"/>
        </w:rPr>
        <w:t>par. </w:t>
      </w:r>
      <w:r w:rsidRPr="00985CB4">
        <w:rPr>
          <w:rFonts w:cs="Times New Roman"/>
        </w:rPr>
        <w:t xml:space="preserve">102; voir aussi </w:t>
      </w:r>
      <w:r w:rsidRPr="00985CB4">
        <w:rPr>
          <w:rFonts w:cs="Times New Roman"/>
          <w:i/>
        </w:rPr>
        <w:t>Derbal c. Tchassao</w:t>
      </w:r>
      <w:r w:rsidRPr="00985CB4">
        <w:rPr>
          <w:rFonts w:cs="Times New Roman"/>
        </w:rPr>
        <w:t xml:space="preserve">, 2021 QCTDP 11, </w:t>
      </w:r>
      <w:r>
        <w:rPr>
          <w:rFonts w:cs="Times New Roman"/>
        </w:rPr>
        <w:t>par. </w:t>
      </w:r>
      <w:r w:rsidRPr="00985CB4">
        <w:rPr>
          <w:rFonts w:cs="Times New Roman"/>
        </w:rPr>
        <w:t xml:space="preserve">38 (CanLII); </w:t>
      </w:r>
      <w:r w:rsidRPr="00985CB4">
        <w:rPr>
          <w:rFonts w:cs="Times New Roman"/>
          <w:i/>
        </w:rPr>
        <w:t>Commission scolaire St</w:t>
      </w:r>
      <w:r>
        <w:rPr>
          <w:rFonts w:cs="Times New Roman"/>
          <w:i/>
        </w:rPr>
        <w:noBreakHyphen/>
      </w:r>
      <w:r w:rsidRPr="00985CB4">
        <w:rPr>
          <w:rFonts w:cs="Times New Roman"/>
          <w:i/>
        </w:rPr>
        <w:t>Jean</w:t>
      </w:r>
      <w:r>
        <w:rPr>
          <w:rFonts w:cs="Times New Roman"/>
          <w:i/>
        </w:rPr>
        <w:noBreakHyphen/>
      </w:r>
      <w:r w:rsidRPr="00985CB4">
        <w:rPr>
          <w:rFonts w:cs="Times New Roman"/>
          <w:i/>
        </w:rPr>
        <w:t>sur</w:t>
      </w:r>
      <w:r>
        <w:rPr>
          <w:rFonts w:cs="Times New Roman"/>
          <w:i/>
        </w:rPr>
        <w:noBreakHyphen/>
      </w:r>
      <w:r w:rsidRPr="00985CB4">
        <w:rPr>
          <w:rFonts w:cs="Times New Roman"/>
          <w:i/>
        </w:rPr>
        <w:t>Richelieu</w:t>
      </w:r>
      <w:r w:rsidRPr="00985CB4">
        <w:rPr>
          <w:rFonts w:cs="Times New Roman"/>
        </w:rPr>
        <w:t xml:space="preserve">, </w:t>
      </w:r>
      <w:r>
        <w:rPr>
          <w:rFonts w:cs="Times New Roman"/>
        </w:rPr>
        <w:t>p. 1243</w:t>
      </w:r>
      <w:r w:rsidRPr="00985CB4">
        <w:rPr>
          <w:rFonts w:cs="Times New Roman"/>
        </w:rPr>
        <w:t>;</w:t>
      </w:r>
      <w:r w:rsidRPr="00985CB4">
        <w:rPr>
          <w:rFonts w:cs="Times New Roman"/>
          <w:i/>
        </w:rPr>
        <w:t xml:space="preserve"> Commission des droits de la personne et des droits de la jeunesse c. Ville de Longueuil</w:t>
      </w:r>
      <w:r w:rsidRPr="00985CB4">
        <w:rPr>
          <w:rFonts w:cs="Times New Roman"/>
        </w:rPr>
        <w:t xml:space="preserve">, 2020 QCTDP 21, </w:t>
      </w:r>
      <w:r>
        <w:rPr>
          <w:rFonts w:cs="Times New Roman"/>
        </w:rPr>
        <w:t>par. </w:t>
      </w:r>
      <w:r w:rsidRPr="00985CB4">
        <w:rPr>
          <w:rFonts w:cs="Times New Roman"/>
        </w:rPr>
        <w:t>127</w:t>
      </w:r>
      <w:r>
        <w:rPr>
          <w:rFonts w:cs="Times New Roman"/>
        </w:rPr>
        <w:noBreakHyphen/>
      </w:r>
      <w:r w:rsidRPr="00985CB4">
        <w:rPr>
          <w:rFonts w:cs="Times New Roman"/>
        </w:rPr>
        <w:t>129 (CanLII)). Il va sans dire que la nature même de l</w:t>
      </w:r>
      <w:r>
        <w:rPr>
          <w:rFonts w:cs="Times New Roman"/>
        </w:rPr>
        <w:t>’art. </w:t>
      </w:r>
      <w:r w:rsidRPr="00985CB4">
        <w:rPr>
          <w:rFonts w:cs="Times New Roman"/>
        </w:rPr>
        <w:t>10 concentre l</w:t>
      </w:r>
      <w:r>
        <w:rPr>
          <w:rFonts w:cs="Times New Roman"/>
        </w:rPr>
        <w:t>’</w:t>
      </w:r>
      <w:r w:rsidRPr="00985CB4">
        <w:rPr>
          <w:rFonts w:cs="Times New Roman"/>
        </w:rPr>
        <w:t>analyse sur la discrimination fondée sur un motif protégé. Par conséquent, des propos peuvent être diffamatoires, mais non discriminatoires parce qu</w:t>
      </w:r>
      <w:r>
        <w:rPr>
          <w:rFonts w:cs="Times New Roman"/>
        </w:rPr>
        <w:t>’</w:t>
      </w:r>
      <w:r w:rsidRPr="00985CB4">
        <w:rPr>
          <w:rFonts w:cs="Times New Roman"/>
        </w:rPr>
        <w:t>ils ne sont pas fondés sur un motif énuméré à l</w:t>
      </w:r>
      <w:r>
        <w:rPr>
          <w:rFonts w:cs="Times New Roman"/>
        </w:rPr>
        <w:t>’art. </w:t>
      </w:r>
      <w:r w:rsidRPr="00985CB4">
        <w:rPr>
          <w:rFonts w:cs="Times New Roman"/>
        </w:rPr>
        <w:t>10. Pareillement, si seul l</w:t>
      </w:r>
      <w:r>
        <w:rPr>
          <w:rFonts w:cs="Times New Roman"/>
        </w:rPr>
        <w:t>’</w:t>
      </w:r>
      <w:r w:rsidRPr="00985CB4">
        <w:rPr>
          <w:rFonts w:cs="Times New Roman"/>
        </w:rPr>
        <w:t>exercice en pleine égalité du droit à la dignité est compromis, et s</w:t>
      </w:r>
      <w:r>
        <w:rPr>
          <w:rFonts w:cs="Times New Roman"/>
        </w:rPr>
        <w:t>’</w:t>
      </w:r>
      <w:r w:rsidRPr="00985CB4">
        <w:rPr>
          <w:rFonts w:cs="Times New Roman"/>
        </w:rPr>
        <w:t>il n</w:t>
      </w:r>
      <w:r>
        <w:rPr>
          <w:rFonts w:cs="Times New Roman"/>
        </w:rPr>
        <w:t>’</w:t>
      </w:r>
      <w:r w:rsidRPr="00985CB4">
        <w:rPr>
          <w:rFonts w:cs="Times New Roman"/>
        </w:rPr>
        <w:t xml:space="preserve">y a aucune incidence sur la réputation, les propos peuvent être discriminatoires sans être diffamatoires. Chaque </w:t>
      </w:r>
      <w:r>
        <w:rPr>
          <w:rFonts w:cs="Times New Roman"/>
        </w:rPr>
        <w:t xml:space="preserve">recours </w:t>
      </w:r>
      <w:r w:rsidRPr="00985CB4">
        <w:rPr>
          <w:rFonts w:cs="Times New Roman"/>
        </w:rPr>
        <w:t>vise des violations liées, mais distinctes.</w:t>
      </w:r>
    </w:p>
    <w:p w14:paraId="1244CE8E"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Cette conclusion a pour effet de transférer à M. Ward le fardeau de justifier ses propos discriminatoires </w:t>
      </w:r>
      <w:r w:rsidRPr="00985CB4">
        <w:rPr>
          <w:rFonts w:cs="Times New Roman"/>
          <w:i/>
        </w:rPr>
        <w:t>prima facie</w:t>
      </w:r>
      <w:r w:rsidRPr="00985CB4">
        <w:rPr>
          <w:rFonts w:cs="Times New Roman"/>
        </w:rPr>
        <w:t>. Il tente de le faire en invoquant le droit à la liberté d</w:t>
      </w:r>
      <w:r>
        <w:rPr>
          <w:rFonts w:cs="Times New Roman"/>
        </w:rPr>
        <w:t>’</w:t>
      </w:r>
      <w:r w:rsidRPr="00985CB4">
        <w:rPr>
          <w:rFonts w:cs="Times New Roman"/>
        </w:rPr>
        <w:t>expression qui lui est garanti par l</w:t>
      </w:r>
      <w:r>
        <w:rPr>
          <w:rFonts w:cs="Times New Roman"/>
        </w:rPr>
        <w:t>’art. </w:t>
      </w:r>
      <w:r w:rsidRPr="00985CB4">
        <w:rPr>
          <w:rFonts w:cs="Times New Roman"/>
        </w:rPr>
        <w:t xml:space="preserve">3 de la </w:t>
      </w:r>
      <w:r w:rsidRPr="00985CB4">
        <w:rPr>
          <w:rFonts w:cs="Times New Roman"/>
          <w:i/>
        </w:rPr>
        <w:t xml:space="preserve">Charte </w:t>
      </w:r>
      <w:r w:rsidRPr="00985CB4">
        <w:rPr>
          <w:rFonts w:cs="Times New Roman"/>
        </w:rPr>
        <w:t>québécoise et par l</w:t>
      </w:r>
      <w:r>
        <w:rPr>
          <w:rFonts w:cs="Times New Roman"/>
        </w:rPr>
        <w:t>’al. </w:t>
      </w:r>
      <w:r w:rsidRPr="00985CB4">
        <w:rPr>
          <w:rFonts w:cs="Times New Roman"/>
        </w:rPr>
        <w:t xml:space="preserve">2b) de la </w:t>
      </w:r>
      <w:r w:rsidRPr="00985CB4">
        <w:rPr>
          <w:rFonts w:cs="Times New Roman"/>
          <w:i/>
        </w:rPr>
        <w:t xml:space="preserve">Charte </w:t>
      </w:r>
      <w:r w:rsidRPr="00985CB4">
        <w:rPr>
          <w:rFonts w:cs="Times New Roman"/>
        </w:rPr>
        <w:t>canadienne comme moyen de défense à l</w:t>
      </w:r>
      <w:r>
        <w:rPr>
          <w:rFonts w:cs="Times New Roman"/>
        </w:rPr>
        <w:t>’</w:t>
      </w:r>
      <w:r w:rsidRPr="00985CB4">
        <w:rPr>
          <w:rFonts w:cs="Times New Roman"/>
        </w:rPr>
        <w:t>encontre la demande de la Commission. L</w:t>
      </w:r>
      <w:r>
        <w:rPr>
          <w:rFonts w:cs="Times New Roman"/>
        </w:rPr>
        <w:t>’</w:t>
      </w:r>
      <w:r w:rsidRPr="00985CB4">
        <w:rPr>
          <w:rFonts w:cs="Times New Roman"/>
        </w:rPr>
        <w:t>article 3 est rédigé ainsi</w:t>
      </w:r>
      <w:r>
        <w:rPr>
          <w:rFonts w:cs="Times New Roman"/>
        </w:rPr>
        <w:t> :</w:t>
      </w:r>
    </w:p>
    <w:p w14:paraId="74B4D9D3" w14:textId="77777777" w:rsidR="00116CBE" w:rsidRPr="00985CB4" w:rsidRDefault="00116CBE" w:rsidP="00116CBE">
      <w:pPr>
        <w:pStyle w:val="Citation-AltC"/>
        <w:tabs>
          <w:tab w:val="left" w:pos="1560"/>
        </w:tabs>
        <w:ind w:hanging="1166"/>
      </w:pPr>
      <w:r>
        <w:rPr>
          <w:b/>
        </w:rPr>
        <w:tab/>
      </w:r>
      <w:r w:rsidRPr="00985CB4">
        <w:rPr>
          <w:b/>
        </w:rPr>
        <w:t>3.</w:t>
      </w:r>
      <w:r w:rsidRPr="00985CB4">
        <w:tab/>
        <w:t>Toute personne est titulaire des libertés fondamentales telles la liberté de conscience, la liberté de religion, la liberté d</w:t>
      </w:r>
      <w:r>
        <w:t>’</w:t>
      </w:r>
      <w:r w:rsidRPr="00985CB4">
        <w:t>opinion, la liberté d</w:t>
      </w:r>
      <w:r>
        <w:t>’</w:t>
      </w:r>
      <w:r w:rsidRPr="00985CB4">
        <w:t>expression, la liberté de réunion pacifique et la liberté d</w:t>
      </w:r>
      <w:r>
        <w:t>’</w:t>
      </w:r>
      <w:r w:rsidRPr="00985CB4">
        <w:t>association.</w:t>
      </w:r>
    </w:p>
    <w:p w14:paraId="5915755A" w14:textId="77777777" w:rsidR="00116CBE" w:rsidRPr="00985CB4" w:rsidRDefault="00116CBE" w:rsidP="00116CBE">
      <w:pPr>
        <w:pStyle w:val="ContinueParaSuitedupar-AltP"/>
        <w:rPr>
          <w:rFonts w:cs="Times New Roman"/>
        </w:rPr>
      </w:pPr>
      <w:r w:rsidRPr="00985CB4">
        <w:rPr>
          <w:rFonts w:cs="Times New Roman"/>
          <w:shd w:val="clear" w:color="auto" w:fill="FFFFFF"/>
        </w:rPr>
        <w:t>L</w:t>
      </w:r>
      <w:r>
        <w:rPr>
          <w:rFonts w:cs="Times New Roman"/>
          <w:shd w:val="clear" w:color="auto" w:fill="FFFFFF"/>
        </w:rPr>
        <w:t>’</w:t>
      </w:r>
      <w:r w:rsidRPr="00985CB4">
        <w:rPr>
          <w:rFonts w:cs="Times New Roman"/>
          <w:shd w:val="clear" w:color="auto" w:fill="FFFFFF"/>
        </w:rPr>
        <w:t>alinéa 2b) prévoit ce qui suit</w:t>
      </w:r>
      <w:r>
        <w:rPr>
          <w:rFonts w:cs="Times New Roman"/>
          <w:shd w:val="clear" w:color="auto" w:fill="FFFFFF"/>
        </w:rPr>
        <w:t> :</w:t>
      </w:r>
    </w:p>
    <w:p w14:paraId="2743E7B8" w14:textId="77777777" w:rsidR="00116CBE" w:rsidRPr="00985CB4" w:rsidRDefault="00116CBE" w:rsidP="00116CBE">
      <w:pPr>
        <w:pStyle w:val="Citation-AltC"/>
        <w:tabs>
          <w:tab w:val="left" w:pos="1560"/>
        </w:tabs>
        <w:spacing w:after="240"/>
        <w:ind w:left="1168" w:hanging="1168"/>
        <w:contextualSpacing w:val="0"/>
      </w:pPr>
      <w:r>
        <w:rPr>
          <w:b/>
        </w:rPr>
        <w:tab/>
      </w:r>
      <w:r w:rsidRPr="00985CB4">
        <w:rPr>
          <w:b/>
        </w:rPr>
        <w:t>2</w:t>
      </w:r>
      <w:r w:rsidRPr="00985CB4">
        <w:tab/>
        <w:t>Chacun a les libertés fondamentales suivantes</w:t>
      </w:r>
      <w:r>
        <w:t> :</w:t>
      </w:r>
    </w:p>
    <w:p w14:paraId="731D5881" w14:textId="77777777" w:rsidR="00116CBE" w:rsidRPr="00985CB4" w:rsidRDefault="00116CBE" w:rsidP="00116CBE">
      <w:pPr>
        <w:pStyle w:val="Citation-AltC"/>
        <w:spacing w:after="240"/>
        <w:ind w:left="1168" w:hanging="1168"/>
        <w:contextualSpacing w:val="0"/>
        <w:jc w:val="center"/>
      </w:pPr>
      <w:r>
        <w:tab/>
      </w:r>
      <w:r w:rsidRPr="00985CB4">
        <w:t>. . .</w:t>
      </w:r>
    </w:p>
    <w:p w14:paraId="47D944D3" w14:textId="77777777" w:rsidR="00116CBE" w:rsidRPr="00985CB4" w:rsidRDefault="00116CBE" w:rsidP="00116CBE">
      <w:pPr>
        <w:pStyle w:val="Citation-AltC"/>
        <w:tabs>
          <w:tab w:val="left" w:pos="1560"/>
        </w:tabs>
        <w:ind w:left="1418" w:hanging="1620"/>
      </w:pPr>
      <w:r>
        <w:rPr>
          <w:b/>
        </w:rPr>
        <w:tab/>
      </w:r>
      <w:r w:rsidRPr="00985CB4">
        <w:rPr>
          <w:b/>
        </w:rPr>
        <w:t>b)</w:t>
      </w:r>
      <w:r w:rsidRPr="00985CB4">
        <w:tab/>
        <w:t>liberté de pensée, de croyance, d</w:t>
      </w:r>
      <w:r>
        <w:t>’</w:t>
      </w:r>
      <w:r w:rsidRPr="00985CB4">
        <w:t>opinion et d</w:t>
      </w:r>
      <w:r>
        <w:t>’</w:t>
      </w:r>
      <w:r w:rsidRPr="00985CB4">
        <w:t>expression, y compris la liberté de la presse et des autres moyens de communication;</w:t>
      </w:r>
    </w:p>
    <w:p w14:paraId="75322525"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Le professeur Daniel </w:t>
      </w:r>
      <w:r w:rsidRPr="00985CB4">
        <w:rPr>
          <w:rFonts w:cs="Times New Roman"/>
          <w:szCs w:val="24"/>
        </w:rPr>
        <w:t xml:space="preserve">Proulx explique pourquoi les droits énoncés aux </w:t>
      </w:r>
      <w:r>
        <w:rPr>
          <w:rFonts w:cs="Times New Roman"/>
          <w:szCs w:val="24"/>
        </w:rPr>
        <w:t>art. </w:t>
      </w:r>
      <w:r w:rsidRPr="00985CB4">
        <w:rPr>
          <w:rFonts w:cs="Times New Roman"/>
          <w:szCs w:val="24"/>
        </w:rPr>
        <w:t>1 à 9 peuvent eux</w:t>
      </w:r>
      <w:r>
        <w:rPr>
          <w:rFonts w:cs="Times New Roman"/>
          <w:szCs w:val="24"/>
        </w:rPr>
        <w:noBreakHyphen/>
      </w:r>
      <w:r w:rsidRPr="00985CB4">
        <w:rPr>
          <w:rFonts w:cs="Times New Roman"/>
          <w:szCs w:val="24"/>
        </w:rPr>
        <w:t>mêmes être reconnus comme des justifications à la discrimination</w:t>
      </w:r>
      <w:r w:rsidRPr="00985CB4">
        <w:rPr>
          <w:rFonts w:cs="Times New Roman"/>
          <w:i/>
          <w:szCs w:val="24"/>
        </w:rPr>
        <w:t xml:space="preserve"> prima facie</w:t>
      </w:r>
      <w:r w:rsidRPr="00985CB4">
        <w:rPr>
          <w:rFonts w:cs="Times New Roman"/>
          <w:szCs w:val="24"/>
        </w:rPr>
        <w:t xml:space="preserve">, citant le préambule de la </w:t>
      </w:r>
      <w:r w:rsidRPr="00985CB4">
        <w:rPr>
          <w:rFonts w:cs="Times New Roman"/>
          <w:i/>
          <w:szCs w:val="24"/>
        </w:rPr>
        <w:t xml:space="preserve">Charte </w:t>
      </w:r>
      <w:r w:rsidRPr="00985CB4">
        <w:rPr>
          <w:rFonts w:cs="Times New Roman"/>
          <w:szCs w:val="24"/>
        </w:rPr>
        <w:t>québécoise qui explique que « </w:t>
      </w:r>
      <w:r w:rsidRPr="00985CB4">
        <w:rPr>
          <w:rFonts w:cs="Times New Roman"/>
          <w:szCs w:val="24"/>
          <w:shd w:val="clear" w:color="auto" w:fill="FFFFFF"/>
        </w:rPr>
        <w:t>les droits et libertés de la personne humaine sont inséparables des droits et libertés d</w:t>
      </w:r>
      <w:r>
        <w:rPr>
          <w:rFonts w:cs="Times New Roman"/>
          <w:szCs w:val="24"/>
          <w:shd w:val="clear" w:color="auto" w:fill="FFFFFF"/>
        </w:rPr>
        <w:t>’</w:t>
      </w:r>
      <w:r w:rsidRPr="00985CB4">
        <w:rPr>
          <w:rFonts w:cs="Times New Roman"/>
          <w:szCs w:val="24"/>
          <w:shd w:val="clear" w:color="auto" w:fill="FFFFFF"/>
        </w:rPr>
        <w:t>autrui et du bien</w:t>
      </w:r>
      <w:r>
        <w:rPr>
          <w:rFonts w:cs="Times New Roman"/>
          <w:szCs w:val="24"/>
          <w:shd w:val="clear" w:color="auto" w:fill="FFFFFF"/>
        </w:rPr>
        <w:noBreakHyphen/>
      </w:r>
      <w:r w:rsidRPr="00985CB4">
        <w:rPr>
          <w:rFonts w:cs="Times New Roman"/>
          <w:szCs w:val="24"/>
          <w:shd w:val="clear" w:color="auto" w:fill="FFFFFF"/>
        </w:rPr>
        <w:t>être général »</w:t>
      </w:r>
      <w:r>
        <w:rPr>
          <w:rFonts w:cs="Times New Roman"/>
          <w:szCs w:val="24"/>
          <w:shd w:val="clear" w:color="auto" w:fill="FFFFFF"/>
        </w:rPr>
        <w:t> :</w:t>
      </w:r>
    </w:p>
    <w:p w14:paraId="1FC7FC1F" w14:textId="77777777" w:rsidR="00116CBE" w:rsidRPr="00985CB4" w:rsidRDefault="00116CBE" w:rsidP="00116CBE">
      <w:pPr>
        <w:pStyle w:val="Citation-AltC"/>
        <w:spacing w:after="240"/>
        <w:ind w:left="1168" w:hanging="1168"/>
        <w:contextualSpacing w:val="0"/>
      </w:pPr>
      <w:r>
        <w:tab/>
      </w:r>
      <w:r>
        <w:tab/>
      </w:r>
      <w:r w:rsidRPr="00985CB4">
        <w:t>Aussi crucial soit</w:t>
      </w:r>
      <w:r>
        <w:noBreakHyphen/>
      </w:r>
      <w:r w:rsidRPr="00985CB4">
        <w:t>il pour le respect de la dignité humaine, le droit à l</w:t>
      </w:r>
      <w:r>
        <w:t>’</w:t>
      </w:r>
      <w:r w:rsidRPr="00985CB4">
        <w:t>égalité ne jouit d</w:t>
      </w:r>
      <w:r>
        <w:t>’</w:t>
      </w:r>
      <w:r w:rsidRPr="00985CB4">
        <w:t>aucune supériorité de principe sur les autres droits ou libertés au Canada. [. . .] Il s</w:t>
      </w:r>
      <w:r>
        <w:t>’</w:t>
      </w:r>
      <w:r w:rsidRPr="00985CB4">
        <w:t>ensuit que l</w:t>
      </w:r>
      <w:r>
        <w:t>’</w:t>
      </w:r>
      <w:r w:rsidRPr="00985CB4">
        <w:t>auteur présumé d</w:t>
      </w:r>
      <w:r>
        <w:t>’</w:t>
      </w:r>
      <w:r w:rsidRPr="00985CB4">
        <w:t>une discrimination peut toujours faire valoir, comme moyen de défense, à charge pour lui d</w:t>
      </w:r>
      <w:r>
        <w:t>’</w:t>
      </w:r>
      <w:r w:rsidRPr="00985CB4">
        <w:t>en faire la preuve, que sa décision ou sa politique à première vue discriminatoire se justifie par son obligation de respecter les autres droits ou libertés garantis dans la Charte. C</w:t>
      </w:r>
      <w:r>
        <w:t>’</w:t>
      </w:r>
      <w:r w:rsidRPr="00985CB4">
        <w:t>est ainsi que le droit au respect de la vie privée (</w:t>
      </w:r>
      <w:r>
        <w:t>art. </w:t>
      </w:r>
      <w:r w:rsidRPr="00985CB4">
        <w:t>5), le droit à la sécurité (</w:t>
      </w:r>
      <w:r>
        <w:t>art. </w:t>
      </w:r>
      <w:r w:rsidRPr="00985CB4">
        <w:t>1) ou le droit à la propriété (</w:t>
      </w:r>
      <w:r>
        <w:t>art. </w:t>
      </w:r>
      <w:r w:rsidRPr="00985CB4">
        <w:t>6) peuvent, dans les circonstances appropriées, constituer autant de raisons valables d</w:t>
      </w:r>
      <w:r>
        <w:t>’</w:t>
      </w:r>
      <w:r w:rsidRPr="00985CB4">
        <w:t xml:space="preserve">établir des règles </w:t>
      </w:r>
      <w:r w:rsidRPr="00985CB4">
        <w:rPr>
          <w:rStyle w:val="ssit"/>
          <w:rFonts w:eastAsiaTheme="majorEastAsia"/>
          <w:i/>
        </w:rPr>
        <w:t>a priori</w:t>
      </w:r>
      <w:r w:rsidRPr="00985CB4">
        <w:t xml:space="preserve"> discriminatoires.</w:t>
      </w:r>
    </w:p>
    <w:p w14:paraId="561FF884" w14:textId="3EF1F276" w:rsidR="00116CBE" w:rsidRPr="00985CB4" w:rsidRDefault="00116CBE" w:rsidP="00116CBE">
      <w:pPr>
        <w:pStyle w:val="Citation-AltC"/>
        <w:ind w:hanging="1166"/>
      </w:pPr>
      <w:r>
        <w:tab/>
      </w:r>
      <w:r w:rsidRPr="00985CB4">
        <w:t>(« Droit à l</w:t>
      </w:r>
      <w:r>
        <w:t>’</w:t>
      </w:r>
      <w:r w:rsidRPr="00985CB4">
        <w:t xml:space="preserve">égalité », dans </w:t>
      </w:r>
      <w:r w:rsidRPr="00985CB4">
        <w:rPr>
          <w:i/>
          <w:iCs/>
        </w:rPr>
        <w:t xml:space="preserve">JurisClasseur Québec — Collection droit public — Droit constitutionnel </w:t>
      </w:r>
      <w:r w:rsidRPr="00985CB4">
        <w:rPr>
          <w:iCs/>
        </w:rPr>
        <w:t xml:space="preserve">(feuilles mobiles), </w:t>
      </w:r>
      <w:r>
        <w:rPr>
          <w:iCs/>
        </w:rPr>
        <w:t>vol. </w:t>
      </w:r>
      <w:r w:rsidRPr="00985CB4">
        <w:rPr>
          <w:iCs/>
        </w:rPr>
        <w:t xml:space="preserve">2, par </w:t>
      </w:r>
      <w:r w:rsidRPr="00985CB4">
        <w:t>Stéphane Beaulac et Jean</w:t>
      </w:r>
      <w:r>
        <w:noBreakHyphen/>
      </w:r>
      <w:r w:rsidRPr="00985CB4">
        <w:t>François Gaudreault</w:t>
      </w:r>
      <w:r>
        <w:noBreakHyphen/>
      </w:r>
      <w:r w:rsidRPr="00985CB4">
        <w:t>Des</w:t>
      </w:r>
      <w:r w:rsidR="00607B5B">
        <w:t>B</w:t>
      </w:r>
      <w:r w:rsidRPr="00985CB4">
        <w:t>iens, dir., fasc. 9, n</w:t>
      </w:r>
      <w:r w:rsidRPr="00985CB4">
        <w:rPr>
          <w:vertAlign w:val="superscript"/>
        </w:rPr>
        <w:t>o</w:t>
      </w:r>
      <w:r w:rsidRPr="00985CB4">
        <w:t xml:space="preserve"> 151; </w:t>
      </w:r>
      <w:r w:rsidRPr="00985CB4">
        <w:rPr>
          <w:shd w:val="clear" w:color="auto" w:fill="FFFFFF"/>
        </w:rPr>
        <w:t xml:space="preserve">voir aussi </w:t>
      </w:r>
      <w:r w:rsidRPr="00985CB4">
        <w:rPr>
          <w:i/>
          <w:shd w:val="clear" w:color="auto" w:fill="FFFFFF"/>
        </w:rPr>
        <w:t>Laroche c. Lamothe</w:t>
      </w:r>
      <w:r w:rsidRPr="00985CB4">
        <w:rPr>
          <w:shd w:val="clear" w:color="auto" w:fill="FFFFFF"/>
        </w:rPr>
        <w:t>, 2018 QCCA 1726.</w:t>
      </w:r>
      <w:r w:rsidRPr="00985CB4">
        <w:t>)</w:t>
      </w:r>
    </w:p>
    <w:p w14:paraId="238DD631"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Généralement, les conflits entre les droits individuels garantis par la </w:t>
      </w:r>
      <w:r w:rsidRPr="00985CB4">
        <w:rPr>
          <w:rFonts w:cs="Times New Roman"/>
          <w:i/>
        </w:rPr>
        <w:t xml:space="preserve">Charte </w:t>
      </w:r>
      <w:r w:rsidRPr="00985CB4">
        <w:rPr>
          <w:rFonts w:cs="Times New Roman"/>
        </w:rPr>
        <w:t>québécoise sont résolus par application de l</w:t>
      </w:r>
      <w:r>
        <w:rPr>
          <w:rFonts w:cs="Times New Roman"/>
        </w:rPr>
        <w:t>’art. </w:t>
      </w:r>
      <w:r w:rsidRPr="00985CB4">
        <w:rPr>
          <w:rFonts w:cs="Times New Roman"/>
        </w:rPr>
        <w:t>9.1, que nous reproduisons ici pour fins de commodité, tel qu</w:t>
      </w:r>
      <w:r>
        <w:rPr>
          <w:rFonts w:cs="Times New Roman"/>
        </w:rPr>
        <w:t>’</w:t>
      </w:r>
      <w:r w:rsidRPr="00985CB4">
        <w:rPr>
          <w:rFonts w:cs="Times New Roman"/>
        </w:rPr>
        <w:t>il était rédigé alors</w:t>
      </w:r>
      <w:r>
        <w:rPr>
          <w:rFonts w:cs="Times New Roman"/>
        </w:rPr>
        <w:t> :</w:t>
      </w:r>
    </w:p>
    <w:p w14:paraId="135EE168" w14:textId="77777777" w:rsidR="00116CBE" w:rsidRPr="00985CB4" w:rsidRDefault="00116CBE" w:rsidP="00116CBE">
      <w:pPr>
        <w:pStyle w:val="Citation-AltC"/>
        <w:tabs>
          <w:tab w:val="left" w:pos="1530"/>
        </w:tabs>
        <w:spacing w:after="240"/>
        <w:ind w:left="1168" w:hanging="1168"/>
        <w:contextualSpacing w:val="0"/>
      </w:pPr>
      <w:r>
        <w:rPr>
          <w:b/>
        </w:rPr>
        <w:tab/>
      </w:r>
      <w:r w:rsidRPr="00985CB4">
        <w:rPr>
          <w:b/>
        </w:rPr>
        <w:t>9.1.</w:t>
      </w:r>
      <w:r w:rsidRPr="00985CB4">
        <w:tab/>
      </w:r>
      <w:r>
        <w:t> </w:t>
      </w:r>
      <w:r w:rsidRPr="00985CB4">
        <w:t>Les libertés et droits fondamentaux s</w:t>
      </w:r>
      <w:r>
        <w:t>’</w:t>
      </w:r>
      <w:r w:rsidRPr="00985CB4">
        <w:t>exercent dans le respect des valeurs démocratiques, de l</w:t>
      </w:r>
      <w:r>
        <w:t>’</w:t>
      </w:r>
      <w:r w:rsidRPr="00985CB4">
        <w:t>ordre public et du bien</w:t>
      </w:r>
      <w:r>
        <w:noBreakHyphen/>
      </w:r>
      <w:r w:rsidRPr="00985CB4">
        <w:t>être général des citoyens du Québec.</w:t>
      </w:r>
    </w:p>
    <w:p w14:paraId="39FA10D3" w14:textId="77777777" w:rsidR="00116CBE" w:rsidRPr="00985CB4" w:rsidRDefault="00116CBE" w:rsidP="00116CBE">
      <w:pPr>
        <w:pStyle w:val="Citation-AltC"/>
        <w:ind w:hanging="1166"/>
      </w:pPr>
      <w:r>
        <w:tab/>
      </w:r>
      <w:r>
        <w:tab/>
      </w:r>
      <w:r w:rsidRPr="00985CB4">
        <w:t>La loi peut, à cet égard, en fixer la portée et en aménager l</w:t>
      </w:r>
      <w:r>
        <w:t>’</w:t>
      </w:r>
      <w:r w:rsidRPr="00985CB4">
        <w:t>exercice.</w:t>
      </w:r>
    </w:p>
    <w:p w14:paraId="4964316A"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Dans les arrêts </w:t>
      </w:r>
      <w:r w:rsidRPr="00985CB4">
        <w:rPr>
          <w:rFonts w:cs="Times New Roman"/>
          <w:i/>
        </w:rPr>
        <w:t>Ford c. Québec (Procureur général)</w:t>
      </w:r>
      <w:r w:rsidRPr="00985CB4">
        <w:rPr>
          <w:rFonts w:cs="Times New Roman"/>
        </w:rPr>
        <w:t>, [1988] 2 R.C.S. 712,</w:t>
      </w:r>
      <w:r w:rsidRPr="00985CB4">
        <w:rPr>
          <w:rFonts w:cs="Times New Roman"/>
          <w:i/>
        </w:rPr>
        <w:t xml:space="preserve"> </w:t>
      </w:r>
      <w:r w:rsidRPr="00985CB4">
        <w:rPr>
          <w:rFonts w:cs="Times New Roman"/>
        </w:rPr>
        <w:t xml:space="preserve">et </w:t>
      </w:r>
      <w:r w:rsidRPr="00985CB4">
        <w:rPr>
          <w:rFonts w:cs="Times New Roman"/>
          <w:i/>
        </w:rPr>
        <w:t>Devine</w:t>
      </w:r>
      <w:r w:rsidRPr="00985CB4">
        <w:rPr>
          <w:rFonts w:cs="Times New Roman"/>
        </w:rPr>
        <w:t xml:space="preserve"> </w:t>
      </w:r>
      <w:r w:rsidRPr="00985CB4">
        <w:rPr>
          <w:rFonts w:cs="Times New Roman"/>
          <w:i/>
        </w:rPr>
        <w:t>c.</w:t>
      </w:r>
      <w:r w:rsidRPr="00985CB4">
        <w:rPr>
          <w:rFonts w:cs="Times New Roman"/>
        </w:rPr>
        <w:t xml:space="preserve"> </w:t>
      </w:r>
      <w:r w:rsidRPr="00985CB4">
        <w:rPr>
          <w:rFonts w:cs="Times New Roman"/>
          <w:i/>
        </w:rPr>
        <w:t>Québec</w:t>
      </w:r>
      <w:r w:rsidRPr="00985CB4">
        <w:rPr>
          <w:rFonts w:cs="Times New Roman"/>
        </w:rPr>
        <w:t xml:space="preserve"> </w:t>
      </w:r>
      <w:r w:rsidRPr="00985CB4">
        <w:rPr>
          <w:rFonts w:cs="Times New Roman"/>
          <w:i/>
        </w:rPr>
        <w:t>(Procureur général)</w:t>
      </w:r>
      <w:r w:rsidRPr="00985CB4">
        <w:rPr>
          <w:rFonts w:cs="Times New Roman"/>
        </w:rPr>
        <w:t>, [1988] 2 R.C.S. 790, notre Cour a expliqué que l</w:t>
      </w:r>
      <w:r>
        <w:rPr>
          <w:rFonts w:cs="Times New Roman"/>
        </w:rPr>
        <w:t>’art. </w:t>
      </w:r>
      <w:r w:rsidRPr="00985CB4">
        <w:rPr>
          <w:rFonts w:cs="Times New Roman"/>
        </w:rPr>
        <w:t xml:space="preserve">9.1 de la </w:t>
      </w:r>
      <w:r w:rsidRPr="00985CB4">
        <w:rPr>
          <w:rFonts w:cs="Times New Roman"/>
          <w:i/>
        </w:rPr>
        <w:t>Charte</w:t>
      </w:r>
      <w:r w:rsidRPr="00985CB4">
        <w:rPr>
          <w:rFonts w:cs="Times New Roman"/>
        </w:rPr>
        <w:t xml:space="preserve"> québécoise ne s</w:t>
      </w:r>
      <w:r>
        <w:rPr>
          <w:rFonts w:cs="Times New Roman"/>
        </w:rPr>
        <w:t>’</w:t>
      </w:r>
      <w:r w:rsidRPr="00985CB4">
        <w:rPr>
          <w:rFonts w:cs="Times New Roman"/>
        </w:rPr>
        <w:t>applique pas à la garantie d</w:t>
      </w:r>
      <w:r>
        <w:rPr>
          <w:rFonts w:cs="Times New Roman"/>
        </w:rPr>
        <w:t>’</w:t>
      </w:r>
      <w:r w:rsidRPr="00985CB4">
        <w:rPr>
          <w:rFonts w:cs="Times New Roman"/>
        </w:rPr>
        <w:t>égalité prévue à l</w:t>
      </w:r>
      <w:r>
        <w:rPr>
          <w:rFonts w:cs="Times New Roman"/>
        </w:rPr>
        <w:t>’art. </w:t>
      </w:r>
      <w:r w:rsidRPr="00985CB4">
        <w:rPr>
          <w:rFonts w:cs="Times New Roman"/>
        </w:rPr>
        <w:t xml:space="preserve">10. Ces deux arrêts concernaient des demandes présentées en vertu de la </w:t>
      </w:r>
      <w:r w:rsidRPr="00985CB4">
        <w:rPr>
          <w:rFonts w:cs="Times New Roman"/>
          <w:i/>
        </w:rPr>
        <w:t xml:space="preserve">Charte </w:t>
      </w:r>
      <w:r w:rsidRPr="00985CB4">
        <w:rPr>
          <w:rFonts w:cs="Times New Roman"/>
        </w:rPr>
        <w:t>québécoise, dans lesquelles on alléguait que diverses dispositions d</w:t>
      </w:r>
      <w:r>
        <w:rPr>
          <w:rFonts w:cs="Times New Roman"/>
        </w:rPr>
        <w:t>’</w:t>
      </w:r>
      <w:r w:rsidRPr="00985CB4">
        <w:rPr>
          <w:rFonts w:cs="Times New Roman"/>
        </w:rPr>
        <w:t>une loi qui limitait l</w:t>
      </w:r>
      <w:r>
        <w:rPr>
          <w:rFonts w:cs="Times New Roman"/>
        </w:rPr>
        <w:t>’</w:t>
      </w:r>
      <w:r w:rsidRPr="00985CB4">
        <w:rPr>
          <w:rFonts w:cs="Times New Roman"/>
        </w:rPr>
        <w:t>usage de l</w:t>
      </w:r>
      <w:r>
        <w:rPr>
          <w:rFonts w:cs="Times New Roman"/>
        </w:rPr>
        <w:t>’</w:t>
      </w:r>
      <w:r w:rsidRPr="00985CB4">
        <w:rPr>
          <w:rFonts w:cs="Times New Roman"/>
        </w:rPr>
        <w:t>anglais dans le cadre d</w:t>
      </w:r>
      <w:r>
        <w:rPr>
          <w:rFonts w:cs="Times New Roman"/>
        </w:rPr>
        <w:t>’</w:t>
      </w:r>
      <w:r w:rsidRPr="00985CB4">
        <w:rPr>
          <w:rFonts w:cs="Times New Roman"/>
        </w:rPr>
        <w:t>activités commerciales violaient le droit à la liberté d</w:t>
      </w:r>
      <w:r>
        <w:rPr>
          <w:rFonts w:cs="Times New Roman"/>
        </w:rPr>
        <w:t>’</w:t>
      </w:r>
      <w:r w:rsidRPr="00985CB4">
        <w:rPr>
          <w:rFonts w:cs="Times New Roman"/>
        </w:rPr>
        <w:t>expression prévu par l</w:t>
      </w:r>
      <w:r>
        <w:rPr>
          <w:rFonts w:cs="Times New Roman"/>
        </w:rPr>
        <w:t>’art. </w:t>
      </w:r>
      <w:r w:rsidRPr="00985CB4">
        <w:rPr>
          <w:rFonts w:cs="Times New Roman"/>
        </w:rPr>
        <w:t>3 et constituaient de la discrimination au sens de l</w:t>
      </w:r>
      <w:r>
        <w:rPr>
          <w:rFonts w:cs="Times New Roman"/>
        </w:rPr>
        <w:t>’art. </w:t>
      </w:r>
      <w:r w:rsidRPr="00985CB4">
        <w:rPr>
          <w:rFonts w:cs="Times New Roman"/>
        </w:rPr>
        <w:t xml:space="preserve">10 de la </w:t>
      </w:r>
      <w:r w:rsidRPr="00985CB4">
        <w:rPr>
          <w:rFonts w:cs="Times New Roman"/>
          <w:i/>
        </w:rPr>
        <w:t>Charte</w:t>
      </w:r>
      <w:r w:rsidRPr="00985CB4">
        <w:rPr>
          <w:rFonts w:cs="Times New Roman"/>
        </w:rPr>
        <w:t xml:space="preserve"> québécoise.</w:t>
      </w:r>
    </w:p>
    <w:p w14:paraId="23C8834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Dans l</w:t>
      </w:r>
      <w:r>
        <w:rPr>
          <w:rFonts w:cs="Times New Roman"/>
        </w:rPr>
        <w:t>’</w:t>
      </w:r>
      <w:r w:rsidRPr="00985CB4">
        <w:rPr>
          <w:rFonts w:cs="Times New Roman"/>
        </w:rPr>
        <w:t xml:space="preserve">arrêt </w:t>
      </w:r>
      <w:r w:rsidRPr="00985CB4">
        <w:rPr>
          <w:rFonts w:cs="Times New Roman"/>
          <w:i/>
        </w:rPr>
        <w:t>Devine</w:t>
      </w:r>
      <w:r w:rsidRPr="00985CB4">
        <w:rPr>
          <w:rFonts w:cs="Times New Roman"/>
          <w:iCs/>
        </w:rPr>
        <w:t>, la Cour a statué que toute demande fondée exclusivement sur l</w:t>
      </w:r>
      <w:r>
        <w:rPr>
          <w:rFonts w:cs="Times New Roman"/>
          <w:iCs/>
        </w:rPr>
        <w:t>’art. </w:t>
      </w:r>
      <w:r w:rsidRPr="00985CB4">
        <w:rPr>
          <w:rFonts w:cs="Times New Roman"/>
          <w:iCs/>
        </w:rPr>
        <w:t>3 ne pouvait être accueillie, parce que l</w:t>
      </w:r>
      <w:r>
        <w:rPr>
          <w:rFonts w:cs="Times New Roman"/>
          <w:iCs/>
        </w:rPr>
        <w:t>’</w:t>
      </w:r>
      <w:r w:rsidRPr="00985CB4">
        <w:rPr>
          <w:rFonts w:cs="Times New Roman"/>
          <w:iCs/>
        </w:rPr>
        <w:t>atteinte au droit du demandeur à la liberté d</w:t>
      </w:r>
      <w:r>
        <w:rPr>
          <w:rFonts w:cs="Times New Roman"/>
          <w:iCs/>
        </w:rPr>
        <w:t>’</w:t>
      </w:r>
      <w:r w:rsidRPr="00985CB4">
        <w:rPr>
          <w:rFonts w:cs="Times New Roman"/>
          <w:iCs/>
        </w:rPr>
        <w:t>expression était justifiée par application de l</w:t>
      </w:r>
      <w:r>
        <w:rPr>
          <w:rFonts w:cs="Times New Roman"/>
          <w:iCs/>
        </w:rPr>
        <w:t>’art. </w:t>
      </w:r>
      <w:r w:rsidRPr="00985CB4">
        <w:rPr>
          <w:rFonts w:cs="Times New Roman"/>
          <w:iCs/>
        </w:rPr>
        <w:t>9.1. Toutefois, le fait que l</w:t>
      </w:r>
      <w:r>
        <w:rPr>
          <w:rFonts w:cs="Times New Roman"/>
          <w:iCs/>
        </w:rPr>
        <w:t>’art. </w:t>
      </w:r>
      <w:r w:rsidRPr="00985CB4">
        <w:rPr>
          <w:rFonts w:cs="Times New Roman"/>
          <w:iCs/>
        </w:rPr>
        <w:t>9.1 ne s</w:t>
      </w:r>
      <w:r>
        <w:rPr>
          <w:rFonts w:cs="Times New Roman"/>
          <w:iCs/>
        </w:rPr>
        <w:t>’</w:t>
      </w:r>
      <w:r w:rsidRPr="00985CB4">
        <w:rPr>
          <w:rFonts w:cs="Times New Roman"/>
          <w:iCs/>
        </w:rPr>
        <w:t>appliquait pas à l</w:t>
      </w:r>
      <w:r>
        <w:rPr>
          <w:rFonts w:cs="Times New Roman"/>
          <w:iCs/>
        </w:rPr>
        <w:t>’art. </w:t>
      </w:r>
      <w:r w:rsidRPr="00985CB4">
        <w:rPr>
          <w:rFonts w:cs="Times New Roman"/>
          <w:iCs/>
        </w:rPr>
        <w:t>10 ne permettait pas aux plaignants de contourner la justification de l</w:t>
      </w:r>
      <w:r>
        <w:rPr>
          <w:rFonts w:cs="Times New Roman"/>
          <w:iCs/>
        </w:rPr>
        <w:t>’</w:t>
      </w:r>
      <w:r w:rsidRPr="00985CB4">
        <w:rPr>
          <w:rFonts w:cs="Times New Roman"/>
          <w:iCs/>
        </w:rPr>
        <w:t>État, et de conférer ainsi un caractère absolu aux droits à l</w:t>
      </w:r>
      <w:r>
        <w:rPr>
          <w:rFonts w:cs="Times New Roman"/>
          <w:iCs/>
        </w:rPr>
        <w:t>’</w:t>
      </w:r>
      <w:r w:rsidRPr="00985CB4">
        <w:rPr>
          <w:rFonts w:cs="Times New Roman"/>
          <w:iCs/>
        </w:rPr>
        <w:t>égalité. La Cour a expliqué que l</w:t>
      </w:r>
      <w:r>
        <w:rPr>
          <w:rFonts w:cs="Times New Roman"/>
          <w:iCs/>
        </w:rPr>
        <w:t>’art. </w:t>
      </w:r>
      <w:r w:rsidRPr="00985CB4">
        <w:rPr>
          <w:rFonts w:cs="Times New Roman"/>
          <w:iCs/>
        </w:rPr>
        <w:t>9.1 s</w:t>
      </w:r>
      <w:r>
        <w:rPr>
          <w:rFonts w:cs="Times New Roman"/>
          <w:iCs/>
        </w:rPr>
        <w:t>’</w:t>
      </w:r>
      <w:r w:rsidRPr="00985CB4">
        <w:rPr>
          <w:rFonts w:cs="Times New Roman"/>
          <w:iCs/>
        </w:rPr>
        <w:t>appliquait indirectement à l</w:t>
      </w:r>
      <w:r>
        <w:rPr>
          <w:rFonts w:cs="Times New Roman"/>
          <w:iCs/>
        </w:rPr>
        <w:t>’art. </w:t>
      </w:r>
      <w:r w:rsidRPr="00985CB4">
        <w:rPr>
          <w:rFonts w:cs="Times New Roman"/>
          <w:iCs/>
        </w:rPr>
        <w:t>10 en limitant la portée du droit sous</w:t>
      </w:r>
      <w:r>
        <w:rPr>
          <w:rFonts w:cs="Times New Roman"/>
          <w:iCs/>
        </w:rPr>
        <w:noBreakHyphen/>
      </w:r>
      <w:r w:rsidRPr="00985CB4">
        <w:rPr>
          <w:rFonts w:cs="Times New Roman"/>
          <w:iCs/>
        </w:rPr>
        <w:t>jacent à la liberté d</w:t>
      </w:r>
      <w:r>
        <w:rPr>
          <w:rFonts w:cs="Times New Roman"/>
          <w:iCs/>
        </w:rPr>
        <w:t>’</w:t>
      </w:r>
      <w:r w:rsidRPr="00985CB4">
        <w:rPr>
          <w:rFonts w:cs="Times New Roman"/>
          <w:iCs/>
        </w:rPr>
        <w:t>expression</w:t>
      </w:r>
      <w:r>
        <w:rPr>
          <w:rFonts w:cs="Times New Roman"/>
          <w:iCs/>
        </w:rPr>
        <w:t> :</w:t>
      </w:r>
    </w:p>
    <w:p w14:paraId="5E61177A" w14:textId="77777777" w:rsidR="00116CBE" w:rsidRPr="00985CB4" w:rsidRDefault="00116CBE" w:rsidP="00116CBE">
      <w:pPr>
        <w:pStyle w:val="Citation-AltC"/>
        <w:ind w:hanging="1166"/>
      </w:pPr>
      <w:r>
        <w:tab/>
      </w:r>
      <w:r>
        <w:tab/>
      </w:r>
      <w:r w:rsidRPr="00985CB4">
        <w:t>Bien qu</w:t>
      </w:r>
      <w:r>
        <w:t>’</w:t>
      </w:r>
      <w:r w:rsidRPr="00985CB4">
        <w:t>il soit exact que l</w:t>
      </w:r>
      <w:r>
        <w:t>’art. </w:t>
      </w:r>
      <w:r w:rsidRPr="00985CB4">
        <w:t>9.1 ne s</w:t>
      </w:r>
      <w:r>
        <w:t>’</w:t>
      </w:r>
      <w:r w:rsidRPr="00985CB4">
        <w:t>applique pas au principe d</w:t>
      </w:r>
      <w:r>
        <w:t>’</w:t>
      </w:r>
      <w:r w:rsidRPr="00985CB4">
        <w:t>égalité enchâssé à l</w:t>
      </w:r>
      <w:r>
        <w:t>’art. </w:t>
      </w:r>
      <w:r w:rsidRPr="00985CB4">
        <w:t>10, il s</w:t>
      </w:r>
      <w:r>
        <w:t>’</w:t>
      </w:r>
      <w:r w:rsidRPr="00985CB4">
        <w:t>applique à la garantie de liberté d</w:t>
      </w:r>
      <w:r>
        <w:t>’</w:t>
      </w:r>
      <w:r w:rsidRPr="00985CB4">
        <w:t>expression enchâssée à l</w:t>
      </w:r>
      <w:r>
        <w:t>’art. </w:t>
      </w:r>
      <w:r w:rsidRPr="00985CB4">
        <w:t>3. Chaque fois qu</w:t>
      </w:r>
      <w:r>
        <w:t>’</w:t>
      </w:r>
      <w:r w:rsidRPr="00985CB4">
        <w:t>il est allégué qu</w:t>
      </w:r>
      <w:r>
        <w:t>’</w:t>
      </w:r>
      <w:r w:rsidRPr="00985CB4">
        <w:t>une distinction fondée sur un motif interdit par l</w:t>
      </w:r>
      <w:r>
        <w:t>’art. </w:t>
      </w:r>
      <w:r w:rsidRPr="00985CB4">
        <w:t>10 a pour effet de compromettre ou de détruire un droit que prévoit l</w:t>
      </w:r>
      <w:r>
        <w:t>’art. </w:t>
      </w:r>
      <w:r w:rsidRPr="00985CB4">
        <w:t>3, la portée de cet article doit être déterminée à la lumière de l</w:t>
      </w:r>
      <w:r>
        <w:t>’art. </w:t>
      </w:r>
      <w:r w:rsidRPr="00985CB4">
        <w:t>9.1. Lorsque, comme en l</w:t>
      </w:r>
      <w:r>
        <w:t>’</w:t>
      </w:r>
      <w:r w:rsidRPr="00985CB4">
        <w:t>espèce, l</w:t>
      </w:r>
      <w:r>
        <w:t>’art. </w:t>
      </w:r>
      <w:r w:rsidRPr="00985CB4">
        <w:t>9.1 a pour effet de limiter la portée de la liberté d</w:t>
      </w:r>
      <w:r>
        <w:t>’</w:t>
      </w:r>
      <w:r w:rsidRPr="00985CB4">
        <w:t>expression que garantit l</w:t>
      </w:r>
      <w:r>
        <w:t>’art. </w:t>
      </w:r>
      <w:r w:rsidRPr="00985CB4">
        <w:t>3, l</w:t>
      </w:r>
      <w:r>
        <w:t>’art. </w:t>
      </w:r>
      <w:r w:rsidRPr="00985CB4">
        <w:t>10 ne peut être invoqué pour contourner les limites raisonnables à cette liberté et y substituer une garantie absolue de liberté d</w:t>
      </w:r>
      <w:r>
        <w:t>’</w:t>
      </w:r>
      <w:r w:rsidRPr="00985CB4">
        <w:t>expression. Par ailleurs, une fois définie la portée de la liberté d</w:t>
      </w:r>
      <w:r>
        <w:t>’</w:t>
      </w:r>
      <w:r w:rsidRPr="00985CB4">
        <w:t>expression, l</w:t>
      </w:r>
      <w:r>
        <w:t>’art. </w:t>
      </w:r>
      <w:r w:rsidRPr="00985CB4">
        <w:t>9.1 ne peut être invoqué pour justifier une limite à la reconnaissance et à l</w:t>
      </w:r>
      <w:r>
        <w:t>’</w:t>
      </w:r>
      <w:r w:rsidRPr="00985CB4">
        <w:t>exercice, en pleine égalité, du droit que garantit l</w:t>
      </w:r>
      <w:r>
        <w:t>’art. </w:t>
      </w:r>
      <w:r w:rsidRPr="00985CB4">
        <w:t>3. [</w:t>
      </w:r>
      <w:r>
        <w:t>p. </w:t>
      </w:r>
      <w:r w:rsidRPr="00985CB4">
        <w:t>818]</w:t>
      </w:r>
    </w:p>
    <w:p w14:paraId="4DCE979C" w14:textId="77777777" w:rsidR="00116CBE" w:rsidRPr="00985CB4" w:rsidRDefault="00116CBE" w:rsidP="00116CBE">
      <w:pPr>
        <w:pStyle w:val="ContinueParaSuitedupar-AltP"/>
        <w:rPr>
          <w:rFonts w:cs="Times New Roman"/>
        </w:rPr>
      </w:pPr>
      <w:r w:rsidRPr="00985CB4">
        <w:rPr>
          <w:rFonts w:cs="Times New Roman"/>
        </w:rPr>
        <w:t>Comme l</w:t>
      </w:r>
      <w:r>
        <w:rPr>
          <w:rFonts w:cs="Times New Roman"/>
        </w:rPr>
        <w:t>’</w:t>
      </w:r>
      <w:r w:rsidRPr="00985CB4">
        <w:rPr>
          <w:rFonts w:cs="Times New Roman"/>
        </w:rPr>
        <w:t>a expliqué le professeur David Robitaille en interprétant ces arrêts</w:t>
      </w:r>
      <w:r>
        <w:rPr>
          <w:rFonts w:cs="Times New Roman"/>
        </w:rPr>
        <w:t> :</w:t>
      </w:r>
      <w:r w:rsidRPr="00985CB4" w:rsidDel="00FA738C">
        <w:rPr>
          <w:rFonts w:cs="Times New Roman"/>
        </w:rPr>
        <w:t xml:space="preserve"> </w:t>
      </w:r>
      <w:r w:rsidRPr="00985CB4">
        <w:rPr>
          <w:rFonts w:cs="Times New Roman"/>
        </w:rPr>
        <w:t>« En effet, comme le traitement égalitaire ne peut être revendiqué qu</w:t>
      </w:r>
      <w:r>
        <w:rPr>
          <w:rFonts w:cs="Times New Roman"/>
        </w:rPr>
        <w:t>’</w:t>
      </w:r>
      <w:r w:rsidRPr="00985CB4">
        <w:rPr>
          <w:rFonts w:cs="Times New Roman"/>
        </w:rPr>
        <w:t>à l</w:t>
      </w:r>
      <w:r>
        <w:rPr>
          <w:rFonts w:cs="Times New Roman"/>
        </w:rPr>
        <w:t>’</w:t>
      </w:r>
      <w:r w:rsidRPr="00985CB4">
        <w:rPr>
          <w:rFonts w:cs="Times New Roman"/>
        </w:rPr>
        <w:t>égard de la reconnaissance ou l</w:t>
      </w:r>
      <w:r>
        <w:rPr>
          <w:rFonts w:cs="Times New Roman"/>
        </w:rPr>
        <w:t>’</w:t>
      </w:r>
      <w:r w:rsidRPr="00985CB4">
        <w:rPr>
          <w:rFonts w:cs="Times New Roman"/>
        </w:rPr>
        <w:t>exercice de la liberté d</w:t>
      </w:r>
      <w:r>
        <w:rPr>
          <w:rFonts w:cs="Times New Roman"/>
        </w:rPr>
        <w:t>’</w:t>
      </w:r>
      <w:r w:rsidRPr="00985CB4">
        <w:rPr>
          <w:rFonts w:cs="Times New Roman"/>
        </w:rPr>
        <w:t>expression, il en résulte qu</w:t>
      </w:r>
      <w:r>
        <w:rPr>
          <w:rFonts w:cs="Times New Roman"/>
        </w:rPr>
        <w:t>’</w:t>
      </w:r>
      <w:r w:rsidRPr="00985CB4">
        <w:rPr>
          <w:rFonts w:cs="Times New Roman"/>
        </w:rPr>
        <w:t>une restriction justifiée selon l</w:t>
      </w:r>
      <w:r>
        <w:rPr>
          <w:rFonts w:cs="Times New Roman"/>
        </w:rPr>
        <w:t>’</w:t>
      </w:r>
      <w:r w:rsidRPr="00985CB4">
        <w:rPr>
          <w:rFonts w:cs="Times New Roman"/>
        </w:rPr>
        <w:t>article 9.1 à la reconnaissance ou l</w:t>
      </w:r>
      <w:r>
        <w:rPr>
          <w:rFonts w:cs="Times New Roman"/>
        </w:rPr>
        <w:t>’</w:t>
      </w:r>
      <w:r w:rsidRPr="00985CB4">
        <w:rPr>
          <w:rFonts w:cs="Times New Roman"/>
        </w:rPr>
        <w:t>exercice même de cette liberté empêche logiquement la revendication du droit à la non</w:t>
      </w:r>
      <w:r>
        <w:rPr>
          <w:rFonts w:cs="Times New Roman"/>
        </w:rPr>
        <w:noBreakHyphen/>
      </w:r>
      <w:r w:rsidRPr="00985CB4">
        <w:rPr>
          <w:rFonts w:cs="Times New Roman"/>
        </w:rPr>
        <w:t>discrimination » (</w:t>
      </w:r>
      <w:r>
        <w:rPr>
          <w:rFonts w:cs="Times New Roman"/>
        </w:rPr>
        <w:t>p. </w:t>
      </w:r>
      <w:r w:rsidRPr="00985CB4">
        <w:rPr>
          <w:rFonts w:cs="Times New Roman"/>
        </w:rPr>
        <w:t>117).</w:t>
      </w:r>
    </w:p>
    <w:p w14:paraId="099B11EB" w14:textId="77777777" w:rsidR="00116CBE" w:rsidRPr="00985CB4" w:rsidRDefault="00116CBE" w:rsidP="00116CBE">
      <w:pPr>
        <w:pStyle w:val="ParaNoNdepar-AltN"/>
        <w:rPr>
          <w:rFonts w:eastAsiaTheme="minorHAnsi" w:cs="Times New Roman"/>
        </w:rPr>
      </w:pPr>
      <w:r w:rsidRPr="00985CB4">
        <w:rPr>
          <w:rFonts w:cs="Times New Roman"/>
          <w:spacing w:val="-3"/>
        </w:rPr>
        <w:t>Comme le commande le texte même de l</w:t>
      </w:r>
      <w:r>
        <w:rPr>
          <w:rFonts w:cs="Times New Roman"/>
          <w:spacing w:val="-3"/>
        </w:rPr>
        <w:t>’art. </w:t>
      </w:r>
      <w:r w:rsidRPr="00985CB4">
        <w:rPr>
          <w:rFonts w:cs="Times New Roman"/>
          <w:spacing w:val="-3"/>
        </w:rPr>
        <w:t>9.1, notre Cour doit prendre en compte « [l</w:t>
      </w:r>
      <w:r w:rsidRPr="00985CB4">
        <w:rPr>
          <w:rFonts w:cs="Times New Roman"/>
        </w:rPr>
        <w:t>es] valeurs démocratiques, [. . .] l</w:t>
      </w:r>
      <w:r>
        <w:rPr>
          <w:rFonts w:cs="Times New Roman"/>
        </w:rPr>
        <w:t>’</w:t>
      </w:r>
      <w:r w:rsidRPr="00985CB4">
        <w:rPr>
          <w:rFonts w:cs="Times New Roman"/>
        </w:rPr>
        <w:t>ordre public et [le] bien</w:t>
      </w:r>
      <w:r>
        <w:rPr>
          <w:rFonts w:cs="Times New Roman"/>
        </w:rPr>
        <w:noBreakHyphen/>
      </w:r>
      <w:r w:rsidRPr="00985CB4">
        <w:rPr>
          <w:rFonts w:cs="Times New Roman"/>
        </w:rPr>
        <w:t>être général des citoyens du Québec » dans la mise en balance de ces droits. En l</w:t>
      </w:r>
      <w:r>
        <w:rPr>
          <w:rFonts w:cs="Times New Roman"/>
        </w:rPr>
        <w:t>’</w:t>
      </w:r>
      <w:r w:rsidRPr="00985CB4">
        <w:rPr>
          <w:rFonts w:cs="Times New Roman"/>
        </w:rPr>
        <w:t>espèce, cela requiert la prise en compte du droit de M. Gabriel à la sauvegarde de sa dignité et de la liberté d</w:t>
      </w:r>
      <w:r>
        <w:rPr>
          <w:rFonts w:cs="Times New Roman"/>
        </w:rPr>
        <w:t>’</w:t>
      </w:r>
      <w:r w:rsidRPr="00985CB4">
        <w:rPr>
          <w:rFonts w:cs="Times New Roman"/>
        </w:rPr>
        <w:t>expression de M. Ward. Ce n</w:t>
      </w:r>
      <w:r>
        <w:rPr>
          <w:rFonts w:cs="Times New Roman"/>
        </w:rPr>
        <w:t>’</w:t>
      </w:r>
      <w:r w:rsidRPr="00985CB4">
        <w:rPr>
          <w:rFonts w:cs="Times New Roman"/>
        </w:rPr>
        <w:t>est qu</w:t>
      </w:r>
      <w:r>
        <w:rPr>
          <w:rFonts w:cs="Times New Roman"/>
        </w:rPr>
        <w:t>’</w:t>
      </w:r>
      <w:r w:rsidRPr="00985CB4">
        <w:rPr>
          <w:rFonts w:cs="Times New Roman"/>
        </w:rPr>
        <w:t>en mettant adéquatement en balance ces droits que nous pouvons apprécier la portée du droit prévu à l</w:t>
      </w:r>
      <w:r>
        <w:rPr>
          <w:rFonts w:cs="Times New Roman"/>
        </w:rPr>
        <w:t>’art. </w:t>
      </w:r>
      <w:r w:rsidRPr="00985CB4">
        <w:rPr>
          <w:rFonts w:cs="Times New Roman"/>
        </w:rPr>
        <w:t>10 à l</w:t>
      </w:r>
      <w:r>
        <w:rPr>
          <w:rFonts w:cs="Times New Roman"/>
        </w:rPr>
        <w:t>’</w:t>
      </w:r>
      <w:r w:rsidRPr="00985CB4">
        <w:rPr>
          <w:rFonts w:cs="Times New Roman"/>
        </w:rPr>
        <w:t>exercice, en pleine égalité, du premier droit mentionné.</w:t>
      </w:r>
      <w:r w:rsidRPr="00985CB4">
        <w:rPr>
          <w:rFonts w:eastAsiaTheme="minorHAnsi" w:cs="Times New Roman"/>
        </w:rPr>
        <w:t xml:space="preserve"> De cette façon, </w:t>
      </w:r>
      <w:r w:rsidRPr="00985CB4">
        <w:rPr>
          <w:rFonts w:cs="Times New Roman"/>
        </w:rPr>
        <w:t>la mise en balance requise par l</w:t>
      </w:r>
      <w:r>
        <w:rPr>
          <w:rFonts w:cs="Times New Roman"/>
        </w:rPr>
        <w:t>’art. </w:t>
      </w:r>
      <w:r w:rsidRPr="00985CB4">
        <w:rPr>
          <w:rFonts w:cs="Times New Roman"/>
        </w:rPr>
        <w:t xml:space="preserve">9.1 se rattache à la norme exprimée dans </w:t>
      </w:r>
      <w:r w:rsidRPr="00985CB4">
        <w:rPr>
          <w:rFonts w:cs="Times New Roman"/>
          <w:i/>
        </w:rPr>
        <w:t>Calego</w:t>
      </w:r>
      <w:r w:rsidRPr="00985CB4">
        <w:rPr>
          <w:rFonts w:cs="Times New Roman"/>
        </w:rPr>
        <w:t xml:space="preserve"> et à la manière dont l</w:t>
      </w:r>
      <w:r>
        <w:rPr>
          <w:rFonts w:cs="Times New Roman"/>
        </w:rPr>
        <w:t>’</w:t>
      </w:r>
      <w:r w:rsidRPr="00985CB4">
        <w:rPr>
          <w:rFonts w:cs="Times New Roman"/>
        </w:rPr>
        <w:t>équilibre a été établi dans cette affaire. La norme repose sur la perception d</w:t>
      </w:r>
      <w:r>
        <w:rPr>
          <w:rFonts w:cs="Times New Roman"/>
        </w:rPr>
        <w:t>’</w:t>
      </w:r>
      <w:r w:rsidRPr="00985CB4">
        <w:rPr>
          <w:rFonts w:cs="Times New Roman"/>
        </w:rPr>
        <w:t>une personne raisonnable visée par les propos et se trouvant dans la même situation que la victime, une norme qui est en phase avec la valeur de la liberté d</w:t>
      </w:r>
      <w:r>
        <w:rPr>
          <w:rFonts w:cs="Times New Roman"/>
        </w:rPr>
        <w:t>’</w:t>
      </w:r>
      <w:r w:rsidRPr="00985CB4">
        <w:rPr>
          <w:rFonts w:cs="Times New Roman"/>
        </w:rPr>
        <w:t>expression dans la société (</w:t>
      </w:r>
      <w:r>
        <w:rPr>
          <w:rFonts w:cs="Times New Roman"/>
        </w:rPr>
        <w:t>par. </w:t>
      </w:r>
      <w:r w:rsidRPr="00985CB4">
        <w:rPr>
          <w:rFonts w:cs="Times New Roman"/>
        </w:rPr>
        <w:t>99). Les arguments invoqués à titre de justifications par M. Ward sur le fondement de sa liberté d</w:t>
      </w:r>
      <w:r>
        <w:rPr>
          <w:rFonts w:cs="Times New Roman"/>
        </w:rPr>
        <w:t>’</w:t>
      </w:r>
      <w:r w:rsidRPr="00985CB4">
        <w:rPr>
          <w:rFonts w:cs="Times New Roman"/>
        </w:rPr>
        <w:t>expression peuvent être compris comme des arguments concernant le respect, en l</w:t>
      </w:r>
      <w:r>
        <w:rPr>
          <w:rFonts w:cs="Times New Roman"/>
        </w:rPr>
        <w:t>’</w:t>
      </w:r>
      <w:r w:rsidRPr="00985CB4">
        <w:rPr>
          <w:rFonts w:cs="Times New Roman"/>
        </w:rPr>
        <w:t xml:space="preserve">espèce, de la norme établie dans </w:t>
      </w:r>
      <w:r w:rsidRPr="00985CB4">
        <w:rPr>
          <w:rFonts w:cs="Times New Roman"/>
          <w:i/>
        </w:rPr>
        <w:t>Calego</w:t>
      </w:r>
      <w:r w:rsidRPr="00985CB4">
        <w:rPr>
          <w:rFonts w:cs="Times New Roman"/>
        </w:rPr>
        <w:t>.</w:t>
      </w:r>
    </w:p>
    <w:p w14:paraId="1D0B1A79" w14:textId="77777777" w:rsidR="00116CBE" w:rsidRPr="00985CB4" w:rsidRDefault="00116CBE" w:rsidP="00116CBE">
      <w:pPr>
        <w:pStyle w:val="ParaNoNdepar-AltN"/>
        <w:rPr>
          <w:rFonts w:cs="Times New Roman"/>
        </w:rPr>
      </w:pPr>
      <w:r w:rsidRPr="00985CB4">
        <w:rPr>
          <w:rFonts w:cs="Times New Roman"/>
        </w:rPr>
        <w:t>Cependant, avant de procéder à toute analyse de la proportionnalité en application de l</w:t>
      </w:r>
      <w:r>
        <w:rPr>
          <w:rFonts w:cs="Times New Roman"/>
        </w:rPr>
        <w:t>’art. </w:t>
      </w:r>
      <w:r w:rsidRPr="00985CB4">
        <w:rPr>
          <w:rFonts w:cs="Times New Roman"/>
        </w:rPr>
        <w:t>9.1, nous devons établir la mesure dans laquelle le droit de M. Ward à la liberté d</w:t>
      </w:r>
      <w:r>
        <w:rPr>
          <w:rFonts w:cs="Times New Roman"/>
        </w:rPr>
        <w:t>’</w:t>
      </w:r>
      <w:r w:rsidRPr="00985CB4">
        <w:rPr>
          <w:rFonts w:cs="Times New Roman"/>
        </w:rPr>
        <w:t>expression entre en jeu. Notre Cour a constamment donné une interprétation large à la liberté d</w:t>
      </w:r>
      <w:r>
        <w:rPr>
          <w:rFonts w:cs="Times New Roman"/>
        </w:rPr>
        <w:t>’</w:t>
      </w:r>
      <w:r w:rsidRPr="00985CB4">
        <w:rPr>
          <w:rFonts w:cs="Times New Roman"/>
        </w:rPr>
        <w:t>expression, expliquant que [</w:t>
      </w:r>
      <w:r w:rsidRPr="00985CB4">
        <w:rPr>
          <w:rFonts w:cs="Times New Roman"/>
          <w:smallCaps/>
        </w:rPr>
        <w:t>traduction</w:t>
      </w:r>
      <w:r w:rsidRPr="00985CB4">
        <w:rPr>
          <w:rFonts w:cs="Times New Roman"/>
        </w:rPr>
        <w:t>] « la neutralité du contenu est le principe directeur » (Peter W. </w:t>
      </w:r>
      <w:r w:rsidRPr="00985CB4">
        <w:rPr>
          <w:rStyle w:val="solexhl"/>
          <w:rFonts w:cs="Times New Roman"/>
          <w:szCs w:val="24"/>
        </w:rPr>
        <w:t xml:space="preserve">Hogg et </w:t>
      </w:r>
      <w:r w:rsidRPr="00985CB4">
        <w:rPr>
          <w:rFonts w:cs="Times New Roman"/>
        </w:rPr>
        <w:t xml:space="preserve">Wade K. Wright, </w:t>
      </w:r>
      <w:r w:rsidRPr="00985CB4">
        <w:rPr>
          <w:rStyle w:val="solexhl"/>
          <w:rFonts w:cs="Times New Roman"/>
          <w:i/>
          <w:iCs/>
          <w:szCs w:val="24"/>
        </w:rPr>
        <w:t>Constitutional Law of Canada</w:t>
      </w:r>
      <w:r w:rsidRPr="00985CB4">
        <w:rPr>
          <w:rFonts w:cs="Times New Roman"/>
        </w:rPr>
        <w:t xml:space="preserve"> (5</w:t>
      </w:r>
      <w:r w:rsidRPr="00985CB4">
        <w:rPr>
          <w:rFonts w:cs="Times New Roman"/>
          <w:vertAlign w:val="superscript"/>
        </w:rPr>
        <w:t>e</w:t>
      </w:r>
      <w:r w:rsidRPr="00985CB4">
        <w:rPr>
          <w:rFonts w:cs="Times New Roman"/>
        </w:rPr>
        <w:t> éd. suppl.), s. 43:11). Dans l</w:t>
      </w:r>
      <w:r>
        <w:rPr>
          <w:rFonts w:cs="Times New Roman"/>
        </w:rPr>
        <w:t>’</w:t>
      </w:r>
      <w:r w:rsidRPr="00985CB4">
        <w:rPr>
          <w:rFonts w:cs="Times New Roman"/>
        </w:rPr>
        <w:t xml:space="preserve">arrêt </w:t>
      </w:r>
      <w:r w:rsidRPr="00985CB4">
        <w:rPr>
          <w:rFonts w:cs="Times New Roman"/>
          <w:i/>
        </w:rPr>
        <w:t>Irwin Toy Ltd. c. Québec (Procureur général)</w:t>
      </w:r>
      <w:r w:rsidRPr="00985CB4">
        <w:rPr>
          <w:rFonts w:cs="Times New Roman"/>
        </w:rPr>
        <w:t>,</w:t>
      </w:r>
      <w:r w:rsidRPr="00985CB4">
        <w:rPr>
          <w:rFonts w:cs="Times New Roman"/>
          <w:i/>
        </w:rPr>
        <w:t xml:space="preserve"> </w:t>
      </w:r>
      <w:r w:rsidRPr="00985CB4">
        <w:rPr>
          <w:rFonts w:cs="Times New Roman"/>
        </w:rPr>
        <w:t>[1989] 1 R.C.S. 927, la Cour a expliqué en ces termes l</w:t>
      </w:r>
      <w:r>
        <w:rPr>
          <w:rFonts w:cs="Times New Roman"/>
        </w:rPr>
        <w:t>’</w:t>
      </w:r>
      <w:r w:rsidRPr="00985CB4">
        <w:rPr>
          <w:rFonts w:cs="Times New Roman"/>
        </w:rPr>
        <w:t>étendue de la protection constitutionnelle de la liberté d</w:t>
      </w:r>
      <w:r>
        <w:rPr>
          <w:rFonts w:cs="Times New Roman"/>
        </w:rPr>
        <w:t>’</w:t>
      </w:r>
      <w:r w:rsidRPr="00985CB4">
        <w:rPr>
          <w:rFonts w:cs="Times New Roman"/>
        </w:rPr>
        <w:t>expression</w:t>
      </w:r>
      <w:r>
        <w:rPr>
          <w:rFonts w:cs="Times New Roman"/>
        </w:rPr>
        <w:t> :</w:t>
      </w:r>
    </w:p>
    <w:p w14:paraId="4E034CFA" w14:textId="77777777" w:rsidR="00116CBE" w:rsidRPr="00985CB4" w:rsidRDefault="00116CBE" w:rsidP="00116CBE">
      <w:pPr>
        <w:pStyle w:val="Citation-AltC"/>
        <w:ind w:hanging="1166"/>
      </w:pPr>
      <w:r>
        <w:tab/>
      </w:r>
      <w:r w:rsidRPr="00985CB4">
        <w:t>La liberté d</w:t>
      </w:r>
      <w:r>
        <w:t>’</w:t>
      </w:r>
      <w:r w:rsidRPr="00985CB4">
        <w:t xml:space="preserve">expression a été consacrée par notre Constitution et est garantie dans la </w:t>
      </w:r>
      <w:r w:rsidRPr="00985CB4">
        <w:rPr>
          <w:i/>
          <w:iCs/>
        </w:rPr>
        <w:t xml:space="preserve">Charte </w:t>
      </w:r>
      <w:r w:rsidRPr="00985CB4">
        <w:t>québécoise pour assurer que chacun puisse manifester ses pensées, ses opinions, ses croyances, en fait, toutes les expressions du cœur ou de l</w:t>
      </w:r>
      <w:r>
        <w:t>’</w:t>
      </w:r>
      <w:r w:rsidRPr="00985CB4">
        <w:t>esprit, aussi impopulaires, déplaisantes ou contestataires soient</w:t>
      </w:r>
      <w:r>
        <w:noBreakHyphen/>
      </w:r>
      <w:r w:rsidRPr="00985CB4">
        <w:t>elles. Cette protection est, selon les Chartes canadienne et québécoise, « fondamentale » parce que dans une société libre, pluraliste et démocratique, nous attachons une grande valeur à la diversité des idées et des opinions qui est intrinsèquement salutaire tant pour la collectivité que pour l</w:t>
      </w:r>
      <w:r>
        <w:t>’</w:t>
      </w:r>
      <w:r w:rsidRPr="00985CB4">
        <w:t>individu. [</w:t>
      </w:r>
      <w:r>
        <w:t>p. </w:t>
      </w:r>
      <w:r w:rsidRPr="00985CB4">
        <w:t>968]</w:t>
      </w:r>
    </w:p>
    <w:p w14:paraId="6FACF56C" w14:textId="77777777" w:rsidR="00116CBE" w:rsidRPr="00985CB4" w:rsidRDefault="00116CBE" w:rsidP="00116CBE">
      <w:pPr>
        <w:pStyle w:val="ContinueParaSuitedupar-AltP"/>
        <w:rPr>
          <w:rFonts w:cs="Times New Roman"/>
        </w:rPr>
      </w:pPr>
      <w:r w:rsidRPr="00985CB4">
        <w:rPr>
          <w:rFonts w:cs="Times New Roman"/>
        </w:rPr>
        <w:t>Vu l</w:t>
      </w:r>
      <w:r>
        <w:rPr>
          <w:rFonts w:cs="Times New Roman"/>
        </w:rPr>
        <w:t>’</w:t>
      </w:r>
      <w:r w:rsidRPr="00985CB4">
        <w:rPr>
          <w:rFonts w:cs="Times New Roman"/>
        </w:rPr>
        <w:t>étendue de cette protection, il est clair que la liberté d</w:t>
      </w:r>
      <w:r>
        <w:rPr>
          <w:rFonts w:cs="Times New Roman"/>
        </w:rPr>
        <w:t>’</w:t>
      </w:r>
      <w:r w:rsidRPr="00985CB4">
        <w:rPr>
          <w:rFonts w:cs="Times New Roman"/>
        </w:rPr>
        <w:t>expression de M. Ward serait restreinte par la réparation demandée par la Commission.</w:t>
      </w:r>
    </w:p>
    <w:p w14:paraId="595031EF" w14:textId="77777777" w:rsidR="00116CBE" w:rsidRPr="009F7CBC" w:rsidRDefault="00116CBE" w:rsidP="00116CBE">
      <w:pPr>
        <w:pStyle w:val="ParaNoNdepar-AltN"/>
        <w:rPr>
          <w:rFonts w:cs="Times New Roman"/>
        </w:rPr>
      </w:pPr>
      <w:r w:rsidRPr="00985CB4">
        <w:rPr>
          <w:rFonts w:cs="Times New Roman"/>
        </w:rPr>
        <w:t>Toutefois, l</w:t>
      </w:r>
      <w:r>
        <w:rPr>
          <w:rFonts w:cs="Times New Roman"/>
        </w:rPr>
        <w:t>’</w:t>
      </w:r>
      <w:r w:rsidRPr="00985CB4">
        <w:rPr>
          <w:rFonts w:cs="Times New Roman"/>
        </w:rPr>
        <w:t>analyse ne prend pas fin ici. La liberté d</w:t>
      </w:r>
      <w:r>
        <w:rPr>
          <w:rFonts w:cs="Times New Roman"/>
        </w:rPr>
        <w:t>’</w:t>
      </w:r>
      <w:r w:rsidRPr="00985CB4">
        <w:rPr>
          <w:rFonts w:cs="Times New Roman"/>
        </w:rPr>
        <w:t>expression n</w:t>
      </w:r>
      <w:r>
        <w:rPr>
          <w:rFonts w:cs="Times New Roman"/>
        </w:rPr>
        <w:t>’</w:t>
      </w:r>
      <w:r w:rsidRPr="00985CB4">
        <w:rPr>
          <w:rFonts w:cs="Times New Roman"/>
        </w:rPr>
        <w:t>est pas absolue. En raison de l</w:t>
      </w:r>
      <w:r>
        <w:rPr>
          <w:rFonts w:cs="Times New Roman"/>
        </w:rPr>
        <w:t>’art. </w:t>
      </w:r>
      <w:r w:rsidRPr="00985CB4">
        <w:rPr>
          <w:rFonts w:cs="Times New Roman"/>
        </w:rPr>
        <w:t xml:space="preserve">9.1 de la </w:t>
      </w:r>
      <w:r w:rsidRPr="00985CB4">
        <w:rPr>
          <w:rFonts w:cs="Times New Roman"/>
          <w:i/>
        </w:rPr>
        <w:t>Charte</w:t>
      </w:r>
      <w:r w:rsidRPr="00985CB4">
        <w:rPr>
          <w:rFonts w:cs="Times New Roman"/>
        </w:rPr>
        <w:t xml:space="preserve"> québécoise, ce droit, tout comme le droit prévu à l</w:t>
      </w:r>
      <w:r>
        <w:rPr>
          <w:rFonts w:cs="Times New Roman"/>
        </w:rPr>
        <w:t>’art. </w:t>
      </w:r>
      <w:r w:rsidRPr="00985CB4">
        <w:rPr>
          <w:rFonts w:cs="Times New Roman"/>
        </w:rPr>
        <w:t>4 qui sous</w:t>
      </w:r>
      <w:r>
        <w:rPr>
          <w:rFonts w:cs="Times New Roman"/>
        </w:rPr>
        <w:noBreakHyphen/>
      </w:r>
      <w:r w:rsidRPr="00985CB4">
        <w:rPr>
          <w:rFonts w:cs="Times New Roman"/>
        </w:rPr>
        <w:t>tend la demande de M. Gabriel fondée sur l</w:t>
      </w:r>
      <w:r>
        <w:rPr>
          <w:rFonts w:cs="Times New Roman"/>
        </w:rPr>
        <w:t>’art. </w:t>
      </w:r>
      <w:r w:rsidRPr="00985CB4">
        <w:rPr>
          <w:rFonts w:cs="Times New Roman"/>
        </w:rPr>
        <w:t>10, ne peut pas être exercé de manière démesurément préjudiciable ou abusive (</w:t>
      </w:r>
      <w:r w:rsidRPr="00985CB4">
        <w:rPr>
          <w:rFonts w:cs="Times New Roman"/>
          <w:szCs w:val="24"/>
        </w:rPr>
        <w:t>Jean</w:t>
      </w:r>
      <w:r>
        <w:rPr>
          <w:rFonts w:cs="Times New Roman"/>
          <w:szCs w:val="24"/>
        </w:rPr>
        <w:noBreakHyphen/>
      </w:r>
      <w:r w:rsidRPr="00985CB4">
        <w:rPr>
          <w:rFonts w:cs="Times New Roman"/>
          <w:szCs w:val="24"/>
        </w:rPr>
        <w:t>François Gaudreault</w:t>
      </w:r>
      <w:r>
        <w:rPr>
          <w:rFonts w:cs="Times New Roman"/>
          <w:szCs w:val="24"/>
        </w:rPr>
        <w:noBreakHyphen/>
      </w:r>
      <w:r w:rsidRPr="00985CB4">
        <w:rPr>
          <w:rFonts w:cs="Times New Roman"/>
          <w:szCs w:val="24"/>
        </w:rPr>
        <w:t>DesBiens et Charles</w:t>
      </w:r>
      <w:r>
        <w:rPr>
          <w:rFonts w:cs="Times New Roman"/>
          <w:szCs w:val="24"/>
        </w:rPr>
        <w:noBreakHyphen/>
      </w:r>
      <w:r w:rsidRPr="00985CB4">
        <w:rPr>
          <w:rFonts w:cs="Times New Roman"/>
          <w:szCs w:val="24"/>
        </w:rPr>
        <w:t xml:space="preserve">Maxime Panaccio, « The asymmetrical distinctness of the </w:t>
      </w:r>
      <w:r w:rsidRPr="00985CB4">
        <w:rPr>
          <w:rFonts w:cs="Times New Roman"/>
          <w:i/>
          <w:szCs w:val="24"/>
        </w:rPr>
        <w:t>Charter of Human Rights and Freedoms</w:t>
      </w:r>
      <w:r w:rsidRPr="00985CB4">
        <w:rPr>
          <w:rFonts w:cs="Times New Roman"/>
          <w:szCs w:val="24"/>
        </w:rPr>
        <w:t xml:space="preserve"> in the post</w:t>
      </w:r>
      <w:r>
        <w:rPr>
          <w:rFonts w:cs="Times New Roman"/>
          <w:szCs w:val="24"/>
        </w:rPr>
        <w:noBreakHyphen/>
      </w:r>
      <w:r w:rsidRPr="00985CB4">
        <w:rPr>
          <w:rFonts w:cs="Times New Roman"/>
          <w:i/>
          <w:szCs w:val="24"/>
        </w:rPr>
        <w:t>Chaoulli</w:t>
      </w:r>
      <w:r w:rsidRPr="00985CB4">
        <w:rPr>
          <w:rFonts w:cs="Times New Roman"/>
          <w:szCs w:val="24"/>
        </w:rPr>
        <w:t xml:space="preserve"> era », dans </w:t>
      </w:r>
      <w:r w:rsidRPr="00985CB4">
        <w:rPr>
          <w:rFonts w:cs="Times New Roman"/>
          <w:i/>
          <w:iCs/>
          <w:szCs w:val="24"/>
        </w:rPr>
        <w:t xml:space="preserve">La </w:t>
      </w:r>
      <w:r w:rsidRPr="00985CB4">
        <w:rPr>
          <w:rStyle w:val="reflex2-link"/>
          <w:rFonts w:cs="Times New Roman"/>
          <w:i/>
          <w:iCs/>
          <w:szCs w:val="24"/>
        </w:rPr>
        <w:t>Charte québécoise</w:t>
      </w:r>
      <w:r>
        <w:rPr>
          <w:rStyle w:val="reflex2-link"/>
          <w:rFonts w:cs="Times New Roman"/>
          <w:i/>
          <w:iCs/>
          <w:szCs w:val="24"/>
        </w:rPr>
        <w:t> :</w:t>
      </w:r>
      <w:r w:rsidRPr="00985CB4">
        <w:rPr>
          <w:rFonts w:cs="Times New Roman"/>
          <w:i/>
          <w:iCs/>
          <w:szCs w:val="24"/>
        </w:rPr>
        <w:t xml:space="preserve"> origines, enjeux et perspectives</w:t>
      </w:r>
      <w:r w:rsidRPr="00985CB4">
        <w:rPr>
          <w:rFonts w:cs="Times New Roman"/>
          <w:szCs w:val="24"/>
        </w:rPr>
        <w:t>, [2006]</w:t>
      </w:r>
      <w:r w:rsidRPr="00985CB4">
        <w:rPr>
          <w:rFonts w:cs="Times New Roman"/>
          <w:i/>
          <w:iCs/>
          <w:szCs w:val="24"/>
        </w:rPr>
        <w:t xml:space="preserve"> R. du B.</w:t>
      </w:r>
      <w:r w:rsidRPr="00985CB4">
        <w:rPr>
          <w:rFonts w:cs="Times New Roman"/>
          <w:szCs w:val="24"/>
        </w:rPr>
        <w:t xml:space="preserve"> (numéro thématique) 217, </w:t>
      </w:r>
      <w:r>
        <w:rPr>
          <w:rFonts w:cs="Times New Roman"/>
          <w:szCs w:val="24"/>
        </w:rPr>
        <w:t>p. </w:t>
      </w:r>
      <w:r w:rsidRPr="00985CB4">
        <w:rPr>
          <w:rFonts w:cs="Times New Roman"/>
          <w:szCs w:val="24"/>
        </w:rPr>
        <w:t xml:space="preserve">244; voir aussi </w:t>
      </w:r>
      <w:r w:rsidRPr="00985CB4">
        <w:rPr>
          <w:rFonts w:cs="Times New Roman"/>
          <w:i/>
          <w:szCs w:val="24"/>
        </w:rPr>
        <w:t>Calego</w:t>
      </w:r>
      <w:r w:rsidRPr="00985CB4">
        <w:rPr>
          <w:rFonts w:cs="Times New Roman"/>
          <w:szCs w:val="24"/>
        </w:rPr>
        <w:t xml:space="preserve">). Mettre en équilibre de façon proportionnelle les droits garantis aux gens par la </w:t>
      </w:r>
      <w:r w:rsidRPr="00985CB4">
        <w:rPr>
          <w:rFonts w:cs="Times New Roman"/>
          <w:i/>
        </w:rPr>
        <w:t xml:space="preserve">Charte </w:t>
      </w:r>
      <w:r w:rsidRPr="00985CB4">
        <w:rPr>
          <w:rFonts w:cs="Times New Roman"/>
        </w:rPr>
        <w:t>québécoise implique la prise en compte des droits particuliers en cause, des valeurs qui les sous</w:t>
      </w:r>
      <w:r>
        <w:rPr>
          <w:rFonts w:cs="Times New Roman"/>
        </w:rPr>
        <w:noBreakHyphen/>
      </w:r>
      <w:r w:rsidRPr="00985CB4">
        <w:rPr>
          <w:rFonts w:cs="Times New Roman"/>
        </w:rPr>
        <w:t>tendent et des circonstances de l</w:t>
      </w:r>
      <w:r>
        <w:rPr>
          <w:rFonts w:cs="Times New Roman"/>
        </w:rPr>
        <w:t>’</w:t>
      </w:r>
      <w:r w:rsidRPr="00985CB4">
        <w:rPr>
          <w:rFonts w:cs="Times New Roman"/>
        </w:rPr>
        <w:t>espèce (</w:t>
      </w:r>
      <w:r w:rsidRPr="00985CB4">
        <w:rPr>
          <w:rFonts w:cs="Times New Roman"/>
          <w:i/>
        </w:rPr>
        <w:t>Bruker c. Marcovitz</w:t>
      </w:r>
      <w:r w:rsidRPr="00985CB4">
        <w:rPr>
          <w:rFonts w:cs="Times New Roman"/>
        </w:rPr>
        <w:t xml:space="preserve">, [2007] 3 R.C.S. 607, </w:t>
      </w:r>
      <w:r>
        <w:rPr>
          <w:rFonts w:cs="Times New Roman"/>
        </w:rPr>
        <w:t>par. </w:t>
      </w:r>
      <w:r w:rsidRPr="00985CB4">
        <w:rPr>
          <w:rFonts w:cs="Times New Roman"/>
        </w:rPr>
        <w:t>76</w:t>
      </w:r>
      <w:r>
        <w:rPr>
          <w:rFonts w:cs="Times New Roman"/>
        </w:rPr>
        <w:noBreakHyphen/>
      </w:r>
      <w:r w:rsidRPr="00985CB4">
        <w:rPr>
          <w:rFonts w:cs="Times New Roman"/>
        </w:rPr>
        <w:t xml:space="preserve">78, mentionnant </w:t>
      </w:r>
      <w:r w:rsidRPr="00985CB4">
        <w:rPr>
          <w:rFonts w:cs="Times New Roman"/>
          <w:i/>
        </w:rPr>
        <w:t>Syndicat Northcrest c. Amselem</w:t>
      </w:r>
      <w:r w:rsidRPr="00985CB4">
        <w:rPr>
          <w:rFonts w:cs="Times New Roman"/>
        </w:rPr>
        <w:t xml:space="preserve">, [2004] 2 R.C.S. 551, </w:t>
      </w:r>
      <w:r>
        <w:rPr>
          <w:rFonts w:cs="Times New Roman"/>
        </w:rPr>
        <w:t>par. </w:t>
      </w:r>
      <w:r w:rsidRPr="00985CB4">
        <w:rPr>
          <w:rFonts w:cs="Times New Roman"/>
        </w:rPr>
        <w:t xml:space="preserve">154, le juge Bastarache, dissident; </w:t>
      </w:r>
      <w:r w:rsidRPr="00985CB4">
        <w:rPr>
          <w:rFonts w:cs="Times New Roman"/>
          <w:i/>
        </w:rPr>
        <w:t>Aubry c. Éditions Vice</w:t>
      </w:r>
      <w:r>
        <w:rPr>
          <w:rFonts w:cs="Times New Roman"/>
          <w:i/>
        </w:rPr>
        <w:noBreakHyphen/>
      </w:r>
      <w:r w:rsidRPr="00985CB4">
        <w:rPr>
          <w:rFonts w:cs="Times New Roman"/>
          <w:i/>
        </w:rPr>
        <w:t>Versa inc.</w:t>
      </w:r>
      <w:r w:rsidRPr="00985CB4">
        <w:rPr>
          <w:rFonts w:cs="Times New Roman"/>
        </w:rPr>
        <w:t xml:space="preserve">, [1998] 1 R.C.S. 591, </w:t>
      </w:r>
      <w:r>
        <w:rPr>
          <w:rFonts w:cs="Times New Roman"/>
        </w:rPr>
        <w:t>par. </w:t>
      </w:r>
      <w:r w:rsidRPr="00985CB4">
        <w:rPr>
          <w:rFonts w:cs="Times New Roman"/>
        </w:rPr>
        <w:t>56</w:t>
      </w:r>
      <w:r>
        <w:rPr>
          <w:rFonts w:cs="Times New Roman"/>
        </w:rPr>
        <w:noBreakHyphen/>
      </w:r>
      <w:r w:rsidRPr="00985CB4">
        <w:rPr>
          <w:rFonts w:cs="Times New Roman"/>
        </w:rPr>
        <w:t>65; voir aussi Jena McGill, « “Now it</w:t>
      </w:r>
      <w:r>
        <w:rPr>
          <w:rFonts w:cs="Times New Roman"/>
        </w:rPr>
        <w:t>’</w:t>
      </w:r>
      <w:r w:rsidRPr="00985CB4">
        <w:rPr>
          <w:rFonts w:cs="Times New Roman"/>
        </w:rPr>
        <w:t>s My Right Versus Yours”</w:t>
      </w:r>
      <w:r>
        <w:rPr>
          <w:rFonts w:cs="Times New Roman"/>
        </w:rPr>
        <w:t> :</w:t>
      </w:r>
      <w:r w:rsidRPr="00985CB4">
        <w:rPr>
          <w:rFonts w:cs="Times New Roman"/>
        </w:rPr>
        <w:t xml:space="preserve"> Equality in Tension with Religious Freedoms » (2016), 53 </w:t>
      </w:r>
      <w:r w:rsidRPr="00985CB4">
        <w:rPr>
          <w:rFonts w:cs="Times New Roman"/>
          <w:i/>
        </w:rPr>
        <w:t xml:space="preserve">Alta. </w:t>
      </w:r>
      <w:r w:rsidRPr="009F7CBC">
        <w:rPr>
          <w:rFonts w:cs="Times New Roman"/>
          <w:i/>
        </w:rPr>
        <w:t xml:space="preserve">L. Rev. </w:t>
      </w:r>
      <w:r w:rsidRPr="009F7CBC">
        <w:rPr>
          <w:rFonts w:cs="Times New Roman"/>
        </w:rPr>
        <w:t>583, p. 588</w:t>
      </w:r>
      <w:r w:rsidRPr="009F7CBC">
        <w:rPr>
          <w:rFonts w:cs="Times New Roman"/>
        </w:rPr>
        <w:noBreakHyphen/>
        <w:t xml:space="preserve">590; Errol P. Mendes, « Reaching Equilibrium between Conflicting Rights », dans Shaheen Azmi, Lorne Foster et Lesley Jacobs, dir., </w:t>
      </w:r>
      <w:r w:rsidRPr="009F7CBC">
        <w:rPr>
          <w:rFonts w:cs="Times New Roman"/>
          <w:i/>
        </w:rPr>
        <w:t xml:space="preserve">Balancing Competing Human Rights Claims in a Diverse Society : Institutions, Policy, Principles </w:t>
      </w:r>
      <w:r w:rsidRPr="009F7CBC">
        <w:rPr>
          <w:rFonts w:cs="Times New Roman"/>
        </w:rPr>
        <w:t>(2012), 241, p. 242</w:t>
      </w:r>
      <w:r w:rsidRPr="009F7CBC">
        <w:rPr>
          <w:rFonts w:cs="Times New Roman"/>
        </w:rPr>
        <w:noBreakHyphen/>
        <w:t>243).</w:t>
      </w:r>
    </w:p>
    <w:p w14:paraId="749887D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En faveur de M. Gabriel, il y a la gravité des conséquences personnelles qu</w:t>
      </w:r>
      <w:r>
        <w:rPr>
          <w:rFonts w:cs="Times New Roman"/>
        </w:rPr>
        <w:t>’</w:t>
      </w:r>
      <w:r w:rsidRPr="00985CB4">
        <w:rPr>
          <w:rFonts w:cs="Times New Roman"/>
        </w:rPr>
        <w:t>une personne raisonnable dans sa situation aurait subies par suite des propos de M. Ward, et le fait que notre Cour a constamment reconnu que certaines formes de propos discriminatoires peuvent causer de graves préjudices individuels et sociétaux justifiant d</w:t>
      </w:r>
      <w:r>
        <w:rPr>
          <w:rFonts w:cs="Times New Roman"/>
        </w:rPr>
        <w:t>’</w:t>
      </w:r>
      <w:r w:rsidRPr="00985CB4">
        <w:rPr>
          <w:rFonts w:cs="Times New Roman"/>
        </w:rPr>
        <w:t>imposer des limites à la liberté d</w:t>
      </w:r>
      <w:r>
        <w:rPr>
          <w:rFonts w:cs="Times New Roman"/>
        </w:rPr>
        <w:t>’</w:t>
      </w:r>
      <w:r w:rsidRPr="00985CB4">
        <w:rPr>
          <w:rFonts w:cs="Times New Roman"/>
        </w:rPr>
        <w:t xml:space="preserve">expression. Dans </w:t>
      </w:r>
      <w:r w:rsidRPr="00985CB4">
        <w:rPr>
          <w:rFonts w:cs="Times New Roman"/>
          <w:i/>
        </w:rPr>
        <w:t>R. c. Keegstra</w:t>
      </w:r>
      <w:r w:rsidRPr="00985CB4">
        <w:rPr>
          <w:rFonts w:cs="Times New Roman"/>
        </w:rPr>
        <w:t>, [1990] 3 R.C.S. 697, notre Cour a reconnu que « le préjudice émotionnel occasionné par des paroles peut avoir de graves conséquences psychologiques et sociales » (</w:t>
      </w:r>
      <w:r>
        <w:rPr>
          <w:rFonts w:cs="Times New Roman"/>
        </w:rPr>
        <w:t>p. </w:t>
      </w:r>
      <w:r w:rsidRPr="00985CB4">
        <w:rPr>
          <w:rFonts w:cs="Times New Roman"/>
        </w:rPr>
        <w:t>746). Dans le même ordre d</w:t>
      </w:r>
      <w:r>
        <w:rPr>
          <w:rFonts w:cs="Times New Roman"/>
        </w:rPr>
        <w:t>’</w:t>
      </w:r>
      <w:r w:rsidRPr="00985CB4">
        <w:rPr>
          <w:rFonts w:cs="Times New Roman"/>
        </w:rPr>
        <w:t>idées, dans l</w:t>
      </w:r>
      <w:r>
        <w:rPr>
          <w:rFonts w:cs="Times New Roman"/>
        </w:rPr>
        <w:t>’</w:t>
      </w:r>
      <w:r w:rsidRPr="00985CB4">
        <w:rPr>
          <w:rFonts w:cs="Times New Roman"/>
        </w:rPr>
        <w:t xml:space="preserve">arrêt </w:t>
      </w:r>
      <w:r w:rsidRPr="00985CB4">
        <w:rPr>
          <w:rFonts w:cs="Times New Roman"/>
          <w:i/>
        </w:rPr>
        <w:t>R. c. Lucas</w:t>
      </w:r>
      <w:r w:rsidRPr="00985CB4">
        <w:rPr>
          <w:rFonts w:cs="Times New Roman"/>
        </w:rPr>
        <w:t>, [1998] 1 R.C.S. 439, la Cour a conclu que l</w:t>
      </w:r>
      <w:r>
        <w:rPr>
          <w:rFonts w:cs="Times New Roman"/>
        </w:rPr>
        <w:t>’</w:t>
      </w:r>
      <w:r w:rsidRPr="00985CB4">
        <w:rPr>
          <w:rFonts w:cs="Times New Roman"/>
        </w:rPr>
        <w:t>interdiction du libelle diffamatoire en droit criminel reconnaissait « à la fois la dignité innée de la personne et le rapport intégral qui existe entre la réputation d</w:t>
      </w:r>
      <w:r>
        <w:rPr>
          <w:rFonts w:cs="Times New Roman"/>
        </w:rPr>
        <w:t>’</w:t>
      </w:r>
      <w:r w:rsidRPr="00985CB4">
        <w:rPr>
          <w:rFonts w:cs="Times New Roman"/>
        </w:rPr>
        <w:t>une personne et sa participation utile à la société canadienne » (</w:t>
      </w:r>
      <w:r>
        <w:rPr>
          <w:rFonts w:cs="Times New Roman"/>
        </w:rPr>
        <w:t>par. </w:t>
      </w:r>
      <w:r w:rsidRPr="00985CB4">
        <w:rPr>
          <w:rFonts w:cs="Times New Roman"/>
        </w:rPr>
        <w:t>48). La validité des dispositions contestées a été confirmée, malgré le fait qu</w:t>
      </w:r>
      <w:r>
        <w:rPr>
          <w:rFonts w:cs="Times New Roman"/>
        </w:rPr>
        <w:t>’</w:t>
      </w:r>
      <w:r w:rsidRPr="00985CB4">
        <w:rPr>
          <w:rFonts w:cs="Times New Roman"/>
        </w:rPr>
        <w:t>elles limitaient la liberté d</w:t>
      </w:r>
      <w:r>
        <w:rPr>
          <w:rFonts w:cs="Times New Roman"/>
        </w:rPr>
        <w:t>’</w:t>
      </w:r>
      <w:r w:rsidRPr="00985CB4">
        <w:rPr>
          <w:rFonts w:cs="Times New Roman"/>
        </w:rPr>
        <w:t xml:space="preserve">expression, le juge Cory expliquant que « [l]a magnifique panoplie de droits garantis par la </w:t>
      </w:r>
      <w:r w:rsidRPr="00985CB4">
        <w:rPr>
          <w:rFonts w:cs="Times New Roman"/>
          <w:i/>
          <w:iCs/>
        </w:rPr>
        <w:t xml:space="preserve">Charte </w:t>
      </w:r>
      <w:r w:rsidRPr="00985CB4">
        <w:rPr>
          <w:rFonts w:cs="Times New Roman"/>
        </w:rPr>
        <w:t>serait banalisée et dépréciée si l</w:t>
      </w:r>
      <w:r>
        <w:rPr>
          <w:rFonts w:cs="Times New Roman"/>
        </w:rPr>
        <w:t>’</w:t>
      </w:r>
      <w:r w:rsidRPr="00985CB4">
        <w:rPr>
          <w:rFonts w:cs="Times New Roman"/>
        </w:rPr>
        <w:t>on accordait une valeur significative à la propagation délibérée de mensonges diffamatoires susceptibles d</w:t>
      </w:r>
      <w:r>
        <w:rPr>
          <w:rFonts w:cs="Times New Roman"/>
        </w:rPr>
        <w:t>’</w:t>
      </w:r>
      <w:r w:rsidRPr="00985CB4">
        <w:rPr>
          <w:rFonts w:cs="Times New Roman"/>
        </w:rPr>
        <w:t>exposer une personne à la haine, au ridicule ou au mépris » (</w:t>
      </w:r>
      <w:r>
        <w:rPr>
          <w:rFonts w:cs="Times New Roman"/>
        </w:rPr>
        <w:t>par. </w:t>
      </w:r>
      <w:r w:rsidRPr="00985CB4">
        <w:rPr>
          <w:rFonts w:cs="Times New Roman"/>
        </w:rPr>
        <w:t>93).</w:t>
      </w:r>
    </w:p>
    <w:p w14:paraId="1AA06A7F"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La liberté d</w:t>
      </w:r>
      <w:r>
        <w:rPr>
          <w:rFonts w:cs="Times New Roman"/>
        </w:rPr>
        <w:t>’</w:t>
      </w:r>
      <w:r w:rsidRPr="00985CB4">
        <w:rPr>
          <w:rFonts w:cs="Times New Roman"/>
        </w:rPr>
        <w:t>expression a également été restreinte afin de sauvegarder la réputation, un droit qui, avec la dignité et l</w:t>
      </w:r>
      <w:r>
        <w:rPr>
          <w:rFonts w:cs="Times New Roman"/>
        </w:rPr>
        <w:t>’</w:t>
      </w:r>
      <w:r w:rsidRPr="00985CB4">
        <w:rPr>
          <w:rFonts w:cs="Times New Roman"/>
        </w:rPr>
        <w:t>honneur, est consacré par l</w:t>
      </w:r>
      <w:r>
        <w:rPr>
          <w:rFonts w:cs="Times New Roman"/>
        </w:rPr>
        <w:t>’art. </w:t>
      </w:r>
      <w:r w:rsidRPr="00985CB4">
        <w:rPr>
          <w:rFonts w:cs="Times New Roman"/>
        </w:rPr>
        <w:t xml:space="preserve">4 de la </w:t>
      </w:r>
      <w:r w:rsidRPr="00985CB4">
        <w:rPr>
          <w:rFonts w:cs="Times New Roman"/>
          <w:i/>
        </w:rPr>
        <w:t>Charte</w:t>
      </w:r>
      <w:r w:rsidRPr="00985CB4">
        <w:rPr>
          <w:rFonts w:cs="Times New Roman"/>
        </w:rPr>
        <w:t xml:space="preserve"> québécoise (</w:t>
      </w:r>
      <w:r w:rsidRPr="00985CB4">
        <w:rPr>
          <w:rFonts w:cs="Times New Roman"/>
          <w:i/>
        </w:rPr>
        <w:t>Gilles E. Néron Communication Marketing inc. c. Chambre des notaires du Québec</w:t>
      </w:r>
      <w:r w:rsidRPr="00985CB4">
        <w:rPr>
          <w:rFonts w:cs="Times New Roman"/>
        </w:rPr>
        <w:t xml:space="preserve">, [2004] 3 R.C.S. 95, </w:t>
      </w:r>
      <w:r>
        <w:rPr>
          <w:rFonts w:cs="Times New Roman"/>
        </w:rPr>
        <w:t>par. </w:t>
      </w:r>
      <w:r w:rsidRPr="00985CB4">
        <w:rPr>
          <w:rFonts w:cs="Times New Roman"/>
        </w:rPr>
        <w:t xml:space="preserve">52; </w:t>
      </w:r>
      <w:r w:rsidRPr="00985CB4">
        <w:rPr>
          <w:rFonts w:cs="Times New Roman"/>
          <w:i/>
        </w:rPr>
        <w:t>Prud</w:t>
      </w:r>
      <w:r>
        <w:rPr>
          <w:rFonts w:cs="Times New Roman"/>
          <w:i/>
        </w:rPr>
        <w:t>’</w:t>
      </w:r>
      <w:r w:rsidRPr="00985CB4">
        <w:rPr>
          <w:rFonts w:cs="Times New Roman"/>
          <w:i/>
        </w:rPr>
        <w:t>homme c. Prud</w:t>
      </w:r>
      <w:r>
        <w:rPr>
          <w:rFonts w:cs="Times New Roman"/>
          <w:i/>
        </w:rPr>
        <w:t>’</w:t>
      </w:r>
      <w:r w:rsidRPr="00985CB4">
        <w:rPr>
          <w:rFonts w:cs="Times New Roman"/>
          <w:i/>
        </w:rPr>
        <w:t>homme</w:t>
      </w:r>
      <w:r w:rsidRPr="00985CB4">
        <w:rPr>
          <w:rFonts w:cs="Times New Roman"/>
        </w:rPr>
        <w:t xml:space="preserve">, [2002] 4 R.C.S. 663, </w:t>
      </w:r>
      <w:r>
        <w:rPr>
          <w:rFonts w:cs="Times New Roman"/>
        </w:rPr>
        <w:t>par. </w:t>
      </w:r>
      <w:r w:rsidRPr="00985CB4">
        <w:rPr>
          <w:rFonts w:cs="Times New Roman"/>
        </w:rPr>
        <w:t xml:space="preserve">43; </w:t>
      </w:r>
      <w:r w:rsidRPr="00985CB4">
        <w:rPr>
          <w:rFonts w:cs="Times New Roman"/>
          <w:i/>
        </w:rPr>
        <w:t>Bou Malhab</w:t>
      </w:r>
      <w:r w:rsidRPr="00985CB4">
        <w:rPr>
          <w:rFonts w:cs="Times New Roman"/>
        </w:rPr>
        <w:t xml:space="preserve">, </w:t>
      </w:r>
      <w:r>
        <w:rPr>
          <w:rFonts w:cs="Times New Roman"/>
        </w:rPr>
        <w:t>par. </w:t>
      </w:r>
      <w:r w:rsidRPr="00985CB4">
        <w:rPr>
          <w:rFonts w:cs="Times New Roman"/>
        </w:rPr>
        <w:t>17).</w:t>
      </w:r>
    </w:p>
    <w:p w14:paraId="17225BE3"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Un enfant dans la situation de Jérémy Gabriel aurait subi un préjudice considérable par suite des propos de M. Ward. En raison des blagues de ce dernier et de la diffusion sur Internet de ses propos et numéros, M. Gabriel s</w:t>
      </w:r>
      <w:r>
        <w:rPr>
          <w:rFonts w:cs="Times New Roman"/>
        </w:rPr>
        <w:t>’</w:t>
      </w:r>
      <w:r w:rsidRPr="00985CB4">
        <w:rPr>
          <w:rFonts w:cs="Times New Roman"/>
        </w:rPr>
        <w:t>est senti « perdu, fragile et isolé »</w:t>
      </w:r>
      <w:r>
        <w:rPr>
          <w:rFonts w:cs="Times New Roman"/>
        </w:rPr>
        <w:t xml:space="preserve"> (motifs du T</w:t>
      </w:r>
      <w:r w:rsidRPr="00985CB4">
        <w:rPr>
          <w:rFonts w:cs="Times New Roman"/>
        </w:rPr>
        <w:t xml:space="preserve">ribunal, </w:t>
      </w:r>
      <w:r>
        <w:rPr>
          <w:rFonts w:cs="Times New Roman"/>
        </w:rPr>
        <w:t>par. </w:t>
      </w:r>
      <w:r w:rsidRPr="00985CB4">
        <w:rPr>
          <w:rFonts w:cs="Times New Roman"/>
        </w:rPr>
        <w:t>27), il s</w:t>
      </w:r>
      <w:r>
        <w:rPr>
          <w:rFonts w:cs="Times New Roman"/>
        </w:rPr>
        <w:t>’</w:t>
      </w:r>
      <w:r w:rsidRPr="00985CB4">
        <w:rPr>
          <w:rFonts w:cs="Times New Roman"/>
        </w:rPr>
        <w:t>est mis à avoir des idées suicidaires et il a demandé l</w:t>
      </w:r>
      <w:r>
        <w:rPr>
          <w:rFonts w:cs="Times New Roman"/>
        </w:rPr>
        <w:t>’</w:t>
      </w:r>
      <w:r w:rsidRPr="00985CB4">
        <w:rPr>
          <w:rFonts w:cs="Times New Roman"/>
        </w:rPr>
        <w:t>aide d</w:t>
      </w:r>
      <w:r>
        <w:rPr>
          <w:rFonts w:cs="Times New Roman"/>
        </w:rPr>
        <w:t>’</w:t>
      </w:r>
      <w:r w:rsidRPr="00985CB4">
        <w:rPr>
          <w:rFonts w:cs="Times New Roman"/>
        </w:rPr>
        <w:t>un psychologue. Pendant deux ans, il a perdu sa passion pour le chant et même son désir d</w:t>
      </w:r>
      <w:r>
        <w:rPr>
          <w:rFonts w:cs="Times New Roman"/>
        </w:rPr>
        <w:t>’</w:t>
      </w:r>
      <w:r w:rsidRPr="00985CB4">
        <w:rPr>
          <w:rFonts w:cs="Times New Roman"/>
        </w:rPr>
        <w:t>« exister » (</w:t>
      </w:r>
      <w:r w:rsidRPr="00985CB4">
        <w:rPr>
          <w:rFonts w:cs="Times New Roman"/>
          <w:i/>
        </w:rPr>
        <w:t>ibid.</w:t>
      </w:r>
      <w:r w:rsidRPr="00985CB4">
        <w:rPr>
          <w:rFonts w:cs="Times New Roman"/>
        </w:rPr>
        <w:t xml:space="preserve">, </w:t>
      </w:r>
      <w:r>
        <w:rPr>
          <w:rFonts w:cs="Times New Roman"/>
        </w:rPr>
        <w:t>par. </w:t>
      </w:r>
      <w:r w:rsidRPr="00985CB4">
        <w:rPr>
          <w:rFonts w:cs="Times New Roman"/>
        </w:rPr>
        <w:t>25). Dans son témoignage, M. Gabriel a affirmé qu</w:t>
      </w:r>
      <w:r>
        <w:rPr>
          <w:rFonts w:cs="Times New Roman"/>
        </w:rPr>
        <w:t>’</w:t>
      </w:r>
      <w:r w:rsidRPr="00985CB4">
        <w:rPr>
          <w:rFonts w:cs="Times New Roman"/>
        </w:rPr>
        <w:t>il était « humilié » et qu</w:t>
      </w:r>
      <w:r>
        <w:rPr>
          <w:rFonts w:cs="Times New Roman"/>
        </w:rPr>
        <w:t>’</w:t>
      </w:r>
      <w:r w:rsidRPr="00985CB4">
        <w:rPr>
          <w:rFonts w:cs="Times New Roman"/>
        </w:rPr>
        <w:t>il se sentait « diminué » (</w:t>
      </w:r>
      <w:r w:rsidRPr="00985CB4">
        <w:rPr>
          <w:rFonts w:cs="Times New Roman"/>
          <w:i/>
        </w:rPr>
        <w:t>ibid.</w:t>
      </w:r>
      <w:r w:rsidRPr="00985CB4">
        <w:rPr>
          <w:rFonts w:cs="Times New Roman"/>
        </w:rPr>
        <w:t xml:space="preserve">, </w:t>
      </w:r>
      <w:r>
        <w:rPr>
          <w:rFonts w:cs="Times New Roman"/>
        </w:rPr>
        <w:t>par. </w:t>
      </w:r>
      <w:r w:rsidRPr="00985CB4">
        <w:rPr>
          <w:rFonts w:cs="Times New Roman"/>
        </w:rPr>
        <w:t>102). En particulier, il a affirmé que les blagues de M. Ward dans lesquelles celui</w:t>
      </w:r>
      <w:r>
        <w:rPr>
          <w:rFonts w:cs="Times New Roman"/>
        </w:rPr>
        <w:noBreakHyphen/>
      </w:r>
      <w:r w:rsidRPr="00985CB4">
        <w:rPr>
          <w:rFonts w:cs="Times New Roman"/>
        </w:rPr>
        <w:t>ci parlait de le noyer lui ont fait croire que sa « vie, parce qu[</w:t>
      </w:r>
      <w:r>
        <w:rPr>
          <w:rFonts w:cs="Times New Roman"/>
        </w:rPr>
        <w:t>’</w:t>
      </w:r>
      <w:r w:rsidRPr="00985CB4">
        <w:rPr>
          <w:rFonts w:cs="Times New Roman"/>
        </w:rPr>
        <w:t>il est] handicapé, [. . .] valait moins » (</w:t>
      </w:r>
      <w:r w:rsidRPr="00985CB4">
        <w:rPr>
          <w:rFonts w:cs="Times New Roman"/>
          <w:i/>
        </w:rPr>
        <w:t>ibid.</w:t>
      </w:r>
      <w:r w:rsidRPr="00985CB4">
        <w:rPr>
          <w:rFonts w:cs="Times New Roman"/>
        </w:rPr>
        <w:t xml:space="preserve">, </w:t>
      </w:r>
      <w:r>
        <w:rPr>
          <w:rFonts w:cs="Times New Roman"/>
        </w:rPr>
        <w:t>par. </w:t>
      </w:r>
      <w:r w:rsidRPr="00985CB4">
        <w:rPr>
          <w:rFonts w:cs="Times New Roman"/>
        </w:rPr>
        <w:t>25). Fait à noter, les camarades de classe de M. Gabriel ont répété de nombreuses blagues tirées du spectacle d</w:t>
      </w:r>
      <w:r>
        <w:rPr>
          <w:rFonts w:cs="Times New Roman"/>
        </w:rPr>
        <w:t>’</w:t>
      </w:r>
      <w:r w:rsidRPr="00985CB4">
        <w:rPr>
          <w:rFonts w:cs="Times New Roman"/>
        </w:rPr>
        <w:t>humour et des capsules vidéo de M. Ward reproduits sur Internet. Monsieur Gabriel a expliqué que les blagues l</w:t>
      </w:r>
      <w:r>
        <w:rPr>
          <w:rFonts w:cs="Times New Roman"/>
        </w:rPr>
        <w:t>’</w:t>
      </w:r>
      <w:r w:rsidRPr="00985CB4">
        <w:rPr>
          <w:rFonts w:cs="Times New Roman"/>
        </w:rPr>
        <w:t>ont suivi pendant au moins deux ans, causant un préjudice très grave à son estime de soi.</w:t>
      </w:r>
    </w:p>
    <w:p w14:paraId="1C2BCD7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Ces types d</w:t>
      </w:r>
      <w:r>
        <w:rPr>
          <w:rFonts w:cs="Times New Roman"/>
        </w:rPr>
        <w:t>’</w:t>
      </w:r>
      <w:r w:rsidRPr="00985CB4">
        <w:rPr>
          <w:rFonts w:cs="Times New Roman"/>
        </w:rPr>
        <w:t>atteintes au droit à la dignité de quelqu</w:t>
      </w:r>
      <w:r>
        <w:rPr>
          <w:rFonts w:cs="Times New Roman"/>
        </w:rPr>
        <w:t>’</w:t>
      </w:r>
      <w:r w:rsidRPr="00985CB4">
        <w:rPr>
          <w:rFonts w:cs="Times New Roman"/>
        </w:rPr>
        <w:t>un rappellent celles causées par l</w:t>
      </w:r>
      <w:r>
        <w:rPr>
          <w:rFonts w:cs="Times New Roman"/>
        </w:rPr>
        <w:t>’</w:t>
      </w:r>
      <w:r w:rsidRPr="00985CB4">
        <w:rPr>
          <w:rFonts w:cs="Times New Roman"/>
        </w:rPr>
        <w:t>intimidation, un problème qui touche démesurément les personnes jeunes et vulnérables et auquel les lois de diverses provinces et la jurisprudence de notre Cour se sont attaqué</w:t>
      </w:r>
      <w:r>
        <w:rPr>
          <w:rFonts w:cs="Times New Roman"/>
        </w:rPr>
        <w:t>es</w:t>
      </w:r>
      <w:r w:rsidRPr="00985CB4">
        <w:rPr>
          <w:rFonts w:cs="Times New Roman"/>
        </w:rPr>
        <w:t xml:space="preserve"> (Jane Bailey, « “Sexualized Online Bullying” Through an Equality Lens</w:t>
      </w:r>
      <w:r>
        <w:rPr>
          <w:rFonts w:cs="Times New Roman"/>
        </w:rPr>
        <w:t> :</w:t>
      </w:r>
      <w:r w:rsidRPr="00985CB4">
        <w:rPr>
          <w:rFonts w:cs="Times New Roman"/>
        </w:rPr>
        <w:t xml:space="preserve"> Missed Opportunity in </w:t>
      </w:r>
      <w:r w:rsidRPr="00985CB4">
        <w:rPr>
          <w:rFonts w:cs="Times New Roman"/>
          <w:i/>
        </w:rPr>
        <w:t>AB v. Bragg</w:t>
      </w:r>
      <w:r w:rsidRPr="00985CB4">
        <w:rPr>
          <w:rFonts w:cs="Times New Roman"/>
        </w:rPr>
        <w:t xml:space="preserve">? » (2014), 59 </w:t>
      </w:r>
      <w:r w:rsidRPr="00985CB4">
        <w:rPr>
          <w:rFonts w:cs="Times New Roman"/>
          <w:i/>
        </w:rPr>
        <w:t>R.D. McGill</w:t>
      </w:r>
      <w:r w:rsidRPr="00985CB4">
        <w:rPr>
          <w:rFonts w:cs="Times New Roman"/>
        </w:rPr>
        <w:t xml:space="preserve"> 709, </w:t>
      </w:r>
      <w:r>
        <w:rPr>
          <w:rFonts w:cs="Times New Roman"/>
        </w:rPr>
        <w:t>p. </w:t>
      </w:r>
      <w:r w:rsidRPr="00985CB4">
        <w:rPr>
          <w:rFonts w:cs="Times New Roman"/>
        </w:rPr>
        <w:t>725</w:t>
      </w:r>
      <w:r>
        <w:rPr>
          <w:rFonts w:cs="Times New Roman"/>
        </w:rPr>
        <w:noBreakHyphen/>
      </w:r>
      <w:r w:rsidRPr="00985CB4">
        <w:rPr>
          <w:rFonts w:cs="Times New Roman"/>
        </w:rPr>
        <w:t xml:space="preserve">726; Donn Short, </w:t>
      </w:r>
      <w:r w:rsidRPr="00985CB4">
        <w:rPr>
          <w:rFonts w:cs="Times New Roman"/>
          <w:i/>
        </w:rPr>
        <w:t>« Don</w:t>
      </w:r>
      <w:r>
        <w:rPr>
          <w:rFonts w:cs="Times New Roman"/>
          <w:i/>
        </w:rPr>
        <w:t>’</w:t>
      </w:r>
      <w:r w:rsidRPr="00985CB4">
        <w:rPr>
          <w:rFonts w:cs="Times New Roman"/>
          <w:i/>
        </w:rPr>
        <w:t>t Be So Gay! »</w:t>
      </w:r>
      <w:r>
        <w:rPr>
          <w:rFonts w:cs="Times New Roman"/>
          <w:i/>
        </w:rPr>
        <w:t> :</w:t>
      </w:r>
      <w:r w:rsidRPr="00985CB4">
        <w:rPr>
          <w:rFonts w:cs="Times New Roman"/>
          <w:i/>
        </w:rPr>
        <w:t xml:space="preserve"> Queers, Bullying, and Making Schools Safe </w:t>
      </w:r>
      <w:r w:rsidRPr="00985CB4">
        <w:rPr>
          <w:rFonts w:cs="Times New Roman"/>
        </w:rPr>
        <w:t xml:space="preserve">(2013); </w:t>
      </w:r>
      <w:r w:rsidRPr="00985CB4">
        <w:rPr>
          <w:rFonts w:cs="Times New Roman"/>
          <w:i/>
        </w:rPr>
        <w:t>Loi visant à prévenir et à combattre l</w:t>
      </w:r>
      <w:r>
        <w:rPr>
          <w:rFonts w:cs="Times New Roman"/>
          <w:i/>
        </w:rPr>
        <w:t>’</w:t>
      </w:r>
      <w:r w:rsidRPr="00985CB4">
        <w:rPr>
          <w:rFonts w:cs="Times New Roman"/>
          <w:i/>
        </w:rPr>
        <w:t>intimidation et la violence à l</w:t>
      </w:r>
      <w:r>
        <w:rPr>
          <w:rFonts w:cs="Times New Roman"/>
          <w:i/>
        </w:rPr>
        <w:t>’</w:t>
      </w:r>
      <w:r w:rsidRPr="00985CB4">
        <w:rPr>
          <w:rFonts w:cs="Times New Roman"/>
          <w:i/>
        </w:rPr>
        <w:t>école</w:t>
      </w:r>
      <w:r w:rsidRPr="00985CB4">
        <w:rPr>
          <w:rFonts w:cs="Times New Roman"/>
        </w:rPr>
        <w:t xml:space="preserve">, L.Q. 2012, c. 19 (« projet de loi 56 »); </w:t>
      </w:r>
      <w:r w:rsidRPr="00985CB4">
        <w:rPr>
          <w:rFonts w:cs="Times New Roman"/>
          <w:i/>
        </w:rPr>
        <w:t>Loi modifiant la Loi sur les écoles publiques (obligation de faire rapport des cas d</w:t>
      </w:r>
      <w:r>
        <w:rPr>
          <w:rFonts w:cs="Times New Roman"/>
          <w:i/>
        </w:rPr>
        <w:t>’</w:t>
      </w:r>
      <w:r w:rsidRPr="00985CB4">
        <w:rPr>
          <w:rFonts w:cs="Times New Roman"/>
          <w:i/>
        </w:rPr>
        <w:t>intimidation et des préjudices subis)</w:t>
      </w:r>
      <w:r w:rsidRPr="00985CB4">
        <w:rPr>
          <w:rFonts w:cs="Times New Roman"/>
        </w:rPr>
        <w:t xml:space="preserve">, L.M. 2011, c. 18; </w:t>
      </w:r>
      <w:r w:rsidRPr="00985CB4">
        <w:rPr>
          <w:rFonts w:cs="Times New Roman"/>
          <w:i/>
        </w:rPr>
        <w:t>Loi de 2012 pour des écoles tolérantes</w:t>
      </w:r>
      <w:r w:rsidRPr="00985CB4">
        <w:rPr>
          <w:rFonts w:cs="Times New Roman"/>
        </w:rPr>
        <w:t xml:space="preserve">, L.O. 2012, c. 5; </w:t>
      </w:r>
      <w:r w:rsidRPr="00985CB4">
        <w:rPr>
          <w:rFonts w:cs="Times New Roman"/>
          <w:i/>
        </w:rPr>
        <w:t>An Act to Amend the Alberta Bill of Rights to Protect Our Children</w:t>
      </w:r>
      <w:r w:rsidRPr="00985CB4">
        <w:rPr>
          <w:rFonts w:cs="Times New Roman"/>
        </w:rPr>
        <w:t xml:space="preserve">, S.A. 2015, c. 1; </w:t>
      </w:r>
      <w:r w:rsidRPr="00985CB4">
        <w:rPr>
          <w:rFonts w:cs="Times New Roman"/>
          <w:i/>
        </w:rPr>
        <w:t>Loi modifiant la Loi sur l</w:t>
      </w:r>
      <w:r>
        <w:rPr>
          <w:rFonts w:cs="Times New Roman"/>
          <w:i/>
        </w:rPr>
        <w:t>’</w:t>
      </w:r>
      <w:r w:rsidRPr="00985CB4">
        <w:rPr>
          <w:rFonts w:cs="Times New Roman"/>
          <w:i/>
        </w:rPr>
        <w:t>éducation</w:t>
      </w:r>
      <w:r w:rsidRPr="00985CB4">
        <w:rPr>
          <w:rFonts w:cs="Times New Roman"/>
        </w:rPr>
        <w:t>, L.N.</w:t>
      </w:r>
      <w:r>
        <w:rPr>
          <w:rFonts w:cs="Times New Roman"/>
        </w:rPr>
        <w:noBreakHyphen/>
      </w:r>
      <w:r w:rsidRPr="00985CB4">
        <w:rPr>
          <w:rFonts w:cs="Times New Roman"/>
        </w:rPr>
        <w:t xml:space="preserve">B. 2012, c. 21; voir aussi </w:t>
      </w:r>
      <w:r w:rsidRPr="00985CB4">
        <w:rPr>
          <w:rFonts w:cs="Times New Roman"/>
          <w:i/>
        </w:rPr>
        <w:t>Intimate Images and Cyber</w:t>
      </w:r>
      <w:r>
        <w:rPr>
          <w:rFonts w:cs="Times New Roman"/>
          <w:i/>
        </w:rPr>
        <w:noBreakHyphen/>
      </w:r>
      <w:r w:rsidRPr="00985CB4">
        <w:rPr>
          <w:rFonts w:cs="Times New Roman"/>
          <w:i/>
        </w:rPr>
        <w:t>protection Act</w:t>
      </w:r>
      <w:r w:rsidRPr="00985CB4">
        <w:rPr>
          <w:rFonts w:cs="Times New Roman"/>
        </w:rPr>
        <w:t>, S.N.S. 2017, c. 7). Il est reconnu que l</w:t>
      </w:r>
      <w:r>
        <w:rPr>
          <w:rFonts w:cs="Times New Roman"/>
        </w:rPr>
        <w:t>’</w:t>
      </w:r>
      <w:r w:rsidRPr="00985CB4">
        <w:rPr>
          <w:rFonts w:cs="Times New Roman"/>
        </w:rPr>
        <w:t>intimidation et l</w:t>
      </w:r>
      <w:r>
        <w:rPr>
          <w:rFonts w:cs="Times New Roman"/>
        </w:rPr>
        <w:t>’</w:t>
      </w:r>
      <w:r w:rsidRPr="00985CB4">
        <w:rPr>
          <w:rFonts w:cs="Times New Roman"/>
        </w:rPr>
        <w:t xml:space="preserve">exclusion ont des conséquences négatives profondes sur les enfants handicapés en particulier (Commission canadienne des droits de la personne, </w:t>
      </w:r>
      <w:r w:rsidRPr="00985CB4">
        <w:rPr>
          <w:rFonts w:cs="Times New Roman"/>
          <w:i/>
        </w:rPr>
        <w:t>Négligés</w:t>
      </w:r>
      <w:r>
        <w:rPr>
          <w:rFonts w:cs="Times New Roman"/>
          <w:i/>
        </w:rPr>
        <w:t> :</w:t>
      </w:r>
      <w:r w:rsidRPr="00985CB4">
        <w:rPr>
          <w:rFonts w:cs="Times New Roman"/>
          <w:i/>
        </w:rPr>
        <w:t xml:space="preserve"> difficultés vécues par les personnes handicapées dans les établissements d</w:t>
      </w:r>
      <w:r>
        <w:rPr>
          <w:rFonts w:cs="Times New Roman"/>
          <w:i/>
        </w:rPr>
        <w:t>’</w:t>
      </w:r>
      <w:r w:rsidRPr="00985CB4">
        <w:rPr>
          <w:rFonts w:cs="Times New Roman"/>
          <w:i/>
        </w:rPr>
        <w:t>enseignement du Canada</w:t>
      </w:r>
      <w:r w:rsidRPr="00985CB4">
        <w:rPr>
          <w:rFonts w:cs="Times New Roman"/>
        </w:rPr>
        <w:t xml:space="preserve"> (2017),</w:t>
      </w:r>
      <w:r w:rsidRPr="00985CB4">
        <w:rPr>
          <w:rFonts w:cs="Times New Roman"/>
          <w:i/>
        </w:rPr>
        <w:t xml:space="preserve"> </w:t>
      </w:r>
      <w:r>
        <w:rPr>
          <w:rFonts w:cs="Times New Roman"/>
        </w:rPr>
        <w:t>p. </w:t>
      </w:r>
      <w:r w:rsidRPr="00985CB4">
        <w:rPr>
          <w:rFonts w:cs="Times New Roman"/>
        </w:rPr>
        <w:t>8</w:t>
      </w:r>
      <w:r>
        <w:rPr>
          <w:rFonts w:cs="Times New Roman"/>
        </w:rPr>
        <w:noBreakHyphen/>
      </w:r>
      <w:r w:rsidRPr="00985CB4">
        <w:rPr>
          <w:rFonts w:cs="Times New Roman"/>
        </w:rPr>
        <w:t xml:space="preserve">9). </w:t>
      </w:r>
    </w:p>
    <w:p w14:paraId="5775F1F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Dans l</w:t>
      </w:r>
      <w:r>
        <w:rPr>
          <w:rFonts w:cs="Times New Roman"/>
        </w:rPr>
        <w:t>’</w:t>
      </w:r>
      <w:r w:rsidRPr="00985CB4">
        <w:rPr>
          <w:rFonts w:cs="Times New Roman"/>
        </w:rPr>
        <w:t xml:space="preserve">arrêt </w:t>
      </w:r>
      <w:r w:rsidRPr="00985CB4">
        <w:rPr>
          <w:rFonts w:cs="Times New Roman"/>
          <w:i/>
        </w:rPr>
        <w:t>Bragg</w:t>
      </w:r>
      <w:r w:rsidRPr="00985CB4">
        <w:rPr>
          <w:rFonts w:cs="Times New Roman"/>
        </w:rPr>
        <w:t>, notre Cour a examiné la validité d</w:t>
      </w:r>
      <w:r>
        <w:rPr>
          <w:rFonts w:cs="Times New Roman"/>
        </w:rPr>
        <w:t>’</w:t>
      </w:r>
      <w:r w:rsidRPr="00985CB4">
        <w:rPr>
          <w:rFonts w:cs="Times New Roman"/>
        </w:rPr>
        <w:t>une interdiction de publication dans une affaire concernant une adolescente qui voulait découvrir l</w:t>
      </w:r>
      <w:r>
        <w:rPr>
          <w:rFonts w:cs="Times New Roman"/>
        </w:rPr>
        <w:t>’</w:t>
      </w:r>
      <w:r w:rsidRPr="00985CB4">
        <w:rPr>
          <w:rFonts w:cs="Times New Roman"/>
        </w:rPr>
        <w:t>identité de la personne qui avait publié des photos d</w:t>
      </w:r>
      <w:r>
        <w:rPr>
          <w:rFonts w:cs="Times New Roman"/>
        </w:rPr>
        <w:t>’</w:t>
      </w:r>
      <w:r w:rsidRPr="00985CB4">
        <w:rPr>
          <w:rFonts w:cs="Times New Roman"/>
        </w:rPr>
        <w:t>elle et des propos sexuellement explicites « désobligeants » à son sujet en ligne (</w:t>
      </w:r>
      <w:r>
        <w:rPr>
          <w:rFonts w:cs="Times New Roman"/>
        </w:rPr>
        <w:t>par. </w:t>
      </w:r>
      <w:r w:rsidRPr="00985CB4">
        <w:rPr>
          <w:rFonts w:cs="Times New Roman"/>
        </w:rPr>
        <w:t>1). La Cour a élaboré une définition de l</w:t>
      </w:r>
      <w:r>
        <w:rPr>
          <w:rFonts w:cs="Times New Roman"/>
        </w:rPr>
        <w:t>’</w:t>
      </w:r>
      <w:r w:rsidRPr="00985CB4">
        <w:rPr>
          <w:rFonts w:cs="Times New Roman"/>
        </w:rPr>
        <w:t>intimidation et a jugé que, en raison du risque que pose celle</w:t>
      </w:r>
      <w:r>
        <w:rPr>
          <w:rFonts w:cs="Times New Roman"/>
        </w:rPr>
        <w:noBreakHyphen/>
      </w:r>
      <w:r w:rsidRPr="00985CB4">
        <w:rPr>
          <w:rFonts w:cs="Times New Roman"/>
        </w:rPr>
        <w:t>ci à l</w:t>
      </w:r>
      <w:r>
        <w:rPr>
          <w:rFonts w:cs="Times New Roman"/>
        </w:rPr>
        <w:t>’</w:t>
      </w:r>
      <w:r w:rsidRPr="00985CB4">
        <w:rPr>
          <w:rFonts w:cs="Times New Roman"/>
        </w:rPr>
        <w:t>égard du bien</w:t>
      </w:r>
      <w:r>
        <w:rPr>
          <w:rFonts w:cs="Times New Roman"/>
        </w:rPr>
        <w:noBreakHyphen/>
      </w:r>
      <w:r w:rsidRPr="00985CB4">
        <w:rPr>
          <w:rFonts w:cs="Times New Roman"/>
        </w:rPr>
        <w:t>être psychologique des jeunes, la prévention de ce comportement pouvait justifier des restrictions à la liberté de presse. La définition de l</w:t>
      </w:r>
      <w:r>
        <w:rPr>
          <w:rFonts w:cs="Times New Roman"/>
        </w:rPr>
        <w:t>’</w:t>
      </w:r>
      <w:r w:rsidRPr="00985CB4">
        <w:rPr>
          <w:rFonts w:cs="Times New Roman"/>
        </w:rPr>
        <w:t>intimidation était tirée du rapport de la Commission d</w:t>
      </w:r>
      <w:r>
        <w:rPr>
          <w:rFonts w:cs="Times New Roman"/>
        </w:rPr>
        <w:t>’</w:t>
      </w:r>
      <w:r w:rsidRPr="00985CB4">
        <w:rPr>
          <w:rFonts w:cs="Times New Roman"/>
        </w:rPr>
        <w:t>étude sur l</w:t>
      </w:r>
      <w:r>
        <w:rPr>
          <w:rFonts w:cs="Times New Roman"/>
        </w:rPr>
        <w:t>’</w:t>
      </w:r>
      <w:r w:rsidRPr="00985CB4">
        <w:rPr>
          <w:rFonts w:cs="Times New Roman"/>
        </w:rPr>
        <w:t>intimidation et la cyberintimidation de la Nouvelle</w:t>
      </w:r>
      <w:r>
        <w:rPr>
          <w:rFonts w:cs="Times New Roman"/>
        </w:rPr>
        <w:noBreakHyphen/>
      </w:r>
      <w:r w:rsidRPr="00985CB4">
        <w:rPr>
          <w:rFonts w:cs="Times New Roman"/>
        </w:rPr>
        <w:t>Écosse présidée par le professeur A. Wayne MacKay</w:t>
      </w:r>
      <w:r>
        <w:rPr>
          <w:rFonts w:cs="Times New Roman"/>
        </w:rPr>
        <w:t> :</w:t>
      </w:r>
    </w:p>
    <w:p w14:paraId="62D0A995" w14:textId="77777777" w:rsidR="00116CBE" w:rsidRPr="00985CB4" w:rsidRDefault="00116CBE" w:rsidP="00116CBE">
      <w:pPr>
        <w:pStyle w:val="Citation-AltC"/>
        <w:spacing w:after="240"/>
        <w:ind w:left="1168" w:hanging="1168"/>
        <w:contextualSpacing w:val="0"/>
      </w:pPr>
      <w:r>
        <w:tab/>
      </w:r>
      <w:r>
        <w:tab/>
      </w:r>
      <w:r w:rsidRPr="00985CB4">
        <w:t>. . . comportement répété qui a pour intention de causer — ou dont on devrait savoir qu</w:t>
      </w:r>
      <w:r>
        <w:t>’</w:t>
      </w:r>
      <w:r w:rsidRPr="00985CB4">
        <w:t>il va causer — un sentiment de peur, d</w:t>
      </w:r>
      <w:r>
        <w:t>’</w:t>
      </w:r>
      <w:r w:rsidRPr="00985CB4">
        <w:t>humiliation, de détresse ou d</w:t>
      </w:r>
      <w:r>
        <w:t>’</w:t>
      </w:r>
      <w:r w:rsidRPr="00985CB4">
        <w:t>autres formes de préjudices à une autre personne en ce qui a trait à sa condition physique, ses sentiments, son estime de soi, sa réputation ou ses biens. L</w:t>
      </w:r>
      <w:r>
        <w:t>’</w:t>
      </w:r>
      <w:r w:rsidRPr="00985CB4">
        <w:t>intimidation peut être directe ou indirecte et peut se dérouler sous forme écrite, orale, physique ou électronique ou par tout autre moyen d</w:t>
      </w:r>
      <w:r>
        <w:t>’</w:t>
      </w:r>
      <w:r w:rsidRPr="00985CB4">
        <w:t>expression.</w:t>
      </w:r>
    </w:p>
    <w:p w14:paraId="7A06A7F2" w14:textId="77777777" w:rsidR="00116CBE" w:rsidRPr="00985CB4" w:rsidRDefault="00116CBE" w:rsidP="00116CBE">
      <w:pPr>
        <w:pStyle w:val="Citation-AltC"/>
        <w:ind w:hanging="1166"/>
      </w:pPr>
      <w:r>
        <w:tab/>
      </w:r>
      <w:r w:rsidRPr="00985CB4">
        <w:t>(</w:t>
      </w:r>
      <w:r w:rsidRPr="00985CB4">
        <w:rPr>
          <w:i/>
          <w:iCs/>
        </w:rPr>
        <w:t>Respect et responsabilité dans les relations</w:t>
      </w:r>
      <w:r>
        <w:rPr>
          <w:i/>
          <w:iCs/>
        </w:rPr>
        <w:t> :</w:t>
      </w:r>
      <w:r w:rsidRPr="00985CB4">
        <w:rPr>
          <w:i/>
          <w:iCs/>
        </w:rPr>
        <w:t xml:space="preserve"> il n</w:t>
      </w:r>
      <w:r>
        <w:rPr>
          <w:i/>
          <w:iCs/>
        </w:rPr>
        <w:t>’</w:t>
      </w:r>
      <w:r w:rsidRPr="00985CB4">
        <w:rPr>
          <w:i/>
          <w:iCs/>
        </w:rPr>
        <w:t>y a pas d</w:t>
      </w:r>
      <w:r>
        <w:rPr>
          <w:i/>
          <w:iCs/>
        </w:rPr>
        <w:t>’</w:t>
      </w:r>
      <w:r w:rsidRPr="00985CB4">
        <w:rPr>
          <w:i/>
          <w:iCs/>
        </w:rPr>
        <w:t>app pour ça</w:t>
      </w:r>
      <w:r>
        <w:rPr>
          <w:i/>
          <w:iCs/>
        </w:rPr>
        <w:t> :</w:t>
      </w:r>
      <w:r w:rsidRPr="00985CB4">
        <w:rPr>
          <w:i/>
          <w:iCs/>
        </w:rPr>
        <w:t xml:space="preserve"> Rapport de la Commission d</w:t>
      </w:r>
      <w:r>
        <w:rPr>
          <w:i/>
          <w:iCs/>
        </w:rPr>
        <w:t>’</w:t>
      </w:r>
      <w:r w:rsidRPr="00985CB4">
        <w:rPr>
          <w:i/>
          <w:iCs/>
        </w:rPr>
        <w:t>étude sur l</w:t>
      </w:r>
      <w:r>
        <w:rPr>
          <w:i/>
          <w:iCs/>
        </w:rPr>
        <w:t>’</w:t>
      </w:r>
      <w:r w:rsidRPr="00985CB4">
        <w:rPr>
          <w:i/>
          <w:iCs/>
        </w:rPr>
        <w:t xml:space="preserve">intimidation et la cyberintimidation de la Nouvelle‑Écosse </w:t>
      </w:r>
      <w:r w:rsidRPr="00985CB4">
        <w:rPr>
          <w:iCs/>
        </w:rPr>
        <w:t>(2012),</w:t>
      </w:r>
      <w:r w:rsidRPr="00985CB4">
        <w:t xml:space="preserve"> </w:t>
      </w:r>
      <w:r>
        <w:t>p. </w:t>
      </w:r>
      <w:r w:rsidRPr="00985CB4">
        <w:t>46)</w:t>
      </w:r>
    </w:p>
    <w:p w14:paraId="6C65E18D" w14:textId="77777777" w:rsidR="00116CBE" w:rsidRPr="00985CB4" w:rsidRDefault="00116CBE" w:rsidP="00116CBE">
      <w:pPr>
        <w:pStyle w:val="ContinueParaSuitedupar-AltP"/>
        <w:rPr>
          <w:rFonts w:cs="Times New Roman"/>
        </w:rPr>
      </w:pPr>
      <w:r w:rsidRPr="00985CB4">
        <w:rPr>
          <w:rFonts w:cs="Times New Roman"/>
        </w:rPr>
        <w:t>Nous notons qu</w:t>
      </w:r>
      <w:r>
        <w:rPr>
          <w:rFonts w:cs="Times New Roman"/>
        </w:rPr>
        <w:t>’</w:t>
      </w:r>
      <w:r w:rsidRPr="00985CB4">
        <w:rPr>
          <w:rFonts w:cs="Times New Roman"/>
        </w:rPr>
        <w:t xml:space="preserve">une définition similaire a été incorporée au droit québécois par le projet de loi 56, qui a modifié la </w:t>
      </w:r>
      <w:r w:rsidRPr="00985CB4">
        <w:rPr>
          <w:rFonts w:cs="Times New Roman"/>
          <w:i/>
        </w:rPr>
        <w:t>Loi sur l</w:t>
      </w:r>
      <w:r>
        <w:rPr>
          <w:rFonts w:cs="Times New Roman"/>
          <w:i/>
        </w:rPr>
        <w:t>’</w:t>
      </w:r>
      <w:r w:rsidRPr="00985CB4">
        <w:rPr>
          <w:rFonts w:cs="Times New Roman"/>
          <w:i/>
        </w:rPr>
        <w:t>instruction publique</w:t>
      </w:r>
      <w:r w:rsidRPr="00985CB4">
        <w:rPr>
          <w:rFonts w:cs="Times New Roman"/>
        </w:rPr>
        <w:t>, L.R.Q., c. I</w:t>
      </w:r>
      <w:r>
        <w:rPr>
          <w:rFonts w:cs="Times New Roman"/>
        </w:rPr>
        <w:noBreakHyphen/>
      </w:r>
      <w:r w:rsidRPr="00985CB4">
        <w:rPr>
          <w:rFonts w:cs="Times New Roman"/>
        </w:rPr>
        <w:t>13.3,</w:t>
      </w:r>
      <w:r w:rsidRPr="00985CB4">
        <w:rPr>
          <w:rFonts w:cs="Times New Roman"/>
          <w:i/>
        </w:rPr>
        <w:t xml:space="preserve"> </w:t>
      </w:r>
      <w:r>
        <w:rPr>
          <w:rFonts w:cs="Times New Roman"/>
        </w:rPr>
        <w:t>art. </w:t>
      </w:r>
      <w:r w:rsidRPr="00985CB4">
        <w:rPr>
          <w:rFonts w:cs="Times New Roman"/>
        </w:rPr>
        <w:t>13, et défini l</w:t>
      </w:r>
      <w:r>
        <w:rPr>
          <w:rFonts w:cs="Times New Roman"/>
        </w:rPr>
        <w:t>’</w:t>
      </w:r>
      <w:r w:rsidRPr="00985CB4">
        <w:rPr>
          <w:rFonts w:cs="Times New Roman"/>
        </w:rPr>
        <w:t>intimidation comme étant « tout comportement, parole, acte ou geste délibéré ou non à caractère répétitif, exprimé directement ou indirectement, y compris dans le cyberespace, dans un contexte caractérisé par l</w:t>
      </w:r>
      <w:r>
        <w:rPr>
          <w:rFonts w:cs="Times New Roman"/>
        </w:rPr>
        <w:t>’</w:t>
      </w:r>
      <w:r w:rsidRPr="00985CB4">
        <w:rPr>
          <w:rFonts w:cs="Times New Roman"/>
        </w:rPr>
        <w:t>inégalité des rapports de force entre les personnes concernées, ayant pour effet d</w:t>
      </w:r>
      <w:r>
        <w:rPr>
          <w:rFonts w:cs="Times New Roman"/>
        </w:rPr>
        <w:t>’</w:t>
      </w:r>
      <w:r w:rsidRPr="00985CB4">
        <w:rPr>
          <w:rFonts w:cs="Times New Roman"/>
        </w:rPr>
        <w:t xml:space="preserve">engendrer des sentiments de détresse et de léser, blesser, opprimer ou ostraciser » (projet de loi 56, </w:t>
      </w:r>
      <w:r>
        <w:rPr>
          <w:rFonts w:cs="Times New Roman"/>
        </w:rPr>
        <w:t>art. </w:t>
      </w:r>
      <w:r w:rsidRPr="00985CB4">
        <w:rPr>
          <w:rFonts w:cs="Times New Roman"/>
        </w:rPr>
        <w:t>2). Dans l</w:t>
      </w:r>
      <w:r>
        <w:rPr>
          <w:rFonts w:cs="Times New Roman"/>
        </w:rPr>
        <w:t>’</w:t>
      </w:r>
      <w:r w:rsidRPr="00985CB4">
        <w:rPr>
          <w:rFonts w:cs="Times New Roman"/>
        </w:rPr>
        <w:t xml:space="preserve">arrêt </w:t>
      </w:r>
      <w:r w:rsidRPr="00985CB4">
        <w:rPr>
          <w:rFonts w:cs="Times New Roman"/>
          <w:i/>
        </w:rPr>
        <w:t>Bragg</w:t>
      </w:r>
      <w:r w:rsidRPr="00985CB4">
        <w:rPr>
          <w:rFonts w:cs="Times New Roman"/>
          <w:iCs/>
        </w:rPr>
        <w:t>, notre Cour a ensuite indiqué que les conséquences préjudiciables de l</w:t>
      </w:r>
      <w:r>
        <w:rPr>
          <w:rFonts w:cs="Times New Roman"/>
          <w:iCs/>
        </w:rPr>
        <w:t>’</w:t>
      </w:r>
      <w:r w:rsidRPr="00985CB4">
        <w:rPr>
          <w:rFonts w:cs="Times New Roman"/>
          <w:iCs/>
        </w:rPr>
        <w:t xml:space="preserve">intimidation sont </w:t>
      </w:r>
      <w:r w:rsidRPr="00985CB4">
        <w:rPr>
          <w:rFonts w:cs="Times New Roman"/>
        </w:rPr>
        <w:t>« “profondes” et comprennent la perte d</w:t>
      </w:r>
      <w:r>
        <w:rPr>
          <w:rFonts w:cs="Times New Roman"/>
        </w:rPr>
        <w:t>’</w:t>
      </w:r>
      <w:r w:rsidRPr="00985CB4">
        <w:rPr>
          <w:rFonts w:cs="Times New Roman"/>
        </w:rPr>
        <w:t>estime de soi, l</w:t>
      </w:r>
      <w:r>
        <w:rPr>
          <w:rFonts w:cs="Times New Roman"/>
        </w:rPr>
        <w:t>’</w:t>
      </w:r>
      <w:r w:rsidRPr="00985CB4">
        <w:rPr>
          <w:rFonts w:cs="Times New Roman"/>
        </w:rPr>
        <w:t>anxiété, la peur et l</w:t>
      </w:r>
      <w:r>
        <w:rPr>
          <w:rFonts w:cs="Times New Roman"/>
        </w:rPr>
        <w:t>’</w:t>
      </w:r>
      <w:r w:rsidRPr="00985CB4">
        <w:rPr>
          <w:rFonts w:cs="Times New Roman"/>
        </w:rPr>
        <w:t>abandon des études » (</w:t>
      </w:r>
      <w:r>
        <w:rPr>
          <w:rFonts w:cs="Times New Roman"/>
        </w:rPr>
        <w:t>par. </w:t>
      </w:r>
      <w:r w:rsidRPr="00985CB4">
        <w:rPr>
          <w:rFonts w:cs="Times New Roman"/>
        </w:rPr>
        <w:t>21, citant Commission d</w:t>
      </w:r>
      <w:r>
        <w:rPr>
          <w:rFonts w:cs="Times New Roman"/>
        </w:rPr>
        <w:t>’</w:t>
      </w:r>
      <w:r w:rsidRPr="00985CB4">
        <w:rPr>
          <w:rFonts w:cs="Times New Roman"/>
        </w:rPr>
        <w:t>étude sur l</w:t>
      </w:r>
      <w:r>
        <w:rPr>
          <w:rFonts w:cs="Times New Roman"/>
        </w:rPr>
        <w:t>’</w:t>
      </w:r>
      <w:r w:rsidRPr="00985CB4">
        <w:rPr>
          <w:rFonts w:cs="Times New Roman"/>
        </w:rPr>
        <w:t xml:space="preserve">intimidation et la cyberintimidation, </w:t>
      </w:r>
      <w:r>
        <w:rPr>
          <w:rFonts w:cs="Times New Roman"/>
        </w:rPr>
        <w:t>p. </w:t>
      </w:r>
      <w:r w:rsidRPr="00985CB4">
        <w:rPr>
          <w:rFonts w:cs="Times New Roman"/>
        </w:rPr>
        <w:t>4) et a expliqué que ces préjudices pouvaient être amplifiés par l</w:t>
      </w:r>
      <w:r>
        <w:rPr>
          <w:rFonts w:cs="Times New Roman"/>
        </w:rPr>
        <w:t>’</w:t>
      </w:r>
      <w:r w:rsidRPr="00985CB4">
        <w:rPr>
          <w:rFonts w:cs="Times New Roman"/>
        </w:rPr>
        <w:t>Internet, qui permet la diffusion du contenu « sur une grande échelle, très rapidement et dans l</w:t>
      </w:r>
      <w:r>
        <w:rPr>
          <w:rFonts w:cs="Times New Roman"/>
        </w:rPr>
        <w:t>’</w:t>
      </w:r>
      <w:r w:rsidRPr="00985CB4">
        <w:rPr>
          <w:rFonts w:cs="Times New Roman"/>
        </w:rPr>
        <w:t>anonymat » (</w:t>
      </w:r>
      <w:r>
        <w:rPr>
          <w:rFonts w:cs="Times New Roman"/>
        </w:rPr>
        <w:t>par. </w:t>
      </w:r>
      <w:r w:rsidRPr="00985CB4">
        <w:rPr>
          <w:rFonts w:cs="Times New Roman"/>
        </w:rPr>
        <w:t>22). Parmi les autres préjudices identifiés par la Cour, mentionnons les taux plus élevés de tentatives de suicide chez les jeunes victimes d</w:t>
      </w:r>
      <w:r>
        <w:rPr>
          <w:rFonts w:cs="Times New Roman"/>
        </w:rPr>
        <w:t>’</w:t>
      </w:r>
      <w:r w:rsidRPr="00985CB4">
        <w:rPr>
          <w:rFonts w:cs="Times New Roman"/>
        </w:rPr>
        <w:t>intimidation (</w:t>
      </w:r>
      <w:r>
        <w:rPr>
          <w:rFonts w:cs="Times New Roman"/>
        </w:rPr>
        <w:t>par. </w:t>
      </w:r>
      <w:r w:rsidRPr="00985CB4">
        <w:rPr>
          <w:rFonts w:cs="Times New Roman"/>
        </w:rPr>
        <w:t>21). La Cour a conclu que les dangers de l</w:t>
      </w:r>
      <w:r>
        <w:rPr>
          <w:rFonts w:cs="Times New Roman"/>
        </w:rPr>
        <w:t>’</w:t>
      </w:r>
      <w:r w:rsidRPr="00985CB4">
        <w:rPr>
          <w:rFonts w:cs="Times New Roman"/>
        </w:rPr>
        <w:t>intimidation étaient tellement graves et bien documentés qu</w:t>
      </w:r>
      <w:r>
        <w:rPr>
          <w:rFonts w:cs="Times New Roman"/>
        </w:rPr>
        <w:t>’</w:t>
      </w:r>
      <w:r w:rsidRPr="00985CB4">
        <w:rPr>
          <w:rFonts w:cs="Times New Roman"/>
        </w:rPr>
        <w:t>elle pouvait inférer que l</w:t>
      </w:r>
      <w:r>
        <w:rPr>
          <w:rFonts w:cs="Times New Roman"/>
        </w:rPr>
        <w:t>’</w:t>
      </w:r>
      <w:r w:rsidRPr="00985CB4">
        <w:rPr>
          <w:rFonts w:cs="Times New Roman"/>
        </w:rPr>
        <w:t>intimidation causait un « préjudice objectif » (</w:t>
      </w:r>
      <w:r>
        <w:rPr>
          <w:rFonts w:cs="Times New Roman"/>
        </w:rPr>
        <w:t>par. </w:t>
      </w:r>
      <w:r w:rsidRPr="00985CB4">
        <w:rPr>
          <w:rFonts w:cs="Times New Roman"/>
        </w:rPr>
        <w:t>16).</w:t>
      </w:r>
    </w:p>
    <w:p w14:paraId="1B8ADB21"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Dans une entrevue accordée en 2012, M. Ward lui</w:t>
      </w:r>
      <w:r>
        <w:rPr>
          <w:rFonts w:cs="Times New Roman"/>
        </w:rPr>
        <w:noBreakHyphen/>
      </w:r>
      <w:r w:rsidRPr="00985CB4">
        <w:rPr>
          <w:rFonts w:cs="Times New Roman"/>
        </w:rPr>
        <w:t>même a admis que ses propos constituaient de l</w:t>
      </w:r>
      <w:r>
        <w:rPr>
          <w:rFonts w:cs="Times New Roman"/>
        </w:rPr>
        <w:t>’</w:t>
      </w:r>
      <w:r w:rsidRPr="00985CB4">
        <w:rPr>
          <w:rFonts w:cs="Times New Roman"/>
        </w:rPr>
        <w:t>intimidation. Comme nous l</w:t>
      </w:r>
      <w:r>
        <w:rPr>
          <w:rFonts w:cs="Times New Roman"/>
        </w:rPr>
        <w:t>’</w:t>
      </w:r>
      <w:r w:rsidRPr="00985CB4">
        <w:rPr>
          <w:rFonts w:cs="Times New Roman"/>
        </w:rPr>
        <w:t>avons expliqué, en raison du contenu des numéros de M. Ward, de leur large diffusion et de la vulnérabilité de Jérémy Gabriel en tant qu</w:t>
      </w:r>
      <w:r>
        <w:rPr>
          <w:rFonts w:cs="Times New Roman"/>
        </w:rPr>
        <w:t>’</w:t>
      </w:r>
      <w:r w:rsidRPr="00985CB4">
        <w:rPr>
          <w:rFonts w:cs="Times New Roman"/>
        </w:rPr>
        <w:t>enfant handicapé, il était très probable que les propos de M. Ward causeraient « un sentiment de peur, d</w:t>
      </w:r>
      <w:r>
        <w:rPr>
          <w:rFonts w:cs="Times New Roman"/>
        </w:rPr>
        <w:t>’</w:t>
      </w:r>
      <w:r w:rsidRPr="00985CB4">
        <w:rPr>
          <w:rFonts w:cs="Times New Roman"/>
        </w:rPr>
        <w:t>humiliation [ou] de détresse ». Le numéro d</w:t>
      </w:r>
      <w:r>
        <w:rPr>
          <w:rFonts w:cs="Times New Roman"/>
        </w:rPr>
        <w:t>’</w:t>
      </w:r>
      <w:r w:rsidRPr="00985CB4">
        <w:rPr>
          <w:rFonts w:cs="Times New Roman"/>
        </w:rPr>
        <w:t>humour de M. Ward a effectivement causé de tels préjudices. En raison de la vaste diffusion des propos, ces préjudices ont été amplifiés lorsque les camarades de classe de Jérémy Gabriel ont répété les blagues de M. Ward, le taquinant et se moquant de lui de façon répétée à l</w:t>
      </w:r>
      <w:r>
        <w:rPr>
          <w:rFonts w:cs="Times New Roman"/>
        </w:rPr>
        <w:t>’</w:t>
      </w:r>
      <w:r w:rsidRPr="00985CB4">
        <w:rPr>
          <w:rFonts w:cs="Times New Roman"/>
        </w:rPr>
        <w:t>école. Monsieur</w:t>
      </w:r>
      <w:r>
        <w:rPr>
          <w:rFonts w:cs="Times New Roman"/>
        </w:rPr>
        <w:t xml:space="preserve"> </w:t>
      </w:r>
      <w:r w:rsidRPr="00985CB4">
        <w:rPr>
          <w:rFonts w:cs="Times New Roman"/>
        </w:rPr>
        <w:t>Ward a non seulement intimidé directement Jérémy Gabriel, il a en outre inspiré d</w:t>
      </w:r>
      <w:r>
        <w:rPr>
          <w:rFonts w:cs="Times New Roman"/>
        </w:rPr>
        <w:t>’</w:t>
      </w:r>
      <w:r w:rsidRPr="00985CB4">
        <w:rPr>
          <w:rFonts w:cs="Times New Roman"/>
        </w:rPr>
        <w:t>autres personnes à répéter ses moqueries et à l</w:t>
      </w:r>
      <w:r>
        <w:rPr>
          <w:rFonts w:cs="Times New Roman"/>
        </w:rPr>
        <w:t>’</w:t>
      </w:r>
      <w:r w:rsidRPr="00985CB4">
        <w:rPr>
          <w:rFonts w:cs="Times New Roman"/>
        </w:rPr>
        <w:t>intimider davantage. Puisque notre société prend des mesures actives pour contrer l</w:t>
      </w:r>
      <w:r>
        <w:rPr>
          <w:rFonts w:cs="Times New Roman"/>
        </w:rPr>
        <w:t>’</w:t>
      </w:r>
      <w:r w:rsidRPr="00985CB4">
        <w:rPr>
          <w:rFonts w:cs="Times New Roman"/>
        </w:rPr>
        <w:t>intimidation entre les enfants, il semble logique que l</w:t>
      </w:r>
      <w:r>
        <w:rPr>
          <w:rFonts w:cs="Times New Roman"/>
        </w:rPr>
        <w:t>’</w:t>
      </w:r>
      <w:r w:rsidRPr="00985CB4">
        <w:rPr>
          <w:rFonts w:cs="Times New Roman"/>
        </w:rPr>
        <w:t>intimidation d</w:t>
      </w:r>
      <w:r>
        <w:rPr>
          <w:rFonts w:cs="Times New Roman"/>
        </w:rPr>
        <w:t>’</w:t>
      </w:r>
      <w:r w:rsidRPr="00985CB4">
        <w:rPr>
          <w:rFonts w:cs="Times New Roman"/>
        </w:rPr>
        <w:t>un enfant par un adulte, y compris par la large diffusion de contenus préjudiciables sur Internet, puisse dans certaines circonstances donner ouverture à des recours.</w:t>
      </w:r>
    </w:p>
    <w:p w14:paraId="39055309" w14:textId="77777777" w:rsidR="00116CBE" w:rsidRPr="00985CB4" w:rsidRDefault="00116CBE" w:rsidP="00116CBE">
      <w:pPr>
        <w:pStyle w:val="ParaNoNdepar-AltN"/>
        <w:tabs>
          <w:tab w:val="clear" w:pos="1152"/>
          <w:tab w:val="left" w:pos="1166"/>
        </w:tabs>
        <w:rPr>
          <w:rFonts w:cs="Times New Roman"/>
          <w:lang w:val="en-US"/>
        </w:rPr>
      </w:pPr>
      <w:r w:rsidRPr="00985CB4">
        <w:rPr>
          <w:rFonts w:cs="Times New Roman"/>
        </w:rPr>
        <w:t>L</w:t>
      </w:r>
      <w:r>
        <w:rPr>
          <w:rFonts w:cs="Times New Roman"/>
        </w:rPr>
        <w:t>’</w:t>
      </w:r>
      <w:r w:rsidRPr="00985CB4">
        <w:rPr>
          <w:rFonts w:cs="Times New Roman"/>
        </w:rPr>
        <w:t>ampleur des préjudices que l</w:t>
      </w:r>
      <w:r>
        <w:rPr>
          <w:rFonts w:cs="Times New Roman"/>
        </w:rPr>
        <w:t>’</w:t>
      </w:r>
      <w:r w:rsidRPr="00985CB4">
        <w:rPr>
          <w:rFonts w:cs="Times New Roman"/>
        </w:rPr>
        <w:t>intimidation peut causer à une jeune personne et l</w:t>
      </w:r>
      <w:r>
        <w:rPr>
          <w:rFonts w:cs="Times New Roman"/>
        </w:rPr>
        <w:t>’</w:t>
      </w:r>
      <w:r w:rsidRPr="00985CB4">
        <w:rPr>
          <w:rFonts w:cs="Times New Roman"/>
        </w:rPr>
        <w:t>importance de réduire au minimum ces préjudices ne sauraient être sous</w:t>
      </w:r>
      <w:r>
        <w:rPr>
          <w:rFonts w:cs="Times New Roman"/>
        </w:rPr>
        <w:noBreakHyphen/>
      </w:r>
      <w:r w:rsidRPr="00985CB4">
        <w:rPr>
          <w:rFonts w:cs="Times New Roman"/>
        </w:rPr>
        <w:t>estimées. Il s</w:t>
      </w:r>
      <w:r>
        <w:rPr>
          <w:rFonts w:cs="Times New Roman"/>
        </w:rPr>
        <w:t>’</w:t>
      </w:r>
      <w:r w:rsidRPr="00985CB4">
        <w:rPr>
          <w:rFonts w:cs="Times New Roman"/>
        </w:rPr>
        <w:t>agit précisément du type de conduite préjudiciable que le Canada a l</w:t>
      </w:r>
      <w:r>
        <w:rPr>
          <w:rFonts w:cs="Times New Roman"/>
        </w:rPr>
        <w:t>’</w:t>
      </w:r>
      <w:r w:rsidRPr="00985CB4">
        <w:rPr>
          <w:rFonts w:cs="Times New Roman"/>
        </w:rPr>
        <w:t>obligation légale d</w:t>
      </w:r>
      <w:r>
        <w:rPr>
          <w:rFonts w:cs="Times New Roman"/>
        </w:rPr>
        <w:t>’</w:t>
      </w:r>
      <w:r w:rsidRPr="00985CB4">
        <w:rPr>
          <w:rFonts w:cs="Times New Roman"/>
        </w:rPr>
        <w:t>empêcher par des mesures appropriées en vertu de l</w:t>
      </w:r>
      <w:r>
        <w:rPr>
          <w:rFonts w:cs="Times New Roman"/>
        </w:rPr>
        <w:t>’art. </w:t>
      </w:r>
      <w:r w:rsidRPr="00985CB4">
        <w:rPr>
          <w:rFonts w:cs="Times New Roman"/>
        </w:rPr>
        <w:t xml:space="preserve">19 de la </w:t>
      </w:r>
      <w:r w:rsidRPr="00985CB4">
        <w:rPr>
          <w:rFonts w:cs="Times New Roman"/>
          <w:i/>
          <w:iCs/>
        </w:rPr>
        <w:t>Convention relative aux droits de l</w:t>
      </w:r>
      <w:r>
        <w:rPr>
          <w:rFonts w:cs="Times New Roman"/>
          <w:i/>
          <w:iCs/>
        </w:rPr>
        <w:t>’</w:t>
      </w:r>
      <w:r w:rsidRPr="00985CB4">
        <w:rPr>
          <w:rFonts w:cs="Times New Roman"/>
          <w:i/>
          <w:iCs/>
        </w:rPr>
        <w:t xml:space="preserve">enfant </w:t>
      </w:r>
      <w:r w:rsidRPr="00985CB4">
        <w:rPr>
          <w:rFonts w:cs="Times New Roman"/>
          <w:iCs/>
        </w:rPr>
        <w:t xml:space="preserve">des Nations Unies, </w:t>
      </w:r>
      <w:r w:rsidRPr="00985CB4">
        <w:rPr>
          <w:rFonts w:cs="Times New Roman"/>
        </w:rPr>
        <w:t>R.T. Can. 1992 n</w:t>
      </w:r>
      <w:r w:rsidRPr="00985CB4">
        <w:rPr>
          <w:rFonts w:cs="Times New Roman"/>
          <w:vertAlign w:val="superscript"/>
        </w:rPr>
        <w:t>o</w:t>
      </w:r>
      <w:r w:rsidRPr="00985CB4">
        <w:rPr>
          <w:rFonts w:cs="Times New Roman"/>
        </w:rPr>
        <w:t> 3</w:t>
      </w:r>
      <w:r w:rsidRPr="00985CB4">
        <w:rPr>
          <w:rFonts w:cs="Times New Roman"/>
          <w:i/>
        </w:rPr>
        <w:t xml:space="preserve"> </w:t>
      </w:r>
      <w:r w:rsidRPr="00985CB4">
        <w:rPr>
          <w:rFonts w:cs="Times New Roman"/>
        </w:rPr>
        <w:t>(« </w:t>
      </w:r>
      <w:r w:rsidRPr="00985CB4">
        <w:rPr>
          <w:rFonts w:cs="Times New Roman"/>
          <w:i/>
        </w:rPr>
        <w:t>CDE</w:t>
      </w:r>
      <w:r w:rsidRPr="00985CB4">
        <w:rPr>
          <w:rFonts w:cs="Times New Roman"/>
        </w:rPr>
        <w:t> »)</w:t>
      </w:r>
      <w:r w:rsidRPr="00E20036">
        <w:rPr>
          <w:rStyle w:val="Hyperlink"/>
          <w:vertAlign w:val="superscript"/>
        </w:rPr>
        <w:footnoteReference w:id="4"/>
      </w:r>
      <w:r w:rsidRPr="00985CB4">
        <w:rPr>
          <w:rFonts w:cs="Times New Roman"/>
        </w:rPr>
        <w:t>, y compris des mesures protégeant les enfants contre la violence morale, par exemple « [l]es brimades et le bizutage psychologiques de la part d</w:t>
      </w:r>
      <w:r>
        <w:rPr>
          <w:rFonts w:cs="Times New Roman"/>
        </w:rPr>
        <w:t>’</w:t>
      </w:r>
      <w:r w:rsidRPr="00985CB4">
        <w:rPr>
          <w:rFonts w:cs="Times New Roman"/>
        </w:rPr>
        <w:t>adultes ou d</w:t>
      </w:r>
      <w:r>
        <w:rPr>
          <w:rFonts w:cs="Times New Roman"/>
        </w:rPr>
        <w:t>’</w:t>
      </w:r>
      <w:r w:rsidRPr="00985CB4">
        <w:rPr>
          <w:rFonts w:cs="Times New Roman"/>
        </w:rPr>
        <w:t>autres enfants »</w:t>
      </w:r>
      <w:r w:rsidRPr="00985CB4">
        <w:rPr>
          <w:rFonts w:eastAsia="Times New Roman" w:cs="Times New Roman"/>
        </w:rPr>
        <w:t xml:space="preserve"> (</w:t>
      </w:r>
      <w:r>
        <w:rPr>
          <w:rFonts w:eastAsia="Times New Roman" w:cs="Times New Roman"/>
        </w:rPr>
        <w:t xml:space="preserve">Nations Unies, </w:t>
      </w:r>
      <w:r w:rsidRPr="00985CB4">
        <w:rPr>
          <w:rFonts w:eastAsia="Times New Roman" w:cs="Times New Roman"/>
        </w:rPr>
        <w:t>Comité des droits de l</w:t>
      </w:r>
      <w:r>
        <w:rPr>
          <w:rFonts w:eastAsia="Times New Roman" w:cs="Times New Roman"/>
        </w:rPr>
        <w:t>’</w:t>
      </w:r>
      <w:r w:rsidRPr="00985CB4">
        <w:rPr>
          <w:rFonts w:eastAsia="Times New Roman" w:cs="Times New Roman"/>
        </w:rPr>
        <w:t xml:space="preserve">enfant, </w:t>
      </w:r>
      <w:r w:rsidRPr="00985CB4">
        <w:rPr>
          <w:rFonts w:eastAsia="Times New Roman" w:cs="Times New Roman"/>
          <w:i/>
        </w:rPr>
        <w:t>Observation générale n</w:t>
      </w:r>
      <w:r w:rsidRPr="00985CB4">
        <w:rPr>
          <w:rFonts w:eastAsia="Times New Roman" w:cs="Times New Roman"/>
          <w:i/>
          <w:vertAlign w:val="superscript"/>
        </w:rPr>
        <w:t>o</w:t>
      </w:r>
      <w:r w:rsidRPr="00985CB4">
        <w:rPr>
          <w:rFonts w:eastAsia="Times New Roman" w:cs="Times New Roman"/>
          <w:i/>
        </w:rPr>
        <w:t> 13 (2011)</w:t>
      </w:r>
      <w:r>
        <w:rPr>
          <w:rFonts w:cs="Times New Roman"/>
          <w:i/>
        </w:rPr>
        <w:t> :</w:t>
      </w:r>
      <w:r w:rsidRPr="00985CB4">
        <w:rPr>
          <w:rFonts w:cs="Times New Roman"/>
          <w:i/>
        </w:rPr>
        <w:t xml:space="preserve"> Le droit de l</w:t>
      </w:r>
      <w:r>
        <w:rPr>
          <w:rFonts w:cs="Times New Roman"/>
          <w:i/>
        </w:rPr>
        <w:t>’</w:t>
      </w:r>
      <w:r w:rsidRPr="00985CB4">
        <w:rPr>
          <w:rFonts w:cs="Times New Roman"/>
          <w:i/>
        </w:rPr>
        <w:t>enfant d</w:t>
      </w:r>
      <w:r>
        <w:rPr>
          <w:rFonts w:cs="Times New Roman"/>
          <w:i/>
        </w:rPr>
        <w:t>’</w:t>
      </w:r>
      <w:r w:rsidRPr="00985CB4">
        <w:rPr>
          <w:rFonts w:cs="Times New Roman"/>
          <w:i/>
        </w:rPr>
        <w:t>être protégé contre toutes les formes de violence</w:t>
      </w:r>
      <w:r w:rsidRPr="00985CB4">
        <w:rPr>
          <w:rFonts w:cs="Times New Roman"/>
        </w:rPr>
        <w:t xml:space="preserve">, Doc. N.U. CRC/C/GC/13, 18 avril 2011, </w:t>
      </w:r>
      <w:r>
        <w:rPr>
          <w:rFonts w:cs="Times New Roman"/>
        </w:rPr>
        <w:t>par. </w:t>
      </w:r>
      <w:r w:rsidRPr="00985CB4">
        <w:rPr>
          <w:rFonts w:cs="Times New Roman"/>
        </w:rPr>
        <w:t>21</w:t>
      </w:r>
      <w:r w:rsidRPr="00985CB4">
        <w:rPr>
          <w:rFonts w:eastAsia="Times New Roman" w:cs="Times New Roman"/>
        </w:rPr>
        <w:t>; voir aussi Carmen Lavallée, « La Convention internationale relative aux droits de l</w:t>
      </w:r>
      <w:r>
        <w:rPr>
          <w:rFonts w:eastAsia="Times New Roman" w:cs="Times New Roman"/>
        </w:rPr>
        <w:t>’</w:t>
      </w:r>
      <w:r w:rsidRPr="00985CB4">
        <w:rPr>
          <w:rFonts w:eastAsia="Times New Roman" w:cs="Times New Roman"/>
        </w:rPr>
        <w:t xml:space="preserve">enfant et son application au Canada » (1996), 48 </w:t>
      </w:r>
      <w:r w:rsidRPr="00985CB4">
        <w:rPr>
          <w:rFonts w:eastAsia="Times New Roman" w:cs="Times New Roman"/>
          <w:i/>
        </w:rPr>
        <w:t xml:space="preserve">R.I.D.C. </w:t>
      </w:r>
      <w:r w:rsidRPr="00985CB4">
        <w:rPr>
          <w:rFonts w:eastAsia="Times New Roman" w:cs="Times New Roman"/>
        </w:rPr>
        <w:t xml:space="preserve">605, </w:t>
      </w:r>
      <w:r>
        <w:rPr>
          <w:rFonts w:eastAsia="Times New Roman" w:cs="Times New Roman"/>
        </w:rPr>
        <w:t>p. </w:t>
      </w:r>
      <w:r w:rsidRPr="00985CB4">
        <w:rPr>
          <w:rFonts w:eastAsia="Times New Roman" w:cs="Times New Roman"/>
        </w:rPr>
        <w:t>612). Qui plus est, l</w:t>
      </w:r>
      <w:r>
        <w:rPr>
          <w:rFonts w:eastAsia="Times New Roman" w:cs="Times New Roman"/>
        </w:rPr>
        <w:t>’art. </w:t>
      </w:r>
      <w:r w:rsidRPr="00985CB4">
        <w:rPr>
          <w:rFonts w:eastAsia="Times New Roman" w:cs="Times New Roman"/>
        </w:rPr>
        <w:t xml:space="preserve">2 de la </w:t>
      </w:r>
      <w:r w:rsidRPr="00985CB4">
        <w:rPr>
          <w:rFonts w:eastAsia="Times New Roman" w:cs="Times New Roman"/>
          <w:i/>
        </w:rPr>
        <w:t>CDE</w:t>
      </w:r>
      <w:r w:rsidRPr="00985CB4">
        <w:rPr>
          <w:rFonts w:eastAsia="Times New Roman" w:cs="Times New Roman"/>
        </w:rPr>
        <w:t xml:space="preserve"> impose aux États parties une obligation de veiller à ce que les droits prévus dans la </w:t>
      </w:r>
      <w:r w:rsidRPr="00985CB4">
        <w:rPr>
          <w:rFonts w:eastAsia="Times New Roman" w:cs="Times New Roman"/>
          <w:i/>
        </w:rPr>
        <w:t>CDE</w:t>
      </w:r>
      <w:r w:rsidRPr="00985CB4">
        <w:rPr>
          <w:rFonts w:eastAsia="Times New Roman" w:cs="Times New Roman"/>
        </w:rPr>
        <w:t xml:space="preserve"> soient exercés sans discrimination. Le besoin de clauses de non</w:t>
      </w:r>
      <w:r>
        <w:rPr>
          <w:rFonts w:eastAsia="Times New Roman" w:cs="Times New Roman"/>
        </w:rPr>
        <w:noBreakHyphen/>
      </w:r>
      <w:r w:rsidRPr="00985CB4">
        <w:rPr>
          <w:rFonts w:eastAsia="Times New Roman" w:cs="Times New Roman"/>
        </w:rPr>
        <w:t>discrimination applicables spécifiquement aux enfants découle [</w:t>
      </w:r>
      <w:r w:rsidRPr="00985CB4">
        <w:rPr>
          <w:rFonts w:eastAsia="Times New Roman" w:cs="Times New Roman"/>
          <w:smallCaps/>
        </w:rPr>
        <w:t>traduction</w:t>
      </w:r>
      <w:r w:rsidRPr="00985CB4">
        <w:rPr>
          <w:rFonts w:eastAsia="Times New Roman" w:cs="Times New Roman"/>
        </w:rPr>
        <w:t>] « du statut et des besoins particuliers » des enfants et de leur « </w:t>
      </w:r>
      <w:r w:rsidRPr="00985CB4">
        <w:rPr>
          <w:rFonts w:eastAsia="Times New Roman" w:cs="Times New Roman"/>
          <w:i/>
        </w:rPr>
        <w:t>vulnérabilité</w:t>
      </w:r>
      <w:r w:rsidRPr="00985CB4">
        <w:rPr>
          <w:rFonts w:eastAsia="Times New Roman" w:cs="Times New Roman"/>
        </w:rPr>
        <w:t xml:space="preserve"> vis</w:t>
      </w:r>
      <w:r>
        <w:rPr>
          <w:rFonts w:eastAsia="Times New Roman" w:cs="Times New Roman"/>
        </w:rPr>
        <w:noBreakHyphen/>
      </w:r>
      <w:r w:rsidRPr="00985CB4">
        <w:rPr>
          <w:rFonts w:cs="Times New Roman"/>
        </w:rPr>
        <w:t>à</w:t>
      </w:r>
      <w:r>
        <w:rPr>
          <w:rFonts w:cs="Times New Roman"/>
        </w:rPr>
        <w:noBreakHyphen/>
      </w:r>
      <w:r w:rsidRPr="00985CB4">
        <w:rPr>
          <w:rFonts w:cs="Times New Roman"/>
        </w:rPr>
        <w:t>vis [. . .] d</w:t>
      </w:r>
      <w:r>
        <w:rPr>
          <w:rFonts w:cs="Times New Roman"/>
        </w:rPr>
        <w:t>’</w:t>
      </w:r>
      <w:r w:rsidRPr="00985CB4">
        <w:rPr>
          <w:rFonts w:cs="Times New Roman"/>
        </w:rPr>
        <w:t xml:space="preserve">autres individus » (Samantha Besson et Eleonor Kleber, « Article 2. </w:t>
      </w:r>
      <w:r w:rsidRPr="00985CB4">
        <w:rPr>
          <w:rFonts w:cs="Times New Roman"/>
          <w:lang w:val="en-US"/>
        </w:rPr>
        <w:t>The Right to Non</w:t>
      </w:r>
      <w:r>
        <w:rPr>
          <w:rFonts w:cs="Times New Roman"/>
          <w:lang w:val="en-US"/>
        </w:rPr>
        <w:noBreakHyphen/>
      </w:r>
      <w:r w:rsidRPr="00985CB4">
        <w:rPr>
          <w:rFonts w:cs="Times New Roman"/>
          <w:lang w:val="en-US"/>
        </w:rPr>
        <w:t xml:space="preserve">Discrimination », dans John Tobin, dir., </w:t>
      </w:r>
      <w:r w:rsidRPr="00985CB4">
        <w:rPr>
          <w:rFonts w:cs="Times New Roman"/>
          <w:i/>
          <w:lang w:val="en-US"/>
        </w:rPr>
        <w:t>The UN Convention on the Rights of the Child</w:t>
      </w:r>
      <w:r>
        <w:rPr>
          <w:rFonts w:cs="Times New Roman"/>
          <w:i/>
          <w:lang w:val="en-US"/>
        </w:rPr>
        <w:t> :</w:t>
      </w:r>
      <w:r w:rsidRPr="00985CB4">
        <w:rPr>
          <w:rFonts w:cs="Times New Roman"/>
          <w:i/>
          <w:lang w:val="en-US"/>
        </w:rPr>
        <w:t xml:space="preserve"> A Commentary</w:t>
      </w:r>
      <w:r w:rsidRPr="00985CB4">
        <w:rPr>
          <w:rFonts w:cs="Times New Roman"/>
          <w:lang w:val="en-US"/>
        </w:rPr>
        <w:t xml:space="preserve"> (2019), 41, </w:t>
      </w:r>
      <w:r>
        <w:rPr>
          <w:rFonts w:cs="Times New Roman"/>
          <w:lang w:val="en-US"/>
        </w:rPr>
        <w:t>p. </w:t>
      </w:r>
      <w:r w:rsidRPr="00985CB4">
        <w:rPr>
          <w:rFonts w:cs="Times New Roman"/>
          <w:lang w:val="en-US"/>
        </w:rPr>
        <w:t>48</w:t>
      </w:r>
      <w:r>
        <w:rPr>
          <w:rFonts w:cs="Times New Roman"/>
          <w:lang w:val="en-US"/>
        </w:rPr>
        <w:noBreakHyphen/>
      </w:r>
      <w:r w:rsidRPr="00985CB4">
        <w:rPr>
          <w:rFonts w:cs="Times New Roman"/>
          <w:lang w:val="en-US"/>
        </w:rPr>
        <w:t>49 (en italique dans l</w:t>
      </w:r>
      <w:r>
        <w:rPr>
          <w:rFonts w:cs="Times New Roman"/>
          <w:lang w:val="en-US"/>
        </w:rPr>
        <w:t>’</w:t>
      </w:r>
      <w:r w:rsidRPr="00985CB4">
        <w:rPr>
          <w:rFonts w:cs="Times New Roman"/>
          <w:lang w:val="en-US"/>
        </w:rPr>
        <w:t>original)).</w:t>
      </w:r>
    </w:p>
    <w:p w14:paraId="1C4F5624"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L</w:t>
      </w:r>
      <w:r>
        <w:rPr>
          <w:rFonts w:cs="Times New Roman"/>
        </w:rPr>
        <w:t>’</w:t>
      </w:r>
      <w:r w:rsidRPr="00985CB4">
        <w:rPr>
          <w:rFonts w:cs="Times New Roman"/>
        </w:rPr>
        <w:t>importance de cette obligation d</w:t>
      </w:r>
      <w:r>
        <w:rPr>
          <w:rFonts w:cs="Times New Roman"/>
        </w:rPr>
        <w:t>’</w:t>
      </w:r>
      <w:r w:rsidRPr="00985CB4">
        <w:rPr>
          <w:rFonts w:cs="Times New Roman"/>
        </w:rPr>
        <w:t>éradiquer l</w:t>
      </w:r>
      <w:r>
        <w:rPr>
          <w:rFonts w:cs="Times New Roman"/>
        </w:rPr>
        <w:t>’</w:t>
      </w:r>
      <w:r w:rsidRPr="00985CB4">
        <w:rPr>
          <w:rFonts w:cs="Times New Roman"/>
        </w:rPr>
        <w:t>intimidation discriminatoire est amplifiée par l</w:t>
      </w:r>
      <w:r>
        <w:rPr>
          <w:rFonts w:cs="Times New Roman"/>
        </w:rPr>
        <w:t>’art. </w:t>
      </w:r>
      <w:r w:rsidRPr="00985CB4">
        <w:rPr>
          <w:rFonts w:cs="Times New Roman"/>
        </w:rPr>
        <w:t xml:space="preserve">23 de la </w:t>
      </w:r>
      <w:r w:rsidRPr="00985CB4">
        <w:rPr>
          <w:rFonts w:cs="Times New Roman"/>
          <w:i/>
        </w:rPr>
        <w:t>CDE</w:t>
      </w:r>
      <w:r w:rsidRPr="00985CB4">
        <w:rPr>
          <w:rFonts w:cs="Times New Roman"/>
        </w:rPr>
        <w:t xml:space="preserve"> qui précise que</w:t>
      </w:r>
      <w:r w:rsidRPr="00985CB4">
        <w:rPr>
          <w:rFonts w:cs="Times New Roman"/>
          <w:shd w:val="clear" w:color="auto" w:fill="FFFFFF"/>
        </w:rPr>
        <w:t xml:space="preserve"> « les enfants [. . .] handicapés doivent mener une vie pleine et décente, dans des conditions qui garantissent leur dignité, favorisent leur autonomie et facilitent leur participation active à la vie de la collectivité » et qui oblige le Canada à </w:t>
      </w:r>
      <w:r w:rsidRPr="00985CB4">
        <w:rPr>
          <w:rFonts w:eastAsia="Times New Roman" w:cs="Times New Roman"/>
        </w:rPr>
        <w:t>[</w:t>
      </w:r>
      <w:r w:rsidRPr="00985CB4">
        <w:rPr>
          <w:rFonts w:eastAsia="Times New Roman" w:cs="Times New Roman"/>
          <w:smallCaps/>
        </w:rPr>
        <w:t>traduction</w:t>
      </w:r>
      <w:r w:rsidRPr="00985CB4">
        <w:rPr>
          <w:rFonts w:eastAsia="Times New Roman" w:cs="Times New Roman"/>
        </w:rPr>
        <w:t>]</w:t>
      </w:r>
      <w:r w:rsidRPr="00985CB4">
        <w:rPr>
          <w:rFonts w:cs="Times New Roman"/>
          <w:shd w:val="clear" w:color="auto" w:fill="FFFFFF"/>
        </w:rPr>
        <w:t xml:space="preserve"> « assurer une intégration sociale aussi complète que possible » des enfants handicapés (Wouter Vandenhole, Gamze Erdem Türkelli et Sara Lembrechts, </w:t>
      </w:r>
      <w:r w:rsidRPr="00985CB4">
        <w:rPr>
          <w:rFonts w:cs="Times New Roman"/>
          <w:i/>
          <w:shd w:val="clear" w:color="auto" w:fill="FFFFFF"/>
        </w:rPr>
        <w:t>Children</w:t>
      </w:r>
      <w:r>
        <w:rPr>
          <w:rFonts w:cs="Times New Roman"/>
          <w:i/>
          <w:shd w:val="clear" w:color="auto" w:fill="FFFFFF"/>
        </w:rPr>
        <w:t>’</w:t>
      </w:r>
      <w:r w:rsidRPr="00985CB4">
        <w:rPr>
          <w:rFonts w:cs="Times New Roman"/>
          <w:i/>
          <w:shd w:val="clear" w:color="auto" w:fill="FFFFFF"/>
        </w:rPr>
        <w:t>s Rights</w:t>
      </w:r>
      <w:r>
        <w:rPr>
          <w:rFonts w:cs="Times New Roman"/>
          <w:i/>
          <w:shd w:val="clear" w:color="auto" w:fill="FFFFFF"/>
        </w:rPr>
        <w:t> :</w:t>
      </w:r>
      <w:r w:rsidRPr="00985CB4">
        <w:rPr>
          <w:rFonts w:cs="Times New Roman"/>
          <w:i/>
          <w:shd w:val="clear" w:color="auto" w:fill="FFFFFF"/>
        </w:rPr>
        <w:t xml:space="preserve"> A Commentary on the Convention on the Rights of the Child and its Protocols</w:t>
      </w:r>
      <w:r w:rsidRPr="00985CB4">
        <w:rPr>
          <w:rFonts w:cs="Times New Roman"/>
          <w:shd w:val="clear" w:color="auto" w:fill="FFFFFF"/>
        </w:rPr>
        <w:t xml:space="preserve"> (2019), </w:t>
      </w:r>
      <w:r>
        <w:rPr>
          <w:rFonts w:cs="Times New Roman"/>
          <w:shd w:val="clear" w:color="auto" w:fill="FFFFFF"/>
        </w:rPr>
        <w:t>p. </w:t>
      </w:r>
      <w:r w:rsidRPr="00985CB4">
        <w:rPr>
          <w:rFonts w:cs="Times New Roman"/>
          <w:shd w:val="clear" w:color="auto" w:fill="FFFFFF"/>
        </w:rPr>
        <w:t xml:space="preserve">249). Le Canada a également ratifié la </w:t>
      </w:r>
      <w:r w:rsidRPr="00985CB4">
        <w:rPr>
          <w:rFonts w:cs="Times New Roman"/>
          <w:i/>
          <w:shd w:val="clear" w:color="auto" w:fill="FFFFFF"/>
        </w:rPr>
        <w:t>Convention relative aux droits des personnes handicapées</w:t>
      </w:r>
      <w:r w:rsidRPr="00985CB4">
        <w:rPr>
          <w:rFonts w:cs="Times New Roman"/>
          <w:iCs/>
          <w:shd w:val="clear" w:color="auto" w:fill="FFFFFF"/>
        </w:rPr>
        <w:t xml:space="preserve"> des Nations Unies, R.T. Can. 2010 n</w:t>
      </w:r>
      <w:r w:rsidRPr="00985CB4">
        <w:rPr>
          <w:rFonts w:cs="Times New Roman"/>
          <w:iCs/>
          <w:shd w:val="clear" w:color="auto" w:fill="FFFFFF"/>
          <w:vertAlign w:val="superscript"/>
        </w:rPr>
        <w:t>o</w:t>
      </w:r>
      <w:r w:rsidRPr="00985CB4">
        <w:rPr>
          <w:rFonts w:cs="Times New Roman"/>
          <w:iCs/>
          <w:shd w:val="clear" w:color="auto" w:fill="FFFFFF"/>
        </w:rPr>
        <w:t> 8</w:t>
      </w:r>
      <w:r w:rsidRPr="00E20036">
        <w:rPr>
          <w:rStyle w:val="Hyperlink"/>
          <w:vertAlign w:val="superscript"/>
        </w:rPr>
        <w:footnoteReference w:id="5"/>
      </w:r>
      <w:r w:rsidRPr="00985CB4">
        <w:rPr>
          <w:rFonts w:cs="Times New Roman"/>
          <w:shd w:val="clear" w:color="auto" w:fill="FFFFFF"/>
        </w:rPr>
        <w:t>. Cette convention oblige les États parties à garantir aux personnes handicapées une protection juridique égale et effective contre toute discrimination, quel qu</w:t>
      </w:r>
      <w:r>
        <w:rPr>
          <w:rFonts w:cs="Times New Roman"/>
          <w:shd w:val="clear" w:color="auto" w:fill="FFFFFF"/>
        </w:rPr>
        <w:t>’</w:t>
      </w:r>
      <w:r w:rsidRPr="00985CB4">
        <w:rPr>
          <w:rFonts w:cs="Times New Roman"/>
          <w:shd w:val="clear" w:color="auto" w:fill="FFFFFF"/>
        </w:rPr>
        <w:t>en soit le fondement, à permettre aux enfants handicapés de jouir pleinement et dans des conditions d</w:t>
      </w:r>
      <w:r>
        <w:rPr>
          <w:rFonts w:cs="Times New Roman"/>
          <w:shd w:val="clear" w:color="auto" w:fill="FFFFFF"/>
        </w:rPr>
        <w:t>’</w:t>
      </w:r>
      <w:r w:rsidRPr="00985CB4">
        <w:rPr>
          <w:rFonts w:cs="Times New Roman"/>
          <w:shd w:val="clear" w:color="auto" w:fill="FFFFFF"/>
        </w:rPr>
        <w:t>égalité de tous les droits de la personne et de toutes les libertés fondamentales et à prendre toutes les mesures appropriées pour protéger les personnes handicapées contre l</w:t>
      </w:r>
      <w:r>
        <w:rPr>
          <w:rFonts w:cs="Times New Roman"/>
          <w:shd w:val="clear" w:color="auto" w:fill="FFFFFF"/>
        </w:rPr>
        <w:t>’</w:t>
      </w:r>
      <w:r w:rsidRPr="00985CB4">
        <w:rPr>
          <w:rFonts w:cs="Times New Roman"/>
          <w:shd w:val="clear" w:color="auto" w:fill="FFFFFF"/>
        </w:rPr>
        <w:t>exploitation, la violence et la maltraitance (</w:t>
      </w:r>
      <w:r>
        <w:rPr>
          <w:rFonts w:cs="Times New Roman"/>
          <w:shd w:val="clear" w:color="auto" w:fill="FFFFFF"/>
        </w:rPr>
        <w:t>art. </w:t>
      </w:r>
      <w:r w:rsidRPr="00985CB4">
        <w:rPr>
          <w:rFonts w:cs="Times New Roman"/>
          <w:shd w:val="clear" w:color="auto" w:fill="FFFFFF"/>
        </w:rPr>
        <w:t>5, 7 et 16).</w:t>
      </w:r>
    </w:p>
    <w:p w14:paraId="2AA85CB3"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En résumé, pour les besoins de l</w:t>
      </w:r>
      <w:r>
        <w:rPr>
          <w:rFonts w:cs="Times New Roman"/>
        </w:rPr>
        <w:t>’</w:t>
      </w:r>
      <w:r w:rsidRPr="00985CB4">
        <w:rPr>
          <w:rFonts w:cs="Times New Roman"/>
        </w:rPr>
        <w:t>analyse de la proportionnalité suivant l</w:t>
      </w:r>
      <w:r>
        <w:rPr>
          <w:rFonts w:cs="Times New Roman"/>
        </w:rPr>
        <w:t>’art. </w:t>
      </w:r>
      <w:r w:rsidRPr="00985CB4">
        <w:rPr>
          <w:rFonts w:cs="Times New Roman"/>
        </w:rPr>
        <w:t>9.1, la Commission invoque les préjudices moraux considérables causés à M. Gabriel, ainsi qu</w:t>
      </w:r>
      <w:r>
        <w:rPr>
          <w:rFonts w:cs="Times New Roman"/>
        </w:rPr>
        <w:t>’</w:t>
      </w:r>
      <w:r w:rsidRPr="00985CB4">
        <w:rPr>
          <w:rFonts w:cs="Times New Roman"/>
        </w:rPr>
        <w:t>un certain nombre de sources canadiennes et internationales qui reconnaissent l</w:t>
      </w:r>
      <w:r>
        <w:rPr>
          <w:rFonts w:cs="Times New Roman"/>
        </w:rPr>
        <w:t>’</w:t>
      </w:r>
      <w:r w:rsidRPr="00985CB4">
        <w:rPr>
          <w:rFonts w:cs="Times New Roman"/>
        </w:rPr>
        <w:t>importance de s</w:t>
      </w:r>
      <w:r>
        <w:rPr>
          <w:rFonts w:cs="Times New Roman"/>
        </w:rPr>
        <w:t>’</w:t>
      </w:r>
      <w:r w:rsidRPr="00985CB4">
        <w:rPr>
          <w:rFonts w:cs="Times New Roman"/>
        </w:rPr>
        <w:t>attaquer à ces préjudices.</w:t>
      </w:r>
    </w:p>
    <w:p w14:paraId="17F90CA8" w14:textId="77777777" w:rsidR="00116CBE" w:rsidRPr="00985CB4" w:rsidRDefault="00116CBE" w:rsidP="00116CBE">
      <w:pPr>
        <w:pStyle w:val="ParaNoNdepar-AltN"/>
        <w:rPr>
          <w:rFonts w:cs="Times New Roman"/>
        </w:rPr>
      </w:pPr>
      <w:r w:rsidRPr="00985CB4">
        <w:rPr>
          <w:rFonts w:cs="Times New Roman"/>
        </w:rPr>
        <w:t>Monsieur</w:t>
      </w:r>
      <w:r>
        <w:rPr>
          <w:rFonts w:cs="Times New Roman"/>
        </w:rPr>
        <w:t xml:space="preserve"> </w:t>
      </w:r>
      <w:r w:rsidRPr="00985CB4">
        <w:rPr>
          <w:rFonts w:cs="Times New Roman"/>
        </w:rPr>
        <w:t>Ward invoque l</w:t>
      </w:r>
      <w:r>
        <w:rPr>
          <w:rFonts w:cs="Times New Roman"/>
        </w:rPr>
        <w:t>’</w:t>
      </w:r>
      <w:r w:rsidRPr="00985CB4">
        <w:rPr>
          <w:rFonts w:cs="Times New Roman"/>
        </w:rPr>
        <w:t>importance des numéros d</w:t>
      </w:r>
      <w:r>
        <w:rPr>
          <w:rFonts w:cs="Times New Roman"/>
        </w:rPr>
        <w:t>’</w:t>
      </w:r>
      <w:r w:rsidRPr="00985CB4">
        <w:rPr>
          <w:rFonts w:cs="Times New Roman"/>
        </w:rPr>
        <w:t>humour et de la satire en tant que [</w:t>
      </w:r>
      <w:r w:rsidRPr="00985CB4">
        <w:rPr>
          <w:rFonts w:cs="Times New Roman"/>
          <w:smallCaps/>
        </w:rPr>
        <w:t>traduction</w:t>
      </w:r>
      <w:r w:rsidRPr="00985CB4">
        <w:rPr>
          <w:rFonts w:cs="Times New Roman"/>
        </w:rPr>
        <w:t>] « forme d</w:t>
      </w:r>
      <w:r>
        <w:rPr>
          <w:rFonts w:cs="Times New Roman"/>
        </w:rPr>
        <w:t>’</w:t>
      </w:r>
      <w:r w:rsidRPr="00985CB4">
        <w:rPr>
          <w:rFonts w:cs="Times New Roman"/>
        </w:rPr>
        <w:t>art reconnue », qui est « souvent mordante, crue et même cruelle », et il prétend qu</w:t>
      </w:r>
      <w:r>
        <w:rPr>
          <w:rFonts w:cs="Times New Roman"/>
        </w:rPr>
        <w:t>’</w:t>
      </w:r>
      <w:r w:rsidRPr="00985CB4">
        <w:rPr>
          <w:rFonts w:cs="Times New Roman"/>
        </w:rPr>
        <w:t>il existe un intérêt public accru à se moquer de M. Gabriel du fait qu</w:t>
      </w:r>
      <w:r>
        <w:rPr>
          <w:rFonts w:cs="Times New Roman"/>
        </w:rPr>
        <w:t>’</w:t>
      </w:r>
      <w:r w:rsidRPr="00985CB4">
        <w:rPr>
          <w:rFonts w:cs="Times New Roman"/>
        </w:rPr>
        <w:t>il est célèbre.</w:t>
      </w:r>
    </w:p>
    <w:p w14:paraId="4867436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Il est certes vrai que l</w:t>
      </w:r>
      <w:r>
        <w:rPr>
          <w:rFonts w:cs="Times New Roman"/>
        </w:rPr>
        <w:t>’</w:t>
      </w:r>
      <w:r w:rsidRPr="00985CB4">
        <w:rPr>
          <w:rFonts w:cs="Times New Roman"/>
        </w:rPr>
        <w:t>art, et en particulier la satire, jouent un rôle social important. Dans l</w:t>
      </w:r>
      <w:r>
        <w:rPr>
          <w:rFonts w:cs="Times New Roman"/>
        </w:rPr>
        <w:t>’</w:t>
      </w:r>
      <w:r w:rsidRPr="00985CB4">
        <w:rPr>
          <w:rFonts w:cs="Times New Roman"/>
        </w:rPr>
        <w:t xml:space="preserve">arrêt </w:t>
      </w:r>
      <w:r w:rsidRPr="00985CB4">
        <w:rPr>
          <w:rFonts w:cs="Times New Roman"/>
          <w:i/>
        </w:rPr>
        <w:t>WIC Radio Ltd. c. Simpson</w:t>
      </w:r>
      <w:r w:rsidRPr="00985CB4">
        <w:rPr>
          <w:rFonts w:cs="Times New Roman"/>
        </w:rPr>
        <w:t>,</w:t>
      </w:r>
      <w:r w:rsidRPr="00985CB4">
        <w:rPr>
          <w:rFonts w:cs="Times New Roman"/>
          <w:i/>
        </w:rPr>
        <w:t xml:space="preserve"> </w:t>
      </w:r>
      <w:r w:rsidRPr="00985CB4">
        <w:rPr>
          <w:rFonts w:cs="Times New Roman"/>
        </w:rPr>
        <w:t xml:space="preserve">[2008] 2 R.C.S. 420, </w:t>
      </w:r>
      <w:r>
        <w:rPr>
          <w:rFonts w:cs="Times New Roman"/>
        </w:rPr>
        <w:t>par. </w:t>
      </w:r>
      <w:r w:rsidRPr="00985CB4">
        <w:rPr>
          <w:rFonts w:cs="Times New Roman"/>
        </w:rPr>
        <w:t>48, le juge Binnie a expliqué que « [</w:t>
      </w:r>
      <w:r>
        <w:rPr>
          <w:rFonts w:cs="Times New Roman"/>
        </w:rPr>
        <w:t>l</w:t>
      </w:r>
      <w:r w:rsidRPr="00985CB4">
        <w:rPr>
          <w:rFonts w:cs="Times New Roman"/>
        </w:rPr>
        <w:t>]e droit doit bien sûr tenir compte de commentateurs comme le satiriste ou le caricaturiste [. . .] Leur fonction n</w:t>
      </w:r>
      <w:r>
        <w:rPr>
          <w:rFonts w:cs="Times New Roman"/>
        </w:rPr>
        <w:t>’</w:t>
      </w:r>
      <w:r w:rsidRPr="00985CB4">
        <w:rPr>
          <w:rFonts w:cs="Times New Roman"/>
        </w:rPr>
        <w:t>est pas tant de faire progresser le débat public que d</w:t>
      </w:r>
      <w:r>
        <w:rPr>
          <w:rFonts w:cs="Times New Roman"/>
        </w:rPr>
        <w:t>’</w:t>
      </w:r>
      <w:r w:rsidRPr="00985CB4">
        <w:rPr>
          <w:rFonts w:cs="Times New Roman"/>
        </w:rPr>
        <w:t>exercer le droit démocratique de se moquer des gens qui protestent dans l</w:t>
      </w:r>
      <w:r>
        <w:rPr>
          <w:rFonts w:cs="Times New Roman"/>
        </w:rPr>
        <w:t>’</w:t>
      </w:r>
      <w:r w:rsidRPr="00985CB4">
        <w:rPr>
          <w:rFonts w:cs="Times New Roman"/>
        </w:rPr>
        <w:t>arène publique</w:t>
      </w:r>
      <w:r>
        <w:rPr>
          <w:rFonts w:cs="Times New Roman"/>
        </w:rPr>
        <w:t>.</w:t>
      </w:r>
      <w:r w:rsidRPr="00985CB4">
        <w:rPr>
          <w:rFonts w:cs="Times New Roman"/>
        </w:rPr>
        <w:t xml:space="preserve"> » Dans </w:t>
      </w:r>
      <w:r w:rsidRPr="00985CB4">
        <w:rPr>
          <w:rFonts w:cs="Times New Roman"/>
          <w:i/>
        </w:rPr>
        <w:t>R. c. Butler</w:t>
      </w:r>
      <w:r w:rsidRPr="00985CB4">
        <w:rPr>
          <w:rFonts w:cs="Times New Roman"/>
        </w:rPr>
        <w:t xml:space="preserve">, [1992] 1 R.C.S. 452, le </w:t>
      </w:r>
      <w:r>
        <w:rPr>
          <w:rFonts w:cs="Times New Roman"/>
        </w:rPr>
        <w:t xml:space="preserve">juge </w:t>
      </w:r>
      <w:r w:rsidRPr="00985CB4">
        <w:rPr>
          <w:rFonts w:cs="Times New Roman"/>
        </w:rPr>
        <w:t>Sopinka a affirmé que « [l]</w:t>
      </w:r>
      <w:r>
        <w:rPr>
          <w:rFonts w:cs="Times New Roman"/>
        </w:rPr>
        <w:t>’</w:t>
      </w:r>
      <w:r w:rsidRPr="00985CB4">
        <w:rPr>
          <w:rFonts w:cs="Times New Roman"/>
        </w:rPr>
        <w:t>expression artistique est au cœur des valeurs relatives à la liberté d</w:t>
      </w:r>
      <w:r>
        <w:rPr>
          <w:rFonts w:cs="Times New Roman"/>
        </w:rPr>
        <w:t>’</w:t>
      </w:r>
      <w:r w:rsidRPr="00985CB4">
        <w:rPr>
          <w:rFonts w:cs="Times New Roman"/>
        </w:rPr>
        <w:t>expression et tout doute à cet égard doit être tranché en faveur de la liberté d</w:t>
      </w:r>
      <w:r>
        <w:rPr>
          <w:rFonts w:cs="Times New Roman"/>
        </w:rPr>
        <w:t>’</w:t>
      </w:r>
      <w:r w:rsidRPr="00985CB4">
        <w:rPr>
          <w:rFonts w:cs="Times New Roman"/>
        </w:rPr>
        <w:t>expression » (</w:t>
      </w:r>
      <w:r>
        <w:rPr>
          <w:rFonts w:cs="Times New Roman"/>
        </w:rPr>
        <w:t>p. </w:t>
      </w:r>
      <w:r w:rsidRPr="00985CB4">
        <w:rPr>
          <w:rFonts w:cs="Times New Roman"/>
        </w:rPr>
        <w:t xml:space="preserve">486; voir aussi </w:t>
      </w:r>
      <w:r w:rsidRPr="00985CB4">
        <w:rPr>
          <w:rFonts w:cs="Times New Roman"/>
          <w:i/>
        </w:rPr>
        <w:t>Sharpe</w:t>
      </w:r>
      <w:r w:rsidRPr="00985CB4">
        <w:rPr>
          <w:rFonts w:cs="Times New Roman"/>
        </w:rPr>
        <w:t xml:space="preserve">, </w:t>
      </w:r>
      <w:r>
        <w:rPr>
          <w:rFonts w:cs="Times New Roman"/>
        </w:rPr>
        <w:t>par. </w:t>
      </w:r>
      <w:r w:rsidRPr="00985CB4">
        <w:rPr>
          <w:rFonts w:cs="Times New Roman"/>
        </w:rPr>
        <w:t>60</w:t>
      </w:r>
      <w:r>
        <w:rPr>
          <w:rFonts w:cs="Times New Roman"/>
        </w:rPr>
        <w:noBreakHyphen/>
      </w:r>
      <w:r w:rsidRPr="00985CB4">
        <w:rPr>
          <w:rFonts w:cs="Times New Roman"/>
        </w:rPr>
        <w:t>61).</w:t>
      </w:r>
      <w:r w:rsidRPr="00985CB4">
        <w:rPr>
          <w:rFonts w:cs="Times New Roman"/>
          <w:szCs w:val="24"/>
        </w:rPr>
        <w:t xml:space="preserve"> De plus, la Cour a maintes fois souligné que l</w:t>
      </w:r>
      <w:r>
        <w:rPr>
          <w:rFonts w:cs="Times New Roman"/>
          <w:szCs w:val="24"/>
        </w:rPr>
        <w:t>’</w:t>
      </w:r>
      <w:r w:rsidRPr="00985CB4">
        <w:rPr>
          <w:rFonts w:cs="Times New Roman"/>
          <w:szCs w:val="24"/>
        </w:rPr>
        <w:t>« épanouissement personnel sur le plan [. . .] artistique » est un élément fondamental de la liberté d</w:t>
      </w:r>
      <w:r>
        <w:rPr>
          <w:rFonts w:cs="Times New Roman"/>
          <w:szCs w:val="24"/>
        </w:rPr>
        <w:t>’</w:t>
      </w:r>
      <w:r w:rsidRPr="00985CB4">
        <w:rPr>
          <w:rFonts w:cs="Times New Roman"/>
          <w:szCs w:val="24"/>
        </w:rPr>
        <w:t>expression, au même titre que l</w:t>
      </w:r>
      <w:r>
        <w:rPr>
          <w:rFonts w:cs="Times New Roman"/>
          <w:szCs w:val="24"/>
        </w:rPr>
        <w:t>’</w:t>
      </w:r>
      <w:r w:rsidRPr="00985CB4">
        <w:rPr>
          <w:rFonts w:cs="Times New Roman"/>
          <w:szCs w:val="24"/>
        </w:rPr>
        <w:t>« épanouissement personnel sur le plan spirituel » et la « particip[ation] au processus politique » (</w:t>
      </w:r>
      <w:r w:rsidRPr="00985CB4">
        <w:rPr>
          <w:rFonts w:cs="Times New Roman"/>
          <w:i/>
          <w:szCs w:val="24"/>
        </w:rPr>
        <w:t>Rocket c. Collège royal des chirurgiens dentistes d</w:t>
      </w:r>
      <w:r>
        <w:rPr>
          <w:rFonts w:cs="Times New Roman"/>
          <w:i/>
          <w:szCs w:val="24"/>
        </w:rPr>
        <w:t>’</w:t>
      </w:r>
      <w:r w:rsidRPr="00985CB4">
        <w:rPr>
          <w:rFonts w:cs="Times New Roman"/>
          <w:i/>
          <w:szCs w:val="24"/>
        </w:rPr>
        <w:t>Ontario</w:t>
      </w:r>
      <w:r w:rsidRPr="00985CB4">
        <w:rPr>
          <w:rFonts w:cs="Times New Roman"/>
          <w:szCs w:val="24"/>
        </w:rPr>
        <w:t xml:space="preserve">, [1990] 2 R.C.S. 232, </w:t>
      </w:r>
      <w:r>
        <w:rPr>
          <w:rFonts w:cs="Times New Roman"/>
          <w:szCs w:val="24"/>
        </w:rPr>
        <w:t>p. </w:t>
      </w:r>
      <w:r w:rsidRPr="00985CB4">
        <w:rPr>
          <w:rFonts w:cs="Times New Roman"/>
          <w:szCs w:val="24"/>
        </w:rPr>
        <w:t xml:space="preserve">247, citant </w:t>
      </w:r>
      <w:r w:rsidRPr="00985CB4">
        <w:rPr>
          <w:rFonts w:cs="Times New Roman"/>
          <w:i/>
          <w:szCs w:val="24"/>
        </w:rPr>
        <w:t>Irwin Toy</w:t>
      </w:r>
      <w:r w:rsidRPr="00985CB4">
        <w:rPr>
          <w:rFonts w:cs="Times New Roman"/>
          <w:szCs w:val="24"/>
        </w:rPr>
        <w:t>,</w:t>
      </w:r>
      <w:r w:rsidRPr="00985CB4">
        <w:rPr>
          <w:rFonts w:cs="Times New Roman"/>
          <w:i/>
          <w:szCs w:val="24"/>
        </w:rPr>
        <w:t xml:space="preserve"> </w:t>
      </w:r>
      <w:r>
        <w:rPr>
          <w:rFonts w:cs="Times New Roman"/>
          <w:szCs w:val="24"/>
        </w:rPr>
        <w:t>p. </w:t>
      </w:r>
      <w:r w:rsidRPr="00985CB4">
        <w:rPr>
          <w:rFonts w:cs="Times New Roman"/>
          <w:szCs w:val="24"/>
        </w:rPr>
        <w:t>976;</w:t>
      </w:r>
      <w:r>
        <w:rPr>
          <w:rFonts w:cs="Times New Roman"/>
          <w:szCs w:val="24"/>
        </w:rPr>
        <w:t xml:space="preserve"> voir aussi</w:t>
      </w:r>
      <w:r w:rsidRPr="00985CB4">
        <w:rPr>
          <w:rFonts w:cs="Times New Roman"/>
          <w:szCs w:val="24"/>
        </w:rPr>
        <w:t xml:space="preserve"> </w:t>
      </w:r>
      <w:r w:rsidRPr="00985CB4">
        <w:rPr>
          <w:rFonts w:cs="Times New Roman"/>
          <w:i/>
          <w:szCs w:val="24"/>
        </w:rPr>
        <w:t>RJR</w:t>
      </w:r>
      <w:r>
        <w:rPr>
          <w:rFonts w:cs="Times New Roman"/>
          <w:i/>
          <w:szCs w:val="24"/>
        </w:rPr>
        <w:noBreakHyphen/>
      </w:r>
      <w:r w:rsidRPr="00985CB4">
        <w:rPr>
          <w:rFonts w:cs="Times New Roman"/>
          <w:i/>
          <w:szCs w:val="24"/>
        </w:rPr>
        <w:t>MacDonald Inc. c. Canada (Procureur général)</w:t>
      </w:r>
      <w:r w:rsidRPr="00985CB4">
        <w:rPr>
          <w:rFonts w:cs="Times New Roman"/>
          <w:szCs w:val="24"/>
        </w:rPr>
        <w:t>,</w:t>
      </w:r>
      <w:r w:rsidRPr="00985CB4">
        <w:rPr>
          <w:rFonts w:cs="Times New Roman"/>
          <w:i/>
          <w:szCs w:val="24"/>
        </w:rPr>
        <w:t xml:space="preserve"> </w:t>
      </w:r>
      <w:r w:rsidRPr="00985CB4">
        <w:rPr>
          <w:rFonts w:cs="Times New Roman"/>
          <w:szCs w:val="24"/>
        </w:rPr>
        <w:t xml:space="preserve">[1995] 3 R.C.S. 199, </w:t>
      </w:r>
      <w:r>
        <w:rPr>
          <w:rFonts w:cs="Times New Roman"/>
          <w:szCs w:val="24"/>
        </w:rPr>
        <w:t>par. </w:t>
      </w:r>
      <w:r w:rsidRPr="00985CB4">
        <w:rPr>
          <w:rFonts w:cs="Times New Roman"/>
          <w:szCs w:val="24"/>
        </w:rPr>
        <w:t>107).</w:t>
      </w:r>
    </w:p>
    <w:p w14:paraId="3C918D00"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Néanmoins, bien que l</w:t>
      </w:r>
      <w:r>
        <w:rPr>
          <w:rFonts w:cs="Times New Roman"/>
        </w:rPr>
        <w:t>’</w:t>
      </w:r>
      <w:r w:rsidRPr="00985CB4">
        <w:rPr>
          <w:rFonts w:cs="Times New Roman"/>
        </w:rPr>
        <w:t>importance de l</w:t>
      </w:r>
      <w:r>
        <w:rPr>
          <w:rFonts w:cs="Times New Roman"/>
        </w:rPr>
        <w:t>’</w:t>
      </w:r>
      <w:r w:rsidRPr="00985CB4">
        <w:rPr>
          <w:rFonts w:cs="Times New Roman"/>
        </w:rPr>
        <w:t>expression artistique puisse faire pencher la balance dans certains cas, notre Cour a refusé de la reconnaître comme une catégorie distincte d</w:t>
      </w:r>
      <w:r>
        <w:rPr>
          <w:rFonts w:cs="Times New Roman"/>
        </w:rPr>
        <w:t>’</w:t>
      </w:r>
      <w:r w:rsidRPr="00985CB4">
        <w:rPr>
          <w:rFonts w:cs="Times New Roman"/>
        </w:rPr>
        <w:t>expression méritant une protection privilégiée. Dans l</w:t>
      </w:r>
      <w:r>
        <w:rPr>
          <w:rFonts w:cs="Times New Roman"/>
        </w:rPr>
        <w:t>’</w:t>
      </w:r>
      <w:r w:rsidRPr="00985CB4">
        <w:rPr>
          <w:rFonts w:cs="Times New Roman"/>
        </w:rPr>
        <w:t xml:space="preserve">arrêt </w:t>
      </w:r>
      <w:r w:rsidRPr="00985CB4">
        <w:rPr>
          <w:rFonts w:cs="Times New Roman"/>
          <w:i/>
        </w:rPr>
        <w:t>Aubry</w:t>
      </w:r>
      <w:r w:rsidRPr="00985CB4">
        <w:rPr>
          <w:rFonts w:cs="Times New Roman"/>
        </w:rPr>
        <w:t>, les juges L</w:t>
      </w:r>
      <w:r>
        <w:rPr>
          <w:rFonts w:cs="Times New Roman"/>
        </w:rPr>
        <w:t>’</w:t>
      </w:r>
      <w:r w:rsidRPr="00985CB4">
        <w:rPr>
          <w:rFonts w:cs="Times New Roman"/>
        </w:rPr>
        <w:t>Heureux</w:t>
      </w:r>
      <w:r>
        <w:rPr>
          <w:rFonts w:cs="Times New Roman"/>
        </w:rPr>
        <w:noBreakHyphen/>
      </w:r>
      <w:r w:rsidRPr="00985CB4">
        <w:rPr>
          <w:rFonts w:cs="Times New Roman"/>
        </w:rPr>
        <w:t>Dubé et Bastarache, s</w:t>
      </w:r>
      <w:r>
        <w:rPr>
          <w:rFonts w:cs="Times New Roman"/>
        </w:rPr>
        <w:t>’</w:t>
      </w:r>
      <w:r w:rsidRPr="00985CB4">
        <w:rPr>
          <w:rFonts w:cs="Times New Roman"/>
        </w:rPr>
        <w:t>exprimant pour la majorité, ont conclu que parce que « [l]</w:t>
      </w:r>
      <w:r>
        <w:rPr>
          <w:rFonts w:cs="Times New Roman"/>
        </w:rPr>
        <w:t>’</w:t>
      </w:r>
      <w:r w:rsidRPr="00985CB4">
        <w:rPr>
          <w:rFonts w:cs="Times New Roman"/>
        </w:rPr>
        <w:t>artiste peut invoquer son droit à la liberté d</w:t>
      </w:r>
      <w:r>
        <w:rPr>
          <w:rFonts w:cs="Times New Roman"/>
        </w:rPr>
        <w:t>’</w:t>
      </w:r>
      <w:r w:rsidRPr="00985CB4">
        <w:rPr>
          <w:rFonts w:cs="Times New Roman"/>
        </w:rPr>
        <w:t>expression suivant les mêmes conditions que toute autre personne », il « n</w:t>
      </w:r>
      <w:r>
        <w:rPr>
          <w:rFonts w:cs="Times New Roman"/>
        </w:rPr>
        <w:t>’</w:t>
      </w:r>
      <w:r w:rsidRPr="00985CB4">
        <w:rPr>
          <w:rFonts w:cs="Times New Roman"/>
        </w:rPr>
        <w:t>y a [. . .] pas lieu de créer une catégorie particulière pour tenir compte de la liberté d</w:t>
      </w:r>
      <w:r>
        <w:rPr>
          <w:rFonts w:cs="Times New Roman"/>
        </w:rPr>
        <w:t>’</w:t>
      </w:r>
      <w:r w:rsidRPr="00985CB4">
        <w:rPr>
          <w:rFonts w:cs="Times New Roman"/>
        </w:rPr>
        <w:t>expression artistique. [. . .] Il n</w:t>
      </w:r>
      <w:r>
        <w:rPr>
          <w:rFonts w:cs="Times New Roman"/>
        </w:rPr>
        <w:t>’</w:t>
      </w:r>
      <w:r w:rsidRPr="00985CB4">
        <w:rPr>
          <w:rFonts w:cs="Times New Roman"/>
        </w:rPr>
        <w:t>y a pas, non plus, de justification pour [. . .] attribuer [à l</w:t>
      </w:r>
      <w:r>
        <w:rPr>
          <w:rFonts w:cs="Times New Roman"/>
        </w:rPr>
        <w:t>’</w:t>
      </w:r>
      <w:r w:rsidRPr="00985CB4">
        <w:rPr>
          <w:rFonts w:cs="Times New Roman"/>
        </w:rPr>
        <w:t>expression artistique] un statut supérieur à la liberté d</w:t>
      </w:r>
      <w:r>
        <w:rPr>
          <w:rFonts w:cs="Times New Roman"/>
        </w:rPr>
        <w:t>’</w:t>
      </w:r>
      <w:r w:rsidRPr="00985CB4">
        <w:rPr>
          <w:rFonts w:cs="Times New Roman"/>
        </w:rPr>
        <w:t>expression générale » (</w:t>
      </w:r>
      <w:r>
        <w:rPr>
          <w:rFonts w:cs="Times New Roman"/>
        </w:rPr>
        <w:t>par. </w:t>
      </w:r>
      <w:r w:rsidRPr="00985CB4">
        <w:rPr>
          <w:rFonts w:cs="Times New Roman"/>
        </w:rPr>
        <w:t>55). Ils ont ajouté que « [l]</w:t>
      </w:r>
      <w:r>
        <w:rPr>
          <w:rFonts w:cs="Times New Roman"/>
        </w:rPr>
        <w:t>’</w:t>
      </w:r>
      <w:r w:rsidRPr="00985CB4">
        <w:rPr>
          <w:rFonts w:cs="Times New Roman"/>
        </w:rPr>
        <w:t>argument que le public a intérêt à prendre connaissance de toute œuvre artistique ne peut être retenu, notamment parce que le droit de l</w:t>
      </w:r>
      <w:r>
        <w:rPr>
          <w:rFonts w:cs="Times New Roman"/>
        </w:rPr>
        <w:t>’</w:t>
      </w:r>
      <w:r w:rsidRPr="00985CB4">
        <w:rPr>
          <w:rFonts w:cs="Times New Roman"/>
        </w:rPr>
        <w:t>artiste de faire connaître son œuvre, pas plus que les autres formes de liberté d</w:t>
      </w:r>
      <w:r>
        <w:rPr>
          <w:rFonts w:cs="Times New Roman"/>
        </w:rPr>
        <w:t>’</w:t>
      </w:r>
      <w:r w:rsidRPr="00985CB4">
        <w:rPr>
          <w:rFonts w:cs="Times New Roman"/>
        </w:rPr>
        <w:t>expression, n</w:t>
      </w:r>
      <w:r>
        <w:rPr>
          <w:rFonts w:cs="Times New Roman"/>
        </w:rPr>
        <w:t>’</w:t>
      </w:r>
      <w:r w:rsidRPr="00985CB4">
        <w:rPr>
          <w:rFonts w:cs="Times New Roman"/>
        </w:rPr>
        <w:t>est absolu » (</w:t>
      </w:r>
      <w:r>
        <w:rPr>
          <w:rFonts w:cs="Times New Roman"/>
        </w:rPr>
        <w:t>par. </w:t>
      </w:r>
      <w:r w:rsidRPr="00985CB4">
        <w:rPr>
          <w:rFonts w:cs="Times New Roman"/>
        </w:rPr>
        <w:t xml:space="preserve">62). </w:t>
      </w:r>
    </w:p>
    <w:p w14:paraId="36DB16E3" w14:textId="77777777" w:rsidR="00116CBE" w:rsidRPr="00985CB4" w:rsidRDefault="00116CBE" w:rsidP="00116CBE">
      <w:pPr>
        <w:pStyle w:val="ParaNoNdepar-AltN"/>
        <w:rPr>
          <w:rFonts w:cs="Times New Roman"/>
        </w:rPr>
      </w:pPr>
      <w:r w:rsidRPr="00985CB4">
        <w:rPr>
          <w:rFonts w:cs="Times New Roman"/>
        </w:rPr>
        <w:t>Comme l</w:t>
      </w:r>
      <w:r>
        <w:rPr>
          <w:rFonts w:cs="Times New Roman"/>
        </w:rPr>
        <w:t>’</w:t>
      </w:r>
      <w:r w:rsidRPr="00985CB4">
        <w:rPr>
          <w:rFonts w:cs="Times New Roman"/>
        </w:rPr>
        <w:t>a expliqué la Cour dans l</w:t>
      </w:r>
      <w:r>
        <w:rPr>
          <w:rFonts w:cs="Times New Roman"/>
        </w:rPr>
        <w:t>’</w:t>
      </w:r>
      <w:r w:rsidRPr="00985CB4">
        <w:rPr>
          <w:rFonts w:cs="Times New Roman"/>
        </w:rPr>
        <w:t xml:space="preserve">arrêt </w:t>
      </w:r>
      <w:r w:rsidRPr="00985CB4">
        <w:rPr>
          <w:rFonts w:cs="Times New Roman"/>
          <w:i/>
        </w:rPr>
        <w:t>Aubry</w:t>
      </w:r>
      <w:r w:rsidRPr="00985CB4">
        <w:rPr>
          <w:rFonts w:cs="Times New Roman"/>
        </w:rPr>
        <w:t>, lorsqu</w:t>
      </w:r>
      <w:r>
        <w:rPr>
          <w:rFonts w:cs="Times New Roman"/>
        </w:rPr>
        <w:t>’</w:t>
      </w:r>
      <w:r w:rsidRPr="00985CB4">
        <w:rPr>
          <w:rFonts w:cs="Times New Roman"/>
        </w:rPr>
        <w:t>ils décident s</w:t>
      </w:r>
      <w:r>
        <w:rPr>
          <w:rFonts w:cs="Times New Roman"/>
        </w:rPr>
        <w:t>’</w:t>
      </w:r>
      <w:r w:rsidRPr="00985CB4">
        <w:rPr>
          <w:rFonts w:cs="Times New Roman"/>
        </w:rPr>
        <w:t>il existe un intérêt public proportionnel justifiant l</w:t>
      </w:r>
      <w:r>
        <w:rPr>
          <w:rFonts w:cs="Times New Roman"/>
        </w:rPr>
        <w:t>’</w:t>
      </w:r>
      <w:r w:rsidRPr="00985CB4">
        <w:rPr>
          <w:rFonts w:cs="Times New Roman"/>
        </w:rPr>
        <w:t>exercice de la liberté d</w:t>
      </w:r>
      <w:r>
        <w:rPr>
          <w:rFonts w:cs="Times New Roman"/>
        </w:rPr>
        <w:t>’</w:t>
      </w:r>
      <w:r w:rsidRPr="00985CB4">
        <w:rPr>
          <w:rFonts w:cs="Times New Roman"/>
        </w:rPr>
        <w:t>expression d</w:t>
      </w:r>
      <w:r>
        <w:rPr>
          <w:rFonts w:cs="Times New Roman"/>
        </w:rPr>
        <w:t>’</w:t>
      </w:r>
      <w:r w:rsidRPr="00985CB4">
        <w:rPr>
          <w:rFonts w:cs="Times New Roman"/>
        </w:rPr>
        <w:t xml:space="preserve">une façon qui viole les droits que la </w:t>
      </w:r>
      <w:r w:rsidRPr="00985CB4">
        <w:rPr>
          <w:rFonts w:cs="Times New Roman"/>
          <w:i/>
        </w:rPr>
        <w:t xml:space="preserve">Charte </w:t>
      </w:r>
      <w:r w:rsidRPr="00985CB4">
        <w:rPr>
          <w:rFonts w:cs="Times New Roman"/>
        </w:rPr>
        <w:t>québécoise garantit à une autre personne, les tribunaux doivent tenir compte de toutes les « valeurs en présence » (</w:t>
      </w:r>
      <w:r>
        <w:rPr>
          <w:rFonts w:cs="Times New Roman"/>
        </w:rPr>
        <w:t>par. </w:t>
      </w:r>
      <w:r w:rsidRPr="00985CB4">
        <w:rPr>
          <w:rFonts w:cs="Times New Roman"/>
        </w:rPr>
        <w:t>62). Les valeurs qui sous</w:t>
      </w:r>
      <w:r>
        <w:rPr>
          <w:rFonts w:cs="Times New Roman"/>
        </w:rPr>
        <w:noBreakHyphen/>
      </w:r>
      <w:r w:rsidRPr="00985CB4">
        <w:rPr>
          <w:rFonts w:cs="Times New Roman"/>
        </w:rPr>
        <w:t>tendent la liberté d</w:t>
      </w:r>
      <w:r>
        <w:rPr>
          <w:rFonts w:cs="Times New Roman"/>
        </w:rPr>
        <w:t>’</w:t>
      </w:r>
      <w:r w:rsidRPr="00985CB4">
        <w:rPr>
          <w:rFonts w:cs="Times New Roman"/>
        </w:rPr>
        <w:t>expression sont liées à « la recherche de la vérité dans divers domaines d</w:t>
      </w:r>
      <w:r>
        <w:rPr>
          <w:rFonts w:cs="Times New Roman"/>
        </w:rPr>
        <w:t>’</w:t>
      </w:r>
      <w:r w:rsidRPr="00985CB4">
        <w:rPr>
          <w:rFonts w:cs="Times New Roman"/>
        </w:rPr>
        <w:t>enquête et à la capacité de chacun de s</w:t>
      </w:r>
      <w:r>
        <w:rPr>
          <w:rFonts w:cs="Times New Roman"/>
        </w:rPr>
        <w:t>’</w:t>
      </w:r>
      <w:r w:rsidRPr="00985CB4">
        <w:rPr>
          <w:rFonts w:cs="Times New Roman"/>
        </w:rPr>
        <w:t>exprimer et de s</w:t>
      </w:r>
      <w:r>
        <w:rPr>
          <w:rFonts w:cs="Times New Roman"/>
        </w:rPr>
        <w:t>’</w:t>
      </w:r>
      <w:r w:rsidRPr="00985CB4">
        <w:rPr>
          <w:rFonts w:cs="Times New Roman"/>
        </w:rPr>
        <w:t>épanouir » (</w:t>
      </w:r>
      <w:r w:rsidRPr="00985CB4">
        <w:rPr>
          <w:rFonts w:cs="Times New Roman"/>
          <w:i/>
        </w:rPr>
        <w:t>Grant c. Torstar Corp.</w:t>
      </w:r>
      <w:r w:rsidRPr="00985CB4">
        <w:rPr>
          <w:rFonts w:cs="Times New Roman"/>
        </w:rPr>
        <w:t>, [2009] 3 R.C.S. 640,</w:t>
      </w:r>
      <w:r w:rsidRPr="00985CB4">
        <w:rPr>
          <w:rFonts w:cs="Times New Roman"/>
          <w:i/>
        </w:rPr>
        <w:t xml:space="preserve"> </w:t>
      </w:r>
      <w:r>
        <w:rPr>
          <w:rFonts w:cs="Times New Roman"/>
        </w:rPr>
        <w:t>par. </w:t>
      </w:r>
      <w:r w:rsidRPr="00985CB4">
        <w:rPr>
          <w:rFonts w:cs="Times New Roman"/>
        </w:rPr>
        <w:t xml:space="preserve">1; voir aussi </w:t>
      </w:r>
      <w:r w:rsidRPr="00985CB4">
        <w:rPr>
          <w:rFonts w:cs="Times New Roman"/>
          <w:i/>
        </w:rPr>
        <w:t>Thomson Newspapers Co. c. Canada (Procureur général)</w:t>
      </w:r>
      <w:r w:rsidRPr="00985CB4">
        <w:rPr>
          <w:rFonts w:cs="Times New Roman"/>
        </w:rPr>
        <w:t xml:space="preserve">, [1998] 1 R.C.S. 877, </w:t>
      </w:r>
      <w:r>
        <w:rPr>
          <w:rFonts w:cs="Times New Roman"/>
        </w:rPr>
        <w:t>par. </w:t>
      </w:r>
      <w:r w:rsidRPr="00985CB4">
        <w:rPr>
          <w:rFonts w:cs="Times New Roman"/>
        </w:rPr>
        <w:t>91</w:t>
      </w:r>
      <w:r>
        <w:rPr>
          <w:rFonts w:cs="Times New Roman"/>
        </w:rPr>
        <w:noBreakHyphen/>
      </w:r>
      <w:r w:rsidRPr="00985CB4">
        <w:rPr>
          <w:rFonts w:cs="Times New Roman"/>
        </w:rPr>
        <w:t xml:space="preserve">94; </w:t>
      </w:r>
      <w:r w:rsidRPr="00985CB4">
        <w:rPr>
          <w:rFonts w:cs="Times New Roman"/>
          <w:i/>
        </w:rPr>
        <w:t>Groia c. Barreau du Haut</w:t>
      </w:r>
      <w:r>
        <w:rPr>
          <w:rFonts w:cs="Times New Roman"/>
          <w:i/>
        </w:rPr>
        <w:noBreakHyphen/>
      </w:r>
      <w:r w:rsidRPr="00985CB4">
        <w:rPr>
          <w:rFonts w:cs="Times New Roman"/>
          <w:i/>
        </w:rPr>
        <w:t>Canada</w:t>
      </w:r>
      <w:r w:rsidRPr="00985CB4">
        <w:rPr>
          <w:rFonts w:cs="Times New Roman"/>
        </w:rPr>
        <w:t>,</w:t>
      </w:r>
      <w:r w:rsidRPr="00985CB4">
        <w:rPr>
          <w:rFonts w:cs="Times New Roman"/>
          <w:i/>
        </w:rPr>
        <w:t xml:space="preserve"> </w:t>
      </w:r>
      <w:r w:rsidRPr="00985CB4">
        <w:rPr>
          <w:rFonts w:cs="Times New Roman"/>
        </w:rPr>
        <w:t xml:space="preserve">[2018] 1 R.C.S. 772, </w:t>
      </w:r>
      <w:r>
        <w:rPr>
          <w:rFonts w:cs="Times New Roman"/>
        </w:rPr>
        <w:t>par. </w:t>
      </w:r>
      <w:r w:rsidRPr="00985CB4">
        <w:rPr>
          <w:rFonts w:cs="Times New Roman"/>
        </w:rPr>
        <w:t xml:space="preserve">117; </w:t>
      </w:r>
      <w:r w:rsidRPr="00985CB4">
        <w:rPr>
          <w:rFonts w:cs="Times New Roman"/>
          <w:i/>
          <w:iCs/>
        </w:rPr>
        <w:t>RJR</w:t>
      </w:r>
      <w:r>
        <w:rPr>
          <w:rFonts w:cs="Times New Roman"/>
          <w:i/>
          <w:iCs/>
        </w:rPr>
        <w:noBreakHyphen/>
      </w:r>
      <w:r w:rsidRPr="00985CB4">
        <w:rPr>
          <w:rFonts w:cs="Times New Roman"/>
          <w:i/>
          <w:iCs/>
        </w:rPr>
        <w:t>MacDonald Inc.</w:t>
      </w:r>
      <w:r w:rsidRPr="00985CB4">
        <w:rPr>
          <w:rFonts w:cs="Times New Roman"/>
        </w:rPr>
        <w:t xml:space="preserve">, </w:t>
      </w:r>
      <w:r w:rsidRPr="00E20036">
        <w:t>par. 72</w:t>
      </w:r>
      <w:r w:rsidRPr="00E20036">
        <w:noBreakHyphen/>
        <w:t>73</w:t>
      </w:r>
      <w:r w:rsidRPr="00985CB4">
        <w:rPr>
          <w:rFonts w:cs="Times New Roman"/>
        </w:rPr>
        <w:t>).</w:t>
      </w:r>
    </w:p>
    <w:p w14:paraId="0E09CCCC"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Suivant l</w:t>
      </w:r>
      <w:r>
        <w:rPr>
          <w:rFonts w:cs="Times New Roman"/>
        </w:rPr>
        <w:t>’</w:t>
      </w:r>
      <w:r w:rsidRPr="00985CB4">
        <w:rPr>
          <w:rFonts w:cs="Times New Roman"/>
        </w:rPr>
        <w:t xml:space="preserve">arrêt </w:t>
      </w:r>
      <w:r w:rsidRPr="00985CB4">
        <w:rPr>
          <w:rFonts w:cs="Times New Roman"/>
          <w:i/>
        </w:rPr>
        <w:t>Aubry</w:t>
      </w:r>
      <w:r w:rsidRPr="00985CB4">
        <w:rPr>
          <w:rFonts w:cs="Times New Roman"/>
        </w:rPr>
        <w:t>, il est clair qu</w:t>
      </w:r>
      <w:r>
        <w:rPr>
          <w:rFonts w:cs="Times New Roman"/>
        </w:rPr>
        <w:t>’</w:t>
      </w:r>
      <w:r w:rsidRPr="00985CB4">
        <w:rPr>
          <w:rFonts w:cs="Times New Roman"/>
        </w:rPr>
        <w:t>il ne suffit pas qu</w:t>
      </w:r>
      <w:r>
        <w:rPr>
          <w:rFonts w:cs="Times New Roman"/>
        </w:rPr>
        <w:t>’</w:t>
      </w:r>
      <w:r w:rsidRPr="00985CB4">
        <w:rPr>
          <w:rFonts w:cs="Times New Roman"/>
        </w:rPr>
        <w:t>un artiste invoque le caractère artistique de son œuvre pour se soustraire à un examen judiciaire et justifier la violation des droits d</w:t>
      </w:r>
      <w:r>
        <w:rPr>
          <w:rFonts w:cs="Times New Roman"/>
        </w:rPr>
        <w:t>’</w:t>
      </w:r>
      <w:r w:rsidRPr="00985CB4">
        <w:rPr>
          <w:rFonts w:cs="Times New Roman"/>
        </w:rPr>
        <w:t>autrui. L</w:t>
      </w:r>
      <w:r>
        <w:rPr>
          <w:rFonts w:cs="Times New Roman"/>
        </w:rPr>
        <w:t>’</w:t>
      </w:r>
      <w:r w:rsidRPr="00985CB4">
        <w:rPr>
          <w:rFonts w:cs="Times New Roman"/>
        </w:rPr>
        <w:t>expression artistique, à l</w:t>
      </w:r>
      <w:r>
        <w:rPr>
          <w:rFonts w:cs="Times New Roman"/>
        </w:rPr>
        <w:t>’</w:t>
      </w:r>
      <w:r w:rsidRPr="00985CB4">
        <w:rPr>
          <w:rFonts w:cs="Times New Roman"/>
        </w:rPr>
        <w:t>instar de toute autre forme d</w:t>
      </w:r>
      <w:r>
        <w:rPr>
          <w:rFonts w:cs="Times New Roman"/>
        </w:rPr>
        <w:t>’</w:t>
      </w:r>
      <w:r w:rsidRPr="00985CB4">
        <w:rPr>
          <w:rFonts w:cs="Times New Roman"/>
        </w:rPr>
        <w:t>expression, peut aller trop loin lorsqu</w:t>
      </w:r>
      <w:r>
        <w:rPr>
          <w:rFonts w:cs="Times New Roman"/>
        </w:rPr>
        <w:t>’</w:t>
      </w:r>
      <w:r w:rsidRPr="00985CB4">
        <w:rPr>
          <w:rFonts w:cs="Times New Roman"/>
        </w:rPr>
        <w:t>elle a pour effet de causer un préjudice disproportionné à autrui.</w:t>
      </w:r>
    </w:p>
    <w:p w14:paraId="290268C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 xml:space="preserve">Un raisonnement similaire a été appliqué dans la décision </w:t>
      </w:r>
      <w:r w:rsidRPr="00985CB4">
        <w:rPr>
          <w:rFonts w:cs="Times New Roman"/>
          <w:i/>
        </w:rPr>
        <w:t>Pardy c. Earle</w:t>
      </w:r>
      <w:r w:rsidRPr="00985CB4">
        <w:rPr>
          <w:rFonts w:cs="Times New Roman"/>
        </w:rPr>
        <w:t>, 2013 BCSC 1079, 52 B.C.L.R. (5th) 295.</w:t>
      </w:r>
      <w:r w:rsidRPr="00985CB4">
        <w:rPr>
          <w:rFonts w:cs="Times New Roman"/>
          <w:i/>
        </w:rPr>
        <w:t xml:space="preserve"> </w:t>
      </w:r>
      <w:r w:rsidRPr="00985CB4">
        <w:rPr>
          <w:rFonts w:cs="Times New Roman"/>
        </w:rPr>
        <w:t>Dans cette affaire, l</w:t>
      </w:r>
      <w:r>
        <w:rPr>
          <w:rFonts w:cs="Times New Roman"/>
        </w:rPr>
        <w:t>’</w:t>
      </w:r>
      <w:r w:rsidRPr="00985CB4">
        <w:rPr>
          <w:rFonts w:cs="Times New Roman"/>
        </w:rPr>
        <w:t>animateur d</w:t>
      </w:r>
      <w:r>
        <w:rPr>
          <w:rFonts w:cs="Times New Roman"/>
        </w:rPr>
        <w:t>’</w:t>
      </w:r>
      <w:r w:rsidRPr="00985CB4">
        <w:rPr>
          <w:rFonts w:cs="Times New Roman"/>
        </w:rPr>
        <w:t>un spectacle d</w:t>
      </w:r>
      <w:r>
        <w:rPr>
          <w:rFonts w:cs="Times New Roman"/>
        </w:rPr>
        <w:t>’</w:t>
      </w:r>
      <w:r w:rsidRPr="00985CB4">
        <w:rPr>
          <w:rFonts w:cs="Times New Roman"/>
        </w:rPr>
        <w:t>humour a prononcé des insultes homophobes et sexistes contre la plaignante. Celle</w:t>
      </w:r>
      <w:r>
        <w:rPr>
          <w:rFonts w:cs="Times New Roman"/>
        </w:rPr>
        <w:noBreakHyphen/>
      </w:r>
      <w:r w:rsidRPr="00985CB4">
        <w:rPr>
          <w:rFonts w:cs="Times New Roman"/>
        </w:rPr>
        <w:t>ci a déposé une plainte pour discrimination fondée sur son orientation sexuelle et son genre. Le tribunal des droits de la personne a accueilli sa demande parce qu</w:t>
      </w:r>
      <w:r>
        <w:rPr>
          <w:rFonts w:cs="Times New Roman"/>
        </w:rPr>
        <w:t>’</w:t>
      </w:r>
      <w:r w:rsidRPr="00985CB4">
        <w:rPr>
          <w:rFonts w:cs="Times New Roman"/>
        </w:rPr>
        <w:t>elle avait été humiliée sur la base d</w:t>
      </w:r>
      <w:r>
        <w:rPr>
          <w:rFonts w:cs="Times New Roman"/>
        </w:rPr>
        <w:t>’</w:t>
      </w:r>
      <w:r w:rsidRPr="00985CB4">
        <w:rPr>
          <w:rFonts w:cs="Times New Roman"/>
        </w:rPr>
        <w:t>un motif interdit d</w:t>
      </w:r>
      <w:r>
        <w:rPr>
          <w:rFonts w:cs="Times New Roman"/>
        </w:rPr>
        <w:t>’</w:t>
      </w:r>
      <w:r w:rsidRPr="00985CB4">
        <w:rPr>
          <w:rFonts w:cs="Times New Roman"/>
        </w:rPr>
        <w:t>une manière qui avait porté atteinte à sa dignité et à son estime de soi. La Cour suprême de la Colombie</w:t>
      </w:r>
      <w:r>
        <w:rPr>
          <w:rFonts w:cs="Times New Roman"/>
        </w:rPr>
        <w:noBreakHyphen/>
      </w:r>
      <w:r w:rsidRPr="00985CB4">
        <w:rPr>
          <w:rFonts w:cs="Times New Roman"/>
        </w:rPr>
        <w:t>Britannique a confirmé le jugement du tribunal, expliquant que, [</w:t>
      </w:r>
      <w:r w:rsidRPr="00985CB4">
        <w:rPr>
          <w:rFonts w:cs="Times New Roman"/>
          <w:smallCaps/>
        </w:rPr>
        <w:t>traduction</w:t>
      </w:r>
      <w:r w:rsidRPr="00985CB4">
        <w:rPr>
          <w:rFonts w:cs="Times New Roman"/>
        </w:rPr>
        <w:t>] « [b]ien que les propos tenus par les humoristes, les artistes et les animateurs aient droit à la protection de l</w:t>
      </w:r>
      <w:r>
        <w:rPr>
          <w:rFonts w:cs="Times New Roman"/>
        </w:rPr>
        <w:t>’al. </w:t>
      </w:r>
      <w:r w:rsidRPr="00985CB4">
        <w:rPr>
          <w:rFonts w:cs="Times New Roman"/>
        </w:rPr>
        <w:t xml:space="preserve">2b) de la </w:t>
      </w:r>
      <w:r w:rsidRPr="00985CB4">
        <w:rPr>
          <w:rFonts w:cs="Times New Roman"/>
          <w:i/>
        </w:rPr>
        <w:t xml:space="preserve">Charte </w:t>
      </w:r>
      <w:r w:rsidRPr="00985CB4">
        <w:rPr>
          <w:rFonts w:cs="Times New Roman"/>
        </w:rPr>
        <w:t>[canadienne], des propos qui pourraient par ailleurs constituer de la discrimination suivant des lois sur les droits de la personne ne jouissent pas d</w:t>
      </w:r>
      <w:r>
        <w:rPr>
          <w:rFonts w:cs="Times New Roman"/>
        </w:rPr>
        <w:t>’</w:t>
      </w:r>
      <w:r w:rsidRPr="00985CB4">
        <w:rPr>
          <w:rFonts w:cs="Times New Roman"/>
        </w:rPr>
        <w:t>une protection absolue », et que même si « les cabarets d</w:t>
      </w:r>
      <w:r>
        <w:rPr>
          <w:rFonts w:cs="Times New Roman"/>
        </w:rPr>
        <w:t>’</w:t>
      </w:r>
      <w:r w:rsidRPr="00985CB4">
        <w:rPr>
          <w:rFonts w:cs="Times New Roman"/>
        </w:rPr>
        <w:t>humour sont des endroits où les artistes repoussent les limites et tentent parfois de susciter l</w:t>
      </w:r>
      <w:r>
        <w:rPr>
          <w:rFonts w:cs="Times New Roman"/>
        </w:rPr>
        <w:t>’</w:t>
      </w:r>
      <w:r w:rsidRPr="00985CB4">
        <w:rPr>
          <w:rFonts w:cs="Times New Roman"/>
        </w:rPr>
        <w:t>indignation[, i]l ne s</w:t>
      </w:r>
      <w:r>
        <w:rPr>
          <w:rFonts w:cs="Times New Roman"/>
        </w:rPr>
        <w:t>’</w:t>
      </w:r>
      <w:r w:rsidRPr="00985CB4">
        <w:rPr>
          <w:rFonts w:cs="Times New Roman"/>
        </w:rPr>
        <w:t>ensuit pas que ces cabarets sont des zones à l</w:t>
      </w:r>
      <w:r>
        <w:rPr>
          <w:rFonts w:cs="Times New Roman"/>
        </w:rPr>
        <w:t>’</w:t>
      </w:r>
      <w:r w:rsidRPr="00985CB4">
        <w:rPr>
          <w:rFonts w:cs="Times New Roman"/>
        </w:rPr>
        <w:t>abri des lois sur les droits de la personne » (</w:t>
      </w:r>
      <w:r>
        <w:rPr>
          <w:rFonts w:cs="Times New Roman"/>
        </w:rPr>
        <w:t>par. </w:t>
      </w:r>
      <w:r w:rsidRPr="00985CB4">
        <w:rPr>
          <w:rFonts w:cs="Times New Roman"/>
        </w:rPr>
        <w:t>327 et 337).</w:t>
      </w:r>
    </w:p>
    <w:p w14:paraId="5C7A7CBF"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En conséquence, M. Ward ne peut pas simplement prétendre que son humour constitue de l</w:t>
      </w:r>
      <w:r>
        <w:rPr>
          <w:rFonts w:cs="Times New Roman"/>
        </w:rPr>
        <w:t>’</w:t>
      </w:r>
      <w:r w:rsidRPr="00985CB4">
        <w:rPr>
          <w:rFonts w:cs="Times New Roman"/>
        </w:rPr>
        <w:t>art</w:t>
      </w:r>
      <w:r>
        <w:rPr>
          <w:rFonts w:cs="Times New Roman"/>
        </w:rPr>
        <w:t> :</w:t>
      </w:r>
      <w:r w:rsidRPr="00985CB4">
        <w:rPr>
          <w:rFonts w:cs="Times New Roman"/>
        </w:rPr>
        <w:t xml:space="preserve"> il doit démontrer pourquoi l</w:t>
      </w:r>
      <w:r>
        <w:rPr>
          <w:rFonts w:cs="Times New Roman"/>
        </w:rPr>
        <w:t>’</w:t>
      </w:r>
      <w:r w:rsidRPr="00985CB4">
        <w:rPr>
          <w:rFonts w:cs="Times New Roman"/>
        </w:rPr>
        <w:t>atteinte à ses droits d</w:t>
      </w:r>
      <w:r>
        <w:rPr>
          <w:rFonts w:cs="Times New Roman"/>
        </w:rPr>
        <w:t>’</w:t>
      </w:r>
      <w:r w:rsidRPr="00985CB4">
        <w:rPr>
          <w:rFonts w:cs="Times New Roman"/>
        </w:rPr>
        <w:t>expression est telle que les propos en l</w:t>
      </w:r>
      <w:r>
        <w:rPr>
          <w:rFonts w:cs="Times New Roman"/>
        </w:rPr>
        <w:t>’</w:t>
      </w:r>
      <w:r w:rsidRPr="00985CB4">
        <w:rPr>
          <w:rFonts w:cs="Times New Roman"/>
        </w:rPr>
        <w:t>espèce ne devraient pas être considérés comme de la discrimination.</w:t>
      </w:r>
    </w:p>
    <w:p w14:paraId="62109F2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Monsieur</w:t>
      </w:r>
      <w:r>
        <w:rPr>
          <w:rFonts w:cs="Times New Roman"/>
        </w:rPr>
        <w:t xml:space="preserve"> </w:t>
      </w:r>
      <w:r w:rsidRPr="00985CB4">
        <w:rPr>
          <w:rFonts w:cs="Times New Roman"/>
        </w:rPr>
        <w:t>Ward justifie ses propos en disant qu</w:t>
      </w:r>
      <w:r>
        <w:rPr>
          <w:rFonts w:cs="Times New Roman"/>
        </w:rPr>
        <w:t>’</w:t>
      </w:r>
      <w:r w:rsidRPr="00985CB4">
        <w:rPr>
          <w:rFonts w:cs="Times New Roman"/>
        </w:rPr>
        <w:t>ils apportent une contribution utile à une question d</w:t>
      </w:r>
      <w:r>
        <w:rPr>
          <w:rFonts w:cs="Times New Roman"/>
        </w:rPr>
        <w:t>’</w:t>
      </w:r>
      <w:r w:rsidRPr="00985CB4">
        <w:rPr>
          <w:rFonts w:cs="Times New Roman"/>
        </w:rPr>
        <w:t>intérêt public, puisqu</w:t>
      </w:r>
      <w:r>
        <w:rPr>
          <w:rFonts w:cs="Times New Roman"/>
        </w:rPr>
        <w:t>’</w:t>
      </w:r>
      <w:r w:rsidRPr="00985CB4">
        <w:rPr>
          <w:rFonts w:cs="Times New Roman"/>
        </w:rPr>
        <w:t>en satirisant M. Gabriel, il attire l</w:t>
      </w:r>
      <w:r>
        <w:rPr>
          <w:rFonts w:cs="Times New Roman"/>
        </w:rPr>
        <w:t>’</w:t>
      </w:r>
      <w:r w:rsidRPr="00985CB4">
        <w:rPr>
          <w:rFonts w:cs="Times New Roman"/>
        </w:rPr>
        <w:t>attention sur la [</w:t>
      </w:r>
      <w:r w:rsidRPr="00985CB4">
        <w:rPr>
          <w:rFonts w:cs="Times New Roman"/>
          <w:smallCaps/>
        </w:rPr>
        <w:t>traduction</w:t>
      </w:r>
      <w:r w:rsidRPr="00985CB4">
        <w:rPr>
          <w:rFonts w:cs="Times New Roman"/>
        </w:rPr>
        <w:t>] « vénération inconditionnelle » manifestée à l</w:t>
      </w:r>
      <w:r>
        <w:rPr>
          <w:rFonts w:cs="Times New Roman"/>
        </w:rPr>
        <w:t>’</w:t>
      </w:r>
      <w:r w:rsidRPr="00985CB4">
        <w:rPr>
          <w:rFonts w:cs="Times New Roman"/>
        </w:rPr>
        <w:t>endroit de certaines « vaches sacrées » au sein de la société québécoise. Il ajoute que la place qu</w:t>
      </w:r>
      <w:r>
        <w:rPr>
          <w:rFonts w:cs="Times New Roman"/>
        </w:rPr>
        <w:t>’</w:t>
      </w:r>
      <w:r w:rsidRPr="00985CB4">
        <w:rPr>
          <w:rFonts w:cs="Times New Roman"/>
        </w:rPr>
        <w:t>occupe M. Gabriel « dans le domaine public » l</w:t>
      </w:r>
      <w:r>
        <w:rPr>
          <w:rFonts w:cs="Times New Roman"/>
        </w:rPr>
        <w:t>’</w:t>
      </w:r>
      <w:r w:rsidRPr="00985CB4">
        <w:rPr>
          <w:rFonts w:cs="Times New Roman"/>
        </w:rPr>
        <w:t>expose inévitablement à la critique.</w:t>
      </w:r>
    </w:p>
    <w:p w14:paraId="32B666FF"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Un argument similaire a été avancé dans l</w:t>
      </w:r>
      <w:r>
        <w:rPr>
          <w:rFonts w:cs="Times New Roman"/>
        </w:rPr>
        <w:t>’</w:t>
      </w:r>
      <w:r w:rsidRPr="00985CB4">
        <w:rPr>
          <w:rFonts w:cs="Times New Roman"/>
        </w:rPr>
        <w:t xml:space="preserve">arrêt </w:t>
      </w:r>
      <w:r w:rsidRPr="00985CB4">
        <w:rPr>
          <w:rFonts w:cs="Times New Roman"/>
          <w:i/>
        </w:rPr>
        <w:t>Hill c. Église de scientologie de Toronto</w:t>
      </w:r>
      <w:r w:rsidRPr="00985CB4">
        <w:rPr>
          <w:rFonts w:cs="Times New Roman"/>
        </w:rPr>
        <w:t>,</w:t>
      </w:r>
      <w:r w:rsidRPr="00985CB4">
        <w:rPr>
          <w:rFonts w:cs="Times New Roman"/>
          <w:i/>
        </w:rPr>
        <w:t xml:space="preserve"> </w:t>
      </w:r>
      <w:r w:rsidRPr="00985CB4">
        <w:rPr>
          <w:rFonts w:cs="Times New Roman"/>
        </w:rPr>
        <w:t>[1995] 2 R.C.S. 1130, où on demandait à notre Cour de modifier le critère relatif à la diffamation des représentants officiels afin d</w:t>
      </w:r>
      <w:r>
        <w:rPr>
          <w:rFonts w:cs="Times New Roman"/>
        </w:rPr>
        <w:t>’</w:t>
      </w:r>
      <w:r w:rsidRPr="00985CB4">
        <w:rPr>
          <w:rFonts w:cs="Times New Roman"/>
        </w:rPr>
        <w:t>élargir la portée de la liberté d</w:t>
      </w:r>
      <w:r>
        <w:rPr>
          <w:rFonts w:cs="Times New Roman"/>
        </w:rPr>
        <w:t>’</w:t>
      </w:r>
      <w:r w:rsidRPr="00985CB4">
        <w:rPr>
          <w:rFonts w:cs="Times New Roman"/>
        </w:rPr>
        <w:t>expression. Le juge Cory a reconnu que la liberté « de critiquer tant le fonctionnement des institutions que le comportement des [représentants officiels] » (</w:t>
      </w:r>
      <w:r>
        <w:rPr>
          <w:rFonts w:cs="Times New Roman"/>
        </w:rPr>
        <w:t>par. </w:t>
      </w:r>
      <w:r w:rsidRPr="00985CB4">
        <w:rPr>
          <w:rFonts w:cs="Times New Roman"/>
        </w:rPr>
        <w:t>101) est d</w:t>
      </w:r>
      <w:r>
        <w:rPr>
          <w:rFonts w:cs="Times New Roman"/>
        </w:rPr>
        <w:t>’</w:t>
      </w:r>
      <w:r w:rsidRPr="00985CB4">
        <w:rPr>
          <w:rFonts w:cs="Times New Roman"/>
        </w:rPr>
        <w:t>une importance capitale dans une société démocratique. Il a toutefois souligné que les commentaires diffamatoires menacent la réputation, laquelle « se rattache étroitement à la valeur et à la dignité innées de la personne » (</w:t>
      </w:r>
      <w:r>
        <w:rPr>
          <w:rFonts w:cs="Times New Roman"/>
        </w:rPr>
        <w:t>par. </w:t>
      </w:r>
      <w:r w:rsidRPr="00985CB4">
        <w:rPr>
          <w:rFonts w:cs="Times New Roman"/>
        </w:rPr>
        <w:t xml:space="preserve">107; voir aussi </w:t>
      </w:r>
      <w:r>
        <w:rPr>
          <w:rFonts w:cs="Times New Roman"/>
        </w:rPr>
        <w:t>par. </w:t>
      </w:r>
      <w:r w:rsidRPr="00985CB4">
        <w:rPr>
          <w:rFonts w:cs="Times New Roman"/>
        </w:rPr>
        <w:t>120), et il a conclu que l</w:t>
      </w:r>
      <w:r>
        <w:rPr>
          <w:rFonts w:cs="Times New Roman"/>
        </w:rPr>
        <w:t>’</w:t>
      </w:r>
      <w:r w:rsidRPr="00985CB4">
        <w:rPr>
          <w:rFonts w:cs="Times New Roman"/>
        </w:rPr>
        <w:t>adoption d</w:t>
      </w:r>
      <w:r>
        <w:rPr>
          <w:rFonts w:cs="Times New Roman"/>
        </w:rPr>
        <w:t>’</w:t>
      </w:r>
      <w:r w:rsidRPr="00985CB4">
        <w:rPr>
          <w:rFonts w:cs="Times New Roman"/>
        </w:rPr>
        <w:t>une norme plus exigeante dans les affaires concernant des personnalités publiques priverait injustement ces dernières de toute réparation (</w:t>
      </w:r>
      <w:r>
        <w:rPr>
          <w:rFonts w:cs="Times New Roman"/>
        </w:rPr>
        <w:t>par. </w:t>
      </w:r>
      <w:r w:rsidRPr="00985CB4">
        <w:rPr>
          <w:rFonts w:cs="Times New Roman"/>
        </w:rPr>
        <w:t>120 et 137</w:t>
      </w:r>
      <w:r>
        <w:rPr>
          <w:rFonts w:cs="Times New Roman"/>
        </w:rPr>
        <w:noBreakHyphen/>
      </w:r>
      <w:r w:rsidRPr="00985CB4">
        <w:rPr>
          <w:rFonts w:cs="Times New Roman"/>
        </w:rPr>
        <w:t>140).</w:t>
      </w:r>
    </w:p>
    <w:p w14:paraId="1A9A1796"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De plus, dans l</w:t>
      </w:r>
      <w:r>
        <w:rPr>
          <w:rFonts w:cs="Times New Roman"/>
        </w:rPr>
        <w:t>’</w:t>
      </w:r>
      <w:r w:rsidRPr="00985CB4">
        <w:rPr>
          <w:rFonts w:cs="Times New Roman"/>
        </w:rPr>
        <w:t xml:space="preserve">arrêt </w:t>
      </w:r>
      <w:r w:rsidRPr="00985CB4">
        <w:rPr>
          <w:rFonts w:cs="Times New Roman"/>
          <w:i/>
        </w:rPr>
        <w:t>Grant</w:t>
      </w:r>
      <w:r w:rsidRPr="00985CB4">
        <w:rPr>
          <w:rFonts w:cs="Times New Roman"/>
        </w:rPr>
        <w:t>, la juge en chef McLachlin a reconnu « la dignité innée de la personne » (</w:t>
      </w:r>
      <w:r>
        <w:rPr>
          <w:rFonts w:cs="Times New Roman"/>
        </w:rPr>
        <w:t>par. </w:t>
      </w:r>
      <w:r w:rsidRPr="00985CB4">
        <w:rPr>
          <w:rFonts w:cs="Times New Roman"/>
        </w:rPr>
        <w:t xml:space="preserve">58, citant </w:t>
      </w:r>
      <w:r w:rsidRPr="00985CB4">
        <w:rPr>
          <w:rFonts w:cs="Times New Roman"/>
          <w:i/>
        </w:rPr>
        <w:t>Lucas</w:t>
      </w:r>
      <w:r w:rsidRPr="00985CB4">
        <w:rPr>
          <w:rFonts w:cs="Times New Roman"/>
        </w:rPr>
        <w:t xml:space="preserve">, </w:t>
      </w:r>
      <w:r>
        <w:rPr>
          <w:rFonts w:cs="Times New Roman"/>
        </w:rPr>
        <w:t>par. </w:t>
      </w:r>
      <w:r w:rsidRPr="00985CB4">
        <w:rPr>
          <w:rFonts w:cs="Times New Roman"/>
        </w:rPr>
        <w:t>48), et a expliqué que les personnalités publiques ne perdaient pas, en raison de leur renommée, la capacité de faire valoir leur droit de protéger leur réputation. Facteur particulièrement pertinent pour l</w:t>
      </w:r>
      <w:r>
        <w:rPr>
          <w:rFonts w:cs="Times New Roman"/>
        </w:rPr>
        <w:t>’</w:t>
      </w:r>
      <w:r w:rsidRPr="00985CB4">
        <w:rPr>
          <w:rFonts w:cs="Times New Roman"/>
        </w:rPr>
        <w:t>affaire qui nous occupe, la juge en chef McLachlin a statué que « [c]eux qui entrent dans la sphère publique ne peuvent raisonnablement s</w:t>
      </w:r>
      <w:r>
        <w:rPr>
          <w:rFonts w:cs="Times New Roman"/>
        </w:rPr>
        <w:t>’</w:t>
      </w:r>
      <w:r w:rsidRPr="00985CB4">
        <w:rPr>
          <w:rFonts w:cs="Times New Roman"/>
        </w:rPr>
        <w:t xml:space="preserve">attendre à échapper aux critiques, dont certaines pourront être acerbes ou imméritées. </w:t>
      </w:r>
      <w:r w:rsidRPr="00985CB4">
        <w:rPr>
          <w:rFonts w:cs="Times New Roman"/>
          <w:u w:val="single"/>
        </w:rPr>
        <w:t>La participation à la vie publique ne signifie pas pour autant que la chasse à la réputation est ouverte</w:t>
      </w:r>
      <w:r w:rsidRPr="00985CB4">
        <w:rPr>
          <w:rFonts w:cs="Times New Roman"/>
        </w:rPr>
        <w:t> » (</w:t>
      </w:r>
      <w:r>
        <w:rPr>
          <w:rFonts w:cs="Times New Roman"/>
        </w:rPr>
        <w:t>par. </w:t>
      </w:r>
      <w:r w:rsidRPr="00985CB4">
        <w:rPr>
          <w:rFonts w:cs="Times New Roman"/>
        </w:rPr>
        <w:t xml:space="preserve">58 (nous soulignons)). Elle a ajouté ce qui suit, au </w:t>
      </w:r>
      <w:r>
        <w:rPr>
          <w:rFonts w:cs="Times New Roman"/>
        </w:rPr>
        <w:t>par. </w:t>
      </w:r>
      <w:r w:rsidRPr="00985CB4">
        <w:rPr>
          <w:rFonts w:cs="Times New Roman"/>
        </w:rPr>
        <w:t>105</w:t>
      </w:r>
      <w:r>
        <w:rPr>
          <w:rFonts w:cs="Times New Roman"/>
        </w:rPr>
        <w:t> :</w:t>
      </w:r>
    </w:p>
    <w:p w14:paraId="24878BE4" w14:textId="77777777" w:rsidR="00116CBE" w:rsidRPr="00985CB4" w:rsidRDefault="00116CBE" w:rsidP="00116CBE">
      <w:pPr>
        <w:pStyle w:val="Citation-AltC"/>
        <w:ind w:hanging="1166"/>
      </w:pPr>
      <w:r>
        <w:tab/>
      </w:r>
      <w:r w:rsidRPr="00985CB4">
        <w:t>L</w:t>
      </w:r>
      <w:r>
        <w:t>’</w:t>
      </w:r>
      <w:r w:rsidRPr="00985CB4">
        <w:t>intérêt public peut découler de la notoriété de la personne mentionnée, mais la simple curiosité ou l</w:t>
      </w:r>
      <w:r>
        <w:t>’</w:t>
      </w:r>
      <w:r w:rsidRPr="00985CB4">
        <w:t>intérêt malsain sont insuffisants. Il faut que certains segments de la population aient un intérêt véritable à être au courant du sujet du matériel diffusé.</w:t>
      </w:r>
    </w:p>
    <w:p w14:paraId="7F0E7EB8"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Ces principes sont reconnus dans la jurisprudence provenant de l</w:t>
      </w:r>
      <w:r>
        <w:rPr>
          <w:rFonts w:cs="Times New Roman"/>
        </w:rPr>
        <w:t>’</w:t>
      </w:r>
      <w:r w:rsidRPr="00985CB4">
        <w:rPr>
          <w:rFonts w:cs="Times New Roman"/>
        </w:rPr>
        <w:t>extérieur du Canada. Par exemple, les tribunaux du Royaume</w:t>
      </w:r>
      <w:r>
        <w:rPr>
          <w:rFonts w:cs="Times New Roman"/>
        </w:rPr>
        <w:noBreakHyphen/>
      </w:r>
      <w:r w:rsidRPr="00985CB4">
        <w:rPr>
          <w:rFonts w:cs="Times New Roman"/>
        </w:rPr>
        <w:t>Uni ont eux aussi rejeté l</w:t>
      </w:r>
      <w:r>
        <w:rPr>
          <w:rFonts w:cs="Times New Roman"/>
        </w:rPr>
        <w:t>’</w:t>
      </w:r>
      <w:r w:rsidRPr="00985CB4">
        <w:rPr>
          <w:rFonts w:cs="Times New Roman"/>
        </w:rPr>
        <w:t>idée que les droits des personnalités publiques doivent systématiquement céder devant la liberté d</w:t>
      </w:r>
      <w:r>
        <w:rPr>
          <w:rFonts w:cs="Times New Roman"/>
        </w:rPr>
        <w:t>’</w:t>
      </w:r>
      <w:r w:rsidRPr="00985CB4">
        <w:rPr>
          <w:rFonts w:cs="Times New Roman"/>
        </w:rPr>
        <w:t>expression. La Chambre des lords a jugé que la presse ne pouvait pas publier les détails relatifs à la cure de désintoxication d</w:t>
      </w:r>
      <w:r>
        <w:rPr>
          <w:rFonts w:cs="Times New Roman"/>
        </w:rPr>
        <w:t>’</w:t>
      </w:r>
      <w:r w:rsidRPr="00985CB4">
        <w:rPr>
          <w:rFonts w:cs="Times New Roman"/>
        </w:rPr>
        <w:t>une mannequin célèbre, et violer ainsi son droit à la vie privée, simplement parce que son statut de personnalité publique faisait de sa vie une question d</w:t>
      </w:r>
      <w:r>
        <w:rPr>
          <w:rFonts w:cs="Times New Roman"/>
        </w:rPr>
        <w:t>’</w:t>
      </w:r>
      <w:r w:rsidRPr="00985CB4">
        <w:rPr>
          <w:rFonts w:cs="Times New Roman"/>
        </w:rPr>
        <w:t>intérêt public (</w:t>
      </w:r>
      <w:r w:rsidRPr="00985CB4">
        <w:rPr>
          <w:rFonts w:cs="Times New Roman"/>
          <w:i/>
        </w:rPr>
        <w:t>Campbell c. MGN Ltd.</w:t>
      </w:r>
      <w:r w:rsidRPr="00985CB4">
        <w:rPr>
          <w:rFonts w:cs="Times New Roman"/>
        </w:rPr>
        <w:t>,</w:t>
      </w:r>
      <w:r w:rsidRPr="00985CB4">
        <w:rPr>
          <w:rFonts w:cs="Times New Roman"/>
          <w:i/>
        </w:rPr>
        <w:t xml:space="preserve"> </w:t>
      </w:r>
      <w:r w:rsidRPr="00985CB4">
        <w:rPr>
          <w:rFonts w:cs="Times New Roman"/>
        </w:rPr>
        <w:t xml:space="preserve">[2004] UKHL 22, [2004] 2 A.C. 457, </w:t>
      </w:r>
      <w:r>
        <w:rPr>
          <w:rFonts w:cs="Times New Roman"/>
        </w:rPr>
        <w:t>par. </w:t>
      </w:r>
      <w:r w:rsidRPr="00985CB4">
        <w:rPr>
          <w:rFonts w:cs="Times New Roman"/>
        </w:rPr>
        <w:t xml:space="preserve">120). Dans </w:t>
      </w:r>
      <w:r w:rsidRPr="00985CB4">
        <w:rPr>
          <w:rFonts w:cs="Times New Roman"/>
          <w:i/>
        </w:rPr>
        <w:t>HRH the Duchess of Sussex c. Associated Newspapers Ltd.</w:t>
      </w:r>
      <w:r w:rsidRPr="00985CB4">
        <w:rPr>
          <w:rFonts w:cs="Times New Roman"/>
        </w:rPr>
        <w:t>, [2021] EWHC 273 (Ch.), [2021] 4 W.L.R. 35, une affaire portant sur la décision des médias de publier une correspondance privée d</w:t>
      </w:r>
      <w:r>
        <w:rPr>
          <w:rFonts w:cs="Times New Roman"/>
        </w:rPr>
        <w:t>’</w:t>
      </w:r>
      <w:r w:rsidRPr="00985CB4">
        <w:rPr>
          <w:rFonts w:cs="Times New Roman"/>
        </w:rPr>
        <w:t>une membre de la famille royale, la Haute Cour de justice (Division de la chancellerie) a rejeté [</w:t>
      </w:r>
      <w:r w:rsidRPr="00985CB4">
        <w:rPr>
          <w:rFonts w:cs="Times New Roman"/>
          <w:smallCaps/>
        </w:rPr>
        <w:t>traduction</w:t>
      </w:r>
      <w:r w:rsidRPr="00985CB4">
        <w:rPr>
          <w:rFonts w:cs="Times New Roman"/>
        </w:rPr>
        <w:t>] « le principe de common law simpliste [. . .] voulant que ceux et celles qui cherchent la publicité favorable renoncent en quelque sorte à leurs droits » (</w:t>
      </w:r>
      <w:r>
        <w:rPr>
          <w:rFonts w:cs="Times New Roman"/>
        </w:rPr>
        <w:t>par. </w:t>
      </w:r>
      <w:r w:rsidRPr="00985CB4">
        <w:rPr>
          <w:rFonts w:cs="Times New Roman"/>
        </w:rPr>
        <w:t xml:space="preserve">101). </w:t>
      </w:r>
    </w:p>
    <w:p w14:paraId="6A205154"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Pareillement, dans l</w:t>
      </w:r>
      <w:r>
        <w:rPr>
          <w:rFonts w:cs="Times New Roman"/>
        </w:rPr>
        <w:t>’</w:t>
      </w:r>
      <w:r w:rsidRPr="00985CB4">
        <w:rPr>
          <w:rFonts w:cs="Times New Roman"/>
        </w:rPr>
        <w:t xml:space="preserve">arrêt de principe </w:t>
      </w:r>
      <w:r w:rsidRPr="00985CB4">
        <w:rPr>
          <w:rFonts w:cs="Times New Roman"/>
          <w:i/>
        </w:rPr>
        <w:t>Von Hannover c. Allemagne</w:t>
      </w:r>
      <w:r w:rsidRPr="00985CB4">
        <w:rPr>
          <w:rFonts w:cs="Times New Roman"/>
        </w:rPr>
        <w:t>, n</w:t>
      </w:r>
      <w:r w:rsidRPr="00985CB4">
        <w:rPr>
          <w:rFonts w:cs="Times New Roman"/>
          <w:vertAlign w:val="superscript"/>
        </w:rPr>
        <w:t>o</w:t>
      </w:r>
      <w:r w:rsidRPr="00985CB4">
        <w:rPr>
          <w:rFonts w:cs="Times New Roman"/>
        </w:rPr>
        <w:t> 59320/00, CEDH 2004</w:t>
      </w:r>
      <w:r>
        <w:rPr>
          <w:rFonts w:cs="Times New Roman"/>
        </w:rPr>
        <w:noBreakHyphen/>
      </w:r>
      <w:r w:rsidRPr="00985CB4">
        <w:rPr>
          <w:rFonts w:cs="Times New Roman"/>
        </w:rPr>
        <w:t>VI, la Cour européenne des droits de l</w:t>
      </w:r>
      <w:r>
        <w:rPr>
          <w:rFonts w:cs="Times New Roman"/>
        </w:rPr>
        <w:t>’</w:t>
      </w:r>
      <w:r w:rsidRPr="00985CB4">
        <w:rPr>
          <w:rFonts w:cs="Times New Roman"/>
        </w:rPr>
        <w:t>homme a rejeté l</w:t>
      </w:r>
      <w:r>
        <w:rPr>
          <w:rFonts w:cs="Times New Roman"/>
        </w:rPr>
        <w:t>’</w:t>
      </w:r>
      <w:r w:rsidRPr="00985CB4">
        <w:rPr>
          <w:rFonts w:cs="Times New Roman"/>
        </w:rPr>
        <w:t>idée que la princesse de Monaco Caroline von Hannover avait perdu la faculté de protéger son droit à la vie privée et d</w:t>
      </w:r>
      <w:r>
        <w:rPr>
          <w:rFonts w:cs="Times New Roman"/>
        </w:rPr>
        <w:t>’</w:t>
      </w:r>
      <w:r w:rsidRPr="00985CB4">
        <w:rPr>
          <w:rFonts w:cs="Times New Roman"/>
        </w:rPr>
        <w:t>empêcher la republication de photos d</w:t>
      </w:r>
      <w:r>
        <w:rPr>
          <w:rFonts w:cs="Times New Roman"/>
        </w:rPr>
        <w:t>’</w:t>
      </w:r>
      <w:r w:rsidRPr="00985CB4">
        <w:rPr>
          <w:rFonts w:cs="Times New Roman"/>
        </w:rPr>
        <w:t>elles prises par des paparazzi. Son statut de « personnalité [. . .] de l</w:t>
      </w:r>
      <w:r>
        <w:rPr>
          <w:rFonts w:cs="Times New Roman"/>
        </w:rPr>
        <w:t>’</w:t>
      </w:r>
      <w:r w:rsidRPr="00985CB4">
        <w:rPr>
          <w:rFonts w:cs="Times New Roman"/>
        </w:rPr>
        <w:t>histoire contemporaine » n</w:t>
      </w:r>
      <w:r>
        <w:rPr>
          <w:rFonts w:cs="Times New Roman"/>
        </w:rPr>
        <w:t>’</w:t>
      </w:r>
      <w:r w:rsidRPr="00985CB4">
        <w:rPr>
          <w:rFonts w:cs="Times New Roman"/>
        </w:rPr>
        <w:t>avait pas pour effet de subordonner son droit à la vie privée à la liberté d</w:t>
      </w:r>
      <w:r>
        <w:rPr>
          <w:rFonts w:cs="Times New Roman"/>
        </w:rPr>
        <w:t>’</w:t>
      </w:r>
      <w:r w:rsidRPr="00985CB4">
        <w:rPr>
          <w:rFonts w:cs="Times New Roman"/>
        </w:rPr>
        <w:t>expression de la presse (</w:t>
      </w:r>
      <w:r>
        <w:rPr>
          <w:rFonts w:cs="Times New Roman"/>
        </w:rPr>
        <w:t>par. </w:t>
      </w:r>
      <w:r w:rsidRPr="00985CB4">
        <w:rPr>
          <w:rFonts w:cs="Times New Roman"/>
        </w:rPr>
        <w:t>75). Diminuer les protections dont jouissait la princesse Caroline parce qu</w:t>
      </w:r>
      <w:r>
        <w:rPr>
          <w:rFonts w:cs="Times New Roman"/>
        </w:rPr>
        <w:t>’</w:t>
      </w:r>
      <w:r w:rsidRPr="00985CB4">
        <w:rPr>
          <w:rFonts w:cs="Times New Roman"/>
        </w:rPr>
        <w:t>elle était une personnalité publique compromettrait l</w:t>
      </w:r>
      <w:r>
        <w:rPr>
          <w:rFonts w:cs="Times New Roman"/>
        </w:rPr>
        <w:t>’</w:t>
      </w:r>
      <w:r w:rsidRPr="00985CB4">
        <w:rPr>
          <w:rFonts w:cs="Times New Roman"/>
        </w:rPr>
        <w:t xml:space="preserve">objectif de la </w:t>
      </w:r>
      <w:r w:rsidRPr="00985CB4">
        <w:rPr>
          <w:rFonts w:cs="Times New Roman"/>
          <w:i/>
          <w:iCs/>
        </w:rPr>
        <w:t>Convention de sauvegarde des droits de l</w:t>
      </w:r>
      <w:r>
        <w:rPr>
          <w:rFonts w:cs="Times New Roman"/>
          <w:i/>
          <w:iCs/>
        </w:rPr>
        <w:t>’</w:t>
      </w:r>
      <w:r w:rsidRPr="00985CB4">
        <w:rPr>
          <w:rFonts w:cs="Times New Roman"/>
          <w:i/>
          <w:iCs/>
        </w:rPr>
        <w:t>homme et des libertés fondamentales</w:t>
      </w:r>
      <w:r w:rsidRPr="00985CB4">
        <w:rPr>
          <w:rFonts w:cs="Times New Roman"/>
        </w:rPr>
        <w:t>, 213 R.T.N.U. 221,</w:t>
      </w:r>
      <w:r w:rsidRPr="00985CB4">
        <w:rPr>
          <w:rFonts w:cs="Times New Roman"/>
          <w:i/>
        </w:rPr>
        <w:t xml:space="preserve"> </w:t>
      </w:r>
      <w:r w:rsidRPr="00985CB4">
        <w:rPr>
          <w:rFonts w:cs="Times New Roman"/>
        </w:rPr>
        <w:t xml:space="preserve">de garantir les droits de </w:t>
      </w:r>
      <w:r w:rsidRPr="00985CB4">
        <w:rPr>
          <w:rFonts w:cs="Times New Roman"/>
          <w:i/>
        </w:rPr>
        <w:t>tous</w:t>
      </w:r>
      <w:r w:rsidRPr="00985CB4">
        <w:rPr>
          <w:rFonts w:cs="Times New Roman"/>
        </w:rPr>
        <w:t>.</w:t>
      </w:r>
    </w:p>
    <w:p w14:paraId="74DCE059"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Par conséquent, cette jurisprudence confirme le principe reflété dans les sources canadiennes selon lequel la dignité des personnalités publiques n</w:t>
      </w:r>
      <w:r>
        <w:rPr>
          <w:rFonts w:cs="Times New Roman"/>
        </w:rPr>
        <w:t>’</w:t>
      </w:r>
      <w:r w:rsidRPr="00985CB4">
        <w:rPr>
          <w:rFonts w:cs="Times New Roman"/>
        </w:rPr>
        <w:t>est pas nécessairement subordonnée au droit d</w:t>
      </w:r>
      <w:r>
        <w:rPr>
          <w:rFonts w:cs="Times New Roman"/>
        </w:rPr>
        <w:t>’</w:t>
      </w:r>
      <w:r w:rsidRPr="00985CB4">
        <w:rPr>
          <w:rFonts w:cs="Times New Roman"/>
        </w:rPr>
        <w:t xml:space="preserve">exprimer des propos préjudiciables. </w:t>
      </w:r>
    </w:p>
    <w:p w14:paraId="5897B88E"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Qui plus est, l</w:t>
      </w:r>
      <w:r>
        <w:rPr>
          <w:rFonts w:cs="Times New Roman"/>
        </w:rPr>
        <w:t>’</w:t>
      </w:r>
      <w:r w:rsidRPr="00985CB4">
        <w:rPr>
          <w:rFonts w:cs="Times New Roman"/>
        </w:rPr>
        <w:t>idée voulant que les gens renoncent en quelque sorte à leur droit d</w:t>
      </w:r>
      <w:r>
        <w:rPr>
          <w:rFonts w:cs="Times New Roman"/>
        </w:rPr>
        <w:t>’</w:t>
      </w:r>
      <w:r w:rsidRPr="00985CB4">
        <w:rPr>
          <w:rFonts w:cs="Times New Roman"/>
        </w:rPr>
        <w:t>être protégés contre la discrimination parce qu</w:t>
      </w:r>
      <w:r>
        <w:rPr>
          <w:rFonts w:cs="Times New Roman"/>
        </w:rPr>
        <w:t>’</w:t>
      </w:r>
      <w:r w:rsidRPr="00985CB4">
        <w:rPr>
          <w:rFonts w:cs="Times New Roman"/>
        </w:rPr>
        <w:t>ils entrent dans la sphère publique risque de compromettre l</w:t>
      </w:r>
      <w:r>
        <w:rPr>
          <w:rFonts w:cs="Times New Roman"/>
        </w:rPr>
        <w:t>’</w:t>
      </w:r>
      <w:r w:rsidRPr="00985CB4">
        <w:rPr>
          <w:rFonts w:cs="Times New Roman"/>
        </w:rPr>
        <w:t xml:space="preserve">objectif même de la </w:t>
      </w:r>
      <w:r w:rsidRPr="00985CB4">
        <w:rPr>
          <w:rFonts w:cs="Times New Roman"/>
          <w:i/>
        </w:rPr>
        <w:t>Charte</w:t>
      </w:r>
      <w:r w:rsidRPr="00985CB4">
        <w:rPr>
          <w:rFonts w:cs="Times New Roman"/>
        </w:rPr>
        <w:t xml:space="preserve"> québécoise, qui protège </w:t>
      </w:r>
      <w:r w:rsidRPr="00985CB4">
        <w:rPr>
          <w:rFonts w:cs="Times New Roman"/>
          <w:i/>
        </w:rPr>
        <w:t>toute personne</w:t>
      </w:r>
      <w:r w:rsidRPr="00985CB4">
        <w:rPr>
          <w:rFonts w:cs="Times New Roman"/>
        </w:rPr>
        <w:t xml:space="preserve"> contre la discrimination, sans distinction fondée sur la race, la religion, le handicap, l</w:t>
      </w:r>
      <w:r>
        <w:rPr>
          <w:rFonts w:cs="Times New Roman"/>
        </w:rPr>
        <w:t>’</w:t>
      </w:r>
      <w:r w:rsidRPr="00985CB4">
        <w:rPr>
          <w:rFonts w:cs="Times New Roman"/>
        </w:rPr>
        <w:t>orientation sexuelle, l</w:t>
      </w:r>
      <w:r>
        <w:rPr>
          <w:rFonts w:cs="Times New Roman"/>
        </w:rPr>
        <w:t>’</w:t>
      </w:r>
      <w:r w:rsidRPr="00985CB4">
        <w:rPr>
          <w:rFonts w:cs="Times New Roman"/>
        </w:rPr>
        <w:t>identité de genre ou tout autre motif désigné. Les groupes marginalisés sont déjà sous</w:t>
      </w:r>
      <w:r>
        <w:rPr>
          <w:rFonts w:cs="Times New Roman"/>
        </w:rPr>
        <w:noBreakHyphen/>
      </w:r>
      <w:r w:rsidRPr="00985CB4">
        <w:rPr>
          <w:rFonts w:cs="Times New Roman"/>
        </w:rPr>
        <w:t>représentés dans la sphère publique. Permettre des attaques discriminatoires contre ces personnes simplement parce qu</w:t>
      </w:r>
      <w:r>
        <w:rPr>
          <w:rFonts w:cs="Times New Roman"/>
        </w:rPr>
        <w:t>’</w:t>
      </w:r>
      <w:r w:rsidRPr="00985CB4">
        <w:rPr>
          <w:rFonts w:cs="Times New Roman"/>
        </w:rPr>
        <w:t>elles sont devenues célèbres impose des obstacles additionnels à leur participation à part entière à la vie publique et implique qu</w:t>
      </w:r>
      <w:r>
        <w:rPr>
          <w:rFonts w:cs="Times New Roman"/>
        </w:rPr>
        <w:t>’</w:t>
      </w:r>
      <w:r w:rsidRPr="00985CB4">
        <w:rPr>
          <w:rFonts w:cs="Times New Roman"/>
        </w:rPr>
        <w:t>elles doivent choisir entre la célébrité et les garanties protégeant les droits de la personne.</w:t>
      </w:r>
    </w:p>
    <w:p w14:paraId="4F901419"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Dans le cas d</w:t>
      </w:r>
      <w:r>
        <w:rPr>
          <w:rFonts w:cs="Times New Roman"/>
        </w:rPr>
        <w:t>’</w:t>
      </w:r>
      <w:r w:rsidRPr="00985CB4">
        <w:rPr>
          <w:rFonts w:cs="Times New Roman"/>
        </w:rPr>
        <w:t xml:space="preserve">une personnalité bien connue, comme pour toute autre personne, les tribunaux doivent prendre en compte les intérêts opposés qui sont en jeu, </w:t>
      </w:r>
      <w:r>
        <w:rPr>
          <w:rFonts w:cs="Times New Roman"/>
        </w:rPr>
        <w:t xml:space="preserve">ainsi que </w:t>
      </w:r>
      <w:r w:rsidRPr="00985CB4">
        <w:rPr>
          <w:rFonts w:cs="Times New Roman"/>
        </w:rPr>
        <w:t>le préjudice causé</w:t>
      </w:r>
      <w:r>
        <w:rPr>
          <w:rFonts w:cs="Times New Roman"/>
        </w:rPr>
        <w:t>,</w:t>
      </w:r>
      <w:r w:rsidRPr="00985CB4">
        <w:rPr>
          <w:rFonts w:cs="Times New Roman"/>
        </w:rPr>
        <w:t xml:space="preserve"> et </w:t>
      </w:r>
      <w:r>
        <w:rPr>
          <w:rFonts w:cs="Times New Roman"/>
        </w:rPr>
        <w:t xml:space="preserve">se demander </w:t>
      </w:r>
      <w:r w:rsidRPr="00985CB4">
        <w:rPr>
          <w:rFonts w:cs="Times New Roman"/>
        </w:rPr>
        <w:t>s</w:t>
      </w:r>
      <w:r>
        <w:rPr>
          <w:rFonts w:cs="Times New Roman"/>
        </w:rPr>
        <w:t>’</w:t>
      </w:r>
      <w:r w:rsidRPr="00985CB4">
        <w:rPr>
          <w:rFonts w:cs="Times New Roman"/>
        </w:rPr>
        <w:t>il existe un intérêt public réel et identifiable justifiant les propos reprochés.</w:t>
      </w:r>
    </w:p>
    <w:p w14:paraId="655FEE3A"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Cela nous ramène à M. Ward et à son argument voulant qu</w:t>
      </w:r>
      <w:r>
        <w:rPr>
          <w:rFonts w:cs="Times New Roman"/>
        </w:rPr>
        <w:t>’</w:t>
      </w:r>
      <w:r w:rsidRPr="00985CB4">
        <w:rPr>
          <w:rFonts w:cs="Times New Roman"/>
        </w:rPr>
        <w:t>il faille assimiler sa critique de M. Gabriel à l</w:t>
      </w:r>
      <w:r>
        <w:rPr>
          <w:rFonts w:cs="Times New Roman"/>
        </w:rPr>
        <w:t>’</w:t>
      </w:r>
      <w:r w:rsidRPr="00985CB4">
        <w:rPr>
          <w:rFonts w:cs="Times New Roman"/>
        </w:rPr>
        <w:t>intérêt public. Nous acceptons, bien sûr, que l</w:t>
      </w:r>
      <w:r>
        <w:rPr>
          <w:rFonts w:cs="Times New Roman"/>
        </w:rPr>
        <w:t>’</w:t>
      </w:r>
      <w:r w:rsidRPr="00985CB4">
        <w:rPr>
          <w:rFonts w:cs="Times New Roman"/>
        </w:rPr>
        <w:t>humour et la critique des gens en position de pouvoir au sein de la société sont importants. Toutefois, dans les circonstances de la présente affaire, cautionner l</w:t>
      </w:r>
      <w:r>
        <w:rPr>
          <w:rFonts w:cs="Times New Roman"/>
        </w:rPr>
        <w:t>’</w:t>
      </w:r>
      <w:r w:rsidRPr="00985CB4">
        <w:rPr>
          <w:rFonts w:cs="Times New Roman"/>
        </w:rPr>
        <w:t>humiliation et la déshumanisation d</w:t>
      </w:r>
      <w:r>
        <w:rPr>
          <w:rFonts w:cs="Times New Roman"/>
        </w:rPr>
        <w:t>’</w:t>
      </w:r>
      <w:r w:rsidRPr="00985CB4">
        <w:rPr>
          <w:rFonts w:cs="Times New Roman"/>
        </w:rPr>
        <w:t>un enfant, d</w:t>
      </w:r>
      <w:r>
        <w:rPr>
          <w:rFonts w:cs="Times New Roman"/>
        </w:rPr>
        <w:t>’</w:t>
      </w:r>
      <w:r w:rsidRPr="00985CB4">
        <w:rPr>
          <w:rFonts w:cs="Times New Roman"/>
        </w:rPr>
        <w:t>autant plus un enfant handicapé, irait à l</w:t>
      </w:r>
      <w:r>
        <w:rPr>
          <w:rFonts w:cs="Times New Roman"/>
        </w:rPr>
        <w:t>’</w:t>
      </w:r>
      <w:r w:rsidRPr="00985CB4">
        <w:rPr>
          <w:rFonts w:cs="Times New Roman"/>
        </w:rPr>
        <w:t>encontre de l</w:t>
      </w:r>
      <w:r>
        <w:rPr>
          <w:rFonts w:cs="Times New Roman"/>
        </w:rPr>
        <w:t>’</w:t>
      </w:r>
      <w:r w:rsidRPr="00985CB4">
        <w:rPr>
          <w:rFonts w:cs="Times New Roman"/>
        </w:rPr>
        <w:t>essence même de l</w:t>
      </w:r>
      <w:r>
        <w:rPr>
          <w:rFonts w:cs="Times New Roman"/>
        </w:rPr>
        <w:t>’</w:t>
      </w:r>
      <w:r w:rsidRPr="00985CB4">
        <w:rPr>
          <w:rFonts w:cs="Times New Roman"/>
        </w:rPr>
        <w:t>intérêt public.</w:t>
      </w:r>
    </w:p>
    <w:p w14:paraId="2C431D89" w14:textId="77777777" w:rsidR="00116CBE" w:rsidRPr="00985CB4" w:rsidRDefault="00116CBE" w:rsidP="00116CBE">
      <w:pPr>
        <w:pStyle w:val="ParaNoNdepar-AltN"/>
        <w:tabs>
          <w:tab w:val="clear" w:pos="1152"/>
          <w:tab w:val="left" w:pos="1166"/>
        </w:tabs>
        <w:rPr>
          <w:rFonts w:cs="Times New Roman"/>
        </w:rPr>
      </w:pPr>
      <w:r w:rsidRPr="00985CB4">
        <w:rPr>
          <w:rFonts w:cs="Times New Roman"/>
        </w:rPr>
        <w:t>En l</w:t>
      </w:r>
      <w:r>
        <w:rPr>
          <w:rFonts w:cs="Times New Roman"/>
        </w:rPr>
        <w:t>’</w:t>
      </w:r>
      <w:r w:rsidRPr="00985CB4">
        <w:rPr>
          <w:rFonts w:cs="Times New Roman"/>
        </w:rPr>
        <w:t>espèce, bien que livré à la blague, le message de M. Ward à propos de Jérémy Gabriel était que l</w:t>
      </w:r>
      <w:r>
        <w:rPr>
          <w:rFonts w:cs="Times New Roman"/>
        </w:rPr>
        <w:t>’</w:t>
      </w:r>
      <w:r w:rsidRPr="00985CB4">
        <w:rPr>
          <w:rFonts w:cs="Times New Roman"/>
        </w:rPr>
        <w:t>on pouvait se débarrasser de lui et que la société se porterait mieux ainsi. Contrairement aux autres « vaches sacrées » ciblées par M. Ward, M. Gabriel a fait les frais d</w:t>
      </w:r>
      <w:r>
        <w:rPr>
          <w:rFonts w:cs="Times New Roman"/>
        </w:rPr>
        <w:t>’</w:t>
      </w:r>
      <w:r w:rsidRPr="00985CB4">
        <w:rPr>
          <w:rFonts w:cs="Times New Roman"/>
        </w:rPr>
        <w:t>un déséquilibre patent des pouvoirs dans le présent cas. Non seulement les blagues visaient le handicap de M. Gabriel, mais elles évoquaient également des idées préjudiciables et déshumanisantes relativement à la valeur des enfants handicapés. En ce sens, les propos se sont considérablement éloignés de « la recherche de la vérité, [de] la promotion de l</w:t>
      </w:r>
      <w:r>
        <w:rPr>
          <w:rFonts w:cs="Times New Roman"/>
        </w:rPr>
        <w:t>’</w:t>
      </w:r>
      <w:r w:rsidRPr="00985CB4">
        <w:rPr>
          <w:rFonts w:cs="Times New Roman"/>
        </w:rPr>
        <w:t>épanouissement personnel ou [de] la protection et [du] développement d</w:t>
      </w:r>
      <w:r>
        <w:rPr>
          <w:rFonts w:cs="Times New Roman"/>
        </w:rPr>
        <w:t>’</w:t>
      </w:r>
      <w:r w:rsidRPr="00985CB4">
        <w:rPr>
          <w:rFonts w:cs="Times New Roman"/>
        </w:rPr>
        <w:t>une démocratie dynamique » qui, dit</w:t>
      </w:r>
      <w:r>
        <w:rPr>
          <w:rFonts w:cs="Times New Roman"/>
        </w:rPr>
        <w:noBreakHyphen/>
      </w:r>
      <w:r w:rsidRPr="00985CB4">
        <w:rPr>
          <w:rFonts w:cs="Times New Roman"/>
        </w:rPr>
        <w:t>on, sous</w:t>
      </w:r>
      <w:r>
        <w:rPr>
          <w:rFonts w:cs="Times New Roman"/>
        </w:rPr>
        <w:noBreakHyphen/>
      </w:r>
      <w:r w:rsidRPr="00985CB4">
        <w:rPr>
          <w:rFonts w:cs="Times New Roman"/>
        </w:rPr>
        <w:t>tendent l</w:t>
      </w:r>
      <w:r>
        <w:rPr>
          <w:rFonts w:cs="Times New Roman"/>
        </w:rPr>
        <w:t>’al. </w:t>
      </w:r>
      <w:r w:rsidRPr="00985CB4">
        <w:rPr>
          <w:rFonts w:cs="Times New Roman"/>
        </w:rPr>
        <w:t>2b) (</w:t>
      </w:r>
      <w:r w:rsidRPr="00985CB4">
        <w:rPr>
          <w:rFonts w:cs="Times New Roman"/>
          <w:i/>
        </w:rPr>
        <w:t>Taylor</w:t>
      </w:r>
      <w:r w:rsidRPr="00985CB4">
        <w:rPr>
          <w:rFonts w:cs="Times New Roman"/>
        </w:rPr>
        <w:t xml:space="preserve">, </w:t>
      </w:r>
      <w:r>
        <w:rPr>
          <w:rFonts w:cs="Times New Roman"/>
        </w:rPr>
        <w:t>p. </w:t>
      </w:r>
      <w:r w:rsidRPr="00985CB4">
        <w:rPr>
          <w:rFonts w:cs="Times New Roman"/>
        </w:rPr>
        <w:t xml:space="preserve">922, citant </w:t>
      </w:r>
      <w:r w:rsidRPr="00985CB4">
        <w:rPr>
          <w:rFonts w:cs="Times New Roman"/>
          <w:i/>
        </w:rPr>
        <w:t>Keegstra</w:t>
      </w:r>
      <w:r w:rsidRPr="00985CB4">
        <w:rPr>
          <w:rFonts w:cs="Times New Roman"/>
        </w:rPr>
        <w:t xml:space="preserve">, </w:t>
      </w:r>
      <w:r>
        <w:rPr>
          <w:rFonts w:cs="Times New Roman"/>
        </w:rPr>
        <w:t>p. </w:t>
      </w:r>
      <w:r w:rsidRPr="00985CB4">
        <w:rPr>
          <w:rFonts w:cs="Times New Roman"/>
        </w:rPr>
        <w:t>766), et qui justifieraient l</w:t>
      </w:r>
      <w:r>
        <w:rPr>
          <w:rFonts w:cs="Times New Roman"/>
        </w:rPr>
        <w:t>’</w:t>
      </w:r>
      <w:r w:rsidRPr="00985CB4">
        <w:rPr>
          <w:rFonts w:cs="Times New Roman"/>
        </w:rPr>
        <w:t>humour insultant dans d</w:t>
      </w:r>
      <w:r>
        <w:rPr>
          <w:rFonts w:cs="Times New Roman"/>
        </w:rPr>
        <w:t>’</w:t>
      </w:r>
      <w:r w:rsidRPr="00985CB4">
        <w:rPr>
          <w:rFonts w:cs="Times New Roman"/>
        </w:rPr>
        <w:t>autres contextes. Le simple fait que ces blagues aient provoqué des rires, ou que les propos aient été formulés lors d</w:t>
      </w:r>
      <w:r>
        <w:rPr>
          <w:rFonts w:cs="Times New Roman"/>
        </w:rPr>
        <w:t>’</w:t>
      </w:r>
      <w:r w:rsidRPr="00985CB4">
        <w:rPr>
          <w:rFonts w:cs="Times New Roman"/>
        </w:rPr>
        <w:t xml:space="preserve">un spectacle, ne changent en rien le message de M. Ward. </w:t>
      </w:r>
    </w:p>
    <w:p w14:paraId="25D0CAEA" w14:textId="77777777" w:rsidR="00116CBE" w:rsidRPr="00985CB4" w:rsidRDefault="00116CBE" w:rsidP="00116CBE">
      <w:pPr>
        <w:pStyle w:val="ParaNoNdepar-AltN"/>
        <w:rPr>
          <w:rFonts w:cs="Times New Roman"/>
        </w:rPr>
      </w:pPr>
      <w:r w:rsidRPr="00985CB4">
        <w:rPr>
          <w:rFonts w:cs="Times New Roman"/>
        </w:rPr>
        <w:t>En conséquence, nous sommes d</w:t>
      </w:r>
      <w:r>
        <w:rPr>
          <w:rFonts w:cs="Times New Roman"/>
        </w:rPr>
        <w:t>’</w:t>
      </w:r>
      <w:r w:rsidRPr="00985CB4">
        <w:rPr>
          <w:rFonts w:cs="Times New Roman"/>
        </w:rPr>
        <w:t>avis que les propos de M. Ward ne peuvent se justifier dans les circonstances et qu</w:t>
      </w:r>
      <w:r>
        <w:rPr>
          <w:rFonts w:cs="Times New Roman"/>
        </w:rPr>
        <w:t>’</w:t>
      </w:r>
      <w:r w:rsidRPr="00985CB4">
        <w:rPr>
          <w:rFonts w:cs="Times New Roman"/>
        </w:rPr>
        <w:t>ils entraînent une violation du droit à l</w:t>
      </w:r>
      <w:r>
        <w:rPr>
          <w:rFonts w:cs="Times New Roman"/>
        </w:rPr>
        <w:t>’</w:t>
      </w:r>
      <w:r w:rsidRPr="00985CB4">
        <w:rPr>
          <w:rFonts w:cs="Times New Roman"/>
        </w:rPr>
        <w:t xml:space="preserve">exercice, en pleine égalité, du droit à la sauvegarde de la dignité consacré par la </w:t>
      </w:r>
      <w:r w:rsidRPr="00985CB4">
        <w:rPr>
          <w:rFonts w:cs="Times New Roman"/>
          <w:i/>
        </w:rPr>
        <w:t xml:space="preserve">Charte </w:t>
      </w:r>
      <w:r w:rsidRPr="00985CB4">
        <w:rPr>
          <w:rFonts w:cs="Times New Roman"/>
        </w:rPr>
        <w:t>québécoise. Certes, il est vrai, comme le fait observer le juge Morissette, que la personne raisonnable qui se trouverait dans la situation de M. Gabriel doit tempérer sa réaction dans la mesure où elle est censée être habituée aux us et coutumes d</w:t>
      </w:r>
      <w:r>
        <w:rPr>
          <w:rFonts w:cs="Times New Roman"/>
        </w:rPr>
        <w:t>’</w:t>
      </w:r>
      <w:r w:rsidRPr="00985CB4">
        <w:rPr>
          <w:rFonts w:cs="Times New Roman"/>
        </w:rPr>
        <w:t>une société pluraliste où l</w:t>
      </w:r>
      <w:r>
        <w:rPr>
          <w:rFonts w:cs="Times New Roman"/>
        </w:rPr>
        <w:t>’</w:t>
      </w:r>
      <w:r w:rsidRPr="00985CB4">
        <w:rPr>
          <w:rFonts w:cs="Times New Roman"/>
        </w:rPr>
        <w:t>on valorise la liberté d</w:t>
      </w:r>
      <w:r>
        <w:rPr>
          <w:rFonts w:cs="Times New Roman"/>
        </w:rPr>
        <w:t>’</w:t>
      </w:r>
      <w:r w:rsidRPr="00985CB4">
        <w:rPr>
          <w:rFonts w:cs="Times New Roman"/>
        </w:rPr>
        <w:t>expression et où l</w:t>
      </w:r>
      <w:r>
        <w:rPr>
          <w:rFonts w:cs="Times New Roman"/>
        </w:rPr>
        <w:t>’</w:t>
      </w:r>
      <w:r w:rsidRPr="00985CB4">
        <w:rPr>
          <w:rFonts w:cs="Times New Roman"/>
        </w:rPr>
        <w:t>on admet certains excès de langage, même blessants, en tant qu</w:t>
      </w:r>
      <w:r>
        <w:rPr>
          <w:rFonts w:cs="Times New Roman"/>
        </w:rPr>
        <w:t>’</w:t>
      </w:r>
      <w:r w:rsidRPr="00985CB4">
        <w:rPr>
          <w:rFonts w:cs="Times New Roman"/>
        </w:rPr>
        <w:t>inconvénient nécessaire lié aux rapports sociaux courants (</w:t>
      </w:r>
      <w:r w:rsidRPr="00985CB4">
        <w:rPr>
          <w:rFonts w:cs="Times New Roman"/>
          <w:i/>
        </w:rPr>
        <w:t>Calego</w:t>
      </w:r>
      <w:r w:rsidRPr="00985CB4">
        <w:rPr>
          <w:rFonts w:cs="Times New Roman"/>
        </w:rPr>
        <w:t xml:space="preserve">, </w:t>
      </w:r>
      <w:r>
        <w:rPr>
          <w:rFonts w:cs="Times New Roman"/>
        </w:rPr>
        <w:t>par. </w:t>
      </w:r>
      <w:r w:rsidRPr="00985CB4">
        <w:rPr>
          <w:rFonts w:cs="Times New Roman"/>
        </w:rPr>
        <w:t>99</w:t>
      </w:r>
      <w:r>
        <w:rPr>
          <w:rFonts w:cs="Times New Roman"/>
        </w:rPr>
        <w:noBreakHyphen/>
      </w:r>
      <w:r w:rsidRPr="00985CB4">
        <w:rPr>
          <w:rFonts w:cs="Times New Roman"/>
        </w:rPr>
        <w:t>102). Toutefois, nous ne sommes pas en présence d</w:t>
      </w:r>
      <w:r>
        <w:rPr>
          <w:rFonts w:cs="Times New Roman"/>
        </w:rPr>
        <w:t>’</w:t>
      </w:r>
      <w:r w:rsidRPr="00985CB4">
        <w:rPr>
          <w:rFonts w:cs="Times New Roman"/>
        </w:rPr>
        <w:t xml:space="preserve">un cas relevant, suivant la description du juge Morissette, de la maxime </w:t>
      </w:r>
      <w:r w:rsidRPr="00985CB4">
        <w:rPr>
          <w:rFonts w:cs="Times New Roman"/>
          <w:i/>
        </w:rPr>
        <w:t>de minimis non curat lex</w:t>
      </w:r>
      <w:r w:rsidRPr="00985CB4">
        <w:rPr>
          <w:rFonts w:cs="Times New Roman"/>
        </w:rPr>
        <w:t>. Les paroles de M. Ward ne se rattachaient qu</w:t>
      </w:r>
      <w:r>
        <w:rPr>
          <w:rFonts w:cs="Times New Roman"/>
        </w:rPr>
        <w:t>’</w:t>
      </w:r>
      <w:r w:rsidRPr="00985CB4">
        <w:rPr>
          <w:rFonts w:cs="Times New Roman"/>
        </w:rPr>
        <w:t>accessoirement aux valeurs fondamentales qui sous</w:t>
      </w:r>
      <w:r>
        <w:rPr>
          <w:rFonts w:cs="Times New Roman"/>
        </w:rPr>
        <w:noBreakHyphen/>
      </w:r>
      <w:r w:rsidRPr="00985CB4">
        <w:rPr>
          <w:rFonts w:cs="Times New Roman"/>
        </w:rPr>
        <w:t>tendent la liberté d</w:t>
      </w:r>
      <w:r>
        <w:rPr>
          <w:rFonts w:cs="Times New Roman"/>
        </w:rPr>
        <w:t>’</w:t>
      </w:r>
      <w:r w:rsidRPr="00985CB4">
        <w:rPr>
          <w:rFonts w:cs="Times New Roman"/>
        </w:rPr>
        <w:t>expression, et ce dernier n</w:t>
      </w:r>
      <w:r>
        <w:rPr>
          <w:rFonts w:cs="Times New Roman"/>
        </w:rPr>
        <w:t>’</w:t>
      </w:r>
      <w:r w:rsidRPr="00985CB4">
        <w:rPr>
          <w:rFonts w:cs="Times New Roman"/>
        </w:rPr>
        <w:t>a identifié aucun autre intérêt public important qui les justifierait. L</w:t>
      </w:r>
      <w:r>
        <w:rPr>
          <w:rFonts w:cs="Times New Roman"/>
        </w:rPr>
        <w:t>’</w:t>
      </w:r>
      <w:r w:rsidRPr="00985CB4">
        <w:rPr>
          <w:rFonts w:cs="Times New Roman"/>
        </w:rPr>
        <w:t>exercice par M. Ward du droit à la liberté d</w:t>
      </w:r>
      <w:r>
        <w:rPr>
          <w:rFonts w:cs="Times New Roman"/>
        </w:rPr>
        <w:t>’</w:t>
      </w:r>
      <w:r w:rsidRPr="00985CB4">
        <w:rPr>
          <w:rFonts w:cs="Times New Roman"/>
        </w:rPr>
        <w:t>expression que lui garantit l</w:t>
      </w:r>
      <w:r>
        <w:rPr>
          <w:rFonts w:cs="Times New Roman"/>
        </w:rPr>
        <w:t>’art. </w:t>
      </w:r>
      <w:r w:rsidRPr="00985CB4">
        <w:rPr>
          <w:rFonts w:cs="Times New Roman"/>
        </w:rPr>
        <w:t>3 de la</w:t>
      </w:r>
      <w:r w:rsidRPr="00985CB4">
        <w:rPr>
          <w:rFonts w:cs="Times New Roman"/>
          <w:i/>
        </w:rPr>
        <w:t xml:space="preserve"> Charte </w:t>
      </w:r>
      <w:r w:rsidRPr="00985CB4">
        <w:rPr>
          <w:rFonts w:cs="Times New Roman"/>
        </w:rPr>
        <w:t>québécoise est donc complètement disproportionné par rapport au préjudice subi par M. Gabriel au regard de l</w:t>
      </w:r>
      <w:r>
        <w:rPr>
          <w:rFonts w:cs="Times New Roman"/>
        </w:rPr>
        <w:t>’art. </w:t>
      </w:r>
      <w:r w:rsidRPr="00985CB4">
        <w:rPr>
          <w:rFonts w:cs="Times New Roman"/>
        </w:rPr>
        <w:t>4.</w:t>
      </w:r>
    </w:p>
    <w:p w14:paraId="56054B0C" w14:textId="77777777" w:rsidR="00116CBE" w:rsidRPr="00985CB4" w:rsidRDefault="00116CBE" w:rsidP="00116CBE">
      <w:pPr>
        <w:pStyle w:val="ParaNoNdepar-AltN"/>
        <w:rPr>
          <w:rFonts w:cs="Times New Roman"/>
        </w:rPr>
      </w:pPr>
      <w:r w:rsidRPr="00985CB4">
        <w:rPr>
          <w:rFonts w:cs="Times New Roman"/>
        </w:rPr>
        <w:t>On ne s</w:t>
      </w:r>
      <w:r>
        <w:rPr>
          <w:rFonts w:cs="Times New Roman"/>
        </w:rPr>
        <w:t>’</w:t>
      </w:r>
      <w:r w:rsidRPr="00985CB4">
        <w:rPr>
          <w:rFonts w:cs="Times New Roman"/>
        </w:rPr>
        <w:t>attendrait pas à ce qu</w:t>
      </w:r>
      <w:r>
        <w:rPr>
          <w:rFonts w:cs="Times New Roman"/>
        </w:rPr>
        <w:t>’</w:t>
      </w:r>
      <w:r w:rsidRPr="00985CB4">
        <w:rPr>
          <w:rFonts w:cs="Times New Roman"/>
        </w:rPr>
        <w:t>une personne raisonnable dans la même situation que M. Gabriel, même si elle était sensible à l</w:t>
      </w:r>
      <w:r>
        <w:rPr>
          <w:rFonts w:cs="Times New Roman"/>
        </w:rPr>
        <w:t>’</w:t>
      </w:r>
      <w:r w:rsidRPr="00985CB4">
        <w:rPr>
          <w:rFonts w:cs="Times New Roman"/>
        </w:rPr>
        <w:t>importance accordée à la liberté d</w:t>
      </w:r>
      <w:r>
        <w:rPr>
          <w:rFonts w:cs="Times New Roman"/>
        </w:rPr>
        <w:t>’</w:t>
      </w:r>
      <w:r w:rsidRPr="00985CB4">
        <w:rPr>
          <w:rFonts w:cs="Times New Roman"/>
        </w:rPr>
        <w:t>expression, y compris l</w:t>
      </w:r>
      <w:r>
        <w:rPr>
          <w:rFonts w:cs="Times New Roman"/>
        </w:rPr>
        <w:t>’</w:t>
      </w:r>
      <w:r w:rsidRPr="00985CB4">
        <w:rPr>
          <w:rFonts w:cs="Times New Roman"/>
        </w:rPr>
        <w:t>expression artistique et la satire, supporte les propos litigieux prononcés en l</w:t>
      </w:r>
      <w:r>
        <w:rPr>
          <w:rFonts w:cs="Times New Roman"/>
        </w:rPr>
        <w:t>’</w:t>
      </w:r>
      <w:r w:rsidRPr="00985CB4">
        <w:rPr>
          <w:rFonts w:cs="Times New Roman"/>
        </w:rPr>
        <w:t>espèce (</w:t>
      </w:r>
      <w:r w:rsidRPr="00985CB4">
        <w:rPr>
          <w:rFonts w:cs="Times New Roman"/>
          <w:i/>
        </w:rPr>
        <w:t>Calego</w:t>
      </w:r>
      <w:r w:rsidRPr="00985CB4">
        <w:rPr>
          <w:rFonts w:cs="Times New Roman"/>
        </w:rPr>
        <w:t xml:space="preserve">, </w:t>
      </w:r>
      <w:r>
        <w:rPr>
          <w:rFonts w:cs="Times New Roman"/>
        </w:rPr>
        <w:t>par. </w:t>
      </w:r>
      <w:r w:rsidRPr="00985CB4">
        <w:rPr>
          <w:rFonts w:cs="Times New Roman"/>
        </w:rPr>
        <w:t>99). Cela est d</w:t>
      </w:r>
      <w:r>
        <w:rPr>
          <w:rFonts w:cs="Times New Roman"/>
        </w:rPr>
        <w:t>’</w:t>
      </w:r>
      <w:r w:rsidRPr="00985CB4">
        <w:rPr>
          <w:rFonts w:cs="Times New Roman"/>
        </w:rPr>
        <w:t>autant plus vrai compte tenu des circonstances examinées ci</w:t>
      </w:r>
      <w:r>
        <w:rPr>
          <w:rFonts w:cs="Times New Roman"/>
        </w:rPr>
        <w:noBreakHyphen/>
      </w:r>
      <w:r w:rsidRPr="00985CB4">
        <w:rPr>
          <w:rFonts w:cs="Times New Roman"/>
        </w:rPr>
        <w:t>dessus</w:t>
      </w:r>
      <w:r>
        <w:rPr>
          <w:rFonts w:cs="Times New Roman"/>
        </w:rPr>
        <w:t> :</w:t>
      </w:r>
      <w:r w:rsidRPr="00985CB4">
        <w:rPr>
          <w:rFonts w:cs="Times New Roman"/>
        </w:rPr>
        <w:t xml:space="preserve"> Jérémy Gabriel était un enfant à l</w:t>
      </w:r>
      <w:r>
        <w:rPr>
          <w:rFonts w:cs="Times New Roman"/>
        </w:rPr>
        <w:t>’</w:t>
      </w:r>
      <w:r w:rsidRPr="00985CB4">
        <w:rPr>
          <w:rFonts w:cs="Times New Roman"/>
        </w:rPr>
        <w:t>époque pertinente, les blagues ont été largement diffusées sur Internet à un segment important de la population et elles ont joué sur des attitudes préjudiciables déshumanisantes à l</w:t>
      </w:r>
      <w:r>
        <w:rPr>
          <w:rFonts w:cs="Times New Roman"/>
        </w:rPr>
        <w:t>’</w:t>
      </w:r>
      <w:r w:rsidRPr="00985CB4">
        <w:rPr>
          <w:rFonts w:cs="Times New Roman"/>
        </w:rPr>
        <w:t>endroit des enfants handicapés. Si la situation avait été différente, par exemple si M. Gabriel n</w:t>
      </w:r>
      <w:r>
        <w:rPr>
          <w:rFonts w:cs="Times New Roman"/>
        </w:rPr>
        <w:t>’</w:t>
      </w:r>
      <w:r w:rsidRPr="00985CB4">
        <w:rPr>
          <w:rFonts w:cs="Times New Roman"/>
        </w:rPr>
        <w:t>avait pas été un enfant, si les blagues n</w:t>
      </w:r>
      <w:r>
        <w:rPr>
          <w:rFonts w:cs="Times New Roman"/>
        </w:rPr>
        <w:t>’</w:t>
      </w:r>
      <w:r w:rsidRPr="00985CB4">
        <w:rPr>
          <w:rFonts w:cs="Times New Roman"/>
        </w:rPr>
        <w:t>avaient pas été diffusées aussi largement et que M. Gabriel avait pu se soustraire à leur effet préjudiciable, ou si les blagues elles</w:t>
      </w:r>
      <w:r>
        <w:rPr>
          <w:rFonts w:cs="Times New Roman"/>
        </w:rPr>
        <w:noBreakHyphen/>
      </w:r>
      <w:r w:rsidRPr="00985CB4">
        <w:rPr>
          <w:rFonts w:cs="Times New Roman"/>
        </w:rPr>
        <w:t>mêmes n</w:t>
      </w:r>
      <w:r>
        <w:rPr>
          <w:rFonts w:cs="Times New Roman"/>
        </w:rPr>
        <w:t>’</w:t>
      </w:r>
      <w:r w:rsidRPr="00985CB4">
        <w:rPr>
          <w:rFonts w:cs="Times New Roman"/>
        </w:rPr>
        <w:t>avaient pas été liées directement aux attitudes les plus répugnantes à propos de la place des enfants handicapés dans notre société, la norme élevée énoncée dans l</w:t>
      </w:r>
      <w:r>
        <w:rPr>
          <w:rFonts w:cs="Times New Roman"/>
        </w:rPr>
        <w:t>’</w:t>
      </w:r>
      <w:r w:rsidRPr="00985CB4">
        <w:rPr>
          <w:rFonts w:cs="Times New Roman"/>
        </w:rPr>
        <w:t xml:space="preserve">arrêt </w:t>
      </w:r>
      <w:r w:rsidRPr="00985CB4">
        <w:rPr>
          <w:rFonts w:cs="Times New Roman"/>
          <w:i/>
        </w:rPr>
        <w:t>Calego</w:t>
      </w:r>
      <w:r w:rsidRPr="00985CB4">
        <w:rPr>
          <w:rFonts w:cs="Times New Roman"/>
        </w:rPr>
        <w:t xml:space="preserve"> n</w:t>
      </w:r>
      <w:r>
        <w:rPr>
          <w:rFonts w:cs="Times New Roman"/>
        </w:rPr>
        <w:t>’</w:t>
      </w:r>
      <w:r w:rsidRPr="00985CB4">
        <w:rPr>
          <w:rFonts w:cs="Times New Roman"/>
        </w:rPr>
        <w:t>aurait peut</w:t>
      </w:r>
      <w:r>
        <w:rPr>
          <w:rFonts w:cs="Times New Roman"/>
        </w:rPr>
        <w:noBreakHyphen/>
      </w:r>
      <w:r w:rsidRPr="00985CB4">
        <w:rPr>
          <w:rFonts w:cs="Times New Roman"/>
        </w:rPr>
        <w:t>être pas été violée. Cependant, au vu des faits de la présente affaire, M. Ward n</w:t>
      </w:r>
      <w:r>
        <w:rPr>
          <w:rFonts w:cs="Times New Roman"/>
        </w:rPr>
        <w:t>’</w:t>
      </w:r>
      <w:r w:rsidRPr="00985CB4">
        <w:rPr>
          <w:rFonts w:cs="Times New Roman"/>
        </w:rPr>
        <w:t xml:space="preserve">a pas été en mesure de justifier son comportement discriminatoire </w:t>
      </w:r>
      <w:r w:rsidRPr="00985CB4">
        <w:rPr>
          <w:rFonts w:cs="Times New Roman"/>
          <w:i/>
        </w:rPr>
        <w:t xml:space="preserve">prima facie </w:t>
      </w:r>
      <w:r w:rsidRPr="00985CB4">
        <w:rPr>
          <w:rFonts w:cs="Times New Roman"/>
        </w:rPr>
        <w:t>et le Tribunal a eu raison de conclure qu</w:t>
      </w:r>
      <w:r>
        <w:rPr>
          <w:rFonts w:cs="Times New Roman"/>
        </w:rPr>
        <w:t>’</w:t>
      </w:r>
      <w:r w:rsidRPr="00985CB4">
        <w:rPr>
          <w:rFonts w:cs="Times New Roman"/>
        </w:rPr>
        <w:t>une violation de l</w:t>
      </w:r>
      <w:r>
        <w:rPr>
          <w:rFonts w:cs="Times New Roman"/>
        </w:rPr>
        <w:t>’art. </w:t>
      </w:r>
      <w:r w:rsidRPr="00985CB4">
        <w:rPr>
          <w:rFonts w:cs="Times New Roman"/>
        </w:rPr>
        <w:t>10 avait été établie en l</w:t>
      </w:r>
      <w:r>
        <w:rPr>
          <w:rFonts w:cs="Times New Roman"/>
        </w:rPr>
        <w:t>’</w:t>
      </w:r>
      <w:r w:rsidRPr="00985CB4">
        <w:rPr>
          <w:rFonts w:cs="Times New Roman"/>
        </w:rPr>
        <w:t>espèce.</w:t>
      </w:r>
    </w:p>
    <w:p w14:paraId="241CF59C" w14:textId="77777777" w:rsidR="00116CBE" w:rsidRPr="00985CB4" w:rsidRDefault="00116CBE" w:rsidP="00116CBE">
      <w:pPr>
        <w:pStyle w:val="ParaNoNdepar-AltN"/>
        <w:tabs>
          <w:tab w:val="clear" w:pos="1152"/>
          <w:tab w:val="left" w:pos="1166"/>
        </w:tabs>
        <w:rPr>
          <w:rFonts w:eastAsia="Times New Roman" w:cs="Times New Roman"/>
          <w:szCs w:val="24"/>
        </w:rPr>
      </w:pPr>
      <w:r w:rsidRPr="00985CB4">
        <w:rPr>
          <w:rFonts w:cs="Times New Roman"/>
          <w:szCs w:val="24"/>
        </w:rPr>
        <w:t>La dernière question litigieuse à trancher dans le présent pourvoi consiste à décider si la décision du Tribunal d</w:t>
      </w:r>
      <w:r>
        <w:rPr>
          <w:rFonts w:cs="Times New Roman"/>
          <w:szCs w:val="24"/>
        </w:rPr>
        <w:t>’</w:t>
      </w:r>
      <w:r w:rsidRPr="00985CB4">
        <w:rPr>
          <w:rFonts w:cs="Times New Roman"/>
          <w:szCs w:val="24"/>
        </w:rPr>
        <w:t>accorder des dommages</w:t>
      </w:r>
      <w:r>
        <w:rPr>
          <w:rFonts w:cs="Times New Roman"/>
          <w:szCs w:val="24"/>
        </w:rPr>
        <w:noBreakHyphen/>
      </w:r>
      <w:r w:rsidRPr="00985CB4">
        <w:rPr>
          <w:rFonts w:cs="Times New Roman"/>
          <w:szCs w:val="24"/>
        </w:rPr>
        <w:t>intérêts punitifs, qu</w:t>
      </w:r>
      <w:r>
        <w:rPr>
          <w:rFonts w:cs="Times New Roman"/>
          <w:szCs w:val="24"/>
        </w:rPr>
        <w:t>’</w:t>
      </w:r>
      <w:r w:rsidRPr="00985CB4">
        <w:rPr>
          <w:rFonts w:cs="Times New Roman"/>
          <w:szCs w:val="24"/>
        </w:rPr>
        <w:t>a confirmée la Cour d</w:t>
      </w:r>
      <w:r>
        <w:rPr>
          <w:rFonts w:cs="Times New Roman"/>
          <w:szCs w:val="24"/>
        </w:rPr>
        <w:t>’</w:t>
      </w:r>
      <w:r w:rsidRPr="00985CB4">
        <w:rPr>
          <w:rFonts w:cs="Times New Roman"/>
          <w:szCs w:val="24"/>
        </w:rPr>
        <w:t>appel, était appropriée. Aux termes de l</w:t>
      </w:r>
      <w:r>
        <w:rPr>
          <w:rFonts w:cs="Times New Roman"/>
          <w:szCs w:val="24"/>
        </w:rPr>
        <w:t>’art. </w:t>
      </w:r>
      <w:r w:rsidRPr="00985CB4">
        <w:rPr>
          <w:rFonts w:cs="Times New Roman"/>
          <w:szCs w:val="24"/>
        </w:rPr>
        <w:t xml:space="preserve">49 de la </w:t>
      </w:r>
      <w:r w:rsidRPr="00985CB4">
        <w:rPr>
          <w:rFonts w:cs="Times New Roman"/>
          <w:i/>
          <w:szCs w:val="24"/>
        </w:rPr>
        <w:t>Charte</w:t>
      </w:r>
      <w:r w:rsidRPr="00985CB4">
        <w:rPr>
          <w:rFonts w:cs="Times New Roman"/>
          <w:szCs w:val="24"/>
        </w:rPr>
        <w:t xml:space="preserve"> québécoise</w:t>
      </w:r>
      <w:r>
        <w:rPr>
          <w:rFonts w:cs="Times New Roman"/>
          <w:szCs w:val="24"/>
        </w:rPr>
        <w:t> :</w:t>
      </w:r>
    </w:p>
    <w:p w14:paraId="06072AE1" w14:textId="77777777" w:rsidR="00116CBE" w:rsidRPr="00985CB4" w:rsidRDefault="00116CBE" w:rsidP="00116CBE">
      <w:pPr>
        <w:pStyle w:val="Citation-AltC"/>
        <w:spacing w:after="240"/>
        <w:ind w:left="1168" w:hanging="1168"/>
        <w:contextualSpacing w:val="0"/>
      </w:pPr>
      <w:r>
        <w:rPr>
          <w:rStyle w:val="subsection"/>
          <w:b/>
        </w:rPr>
        <w:tab/>
      </w:r>
      <w:r w:rsidRPr="00985CB4">
        <w:rPr>
          <w:rStyle w:val="subsection"/>
          <w:b/>
        </w:rPr>
        <w:t>49.</w:t>
      </w:r>
      <w:r w:rsidRPr="00985CB4">
        <w:rPr>
          <w:rStyle w:val="subsection"/>
          <w:b/>
        </w:rPr>
        <w:tab/>
      </w:r>
      <w:r w:rsidRPr="00985CB4">
        <w:t>Une atteinte illicite à un droit ou à une liberté reconnu par la présente Charte confère à la victime le droit d</w:t>
      </w:r>
      <w:r>
        <w:t>’</w:t>
      </w:r>
      <w:r w:rsidRPr="00985CB4">
        <w:t>obtenir la cessation de cette atteinte et la réparation du préjudice moral ou matériel qui en résulte</w:t>
      </w:r>
      <w:r w:rsidRPr="00985CB4">
        <w:rPr>
          <w:rStyle w:val="subsection"/>
        </w:rPr>
        <w:t>.</w:t>
      </w:r>
    </w:p>
    <w:p w14:paraId="5C04BEF8" w14:textId="77777777" w:rsidR="00116CBE" w:rsidRPr="00985CB4" w:rsidRDefault="00116CBE" w:rsidP="00116CBE">
      <w:pPr>
        <w:pStyle w:val="Citation-AltC"/>
        <w:ind w:hanging="1166"/>
      </w:pPr>
      <w:r>
        <w:tab/>
      </w:r>
      <w:r>
        <w:tab/>
      </w:r>
      <w:r w:rsidRPr="00985CB4">
        <w:t>En cas d</w:t>
      </w:r>
      <w:r>
        <w:t>’</w:t>
      </w:r>
      <w:r w:rsidRPr="00985CB4">
        <w:t xml:space="preserve">atteinte </w:t>
      </w:r>
      <w:r w:rsidRPr="00985CB4">
        <w:rPr>
          <w:u w:val="single"/>
        </w:rPr>
        <w:t>illicite et intentionnelle</w:t>
      </w:r>
      <w:r w:rsidRPr="00985CB4">
        <w:t>, le tribunal peut en outre condamner son auteur à des dommages</w:t>
      </w:r>
      <w:r>
        <w:noBreakHyphen/>
      </w:r>
      <w:r w:rsidRPr="00985CB4">
        <w:t>intérêts punitifs</w:t>
      </w:r>
      <w:r w:rsidRPr="00985CB4">
        <w:rPr>
          <w:rStyle w:val="subsection"/>
        </w:rPr>
        <w:t>.</w:t>
      </w:r>
    </w:p>
    <w:p w14:paraId="3D1F2A01" w14:textId="77777777" w:rsidR="00116CBE" w:rsidRPr="00985CB4" w:rsidRDefault="00116CBE" w:rsidP="00116CBE">
      <w:pPr>
        <w:pStyle w:val="ParaNoNdepar-AltN"/>
        <w:rPr>
          <w:rFonts w:eastAsia="Times New Roman" w:cs="Times New Roman"/>
          <w:szCs w:val="24"/>
        </w:rPr>
      </w:pPr>
      <w:r w:rsidRPr="00985CB4">
        <w:rPr>
          <w:rFonts w:eastAsia="Times New Roman" w:cs="Times New Roman"/>
          <w:szCs w:val="24"/>
        </w:rPr>
        <w:t>Il s</w:t>
      </w:r>
      <w:r>
        <w:rPr>
          <w:rFonts w:eastAsia="Times New Roman" w:cs="Times New Roman"/>
          <w:szCs w:val="24"/>
        </w:rPr>
        <w:t>’</w:t>
      </w:r>
      <w:r w:rsidRPr="00985CB4">
        <w:rPr>
          <w:rFonts w:eastAsia="Times New Roman" w:cs="Times New Roman"/>
          <w:szCs w:val="24"/>
        </w:rPr>
        <w:t xml:space="preserve">agit de décider si le Tribunal a erré en concluant que les propos de M. Ward au sujet de </w:t>
      </w:r>
      <w:r w:rsidRPr="00985CB4">
        <w:rPr>
          <w:rFonts w:cs="Times New Roman"/>
        </w:rPr>
        <w:t>M. Gabriel</w:t>
      </w:r>
      <w:r w:rsidRPr="00985CB4">
        <w:rPr>
          <w:rFonts w:eastAsia="Times New Roman" w:cs="Times New Roman"/>
          <w:szCs w:val="24"/>
        </w:rPr>
        <w:t xml:space="preserve"> constituaient une telle atteinte illicite et intentionnelle à l</w:t>
      </w:r>
      <w:r>
        <w:rPr>
          <w:rFonts w:eastAsia="Times New Roman" w:cs="Times New Roman"/>
          <w:szCs w:val="24"/>
        </w:rPr>
        <w:t>’</w:t>
      </w:r>
      <w:r w:rsidRPr="00985CB4">
        <w:rPr>
          <w:rFonts w:eastAsia="Times New Roman" w:cs="Times New Roman"/>
          <w:szCs w:val="24"/>
        </w:rPr>
        <w:t xml:space="preserve">exercice, en pleine égalité, du droit à la dignité de ce dernier. </w:t>
      </w:r>
    </w:p>
    <w:p w14:paraId="6F9B3024" w14:textId="77777777" w:rsidR="00116CBE" w:rsidRPr="00985CB4" w:rsidRDefault="00116CBE" w:rsidP="00116CBE">
      <w:pPr>
        <w:pStyle w:val="ParaNoNdepar-AltN"/>
        <w:rPr>
          <w:rFonts w:eastAsia="Times New Roman" w:cs="Times New Roman"/>
          <w:szCs w:val="24"/>
        </w:rPr>
      </w:pPr>
      <w:r w:rsidRPr="00985CB4">
        <w:rPr>
          <w:rFonts w:cs="Times New Roman"/>
          <w:shd w:val="clear" w:color="auto" w:fill="FFFFFF"/>
        </w:rPr>
        <w:t>Les normes de contrôle généralement applicables décrites dans l</w:t>
      </w:r>
      <w:r>
        <w:rPr>
          <w:rFonts w:cs="Times New Roman"/>
          <w:shd w:val="clear" w:color="auto" w:fill="FFFFFF"/>
        </w:rPr>
        <w:t>’</w:t>
      </w:r>
      <w:r w:rsidRPr="00985CB4">
        <w:rPr>
          <w:rFonts w:cs="Times New Roman"/>
          <w:shd w:val="clear" w:color="auto" w:fill="FFFFFF"/>
        </w:rPr>
        <w:t xml:space="preserve">arrêt </w:t>
      </w:r>
      <w:r w:rsidRPr="00985CB4">
        <w:rPr>
          <w:rFonts w:cs="Times New Roman"/>
          <w:i/>
          <w:shd w:val="clear" w:color="auto" w:fill="FFFFFF"/>
        </w:rPr>
        <w:t>Housen c. Nikolaisen</w:t>
      </w:r>
      <w:r w:rsidRPr="00985CB4">
        <w:rPr>
          <w:rFonts w:cs="Times New Roman"/>
          <w:shd w:val="clear" w:color="auto" w:fill="FFFFFF"/>
        </w:rPr>
        <w:t>, [2002] 2 R.C.S. 235, s</w:t>
      </w:r>
      <w:r>
        <w:rPr>
          <w:rFonts w:cs="Times New Roman"/>
          <w:shd w:val="clear" w:color="auto" w:fill="FFFFFF"/>
        </w:rPr>
        <w:t>’</w:t>
      </w:r>
      <w:r w:rsidRPr="00985CB4">
        <w:rPr>
          <w:rFonts w:cs="Times New Roman"/>
          <w:shd w:val="clear" w:color="auto" w:fill="FFFFFF"/>
        </w:rPr>
        <w:t xml:space="preserve">appliquent aux indemnités (voir </w:t>
      </w:r>
      <w:r w:rsidRPr="00985CB4">
        <w:rPr>
          <w:rFonts w:cs="Times New Roman"/>
          <w:i/>
          <w:shd w:val="clear" w:color="auto" w:fill="FFFFFF"/>
        </w:rPr>
        <w:t>Southwind c. Canada</w:t>
      </w:r>
      <w:r w:rsidRPr="00985CB4">
        <w:rPr>
          <w:rFonts w:cs="Times New Roman"/>
          <w:shd w:val="clear" w:color="auto" w:fill="FFFFFF"/>
        </w:rPr>
        <w:t xml:space="preserve">, 2021 CSC 28, </w:t>
      </w:r>
      <w:r>
        <w:rPr>
          <w:rFonts w:cs="Times New Roman"/>
          <w:shd w:val="clear" w:color="auto" w:fill="FFFFFF"/>
        </w:rPr>
        <w:t>par. </w:t>
      </w:r>
      <w:r w:rsidRPr="00985CB4">
        <w:rPr>
          <w:rFonts w:cs="Times New Roman"/>
          <w:shd w:val="clear" w:color="auto" w:fill="FFFFFF"/>
        </w:rPr>
        <w:t>85). Une juridiction d</w:t>
      </w:r>
      <w:r>
        <w:rPr>
          <w:rFonts w:cs="Times New Roman"/>
          <w:shd w:val="clear" w:color="auto" w:fill="FFFFFF"/>
        </w:rPr>
        <w:t>’</w:t>
      </w:r>
      <w:r w:rsidRPr="00985CB4">
        <w:rPr>
          <w:rFonts w:cs="Times New Roman"/>
          <w:shd w:val="clear" w:color="auto" w:fill="FFFFFF"/>
        </w:rPr>
        <w:t>appel ne doit pas modifier une indemnité à moins que la décision de l</w:t>
      </w:r>
      <w:r>
        <w:rPr>
          <w:rFonts w:cs="Times New Roman"/>
          <w:shd w:val="clear" w:color="auto" w:fill="FFFFFF"/>
        </w:rPr>
        <w:t>’</w:t>
      </w:r>
      <w:r w:rsidRPr="00985CB4">
        <w:rPr>
          <w:rFonts w:cs="Times New Roman"/>
          <w:shd w:val="clear" w:color="auto" w:fill="FFFFFF"/>
        </w:rPr>
        <w:t>octroyer ne constitue une erreur manifeste et déterminante ou ne soit entachée d</w:t>
      </w:r>
      <w:r>
        <w:rPr>
          <w:rFonts w:cs="Times New Roman"/>
          <w:shd w:val="clear" w:color="auto" w:fill="FFFFFF"/>
        </w:rPr>
        <w:t>’</w:t>
      </w:r>
      <w:r w:rsidRPr="00985CB4">
        <w:rPr>
          <w:rFonts w:cs="Times New Roman"/>
          <w:shd w:val="clear" w:color="auto" w:fill="FFFFFF"/>
        </w:rPr>
        <w:t>une erreur de droit isolable (</w:t>
      </w:r>
      <w:r w:rsidRPr="00985CB4">
        <w:rPr>
          <w:rFonts w:cs="Times New Roman"/>
          <w:i/>
          <w:shd w:val="clear" w:color="auto" w:fill="FFFFFF"/>
        </w:rPr>
        <w:t>Housen</w:t>
      </w:r>
      <w:r w:rsidRPr="00985CB4">
        <w:rPr>
          <w:rFonts w:cs="Times New Roman"/>
          <w:shd w:val="clear" w:color="auto" w:fill="FFFFFF"/>
        </w:rPr>
        <w:t xml:space="preserve">, </w:t>
      </w:r>
      <w:r>
        <w:rPr>
          <w:rFonts w:cs="Times New Roman"/>
          <w:shd w:val="clear" w:color="auto" w:fill="FFFFFF"/>
        </w:rPr>
        <w:t>par. </w:t>
      </w:r>
      <w:r w:rsidRPr="00985CB4">
        <w:rPr>
          <w:rFonts w:cs="Times New Roman"/>
          <w:shd w:val="clear" w:color="auto" w:fill="FFFFFF"/>
        </w:rPr>
        <w:t xml:space="preserve">36; </w:t>
      </w:r>
      <w:r w:rsidRPr="00985CB4">
        <w:rPr>
          <w:rFonts w:eastAsia="Times New Roman" w:cs="Times New Roman"/>
          <w:i/>
          <w:szCs w:val="24"/>
        </w:rPr>
        <w:t>Richard c. Time Inc.</w:t>
      </w:r>
      <w:r w:rsidRPr="00985CB4">
        <w:rPr>
          <w:rFonts w:eastAsia="Times New Roman" w:cs="Times New Roman"/>
          <w:szCs w:val="24"/>
        </w:rPr>
        <w:t xml:space="preserve">, [2012] 1 R.C.S. 265, </w:t>
      </w:r>
      <w:r>
        <w:rPr>
          <w:rFonts w:cs="Times New Roman"/>
          <w:shd w:val="clear" w:color="auto" w:fill="FFFFFF"/>
        </w:rPr>
        <w:t>par. </w:t>
      </w:r>
      <w:r w:rsidRPr="00985CB4">
        <w:rPr>
          <w:rFonts w:cs="Times New Roman"/>
          <w:shd w:val="clear" w:color="auto" w:fill="FFFFFF"/>
        </w:rPr>
        <w:t>189</w:t>
      </w:r>
      <w:r>
        <w:rPr>
          <w:rFonts w:cs="Times New Roman"/>
          <w:shd w:val="clear" w:color="auto" w:fill="FFFFFF"/>
        </w:rPr>
        <w:noBreakHyphen/>
      </w:r>
      <w:r w:rsidRPr="00985CB4">
        <w:rPr>
          <w:rFonts w:cs="Times New Roman"/>
          <w:shd w:val="clear" w:color="auto" w:fill="FFFFFF"/>
        </w:rPr>
        <w:t>190).</w:t>
      </w:r>
    </w:p>
    <w:p w14:paraId="2F92D5BB" w14:textId="77777777" w:rsidR="00116CBE" w:rsidRPr="00985CB4" w:rsidRDefault="00116CBE" w:rsidP="00116CBE">
      <w:pPr>
        <w:pStyle w:val="ParaNoNdepar-AltN"/>
        <w:rPr>
          <w:rFonts w:eastAsia="Times New Roman" w:cs="Times New Roman"/>
          <w:szCs w:val="24"/>
        </w:rPr>
      </w:pPr>
      <w:r w:rsidRPr="00985CB4">
        <w:rPr>
          <w:rFonts w:cs="Times New Roman"/>
          <w:shd w:val="clear" w:color="auto" w:fill="FFFFFF"/>
        </w:rPr>
        <w:t>Dans la présente affaire, le Tribunal a conclu que M. Ward ne pouvait ignorer les conséquences de ses blagues au sujet de M. </w:t>
      </w:r>
      <w:r w:rsidRPr="00985CB4">
        <w:rPr>
          <w:rFonts w:cs="Times New Roman"/>
        </w:rPr>
        <w:t>Gabriel</w:t>
      </w:r>
      <w:r w:rsidRPr="00985CB4">
        <w:rPr>
          <w:rFonts w:cs="Times New Roman"/>
          <w:shd w:val="clear" w:color="auto" w:fill="FFFFFF"/>
        </w:rPr>
        <w:t xml:space="preserve"> (</w:t>
      </w:r>
      <w:r>
        <w:rPr>
          <w:rFonts w:cs="Times New Roman"/>
          <w:shd w:val="clear" w:color="auto" w:fill="FFFFFF"/>
        </w:rPr>
        <w:t>par. </w:t>
      </w:r>
      <w:r w:rsidRPr="00985CB4">
        <w:rPr>
          <w:rFonts w:cs="Times New Roman"/>
          <w:shd w:val="clear" w:color="auto" w:fill="FFFFFF"/>
        </w:rPr>
        <w:t>163). Il était loisible au Tribunal d</w:t>
      </w:r>
      <w:r>
        <w:rPr>
          <w:rFonts w:cs="Times New Roman"/>
          <w:shd w:val="clear" w:color="auto" w:fill="FFFFFF"/>
        </w:rPr>
        <w:t>’</w:t>
      </w:r>
      <w:r w:rsidRPr="00985CB4">
        <w:rPr>
          <w:rFonts w:cs="Times New Roman"/>
          <w:shd w:val="clear" w:color="auto" w:fill="FFFFFF"/>
        </w:rPr>
        <w:t>en déduire que M. Ward savait que ses propos discriminatoires étaient blessants. Une conséquence logique, directe et inévitable des propos de M. Ward était que M. Gabriel allait en subir des répercussions dévastatrices. En tant qu</w:t>
      </w:r>
      <w:r>
        <w:rPr>
          <w:rFonts w:cs="Times New Roman"/>
          <w:shd w:val="clear" w:color="auto" w:fill="FFFFFF"/>
        </w:rPr>
        <w:t>’</w:t>
      </w:r>
      <w:r w:rsidRPr="00985CB4">
        <w:rPr>
          <w:rFonts w:cs="Times New Roman"/>
          <w:shd w:val="clear" w:color="auto" w:fill="FFFFFF"/>
        </w:rPr>
        <w:t>humoriste bien connu et influent, M. Ward ne pouvait ignorer que le dénigrement d</w:t>
      </w:r>
      <w:r>
        <w:rPr>
          <w:rFonts w:cs="Times New Roman"/>
          <w:shd w:val="clear" w:color="auto" w:fill="FFFFFF"/>
        </w:rPr>
        <w:t>’</w:t>
      </w:r>
      <w:r w:rsidRPr="00985CB4">
        <w:rPr>
          <w:rFonts w:cs="Times New Roman"/>
          <w:shd w:val="clear" w:color="auto" w:fill="FFFFFF"/>
        </w:rPr>
        <w:t>un enfant sur la base de son handicap compromettrait l</w:t>
      </w:r>
      <w:r>
        <w:rPr>
          <w:rFonts w:cs="Times New Roman"/>
          <w:shd w:val="clear" w:color="auto" w:fill="FFFFFF"/>
        </w:rPr>
        <w:t>’</w:t>
      </w:r>
      <w:r w:rsidRPr="00985CB4">
        <w:rPr>
          <w:rFonts w:cs="Times New Roman"/>
          <w:shd w:val="clear" w:color="auto" w:fill="FFFFFF"/>
        </w:rPr>
        <w:t>exercice, en pleine égalité, du droit de cet enfant à la sauvegarde de sa dignité.</w:t>
      </w:r>
    </w:p>
    <w:p w14:paraId="2F1E3C21" w14:textId="77777777" w:rsidR="00116CBE" w:rsidRPr="00985CB4" w:rsidRDefault="00116CBE" w:rsidP="00116CBE">
      <w:pPr>
        <w:pStyle w:val="ParaNoNdepar-AltN"/>
        <w:rPr>
          <w:rFonts w:eastAsia="Times New Roman" w:cs="Times New Roman"/>
          <w:szCs w:val="24"/>
        </w:rPr>
      </w:pPr>
      <w:r w:rsidRPr="00985CB4">
        <w:rPr>
          <w:rFonts w:cs="Times New Roman"/>
          <w:shd w:val="clear" w:color="auto" w:fill="FFFFFF"/>
        </w:rPr>
        <w:t>Ce préjudice s</w:t>
      </w:r>
      <w:r>
        <w:rPr>
          <w:rFonts w:cs="Times New Roman"/>
          <w:shd w:val="clear" w:color="auto" w:fill="FFFFFF"/>
        </w:rPr>
        <w:t>’</w:t>
      </w:r>
      <w:r w:rsidRPr="00985CB4">
        <w:rPr>
          <w:rFonts w:cs="Times New Roman"/>
          <w:shd w:val="clear" w:color="auto" w:fill="FFFFFF"/>
        </w:rPr>
        <w:t>est matérialisé. Par conséquent, il était loisible au Tribunal d</w:t>
      </w:r>
      <w:r>
        <w:rPr>
          <w:rFonts w:cs="Times New Roman"/>
          <w:shd w:val="clear" w:color="auto" w:fill="FFFFFF"/>
        </w:rPr>
        <w:t>’</w:t>
      </w:r>
      <w:r w:rsidRPr="00985CB4">
        <w:rPr>
          <w:rFonts w:cs="Times New Roman"/>
          <w:shd w:val="clear" w:color="auto" w:fill="FFFFFF"/>
        </w:rPr>
        <w:t>octroyer des dommages</w:t>
      </w:r>
      <w:r>
        <w:rPr>
          <w:rFonts w:cs="Times New Roman"/>
          <w:shd w:val="clear" w:color="auto" w:fill="FFFFFF"/>
        </w:rPr>
        <w:noBreakHyphen/>
      </w:r>
      <w:r w:rsidRPr="00985CB4">
        <w:rPr>
          <w:rFonts w:cs="Times New Roman"/>
          <w:shd w:val="clear" w:color="auto" w:fill="FFFFFF"/>
        </w:rPr>
        <w:t>intérêts punitifs et il n</w:t>
      </w:r>
      <w:r>
        <w:rPr>
          <w:rFonts w:cs="Times New Roman"/>
          <w:shd w:val="clear" w:color="auto" w:fill="FFFFFF"/>
        </w:rPr>
        <w:t>’</w:t>
      </w:r>
      <w:r w:rsidRPr="00985CB4">
        <w:rPr>
          <w:rFonts w:cs="Times New Roman"/>
          <w:shd w:val="clear" w:color="auto" w:fill="FFFFFF"/>
        </w:rPr>
        <w:t>y a aucune raison de les écarter ou de les modifier. En l</w:t>
      </w:r>
      <w:r>
        <w:rPr>
          <w:rFonts w:cs="Times New Roman"/>
          <w:shd w:val="clear" w:color="auto" w:fill="FFFFFF"/>
        </w:rPr>
        <w:t>’</w:t>
      </w:r>
      <w:r w:rsidRPr="00985CB4">
        <w:rPr>
          <w:rFonts w:cs="Times New Roman"/>
          <w:shd w:val="clear" w:color="auto" w:fill="FFFFFF"/>
        </w:rPr>
        <w:t>espèce, les dommages</w:t>
      </w:r>
      <w:r>
        <w:rPr>
          <w:rFonts w:cs="Times New Roman"/>
          <w:shd w:val="clear" w:color="auto" w:fill="FFFFFF"/>
        </w:rPr>
        <w:noBreakHyphen/>
      </w:r>
      <w:r w:rsidRPr="00985CB4">
        <w:rPr>
          <w:rFonts w:cs="Times New Roman"/>
          <w:shd w:val="clear" w:color="auto" w:fill="FFFFFF"/>
        </w:rPr>
        <w:t>intérêts punitifs servent non seulement un objectif de dénonciation, mais ils servent également à dissuader des gens comme M. Ward de profiter d</w:t>
      </w:r>
      <w:r>
        <w:rPr>
          <w:rFonts w:cs="Times New Roman"/>
          <w:shd w:val="clear" w:color="auto" w:fill="FFFFFF"/>
        </w:rPr>
        <w:t>’</w:t>
      </w:r>
      <w:r w:rsidRPr="00985CB4">
        <w:rPr>
          <w:rFonts w:cs="Times New Roman"/>
          <w:shd w:val="clear" w:color="auto" w:fill="FFFFFF"/>
        </w:rPr>
        <w:t xml:space="preserve">une atteinte intentionnelle aux droits que garantit la </w:t>
      </w:r>
      <w:r w:rsidRPr="00985CB4">
        <w:rPr>
          <w:rFonts w:cs="Times New Roman"/>
          <w:i/>
          <w:shd w:val="clear" w:color="auto" w:fill="FFFFFF"/>
        </w:rPr>
        <w:t>Charte</w:t>
      </w:r>
      <w:r w:rsidRPr="00985CB4">
        <w:rPr>
          <w:rFonts w:cs="Times New Roman"/>
          <w:shd w:val="clear" w:color="auto" w:fill="FFFFFF"/>
        </w:rPr>
        <w:t xml:space="preserve"> québécoise à autrui et de considérer l</w:t>
      </w:r>
      <w:r>
        <w:rPr>
          <w:rFonts w:cs="Times New Roman"/>
          <w:shd w:val="clear" w:color="auto" w:fill="FFFFFF"/>
        </w:rPr>
        <w:t>’</w:t>
      </w:r>
      <w:r w:rsidRPr="00985CB4">
        <w:rPr>
          <w:rFonts w:cs="Times New Roman"/>
          <w:shd w:val="clear" w:color="auto" w:fill="FFFFFF"/>
        </w:rPr>
        <w:t>indemnité versée à l</w:t>
      </w:r>
      <w:r>
        <w:rPr>
          <w:rFonts w:cs="Times New Roman"/>
          <w:shd w:val="clear" w:color="auto" w:fill="FFFFFF"/>
        </w:rPr>
        <w:t>’</w:t>
      </w:r>
      <w:r w:rsidRPr="00985CB4">
        <w:rPr>
          <w:rFonts w:cs="Times New Roman"/>
          <w:shd w:val="clear" w:color="auto" w:fill="FFFFFF"/>
        </w:rPr>
        <w:t>égard de ce préjudice comme de simples frais d</w:t>
      </w:r>
      <w:r>
        <w:rPr>
          <w:rFonts w:cs="Times New Roman"/>
          <w:shd w:val="clear" w:color="auto" w:fill="FFFFFF"/>
        </w:rPr>
        <w:t>’</w:t>
      </w:r>
      <w:r w:rsidRPr="00985CB4">
        <w:rPr>
          <w:rFonts w:cs="Times New Roman"/>
          <w:shd w:val="clear" w:color="auto" w:fill="FFFFFF"/>
        </w:rPr>
        <w:t>exploitation (Sébastien Grammond, « Un nouveau départ pour les dommages</w:t>
      </w:r>
      <w:r>
        <w:rPr>
          <w:rFonts w:cs="Times New Roman"/>
          <w:shd w:val="clear" w:color="auto" w:fill="FFFFFF"/>
        </w:rPr>
        <w:noBreakHyphen/>
      </w:r>
      <w:r w:rsidRPr="00985CB4">
        <w:rPr>
          <w:rFonts w:cs="Times New Roman"/>
          <w:shd w:val="clear" w:color="auto" w:fill="FFFFFF"/>
        </w:rPr>
        <w:t xml:space="preserve">intérêts punitifs » (2012), 42 </w:t>
      </w:r>
      <w:r w:rsidRPr="00985CB4">
        <w:rPr>
          <w:rFonts w:cs="Times New Roman"/>
          <w:i/>
          <w:shd w:val="clear" w:color="auto" w:fill="FFFFFF"/>
        </w:rPr>
        <w:t xml:space="preserve">R.G.D. </w:t>
      </w:r>
      <w:r w:rsidRPr="00985CB4">
        <w:rPr>
          <w:rFonts w:cs="Times New Roman"/>
          <w:shd w:val="clear" w:color="auto" w:fill="FFFFFF"/>
        </w:rPr>
        <w:t xml:space="preserve">105, </w:t>
      </w:r>
      <w:r>
        <w:rPr>
          <w:rFonts w:cs="Times New Roman"/>
          <w:shd w:val="clear" w:color="auto" w:fill="FFFFFF"/>
        </w:rPr>
        <w:t>p. </w:t>
      </w:r>
      <w:r w:rsidRPr="00985CB4">
        <w:rPr>
          <w:rFonts w:cs="Times New Roman"/>
          <w:shd w:val="clear" w:color="auto" w:fill="FFFFFF"/>
        </w:rPr>
        <w:t>120). L</w:t>
      </w:r>
      <w:r>
        <w:rPr>
          <w:rFonts w:cs="Times New Roman"/>
          <w:shd w:val="clear" w:color="auto" w:fill="FFFFFF"/>
        </w:rPr>
        <w:t>’</w:t>
      </w:r>
      <w:r w:rsidRPr="00985CB4">
        <w:rPr>
          <w:rFonts w:cs="Times New Roman"/>
          <w:shd w:val="clear" w:color="auto" w:fill="FFFFFF"/>
        </w:rPr>
        <w:t>effet préventif d</w:t>
      </w:r>
      <w:r>
        <w:rPr>
          <w:rFonts w:cs="Times New Roman"/>
          <w:shd w:val="clear" w:color="auto" w:fill="FFFFFF"/>
        </w:rPr>
        <w:t>’</w:t>
      </w:r>
      <w:r w:rsidRPr="00985CB4">
        <w:rPr>
          <w:rFonts w:cs="Times New Roman"/>
          <w:shd w:val="clear" w:color="auto" w:fill="FFFFFF"/>
        </w:rPr>
        <w:t>une telle dénonciation et d</w:t>
      </w:r>
      <w:r>
        <w:rPr>
          <w:rFonts w:cs="Times New Roman"/>
          <w:shd w:val="clear" w:color="auto" w:fill="FFFFFF"/>
        </w:rPr>
        <w:t>’</w:t>
      </w:r>
      <w:r w:rsidRPr="00985CB4">
        <w:rPr>
          <w:rFonts w:cs="Times New Roman"/>
          <w:shd w:val="clear" w:color="auto" w:fill="FFFFFF"/>
        </w:rPr>
        <w:t>une telle dissuasion est « au bénéfice de la société toute entière » (</w:t>
      </w:r>
      <w:r w:rsidRPr="00985CB4">
        <w:rPr>
          <w:rFonts w:cs="Times New Roman"/>
          <w:i/>
          <w:shd w:val="clear" w:color="auto" w:fill="FFFFFF"/>
        </w:rPr>
        <w:t>de Montigny</w:t>
      </w:r>
      <w:r w:rsidRPr="00985CB4">
        <w:rPr>
          <w:rFonts w:cs="Times New Roman"/>
          <w:shd w:val="clear" w:color="auto" w:fill="FFFFFF"/>
        </w:rPr>
        <w:t xml:space="preserve">, </w:t>
      </w:r>
      <w:r>
        <w:rPr>
          <w:rFonts w:cs="Times New Roman"/>
          <w:shd w:val="clear" w:color="auto" w:fill="FFFFFF"/>
        </w:rPr>
        <w:t>par. </w:t>
      </w:r>
      <w:r w:rsidRPr="00985CB4">
        <w:rPr>
          <w:rFonts w:cs="Times New Roman"/>
          <w:shd w:val="clear" w:color="auto" w:fill="FFFFFF"/>
        </w:rPr>
        <w:t>52; voir aussi Mélanie Samson, « Les dommages punitifs en droit québécois</w:t>
      </w:r>
      <w:r>
        <w:rPr>
          <w:rFonts w:cs="Times New Roman"/>
          <w:shd w:val="clear" w:color="auto" w:fill="FFFFFF"/>
        </w:rPr>
        <w:t> :</w:t>
      </w:r>
      <w:r w:rsidRPr="00985CB4">
        <w:rPr>
          <w:rFonts w:cs="Times New Roman"/>
          <w:shd w:val="clear" w:color="auto" w:fill="FFFFFF"/>
        </w:rPr>
        <w:t xml:space="preserve"> tradition, évolution et . . . révolution? » (2012), 42 </w:t>
      </w:r>
      <w:r w:rsidRPr="00985CB4">
        <w:rPr>
          <w:rFonts w:cs="Times New Roman"/>
          <w:i/>
          <w:shd w:val="clear" w:color="auto" w:fill="FFFFFF"/>
        </w:rPr>
        <w:t xml:space="preserve">R.D.U.S. </w:t>
      </w:r>
      <w:r w:rsidRPr="00985CB4">
        <w:rPr>
          <w:rFonts w:cs="Times New Roman"/>
          <w:shd w:val="clear" w:color="auto" w:fill="FFFFFF"/>
        </w:rPr>
        <w:t xml:space="preserve">159, </w:t>
      </w:r>
      <w:r>
        <w:rPr>
          <w:rFonts w:cs="Times New Roman"/>
          <w:shd w:val="clear" w:color="auto" w:fill="FFFFFF"/>
        </w:rPr>
        <w:t>p. </w:t>
      </w:r>
      <w:r w:rsidRPr="00985CB4">
        <w:rPr>
          <w:rFonts w:cs="Times New Roman"/>
          <w:shd w:val="clear" w:color="auto" w:fill="FFFFFF"/>
        </w:rPr>
        <w:t>186</w:t>
      </w:r>
      <w:r>
        <w:rPr>
          <w:rFonts w:cs="Times New Roman"/>
          <w:shd w:val="clear" w:color="auto" w:fill="FFFFFF"/>
        </w:rPr>
        <w:noBreakHyphen/>
      </w:r>
      <w:r w:rsidRPr="00985CB4">
        <w:rPr>
          <w:rFonts w:cs="Times New Roman"/>
          <w:shd w:val="clear" w:color="auto" w:fill="FFFFFF"/>
        </w:rPr>
        <w:t>187).</w:t>
      </w:r>
    </w:p>
    <w:p w14:paraId="35F5859F" w14:textId="77777777" w:rsidR="00116CBE" w:rsidRPr="00985CB4" w:rsidRDefault="00116CBE" w:rsidP="00116CBE">
      <w:pPr>
        <w:pStyle w:val="ParaNoNdepar-AltN"/>
        <w:tabs>
          <w:tab w:val="clear" w:pos="1152"/>
          <w:tab w:val="left" w:pos="1166"/>
        </w:tabs>
        <w:rPr>
          <w:rFonts w:cs="Times New Roman"/>
        </w:rPr>
      </w:pPr>
      <w:r w:rsidRPr="00985CB4">
        <w:rPr>
          <w:rFonts w:cs="Times New Roman"/>
          <w:shd w:val="clear" w:color="auto" w:fill="FFFFFF"/>
        </w:rPr>
        <w:t>Nous rejetterions le pourvoi, avec dépens.</w:t>
      </w:r>
    </w:p>
    <w:p w14:paraId="4BBCBEDF" w14:textId="77777777" w:rsidR="00116CBE" w:rsidRPr="008B62B8" w:rsidRDefault="00116CBE" w:rsidP="00B91F12">
      <w:pPr>
        <w:pStyle w:val="SCCNormalDoubleSpacing"/>
        <w:spacing w:after="480"/>
        <w:rPr>
          <w:lang w:val="fr-CA"/>
        </w:rPr>
      </w:pPr>
    </w:p>
    <w:p w14:paraId="41632E16" w14:textId="255E98B6" w:rsidR="004D7D95" w:rsidRPr="008B62B8" w:rsidRDefault="004D7D95" w:rsidP="00B91F12">
      <w:pPr>
        <w:pStyle w:val="SCCNormalDoubleSpacing"/>
        <w:spacing w:after="480"/>
        <w:rPr>
          <w:i/>
          <w:lang w:val="fr-CA"/>
        </w:rPr>
      </w:pPr>
      <w:r w:rsidRPr="008B62B8">
        <w:rPr>
          <w:lang w:val="fr-CA"/>
        </w:rPr>
        <w:tab/>
      </w:r>
      <w:r w:rsidR="000F4BE2" w:rsidRPr="008B62B8">
        <w:rPr>
          <w:i/>
          <w:lang w:val="fr-CA"/>
        </w:rPr>
        <w:t>Pourvoi accueilli sans dépens, les juges</w:t>
      </w:r>
      <w:r w:rsidR="000F4BE2" w:rsidRPr="008B62B8">
        <w:rPr>
          <w:lang w:val="fr-CA"/>
        </w:rPr>
        <w:t xml:space="preserve"> </w:t>
      </w:r>
      <w:r w:rsidR="000F4BE2" w:rsidRPr="008B62B8">
        <w:rPr>
          <w:smallCaps/>
          <w:lang w:val="fr-CA"/>
        </w:rPr>
        <w:t>Abella</w:t>
      </w:r>
      <w:r w:rsidR="000F4BE2" w:rsidRPr="008B62B8">
        <w:rPr>
          <w:i/>
          <w:lang w:val="fr-CA"/>
        </w:rPr>
        <w:t>,</w:t>
      </w:r>
      <w:r w:rsidR="000F4BE2" w:rsidRPr="008B62B8">
        <w:rPr>
          <w:lang w:val="fr-CA"/>
        </w:rPr>
        <w:t xml:space="preserve"> </w:t>
      </w:r>
      <w:r w:rsidR="000F4BE2" w:rsidRPr="008B62B8">
        <w:rPr>
          <w:smallCaps/>
          <w:lang w:val="fr-CA"/>
        </w:rPr>
        <w:t>Karakatsanis</w:t>
      </w:r>
      <w:r w:rsidR="000F4BE2" w:rsidRPr="008B62B8">
        <w:rPr>
          <w:i/>
          <w:lang w:val="fr-CA"/>
        </w:rPr>
        <w:t>,</w:t>
      </w:r>
      <w:r w:rsidR="000F4BE2" w:rsidRPr="008B62B8">
        <w:rPr>
          <w:lang w:val="fr-CA"/>
        </w:rPr>
        <w:t xml:space="preserve"> </w:t>
      </w:r>
      <w:r w:rsidR="000F4BE2" w:rsidRPr="008B62B8">
        <w:rPr>
          <w:smallCaps/>
          <w:lang w:val="fr-CA"/>
        </w:rPr>
        <w:t>Martin</w:t>
      </w:r>
      <w:r w:rsidR="000F4BE2" w:rsidRPr="008B62B8">
        <w:rPr>
          <w:lang w:val="fr-CA"/>
        </w:rPr>
        <w:t xml:space="preserve"> </w:t>
      </w:r>
      <w:r w:rsidR="000F4BE2" w:rsidRPr="008B62B8">
        <w:rPr>
          <w:i/>
          <w:lang w:val="fr-CA"/>
        </w:rPr>
        <w:t>et</w:t>
      </w:r>
      <w:r w:rsidR="000F4BE2" w:rsidRPr="008B62B8">
        <w:rPr>
          <w:lang w:val="fr-CA"/>
        </w:rPr>
        <w:t xml:space="preserve"> </w:t>
      </w:r>
      <w:r w:rsidR="000F4BE2" w:rsidRPr="008B62B8">
        <w:rPr>
          <w:smallCaps/>
          <w:lang w:val="fr-CA"/>
        </w:rPr>
        <w:t>Kasirer</w:t>
      </w:r>
      <w:r w:rsidR="000F4BE2" w:rsidRPr="008B62B8">
        <w:rPr>
          <w:lang w:val="fr-CA"/>
        </w:rPr>
        <w:t xml:space="preserve"> </w:t>
      </w:r>
      <w:r w:rsidR="000F4BE2" w:rsidRPr="008B62B8">
        <w:rPr>
          <w:i/>
          <w:lang w:val="fr-CA"/>
        </w:rPr>
        <w:t>sont dissidents.</w:t>
      </w:r>
    </w:p>
    <w:p w14:paraId="3515C64E" w14:textId="1713A5C9" w:rsidR="00AD6543" w:rsidRPr="008B62B8" w:rsidRDefault="006015A5" w:rsidP="00B91F12">
      <w:pPr>
        <w:pStyle w:val="SCCLawFirm"/>
        <w:spacing w:after="480"/>
        <w:rPr>
          <w:lang w:val="fr-CA"/>
        </w:rPr>
      </w:pPr>
      <w:r w:rsidRPr="008B62B8">
        <w:rPr>
          <w:lang w:val="fr-CA"/>
        </w:rPr>
        <w:tab/>
        <w:t>Procureurs</w:t>
      </w:r>
      <w:r w:rsidR="008A633E" w:rsidRPr="008B62B8">
        <w:rPr>
          <w:lang w:val="fr-CA"/>
        </w:rPr>
        <w:t xml:space="preserve"> de l</w:t>
      </w:r>
      <w:r w:rsidR="00D4682F" w:rsidRPr="008B62B8">
        <w:rPr>
          <w:lang w:val="fr-CA"/>
        </w:rPr>
        <w:t>’</w:t>
      </w:r>
      <w:r w:rsidRPr="008B62B8">
        <w:rPr>
          <w:lang w:val="fr-CA"/>
        </w:rPr>
        <w:t>appelant</w:t>
      </w:r>
      <w:r w:rsidR="00DE049A">
        <w:rPr>
          <w:lang w:val="fr-CA"/>
        </w:rPr>
        <w:t> : </w:t>
      </w:r>
      <w:r w:rsidRPr="008B62B8">
        <w:rPr>
          <w:lang w:val="fr-CA"/>
        </w:rPr>
        <w:t>Grey Casgrain</w:t>
      </w:r>
      <w:r w:rsidR="008A633E" w:rsidRPr="008B62B8">
        <w:rPr>
          <w:lang w:val="fr-CA"/>
        </w:rPr>
        <w:t>, Montréal.</w:t>
      </w:r>
    </w:p>
    <w:p w14:paraId="1192559A" w14:textId="122E2D3F" w:rsidR="00AD6543" w:rsidRPr="008B62B8" w:rsidRDefault="006015A5" w:rsidP="00B91F12">
      <w:pPr>
        <w:pStyle w:val="SCCLawFirm"/>
        <w:spacing w:after="480"/>
        <w:rPr>
          <w:lang w:val="fr-CA"/>
        </w:rPr>
      </w:pPr>
      <w:r w:rsidRPr="008B62B8">
        <w:rPr>
          <w:lang w:val="fr-CA"/>
        </w:rPr>
        <w:tab/>
        <w:t>Procureur</w:t>
      </w:r>
      <w:r w:rsidR="008A633E" w:rsidRPr="008B62B8">
        <w:rPr>
          <w:lang w:val="fr-CA"/>
        </w:rPr>
        <w:t xml:space="preserve"> de l</w:t>
      </w:r>
      <w:r w:rsidR="00D4682F" w:rsidRPr="008B62B8">
        <w:rPr>
          <w:lang w:val="fr-CA"/>
        </w:rPr>
        <w:t>’</w:t>
      </w:r>
      <w:r w:rsidRPr="008B62B8">
        <w:rPr>
          <w:lang w:val="fr-CA"/>
        </w:rPr>
        <w:t>intimée</w:t>
      </w:r>
      <w:r w:rsidR="00DE049A">
        <w:rPr>
          <w:lang w:val="fr-CA"/>
        </w:rPr>
        <w:t> : </w:t>
      </w:r>
      <w:r w:rsidR="00AC5162" w:rsidRPr="008B62B8">
        <w:rPr>
          <w:lang w:val="fr-CA"/>
        </w:rPr>
        <w:t>Bitzakidis, Clément</w:t>
      </w:r>
      <w:r w:rsidR="002667A4" w:rsidRPr="008B62B8">
        <w:rPr>
          <w:lang w:val="fr-CA"/>
        </w:rPr>
        <w:noBreakHyphen/>
      </w:r>
      <w:r w:rsidR="00AC5162" w:rsidRPr="008B62B8">
        <w:rPr>
          <w:lang w:val="fr-CA"/>
        </w:rPr>
        <w:t>Major, Fournier (CDPDJ)</w:t>
      </w:r>
      <w:r w:rsidR="008A633E" w:rsidRPr="008B62B8">
        <w:rPr>
          <w:lang w:val="fr-CA"/>
        </w:rPr>
        <w:t>, Montréal.</w:t>
      </w:r>
    </w:p>
    <w:p w14:paraId="76E63C3D" w14:textId="2E8A6CD8" w:rsidR="006015A5" w:rsidRPr="008B62B8" w:rsidRDefault="006015A5" w:rsidP="00B91F12">
      <w:pPr>
        <w:pStyle w:val="SCCLawFirm"/>
        <w:spacing w:after="480"/>
        <w:rPr>
          <w:lang w:val="fr-CA"/>
        </w:rPr>
      </w:pPr>
      <w:r w:rsidRPr="008B62B8">
        <w:rPr>
          <w:lang w:val="fr-CA"/>
        </w:rPr>
        <w:tab/>
        <w:t>Procureur des intervenants Sylvie Gabriel et Jérémy Gabriel</w:t>
      </w:r>
      <w:r w:rsidR="00DE049A">
        <w:rPr>
          <w:lang w:val="fr-CA"/>
        </w:rPr>
        <w:t> : </w:t>
      </w:r>
      <w:r w:rsidRPr="008B62B8">
        <w:rPr>
          <w:lang w:val="fr-CA"/>
        </w:rPr>
        <w:t xml:space="preserve">Stéphane Harvey Avocat </w:t>
      </w:r>
      <w:r w:rsidR="00BB41D8" w:rsidRPr="008B62B8">
        <w:rPr>
          <w:lang w:val="fr-CA"/>
        </w:rPr>
        <w:t>I</w:t>
      </w:r>
      <w:r w:rsidRPr="008B62B8">
        <w:rPr>
          <w:lang w:val="fr-CA"/>
        </w:rPr>
        <w:t>nc., Québec.</w:t>
      </w:r>
    </w:p>
    <w:p w14:paraId="07D5D731" w14:textId="7DBD14D9" w:rsidR="00AD6543" w:rsidRPr="008B62B8" w:rsidRDefault="006015A5" w:rsidP="00B91F12">
      <w:pPr>
        <w:pStyle w:val="SCCLawFirm"/>
        <w:spacing w:after="480"/>
        <w:rPr>
          <w:lang w:val="fr-CA"/>
        </w:rPr>
      </w:pPr>
      <w:r w:rsidRPr="008B62B8">
        <w:rPr>
          <w:lang w:val="fr-CA"/>
        </w:rPr>
        <w:tab/>
        <w:t>Procureur</w:t>
      </w:r>
      <w:r w:rsidR="008A633E" w:rsidRPr="008B62B8">
        <w:rPr>
          <w:lang w:val="fr-CA"/>
        </w:rPr>
        <w:t xml:space="preserve"> de l</w:t>
      </w:r>
      <w:r w:rsidR="00D4682F" w:rsidRPr="008B62B8">
        <w:rPr>
          <w:lang w:val="fr-CA"/>
        </w:rPr>
        <w:t>’</w:t>
      </w:r>
      <w:r w:rsidRPr="008B62B8">
        <w:rPr>
          <w:lang w:val="fr-CA"/>
        </w:rPr>
        <w:t>intervenante</w:t>
      </w:r>
      <w:r w:rsidR="008A633E" w:rsidRPr="008B62B8">
        <w:rPr>
          <w:lang w:val="fr-CA"/>
        </w:rPr>
        <w:t xml:space="preserve"> </w:t>
      </w:r>
      <w:r w:rsidRPr="008B62B8">
        <w:rPr>
          <w:lang w:val="fr-CA"/>
        </w:rPr>
        <w:t>l’</w:t>
      </w:r>
      <w:r w:rsidR="008A633E" w:rsidRPr="008B62B8">
        <w:rPr>
          <w:lang w:val="fr-CA"/>
        </w:rPr>
        <w:t>Association des professionnels de l’indu</w:t>
      </w:r>
      <w:r w:rsidRPr="008B62B8">
        <w:rPr>
          <w:lang w:val="fr-CA"/>
        </w:rPr>
        <w:t>strie de l’humour</w:t>
      </w:r>
      <w:r w:rsidR="00DE049A">
        <w:rPr>
          <w:lang w:val="fr-CA"/>
        </w:rPr>
        <w:t> : </w:t>
      </w:r>
      <w:r w:rsidR="00BB41D8" w:rsidRPr="008B62B8">
        <w:rPr>
          <w:lang w:val="fr-CA"/>
        </w:rPr>
        <w:t>Walid Hijazi</w:t>
      </w:r>
      <w:r w:rsidR="008A633E" w:rsidRPr="008B62B8">
        <w:rPr>
          <w:lang w:val="fr-CA"/>
        </w:rPr>
        <w:t>, Montréal.</w:t>
      </w:r>
    </w:p>
    <w:p w14:paraId="5D8FBC99" w14:textId="775229AD" w:rsidR="00AD6543" w:rsidRPr="008B62B8" w:rsidRDefault="006015A5" w:rsidP="00B91F12">
      <w:pPr>
        <w:pStyle w:val="SCCLawFirm"/>
        <w:spacing w:after="480"/>
        <w:rPr>
          <w:lang w:val="fr-CA"/>
        </w:rPr>
      </w:pPr>
      <w:r w:rsidRPr="008B62B8">
        <w:rPr>
          <w:lang w:val="fr-CA"/>
        </w:rPr>
        <w:tab/>
        <w:t>Procureurs</w:t>
      </w:r>
      <w:r w:rsidR="008A633E" w:rsidRPr="008B62B8">
        <w:rPr>
          <w:lang w:val="fr-CA"/>
        </w:rPr>
        <w:t xml:space="preserve"> de l</w:t>
      </w:r>
      <w:r w:rsidR="00D4682F" w:rsidRPr="008B62B8">
        <w:rPr>
          <w:lang w:val="fr-CA"/>
        </w:rPr>
        <w:t>’</w:t>
      </w:r>
      <w:r w:rsidRPr="008B62B8">
        <w:rPr>
          <w:lang w:val="fr-CA"/>
        </w:rPr>
        <w:t xml:space="preserve">intervenante la </w:t>
      </w:r>
      <w:r w:rsidR="008A633E" w:rsidRPr="008B62B8">
        <w:rPr>
          <w:lang w:val="fr-CA"/>
        </w:rPr>
        <w:t>Commission internationale de juristes (Ca</w:t>
      </w:r>
      <w:r w:rsidRPr="008B62B8">
        <w:rPr>
          <w:lang w:val="fr-CA"/>
        </w:rPr>
        <w:t>nada)</w:t>
      </w:r>
      <w:r w:rsidR="00DE049A">
        <w:rPr>
          <w:lang w:val="fr-CA"/>
        </w:rPr>
        <w:t> : </w:t>
      </w:r>
      <w:r w:rsidRPr="008B62B8">
        <w:rPr>
          <w:lang w:val="fr-CA"/>
        </w:rPr>
        <w:t>Gowling WLG (Canada)</w:t>
      </w:r>
      <w:r w:rsidR="008A633E" w:rsidRPr="008B62B8">
        <w:rPr>
          <w:lang w:val="fr-CA"/>
        </w:rPr>
        <w:t>, Ottawa.</w:t>
      </w:r>
    </w:p>
    <w:p w14:paraId="23436EBF" w14:textId="2A81D894" w:rsidR="00AD6543" w:rsidRPr="008B62B8" w:rsidRDefault="006015A5" w:rsidP="00B91F12">
      <w:pPr>
        <w:pStyle w:val="SCCLawFirm"/>
        <w:spacing w:after="480"/>
        <w:rPr>
          <w:lang w:val="fr-CA"/>
        </w:rPr>
      </w:pPr>
      <w:r w:rsidRPr="008B62B8">
        <w:rPr>
          <w:lang w:val="fr-CA"/>
        </w:rPr>
        <w:tab/>
        <w:t>Procureurs</w:t>
      </w:r>
      <w:r w:rsidR="008A633E" w:rsidRPr="008B62B8">
        <w:rPr>
          <w:lang w:val="fr-CA"/>
        </w:rPr>
        <w:t xml:space="preserve"> de l</w:t>
      </w:r>
      <w:r w:rsidR="00D4682F" w:rsidRPr="008B62B8">
        <w:rPr>
          <w:lang w:val="fr-CA"/>
        </w:rPr>
        <w:t>’</w:t>
      </w:r>
      <w:r w:rsidRPr="008B62B8">
        <w:rPr>
          <w:lang w:val="fr-CA"/>
        </w:rPr>
        <w:t>intervenante l’</w:t>
      </w:r>
      <w:r w:rsidR="008A633E" w:rsidRPr="008B62B8">
        <w:rPr>
          <w:lang w:val="fr-CA"/>
        </w:rPr>
        <w:t>Association canadienne des libertés civiles</w:t>
      </w:r>
      <w:r w:rsidR="00DE049A">
        <w:rPr>
          <w:lang w:val="fr-CA"/>
        </w:rPr>
        <w:t> : </w:t>
      </w:r>
      <w:r w:rsidR="008A633E" w:rsidRPr="008B62B8">
        <w:rPr>
          <w:lang w:val="fr-CA"/>
        </w:rPr>
        <w:t xml:space="preserve">Borden Ladner </w:t>
      </w:r>
      <w:r w:rsidRPr="008B62B8">
        <w:rPr>
          <w:lang w:val="fr-CA"/>
        </w:rPr>
        <w:t>Gervais</w:t>
      </w:r>
      <w:r w:rsidR="008A633E" w:rsidRPr="008B62B8">
        <w:rPr>
          <w:lang w:val="fr-CA"/>
        </w:rPr>
        <w:t>, Toronto.</w:t>
      </w:r>
    </w:p>
    <w:p w14:paraId="286F7656" w14:textId="0A167FBD" w:rsidR="00AD6543" w:rsidRPr="008B62B8" w:rsidRDefault="006015A5" w:rsidP="00B91F12">
      <w:pPr>
        <w:pStyle w:val="SCCLawFirm"/>
        <w:spacing w:after="480"/>
        <w:rPr>
          <w:lang w:val="fr-CA"/>
        </w:rPr>
      </w:pPr>
      <w:r w:rsidRPr="008B62B8">
        <w:rPr>
          <w:lang w:val="fr-CA"/>
        </w:rPr>
        <w:tab/>
        <w:t>Procureurs</w:t>
      </w:r>
      <w:r w:rsidR="008A633E" w:rsidRPr="008B62B8">
        <w:rPr>
          <w:lang w:val="fr-CA"/>
        </w:rPr>
        <w:t xml:space="preserve"> de l</w:t>
      </w:r>
      <w:r w:rsidR="00D4682F" w:rsidRPr="008B62B8">
        <w:rPr>
          <w:lang w:val="fr-CA"/>
        </w:rPr>
        <w:t>’</w:t>
      </w:r>
      <w:r w:rsidRPr="008B62B8">
        <w:rPr>
          <w:lang w:val="fr-CA"/>
        </w:rPr>
        <w:t xml:space="preserve">intervenante </w:t>
      </w:r>
      <w:r w:rsidR="008A633E" w:rsidRPr="008B62B8">
        <w:rPr>
          <w:lang w:val="fr-CA"/>
        </w:rPr>
        <w:t>Canadian Constitution</w:t>
      </w:r>
      <w:r w:rsidR="00011995" w:rsidRPr="008B62B8">
        <w:rPr>
          <w:lang w:val="fr-CA"/>
        </w:rPr>
        <w:t>al</w:t>
      </w:r>
      <w:r w:rsidR="008A633E" w:rsidRPr="008B62B8">
        <w:rPr>
          <w:lang w:val="fr-CA"/>
        </w:rPr>
        <w:t xml:space="preserve"> Foundation</w:t>
      </w:r>
      <w:r w:rsidR="00DE049A">
        <w:rPr>
          <w:lang w:val="fr-CA"/>
        </w:rPr>
        <w:t> : </w:t>
      </w:r>
      <w:r w:rsidR="008A633E" w:rsidRPr="008B62B8">
        <w:rPr>
          <w:lang w:val="fr-CA"/>
        </w:rPr>
        <w:t>Ruby Shiller Enenajor DiGiuseppe, Toronto.</w:t>
      </w:r>
    </w:p>
    <w:p w14:paraId="53B58460" w14:textId="5B15B52F" w:rsidR="009B57B3" w:rsidRPr="008B62B8" w:rsidRDefault="006015A5" w:rsidP="00D4682F">
      <w:pPr>
        <w:pStyle w:val="SCCLawFirm"/>
        <w:rPr>
          <w:lang w:val="fr-CA"/>
        </w:rPr>
      </w:pPr>
      <w:r w:rsidRPr="008B62B8">
        <w:rPr>
          <w:lang w:val="fr-CA"/>
        </w:rPr>
        <w:tab/>
        <w:t>Procureur</w:t>
      </w:r>
      <w:r w:rsidR="008A633E" w:rsidRPr="008B62B8">
        <w:rPr>
          <w:lang w:val="fr-CA"/>
        </w:rPr>
        <w:t xml:space="preserve"> de l</w:t>
      </w:r>
      <w:r w:rsidR="00D4682F" w:rsidRPr="008B62B8">
        <w:rPr>
          <w:lang w:val="fr-CA"/>
        </w:rPr>
        <w:t>’</w:t>
      </w:r>
      <w:r w:rsidRPr="008B62B8">
        <w:rPr>
          <w:lang w:val="fr-CA"/>
        </w:rPr>
        <w:t xml:space="preserve">intervenante la </w:t>
      </w:r>
      <w:r w:rsidR="008A633E" w:rsidRPr="008B62B8">
        <w:rPr>
          <w:lang w:val="fr-CA"/>
        </w:rPr>
        <w:t>Ligue pour les droits de la personne de B</w:t>
      </w:r>
      <w:r w:rsidR="00D4682F" w:rsidRPr="008B62B8">
        <w:rPr>
          <w:lang w:val="fr-CA"/>
        </w:rPr>
        <w:t>’</w:t>
      </w:r>
      <w:r w:rsidR="008A633E" w:rsidRPr="008B62B8">
        <w:rPr>
          <w:lang w:val="fr-CA"/>
        </w:rPr>
        <w:t>nai Brith Canada</w:t>
      </w:r>
      <w:r w:rsidR="00DE049A">
        <w:rPr>
          <w:lang w:val="fr-CA"/>
        </w:rPr>
        <w:t> : </w:t>
      </w:r>
      <w:r w:rsidR="008A633E" w:rsidRPr="008B62B8">
        <w:rPr>
          <w:lang w:val="fr-CA"/>
        </w:rPr>
        <w:t>David Matas, Winnipeg</w:t>
      </w:r>
      <w:r w:rsidR="00D4682F" w:rsidRPr="008B62B8">
        <w:rPr>
          <w:lang w:val="fr-CA"/>
        </w:rPr>
        <w:t>.</w:t>
      </w:r>
    </w:p>
    <w:sectPr w:rsidR="009B57B3" w:rsidRPr="008B62B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3E31" w14:textId="77777777" w:rsidR="00D17B0E" w:rsidRDefault="00D17B0E">
      <w:r>
        <w:separator/>
      </w:r>
    </w:p>
  </w:endnote>
  <w:endnote w:type="continuationSeparator" w:id="0">
    <w:p w14:paraId="077FAF67" w14:textId="77777777"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5E90" w14:textId="77777777" w:rsidR="00D67755" w:rsidRDefault="00D67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52E1" w14:textId="77777777" w:rsidR="00D67755" w:rsidRDefault="00D67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638A" w14:textId="77777777" w:rsidR="00D67755" w:rsidRDefault="00D67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70E8" w14:textId="77777777" w:rsidR="00D17B0E" w:rsidRDefault="00D17B0E">
      <w:r>
        <w:separator/>
      </w:r>
    </w:p>
  </w:footnote>
  <w:footnote w:type="continuationSeparator" w:id="0">
    <w:p w14:paraId="3996F337" w14:textId="77777777" w:rsidR="00D17B0E" w:rsidRDefault="00D17B0E">
      <w:r>
        <w:continuationSeparator/>
      </w:r>
    </w:p>
  </w:footnote>
  <w:footnote w:id="1">
    <w:p w14:paraId="534FB77B" w14:textId="77777777" w:rsidR="00116CBE" w:rsidRPr="00722862" w:rsidRDefault="00116CBE" w:rsidP="00116CBE">
      <w:pPr>
        <w:pStyle w:val="FootnoteText"/>
        <w:rPr>
          <w:lang w:val="fr-CA"/>
        </w:rPr>
      </w:pPr>
      <w:r>
        <w:rPr>
          <w:rStyle w:val="FootnoteReference"/>
        </w:rPr>
        <w:footnoteRef/>
      </w:r>
      <w:r w:rsidRPr="00722862">
        <w:rPr>
          <w:lang w:val="fr-CA"/>
        </w:rPr>
        <w:t xml:space="preserve"> </w:t>
      </w:r>
      <w:r>
        <w:rPr>
          <w:lang w:val="fr-CA"/>
        </w:rPr>
        <w:t xml:space="preserve">Cette norme de contrôle a été modifiée par l’arrêt </w:t>
      </w:r>
      <w:r w:rsidRPr="00A82D3A">
        <w:rPr>
          <w:i/>
          <w:lang w:val="fr-CA"/>
        </w:rPr>
        <w:t>Canada (Ministre de la Citoyenneté et de l’Immigration) c.</w:t>
      </w:r>
      <w:r w:rsidRPr="00A41CE9">
        <w:rPr>
          <w:lang w:val="fr-CA"/>
        </w:rPr>
        <w:t xml:space="preserve"> </w:t>
      </w:r>
      <w:r>
        <w:rPr>
          <w:i/>
          <w:lang w:val="fr-CA"/>
        </w:rPr>
        <w:t>Vavilov</w:t>
      </w:r>
      <w:r>
        <w:rPr>
          <w:lang w:val="fr-CA"/>
        </w:rPr>
        <w:t xml:space="preserve">, </w:t>
      </w:r>
      <w:r w:rsidRPr="00A41CE9">
        <w:rPr>
          <w:lang w:val="fr-CA"/>
        </w:rPr>
        <w:t>2019 CSC 65,</w:t>
      </w:r>
      <w:r>
        <w:rPr>
          <w:lang w:val="fr-CA"/>
        </w:rPr>
        <w:t xml:space="preserve"> rendu quelques semaines après la décision de la Cour d’appel. Nous l’évoquerons dans la partie VI de</w:t>
      </w:r>
      <w:r w:rsidRPr="00502868">
        <w:rPr>
          <w:lang w:val="fr-CA"/>
        </w:rPr>
        <w:t>s présents</w:t>
      </w:r>
      <w:r>
        <w:rPr>
          <w:lang w:val="fr-CA"/>
        </w:rPr>
        <w:t xml:space="preserve"> motifs.</w:t>
      </w:r>
    </w:p>
  </w:footnote>
  <w:footnote w:id="2">
    <w:p w14:paraId="343ED189" w14:textId="77777777" w:rsidR="00116CBE" w:rsidRPr="00A922A9" w:rsidRDefault="00116CBE" w:rsidP="00116CBE">
      <w:pPr>
        <w:pStyle w:val="FootnoteText"/>
        <w:rPr>
          <w:lang w:val="fr-CA"/>
        </w:rPr>
      </w:pPr>
      <w:r>
        <w:rPr>
          <w:rStyle w:val="FootnoteReference"/>
        </w:rPr>
        <w:footnoteRef/>
      </w:r>
      <w:r w:rsidRPr="00C47E12">
        <w:rPr>
          <w:lang w:val="fr-CA"/>
        </w:rPr>
        <w:t xml:space="preserve"> </w:t>
      </w:r>
      <w:r>
        <w:rPr>
          <w:lang w:val="fr-CA"/>
        </w:rPr>
        <w:t xml:space="preserve">L’arrêt </w:t>
      </w:r>
      <w:r>
        <w:rPr>
          <w:i/>
          <w:lang w:val="fr-CA"/>
        </w:rPr>
        <w:t>Vavilov</w:t>
      </w:r>
      <w:r>
        <w:rPr>
          <w:lang w:val="fr-CA"/>
        </w:rPr>
        <w:t xml:space="preserve">, rendu quelques années après l’arrêt </w:t>
      </w:r>
      <w:r>
        <w:rPr>
          <w:i/>
          <w:lang w:val="fr-CA"/>
        </w:rPr>
        <w:t>Whatcott</w:t>
      </w:r>
      <w:r>
        <w:rPr>
          <w:lang w:val="fr-CA"/>
        </w:rPr>
        <w:t xml:space="preserve">, a modifié les normes de contrôle applicables dans le contexte où la loi prévoit un droit d’appel à l’encontre de la décision d’un tribunal administratif. </w:t>
      </w:r>
    </w:p>
  </w:footnote>
  <w:footnote w:id="3">
    <w:p w14:paraId="2713F11E" w14:textId="77777777" w:rsidR="00116CBE" w:rsidRPr="00066D9F" w:rsidRDefault="00116CBE" w:rsidP="00116CBE">
      <w:pPr>
        <w:pStyle w:val="FootnoteText"/>
        <w:rPr>
          <w:lang w:val="fr-CA"/>
        </w:rPr>
      </w:pPr>
      <w:r>
        <w:rPr>
          <w:rStyle w:val="FootnoteReference"/>
        </w:rPr>
        <w:footnoteRef/>
      </w:r>
      <w:r w:rsidRPr="006C64DA">
        <w:rPr>
          <w:lang w:val="fr-CA"/>
        </w:rPr>
        <w:tab/>
      </w:r>
      <w:r>
        <w:rPr>
          <w:lang w:val="fr-CA"/>
        </w:rPr>
        <w:t xml:space="preserve">Les droits et libertés visés sont non seulement </w:t>
      </w:r>
      <w:r w:rsidRPr="00066D9F">
        <w:rPr>
          <w:lang w:val="fr-CA"/>
        </w:rPr>
        <w:t>les</w:t>
      </w:r>
      <w:r>
        <w:rPr>
          <w:lang w:val="fr-CA"/>
        </w:rPr>
        <w:t xml:space="preserve"> « Libertés et droits fondamentaux » énoncés aux art. 1 à 9, mais également les « Droits politiques » énoncés aux art. </w:t>
      </w:r>
      <w:r w:rsidRPr="00066D9F">
        <w:rPr>
          <w:lang w:val="fr-CA"/>
        </w:rPr>
        <w:t>21</w:t>
      </w:r>
      <w:r>
        <w:rPr>
          <w:lang w:val="fr-CA"/>
        </w:rPr>
        <w:t xml:space="preserve"> et </w:t>
      </w:r>
      <w:r w:rsidRPr="00066D9F">
        <w:rPr>
          <w:lang w:val="fr-CA"/>
        </w:rPr>
        <w:t xml:space="preserve">22, </w:t>
      </w:r>
      <w:r>
        <w:rPr>
          <w:lang w:val="fr-CA"/>
        </w:rPr>
        <w:t>les « Droits judiciaires » énoncés aux art. 23 à 38 et les « Droits économiques et sociaux »</w:t>
      </w:r>
      <w:r w:rsidRPr="00066D9F">
        <w:rPr>
          <w:lang w:val="fr-CA"/>
        </w:rPr>
        <w:t xml:space="preserve"> </w:t>
      </w:r>
      <w:r>
        <w:rPr>
          <w:lang w:val="fr-CA"/>
        </w:rPr>
        <w:t>énoncés aux art.</w:t>
      </w:r>
      <w:r w:rsidRPr="00066D9F">
        <w:rPr>
          <w:lang w:val="fr-CA"/>
        </w:rPr>
        <w:t> 39</w:t>
      </w:r>
      <w:r>
        <w:rPr>
          <w:lang w:val="fr-CA"/>
        </w:rPr>
        <w:t xml:space="preserve"> à </w:t>
      </w:r>
      <w:r w:rsidRPr="00066D9F">
        <w:rPr>
          <w:lang w:val="fr-CA"/>
        </w:rPr>
        <w:t>48.</w:t>
      </w:r>
    </w:p>
  </w:footnote>
  <w:footnote w:id="4">
    <w:p w14:paraId="4315C2E5" w14:textId="77777777" w:rsidR="00116CBE" w:rsidRPr="006C64DA" w:rsidRDefault="00116CBE" w:rsidP="00116CBE">
      <w:pPr>
        <w:pStyle w:val="FootnoteText"/>
        <w:rPr>
          <w:lang w:val="fr-CA"/>
        </w:rPr>
      </w:pPr>
      <w:r w:rsidRPr="005D2832">
        <w:rPr>
          <w:rStyle w:val="FootnoteReference"/>
        </w:rPr>
        <w:footnoteRef/>
      </w:r>
      <w:r w:rsidRPr="006C64DA">
        <w:rPr>
          <w:lang w:val="fr-CA"/>
        </w:rPr>
        <w:tab/>
      </w:r>
      <w:r w:rsidRPr="0097286B">
        <w:rPr>
          <w:lang w:val="fr-CA"/>
        </w:rPr>
        <w:t>Le Québec s</w:t>
      </w:r>
      <w:r>
        <w:rPr>
          <w:lang w:val="fr-CA"/>
        </w:rPr>
        <w:t>’</w:t>
      </w:r>
      <w:r w:rsidRPr="0097286B">
        <w:rPr>
          <w:lang w:val="fr-CA"/>
        </w:rPr>
        <w:t xml:space="preserve">est lui aussi déclaré lié par la </w:t>
      </w:r>
      <w:r w:rsidRPr="0097286B">
        <w:rPr>
          <w:i/>
          <w:lang w:val="fr-CA"/>
        </w:rPr>
        <w:t>CDE</w:t>
      </w:r>
      <w:r w:rsidRPr="0097286B">
        <w:rPr>
          <w:lang w:val="fr-CA"/>
        </w:rPr>
        <w:t xml:space="preserve"> (Décret 1676-91</w:t>
      </w:r>
      <w:r w:rsidRPr="00961310">
        <w:rPr>
          <w:lang w:val="fr-CA"/>
        </w:rPr>
        <w:t>, (1992) 124 G.O. II, 51</w:t>
      </w:r>
      <w:r w:rsidRPr="0097286B">
        <w:rPr>
          <w:lang w:val="fr-CA"/>
        </w:rPr>
        <w:t>).</w:t>
      </w:r>
    </w:p>
  </w:footnote>
  <w:footnote w:id="5">
    <w:p w14:paraId="34E2B178" w14:textId="77777777" w:rsidR="00116CBE" w:rsidRPr="006C64DA" w:rsidRDefault="00116CBE" w:rsidP="00116CBE">
      <w:pPr>
        <w:pStyle w:val="FootnoteText"/>
        <w:rPr>
          <w:lang w:val="fr-CA"/>
        </w:rPr>
      </w:pPr>
      <w:r w:rsidRPr="005D2832">
        <w:rPr>
          <w:rStyle w:val="FootnoteReference"/>
        </w:rPr>
        <w:footnoteRef/>
      </w:r>
      <w:r w:rsidRPr="006C64DA">
        <w:rPr>
          <w:lang w:val="fr-CA"/>
        </w:rPr>
        <w:tab/>
      </w:r>
      <w:r w:rsidRPr="00AA1BD3">
        <w:rPr>
          <w:lang w:val="fr-CA"/>
        </w:rPr>
        <w:t>Le Québec s</w:t>
      </w:r>
      <w:r>
        <w:rPr>
          <w:lang w:val="fr-CA"/>
        </w:rPr>
        <w:t>’</w:t>
      </w:r>
      <w:r w:rsidRPr="00AA1BD3">
        <w:rPr>
          <w:lang w:val="fr-CA"/>
        </w:rPr>
        <w:t>est également déclaré lié par la convention (Décret179-2010</w:t>
      </w:r>
      <w:r w:rsidRPr="00961310">
        <w:rPr>
          <w:lang w:val="fr-CA"/>
        </w:rPr>
        <w:t>, (2010) 142 G.O. II, 1196</w:t>
      </w:r>
      <w:r w:rsidRPr="00AA1BD3">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75C3" w14:textId="77777777" w:rsidR="00D67755" w:rsidRDefault="00D67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F08A0"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609A" w14:textId="77777777" w:rsidR="00D67755" w:rsidRDefault="00D67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5C4"/>
    <w:multiLevelType w:val="hybridMultilevel"/>
    <w:tmpl w:val="09FEA8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AF32FE"/>
    <w:multiLevelType w:val="hybridMultilevel"/>
    <w:tmpl w:val="6984707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C21DE0"/>
    <w:multiLevelType w:val="hybridMultilevel"/>
    <w:tmpl w:val="6D98E260"/>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5" w15:restartNumberingAfterBreak="0">
    <w:nsid w:val="206A3610"/>
    <w:multiLevelType w:val="hybridMultilevel"/>
    <w:tmpl w:val="F61C4E94"/>
    <w:lvl w:ilvl="0" w:tplc="CB0ABE10">
      <w:start w:val="10"/>
      <w:numFmt w:val="bullet"/>
      <w:lvlText w:val="-"/>
      <w:lvlJc w:val="left"/>
      <w:pPr>
        <w:ind w:left="1526" w:hanging="360"/>
      </w:pPr>
      <w:rPr>
        <w:rFonts w:ascii="Times New Roman" w:eastAsia="Times New Roman" w:hAnsi="Times New Roman" w:cs="Times New Roman" w:hint="default"/>
      </w:rPr>
    </w:lvl>
    <w:lvl w:ilvl="1" w:tplc="0C0C0003" w:tentative="1">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6" w15:restartNumberingAfterBreak="0">
    <w:nsid w:val="20D71E30"/>
    <w:multiLevelType w:val="hybridMultilevel"/>
    <w:tmpl w:val="1FF441B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7" w15:restartNumberingAfterBreak="0">
    <w:nsid w:val="24574BA8"/>
    <w:multiLevelType w:val="hybridMultilevel"/>
    <w:tmpl w:val="541AFECC"/>
    <w:lvl w:ilvl="0" w:tplc="A2A86F18">
      <w:start w:val="1"/>
      <w:numFmt w:val="decimal"/>
      <w:lvlText w:val="%1)"/>
      <w:lvlJc w:val="left"/>
      <w:pPr>
        <w:ind w:left="1586" w:hanging="360"/>
      </w:pPr>
      <w:rPr>
        <w:rFonts w:hint="default"/>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8" w15:restartNumberingAfterBreak="0">
    <w:nsid w:val="2A0549C8"/>
    <w:multiLevelType w:val="hybridMultilevel"/>
    <w:tmpl w:val="69B60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9A3669"/>
    <w:multiLevelType w:val="hybridMultilevel"/>
    <w:tmpl w:val="6E1E0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B573518"/>
    <w:multiLevelType w:val="hybridMultilevel"/>
    <w:tmpl w:val="91C81C4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11" w15:restartNumberingAfterBreak="0">
    <w:nsid w:val="3B7D5ECA"/>
    <w:multiLevelType w:val="hybridMultilevel"/>
    <w:tmpl w:val="FE2A1D06"/>
    <w:lvl w:ilvl="0" w:tplc="50E6ED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1770C"/>
    <w:multiLevelType w:val="hybridMultilevel"/>
    <w:tmpl w:val="9EAE0DAE"/>
    <w:lvl w:ilvl="0" w:tplc="EB245656">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3" w15:restartNumberingAfterBreak="0">
    <w:nsid w:val="3ECF53F0"/>
    <w:multiLevelType w:val="hybridMultilevel"/>
    <w:tmpl w:val="6E5635A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3F0F663B"/>
    <w:multiLevelType w:val="hybridMultilevel"/>
    <w:tmpl w:val="B9908380"/>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15" w15:restartNumberingAfterBreak="0">
    <w:nsid w:val="41145025"/>
    <w:multiLevelType w:val="hybridMultilevel"/>
    <w:tmpl w:val="36C237FE"/>
    <w:lvl w:ilvl="0" w:tplc="8A684404">
      <w:start w:val="1"/>
      <w:numFmt w:val="decimal"/>
      <w:pStyle w:val="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C9E00FE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7D618DB"/>
    <w:multiLevelType w:val="hybridMultilevel"/>
    <w:tmpl w:val="81AC447C"/>
    <w:lvl w:ilvl="0" w:tplc="0C0C000F">
      <w:start w:val="1"/>
      <w:numFmt w:val="decimal"/>
      <w:lvlText w:val="%1."/>
      <w:lvlJc w:val="left"/>
      <w:pPr>
        <w:ind w:left="1526" w:hanging="360"/>
      </w:pPr>
      <w:rPr>
        <w:rFonts w:hint="default"/>
      </w:rPr>
    </w:lvl>
    <w:lvl w:ilvl="1" w:tplc="0C0C0003" w:tentative="1">
      <w:start w:val="1"/>
      <w:numFmt w:val="bullet"/>
      <w:lvlText w:val="o"/>
      <w:lvlJc w:val="left"/>
      <w:pPr>
        <w:ind w:left="2246"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18" w15:restartNumberingAfterBreak="0">
    <w:nsid w:val="4A4C06A1"/>
    <w:multiLevelType w:val="hybridMultilevel"/>
    <w:tmpl w:val="149CF52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0BD8AEA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A061AE"/>
    <w:multiLevelType w:val="hybridMultilevel"/>
    <w:tmpl w:val="C3645194"/>
    <w:lvl w:ilvl="0" w:tplc="0C0C0001">
      <w:start w:val="1"/>
      <w:numFmt w:val="bullet"/>
      <w:lvlText w:val=""/>
      <w:lvlJc w:val="left"/>
      <w:pPr>
        <w:ind w:left="810" w:hanging="360"/>
      </w:pPr>
      <w:rPr>
        <w:rFonts w:ascii="Symbol" w:hAnsi="Symbol"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23" w15:restartNumberingAfterBreak="0">
    <w:nsid w:val="58557D33"/>
    <w:multiLevelType w:val="hybridMultilevel"/>
    <w:tmpl w:val="9DEAC660"/>
    <w:lvl w:ilvl="0" w:tplc="B3C06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81BE7"/>
    <w:multiLevelType w:val="hybridMultilevel"/>
    <w:tmpl w:val="0B1482B0"/>
    <w:lvl w:ilvl="0" w:tplc="BCD4C8FC">
      <w:numFmt w:val="bullet"/>
      <w:lvlText w:val="-"/>
      <w:lvlJc w:val="left"/>
      <w:pPr>
        <w:ind w:left="540" w:hanging="360"/>
      </w:pPr>
      <w:rPr>
        <w:rFonts w:ascii="Times New Roman" w:eastAsia="Times New Roman" w:hAnsi="Times New Roman" w:cs="Times New Roman" w:hint="default"/>
      </w:rPr>
    </w:lvl>
    <w:lvl w:ilvl="1" w:tplc="0C0C0003">
      <w:start w:val="1"/>
      <w:numFmt w:val="bullet"/>
      <w:lvlText w:val="o"/>
      <w:lvlJc w:val="left"/>
      <w:pPr>
        <w:ind w:left="900" w:hanging="360"/>
      </w:pPr>
      <w:rPr>
        <w:rFonts w:ascii="Courier New" w:hAnsi="Courier New" w:cs="Courier New" w:hint="default"/>
      </w:rPr>
    </w:lvl>
    <w:lvl w:ilvl="2" w:tplc="0C0C0005" w:tentative="1">
      <w:start w:val="1"/>
      <w:numFmt w:val="bullet"/>
      <w:lvlText w:val=""/>
      <w:lvlJc w:val="left"/>
      <w:pPr>
        <w:ind w:left="2966" w:hanging="360"/>
      </w:pPr>
      <w:rPr>
        <w:rFonts w:ascii="Wingdings" w:hAnsi="Wingdings" w:hint="default"/>
      </w:rPr>
    </w:lvl>
    <w:lvl w:ilvl="3" w:tplc="0C0C0001" w:tentative="1">
      <w:start w:val="1"/>
      <w:numFmt w:val="bullet"/>
      <w:lvlText w:val=""/>
      <w:lvlJc w:val="left"/>
      <w:pPr>
        <w:ind w:left="3686" w:hanging="360"/>
      </w:pPr>
      <w:rPr>
        <w:rFonts w:ascii="Symbol" w:hAnsi="Symbol" w:hint="default"/>
      </w:rPr>
    </w:lvl>
    <w:lvl w:ilvl="4" w:tplc="0C0C0003" w:tentative="1">
      <w:start w:val="1"/>
      <w:numFmt w:val="bullet"/>
      <w:lvlText w:val="o"/>
      <w:lvlJc w:val="left"/>
      <w:pPr>
        <w:ind w:left="4406" w:hanging="360"/>
      </w:pPr>
      <w:rPr>
        <w:rFonts w:ascii="Courier New" w:hAnsi="Courier New" w:cs="Courier New" w:hint="default"/>
      </w:rPr>
    </w:lvl>
    <w:lvl w:ilvl="5" w:tplc="0C0C0005" w:tentative="1">
      <w:start w:val="1"/>
      <w:numFmt w:val="bullet"/>
      <w:lvlText w:val=""/>
      <w:lvlJc w:val="left"/>
      <w:pPr>
        <w:ind w:left="5126" w:hanging="360"/>
      </w:pPr>
      <w:rPr>
        <w:rFonts w:ascii="Wingdings" w:hAnsi="Wingdings" w:hint="default"/>
      </w:rPr>
    </w:lvl>
    <w:lvl w:ilvl="6" w:tplc="0C0C0001" w:tentative="1">
      <w:start w:val="1"/>
      <w:numFmt w:val="bullet"/>
      <w:lvlText w:val=""/>
      <w:lvlJc w:val="left"/>
      <w:pPr>
        <w:ind w:left="5846" w:hanging="360"/>
      </w:pPr>
      <w:rPr>
        <w:rFonts w:ascii="Symbol" w:hAnsi="Symbol" w:hint="default"/>
      </w:rPr>
    </w:lvl>
    <w:lvl w:ilvl="7" w:tplc="0C0C0003" w:tentative="1">
      <w:start w:val="1"/>
      <w:numFmt w:val="bullet"/>
      <w:lvlText w:val="o"/>
      <w:lvlJc w:val="left"/>
      <w:pPr>
        <w:ind w:left="6566" w:hanging="360"/>
      </w:pPr>
      <w:rPr>
        <w:rFonts w:ascii="Courier New" w:hAnsi="Courier New" w:cs="Courier New" w:hint="default"/>
      </w:rPr>
    </w:lvl>
    <w:lvl w:ilvl="8" w:tplc="0C0C0005" w:tentative="1">
      <w:start w:val="1"/>
      <w:numFmt w:val="bullet"/>
      <w:lvlText w:val=""/>
      <w:lvlJc w:val="left"/>
      <w:pPr>
        <w:ind w:left="7286" w:hanging="360"/>
      </w:pPr>
      <w:rPr>
        <w:rFonts w:ascii="Wingdings" w:hAnsi="Wingding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6E33D8"/>
    <w:multiLevelType w:val="hybridMultilevel"/>
    <w:tmpl w:val="D0C6F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9E212F"/>
    <w:multiLevelType w:val="hybridMultilevel"/>
    <w:tmpl w:val="A4D05E96"/>
    <w:lvl w:ilvl="0" w:tplc="0C0C0001">
      <w:start w:val="1"/>
      <w:numFmt w:val="bullet"/>
      <w:lvlText w:val=""/>
      <w:lvlJc w:val="left"/>
      <w:pPr>
        <w:ind w:left="1260" w:hanging="360"/>
      </w:pPr>
      <w:rPr>
        <w:rFonts w:ascii="Symbol" w:hAnsi="Symbol" w:hint="default"/>
      </w:rPr>
    </w:lvl>
    <w:lvl w:ilvl="1" w:tplc="0C0C0003" w:tentative="1">
      <w:start w:val="1"/>
      <w:numFmt w:val="bullet"/>
      <w:lvlText w:val="o"/>
      <w:lvlJc w:val="left"/>
      <w:pPr>
        <w:ind w:left="1980" w:hanging="360"/>
      </w:pPr>
      <w:rPr>
        <w:rFonts w:ascii="Courier New" w:hAnsi="Courier New" w:cs="Courier New" w:hint="default"/>
      </w:rPr>
    </w:lvl>
    <w:lvl w:ilvl="2" w:tplc="0C0C0005" w:tentative="1">
      <w:start w:val="1"/>
      <w:numFmt w:val="bullet"/>
      <w:lvlText w:val=""/>
      <w:lvlJc w:val="left"/>
      <w:pPr>
        <w:ind w:left="2700" w:hanging="360"/>
      </w:pPr>
      <w:rPr>
        <w:rFonts w:ascii="Wingdings" w:hAnsi="Wingdings" w:hint="default"/>
      </w:rPr>
    </w:lvl>
    <w:lvl w:ilvl="3" w:tplc="0C0C0001" w:tentative="1">
      <w:start w:val="1"/>
      <w:numFmt w:val="bullet"/>
      <w:lvlText w:val=""/>
      <w:lvlJc w:val="left"/>
      <w:pPr>
        <w:ind w:left="3420" w:hanging="360"/>
      </w:pPr>
      <w:rPr>
        <w:rFonts w:ascii="Symbol" w:hAnsi="Symbol" w:hint="default"/>
      </w:rPr>
    </w:lvl>
    <w:lvl w:ilvl="4" w:tplc="0C0C0003" w:tentative="1">
      <w:start w:val="1"/>
      <w:numFmt w:val="bullet"/>
      <w:lvlText w:val="o"/>
      <w:lvlJc w:val="left"/>
      <w:pPr>
        <w:ind w:left="4140" w:hanging="360"/>
      </w:pPr>
      <w:rPr>
        <w:rFonts w:ascii="Courier New" w:hAnsi="Courier New" w:cs="Courier New" w:hint="default"/>
      </w:rPr>
    </w:lvl>
    <w:lvl w:ilvl="5" w:tplc="0C0C0005" w:tentative="1">
      <w:start w:val="1"/>
      <w:numFmt w:val="bullet"/>
      <w:lvlText w:val=""/>
      <w:lvlJc w:val="left"/>
      <w:pPr>
        <w:ind w:left="4860" w:hanging="360"/>
      </w:pPr>
      <w:rPr>
        <w:rFonts w:ascii="Wingdings" w:hAnsi="Wingdings" w:hint="default"/>
      </w:rPr>
    </w:lvl>
    <w:lvl w:ilvl="6" w:tplc="0C0C0001" w:tentative="1">
      <w:start w:val="1"/>
      <w:numFmt w:val="bullet"/>
      <w:lvlText w:val=""/>
      <w:lvlJc w:val="left"/>
      <w:pPr>
        <w:ind w:left="5580" w:hanging="360"/>
      </w:pPr>
      <w:rPr>
        <w:rFonts w:ascii="Symbol" w:hAnsi="Symbol" w:hint="default"/>
      </w:rPr>
    </w:lvl>
    <w:lvl w:ilvl="7" w:tplc="0C0C0003" w:tentative="1">
      <w:start w:val="1"/>
      <w:numFmt w:val="bullet"/>
      <w:lvlText w:val="o"/>
      <w:lvlJc w:val="left"/>
      <w:pPr>
        <w:ind w:left="6300" w:hanging="360"/>
      </w:pPr>
      <w:rPr>
        <w:rFonts w:ascii="Courier New" w:hAnsi="Courier New" w:cs="Courier New" w:hint="default"/>
      </w:rPr>
    </w:lvl>
    <w:lvl w:ilvl="8" w:tplc="0C0C0005" w:tentative="1">
      <w:start w:val="1"/>
      <w:numFmt w:val="bullet"/>
      <w:lvlText w:val=""/>
      <w:lvlJc w:val="left"/>
      <w:pPr>
        <w:ind w:left="7020" w:hanging="360"/>
      </w:pPr>
      <w:rPr>
        <w:rFonts w:ascii="Wingdings" w:hAnsi="Wingdings" w:hint="default"/>
      </w:rPr>
    </w:lvl>
  </w:abstractNum>
  <w:abstractNum w:abstractNumId="28" w15:restartNumberingAfterBreak="0">
    <w:nsid w:val="79F90EBD"/>
    <w:multiLevelType w:val="hybridMultilevel"/>
    <w:tmpl w:val="F1087CF0"/>
    <w:lvl w:ilvl="0" w:tplc="35E86A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5"/>
  </w:num>
  <w:num w:numId="3">
    <w:abstractNumId w:val="3"/>
  </w:num>
  <w:num w:numId="4">
    <w:abstractNumId w:val="1"/>
  </w:num>
  <w:num w:numId="5">
    <w:abstractNumId w:val="19"/>
  </w:num>
  <w:num w:numId="6">
    <w:abstractNumId w:val="20"/>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color w:val="auto"/>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decimal"/>
        <w:pStyle w:val="Title5LevelTitre5Niveau"/>
        <w:lvlText w:val="(%5)"/>
        <w:lvlJc w:val="left"/>
        <w:pPr>
          <w:tabs>
            <w:tab w:val="num" w:pos="1728"/>
          </w:tabs>
          <w:ind w:left="1728" w:hanging="576"/>
        </w:pPr>
        <w:rPr>
          <w:rFonts w:ascii="Times New Roman" w:eastAsiaTheme="minorHAnsi" w:hAnsi="Times New Roman" w:cstheme="minorBidi"/>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6"/>
  </w:num>
  <w:num w:numId="11">
    <w:abstractNumId w:val="0"/>
  </w:num>
  <w:num w:numId="12">
    <w:abstractNumId w:val="16"/>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3">
    <w:abstractNumId w:val="8"/>
  </w:num>
  <w:num w:numId="14">
    <w:abstractNumId w:val="5"/>
  </w:num>
  <w:num w:numId="15">
    <w:abstractNumId w:val="9"/>
  </w:num>
  <w:num w:numId="16">
    <w:abstractNumId w:val="22"/>
  </w:num>
  <w:num w:numId="17">
    <w:abstractNumId w:val="2"/>
  </w:num>
  <w:num w:numId="18">
    <w:abstractNumId w:val="16"/>
    <w:lvlOverride w:ilvl="0">
      <w:startOverride w:val="1"/>
      <w:lvl w:ilvl="0">
        <w:start w:val="1"/>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decimal"/>
        <w:pStyle w:val="Title5LevelTitre5Niveau"/>
        <w:lvlText w:val="(%5)"/>
        <w:lvlJc w:val="left"/>
        <w:pPr>
          <w:tabs>
            <w:tab w:val="num" w:pos="1728"/>
          </w:tabs>
          <w:ind w:left="1728" w:hanging="576"/>
        </w:pPr>
        <w:rPr>
          <w:rFonts w:ascii="Times New Roman" w:eastAsiaTheme="minorHAnsi" w:hAnsi="Times New Roman" w:cstheme="minorBidi"/>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18"/>
  </w:num>
  <w:num w:numId="20">
    <w:abstractNumId w:val="13"/>
  </w:num>
  <w:num w:numId="21">
    <w:abstractNumId w:val="14"/>
  </w:num>
  <w:num w:numId="22">
    <w:abstractNumId w:val="4"/>
  </w:num>
  <w:num w:numId="23">
    <w:abstractNumId w:val="6"/>
  </w:num>
  <w:num w:numId="24">
    <w:abstractNumId w:val="10"/>
  </w:num>
  <w:num w:numId="25">
    <w:abstractNumId w:val="27"/>
  </w:num>
  <w:num w:numId="26">
    <w:abstractNumId w:val="24"/>
  </w:num>
  <w:num w:numId="27">
    <w:abstractNumId w:val="12"/>
  </w:num>
  <w:num w:numId="28">
    <w:abstractNumId w:val="17"/>
  </w:num>
  <w:num w:numId="29">
    <w:abstractNumId w:val="11"/>
  </w:num>
  <w:num w:numId="30">
    <w:abstractNumId w:val="23"/>
  </w:num>
  <w:num w:numId="31">
    <w:abstractNumId w:val="7"/>
  </w:num>
  <w:num w:numId="32">
    <w:abstractNumId w:val="28"/>
  </w:num>
  <w:num w:numId="33">
    <w:abstractNumId w:val="1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CE2"/>
    <w:rsid w:val="00005E45"/>
    <w:rsid w:val="00011995"/>
    <w:rsid w:val="000120BC"/>
    <w:rsid w:val="00023FC7"/>
    <w:rsid w:val="00025198"/>
    <w:rsid w:val="00045E2B"/>
    <w:rsid w:val="00046B14"/>
    <w:rsid w:val="00056B60"/>
    <w:rsid w:val="000578A3"/>
    <w:rsid w:val="000648CC"/>
    <w:rsid w:val="00074232"/>
    <w:rsid w:val="000B4106"/>
    <w:rsid w:val="000C59B8"/>
    <w:rsid w:val="000C6AF0"/>
    <w:rsid w:val="000D0A77"/>
    <w:rsid w:val="000D7084"/>
    <w:rsid w:val="000F2C2C"/>
    <w:rsid w:val="000F4BE2"/>
    <w:rsid w:val="000F7993"/>
    <w:rsid w:val="00104F33"/>
    <w:rsid w:val="00111DE2"/>
    <w:rsid w:val="00116B38"/>
    <w:rsid w:val="00116CBE"/>
    <w:rsid w:val="00124C34"/>
    <w:rsid w:val="00126F21"/>
    <w:rsid w:val="0013299F"/>
    <w:rsid w:val="00135406"/>
    <w:rsid w:val="00135972"/>
    <w:rsid w:val="00140A30"/>
    <w:rsid w:val="001426A9"/>
    <w:rsid w:val="001460B2"/>
    <w:rsid w:val="00154D7C"/>
    <w:rsid w:val="001570B0"/>
    <w:rsid w:val="0015752C"/>
    <w:rsid w:val="00157737"/>
    <w:rsid w:val="00157CB8"/>
    <w:rsid w:val="00165277"/>
    <w:rsid w:val="00170592"/>
    <w:rsid w:val="001720F7"/>
    <w:rsid w:val="00177055"/>
    <w:rsid w:val="00184368"/>
    <w:rsid w:val="00195D83"/>
    <w:rsid w:val="001A00C1"/>
    <w:rsid w:val="001B33E0"/>
    <w:rsid w:val="001B4573"/>
    <w:rsid w:val="001C2FF3"/>
    <w:rsid w:val="001C779F"/>
    <w:rsid w:val="001D0404"/>
    <w:rsid w:val="001D2AC1"/>
    <w:rsid w:val="001D4E88"/>
    <w:rsid w:val="001F0F90"/>
    <w:rsid w:val="0020091A"/>
    <w:rsid w:val="00206371"/>
    <w:rsid w:val="00211E73"/>
    <w:rsid w:val="00220FC2"/>
    <w:rsid w:val="002222F4"/>
    <w:rsid w:val="00224FC0"/>
    <w:rsid w:val="00225EA4"/>
    <w:rsid w:val="00226177"/>
    <w:rsid w:val="00226EAF"/>
    <w:rsid w:val="00231F3A"/>
    <w:rsid w:val="002406EE"/>
    <w:rsid w:val="00243EC8"/>
    <w:rsid w:val="00260FB0"/>
    <w:rsid w:val="002667A4"/>
    <w:rsid w:val="00270D93"/>
    <w:rsid w:val="00271C93"/>
    <w:rsid w:val="002745CC"/>
    <w:rsid w:val="00276F58"/>
    <w:rsid w:val="002A4965"/>
    <w:rsid w:val="002B6FBE"/>
    <w:rsid w:val="002B7924"/>
    <w:rsid w:val="002C10A6"/>
    <w:rsid w:val="002D28C3"/>
    <w:rsid w:val="002D39A4"/>
    <w:rsid w:val="002E6705"/>
    <w:rsid w:val="0030329A"/>
    <w:rsid w:val="0031086F"/>
    <w:rsid w:val="0031414C"/>
    <w:rsid w:val="00314E01"/>
    <w:rsid w:val="0032089D"/>
    <w:rsid w:val="003310DE"/>
    <w:rsid w:val="00331279"/>
    <w:rsid w:val="003323B0"/>
    <w:rsid w:val="00335AB1"/>
    <w:rsid w:val="00340A49"/>
    <w:rsid w:val="0035169A"/>
    <w:rsid w:val="0035259D"/>
    <w:rsid w:val="003546AA"/>
    <w:rsid w:val="00364B18"/>
    <w:rsid w:val="003A125D"/>
    <w:rsid w:val="003A1A95"/>
    <w:rsid w:val="003A4C70"/>
    <w:rsid w:val="003B0C85"/>
    <w:rsid w:val="003B215F"/>
    <w:rsid w:val="003B7EBF"/>
    <w:rsid w:val="003C213C"/>
    <w:rsid w:val="003C799C"/>
    <w:rsid w:val="003D0399"/>
    <w:rsid w:val="003D3FD6"/>
    <w:rsid w:val="003D592D"/>
    <w:rsid w:val="003E1C71"/>
    <w:rsid w:val="003E5223"/>
    <w:rsid w:val="003E6F97"/>
    <w:rsid w:val="003F327B"/>
    <w:rsid w:val="003F3BF0"/>
    <w:rsid w:val="00406166"/>
    <w:rsid w:val="0040704B"/>
    <w:rsid w:val="00410A55"/>
    <w:rsid w:val="00411300"/>
    <w:rsid w:val="00413F17"/>
    <w:rsid w:val="00415417"/>
    <w:rsid w:val="0041691A"/>
    <w:rsid w:val="00426659"/>
    <w:rsid w:val="004444A3"/>
    <w:rsid w:val="00450352"/>
    <w:rsid w:val="00454BDB"/>
    <w:rsid w:val="00457693"/>
    <w:rsid w:val="00465132"/>
    <w:rsid w:val="00480C90"/>
    <w:rsid w:val="0048396F"/>
    <w:rsid w:val="00493C18"/>
    <w:rsid w:val="004A600C"/>
    <w:rsid w:val="004A6118"/>
    <w:rsid w:val="004B6735"/>
    <w:rsid w:val="004C478D"/>
    <w:rsid w:val="004D7D95"/>
    <w:rsid w:val="004E2C26"/>
    <w:rsid w:val="004F0F90"/>
    <w:rsid w:val="00502C61"/>
    <w:rsid w:val="0050642B"/>
    <w:rsid w:val="005125A8"/>
    <w:rsid w:val="00517549"/>
    <w:rsid w:val="00520ABC"/>
    <w:rsid w:val="00521AE8"/>
    <w:rsid w:val="00523844"/>
    <w:rsid w:val="00527180"/>
    <w:rsid w:val="00527437"/>
    <w:rsid w:val="0054166C"/>
    <w:rsid w:val="00555291"/>
    <w:rsid w:val="005636F3"/>
    <w:rsid w:val="00566AD1"/>
    <w:rsid w:val="005810A9"/>
    <w:rsid w:val="00583EDE"/>
    <w:rsid w:val="005A0AC8"/>
    <w:rsid w:val="005A4A1C"/>
    <w:rsid w:val="005A6079"/>
    <w:rsid w:val="005B001A"/>
    <w:rsid w:val="005B6BE4"/>
    <w:rsid w:val="005C7850"/>
    <w:rsid w:val="005E4698"/>
    <w:rsid w:val="005F19D2"/>
    <w:rsid w:val="005F43B8"/>
    <w:rsid w:val="006015A5"/>
    <w:rsid w:val="00603924"/>
    <w:rsid w:val="00607B5B"/>
    <w:rsid w:val="00607F99"/>
    <w:rsid w:val="00610539"/>
    <w:rsid w:val="00613969"/>
    <w:rsid w:val="0062025F"/>
    <w:rsid w:val="00620898"/>
    <w:rsid w:val="00625C35"/>
    <w:rsid w:val="006368E7"/>
    <w:rsid w:val="00647E49"/>
    <w:rsid w:val="00655F56"/>
    <w:rsid w:val="00656313"/>
    <w:rsid w:val="006565F4"/>
    <w:rsid w:val="00661947"/>
    <w:rsid w:val="00684EEA"/>
    <w:rsid w:val="0069181D"/>
    <w:rsid w:val="0069689B"/>
    <w:rsid w:val="006B5FF5"/>
    <w:rsid w:val="006D35D8"/>
    <w:rsid w:val="006F30AF"/>
    <w:rsid w:val="006F7673"/>
    <w:rsid w:val="006F77C2"/>
    <w:rsid w:val="00701759"/>
    <w:rsid w:val="00705C15"/>
    <w:rsid w:val="00710087"/>
    <w:rsid w:val="007110F6"/>
    <w:rsid w:val="00717E00"/>
    <w:rsid w:val="007208D1"/>
    <w:rsid w:val="00741DA5"/>
    <w:rsid w:val="00744518"/>
    <w:rsid w:val="00744C30"/>
    <w:rsid w:val="00747288"/>
    <w:rsid w:val="00747DD3"/>
    <w:rsid w:val="007549C8"/>
    <w:rsid w:val="007602CB"/>
    <w:rsid w:val="00766D14"/>
    <w:rsid w:val="00767A0F"/>
    <w:rsid w:val="007726A9"/>
    <w:rsid w:val="00791272"/>
    <w:rsid w:val="007A05F6"/>
    <w:rsid w:val="007B6F4A"/>
    <w:rsid w:val="007C0995"/>
    <w:rsid w:val="007D23B7"/>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94BF9"/>
    <w:rsid w:val="008A633E"/>
    <w:rsid w:val="008B62B8"/>
    <w:rsid w:val="008B660A"/>
    <w:rsid w:val="008C01DA"/>
    <w:rsid w:val="008C4DFD"/>
    <w:rsid w:val="008F2674"/>
    <w:rsid w:val="008F78E9"/>
    <w:rsid w:val="009118A4"/>
    <w:rsid w:val="009150B6"/>
    <w:rsid w:val="009179F9"/>
    <w:rsid w:val="00917C7A"/>
    <w:rsid w:val="00917DC9"/>
    <w:rsid w:val="00933E5E"/>
    <w:rsid w:val="00935218"/>
    <w:rsid w:val="00937174"/>
    <w:rsid w:val="00937C52"/>
    <w:rsid w:val="009403F3"/>
    <w:rsid w:val="00941F1E"/>
    <w:rsid w:val="00951981"/>
    <w:rsid w:val="009555B7"/>
    <w:rsid w:val="009567AA"/>
    <w:rsid w:val="009602C9"/>
    <w:rsid w:val="00961310"/>
    <w:rsid w:val="00967374"/>
    <w:rsid w:val="009750AE"/>
    <w:rsid w:val="00992BCA"/>
    <w:rsid w:val="009A256C"/>
    <w:rsid w:val="009A343A"/>
    <w:rsid w:val="009B2F23"/>
    <w:rsid w:val="009B57B3"/>
    <w:rsid w:val="009D2920"/>
    <w:rsid w:val="009D5AEB"/>
    <w:rsid w:val="009F0E33"/>
    <w:rsid w:val="009F0E99"/>
    <w:rsid w:val="00A149DF"/>
    <w:rsid w:val="00A1755C"/>
    <w:rsid w:val="00A21B90"/>
    <w:rsid w:val="00A22AAC"/>
    <w:rsid w:val="00A301F1"/>
    <w:rsid w:val="00A32603"/>
    <w:rsid w:val="00A408FA"/>
    <w:rsid w:val="00A41805"/>
    <w:rsid w:val="00A51882"/>
    <w:rsid w:val="00A52AFB"/>
    <w:rsid w:val="00A548CB"/>
    <w:rsid w:val="00A5521C"/>
    <w:rsid w:val="00A643E7"/>
    <w:rsid w:val="00A679F4"/>
    <w:rsid w:val="00A73C38"/>
    <w:rsid w:val="00A9149B"/>
    <w:rsid w:val="00A921A7"/>
    <w:rsid w:val="00AB639B"/>
    <w:rsid w:val="00AB670D"/>
    <w:rsid w:val="00AB70CC"/>
    <w:rsid w:val="00AC328C"/>
    <w:rsid w:val="00AC5162"/>
    <w:rsid w:val="00AD6543"/>
    <w:rsid w:val="00AE3284"/>
    <w:rsid w:val="00AE3B7B"/>
    <w:rsid w:val="00AF03C5"/>
    <w:rsid w:val="00AF2B86"/>
    <w:rsid w:val="00B000C1"/>
    <w:rsid w:val="00B000D8"/>
    <w:rsid w:val="00B00F75"/>
    <w:rsid w:val="00B0126E"/>
    <w:rsid w:val="00B145B6"/>
    <w:rsid w:val="00B26C36"/>
    <w:rsid w:val="00B279EB"/>
    <w:rsid w:val="00B33E9E"/>
    <w:rsid w:val="00B50C81"/>
    <w:rsid w:val="00B5301E"/>
    <w:rsid w:val="00B557F8"/>
    <w:rsid w:val="00B56E0C"/>
    <w:rsid w:val="00B62F64"/>
    <w:rsid w:val="00B815FC"/>
    <w:rsid w:val="00B91F12"/>
    <w:rsid w:val="00B93FBC"/>
    <w:rsid w:val="00BA7DA0"/>
    <w:rsid w:val="00BB2EE4"/>
    <w:rsid w:val="00BB41D8"/>
    <w:rsid w:val="00BB4C92"/>
    <w:rsid w:val="00BC2108"/>
    <w:rsid w:val="00BC6343"/>
    <w:rsid w:val="00BD0E9E"/>
    <w:rsid w:val="00BD1BEC"/>
    <w:rsid w:val="00BD32FF"/>
    <w:rsid w:val="00BD43AC"/>
    <w:rsid w:val="00BF498B"/>
    <w:rsid w:val="00BF6158"/>
    <w:rsid w:val="00BF6FE9"/>
    <w:rsid w:val="00C013E7"/>
    <w:rsid w:val="00C02092"/>
    <w:rsid w:val="00C11673"/>
    <w:rsid w:val="00C24D91"/>
    <w:rsid w:val="00C26DB2"/>
    <w:rsid w:val="00C27718"/>
    <w:rsid w:val="00C42E7E"/>
    <w:rsid w:val="00C508BD"/>
    <w:rsid w:val="00C53F14"/>
    <w:rsid w:val="00C600CF"/>
    <w:rsid w:val="00C6084F"/>
    <w:rsid w:val="00C62509"/>
    <w:rsid w:val="00C62A66"/>
    <w:rsid w:val="00C66359"/>
    <w:rsid w:val="00C71458"/>
    <w:rsid w:val="00C74885"/>
    <w:rsid w:val="00C75DA4"/>
    <w:rsid w:val="00C77613"/>
    <w:rsid w:val="00C828E7"/>
    <w:rsid w:val="00C831E3"/>
    <w:rsid w:val="00C86719"/>
    <w:rsid w:val="00C921DD"/>
    <w:rsid w:val="00CA10FE"/>
    <w:rsid w:val="00CA6391"/>
    <w:rsid w:val="00CC133A"/>
    <w:rsid w:val="00CC4059"/>
    <w:rsid w:val="00CE036E"/>
    <w:rsid w:val="00CE3171"/>
    <w:rsid w:val="00CF1601"/>
    <w:rsid w:val="00CF1979"/>
    <w:rsid w:val="00D00F5A"/>
    <w:rsid w:val="00D0172F"/>
    <w:rsid w:val="00D01E33"/>
    <w:rsid w:val="00D068A7"/>
    <w:rsid w:val="00D17476"/>
    <w:rsid w:val="00D1752A"/>
    <w:rsid w:val="00D17B0E"/>
    <w:rsid w:val="00D32086"/>
    <w:rsid w:val="00D35B44"/>
    <w:rsid w:val="00D37A3F"/>
    <w:rsid w:val="00D40BC5"/>
    <w:rsid w:val="00D4431D"/>
    <w:rsid w:val="00D4667A"/>
    <w:rsid w:val="00D4682F"/>
    <w:rsid w:val="00D617EF"/>
    <w:rsid w:val="00D63A1C"/>
    <w:rsid w:val="00D6455A"/>
    <w:rsid w:val="00D67755"/>
    <w:rsid w:val="00D7516F"/>
    <w:rsid w:val="00D752DF"/>
    <w:rsid w:val="00D80151"/>
    <w:rsid w:val="00D85F67"/>
    <w:rsid w:val="00D912E3"/>
    <w:rsid w:val="00D95F8E"/>
    <w:rsid w:val="00DA0590"/>
    <w:rsid w:val="00DC1739"/>
    <w:rsid w:val="00DC1788"/>
    <w:rsid w:val="00DC3511"/>
    <w:rsid w:val="00DD290E"/>
    <w:rsid w:val="00DE049A"/>
    <w:rsid w:val="00DE319C"/>
    <w:rsid w:val="00DF0CA8"/>
    <w:rsid w:val="00DF2B48"/>
    <w:rsid w:val="00DF49A7"/>
    <w:rsid w:val="00E07EE2"/>
    <w:rsid w:val="00E07FD1"/>
    <w:rsid w:val="00E20036"/>
    <w:rsid w:val="00E24573"/>
    <w:rsid w:val="00E25E1E"/>
    <w:rsid w:val="00E26A40"/>
    <w:rsid w:val="00E27EE7"/>
    <w:rsid w:val="00E31A84"/>
    <w:rsid w:val="00E35404"/>
    <w:rsid w:val="00E45109"/>
    <w:rsid w:val="00E4796C"/>
    <w:rsid w:val="00E47B7A"/>
    <w:rsid w:val="00E56A44"/>
    <w:rsid w:val="00E60269"/>
    <w:rsid w:val="00E61509"/>
    <w:rsid w:val="00E67AF5"/>
    <w:rsid w:val="00E7586A"/>
    <w:rsid w:val="00E7747A"/>
    <w:rsid w:val="00E8612E"/>
    <w:rsid w:val="00E97830"/>
    <w:rsid w:val="00EB7441"/>
    <w:rsid w:val="00EC02B2"/>
    <w:rsid w:val="00EC6A5D"/>
    <w:rsid w:val="00EE0830"/>
    <w:rsid w:val="00EE6CB8"/>
    <w:rsid w:val="00EE7CD1"/>
    <w:rsid w:val="00EF0683"/>
    <w:rsid w:val="00F0070C"/>
    <w:rsid w:val="00F00EB7"/>
    <w:rsid w:val="00F22747"/>
    <w:rsid w:val="00F35BEA"/>
    <w:rsid w:val="00F36AB6"/>
    <w:rsid w:val="00F37A09"/>
    <w:rsid w:val="00F409CE"/>
    <w:rsid w:val="00F4379D"/>
    <w:rsid w:val="00F50D2D"/>
    <w:rsid w:val="00F56C8B"/>
    <w:rsid w:val="00F62639"/>
    <w:rsid w:val="00F66810"/>
    <w:rsid w:val="00F746A9"/>
    <w:rsid w:val="00F75ADD"/>
    <w:rsid w:val="00F80166"/>
    <w:rsid w:val="00F82513"/>
    <w:rsid w:val="00F84DF4"/>
    <w:rsid w:val="00F85C97"/>
    <w:rsid w:val="00F93A96"/>
    <w:rsid w:val="00FA2B18"/>
    <w:rsid w:val="00FA2BCA"/>
    <w:rsid w:val="00FB37D2"/>
    <w:rsid w:val="00FB518D"/>
    <w:rsid w:val="00FC089B"/>
    <w:rsid w:val="00FC4EFB"/>
    <w:rsid w:val="00FC7860"/>
    <w:rsid w:val="00FD068D"/>
    <w:rsid w:val="00FD21AE"/>
    <w:rsid w:val="00FD4F28"/>
    <w:rsid w:val="00FE0BA1"/>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6107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3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DD290E"/>
    <w:rPr>
      <w:sz w:val="16"/>
      <w:szCs w:val="16"/>
    </w:rPr>
  </w:style>
  <w:style w:type="paragraph" w:styleId="CommentText">
    <w:name w:val="annotation text"/>
    <w:basedOn w:val="Normal"/>
    <w:link w:val="CommentTextChar"/>
    <w:uiPriority w:val="99"/>
    <w:unhideWhenUsed/>
    <w:rsid w:val="00DD290E"/>
    <w:rPr>
      <w:sz w:val="20"/>
    </w:rPr>
  </w:style>
  <w:style w:type="character" w:customStyle="1" w:styleId="CommentTextChar">
    <w:name w:val="Comment Text Char"/>
    <w:basedOn w:val="DefaultParagraphFont"/>
    <w:link w:val="CommentText"/>
    <w:uiPriority w:val="99"/>
    <w:rsid w:val="00DD290E"/>
  </w:style>
  <w:style w:type="paragraph" w:styleId="CommentSubject">
    <w:name w:val="annotation subject"/>
    <w:basedOn w:val="CommentText"/>
    <w:next w:val="CommentText"/>
    <w:link w:val="CommentSubjectChar"/>
    <w:uiPriority w:val="99"/>
    <w:semiHidden/>
    <w:unhideWhenUsed/>
    <w:rsid w:val="00DD290E"/>
    <w:rPr>
      <w:b/>
      <w:bCs/>
    </w:rPr>
  </w:style>
  <w:style w:type="character" w:customStyle="1" w:styleId="CommentSubjectChar">
    <w:name w:val="Comment Subject Char"/>
    <w:basedOn w:val="CommentTextChar"/>
    <w:link w:val="CommentSubject"/>
    <w:uiPriority w:val="99"/>
    <w:semiHidden/>
    <w:rsid w:val="00DD290E"/>
    <w:rPr>
      <w:b/>
      <w:bCs/>
    </w:rPr>
  </w:style>
  <w:style w:type="paragraph" w:customStyle="1" w:styleId="ParaNoNdepar-AltN">
    <w:name w:val="Para. No. / Nº de par. - Alt N"/>
    <w:link w:val="ParaNoNdepar-AltNChar"/>
    <w:qFormat/>
    <w:rsid w:val="00BD43AC"/>
    <w:pPr>
      <w:numPr>
        <w:numId w:val="1"/>
      </w:numPr>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BD43AC"/>
    <w:rPr>
      <w:rFonts w:eastAsiaTheme="minorEastAsia" w:cstheme="minorBidi"/>
      <w:sz w:val="24"/>
      <w:szCs w:val="22"/>
      <w:lang w:val="fr-CA" w:eastAsia="en-US"/>
    </w:rPr>
  </w:style>
  <w:style w:type="character" w:customStyle="1" w:styleId="subsection">
    <w:name w:val="subsection"/>
    <w:basedOn w:val="DefaultParagraphFont"/>
    <w:rsid w:val="00BD43AC"/>
  </w:style>
  <w:style w:type="paragraph" w:styleId="NoSpacing">
    <w:name w:val="No Spacing"/>
    <w:uiPriority w:val="1"/>
    <w:qFormat/>
    <w:rsid w:val="00116CBE"/>
    <w:rPr>
      <w:sz w:val="24"/>
    </w:rPr>
  </w:style>
  <w:style w:type="paragraph" w:customStyle="1" w:styleId="SCCLsocOtherPartyRoleSeparator">
    <w:name w:val="SCC.Lsoc.OtherPartyRoleSeparator"/>
    <w:basedOn w:val="Normal"/>
    <w:next w:val="Normal"/>
    <w:link w:val="SCCLsocOtherPartyRoleSeparatorChar"/>
    <w:rsid w:val="00116CB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16CBE"/>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16CBE"/>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16CB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16CBE"/>
    <w:rPr>
      <w:b/>
      <w:sz w:val="24"/>
    </w:rPr>
  </w:style>
  <w:style w:type="table" w:styleId="TableGrid">
    <w:name w:val="Table Grid"/>
    <w:basedOn w:val="TableNormal"/>
    <w:uiPriority w:val="59"/>
    <w:rsid w:val="00116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16CBE"/>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16CBE"/>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116CBE"/>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116CB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16CB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16CBE"/>
    <w:pPr>
      <w:numPr>
        <w:ilvl w:val="2"/>
      </w:numPr>
      <w:outlineLvl w:val="2"/>
    </w:pPr>
  </w:style>
  <w:style w:type="paragraph" w:customStyle="1" w:styleId="Title4LevelTitre4Niveau">
    <w:name w:val="Title 4 Level / Titre 4 Niveau"/>
    <w:basedOn w:val="Title3LevelTitre3Niveau"/>
    <w:next w:val="ParaNoNdepar-AltN"/>
    <w:uiPriority w:val="4"/>
    <w:qFormat/>
    <w:rsid w:val="00116CB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16CBE"/>
    <w:pPr>
      <w:numPr>
        <w:ilvl w:val="4"/>
      </w:numPr>
      <w:outlineLvl w:val="4"/>
    </w:pPr>
  </w:style>
  <w:style w:type="paragraph" w:customStyle="1" w:styleId="TitleTitre-AltT">
    <w:name w:val="Title / Titre - Alt T"/>
    <w:next w:val="ParaNoNdepar-AltN"/>
    <w:uiPriority w:val="3"/>
    <w:qFormat/>
    <w:rsid w:val="00116CB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16CBE"/>
    <w:pPr>
      <w:numPr>
        <w:ilvl w:val="5"/>
      </w:numPr>
      <w:outlineLvl w:val="5"/>
    </w:pPr>
    <w:rPr>
      <w:i/>
      <w:u w:val="none"/>
    </w:rPr>
  </w:style>
  <w:style w:type="paragraph" w:styleId="FootnoteText">
    <w:name w:val="footnote text"/>
    <w:basedOn w:val="Normal"/>
    <w:link w:val="FootnoteTextChar"/>
    <w:uiPriority w:val="99"/>
    <w:unhideWhenUsed/>
    <w:rsid w:val="00116CB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16CBE"/>
  </w:style>
  <w:style w:type="character" w:styleId="FootnoteReference">
    <w:name w:val="footnote reference"/>
    <w:basedOn w:val="DefaultParagraphFont"/>
    <w:uiPriority w:val="99"/>
    <w:semiHidden/>
    <w:unhideWhenUsed/>
    <w:rsid w:val="00116CBE"/>
    <w:rPr>
      <w:vertAlign w:val="superscript"/>
    </w:rPr>
  </w:style>
  <w:style w:type="character" w:styleId="IntenseEmphasis">
    <w:name w:val="Intense Emphasis"/>
    <w:basedOn w:val="DefaultParagraphFont"/>
    <w:uiPriority w:val="21"/>
    <w:rsid w:val="00116CBE"/>
    <w:rPr>
      <w:b/>
      <w:bCs/>
      <w:i/>
      <w:iCs/>
      <w:color w:val="4F81BD" w:themeColor="accent1"/>
    </w:rPr>
  </w:style>
  <w:style w:type="character" w:customStyle="1" w:styleId="texte-courant1">
    <w:name w:val="texte-courant1"/>
    <w:basedOn w:val="DefaultParagraphFont"/>
    <w:rsid w:val="00116CBE"/>
  </w:style>
  <w:style w:type="paragraph" w:styleId="ListParagraph">
    <w:name w:val="List Paragraph"/>
    <w:basedOn w:val="Normal"/>
    <w:uiPriority w:val="34"/>
    <w:qFormat/>
    <w:rsid w:val="00116CBE"/>
    <w:pPr>
      <w:spacing w:after="160" w:line="259" w:lineRule="auto"/>
      <w:ind w:left="720"/>
      <w:contextualSpacing/>
    </w:pPr>
    <w:rPr>
      <w:rFonts w:eastAsiaTheme="minorHAnsi" w:cstheme="minorBidi"/>
      <w:szCs w:val="22"/>
      <w:lang w:val="fr-CA" w:eastAsia="en-US" w:bidi="en-US"/>
    </w:rPr>
  </w:style>
  <w:style w:type="paragraph" w:styleId="Revision">
    <w:name w:val="Revision"/>
    <w:hidden/>
    <w:uiPriority w:val="99"/>
    <w:semiHidden/>
    <w:rsid w:val="00116CBE"/>
    <w:rPr>
      <w:sz w:val="24"/>
      <w:lang w:val="fr-CA"/>
    </w:rPr>
  </w:style>
  <w:style w:type="paragraph" w:styleId="TOCHeading">
    <w:name w:val="TOC Heading"/>
    <w:basedOn w:val="Heading1"/>
    <w:next w:val="Normal"/>
    <w:uiPriority w:val="39"/>
    <w:unhideWhenUsed/>
    <w:qFormat/>
    <w:rsid w:val="00116CBE"/>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116CBE"/>
    <w:pPr>
      <w:tabs>
        <w:tab w:val="left" w:pos="630"/>
        <w:tab w:val="right" w:leader="dot" w:pos="8270"/>
      </w:tabs>
      <w:spacing w:after="100"/>
    </w:pPr>
    <w:rPr>
      <w:lang w:val="fr-CA"/>
    </w:rPr>
  </w:style>
  <w:style w:type="paragraph" w:styleId="TOC2">
    <w:name w:val="toc 2"/>
    <w:basedOn w:val="Normal"/>
    <w:next w:val="Normal"/>
    <w:autoRedefine/>
    <w:uiPriority w:val="39"/>
    <w:unhideWhenUsed/>
    <w:rsid w:val="00116CBE"/>
    <w:pPr>
      <w:tabs>
        <w:tab w:val="left" w:pos="720"/>
        <w:tab w:val="right" w:leader="dot" w:pos="8270"/>
      </w:tabs>
      <w:spacing w:after="100"/>
      <w:ind w:left="240"/>
    </w:pPr>
    <w:rPr>
      <w:lang w:val="fr-CA"/>
    </w:rPr>
  </w:style>
  <w:style w:type="paragraph" w:styleId="TOC3">
    <w:name w:val="toc 3"/>
    <w:basedOn w:val="Normal"/>
    <w:next w:val="Normal"/>
    <w:autoRedefine/>
    <w:uiPriority w:val="39"/>
    <w:unhideWhenUsed/>
    <w:rsid w:val="00116CBE"/>
    <w:pPr>
      <w:tabs>
        <w:tab w:val="left" w:pos="1100"/>
        <w:tab w:val="right" w:leader="dot" w:pos="8270"/>
      </w:tabs>
      <w:spacing w:after="100"/>
      <w:ind w:left="480" w:firstLine="229"/>
    </w:pPr>
    <w:rPr>
      <w:lang w:val="fr-CA"/>
    </w:rPr>
  </w:style>
  <w:style w:type="character" w:styleId="Hyperlink">
    <w:name w:val="Hyperlink"/>
    <w:basedOn w:val="DefaultParagraphFont"/>
    <w:uiPriority w:val="99"/>
    <w:unhideWhenUsed/>
    <w:rsid w:val="00116CBE"/>
    <w:rPr>
      <w:color w:val="0000FF" w:themeColor="hyperlink"/>
      <w:u w:val="single"/>
    </w:rPr>
  </w:style>
  <w:style w:type="paragraph" w:styleId="EndnoteText">
    <w:name w:val="endnote text"/>
    <w:basedOn w:val="Normal"/>
    <w:link w:val="EndnoteTextChar"/>
    <w:uiPriority w:val="99"/>
    <w:semiHidden/>
    <w:unhideWhenUsed/>
    <w:rsid w:val="00116CBE"/>
    <w:rPr>
      <w:sz w:val="20"/>
      <w:lang w:val="fr-CA"/>
    </w:rPr>
  </w:style>
  <w:style w:type="character" w:customStyle="1" w:styleId="EndnoteTextChar">
    <w:name w:val="Endnote Text Char"/>
    <w:basedOn w:val="DefaultParagraphFont"/>
    <w:link w:val="EndnoteText"/>
    <w:uiPriority w:val="99"/>
    <w:semiHidden/>
    <w:rsid w:val="00116CBE"/>
    <w:rPr>
      <w:lang w:val="fr-CA"/>
    </w:rPr>
  </w:style>
  <w:style w:type="character" w:styleId="EndnoteReference">
    <w:name w:val="endnote reference"/>
    <w:basedOn w:val="DefaultParagraphFont"/>
    <w:uiPriority w:val="99"/>
    <w:semiHidden/>
    <w:unhideWhenUsed/>
    <w:rsid w:val="00116CBE"/>
    <w:rPr>
      <w:vertAlign w:val="superscript"/>
    </w:rPr>
  </w:style>
  <w:style w:type="table" w:customStyle="1" w:styleId="TableGrid1">
    <w:name w:val="Table Grid1"/>
    <w:basedOn w:val="TableNormal"/>
    <w:next w:val="TableGrid"/>
    <w:uiPriority w:val="59"/>
    <w:rsid w:val="00116CBE"/>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16CB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16CB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16CBE"/>
    <w:pPr>
      <w:tabs>
        <w:tab w:val="left" w:pos="2160"/>
        <w:tab w:val="right" w:leader="dot" w:pos="8270"/>
      </w:tabs>
      <w:spacing w:after="100"/>
      <w:ind w:left="1800"/>
    </w:pPr>
    <w:rPr>
      <w:noProof/>
    </w:rPr>
  </w:style>
  <w:style w:type="character" w:customStyle="1" w:styleId="label-section">
    <w:name w:val="label-section"/>
    <w:basedOn w:val="DefaultParagraphFont"/>
    <w:rsid w:val="00116CBE"/>
  </w:style>
  <w:style w:type="character" w:customStyle="1" w:styleId="reflex2-link">
    <w:name w:val="reflex2-link"/>
    <w:basedOn w:val="DefaultParagraphFont"/>
    <w:rsid w:val="00116CBE"/>
  </w:style>
  <w:style w:type="character" w:customStyle="1" w:styleId="lawlabel">
    <w:name w:val="lawlabel"/>
    <w:basedOn w:val="DefaultParagraphFont"/>
    <w:rsid w:val="00116CBE"/>
  </w:style>
  <w:style w:type="character" w:customStyle="1" w:styleId="ssit">
    <w:name w:val="ss_it"/>
    <w:basedOn w:val="DefaultParagraphFont"/>
    <w:rsid w:val="00116CBE"/>
  </w:style>
  <w:style w:type="character" w:customStyle="1" w:styleId="solexhl">
    <w:name w:val="solexhl"/>
    <w:basedOn w:val="DefaultParagraphFont"/>
    <w:rsid w:val="00116CBE"/>
  </w:style>
  <w:style w:type="character" w:styleId="FollowedHyperlink">
    <w:name w:val="FollowedHyperlink"/>
    <w:basedOn w:val="DefaultParagraphFont"/>
    <w:uiPriority w:val="99"/>
    <w:semiHidden/>
    <w:unhideWhenUsed/>
    <w:rsid w:val="00116CBE"/>
    <w:rPr>
      <w:color w:val="800080" w:themeColor="followedHyperlink"/>
      <w:u w:val="single"/>
    </w:rPr>
  </w:style>
  <w:style w:type="paragraph" w:customStyle="1" w:styleId="Paragraph">
    <w:name w:val="Paragraph"/>
    <w:basedOn w:val="NoSpacing"/>
    <w:link w:val="ParagraphChar"/>
    <w:qFormat/>
    <w:rsid w:val="00116CBE"/>
    <w:pPr>
      <w:numPr>
        <w:numId w:val="33"/>
      </w:numPr>
      <w:tabs>
        <w:tab w:val="left" w:pos="720"/>
      </w:tabs>
      <w:spacing w:after="240" w:line="360" w:lineRule="auto"/>
      <w:ind w:left="0" w:firstLine="0"/>
      <w:jc w:val="both"/>
    </w:pPr>
    <w:rPr>
      <w:rFonts w:eastAsiaTheme="minorHAnsi" w:cstheme="minorBidi"/>
      <w:szCs w:val="22"/>
      <w:lang w:eastAsia="en-US"/>
    </w:rPr>
  </w:style>
  <w:style w:type="character" w:customStyle="1" w:styleId="ParagraphChar">
    <w:name w:val="Paragraph Char"/>
    <w:basedOn w:val="DefaultParagraphFont"/>
    <w:link w:val="Paragraph"/>
    <w:rsid w:val="00116CBE"/>
    <w:rPr>
      <w:rFonts w:eastAsiaTheme="minorHAnsi" w:cstheme="minorBidi"/>
      <w:sz w:val="24"/>
      <w:szCs w:val="22"/>
      <w:lang w:eastAsia="en-US"/>
    </w:rPr>
  </w:style>
  <w:style w:type="character" w:customStyle="1" w:styleId="sccrespondentforindexchar0">
    <w:name w:val="sccrespondentforindexchar"/>
    <w:basedOn w:val="DefaultParagraphFont"/>
    <w:rsid w:val="00116CBE"/>
  </w:style>
  <w:style w:type="character" w:customStyle="1" w:styleId="nowrap">
    <w:name w:val="nowrap"/>
    <w:basedOn w:val="DefaultParagraphFont"/>
    <w:rsid w:val="00116CBE"/>
  </w:style>
  <w:style w:type="character" w:customStyle="1" w:styleId="UnresolvedMention">
    <w:name w:val="Unresolved Mention"/>
    <w:basedOn w:val="DefaultParagraphFont"/>
    <w:uiPriority w:val="99"/>
    <w:semiHidden/>
    <w:unhideWhenUsed/>
    <w:rsid w:val="00116CBE"/>
    <w:rPr>
      <w:color w:val="605E5C"/>
      <w:shd w:val="clear" w:color="auto" w:fill="E1DFDD"/>
    </w:rPr>
  </w:style>
  <w:style w:type="table" w:customStyle="1" w:styleId="TableGrid2">
    <w:name w:val="Table Grid2"/>
    <w:basedOn w:val="TableNormal"/>
    <w:next w:val="TableGrid"/>
    <w:uiPriority w:val="59"/>
    <w:rsid w:val="00116CB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B262-1AA4-4286-BC68-782D759A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39966</Words>
  <Characters>204394</Characters>
  <Application>Microsoft Office Word</Application>
  <DocSecurity>0</DocSecurity>
  <Lines>1703</Lines>
  <Paragraphs>487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2021-10-29T10:15:00Z</dcterms:created>
  <dcterms:modified xsi:type="dcterms:W3CDTF">2021-11-01T13:12:00Z</dcterms:modified>
</cp:coreProperties>
</file>