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4252"/>
        <w:gridCol w:w="1959"/>
        <w:gridCol w:w="3855"/>
        <w:gridCol w:w="20"/>
      </w:tblGrid>
      <w:tr w:rsidR="002909F6" w:rsidRPr="00C23742" w:rsidTr="00796207">
        <w:trPr>
          <w:trHeight w:val="1786"/>
        </w:trPr>
        <w:tc>
          <w:tcPr>
            <w:tcW w:w="5000" w:type="pct"/>
            <w:gridSpan w:val="4"/>
          </w:tcPr>
          <w:p w:rsidR="002909F6" w:rsidRPr="00C23742" w:rsidRDefault="00820223" w:rsidP="00E92347">
            <w:pPr>
              <w:jc w:val="center"/>
            </w:pPr>
            <w:bookmarkStart w:id="0" w:name="_GoBack"/>
            <w:bookmarkEnd w:id="0"/>
            <w:r w:rsidRPr="00C23742">
              <w:rPr>
                <w:noProof/>
                <w:lang w:val="en-US" w:eastAsia="en-US"/>
              </w:rPr>
              <w:drawing>
                <wp:inline distT="0" distB="0" distL="0" distR="0" wp14:anchorId="7BB4B827" wp14:editId="5F099E29">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2909F6" w:rsidRPr="00C23742" w:rsidRDefault="002909F6" w:rsidP="00D22128">
            <w:pPr>
              <w:spacing w:before="120" w:after="100" w:afterAutospacing="1"/>
              <w:jc w:val="center"/>
              <w:rPr>
                <w:rFonts w:eastAsia="Calibri"/>
              </w:rPr>
            </w:pPr>
            <w:r w:rsidRPr="00C23742">
              <w:rPr>
                <w:rFonts w:eastAsia="Calibri"/>
                <w:b/>
                <w:szCs w:val="24"/>
                <w:lang w:eastAsia="en-US"/>
              </w:rPr>
              <w:t>COUR SUPRÊME DU CANADA</w:t>
            </w:r>
          </w:p>
        </w:tc>
      </w:tr>
      <w:tr w:rsidR="002909F6" w:rsidRPr="00C23742" w:rsidTr="00E10A5C">
        <w:trPr>
          <w:gridAfter w:val="1"/>
          <w:wAfter w:w="11" w:type="pct"/>
        </w:trPr>
        <w:tc>
          <w:tcPr>
            <w:tcW w:w="2108" w:type="pct"/>
            <w:tcMar>
              <w:top w:w="284" w:type="dxa"/>
            </w:tcMar>
          </w:tcPr>
          <w:p w:rsidR="002909F6" w:rsidRPr="00C23742" w:rsidRDefault="002909F6" w:rsidP="00425158">
            <w:pPr>
              <w:spacing w:before="100" w:beforeAutospacing="1"/>
              <w:rPr>
                <w:rFonts w:eastAsia="Calibri"/>
                <w:lang w:val="fr-CA"/>
              </w:rPr>
            </w:pPr>
            <w:r w:rsidRPr="00C23742">
              <w:rPr>
                <w:b/>
                <w:smallCaps/>
                <w:lang w:val="fr-CA"/>
              </w:rPr>
              <w:t>Référence :</w:t>
            </w:r>
            <w:r w:rsidRPr="00C23742">
              <w:rPr>
                <w:lang w:val="fr-CA"/>
              </w:rPr>
              <w:t xml:space="preserve"> </w:t>
            </w:r>
            <w:r w:rsidR="00575FF2" w:rsidRPr="00C23742">
              <w:rPr>
                <w:lang w:val="fr-CA"/>
              </w:rPr>
              <w:t xml:space="preserve">R. </w:t>
            </w:r>
            <w:r w:rsidR="00575FF2" w:rsidRPr="00C23742">
              <w:rPr>
                <w:i/>
                <w:lang w:val="fr-CA"/>
              </w:rPr>
              <w:t>c.</w:t>
            </w:r>
            <w:r w:rsidR="00B0409C" w:rsidRPr="00C23742">
              <w:rPr>
                <w:lang w:val="fr-CA"/>
              </w:rPr>
              <w:t xml:space="preserve"> </w:t>
            </w:r>
            <w:r w:rsidR="006B4F1D" w:rsidRPr="00C23742">
              <w:rPr>
                <w:lang w:val="fr-CA"/>
              </w:rPr>
              <w:t>Lai</w:t>
            </w:r>
            <w:r w:rsidR="00B0409C" w:rsidRPr="00C23742">
              <w:rPr>
                <w:lang w:val="fr-CA"/>
              </w:rPr>
              <w:t xml:space="preserve">, 2021 CSC </w:t>
            </w:r>
            <w:r w:rsidR="00934D17" w:rsidRPr="00C23742">
              <w:rPr>
                <w:lang w:val="fr-CA"/>
              </w:rPr>
              <w:t>52</w:t>
            </w:r>
          </w:p>
        </w:tc>
        <w:tc>
          <w:tcPr>
            <w:tcW w:w="971" w:type="pct"/>
          </w:tcPr>
          <w:p w:rsidR="002909F6" w:rsidRPr="00C23742" w:rsidRDefault="002909F6" w:rsidP="00CB5B04">
            <w:pPr>
              <w:rPr>
                <w:b/>
                <w:smallCaps/>
                <w:lang w:val="fr-CA"/>
              </w:rPr>
            </w:pPr>
          </w:p>
        </w:tc>
        <w:tc>
          <w:tcPr>
            <w:tcW w:w="1911" w:type="pct"/>
            <w:tcMar>
              <w:top w:w="284" w:type="dxa"/>
            </w:tcMar>
          </w:tcPr>
          <w:p w:rsidR="002909F6" w:rsidRPr="00C23742" w:rsidRDefault="002909F6" w:rsidP="00CB5B04">
            <w:pPr>
              <w:rPr>
                <w:lang w:val="fr-CA"/>
              </w:rPr>
            </w:pPr>
            <w:r w:rsidRPr="00C23742">
              <w:rPr>
                <w:b/>
                <w:smallCaps/>
                <w:lang w:val="fr-CA"/>
              </w:rPr>
              <w:t>Appel entendu :</w:t>
            </w:r>
            <w:r w:rsidRPr="00C23742">
              <w:rPr>
                <w:lang w:val="fr-CA"/>
              </w:rPr>
              <w:t xml:space="preserve"> </w:t>
            </w:r>
            <w:r w:rsidR="006B4F1D" w:rsidRPr="00C23742">
              <w:rPr>
                <w:lang w:val="fr-CA"/>
              </w:rPr>
              <w:t>8</w:t>
            </w:r>
            <w:r w:rsidR="00B0409C" w:rsidRPr="00C23742">
              <w:rPr>
                <w:lang w:val="fr-CA"/>
              </w:rPr>
              <w:t xml:space="preserve"> décembre</w:t>
            </w:r>
            <w:r w:rsidR="00575FF2" w:rsidRPr="00C23742">
              <w:rPr>
                <w:lang w:val="fr-CA"/>
              </w:rPr>
              <w:t xml:space="preserve"> 2021</w:t>
            </w:r>
          </w:p>
          <w:p w:rsidR="002909F6" w:rsidRPr="00C23742" w:rsidRDefault="002909F6" w:rsidP="00CB5B04">
            <w:pPr>
              <w:rPr>
                <w:b/>
                <w:smallCaps/>
                <w:lang w:val="fr-CA"/>
              </w:rPr>
            </w:pPr>
            <w:r w:rsidRPr="00C23742">
              <w:rPr>
                <w:b/>
                <w:smallCaps/>
                <w:lang w:val="fr-CA"/>
              </w:rPr>
              <w:t xml:space="preserve">Jugement rendu : </w:t>
            </w:r>
            <w:r w:rsidR="006B4F1D" w:rsidRPr="00C23742">
              <w:rPr>
                <w:lang w:val="fr-CA"/>
              </w:rPr>
              <w:t>8</w:t>
            </w:r>
            <w:r w:rsidR="00B0409C" w:rsidRPr="00C23742">
              <w:rPr>
                <w:lang w:val="fr-CA"/>
              </w:rPr>
              <w:t xml:space="preserve"> décembre </w:t>
            </w:r>
            <w:r w:rsidR="00575FF2" w:rsidRPr="00C23742">
              <w:rPr>
                <w:lang w:val="fr-CA"/>
              </w:rPr>
              <w:t>2021</w:t>
            </w:r>
          </w:p>
          <w:p w:rsidR="002909F6" w:rsidRPr="00C23742" w:rsidRDefault="002909F6" w:rsidP="00C31D39">
            <w:pPr>
              <w:rPr>
                <w:rFonts w:eastAsia="Calibri"/>
                <w:lang w:val="fr-CA"/>
              </w:rPr>
            </w:pPr>
            <w:r w:rsidRPr="00C23742">
              <w:rPr>
                <w:b/>
                <w:smallCaps/>
                <w:lang w:val="fr-CA"/>
              </w:rPr>
              <w:t>Dossier :</w:t>
            </w:r>
            <w:r w:rsidRPr="00C23742">
              <w:rPr>
                <w:lang w:val="fr-CA"/>
              </w:rPr>
              <w:t xml:space="preserve"> </w:t>
            </w:r>
            <w:r w:rsidR="006B4F1D" w:rsidRPr="00C23742">
              <w:rPr>
                <w:lang w:val="fr-CA"/>
              </w:rPr>
              <w:t>39577</w:t>
            </w:r>
          </w:p>
        </w:tc>
      </w:tr>
      <w:tr w:rsidR="002909F6" w:rsidRPr="00C23742" w:rsidTr="00B1431F">
        <w:tc>
          <w:tcPr>
            <w:tcW w:w="5000" w:type="pct"/>
            <w:gridSpan w:val="4"/>
          </w:tcPr>
          <w:p w:rsidR="00506A78" w:rsidRPr="00C23742" w:rsidRDefault="00506A78" w:rsidP="00883F8A">
            <w:pPr>
              <w:rPr>
                <w:rFonts w:eastAsiaTheme="minorHAnsi" w:cstheme="minorBidi"/>
                <w:b/>
                <w:smallCaps/>
                <w:szCs w:val="24"/>
                <w:lang w:val="fr-CA" w:eastAsia="en-US"/>
              </w:rPr>
            </w:pPr>
          </w:p>
          <w:p w:rsidR="00883F8A" w:rsidRPr="00C23742" w:rsidRDefault="00B0409C" w:rsidP="00883F8A">
            <w:pPr>
              <w:rPr>
                <w:rFonts w:eastAsiaTheme="minorHAnsi" w:cstheme="minorBidi"/>
                <w:b/>
                <w:smallCaps/>
                <w:szCs w:val="24"/>
                <w:lang w:val="fr-CA" w:eastAsia="en-US"/>
              </w:rPr>
            </w:pPr>
            <w:r w:rsidRPr="00C23742">
              <w:rPr>
                <w:rFonts w:eastAsiaTheme="minorHAnsi" w:cstheme="minorBidi"/>
                <w:b/>
                <w:smallCaps/>
                <w:szCs w:val="24"/>
                <w:lang w:val="fr-CA" w:eastAsia="en-US"/>
              </w:rPr>
              <w:t>Entre </w:t>
            </w:r>
            <w:r w:rsidR="00883F8A" w:rsidRPr="00C23742">
              <w:rPr>
                <w:rFonts w:eastAsiaTheme="minorHAnsi" w:cstheme="minorBidi"/>
                <w:b/>
                <w:smallCaps/>
                <w:szCs w:val="24"/>
                <w:lang w:val="fr-CA" w:eastAsia="en-US"/>
              </w:rPr>
              <w:t>:</w:t>
            </w:r>
          </w:p>
          <w:p w:rsidR="006B4F1D" w:rsidRPr="00C23742" w:rsidRDefault="006B4F1D" w:rsidP="00883F8A">
            <w:pPr>
              <w:jc w:val="center"/>
              <w:rPr>
                <w:rFonts w:eastAsiaTheme="minorHAnsi" w:cstheme="minorBidi"/>
                <w:b/>
                <w:bCs/>
                <w:szCs w:val="24"/>
                <w:lang w:val="fr-CA" w:eastAsia="en-US"/>
              </w:rPr>
            </w:pPr>
            <w:r w:rsidRPr="00C23742">
              <w:rPr>
                <w:rFonts w:eastAsiaTheme="minorHAnsi" w:cstheme="minorBidi"/>
                <w:b/>
                <w:bCs/>
                <w:szCs w:val="24"/>
                <w:lang w:val="fr-CA" w:eastAsia="en-US"/>
              </w:rPr>
              <w:t>Alan Teck Meng Lai</w:t>
            </w:r>
          </w:p>
          <w:p w:rsidR="00883F8A" w:rsidRPr="00C23742" w:rsidRDefault="00883F8A" w:rsidP="00883F8A">
            <w:pPr>
              <w:jc w:val="center"/>
              <w:rPr>
                <w:rFonts w:eastAsiaTheme="minorHAnsi" w:cstheme="minorBidi"/>
                <w:szCs w:val="24"/>
                <w:lang w:val="fr-CA" w:eastAsia="en-US"/>
              </w:rPr>
            </w:pPr>
            <w:r w:rsidRPr="00C23742">
              <w:rPr>
                <w:rFonts w:eastAsiaTheme="minorHAnsi" w:cstheme="minorBidi"/>
                <w:szCs w:val="24"/>
                <w:lang w:val="fr-CA" w:eastAsia="en-US"/>
              </w:rPr>
              <w:t>Appelant</w:t>
            </w:r>
          </w:p>
          <w:p w:rsidR="00883F8A" w:rsidRPr="00C23742" w:rsidRDefault="00883F8A" w:rsidP="00883F8A">
            <w:pPr>
              <w:jc w:val="center"/>
              <w:rPr>
                <w:rFonts w:eastAsiaTheme="minorHAnsi" w:cstheme="minorBidi"/>
                <w:szCs w:val="24"/>
                <w:lang w:val="fr-CA" w:eastAsia="en-US"/>
              </w:rPr>
            </w:pPr>
          </w:p>
          <w:p w:rsidR="00883F8A" w:rsidRPr="00C23742" w:rsidRDefault="00883F8A" w:rsidP="00883F8A">
            <w:pPr>
              <w:jc w:val="center"/>
              <w:rPr>
                <w:rFonts w:eastAsiaTheme="minorHAnsi" w:cstheme="minorBidi"/>
                <w:szCs w:val="24"/>
                <w:lang w:val="fr-CA" w:eastAsia="en-US"/>
              </w:rPr>
            </w:pPr>
            <w:r w:rsidRPr="00C23742">
              <w:rPr>
                <w:rFonts w:eastAsiaTheme="minorHAnsi" w:cstheme="minorBidi"/>
                <w:szCs w:val="24"/>
                <w:lang w:val="fr-CA" w:eastAsia="en-US"/>
              </w:rPr>
              <w:t>et</w:t>
            </w:r>
          </w:p>
          <w:p w:rsidR="00883F8A" w:rsidRPr="00C23742" w:rsidRDefault="00883F8A" w:rsidP="00883F8A">
            <w:pPr>
              <w:jc w:val="center"/>
              <w:rPr>
                <w:rFonts w:eastAsiaTheme="minorHAnsi" w:cstheme="minorBidi"/>
                <w:szCs w:val="24"/>
                <w:lang w:val="fr-CA" w:eastAsia="en-US"/>
              </w:rPr>
            </w:pPr>
          </w:p>
          <w:p w:rsidR="00883F8A" w:rsidRPr="00C23742" w:rsidRDefault="003207F1" w:rsidP="00883F8A">
            <w:pPr>
              <w:jc w:val="center"/>
              <w:rPr>
                <w:rFonts w:eastAsiaTheme="minorHAnsi" w:cstheme="minorBidi"/>
                <w:b/>
                <w:szCs w:val="24"/>
                <w:lang w:val="fr-CA" w:eastAsia="en-US"/>
              </w:rPr>
            </w:pPr>
            <w:r w:rsidRPr="00C23742">
              <w:rPr>
                <w:rFonts w:eastAsiaTheme="minorHAnsi" w:cstheme="minorBidi"/>
                <w:b/>
                <w:szCs w:val="24"/>
                <w:lang w:val="fr-CA" w:eastAsia="en-US"/>
              </w:rPr>
              <w:t>Sa Majesté la Reine</w:t>
            </w:r>
          </w:p>
          <w:p w:rsidR="002909F6" w:rsidRPr="00C23742" w:rsidRDefault="00022F2E" w:rsidP="006F7FA0">
            <w:pPr>
              <w:jc w:val="center"/>
              <w:rPr>
                <w:rFonts w:eastAsiaTheme="minorHAnsi" w:cstheme="minorBidi"/>
                <w:szCs w:val="24"/>
                <w:lang w:val="fr-CA" w:eastAsia="en-US"/>
              </w:rPr>
            </w:pPr>
            <w:r w:rsidRPr="00C23742">
              <w:rPr>
                <w:rFonts w:eastAsiaTheme="minorHAnsi" w:cstheme="minorBidi"/>
                <w:szCs w:val="24"/>
                <w:lang w:val="fr-CA" w:eastAsia="en-US"/>
              </w:rPr>
              <w:t>Intimé</w:t>
            </w:r>
            <w:r w:rsidR="003207F1" w:rsidRPr="00C23742">
              <w:rPr>
                <w:rFonts w:eastAsiaTheme="minorHAnsi" w:cstheme="minorBidi"/>
                <w:szCs w:val="24"/>
                <w:lang w:val="fr-CA" w:eastAsia="en-US"/>
              </w:rPr>
              <w:t>e</w:t>
            </w:r>
          </w:p>
          <w:p w:rsidR="006F7FA0" w:rsidRPr="00C23742" w:rsidRDefault="006F7FA0" w:rsidP="00425158">
            <w:pPr>
              <w:rPr>
                <w:rFonts w:eastAsiaTheme="minorHAnsi" w:cstheme="minorBidi"/>
                <w:szCs w:val="24"/>
                <w:lang w:val="fr-CA" w:eastAsia="en-US"/>
              </w:rPr>
            </w:pPr>
          </w:p>
          <w:p w:rsidR="00E1000C" w:rsidRPr="00C23742" w:rsidRDefault="00E1000C" w:rsidP="006F7FA0">
            <w:pPr>
              <w:jc w:val="center"/>
              <w:rPr>
                <w:rFonts w:eastAsiaTheme="minorHAnsi" w:cstheme="minorBidi"/>
                <w:szCs w:val="24"/>
                <w:lang w:val="fr-CA" w:eastAsia="en-US"/>
              </w:rPr>
            </w:pPr>
          </w:p>
          <w:p w:rsidR="00E1000C" w:rsidRPr="00C23742" w:rsidRDefault="00E1000C" w:rsidP="006F7FA0">
            <w:pPr>
              <w:jc w:val="center"/>
              <w:rPr>
                <w:rFonts w:eastAsiaTheme="minorHAnsi" w:cstheme="minorBidi"/>
                <w:szCs w:val="24"/>
                <w:lang w:val="fr-CA" w:eastAsia="en-US"/>
              </w:rPr>
            </w:pPr>
            <w:r w:rsidRPr="00C23742">
              <w:rPr>
                <w:b/>
                <w:smallCaps/>
                <w:lang w:val="fr-CA"/>
              </w:rPr>
              <w:t>Traduction française officielle</w:t>
            </w:r>
          </w:p>
        </w:tc>
      </w:tr>
    </w:tbl>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411"/>
        <w:gridCol w:w="7653"/>
        <w:gridCol w:w="22"/>
      </w:tblGrid>
      <w:tr w:rsidR="00E92347" w:rsidRPr="002B7B28" w:rsidTr="00E92347">
        <w:trPr>
          <w:cantSplit/>
          <w:trHeight w:val="508"/>
        </w:trPr>
        <w:tc>
          <w:tcPr>
            <w:tcW w:w="5000" w:type="pct"/>
            <w:gridSpan w:val="3"/>
            <w:tcMar>
              <w:top w:w="284" w:type="dxa"/>
              <w:bottom w:w="57" w:type="dxa"/>
            </w:tcMar>
            <w:vAlign w:val="center"/>
          </w:tcPr>
          <w:p w:rsidR="00EC34E9" w:rsidRPr="00C23742" w:rsidRDefault="00CB5B04" w:rsidP="00EC34E9">
            <w:pPr>
              <w:rPr>
                <w:lang w:val="fr-CA"/>
              </w:rPr>
            </w:pPr>
            <w:r w:rsidRPr="00C23742">
              <w:rPr>
                <w:b/>
                <w:smallCaps/>
                <w:lang w:val="fr-CA"/>
              </w:rPr>
              <w:t>Coram :</w:t>
            </w:r>
            <w:r w:rsidRPr="00C23742">
              <w:rPr>
                <w:lang w:val="fr-CA"/>
              </w:rPr>
              <w:t xml:space="preserve"> Le juge en </w:t>
            </w:r>
            <w:r w:rsidR="00517BC7" w:rsidRPr="00C23742">
              <w:rPr>
                <w:lang w:val="fr-CA"/>
              </w:rPr>
              <w:t xml:space="preserve">chef Wagner et les juges </w:t>
            </w:r>
            <w:r w:rsidR="00EC34E9" w:rsidRPr="00C23742">
              <w:rPr>
                <w:lang w:val="fr-CA"/>
              </w:rPr>
              <w:t>Moldaver, Karakatsanis, Côté, Brown, Rowe, Martin, Kasirer et Jamal</w:t>
            </w:r>
          </w:p>
          <w:p w:rsidR="00E92347" w:rsidRPr="00C23742" w:rsidRDefault="00E92347" w:rsidP="00E1000C">
            <w:pPr>
              <w:rPr>
                <w:lang w:val="fr-CA"/>
              </w:rPr>
            </w:pPr>
          </w:p>
        </w:tc>
      </w:tr>
      <w:tr w:rsidR="005966EF" w:rsidRPr="00C23742" w:rsidTr="0026412B">
        <w:trPr>
          <w:gridAfter w:val="1"/>
          <w:wAfter w:w="11" w:type="pct"/>
          <w:cantSplit/>
        </w:trPr>
        <w:tc>
          <w:tcPr>
            <w:tcW w:w="1195" w:type="pct"/>
            <w:tcMar>
              <w:top w:w="284" w:type="dxa"/>
              <w:bottom w:w="57" w:type="dxa"/>
            </w:tcMar>
            <w:vAlign w:val="center"/>
          </w:tcPr>
          <w:p w:rsidR="005966EF" w:rsidRPr="00C23742" w:rsidRDefault="005966EF" w:rsidP="0026412B">
            <w:pPr>
              <w:rPr>
                <w:b/>
                <w:smallCaps/>
                <w:lang w:val="fr-CA"/>
              </w:rPr>
            </w:pPr>
            <w:r w:rsidRPr="00C23742">
              <w:rPr>
                <w:b/>
                <w:smallCaps/>
                <w:lang w:val="fr-CA"/>
              </w:rPr>
              <w:t>Jugement</w:t>
            </w:r>
            <w:r w:rsidR="00AB59C4" w:rsidRPr="00C23742">
              <w:rPr>
                <w:b/>
                <w:smallCaps/>
                <w:lang w:val="fr-CA"/>
              </w:rPr>
              <w:t xml:space="preserve"> lu par :</w:t>
            </w:r>
            <w:r w:rsidRPr="00C23742">
              <w:rPr>
                <w:b/>
                <w:smallCaps/>
                <w:lang w:val="fr-CA"/>
              </w:rPr>
              <w:t xml:space="preserve"> </w:t>
            </w:r>
          </w:p>
          <w:p w:rsidR="005966EF" w:rsidRPr="00C23742" w:rsidRDefault="005966EF" w:rsidP="008D0BDF">
            <w:pPr>
              <w:rPr>
                <w:b/>
                <w:smallCaps/>
                <w:lang w:val="fr-CA"/>
              </w:rPr>
            </w:pPr>
            <w:r w:rsidRPr="00C23742">
              <w:rPr>
                <w:lang w:val="fr-CA"/>
              </w:rPr>
              <w:t>(</w:t>
            </w:r>
            <w:r w:rsidR="002D3505" w:rsidRPr="00C23742">
              <w:rPr>
                <w:lang w:val="fr-CA"/>
              </w:rPr>
              <w:t>par. </w:t>
            </w:r>
            <w:r w:rsidR="00EB0D87" w:rsidRPr="00C23742">
              <w:rPr>
                <w:lang w:val="fr-CA"/>
              </w:rPr>
              <w:t>1</w:t>
            </w:r>
            <w:r w:rsidR="00B838B8" w:rsidRPr="00C23742">
              <w:rPr>
                <w:lang w:val="fr-CA"/>
              </w:rPr>
              <w:t xml:space="preserve"> à </w:t>
            </w:r>
            <w:r w:rsidR="008D0BDF" w:rsidRPr="00C23742">
              <w:rPr>
                <w:lang w:val="fr-CA"/>
              </w:rPr>
              <w:t>5</w:t>
            </w:r>
            <w:r w:rsidRPr="00C23742">
              <w:rPr>
                <w:lang w:val="fr-CA"/>
              </w:rPr>
              <w:t>)</w:t>
            </w:r>
          </w:p>
        </w:tc>
        <w:tc>
          <w:tcPr>
            <w:tcW w:w="3794" w:type="pct"/>
            <w:tcMar>
              <w:top w:w="284" w:type="dxa"/>
            </w:tcMar>
            <w:vAlign w:val="center"/>
          </w:tcPr>
          <w:p w:rsidR="00B1431F" w:rsidRPr="00C23742" w:rsidRDefault="00640645" w:rsidP="005C617A">
            <w:pPr>
              <w:rPr>
                <w:lang w:val="fr-CA"/>
              </w:rPr>
            </w:pPr>
            <w:r w:rsidRPr="00C23742">
              <w:rPr>
                <w:lang w:val="fr-CA"/>
              </w:rPr>
              <w:t>Le juge Moldaver</w:t>
            </w:r>
          </w:p>
        </w:tc>
      </w:tr>
      <w:tr w:rsidR="00381C49" w:rsidRPr="002B7B28" w:rsidTr="0026412B">
        <w:trPr>
          <w:gridAfter w:val="1"/>
          <w:wAfter w:w="11" w:type="pct"/>
          <w:cantSplit/>
        </w:trPr>
        <w:tc>
          <w:tcPr>
            <w:tcW w:w="1195" w:type="pct"/>
            <w:tcMar>
              <w:top w:w="284" w:type="dxa"/>
              <w:bottom w:w="57" w:type="dxa"/>
            </w:tcMar>
            <w:vAlign w:val="center"/>
          </w:tcPr>
          <w:p w:rsidR="00381C49" w:rsidRPr="00C23742" w:rsidRDefault="00381C49" w:rsidP="0026412B">
            <w:pPr>
              <w:rPr>
                <w:b/>
                <w:smallCaps/>
                <w:lang w:val="fr-CA"/>
              </w:rPr>
            </w:pPr>
            <w:r w:rsidRPr="00C23742">
              <w:rPr>
                <w:b/>
                <w:smallCaps/>
                <w:lang w:val="fr-CA"/>
              </w:rPr>
              <w:t>Majorité :</w:t>
            </w:r>
          </w:p>
        </w:tc>
        <w:tc>
          <w:tcPr>
            <w:tcW w:w="3794" w:type="pct"/>
            <w:tcMar>
              <w:top w:w="284" w:type="dxa"/>
            </w:tcMar>
            <w:vAlign w:val="center"/>
          </w:tcPr>
          <w:p w:rsidR="00381C49" w:rsidRPr="00C23742" w:rsidRDefault="00640645" w:rsidP="0026412B">
            <w:pPr>
              <w:rPr>
                <w:lang w:val="fr-CA"/>
              </w:rPr>
            </w:pPr>
            <w:r w:rsidRPr="00C23742">
              <w:rPr>
                <w:lang w:val="fr-CA"/>
              </w:rPr>
              <w:t>Le juge en chef Wagner et les juges Moldaver, Karakatsanis, Brown, Rowe, Martin, Kasirer et Jamal</w:t>
            </w:r>
          </w:p>
        </w:tc>
      </w:tr>
      <w:tr w:rsidR="00381C49" w:rsidRPr="00C23742" w:rsidTr="0026412B">
        <w:trPr>
          <w:gridAfter w:val="1"/>
          <w:wAfter w:w="11" w:type="pct"/>
          <w:cantSplit/>
        </w:trPr>
        <w:tc>
          <w:tcPr>
            <w:tcW w:w="1195" w:type="pct"/>
            <w:tcMar>
              <w:top w:w="284" w:type="dxa"/>
              <w:bottom w:w="57" w:type="dxa"/>
            </w:tcMar>
            <w:vAlign w:val="center"/>
          </w:tcPr>
          <w:p w:rsidR="00381C49" w:rsidRPr="00C23742" w:rsidRDefault="00381C49" w:rsidP="0026412B">
            <w:pPr>
              <w:rPr>
                <w:b/>
                <w:smallCaps/>
                <w:lang w:val="fr-CA"/>
              </w:rPr>
            </w:pPr>
            <w:r w:rsidRPr="00C23742">
              <w:rPr>
                <w:b/>
                <w:smallCaps/>
                <w:lang w:val="fr-CA"/>
              </w:rPr>
              <w:t>Dissidence :</w:t>
            </w:r>
          </w:p>
        </w:tc>
        <w:tc>
          <w:tcPr>
            <w:tcW w:w="3794" w:type="pct"/>
            <w:tcMar>
              <w:top w:w="284" w:type="dxa"/>
            </w:tcMar>
            <w:vAlign w:val="center"/>
          </w:tcPr>
          <w:p w:rsidR="00983AF6" w:rsidRPr="00C23742" w:rsidRDefault="00CB793C" w:rsidP="0026412B">
            <w:pPr>
              <w:rPr>
                <w:lang w:val="fr-CA"/>
              </w:rPr>
            </w:pPr>
            <w:r w:rsidRPr="00C23742">
              <w:rPr>
                <w:lang w:val="fr-CA"/>
              </w:rPr>
              <w:t>La juge Côté</w:t>
            </w:r>
          </w:p>
        </w:tc>
      </w:tr>
    </w:tbl>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0080"/>
      </w:tblGrid>
      <w:tr w:rsidR="00F43876" w:rsidRPr="00C23742" w:rsidTr="00F43876">
        <w:tc>
          <w:tcPr>
            <w:tcW w:w="10080" w:type="dxa"/>
          </w:tcPr>
          <w:p w:rsidR="00801B60" w:rsidRPr="00C23742" w:rsidRDefault="00801B60" w:rsidP="00425158">
            <w:pPr>
              <w:jc w:val="both"/>
              <w:rPr>
                <w:lang w:val="fr-CA"/>
              </w:rPr>
            </w:pPr>
          </w:p>
        </w:tc>
      </w:tr>
    </w:tbl>
    <w:p w:rsidR="007B3D74" w:rsidRPr="00C23742" w:rsidRDefault="00A9085B" w:rsidP="007B3D74">
      <w:pPr>
        <w:spacing w:before="100" w:beforeAutospacing="1"/>
        <w:rPr>
          <w:rFonts w:eastAsia="Calibri"/>
          <w:szCs w:val="24"/>
          <w:lang w:val="fr-CA" w:eastAsia="en-US"/>
        </w:rPr>
      </w:pPr>
      <w:r w:rsidRPr="00C23742">
        <w:rPr>
          <w:rFonts w:eastAsia="Calibri"/>
          <w:b/>
          <w:smallCaps/>
          <w:szCs w:val="24"/>
          <w:lang w:val="fr-CA" w:eastAsia="en-US"/>
        </w:rPr>
        <w:t>Note :</w:t>
      </w:r>
      <w:r w:rsidR="00C22905" w:rsidRPr="00C23742">
        <w:rPr>
          <w:rFonts w:eastAsia="Calibri"/>
          <w:szCs w:val="24"/>
          <w:lang w:val="fr-CA" w:eastAsia="en-US"/>
        </w:rPr>
        <w:t xml:space="preserve"> </w:t>
      </w:r>
      <w:r w:rsidRPr="00C23742">
        <w:rPr>
          <w:lang w:val="fr-CA"/>
        </w:rPr>
        <w:t xml:space="preserve">Ce document fera l’objet de retouches de forme avant la parution de sa version définitive dans le </w:t>
      </w:r>
      <w:r w:rsidRPr="00C23742">
        <w:rPr>
          <w:i/>
          <w:lang w:val="fr-CA"/>
        </w:rPr>
        <w:t>Recueil des arrêts de la Cour suprême du Canada</w:t>
      </w:r>
      <w:r w:rsidRPr="00C23742">
        <w:rPr>
          <w:lang w:val="fr-CA"/>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gridCol w:w="4034"/>
        <w:gridCol w:w="3026"/>
      </w:tblGrid>
      <w:tr w:rsidR="007B3D74" w:rsidRPr="002B7B28" w:rsidTr="00653AAD">
        <w:tc>
          <w:tcPr>
            <w:tcW w:w="1500" w:type="pct"/>
            <w:tcMar>
              <w:top w:w="284" w:type="dxa"/>
            </w:tcMar>
          </w:tcPr>
          <w:p w:rsidR="007B3D74" w:rsidRPr="00C23742" w:rsidRDefault="007B3D74" w:rsidP="00653AAD">
            <w:pPr>
              <w:rPr>
                <w:rFonts w:eastAsia="Calibri"/>
                <w:szCs w:val="24"/>
                <w:lang w:val="fr-CA" w:eastAsia="en-US"/>
              </w:rPr>
            </w:pPr>
          </w:p>
        </w:tc>
        <w:tc>
          <w:tcPr>
            <w:tcW w:w="2000" w:type="pct"/>
            <w:tcBorders>
              <w:bottom w:val="single" w:sz="4" w:space="0" w:color="auto"/>
            </w:tcBorders>
            <w:tcMar>
              <w:top w:w="284" w:type="dxa"/>
            </w:tcMar>
          </w:tcPr>
          <w:p w:rsidR="007B3D74" w:rsidRPr="00C23742" w:rsidRDefault="007B3D74" w:rsidP="00653AAD">
            <w:pPr>
              <w:rPr>
                <w:rFonts w:eastAsia="Calibri"/>
                <w:szCs w:val="24"/>
                <w:lang w:val="fr-CA" w:eastAsia="en-US"/>
              </w:rPr>
            </w:pPr>
          </w:p>
        </w:tc>
        <w:tc>
          <w:tcPr>
            <w:tcW w:w="1500" w:type="pct"/>
            <w:tcMar>
              <w:top w:w="284" w:type="dxa"/>
            </w:tcMar>
          </w:tcPr>
          <w:p w:rsidR="007B3D74" w:rsidRPr="00C23742" w:rsidRDefault="007B3D74" w:rsidP="00653AAD">
            <w:pPr>
              <w:rPr>
                <w:rFonts w:eastAsia="Calibri"/>
                <w:szCs w:val="24"/>
                <w:lang w:val="fr-CA" w:eastAsia="en-US"/>
              </w:rPr>
            </w:pPr>
          </w:p>
        </w:tc>
      </w:tr>
    </w:tbl>
    <w:p w:rsidR="007B3D74" w:rsidRPr="00C23742" w:rsidRDefault="007B3D74" w:rsidP="007B3D74">
      <w:pPr>
        <w:rPr>
          <w:rFonts w:eastAsia="Calibri"/>
          <w:szCs w:val="24"/>
          <w:lang w:val="fr-CA" w:eastAsia="en-US"/>
        </w:rPr>
        <w:sectPr w:rsidR="007B3D74" w:rsidRPr="00C23742" w:rsidSect="00E92347">
          <w:headerReference w:type="even" r:id="rId9"/>
          <w:headerReference w:type="default" r:id="rId10"/>
          <w:footerReference w:type="even" r:id="rId11"/>
          <w:footerReference w:type="default" r:id="rId12"/>
          <w:headerReference w:type="first" r:id="rId13"/>
          <w:footerReference w:type="first" r:id="rId14"/>
          <w:pgSz w:w="12240" w:h="15840"/>
          <w:pgMar w:top="1134" w:right="1077" w:bottom="1134" w:left="1077" w:header="1803" w:footer="720" w:gutter="0"/>
          <w:cols w:space="720"/>
          <w:docGrid w:linePitch="326"/>
        </w:sectPr>
      </w:pPr>
    </w:p>
    <w:p w:rsidR="00C23742" w:rsidRPr="00C23742" w:rsidRDefault="00C23742" w:rsidP="00C23742">
      <w:pPr>
        <w:pStyle w:val="SCCLsocLastPartyInRole"/>
        <w:spacing w:after="480" w:line="480" w:lineRule="auto"/>
        <w:rPr>
          <w:lang w:val="fr-CA"/>
        </w:rPr>
      </w:pPr>
      <w:r w:rsidRPr="00C23742">
        <w:rPr>
          <w:bCs/>
          <w:lang w:val="fr-CA"/>
        </w:rPr>
        <w:lastRenderedPageBreak/>
        <w:t>Alan Teck Meng Lai</w:t>
      </w:r>
      <w:r w:rsidRPr="00C23742">
        <w:rPr>
          <w:rStyle w:val="SCCLsocPartyRole"/>
          <w:lang w:val="fr-CA"/>
        </w:rPr>
        <w:tab/>
        <w:t>Appelant</w:t>
      </w:r>
    </w:p>
    <w:p w:rsidR="00C23742" w:rsidRPr="00C23742" w:rsidRDefault="00C23742" w:rsidP="00C23742">
      <w:pPr>
        <w:pStyle w:val="SCCLsocVersus"/>
        <w:spacing w:after="480" w:line="480" w:lineRule="auto"/>
        <w:rPr>
          <w:lang w:val="fr-CA"/>
        </w:rPr>
      </w:pPr>
      <w:proofErr w:type="gramStart"/>
      <w:r w:rsidRPr="00C23742">
        <w:rPr>
          <w:lang w:val="fr-CA"/>
        </w:rPr>
        <w:t>c</w:t>
      </w:r>
      <w:proofErr w:type="gramEnd"/>
      <w:r w:rsidRPr="00C23742">
        <w:rPr>
          <w:lang w:val="fr-CA"/>
        </w:rPr>
        <w:t>.</w:t>
      </w:r>
    </w:p>
    <w:p w:rsidR="00C23742" w:rsidRPr="00C23742" w:rsidRDefault="00C23742" w:rsidP="00C23742">
      <w:pPr>
        <w:pStyle w:val="SCCLsocLastPartyInRole"/>
        <w:spacing w:after="480" w:line="480" w:lineRule="auto"/>
        <w:rPr>
          <w:lang w:val="fr-CA"/>
        </w:rPr>
      </w:pPr>
      <w:r w:rsidRPr="00C23742">
        <w:rPr>
          <w:bCs/>
          <w:lang w:val="fr-CA"/>
        </w:rPr>
        <w:t>Sa Majesté la Reine</w:t>
      </w:r>
      <w:r w:rsidRPr="00C23742">
        <w:rPr>
          <w:rStyle w:val="SCCLsocPartyRole"/>
          <w:lang w:val="fr-CA"/>
        </w:rPr>
        <w:tab/>
        <w:t>Intimée</w:t>
      </w:r>
    </w:p>
    <w:p w:rsidR="00C23742" w:rsidRPr="00C23742" w:rsidRDefault="00C23742" w:rsidP="00C23742">
      <w:pPr>
        <w:spacing w:after="480" w:line="480" w:lineRule="auto"/>
        <w:jc w:val="both"/>
        <w:rPr>
          <w:b/>
          <w:lang w:val="fr-CA"/>
        </w:rPr>
      </w:pPr>
      <w:r w:rsidRPr="00C23742">
        <w:rPr>
          <w:b/>
          <w:lang w:val="fr-CA"/>
        </w:rPr>
        <w:t>Répertorié : R. </w:t>
      </w:r>
      <w:r w:rsidRPr="00C23742">
        <w:rPr>
          <w:b/>
          <w:i/>
          <w:iCs/>
          <w:lang w:val="fr-CA"/>
        </w:rPr>
        <w:t>c.</w:t>
      </w:r>
      <w:r w:rsidRPr="00C23742">
        <w:rPr>
          <w:b/>
          <w:lang w:val="fr-CA"/>
        </w:rPr>
        <w:t> Lai</w:t>
      </w:r>
    </w:p>
    <w:p w:rsidR="00C23742" w:rsidRPr="00C23742" w:rsidRDefault="00C23742" w:rsidP="00C23742">
      <w:pPr>
        <w:pStyle w:val="SCCSystemYear"/>
        <w:spacing w:after="480" w:line="480" w:lineRule="auto"/>
        <w:jc w:val="both"/>
        <w:rPr>
          <w:lang w:val="fr-CA"/>
        </w:rPr>
      </w:pPr>
      <w:r w:rsidRPr="00C23742">
        <w:rPr>
          <w:lang w:val="fr-CA"/>
        </w:rPr>
        <w:t>2021 CSC </w:t>
      </w:r>
      <w:r w:rsidRPr="00C23742">
        <w:rPr>
          <w:rFonts w:ascii="Helvetica Neue" w:hAnsi="Helvetica Neue"/>
          <w:color w:val="333333"/>
          <w:shd w:val="clear" w:color="auto" w:fill="FFFFFF"/>
          <w:lang w:val="fr-CA"/>
        </w:rPr>
        <w:t>52</w:t>
      </w:r>
    </w:p>
    <w:p w:rsidR="00C23742" w:rsidRPr="00C23742" w:rsidRDefault="00C23742" w:rsidP="00C23742">
      <w:pPr>
        <w:spacing w:after="480" w:line="480" w:lineRule="auto"/>
        <w:jc w:val="both"/>
        <w:rPr>
          <w:lang w:val="fr-CA"/>
        </w:rPr>
      </w:pPr>
      <w:r w:rsidRPr="00C23742">
        <w:rPr>
          <w:lang w:val="fr-CA"/>
        </w:rPr>
        <w:t>N</w:t>
      </w:r>
      <w:r w:rsidRPr="00C23742">
        <w:rPr>
          <w:vertAlign w:val="superscript"/>
          <w:lang w:val="fr-CA"/>
        </w:rPr>
        <w:t>o</w:t>
      </w:r>
      <w:r w:rsidRPr="00C23742">
        <w:rPr>
          <w:lang w:val="fr-CA"/>
        </w:rPr>
        <w:t xml:space="preserve"> du greffe : </w:t>
      </w:r>
      <w:r w:rsidRPr="00C23742">
        <w:rPr>
          <w:color w:val="000000"/>
          <w:lang w:val="fr-CA"/>
        </w:rPr>
        <w:t>39577</w:t>
      </w:r>
      <w:r w:rsidRPr="00C23742">
        <w:rPr>
          <w:lang w:val="fr-CA"/>
        </w:rPr>
        <w:t>.</w:t>
      </w:r>
    </w:p>
    <w:p w:rsidR="00C23742" w:rsidRPr="00C23742" w:rsidRDefault="00C23742" w:rsidP="00C23742">
      <w:pPr>
        <w:spacing w:after="480" w:line="480" w:lineRule="auto"/>
        <w:jc w:val="both"/>
        <w:rPr>
          <w:lang w:val="fr-CA"/>
        </w:rPr>
      </w:pPr>
      <w:r w:rsidRPr="00C23742">
        <w:rPr>
          <w:lang w:val="fr-CA"/>
        </w:rPr>
        <w:t>2021 : </w:t>
      </w:r>
      <w:r w:rsidRPr="00C23742">
        <w:rPr>
          <w:color w:val="000000"/>
          <w:lang w:val="fr-CA"/>
        </w:rPr>
        <w:t>8 décembre</w:t>
      </w:r>
      <w:r w:rsidRPr="00C23742">
        <w:rPr>
          <w:lang w:val="fr-CA"/>
        </w:rPr>
        <w:t>.</w:t>
      </w:r>
    </w:p>
    <w:p w:rsidR="00C23742" w:rsidRPr="00C23742" w:rsidRDefault="00C23742" w:rsidP="00C23742">
      <w:pPr>
        <w:spacing w:after="480" w:line="480" w:lineRule="auto"/>
        <w:jc w:val="both"/>
        <w:rPr>
          <w:lang w:val="fr-CA"/>
        </w:rPr>
      </w:pPr>
      <w:r w:rsidRPr="00C23742">
        <w:rPr>
          <w:lang w:val="fr-CA"/>
        </w:rPr>
        <w:t>Présents : </w:t>
      </w:r>
      <w:r w:rsidRPr="00C23742">
        <w:rPr>
          <w:color w:val="000000"/>
          <w:lang w:val="fr-CA"/>
        </w:rPr>
        <w:t>Le juge en chef Wagner et les juges Moldaver, Karakatsanis, Côté, Brown, Rowe, Martin, Kasirer et Jamal.</w:t>
      </w:r>
    </w:p>
    <w:p w:rsidR="00C23742" w:rsidRPr="00C23742" w:rsidRDefault="00C23742" w:rsidP="00C23742">
      <w:pPr>
        <w:spacing w:after="480" w:line="480" w:lineRule="auto"/>
        <w:jc w:val="both"/>
        <w:rPr>
          <w:smallCaps/>
          <w:lang w:val="fr-CA"/>
        </w:rPr>
      </w:pPr>
      <w:r w:rsidRPr="00C23742">
        <w:rPr>
          <w:smallCaps/>
          <w:lang w:val="fr-CA"/>
        </w:rPr>
        <w:t>en appel de la cour d’appel de la colombie</w:t>
      </w:r>
      <w:r w:rsidRPr="00C23742">
        <w:rPr>
          <w:smallCaps/>
          <w:lang w:val="fr-CA"/>
        </w:rPr>
        <w:noBreakHyphen/>
        <w:t>britannique</w:t>
      </w:r>
    </w:p>
    <w:p w:rsidR="00C23742" w:rsidRPr="00C23742" w:rsidRDefault="00C23742" w:rsidP="00C23742">
      <w:pPr>
        <w:pStyle w:val="SCCNormalDoubleSpacing"/>
        <w:spacing w:after="480"/>
        <w:rPr>
          <w:lang w:val="fr-CA"/>
        </w:rPr>
      </w:pPr>
      <w:r w:rsidRPr="00C23742">
        <w:rPr>
          <w:lang w:val="fr-CA"/>
        </w:rPr>
        <w:tab/>
      </w:r>
      <w:r w:rsidRPr="00C23742">
        <w:rPr>
          <w:i/>
          <w:lang w:val="fr-CA"/>
        </w:rPr>
        <w:t xml:space="preserve">Droit constitutionnel — Charte des droits — Procès dans un délai raisonnable — </w:t>
      </w:r>
      <w:r w:rsidRPr="00C23742">
        <w:rPr>
          <w:i/>
          <w:iCs/>
          <w:color w:val="000000"/>
          <w:lang w:val="fr-CA"/>
        </w:rPr>
        <w:t>Mesure transitoire exceptionnelle</w:t>
      </w:r>
      <w:r w:rsidRPr="00C23742">
        <w:rPr>
          <w:i/>
          <w:lang w:val="fr-CA"/>
        </w:rPr>
        <w:t xml:space="preserve"> — Appréciation du délai causé par suite de l’exercice de plein droit de la faculté de choisir un nouveau mode de procès — Demande d’arrêt des procédures présentée par l’accusé pour cause de violation du droit d’être jugé dans un délai raisonnable garanti par l’al. 11b) de la Charte canadienne des droits et libertés — Demande rejetée par le juge du procès au motif que malgré le fait que le délai total dépassait le plafond fixé dans l’arrêt Jordan, il </w:t>
      </w:r>
      <w:r w:rsidRPr="00C23742">
        <w:rPr>
          <w:i/>
          <w:lang w:val="fr-CA"/>
        </w:rPr>
        <w:lastRenderedPageBreak/>
        <w:t xml:space="preserve">était justifié car les parties s’étaient fiées à l’état du droit antérieur à cet arrêt — Accusé déclaré coupable d’agression sexuelle causant des lésions corporelles et d’avoir administré une drogue stupéfiante — Cour d’appel concluant à la majorité que le juge du procès avait erronément qualifié de circonstance exceptionnelle distincte et déduit en tant que telle le délai occasionné par la décision de l’accusé de choisir un nouveau mode de procès qui a entraîné la perte des dates de procès fixées, mais confirmant le rejet de la demande d’arrêt des procédures par application de la mesure </w:t>
      </w:r>
      <w:r w:rsidRPr="00C23742">
        <w:rPr>
          <w:i/>
          <w:iCs/>
          <w:color w:val="000000"/>
          <w:lang w:val="fr-CA"/>
        </w:rPr>
        <w:t xml:space="preserve">transitoire exceptionnelle </w:t>
      </w:r>
      <w:r w:rsidRPr="00C23742">
        <w:rPr>
          <w:i/>
          <w:lang w:val="fr-CA"/>
        </w:rPr>
        <w:t>— Déclarations de culpabilité confirmées.</w:t>
      </w:r>
      <w:r w:rsidRPr="00C23742">
        <w:rPr>
          <w:lang w:val="fr-CA"/>
        </w:rPr>
        <w:t xml:space="preserve"> </w:t>
      </w:r>
    </w:p>
    <w:p w:rsidR="00C23742" w:rsidRPr="00C23742" w:rsidRDefault="00C23742" w:rsidP="00C23742">
      <w:pPr>
        <w:pStyle w:val="SCCNormalDoubleSpacing"/>
        <w:spacing w:after="480"/>
        <w:rPr>
          <w:b/>
          <w:bCs/>
          <w:color w:val="000000"/>
          <w:lang w:val="fr-CA"/>
        </w:rPr>
      </w:pPr>
      <w:r w:rsidRPr="00C23742">
        <w:rPr>
          <w:b/>
          <w:bCs/>
          <w:color w:val="000000"/>
          <w:lang w:val="fr-CA"/>
        </w:rPr>
        <w:t>Jurisprudence</w:t>
      </w:r>
    </w:p>
    <w:p w:rsidR="00C23742" w:rsidRPr="00C23742" w:rsidRDefault="00C23742" w:rsidP="00C23742">
      <w:pPr>
        <w:pStyle w:val="SCCNormalDoubleSpacing"/>
        <w:spacing w:after="480"/>
        <w:rPr>
          <w:bCs/>
          <w:color w:val="000000"/>
          <w:lang w:val="fr-CA"/>
        </w:rPr>
      </w:pPr>
      <w:r w:rsidRPr="00C23742">
        <w:rPr>
          <w:bCs/>
          <w:color w:val="000000"/>
          <w:lang w:val="fr-CA"/>
        </w:rPr>
        <w:tab/>
      </w:r>
      <w:r w:rsidRPr="00C23742">
        <w:rPr>
          <w:b/>
          <w:bCs/>
          <w:color w:val="000000"/>
          <w:lang w:val="fr-CA"/>
        </w:rPr>
        <w:t>Arrêt mentionné :</w:t>
      </w:r>
      <w:r w:rsidRPr="00C23742">
        <w:rPr>
          <w:bCs/>
          <w:color w:val="000000"/>
          <w:lang w:val="fr-CA"/>
        </w:rPr>
        <w:t xml:space="preserve"> </w:t>
      </w:r>
      <w:r w:rsidRPr="00C23742">
        <w:rPr>
          <w:i/>
          <w:iCs/>
          <w:color w:val="000000"/>
          <w:lang w:val="fr-CA"/>
        </w:rPr>
        <w:t>R. c. Cody</w:t>
      </w:r>
      <w:r w:rsidRPr="00C23742">
        <w:rPr>
          <w:color w:val="000000"/>
          <w:lang w:val="fr-CA"/>
        </w:rPr>
        <w:t>, 2017 CSC 31, [2017] 1 R.C.S. 659.</w:t>
      </w:r>
    </w:p>
    <w:p w:rsidR="00C23742" w:rsidRPr="00C23742" w:rsidRDefault="00C23742" w:rsidP="00C23742">
      <w:pPr>
        <w:pStyle w:val="SCCNormalDoubleSpacing"/>
        <w:spacing w:after="480"/>
        <w:rPr>
          <w:lang w:val="fr-CA"/>
        </w:rPr>
      </w:pPr>
      <w:r w:rsidRPr="00C23742">
        <w:rPr>
          <w:lang w:val="fr-CA"/>
        </w:rPr>
        <w:tab/>
        <w:t xml:space="preserve">POURVOI contre un arrêt de la Cour d’appel </w:t>
      </w:r>
      <w:r w:rsidRPr="00C23742">
        <w:rPr>
          <w:color w:val="000000"/>
          <w:lang w:val="fr-CA"/>
        </w:rPr>
        <w:t>de la Colombie</w:t>
      </w:r>
      <w:r w:rsidRPr="00C23742">
        <w:rPr>
          <w:color w:val="000000"/>
          <w:lang w:val="fr-CA"/>
        </w:rPr>
        <w:noBreakHyphen/>
        <w:t>Britannique</w:t>
      </w:r>
      <w:r w:rsidRPr="00C23742">
        <w:rPr>
          <w:lang w:val="fr-CA"/>
        </w:rPr>
        <w:t xml:space="preserve"> (les juges Newbury, Willcock et Butler), </w:t>
      </w:r>
      <w:hyperlink r:id="rId15" w:history="1">
        <w:r w:rsidRPr="00C23742">
          <w:rPr>
            <w:rStyle w:val="Hyperlink"/>
            <w:u w:val="none"/>
            <w:lang w:val="fr-CA"/>
          </w:rPr>
          <w:t>2021 BCCA 105</w:t>
        </w:r>
      </w:hyperlink>
      <w:r w:rsidRPr="00C23742">
        <w:rPr>
          <w:color w:val="000000"/>
          <w:lang w:val="fr-CA"/>
        </w:rPr>
        <w:t xml:space="preserve">, 402 C.C.C. (3d) 1, 466 D.L.R. (4th) 421, 482 C.R.R. (2d) 315, [2021] B.C.J. No. 441 (QL), 2021 CarswellBC 642 (WL), </w:t>
      </w:r>
      <w:r w:rsidRPr="00C23742">
        <w:rPr>
          <w:lang w:val="fr-CA"/>
        </w:rPr>
        <w:t xml:space="preserve">qui a confirmé les déclarations de culpabilité inscrites </w:t>
      </w:r>
      <w:r w:rsidRPr="00C23742">
        <w:rPr>
          <w:color w:val="000000"/>
          <w:lang w:val="fr-CA"/>
        </w:rPr>
        <w:t>par le juge </w:t>
      </w:r>
      <w:r w:rsidRPr="00C23742">
        <w:rPr>
          <w:lang w:val="fr-CA"/>
        </w:rPr>
        <w:t xml:space="preserve">Schultes, 2018 BCSC 1838, </w:t>
      </w:r>
      <w:r w:rsidRPr="00C23742">
        <w:rPr>
          <w:bCs/>
          <w:lang w:val="fr-CA"/>
        </w:rPr>
        <w:t>[2018] B.C.J. No. 3499 (QL), 2018 CarswellBC 2877 (WL). Pourvoi rejeté, la juge Côté est dissidente.</w:t>
      </w:r>
    </w:p>
    <w:p w:rsidR="00C23742" w:rsidRPr="00C23742" w:rsidRDefault="00C23742" w:rsidP="00C23742">
      <w:pPr>
        <w:pStyle w:val="SCCNormalDoubleSpacing"/>
        <w:spacing w:after="480"/>
        <w:rPr>
          <w:color w:val="000000"/>
          <w:szCs w:val="24"/>
          <w:lang w:val="fr-CA" w:eastAsia="en-US"/>
        </w:rPr>
      </w:pPr>
      <w:r w:rsidRPr="00C23742">
        <w:rPr>
          <w:lang w:val="fr-CA"/>
        </w:rPr>
        <w:tab/>
      </w:r>
      <w:r w:rsidRPr="00C23742">
        <w:rPr>
          <w:iCs/>
          <w:lang w:val="fr-CA"/>
        </w:rPr>
        <w:t>Eric Purtzki et Michael Sobkin</w:t>
      </w:r>
      <w:r w:rsidRPr="00C23742">
        <w:rPr>
          <w:color w:val="000000"/>
          <w:szCs w:val="24"/>
          <w:lang w:val="fr-CA" w:eastAsia="en-US"/>
        </w:rPr>
        <w:t xml:space="preserve">, pour </w:t>
      </w:r>
      <w:r w:rsidRPr="00C23742">
        <w:rPr>
          <w:lang w:val="fr-CA"/>
        </w:rPr>
        <w:t>l’appelant</w:t>
      </w:r>
      <w:r w:rsidRPr="00C23742">
        <w:rPr>
          <w:color w:val="000000"/>
          <w:szCs w:val="24"/>
          <w:lang w:val="fr-CA" w:eastAsia="en-US"/>
        </w:rPr>
        <w:t>.</w:t>
      </w:r>
    </w:p>
    <w:p w:rsidR="00C23742" w:rsidRPr="00C23742" w:rsidRDefault="00C23742" w:rsidP="00C23742">
      <w:pPr>
        <w:pStyle w:val="SCCNormalDoubleSpacing"/>
        <w:spacing w:after="480"/>
        <w:rPr>
          <w:color w:val="000000"/>
          <w:szCs w:val="24"/>
          <w:lang w:val="fr-CA" w:eastAsia="en-US"/>
        </w:rPr>
      </w:pPr>
      <w:r w:rsidRPr="00C23742">
        <w:rPr>
          <w:color w:val="000000"/>
          <w:szCs w:val="24"/>
          <w:lang w:val="fr-CA" w:eastAsia="en-US"/>
        </w:rPr>
        <w:tab/>
      </w:r>
      <w:r w:rsidRPr="00C23742">
        <w:rPr>
          <w:i/>
          <w:iCs/>
          <w:lang w:val="fr-CA"/>
        </w:rPr>
        <w:t xml:space="preserve">Lauren A. Chu </w:t>
      </w:r>
      <w:r w:rsidRPr="00C23742">
        <w:rPr>
          <w:iCs/>
          <w:lang w:val="fr-CA"/>
        </w:rPr>
        <w:t>et</w:t>
      </w:r>
      <w:r w:rsidRPr="00C23742">
        <w:rPr>
          <w:i/>
          <w:iCs/>
          <w:lang w:val="fr-CA"/>
        </w:rPr>
        <w:t xml:space="preserve"> Lesley A. Ruzicka</w:t>
      </w:r>
      <w:r w:rsidRPr="00C23742">
        <w:rPr>
          <w:iCs/>
          <w:lang w:val="fr-CA"/>
        </w:rPr>
        <w:t>,</w:t>
      </w:r>
      <w:r w:rsidRPr="00C23742">
        <w:rPr>
          <w:i/>
          <w:iCs/>
          <w:lang w:val="fr-CA"/>
        </w:rPr>
        <w:t xml:space="preserve"> </w:t>
      </w:r>
      <w:proofErr w:type="gramStart"/>
      <w:r w:rsidRPr="00C23742">
        <w:rPr>
          <w:i/>
          <w:iCs/>
          <w:lang w:val="fr-CA"/>
        </w:rPr>
        <w:t>c.r.</w:t>
      </w:r>
      <w:r w:rsidRPr="00C23742">
        <w:rPr>
          <w:color w:val="000000"/>
          <w:szCs w:val="24"/>
          <w:lang w:val="fr-CA" w:eastAsia="en-US"/>
        </w:rPr>
        <w:t>,</w:t>
      </w:r>
      <w:proofErr w:type="gramEnd"/>
      <w:r w:rsidRPr="00C23742">
        <w:rPr>
          <w:color w:val="000000"/>
          <w:szCs w:val="24"/>
          <w:lang w:val="fr-CA" w:eastAsia="en-US"/>
        </w:rPr>
        <w:t xml:space="preserve"> pour </w:t>
      </w:r>
      <w:r w:rsidRPr="00C23742">
        <w:rPr>
          <w:lang w:val="fr-CA"/>
        </w:rPr>
        <w:t>l’intimée</w:t>
      </w:r>
      <w:r w:rsidRPr="00C23742">
        <w:rPr>
          <w:color w:val="000000"/>
          <w:szCs w:val="24"/>
          <w:lang w:val="fr-CA" w:eastAsia="en-US"/>
        </w:rPr>
        <w:t>.</w:t>
      </w:r>
    </w:p>
    <w:p w:rsidR="00C23742" w:rsidRPr="00C23742" w:rsidRDefault="00C23742" w:rsidP="00C23742">
      <w:pPr>
        <w:pStyle w:val="SCCNormalDoubleSpacing"/>
        <w:spacing w:after="480"/>
        <w:rPr>
          <w:color w:val="000000"/>
          <w:lang w:val="fr-CA"/>
        </w:rPr>
      </w:pPr>
      <w:r w:rsidRPr="00C23742">
        <w:rPr>
          <w:color w:val="000000"/>
          <w:lang w:val="fr-CA"/>
        </w:rPr>
        <w:tab/>
        <w:t xml:space="preserve">Version française du jugement de la Cour </w:t>
      </w:r>
      <w:r w:rsidRPr="00C23742">
        <w:rPr>
          <w:lang w:val="fr-CA"/>
        </w:rPr>
        <w:t>rendu</w:t>
      </w:r>
      <w:r w:rsidRPr="00C23742">
        <w:rPr>
          <w:color w:val="000000"/>
          <w:lang w:val="fr-CA"/>
        </w:rPr>
        <w:t xml:space="preserve"> oralement par</w:t>
      </w:r>
    </w:p>
    <w:p w:rsidR="00C23742" w:rsidRPr="00C23742" w:rsidRDefault="00C23742" w:rsidP="00C23742">
      <w:pPr>
        <w:pStyle w:val="ParaNoNdepar-AltN"/>
        <w:numPr>
          <w:ilvl w:val="0"/>
          <w:numId w:val="0"/>
        </w:numPr>
        <w:rPr>
          <w:color w:val="000000"/>
          <w:szCs w:val="27"/>
          <w:lang w:val="fr-CA"/>
        </w:rPr>
      </w:pPr>
      <w:r w:rsidRPr="00C23742">
        <w:rPr>
          <w:lang w:val="fr-CA"/>
        </w:rPr>
        <w:t>[1]</w:t>
      </w:r>
      <w:r w:rsidRPr="00C23742">
        <w:rPr>
          <w:lang w:val="fr-CA"/>
        </w:rPr>
        <w:tab/>
      </w:r>
      <w:r w:rsidRPr="00C23742">
        <w:rPr>
          <w:smallCaps/>
          <w:color w:val="000000"/>
          <w:szCs w:val="27"/>
          <w:lang w:val="fr-CA"/>
        </w:rPr>
        <w:t>Le juge Moldaver</w:t>
      </w:r>
      <w:r w:rsidRPr="00C23742">
        <w:rPr>
          <w:color w:val="000000"/>
          <w:szCs w:val="27"/>
          <w:lang w:val="fr-CA"/>
        </w:rPr>
        <w:t xml:space="preserve"> — Dans l’arrêt </w:t>
      </w:r>
      <w:r w:rsidRPr="00C23742">
        <w:rPr>
          <w:i/>
          <w:iCs/>
          <w:color w:val="000000"/>
          <w:szCs w:val="27"/>
          <w:lang w:val="fr-CA"/>
        </w:rPr>
        <w:t>R. c. Cody</w:t>
      </w:r>
      <w:r w:rsidRPr="00C23742">
        <w:rPr>
          <w:color w:val="000000"/>
          <w:szCs w:val="27"/>
          <w:lang w:val="fr-CA"/>
        </w:rPr>
        <w:t xml:space="preserve">, 2017 CSC 31, [2017] 1 R.C.S. 659, par. 32, il est </w:t>
      </w:r>
      <w:r w:rsidRPr="00C23742">
        <w:rPr>
          <w:color w:val="000000"/>
          <w:szCs w:val="24"/>
          <w:lang w:val="fr-CA"/>
        </w:rPr>
        <w:t>énoncé</w:t>
      </w:r>
      <w:r w:rsidRPr="00C23742">
        <w:rPr>
          <w:color w:val="000000"/>
          <w:szCs w:val="27"/>
          <w:lang w:val="fr-CA"/>
        </w:rPr>
        <w:t xml:space="preserve"> ce qui suit :</w:t>
      </w:r>
    </w:p>
    <w:p w:rsidR="00C23742" w:rsidRPr="00C23742" w:rsidRDefault="00C23742" w:rsidP="00C23742">
      <w:pPr>
        <w:pStyle w:val="Citation-AltC"/>
        <w:ind w:left="1168" w:hanging="1168"/>
        <w:contextualSpacing w:val="0"/>
        <w:rPr>
          <w:color w:val="000000"/>
          <w:szCs w:val="27"/>
          <w:lang w:val="fr-CA" w:eastAsia="en-US"/>
        </w:rPr>
      </w:pPr>
      <w:r w:rsidRPr="00C23742">
        <w:rPr>
          <w:color w:val="000000"/>
          <w:szCs w:val="27"/>
          <w:lang w:val="fr-CA" w:eastAsia="en-US"/>
        </w:rPr>
        <w:tab/>
      </w:r>
      <w:r w:rsidRPr="00C23742">
        <w:rPr>
          <w:color w:val="000000"/>
          <w:szCs w:val="27"/>
          <w:lang w:val="fr-CA" w:eastAsia="en-US"/>
        </w:rPr>
        <w:tab/>
        <w:t xml:space="preserve">La notion de conduite de la défense vise autant le fond que la procédure — la décision de prendre une mesure, </w:t>
      </w:r>
      <w:r w:rsidRPr="00C23742">
        <w:rPr>
          <w:i/>
          <w:iCs/>
          <w:color w:val="000000"/>
          <w:szCs w:val="27"/>
          <w:lang w:val="fr-CA" w:eastAsia="en-US"/>
        </w:rPr>
        <w:t>ainsi que la manière dont celle</w:t>
      </w:r>
      <w:r w:rsidRPr="00C23742">
        <w:rPr>
          <w:i/>
          <w:iCs/>
          <w:color w:val="000000"/>
          <w:szCs w:val="27"/>
          <w:lang w:val="fr-CA" w:eastAsia="en-US"/>
        </w:rPr>
        <w:noBreakHyphen/>
        <w:t>ci est exécutée</w:t>
      </w:r>
      <w:r w:rsidRPr="00C23742">
        <w:rPr>
          <w:color w:val="000000"/>
          <w:szCs w:val="27"/>
          <w:lang w:val="fr-CA" w:eastAsia="en-US"/>
        </w:rPr>
        <w:t xml:space="preserve">, sont </w:t>
      </w:r>
      <w:r w:rsidRPr="00C23742">
        <w:rPr>
          <w:lang w:val="fr-CA"/>
        </w:rPr>
        <w:t>toutes</w:t>
      </w:r>
      <w:r w:rsidRPr="00C23742">
        <w:rPr>
          <w:color w:val="000000"/>
          <w:szCs w:val="27"/>
          <w:lang w:val="fr-CA" w:eastAsia="en-US"/>
        </w:rPr>
        <w:t xml:space="preserve"> deux susceptibles d’examen. Pour déterminer si une action de la défense a été prise légitimement en vue de répondre aux accusations, les circonstances entourant l’action ou la conduite peuvent donc être prises en considération. [En italique dans l’original.]</w:t>
      </w:r>
    </w:p>
    <w:p w:rsidR="00C23742" w:rsidRPr="00C23742" w:rsidRDefault="00C23742" w:rsidP="00C23742">
      <w:pPr>
        <w:pStyle w:val="ParaNoNdepar-AltN"/>
        <w:numPr>
          <w:ilvl w:val="0"/>
          <w:numId w:val="0"/>
        </w:numPr>
        <w:rPr>
          <w:lang w:val="fr-CA"/>
        </w:rPr>
      </w:pPr>
      <w:r w:rsidRPr="00C23742">
        <w:rPr>
          <w:lang w:val="fr-CA"/>
        </w:rPr>
        <w:t>[2]</w:t>
      </w:r>
      <w:r w:rsidRPr="00C23742">
        <w:rPr>
          <w:lang w:val="fr-CA"/>
        </w:rPr>
        <w:tab/>
      </w:r>
      <w:r w:rsidRPr="00C23742">
        <w:rPr>
          <w:color w:val="000000"/>
          <w:lang w:val="fr-CA"/>
        </w:rPr>
        <w:t xml:space="preserve">En l’espèce, l’appelant, M. Lai, était autorisé par la loi à choisir un nouveau mode de </w:t>
      </w:r>
      <w:r w:rsidRPr="00C23742">
        <w:rPr>
          <w:color w:val="000000"/>
          <w:szCs w:val="24"/>
          <w:lang w:val="fr-CA"/>
        </w:rPr>
        <w:t>procès</w:t>
      </w:r>
      <w:r w:rsidRPr="00C23742">
        <w:rPr>
          <w:color w:val="000000"/>
          <w:lang w:val="fr-CA"/>
        </w:rPr>
        <w:t xml:space="preserve"> au moment où il l’a fait — mais il a attendu 15 mois après que les dates pour son procès en Cour provinciale avaient été fixées avant d’effectuer ce choix. Il a agi ainsi malgré le fait que la procureure de la Couronne l’avait informé qu’en faisant son nouveau choix plus tôt, il pourrait préserver les dates fixées pour son procès. Il a néanmoins attendu 7 mois après cette mise en garde pour exercer son droit de choisir un nouveau mode de procès. Cette conduite a eu pour conséquence directe d’entraîner la perte des dates de procès qui avaient été fixées en Cour provinciale et de causer un délai additionnel de 13 mois.</w:t>
      </w:r>
    </w:p>
    <w:p w:rsidR="00C23742" w:rsidRPr="00C23742" w:rsidRDefault="00C23742" w:rsidP="00C23742">
      <w:pPr>
        <w:pStyle w:val="ParaNoNdepar-AltN"/>
        <w:numPr>
          <w:ilvl w:val="0"/>
          <w:numId w:val="0"/>
        </w:numPr>
        <w:rPr>
          <w:lang w:val="fr-CA"/>
        </w:rPr>
      </w:pPr>
      <w:r w:rsidRPr="00C23742">
        <w:rPr>
          <w:lang w:val="fr-CA"/>
        </w:rPr>
        <w:t>[3]</w:t>
      </w:r>
      <w:r w:rsidRPr="00C23742">
        <w:rPr>
          <w:lang w:val="fr-CA"/>
        </w:rPr>
        <w:tab/>
      </w:r>
      <w:r w:rsidRPr="00C23742">
        <w:rPr>
          <w:color w:val="000000"/>
          <w:lang w:val="fr-CA"/>
        </w:rPr>
        <w:t>Le juge du procès a rejeté l’explication de M. Lai concernant le choix du nouveau mode de procès (2018 BCSC 867). Selon les constatations et conclusions du juge du procès lui</w:t>
      </w:r>
      <w:r w:rsidRPr="00C23742">
        <w:rPr>
          <w:color w:val="000000"/>
          <w:lang w:val="fr-CA"/>
        </w:rPr>
        <w:noBreakHyphen/>
        <w:t>même, le choix du nouveau mode de procès n’a pas été effectué légitimement pour répondre aux accusations. Dans cette mesure, le juge du procès a fait erreur en ne qualifiant pas le délai de délai imputable à la défense et en ne le déduisant pas comme tel.</w:t>
      </w:r>
    </w:p>
    <w:p w:rsidR="00C23742" w:rsidRPr="00C23742" w:rsidRDefault="00C23742" w:rsidP="00C23742">
      <w:pPr>
        <w:pStyle w:val="ParaNoNdepar-AltN"/>
        <w:numPr>
          <w:ilvl w:val="0"/>
          <w:numId w:val="0"/>
        </w:numPr>
        <w:rPr>
          <w:color w:val="000000"/>
          <w:lang w:val="fr-CA"/>
        </w:rPr>
      </w:pPr>
      <w:r w:rsidRPr="00C23742">
        <w:rPr>
          <w:lang w:val="fr-CA"/>
        </w:rPr>
        <w:t>[4]</w:t>
      </w:r>
      <w:r w:rsidRPr="00C23742">
        <w:rPr>
          <w:lang w:val="fr-CA"/>
        </w:rPr>
        <w:tab/>
      </w:r>
      <w:r w:rsidRPr="00C23742">
        <w:rPr>
          <w:color w:val="000000"/>
          <w:lang w:val="fr-CA"/>
        </w:rPr>
        <w:t xml:space="preserve">Pour ces </w:t>
      </w:r>
      <w:r w:rsidRPr="00C23742">
        <w:rPr>
          <w:color w:val="000000"/>
          <w:szCs w:val="24"/>
          <w:lang w:val="fr-CA"/>
        </w:rPr>
        <w:t>motifs</w:t>
      </w:r>
      <w:r w:rsidRPr="00C23742">
        <w:rPr>
          <w:color w:val="000000"/>
          <w:lang w:val="fr-CA"/>
        </w:rPr>
        <w:t>, la Cour est d’avis, à la majorité, de rejeter le pourvoi.</w:t>
      </w:r>
    </w:p>
    <w:p w:rsidR="00C23742" w:rsidRPr="00C23742" w:rsidRDefault="00C23742" w:rsidP="00C23742">
      <w:pPr>
        <w:pStyle w:val="ParaNoNdepar-AltN"/>
        <w:numPr>
          <w:ilvl w:val="0"/>
          <w:numId w:val="0"/>
        </w:numPr>
        <w:rPr>
          <w:lang w:val="fr-CA"/>
        </w:rPr>
      </w:pPr>
      <w:r w:rsidRPr="00C23742">
        <w:rPr>
          <w:color w:val="000000"/>
          <w:lang w:val="fr-CA"/>
        </w:rPr>
        <w:t>[5]</w:t>
      </w:r>
      <w:r w:rsidRPr="00C23742">
        <w:rPr>
          <w:color w:val="000000"/>
          <w:lang w:val="fr-CA"/>
        </w:rPr>
        <w:tab/>
        <w:t>La juge Côté est dissidente. Elle aurait accueilli le pourvoi, essentiellement pour les motifs exposés par le juge d’appel Butler.</w:t>
      </w:r>
    </w:p>
    <w:p w:rsidR="00C23742" w:rsidRPr="00C23742" w:rsidRDefault="00C23742" w:rsidP="00C23742">
      <w:pPr>
        <w:pStyle w:val="SCCNormalDoubleSpacing"/>
        <w:spacing w:after="480"/>
        <w:rPr>
          <w:lang w:val="fr-CA"/>
        </w:rPr>
      </w:pPr>
      <w:r w:rsidRPr="00C23742">
        <w:rPr>
          <w:lang w:val="fr-CA"/>
        </w:rPr>
        <w:tab/>
      </w:r>
      <w:r w:rsidRPr="00C23742">
        <w:rPr>
          <w:i/>
          <w:iCs/>
          <w:color w:val="000000"/>
          <w:lang w:val="fr-CA"/>
        </w:rPr>
        <w:t>Jugement en conséquence.</w:t>
      </w:r>
    </w:p>
    <w:p w:rsidR="00C23742" w:rsidRPr="00C23742" w:rsidRDefault="00C23742" w:rsidP="00C23742">
      <w:pPr>
        <w:pStyle w:val="SCCNormalDoubleSpacing"/>
        <w:spacing w:after="480"/>
        <w:rPr>
          <w:i/>
          <w:iCs/>
          <w:color w:val="000000"/>
          <w:lang w:val="fr-CA"/>
        </w:rPr>
      </w:pPr>
      <w:r w:rsidRPr="00C23742">
        <w:rPr>
          <w:i/>
          <w:iCs/>
          <w:color w:val="000000"/>
          <w:lang w:val="fr-CA"/>
        </w:rPr>
        <w:tab/>
        <w:t>Procureurs de l’appelante : Melville Law Chambers, Vancouver; Michael Sobkin, Ottawa.</w:t>
      </w:r>
    </w:p>
    <w:p w:rsidR="00C23742" w:rsidRPr="00D96FA2" w:rsidRDefault="00C23742" w:rsidP="00C23742">
      <w:pPr>
        <w:pStyle w:val="SCCNormalDoubleSpacing"/>
        <w:rPr>
          <w:i/>
          <w:iCs/>
          <w:color w:val="000000"/>
          <w:lang w:val="fr-CA"/>
        </w:rPr>
      </w:pPr>
      <w:r w:rsidRPr="00C23742">
        <w:rPr>
          <w:i/>
          <w:iCs/>
          <w:color w:val="000000"/>
          <w:lang w:val="fr-CA"/>
        </w:rPr>
        <w:tab/>
        <w:t>Procureur de l’intimée : Procureur général de la Colombie</w:t>
      </w:r>
      <w:r w:rsidRPr="00C23742">
        <w:rPr>
          <w:i/>
          <w:iCs/>
          <w:color w:val="000000"/>
          <w:lang w:val="fr-CA"/>
        </w:rPr>
        <w:noBreakHyphen/>
        <w:t>Britannique, Vancouver.</w:t>
      </w:r>
    </w:p>
    <w:p w:rsidR="00C22905" w:rsidRPr="00A9085B" w:rsidRDefault="00C22905" w:rsidP="00FB010F">
      <w:pPr>
        <w:spacing w:before="100" w:beforeAutospacing="1"/>
        <w:rPr>
          <w:rFonts w:eastAsia="Calibri"/>
          <w:szCs w:val="24"/>
          <w:lang w:val="fr-CA" w:eastAsia="en-US"/>
        </w:rPr>
      </w:pPr>
    </w:p>
    <w:sectPr w:rsidR="00C22905" w:rsidRPr="00A9085B"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CCE" w:rsidRDefault="006C2CCE">
      <w:r>
        <w:separator/>
      </w:r>
    </w:p>
  </w:endnote>
  <w:endnote w:type="continuationSeparator" w:id="0">
    <w:p w:rsidR="006C2CCE" w:rsidRDefault="006C2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B28" w:rsidRDefault="002B7B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B28" w:rsidRDefault="002B7B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B28" w:rsidRDefault="002B7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CCE" w:rsidRDefault="006C2CCE">
      <w:r>
        <w:separator/>
      </w:r>
    </w:p>
  </w:footnote>
  <w:footnote w:type="continuationSeparator" w:id="0">
    <w:p w:rsidR="006C2CCE" w:rsidRDefault="006C2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B28" w:rsidRDefault="002B7B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B28" w:rsidRDefault="002B7B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B28" w:rsidRDefault="002B7B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64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763F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C850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A47E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3837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3003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7208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9661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905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2A51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B73F21"/>
    <w:multiLevelType w:val="hybridMultilevel"/>
    <w:tmpl w:val="1CA8AB4C"/>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3D14BCF"/>
    <w:multiLevelType w:val="multilevel"/>
    <w:tmpl w:val="0AD618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D000BA4"/>
    <w:multiLevelType w:val="hybridMultilevel"/>
    <w:tmpl w:val="900CBD0E"/>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C1B2609"/>
    <w:multiLevelType w:val="hybridMultilevel"/>
    <w:tmpl w:val="B62EB43A"/>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40F65EB2"/>
    <w:multiLevelType w:val="hybridMultilevel"/>
    <w:tmpl w:val="406E4396"/>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603130A"/>
    <w:multiLevelType w:val="multilevel"/>
    <w:tmpl w:val="9A5EAD4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9"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1"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4283EE8"/>
    <w:multiLevelType w:val="multilevel"/>
    <w:tmpl w:val="61380426"/>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662891"/>
    <w:multiLevelType w:val="hybridMultilevel"/>
    <w:tmpl w:val="FAECBADC"/>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666D1F9C"/>
    <w:multiLevelType w:val="hybridMultilevel"/>
    <w:tmpl w:val="A1BAD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CA5550B"/>
    <w:multiLevelType w:val="hybridMultilevel"/>
    <w:tmpl w:val="D9EA6A54"/>
    <w:lvl w:ilvl="0" w:tplc="AF12D38C">
      <w:start w:val="1"/>
      <w:numFmt w:val="decimal"/>
      <w:lvlText w:val="(%1)"/>
      <w:lvlJc w:val="left"/>
      <w:pPr>
        <w:ind w:left="1080" w:hanging="360"/>
      </w:pPr>
      <w:rPr>
        <w:rFonts w:hint="default"/>
      </w:rPr>
    </w:lvl>
    <w:lvl w:ilvl="1" w:tplc="19B23C74">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7A957F3C"/>
    <w:multiLevelType w:val="hybridMultilevel"/>
    <w:tmpl w:val="A0A41CF8"/>
    <w:lvl w:ilvl="0" w:tplc="D7E6156A">
      <w:start w:val="1"/>
      <w:numFmt w:val="bullet"/>
      <w:lvlText w:val=""/>
      <w:lvlJc w:val="left"/>
      <w:pPr>
        <w:ind w:left="900" w:hanging="360"/>
      </w:pPr>
      <w:rPr>
        <w:rFonts w:ascii="Symbol" w:hAnsi="Symbol" w:hint="default"/>
        <w:color w:val="auto"/>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num w:numId="1">
    <w:abstractNumId w:val="23"/>
  </w:num>
  <w:num w:numId="2">
    <w:abstractNumId w:val="12"/>
  </w:num>
  <w:num w:numId="3">
    <w:abstractNumId w:val="10"/>
  </w:num>
  <w:num w:numId="4">
    <w:abstractNumId w:val="20"/>
  </w:num>
  <w:num w:numId="5">
    <w:abstractNumId w:val="21"/>
  </w:num>
  <w:num w:numId="6">
    <w:abstractNumId w:val="22"/>
  </w:num>
  <w:num w:numId="7">
    <w:abstractNumId w:val="18"/>
  </w:num>
  <w:num w:numId="8">
    <w:abstractNumId w:val="1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6"/>
  </w:num>
  <w:num w:numId="10">
    <w:abstractNumId w:val="16"/>
  </w:num>
  <w:num w:numId="11">
    <w:abstractNumId w:val="14"/>
  </w:num>
  <w:num w:numId="12">
    <w:abstractNumId w:val="11"/>
  </w:num>
  <w:num w:numId="13">
    <w:abstractNumId w:val="1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i w:val="0"/>
        </w:rPr>
      </w:lvl>
    </w:lvlOverride>
    <w:lvlOverride w:ilvl="4">
      <w:lvl w:ilvl="4">
        <w:start w:val="1"/>
        <w:numFmt w:val="lowerRoman"/>
        <w:pStyle w:val="Title5LevelTitre5Niveau"/>
        <w:lvlText w:val="(%5)"/>
        <w:lvlJc w:val="left"/>
        <w:pPr>
          <w:tabs>
            <w:tab w:val="num" w:pos="1728"/>
          </w:tabs>
          <w:ind w:left="1728" w:hanging="576"/>
        </w:pPr>
        <w:rPr>
          <w:rFonts w:hint="default"/>
          <w:i w:val="0"/>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24"/>
  </w:num>
  <w:num w:numId="27">
    <w:abstractNumId w:val="15"/>
  </w:num>
  <w:num w:numId="28">
    <w:abstractNumId w:val="27"/>
  </w:num>
  <w:num w:numId="29">
    <w:abstractNumId w:val="25"/>
  </w:num>
  <w:num w:numId="30">
    <w:abstractNumId w:val="18"/>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33DC"/>
    <w:rsid w:val="00013781"/>
    <w:rsid w:val="00017885"/>
    <w:rsid w:val="00022F2E"/>
    <w:rsid w:val="00025198"/>
    <w:rsid w:val="00026467"/>
    <w:rsid w:val="00040D1B"/>
    <w:rsid w:val="00041BDD"/>
    <w:rsid w:val="000578A3"/>
    <w:rsid w:val="000648CC"/>
    <w:rsid w:val="00076E46"/>
    <w:rsid w:val="00094FED"/>
    <w:rsid w:val="000B34E8"/>
    <w:rsid w:val="000B5CFA"/>
    <w:rsid w:val="000B69B5"/>
    <w:rsid w:val="000C3FCE"/>
    <w:rsid w:val="000C59B8"/>
    <w:rsid w:val="000C6AF0"/>
    <w:rsid w:val="000C78C2"/>
    <w:rsid w:val="000F0995"/>
    <w:rsid w:val="000F2FF1"/>
    <w:rsid w:val="00104F33"/>
    <w:rsid w:val="00106D75"/>
    <w:rsid w:val="00111905"/>
    <w:rsid w:val="00111DE2"/>
    <w:rsid w:val="0011492A"/>
    <w:rsid w:val="001160DE"/>
    <w:rsid w:val="00116B38"/>
    <w:rsid w:val="00134F55"/>
    <w:rsid w:val="00135406"/>
    <w:rsid w:val="00135972"/>
    <w:rsid w:val="00136268"/>
    <w:rsid w:val="00137E61"/>
    <w:rsid w:val="001426A9"/>
    <w:rsid w:val="00142D29"/>
    <w:rsid w:val="0014546A"/>
    <w:rsid w:val="00154563"/>
    <w:rsid w:val="00154D7C"/>
    <w:rsid w:val="001570B0"/>
    <w:rsid w:val="0015752C"/>
    <w:rsid w:val="00157737"/>
    <w:rsid w:val="00165277"/>
    <w:rsid w:val="001677C1"/>
    <w:rsid w:val="00170592"/>
    <w:rsid w:val="00186351"/>
    <w:rsid w:val="00195D83"/>
    <w:rsid w:val="001977DB"/>
    <w:rsid w:val="001A00C1"/>
    <w:rsid w:val="001A42A4"/>
    <w:rsid w:val="001B33E0"/>
    <w:rsid w:val="001B4573"/>
    <w:rsid w:val="001C779F"/>
    <w:rsid w:val="001D2AC1"/>
    <w:rsid w:val="001D4DDF"/>
    <w:rsid w:val="001D4E88"/>
    <w:rsid w:val="001D65FF"/>
    <w:rsid w:val="001D6E70"/>
    <w:rsid w:val="001E477D"/>
    <w:rsid w:val="00220FC2"/>
    <w:rsid w:val="002222F4"/>
    <w:rsid w:val="00224FC0"/>
    <w:rsid w:val="00225EA4"/>
    <w:rsid w:val="00226EAF"/>
    <w:rsid w:val="002310A2"/>
    <w:rsid w:val="00231407"/>
    <w:rsid w:val="00231F3A"/>
    <w:rsid w:val="00234199"/>
    <w:rsid w:val="00236389"/>
    <w:rsid w:val="00237AFE"/>
    <w:rsid w:val="002406EE"/>
    <w:rsid w:val="00243EC8"/>
    <w:rsid w:val="0026412B"/>
    <w:rsid w:val="00264B77"/>
    <w:rsid w:val="00270D93"/>
    <w:rsid w:val="002745CC"/>
    <w:rsid w:val="002909F6"/>
    <w:rsid w:val="0029178F"/>
    <w:rsid w:val="002B7924"/>
    <w:rsid w:val="002B7ABA"/>
    <w:rsid w:val="002B7B28"/>
    <w:rsid w:val="002D2226"/>
    <w:rsid w:val="002D28C3"/>
    <w:rsid w:val="002D294E"/>
    <w:rsid w:val="002D3505"/>
    <w:rsid w:val="002D39A4"/>
    <w:rsid w:val="002E6189"/>
    <w:rsid w:val="002E6705"/>
    <w:rsid w:val="00301D08"/>
    <w:rsid w:val="0030329A"/>
    <w:rsid w:val="00303F14"/>
    <w:rsid w:val="00305526"/>
    <w:rsid w:val="0031086F"/>
    <w:rsid w:val="0031414C"/>
    <w:rsid w:val="00314E01"/>
    <w:rsid w:val="00317670"/>
    <w:rsid w:val="003207F1"/>
    <w:rsid w:val="0032089D"/>
    <w:rsid w:val="00324AE2"/>
    <w:rsid w:val="003310DE"/>
    <w:rsid w:val="003323B0"/>
    <w:rsid w:val="0033472B"/>
    <w:rsid w:val="00337C82"/>
    <w:rsid w:val="00342089"/>
    <w:rsid w:val="00347BA4"/>
    <w:rsid w:val="0035169A"/>
    <w:rsid w:val="0035259D"/>
    <w:rsid w:val="00353B79"/>
    <w:rsid w:val="00353EF2"/>
    <w:rsid w:val="00355C66"/>
    <w:rsid w:val="00362ADA"/>
    <w:rsid w:val="00364B18"/>
    <w:rsid w:val="00381C49"/>
    <w:rsid w:val="00396BF3"/>
    <w:rsid w:val="003A125D"/>
    <w:rsid w:val="003A4C70"/>
    <w:rsid w:val="003B215F"/>
    <w:rsid w:val="003C2CFF"/>
    <w:rsid w:val="003C799C"/>
    <w:rsid w:val="003D0399"/>
    <w:rsid w:val="003E1C71"/>
    <w:rsid w:val="003E2693"/>
    <w:rsid w:val="003E53AC"/>
    <w:rsid w:val="003F327B"/>
    <w:rsid w:val="003F7ACB"/>
    <w:rsid w:val="00400B24"/>
    <w:rsid w:val="00404D28"/>
    <w:rsid w:val="00406166"/>
    <w:rsid w:val="0040704B"/>
    <w:rsid w:val="00407839"/>
    <w:rsid w:val="00410003"/>
    <w:rsid w:val="00410A55"/>
    <w:rsid w:val="00411300"/>
    <w:rsid w:val="00415417"/>
    <w:rsid w:val="00424FE1"/>
    <w:rsid w:val="00425158"/>
    <w:rsid w:val="00426659"/>
    <w:rsid w:val="00426D16"/>
    <w:rsid w:val="00450352"/>
    <w:rsid w:val="00454BDB"/>
    <w:rsid w:val="00456FFF"/>
    <w:rsid w:val="00463A7A"/>
    <w:rsid w:val="00464800"/>
    <w:rsid w:val="00464BF6"/>
    <w:rsid w:val="00465132"/>
    <w:rsid w:val="00465EF1"/>
    <w:rsid w:val="004707F9"/>
    <w:rsid w:val="00470DB3"/>
    <w:rsid w:val="0047411A"/>
    <w:rsid w:val="00480C90"/>
    <w:rsid w:val="0048396F"/>
    <w:rsid w:val="00486C55"/>
    <w:rsid w:val="00493C18"/>
    <w:rsid w:val="00495D96"/>
    <w:rsid w:val="004A600C"/>
    <w:rsid w:val="004A6118"/>
    <w:rsid w:val="004C2314"/>
    <w:rsid w:val="004C25EE"/>
    <w:rsid w:val="004C478D"/>
    <w:rsid w:val="004D1721"/>
    <w:rsid w:val="004D4FEC"/>
    <w:rsid w:val="004E0D6A"/>
    <w:rsid w:val="004E2C26"/>
    <w:rsid w:val="004E61A7"/>
    <w:rsid w:val="004F0628"/>
    <w:rsid w:val="004F36FF"/>
    <w:rsid w:val="00506A78"/>
    <w:rsid w:val="005125A8"/>
    <w:rsid w:val="00516DED"/>
    <w:rsid w:val="00517BC7"/>
    <w:rsid w:val="00521AE8"/>
    <w:rsid w:val="00524449"/>
    <w:rsid w:val="00527180"/>
    <w:rsid w:val="005341CE"/>
    <w:rsid w:val="00534AB2"/>
    <w:rsid w:val="0054201E"/>
    <w:rsid w:val="00547FB8"/>
    <w:rsid w:val="005541DB"/>
    <w:rsid w:val="00555291"/>
    <w:rsid w:val="0056265A"/>
    <w:rsid w:val="00566AD1"/>
    <w:rsid w:val="0057257D"/>
    <w:rsid w:val="00575FF2"/>
    <w:rsid w:val="00583EDE"/>
    <w:rsid w:val="00586928"/>
    <w:rsid w:val="005966EF"/>
    <w:rsid w:val="005A4F85"/>
    <w:rsid w:val="005A6079"/>
    <w:rsid w:val="005C617A"/>
    <w:rsid w:val="005C7840"/>
    <w:rsid w:val="005E4698"/>
    <w:rsid w:val="006003EE"/>
    <w:rsid w:val="006055B2"/>
    <w:rsid w:val="00610539"/>
    <w:rsid w:val="00613969"/>
    <w:rsid w:val="0061523C"/>
    <w:rsid w:val="00617208"/>
    <w:rsid w:val="00625C35"/>
    <w:rsid w:val="00626A7D"/>
    <w:rsid w:val="0062787A"/>
    <w:rsid w:val="00635521"/>
    <w:rsid w:val="00637318"/>
    <w:rsid w:val="00640645"/>
    <w:rsid w:val="006468AB"/>
    <w:rsid w:val="0065050D"/>
    <w:rsid w:val="00656313"/>
    <w:rsid w:val="006565F4"/>
    <w:rsid w:val="0066108F"/>
    <w:rsid w:val="00666098"/>
    <w:rsid w:val="006763FD"/>
    <w:rsid w:val="00684EEA"/>
    <w:rsid w:val="006908E8"/>
    <w:rsid w:val="0069689B"/>
    <w:rsid w:val="006A1551"/>
    <w:rsid w:val="006A48DB"/>
    <w:rsid w:val="006B4F1D"/>
    <w:rsid w:val="006B5FF5"/>
    <w:rsid w:val="006B7683"/>
    <w:rsid w:val="006C2CCE"/>
    <w:rsid w:val="006D4200"/>
    <w:rsid w:val="006D65A1"/>
    <w:rsid w:val="006F30AF"/>
    <w:rsid w:val="006F7FA0"/>
    <w:rsid w:val="007009A0"/>
    <w:rsid w:val="00701759"/>
    <w:rsid w:val="00701CF2"/>
    <w:rsid w:val="00705C15"/>
    <w:rsid w:val="00712E55"/>
    <w:rsid w:val="00713025"/>
    <w:rsid w:val="00714103"/>
    <w:rsid w:val="007154A1"/>
    <w:rsid w:val="0071600E"/>
    <w:rsid w:val="007162FD"/>
    <w:rsid w:val="00717FDC"/>
    <w:rsid w:val="007208D1"/>
    <w:rsid w:val="0072428C"/>
    <w:rsid w:val="0072436C"/>
    <w:rsid w:val="00730177"/>
    <w:rsid w:val="00742119"/>
    <w:rsid w:val="00742337"/>
    <w:rsid w:val="00744F09"/>
    <w:rsid w:val="00747288"/>
    <w:rsid w:val="00747DD3"/>
    <w:rsid w:val="007549C8"/>
    <w:rsid w:val="00754A0B"/>
    <w:rsid w:val="00766D14"/>
    <w:rsid w:val="00767A0F"/>
    <w:rsid w:val="00775C3E"/>
    <w:rsid w:val="00796207"/>
    <w:rsid w:val="007A05F6"/>
    <w:rsid w:val="007B1289"/>
    <w:rsid w:val="007B3D74"/>
    <w:rsid w:val="007B6F4A"/>
    <w:rsid w:val="007B7758"/>
    <w:rsid w:val="007D097E"/>
    <w:rsid w:val="007E1C47"/>
    <w:rsid w:val="007E337A"/>
    <w:rsid w:val="007E5C70"/>
    <w:rsid w:val="007F2FF5"/>
    <w:rsid w:val="007F3F08"/>
    <w:rsid w:val="00801B60"/>
    <w:rsid w:val="00804CC6"/>
    <w:rsid w:val="00813B48"/>
    <w:rsid w:val="00817190"/>
    <w:rsid w:val="00820223"/>
    <w:rsid w:val="00820EE5"/>
    <w:rsid w:val="008244E9"/>
    <w:rsid w:val="008260E2"/>
    <w:rsid w:val="008322BD"/>
    <w:rsid w:val="008323C4"/>
    <w:rsid w:val="00833E0A"/>
    <w:rsid w:val="00834F73"/>
    <w:rsid w:val="00847F55"/>
    <w:rsid w:val="008544FA"/>
    <w:rsid w:val="00864CF8"/>
    <w:rsid w:val="00872819"/>
    <w:rsid w:val="00874914"/>
    <w:rsid w:val="00883F8A"/>
    <w:rsid w:val="00891422"/>
    <w:rsid w:val="00892E1A"/>
    <w:rsid w:val="008A3F29"/>
    <w:rsid w:val="008B660A"/>
    <w:rsid w:val="008B70F9"/>
    <w:rsid w:val="008C01DA"/>
    <w:rsid w:val="008C02C9"/>
    <w:rsid w:val="008C7263"/>
    <w:rsid w:val="008D0BDF"/>
    <w:rsid w:val="008D2104"/>
    <w:rsid w:val="008E18E5"/>
    <w:rsid w:val="008E3C2D"/>
    <w:rsid w:val="008F78E9"/>
    <w:rsid w:val="00903C32"/>
    <w:rsid w:val="00911989"/>
    <w:rsid w:val="009179F9"/>
    <w:rsid w:val="0093031F"/>
    <w:rsid w:val="00931C1C"/>
    <w:rsid w:val="00933E5E"/>
    <w:rsid w:val="00934D17"/>
    <w:rsid w:val="00935218"/>
    <w:rsid w:val="009365D5"/>
    <w:rsid w:val="009403F3"/>
    <w:rsid w:val="00953701"/>
    <w:rsid w:val="009555B7"/>
    <w:rsid w:val="009567AA"/>
    <w:rsid w:val="0096473A"/>
    <w:rsid w:val="00967374"/>
    <w:rsid w:val="00976EB5"/>
    <w:rsid w:val="00981B4D"/>
    <w:rsid w:val="00982D32"/>
    <w:rsid w:val="00983AF6"/>
    <w:rsid w:val="009A343A"/>
    <w:rsid w:val="009A4E51"/>
    <w:rsid w:val="009A520F"/>
    <w:rsid w:val="009B2F23"/>
    <w:rsid w:val="009B57B3"/>
    <w:rsid w:val="009B6FFE"/>
    <w:rsid w:val="009C5B92"/>
    <w:rsid w:val="009D2920"/>
    <w:rsid w:val="009D5AEB"/>
    <w:rsid w:val="009F0E33"/>
    <w:rsid w:val="009F1E77"/>
    <w:rsid w:val="00A003F4"/>
    <w:rsid w:val="00A030CE"/>
    <w:rsid w:val="00A149DF"/>
    <w:rsid w:val="00A1755C"/>
    <w:rsid w:val="00A21B90"/>
    <w:rsid w:val="00A41805"/>
    <w:rsid w:val="00A42DCD"/>
    <w:rsid w:val="00A44699"/>
    <w:rsid w:val="00A46FB0"/>
    <w:rsid w:val="00A52AFB"/>
    <w:rsid w:val="00A548CB"/>
    <w:rsid w:val="00A5521C"/>
    <w:rsid w:val="00A557A1"/>
    <w:rsid w:val="00A55CEF"/>
    <w:rsid w:val="00A643E7"/>
    <w:rsid w:val="00A73C38"/>
    <w:rsid w:val="00A9085B"/>
    <w:rsid w:val="00AB59C4"/>
    <w:rsid w:val="00AB670D"/>
    <w:rsid w:val="00AC6FA4"/>
    <w:rsid w:val="00AD2826"/>
    <w:rsid w:val="00AD342F"/>
    <w:rsid w:val="00AE25FE"/>
    <w:rsid w:val="00AE3FB8"/>
    <w:rsid w:val="00AE4535"/>
    <w:rsid w:val="00AF03C5"/>
    <w:rsid w:val="00AF0B26"/>
    <w:rsid w:val="00AF4773"/>
    <w:rsid w:val="00AF49CC"/>
    <w:rsid w:val="00AF571D"/>
    <w:rsid w:val="00B000D8"/>
    <w:rsid w:val="00B00F75"/>
    <w:rsid w:val="00B0409C"/>
    <w:rsid w:val="00B11735"/>
    <w:rsid w:val="00B1431F"/>
    <w:rsid w:val="00B145B6"/>
    <w:rsid w:val="00B2215E"/>
    <w:rsid w:val="00B279EB"/>
    <w:rsid w:val="00B30E18"/>
    <w:rsid w:val="00B32357"/>
    <w:rsid w:val="00B43559"/>
    <w:rsid w:val="00B50C81"/>
    <w:rsid w:val="00B557F8"/>
    <w:rsid w:val="00B56AAF"/>
    <w:rsid w:val="00B62F10"/>
    <w:rsid w:val="00B67199"/>
    <w:rsid w:val="00B815FC"/>
    <w:rsid w:val="00B838B8"/>
    <w:rsid w:val="00B93FBC"/>
    <w:rsid w:val="00BA066D"/>
    <w:rsid w:val="00BA7DA0"/>
    <w:rsid w:val="00BB2366"/>
    <w:rsid w:val="00BB2EE4"/>
    <w:rsid w:val="00BB5AE6"/>
    <w:rsid w:val="00BC2108"/>
    <w:rsid w:val="00BC5642"/>
    <w:rsid w:val="00BD0E9E"/>
    <w:rsid w:val="00BD1BEC"/>
    <w:rsid w:val="00BD32FF"/>
    <w:rsid w:val="00BD67ED"/>
    <w:rsid w:val="00BE7206"/>
    <w:rsid w:val="00C02092"/>
    <w:rsid w:val="00C22905"/>
    <w:rsid w:val="00C229CD"/>
    <w:rsid w:val="00C23742"/>
    <w:rsid w:val="00C24D91"/>
    <w:rsid w:val="00C31D39"/>
    <w:rsid w:val="00C53F14"/>
    <w:rsid w:val="00C600CF"/>
    <w:rsid w:val="00C6084F"/>
    <w:rsid w:val="00C62A66"/>
    <w:rsid w:val="00C62FD6"/>
    <w:rsid w:val="00C71458"/>
    <w:rsid w:val="00C7359C"/>
    <w:rsid w:val="00C77613"/>
    <w:rsid w:val="00C828E7"/>
    <w:rsid w:val="00C86719"/>
    <w:rsid w:val="00C921DD"/>
    <w:rsid w:val="00C93B01"/>
    <w:rsid w:val="00CA6391"/>
    <w:rsid w:val="00CA7B39"/>
    <w:rsid w:val="00CB5B04"/>
    <w:rsid w:val="00CB793C"/>
    <w:rsid w:val="00CC34BD"/>
    <w:rsid w:val="00CE161A"/>
    <w:rsid w:val="00CE3171"/>
    <w:rsid w:val="00CF1601"/>
    <w:rsid w:val="00D0172F"/>
    <w:rsid w:val="00D068A7"/>
    <w:rsid w:val="00D173CE"/>
    <w:rsid w:val="00D17476"/>
    <w:rsid w:val="00D22128"/>
    <w:rsid w:val="00D25F6B"/>
    <w:rsid w:val="00D26B67"/>
    <w:rsid w:val="00D32086"/>
    <w:rsid w:val="00D360E6"/>
    <w:rsid w:val="00D37A3F"/>
    <w:rsid w:val="00D4431D"/>
    <w:rsid w:val="00D4667A"/>
    <w:rsid w:val="00D469D5"/>
    <w:rsid w:val="00D47BFC"/>
    <w:rsid w:val="00D614A5"/>
    <w:rsid w:val="00D63A1C"/>
    <w:rsid w:val="00D7516F"/>
    <w:rsid w:val="00D83628"/>
    <w:rsid w:val="00D8579F"/>
    <w:rsid w:val="00D8628D"/>
    <w:rsid w:val="00D90B9E"/>
    <w:rsid w:val="00D91A89"/>
    <w:rsid w:val="00D95F8E"/>
    <w:rsid w:val="00DA0590"/>
    <w:rsid w:val="00DB342C"/>
    <w:rsid w:val="00DB7BEA"/>
    <w:rsid w:val="00DC1739"/>
    <w:rsid w:val="00DC1788"/>
    <w:rsid w:val="00DC2F37"/>
    <w:rsid w:val="00DD105B"/>
    <w:rsid w:val="00DE319C"/>
    <w:rsid w:val="00DE54B0"/>
    <w:rsid w:val="00DF0CA8"/>
    <w:rsid w:val="00DF2B48"/>
    <w:rsid w:val="00DF49A7"/>
    <w:rsid w:val="00E07EE2"/>
    <w:rsid w:val="00E07FD1"/>
    <w:rsid w:val="00E1000C"/>
    <w:rsid w:val="00E10A5C"/>
    <w:rsid w:val="00E176D8"/>
    <w:rsid w:val="00E24573"/>
    <w:rsid w:val="00E25E1E"/>
    <w:rsid w:val="00E27EE7"/>
    <w:rsid w:val="00E31D67"/>
    <w:rsid w:val="00E3214F"/>
    <w:rsid w:val="00E333F9"/>
    <w:rsid w:val="00E35404"/>
    <w:rsid w:val="00E45109"/>
    <w:rsid w:val="00E47B7A"/>
    <w:rsid w:val="00E5476E"/>
    <w:rsid w:val="00E56A44"/>
    <w:rsid w:val="00E60269"/>
    <w:rsid w:val="00E653D0"/>
    <w:rsid w:val="00E65A2E"/>
    <w:rsid w:val="00E71951"/>
    <w:rsid w:val="00E77932"/>
    <w:rsid w:val="00E83FDA"/>
    <w:rsid w:val="00E92347"/>
    <w:rsid w:val="00E97830"/>
    <w:rsid w:val="00EA1D3B"/>
    <w:rsid w:val="00EB0D87"/>
    <w:rsid w:val="00EC34E9"/>
    <w:rsid w:val="00ED681A"/>
    <w:rsid w:val="00EE0B3C"/>
    <w:rsid w:val="00EE5737"/>
    <w:rsid w:val="00EE643C"/>
    <w:rsid w:val="00EF0683"/>
    <w:rsid w:val="00EF69D2"/>
    <w:rsid w:val="00EF766E"/>
    <w:rsid w:val="00F0070C"/>
    <w:rsid w:val="00F00EB7"/>
    <w:rsid w:val="00F03D8E"/>
    <w:rsid w:val="00F36AB6"/>
    <w:rsid w:val="00F37A09"/>
    <w:rsid w:val="00F409CE"/>
    <w:rsid w:val="00F4379D"/>
    <w:rsid w:val="00F43876"/>
    <w:rsid w:val="00F44C76"/>
    <w:rsid w:val="00F50635"/>
    <w:rsid w:val="00F50D2D"/>
    <w:rsid w:val="00F56C8B"/>
    <w:rsid w:val="00F66810"/>
    <w:rsid w:val="00F846D9"/>
    <w:rsid w:val="00F84DF4"/>
    <w:rsid w:val="00F85C97"/>
    <w:rsid w:val="00F94A57"/>
    <w:rsid w:val="00FA51A0"/>
    <w:rsid w:val="00FB010F"/>
    <w:rsid w:val="00FB37D2"/>
    <w:rsid w:val="00FB7D08"/>
    <w:rsid w:val="00FC3788"/>
    <w:rsid w:val="00FC4EFB"/>
    <w:rsid w:val="00FD068D"/>
    <w:rsid w:val="00FD4F28"/>
    <w:rsid w:val="00FE0416"/>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AB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2905"/>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C22905"/>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C22905"/>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C22905"/>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C22905"/>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C22905"/>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C22905"/>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qFormat/>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E65A2E"/>
    <w:rPr>
      <w:color w:val="0000FF" w:themeColor="hyperlink"/>
      <w:u w:val="single"/>
    </w:rPr>
  </w:style>
  <w:style w:type="character" w:customStyle="1" w:styleId="solexhl">
    <w:name w:val="solexhl"/>
    <w:basedOn w:val="DefaultParagraphFont"/>
    <w:rsid w:val="000C78C2"/>
  </w:style>
  <w:style w:type="character" w:customStyle="1" w:styleId="Heading3Char">
    <w:name w:val="Heading 3 Char"/>
    <w:basedOn w:val="DefaultParagraphFont"/>
    <w:link w:val="Heading3"/>
    <w:uiPriority w:val="9"/>
    <w:semiHidden/>
    <w:rsid w:val="00C22905"/>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C22905"/>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C22905"/>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C22905"/>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C22905"/>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C22905"/>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C22905"/>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C22905"/>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C22905"/>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C22905"/>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C22905"/>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C22905"/>
    <w:rPr>
      <w:b/>
      <w:sz w:val="24"/>
    </w:rPr>
  </w:style>
  <w:style w:type="table" w:styleId="TableGrid">
    <w:name w:val="Table Grid"/>
    <w:basedOn w:val="TableNormal"/>
    <w:uiPriority w:val="59"/>
    <w:rsid w:val="00C22905"/>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2290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C22905"/>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C22905"/>
    <w:pPr>
      <w:tabs>
        <w:tab w:val="left" w:pos="1260"/>
      </w:tabs>
      <w:spacing w:after="480" w:line="480" w:lineRule="auto"/>
    </w:pPr>
    <w:rPr>
      <w:smallCaps/>
      <w:sz w:val="24"/>
    </w:rPr>
  </w:style>
  <w:style w:type="paragraph" w:customStyle="1" w:styleId="ParaNoNdepar-AltN">
    <w:name w:val="Para. No. / Nº de par. - Alt N"/>
    <w:link w:val="ParaNoNdepar-AltNChar"/>
    <w:qFormat/>
    <w:rsid w:val="00C22905"/>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C22905"/>
    <w:pPr>
      <w:numPr>
        <w:numId w:val="7"/>
      </w:numPr>
      <w:tabs>
        <w:tab w:val="clear" w:pos="576"/>
      </w:tabs>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22905"/>
    <w:pPr>
      <w:numPr>
        <w:ilvl w:val="1"/>
      </w:numPr>
      <w:tabs>
        <w:tab w:val="clear" w:pos="576"/>
      </w:tabs>
      <w:outlineLvl w:val="1"/>
    </w:pPr>
    <w:rPr>
      <w:i/>
      <w:u w:val="none"/>
    </w:rPr>
  </w:style>
  <w:style w:type="paragraph" w:customStyle="1" w:styleId="Title3LevelTitre3Niveau">
    <w:name w:val="Title 3 Level / Titre 3 Niveau"/>
    <w:basedOn w:val="Title1LevelTitre1Niveau-AltL"/>
    <w:next w:val="ParaNoNdepar-AltN"/>
    <w:uiPriority w:val="4"/>
    <w:qFormat/>
    <w:rsid w:val="00C22905"/>
    <w:pPr>
      <w:numPr>
        <w:ilvl w:val="2"/>
      </w:numPr>
      <w:tabs>
        <w:tab w:val="clear" w:pos="1152"/>
      </w:tabs>
      <w:outlineLvl w:val="2"/>
    </w:pPr>
  </w:style>
  <w:style w:type="paragraph" w:customStyle="1" w:styleId="Title4LevelTitre4Niveau">
    <w:name w:val="Title 4 Level / Titre 4 Niveau"/>
    <w:basedOn w:val="Title3LevelTitre3Niveau"/>
    <w:next w:val="ParaNoNdepar-AltN"/>
    <w:uiPriority w:val="4"/>
    <w:qFormat/>
    <w:rsid w:val="00C22905"/>
    <w:pPr>
      <w:numPr>
        <w:ilvl w:val="3"/>
      </w:numPr>
      <w:tabs>
        <w:tab w:val="clear" w:pos="1152"/>
      </w:tabs>
      <w:ind w:left="1156" w:hanging="578"/>
      <w:outlineLvl w:val="3"/>
    </w:pPr>
    <w:rPr>
      <w:i/>
      <w:u w:val="none"/>
    </w:rPr>
  </w:style>
  <w:style w:type="paragraph" w:customStyle="1" w:styleId="Title5LevelTitre5Niveau">
    <w:name w:val="Title 5 Level / Titre 5 Niveau"/>
    <w:basedOn w:val="Title1LevelTitre1Niveau-AltL"/>
    <w:next w:val="ParaNoNdepar-AltN"/>
    <w:uiPriority w:val="4"/>
    <w:qFormat/>
    <w:rsid w:val="00C22905"/>
    <w:pPr>
      <w:numPr>
        <w:ilvl w:val="4"/>
      </w:numPr>
      <w:tabs>
        <w:tab w:val="clear" w:pos="1728"/>
      </w:tabs>
      <w:ind w:left="1729" w:hanging="578"/>
      <w:outlineLvl w:val="4"/>
    </w:pPr>
  </w:style>
  <w:style w:type="paragraph" w:styleId="TOC1">
    <w:name w:val="toc 1"/>
    <w:basedOn w:val="Normal"/>
    <w:next w:val="Normal"/>
    <w:autoRedefine/>
    <w:uiPriority w:val="39"/>
    <w:unhideWhenUsed/>
    <w:rsid w:val="00C22905"/>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C22905"/>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C22905"/>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C22905"/>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C22905"/>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C22905"/>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C2290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2290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C22905"/>
    <w:pPr>
      <w:numPr>
        <w:ilvl w:val="5"/>
      </w:numPr>
      <w:jc w:val="both"/>
      <w:outlineLvl w:val="5"/>
    </w:pPr>
    <w:rPr>
      <w:i/>
      <w:u w:val="none"/>
    </w:rPr>
  </w:style>
  <w:style w:type="paragraph" w:styleId="FootnoteText">
    <w:name w:val="footnote text"/>
    <w:basedOn w:val="Normal"/>
    <w:link w:val="FootnoteTextChar"/>
    <w:uiPriority w:val="99"/>
    <w:unhideWhenUsed/>
    <w:rsid w:val="00C2290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C22905"/>
  </w:style>
  <w:style w:type="character" w:styleId="FootnoteReference">
    <w:name w:val="footnote reference"/>
    <w:basedOn w:val="DefaultParagraphFont"/>
    <w:uiPriority w:val="99"/>
    <w:semiHidden/>
    <w:unhideWhenUsed/>
    <w:rsid w:val="00C22905"/>
    <w:rPr>
      <w:vertAlign w:val="superscript"/>
    </w:rPr>
  </w:style>
  <w:style w:type="character" w:styleId="SubtleEmphasis">
    <w:name w:val="Subtle Emphasis"/>
    <w:basedOn w:val="DefaultParagraphFont"/>
    <w:uiPriority w:val="19"/>
    <w:rsid w:val="00C22905"/>
    <w:rPr>
      <w:i/>
      <w:iCs/>
      <w:color w:val="808080" w:themeColor="text1" w:themeTint="7F"/>
    </w:rPr>
  </w:style>
  <w:style w:type="character" w:customStyle="1" w:styleId="ParaNoNdepar-AltNChar">
    <w:name w:val="Para. No. / Nº de par. - Alt N Char"/>
    <w:basedOn w:val="DefaultParagraphFont"/>
    <w:link w:val="ParaNoNdepar-AltN"/>
    <w:locked/>
    <w:rsid w:val="00C22905"/>
    <w:rPr>
      <w:rFonts w:eastAsiaTheme="minorEastAsia" w:cstheme="minorBidi"/>
      <w:sz w:val="24"/>
      <w:szCs w:val="22"/>
      <w:lang w:eastAsia="en-US"/>
    </w:rPr>
  </w:style>
  <w:style w:type="character" w:styleId="CommentReference">
    <w:name w:val="annotation reference"/>
    <w:basedOn w:val="DefaultParagraphFont"/>
    <w:uiPriority w:val="99"/>
    <w:semiHidden/>
    <w:unhideWhenUsed/>
    <w:rsid w:val="00C22905"/>
    <w:rPr>
      <w:sz w:val="16"/>
      <w:szCs w:val="16"/>
    </w:rPr>
  </w:style>
  <w:style w:type="paragraph" w:styleId="CommentText">
    <w:name w:val="annotation text"/>
    <w:basedOn w:val="Normal"/>
    <w:link w:val="CommentTextChar"/>
    <w:uiPriority w:val="99"/>
    <w:semiHidden/>
    <w:unhideWhenUsed/>
    <w:rsid w:val="00C22905"/>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C22905"/>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C22905"/>
    <w:rPr>
      <w:b/>
      <w:bCs/>
    </w:rPr>
  </w:style>
  <w:style w:type="character" w:customStyle="1" w:styleId="CommentSubjectChar">
    <w:name w:val="Comment Subject Char"/>
    <w:basedOn w:val="CommentTextChar"/>
    <w:link w:val="CommentSubject"/>
    <w:uiPriority w:val="99"/>
    <w:semiHidden/>
    <w:rsid w:val="00C22905"/>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C22905"/>
    <w:rPr>
      <w:smallCaps/>
      <w:sz w:val="24"/>
    </w:rPr>
  </w:style>
  <w:style w:type="paragraph" w:styleId="NoSpacing">
    <w:name w:val="No Spacing"/>
    <w:uiPriority w:val="1"/>
    <w:rsid w:val="00C22905"/>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C22905"/>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C22905"/>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C229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C2290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C22905"/>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C22905"/>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C22905"/>
    <w:rPr>
      <w:i/>
      <w:iCs/>
    </w:rPr>
  </w:style>
  <w:style w:type="paragraph" w:styleId="ListParagraph">
    <w:name w:val="List Paragraph"/>
    <w:basedOn w:val="Normal"/>
    <w:uiPriority w:val="34"/>
    <w:rsid w:val="00C22905"/>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C22905"/>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C22905"/>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C22905"/>
    <w:rPr>
      <w:b/>
      <w:bCs/>
      <w:i/>
      <w:iCs/>
      <w:color w:val="4F81BD" w:themeColor="accent1"/>
    </w:rPr>
  </w:style>
  <w:style w:type="character" w:styleId="SubtleReference">
    <w:name w:val="Subtle Reference"/>
    <w:basedOn w:val="DefaultParagraphFont"/>
    <w:uiPriority w:val="31"/>
    <w:rsid w:val="00C22905"/>
    <w:rPr>
      <w:smallCaps/>
      <w:color w:val="C0504D" w:themeColor="accent2"/>
      <w:u w:val="single"/>
    </w:rPr>
  </w:style>
  <w:style w:type="character" w:styleId="IntenseReference">
    <w:name w:val="Intense Reference"/>
    <w:basedOn w:val="DefaultParagraphFont"/>
    <w:uiPriority w:val="32"/>
    <w:rsid w:val="00C22905"/>
    <w:rPr>
      <w:b/>
      <w:bCs/>
      <w:smallCaps/>
      <w:color w:val="C0504D" w:themeColor="accent2"/>
      <w:spacing w:val="5"/>
      <w:u w:val="single"/>
    </w:rPr>
  </w:style>
  <w:style w:type="character" w:styleId="BookTitle">
    <w:name w:val="Book Title"/>
    <w:basedOn w:val="DefaultParagraphFont"/>
    <w:uiPriority w:val="33"/>
    <w:rsid w:val="00C22905"/>
    <w:rPr>
      <w:b/>
      <w:bCs/>
      <w:smallCaps/>
      <w:spacing w:val="5"/>
    </w:rPr>
  </w:style>
  <w:style w:type="paragraph" w:styleId="Revision">
    <w:name w:val="Revision"/>
    <w:hidden/>
    <w:uiPriority w:val="99"/>
    <w:semiHidden/>
    <w:rsid w:val="00C22905"/>
    <w:rPr>
      <w:rFonts w:eastAsiaTheme="minorHAnsi" w:cstheme="minorBidi"/>
      <w:sz w:val="24"/>
      <w:szCs w:val="22"/>
      <w:lang w:val="en-US" w:eastAsia="en-US" w:bidi="en-US"/>
    </w:rPr>
  </w:style>
  <w:style w:type="paragraph" w:styleId="EndnoteText">
    <w:name w:val="endnote text"/>
    <w:basedOn w:val="Normal"/>
    <w:link w:val="EndnoteTextChar"/>
    <w:uiPriority w:val="99"/>
    <w:semiHidden/>
    <w:unhideWhenUsed/>
    <w:rsid w:val="00C22905"/>
    <w:rPr>
      <w:rFonts w:eastAsiaTheme="minorHAnsi" w:cstheme="minorBidi"/>
      <w:sz w:val="20"/>
      <w:lang w:val="en-US" w:eastAsia="en-US" w:bidi="en-US"/>
    </w:rPr>
  </w:style>
  <w:style w:type="character" w:customStyle="1" w:styleId="EndnoteTextChar">
    <w:name w:val="Endnote Text Char"/>
    <w:basedOn w:val="DefaultParagraphFont"/>
    <w:link w:val="EndnoteText"/>
    <w:uiPriority w:val="99"/>
    <w:semiHidden/>
    <w:rsid w:val="00C22905"/>
    <w:rPr>
      <w:rFonts w:eastAsiaTheme="minorHAnsi" w:cstheme="minorBidi"/>
      <w:lang w:val="en-US" w:eastAsia="en-US" w:bidi="en-US"/>
    </w:rPr>
  </w:style>
  <w:style w:type="character" w:styleId="EndnoteReference">
    <w:name w:val="endnote reference"/>
    <w:basedOn w:val="DefaultParagraphFont"/>
    <w:uiPriority w:val="99"/>
    <w:semiHidden/>
    <w:unhideWhenUsed/>
    <w:rsid w:val="00C22905"/>
    <w:rPr>
      <w:vertAlign w:val="superscript"/>
    </w:rPr>
  </w:style>
  <w:style w:type="character" w:customStyle="1" w:styleId="reflex3-block">
    <w:name w:val="reflex3-block"/>
    <w:basedOn w:val="DefaultParagraphFont"/>
    <w:rsid w:val="00C22905"/>
  </w:style>
  <w:style w:type="character" w:customStyle="1" w:styleId="reflex3-alt">
    <w:name w:val="reflex3-alt"/>
    <w:basedOn w:val="DefaultParagraphFont"/>
    <w:rsid w:val="00C22905"/>
  </w:style>
  <w:style w:type="character" w:customStyle="1" w:styleId="lawlabel">
    <w:name w:val="lawlabel"/>
    <w:basedOn w:val="DefaultParagraphFont"/>
    <w:rsid w:val="00C22905"/>
  </w:style>
  <w:style w:type="table" w:customStyle="1" w:styleId="TableGrid2">
    <w:name w:val="Table Grid2"/>
    <w:basedOn w:val="TableNormal"/>
    <w:next w:val="TableGrid"/>
    <w:uiPriority w:val="59"/>
    <w:rsid w:val="00C22905"/>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ccourts.ca/jdb-txt/ca/21/01/2021BCCA0105.htm"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844</Words>
  <Characters>4290</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2022-12-21T19:27:00Z</dcterms:created>
  <dcterms:modified xsi:type="dcterms:W3CDTF">2022-12-21T19:29:00Z</dcterms:modified>
</cp:coreProperties>
</file>