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8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1"/>
        <w:gridCol w:w="1559"/>
        <w:gridCol w:w="1557"/>
        <w:gridCol w:w="3685"/>
      </w:tblGrid>
      <w:tr w:rsidR="00423C0D" w:rsidRPr="00A135DA" w14:paraId="10C7D22E" w14:textId="77777777" w:rsidTr="005843C1">
        <w:trPr>
          <w:trHeight w:val="1786"/>
        </w:trPr>
        <w:tc>
          <w:tcPr>
            <w:tcW w:w="5000" w:type="pct"/>
            <w:gridSpan w:val="4"/>
          </w:tcPr>
          <w:p w14:paraId="6FF81B6E" w14:textId="77777777" w:rsidR="00423C0D" w:rsidRPr="00A135DA" w:rsidRDefault="00423C0D" w:rsidP="00A51442">
            <w:pPr>
              <w:pStyle w:val="SCCBold"/>
              <w:jc w:val="center"/>
            </w:pPr>
            <w:r w:rsidRPr="00A135DA">
              <w:rPr>
                <w:noProof/>
                <w:lang w:eastAsia="fr-CA"/>
              </w:rPr>
              <w:drawing>
                <wp:inline distT="0" distB="0" distL="0" distR="0" wp14:anchorId="5427603A" wp14:editId="05A3655E">
                  <wp:extent cx="1191895" cy="1638300"/>
                  <wp:effectExtent l="0" t="0" r="8255" b="0"/>
                  <wp:docPr id="3" name="Picture 3" descr="cid:image001.jpg@01D72252.19B69D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72252.19B69D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4150DC" w14:textId="77777777" w:rsidR="00423C0D" w:rsidRPr="00A135DA" w:rsidRDefault="00423C0D" w:rsidP="009764CA">
            <w:pPr>
              <w:spacing w:before="120" w:after="100" w:afterAutospacing="1"/>
              <w:jc w:val="center"/>
              <w:rPr>
                <w:rFonts w:eastAsia="Calibri"/>
              </w:rPr>
            </w:pPr>
            <w:r w:rsidRPr="00A135DA">
              <w:rPr>
                <w:rFonts w:eastAsia="Calibri"/>
                <w:b/>
              </w:rPr>
              <w:t>COUR SUPRÊME DU CANADA</w:t>
            </w:r>
          </w:p>
        </w:tc>
      </w:tr>
      <w:tr w:rsidR="00D056AE" w:rsidRPr="00A135DA" w14:paraId="708C921C" w14:textId="77777777" w:rsidTr="00835135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cantSplit/>
        </w:trPr>
        <w:tc>
          <w:tcPr>
            <w:tcW w:w="2111" w:type="pct"/>
            <w:gridSpan w:val="2"/>
          </w:tcPr>
          <w:p w14:paraId="5CD6E269" w14:textId="77777777" w:rsidR="008215C3" w:rsidRPr="00A135DA" w:rsidRDefault="008215C3" w:rsidP="002F0B6C">
            <w:pPr>
              <w:rPr>
                <w:b/>
                <w:smallCaps/>
              </w:rPr>
            </w:pPr>
          </w:p>
          <w:p w14:paraId="3AB8BCB9" w14:textId="77777777" w:rsidR="00D056AE" w:rsidRPr="00A135DA" w:rsidRDefault="00D056AE" w:rsidP="002F0B6C">
            <w:pPr>
              <w:rPr>
                <w:b/>
                <w:smallCaps/>
              </w:rPr>
            </w:pPr>
            <w:r w:rsidRPr="00A135DA">
              <w:rPr>
                <w:b/>
                <w:smallCaps/>
              </w:rPr>
              <w:t>Référence :</w:t>
            </w:r>
            <w:r w:rsidRPr="00A135DA">
              <w:t xml:space="preserve"> </w:t>
            </w:r>
            <w:r w:rsidR="005843C1" w:rsidRPr="00A135DA">
              <w:t xml:space="preserve">R. </w:t>
            </w:r>
            <w:r w:rsidR="005843C1" w:rsidRPr="00A135DA">
              <w:rPr>
                <w:i/>
              </w:rPr>
              <w:t>c.</w:t>
            </w:r>
            <w:r w:rsidR="005843C1" w:rsidRPr="00A135DA">
              <w:t xml:space="preserve"> A.E., </w:t>
            </w:r>
            <w:r w:rsidRPr="00A135DA">
              <w:t>2022 CSC 4</w:t>
            </w:r>
          </w:p>
        </w:tc>
        <w:tc>
          <w:tcPr>
            <w:tcW w:w="858" w:type="pct"/>
          </w:tcPr>
          <w:p w14:paraId="5C2CD23B" w14:textId="77777777" w:rsidR="00D056AE" w:rsidRPr="00A135DA" w:rsidRDefault="00D056AE" w:rsidP="002F0B6C"/>
        </w:tc>
        <w:tc>
          <w:tcPr>
            <w:tcW w:w="2031" w:type="pct"/>
          </w:tcPr>
          <w:p w14:paraId="3E8A1725" w14:textId="77777777" w:rsidR="00D056AE" w:rsidRPr="00A135DA" w:rsidRDefault="00D056AE" w:rsidP="00423C0D">
            <w:pPr>
              <w:jc w:val="both"/>
              <w:rPr>
                <w:b/>
                <w:smallCaps/>
              </w:rPr>
            </w:pPr>
          </w:p>
          <w:p w14:paraId="52A6CDFE" w14:textId="77777777" w:rsidR="00D056AE" w:rsidRPr="00A135DA" w:rsidRDefault="00D056AE" w:rsidP="00423C0D">
            <w:pPr>
              <w:jc w:val="both"/>
            </w:pPr>
            <w:r w:rsidRPr="00A135DA">
              <w:rPr>
                <w:b/>
                <w:smallCaps/>
              </w:rPr>
              <w:t>Appel</w:t>
            </w:r>
            <w:r w:rsidR="005843C1" w:rsidRPr="00A135DA">
              <w:rPr>
                <w:b/>
                <w:smallCaps/>
              </w:rPr>
              <w:t>s</w:t>
            </w:r>
            <w:r w:rsidRPr="00A135DA">
              <w:rPr>
                <w:b/>
                <w:smallCaps/>
              </w:rPr>
              <w:t xml:space="preserve"> entendu</w:t>
            </w:r>
            <w:r w:rsidR="005843C1" w:rsidRPr="00A135DA">
              <w:rPr>
                <w:b/>
                <w:smallCaps/>
              </w:rPr>
              <w:t>s</w:t>
            </w:r>
            <w:r w:rsidRPr="00A135DA">
              <w:rPr>
                <w:b/>
                <w:smallCaps/>
              </w:rPr>
              <w:t> :</w:t>
            </w:r>
            <w:r w:rsidRPr="00A135DA">
              <w:t xml:space="preserve"> </w:t>
            </w:r>
            <w:r w:rsidR="005843C1" w:rsidRPr="00A135DA">
              <w:t xml:space="preserve">15 février </w:t>
            </w:r>
            <w:r w:rsidRPr="00A135DA">
              <w:t>2022</w:t>
            </w:r>
          </w:p>
          <w:p w14:paraId="64396429" w14:textId="77777777" w:rsidR="00D056AE" w:rsidRPr="00A135DA" w:rsidRDefault="00D056AE">
            <w:r w:rsidRPr="00A135DA">
              <w:rPr>
                <w:b/>
                <w:smallCaps/>
              </w:rPr>
              <w:t>Jugement rendu :</w:t>
            </w:r>
            <w:r w:rsidRPr="00A135DA">
              <w:t xml:space="preserve"> </w:t>
            </w:r>
            <w:r w:rsidR="005843C1" w:rsidRPr="00A135DA">
              <w:t>15 février 2022</w:t>
            </w:r>
          </w:p>
          <w:p w14:paraId="08C45F66" w14:textId="77777777" w:rsidR="00D056AE" w:rsidRPr="00A135DA" w:rsidRDefault="00D056AE" w:rsidP="002F0B6C">
            <w:r w:rsidRPr="00A135DA">
              <w:rPr>
                <w:b/>
                <w:smallCaps/>
              </w:rPr>
              <w:t>Dossier</w:t>
            </w:r>
            <w:r w:rsidR="005843C1" w:rsidRPr="00A135DA">
              <w:rPr>
                <w:b/>
                <w:smallCaps/>
              </w:rPr>
              <w:t>s</w:t>
            </w:r>
            <w:r w:rsidRPr="00A135DA">
              <w:rPr>
                <w:b/>
                <w:smallCaps/>
              </w:rPr>
              <w:t> :</w:t>
            </w:r>
            <w:r w:rsidRPr="00A135DA">
              <w:t xml:space="preserve"> 39699, 39703</w:t>
            </w:r>
          </w:p>
        </w:tc>
      </w:tr>
      <w:tr w:rsidR="00423C0D" w:rsidRPr="00A135DA" w14:paraId="795EA384" w14:textId="77777777" w:rsidTr="005843C1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c>
          <w:tcPr>
            <w:tcW w:w="5000" w:type="pct"/>
            <w:gridSpan w:val="4"/>
          </w:tcPr>
          <w:p w14:paraId="5BCE3601" w14:textId="77777777" w:rsidR="00423C0D" w:rsidRPr="00A135DA" w:rsidRDefault="00423C0D" w:rsidP="00423C0D"/>
          <w:p w14:paraId="10FAABB1" w14:textId="77777777" w:rsidR="00812BEF" w:rsidRPr="00A135DA" w:rsidRDefault="004C6A16">
            <w:pPr>
              <w:pStyle w:val="SCCLsocPrefix"/>
            </w:pPr>
            <w:r w:rsidRPr="00A135DA">
              <w:t>Entre</w:t>
            </w:r>
            <w:r w:rsidR="00C32389" w:rsidRPr="00A135DA">
              <w:t> </w:t>
            </w:r>
            <w:r w:rsidRPr="00A135DA">
              <w:t>:</w:t>
            </w:r>
          </w:p>
          <w:p w14:paraId="7B996B48" w14:textId="77777777" w:rsidR="00C32389" w:rsidRPr="00A135DA" w:rsidRDefault="00C32389" w:rsidP="00C32389"/>
          <w:p w14:paraId="47B59C05" w14:textId="77777777" w:rsidR="00812BEF" w:rsidRPr="00A135DA" w:rsidRDefault="004C6A16">
            <w:pPr>
              <w:pStyle w:val="SCCLsocParty"/>
            </w:pPr>
            <w:r w:rsidRPr="00A135DA">
              <w:t>A.E</w:t>
            </w:r>
            <w:r w:rsidR="005843C1" w:rsidRPr="00A135DA">
              <w:t>.</w:t>
            </w:r>
          </w:p>
          <w:p w14:paraId="1D2F5731" w14:textId="77777777" w:rsidR="00812BEF" w:rsidRPr="00A135DA" w:rsidRDefault="005843C1">
            <w:pPr>
              <w:pStyle w:val="SCCLsocPartyRole"/>
            </w:pPr>
            <w:r w:rsidRPr="00A135DA">
              <w:t>Appelant</w:t>
            </w:r>
          </w:p>
          <w:p w14:paraId="3C30B171" w14:textId="77777777" w:rsidR="00812BEF" w:rsidRPr="00A135DA" w:rsidRDefault="00812BEF"/>
          <w:p w14:paraId="33141032" w14:textId="77777777" w:rsidR="00812BEF" w:rsidRPr="00A135DA" w:rsidRDefault="005843C1">
            <w:pPr>
              <w:pStyle w:val="SCCLsocVersus"/>
            </w:pPr>
            <w:r w:rsidRPr="00A135DA">
              <w:t>et</w:t>
            </w:r>
          </w:p>
          <w:p w14:paraId="23BE2755" w14:textId="77777777" w:rsidR="00812BEF" w:rsidRPr="00A135DA" w:rsidRDefault="00812BEF"/>
          <w:p w14:paraId="50F7A133" w14:textId="77777777" w:rsidR="00812BEF" w:rsidRPr="00A135DA" w:rsidRDefault="004C6A16">
            <w:pPr>
              <w:pStyle w:val="SCCLsocParty"/>
            </w:pPr>
            <w:r w:rsidRPr="00A135DA">
              <w:t>Sa Majesté la Reine</w:t>
            </w:r>
          </w:p>
          <w:p w14:paraId="46EFF9A5" w14:textId="77777777" w:rsidR="00812BEF" w:rsidRPr="00A135DA" w:rsidRDefault="005843C1">
            <w:pPr>
              <w:pStyle w:val="SCCLsocPartyRole"/>
            </w:pPr>
            <w:r w:rsidRPr="00A135DA">
              <w:t>Intimée</w:t>
            </w:r>
          </w:p>
          <w:p w14:paraId="7F48F9CB" w14:textId="77777777" w:rsidR="00812BEF" w:rsidRPr="00A135DA" w:rsidRDefault="00812BEF"/>
          <w:p w14:paraId="2DA3CC32" w14:textId="77777777" w:rsidR="00812BEF" w:rsidRPr="00A135DA" w:rsidRDefault="004C6A16">
            <w:pPr>
              <w:pStyle w:val="SCCLsocOtherPartySeparator"/>
            </w:pPr>
            <w:r w:rsidRPr="00A135DA">
              <w:t>- et -</w:t>
            </w:r>
          </w:p>
          <w:p w14:paraId="7FDD5FEB" w14:textId="77777777" w:rsidR="00812BEF" w:rsidRPr="00A135DA" w:rsidRDefault="00812BEF"/>
          <w:p w14:paraId="6AB5BEB1" w14:textId="77777777" w:rsidR="00812BEF" w:rsidRPr="00A135DA" w:rsidRDefault="004C6A16">
            <w:pPr>
              <w:pStyle w:val="SCCLsocParty"/>
            </w:pPr>
            <w:r w:rsidRPr="00A135DA">
              <w:t>Directrice des poursuites pénales</w:t>
            </w:r>
          </w:p>
          <w:p w14:paraId="5961841C" w14:textId="77777777" w:rsidR="00812BEF" w:rsidRPr="00A135DA" w:rsidRDefault="005843C1">
            <w:pPr>
              <w:pStyle w:val="SCCLsocPartyRole"/>
            </w:pPr>
            <w:r w:rsidRPr="00A135DA">
              <w:t>Intervenante</w:t>
            </w:r>
          </w:p>
          <w:p w14:paraId="0D161106" w14:textId="77777777" w:rsidR="00812BEF" w:rsidRPr="00A135DA" w:rsidRDefault="00812BEF"/>
          <w:p w14:paraId="2297C768" w14:textId="77777777" w:rsidR="00812BEF" w:rsidRPr="00A135DA" w:rsidRDefault="004C6A16">
            <w:pPr>
              <w:pStyle w:val="SCCLsocPrefix"/>
            </w:pPr>
            <w:r w:rsidRPr="00A135DA">
              <w:t>E</w:t>
            </w:r>
            <w:r w:rsidR="00C32389" w:rsidRPr="00A135DA">
              <w:t>t entre </w:t>
            </w:r>
            <w:r w:rsidRPr="00A135DA">
              <w:t>:</w:t>
            </w:r>
          </w:p>
          <w:p w14:paraId="33C9AB69" w14:textId="77777777" w:rsidR="00C32389" w:rsidRPr="00A135DA" w:rsidRDefault="00C32389" w:rsidP="00C32389"/>
          <w:p w14:paraId="5AC1B1AF" w14:textId="77777777" w:rsidR="00812BEF" w:rsidRPr="00A135DA" w:rsidRDefault="004C6A16">
            <w:pPr>
              <w:pStyle w:val="SCCLsocParty"/>
            </w:pPr>
            <w:r w:rsidRPr="00A135DA">
              <w:t>T.C.F.</w:t>
            </w:r>
          </w:p>
          <w:p w14:paraId="53CA7EE8" w14:textId="77777777" w:rsidR="00812BEF" w:rsidRPr="00A135DA" w:rsidRDefault="005843C1">
            <w:pPr>
              <w:pStyle w:val="SCCLsocPartyRole"/>
            </w:pPr>
            <w:r w:rsidRPr="00A135DA">
              <w:t>Appelant</w:t>
            </w:r>
          </w:p>
          <w:p w14:paraId="1A737F8C" w14:textId="77777777" w:rsidR="00812BEF" w:rsidRPr="00A135DA" w:rsidRDefault="00812BEF"/>
          <w:p w14:paraId="5BF0DB99" w14:textId="77777777" w:rsidR="00812BEF" w:rsidRPr="00A135DA" w:rsidRDefault="005843C1">
            <w:pPr>
              <w:pStyle w:val="SCCLsocVersus"/>
            </w:pPr>
            <w:r w:rsidRPr="00A135DA">
              <w:t>et</w:t>
            </w:r>
          </w:p>
          <w:p w14:paraId="42257032" w14:textId="77777777" w:rsidR="00812BEF" w:rsidRPr="00A135DA" w:rsidRDefault="00812BEF"/>
          <w:p w14:paraId="314E126B" w14:textId="77777777" w:rsidR="00812BEF" w:rsidRPr="00A135DA" w:rsidRDefault="004C6A16">
            <w:pPr>
              <w:pStyle w:val="SCCLsocParty"/>
            </w:pPr>
            <w:r w:rsidRPr="00A135DA">
              <w:t>Sa Majesté la Reine</w:t>
            </w:r>
          </w:p>
          <w:p w14:paraId="1B256E10" w14:textId="77777777" w:rsidR="00812BEF" w:rsidRPr="00A135DA" w:rsidRDefault="005843C1">
            <w:pPr>
              <w:pStyle w:val="SCCLsocPartyRole"/>
            </w:pPr>
            <w:r w:rsidRPr="00A135DA">
              <w:t>Intimée</w:t>
            </w:r>
          </w:p>
          <w:p w14:paraId="05FC1177" w14:textId="77777777" w:rsidR="00812BEF" w:rsidRPr="00A135DA" w:rsidRDefault="00812BEF"/>
          <w:p w14:paraId="3236B7CE" w14:textId="77777777" w:rsidR="00812BEF" w:rsidRPr="00A135DA" w:rsidRDefault="004C6A16">
            <w:pPr>
              <w:pStyle w:val="SCCLsocOtherPartySeparator"/>
            </w:pPr>
            <w:r w:rsidRPr="00A135DA">
              <w:t>- et -</w:t>
            </w:r>
          </w:p>
          <w:p w14:paraId="78362ECD" w14:textId="77777777" w:rsidR="00812BEF" w:rsidRPr="00A135DA" w:rsidRDefault="00812BEF"/>
          <w:p w14:paraId="51AE6DED" w14:textId="77777777" w:rsidR="00812BEF" w:rsidRPr="00A135DA" w:rsidRDefault="005843C1">
            <w:pPr>
              <w:pStyle w:val="SCCLsocParty"/>
            </w:pPr>
            <w:r w:rsidRPr="00A135DA">
              <w:t>Directrice des poursuites pénales</w:t>
            </w:r>
          </w:p>
          <w:p w14:paraId="2BBBF5E4" w14:textId="77777777" w:rsidR="00812BEF" w:rsidRPr="00A135DA" w:rsidRDefault="005843C1">
            <w:pPr>
              <w:pStyle w:val="SCCLsocPartyRole"/>
            </w:pPr>
            <w:r w:rsidRPr="00A135DA">
              <w:t>Intervenante</w:t>
            </w:r>
          </w:p>
          <w:p w14:paraId="64D4E8AB" w14:textId="77777777" w:rsidR="00C34313" w:rsidRPr="00A135DA" w:rsidRDefault="00C34313" w:rsidP="00423C0D"/>
          <w:p w14:paraId="56EED4D7" w14:textId="77777777" w:rsidR="00423C0D" w:rsidRPr="00A135DA" w:rsidRDefault="00423C0D" w:rsidP="00423C0D">
            <w:pPr>
              <w:jc w:val="center"/>
              <w:rPr>
                <w:b/>
                <w:smallCaps/>
              </w:rPr>
            </w:pPr>
            <w:r w:rsidRPr="00A135DA">
              <w:rPr>
                <w:b/>
                <w:smallCaps/>
              </w:rPr>
              <w:t>Traduction française officielle</w:t>
            </w:r>
          </w:p>
          <w:p w14:paraId="23682B73" w14:textId="77777777" w:rsidR="00423C0D" w:rsidRPr="00A135DA" w:rsidRDefault="00423C0D" w:rsidP="00423C0D"/>
          <w:p w14:paraId="6E57B178" w14:textId="77777777" w:rsidR="00423C0D" w:rsidRPr="00A135DA" w:rsidRDefault="00423C0D" w:rsidP="00423C0D">
            <w:r w:rsidRPr="00A135DA">
              <w:rPr>
                <w:b/>
                <w:smallCaps/>
              </w:rPr>
              <w:t>Coram :</w:t>
            </w:r>
            <w:r w:rsidRPr="00A135DA">
              <w:t xml:space="preserve"> Le juge en chef Wagner et les juges Moldaver, Karakatsanis, Côté, Brown, Rowe, Martin, Kasirer et Jamal</w:t>
            </w:r>
          </w:p>
          <w:p w14:paraId="35402881" w14:textId="77777777" w:rsidR="00423C0D" w:rsidRPr="00A135DA" w:rsidRDefault="00423C0D" w:rsidP="00423C0D">
            <w:pPr>
              <w:jc w:val="both"/>
              <w:rPr>
                <w:b/>
                <w:smallCaps/>
              </w:rPr>
            </w:pPr>
          </w:p>
        </w:tc>
      </w:tr>
      <w:tr w:rsidR="005843C1" w:rsidRPr="00A135DA" w14:paraId="4AE50214" w14:textId="77777777" w:rsidTr="005843C1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cantSplit/>
        </w:trPr>
        <w:tc>
          <w:tcPr>
            <w:tcW w:w="1252" w:type="pct"/>
          </w:tcPr>
          <w:p w14:paraId="3EB40A2C" w14:textId="77777777" w:rsidR="005843C1" w:rsidRPr="00A135DA" w:rsidRDefault="005843C1" w:rsidP="00FA0A61">
            <w:pPr>
              <w:rPr>
                <w:rFonts w:eastAsia="Times New Roman" w:cs="Times New Roman"/>
                <w:color w:val="000000"/>
                <w:szCs w:val="27"/>
              </w:rPr>
            </w:pPr>
            <w:r w:rsidRPr="00A135DA">
              <w:rPr>
                <w:rFonts w:eastAsia="Times New Roman" w:cs="Times New Roman"/>
                <w:b/>
                <w:bCs/>
                <w:smallCaps/>
                <w:color w:val="000000"/>
                <w:szCs w:val="27"/>
              </w:rPr>
              <w:lastRenderedPageBreak/>
              <w:t>Jugement unanime lu par :</w:t>
            </w:r>
          </w:p>
          <w:p w14:paraId="1BF70058" w14:textId="77777777" w:rsidR="005843C1" w:rsidRPr="00A135DA" w:rsidRDefault="005843C1" w:rsidP="00FA0A61">
            <w:pPr>
              <w:rPr>
                <w:rFonts w:eastAsia="Times New Roman" w:cs="Times New Roman"/>
                <w:color w:val="000000"/>
                <w:szCs w:val="27"/>
              </w:rPr>
            </w:pPr>
            <w:r w:rsidRPr="00A135DA">
              <w:rPr>
                <w:rFonts w:eastAsia="Times New Roman" w:cs="Times New Roman"/>
                <w:color w:val="000000"/>
                <w:szCs w:val="27"/>
              </w:rPr>
              <w:t xml:space="preserve">(par. 1 à </w:t>
            </w:r>
            <w:r w:rsidR="004C6A16" w:rsidRPr="00A135DA">
              <w:rPr>
                <w:rFonts w:eastAsia="Times New Roman" w:cs="Times New Roman"/>
                <w:color w:val="000000"/>
                <w:szCs w:val="27"/>
              </w:rPr>
              <w:t>6</w:t>
            </w:r>
            <w:r w:rsidRPr="00A135DA">
              <w:rPr>
                <w:rFonts w:eastAsia="Times New Roman" w:cs="Times New Roman"/>
                <w:color w:val="000000"/>
                <w:szCs w:val="27"/>
              </w:rPr>
              <w:t>)</w:t>
            </w:r>
          </w:p>
          <w:p w14:paraId="6DD4F8F2" w14:textId="77777777" w:rsidR="005843C1" w:rsidRPr="00A135DA" w:rsidRDefault="005843C1" w:rsidP="00FA0A61"/>
        </w:tc>
        <w:tc>
          <w:tcPr>
            <w:tcW w:w="3748" w:type="pct"/>
            <w:gridSpan w:val="3"/>
          </w:tcPr>
          <w:p w14:paraId="1E5F58F9" w14:textId="77777777" w:rsidR="005843C1" w:rsidRPr="00A135DA" w:rsidRDefault="005843C1" w:rsidP="00FA0A61">
            <w:r w:rsidRPr="00A135DA">
              <w:t>Le juge Moldaver</w:t>
            </w:r>
          </w:p>
        </w:tc>
      </w:tr>
      <w:tr w:rsidR="005843C1" w:rsidRPr="00A135DA" w14:paraId="117A5907" w14:textId="77777777" w:rsidTr="005843C1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cantSplit/>
        </w:trPr>
        <w:tc>
          <w:tcPr>
            <w:tcW w:w="5000" w:type="pct"/>
            <w:gridSpan w:val="4"/>
          </w:tcPr>
          <w:p w14:paraId="71FCFCC7" w14:textId="77777777" w:rsidR="005843C1" w:rsidRPr="00A135DA" w:rsidRDefault="005843C1" w:rsidP="00CD157F">
            <w:pPr>
              <w:rPr>
                <w:lang w:val="en-US"/>
              </w:rPr>
            </w:pPr>
          </w:p>
        </w:tc>
      </w:tr>
    </w:tbl>
    <w:p w14:paraId="09DB4110" w14:textId="77777777" w:rsidR="00904937" w:rsidRPr="00A135DA" w:rsidRDefault="00904937">
      <w:r w:rsidRPr="00A135DA">
        <w:rPr>
          <w:b/>
          <w:smallCaps/>
        </w:rPr>
        <w:t>Note</w:t>
      </w:r>
      <w:r w:rsidR="002F0B6C" w:rsidRPr="00A135DA">
        <w:rPr>
          <w:b/>
          <w:smallCaps/>
        </w:rPr>
        <w:t> :</w:t>
      </w:r>
      <w:r w:rsidRPr="00A135DA">
        <w:rPr>
          <w:b/>
        </w:rPr>
        <w:t xml:space="preserve"> </w:t>
      </w:r>
      <w:r w:rsidR="001E12E2" w:rsidRPr="00A135DA">
        <w:t>Ce document fera l’objet de retouches de forme avant la parution</w:t>
      </w:r>
      <w:r w:rsidR="005C0397" w:rsidRPr="00A135DA">
        <w:t xml:space="preserve"> </w:t>
      </w:r>
      <w:r w:rsidR="001E12E2" w:rsidRPr="00A135DA">
        <w:t>de sa version définitive dans le</w:t>
      </w:r>
      <w:r w:rsidRPr="00A135DA">
        <w:t xml:space="preserve"> </w:t>
      </w:r>
      <w:r w:rsidR="001E12E2" w:rsidRPr="00A135DA">
        <w:rPr>
          <w:i/>
        </w:rPr>
        <w:t>Recueil des arrêts de la Cour suprême du C</w:t>
      </w:r>
      <w:r w:rsidRPr="00A135DA">
        <w:rPr>
          <w:i/>
        </w:rPr>
        <w:t>anada</w:t>
      </w:r>
      <w:r w:rsidRPr="00A135DA"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3744"/>
        <w:gridCol w:w="2808"/>
      </w:tblGrid>
      <w:tr w:rsidR="000D1436" w:rsidRPr="00A135DA" w14:paraId="34A09FF3" w14:textId="77777777" w:rsidTr="003375C9">
        <w:tc>
          <w:tcPr>
            <w:tcW w:w="1500" w:type="pct"/>
            <w:tcMar>
              <w:top w:w="284" w:type="dxa"/>
            </w:tcMar>
          </w:tcPr>
          <w:p w14:paraId="3B5BC3ED" w14:textId="77777777" w:rsidR="000D1436" w:rsidRPr="00A135DA" w:rsidRDefault="000D1436" w:rsidP="003375C9">
            <w:pPr>
              <w:rPr>
                <w:rFonts w:eastAsia="Calibri"/>
              </w:rPr>
            </w:pPr>
          </w:p>
        </w:tc>
        <w:tc>
          <w:tcPr>
            <w:tcW w:w="2000" w:type="pct"/>
            <w:tcBorders>
              <w:bottom w:val="single" w:sz="4" w:space="0" w:color="auto"/>
            </w:tcBorders>
            <w:tcMar>
              <w:top w:w="284" w:type="dxa"/>
            </w:tcMar>
          </w:tcPr>
          <w:p w14:paraId="4A782F04" w14:textId="77777777" w:rsidR="000D1436" w:rsidRPr="00A135DA" w:rsidRDefault="000D1436" w:rsidP="003375C9">
            <w:pPr>
              <w:rPr>
                <w:rFonts w:eastAsia="Calibri"/>
              </w:rPr>
            </w:pPr>
          </w:p>
        </w:tc>
        <w:tc>
          <w:tcPr>
            <w:tcW w:w="1500" w:type="pct"/>
            <w:tcMar>
              <w:top w:w="284" w:type="dxa"/>
            </w:tcMar>
          </w:tcPr>
          <w:p w14:paraId="7FB09713" w14:textId="77777777" w:rsidR="000D1436" w:rsidRPr="00A135DA" w:rsidRDefault="000D1436" w:rsidP="003375C9">
            <w:pPr>
              <w:rPr>
                <w:rFonts w:eastAsia="Calibri"/>
              </w:rPr>
            </w:pPr>
          </w:p>
        </w:tc>
      </w:tr>
    </w:tbl>
    <w:p w14:paraId="73F31E46" w14:textId="77777777" w:rsidR="00CD157F" w:rsidRPr="00CD157F" w:rsidRDefault="00CD157F" w:rsidP="00CD157F">
      <w:pPr>
        <w:tabs>
          <w:tab w:val="right" w:pos="8222"/>
        </w:tabs>
        <w:spacing w:after="720"/>
        <w:rPr>
          <w:rFonts w:eastAsia="Times New Roman" w:cs="Times New Roman"/>
          <w:szCs w:val="20"/>
          <w:lang w:eastAsia="en-CA"/>
        </w:rPr>
      </w:pPr>
    </w:p>
    <w:p w14:paraId="3BB915E0" w14:textId="77777777" w:rsidR="00CD157F" w:rsidRPr="00CD157F" w:rsidRDefault="00CD157F" w:rsidP="00CD157F">
      <w:pPr>
        <w:tabs>
          <w:tab w:val="right" w:pos="8222"/>
        </w:tabs>
        <w:spacing w:after="720"/>
        <w:rPr>
          <w:rFonts w:eastAsia="Times New Roman" w:cs="Times New Roman"/>
          <w:b/>
          <w:szCs w:val="20"/>
          <w:lang w:eastAsia="en-CA"/>
        </w:rPr>
      </w:pPr>
      <w:proofErr w:type="spellStart"/>
      <w:r w:rsidRPr="00CD157F">
        <w:rPr>
          <w:rFonts w:eastAsia="Times New Roman" w:cs="Times New Roman"/>
          <w:b/>
          <w:szCs w:val="20"/>
          <w:lang w:eastAsia="en-CA"/>
        </w:rPr>
        <w:t>A.E</w:t>
      </w:r>
      <w:proofErr w:type="spellEnd"/>
      <w:r w:rsidRPr="00CD157F">
        <w:rPr>
          <w:rFonts w:eastAsia="Times New Roman" w:cs="Times New Roman"/>
          <w:b/>
          <w:szCs w:val="20"/>
          <w:lang w:eastAsia="en-CA"/>
        </w:rPr>
        <w:t>.</w:t>
      </w:r>
      <w:r w:rsidRPr="00CD157F">
        <w:rPr>
          <w:rFonts w:eastAsia="Times New Roman" w:cs="Times New Roman"/>
          <w:i/>
          <w:szCs w:val="20"/>
          <w:lang w:eastAsia="en-CA"/>
        </w:rPr>
        <w:tab/>
        <w:t>Appelant</w:t>
      </w:r>
    </w:p>
    <w:p w14:paraId="4689126F" w14:textId="77777777" w:rsidR="00CD157F" w:rsidRPr="00CD157F" w:rsidRDefault="00CD157F" w:rsidP="00CD157F">
      <w:pPr>
        <w:spacing w:after="720"/>
        <w:rPr>
          <w:rFonts w:eastAsia="Times New Roman" w:cs="Times New Roman"/>
          <w:i/>
          <w:szCs w:val="20"/>
          <w:lang w:eastAsia="en-CA"/>
        </w:rPr>
      </w:pPr>
      <w:proofErr w:type="gramStart"/>
      <w:r w:rsidRPr="00CD157F">
        <w:rPr>
          <w:rFonts w:eastAsia="Times New Roman" w:cs="Times New Roman"/>
          <w:i/>
          <w:szCs w:val="20"/>
          <w:lang w:eastAsia="en-CA"/>
        </w:rPr>
        <w:t>c</w:t>
      </w:r>
      <w:proofErr w:type="gramEnd"/>
      <w:r w:rsidRPr="00CD157F">
        <w:rPr>
          <w:rFonts w:eastAsia="Times New Roman" w:cs="Times New Roman"/>
          <w:i/>
          <w:szCs w:val="20"/>
          <w:lang w:eastAsia="en-CA"/>
        </w:rPr>
        <w:t>.</w:t>
      </w:r>
    </w:p>
    <w:p w14:paraId="139517ED" w14:textId="77777777" w:rsidR="00CD157F" w:rsidRPr="00CD157F" w:rsidRDefault="00CD157F" w:rsidP="00CD157F">
      <w:pPr>
        <w:tabs>
          <w:tab w:val="right" w:pos="8222"/>
        </w:tabs>
        <w:spacing w:after="720"/>
        <w:rPr>
          <w:rFonts w:eastAsia="Times New Roman" w:cs="Times New Roman"/>
          <w:b/>
          <w:szCs w:val="20"/>
          <w:lang w:eastAsia="en-CA"/>
        </w:rPr>
      </w:pPr>
      <w:r w:rsidRPr="00CD157F">
        <w:rPr>
          <w:rFonts w:eastAsia="Times New Roman" w:cs="Times New Roman"/>
          <w:b/>
          <w:szCs w:val="20"/>
          <w:lang w:eastAsia="en-CA"/>
        </w:rPr>
        <w:t>Sa Majesté la Reine</w:t>
      </w:r>
      <w:r w:rsidRPr="00CD157F">
        <w:rPr>
          <w:rFonts w:eastAsia="Times New Roman" w:cs="Times New Roman"/>
          <w:i/>
          <w:szCs w:val="20"/>
          <w:lang w:eastAsia="en-CA"/>
        </w:rPr>
        <w:tab/>
        <w:t>Intimée</w:t>
      </w:r>
    </w:p>
    <w:p w14:paraId="59C38C47" w14:textId="77777777" w:rsidR="00CD157F" w:rsidRPr="00CD157F" w:rsidRDefault="00CD157F" w:rsidP="00CD157F">
      <w:pPr>
        <w:spacing w:after="720"/>
        <w:rPr>
          <w:rFonts w:eastAsia="Times New Roman" w:cs="Times New Roman"/>
          <w:szCs w:val="20"/>
          <w:lang w:eastAsia="en-CA"/>
        </w:rPr>
      </w:pPr>
      <w:proofErr w:type="gramStart"/>
      <w:r w:rsidRPr="00CD157F">
        <w:rPr>
          <w:rFonts w:eastAsia="Times New Roman" w:cs="Times New Roman"/>
          <w:szCs w:val="20"/>
          <w:lang w:eastAsia="en-CA"/>
        </w:rPr>
        <w:t>et</w:t>
      </w:r>
      <w:proofErr w:type="gramEnd"/>
    </w:p>
    <w:p w14:paraId="3DE96DF0" w14:textId="77777777" w:rsidR="00CD157F" w:rsidRPr="00CD157F" w:rsidRDefault="00CD157F" w:rsidP="00CD157F">
      <w:pPr>
        <w:tabs>
          <w:tab w:val="right" w:pos="8222"/>
        </w:tabs>
        <w:spacing w:after="720"/>
        <w:rPr>
          <w:rFonts w:eastAsia="Times New Roman" w:cs="Times New Roman"/>
          <w:i/>
          <w:szCs w:val="20"/>
          <w:lang w:eastAsia="en-CA"/>
        </w:rPr>
      </w:pPr>
      <w:r w:rsidRPr="00CD157F">
        <w:rPr>
          <w:rFonts w:eastAsia="Times New Roman" w:cs="Times New Roman"/>
          <w:b/>
          <w:szCs w:val="20"/>
          <w:lang w:eastAsia="en-CA"/>
        </w:rPr>
        <w:t>Directrice des poursuites pénales</w:t>
      </w:r>
      <w:r w:rsidRPr="00CD157F">
        <w:rPr>
          <w:rFonts w:eastAsia="Times New Roman" w:cs="Times New Roman"/>
          <w:i/>
          <w:szCs w:val="20"/>
          <w:lang w:eastAsia="en-CA"/>
        </w:rPr>
        <w:tab/>
        <w:t>Intervenante</w:t>
      </w:r>
    </w:p>
    <w:p w14:paraId="3F2B6A7A" w14:textId="77777777" w:rsidR="00CD157F" w:rsidRPr="00CD157F" w:rsidRDefault="00CD157F" w:rsidP="00CD157F">
      <w:pPr>
        <w:spacing w:after="720"/>
        <w:rPr>
          <w:rFonts w:eastAsia="Times New Roman" w:cs="Times New Roman"/>
          <w:szCs w:val="20"/>
          <w:lang w:eastAsia="en-CA"/>
        </w:rPr>
      </w:pPr>
      <w:r w:rsidRPr="00CD157F">
        <w:rPr>
          <w:rFonts w:eastAsia="Times New Roman" w:cs="Times New Roman"/>
          <w:szCs w:val="20"/>
          <w:lang w:eastAsia="en-CA"/>
        </w:rPr>
        <w:noBreakHyphen/>
        <w:t xml:space="preserve"> </w:t>
      </w:r>
      <w:proofErr w:type="gramStart"/>
      <w:r w:rsidRPr="00CD157F">
        <w:rPr>
          <w:rFonts w:eastAsia="Times New Roman" w:cs="Times New Roman"/>
          <w:szCs w:val="20"/>
          <w:lang w:eastAsia="en-CA"/>
        </w:rPr>
        <w:t>et</w:t>
      </w:r>
      <w:proofErr w:type="gramEnd"/>
      <w:r w:rsidRPr="00CD157F">
        <w:rPr>
          <w:rFonts w:eastAsia="Times New Roman" w:cs="Times New Roman"/>
          <w:szCs w:val="20"/>
          <w:lang w:eastAsia="en-CA"/>
        </w:rPr>
        <w:t xml:space="preserve"> </w:t>
      </w:r>
      <w:r w:rsidRPr="00CD157F">
        <w:rPr>
          <w:rFonts w:eastAsia="Times New Roman" w:cs="Times New Roman"/>
          <w:szCs w:val="20"/>
          <w:lang w:eastAsia="en-CA"/>
        </w:rPr>
        <w:noBreakHyphen/>
      </w:r>
    </w:p>
    <w:p w14:paraId="7FA09F6F" w14:textId="77777777" w:rsidR="00CD157F" w:rsidRPr="00CD157F" w:rsidRDefault="00CD157F" w:rsidP="00CD157F">
      <w:pPr>
        <w:tabs>
          <w:tab w:val="right" w:pos="8222"/>
        </w:tabs>
        <w:spacing w:after="720"/>
        <w:rPr>
          <w:rFonts w:eastAsia="Times New Roman" w:cs="Times New Roman"/>
          <w:b/>
          <w:szCs w:val="20"/>
          <w:lang w:eastAsia="en-CA"/>
        </w:rPr>
      </w:pPr>
      <w:proofErr w:type="spellStart"/>
      <w:r w:rsidRPr="00CD157F">
        <w:rPr>
          <w:rFonts w:eastAsia="Times New Roman" w:cs="Times New Roman"/>
          <w:b/>
          <w:szCs w:val="20"/>
          <w:lang w:eastAsia="en-CA"/>
        </w:rPr>
        <w:t>T.C.F</w:t>
      </w:r>
      <w:proofErr w:type="spellEnd"/>
      <w:r w:rsidRPr="00CD157F">
        <w:rPr>
          <w:rFonts w:eastAsia="Times New Roman" w:cs="Times New Roman"/>
          <w:b/>
          <w:szCs w:val="20"/>
          <w:lang w:eastAsia="en-CA"/>
        </w:rPr>
        <w:t>.</w:t>
      </w:r>
      <w:r w:rsidRPr="00CD157F">
        <w:rPr>
          <w:rFonts w:eastAsia="Times New Roman" w:cs="Times New Roman"/>
          <w:i/>
          <w:szCs w:val="20"/>
          <w:lang w:eastAsia="en-CA"/>
        </w:rPr>
        <w:tab/>
        <w:t>Appelant</w:t>
      </w:r>
    </w:p>
    <w:p w14:paraId="501172B7" w14:textId="77777777" w:rsidR="00CD157F" w:rsidRPr="00CD157F" w:rsidRDefault="00CD157F" w:rsidP="00CD157F">
      <w:pPr>
        <w:spacing w:after="720"/>
        <w:rPr>
          <w:rFonts w:eastAsia="Times New Roman" w:cs="Times New Roman"/>
          <w:i/>
          <w:szCs w:val="20"/>
          <w:lang w:eastAsia="en-CA"/>
        </w:rPr>
      </w:pPr>
      <w:proofErr w:type="gramStart"/>
      <w:r w:rsidRPr="00CD157F">
        <w:rPr>
          <w:rFonts w:eastAsia="Times New Roman" w:cs="Times New Roman"/>
          <w:i/>
          <w:szCs w:val="20"/>
          <w:lang w:eastAsia="en-CA"/>
        </w:rPr>
        <w:t>c</w:t>
      </w:r>
      <w:proofErr w:type="gramEnd"/>
      <w:r w:rsidRPr="00CD157F">
        <w:rPr>
          <w:rFonts w:eastAsia="Times New Roman" w:cs="Times New Roman"/>
          <w:i/>
          <w:szCs w:val="20"/>
          <w:lang w:eastAsia="en-CA"/>
        </w:rPr>
        <w:t>.</w:t>
      </w:r>
    </w:p>
    <w:p w14:paraId="486AA707" w14:textId="77777777" w:rsidR="00CD157F" w:rsidRPr="00CD157F" w:rsidRDefault="00CD157F" w:rsidP="00CD157F">
      <w:pPr>
        <w:tabs>
          <w:tab w:val="right" w:pos="8222"/>
        </w:tabs>
        <w:spacing w:after="720"/>
        <w:rPr>
          <w:rFonts w:eastAsia="Times New Roman" w:cs="Times New Roman"/>
          <w:b/>
          <w:szCs w:val="20"/>
          <w:lang w:eastAsia="en-CA"/>
        </w:rPr>
      </w:pPr>
      <w:r w:rsidRPr="00CD157F">
        <w:rPr>
          <w:rFonts w:eastAsia="Times New Roman" w:cs="Times New Roman"/>
          <w:b/>
          <w:szCs w:val="20"/>
          <w:lang w:eastAsia="en-CA"/>
        </w:rPr>
        <w:t>Sa Majesté la Reine</w:t>
      </w:r>
      <w:r w:rsidRPr="00CD157F">
        <w:rPr>
          <w:rFonts w:eastAsia="Times New Roman" w:cs="Times New Roman"/>
          <w:i/>
          <w:szCs w:val="20"/>
          <w:lang w:eastAsia="en-CA"/>
        </w:rPr>
        <w:tab/>
        <w:t>Intimée</w:t>
      </w:r>
    </w:p>
    <w:p w14:paraId="3E969B7F" w14:textId="77777777" w:rsidR="00CD157F" w:rsidRPr="00CD157F" w:rsidRDefault="00CD157F" w:rsidP="00CD157F">
      <w:pPr>
        <w:spacing w:after="720"/>
        <w:rPr>
          <w:rFonts w:eastAsia="Times New Roman" w:cs="Times New Roman"/>
          <w:szCs w:val="20"/>
          <w:lang w:eastAsia="en-CA"/>
        </w:rPr>
      </w:pPr>
      <w:proofErr w:type="gramStart"/>
      <w:r w:rsidRPr="00CD157F">
        <w:rPr>
          <w:rFonts w:eastAsia="Times New Roman" w:cs="Times New Roman"/>
          <w:szCs w:val="20"/>
          <w:lang w:eastAsia="en-CA"/>
        </w:rPr>
        <w:t>et</w:t>
      </w:r>
      <w:proofErr w:type="gramEnd"/>
    </w:p>
    <w:p w14:paraId="32D83CD1" w14:textId="77777777" w:rsidR="00CD157F" w:rsidRPr="00CD157F" w:rsidRDefault="00CD157F" w:rsidP="00CD157F">
      <w:pPr>
        <w:tabs>
          <w:tab w:val="right" w:pos="8222"/>
        </w:tabs>
        <w:spacing w:after="720"/>
        <w:rPr>
          <w:rFonts w:eastAsia="Times New Roman" w:cs="Times New Roman"/>
          <w:b/>
          <w:szCs w:val="20"/>
          <w:lang w:eastAsia="en-CA"/>
        </w:rPr>
      </w:pPr>
      <w:r w:rsidRPr="00CD157F">
        <w:rPr>
          <w:rFonts w:eastAsia="Times New Roman" w:cs="Times New Roman"/>
          <w:b/>
          <w:szCs w:val="20"/>
          <w:lang w:eastAsia="en-CA"/>
        </w:rPr>
        <w:t>Directrice des poursuites pénales</w:t>
      </w:r>
      <w:r w:rsidRPr="00CD157F">
        <w:rPr>
          <w:rFonts w:eastAsia="Times New Roman" w:cs="Times New Roman"/>
          <w:i/>
          <w:szCs w:val="20"/>
          <w:lang w:eastAsia="en-CA"/>
        </w:rPr>
        <w:tab/>
        <w:t>Intervenante</w:t>
      </w:r>
    </w:p>
    <w:p w14:paraId="2CA1E40F" w14:textId="77777777" w:rsidR="00CD157F" w:rsidRPr="00CD157F" w:rsidRDefault="00CD157F" w:rsidP="00CD157F">
      <w:pPr>
        <w:spacing w:after="720"/>
        <w:jc w:val="both"/>
        <w:rPr>
          <w:rFonts w:eastAsia="Times New Roman" w:cs="Times New Roman"/>
          <w:b/>
          <w:szCs w:val="20"/>
          <w:lang w:eastAsia="en-CA"/>
        </w:rPr>
      </w:pPr>
      <w:r w:rsidRPr="00CD157F">
        <w:rPr>
          <w:rFonts w:eastAsia="Times New Roman" w:cs="Times New Roman"/>
          <w:b/>
          <w:szCs w:val="20"/>
          <w:lang w:eastAsia="en-CA"/>
        </w:rPr>
        <w:t xml:space="preserve">Répertorié : R. </w:t>
      </w:r>
      <w:r w:rsidRPr="00CD157F">
        <w:rPr>
          <w:rFonts w:eastAsia="Times New Roman" w:cs="Times New Roman"/>
          <w:b/>
          <w:i/>
          <w:szCs w:val="20"/>
          <w:lang w:eastAsia="en-CA"/>
        </w:rPr>
        <w:t xml:space="preserve">c. </w:t>
      </w:r>
      <w:proofErr w:type="spellStart"/>
      <w:r w:rsidRPr="00CD157F">
        <w:rPr>
          <w:rFonts w:eastAsia="Times New Roman" w:cs="Times New Roman"/>
          <w:b/>
          <w:szCs w:val="20"/>
          <w:lang w:eastAsia="en-CA"/>
        </w:rPr>
        <w:t>A.E</w:t>
      </w:r>
      <w:proofErr w:type="spellEnd"/>
      <w:r w:rsidRPr="00CD157F">
        <w:rPr>
          <w:rFonts w:eastAsia="Times New Roman" w:cs="Times New Roman"/>
          <w:b/>
          <w:szCs w:val="20"/>
          <w:lang w:eastAsia="en-CA"/>
        </w:rPr>
        <w:t>.</w:t>
      </w:r>
    </w:p>
    <w:p w14:paraId="59B6EDE3" w14:textId="77777777" w:rsidR="00CD157F" w:rsidRPr="00CD157F" w:rsidRDefault="00CD157F" w:rsidP="00CD157F">
      <w:pPr>
        <w:spacing w:after="720"/>
        <w:jc w:val="both"/>
        <w:rPr>
          <w:rFonts w:eastAsia="Times New Roman" w:cs="Times New Roman"/>
          <w:b/>
          <w:szCs w:val="20"/>
          <w:lang w:eastAsia="en-CA"/>
        </w:rPr>
      </w:pPr>
      <w:r w:rsidRPr="00CD157F">
        <w:rPr>
          <w:rFonts w:eastAsia="Times New Roman" w:cs="Times New Roman"/>
          <w:b/>
          <w:szCs w:val="20"/>
          <w:lang w:eastAsia="en-CA"/>
        </w:rPr>
        <w:t>2022 CSC 4</w:t>
      </w:r>
    </w:p>
    <w:p w14:paraId="59D10085" w14:textId="77777777" w:rsidR="00CD157F" w:rsidRPr="00CD157F" w:rsidRDefault="00CD157F" w:rsidP="00CD157F">
      <w:pPr>
        <w:spacing w:after="720"/>
        <w:jc w:val="both"/>
        <w:rPr>
          <w:rFonts w:eastAsia="Times New Roman" w:cs="Times New Roman"/>
          <w:szCs w:val="20"/>
          <w:lang w:eastAsia="en-CA"/>
        </w:rPr>
      </w:pPr>
      <w:r w:rsidRPr="00CD157F">
        <w:rPr>
          <w:rFonts w:eastAsia="Times New Roman" w:cs="Times New Roman"/>
          <w:szCs w:val="20"/>
          <w:lang w:eastAsia="en-CA"/>
        </w:rPr>
        <w:t>N</w:t>
      </w:r>
      <w:r w:rsidRPr="00CD157F">
        <w:rPr>
          <w:rFonts w:eastAsia="Times New Roman" w:cs="Times New Roman"/>
          <w:szCs w:val="20"/>
          <w:vertAlign w:val="superscript"/>
          <w:lang w:eastAsia="en-CA"/>
        </w:rPr>
        <w:t>os</w:t>
      </w:r>
      <w:r w:rsidRPr="00CD157F">
        <w:rPr>
          <w:rFonts w:eastAsia="Times New Roman" w:cs="Times New Roman"/>
          <w:szCs w:val="20"/>
          <w:lang w:eastAsia="en-CA"/>
        </w:rPr>
        <w:t xml:space="preserve"> du greffe : 39699, 39703.</w:t>
      </w:r>
    </w:p>
    <w:p w14:paraId="420DCD1A" w14:textId="77777777" w:rsidR="00CD157F" w:rsidRPr="00CD157F" w:rsidRDefault="00CD157F" w:rsidP="00CD157F">
      <w:pPr>
        <w:spacing w:after="720"/>
        <w:jc w:val="both"/>
        <w:rPr>
          <w:rFonts w:eastAsia="Times New Roman" w:cs="Times New Roman"/>
          <w:szCs w:val="20"/>
          <w:lang w:eastAsia="en-CA"/>
        </w:rPr>
      </w:pPr>
      <w:r w:rsidRPr="00CD157F">
        <w:rPr>
          <w:rFonts w:eastAsia="Times New Roman" w:cs="Times New Roman"/>
          <w:szCs w:val="20"/>
          <w:lang w:eastAsia="en-CA"/>
        </w:rPr>
        <w:t>2022 : 15 février.</w:t>
      </w:r>
    </w:p>
    <w:p w14:paraId="26822FAB" w14:textId="77777777" w:rsidR="00CD157F" w:rsidRPr="00CD157F" w:rsidRDefault="00CD157F" w:rsidP="00CD157F">
      <w:pPr>
        <w:spacing w:after="720"/>
        <w:jc w:val="both"/>
        <w:rPr>
          <w:rFonts w:eastAsia="Times New Roman" w:cs="Times New Roman"/>
          <w:szCs w:val="20"/>
          <w:lang w:eastAsia="en-CA"/>
        </w:rPr>
      </w:pPr>
      <w:r w:rsidRPr="00CD157F">
        <w:rPr>
          <w:rFonts w:eastAsia="Times New Roman" w:cs="Times New Roman"/>
          <w:szCs w:val="20"/>
          <w:lang w:eastAsia="en-CA"/>
        </w:rPr>
        <w:t xml:space="preserve">Présents : Le juge en chef Wagner et les juges </w:t>
      </w:r>
      <w:proofErr w:type="spellStart"/>
      <w:r w:rsidRPr="00CD157F">
        <w:rPr>
          <w:rFonts w:eastAsia="Times New Roman" w:cs="Times New Roman"/>
          <w:szCs w:val="20"/>
          <w:lang w:eastAsia="en-CA"/>
        </w:rPr>
        <w:t>Moldaver</w:t>
      </w:r>
      <w:proofErr w:type="spellEnd"/>
      <w:r w:rsidRPr="00CD157F">
        <w:rPr>
          <w:rFonts w:eastAsia="Times New Roman" w:cs="Times New Roman"/>
          <w:szCs w:val="20"/>
          <w:lang w:eastAsia="en-CA"/>
        </w:rPr>
        <w:t xml:space="preserve">, </w:t>
      </w:r>
      <w:proofErr w:type="spellStart"/>
      <w:r w:rsidRPr="00CD157F">
        <w:rPr>
          <w:rFonts w:eastAsia="Times New Roman" w:cs="Times New Roman"/>
          <w:szCs w:val="20"/>
          <w:lang w:eastAsia="en-CA"/>
        </w:rPr>
        <w:t>Karakatsanis</w:t>
      </w:r>
      <w:proofErr w:type="spellEnd"/>
      <w:r w:rsidRPr="00CD157F">
        <w:rPr>
          <w:rFonts w:eastAsia="Times New Roman" w:cs="Times New Roman"/>
          <w:szCs w:val="20"/>
          <w:lang w:eastAsia="en-CA"/>
        </w:rPr>
        <w:t xml:space="preserve">, Côté, Brown, Rowe, Martin, </w:t>
      </w:r>
      <w:proofErr w:type="spellStart"/>
      <w:r w:rsidRPr="00CD157F">
        <w:rPr>
          <w:rFonts w:eastAsia="Times New Roman" w:cs="Times New Roman"/>
          <w:szCs w:val="20"/>
          <w:lang w:eastAsia="en-CA"/>
        </w:rPr>
        <w:t>Kasirer</w:t>
      </w:r>
      <w:proofErr w:type="spellEnd"/>
      <w:r w:rsidRPr="00CD157F">
        <w:rPr>
          <w:rFonts w:eastAsia="Times New Roman" w:cs="Times New Roman"/>
          <w:szCs w:val="20"/>
          <w:lang w:eastAsia="en-CA"/>
        </w:rPr>
        <w:t xml:space="preserve"> et Jamal.</w:t>
      </w:r>
    </w:p>
    <w:p w14:paraId="6B6B8910" w14:textId="77777777" w:rsidR="00CD157F" w:rsidRPr="00CD157F" w:rsidRDefault="00CD157F" w:rsidP="00CD157F">
      <w:pPr>
        <w:spacing w:after="720"/>
        <w:jc w:val="both"/>
        <w:rPr>
          <w:rFonts w:eastAsia="Times New Roman" w:cs="Times New Roman"/>
          <w:smallCaps/>
          <w:szCs w:val="20"/>
          <w:lang w:eastAsia="en-CA"/>
        </w:rPr>
      </w:pPr>
      <w:r w:rsidRPr="00CD157F">
        <w:rPr>
          <w:rFonts w:eastAsia="Times New Roman" w:cs="Times New Roman"/>
          <w:smallCaps/>
          <w:szCs w:val="20"/>
          <w:lang w:eastAsia="en-CA"/>
        </w:rPr>
        <w:t xml:space="preserve">en appel de la cour d’appel de </w:t>
      </w:r>
      <w:proofErr w:type="spellStart"/>
      <w:r w:rsidRPr="00CD157F">
        <w:rPr>
          <w:rFonts w:eastAsia="Times New Roman" w:cs="Times New Roman"/>
          <w:smallCaps/>
          <w:szCs w:val="20"/>
          <w:lang w:eastAsia="en-CA"/>
        </w:rPr>
        <w:t>l’alberta</w:t>
      </w:r>
      <w:proofErr w:type="spellEnd"/>
    </w:p>
    <w:p w14:paraId="177611C4" w14:textId="77777777" w:rsidR="00CD157F" w:rsidRPr="00CD157F" w:rsidRDefault="00CD157F" w:rsidP="00CD157F">
      <w:pPr>
        <w:tabs>
          <w:tab w:val="left" w:pos="1168"/>
        </w:tabs>
        <w:spacing w:after="480" w:line="480" w:lineRule="auto"/>
        <w:jc w:val="both"/>
        <w:rPr>
          <w:rFonts w:eastAsia="Times New Roman" w:cs="Times New Roman"/>
          <w:i/>
          <w:iCs/>
          <w:szCs w:val="20"/>
          <w:lang w:eastAsia="en-CA"/>
        </w:rPr>
      </w:pPr>
      <w:r w:rsidRPr="00CD157F">
        <w:rPr>
          <w:rFonts w:eastAsia="Times New Roman" w:cs="Times New Roman"/>
          <w:i/>
          <w:szCs w:val="20"/>
          <w:lang w:eastAsia="en-CA"/>
        </w:rPr>
        <w:tab/>
        <w:t>Droit criminel — Agression sexuelle — Consentement — Accusés inculpés d’agression sexuelle et d’agression sexuelle armée après s’être tous deux livrés à une activité sexuelle de groupe avec la plaignante et une autre personne — Juge du procès rejetant le témoignage de la plaignante selon lequel elle n’avait pas consenti à l’activité sexuelle et acquittant les deux accusés des accusations d’agression sexuelle, mais déclarant l’un d’eux coupable d’agression sexuelle armée au motif que la plaignante n’avait pas consenti à l’utilisation d’une arme — Annulation des acquittements par la Cour d’appel et inscription par celle</w:t>
      </w:r>
      <w:r w:rsidRPr="00CD157F">
        <w:rPr>
          <w:rFonts w:eastAsia="Times New Roman" w:cs="Times New Roman"/>
          <w:i/>
          <w:szCs w:val="20"/>
          <w:lang w:eastAsia="en-CA"/>
        </w:rPr>
        <w:noBreakHyphen/>
        <w:t xml:space="preserve">ci de déclarations de culpabilité pour agression sexuelle — </w:t>
      </w:r>
      <w:r w:rsidRPr="00CD157F">
        <w:rPr>
          <w:rFonts w:eastAsia="Times New Roman" w:cs="Times New Roman"/>
          <w:i/>
          <w:iCs/>
          <w:szCs w:val="20"/>
          <w:lang w:eastAsia="en-CA"/>
        </w:rPr>
        <w:t>Déclarations de culpabilité confirmées.</w:t>
      </w:r>
    </w:p>
    <w:p w14:paraId="279455DC" w14:textId="77777777" w:rsidR="00CD157F" w:rsidRPr="00CD157F" w:rsidRDefault="00CD157F" w:rsidP="00CD157F">
      <w:pPr>
        <w:tabs>
          <w:tab w:val="left" w:pos="1168"/>
        </w:tabs>
        <w:spacing w:after="480" w:line="480" w:lineRule="auto"/>
        <w:jc w:val="both"/>
        <w:rPr>
          <w:rFonts w:eastAsia="Times New Roman" w:cs="Times New Roman"/>
          <w:i/>
          <w:iCs/>
          <w:szCs w:val="20"/>
          <w:lang w:eastAsia="en-CA"/>
        </w:rPr>
      </w:pPr>
      <w:r w:rsidRPr="00CD157F">
        <w:rPr>
          <w:rFonts w:eastAsia="Times New Roman" w:cs="Times New Roman"/>
          <w:i/>
          <w:iCs/>
          <w:szCs w:val="20"/>
          <w:lang w:eastAsia="en-CA"/>
        </w:rPr>
        <w:tab/>
        <w:t>Droit criminel — Appels — Pouvoirs de la cour d’appel — Substitution d’une déclaration de culpabilité à un acquittement —</w:t>
      </w:r>
      <w:r w:rsidRPr="00CD157F">
        <w:rPr>
          <w:rFonts w:eastAsia="Times New Roman" w:cs="Times New Roman"/>
          <w:szCs w:val="20"/>
          <w:lang w:eastAsia="en-CA"/>
        </w:rPr>
        <w:t xml:space="preserve"> </w:t>
      </w:r>
      <w:r w:rsidRPr="00CD157F">
        <w:rPr>
          <w:rFonts w:eastAsia="Times New Roman" w:cs="Times New Roman"/>
          <w:i/>
          <w:szCs w:val="20"/>
          <w:lang w:eastAsia="en-CA"/>
        </w:rPr>
        <w:t xml:space="preserve">Accusés acquittés des accusations d’agression sexuelle au procès </w:t>
      </w:r>
      <w:r w:rsidRPr="00CD157F">
        <w:rPr>
          <w:rFonts w:eastAsia="Times New Roman" w:cs="Times New Roman"/>
          <w:i/>
          <w:iCs/>
          <w:szCs w:val="20"/>
          <w:lang w:eastAsia="en-CA"/>
        </w:rPr>
        <w:t>— Annulation des acquittements par la Cour d’appel et inscription par celle</w:t>
      </w:r>
      <w:r w:rsidRPr="00CD157F">
        <w:rPr>
          <w:rFonts w:eastAsia="Times New Roman" w:cs="Times New Roman"/>
          <w:i/>
          <w:iCs/>
          <w:szCs w:val="20"/>
          <w:lang w:eastAsia="en-CA"/>
        </w:rPr>
        <w:noBreakHyphen/>
        <w:t xml:space="preserve">ci de déclarations de culpabilité — Substitution des déclarations de culpabilité aux acquittements permise — Déclarations de culpabilité confirmées — </w:t>
      </w:r>
      <w:r w:rsidRPr="00CD157F">
        <w:rPr>
          <w:rFonts w:eastAsia="Times New Roman" w:cs="Times New Roman"/>
          <w:i/>
          <w:szCs w:val="20"/>
          <w:lang w:eastAsia="en-CA"/>
        </w:rPr>
        <w:t xml:space="preserve">Code criminel, </w:t>
      </w:r>
      <w:proofErr w:type="spellStart"/>
      <w:r w:rsidRPr="00CD157F">
        <w:rPr>
          <w:rFonts w:eastAsia="Times New Roman" w:cs="Times New Roman"/>
          <w:i/>
          <w:szCs w:val="20"/>
          <w:lang w:eastAsia="en-CA"/>
        </w:rPr>
        <w:t>L.R.C</w:t>
      </w:r>
      <w:proofErr w:type="spellEnd"/>
      <w:r w:rsidRPr="00CD157F">
        <w:rPr>
          <w:rFonts w:eastAsia="Times New Roman" w:cs="Times New Roman"/>
          <w:i/>
          <w:szCs w:val="20"/>
          <w:lang w:eastAsia="en-CA"/>
        </w:rPr>
        <w:t>. 1985, c. C</w:t>
      </w:r>
      <w:r w:rsidRPr="00CD157F">
        <w:rPr>
          <w:rFonts w:eastAsia="Times New Roman" w:cs="Times New Roman"/>
          <w:i/>
          <w:szCs w:val="20"/>
          <w:lang w:eastAsia="en-CA"/>
        </w:rPr>
        <w:noBreakHyphen/>
        <w:t>46</w:t>
      </w:r>
      <w:r w:rsidRPr="00CD157F">
        <w:rPr>
          <w:rFonts w:eastAsia="Times New Roman" w:cs="Times New Roman"/>
          <w:i/>
          <w:iCs/>
          <w:szCs w:val="20"/>
          <w:lang w:eastAsia="en-CA"/>
        </w:rPr>
        <w:t>, art. 686(4)b</w:t>
      </w:r>
      <w:proofErr w:type="gramStart"/>
      <w:r w:rsidRPr="00CD157F">
        <w:rPr>
          <w:rFonts w:eastAsia="Times New Roman" w:cs="Times New Roman"/>
          <w:i/>
          <w:iCs/>
          <w:szCs w:val="20"/>
          <w:lang w:eastAsia="en-CA"/>
        </w:rPr>
        <w:t>)(</w:t>
      </w:r>
      <w:proofErr w:type="gramEnd"/>
      <w:r w:rsidRPr="00CD157F">
        <w:rPr>
          <w:rFonts w:eastAsia="Times New Roman" w:cs="Times New Roman"/>
          <w:i/>
          <w:iCs/>
          <w:szCs w:val="20"/>
          <w:lang w:eastAsia="en-CA"/>
        </w:rPr>
        <w:t>ii)</w:t>
      </w:r>
      <w:r w:rsidRPr="00CD157F">
        <w:rPr>
          <w:rFonts w:eastAsia="Times New Roman" w:cs="Times New Roman"/>
          <w:szCs w:val="20"/>
          <w:lang w:eastAsia="en-CA"/>
        </w:rPr>
        <w:t>.</w:t>
      </w:r>
    </w:p>
    <w:p w14:paraId="00AEA19B" w14:textId="77777777" w:rsidR="00CD157F" w:rsidRPr="00CD157F" w:rsidRDefault="00CD157F" w:rsidP="00CD157F">
      <w:pPr>
        <w:widowControl w:val="0"/>
        <w:tabs>
          <w:tab w:val="left" w:pos="1168"/>
        </w:tabs>
        <w:spacing w:after="720"/>
        <w:jc w:val="both"/>
        <w:rPr>
          <w:rFonts w:eastAsia="Times New Roman" w:cs="Times New Roman"/>
          <w:b/>
          <w:szCs w:val="20"/>
          <w:lang w:eastAsia="en-CA"/>
        </w:rPr>
      </w:pPr>
      <w:r w:rsidRPr="00CD157F">
        <w:rPr>
          <w:rFonts w:eastAsia="Times New Roman" w:cs="Times New Roman"/>
          <w:b/>
          <w:szCs w:val="20"/>
          <w:lang w:eastAsia="en-CA"/>
        </w:rPr>
        <w:t>Jurisprudence</w:t>
      </w:r>
    </w:p>
    <w:p w14:paraId="467A7221" w14:textId="77777777" w:rsidR="00CD157F" w:rsidRPr="00CD157F" w:rsidRDefault="00CD157F" w:rsidP="00CD157F">
      <w:pPr>
        <w:widowControl w:val="0"/>
        <w:tabs>
          <w:tab w:val="left" w:pos="1168"/>
        </w:tabs>
        <w:spacing w:after="480" w:line="480" w:lineRule="auto"/>
        <w:jc w:val="both"/>
        <w:rPr>
          <w:rFonts w:eastAsia="Times New Roman" w:cs="Times New Roman"/>
          <w:b/>
          <w:szCs w:val="20"/>
          <w:lang w:eastAsia="en-CA"/>
        </w:rPr>
      </w:pPr>
      <w:r w:rsidRPr="00CD157F">
        <w:rPr>
          <w:rFonts w:eastAsia="Times New Roman" w:cs="Times New Roman"/>
          <w:szCs w:val="20"/>
          <w:lang w:eastAsia="en-CA"/>
        </w:rPr>
        <w:tab/>
      </w:r>
      <w:r w:rsidRPr="00CD157F">
        <w:rPr>
          <w:rFonts w:eastAsia="Times New Roman" w:cs="Times New Roman"/>
          <w:b/>
          <w:szCs w:val="20"/>
          <w:lang w:eastAsia="en-CA"/>
        </w:rPr>
        <w:t>Arrêt appliqué :</w:t>
      </w:r>
      <w:r w:rsidRPr="00CD157F">
        <w:rPr>
          <w:rFonts w:eastAsia="Times New Roman" w:cs="Times New Roman"/>
          <w:szCs w:val="20"/>
          <w:lang w:eastAsia="en-CA"/>
        </w:rPr>
        <w:t xml:space="preserve"> </w:t>
      </w:r>
      <w:r w:rsidRPr="00CD157F">
        <w:rPr>
          <w:rFonts w:eastAsia="Times New Roman" w:cs="Times New Roman"/>
          <w:i/>
          <w:szCs w:val="20"/>
          <w:lang w:eastAsia="en-CA"/>
        </w:rPr>
        <w:t xml:space="preserve">R. c. </w:t>
      </w:r>
      <w:proofErr w:type="spellStart"/>
      <w:r w:rsidRPr="00CD157F">
        <w:rPr>
          <w:rFonts w:eastAsia="Times New Roman" w:cs="Times New Roman"/>
          <w:i/>
          <w:szCs w:val="20"/>
          <w:lang w:eastAsia="en-CA"/>
        </w:rPr>
        <w:t>Cassidy</w:t>
      </w:r>
      <w:proofErr w:type="spellEnd"/>
      <w:r w:rsidRPr="00CD157F">
        <w:rPr>
          <w:rFonts w:eastAsia="Times New Roman" w:cs="Times New Roman"/>
          <w:szCs w:val="20"/>
          <w:lang w:eastAsia="en-CA"/>
        </w:rPr>
        <w:t xml:space="preserve">, [1989] 2 </w:t>
      </w:r>
      <w:proofErr w:type="spellStart"/>
      <w:r w:rsidRPr="00CD157F">
        <w:rPr>
          <w:rFonts w:eastAsia="Times New Roman" w:cs="Times New Roman"/>
          <w:szCs w:val="20"/>
          <w:lang w:eastAsia="en-CA"/>
        </w:rPr>
        <w:t>R.C.S</w:t>
      </w:r>
      <w:proofErr w:type="spellEnd"/>
      <w:r w:rsidRPr="00CD157F">
        <w:rPr>
          <w:rFonts w:eastAsia="Times New Roman" w:cs="Times New Roman"/>
          <w:szCs w:val="20"/>
          <w:lang w:eastAsia="en-CA"/>
        </w:rPr>
        <w:t xml:space="preserve">. 345; </w:t>
      </w:r>
      <w:r w:rsidRPr="00CD157F">
        <w:rPr>
          <w:rFonts w:eastAsia="Times New Roman" w:cs="Times New Roman"/>
          <w:b/>
          <w:szCs w:val="20"/>
          <w:lang w:eastAsia="en-CA"/>
        </w:rPr>
        <w:t>arrêts mentionnés :</w:t>
      </w:r>
      <w:r w:rsidRPr="00CD157F">
        <w:rPr>
          <w:rFonts w:eastAsia="Times New Roman" w:cs="Times New Roman"/>
          <w:szCs w:val="20"/>
          <w:lang w:eastAsia="en-CA"/>
        </w:rPr>
        <w:t xml:space="preserve"> </w:t>
      </w:r>
      <w:r w:rsidRPr="00CD157F">
        <w:rPr>
          <w:rFonts w:eastAsia="Times New Roman" w:cs="Times New Roman"/>
          <w:i/>
          <w:szCs w:val="20"/>
          <w:lang w:eastAsia="en-CA"/>
        </w:rPr>
        <w:t>R. c. Barton</w:t>
      </w:r>
      <w:r w:rsidRPr="00CD157F">
        <w:rPr>
          <w:rFonts w:eastAsia="Times New Roman" w:cs="Times New Roman"/>
          <w:szCs w:val="20"/>
          <w:lang w:eastAsia="en-CA"/>
        </w:rPr>
        <w:t>, 2019 CSC 33,</w:t>
      </w:r>
      <w:r w:rsidRPr="00CD157F">
        <w:rPr>
          <w:rFonts w:cs="Times New Roman"/>
          <w:color w:val="000000"/>
          <w:szCs w:val="20"/>
          <w:lang w:eastAsia="en-CA"/>
        </w:rPr>
        <w:t xml:space="preserve"> </w:t>
      </w:r>
      <w:r w:rsidRPr="00CD157F">
        <w:rPr>
          <w:rFonts w:eastAsia="Times New Roman" w:cs="Times New Roman"/>
          <w:szCs w:val="20"/>
          <w:lang w:eastAsia="en-CA"/>
        </w:rPr>
        <w:t xml:space="preserve">[2019] 2 </w:t>
      </w:r>
      <w:proofErr w:type="spellStart"/>
      <w:r w:rsidRPr="00CD157F">
        <w:rPr>
          <w:rFonts w:eastAsia="Times New Roman" w:cs="Times New Roman"/>
          <w:szCs w:val="20"/>
          <w:lang w:eastAsia="en-CA"/>
        </w:rPr>
        <w:t>R.C.S</w:t>
      </w:r>
      <w:proofErr w:type="spellEnd"/>
      <w:r w:rsidRPr="00CD157F">
        <w:rPr>
          <w:rFonts w:eastAsia="Times New Roman" w:cs="Times New Roman"/>
          <w:szCs w:val="20"/>
          <w:lang w:eastAsia="en-CA"/>
        </w:rPr>
        <w:t xml:space="preserve">. 579; </w:t>
      </w:r>
      <w:r w:rsidRPr="00CD157F">
        <w:rPr>
          <w:rFonts w:eastAsia="Times New Roman" w:cs="Times New Roman"/>
          <w:i/>
          <w:szCs w:val="20"/>
          <w:lang w:eastAsia="en-CA"/>
        </w:rPr>
        <w:t>R. c. Hutchinson</w:t>
      </w:r>
      <w:r w:rsidRPr="00CD157F">
        <w:rPr>
          <w:rFonts w:eastAsia="Times New Roman" w:cs="Times New Roman"/>
          <w:szCs w:val="20"/>
          <w:lang w:eastAsia="en-CA"/>
        </w:rPr>
        <w:t xml:space="preserve">, 2014 CSC 19, [2014] 1 </w:t>
      </w:r>
      <w:proofErr w:type="spellStart"/>
      <w:r w:rsidRPr="00CD157F">
        <w:rPr>
          <w:rFonts w:eastAsia="Times New Roman" w:cs="Times New Roman"/>
          <w:szCs w:val="20"/>
          <w:lang w:eastAsia="en-CA"/>
        </w:rPr>
        <w:t>R.C.S</w:t>
      </w:r>
      <w:proofErr w:type="spellEnd"/>
      <w:r w:rsidRPr="00CD157F">
        <w:rPr>
          <w:rFonts w:eastAsia="Times New Roman" w:cs="Times New Roman"/>
          <w:szCs w:val="20"/>
          <w:lang w:eastAsia="en-CA"/>
        </w:rPr>
        <w:t xml:space="preserve">. 346; </w:t>
      </w:r>
      <w:proofErr w:type="spellStart"/>
      <w:r w:rsidRPr="00CD157F">
        <w:rPr>
          <w:rFonts w:eastAsia="Times New Roman" w:cs="Times New Roman"/>
          <w:i/>
          <w:szCs w:val="20"/>
          <w:lang w:eastAsia="en-CA"/>
        </w:rPr>
        <w:t>Kienapple</w:t>
      </w:r>
      <w:proofErr w:type="spellEnd"/>
      <w:r w:rsidRPr="00CD157F">
        <w:rPr>
          <w:rFonts w:eastAsia="Times New Roman" w:cs="Times New Roman"/>
          <w:i/>
          <w:szCs w:val="20"/>
          <w:lang w:eastAsia="en-CA"/>
        </w:rPr>
        <w:t xml:space="preserve"> c. La Reine</w:t>
      </w:r>
      <w:r w:rsidRPr="00CD157F">
        <w:rPr>
          <w:rFonts w:eastAsia="Times New Roman" w:cs="Times New Roman"/>
          <w:szCs w:val="20"/>
          <w:lang w:eastAsia="en-CA"/>
        </w:rPr>
        <w:t xml:space="preserve">, [1975] 1 </w:t>
      </w:r>
      <w:proofErr w:type="spellStart"/>
      <w:r w:rsidRPr="00CD157F">
        <w:rPr>
          <w:rFonts w:eastAsia="Times New Roman" w:cs="Times New Roman"/>
          <w:szCs w:val="20"/>
          <w:lang w:eastAsia="en-CA"/>
        </w:rPr>
        <w:t>R.C.S</w:t>
      </w:r>
      <w:proofErr w:type="spellEnd"/>
      <w:r w:rsidRPr="00CD157F">
        <w:rPr>
          <w:rFonts w:eastAsia="Times New Roman" w:cs="Times New Roman"/>
          <w:szCs w:val="20"/>
          <w:lang w:eastAsia="en-CA"/>
        </w:rPr>
        <w:t xml:space="preserve">. 729; </w:t>
      </w:r>
      <w:r w:rsidRPr="00CD157F">
        <w:rPr>
          <w:rFonts w:eastAsia="Times New Roman" w:cs="Times New Roman"/>
          <w:i/>
          <w:szCs w:val="20"/>
          <w:lang w:eastAsia="en-CA"/>
        </w:rPr>
        <w:t>R. c. M. (R.)</w:t>
      </w:r>
      <w:r w:rsidRPr="00CD157F">
        <w:rPr>
          <w:rFonts w:eastAsia="Times New Roman" w:cs="Times New Roman"/>
          <w:szCs w:val="20"/>
          <w:lang w:eastAsia="en-CA"/>
        </w:rPr>
        <w:t xml:space="preserve">, 2020 </w:t>
      </w:r>
      <w:proofErr w:type="spellStart"/>
      <w:r w:rsidRPr="00CD157F">
        <w:rPr>
          <w:rFonts w:eastAsia="Times New Roman" w:cs="Times New Roman"/>
          <w:szCs w:val="20"/>
          <w:lang w:eastAsia="en-CA"/>
        </w:rPr>
        <w:t>ONCA</w:t>
      </w:r>
      <w:proofErr w:type="spellEnd"/>
      <w:r w:rsidRPr="00CD157F">
        <w:rPr>
          <w:rFonts w:eastAsia="Times New Roman" w:cs="Times New Roman"/>
          <w:szCs w:val="20"/>
          <w:lang w:eastAsia="en-CA"/>
        </w:rPr>
        <w:t xml:space="preserve"> 231, 150 </w:t>
      </w:r>
      <w:proofErr w:type="spellStart"/>
      <w:r w:rsidRPr="00CD157F">
        <w:rPr>
          <w:rFonts w:eastAsia="Times New Roman" w:cs="Times New Roman"/>
          <w:szCs w:val="20"/>
          <w:lang w:eastAsia="en-CA"/>
        </w:rPr>
        <w:t>O.R</w:t>
      </w:r>
      <w:proofErr w:type="spellEnd"/>
      <w:r w:rsidRPr="00CD157F">
        <w:rPr>
          <w:rFonts w:eastAsia="Times New Roman" w:cs="Times New Roman"/>
          <w:szCs w:val="20"/>
          <w:lang w:eastAsia="en-CA"/>
        </w:rPr>
        <w:t>. (</w:t>
      </w:r>
      <w:proofErr w:type="spellStart"/>
      <w:r w:rsidRPr="00CD157F">
        <w:rPr>
          <w:rFonts w:eastAsia="Times New Roman" w:cs="Times New Roman"/>
          <w:szCs w:val="20"/>
          <w:lang w:eastAsia="en-CA"/>
        </w:rPr>
        <w:t>3d</w:t>
      </w:r>
      <w:proofErr w:type="spellEnd"/>
      <w:r w:rsidRPr="00CD157F">
        <w:rPr>
          <w:rFonts w:eastAsia="Times New Roman" w:cs="Times New Roman"/>
          <w:szCs w:val="20"/>
          <w:lang w:eastAsia="en-CA"/>
        </w:rPr>
        <w:t>) 369.</w:t>
      </w:r>
    </w:p>
    <w:p w14:paraId="62792604" w14:textId="77777777" w:rsidR="00CD157F" w:rsidRPr="00CD157F" w:rsidRDefault="00CD157F" w:rsidP="00CD157F">
      <w:pPr>
        <w:tabs>
          <w:tab w:val="left" w:pos="1168"/>
        </w:tabs>
        <w:spacing w:after="720"/>
        <w:jc w:val="both"/>
        <w:rPr>
          <w:rFonts w:eastAsia="Times New Roman" w:cs="Times New Roman"/>
          <w:b/>
          <w:szCs w:val="20"/>
          <w:lang w:eastAsia="en-CA"/>
        </w:rPr>
      </w:pPr>
      <w:r w:rsidRPr="00CD157F">
        <w:rPr>
          <w:rFonts w:eastAsia="Times New Roman" w:cs="Times New Roman"/>
          <w:b/>
          <w:szCs w:val="20"/>
          <w:lang w:eastAsia="en-CA"/>
        </w:rPr>
        <w:t>Lois et règlements cités</w:t>
      </w:r>
    </w:p>
    <w:p w14:paraId="5CB45E70" w14:textId="77777777" w:rsidR="00CD157F" w:rsidRPr="00CD157F" w:rsidRDefault="00CD157F" w:rsidP="00CD157F">
      <w:pPr>
        <w:tabs>
          <w:tab w:val="left" w:pos="1168"/>
        </w:tabs>
        <w:spacing w:after="720"/>
        <w:ind w:left="547" w:hanging="547"/>
        <w:jc w:val="both"/>
        <w:rPr>
          <w:rFonts w:eastAsia="Times New Roman" w:cs="Times New Roman"/>
          <w:szCs w:val="20"/>
          <w:lang w:eastAsia="en-CA"/>
        </w:rPr>
      </w:pPr>
      <w:r w:rsidRPr="00CD157F">
        <w:rPr>
          <w:rFonts w:eastAsia="Times New Roman" w:cs="Times New Roman"/>
          <w:i/>
          <w:szCs w:val="20"/>
          <w:lang w:eastAsia="en-CA"/>
        </w:rPr>
        <w:t>Code criminel</w:t>
      </w:r>
      <w:r w:rsidRPr="00CD157F">
        <w:rPr>
          <w:rFonts w:eastAsia="Times New Roman" w:cs="Times New Roman"/>
          <w:szCs w:val="20"/>
          <w:lang w:eastAsia="en-CA"/>
        </w:rPr>
        <w:t xml:space="preserve">, </w:t>
      </w:r>
      <w:proofErr w:type="spellStart"/>
      <w:r w:rsidRPr="00CD157F">
        <w:rPr>
          <w:rFonts w:eastAsia="Times New Roman" w:cs="Times New Roman"/>
          <w:szCs w:val="20"/>
          <w:lang w:eastAsia="en-CA"/>
        </w:rPr>
        <w:t>L.R.C</w:t>
      </w:r>
      <w:proofErr w:type="spellEnd"/>
      <w:r w:rsidRPr="00CD157F">
        <w:rPr>
          <w:rFonts w:eastAsia="Times New Roman" w:cs="Times New Roman"/>
          <w:szCs w:val="20"/>
          <w:lang w:eastAsia="en-CA"/>
        </w:rPr>
        <w:t>. 1985, c. C</w:t>
      </w:r>
      <w:r w:rsidRPr="00CD157F">
        <w:rPr>
          <w:rFonts w:eastAsia="Times New Roman" w:cs="Times New Roman"/>
          <w:szCs w:val="20"/>
          <w:lang w:eastAsia="en-CA"/>
        </w:rPr>
        <w:noBreakHyphen/>
        <w:t>46, art. </w:t>
      </w:r>
      <w:proofErr w:type="spellStart"/>
      <w:r w:rsidRPr="00CD157F">
        <w:rPr>
          <w:rFonts w:eastAsia="Times New Roman" w:cs="Times New Roman"/>
          <w:szCs w:val="20"/>
          <w:lang w:eastAsia="en-CA"/>
        </w:rPr>
        <w:t>273.2b</w:t>
      </w:r>
      <w:proofErr w:type="spellEnd"/>
      <w:r w:rsidRPr="00CD157F">
        <w:rPr>
          <w:rFonts w:eastAsia="Times New Roman" w:cs="Times New Roman"/>
          <w:szCs w:val="20"/>
          <w:lang w:eastAsia="en-CA"/>
        </w:rPr>
        <w:t>), 686(4)b</w:t>
      </w:r>
      <w:proofErr w:type="gramStart"/>
      <w:r w:rsidRPr="00CD157F">
        <w:rPr>
          <w:rFonts w:eastAsia="Times New Roman" w:cs="Times New Roman"/>
          <w:szCs w:val="20"/>
          <w:lang w:eastAsia="en-CA"/>
        </w:rPr>
        <w:t>)(</w:t>
      </w:r>
      <w:proofErr w:type="gramEnd"/>
      <w:r w:rsidRPr="00CD157F">
        <w:rPr>
          <w:rFonts w:eastAsia="Times New Roman" w:cs="Times New Roman"/>
          <w:szCs w:val="20"/>
          <w:lang w:eastAsia="en-CA"/>
        </w:rPr>
        <w:t>ii).</w:t>
      </w:r>
    </w:p>
    <w:p w14:paraId="0E97D99D" w14:textId="77777777" w:rsidR="00CD157F" w:rsidRPr="00CD157F" w:rsidRDefault="00CD157F" w:rsidP="00CD157F">
      <w:pPr>
        <w:widowControl w:val="0"/>
        <w:tabs>
          <w:tab w:val="left" w:pos="1168"/>
        </w:tabs>
        <w:spacing w:after="480" w:line="480" w:lineRule="auto"/>
        <w:jc w:val="both"/>
        <w:rPr>
          <w:rFonts w:eastAsia="Times New Roman" w:cs="Times New Roman"/>
          <w:szCs w:val="20"/>
          <w:lang w:eastAsia="en-CA"/>
        </w:rPr>
      </w:pPr>
      <w:r w:rsidRPr="00CD157F">
        <w:rPr>
          <w:rFonts w:eastAsia="Times New Roman" w:cs="Times New Roman"/>
          <w:szCs w:val="20"/>
          <w:lang w:eastAsia="en-CA"/>
        </w:rPr>
        <w:tab/>
        <w:t xml:space="preserve">POURVOIS contre un arrêt de la Cour d’appel de l’Alberta (les juges Martin, </w:t>
      </w:r>
      <w:proofErr w:type="spellStart"/>
      <w:r w:rsidRPr="00CD157F">
        <w:rPr>
          <w:rFonts w:eastAsia="Times New Roman" w:cs="Times New Roman"/>
          <w:szCs w:val="20"/>
          <w:lang w:eastAsia="en-CA"/>
        </w:rPr>
        <w:t>O’Ferrall</w:t>
      </w:r>
      <w:proofErr w:type="spellEnd"/>
      <w:r w:rsidRPr="00CD157F">
        <w:rPr>
          <w:rFonts w:eastAsia="Times New Roman" w:cs="Times New Roman"/>
          <w:szCs w:val="20"/>
          <w:lang w:eastAsia="en-CA"/>
        </w:rPr>
        <w:t xml:space="preserve"> et </w:t>
      </w:r>
      <w:proofErr w:type="spellStart"/>
      <w:r w:rsidRPr="00CD157F">
        <w:rPr>
          <w:rFonts w:eastAsia="Times New Roman" w:cs="Times New Roman"/>
          <w:szCs w:val="20"/>
          <w:lang w:eastAsia="en-CA"/>
        </w:rPr>
        <w:t>Pentelechuk</w:t>
      </w:r>
      <w:proofErr w:type="spellEnd"/>
      <w:r w:rsidRPr="00CD157F">
        <w:rPr>
          <w:rFonts w:eastAsia="Times New Roman" w:cs="Times New Roman"/>
          <w:szCs w:val="20"/>
          <w:lang w:eastAsia="en-CA"/>
        </w:rPr>
        <w:t xml:space="preserve">), </w:t>
      </w:r>
      <w:hyperlink r:id="rId9" w:history="1">
        <w:r w:rsidRPr="00CD157F">
          <w:rPr>
            <w:rFonts w:eastAsia="Times New Roman" w:cs="Times New Roman"/>
            <w:color w:val="660000"/>
            <w:szCs w:val="20"/>
            <w:lang w:eastAsia="en-CA"/>
          </w:rPr>
          <w:t xml:space="preserve">2021 </w:t>
        </w:r>
        <w:proofErr w:type="spellStart"/>
        <w:r w:rsidRPr="00CD157F">
          <w:rPr>
            <w:rFonts w:eastAsia="Times New Roman" w:cs="Times New Roman"/>
            <w:color w:val="660000"/>
            <w:szCs w:val="20"/>
            <w:lang w:eastAsia="en-CA"/>
          </w:rPr>
          <w:t>ABCA</w:t>
        </w:r>
        <w:proofErr w:type="spellEnd"/>
        <w:r w:rsidRPr="00CD157F">
          <w:rPr>
            <w:rFonts w:eastAsia="Times New Roman" w:cs="Times New Roman"/>
            <w:color w:val="660000"/>
            <w:szCs w:val="20"/>
            <w:lang w:eastAsia="en-CA"/>
          </w:rPr>
          <w:t xml:space="preserve"> 172</w:t>
        </w:r>
      </w:hyperlink>
      <w:r w:rsidRPr="00CD157F">
        <w:rPr>
          <w:rFonts w:eastAsia="Times New Roman" w:cs="Times New Roman"/>
          <w:szCs w:val="20"/>
          <w:lang w:eastAsia="en-CA"/>
        </w:rPr>
        <w:t xml:space="preserve">, 27 Alta. </w:t>
      </w:r>
      <w:proofErr w:type="spellStart"/>
      <w:r w:rsidRPr="00CD157F">
        <w:rPr>
          <w:rFonts w:eastAsia="Times New Roman" w:cs="Times New Roman"/>
          <w:szCs w:val="20"/>
          <w:lang w:eastAsia="en-CA"/>
        </w:rPr>
        <w:t>L.R</w:t>
      </w:r>
      <w:proofErr w:type="spellEnd"/>
      <w:r w:rsidRPr="00CD157F">
        <w:rPr>
          <w:rFonts w:eastAsia="Times New Roman" w:cs="Times New Roman"/>
          <w:szCs w:val="20"/>
          <w:lang w:eastAsia="en-CA"/>
        </w:rPr>
        <w:t>. (</w:t>
      </w:r>
      <w:proofErr w:type="spellStart"/>
      <w:r w:rsidRPr="00CD157F">
        <w:rPr>
          <w:rFonts w:eastAsia="Times New Roman" w:cs="Times New Roman"/>
          <w:szCs w:val="20"/>
          <w:lang w:eastAsia="en-CA"/>
        </w:rPr>
        <w:t>7th</w:t>
      </w:r>
      <w:proofErr w:type="spellEnd"/>
      <w:r w:rsidRPr="00CD157F">
        <w:rPr>
          <w:rFonts w:eastAsia="Times New Roman" w:cs="Times New Roman"/>
          <w:szCs w:val="20"/>
          <w:lang w:eastAsia="en-CA"/>
        </w:rPr>
        <w:t xml:space="preserve">) 1, 466 </w:t>
      </w:r>
      <w:proofErr w:type="spellStart"/>
      <w:r w:rsidRPr="00CD157F">
        <w:rPr>
          <w:rFonts w:eastAsia="Times New Roman" w:cs="Times New Roman"/>
          <w:szCs w:val="20"/>
          <w:lang w:eastAsia="en-CA"/>
        </w:rPr>
        <w:t>D.L.R</w:t>
      </w:r>
      <w:proofErr w:type="spellEnd"/>
      <w:r w:rsidRPr="00CD157F">
        <w:rPr>
          <w:rFonts w:eastAsia="Times New Roman" w:cs="Times New Roman"/>
          <w:szCs w:val="20"/>
          <w:lang w:eastAsia="en-CA"/>
        </w:rPr>
        <w:t>. (</w:t>
      </w:r>
      <w:proofErr w:type="spellStart"/>
      <w:r w:rsidRPr="00CD157F">
        <w:rPr>
          <w:rFonts w:eastAsia="Times New Roman" w:cs="Times New Roman"/>
          <w:szCs w:val="20"/>
          <w:lang w:eastAsia="en-CA"/>
        </w:rPr>
        <w:t>4th</w:t>
      </w:r>
      <w:proofErr w:type="spellEnd"/>
      <w:r w:rsidRPr="00CD157F">
        <w:rPr>
          <w:rFonts w:eastAsia="Times New Roman" w:cs="Times New Roman"/>
          <w:szCs w:val="20"/>
          <w:lang w:eastAsia="en-CA"/>
        </w:rPr>
        <w:t xml:space="preserve">) 226, [2021] </w:t>
      </w:r>
      <w:proofErr w:type="spellStart"/>
      <w:r w:rsidRPr="00CD157F">
        <w:rPr>
          <w:rFonts w:eastAsia="Times New Roman" w:cs="Times New Roman"/>
          <w:szCs w:val="20"/>
          <w:lang w:eastAsia="en-CA"/>
        </w:rPr>
        <w:t>A.J</w:t>
      </w:r>
      <w:proofErr w:type="spellEnd"/>
      <w:r w:rsidRPr="00CD157F">
        <w:rPr>
          <w:rFonts w:eastAsia="Times New Roman" w:cs="Times New Roman"/>
          <w:szCs w:val="20"/>
          <w:lang w:eastAsia="en-CA"/>
        </w:rPr>
        <w:t>. No. 654 (</w:t>
      </w:r>
      <w:proofErr w:type="spellStart"/>
      <w:r w:rsidRPr="00CD157F">
        <w:rPr>
          <w:rFonts w:eastAsia="Times New Roman" w:cs="Times New Roman"/>
          <w:szCs w:val="20"/>
          <w:lang w:eastAsia="en-CA"/>
        </w:rPr>
        <w:t>QL</w:t>
      </w:r>
      <w:proofErr w:type="spellEnd"/>
      <w:r w:rsidRPr="00CD157F">
        <w:rPr>
          <w:rFonts w:eastAsia="Times New Roman" w:cs="Times New Roman"/>
          <w:szCs w:val="20"/>
          <w:lang w:eastAsia="en-CA"/>
        </w:rPr>
        <w:t xml:space="preserve">), 2021 </w:t>
      </w:r>
      <w:proofErr w:type="spellStart"/>
      <w:r w:rsidRPr="00CD157F">
        <w:rPr>
          <w:rFonts w:eastAsia="Times New Roman" w:cs="Times New Roman"/>
          <w:szCs w:val="20"/>
          <w:lang w:eastAsia="en-CA"/>
        </w:rPr>
        <w:t>CarswellAlta</w:t>
      </w:r>
      <w:proofErr w:type="spellEnd"/>
      <w:r w:rsidRPr="00CD157F">
        <w:rPr>
          <w:rFonts w:eastAsia="Times New Roman" w:cs="Times New Roman"/>
          <w:szCs w:val="20"/>
          <w:lang w:eastAsia="en-CA"/>
        </w:rPr>
        <w:t xml:space="preserve"> 1181 (</w:t>
      </w:r>
      <w:proofErr w:type="spellStart"/>
      <w:r w:rsidRPr="00CD157F">
        <w:rPr>
          <w:rFonts w:eastAsia="Times New Roman" w:cs="Times New Roman"/>
          <w:szCs w:val="20"/>
          <w:lang w:eastAsia="en-CA"/>
        </w:rPr>
        <w:t>WL</w:t>
      </w:r>
      <w:proofErr w:type="spellEnd"/>
      <w:r w:rsidRPr="00CD157F">
        <w:rPr>
          <w:rFonts w:eastAsia="Times New Roman" w:cs="Times New Roman"/>
          <w:szCs w:val="20"/>
          <w:lang w:eastAsia="en-CA"/>
        </w:rPr>
        <w:t xml:space="preserve">), qui a annulé les verdicts d’acquittement prononcés en faveur des accusés, inscrit des déclarations de culpabilité pour agression sexuelle </w:t>
      </w:r>
      <w:r w:rsidRPr="00CD157F">
        <w:rPr>
          <w:rFonts w:eastAsia="Times New Roman" w:cs="Times New Roman"/>
          <w:color w:val="000000"/>
          <w:szCs w:val="20"/>
          <w:lang w:eastAsia="en-CA"/>
        </w:rPr>
        <w:t>et renvoyé les affaires pour détermination de la peine</w:t>
      </w:r>
      <w:r w:rsidRPr="00CD157F">
        <w:rPr>
          <w:rFonts w:eastAsia="Times New Roman" w:cs="Times New Roman"/>
          <w:szCs w:val="20"/>
          <w:lang w:eastAsia="en-CA"/>
        </w:rPr>
        <w:t>. Pourvois rejetés.</w:t>
      </w:r>
    </w:p>
    <w:p w14:paraId="7284173A" w14:textId="77777777" w:rsidR="00CD157F" w:rsidRPr="00CD157F" w:rsidRDefault="00CD157F" w:rsidP="00CD157F">
      <w:pPr>
        <w:tabs>
          <w:tab w:val="left" w:pos="1168"/>
        </w:tabs>
        <w:spacing w:after="480" w:line="480" w:lineRule="auto"/>
        <w:jc w:val="both"/>
        <w:rPr>
          <w:rFonts w:eastAsia="Times New Roman" w:cs="Times New Roman"/>
          <w:szCs w:val="20"/>
          <w:lang w:eastAsia="en-CA"/>
        </w:rPr>
      </w:pPr>
      <w:r w:rsidRPr="00CD157F">
        <w:rPr>
          <w:rFonts w:eastAsia="Times New Roman" w:cs="Times New Roman"/>
          <w:i/>
          <w:szCs w:val="20"/>
          <w:lang w:eastAsia="en-CA"/>
        </w:rPr>
        <w:tab/>
        <w:t xml:space="preserve">Andrea </w:t>
      </w:r>
      <w:proofErr w:type="spellStart"/>
      <w:r w:rsidRPr="00CD157F">
        <w:rPr>
          <w:rFonts w:eastAsia="Times New Roman" w:cs="Times New Roman"/>
          <w:i/>
          <w:szCs w:val="20"/>
          <w:lang w:eastAsia="en-CA"/>
        </w:rPr>
        <w:t>Serink</w:t>
      </w:r>
      <w:proofErr w:type="spellEnd"/>
      <w:r w:rsidRPr="00CD157F">
        <w:rPr>
          <w:rFonts w:eastAsia="Times New Roman" w:cs="Times New Roman"/>
          <w:szCs w:val="20"/>
          <w:lang w:eastAsia="en-CA"/>
        </w:rPr>
        <w:t xml:space="preserve"> et </w:t>
      </w:r>
      <w:r w:rsidRPr="00CD157F">
        <w:rPr>
          <w:rFonts w:eastAsia="Times New Roman" w:cs="Times New Roman"/>
          <w:i/>
          <w:szCs w:val="20"/>
          <w:lang w:eastAsia="en-CA"/>
        </w:rPr>
        <w:t>Alias Sanders</w:t>
      </w:r>
      <w:r w:rsidRPr="00CD157F">
        <w:rPr>
          <w:rFonts w:eastAsia="Times New Roman" w:cs="Times New Roman"/>
          <w:szCs w:val="20"/>
          <w:lang w:eastAsia="en-CA"/>
        </w:rPr>
        <w:t xml:space="preserve">, pour l’appelant </w:t>
      </w:r>
      <w:proofErr w:type="spellStart"/>
      <w:r w:rsidRPr="00CD157F">
        <w:rPr>
          <w:rFonts w:eastAsia="Times New Roman" w:cs="Times New Roman"/>
          <w:szCs w:val="20"/>
          <w:lang w:eastAsia="en-CA"/>
        </w:rPr>
        <w:t>A.E</w:t>
      </w:r>
      <w:proofErr w:type="spellEnd"/>
      <w:r w:rsidRPr="00CD157F">
        <w:rPr>
          <w:rFonts w:eastAsia="Times New Roman" w:cs="Times New Roman"/>
          <w:szCs w:val="20"/>
          <w:lang w:eastAsia="en-CA"/>
        </w:rPr>
        <w:t>.</w:t>
      </w:r>
    </w:p>
    <w:p w14:paraId="507BF8F1" w14:textId="77777777" w:rsidR="00CD157F" w:rsidRPr="00CD157F" w:rsidRDefault="00CD157F" w:rsidP="00CD157F">
      <w:pPr>
        <w:tabs>
          <w:tab w:val="left" w:pos="1168"/>
        </w:tabs>
        <w:spacing w:after="480" w:line="480" w:lineRule="auto"/>
        <w:jc w:val="both"/>
        <w:rPr>
          <w:rFonts w:eastAsia="Times New Roman" w:cs="Times New Roman"/>
          <w:szCs w:val="20"/>
          <w:lang w:eastAsia="en-CA"/>
        </w:rPr>
      </w:pPr>
      <w:r w:rsidRPr="00CD157F">
        <w:rPr>
          <w:rFonts w:eastAsia="Times New Roman" w:cs="Times New Roman"/>
          <w:i/>
          <w:szCs w:val="20"/>
          <w:lang w:eastAsia="en-CA"/>
        </w:rPr>
        <w:tab/>
        <w:t>Balfour Q. H. Der</w:t>
      </w:r>
      <w:r w:rsidRPr="00CD157F">
        <w:rPr>
          <w:rFonts w:eastAsia="Times New Roman" w:cs="Times New Roman"/>
          <w:szCs w:val="20"/>
          <w:lang w:eastAsia="en-CA"/>
        </w:rPr>
        <w:t>,</w:t>
      </w:r>
      <w:r w:rsidRPr="00CD157F">
        <w:rPr>
          <w:rFonts w:eastAsia="Times New Roman" w:cs="Times New Roman"/>
          <w:i/>
          <w:szCs w:val="20"/>
          <w:lang w:eastAsia="en-CA"/>
        </w:rPr>
        <w:t xml:space="preserve"> </w:t>
      </w:r>
      <w:proofErr w:type="spellStart"/>
      <w:proofErr w:type="gramStart"/>
      <w:r w:rsidRPr="00CD157F">
        <w:rPr>
          <w:rFonts w:eastAsia="Times New Roman" w:cs="Times New Roman"/>
          <w:i/>
          <w:szCs w:val="20"/>
          <w:lang w:eastAsia="en-CA"/>
        </w:rPr>
        <w:t>c.r</w:t>
      </w:r>
      <w:proofErr w:type="spellEnd"/>
      <w:r w:rsidRPr="00CD157F">
        <w:rPr>
          <w:rFonts w:eastAsia="Times New Roman" w:cs="Times New Roman"/>
          <w:i/>
          <w:szCs w:val="20"/>
          <w:lang w:eastAsia="en-CA"/>
        </w:rPr>
        <w:t>.</w:t>
      </w:r>
      <w:r w:rsidRPr="00CD157F">
        <w:rPr>
          <w:rFonts w:eastAsia="Times New Roman" w:cs="Times New Roman"/>
          <w:szCs w:val="20"/>
          <w:lang w:eastAsia="en-CA"/>
        </w:rPr>
        <w:t>,</w:t>
      </w:r>
      <w:proofErr w:type="gramEnd"/>
      <w:r w:rsidRPr="00CD157F">
        <w:rPr>
          <w:rFonts w:eastAsia="Times New Roman" w:cs="Times New Roman"/>
          <w:szCs w:val="20"/>
          <w:lang w:eastAsia="en-CA"/>
        </w:rPr>
        <w:t xml:space="preserve"> </w:t>
      </w:r>
      <w:r w:rsidRPr="00CD157F">
        <w:rPr>
          <w:rFonts w:eastAsia="Times New Roman" w:cs="Times New Roman"/>
          <w:i/>
          <w:szCs w:val="20"/>
          <w:lang w:eastAsia="en-CA"/>
        </w:rPr>
        <w:t xml:space="preserve">James F. </w:t>
      </w:r>
      <w:proofErr w:type="spellStart"/>
      <w:r w:rsidRPr="00CD157F">
        <w:rPr>
          <w:rFonts w:eastAsia="Times New Roman" w:cs="Times New Roman"/>
          <w:i/>
          <w:szCs w:val="20"/>
          <w:lang w:eastAsia="en-CA"/>
        </w:rPr>
        <w:t>McLeod</w:t>
      </w:r>
      <w:proofErr w:type="spellEnd"/>
      <w:r w:rsidRPr="00CD157F">
        <w:rPr>
          <w:rFonts w:eastAsia="Times New Roman" w:cs="Times New Roman"/>
          <w:szCs w:val="20"/>
          <w:lang w:eastAsia="en-CA"/>
        </w:rPr>
        <w:t xml:space="preserve"> et </w:t>
      </w:r>
      <w:r w:rsidRPr="00CD157F">
        <w:rPr>
          <w:rFonts w:eastAsia="Times New Roman" w:cs="Times New Roman"/>
          <w:i/>
          <w:szCs w:val="20"/>
          <w:lang w:eastAsia="en-CA"/>
        </w:rPr>
        <w:t>David A. S. Roper</w:t>
      </w:r>
      <w:r w:rsidRPr="00CD157F">
        <w:rPr>
          <w:rFonts w:eastAsia="Times New Roman" w:cs="Times New Roman"/>
          <w:szCs w:val="20"/>
          <w:lang w:eastAsia="en-CA"/>
        </w:rPr>
        <w:t xml:space="preserve">, pour l’appelant </w:t>
      </w:r>
      <w:proofErr w:type="spellStart"/>
      <w:r w:rsidRPr="00CD157F">
        <w:rPr>
          <w:rFonts w:eastAsia="Times New Roman" w:cs="Times New Roman"/>
          <w:szCs w:val="20"/>
          <w:lang w:eastAsia="en-CA"/>
        </w:rPr>
        <w:t>T.C.F</w:t>
      </w:r>
      <w:proofErr w:type="spellEnd"/>
      <w:r w:rsidRPr="00CD157F">
        <w:rPr>
          <w:rFonts w:eastAsia="Times New Roman" w:cs="Times New Roman"/>
          <w:szCs w:val="20"/>
          <w:lang w:eastAsia="en-CA"/>
        </w:rPr>
        <w:t>.</w:t>
      </w:r>
    </w:p>
    <w:p w14:paraId="3F0A0C8B" w14:textId="77777777" w:rsidR="00CD157F" w:rsidRPr="00CD157F" w:rsidRDefault="00CD157F" w:rsidP="00CD157F">
      <w:pPr>
        <w:tabs>
          <w:tab w:val="left" w:pos="1168"/>
        </w:tabs>
        <w:spacing w:after="480" w:line="480" w:lineRule="auto"/>
        <w:jc w:val="both"/>
        <w:rPr>
          <w:rFonts w:eastAsia="Times New Roman" w:cs="Times New Roman"/>
          <w:szCs w:val="20"/>
          <w:lang w:eastAsia="en-CA"/>
        </w:rPr>
      </w:pPr>
      <w:r w:rsidRPr="00CD157F">
        <w:rPr>
          <w:rFonts w:eastAsia="Times New Roman" w:cs="Times New Roman"/>
          <w:i/>
          <w:szCs w:val="20"/>
          <w:lang w:eastAsia="en-CA"/>
        </w:rPr>
        <w:tab/>
        <w:t xml:space="preserve">Andrew </w:t>
      </w:r>
      <w:proofErr w:type="spellStart"/>
      <w:r w:rsidRPr="00CD157F">
        <w:rPr>
          <w:rFonts w:eastAsia="Times New Roman" w:cs="Times New Roman"/>
          <w:i/>
          <w:szCs w:val="20"/>
          <w:lang w:eastAsia="en-CA"/>
        </w:rPr>
        <w:t>Barg</w:t>
      </w:r>
      <w:proofErr w:type="spellEnd"/>
      <w:r w:rsidRPr="00CD157F">
        <w:rPr>
          <w:rFonts w:eastAsia="Times New Roman" w:cs="Times New Roman"/>
          <w:szCs w:val="20"/>
          <w:lang w:eastAsia="en-CA"/>
        </w:rPr>
        <w:t xml:space="preserve"> et </w:t>
      </w:r>
      <w:r w:rsidRPr="00CD157F">
        <w:rPr>
          <w:rFonts w:eastAsia="Times New Roman" w:cs="Times New Roman"/>
          <w:i/>
          <w:szCs w:val="20"/>
          <w:lang w:eastAsia="en-CA"/>
        </w:rPr>
        <w:t xml:space="preserve">Tom </w:t>
      </w:r>
      <w:proofErr w:type="spellStart"/>
      <w:r w:rsidRPr="00CD157F">
        <w:rPr>
          <w:rFonts w:eastAsia="Times New Roman" w:cs="Times New Roman"/>
          <w:i/>
          <w:szCs w:val="20"/>
          <w:lang w:eastAsia="en-CA"/>
        </w:rPr>
        <w:t>Spark</w:t>
      </w:r>
      <w:proofErr w:type="spellEnd"/>
      <w:r w:rsidRPr="00CD157F">
        <w:rPr>
          <w:rFonts w:eastAsia="Times New Roman" w:cs="Times New Roman"/>
          <w:szCs w:val="20"/>
          <w:lang w:eastAsia="en-CA"/>
        </w:rPr>
        <w:t>, pour l’intimée.</w:t>
      </w:r>
    </w:p>
    <w:p w14:paraId="7F9005E9" w14:textId="77777777" w:rsidR="00CD157F" w:rsidRPr="00CD157F" w:rsidRDefault="00CD157F" w:rsidP="00CD157F">
      <w:pPr>
        <w:tabs>
          <w:tab w:val="left" w:pos="1168"/>
        </w:tabs>
        <w:spacing w:after="480" w:line="480" w:lineRule="auto"/>
        <w:jc w:val="both"/>
        <w:rPr>
          <w:rFonts w:eastAsia="Times New Roman" w:cs="Times New Roman"/>
          <w:szCs w:val="20"/>
          <w:lang w:eastAsia="en-CA"/>
        </w:rPr>
      </w:pPr>
      <w:r w:rsidRPr="00CD157F">
        <w:rPr>
          <w:rFonts w:eastAsia="Times New Roman" w:cs="Times New Roman"/>
          <w:i/>
          <w:szCs w:val="20"/>
          <w:lang w:eastAsia="en-CA"/>
        </w:rPr>
        <w:tab/>
        <w:t xml:space="preserve">Blair </w:t>
      </w:r>
      <w:proofErr w:type="spellStart"/>
      <w:r w:rsidRPr="00CD157F">
        <w:rPr>
          <w:rFonts w:eastAsia="Times New Roman" w:cs="Times New Roman"/>
          <w:i/>
          <w:szCs w:val="20"/>
          <w:lang w:eastAsia="en-CA"/>
        </w:rPr>
        <w:t>MacPherson</w:t>
      </w:r>
      <w:proofErr w:type="spellEnd"/>
      <w:r w:rsidRPr="00CD157F">
        <w:rPr>
          <w:rFonts w:eastAsia="Times New Roman" w:cs="Times New Roman"/>
          <w:szCs w:val="20"/>
          <w:lang w:eastAsia="en-CA"/>
        </w:rPr>
        <w:t>, pour l’intervenante.</w:t>
      </w:r>
    </w:p>
    <w:p w14:paraId="533FBE8B" w14:textId="77777777" w:rsidR="00CD157F" w:rsidRPr="00CD157F" w:rsidRDefault="00CD157F" w:rsidP="00CD157F">
      <w:pPr>
        <w:tabs>
          <w:tab w:val="left" w:pos="1168"/>
        </w:tabs>
        <w:spacing w:after="480" w:line="480" w:lineRule="auto"/>
        <w:jc w:val="both"/>
        <w:rPr>
          <w:rFonts w:eastAsia="Times New Roman" w:cs="Times New Roman"/>
          <w:szCs w:val="20"/>
          <w:lang w:eastAsia="en-CA"/>
        </w:rPr>
      </w:pPr>
      <w:r w:rsidRPr="00CD157F">
        <w:rPr>
          <w:rFonts w:eastAsia="Times New Roman" w:cs="Times New Roman"/>
          <w:i/>
          <w:szCs w:val="20"/>
          <w:lang w:eastAsia="en-CA"/>
        </w:rPr>
        <w:tab/>
      </w:r>
      <w:r w:rsidRPr="00CD157F">
        <w:rPr>
          <w:rFonts w:eastAsia="Times New Roman" w:cs="Times New Roman"/>
          <w:color w:val="000000"/>
          <w:szCs w:val="20"/>
          <w:lang w:eastAsia="en-CA"/>
        </w:rPr>
        <w:t>Version française du jugement de la Cour rendu oralement par</w:t>
      </w:r>
    </w:p>
    <w:p w14:paraId="4F7DC0EC" w14:textId="77777777" w:rsidR="00CD157F" w:rsidRPr="00CD157F" w:rsidRDefault="00CD157F" w:rsidP="00CD157F">
      <w:pPr>
        <w:tabs>
          <w:tab w:val="num" w:pos="1152"/>
        </w:tabs>
        <w:spacing w:after="480" w:line="480" w:lineRule="auto"/>
        <w:jc w:val="both"/>
        <w:rPr>
          <w:rFonts w:eastAsiaTheme="minorEastAsia"/>
          <w:i/>
          <w:szCs w:val="22"/>
        </w:rPr>
      </w:pPr>
      <w:r w:rsidRPr="00CD157F">
        <w:rPr>
          <w:rFonts w:eastAsiaTheme="minorEastAsia"/>
          <w:szCs w:val="22"/>
        </w:rPr>
        <w:t>[1]</w:t>
      </w:r>
      <w:r w:rsidRPr="00CD157F">
        <w:rPr>
          <w:rFonts w:eastAsiaTheme="minorEastAsia"/>
          <w:szCs w:val="22"/>
        </w:rPr>
        <w:tab/>
      </w:r>
      <w:r w:rsidRPr="00CD157F">
        <w:rPr>
          <w:rFonts w:eastAsiaTheme="minorEastAsia"/>
          <w:smallCaps/>
          <w:szCs w:val="22"/>
        </w:rPr>
        <w:t xml:space="preserve">Le juge </w:t>
      </w:r>
      <w:proofErr w:type="spellStart"/>
      <w:r w:rsidRPr="00CD157F">
        <w:rPr>
          <w:rFonts w:eastAsiaTheme="minorEastAsia"/>
          <w:smallCaps/>
          <w:szCs w:val="22"/>
        </w:rPr>
        <w:t>Moldaver</w:t>
      </w:r>
      <w:proofErr w:type="spellEnd"/>
      <w:r w:rsidRPr="00CD157F">
        <w:rPr>
          <w:rFonts w:eastAsiaTheme="minorEastAsia"/>
          <w:szCs w:val="22"/>
        </w:rPr>
        <w:t xml:space="preserve"> — Nous sommes d’avis de rejeter les appels et de confirmer les déclarations de culpabilité prononcées contre </w:t>
      </w:r>
      <w:proofErr w:type="spellStart"/>
      <w:r w:rsidRPr="00CD157F">
        <w:rPr>
          <w:rFonts w:eastAsiaTheme="minorEastAsia"/>
          <w:szCs w:val="22"/>
        </w:rPr>
        <w:t>A.E</w:t>
      </w:r>
      <w:proofErr w:type="spellEnd"/>
      <w:r w:rsidRPr="00CD157F">
        <w:rPr>
          <w:rFonts w:eastAsiaTheme="minorEastAsia"/>
          <w:szCs w:val="22"/>
        </w:rPr>
        <w:t xml:space="preserve">. et </w:t>
      </w:r>
      <w:proofErr w:type="spellStart"/>
      <w:r w:rsidRPr="00CD157F">
        <w:rPr>
          <w:rFonts w:eastAsiaTheme="minorEastAsia"/>
          <w:szCs w:val="22"/>
        </w:rPr>
        <w:t>T.C.F</w:t>
      </w:r>
      <w:proofErr w:type="spellEnd"/>
      <w:r w:rsidRPr="00CD157F">
        <w:rPr>
          <w:rFonts w:eastAsiaTheme="minorEastAsia"/>
          <w:szCs w:val="22"/>
        </w:rPr>
        <w:t>. pour agression sexuelle. Le juge du procès a commis une erreur de droit, en ce qu’il a essentiellement appliqué un principe de « consentement général donné à l’avance » (</w:t>
      </w:r>
      <w:r w:rsidRPr="00CD157F">
        <w:rPr>
          <w:rFonts w:eastAsiaTheme="minorEastAsia"/>
          <w:i/>
          <w:szCs w:val="22"/>
        </w:rPr>
        <w:t>R. c. Barton</w:t>
      </w:r>
      <w:r w:rsidRPr="00CD157F">
        <w:rPr>
          <w:rFonts w:eastAsiaTheme="minorEastAsia"/>
          <w:szCs w:val="22"/>
        </w:rPr>
        <w:t xml:space="preserve">, 2019 CSC 33, [2019] 2 </w:t>
      </w:r>
      <w:proofErr w:type="spellStart"/>
      <w:r w:rsidRPr="00CD157F">
        <w:rPr>
          <w:rFonts w:eastAsiaTheme="minorEastAsia"/>
          <w:szCs w:val="22"/>
        </w:rPr>
        <w:t>R.C.S</w:t>
      </w:r>
      <w:proofErr w:type="spellEnd"/>
      <w:r w:rsidRPr="00CD157F">
        <w:rPr>
          <w:rFonts w:eastAsiaTheme="minorEastAsia"/>
          <w:szCs w:val="22"/>
        </w:rPr>
        <w:t>. 579, par. 99). Le consentement doit viser l’activité sexuelle en question, il doit exister au moment où l’activité sexuelle a lieu et il peut être révoqué à tout moment (</w:t>
      </w:r>
      <w:r w:rsidRPr="00CD157F">
        <w:rPr>
          <w:rFonts w:eastAsiaTheme="minorEastAsia"/>
          <w:i/>
          <w:szCs w:val="22"/>
        </w:rPr>
        <w:t>Barton</w:t>
      </w:r>
      <w:r w:rsidRPr="00CD157F">
        <w:rPr>
          <w:rFonts w:eastAsiaTheme="minorEastAsia"/>
          <w:szCs w:val="22"/>
        </w:rPr>
        <w:t xml:space="preserve">, par. 88; </w:t>
      </w:r>
      <w:r w:rsidRPr="00CD157F">
        <w:rPr>
          <w:rFonts w:eastAsiaTheme="minorEastAsia"/>
          <w:i/>
          <w:szCs w:val="22"/>
        </w:rPr>
        <w:t>R. c. Hutchinson</w:t>
      </w:r>
      <w:r w:rsidRPr="00CD157F">
        <w:rPr>
          <w:rFonts w:eastAsiaTheme="minorEastAsia"/>
          <w:szCs w:val="22"/>
        </w:rPr>
        <w:t xml:space="preserve">, 2014 CSC 19, [2014] 1 </w:t>
      </w:r>
      <w:proofErr w:type="spellStart"/>
      <w:r w:rsidRPr="00CD157F">
        <w:rPr>
          <w:rFonts w:eastAsiaTheme="minorEastAsia"/>
          <w:szCs w:val="22"/>
        </w:rPr>
        <w:t>R.C.S</w:t>
      </w:r>
      <w:proofErr w:type="spellEnd"/>
      <w:r w:rsidRPr="00CD157F">
        <w:rPr>
          <w:rFonts w:eastAsiaTheme="minorEastAsia"/>
          <w:szCs w:val="22"/>
        </w:rPr>
        <w:t>. 346, par. 17). Le juge du procès a omis de tenir compte de la portée du consentement de la plaignante à l’activité sexuelle et ne s’est pas demandé si elle avait révoqué son consentement. En conséquence, la décision du juge du procès portant que la plaignante avait subjectivement consenti à l’activité sexuelle en question ne commandait pas la déférence.</w:t>
      </w:r>
    </w:p>
    <w:p w14:paraId="265F0330" w14:textId="77777777" w:rsidR="00CD157F" w:rsidRPr="00CD157F" w:rsidRDefault="00CD157F" w:rsidP="00CD157F">
      <w:pPr>
        <w:tabs>
          <w:tab w:val="num" w:pos="1152"/>
        </w:tabs>
        <w:spacing w:after="480" w:line="480" w:lineRule="auto"/>
        <w:jc w:val="both"/>
        <w:rPr>
          <w:rFonts w:eastAsiaTheme="minorEastAsia"/>
          <w:i/>
          <w:szCs w:val="22"/>
        </w:rPr>
      </w:pPr>
      <w:r w:rsidRPr="00CD157F">
        <w:rPr>
          <w:rFonts w:eastAsiaTheme="minorEastAsia"/>
          <w:szCs w:val="22"/>
        </w:rPr>
        <w:t>[2]</w:t>
      </w:r>
      <w:r w:rsidRPr="00CD157F">
        <w:rPr>
          <w:rFonts w:eastAsiaTheme="minorEastAsia"/>
          <w:szCs w:val="22"/>
        </w:rPr>
        <w:tab/>
        <w:t xml:space="preserve">Comme l’a énoncé notre Cour dans </w:t>
      </w:r>
      <w:r w:rsidRPr="00CD157F">
        <w:rPr>
          <w:rFonts w:eastAsiaTheme="minorEastAsia"/>
          <w:i/>
          <w:szCs w:val="22"/>
        </w:rPr>
        <w:t xml:space="preserve">R. c. </w:t>
      </w:r>
      <w:proofErr w:type="spellStart"/>
      <w:r w:rsidRPr="00CD157F">
        <w:rPr>
          <w:rFonts w:eastAsiaTheme="minorEastAsia"/>
          <w:i/>
          <w:szCs w:val="22"/>
        </w:rPr>
        <w:t>Cassidy</w:t>
      </w:r>
      <w:proofErr w:type="spellEnd"/>
      <w:r w:rsidRPr="00CD157F">
        <w:rPr>
          <w:rFonts w:eastAsiaTheme="minorEastAsia"/>
          <w:szCs w:val="22"/>
        </w:rPr>
        <w:t xml:space="preserve">, [1989] 2 </w:t>
      </w:r>
      <w:proofErr w:type="spellStart"/>
      <w:r w:rsidRPr="00CD157F">
        <w:rPr>
          <w:rFonts w:eastAsiaTheme="minorEastAsia"/>
          <w:szCs w:val="22"/>
        </w:rPr>
        <w:t>R.C.S</w:t>
      </w:r>
      <w:proofErr w:type="spellEnd"/>
      <w:r w:rsidRPr="00CD157F">
        <w:rPr>
          <w:rFonts w:eastAsiaTheme="minorEastAsia"/>
          <w:szCs w:val="22"/>
        </w:rPr>
        <w:t>. 345, afin de substituer une déclaration de culpabilité en cas d’appel d’un acquittement, « toutes les conclusions nécessaires pour justifier un verdict de culpabilité doivent avoir été tirées explicitement ou implicitement, ou ne pas être en cause » (p. 354</w:t>
      </w:r>
      <w:r w:rsidRPr="00CD157F">
        <w:rPr>
          <w:rFonts w:eastAsiaTheme="minorEastAsia"/>
          <w:szCs w:val="22"/>
        </w:rPr>
        <w:noBreakHyphen/>
        <w:t xml:space="preserve">355). Il est satisfait en l’espèce au critère établi dans l’arrêt </w:t>
      </w:r>
      <w:proofErr w:type="spellStart"/>
      <w:r w:rsidRPr="00CD157F">
        <w:rPr>
          <w:rFonts w:eastAsiaTheme="minorEastAsia"/>
          <w:i/>
          <w:szCs w:val="22"/>
        </w:rPr>
        <w:t>Cassidy</w:t>
      </w:r>
      <w:proofErr w:type="spellEnd"/>
      <w:r w:rsidRPr="00CD157F">
        <w:rPr>
          <w:rFonts w:eastAsiaTheme="minorEastAsia"/>
          <w:szCs w:val="22"/>
        </w:rPr>
        <w:t>, ce qui permet de substituer une déclaration de culpabilité à l’acquittement conformément au sous</w:t>
      </w:r>
      <w:r w:rsidRPr="00CD157F">
        <w:rPr>
          <w:rFonts w:eastAsiaTheme="minorEastAsia"/>
          <w:szCs w:val="22"/>
        </w:rPr>
        <w:noBreakHyphen/>
        <w:t>al. 686(4)b</w:t>
      </w:r>
      <w:proofErr w:type="gramStart"/>
      <w:r w:rsidRPr="00CD157F">
        <w:rPr>
          <w:rFonts w:eastAsiaTheme="minorEastAsia"/>
          <w:szCs w:val="22"/>
        </w:rPr>
        <w:t>)(</w:t>
      </w:r>
      <w:proofErr w:type="gramEnd"/>
      <w:r w:rsidRPr="00CD157F">
        <w:rPr>
          <w:rFonts w:eastAsiaTheme="minorEastAsia"/>
          <w:szCs w:val="22"/>
        </w:rPr>
        <w:t xml:space="preserve">ii) du </w:t>
      </w:r>
      <w:r w:rsidRPr="00CD157F">
        <w:rPr>
          <w:rFonts w:eastAsiaTheme="minorEastAsia"/>
          <w:i/>
          <w:szCs w:val="22"/>
        </w:rPr>
        <w:t>Code criminel</w:t>
      </w:r>
      <w:r w:rsidRPr="00CD157F">
        <w:rPr>
          <w:rFonts w:eastAsiaTheme="minorEastAsia"/>
          <w:szCs w:val="22"/>
        </w:rPr>
        <w:t xml:space="preserve">, </w:t>
      </w:r>
      <w:proofErr w:type="spellStart"/>
      <w:r w:rsidRPr="00CD157F">
        <w:rPr>
          <w:rFonts w:eastAsiaTheme="minorEastAsia"/>
          <w:szCs w:val="22"/>
        </w:rPr>
        <w:t>L.R.C</w:t>
      </w:r>
      <w:proofErr w:type="spellEnd"/>
      <w:r w:rsidRPr="00CD157F">
        <w:rPr>
          <w:rFonts w:eastAsiaTheme="minorEastAsia"/>
          <w:szCs w:val="22"/>
        </w:rPr>
        <w:t>. 1985, c. C</w:t>
      </w:r>
      <w:r w:rsidRPr="00CD157F">
        <w:rPr>
          <w:rFonts w:eastAsiaTheme="minorEastAsia"/>
          <w:szCs w:val="22"/>
        </w:rPr>
        <w:noBreakHyphen/>
        <w:t xml:space="preserve">46. Les conclusions explicites et implicites du juge du procès démontrent que tant </w:t>
      </w:r>
      <w:proofErr w:type="spellStart"/>
      <w:r w:rsidRPr="00CD157F">
        <w:rPr>
          <w:rFonts w:eastAsiaTheme="minorEastAsia"/>
          <w:szCs w:val="22"/>
        </w:rPr>
        <w:t>A.E</w:t>
      </w:r>
      <w:proofErr w:type="spellEnd"/>
      <w:r w:rsidRPr="00CD157F">
        <w:rPr>
          <w:rFonts w:eastAsiaTheme="minorEastAsia"/>
          <w:szCs w:val="22"/>
        </w:rPr>
        <w:t xml:space="preserve">. que </w:t>
      </w:r>
      <w:proofErr w:type="spellStart"/>
      <w:r w:rsidRPr="00CD157F">
        <w:rPr>
          <w:rFonts w:eastAsiaTheme="minorEastAsia"/>
          <w:szCs w:val="22"/>
        </w:rPr>
        <w:t>T.C.F</w:t>
      </w:r>
      <w:proofErr w:type="spellEnd"/>
      <w:r w:rsidRPr="00CD157F">
        <w:rPr>
          <w:rFonts w:eastAsiaTheme="minorEastAsia"/>
          <w:szCs w:val="22"/>
        </w:rPr>
        <w:t xml:space="preserve">. ont continué les interactions sexuelles avec la plaignante, et que </w:t>
      </w:r>
      <w:proofErr w:type="spellStart"/>
      <w:r w:rsidRPr="00CD157F">
        <w:rPr>
          <w:rFonts w:eastAsiaTheme="minorEastAsia"/>
          <w:szCs w:val="22"/>
        </w:rPr>
        <w:t>A.E</w:t>
      </w:r>
      <w:proofErr w:type="spellEnd"/>
      <w:r w:rsidRPr="00CD157F">
        <w:rPr>
          <w:rFonts w:eastAsiaTheme="minorEastAsia"/>
          <w:szCs w:val="22"/>
        </w:rPr>
        <w:t>. les a intensifiées même après que celle</w:t>
      </w:r>
      <w:r w:rsidRPr="00CD157F">
        <w:rPr>
          <w:rFonts w:eastAsiaTheme="minorEastAsia"/>
          <w:szCs w:val="22"/>
        </w:rPr>
        <w:noBreakHyphen/>
        <w:t xml:space="preserve">ci a crié « Non », sans prendre quelque mesure que ce soit pour vérifier si elle révoquait son consentement. Plus particulièrement, </w:t>
      </w:r>
      <w:proofErr w:type="spellStart"/>
      <w:r w:rsidRPr="00CD157F">
        <w:rPr>
          <w:rFonts w:eastAsiaTheme="minorEastAsia"/>
          <w:szCs w:val="22"/>
        </w:rPr>
        <w:t>A.E</w:t>
      </w:r>
      <w:proofErr w:type="spellEnd"/>
      <w:r w:rsidRPr="00CD157F">
        <w:rPr>
          <w:rFonts w:eastAsiaTheme="minorEastAsia"/>
          <w:szCs w:val="22"/>
        </w:rPr>
        <w:t xml:space="preserve">. a donné des claques sur les fesses de la plaignante, et </w:t>
      </w:r>
      <w:proofErr w:type="spellStart"/>
      <w:r w:rsidRPr="00CD157F">
        <w:rPr>
          <w:rFonts w:eastAsiaTheme="minorEastAsia"/>
          <w:szCs w:val="22"/>
        </w:rPr>
        <w:t>T.C.F</w:t>
      </w:r>
      <w:proofErr w:type="spellEnd"/>
      <w:r w:rsidRPr="00CD157F">
        <w:rPr>
          <w:rFonts w:eastAsiaTheme="minorEastAsia"/>
          <w:szCs w:val="22"/>
        </w:rPr>
        <w:t xml:space="preserve">. a continué à se livrer à une activité sexuelle avec celle-ci et lui a ordonné de lui faire une fellation. Dans les circonstances, l’affirmation de </w:t>
      </w:r>
      <w:proofErr w:type="spellStart"/>
      <w:r w:rsidRPr="00CD157F">
        <w:rPr>
          <w:rFonts w:eastAsiaTheme="minorEastAsia"/>
          <w:szCs w:val="22"/>
        </w:rPr>
        <w:t>T.C.F</w:t>
      </w:r>
      <w:proofErr w:type="spellEnd"/>
      <w:r w:rsidRPr="00CD157F">
        <w:rPr>
          <w:rFonts w:eastAsiaTheme="minorEastAsia"/>
          <w:szCs w:val="22"/>
        </w:rPr>
        <w:t>. suivant laquelle il avait une croyance sincère mais erronée au consentement est dépourvue de vraisemblance et n’est pas appuyée par la prise de quelque mesure raisonnable que ce soit (</w:t>
      </w:r>
      <w:r w:rsidRPr="00CD157F">
        <w:rPr>
          <w:rFonts w:eastAsiaTheme="minorEastAsia"/>
          <w:i/>
          <w:szCs w:val="22"/>
        </w:rPr>
        <w:t>Code criminel</w:t>
      </w:r>
      <w:r w:rsidRPr="00CD157F">
        <w:rPr>
          <w:rFonts w:eastAsiaTheme="minorEastAsia"/>
          <w:szCs w:val="22"/>
        </w:rPr>
        <w:t>, al. </w:t>
      </w:r>
      <w:proofErr w:type="spellStart"/>
      <w:r w:rsidRPr="00CD157F">
        <w:rPr>
          <w:rFonts w:eastAsiaTheme="minorEastAsia"/>
          <w:szCs w:val="22"/>
        </w:rPr>
        <w:t>273.2b</w:t>
      </w:r>
      <w:proofErr w:type="spellEnd"/>
      <w:r w:rsidRPr="00CD157F">
        <w:rPr>
          <w:rFonts w:eastAsiaTheme="minorEastAsia"/>
          <w:szCs w:val="22"/>
        </w:rPr>
        <w:t xml:space="preserve">); </w:t>
      </w:r>
      <w:r w:rsidRPr="00CD157F">
        <w:rPr>
          <w:rFonts w:eastAsiaTheme="minorEastAsia"/>
          <w:i/>
          <w:szCs w:val="22"/>
        </w:rPr>
        <w:t>Barton</w:t>
      </w:r>
      <w:r w:rsidRPr="00CD157F">
        <w:rPr>
          <w:rFonts w:eastAsiaTheme="minorEastAsia"/>
          <w:szCs w:val="22"/>
        </w:rPr>
        <w:t xml:space="preserve">, par. 122). Enfin, vu notre conclusion portant qu’il est satisfait en l’espèce au critère établi dans </w:t>
      </w:r>
      <w:proofErr w:type="spellStart"/>
      <w:r w:rsidRPr="00CD157F">
        <w:rPr>
          <w:rFonts w:eastAsiaTheme="minorEastAsia"/>
          <w:szCs w:val="22"/>
        </w:rPr>
        <w:t>Cassidy</w:t>
      </w:r>
      <w:proofErr w:type="spellEnd"/>
      <w:r w:rsidRPr="00CD157F">
        <w:rPr>
          <w:rFonts w:eastAsiaTheme="minorEastAsia"/>
          <w:szCs w:val="22"/>
        </w:rPr>
        <w:t xml:space="preserve">, nous n’avons pas à commenter l’énoncé du critère relatif à la substitution d’une déclaration de culpabilité à un acquittement qu’a fait le juge Martin de la Cour d’appel, au </w:t>
      </w:r>
      <w:proofErr w:type="spellStart"/>
      <w:r w:rsidRPr="00CD157F">
        <w:rPr>
          <w:rFonts w:eastAsiaTheme="minorEastAsia"/>
          <w:szCs w:val="22"/>
        </w:rPr>
        <w:t>par</w:t>
      </w:r>
      <w:proofErr w:type="spellEnd"/>
      <w:r w:rsidRPr="00CD157F">
        <w:rPr>
          <w:rFonts w:eastAsiaTheme="minorEastAsia"/>
          <w:szCs w:val="22"/>
        </w:rPr>
        <w:t>. 91 de ses motifs.</w:t>
      </w:r>
    </w:p>
    <w:p w14:paraId="260A2008" w14:textId="77777777" w:rsidR="00CD157F" w:rsidRPr="00CD157F" w:rsidRDefault="00CD157F" w:rsidP="00CD157F">
      <w:pPr>
        <w:tabs>
          <w:tab w:val="num" w:pos="1152"/>
        </w:tabs>
        <w:spacing w:after="480" w:line="480" w:lineRule="auto"/>
        <w:jc w:val="both"/>
        <w:rPr>
          <w:rFonts w:eastAsiaTheme="minorEastAsia"/>
          <w:i/>
          <w:szCs w:val="22"/>
        </w:rPr>
      </w:pPr>
      <w:r w:rsidRPr="00CD157F">
        <w:rPr>
          <w:rFonts w:eastAsiaTheme="minorEastAsia"/>
          <w:szCs w:val="22"/>
        </w:rPr>
        <w:t>[3]</w:t>
      </w:r>
      <w:r w:rsidRPr="00CD157F">
        <w:rPr>
          <w:rFonts w:eastAsiaTheme="minorEastAsia"/>
          <w:szCs w:val="22"/>
        </w:rPr>
        <w:tab/>
        <w:t xml:space="preserve">Pour ce qui est des allégations de partialité soulevées par </w:t>
      </w:r>
      <w:proofErr w:type="spellStart"/>
      <w:r w:rsidRPr="00CD157F">
        <w:rPr>
          <w:rFonts w:eastAsiaTheme="minorEastAsia"/>
          <w:szCs w:val="22"/>
        </w:rPr>
        <w:t>A.E</w:t>
      </w:r>
      <w:proofErr w:type="spellEnd"/>
      <w:r w:rsidRPr="00CD157F">
        <w:rPr>
          <w:rFonts w:eastAsiaTheme="minorEastAsia"/>
          <w:szCs w:val="22"/>
        </w:rPr>
        <w:t>., nous sommes toutes et tous d’avis que rien de ce qu’il avance ne remettait en question l’intégrité et l’impartialité de la Cour d’appel de l’Alberta dans la présente affaire.</w:t>
      </w:r>
    </w:p>
    <w:p w14:paraId="6D7B9358" w14:textId="77777777" w:rsidR="00CD157F" w:rsidRPr="00CD157F" w:rsidRDefault="00CD157F" w:rsidP="00CD157F">
      <w:pPr>
        <w:tabs>
          <w:tab w:val="num" w:pos="1152"/>
        </w:tabs>
        <w:spacing w:after="480" w:line="480" w:lineRule="auto"/>
        <w:jc w:val="both"/>
        <w:rPr>
          <w:rFonts w:eastAsiaTheme="minorEastAsia"/>
          <w:i/>
          <w:szCs w:val="22"/>
        </w:rPr>
      </w:pPr>
      <w:r w:rsidRPr="00CD157F">
        <w:rPr>
          <w:rFonts w:eastAsiaTheme="minorEastAsia"/>
          <w:szCs w:val="22"/>
        </w:rPr>
        <w:t>[4]</w:t>
      </w:r>
      <w:r w:rsidRPr="00CD157F">
        <w:rPr>
          <w:rFonts w:eastAsiaTheme="minorEastAsia"/>
          <w:szCs w:val="22"/>
        </w:rPr>
        <w:tab/>
        <w:t xml:space="preserve">L’appelant </w:t>
      </w:r>
      <w:proofErr w:type="spellStart"/>
      <w:r w:rsidRPr="00CD157F">
        <w:rPr>
          <w:rFonts w:eastAsiaTheme="minorEastAsia"/>
          <w:szCs w:val="22"/>
        </w:rPr>
        <w:t>A.E</w:t>
      </w:r>
      <w:proofErr w:type="spellEnd"/>
      <w:r w:rsidRPr="00CD157F">
        <w:rPr>
          <w:rFonts w:eastAsiaTheme="minorEastAsia"/>
          <w:szCs w:val="22"/>
        </w:rPr>
        <w:t xml:space="preserve">. demande en outre à la Cour de suspendre sa déclaration de culpabilité pour agression sexuelle en application de l’arrêt </w:t>
      </w:r>
      <w:proofErr w:type="spellStart"/>
      <w:r w:rsidRPr="00CD157F">
        <w:rPr>
          <w:rFonts w:eastAsiaTheme="minorEastAsia"/>
          <w:i/>
          <w:szCs w:val="22"/>
        </w:rPr>
        <w:t>Kienapple</w:t>
      </w:r>
      <w:proofErr w:type="spellEnd"/>
      <w:r w:rsidRPr="00CD157F">
        <w:rPr>
          <w:rFonts w:eastAsiaTheme="minorEastAsia"/>
          <w:i/>
          <w:szCs w:val="22"/>
        </w:rPr>
        <w:t xml:space="preserve"> c. La Reine</w:t>
      </w:r>
      <w:r w:rsidRPr="00CD157F">
        <w:rPr>
          <w:rFonts w:eastAsiaTheme="minorEastAsia"/>
          <w:szCs w:val="22"/>
        </w:rPr>
        <w:t xml:space="preserve">, [1975] 1 </w:t>
      </w:r>
      <w:proofErr w:type="spellStart"/>
      <w:r w:rsidRPr="00CD157F">
        <w:rPr>
          <w:rFonts w:eastAsiaTheme="minorEastAsia"/>
          <w:szCs w:val="22"/>
        </w:rPr>
        <w:t>R.C.S</w:t>
      </w:r>
      <w:proofErr w:type="spellEnd"/>
      <w:r w:rsidRPr="00CD157F">
        <w:rPr>
          <w:rFonts w:eastAsiaTheme="minorEastAsia"/>
          <w:szCs w:val="22"/>
        </w:rPr>
        <w:t xml:space="preserve">. 729, au motif qu’il s’agit d’une infraction moindre et incluse visée par la déclaration de culpabilité prononcée contre lui pour agression sexuelle armée. Nous ne pouvons faire </w:t>
      </w:r>
      <w:proofErr w:type="gramStart"/>
      <w:r w:rsidRPr="00CD157F">
        <w:rPr>
          <w:rFonts w:eastAsiaTheme="minorEastAsia"/>
          <w:szCs w:val="22"/>
        </w:rPr>
        <w:t>droit</w:t>
      </w:r>
      <w:proofErr w:type="gramEnd"/>
      <w:r w:rsidRPr="00CD157F">
        <w:rPr>
          <w:rFonts w:eastAsiaTheme="minorEastAsia"/>
          <w:szCs w:val="22"/>
        </w:rPr>
        <w:t xml:space="preserve"> à cette prétention. Dans les circonstances de la présente affaire, les infractions portent sur différents sous</w:t>
      </w:r>
      <w:r w:rsidRPr="00CD157F">
        <w:rPr>
          <w:rFonts w:eastAsiaTheme="minorEastAsia"/>
          <w:szCs w:val="22"/>
        </w:rPr>
        <w:noBreakHyphen/>
        <w:t xml:space="preserve">ensembles de faits et visent différentes formes de préjudice (voir </w:t>
      </w:r>
      <w:r w:rsidRPr="00CD157F">
        <w:rPr>
          <w:rFonts w:eastAsiaTheme="minorEastAsia"/>
          <w:i/>
          <w:szCs w:val="22"/>
        </w:rPr>
        <w:t>R. c. M. (R.)</w:t>
      </w:r>
      <w:r w:rsidRPr="00CD157F">
        <w:rPr>
          <w:rFonts w:eastAsiaTheme="minorEastAsia"/>
          <w:szCs w:val="22"/>
        </w:rPr>
        <w:t xml:space="preserve">, 2020 </w:t>
      </w:r>
      <w:proofErr w:type="spellStart"/>
      <w:r w:rsidRPr="00CD157F">
        <w:rPr>
          <w:rFonts w:eastAsiaTheme="minorEastAsia"/>
          <w:szCs w:val="22"/>
        </w:rPr>
        <w:t>ONCA</w:t>
      </w:r>
      <w:proofErr w:type="spellEnd"/>
      <w:r w:rsidRPr="00CD157F">
        <w:rPr>
          <w:rFonts w:eastAsiaTheme="minorEastAsia"/>
          <w:szCs w:val="22"/>
        </w:rPr>
        <w:t xml:space="preserve"> 231, 150 </w:t>
      </w:r>
      <w:proofErr w:type="spellStart"/>
      <w:r w:rsidRPr="00CD157F">
        <w:rPr>
          <w:rFonts w:eastAsiaTheme="minorEastAsia"/>
          <w:szCs w:val="22"/>
        </w:rPr>
        <w:t>O.R</w:t>
      </w:r>
      <w:proofErr w:type="spellEnd"/>
      <w:r w:rsidRPr="00CD157F">
        <w:rPr>
          <w:rFonts w:eastAsiaTheme="minorEastAsia"/>
          <w:szCs w:val="22"/>
        </w:rPr>
        <w:t>. (</w:t>
      </w:r>
      <w:proofErr w:type="spellStart"/>
      <w:r w:rsidRPr="00CD157F">
        <w:rPr>
          <w:rFonts w:eastAsiaTheme="minorEastAsia"/>
          <w:szCs w:val="22"/>
        </w:rPr>
        <w:t>3d</w:t>
      </w:r>
      <w:proofErr w:type="spellEnd"/>
      <w:r w:rsidRPr="00CD157F">
        <w:rPr>
          <w:rFonts w:eastAsiaTheme="minorEastAsia"/>
          <w:szCs w:val="22"/>
        </w:rPr>
        <w:t>) 369, par. 52). De façon plus particulière, l’accusation d’agression sexuelle armée vise les blessures subies par la plaignante par suite de l’utilisation de la brosse à dents, ainsi que le risque élevé que cela entraînait.</w:t>
      </w:r>
    </w:p>
    <w:p w14:paraId="38D078E7" w14:textId="77777777" w:rsidR="00CD157F" w:rsidRPr="00CD157F" w:rsidRDefault="00CD157F" w:rsidP="00CD157F">
      <w:pPr>
        <w:tabs>
          <w:tab w:val="num" w:pos="1152"/>
        </w:tabs>
        <w:spacing w:after="480" w:line="480" w:lineRule="auto"/>
        <w:jc w:val="both"/>
        <w:rPr>
          <w:rFonts w:eastAsiaTheme="minorEastAsia"/>
          <w:i/>
          <w:szCs w:val="22"/>
        </w:rPr>
      </w:pPr>
      <w:r w:rsidRPr="00CD157F">
        <w:rPr>
          <w:rFonts w:eastAsiaTheme="minorEastAsia"/>
          <w:szCs w:val="22"/>
        </w:rPr>
        <w:t>[5]</w:t>
      </w:r>
      <w:r w:rsidRPr="00CD157F">
        <w:rPr>
          <w:rFonts w:eastAsiaTheme="minorEastAsia"/>
          <w:szCs w:val="22"/>
        </w:rPr>
        <w:tab/>
        <w:t xml:space="preserve">Nous soulignons que la Cour d’appel de l’Alberta a traité d’autres questions en </w:t>
      </w:r>
      <w:proofErr w:type="spellStart"/>
      <w:r w:rsidRPr="00CD157F">
        <w:rPr>
          <w:rFonts w:eastAsiaTheme="minorEastAsia"/>
          <w:i/>
          <w:szCs w:val="22"/>
        </w:rPr>
        <w:t>obiter</w:t>
      </w:r>
      <w:proofErr w:type="spellEnd"/>
      <w:r w:rsidRPr="00CD157F">
        <w:rPr>
          <w:rFonts w:eastAsiaTheme="minorEastAsia"/>
          <w:szCs w:val="22"/>
        </w:rPr>
        <w:t xml:space="preserve">, notamment la responsabilité de </w:t>
      </w:r>
      <w:proofErr w:type="spellStart"/>
      <w:r w:rsidRPr="00CD157F">
        <w:rPr>
          <w:rFonts w:eastAsiaTheme="minorEastAsia"/>
          <w:szCs w:val="22"/>
        </w:rPr>
        <w:t>T.C.F</w:t>
      </w:r>
      <w:proofErr w:type="spellEnd"/>
      <w:r w:rsidRPr="00CD157F">
        <w:rPr>
          <w:rFonts w:eastAsiaTheme="minorEastAsia"/>
          <w:szCs w:val="22"/>
        </w:rPr>
        <w:t>. quant à l’agression sexuelle armée; la question de savoir si l’enregistrement clandestin constituait une fraude viciant le consentement; et celle de savoir si un consentement à l’activité sexuelle peut être donné dans des situations comportant des préjudices corporels intentionnels. Dans les circonstances, il n’est pas nécessaire que nous examinions ces questions.</w:t>
      </w:r>
    </w:p>
    <w:p w14:paraId="30BAF8FB" w14:textId="77777777" w:rsidR="00CD157F" w:rsidRPr="00CD157F" w:rsidRDefault="00CD157F" w:rsidP="00CD157F">
      <w:pPr>
        <w:tabs>
          <w:tab w:val="num" w:pos="1152"/>
        </w:tabs>
        <w:spacing w:after="480" w:line="480" w:lineRule="auto"/>
        <w:jc w:val="both"/>
        <w:rPr>
          <w:rFonts w:eastAsiaTheme="minorEastAsia"/>
          <w:i/>
          <w:szCs w:val="22"/>
        </w:rPr>
      </w:pPr>
      <w:r w:rsidRPr="00CD157F">
        <w:rPr>
          <w:rFonts w:eastAsiaTheme="minorEastAsia"/>
          <w:szCs w:val="22"/>
        </w:rPr>
        <w:t>[6]</w:t>
      </w:r>
      <w:r w:rsidRPr="00CD157F">
        <w:rPr>
          <w:rFonts w:eastAsiaTheme="minorEastAsia"/>
          <w:szCs w:val="22"/>
        </w:rPr>
        <w:tab/>
        <w:t>En conséquence, les appels des déclarations de culpabilité sont rejetés et les affaires sont renvoyées à la Cour du Banc de la Reine en vue de la détermination de la peine.</w:t>
      </w:r>
    </w:p>
    <w:p w14:paraId="0FEE7E77" w14:textId="77777777" w:rsidR="00CD157F" w:rsidRPr="00CD157F" w:rsidRDefault="00CD157F" w:rsidP="00CD157F">
      <w:pPr>
        <w:tabs>
          <w:tab w:val="left" w:pos="1168"/>
        </w:tabs>
        <w:spacing w:after="480" w:line="480" w:lineRule="auto"/>
        <w:jc w:val="both"/>
        <w:rPr>
          <w:rFonts w:eastAsia="Times New Roman" w:cs="Times New Roman"/>
          <w:szCs w:val="20"/>
          <w:lang w:eastAsia="en-CA"/>
        </w:rPr>
      </w:pPr>
      <w:r w:rsidRPr="00CD157F">
        <w:rPr>
          <w:rFonts w:eastAsia="Times New Roman" w:cs="Times New Roman"/>
          <w:szCs w:val="20"/>
          <w:lang w:eastAsia="en-CA"/>
        </w:rPr>
        <w:tab/>
      </w:r>
      <w:r w:rsidRPr="00CD157F">
        <w:rPr>
          <w:rFonts w:eastAsia="Times New Roman" w:cs="Times New Roman"/>
          <w:i/>
          <w:iCs/>
          <w:color w:val="000000"/>
          <w:szCs w:val="20"/>
          <w:lang w:eastAsia="en-CA"/>
        </w:rPr>
        <w:t>Jugement en conséquence.</w:t>
      </w:r>
    </w:p>
    <w:p w14:paraId="4B76676F" w14:textId="77777777" w:rsidR="00CD157F" w:rsidRPr="00CD157F" w:rsidRDefault="00CD157F" w:rsidP="00CD157F">
      <w:pPr>
        <w:tabs>
          <w:tab w:val="left" w:pos="1168"/>
        </w:tabs>
        <w:spacing w:after="480" w:line="480" w:lineRule="auto"/>
        <w:jc w:val="both"/>
        <w:rPr>
          <w:rFonts w:eastAsia="Times New Roman" w:cs="Times New Roman"/>
          <w:i/>
          <w:szCs w:val="20"/>
          <w:lang w:eastAsia="en-CA"/>
        </w:rPr>
      </w:pPr>
      <w:r w:rsidRPr="00CD157F">
        <w:rPr>
          <w:rFonts w:eastAsia="Times New Roman" w:cs="Times New Roman"/>
          <w:i/>
          <w:szCs w:val="20"/>
          <w:lang w:eastAsia="en-CA"/>
        </w:rPr>
        <w:tab/>
        <w:t xml:space="preserve">Procureurs de l’appelant </w:t>
      </w:r>
      <w:proofErr w:type="spellStart"/>
      <w:r w:rsidRPr="00CD157F">
        <w:rPr>
          <w:rFonts w:eastAsia="Times New Roman" w:cs="Times New Roman"/>
          <w:i/>
          <w:szCs w:val="20"/>
          <w:lang w:eastAsia="en-CA"/>
        </w:rPr>
        <w:t>A.E</w:t>
      </w:r>
      <w:proofErr w:type="spellEnd"/>
      <w:r w:rsidRPr="00CD157F">
        <w:rPr>
          <w:rFonts w:eastAsia="Times New Roman" w:cs="Times New Roman"/>
          <w:i/>
          <w:szCs w:val="20"/>
          <w:lang w:eastAsia="en-CA"/>
        </w:rPr>
        <w:t xml:space="preserve">. : </w:t>
      </w:r>
      <w:proofErr w:type="spellStart"/>
      <w:r w:rsidRPr="00CD157F">
        <w:rPr>
          <w:rFonts w:eastAsia="Times New Roman" w:cs="Times New Roman"/>
          <w:i/>
          <w:szCs w:val="20"/>
          <w:lang w:eastAsia="en-CA"/>
        </w:rPr>
        <w:t>Serink</w:t>
      </w:r>
      <w:proofErr w:type="spellEnd"/>
      <w:r w:rsidRPr="00CD157F">
        <w:rPr>
          <w:rFonts w:eastAsia="Times New Roman" w:cs="Times New Roman"/>
          <w:i/>
          <w:szCs w:val="20"/>
          <w:lang w:eastAsia="en-CA"/>
        </w:rPr>
        <w:t xml:space="preserve"> Law Office, Calgary; Alias Sanders, Calgary.</w:t>
      </w:r>
    </w:p>
    <w:p w14:paraId="186ADCC0" w14:textId="77777777" w:rsidR="00CD157F" w:rsidRPr="00CD157F" w:rsidRDefault="00CD157F" w:rsidP="00CD157F">
      <w:pPr>
        <w:tabs>
          <w:tab w:val="left" w:pos="1168"/>
        </w:tabs>
        <w:spacing w:after="480" w:line="480" w:lineRule="auto"/>
        <w:jc w:val="both"/>
        <w:rPr>
          <w:rFonts w:eastAsia="Times New Roman" w:cs="Times New Roman"/>
          <w:i/>
          <w:szCs w:val="20"/>
          <w:lang w:eastAsia="en-CA"/>
        </w:rPr>
      </w:pPr>
      <w:r w:rsidRPr="00CD157F">
        <w:rPr>
          <w:rFonts w:eastAsia="Times New Roman" w:cs="Times New Roman"/>
          <w:i/>
          <w:szCs w:val="20"/>
          <w:lang w:eastAsia="en-CA"/>
        </w:rPr>
        <w:tab/>
        <w:t xml:space="preserve">Procureurs de l’appelant </w:t>
      </w:r>
      <w:proofErr w:type="spellStart"/>
      <w:r w:rsidRPr="00CD157F">
        <w:rPr>
          <w:rFonts w:eastAsia="Times New Roman" w:cs="Times New Roman"/>
          <w:i/>
          <w:szCs w:val="20"/>
          <w:lang w:eastAsia="en-CA"/>
        </w:rPr>
        <w:t>T.C.F</w:t>
      </w:r>
      <w:proofErr w:type="spellEnd"/>
      <w:r w:rsidRPr="00CD157F">
        <w:rPr>
          <w:rFonts w:eastAsia="Times New Roman" w:cs="Times New Roman"/>
          <w:i/>
          <w:szCs w:val="20"/>
          <w:lang w:eastAsia="en-CA"/>
        </w:rPr>
        <w:t xml:space="preserve">. : Der </w:t>
      </w:r>
      <w:proofErr w:type="spellStart"/>
      <w:r w:rsidRPr="00CD157F">
        <w:rPr>
          <w:rFonts w:eastAsia="Times New Roman" w:cs="Times New Roman"/>
          <w:i/>
          <w:szCs w:val="20"/>
          <w:lang w:eastAsia="en-CA"/>
        </w:rPr>
        <w:t>Barristers</w:t>
      </w:r>
      <w:proofErr w:type="spellEnd"/>
      <w:r w:rsidRPr="00CD157F">
        <w:rPr>
          <w:rFonts w:eastAsia="Times New Roman" w:cs="Times New Roman"/>
          <w:i/>
          <w:szCs w:val="20"/>
          <w:lang w:eastAsia="en-CA"/>
        </w:rPr>
        <w:t>, Calgary.</w:t>
      </w:r>
    </w:p>
    <w:p w14:paraId="56A379E8" w14:textId="77777777" w:rsidR="00CD157F" w:rsidRPr="00CD157F" w:rsidRDefault="00CD157F" w:rsidP="00CD157F">
      <w:pPr>
        <w:tabs>
          <w:tab w:val="left" w:pos="1168"/>
        </w:tabs>
        <w:spacing w:after="480" w:line="480" w:lineRule="auto"/>
        <w:jc w:val="both"/>
        <w:rPr>
          <w:rFonts w:eastAsia="Times New Roman" w:cs="Times New Roman"/>
          <w:i/>
          <w:szCs w:val="20"/>
          <w:lang w:val="en-US" w:eastAsia="en-CA"/>
        </w:rPr>
      </w:pPr>
      <w:r w:rsidRPr="00CD157F">
        <w:rPr>
          <w:rFonts w:eastAsia="Times New Roman" w:cs="Times New Roman"/>
          <w:i/>
          <w:szCs w:val="20"/>
          <w:lang w:eastAsia="en-CA"/>
        </w:rPr>
        <w:tab/>
      </w:r>
      <w:proofErr w:type="spellStart"/>
      <w:r w:rsidRPr="00CD157F">
        <w:rPr>
          <w:rFonts w:eastAsia="Times New Roman" w:cs="Times New Roman"/>
          <w:i/>
          <w:szCs w:val="20"/>
          <w:lang w:val="en-US" w:eastAsia="en-CA"/>
        </w:rPr>
        <w:t>Pro</w:t>
      </w:r>
      <w:bookmarkStart w:id="0" w:name="_GoBack"/>
      <w:bookmarkEnd w:id="0"/>
      <w:r w:rsidRPr="00CD157F">
        <w:rPr>
          <w:rFonts w:eastAsia="Times New Roman" w:cs="Times New Roman"/>
          <w:i/>
          <w:szCs w:val="20"/>
          <w:lang w:val="en-US" w:eastAsia="en-CA"/>
        </w:rPr>
        <w:t>cureur</w:t>
      </w:r>
      <w:proofErr w:type="spellEnd"/>
      <w:r w:rsidRPr="00CD157F">
        <w:rPr>
          <w:rFonts w:eastAsia="Times New Roman" w:cs="Times New Roman"/>
          <w:i/>
          <w:szCs w:val="20"/>
          <w:lang w:val="en-US" w:eastAsia="en-CA"/>
        </w:rPr>
        <w:t xml:space="preserve"> de </w:t>
      </w:r>
      <w:proofErr w:type="spellStart"/>
      <w:proofErr w:type="gramStart"/>
      <w:r w:rsidRPr="00CD157F">
        <w:rPr>
          <w:rFonts w:eastAsia="Times New Roman" w:cs="Times New Roman"/>
          <w:i/>
          <w:szCs w:val="20"/>
          <w:lang w:val="en-US" w:eastAsia="en-CA"/>
        </w:rPr>
        <w:t>l’intimée</w:t>
      </w:r>
      <w:proofErr w:type="spellEnd"/>
      <w:r w:rsidRPr="00CD157F">
        <w:rPr>
          <w:rFonts w:eastAsia="Times New Roman" w:cs="Times New Roman"/>
          <w:i/>
          <w:szCs w:val="20"/>
          <w:lang w:val="en-US" w:eastAsia="en-CA"/>
        </w:rPr>
        <w:t> :</w:t>
      </w:r>
      <w:proofErr w:type="gramEnd"/>
      <w:r w:rsidRPr="00CD157F">
        <w:rPr>
          <w:rFonts w:eastAsia="Times New Roman" w:cs="Times New Roman"/>
          <w:i/>
          <w:szCs w:val="20"/>
          <w:lang w:val="en-US" w:eastAsia="en-CA"/>
        </w:rPr>
        <w:t xml:space="preserve"> Alberta Crown Prosecution Service — Appeals and Specialized Prosecutions Office, Calgary.</w:t>
      </w:r>
    </w:p>
    <w:p w14:paraId="5888900C" w14:textId="77777777" w:rsidR="00CD157F" w:rsidRPr="00CD157F" w:rsidRDefault="00CD157F" w:rsidP="00CD157F">
      <w:pPr>
        <w:tabs>
          <w:tab w:val="left" w:pos="1168"/>
        </w:tabs>
        <w:spacing w:after="480" w:line="480" w:lineRule="auto"/>
        <w:jc w:val="both"/>
        <w:rPr>
          <w:rFonts w:eastAsia="Times New Roman" w:cs="Times New Roman"/>
          <w:i/>
          <w:szCs w:val="20"/>
          <w:lang w:eastAsia="en-CA"/>
        </w:rPr>
      </w:pPr>
      <w:r w:rsidRPr="00CD157F">
        <w:rPr>
          <w:rFonts w:eastAsia="Times New Roman" w:cs="Times New Roman"/>
          <w:i/>
          <w:szCs w:val="20"/>
          <w:lang w:val="en-US" w:eastAsia="en-CA"/>
        </w:rPr>
        <w:tab/>
      </w:r>
      <w:r w:rsidRPr="00CD157F">
        <w:rPr>
          <w:rFonts w:eastAsia="Times New Roman" w:cs="Times New Roman"/>
          <w:i/>
          <w:szCs w:val="20"/>
          <w:lang w:eastAsia="en-CA"/>
        </w:rPr>
        <w:t xml:space="preserve">Procureur de l’intervenante : </w:t>
      </w:r>
      <w:r w:rsidRPr="00CD157F">
        <w:rPr>
          <w:rFonts w:ascii="Helvetica Neue" w:eastAsia="Times New Roman" w:hAnsi="Helvetica Neue" w:cs="Times New Roman"/>
          <w:i/>
          <w:color w:val="333333"/>
          <w:szCs w:val="20"/>
          <w:shd w:val="clear" w:color="auto" w:fill="FFFFFF"/>
          <w:lang w:eastAsia="en-CA"/>
        </w:rPr>
        <w:t>Service des poursuites pénales du Canada</w:t>
      </w:r>
      <w:r w:rsidRPr="00CD157F">
        <w:rPr>
          <w:rFonts w:eastAsia="Times New Roman" w:cs="Times New Roman"/>
          <w:i/>
          <w:szCs w:val="20"/>
          <w:lang w:eastAsia="en-CA"/>
        </w:rPr>
        <w:t>, Yellowknife.</w:t>
      </w:r>
    </w:p>
    <w:p w14:paraId="1125046C" w14:textId="540F7E84" w:rsidR="00835135" w:rsidRPr="00A135DA" w:rsidRDefault="00835135" w:rsidP="00CD157F"/>
    <w:sectPr w:rsidR="00835135" w:rsidRPr="00A135DA" w:rsidSect="00F72014">
      <w:headerReference w:type="default" r:id="rId10"/>
      <w:pgSz w:w="12240" w:h="15840"/>
      <w:pgMar w:top="1440" w:right="1440" w:bottom="1440" w:left="1440" w:header="4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8288A" w14:textId="77777777" w:rsidR="000F4467" w:rsidRDefault="000F4467" w:rsidP="00F72014">
      <w:r>
        <w:separator/>
      </w:r>
    </w:p>
  </w:endnote>
  <w:endnote w:type="continuationSeparator" w:id="0">
    <w:p w14:paraId="3E3554ED" w14:textId="77777777" w:rsidR="000F4467" w:rsidRDefault="000F4467" w:rsidP="00F7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F0BCB" w14:textId="77777777" w:rsidR="000F4467" w:rsidRDefault="000F4467" w:rsidP="00F72014">
      <w:r>
        <w:separator/>
      </w:r>
    </w:p>
  </w:footnote>
  <w:footnote w:type="continuationSeparator" w:id="0">
    <w:p w14:paraId="02F1E528" w14:textId="77777777" w:rsidR="000F4467" w:rsidRDefault="000F4467" w:rsidP="00F72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515F5" w14:textId="77777777" w:rsidR="00196882" w:rsidRDefault="001968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83EE8"/>
    <w:multiLevelType w:val="multilevel"/>
    <w:tmpl w:val="1E283004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DA"/>
    <w:rsid w:val="00011E76"/>
    <w:rsid w:val="000D1436"/>
    <w:rsid w:val="000F4467"/>
    <w:rsid w:val="00100074"/>
    <w:rsid w:val="001311DA"/>
    <w:rsid w:val="00177E57"/>
    <w:rsid w:val="00196882"/>
    <w:rsid w:val="001A2CF8"/>
    <w:rsid w:val="001D6B8C"/>
    <w:rsid w:val="001E12E2"/>
    <w:rsid w:val="001E5B5A"/>
    <w:rsid w:val="001F1F83"/>
    <w:rsid w:val="00256B56"/>
    <w:rsid w:val="0028675F"/>
    <w:rsid w:val="0029156B"/>
    <w:rsid w:val="002B4BE8"/>
    <w:rsid w:val="002E18C1"/>
    <w:rsid w:val="002F0B6C"/>
    <w:rsid w:val="00355967"/>
    <w:rsid w:val="0036772A"/>
    <w:rsid w:val="00384384"/>
    <w:rsid w:val="003B2BE1"/>
    <w:rsid w:val="003B3C63"/>
    <w:rsid w:val="003B7306"/>
    <w:rsid w:val="003F3A8F"/>
    <w:rsid w:val="00423C0D"/>
    <w:rsid w:val="00460AFC"/>
    <w:rsid w:val="00467372"/>
    <w:rsid w:val="004B6D25"/>
    <w:rsid w:val="004C6A16"/>
    <w:rsid w:val="004E69EC"/>
    <w:rsid w:val="004F090E"/>
    <w:rsid w:val="004F7322"/>
    <w:rsid w:val="00535189"/>
    <w:rsid w:val="00582136"/>
    <w:rsid w:val="0058383C"/>
    <w:rsid w:val="005843C1"/>
    <w:rsid w:val="005B12F4"/>
    <w:rsid w:val="005C0397"/>
    <w:rsid w:val="005D5624"/>
    <w:rsid w:val="005F5FF1"/>
    <w:rsid w:val="006034F1"/>
    <w:rsid w:val="006936F1"/>
    <w:rsid w:val="006D697E"/>
    <w:rsid w:val="00701ABD"/>
    <w:rsid w:val="0074654A"/>
    <w:rsid w:val="007740CA"/>
    <w:rsid w:val="00787F6E"/>
    <w:rsid w:val="008029A6"/>
    <w:rsid w:val="008029AC"/>
    <w:rsid w:val="00803557"/>
    <w:rsid w:val="00812BEF"/>
    <w:rsid w:val="008215C3"/>
    <w:rsid w:val="00835135"/>
    <w:rsid w:val="00842677"/>
    <w:rsid w:val="008714CB"/>
    <w:rsid w:val="00880B14"/>
    <w:rsid w:val="008B5797"/>
    <w:rsid w:val="008C75A4"/>
    <w:rsid w:val="008F4691"/>
    <w:rsid w:val="00904937"/>
    <w:rsid w:val="00996510"/>
    <w:rsid w:val="009F0F2D"/>
    <w:rsid w:val="00A135DA"/>
    <w:rsid w:val="00A51442"/>
    <w:rsid w:val="00A51D10"/>
    <w:rsid w:val="00A863F7"/>
    <w:rsid w:val="00AB2201"/>
    <w:rsid w:val="00B35708"/>
    <w:rsid w:val="00BD4217"/>
    <w:rsid w:val="00C32389"/>
    <w:rsid w:val="00C34313"/>
    <w:rsid w:val="00CA3730"/>
    <w:rsid w:val="00CD157F"/>
    <w:rsid w:val="00CD24CC"/>
    <w:rsid w:val="00D030DA"/>
    <w:rsid w:val="00D056AE"/>
    <w:rsid w:val="00D07EED"/>
    <w:rsid w:val="00D5237B"/>
    <w:rsid w:val="00D751FC"/>
    <w:rsid w:val="00D76BDF"/>
    <w:rsid w:val="00D948CB"/>
    <w:rsid w:val="00DF7DE9"/>
    <w:rsid w:val="00E1627B"/>
    <w:rsid w:val="00E356C7"/>
    <w:rsid w:val="00E51B98"/>
    <w:rsid w:val="00E53ED9"/>
    <w:rsid w:val="00E64FA7"/>
    <w:rsid w:val="00E7577F"/>
    <w:rsid w:val="00E770CB"/>
    <w:rsid w:val="00F01FC5"/>
    <w:rsid w:val="00F060D9"/>
    <w:rsid w:val="00F25646"/>
    <w:rsid w:val="00F72014"/>
    <w:rsid w:val="00F837E7"/>
    <w:rsid w:val="00F9518C"/>
    <w:rsid w:val="00FA59EF"/>
    <w:rsid w:val="00FB616D"/>
    <w:rsid w:val="00FE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BD68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EED"/>
    <w:rPr>
      <w:lang w:val="fr-CA"/>
    </w:rPr>
  </w:style>
  <w:style w:type="paragraph" w:styleId="Heading8">
    <w:name w:val="heading 8"/>
    <w:basedOn w:val="ListParagraph"/>
    <w:next w:val="Normal"/>
    <w:link w:val="Heading8Char"/>
    <w:uiPriority w:val="9"/>
    <w:unhideWhenUsed/>
    <w:qFormat/>
    <w:rsid w:val="00835135"/>
    <w:pPr>
      <w:numPr>
        <w:ilvl w:val="6"/>
        <w:numId w:val="1"/>
      </w:numPr>
      <w:tabs>
        <w:tab w:val="left" w:pos="2340"/>
      </w:tabs>
      <w:jc w:val="both"/>
      <w:outlineLvl w:val="7"/>
    </w:pPr>
    <w:rPr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030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14"/>
  </w:style>
  <w:style w:type="paragraph" w:styleId="Footer">
    <w:name w:val="footer"/>
    <w:basedOn w:val="Normal"/>
    <w:link w:val="FooterChar"/>
    <w:uiPriority w:val="99"/>
    <w:semiHidden/>
    <w:unhideWhenUsed/>
    <w:rsid w:val="00F72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014"/>
  </w:style>
  <w:style w:type="paragraph" w:customStyle="1" w:styleId="SCCRestrictionOnPublicationTitle">
    <w:name w:val="SCC.RestrictionOnPublicationTitle"/>
    <w:basedOn w:val="Normal"/>
    <w:next w:val="Normal"/>
    <w:link w:val="SCCRestrictionOnPublicationTitleChar"/>
    <w:rsid w:val="009F0F2D"/>
    <w:rPr>
      <w:b/>
      <w:smallCaps/>
    </w:rPr>
  </w:style>
  <w:style w:type="character" w:customStyle="1" w:styleId="SCCRestrictionOnPublicationTitleChar">
    <w:name w:val="SCC.RestrictionOnPublicationTitle Char"/>
    <w:basedOn w:val="DefaultParagraphFont"/>
    <w:link w:val="SCCRestrictionOnPublicationTitle"/>
    <w:rsid w:val="009F0F2D"/>
    <w:rPr>
      <w:b/>
      <w:smallCaps/>
      <w:lang w:val="fr-CA"/>
    </w:rPr>
  </w:style>
  <w:style w:type="paragraph" w:customStyle="1" w:styleId="SCCRestrictionOnPublicationText">
    <w:name w:val="SCC.RestrictionOnPublicationText"/>
    <w:basedOn w:val="Normal"/>
    <w:next w:val="Normal"/>
    <w:link w:val="SCCRestrictionOnPublicationTextChar"/>
    <w:rsid w:val="009F0F2D"/>
  </w:style>
  <w:style w:type="character" w:customStyle="1" w:styleId="SCCRestrictionOnPublicationTextChar">
    <w:name w:val="SCC.RestrictionOnPublicationText Char"/>
    <w:basedOn w:val="DefaultParagraphFont"/>
    <w:link w:val="SCCRestrictionOnPublicationText"/>
    <w:rsid w:val="009F0F2D"/>
    <w:rPr>
      <w:lang w:val="fr-CA"/>
    </w:rPr>
  </w:style>
  <w:style w:type="paragraph" w:customStyle="1" w:styleId="SCCLsocOtherPartyRole">
    <w:name w:val="SCC.Lsoc.OtherPartyRole"/>
    <w:basedOn w:val="Normal"/>
    <w:next w:val="Normal"/>
    <w:link w:val="SCCLsocOtherPartyRoleChar"/>
    <w:rsid w:val="008B5797"/>
    <w:pPr>
      <w:jc w:val="center"/>
    </w:pPr>
  </w:style>
  <w:style w:type="character" w:customStyle="1" w:styleId="SCCLsocOtherPartyRoleChar">
    <w:name w:val="SCC.Lsoc.OtherPartyRole Char"/>
    <w:basedOn w:val="DefaultParagraphFont"/>
    <w:link w:val="SCCLsocOtherPartyRole"/>
    <w:rsid w:val="008B5797"/>
    <w:rPr>
      <w:lang w:val="fr-CA"/>
    </w:rPr>
  </w:style>
  <w:style w:type="paragraph" w:customStyle="1" w:styleId="SCCLsocParty">
    <w:name w:val="SCC.Lsoc.Party"/>
    <w:basedOn w:val="Normal"/>
    <w:next w:val="Normal"/>
    <w:link w:val="SCCLsocPartyChar"/>
    <w:rsid w:val="008B5797"/>
    <w:pPr>
      <w:jc w:val="center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8B5797"/>
    <w:rPr>
      <w:b/>
      <w:lang w:val="fr-CA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5C0397"/>
    <w:rPr>
      <w:b/>
      <w:smallCaps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5C0397"/>
    <w:rPr>
      <w:b/>
      <w:smallCaps/>
      <w:lang w:val="fr-CA"/>
    </w:rPr>
  </w:style>
  <w:style w:type="paragraph" w:customStyle="1" w:styleId="SCCLsocVersus">
    <w:name w:val="SCC.Lsoc.Versus"/>
    <w:basedOn w:val="Normal"/>
    <w:next w:val="Normal"/>
    <w:link w:val="SCCLsocVersusChar"/>
    <w:rsid w:val="008B5797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8B5797"/>
    <w:rPr>
      <w:lang w:val="fr-CA"/>
    </w:rPr>
  </w:style>
  <w:style w:type="paragraph" w:customStyle="1" w:styleId="SCCLsocPartyRole">
    <w:name w:val="SCC.Lsoc.PartyRole"/>
    <w:basedOn w:val="Normal"/>
    <w:next w:val="Normal"/>
    <w:link w:val="SCCLsocPartyRoleChar"/>
    <w:rsid w:val="008B5797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8B5797"/>
    <w:rPr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5C0397"/>
    <w:rPr>
      <w:b/>
      <w:smallCaps/>
    </w:rPr>
  </w:style>
  <w:style w:type="character" w:customStyle="1" w:styleId="SCCLsocPrefixChar">
    <w:name w:val="SCC.Lsoc.Prefix Char"/>
    <w:basedOn w:val="DefaultParagraphFont"/>
    <w:link w:val="SCCLsocPrefix"/>
    <w:rsid w:val="005C0397"/>
    <w:rPr>
      <w:b/>
      <w:smallCaps/>
      <w:lang w:val="fr-CA"/>
    </w:rPr>
  </w:style>
  <w:style w:type="paragraph" w:customStyle="1" w:styleId="SCCHearingJudgmentDatesText">
    <w:name w:val="SCC.HearingJudgmentDatesText"/>
    <w:basedOn w:val="Normal"/>
    <w:next w:val="Normal"/>
    <w:link w:val="SCCHearingJudgmentDatesTextChar"/>
    <w:rsid w:val="00CA3730"/>
  </w:style>
  <w:style w:type="character" w:customStyle="1" w:styleId="SCCHearingJudgmentDatesTextChar">
    <w:name w:val="SCC.HearingJudgmentDatesText Char"/>
    <w:basedOn w:val="DefaultParagraphFont"/>
    <w:link w:val="SCCHearingJudgmentDatesText"/>
    <w:rsid w:val="00CA3730"/>
    <w:rPr>
      <w:lang w:val="fr-CA"/>
    </w:rPr>
  </w:style>
  <w:style w:type="paragraph" w:customStyle="1" w:styleId="SCCHearingJudgmentDatesTitle">
    <w:name w:val="SCC.HearingJudgmentDatesTitle"/>
    <w:basedOn w:val="Normal"/>
    <w:next w:val="Normal"/>
    <w:link w:val="SCCHearingJudgmentDatesTitleChar"/>
    <w:rsid w:val="00CA3730"/>
    <w:rPr>
      <w:b/>
      <w:smallCaps/>
    </w:rPr>
  </w:style>
  <w:style w:type="character" w:customStyle="1" w:styleId="SCCHearingJudgmentDatesTitleChar">
    <w:name w:val="SCC.HearingJudgmentDatesTitle Char"/>
    <w:basedOn w:val="DefaultParagraphFont"/>
    <w:link w:val="SCCHearingJudgmentDatesTitle"/>
    <w:rsid w:val="00CA3730"/>
    <w:rPr>
      <w:b/>
      <w:smallCaps/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196882"/>
    <w:pPr>
      <w:jc w:val="center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196882"/>
    <w:rPr>
      <w:lang w:val="fr-CA"/>
    </w:rPr>
  </w:style>
  <w:style w:type="paragraph" w:customStyle="1" w:styleId="SCCCounselName">
    <w:name w:val="SCC.CounselName"/>
    <w:basedOn w:val="Normal"/>
    <w:next w:val="Normal"/>
    <w:link w:val="SCCCounselNameChar"/>
    <w:rsid w:val="003B7306"/>
    <w:rPr>
      <w:i/>
    </w:rPr>
  </w:style>
  <w:style w:type="character" w:customStyle="1" w:styleId="SCCCounselNameChar">
    <w:name w:val="SCC.CounselName Char"/>
    <w:basedOn w:val="DefaultParagraphFont"/>
    <w:link w:val="SCCCounselName"/>
    <w:rsid w:val="003B7306"/>
    <w:rPr>
      <w:rFonts w:eastAsia="Times New Roman" w:cs="Times New Roman"/>
      <w:i/>
      <w:szCs w:val="20"/>
      <w:lang w:val="fr-CA" w:eastAsia="en-CA"/>
    </w:rPr>
  </w:style>
  <w:style w:type="paragraph" w:customStyle="1" w:styleId="SCCCounselSeparator">
    <w:name w:val="SCC.CounselSeparator"/>
    <w:basedOn w:val="Normal"/>
    <w:next w:val="Normal"/>
    <w:link w:val="SCCCounselSeparatorChar"/>
    <w:rsid w:val="003B7306"/>
  </w:style>
  <w:style w:type="character" w:customStyle="1" w:styleId="SCCCounselSeparatorChar">
    <w:name w:val="SCC.CounselSeparator Char"/>
    <w:basedOn w:val="DefaultParagraphFont"/>
    <w:link w:val="SCCCounselSeparator"/>
    <w:rsid w:val="003B7306"/>
    <w:rPr>
      <w:rFonts w:eastAsia="Times New Roman" w:cs="Times New Roman"/>
      <w:szCs w:val="20"/>
      <w:lang w:val="fr-CA" w:eastAsia="en-CA"/>
    </w:rPr>
  </w:style>
  <w:style w:type="paragraph" w:customStyle="1" w:styleId="SCCCounselPartyRole">
    <w:name w:val="SCC.CounselPartyRole"/>
    <w:basedOn w:val="Normal"/>
    <w:next w:val="Normal"/>
    <w:link w:val="SCCCounselPartyRoleChar"/>
    <w:rsid w:val="003B7306"/>
  </w:style>
  <w:style w:type="character" w:customStyle="1" w:styleId="SCCCounselPartyRoleChar">
    <w:name w:val="SCC.CounselPartyRole Char"/>
    <w:basedOn w:val="DefaultParagraphFont"/>
    <w:link w:val="SCCCounselPartyRole"/>
    <w:rsid w:val="003B7306"/>
    <w:rPr>
      <w:rFonts w:eastAsia="Times New Roman" w:cs="Times New Roman"/>
      <w:szCs w:val="20"/>
      <w:lang w:val="fr-CA" w:eastAsia="en-CA"/>
    </w:rPr>
  </w:style>
  <w:style w:type="paragraph" w:customStyle="1" w:styleId="SCCBold">
    <w:name w:val="SCC.Bold"/>
    <w:basedOn w:val="Normal"/>
    <w:next w:val="Normal"/>
    <w:qFormat/>
    <w:rsid w:val="00D07EED"/>
    <w:rPr>
      <w:b/>
    </w:rPr>
  </w:style>
  <w:style w:type="paragraph" w:customStyle="1" w:styleId="SCCReasonsTitle">
    <w:name w:val="SCC.ReasonsTitle"/>
    <w:basedOn w:val="Normal"/>
    <w:next w:val="Normal"/>
    <w:link w:val="SCCReasonsTitleChar"/>
    <w:qFormat/>
    <w:rsid w:val="00D5237B"/>
    <w:rPr>
      <w:b/>
    </w:rPr>
  </w:style>
  <w:style w:type="character" w:customStyle="1" w:styleId="SCCReasonsTitleChar">
    <w:name w:val="SCC.ReasonsTitle Char"/>
    <w:basedOn w:val="DefaultParagraphFont"/>
    <w:link w:val="SCCReasonsTitle"/>
    <w:rsid w:val="00100074"/>
    <w:rPr>
      <w:b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E16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2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27B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27B"/>
    <w:rPr>
      <w:b/>
      <w:bCs/>
      <w:sz w:val="20"/>
      <w:szCs w:val="20"/>
      <w:lang w:val="fr-CA"/>
    </w:rPr>
  </w:style>
  <w:style w:type="character" w:customStyle="1" w:styleId="Heading8Char">
    <w:name w:val="Heading 8 Char"/>
    <w:basedOn w:val="DefaultParagraphFont"/>
    <w:link w:val="Heading8"/>
    <w:uiPriority w:val="9"/>
    <w:rsid w:val="00835135"/>
    <w:rPr>
      <w:szCs w:val="22"/>
      <w:lang w:bidi="en-US"/>
    </w:rPr>
  </w:style>
  <w:style w:type="paragraph" w:customStyle="1" w:styleId="ParaNoNdepar-AltN">
    <w:name w:val="Para. No. / Nº de par. - Alt N"/>
    <w:link w:val="ParaNoNdepar-AltNChar"/>
    <w:qFormat/>
    <w:rsid w:val="00835135"/>
    <w:pPr>
      <w:numPr>
        <w:numId w:val="1"/>
      </w:numPr>
      <w:spacing w:before="480" w:after="480" w:line="360" w:lineRule="auto"/>
      <w:jc w:val="both"/>
    </w:pPr>
    <w:rPr>
      <w:rFonts w:eastAsiaTheme="minorEastAsia"/>
      <w:szCs w:val="22"/>
      <w:lang w:val="en-CA"/>
    </w:rPr>
  </w:style>
  <w:style w:type="character" w:customStyle="1" w:styleId="ParaNoNdepar-AltNChar">
    <w:name w:val="Para. No. / Nº de par. - Alt N Char"/>
    <w:basedOn w:val="DefaultParagraphFont"/>
    <w:link w:val="ParaNoNdepar-AltN"/>
    <w:locked/>
    <w:rsid w:val="00835135"/>
    <w:rPr>
      <w:rFonts w:eastAsiaTheme="minorEastAsia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83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72252.19B69D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lii.org/en/ab/abca/doc/2021/2021abca172/2021abca172.html?autocompleteStr=2021%20ABCA%20172&amp;autocompletePo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1278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2022-02-21T15:52:00Z</dcterms:created>
  <dcterms:modified xsi:type="dcterms:W3CDTF">2023-05-04T16:34:00Z</dcterms:modified>
</cp:coreProperties>
</file>