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880"/>
        <w:gridCol w:w="949"/>
        <w:gridCol w:w="1415"/>
        <w:gridCol w:w="3828"/>
      </w:tblGrid>
      <w:tr w:rsidR="00423C0D" w:rsidRPr="006430CB" w:rsidTr="00423C0D">
        <w:trPr>
          <w:trHeight w:val="1786"/>
        </w:trPr>
        <w:tc>
          <w:tcPr>
            <w:tcW w:w="5000" w:type="pct"/>
            <w:gridSpan w:val="4"/>
          </w:tcPr>
          <w:p w:rsidR="00423C0D" w:rsidRPr="006430CB" w:rsidRDefault="00423C0D" w:rsidP="00A51442">
            <w:pPr>
              <w:pStyle w:val="SCCBold"/>
              <w:jc w:val="center"/>
            </w:pPr>
            <w:r w:rsidRPr="006430CB">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6430CB" w:rsidRDefault="00423C0D" w:rsidP="009764CA">
            <w:pPr>
              <w:spacing w:before="120" w:after="100" w:afterAutospacing="1"/>
              <w:jc w:val="center"/>
              <w:rPr>
                <w:rFonts w:eastAsia="Calibri"/>
              </w:rPr>
            </w:pPr>
            <w:r w:rsidRPr="006430CB">
              <w:rPr>
                <w:rFonts w:eastAsia="Calibri"/>
                <w:b/>
              </w:rPr>
              <w:t>COUR SUPRÊME DU CANADA</w:t>
            </w:r>
          </w:p>
        </w:tc>
      </w:tr>
      <w:tr w:rsidR="00D056AE" w:rsidRPr="006430CB" w:rsidTr="009B3BDB">
        <w:tblPrEx>
          <w:tblCellMar>
            <w:top w:w="58" w:type="dxa"/>
            <w:left w:w="58" w:type="dxa"/>
            <w:bottom w:w="58" w:type="dxa"/>
            <w:right w:w="58" w:type="dxa"/>
          </w:tblCellMar>
        </w:tblPrEx>
        <w:trPr>
          <w:cantSplit/>
        </w:trPr>
        <w:tc>
          <w:tcPr>
            <w:tcW w:w="2110" w:type="pct"/>
            <w:gridSpan w:val="2"/>
          </w:tcPr>
          <w:p w:rsidR="008215C3" w:rsidRPr="006430CB" w:rsidRDefault="008215C3" w:rsidP="002F0B6C">
            <w:pPr>
              <w:rPr>
                <w:b/>
                <w:smallCaps/>
              </w:rPr>
            </w:pPr>
          </w:p>
          <w:p w:rsidR="00D056AE" w:rsidRPr="006430CB" w:rsidRDefault="00D056AE" w:rsidP="00F34534">
            <w:pPr>
              <w:rPr>
                <w:b/>
                <w:smallCaps/>
              </w:rPr>
            </w:pPr>
            <w:r w:rsidRPr="006430CB">
              <w:rPr>
                <w:b/>
                <w:smallCaps/>
              </w:rPr>
              <w:t>Référence :</w:t>
            </w:r>
            <w:r w:rsidRPr="006430CB">
              <w:t xml:space="preserve"> </w:t>
            </w:r>
            <w:r w:rsidR="009B3BDB" w:rsidRPr="006430CB">
              <w:t xml:space="preserve">R. </w:t>
            </w:r>
            <w:r w:rsidR="009B3BDB" w:rsidRPr="006430CB">
              <w:rPr>
                <w:i/>
              </w:rPr>
              <w:t>c.</w:t>
            </w:r>
            <w:r w:rsidR="008521D5" w:rsidRPr="006430CB">
              <w:t xml:space="preserve"> Pope</w:t>
            </w:r>
            <w:r w:rsidR="009B3BDB" w:rsidRPr="006430CB">
              <w:t xml:space="preserve">, 2022 </w:t>
            </w:r>
            <w:r w:rsidR="00F34534" w:rsidRPr="006430CB">
              <w:t>CSC</w:t>
            </w:r>
            <w:r w:rsidR="00865B58" w:rsidRPr="006430CB">
              <w:t xml:space="preserve"> </w:t>
            </w:r>
            <w:r w:rsidR="006F575B" w:rsidRPr="006430CB">
              <w:t>8</w:t>
            </w:r>
          </w:p>
        </w:tc>
        <w:tc>
          <w:tcPr>
            <w:tcW w:w="780" w:type="pct"/>
          </w:tcPr>
          <w:p w:rsidR="00D056AE" w:rsidRPr="006430CB" w:rsidRDefault="00D056AE" w:rsidP="002F0B6C"/>
        </w:tc>
        <w:tc>
          <w:tcPr>
            <w:tcW w:w="2110" w:type="pct"/>
          </w:tcPr>
          <w:p w:rsidR="00D056AE" w:rsidRPr="006430CB" w:rsidRDefault="00D056AE" w:rsidP="00423C0D">
            <w:pPr>
              <w:jc w:val="both"/>
              <w:rPr>
                <w:b/>
                <w:smallCaps/>
              </w:rPr>
            </w:pPr>
          </w:p>
          <w:p w:rsidR="00D056AE" w:rsidRPr="006430CB" w:rsidRDefault="00D056AE" w:rsidP="00423C0D">
            <w:pPr>
              <w:jc w:val="both"/>
            </w:pPr>
            <w:r w:rsidRPr="006430CB">
              <w:rPr>
                <w:b/>
                <w:smallCaps/>
              </w:rPr>
              <w:t>Appel entendu :</w:t>
            </w:r>
            <w:r w:rsidRPr="006430CB">
              <w:t xml:space="preserve"> </w:t>
            </w:r>
            <w:r w:rsidR="00865B58" w:rsidRPr="006430CB">
              <w:t>21 mars</w:t>
            </w:r>
            <w:r w:rsidR="009B3BDB" w:rsidRPr="006430CB">
              <w:t xml:space="preserve"> 2022</w:t>
            </w:r>
          </w:p>
          <w:p w:rsidR="00D056AE" w:rsidRPr="006430CB" w:rsidRDefault="00D056AE">
            <w:r w:rsidRPr="006430CB">
              <w:rPr>
                <w:b/>
                <w:smallCaps/>
              </w:rPr>
              <w:t>Jugement rendu :</w:t>
            </w:r>
            <w:r w:rsidRPr="006430CB">
              <w:t xml:space="preserve"> </w:t>
            </w:r>
            <w:r w:rsidR="00865B58" w:rsidRPr="006430CB">
              <w:t xml:space="preserve">21 mars </w:t>
            </w:r>
            <w:r w:rsidR="009B3BDB" w:rsidRPr="006430CB">
              <w:t>2022</w:t>
            </w:r>
          </w:p>
          <w:p w:rsidR="00D056AE" w:rsidRPr="006430CB" w:rsidRDefault="00D056AE" w:rsidP="002F0B6C">
            <w:r w:rsidRPr="006430CB">
              <w:rPr>
                <w:b/>
                <w:smallCaps/>
              </w:rPr>
              <w:t>Dossier :</w:t>
            </w:r>
            <w:r w:rsidRPr="006430CB">
              <w:t xml:space="preserve"> </w:t>
            </w:r>
            <w:r w:rsidR="00865B58" w:rsidRPr="006430CB">
              <w:t>39817</w:t>
            </w:r>
          </w:p>
        </w:tc>
      </w:tr>
      <w:tr w:rsidR="00423C0D" w:rsidRPr="006430CB" w:rsidTr="00423C0D">
        <w:tblPrEx>
          <w:tblCellMar>
            <w:top w:w="58" w:type="dxa"/>
            <w:left w:w="58" w:type="dxa"/>
            <w:bottom w:w="58" w:type="dxa"/>
            <w:right w:w="58" w:type="dxa"/>
          </w:tblCellMar>
        </w:tblPrEx>
        <w:trPr>
          <w:cantSplit/>
        </w:trPr>
        <w:tc>
          <w:tcPr>
            <w:tcW w:w="5000" w:type="pct"/>
            <w:gridSpan w:val="4"/>
          </w:tcPr>
          <w:p w:rsidR="00423C0D" w:rsidRPr="006430CB" w:rsidRDefault="00423C0D" w:rsidP="00423C0D"/>
          <w:p w:rsidR="00555757" w:rsidRPr="006430CB" w:rsidRDefault="00E310A9">
            <w:pPr>
              <w:pStyle w:val="SCCLsocPrefix"/>
            </w:pPr>
            <w:r w:rsidRPr="006430CB">
              <w:t>Entre</w:t>
            </w:r>
            <w:r w:rsidR="009B3BDB" w:rsidRPr="006430CB">
              <w:t> </w:t>
            </w:r>
            <w:r w:rsidRPr="006430CB">
              <w:t>:</w:t>
            </w:r>
          </w:p>
          <w:p w:rsidR="009B3BDB" w:rsidRPr="006430CB" w:rsidRDefault="009B3BDB" w:rsidP="009B3BDB"/>
          <w:p w:rsidR="00257AEE" w:rsidRPr="006430CB" w:rsidRDefault="00257AEE" w:rsidP="00257AEE">
            <w:pPr>
              <w:pStyle w:val="SCCLsocParty"/>
            </w:pPr>
            <w:r w:rsidRPr="006430CB">
              <w:t>Sa Majesté la Reine</w:t>
            </w:r>
          </w:p>
          <w:p w:rsidR="00555757" w:rsidRPr="006430CB" w:rsidRDefault="009B3BDB">
            <w:pPr>
              <w:pStyle w:val="SCCLsocPartyRole"/>
            </w:pPr>
            <w:r w:rsidRPr="006430CB">
              <w:t>Appelant</w:t>
            </w:r>
            <w:r w:rsidR="001142C6" w:rsidRPr="006430CB">
              <w:t>e</w:t>
            </w:r>
          </w:p>
          <w:p w:rsidR="00555757" w:rsidRPr="006430CB" w:rsidRDefault="00555757"/>
          <w:p w:rsidR="00555757" w:rsidRPr="006430CB" w:rsidRDefault="009B3BDB">
            <w:pPr>
              <w:pStyle w:val="SCCLsocVersus"/>
            </w:pPr>
            <w:r w:rsidRPr="006430CB">
              <w:t>et</w:t>
            </w:r>
          </w:p>
          <w:p w:rsidR="00555757" w:rsidRPr="006430CB" w:rsidRDefault="00555757"/>
          <w:p w:rsidR="00257AEE" w:rsidRPr="006430CB" w:rsidRDefault="00257AEE" w:rsidP="00257AEE">
            <w:pPr>
              <w:pStyle w:val="SCCLsocParty"/>
            </w:pPr>
            <w:r w:rsidRPr="006430CB">
              <w:rPr>
                <w:bCs/>
              </w:rPr>
              <w:t>Craig Pope</w:t>
            </w:r>
          </w:p>
          <w:p w:rsidR="00555757" w:rsidRPr="006430CB" w:rsidRDefault="00257AEE">
            <w:pPr>
              <w:pStyle w:val="SCCLsocPartyRole"/>
            </w:pPr>
            <w:r w:rsidRPr="006430CB">
              <w:t>Intimé</w:t>
            </w:r>
          </w:p>
          <w:p w:rsidR="00555757" w:rsidRPr="006430CB" w:rsidRDefault="00555757"/>
          <w:p w:rsidR="00D4443A" w:rsidRPr="006430CB" w:rsidRDefault="00D4443A" w:rsidP="00423C0D">
            <w:pPr>
              <w:jc w:val="center"/>
              <w:rPr>
                <w:b/>
                <w:smallCaps/>
              </w:rPr>
            </w:pPr>
          </w:p>
          <w:p w:rsidR="00423C0D" w:rsidRPr="006430CB" w:rsidRDefault="00423C0D" w:rsidP="00423C0D">
            <w:pPr>
              <w:jc w:val="center"/>
              <w:rPr>
                <w:b/>
                <w:smallCaps/>
              </w:rPr>
            </w:pPr>
            <w:r w:rsidRPr="006430CB">
              <w:rPr>
                <w:b/>
                <w:smallCaps/>
              </w:rPr>
              <w:t>Traduction française officielle</w:t>
            </w:r>
          </w:p>
          <w:p w:rsidR="00423C0D" w:rsidRPr="006430CB" w:rsidRDefault="00423C0D" w:rsidP="00423C0D"/>
          <w:p w:rsidR="00423C0D" w:rsidRPr="006430CB" w:rsidRDefault="00423C0D" w:rsidP="00423C0D">
            <w:r w:rsidRPr="006430CB">
              <w:rPr>
                <w:b/>
                <w:smallCaps/>
              </w:rPr>
              <w:t>Coram :</w:t>
            </w:r>
            <w:r w:rsidRPr="006430CB">
              <w:t xml:space="preserve"> </w:t>
            </w:r>
            <w:r w:rsidR="00C558AA" w:rsidRPr="006430CB">
              <w:t>Le juge en chef Wagner et les juges Moldaver, Karakatsanis, Côté, Brown, Rowe, Martin, Kasirer et Jamal</w:t>
            </w:r>
          </w:p>
          <w:p w:rsidR="00423C0D" w:rsidRPr="006430CB" w:rsidRDefault="00423C0D" w:rsidP="00423C0D">
            <w:pPr>
              <w:jc w:val="both"/>
              <w:rPr>
                <w:b/>
                <w:smallCaps/>
              </w:rPr>
            </w:pPr>
          </w:p>
        </w:tc>
      </w:tr>
      <w:tr w:rsidR="004E69EC" w:rsidRPr="006430CB" w:rsidTr="00681AA1">
        <w:tblPrEx>
          <w:tblCellMar>
            <w:top w:w="58" w:type="dxa"/>
            <w:left w:w="58" w:type="dxa"/>
            <w:bottom w:w="58" w:type="dxa"/>
            <w:right w:w="58" w:type="dxa"/>
          </w:tblCellMar>
        </w:tblPrEx>
        <w:trPr>
          <w:cantSplit/>
        </w:trPr>
        <w:tc>
          <w:tcPr>
            <w:tcW w:w="1587" w:type="pct"/>
            <w:vAlign w:val="center"/>
          </w:tcPr>
          <w:p w:rsidR="004E69EC" w:rsidRPr="006430CB" w:rsidRDefault="00AC5432" w:rsidP="00681AA1">
            <w:pPr>
              <w:rPr>
                <w:rStyle w:val="SCCReasonsTitleChar"/>
                <w:smallCaps/>
              </w:rPr>
            </w:pPr>
            <w:r w:rsidRPr="006430CB">
              <w:rPr>
                <w:rFonts w:eastAsia="Times New Roman" w:cs="Times New Roman"/>
                <w:b/>
                <w:bCs/>
                <w:smallCaps/>
                <w:color w:val="000000"/>
              </w:rPr>
              <w:t>Jugement lu par :</w:t>
            </w:r>
          </w:p>
          <w:p w:rsidR="00442C2D" w:rsidRPr="006430CB" w:rsidRDefault="009B3BDB" w:rsidP="00DE5171">
            <w:r w:rsidRPr="006430CB">
              <w:t xml:space="preserve">(par. 1 à </w:t>
            </w:r>
            <w:r w:rsidR="00DE5171" w:rsidRPr="006430CB">
              <w:t>2</w:t>
            </w:r>
            <w:r w:rsidRPr="006430CB">
              <w:t>)</w:t>
            </w:r>
          </w:p>
        </w:tc>
        <w:tc>
          <w:tcPr>
            <w:tcW w:w="3413" w:type="pct"/>
            <w:gridSpan w:val="3"/>
          </w:tcPr>
          <w:p w:rsidR="004E69EC" w:rsidRPr="006430CB" w:rsidRDefault="00E7577F" w:rsidP="00AC5432">
            <w:r w:rsidRPr="006430CB">
              <w:t xml:space="preserve">Le juge </w:t>
            </w:r>
            <w:r w:rsidR="006F575B" w:rsidRPr="006430CB">
              <w:t>en chef Wagner</w:t>
            </w:r>
          </w:p>
        </w:tc>
      </w:tr>
      <w:tr w:rsidR="00C558AA" w:rsidRPr="006430CB" w:rsidTr="00A86F7E">
        <w:tblPrEx>
          <w:tblCellMar>
            <w:top w:w="58" w:type="dxa"/>
            <w:left w:w="58" w:type="dxa"/>
            <w:bottom w:w="58" w:type="dxa"/>
            <w:right w:w="58" w:type="dxa"/>
          </w:tblCellMar>
        </w:tblPrEx>
        <w:trPr>
          <w:cantSplit/>
        </w:trPr>
        <w:tc>
          <w:tcPr>
            <w:tcW w:w="1587" w:type="pct"/>
            <w:vAlign w:val="center"/>
          </w:tcPr>
          <w:p w:rsidR="00C558AA" w:rsidRPr="006430CB" w:rsidRDefault="00C558AA" w:rsidP="00681AA1">
            <w:pPr>
              <w:rPr>
                <w:rStyle w:val="SCCReasonsTitleChar"/>
                <w:b w:val="0"/>
              </w:rPr>
            </w:pPr>
            <w:r w:rsidRPr="006430CB">
              <w:rPr>
                <w:rFonts w:eastAsia="Times New Roman" w:cs="Times New Roman"/>
                <w:b/>
                <w:bCs/>
                <w:smallCaps/>
                <w:color w:val="000000"/>
              </w:rPr>
              <w:t>Majorité :</w:t>
            </w:r>
          </w:p>
        </w:tc>
        <w:tc>
          <w:tcPr>
            <w:tcW w:w="3413" w:type="pct"/>
            <w:gridSpan w:val="3"/>
            <w:vAlign w:val="center"/>
          </w:tcPr>
          <w:p w:rsidR="00C558AA" w:rsidRPr="006430CB" w:rsidRDefault="00C6115D" w:rsidP="005362B9">
            <w:r w:rsidRPr="006430CB">
              <w:t xml:space="preserve">Les juges Moldaver, Karakatsanis, Brown, Kasirer </w:t>
            </w:r>
            <w:r w:rsidR="00C558AA" w:rsidRPr="006430CB">
              <w:t>et Jamal</w:t>
            </w:r>
          </w:p>
        </w:tc>
      </w:tr>
      <w:tr w:rsidR="00C558AA" w:rsidRPr="006430CB" w:rsidTr="00681AA1">
        <w:tblPrEx>
          <w:tblCellMar>
            <w:top w:w="58" w:type="dxa"/>
            <w:left w:w="58" w:type="dxa"/>
            <w:bottom w:w="58" w:type="dxa"/>
            <w:right w:w="58" w:type="dxa"/>
          </w:tblCellMar>
        </w:tblPrEx>
        <w:trPr>
          <w:cantSplit/>
          <w:trHeight w:val="504"/>
        </w:trPr>
        <w:tc>
          <w:tcPr>
            <w:tcW w:w="1587" w:type="pct"/>
            <w:vAlign w:val="center"/>
          </w:tcPr>
          <w:p w:rsidR="00C558AA" w:rsidRPr="006430CB" w:rsidRDefault="00D854F6" w:rsidP="00681AA1">
            <w:pPr>
              <w:rPr>
                <w:rStyle w:val="SCCReasonsTitleChar"/>
                <w:rFonts w:eastAsia="Times New Roman" w:cs="Times New Roman"/>
                <w:bCs/>
                <w:smallCaps/>
                <w:color w:val="000000"/>
              </w:rPr>
            </w:pPr>
            <w:r w:rsidRPr="006430CB">
              <w:rPr>
                <w:rStyle w:val="SCCReasonsTitleChar"/>
                <w:smallCaps/>
              </w:rPr>
              <w:t>Dissidence</w:t>
            </w:r>
            <w:r w:rsidR="00C558AA" w:rsidRPr="006430CB">
              <w:rPr>
                <w:rStyle w:val="SCCReasonsTitleChar"/>
                <w:smallCaps/>
              </w:rPr>
              <w:t> :</w:t>
            </w:r>
          </w:p>
        </w:tc>
        <w:tc>
          <w:tcPr>
            <w:tcW w:w="3413" w:type="pct"/>
            <w:gridSpan w:val="3"/>
            <w:vAlign w:val="center"/>
          </w:tcPr>
          <w:p w:rsidR="00C558AA" w:rsidRPr="006430CB" w:rsidRDefault="00C6115D" w:rsidP="00681AA1">
            <w:r w:rsidRPr="006430CB">
              <w:t>Le juge en chef Wagner et les juges Côté, Rowe et Martin</w:t>
            </w:r>
          </w:p>
        </w:tc>
      </w:tr>
      <w:tr w:rsidR="00C558AA" w:rsidRPr="006430CB" w:rsidTr="00C558AA">
        <w:tblPrEx>
          <w:tblCellMar>
            <w:top w:w="58" w:type="dxa"/>
            <w:left w:w="58" w:type="dxa"/>
            <w:bottom w:w="58" w:type="dxa"/>
            <w:right w:w="58" w:type="dxa"/>
          </w:tblCellMar>
        </w:tblPrEx>
        <w:trPr>
          <w:cantSplit/>
          <w:trHeight w:val="504"/>
        </w:trPr>
        <w:tc>
          <w:tcPr>
            <w:tcW w:w="5000" w:type="pct"/>
            <w:gridSpan w:val="4"/>
          </w:tcPr>
          <w:p w:rsidR="00C558AA" w:rsidRPr="006430CB" w:rsidRDefault="00C558AA" w:rsidP="00681AA1"/>
        </w:tc>
      </w:tr>
      <w:tr w:rsidR="00C558AA" w:rsidRPr="006430CB" w:rsidTr="00E310A9">
        <w:tblPrEx>
          <w:tblCellMar>
            <w:top w:w="58" w:type="dxa"/>
            <w:left w:w="58" w:type="dxa"/>
            <w:bottom w:w="58" w:type="dxa"/>
            <w:right w:w="58" w:type="dxa"/>
          </w:tblCellMar>
        </w:tblPrEx>
        <w:trPr>
          <w:cantSplit/>
          <w:trHeight w:val="1139"/>
        </w:trPr>
        <w:tc>
          <w:tcPr>
            <w:tcW w:w="5000" w:type="pct"/>
            <w:gridSpan w:val="4"/>
          </w:tcPr>
          <w:p w:rsidR="00C558AA" w:rsidRPr="006430CB" w:rsidRDefault="00C558AA" w:rsidP="00D81A6B"/>
        </w:tc>
      </w:tr>
    </w:tbl>
    <w:p w:rsidR="00F837E7" w:rsidRPr="006430CB" w:rsidRDefault="00F837E7"/>
    <w:p w:rsidR="004F7322" w:rsidRPr="006430CB" w:rsidRDefault="004F7322" w:rsidP="004F7322"/>
    <w:p w:rsidR="00904937" w:rsidRPr="006430CB" w:rsidRDefault="00904937">
      <w:r w:rsidRPr="006430CB">
        <w:rPr>
          <w:b/>
          <w:smallCaps/>
        </w:rPr>
        <w:t>Note</w:t>
      </w:r>
      <w:r w:rsidR="002F0B6C" w:rsidRPr="006430CB">
        <w:rPr>
          <w:b/>
          <w:smallCaps/>
        </w:rPr>
        <w:t> :</w:t>
      </w:r>
      <w:r w:rsidRPr="006430CB">
        <w:rPr>
          <w:b/>
        </w:rPr>
        <w:t xml:space="preserve"> </w:t>
      </w:r>
      <w:r w:rsidR="001E12E2" w:rsidRPr="006430CB">
        <w:t>Ce document fera l’objet de retouches de forme avant la parution</w:t>
      </w:r>
      <w:r w:rsidR="005C0397" w:rsidRPr="006430CB">
        <w:t xml:space="preserve"> </w:t>
      </w:r>
      <w:r w:rsidR="001E12E2" w:rsidRPr="006430CB">
        <w:t>de sa version définitive dans le</w:t>
      </w:r>
      <w:r w:rsidRPr="006430CB">
        <w:t xml:space="preserve"> </w:t>
      </w:r>
      <w:r w:rsidR="001E12E2" w:rsidRPr="006430CB">
        <w:rPr>
          <w:i/>
        </w:rPr>
        <w:t>Recueil des arrêts de la Cour suprême du C</w:t>
      </w:r>
      <w:r w:rsidRPr="006430CB">
        <w:rPr>
          <w:i/>
        </w:rPr>
        <w:t>anada</w:t>
      </w:r>
      <w:r w:rsidRPr="006430CB">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6430CB" w:rsidTr="003375C9">
        <w:tc>
          <w:tcPr>
            <w:tcW w:w="1500" w:type="pct"/>
            <w:tcMar>
              <w:top w:w="284" w:type="dxa"/>
            </w:tcMar>
          </w:tcPr>
          <w:p w:rsidR="000D1436" w:rsidRPr="006430CB" w:rsidRDefault="000D1436" w:rsidP="003375C9">
            <w:pPr>
              <w:rPr>
                <w:rFonts w:eastAsia="Calibri"/>
              </w:rPr>
            </w:pPr>
          </w:p>
        </w:tc>
        <w:tc>
          <w:tcPr>
            <w:tcW w:w="2000" w:type="pct"/>
            <w:tcBorders>
              <w:bottom w:val="single" w:sz="4" w:space="0" w:color="auto"/>
            </w:tcBorders>
            <w:tcMar>
              <w:top w:w="284" w:type="dxa"/>
            </w:tcMar>
          </w:tcPr>
          <w:p w:rsidR="000D1436" w:rsidRPr="006430CB" w:rsidRDefault="000D1436" w:rsidP="003375C9">
            <w:pPr>
              <w:rPr>
                <w:rFonts w:eastAsia="Calibri"/>
              </w:rPr>
            </w:pPr>
          </w:p>
        </w:tc>
        <w:tc>
          <w:tcPr>
            <w:tcW w:w="1500" w:type="pct"/>
            <w:tcMar>
              <w:top w:w="284" w:type="dxa"/>
            </w:tcMar>
          </w:tcPr>
          <w:p w:rsidR="000D1436" w:rsidRPr="006430CB" w:rsidRDefault="000D1436" w:rsidP="003375C9">
            <w:pPr>
              <w:rPr>
                <w:rFonts w:eastAsia="Calibri"/>
              </w:rPr>
            </w:pPr>
          </w:p>
        </w:tc>
      </w:tr>
    </w:tbl>
    <w:p w:rsidR="00C326DA" w:rsidRPr="006430CB" w:rsidRDefault="00C326DA" w:rsidP="003B7E58"/>
    <w:p w:rsidR="003F583C" w:rsidRDefault="003F583C" w:rsidP="003F583C">
      <w:pPr>
        <w:tabs>
          <w:tab w:val="right" w:pos="8222"/>
        </w:tabs>
        <w:spacing w:after="720"/>
        <w:rPr>
          <w:rFonts w:eastAsia="Times New Roman" w:cs="Times New Roman"/>
          <w:b/>
          <w:szCs w:val="20"/>
          <w:lang w:eastAsia="en-CA"/>
        </w:rPr>
      </w:pPr>
    </w:p>
    <w:p w:rsidR="003F583C" w:rsidRPr="003F583C" w:rsidRDefault="003F583C" w:rsidP="003F583C">
      <w:pPr>
        <w:tabs>
          <w:tab w:val="right" w:pos="8222"/>
        </w:tabs>
        <w:spacing w:after="720"/>
        <w:rPr>
          <w:rFonts w:eastAsia="Times New Roman" w:cs="Times New Roman"/>
          <w:b/>
          <w:szCs w:val="20"/>
          <w:lang w:eastAsia="en-CA"/>
        </w:rPr>
      </w:pPr>
      <w:bookmarkStart w:id="0" w:name="_GoBack"/>
      <w:bookmarkEnd w:id="0"/>
      <w:r w:rsidRPr="003F583C">
        <w:rPr>
          <w:rFonts w:eastAsia="Times New Roman" w:cs="Times New Roman"/>
          <w:b/>
          <w:szCs w:val="20"/>
          <w:lang w:eastAsia="en-CA"/>
        </w:rPr>
        <w:t>Sa Majesté la Reine</w:t>
      </w:r>
      <w:r w:rsidRPr="003F583C">
        <w:rPr>
          <w:rFonts w:eastAsia="Times New Roman" w:cs="Times New Roman"/>
          <w:i/>
          <w:szCs w:val="20"/>
          <w:lang w:eastAsia="en-CA"/>
        </w:rPr>
        <w:tab/>
        <w:t>Appelante</w:t>
      </w:r>
    </w:p>
    <w:p w:rsidR="003F583C" w:rsidRPr="003F583C" w:rsidRDefault="003F583C" w:rsidP="003F583C">
      <w:pPr>
        <w:spacing w:after="720"/>
        <w:rPr>
          <w:rFonts w:eastAsia="Times New Roman" w:cs="Times New Roman"/>
          <w:i/>
          <w:szCs w:val="20"/>
          <w:lang w:eastAsia="en-CA"/>
        </w:rPr>
      </w:pPr>
      <w:r w:rsidRPr="003F583C">
        <w:rPr>
          <w:rFonts w:eastAsia="Times New Roman" w:cs="Times New Roman"/>
          <w:i/>
          <w:szCs w:val="20"/>
          <w:lang w:eastAsia="en-CA"/>
        </w:rPr>
        <w:t>c.</w:t>
      </w:r>
    </w:p>
    <w:p w:rsidR="003F583C" w:rsidRPr="003F583C" w:rsidRDefault="003F583C" w:rsidP="003F583C">
      <w:pPr>
        <w:tabs>
          <w:tab w:val="right" w:pos="8222"/>
        </w:tabs>
        <w:spacing w:after="720"/>
        <w:rPr>
          <w:rFonts w:eastAsia="Times New Roman" w:cs="Times New Roman"/>
          <w:b/>
          <w:szCs w:val="20"/>
          <w:lang w:eastAsia="en-CA"/>
        </w:rPr>
      </w:pPr>
      <w:r w:rsidRPr="003F583C">
        <w:rPr>
          <w:rFonts w:eastAsia="Times New Roman" w:cs="Times New Roman"/>
          <w:b/>
          <w:szCs w:val="20"/>
          <w:lang w:eastAsia="en-CA"/>
        </w:rPr>
        <w:t>Craig Pope</w:t>
      </w:r>
      <w:r w:rsidRPr="003F583C">
        <w:rPr>
          <w:rFonts w:eastAsia="Times New Roman" w:cs="Times New Roman"/>
          <w:i/>
          <w:szCs w:val="20"/>
          <w:lang w:eastAsia="en-CA"/>
        </w:rPr>
        <w:tab/>
        <w:t>Intimé</w:t>
      </w:r>
    </w:p>
    <w:p w:rsidR="003F583C" w:rsidRPr="003F583C" w:rsidRDefault="003F583C" w:rsidP="003F583C">
      <w:pPr>
        <w:spacing w:after="720"/>
        <w:jc w:val="both"/>
        <w:rPr>
          <w:rFonts w:eastAsia="Times New Roman" w:cs="Times New Roman"/>
          <w:b/>
          <w:szCs w:val="20"/>
          <w:lang w:eastAsia="en-CA"/>
        </w:rPr>
      </w:pPr>
      <w:r w:rsidRPr="003F583C">
        <w:rPr>
          <w:rFonts w:eastAsia="Times New Roman" w:cs="Times New Roman"/>
          <w:b/>
          <w:szCs w:val="20"/>
          <w:lang w:eastAsia="en-CA"/>
        </w:rPr>
        <w:t xml:space="preserve">Répertorié : R. </w:t>
      </w:r>
      <w:r w:rsidRPr="003F583C">
        <w:rPr>
          <w:rFonts w:eastAsia="Times New Roman" w:cs="Times New Roman"/>
          <w:b/>
          <w:i/>
          <w:szCs w:val="20"/>
          <w:lang w:eastAsia="en-CA"/>
        </w:rPr>
        <w:t>c.</w:t>
      </w:r>
      <w:r w:rsidRPr="003F583C">
        <w:rPr>
          <w:rFonts w:eastAsia="Times New Roman" w:cs="Times New Roman"/>
          <w:b/>
          <w:szCs w:val="20"/>
          <w:lang w:eastAsia="en-CA"/>
        </w:rPr>
        <w:t xml:space="preserve"> Pope</w:t>
      </w:r>
    </w:p>
    <w:p w:rsidR="003F583C" w:rsidRPr="003F583C" w:rsidRDefault="003F583C" w:rsidP="003F583C">
      <w:pPr>
        <w:spacing w:after="720"/>
        <w:jc w:val="both"/>
        <w:rPr>
          <w:rFonts w:eastAsia="Times New Roman" w:cs="Times New Roman"/>
          <w:b/>
          <w:szCs w:val="20"/>
          <w:lang w:eastAsia="en-CA"/>
        </w:rPr>
      </w:pPr>
      <w:r w:rsidRPr="003F583C">
        <w:rPr>
          <w:rFonts w:eastAsia="Times New Roman" w:cs="Times New Roman"/>
          <w:b/>
          <w:szCs w:val="20"/>
          <w:lang w:eastAsia="en-CA"/>
        </w:rPr>
        <w:t>2022 CSC 8</w:t>
      </w:r>
    </w:p>
    <w:p w:rsidR="003F583C" w:rsidRPr="003F583C" w:rsidRDefault="003F583C" w:rsidP="003F583C">
      <w:pPr>
        <w:spacing w:after="720"/>
        <w:jc w:val="both"/>
        <w:rPr>
          <w:rFonts w:eastAsia="Times New Roman" w:cs="Times New Roman"/>
          <w:szCs w:val="20"/>
          <w:lang w:eastAsia="en-CA"/>
        </w:rPr>
      </w:pPr>
      <w:r w:rsidRPr="003F583C">
        <w:rPr>
          <w:rFonts w:eastAsia="Times New Roman" w:cs="Times New Roman"/>
          <w:szCs w:val="20"/>
          <w:lang w:eastAsia="en-CA"/>
        </w:rPr>
        <w:t>N</w:t>
      </w:r>
      <w:r w:rsidRPr="003F583C">
        <w:rPr>
          <w:rFonts w:eastAsia="Times New Roman" w:cs="Times New Roman"/>
          <w:szCs w:val="20"/>
          <w:vertAlign w:val="superscript"/>
          <w:lang w:eastAsia="en-CA"/>
        </w:rPr>
        <w:t>o</w:t>
      </w:r>
      <w:r w:rsidRPr="003F583C">
        <w:rPr>
          <w:rFonts w:eastAsia="Times New Roman" w:cs="Times New Roman"/>
          <w:szCs w:val="20"/>
          <w:lang w:eastAsia="en-CA"/>
        </w:rPr>
        <w:t xml:space="preserve"> du greffe : 39817.</w:t>
      </w:r>
    </w:p>
    <w:p w:rsidR="003F583C" w:rsidRPr="003F583C" w:rsidRDefault="003F583C" w:rsidP="003F583C">
      <w:pPr>
        <w:spacing w:after="720"/>
        <w:jc w:val="both"/>
        <w:rPr>
          <w:rFonts w:eastAsia="Times New Roman" w:cs="Times New Roman"/>
          <w:szCs w:val="20"/>
          <w:lang w:eastAsia="en-CA"/>
        </w:rPr>
      </w:pPr>
      <w:r w:rsidRPr="003F583C">
        <w:rPr>
          <w:rFonts w:eastAsia="Times New Roman" w:cs="Times New Roman"/>
          <w:szCs w:val="20"/>
          <w:lang w:eastAsia="en-CA"/>
        </w:rPr>
        <w:t>2022 : 21 mars.</w:t>
      </w:r>
    </w:p>
    <w:p w:rsidR="003F583C" w:rsidRPr="003F583C" w:rsidRDefault="003F583C" w:rsidP="003F583C">
      <w:pPr>
        <w:spacing w:after="720"/>
        <w:jc w:val="both"/>
        <w:rPr>
          <w:rFonts w:eastAsia="Times New Roman" w:cs="Times New Roman"/>
          <w:szCs w:val="20"/>
          <w:lang w:eastAsia="en-CA"/>
        </w:rPr>
      </w:pPr>
      <w:r w:rsidRPr="003F583C">
        <w:rPr>
          <w:rFonts w:eastAsia="Times New Roman" w:cs="Times New Roman"/>
          <w:szCs w:val="20"/>
          <w:lang w:eastAsia="en-CA"/>
        </w:rPr>
        <w:t>Présents : Le juge en chef Wagner et les juges Moldaver, Karakatsanis, Côté, Brown, Rowe, Martin, Kasirer et Jamal.</w:t>
      </w:r>
    </w:p>
    <w:p w:rsidR="003F583C" w:rsidRPr="003F583C" w:rsidRDefault="003F583C" w:rsidP="003F583C">
      <w:pPr>
        <w:spacing w:after="720"/>
        <w:jc w:val="both"/>
        <w:rPr>
          <w:rFonts w:eastAsia="Times New Roman" w:cs="Times New Roman"/>
          <w:smallCaps/>
          <w:szCs w:val="20"/>
          <w:lang w:eastAsia="en-CA"/>
        </w:rPr>
      </w:pPr>
      <w:r w:rsidRPr="003F583C">
        <w:rPr>
          <w:rFonts w:eastAsia="Times New Roman" w:cs="Times New Roman"/>
          <w:smallCaps/>
          <w:szCs w:val="20"/>
          <w:lang w:eastAsia="en-CA"/>
        </w:rPr>
        <w:t>en appel de la cour d’appel de terre</w:t>
      </w:r>
      <w:r w:rsidRPr="003F583C">
        <w:rPr>
          <w:rFonts w:eastAsia="Times New Roman" w:cs="Times New Roman"/>
          <w:smallCaps/>
          <w:szCs w:val="20"/>
          <w:lang w:eastAsia="en-CA"/>
        </w:rPr>
        <w:noBreakHyphen/>
        <w:t>neuve</w:t>
      </w:r>
      <w:r w:rsidRPr="003F583C">
        <w:rPr>
          <w:rFonts w:eastAsia="Times New Roman" w:cs="Times New Roman"/>
          <w:smallCaps/>
          <w:szCs w:val="20"/>
          <w:lang w:eastAsia="en-CA"/>
        </w:rPr>
        <w:noBreakHyphen/>
        <w:t>et</w:t>
      </w:r>
      <w:r w:rsidRPr="003F583C">
        <w:rPr>
          <w:rFonts w:eastAsia="Times New Roman" w:cs="Times New Roman"/>
          <w:smallCaps/>
          <w:szCs w:val="20"/>
          <w:lang w:eastAsia="en-CA"/>
        </w:rPr>
        <w:noBreakHyphen/>
        <w:t>labrador</w:t>
      </w:r>
    </w:p>
    <w:p w:rsidR="003F583C" w:rsidRPr="003F583C" w:rsidRDefault="003F583C" w:rsidP="003F583C">
      <w:pPr>
        <w:tabs>
          <w:tab w:val="left" w:pos="1168"/>
        </w:tabs>
        <w:spacing w:after="480" w:line="480" w:lineRule="auto"/>
        <w:jc w:val="both"/>
        <w:rPr>
          <w:rFonts w:eastAsia="Times New Roman" w:cs="Times New Roman"/>
          <w:szCs w:val="20"/>
          <w:lang w:eastAsia="en-CA"/>
        </w:rPr>
      </w:pPr>
      <w:r w:rsidRPr="003F583C">
        <w:rPr>
          <w:rFonts w:eastAsia="Times New Roman" w:cs="Times New Roman"/>
          <w:szCs w:val="20"/>
          <w:lang w:eastAsia="en-CA"/>
        </w:rPr>
        <w:tab/>
      </w:r>
      <w:r w:rsidRPr="003F583C">
        <w:rPr>
          <w:rFonts w:eastAsia="Times New Roman" w:cs="Times New Roman"/>
          <w:i/>
          <w:szCs w:val="20"/>
          <w:lang w:eastAsia="en-CA"/>
        </w:rPr>
        <w:t>Droit criminel — Exposé au jury — Homicide involontaire coupable — Accusé inculpé de meurtre au deuxième degré — Directives données au jury par le juge du procès relativement au meurtre au deuxième degré et à l’infraction incluse d’homicide involontaire coupable — Accusé déclaré coupable par le jury de meurtre au deuxième degré — Appel formé par l’accusé contre la déclaration de culpabilité au motif que le jury n’a pas reçu de directives appropriées concernant l’homicide involontaire coupable — Conclusion des juges majoritaires de la Cour d’appel portant que le juge du procès a fait erreur en ne donnant pas au jury de directives appropriées relativement à l’homicide involontaire coupable en ce qu’il n’a pas expliqué avec suffisamment de clarté la différence entre le meurtre et l’homicide involontaire coupable, particulièrement en ce qui concerne la question de l’intention — Annulation par les juges majoritaires de la déclaration de culpabilité et nouveau procès ordonné par ceux</w:t>
      </w:r>
      <w:r w:rsidRPr="003F583C">
        <w:rPr>
          <w:rFonts w:eastAsia="Times New Roman" w:cs="Times New Roman"/>
          <w:i/>
          <w:szCs w:val="20"/>
          <w:lang w:eastAsia="en-CA"/>
        </w:rPr>
        <w:noBreakHyphen/>
        <w:t>ci — Conclusion du juge dissident portant que le juge du procès a donné des directives suffisantes à l’égard des éléments de l’homicide involontaire coupable — Ordonnance intimant la tenue d’un nouveau procès confirmée.</w:t>
      </w:r>
      <w:r w:rsidRPr="003F583C">
        <w:rPr>
          <w:rFonts w:eastAsia="Times New Roman" w:cs="Times New Roman"/>
          <w:szCs w:val="20"/>
          <w:lang w:eastAsia="en-CA"/>
        </w:rPr>
        <w:t xml:space="preserve"> </w:t>
      </w:r>
    </w:p>
    <w:p w:rsidR="003F583C" w:rsidRPr="003F583C" w:rsidRDefault="003F583C" w:rsidP="003F583C">
      <w:pPr>
        <w:tabs>
          <w:tab w:val="left" w:pos="1168"/>
        </w:tabs>
        <w:spacing w:after="480" w:line="480" w:lineRule="auto"/>
        <w:jc w:val="both"/>
        <w:rPr>
          <w:rFonts w:eastAsia="Times New Roman" w:cs="Times New Roman"/>
          <w:szCs w:val="20"/>
          <w:lang w:eastAsia="en-CA"/>
        </w:rPr>
      </w:pPr>
      <w:r w:rsidRPr="003F583C">
        <w:rPr>
          <w:rFonts w:eastAsia="Times New Roman" w:cs="Times New Roman"/>
          <w:szCs w:val="20"/>
          <w:lang w:eastAsia="en-CA"/>
        </w:rPr>
        <w:tab/>
        <w:t>POURVOI contre un arrêt de la Cour d’appel de Terre</w:t>
      </w:r>
      <w:r w:rsidRPr="003F583C">
        <w:rPr>
          <w:rFonts w:eastAsia="Times New Roman" w:cs="Times New Roman"/>
          <w:szCs w:val="20"/>
          <w:lang w:eastAsia="en-CA"/>
        </w:rPr>
        <w:noBreakHyphen/>
        <w:t>Neuve</w:t>
      </w:r>
      <w:r w:rsidRPr="003F583C">
        <w:rPr>
          <w:rFonts w:eastAsia="Times New Roman" w:cs="Times New Roman"/>
          <w:szCs w:val="20"/>
          <w:lang w:eastAsia="en-CA"/>
        </w:rPr>
        <w:noBreakHyphen/>
        <w:t>et</w:t>
      </w:r>
      <w:r w:rsidRPr="003F583C">
        <w:rPr>
          <w:rFonts w:eastAsia="Times New Roman" w:cs="Times New Roman"/>
          <w:szCs w:val="20"/>
          <w:lang w:eastAsia="en-CA"/>
        </w:rPr>
        <w:noBreakHyphen/>
        <w:t xml:space="preserve">Labrador (les juges Welsh, Goodridge et Butler), </w:t>
      </w:r>
      <w:hyperlink r:id="rId8" w:history="1">
        <w:r w:rsidRPr="003F583C">
          <w:rPr>
            <w:rFonts w:eastAsia="Times New Roman" w:cs="Times New Roman"/>
            <w:color w:val="660000"/>
            <w:szCs w:val="20"/>
            <w:lang w:eastAsia="en-CA"/>
          </w:rPr>
          <w:t>2021 NLCA 47</w:t>
        </w:r>
      </w:hyperlink>
      <w:r w:rsidRPr="003F583C">
        <w:rPr>
          <w:rFonts w:eastAsia="Times New Roman" w:cs="Times New Roman"/>
          <w:szCs w:val="20"/>
          <w:lang w:eastAsia="en-CA"/>
        </w:rPr>
        <w:t>, 74 C.R. (7th) 1, 466 D.L.R. (4th) 640, [2021] N.J. No. 234 (QL), 2021 CarswellNfld 287 (WL), qui a annulé la déclaration de culpabilité pour meurtre au deuxième degré prononcée contre l’accusé et ordonné la tenue d’un nouveau procès. Pourvoi rejeté, le juge en chef Wagner et les juges Côté, Rowe et Martin sont dissidents.</w:t>
      </w:r>
    </w:p>
    <w:p w:rsidR="003F583C" w:rsidRPr="003F583C" w:rsidRDefault="003F583C" w:rsidP="003F583C">
      <w:pPr>
        <w:tabs>
          <w:tab w:val="left" w:pos="1168"/>
        </w:tabs>
        <w:spacing w:after="480" w:line="480" w:lineRule="auto"/>
        <w:jc w:val="both"/>
        <w:rPr>
          <w:rFonts w:eastAsia="Times New Roman" w:cs="Times New Roman"/>
          <w:szCs w:val="20"/>
          <w:lang w:eastAsia="en-CA"/>
        </w:rPr>
      </w:pPr>
      <w:r w:rsidRPr="003F583C">
        <w:rPr>
          <w:rFonts w:eastAsia="Times New Roman" w:cs="Times New Roman"/>
          <w:i/>
          <w:szCs w:val="20"/>
          <w:lang w:eastAsia="en-CA"/>
        </w:rPr>
        <w:tab/>
        <w:t>Dana E. Sullivan</w:t>
      </w:r>
      <w:r w:rsidRPr="003F583C">
        <w:rPr>
          <w:rFonts w:eastAsia="Times New Roman" w:cs="Times New Roman"/>
          <w:szCs w:val="20"/>
          <w:lang w:eastAsia="en-CA"/>
        </w:rPr>
        <w:t>, pour l’appelante.</w:t>
      </w:r>
    </w:p>
    <w:p w:rsidR="003F583C" w:rsidRPr="003F583C" w:rsidRDefault="003F583C" w:rsidP="003F583C">
      <w:pPr>
        <w:tabs>
          <w:tab w:val="left" w:pos="1168"/>
        </w:tabs>
        <w:spacing w:after="480" w:line="480" w:lineRule="auto"/>
        <w:jc w:val="both"/>
        <w:rPr>
          <w:rFonts w:eastAsia="Times New Roman" w:cs="Times New Roman"/>
          <w:szCs w:val="20"/>
          <w:lang w:eastAsia="en-CA"/>
        </w:rPr>
      </w:pPr>
      <w:r w:rsidRPr="003F583C">
        <w:rPr>
          <w:rFonts w:eastAsia="Times New Roman" w:cs="Times New Roman"/>
          <w:i/>
          <w:szCs w:val="20"/>
          <w:lang w:eastAsia="en-CA"/>
        </w:rPr>
        <w:tab/>
        <w:t>Mark Gruchy</w:t>
      </w:r>
      <w:r w:rsidRPr="003F583C">
        <w:rPr>
          <w:rFonts w:eastAsia="Times New Roman" w:cs="Times New Roman"/>
          <w:szCs w:val="20"/>
          <w:lang w:eastAsia="en-CA"/>
        </w:rPr>
        <w:t>, pour l’intimé.</w:t>
      </w:r>
    </w:p>
    <w:p w:rsidR="003F583C" w:rsidRPr="003F583C" w:rsidRDefault="003F583C" w:rsidP="003F583C">
      <w:pPr>
        <w:tabs>
          <w:tab w:val="left" w:pos="1168"/>
        </w:tabs>
        <w:spacing w:after="480" w:line="480" w:lineRule="auto"/>
        <w:jc w:val="both"/>
        <w:rPr>
          <w:rFonts w:eastAsia="Times New Roman" w:cs="Times New Roman"/>
          <w:color w:val="000000"/>
          <w:szCs w:val="20"/>
          <w:lang w:eastAsia="en-CA"/>
        </w:rPr>
      </w:pPr>
      <w:r w:rsidRPr="003F583C">
        <w:rPr>
          <w:rFonts w:eastAsia="Times New Roman" w:cs="Times New Roman"/>
          <w:color w:val="000000"/>
          <w:szCs w:val="20"/>
          <w:lang w:eastAsia="en-CA"/>
        </w:rPr>
        <w:tab/>
        <w:t>Version française du jugement de la Cour rendu oralement par</w:t>
      </w:r>
    </w:p>
    <w:p w:rsidR="003F583C" w:rsidRPr="003F583C" w:rsidRDefault="003F583C" w:rsidP="003F583C">
      <w:pPr>
        <w:tabs>
          <w:tab w:val="left" w:pos="1168"/>
        </w:tabs>
        <w:spacing w:after="480" w:line="480" w:lineRule="auto"/>
        <w:jc w:val="both"/>
        <w:rPr>
          <w:rFonts w:eastAsia="Times New Roman" w:cs="Times New Roman"/>
          <w:szCs w:val="20"/>
          <w:lang w:eastAsia="en-CA"/>
        </w:rPr>
      </w:pPr>
      <w:r w:rsidRPr="003F583C">
        <w:rPr>
          <w:rFonts w:eastAsia="Times New Roman" w:cs="Times New Roman"/>
          <w:szCs w:val="20"/>
          <w:lang w:eastAsia="en-CA"/>
        </w:rPr>
        <w:t>[1]</w:t>
      </w:r>
      <w:r w:rsidRPr="003F583C">
        <w:rPr>
          <w:rFonts w:eastAsia="Times New Roman" w:cs="Times New Roman"/>
          <w:szCs w:val="20"/>
          <w:lang w:eastAsia="en-CA"/>
        </w:rPr>
        <w:tab/>
      </w:r>
      <w:r w:rsidRPr="003F583C">
        <w:rPr>
          <w:rFonts w:eastAsia="Times New Roman" w:cs="Times New Roman"/>
          <w:smallCaps/>
          <w:szCs w:val="20"/>
          <w:lang w:eastAsia="en-CA"/>
        </w:rPr>
        <w:t>Le juge en chef</w:t>
      </w:r>
      <w:r w:rsidRPr="003F583C">
        <w:rPr>
          <w:rFonts w:eastAsia="Times New Roman" w:cs="Times New Roman"/>
          <w:szCs w:val="20"/>
          <w:lang w:eastAsia="en-CA"/>
        </w:rPr>
        <w:t xml:space="preserve"> — Une majorité de juges de notre Cour, composée des juges Moldaver, Karakatsanis, Brown, Kasirer et Jamal, sont d’avis de rejeter le pourvoi, essentiellement pour les motifs exposés par les juges majoritaires de la Cour d’appel, alors que les juges Côté, Rowe et Martin, ainsi que moi-même, y ferions droit, principalement pour les motifs du juge Goodridge.</w:t>
      </w:r>
    </w:p>
    <w:p w:rsidR="003F583C" w:rsidRPr="003F583C" w:rsidRDefault="003F583C" w:rsidP="003F583C">
      <w:pPr>
        <w:tabs>
          <w:tab w:val="left" w:pos="1168"/>
        </w:tabs>
        <w:spacing w:after="480" w:line="480" w:lineRule="auto"/>
        <w:jc w:val="both"/>
        <w:rPr>
          <w:rFonts w:eastAsia="Times New Roman" w:cs="Times New Roman"/>
          <w:szCs w:val="20"/>
          <w:lang w:eastAsia="en-CA"/>
        </w:rPr>
      </w:pPr>
      <w:r w:rsidRPr="003F583C">
        <w:rPr>
          <w:rFonts w:eastAsia="Times New Roman" w:cs="Times New Roman"/>
          <w:szCs w:val="20"/>
          <w:lang w:eastAsia="en-CA"/>
        </w:rPr>
        <w:t>[2]</w:t>
      </w:r>
      <w:r w:rsidRPr="003F583C">
        <w:rPr>
          <w:rFonts w:eastAsia="Times New Roman" w:cs="Times New Roman"/>
          <w:szCs w:val="20"/>
          <w:lang w:eastAsia="en-CA"/>
        </w:rPr>
        <w:tab/>
        <w:t>Le pourvoi est en conséquence rejeté.</w:t>
      </w:r>
    </w:p>
    <w:p w:rsidR="003F583C" w:rsidRPr="003F583C" w:rsidRDefault="003F583C" w:rsidP="003F583C">
      <w:pPr>
        <w:tabs>
          <w:tab w:val="left" w:pos="1168"/>
        </w:tabs>
        <w:spacing w:after="480" w:line="480" w:lineRule="auto"/>
        <w:jc w:val="both"/>
        <w:rPr>
          <w:rFonts w:eastAsia="Times New Roman" w:cs="Times New Roman"/>
          <w:szCs w:val="20"/>
          <w:lang w:eastAsia="en-CA"/>
        </w:rPr>
      </w:pPr>
      <w:r w:rsidRPr="003F583C">
        <w:rPr>
          <w:rFonts w:eastAsia="Times New Roman" w:cs="Times New Roman"/>
          <w:szCs w:val="20"/>
          <w:lang w:eastAsia="en-CA"/>
        </w:rPr>
        <w:tab/>
      </w:r>
      <w:r w:rsidRPr="003F583C">
        <w:rPr>
          <w:rFonts w:eastAsia="Times New Roman" w:cs="Times New Roman"/>
          <w:i/>
          <w:iCs/>
          <w:szCs w:val="20"/>
          <w:lang w:eastAsia="en-CA"/>
        </w:rPr>
        <w:t>Jugement en conséquence.</w:t>
      </w:r>
    </w:p>
    <w:p w:rsidR="003F583C" w:rsidRPr="003F583C" w:rsidRDefault="003F583C" w:rsidP="003F583C">
      <w:pPr>
        <w:tabs>
          <w:tab w:val="left" w:pos="1168"/>
        </w:tabs>
        <w:spacing w:after="480" w:line="480" w:lineRule="auto"/>
        <w:jc w:val="both"/>
        <w:rPr>
          <w:rFonts w:eastAsia="Times New Roman" w:cs="Times New Roman"/>
          <w:i/>
          <w:szCs w:val="20"/>
          <w:lang w:eastAsia="en-CA"/>
        </w:rPr>
      </w:pPr>
      <w:r w:rsidRPr="003F583C">
        <w:rPr>
          <w:rFonts w:eastAsia="Times New Roman" w:cs="Times New Roman"/>
          <w:i/>
          <w:szCs w:val="20"/>
          <w:lang w:eastAsia="en-CA"/>
        </w:rPr>
        <w:tab/>
        <w:t>Procureur de l’appelante : Special Prosecutions Office, St. John’s.</w:t>
      </w:r>
    </w:p>
    <w:p w:rsidR="003F583C" w:rsidRPr="003F583C" w:rsidRDefault="003F583C" w:rsidP="003F583C">
      <w:pPr>
        <w:tabs>
          <w:tab w:val="left" w:pos="1168"/>
        </w:tabs>
        <w:spacing w:after="480" w:line="480" w:lineRule="auto"/>
        <w:jc w:val="both"/>
        <w:rPr>
          <w:rFonts w:eastAsia="Times New Roman" w:cs="Times New Roman"/>
          <w:i/>
          <w:szCs w:val="20"/>
          <w:lang w:val="en-CA" w:eastAsia="en-CA"/>
        </w:rPr>
      </w:pPr>
      <w:r w:rsidRPr="003F583C">
        <w:rPr>
          <w:rFonts w:eastAsia="Times New Roman" w:cs="Times New Roman"/>
          <w:i/>
          <w:szCs w:val="20"/>
          <w:lang w:eastAsia="en-CA"/>
        </w:rPr>
        <w:tab/>
      </w:r>
      <w:r w:rsidRPr="003F583C">
        <w:rPr>
          <w:rFonts w:eastAsia="Times New Roman" w:cs="Times New Roman"/>
          <w:i/>
          <w:szCs w:val="20"/>
          <w:lang w:val="en-CA" w:eastAsia="en-CA"/>
        </w:rPr>
        <w:t>Procureur de l’intimé : Newfoundland and Labrador Legal Aid Commission, St. John’s.</w:t>
      </w:r>
    </w:p>
    <w:p w:rsidR="00C326DA" w:rsidRPr="003F583C" w:rsidRDefault="00C326DA" w:rsidP="00C326DA">
      <w:pPr>
        <w:rPr>
          <w:lang w:val="en-US"/>
        </w:rPr>
      </w:pPr>
      <w:r w:rsidRPr="003F583C">
        <w:rPr>
          <w:lang w:val="en-US"/>
        </w:rPr>
        <w:br w:type="page"/>
      </w:r>
    </w:p>
    <w:p w:rsidR="00C326DA" w:rsidRPr="006430CB" w:rsidRDefault="00C326DA" w:rsidP="00C326DA">
      <w:pPr>
        <w:jc w:val="right"/>
      </w:pPr>
      <w:r w:rsidRPr="006430CB">
        <w:t>No. 39817     </w:t>
      </w:r>
    </w:p>
    <w:p w:rsidR="00C326DA" w:rsidRPr="006430CB" w:rsidRDefault="00C326DA" w:rsidP="00C326DA"/>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C326DA" w:rsidRPr="006430CB" w:rsidTr="00B73450">
        <w:tc>
          <w:tcPr>
            <w:tcW w:w="2269" w:type="pct"/>
          </w:tcPr>
          <w:p w:rsidR="00C326DA" w:rsidRPr="006430CB" w:rsidRDefault="00C326DA" w:rsidP="00B73450">
            <w:r w:rsidRPr="006430CB">
              <w:t>March 24, 2022</w:t>
            </w:r>
          </w:p>
        </w:tc>
        <w:tc>
          <w:tcPr>
            <w:tcW w:w="381" w:type="pct"/>
          </w:tcPr>
          <w:p w:rsidR="00C326DA" w:rsidRPr="006430CB" w:rsidRDefault="00C326DA" w:rsidP="00B73450"/>
        </w:tc>
        <w:tc>
          <w:tcPr>
            <w:tcW w:w="2350" w:type="pct"/>
          </w:tcPr>
          <w:p w:rsidR="00C326DA" w:rsidRPr="006430CB" w:rsidRDefault="00C326DA" w:rsidP="00B73450">
            <w:pPr>
              <w:rPr>
                <w:lang w:val="en-US"/>
              </w:rPr>
            </w:pPr>
            <w:r w:rsidRPr="006430CB">
              <w:t>Le 24 mars 2022</w:t>
            </w:r>
          </w:p>
        </w:tc>
      </w:tr>
      <w:tr w:rsidR="00C326DA" w:rsidRPr="006430CB" w:rsidTr="00B73450">
        <w:tc>
          <w:tcPr>
            <w:tcW w:w="2269" w:type="pct"/>
            <w:tcMar>
              <w:top w:w="0" w:type="dxa"/>
              <w:bottom w:w="0" w:type="dxa"/>
            </w:tcMar>
          </w:tcPr>
          <w:p w:rsidR="00C326DA" w:rsidRPr="006430CB" w:rsidRDefault="00C326DA" w:rsidP="00B73450"/>
        </w:tc>
        <w:tc>
          <w:tcPr>
            <w:tcW w:w="381" w:type="pct"/>
            <w:tcMar>
              <w:top w:w="0" w:type="dxa"/>
              <w:bottom w:w="0" w:type="dxa"/>
            </w:tcMar>
          </w:tcPr>
          <w:p w:rsidR="00C326DA" w:rsidRPr="006430CB" w:rsidRDefault="00C326DA" w:rsidP="00B73450"/>
        </w:tc>
        <w:tc>
          <w:tcPr>
            <w:tcW w:w="2350" w:type="pct"/>
            <w:tcMar>
              <w:top w:w="0" w:type="dxa"/>
              <w:bottom w:w="0" w:type="dxa"/>
            </w:tcMar>
          </w:tcPr>
          <w:p w:rsidR="00C326DA" w:rsidRPr="006430CB" w:rsidRDefault="00C326DA" w:rsidP="00B73450">
            <w:pPr>
              <w:rPr>
                <w:lang w:val="en-US"/>
              </w:rPr>
            </w:pPr>
          </w:p>
        </w:tc>
      </w:tr>
      <w:tr w:rsidR="00C326DA" w:rsidRPr="006430CB" w:rsidTr="00B73450">
        <w:tc>
          <w:tcPr>
            <w:tcW w:w="2269" w:type="pct"/>
          </w:tcPr>
          <w:p w:rsidR="00C326DA" w:rsidRPr="006430CB" w:rsidRDefault="00C326DA" w:rsidP="00B73450">
            <w:pPr>
              <w:rPr>
                <w:lang w:val="en-US"/>
              </w:rPr>
            </w:pPr>
            <w:r w:rsidRPr="006430CB">
              <w:rPr>
                <w:lang w:val="en-US"/>
              </w:rPr>
              <w:t>Coram: Wagner C.J. and Moldaver, Karakatsanis, Côté, Brown, Rowe, Martin, Kasirer and Jamal JJ.</w:t>
            </w:r>
          </w:p>
        </w:tc>
        <w:tc>
          <w:tcPr>
            <w:tcW w:w="381" w:type="pct"/>
          </w:tcPr>
          <w:p w:rsidR="00C326DA" w:rsidRPr="006430CB" w:rsidRDefault="00C326DA" w:rsidP="00B73450">
            <w:pPr>
              <w:rPr>
                <w:lang w:val="en-US"/>
              </w:rPr>
            </w:pPr>
          </w:p>
        </w:tc>
        <w:tc>
          <w:tcPr>
            <w:tcW w:w="2350" w:type="pct"/>
          </w:tcPr>
          <w:p w:rsidR="00C326DA" w:rsidRPr="006430CB" w:rsidRDefault="00C326DA" w:rsidP="00B73450">
            <w:r w:rsidRPr="006430CB">
              <w:t>Coram : Le juge en chef Wagner et les juges Moldaver, Karakatsanis, Côté, Brown, Rowe, Martin, Kasirer et Jamal</w:t>
            </w:r>
          </w:p>
        </w:tc>
      </w:tr>
      <w:tr w:rsidR="00C326DA" w:rsidRPr="006430CB" w:rsidTr="00B73450">
        <w:tc>
          <w:tcPr>
            <w:tcW w:w="2269" w:type="pct"/>
            <w:tcMar>
              <w:top w:w="0" w:type="dxa"/>
              <w:bottom w:w="0" w:type="dxa"/>
            </w:tcMar>
          </w:tcPr>
          <w:p w:rsidR="00C326DA" w:rsidRPr="006430CB" w:rsidRDefault="00C326DA" w:rsidP="00B73450"/>
        </w:tc>
        <w:tc>
          <w:tcPr>
            <w:tcW w:w="381" w:type="pct"/>
            <w:tcMar>
              <w:top w:w="0" w:type="dxa"/>
              <w:bottom w:w="0" w:type="dxa"/>
            </w:tcMar>
          </w:tcPr>
          <w:p w:rsidR="00C326DA" w:rsidRPr="006430CB" w:rsidRDefault="00C326DA" w:rsidP="00B73450"/>
        </w:tc>
        <w:tc>
          <w:tcPr>
            <w:tcW w:w="2350" w:type="pct"/>
            <w:tcMar>
              <w:top w:w="0" w:type="dxa"/>
              <w:bottom w:w="0" w:type="dxa"/>
            </w:tcMar>
          </w:tcPr>
          <w:p w:rsidR="00C326DA" w:rsidRPr="006430CB" w:rsidRDefault="00C326DA" w:rsidP="00B73450"/>
        </w:tc>
      </w:tr>
      <w:tr w:rsidR="00C326DA" w:rsidRPr="006430CB" w:rsidTr="00B73450">
        <w:tc>
          <w:tcPr>
            <w:tcW w:w="2269" w:type="pct"/>
          </w:tcPr>
          <w:p w:rsidR="00C326DA" w:rsidRPr="006430CB" w:rsidRDefault="00C326DA" w:rsidP="00B73450"/>
          <w:p w:rsidR="00C326DA" w:rsidRPr="006430CB" w:rsidRDefault="00C326DA" w:rsidP="00B73450">
            <w:pPr>
              <w:pStyle w:val="SCCLsocPrefix"/>
              <w:rPr>
                <w:lang w:val="en-US"/>
              </w:rPr>
            </w:pPr>
            <w:r w:rsidRPr="006430CB">
              <w:rPr>
                <w:lang w:val="en-US"/>
              </w:rPr>
              <w:t>BETWEEN:</w:t>
            </w:r>
          </w:p>
          <w:p w:rsidR="00C326DA" w:rsidRPr="006430CB" w:rsidRDefault="00C326DA" w:rsidP="00B73450">
            <w:pPr>
              <w:pStyle w:val="SCCLsocParty"/>
              <w:rPr>
                <w:b w:val="0"/>
                <w:lang w:val="en-US"/>
              </w:rPr>
            </w:pPr>
            <w:r w:rsidRPr="006430CB">
              <w:rPr>
                <w:b w:val="0"/>
                <w:lang w:val="en-US"/>
              </w:rPr>
              <w:t>Her Majesty The Queen</w:t>
            </w:r>
            <w:r w:rsidRPr="006430CB">
              <w:rPr>
                <w:b w:val="0"/>
                <w:lang w:val="en-US"/>
              </w:rPr>
              <w:br/>
            </w:r>
          </w:p>
          <w:p w:rsidR="00C326DA" w:rsidRPr="006430CB" w:rsidRDefault="00C326DA" w:rsidP="00B73450">
            <w:pPr>
              <w:pStyle w:val="SCCLsocPartyRole"/>
            </w:pPr>
            <w:r w:rsidRPr="006430CB">
              <w:t>Appellant</w:t>
            </w:r>
            <w:r w:rsidRPr="006430CB">
              <w:br/>
            </w:r>
          </w:p>
          <w:p w:rsidR="00C326DA" w:rsidRPr="006430CB" w:rsidRDefault="00C326DA" w:rsidP="00B73450">
            <w:pPr>
              <w:pStyle w:val="SCCLsocVersus"/>
            </w:pPr>
            <w:r w:rsidRPr="006430CB">
              <w:t>- and -</w:t>
            </w:r>
          </w:p>
          <w:p w:rsidR="00C326DA" w:rsidRPr="006430CB" w:rsidRDefault="00C326DA" w:rsidP="00B73450"/>
          <w:p w:rsidR="00C326DA" w:rsidRPr="006430CB" w:rsidRDefault="00C326DA" w:rsidP="00B73450">
            <w:pPr>
              <w:pStyle w:val="SCCLsocParty"/>
              <w:rPr>
                <w:b w:val="0"/>
              </w:rPr>
            </w:pPr>
            <w:r w:rsidRPr="006430CB">
              <w:rPr>
                <w:b w:val="0"/>
              </w:rPr>
              <w:t>Craig Pope</w:t>
            </w:r>
            <w:r w:rsidRPr="006430CB">
              <w:rPr>
                <w:b w:val="0"/>
              </w:rPr>
              <w:br/>
            </w:r>
          </w:p>
          <w:p w:rsidR="00C326DA" w:rsidRPr="006430CB" w:rsidRDefault="00C326DA" w:rsidP="00B73450">
            <w:pPr>
              <w:pStyle w:val="SCCLsocPartyRole"/>
            </w:pPr>
            <w:r w:rsidRPr="006430CB">
              <w:t>Respondent</w:t>
            </w:r>
          </w:p>
        </w:tc>
        <w:tc>
          <w:tcPr>
            <w:tcW w:w="381" w:type="pct"/>
          </w:tcPr>
          <w:p w:rsidR="00C326DA" w:rsidRPr="006430CB" w:rsidRDefault="00C326DA" w:rsidP="00B73450"/>
        </w:tc>
        <w:tc>
          <w:tcPr>
            <w:tcW w:w="2350" w:type="pct"/>
          </w:tcPr>
          <w:p w:rsidR="00C326DA" w:rsidRPr="006430CB" w:rsidRDefault="00C326DA" w:rsidP="00B73450"/>
          <w:p w:rsidR="00C326DA" w:rsidRPr="006430CB" w:rsidRDefault="00C326DA" w:rsidP="00B73450">
            <w:pPr>
              <w:pStyle w:val="SCCLsocPrefix"/>
            </w:pPr>
            <w:r w:rsidRPr="006430CB">
              <w:t>ENTRE :</w:t>
            </w:r>
          </w:p>
          <w:p w:rsidR="00C326DA" w:rsidRPr="006430CB" w:rsidRDefault="00C326DA" w:rsidP="00B73450">
            <w:pPr>
              <w:pStyle w:val="SCCLsocParty"/>
              <w:rPr>
                <w:b w:val="0"/>
              </w:rPr>
            </w:pPr>
            <w:r w:rsidRPr="006430CB">
              <w:rPr>
                <w:b w:val="0"/>
              </w:rPr>
              <w:t>Sa Majesté la Reine</w:t>
            </w:r>
            <w:r w:rsidRPr="006430CB">
              <w:rPr>
                <w:b w:val="0"/>
              </w:rPr>
              <w:br/>
            </w:r>
          </w:p>
          <w:p w:rsidR="00C326DA" w:rsidRPr="006430CB" w:rsidRDefault="00C326DA" w:rsidP="00B73450">
            <w:pPr>
              <w:pStyle w:val="SCCLsocPartyRole"/>
            </w:pPr>
            <w:r w:rsidRPr="006430CB">
              <w:t>Appelante</w:t>
            </w:r>
            <w:r w:rsidRPr="006430CB">
              <w:br/>
            </w:r>
          </w:p>
          <w:p w:rsidR="00C326DA" w:rsidRPr="006430CB" w:rsidRDefault="00C326DA" w:rsidP="00B73450">
            <w:pPr>
              <w:pStyle w:val="SCCLsocVersus"/>
            </w:pPr>
            <w:r w:rsidRPr="006430CB">
              <w:t>- et -</w:t>
            </w:r>
          </w:p>
          <w:p w:rsidR="00C326DA" w:rsidRPr="006430CB" w:rsidRDefault="00C326DA" w:rsidP="00B73450"/>
          <w:p w:rsidR="00C326DA" w:rsidRPr="006430CB" w:rsidRDefault="00C326DA" w:rsidP="00B73450">
            <w:pPr>
              <w:pStyle w:val="SCCLsocParty"/>
              <w:rPr>
                <w:b w:val="0"/>
              </w:rPr>
            </w:pPr>
            <w:r w:rsidRPr="006430CB">
              <w:rPr>
                <w:b w:val="0"/>
              </w:rPr>
              <w:t>Craig Pope</w:t>
            </w:r>
            <w:r w:rsidRPr="006430CB">
              <w:rPr>
                <w:b w:val="0"/>
              </w:rPr>
              <w:br/>
            </w:r>
          </w:p>
          <w:p w:rsidR="00C326DA" w:rsidRPr="006430CB" w:rsidRDefault="00C326DA" w:rsidP="00B73450">
            <w:pPr>
              <w:pStyle w:val="SCCLsocPartyRole"/>
            </w:pPr>
            <w:r w:rsidRPr="006430CB">
              <w:t>Intimé</w:t>
            </w:r>
          </w:p>
        </w:tc>
      </w:tr>
      <w:tr w:rsidR="00C326DA" w:rsidRPr="006430CB" w:rsidTr="00B73450">
        <w:tc>
          <w:tcPr>
            <w:tcW w:w="2269" w:type="pct"/>
            <w:tcMar>
              <w:top w:w="0" w:type="dxa"/>
              <w:bottom w:w="0" w:type="dxa"/>
            </w:tcMar>
          </w:tcPr>
          <w:p w:rsidR="00C326DA" w:rsidRPr="006430CB" w:rsidRDefault="00C326DA" w:rsidP="00B73450"/>
        </w:tc>
        <w:tc>
          <w:tcPr>
            <w:tcW w:w="381" w:type="pct"/>
            <w:tcMar>
              <w:top w:w="0" w:type="dxa"/>
              <w:bottom w:w="0" w:type="dxa"/>
            </w:tcMar>
          </w:tcPr>
          <w:p w:rsidR="00C326DA" w:rsidRPr="006430CB" w:rsidRDefault="00C326DA" w:rsidP="00B73450"/>
        </w:tc>
        <w:tc>
          <w:tcPr>
            <w:tcW w:w="2350" w:type="pct"/>
            <w:tcMar>
              <w:top w:w="0" w:type="dxa"/>
              <w:bottom w:w="0" w:type="dxa"/>
            </w:tcMar>
          </w:tcPr>
          <w:p w:rsidR="00C326DA" w:rsidRPr="006430CB" w:rsidRDefault="00C326DA" w:rsidP="00B73450"/>
        </w:tc>
      </w:tr>
      <w:tr w:rsidR="00C326DA" w:rsidRPr="006430CB" w:rsidTr="00B73450">
        <w:tc>
          <w:tcPr>
            <w:tcW w:w="2269" w:type="pct"/>
          </w:tcPr>
          <w:p w:rsidR="00C326DA" w:rsidRPr="006430CB" w:rsidRDefault="00C326DA" w:rsidP="00B73450">
            <w:pPr>
              <w:jc w:val="center"/>
              <w:rPr>
                <w:lang w:val="en-US"/>
              </w:rPr>
            </w:pPr>
            <w:r w:rsidRPr="006430CB">
              <w:rPr>
                <w:lang w:val="en-US"/>
              </w:rPr>
              <w:t>JUDGMENT</w:t>
            </w:r>
          </w:p>
          <w:p w:rsidR="00C326DA" w:rsidRPr="006430CB" w:rsidRDefault="00C326DA" w:rsidP="00B73450">
            <w:pPr>
              <w:jc w:val="center"/>
              <w:rPr>
                <w:lang w:val="en-US"/>
              </w:rPr>
            </w:pPr>
          </w:p>
          <w:p w:rsidR="00C326DA" w:rsidRPr="006430CB" w:rsidRDefault="00C326DA" w:rsidP="00B73450">
            <w:pPr>
              <w:jc w:val="both"/>
              <w:rPr>
                <w:lang w:val="en-US"/>
              </w:rPr>
            </w:pPr>
            <w:r w:rsidRPr="006430CB">
              <w:rPr>
                <w:lang w:val="en-US"/>
              </w:rPr>
              <w:t xml:space="preserve">The appeal from the judgment of the Court of Appeal of Newfoundland and Labrador, Number 201901H0095, 2021 NLCA 47, dated August 18, 2021, was heard on March 21, 2022, and the Court on that day delivered the following judgment orally: </w:t>
            </w:r>
          </w:p>
          <w:p w:rsidR="00C326DA" w:rsidRPr="006430CB" w:rsidRDefault="00C326DA" w:rsidP="00B73450">
            <w:pPr>
              <w:jc w:val="both"/>
              <w:rPr>
                <w:lang w:val="en-US"/>
              </w:rPr>
            </w:pPr>
          </w:p>
          <w:p w:rsidR="00C326DA" w:rsidRPr="006430CB" w:rsidRDefault="00C326DA" w:rsidP="00B73450">
            <w:pPr>
              <w:jc w:val="both"/>
              <w:rPr>
                <w:lang w:val="en-US"/>
              </w:rPr>
            </w:pPr>
            <w:r w:rsidRPr="006430CB">
              <w:rPr>
                <w:smallCaps/>
                <w:lang w:val="en-US"/>
              </w:rPr>
              <w:t>The Chief Justice</w:t>
            </w:r>
            <w:r w:rsidRPr="006430CB">
              <w:rPr>
                <w:lang w:val="en-US"/>
              </w:rPr>
              <w:t xml:space="preserve"> </w:t>
            </w:r>
            <w:r w:rsidRPr="006430CB">
              <w:rPr>
                <w:rFonts w:cs="Times New Roman"/>
                <w:lang w:val="en-US"/>
              </w:rPr>
              <w:t>—</w:t>
            </w:r>
            <w:r w:rsidRPr="006430CB">
              <w:rPr>
                <w:lang w:val="en-US"/>
              </w:rPr>
              <w:t xml:space="preserve"> A majority of this Court, made of Justice Moldaver, Justice Karakatsanis, Justice Brown, Justice Kasirer and Justice Jamal, would dismiss the appeal, essentially for the reasons of the majority of the Court of Appeal, whereas myself, Justice Côté, Justice Rowe and Justice Martin would allow the appeal, essentially for the reasons of Justice Goodridge. </w:t>
            </w:r>
          </w:p>
          <w:p w:rsidR="00C326DA" w:rsidRPr="006430CB" w:rsidRDefault="00C326DA" w:rsidP="00B73450">
            <w:pPr>
              <w:jc w:val="both"/>
              <w:rPr>
                <w:lang w:val="en-US"/>
              </w:rPr>
            </w:pPr>
          </w:p>
          <w:p w:rsidR="00C326DA" w:rsidRPr="006430CB" w:rsidRDefault="00C326DA" w:rsidP="00B73450">
            <w:pPr>
              <w:jc w:val="both"/>
              <w:rPr>
                <w:lang w:val="en-US"/>
              </w:rPr>
            </w:pPr>
            <w:r w:rsidRPr="006430CB">
              <w:rPr>
                <w:lang w:val="en-US"/>
              </w:rPr>
              <w:t>The appeal is therefore dismissed.</w:t>
            </w:r>
          </w:p>
          <w:p w:rsidR="00C326DA" w:rsidRPr="006430CB" w:rsidRDefault="00C326DA" w:rsidP="00B73450">
            <w:pPr>
              <w:jc w:val="both"/>
              <w:rPr>
                <w:lang w:val="en-US"/>
              </w:rPr>
            </w:pPr>
          </w:p>
        </w:tc>
        <w:tc>
          <w:tcPr>
            <w:tcW w:w="381" w:type="pct"/>
            <w:tcBorders>
              <w:left w:val="nil"/>
            </w:tcBorders>
          </w:tcPr>
          <w:p w:rsidR="00C326DA" w:rsidRPr="006430CB" w:rsidRDefault="00C326DA" w:rsidP="00B73450">
            <w:pPr>
              <w:jc w:val="center"/>
              <w:rPr>
                <w:lang w:val="en-US"/>
              </w:rPr>
            </w:pPr>
          </w:p>
        </w:tc>
        <w:tc>
          <w:tcPr>
            <w:tcW w:w="2350" w:type="pct"/>
          </w:tcPr>
          <w:p w:rsidR="00C326DA" w:rsidRPr="006430CB" w:rsidRDefault="00C326DA" w:rsidP="00B73450">
            <w:pPr>
              <w:jc w:val="center"/>
            </w:pPr>
            <w:r w:rsidRPr="006430CB">
              <w:t>JUGEMENT</w:t>
            </w:r>
          </w:p>
          <w:p w:rsidR="00C326DA" w:rsidRPr="006430CB" w:rsidRDefault="00C326DA" w:rsidP="00B73450">
            <w:pPr>
              <w:jc w:val="center"/>
            </w:pPr>
          </w:p>
          <w:p w:rsidR="00C326DA" w:rsidRPr="006430CB" w:rsidRDefault="00C326DA" w:rsidP="00B73450">
            <w:pPr>
              <w:jc w:val="both"/>
            </w:pPr>
            <w:r w:rsidRPr="006430CB">
              <w:t>L’appel interjeté contre l’arrêt de la Cour d’appel de Terre-Neuve-et-Labrador, numéro 201901H0095, 2021 NLCA 47, daté du 18 août 2021, a été entendu le 21 mars 2022 et la Cour a prononcé oralement le même jour le jugement suivant :</w:t>
            </w:r>
          </w:p>
          <w:p w:rsidR="00C326DA" w:rsidRPr="006430CB" w:rsidRDefault="00C326DA" w:rsidP="00B73450">
            <w:pPr>
              <w:jc w:val="both"/>
            </w:pPr>
          </w:p>
          <w:p w:rsidR="00C326DA" w:rsidRPr="006430CB" w:rsidRDefault="00C326DA" w:rsidP="00B73450">
            <w:pPr>
              <w:jc w:val="both"/>
            </w:pPr>
            <w:r w:rsidRPr="006430CB">
              <w:t>[</w:t>
            </w:r>
            <w:r w:rsidRPr="006430CB">
              <w:rPr>
                <w:smallCaps/>
              </w:rPr>
              <w:t>traduction</w:t>
            </w:r>
            <w:r w:rsidRPr="006430CB">
              <w:t>]</w:t>
            </w:r>
          </w:p>
          <w:p w:rsidR="00C326DA" w:rsidRPr="006430CB" w:rsidRDefault="00C326DA" w:rsidP="00B73450">
            <w:pPr>
              <w:jc w:val="both"/>
            </w:pPr>
            <w:r w:rsidRPr="006430CB">
              <w:rPr>
                <w:smallCaps/>
              </w:rPr>
              <w:t>Le juge en chef</w:t>
            </w:r>
            <w:r w:rsidRPr="006430CB">
              <w:t xml:space="preserve"> </w:t>
            </w:r>
            <w:r w:rsidRPr="006430CB">
              <w:rPr>
                <w:rFonts w:cs="Times New Roman"/>
              </w:rPr>
              <w:t>—</w:t>
            </w:r>
            <w:r w:rsidRPr="006430CB">
              <w:t xml:space="preserve"> Une majorité de juges de notre Cour, composée des juges Moldaver, Karakatsanis, Brown, Kasirer et Jamal, sont d’avis de rejeter le pourvoi, essentiellement pour les motifs exposés par les juges majoritaires de la Cour d’appel, alors que les juges Côté, Rowe et Martin, ainsi que moi-même, y ferions droit, principalement pour les motifs du juge Goodridge. </w:t>
            </w:r>
          </w:p>
          <w:p w:rsidR="00C326DA" w:rsidRPr="006430CB" w:rsidRDefault="00C326DA" w:rsidP="00B73450">
            <w:pPr>
              <w:jc w:val="both"/>
            </w:pPr>
          </w:p>
          <w:p w:rsidR="00C326DA" w:rsidRPr="006430CB" w:rsidRDefault="00C326DA" w:rsidP="00B73450">
            <w:pPr>
              <w:jc w:val="both"/>
            </w:pPr>
            <w:r w:rsidRPr="006430CB">
              <w:t>Le pourvoi est en conséquence rejeté.</w:t>
            </w:r>
          </w:p>
          <w:p w:rsidR="00C326DA" w:rsidRPr="006430CB" w:rsidRDefault="00C326DA" w:rsidP="00B73450">
            <w:pPr>
              <w:jc w:val="both"/>
            </w:pPr>
          </w:p>
          <w:p w:rsidR="00C326DA" w:rsidRPr="006430CB" w:rsidRDefault="00C326DA" w:rsidP="00B73450">
            <w:pPr>
              <w:jc w:val="both"/>
            </w:pPr>
          </w:p>
        </w:tc>
      </w:tr>
    </w:tbl>
    <w:p w:rsidR="00C326DA" w:rsidRPr="006430CB" w:rsidRDefault="00C326DA" w:rsidP="00C326DA">
      <w:pPr>
        <w:jc w:val="center"/>
      </w:pPr>
    </w:p>
    <w:p w:rsidR="00C326DA" w:rsidRPr="006430CB" w:rsidRDefault="00C326DA" w:rsidP="00C326DA">
      <w:pPr>
        <w:jc w:val="center"/>
      </w:pPr>
    </w:p>
    <w:p w:rsidR="00C326DA" w:rsidRPr="006430CB" w:rsidRDefault="00C326DA" w:rsidP="00C326DA">
      <w:pPr>
        <w:jc w:val="center"/>
      </w:pPr>
    </w:p>
    <w:p w:rsidR="00C326DA" w:rsidRPr="006430CB" w:rsidRDefault="00C326DA" w:rsidP="00C326DA">
      <w:pPr>
        <w:jc w:val="center"/>
      </w:pPr>
      <w:r w:rsidRPr="006430CB">
        <w:t>C.J.C.</w:t>
      </w:r>
    </w:p>
    <w:p w:rsidR="00C326DA" w:rsidRPr="001F46B4" w:rsidRDefault="00C326DA" w:rsidP="00C326DA">
      <w:pPr>
        <w:jc w:val="center"/>
      </w:pPr>
      <w:r w:rsidRPr="006430CB">
        <w:t>J.C.C.</w:t>
      </w:r>
    </w:p>
    <w:p w:rsidR="00C326DA" w:rsidRPr="001F46B4" w:rsidRDefault="00C326DA" w:rsidP="00C326DA">
      <w:pPr>
        <w:jc w:val="center"/>
      </w:pPr>
    </w:p>
    <w:sectPr w:rsidR="00C326DA" w:rsidRPr="001F46B4"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87A25"/>
    <w:rsid w:val="000D1436"/>
    <w:rsid w:val="000F4467"/>
    <w:rsid w:val="00100074"/>
    <w:rsid w:val="001142C6"/>
    <w:rsid w:val="001311DA"/>
    <w:rsid w:val="00177E57"/>
    <w:rsid w:val="00196882"/>
    <w:rsid w:val="001A2CF8"/>
    <w:rsid w:val="001D6B8C"/>
    <w:rsid w:val="001E12E2"/>
    <w:rsid w:val="001E5B5A"/>
    <w:rsid w:val="001F1F83"/>
    <w:rsid w:val="00256B56"/>
    <w:rsid w:val="00257AEE"/>
    <w:rsid w:val="0028675F"/>
    <w:rsid w:val="0029156B"/>
    <w:rsid w:val="002F0B6C"/>
    <w:rsid w:val="00355967"/>
    <w:rsid w:val="0036772A"/>
    <w:rsid w:val="00384384"/>
    <w:rsid w:val="003B2BE1"/>
    <w:rsid w:val="003B3C63"/>
    <w:rsid w:val="003B7306"/>
    <w:rsid w:val="003B7E58"/>
    <w:rsid w:val="003F583C"/>
    <w:rsid w:val="00423C0D"/>
    <w:rsid w:val="004269B5"/>
    <w:rsid w:val="00441F00"/>
    <w:rsid w:val="00442C2D"/>
    <w:rsid w:val="00460AFC"/>
    <w:rsid w:val="00467372"/>
    <w:rsid w:val="004B6D25"/>
    <w:rsid w:val="004E69EC"/>
    <w:rsid w:val="004F090E"/>
    <w:rsid w:val="004F7322"/>
    <w:rsid w:val="0051326D"/>
    <w:rsid w:val="00534077"/>
    <w:rsid w:val="00535189"/>
    <w:rsid w:val="005362B9"/>
    <w:rsid w:val="00555757"/>
    <w:rsid w:val="00582136"/>
    <w:rsid w:val="0058383C"/>
    <w:rsid w:val="005C0397"/>
    <w:rsid w:val="005D5624"/>
    <w:rsid w:val="006034F1"/>
    <w:rsid w:val="006430CB"/>
    <w:rsid w:val="00662FAF"/>
    <w:rsid w:val="00681AA1"/>
    <w:rsid w:val="006936F1"/>
    <w:rsid w:val="006D697E"/>
    <w:rsid w:val="006F575B"/>
    <w:rsid w:val="00701ABD"/>
    <w:rsid w:val="007740CA"/>
    <w:rsid w:val="00787F6E"/>
    <w:rsid w:val="008029A6"/>
    <w:rsid w:val="008029AC"/>
    <w:rsid w:val="00803557"/>
    <w:rsid w:val="008215C3"/>
    <w:rsid w:val="00842677"/>
    <w:rsid w:val="008521D5"/>
    <w:rsid w:val="00865B58"/>
    <w:rsid w:val="008714CB"/>
    <w:rsid w:val="00880B14"/>
    <w:rsid w:val="008B5797"/>
    <w:rsid w:val="008C75A4"/>
    <w:rsid w:val="008F4691"/>
    <w:rsid w:val="00904937"/>
    <w:rsid w:val="00996510"/>
    <w:rsid w:val="009B3BDB"/>
    <w:rsid w:val="009F0F2D"/>
    <w:rsid w:val="00A51442"/>
    <w:rsid w:val="00A51D10"/>
    <w:rsid w:val="00A863F7"/>
    <w:rsid w:val="00AB2201"/>
    <w:rsid w:val="00AC5432"/>
    <w:rsid w:val="00AF0505"/>
    <w:rsid w:val="00B11552"/>
    <w:rsid w:val="00B3687B"/>
    <w:rsid w:val="00BD4217"/>
    <w:rsid w:val="00C326DA"/>
    <w:rsid w:val="00C34313"/>
    <w:rsid w:val="00C558AA"/>
    <w:rsid w:val="00C6115D"/>
    <w:rsid w:val="00CA3730"/>
    <w:rsid w:val="00D030DA"/>
    <w:rsid w:val="00D056AE"/>
    <w:rsid w:val="00D07EED"/>
    <w:rsid w:val="00D4443A"/>
    <w:rsid w:val="00D5237B"/>
    <w:rsid w:val="00D751FC"/>
    <w:rsid w:val="00D76BDF"/>
    <w:rsid w:val="00D81A6B"/>
    <w:rsid w:val="00D854F6"/>
    <w:rsid w:val="00DA02B8"/>
    <w:rsid w:val="00DE5171"/>
    <w:rsid w:val="00E310A9"/>
    <w:rsid w:val="00E356C7"/>
    <w:rsid w:val="00E53ED9"/>
    <w:rsid w:val="00E56CF3"/>
    <w:rsid w:val="00E64FA7"/>
    <w:rsid w:val="00E7577F"/>
    <w:rsid w:val="00E770CB"/>
    <w:rsid w:val="00F01FC5"/>
    <w:rsid w:val="00F060D9"/>
    <w:rsid w:val="00F25646"/>
    <w:rsid w:val="00F34534"/>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9389">
      <w:bodyDiv w:val="1"/>
      <w:marLeft w:val="0"/>
      <w:marRight w:val="0"/>
      <w:marTop w:val="0"/>
      <w:marBottom w:val="0"/>
      <w:divBdr>
        <w:top w:val="none" w:sz="0" w:space="0" w:color="auto"/>
        <w:left w:val="none" w:sz="0" w:space="0" w:color="auto"/>
        <w:bottom w:val="none" w:sz="0" w:space="0" w:color="auto"/>
        <w:right w:val="none" w:sz="0" w:space="0" w:color="auto"/>
      </w:divBdr>
    </w:div>
    <w:div w:id="9894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ords.court.nl.ca/public/supremecourt/decisiondownload/?decision-id=8221&amp;mode=stream"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4471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2022-03-24T16:08:00Z</dcterms:created>
  <dcterms:modified xsi:type="dcterms:W3CDTF">2023-07-28T13:56:00Z</dcterms:modified>
</cp:coreProperties>
</file>