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8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8"/>
        <w:gridCol w:w="1504"/>
        <w:gridCol w:w="1165"/>
        <w:gridCol w:w="3348"/>
      </w:tblGrid>
      <w:tr w:rsidR="00F21424" w:rsidRPr="00F21424" w14:paraId="4143CE7C" w14:textId="77777777" w:rsidTr="00551CB9">
        <w:trPr>
          <w:trHeight w:val="1786"/>
        </w:trPr>
        <w:tc>
          <w:tcPr>
            <w:tcW w:w="5000" w:type="pct"/>
            <w:gridSpan w:val="4"/>
          </w:tcPr>
          <w:p w14:paraId="74A2720F" w14:textId="77777777" w:rsidR="00F21424" w:rsidRPr="00F21424" w:rsidRDefault="00F21424" w:rsidP="00F21424">
            <w:pPr>
              <w:jc w:val="center"/>
              <w:rPr>
                <w:b/>
                <w:lang w:val="fr-CA"/>
              </w:rPr>
            </w:pPr>
            <w:r w:rsidRPr="00F21424">
              <w:rPr>
                <w:b/>
                <w:noProof/>
              </w:rPr>
              <w:drawing>
                <wp:inline distT="0" distB="0" distL="0" distR="0" wp14:anchorId="5039E072" wp14:editId="57645147">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16FE9FC4" w14:textId="77777777" w:rsidR="00F21424" w:rsidRPr="00F21424" w:rsidRDefault="00F21424" w:rsidP="00F21424">
            <w:pPr>
              <w:spacing w:before="120" w:after="100" w:afterAutospacing="1"/>
              <w:jc w:val="center"/>
              <w:rPr>
                <w:lang w:val="fr-CA"/>
              </w:rPr>
            </w:pPr>
            <w:r w:rsidRPr="00F21424">
              <w:rPr>
                <w:b/>
                <w:lang w:val="fr-CA"/>
              </w:rPr>
              <w:t>COUR SUPRÊME DU CANADA</w:t>
            </w:r>
          </w:p>
        </w:tc>
      </w:tr>
      <w:tr w:rsidR="00F21424" w:rsidRPr="00F21424" w14:paraId="6EA6CA43" w14:textId="77777777" w:rsidTr="00F21424">
        <w:tblPrEx>
          <w:tblCellMar>
            <w:top w:w="58" w:type="dxa"/>
            <w:left w:w="58" w:type="dxa"/>
            <w:bottom w:w="58" w:type="dxa"/>
            <w:right w:w="58" w:type="dxa"/>
          </w:tblCellMar>
        </w:tblPrEx>
        <w:trPr>
          <w:cantSplit/>
        </w:trPr>
        <w:tc>
          <w:tcPr>
            <w:tcW w:w="2188" w:type="pct"/>
            <w:gridSpan w:val="2"/>
          </w:tcPr>
          <w:p w14:paraId="6155524C" w14:textId="77777777" w:rsidR="00F21424" w:rsidRPr="00F21424" w:rsidRDefault="00F21424" w:rsidP="00F21424">
            <w:pPr>
              <w:rPr>
                <w:b/>
                <w:smallCaps/>
                <w:lang w:val="fr-CA"/>
              </w:rPr>
            </w:pPr>
          </w:p>
          <w:p w14:paraId="214312FD" w14:textId="77777777" w:rsidR="00F21424" w:rsidRPr="00F21424" w:rsidRDefault="00F21424" w:rsidP="00F21424">
            <w:pPr>
              <w:rPr>
                <w:b/>
                <w:smallCaps/>
                <w:lang w:val="fr-CA"/>
              </w:rPr>
            </w:pPr>
            <w:r w:rsidRPr="00F21424">
              <w:rPr>
                <w:b/>
                <w:smallCaps/>
                <w:lang w:val="fr-CA"/>
              </w:rPr>
              <w:t>Référence :</w:t>
            </w:r>
            <w:r w:rsidRPr="00F21424">
              <w:rPr>
                <w:lang w:val="fr-CA"/>
              </w:rPr>
              <w:t xml:space="preserve"> R. </w:t>
            </w:r>
            <w:r w:rsidRPr="00F21424">
              <w:rPr>
                <w:i/>
                <w:lang w:val="fr-CA"/>
              </w:rPr>
              <w:t>c.</w:t>
            </w:r>
            <w:r w:rsidRPr="00F21424">
              <w:rPr>
                <w:lang w:val="fr-CA"/>
              </w:rPr>
              <w:t xml:space="preserve"> J.D., 2022 CSC 15</w:t>
            </w:r>
          </w:p>
        </w:tc>
        <w:tc>
          <w:tcPr>
            <w:tcW w:w="726" w:type="pct"/>
          </w:tcPr>
          <w:p w14:paraId="253C4489" w14:textId="77777777" w:rsidR="00F21424" w:rsidRPr="00F21424" w:rsidRDefault="00F21424" w:rsidP="00F21424">
            <w:pPr>
              <w:rPr>
                <w:lang w:val="fr-CA"/>
              </w:rPr>
            </w:pPr>
          </w:p>
        </w:tc>
        <w:tc>
          <w:tcPr>
            <w:tcW w:w="2085" w:type="pct"/>
          </w:tcPr>
          <w:p w14:paraId="141E0055" w14:textId="77777777" w:rsidR="00F21424" w:rsidRPr="00F21424" w:rsidRDefault="00F21424" w:rsidP="00F21424">
            <w:pPr>
              <w:jc w:val="both"/>
              <w:rPr>
                <w:b/>
                <w:smallCaps/>
                <w:lang w:val="fr-CA"/>
              </w:rPr>
            </w:pPr>
          </w:p>
          <w:p w14:paraId="5DFF7812" w14:textId="77777777" w:rsidR="00F21424" w:rsidRPr="00F21424" w:rsidRDefault="00F21424" w:rsidP="00F21424">
            <w:pPr>
              <w:jc w:val="both"/>
              <w:rPr>
                <w:lang w:val="fr-CA"/>
              </w:rPr>
            </w:pPr>
            <w:r w:rsidRPr="00F21424">
              <w:rPr>
                <w:b/>
                <w:smallCaps/>
                <w:lang w:val="fr-CA"/>
              </w:rPr>
              <w:t>Appel entendu et jugement rendu :</w:t>
            </w:r>
            <w:r w:rsidRPr="00F21424">
              <w:rPr>
                <w:lang w:val="fr-CA"/>
              </w:rPr>
              <w:t xml:space="preserve"> 10 novembre 2021</w:t>
            </w:r>
          </w:p>
          <w:p w14:paraId="2CAE3769" w14:textId="77777777" w:rsidR="00F21424" w:rsidRPr="00F21424" w:rsidRDefault="00F21424" w:rsidP="00F21424">
            <w:pPr>
              <w:rPr>
                <w:lang w:val="fr-CA"/>
              </w:rPr>
            </w:pPr>
            <w:r w:rsidRPr="00F21424">
              <w:rPr>
                <w:b/>
                <w:smallCaps/>
                <w:lang w:val="fr-CA"/>
              </w:rPr>
              <w:t>Motifs de jugement :</w:t>
            </w:r>
            <w:r w:rsidRPr="00F21424">
              <w:rPr>
                <w:lang w:val="fr-CA"/>
              </w:rPr>
              <w:t xml:space="preserve"> 22 avril 2022</w:t>
            </w:r>
          </w:p>
          <w:p w14:paraId="32908E10" w14:textId="77777777" w:rsidR="00F21424" w:rsidRPr="00F21424" w:rsidRDefault="00F21424" w:rsidP="00F21424">
            <w:pPr>
              <w:rPr>
                <w:lang w:val="fr-CA"/>
              </w:rPr>
            </w:pPr>
            <w:r w:rsidRPr="00F21424">
              <w:rPr>
                <w:b/>
                <w:smallCaps/>
                <w:lang w:val="fr-CA"/>
              </w:rPr>
              <w:t>Dossier :</w:t>
            </w:r>
            <w:r w:rsidRPr="00F21424">
              <w:rPr>
                <w:lang w:val="fr-CA"/>
              </w:rPr>
              <w:t xml:space="preserve"> 39370</w:t>
            </w:r>
          </w:p>
        </w:tc>
      </w:tr>
      <w:tr w:rsidR="00F21424" w:rsidRPr="00F21424" w14:paraId="308920FF" w14:textId="77777777" w:rsidTr="00551CB9">
        <w:tblPrEx>
          <w:tblCellMar>
            <w:top w:w="58" w:type="dxa"/>
            <w:left w:w="58" w:type="dxa"/>
            <w:bottom w:w="58" w:type="dxa"/>
            <w:right w:w="58" w:type="dxa"/>
          </w:tblCellMar>
        </w:tblPrEx>
        <w:trPr>
          <w:cantSplit/>
        </w:trPr>
        <w:tc>
          <w:tcPr>
            <w:tcW w:w="5000" w:type="pct"/>
            <w:gridSpan w:val="4"/>
          </w:tcPr>
          <w:p w14:paraId="0FAA4D00" w14:textId="77777777" w:rsidR="00F21424" w:rsidRPr="00F21424" w:rsidRDefault="00F21424" w:rsidP="00F21424">
            <w:pPr>
              <w:rPr>
                <w:lang w:val="fr-CA"/>
              </w:rPr>
            </w:pPr>
          </w:p>
          <w:p w14:paraId="1358B8C4" w14:textId="77777777" w:rsidR="00F21424" w:rsidRPr="00F21424" w:rsidRDefault="00F21424" w:rsidP="00F21424">
            <w:pPr>
              <w:rPr>
                <w:b/>
                <w:smallCaps/>
                <w:lang w:val="fr-CA"/>
              </w:rPr>
            </w:pPr>
            <w:r w:rsidRPr="00F21424">
              <w:rPr>
                <w:b/>
                <w:smallCaps/>
                <w:lang w:val="fr-CA"/>
              </w:rPr>
              <w:t>Entre :</w:t>
            </w:r>
          </w:p>
          <w:p w14:paraId="4DB500C8" w14:textId="77777777" w:rsidR="00F21424" w:rsidRPr="00F21424" w:rsidRDefault="00F21424" w:rsidP="00F21424">
            <w:pPr>
              <w:jc w:val="center"/>
              <w:rPr>
                <w:b/>
                <w:lang w:val="fr-CA"/>
              </w:rPr>
            </w:pPr>
            <w:r w:rsidRPr="00F21424">
              <w:rPr>
                <w:b/>
                <w:lang w:val="fr-CA"/>
              </w:rPr>
              <w:t>Sa Majesté la Reine</w:t>
            </w:r>
          </w:p>
          <w:p w14:paraId="33EBE0BC" w14:textId="77777777" w:rsidR="00F21424" w:rsidRPr="00F21424" w:rsidRDefault="00F21424" w:rsidP="00F21424">
            <w:pPr>
              <w:jc w:val="center"/>
              <w:rPr>
                <w:lang w:val="fr-CA"/>
              </w:rPr>
            </w:pPr>
            <w:r w:rsidRPr="00F21424">
              <w:rPr>
                <w:lang w:val="fr-CA"/>
              </w:rPr>
              <w:t>Appelante</w:t>
            </w:r>
          </w:p>
          <w:p w14:paraId="7B194B3C" w14:textId="77777777" w:rsidR="00F21424" w:rsidRPr="00F21424" w:rsidRDefault="00F21424" w:rsidP="00F21424">
            <w:pPr>
              <w:rPr>
                <w:lang w:val="fr-CA"/>
              </w:rPr>
            </w:pPr>
          </w:p>
          <w:p w14:paraId="14682CD1" w14:textId="77777777" w:rsidR="00F21424" w:rsidRPr="00F21424" w:rsidRDefault="00F21424" w:rsidP="00F21424">
            <w:pPr>
              <w:jc w:val="center"/>
              <w:rPr>
                <w:lang w:val="fr-CA"/>
              </w:rPr>
            </w:pPr>
            <w:r w:rsidRPr="00F21424">
              <w:rPr>
                <w:lang w:val="fr-CA"/>
              </w:rPr>
              <w:t>et</w:t>
            </w:r>
          </w:p>
          <w:p w14:paraId="7B8C16AE" w14:textId="77777777" w:rsidR="00F21424" w:rsidRPr="00F21424" w:rsidRDefault="00F21424" w:rsidP="00F21424">
            <w:pPr>
              <w:rPr>
                <w:lang w:val="fr-CA"/>
              </w:rPr>
            </w:pPr>
          </w:p>
          <w:p w14:paraId="484EF95C" w14:textId="77777777" w:rsidR="00F21424" w:rsidRPr="00F21424" w:rsidRDefault="00F21424" w:rsidP="00F21424">
            <w:pPr>
              <w:jc w:val="center"/>
              <w:rPr>
                <w:b/>
                <w:lang w:val="fr-CA"/>
              </w:rPr>
            </w:pPr>
            <w:r w:rsidRPr="00F21424">
              <w:rPr>
                <w:b/>
                <w:lang w:val="fr-CA"/>
              </w:rPr>
              <w:t>J.D.</w:t>
            </w:r>
          </w:p>
          <w:p w14:paraId="18C12AD9" w14:textId="77777777" w:rsidR="00F21424" w:rsidRPr="00F21424" w:rsidRDefault="00F21424" w:rsidP="00F21424">
            <w:pPr>
              <w:jc w:val="center"/>
              <w:rPr>
                <w:lang w:val="fr-CA"/>
              </w:rPr>
            </w:pPr>
            <w:r w:rsidRPr="00F21424">
              <w:rPr>
                <w:lang w:val="fr-CA"/>
              </w:rPr>
              <w:t>Intimé</w:t>
            </w:r>
          </w:p>
          <w:p w14:paraId="459573F0" w14:textId="77777777" w:rsidR="00F21424" w:rsidRPr="00F21424" w:rsidRDefault="00F21424" w:rsidP="00F21424">
            <w:pPr>
              <w:rPr>
                <w:lang w:val="fr-CA"/>
              </w:rPr>
            </w:pPr>
          </w:p>
          <w:p w14:paraId="118DA55E" w14:textId="77777777" w:rsidR="00F21424" w:rsidRPr="00F21424" w:rsidRDefault="00F21424" w:rsidP="00F21424">
            <w:pPr>
              <w:jc w:val="center"/>
              <w:rPr>
                <w:lang w:val="fr-CA"/>
              </w:rPr>
            </w:pPr>
            <w:r w:rsidRPr="00F21424">
              <w:rPr>
                <w:lang w:val="fr-CA"/>
              </w:rPr>
              <w:t>- et -</w:t>
            </w:r>
          </w:p>
          <w:p w14:paraId="020DBF33" w14:textId="77777777" w:rsidR="00F21424" w:rsidRPr="00F21424" w:rsidRDefault="00F21424" w:rsidP="00F21424">
            <w:pPr>
              <w:rPr>
                <w:lang w:val="fr-CA"/>
              </w:rPr>
            </w:pPr>
          </w:p>
          <w:p w14:paraId="646CB5E8" w14:textId="77777777" w:rsidR="00F21424" w:rsidRPr="00F21424" w:rsidRDefault="00F21424" w:rsidP="00F21424">
            <w:pPr>
              <w:jc w:val="center"/>
              <w:rPr>
                <w:b/>
                <w:lang w:val="fr-CA"/>
              </w:rPr>
            </w:pPr>
            <w:r w:rsidRPr="00F21424">
              <w:rPr>
                <w:b/>
                <w:lang w:val="fr-CA"/>
              </w:rPr>
              <w:t>Procureur général de l’Ontario</w:t>
            </w:r>
          </w:p>
          <w:p w14:paraId="398B6FD5" w14:textId="77777777" w:rsidR="00F21424" w:rsidRPr="00F21424" w:rsidRDefault="00F21424" w:rsidP="00F21424">
            <w:pPr>
              <w:jc w:val="center"/>
              <w:rPr>
                <w:lang w:val="fr-CA"/>
              </w:rPr>
            </w:pPr>
            <w:r w:rsidRPr="00F21424">
              <w:rPr>
                <w:lang w:val="fr-CA"/>
              </w:rPr>
              <w:t>Intervenant</w:t>
            </w:r>
          </w:p>
          <w:p w14:paraId="354E1419" w14:textId="77777777" w:rsidR="00F21424" w:rsidRPr="00F21424" w:rsidRDefault="00F21424" w:rsidP="00F21424">
            <w:pPr>
              <w:rPr>
                <w:lang w:val="fr-CA"/>
              </w:rPr>
            </w:pPr>
          </w:p>
          <w:p w14:paraId="0F65D522" w14:textId="77777777" w:rsidR="00F21424" w:rsidRPr="00F21424" w:rsidRDefault="00F21424" w:rsidP="00F21424">
            <w:pPr>
              <w:jc w:val="center"/>
              <w:rPr>
                <w:b/>
                <w:smallCaps/>
                <w:lang w:val="fr-CA"/>
              </w:rPr>
            </w:pPr>
          </w:p>
          <w:p w14:paraId="50AE28DB" w14:textId="77777777" w:rsidR="00F21424" w:rsidRPr="00F21424" w:rsidRDefault="00F21424" w:rsidP="00F21424">
            <w:pPr>
              <w:rPr>
                <w:lang w:val="fr-CA"/>
              </w:rPr>
            </w:pPr>
          </w:p>
          <w:p w14:paraId="4462398B" w14:textId="77777777" w:rsidR="00F21424" w:rsidRPr="00F21424" w:rsidRDefault="00F21424" w:rsidP="00F21424">
            <w:pPr>
              <w:rPr>
                <w:lang w:val="fr-CA"/>
              </w:rPr>
            </w:pPr>
            <w:r w:rsidRPr="00F21424">
              <w:rPr>
                <w:b/>
                <w:smallCaps/>
                <w:lang w:val="fr-CA"/>
              </w:rPr>
              <w:t>Coram :</w:t>
            </w:r>
            <w:r w:rsidRPr="00F21424">
              <w:rPr>
                <w:lang w:val="fr-CA"/>
              </w:rPr>
              <w:t xml:space="preserve"> Le juge en chef Wagner et les juges Moldaver, Karakatsanis, Côté, Brown, Rowe, Martin, Kasirer et Jamal</w:t>
            </w:r>
          </w:p>
          <w:p w14:paraId="07465720" w14:textId="77777777" w:rsidR="00F21424" w:rsidRPr="00F21424" w:rsidRDefault="00F21424" w:rsidP="00F21424">
            <w:pPr>
              <w:jc w:val="both"/>
              <w:rPr>
                <w:b/>
                <w:smallCaps/>
                <w:lang w:val="fr-CA"/>
              </w:rPr>
            </w:pPr>
          </w:p>
        </w:tc>
      </w:tr>
      <w:tr w:rsidR="00F21424" w:rsidRPr="00F21424" w14:paraId="0BD079E0" w14:textId="77777777" w:rsidTr="00551CB9">
        <w:tblPrEx>
          <w:tblCellMar>
            <w:top w:w="58" w:type="dxa"/>
            <w:left w:w="58" w:type="dxa"/>
            <w:bottom w:w="58" w:type="dxa"/>
            <w:right w:w="58" w:type="dxa"/>
          </w:tblCellMar>
        </w:tblPrEx>
        <w:trPr>
          <w:cantSplit/>
        </w:trPr>
        <w:tc>
          <w:tcPr>
            <w:tcW w:w="1251" w:type="pct"/>
          </w:tcPr>
          <w:p w14:paraId="17C39D39" w14:textId="77777777" w:rsidR="00F21424" w:rsidRPr="00F21424" w:rsidRDefault="00F21424" w:rsidP="00F21424">
            <w:pPr>
              <w:rPr>
                <w:b/>
                <w:lang w:val="fr-CA"/>
              </w:rPr>
            </w:pPr>
            <w:r w:rsidRPr="00F21424">
              <w:rPr>
                <w:b/>
                <w:smallCaps/>
                <w:lang w:val="fr-CA"/>
              </w:rPr>
              <w:t>Motifs de jugement</w:t>
            </w:r>
            <w:r w:rsidRPr="00F21424">
              <w:rPr>
                <w:b/>
                <w:lang w:val="fr-CA"/>
              </w:rPr>
              <w:t> :</w:t>
            </w:r>
          </w:p>
          <w:p w14:paraId="46734B3B" w14:textId="77777777" w:rsidR="00F21424" w:rsidRPr="00F21424" w:rsidRDefault="00F21424" w:rsidP="00F21424">
            <w:pPr>
              <w:rPr>
                <w:lang w:val="fr-CA"/>
              </w:rPr>
            </w:pPr>
            <w:r w:rsidRPr="00F21424">
              <w:rPr>
                <w:lang w:val="fr-CA"/>
              </w:rPr>
              <w:t>(par. 1 à 50)</w:t>
            </w:r>
          </w:p>
        </w:tc>
        <w:tc>
          <w:tcPr>
            <w:tcW w:w="3749" w:type="pct"/>
            <w:gridSpan w:val="3"/>
          </w:tcPr>
          <w:p w14:paraId="5019E0C3" w14:textId="77777777" w:rsidR="00F21424" w:rsidRPr="00F21424" w:rsidRDefault="00F21424" w:rsidP="00F21424">
            <w:pPr>
              <w:rPr>
                <w:lang w:val="fr-CA"/>
              </w:rPr>
            </w:pPr>
            <w:r w:rsidRPr="00F21424">
              <w:rPr>
                <w:lang w:val="fr-CA"/>
              </w:rPr>
              <w:t>La juge Côté (avec l’accord du juge en chef Wagner et des juges Moldaver, Karakatsanis, Brown, Rowe, Martin, Kasirer et Jamal)</w:t>
            </w:r>
          </w:p>
        </w:tc>
      </w:tr>
    </w:tbl>
    <w:p w14:paraId="57E04277" w14:textId="77777777" w:rsidR="00F21424" w:rsidRPr="00F21424" w:rsidRDefault="00F21424" w:rsidP="00F21424">
      <w:pPr>
        <w:rPr>
          <w:rFonts w:eastAsiaTheme="minorHAnsi" w:cstheme="minorBidi"/>
          <w:szCs w:val="24"/>
          <w:lang w:val="fr-CA" w:eastAsia="en-US"/>
        </w:rPr>
      </w:pPr>
    </w:p>
    <w:p w14:paraId="5162C2FE" w14:textId="77777777" w:rsidR="00F21424" w:rsidRPr="00F21424" w:rsidRDefault="00F21424" w:rsidP="00F21424">
      <w:pPr>
        <w:rPr>
          <w:rFonts w:eastAsiaTheme="minorHAnsi" w:cstheme="minorBidi"/>
          <w:szCs w:val="24"/>
          <w:lang w:val="fr-CA" w:eastAsia="en-US"/>
        </w:rPr>
      </w:pPr>
      <w:r w:rsidRPr="00F21424">
        <w:rPr>
          <w:rFonts w:eastAsiaTheme="minorHAnsi" w:cstheme="minorBidi"/>
          <w:b/>
          <w:smallCaps/>
          <w:szCs w:val="24"/>
          <w:lang w:val="fr-CA" w:eastAsia="en-US"/>
        </w:rPr>
        <w:t>Note :</w:t>
      </w:r>
      <w:r w:rsidRPr="00F21424">
        <w:rPr>
          <w:rFonts w:eastAsiaTheme="minorHAnsi" w:cstheme="minorBidi"/>
          <w:b/>
          <w:szCs w:val="24"/>
          <w:lang w:val="fr-CA" w:eastAsia="en-US"/>
        </w:rPr>
        <w:t xml:space="preserve"> </w:t>
      </w:r>
      <w:r w:rsidRPr="00F21424">
        <w:rPr>
          <w:rFonts w:eastAsiaTheme="minorHAnsi" w:cstheme="minorBidi"/>
          <w:szCs w:val="24"/>
          <w:lang w:val="fr-CA" w:eastAsia="en-US"/>
        </w:rPr>
        <w:t xml:space="preserve">Ce document fera l’objet de retouches de forme avant la parution de sa version définitive dans le </w:t>
      </w:r>
      <w:r w:rsidRPr="00F21424">
        <w:rPr>
          <w:rFonts w:eastAsiaTheme="minorHAnsi" w:cstheme="minorBidi"/>
          <w:i/>
          <w:szCs w:val="24"/>
          <w:lang w:val="fr-CA" w:eastAsia="en-US"/>
        </w:rPr>
        <w:t>Recueil des arrêts de la Cour suprême du Canada</w:t>
      </w:r>
      <w:r w:rsidRPr="00F21424">
        <w:rPr>
          <w:rFonts w:eastAsiaTheme="minorHAnsi" w:cstheme="minorBidi"/>
          <w:szCs w:val="24"/>
          <w:lang w:val="fr-CA" w:eastAsia="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F21424" w:rsidRPr="00F21424" w14:paraId="1489AA12" w14:textId="77777777" w:rsidTr="00551CB9">
        <w:tc>
          <w:tcPr>
            <w:tcW w:w="1500" w:type="pct"/>
            <w:tcMar>
              <w:top w:w="284" w:type="dxa"/>
            </w:tcMar>
          </w:tcPr>
          <w:p w14:paraId="54DF7C77" w14:textId="77777777" w:rsidR="00F21424" w:rsidRPr="00F21424" w:rsidRDefault="00F21424" w:rsidP="00F21424">
            <w:pPr>
              <w:rPr>
                <w:lang w:val="fr-CA"/>
              </w:rPr>
            </w:pPr>
          </w:p>
        </w:tc>
        <w:tc>
          <w:tcPr>
            <w:tcW w:w="2000" w:type="pct"/>
            <w:tcBorders>
              <w:bottom w:val="single" w:sz="4" w:space="0" w:color="auto"/>
            </w:tcBorders>
            <w:tcMar>
              <w:top w:w="284" w:type="dxa"/>
            </w:tcMar>
          </w:tcPr>
          <w:p w14:paraId="1CB6B42E" w14:textId="77777777" w:rsidR="00F21424" w:rsidRPr="00F21424" w:rsidRDefault="00F21424" w:rsidP="00F21424">
            <w:pPr>
              <w:rPr>
                <w:lang w:val="fr-CA"/>
              </w:rPr>
            </w:pPr>
          </w:p>
        </w:tc>
        <w:tc>
          <w:tcPr>
            <w:tcW w:w="1500" w:type="pct"/>
            <w:tcMar>
              <w:top w:w="284" w:type="dxa"/>
            </w:tcMar>
          </w:tcPr>
          <w:p w14:paraId="282AFF1C" w14:textId="77777777" w:rsidR="00F21424" w:rsidRPr="00F21424" w:rsidRDefault="00F21424" w:rsidP="00F21424">
            <w:pPr>
              <w:rPr>
                <w:lang w:val="fr-CA"/>
              </w:rPr>
            </w:pPr>
          </w:p>
        </w:tc>
      </w:tr>
    </w:tbl>
    <w:p w14:paraId="004E204D" w14:textId="77777777" w:rsidR="00F21424" w:rsidRPr="00F21424" w:rsidRDefault="00F21424" w:rsidP="00F21424">
      <w:pPr>
        <w:rPr>
          <w:rFonts w:eastAsiaTheme="minorHAnsi" w:cstheme="minorBidi"/>
          <w:szCs w:val="24"/>
          <w:lang w:val="fr-CA" w:eastAsia="en-US"/>
        </w:rPr>
      </w:pPr>
    </w:p>
    <w:p w14:paraId="7B36CD93" w14:textId="77777777" w:rsidR="00F21424" w:rsidRDefault="00F21424">
      <w:pPr>
        <w:rPr>
          <w:b/>
          <w:lang w:val="fr-CA"/>
        </w:rPr>
      </w:pPr>
      <w:r>
        <w:rPr>
          <w:lang w:val="fr-CA"/>
        </w:rPr>
        <w:br w:type="page"/>
      </w:r>
    </w:p>
    <w:p w14:paraId="6B5E8608" w14:textId="73A77B6C" w:rsidR="00900FA4" w:rsidRPr="00A72B6E" w:rsidRDefault="003712ED">
      <w:pPr>
        <w:pStyle w:val="SCCLsocLastPartyInRole"/>
        <w:rPr>
          <w:lang w:val="fr-CA"/>
        </w:rPr>
      </w:pPr>
      <w:r w:rsidRPr="00A72B6E">
        <w:rPr>
          <w:lang w:val="fr-CA"/>
        </w:rPr>
        <w:t>Sa Majesté la Reine</w:t>
      </w:r>
      <w:r w:rsidR="00DD2E20" w:rsidRPr="00A72B6E">
        <w:rPr>
          <w:rStyle w:val="SCCLsocPartyRole"/>
          <w:lang w:val="fr-CA"/>
        </w:rPr>
        <w:tab/>
        <w:t>Appelante</w:t>
      </w:r>
    </w:p>
    <w:p w14:paraId="2448D220" w14:textId="77777777" w:rsidR="00900FA4" w:rsidRPr="00A72B6E" w:rsidRDefault="003712ED">
      <w:pPr>
        <w:pStyle w:val="SCCLsocVersus"/>
        <w:rPr>
          <w:lang w:val="fr-CA"/>
        </w:rPr>
      </w:pPr>
      <w:proofErr w:type="gramStart"/>
      <w:r w:rsidRPr="00A72B6E">
        <w:rPr>
          <w:lang w:val="fr-CA"/>
        </w:rPr>
        <w:t>c</w:t>
      </w:r>
      <w:proofErr w:type="gramEnd"/>
      <w:r w:rsidRPr="00A72B6E">
        <w:rPr>
          <w:lang w:val="fr-CA"/>
        </w:rPr>
        <w:t>.</w:t>
      </w:r>
    </w:p>
    <w:p w14:paraId="18B1DAC9" w14:textId="77777777" w:rsidR="00900FA4" w:rsidRPr="00A72B6E" w:rsidRDefault="00DD2E20">
      <w:pPr>
        <w:pStyle w:val="SCCLsocLastPartyInRole"/>
        <w:rPr>
          <w:lang w:val="fr-CA"/>
        </w:rPr>
      </w:pPr>
      <w:r w:rsidRPr="00A72B6E">
        <w:rPr>
          <w:lang w:val="fr-CA"/>
        </w:rPr>
        <w:t>J.D.</w:t>
      </w:r>
      <w:r w:rsidRPr="00A72B6E">
        <w:rPr>
          <w:rStyle w:val="SCCLsocPartyRole"/>
          <w:lang w:val="fr-CA"/>
        </w:rPr>
        <w:tab/>
        <w:t>Intimé</w:t>
      </w:r>
    </w:p>
    <w:p w14:paraId="7A231D98" w14:textId="77777777" w:rsidR="00900FA4" w:rsidRPr="00A72B6E" w:rsidRDefault="003712ED">
      <w:pPr>
        <w:pStyle w:val="SCCLsocOtherPartySeparator"/>
        <w:rPr>
          <w:lang w:val="fr-CA"/>
        </w:rPr>
      </w:pPr>
      <w:proofErr w:type="gramStart"/>
      <w:r w:rsidRPr="00A72B6E">
        <w:rPr>
          <w:lang w:val="fr-CA"/>
        </w:rPr>
        <w:t>et</w:t>
      </w:r>
      <w:proofErr w:type="gramEnd"/>
    </w:p>
    <w:p w14:paraId="3033427C" w14:textId="77777777" w:rsidR="00900FA4" w:rsidRPr="00A72B6E" w:rsidRDefault="003712ED" w:rsidP="00586D16">
      <w:pPr>
        <w:pStyle w:val="SCCLsocLastPartyInRole"/>
        <w:rPr>
          <w:lang w:val="fr-CA"/>
        </w:rPr>
      </w:pPr>
      <w:r w:rsidRPr="00A72B6E">
        <w:rPr>
          <w:lang w:val="fr-CA"/>
        </w:rPr>
        <w:t>Procureur général de l</w:t>
      </w:r>
      <w:r w:rsidR="00E51292" w:rsidRPr="00A72B6E">
        <w:rPr>
          <w:lang w:val="fr-CA"/>
        </w:rPr>
        <w:t>’</w:t>
      </w:r>
      <w:r w:rsidRPr="00A72B6E">
        <w:rPr>
          <w:lang w:val="fr-CA"/>
        </w:rPr>
        <w:t>Ontario</w:t>
      </w:r>
      <w:r w:rsidR="00E51292" w:rsidRPr="00A72B6E">
        <w:rPr>
          <w:rStyle w:val="SCCLsocPartyRole"/>
          <w:lang w:val="fr-CA"/>
        </w:rPr>
        <w:tab/>
        <w:t>Intervenant</w:t>
      </w:r>
    </w:p>
    <w:p w14:paraId="35844071" w14:textId="77777777" w:rsidR="004D7D95" w:rsidRPr="00A72B6E" w:rsidRDefault="00DD2E20" w:rsidP="00586D16">
      <w:pPr>
        <w:spacing w:after="720"/>
        <w:jc w:val="both"/>
        <w:rPr>
          <w:b/>
          <w:lang w:val="fr-CA"/>
        </w:rPr>
      </w:pPr>
      <w:r>
        <w:rPr>
          <w:b/>
          <w:lang w:val="fr-CA"/>
        </w:rPr>
        <w:t>Répertorié</w:t>
      </w:r>
      <w:r w:rsidR="00E51292">
        <w:rPr>
          <w:b/>
          <w:lang w:val="fr-CA"/>
        </w:rPr>
        <w:t> :</w:t>
      </w:r>
      <w:r>
        <w:rPr>
          <w:b/>
          <w:lang w:val="fr-CA"/>
        </w:rPr>
        <w:t xml:space="preserve"> </w:t>
      </w:r>
      <w:r w:rsidR="004D7D95" w:rsidRPr="00A72B6E">
        <w:rPr>
          <w:rStyle w:val="SCCAppellantForIndexChar"/>
          <w:lang w:val="fr-CA"/>
        </w:rPr>
        <w:t>R.</w:t>
      </w:r>
      <w:r w:rsidR="004D7D95" w:rsidRPr="00BB4C92">
        <w:rPr>
          <w:b/>
          <w:lang w:val="fr-CA"/>
        </w:rPr>
        <w:t xml:space="preserve"> </w:t>
      </w:r>
      <w:r w:rsidR="004D7D95" w:rsidRPr="00BB4C92">
        <w:rPr>
          <w:b/>
          <w:i/>
          <w:lang w:val="fr-CA"/>
        </w:rPr>
        <w:t>c.</w:t>
      </w:r>
      <w:r w:rsidR="004D7D95" w:rsidRPr="00BB4C92">
        <w:rPr>
          <w:b/>
          <w:lang w:val="fr-CA"/>
        </w:rPr>
        <w:t xml:space="preserve"> </w:t>
      </w:r>
      <w:r w:rsidRPr="00A72B6E">
        <w:rPr>
          <w:rStyle w:val="SCCRespondentForIndexChar"/>
          <w:lang w:val="fr-CA"/>
        </w:rPr>
        <w:t>J.D.</w:t>
      </w:r>
    </w:p>
    <w:p w14:paraId="2B482EE0" w14:textId="2156963D" w:rsidR="004D7D95" w:rsidRPr="00A72B6E" w:rsidRDefault="00D17B0E" w:rsidP="00586D16">
      <w:pPr>
        <w:pStyle w:val="SCCSystemYear"/>
        <w:spacing w:after="720"/>
        <w:jc w:val="both"/>
        <w:rPr>
          <w:lang w:val="fr-CA"/>
        </w:rPr>
      </w:pPr>
      <w:r w:rsidRPr="00A72B6E">
        <w:rPr>
          <w:lang w:val="fr-CA"/>
        </w:rPr>
        <w:t>202</w:t>
      </w:r>
      <w:r w:rsidR="00EE3560">
        <w:rPr>
          <w:lang w:val="fr-CA"/>
        </w:rPr>
        <w:t>2</w:t>
      </w:r>
      <w:r w:rsidR="00586D16">
        <w:rPr>
          <w:lang w:val="fr-CA"/>
        </w:rPr>
        <w:t xml:space="preserve"> CSC </w:t>
      </w:r>
      <w:r w:rsidR="002E7E82">
        <w:rPr>
          <w:lang w:val="fr-CA"/>
        </w:rPr>
        <w:t>15</w:t>
      </w:r>
    </w:p>
    <w:p w14:paraId="0947C7DF" w14:textId="77777777" w:rsidR="004D7D95" w:rsidRPr="00A72B6E" w:rsidRDefault="004D7D95" w:rsidP="00586D16">
      <w:pPr>
        <w:spacing w:after="720"/>
        <w:jc w:val="both"/>
        <w:rPr>
          <w:lang w:val="fr-CA"/>
        </w:rPr>
      </w:pPr>
      <w:r w:rsidRPr="00A72B6E">
        <w:rPr>
          <w:lang w:val="fr-CA"/>
        </w:rPr>
        <w:t>N</w:t>
      </w:r>
      <w:r w:rsidRPr="00A72B6E">
        <w:rPr>
          <w:vertAlign w:val="superscript"/>
          <w:lang w:val="fr-CA"/>
        </w:rPr>
        <w:t>o</w:t>
      </w:r>
      <w:r w:rsidRPr="00A72B6E">
        <w:rPr>
          <w:lang w:val="fr-CA"/>
        </w:rPr>
        <w:t xml:space="preserve"> du greffe</w:t>
      </w:r>
      <w:r w:rsidR="00E51292" w:rsidRPr="00A72B6E">
        <w:rPr>
          <w:lang w:val="fr-CA"/>
        </w:rPr>
        <w:t> :</w:t>
      </w:r>
      <w:r w:rsidR="003D16BB" w:rsidRPr="00A72B6E">
        <w:rPr>
          <w:lang w:val="fr-CA"/>
        </w:rPr>
        <w:t xml:space="preserve"> </w:t>
      </w:r>
      <w:r w:rsidRPr="00A72B6E">
        <w:rPr>
          <w:lang w:val="fr-CA"/>
        </w:rPr>
        <w:t>39370.</w:t>
      </w:r>
    </w:p>
    <w:p w14:paraId="3C38857E" w14:textId="007943BD" w:rsidR="00EE3560" w:rsidRDefault="00EE3560" w:rsidP="00085AB6">
      <w:pPr>
        <w:jc w:val="both"/>
        <w:rPr>
          <w:lang w:val="fr-CA"/>
        </w:rPr>
      </w:pPr>
      <w:r>
        <w:rPr>
          <w:lang w:val="fr-CA"/>
        </w:rPr>
        <w:t xml:space="preserve">Audition et jugement : </w:t>
      </w:r>
      <w:r w:rsidR="00D17B0E" w:rsidRPr="00A72B6E">
        <w:rPr>
          <w:lang w:val="fr-CA"/>
        </w:rPr>
        <w:t>10 novembre</w:t>
      </w:r>
      <w:r>
        <w:rPr>
          <w:lang w:val="fr-CA"/>
        </w:rPr>
        <w:t xml:space="preserve"> 2021.</w:t>
      </w:r>
    </w:p>
    <w:p w14:paraId="551A8C34" w14:textId="7372AEE9" w:rsidR="004D7D95" w:rsidRPr="00A72B6E" w:rsidRDefault="00EE3560" w:rsidP="00586D16">
      <w:pPr>
        <w:spacing w:after="720"/>
        <w:jc w:val="both"/>
        <w:rPr>
          <w:lang w:val="fr-CA"/>
        </w:rPr>
      </w:pPr>
      <w:r>
        <w:rPr>
          <w:lang w:val="fr-CA"/>
        </w:rPr>
        <w:t>Motifs déposés :</w:t>
      </w:r>
      <w:r w:rsidR="002870F9">
        <w:rPr>
          <w:lang w:val="fr-CA"/>
        </w:rPr>
        <w:t xml:space="preserve"> 22 avril</w:t>
      </w:r>
      <w:r>
        <w:rPr>
          <w:lang w:val="fr-CA"/>
        </w:rPr>
        <w:t xml:space="preserve"> 2022</w:t>
      </w:r>
      <w:r w:rsidR="00E51292" w:rsidRPr="00A72B6E">
        <w:rPr>
          <w:lang w:val="fr-CA"/>
        </w:rPr>
        <w:t>.</w:t>
      </w:r>
    </w:p>
    <w:p w14:paraId="2E1E66EC" w14:textId="6EFBB0F2" w:rsidR="004D7D95" w:rsidRPr="00A72B6E" w:rsidRDefault="004D7D95" w:rsidP="00586D16">
      <w:pPr>
        <w:spacing w:after="720"/>
        <w:jc w:val="both"/>
        <w:rPr>
          <w:lang w:val="fr-CA"/>
        </w:rPr>
      </w:pPr>
      <w:r w:rsidRPr="00A72B6E">
        <w:rPr>
          <w:lang w:val="fr-CA"/>
        </w:rPr>
        <w:t>Présents</w:t>
      </w:r>
      <w:r w:rsidR="00E51292" w:rsidRPr="00A72B6E">
        <w:rPr>
          <w:lang w:val="fr-CA"/>
        </w:rPr>
        <w:t> :</w:t>
      </w:r>
      <w:r w:rsidR="00586D16">
        <w:rPr>
          <w:lang w:val="fr-CA"/>
        </w:rPr>
        <w:t xml:space="preserve"> </w:t>
      </w:r>
      <w:r w:rsidRPr="00A72B6E">
        <w:rPr>
          <w:lang w:val="fr-CA"/>
        </w:rPr>
        <w:t>Le juge en chef Wagner et les juges Moldaver, Karakatsanis, Côté, Brown, Rowe, Martin, Kasirer et Jamal.</w:t>
      </w:r>
    </w:p>
    <w:p w14:paraId="6FB8F189" w14:textId="77777777" w:rsidR="004D7D95" w:rsidRPr="007E5A3E" w:rsidRDefault="004D7D95" w:rsidP="00586D16">
      <w:pPr>
        <w:spacing w:after="720"/>
        <w:jc w:val="both"/>
        <w:rPr>
          <w:smallCaps/>
          <w:lang w:val="fr-CA"/>
        </w:rPr>
      </w:pPr>
      <w:r w:rsidRPr="007E5A3E">
        <w:rPr>
          <w:smallCaps/>
          <w:lang w:val="fr-CA"/>
        </w:rPr>
        <w:t xml:space="preserve">en appel de la </w:t>
      </w:r>
      <w:r w:rsidRPr="00A72B6E">
        <w:rPr>
          <w:smallCaps/>
          <w:lang w:val="fr-CA"/>
        </w:rPr>
        <w:t>cour d</w:t>
      </w:r>
      <w:r w:rsidR="00E51292" w:rsidRPr="00A72B6E">
        <w:rPr>
          <w:smallCaps/>
          <w:lang w:val="fr-CA"/>
        </w:rPr>
        <w:t>’</w:t>
      </w:r>
      <w:r w:rsidR="007E5A3E" w:rsidRPr="00A72B6E">
        <w:rPr>
          <w:smallCaps/>
          <w:lang w:val="fr-CA"/>
        </w:rPr>
        <w:t xml:space="preserve">appel du </w:t>
      </w:r>
      <w:proofErr w:type="spellStart"/>
      <w:r w:rsidR="007E5A3E" w:rsidRPr="00A72B6E">
        <w:rPr>
          <w:smallCaps/>
          <w:lang w:val="fr-CA"/>
        </w:rPr>
        <w:t>québec</w:t>
      </w:r>
      <w:proofErr w:type="spellEnd"/>
    </w:p>
    <w:p w14:paraId="625C48EE" w14:textId="661388CE" w:rsidR="00EE3560" w:rsidRPr="00B4588F" w:rsidRDefault="00EE3560" w:rsidP="007C0E31">
      <w:pPr>
        <w:pStyle w:val="SCCNormalDoubleSpacing"/>
        <w:spacing w:after="480"/>
        <w:rPr>
          <w:i/>
          <w:lang w:val="fr-CA"/>
        </w:rPr>
      </w:pPr>
      <w:r w:rsidRPr="00BB4C92">
        <w:rPr>
          <w:lang w:val="fr-CA"/>
        </w:rPr>
        <w:tab/>
      </w:r>
      <w:r>
        <w:rPr>
          <w:i/>
          <w:lang w:val="fr-CA"/>
        </w:rPr>
        <w:t xml:space="preserve">Droit criminel — Procès — Continuation des procédures devant un autre </w:t>
      </w:r>
      <w:r w:rsidR="007C0E31">
        <w:rPr>
          <w:i/>
          <w:lang w:val="fr-CA"/>
        </w:rPr>
        <w:t>juge — Preuve — Admissibilité —</w:t>
      </w:r>
      <w:r>
        <w:rPr>
          <w:i/>
          <w:lang w:val="fr-CA"/>
        </w:rPr>
        <w:t xml:space="preserve"> Cadre juridique régissant l’admissibilité en preuve, lors d’un procès recommencé, de transcriptions de témoignages rendus lors d’un </w:t>
      </w:r>
      <w:r>
        <w:rPr>
          <w:i/>
          <w:lang w:val="fr-CA"/>
        </w:rPr>
        <w:lastRenderedPageBreak/>
        <w:t>premier procès, pour valoir comme</w:t>
      </w:r>
      <w:r w:rsidR="007C0E31">
        <w:rPr>
          <w:i/>
          <w:lang w:val="fr-CA"/>
        </w:rPr>
        <w:t xml:space="preserve"> preuve au fond, lorsque celles</w:t>
      </w:r>
      <w:r w:rsidR="007C0E31">
        <w:rPr>
          <w:i/>
          <w:lang w:val="fr-CA"/>
        </w:rPr>
        <w:noBreakHyphen/>
      </w:r>
      <w:r>
        <w:rPr>
          <w:i/>
          <w:lang w:val="fr-CA"/>
        </w:rPr>
        <w:t>ci sont déposées avec le consentement des parties — C</w:t>
      </w:r>
      <w:r w:rsidR="007C0E31">
        <w:rPr>
          <w:i/>
          <w:lang w:val="fr-CA"/>
        </w:rPr>
        <w:t>ode criminel, L.R.C. 1985, c. C</w:t>
      </w:r>
      <w:r w:rsidR="007C0E31">
        <w:rPr>
          <w:i/>
          <w:lang w:val="fr-CA"/>
        </w:rPr>
        <w:noBreakHyphen/>
      </w:r>
      <w:r>
        <w:rPr>
          <w:i/>
          <w:lang w:val="fr-CA"/>
        </w:rPr>
        <w:t>46, art. 669.2(3).</w:t>
      </w:r>
    </w:p>
    <w:p w14:paraId="43209551" w14:textId="0399A618" w:rsidR="00EE3560" w:rsidRDefault="00EE3560" w:rsidP="007C0E31">
      <w:pPr>
        <w:pStyle w:val="SCCNormalDoubleSpacing"/>
        <w:spacing w:after="480"/>
        <w:rPr>
          <w:lang w:val="fr-CA"/>
        </w:rPr>
      </w:pPr>
      <w:r>
        <w:rPr>
          <w:lang w:val="fr-CA"/>
        </w:rPr>
        <w:tab/>
        <w:t xml:space="preserve">En 2012, l’accusé est </w:t>
      </w:r>
      <w:r w:rsidRPr="009C7E79">
        <w:rPr>
          <w:lang w:val="fr-CA"/>
        </w:rPr>
        <w:t>in</w:t>
      </w:r>
      <w:r>
        <w:rPr>
          <w:lang w:val="fr-CA"/>
        </w:rPr>
        <w:t xml:space="preserve">culpé de 18 chefs d’accusation pour des infractions de nature sexuelle commises entre 1974 et 1993 à l’endroit de victimes mineures, </w:t>
      </w:r>
      <w:r w:rsidRPr="005A6CC8">
        <w:rPr>
          <w:lang w:val="fr-CA"/>
        </w:rPr>
        <w:t>dont sa fille et son fils.</w:t>
      </w:r>
      <w:r>
        <w:rPr>
          <w:lang w:val="fr-CA"/>
        </w:rPr>
        <w:t xml:space="preserve"> En mars 2016, l’audition de la preuve de la poursuite s’amorce devant un premier juge de la Cour du Québec. La fille de l’accusé témo</w:t>
      </w:r>
      <w:r w:rsidR="007C0E31">
        <w:rPr>
          <w:lang w:val="fr-CA"/>
        </w:rPr>
        <w:t>igne, tant en chef qu’en contre</w:t>
      </w:r>
      <w:r w:rsidR="007C0E31">
        <w:rPr>
          <w:lang w:val="fr-CA"/>
        </w:rPr>
        <w:noBreakHyphen/>
      </w:r>
      <w:r>
        <w:rPr>
          <w:lang w:val="fr-CA"/>
        </w:rPr>
        <w:t xml:space="preserve">interrogatoire. </w:t>
      </w:r>
      <w:r w:rsidRPr="009C7E79">
        <w:rPr>
          <w:lang w:val="fr-CA"/>
        </w:rPr>
        <w:t>Puis,</w:t>
      </w:r>
      <w:r>
        <w:rPr>
          <w:lang w:val="fr-CA"/>
        </w:rPr>
        <w:t xml:space="preserve"> l’accusé éprouve un malaise et le dossier est remis à une date ultérieure. Pendant la suspension du procès, le juge tombe malade. Plus d’un an plus tard, il est remplacé </w:t>
      </w:r>
      <w:r w:rsidRPr="009C7E79">
        <w:rPr>
          <w:lang w:val="fr-CA"/>
        </w:rPr>
        <w:t>et un nouveau proc</w:t>
      </w:r>
      <w:r>
        <w:rPr>
          <w:lang w:val="fr-CA"/>
        </w:rPr>
        <w:t xml:space="preserve">ès est fixé devant </w:t>
      </w:r>
      <w:r w:rsidRPr="009C7E79">
        <w:rPr>
          <w:lang w:val="fr-CA"/>
        </w:rPr>
        <w:t>un autre</w:t>
      </w:r>
      <w:r w:rsidR="007C0E31">
        <w:rPr>
          <w:lang w:val="fr-CA"/>
        </w:rPr>
        <w:t xml:space="preserve"> juge.</w:t>
      </w:r>
    </w:p>
    <w:p w14:paraId="169F64C2" w14:textId="77F7E7A7" w:rsidR="00EE3560" w:rsidRPr="007961D8" w:rsidRDefault="00EE3560" w:rsidP="007C0E31">
      <w:pPr>
        <w:pStyle w:val="SCCNormalDoubleSpacing"/>
        <w:spacing w:after="480"/>
        <w:rPr>
          <w:lang w:val="fr-CA"/>
        </w:rPr>
      </w:pPr>
      <w:r>
        <w:rPr>
          <w:lang w:val="fr-CA"/>
        </w:rPr>
        <w:tab/>
        <w:t>En vertu</w:t>
      </w:r>
      <w:r w:rsidRPr="00F31C71">
        <w:rPr>
          <w:lang w:val="fr-CA"/>
        </w:rPr>
        <w:t xml:space="preserve"> </w:t>
      </w:r>
      <w:r>
        <w:rPr>
          <w:lang w:val="fr-CA"/>
        </w:rPr>
        <w:t xml:space="preserve">du par. 669.2(3) du </w:t>
      </w:r>
      <w:r>
        <w:rPr>
          <w:i/>
          <w:lang w:val="fr-CA"/>
        </w:rPr>
        <w:t>Code criminel</w:t>
      </w:r>
      <w:r>
        <w:rPr>
          <w:lang w:val="fr-CA"/>
        </w:rPr>
        <w:t xml:space="preserve">, lorsqu’un procès recommence devant un nouveau juge siégeant seul et qu’aucune décision ou aucun verdict n’a été rendu, </w:t>
      </w:r>
      <w:r w:rsidRPr="009C7E79">
        <w:rPr>
          <w:lang w:val="fr-CA"/>
        </w:rPr>
        <w:t>ce dernier</w:t>
      </w:r>
      <w:r>
        <w:rPr>
          <w:lang w:val="fr-CA"/>
        </w:rPr>
        <w:t xml:space="preserve"> doit recommencer le procès comme si aucune preuve sur le fond n’avait été présentée. En l’espèce,</w:t>
      </w:r>
      <w:r w:rsidRPr="009C7E79">
        <w:rPr>
          <w:lang w:val="fr-CA"/>
        </w:rPr>
        <w:t xml:space="preserve"> </w:t>
      </w:r>
      <w:r>
        <w:rPr>
          <w:lang w:val="fr-CA"/>
        </w:rPr>
        <w:t>d’un commun accord, les avocats des parties versent la transcription du témoignage de la fille de l’accusé au dossier, laquelle est admise par le nouveau juge pour valoir comme preuve au fond. Trois autres plaignants témoignent ensuite pour la poursuite, et le juge déclare l’accusé coupable de 9 des 18 chefs d’accusation. Cependant, la Cour d’appel conclut que le nouveau juge n’aurait pas dû accepter que le témoignage de la fille de l’accusé soit versé au dossier sans s’assurer que le consentement de l’accusé était libre, éclairé et non équivoque et que le versement du témoignage en question ne porterait pas atteinte à l’équité du procès. Elle ordonne donc</w:t>
      </w:r>
      <w:r w:rsidRPr="00894C23">
        <w:rPr>
          <w:lang w:val="fr-CA"/>
        </w:rPr>
        <w:t xml:space="preserve"> </w:t>
      </w:r>
      <w:r>
        <w:rPr>
          <w:lang w:val="fr-CA"/>
        </w:rPr>
        <w:t>la tenue d’un nouveau procès relativement aux chefs d’accusation concernant la fille de l’accusé (chefs 1 et 2), mais aussi relativement à ceux visant le fils de l’accusé (chefs 9 à 13) puisqu’un des gestes reprochés à l’accusé est lié à un événement mettant en cause à la fois l</w:t>
      </w:r>
      <w:r w:rsidR="007C0E31">
        <w:rPr>
          <w:lang w:val="fr-CA"/>
        </w:rPr>
        <w:t>a fille et le fils de l’accusé.</w:t>
      </w:r>
    </w:p>
    <w:p w14:paraId="3878B89B" w14:textId="1B4B4432" w:rsidR="00EE3560" w:rsidRPr="004D7D95" w:rsidRDefault="00EE3560" w:rsidP="007C0E31">
      <w:pPr>
        <w:pStyle w:val="SCCNormalDoubleSpacing"/>
        <w:spacing w:after="480"/>
        <w:rPr>
          <w:lang w:val="fr-CA"/>
        </w:rPr>
      </w:pPr>
      <w:r>
        <w:rPr>
          <w:lang w:val="fr-CA"/>
        </w:rPr>
        <w:tab/>
      </w:r>
      <w:r w:rsidRPr="00B4588F">
        <w:rPr>
          <w:i/>
          <w:lang w:val="fr-CA"/>
        </w:rPr>
        <w:t>Arrêt </w:t>
      </w:r>
      <w:r>
        <w:rPr>
          <w:lang w:val="fr-CA"/>
        </w:rPr>
        <w:t>:</w:t>
      </w:r>
      <w:r w:rsidRPr="004D7D95">
        <w:rPr>
          <w:lang w:val="fr-CA"/>
        </w:rPr>
        <w:t xml:space="preserve"> Le pourvoi est</w:t>
      </w:r>
      <w:r>
        <w:rPr>
          <w:lang w:val="fr-CA"/>
        </w:rPr>
        <w:t xml:space="preserve"> accueilli et les verdicts de culpabilité et les peines concernant les chefs d’accusation 1, 2 et 9 à 13 sont rétablis.</w:t>
      </w:r>
    </w:p>
    <w:p w14:paraId="11223B57" w14:textId="3DCD5335" w:rsidR="00EE3560" w:rsidRDefault="00EE3560" w:rsidP="007C0E31">
      <w:pPr>
        <w:pStyle w:val="SCCNormalDoubleSpacing"/>
        <w:spacing w:after="480"/>
        <w:rPr>
          <w:lang w:val="fr-CA"/>
        </w:rPr>
      </w:pPr>
      <w:r w:rsidRPr="004D7D95">
        <w:rPr>
          <w:lang w:val="fr-CA"/>
        </w:rPr>
        <w:tab/>
      </w:r>
      <w:r>
        <w:rPr>
          <w:lang w:val="fr-CA"/>
        </w:rPr>
        <w:t xml:space="preserve">Le paragraphe 669.2(3) du </w:t>
      </w:r>
      <w:r>
        <w:rPr>
          <w:i/>
          <w:lang w:val="fr-CA"/>
        </w:rPr>
        <w:t xml:space="preserve">Code </w:t>
      </w:r>
      <w:r w:rsidRPr="00755D7B">
        <w:rPr>
          <w:i/>
          <w:lang w:val="fr-CA"/>
        </w:rPr>
        <w:t>criminel</w:t>
      </w:r>
      <w:r>
        <w:rPr>
          <w:lang w:val="fr-CA"/>
        </w:rPr>
        <w:t xml:space="preserve"> </w:t>
      </w:r>
      <w:r w:rsidRPr="00755D7B">
        <w:rPr>
          <w:lang w:val="fr-CA"/>
        </w:rPr>
        <w:t>n’empêche</w:t>
      </w:r>
      <w:r>
        <w:rPr>
          <w:lang w:val="fr-CA"/>
        </w:rPr>
        <w:t xml:space="preserve"> pas que la transcription d’un témoignage rendu lors d’un premier procès soit déposée comme preuve au fond lors du second procès.</w:t>
      </w:r>
      <w:r w:rsidRPr="00F31C71">
        <w:rPr>
          <w:lang w:val="fr-CA"/>
        </w:rPr>
        <w:t xml:space="preserve"> </w:t>
      </w:r>
      <w:r>
        <w:rPr>
          <w:lang w:val="fr-CA"/>
        </w:rPr>
        <w:t>Il n’y a pas lieu d’imposer une enquête non prévue par la loi, comme l’a fait la Cour d’appel, lorsque les parties consentent au dépôt de la transcription. Une telle enquête dénature le rôle du juge, minimise sa capacité à apprécier la transcription d’un témoignage antérieur et va à l’encontre de la présomption de compétence de l’avocat. La renonciation à un droit de nature procédurale formulée par l’avocat de l’accusé est présumée volontaire, à moins d’une preuve contraire.</w:t>
      </w:r>
    </w:p>
    <w:p w14:paraId="07118ED6" w14:textId="353334F3" w:rsidR="00EE3560" w:rsidRDefault="00EE3560" w:rsidP="007C0E31">
      <w:pPr>
        <w:pStyle w:val="SCCNormalDoubleSpacing"/>
        <w:spacing w:after="480"/>
        <w:rPr>
          <w:lang w:val="fr-CA"/>
        </w:rPr>
      </w:pPr>
      <w:r>
        <w:rPr>
          <w:lang w:val="fr-CA"/>
        </w:rPr>
        <w:tab/>
        <w:t xml:space="preserve">Le sens ordinaire et grammatical du libellé de l’art. 669.2 </w:t>
      </w:r>
      <w:proofErr w:type="gramStart"/>
      <w:r>
        <w:rPr>
          <w:lang w:val="fr-CA"/>
        </w:rPr>
        <w:t>est</w:t>
      </w:r>
      <w:proofErr w:type="gramEnd"/>
      <w:r>
        <w:rPr>
          <w:lang w:val="fr-CA"/>
        </w:rPr>
        <w:t xml:space="preserve"> clair et l’intention du législateur est manifeste. Lorsque le procès se déroule devant un juge seul,</w:t>
      </w:r>
      <w:r w:rsidRPr="00F31C71">
        <w:rPr>
          <w:lang w:val="fr-CA"/>
        </w:rPr>
        <w:t xml:space="preserve"> </w:t>
      </w:r>
      <w:r>
        <w:rPr>
          <w:lang w:val="fr-CA"/>
        </w:rPr>
        <w:t xml:space="preserve">le nouveau juge doit recommencer le procès comme si aucune preuve sur le fond n’avait été présentée et ne peut imposer aux parties, ou à l’une d’elles, de verser la preuve faite lors du premier procès. Or, puisque la disposition concerne la juridiction et non la preuve, elle ne fait pas obstacle à l’application des règles habituelles en matière d’administration de la preuve. Dès le début du second procès, tant la poursuite que la défense sont libres de procéder à leur guise en ce qui a trait à l’administration de </w:t>
      </w:r>
      <w:r w:rsidR="00F276BC">
        <w:rPr>
          <w:lang w:val="fr-CA"/>
        </w:rPr>
        <w:t>leur preuve;</w:t>
      </w:r>
      <w:r>
        <w:rPr>
          <w:lang w:val="fr-CA"/>
        </w:rPr>
        <w:t xml:space="preserve"> elles peuvent choisir de procéder par le dépôt de la transcription des témoignages antérieurs. Ce</w:t>
      </w:r>
      <w:r w:rsidRPr="00F31C71">
        <w:rPr>
          <w:lang w:val="fr-CA"/>
        </w:rPr>
        <w:t xml:space="preserve"> </w:t>
      </w:r>
      <w:r>
        <w:rPr>
          <w:lang w:val="fr-CA"/>
        </w:rPr>
        <w:t>choix est une décision stratégique similaire à d’autres décisions de ce type dans lesquelles le juge n’a pas à s’immiscer. Pour que la transcription d’un témoignage rendu lors du premier procès puisse être admise comme preuve au fond dans le cadre du second procès, il suffit que cette transcription soit dûment déposée et que les parties y consentent.</w:t>
      </w:r>
    </w:p>
    <w:p w14:paraId="1274D932" w14:textId="2C0C3574" w:rsidR="00EE3560" w:rsidRDefault="00EE3560" w:rsidP="007C0E31">
      <w:pPr>
        <w:pStyle w:val="SCCNormalDoubleSpacing"/>
        <w:spacing w:after="480"/>
        <w:rPr>
          <w:lang w:val="fr-CA"/>
        </w:rPr>
      </w:pPr>
      <w:r>
        <w:rPr>
          <w:lang w:val="fr-CA"/>
        </w:rPr>
        <w:tab/>
        <w:t>L’article 669.2 ne retire toutefois pas au juge son pouvoir discrétionnaire résiduel. En tant que gardien de l’équité du procès, le juge conserve toujours le pouvoir de faire enquête, de</w:t>
      </w:r>
      <w:r w:rsidR="007C0E31">
        <w:rPr>
          <w:lang w:val="fr-CA"/>
        </w:rPr>
        <w:t xml:space="preserve"> son propre chef, même si celle</w:t>
      </w:r>
      <w:r w:rsidR="007C0E31">
        <w:rPr>
          <w:lang w:val="fr-CA"/>
        </w:rPr>
        <w:noBreakHyphen/>
      </w:r>
      <w:r>
        <w:rPr>
          <w:lang w:val="fr-CA"/>
        </w:rPr>
        <w:t>ci n’est pas requise par la loi ou la common law. Lorsque certains indices portent à croire que le consentement de l’accusé pourrait être vicié, le tribunal devrait user de sa discrétion résiduelle et investiguer davantage afin de s’assurer que le consentement de l’accusé à la procédure est libre et éclairé. L’article 669.2 ne retire pas au juge le pouvoir de refuser le dépôt d’une transcription s’il est d’avis que son effet préjudiciable minerait l’équité du procès. S’il constate une atteinte à l’équité du procès, il doit intervenir.</w:t>
      </w:r>
    </w:p>
    <w:p w14:paraId="183EE411" w14:textId="2BD1CB1F" w:rsidR="00EE3560" w:rsidRDefault="00EE3560" w:rsidP="007C0E31">
      <w:pPr>
        <w:pStyle w:val="SCCNormalDoubleSpacing"/>
        <w:spacing w:after="480"/>
        <w:rPr>
          <w:lang w:val="fr-CA"/>
        </w:rPr>
      </w:pPr>
      <w:r>
        <w:rPr>
          <w:lang w:val="fr-CA"/>
        </w:rPr>
        <w:tab/>
        <w:t xml:space="preserve">En l’espèce, le nouveau juge n’a pas, unilatéralement, imposé aux parties de verser les transcriptions du premier procès. La transcription </w:t>
      </w:r>
      <w:r w:rsidR="00F276BC">
        <w:rPr>
          <w:lang w:val="fr-CA"/>
        </w:rPr>
        <w:t xml:space="preserve">du témoignage </w:t>
      </w:r>
      <w:r>
        <w:rPr>
          <w:lang w:val="fr-CA"/>
        </w:rPr>
        <w:t>de la fille de l’accusé a été dûment déposée au dossier et les parties y ont consenti. Il n’y avait aucun indice qui aurait pu mener le nouveau</w:t>
      </w:r>
      <w:r w:rsidRPr="00F31C71">
        <w:rPr>
          <w:lang w:val="fr-CA"/>
        </w:rPr>
        <w:t xml:space="preserve"> </w:t>
      </w:r>
      <w:r>
        <w:rPr>
          <w:lang w:val="fr-CA"/>
        </w:rPr>
        <w:t>juge à remettre en question le consentement de l’accusé. Le second procès de l’accusé était donc</w:t>
      </w:r>
      <w:r w:rsidRPr="00233A33">
        <w:rPr>
          <w:lang w:val="fr-CA"/>
        </w:rPr>
        <w:t xml:space="preserve"> </w:t>
      </w:r>
      <w:r>
        <w:rPr>
          <w:lang w:val="fr-CA"/>
        </w:rPr>
        <w:t>équitable.</w:t>
      </w:r>
      <w:r w:rsidRPr="00AA0AD1">
        <w:rPr>
          <w:lang w:val="fr-CA"/>
        </w:rPr>
        <w:t xml:space="preserve"> </w:t>
      </w:r>
    </w:p>
    <w:p w14:paraId="312FC272" w14:textId="77777777" w:rsidR="004D7D95" w:rsidRPr="004D7D95" w:rsidRDefault="004D7D95" w:rsidP="00586D16">
      <w:pPr>
        <w:pStyle w:val="SCCNormalDoubleSpacing"/>
        <w:widowControl w:val="0"/>
        <w:spacing w:after="720" w:line="240" w:lineRule="auto"/>
        <w:rPr>
          <w:b/>
          <w:lang w:val="fr-CA"/>
        </w:rPr>
      </w:pPr>
      <w:r w:rsidRPr="004D7D95">
        <w:rPr>
          <w:b/>
          <w:lang w:val="fr-CA"/>
        </w:rPr>
        <w:t>Jurisprudence</w:t>
      </w:r>
    </w:p>
    <w:p w14:paraId="0260D45D" w14:textId="7F759543" w:rsidR="004D7D95" w:rsidRPr="004D7D95" w:rsidRDefault="004D7D95" w:rsidP="00586D16">
      <w:pPr>
        <w:pStyle w:val="SCCNormalDoubleSpacing"/>
        <w:widowControl w:val="0"/>
        <w:spacing w:after="480"/>
        <w:rPr>
          <w:b/>
          <w:lang w:val="fr-CA"/>
        </w:rPr>
      </w:pPr>
      <w:r w:rsidRPr="004D7D95">
        <w:rPr>
          <w:lang w:val="fr-CA"/>
        </w:rPr>
        <w:tab/>
      </w:r>
      <w:r w:rsidRPr="004D7D95">
        <w:rPr>
          <w:b/>
          <w:lang w:val="fr-CA"/>
        </w:rPr>
        <w:t>Arrêts</w:t>
      </w:r>
      <w:r w:rsidR="00C151E5">
        <w:rPr>
          <w:b/>
          <w:lang w:val="fr-CA"/>
        </w:rPr>
        <w:t xml:space="preserve"> examinés</w:t>
      </w:r>
      <w:r w:rsidR="00E51292">
        <w:rPr>
          <w:b/>
          <w:lang w:val="fr-CA"/>
        </w:rPr>
        <w:t> :</w:t>
      </w:r>
      <w:r w:rsidRPr="004D7D95">
        <w:rPr>
          <w:lang w:val="fr-CA"/>
        </w:rPr>
        <w:t xml:space="preserve"> </w:t>
      </w:r>
      <w:r w:rsidR="00AD5E4E" w:rsidRPr="00A72B6E">
        <w:rPr>
          <w:i/>
          <w:lang w:val="fr-CA"/>
        </w:rPr>
        <w:t>Gauthier</w:t>
      </w:r>
      <w:r w:rsidR="009426F4" w:rsidRPr="00A72B6E">
        <w:rPr>
          <w:i/>
          <w:lang w:val="fr-CA"/>
        </w:rPr>
        <w:t xml:space="preserve"> c.</w:t>
      </w:r>
      <w:r w:rsidR="00AD5E4E">
        <w:rPr>
          <w:i/>
          <w:lang w:val="fr-CA"/>
        </w:rPr>
        <w:t xml:space="preserve"> </w:t>
      </w:r>
      <w:r w:rsidR="00AD5E4E" w:rsidRPr="00A72B6E">
        <w:rPr>
          <w:i/>
          <w:lang w:val="fr-CA"/>
        </w:rPr>
        <w:t>R.</w:t>
      </w:r>
      <w:r w:rsidR="009426F4" w:rsidRPr="00A72B6E">
        <w:rPr>
          <w:lang w:val="fr-CA"/>
        </w:rPr>
        <w:t>, 2020 QCCA 751</w:t>
      </w:r>
      <w:r w:rsidR="0091634F" w:rsidRPr="00A72B6E">
        <w:rPr>
          <w:lang w:val="fr-CA"/>
        </w:rPr>
        <w:t>;</w:t>
      </w:r>
      <w:r w:rsidR="009426F4" w:rsidRPr="00A72B6E">
        <w:rPr>
          <w:lang w:val="fr-CA"/>
        </w:rPr>
        <w:t xml:space="preserve"> </w:t>
      </w:r>
      <w:proofErr w:type="spellStart"/>
      <w:r w:rsidR="00AD5E4E" w:rsidRPr="00A72B6E">
        <w:rPr>
          <w:i/>
          <w:lang w:val="fr-CA"/>
        </w:rPr>
        <w:t>Jetté</w:t>
      </w:r>
      <w:proofErr w:type="spellEnd"/>
      <w:r w:rsidR="005D390B" w:rsidRPr="00A72B6E">
        <w:rPr>
          <w:i/>
          <w:lang w:val="fr-CA"/>
        </w:rPr>
        <w:t xml:space="preserve"> c. </w:t>
      </w:r>
      <w:r w:rsidR="00AD5E4E" w:rsidRPr="00A72B6E">
        <w:rPr>
          <w:i/>
          <w:lang w:val="fr-CA"/>
        </w:rPr>
        <w:t>R.</w:t>
      </w:r>
      <w:r w:rsidR="009426F4" w:rsidRPr="00A72B6E">
        <w:rPr>
          <w:lang w:val="fr-CA"/>
        </w:rPr>
        <w:t>, 2020 QCCA 750</w:t>
      </w:r>
      <w:r w:rsidR="0091634F" w:rsidRPr="00A72B6E">
        <w:rPr>
          <w:lang w:val="fr-CA"/>
        </w:rPr>
        <w:t>;</w:t>
      </w:r>
      <w:r w:rsidR="009426F4" w:rsidRPr="00A72B6E">
        <w:rPr>
          <w:lang w:val="fr-CA"/>
        </w:rPr>
        <w:t xml:space="preserve"> </w:t>
      </w:r>
      <w:r w:rsidR="00F3194A">
        <w:rPr>
          <w:b/>
          <w:lang w:val="fr-CA"/>
        </w:rPr>
        <w:t xml:space="preserve">arrêts </w:t>
      </w:r>
      <w:r w:rsidR="00F3194A" w:rsidRPr="004D7D95">
        <w:rPr>
          <w:b/>
          <w:lang w:val="fr-CA"/>
        </w:rPr>
        <w:t>mentionnés</w:t>
      </w:r>
      <w:r w:rsidR="00F3194A">
        <w:rPr>
          <w:b/>
          <w:lang w:val="fr-CA"/>
        </w:rPr>
        <w:t> :</w:t>
      </w:r>
      <w:r w:rsidR="00F3194A" w:rsidRPr="00085AB6">
        <w:rPr>
          <w:i/>
          <w:lang w:val="fr-CA"/>
        </w:rPr>
        <w:t xml:space="preserve"> </w:t>
      </w:r>
      <w:proofErr w:type="spellStart"/>
      <w:r w:rsidR="005D3F2E" w:rsidRPr="00743523">
        <w:rPr>
          <w:i/>
          <w:lang w:val="fr-CA"/>
        </w:rPr>
        <w:t>Rizzo</w:t>
      </w:r>
      <w:proofErr w:type="spellEnd"/>
      <w:r w:rsidR="005D3F2E" w:rsidRPr="00743523">
        <w:rPr>
          <w:i/>
          <w:lang w:val="fr-CA"/>
        </w:rPr>
        <w:t xml:space="preserve"> &amp; </w:t>
      </w:r>
      <w:proofErr w:type="spellStart"/>
      <w:r w:rsidR="005D3F2E" w:rsidRPr="00743523">
        <w:rPr>
          <w:i/>
          <w:lang w:val="fr-CA"/>
        </w:rPr>
        <w:t>Rizzo</w:t>
      </w:r>
      <w:proofErr w:type="spellEnd"/>
      <w:r w:rsidR="005D3F2E" w:rsidRPr="00743523">
        <w:rPr>
          <w:i/>
          <w:lang w:val="fr-CA"/>
        </w:rPr>
        <w:t xml:space="preserve"> </w:t>
      </w:r>
      <w:proofErr w:type="spellStart"/>
      <w:r w:rsidR="005D3F2E" w:rsidRPr="00743523">
        <w:rPr>
          <w:i/>
          <w:lang w:val="fr-CA"/>
        </w:rPr>
        <w:t>Shoes</w:t>
      </w:r>
      <w:proofErr w:type="spellEnd"/>
      <w:r w:rsidR="005D3F2E" w:rsidRPr="00743523">
        <w:rPr>
          <w:i/>
          <w:lang w:val="fr-CA"/>
        </w:rPr>
        <w:t xml:space="preserve"> Ltd. (Re)</w:t>
      </w:r>
      <w:r w:rsidR="005D3F2E" w:rsidRPr="00743523">
        <w:rPr>
          <w:lang w:val="fr-CA"/>
        </w:rPr>
        <w:t>, [1998] 1 R.C.S. 27</w:t>
      </w:r>
      <w:r w:rsidR="0091634F" w:rsidRPr="00743523">
        <w:rPr>
          <w:lang w:val="fr-CA"/>
        </w:rPr>
        <w:t>;</w:t>
      </w:r>
      <w:r w:rsidR="005D3F2E" w:rsidRPr="00743523">
        <w:rPr>
          <w:lang w:val="fr-CA"/>
        </w:rPr>
        <w:t xml:space="preserve"> </w:t>
      </w:r>
      <w:r w:rsidR="00B44B20" w:rsidRPr="00743523">
        <w:rPr>
          <w:i/>
          <w:iCs/>
          <w:lang w:val="fr-CA"/>
        </w:rPr>
        <w:t xml:space="preserve">Bell </w:t>
      </w:r>
      <w:proofErr w:type="spellStart"/>
      <w:r w:rsidR="00B44B20" w:rsidRPr="00743523">
        <w:rPr>
          <w:i/>
          <w:iCs/>
          <w:lang w:val="fr-CA"/>
        </w:rPr>
        <w:t>ExpressVu</w:t>
      </w:r>
      <w:proofErr w:type="spellEnd"/>
      <w:r w:rsidR="00B44B20" w:rsidRPr="00743523">
        <w:rPr>
          <w:i/>
          <w:iCs/>
          <w:lang w:val="fr-CA"/>
        </w:rPr>
        <w:t xml:space="preserve"> Limited Partnership c. Rex</w:t>
      </w:r>
      <w:r w:rsidR="00B44B20" w:rsidRPr="00743523">
        <w:rPr>
          <w:lang w:val="fr-CA"/>
        </w:rPr>
        <w:t>, 2002 CSC 42, [2002] 2 R.C.S. 559</w:t>
      </w:r>
      <w:r w:rsidR="00B44B20">
        <w:rPr>
          <w:lang w:val="fr-CA"/>
        </w:rPr>
        <w:t xml:space="preserve">; </w:t>
      </w:r>
      <w:r w:rsidR="0091634F" w:rsidRPr="00B82651">
        <w:rPr>
          <w:i/>
          <w:lang w:val="fr-FR"/>
        </w:rPr>
        <w:t xml:space="preserve">R. c. </w:t>
      </w:r>
      <w:proofErr w:type="spellStart"/>
      <w:r w:rsidR="0091634F" w:rsidRPr="00B82651">
        <w:rPr>
          <w:i/>
          <w:lang w:val="fr-FR"/>
        </w:rPr>
        <w:t>Youvarajah</w:t>
      </w:r>
      <w:proofErr w:type="spellEnd"/>
      <w:r w:rsidR="0091634F" w:rsidRPr="00B82651">
        <w:rPr>
          <w:lang w:val="fr-FR"/>
        </w:rPr>
        <w:t>, 2013 CSC 41,</w:t>
      </w:r>
      <w:r w:rsidR="0091634F">
        <w:rPr>
          <w:lang w:val="fr-FR"/>
        </w:rPr>
        <w:t xml:space="preserve"> </w:t>
      </w:r>
      <w:r w:rsidR="0091634F" w:rsidRPr="00A72B6E">
        <w:rPr>
          <w:lang w:val="fr-CA"/>
        </w:rPr>
        <w:t>[2013] 2 R.C</w:t>
      </w:r>
      <w:r w:rsidR="004310FD" w:rsidRPr="00A72B6E">
        <w:rPr>
          <w:lang w:val="fr-CA"/>
        </w:rPr>
        <w:t>.S</w:t>
      </w:r>
      <w:r w:rsidR="0091634F" w:rsidRPr="00A72B6E">
        <w:rPr>
          <w:lang w:val="fr-CA"/>
        </w:rPr>
        <w:t xml:space="preserve">. 720; </w:t>
      </w:r>
      <w:r w:rsidR="004310FD">
        <w:rPr>
          <w:i/>
          <w:lang w:val="fr-FR"/>
        </w:rPr>
        <w:t>R. c</w:t>
      </w:r>
      <w:r w:rsidR="004310FD" w:rsidRPr="00B82651">
        <w:rPr>
          <w:i/>
          <w:lang w:val="fr-FR"/>
        </w:rPr>
        <w:t>. A.A</w:t>
      </w:r>
      <w:r w:rsidR="004310FD" w:rsidRPr="00B82651">
        <w:rPr>
          <w:lang w:val="fr-FR"/>
        </w:rPr>
        <w:t>., 2012 ONSC 3270</w:t>
      </w:r>
      <w:r w:rsidR="004310FD">
        <w:rPr>
          <w:lang w:val="fr-FR"/>
        </w:rPr>
        <w:t>;</w:t>
      </w:r>
      <w:r w:rsidR="0091634F" w:rsidRPr="00A72B6E">
        <w:rPr>
          <w:lang w:val="fr-CA"/>
        </w:rPr>
        <w:t xml:space="preserve"> </w:t>
      </w:r>
      <w:r w:rsidR="00867D1C" w:rsidRPr="00A72B6E">
        <w:rPr>
          <w:i/>
          <w:lang w:val="fr-CA"/>
        </w:rPr>
        <w:t>R. c. Wong</w:t>
      </w:r>
      <w:r w:rsidR="00867D1C" w:rsidRPr="00A72B6E">
        <w:rPr>
          <w:lang w:val="fr-CA"/>
        </w:rPr>
        <w:t xml:space="preserve">, 2018 CSC 25, [2018] 1 R.C.S. 696; </w:t>
      </w:r>
      <w:r w:rsidR="004D4D6A" w:rsidRPr="00A72B6E">
        <w:rPr>
          <w:i/>
          <w:lang w:val="fr-CA"/>
        </w:rPr>
        <w:t>Dallaire c. R.</w:t>
      </w:r>
      <w:r w:rsidR="00867D1C" w:rsidRPr="00A72B6E">
        <w:rPr>
          <w:lang w:val="fr-CA"/>
        </w:rPr>
        <w:t>, 2021 QCCA 785;</w:t>
      </w:r>
      <w:r w:rsidR="001C76EF" w:rsidRPr="00A72B6E">
        <w:rPr>
          <w:lang w:val="fr-CA"/>
        </w:rPr>
        <w:t xml:space="preserve"> </w:t>
      </w:r>
      <w:r w:rsidR="001C76EF" w:rsidRPr="00A72B6E">
        <w:rPr>
          <w:i/>
          <w:lang w:val="fr-CA"/>
        </w:rPr>
        <w:t>Park</w:t>
      </w:r>
      <w:r w:rsidR="00F3194A">
        <w:rPr>
          <w:i/>
          <w:lang w:val="fr-CA"/>
        </w:rPr>
        <w:t xml:space="preserve"> c. La Reine</w:t>
      </w:r>
      <w:r w:rsidR="001C76EF" w:rsidRPr="00A72B6E">
        <w:rPr>
          <w:lang w:val="fr-CA"/>
        </w:rPr>
        <w:t>, [19</w:t>
      </w:r>
      <w:r w:rsidR="00F3194A">
        <w:rPr>
          <w:lang w:val="fr-CA"/>
        </w:rPr>
        <w:t>81</w:t>
      </w:r>
      <w:r w:rsidR="001C76EF" w:rsidRPr="00A72B6E">
        <w:rPr>
          <w:lang w:val="fr-CA"/>
        </w:rPr>
        <w:t xml:space="preserve">] 2 R.C.S. </w:t>
      </w:r>
      <w:r w:rsidR="00F3194A">
        <w:rPr>
          <w:lang w:val="fr-CA"/>
        </w:rPr>
        <w:t>64</w:t>
      </w:r>
      <w:r w:rsidR="001C76EF" w:rsidRPr="00A72B6E">
        <w:rPr>
          <w:lang w:val="fr-CA"/>
        </w:rPr>
        <w:t>;</w:t>
      </w:r>
      <w:r w:rsidR="00867D1C" w:rsidRPr="00A72B6E">
        <w:rPr>
          <w:lang w:val="fr-CA"/>
        </w:rPr>
        <w:t xml:space="preserve"> </w:t>
      </w:r>
      <w:r w:rsidR="00F3194A">
        <w:rPr>
          <w:i/>
          <w:lang w:val="fr-CA"/>
        </w:rPr>
        <w:t xml:space="preserve">R. c. White </w:t>
      </w:r>
      <w:r w:rsidR="00F3194A">
        <w:rPr>
          <w:lang w:val="fr-CA"/>
        </w:rPr>
        <w:t xml:space="preserve">(1997), 32 O.R. (3d) 722; </w:t>
      </w:r>
      <w:r w:rsidR="009207FF" w:rsidRPr="00A72B6E">
        <w:rPr>
          <w:i/>
          <w:lang w:val="fr-CA"/>
        </w:rPr>
        <w:t xml:space="preserve">R. c. </w:t>
      </w:r>
      <w:proofErr w:type="spellStart"/>
      <w:r w:rsidR="009207FF" w:rsidRPr="00A72B6E">
        <w:rPr>
          <w:i/>
          <w:lang w:val="fr-CA"/>
        </w:rPr>
        <w:t>Verma</w:t>
      </w:r>
      <w:proofErr w:type="spellEnd"/>
      <w:r w:rsidR="009207FF" w:rsidRPr="00A72B6E">
        <w:rPr>
          <w:lang w:val="fr-CA"/>
        </w:rPr>
        <w:t>, 2016 BCCA 220</w:t>
      </w:r>
      <w:r w:rsidR="004E3A37">
        <w:rPr>
          <w:lang w:val="fr-CA"/>
        </w:rPr>
        <w:t xml:space="preserve">, </w:t>
      </w:r>
      <w:r w:rsidR="00B9753A" w:rsidRPr="00A72B6E">
        <w:rPr>
          <w:lang w:val="fr-CA"/>
        </w:rPr>
        <w:t xml:space="preserve">336 C.C.C. </w:t>
      </w:r>
      <w:r w:rsidR="004E3A37">
        <w:rPr>
          <w:lang w:val="fr-CA"/>
        </w:rPr>
        <w:t xml:space="preserve">(3d) </w:t>
      </w:r>
      <w:r w:rsidR="00B9753A" w:rsidRPr="00A72B6E">
        <w:rPr>
          <w:lang w:val="fr-CA"/>
        </w:rPr>
        <w:t>441</w:t>
      </w:r>
      <w:r w:rsidR="009207FF" w:rsidRPr="00A72B6E">
        <w:rPr>
          <w:lang w:val="fr-CA"/>
        </w:rPr>
        <w:t xml:space="preserve">; </w:t>
      </w:r>
      <w:r w:rsidR="002F7972" w:rsidRPr="00A72B6E">
        <w:rPr>
          <w:i/>
          <w:lang w:val="fr-CA"/>
        </w:rPr>
        <w:t>Matheson c. La Reine</w:t>
      </w:r>
      <w:r w:rsidR="002F7972" w:rsidRPr="00A72B6E">
        <w:rPr>
          <w:lang w:val="fr-CA"/>
        </w:rPr>
        <w:t xml:space="preserve">, [1981] 2 R.C.S. 214; </w:t>
      </w:r>
      <w:r w:rsidR="009D6577" w:rsidRPr="00B82651">
        <w:rPr>
          <w:i/>
          <w:lang w:val="fr-FR"/>
        </w:rPr>
        <w:t>R. c. G.D.B.</w:t>
      </w:r>
      <w:r w:rsidR="009D6577" w:rsidRPr="00B82651">
        <w:rPr>
          <w:lang w:val="fr-FR"/>
        </w:rPr>
        <w:t xml:space="preserve">, 2000 CSC 22, </w:t>
      </w:r>
      <w:r w:rsidR="009D6577" w:rsidRPr="00A72B6E">
        <w:rPr>
          <w:lang w:val="fr-CA"/>
        </w:rPr>
        <w:t xml:space="preserve">[2000] 1 R.C.S. 520; </w:t>
      </w:r>
      <w:r w:rsidR="009D6577" w:rsidRPr="00A72B6E">
        <w:rPr>
          <w:i/>
          <w:lang w:val="fr-CA"/>
        </w:rPr>
        <w:t>R. c. Anderson</w:t>
      </w:r>
      <w:r w:rsidR="009D6577" w:rsidRPr="00A72B6E">
        <w:rPr>
          <w:lang w:val="fr-CA"/>
        </w:rPr>
        <w:t xml:space="preserve">, 2014 CSC 41, [2014] 2 R.C.S. 167; </w:t>
      </w:r>
      <w:r w:rsidR="00CF5311" w:rsidRPr="00A72B6E">
        <w:rPr>
          <w:i/>
          <w:lang w:val="fr-CA"/>
        </w:rPr>
        <w:t>R. c. R.V.</w:t>
      </w:r>
      <w:r w:rsidR="00CF5311" w:rsidRPr="00A72B6E">
        <w:rPr>
          <w:lang w:val="fr-CA"/>
        </w:rPr>
        <w:t xml:space="preserve">, 2019 CSC 41, [2019] 3 R.C.S. 237; </w:t>
      </w:r>
      <w:r w:rsidR="00370AC3" w:rsidRPr="00A72B6E">
        <w:rPr>
          <w:i/>
          <w:lang w:val="fr-CA"/>
        </w:rPr>
        <w:t>R. c. Leblanc</w:t>
      </w:r>
      <w:r w:rsidR="00370AC3" w:rsidRPr="00A72B6E">
        <w:rPr>
          <w:lang w:val="fr-CA"/>
        </w:rPr>
        <w:t>, 2010 QCCA 1891</w:t>
      </w:r>
      <w:r w:rsidR="0089251E">
        <w:rPr>
          <w:lang w:val="fr-CA"/>
        </w:rPr>
        <w:t>, 78 C.R. (6th) 35</w:t>
      </w:r>
      <w:r w:rsidR="00971312" w:rsidRPr="00A72B6E">
        <w:rPr>
          <w:lang w:val="fr-CA"/>
        </w:rPr>
        <w:t>9</w:t>
      </w:r>
      <w:r w:rsidR="00370AC3" w:rsidRPr="00A72B6E">
        <w:rPr>
          <w:lang w:val="fr-CA"/>
        </w:rPr>
        <w:t xml:space="preserve">; </w:t>
      </w:r>
      <w:r w:rsidR="0089251E">
        <w:rPr>
          <w:i/>
          <w:lang w:val="fr-CA"/>
        </w:rPr>
        <w:t>Guenette c</w:t>
      </w:r>
      <w:r w:rsidR="0089251E" w:rsidRPr="008D3375">
        <w:rPr>
          <w:i/>
          <w:lang w:val="fr-CA"/>
        </w:rPr>
        <w:t xml:space="preserve">. </w:t>
      </w:r>
      <w:r w:rsidR="008D3375" w:rsidRPr="008D3375">
        <w:rPr>
          <w:i/>
          <w:lang w:val="fr-CA"/>
        </w:rPr>
        <w:t>R.</w:t>
      </w:r>
      <w:r w:rsidR="004503D5" w:rsidRPr="008D3375">
        <w:rPr>
          <w:lang w:val="fr-CA"/>
        </w:rPr>
        <w:t>,</w:t>
      </w:r>
      <w:r w:rsidR="004503D5" w:rsidRPr="00A72B6E">
        <w:rPr>
          <w:lang w:val="fr-CA"/>
        </w:rPr>
        <w:t xml:space="preserve"> 2002 CanLII 7883; </w:t>
      </w:r>
      <w:r w:rsidR="00E2317C" w:rsidRPr="00A72B6E">
        <w:rPr>
          <w:i/>
          <w:lang w:val="fr-CA"/>
        </w:rPr>
        <w:t>R. c. Richards</w:t>
      </w:r>
      <w:r w:rsidR="00E2317C" w:rsidRPr="00A72B6E">
        <w:rPr>
          <w:lang w:val="fr-CA"/>
        </w:rPr>
        <w:t>, 2017 ONCA 424</w:t>
      </w:r>
      <w:r w:rsidR="005552B9" w:rsidRPr="00A72B6E">
        <w:rPr>
          <w:lang w:val="fr-CA"/>
        </w:rPr>
        <w:t>, 349 C.C.C. (3d) 284</w:t>
      </w:r>
      <w:r w:rsidR="00E2317C" w:rsidRPr="00A72B6E">
        <w:rPr>
          <w:lang w:val="fr-CA"/>
        </w:rPr>
        <w:t xml:space="preserve">; </w:t>
      </w:r>
      <w:r w:rsidR="008F08B0" w:rsidRPr="00A72B6E">
        <w:rPr>
          <w:i/>
          <w:lang w:val="fr-CA"/>
        </w:rPr>
        <w:t>M.R.</w:t>
      </w:r>
      <w:r w:rsidR="008F08B0">
        <w:rPr>
          <w:i/>
          <w:lang w:val="fr-CA"/>
        </w:rPr>
        <w:t xml:space="preserve"> </w:t>
      </w:r>
      <w:r w:rsidR="00E2317C" w:rsidRPr="00A72B6E">
        <w:rPr>
          <w:i/>
          <w:lang w:val="fr-CA"/>
        </w:rPr>
        <w:t>c.</w:t>
      </w:r>
      <w:r w:rsidR="008F08B0">
        <w:rPr>
          <w:i/>
          <w:lang w:val="fr-CA"/>
        </w:rPr>
        <w:t xml:space="preserve"> </w:t>
      </w:r>
      <w:r w:rsidR="008F08B0" w:rsidRPr="00A72B6E">
        <w:rPr>
          <w:i/>
          <w:lang w:val="fr-CA"/>
        </w:rPr>
        <w:t>R.</w:t>
      </w:r>
      <w:r w:rsidR="00E2317C" w:rsidRPr="00A72B6E">
        <w:rPr>
          <w:lang w:val="fr-CA"/>
        </w:rPr>
        <w:t>, 2018 QCCA 1983</w:t>
      </w:r>
      <w:r w:rsidR="00B9753A" w:rsidRPr="00A72B6E">
        <w:rPr>
          <w:lang w:val="fr-CA"/>
        </w:rPr>
        <w:t>, 53 C.R. (7th) 182</w:t>
      </w:r>
      <w:r w:rsidR="00E2317C" w:rsidRPr="00A72B6E">
        <w:rPr>
          <w:lang w:val="fr-CA"/>
        </w:rPr>
        <w:t xml:space="preserve">; </w:t>
      </w:r>
      <w:proofErr w:type="spellStart"/>
      <w:r w:rsidR="00386D7A" w:rsidRPr="00A72B6E">
        <w:rPr>
          <w:i/>
          <w:lang w:val="fr-CA"/>
        </w:rPr>
        <w:t>Jarrah</w:t>
      </w:r>
      <w:proofErr w:type="spellEnd"/>
      <w:r w:rsidR="00386D7A" w:rsidRPr="00A72B6E">
        <w:rPr>
          <w:i/>
          <w:lang w:val="fr-CA"/>
        </w:rPr>
        <w:t xml:space="preserve"> c. R</w:t>
      </w:r>
      <w:r w:rsidR="00386D7A" w:rsidRPr="00A72B6E">
        <w:rPr>
          <w:lang w:val="fr-CA"/>
        </w:rPr>
        <w:t xml:space="preserve">., 2017 QCCA 1869; </w:t>
      </w:r>
      <w:r w:rsidR="00F3194A" w:rsidRPr="00A72B6E">
        <w:rPr>
          <w:i/>
          <w:lang w:val="fr-CA"/>
        </w:rPr>
        <w:t>R. c. Breton</w:t>
      </w:r>
      <w:r w:rsidR="00F3194A" w:rsidRPr="00A72B6E">
        <w:rPr>
          <w:lang w:val="fr-CA"/>
        </w:rPr>
        <w:t>, 2018 ONCA 753, 366 C.C.C. (3d) 281;</w:t>
      </w:r>
      <w:r w:rsidR="00F3194A">
        <w:rPr>
          <w:lang w:val="fr-CA"/>
        </w:rPr>
        <w:t xml:space="preserve"> </w:t>
      </w:r>
      <w:r w:rsidR="00082B6F" w:rsidRPr="00A72B6E">
        <w:rPr>
          <w:i/>
          <w:lang w:val="fr-CA"/>
        </w:rPr>
        <w:t>R. c. Hawkins</w:t>
      </w:r>
      <w:r w:rsidR="00082B6F" w:rsidRPr="00A72B6E">
        <w:rPr>
          <w:lang w:val="fr-CA"/>
        </w:rPr>
        <w:t>, [1996] 3 R.C.S. 1043.</w:t>
      </w:r>
    </w:p>
    <w:p w14:paraId="6C5E5F95" w14:textId="77777777" w:rsidR="004D7D95" w:rsidRPr="004D7D95" w:rsidRDefault="004D7D95" w:rsidP="00586D16">
      <w:pPr>
        <w:pStyle w:val="SCCNormalDoubleSpacing"/>
        <w:spacing w:after="720" w:line="240" w:lineRule="auto"/>
        <w:rPr>
          <w:b/>
          <w:lang w:val="fr-CA"/>
        </w:rPr>
      </w:pPr>
      <w:r w:rsidRPr="004D7D95">
        <w:rPr>
          <w:b/>
          <w:lang w:val="fr-CA"/>
        </w:rPr>
        <w:t>Lois et règlements cités</w:t>
      </w:r>
    </w:p>
    <w:p w14:paraId="589FC9D4" w14:textId="59DC2CE0" w:rsidR="004D7D95" w:rsidRDefault="00082B6F" w:rsidP="00586D16">
      <w:pPr>
        <w:pStyle w:val="SCCNormalDoubleSpacing"/>
        <w:spacing w:after="720" w:line="240" w:lineRule="auto"/>
        <w:ind w:left="547" w:hanging="547"/>
        <w:rPr>
          <w:lang w:val="fr-FR"/>
        </w:rPr>
      </w:pPr>
      <w:r w:rsidRPr="00B82651">
        <w:rPr>
          <w:i/>
          <w:lang w:val="fr-FR"/>
        </w:rPr>
        <w:t>Code criminel</w:t>
      </w:r>
      <w:r w:rsidR="00586D16">
        <w:rPr>
          <w:lang w:val="fr-FR"/>
        </w:rPr>
        <w:t>, L.R.C. 1985, c. C</w:t>
      </w:r>
      <w:r w:rsidR="00586D16">
        <w:rPr>
          <w:lang w:val="fr-FR"/>
        </w:rPr>
        <w:noBreakHyphen/>
      </w:r>
      <w:r w:rsidRPr="00B82651">
        <w:rPr>
          <w:lang w:val="fr-FR"/>
        </w:rPr>
        <w:t>46</w:t>
      </w:r>
      <w:r>
        <w:rPr>
          <w:lang w:val="fr-FR"/>
        </w:rPr>
        <w:t>, art. </w:t>
      </w:r>
      <w:r w:rsidR="00802494" w:rsidRPr="00B82651">
        <w:rPr>
          <w:lang w:val="fr-FR"/>
        </w:rPr>
        <w:t>606(1.1)</w:t>
      </w:r>
      <w:r w:rsidR="00802494">
        <w:rPr>
          <w:lang w:val="fr-FR"/>
        </w:rPr>
        <w:t xml:space="preserve">, </w:t>
      </w:r>
      <w:r w:rsidR="000E75F3">
        <w:rPr>
          <w:lang w:val="fr-FR"/>
        </w:rPr>
        <w:t xml:space="preserve">partie XX, </w:t>
      </w:r>
      <w:r>
        <w:rPr>
          <w:lang w:val="fr-FR"/>
        </w:rPr>
        <w:t>669.2</w:t>
      </w:r>
      <w:r w:rsidR="000A6D13">
        <w:rPr>
          <w:lang w:val="fr-FR"/>
        </w:rPr>
        <w:t xml:space="preserve"> </w:t>
      </w:r>
      <w:r w:rsidR="000A6D13" w:rsidRPr="00AE760E">
        <w:rPr>
          <w:lang w:val="fr-CA"/>
        </w:rPr>
        <w:t>[</w:t>
      </w:r>
      <w:proofErr w:type="spellStart"/>
      <w:r w:rsidR="000A6D13" w:rsidRPr="00AE760E">
        <w:rPr>
          <w:lang w:val="fr-CA"/>
        </w:rPr>
        <w:t>mod</w:t>
      </w:r>
      <w:proofErr w:type="spellEnd"/>
      <w:r w:rsidR="000A6D13" w:rsidRPr="00AE760E">
        <w:rPr>
          <w:lang w:val="fr-CA"/>
        </w:rPr>
        <w:t>. 1994, c. 44, art. </w:t>
      </w:r>
      <w:r w:rsidR="00D63492" w:rsidRPr="00AE760E">
        <w:rPr>
          <w:lang w:val="fr-CA"/>
        </w:rPr>
        <w:t>65</w:t>
      </w:r>
      <w:r w:rsidR="000A6D13" w:rsidRPr="00AE760E">
        <w:rPr>
          <w:lang w:val="fr-CA"/>
        </w:rPr>
        <w:t>]</w:t>
      </w:r>
      <w:r w:rsidR="00C8141A">
        <w:rPr>
          <w:lang w:val="fr-FR"/>
        </w:rPr>
        <w:t>.</w:t>
      </w:r>
    </w:p>
    <w:p w14:paraId="6F82A580" w14:textId="629C3C0B" w:rsidR="008F08B0" w:rsidRPr="001417DA" w:rsidRDefault="008F08B0" w:rsidP="001417DA">
      <w:pPr>
        <w:pStyle w:val="SCCNormalDoubleSpacing"/>
        <w:spacing w:after="720" w:line="240" w:lineRule="auto"/>
        <w:rPr>
          <w:b/>
          <w:lang w:val="fr-CA"/>
        </w:rPr>
      </w:pPr>
      <w:r w:rsidRPr="000D7231">
        <w:rPr>
          <w:b/>
          <w:lang w:val="fr-CA"/>
        </w:rPr>
        <w:t>Doctrine et autres documents cités</w:t>
      </w:r>
    </w:p>
    <w:p w14:paraId="6A46C5EA" w14:textId="5F514D69" w:rsidR="008F08B0" w:rsidRPr="00F21424" w:rsidRDefault="008F08B0" w:rsidP="007C0E31">
      <w:pPr>
        <w:pStyle w:val="SCCNormalDoubleSpacing"/>
        <w:spacing w:after="720" w:line="240" w:lineRule="auto"/>
        <w:ind w:left="547" w:hanging="547"/>
        <w:rPr>
          <w:lang w:val="fr-CA"/>
        </w:rPr>
      </w:pPr>
      <w:proofErr w:type="spellStart"/>
      <w:r w:rsidRPr="00F21424">
        <w:rPr>
          <w:lang w:val="fr-CA"/>
        </w:rPr>
        <w:t>Driedger</w:t>
      </w:r>
      <w:proofErr w:type="spellEnd"/>
      <w:r w:rsidRPr="00F21424">
        <w:rPr>
          <w:lang w:val="fr-CA"/>
        </w:rPr>
        <w:t xml:space="preserve">, Elmer A. </w:t>
      </w:r>
      <w:r w:rsidRPr="00F21424">
        <w:rPr>
          <w:i/>
          <w:lang w:val="fr-CA"/>
        </w:rPr>
        <w:t xml:space="preserve">Construction of </w:t>
      </w:r>
      <w:proofErr w:type="spellStart"/>
      <w:r w:rsidRPr="00F21424">
        <w:rPr>
          <w:i/>
          <w:lang w:val="fr-CA"/>
        </w:rPr>
        <w:t>Statutes</w:t>
      </w:r>
      <w:proofErr w:type="spellEnd"/>
      <w:r w:rsidRPr="00F21424">
        <w:rPr>
          <w:lang w:val="fr-CA"/>
        </w:rPr>
        <w:t xml:space="preserve">, 2nd </w:t>
      </w:r>
      <w:proofErr w:type="spellStart"/>
      <w:proofErr w:type="gramStart"/>
      <w:r w:rsidRPr="00F21424">
        <w:rPr>
          <w:lang w:val="fr-CA"/>
        </w:rPr>
        <w:t>ed</w:t>
      </w:r>
      <w:proofErr w:type="spellEnd"/>
      <w:r w:rsidRPr="00F21424">
        <w:rPr>
          <w:lang w:val="fr-CA"/>
        </w:rPr>
        <w:t>.,</w:t>
      </w:r>
      <w:proofErr w:type="gramEnd"/>
      <w:r w:rsidRPr="00F21424">
        <w:rPr>
          <w:lang w:val="fr-CA"/>
        </w:rPr>
        <w:t xml:space="preserve"> Toronto, </w:t>
      </w:r>
      <w:proofErr w:type="spellStart"/>
      <w:r w:rsidRPr="00F21424">
        <w:rPr>
          <w:lang w:val="fr-CA"/>
        </w:rPr>
        <w:t>Butterworths</w:t>
      </w:r>
      <w:proofErr w:type="spellEnd"/>
      <w:r w:rsidRPr="00F21424">
        <w:rPr>
          <w:lang w:val="fr-CA"/>
        </w:rPr>
        <w:t>, 1983.</w:t>
      </w:r>
    </w:p>
    <w:p w14:paraId="045E28AD" w14:textId="5D51F1C0" w:rsidR="004D7D95" w:rsidRPr="004D7D95" w:rsidRDefault="004D7D95" w:rsidP="007C0E31">
      <w:pPr>
        <w:pStyle w:val="SCCNormalDoubleSpacing"/>
        <w:spacing w:after="480"/>
        <w:rPr>
          <w:lang w:val="fr-CA"/>
        </w:rPr>
      </w:pPr>
      <w:r w:rsidRPr="00F21424">
        <w:rPr>
          <w:lang w:val="fr-CA"/>
        </w:rPr>
        <w:tab/>
      </w:r>
      <w:r w:rsidRPr="004D7D95">
        <w:rPr>
          <w:lang w:val="fr-CA"/>
        </w:rPr>
        <w:t xml:space="preserve">POURVOI contre un arrêt de la </w:t>
      </w:r>
      <w:r w:rsidRPr="00A72B6E">
        <w:rPr>
          <w:lang w:val="fr-CA"/>
        </w:rPr>
        <w:t>Cour d</w:t>
      </w:r>
      <w:r w:rsidR="00E51292" w:rsidRPr="00A72B6E">
        <w:rPr>
          <w:lang w:val="fr-CA"/>
        </w:rPr>
        <w:t>’</w:t>
      </w:r>
      <w:r w:rsidR="007E5A3E" w:rsidRPr="00A72B6E">
        <w:rPr>
          <w:lang w:val="fr-CA"/>
        </w:rPr>
        <w:t xml:space="preserve">appel du Québec (les juges Dutil, Hamilton et Moore), 2020 QCCA 1108, </w:t>
      </w:r>
      <w:r w:rsidR="00953DBD" w:rsidRPr="000E1502">
        <w:rPr>
          <w:lang w:val="fr-CA"/>
        </w:rPr>
        <w:t>[2</w:t>
      </w:r>
      <w:r w:rsidR="007C0E31">
        <w:rPr>
          <w:lang w:val="fr-CA"/>
        </w:rPr>
        <w:t>020] AZ</w:t>
      </w:r>
      <w:r w:rsidR="007C0E31">
        <w:rPr>
          <w:lang w:val="fr-CA"/>
        </w:rPr>
        <w:noBreakHyphen/>
      </w:r>
      <w:r w:rsidR="00953DBD">
        <w:rPr>
          <w:lang w:val="fr-CA"/>
        </w:rPr>
        <w:t xml:space="preserve">51705644, </w:t>
      </w:r>
      <w:r w:rsidR="007E5A3E" w:rsidRPr="00A72B6E">
        <w:rPr>
          <w:lang w:val="fr-CA"/>
        </w:rPr>
        <w:t>[2020] J.Q. n</w:t>
      </w:r>
      <w:r w:rsidR="007E5A3E" w:rsidRPr="00A72B6E">
        <w:rPr>
          <w:vertAlign w:val="superscript"/>
          <w:lang w:val="fr-CA"/>
        </w:rPr>
        <w:t>o</w:t>
      </w:r>
      <w:r w:rsidR="007E5A3E" w:rsidRPr="00A72B6E">
        <w:rPr>
          <w:lang w:val="fr-CA"/>
        </w:rPr>
        <w:t xml:space="preserve"> 5677 (QL), 2020 CarswellQue 9016 (WL Can.), </w:t>
      </w:r>
      <w:r w:rsidR="00DF6EFA" w:rsidRPr="00124332">
        <w:rPr>
          <w:lang w:val="fr-CA"/>
        </w:rPr>
        <w:t>qui a infirmé</w:t>
      </w:r>
      <w:r w:rsidR="00C00FDD" w:rsidRPr="00124332">
        <w:rPr>
          <w:lang w:val="fr-CA"/>
        </w:rPr>
        <w:t xml:space="preserve"> en partie</w:t>
      </w:r>
      <w:r w:rsidR="00DF6EFA" w:rsidRPr="00124332">
        <w:rPr>
          <w:lang w:val="fr-CA"/>
        </w:rPr>
        <w:t xml:space="preserve"> une </w:t>
      </w:r>
      <w:r w:rsidR="00DF6EFA" w:rsidRPr="00AE760E">
        <w:rPr>
          <w:lang w:val="fr-CA"/>
        </w:rPr>
        <w:t>décision</w:t>
      </w:r>
      <w:r w:rsidR="00DF6EFA" w:rsidRPr="00A72B6E">
        <w:rPr>
          <w:lang w:val="fr-CA"/>
        </w:rPr>
        <w:t xml:space="preserve"> du juge</w:t>
      </w:r>
      <w:r w:rsidR="00C00FDD" w:rsidRPr="00A72B6E">
        <w:rPr>
          <w:lang w:val="fr-CA"/>
        </w:rPr>
        <w:t xml:space="preserve"> Chevalier, 2017 QCCQ 19515, </w:t>
      </w:r>
      <w:r w:rsidR="007C0E31">
        <w:rPr>
          <w:lang w:val="fr-CA"/>
        </w:rPr>
        <w:t>[2017] AZ</w:t>
      </w:r>
      <w:r w:rsidR="007C0E31">
        <w:rPr>
          <w:lang w:val="fr-CA"/>
        </w:rPr>
        <w:noBreakHyphen/>
      </w:r>
      <w:r w:rsidR="00953DBD">
        <w:rPr>
          <w:lang w:val="fr-CA"/>
        </w:rPr>
        <w:t xml:space="preserve">51514590, </w:t>
      </w:r>
      <w:r w:rsidR="00C00FDD" w:rsidRPr="00A72B6E">
        <w:rPr>
          <w:lang w:val="fr-CA"/>
        </w:rPr>
        <w:t>[2017] J.Q. n</w:t>
      </w:r>
      <w:r w:rsidR="00C00FDD" w:rsidRPr="00A72B6E">
        <w:rPr>
          <w:vertAlign w:val="superscript"/>
          <w:lang w:val="fr-CA"/>
        </w:rPr>
        <w:t>o</w:t>
      </w:r>
      <w:r w:rsidR="00C00FDD" w:rsidRPr="00A72B6E">
        <w:rPr>
          <w:lang w:val="fr-CA"/>
        </w:rPr>
        <w:t xml:space="preserve"> 22699 (QL), 2017 CarswellQue 12862 (WL Can.). </w:t>
      </w:r>
      <w:r w:rsidR="005C6BF3" w:rsidRPr="0064323E">
        <w:rPr>
          <w:lang w:val="fr-CA"/>
        </w:rPr>
        <w:t>Pourvoi accueilli</w:t>
      </w:r>
      <w:r w:rsidR="00C03889" w:rsidRPr="0064323E">
        <w:rPr>
          <w:lang w:val="fr-CA"/>
        </w:rPr>
        <w:t>.</w:t>
      </w:r>
    </w:p>
    <w:p w14:paraId="2B4B1D16" w14:textId="77777777" w:rsidR="00900FA4" w:rsidRPr="00A72B6E" w:rsidRDefault="003712ED" w:rsidP="007C0E31">
      <w:pPr>
        <w:pStyle w:val="SCCNormalDoubleSpacing"/>
        <w:spacing w:after="480"/>
        <w:rPr>
          <w:lang w:val="fr-CA"/>
        </w:rPr>
      </w:pPr>
      <w:r w:rsidRPr="00A72B6E">
        <w:rPr>
          <w:rStyle w:val="SCCCounselNameChar"/>
          <w:lang w:val="fr-CA"/>
        </w:rPr>
        <w:tab/>
      </w:r>
      <w:r w:rsidR="00C553C1" w:rsidRPr="00A72B6E">
        <w:rPr>
          <w:rStyle w:val="SCCCounselNameChar"/>
          <w:lang w:val="fr-CA"/>
        </w:rPr>
        <w:t xml:space="preserve">Nicolas Abran </w:t>
      </w:r>
      <w:r w:rsidRPr="00A72B6E">
        <w:rPr>
          <w:rStyle w:val="SCCCounselSeparatorChar"/>
          <w:lang w:val="fr-CA"/>
        </w:rPr>
        <w:t>et</w:t>
      </w:r>
      <w:r w:rsidR="00C553C1" w:rsidRPr="00A72B6E">
        <w:rPr>
          <w:rStyle w:val="SCCCounselNameChar"/>
          <w:lang w:val="fr-CA"/>
        </w:rPr>
        <w:t xml:space="preserve"> Isabelle Bouchard</w:t>
      </w:r>
      <w:r w:rsidRPr="00A72B6E">
        <w:rPr>
          <w:rStyle w:val="SCCCounselPartyRoleChar"/>
          <w:lang w:val="fr-CA"/>
        </w:rPr>
        <w:t>, pour l</w:t>
      </w:r>
      <w:r w:rsidR="00E51292" w:rsidRPr="00A72B6E">
        <w:rPr>
          <w:rStyle w:val="SCCCounselPartyRoleChar"/>
          <w:lang w:val="fr-CA"/>
        </w:rPr>
        <w:t>’</w:t>
      </w:r>
      <w:r w:rsidR="00C553C1" w:rsidRPr="00A72B6E">
        <w:rPr>
          <w:rStyle w:val="SCCCounselPartyRoleChar"/>
          <w:lang w:val="fr-CA"/>
        </w:rPr>
        <w:t>appelante</w:t>
      </w:r>
      <w:r w:rsidRPr="00A72B6E">
        <w:rPr>
          <w:rStyle w:val="SCCCounselPartyRoleChar"/>
          <w:lang w:val="fr-CA"/>
        </w:rPr>
        <w:t>.</w:t>
      </w:r>
    </w:p>
    <w:p w14:paraId="68477171" w14:textId="77777777" w:rsidR="00900FA4" w:rsidRPr="00A72B6E" w:rsidRDefault="003712ED" w:rsidP="007C0E31">
      <w:pPr>
        <w:pStyle w:val="SCCNormalDoubleSpacing"/>
        <w:spacing w:after="480"/>
        <w:rPr>
          <w:lang w:val="fr-CA"/>
        </w:rPr>
      </w:pPr>
      <w:r w:rsidRPr="00A72B6E">
        <w:rPr>
          <w:rStyle w:val="SCCCounselNameChar"/>
          <w:lang w:val="fr-CA"/>
        </w:rPr>
        <w:tab/>
        <w:t>Martin Binet</w:t>
      </w:r>
      <w:r w:rsidRPr="00A72B6E">
        <w:rPr>
          <w:rStyle w:val="SCCCounselPartyRoleChar"/>
          <w:lang w:val="fr-CA"/>
        </w:rPr>
        <w:t>, pour l</w:t>
      </w:r>
      <w:r w:rsidR="00E51292" w:rsidRPr="00A72B6E">
        <w:rPr>
          <w:rStyle w:val="SCCCounselPartyRoleChar"/>
          <w:lang w:val="fr-CA"/>
        </w:rPr>
        <w:t>’</w:t>
      </w:r>
      <w:r w:rsidR="00C553C1" w:rsidRPr="00A72B6E">
        <w:rPr>
          <w:rStyle w:val="SCCCounselPartyRoleChar"/>
          <w:lang w:val="fr-CA"/>
        </w:rPr>
        <w:t>intimé</w:t>
      </w:r>
      <w:r w:rsidRPr="00A72B6E">
        <w:rPr>
          <w:rStyle w:val="SCCCounselPartyRoleChar"/>
          <w:lang w:val="fr-CA"/>
        </w:rPr>
        <w:t>.</w:t>
      </w:r>
    </w:p>
    <w:p w14:paraId="4F8E4DFB" w14:textId="4A55BB76" w:rsidR="00900FA4" w:rsidRDefault="00DB4F4E" w:rsidP="007C0E31">
      <w:pPr>
        <w:pStyle w:val="SCCNormalDoubleSpacing"/>
        <w:spacing w:after="480"/>
        <w:rPr>
          <w:rStyle w:val="SCCCounselPartyRoleChar"/>
          <w:lang w:val="fr-CA"/>
        </w:rPr>
      </w:pPr>
      <w:r w:rsidRPr="00A72B6E">
        <w:rPr>
          <w:rStyle w:val="SCCCounselNameChar"/>
          <w:lang w:val="fr-CA"/>
        </w:rPr>
        <w:tab/>
        <w:t>James </w:t>
      </w:r>
      <w:r w:rsidR="003712ED" w:rsidRPr="00A72B6E">
        <w:rPr>
          <w:rStyle w:val="SCCCounselNameChar"/>
          <w:lang w:val="fr-CA"/>
        </w:rPr>
        <w:t>V. Palangio</w:t>
      </w:r>
      <w:r w:rsidR="003712ED" w:rsidRPr="00A72B6E">
        <w:rPr>
          <w:rStyle w:val="SCCCounselSeparatorChar"/>
          <w:lang w:val="fr-CA"/>
        </w:rPr>
        <w:t xml:space="preserve"> et </w:t>
      </w:r>
      <w:r w:rsidRPr="00A72B6E">
        <w:rPr>
          <w:rStyle w:val="SCCCounselNameChar"/>
          <w:lang w:val="fr-CA"/>
        </w:rPr>
        <w:t xml:space="preserve">Nicolas </w:t>
      </w:r>
      <w:r w:rsidR="004B2C08">
        <w:rPr>
          <w:rStyle w:val="SCCCounselNameChar"/>
          <w:lang w:val="fr-CA"/>
        </w:rPr>
        <w:t>d</w:t>
      </w:r>
      <w:r w:rsidR="007C0E31">
        <w:rPr>
          <w:rStyle w:val="SCCCounselNameChar"/>
          <w:lang w:val="fr-CA"/>
        </w:rPr>
        <w:t xml:space="preserve">e </w:t>
      </w:r>
      <w:r w:rsidR="003712ED" w:rsidRPr="00A72B6E">
        <w:rPr>
          <w:rStyle w:val="SCCCounselNameChar"/>
          <w:lang w:val="fr-CA"/>
        </w:rPr>
        <w:t>Montigny</w:t>
      </w:r>
      <w:r w:rsidR="003712ED" w:rsidRPr="00A72B6E">
        <w:rPr>
          <w:rStyle w:val="SCCCounselPartyRoleChar"/>
          <w:lang w:val="fr-CA"/>
        </w:rPr>
        <w:t>, pour l</w:t>
      </w:r>
      <w:r w:rsidR="00E51292" w:rsidRPr="00A72B6E">
        <w:rPr>
          <w:rStyle w:val="SCCCounselPartyRoleChar"/>
          <w:lang w:val="fr-CA"/>
        </w:rPr>
        <w:t>’</w:t>
      </w:r>
      <w:r w:rsidRPr="00A72B6E">
        <w:rPr>
          <w:rStyle w:val="SCCCounselPartyRoleChar"/>
          <w:lang w:val="fr-CA"/>
        </w:rPr>
        <w:t>intervenant</w:t>
      </w:r>
      <w:r w:rsidR="003712ED" w:rsidRPr="00A72B6E">
        <w:rPr>
          <w:rStyle w:val="SCCCounselPartyRoleChar"/>
          <w:lang w:val="fr-CA"/>
        </w:rPr>
        <w:t>.</w:t>
      </w:r>
    </w:p>
    <w:p w14:paraId="07BB552D" w14:textId="77777777" w:rsidR="00F21424" w:rsidRDefault="00F21424" w:rsidP="007C0E31">
      <w:pPr>
        <w:pStyle w:val="SCCNormalDoubleSpacing"/>
        <w:spacing w:after="480"/>
        <w:rPr>
          <w:rStyle w:val="SCCCounselPartyRoleChar"/>
          <w:lang w:val="fr-CA"/>
        </w:rPr>
      </w:pPr>
    </w:p>
    <w:p w14:paraId="64F75C03" w14:textId="77777777" w:rsidR="00F21424" w:rsidRDefault="00F21424" w:rsidP="00F21424">
      <w:pPr>
        <w:ind w:firstLine="1134"/>
        <w:jc w:val="both"/>
        <w:rPr>
          <w:lang w:val="fr-CA"/>
        </w:rPr>
      </w:pPr>
      <w:r w:rsidRPr="00235B26">
        <w:rPr>
          <w:lang w:val="fr-CA"/>
        </w:rPr>
        <w:t>Le</w:t>
      </w:r>
      <w:r>
        <w:rPr>
          <w:lang w:val="fr-CA"/>
        </w:rPr>
        <w:t>s motifs de</w:t>
      </w:r>
      <w:r w:rsidRPr="00235B26">
        <w:rPr>
          <w:lang w:val="fr-CA"/>
        </w:rPr>
        <w:t xml:space="preserve"> jugement de la Cour </w:t>
      </w:r>
      <w:r>
        <w:rPr>
          <w:lang w:val="fr-CA"/>
        </w:rPr>
        <w:t>ont</w:t>
      </w:r>
      <w:r w:rsidRPr="00235B26">
        <w:rPr>
          <w:lang w:val="fr-CA"/>
        </w:rPr>
        <w:t xml:space="preserve"> été rendu</w:t>
      </w:r>
      <w:r>
        <w:rPr>
          <w:lang w:val="fr-CA"/>
        </w:rPr>
        <w:t>s</w:t>
      </w:r>
      <w:r w:rsidRPr="00235B26">
        <w:rPr>
          <w:lang w:val="fr-CA"/>
        </w:rPr>
        <w:t xml:space="preserve"> par</w:t>
      </w:r>
    </w:p>
    <w:p w14:paraId="0091DC26" w14:textId="77777777" w:rsidR="00F21424" w:rsidRDefault="00F21424" w:rsidP="00F21424">
      <w:pPr>
        <w:ind w:firstLine="1134"/>
        <w:jc w:val="both"/>
        <w:rPr>
          <w:lang w:val="fr-CA"/>
        </w:rPr>
      </w:pPr>
    </w:p>
    <w:p w14:paraId="70375ADA" w14:textId="77777777" w:rsidR="00F21424" w:rsidRPr="00C142EF" w:rsidRDefault="00F21424" w:rsidP="00F21424">
      <w:pPr>
        <w:pStyle w:val="JudgeJuge"/>
      </w:pPr>
      <w:r w:rsidRPr="00C142EF">
        <w:tab/>
      </w:r>
      <w:r>
        <w:t>La j</w:t>
      </w:r>
      <w:r w:rsidRPr="00C142EF">
        <w:t xml:space="preserve">uge Côté — </w:t>
      </w:r>
    </w:p>
    <w:p w14:paraId="16A53E3B" w14:textId="77777777" w:rsidR="00F21424" w:rsidRPr="00C142EF" w:rsidRDefault="00F21424" w:rsidP="00F21424">
      <w:pPr>
        <w:pStyle w:val="Title1LevelTitre1Niveau-AltL"/>
        <w:rPr>
          <w:rFonts w:cs="Times New Roman"/>
        </w:rPr>
      </w:pPr>
      <w:r w:rsidRPr="00C142EF">
        <w:rPr>
          <w:rFonts w:cs="Times New Roman"/>
        </w:rPr>
        <w:t>Introduction</w:t>
      </w:r>
    </w:p>
    <w:p w14:paraId="5C51199A" w14:textId="77777777" w:rsidR="00F21424" w:rsidRPr="00C142EF" w:rsidRDefault="00F21424" w:rsidP="00F21424">
      <w:pPr>
        <w:pStyle w:val="ParaNoNdepar-AltN"/>
        <w:rPr>
          <w:rFonts w:cs="Times New Roman"/>
        </w:rPr>
      </w:pPr>
      <w:r w:rsidRPr="00C142EF">
        <w:rPr>
          <w:rFonts w:cs="Times New Roman"/>
        </w:rPr>
        <w:t>Le présent pourvoi offre à notre Cour l’occasion d’interpréter pour la première fois le par. </w:t>
      </w:r>
      <w:r w:rsidRPr="00C142EF">
        <w:rPr>
          <w:rFonts w:cs="Times New Roman"/>
          <w:lang w:val="fr-FR"/>
        </w:rPr>
        <w:t xml:space="preserve">669.2(3) du </w:t>
      </w:r>
      <w:r w:rsidRPr="00C142EF">
        <w:rPr>
          <w:rFonts w:cs="Times New Roman"/>
          <w:i/>
          <w:lang w:val="fr-FR"/>
        </w:rPr>
        <w:t>Code criminel</w:t>
      </w:r>
      <w:r w:rsidRPr="00C142EF">
        <w:rPr>
          <w:rFonts w:cs="Times New Roman"/>
          <w:lang w:val="fr-FR"/>
        </w:rPr>
        <w:t>, L.R.C. 1985, c. C</w:t>
      </w:r>
      <w:r>
        <w:rPr>
          <w:rFonts w:cs="Times New Roman"/>
          <w:lang w:val="fr-FR"/>
        </w:rPr>
        <w:noBreakHyphen/>
      </w:r>
      <w:r w:rsidRPr="00C142EF">
        <w:rPr>
          <w:rFonts w:cs="Times New Roman"/>
          <w:lang w:val="fr-FR"/>
        </w:rPr>
        <w:t xml:space="preserve">46, lequel énonce les </w:t>
      </w:r>
      <w:r w:rsidRPr="00C142EF">
        <w:rPr>
          <w:rFonts w:cs="Times New Roman"/>
        </w:rPr>
        <w:t xml:space="preserve">règles applicables en cas </w:t>
      </w:r>
      <w:r>
        <w:rPr>
          <w:rFonts w:cs="Times New Roman"/>
        </w:rPr>
        <w:t xml:space="preserve">de décès ou </w:t>
      </w:r>
      <w:r w:rsidRPr="00C142EF">
        <w:rPr>
          <w:rFonts w:cs="Times New Roman"/>
        </w:rPr>
        <w:t>d’in</w:t>
      </w:r>
      <w:r>
        <w:rPr>
          <w:rFonts w:cs="Times New Roman"/>
        </w:rPr>
        <w:t>capacité</w:t>
      </w:r>
      <w:r w:rsidRPr="00C142EF">
        <w:rPr>
          <w:rFonts w:cs="Times New Roman"/>
        </w:rPr>
        <w:t xml:space="preserve"> du juge du procès </w:t>
      </w:r>
      <w:r>
        <w:rPr>
          <w:rFonts w:cs="Times New Roman"/>
        </w:rPr>
        <w:t xml:space="preserve">d’assumer ses fonctions, </w:t>
      </w:r>
      <w:r w:rsidRPr="00C142EF">
        <w:rPr>
          <w:rFonts w:cs="Times New Roman"/>
        </w:rPr>
        <w:t xml:space="preserve">lorsqu’aucune décision </w:t>
      </w:r>
      <w:r>
        <w:rPr>
          <w:rFonts w:cs="Times New Roman"/>
        </w:rPr>
        <w:t xml:space="preserve">ni aucun verdict </w:t>
      </w:r>
      <w:r w:rsidRPr="00C142EF">
        <w:rPr>
          <w:rFonts w:cs="Times New Roman"/>
        </w:rPr>
        <w:t>n’a encore été rendu. La question de</w:t>
      </w:r>
      <w:r>
        <w:rPr>
          <w:rFonts w:cs="Times New Roman"/>
        </w:rPr>
        <w:t>s règles d</w:t>
      </w:r>
      <w:r w:rsidRPr="00C142EF">
        <w:rPr>
          <w:rFonts w:cs="Times New Roman"/>
        </w:rPr>
        <w:t>’administration de la preuve, lors du procès recommencé devant un nouveau juge siégeant seul, se trouve au cœur du litige. Les parties demandent à notre Cour de se prononcer sur le cadre juridique régissant l’admissibilité en preuve, lors d’un procès recommencé, de transcriptions de témoignages rendus lors d’un premier procès, pour valoir comme preuve au fond, lorsque celles-ci sont déposées par consentement mutuel.</w:t>
      </w:r>
    </w:p>
    <w:p w14:paraId="2E4FFD51" w14:textId="77777777" w:rsidR="00F21424" w:rsidRPr="00C142EF" w:rsidRDefault="00F21424" w:rsidP="00F21424">
      <w:pPr>
        <w:pStyle w:val="ParaNoNdepar-AltN"/>
        <w:rPr>
          <w:rFonts w:cs="Times New Roman"/>
          <w:lang w:val="fr-FR"/>
        </w:rPr>
      </w:pPr>
      <w:r w:rsidRPr="00C142EF">
        <w:rPr>
          <w:rFonts w:cs="Times New Roman"/>
        </w:rPr>
        <w:t>Le par</w:t>
      </w:r>
      <w:r>
        <w:rPr>
          <w:rFonts w:cs="Times New Roman"/>
        </w:rPr>
        <w:t>agraphe</w:t>
      </w:r>
      <w:r w:rsidRPr="00C142EF">
        <w:rPr>
          <w:rFonts w:cs="Times New Roman"/>
        </w:rPr>
        <w:t> 669.2(3) précise que le juge devant qui les procédures se poursuivent doit recommencer le procès comme si aucune preuve sur le fond n’avait été présentée, lorsque le procès a lieu devant un juge seul et qu’aucune décision ou aucun verdict n’a été rendu. Toutefois, rien dans l’art. 669.2 n’indique s’il est permis de soumettre la preuve présentée devant le premier juge, afin de valoir comme preuve au fond dans le procès recommencé.</w:t>
      </w:r>
    </w:p>
    <w:p w14:paraId="4DB5D422" w14:textId="77777777" w:rsidR="00F21424" w:rsidRPr="00C142EF" w:rsidRDefault="00F21424" w:rsidP="00F21424">
      <w:pPr>
        <w:pStyle w:val="ParaNoNdepar-AltN"/>
        <w:rPr>
          <w:rFonts w:cs="Times New Roman"/>
          <w:lang w:val="fr-FR"/>
        </w:rPr>
      </w:pPr>
      <w:r w:rsidRPr="00C142EF">
        <w:rPr>
          <w:rFonts w:cs="Times New Roman"/>
        </w:rPr>
        <w:t>S’il existe un consensus sur le fait qu’il est possible qu’une telle preuve soit déposée lors du procès recommencé, les parties ne s’entendent pas sur le test à appliquer lorsque la poursuite et l’accusé consentent au dépôt de la transcription d’un témoignage entendu par le juge devant qui le procès a débuté. Se fondant sur la règle voulant que le témoignage soit traditionnellement rendu de vive voix au procès, la Cour d’appel du Québec propose une enquête en deux temps. D’abord, le tribunal doit vérifier si le consentement de l’accusé — même s’il est représenté par avocat — est libre, éclairé et non équivoque. Ensuite, le tribunal doit s’assurer que le versement de la preuve ne portera pas atteinte à l’équité du procès. L’appelante</w:t>
      </w:r>
      <w:r>
        <w:rPr>
          <w:rFonts w:cs="Times New Roman"/>
        </w:rPr>
        <w:t>, Sa Majesté la Reine,</w:t>
      </w:r>
      <w:r w:rsidRPr="00C142EF">
        <w:rPr>
          <w:rFonts w:cs="Times New Roman"/>
        </w:rPr>
        <w:t xml:space="preserve"> se pourvoit devant notre Cour, estimant que la Cour d’appel a </w:t>
      </w:r>
      <w:r>
        <w:rPr>
          <w:rFonts w:cs="Times New Roman"/>
        </w:rPr>
        <w:t>commis une erreur</w:t>
      </w:r>
      <w:r w:rsidRPr="00C142EF">
        <w:rPr>
          <w:rFonts w:cs="Times New Roman"/>
        </w:rPr>
        <w:t xml:space="preserve"> en imposant une enquête non prévue par la loi.</w:t>
      </w:r>
    </w:p>
    <w:p w14:paraId="5397EFAC" w14:textId="77777777" w:rsidR="00F21424" w:rsidRPr="00C142EF" w:rsidRDefault="00F21424" w:rsidP="00F21424">
      <w:pPr>
        <w:pStyle w:val="ParaNoNdepar-AltN"/>
        <w:rPr>
          <w:rFonts w:cs="Times New Roman"/>
        </w:rPr>
      </w:pPr>
      <w:r w:rsidRPr="00C142EF">
        <w:rPr>
          <w:rFonts w:cs="Times New Roman"/>
        </w:rPr>
        <w:t>Avec beaucoup d’égards, je suis d’avis que la Cour d’appel se méprend dans son interprétation et son application de l’art. 669.2. Il n’y a pas lieu d’imposer une enquête non prévue par la loi lorsque les parties consentent au dépôt, dans le cadre d’un procès recommencé, de la transcripti</w:t>
      </w:r>
      <w:r>
        <w:rPr>
          <w:rFonts w:cs="Times New Roman"/>
        </w:rPr>
        <w:t>on d’un témoignage rendu lors d’un</w:t>
      </w:r>
      <w:r w:rsidRPr="00C142EF">
        <w:rPr>
          <w:rFonts w:cs="Times New Roman"/>
        </w:rPr>
        <w:t xml:space="preserve"> premier procès. Une telle enquête dénature le rôle du juge, minimise sa capacité à apprécier la transcription d’un témoignage antérieur et va à l’encontre de la présomption de compétence de l’avocat.</w:t>
      </w:r>
    </w:p>
    <w:p w14:paraId="06D272BA" w14:textId="77777777" w:rsidR="00F21424" w:rsidRPr="00C142EF" w:rsidRDefault="00F21424" w:rsidP="00F21424">
      <w:pPr>
        <w:pStyle w:val="ParaNoNdepar-AltN"/>
        <w:rPr>
          <w:rFonts w:cs="Times New Roman"/>
          <w:lang w:val="fr-FR"/>
        </w:rPr>
      </w:pPr>
      <w:r w:rsidRPr="00C142EF">
        <w:rPr>
          <w:rFonts w:cs="Times New Roman"/>
        </w:rPr>
        <w:t>Au terme de l’audience</w:t>
      </w:r>
      <w:r>
        <w:rPr>
          <w:rFonts w:cs="Times New Roman"/>
        </w:rPr>
        <w:t xml:space="preserve"> devant nous</w:t>
      </w:r>
      <w:r w:rsidRPr="00C142EF">
        <w:rPr>
          <w:rFonts w:cs="Times New Roman"/>
        </w:rPr>
        <w:t xml:space="preserve">, </w:t>
      </w:r>
      <w:r>
        <w:rPr>
          <w:rFonts w:cs="Times New Roman"/>
        </w:rPr>
        <w:t>notre</w:t>
      </w:r>
      <w:r w:rsidRPr="00C142EF">
        <w:rPr>
          <w:rFonts w:cs="Times New Roman"/>
        </w:rPr>
        <w:t xml:space="preserve"> Cour a accueilli l’appel et a rétabli les verdicts de culpabilité et les peines concernant les chefs d’accusation 1, 2 et 9 à 13, avec motifs à suivre. </w:t>
      </w:r>
      <w:r w:rsidRPr="00C142EF">
        <w:rPr>
          <w:rFonts w:cs="Times New Roman"/>
          <w:lang w:val="fr-FR"/>
        </w:rPr>
        <w:t xml:space="preserve">Voici </w:t>
      </w:r>
      <w:r>
        <w:rPr>
          <w:rFonts w:cs="Times New Roman"/>
          <w:lang w:val="fr-FR"/>
        </w:rPr>
        <w:t>ces motifs</w:t>
      </w:r>
      <w:r w:rsidRPr="00C142EF">
        <w:rPr>
          <w:rFonts w:cs="Times New Roman"/>
          <w:lang w:val="fr-FR"/>
        </w:rPr>
        <w:t>.</w:t>
      </w:r>
    </w:p>
    <w:p w14:paraId="528809DC" w14:textId="77777777" w:rsidR="00F21424" w:rsidRPr="00C142EF" w:rsidRDefault="00F21424" w:rsidP="00F21424">
      <w:pPr>
        <w:pStyle w:val="Title1LevelTitre1Niveau-AltL"/>
        <w:rPr>
          <w:rFonts w:cs="Times New Roman"/>
        </w:rPr>
      </w:pPr>
      <w:r>
        <w:rPr>
          <w:rFonts w:cs="Times New Roman"/>
        </w:rPr>
        <w:t>C</w:t>
      </w:r>
      <w:r w:rsidRPr="00C142EF">
        <w:rPr>
          <w:rFonts w:cs="Times New Roman"/>
        </w:rPr>
        <w:t>ontexte</w:t>
      </w:r>
    </w:p>
    <w:p w14:paraId="47EF10EB" w14:textId="77777777" w:rsidR="00F21424" w:rsidRPr="00C142EF" w:rsidRDefault="00F21424" w:rsidP="00F21424">
      <w:pPr>
        <w:pStyle w:val="ParaNoNdepar-AltN"/>
        <w:rPr>
          <w:rFonts w:cs="Times New Roman"/>
        </w:rPr>
      </w:pPr>
      <w:r w:rsidRPr="00C142EF">
        <w:rPr>
          <w:rFonts w:cs="Times New Roman"/>
        </w:rPr>
        <w:t xml:space="preserve">L’intimé, J.D., est accusé en 2012 de 18 chefs d’accusation pour des infractions de nature sexuelle commises à l’endroit de </w:t>
      </w:r>
      <w:r>
        <w:rPr>
          <w:rFonts w:cs="Times New Roman"/>
        </w:rPr>
        <w:t>victimes mineures</w:t>
      </w:r>
      <w:r w:rsidRPr="00C142EF">
        <w:rPr>
          <w:rFonts w:cs="Times New Roman"/>
        </w:rPr>
        <w:t xml:space="preserve"> entre 197</w:t>
      </w:r>
      <w:r>
        <w:rPr>
          <w:rFonts w:cs="Times New Roman"/>
        </w:rPr>
        <w:t>4</w:t>
      </w:r>
      <w:r w:rsidRPr="00C142EF">
        <w:rPr>
          <w:rFonts w:cs="Times New Roman"/>
        </w:rPr>
        <w:t xml:space="preserve"> et 1993. </w:t>
      </w:r>
      <w:r>
        <w:rPr>
          <w:rFonts w:cs="Times New Roman"/>
        </w:rPr>
        <w:t>Deux</w:t>
      </w:r>
      <w:r w:rsidRPr="00C142EF">
        <w:rPr>
          <w:rFonts w:cs="Times New Roman"/>
        </w:rPr>
        <w:t xml:space="preserve"> des plaignants sont ses enfants, C.D.</w:t>
      </w:r>
      <w:r>
        <w:rPr>
          <w:rFonts w:cs="Times New Roman"/>
        </w:rPr>
        <w:t xml:space="preserve"> et</w:t>
      </w:r>
      <w:r w:rsidRPr="00C142EF">
        <w:rPr>
          <w:rFonts w:cs="Times New Roman"/>
        </w:rPr>
        <w:t xml:space="preserve"> S.D., alors que les deux autres sont son neveu et sa nièce.</w:t>
      </w:r>
    </w:p>
    <w:p w14:paraId="3968D29A" w14:textId="77777777" w:rsidR="00F21424" w:rsidRPr="00C142EF" w:rsidRDefault="00F21424" w:rsidP="00F21424">
      <w:pPr>
        <w:pStyle w:val="ParaNoNdepar-AltN"/>
        <w:rPr>
          <w:rFonts w:cs="Times New Roman"/>
        </w:rPr>
      </w:pPr>
      <w:r w:rsidRPr="00C142EF">
        <w:rPr>
          <w:rFonts w:cs="Times New Roman"/>
        </w:rPr>
        <w:t>Le 29</w:t>
      </w:r>
      <w:r>
        <w:rPr>
          <w:rFonts w:cs="Times New Roman"/>
        </w:rPr>
        <w:t> </w:t>
      </w:r>
      <w:r w:rsidRPr="00C142EF">
        <w:rPr>
          <w:rFonts w:cs="Times New Roman"/>
        </w:rPr>
        <w:t>mars</w:t>
      </w:r>
      <w:r>
        <w:rPr>
          <w:rFonts w:cs="Times New Roman"/>
        </w:rPr>
        <w:t> </w:t>
      </w:r>
      <w:r w:rsidRPr="00C142EF">
        <w:rPr>
          <w:rFonts w:cs="Times New Roman"/>
        </w:rPr>
        <w:t xml:space="preserve">2016, </w:t>
      </w:r>
      <w:r>
        <w:rPr>
          <w:rFonts w:cs="Times New Roman"/>
        </w:rPr>
        <w:t>l’audition de la preuve de la poursuite</w:t>
      </w:r>
      <w:r w:rsidRPr="00C142EF">
        <w:rPr>
          <w:rFonts w:cs="Times New Roman"/>
        </w:rPr>
        <w:t xml:space="preserve"> s’amorce devant le juge Valmont Beaulieu</w:t>
      </w:r>
      <w:r>
        <w:rPr>
          <w:rFonts w:cs="Times New Roman"/>
        </w:rPr>
        <w:t xml:space="preserve"> de la Cour du Québec</w:t>
      </w:r>
      <w:r w:rsidRPr="00C142EF">
        <w:rPr>
          <w:rFonts w:cs="Times New Roman"/>
        </w:rPr>
        <w:t>. La fille de l’accusé, C.D., témoigne les 29 et 30 mars, tant en chef qu’en contre-interrogatoire. Le 30</w:t>
      </w:r>
      <w:r>
        <w:rPr>
          <w:rFonts w:cs="Times New Roman"/>
        </w:rPr>
        <w:t> </w:t>
      </w:r>
      <w:r w:rsidRPr="00C142EF">
        <w:rPr>
          <w:rFonts w:cs="Times New Roman"/>
        </w:rPr>
        <w:t>mars</w:t>
      </w:r>
      <w:r>
        <w:rPr>
          <w:rFonts w:cs="Times New Roman"/>
        </w:rPr>
        <w:t> </w:t>
      </w:r>
      <w:r w:rsidRPr="00C142EF">
        <w:rPr>
          <w:rFonts w:cs="Times New Roman"/>
        </w:rPr>
        <w:t>2016, l’intimé éprouve un malaise et le dossier est remis à une date ultérieure. Pendant la suspension du procès, le juge Beaulieu tombe malade.</w:t>
      </w:r>
    </w:p>
    <w:p w14:paraId="05641F83" w14:textId="77777777" w:rsidR="00F21424" w:rsidRPr="00C142EF" w:rsidRDefault="00F21424" w:rsidP="00F21424">
      <w:pPr>
        <w:pStyle w:val="ParaNoNdepar-AltN"/>
        <w:rPr>
          <w:rFonts w:cs="Times New Roman"/>
          <w:lang w:val="fr-FR"/>
        </w:rPr>
      </w:pPr>
      <w:r w:rsidRPr="00C142EF">
        <w:rPr>
          <w:rFonts w:cs="Times New Roman"/>
          <w:lang w:val="fr-FR"/>
        </w:rPr>
        <w:t xml:space="preserve">Le dossier sera remis à plusieurs reprises jusqu’à ce que, plus d’un an plus tard, en avril 2017, la Cour du Québec informe les parties que le juge Beaulieu sera remplacé </w:t>
      </w:r>
      <w:r>
        <w:rPr>
          <w:rFonts w:cs="Times New Roman"/>
          <w:lang w:val="fr-FR"/>
        </w:rPr>
        <w:t xml:space="preserve">en vertu de l’art. 669.2 du </w:t>
      </w:r>
      <w:r w:rsidRPr="00542B9D">
        <w:rPr>
          <w:rFonts w:cs="Times New Roman"/>
          <w:i/>
          <w:lang w:val="fr-FR"/>
        </w:rPr>
        <w:t>Code criminel</w:t>
      </w:r>
      <w:r>
        <w:rPr>
          <w:rFonts w:cs="Times New Roman"/>
          <w:lang w:val="fr-FR"/>
        </w:rPr>
        <w:t>. U</w:t>
      </w:r>
      <w:r w:rsidRPr="00C142EF">
        <w:rPr>
          <w:rFonts w:cs="Times New Roman"/>
          <w:lang w:val="fr-FR"/>
        </w:rPr>
        <w:t xml:space="preserve">n nouveau procès est fixé </w:t>
      </w:r>
      <w:r>
        <w:rPr>
          <w:rFonts w:cs="Times New Roman"/>
          <w:lang w:val="fr-FR"/>
        </w:rPr>
        <w:t>pour commencer le</w:t>
      </w:r>
      <w:r w:rsidRPr="00C142EF">
        <w:rPr>
          <w:rFonts w:cs="Times New Roman"/>
          <w:lang w:val="fr-FR"/>
        </w:rPr>
        <w:t xml:space="preserve"> 18</w:t>
      </w:r>
      <w:r>
        <w:rPr>
          <w:rFonts w:cs="Times New Roman"/>
          <w:lang w:val="fr-FR"/>
        </w:rPr>
        <w:t> </w:t>
      </w:r>
      <w:r w:rsidRPr="00C142EF">
        <w:rPr>
          <w:rFonts w:cs="Times New Roman"/>
          <w:lang w:val="fr-FR"/>
        </w:rPr>
        <w:t>septembre</w:t>
      </w:r>
      <w:r>
        <w:rPr>
          <w:rFonts w:cs="Times New Roman"/>
          <w:lang w:val="fr-FR"/>
        </w:rPr>
        <w:t> </w:t>
      </w:r>
      <w:r w:rsidRPr="00C142EF">
        <w:rPr>
          <w:rFonts w:cs="Times New Roman"/>
          <w:lang w:val="fr-FR"/>
        </w:rPr>
        <w:t>2017 devant le juge Paul Chevalier.</w:t>
      </w:r>
    </w:p>
    <w:p w14:paraId="6D199597" w14:textId="77777777" w:rsidR="00F21424" w:rsidRPr="00C142EF" w:rsidRDefault="00F21424" w:rsidP="00F21424">
      <w:pPr>
        <w:pStyle w:val="ParaNoNdepar-AltN"/>
        <w:rPr>
          <w:rFonts w:cs="Times New Roman"/>
        </w:rPr>
      </w:pPr>
      <w:r w:rsidRPr="00C142EF">
        <w:rPr>
          <w:rFonts w:cs="Times New Roman"/>
        </w:rPr>
        <w:t xml:space="preserve">Seule C.D. avait été entendue par le juge du premier procès. Le 16 juin 2017, la juge coordonnatrice du district envoie une lettre aux avocats des parties, laquelle </w:t>
      </w:r>
      <w:r>
        <w:rPr>
          <w:rFonts w:cs="Times New Roman"/>
        </w:rPr>
        <w:t>fait état de leur consentement</w:t>
      </w:r>
      <w:r w:rsidRPr="00C142EF">
        <w:rPr>
          <w:rFonts w:cs="Times New Roman"/>
        </w:rPr>
        <w:t xml:space="preserve"> à ce que la transcription du témoignage de C.D. soit remise au nouveau juge. En conséquence, d’un commun accord, les avocats des parties versent la transcription du témoignage de C.D. au dossier. À l’ou</w:t>
      </w:r>
      <w:r>
        <w:rPr>
          <w:rFonts w:cs="Times New Roman"/>
        </w:rPr>
        <w:t>verture du second procès, le 18 </w:t>
      </w:r>
      <w:r w:rsidRPr="00C142EF">
        <w:rPr>
          <w:rFonts w:cs="Times New Roman"/>
        </w:rPr>
        <w:t>septembre</w:t>
      </w:r>
      <w:r>
        <w:rPr>
          <w:rFonts w:cs="Times New Roman"/>
        </w:rPr>
        <w:t> </w:t>
      </w:r>
      <w:r w:rsidRPr="00C142EF">
        <w:rPr>
          <w:rFonts w:cs="Times New Roman"/>
        </w:rPr>
        <w:t xml:space="preserve">2017, l’avocat de la </w:t>
      </w:r>
      <w:r>
        <w:rPr>
          <w:rFonts w:cs="Times New Roman"/>
        </w:rPr>
        <w:t>défense</w:t>
      </w:r>
      <w:r w:rsidRPr="00C142EF">
        <w:rPr>
          <w:rFonts w:cs="Times New Roman"/>
        </w:rPr>
        <w:t xml:space="preserve"> réitère </w:t>
      </w:r>
      <w:r>
        <w:rPr>
          <w:rFonts w:cs="Times New Roman"/>
        </w:rPr>
        <w:t xml:space="preserve">son consentement </w:t>
      </w:r>
      <w:r w:rsidRPr="00C142EF">
        <w:rPr>
          <w:rFonts w:cs="Times New Roman"/>
        </w:rPr>
        <w:t>et la transcription du témoignage de C.D. est admise par le juge</w:t>
      </w:r>
      <w:r>
        <w:rPr>
          <w:rFonts w:cs="Times New Roman"/>
        </w:rPr>
        <w:t xml:space="preserve"> </w:t>
      </w:r>
      <w:r w:rsidRPr="00C142EF">
        <w:rPr>
          <w:rFonts w:cs="Times New Roman"/>
        </w:rPr>
        <w:t>Chevalier pour valoir comme preuve au fond.</w:t>
      </w:r>
    </w:p>
    <w:p w14:paraId="098CBA1E" w14:textId="77777777" w:rsidR="00F21424" w:rsidRPr="00C142EF" w:rsidRDefault="00F21424" w:rsidP="00F21424">
      <w:pPr>
        <w:pStyle w:val="Title1LevelTitre1Niveau-AltL"/>
        <w:rPr>
          <w:rFonts w:cs="Times New Roman"/>
        </w:rPr>
      </w:pPr>
      <w:r w:rsidRPr="00C142EF">
        <w:rPr>
          <w:rFonts w:cs="Times New Roman"/>
        </w:rPr>
        <w:t>Historique judiciaire</w:t>
      </w:r>
    </w:p>
    <w:p w14:paraId="76CCD8E7" w14:textId="77777777" w:rsidR="00F21424" w:rsidRPr="00C142EF" w:rsidRDefault="00F21424" w:rsidP="00F21424">
      <w:pPr>
        <w:pStyle w:val="Title2LevelTitre2Niveau"/>
        <w:rPr>
          <w:rFonts w:cs="Times New Roman"/>
          <w:lang w:val="fr-CA"/>
        </w:rPr>
      </w:pPr>
      <w:r w:rsidRPr="00C142EF">
        <w:rPr>
          <w:rFonts w:cs="Times New Roman"/>
          <w:lang w:val="fr-CA"/>
        </w:rPr>
        <w:t>Cour du Québec</w:t>
      </w:r>
      <w:r>
        <w:rPr>
          <w:rFonts w:cs="Times New Roman"/>
          <w:lang w:val="fr-CA"/>
        </w:rPr>
        <w:t>, 2017 QCCQ 19515 (l</w:t>
      </w:r>
      <w:r w:rsidRPr="00C142EF">
        <w:rPr>
          <w:rFonts w:cs="Times New Roman"/>
          <w:lang w:val="fr-CA"/>
        </w:rPr>
        <w:t>e juge Chevalier)</w:t>
      </w:r>
    </w:p>
    <w:p w14:paraId="2BAA051D" w14:textId="77777777" w:rsidR="00F21424" w:rsidRPr="00C142EF" w:rsidRDefault="00F21424" w:rsidP="00F21424">
      <w:pPr>
        <w:pStyle w:val="ParaNoNdepar-AltN"/>
        <w:rPr>
          <w:rFonts w:cs="Times New Roman"/>
        </w:rPr>
      </w:pPr>
      <w:r w:rsidRPr="00C142EF">
        <w:rPr>
          <w:rFonts w:cs="Times New Roman"/>
        </w:rPr>
        <w:t>En plus de la transcription déposée pour valoir témoignage de C.D., trois autres plaignants, dont S.D.</w:t>
      </w:r>
      <w:r>
        <w:rPr>
          <w:rFonts w:cs="Times New Roman"/>
        </w:rPr>
        <w:t>,</w:t>
      </w:r>
      <w:r w:rsidRPr="00C142EF">
        <w:rPr>
          <w:rFonts w:cs="Times New Roman"/>
        </w:rPr>
        <w:t xml:space="preserve"> le fils de l’intimé, témoignent pour la poursuite et décrivent en détail les agressions qu’ils auraient vécues dans leur enfance. Les agressions relatées par S.D. sont, en partie, corroborées par le témoignage de C.D. dont la transcription a été versée au dossier.</w:t>
      </w:r>
    </w:p>
    <w:p w14:paraId="3492F24B" w14:textId="77777777" w:rsidR="00F21424" w:rsidRPr="00C142EF" w:rsidRDefault="00F21424" w:rsidP="00F21424">
      <w:pPr>
        <w:pStyle w:val="ParaNoNdepar-AltN"/>
        <w:rPr>
          <w:rFonts w:cs="Times New Roman"/>
          <w:lang w:val="fr-FR"/>
        </w:rPr>
      </w:pPr>
      <w:r w:rsidRPr="00C142EF">
        <w:rPr>
          <w:rFonts w:cs="Times New Roman"/>
          <w:lang w:val="fr-FR"/>
        </w:rPr>
        <w:t xml:space="preserve">Après avoir analysé l’ensemble des faits pour chaque plaignant, le juge Chevalier déclare l’intimé coupable de </w:t>
      </w:r>
      <w:r>
        <w:rPr>
          <w:rFonts w:cs="Times New Roman"/>
          <w:lang w:val="fr-FR"/>
        </w:rPr>
        <w:t>9</w:t>
      </w:r>
      <w:r w:rsidRPr="00C142EF">
        <w:rPr>
          <w:rFonts w:cs="Times New Roman"/>
          <w:lang w:val="fr-FR"/>
        </w:rPr>
        <w:t xml:space="preserve"> des </w:t>
      </w:r>
      <w:r>
        <w:rPr>
          <w:rFonts w:cs="Times New Roman"/>
          <w:lang w:val="fr-FR"/>
        </w:rPr>
        <w:t>18</w:t>
      </w:r>
      <w:r w:rsidRPr="00C142EF">
        <w:rPr>
          <w:rFonts w:cs="Times New Roman"/>
          <w:lang w:val="fr-FR"/>
        </w:rPr>
        <w:t xml:space="preserve"> chefs d’accusation, prononce un arrêt conditionnel des procédures sur </w:t>
      </w:r>
      <w:r>
        <w:rPr>
          <w:rFonts w:cs="Times New Roman"/>
          <w:lang w:val="fr-FR"/>
        </w:rPr>
        <w:t>2</w:t>
      </w:r>
      <w:r w:rsidRPr="00C142EF">
        <w:rPr>
          <w:rFonts w:cs="Times New Roman"/>
          <w:lang w:val="fr-FR"/>
        </w:rPr>
        <w:t xml:space="preserve"> des chefs et l’acquitte de </w:t>
      </w:r>
      <w:r>
        <w:rPr>
          <w:rFonts w:cs="Times New Roman"/>
          <w:lang w:val="fr-FR"/>
        </w:rPr>
        <w:t>7</w:t>
      </w:r>
      <w:r w:rsidRPr="00C142EF">
        <w:rPr>
          <w:rFonts w:cs="Times New Roman"/>
          <w:lang w:val="fr-FR"/>
        </w:rPr>
        <w:t xml:space="preserve"> autres chefs, soit </w:t>
      </w:r>
      <w:r>
        <w:rPr>
          <w:rFonts w:cs="Times New Roman"/>
          <w:lang w:val="fr-FR"/>
        </w:rPr>
        <w:t>6 </w:t>
      </w:r>
      <w:r w:rsidRPr="00C142EF">
        <w:rPr>
          <w:rFonts w:cs="Times New Roman"/>
          <w:lang w:val="fr-FR"/>
        </w:rPr>
        <w:t>concernant C.D et le seul concernant J.J.D.</w:t>
      </w:r>
      <w:r>
        <w:rPr>
          <w:rFonts w:cs="Times New Roman"/>
          <w:lang w:val="fr-FR"/>
        </w:rPr>
        <w:t>, un autre enfant de l’intimé.</w:t>
      </w:r>
    </w:p>
    <w:p w14:paraId="0465E909" w14:textId="77777777" w:rsidR="00F21424" w:rsidRPr="00C142EF" w:rsidRDefault="00F21424" w:rsidP="00F21424">
      <w:pPr>
        <w:pStyle w:val="Title2LevelTitre2Niveau"/>
        <w:ind w:left="578" w:hanging="578"/>
        <w:rPr>
          <w:rFonts w:cs="Times New Roman"/>
          <w:lang w:val="fr-FR"/>
        </w:rPr>
      </w:pPr>
      <w:r w:rsidRPr="00C142EF">
        <w:rPr>
          <w:rFonts w:cs="Times New Roman"/>
          <w:lang w:val="fr-FR"/>
        </w:rPr>
        <w:t>Cour d’appel du Québec</w:t>
      </w:r>
      <w:r>
        <w:rPr>
          <w:rFonts w:cs="Times New Roman"/>
          <w:lang w:val="fr-FR"/>
        </w:rPr>
        <w:t>, 2020 QCCA 1108 (l</w:t>
      </w:r>
      <w:r w:rsidRPr="00C142EF">
        <w:rPr>
          <w:rFonts w:cs="Times New Roman"/>
          <w:lang w:val="fr-FR"/>
        </w:rPr>
        <w:t xml:space="preserve">es juges Dutil, </w:t>
      </w:r>
      <w:r w:rsidRPr="00B2311D">
        <w:rPr>
          <w:rFonts w:cs="Times New Roman"/>
          <w:lang w:val="fr-FR"/>
        </w:rPr>
        <w:t>Hamilton</w:t>
      </w:r>
      <w:r w:rsidRPr="00C142EF">
        <w:rPr>
          <w:rFonts w:cs="Times New Roman"/>
          <w:lang w:val="fr-FR"/>
        </w:rPr>
        <w:t xml:space="preserve"> et Moore)</w:t>
      </w:r>
    </w:p>
    <w:p w14:paraId="54A9C42D" w14:textId="77777777" w:rsidR="00F21424" w:rsidRPr="00C142EF" w:rsidRDefault="00F21424" w:rsidP="00F21424">
      <w:pPr>
        <w:pStyle w:val="ParaNoNdepar-AltN"/>
        <w:rPr>
          <w:rFonts w:cs="Times New Roman"/>
          <w:lang w:val="fr-FR"/>
        </w:rPr>
      </w:pPr>
      <w:r w:rsidRPr="00C142EF">
        <w:rPr>
          <w:rFonts w:cs="Times New Roman"/>
          <w:lang w:val="fr-FR"/>
        </w:rPr>
        <w:t>Devant la Cour d’appel, cinq questions en litige concernant le</w:t>
      </w:r>
      <w:r>
        <w:rPr>
          <w:rFonts w:cs="Times New Roman"/>
          <w:lang w:val="fr-FR"/>
        </w:rPr>
        <w:t>s déclarations de</w:t>
      </w:r>
      <w:r w:rsidRPr="00C142EF">
        <w:rPr>
          <w:rFonts w:cs="Times New Roman"/>
          <w:lang w:val="fr-FR"/>
        </w:rPr>
        <w:t xml:space="preserve"> culpabilité sont </w:t>
      </w:r>
      <w:r>
        <w:rPr>
          <w:rFonts w:cs="Times New Roman"/>
          <w:lang w:val="fr-FR"/>
        </w:rPr>
        <w:t>formul</w:t>
      </w:r>
      <w:r w:rsidRPr="00C142EF">
        <w:rPr>
          <w:rFonts w:cs="Times New Roman"/>
          <w:lang w:val="fr-FR"/>
        </w:rPr>
        <w:t>ées. Une seule de ces questions est pertinente pour les fins du pourvoi devant notre Cour, soit </w:t>
      </w:r>
      <w:r>
        <w:rPr>
          <w:rFonts w:cs="Times New Roman"/>
          <w:lang w:val="fr-FR"/>
        </w:rPr>
        <w:t>: l</w:t>
      </w:r>
      <w:r w:rsidRPr="00C142EF">
        <w:rPr>
          <w:rFonts w:cs="Times New Roman"/>
          <w:lang w:val="fr-FR"/>
        </w:rPr>
        <w:t>e juge de première instance a</w:t>
      </w:r>
      <w:r w:rsidRPr="00C142EF">
        <w:rPr>
          <w:rFonts w:cs="Times New Roman"/>
          <w:lang w:val="fr-FR"/>
        </w:rPr>
        <w:noBreakHyphen/>
        <w:t>t</w:t>
      </w:r>
      <w:r w:rsidRPr="00C142EF">
        <w:rPr>
          <w:rFonts w:cs="Times New Roman"/>
          <w:lang w:val="fr-FR"/>
        </w:rPr>
        <w:noBreakHyphen/>
        <w:t>il commis une erreur en permettant que le témoignage de C.D., rendu devant un autre juge, soit versé au dossier?</w:t>
      </w:r>
    </w:p>
    <w:p w14:paraId="0FD7DE3F" w14:textId="77777777" w:rsidR="00F21424" w:rsidRPr="00C142EF" w:rsidRDefault="00F21424" w:rsidP="00F21424">
      <w:pPr>
        <w:pStyle w:val="ParaNoNdepar-AltN"/>
        <w:rPr>
          <w:rFonts w:cs="Times New Roman"/>
        </w:rPr>
      </w:pPr>
      <w:r w:rsidRPr="00C142EF">
        <w:rPr>
          <w:rFonts w:cs="Times New Roman"/>
        </w:rPr>
        <w:t xml:space="preserve">Le juge Hamilton, </w:t>
      </w:r>
      <w:r>
        <w:rPr>
          <w:rFonts w:cs="Times New Roman"/>
        </w:rPr>
        <w:t>rédigeant la décision</w:t>
      </w:r>
      <w:r w:rsidRPr="00C142EF">
        <w:rPr>
          <w:rFonts w:cs="Times New Roman"/>
        </w:rPr>
        <w:t xml:space="preserve"> unanime</w:t>
      </w:r>
      <w:r>
        <w:rPr>
          <w:rFonts w:cs="Times New Roman"/>
        </w:rPr>
        <w:t xml:space="preserve"> de la cour</w:t>
      </w:r>
      <w:r w:rsidRPr="00C142EF">
        <w:rPr>
          <w:rFonts w:cs="Times New Roman"/>
        </w:rPr>
        <w:t xml:space="preserve">, souligne que la règle édictée au </w:t>
      </w:r>
      <w:proofErr w:type="spellStart"/>
      <w:r w:rsidRPr="00C142EF">
        <w:rPr>
          <w:rFonts w:cs="Times New Roman"/>
        </w:rPr>
        <w:t>par</w:t>
      </w:r>
      <w:proofErr w:type="spellEnd"/>
      <w:r w:rsidRPr="00C142EF">
        <w:rPr>
          <w:rFonts w:cs="Times New Roman"/>
        </w:rPr>
        <w:t xml:space="preserve">. 669.2(3) du </w:t>
      </w:r>
      <w:r w:rsidRPr="00C142EF">
        <w:rPr>
          <w:rFonts w:cs="Times New Roman"/>
          <w:i/>
        </w:rPr>
        <w:t>Code criminel</w:t>
      </w:r>
      <w:r w:rsidRPr="00C142EF">
        <w:rPr>
          <w:rFonts w:cs="Times New Roman"/>
        </w:rPr>
        <w:t xml:space="preserve"> oblige le nouveau juge à recommencer l’instruction au complet. La Cour d’appel s’appuie sur les arrêts </w:t>
      </w:r>
      <w:r w:rsidRPr="00C142EF">
        <w:rPr>
          <w:rFonts w:cs="Times New Roman"/>
          <w:i/>
        </w:rPr>
        <w:t>Gauthier</w:t>
      </w:r>
      <w:r>
        <w:rPr>
          <w:rFonts w:cs="Times New Roman"/>
          <w:i/>
        </w:rPr>
        <w:t xml:space="preserve"> c. R.</w:t>
      </w:r>
      <w:r w:rsidRPr="00C142EF">
        <w:rPr>
          <w:rFonts w:cs="Times New Roman"/>
        </w:rPr>
        <w:t>, 2020 QCCA 751</w:t>
      </w:r>
      <w:r>
        <w:rPr>
          <w:rFonts w:cs="Times New Roman"/>
        </w:rPr>
        <w:t>,</w:t>
      </w:r>
      <w:r w:rsidRPr="00C142EF">
        <w:rPr>
          <w:rFonts w:cs="Times New Roman"/>
        </w:rPr>
        <w:t xml:space="preserve"> et </w:t>
      </w:r>
      <w:proofErr w:type="spellStart"/>
      <w:r w:rsidRPr="00C142EF">
        <w:rPr>
          <w:rFonts w:cs="Times New Roman"/>
          <w:i/>
        </w:rPr>
        <w:t>Jetté</w:t>
      </w:r>
      <w:proofErr w:type="spellEnd"/>
      <w:r>
        <w:rPr>
          <w:rFonts w:cs="Times New Roman"/>
          <w:i/>
        </w:rPr>
        <w:t xml:space="preserve"> c. R.</w:t>
      </w:r>
      <w:r w:rsidRPr="00C142EF">
        <w:rPr>
          <w:rFonts w:cs="Times New Roman"/>
        </w:rPr>
        <w:t xml:space="preserve">, 2020 QCCA 750, dans lesquels elle avait ordonné de nouveaux procès dans des contextes similaires à celui en l’espèce. Dans </w:t>
      </w:r>
      <w:r w:rsidRPr="00C142EF">
        <w:rPr>
          <w:rFonts w:cs="Times New Roman"/>
          <w:i/>
        </w:rPr>
        <w:t>Gauthier</w:t>
      </w:r>
      <w:r w:rsidRPr="00C142EF">
        <w:rPr>
          <w:rFonts w:cs="Times New Roman"/>
        </w:rPr>
        <w:t xml:space="preserve"> et </w:t>
      </w:r>
      <w:proofErr w:type="spellStart"/>
      <w:r w:rsidRPr="00C142EF">
        <w:rPr>
          <w:rFonts w:cs="Times New Roman"/>
          <w:i/>
        </w:rPr>
        <w:t>Jetté</w:t>
      </w:r>
      <w:proofErr w:type="spellEnd"/>
      <w:r w:rsidRPr="00C142EF">
        <w:rPr>
          <w:rFonts w:cs="Times New Roman"/>
        </w:rPr>
        <w:t>, la Cour d’appel a reconnu que l’accusé peut consentir au versement de la preuve faite devant le premier juge</w:t>
      </w:r>
      <w:r>
        <w:rPr>
          <w:rFonts w:cs="Times New Roman"/>
        </w:rPr>
        <w:t>.</w:t>
      </w:r>
      <w:r w:rsidRPr="00C142EF">
        <w:rPr>
          <w:rFonts w:cs="Times New Roman"/>
        </w:rPr>
        <w:t xml:space="preserve"> </w:t>
      </w:r>
      <w:r>
        <w:rPr>
          <w:rFonts w:cs="Times New Roman"/>
        </w:rPr>
        <w:t>L</w:t>
      </w:r>
      <w:r w:rsidRPr="00C142EF">
        <w:rPr>
          <w:rFonts w:cs="Times New Roman"/>
        </w:rPr>
        <w:t xml:space="preserve">e nouveau juge doit </w:t>
      </w:r>
      <w:r>
        <w:rPr>
          <w:rFonts w:cs="Times New Roman"/>
        </w:rPr>
        <w:t xml:space="preserve">toutefois </w:t>
      </w:r>
      <w:r w:rsidRPr="00C142EF">
        <w:rPr>
          <w:rFonts w:cs="Times New Roman"/>
        </w:rPr>
        <w:t xml:space="preserve">refuser </w:t>
      </w:r>
      <w:r>
        <w:rPr>
          <w:rFonts w:cs="Times New Roman"/>
        </w:rPr>
        <w:t xml:space="preserve">que le témoignage soit versé au dossier </w:t>
      </w:r>
      <w:r w:rsidRPr="00C142EF">
        <w:rPr>
          <w:rFonts w:cs="Times New Roman"/>
        </w:rPr>
        <w:t xml:space="preserve">à moins d’être convaincu que </w:t>
      </w:r>
      <w:r>
        <w:rPr>
          <w:rFonts w:cs="Times New Roman"/>
        </w:rPr>
        <w:t>le consentement de l’accusé</w:t>
      </w:r>
      <w:r w:rsidRPr="00C142EF">
        <w:rPr>
          <w:rFonts w:cs="Times New Roman"/>
        </w:rPr>
        <w:t xml:space="preserve"> est libre, éclairé et non équivoque. Le nouveau juge doit également être satisfait que le versement de la preuve faite devant le premier juge ne porte pas atteinte à l’équité du procès.</w:t>
      </w:r>
    </w:p>
    <w:p w14:paraId="6775DFF1" w14:textId="77777777" w:rsidR="00F21424" w:rsidRPr="00C142EF" w:rsidRDefault="00F21424" w:rsidP="00F21424">
      <w:pPr>
        <w:pStyle w:val="ParaNoNdepar-AltN"/>
        <w:rPr>
          <w:rFonts w:cs="Times New Roman"/>
        </w:rPr>
      </w:pPr>
      <w:r w:rsidRPr="00C142EF">
        <w:rPr>
          <w:rFonts w:cs="Times New Roman"/>
        </w:rPr>
        <w:t xml:space="preserve">La Cour d’appel conclut que </w:t>
      </w:r>
      <w:r>
        <w:rPr>
          <w:rFonts w:cs="Times New Roman"/>
        </w:rPr>
        <w:t>« </w:t>
      </w:r>
      <w:r w:rsidRPr="00C142EF">
        <w:rPr>
          <w:rFonts w:cs="Times New Roman"/>
        </w:rPr>
        <w:t xml:space="preserve">le juge de première instance n’aurait pas dû accepter que le témoignage de </w:t>
      </w:r>
      <w:r>
        <w:rPr>
          <w:rFonts w:cs="Times New Roman"/>
        </w:rPr>
        <w:t>[</w:t>
      </w:r>
      <w:r w:rsidRPr="00C142EF">
        <w:rPr>
          <w:rFonts w:cs="Times New Roman"/>
        </w:rPr>
        <w:t>C.D.</w:t>
      </w:r>
      <w:r>
        <w:rPr>
          <w:rFonts w:cs="Times New Roman"/>
        </w:rPr>
        <w:t>]</w:t>
      </w:r>
      <w:r w:rsidRPr="00C142EF">
        <w:rPr>
          <w:rFonts w:cs="Times New Roman"/>
        </w:rPr>
        <w:t xml:space="preserve"> soit versé au dossier sans s’assurer que le consentement de </w:t>
      </w:r>
      <w:proofErr w:type="gramStart"/>
      <w:r w:rsidRPr="00C142EF">
        <w:rPr>
          <w:rFonts w:cs="Times New Roman"/>
        </w:rPr>
        <w:t>l’</w:t>
      </w:r>
      <w:r>
        <w:rPr>
          <w:rFonts w:cs="Times New Roman"/>
        </w:rPr>
        <w:t>[</w:t>
      </w:r>
      <w:proofErr w:type="gramEnd"/>
      <w:r w:rsidRPr="00C142EF">
        <w:rPr>
          <w:rFonts w:cs="Times New Roman"/>
        </w:rPr>
        <w:t>accusé</w:t>
      </w:r>
      <w:r>
        <w:rPr>
          <w:rFonts w:cs="Times New Roman"/>
        </w:rPr>
        <w:t>]</w:t>
      </w:r>
      <w:r w:rsidRPr="00C142EF">
        <w:rPr>
          <w:rFonts w:cs="Times New Roman"/>
        </w:rPr>
        <w:t xml:space="preserve"> était libre, éclairé et non équivoque et que le versement du témoignage de </w:t>
      </w:r>
      <w:r>
        <w:rPr>
          <w:rFonts w:cs="Times New Roman"/>
        </w:rPr>
        <w:t>[</w:t>
      </w:r>
      <w:r w:rsidRPr="00C142EF">
        <w:rPr>
          <w:rFonts w:cs="Times New Roman"/>
        </w:rPr>
        <w:t>C.D.</w:t>
      </w:r>
      <w:r>
        <w:rPr>
          <w:rFonts w:cs="Times New Roman"/>
        </w:rPr>
        <w:t>]</w:t>
      </w:r>
      <w:r w:rsidRPr="00C142EF">
        <w:rPr>
          <w:rFonts w:cs="Times New Roman"/>
        </w:rPr>
        <w:t xml:space="preserve"> ne porterait pas atteinte à l’équité du procès</w:t>
      </w:r>
      <w:r>
        <w:rPr>
          <w:rFonts w:cs="Times New Roman"/>
        </w:rPr>
        <w:t> » (par. 36 (CanLII))</w:t>
      </w:r>
      <w:r w:rsidRPr="00C142EF">
        <w:rPr>
          <w:rFonts w:cs="Times New Roman"/>
        </w:rPr>
        <w:t>. S’il n’en était pas satisfait, il devait refuser que cette preuve soit versée comme preuve au fond et il aurait dû recommencer l’instruction au complet. Selon la Cour d’appel, même si la preuve faite devant le premier juge se limitait au témoignage de C.D., il s’agissait d’une preuve importante dans un dossier où la crédibilité est capitale.</w:t>
      </w:r>
    </w:p>
    <w:p w14:paraId="301CFE36" w14:textId="77777777" w:rsidR="00F21424" w:rsidRPr="00C142EF" w:rsidRDefault="00F21424" w:rsidP="00F21424">
      <w:pPr>
        <w:pStyle w:val="ParaNoNdepar-AltN"/>
        <w:rPr>
          <w:rFonts w:cs="Times New Roman"/>
        </w:rPr>
      </w:pPr>
      <w:r w:rsidRPr="00C142EF">
        <w:rPr>
          <w:rFonts w:cs="Times New Roman"/>
        </w:rPr>
        <w:t xml:space="preserve">La Cour d’appel ordonne la tenue d’un nouveau procès relativement aux chefs d’accusation concernant C.D. (chefs 1 et 2), mais aussi relativement à ceux visant S.D. (chefs 9 à 13) puisqu’un des gestes reprochés à l’intimé est lié à un événement mettant en cause à la fois C.D. et S.D. Le témoignage de C.D. est un facteur qui pèse dans </w:t>
      </w:r>
      <w:r>
        <w:rPr>
          <w:rFonts w:cs="Times New Roman"/>
        </w:rPr>
        <w:t>l’</w:t>
      </w:r>
      <w:r w:rsidRPr="00C142EF">
        <w:rPr>
          <w:rFonts w:cs="Times New Roman"/>
        </w:rPr>
        <w:t>évaluation</w:t>
      </w:r>
      <w:r>
        <w:rPr>
          <w:rFonts w:cs="Times New Roman"/>
        </w:rPr>
        <w:t xml:space="preserve"> de la crédibilité de l’intimé et de S.D.</w:t>
      </w:r>
      <w:r w:rsidRPr="00C142EF">
        <w:rPr>
          <w:rFonts w:cs="Times New Roman"/>
        </w:rPr>
        <w:t xml:space="preserve">, car C.D. contredit l’intimé et corrobore le témoignage de S.D. </w:t>
      </w:r>
      <w:r>
        <w:rPr>
          <w:rFonts w:cs="Times New Roman"/>
        </w:rPr>
        <w:t>« </w:t>
      </w:r>
      <w:r w:rsidRPr="00C142EF">
        <w:rPr>
          <w:rFonts w:cs="Times New Roman"/>
        </w:rPr>
        <w:t xml:space="preserve">Il serait donc dangereux de confirmer les condamnations concernant </w:t>
      </w:r>
      <w:r>
        <w:rPr>
          <w:rFonts w:cs="Times New Roman"/>
        </w:rPr>
        <w:t>[</w:t>
      </w:r>
      <w:r w:rsidRPr="00C142EF">
        <w:rPr>
          <w:rFonts w:cs="Times New Roman"/>
        </w:rPr>
        <w:t>S.D.</w:t>
      </w:r>
      <w:r>
        <w:rPr>
          <w:rFonts w:cs="Times New Roman"/>
        </w:rPr>
        <w:t>]</w:t>
      </w:r>
      <w:r w:rsidRPr="00C142EF">
        <w:rPr>
          <w:rFonts w:cs="Times New Roman"/>
        </w:rPr>
        <w:t xml:space="preserve"> sans que le juge de première instance ait entendu le témoignage de </w:t>
      </w:r>
      <w:r>
        <w:rPr>
          <w:rFonts w:cs="Times New Roman"/>
        </w:rPr>
        <w:t>[</w:t>
      </w:r>
      <w:r w:rsidRPr="00C142EF">
        <w:rPr>
          <w:rFonts w:cs="Times New Roman"/>
        </w:rPr>
        <w:t>C.D</w:t>
      </w:r>
      <w:r>
        <w:rPr>
          <w:rFonts w:cs="Times New Roman"/>
        </w:rPr>
        <w:t>.] » (par. 41)</w:t>
      </w:r>
      <w:r w:rsidRPr="00C142EF">
        <w:rPr>
          <w:rFonts w:cs="Times New Roman"/>
        </w:rPr>
        <w:t>. En conséquence, la requête visant à annuler les peines en lien avec les chefs d’accusation 1 et 2 à l’égard de C.D. et les chefs d’accusation 9 à 13 à l’égard de S.D. est aussi accueillie.</w:t>
      </w:r>
    </w:p>
    <w:p w14:paraId="63513967" w14:textId="77777777" w:rsidR="00F21424" w:rsidRPr="00C142EF" w:rsidRDefault="00F21424" w:rsidP="00F21424">
      <w:pPr>
        <w:pStyle w:val="ParaNoNdepar-AltN"/>
        <w:rPr>
          <w:rFonts w:cs="Times New Roman"/>
        </w:rPr>
      </w:pPr>
      <w:r w:rsidRPr="00C142EF">
        <w:rPr>
          <w:rFonts w:cs="Times New Roman"/>
        </w:rPr>
        <w:t>En ce qui a trait aux deux autres plaignants, les événements en question n’impliquent pas C.D., et son témoignage n’a aucune pertinence</w:t>
      </w:r>
      <w:r>
        <w:rPr>
          <w:rFonts w:cs="Times New Roman"/>
        </w:rPr>
        <w:t xml:space="preserve"> sauf sur des questions secondaires</w:t>
      </w:r>
      <w:r w:rsidRPr="00C142EF">
        <w:rPr>
          <w:rFonts w:cs="Times New Roman"/>
        </w:rPr>
        <w:t>. La Cour d’appel confirme les condamnations quant aux chefs 14 et 17 relatifs à ces deux plaignants. Elle confirme également les peines pour ces chefs.</w:t>
      </w:r>
    </w:p>
    <w:p w14:paraId="3E1411D0" w14:textId="77777777" w:rsidR="00F21424" w:rsidRPr="00C142EF" w:rsidRDefault="00F21424" w:rsidP="00F21424">
      <w:pPr>
        <w:pStyle w:val="Title1LevelTitre1Niveau-AltL"/>
        <w:ind w:left="578" w:hanging="578"/>
        <w:rPr>
          <w:rFonts w:cs="Times New Roman"/>
        </w:rPr>
      </w:pPr>
      <w:r w:rsidRPr="00C142EF">
        <w:rPr>
          <w:rFonts w:cs="Times New Roman"/>
        </w:rPr>
        <w:t>Question en litige</w:t>
      </w:r>
    </w:p>
    <w:p w14:paraId="22FC39E5" w14:textId="77777777" w:rsidR="00F21424" w:rsidRPr="00144BA1" w:rsidRDefault="00F21424" w:rsidP="00F21424">
      <w:pPr>
        <w:pStyle w:val="ParaNoNdepar-AltN"/>
        <w:rPr>
          <w:lang w:val="fr-FR"/>
        </w:rPr>
      </w:pPr>
      <w:r w:rsidRPr="00144BA1">
        <w:t>Le présent pourvoi ne concerne que les chefs d’accusation relatifs à C.D. et S.D. et ne soulève qu’une seule question :</w:t>
      </w:r>
      <w:r>
        <w:t xml:space="preserve"> l</w:t>
      </w:r>
      <w:proofErr w:type="spellStart"/>
      <w:r w:rsidRPr="00144BA1">
        <w:rPr>
          <w:lang w:val="fr-FR"/>
        </w:rPr>
        <w:t>a</w:t>
      </w:r>
      <w:proofErr w:type="spellEnd"/>
      <w:r w:rsidRPr="00144BA1">
        <w:rPr>
          <w:lang w:val="fr-FR"/>
        </w:rPr>
        <w:t xml:space="preserve"> Cour d’appel se méprend-elle dans son interprétation et son application de l’art. 669.2 du </w:t>
      </w:r>
      <w:r w:rsidRPr="00144BA1">
        <w:rPr>
          <w:i/>
          <w:lang w:val="fr-FR"/>
        </w:rPr>
        <w:t>Code criminel</w:t>
      </w:r>
      <w:r w:rsidRPr="00144BA1">
        <w:rPr>
          <w:lang w:val="fr-FR"/>
        </w:rPr>
        <w:t>, en imposant un test non prévu à la loi afin d’évaluer la valeur du consentement donné par l’accusé pour procéder, dans le cadre d’un second procès, au dépôt de la transcription d’un témoignage rendu antérieurement lors d’un</w:t>
      </w:r>
      <w:r>
        <w:rPr>
          <w:lang w:val="fr-FR"/>
        </w:rPr>
        <w:t xml:space="preserve"> premier procès</w:t>
      </w:r>
      <w:r w:rsidRPr="00144BA1">
        <w:rPr>
          <w:lang w:val="fr-FR"/>
        </w:rPr>
        <w:t>?</w:t>
      </w:r>
    </w:p>
    <w:p w14:paraId="4145DE28" w14:textId="77777777" w:rsidR="00F21424" w:rsidRPr="00C142EF" w:rsidRDefault="00F21424" w:rsidP="00F21424">
      <w:pPr>
        <w:pStyle w:val="Title1LevelTitre1Niveau-AltL"/>
        <w:rPr>
          <w:rFonts w:cs="Times New Roman"/>
        </w:rPr>
      </w:pPr>
      <w:r w:rsidRPr="00C142EF">
        <w:rPr>
          <w:rFonts w:cs="Times New Roman"/>
        </w:rPr>
        <w:t>Analyse</w:t>
      </w:r>
    </w:p>
    <w:p w14:paraId="306887D0" w14:textId="77777777" w:rsidR="00F21424" w:rsidRPr="00C142EF" w:rsidRDefault="00F21424" w:rsidP="00F21424">
      <w:pPr>
        <w:pStyle w:val="ParaNoNdepar-AltN"/>
        <w:rPr>
          <w:rFonts w:cs="Times New Roman"/>
        </w:rPr>
      </w:pPr>
      <w:r w:rsidRPr="00C142EF">
        <w:rPr>
          <w:rFonts w:cs="Times New Roman"/>
        </w:rPr>
        <w:t xml:space="preserve">La Cour d’appel reconnaît que le par. 669.2(3) du </w:t>
      </w:r>
      <w:r w:rsidRPr="00C142EF">
        <w:rPr>
          <w:rFonts w:cs="Times New Roman"/>
          <w:i/>
        </w:rPr>
        <w:t>Code criminel</w:t>
      </w:r>
      <w:r w:rsidRPr="00C142EF">
        <w:rPr>
          <w:rFonts w:cs="Times New Roman"/>
        </w:rPr>
        <w:t xml:space="preserve"> ne constitue pas un obstacle à l’application des règles habituelles en matière d’administration de la preuve : « nonobstant le paragraphe 669.2(3) </w:t>
      </w:r>
      <w:r w:rsidRPr="00C142EF">
        <w:rPr>
          <w:rFonts w:cs="Times New Roman"/>
          <w:i/>
        </w:rPr>
        <w:t>C.cr.</w:t>
      </w:r>
      <w:r w:rsidRPr="00C142EF">
        <w:rPr>
          <w:rFonts w:cs="Times New Roman"/>
        </w:rPr>
        <w:t>, l’accusé peut consentir au versement de la preuve faite devant le premier juge » (par. 33). Malgré tout, elle décide que le juge du second procès doit tenir une enquête en deux temps. En effet, le juge du second procès doit, dans un premier temps, faire enquête sur le caractère libre, éclairé et non équivoque du consentement de l’accusé au dépôt en preuve de notes sténographiques pour valoir témoignage. Dans un second temps, il doit s’assurer que l’admission en preuve d’un témoignage antérieur ne portera pas atteinte à l’équité du procès.</w:t>
      </w:r>
    </w:p>
    <w:p w14:paraId="352F03E4" w14:textId="77777777" w:rsidR="00F21424" w:rsidRPr="00C142EF" w:rsidRDefault="00F21424" w:rsidP="00F21424">
      <w:pPr>
        <w:pStyle w:val="ParaNoNdepar-AltN"/>
        <w:rPr>
          <w:rFonts w:cs="Times New Roman"/>
          <w:lang w:val="fr-FR"/>
        </w:rPr>
      </w:pPr>
      <w:r w:rsidRPr="00C142EF">
        <w:rPr>
          <w:rFonts w:cs="Times New Roman"/>
          <w:lang w:val="fr-FR"/>
        </w:rPr>
        <w:t xml:space="preserve">L’enquête imposée par la Cour d’appel outrepasse la fonction juridictionnelle de l’art. 669.2. Avec égards, je suis d’avis que la Cour d’appel a fait erreur en exigeant un test non prévu par la loi. </w:t>
      </w:r>
      <w:r w:rsidRPr="00C142EF">
        <w:rPr>
          <w:rFonts w:cs="Times New Roman"/>
        </w:rPr>
        <w:t>La renonciation à un droit de nature procédurale formulée par l’avocat de l’accusé est présumée volontaire, à moins d’une preuve contraire.</w:t>
      </w:r>
    </w:p>
    <w:p w14:paraId="67B506AF" w14:textId="77777777" w:rsidR="00F21424" w:rsidRPr="00C142EF" w:rsidRDefault="00F21424" w:rsidP="00F21424">
      <w:pPr>
        <w:pStyle w:val="Title2LevelTitre2Niveau"/>
        <w:rPr>
          <w:rFonts w:cs="Times New Roman"/>
          <w:lang w:val="fr-FR"/>
        </w:rPr>
      </w:pPr>
      <w:r w:rsidRPr="00C142EF">
        <w:rPr>
          <w:rFonts w:cs="Times New Roman"/>
          <w:lang w:val="fr-FR"/>
        </w:rPr>
        <w:t>L’article 669.2 du Code criminel</w:t>
      </w:r>
    </w:p>
    <w:p w14:paraId="26CE6502" w14:textId="77777777" w:rsidR="00F21424" w:rsidRPr="00C142EF" w:rsidRDefault="00F21424" w:rsidP="00F21424">
      <w:pPr>
        <w:pStyle w:val="ParaNoNdepar-AltN"/>
        <w:rPr>
          <w:rFonts w:cs="Times New Roman"/>
          <w:lang w:val="fr-FR"/>
        </w:rPr>
      </w:pPr>
      <w:r w:rsidRPr="00C142EF">
        <w:rPr>
          <w:rFonts w:cs="Times New Roman"/>
          <w:lang w:val="fr-FR"/>
        </w:rPr>
        <w:t>Afin de trancher la question soulevée par le présent pourvoi, il est nécessaire de procéder à un exercice d’interprétation statutaire.</w:t>
      </w:r>
      <w:r w:rsidRPr="00C142EF">
        <w:rPr>
          <w:rFonts w:cs="Times New Roman"/>
          <w:i/>
          <w:lang w:val="fr-FR"/>
        </w:rPr>
        <w:t xml:space="preserve"> </w:t>
      </w:r>
      <w:r w:rsidRPr="00C142EF">
        <w:rPr>
          <w:rFonts w:cs="Times New Roman"/>
          <w:lang w:val="fr-FR"/>
        </w:rPr>
        <w:t>L’art</w:t>
      </w:r>
      <w:r>
        <w:rPr>
          <w:rFonts w:cs="Times New Roman"/>
          <w:lang w:val="fr-FR"/>
        </w:rPr>
        <w:t>icle</w:t>
      </w:r>
      <w:r w:rsidRPr="00C142EF">
        <w:rPr>
          <w:rFonts w:cs="Times New Roman"/>
          <w:lang w:val="fr-FR"/>
        </w:rPr>
        <w:t> 669.2 est ainsi libellé :</w:t>
      </w:r>
    </w:p>
    <w:p w14:paraId="5705B3C0" w14:textId="77777777" w:rsidR="00F21424" w:rsidRPr="00C142EF" w:rsidRDefault="00F21424" w:rsidP="00F21424">
      <w:pPr>
        <w:pStyle w:val="Citation-AltC"/>
        <w:rPr>
          <w:b/>
        </w:rPr>
      </w:pPr>
      <w:r w:rsidRPr="00C142EF">
        <w:rPr>
          <w:b/>
        </w:rPr>
        <w:t>Continuation des procédures</w:t>
      </w:r>
    </w:p>
    <w:p w14:paraId="10CDA52B" w14:textId="77777777" w:rsidR="00F21424" w:rsidRPr="00C142EF" w:rsidRDefault="00F21424" w:rsidP="00F21424">
      <w:pPr>
        <w:pStyle w:val="Citation-AltC"/>
        <w:rPr>
          <w:b/>
        </w:rPr>
      </w:pPr>
    </w:p>
    <w:p w14:paraId="3C4622FC" w14:textId="77777777" w:rsidR="00F21424" w:rsidRPr="00C142EF" w:rsidRDefault="00F21424" w:rsidP="00F21424">
      <w:pPr>
        <w:pStyle w:val="Citation-AltC"/>
      </w:pPr>
      <w:r w:rsidRPr="00144BA1">
        <w:rPr>
          <w:b/>
        </w:rPr>
        <w:t>669.2 (1)</w:t>
      </w:r>
      <w:r w:rsidRPr="00C142EF">
        <w:t xml:space="preserve"> Sous réserve des autres dispositions du présent article, lorsqu’un accusé ou un défendeur subit son procès devant, selon le cas :</w:t>
      </w:r>
    </w:p>
    <w:p w14:paraId="69B8F882" w14:textId="77777777" w:rsidR="00F21424" w:rsidRPr="00C142EF" w:rsidRDefault="00F21424" w:rsidP="00F21424">
      <w:pPr>
        <w:pStyle w:val="Citation-AltC"/>
      </w:pPr>
    </w:p>
    <w:p w14:paraId="782280B2" w14:textId="77777777" w:rsidR="00F21424" w:rsidRPr="00C142EF" w:rsidRDefault="00F21424" w:rsidP="00F21424">
      <w:pPr>
        <w:pStyle w:val="Citation-AltC"/>
        <w:ind w:firstLine="274"/>
      </w:pPr>
      <w:r w:rsidRPr="00144BA1">
        <w:rPr>
          <w:b/>
        </w:rPr>
        <w:t>a)</w:t>
      </w:r>
      <w:r w:rsidRPr="00C142EF">
        <w:t xml:space="preserve"> un juge ou un juge de la cour provinciale;</w:t>
      </w:r>
    </w:p>
    <w:p w14:paraId="5EB014F6" w14:textId="77777777" w:rsidR="00F21424" w:rsidRPr="00C142EF" w:rsidRDefault="00F21424" w:rsidP="00F21424">
      <w:pPr>
        <w:pStyle w:val="Citation-AltC"/>
      </w:pPr>
    </w:p>
    <w:p w14:paraId="24211B94" w14:textId="77777777" w:rsidR="00F21424" w:rsidRPr="00C142EF" w:rsidRDefault="00F21424" w:rsidP="00F21424">
      <w:pPr>
        <w:pStyle w:val="Citation-AltC"/>
        <w:ind w:left="1440"/>
      </w:pPr>
      <w:r w:rsidRPr="00144BA1">
        <w:rPr>
          <w:b/>
        </w:rPr>
        <w:t>b)</w:t>
      </w:r>
      <w:r w:rsidRPr="00C142EF">
        <w:t xml:space="preserve"> un juge de paix ou une autre personne qui constitue une cour des poursuites sommaires ou en est membre;</w:t>
      </w:r>
    </w:p>
    <w:p w14:paraId="252BBA0F" w14:textId="77777777" w:rsidR="00F21424" w:rsidRPr="00C142EF" w:rsidRDefault="00F21424" w:rsidP="00F21424">
      <w:pPr>
        <w:pStyle w:val="Citation-AltC"/>
      </w:pPr>
    </w:p>
    <w:p w14:paraId="198D9B42" w14:textId="77777777" w:rsidR="00F21424" w:rsidRPr="00C142EF" w:rsidRDefault="00F21424" w:rsidP="00F21424">
      <w:pPr>
        <w:pStyle w:val="Citation-AltC"/>
        <w:ind w:firstLine="274"/>
      </w:pPr>
      <w:r w:rsidRPr="00144BA1">
        <w:rPr>
          <w:b/>
        </w:rPr>
        <w:t>c)</w:t>
      </w:r>
      <w:r w:rsidRPr="00C142EF">
        <w:t xml:space="preserve"> un tribunal composé d’un juge et d’un jury,</w:t>
      </w:r>
    </w:p>
    <w:p w14:paraId="6889E33A" w14:textId="77777777" w:rsidR="00F21424" w:rsidRPr="00C142EF" w:rsidRDefault="00F21424" w:rsidP="00F21424">
      <w:pPr>
        <w:pStyle w:val="Citation-AltC"/>
      </w:pPr>
    </w:p>
    <w:p w14:paraId="0CDF2760" w14:textId="77777777" w:rsidR="00F21424" w:rsidRPr="00C142EF" w:rsidRDefault="00F21424" w:rsidP="00F21424">
      <w:pPr>
        <w:pStyle w:val="Citation-AltC"/>
      </w:pPr>
      <w:r w:rsidRPr="00C142EF">
        <w:t xml:space="preserve">et que le juge, le juge de la cour provinciale, le juge de paix ou l’autre personne décède </w:t>
      </w:r>
      <w:r w:rsidRPr="00C142EF">
        <w:rPr>
          <w:u w:val="single"/>
        </w:rPr>
        <w:t>ou pour une autre raison devient incapable d’assumer ses fonctions, les procédures peuvent se poursuivre</w:t>
      </w:r>
      <w:r w:rsidRPr="00C142EF">
        <w:t xml:space="preserve"> devant un autre juge, un juge de la cour provinciale, un juge de paix ou une autre personne, selon le cas, qui est compétent pour juger l’accusé ou le défendeur.</w:t>
      </w:r>
    </w:p>
    <w:p w14:paraId="67F658A7" w14:textId="77777777" w:rsidR="00F21424" w:rsidRPr="00C142EF" w:rsidRDefault="00F21424" w:rsidP="00F21424">
      <w:pPr>
        <w:pStyle w:val="Citation-AltC"/>
      </w:pPr>
    </w:p>
    <w:p w14:paraId="70B3E325" w14:textId="77777777" w:rsidR="00F21424" w:rsidRPr="00C142EF" w:rsidRDefault="00F21424" w:rsidP="00F21424">
      <w:pPr>
        <w:pStyle w:val="Citation-AltC"/>
        <w:rPr>
          <w:b/>
        </w:rPr>
      </w:pPr>
      <w:r w:rsidRPr="00C142EF">
        <w:rPr>
          <w:b/>
        </w:rPr>
        <w:t>Lorsqu’une décision a été rendue</w:t>
      </w:r>
    </w:p>
    <w:p w14:paraId="401DF289" w14:textId="77777777" w:rsidR="00F21424" w:rsidRPr="00C142EF" w:rsidRDefault="00F21424" w:rsidP="00F21424">
      <w:pPr>
        <w:pStyle w:val="Citation-AltC"/>
      </w:pPr>
    </w:p>
    <w:p w14:paraId="57EE416B" w14:textId="77777777" w:rsidR="00F21424" w:rsidRPr="00C142EF" w:rsidRDefault="00F21424" w:rsidP="00F21424">
      <w:pPr>
        <w:pStyle w:val="Citation-AltC"/>
      </w:pPr>
      <w:r w:rsidRPr="00144BA1">
        <w:rPr>
          <w:b/>
        </w:rPr>
        <w:t>(2)</w:t>
      </w:r>
      <w:r w:rsidRPr="00C142EF">
        <w:t xml:space="preserve"> Lorsqu’un verdict a été rendu par le jury ou qu’une décision a été rendue par le juge, le juge de la cour provinciale, le juge de paix ou l’autre personne devant qui le procès a débuté, le juge, le juge de la cour provinciale, le juge de paix ou l’autre personne devant qui les procédures se poursuivent doit, sans nouveau choix de la part de l’accusé, infliger une peine ou rendre l’ordonnance que la loi autorise dans les circonstances.</w:t>
      </w:r>
    </w:p>
    <w:p w14:paraId="6A5082EE" w14:textId="77777777" w:rsidR="00F21424" w:rsidRPr="00C142EF" w:rsidRDefault="00F21424" w:rsidP="00F21424">
      <w:pPr>
        <w:pStyle w:val="Citation-AltC"/>
      </w:pPr>
    </w:p>
    <w:p w14:paraId="2DBBD53B" w14:textId="77777777" w:rsidR="00F21424" w:rsidRPr="00C142EF" w:rsidRDefault="00F21424" w:rsidP="00F21424">
      <w:pPr>
        <w:pStyle w:val="Citation-AltC"/>
        <w:rPr>
          <w:b/>
        </w:rPr>
      </w:pPr>
      <w:r w:rsidRPr="00C142EF">
        <w:rPr>
          <w:b/>
        </w:rPr>
        <w:t>Lorsqu’aucune décision n’a été rendue</w:t>
      </w:r>
    </w:p>
    <w:p w14:paraId="19EFFA13" w14:textId="77777777" w:rsidR="00F21424" w:rsidRPr="00C142EF" w:rsidRDefault="00F21424" w:rsidP="00F21424">
      <w:pPr>
        <w:pStyle w:val="Citation-AltC"/>
      </w:pPr>
    </w:p>
    <w:p w14:paraId="265962E0" w14:textId="77777777" w:rsidR="00F21424" w:rsidRPr="00C142EF" w:rsidRDefault="00F21424" w:rsidP="00F21424">
      <w:pPr>
        <w:pStyle w:val="Citation-AltC"/>
        <w:rPr>
          <w:u w:val="single"/>
        </w:rPr>
      </w:pPr>
      <w:r w:rsidRPr="00144BA1">
        <w:rPr>
          <w:b/>
        </w:rPr>
        <w:t>(3)</w:t>
      </w:r>
      <w:r w:rsidRPr="00C142EF">
        <w:t xml:space="preserve"> Sous réserve des paragraphes (4) et (5), lorsque le procès a débuté et qu’aucune décision ni aucun verdict n’a été rendu, </w:t>
      </w:r>
      <w:r w:rsidRPr="00746DE1">
        <w:rPr>
          <w:u w:val="single"/>
        </w:rPr>
        <w:t>le juge,</w:t>
      </w:r>
      <w:r w:rsidRPr="00DE6257">
        <w:rPr>
          <w:u w:val="single"/>
        </w:rPr>
        <w:t xml:space="preserve"> </w:t>
      </w:r>
      <w:r w:rsidRPr="00C142EF">
        <w:rPr>
          <w:u w:val="single"/>
        </w:rPr>
        <w:t>le juge de la cour provinciale, le juge de paix ou l’autre personne devant qui les procédures se poursuivent doit, sans nouveau choix de la part de l’accusé, recommencer le procès comme si aucune preuve sur le fond n’avait été présentée</w:t>
      </w:r>
      <w:r w:rsidRPr="00144BA1">
        <w:t>.</w:t>
      </w:r>
    </w:p>
    <w:p w14:paraId="4E32F926" w14:textId="77777777" w:rsidR="00F21424" w:rsidRPr="00C142EF" w:rsidRDefault="00F21424" w:rsidP="00F21424">
      <w:pPr>
        <w:pStyle w:val="Citation-AltC"/>
      </w:pPr>
    </w:p>
    <w:p w14:paraId="148D157A" w14:textId="77777777" w:rsidR="00F21424" w:rsidRPr="00C142EF" w:rsidRDefault="00F21424" w:rsidP="00F21424">
      <w:pPr>
        <w:pStyle w:val="Citation-AltC"/>
        <w:rPr>
          <w:b/>
        </w:rPr>
      </w:pPr>
      <w:r w:rsidRPr="00C142EF">
        <w:rPr>
          <w:b/>
        </w:rPr>
        <w:t>Pouvoir du juge</w:t>
      </w:r>
    </w:p>
    <w:p w14:paraId="037DA7AA" w14:textId="77777777" w:rsidR="00F21424" w:rsidRPr="00C142EF" w:rsidRDefault="00F21424" w:rsidP="00F21424">
      <w:pPr>
        <w:pStyle w:val="Citation-AltC"/>
      </w:pPr>
    </w:p>
    <w:p w14:paraId="0695DD08" w14:textId="77777777" w:rsidR="00F21424" w:rsidRPr="00C142EF" w:rsidRDefault="00F21424" w:rsidP="00F21424">
      <w:pPr>
        <w:pStyle w:val="Citation-AltC"/>
        <w:rPr>
          <w:u w:val="single"/>
        </w:rPr>
      </w:pPr>
      <w:r w:rsidRPr="00144BA1">
        <w:rPr>
          <w:b/>
        </w:rPr>
        <w:t>(4)</w:t>
      </w:r>
      <w:r w:rsidRPr="00C142EF">
        <w:t xml:space="preserve"> Lorsque le procès a débuté devant un tribunal composé d’un juge et d’un jury et qu’aucune décision ni aucun verdict n’a été rendu, </w:t>
      </w:r>
      <w:r w:rsidRPr="00C142EF">
        <w:rPr>
          <w:u w:val="single"/>
        </w:rPr>
        <w:t>le juge devant qui les procédures se poursuivent peut, sans nouveau choix de la part de l’accusé, continuer les procédures ou recommencer le procès comme si aucune preuve sur le fond n’avait été présentée</w:t>
      </w:r>
      <w:r w:rsidRPr="00144BA1">
        <w:t>.</w:t>
      </w:r>
    </w:p>
    <w:p w14:paraId="3E4D3F31" w14:textId="77777777" w:rsidR="00F21424" w:rsidRPr="00C142EF" w:rsidRDefault="00F21424" w:rsidP="00F21424">
      <w:pPr>
        <w:pStyle w:val="Citation-AltC"/>
      </w:pPr>
    </w:p>
    <w:p w14:paraId="347E18FD" w14:textId="77777777" w:rsidR="00F21424" w:rsidRPr="00C142EF" w:rsidRDefault="00F21424" w:rsidP="00F21424">
      <w:pPr>
        <w:pStyle w:val="Citation-AltC"/>
        <w:rPr>
          <w:b/>
        </w:rPr>
      </w:pPr>
      <w:r w:rsidRPr="00C142EF">
        <w:rPr>
          <w:b/>
        </w:rPr>
        <w:t>Administration de la preuve</w:t>
      </w:r>
    </w:p>
    <w:p w14:paraId="649161BF" w14:textId="77777777" w:rsidR="00F21424" w:rsidRPr="00C142EF" w:rsidRDefault="00F21424" w:rsidP="00F21424">
      <w:pPr>
        <w:pStyle w:val="Citation-AltC"/>
      </w:pPr>
    </w:p>
    <w:p w14:paraId="385FD34C" w14:textId="77777777" w:rsidR="00F21424" w:rsidRPr="00C142EF" w:rsidRDefault="00F21424" w:rsidP="00F21424">
      <w:pPr>
        <w:pStyle w:val="Citation-AltC"/>
      </w:pPr>
      <w:r w:rsidRPr="00144BA1">
        <w:rPr>
          <w:b/>
        </w:rPr>
        <w:t>(5)</w:t>
      </w:r>
      <w:r w:rsidRPr="00C142EF">
        <w:t xml:space="preserve"> La preuve présentée devant le juge visé à l’alinéa (1)c) est réputée avoir été présentée au juge devant qui se poursuivent les procédures, à moins que les parties ne consentent à la présenter de nouveau, en tout ou en partie.</w:t>
      </w:r>
    </w:p>
    <w:p w14:paraId="4F39EE90" w14:textId="67CCE200" w:rsidR="00F21424" w:rsidRPr="00C142EF" w:rsidRDefault="00F21424" w:rsidP="00F21424">
      <w:pPr>
        <w:pStyle w:val="ParaNoNdepar-AltN"/>
        <w:rPr>
          <w:rFonts w:cs="Times New Roman"/>
        </w:rPr>
      </w:pPr>
      <w:r w:rsidRPr="00C142EF">
        <w:rPr>
          <w:rFonts w:cs="Times New Roman"/>
        </w:rPr>
        <w:t xml:space="preserve">L’interprétation statutaire consiste à lire les termes de la disposition </w:t>
      </w:r>
      <w:r>
        <w:rPr>
          <w:rFonts w:cs="Times New Roman"/>
        </w:rPr>
        <w:t>[</w:t>
      </w:r>
      <w:r w:rsidRPr="00144BA1">
        <w:rPr>
          <w:rFonts w:cs="Times New Roman"/>
          <w:smallCaps/>
        </w:rPr>
        <w:t>traduction</w:t>
      </w:r>
      <w:r>
        <w:rPr>
          <w:rFonts w:cs="Times New Roman"/>
        </w:rPr>
        <w:t xml:space="preserve">] </w:t>
      </w:r>
      <w:r w:rsidRPr="00C142EF">
        <w:rPr>
          <w:rFonts w:cs="Times New Roman"/>
        </w:rPr>
        <w:t xml:space="preserve">« dans leur contexte global en suivant le sens ordinaire et grammatical qui s’harmonise avec l’économie de la loi, l’objet de la loi et l’intention du législateur » </w:t>
      </w:r>
      <w:r>
        <w:rPr>
          <w:rFonts w:cs="Times New Roman"/>
        </w:rPr>
        <w:t>(</w:t>
      </w:r>
      <w:r w:rsidRPr="00C142EF">
        <w:rPr>
          <w:rFonts w:cs="Times New Roman"/>
        </w:rPr>
        <w:t>E. </w:t>
      </w:r>
      <w:r>
        <w:rPr>
          <w:rFonts w:cs="Times New Roman"/>
        </w:rPr>
        <w:t>A. </w:t>
      </w:r>
      <w:proofErr w:type="spellStart"/>
      <w:r w:rsidRPr="00C142EF">
        <w:rPr>
          <w:rFonts w:cs="Times New Roman"/>
        </w:rPr>
        <w:t>Driedger</w:t>
      </w:r>
      <w:proofErr w:type="spellEnd"/>
      <w:r w:rsidRPr="00C142EF">
        <w:rPr>
          <w:rFonts w:cs="Times New Roman"/>
        </w:rPr>
        <w:t xml:space="preserve">, </w:t>
      </w:r>
      <w:r w:rsidRPr="009E10B2">
        <w:rPr>
          <w:rFonts w:cs="Times New Roman"/>
          <w:i/>
        </w:rPr>
        <w:t xml:space="preserve">Construction of </w:t>
      </w:r>
      <w:proofErr w:type="spellStart"/>
      <w:r w:rsidRPr="009E10B2">
        <w:rPr>
          <w:rFonts w:cs="Times New Roman"/>
          <w:i/>
        </w:rPr>
        <w:t>Statutes</w:t>
      </w:r>
      <w:proofErr w:type="spellEnd"/>
      <w:r w:rsidRPr="00C142EF">
        <w:rPr>
          <w:rFonts w:cs="Times New Roman"/>
        </w:rPr>
        <w:t xml:space="preserve"> (2</w:t>
      </w:r>
      <w:r w:rsidRPr="00C142EF">
        <w:rPr>
          <w:rFonts w:cs="Times New Roman"/>
          <w:vertAlign w:val="superscript"/>
        </w:rPr>
        <w:t>e</w:t>
      </w:r>
      <w:r>
        <w:rPr>
          <w:rFonts w:cs="Times New Roman"/>
        </w:rPr>
        <w:t> éd. 1983), p. 87, cité dans</w:t>
      </w:r>
      <w:r w:rsidRPr="00C142EF">
        <w:rPr>
          <w:rFonts w:cs="Times New Roman"/>
        </w:rPr>
        <w:t xml:space="preserve"> </w:t>
      </w:r>
      <w:proofErr w:type="spellStart"/>
      <w:r w:rsidRPr="001C2831">
        <w:rPr>
          <w:rFonts w:cs="Times New Roman"/>
          <w:i/>
        </w:rPr>
        <w:t>Rizzo</w:t>
      </w:r>
      <w:proofErr w:type="spellEnd"/>
      <w:r w:rsidRPr="001C2831">
        <w:rPr>
          <w:rFonts w:cs="Times New Roman"/>
          <w:i/>
        </w:rPr>
        <w:t xml:space="preserve"> &amp; </w:t>
      </w:r>
      <w:proofErr w:type="spellStart"/>
      <w:r w:rsidRPr="001C2831">
        <w:rPr>
          <w:rFonts w:cs="Times New Roman"/>
          <w:i/>
        </w:rPr>
        <w:t>Rizzo</w:t>
      </w:r>
      <w:proofErr w:type="spellEnd"/>
      <w:r w:rsidRPr="001C2831">
        <w:rPr>
          <w:rFonts w:cs="Times New Roman"/>
          <w:i/>
        </w:rPr>
        <w:t xml:space="preserve"> </w:t>
      </w:r>
      <w:proofErr w:type="spellStart"/>
      <w:r w:rsidRPr="001C2831">
        <w:rPr>
          <w:rFonts w:cs="Times New Roman"/>
          <w:i/>
        </w:rPr>
        <w:t>Shoes</w:t>
      </w:r>
      <w:proofErr w:type="spellEnd"/>
      <w:r w:rsidRPr="001C2831">
        <w:rPr>
          <w:rFonts w:cs="Times New Roman"/>
          <w:i/>
        </w:rPr>
        <w:t xml:space="preserve"> Ltd. (Re)</w:t>
      </w:r>
      <w:r>
        <w:rPr>
          <w:rFonts w:cs="Times New Roman"/>
        </w:rPr>
        <w:t xml:space="preserve">, [1998] 1 R.C.S. 27, par. 21, et </w:t>
      </w:r>
      <w:r w:rsidRPr="00C142EF">
        <w:rPr>
          <w:rStyle w:val="Emphasis"/>
          <w:rFonts w:cs="Times New Roman"/>
        </w:rPr>
        <w:t xml:space="preserve">Bell </w:t>
      </w:r>
      <w:proofErr w:type="spellStart"/>
      <w:r w:rsidRPr="00C142EF">
        <w:rPr>
          <w:rStyle w:val="Emphasis"/>
          <w:rFonts w:cs="Times New Roman"/>
        </w:rPr>
        <w:t>ExpressVu</w:t>
      </w:r>
      <w:proofErr w:type="spellEnd"/>
      <w:r w:rsidRPr="00C142EF">
        <w:rPr>
          <w:rStyle w:val="Emphasis"/>
          <w:rFonts w:cs="Times New Roman"/>
        </w:rPr>
        <w:t xml:space="preserve"> Limited Partnership</w:t>
      </w:r>
      <w:r>
        <w:rPr>
          <w:rStyle w:val="Emphasis"/>
          <w:rFonts w:cs="Times New Roman"/>
        </w:rPr>
        <w:t xml:space="preserve"> </w:t>
      </w:r>
      <w:r w:rsidRPr="00C142EF">
        <w:rPr>
          <w:rStyle w:val="Emphasis"/>
          <w:rFonts w:cs="Times New Roman"/>
        </w:rPr>
        <w:t>c. Rex</w:t>
      </w:r>
      <w:r w:rsidR="00952906">
        <w:rPr>
          <w:rFonts w:cs="Times New Roman"/>
        </w:rPr>
        <w:t>,</w:t>
      </w:r>
      <w:r w:rsidRPr="00952906">
        <w:t xml:space="preserve"> 2002 C</w:t>
      </w:r>
      <w:bookmarkStart w:id="0" w:name="_GoBack"/>
      <w:bookmarkEnd w:id="0"/>
      <w:r w:rsidRPr="00952906">
        <w:t>SC 42,</w:t>
      </w:r>
      <w:r w:rsidRPr="00C142EF">
        <w:rPr>
          <w:rStyle w:val="reflex3-block"/>
          <w:rFonts w:cs="Times New Roman"/>
        </w:rPr>
        <w:t xml:space="preserve"> [2002] 2 R.C.S. 559, par.</w:t>
      </w:r>
      <w:r w:rsidRPr="00952906">
        <w:t> 26).</w:t>
      </w:r>
    </w:p>
    <w:p w14:paraId="7C81EFFD" w14:textId="77777777" w:rsidR="00F21424" w:rsidRPr="00C142EF" w:rsidRDefault="00F21424" w:rsidP="00F21424">
      <w:pPr>
        <w:pStyle w:val="ParaNoNdepar-AltN"/>
        <w:rPr>
          <w:rFonts w:cs="Times New Roman"/>
        </w:rPr>
      </w:pPr>
      <w:r w:rsidRPr="00C142EF">
        <w:rPr>
          <w:rFonts w:cs="Times New Roman"/>
        </w:rPr>
        <w:t>Le sens ordinaire et grammatical du libellé de l’art. 669.2 est clair. Les pa</w:t>
      </w:r>
      <w:r>
        <w:rPr>
          <w:rFonts w:cs="Times New Roman"/>
        </w:rPr>
        <w:t>ragraphes</w:t>
      </w:r>
      <w:r w:rsidRPr="00C142EF">
        <w:rPr>
          <w:rFonts w:cs="Times New Roman"/>
        </w:rPr>
        <w:t> (3) et (4) ne posent aucune ambiguïté. Devant un juge seul, la règle du par. (3) est rigide : le nouveau juge « </w:t>
      </w:r>
      <w:r w:rsidRPr="00C142EF">
        <w:rPr>
          <w:rFonts w:cs="Times New Roman"/>
          <w:u w:val="single"/>
        </w:rPr>
        <w:t>doit</w:t>
      </w:r>
      <w:r w:rsidRPr="00C142EF">
        <w:rPr>
          <w:rFonts w:cs="Times New Roman"/>
        </w:rPr>
        <w:t xml:space="preserve"> [. . .] recommencer le procès comme si aucune preuve sur le fond n’avait été présentée ». Devant un juge présidant un jury, la règle du par. (4) est beaucoup plus souple</w:t>
      </w:r>
      <w:r>
        <w:rPr>
          <w:rFonts w:cs="Times New Roman"/>
        </w:rPr>
        <w:t> :</w:t>
      </w:r>
      <w:r w:rsidRPr="00C142EF">
        <w:rPr>
          <w:rFonts w:cs="Times New Roman"/>
        </w:rPr>
        <w:t xml:space="preserve"> le nouveau juge « </w:t>
      </w:r>
      <w:r w:rsidRPr="00C142EF">
        <w:rPr>
          <w:rFonts w:cs="Times New Roman"/>
          <w:u w:val="single"/>
        </w:rPr>
        <w:t>peut</w:t>
      </w:r>
      <w:r w:rsidRPr="00C142EF">
        <w:rPr>
          <w:rFonts w:cs="Times New Roman"/>
        </w:rPr>
        <w:t xml:space="preserve"> [. . .] continuer les procédures ou recommencer le procès comme si aucune preuve sur le fond n’avait été présentée ».</w:t>
      </w:r>
    </w:p>
    <w:p w14:paraId="1FE0A969" w14:textId="77777777" w:rsidR="00F21424" w:rsidRPr="00C142EF" w:rsidRDefault="00F21424" w:rsidP="00F21424">
      <w:pPr>
        <w:pStyle w:val="ParaNoNdepar-AltN"/>
        <w:rPr>
          <w:rFonts w:cs="Times New Roman"/>
        </w:rPr>
      </w:pPr>
      <w:r w:rsidRPr="00C142EF">
        <w:rPr>
          <w:rFonts w:cs="Times New Roman"/>
        </w:rPr>
        <w:t>L’objet de cet</w:t>
      </w:r>
      <w:r>
        <w:rPr>
          <w:rFonts w:cs="Times New Roman"/>
        </w:rPr>
        <w:t xml:space="preserve"> article</w:t>
      </w:r>
      <w:r w:rsidRPr="00C142EF">
        <w:rPr>
          <w:rFonts w:cs="Times New Roman"/>
        </w:rPr>
        <w:t xml:space="preserve"> est la protection de l’équité du procès. Le nouveau juge présidant le procès devant jury peut continuer les procédures ou recommencer le procès, alors que le nouveau juge siégeant seul doit recommencer le procès. Dans le premier cas, le procès peut se poursuivre sans nuire à l’équité du procès puisque le « juge des faits », le jury, n’est pas remplacé. La situation est toutefois différente lors d’un procès devant juge seul. Puisque ce dernier est à la fois juge du droit et juge des faits, le procès ne peut simplement reprendre au même endroit devant un nouveau juge</w:t>
      </w:r>
      <w:r>
        <w:rPr>
          <w:rFonts w:cs="Times New Roman"/>
        </w:rPr>
        <w:t xml:space="preserve"> (</w:t>
      </w:r>
      <w:r w:rsidRPr="004850BC">
        <w:rPr>
          <w:rFonts w:cs="Times New Roman"/>
          <w:i/>
        </w:rPr>
        <w:t>Gauthier</w:t>
      </w:r>
      <w:r>
        <w:rPr>
          <w:rFonts w:cs="Times New Roman"/>
        </w:rPr>
        <w:t>, par. 55)</w:t>
      </w:r>
      <w:r w:rsidRPr="00C142EF">
        <w:rPr>
          <w:rFonts w:cs="Times New Roman"/>
        </w:rPr>
        <w:t>. Au contraire, imposer aux parties de continuer le procès constituerait une atteinte à l’équité procédurale.</w:t>
      </w:r>
    </w:p>
    <w:p w14:paraId="08CFD539" w14:textId="77777777" w:rsidR="00F21424" w:rsidRPr="00C142EF" w:rsidRDefault="00F21424" w:rsidP="00F21424">
      <w:pPr>
        <w:pStyle w:val="ParaNoNdepar-AltN"/>
        <w:rPr>
          <w:rFonts w:cs="Times New Roman"/>
        </w:rPr>
      </w:pPr>
      <w:r w:rsidRPr="00C142EF">
        <w:rPr>
          <w:rFonts w:cs="Times New Roman"/>
        </w:rPr>
        <w:t>Jusqu’</w:t>
      </w:r>
      <w:r>
        <w:rPr>
          <w:rFonts w:cs="Times New Roman"/>
        </w:rPr>
        <w:t>à l’entrée en vigueur d’une modification législative le 15 février 1995</w:t>
      </w:r>
      <w:r w:rsidRPr="00C142EF">
        <w:rPr>
          <w:rFonts w:cs="Times New Roman"/>
        </w:rPr>
        <w:t xml:space="preserve">, l’ancien art. 669.2 prévoyait l’obligation de recommencer le procès, que le procès ait lieu devant un juge seul ou un juge et un jury. De </w:t>
      </w:r>
      <w:r>
        <w:rPr>
          <w:rFonts w:cs="Times New Roman"/>
        </w:rPr>
        <w:t>cette</w:t>
      </w:r>
      <w:r w:rsidRPr="00C142EF">
        <w:rPr>
          <w:rFonts w:cs="Times New Roman"/>
        </w:rPr>
        <w:t xml:space="preserve"> modification législative, il paraît évident que le législateur souhaitait distinguer les deux modes de procès. L’intention du législateur est manifeste: lorsque le procès se déroule devant un juge seul et que le procès doit recommencer devant un nouveau juge, ce dernier ne peut imposer aux parties, ou à l’une d’elles, de verser la preuve faite lors du premier procès. Il doit absolument recommencer le procès.</w:t>
      </w:r>
    </w:p>
    <w:p w14:paraId="2833A867" w14:textId="77777777" w:rsidR="00F21424" w:rsidRPr="00C142EF" w:rsidRDefault="00F21424" w:rsidP="00F21424">
      <w:pPr>
        <w:pStyle w:val="ParaNoNdepar-AltN"/>
        <w:rPr>
          <w:rFonts w:cs="Times New Roman"/>
        </w:rPr>
      </w:pPr>
      <w:r w:rsidRPr="00C142EF">
        <w:rPr>
          <w:rFonts w:cs="Times New Roman"/>
        </w:rPr>
        <w:t xml:space="preserve">Insérée dans la partie XX du </w:t>
      </w:r>
      <w:r w:rsidRPr="00C142EF">
        <w:rPr>
          <w:rFonts w:cs="Times New Roman"/>
          <w:i/>
        </w:rPr>
        <w:t>Code criminel</w:t>
      </w:r>
      <w:r w:rsidRPr="00C142EF">
        <w:rPr>
          <w:rFonts w:cs="Times New Roman"/>
        </w:rPr>
        <w:t>, cette disposition</w:t>
      </w:r>
      <w:r>
        <w:rPr>
          <w:rFonts w:cs="Times New Roman"/>
        </w:rPr>
        <w:t xml:space="preserve"> se retrouve sous la section « J</w:t>
      </w:r>
      <w:r w:rsidRPr="00C142EF">
        <w:rPr>
          <w:rFonts w:cs="Times New Roman"/>
        </w:rPr>
        <w:t xml:space="preserve">uridiction ». En conséquence, le par. 669.2(3) ne fait pas obstacle à l’application des règles habituelles en matière d’administration de la preuve; cette disposition concerne la </w:t>
      </w:r>
      <w:r w:rsidRPr="00C142EF">
        <w:rPr>
          <w:rFonts w:cs="Times New Roman"/>
          <w:i/>
        </w:rPr>
        <w:t>juridiction</w:t>
      </w:r>
      <w:r w:rsidRPr="00C142EF">
        <w:rPr>
          <w:rFonts w:cs="Times New Roman"/>
        </w:rPr>
        <w:t>, et non la preuve.</w:t>
      </w:r>
    </w:p>
    <w:p w14:paraId="60D02FD6" w14:textId="77777777" w:rsidR="00F21424" w:rsidRPr="00C142EF" w:rsidRDefault="00F21424" w:rsidP="00F21424">
      <w:pPr>
        <w:pStyle w:val="ParaNoNdepar-AltN"/>
        <w:rPr>
          <w:rFonts w:cs="Times New Roman"/>
        </w:rPr>
      </w:pPr>
      <w:r w:rsidRPr="00C142EF">
        <w:rPr>
          <w:rFonts w:cs="Times New Roman"/>
        </w:rPr>
        <w:t xml:space="preserve">Dès le début du second procès, tant la poursuite que la défense sont libres de procéder à leur guise en ce qui a trait à l’administration de leur preuve. Les parties peuvent suivre la méthode traditionnelle, soit celle voulant que </w:t>
      </w:r>
      <w:r w:rsidRPr="00C142EF">
        <w:rPr>
          <w:rFonts w:cs="Times New Roman"/>
          <w:lang w:val="fr-FR"/>
        </w:rPr>
        <w:t>« le droit favorise le témoignage d’une personne qui dépose au procès, du fait que le tribunal peut l’observer » (</w:t>
      </w:r>
      <w:r w:rsidRPr="00C142EF">
        <w:rPr>
          <w:rFonts w:cs="Times New Roman"/>
          <w:i/>
          <w:lang w:val="fr-FR"/>
        </w:rPr>
        <w:t xml:space="preserve">R. c. </w:t>
      </w:r>
      <w:proofErr w:type="spellStart"/>
      <w:r w:rsidRPr="00C142EF">
        <w:rPr>
          <w:rFonts w:cs="Times New Roman"/>
          <w:i/>
          <w:lang w:val="fr-FR"/>
        </w:rPr>
        <w:t>Youvarajah</w:t>
      </w:r>
      <w:proofErr w:type="spellEnd"/>
      <w:r w:rsidRPr="00C142EF">
        <w:rPr>
          <w:rFonts w:cs="Times New Roman"/>
          <w:lang w:val="fr-FR"/>
        </w:rPr>
        <w:t xml:space="preserve">, 2013 CSC 41, </w:t>
      </w:r>
      <w:r>
        <w:rPr>
          <w:rFonts w:cs="Times New Roman"/>
          <w:lang w:val="fr-FR"/>
        </w:rPr>
        <w:t xml:space="preserve">[2013] 2 R.C.S. 720, </w:t>
      </w:r>
      <w:r w:rsidRPr="00C142EF">
        <w:rPr>
          <w:rFonts w:cs="Times New Roman"/>
          <w:lang w:val="fr-FR"/>
        </w:rPr>
        <w:t xml:space="preserve">par. 19). Elles peuvent aussi choisir — habituellement sans devoir se justifier — de procéder par </w:t>
      </w:r>
      <w:r>
        <w:rPr>
          <w:rFonts w:cs="Times New Roman"/>
          <w:lang w:val="fr-FR"/>
        </w:rPr>
        <w:t xml:space="preserve">le dépôt de </w:t>
      </w:r>
      <w:r w:rsidRPr="00C142EF">
        <w:rPr>
          <w:rFonts w:cs="Times New Roman"/>
          <w:lang w:val="fr-FR"/>
        </w:rPr>
        <w:t>la transcription des témoignages antérieurs. D’ailleurs, la Cour d’appel le reconnaît lorsqu’elle mentionne que « l’accusé peut consentir au versement de la preuve faite devant le premier juge » (par. 33</w:t>
      </w:r>
      <w:r>
        <w:rPr>
          <w:rFonts w:cs="Times New Roman"/>
          <w:lang w:val="fr-FR"/>
        </w:rPr>
        <w:t>; v</w:t>
      </w:r>
      <w:r w:rsidRPr="00C142EF">
        <w:rPr>
          <w:rFonts w:cs="Times New Roman"/>
          <w:lang w:val="fr-FR"/>
        </w:rPr>
        <w:t xml:space="preserve">oir aussi </w:t>
      </w:r>
      <w:r w:rsidRPr="00C142EF">
        <w:rPr>
          <w:rFonts w:cs="Times New Roman"/>
          <w:i/>
          <w:lang w:val="fr-FR"/>
        </w:rPr>
        <w:t>Gauthier</w:t>
      </w:r>
      <w:r w:rsidRPr="00C142EF">
        <w:rPr>
          <w:rFonts w:cs="Times New Roman"/>
          <w:lang w:val="fr-FR"/>
        </w:rPr>
        <w:t xml:space="preserve">, par. 57; </w:t>
      </w:r>
      <w:r>
        <w:rPr>
          <w:rFonts w:cs="Times New Roman"/>
          <w:i/>
          <w:lang w:val="fr-FR"/>
        </w:rPr>
        <w:t>R. c</w:t>
      </w:r>
      <w:r w:rsidRPr="00C142EF">
        <w:rPr>
          <w:rFonts w:cs="Times New Roman"/>
          <w:i/>
          <w:lang w:val="fr-FR"/>
        </w:rPr>
        <w:t>. A.A</w:t>
      </w:r>
      <w:r w:rsidRPr="003D5572">
        <w:rPr>
          <w:rFonts w:cs="Times New Roman"/>
          <w:i/>
          <w:lang w:val="fr-FR"/>
        </w:rPr>
        <w:t>.</w:t>
      </w:r>
      <w:r w:rsidRPr="00C142EF">
        <w:rPr>
          <w:rFonts w:cs="Times New Roman"/>
          <w:lang w:val="fr-FR"/>
        </w:rPr>
        <w:t>, 2012 ONSC 3270, par. 77</w:t>
      </w:r>
      <w:r>
        <w:rPr>
          <w:rFonts w:cs="Times New Roman"/>
          <w:lang w:val="fr-FR"/>
        </w:rPr>
        <w:noBreakHyphen/>
      </w:r>
      <w:r w:rsidRPr="00C142EF">
        <w:rPr>
          <w:rFonts w:cs="Times New Roman"/>
          <w:lang w:val="fr-FR"/>
        </w:rPr>
        <w:t>78</w:t>
      </w:r>
      <w:r>
        <w:rPr>
          <w:rFonts w:cs="Times New Roman"/>
          <w:lang w:val="fr-FR"/>
        </w:rPr>
        <w:t xml:space="preserve"> (CanLII)</w:t>
      </w:r>
      <w:r w:rsidRPr="00C142EF">
        <w:rPr>
          <w:rFonts w:cs="Times New Roman"/>
          <w:lang w:val="fr-FR"/>
        </w:rPr>
        <w:t>).</w:t>
      </w:r>
    </w:p>
    <w:p w14:paraId="2DC81C54" w14:textId="77777777" w:rsidR="00F21424" w:rsidRPr="00C142EF" w:rsidRDefault="00F21424" w:rsidP="00F21424">
      <w:pPr>
        <w:pStyle w:val="ParaNoNdepar-AltN"/>
        <w:rPr>
          <w:rFonts w:cs="Times New Roman"/>
        </w:rPr>
      </w:pPr>
      <w:r w:rsidRPr="00C142EF">
        <w:rPr>
          <w:rFonts w:cs="Times New Roman"/>
          <w:lang w:val="fr-FR"/>
        </w:rPr>
        <w:t xml:space="preserve">Malgré tout, la Cour d’appel impose au </w:t>
      </w:r>
      <w:r>
        <w:rPr>
          <w:rFonts w:cs="Times New Roman"/>
          <w:lang w:val="fr-FR"/>
        </w:rPr>
        <w:t>nouveau</w:t>
      </w:r>
      <w:r w:rsidRPr="00C142EF">
        <w:rPr>
          <w:rFonts w:cs="Times New Roman"/>
          <w:lang w:val="fr-FR"/>
        </w:rPr>
        <w:t xml:space="preserve"> juge la tenue d’une véritable enquête. Avec égards, je suis d’avis qu’elle fait erreur en exigeant un test non prévu par la loi, tel qu’il ressort d’une analyse de l’économie du </w:t>
      </w:r>
      <w:r w:rsidRPr="00C142EF">
        <w:rPr>
          <w:rFonts w:cs="Times New Roman"/>
          <w:i/>
          <w:lang w:val="fr-FR"/>
        </w:rPr>
        <w:t>Code criminel</w:t>
      </w:r>
      <w:r w:rsidRPr="00C142EF">
        <w:rPr>
          <w:rFonts w:cs="Times New Roman"/>
          <w:lang w:val="fr-FR"/>
        </w:rPr>
        <w:t xml:space="preserve">. Ainsi, lorsque le législateur entend imposer la tenue d’une enquête au juge, il le fait explicitement. À titre d’exemple, le par. 606(1.1) </w:t>
      </w:r>
      <w:r>
        <w:rPr>
          <w:rFonts w:cs="Times New Roman"/>
          <w:lang w:val="fr-FR"/>
        </w:rPr>
        <w:t xml:space="preserve">du </w:t>
      </w:r>
      <w:r w:rsidRPr="00C142EF">
        <w:rPr>
          <w:rFonts w:cs="Times New Roman"/>
          <w:i/>
          <w:lang w:val="fr-FR"/>
        </w:rPr>
        <w:t>C</w:t>
      </w:r>
      <w:r>
        <w:rPr>
          <w:rFonts w:cs="Times New Roman"/>
          <w:i/>
          <w:lang w:val="fr-FR"/>
        </w:rPr>
        <w:t xml:space="preserve">ode </w:t>
      </w:r>
      <w:r w:rsidRPr="00C142EF">
        <w:rPr>
          <w:rFonts w:cs="Times New Roman"/>
          <w:i/>
          <w:lang w:val="fr-FR"/>
        </w:rPr>
        <w:t>cr</w:t>
      </w:r>
      <w:r>
        <w:rPr>
          <w:rFonts w:cs="Times New Roman"/>
          <w:i/>
          <w:lang w:val="fr-FR"/>
        </w:rPr>
        <w:t>iminel</w:t>
      </w:r>
      <w:r w:rsidRPr="00C142EF">
        <w:rPr>
          <w:rFonts w:cs="Times New Roman"/>
          <w:lang w:val="fr-FR"/>
        </w:rPr>
        <w:t xml:space="preserve"> prévoit spécifiquement les </w:t>
      </w:r>
      <w:r>
        <w:rPr>
          <w:rFonts w:cs="Times New Roman"/>
          <w:lang w:val="fr-FR"/>
        </w:rPr>
        <w:t>facteurs</w:t>
      </w:r>
      <w:r w:rsidRPr="00C142EF">
        <w:rPr>
          <w:rFonts w:cs="Times New Roman"/>
          <w:lang w:val="fr-FR"/>
        </w:rPr>
        <w:t xml:space="preserve"> qui doivent être vérifiés par </w:t>
      </w:r>
      <w:r>
        <w:rPr>
          <w:rFonts w:cs="Times New Roman"/>
          <w:lang w:val="fr-FR"/>
        </w:rPr>
        <w:t>le</w:t>
      </w:r>
      <w:r w:rsidRPr="00C142EF">
        <w:rPr>
          <w:rFonts w:cs="Times New Roman"/>
          <w:lang w:val="fr-FR"/>
        </w:rPr>
        <w:t xml:space="preserve"> </w:t>
      </w:r>
      <w:r>
        <w:rPr>
          <w:rFonts w:cs="Times New Roman"/>
          <w:lang w:val="fr-FR"/>
        </w:rPr>
        <w:t>tribunal</w:t>
      </w:r>
      <w:r w:rsidRPr="00C142EF">
        <w:rPr>
          <w:rFonts w:cs="Times New Roman"/>
          <w:lang w:val="fr-FR"/>
        </w:rPr>
        <w:t xml:space="preserve"> avant d’accepter un plaidoyer de culpabilité. C’est en raison du caractère définitif du plaidoyer de culpabilité et de ses conséquences capitales — l’accusé renonce à la tenue d’un procès et à la présentation de la preuve que la poursuite détient contre lui — que le juge doit s’assurer </w:t>
      </w:r>
      <w:r>
        <w:rPr>
          <w:rFonts w:cs="Times New Roman"/>
          <w:lang w:val="fr-FR"/>
        </w:rPr>
        <w:t>que le plaidoyer est libre, sans équivoque et éclairé</w:t>
      </w:r>
      <w:r w:rsidRPr="00C142EF">
        <w:rPr>
          <w:rFonts w:cs="Times New Roman"/>
          <w:lang w:val="fr-FR"/>
        </w:rPr>
        <w:t xml:space="preserve"> (</w:t>
      </w:r>
      <w:r w:rsidRPr="00C142EF">
        <w:rPr>
          <w:rFonts w:cs="Times New Roman"/>
          <w:i/>
        </w:rPr>
        <w:t>R. c. Wong</w:t>
      </w:r>
      <w:r w:rsidRPr="00C142EF">
        <w:rPr>
          <w:rFonts w:cs="Times New Roman"/>
        </w:rPr>
        <w:t xml:space="preserve">, 2018 CSC 25, </w:t>
      </w:r>
      <w:r>
        <w:rPr>
          <w:rFonts w:cs="Times New Roman"/>
        </w:rPr>
        <w:t xml:space="preserve">[2018] 1 R.C.S. 696, </w:t>
      </w:r>
      <w:r w:rsidRPr="00C142EF">
        <w:rPr>
          <w:rFonts w:cs="Times New Roman"/>
        </w:rPr>
        <w:t>par. </w:t>
      </w:r>
      <w:r>
        <w:rPr>
          <w:rFonts w:cs="Times New Roman"/>
        </w:rPr>
        <w:t>2</w:t>
      </w:r>
      <w:r>
        <w:rPr>
          <w:rFonts w:cs="Times New Roman"/>
        </w:rPr>
        <w:noBreakHyphen/>
      </w:r>
      <w:r w:rsidRPr="00C142EF">
        <w:rPr>
          <w:rFonts w:cs="Times New Roman"/>
        </w:rPr>
        <w:t xml:space="preserve">3; </w:t>
      </w:r>
      <w:r w:rsidRPr="00C142EF">
        <w:rPr>
          <w:rFonts w:cs="Times New Roman"/>
          <w:i/>
        </w:rPr>
        <w:t>Dallaire c. R</w:t>
      </w:r>
      <w:r w:rsidRPr="003D5572">
        <w:rPr>
          <w:rFonts w:cs="Times New Roman"/>
          <w:i/>
        </w:rPr>
        <w:t>.</w:t>
      </w:r>
      <w:r w:rsidRPr="00C142EF">
        <w:rPr>
          <w:rFonts w:cs="Times New Roman"/>
        </w:rPr>
        <w:t>, 2021 QCCA 785, par. 17</w:t>
      </w:r>
      <w:r>
        <w:rPr>
          <w:rFonts w:cs="Times New Roman"/>
        </w:rPr>
        <w:t xml:space="preserve"> (CanLII)</w:t>
      </w:r>
      <w:r w:rsidRPr="00C142EF">
        <w:rPr>
          <w:rFonts w:cs="Times New Roman"/>
        </w:rPr>
        <w:t>).</w:t>
      </w:r>
    </w:p>
    <w:p w14:paraId="70F39875" w14:textId="77777777" w:rsidR="00F21424" w:rsidRPr="0048757A" w:rsidRDefault="00F21424" w:rsidP="00F21424">
      <w:pPr>
        <w:pStyle w:val="ParaNoNdepar-AltN"/>
        <w:rPr>
          <w:rFonts w:cs="Times New Roman"/>
        </w:rPr>
      </w:pPr>
      <w:r w:rsidRPr="00C142EF">
        <w:rPr>
          <w:rFonts w:cs="Times New Roman"/>
        </w:rPr>
        <w:t>Rien ne justifie toutefois qu’une telle enquête soit transposée dans un contexte comme celui qui nous occupe. Le choix de déposer en preuve la transcription d’un témoignage recueilli lors d’un procès antérieur n’a pas les mêmes implications. Bien qu’il ne s’agisse pas de la méthode traditionnelle, cette procédure n’a rien d’exceptionnel. Il s’agit d’une décision stratégique similaire à d’autres décisions de ce type, telles que le choix de contre-interroger un témoin, de consentir à certaines admissions ou encore d</w:t>
      </w:r>
      <w:r>
        <w:rPr>
          <w:rFonts w:cs="Times New Roman"/>
        </w:rPr>
        <w:t>e renoncer</w:t>
      </w:r>
      <w:r w:rsidRPr="00C142EF">
        <w:rPr>
          <w:rFonts w:cs="Times New Roman"/>
        </w:rPr>
        <w:t xml:space="preserve"> </w:t>
      </w:r>
      <w:r>
        <w:rPr>
          <w:rFonts w:cs="Times New Roman"/>
        </w:rPr>
        <w:t xml:space="preserve">à </w:t>
      </w:r>
      <w:r w:rsidRPr="00C142EF">
        <w:rPr>
          <w:rFonts w:cs="Times New Roman"/>
        </w:rPr>
        <w:t>la tenue d’un voir-dire (</w:t>
      </w:r>
      <w:r w:rsidRPr="00C142EF">
        <w:rPr>
          <w:rFonts w:cs="Times New Roman"/>
          <w:i/>
        </w:rPr>
        <w:t>Park</w:t>
      </w:r>
      <w:r>
        <w:rPr>
          <w:rFonts w:cs="Times New Roman"/>
          <w:i/>
        </w:rPr>
        <w:t xml:space="preserve"> c. La Reine</w:t>
      </w:r>
      <w:r w:rsidRPr="00C142EF">
        <w:rPr>
          <w:rFonts w:cs="Times New Roman"/>
        </w:rPr>
        <w:t>, [19</w:t>
      </w:r>
      <w:r>
        <w:rPr>
          <w:rFonts w:cs="Times New Roman"/>
        </w:rPr>
        <w:t>81</w:t>
      </w:r>
      <w:r w:rsidRPr="00C142EF">
        <w:rPr>
          <w:rFonts w:cs="Times New Roman"/>
        </w:rPr>
        <w:t xml:space="preserve">] 2 R.C.S. </w:t>
      </w:r>
      <w:r>
        <w:rPr>
          <w:rFonts w:cs="Times New Roman"/>
        </w:rPr>
        <w:t>64</w:t>
      </w:r>
      <w:r w:rsidRPr="00C142EF">
        <w:rPr>
          <w:rFonts w:cs="Times New Roman"/>
        </w:rPr>
        <w:t>, p. 73-75</w:t>
      </w:r>
      <w:r>
        <w:rPr>
          <w:rFonts w:cs="Times New Roman"/>
        </w:rPr>
        <w:t xml:space="preserve">; </w:t>
      </w:r>
      <w:r w:rsidRPr="004850BC">
        <w:rPr>
          <w:rFonts w:cs="Times New Roman"/>
          <w:i/>
        </w:rPr>
        <w:t>R. c. White</w:t>
      </w:r>
      <w:r>
        <w:rPr>
          <w:rFonts w:cs="Times New Roman"/>
        </w:rPr>
        <w:t xml:space="preserve"> (1997), 32 O.R. (3d) 722 (C.A.), p. 751</w:t>
      </w:r>
      <w:r w:rsidRPr="00C142EF">
        <w:rPr>
          <w:rFonts w:cs="Times New Roman"/>
        </w:rPr>
        <w:t xml:space="preserve">). Toutes ces décisions peuvent bien évidemment avoir des répercussions importantes sur l’issue du procès sans pour autant nécessiter l’intervention préventive du tribunal. </w:t>
      </w:r>
      <w:r w:rsidRPr="0048757A">
        <w:rPr>
          <w:rFonts w:cs="Times New Roman"/>
        </w:rPr>
        <w:t>À titre d’exemple, dans des circonstances analogues,</w:t>
      </w:r>
      <w:r>
        <w:rPr>
          <w:rFonts w:cs="Times New Roman"/>
        </w:rPr>
        <w:t xml:space="preserve"> la Cour d’appel de la Colombie</w:t>
      </w:r>
      <w:r>
        <w:rPr>
          <w:rFonts w:cs="Times New Roman"/>
        </w:rPr>
        <w:noBreakHyphen/>
      </w:r>
      <w:r w:rsidRPr="0048757A">
        <w:rPr>
          <w:rFonts w:cs="Times New Roman"/>
        </w:rPr>
        <w:t>Britannique exprimait que [</w:t>
      </w:r>
      <w:r w:rsidRPr="0048757A">
        <w:rPr>
          <w:rFonts w:cs="Times New Roman"/>
          <w:smallCaps/>
        </w:rPr>
        <w:t>traduction</w:t>
      </w:r>
      <w:r w:rsidRPr="0048757A">
        <w:rPr>
          <w:rFonts w:cs="Times New Roman"/>
        </w:rPr>
        <w:t xml:space="preserve">] « [d]ans </w:t>
      </w:r>
      <w:r>
        <w:rPr>
          <w:rFonts w:cs="Times New Roman"/>
        </w:rPr>
        <w:t>les cas où tant l’avocat de la Couronne que celui de la défense s’accordent pour dire qu’un élément de preuve constituant du ouï</w:t>
      </w:r>
      <w:r>
        <w:rPr>
          <w:rFonts w:cs="Times New Roman"/>
        </w:rPr>
        <w:noBreakHyphen/>
        <w:t xml:space="preserve">dire est admissible, le juge n’est pas </w:t>
      </w:r>
      <w:r w:rsidRPr="00B2311D">
        <w:rPr>
          <w:rFonts w:cs="Times New Roman"/>
          <w:u w:val="single"/>
        </w:rPr>
        <w:t>tenu</w:t>
      </w:r>
      <w:r>
        <w:rPr>
          <w:rFonts w:cs="Times New Roman"/>
        </w:rPr>
        <w:t xml:space="preserve"> de se lancer de façon indépendante dans une enquête visant à déterminer si leurs positions sont juridiquement valables</w:t>
      </w:r>
      <w:r w:rsidRPr="0048757A">
        <w:rPr>
          <w:rFonts w:cs="Times New Roman"/>
        </w:rPr>
        <w:t> » (</w:t>
      </w:r>
      <w:r w:rsidRPr="0048757A">
        <w:rPr>
          <w:rFonts w:cs="Times New Roman"/>
          <w:i/>
        </w:rPr>
        <w:t xml:space="preserve">R. c. </w:t>
      </w:r>
      <w:proofErr w:type="spellStart"/>
      <w:r w:rsidRPr="0048757A">
        <w:rPr>
          <w:rFonts w:cs="Times New Roman"/>
          <w:i/>
        </w:rPr>
        <w:t>Verma</w:t>
      </w:r>
      <w:proofErr w:type="spellEnd"/>
      <w:r w:rsidRPr="0048757A">
        <w:rPr>
          <w:rFonts w:cs="Times New Roman"/>
        </w:rPr>
        <w:t>, 2016 BCCA 220, 336 C.C.C.</w:t>
      </w:r>
      <w:r>
        <w:rPr>
          <w:rFonts w:cs="Times New Roman"/>
        </w:rPr>
        <w:t xml:space="preserve"> (3d)</w:t>
      </w:r>
      <w:r w:rsidRPr="0048757A">
        <w:rPr>
          <w:rFonts w:cs="Times New Roman"/>
        </w:rPr>
        <w:t xml:space="preserve"> 441, par. 38 (je souligne)).</w:t>
      </w:r>
    </w:p>
    <w:p w14:paraId="4C2CA774" w14:textId="77777777" w:rsidR="00F21424" w:rsidRPr="00C142EF" w:rsidRDefault="00F21424" w:rsidP="00F21424">
      <w:pPr>
        <w:pStyle w:val="ParaNoNdepar-AltN"/>
        <w:rPr>
          <w:rFonts w:cs="Times New Roman"/>
        </w:rPr>
      </w:pPr>
      <w:r w:rsidRPr="00C142EF">
        <w:rPr>
          <w:rFonts w:cs="Times New Roman"/>
        </w:rPr>
        <w:t>En somme, cet exercice d’interprétation statutaire confirme la simplicité de la disposition. L</w:t>
      </w:r>
      <w:r>
        <w:rPr>
          <w:rFonts w:cs="Times New Roman"/>
        </w:rPr>
        <w:t xml:space="preserve">e paragraphe </w:t>
      </w:r>
      <w:r w:rsidRPr="00C142EF">
        <w:rPr>
          <w:rFonts w:cs="Times New Roman"/>
        </w:rPr>
        <w:t>669.2</w:t>
      </w:r>
      <w:r>
        <w:rPr>
          <w:rFonts w:cs="Times New Roman"/>
        </w:rPr>
        <w:t xml:space="preserve">(3) </w:t>
      </w:r>
      <w:r w:rsidRPr="00C142EF">
        <w:rPr>
          <w:rFonts w:cs="Times New Roman"/>
        </w:rPr>
        <w:t>n’a comme seule fonction que d’imposer au juge siégeant seul de recommencer le procès. Une fois le procès recommencé, les parties sont maîtres de l’administration de leur preuve. Ainsi, pour que la transcription d’un témoignage rendu lors du premier procès puisse être admise comme preuve au fond dans le cadre du second procès, il suffit que cette transcription soit dûment déposée et que les parties y consentent (</w:t>
      </w:r>
      <w:r w:rsidRPr="00C142EF">
        <w:rPr>
          <w:rFonts w:cs="Times New Roman"/>
          <w:i/>
        </w:rPr>
        <w:t>Matheson c. La Reine</w:t>
      </w:r>
      <w:r w:rsidRPr="00C142EF">
        <w:rPr>
          <w:rFonts w:cs="Times New Roman"/>
        </w:rPr>
        <w:t>, [1981] 2 R</w:t>
      </w:r>
      <w:r>
        <w:rPr>
          <w:rFonts w:cs="Times New Roman"/>
        </w:rPr>
        <w:t>.</w:t>
      </w:r>
      <w:r w:rsidRPr="00C142EF">
        <w:rPr>
          <w:rFonts w:cs="Times New Roman"/>
        </w:rPr>
        <w:t>C</w:t>
      </w:r>
      <w:r>
        <w:rPr>
          <w:rFonts w:cs="Times New Roman"/>
        </w:rPr>
        <w:t>.</w:t>
      </w:r>
      <w:r w:rsidRPr="00C142EF">
        <w:rPr>
          <w:rFonts w:cs="Times New Roman"/>
        </w:rPr>
        <w:t>S</w:t>
      </w:r>
      <w:r>
        <w:rPr>
          <w:rFonts w:cs="Times New Roman"/>
        </w:rPr>
        <w:t>.</w:t>
      </w:r>
      <w:r w:rsidRPr="00C142EF">
        <w:rPr>
          <w:rFonts w:cs="Times New Roman"/>
        </w:rPr>
        <w:t xml:space="preserve"> 214, p. 217-218).</w:t>
      </w:r>
    </w:p>
    <w:p w14:paraId="6820FD28" w14:textId="77777777" w:rsidR="00F21424" w:rsidRPr="00C142EF" w:rsidRDefault="00F21424" w:rsidP="00F21424">
      <w:pPr>
        <w:pStyle w:val="ParaNoNdepar-AltN"/>
        <w:rPr>
          <w:rFonts w:cs="Times New Roman"/>
        </w:rPr>
      </w:pPr>
      <w:r w:rsidRPr="00C142EF">
        <w:rPr>
          <w:rFonts w:cs="Times New Roman"/>
          <w:lang w:val="fr-FR"/>
        </w:rPr>
        <w:t>En effet, les parties étant maîtres de leur preuve</w:t>
      </w:r>
      <w:r>
        <w:rPr>
          <w:rFonts w:cs="Times New Roman"/>
          <w:lang w:val="fr-FR"/>
        </w:rPr>
        <w:t xml:space="preserve">, le juge, en l’absence de circonstances où la loi — ou la common law — prévoit la nécessité d’une enquête, ou d’indices à l’effet contraire, </w:t>
      </w:r>
      <w:r w:rsidRPr="00C142EF">
        <w:rPr>
          <w:rFonts w:cs="Times New Roman"/>
        </w:rPr>
        <w:t>doit présumer que l’expérience professionnelle et le jugement de l’avocat le guident dans la conduite du dossier de manière à préserver l’intérêt fondamental de son client (</w:t>
      </w:r>
      <w:r w:rsidRPr="00C142EF">
        <w:rPr>
          <w:rFonts w:cs="Times New Roman"/>
          <w:i/>
          <w:lang w:val="fr-FR"/>
        </w:rPr>
        <w:t>R. c. G.D.B.</w:t>
      </w:r>
      <w:r w:rsidRPr="00C142EF">
        <w:rPr>
          <w:rFonts w:cs="Times New Roman"/>
          <w:lang w:val="fr-FR"/>
        </w:rPr>
        <w:t xml:space="preserve">, 2000 CSC 22, </w:t>
      </w:r>
      <w:r>
        <w:rPr>
          <w:rFonts w:cs="Times New Roman"/>
          <w:lang w:val="fr-FR"/>
        </w:rPr>
        <w:t xml:space="preserve">[2000] 1 R.C.S. 520, </w:t>
      </w:r>
      <w:r w:rsidRPr="00C142EF">
        <w:rPr>
          <w:rFonts w:cs="Times New Roman"/>
          <w:lang w:val="fr-FR"/>
        </w:rPr>
        <w:t>par. 27</w:t>
      </w:r>
      <w:r>
        <w:rPr>
          <w:rFonts w:cs="Times New Roman"/>
          <w:lang w:val="fr-FR"/>
        </w:rPr>
        <w:t xml:space="preserve"> ; </w:t>
      </w:r>
      <w:r w:rsidRPr="004850BC">
        <w:rPr>
          <w:rFonts w:cs="Times New Roman"/>
          <w:i/>
          <w:lang w:val="fr-FR"/>
        </w:rPr>
        <w:t>White</w:t>
      </w:r>
      <w:r>
        <w:rPr>
          <w:rFonts w:cs="Times New Roman"/>
          <w:lang w:val="fr-FR"/>
        </w:rPr>
        <w:t>, p. 751</w:t>
      </w:r>
      <w:r w:rsidRPr="00C142EF">
        <w:rPr>
          <w:rFonts w:cs="Times New Roman"/>
          <w:lang w:val="fr-FR"/>
        </w:rPr>
        <w:t>)</w:t>
      </w:r>
      <w:r w:rsidRPr="00C142EF">
        <w:rPr>
          <w:rFonts w:cs="Times New Roman"/>
        </w:rPr>
        <w:t>.</w:t>
      </w:r>
    </w:p>
    <w:p w14:paraId="549CD693" w14:textId="77777777" w:rsidR="00F21424" w:rsidRPr="00C142EF" w:rsidRDefault="00F21424" w:rsidP="00F21424">
      <w:pPr>
        <w:pStyle w:val="ParaNoNdepar-AltN"/>
        <w:rPr>
          <w:rFonts w:cs="Times New Roman"/>
        </w:rPr>
      </w:pPr>
      <w:r w:rsidRPr="00C142EF">
        <w:rPr>
          <w:rFonts w:cs="Times New Roman"/>
          <w:lang w:val="fr-FR"/>
        </w:rPr>
        <w:t>L’administration de la preuve implique nécessairement la prise de décisions stratégiques dans lesquelles le juge n’a pas à s’immiscer. Non seulement le juge n’a pas à le faire, mais il devrait s’abstenir d’intervenir. Notre Cour a récemment rappelé</w:t>
      </w:r>
      <w:r w:rsidRPr="00C142EF">
        <w:rPr>
          <w:rFonts w:cs="Times New Roman"/>
        </w:rPr>
        <w:t xml:space="preserve"> la déférence à laquelle un avocat a droit à l’égard des décisions tactiques qu’il prend dans le meilleur intérêt de son client :</w:t>
      </w:r>
    </w:p>
    <w:p w14:paraId="1FE0A696" w14:textId="77777777" w:rsidR="00F21424" w:rsidRPr="00C142EF" w:rsidRDefault="00F21424" w:rsidP="00F21424">
      <w:pPr>
        <w:pStyle w:val="Citation-AltC"/>
        <w:ind w:firstLine="274"/>
      </w:pPr>
      <w:r>
        <w:t>. . .</w:t>
      </w:r>
      <w:r w:rsidRPr="00C142EF">
        <w:t xml:space="preserve"> notre système accusatoire fait effectivement preuve d’une grande retenue envers les décisions tactiques des avocats. Autrement dit, bien que les tribunaux puissent sanctionner la conduite des parties au litige, ils doivent généralement s’abstenir de s’immiscer dans la conduite du litige en tant que tel. </w:t>
      </w:r>
      <w:r w:rsidRPr="003D5572">
        <w:t>Dans</w:t>
      </w:r>
      <w:r w:rsidRPr="00C142EF">
        <w:rPr>
          <w:i/>
        </w:rPr>
        <w:t xml:space="preserve"> R. c. S.G.T.</w:t>
      </w:r>
      <w:r w:rsidRPr="00C142EF">
        <w:t>, 2010 CSC 20, [2010] 1 R.C.S. 688, par. 36</w:t>
      </w:r>
      <w:r>
        <w:noBreakHyphen/>
        <w:t>37</w:t>
      </w:r>
      <w:r w:rsidRPr="00C142EF">
        <w:t>, notre Cour explique pourquoi les juges doivent être très prudents avant de s’immiscer dans des décisions tactiques :</w:t>
      </w:r>
    </w:p>
    <w:p w14:paraId="08639286" w14:textId="77777777" w:rsidR="00F21424" w:rsidRPr="00C142EF" w:rsidRDefault="00F21424" w:rsidP="00F21424">
      <w:pPr>
        <w:pStyle w:val="Citation-AltC"/>
      </w:pPr>
    </w:p>
    <w:p w14:paraId="6EF8E3D6" w14:textId="77777777" w:rsidR="00F21424" w:rsidRDefault="00F21424" w:rsidP="00F21424">
      <w:pPr>
        <w:pStyle w:val="Citation-AltC"/>
        <w:ind w:left="1440"/>
      </w:pPr>
      <w:r w:rsidRPr="00C142EF">
        <w:t xml:space="preserve">Dans un système de justice criminelle accusatoire, les juges instruisant les procès doivent, à moins de circonstances exceptionnelles, déférer aux décisions tactiques des avocats [. . .] [L]’avocat sera habituellement mieux placé que le juge du procès pour apprécier l’opportunité d’une décision tactique particulière en fonction de sa stratégie globale. Le juge du procès, lui, doit agir en arbitre impartial du litige dont il est saisi; plus un juge remet en question ou annule les décisions d’un avocat, plus il risque de s’écarter, en apparence ou dans les faits, de son rôle d’arbitre neutre et de devenir l’avocat de l’une des </w:t>
      </w:r>
      <w:proofErr w:type="gramStart"/>
      <w:r w:rsidRPr="00C142EF">
        <w:t>parties</w:t>
      </w:r>
      <w:r>
        <w:t xml:space="preserve"> </w:t>
      </w:r>
      <w:r w:rsidRPr="00C142EF">
        <w:t>.</w:t>
      </w:r>
      <w:proofErr w:type="gramEnd"/>
      <w:r w:rsidRPr="00C142EF">
        <w:t xml:space="preserve"> . . </w:t>
      </w:r>
      <w:r>
        <w:t>[Italique dans l’original omis.]</w:t>
      </w:r>
    </w:p>
    <w:p w14:paraId="5D497BAE" w14:textId="77777777" w:rsidR="00F21424" w:rsidRDefault="00F21424" w:rsidP="00F21424">
      <w:pPr>
        <w:pStyle w:val="Citation-AltC"/>
        <w:ind w:firstLine="274"/>
      </w:pPr>
    </w:p>
    <w:p w14:paraId="671AB4A0" w14:textId="77777777" w:rsidR="00F21424" w:rsidRPr="00C142EF" w:rsidRDefault="00F21424" w:rsidP="00F21424">
      <w:pPr>
        <w:pStyle w:val="Citation-AltC"/>
        <w:ind w:hanging="32"/>
      </w:pPr>
      <w:r w:rsidRPr="00C142EF">
        <w:t>(</w:t>
      </w:r>
      <w:r w:rsidRPr="00C142EF">
        <w:rPr>
          <w:i/>
        </w:rPr>
        <w:t>R. c. Anderson</w:t>
      </w:r>
      <w:r w:rsidRPr="00C142EF">
        <w:t xml:space="preserve">, 2014 CSC 41, </w:t>
      </w:r>
      <w:r>
        <w:t xml:space="preserve">[2014] 2 R.C.S. 167, </w:t>
      </w:r>
      <w:r w:rsidRPr="00C142EF">
        <w:t>par. 59)</w:t>
      </w:r>
    </w:p>
    <w:p w14:paraId="069045FB" w14:textId="77777777" w:rsidR="00F21424" w:rsidRPr="00C142EF" w:rsidRDefault="00F21424" w:rsidP="00F21424">
      <w:pPr>
        <w:pStyle w:val="ParaNoNdepar-AltN"/>
        <w:rPr>
          <w:rFonts w:cs="Times New Roman"/>
          <w:lang w:val="fr-FR"/>
        </w:rPr>
      </w:pPr>
      <w:r w:rsidRPr="00C142EF">
        <w:rPr>
          <w:rFonts w:cs="Times New Roman"/>
        </w:rPr>
        <w:t>Toutefois, l’art. 669.2 ne retire pas au juge son pouvoir discrétionnaire résiduel (voir</w:t>
      </w:r>
      <w:r>
        <w:rPr>
          <w:rFonts w:cs="Times New Roman"/>
        </w:rPr>
        <w:t>,</w:t>
      </w:r>
      <w:r w:rsidRPr="00C142EF">
        <w:rPr>
          <w:rFonts w:cs="Times New Roman"/>
        </w:rPr>
        <w:t xml:space="preserve"> par analogie</w:t>
      </w:r>
      <w:r>
        <w:rPr>
          <w:rFonts w:cs="Times New Roman"/>
        </w:rPr>
        <w:t>,</w:t>
      </w:r>
      <w:r w:rsidRPr="00C142EF">
        <w:rPr>
          <w:rFonts w:cs="Times New Roman"/>
        </w:rPr>
        <w:t xml:space="preserve"> </w:t>
      </w:r>
      <w:r w:rsidRPr="00C142EF">
        <w:rPr>
          <w:rFonts w:cs="Times New Roman"/>
          <w:i/>
        </w:rPr>
        <w:t>R. c. R.V.</w:t>
      </w:r>
      <w:r w:rsidRPr="00C142EF">
        <w:rPr>
          <w:rFonts w:cs="Times New Roman"/>
        </w:rPr>
        <w:t xml:space="preserve">, 2019 CSC 41, </w:t>
      </w:r>
      <w:r>
        <w:rPr>
          <w:rFonts w:cs="Times New Roman"/>
        </w:rPr>
        <w:t xml:space="preserve">[2019] 3 R.C.S. 237, </w:t>
      </w:r>
      <w:r w:rsidRPr="00C142EF">
        <w:rPr>
          <w:rFonts w:cs="Times New Roman"/>
        </w:rPr>
        <w:t>par. 75). En tant que gardien de l’équité du procès, le juge conserve toujours le pouvoir de faire enquête, de son propre chef, même si celle-ci n’est pas requise par la loi ou la common law</w:t>
      </w:r>
      <w:r w:rsidRPr="00C142EF">
        <w:rPr>
          <w:rFonts w:cs="Times New Roman"/>
          <w:lang w:val="fr-FR"/>
        </w:rPr>
        <w:t>. Lorsque certains indices portent à croire que le consentement de l’accusé pourrait être vicié, le tribunal</w:t>
      </w:r>
      <w:r>
        <w:rPr>
          <w:rFonts w:cs="Times New Roman"/>
          <w:lang w:val="fr-FR"/>
        </w:rPr>
        <w:t xml:space="preserve"> </w:t>
      </w:r>
      <w:r w:rsidRPr="00C142EF">
        <w:rPr>
          <w:rFonts w:cs="Times New Roman"/>
          <w:lang w:val="fr-FR"/>
        </w:rPr>
        <w:t xml:space="preserve">devrait user de sa discrétion résiduelle et investiguer davantage afin de s’assurer que le consentement de l’accusé à la procédure </w:t>
      </w:r>
      <w:r>
        <w:rPr>
          <w:rFonts w:cs="Times New Roman"/>
          <w:lang w:val="fr-FR"/>
        </w:rPr>
        <w:t>est</w:t>
      </w:r>
      <w:r w:rsidRPr="00C142EF">
        <w:rPr>
          <w:rFonts w:cs="Times New Roman"/>
          <w:lang w:val="fr-FR"/>
        </w:rPr>
        <w:t xml:space="preserve"> libre et éclairé</w:t>
      </w:r>
      <w:r w:rsidRPr="00C142EF">
        <w:rPr>
          <w:rFonts w:cs="Times New Roman"/>
          <w:i/>
          <w:lang w:val="fr-FR"/>
        </w:rPr>
        <w:t xml:space="preserve"> </w:t>
      </w:r>
      <w:r w:rsidRPr="00C142EF">
        <w:rPr>
          <w:rFonts w:cs="Times New Roman"/>
          <w:lang w:val="fr-FR"/>
        </w:rPr>
        <w:t>(</w:t>
      </w:r>
      <w:r w:rsidRPr="00C142EF">
        <w:rPr>
          <w:rFonts w:cs="Times New Roman"/>
          <w:i/>
          <w:lang w:val="fr-FR"/>
        </w:rPr>
        <w:t>Gauthier</w:t>
      </w:r>
      <w:r w:rsidRPr="00C142EF">
        <w:rPr>
          <w:rFonts w:cs="Times New Roman"/>
          <w:lang w:val="fr-FR"/>
        </w:rPr>
        <w:t xml:space="preserve">; </w:t>
      </w:r>
      <w:proofErr w:type="spellStart"/>
      <w:r w:rsidRPr="00C142EF">
        <w:rPr>
          <w:rFonts w:cs="Times New Roman"/>
          <w:i/>
          <w:lang w:val="fr-FR"/>
        </w:rPr>
        <w:t>Jetté</w:t>
      </w:r>
      <w:proofErr w:type="spellEnd"/>
      <w:r w:rsidRPr="00C142EF">
        <w:rPr>
          <w:rFonts w:cs="Times New Roman"/>
          <w:lang w:val="fr-FR"/>
        </w:rPr>
        <w:t>).</w:t>
      </w:r>
    </w:p>
    <w:p w14:paraId="67D95837" w14:textId="77777777" w:rsidR="00F21424" w:rsidRPr="00C142EF" w:rsidRDefault="00F21424" w:rsidP="00F21424">
      <w:pPr>
        <w:pStyle w:val="ParaNoNdepar-AltN"/>
        <w:rPr>
          <w:rFonts w:cs="Times New Roman"/>
          <w:lang w:val="fr-FR"/>
        </w:rPr>
      </w:pPr>
      <w:r w:rsidRPr="00C142EF">
        <w:rPr>
          <w:rFonts w:cs="Times New Roman"/>
          <w:lang w:val="fr-FR"/>
        </w:rPr>
        <w:t xml:space="preserve">À cet égard, l’affaire </w:t>
      </w:r>
      <w:r w:rsidRPr="00C142EF">
        <w:rPr>
          <w:rFonts w:cs="Times New Roman"/>
          <w:i/>
          <w:lang w:val="fr-FR"/>
        </w:rPr>
        <w:t xml:space="preserve">Gauthier </w:t>
      </w:r>
      <w:r w:rsidRPr="00C142EF">
        <w:rPr>
          <w:rFonts w:cs="Times New Roman"/>
          <w:lang w:val="fr-FR"/>
        </w:rPr>
        <w:t>comporte un certain intérêt. Dans cette affaire,</w:t>
      </w:r>
      <w:r w:rsidRPr="00C142EF">
        <w:rPr>
          <w:rFonts w:cs="Times New Roman"/>
          <w:i/>
          <w:lang w:val="fr-FR"/>
        </w:rPr>
        <w:t xml:space="preserve"> </w:t>
      </w:r>
      <w:r w:rsidRPr="00C142EF">
        <w:rPr>
          <w:rFonts w:cs="Times New Roman"/>
          <w:lang w:val="fr-FR"/>
        </w:rPr>
        <w:t>la défense avait annoncé — alors que la preuve était close et qu’il ne restait qu’à prononcer le verdict — que l’accusé ne pouvait se permettre que le procès recommence au complet, faute de ressources financières. Ce faisant, l’accusé consentait à ce que l’ensemble des transcriptions du premier procès soient déposées comme preuve au fond devant le juge chargé de recommencer le procès et de rendre jugement. La Cour d’appel, ayant devant elle des indices qui laissaient croire que le consentement de l’accusé n’était pas libre et éclairé, a ordonné un nouveau procès. À défaut pour le juge de première instance de s’enquérir davantage du consentement de l’accusé, l’équité du procès avait été minée. Il y a lieu d’en déduire qu’en l’absence de tels indices, une enquête n’aurait probablement pas été nécessaire.</w:t>
      </w:r>
    </w:p>
    <w:p w14:paraId="181A325D" w14:textId="77777777" w:rsidR="00F21424" w:rsidRPr="00C142EF" w:rsidRDefault="00F21424" w:rsidP="00F21424">
      <w:pPr>
        <w:pStyle w:val="ParaNoNdepar-AltN"/>
        <w:rPr>
          <w:rFonts w:cs="Times New Roman"/>
        </w:rPr>
      </w:pPr>
      <w:r w:rsidRPr="00C142EF">
        <w:rPr>
          <w:rFonts w:cs="Times New Roman"/>
          <w:lang w:val="fr-FR"/>
        </w:rPr>
        <w:t xml:space="preserve">Avant de conclure, je précise que </w:t>
      </w:r>
      <w:r w:rsidRPr="00C142EF">
        <w:rPr>
          <w:rFonts w:cs="Times New Roman"/>
          <w:szCs w:val="24"/>
        </w:rPr>
        <w:t>l’accusé était représenté par avocat dans la présente affaire. Notre Cour n’est donc pas appelée à déterminer si le devoir du juge du procès envers un accusé se représentant seul diffère.</w:t>
      </w:r>
      <w:r w:rsidRPr="00C142EF">
        <w:rPr>
          <w:rFonts w:cs="Times New Roman"/>
          <w:lang w:val="fr-FR"/>
        </w:rPr>
        <w:t xml:space="preserve"> J’ouvre tout de même une parenthèse pour formuler quelques remarques, sans toutefois me prononcer définitivement. Lorsque l’accusé se représente seul, le tribunal a le devoir de s’assurer que ce dernier a droit à un procès équitable, respectueux de ses droits fondamentaux. Le</w:t>
      </w:r>
      <w:r w:rsidRPr="00C142EF">
        <w:rPr>
          <w:rFonts w:cs="Times New Roman"/>
        </w:rPr>
        <w:t xml:space="preserve"> juge est, à ce moment, « investi d’une responsabilité particulière » afin d’assurer l’équité du procès (</w:t>
      </w:r>
      <w:r w:rsidRPr="00C142EF">
        <w:rPr>
          <w:rFonts w:cs="Times New Roman"/>
          <w:i/>
        </w:rPr>
        <w:t>R. c. Leblanc</w:t>
      </w:r>
      <w:r w:rsidRPr="00C142EF">
        <w:rPr>
          <w:rFonts w:cs="Times New Roman"/>
        </w:rPr>
        <w:t xml:space="preserve">, 2010 QCCA 1891, </w:t>
      </w:r>
      <w:r>
        <w:rPr>
          <w:rFonts w:cs="Times New Roman"/>
        </w:rPr>
        <w:t xml:space="preserve">78 C.R. (6th) 359, </w:t>
      </w:r>
      <w:r w:rsidRPr="00C142EF">
        <w:rPr>
          <w:rFonts w:cs="Times New Roman"/>
        </w:rPr>
        <w:t>par. 47). Il a, en ce sens, a une obligation d’assistance envers l’accusé (</w:t>
      </w:r>
      <w:r w:rsidRPr="00C142EF">
        <w:rPr>
          <w:rFonts w:cs="Times New Roman"/>
          <w:i/>
        </w:rPr>
        <w:t>Guenette c. R</w:t>
      </w:r>
      <w:r w:rsidRPr="00C142EF">
        <w:rPr>
          <w:rFonts w:cs="Times New Roman"/>
        </w:rPr>
        <w:t>., 2002 CanLII 7883 (C</w:t>
      </w:r>
      <w:r>
        <w:rPr>
          <w:rFonts w:cs="Times New Roman"/>
        </w:rPr>
        <w:t>.</w:t>
      </w:r>
      <w:r w:rsidRPr="00C142EF">
        <w:rPr>
          <w:rFonts w:cs="Times New Roman"/>
        </w:rPr>
        <w:t>A</w:t>
      </w:r>
      <w:r>
        <w:rPr>
          <w:rFonts w:cs="Times New Roman"/>
        </w:rPr>
        <w:t>. Qc</w:t>
      </w:r>
      <w:r w:rsidRPr="00C142EF">
        <w:rPr>
          <w:rFonts w:cs="Times New Roman"/>
        </w:rPr>
        <w:t xml:space="preserve">), par. 20; </w:t>
      </w:r>
      <w:r>
        <w:rPr>
          <w:rFonts w:cs="Times New Roman"/>
          <w:i/>
        </w:rPr>
        <w:t>R. c</w:t>
      </w:r>
      <w:r w:rsidRPr="00C142EF">
        <w:rPr>
          <w:rFonts w:cs="Times New Roman"/>
          <w:i/>
        </w:rPr>
        <w:t>. Richards</w:t>
      </w:r>
      <w:r w:rsidRPr="00C142EF">
        <w:rPr>
          <w:rFonts w:cs="Times New Roman"/>
        </w:rPr>
        <w:t xml:space="preserve">, 2017 ONCA 424, </w:t>
      </w:r>
      <w:r>
        <w:rPr>
          <w:rFonts w:cs="Times New Roman"/>
        </w:rPr>
        <w:t xml:space="preserve">349 C.C.C. (3d) 284, </w:t>
      </w:r>
      <w:r w:rsidRPr="00C142EF">
        <w:rPr>
          <w:rFonts w:cs="Times New Roman"/>
        </w:rPr>
        <w:t>par. 110). Cette obligation d’assistance est toutefois à « géométrie variable » puisqu’elle diffère selon les circonstances et se limite à ce qui est raisonnable (</w:t>
      </w:r>
      <w:r w:rsidRPr="00C142EF">
        <w:rPr>
          <w:rFonts w:cs="Times New Roman"/>
          <w:i/>
        </w:rPr>
        <w:t>M.R. c. R.</w:t>
      </w:r>
      <w:r w:rsidRPr="004C0A8F">
        <w:rPr>
          <w:rFonts w:cs="Times New Roman"/>
        </w:rPr>
        <w:t>,</w:t>
      </w:r>
      <w:r w:rsidRPr="00C142EF">
        <w:rPr>
          <w:rFonts w:cs="Times New Roman"/>
        </w:rPr>
        <w:t xml:space="preserve"> 2018 QCCA 1983,</w:t>
      </w:r>
      <w:r>
        <w:rPr>
          <w:rFonts w:cs="Times New Roman"/>
        </w:rPr>
        <w:t xml:space="preserve"> 53 C.R. (7th) 182, </w:t>
      </w:r>
      <w:r w:rsidRPr="00C142EF">
        <w:rPr>
          <w:rFonts w:cs="Times New Roman"/>
        </w:rPr>
        <w:t>par. 25</w:t>
      </w:r>
      <w:r>
        <w:rPr>
          <w:rFonts w:cs="Times New Roman"/>
        </w:rPr>
        <w:t xml:space="preserve">, citant </w:t>
      </w:r>
      <w:proofErr w:type="spellStart"/>
      <w:r w:rsidRPr="00C142EF">
        <w:rPr>
          <w:rFonts w:cs="Times New Roman"/>
          <w:i/>
        </w:rPr>
        <w:t>Jarrah</w:t>
      </w:r>
      <w:proofErr w:type="spellEnd"/>
      <w:r w:rsidRPr="00C142EF">
        <w:rPr>
          <w:rFonts w:cs="Times New Roman"/>
          <w:i/>
        </w:rPr>
        <w:t xml:space="preserve"> c. R</w:t>
      </w:r>
      <w:r w:rsidRPr="004C0A8F">
        <w:rPr>
          <w:rFonts w:cs="Times New Roman"/>
          <w:i/>
        </w:rPr>
        <w:t>.</w:t>
      </w:r>
      <w:r w:rsidRPr="00C142EF">
        <w:rPr>
          <w:rFonts w:cs="Times New Roman"/>
        </w:rPr>
        <w:t>, 2017 QCCA 1869</w:t>
      </w:r>
      <w:r>
        <w:rPr>
          <w:rFonts w:cs="Times New Roman"/>
        </w:rPr>
        <w:t xml:space="preserve">, et </w:t>
      </w:r>
      <w:r>
        <w:rPr>
          <w:rFonts w:cs="Times New Roman"/>
          <w:i/>
        </w:rPr>
        <w:t>R. c</w:t>
      </w:r>
      <w:r w:rsidRPr="00C142EF">
        <w:rPr>
          <w:rFonts w:cs="Times New Roman"/>
          <w:i/>
        </w:rPr>
        <w:t>. Breton</w:t>
      </w:r>
      <w:r w:rsidRPr="00C142EF">
        <w:rPr>
          <w:rFonts w:cs="Times New Roman"/>
        </w:rPr>
        <w:t xml:space="preserve">, 2018 ONCA 753, </w:t>
      </w:r>
      <w:r>
        <w:rPr>
          <w:rFonts w:cs="Times New Roman"/>
        </w:rPr>
        <w:t xml:space="preserve">366 C.C.C. (3d) 281, </w:t>
      </w:r>
      <w:r w:rsidRPr="00C142EF">
        <w:rPr>
          <w:rFonts w:cs="Times New Roman"/>
        </w:rPr>
        <w:t>par. 13</w:t>
      </w:r>
      <w:r>
        <w:rPr>
          <w:rFonts w:cs="Times New Roman"/>
        </w:rPr>
        <w:t xml:space="preserve">; voir aussi </w:t>
      </w:r>
      <w:r w:rsidRPr="00C142EF">
        <w:rPr>
          <w:rFonts w:cs="Times New Roman"/>
          <w:i/>
        </w:rPr>
        <w:t>Richards</w:t>
      </w:r>
      <w:r w:rsidRPr="00C142EF">
        <w:rPr>
          <w:rFonts w:cs="Times New Roman"/>
        </w:rPr>
        <w:t>,</w:t>
      </w:r>
      <w:r w:rsidRPr="00C142EF">
        <w:rPr>
          <w:rFonts w:cs="Times New Roman"/>
          <w:i/>
        </w:rPr>
        <w:t xml:space="preserve"> </w:t>
      </w:r>
      <w:r w:rsidRPr="00C142EF">
        <w:rPr>
          <w:rFonts w:cs="Times New Roman"/>
        </w:rPr>
        <w:t>par. </w:t>
      </w:r>
      <w:r>
        <w:rPr>
          <w:rFonts w:cs="Times New Roman"/>
        </w:rPr>
        <w:t>110</w:t>
      </w:r>
      <w:r>
        <w:rPr>
          <w:rFonts w:cs="Times New Roman"/>
        </w:rPr>
        <w:noBreakHyphen/>
      </w:r>
      <w:r w:rsidRPr="00C142EF">
        <w:rPr>
          <w:rFonts w:cs="Times New Roman"/>
        </w:rPr>
        <w:t>111). Sans avoir à conseiller l’accusé, il incombe au tribunal d’être raisonnablement certain que ce dernier connaît la teneur de ses droits procéduraux. Il pourrait être nécessaire, dans de telles circonstances, de s’enquérir davantage du consentement de l’accusé. Je ferme la parenthèse.</w:t>
      </w:r>
    </w:p>
    <w:p w14:paraId="400AE158" w14:textId="77777777" w:rsidR="00F21424" w:rsidRPr="00C142EF" w:rsidRDefault="00F21424" w:rsidP="00F21424">
      <w:pPr>
        <w:pStyle w:val="ParaNoNdepar-AltN"/>
        <w:rPr>
          <w:rFonts w:cs="Times New Roman"/>
          <w:lang w:val="fr-FR"/>
        </w:rPr>
      </w:pPr>
      <w:r w:rsidRPr="00C142EF">
        <w:rPr>
          <w:rFonts w:cs="Times New Roman"/>
        </w:rPr>
        <w:t xml:space="preserve">En somme, </w:t>
      </w:r>
      <w:r w:rsidRPr="00C142EF">
        <w:rPr>
          <w:rFonts w:cs="Times New Roman"/>
          <w:lang w:val="fr-FR"/>
        </w:rPr>
        <w:t>le par. 669.2(3) n’empêche pas que la transcription d’un témoignage rendu lors d’un premier procès soit déposée comme preuve au fond lors du second procès</w:t>
      </w:r>
      <w:r>
        <w:rPr>
          <w:rFonts w:cs="Times New Roman"/>
          <w:lang w:val="fr-FR"/>
        </w:rPr>
        <w:t>,</w:t>
      </w:r>
      <w:r w:rsidRPr="00C142EF">
        <w:rPr>
          <w:rFonts w:cs="Times New Roman"/>
          <w:lang w:val="fr-FR"/>
        </w:rPr>
        <w:t xml:space="preserve"> et ce, sans nécessité d’enquête de la part du juge. Néanmoins, l’art. 669.2 ne retire pas au juge le pouvoir de refuser le dépôt d’une transcription s’il est d’avis que son effet préjudiciable minerait l’équité du procès. S’il constate une atteinte à l’équité du procès, il doit intervenir.</w:t>
      </w:r>
    </w:p>
    <w:p w14:paraId="7C73B259" w14:textId="77777777" w:rsidR="00F21424" w:rsidRPr="00C142EF" w:rsidRDefault="00F21424" w:rsidP="00F21424">
      <w:pPr>
        <w:pStyle w:val="ParaNoNdepar-AltN"/>
        <w:rPr>
          <w:rFonts w:cs="Times New Roman"/>
          <w:lang w:val="fr-FR"/>
        </w:rPr>
      </w:pPr>
      <w:r w:rsidRPr="00C142EF">
        <w:rPr>
          <w:rFonts w:cs="Times New Roman"/>
          <w:lang w:val="fr-FR"/>
        </w:rPr>
        <w:t>Voyons ce qu’il en est en l’espèce.</w:t>
      </w:r>
    </w:p>
    <w:p w14:paraId="7D8E082C" w14:textId="77777777" w:rsidR="00F21424" w:rsidRPr="00C142EF" w:rsidRDefault="00F21424" w:rsidP="00F21424">
      <w:pPr>
        <w:pStyle w:val="Title2LevelTitre2Niveau"/>
        <w:rPr>
          <w:rFonts w:cs="Times New Roman"/>
          <w:lang w:val="fr-CA"/>
        </w:rPr>
      </w:pPr>
      <w:r w:rsidRPr="00C142EF">
        <w:rPr>
          <w:rFonts w:cs="Times New Roman"/>
          <w:lang w:val="fr-CA"/>
        </w:rPr>
        <w:t>Application</w:t>
      </w:r>
    </w:p>
    <w:p w14:paraId="4CDC8C53" w14:textId="77777777" w:rsidR="00F21424" w:rsidRPr="00C142EF" w:rsidRDefault="00F21424" w:rsidP="00F21424">
      <w:pPr>
        <w:pStyle w:val="ParaNoNdepar-AltN"/>
        <w:rPr>
          <w:rFonts w:cs="Times New Roman"/>
        </w:rPr>
      </w:pPr>
      <w:r w:rsidRPr="00C142EF">
        <w:rPr>
          <w:rFonts w:cs="Times New Roman"/>
        </w:rPr>
        <w:t>Le procès a bel et bien recommencé devant le juge Chevalier. Ce dernier n’a pas, unilatéralement, imposé aux parties de verser les transcriptions du premier procès. Comme je l’ai mentionné, pour accepter en preuve la transcription du témoignage de C.D., il suffisait que cette transcription soit dûment déposée au dossier et que les parties y consentent. En l’espèce, ces deux conditions sont remplies. Le second procès de l’intimé était équitable.</w:t>
      </w:r>
    </w:p>
    <w:p w14:paraId="44002E3C" w14:textId="77777777" w:rsidR="00F21424" w:rsidRPr="00C142EF" w:rsidRDefault="00F21424" w:rsidP="00F21424">
      <w:pPr>
        <w:pStyle w:val="ParaNoNdepar-AltN"/>
        <w:rPr>
          <w:rFonts w:cs="Times New Roman"/>
        </w:rPr>
      </w:pPr>
      <w:r w:rsidRPr="00C142EF">
        <w:rPr>
          <w:rFonts w:cs="Times New Roman"/>
        </w:rPr>
        <w:t xml:space="preserve">En premier lieu, je rappelle que c’est la poursuite, et non la défense, qui a pris la décision de ne pas </w:t>
      </w:r>
      <w:r>
        <w:rPr>
          <w:rFonts w:cs="Times New Roman"/>
        </w:rPr>
        <w:t xml:space="preserve">bonifier sa preuve et de ne pas </w:t>
      </w:r>
      <w:r w:rsidRPr="00C142EF">
        <w:rPr>
          <w:rFonts w:cs="Times New Roman"/>
        </w:rPr>
        <w:t>faire témoigner C.D. à nouveau</w:t>
      </w:r>
      <w:r>
        <w:rPr>
          <w:rFonts w:cs="Times New Roman"/>
        </w:rPr>
        <w:t xml:space="preserve">, </w:t>
      </w:r>
      <w:r w:rsidRPr="00C142EF">
        <w:rPr>
          <w:rFonts w:cs="Times New Roman"/>
        </w:rPr>
        <w:t>malgré les faiblesses de son témoignage. Si la poursuite avait décidé de faire témoigner C.D. à nouveau, l’accusé n’aurait pu s’y opposer, C.D. é</w:t>
      </w:r>
      <w:r>
        <w:rPr>
          <w:rFonts w:cs="Times New Roman"/>
        </w:rPr>
        <w:t>tant un témoin de la poursuite.</w:t>
      </w:r>
    </w:p>
    <w:p w14:paraId="55FA84B8" w14:textId="77777777" w:rsidR="00F21424" w:rsidRPr="00C142EF" w:rsidRDefault="00F21424" w:rsidP="00F21424">
      <w:pPr>
        <w:pStyle w:val="ParaNoNdepar-AltN"/>
        <w:rPr>
          <w:rFonts w:cs="Times New Roman"/>
        </w:rPr>
      </w:pPr>
      <w:r w:rsidRPr="00C142EF">
        <w:rPr>
          <w:rFonts w:cs="Times New Roman"/>
        </w:rPr>
        <w:t>En deuxième lieu, rien n’obligeait l’accusé à consentir au dépôt de la transcription du témoignage de C.D. Consentir à ce dépôt était une décision stratégique — stratégie qui, au surplus, semble avoir fonctionné puisque l’accusé a été acquitté de six des huit chefs d’accusation concernant C.D.</w:t>
      </w:r>
    </w:p>
    <w:p w14:paraId="06C26748" w14:textId="77777777" w:rsidR="00F21424" w:rsidRPr="00C142EF" w:rsidRDefault="00F21424" w:rsidP="00F21424">
      <w:pPr>
        <w:pStyle w:val="ParaNoNdepar-AltN"/>
        <w:rPr>
          <w:rFonts w:cs="Times New Roman"/>
        </w:rPr>
      </w:pPr>
      <w:r w:rsidRPr="00C142EF">
        <w:rPr>
          <w:rFonts w:cs="Times New Roman"/>
        </w:rPr>
        <w:t>Si l’accusé avait refusé de consentir au dépôt de la transcription du témoignage de C.D., la poursuite n’aurait eu d’autre choix que de faire témoigner C.D. à nouveau</w:t>
      </w:r>
      <w:r>
        <w:rPr>
          <w:rFonts w:cs="Times New Roman"/>
        </w:rPr>
        <w:t xml:space="preserve"> (</w:t>
      </w:r>
      <w:r w:rsidRPr="00C142EF">
        <w:rPr>
          <w:rFonts w:cs="Times New Roman"/>
        </w:rPr>
        <w:t xml:space="preserve">rien dans la preuve n’indique que la </w:t>
      </w:r>
      <w:r>
        <w:rPr>
          <w:rFonts w:cs="Times New Roman"/>
        </w:rPr>
        <w:t>poursuite</w:t>
      </w:r>
      <w:r w:rsidRPr="00C142EF">
        <w:rPr>
          <w:rFonts w:cs="Times New Roman"/>
        </w:rPr>
        <w:t xml:space="preserve"> n’aurait pu appeler C.D. à témoigner à nouveau</w:t>
      </w:r>
      <w:r>
        <w:rPr>
          <w:rFonts w:cs="Times New Roman"/>
        </w:rPr>
        <w:t xml:space="preserve">) </w:t>
      </w:r>
      <w:r w:rsidRPr="00C142EF">
        <w:rPr>
          <w:rFonts w:cs="Times New Roman"/>
        </w:rPr>
        <w:t xml:space="preserve">ou de renoncer à cette preuve. Le juge Chevalier n’aurait pu, lui non plus, imposer à l’accusé de consentir au dépôt de cette transcription pour valoir comme preuve au fond, d’autant plus qu’aucune exception à </w:t>
      </w:r>
      <w:r>
        <w:rPr>
          <w:rFonts w:cs="Times New Roman"/>
        </w:rPr>
        <w:t xml:space="preserve">la règle </w:t>
      </w:r>
      <w:r w:rsidRPr="00C142EF">
        <w:rPr>
          <w:rFonts w:cs="Times New Roman"/>
        </w:rPr>
        <w:t>interdi</w:t>
      </w:r>
      <w:r>
        <w:rPr>
          <w:rFonts w:cs="Times New Roman"/>
        </w:rPr>
        <w:t xml:space="preserve">sant </w:t>
      </w:r>
      <w:proofErr w:type="gramStart"/>
      <w:r>
        <w:rPr>
          <w:rFonts w:cs="Times New Roman"/>
        </w:rPr>
        <w:t>le</w:t>
      </w:r>
      <w:r w:rsidRPr="00C142EF">
        <w:rPr>
          <w:rFonts w:cs="Times New Roman"/>
        </w:rPr>
        <w:t xml:space="preserve"> ouï</w:t>
      </w:r>
      <w:r w:rsidRPr="00C142EF">
        <w:rPr>
          <w:rFonts w:cs="Times New Roman"/>
        </w:rPr>
        <w:noBreakHyphen/>
        <w:t>dire</w:t>
      </w:r>
      <w:proofErr w:type="gramEnd"/>
      <w:r w:rsidRPr="00C142EF">
        <w:rPr>
          <w:rFonts w:cs="Times New Roman"/>
        </w:rPr>
        <w:t xml:space="preserve"> n’a été soulevée. Qui plus est</w:t>
      </w:r>
      <w:r>
        <w:rPr>
          <w:rFonts w:cs="Times New Roman"/>
        </w:rPr>
        <w:t>,</w:t>
      </w:r>
      <w:r w:rsidRPr="00C142EF">
        <w:rPr>
          <w:rFonts w:cs="Times New Roman"/>
        </w:rPr>
        <w:t xml:space="preserve"> l’accusé aurait pu retirer son consentement, devant le juge Chevalier ou en appel, en invoquant, par exemple, l’assistance ineffective de son avocat.</w:t>
      </w:r>
    </w:p>
    <w:p w14:paraId="6B00DFDD" w14:textId="77777777" w:rsidR="00F21424" w:rsidRPr="00C142EF" w:rsidRDefault="00F21424" w:rsidP="00F21424">
      <w:pPr>
        <w:pStyle w:val="ParaNoNdepar-AltN"/>
        <w:rPr>
          <w:rFonts w:cs="Times New Roman"/>
        </w:rPr>
      </w:pPr>
      <w:r w:rsidRPr="00C142EF">
        <w:rPr>
          <w:rFonts w:cs="Times New Roman"/>
        </w:rPr>
        <w:t>Or, il n’en est rien. Vraisemblablement, l’accusé, conseillé par son avocat, a jugé qu’il était à son avantage de consentir au dépôt de la transcription. D’ailleurs, je note qu’en aucun temps l’accusé n’a laissé planer un quelconque doute quant à son consentement à procéder de cette façon. Il ne s’agissait même pas de l’un de ses moyens d’appel devant la Cour d’appel. Avant d’être invité à faire des représentations à cet égard par la Cour d’appel, l’accusé n’a jamais évoqué que son consentement au dépôt de la transcription du témoignage de C.D. était vicié ou, à tout le moins, qu’il avait changé d’idée.</w:t>
      </w:r>
    </w:p>
    <w:p w14:paraId="1B990FA8" w14:textId="77777777" w:rsidR="00F21424" w:rsidRPr="00C142EF" w:rsidRDefault="00F21424" w:rsidP="00F21424">
      <w:pPr>
        <w:pStyle w:val="ParaNoNdepar-AltN"/>
        <w:rPr>
          <w:rFonts w:cs="Times New Roman"/>
        </w:rPr>
      </w:pPr>
      <w:r w:rsidRPr="00C142EF">
        <w:rPr>
          <w:rFonts w:cs="Times New Roman"/>
        </w:rPr>
        <w:t xml:space="preserve">Contrairement à la situation qui prévalait dans l’arrêt </w:t>
      </w:r>
      <w:r w:rsidRPr="00C142EF">
        <w:rPr>
          <w:rFonts w:cs="Times New Roman"/>
          <w:i/>
        </w:rPr>
        <w:t>Gauthier</w:t>
      </w:r>
      <w:r w:rsidRPr="00C142EF">
        <w:rPr>
          <w:rFonts w:cs="Times New Roman"/>
        </w:rPr>
        <w:t xml:space="preserve">, il n’y avait aucun indice dans le cas présent qui aurait pu mener le juge Chevalier à remettre en question le consentement de l’accusé. </w:t>
      </w:r>
      <w:r w:rsidRPr="00C142EF">
        <w:rPr>
          <w:rFonts w:cs="Times New Roman"/>
          <w:lang w:val="fr-FR"/>
        </w:rPr>
        <w:t>Au moment où ce dernier recevait le consentement des parties, il était satisfait du maintien de l’équité du procès. Le fait que le juge Chevalier ait présumé de la validité du consentement de l’accusé ne constitue pas une iniquité procédurale. Au contraire, cela s’harmonise avec les principes directeurs en matière criminelle.</w:t>
      </w:r>
    </w:p>
    <w:p w14:paraId="59FA68EF" w14:textId="77777777" w:rsidR="00F21424" w:rsidRPr="00C142EF" w:rsidRDefault="00F21424" w:rsidP="00F21424">
      <w:pPr>
        <w:pStyle w:val="ParaNoNdepar-AltN"/>
        <w:rPr>
          <w:rFonts w:cs="Times New Roman"/>
        </w:rPr>
      </w:pPr>
      <w:r w:rsidRPr="00C142EF">
        <w:rPr>
          <w:rFonts w:cs="Times New Roman"/>
        </w:rPr>
        <w:t>De plus, la Cour d’appel a commis une erreur en concluant que le juge Chevalier aurait dû refuser le dépôt de la transcription du témoignage de C.D.</w:t>
      </w:r>
      <w:r>
        <w:rPr>
          <w:rFonts w:cs="Times New Roman"/>
        </w:rPr>
        <w:t>,</w:t>
      </w:r>
      <w:r w:rsidRPr="00C142EF">
        <w:rPr>
          <w:rFonts w:cs="Times New Roman"/>
        </w:rPr>
        <w:t xml:space="preserve"> </w:t>
      </w:r>
      <w:r>
        <w:rPr>
          <w:rFonts w:cs="Times New Roman"/>
        </w:rPr>
        <w:t xml:space="preserve">à moins de s’assurer que le consentement de l’intimé était libre, éclairé et non équivoque et que le dépôt ne porterait pas atteinte à l’équité du procès, </w:t>
      </w:r>
      <w:r w:rsidRPr="00C142EF">
        <w:rPr>
          <w:rFonts w:cs="Times New Roman"/>
        </w:rPr>
        <w:t>puisqu’il s’agissait « d’une preuve importante dans un dossier où la crédibilité est capitale » (par. 37). L’administration de la défense implique nécessairement la prise de décisions stratégiques dans lesquelles le juge n’a pas à s’immiscer, surtout lorsque l’accusé est dûment représenté par un avocat. Qu’il soit question de crédibilité n’y change rien en l’espèce.</w:t>
      </w:r>
    </w:p>
    <w:p w14:paraId="76988EE8" w14:textId="77777777" w:rsidR="00F21424" w:rsidRPr="00C142EF" w:rsidRDefault="00F21424" w:rsidP="00F21424">
      <w:pPr>
        <w:pStyle w:val="ParaNoNdepar-AltN"/>
        <w:rPr>
          <w:rFonts w:cs="Times New Roman"/>
        </w:rPr>
      </w:pPr>
      <w:r w:rsidRPr="00C142EF">
        <w:rPr>
          <w:rFonts w:cs="Times New Roman"/>
          <w:lang w:val="fr-FR"/>
        </w:rPr>
        <w:t>Comme l’expose l’appelante, « [s]</w:t>
      </w:r>
      <w:proofErr w:type="spellStart"/>
      <w:r w:rsidRPr="00C142EF">
        <w:rPr>
          <w:rFonts w:cs="Times New Roman"/>
          <w:lang w:val="fr-FR"/>
        </w:rPr>
        <w:t>uivant</w:t>
      </w:r>
      <w:proofErr w:type="spellEnd"/>
      <w:r w:rsidRPr="00C142EF">
        <w:rPr>
          <w:rFonts w:cs="Times New Roman"/>
          <w:lang w:val="fr-FR"/>
        </w:rPr>
        <w:t xml:space="preserve"> l’arrêt de la Cour d’appel, il devient difficile, voire impossible, d’envisager un cas où le juge, devant qui le procès recommence, pourrait accepter le dépôt en preuve de la transcription d’un témoignage d’une victime d’un acte criminel dont la crédibilité est en jeu. Seuls les témoignages accessoires permettraient de respecter les conditions édictées</w:t>
      </w:r>
      <w:r w:rsidRPr="00C142EF">
        <w:rPr>
          <w:rFonts w:cs="Times New Roman"/>
        </w:rPr>
        <w:t>. La Cour d’appel interdit pratiquement à un accusé de consentir au versement d’une telle preuve à la reprise de son procès </w:t>
      </w:r>
      <w:r>
        <w:rPr>
          <w:rFonts w:cs="Times New Roman"/>
          <w:lang w:val="fr-FR"/>
        </w:rPr>
        <w:t>» (</w:t>
      </w:r>
      <w:proofErr w:type="spellStart"/>
      <w:r>
        <w:rPr>
          <w:rFonts w:cs="Times New Roman"/>
          <w:lang w:val="fr-FR"/>
        </w:rPr>
        <w:t>m.a</w:t>
      </w:r>
      <w:proofErr w:type="spellEnd"/>
      <w:r w:rsidRPr="00C142EF">
        <w:rPr>
          <w:rFonts w:cs="Times New Roman"/>
          <w:lang w:val="fr-FR"/>
        </w:rPr>
        <w:t>., par. 48).</w:t>
      </w:r>
    </w:p>
    <w:p w14:paraId="55AF64AC" w14:textId="77777777" w:rsidR="00F21424" w:rsidRPr="00C142EF" w:rsidRDefault="00F21424" w:rsidP="00F21424">
      <w:pPr>
        <w:pStyle w:val="ParaNoNdepar-AltN"/>
        <w:rPr>
          <w:rFonts w:cs="Times New Roman"/>
        </w:rPr>
      </w:pPr>
      <w:r w:rsidRPr="00C142EF">
        <w:rPr>
          <w:rFonts w:cs="Times New Roman"/>
        </w:rPr>
        <w:t xml:space="preserve">En ce qui a trait aux chefs d’accusation relatifs à S.D., je suis d’avis que la Cour d’appel a également </w:t>
      </w:r>
      <w:r>
        <w:rPr>
          <w:rFonts w:cs="Times New Roman"/>
        </w:rPr>
        <w:t xml:space="preserve">commis une erreur </w:t>
      </w:r>
      <w:r w:rsidRPr="00C142EF">
        <w:rPr>
          <w:rFonts w:cs="Times New Roman"/>
        </w:rPr>
        <w:t>en ordonnant la tenue d’un nouveau procès au seul motif que le témoignage de C.D. était un facteur pertinent dans l’évaluation des gestes posés à l’égard de S.D.</w:t>
      </w:r>
    </w:p>
    <w:p w14:paraId="44B60735" w14:textId="77777777" w:rsidR="00F21424" w:rsidRPr="00C142EF" w:rsidRDefault="00F21424" w:rsidP="00F21424">
      <w:pPr>
        <w:pStyle w:val="ParaNoNdepar-AltN"/>
        <w:tabs>
          <w:tab w:val="clear" w:pos="1166"/>
          <w:tab w:val="num" w:pos="1152"/>
        </w:tabs>
        <w:rPr>
          <w:rFonts w:cs="Times New Roman"/>
        </w:rPr>
      </w:pPr>
      <w:r w:rsidRPr="00C142EF">
        <w:rPr>
          <w:rFonts w:cs="Times New Roman"/>
        </w:rPr>
        <w:t>Le témoignage de C.D. n’était pas nécessaire pour déclarer l’accusé coupable des chefs impliquant S.D. Dans le cadre de son évaluation de la preuve concernant S.D., le juge Chevalier n’a utilisé la transcription du témoignage de C.D. que de manière limitée. Et cette utilisation limitée n’a pas eu pour effet de vicier toutes les conclusions de fait (indépendantes du témoign</w:t>
      </w:r>
      <w:r>
        <w:rPr>
          <w:rFonts w:cs="Times New Roman"/>
        </w:rPr>
        <w:t>ag</w:t>
      </w:r>
      <w:r w:rsidRPr="00C142EF">
        <w:rPr>
          <w:rFonts w:cs="Times New Roman"/>
        </w:rPr>
        <w:t xml:space="preserve">e de C.D.) auxquelles le juge Chevalier </w:t>
      </w:r>
      <w:r>
        <w:rPr>
          <w:rFonts w:cs="Times New Roman"/>
        </w:rPr>
        <w:t>est arrivé.</w:t>
      </w:r>
    </w:p>
    <w:p w14:paraId="163F453D" w14:textId="77777777" w:rsidR="00F21424" w:rsidRPr="00C142EF" w:rsidRDefault="00F21424" w:rsidP="00F21424">
      <w:pPr>
        <w:pStyle w:val="ParaNoNdepar-AltN"/>
        <w:tabs>
          <w:tab w:val="clear" w:pos="1166"/>
          <w:tab w:val="num" w:pos="1152"/>
        </w:tabs>
        <w:rPr>
          <w:rFonts w:cs="Times New Roman"/>
        </w:rPr>
      </w:pPr>
      <w:r w:rsidRPr="00C142EF">
        <w:rPr>
          <w:rFonts w:cs="Times New Roman"/>
        </w:rPr>
        <w:t>Il ressort clairement de son jugement que le juge Chevalier était convaincu, indépendamment de la corroboration de C.D. — non nécessaire rappelons</w:t>
      </w:r>
      <w:r>
        <w:rPr>
          <w:rFonts w:cs="Times New Roman"/>
        </w:rPr>
        <w:noBreakHyphen/>
      </w:r>
      <w:r w:rsidRPr="00C142EF">
        <w:rPr>
          <w:rFonts w:cs="Times New Roman"/>
        </w:rPr>
        <w:t>le — que les agressions alléguées pa</w:t>
      </w:r>
      <w:r>
        <w:rPr>
          <w:rFonts w:cs="Times New Roman"/>
        </w:rPr>
        <w:t xml:space="preserve">r S.D. ont bel et bien eu lieu. </w:t>
      </w:r>
      <w:r w:rsidRPr="00C142EF">
        <w:rPr>
          <w:rFonts w:cs="Times New Roman"/>
        </w:rPr>
        <w:t>Le juge Chevalier affirme qu’il croit S.D. « pour la cohérence de ses propos avec les versions antérieures qu’il a données, pour l’absence de collusion de quelque sorte avec sa sœur qu’il a même contredite par moments, pour l’objectivité qu’il a manifestée en témoignant, et ce malgré les contradictions apportées par l’accusé et madame G., notamment au sujet des photos » (par. 115</w:t>
      </w:r>
      <w:r>
        <w:rPr>
          <w:rFonts w:cs="Times New Roman"/>
        </w:rPr>
        <w:t xml:space="preserve"> (CanLII))</w:t>
      </w:r>
      <w:r w:rsidRPr="00C142EF">
        <w:rPr>
          <w:rFonts w:cs="Times New Roman"/>
        </w:rPr>
        <w:t xml:space="preserve">. Plus loin, le juge Chevalier ajoute qu’il « croit le témoignage de [S.D.] et est convaincu hors de tout doute raisonnable de la survenance des autres types d’agressions sexuelles qu’il a subies, </w:t>
      </w:r>
      <w:r>
        <w:rPr>
          <w:rFonts w:cs="Times New Roman"/>
        </w:rPr>
        <w:t xml:space="preserve">[. . .] </w:t>
      </w:r>
      <w:r w:rsidRPr="00C142EF">
        <w:rPr>
          <w:rFonts w:cs="Times New Roman"/>
        </w:rPr>
        <w:t>et dont les descriptions sont très détaillées » (par. 118).</w:t>
      </w:r>
      <w:r>
        <w:rPr>
          <w:rFonts w:cs="Times New Roman"/>
        </w:rPr>
        <w:t xml:space="preserve"> </w:t>
      </w:r>
      <w:r w:rsidRPr="00C142EF">
        <w:rPr>
          <w:rFonts w:cs="Times New Roman"/>
        </w:rPr>
        <w:t>Ainsi, la « conclusion concernant la crédibilité de S.D. ne pouvait pas être remise en doute par cette corroborat</w:t>
      </w:r>
      <w:r>
        <w:rPr>
          <w:rFonts w:cs="Times New Roman"/>
        </w:rPr>
        <w:t>ion limitée » (</w:t>
      </w:r>
      <w:proofErr w:type="spellStart"/>
      <w:proofErr w:type="gramStart"/>
      <w:r>
        <w:rPr>
          <w:rFonts w:cs="Times New Roman"/>
        </w:rPr>
        <w:t>m.a</w:t>
      </w:r>
      <w:proofErr w:type="spellEnd"/>
      <w:r>
        <w:rPr>
          <w:rFonts w:cs="Times New Roman"/>
        </w:rPr>
        <w:t>.,</w:t>
      </w:r>
      <w:proofErr w:type="gramEnd"/>
      <w:r>
        <w:rPr>
          <w:rFonts w:cs="Times New Roman"/>
        </w:rPr>
        <w:t xml:space="preserve"> par. 104).</w:t>
      </w:r>
    </w:p>
    <w:p w14:paraId="144FE57E" w14:textId="77777777" w:rsidR="00F21424" w:rsidRPr="00936F09" w:rsidRDefault="00F21424" w:rsidP="00F21424">
      <w:pPr>
        <w:pStyle w:val="ParaNoNdepar-AltN"/>
        <w:rPr>
          <w:rFonts w:cs="Times New Roman"/>
        </w:rPr>
      </w:pPr>
      <w:r w:rsidRPr="00C142EF">
        <w:rPr>
          <w:rFonts w:cs="Times New Roman"/>
        </w:rPr>
        <w:t>En somme</w:t>
      </w:r>
      <w:r w:rsidRPr="00C142EF">
        <w:rPr>
          <w:rFonts w:cs="Times New Roman"/>
          <w:lang w:val="fr-FR"/>
        </w:rPr>
        <w:t>, comme les parties se sont entendues pour procéder avec le dépôt de la transcription du témoignage de C.D., le juge Chevalier n’avait qu’à soupeser le poids à lui accorder. L’absence de C.D. au procès influe sur le poids et non sur l’admissibilité de son témoignage (</w:t>
      </w:r>
      <w:r w:rsidRPr="00C142EF">
        <w:rPr>
          <w:rFonts w:cs="Times New Roman"/>
          <w:i/>
        </w:rPr>
        <w:t>R. c. Hawkins</w:t>
      </w:r>
      <w:r w:rsidRPr="004C0A8F">
        <w:rPr>
          <w:rFonts w:cs="Times New Roman"/>
        </w:rPr>
        <w:t>,</w:t>
      </w:r>
      <w:r w:rsidRPr="00C142EF">
        <w:rPr>
          <w:rFonts w:cs="Times New Roman"/>
        </w:rPr>
        <w:t xml:space="preserve"> [1996] 3 R.C.S. 1043, </w:t>
      </w:r>
      <w:r w:rsidRPr="00C142EF">
        <w:rPr>
          <w:rFonts w:cs="Times New Roman"/>
          <w:lang w:val="fr-FR"/>
        </w:rPr>
        <w:t>par. 79).</w:t>
      </w:r>
      <w:r w:rsidRPr="00C142EF">
        <w:rPr>
          <w:rFonts w:cs="Times New Roman"/>
        </w:rPr>
        <w:t xml:space="preserve"> La Cour d’appel n’aurait pas dû remettre en cause le consentement valide de l’accusé, lequel découlait de l’exercice d’un jugement professionnel raisonnable. </w:t>
      </w:r>
      <w:r w:rsidRPr="00936F09">
        <w:rPr>
          <w:rFonts w:cs="Times New Roman"/>
        </w:rPr>
        <w:t>Cette décision stratégique, formulée par son avocat, [</w:t>
      </w:r>
      <w:r w:rsidRPr="00936F09">
        <w:rPr>
          <w:rFonts w:cs="Times New Roman"/>
          <w:smallCaps/>
        </w:rPr>
        <w:t>traduction</w:t>
      </w:r>
      <w:r w:rsidRPr="00936F09">
        <w:rPr>
          <w:rFonts w:cs="Times New Roman"/>
        </w:rPr>
        <w:t>] « [relevait] de la g</w:t>
      </w:r>
      <w:r>
        <w:rPr>
          <w:rFonts w:cs="Times New Roman"/>
        </w:rPr>
        <w:t>rande latitude accordée aux avocats dans la conduite de leur cause</w:t>
      </w:r>
      <w:r w:rsidRPr="00936F09">
        <w:rPr>
          <w:rFonts w:cs="Times New Roman"/>
        </w:rPr>
        <w:t xml:space="preserve"> » (m. </w:t>
      </w:r>
      <w:proofErr w:type="spellStart"/>
      <w:r w:rsidRPr="00936F09">
        <w:rPr>
          <w:rFonts w:cs="Times New Roman"/>
        </w:rPr>
        <w:t>int</w:t>
      </w:r>
      <w:r>
        <w:rPr>
          <w:rFonts w:cs="Times New Roman"/>
        </w:rPr>
        <w:t>e</w:t>
      </w:r>
      <w:r w:rsidRPr="00936F09">
        <w:rPr>
          <w:rFonts w:cs="Times New Roman"/>
        </w:rPr>
        <w:t>rv</w:t>
      </w:r>
      <w:proofErr w:type="spellEnd"/>
      <w:r w:rsidRPr="00936F09">
        <w:rPr>
          <w:rFonts w:cs="Times New Roman"/>
        </w:rPr>
        <w:t>., par. 13).</w:t>
      </w:r>
    </w:p>
    <w:p w14:paraId="5823CC51" w14:textId="77777777" w:rsidR="00F21424" w:rsidRPr="00C142EF" w:rsidRDefault="00F21424" w:rsidP="00F21424">
      <w:pPr>
        <w:pStyle w:val="ParaNoNdepar-AltN"/>
        <w:rPr>
          <w:rFonts w:cs="Times New Roman"/>
        </w:rPr>
      </w:pPr>
      <w:r w:rsidRPr="00C142EF">
        <w:rPr>
          <w:rFonts w:cs="Times New Roman"/>
        </w:rPr>
        <w:t>En terminant, je précise qu’il n’y a pas lieu de renvoyer l’affaire devant la Cour d’appel. En effet, l’accusé n’a saisi notre Cour que d’une seule question et n’a ni réitéré ni insisté sur les autres moyens qu’il avait soulevés devant la Cour d’appel. Retourner l’affaire ne serait pas une utilisation efficiente des ressources judiciaires.</w:t>
      </w:r>
    </w:p>
    <w:p w14:paraId="70622C72" w14:textId="77777777" w:rsidR="00F21424" w:rsidRPr="00C142EF" w:rsidRDefault="00F21424" w:rsidP="00F21424">
      <w:pPr>
        <w:pStyle w:val="Title1LevelTitre1Niveau-AltL"/>
        <w:rPr>
          <w:rFonts w:cs="Times New Roman"/>
        </w:rPr>
      </w:pPr>
      <w:r w:rsidRPr="00C142EF">
        <w:rPr>
          <w:rFonts w:cs="Times New Roman"/>
        </w:rPr>
        <w:t xml:space="preserve">Conclusion </w:t>
      </w:r>
    </w:p>
    <w:p w14:paraId="014FF646" w14:textId="77777777" w:rsidR="00F21424" w:rsidRPr="00C142EF" w:rsidRDefault="00F21424" w:rsidP="00F21424">
      <w:pPr>
        <w:pStyle w:val="ParaNoNdepar-AltN"/>
        <w:rPr>
          <w:rFonts w:cs="Times New Roman"/>
        </w:rPr>
      </w:pPr>
      <w:r w:rsidRPr="00C142EF">
        <w:rPr>
          <w:rFonts w:cs="Times New Roman"/>
        </w:rPr>
        <w:t xml:space="preserve">Je suis d’avis d’accueillir l’appel. Les </w:t>
      </w:r>
      <w:r w:rsidRPr="00C142EF">
        <w:rPr>
          <w:rFonts w:cs="Times New Roman"/>
          <w:szCs w:val="24"/>
        </w:rPr>
        <w:t>verdicts de culpabilité et les peines concernant les chefs d’accusation 1, 2 et 9 à 13 sont rétablis.</w:t>
      </w:r>
    </w:p>
    <w:p w14:paraId="7711FC22" w14:textId="77777777" w:rsidR="00F21424" w:rsidRDefault="00F21424" w:rsidP="007C0E31">
      <w:pPr>
        <w:pStyle w:val="SCCNormalDoubleSpacing"/>
        <w:spacing w:after="480"/>
        <w:rPr>
          <w:rStyle w:val="SCCCounselPartyRoleChar"/>
          <w:lang w:val="fr-CA"/>
        </w:rPr>
      </w:pPr>
    </w:p>
    <w:p w14:paraId="2627C5EF" w14:textId="3AF42C08" w:rsidR="004D7D95" w:rsidRPr="00F72548" w:rsidRDefault="004D7D95" w:rsidP="007C0E31">
      <w:pPr>
        <w:pStyle w:val="SCCNormalDoubleSpacing"/>
        <w:spacing w:after="480"/>
        <w:rPr>
          <w:i/>
          <w:lang w:val="fr-CA"/>
        </w:rPr>
      </w:pPr>
      <w:r w:rsidRPr="00A72B6E">
        <w:rPr>
          <w:lang w:val="fr-CA"/>
        </w:rPr>
        <w:tab/>
      </w:r>
      <w:r w:rsidR="00F72548" w:rsidRPr="00EA6040">
        <w:rPr>
          <w:i/>
          <w:lang w:val="fr-CA"/>
        </w:rPr>
        <w:t>Pourvoi accueilli.</w:t>
      </w:r>
    </w:p>
    <w:p w14:paraId="7D458DC5" w14:textId="2B30A819" w:rsidR="00900FA4" w:rsidRPr="00586D16" w:rsidRDefault="003712ED" w:rsidP="007C0E31">
      <w:pPr>
        <w:pStyle w:val="SCCNormalDoubleSpacing"/>
        <w:spacing w:after="480"/>
        <w:rPr>
          <w:i/>
          <w:lang w:val="fr-CA"/>
        </w:rPr>
      </w:pPr>
      <w:r w:rsidRPr="00A72B6E">
        <w:rPr>
          <w:lang w:val="fr-CA"/>
        </w:rPr>
        <w:tab/>
      </w:r>
      <w:r w:rsidRPr="00586D16">
        <w:rPr>
          <w:i/>
          <w:lang w:val="fr-CA"/>
        </w:rPr>
        <w:t>Proc</w:t>
      </w:r>
      <w:r w:rsidR="006F307F" w:rsidRPr="00586D16">
        <w:rPr>
          <w:i/>
          <w:lang w:val="fr-CA"/>
        </w:rPr>
        <w:t>ureur</w:t>
      </w:r>
      <w:r w:rsidRPr="00586D16">
        <w:rPr>
          <w:i/>
          <w:lang w:val="fr-CA"/>
        </w:rPr>
        <w:t xml:space="preserve"> de l</w:t>
      </w:r>
      <w:r w:rsidR="00E51292" w:rsidRPr="00586D16">
        <w:rPr>
          <w:i/>
          <w:lang w:val="fr-CA"/>
        </w:rPr>
        <w:t>’</w:t>
      </w:r>
      <w:r w:rsidR="006F307F" w:rsidRPr="00586D16">
        <w:rPr>
          <w:i/>
          <w:lang w:val="fr-CA"/>
        </w:rPr>
        <w:t>appelante</w:t>
      </w:r>
      <w:r w:rsidR="00E51292" w:rsidRPr="00586D16">
        <w:rPr>
          <w:i/>
          <w:lang w:val="fr-CA"/>
        </w:rPr>
        <w:t> :</w:t>
      </w:r>
      <w:r w:rsidRPr="00586D16">
        <w:rPr>
          <w:i/>
          <w:lang w:val="fr-CA"/>
        </w:rPr>
        <w:t xml:space="preserve"> Directeur des poursuites criminelles et pénales, Gatineau.</w:t>
      </w:r>
    </w:p>
    <w:p w14:paraId="2EF5D56C" w14:textId="77777777" w:rsidR="00900FA4" w:rsidRPr="00586D16" w:rsidRDefault="006F307F" w:rsidP="007C0E31">
      <w:pPr>
        <w:pStyle w:val="SCCNormalDoubleSpacing"/>
        <w:spacing w:after="480"/>
        <w:rPr>
          <w:i/>
          <w:lang w:val="fr-CA"/>
        </w:rPr>
      </w:pPr>
      <w:r w:rsidRPr="00A72B6E">
        <w:rPr>
          <w:lang w:val="fr-CA"/>
        </w:rPr>
        <w:tab/>
      </w:r>
      <w:r w:rsidRPr="00586D16">
        <w:rPr>
          <w:i/>
          <w:lang w:val="fr-CA"/>
        </w:rPr>
        <w:t>Procureur</w:t>
      </w:r>
      <w:r w:rsidR="003712ED" w:rsidRPr="00586D16">
        <w:rPr>
          <w:i/>
          <w:lang w:val="fr-CA"/>
        </w:rPr>
        <w:t>s de l</w:t>
      </w:r>
      <w:r w:rsidR="00E51292" w:rsidRPr="00586D16">
        <w:rPr>
          <w:i/>
          <w:lang w:val="fr-CA"/>
        </w:rPr>
        <w:t>’</w:t>
      </w:r>
      <w:r w:rsidRPr="00586D16">
        <w:rPr>
          <w:i/>
          <w:lang w:val="fr-CA"/>
        </w:rPr>
        <w:t>intimé</w:t>
      </w:r>
      <w:r w:rsidR="00E51292" w:rsidRPr="00586D16">
        <w:rPr>
          <w:i/>
          <w:lang w:val="fr-CA"/>
        </w:rPr>
        <w:t> :</w:t>
      </w:r>
      <w:r w:rsidR="003712ED" w:rsidRPr="00586D16">
        <w:rPr>
          <w:i/>
          <w:lang w:val="fr-CA"/>
        </w:rPr>
        <w:t xml:space="preserve"> Noël et Associés, Gatineau.</w:t>
      </w:r>
    </w:p>
    <w:p w14:paraId="13DD90DB" w14:textId="560568A5" w:rsidR="004D7D95" w:rsidRDefault="003712ED" w:rsidP="007C0E31">
      <w:pPr>
        <w:pStyle w:val="SCCNormalDoubleSpacing"/>
        <w:spacing w:after="480"/>
        <w:rPr>
          <w:i/>
          <w:lang w:val="fr-CA"/>
        </w:rPr>
      </w:pPr>
      <w:r w:rsidRPr="00A72B6E">
        <w:rPr>
          <w:lang w:val="fr-CA"/>
        </w:rPr>
        <w:tab/>
      </w:r>
      <w:r w:rsidRPr="00586D16">
        <w:rPr>
          <w:i/>
          <w:lang w:val="fr-CA"/>
        </w:rPr>
        <w:t>Procureur de l</w:t>
      </w:r>
      <w:r w:rsidR="00E51292" w:rsidRPr="00586D16">
        <w:rPr>
          <w:i/>
          <w:lang w:val="fr-CA"/>
        </w:rPr>
        <w:t>’</w:t>
      </w:r>
      <w:r w:rsidRPr="00586D16">
        <w:rPr>
          <w:i/>
          <w:lang w:val="fr-CA"/>
        </w:rPr>
        <w:t>intervenant</w:t>
      </w:r>
      <w:r w:rsidR="00E51292" w:rsidRPr="00586D16">
        <w:rPr>
          <w:i/>
          <w:lang w:val="fr-CA"/>
        </w:rPr>
        <w:t> :</w:t>
      </w:r>
      <w:r w:rsidRPr="00586D16">
        <w:rPr>
          <w:i/>
          <w:lang w:val="fr-CA"/>
        </w:rPr>
        <w:t xml:space="preserve"> Procureu</w:t>
      </w:r>
      <w:r w:rsidR="002F53A8">
        <w:rPr>
          <w:i/>
          <w:lang w:val="fr-CA"/>
        </w:rPr>
        <w:t>r général de l’Ontario, Toronto</w:t>
      </w:r>
      <w:r w:rsidR="007C0E31">
        <w:rPr>
          <w:i/>
          <w:lang w:val="fr-CA"/>
        </w:rPr>
        <w:t>.</w:t>
      </w:r>
    </w:p>
    <w:sectPr w:rsidR="004D7D95" w:rsidSect="000648CC">
      <w:headerReference w:type="even" r:id="rId9"/>
      <w:headerReference w:type="default" r:id="rId10"/>
      <w:footerReference w:type="even" r:id="rId11"/>
      <w:footerReference w:type="default" r:id="rId12"/>
      <w:headerReference w:type="first" r:id="rId13"/>
      <w:footerReference w:type="first" r:id="rId14"/>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533B7" w14:textId="77777777" w:rsidR="000832C4" w:rsidRDefault="000832C4">
      <w:r>
        <w:separator/>
      </w:r>
    </w:p>
  </w:endnote>
  <w:endnote w:type="continuationSeparator" w:id="0">
    <w:p w14:paraId="6F4C64F1" w14:textId="77777777" w:rsidR="000832C4" w:rsidRDefault="000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A7D4" w14:textId="77777777" w:rsidR="000475AA" w:rsidRDefault="00047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4C6EC" w14:textId="77777777" w:rsidR="000475AA" w:rsidRDefault="00047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2481" w14:textId="77777777" w:rsidR="000475AA" w:rsidRDefault="00047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62EF5" w14:textId="77777777" w:rsidR="000832C4" w:rsidRDefault="000832C4">
      <w:r>
        <w:separator/>
      </w:r>
    </w:p>
  </w:footnote>
  <w:footnote w:type="continuationSeparator" w:id="0">
    <w:p w14:paraId="2055102D" w14:textId="77777777" w:rsidR="000832C4" w:rsidRDefault="0008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6228" w14:textId="77777777" w:rsidR="000475AA" w:rsidRDefault="00047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6984" w14:textId="77777777" w:rsidR="00450352" w:rsidRPr="007C0E31" w:rsidRDefault="00450352" w:rsidP="007C0E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FB46" w14:textId="77777777" w:rsidR="000475AA" w:rsidRDefault="0004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 w15:restartNumberingAfterBreak="0">
    <w:nsid w:val="54283EE8"/>
    <w:multiLevelType w:val="multilevel"/>
    <w:tmpl w:val="DAFEC366"/>
    <w:lvl w:ilvl="0">
      <w:start w:val="1"/>
      <w:numFmt w:val="decimal"/>
      <w:pStyle w:val="ParaNoNdepar-AltN"/>
      <w:lvlText w:val="[%1]"/>
      <w:lvlJc w:val="left"/>
      <w:pPr>
        <w:tabs>
          <w:tab w:val="num" w:pos="1152"/>
        </w:tabs>
        <w:ind w:left="0" w:firstLine="0"/>
      </w:pPr>
      <w:rPr>
        <w:rFonts w:ascii="Times New Roman" w:hAnsi="Times New Roman" w:hint="default"/>
        <w:b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23FC7"/>
    <w:rsid w:val="00025198"/>
    <w:rsid w:val="000475AA"/>
    <w:rsid w:val="00054926"/>
    <w:rsid w:val="000578A3"/>
    <w:rsid w:val="000648CC"/>
    <w:rsid w:val="00082B6F"/>
    <w:rsid w:val="000832C4"/>
    <w:rsid w:val="00085AB6"/>
    <w:rsid w:val="000A6D13"/>
    <w:rsid w:val="000C59B8"/>
    <w:rsid w:val="000C6AF0"/>
    <w:rsid w:val="000D0A77"/>
    <w:rsid w:val="000D210C"/>
    <w:rsid w:val="000E1502"/>
    <w:rsid w:val="000E75F3"/>
    <w:rsid w:val="000F7993"/>
    <w:rsid w:val="00104F33"/>
    <w:rsid w:val="00111DE2"/>
    <w:rsid w:val="00116B38"/>
    <w:rsid w:val="00124332"/>
    <w:rsid w:val="00135406"/>
    <w:rsid w:val="00135972"/>
    <w:rsid w:val="001417DA"/>
    <w:rsid w:val="001426A9"/>
    <w:rsid w:val="00154D7C"/>
    <w:rsid w:val="001570B0"/>
    <w:rsid w:val="0015752C"/>
    <w:rsid w:val="00157737"/>
    <w:rsid w:val="00165277"/>
    <w:rsid w:val="00170592"/>
    <w:rsid w:val="001720F7"/>
    <w:rsid w:val="00195D83"/>
    <w:rsid w:val="001A00C1"/>
    <w:rsid w:val="001A2FB1"/>
    <w:rsid w:val="001B33E0"/>
    <w:rsid w:val="001B4573"/>
    <w:rsid w:val="001C76EF"/>
    <w:rsid w:val="001C779F"/>
    <w:rsid w:val="001D2AC1"/>
    <w:rsid w:val="001D4E88"/>
    <w:rsid w:val="002017D1"/>
    <w:rsid w:val="00220FC2"/>
    <w:rsid w:val="002222F4"/>
    <w:rsid w:val="00224FC0"/>
    <w:rsid w:val="00225EA4"/>
    <w:rsid w:val="00226EAF"/>
    <w:rsid w:val="00231F3A"/>
    <w:rsid w:val="002406EE"/>
    <w:rsid w:val="00243EC8"/>
    <w:rsid w:val="00270D93"/>
    <w:rsid w:val="002745CC"/>
    <w:rsid w:val="002870F9"/>
    <w:rsid w:val="002B6FBE"/>
    <w:rsid w:val="002B7924"/>
    <w:rsid w:val="002C10A6"/>
    <w:rsid w:val="002D28C3"/>
    <w:rsid w:val="002D39A4"/>
    <w:rsid w:val="002E6705"/>
    <w:rsid w:val="002E7E82"/>
    <w:rsid w:val="002F53A8"/>
    <w:rsid w:val="002F7972"/>
    <w:rsid w:val="0030329A"/>
    <w:rsid w:val="0031086F"/>
    <w:rsid w:val="0031414C"/>
    <w:rsid w:val="00314E01"/>
    <w:rsid w:val="0032089D"/>
    <w:rsid w:val="003310DE"/>
    <w:rsid w:val="003323B0"/>
    <w:rsid w:val="00340A49"/>
    <w:rsid w:val="0035169A"/>
    <w:rsid w:val="0035259D"/>
    <w:rsid w:val="00364B18"/>
    <w:rsid w:val="00370AC3"/>
    <w:rsid w:val="003712ED"/>
    <w:rsid w:val="00386D7A"/>
    <w:rsid w:val="003A125D"/>
    <w:rsid w:val="003A4C70"/>
    <w:rsid w:val="003B215F"/>
    <w:rsid w:val="003C799C"/>
    <w:rsid w:val="003D0399"/>
    <w:rsid w:val="003D16BB"/>
    <w:rsid w:val="003E1C71"/>
    <w:rsid w:val="003F327B"/>
    <w:rsid w:val="00406166"/>
    <w:rsid w:val="0040704B"/>
    <w:rsid w:val="00410A55"/>
    <w:rsid w:val="00411300"/>
    <w:rsid w:val="00413F17"/>
    <w:rsid w:val="00415417"/>
    <w:rsid w:val="00426659"/>
    <w:rsid w:val="004310FD"/>
    <w:rsid w:val="00450352"/>
    <w:rsid w:val="004503D5"/>
    <w:rsid w:val="00454BDB"/>
    <w:rsid w:val="00465132"/>
    <w:rsid w:val="00480C90"/>
    <w:rsid w:val="0048396F"/>
    <w:rsid w:val="00493C18"/>
    <w:rsid w:val="004A600C"/>
    <w:rsid w:val="004A6118"/>
    <w:rsid w:val="004B2C08"/>
    <w:rsid w:val="004C478D"/>
    <w:rsid w:val="004D4D6A"/>
    <w:rsid w:val="004D774B"/>
    <w:rsid w:val="004D7D95"/>
    <w:rsid w:val="004E2C26"/>
    <w:rsid w:val="004E3A37"/>
    <w:rsid w:val="00500E87"/>
    <w:rsid w:val="005125A8"/>
    <w:rsid w:val="00517549"/>
    <w:rsid w:val="00520ABC"/>
    <w:rsid w:val="00521AE8"/>
    <w:rsid w:val="00527180"/>
    <w:rsid w:val="00555291"/>
    <w:rsid w:val="005552B9"/>
    <w:rsid w:val="00562FF1"/>
    <w:rsid w:val="00566AD1"/>
    <w:rsid w:val="00583EDE"/>
    <w:rsid w:val="00583F8B"/>
    <w:rsid w:val="00586D16"/>
    <w:rsid w:val="005A6079"/>
    <w:rsid w:val="005C6BF3"/>
    <w:rsid w:val="005D390B"/>
    <w:rsid w:val="005D3F2E"/>
    <w:rsid w:val="005E4698"/>
    <w:rsid w:val="00603924"/>
    <w:rsid w:val="00610539"/>
    <w:rsid w:val="00613969"/>
    <w:rsid w:val="00625C35"/>
    <w:rsid w:val="0064323E"/>
    <w:rsid w:val="00646723"/>
    <w:rsid w:val="00647E49"/>
    <w:rsid w:val="00656313"/>
    <w:rsid w:val="006565F4"/>
    <w:rsid w:val="006757DD"/>
    <w:rsid w:val="00684EEA"/>
    <w:rsid w:val="006946FF"/>
    <w:rsid w:val="0069689B"/>
    <w:rsid w:val="006B5FF5"/>
    <w:rsid w:val="006F307F"/>
    <w:rsid w:val="006F30AF"/>
    <w:rsid w:val="00701759"/>
    <w:rsid w:val="00705C15"/>
    <w:rsid w:val="007110F6"/>
    <w:rsid w:val="007208D1"/>
    <w:rsid w:val="00743523"/>
    <w:rsid w:val="00744518"/>
    <w:rsid w:val="00747288"/>
    <w:rsid w:val="00747DD3"/>
    <w:rsid w:val="00753600"/>
    <w:rsid w:val="007549C8"/>
    <w:rsid w:val="00766D14"/>
    <w:rsid w:val="00767A0F"/>
    <w:rsid w:val="00791272"/>
    <w:rsid w:val="007A05F6"/>
    <w:rsid w:val="007B6F4A"/>
    <w:rsid w:val="007C0E31"/>
    <w:rsid w:val="007D27C0"/>
    <w:rsid w:val="007E1C47"/>
    <w:rsid w:val="007E337A"/>
    <w:rsid w:val="007E5A3E"/>
    <w:rsid w:val="007E5C70"/>
    <w:rsid w:val="007F2FF5"/>
    <w:rsid w:val="007F3F08"/>
    <w:rsid w:val="00802494"/>
    <w:rsid w:val="00804CC6"/>
    <w:rsid w:val="00817190"/>
    <w:rsid w:val="008260E2"/>
    <w:rsid w:val="008322BD"/>
    <w:rsid w:val="00834F73"/>
    <w:rsid w:val="00864C8A"/>
    <w:rsid w:val="00864CF8"/>
    <w:rsid w:val="00866738"/>
    <w:rsid w:val="00867D1C"/>
    <w:rsid w:val="00874914"/>
    <w:rsid w:val="00891422"/>
    <w:rsid w:val="0089251E"/>
    <w:rsid w:val="00892E1A"/>
    <w:rsid w:val="008B660A"/>
    <w:rsid w:val="008C01DA"/>
    <w:rsid w:val="008D3375"/>
    <w:rsid w:val="008F08B0"/>
    <w:rsid w:val="008F2674"/>
    <w:rsid w:val="008F78E9"/>
    <w:rsid w:val="008F7998"/>
    <w:rsid w:val="00900FA4"/>
    <w:rsid w:val="0091634F"/>
    <w:rsid w:val="009179F9"/>
    <w:rsid w:val="00917C7A"/>
    <w:rsid w:val="009207FF"/>
    <w:rsid w:val="00933E5E"/>
    <w:rsid w:val="00935218"/>
    <w:rsid w:val="00937C52"/>
    <w:rsid w:val="009403F3"/>
    <w:rsid w:val="009426F4"/>
    <w:rsid w:val="00942A4D"/>
    <w:rsid w:val="00952906"/>
    <w:rsid w:val="00953DBD"/>
    <w:rsid w:val="009555B7"/>
    <w:rsid w:val="009567AA"/>
    <w:rsid w:val="009571C0"/>
    <w:rsid w:val="009602C9"/>
    <w:rsid w:val="00967374"/>
    <w:rsid w:val="00971312"/>
    <w:rsid w:val="009A343A"/>
    <w:rsid w:val="009B2F23"/>
    <w:rsid w:val="009B57B3"/>
    <w:rsid w:val="009D2920"/>
    <w:rsid w:val="009D5AEB"/>
    <w:rsid w:val="009D6577"/>
    <w:rsid w:val="009E55E4"/>
    <w:rsid w:val="009F0E33"/>
    <w:rsid w:val="00A10929"/>
    <w:rsid w:val="00A149DF"/>
    <w:rsid w:val="00A1755C"/>
    <w:rsid w:val="00A21B90"/>
    <w:rsid w:val="00A22AAC"/>
    <w:rsid w:val="00A41805"/>
    <w:rsid w:val="00A51882"/>
    <w:rsid w:val="00A52AFB"/>
    <w:rsid w:val="00A548CB"/>
    <w:rsid w:val="00A5521C"/>
    <w:rsid w:val="00A643E7"/>
    <w:rsid w:val="00A72B6E"/>
    <w:rsid w:val="00A73C38"/>
    <w:rsid w:val="00A921A7"/>
    <w:rsid w:val="00AB670D"/>
    <w:rsid w:val="00AD5E4E"/>
    <w:rsid w:val="00AE760E"/>
    <w:rsid w:val="00AF03C5"/>
    <w:rsid w:val="00B000D8"/>
    <w:rsid w:val="00B00F75"/>
    <w:rsid w:val="00B145B6"/>
    <w:rsid w:val="00B16C94"/>
    <w:rsid w:val="00B279EB"/>
    <w:rsid w:val="00B44B20"/>
    <w:rsid w:val="00B50C81"/>
    <w:rsid w:val="00B50E24"/>
    <w:rsid w:val="00B557F8"/>
    <w:rsid w:val="00B815FC"/>
    <w:rsid w:val="00B93FBC"/>
    <w:rsid w:val="00B9753A"/>
    <w:rsid w:val="00BA7DA0"/>
    <w:rsid w:val="00BB2EE4"/>
    <w:rsid w:val="00BB4C92"/>
    <w:rsid w:val="00BC2108"/>
    <w:rsid w:val="00BD0E9E"/>
    <w:rsid w:val="00BD1BEC"/>
    <w:rsid w:val="00BD32FF"/>
    <w:rsid w:val="00BF6FE9"/>
    <w:rsid w:val="00C00FDD"/>
    <w:rsid w:val="00C02092"/>
    <w:rsid w:val="00C03889"/>
    <w:rsid w:val="00C151E5"/>
    <w:rsid w:val="00C24D91"/>
    <w:rsid w:val="00C26DB2"/>
    <w:rsid w:val="00C50989"/>
    <w:rsid w:val="00C53F14"/>
    <w:rsid w:val="00C553C1"/>
    <w:rsid w:val="00C600CF"/>
    <w:rsid w:val="00C6084F"/>
    <w:rsid w:val="00C62A66"/>
    <w:rsid w:val="00C66359"/>
    <w:rsid w:val="00C71458"/>
    <w:rsid w:val="00C77613"/>
    <w:rsid w:val="00C8141A"/>
    <w:rsid w:val="00C828E7"/>
    <w:rsid w:val="00C86719"/>
    <w:rsid w:val="00C921DD"/>
    <w:rsid w:val="00CA6391"/>
    <w:rsid w:val="00CB169B"/>
    <w:rsid w:val="00CE036E"/>
    <w:rsid w:val="00CE3171"/>
    <w:rsid w:val="00CF1601"/>
    <w:rsid w:val="00CF250B"/>
    <w:rsid w:val="00CF5311"/>
    <w:rsid w:val="00D0172F"/>
    <w:rsid w:val="00D01E33"/>
    <w:rsid w:val="00D068A7"/>
    <w:rsid w:val="00D17476"/>
    <w:rsid w:val="00D17B0E"/>
    <w:rsid w:val="00D32086"/>
    <w:rsid w:val="00D37A3F"/>
    <w:rsid w:val="00D4431D"/>
    <w:rsid w:val="00D4667A"/>
    <w:rsid w:val="00D63492"/>
    <w:rsid w:val="00D63A1C"/>
    <w:rsid w:val="00D7516F"/>
    <w:rsid w:val="00D95F8E"/>
    <w:rsid w:val="00DA0590"/>
    <w:rsid w:val="00DB4F4E"/>
    <w:rsid w:val="00DC1739"/>
    <w:rsid w:val="00DC1788"/>
    <w:rsid w:val="00DD2E20"/>
    <w:rsid w:val="00DE319C"/>
    <w:rsid w:val="00DF0CA8"/>
    <w:rsid w:val="00DF2B48"/>
    <w:rsid w:val="00DF49A7"/>
    <w:rsid w:val="00DF6EFA"/>
    <w:rsid w:val="00E06715"/>
    <w:rsid w:val="00E07EE2"/>
    <w:rsid w:val="00E07FD1"/>
    <w:rsid w:val="00E2317C"/>
    <w:rsid w:val="00E24573"/>
    <w:rsid w:val="00E25E1E"/>
    <w:rsid w:val="00E27EE7"/>
    <w:rsid w:val="00E35404"/>
    <w:rsid w:val="00E45109"/>
    <w:rsid w:val="00E47B7A"/>
    <w:rsid w:val="00E51292"/>
    <w:rsid w:val="00E56A44"/>
    <w:rsid w:val="00E60269"/>
    <w:rsid w:val="00E97830"/>
    <w:rsid w:val="00EA6040"/>
    <w:rsid w:val="00EE0830"/>
    <w:rsid w:val="00EE3560"/>
    <w:rsid w:val="00EE6CB8"/>
    <w:rsid w:val="00EF0683"/>
    <w:rsid w:val="00F0070C"/>
    <w:rsid w:val="00F00EB7"/>
    <w:rsid w:val="00F21424"/>
    <w:rsid w:val="00F276BC"/>
    <w:rsid w:val="00F3194A"/>
    <w:rsid w:val="00F36AB6"/>
    <w:rsid w:val="00F37A09"/>
    <w:rsid w:val="00F409CE"/>
    <w:rsid w:val="00F4379D"/>
    <w:rsid w:val="00F50D2D"/>
    <w:rsid w:val="00F56C8B"/>
    <w:rsid w:val="00F62639"/>
    <w:rsid w:val="00F66810"/>
    <w:rsid w:val="00F72548"/>
    <w:rsid w:val="00F84DF4"/>
    <w:rsid w:val="00F85C97"/>
    <w:rsid w:val="00FB37D2"/>
    <w:rsid w:val="00FC4D23"/>
    <w:rsid w:val="00FC4EFB"/>
    <w:rsid w:val="00FD068D"/>
    <w:rsid w:val="00FD4F28"/>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4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CommentReference">
    <w:name w:val="annotation reference"/>
    <w:basedOn w:val="DefaultParagraphFont"/>
    <w:uiPriority w:val="99"/>
    <w:semiHidden/>
    <w:unhideWhenUsed/>
    <w:rsid w:val="009207FF"/>
    <w:rPr>
      <w:sz w:val="16"/>
      <w:szCs w:val="16"/>
    </w:rPr>
  </w:style>
  <w:style w:type="paragraph" w:styleId="CommentText">
    <w:name w:val="annotation text"/>
    <w:basedOn w:val="Normal"/>
    <w:link w:val="CommentTextChar"/>
    <w:uiPriority w:val="99"/>
    <w:semiHidden/>
    <w:unhideWhenUsed/>
    <w:rsid w:val="009207FF"/>
    <w:rPr>
      <w:sz w:val="20"/>
      <w:lang w:val="fr-CA"/>
    </w:rPr>
  </w:style>
  <w:style w:type="character" w:customStyle="1" w:styleId="CommentTextChar">
    <w:name w:val="Comment Text Char"/>
    <w:basedOn w:val="DefaultParagraphFont"/>
    <w:link w:val="CommentText"/>
    <w:uiPriority w:val="99"/>
    <w:semiHidden/>
    <w:rsid w:val="009207FF"/>
    <w:rPr>
      <w:lang w:val="fr-CA"/>
    </w:rPr>
  </w:style>
  <w:style w:type="paragraph" w:styleId="CommentSubject">
    <w:name w:val="annotation subject"/>
    <w:basedOn w:val="CommentText"/>
    <w:next w:val="CommentText"/>
    <w:link w:val="CommentSubjectChar"/>
    <w:uiPriority w:val="99"/>
    <w:semiHidden/>
    <w:unhideWhenUsed/>
    <w:rsid w:val="00E2317C"/>
    <w:rPr>
      <w:b/>
      <w:bCs/>
      <w:lang w:val="en-CA"/>
    </w:rPr>
  </w:style>
  <w:style w:type="character" w:customStyle="1" w:styleId="CommentSubjectChar">
    <w:name w:val="Comment Subject Char"/>
    <w:basedOn w:val="CommentTextChar"/>
    <w:link w:val="CommentSubject"/>
    <w:uiPriority w:val="99"/>
    <w:semiHidden/>
    <w:rsid w:val="00E2317C"/>
    <w:rPr>
      <w:b/>
      <w:bCs/>
      <w:lang w:val="fr-CA"/>
    </w:rPr>
  </w:style>
  <w:style w:type="paragraph" w:customStyle="1" w:styleId="Citation-AltC">
    <w:name w:val="Citation - Alt C"/>
    <w:uiPriority w:val="2"/>
    <w:qFormat/>
    <w:rsid w:val="00F21424"/>
    <w:pPr>
      <w:spacing w:after="720"/>
      <w:ind w:left="1166"/>
      <w:contextualSpacing/>
      <w:jc w:val="both"/>
    </w:pPr>
    <w:rPr>
      <w:sz w:val="24"/>
      <w:lang w:val="fr-CA"/>
    </w:rPr>
  </w:style>
  <w:style w:type="paragraph" w:customStyle="1" w:styleId="JudgeJuge">
    <w:name w:val="Judge / Juge"/>
    <w:uiPriority w:val="3"/>
    <w:rsid w:val="00F21424"/>
    <w:pPr>
      <w:tabs>
        <w:tab w:val="left" w:pos="1166"/>
      </w:tabs>
      <w:spacing w:after="480" w:line="480" w:lineRule="auto"/>
    </w:pPr>
    <w:rPr>
      <w:smallCaps/>
      <w:sz w:val="24"/>
      <w:lang w:val="fr-CA"/>
    </w:rPr>
  </w:style>
  <w:style w:type="paragraph" w:customStyle="1" w:styleId="ParaNoNdepar-AltN">
    <w:name w:val="Para. No. / Nº de par. - Alt N"/>
    <w:link w:val="ParaNoNdepar-AltNChar"/>
    <w:qFormat/>
    <w:rsid w:val="00F21424"/>
    <w:pPr>
      <w:numPr>
        <w:numId w:val="1"/>
      </w:numPr>
      <w:tabs>
        <w:tab w:val="clear" w:pos="1152"/>
        <w:tab w:val="left" w:pos="1166"/>
      </w:tabs>
      <w:spacing w:before="480" w:after="480" w:line="480" w:lineRule="auto"/>
      <w:jc w:val="both"/>
    </w:pPr>
    <w:rPr>
      <w:rFonts w:eastAsiaTheme="minorEastAsia" w:cstheme="minorBidi"/>
      <w:sz w:val="24"/>
      <w:szCs w:val="22"/>
      <w:lang w:val="fr-CA" w:eastAsia="en-US"/>
    </w:rPr>
  </w:style>
  <w:style w:type="paragraph" w:customStyle="1" w:styleId="Title1LevelTitre1Niveau-AltL">
    <w:name w:val="Title 1 Level / Titre 1 Niveau - Alt L"/>
    <w:next w:val="ParaNoNdepar-AltN"/>
    <w:uiPriority w:val="4"/>
    <w:qFormat/>
    <w:rsid w:val="00F21424"/>
    <w:pPr>
      <w:numPr>
        <w:numId w:val="2"/>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F21424"/>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F21424"/>
    <w:pPr>
      <w:numPr>
        <w:ilvl w:val="2"/>
      </w:numPr>
      <w:outlineLvl w:val="2"/>
    </w:pPr>
  </w:style>
  <w:style w:type="paragraph" w:customStyle="1" w:styleId="Title4LevelTitre4Niveau">
    <w:name w:val="Title 4 Level / Titre 4 Niveau"/>
    <w:basedOn w:val="Title3LevelTitre3Niveau"/>
    <w:next w:val="ParaNoNdepar-AltN"/>
    <w:uiPriority w:val="4"/>
    <w:qFormat/>
    <w:rsid w:val="00F21424"/>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F21424"/>
    <w:pPr>
      <w:numPr>
        <w:ilvl w:val="4"/>
      </w:numPr>
      <w:outlineLvl w:val="4"/>
    </w:pPr>
  </w:style>
  <w:style w:type="paragraph" w:customStyle="1" w:styleId="Title6LevelTitre6Niveau">
    <w:name w:val="Title 6 Level / Titre 6 Niveau"/>
    <w:basedOn w:val="Title5LevelTitre5Niveau"/>
    <w:next w:val="ParaNoNdepar-AltN"/>
    <w:uiPriority w:val="4"/>
    <w:qFormat/>
    <w:rsid w:val="00F21424"/>
    <w:pPr>
      <w:numPr>
        <w:ilvl w:val="5"/>
      </w:numPr>
      <w:outlineLvl w:val="5"/>
    </w:pPr>
    <w:rPr>
      <w:i/>
      <w:u w:val="none"/>
    </w:rPr>
  </w:style>
  <w:style w:type="character" w:styleId="Emphasis">
    <w:name w:val="Emphasis"/>
    <w:basedOn w:val="DefaultParagraphFont"/>
    <w:uiPriority w:val="20"/>
    <w:qFormat/>
    <w:rsid w:val="00F21424"/>
    <w:rPr>
      <w:i/>
      <w:iCs/>
    </w:rPr>
  </w:style>
  <w:style w:type="character" w:customStyle="1" w:styleId="reflex3-block">
    <w:name w:val="reflex3-block"/>
    <w:basedOn w:val="DefaultParagraphFont"/>
    <w:rsid w:val="00F21424"/>
  </w:style>
  <w:style w:type="character" w:styleId="Hyperlink">
    <w:name w:val="Hyperlink"/>
    <w:basedOn w:val="DefaultParagraphFont"/>
    <w:uiPriority w:val="99"/>
    <w:semiHidden/>
    <w:unhideWhenUsed/>
    <w:rsid w:val="00F21424"/>
    <w:rPr>
      <w:color w:val="0000FF"/>
      <w:u w:val="single"/>
    </w:rPr>
  </w:style>
  <w:style w:type="character" w:customStyle="1" w:styleId="ParaNoNdepar-AltNChar">
    <w:name w:val="Para. No. / Nº de par. - Alt N Char"/>
    <w:basedOn w:val="DefaultParagraphFont"/>
    <w:link w:val="ParaNoNdepar-AltN"/>
    <w:rsid w:val="00F21424"/>
    <w:rPr>
      <w:rFonts w:eastAsiaTheme="minorEastAsia" w:cstheme="minorBidi"/>
      <w:sz w:val="24"/>
      <w:szCs w:val="22"/>
      <w:lang w:val="fr-CA" w:eastAsia="en-US"/>
    </w:rPr>
  </w:style>
  <w:style w:type="table" w:styleId="TableGrid">
    <w:name w:val="Table Grid"/>
    <w:basedOn w:val="TableNormal"/>
    <w:uiPriority w:val="59"/>
    <w:rsid w:val="00F21424"/>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6615</Words>
  <Characters>33042</Characters>
  <Application>Microsoft Office Word</Application>
  <DocSecurity>0</DocSecurity>
  <Lines>275</Lines>
  <Paragraphs>79</Paragraphs>
  <ScaleCrop>false</ScaleCrop>
  <Company/>
  <LinksUpToDate>false</LinksUpToDate>
  <CharactersWithSpaces>39578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2022-04-21T21:41:00Z</dcterms:created>
  <dcterms:modified xsi:type="dcterms:W3CDTF">2022-04-21T21:46:00Z</dcterms:modified>
</cp:coreProperties>
</file>