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0"/>
        <w:gridCol w:w="1559"/>
        <w:gridCol w:w="1415"/>
        <w:gridCol w:w="3828"/>
      </w:tblGrid>
      <w:tr w:rsidR="00423C0D" w:rsidTr="00423C0D">
        <w:trPr>
          <w:trHeight w:val="1786"/>
        </w:trPr>
        <w:tc>
          <w:tcPr>
            <w:tcW w:w="5000" w:type="pct"/>
            <w:gridSpan w:val="4"/>
          </w:tcPr>
          <w:p w:rsidR="00423C0D" w:rsidRDefault="00423C0D" w:rsidP="00A51442">
            <w:pPr>
              <w:pStyle w:val="SCCBold"/>
              <w:jc w:val="center"/>
            </w:pPr>
            <w:r>
              <w:rPr>
                <w:noProof/>
                <w:lang w:eastAsia="fr-CA"/>
              </w:rPr>
              <w:drawing>
                <wp:inline distT="0" distB="0" distL="0" distR="0" wp14:anchorId="4E1468BC" wp14:editId="0002C899">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423C0D" w:rsidRDefault="00423C0D" w:rsidP="009764CA">
            <w:pPr>
              <w:spacing w:before="120" w:after="100" w:afterAutospacing="1"/>
              <w:jc w:val="center"/>
              <w:rPr>
                <w:rFonts w:eastAsia="Calibri"/>
              </w:rPr>
            </w:pPr>
            <w:r w:rsidRPr="00C22905">
              <w:rPr>
                <w:rFonts w:eastAsia="Calibri"/>
                <w:b/>
              </w:rPr>
              <w:t>COUR</w:t>
            </w:r>
            <w:r>
              <w:rPr>
                <w:rFonts w:eastAsia="Calibri"/>
                <w:b/>
              </w:rPr>
              <w:t xml:space="preserve"> SUPRÊME DU</w:t>
            </w:r>
            <w:r w:rsidRPr="00C22905">
              <w:rPr>
                <w:rFonts w:eastAsia="Calibri"/>
                <w:b/>
              </w:rPr>
              <w:t xml:space="preserve"> CANADA</w:t>
            </w:r>
          </w:p>
        </w:tc>
      </w:tr>
      <w:tr w:rsidR="00D056AE" w:rsidRPr="00E7577F" w:rsidTr="00D056AE">
        <w:tblPrEx>
          <w:tblCellMar>
            <w:top w:w="58" w:type="dxa"/>
            <w:left w:w="58" w:type="dxa"/>
            <w:bottom w:w="58" w:type="dxa"/>
            <w:right w:w="58" w:type="dxa"/>
          </w:tblCellMar>
        </w:tblPrEx>
        <w:trPr>
          <w:cantSplit/>
        </w:trPr>
        <w:tc>
          <w:tcPr>
            <w:tcW w:w="2110" w:type="pct"/>
            <w:gridSpan w:val="2"/>
          </w:tcPr>
          <w:p w:rsidR="008215C3" w:rsidRPr="00C27614" w:rsidRDefault="008215C3" w:rsidP="002F0B6C">
            <w:pPr>
              <w:rPr>
                <w:b/>
                <w:smallCaps/>
              </w:rPr>
            </w:pPr>
          </w:p>
          <w:p w:rsidR="00D056AE" w:rsidRPr="00C27614" w:rsidRDefault="00D056AE" w:rsidP="002F0B6C">
            <w:pPr>
              <w:rPr>
                <w:b/>
                <w:smallCaps/>
              </w:rPr>
            </w:pPr>
            <w:r w:rsidRPr="00C27614">
              <w:rPr>
                <w:b/>
                <w:smallCaps/>
              </w:rPr>
              <w:t>Référence :</w:t>
            </w:r>
            <w:r w:rsidRPr="00C27614">
              <w:t xml:space="preserve"> </w:t>
            </w:r>
            <w:r w:rsidR="00432193" w:rsidRPr="00C27614">
              <w:t xml:space="preserve">R. </w:t>
            </w:r>
            <w:r w:rsidR="00432193" w:rsidRPr="00C27614">
              <w:rPr>
                <w:i/>
              </w:rPr>
              <w:t>c.</w:t>
            </w:r>
            <w:r w:rsidR="00432193" w:rsidRPr="00C27614">
              <w:t xml:space="preserve"> Alas, </w:t>
            </w:r>
            <w:r w:rsidRPr="00C27614">
              <w:t>2022 CSC 14</w:t>
            </w:r>
          </w:p>
        </w:tc>
        <w:tc>
          <w:tcPr>
            <w:tcW w:w="780" w:type="pct"/>
          </w:tcPr>
          <w:p w:rsidR="00D056AE" w:rsidRPr="00C27614" w:rsidRDefault="00D056AE" w:rsidP="002F0B6C"/>
        </w:tc>
        <w:tc>
          <w:tcPr>
            <w:tcW w:w="2109" w:type="pct"/>
          </w:tcPr>
          <w:p w:rsidR="00D056AE" w:rsidRPr="00C27614" w:rsidRDefault="00D056AE" w:rsidP="00423C0D">
            <w:pPr>
              <w:jc w:val="both"/>
              <w:rPr>
                <w:b/>
                <w:smallCaps/>
              </w:rPr>
            </w:pPr>
          </w:p>
          <w:p w:rsidR="00D056AE" w:rsidRPr="00C27614" w:rsidRDefault="00D056AE" w:rsidP="00423C0D">
            <w:pPr>
              <w:jc w:val="both"/>
            </w:pPr>
            <w:r w:rsidRPr="00C27614">
              <w:rPr>
                <w:b/>
                <w:smallCaps/>
              </w:rPr>
              <w:t>Appel entendu :</w:t>
            </w:r>
            <w:r w:rsidRPr="00C27614">
              <w:t xml:space="preserve"> </w:t>
            </w:r>
            <w:r w:rsidR="00432193" w:rsidRPr="00C27614">
              <w:t>21 avril 2022</w:t>
            </w:r>
          </w:p>
          <w:p w:rsidR="00D056AE" w:rsidRPr="00C27614" w:rsidRDefault="00D056AE">
            <w:r w:rsidRPr="00C27614">
              <w:rPr>
                <w:b/>
                <w:smallCaps/>
              </w:rPr>
              <w:t>Jugement rendu :</w:t>
            </w:r>
            <w:r w:rsidRPr="00C27614">
              <w:t xml:space="preserve"> </w:t>
            </w:r>
            <w:r w:rsidR="00432193" w:rsidRPr="00C27614">
              <w:t>21 avril 2022</w:t>
            </w:r>
          </w:p>
          <w:p w:rsidR="00D056AE" w:rsidRPr="00C27614" w:rsidRDefault="00D056AE" w:rsidP="002F0B6C">
            <w:r w:rsidRPr="00C27614">
              <w:rPr>
                <w:b/>
                <w:smallCaps/>
              </w:rPr>
              <w:t>Dossier :</w:t>
            </w:r>
            <w:r w:rsidRPr="00C27614">
              <w:t xml:space="preserve"> 39654</w:t>
            </w:r>
          </w:p>
        </w:tc>
      </w:tr>
      <w:tr w:rsidR="00423C0D" w:rsidRPr="00423C0D" w:rsidTr="00423C0D">
        <w:tblPrEx>
          <w:tblCellMar>
            <w:top w:w="58" w:type="dxa"/>
            <w:left w:w="58" w:type="dxa"/>
            <w:bottom w:w="58" w:type="dxa"/>
            <w:right w:w="58" w:type="dxa"/>
          </w:tblCellMar>
        </w:tblPrEx>
        <w:trPr>
          <w:cantSplit/>
        </w:trPr>
        <w:tc>
          <w:tcPr>
            <w:tcW w:w="5000" w:type="pct"/>
            <w:gridSpan w:val="4"/>
          </w:tcPr>
          <w:p w:rsidR="00423C0D" w:rsidRPr="00C27614" w:rsidRDefault="00423C0D" w:rsidP="00423C0D"/>
          <w:p w:rsidR="009040AE" w:rsidRPr="00C27614" w:rsidRDefault="00432193">
            <w:pPr>
              <w:pStyle w:val="SCCLsocPrefix"/>
            </w:pPr>
            <w:r w:rsidRPr="00C27614">
              <w:t>Entre </w:t>
            </w:r>
            <w:r w:rsidR="00C27614" w:rsidRPr="00C27614">
              <w:t>:</w:t>
            </w:r>
          </w:p>
          <w:p w:rsidR="00432193" w:rsidRPr="00C27614" w:rsidRDefault="00432193" w:rsidP="00432193"/>
          <w:p w:rsidR="009040AE" w:rsidRPr="00C27614" w:rsidRDefault="00C27614">
            <w:pPr>
              <w:pStyle w:val="SCCLsocParty"/>
            </w:pPr>
            <w:r w:rsidRPr="00C27614">
              <w:t>Sa Majesté la Reine</w:t>
            </w:r>
          </w:p>
          <w:p w:rsidR="009040AE" w:rsidRPr="00C27614" w:rsidRDefault="00432193">
            <w:pPr>
              <w:pStyle w:val="SCCLsocPartyRole"/>
            </w:pPr>
            <w:r w:rsidRPr="00C27614">
              <w:t>Appelante</w:t>
            </w:r>
          </w:p>
          <w:p w:rsidR="009040AE" w:rsidRPr="00C27614" w:rsidRDefault="009040AE"/>
          <w:p w:rsidR="009040AE" w:rsidRPr="00C27614" w:rsidRDefault="00432193">
            <w:pPr>
              <w:pStyle w:val="SCCLsocVersus"/>
            </w:pPr>
            <w:r w:rsidRPr="00C27614">
              <w:t>et</w:t>
            </w:r>
          </w:p>
          <w:p w:rsidR="009040AE" w:rsidRPr="00C27614" w:rsidRDefault="009040AE"/>
          <w:p w:rsidR="009040AE" w:rsidRPr="00C27614" w:rsidRDefault="00C27614">
            <w:pPr>
              <w:pStyle w:val="SCCLsocParty"/>
            </w:pPr>
            <w:r w:rsidRPr="00C27614">
              <w:t>Anthony Raul Alas</w:t>
            </w:r>
          </w:p>
          <w:p w:rsidR="009040AE" w:rsidRPr="00C27614" w:rsidRDefault="00432193">
            <w:pPr>
              <w:pStyle w:val="SCCLsocPartyRole"/>
            </w:pPr>
            <w:r w:rsidRPr="00C27614">
              <w:t>Intimé</w:t>
            </w:r>
          </w:p>
          <w:p w:rsidR="00C34313" w:rsidRPr="00C27614" w:rsidRDefault="00C34313" w:rsidP="00423C0D"/>
          <w:p w:rsidR="00423C0D" w:rsidRPr="00C27614" w:rsidRDefault="00423C0D" w:rsidP="00423C0D">
            <w:pPr>
              <w:jc w:val="center"/>
              <w:rPr>
                <w:b/>
                <w:smallCaps/>
              </w:rPr>
            </w:pPr>
            <w:r w:rsidRPr="00C27614">
              <w:rPr>
                <w:b/>
                <w:smallCaps/>
              </w:rPr>
              <w:t>Traduction française officielle</w:t>
            </w:r>
          </w:p>
          <w:p w:rsidR="00423C0D" w:rsidRPr="00C27614" w:rsidRDefault="00423C0D" w:rsidP="00423C0D"/>
          <w:p w:rsidR="00423C0D" w:rsidRPr="00C27614" w:rsidRDefault="00423C0D" w:rsidP="00423C0D">
            <w:r w:rsidRPr="00C27614">
              <w:rPr>
                <w:b/>
                <w:smallCaps/>
              </w:rPr>
              <w:t>Coram :</w:t>
            </w:r>
            <w:r w:rsidRPr="00C27614">
              <w:t xml:space="preserve"> Le juge en chef Wagner et les juges Moldaver, Karakatsanis, Côté, Brown, Rowe, Martin, Kasirer et Jamal</w:t>
            </w:r>
          </w:p>
          <w:p w:rsidR="00423C0D" w:rsidRPr="00C27614" w:rsidRDefault="00423C0D" w:rsidP="00423C0D">
            <w:pPr>
              <w:jc w:val="both"/>
              <w:rPr>
                <w:b/>
                <w:smallCaps/>
              </w:rPr>
            </w:pPr>
          </w:p>
        </w:tc>
      </w:tr>
      <w:tr w:rsidR="004E69EC" w:rsidRPr="001E12E2" w:rsidTr="00D056AE">
        <w:tblPrEx>
          <w:tblCellMar>
            <w:top w:w="58" w:type="dxa"/>
            <w:left w:w="58" w:type="dxa"/>
            <w:bottom w:w="58" w:type="dxa"/>
            <w:right w:w="58" w:type="dxa"/>
          </w:tblCellMar>
        </w:tblPrEx>
        <w:trPr>
          <w:cantSplit/>
        </w:trPr>
        <w:tc>
          <w:tcPr>
            <w:tcW w:w="1251" w:type="pct"/>
          </w:tcPr>
          <w:p w:rsidR="004E69EC" w:rsidRPr="00C27614" w:rsidRDefault="00432193" w:rsidP="002F0B6C">
            <w:pPr>
              <w:rPr>
                <w:b/>
                <w:smallCaps/>
              </w:rPr>
            </w:pPr>
            <w:r w:rsidRPr="00C27614">
              <w:rPr>
                <w:b/>
                <w:smallCaps/>
              </w:rPr>
              <w:t>Jugement unanime lu par :</w:t>
            </w:r>
          </w:p>
          <w:p w:rsidR="00432193" w:rsidRDefault="00432193" w:rsidP="002F0B6C">
            <w:r w:rsidRPr="00C27614">
              <w:t>(par. 1 à 6)</w:t>
            </w:r>
          </w:p>
          <w:p w:rsidR="00432193" w:rsidRPr="00432193" w:rsidRDefault="00432193" w:rsidP="002F0B6C"/>
        </w:tc>
        <w:tc>
          <w:tcPr>
            <w:tcW w:w="3749" w:type="pct"/>
            <w:gridSpan w:val="3"/>
          </w:tcPr>
          <w:p w:rsidR="004E69EC" w:rsidRPr="00C27614" w:rsidRDefault="00432193">
            <w:r w:rsidRPr="00C27614">
              <w:t>Le juge en chef Wagner</w:t>
            </w:r>
          </w:p>
        </w:tc>
      </w:tr>
      <w:tr w:rsidR="00432193" w:rsidRPr="001E12E2" w:rsidTr="00726F8B">
        <w:tblPrEx>
          <w:tblCellMar>
            <w:top w:w="58" w:type="dxa"/>
            <w:left w:w="58" w:type="dxa"/>
            <w:bottom w:w="58" w:type="dxa"/>
            <w:right w:w="58" w:type="dxa"/>
          </w:tblCellMar>
        </w:tblPrEx>
        <w:trPr>
          <w:cantSplit/>
        </w:trPr>
        <w:tc>
          <w:tcPr>
            <w:tcW w:w="1" w:type="pct"/>
            <w:gridSpan w:val="4"/>
          </w:tcPr>
          <w:p w:rsidR="00631D22" w:rsidRPr="00C27614" w:rsidRDefault="00631D22" w:rsidP="00625B0F"/>
        </w:tc>
      </w:tr>
    </w:tbl>
    <w:p w:rsidR="00F837E7" w:rsidRDefault="00F837E7"/>
    <w:p w:rsidR="004F7322" w:rsidRDefault="004F7322" w:rsidP="004F7322"/>
    <w:p w:rsidR="00904937" w:rsidRPr="00E7577F" w:rsidRDefault="00904937">
      <w:r w:rsidRPr="00787F6E">
        <w:rPr>
          <w:b/>
          <w:smallCaps/>
        </w:rPr>
        <w:t>Note</w:t>
      </w:r>
      <w:r w:rsidR="002F0B6C" w:rsidRPr="00787F6E">
        <w:rPr>
          <w:b/>
          <w:smallCaps/>
        </w:rPr>
        <w:t> :</w:t>
      </w:r>
      <w:r w:rsidRPr="00787F6E">
        <w:rPr>
          <w:b/>
        </w:rPr>
        <w:t xml:space="preserve"> </w:t>
      </w:r>
      <w:r w:rsidR="001E12E2" w:rsidRPr="00E7577F">
        <w:t>Ce document fera l’objet de retouches de forme avant la parution</w:t>
      </w:r>
      <w:r w:rsidR="005C0397" w:rsidRPr="00E7577F">
        <w:t xml:space="preserve"> </w:t>
      </w:r>
      <w:r w:rsidR="001E12E2" w:rsidRPr="00E7577F">
        <w:t>de sa version définitive dans le</w:t>
      </w:r>
      <w:r w:rsidRPr="00E7577F">
        <w:t xml:space="preserve"> </w:t>
      </w:r>
      <w:r w:rsidR="001E12E2" w:rsidRPr="00E7577F">
        <w:rPr>
          <w:i/>
        </w:rPr>
        <w:t>Recueil des arrêts de la Cour suprême du C</w:t>
      </w:r>
      <w:r w:rsidRPr="00E7577F">
        <w:rPr>
          <w:i/>
        </w:rPr>
        <w:t>anada</w:t>
      </w:r>
      <w:r w:rsidRPr="00E7577F">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D1436" w:rsidTr="003375C9">
        <w:tc>
          <w:tcPr>
            <w:tcW w:w="1500" w:type="pct"/>
            <w:tcMar>
              <w:top w:w="284" w:type="dxa"/>
            </w:tcMar>
          </w:tcPr>
          <w:p w:rsidR="000D1436" w:rsidRDefault="000D1436" w:rsidP="003375C9">
            <w:pPr>
              <w:rPr>
                <w:rFonts w:eastAsia="Calibri"/>
              </w:rPr>
            </w:pPr>
          </w:p>
        </w:tc>
        <w:tc>
          <w:tcPr>
            <w:tcW w:w="2000" w:type="pct"/>
            <w:tcBorders>
              <w:bottom w:val="single" w:sz="4" w:space="0" w:color="auto"/>
            </w:tcBorders>
            <w:tcMar>
              <w:top w:w="284" w:type="dxa"/>
            </w:tcMar>
          </w:tcPr>
          <w:p w:rsidR="000D1436" w:rsidRDefault="000D1436" w:rsidP="003375C9">
            <w:pPr>
              <w:rPr>
                <w:rFonts w:eastAsia="Calibri"/>
              </w:rPr>
            </w:pPr>
          </w:p>
        </w:tc>
        <w:tc>
          <w:tcPr>
            <w:tcW w:w="1500" w:type="pct"/>
            <w:tcMar>
              <w:top w:w="284" w:type="dxa"/>
            </w:tcMar>
          </w:tcPr>
          <w:p w:rsidR="000D1436" w:rsidRDefault="000D1436" w:rsidP="003375C9">
            <w:pPr>
              <w:rPr>
                <w:rFonts w:eastAsia="Calibri"/>
              </w:rPr>
            </w:pPr>
          </w:p>
        </w:tc>
      </w:tr>
    </w:tbl>
    <w:p w:rsidR="00C35A35" w:rsidRDefault="00C35A35"/>
    <w:p w:rsidR="00C35A35" w:rsidRDefault="00C35A35" w:rsidP="00C35A35"/>
    <w:p w:rsidR="00723387" w:rsidRDefault="00723387" w:rsidP="00625B0F">
      <w:pPr>
        <w:tabs>
          <w:tab w:val="right" w:pos="8222"/>
        </w:tabs>
        <w:spacing w:after="720"/>
        <w:rPr>
          <w:rFonts w:eastAsia="Times New Roman" w:cs="Times New Roman"/>
          <w:b/>
          <w:szCs w:val="20"/>
          <w:lang w:eastAsia="en-CA"/>
        </w:rPr>
      </w:pPr>
    </w:p>
    <w:p w:rsidR="00625B0F" w:rsidRPr="00625B0F" w:rsidRDefault="00625B0F" w:rsidP="00625B0F">
      <w:pPr>
        <w:tabs>
          <w:tab w:val="right" w:pos="8222"/>
        </w:tabs>
        <w:spacing w:after="720"/>
        <w:rPr>
          <w:rFonts w:eastAsia="Times New Roman" w:cs="Times New Roman"/>
          <w:b/>
          <w:szCs w:val="20"/>
          <w:lang w:eastAsia="en-CA"/>
        </w:rPr>
      </w:pPr>
      <w:bookmarkStart w:id="0" w:name="_GoBack"/>
      <w:bookmarkEnd w:id="0"/>
      <w:r w:rsidRPr="00625B0F">
        <w:rPr>
          <w:rFonts w:eastAsia="Times New Roman" w:cs="Times New Roman"/>
          <w:b/>
          <w:szCs w:val="20"/>
          <w:lang w:eastAsia="en-CA"/>
        </w:rPr>
        <w:t>Sa Majesté la Reine</w:t>
      </w:r>
      <w:r w:rsidRPr="00625B0F">
        <w:rPr>
          <w:rFonts w:eastAsia="Times New Roman" w:cs="Times New Roman"/>
          <w:i/>
          <w:szCs w:val="20"/>
          <w:lang w:eastAsia="en-CA"/>
        </w:rPr>
        <w:tab/>
        <w:t>Appelante</w:t>
      </w:r>
    </w:p>
    <w:p w:rsidR="00625B0F" w:rsidRPr="00625B0F" w:rsidRDefault="00625B0F" w:rsidP="00625B0F">
      <w:pPr>
        <w:spacing w:after="720"/>
        <w:rPr>
          <w:rFonts w:eastAsia="Times New Roman" w:cs="Times New Roman"/>
          <w:i/>
          <w:szCs w:val="20"/>
          <w:lang w:eastAsia="en-CA"/>
        </w:rPr>
      </w:pPr>
      <w:proofErr w:type="gramStart"/>
      <w:r w:rsidRPr="00625B0F">
        <w:rPr>
          <w:rFonts w:eastAsia="Times New Roman" w:cs="Times New Roman"/>
          <w:i/>
          <w:szCs w:val="20"/>
          <w:lang w:eastAsia="en-CA"/>
        </w:rPr>
        <w:lastRenderedPageBreak/>
        <w:t>c</w:t>
      </w:r>
      <w:proofErr w:type="gramEnd"/>
      <w:r w:rsidRPr="00625B0F">
        <w:rPr>
          <w:rFonts w:eastAsia="Times New Roman" w:cs="Times New Roman"/>
          <w:i/>
          <w:szCs w:val="20"/>
          <w:lang w:eastAsia="en-CA"/>
        </w:rPr>
        <w:t>.</w:t>
      </w:r>
    </w:p>
    <w:p w:rsidR="00625B0F" w:rsidRPr="00625B0F" w:rsidRDefault="00625B0F" w:rsidP="00625B0F">
      <w:pPr>
        <w:tabs>
          <w:tab w:val="right" w:pos="8222"/>
        </w:tabs>
        <w:spacing w:after="720"/>
        <w:rPr>
          <w:rFonts w:eastAsia="Times New Roman" w:cs="Times New Roman"/>
          <w:b/>
          <w:szCs w:val="20"/>
          <w:lang w:eastAsia="en-CA"/>
        </w:rPr>
      </w:pPr>
      <w:r w:rsidRPr="00625B0F">
        <w:rPr>
          <w:rFonts w:eastAsia="Times New Roman" w:cs="Times New Roman"/>
          <w:b/>
          <w:szCs w:val="20"/>
          <w:lang w:eastAsia="en-CA"/>
        </w:rPr>
        <w:t xml:space="preserve">Anthony Raul </w:t>
      </w:r>
      <w:proofErr w:type="spellStart"/>
      <w:r w:rsidRPr="00625B0F">
        <w:rPr>
          <w:rFonts w:eastAsia="Times New Roman" w:cs="Times New Roman"/>
          <w:b/>
          <w:szCs w:val="20"/>
          <w:lang w:eastAsia="en-CA"/>
        </w:rPr>
        <w:t>Alas</w:t>
      </w:r>
      <w:proofErr w:type="spellEnd"/>
      <w:r w:rsidRPr="00625B0F">
        <w:rPr>
          <w:rFonts w:eastAsia="Times New Roman" w:cs="Times New Roman"/>
          <w:i/>
          <w:szCs w:val="20"/>
          <w:lang w:eastAsia="en-CA"/>
        </w:rPr>
        <w:tab/>
        <w:t>Intimé</w:t>
      </w:r>
    </w:p>
    <w:p w:rsidR="00625B0F" w:rsidRPr="00625B0F" w:rsidRDefault="00625B0F" w:rsidP="00625B0F">
      <w:pPr>
        <w:spacing w:after="720"/>
        <w:jc w:val="both"/>
        <w:rPr>
          <w:rFonts w:eastAsia="Times New Roman" w:cs="Times New Roman"/>
          <w:b/>
          <w:szCs w:val="20"/>
          <w:lang w:eastAsia="en-CA"/>
        </w:rPr>
      </w:pPr>
      <w:r w:rsidRPr="00625B0F">
        <w:rPr>
          <w:rFonts w:eastAsia="Times New Roman" w:cs="Times New Roman"/>
          <w:b/>
          <w:szCs w:val="20"/>
          <w:lang w:eastAsia="en-CA"/>
        </w:rPr>
        <w:t xml:space="preserve">Répertorié : R. </w:t>
      </w:r>
      <w:r w:rsidRPr="00625B0F">
        <w:rPr>
          <w:rFonts w:eastAsia="Times New Roman" w:cs="Times New Roman"/>
          <w:b/>
          <w:i/>
          <w:szCs w:val="20"/>
          <w:lang w:eastAsia="en-CA"/>
        </w:rPr>
        <w:t>c.</w:t>
      </w:r>
      <w:r w:rsidRPr="00625B0F">
        <w:rPr>
          <w:rFonts w:eastAsia="Times New Roman" w:cs="Times New Roman"/>
          <w:b/>
          <w:szCs w:val="20"/>
          <w:lang w:eastAsia="en-CA"/>
        </w:rPr>
        <w:t xml:space="preserve"> </w:t>
      </w:r>
      <w:proofErr w:type="spellStart"/>
      <w:r w:rsidRPr="00625B0F">
        <w:rPr>
          <w:rFonts w:eastAsia="Times New Roman" w:cs="Times New Roman"/>
          <w:b/>
          <w:szCs w:val="20"/>
          <w:lang w:eastAsia="en-CA"/>
        </w:rPr>
        <w:t>Alas</w:t>
      </w:r>
      <w:proofErr w:type="spellEnd"/>
    </w:p>
    <w:p w:rsidR="00625B0F" w:rsidRPr="00625B0F" w:rsidRDefault="00625B0F" w:rsidP="00625B0F">
      <w:pPr>
        <w:spacing w:after="720"/>
        <w:jc w:val="both"/>
        <w:rPr>
          <w:rFonts w:eastAsia="Times New Roman" w:cs="Times New Roman"/>
          <w:b/>
          <w:szCs w:val="20"/>
          <w:lang w:eastAsia="en-CA"/>
        </w:rPr>
      </w:pPr>
      <w:r w:rsidRPr="00625B0F">
        <w:rPr>
          <w:rFonts w:eastAsia="Times New Roman" w:cs="Times New Roman"/>
          <w:b/>
          <w:szCs w:val="20"/>
          <w:lang w:eastAsia="en-CA"/>
        </w:rPr>
        <w:t>2022 CSC 14</w:t>
      </w:r>
    </w:p>
    <w:p w:rsidR="00625B0F" w:rsidRPr="00625B0F" w:rsidRDefault="00625B0F" w:rsidP="00625B0F">
      <w:pPr>
        <w:spacing w:after="720"/>
        <w:jc w:val="both"/>
        <w:rPr>
          <w:rFonts w:eastAsia="Times New Roman" w:cs="Times New Roman"/>
          <w:szCs w:val="20"/>
          <w:lang w:eastAsia="en-CA"/>
        </w:rPr>
      </w:pPr>
      <w:r w:rsidRPr="00625B0F">
        <w:rPr>
          <w:rFonts w:eastAsia="Times New Roman" w:cs="Times New Roman"/>
          <w:szCs w:val="20"/>
          <w:lang w:eastAsia="en-CA"/>
        </w:rPr>
        <w:t>N</w:t>
      </w:r>
      <w:r w:rsidRPr="00625B0F">
        <w:rPr>
          <w:rFonts w:eastAsia="Times New Roman" w:cs="Times New Roman"/>
          <w:szCs w:val="20"/>
          <w:vertAlign w:val="superscript"/>
          <w:lang w:eastAsia="en-CA"/>
        </w:rPr>
        <w:t>o</w:t>
      </w:r>
      <w:r w:rsidRPr="00625B0F">
        <w:rPr>
          <w:rFonts w:eastAsia="Times New Roman" w:cs="Times New Roman"/>
          <w:szCs w:val="20"/>
          <w:lang w:eastAsia="en-CA"/>
        </w:rPr>
        <w:t xml:space="preserve"> du greffe : 39654.</w:t>
      </w:r>
    </w:p>
    <w:p w:rsidR="00625B0F" w:rsidRPr="00625B0F" w:rsidRDefault="00625B0F" w:rsidP="00625B0F">
      <w:pPr>
        <w:spacing w:after="720"/>
        <w:jc w:val="both"/>
        <w:rPr>
          <w:rFonts w:eastAsia="Times New Roman" w:cs="Times New Roman"/>
          <w:szCs w:val="20"/>
          <w:lang w:eastAsia="en-CA"/>
        </w:rPr>
      </w:pPr>
      <w:r w:rsidRPr="00625B0F">
        <w:rPr>
          <w:rFonts w:eastAsia="Times New Roman" w:cs="Times New Roman"/>
          <w:szCs w:val="20"/>
          <w:lang w:eastAsia="en-CA"/>
        </w:rPr>
        <w:t>2022 : 21 avril.</w:t>
      </w:r>
    </w:p>
    <w:p w:rsidR="00625B0F" w:rsidRPr="00625B0F" w:rsidRDefault="00625B0F" w:rsidP="00625B0F">
      <w:pPr>
        <w:spacing w:after="720"/>
        <w:jc w:val="both"/>
        <w:rPr>
          <w:rFonts w:eastAsia="Times New Roman" w:cs="Times New Roman"/>
          <w:szCs w:val="20"/>
          <w:lang w:eastAsia="en-CA"/>
        </w:rPr>
      </w:pPr>
      <w:r w:rsidRPr="00625B0F">
        <w:rPr>
          <w:rFonts w:eastAsia="Times New Roman" w:cs="Times New Roman"/>
          <w:szCs w:val="20"/>
          <w:lang w:eastAsia="en-CA"/>
        </w:rPr>
        <w:t xml:space="preserve">Présents : Le juge en chef Wagner et les juges </w:t>
      </w:r>
      <w:proofErr w:type="spellStart"/>
      <w:r w:rsidRPr="00625B0F">
        <w:rPr>
          <w:rFonts w:eastAsia="Times New Roman" w:cs="Times New Roman"/>
          <w:szCs w:val="20"/>
          <w:lang w:eastAsia="en-CA"/>
        </w:rPr>
        <w:t>Moldaver</w:t>
      </w:r>
      <w:proofErr w:type="spellEnd"/>
      <w:r w:rsidRPr="00625B0F">
        <w:rPr>
          <w:rFonts w:eastAsia="Times New Roman" w:cs="Times New Roman"/>
          <w:szCs w:val="20"/>
          <w:lang w:eastAsia="en-CA"/>
        </w:rPr>
        <w:t xml:space="preserve">, </w:t>
      </w:r>
      <w:proofErr w:type="spellStart"/>
      <w:r w:rsidRPr="00625B0F">
        <w:rPr>
          <w:rFonts w:eastAsia="Times New Roman" w:cs="Times New Roman"/>
          <w:szCs w:val="20"/>
          <w:lang w:eastAsia="en-CA"/>
        </w:rPr>
        <w:t>Karakatsanis</w:t>
      </w:r>
      <w:proofErr w:type="spellEnd"/>
      <w:r w:rsidRPr="00625B0F">
        <w:rPr>
          <w:rFonts w:eastAsia="Times New Roman" w:cs="Times New Roman"/>
          <w:szCs w:val="20"/>
          <w:lang w:eastAsia="en-CA"/>
        </w:rPr>
        <w:t xml:space="preserve">, Côté, Brown, Rowe, Martin, </w:t>
      </w:r>
      <w:proofErr w:type="spellStart"/>
      <w:r w:rsidRPr="00625B0F">
        <w:rPr>
          <w:rFonts w:eastAsia="Times New Roman" w:cs="Times New Roman"/>
          <w:szCs w:val="20"/>
          <w:lang w:eastAsia="en-CA"/>
        </w:rPr>
        <w:t>Kasirer</w:t>
      </w:r>
      <w:proofErr w:type="spellEnd"/>
      <w:r w:rsidRPr="00625B0F">
        <w:rPr>
          <w:rFonts w:eastAsia="Times New Roman" w:cs="Times New Roman"/>
          <w:szCs w:val="20"/>
          <w:lang w:eastAsia="en-CA"/>
        </w:rPr>
        <w:t xml:space="preserve"> et Jamal.</w:t>
      </w:r>
    </w:p>
    <w:p w:rsidR="00625B0F" w:rsidRPr="00625B0F" w:rsidRDefault="00625B0F" w:rsidP="00625B0F">
      <w:pPr>
        <w:spacing w:after="720"/>
        <w:jc w:val="both"/>
        <w:rPr>
          <w:rFonts w:eastAsia="Times New Roman" w:cs="Times New Roman"/>
          <w:smallCaps/>
          <w:szCs w:val="20"/>
          <w:lang w:eastAsia="en-CA"/>
        </w:rPr>
      </w:pPr>
      <w:r w:rsidRPr="00625B0F">
        <w:rPr>
          <w:rFonts w:eastAsia="Times New Roman" w:cs="Times New Roman"/>
          <w:smallCaps/>
          <w:szCs w:val="20"/>
          <w:lang w:eastAsia="en-CA"/>
        </w:rPr>
        <w:t xml:space="preserve">en appel de la cour d’appel de </w:t>
      </w:r>
      <w:proofErr w:type="spellStart"/>
      <w:r w:rsidRPr="00625B0F">
        <w:rPr>
          <w:rFonts w:eastAsia="Times New Roman" w:cs="Times New Roman"/>
          <w:smallCaps/>
          <w:szCs w:val="20"/>
          <w:lang w:eastAsia="en-CA"/>
        </w:rPr>
        <w:t>l’ontario</w:t>
      </w:r>
      <w:proofErr w:type="spellEnd"/>
    </w:p>
    <w:p w:rsidR="00625B0F" w:rsidRPr="00625B0F" w:rsidRDefault="00625B0F" w:rsidP="00625B0F">
      <w:pPr>
        <w:tabs>
          <w:tab w:val="left" w:pos="1168"/>
        </w:tabs>
        <w:spacing w:after="480" w:line="480" w:lineRule="auto"/>
        <w:jc w:val="both"/>
        <w:rPr>
          <w:rFonts w:eastAsia="Times New Roman" w:cs="Times New Roman"/>
          <w:i/>
          <w:szCs w:val="20"/>
          <w:lang w:eastAsia="en-CA"/>
        </w:rPr>
      </w:pPr>
      <w:r w:rsidRPr="00625B0F">
        <w:rPr>
          <w:rFonts w:eastAsia="Times New Roman" w:cs="Times New Roman"/>
          <w:szCs w:val="20"/>
          <w:lang w:eastAsia="en-CA"/>
        </w:rPr>
        <w:tab/>
      </w:r>
      <w:r w:rsidRPr="00625B0F">
        <w:rPr>
          <w:rFonts w:eastAsia="Times New Roman" w:cs="Times New Roman"/>
          <w:i/>
          <w:szCs w:val="20"/>
          <w:lang w:eastAsia="en-CA"/>
        </w:rPr>
        <w:t>Droit criminel — Moyens de défense — Provocation — Vraisemblance — Accusé déclaré coupable par un jury de meurtre au deuxième degré — Appel formé contre la déclaration de culpabilité par l’accusé au motif que le juge du procès a fait erreur en ne soumettant pas la défense de provocation au jury — Conclusion des juges majoritaires de la Cour d’appel portant que la défense de provocation était vraisemblable et aurait dû être soumise à l’appréciation du jury — Annulation par les juges majoritaires de la déclaration de culpabilité et nouveau procès ordonné par ceux-ci — Conclusion du juge dissident portant que la décision du juge du procès selon laquelle la défense de provocation était dépourvue de vraisemblance et n’aurait pas dû être soumise à l’appréciation du jury était correcte — Déclaration de culpabilité rétablie.</w:t>
      </w:r>
    </w:p>
    <w:p w:rsidR="00625B0F" w:rsidRPr="00625B0F" w:rsidRDefault="00625B0F" w:rsidP="00625B0F">
      <w:pPr>
        <w:tabs>
          <w:tab w:val="left" w:pos="1168"/>
        </w:tabs>
        <w:spacing w:after="480" w:line="480" w:lineRule="auto"/>
        <w:jc w:val="both"/>
        <w:rPr>
          <w:rFonts w:eastAsia="Times New Roman" w:cs="Times New Roman"/>
          <w:b/>
          <w:szCs w:val="20"/>
          <w:lang w:eastAsia="en-CA"/>
        </w:rPr>
      </w:pPr>
      <w:r w:rsidRPr="00625B0F">
        <w:rPr>
          <w:rFonts w:eastAsia="Times New Roman" w:cs="Times New Roman"/>
          <w:b/>
          <w:szCs w:val="20"/>
          <w:lang w:eastAsia="en-CA"/>
        </w:rPr>
        <w:t>Jurisprudence</w:t>
      </w:r>
    </w:p>
    <w:p w:rsidR="00625B0F" w:rsidRPr="00625B0F" w:rsidRDefault="00625B0F" w:rsidP="00625B0F">
      <w:pPr>
        <w:tabs>
          <w:tab w:val="left" w:pos="1168"/>
        </w:tabs>
        <w:spacing w:after="480" w:line="480" w:lineRule="auto"/>
        <w:jc w:val="both"/>
        <w:rPr>
          <w:rFonts w:eastAsia="Times New Roman" w:cs="Times New Roman"/>
          <w:b/>
          <w:szCs w:val="20"/>
          <w:lang w:eastAsia="en-CA"/>
        </w:rPr>
      </w:pPr>
      <w:r w:rsidRPr="00625B0F">
        <w:rPr>
          <w:rFonts w:eastAsia="Times New Roman" w:cs="Times New Roman"/>
          <w:szCs w:val="20"/>
          <w:lang w:eastAsia="en-CA"/>
        </w:rPr>
        <w:tab/>
      </w:r>
      <w:r w:rsidRPr="00625B0F">
        <w:rPr>
          <w:rFonts w:eastAsia="Times New Roman" w:cs="Times New Roman"/>
          <w:b/>
          <w:szCs w:val="20"/>
          <w:lang w:eastAsia="en-CA"/>
        </w:rPr>
        <w:t>Arrêt mentionné :</w:t>
      </w:r>
      <w:r w:rsidRPr="00625B0F">
        <w:rPr>
          <w:rFonts w:eastAsia="Times New Roman" w:cs="Times New Roman"/>
          <w:szCs w:val="20"/>
          <w:lang w:eastAsia="en-CA"/>
        </w:rPr>
        <w:t xml:space="preserve"> </w:t>
      </w:r>
      <w:r w:rsidRPr="00625B0F">
        <w:rPr>
          <w:rFonts w:eastAsia="Times New Roman" w:cs="Times New Roman"/>
          <w:i/>
          <w:szCs w:val="20"/>
          <w:lang w:eastAsia="en-CA"/>
        </w:rPr>
        <w:t xml:space="preserve">R. c. </w:t>
      </w:r>
      <w:proofErr w:type="spellStart"/>
      <w:r w:rsidRPr="00625B0F">
        <w:rPr>
          <w:rFonts w:eastAsia="Times New Roman" w:cs="Times New Roman"/>
          <w:i/>
          <w:szCs w:val="20"/>
          <w:lang w:eastAsia="en-CA"/>
        </w:rPr>
        <w:t>Cinous</w:t>
      </w:r>
      <w:proofErr w:type="spellEnd"/>
      <w:r w:rsidRPr="00625B0F">
        <w:rPr>
          <w:rFonts w:eastAsia="Times New Roman" w:cs="Times New Roman"/>
          <w:szCs w:val="20"/>
          <w:lang w:eastAsia="en-CA"/>
        </w:rPr>
        <w:t xml:space="preserve">, 2002 CSC 29, [2002] 2 </w:t>
      </w:r>
      <w:proofErr w:type="spellStart"/>
      <w:r w:rsidRPr="00625B0F">
        <w:rPr>
          <w:rFonts w:eastAsia="Times New Roman" w:cs="Times New Roman"/>
          <w:szCs w:val="20"/>
          <w:lang w:eastAsia="en-CA"/>
        </w:rPr>
        <w:t>R.C.S</w:t>
      </w:r>
      <w:proofErr w:type="spellEnd"/>
      <w:r w:rsidRPr="00625B0F">
        <w:rPr>
          <w:rFonts w:eastAsia="Times New Roman" w:cs="Times New Roman"/>
          <w:szCs w:val="20"/>
          <w:lang w:eastAsia="en-CA"/>
        </w:rPr>
        <w:t>. 3.</w:t>
      </w:r>
    </w:p>
    <w:p w:rsidR="00625B0F" w:rsidRPr="00625B0F" w:rsidRDefault="00625B0F" w:rsidP="00625B0F">
      <w:pPr>
        <w:tabs>
          <w:tab w:val="left" w:pos="1168"/>
        </w:tabs>
        <w:spacing w:after="480" w:line="480" w:lineRule="auto"/>
        <w:jc w:val="both"/>
        <w:rPr>
          <w:rFonts w:eastAsia="Times New Roman" w:cs="Times New Roman"/>
          <w:szCs w:val="20"/>
          <w:lang w:eastAsia="en-CA"/>
        </w:rPr>
      </w:pPr>
      <w:r w:rsidRPr="00625B0F">
        <w:rPr>
          <w:rFonts w:eastAsia="Times New Roman" w:cs="Times New Roman"/>
          <w:szCs w:val="20"/>
          <w:lang w:eastAsia="en-CA"/>
        </w:rPr>
        <w:tab/>
        <w:t xml:space="preserve">POURVOI contre un arrêt de la Cour d’appel de l’Ontario (les juges </w:t>
      </w:r>
      <w:proofErr w:type="spellStart"/>
      <w:r w:rsidRPr="00625B0F">
        <w:rPr>
          <w:rFonts w:eastAsia="Times New Roman" w:cs="Times New Roman"/>
          <w:szCs w:val="20"/>
          <w:lang w:eastAsia="en-CA"/>
        </w:rPr>
        <w:t>MacPherson</w:t>
      </w:r>
      <w:proofErr w:type="spellEnd"/>
      <w:r w:rsidRPr="00625B0F">
        <w:rPr>
          <w:rFonts w:eastAsia="Times New Roman" w:cs="Times New Roman"/>
          <w:szCs w:val="20"/>
          <w:lang w:eastAsia="en-CA"/>
        </w:rPr>
        <w:t xml:space="preserve">, </w:t>
      </w:r>
      <w:proofErr w:type="spellStart"/>
      <w:r w:rsidRPr="00625B0F">
        <w:rPr>
          <w:rFonts w:eastAsia="Times New Roman" w:cs="Times New Roman"/>
          <w:szCs w:val="20"/>
          <w:lang w:eastAsia="en-CA"/>
        </w:rPr>
        <w:t>Tulloch</w:t>
      </w:r>
      <w:proofErr w:type="spellEnd"/>
      <w:r w:rsidRPr="00625B0F">
        <w:rPr>
          <w:rFonts w:eastAsia="Times New Roman" w:cs="Times New Roman"/>
          <w:szCs w:val="20"/>
          <w:lang w:eastAsia="en-CA"/>
        </w:rPr>
        <w:t xml:space="preserve"> et </w:t>
      </w:r>
      <w:proofErr w:type="spellStart"/>
      <w:r w:rsidRPr="00625B0F">
        <w:rPr>
          <w:rFonts w:eastAsia="Times New Roman" w:cs="Times New Roman"/>
          <w:szCs w:val="20"/>
          <w:lang w:eastAsia="en-CA"/>
        </w:rPr>
        <w:t>Lauwers</w:t>
      </w:r>
      <w:proofErr w:type="spellEnd"/>
      <w:r w:rsidRPr="00625B0F">
        <w:rPr>
          <w:rFonts w:eastAsia="Times New Roman" w:cs="Times New Roman"/>
          <w:szCs w:val="20"/>
          <w:lang w:eastAsia="en-CA"/>
        </w:rPr>
        <w:t xml:space="preserve">), </w:t>
      </w:r>
      <w:hyperlink r:id="rId9" w:history="1">
        <w:r w:rsidRPr="00625B0F">
          <w:rPr>
            <w:rFonts w:eastAsia="Times New Roman" w:cs="Times New Roman"/>
            <w:color w:val="660000"/>
            <w:szCs w:val="20"/>
            <w:lang w:eastAsia="en-CA"/>
          </w:rPr>
          <w:t xml:space="preserve">2021 </w:t>
        </w:r>
        <w:proofErr w:type="spellStart"/>
        <w:r w:rsidRPr="00625B0F">
          <w:rPr>
            <w:rFonts w:eastAsia="Times New Roman" w:cs="Times New Roman"/>
            <w:color w:val="660000"/>
            <w:szCs w:val="20"/>
            <w:lang w:eastAsia="en-CA"/>
          </w:rPr>
          <w:t>ONCA</w:t>
        </w:r>
        <w:proofErr w:type="spellEnd"/>
        <w:r w:rsidRPr="00625B0F">
          <w:rPr>
            <w:rFonts w:eastAsia="Times New Roman" w:cs="Times New Roman"/>
            <w:color w:val="660000"/>
            <w:szCs w:val="20"/>
            <w:lang w:eastAsia="en-CA"/>
          </w:rPr>
          <w:t xml:space="preserve"> 224</w:t>
        </w:r>
      </w:hyperlink>
      <w:r w:rsidRPr="00625B0F">
        <w:rPr>
          <w:rFonts w:eastAsia="Times New Roman" w:cs="Times New Roman"/>
          <w:szCs w:val="20"/>
          <w:lang w:eastAsia="en-CA"/>
        </w:rPr>
        <w:t xml:space="preserve">, 404 </w:t>
      </w:r>
      <w:proofErr w:type="spellStart"/>
      <w:r w:rsidRPr="00625B0F">
        <w:rPr>
          <w:rFonts w:eastAsia="Times New Roman" w:cs="Times New Roman"/>
          <w:szCs w:val="20"/>
          <w:lang w:eastAsia="en-CA"/>
        </w:rPr>
        <w:t>C.C.C</w:t>
      </w:r>
      <w:proofErr w:type="spellEnd"/>
      <w:r w:rsidRPr="00625B0F">
        <w:rPr>
          <w:rFonts w:eastAsia="Times New Roman" w:cs="Times New Roman"/>
          <w:szCs w:val="20"/>
          <w:lang w:eastAsia="en-CA"/>
        </w:rPr>
        <w:t>. (</w:t>
      </w:r>
      <w:proofErr w:type="spellStart"/>
      <w:r w:rsidRPr="00625B0F">
        <w:rPr>
          <w:rFonts w:eastAsia="Times New Roman" w:cs="Times New Roman"/>
          <w:szCs w:val="20"/>
          <w:lang w:eastAsia="en-CA"/>
        </w:rPr>
        <w:t>3d</w:t>
      </w:r>
      <w:proofErr w:type="spellEnd"/>
      <w:r w:rsidRPr="00625B0F">
        <w:rPr>
          <w:rFonts w:eastAsia="Times New Roman" w:cs="Times New Roman"/>
          <w:szCs w:val="20"/>
          <w:lang w:eastAsia="en-CA"/>
        </w:rPr>
        <w:t xml:space="preserve">) 50, [2021] </w:t>
      </w:r>
      <w:proofErr w:type="spellStart"/>
      <w:r w:rsidRPr="00625B0F">
        <w:rPr>
          <w:rFonts w:eastAsia="Times New Roman" w:cs="Times New Roman"/>
          <w:szCs w:val="20"/>
          <w:lang w:eastAsia="en-CA"/>
        </w:rPr>
        <w:t>O.J</w:t>
      </w:r>
      <w:proofErr w:type="spellEnd"/>
      <w:r w:rsidRPr="00625B0F">
        <w:rPr>
          <w:rFonts w:eastAsia="Times New Roman" w:cs="Times New Roman"/>
          <w:szCs w:val="20"/>
          <w:lang w:eastAsia="en-CA"/>
        </w:rPr>
        <w:t>. No. 1859 (</w:t>
      </w:r>
      <w:proofErr w:type="spellStart"/>
      <w:r w:rsidRPr="00625B0F">
        <w:rPr>
          <w:rFonts w:eastAsia="Times New Roman" w:cs="Times New Roman"/>
          <w:szCs w:val="20"/>
          <w:lang w:eastAsia="en-CA"/>
        </w:rPr>
        <w:t>QL</w:t>
      </w:r>
      <w:proofErr w:type="spellEnd"/>
      <w:r w:rsidRPr="00625B0F">
        <w:rPr>
          <w:rFonts w:eastAsia="Times New Roman" w:cs="Times New Roman"/>
          <w:szCs w:val="20"/>
          <w:lang w:eastAsia="en-CA"/>
        </w:rPr>
        <w:t xml:space="preserve">), 2021 </w:t>
      </w:r>
      <w:proofErr w:type="spellStart"/>
      <w:r w:rsidRPr="00625B0F">
        <w:rPr>
          <w:rFonts w:eastAsia="Times New Roman" w:cs="Times New Roman"/>
          <w:szCs w:val="20"/>
          <w:lang w:eastAsia="en-CA"/>
        </w:rPr>
        <w:t>CarswellOnt</w:t>
      </w:r>
      <w:proofErr w:type="spellEnd"/>
      <w:r w:rsidRPr="00625B0F">
        <w:rPr>
          <w:rFonts w:eastAsia="Times New Roman" w:cs="Times New Roman"/>
          <w:szCs w:val="20"/>
          <w:lang w:eastAsia="en-CA"/>
        </w:rPr>
        <w:t xml:space="preserve"> 4732 (</w:t>
      </w:r>
      <w:proofErr w:type="spellStart"/>
      <w:r w:rsidRPr="00625B0F">
        <w:rPr>
          <w:rFonts w:eastAsia="Times New Roman" w:cs="Times New Roman"/>
          <w:szCs w:val="20"/>
          <w:lang w:eastAsia="en-CA"/>
        </w:rPr>
        <w:t>WL</w:t>
      </w:r>
      <w:proofErr w:type="spellEnd"/>
      <w:r w:rsidRPr="00625B0F">
        <w:rPr>
          <w:rFonts w:eastAsia="Times New Roman" w:cs="Times New Roman"/>
          <w:szCs w:val="20"/>
          <w:lang w:eastAsia="en-CA"/>
        </w:rPr>
        <w:t>), qui a annulé la déclaration de culpabilité pour meurtre au deuxième degré prononcée contre l’accusé et ordonné un nouveau procès. Pourvoi accueilli.</w:t>
      </w:r>
    </w:p>
    <w:p w:rsidR="00625B0F" w:rsidRPr="00625B0F" w:rsidRDefault="00625B0F" w:rsidP="00625B0F">
      <w:pPr>
        <w:tabs>
          <w:tab w:val="left" w:pos="1168"/>
        </w:tabs>
        <w:spacing w:after="480" w:line="480" w:lineRule="auto"/>
        <w:jc w:val="both"/>
        <w:rPr>
          <w:rFonts w:eastAsia="Times New Roman" w:cs="Times New Roman"/>
          <w:szCs w:val="20"/>
          <w:lang w:eastAsia="en-CA"/>
        </w:rPr>
      </w:pPr>
      <w:r w:rsidRPr="00625B0F">
        <w:rPr>
          <w:rFonts w:eastAsia="Times New Roman" w:cs="Times New Roman"/>
          <w:i/>
          <w:szCs w:val="20"/>
          <w:lang w:eastAsia="en-CA"/>
        </w:rPr>
        <w:tab/>
        <w:t xml:space="preserve">Kevin </w:t>
      </w:r>
      <w:proofErr w:type="spellStart"/>
      <w:r w:rsidRPr="00625B0F">
        <w:rPr>
          <w:rFonts w:eastAsia="Times New Roman" w:cs="Times New Roman"/>
          <w:i/>
          <w:szCs w:val="20"/>
          <w:lang w:eastAsia="en-CA"/>
        </w:rPr>
        <w:t>Rawluk</w:t>
      </w:r>
      <w:proofErr w:type="spellEnd"/>
      <w:r w:rsidRPr="00625B0F">
        <w:rPr>
          <w:rFonts w:eastAsia="Times New Roman" w:cs="Times New Roman"/>
          <w:i/>
          <w:szCs w:val="20"/>
          <w:lang w:eastAsia="en-CA"/>
        </w:rPr>
        <w:t xml:space="preserve"> </w:t>
      </w:r>
      <w:r w:rsidRPr="00625B0F">
        <w:rPr>
          <w:rFonts w:eastAsia="Times New Roman" w:cs="Times New Roman"/>
          <w:szCs w:val="20"/>
          <w:lang w:eastAsia="en-CA"/>
        </w:rPr>
        <w:t xml:space="preserve">et </w:t>
      </w:r>
      <w:r w:rsidRPr="00625B0F">
        <w:rPr>
          <w:rFonts w:eastAsia="Times New Roman" w:cs="Times New Roman"/>
          <w:i/>
          <w:szCs w:val="20"/>
          <w:lang w:eastAsia="en-CA"/>
        </w:rPr>
        <w:t xml:space="preserve">G. Karen </w:t>
      </w:r>
      <w:proofErr w:type="spellStart"/>
      <w:r w:rsidRPr="00625B0F">
        <w:rPr>
          <w:rFonts w:eastAsia="Times New Roman" w:cs="Times New Roman"/>
          <w:i/>
          <w:szCs w:val="20"/>
          <w:lang w:eastAsia="en-CA"/>
        </w:rPr>
        <w:t>Papadopoulos</w:t>
      </w:r>
      <w:proofErr w:type="spellEnd"/>
      <w:r w:rsidRPr="00625B0F">
        <w:rPr>
          <w:rFonts w:eastAsia="Times New Roman" w:cs="Times New Roman"/>
          <w:szCs w:val="20"/>
          <w:lang w:eastAsia="en-CA"/>
        </w:rPr>
        <w:t>, pour l’appelante.</w:t>
      </w:r>
    </w:p>
    <w:p w:rsidR="00625B0F" w:rsidRPr="00625B0F" w:rsidRDefault="00625B0F" w:rsidP="00625B0F">
      <w:pPr>
        <w:tabs>
          <w:tab w:val="left" w:pos="1168"/>
        </w:tabs>
        <w:spacing w:after="480" w:line="480" w:lineRule="auto"/>
        <w:jc w:val="both"/>
        <w:rPr>
          <w:rFonts w:eastAsia="Times New Roman" w:cs="Times New Roman"/>
          <w:szCs w:val="20"/>
          <w:lang w:eastAsia="en-CA"/>
        </w:rPr>
      </w:pPr>
      <w:r w:rsidRPr="00625B0F">
        <w:rPr>
          <w:rFonts w:eastAsia="Times New Roman" w:cs="Times New Roman"/>
          <w:i/>
          <w:szCs w:val="20"/>
          <w:lang w:eastAsia="en-CA"/>
        </w:rPr>
        <w:tab/>
        <w:t xml:space="preserve">John </w:t>
      </w:r>
      <w:proofErr w:type="spellStart"/>
      <w:r w:rsidRPr="00625B0F">
        <w:rPr>
          <w:rFonts w:eastAsia="Times New Roman" w:cs="Times New Roman"/>
          <w:i/>
          <w:szCs w:val="20"/>
          <w:lang w:eastAsia="en-CA"/>
        </w:rPr>
        <w:t>Rosen</w:t>
      </w:r>
      <w:proofErr w:type="spellEnd"/>
      <w:r w:rsidRPr="00625B0F">
        <w:rPr>
          <w:rFonts w:eastAsia="Times New Roman" w:cs="Times New Roman"/>
          <w:szCs w:val="20"/>
          <w:lang w:eastAsia="en-CA"/>
        </w:rPr>
        <w:t>, pour l’intimé.</w:t>
      </w:r>
    </w:p>
    <w:p w:rsidR="00625B0F" w:rsidRPr="00625B0F" w:rsidRDefault="00625B0F" w:rsidP="00625B0F">
      <w:pPr>
        <w:tabs>
          <w:tab w:val="left" w:pos="1168"/>
        </w:tabs>
        <w:spacing w:after="480" w:line="480" w:lineRule="auto"/>
        <w:jc w:val="both"/>
        <w:rPr>
          <w:rFonts w:eastAsia="Times New Roman" w:cs="Times New Roman"/>
          <w:szCs w:val="20"/>
          <w:lang w:eastAsia="en-CA"/>
        </w:rPr>
      </w:pPr>
      <w:r w:rsidRPr="00625B0F">
        <w:rPr>
          <w:rFonts w:eastAsia="Times New Roman" w:cs="Times New Roman"/>
          <w:szCs w:val="20"/>
          <w:lang w:eastAsia="en-CA"/>
        </w:rPr>
        <w:tab/>
        <w:t>Version française du jugement de la Cour rendu oralement par</w:t>
      </w:r>
    </w:p>
    <w:p w:rsidR="00625B0F" w:rsidRPr="00625B0F" w:rsidRDefault="00625B0F" w:rsidP="00625B0F">
      <w:pPr>
        <w:tabs>
          <w:tab w:val="left" w:pos="1168"/>
        </w:tabs>
        <w:spacing w:before="480" w:after="480" w:line="480" w:lineRule="auto"/>
        <w:jc w:val="both"/>
        <w:rPr>
          <w:rFonts w:eastAsia="Times New Roman" w:cs="Times New Roman"/>
          <w:szCs w:val="20"/>
          <w:lang w:eastAsia="en-CA"/>
        </w:rPr>
      </w:pPr>
      <w:r w:rsidRPr="00625B0F">
        <w:rPr>
          <w:rFonts w:eastAsia="Times New Roman" w:cs="Times New Roman"/>
          <w:szCs w:val="20"/>
          <w:lang w:eastAsia="en-CA"/>
        </w:rPr>
        <w:t>[1]</w:t>
      </w:r>
      <w:r w:rsidRPr="00625B0F">
        <w:rPr>
          <w:rFonts w:eastAsia="Times New Roman" w:cs="Times New Roman"/>
          <w:szCs w:val="20"/>
          <w:lang w:eastAsia="en-CA"/>
        </w:rPr>
        <w:tab/>
      </w:r>
      <w:r w:rsidRPr="00625B0F">
        <w:rPr>
          <w:rFonts w:eastAsia="Times New Roman" w:cs="Times New Roman"/>
          <w:smallCaps/>
          <w:szCs w:val="20"/>
          <w:lang w:eastAsia="en-CA"/>
        </w:rPr>
        <w:t>Le juge en chef</w:t>
      </w:r>
      <w:r w:rsidRPr="00625B0F">
        <w:rPr>
          <w:rFonts w:eastAsia="Times New Roman" w:cs="Times New Roman"/>
          <w:szCs w:val="20"/>
          <w:lang w:eastAsia="en-CA"/>
        </w:rPr>
        <w:t xml:space="preserve"> — Monsieur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au terme de son procès, été reconnu coupable de meurtre au deuxième degré après qu’il eut poignardé le défunt à six reprises au cours d’une altercation dans un bar. Les juges majoritaires de la Cour d’appel de l’Ontario (le juge </w:t>
      </w:r>
      <w:proofErr w:type="spellStart"/>
      <w:r w:rsidRPr="00625B0F">
        <w:rPr>
          <w:rFonts w:eastAsia="Times New Roman" w:cs="Times New Roman"/>
          <w:szCs w:val="20"/>
          <w:lang w:eastAsia="en-CA"/>
        </w:rPr>
        <w:t>MacPherson</w:t>
      </w:r>
      <w:proofErr w:type="spellEnd"/>
      <w:r w:rsidRPr="00625B0F">
        <w:rPr>
          <w:rFonts w:eastAsia="Times New Roman" w:cs="Times New Roman"/>
          <w:szCs w:val="20"/>
          <w:lang w:eastAsia="en-CA"/>
        </w:rPr>
        <w:t xml:space="preserve"> étant dissident) ont écarté ce verdict et ordonné la tenue d’un nouveau procès. Le ministère public se pourvoit de plein droit devant notre Cour. La seule question en litige consiste à décider si la défense de provocation était vraisemblable, de telle sorte que le juge du procès a fait erreur en ne la soumettant pas à l’appréciation du jury. L’infraction en cause précédait la modification à la disposition sur la provocation, qui s’applique aux infractions commises le 17 juillet 2015 ou après cette date.</w:t>
      </w:r>
    </w:p>
    <w:p w:rsidR="00625B0F" w:rsidRPr="00625B0F" w:rsidRDefault="00625B0F" w:rsidP="00625B0F">
      <w:pPr>
        <w:tabs>
          <w:tab w:val="left" w:pos="1168"/>
        </w:tabs>
        <w:spacing w:before="480" w:after="480" w:line="480" w:lineRule="auto"/>
        <w:jc w:val="both"/>
        <w:rPr>
          <w:rFonts w:eastAsia="Times New Roman" w:cs="Times New Roman"/>
          <w:szCs w:val="20"/>
          <w:lang w:eastAsia="en-CA"/>
        </w:rPr>
      </w:pPr>
      <w:r w:rsidRPr="00625B0F">
        <w:rPr>
          <w:rFonts w:eastAsia="Times New Roman" w:cs="Times New Roman"/>
          <w:szCs w:val="20"/>
          <w:lang w:eastAsia="en-CA"/>
        </w:rPr>
        <w:t>[2]</w:t>
      </w:r>
      <w:r w:rsidRPr="00625B0F">
        <w:rPr>
          <w:rFonts w:eastAsia="Times New Roman" w:cs="Times New Roman"/>
          <w:szCs w:val="20"/>
          <w:lang w:eastAsia="en-CA"/>
        </w:rPr>
        <w:tab/>
        <w:t>Nous ne voyons aucune erreur dans la décision du juge du procès portant que la défense de provocation était dépourvue de vraisemblance.</w:t>
      </w:r>
    </w:p>
    <w:p w:rsidR="00625B0F" w:rsidRPr="00625B0F" w:rsidRDefault="00625B0F" w:rsidP="00625B0F">
      <w:pPr>
        <w:tabs>
          <w:tab w:val="left" w:pos="1168"/>
        </w:tabs>
        <w:spacing w:before="480" w:after="480" w:line="480" w:lineRule="auto"/>
        <w:jc w:val="both"/>
        <w:rPr>
          <w:rFonts w:eastAsia="Times New Roman" w:cs="Times New Roman"/>
          <w:szCs w:val="20"/>
          <w:lang w:eastAsia="en-CA"/>
        </w:rPr>
      </w:pPr>
      <w:r w:rsidRPr="00625B0F">
        <w:rPr>
          <w:rFonts w:eastAsia="Times New Roman" w:cs="Times New Roman"/>
          <w:szCs w:val="20"/>
          <w:lang w:eastAsia="en-CA"/>
        </w:rPr>
        <w:t>[3]</w:t>
      </w:r>
      <w:r w:rsidRPr="00625B0F">
        <w:rPr>
          <w:rFonts w:eastAsia="Times New Roman" w:cs="Times New Roman"/>
          <w:szCs w:val="20"/>
          <w:lang w:eastAsia="en-CA"/>
        </w:rPr>
        <w:tab/>
        <w:t>La norme de contrôle applicable à la question de savoir si la défense de provocation est vraisemblable est celle de la décision correcte (</w:t>
      </w:r>
      <w:r w:rsidRPr="00625B0F">
        <w:rPr>
          <w:rFonts w:eastAsia="Times New Roman" w:cs="Times New Roman"/>
          <w:i/>
          <w:szCs w:val="20"/>
          <w:lang w:eastAsia="en-CA"/>
        </w:rPr>
        <w:t xml:space="preserve">R. c. </w:t>
      </w:r>
      <w:proofErr w:type="spellStart"/>
      <w:r w:rsidRPr="00625B0F">
        <w:rPr>
          <w:rFonts w:eastAsia="Times New Roman" w:cs="Times New Roman"/>
          <w:i/>
          <w:szCs w:val="20"/>
          <w:lang w:eastAsia="en-CA"/>
        </w:rPr>
        <w:t>Cinous</w:t>
      </w:r>
      <w:proofErr w:type="spellEnd"/>
      <w:r w:rsidRPr="00625B0F">
        <w:rPr>
          <w:rFonts w:eastAsia="Times New Roman" w:cs="Times New Roman"/>
          <w:szCs w:val="20"/>
          <w:lang w:eastAsia="en-CA"/>
        </w:rPr>
        <w:t xml:space="preserve">, 2002 CSC 29, [2002] 2 </w:t>
      </w:r>
      <w:proofErr w:type="spellStart"/>
      <w:r w:rsidRPr="00625B0F">
        <w:rPr>
          <w:rFonts w:eastAsia="Times New Roman" w:cs="Times New Roman"/>
          <w:szCs w:val="20"/>
          <w:lang w:eastAsia="en-CA"/>
        </w:rPr>
        <w:t>R.C.S</w:t>
      </w:r>
      <w:proofErr w:type="spellEnd"/>
      <w:r w:rsidRPr="00625B0F">
        <w:rPr>
          <w:rFonts w:eastAsia="Times New Roman" w:cs="Times New Roman"/>
          <w:szCs w:val="20"/>
          <w:lang w:eastAsia="en-CA"/>
        </w:rPr>
        <w:t>. 3, par. 55).</w:t>
      </w:r>
    </w:p>
    <w:p w:rsidR="00625B0F" w:rsidRPr="00625B0F" w:rsidRDefault="00625B0F" w:rsidP="00625B0F">
      <w:pPr>
        <w:tabs>
          <w:tab w:val="left" w:pos="1168"/>
        </w:tabs>
        <w:spacing w:before="480" w:after="480" w:line="480" w:lineRule="auto"/>
        <w:jc w:val="both"/>
        <w:rPr>
          <w:rFonts w:eastAsia="Times New Roman" w:cs="Times New Roman"/>
          <w:szCs w:val="20"/>
          <w:lang w:eastAsia="en-CA"/>
        </w:rPr>
      </w:pPr>
      <w:r w:rsidRPr="00625B0F">
        <w:rPr>
          <w:rFonts w:eastAsia="Times New Roman" w:cs="Times New Roman"/>
          <w:szCs w:val="20"/>
          <w:lang w:eastAsia="en-CA"/>
        </w:rPr>
        <w:t>[4]</w:t>
      </w:r>
      <w:r w:rsidRPr="00625B0F">
        <w:rPr>
          <w:rFonts w:eastAsia="Times New Roman" w:cs="Times New Roman"/>
          <w:szCs w:val="20"/>
          <w:lang w:eastAsia="en-CA"/>
        </w:rPr>
        <w:tab/>
        <w:t>La question clé en l’espèce consiste à déterminer s’il existe une preuve suffisante à l’égard du quatrième élément de la défense de provocation — soit que l’accusé a agi sous l’impulsion du moment.</w:t>
      </w:r>
    </w:p>
    <w:p w:rsidR="00625B0F" w:rsidRPr="00625B0F" w:rsidRDefault="00625B0F" w:rsidP="00625B0F">
      <w:pPr>
        <w:tabs>
          <w:tab w:val="left" w:pos="1168"/>
        </w:tabs>
        <w:spacing w:before="480" w:after="480" w:line="480" w:lineRule="auto"/>
        <w:jc w:val="both"/>
        <w:rPr>
          <w:rFonts w:eastAsia="Times New Roman" w:cs="Times New Roman"/>
          <w:szCs w:val="20"/>
          <w:lang w:eastAsia="en-CA"/>
        </w:rPr>
      </w:pPr>
      <w:r w:rsidRPr="00625B0F">
        <w:rPr>
          <w:rFonts w:eastAsia="Times New Roman" w:cs="Times New Roman"/>
          <w:szCs w:val="20"/>
          <w:lang w:eastAsia="en-CA"/>
        </w:rPr>
        <w:t>[5]</w:t>
      </w:r>
      <w:r w:rsidRPr="00625B0F">
        <w:rPr>
          <w:rFonts w:eastAsia="Times New Roman" w:cs="Times New Roman"/>
          <w:szCs w:val="20"/>
          <w:lang w:eastAsia="en-CA"/>
        </w:rPr>
        <w:tab/>
        <w:t>Même si l’on considère la preuve de la manière la plus favorable à l’accusé, pour les besoins de la présente affaire, il n’a pas été satisfait au volet subjectif de l’analyse de la provocation. L’accusé n’a pas réagi « sous l’impulsion du moment » avant d’avoir eu le temps de reprendre son sang-froid. Affirmer que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réagi « sous l’impulsion du moment » au mouvement du défunt pour s’approcher des femmes et les frapper ne fait pas partie des inférences raisonnables; ce fut plutôt le point culminant d’une altercation dont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avait été l’instigateur et qu’il avait anticipée. Comme il l’a indiqué dans sa déclaration à la police :</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 xml:space="preserve">Monsieur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savait que le défunt avait eu avec son amie, plus tôt dans la soirée, une altercation au cours de laquelle le défunt avait fermé une porte sur la tête de cette dernière.</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 xml:space="preserve">Monsieur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était tellement furieux à propos de la conduite du défunt qu’il voulait le frapper à la tête avec une queue de billard. Il s’était calmé et n’avait pas posé ce geste.</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Quand sa fiancée et son amie sont sorties pour fumer, il leur a dit qu’il les suivrait s’il voyait le défunt sortir lui aussi : [</w:t>
      </w:r>
      <w:r w:rsidRPr="00625B0F">
        <w:rPr>
          <w:rFonts w:eastAsia="Times New Roman" w:cs="Times New Roman"/>
          <w:smallCaps/>
          <w:szCs w:val="20"/>
          <w:lang w:eastAsia="en-CA"/>
        </w:rPr>
        <w:t>traduction</w:t>
      </w:r>
      <w:r w:rsidRPr="00625B0F">
        <w:rPr>
          <w:rFonts w:eastAsia="Times New Roman" w:cs="Times New Roman"/>
          <w:szCs w:val="20"/>
          <w:lang w:eastAsia="en-CA"/>
        </w:rPr>
        <w:t>] «. . . si je vois ce gars se lever et sortir, j’arrive [. . .] je serai juste derrière lui » (</w:t>
      </w:r>
      <w:proofErr w:type="spellStart"/>
      <w:proofErr w:type="gramStart"/>
      <w:r w:rsidRPr="00625B0F">
        <w:rPr>
          <w:rFonts w:eastAsia="Times New Roman" w:cs="Times New Roman"/>
          <w:szCs w:val="20"/>
          <w:lang w:eastAsia="en-CA"/>
        </w:rPr>
        <w:t>d.a</w:t>
      </w:r>
      <w:proofErr w:type="spellEnd"/>
      <w:r w:rsidRPr="00625B0F">
        <w:rPr>
          <w:rFonts w:eastAsia="Times New Roman" w:cs="Times New Roman"/>
          <w:szCs w:val="20"/>
          <w:lang w:eastAsia="en-CA"/>
        </w:rPr>
        <w:t>.,</w:t>
      </w:r>
      <w:proofErr w:type="gramEnd"/>
      <w:r w:rsidRPr="00625B0F">
        <w:rPr>
          <w:rFonts w:eastAsia="Times New Roman" w:cs="Times New Roman"/>
          <w:szCs w:val="20"/>
          <w:lang w:eastAsia="en-CA"/>
        </w:rPr>
        <w:t xml:space="preserve"> vol. II, p. 103).</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 xml:space="preserve">Monsieur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observé le défunt se préparer à quitter le bar. Le devançant, il est sorti se joindre aux deux femmes.</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Quand le défunt est sorti du bar, il a regardé en direction de l’amie de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En réaction à ce regard,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répondu : «. . . [q]</w:t>
      </w:r>
      <w:proofErr w:type="spellStart"/>
      <w:r w:rsidRPr="00625B0F">
        <w:rPr>
          <w:rFonts w:eastAsia="Times New Roman" w:cs="Times New Roman"/>
          <w:szCs w:val="20"/>
          <w:lang w:eastAsia="en-CA"/>
        </w:rPr>
        <w:t>u’est</w:t>
      </w:r>
      <w:proofErr w:type="spellEnd"/>
      <w:r w:rsidRPr="00625B0F">
        <w:rPr>
          <w:rFonts w:eastAsia="Times New Roman" w:cs="Times New Roman"/>
          <w:szCs w:val="20"/>
          <w:lang w:eastAsia="en-CA"/>
        </w:rPr>
        <w:t>-ce qui cloche chez toi? T’as un problème »? Il s’en est suivi une altercation verbale impliquant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le défunt et les deux femmes (</w:t>
      </w:r>
      <w:proofErr w:type="spellStart"/>
      <w:proofErr w:type="gramStart"/>
      <w:r w:rsidRPr="00625B0F">
        <w:rPr>
          <w:rFonts w:eastAsia="Times New Roman" w:cs="Times New Roman"/>
          <w:szCs w:val="20"/>
          <w:lang w:eastAsia="en-CA"/>
        </w:rPr>
        <w:t>d.a</w:t>
      </w:r>
      <w:proofErr w:type="spellEnd"/>
      <w:r w:rsidRPr="00625B0F">
        <w:rPr>
          <w:rFonts w:eastAsia="Times New Roman" w:cs="Times New Roman"/>
          <w:szCs w:val="20"/>
          <w:lang w:eastAsia="en-CA"/>
        </w:rPr>
        <w:t>.,</w:t>
      </w:r>
      <w:proofErr w:type="gramEnd"/>
      <w:r w:rsidRPr="00625B0F">
        <w:rPr>
          <w:rFonts w:eastAsia="Times New Roman" w:cs="Times New Roman"/>
          <w:szCs w:val="20"/>
          <w:lang w:eastAsia="en-CA"/>
        </w:rPr>
        <w:t xml:space="preserve"> vol. II, p. 104).</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Durant l’altercation verbale,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sorti un couteau de la poche de son pantalon et l’a inséré dans la poche de son veston, « juste au cas où ». Serrant le couteau dans sa main, il a fixé le défunt du regard. Lors de son entretien avec les policiers,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déclaré avoir fixé le défunt du regard de cette façon afin de « lui faire savoir que, si tu fais quoi que ce soit, hum, je vais te sauter dessus » (</w:t>
      </w:r>
      <w:proofErr w:type="spellStart"/>
      <w:proofErr w:type="gramStart"/>
      <w:r w:rsidRPr="00625B0F">
        <w:rPr>
          <w:rFonts w:eastAsia="Times New Roman" w:cs="Times New Roman"/>
          <w:szCs w:val="20"/>
          <w:lang w:eastAsia="en-CA"/>
        </w:rPr>
        <w:t>d.a</w:t>
      </w:r>
      <w:proofErr w:type="spellEnd"/>
      <w:r w:rsidRPr="00625B0F">
        <w:rPr>
          <w:rFonts w:eastAsia="Times New Roman" w:cs="Times New Roman"/>
          <w:szCs w:val="20"/>
          <w:lang w:eastAsia="en-CA"/>
        </w:rPr>
        <w:t>.,</w:t>
      </w:r>
      <w:proofErr w:type="gramEnd"/>
      <w:r w:rsidRPr="00625B0F">
        <w:rPr>
          <w:rFonts w:eastAsia="Times New Roman" w:cs="Times New Roman"/>
          <w:szCs w:val="20"/>
          <w:lang w:eastAsia="en-CA"/>
        </w:rPr>
        <w:t xml:space="preserve"> vol. II, p. 167-168).</w:t>
      </w:r>
    </w:p>
    <w:p w:rsidR="00625B0F" w:rsidRPr="00625B0F" w:rsidRDefault="00625B0F" w:rsidP="00625B0F">
      <w:pPr>
        <w:numPr>
          <w:ilvl w:val="0"/>
          <w:numId w:val="2"/>
        </w:numPr>
        <w:tabs>
          <w:tab w:val="left" w:pos="1168"/>
        </w:tabs>
        <w:spacing w:before="480" w:after="480" w:line="480" w:lineRule="auto"/>
        <w:ind w:left="1530"/>
        <w:jc w:val="both"/>
        <w:rPr>
          <w:rFonts w:eastAsia="Times New Roman" w:cs="Times New Roman"/>
          <w:szCs w:val="20"/>
          <w:lang w:eastAsia="en-CA"/>
        </w:rPr>
      </w:pPr>
      <w:r w:rsidRPr="00625B0F">
        <w:rPr>
          <w:rFonts w:eastAsia="Times New Roman" w:cs="Times New Roman"/>
          <w:szCs w:val="20"/>
          <w:lang w:eastAsia="en-CA"/>
        </w:rPr>
        <w:t>Quand M. </w:t>
      </w:r>
      <w:proofErr w:type="spellStart"/>
      <w:r w:rsidRPr="00625B0F">
        <w:rPr>
          <w:rFonts w:eastAsia="Times New Roman" w:cs="Times New Roman"/>
          <w:szCs w:val="20"/>
          <w:lang w:eastAsia="en-CA"/>
        </w:rPr>
        <w:t>Alas</w:t>
      </w:r>
      <w:proofErr w:type="spellEnd"/>
      <w:r w:rsidRPr="00625B0F">
        <w:rPr>
          <w:rFonts w:eastAsia="Times New Roman" w:cs="Times New Roman"/>
          <w:szCs w:val="20"/>
          <w:lang w:eastAsia="en-CA"/>
        </w:rPr>
        <w:t xml:space="preserve"> a vu le défunt fermer le poing en direction des femmes, il est intervenu immédiatement et il l’a poignardé à la gorge; il a toutefois dit qu’il « voulait le poignarder [. . .] à la poitrine » (</w:t>
      </w:r>
      <w:proofErr w:type="spellStart"/>
      <w:proofErr w:type="gramStart"/>
      <w:r w:rsidRPr="00625B0F">
        <w:rPr>
          <w:rFonts w:eastAsia="Times New Roman" w:cs="Times New Roman"/>
          <w:szCs w:val="20"/>
          <w:lang w:eastAsia="en-CA"/>
        </w:rPr>
        <w:t>d.a</w:t>
      </w:r>
      <w:proofErr w:type="spellEnd"/>
      <w:r w:rsidRPr="00625B0F">
        <w:rPr>
          <w:rFonts w:eastAsia="Times New Roman" w:cs="Times New Roman"/>
          <w:szCs w:val="20"/>
          <w:lang w:eastAsia="en-CA"/>
        </w:rPr>
        <w:t>.,</w:t>
      </w:r>
      <w:proofErr w:type="gramEnd"/>
      <w:r w:rsidRPr="00625B0F">
        <w:rPr>
          <w:rFonts w:eastAsia="Times New Roman" w:cs="Times New Roman"/>
          <w:szCs w:val="20"/>
          <w:lang w:eastAsia="en-CA"/>
        </w:rPr>
        <w:t xml:space="preserve"> vol. II, p. 171). Il a par la suite donné cinq autres coups de couteau au défunt.</w:t>
      </w:r>
    </w:p>
    <w:p w:rsidR="00625B0F" w:rsidRPr="00625B0F" w:rsidRDefault="00625B0F" w:rsidP="00625B0F">
      <w:pPr>
        <w:tabs>
          <w:tab w:val="left" w:pos="1168"/>
        </w:tabs>
        <w:spacing w:before="480" w:after="480" w:line="480" w:lineRule="auto"/>
        <w:jc w:val="both"/>
        <w:rPr>
          <w:rFonts w:eastAsia="Times New Roman" w:cs="Times New Roman"/>
          <w:szCs w:val="20"/>
          <w:lang w:eastAsia="en-CA"/>
        </w:rPr>
      </w:pPr>
      <w:r w:rsidRPr="00625B0F">
        <w:rPr>
          <w:rFonts w:eastAsia="Times New Roman" w:cs="Times New Roman"/>
          <w:szCs w:val="20"/>
          <w:lang w:eastAsia="en-CA"/>
        </w:rPr>
        <w:t>[6]</w:t>
      </w:r>
      <w:r w:rsidRPr="00625B0F">
        <w:rPr>
          <w:rFonts w:eastAsia="Times New Roman" w:cs="Times New Roman"/>
          <w:szCs w:val="20"/>
          <w:lang w:eastAsia="en-CA"/>
        </w:rPr>
        <w:tab/>
        <w:t>En conséquence, le pourvoi est accueilli et la déclaration de culpabilité est rétablie.</w:t>
      </w:r>
    </w:p>
    <w:p w:rsidR="00625B0F" w:rsidRPr="00625B0F" w:rsidRDefault="00625B0F" w:rsidP="00625B0F">
      <w:pPr>
        <w:tabs>
          <w:tab w:val="left" w:pos="1168"/>
        </w:tabs>
        <w:spacing w:before="480" w:after="480" w:line="480" w:lineRule="auto"/>
        <w:jc w:val="both"/>
        <w:rPr>
          <w:rFonts w:eastAsia="Times New Roman" w:cs="Times New Roman"/>
          <w:i/>
          <w:szCs w:val="20"/>
          <w:lang w:eastAsia="en-CA"/>
        </w:rPr>
      </w:pPr>
      <w:r w:rsidRPr="00625B0F">
        <w:rPr>
          <w:rFonts w:eastAsia="Times New Roman" w:cs="Times New Roman"/>
          <w:szCs w:val="20"/>
          <w:lang w:eastAsia="en-CA"/>
        </w:rPr>
        <w:tab/>
      </w:r>
      <w:r w:rsidRPr="00625B0F">
        <w:rPr>
          <w:rFonts w:eastAsia="Times New Roman" w:cs="Times New Roman"/>
          <w:i/>
          <w:szCs w:val="20"/>
          <w:lang w:eastAsia="en-CA"/>
        </w:rPr>
        <w:t>Jugement en conséquence.</w:t>
      </w:r>
    </w:p>
    <w:p w:rsidR="00625B0F" w:rsidRPr="00625B0F" w:rsidRDefault="00625B0F" w:rsidP="00625B0F">
      <w:pPr>
        <w:tabs>
          <w:tab w:val="left" w:pos="1168"/>
        </w:tabs>
        <w:spacing w:before="480" w:after="480" w:line="480" w:lineRule="auto"/>
        <w:jc w:val="both"/>
        <w:rPr>
          <w:rFonts w:eastAsia="Times New Roman" w:cs="Times New Roman"/>
          <w:i/>
          <w:szCs w:val="20"/>
          <w:lang w:eastAsia="en-CA"/>
        </w:rPr>
      </w:pPr>
      <w:r w:rsidRPr="00625B0F">
        <w:rPr>
          <w:rFonts w:eastAsia="Times New Roman" w:cs="Times New Roman"/>
          <w:i/>
          <w:szCs w:val="20"/>
          <w:lang w:eastAsia="en-CA"/>
        </w:rPr>
        <w:tab/>
        <w:t>Procureur de l’appelante : Procureur général de l’Ontario, Toronto.</w:t>
      </w:r>
    </w:p>
    <w:p w:rsidR="00625B0F" w:rsidRPr="00625B0F" w:rsidRDefault="00625B0F" w:rsidP="00625B0F">
      <w:pPr>
        <w:tabs>
          <w:tab w:val="left" w:pos="1168"/>
        </w:tabs>
        <w:spacing w:before="480" w:after="480" w:line="480" w:lineRule="auto"/>
        <w:jc w:val="both"/>
        <w:rPr>
          <w:rFonts w:eastAsia="Times New Roman" w:cs="Times New Roman"/>
          <w:i/>
          <w:szCs w:val="20"/>
          <w:lang w:eastAsia="en-CA"/>
        </w:rPr>
      </w:pPr>
      <w:r w:rsidRPr="00625B0F">
        <w:rPr>
          <w:rFonts w:eastAsia="Times New Roman" w:cs="Times New Roman"/>
          <w:i/>
          <w:szCs w:val="20"/>
          <w:lang w:eastAsia="en-CA"/>
        </w:rPr>
        <w:tab/>
        <w:t>Procureurs de l’intimé : </w:t>
      </w:r>
      <w:proofErr w:type="spellStart"/>
      <w:r w:rsidRPr="00625B0F">
        <w:rPr>
          <w:rFonts w:eastAsia="Times New Roman" w:cs="Times New Roman"/>
          <w:i/>
          <w:szCs w:val="20"/>
          <w:lang w:eastAsia="en-CA"/>
        </w:rPr>
        <w:t>Rosen</w:t>
      </w:r>
      <w:proofErr w:type="spellEnd"/>
      <w:r w:rsidRPr="00625B0F">
        <w:rPr>
          <w:rFonts w:eastAsia="Times New Roman" w:cs="Times New Roman"/>
          <w:i/>
          <w:szCs w:val="20"/>
          <w:lang w:eastAsia="en-CA"/>
        </w:rPr>
        <w:t xml:space="preserve"> &amp; </w:t>
      </w:r>
      <w:proofErr w:type="spellStart"/>
      <w:r w:rsidRPr="00625B0F">
        <w:rPr>
          <w:rFonts w:eastAsia="Times New Roman" w:cs="Times New Roman"/>
          <w:i/>
          <w:szCs w:val="20"/>
          <w:lang w:eastAsia="en-CA"/>
        </w:rPr>
        <w:t>Company</w:t>
      </w:r>
      <w:proofErr w:type="spellEnd"/>
      <w:r w:rsidRPr="00625B0F">
        <w:rPr>
          <w:rFonts w:eastAsia="Times New Roman" w:cs="Times New Roman"/>
          <w:i/>
          <w:szCs w:val="20"/>
          <w:lang w:eastAsia="en-CA"/>
        </w:rPr>
        <w:t>, Toronto.</w:t>
      </w:r>
    </w:p>
    <w:p w:rsidR="00625B0F" w:rsidRPr="00625B0F" w:rsidRDefault="00625B0F" w:rsidP="00C35A35"/>
    <w:sectPr w:rsidR="00625B0F" w:rsidRPr="00625B0F" w:rsidSect="00F72014">
      <w:headerReference w:type="default" r:id="rId10"/>
      <w:pgSz w:w="12240" w:h="15840"/>
      <w:pgMar w:top="1440" w:right="1440" w:bottom="1440" w:left="1440" w:header="43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467" w:rsidRDefault="000F4467" w:rsidP="00F72014">
      <w:r>
        <w:separator/>
      </w:r>
    </w:p>
  </w:endnote>
  <w:endnote w:type="continuationSeparator" w:id="0">
    <w:p w:rsidR="000F4467" w:rsidRDefault="000F4467"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467" w:rsidRDefault="000F4467" w:rsidP="00F72014">
      <w:r>
        <w:separator/>
      </w:r>
    </w:p>
  </w:footnote>
  <w:footnote w:type="continuationSeparator" w:id="0">
    <w:p w:rsidR="000F4467" w:rsidRDefault="000F4467" w:rsidP="00F7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882" w:rsidRDefault="001968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617"/>
    <w:multiLevelType w:val="hybridMultilevel"/>
    <w:tmpl w:val="562C42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E5F57C9"/>
    <w:multiLevelType w:val="hybridMultilevel"/>
    <w:tmpl w:val="562C42B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removePersonalInformation/>
  <w:removeDateAndTime/>
  <w:proofState w:spelling="clean" w:grammar="clean"/>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11E76"/>
    <w:rsid w:val="000D1436"/>
    <w:rsid w:val="000F4467"/>
    <w:rsid w:val="00100074"/>
    <w:rsid w:val="001311DA"/>
    <w:rsid w:val="00135DCE"/>
    <w:rsid w:val="00177E57"/>
    <w:rsid w:val="00183B6F"/>
    <w:rsid w:val="00196882"/>
    <w:rsid w:val="001A2CF8"/>
    <w:rsid w:val="001D6B8C"/>
    <w:rsid w:val="001E12E2"/>
    <w:rsid w:val="001E5B5A"/>
    <w:rsid w:val="001F1F83"/>
    <w:rsid w:val="00237F29"/>
    <w:rsid w:val="00256B56"/>
    <w:rsid w:val="0028675F"/>
    <w:rsid w:val="0029156B"/>
    <w:rsid w:val="002F0B6C"/>
    <w:rsid w:val="00355967"/>
    <w:rsid w:val="0036772A"/>
    <w:rsid w:val="00384384"/>
    <w:rsid w:val="003B2BE1"/>
    <w:rsid w:val="003B3C63"/>
    <w:rsid w:val="003B7306"/>
    <w:rsid w:val="00423C0D"/>
    <w:rsid w:val="00432193"/>
    <w:rsid w:val="00460AFC"/>
    <w:rsid w:val="00467372"/>
    <w:rsid w:val="004B6D25"/>
    <w:rsid w:val="004E69EC"/>
    <w:rsid w:val="004F090E"/>
    <w:rsid w:val="004F7322"/>
    <w:rsid w:val="00535189"/>
    <w:rsid w:val="00582136"/>
    <w:rsid w:val="0058383C"/>
    <w:rsid w:val="005C0397"/>
    <w:rsid w:val="005D5624"/>
    <w:rsid w:val="006034F1"/>
    <w:rsid w:val="00625B0F"/>
    <w:rsid w:val="00631D22"/>
    <w:rsid w:val="006936F1"/>
    <w:rsid w:val="006D697E"/>
    <w:rsid w:val="00701ABD"/>
    <w:rsid w:val="00723387"/>
    <w:rsid w:val="007740CA"/>
    <w:rsid w:val="00787F6E"/>
    <w:rsid w:val="008029A6"/>
    <w:rsid w:val="008029AC"/>
    <w:rsid w:val="00803557"/>
    <w:rsid w:val="008215C3"/>
    <w:rsid w:val="00842677"/>
    <w:rsid w:val="008714CB"/>
    <w:rsid w:val="00880B14"/>
    <w:rsid w:val="008B5797"/>
    <w:rsid w:val="008C75A4"/>
    <w:rsid w:val="008F4691"/>
    <w:rsid w:val="009040AE"/>
    <w:rsid w:val="00904937"/>
    <w:rsid w:val="00996510"/>
    <w:rsid w:val="009F0F2D"/>
    <w:rsid w:val="00A15219"/>
    <w:rsid w:val="00A25F42"/>
    <w:rsid w:val="00A51442"/>
    <w:rsid w:val="00A51D10"/>
    <w:rsid w:val="00A863F7"/>
    <w:rsid w:val="00AB2201"/>
    <w:rsid w:val="00BD4217"/>
    <w:rsid w:val="00C27614"/>
    <w:rsid w:val="00C34313"/>
    <w:rsid w:val="00C35A35"/>
    <w:rsid w:val="00CA3730"/>
    <w:rsid w:val="00D030DA"/>
    <w:rsid w:val="00D056AE"/>
    <w:rsid w:val="00D07EED"/>
    <w:rsid w:val="00D5237B"/>
    <w:rsid w:val="00D751FC"/>
    <w:rsid w:val="00D76BDF"/>
    <w:rsid w:val="00E356C7"/>
    <w:rsid w:val="00E53ED9"/>
    <w:rsid w:val="00E64FA7"/>
    <w:rsid w:val="00E7577F"/>
    <w:rsid w:val="00E770CB"/>
    <w:rsid w:val="00F01FC5"/>
    <w:rsid w:val="00F060D9"/>
    <w:rsid w:val="00F25646"/>
    <w:rsid w:val="00F35983"/>
    <w:rsid w:val="00F72014"/>
    <w:rsid w:val="00F837E7"/>
    <w:rsid w:val="00F9518C"/>
    <w:rsid w:val="00FA59EF"/>
    <w:rsid w:val="00FB616D"/>
    <w:rsid w:val="00FE5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EED"/>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semiHidden/>
    <w:unhideWhenUsed/>
    <w:rsid w:val="00F72014"/>
    <w:pPr>
      <w:tabs>
        <w:tab w:val="center" w:pos="4680"/>
        <w:tab w:val="right" w:pos="9360"/>
      </w:tabs>
    </w:pPr>
  </w:style>
  <w:style w:type="character" w:customStyle="1" w:styleId="FooterChar">
    <w:name w:val="Footer Char"/>
    <w:basedOn w:val="DefaultParagraphFont"/>
    <w:link w:val="Footer"/>
    <w:uiPriority w:val="99"/>
    <w:semiHidden/>
    <w:rsid w:val="00F72014"/>
  </w:style>
  <w:style w:type="paragraph" w:customStyle="1" w:styleId="SCCRestrictionOnPublicationTitle">
    <w:name w:val="SCC.RestrictionOnPublicationTitle"/>
    <w:basedOn w:val="Normal"/>
    <w:next w:val="Normal"/>
    <w:link w:val="SCCRestrictionOnPublicationTitleChar"/>
    <w:rsid w:val="009F0F2D"/>
    <w:rPr>
      <w:b/>
      <w:smallCaps/>
    </w:rPr>
  </w:style>
  <w:style w:type="character" w:customStyle="1" w:styleId="SCCRestrictionOnPublicationTitleChar">
    <w:name w:val="SCC.RestrictionOnPublicationTitle Char"/>
    <w:basedOn w:val="DefaultParagraphFont"/>
    <w:link w:val="SCCRestrictionOnPublicationTitle"/>
    <w:rsid w:val="009F0F2D"/>
    <w:rPr>
      <w:b/>
      <w:smallCaps/>
      <w:lang w:val="fr-CA"/>
    </w:rPr>
  </w:style>
  <w:style w:type="paragraph" w:customStyle="1" w:styleId="SCCRestrictionOnPublicationText">
    <w:name w:val="SCC.RestrictionOnPublicationText"/>
    <w:basedOn w:val="Normal"/>
    <w:next w:val="Normal"/>
    <w:link w:val="SCCRestrictionOnPublicationTextChar"/>
    <w:rsid w:val="009F0F2D"/>
  </w:style>
  <w:style w:type="character" w:customStyle="1" w:styleId="SCCRestrictionOnPublicationTextChar">
    <w:name w:val="SCC.RestrictionOnPublicationText Char"/>
    <w:basedOn w:val="DefaultParagraphFont"/>
    <w:link w:val="SCCRestrictionOnPublicationText"/>
    <w:rsid w:val="009F0F2D"/>
    <w:rPr>
      <w:lang w:val="fr-CA"/>
    </w:rPr>
  </w:style>
  <w:style w:type="paragraph" w:customStyle="1" w:styleId="SCCLsocOtherPartyRole">
    <w:name w:val="SCC.Lsoc.OtherPartyRole"/>
    <w:basedOn w:val="Normal"/>
    <w:next w:val="Normal"/>
    <w:link w:val="SCCLsocOtherPartyRoleChar"/>
    <w:rsid w:val="008B5797"/>
    <w:pPr>
      <w:jc w:val="center"/>
    </w:pPr>
  </w:style>
  <w:style w:type="character" w:customStyle="1" w:styleId="SCCLsocOtherPartyRoleChar">
    <w:name w:val="SCC.Lsoc.OtherPartyRole Char"/>
    <w:basedOn w:val="DefaultParagraphFont"/>
    <w:link w:val="SCCLsocOtherPartyRole"/>
    <w:rsid w:val="008B5797"/>
    <w:rPr>
      <w:lang w:val="fr-CA"/>
    </w:rPr>
  </w:style>
  <w:style w:type="paragraph" w:customStyle="1" w:styleId="SCCLsocParty">
    <w:name w:val="SCC.Lsoc.Party"/>
    <w:basedOn w:val="Normal"/>
    <w:next w:val="Normal"/>
    <w:link w:val="SCCLsocPartyChar"/>
    <w:rsid w:val="008B5797"/>
    <w:pPr>
      <w:jc w:val="center"/>
    </w:pPr>
    <w:rPr>
      <w:b/>
    </w:rPr>
  </w:style>
  <w:style w:type="character" w:customStyle="1" w:styleId="SCCLsocPartyChar">
    <w:name w:val="SCC.Lsoc.Party Char"/>
    <w:basedOn w:val="DefaultParagraphFont"/>
    <w:link w:val="SCCLsocParty"/>
    <w:rsid w:val="008B5797"/>
    <w:rPr>
      <w:b/>
      <w:lang w:val="fr-CA"/>
    </w:rPr>
  </w:style>
  <w:style w:type="paragraph" w:customStyle="1" w:styleId="SCCLsocSubfileSeparator">
    <w:name w:val="SCC.Lsoc.SubfileSeparator"/>
    <w:basedOn w:val="Normal"/>
    <w:next w:val="Normal"/>
    <w:link w:val="SCCLsocSubfileSeparatorChar"/>
    <w:rsid w:val="005C0397"/>
    <w:rPr>
      <w:b/>
      <w:smallCaps/>
    </w:rPr>
  </w:style>
  <w:style w:type="character" w:customStyle="1" w:styleId="SCCLsocSubfileSeparatorChar">
    <w:name w:val="SCC.Lsoc.SubfileSeparator Char"/>
    <w:basedOn w:val="DefaultParagraphFont"/>
    <w:link w:val="SCCLsocSubfileSeparator"/>
    <w:rsid w:val="005C0397"/>
    <w:rPr>
      <w:b/>
      <w:smallCaps/>
      <w:lang w:val="fr-CA"/>
    </w:rPr>
  </w:style>
  <w:style w:type="paragraph" w:customStyle="1" w:styleId="SCCLsocVersus">
    <w:name w:val="SCC.Lsoc.Versus"/>
    <w:basedOn w:val="Normal"/>
    <w:next w:val="Normal"/>
    <w:link w:val="SCCLsocVersusChar"/>
    <w:rsid w:val="008B5797"/>
    <w:pPr>
      <w:jc w:val="center"/>
    </w:pPr>
  </w:style>
  <w:style w:type="character" w:customStyle="1" w:styleId="SCCLsocVersusChar">
    <w:name w:val="SCC.Lsoc.Versus Char"/>
    <w:basedOn w:val="DefaultParagraphFont"/>
    <w:link w:val="SCCLsocVersus"/>
    <w:rsid w:val="008B5797"/>
    <w:rPr>
      <w:lang w:val="fr-CA"/>
    </w:rPr>
  </w:style>
  <w:style w:type="paragraph" w:customStyle="1" w:styleId="SCCLsocPartyRole">
    <w:name w:val="SCC.Lsoc.PartyRole"/>
    <w:basedOn w:val="Normal"/>
    <w:next w:val="Normal"/>
    <w:link w:val="SCCLsocPartyRoleChar"/>
    <w:rsid w:val="008B5797"/>
    <w:pPr>
      <w:jc w:val="center"/>
    </w:pPr>
  </w:style>
  <w:style w:type="character" w:customStyle="1" w:styleId="SCCLsocPartyRoleChar">
    <w:name w:val="SCC.Lsoc.PartyRole Char"/>
    <w:basedOn w:val="DefaultParagraphFont"/>
    <w:link w:val="SCCLsocPartyRole"/>
    <w:rsid w:val="008B5797"/>
    <w:rPr>
      <w:lang w:val="fr-CA"/>
    </w:rPr>
  </w:style>
  <w:style w:type="paragraph" w:customStyle="1" w:styleId="SCCLsocPrefix">
    <w:name w:val="SCC.Lsoc.Prefix"/>
    <w:basedOn w:val="Normal"/>
    <w:next w:val="Normal"/>
    <w:link w:val="SCCLsocPrefixChar"/>
    <w:rsid w:val="005C0397"/>
    <w:rPr>
      <w:b/>
      <w:smallCaps/>
    </w:rPr>
  </w:style>
  <w:style w:type="character" w:customStyle="1" w:styleId="SCCLsocPrefixChar">
    <w:name w:val="SCC.Lsoc.Prefix Char"/>
    <w:basedOn w:val="DefaultParagraphFont"/>
    <w:link w:val="SCCLsocPrefix"/>
    <w:rsid w:val="005C0397"/>
    <w:rPr>
      <w:b/>
      <w:smallCaps/>
      <w:lang w:val="fr-CA"/>
    </w:rPr>
  </w:style>
  <w:style w:type="paragraph" w:customStyle="1" w:styleId="SCCHearingJudgmentDatesText">
    <w:name w:val="SCC.HearingJudgmentDatesText"/>
    <w:basedOn w:val="Normal"/>
    <w:next w:val="Normal"/>
    <w:link w:val="SCCHearingJudgmentDatesTextChar"/>
    <w:rsid w:val="00CA3730"/>
  </w:style>
  <w:style w:type="character" w:customStyle="1" w:styleId="SCCHearingJudgmentDatesTextChar">
    <w:name w:val="SCC.HearingJudgmentDatesText Char"/>
    <w:basedOn w:val="DefaultParagraphFont"/>
    <w:link w:val="SCCHearingJudgmentDatesText"/>
    <w:rsid w:val="00CA3730"/>
    <w:rPr>
      <w:lang w:val="fr-CA"/>
    </w:rPr>
  </w:style>
  <w:style w:type="paragraph" w:customStyle="1" w:styleId="SCCHearingJudgmentDatesTitle">
    <w:name w:val="SCC.HearingJudgmentDatesTitle"/>
    <w:basedOn w:val="Normal"/>
    <w:next w:val="Normal"/>
    <w:link w:val="SCCHearingJudgmentDatesTitleChar"/>
    <w:rsid w:val="00CA3730"/>
    <w:rPr>
      <w:b/>
      <w:smallCaps/>
    </w:rPr>
  </w:style>
  <w:style w:type="character" w:customStyle="1" w:styleId="SCCHearingJudgmentDatesTitleChar">
    <w:name w:val="SCC.HearingJudgmentDatesTitle Char"/>
    <w:basedOn w:val="DefaultParagraphFont"/>
    <w:link w:val="SCCHearingJudgmentDatesTitle"/>
    <w:rsid w:val="00CA3730"/>
    <w:rPr>
      <w:b/>
      <w:smallCaps/>
      <w:lang w:val="fr-CA"/>
    </w:rPr>
  </w:style>
  <w:style w:type="paragraph" w:customStyle="1" w:styleId="SCCLsocOtherPartySeparator">
    <w:name w:val="SCC.Lsoc.OtherPartySeparator"/>
    <w:basedOn w:val="Normal"/>
    <w:next w:val="Normal"/>
    <w:link w:val="SCCLsocOtherPartySeparatorChar"/>
    <w:rsid w:val="00196882"/>
    <w:pPr>
      <w:jc w:val="center"/>
    </w:pPr>
  </w:style>
  <w:style w:type="character" w:customStyle="1" w:styleId="SCCLsocOtherPartySeparatorChar">
    <w:name w:val="SCC.Lsoc.OtherPartySeparator Char"/>
    <w:basedOn w:val="DefaultParagraphFont"/>
    <w:link w:val="SCCLsocOtherPartySeparator"/>
    <w:rsid w:val="00196882"/>
    <w:rPr>
      <w:lang w:val="fr-CA"/>
    </w:rPr>
  </w:style>
  <w:style w:type="paragraph" w:customStyle="1" w:styleId="SCCCounselName">
    <w:name w:val="SCC.CounselName"/>
    <w:basedOn w:val="Normal"/>
    <w:next w:val="Normal"/>
    <w:link w:val="SCCCounselNameChar"/>
    <w:rsid w:val="003B7306"/>
    <w:rPr>
      <w:i/>
    </w:rPr>
  </w:style>
  <w:style w:type="character" w:customStyle="1" w:styleId="SCCCounselNameChar">
    <w:name w:val="SCC.CounselName Char"/>
    <w:basedOn w:val="DefaultParagraphFont"/>
    <w:link w:val="SCCCounselName"/>
    <w:rsid w:val="003B7306"/>
    <w:rPr>
      <w:rFonts w:eastAsia="Times New Roman" w:cs="Times New Roman"/>
      <w:i/>
      <w:szCs w:val="20"/>
      <w:lang w:val="fr-CA" w:eastAsia="en-CA"/>
    </w:rPr>
  </w:style>
  <w:style w:type="paragraph" w:customStyle="1" w:styleId="SCCCounselSeparator">
    <w:name w:val="SCC.CounselSeparator"/>
    <w:basedOn w:val="Normal"/>
    <w:next w:val="Normal"/>
    <w:link w:val="SCCCounselSeparatorChar"/>
    <w:rsid w:val="003B7306"/>
  </w:style>
  <w:style w:type="character" w:customStyle="1" w:styleId="SCCCounselSeparatorChar">
    <w:name w:val="SCC.CounselSeparator Char"/>
    <w:basedOn w:val="DefaultParagraphFont"/>
    <w:link w:val="SCCCounselSeparator"/>
    <w:rsid w:val="003B7306"/>
    <w:rPr>
      <w:rFonts w:eastAsia="Times New Roman" w:cs="Times New Roman"/>
      <w:szCs w:val="20"/>
      <w:lang w:val="fr-CA" w:eastAsia="en-CA"/>
    </w:rPr>
  </w:style>
  <w:style w:type="paragraph" w:customStyle="1" w:styleId="SCCCounselPartyRole">
    <w:name w:val="SCC.CounselPartyRole"/>
    <w:basedOn w:val="Normal"/>
    <w:next w:val="Normal"/>
    <w:link w:val="SCCCounselPartyRoleChar"/>
    <w:rsid w:val="003B7306"/>
  </w:style>
  <w:style w:type="character" w:customStyle="1" w:styleId="SCCCounselPartyRoleChar">
    <w:name w:val="SCC.CounselPartyRole Char"/>
    <w:basedOn w:val="DefaultParagraphFont"/>
    <w:link w:val="SCCCounselPartyRole"/>
    <w:rsid w:val="003B7306"/>
    <w:rPr>
      <w:rFonts w:eastAsia="Times New Roman" w:cs="Times New Roman"/>
      <w:szCs w:val="20"/>
      <w:lang w:val="fr-CA" w:eastAsia="en-CA"/>
    </w:rPr>
  </w:style>
  <w:style w:type="paragraph" w:customStyle="1" w:styleId="SCCBold">
    <w:name w:val="SCC.Bold"/>
    <w:basedOn w:val="Normal"/>
    <w:next w:val="Normal"/>
    <w:qFormat/>
    <w:rsid w:val="00D07EED"/>
    <w:rPr>
      <w:b/>
    </w:rPr>
  </w:style>
  <w:style w:type="paragraph" w:customStyle="1" w:styleId="SCCReasonsTitle">
    <w:name w:val="SCC.ReasonsTitle"/>
    <w:basedOn w:val="Normal"/>
    <w:next w:val="Normal"/>
    <w:link w:val="SCCReasonsTitleChar"/>
    <w:qFormat/>
    <w:rsid w:val="00D5237B"/>
    <w:rPr>
      <w:b/>
    </w:rPr>
  </w:style>
  <w:style w:type="character" w:customStyle="1" w:styleId="SCCReasonsTitleChar">
    <w:name w:val="SCC.ReasonsTitle Char"/>
    <w:basedOn w:val="DefaultParagraphFont"/>
    <w:link w:val="SCCReasonsTitle"/>
    <w:rsid w:val="00100074"/>
    <w:rPr>
      <w:b/>
      <w:lang w:val="fr-CA"/>
    </w:rPr>
  </w:style>
  <w:style w:type="paragraph" w:styleId="ListParagraph">
    <w:name w:val="List Paragraph"/>
    <w:basedOn w:val="Normal"/>
    <w:uiPriority w:val="34"/>
    <w:qFormat/>
    <w:rsid w:val="00C35A35"/>
    <w:pPr>
      <w:ind w:left="720"/>
      <w:contextualSpacing/>
    </w:pPr>
    <w:rPr>
      <w:szCs w:val="22"/>
      <w:lang w:val="en-CA"/>
    </w:rPr>
  </w:style>
  <w:style w:type="character" w:styleId="Hyperlink">
    <w:name w:val="Hyperlink"/>
    <w:basedOn w:val="DefaultParagraphFont"/>
    <w:uiPriority w:val="99"/>
    <w:unhideWhenUsed/>
    <w:rsid w:val="00237F29"/>
    <w:rPr>
      <w:color w:val="78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ntariocourts.ca/decisions/2021/2021ONCA02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2022-04-22T20:00:00Z</dcterms:created>
  <dcterms:modified xsi:type="dcterms:W3CDTF">2023-07-28T15:07:00Z</dcterms:modified>
</cp:coreProperties>
</file>