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878"/>
        <w:gridCol w:w="1375"/>
        <w:gridCol w:w="1134"/>
        <w:gridCol w:w="3685"/>
      </w:tblGrid>
      <w:tr w:rsidR="00423C0D" w:rsidTr="00F84A87">
        <w:trPr>
          <w:trHeight w:val="1786"/>
        </w:trPr>
        <w:tc>
          <w:tcPr>
            <w:tcW w:w="5000" w:type="pct"/>
            <w:gridSpan w:val="4"/>
          </w:tcPr>
          <w:p w:rsidR="00423C0D" w:rsidRDefault="00423C0D" w:rsidP="00A51442">
            <w:pPr>
              <w:pStyle w:val="SCCBold"/>
              <w:jc w:val="center"/>
            </w:pPr>
            <w:r>
              <w:rPr>
                <w:noProof/>
                <w:lang w:eastAsia="fr-CA"/>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Default="00423C0D" w:rsidP="009764CA">
            <w:pPr>
              <w:spacing w:before="120" w:after="100" w:afterAutospacing="1"/>
              <w:jc w:val="center"/>
              <w:rPr>
                <w:rFonts w:eastAsia="Calibri"/>
              </w:rPr>
            </w:pPr>
            <w:r w:rsidRPr="00C22905">
              <w:rPr>
                <w:rFonts w:eastAsia="Calibri"/>
                <w:b/>
              </w:rPr>
              <w:t>COUR</w:t>
            </w:r>
            <w:r>
              <w:rPr>
                <w:rFonts w:eastAsia="Calibri"/>
                <w:b/>
              </w:rPr>
              <w:t xml:space="preserve"> SUPRÊME DU</w:t>
            </w:r>
            <w:r w:rsidRPr="00C22905">
              <w:rPr>
                <w:rFonts w:eastAsia="Calibri"/>
                <w:b/>
              </w:rPr>
              <w:t xml:space="preserve"> CANADA</w:t>
            </w:r>
          </w:p>
        </w:tc>
      </w:tr>
      <w:tr w:rsidR="00D056AE" w:rsidRPr="00E7577F" w:rsidTr="00F84A87">
        <w:tblPrEx>
          <w:tblCellMar>
            <w:top w:w="58" w:type="dxa"/>
            <w:left w:w="58" w:type="dxa"/>
            <w:bottom w:w="58" w:type="dxa"/>
            <w:right w:w="58" w:type="dxa"/>
          </w:tblCellMar>
        </w:tblPrEx>
        <w:trPr>
          <w:cantSplit/>
        </w:trPr>
        <w:tc>
          <w:tcPr>
            <w:tcW w:w="2344" w:type="pct"/>
            <w:gridSpan w:val="2"/>
          </w:tcPr>
          <w:p w:rsidR="008215C3" w:rsidRPr="005362B9" w:rsidRDefault="008215C3" w:rsidP="002F0B6C">
            <w:pPr>
              <w:rPr>
                <w:b/>
                <w:smallCaps/>
              </w:rPr>
            </w:pPr>
          </w:p>
          <w:p w:rsidR="00D056AE" w:rsidRPr="005362B9" w:rsidRDefault="00D056AE" w:rsidP="00F34534">
            <w:pPr>
              <w:rPr>
                <w:b/>
                <w:smallCaps/>
              </w:rPr>
            </w:pPr>
            <w:r w:rsidRPr="005362B9">
              <w:rPr>
                <w:b/>
                <w:smallCaps/>
              </w:rPr>
              <w:t>Référence :</w:t>
            </w:r>
            <w:r w:rsidRPr="005362B9">
              <w:t xml:space="preserve"> </w:t>
            </w:r>
            <w:r w:rsidR="009B3BDB" w:rsidRPr="005362B9">
              <w:t xml:space="preserve">R. </w:t>
            </w:r>
            <w:r w:rsidR="009B3BDB" w:rsidRPr="005362B9">
              <w:rPr>
                <w:i/>
              </w:rPr>
              <w:t>c.</w:t>
            </w:r>
            <w:r w:rsidR="008521D5">
              <w:t xml:space="preserve"> </w:t>
            </w:r>
            <w:r w:rsidR="00A83900" w:rsidRPr="00A83900">
              <w:t>Badger</w:t>
            </w:r>
            <w:r w:rsidR="009B3BDB" w:rsidRPr="005362B9">
              <w:t xml:space="preserve">, 2022 </w:t>
            </w:r>
            <w:r w:rsidR="00F34534" w:rsidRPr="005362B9">
              <w:t>CSC</w:t>
            </w:r>
            <w:r w:rsidR="00865B58">
              <w:t xml:space="preserve"> </w:t>
            </w:r>
            <w:r w:rsidR="00A83900">
              <w:t>20</w:t>
            </w:r>
          </w:p>
        </w:tc>
        <w:tc>
          <w:tcPr>
            <w:tcW w:w="625" w:type="pct"/>
          </w:tcPr>
          <w:p w:rsidR="00D056AE" w:rsidRPr="005362B9" w:rsidRDefault="00D056AE" w:rsidP="002F0B6C"/>
        </w:tc>
        <w:tc>
          <w:tcPr>
            <w:tcW w:w="2031" w:type="pct"/>
          </w:tcPr>
          <w:p w:rsidR="00D056AE" w:rsidRDefault="00D056AE" w:rsidP="00423C0D">
            <w:pPr>
              <w:jc w:val="both"/>
              <w:rPr>
                <w:b/>
                <w:smallCaps/>
              </w:rPr>
            </w:pPr>
          </w:p>
          <w:p w:rsidR="00D056AE" w:rsidRPr="00177E57" w:rsidRDefault="00D056AE" w:rsidP="00423C0D">
            <w:pPr>
              <w:jc w:val="both"/>
            </w:pPr>
            <w:r w:rsidRPr="00E71FD7">
              <w:rPr>
                <w:b/>
                <w:smallCaps/>
              </w:rPr>
              <w:t>Appel entendu :</w:t>
            </w:r>
            <w:r w:rsidRPr="00E71FD7">
              <w:t xml:space="preserve"> </w:t>
            </w:r>
            <w:r w:rsidR="00892EB0">
              <w:t>16 mai</w:t>
            </w:r>
            <w:r w:rsidR="009B3BDB">
              <w:t xml:space="preserve"> 2022</w:t>
            </w:r>
          </w:p>
          <w:p w:rsidR="00D056AE" w:rsidRPr="001E12E2" w:rsidRDefault="00D056AE">
            <w:r w:rsidRPr="00CB5B04">
              <w:rPr>
                <w:b/>
                <w:smallCaps/>
              </w:rPr>
              <w:t>Jugement rendu </w:t>
            </w:r>
            <w:r>
              <w:rPr>
                <w:b/>
                <w:smallCaps/>
              </w:rPr>
              <w:t>:</w:t>
            </w:r>
            <w:r w:rsidRPr="001E12E2">
              <w:t xml:space="preserve"> </w:t>
            </w:r>
            <w:r w:rsidR="00892EB0">
              <w:t xml:space="preserve">16 mai </w:t>
            </w:r>
            <w:r w:rsidR="009B3BDB">
              <w:t>2022</w:t>
            </w:r>
          </w:p>
          <w:p w:rsidR="00D056AE" w:rsidRPr="009B3BDB" w:rsidRDefault="00D056AE" w:rsidP="002F0B6C">
            <w:r w:rsidRPr="009B3BDB">
              <w:rPr>
                <w:b/>
                <w:smallCaps/>
              </w:rPr>
              <w:t>Dossier :</w:t>
            </w:r>
            <w:r w:rsidRPr="009B3BDB">
              <w:t xml:space="preserve"> </w:t>
            </w:r>
            <w:r w:rsidR="00892EB0">
              <w:t>39844</w:t>
            </w:r>
          </w:p>
        </w:tc>
      </w:tr>
      <w:tr w:rsidR="00423C0D" w:rsidRPr="00423C0D" w:rsidTr="00F84A87">
        <w:tblPrEx>
          <w:tblCellMar>
            <w:top w:w="58" w:type="dxa"/>
            <w:left w:w="58" w:type="dxa"/>
            <w:bottom w:w="58" w:type="dxa"/>
            <w:right w:w="58" w:type="dxa"/>
          </w:tblCellMar>
        </w:tblPrEx>
        <w:trPr>
          <w:cantSplit/>
        </w:trPr>
        <w:tc>
          <w:tcPr>
            <w:tcW w:w="5000" w:type="pct"/>
            <w:gridSpan w:val="4"/>
          </w:tcPr>
          <w:p w:rsidR="00423C0D" w:rsidRPr="009B3BDB" w:rsidRDefault="00423C0D" w:rsidP="00423C0D"/>
          <w:p w:rsidR="00555757" w:rsidRDefault="00E310A9">
            <w:pPr>
              <w:pStyle w:val="SCCLsocPrefix"/>
            </w:pPr>
            <w:r>
              <w:t>Entre</w:t>
            </w:r>
            <w:r w:rsidR="009B3BDB">
              <w:t> </w:t>
            </w:r>
            <w:r>
              <w:t>:</w:t>
            </w:r>
          </w:p>
          <w:p w:rsidR="009B3BDB" w:rsidRPr="009B3BDB" w:rsidRDefault="009B3BDB" w:rsidP="009B3BDB"/>
          <w:p w:rsidR="00257AEE" w:rsidRDefault="00B97552" w:rsidP="00257AEE">
            <w:pPr>
              <w:pStyle w:val="SCCLsocParty"/>
            </w:pPr>
            <w:r w:rsidRPr="00B97552">
              <w:rPr>
                <w:bCs/>
              </w:rPr>
              <w:t>Jacob Charles Badger</w:t>
            </w:r>
          </w:p>
          <w:p w:rsidR="00555757" w:rsidRDefault="009B3BDB">
            <w:pPr>
              <w:pStyle w:val="SCCLsocPartyRole"/>
            </w:pPr>
            <w:r>
              <w:t>Appelant</w:t>
            </w:r>
          </w:p>
          <w:p w:rsidR="00555757" w:rsidRDefault="00555757"/>
          <w:p w:rsidR="00555757" w:rsidRPr="009B3BDB" w:rsidRDefault="009B3BDB">
            <w:pPr>
              <w:pStyle w:val="SCCLsocVersus"/>
            </w:pPr>
            <w:r w:rsidRPr="009B3BDB">
              <w:t>et</w:t>
            </w:r>
          </w:p>
          <w:p w:rsidR="00555757" w:rsidRPr="009B3BDB" w:rsidRDefault="00555757"/>
          <w:p w:rsidR="00257AEE" w:rsidRDefault="00B97552" w:rsidP="00257AEE">
            <w:pPr>
              <w:pStyle w:val="SCCLsocParty"/>
            </w:pPr>
            <w:r>
              <w:t>Sa Majesté la Reine</w:t>
            </w:r>
          </w:p>
          <w:p w:rsidR="00555757" w:rsidRPr="005362B9" w:rsidRDefault="00257AEE">
            <w:pPr>
              <w:pStyle w:val="SCCLsocPartyRole"/>
            </w:pPr>
            <w:r>
              <w:t>Intimé</w:t>
            </w:r>
            <w:r w:rsidR="00B97552">
              <w:t>e</w:t>
            </w:r>
          </w:p>
          <w:p w:rsidR="00555757" w:rsidRPr="005362B9" w:rsidRDefault="00555757"/>
          <w:p w:rsidR="00D4443A" w:rsidRDefault="00D4443A" w:rsidP="00423C0D">
            <w:pPr>
              <w:jc w:val="center"/>
              <w:rPr>
                <w:b/>
                <w:smallCaps/>
              </w:rPr>
            </w:pPr>
          </w:p>
          <w:p w:rsidR="00423C0D" w:rsidRPr="001E12E2" w:rsidRDefault="00423C0D" w:rsidP="00423C0D">
            <w:pPr>
              <w:jc w:val="center"/>
              <w:rPr>
                <w:b/>
                <w:smallCaps/>
              </w:rPr>
            </w:pPr>
            <w:r>
              <w:rPr>
                <w:b/>
                <w:smallCaps/>
              </w:rPr>
              <w:t>Traduction française o</w:t>
            </w:r>
            <w:r w:rsidRPr="001E12E2">
              <w:rPr>
                <w:b/>
                <w:smallCaps/>
              </w:rPr>
              <w:t>ffici</w:t>
            </w:r>
            <w:r>
              <w:rPr>
                <w:b/>
                <w:smallCaps/>
              </w:rPr>
              <w:t>elle</w:t>
            </w:r>
          </w:p>
          <w:p w:rsidR="00423C0D" w:rsidRPr="001E12E2" w:rsidRDefault="00423C0D" w:rsidP="00423C0D"/>
          <w:p w:rsidR="00423C0D" w:rsidRPr="001E12E2" w:rsidRDefault="00423C0D" w:rsidP="00423C0D">
            <w:r w:rsidRPr="00534077">
              <w:rPr>
                <w:b/>
                <w:smallCaps/>
              </w:rPr>
              <w:t>Coram :</w:t>
            </w:r>
            <w:r w:rsidRPr="00534077">
              <w:t xml:space="preserve"> </w:t>
            </w:r>
            <w:r w:rsidR="00FA4AA7">
              <w:t>L</w:t>
            </w:r>
            <w:r w:rsidR="00C558AA">
              <w:t xml:space="preserve">es juges </w:t>
            </w:r>
            <w:r w:rsidR="00C558AA" w:rsidRPr="00B04DC5">
              <w:t>Mold</w:t>
            </w:r>
            <w:r w:rsidR="00FA4AA7">
              <w:t>aver, Karakatsanis, Côté, Brown et</w:t>
            </w:r>
            <w:r w:rsidR="00C558AA" w:rsidRPr="00B04DC5">
              <w:t xml:space="preserve"> </w:t>
            </w:r>
            <w:r w:rsidR="00FA4AA7">
              <w:t>Martin</w:t>
            </w:r>
          </w:p>
          <w:p w:rsidR="00423C0D" w:rsidRDefault="00423C0D" w:rsidP="00423C0D">
            <w:pPr>
              <w:jc w:val="both"/>
              <w:rPr>
                <w:b/>
                <w:smallCaps/>
              </w:rPr>
            </w:pPr>
          </w:p>
        </w:tc>
      </w:tr>
      <w:tr w:rsidR="004E69EC" w:rsidRPr="001E12E2" w:rsidTr="00F84A87">
        <w:tblPrEx>
          <w:tblCellMar>
            <w:top w:w="58" w:type="dxa"/>
            <w:left w:w="58" w:type="dxa"/>
            <w:bottom w:w="58" w:type="dxa"/>
            <w:right w:w="58" w:type="dxa"/>
          </w:tblCellMar>
        </w:tblPrEx>
        <w:trPr>
          <w:cantSplit/>
        </w:trPr>
        <w:tc>
          <w:tcPr>
            <w:tcW w:w="1586" w:type="pct"/>
            <w:vAlign w:val="center"/>
          </w:tcPr>
          <w:p w:rsidR="004E69EC" w:rsidRPr="00087A25" w:rsidRDefault="00AC5432" w:rsidP="00681AA1">
            <w:pPr>
              <w:rPr>
                <w:rStyle w:val="SCCReasonsTitleChar"/>
                <w:smallCaps/>
              </w:rPr>
            </w:pPr>
            <w:r w:rsidRPr="00087A25">
              <w:rPr>
                <w:rFonts w:eastAsia="Times New Roman" w:cs="Times New Roman"/>
                <w:b/>
                <w:bCs/>
                <w:smallCaps/>
                <w:color w:val="000000"/>
              </w:rPr>
              <w:t>Jugement lu par :</w:t>
            </w:r>
          </w:p>
          <w:p w:rsidR="00442C2D" w:rsidRPr="00681AA1" w:rsidRDefault="00CE458D" w:rsidP="007270B4">
            <w:r>
              <w:t>(par. </w:t>
            </w:r>
            <w:r w:rsidR="007270B4">
              <w:t>1</w:t>
            </w:r>
            <w:r w:rsidR="009B3BDB" w:rsidRPr="00087A25">
              <w:t>)</w:t>
            </w:r>
          </w:p>
        </w:tc>
        <w:tc>
          <w:tcPr>
            <w:tcW w:w="3414" w:type="pct"/>
            <w:gridSpan w:val="3"/>
          </w:tcPr>
          <w:p w:rsidR="004E69EC" w:rsidRPr="001E12E2" w:rsidRDefault="00E7577F" w:rsidP="00AC5432">
            <w:r w:rsidRPr="00534077">
              <w:t xml:space="preserve">Le juge </w:t>
            </w:r>
            <w:r w:rsidR="00526C57" w:rsidRPr="00B04DC5">
              <w:t>Mold</w:t>
            </w:r>
            <w:r w:rsidR="00526C57">
              <w:t>aver</w:t>
            </w:r>
          </w:p>
        </w:tc>
      </w:tr>
      <w:tr w:rsidR="00C558AA" w:rsidRPr="001E12E2" w:rsidTr="00F84A87">
        <w:tblPrEx>
          <w:tblCellMar>
            <w:top w:w="58" w:type="dxa"/>
            <w:left w:w="58" w:type="dxa"/>
            <w:bottom w:w="58" w:type="dxa"/>
            <w:right w:w="58" w:type="dxa"/>
          </w:tblCellMar>
        </w:tblPrEx>
        <w:trPr>
          <w:cantSplit/>
        </w:trPr>
        <w:tc>
          <w:tcPr>
            <w:tcW w:w="1586" w:type="pct"/>
            <w:vAlign w:val="center"/>
          </w:tcPr>
          <w:p w:rsidR="00C558AA" w:rsidRPr="00681AA1" w:rsidRDefault="00C558AA" w:rsidP="00681AA1">
            <w:pPr>
              <w:rPr>
                <w:rStyle w:val="SCCReasonsTitleChar"/>
                <w:b w:val="0"/>
              </w:rPr>
            </w:pPr>
            <w:r w:rsidRPr="002F2E42">
              <w:rPr>
                <w:rFonts w:eastAsia="Times New Roman" w:cs="Times New Roman"/>
                <w:b/>
                <w:bCs/>
                <w:smallCaps/>
                <w:color w:val="000000"/>
              </w:rPr>
              <w:t>Majorité :</w:t>
            </w:r>
          </w:p>
        </w:tc>
        <w:tc>
          <w:tcPr>
            <w:tcW w:w="3414" w:type="pct"/>
            <w:gridSpan w:val="3"/>
            <w:vAlign w:val="center"/>
          </w:tcPr>
          <w:p w:rsidR="00C558AA" w:rsidRPr="00534077" w:rsidRDefault="00C6115D" w:rsidP="00EE2D0D">
            <w:r>
              <w:t xml:space="preserve">Les juges Moldaver, </w:t>
            </w:r>
            <w:r w:rsidR="00EE2D0D">
              <w:t xml:space="preserve">Côté </w:t>
            </w:r>
            <w:r w:rsidR="00C558AA" w:rsidRPr="00534077">
              <w:t xml:space="preserve">et </w:t>
            </w:r>
            <w:r w:rsidR="00EE2D0D">
              <w:t>Brown</w:t>
            </w:r>
          </w:p>
        </w:tc>
      </w:tr>
      <w:tr w:rsidR="00C558AA" w:rsidRPr="001E12E2" w:rsidTr="00F84A87">
        <w:tblPrEx>
          <w:tblCellMar>
            <w:top w:w="58" w:type="dxa"/>
            <w:left w:w="58" w:type="dxa"/>
            <w:bottom w:w="58" w:type="dxa"/>
            <w:right w:w="58" w:type="dxa"/>
          </w:tblCellMar>
        </w:tblPrEx>
        <w:trPr>
          <w:cantSplit/>
          <w:trHeight w:val="504"/>
        </w:trPr>
        <w:tc>
          <w:tcPr>
            <w:tcW w:w="1586" w:type="pct"/>
            <w:vAlign w:val="center"/>
          </w:tcPr>
          <w:p w:rsidR="00C558AA" w:rsidRPr="00681AA1" w:rsidRDefault="00D854F6" w:rsidP="00681AA1">
            <w:pPr>
              <w:rPr>
                <w:rStyle w:val="SCCReasonsTitleChar"/>
                <w:rFonts w:eastAsia="Times New Roman" w:cs="Times New Roman"/>
                <w:bCs/>
                <w:smallCaps/>
                <w:color w:val="000000"/>
              </w:rPr>
            </w:pPr>
            <w:r>
              <w:rPr>
                <w:rStyle w:val="SCCReasonsTitleChar"/>
                <w:smallCaps/>
              </w:rPr>
              <w:t>Dissidence</w:t>
            </w:r>
            <w:r w:rsidR="00C558AA">
              <w:rPr>
                <w:rStyle w:val="SCCReasonsTitleChar"/>
                <w:smallCaps/>
              </w:rPr>
              <w:t> :</w:t>
            </w:r>
          </w:p>
        </w:tc>
        <w:tc>
          <w:tcPr>
            <w:tcW w:w="3414" w:type="pct"/>
            <w:gridSpan w:val="3"/>
            <w:vAlign w:val="center"/>
          </w:tcPr>
          <w:p w:rsidR="00C558AA" w:rsidRDefault="00526C57" w:rsidP="00526C57">
            <w:r>
              <w:t>L</w:t>
            </w:r>
            <w:r w:rsidR="00C6115D">
              <w:t xml:space="preserve">es juges </w:t>
            </w:r>
            <w:r>
              <w:t xml:space="preserve">Karakatsanis </w:t>
            </w:r>
            <w:r w:rsidR="00C6115D">
              <w:t>et Martin</w:t>
            </w:r>
          </w:p>
        </w:tc>
      </w:tr>
      <w:tr w:rsidR="00C558AA" w:rsidRPr="001E12E2" w:rsidTr="00F84A87">
        <w:tblPrEx>
          <w:tblCellMar>
            <w:top w:w="58" w:type="dxa"/>
            <w:left w:w="58" w:type="dxa"/>
            <w:bottom w:w="58" w:type="dxa"/>
            <w:right w:w="58" w:type="dxa"/>
          </w:tblCellMar>
        </w:tblPrEx>
        <w:trPr>
          <w:cantSplit/>
          <w:trHeight w:val="504"/>
        </w:trPr>
        <w:tc>
          <w:tcPr>
            <w:tcW w:w="5000" w:type="pct"/>
            <w:gridSpan w:val="4"/>
          </w:tcPr>
          <w:p w:rsidR="00C558AA" w:rsidRPr="005362B9" w:rsidRDefault="00C558AA" w:rsidP="00E310A9">
            <w:pPr>
              <w:jc w:val="both"/>
              <w:rPr>
                <w:rFonts w:eastAsia="Times New Roman" w:cs="Times New Roman"/>
                <w:color w:val="000000"/>
                <w:sz w:val="27"/>
                <w:szCs w:val="27"/>
              </w:rPr>
            </w:pPr>
            <w:r w:rsidRPr="005362B9">
              <w:rPr>
                <w:rFonts w:eastAsia="Times New Roman" w:cs="Times New Roman"/>
                <w:b/>
                <w:bCs/>
                <w:smallCaps/>
                <w:color w:val="000000"/>
                <w:szCs w:val="27"/>
              </w:rPr>
              <w:t>Avocats </w:t>
            </w:r>
            <w:r w:rsidRPr="005362B9">
              <w:rPr>
                <w:rFonts w:eastAsia="Times New Roman" w:cs="Times New Roman"/>
                <w:b/>
                <w:bCs/>
                <w:smallCaps/>
                <w:color w:val="000000"/>
                <w:sz w:val="27"/>
                <w:szCs w:val="27"/>
              </w:rPr>
              <w:t>:</w:t>
            </w:r>
          </w:p>
          <w:p w:rsidR="00C558AA" w:rsidRPr="005362B9" w:rsidRDefault="00C558AA" w:rsidP="004269B5">
            <w:pPr>
              <w:ind w:right="842"/>
              <w:jc w:val="both"/>
              <w:rPr>
                <w:rFonts w:eastAsia="Times New Roman" w:cs="Times New Roman"/>
                <w:color w:val="000000"/>
                <w:sz w:val="27"/>
                <w:szCs w:val="27"/>
              </w:rPr>
            </w:pPr>
          </w:p>
          <w:p w:rsidR="00C558AA" w:rsidRDefault="00BE44C8" w:rsidP="009B3BDB">
            <w:r w:rsidRPr="007270B4">
              <w:rPr>
                <w:bCs/>
                <w:i/>
              </w:rPr>
              <w:t>Thomas Hynes</w:t>
            </w:r>
            <w:r>
              <w:rPr>
                <w:color w:val="000000"/>
              </w:rPr>
              <w:t xml:space="preserve"> et</w:t>
            </w:r>
            <w:r w:rsidRPr="007270B4">
              <w:rPr>
                <w:bCs/>
                <w:sz w:val="28"/>
                <w:szCs w:val="28"/>
              </w:rPr>
              <w:t xml:space="preserve"> </w:t>
            </w:r>
            <w:r w:rsidRPr="007270B4">
              <w:rPr>
                <w:bCs/>
                <w:i/>
                <w:color w:val="000000"/>
              </w:rPr>
              <w:t>Zachary Carter</w:t>
            </w:r>
            <w:r w:rsidR="00C558AA">
              <w:rPr>
                <w:color w:val="000000"/>
              </w:rPr>
              <w:t>, pour l’appelant.</w:t>
            </w:r>
          </w:p>
          <w:p w:rsidR="00C558AA" w:rsidRDefault="006458B9" w:rsidP="00681AA1">
            <w:r w:rsidRPr="007270B4">
              <w:rPr>
                <w:bCs/>
                <w:i/>
              </w:rPr>
              <w:t>Grace Hession David</w:t>
            </w:r>
            <w:r w:rsidR="00B3687B">
              <w:rPr>
                <w:color w:val="000000"/>
              </w:rPr>
              <w:t>, pour l’intimé</w:t>
            </w:r>
            <w:r w:rsidR="00BE44C8">
              <w:rPr>
                <w:color w:val="000000"/>
              </w:rPr>
              <w:t>e</w:t>
            </w:r>
            <w:r w:rsidR="00C558AA">
              <w:rPr>
                <w:color w:val="000000"/>
              </w:rPr>
              <w:t>.</w:t>
            </w:r>
          </w:p>
        </w:tc>
      </w:tr>
    </w:tbl>
    <w:p w:rsidR="00F837E7" w:rsidRDefault="00F837E7"/>
    <w:p w:rsidR="004F7322" w:rsidRDefault="004F7322" w:rsidP="004F7322"/>
    <w:p w:rsidR="00904937" w:rsidRPr="00E7577F" w:rsidRDefault="00904937">
      <w:r w:rsidRPr="00787F6E">
        <w:rPr>
          <w:b/>
          <w:smallCaps/>
        </w:rPr>
        <w:t>Note</w:t>
      </w:r>
      <w:r w:rsidR="002F0B6C" w:rsidRPr="00787F6E">
        <w:rPr>
          <w:b/>
          <w:smallCaps/>
        </w:rPr>
        <w:t> :</w:t>
      </w:r>
      <w:r w:rsidRPr="00787F6E">
        <w:rPr>
          <w:b/>
        </w:rPr>
        <w:t xml:space="preserve"> </w:t>
      </w:r>
      <w:r w:rsidR="001E12E2" w:rsidRPr="00E7577F">
        <w:t>Ce document fera l’objet de retouches de forme avant la parution</w:t>
      </w:r>
      <w:r w:rsidR="005C0397" w:rsidRPr="00E7577F">
        <w:t xml:space="preserve"> </w:t>
      </w:r>
      <w:r w:rsidR="001E12E2" w:rsidRPr="00E7577F">
        <w:t>de sa version définitive dans le</w:t>
      </w:r>
      <w:r w:rsidRPr="00E7577F">
        <w:t xml:space="preserve"> </w:t>
      </w:r>
      <w:r w:rsidR="001E12E2" w:rsidRPr="00E7577F">
        <w:rPr>
          <w:i/>
        </w:rPr>
        <w:t>Recueil des arrêts de la Cour suprême du C</w:t>
      </w:r>
      <w:r w:rsidRPr="00E7577F">
        <w:rPr>
          <w:i/>
        </w:rPr>
        <w:t>anada</w:t>
      </w:r>
      <w:r w:rsidRPr="00E7577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Tr="003375C9">
        <w:tc>
          <w:tcPr>
            <w:tcW w:w="1500" w:type="pct"/>
            <w:tcMar>
              <w:top w:w="284" w:type="dxa"/>
            </w:tcMar>
          </w:tcPr>
          <w:p w:rsidR="000D1436" w:rsidRDefault="000D1436" w:rsidP="003375C9">
            <w:pPr>
              <w:rPr>
                <w:rFonts w:eastAsia="Calibri"/>
              </w:rPr>
            </w:pPr>
          </w:p>
        </w:tc>
        <w:tc>
          <w:tcPr>
            <w:tcW w:w="2000" w:type="pct"/>
            <w:tcBorders>
              <w:bottom w:val="single" w:sz="4" w:space="0" w:color="auto"/>
            </w:tcBorders>
            <w:tcMar>
              <w:top w:w="284" w:type="dxa"/>
            </w:tcMar>
          </w:tcPr>
          <w:p w:rsidR="000D1436" w:rsidRDefault="000D1436" w:rsidP="003375C9">
            <w:pPr>
              <w:rPr>
                <w:rFonts w:eastAsia="Calibri"/>
              </w:rPr>
            </w:pPr>
          </w:p>
        </w:tc>
        <w:tc>
          <w:tcPr>
            <w:tcW w:w="1500" w:type="pct"/>
            <w:tcMar>
              <w:top w:w="284" w:type="dxa"/>
            </w:tcMar>
          </w:tcPr>
          <w:p w:rsidR="000D1436" w:rsidRDefault="000D1436" w:rsidP="003375C9">
            <w:pPr>
              <w:rPr>
                <w:rFonts w:eastAsia="Calibri"/>
              </w:rPr>
            </w:pPr>
          </w:p>
        </w:tc>
      </w:tr>
    </w:tbl>
    <w:p w:rsidR="00F84A87" w:rsidRDefault="00F84A87" w:rsidP="003B7E58"/>
    <w:p w:rsidR="00DB24A1" w:rsidRPr="00DB24A1" w:rsidRDefault="00DB24A1" w:rsidP="00DB24A1">
      <w:pPr>
        <w:tabs>
          <w:tab w:val="right" w:pos="8222"/>
        </w:tabs>
        <w:spacing w:after="720"/>
        <w:rPr>
          <w:rFonts w:eastAsia="Times New Roman" w:cs="Times New Roman"/>
          <w:b/>
          <w:szCs w:val="20"/>
          <w:lang w:eastAsia="en-CA"/>
        </w:rPr>
      </w:pPr>
      <w:r w:rsidRPr="00DB24A1">
        <w:rPr>
          <w:rFonts w:eastAsia="Times New Roman" w:cs="Times New Roman"/>
          <w:b/>
          <w:szCs w:val="20"/>
          <w:lang w:eastAsia="en-CA"/>
        </w:rPr>
        <w:t>Jacob Charles Badger</w:t>
      </w:r>
      <w:r w:rsidRPr="00DB24A1">
        <w:rPr>
          <w:rFonts w:eastAsia="Times New Roman" w:cs="Times New Roman"/>
          <w:i/>
          <w:szCs w:val="20"/>
          <w:lang w:eastAsia="en-CA"/>
        </w:rPr>
        <w:tab/>
        <w:t>Appelant</w:t>
      </w:r>
    </w:p>
    <w:p w:rsidR="00DB24A1" w:rsidRPr="00DB24A1" w:rsidRDefault="00DB24A1" w:rsidP="00DB24A1">
      <w:pPr>
        <w:spacing w:after="720"/>
        <w:rPr>
          <w:rFonts w:eastAsia="Times New Roman" w:cs="Times New Roman"/>
          <w:i/>
          <w:szCs w:val="20"/>
          <w:lang w:eastAsia="en-CA"/>
        </w:rPr>
      </w:pPr>
      <w:r w:rsidRPr="00DB24A1">
        <w:rPr>
          <w:rFonts w:eastAsia="Times New Roman" w:cs="Times New Roman"/>
          <w:i/>
          <w:szCs w:val="20"/>
          <w:lang w:eastAsia="en-CA"/>
        </w:rPr>
        <w:t>c.</w:t>
      </w:r>
    </w:p>
    <w:p w:rsidR="00DB24A1" w:rsidRPr="00DB24A1" w:rsidRDefault="00DB24A1" w:rsidP="00DB24A1">
      <w:pPr>
        <w:tabs>
          <w:tab w:val="right" w:pos="8222"/>
        </w:tabs>
        <w:spacing w:after="720"/>
        <w:rPr>
          <w:rFonts w:eastAsia="Times New Roman" w:cs="Times New Roman"/>
          <w:b/>
          <w:szCs w:val="20"/>
          <w:lang w:eastAsia="en-CA"/>
        </w:rPr>
      </w:pPr>
      <w:r w:rsidRPr="00DB24A1">
        <w:rPr>
          <w:rFonts w:eastAsia="Times New Roman" w:cs="Times New Roman"/>
          <w:b/>
          <w:szCs w:val="20"/>
          <w:lang w:eastAsia="en-CA"/>
        </w:rPr>
        <w:t>Sa Majesté la Reine</w:t>
      </w:r>
      <w:r w:rsidRPr="00DB24A1">
        <w:rPr>
          <w:rFonts w:eastAsia="Times New Roman" w:cs="Times New Roman"/>
          <w:i/>
          <w:szCs w:val="20"/>
          <w:lang w:eastAsia="en-CA"/>
        </w:rPr>
        <w:tab/>
        <w:t>Intimée</w:t>
      </w:r>
    </w:p>
    <w:p w:rsidR="00DB24A1" w:rsidRPr="00DB24A1" w:rsidRDefault="00DB24A1" w:rsidP="00DB24A1">
      <w:pPr>
        <w:spacing w:after="720"/>
        <w:jc w:val="both"/>
        <w:rPr>
          <w:rFonts w:eastAsia="Times New Roman" w:cs="Times New Roman"/>
          <w:b/>
          <w:szCs w:val="20"/>
          <w:lang w:eastAsia="en-CA"/>
        </w:rPr>
      </w:pPr>
      <w:r w:rsidRPr="00DB24A1">
        <w:rPr>
          <w:rFonts w:eastAsia="Times New Roman" w:cs="Times New Roman"/>
          <w:b/>
          <w:szCs w:val="20"/>
          <w:lang w:eastAsia="en-CA"/>
        </w:rPr>
        <w:t xml:space="preserve">Répertorié : R. </w:t>
      </w:r>
      <w:r w:rsidRPr="00DB24A1">
        <w:rPr>
          <w:rFonts w:eastAsia="Times New Roman" w:cs="Times New Roman"/>
          <w:b/>
          <w:i/>
          <w:szCs w:val="20"/>
          <w:lang w:eastAsia="en-CA"/>
        </w:rPr>
        <w:t>c.</w:t>
      </w:r>
      <w:r w:rsidRPr="00DB24A1">
        <w:rPr>
          <w:rFonts w:eastAsia="Times New Roman" w:cs="Times New Roman"/>
          <w:b/>
          <w:szCs w:val="20"/>
          <w:lang w:eastAsia="en-CA"/>
        </w:rPr>
        <w:t xml:space="preserve"> Badger</w:t>
      </w:r>
    </w:p>
    <w:p w:rsidR="00DB24A1" w:rsidRPr="00DB24A1" w:rsidRDefault="00DB24A1" w:rsidP="00DB24A1">
      <w:pPr>
        <w:spacing w:after="720"/>
        <w:jc w:val="both"/>
        <w:rPr>
          <w:rFonts w:eastAsia="Times New Roman" w:cs="Times New Roman"/>
          <w:b/>
          <w:szCs w:val="20"/>
          <w:lang w:eastAsia="en-CA"/>
        </w:rPr>
      </w:pPr>
      <w:r w:rsidRPr="00DB24A1">
        <w:rPr>
          <w:rFonts w:eastAsia="Times New Roman" w:cs="Times New Roman"/>
          <w:b/>
          <w:szCs w:val="20"/>
          <w:lang w:eastAsia="en-CA"/>
        </w:rPr>
        <w:t>2022 CSC 20</w:t>
      </w:r>
    </w:p>
    <w:p w:rsidR="00DB24A1" w:rsidRPr="00DB24A1" w:rsidRDefault="00DB24A1" w:rsidP="00DB24A1">
      <w:pPr>
        <w:spacing w:after="720"/>
        <w:jc w:val="both"/>
        <w:rPr>
          <w:rFonts w:eastAsia="Times New Roman" w:cs="Times New Roman"/>
          <w:szCs w:val="20"/>
          <w:lang w:eastAsia="en-CA"/>
        </w:rPr>
      </w:pPr>
      <w:r w:rsidRPr="00DB24A1">
        <w:rPr>
          <w:rFonts w:eastAsia="Times New Roman" w:cs="Times New Roman"/>
          <w:szCs w:val="20"/>
          <w:lang w:eastAsia="en-CA"/>
        </w:rPr>
        <w:t>N</w:t>
      </w:r>
      <w:r w:rsidRPr="00DB24A1">
        <w:rPr>
          <w:rFonts w:eastAsia="Times New Roman" w:cs="Times New Roman"/>
          <w:szCs w:val="20"/>
          <w:vertAlign w:val="superscript"/>
          <w:lang w:eastAsia="en-CA"/>
        </w:rPr>
        <w:t>o</w:t>
      </w:r>
      <w:r w:rsidRPr="00DB24A1">
        <w:rPr>
          <w:rFonts w:eastAsia="Times New Roman" w:cs="Times New Roman"/>
          <w:szCs w:val="20"/>
          <w:lang w:eastAsia="en-CA"/>
        </w:rPr>
        <w:t xml:space="preserve"> du greffe : 39844.</w:t>
      </w:r>
    </w:p>
    <w:p w:rsidR="00DB24A1" w:rsidRPr="00DB24A1" w:rsidRDefault="00DB24A1" w:rsidP="00DB24A1">
      <w:pPr>
        <w:spacing w:after="720"/>
        <w:jc w:val="both"/>
        <w:rPr>
          <w:rFonts w:eastAsia="Times New Roman" w:cs="Times New Roman"/>
          <w:szCs w:val="20"/>
          <w:lang w:eastAsia="en-CA"/>
        </w:rPr>
      </w:pPr>
      <w:r w:rsidRPr="00DB24A1">
        <w:rPr>
          <w:rFonts w:eastAsia="Times New Roman" w:cs="Times New Roman"/>
          <w:szCs w:val="20"/>
          <w:lang w:eastAsia="en-CA"/>
        </w:rPr>
        <w:t>2022 : 16 mai.</w:t>
      </w:r>
    </w:p>
    <w:p w:rsidR="00DB24A1" w:rsidRPr="00DB24A1" w:rsidRDefault="00DB24A1" w:rsidP="00DB24A1">
      <w:pPr>
        <w:spacing w:after="720"/>
        <w:jc w:val="both"/>
        <w:rPr>
          <w:rFonts w:eastAsia="Times New Roman" w:cs="Times New Roman"/>
          <w:szCs w:val="20"/>
          <w:lang w:eastAsia="en-CA"/>
        </w:rPr>
      </w:pPr>
      <w:r w:rsidRPr="00DB24A1">
        <w:rPr>
          <w:rFonts w:eastAsia="Times New Roman" w:cs="Times New Roman"/>
          <w:szCs w:val="20"/>
          <w:lang w:eastAsia="en-CA"/>
        </w:rPr>
        <w:t>Présents : Les juges Moldaver, Karakatsanis, Côté, Brown et Martin.</w:t>
      </w:r>
    </w:p>
    <w:p w:rsidR="00DB24A1" w:rsidRPr="00DB24A1" w:rsidRDefault="00DB24A1" w:rsidP="00DB24A1">
      <w:pPr>
        <w:spacing w:after="720"/>
        <w:jc w:val="both"/>
        <w:rPr>
          <w:rFonts w:eastAsia="Times New Roman" w:cs="Times New Roman"/>
          <w:smallCaps/>
          <w:szCs w:val="20"/>
          <w:lang w:eastAsia="en-CA"/>
        </w:rPr>
      </w:pPr>
      <w:r w:rsidRPr="00DB24A1">
        <w:rPr>
          <w:rFonts w:eastAsia="Times New Roman" w:cs="Times New Roman"/>
          <w:smallCaps/>
          <w:szCs w:val="20"/>
          <w:lang w:eastAsia="en-CA"/>
        </w:rPr>
        <w:t>en appel de la cour d’appel de la saskatchewan</w:t>
      </w:r>
    </w:p>
    <w:p w:rsidR="00DB24A1" w:rsidRPr="00DB24A1" w:rsidRDefault="00DB24A1" w:rsidP="00DB24A1">
      <w:pPr>
        <w:tabs>
          <w:tab w:val="left" w:pos="1168"/>
        </w:tabs>
        <w:spacing w:after="480" w:line="480" w:lineRule="auto"/>
        <w:jc w:val="both"/>
        <w:rPr>
          <w:rFonts w:eastAsia="Times New Roman" w:cs="Times New Roman"/>
          <w:szCs w:val="20"/>
          <w:lang w:eastAsia="en-CA"/>
        </w:rPr>
      </w:pPr>
      <w:r w:rsidRPr="00DB24A1">
        <w:rPr>
          <w:rFonts w:eastAsia="Times New Roman" w:cs="Times New Roman"/>
          <w:szCs w:val="20"/>
          <w:lang w:eastAsia="en-CA"/>
        </w:rPr>
        <w:tab/>
      </w:r>
      <w:r w:rsidRPr="00DB24A1">
        <w:rPr>
          <w:rFonts w:eastAsia="Times New Roman" w:cs="Times New Roman"/>
          <w:i/>
          <w:szCs w:val="20"/>
          <w:lang w:eastAsia="en-CA"/>
        </w:rPr>
        <w:t>Droit criminel — Preuve — Déclarations spontanées — Alibi — Identification — Accusé déclaré coupable de voies de fait graves au procès — Appel formé par l’accusé contre la déclaration de culpabilité au motif que le juge du procès a fait erreur en admettant la preuve de déclarations spontanées, en appréciant la preuve d’alibi et en appréciant la preuve d’identification — Appel rejeté à la majorité par la Cour d’appel — Conclusion du juge dissident portant que le juge du procès n’a pas analysé la preuve d’identification comme le droit l’exige — Déclaration de culpabilité confirmée.</w:t>
      </w:r>
    </w:p>
    <w:p w:rsidR="00DB24A1" w:rsidRPr="00DB24A1" w:rsidRDefault="00DB24A1" w:rsidP="00DB24A1">
      <w:pPr>
        <w:tabs>
          <w:tab w:val="left" w:pos="1168"/>
        </w:tabs>
        <w:spacing w:after="480" w:line="480" w:lineRule="auto"/>
        <w:jc w:val="both"/>
        <w:rPr>
          <w:rFonts w:eastAsia="Times New Roman" w:cs="Times New Roman"/>
          <w:szCs w:val="20"/>
          <w:lang w:eastAsia="en-CA"/>
        </w:rPr>
      </w:pPr>
      <w:r w:rsidRPr="00DB24A1">
        <w:rPr>
          <w:rFonts w:eastAsia="Times New Roman" w:cs="Times New Roman"/>
          <w:szCs w:val="20"/>
          <w:lang w:eastAsia="en-CA"/>
        </w:rPr>
        <w:tab/>
        <w:t xml:space="preserve">POURVOI contre un arrêt de la Cour d’appel de la Saskatchewan (les juges Caldwell, Tholl et Kalmakoff), </w:t>
      </w:r>
      <w:hyperlink r:id="rId8" w:history="1">
        <w:r w:rsidRPr="00DB24A1">
          <w:rPr>
            <w:rFonts w:eastAsia="Times New Roman" w:cs="Times New Roman"/>
            <w:color w:val="660000"/>
            <w:szCs w:val="20"/>
            <w:lang w:eastAsia="en-CA"/>
          </w:rPr>
          <w:t>2021 SKCA 118</w:t>
        </w:r>
      </w:hyperlink>
      <w:r w:rsidRPr="00DB24A1">
        <w:rPr>
          <w:rFonts w:eastAsia="Times New Roman" w:cs="Times New Roman"/>
          <w:szCs w:val="20"/>
          <w:lang w:eastAsia="en-CA"/>
        </w:rPr>
        <w:t xml:space="preserve">, 406 C.C.C. (3d) 459, 468 D.L.R. (4th) 610, [2022] 1 W.W.R. 600, </w:t>
      </w:r>
      <w:r w:rsidRPr="00DB24A1">
        <w:rPr>
          <w:rFonts w:eastAsia="Times New Roman" w:cs="Times New Roman"/>
          <w:bCs/>
          <w:szCs w:val="20"/>
          <w:lang w:eastAsia="en-CA"/>
        </w:rPr>
        <w:t>[2021] S.J. No. 382</w:t>
      </w:r>
      <w:r w:rsidRPr="00DB24A1">
        <w:rPr>
          <w:rFonts w:eastAsia="Times New Roman" w:cs="Times New Roman"/>
          <w:szCs w:val="20"/>
          <w:lang w:eastAsia="en-CA"/>
        </w:rPr>
        <w:t xml:space="preserve"> (QL), 2021 CarswellSask 514 (WL), qui a confirmé la déclaration de culpabilité prononcée par le juge Hinds de la Cour provinciale, 2019 SKPC 65, [2019] S.J. No. 457 (QL), 2019 CarswellSask 599 (WL). Pourvoi rejeté, les juges Karakatsanis et Martin sont dissidentes.</w:t>
      </w:r>
    </w:p>
    <w:p w:rsidR="00DB24A1" w:rsidRPr="00DB24A1" w:rsidRDefault="00DB24A1" w:rsidP="00DB24A1">
      <w:pPr>
        <w:tabs>
          <w:tab w:val="left" w:pos="1168"/>
        </w:tabs>
        <w:spacing w:after="480" w:line="480" w:lineRule="auto"/>
        <w:jc w:val="both"/>
        <w:rPr>
          <w:rFonts w:eastAsia="Times New Roman" w:cs="Times New Roman"/>
          <w:szCs w:val="20"/>
          <w:lang w:eastAsia="en-CA"/>
        </w:rPr>
      </w:pPr>
      <w:r w:rsidRPr="00DB24A1">
        <w:rPr>
          <w:rFonts w:eastAsia="Times New Roman" w:cs="Times New Roman"/>
          <w:i/>
          <w:szCs w:val="20"/>
          <w:lang w:eastAsia="en-CA"/>
        </w:rPr>
        <w:tab/>
        <w:t>Thomas Hynes</w:t>
      </w:r>
      <w:r w:rsidRPr="00DB24A1">
        <w:rPr>
          <w:rFonts w:eastAsia="Times New Roman" w:cs="Times New Roman"/>
          <w:szCs w:val="20"/>
          <w:lang w:eastAsia="en-CA"/>
        </w:rPr>
        <w:t xml:space="preserve"> et </w:t>
      </w:r>
      <w:r w:rsidRPr="00DB24A1">
        <w:rPr>
          <w:rFonts w:eastAsia="Times New Roman" w:cs="Times New Roman"/>
          <w:i/>
          <w:szCs w:val="20"/>
          <w:lang w:eastAsia="en-CA"/>
        </w:rPr>
        <w:t>Zachary Carter</w:t>
      </w:r>
      <w:r w:rsidRPr="00DB24A1">
        <w:rPr>
          <w:rFonts w:eastAsia="Times New Roman" w:cs="Times New Roman"/>
          <w:szCs w:val="20"/>
          <w:lang w:eastAsia="en-CA"/>
        </w:rPr>
        <w:t>, pour l’appelant.</w:t>
      </w:r>
    </w:p>
    <w:p w:rsidR="00DB24A1" w:rsidRPr="00DB24A1" w:rsidRDefault="00DB24A1" w:rsidP="00DB24A1">
      <w:pPr>
        <w:tabs>
          <w:tab w:val="left" w:pos="1168"/>
        </w:tabs>
        <w:spacing w:after="480" w:line="480" w:lineRule="auto"/>
        <w:jc w:val="both"/>
        <w:rPr>
          <w:rFonts w:eastAsia="Times New Roman" w:cs="Times New Roman"/>
          <w:szCs w:val="20"/>
          <w:lang w:eastAsia="en-CA"/>
        </w:rPr>
      </w:pPr>
      <w:r w:rsidRPr="00DB24A1">
        <w:rPr>
          <w:rFonts w:eastAsia="Times New Roman" w:cs="Times New Roman"/>
          <w:i/>
          <w:szCs w:val="20"/>
          <w:lang w:eastAsia="en-CA"/>
        </w:rPr>
        <w:tab/>
        <w:t>Grace Hession David</w:t>
      </w:r>
      <w:r w:rsidRPr="00DB24A1">
        <w:rPr>
          <w:rFonts w:eastAsia="Times New Roman" w:cs="Times New Roman"/>
          <w:szCs w:val="20"/>
          <w:lang w:eastAsia="en-CA"/>
        </w:rPr>
        <w:t>, pour l’intimée.</w:t>
      </w:r>
    </w:p>
    <w:p w:rsidR="00DB24A1" w:rsidRPr="00DB24A1" w:rsidRDefault="00DB24A1" w:rsidP="00DB24A1">
      <w:pPr>
        <w:tabs>
          <w:tab w:val="left" w:pos="1168"/>
        </w:tabs>
        <w:spacing w:after="480" w:line="480" w:lineRule="auto"/>
        <w:jc w:val="both"/>
        <w:rPr>
          <w:rFonts w:eastAsia="Times New Roman" w:cs="Times New Roman"/>
          <w:szCs w:val="20"/>
          <w:lang w:eastAsia="en-CA"/>
        </w:rPr>
      </w:pPr>
      <w:r w:rsidRPr="00DB24A1">
        <w:rPr>
          <w:rFonts w:eastAsia="Times New Roman" w:cs="Times New Roman"/>
          <w:szCs w:val="20"/>
          <w:lang w:eastAsia="en-CA"/>
        </w:rPr>
        <w:tab/>
        <w:t>Version française du jugement de la Cour rendu oralement par</w:t>
      </w:r>
    </w:p>
    <w:p w:rsidR="00DB24A1" w:rsidRPr="00DB24A1" w:rsidRDefault="00DB24A1" w:rsidP="00DB24A1">
      <w:pPr>
        <w:tabs>
          <w:tab w:val="left" w:pos="1168"/>
        </w:tabs>
        <w:spacing w:after="480" w:line="480" w:lineRule="auto"/>
        <w:jc w:val="both"/>
        <w:rPr>
          <w:rFonts w:eastAsia="Times New Roman" w:cs="Times New Roman"/>
          <w:szCs w:val="20"/>
          <w:lang w:eastAsia="en-CA"/>
        </w:rPr>
      </w:pPr>
      <w:r w:rsidRPr="00DB24A1">
        <w:rPr>
          <w:rFonts w:eastAsia="Times New Roman" w:cs="Times New Roman"/>
          <w:szCs w:val="20"/>
          <w:lang w:eastAsia="en-CA"/>
        </w:rPr>
        <w:t>[1]</w:t>
      </w:r>
      <w:r w:rsidRPr="00DB24A1">
        <w:rPr>
          <w:rFonts w:eastAsia="Times New Roman" w:cs="Times New Roman"/>
          <w:szCs w:val="20"/>
          <w:lang w:eastAsia="en-CA"/>
        </w:rPr>
        <w:tab/>
      </w:r>
      <w:r w:rsidRPr="00DB24A1">
        <w:rPr>
          <w:rFonts w:eastAsia="Times New Roman" w:cs="Times New Roman"/>
          <w:smallCaps/>
          <w:szCs w:val="20"/>
          <w:lang w:eastAsia="en-CA"/>
        </w:rPr>
        <w:t>Le juge Moldaver</w:t>
      </w:r>
      <w:r w:rsidRPr="00DB24A1">
        <w:rPr>
          <w:rFonts w:eastAsia="Times New Roman" w:cs="Times New Roman"/>
          <w:szCs w:val="20"/>
          <w:lang w:eastAsia="en-CA"/>
        </w:rPr>
        <w:t xml:space="preserve"> — La Cour, à la majorité, est d’avis de rejeter l’appel, essentiellement pour les motifs exposés par les juges majoritaires de la Cour d’appel de la Saskatchewan. Les juges Karakatsanis et Martin auraient accueilli l’appel, principalement pour les motifs du juge dissident de la Cour d’appel.</w:t>
      </w:r>
    </w:p>
    <w:p w:rsidR="00DB24A1" w:rsidRPr="00DB24A1" w:rsidRDefault="00DB24A1" w:rsidP="00DB24A1">
      <w:pPr>
        <w:tabs>
          <w:tab w:val="left" w:pos="1168"/>
        </w:tabs>
        <w:spacing w:after="480" w:line="480" w:lineRule="auto"/>
        <w:jc w:val="both"/>
        <w:rPr>
          <w:rFonts w:eastAsia="Times New Roman" w:cs="Times New Roman"/>
          <w:i/>
          <w:szCs w:val="20"/>
          <w:lang w:eastAsia="en-CA"/>
        </w:rPr>
      </w:pPr>
      <w:r w:rsidRPr="00DB24A1">
        <w:rPr>
          <w:rFonts w:eastAsia="Times New Roman" w:cs="Times New Roman"/>
          <w:szCs w:val="20"/>
          <w:lang w:eastAsia="en-CA"/>
        </w:rPr>
        <w:tab/>
      </w:r>
      <w:r w:rsidRPr="00DB24A1">
        <w:rPr>
          <w:rFonts w:eastAsia="Times New Roman" w:cs="Times New Roman"/>
          <w:i/>
          <w:szCs w:val="20"/>
          <w:lang w:eastAsia="en-CA"/>
        </w:rPr>
        <w:t>Jugement en conséquence.</w:t>
      </w:r>
    </w:p>
    <w:p w:rsidR="00DB24A1" w:rsidRPr="00DB24A1" w:rsidRDefault="00DB24A1" w:rsidP="00DB24A1">
      <w:pPr>
        <w:tabs>
          <w:tab w:val="left" w:pos="1168"/>
        </w:tabs>
        <w:spacing w:after="480" w:line="480" w:lineRule="auto"/>
        <w:jc w:val="both"/>
        <w:rPr>
          <w:rFonts w:eastAsia="Times New Roman" w:cs="Times New Roman"/>
          <w:i/>
          <w:szCs w:val="20"/>
          <w:lang w:eastAsia="en-CA"/>
        </w:rPr>
      </w:pPr>
      <w:r w:rsidRPr="00DB24A1">
        <w:rPr>
          <w:rFonts w:eastAsia="Times New Roman" w:cs="Times New Roman"/>
          <w:i/>
          <w:szCs w:val="20"/>
          <w:lang w:eastAsia="en-CA"/>
        </w:rPr>
        <w:tab/>
        <w:t>Procureurs de l’appelant : Pfefferle Law Office, Saskatoon.</w:t>
      </w:r>
    </w:p>
    <w:p w:rsidR="00DB24A1" w:rsidRPr="00DB24A1" w:rsidRDefault="00DB24A1" w:rsidP="00DB24A1">
      <w:pPr>
        <w:tabs>
          <w:tab w:val="left" w:pos="1168"/>
        </w:tabs>
        <w:spacing w:after="480" w:line="480" w:lineRule="auto"/>
        <w:jc w:val="both"/>
        <w:rPr>
          <w:rFonts w:eastAsia="Times New Roman" w:cs="Times New Roman"/>
          <w:i/>
          <w:szCs w:val="20"/>
          <w:lang w:eastAsia="en-CA"/>
        </w:rPr>
      </w:pPr>
      <w:r w:rsidRPr="00DB24A1">
        <w:rPr>
          <w:rFonts w:eastAsia="Times New Roman" w:cs="Times New Roman"/>
          <w:i/>
          <w:szCs w:val="20"/>
          <w:lang w:eastAsia="en-CA"/>
        </w:rPr>
        <w:tab/>
        <w:t>Procureur de l’intimée : Procureur général de la Saskatchewan, Regina.</w:t>
      </w:r>
    </w:p>
    <w:p w:rsidR="00DB24A1" w:rsidRPr="001E12E2" w:rsidRDefault="00DB24A1" w:rsidP="00DB24A1">
      <w:bookmarkStart w:id="0" w:name="_GoBack"/>
      <w:bookmarkEnd w:id="0"/>
    </w:p>
    <w:sectPr w:rsidR="00DB24A1" w:rsidRPr="001E12E2"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87A25"/>
    <w:rsid w:val="000D1436"/>
    <w:rsid w:val="000F4467"/>
    <w:rsid w:val="00100074"/>
    <w:rsid w:val="001311DA"/>
    <w:rsid w:val="00177E57"/>
    <w:rsid w:val="00196882"/>
    <w:rsid w:val="001A2CF8"/>
    <w:rsid w:val="001D6B8C"/>
    <w:rsid w:val="001E12E2"/>
    <w:rsid w:val="001E5B5A"/>
    <w:rsid w:val="001F1F83"/>
    <w:rsid w:val="00256B56"/>
    <w:rsid w:val="00257AEE"/>
    <w:rsid w:val="0028675F"/>
    <w:rsid w:val="0029156B"/>
    <w:rsid w:val="002F0B6C"/>
    <w:rsid w:val="00355967"/>
    <w:rsid w:val="0036772A"/>
    <w:rsid w:val="00384384"/>
    <w:rsid w:val="003B2BE1"/>
    <w:rsid w:val="003B3C63"/>
    <w:rsid w:val="003B7306"/>
    <w:rsid w:val="003B7E58"/>
    <w:rsid w:val="00423C0D"/>
    <w:rsid w:val="004269B5"/>
    <w:rsid w:val="00441F00"/>
    <w:rsid w:val="00442C2D"/>
    <w:rsid w:val="00460AFC"/>
    <w:rsid w:val="00467372"/>
    <w:rsid w:val="004B6D25"/>
    <w:rsid w:val="004E69EC"/>
    <w:rsid w:val="004F090E"/>
    <w:rsid w:val="004F7322"/>
    <w:rsid w:val="00526C57"/>
    <w:rsid w:val="00534077"/>
    <w:rsid w:val="00535189"/>
    <w:rsid w:val="005362B9"/>
    <w:rsid w:val="00555757"/>
    <w:rsid w:val="00582136"/>
    <w:rsid w:val="0058383C"/>
    <w:rsid w:val="005C0397"/>
    <w:rsid w:val="005D5624"/>
    <w:rsid w:val="006034F1"/>
    <w:rsid w:val="006458B9"/>
    <w:rsid w:val="00662FAF"/>
    <w:rsid w:val="00681AA1"/>
    <w:rsid w:val="006936F1"/>
    <w:rsid w:val="006D697E"/>
    <w:rsid w:val="006F575B"/>
    <w:rsid w:val="00701ABD"/>
    <w:rsid w:val="007270B4"/>
    <w:rsid w:val="00745E96"/>
    <w:rsid w:val="007740CA"/>
    <w:rsid w:val="00787F6E"/>
    <w:rsid w:val="008029A6"/>
    <w:rsid w:val="008029AC"/>
    <w:rsid w:val="00803557"/>
    <w:rsid w:val="008215C3"/>
    <w:rsid w:val="00842677"/>
    <w:rsid w:val="008521D5"/>
    <w:rsid w:val="00862FA4"/>
    <w:rsid w:val="00865B58"/>
    <w:rsid w:val="008714CB"/>
    <w:rsid w:val="00880B14"/>
    <w:rsid w:val="00892EB0"/>
    <w:rsid w:val="008B5797"/>
    <w:rsid w:val="008C75A4"/>
    <w:rsid w:val="008F4691"/>
    <w:rsid w:val="00904937"/>
    <w:rsid w:val="00996510"/>
    <w:rsid w:val="009B3BDB"/>
    <w:rsid w:val="009F0F2D"/>
    <w:rsid w:val="00A51442"/>
    <w:rsid w:val="00A51D10"/>
    <w:rsid w:val="00A83900"/>
    <w:rsid w:val="00A863F7"/>
    <w:rsid w:val="00AB2201"/>
    <w:rsid w:val="00AC5432"/>
    <w:rsid w:val="00B11552"/>
    <w:rsid w:val="00B3687B"/>
    <w:rsid w:val="00B97552"/>
    <w:rsid w:val="00BD4217"/>
    <w:rsid w:val="00BE44C8"/>
    <w:rsid w:val="00C34313"/>
    <w:rsid w:val="00C558AA"/>
    <w:rsid w:val="00C6115D"/>
    <w:rsid w:val="00CA3730"/>
    <w:rsid w:val="00CE458D"/>
    <w:rsid w:val="00D030DA"/>
    <w:rsid w:val="00D056AE"/>
    <w:rsid w:val="00D07EED"/>
    <w:rsid w:val="00D4443A"/>
    <w:rsid w:val="00D5237B"/>
    <w:rsid w:val="00D751FC"/>
    <w:rsid w:val="00D76BDF"/>
    <w:rsid w:val="00D81A6B"/>
    <w:rsid w:val="00D854F6"/>
    <w:rsid w:val="00DA02B8"/>
    <w:rsid w:val="00DB24A1"/>
    <w:rsid w:val="00E310A9"/>
    <w:rsid w:val="00E356C7"/>
    <w:rsid w:val="00E53ED9"/>
    <w:rsid w:val="00E56CF3"/>
    <w:rsid w:val="00E64FA7"/>
    <w:rsid w:val="00E7577F"/>
    <w:rsid w:val="00E770CB"/>
    <w:rsid w:val="00EE2D0D"/>
    <w:rsid w:val="00F01FC5"/>
    <w:rsid w:val="00F060D9"/>
    <w:rsid w:val="00F25646"/>
    <w:rsid w:val="00F34534"/>
    <w:rsid w:val="00F72014"/>
    <w:rsid w:val="00F837E7"/>
    <w:rsid w:val="00F84A87"/>
    <w:rsid w:val="00F9518C"/>
    <w:rsid w:val="00FA4AA7"/>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character" w:styleId="Hyperlink">
    <w:name w:val="Hyperlink"/>
    <w:basedOn w:val="DefaultParagraphFont"/>
    <w:uiPriority w:val="99"/>
    <w:unhideWhenUsed/>
    <w:rsid w:val="00F84A87"/>
    <w:rPr>
      <w:color w:val="66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9389">
      <w:bodyDiv w:val="1"/>
      <w:marLeft w:val="0"/>
      <w:marRight w:val="0"/>
      <w:marTop w:val="0"/>
      <w:marBottom w:val="0"/>
      <w:divBdr>
        <w:top w:val="none" w:sz="0" w:space="0" w:color="auto"/>
        <w:left w:val="none" w:sz="0" w:space="0" w:color="auto"/>
        <w:bottom w:val="none" w:sz="0" w:space="0" w:color="auto"/>
        <w:right w:val="none" w:sz="0" w:space="0" w:color="auto"/>
      </w:divBdr>
    </w:div>
    <w:div w:id="9894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lii.ca/t/jhx3j" TargetMode="External"/><Relationship Id="rId3" Type="http://schemas.openxmlformats.org/officeDocument/2006/relationships/webSettings" Target="webSettings.xml"/><Relationship Id="rId7" Type="http://schemas.openxmlformats.org/officeDocument/2006/relationships/image" Target="cid:image001.jpg@01D72252.19B69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2274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2022-05-17T22:00:00Z</dcterms:created>
  <dcterms:modified xsi:type="dcterms:W3CDTF">2023-07-17T21:00:00Z</dcterms:modified>
</cp:coreProperties>
</file>