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1"/>
        <w:gridCol w:w="1559"/>
        <w:gridCol w:w="1415"/>
        <w:gridCol w:w="3827"/>
      </w:tblGrid>
      <w:tr w:rsidR="00423C0D" w:rsidRPr="007E2EBE" w14:paraId="10C7D22E" w14:textId="77777777" w:rsidTr="005843C1">
        <w:trPr>
          <w:trHeight w:val="1786"/>
        </w:trPr>
        <w:tc>
          <w:tcPr>
            <w:tcW w:w="5000" w:type="pct"/>
            <w:gridSpan w:val="4"/>
          </w:tcPr>
          <w:p w14:paraId="6FF81B6E" w14:textId="77777777" w:rsidR="00423C0D" w:rsidRPr="007E2EBE" w:rsidRDefault="00423C0D" w:rsidP="00A51442">
            <w:pPr>
              <w:pStyle w:val="SCCBold"/>
              <w:jc w:val="center"/>
            </w:pPr>
            <w:r w:rsidRPr="007E2EBE">
              <w:rPr>
                <w:noProof/>
                <w:lang w:eastAsia="fr-CA"/>
              </w:rPr>
              <w:drawing>
                <wp:inline distT="0" distB="0" distL="0" distR="0" wp14:anchorId="5427603A" wp14:editId="05A3655E">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C4150DC" w14:textId="77777777" w:rsidR="00423C0D" w:rsidRPr="007E2EBE" w:rsidRDefault="00423C0D" w:rsidP="009764CA">
            <w:pPr>
              <w:spacing w:before="120" w:after="100" w:afterAutospacing="1"/>
              <w:jc w:val="center"/>
              <w:rPr>
                <w:rFonts w:eastAsia="Calibri"/>
              </w:rPr>
            </w:pPr>
            <w:r w:rsidRPr="007E2EBE">
              <w:rPr>
                <w:rFonts w:eastAsia="Calibri"/>
                <w:b/>
              </w:rPr>
              <w:t>COUR SUPRÊME DU CANADA</w:t>
            </w:r>
          </w:p>
        </w:tc>
      </w:tr>
      <w:tr w:rsidR="00D056AE" w:rsidRPr="007E2EBE" w14:paraId="708C921C" w14:textId="77777777" w:rsidTr="005843C1">
        <w:tblPrEx>
          <w:tblCellMar>
            <w:top w:w="58" w:type="dxa"/>
            <w:left w:w="58" w:type="dxa"/>
            <w:bottom w:w="58" w:type="dxa"/>
            <w:right w:w="58" w:type="dxa"/>
          </w:tblCellMar>
        </w:tblPrEx>
        <w:trPr>
          <w:cantSplit/>
        </w:trPr>
        <w:tc>
          <w:tcPr>
            <w:tcW w:w="2111" w:type="pct"/>
            <w:gridSpan w:val="2"/>
          </w:tcPr>
          <w:p w14:paraId="5CD6E269" w14:textId="77777777" w:rsidR="008215C3" w:rsidRPr="007E2EBE" w:rsidRDefault="008215C3" w:rsidP="002F0B6C">
            <w:pPr>
              <w:rPr>
                <w:b/>
                <w:smallCaps/>
              </w:rPr>
            </w:pPr>
          </w:p>
          <w:p w14:paraId="3AB8BCB9" w14:textId="766B4BA1" w:rsidR="00D056AE" w:rsidRPr="007E2EBE" w:rsidRDefault="00D056AE" w:rsidP="002F0B6C">
            <w:pPr>
              <w:rPr>
                <w:b/>
                <w:smallCaps/>
              </w:rPr>
            </w:pPr>
            <w:r w:rsidRPr="007E2EBE">
              <w:rPr>
                <w:b/>
                <w:smallCaps/>
              </w:rPr>
              <w:t>Référence :</w:t>
            </w:r>
            <w:r w:rsidRPr="007E2EBE">
              <w:t xml:space="preserve"> </w:t>
            </w:r>
            <w:r w:rsidR="005843C1" w:rsidRPr="007E2EBE">
              <w:t xml:space="preserve">R. </w:t>
            </w:r>
            <w:r w:rsidR="005843C1" w:rsidRPr="007E2EBE">
              <w:rPr>
                <w:i/>
              </w:rPr>
              <w:t>c.</w:t>
            </w:r>
            <w:r w:rsidR="005843C1" w:rsidRPr="007E2EBE">
              <w:t xml:space="preserve"> </w:t>
            </w:r>
            <w:r w:rsidR="003842B3" w:rsidRPr="007E2EBE">
              <w:t>Safdar</w:t>
            </w:r>
            <w:r w:rsidR="005843C1" w:rsidRPr="007E2EBE">
              <w:t xml:space="preserve">, </w:t>
            </w:r>
            <w:r w:rsidR="00D303FB" w:rsidRPr="007E2EBE">
              <w:t xml:space="preserve">2022 CSC </w:t>
            </w:r>
            <w:r w:rsidR="003842B3" w:rsidRPr="007E2EBE">
              <w:t>21</w:t>
            </w:r>
          </w:p>
        </w:tc>
        <w:tc>
          <w:tcPr>
            <w:tcW w:w="780" w:type="pct"/>
          </w:tcPr>
          <w:p w14:paraId="5C2CD23B" w14:textId="77777777" w:rsidR="00D056AE" w:rsidRPr="007E2EBE" w:rsidRDefault="00D056AE" w:rsidP="002F0B6C"/>
        </w:tc>
        <w:tc>
          <w:tcPr>
            <w:tcW w:w="2109" w:type="pct"/>
          </w:tcPr>
          <w:p w14:paraId="3E8A1725" w14:textId="77777777" w:rsidR="00D056AE" w:rsidRPr="007E2EBE" w:rsidRDefault="00D056AE" w:rsidP="00423C0D">
            <w:pPr>
              <w:jc w:val="both"/>
              <w:rPr>
                <w:b/>
                <w:smallCaps/>
              </w:rPr>
            </w:pPr>
          </w:p>
          <w:p w14:paraId="52A6CDFE" w14:textId="6C5173CA" w:rsidR="00D056AE" w:rsidRPr="007E2EBE" w:rsidRDefault="00D056AE" w:rsidP="00423C0D">
            <w:pPr>
              <w:jc w:val="both"/>
            </w:pPr>
            <w:r w:rsidRPr="007E2EBE">
              <w:rPr>
                <w:b/>
                <w:smallCaps/>
              </w:rPr>
              <w:t>Appel entendu :</w:t>
            </w:r>
            <w:r w:rsidRPr="007E2EBE">
              <w:t xml:space="preserve"> </w:t>
            </w:r>
            <w:r w:rsidR="005843C1" w:rsidRPr="007E2EBE">
              <w:t>1</w:t>
            </w:r>
            <w:r w:rsidR="003842B3" w:rsidRPr="007E2EBE">
              <w:t>8 mai</w:t>
            </w:r>
            <w:r w:rsidR="005843C1" w:rsidRPr="007E2EBE">
              <w:t xml:space="preserve"> </w:t>
            </w:r>
            <w:r w:rsidRPr="007E2EBE">
              <w:t>2022</w:t>
            </w:r>
          </w:p>
          <w:p w14:paraId="64396429" w14:textId="473B556C" w:rsidR="00D056AE" w:rsidRPr="007E2EBE" w:rsidRDefault="00D056AE">
            <w:r w:rsidRPr="007E2EBE">
              <w:rPr>
                <w:b/>
                <w:smallCaps/>
              </w:rPr>
              <w:t>Jugement rendu :</w:t>
            </w:r>
            <w:r w:rsidRPr="007E2EBE">
              <w:t xml:space="preserve"> </w:t>
            </w:r>
            <w:r w:rsidR="003842B3" w:rsidRPr="007E2EBE">
              <w:t xml:space="preserve">18 mai </w:t>
            </w:r>
            <w:r w:rsidR="005843C1" w:rsidRPr="007E2EBE">
              <w:t>2022</w:t>
            </w:r>
          </w:p>
          <w:p w14:paraId="08C45F66" w14:textId="44F93BD9" w:rsidR="00D056AE" w:rsidRPr="007E2EBE" w:rsidRDefault="00D056AE" w:rsidP="00D303FB">
            <w:r w:rsidRPr="007E2EBE">
              <w:rPr>
                <w:b/>
                <w:smallCaps/>
              </w:rPr>
              <w:t>Dossier :</w:t>
            </w:r>
            <w:r w:rsidRPr="007E2EBE">
              <w:t xml:space="preserve"> </w:t>
            </w:r>
            <w:r w:rsidR="003842B3" w:rsidRPr="007E2EBE">
              <w:t>39629</w:t>
            </w:r>
          </w:p>
        </w:tc>
      </w:tr>
      <w:tr w:rsidR="00423C0D" w:rsidRPr="007E2EBE" w14:paraId="795EA384" w14:textId="77777777" w:rsidTr="005843C1">
        <w:tblPrEx>
          <w:tblCellMar>
            <w:top w:w="58" w:type="dxa"/>
            <w:left w:w="58" w:type="dxa"/>
            <w:bottom w:w="58" w:type="dxa"/>
            <w:right w:w="58" w:type="dxa"/>
          </w:tblCellMar>
        </w:tblPrEx>
        <w:tc>
          <w:tcPr>
            <w:tcW w:w="5000" w:type="pct"/>
            <w:gridSpan w:val="4"/>
          </w:tcPr>
          <w:p w14:paraId="5BCE3601" w14:textId="77777777" w:rsidR="00423C0D" w:rsidRPr="007E2EBE" w:rsidRDefault="00423C0D" w:rsidP="00423C0D"/>
          <w:p w14:paraId="10FAABB1" w14:textId="77777777" w:rsidR="00812BEF" w:rsidRPr="007E2EBE" w:rsidRDefault="004C6A16">
            <w:pPr>
              <w:pStyle w:val="SCCLsocPrefix"/>
            </w:pPr>
            <w:r w:rsidRPr="007E2EBE">
              <w:t>Entre</w:t>
            </w:r>
            <w:r w:rsidR="00C32389" w:rsidRPr="007E2EBE">
              <w:t> </w:t>
            </w:r>
            <w:r w:rsidRPr="007E2EBE">
              <w:t>:</w:t>
            </w:r>
          </w:p>
          <w:p w14:paraId="7B996B48" w14:textId="77777777" w:rsidR="00C32389" w:rsidRPr="007E2EBE" w:rsidRDefault="00C32389" w:rsidP="00C32389"/>
          <w:p w14:paraId="124F57C1" w14:textId="1A38B9BA" w:rsidR="00D303FB" w:rsidRPr="007E2EBE" w:rsidRDefault="003842B3" w:rsidP="00D303FB">
            <w:pPr>
              <w:pStyle w:val="SCCLsocParty"/>
            </w:pPr>
            <w:r w:rsidRPr="007E2EBE">
              <w:t>Syed Adeel Safdar</w:t>
            </w:r>
          </w:p>
          <w:p w14:paraId="1D2F5731" w14:textId="77777777" w:rsidR="00812BEF" w:rsidRPr="007E2EBE" w:rsidRDefault="005843C1">
            <w:pPr>
              <w:pStyle w:val="SCCLsocPartyRole"/>
            </w:pPr>
            <w:r w:rsidRPr="007E2EBE">
              <w:t>Appelant</w:t>
            </w:r>
          </w:p>
          <w:p w14:paraId="3C30B171" w14:textId="77777777" w:rsidR="00812BEF" w:rsidRPr="007E2EBE" w:rsidRDefault="00812BEF"/>
          <w:p w14:paraId="33141032" w14:textId="77777777" w:rsidR="00812BEF" w:rsidRPr="007E2EBE" w:rsidRDefault="005843C1">
            <w:pPr>
              <w:pStyle w:val="SCCLsocVersus"/>
            </w:pPr>
            <w:r w:rsidRPr="007E2EBE">
              <w:t>et</w:t>
            </w:r>
          </w:p>
          <w:p w14:paraId="23BE2755" w14:textId="77777777" w:rsidR="00812BEF" w:rsidRPr="007E2EBE" w:rsidRDefault="00812BEF"/>
          <w:p w14:paraId="50F7A133" w14:textId="77777777" w:rsidR="00812BEF" w:rsidRPr="007E2EBE" w:rsidRDefault="004C6A16">
            <w:pPr>
              <w:pStyle w:val="SCCLsocParty"/>
            </w:pPr>
            <w:r w:rsidRPr="007E2EBE">
              <w:t>Sa Majesté la Reine</w:t>
            </w:r>
          </w:p>
          <w:p w14:paraId="46EFF9A5" w14:textId="77777777" w:rsidR="00812BEF" w:rsidRPr="007E2EBE" w:rsidRDefault="005843C1">
            <w:pPr>
              <w:pStyle w:val="SCCLsocPartyRole"/>
            </w:pPr>
            <w:r w:rsidRPr="007E2EBE">
              <w:t>Intimée</w:t>
            </w:r>
          </w:p>
          <w:p w14:paraId="7F48F9CB" w14:textId="77777777" w:rsidR="00812BEF" w:rsidRPr="007E2EBE" w:rsidRDefault="00812BEF"/>
          <w:p w14:paraId="64D4E8AB" w14:textId="77777777" w:rsidR="00C34313" w:rsidRPr="007E2EBE" w:rsidRDefault="00C34313" w:rsidP="00423C0D"/>
          <w:p w14:paraId="56EED4D7" w14:textId="77777777" w:rsidR="00423C0D" w:rsidRPr="007E2EBE" w:rsidRDefault="00423C0D" w:rsidP="00423C0D">
            <w:pPr>
              <w:jc w:val="center"/>
              <w:rPr>
                <w:b/>
                <w:smallCaps/>
              </w:rPr>
            </w:pPr>
            <w:r w:rsidRPr="007E2EBE">
              <w:rPr>
                <w:b/>
                <w:smallCaps/>
              </w:rPr>
              <w:t>Traduction française officielle</w:t>
            </w:r>
          </w:p>
          <w:p w14:paraId="23682B73" w14:textId="77777777" w:rsidR="00423C0D" w:rsidRPr="007E2EBE" w:rsidRDefault="00423C0D" w:rsidP="00423C0D"/>
          <w:p w14:paraId="6E57B178" w14:textId="2ED618F8" w:rsidR="00423C0D" w:rsidRPr="007E2EBE" w:rsidRDefault="00423C0D" w:rsidP="00423C0D">
            <w:r w:rsidRPr="007E2EBE">
              <w:rPr>
                <w:b/>
                <w:smallCaps/>
              </w:rPr>
              <w:t>Coram :</w:t>
            </w:r>
            <w:r w:rsidRPr="007E2EBE">
              <w:t xml:space="preserve"> </w:t>
            </w:r>
            <w:r w:rsidR="003842B3" w:rsidRPr="007E2EBE">
              <w:t>Le juge en chef Wagner et les juges Brown, Rowe, Martin</w:t>
            </w:r>
            <w:r w:rsidRPr="007E2EBE">
              <w:t xml:space="preserve"> et </w:t>
            </w:r>
            <w:r w:rsidR="003842B3" w:rsidRPr="007E2EBE">
              <w:t>Jamal</w:t>
            </w:r>
          </w:p>
          <w:p w14:paraId="35402881" w14:textId="77777777" w:rsidR="00423C0D" w:rsidRPr="007E2EBE" w:rsidRDefault="00423C0D" w:rsidP="00423C0D">
            <w:pPr>
              <w:jc w:val="both"/>
              <w:rPr>
                <w:b/>
                <w:smallCaps/>
              </w:rPr>
            </w:pPr>
          </w:p>
        </w:tc>
      </w:tr>
      <w:tr w:rsidR="005843C1" w:rsidRPr="007E2EBE" w14:paraId="4AE50214" w14:textId="77777777" w:rsidTr="005843C1">
        <w:tblPrEx>
          <w:tblCellMar>
            <w:top w:w="58" w:type="dxa"/>
            <w:left w:w="58" w:type="dxa"/>
            <w:bottom w:w="58" w:type="dxa"/>
            <w:right w:w="58" w:type="dxa"/>
          </w:tblCellMar>
        </w:tblPrEx>
        <w:trPr>
          <w:cantSplit/>
        </w:trPr>
        <w:tc>
          <w:tcPr>
            <w:tcW w:w="1252" w:type="pct"/>
          </w:tcPr>
          <w:p w14:paraId="3EB40A2C" w14:textId="77777777" w:rsidR="005843C1" w:rsidRPr="007E2EBE" w:rsidRDefault="005843C1" w:rsidP="00FA0A61">
            <w:pPr>
              <w:rPr>
                <w:rFonts w:eastAsia="Times New Roman" w:cs="Times New Roman"/>
                <w:color w:val="000000"/>
                <w:szCs w:val="27"/>
              </w:rPr>
            </w:pPr>
            <w:r w:rsidRPr="007E2EBE">
              <w:rPr>
                <w:rFonts w:eastAsia="Times New Roman" w:cs="Times New Roman"/>
                <w:b/>
                <w:bCs/>
                <w:smallCaps/>
                <w:color w:val="000000"/>
                <w:szCs w:val="27"/>
              </w:rPr>
              <w:t>Jugement unanime lu par :</w:t>
            </w:r>
          </w:p>
          <w:p w14:paraId="1BF70058" w14:textId="31CD517E" w:rsidR="005843C1" w:rsidRPr="007E2EBE" w:rsidRDefault="005843C1" w:rsidP="00FA0A61">
            <w:pPr>
              <w:rPr>
                <w:rFonts w:eastAsia="Times New Roman" w:cs="Times New Roman"/>
                <w:color w:val="000000"/>
                <w:szCs w:val="27"/>
              </w:rPr>
            </w:pPr>
            <w:r w:rsidRPr="007E2EBE">
              <w:rPr>
                <w:rFonts w:eastAsia="Times New Roman" w:cs="Times New Roman"/>
                <w:color w:val="000000"/>
                <w:szCs w:val="27"/>
              </w:rPr>
              <w:t xml:space="preserve">(par. 1 à </w:t>
            </w:r>
            <w:r w:rsidR="00FE6FDE" w:rsidRPr="007E2EBE">
              <w:rPr>
                <w:rFonts w:eastAsia="Times New Roman" w:cs="Times New Roman"/>
                <w:color w:val="000000"/>
                <w:szCs w:val="27"/>
              </w:rPr>
              <w:t>6</w:t>
            </w:r>
            <w:r w:rsidRPr="007E2EBE">
              <w:rPr>
                <w:rFonts w:eastAsia="Times New Roman" w:cs="Times New Roman"/>
                <w:color w:val="000000"/>
                <w:szCs w:val="27"/>
              </w:rPr>
              <w:t>)</w:t>
            </w:r>
          </w:p>
          <w:p w14:paraId="6DD4F8F2" w14:textId="77777777" w:rsidR="005843C1" w:rsidRPr="007E2EBE" w:rsidRDefault="005843C1" w:rsidP="00FA0A61"/>
        </w:tc>
        <w:tc>
          <w:tcPr>
            <w:tcW w:w="3748" w:type="pct"/>
            <w:gridSpan w:val="3"/>
          </w:tcPr>
          <w:p w14:paraId="1E5F58F9" w14:textId="6B3938C0" w:rsidR="005843C1" w:rsidRPr="007E2EBE" w:rsidRDefault="005843C1" w:rsidP="003842B3">
            <w:r w:rsidRPr="007E2EBE">
              <w:t xml:space="preserve">Le juge </w:t>
            </w:r>
            <w:r w:rsidR="003842B3" w:rsidRPr="007E2EBE">
              <w:t>Brown</w:t>
            </w:r>
          </w:p>
        </w:tc>
      </w:tr>
    </w:tbl>
    <w:p w14:paraId="705F0F4F" w14:textId="77777777" w:rsidR="004F7322" w:rsidRPr="007E2EBE" w:rsidRDefault="004F7322" w:rsidP="004F7322"/>
    <w:p w14:paraId="09DB4110" w14:textId="77777777" w:rsidR="00904937" w:rsidRPr="007E2EBE" w:rsidRDefault="00904937">
      <w:r w:rsidRPr="007E2EBE">
        <w:rPr>
          <w:b/>
          <w:smallCaps/>
        </w:rPr>
        <w:t>Note</w:t>
      </w:r>
      <w:r w:rsidR="002F0B6C" w:rsidRPr="007E2EBE">
        <w:rPr>
          <w:b/>
          <w:smallCaps/>
        </w:rPr>
        <w:t> :</w:t>
      </w:r>
      <w:r w:rsidRPr="007E2EBE">
        <w:rPr>
          <w:b/>
        </w:rPr>
        <w:t xml:space="preserve"> </w:t>
      </w:r>
      <w:r w:rsidR="001E12E2" w:rsidRPr="007E2EBE">
        <w:t>Ce document fera l’objet de retouches de forme avant la parution</w:t>
      </w:r>
      <w:r w:rsidR="005C0397" w:rsidRPr="007E2EBE">
        <w:t xml:space="preserve"> </w:t>
      </w:r>
      <w:r w:rsidR="001E12E2" w:rsidRPr="007E2EBE">
        <w:t>de sa version définitive dans le</w:t>
      </w:r>
      <w:r w:rsidRPr="007E2EBE">
        <w:t xml:space="preserve"> </w:t>
      </w:r>
      <w:r w:rsidR="001E12E2" w:rsidRPr="007E2EBE">
        <w:rPr>
          <w:i/>
        </w:rPr>
        <w:t>Recueil des arrêts de la Cour suprême du C</w:t>
      </w:r>
      <w:r w:rsidRPr="007E2EBE">
        <w:rPr>
          <w:i/>
        </w:rPr>
        <w:t>anada</w:t>
      </w:r>
      <w:r w:rsidRPr="007E2EBE">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7E2EBE" w14:paraId="34A09FF3" w14:textId="77777777" w:rsidTr="003375C9">
        <w:tc>
          <w:tcPr>
            <w:tcW w:w="1500" w:type="pct"/>
            <w:tcMar>
              <w:top w:w="284" w:type="dxa"/>
            </w:tcMar>
          </w:tcPr>
          <w:p w14:paraId="3B5BC3ED" w14:textId="77777777" w:rsidR="000D1436" w:rsidRPr="007E2EBE" w:rsidRDefault="000D1436" w:rsidP="003375C9">
            <w:pPr>
              <w:rPr>
                <w:rFonts w:eastAsia="Calibri"/>
              </w:rPr>
            </w:pPr>
          </w:p>
        </w:tc>
        <w:tc>
          <w:tcPr>
            <w:tcW w:w="2000" w:type="pct"/>
            <w:tcBorders>
              <w:bottom w:val="single" w:sz="4" w:space="0" w:color="auto"/>
            </w:tcBorders>
            <w:tcMar>
              <w:top w:w="284" w:type="dxa"/>
            </w:tcMar>
          </w:tcPr>
          <w:p w14:paraId="4A782F04" w14:textId="77777777" w:rsidR="000D1436" w:rsidRPr="007E2EBE" w:rsidRDefault="000D1436" w:rsidP="003375C9">
            <w:pPr>
              <w:rPr>
                <w:rFonts w:eastAsia="Calibri"/>
              </w:rPr>
            </w:pPr>
          </w:p>
        </w:tc>
        <w:tc>
          <w:tcPr>
            <w:tcW w:w="1500" w:type="pct"/>
            <w:tcMar>
              <w:top w:w="284" w:type="dxa"/>
            </w:tcMar>
          </w:tcPr>
          <w:p w14:paraId="7FB09713" w14:textId="77777777" w:rsidR="000D1436" w:rsidRPr="007E2EBE" w:rsidRDefault="000D1436" w:rsidP="003375C9">
            <w:pPr>
              <w:rPr>
                <w:rFonts w:eastAsia="Calibri"/>
              </w:rPr>
            </w:pPr>
          </w:p>
        </w:tc>
      </w:tr>
    </w:tbl>
    <w:p w14:paraId="1125046C" w14:textId="31343942" w:rsidR="00FB1604" w:rsidRDefault="00FB1604"/>
    <w:p w14:paraId="57C9BC68" w14:textId="77777777" w:rsidR="00D2526E" w:rsidRDefault="00D2526E"/>
    <w:p w14:paraId="3D9E21D0" w14:textId="77777777" w:rsidR="00D2526E" w:rsidRPr="00D2526E" w:rsidRDefault="00D2526E" w:rsidP="00D2526E">
      <w:pPr>
        <w:tabs>
          <w:tab w:val="right" w:pos="8222"/>
        </w:tabs>
        <w:spacing w:after="720"/>
        <w:rPr>
          <w:rFonts w:eastAsia="Times New Roman" w:cs="Times New Roman"/>
          <w:b/>
          <w:szCs w:val="20"/>
          <w:lang w:val="en-US" w:eastAsia="en-CA"/>
        </w:rPr>
      </w:pPr>
      <w:r w:rsidRPr="00D2526E">
        <w:rPr>
          <w:rFonts w:eastAsia="Times New Roman" w:cs="Times New Roman"/>
          <w:b/>
          <w:szCs w:val="20"/>
          <w:lang w:val="en-US" w:eastAsia="en-CA"/>
        </w:rPr>
        <w:t xml:space="preserve">Syed </w:t>
      </w:r>
      <w:proofErr w:type="spellStart"/>
      <w:r w:rsidRPr="00D2526E">
        <w:rPr>
          <w:rFonts w:eastAsia="Times New Roman" w:cs="Times New Roman"/>
          <w:b/>
          <w:szCs w:val="20"/>
          <w:lang w:val="en-US" w:eastAsia="en-CA"/>
        </w:rPr>
        <w:t>Adeel</w:t>
      </w:r>
      <w:proofErr w:type="spellEnd"/>
      <w:r w:rsidRPr="00D2526E">
        <w:rPr>
          <w:rFonts w:eastAsia="Times New Roman" w:cs="Times New Roman"/>
          <w:b/>
          <w:szCs w:val="20"/>
          <w:lang w:val="en-US" w:eastAsia="en-CA"/>
        </w:rPr>
        <w:t xml:space="preserve"> </w:t>
      </w:r>
      <w:proofErr w:type="spellStart"/>
      <w:r w:rsidRPr="00D2526E">
        <w:rPr>
          <w:rFonts w:eastAsia="Times New Roman" w:cs="Times New Roman"/>
          <w:b/>
          <w:szCs w:val="20"/>
          <w:lang w:val="en-US" w:eastAsia="en-CA"/>
        </w:rPr>
        <w:t>Safdar</w:t>
      </w:r>
      <w:proofErr w:type="spellEnd"/>
      <w:r w:rsidRPr="00D2526E">
        <w:rPr>
          <w:rFonts w:eastAsia="Times New Roman" w:cs="Times New Roman"/>
          <w:i/>
          <w:szCs w:val="20"/>
          <w:lang w:val="en-US" w:eastAsia="en-CA"/>
        </w:rPr>
        <w:tab/>
      </w:r>
      <w:proofErr w:type="spellStart"/>
      <w:r w:rsidRPr="00D2526E">
        <w:rPr>
          <w:rFonts w:eastAsia="Times New Roman" w:cs="Times New Roman"/>
          <w:i/>
          <w:szCs w:val="20"/>
          <w:lang w:val="en-US" w:eastAsia="en-CA"/>
        </w:rPr>
        <w:t>Appelant</w:t>
      </w:r>
      <w:proofErr w:type="spellEnd"/>
    </w:p>
    <w:p w14:paraId="7683FFA0" w14:textId="77777777" w:rsidR="00D2526E" w:rsidRPr="00D2526E" w:rsidRDefault="00D2526E" w:rsidP="00D2526E">
      <w:pPr>
        <w:spacing w:after="720"/>
        <w:rPr>
          <w:rFonts w:eastAsia="Times New Roman" w:cs="Times New Roman"/>
          <w:i/>
          <w:szCs w:val="20"/>
          <w:lang w:val="en-US" w:eastAsia="en-CA"/>
        </w:rPr>
      </w:pPr>
      <w:proofErr w:type="gramStart"/>
      <w:r w:rsidRPr="00D2526E">
        <w:rPr>
          <w:rFonts w:eastAsia="Times New Roman" w:cs="Times New Roman"/>
          <w:i/>
          <w:szCs w:val="20"/>
          <w:lang w:val="en-US" w:eastAsia="en-CA"/>
        </w:rPr>
        <w:t>c</w:t>
      </w:r>
      <w:proofErr w:type="gramEnd"/>
      <w:r w:rsidRPr="00D2526E">
        <w:rPr>
          <w:rFonts w:eastAsia="Times New Roman" w:cs="Times New Roman"/>
          <w:i/>
          <w:szCs w:val="20"/>
          <w:lang w:val="en-US" w:eastAsia="en-CA"/>
        </w:rPr>
        <w:t>.</w:t>
      </w:r>
    </w:p>
    <w:p w14:paraId="40F29FE0" w14:textId="77777777" w:rsidR="00D2526E" w:rsidRPr="00D2526E" w:rsidRDefault="00D2526E" w:rsidP="00D2526E">
      <w:pPr>
        <w:tabs>
          <w:tab w:val="right" w:pos="8222"/>
        </w:tabs>
        <w:spacing w:after="720"/>
        <w:rPr>
          <w:rFonts w:eastAsia="Times New Roman" w:cs="Times New Roman"/>
          <w:b/>
          <w:szCs w:val="20"/>
          <w:lang w:eastAsia="en-CA"/>
        </w:rPr>
      </w:pPr>
      <w:r w:rsidRPr="00D2526E">
        <w:rPr>
          <w:rFonts w:eastAsia="Times New Roman" w:cs="Times New Roman"/>
          <w:b/>
          <w:szCs w:val="20"/>
          <w:lang w:eastAsia="en-CA"/>
        </w:rPr>
        <w:t>Sa Majesté la Reine</w:t>
      </w:r>
      <w:r w:rsidRPr="00D2526E">
        <w:rPr>
          <w:rFonts w:eastAsia="Times New Roman" w:cs="Times New Roman"/>
          <w:i/>
          <w:szCs w:val="20"/>
          <w:lang w:eastAsia="en-CA"/>
        </w:rPr>
        <w:tab/>
        <w:t>Intimée</w:t>
      </w:r>
    </w:p>
    <w:p w14:paraId="36EC2CDE" w14:textId="77777777" w:rsidR="00D2526E" w:rsidRPr="00D2526E" w:rsidRDefault="00D2526E" w:rsidP="00D2526E">
      <w:pPr>
        <w:spacing w:after="720"/>
        <w:jc w:val="both"/>
        <w:rPr>
          <w:rFonts w:eastAsia="Times New Roman" w:cs="Times New Roman"/>
          <w:b/>
          <w:szCs w:val="20"/>
          <w:lang w:eastAsia="en-CA"/>
        </w:rPr>
      </w:pPr>
      <w:r w:rsidRPr="00D2526E">
        <w:rPr>
          <w:rFonts w:eastAsia="Times New Roman" w:cs="Times New Roman"/>
          <w:b/>
          <w:szCs w:val="20"/>
          <w:lang w:eastAsia="en-CA"/>
        </w:rPr>
        <w:t xml:space="preserve">Répertorié : R. </w:t>
      </w:r>
      <w:r w:rsidRPr="00D2526E">
        <w:rPr>
          <w:rFonts w:eastAsia="Times New Roman" w:cs="Times New Roman"/>
          <w:b/>
          <w:i/>
          <w:szCs w:val="20"/>
          <w:lang w:eastAsia="en-CA"/>
        </w:rPr>
        <w:t>c.</w:t>
      </w:r>
      <w:r w:rsidRPr="00D2526E">
        <w:rPr>
          <w:rFonts w:eastAsia="Times New Roman" w:cs="Times New Roman"/>
          <w:b/>
          <w:szCs w:val="20"/>
          <w:lang w:eastAsia="en-CA"/>
        </w:rPr>
        <w:t xml:space="preserve"> </w:t>
      </w:r>
      <w:proofErr w:type="spellStart"/>
      <w:r w:rsidRPr="00D2526E">
        <w:rPr>
          <w:rFonts w:eastAsia="Times New Roman" w:cs="Times New Roman"/>
          <w:b/>
          <w:szCs w:val="20"/>
          <w:lang w:eastAsia="en-CA"/>
        </w:rPr>
        <w:t>Safdar</w:t>
      </w:r>
      <w:proofErr w:type="spellEnd"/>
    </w:p>
    <w:p w14:paraId="1D8207FC" w14:textId="77777777" w:rsidR="00D2526E" w:rsidRPr="00D2526E" w:rsidRDefault="00D2526E" w:rsidP="00D2526E">
      <w:pPr>
        <w:spacing w:after="720"/>
        <w:jc w:val="both"/>
        <w:rPr>
          <w:rFonts w:eastAsia="Times New Roman" w:cs="Times New Roman"/>
          <w:b/>
          <w:szCs w:val="20"/>
          <w:lang w:eastAsia="en-CA"/>
        </w:rPr>
      </w:pPr>
      <w:r w:rsidRPr="00D2526E">
        <w:rPr>
          <w:rFonts w:eastAsia="Times New Roman" w:cs="Times New Roman"/>
          <w:b/>
          <w:szCs w:val="20"/>
          <w:lang w:eastAsia="en-CA"/>
        </w:rPr>
        <w:t>2022 CSC 21</w:t>
      </w:r>
    </w:p>
    <w:p w14:paraId="2078FF07" w14:textId="77777777" w:rsidR="00D2526E" w:rsidRPr="00D2526E" w:rsidRDefault="00D2526E" w:rsidP="00D2526E">
      <w:pPr>
        <w:spacing w:after="720"/>
        <w:jc w:val="both"/>
        <w:rPr>
          <w:rFonts w:eastAsia="Times New Roman" w:cs="Times New Roman"/>
          <w:szCs w:val="20"/>
          <w:lang w:eastAsia="en-CA"/>
        </w:rPr>
      </w:pPr>
      <w:r w:rsidRPr="00D2526E">
        <w:rPr>
          <w:rFonts w:eastAsia="Times New Roman" w:cs="Times New Roman"/>
          <w:szCs w:val="20"/>
          <w:lang w:eastAsia="en-CA"/>
        </w:rPr>
        <w:t>N</w:t>
      </w:r>
      <w:r w:rsidRPr="00D2526E">
        <w:rPr>
          <w:rFonts w:eastAsia="Times New Roman" w:cs="Times New Roman"/>
          <w:szCs w:val="20"/>
          <w:vertAlign w:val="superscript"/>
          <w:lang w:eastAsia="en-CA"/>
        </w:rPr>
        <w:t>o</w:t>
      </w:r>
      <w:r w:rsidRPr="00D2526E">
        <w:rPr>
          <w:rFonts w:eastAsia="Times New Roman" w:cs="Times New Roman"/>
          <w:szCs w:val="20"/>
          <w:lang w:eastAsia="en-CA"/>
        </w:rPr>
        <w:t xml:space="preserve"> du greffe : 39629.</w:t>
      </w:r>
    </w:p>
    <w:p w14:paraId="5CDC7706" w14:textId="77777777" w:rsidR="00D2526E" w:rsidRPr="00D2526E" w:rsidRDefault="00D2526E" w:rsidP="00D2526E">
      <w:pPr>
        <w:spacing w:after="720"/>
        <w:jc w:val="both"/>
        <w:rPr>
          <w:rFonts w:eastAsia="Times New Roman" w:cs="Times New Roman"/>
          <w:szCs w:val="20"/>
          <w:lang w:eastAsia="en-CA"/>
        </w:rPr>
      </w:pPr>
      <w:r w:rsidRPr="00D2526E">
        <w:rPr>
          <w:rFonts w:eastAsia="Times New Roman" w:cs="Times New Roman"/>
          <w:szCs w:val="20"/>
          <w:lang w:eastAsia="en-CA"/>
        </w:rPr>
        <w:t>2022 : 18 mai.</w:t>
      </w:r>
    </w:p>
    <w:p w14:paraId="10CF05F6" w14:textId="77777777" w:rsidR="00D2526E" w:rsidRPr="00D2526E" w:rsidRDefault="00D2526E" w:rsidP="00D2526E">
      <w:pPr>
        <w:spacing w:after="720"/>
        <w:jc w:val="both"/>
        <w:rPr>
          <w:rFonts w:eastAsia="Times New Roman" w:cs="Times New Roman"/>
          <w:szCs w:val="20"/>
          <w:lang w:eastAsia="en-CA"/>
        </w:rPr>
      </w:pPr>
      <w:r w:rsidRPr="00D2526E">
        <w:rPr>
          <w:rFonts w:eastAsia="Times New Roman" w:cs="Times New Roman"/>
          <w:szCs w:val="20"/>
          <w:lang w:eastAsia="en-CA"/>
        </w:rPr>
        <w:t>Présents : Le juge en chef Wagner et les juges Brown, Rowe, Martin et Jamal.</w:t>
      </w:r>
    </w:p>
    <w:p w14:paraId="71246D9B" w14:textId="77777777" w:rsidR="00D2526E" w:rsidRPr="00D2526E" w:rsidRDefault="00D2526E" w:rsidP="00D2526E">
      <w:pPr>
        <w:spacing w:after="720"/>
        <w:jc w:val="both"/>
        <w:rPr>
          <w:rFonts w:eastAsia="Times New Roman" w:cs="Times New Roman"/>
          <w:smallCaps/>
          <w:szCs w:val="20"/>
          <w:lang w:eastAsia="en-CA"/>
        </w:rPr>
      </w:pPr>
      <w:r w:rsidRPr="00D2526E">
        <w:rPr>
          <w:rFonts w:eastAsia="Times New Roman" w:cs="Times New Roman"/>
          <w:smallCaps/>
          <w:szCs w:val="20"/>
          <w:lang w:eastAsia="en-CA"/>
        </w:rPr>
        <w:t xml:space="preserve">en appel de la cour d’appel de </w:t>
      </w:r>
      <w:proofErr w:type="spellStart"/>
      <w:r w:rsidRPr="00D2526E">
        <w:rPr>
          <w:rFonts w:eastAsia="Times New Roman" w:cs="Times New Roman"/>
          <w:smallCaps/>
          <w:szCs w:val="20"/>
          <w:lang w:eastAsia="en-CA"/>
        </w:rPr>
        <w:t>l’ontario</w:t>
      </w:r>
      <w:proofErr w:type="spellEnd"/>
    </w:p>
    <w:p w14:paraId="1D8DB8D7" w14:textId="77777777" w:rsidR="00D2526E" w:rsidRPr="00D2526E" w:rsidRDefault="00D2526E" w:rsidP="00D2526E">
      <w:pPr>
        <w:tabs>
          <w:tab w:val="left" w:pos="1168"/>
        </w:tabs>
        <w:spacing w:after="480" w:line="480" w:lineRule="auto"/>
        <w:jc w:val="both"/>
        <w:rPr>
          <w:rFonts w:eastAsia="Times New Roman" w:cs="Times New Roman"/>
          <w:szCs w:val="20"/>
          <w:lang w:eastAsia="en-CA"/>
        </w:rPr>
      </w:pPr>
      <w:r w:rsidRPr="00D2526E">
        <w:rPr>
          <w:rFonts w:eastAsia="Times New Roman" w:cs="Times New Roman"/>
          <w:szCs w:val="20"/>
          <w:lang w:eastAsia="en-CA"/>
        </w:rPr>
        <w:tab/>
      </w:r>
      <w:r w:rsidRPr="00D2526E">
        <w:rPr>
          <w:rFonts w:eastAsia="Times New Roman" w:cs="Times New Roman"/>
          <w:i/>
          <w:szCs w:val="20"/>
          <w:lang w:eastAsia="en-CA"/>
        </w:rPr>
        <w:t>Droit constitutionnel —</w:t>
      </w:r>
      <w:r w:rsidRPr="00D2526E">
        <w:rPr>
          <w:rFonts w:eastAsia="Times New Roman" w:cs="Times New Roman"/>
          <w:szCs w:val="20"/>
          <w:lang w:eastAsia="en-CA"/>
        </w:rPr>
        <w:t xml:space="preserve"> </w:t>
      </w:r>
      <w:r w:rsidRPr="00D2526E">
        <w:rPr>
          <w:rFonts w:eastAsia="Times New Roman" w:cs="Times New Roman"/>
          <w:i/>
          <w:szCs w:val="20"/>
          <w:lang w:eastAsia="en-CA"/>
        </w:rPr>
        <w:t>Charte des droits — Procès dans un délai raisonnable</w:t>
      </w:r>
      <w:r w:rsidRPr="00D2526E">
        <w:rPr>
          <w:rFonts w:eastAsia="Times New Roman" w:cs="Times New Roman"/>
          <w:i/>
          <w:iCs/>
          <w:szCs w:val="20"/>
          <w:lang w:eastAsia="en-CA"/>
        </w:rPr>
        <w:t xml:space="preserve"> — Calcul du délai — Accusé inculpé de plusieurs infractions liées </w:t>
      </w:r>
      <w:r w:rsidRPr="00D2526E">
        <w:rPr>
          <w:rFonts w:eastAsia="Times New Roman" w:cs="Times New Roman"/>
          <w:i/>
          <w:color w:val="000000"/>
          <w:szCs w:val="20"/>
          <w:lang w:eastAsia="en-CA"/>
        </w:rPr>
        <w:t>à des mauvais traitements infligés à son épouse</w:t>
      </w:r>
      <w:r w:rsidRPr="00D2526E">
        <w:rPr>
          <w:rFonts w:eastAsia="Times New Roman" w:cs="Times New Roman"/>
          <w:i/>
          <w:iCs/>
          <w:szCs w:val="20"/>
          <w:lang w:eastAsia="en-CA"/>
        </w:rPr>
        <w:t xml:space="preserve"> — Demande d’arrêt des procédures présentée par l’accusé pour cause de violation du droit d’être jugé dans un délai raisonnable garanti par l’al. </w:t>
      </w:r>
      <w:proofErr w:type="spellStart"/>
      <w:r w:rsidRPr="00D2526E">
        <w:rPr>
          <w:rFonts w:eastAsia="Times New Roman" w:cs="Times New Roman"/>
          <w:i/>
          <w:iCs/>
          <w:szCs w:val="20"/>
          <w:lang w:eastAsia="en-CA"/>
        </w:rPr>
        <w:t>11b</w:t>
      </w:r>
      <w:proofErr w:type="spellEnd"/>
      <w:r w:rsidRPr="00D2526E">
        <w:rPr>
          <w:rFonts w:eastAsia="Times New Roman" w:cs="Times New Roman"/>
          <w:i/>
          <w:iCs/>
          <w:szCs w:val="20"/>
          <w:lang w:eastAsia="en-CA"/>
        </w:rPr>
        <w:t>) de la Charte canadienne des droits et libertés — Juge du procès concluant que le délai net excédait le plafond présumé fixé dans Jordan et ordonnant l’arrêt des procédures — Cour d’appel statuant que la période écoulée entre la fin de la présentation de la preuve et des plaidoiries au procès et le prononcé de la décision sur la demande d’arrêt des procédures ne devrait pas être incluse dans le calcul du délai — Cour d’appel concluant que le délai net était inférieur au plafond fixé dans Jordan et annulant l’arrêt des procédures — Arrêt de la Cour d’appel confirmé</w:t>
      </w:r>
      <w:r w:rsidRPr="00D2526E">
        <w:rPr>
          <w:rFonts w:eastAsia="Times New Roman" w:cs="Times New Roman"/>
          <w:bCs/>
          <w:i/>
          <w:iCs/>
          <w:szCs w:val="20"/>
          <w:lang w:eastAsia="en-CA"/>
        </w:rPr>
        <w:t>.</w:t>
      </w:r>
    </w:p>
    <w:p w14:paraId="60F8C860" w14:textId="77777777" w:rsidR="00D2526E" w:rsidRPr="00D2526E" w:rsidRDefault="00D2526E" w:rsidP="00D2526E">
      <w:pPr>
        <w:widowControl w:val="0"/>
        <w:tabs>
          <w:tab w:val="left" w:pos="1168"/>
        </w:tabs>
        <w:spacing w:after="720"/>
        <w:jc w:val="both"/>
        <w:rPr>
          <w:rFonts w:eastAsia="Times New Roman" w:cs="Times New Roman"/>
          <w:b/>
          <w:szCs w:val="20"/>
          <w:lang w:eastAsia="en-CA"/>
        </w:rPr>
      </w:pPr>
      <w:r w:rsidRPr="00D2526E">
        <w:rPr>
          <w:rFonts w:eastAsia="Times New Roman" w:cs="Times New Roman"/>
          <w:b/>
          <w:szCs w:val="20"/>
          <w:lang w:eastAsia="en-CA"/>
        </w:rPr>
        <w:t>Jurisprudence</w:t>
      </w:r>
    </w:p>
    <w:p w14:paraId="432BF486" w14:textId="77777777" w:rsidR="00D2526E" w:rsidRPr="00D2526E" w:rsidRDefault="00D2526E" w:rsidP="00D2526E">
      <w:pPr>
        <w:widowControl w:val="0"/>
        <w:tabs>
          <w:tab w:val="left" w:pos="1168"/>
        </w:tabs>
        <w:spacing w:after="480" w:line="480" w:lineRule="auto"/>
        <w:jc w:val="both"/>
        <w:rPr>
          <w:rFonts w:eastAsia="Times New Roman" w:cs="Times New Roman"/>
          <w:b/>
          <w:szCs w:val="20"/>
          <w:lang w:eastAsia="en-CA"/>
        </w:rPr>
      </w:pPr>
      <w:r w:rsidRPr="00D2526E">
        <w:rPr>
          <w:rFonts w:eastAsia="Times New Roman" w:cs="Times New Roman"/>
          <w:szCs w:val="20"/>
          <w:lang w:eastAsia="en-CA"/>
        </w:rPr>
        <w:tab/>
      </w:r>
      <w:r w:rsidRPr="00D2526E">
        <w:rPr>
          <w:rFonts w:eastAsia="Times New Roman" w:cs="Times New Roman"/>
          <w:b/>
          <w:szCs w:val="20"/>
          <w:lang w:eastAsia="en-CA"/>
        </w:rPr>
        <w:t>Arrêt appliqué :</w:t>
      </w:r>
      <w:r w:rsidRPr="00D2526E">
        <w:rPr>
          <w:rFonts w:eastAsia="Times New Roman" w:cs="Times New Roman"/>
          <w:szCs w:val="20"/>
          <w:lang w:eastAsia="en-CA"/>
        </w:rPr>
        <w:t xml:space="preserve"> </w:t>
      </w:r>
      <w:r w:rsidRPr="00D2526E">
        <w:rPr>
          <w:rFonts w:eastAsia="Times New Roman" w:cs="Times New Roman"/>
          <w:i/>
          <w:szCs w:val="20"/>
          <w:lang w:eastAsia="en-CA"/>
        </w:rPr>
        <w:t xml:space="preserve">R. c. </w:t>
      </w:r>
      <w:proofErr w:type="spellStart"/>
      <w:r w:rsidRPr="00D2526E">
        <w:rPr>
          <w:rFonts w:eastAsia="Times New Roman" w:cs="Times New Roman"/>
          <w:i/>
          <w:szCs w:val="20"/>
          <w:lang w:eastAsia="en-CA"/>
        </w:rPr>
        <w:t>K.G.K</w:t>
      </w:r>
      <w:proofErr w:type="spellEnd"/>
      <w:r w:rsidRPr="00D2526E">
        <w:rPr>
          <w:rFonts w:eastAsia="Times New Roman" w:cs="Times New Roman"/>
          <w:i/>
          <w:szCs w:val="20"/>
          <w:lang w:eastAsia="en-CA"/>
        </w:rPr>
        <w:t>.</w:t>
      </w:r>
      <w:r w:rsidRPr="00D2526E">
        <w:rPr>
          <w:rFonts w:eastAsia="Times New Roman" w:cs="Times New Roman"/>
          <w:szCs w:val="20"/>
          <w:lang w:eastAsia="en-CA"/>
        </w:rPr>
        <w:t xml:space="preserve">, 2020 CSC 7, [2020] 1 </w:t>
      </w:r>
      <w:proofErr w:type="spellStart"/>
      <w:r w:rsidRPr="00D2526E">
        <w:rPr>
          <w:rFonts w:eastAsia="Times New Roman" w:cs="Times New Roman"/>
          <w:szCs w:val="20"/>
          <w:lang w:eastAsia="en-CA"/>
        </w:rPr>
        <w:t>R.C.S</w:t>
      </w:r>
      <w:proofErr w:type="spellEnd"/>
      <w:r w:rsidRPr="00D2526E">
        <w:rPr>
          <w:rFonts w:eastAsia="Times New Roman" w:cs="Times New Roman"/>
          <w:szCs w:val="20"/>
          <w:lang w:eastAsia="en-CA"/>
        </w:rPr>
        <w:t xml:space="preserve">. 364; </w:t>
      </w:r>
      <w:r w:rsidRPr="00D2526E">
        <w:rPr>
          <w:rFonts w:eastAsia="Times New Roman" w:cs="Times New Roman"/>
          <w:b/>
          <w:szCs w:val="20"/>
          <w:lang w:eastAsia="en-CA"/>
        </w:rPr>
        <w:t>arrêt mentionné :</w:t>
      </w:r>
      <w:r w:rsidRPr="00D2526E">
        <w:rPr>
          <w:rFonts w:eastAsia="Times New Roman" w:cs="Times New Roman"/>
          <w:szCs w:val="20"/>
          <w:lang w:eastAsia="en-CA"/>
        </w:rPr>
        <w:t xml:space="preserve"> </w:t>
      </w:r>
      <w:r w:rsidRPr="00D2526E">
        <w:rPr>
          <w:rFonts w:eastAsia="Times New Roman" w:cs="Times New Roman"/>
          <w:i/>
          <w:szCs w:val="20"/>
          <w:lang w:eastAsia="en-CA"/>
        </w:rPr>
        <w:t xml:space="preserve">R. </w:t>
      </w:r>
      <w:r w:rsidRPr="00D2526E">
        <w:rPr>
          <w:rFonts w:eastAsia="Times New Roman" w:cs="Times New Roman"/>
          <w:i/>
          <w:iCs/>
          <w:szCs w:val="20"/>
          <w:lang w:eastAsia="en-CA"/>
        </w:rPr>
        <w:t xml:space="preserve">c. </w:t>
      </w:r>
      <w:proofErr w:type="spellStart"/>
      <w:r w:rsidRPr="00D2526E">
        <w:rPr>
          <w:rFonts w:eastAsia="Times New Roman" w:cs="Times New Roman"/>
          <w:i/>
          <w:szCs w:val="20"/>
          <w:lang w:eastAsia="en-CA"/>
        </w:rPr>
        <w:t>J.F</w:t>
      </w:r>
      <w:proofErr w:type="spellEnd"/>
      <w:r w:rsidRPr="00D2526E">
        <w:rPr>
          <w:rFonts w:eastAsia="Times New Roman" w:cs="Times New Roman"/>
          <w:i/>
          <w:szCs w:val="20"/>
          <w:lang w:eastAsia="en-CA"/>
        </w:rPr>
        <w:t>.</w:t>
      </w:r>
      <w:r w:rsidRPr="00D2526E">
        <w:rPr>
          <w:rFonts w:eastAsia="Times New Roman" w:cs="Times New Roman"/>
          <w:szCs w:val="20"/>
          <w:lang w:eastAsia="en-CA"/>
        </w:rPr>
        <w:t>, 2022 CSC 17.</w:t>
      </w:r>
    </w:p>
    <w:p w14:paraId="085096DE" w14:textId="77777777" w:rsidR="00D2526E" w:rsidRPr="00D2526E" w:rsidRDefault="00D2526E" w:rsidP="00D2526E">
      <w:pPr>
        <w:tabs>
          <w:tab w:val="left" w:pos="1168"/>
        </w:tabs>
        <w:spacing w:after="720"/>
        <w:jc w:val="both"/>
        <w:rPr>
          <w:rFonts w:eastAsia="Times New Roman" w:cs="Times New Roman"/>
          <w:b/>
          <w:szCs w:val="20"/>
          <w:lang w:eastAsia="en-CA"/>
        </w:rPr>
      </w:pPr>
      <w:r w:rsidRPr="00D2526E">
        <w:rPr>
          <w:rFonts w:eastAsia="Times New Roman" w:cs="Times New Roman"/>
          <w:b/>
          <w:szCs w:val="20"/>
          <w:lang w:eastAsia="en-CA"/>
        </w:rPr>
        <w:t>Lois et règlements cités</w:t>
      </w:r>
    </w:p>
    <w:p w14:paraId="16B8827D" w14:textId="77777777" w:rsidR="00D2526E" w:rsidRPr="00D2526E" w:rsidRDefault="00D2526E" w:rsidP="00D2526E">
      <w:pPr>
        <w:tabs>
          <w:tab w:val="left" w:pos="1168"/>
        </w:tabs>
        <w:spacing w:after="720"/>
        <w:ind w:left="540" w:hanging="540"/>
        <w:jc w:val="both"/>
        <w:rPr>
          <w:rFonts w:eastAsia="Times New Roman" w:cs="Times New Roman"/>
          <w:szCs w:val="20"/>
          <w:lang w:eastAsia="en-CA"/>
        </w:rPr>
      </w:pPr>
      <w:r w:rsidRPr="00D2526E">
        <w:rPr>
          <w:rFonts w:eastAsiaTheme="majorEastAsia" w:cs="Times New Roman"/>
          <w:i/>
          <w:iCs/>
          <w:color w:val="000000"/>
          <w:szCs w:val="20"/>
          <w:lang w:eastAsia="en-CA"/>
        </w:rPr>
        <w:t>Charte canadienne des droits et libertés</w:t>
      </w:r>
      <w:r w:rsidRPr="00D2526E">
        <w:rPr>
          <w:rFonts w:eastAsiaTheme="majorEastAsia" w:cs="Times New Roman"/>
          <w:szCs w:val="20"/>
          <w:lang w:eastAsia="en-CA"/>
        </w:rPr>
        <w:t>, art. </w:t>
      </w:r>
      <w:proofErr w:type="spellStart"/>
      <w:r w:rsidRPr="00D2526E">
        <w:rPr>
          <w:rFonts w:eastAsiaTheme="majorEastAsia" w:cs="Times New Roman"/>
          <w:szCs w:val="20"/>
          <w:lang w:eastAsia="en-CA"/>
        </w:rPr>
        <w:t>11b</w:t>
      </w:r>
      <w:proofErr w:type="spellEnd"/>
      <w:r w:rsidRPr="00D2526E">
        <w:rPr>
          <w:rFonts w:eastAsiaTheme="majorEastAsia" w:cs="Times New Roman"/>
          <w:szCs w:val="20"/>
          <w:lang w:eastAsia="en-CA"/>
        </w:rPr>
        <w:t>).</w:t>
      </w:r>
    </w:p>
    <w:p w14:paraId="3F72C5F5" w14:textId="77777777" w:rsidR="00D2526E" w:rsidRPr="00D2526E" w:rsidRDefault="00D2526E" w:rsidP="00D2526E">
      <w:pPr>
        <w:tabs>
          <w:tab w:val="left" w:pos="1168"/>
        </w:tabs>
        <w:spacing w:after="480" w:line="480" w:lineRule="auto"/>
        <w:jc w:val="both"/>
        <w:rPr>
          <w:rFonts w:eastAsia="Times New Roman" w:cs="Times New Roman"/>
          <w:szCs w:val="20"/>
          <w:lang w:eastAsia="en-CA"/>
        </w:rPr>
      </w:pPr>
      <w:r w:rsidRPr="00D2526E">
        <w:rPr>
          <w:rFonts w:eastAsia="Times New Roman" w:cs="Times New Roman"/>
          <w:szCs w:val="20"/>
          <w:lang w:eastAsia="en-CA"/>
        </w:rPr>
        <w:tab/>
        <w:t xml:space="preserve">POURVOI contre un arrêt de la Cour d’appel de l’Ontario (les juges </w:t>
      </w:r>
      <w:proofErr w:type="spellStart"/>
      <w:r w:rsidRPr="00D2526E">
        <w:rPr>
          <w:rFonts w:eastAsia="Times New Roman" w:cs="Times New Roman"/>
          <w:szCs w:val="20"/>
          <w:lang w:eastAsia="en-CA"/>
        </w:rPr>
        <w:t>Feldman</w:t>
      </w:r>
      <w:proofErr w:type="spellEnd"/>
      <w:r w:rsidRPr="00D2526E">
        <w:rPr>
          <w:rFonts w:eastAsia="Times New Roman" w:cs="Times New Roman"/>
          <w:szCs w:val="20"/>
          <w:lang w:eastAsia="en-CA"/>
        </w:rPr>
        <w:t xml:space="preserve">, </w:t>
      </w:r>
      <w:proofErr w:type="spellStart"/>
      <w:r w:rsidRPr="00D2526E">
        <w:rPr>
          <w:rFonts w:eastAsia="Times New Roman" w:cs="Times New Roman"/>
          <w:szCs w:val="20"/>
          <w:lang w:eastAsia="en-CA"/>
        </w:rPr>
        <w:t>Gillese</w:t>
      </w:r>
      <w:proofErr w:type="spellEnd"/>
      <w:r w:rsidRPr="00D2526E">
        <w:rPr>
          <w:rFonts w:eastAsia="Times New Roman" w:cs="Times New Roman"/>
          <w:szCs w:val="20"/>
          <w:lang w:eastAsia="en-CA"/>
        </w:rPr>
        <w:t xml:space="preserve"> et Miller), </w:t>
      </w:r>
      <w:hyperlink r:id="rId8" w:history="1">
        <w:r w:rsidRPr="00D2526E">
          <w:rPr>
            <w:rFonts w:eastAsia="Times New Roman" w:cs="Times New Roman"/>
            <w:color w:val="660000"/>
            <w:szCs w:val="20"/>
            <w:lang w:eastAsia="en-CA"/>
          </w:rPr>
          <w:t xml:space="preserve">2021 </w:t>
        </w:r>
        <w:proofErr w:type="spellStart"/>
        <w:r w:rsidRPr="00D2526E">
          <w:rPr>
            <w:rFonts w:eastAsia="Times New Roman" w:cs="Times New Roman"/>
            <w:color w:val="660000"/>
            <w:szCs w:val="20"/>
            <w:lang w:eastAsia="en-CA"/>
          </w:rPr>
          <w:t>ONCA</w:t>
        </w:r>
        <w:proofErr w:type="spellEnd"/>
        <w:r w:rsidRPr="00D2526E">
          <w:rPr>
            <w:rFonts w:eastAsia="Times New Roman" w:cs="Times New Roman"/>
            <w:color w:val="660000"/>
            <w:szCs w:val="20"/>
            <w:lang w:eastAsia="en-CA"/>
          </w:rPr>
          <w:t xml:space="preserve"> 207</w:t>
        </w:r>
      </w:hyperlink>
      <w:r w:rsidRPr="00D2526E">
        <w:rPr>
          <w:rFonts w:eastAsia="Times New Roman" w:cs="Times New Roman"/>
          <w:szCs w:val="20"/>
          <w:lang w:eastAsia="en-CA"/>
        </w:rPr>
        <w:t xml:space="preserve">, 469 </w:t>
      </w:r>
      <w:proofErr w:type="spellStart"/>
      <w:r w:rsidRPr="00D2526E">
        <w:rPr>
          <w:rFonts w:eastAsia="Times New Roman" w:cs="Times New Roman"/>
          <w:szCs w:val="20"/>
          <w:lang w:eastAsia="en-CA"/>
        </w:rPr>
        <w:t>D.L.R</w:t>
      </w:r>
      <w:proofErr w:type="spellEnd"/>
      <w:r w:rsidRPr="00D2526E">
        <w:rPr>
          <w:rFonts w:eastAsia="Times New Roman" w:cs="Times New Roman"/>
          <w:szCs w:val="20"/>
          <w:lang w:eastAsia="en-CA"/>
        </w:rPr>
        <w:t>. (</w:t>
      </w:r>
      <w:proofErr w:type="spellStart"/>
      <w:r w:rsidRPr="00D2526E">
        <w:rPr>
          <w:rFonts w:eastAsia="Times New Roman" w:cs="Times New Roman"/>
          <w:szCs w:val="20"/>
          <w:lang w:eastAsia="en-CA"/>
        </w:rPr>
        <w:t>4th</w:t>
      </w:r>
      <w:proofErr w:type="spellEnd"/>
      <w:r w:rsidRPr="00D2526E">
        <w:rPr>
          <w:rFonts w:eastAsia="Times New Roman" w:cs="Times New Roman"/>
          <w:szCs w:val="20"/>
          <w:lang w:eastAsia="en-CA"/>
        </w:rPr>
        <w:t xml:space="preserve">) 447, 403 </w:t>
      </w:r>
      <w:proofErr w:type="spellStart"/>
      <w:r w:rsidRPr="00D2526E">
        <w:rPr>
          <w:rFonts w:eastAsia="Times New Roman" w:cs="Times New Roman"/>
          <w:szCs w:val="20"/>
          <w:lang w:eastAsia="en-CA"/>
        </w:rPr>
        <w:t>C.C.C</w:t>
      </w:r>
      <w:proofErr w:type="spellEnd"/>
      <w:r w:rsidRPr="00D2526E">
        <w:rPr>
          <w:rFonts w:eastAsia="Times New Roman" w:cs="Times New Roman"/>
          <w:szCs w:val="20"/>
          <w:lang w:eastAsia="en-CA"/>
        </w:rPr>
        <w:t>. (</w:t>
      </w:r>
      <w:proofErr w:type="spellStart"/>
      <w:r w:rsidRPr="00D2526E">
        <w:rPr>
          <w:rFonts w:eastAsia="Times New Roman" w:cs="Times New Roman"/>
          <w:szCs w:val="20"/>
          <w:lang w:eastAsia="en-CA"/>
        </w:rPr>
        <w:t>3d</w:t>
      </w:r>
      <w:proofErr w:type="spellEnd"/>
      <w:r w:rsidRPr="00D2526E">
        <w:rPr>
          <w:rFonts w:eastAsia="Times New Roman" w:cs="Times New Roman"/>
          <w:szCs w:val="20"/>
          <w:lang w:eastAsia="en-CA"/>
        </w:rPr>
        <w:t xml:space="preserve">) 91, [2021] </w:t>
      </w:r>
      <w:proofErr w:type="spellStart"/>
      <w:r w:rsidRPr="00D2526E">
        <w:rPr>
          <w:rFonts w:eastAsia="Times New Roman" w:cs="Times New Roman"/>
          <w:szCs w:val="20"/>
          <w:lang w:eastAsia="en-CA"/>
        </w:rPr>
        <w:t>O.J</w:t>
      </w:r>
      <w:proofErr w:type="spellEnd"/>
      <w:r w:rsidRPr="00D2526E">
        <w:rPr>
          <w:rFonts w:eastAsia="Times New Roman" w:cs="Times New Roman"/>
          <w:szCs w:val="20"/>
          <w:lang w:eastAsia="en-CA"/>
        </w:rPr>
        <w:t>. No. 1625 (</w:t>
      </w:r>
      <w:proofErr w:type="spellStart"/>
      <w:r w:rsidRPr="00D2526E">
        <w:rPr>
          <w:rFonts w:eastAsia="Times New Roman" w:cs="Times New Roman"/>
          <w:szCs w:val="20"/>
          <w:lang w:eastAsia="en-CA"/>
        </w:rPr>
        <w:t>QL</w:t>
      </w:r>
      <w:proofErr w:type="spellEnd"/>
      <w:r w:rsidRPr="00D2526E">
        <w:rPr>
          <w:rFonts w:eastAsia="Times New Roman" w:cs="Times New Roman"/>
          <w:szCs w:val="20"/>
          <w:lang w:eastAsia="en-CA"/>
        </w:rPr>
        <w:t xml:space="preserve">), 2021 </w:t>
      </w:r>
      <w:proofErr w:type="spellStart"/>
      <w:r w:rsidRPr="00D2526E">
        <w:rPr>
          <w:rFonts w:eastAsia="Times New Roman" w:cs="Times New Roman"/>
          <w:szCs w:val="20"/>
          <w:lang w:eastAsia="en-CA"/>
        </w:rPr>
        <w:t>CarswellOnt</w:t>
      </w:r>
      <w:proofErr w:type="spellEnd"/>
      <w:r w:rsidRPr="00D2526E">
        <w:rPr>
          <w:rFonts w:eastAsia="Times New Roman" w:cs="Times New Roman"/>
          <w:szCs w:val="20"/>
          <w:lang w:eastAsia="en-CA"/>
        </w:rPr>
        <w:t xml:space="preserve"> 4322 (</w:t>
      </w:r>
      <w:proofErr w:type="spellStart"/>
      <w:r w:rsidRPr="00D2526E">
        <w:rPr>
          <w:rFonts w:eastAsia="Times New Roman" w:cs="Times New Roman"/>
          <w:szCs w:val="20"/>
          <w:lang w:eastAsia="en-CA"/>
        </w:rPr>
        <w:t>WL</w:t>
      </w:r>
      <w:proofErr w:type="spellEnd"/>
      <w:r w:rsidRPr="00D2526E">
        <w:rPr>
          <w:rFonts w:eastAsia="Times New Roman" w:cs="Times New Roman"/>
          <w:szCs w:val="20"/>
          <w:lang w:eastAsia="en-CA"/>
        </w:rPr>
        <w:t xml:space="preserve">), qui a annulé l’arrêt des procédures ordonné par le juge Goodman, 2018 </w:t>
      </w:r>
      <w:proofErr w:type="spellStart"/>
      <w:r w:rsidRPr="00D2526E">
        <w:rPr>
          <w:rFonts w:eastAsia="Times New Roman" w:cs="Times New Roman"/>
          <w:szCs w:val="20"/>
          <w:lang w:eastAsia="en-CA"/>
        </w:rPr>
        <w:t>ONSC</w:t>
      </w:r>
      <w:proofErr w:type="spellEnd"/>
      <w:r w:rsidRPr="00D2526E">
        <w:rPr>
          <w:rFonts w:eastAsia="Times New Roman" w:cs="Times New Roman"/>
          <w:szCs w:val="20"/>
          <w:lang w:eastAsia="en-CA"/>
        </w:rPr>
        <w:t xml:space="preserve"> 7067, 423 </w:t>
      </w:r>
      <w:proofErr w:type="spellStart"/>
      <w:r w:rsidRPr="00D2526E">
        <w:rPr>
          <w:rFonts w:eastAsia="Times New Roman" w:cs="Times New Roman"/>
          <w:szCs w:val="20"/>
          <w:lang w:eastAsia="en-CA"/>
        </w:rPr>
        <w:t>C.R.R</w:t>
      </w:r>
      <w:proofErr w:type="spellEnd"/>
      <w:r w:rsidRPr="00D2526E">
        <w:rPr>
          <w:rFonts w:eastAsia="Times New Roman" w:cs="Times New Roman"/>
          <w:szCs w:val="20"/>
          <w:lang w:eastAsia="en-CA"/>
        </w:rPr>
        <w:t>. (</w:t>
      </w:r>
      <w:proofErr w:type="spellStart"/>
      <w:r w:rsidRPr="00D2526E">
        <w:rPr>
          <w:rFonts w:eastAsia="Times New Roman" w:cs="Times New Roman"/>
          <w:szCs w:val="20"/>
          <w:lang w:eastAsia="en-CA"/>
        </w:rPr>
        <w:t>2d</w:t>
      </w:r>
      <w:proofErr w:type="spellEnd"/>
      <w:r w:rsidRPr="00D2526E">
        <w:rPr>
          <w:rFonts w:eastAsia="Times New Roman" w:cs="Times New Roman"/>
          <w:szCs w:val="20"/>
          <w:lang w:eastAsia="en-CA"/>
        </w:rPr>
        <w:t xml:space="preserve">) 98, [2018] </w:t>
      </w:r>
      <w:proofErr w:type="spellStart"/>
      <w:r w:rsidRPr="00D2526E">
        <w:rPr>
          <w:rFonts w:eastAsia="Times New Roman" w:cs="Times New Roman"/>
          <w:szCs w:val="20"/>
          <w:lang w:eastAsia="en-CA"/>
        </w:rPr>
        <w:t>O.J</w:t>
      </w:r>
      <w:proofErr w:type="spellEnd"/>
      <w:r w:rsidRPr="00D2526E">
        <w:rPr>
          <w:rFonts w:eastAsia="Times New Roman" w:cs="Times New Roman"/>
          <w:szCs w:val="20"/>
          <w:lang w:eastAsia="en-CA"/>
        </w:rPr>
        <w:t>. No. 6328 (</w:t>
      </w:r>
      <w:proofErr w:type="spellStart"/>
      <w:r w:rsidRPr="00D2526E">
        <w:rPr>
          <w:rFonts w:eastAsia="Times New Roman" w:cs="Times New Roman"/>
          <w:szCs w:val="20"/>
          <w:lang w:eastAsia="en-CA"/>
        </w:rPr>
        <w:t>QL</w:t>
      </w:r>
      <w:proofErr w:type="spellEnd"/>
      <w:r w:rsidRPr="00D2526E">
        <w:rPr>
          <w:rFonts w:eastAsia="Times New Roman" w:cs="Times New Roman"/>
          <w:szCs w:val="20"/>
          <w:lang w:eastAsia="en-CA"/>
        </w:rPr>
        <w:t xml:space="preserve">), 2018 </w:t>
      </w:r>
      <w:proofErr w:type="spellStart"/>
      <w:r w:rsidRPr="00D2526E">
        <w:rPr>
          <w:rFonts w:eastAsia="Times New Roman" w:cs="Times New Roman"/>
          <w:szCs w:val="20"/>
          <w:lang w:eastAsia="en-CA"/>
        </w:rPr>
        <w:t>CarswellOnt</w:t>
      </w:r>
      <w:proofErr w:type="spellEnd"/>
      <w:r w:rsidRPr="00D2526E">
        <w:rPr>
          <w:rFonts w:eastAsia="Times New Roman" w:cs="Times New Roman"/>
          <w:szCs w:val="20"/>
          <w:lang w:eastAsia="en-CA"/>
        </w:rPr>
        <w:t xml:space="preserve"> 20274 (</w:t>
      </w:r>
      <w:proofErr w:type="spellStart"/>
      <w:r w:rsidRPr="00D2526E">
        <w:rPr>
          <w:rFonts w:eastAsia="Times New Roman" w:cs="Times New Roman"/>
          <w:szCs w:val="20"/>
          <w:lang w:eastAsia="en-CA"/>
        </w:rPr>
        <w:t>WL</w:t>
      </w:r>
      <w:proofErr w:type="spellEnd"/>
      <w:r w:rsidRPr="00D2526E">
        <w:rPr>
          <w:rFonts w:eastAsia="Times New Roman" w:cs="Times New Roman"/>
          <w:szCs w:val="20"/>
          <w:lang w:eastAsia="en-CA"/>
        </w:rPr>
        <w:t>), et renvoyé l’affaire pour le prononcé du verdict. Pourvoi rejeté.</w:t>
      </w:r>
    </w:p>
    <w:p w14:paraId="31212BF6" w14:textId="77777777" w:rsidR="00D2526E" w:rsidRPr="00D2526E" w:rsidRDefault="00D2526E" w:rsidP="00D2526E">
      <w:pPr>
        <w:tabs>
          <w:tab w:val="left" w:pos="1168"/>
        </w:tabs>
        <w:spacing w:after="480" w:line="480" w:lineRule="auto"/>
        <w:jc w:val="both"/>
        <w:rPr>
          <w:rFonts w:eastAsia="Times New Roman" w:cs="Times New Roman"/>
          <w:szCs w:val="20"/>
          <w:lang w:eastAsia="en-CA"/>
        </w:rPr>
      </w:pPr>
      <w:r w:rsidRPr="00D2526E">
        <w:rPr>
          <w:rFonts w:eastAsia="Times New Roman" w:cs="Times New Roman"/>
          <w:i/>
          <w:szCs w:val="20"/>
          <w:lang w:eastAsia="en-CA"/>
        </w:rPr>
        <w:tab/>
        <w:t>Nader R. Hasan</w:t>
      </w:r>
      <w:r w:rsidRPr="00D2526E">
        <w:rPr>
          <w:rFonts w:eastAsia="Times New Roman" w:cs="Times New Roman"/>
          <w:szCs w:val="20"/>
          <w:lang w:eastAsia="en-CA"/>
        </w:rPr>
        <w:t xml:space="preserve"> et </w:t>
      </w:r>
      <w:proofErr w:type="spellStart"/>
      <w:r w:rsidRPr="00D2526E">
        <w:rPr>
          <w:rFonts w:eastAsia="Times New Roman" w:cs="Times New Roman"/>
          <w:i/>
          <w:szCs w:val="20"/>
          <w:lang w:eastAsia="en-CA"/>
        </w:rPr>
        <w:t>Caitlin</w:t>
      </w:r>
      <w:proofErr w:type="spellEnd"/>
      <w:r w:rsidRPr="00D2526E">
        <w:rPr>
          <w:rFonts w:eastAsia="Times New Roman" w:cs="Times New Roman"/>
          <w:i/>
          <w:szCs w:val="20"/>
          <w:lang w:eastAsia="en-CA"/>
        </w:rPr>
        <w:t xml:space="preserve"> </w:t>
      </w:r>
      <w:proofErr w:type="spellStart"/>
      <w:r w:rsidRPr="00D2526E">
        <w:rPr>
          <w:rFonts w:eastAsia="Times New Roman" w:cs="Times New Roman"/>
          <w:i/>
          <w:szCs w:val="20"/>
          <w:lang w:eastAsia="en-CA"/>
        </w:rPr>
        <w:t>Milne</w:t>
      </w:r>
      <w:proofErr w:type="spellEnd"/>
      <w:r w:rsidRPr="00D2526E">
        <w:rPr>
          <w:rFonts w:eastAsia="Times New Roman" w:cs="Times New Roman"/>
          <w:szCs w:val="20"/>
          <w:lang w:eastAsia="en-CA"/>
        </w:rPr>
        <w:t>, pour l’appelant.</w:t>
      </w:r>
    </w:p>
    <w:p w14:paraId="60A03BAE" w14:textId="77777777" w:rsidR="00D2526E" w:rsidRPr="00D2526E" w:rsidRDefault="00D2526E" w:rsidP="00D2526E">
      <w:pPr>
        <w:tabs>
          <w:tab w:val="left" w:pos="1168"/>
        </w:tabs>
        <w:spacing w:after="480" w:line="480" w:lineRule="auto"/>
        <w:jc w:val="both"/>
        <w:rPr>
          <w:rFonts w:eastAsia="Times New Roman" w:cs="Times New Roman"/>
          <w:szCs w:val="20"/>
          <w:lang w:eastAsia="en-CA"/>
        </w:rPr>
      </w:pPr>
      <w:r w:rsidRPr="00D2526E">
        <w:rPr>
          <w:rFonts w:eastAsia="Times New Roman" w:cs="Times New Roman"/>
          <w:i/>
          <w:szCs w:val="20"/>
          <w:lang w:eastAsia="en-CA"/>
        </w:rPr>
        <w:tab/>
        <w:t>Tracy Kozlowski</w:t>
      </w:r>
      <w:r w:rsidRPr="00D2526E">
        <w:rPr>
          <w:rFonts w:eastAsia="Times New Roman" w:cs="Times New Roman"/>
          <w:szCs w:val="20"/>
          <w:lang w:eastAsia="en-CA"/>
        </w:rPr>
        <w:t>, pour l’intimée.</w:t>
      </w:r>
    </w:p>
    <w:p w14:paraId="7E1E6EB4" w14:textId="77777777" w:rsidR="00D2526E" w:rsidRPr="00D2526E" w:rsidRDefault="00D2526E" w:rsidP="00D2526E">
      <w:pPr>
        <w:tabs>
          <w:tab w:val="left" w:pos="1168"/>
        </w:tabs>
        <w:spacing w:after="480" w:line="480" w:lineRule="auto"/>
        <w:jc w:val="both"/>
        <w:rPr>
          <w:rFonts w:eastAsia="Times New Roman" w:cs="Times New Roman"/>
          <w:szCs w:val="20"/>
          <w:lang w:eastAsia="en-CA"/>
        </w:rPr>
      </w:pPr>
      <w:r w:rsidRPr="00D2526E">
        <w:rPr>
          <w:rFonts w:eastAsia="Times New Roman" w:cs="Times New Roman"/>
          <w:szCs w:val="20"/>
          <w:lang w:eastAsia="en-CA"/>
        </w:rPr>
        <w:tab/>
        <w:t>Version française du jugement de la Cour rendu oralement par</w:t>
      </w:r>
    </w:p>
    <w:p w14:paraId="7089F031" w14:textId="77777777" w:rsidR="00D2526E" w:rsidRPr="00D2526E" w:rsidRDefault="00D2526E" w:rsidP="00D2526E">
      <w:pPr>
        <w:tabs>
          <w:tab w:val="num" w:pos="1152"/>
        </w:tabs>
        <w:spacing w:before="480" w:after="480" w:line="480" w:lineRule="auto"/>
        <w:jc w:val="both"/>
        <w:rPr>
          <w:rFonts w:eastAsiaTheme="minorEastAsia"/>
          <w:szCs w:val="22"/>
        </w:rPr>
      </w:pPr>
      <w:r w:rsidRPr="00D2526E">
        <w:rPr>
          <w:rFonts w:eastAsiaTheme="minorEastAsia"/>
          <w:szCs w:val="22"/>
        </w:rPr>
        <w:t>[1]</w:t>
      </w:r>
      <w:r w:rsidRPr="00D2526E">
        <w:rPr>
          <w:rFonts w:eastAsiaTheme="minorEastAsia"/>
          <w:szCs w:val="22"/>
        </w:rPr>
        <w:tab/>
      </w:r>
      <w:r w:rsidRPr="00D2526E">
        <w:rPr>
          <w:rFonts w:eastAsiaTheme="minorEastAsia"/>
          <w:smallCaps/>
          <w:szCs w:val="22"/>
        </w:rPr>
        <w:t xml:space="preserve">Le juge Brown </w:t>
      </w:r>
      <w:r w:rsidRPr="00D2526E">
        <w:rPr>
          <w:rFonts w:eastAsiaTheme="minorEastAsia"/>
          <w:szCs w:val="22"/>
        </w:rPr>
        <w:t xml:space="preserve">— </w:t>
      </w:r>
      <w:r w:rsidRPr="00D2526E">
        <w:rPr>
          <w:rFonts w:eastAsiaTheme="minorEastAsia"/>
          <w:color w:val="000000"/>
          <w:szCs w:val="22"/>
        </w:rPr>
        <w:t xml:space="preserve">L’appelant, Syed </w:t>
      </w:r>
      <w:proofErr w:type="spellStart"/>
      <w:r w:rsidRPr="00D2526E">
        <w:rPr>
          <w:rFonts w:eastAsiaTheme="minorEastAsia"/>
          <w:color w:val="000000"/>
          <w:szCs w:val="22"/>
        </w:rPr>
        <w:t>Adeel</w:t>
      </w:r>
      <w:proofErr w:type="spellEnd"/>
      <w:r w:rsidRPr="00D2526E">
        <w:rPr>
          <w:rFonts w:eastAsiaTheme="minorEastAsia"/>
          <w:color w:val="000000"/>
          <w:szCs w:val="22"/>
        </w:rPr>
        <w:t xml:space="preserve"> </w:t>
      </w:r>
      <w:proofErr w:type="spellStart"/>
      <w:r w:rsidRPr="00D2526E">
        <w:rPr>
          <w:rFonts w:eastAsiaTheme="minorEastAsia"/>
          <w:color w:val="000000"/>
          <w:szCs w:val="22"/>
        </w:rPr>
        <w:t>Safdar</w:t>
      </w:r>
      <w:proofErr w:type="spellEnd"/>
      <w:r w:rsidRPr="00D2526E">
        <w:rPr>
          <w:rFonts w:eastAsiaTheme="minorEastAsia"/>
          <w:color w:val="000000"/>
          <w:szCs w:val="22"/>
        </w:rPr>
        <w:t>, a été jugé pour des infractions liées à des mauvais traitements infligés à son épouse. Au terme de la présentation de la preuve et des plaidoiries, il a demandé l’arrêt des procédures pour cause de violation du droit d’être jugé dans un délai raisonnable que lui garantit l’</w:t>
      </w:r>
      <w:r w:rsidRPr="00D2526E">
        <w:rPr>
          <w:rFonts w:eastAsiaTheme="majorEastAsia"/>
          <w:szCs w:val="22"/>
        </w:rPr>
        <w:t>al. </w:t>
      </w:r>
      <w:proofErr w:type="spellStart"/>
      <w:r w:rsidRPr="00D2526E">
        <w:rPr>
          <w:rFonts w:eastAsiaTheme="majorEastAsia"/>
          <w:szCs w:val="22"/>
        </w:rPr>
        <w:t>11b</w:t>
      </w:r>
      <w:proofErr w:type="spellEnd"/>
      <w:r w:rsidRPr="00D2526E">
        <w:rPr>
          <w:rFonts w:eastAsiaTheme="majorEastAsia"/>
          <w:szCs w:val="22"/>
        </w:rPr>
        <w:t xml:space="preserve">) </w:t>
      </w:r>
      <w:r w:rsidRPr="00D2526E">
        <w:rPr>
          <w:rFonts w:eastAsiaTheme="minorEastAsia"/>
          <w:color w:val="000000"/>
          <w:szCs w:val="22"/>
        </w:rPr>
        <w:t xml:space="preserve">de la </w:t>
      </w:r>
      <w:r w:rsidRPr="00D2526E">
        <w:rPr>
          <w:rFonts w:eastAsiaTheme="majorEastAsia"/>
          <w:i/>
          <w:iCs/>
          <w:color w:val="000000"/>
          <w:szCs w:val="22"/>
        </w:rPr>
        <w:t>Charte canadienne des droits et libertés</w:t>
      </w:r>
      <w:r w:rsidRPr="00D2526E">
        <w:rPr>
          <w:rFonts w:eastAsiaTheme="minorEastAsia"/>
          <w:color w:val="000000"/>
          <w:szCs w:val="22"/>
        </w:rPr>
        <w:t>. Le juge du procès a entendu cette demande pendant qu’il préparait sa décision sur l’issue du procès proprement dit, puis il a mis l’affaire en délibéré et a accordé l’arrêt des procédures demandé. Dans ses motifs au soutien de l’ordonnance intimant l’arrêt des procédures, il a également indiqué qu’il avait complété sa décision concernant le procès, laquelle demeurerait sous scellés jusqu’à ce que soit décidé tout appel visant son ordonnance d’arrêt des procédures.</w:t>
      </w:r>
    </w:p>
    <w:p w14:paraId="76D06AEE" w14:textId="77777777" w:rsidR="00D2526E" w:rsidRPr="00D2526E" w:rsidRDefault="00D2526E" w:rsidP="00D2526E">
      <w:pPr>
        <w:tabs>
          <w:tab w:val="num" w:pos="1152"/>
        </w:tabs>
        <w:spacing w:before="480" w:after="480" w:line="480" w:lineRule="auto"/>
        <w:jc w:val="both"/>
        <w:rPr>
          <w:rFonts w:eastAsiaTheme="minorEastAsia"/>
          <w:szCs w:val="22"/>
        </w:rPr>
      </w:pPr>
      <w:r w:rsidRPr="00D2526E">
        <w:rPr>
          <w:rFonts w:eastAsiaTheme="minorEastAsia"/>
          <w:szCs w:val="22"/>
        </w:rPr>
        <w:t>[2]</w:t>
      </w:r>
      <w:r w:rsidRPr="00D2526E">
        <w:rPr>
          <w:rFonts w:eastAsiaTheme="minorEastAsia"/>
          <w:szCs w:val="22"/>
        </w:rPr>
        <w:tab/>
      </w:r>
      <w:r w:rsidRPr="00D2526E">
        <w:rPr>
          <w:rFonts w:eastAsiaTheme="minorEastAsia"/>
          <w:color w:val="000000"/>
          <w:szCs w:val="22"/>
        </w:rPr>
        <w:t xml:space="preserve">La Couronne a fait appel de l’arrêt des procédures, plaidant que, en vertu de l’arrêt de notre Cour dans l’affaire </w:t>
      </w:r>
      <w:r w:rsidRPr="00D2526E">
        <w:rPr>
          <w:rFonts w:eastAsiaTheme="minorEastAsia"/>
          <w:i/>
          <w:iCs/>
          <w:color w:val="000000"/>
          <w:szCs w:val="22"/>
        </w:rPr>
        <w:t xml:space="preserve">R. c. </w:t>
      </w:r>
      <w:proofErr w:type="spellStart"/>
      <w:r w:rsidRPr="00D2526E">
        <w:rPr>
          <w:rFonts w:eastAsiaTheme="minorEastAsia"/>
          <w:i/>
          <w:iCs/>
          <w:color w:val="000000"/>
          <w:szCs w:val="22"/>
        </w:rPr>
        <w:t>K.G.K</w:t>
      </w:r>
      <w:proofErr w:type="spellEnd"/>
      <w:r w:rsidRPr="00D2526E">
        <w:rPr>
          <w:rFonts w:eastAsiaTheme="minorEastAsia"/>
          <w:i/>
          <w:iCs/>
          <w:color w:val="000000"/>
          <w:szCs w:val="22"/>
        </w:rPr>
        <w:t>.</w:t>
      </w:r>
      <w:r w:rsidRPr="00D2526E">
        <w:rPr>
          <w:rFonts w:eastAsiaTheme="minorEastAsia"/>
          <w:color w:val="000000"/>
          <w:szCs w:val="22"/>
        </w:rPr>
        <w:t xml:space="preserve">, 2020 CSC 7, [2020] 1 </w:t>
      </w:r>
      <w:proofErr w:type="spellStart"/>
      <w:r w:rsidRPr="00D2526E">
        <w:rPr>
          <w:rFonts w:eastAsiaTheme="minorEastAsia"/>
          <w:color w:val="000000"/>
          <w:szCs w:val="22"/>
        </w:rPr>
        <w:t>R.C.S</w:t>
      </w:r>
      <w:proofErr w:type="spellEnd"/>
      <w:r w:rsidRPr="00D2526E">
        <w:rPr>
          <w:rFonts w:eastAsiaTheme="minorEastAsia"/>
          <w:color w:val="000000"/>
          <w:szCs w:val="22"/>
        </w:rPr>
        <w:t xml:space="preserve">. 364 (dont ne disposait pas le juge du procès), ce dernier avait fait erreur en comptabilisant dans le délai total la période allant de la fin de la présentation de la preuve et des plaidoiries jusqu’au prononcé de la décision sur l’arrêt des procédures. Sans cette erreur, le délai total était inférieur à 30 mois. La Cour d’appel de l’Ontario a accepté cet argument, annulé l’ordonnance d’arrêt des procédures et renvoyé l’affaire au juge du procès pour qu’il rende sa décision sur l’issue du procès proprement dit. Monsieur </w:t>
      </w:r>
      <w:proofErr w:type="spellStart"/>
      <w:r w:rsidRPr="00D2526E">
        <w:rPr>
          <w:rFonts w:eastAsiaTheme="minorEastAsia"/>
          <w:color w:val="000000"/>
          <w:szCs w:val="22"/>
        </w:rPr>
        <w:t>Safdar</w:t>
      </w:r>
      <w:proofErr w:type="spellEnd"/>
      <w:r w:rsidRPr="00D2526E">
        <w:rPr>
          <w:rFonts w:eastAsiaTheme="minorEastAsia"/>
          <w:color w:val="000000"/>
          <w:szCs w:val="22"/>
        </w:rPr>
        <w:t xml:space="preserve"> se pourvoit maintenant contre cet arrêt devant la Cour.</w:t>
      </w:r>
    </w:p>
    <w:p w14:paraId="34A3124A" w14:textId="77777777" w:rsidR="00D2526E" w:rsidRPr="00D2526E" w:rsidRDefault="00D2526E" w:rsidP="00D2526E">
      <w:pPr>
        <w:tabs>
          <w:tab w:val="num" w:pos="1152"/>
        </w:tabs>
        <w:spacing w:before="480" w:after="480" w:line="480" w:lineRule="auto"/>
        <w:jc w:val="both"/>
        <w:rPr>
          <w:rFonts w:eastAsiaTheme="minorEastAsia"/>
          <w:szCs w:val="22"/>
        </w:rPr>
      </w:pPr>
      <w:r w:rsidRPr="00D2526E">
        <w:rPr>
          <w:rFonts w:eastAsiaTheme="minorEastAsia"/>
          <w:szCs w:val="22"/>
        </w:rPr>
        <w:t>[3]</w:t>
      </w:r>
      <w:r w:rsidRPr="00D2526E">
        <w:rPr>
          <w:rFonts w:eastAsiaTheme="minorEastAsia"/>
          <w:szCs w:val="22"/>
        </w:rPr>
        <w:tab/>
      </w:r>
      <w:r w:rsidRPr="00D2526E">
        <w:rPr>
          <w:rFonts w:eastAsiaTheme="minorEastAsia"/>
          <w:color w:val="000000"/>
          <w:szCs w:val="22"/>
        </w:rPr>
        <w:t xml:space="preserve">À l’instar de la Cour d’appel, nous sommes d’avis que l’arrêt </w:t>
      </w:r>
      <w:proofErr w:type="spellStart"/>
      <w:r w:rsidRPr="00D2526E">
        <w:rPr>
          <w:rFonts w:eastAsiaTheme="minorEastAsia"/>
          <w:i/>
          <w:iCs/>
          <w:color w:val="000000"/>
          <w:szCs w:val="22"/>
        </w:rPr>
        <w:t>K.G.K</w:t>
      </w:r>
      <w:proofErr w:type="spellEnd"/>
      <w:r w:rsidRPr="00D2526E">
        <w:rPr>
          <w:rFonts w:eastAsiaTheme="minorEastAsia"/>
          <w:i/>
          <w:iCs/>
          <w:color w:val="000000"/>
          <w:szCs w:val="22"/>
        </w:rPr>
        <w:t>.</w:t>
      </w:r>
      <w:r w:rsidRPr="00D2526E">
        <w:rPr>
          <w:rFonts w:eastAsiaTheme="minorEastAsia"/>
          <w:color w:val="000000"/>
          <w:szCs w:val="22"/>
        </w:rPr>
        <w:t xml:space="preserve"> est décisif en ce qui concerne la question centrale du présent pourvoi. Pour déterminer si le délai total excédait le plafond présumé fixé dans </w:t>
      </w:r>
      <w:r w:rsidRPr="00D2526E">
        <w:rPr>
          <w:rFonts w:eastAsiaTheme="minorEastAsia"/>
          <w:i/>
          <w:iCs/>
          <w:color w:val="000000"/>
          <w:szCs w:val="22"/>
        </w:rPr>
        <w:t>Jordan</w:t>
      </w:r>
      <w:r w:rsidRPr="00D2526E">
        <w:rPr>
          <w:rFonts w:eastAsiaTheme="minorEastAsia"/>
          <w:color w:val="000000"/>
          <w:szCs w:val="22"/>
        </w:rPr>
        <w:t>, la période écoulée entre, d’une part, la clôture de la preuve et des plaidoiries, et, d’autre part, le dépôt de la demande fondée sur l’</w:t>
      </w:r>
      <w:r w:rsidRPr="00D2526E">
        <w:rPr>
          <w:rFonts w:eastAsiaTheme="majorEastAsia"/>
          <w:szCs w:val="22"/>
        </w:rPr>
        <w:t>al. </w:t>
      </w:r>
      <w:proofErr w:type="spellStart"/>
      <w:r w:rsidRPr="00D2526E">
        <w:rPr>
          <w:rFonts w:eastAsiaTheme="majorEastAsia"/>
          <w:szCs w:val="22"/>
        </w:rPr>
        <w:t>11b</w:t>
      </w:r>
      <w:proofErr w:type="spellEnd"/>
      <w:r w:rsidRPr="00D2526E">
        <w:rPr>
          <w:rFonts w:eastAsiaTheme="majorEastAsia"/>
          <w:szCs w:val="22"/>
        </w:rPr>
        <w:t>)</w:t>
      </w:r>
      <w:r w:rsidRPr="00D2526E">
        <w:rPr>
          <w:rFonts w:eastAsiaTheme="minorEastAsia"/>
          <w:color w:val="000000"/>
          <w:szCs w:val="22"/>
        </w:rPr>
        <w:t>, n’aurait pas dû être comptabilisée (</w:t>
      </w:r>
      <w:proofErr w:type="spellStart"/>
      <w:r w:rsidRPr="00D2526E">
        <w:rPr>
          <w:rFonts w:eastAsiaTheme="minorEastAsia"/>
          <w:i/>
          <w:iCs/>
          <w:color w:val="000000"/>
          <w:szCs w:val="22"/>
        </w:rPr>
        <w:t>K.G.K</w:t>
      </w:r>
      <w:proofErr w:type="spellEnd"/>
      <w:r w:rsidRPr="00D2526E">
        <w:rPr>
          <w:rFonts w:eastAsiaTheme="minorEastAsia"/>
          <w:i/>
          <w:iCs/>
          <w:color w:val="000000"/>
          <w:szCs w:val="22"/>
        </w:rPr>
        <w:t>.</w:t>
      </w:r>
      <w:r w:rsidRPr="00D2526E">
        <w:rPr>
          <w:rFonts w:eastAsiaTheme="minorEastAsia"/>
          <w:color w:val="000000"/>
          <w:szCs w:val="22"/>
        </w:rPr>
        <w:t xml:space="preserve">, par. 31 et 33; </w:t>
      </w:r>
      <w:r w:rsidRPr="00D2526E">
        <w:rPr>
          <w:rFonts w:eastAsiaTheme="minorEastAsia"/>
          <w:i/>
          <w:iCs/>
          <w:color w:val="000000"/>
          <w:szCs w:val="22"/>
        </w:rPr>
        <w:t xml:space="preserve">R. c. </w:t>
      </w:r>
      <w:proofErr w:type="spellStart"/>
      <w:r w:rsidRPr="00D2526E">
        <w:rPr>
          <w:rFonts w:eastAsiaTheme="minorEastAsia"/>
          <w:i/>
          <w:iCs/>
          <w:color w:val="000000"/>
          <w:szCs w:val="22"/>
        </w:rPr>
        <w:t>J.F</w:t>
      </w:r>
      <w:proofErr w:type="spellEnd"/>
      <w:r w:rsidRPr="00D2526E">
        <w:rPr>
          <w:rFonts w:eastAsiaTheme="minorEastAsia"/>
          <w:i/>
          <w:iCs/>
          <w:color w:val="000000"/>
          <w:szCs w:val="22"/>
        </w:rPr>
        <w:t>.</w:t>
      </w:r>
      <w:r w:rsidRPr="00D2526E">
        <w:rPr>
          <w:rFonts w:eastAsiaTheme="minorEastAsia"/>
          <w:color w:val="000000"/>
          <w:szCs w:val="22"/>
        </w:rPr>
        <w:t>, 2022 CSC 17, par. 27).</w:t>
      </w:r>
    </w:p>
    <w:p w14:paraId="6F017506" w14:textId="77777777" w:rsidR="00D2526E" w:rsidRPr="00D2526E" w:rsidRDefault="00D2526E" w:rsidP="00D2526E">
      <w:pPr>
        <w:tabs>
          <w:tab w:val="num" w:pos="1152"/>
        </w:tabs>
        <w:spacing w:before="480" w:after="480" w:line="480" w:lineRule="auto"/>
        <w:jc w:val="both"/>
        <w:rPr>
          <w:rFonts w:eastAsiaTheme="minorEastAsia"/>
          <w:szCs w:val="22"/>
        </w:rPr>
      </w:pPr>
      <w:r w:rsidRPr="00D2526E">
        <w:rPr>
          <w:rFonts w:eastAsiaTheme="minorEastAsia"/>
          <w:szCs w:val="22"/>
        </w:rPr>
        <w:t>[4]</w:t>
      </w:r>
      <w:r w:rsidRPr="00D2526E">
        <w:rPr>
          <w:rFonts w:eastAsiaTheme="minorEastAsia"/>
          <w:szCs w:val="22"/>
        </w:rPr>
        <w:tab/>
      </w:r>
      <w:r w:rsidRPr="00D2526E">
        <w:rPr>
          <w:rFonts w:eastAsiaTheme="minorEastAsia"/>
          <w:color w:val="000000"/>
          <w:szCs w:val="22"/>
        </w:rPr>
        <w:t>À notre avis, M. </w:t>
      </w:r>
      <w:proofErr w:type="spellStart"/>
      <w:r w:rsidRPr="00D2526E">
        <w:rPr>
          <w:rFonts w:eastAsiaTheme="minorEastAsia"/>
          <w:color w:val="000000"/>
          <w:szCs w:val="22"/>
        </w:rPr>
        <w:t>Safdar</w:t>
      </w:r>
      <w:proofErr w:type="spellEnd"/>
      <w:r w:rsidRPr="00D2526E">
        <w:rPr>
          <w:rFonts w:eastAsiaTheme="minorEastAsia"/>
          <w:color w:val="000000"/>
          <w:szCs w:val="22"/>
        </w:rPr>
        <w:t xml:space="preserve"> n’a pas non plus établi, et ce, malgré l’excellente argumentation présentée par M</w:t>
      </w:r>
      <w:r w:rsidRPr="00D2526E">
        <w:rPr>
          <w:rFonts w:eastAsiaTheme="minorEastAsia"/>
          <w:color w:val="000000"/>
          <w:szCs w:val="22"/>
          <w:vertAlign w:val="superscript"/>
        </w:rPr>
        <w:t>e</w:t>
      </w:r>
      <w:r w:rsidRPr="00D2526E">
        <w:rPr>
          <w:rFonts w:eastAsiaTheme="minorEastAsia"/>
          <w:color w:val="000000"/>
          <w:szCs w:val="22"/>
        </w:rPr>
        <w:t> Hasan devant nous, que le délai total de 29,25 mois était nettement plus long que le délai qui était raisonnable eu égard au contexte global du procès (</w:t>
      </w:r>
      <w:proofErr w:type="spellStart"/>
      <w:r w:rsidRPr="00D2526E">
        <w:rPr>
          <w:rFonts w:eastAsiaTheme="minorEastAsia"/>
          <w:i/>
          <w:iCs/>
          <w:color w:val="000000"/>
          <w:szCs w:val="22"/>
        </w:rPr>
        <w:t>K.G.K</w:t>
      </w:r>
      <w:proofErr w:type="spellEnd"/>
      <w:r w:rsidRPr="00D2526E">
        <w:rPr>
          <w:rFonts w:eastAsiaTheme="minorEastAsia"/>
          <w:i/>
          <w:iCs/>
          <w:color w:val="000000"/>
          <w:szCs w:val="22"/>
        </w:rPr>
        <w:t>.</w:t>
      </w:r>
      <w:r w:rsidRPr="00D2526E">
        <w:rPr>
          <w:rFonts w:eastAsiaTheme="minorEastAsia"/>
          <w:color w:val="000000"/>
          <w:szCs w:val="22"/>
        </w:rPr>
        <w:t>, par. 3, 23 et 54</w:t>
      </w:r>
      <w:r w:rsidRPr="00D2526E">
        <w:rPr>
          <w:rFonts w:eastAsiaTheme="minorEastAsia"/>
          <w:color w:val="000000"/>
          <w:szCs w:val="22"/>
        </w:rPr>
        <w:noBreakHyphen/>
        <w:t>55), compte tenu du temps qu’a pris la demande, de la complexité moyenne de l’affaire et des autres contraintes institutionnelles qu’il invoque (</w:t>
      </w:r>
      <w:proofErr w:type="spellStart"/>
      <w:r w:rsidRPr="00D2526E">
        <w:rPr>
          <w:rFonts w:eastAsiaTheme="minorEastAsia"/>
          <w:i/>
          <w:iCs/>
          <w:color w:val="000000"/>
          <w:szCs w:val="22"/>
        </w:rPr>
        <w:t>K.G.K</w:t>
      </w:r>
      <w:proofErr w:type="spellEnd"/>
      <w:r w:rsidRPr="00D2526E">
        <w:rPr>
          <w:rFonts w:eastAsiaTheme="minorEastAsia"/>
          <w:i/>
          <w:iCs/>
          <w:color w:val="000000"/>
          <w:szCs w:val="22"/>
        </w:rPr>
        <w:t>.</w:t>
      </w:r>
      <w:r w:rsidRPr="00D2526E">
        <w:rPr>
          <w:rFonts w:eastAsiaTheme="minorEastAsia"/>
          <w:color w:val="000000"/>
          <w:szCs w:val="22"/>
        </w:rPr>
        <w:t>, par. 65 et 68</w:t>
      </w:r>
      <w:r w:rsidRPr="00D2526E">
        <w:rPr>
          <w:rFonts w:eastAsiaTheme="minorEastAsia"/>
          <w:color w:val="000000"/>
          <w:szCs w:val="22"/>
        </w:rPr>
        <w:noBreakHyphen/>
        <w:t>72).</w:t>
      </w:r>
    </w:p>
    <w:p w14:paraId="25F366B6" w14:textId="77777777" w:rsidR="00D2526E" w:rsidRPr="00D2526E" w:rsidRDefault="00D2526E" w:rsidP="00D2526E">
      <w:pPr>
        <w:tabs>
          <w:tab w:val="num" w:pos="1152"/>
        </w:tabs>
        <w:spacing w:before="480" w:after="480" w:line="480" w:lineRule="auto"/>
        <w:jc w:val="both"/>
        <w:rPr>
          <w:rFonts w:eastAsiaTheme="minorEastAsia"/>
          <w:szCs w:val="22"/>
        </w:rPr>
      </w:pPr>
      <w:r w:rsidRPr="00D2526E">
        <w:rPr>
          <w:rFonts w:eastAsiaTheme="minorEastAsia"/>
          <w:szCs w:val="22"/>
        </w:rPr>
        <w:t>[5]</w:t>
      </w:r>
      <w:r w:rsidRPr="00D2526E">
        <w:rPr>
          <w:rFonts w:eastAsiaTheme="minorEastAsia"/>
          <w:szCs w:val="22"/>
        </w:rPr>
        <w:tab/>
      </w:r>
      <w:r w:rsidRPr="00D2526E">
        <w:rPr>
          <w:rFonts w:eastAsiaTheme="minorEastAsia"/>
          <w:color w:val="000000"/>
          <w:szCs w:val="22"/>
        </w:rPr>
        <w:t>Nous souscrivons également à la façon dont la Cour d’appel tranche les autres questions soulevées par M. </w:t>
      </w:r>
      <w:proofErr w:type="spellStart"/>
      <w:r w:rsidRPr="00D2526E">
        <w:rPr>
          <w:rFonts w:eastAsiaTheme="minorEastAsia"/>
          <w:color w:val="000000"/>
          <w:szCs w:val="22"/>
        </w:rPr>
        <w:t>Safdar</w:t>
      </w:r>
      <w:proofErr w:type="spellEnd"/>
      <w:r w:rsidRPr="00D2526E">
        <w:rPr>
          <w:rFonts w:eastAsiaTheme="minorEastAsia"/>
          <w:color w:val="000000"/>
          <w:szCs w:val="22"/>
        </w:rPr>
        <w:t xml:space="preserve"> dans le présent pourvoi, essentiellement pour les motifs qu’elle expose à cet égard.</w:t>
      </w:r>
    </w:p>
    <w:p w14:paraId="05B80D97" w14:textId="77777777" w:rsidR="00D2526E" w:rsidRPr="00D2526E" w:rsidRDefault="00D2526E" w:rsidP="00D2526E">
      <w:pPr>
        <w:tabs>
          <w:tab w:val="num" w:pos="1152"/>
        </w:tabs>
        <w:spacing w:before="480" w:after="480" w:line="480" w:lineRule="auto"/>
        <w:jc w:val="both"/>
        <w:rPr>
          <w:rFonts w:eastAsiaTheme="minorEastAsia"/>
          <w:szCs w:val="22"/>
        </w:rPr>
      </w:pPr>
      <w:r w:rsidRPr="00D2526E">
        <w:rPr>
          <w:rFonts w:eastAsiaTheme="minorEastAsia"/>
          <w:szCs w:val="22"/>
        </w:rPr>
        <w:t>[6]</w:t>
      </w:r>
      <w:r w:rsidRPr="00D2526E">
        <w:rPr>
          <w:rFonts w:eastAsiaTheme="minorEastAsia"/>
          <w:szCs w:val="22"/>
        </w:rPr>
        <w:tab/>
      </w:r>
      <w:r w:rsidRPr="00D2526E">
        <w:rPr>
          <w:rFonts w:eastAsiaTheme="minorEastAsia"/>
          <w:color w:val="000000"/>
          <w:szCs w:val="22"/>
        </w:rPr>
        <w:t>Le pourvoi est rejeté.</w:t>
      </w:r>
    </w:p>
    <w:p w14:paraId="00EE198C" w14:textId="77777777" w:rsidR="00D2526E" w:rsidRPr="00D2526E" w:rsidRDefault="00D2526E" w:rsidP="00D2526E">
      <w:pPr>
        <w:tabs>
          <w:tab w:val="left" w:pos="1168"/>
        </w:tabs>
        <w:spacing w:after="480" w:line="480" w:lineRule="auto"/>
        <w:jc w:val="both"/>
        <w:rPr>
          <w:rFonts w:eastAsia="Times New Roman" w:cs="Times New Roman"/>
          <w:i/>
          <w:szCs w:val="20"/>
          <w:lang w:eastAsia="en-CA"/>
        </w:rPr>
      </w:pPr>
      <w:r w:rsidRPr="00D2526E">
        <w:rPr>
          <w:rFonts w:eastAsia="Times New Roman" w:cs="Times New Roman"/>
          <w:szCs w:val="20"/>
          <w:lang w:eastAsia="en-CA"/>
        </w:rPr>
        <w:tab/>
      </w:r>
      <w:r w:rsidRPr="00D2526E">
        <w:rPr>
          <w:rFonts w:eastAsia="Times New Roman" w:cs="Times New Roman"/>
          <w:i/>
          <w:szCs w:val="20"/>
          <w:lang w:eastAsia="en-CA"/>
        </w:rPr>
        <w:t>Jugement en conséquence.</w:t>
      </w:r>
    </w:p>
    <w:p w14:paraId="4956D278" w14:textId="77777777" w:rsidR="00D2526E" w:rsidRPr="00D2526E" w:rsidRDefault="00D2526E" w:rsidP="00D2526E">
      <w:pPr>
        <w:tabs>
          <w:tab w:val="left" w:pos="1168"/>
        </w:tabs>
        <w:spacing w:after="480" w:line="480" w:lineRule="auto"/>
        <w:jc w:val="both"/>
        <w:rPr>
          <w:rFonts w:eastAsia="Times New Roman" w:cs="Times New Roman"/>
          <w:i/>
          <w:szCs w:val="20"/>
          <w:lang w:eastAsia="en-CA"/>
        </w:rPr>
      </w:pPr>
      <w:r w:rsidRPr="00D2526E">
        <w:rPr>
          <w:rFonts w:eastAsia="Times New Roman" w:cs="Times New Roman"/>
          <w:i/>
          <w:szCs w:val="20"/>
          <w:lang w:eastAsia="en-CA"/>
        </w:rPr>
        <w:tab/>
        <w:t xml:space="preserve">Procureurs de l’appelant : </w:t>
      </w:r>
      <w:proofErr w:type="spellStart"/>
      <w:r w:rsidRPr="00D2526E">
        <w:rPr>
          <w:rFonts w:eastAsia="Times New Roman" w:cs="Times New Roman"/>
          <w:i/>
          <w:szCs w:val="20"/>
          <w:lang w:eastAsia="en-CA"/>
        </w:rPr>
        <w:t>Stockwoods</w:t>
      </w:r>
      <w:proofErr w:type="spellEnd"/>
      <w:r w:rsidRPr="00D2526E">
        <w:rPr>
          <w:rFonts w:eastAsia="Times New Roman" w:cs="Times New Roman"/>
          <w:i/>
          <w:szCs w:val="20"/>
          <w:lang w:eastAsia="en-CA"/>
        </w:rPr>
        <w:t>, Toronto.</w:t>
      </w:r>
    </w:p>
    <w:p w14:paraId="22D531CB" w14:textId="77777777" w:rsidR="00D2526E" w:rsidRPr="00D2526E" w:rsidRDefault="00D2526E" w:rsidP="00D2526E">
      <w:pPr>
        <w:tabs>
          <w:tab w:val="left" w:pos="1168"/>
        </w:tabs>
        <w:spacing w:after="480" w:line="480" w:lineRule="auto"/>
        <w:jc w:val="both"/>
        <w:rPr>
          <w:rFonts w:eastAsia="Times New Roman" w:cs="Times New Roman"/>
          <w:i/>
          <w:szCs w:val="20"/>
          <w:lang w:eastAsia="en-CA"/>
        </w:rPr>
      </w:pPr>
      <w:r w:rsidRPr="00D2526E">
        <w:rPr>
          <w:rFonts w:eastAsia="Times New Roman" w:cs="Times New Roman"/>
          <w:i/>
          <w:szCs w:val="20"/>
          <w:lang w:eastAsia="en-CA"/>
        </w:rPr>
        <w:tab/>
        <w:t>Procureur de l’intimée : Procureur général de l’Ontario, Toronto.</w:t>
      </w:r>
    </w:p>
    <w:p w14:paraId="714DCB0E" w14:textId="77777777" w:rsidR="00D2526E" w:rsidRPr="007E2EBE" w:rsidRDefault="00D2526E">
      <w:bookmarkStart w:id="0" w:name="_GoBack"/>
      <w:bookmarkEnd w:id="0"/>
    </w:p>
    <w:sectPr w:rsidR="00D2526E" w:rsidRPr="007E2EBE" w:rsidSect="00F72014">
      <w:headerReference w:type="default" r:id="rId9"/>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288A" w14:textId="77777777" w:rsidR="000F4467" w:rsidRDefault="000F4467" w:rsidP="00F72014">
      <w:r>
        <w:separator/>
      </w:r>
    </w:p>
  </w:endnote>
  <w:endnote w:type="continuationSeparator" w:id="0">
    <w:p w14:paraId="3E3554ED" w14:textId="77777777"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0BCB" w14:textId="77777777" w:rsidR="000F4467" w:rsidRDefault="000F4467" w:rsidP="00F72014">
      <w:r>
        <w:separator/>
      </w:r>
    </w:p>
  </w:footnote>
  <w:footnote w:type="continuationSeparator" w:id="0">
    <w:p w14:paraId="02F1E528" w14:textId="77777777"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15F5" w14:textId="77777777" w:rsidR="00196882" w:rsidRDefault="00196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D1436"/>
    <w:rsid w:val="000E60EB"/>
    <w:rsid w:val="000F2EE9"/>
    <w:rsid w:val="000F4467"/>
    <w:rsid w:val="00100074"/>
    <w:rsid w:val="001311DA"/>
    <w:rsid w:val="00177E57"/>
    <w:rsid w:val="00196882"/>
    <w:rsid w:val="001A2CF8"/>
    <w:rsid w:val="001C71E5"/>
    <w:rsid w:val="001D6B8C"/>
    <w:rsid w:val="001E12E2"/>
    <w:rsid w:val="001E5B5A"/>
    <w:rsid w:val="001F1F83"/>
    <w:rsid w:val="00256B56"/>
    <w:rsid w:val="0028675F"/>
    <w:rsid w:val="0029156B"/>
    <w:rsid w:val="002B4BE8"/>
    <w:rsid w:val="002E18C1"/>
    <w:rsid w:val="002F0B6C"/>
    <w:rsid w:val="0034676B"/>
    <w:rsid w:val="00355967"/>
    <w:rsid w:val="0036772A"/>
    <w:rsid w:val="003842B3"/>
    <w:rsid w:val="00384384"/>
    <w:rsid w:val="003B2BE1"/>
    <w:rsid w:val="003B3C63"/>
    <w:rsid w:val="003B7306"/>
    <w:rsid w:val="00423C0D"/>
    <w:rsid w:val="00457441"/>
    <w:rsid w:val="00460AFC"/>
    <w:rsid w:val="00467372"/>
    <w:rsid w:val="004B6D25"/>
    <w:rsid w:val="004C6A16"/>
    <w:rsid w:val="004E69EC"/>
    <w:rsid w:val="004F090E"/>
    <w:rsid w:val="004F7322"/>
    <w:rsid w:val="00535189"/>
    <w:rsid w:val="00582136"/>
    <w:rsid w:val="0058383C"/>
    <w:rsid w:val="005843C1"/>
    <w:rsid w:val="005B12F4"/>
    <w:rsid w:val="005C0397"/>
    <w:rsid w:val="005D5624"/>
    <w:rsid w:val="005E0ECF"/>
    <w:rsid w:val="005F5FF1"/>
    <w:rsid w:val="006034F1"/>
    <w:rsid w:val="006936F1"/>
    <w:rsid w:val="00696CB9"/>
    <w:rsid w:val="006A42EB"/>
    <w:rsid w:val="006D697E"/>
    <w:rsid w:val="00701ABD"/>
    <w:rsid w:val="0074654A"/>
    <w:rsid w:val="007740CA"/>
    <w:rsid w:val="00787F6E"/>
    <w:rsid w:val="007E2EBE"/>
    <w:rsid w:val="008029A6"/>
    <w:rsid w:val="008029AC"/>
    <w:rsid w:val="00803557"/>
    <w:rsid w:val="00812BEF"/>
    <w:rsid w:val="008215C3"/>
    <w:rsid w:val="00842677"/>
    <w:rsid w:val="008714CB"/>
    <w:rsid w:val="00880B14"/>
    <w:rsid w:val="008A016A"/>
    <w:rsid w:val="008B5797"/>
    <w:rsid w:val="008C75A4"/>
    <w:rsid w:val="008F4691"/>
    <w:rsid w:val="00904937"/>
    <w:rsid w:val="00996510"/>
    <w:rsid w:val="009F0F2D"/>
    <w:rsid w:val="00A51442"/>
    <w:rsid w:val="00A51D10"/>
    <w:rsid w:val="00A863F7"/>
    <w:rsid w:val="00AB2201"/>
    <w:rsid w:val="00B35708"/>
    <w:rsid w:val="00BA5539"/>
    <w:rsid w:val="00BB44BE"/>
    <w:rsid w:val="00BD4217"/>
    <w:rsid w:val="00BE4D0D"/>
    <w:rsid w:val="00C32389"/>
    <w:rsid w:val="00C34313"/>
    <w:rsid w:val="00CA3730"/>
    <w:rsid w:val="00CD24CC"/>
    <w:rsid w:val="00D030DA"/>
    <w:rsid w:val="00D056AE"/>
    <w:rsid w:val="00D07EED"/>
    <w:rsid w:val="00D2526E"/>
    <w:rsid w:val="00D303FB"/>
    <w:rsid w:val="00D5237B"/>
    <w:rsid w:val="00D751FC"/>
    <w:rsid w:val="00D76BDF"/>
    <w:rsid w:val="00D948CB"/>
    <w:rsid w:val="00DF7DE9"/>
    <w:rsid w:val="00E1627B"/>
    <w:rsid w:val="00E356C7"/>
    <w:rsid w:val="00E50974"/>
    <w:rsid w:val="00E51B98"/>
    <w:rsid w:val="00E53ED9"/>
    <w:rsid w:val="00E64FA7"/>
    <w:rsid w:val="00E7577F"/>
    <w:rsid w:val="00E770CB"/>
    <w:rsid w:val="00E87EB5"/>
    <w:rsid w:val="00F01FC5"/>
    <w:rsid w:val="00F060D9"/>
    <w:rsid w:val="00F25646"/>
    <w:rsid w:val="00F72014"/>
    <w:rsid w:val="00F82B14"/>
    <w:rsid w:val="00F837E7"/>
    <w:rsid w:val="00F9518C"/>
    <w:rsid w:val="00FA0E3E"/>
    <w:rsid w:val="00FA59EF"/>
    <w:rsid w:val="00FB1604"/>
    <w:rsid w:val="00FB616D"/>
    <w:rsid w:val="00FE57D3"/>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BD6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character" w:styleId="CommentReference">
    <w:name w:val="annotation reference"/>
    <w:basedOn w:val="DefaultParagraphFont"/>
    <w:uiPriority w:val="99"/>
    <w:semiHidden/>
    <w:unhideWhenUsed/>
    <w:rsid w:val="00E1627B"/>
    <w:rPr>
      <w:sz w:val="16"/>
      <w:szCs w:val="16"/>
    </w:rPr>
  </w:style>
  <w:style w:type="paragraph" w:styleId="CommentText">
    <w:name w:val="annotation text"/>
    <w:basedOn w:val="Normal"/>
    <w:link w:val="CommentTextChar"/>
    <w:uiPriority w:val="99"/>
    <w:semiHidden/>
    <w:unhideWhenUsed/>
    <w:rsid w:val="00E1627B"/>
    <w:rPr>
      <w:sz w:val="20"/>
      <w:szCs w:val="20"/>
    </w:rPr>
  </w:style>
  <w:style w:type="character" w:customStyle="1" w:styleId="CommentTextChar">
    <w:name w:val="Comment Text Char"/>
    <w:basedOn w:val="DefaultParagraphFont"/>
    <w:link w:val="CommentText"/>
    <w:uiPriority w:val="99"/>
    <w:semiHidden/>
    <w:rsid w:val="00E1627B"/>
    <w:rPr>
      <w:sz w:val="20"/>
      <w:szCs w:val="20"/>
      <w:lang w:val="fr-CA"/>
    </w:rPr>
  </w:style>
  <w:style w:type="paragraph" w:styleId="CommentSubject">
    <w:name w:val="annotation subject"/>
    <w:basedOn w:val="CommentText"/>
    <w:next w:val="CommentText"/>
    <w:link w:val="CommentSubjectChar"/>
    <w:uiPriority w:val="99"/>
    <w:semiHidden/>
    <w:unhideWhenUsed/>
    <w:rsid w:val="00E1627B"/>
    <w:rPr>
      <w:b/>
      <w:bCs/>
    </w:rPr>
  </w:style>
  <w:style w:type="character" w:customStyle="1" w:styleId="CommentSubjectChar">
    <w:name w:val="Comment Subject Char"/>
    <w:basedOn w:val="CommentTextChar"/>
    <w:link w:val="CommentSubject"/>
    <w:uiPriority w:val="99"/>
    <w:semiHidden/>
    <w:rsid w:val="00E1627B"/>
    <w:rPr>
      <w:b/>
      <w:bCs/>
      <w:sz w:val="20"/>
      <w:szCs w:val="20"/>
      <w:lang w:val="fr-CA"/>
    </w:rPr>
  </w:style>
  <w:style w:type="character" w:styleId="Hyperlink">
    <w:name w:val="Hyperlink"/>
    <w:basedOn w:val="DefaultParagraphFont"/>
    <w:uiPriority w:val="99"/>
    <w:unhideWhenUsed/>
    <w:rsid w:val="00FB1604"/>
    <w:rPr>
      <w:color w:val="7D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tariocourts.ca/decisions/2021/2021ONCA0207.pdf" TargetMode="External"/><Relationship Id="rId3" Type="http://schemas.openxmlformats.org/officeDocument/2006/relationships/webSettings" Target="webSettings.xml"/><Relationship Id="rId7" Type="http://schemas.openxmlformats.org/officeDocument/2006/relationships/image" Target="cid:image001.jpg@01D72252.19B69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2022-05-19T19:33:00Z</dcterms:created>
  <dcterms:modified xsi:type="dcterms:W3CDTF">2023-05-04T18:33:00Z</dcterms:modified>
</cp:coreProperties>
</file>