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379"/>
        <w:gridCol w:w="3260"/>
      </w:tblGrid>
      <w:tr w:rsidR="008B6D43" w:rsidRPr="008B6D43" w14:paraId="55E89EB9" w14:textId="77777777" w:rsidTr="00EC2829">
        <w:trPr>
          <w:trHeight w:val="1786"/>
        </w:trPr>
        <w:tc>
          <w:tcPr>
            <w:tcW w:w="5000" w:type="pct"/>
            <w:gridSpan w:val="4"/>
          </w:tcPr>
          <w:p w14:paraId="286BE5EA" w14:textId="77777777" w:rsidR="008B6D43" w:rsidRPr="008B6D43" w:rsidRDefault="008B6D43" w:rsidP="008B6D43">
            <w:pPr>
              <w:jc w:val="center"/>
              <w:rPr>
                <w:b/>
                <w:lang w:val="fr-CA"/>
              </w:rPr>
            </w:pPr>
            <w:r w:rsidRPr="008B6D43">
              <w:rPr>
                <w:b/>
                <w:noProof/>
              </w:rPr>
              <w:drawing>
                <wp:inline distT="0" distB="0" distL="0" distR="0" wp14:anchorId="6296FDF4" wp14:editId="55995A8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E600D3C" w14:textId="77777777" w:rsidR="008B6D43" w:rsidRPr="008B6D43" w:rsidRDefault="008B6D43" w:rsidP="008B6D43">
            <w:pPr>
              <w:spacing w:before="120" w:after="100" w:afterAutospacing="1"/>
              <w:jc w:val="center"/>
              <w:rPr>
                <w:lang w:val="fr-CA"/>
              </w:rPr>
            </w:pPr>
            <w:r w:rsidRPr="008B6D43">
              <w:rPr>
                <w:b/>
                <w:lang w:val="fr-CA"/>
              </w:rPr>
              <w:t>COUR SUPRÊME DU CANADA</w:t>
            </w:r>
          </w:p>
        </w:tc>
      </w:tr>
      <w:tr w:rsidR="008B6D43" w:rsidRPr="008B6D43" w14:paraId="1C875535" w14:textId="77777777" w:rsidTr="00EC2829">
        <w:tblPrEx>
          <w:tblCellMar>
            <w:top w:w="58" w:type="dxa"/>
            <w:left w:w="58" w:type="dxa"/>
            <w:bottom w:w="58" w:type="dxa"/>
            <w:right w:w="58" w:type="dxa"/>
          </w:tblCellMar>
        </w:tblPrEx>
        <w:trPr>
          <w:cantSplit/>
        </w:trPr>
        <w:tc>
          <w:tcPr>
            <w:tcW w:w="2110" w:type="pct"/>
            <w:gridSpan w:val="2"/>
          </w:tcPr>
          <w:p w14:paraId="581DF693" w14:textId="77777777" w:rsidR="008B6D43" w:rsidRPr="008B6D43" w:rsidRDefault="008B6D43" w:rsidP="008B6D43">
            <w:pPr>
              <w:rPr>
                <w:b/>
                <w:smallCaps/>
                <w:lang w:val="fr-CA"/>
              </w:rPr>
            </w:pPr>
          </w:p>
          <w:p w14:paraId="1089374D" w14:textId="77777777" w:rsidR="008B6D43" w:rsidRPr="008B6D43" w:rsidRDefault="008B6D43" w:rsidP="008B6D43">
            <w:pPr>
              <w:rPr>
                <w:b/>
                <w:smallCaps/>
                <w:lang w:val="fr-CA"/>
              </w:rPr>
            </w:pPr>
            <w:r w:rsidRPr="008B6D43">
              <w:rPr>
                <w:b/>
                <w:smallCaps/>
                <w:lang w:val="fr-CA"/>
              </w:rPr>
              <w:t>Référence :</w:t>
            </w:r>
            <w:r w:rsidRPr="008B6D43">
              <w:rPr>
                <w:lang w:val="fr-CA"/>
              </w:rPr>
              <w:t xml:space="preserve"> R. </w:t>
            </w:r>
            <w:r w:rsidRPr="008B6D43">
              <w:rPr>
                <w:i/>
                <w:lang w:val="fr-CA"/>
              </w:rPr>
              <w:t>c.</w:t>
            </w:r>
            <w:r w:rsidRPr="008B6D43">
              <w:rPr>
                <w:lang w:val="fr-CA"/>
              </w:rPr>
              <w:t xml:space="preserve"> Schneider, 2022 CSC 34</w:t>
            </w:r>
          </w:p>
        </w:tc>
        <w:tc>
          <w:tcPr>
            <w:tcW w:w="859" w:type="pct"/>
          </w:tcPr>
          <w:p w14:paraId="7B1B4CE7" w14:textId="77777777" w:rsidR="008B6D43" w:rsidRPr="008B6D43" w:rsidRDefault="008B6D43" w:rsidP="008B6D43">
            <w:pPr>
              <w:rPr>
                <w:lang w:val="fr-CA"/>
              </w:rPr>
            </w:pPr>
          </w:p>
        </w:tc>
        <w:tc>
          <w:tcPr>
            <w:tcW w:w="2031" w:type="pct"/>
          </w:tcPr>
          <w:p w14:paraId="61622224" w14:textId="77777777" w:rsidR="008B6D43" w:rsidRPr="008B6D43" w:rsidRDefault="008B6D43" w:rsidP="008B6D43">
            <w:pPr>
              <w:jc w:val="both"/>
              <w:rPr>
                <w:b/>
                <w:smallCaps/>
                <w:lang w:val="fr-CA"/>
              </w:rPr>
            </w:pPr>
          </w:p>
          <w:p w14:paraId="0CC4B265" w14:textId="77777777" w:rsidR="008B6D43" w:rsidRPr="008B6D43" w:rsidRDefault="008B6D43" w:rsidP="008B6D43">
            <w:pPr>
              <w:jc w:val="both"/>
              <w:rPr>
                <w:lang w:val="fr-CA"/>
              </w:rPr>
            </w:pPr>
            <w:r w:rsidRPr="008B6D43">
              <w:rPr>
                <w:b/>
                <w:smallCaps/>
                <w:lang w:val="fr-CA"/>
              </w:rPr>
              <w:t>Appel entendu :</w:t>
            </w:r>
            <w:r w:rsidRPr="008B6D43">
              <w:rPr>
                <w:lang w:val="fr-CA"/>
              </w:rPr>
              <w:t xml:space="preserve"> 10 décembre 2021</w:t>
            </w:r>
          </w:p>
          <w:p w14:paraId="70FC9512" w14:textId="77777777" w:rsidR="008B6D43" w:rsidRPr="008B6D43" w:rsidRDefault="008B6D43" w:rsidP="008B6D43">
            <w:pPr>
              <w:rPr>
                <w:lang w:val="fr-CA"/>
              </w:rPr>
            </w:pPr>
            <w:r w:rsidRPr="008B6D43">
              <w:rPr>
                <w:b/>
                <w:smallCaps/>
                <w:lang w:val="fr-CA"/>
              </w:rPr>
              <w:t>Jugement rendu :</w:t>
            </w:r>
            <w:r w:rsidRPr="008B6D43">
              <w:rPr>
                <w:lang w:val="fr-CA"/>
              </w:rPr>
              <w:t xml:space="preserve"> 7 octobre 2022</w:t>
            </w:r>
          </w:p>
          <w:p w14:paraId="24EFBF37" w14:textId="77777777" w:rsidR="008B6D43" w:rsidRPr="008B6D43" w:rsidRDefault="008B6D43" w:rsidP="008B6D43">
            <w:pPr>
              <w:rPr>
                <w:lang w:val="fr-CA"/>
              </w:rPr>
            </w:pPr>
            <w:r w:rsidRPr="008B6D43">
              <w:rPr>
                <w:b/>
                <w:smallCaps/>
                <w:lang w:val="fr-CA"/>
              </w:rPr>
              <w:t>Dossier :</w:t>
            </w:r>
            <w:r w:rsidRPr="008B6D43">
              <w:rPr>
                <w:lang w:val="fr-CA"/>
              </w:rPr>
              <w:t xml:space="preserve"> 39559</w:t>
            </w:r>
          </w:p>
        </w:tc>
      </w:tr>
      <w:tr w:rsidR="008B6D43" w:rsidRPr="008B6D43" w14:paraId="5C6AAD4C" w14:textId="77777777" w:rsidTr="00EC2829">
        <w:tblPrEx>
          <w:tblCellMar>
            <w:top w:w="58" w:type="dxa"/>
            <w:left w:w="58" w:type="dxa"/>
            <w:bottom w:w="58" w:type="dxa"/>
            <w:right w:w="58" w:type="dxa"/>
          </w:tblCellMar>
        </w:tblPrEx>
        <w:trPr>
          <w:cantSplit/>
        </w:trPr>
        <w:tc>
          <w:tcPr>
            <w:tcW w:w="5000" w:type="pct"/>
            <w:gridSpan w:val="4"/>
          </w:tcPr>
          <w:p w14:paraId="0EDC9CE3" w14:textId="77777777" w:rsidR="008B6D43" w:rsidRPr="008B6D43" w:rsidRDefault="008B6D43" w:rsidP="008B6D43">
            <w:pPr>
              <w:rPr>
                <w:lang w:val="fr-CA"/>
              </w:rPr>
            </w:pPr>
          </w:p>
          <w:p w14:paraId="407B60A5" w14:textId="77777777" w:rsidR="008B6D43" w:rsidRPr="008B6D43" w:rsidRDefault="008B6D43" w:rsidP="008B6D43">
            <w:pPr>
              <w:rPr>
                <w:b/>
                <w:smallCaps/>
                <w:lang w:val="fr-CA"/>
              </w:rPr>
            </w:pPr>
            <w:r w:rsidRPr="008B6D43">
              <w:rPr>
                <w:b/>
                <w:smallCaps/>
                <w:lang w:val="fr-CA"/>
              </w:rPr>
              <w:t>Entre :</w:t>
            </w:r>
          </w:p>
          <w:p w14:paraId="58376BE9" w14:textId="77777777" w:rsidR="008B6D43" w:rsidRPr="008B6D43" w:rsidRDefault="008B6D43" w:rsidP="008B6D43">
            <w:pPr>
              <w:rPr>
                <w:lang w:val="fr-CA"/>
              </w:rPr>
            </w:pPr>
          </w:p>
          <w:p w14:paraId="6133BEE8" w14:textId="77777777" w:rsidR="008B6D43" w:rsidRPr="008B6D43" w:rsidRDefault="008B6D43" w:rsidP="008B6D43">
            <w:pPr>
              <w:jc w:val="center"/>
              <w:rPr>
                <w:b/>
                <w:lang w:val="fr-CA"/>
              </w:rPr>
            </w:pPr>
            <w:r w:rsidRPr="008B6D43">
              <w:rPr>
                <w:b/>
                <w:lang w:val="fr-CA"/>
              </w:rPr>
              <w:t>Sa Majesté le Roi</w:t>
            </w:r>
          </w:p>
          <w:p w14:paraId="192FAE63" w14:textId="77777777" w:rsidR="008B6D43" w:rsidRPr="008B6D43" w:rsidRDefault="008B6D43" w:rsidP="008B6D43">
            <w:pPr>
              <w:jc w:val="center"/>
              <w:rPr>
                <w:lang w:val="fr-CA"/>
              </w:rPr>
            </w:pPr>
            <w:r w:rsidRPr="008B6D43">
              <w:rPr>
                <w:lang w:val="fr-CA"/>
              </w:rPr>
              <w:t>Appelant</w:t>
            </w:r>
          </w:p>
          <w:p w14:paraId="5541D937" w14:textId="77777777" w:rsidR="008B6D43" w:rsidRPr="008B6D43" w:rsidRDefault="008B6D43" w:rsidP="008B6D43">
            <w:pPr>
              <w:rPr>
                <w:lang w:val="fr-CA"/>
              </w:rPr>
            </w:pPr>
          </w:p>
          <w:p w14:paraId="5A36F73C" w14:textId="77777777" w:rsidR="008B6D43" w:rsidRPr="008B6D43" w:rsidRDefault="008B6D43" w:rsidP="008B6D43">
            <w:pPr>
              <w:jc w:val="center"/>
              <w:rPr>
                <w:lang w:val="fr-CA"/>
              </w:rPr>
            </w:pPr>
            <w:r w:rsidRPr="008B6D43">
              <w:rPr>
                <w:lang w:val="fr-CA"/>
              </w:rPr>
              <w:t>et</w:t>
            </w:r>
          </w:p>
          <w:p w14:paraId="09B793FD" w14:textId="77777777" w:rsidR="008B6D43" w:rsidRPr="008B6D43" w:rsidRDefault="008B6D43" w:rsidP="008B6D43">
            <w:pPr>
              <w:rPr>
                <w:lang w:val="fr-CA"/>
              </w:rPr>
            </w:pPr>
          </w:p>
          <w:p w14:paraId="62B5068F" w14:textId="77777777" w:rsidR="008B6D43" w:rsidRPr="008B6D43" w:rsidRDefault="008B6D43" w:rsidP="008B6D43">
            <w:pPr>
              <w:jc w:val="center"/>
              <w:rPr>
                <w:b/>
                <w:lang w:val="fr-CA"/>
              </w:rPr>
            </w:pPr>
            <w:r w:rsidRPr="008B6D43">
              <w:rPr>
                <w:b/>
                <w:lang w:val="fr-CA"/>
              </w:rPr>
              <w:t>William Victor Schneider</w:t>
            </w:r>
          </w:p>
          <w:p w14:paraId="55C977E3" w14:textId="77777777" w:rsidR="008B6D43" w:rsidRPr="008B6D43" w:rsidRDefault="008B6D43" w:rsidP="008B6D43">
            <w:pPr>
              <w:jc w:val="center"/>
              <w:rPr>
                <w:lang w:val="fr-CA"/>
              </w:rPr>
            </w:pPr>
            <w:r w:rsidRPr="008B6D43">
              <w:rPr>
                <w:lang w:val="fr-CA"/>
              </w:rPr>
              <w:t>Intimé</w:t>
            </w:r>
          </w:p>
          <w:p w14:paraId="2D09146F" w14:textId="77777777" w:rsidR="008B6D43" w:rsidRPr="008B6D43" w:rsidRDefault="008B6D43" w:rsidP="008B6D43">
            <w:pPr>
              <w:rPr>
                <w:lang w:val="fr-CA"/>
              </w:rPr>
            </w:pPr>
          </w:p>
          <w:p w14:paraId="5061BF6A" w14:textId="77777777" w:rsidR="008B6D43" w:rsidRPr="008B6D43" w:rsidRDefault="008B6D43" w:rsidP="008B6D43">
            <w:pPr>
              <w:jc w:val="center"/>
              <w:rPr>
                <w:b/>
                <w:smallCaps/>
                <w:lang w:val="fr-CA"/>
              </w:rPr>
            </w:pPr>
            <w:r w:rsidRPr="008B6D43">
              <w:rPr>
                <w:b/>
                <w:smallCaps/>
                <w:lang w:val="fr-CA"/>
              </w:rPr>
              <w:t>Traduction française officielle</w:t>
            </w:r>
          </w:p>
          <w:p w14:paraId="50F91E39" w14:textId="77777777" w:rsidR="008B6D43" w:rsidRPr="008B6D43" w:rsidRDefault="008B6D43" w:rsidP="008B6D43">
            <w:pPr>
              <w:rPr>
                <w:lang w:val="fr-CA"/>
              </w:rPr>
            </w:pPr>
          </w:p>
          <w:p w14:paraId="00094CF3" w14:textId="77777777" w:rsidR="008B6D43" w:rsidRPr="008B6D43" w:rsidRDefault="008B6D43" w:rsidP="008B6D43">
            <w:pPr>
              <w:rPr>
                <w:lang w:val="fr-CA"/>
              </w:rPr>
            </w:pPr>
            <w:r w:rsidRPr="008B6D43">
              <w:rPr>
                <w:b/>
                <w:smallCaps/>
                <w:lang w:val="fr-CA"/>
              </w:rPr>
              <w:t>Coram :</w:t>
            </w:r>
            <w:r w:rsidRPr="008B6D43">
              <w:rPr>
                <w:lang w:val="fr-CA"/>
              </w:rPr>
              <w:t xml:space="preserve"> Le juge en chef Wagner et les juges Moldaver, Karakatsanis, Côté, Brown, Rowe, Martin, Kasirer et Jamal</w:t>
            </w:r>
          </w:p>
          <w:p w14:paraId="7FD9AA64" w14:textId="77777777" w:rsidR="008B6D43" w:rsidRPr="008B6D43" w:rsidRDefault="008B6D43" w:rsidP="008B6D43">
            <w:pPr>
              <w:jc w:val="both"/>
              <w:rPr>
                <w:b/>
                <w:smallCaps/>
                <w:lang w:val="fr-CA"/>
              </w:rPr>
            </w:pPr>
          </w:p>
        </w:tc>
      </w:tr>
      <w:tr w:rsidR="008B6D43" w:rsidRPr="008B6D43" w14:paraId="422E6A0B" w14:textId="77777777" w:rsidTr="00EC2829">
        <w:tblPrEx>
          <w:tblCellMar>
            <w:top w:w="58" w:type="dxa"/>
            <w:left w:w="58" w:type="dxa"/>
            <w:bottom w:w="58" w:type="dxa"/>
            <w:right w:w="58" w:type="dxa"/>
          </w:tblCellMar>
        </w:tblPrEx>
        <w:trPr>
          <w:cantSplit/>
        </w:trPr>
        <w:tc>
          <w:tcPr>
            <w:tcW w:w="1251" w:type="pct"/>
          </w:tcPr>
          <w:p w14:paraId="0387248A" w14:textId="77777777" w:rsidR="008B6D43" w:rsidRPr="008B6D43" w:rsidRDefault="008B6D43" w:rsidP="008B6D43">
            <w:pPr>
              <w:rPr>
                <w:b/>
                <w:smallCaps/>
                <w:lang w:val="fr-CA"/>
              </w:rPr>
            </w:pPr>
            <w:r w:rsidRPr="008B6D43">
              <w:rPr>
                <w:b/>
                <w:smallCaps/>
                <w:lang w:val="fr-CA"/>
              </w:rPr>
              <w:t>Motifs de jugement :</w:t>
            </w:r>
          </w:p>
          <w:p w14:paraId="72917322" w14:textId="77777777" w:rsidR="008B6D43" w:rsidRPr="008B6D43" w:rsidRDefault="008B6D43" w:rsidP="008B6D43">
            <w:pPr>
              <w:rPr>
                <w:smallCaps/>
                <w:lang w:val="fr-CA"/>
              </w:rPr>
            </w:pPr>
            <w:r w:rsidRPr="008B6D43">
              <w:rPr>
                <w:lang w:val="fr-CA"/>
              </w:rPr>
              <w:t>(par. 1 à 88)</w:t>
            </w:r>
          </w:p>
        </w:tc>
        <w:tc>
          <w:tcPr>
            <w:tcW w:w="3749" w:type="pct"/>
            <w:gridSpan w:val="3"/>
          </w:tcPr>
          <w:p w14:paraId="50FAD79C" w14:textId="77777777" w:rsidR="008B6D43" w:rsidRPr="008B6D43" w:rsidRDefault="008B6D43" w:rsidP="008B6D43">
            <w:pPr>
              <w:rPr>
                <w:lang w:val="fr-CA"/>
              </w:rPr>
            </w:pPr>
            <w:r w:rsidRPr="008B6D43">
              <w:rPr>
                <w:lang w:val="fr-CA"/>
              </w:rPr>
              <w:t>Le juge Rowe (avec l’accord du juge en chef Wagner et des juges Moldaver, Côté, Martin, Kasirer et Jamal)</w:t>
            </w:r>
          </w:p>
        </w:tc>
      </w:tr>
      <w:tr w:rsidR="008B6D43" w:rsidRPr="008B6D43" w14:paraId="7A8A16B7" w14:textId="77777777" w:rsidTr="00EC2829">
        <w:tblPrEx>
          <w:tblCellMar>
            <w:top w:w="58" w:type="dxa"/>
            <w:left w:w="58" w:type="dxa"/>
            <w:bottom w:w="58" w:type="dxa"/>
            <w:right w:w="58" w:type="dxa"/>
          </w:tblCellMar>
        </w:tblPrEx>
        <w:trPr>
          <w:cantSplit/>
        </w:trPr>
        <w:tc>
          <w:tcPr>
            <w:tcW w:w="1251" w:type="pct"/>
          </w:tcPr>
          <w:p w14:paraId="09A6F0D4" w14:textId="77777777" w:rsidR="008B6D43" w:rsidRPr="008B6D43" w:rsidRDefault="008B6D43" w:rsidP="008B6D43">
            <w:pPr>
              <w:rPr>
                <w:lang w:val="fr-CA"/>
              </w:rPr>
            </w:pPr>
          </w:p>
        </w:tc>
        <w:tc>
          <w:tcPr>
            <w:tcW w:w="3749" w:type="pct"/>
            <w:gridSpan w:val="3"/>
          </w:tcPr>
          <w:p w14:paraId="6471BDC5" w14:textId="77777777" w:rsidR="008B6D43" w:rsidRPr="008B6D43" w:rsidRDefault="008B6D43" w:rsidP="008B6D43">
            <w:pPr>
              <w:rPr>
                <w:lang w:val="fr-CA"/>
              </w:rPr>
            </w:pPr>
          </w:p>
        </w:tc>
      </w:tr>
      <w:tr w:rsidR="008B6D43" w:rsidRPr="008B6D43" w14:paraId="15AE1CFA" w14:textId="77777777" w:rsidTr="00EC2829">
        <w:tblPrEx>
          <w:tblCellMar>
            <w:top w:w="58" w:type="dxa"/>
            <w:left w:w="58" w:type="dxa"/>
            <w:bottom w:w="58" w:type="dxa"/>
            <w:right w:w="58" w:type="dxa"/>
          </w:tblCellMar>
        </w:tblPrEx>
        <w:trPr>
          <w:cantSplit/>
        </w:trPr>
        <w:tc>
          <w:tcPr>
            <w:tcW w:w="1251" w:type="pct"/>
          </w:tcPr>
          <w:p w14:paraId="1E9656C1" w14:textId="77777777" w:rsidR="008B6D43" w:rsidRPr="008B6D43" w:rsidRDefault="008B6D43" w:rsidP="008B6D43">
            <w:pPr>
              <w:rPr>
                <w:b/>
                <w:smallCaps/>
                <w:lang w:val="fr-CA"/>
              </w:rPr>
            </w:pPr>
            <w:r w:rsidRPr="008B6D43">
              <w:rPr>
                <w:b/>
                <w:smallCaps/>
                <w:lang w:val="fr-CA"/>
              </w:rPr>
              <w:t>Motifs conjoints dissidents :</w:t>
            </w:r>
          </w:p>
          <w:p w14:paraId="088AEFBA" w14:textId="77777777" w:rsidR="008B6D43" w:rsidRPr="008B6D43" w:rsidRDefault="008B6D43" w:rsidP="008B6D43">
            <w:pPr>
              <w:rPr>
                <w:lang w:val="fr-CA"/>
              </w:rPr>
            </w:pPr>
            <w:r w:rsidRPr="008B6D43">
              <w:rPr>
                <w:lang w:val="fr-CA"/>
              </w:rPr>
              <w:t xml:space="preserve">(par. </w:t>
            </w:r>
            <w:r w:rsidRPr="008B6D43">
              <w:rPr>
                <w:iCs/>
                <w:color w:val="000000" w:themeColor="text1"/>
                <w:szCs w:val="22"/>
                <w:lang w:val="fr-CA" w:bidi="en-US"/>
              </w:rPr>
              <w:t xml:space="preserve">89 </w:t>
            </w:r>
            <w:r w:rsidRPr="008B6D43">
              <w:rPr>
                <w:lang w:val="fr-CA"/>
              </w:rPr>
              <w:t xml:space="preserve">à </w:t>
            </w:r>
            <w:r w:rsidRPr="008B6D43">
              <w:rPr>
                <w:iCs/>
                <w:color w:val="000000" w:themeColor="text1"/>
                <w:szCs w:val="22"/>
                <w:lang w:val="fr-CA" w:bidi="en-US"/>
              </w:rPr>
              <w:t>97</w:t>
            </w:r>
            <w:r w:rsidRPr="008B6D43">
              <w:rPr>
                <w:lang w:val="fr-CA"/>
              </w:rPr>
              <w:t>)</w:t>
            </w:r>
          </w:p>
        </w:tc>
        <w:tc>
          <w:tcPr>
            <w:tcW w:w="3749" w:type="pct"/>
            <w:gridSpan w:val="3"/>
          </w:tcPr>
          <w:p w14:paraId="551B5C3B" w14:textId="77777777" w:rsidR="008B6D43" w:rsidRPr="008B6D43" w:rsidRDefault="008B6D43" w:rsidP="008B6D43">
            <w:pPr>
              <w:rPr>
                <w:lang w:val="fr-CA"/>
              </w:rPr>
            </w:pPr>
            <w:r w:rsidRPr="008B6D43">
              <w:rPr>
                <w:lang w:val="fr-CA"/>
              </w:rPr>
              <w:t>Les juges Karakatsanis et Brown</w:t>
            </w:r>
          </w:p>
        </w:tc>
      </w:tr>
    </w:tbl>
    <w:p w14:paraId="539A589E" w14:textId="77777777" w:rsidR="008B6D43" w:rsidRPr="008B6D43" w:rsidRDefault="008B6D43" w:rsidP="008B6D43">
      <w:pPr>
        <w:rPr>
          <w:rFonts w:eastAsiaTheme="minorHAnsi" w:cstheme="minorBidi"/>
          <w:szCs w:val="24"/>
          <w:lang w:val="fr-CA" w:eastAsia="en-US"/>
        </w:rPr>
      </w:pPr>
    </w:p>
    <w:p w14:paraId="63468F45" w14:textId="77777777" w:rsidR="008B6D43" w:rsidRPr="008B6D43" w:rsidRDefault="008B6D43" w:rsidP="008B6D43">
      <w:pPr>
        <w:rPr>
          <w:rFonts w:eastAsiaTheme="minorHAnsi" w:cstheme="minorBidi"/>
          <w:szCs w:val="24"/>
          <w:lang w:val="fr-CA" w:eastAsia="en-US"/>
        </w:rPr>
      </w:pPr>
    </w:p>
    <w:p w14:paraId="24F33D29" w14:textId="77777777" w:rsidR="008B6D43" w:rsidRPr="008B6D43" w:rsidRDefault="008B6D43" w:rsidP="008B6D43">
      <w:pPr>
        <w:rPr>
          <w:rFonts w:eastAsiaTheme="minorHAnsi" w:cstheme="minorBidi"/>
          <w:szCs w:val="24"/>
          <w:lang w:val="fr-CA" w:eastAsia="en-US"/>
        </w:rPr>
      </w:pPr>
      <w:r w:rsidRPr="008B6D43">
        <w:rPr>
          <w:rFonts w:eastAsiaTheme="minorHAnsi" w:cstheme="minorBidi"/>
          <w:b/>
          <w:smallCaps/>
          <w:szCs w:val="24"/>
          <w:lang w:val="fr-CA" w:eastAsia="en-US"/>
        </w:rPr>
        <w:t>Note :</w:t>
      </w:r>
      <w:r w:rsidRPr="008B6D43">
        <w:rPr>
          <w:rFonts w:eastAsiaTheme="minorHAnsi" w:cstheme="minorBidi"/>
          <w:b/>
          <w:szCs w:val="24"/>
          <w:lang w:val="fr-CA" w:eastAsia="en-US"/>
        </w:rPr>
        <w:t xml:space="preserve"> </w:t>
      </w:r>
      <w:r w:rsidRPr="008B6D43">
        <w:rPr>
          <w:rFonts w:eastAsiaTheme="minorHAnsi" w:cstheme="minorBidi"/>
          <w:szCs w:val="24"/>
          <w:lang w:val="fr-CA" w:eastAsia="en-US"/>
        </w:rPr>
        <w:t xml:space="preserve">Ce document fera l’objet de retouches de forme avant la parution de sa version définitive dans le </w:t>
      </w:r>
      <w:r w:rsidRPr="008B6D43">
        <w:rPr>
          <w:rFonts w:eastAsiaTheme="minorHAnsi" w:cstheme="minorBidi"/>
          <w:i/>
          <w:szCs w:val="24"/>
          <w:lang w:val="fr-CA" w:eastAsia="en-US"/>
        </w:rPr>
        <w:t>Recueil des arrêts de la Cour suprême du Canada</w:t>
      </w:r>
      <w:r w:rsidRPr="008B6D43">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B6D43" w:rsidRPr="008B6D43" w14:paraId="09027A76" w14:textId="77777777" w:rsidTr="00EC2829">
        <w:tc>
          <w:tcPr>
            <w:tcW w:w="1500" w:type="pct"/>
            <w:tcMar>
              <w:top w:w="284" w:type="dxa"/>
            </w:tcMar>
          </w:tcPr>
          <w:p w14:paraId="227E015F" w14:textId="77777777" w:rsidR="008B6D43" w:rsidRPr="008B6D43" w:rsidRDefault="008B6D43" w:rsidP="008B6D43">
            <w:pPr>
              <w:rPr>
                <w:lang w:val="fr-CA"/>
              </w:rPr>
            </w:pPr>
          </w:p>
        </w:tc>
        <w:tc>
          <w:tcPr>
            <w:tcW w:w="2000" w:type="pct"/>
            <w:tcBorders>
              <w:bottom w:val="single" w:sz="4" w:space="0" w:color="auto"/>
            </w:tcBorders>
            <w:tcMar>
              <w:top w:w="284" w:type="dxa"/>
            </w:tcMar>
          </w:tcPr>
          <w:p w14:paraId="57076B2F" w14:textId="77777777" w:rsidR="008B6D43" w:rsidRPr="008B6D43" w:rsidRDefault="008B6D43" w:rsidP="008B6D43">
            <w:pPr>
              <w:rPr>
                <w:lang w:val="fr-CA"/>
              </w:rPr>
            </w:pPr>
          </w:p>
        </w:tc>
        <w:tc>
          <w:tcPr>
            <w:tcW w:w="1500" w:type="pct"/>
            <w:tcMar>
              <w:top w:w="284" w:type="dxa"/>
            </w:tcMar>
          </w:tcPr>
          <w:p w14:paraId="52A7C376" w14:textId="77777777" w:rsidR="008B6D43" w:rsidRPr="008B6D43" w:rsidRDefault="008B6D43" w:rsidP="008B6D43">
            <w:pPr>
              <w:rPr>
                <w:lang w:val="fr-CA"/>
              </w:rPr>
            </w:pPr>
          </w:p>
        </w:tc>
      </w:tr>
    </w:tbl>
    <w:p w14:paraId="3F20A642" w14:textId="77777777" w:rsidR="008B6D43" w:rsidRPr="008B6D43" w:rsidRDefault="008B6D43" w:rsidP="008B6D43">
      <w:pPr>
        <w:rPr>
          <w:rFonts w:eastAsiaTheme="minorHAnsi" w:cstheme="minorBidi"/>
          <w:szCs w:val="24"/>
          <w:lang w:val="fr-CA" w:eastAsia="en-US"/>
        </w:rPr>
      </w:pPr>
    </w:p>
    <w:p w14:paraId="1102FBFC" w14:textId="77777777" w:rsidR="008B6D43" w:rsidRDefault="008B6D43">
      <w:pPr>
        <w:rPr>
          <w:b/>
          <w:lang w:val="fr-CA"/>
        </w:rPr>
      </w:pPr>
      <w:r>
        <w:rPr>
          <w:lang w:val="fr-CA"/>
        </w:rPr>
        <w:br w:type="page"/>
      </w:r>
    </w:p>
    <w:p w14:paraId="2597A890" w14:textId="431829A8" w:rsidR="0035035B" w:rsidRPr="003D4EF3" w:rsidRDefault="000804F4">
      <w:pPr>
        <w:pStyle w:val="SCCLsocLastPartyInRole"/>
        <w:rPr>
          <w:lang w:val="fr-CA"/>
        </w:rPr>
      </w:pPr>
      <w:r>
        <w:rPr>
          <w:lang w:val="fr-CA"/>
        </w:rPr>
        <w:t>Sa Majesté le</w:t>
      </w:r>
      <w:r w:rsidR="0020171D" w:rsidRPr="003D4EF3">
        <w:rPr>
          <w:lang w:val="fr-CA"/>
        </w:rPr>
        <w:t xml:space="preserve"> R</w:t>
      </w:r>
      <w:r>
        <w:rPr>
          <w:lang w:val="fr-CA"/>
        </w:rPr>
        <w:t>oi</w:t>
      </w:r>
      <w:r>
        <w:rPr>
          <w:rStyle w:val="SCCLsocPartyRole"/>
          <w:lang w:val="fr-CA"/>
        </w:rPr>
        <w:tab/>
        <w:t>Appelant</w:t>
      </w:r>
    </w:p>
    <w:p w14:paraId="462A5961" w14:textId="77777777" w:rsidR="0035035B" w:rsidRPr="00E037CA" w:rsidRDefault="0020171D">
      <w:pPr>
        <w:pStyle w:val="SCCLsocVersus"/>
        <w:rPr>
          <w:lang w:val="fr-CA"/>
        </w:rPr>
      </w:pPr>
      <w:proofErr w:type="gramStart"/>
      <w:r w:rsidRPr="00E037CA">
        <w:rPr>
          <w:lang w:val="fr-CA"/>
        </w:rPr>
        <w:t>c</w:t>
      </w:r>
      <w:proofErr w:type="gramEnd"/>
      <w:r w:rsidRPr="00E037CA">
        <w:rPr>
          <w:lang w:val="fr-CA"/>
        </w:rPr>
        <w:t>.</w:t>
      </w:r>
    </w:p>
    <w:p w14:paraId="61B3B980" w14:textId="77777777" w:rsidR="0035035B" w:rsidRPr="00E037CA" w:rsidRDefault="0020171D" w:rsidP="00E87401">
      <w:pPr>
        <w:pStyle w:val="SCCLsocLastPartyInRole"/>
        <w:rPr>
          <w:lang w:val="fr-CA"/>
        </w:rPr>
      </w:pPr>
      <w:r w:rsidRPr="00E037CA">
        <w:rPr>
          <w:lang w:val="fr-CA"/>
        </w:rPr>
        <w:t>William Victor Schneider</w:t>
      </w:r>
      <w:r w:rsidR="00C003CF" w:rsidRPr="00E037CA">
        <w:rPr>
          <w:rStyle w:val="SCCLsocPartyRole"/>
          <w:lang w:val="fr-CA"/>
        </w:rPr>
        <w:tab/>
        <w:t>Intimé</w:t>
      </w:r>
    </w:p>
    <w:p w14:paraId="1D8D9F0A" w14:textId="77777777" w:rsidR="004D7D95" w:rsidRPr="00E037CA" w:rsidRDefault="004335D7" w:rsidP="00E87401">
      <w:pPr>
        <w:spacing w:after="720"/>
        <w:jc w:val="both"/>
        <w:rPr>
          <w:b/>
          <w:lang w:val="fr-CA"/>
        </w:rPr>
      </w:pPr>
      <w:r>
        <w:rPr>
          <w:b/>
          <w:lang w:val="fr-CA"/>
        </w:rPr>
        <w:t xml:space="preserve">Répertorié : </w:t>
      </w:r>
      <w:r w:rsidR="004D7D95" w:rsidRPr="00E037CA">
        <w:rPr>
          <w:rStyle w:val="SCCAppellantForIndexChar"/>
          <w:lang w:val="fr-CA"/>
        </w:rPr>
        <w:t>R.</w:t>
      </w:r>
      <w:r w:rsidR="004D7D95" w:rsidRPr="00BB4C92">
        <w:rPr>
          <w:b/>
          <w:lang w:val="fr-CA"/>
        </w:rPr>
        <w:t xml:space="preserve"> </w:t>
      </w:r>
      <w:r w:rsidR="004D7D95" w:rsidRPr="00BB4C92">
        <w:rPr>
          <w:b/>
          <w:i/>
          <w:lang w:val="fr-CA"/>
        </w:rPr>
        <w:t>c.</w:t>
      </w:r>
      <w:r w:rsidR="004D7D95" w:rsidRPr="00BB4C92">
        <w:rPr>
          <w:b/>
          <w:lang w:val="fr-CA"/>
        </w:rPr>
        <w:t xml:space="preserve"> </w:t>
      </w:r>
      <w:r w:rsidR="004D7D95" w:rsidRPr="00E037CA">
        <w:rPr>
          <w:rStyle w:val="SCCRespondentForIndexChar"/>
          <w:lang w:val="fr-CA"/>
        </w:rPr>
        <w:t>Schneider</w:t>
      </w:r>
    </w:p>
    <w:p w14:paraId="3D3B773D" w14:textId="5FA29D03" w:rsidR="004D7D95" w:rsidRPr="00E037CA" w:rsidRDefault="00E037CA" w:rsidP="00E87401">
      <w:pPr>
        <w:pStyle w:val="SCCSystemYear"/>
        <w:spacing w:after="720"/>
        <w:jc w:val="both"/>
        <w:rPr>
          <w:lang w:val="fr-CA"/>
        </w:rPr>
      </w:pPr>
      <w:r w:rsidRPr="00E037CA">
        <w:rPr>
          <w:lang w:val="fr-CA"/>
        </w:rPr>
        <w:t>2022</w:t>
      </w:r>
      <w:r w:rsidR="00E87401">
        <w:rPr>
          <w:lang w:val="fr-CA"/>
        </w:rPr>
        <w:t xml:space="preserve"> CSC </w:t>
      </w:r>
      <w:r w:rsidR="00F011FB" w:rsidRPr="00F011FB">
        <w:rPr>
          <w:lang w:val="fr-CA"/>
        </w:rPr>
        <w:t>34</w:t>
      </w:r>
    </w:p>
    <w:p w14:paraId="7751CDFF" w14:textId="77777777" w:rsidR="004D7D95" w:rsidRPr="003D4EF3" w:rsidRDefault="004D7D95" w:rsidP="00E87401">
      <w:pPr>
        <w:spacing w:after="720"/>
        <w:jc w:val="both"/>
        <w:rPr>
          <w:lang w:val="fr-CA"/>
        </w:rPr>
      </w:pPr>
      <w:r w:rsidRPr="003D4EF3">
        <w:rPr>
          <w:lang w:val="fr-CA"/>
        </w:rPr>
        <w:t>N</w:t>
      </w:r>
      <w:r w:rsidRPr="003D4EF3">
        <w:rPr>
          <w:vertAlign w:val="superscript"/>
          <w:lang w:val="fr-CA"/>
        </w:rPr>
        <w:t>o</w:t>
      </w:r>
      <w:r w:rsidR="004335D7" w:rsidRPr="003D4EF3">
        <w:rPr>
          <w:lang w:val="fr-CA"/>
        </w:rPr>
        <w:t xml:space="preserve"> du greffe : </w:t>
      </w:r>
      <w:r w:rsidRPr="003D4EF3">
        <w:rPr>
          <w:lang w:val="fr-CA"/>
        </w:rPr>
        <w:t>39559.</w:t>
      </w:r>
    </w:p>
    <w:p w14:paraId="09C8776A" w14:textId="5B10F164" w:rsidR="004D7D95" w:rsidRPr="003D4EF3" w:rsidRDefault="00D17B0E" w:rsidP="00E87401">
      <w:pPr>
        <w:spacing w:after="720"/>
        <w:jc w:val="both"/>
        <w:rPr>
          <w:lang w:val="fr-CA"/>
        </w:rPr>
      </w:pPr>
      <w:r w:rsidRPr="003D4EF3">
        <w:rPr>
          <w:lang w:val="fr-CA"/>
        </w:rPr>
        <w:t>2021</w:t>
      </w:r>
      <w:r w:rsidR="001758D8">
        <w:rPr>
          <w:lang w:val="fr-CA"/>
        </w:rPr>
        <w:t> </w:t>
      </w:r>
      <w:r w:rsidRPr="003D4EF3">
        <w:rPr>
          <w:lang w:val="fr-CA"/>
        </w:rPr>
        <w:t>: 10 décembre</w:t>
      </w:r>
      <w:r w:rsidR="004D7D95" w:rsidRPr="003D4EF3">
        <w:rPr>
          <w:lang w:val="fr-CA"/>
        </w:rPr>
        <w:t xml:space="preserve">; </w:t>
      </w:r>
      <w:r w:rsidR="001758D8" w:rsidRPr="001758D8">
        <w:rPr>
          <w:lang w:val="fr-CA"/>
        </w:rPr>
        <w:t>2022 </w:t>
      </w:r>
      <w:r w:rsidR="001758D8">
        <w:rPr>
          <w:lang w:val="fr-CA"/>
        </w:rPr>
        <w:t xml:space="preserve">: </w:t>
      </w:r>
      <w:r w:rsidR="001758D8" w:rsidRPr="00F6470B">
        <w:rPr>
          <w:lang w:val="fr-CA"/>
        </w:rPr>
        <w:t>7 octobre</w:t>
      </w:r>
      <w:r w:rsidR="004D7D95" w:rsidRPr="003D4EF3">
        <w:rPr>
          <w:lang w:val="fr-CA"/>
        </w:rPr>
        <w:t>.</w:t>
      </w:r>
    </w:p>
    <w:p w14:paraId="5E3883F8" w14:textId="580C5255" w:rsidR="004D7D95" w:rsidRPr="003D4EF3" w:rsidRDefault="00E87401" w:rsidP="00E87401">
      <w:pPr>
        <w:spacing w:after="720"/>
        <w:jc w:val="both"/>
        <w:rPr>
          <w:lang w:val="fr-CA"/>
        </w:rPr>
      </w:pPr>
      <w:r>
        <w:rPr>
          <w:lang w:val="fr-CA"/>
        </w:rPr>
        <w:t xml:space="preserve">Présents : </w:t>
      </w:r>
      <w:r w:rsidR="004D7D95" w:rsidRPr="003D4EF3">
        <w:rPr>
          <w:lang w:val="fr-CA"/>
        </w:rPr>
        <w:t>Le juge en chef Wagner et les juges Moldaver, Karakatsanis, Côté, Brown, Rowe, Martin, Kasirer et Jamal.</w:t>
      </w:r>
    </w:p>
    <w:p w14:paraId="1717A22B" w14:textId="2A5288F9" w:rsidR="004D7D95" w:rsidRPr="008A0771" w:rsidRDefault="004D7D95" w:rsidP="00E87401">
      <w:pPr>
        <w:spacing w:after="720"/>
        <w:jc w:val="both"/>
        <w:rPr>
          <w:smallCaps/>
          <w:lang w:val="fr-CA"/>
        </w:rPr>
      </w:pPr>
      <w:r w:rsidRPr="008A0771">
        <w:rPr>
          <w:smallCaps/>
          <w:lang w:val="fr-CA"/>
        </w:rPr>
        <w:t xml:space="preserve">en appel de la </w:t>
      </w:r>
      <w:r w:rsidRPr="003D4EF3">
        <w:rPr>
          <w:smallCaps/>
          <w:lang w:val="fr-CA"/>
        </w:rPr>
        <w:t>cour d</w:t>
      </w:r>
      <w:r w:rsidR="000804F4">
        <w:rPr>
          <w:smallCaps/>
          <w:lang w:val="fr-CA"/>
        </w:rPr>
        <w:t>’</w:t>
      </w:r>
      <w:r w:rsidRPr="003D4EF3">
        <w:rPr>
          <w:smallCaps/>
          <w:lang w:val="fr-CA"/>
        </w:rPr>
        <w:t xml:space="preserve">appel de la </w:t>
      </w:r>
      <w:r w:rsidR="00E87401">
        <w:rPr>
          <w:smallCaps/>
          <w:lang w:val="fr-CA"/>
        </w:rPr>
        <w:t>colombie</w:t>
      </w:r>
      <w:r w:rsidR="00E87401">
        <w:rPr>
          <w:smallCaps/>
          <w:lang w:val="fr-CA"/>
        </w:rPr>
        <w:noBreakHyphen/>
      </w:r>
      <w:r w:rsidR="008A0771" w:rsidRPr="003D4EF3">
        <w:rPr>
          <w:smallCaps/>
          <w:lang w:val="fr-CA"/>
        </w:rPr>
        <w:t>britannique</w:t>
      </w:r>
    </w:p>
    <w:p w14:paraId="5BBF214A" w14:textId="1BE5F739" w:rsidR="00295469" w:rsidRPr="00295469" w:rsidRDefault="004D7D95" w:rsidP="0068265A">
      <w:pPr>
        <w:pStyle w:val="SCCNormalDoubleSpacing"/>
        <w:spacing w:after="480"/>
        <w:rPr>
          <w:noProof/>
          <w:lang w:val="fr-CA"/>
        </w:rPr>
      </w:pPr>
      <w:r w:rsidRPr="00BB4C92">
        <w:rPr>
          <w:lang w:val="fr-CA"/>
        </w:rPr>
        <w:tab/>
      </w:r>
      <w:r w:rsidR="00295469" w:rsidRPr="00295469">
        <w:rPr>
          <w:i/>
          <w:lang w:val="fr-CA"/>
        </w:rPr>
        <w:t>Droit criminel</w:t>
      </w:r>
      <w:r w:rsidR="0068265A">
        <w:rPr>
          <w:i/>
          <w:lang w:val="fr-CA"/>
        </w:rPr>
        <w:t xml:space="preserve"> — Preuve — Admissibilité — Ouï</w:t>
      </w:r>
      <w:r w:rsidR="0068265A">
        <w:rPr>
          <w:i/>
          <w:lang w:val="fr-CA"/>
        </w:rPr>
        <w:noBreakHyphen/>
      </w:r>
      <w:r w:rsidR="00295469" w:rsidRPr="00295469">
        <w:rPr>
          <w:i/>
          <w:lang w:val="fr-CA"/>
        </w:rPr>
        <w:t xml:space="preserve">dire — Aveux émanant d’une partie — Accusé inculpé de meurtre au deuxième degré — Demande de la Couronne sollicitant l’autorisation de présenter en preuve </w:t>
      </w:r>
      <w:r w:rsidR="0068265A">
        <w:rPr>
          <w:i/>
          <w:lang w:val="fr-CA"/>
        </w:rPr>
        <w:t>au procès le témoignage par ouï</w:t>
      </w:r>
      <w:r w:rsidR="0068265A">
        <w:rPr>
          <w:i/>
          <w:lang w:val="fr-CA"/>
        </w:rPr>
        <w:noBreakHyphen/>
      </w:r>
      <w:r w:rsidR="00295469" w:rsidRPr="00295469">
        <w:rPr>
          <w:i/>
          <w:lang w:val="fr-CA"/>
        </w:rPr>
        <w:t>dire du frère de l’accusé concernant des déclarations incriminantes qu’il a entendu ce dernier prononcer durant une conversation téléphonique avec son épouse — Témoignage du frère admis en preuve par la juge du procès — Accusé déclaré coupable par l</w:t>
      </w:r>
      <w:r w:rsidR="0068265A">
        <w:rPr>
          <w:i/>
          <w:lang w:val="fr-CA"/>
        </w:rPr>
        <w:t>e jury — La juge du procès a</w:t>
      </w:r>
      <w:r w:rsidR="0068265A">
        <w:rPr>
          <w:i/>
          <w:lang w:val="fr-CA"/>
        </w:rPr>
        <w:noBreakHyphen/>
        <w:t>t</w:t>
      </w:r>
      <w:r w:rsidR="0068265A">
        <w:rPr>
          <w:i/>
          <w:lang w:val="fr-CA"/>
        </w:rPr>
        <w:noBreakHyphen/>
      </w:r>
      <w:r w:rsidR="00295469" w:rsidRPr="00295469">
        <w:rPr>
          <w:i/>
          <w:lang w:val="fr-CA"/>
        </w:rPr>
        <w:t xml:space="preserve">elle fait erreur en admettant en preuve les déclarations entendues par le </w:t>
      </w:r>
      <w:r w:rsidR="000C4B0A">
        <w:rPr>
          <w:i/>
          <w:lang w:val="fr-CA"/>
        </w:rPr>
        <w:t>frère</w:t>
      </w:r>
      <w:r w:rsidR="00295469" w:rsidRPr="00295469">
        <w:rPr>
          <w:i/>
          <w:lang w:val="fr-CA"/>
        </w:rPr>
        <w:t>?</w:t>
      </w:r>
    </w:p>
    <w:p w14:paraId="2C059838" w14:textId="56360B16" w:rsidR="00295469" w:rsidRPr="00295469" w:rsidRDefault="004D7D95" w:rsidP="0068265A">
      <w:pPr>
        <w:pStyle w:val="SCCNormalDoubleSpacing"/>
        <w:spacing w:after="480"/>
        <w:rPr>
          <w:lang w:val="fr-CA"/>
        </w:rPr>
      </w:pPr>
      <w:r w:rsidRPr="004D7D95">
        <w:rPr>
          <w:lang w:val="fr-CA"/>
        </w:rPr>
        <w:lastRenderedPageBreak/>
        <w:tab/>
      </w:r>
      <w:r w:rsidR="00295469" w:rsidRPr="00295469">
        <w:rPr>
          <w:lang w:val="fr-CA"/>
        </w:rPr>
        <w:t>L’accusé a été inculpé de meurtre au deuxième degré après que la police a retrouvé le corps de la victime dans une valise cachée après avoir reçu des informations du frère de l’accusé. Au procès, la Couronne a voulu présenter en preuve le témoignage par ouï</w:t>
      </w:r>
      <w:r w:rsidR="00295469" w:rsidRPr="00295469">
        <w:rPr>
          <w:lang w:val="fr-CA"/>
        </w:rPr>
        <w:noBreakHyphen/>
        <w:t>dire du frère, qui avait entendu l’accusé parler au téléphone avec son épouse. La juge du procès a tenu un voir</w:t>
      </w:r>
      <w:r w:rsidR="00295469" w:rsidRPr="00295469">
        <w:rPr>
          <w:lang w:val="fr-CA"/>
        </w:rPr>
        <w:noBreakHyphen/>
        <w:t>dire relativement à l’admissibili</w:t>
      </w:r>
      <w:r w:rsidR="0068265A">
        <w:rPr>
          <w:lang w:val="fr-CA"/>
        </w:rPr>
        <w:t>té du témoignage du frère, voir</w:t>
      </w:r>
      <w:r w:rsidR="0068265A">
        <w:rPr>
          <w:lang w:val="fr-CA"/>
        </w:rPr>
        <w:noBreakHyphen/>
      </w:r>
      <w:r w:rsidR="00295469" w:rsidRPr="00295469">
        <w:rPr>
          <w:lang w:val="fr-CA"/>
        </w:rPr>
        <w:t>dire durant lequel le frère a témoigné qu’il ne pouvait pas se rappeler mot pour mot ce que l’accusé avait dit à son épouse, mais que</w:t>
      </w:r>
      <w:r w:rsidR="00B13CF0">
        <w:rPr>
          <w:lang w:val="fr-CA"/>
        </w:rPr>
        <w:t xml:space="preserve"> celui-ci avait dit quelque chose comme </w:t>
      </w:r>
      <w:r w:rsidR="00295469" w:rsidRPr="00295469">
        <w:rPr>
          <w:lang w:val="fr-CA"/>
        </w:rPr>
        <w:t xml:space="preserve">« Je l’ai fait » </w:t>
      </w:r>
      <w:r w:rsidR="00295469" w:rsidRPr="00295469">
        <w:rPr>
          <w:iCs/>
          <w:lang w:val="fr-CA"/>
        </w:rPr>
        <w:t>ou</w:t>
      </w:r>
      <w:r w:rsidR="00295469" w:rsidRPr="00295469">
        <w:rPr>
          <w:lang w:val="fr-CA"/>
        </w:rPr>
        <w:t xml:space="preserve"> « Je l’ai tuée ». La juge du procès a statué que le témoignage était admissible. Au procès, le frère a également témoigné au sujet de plusieurs conversations cruciales qu’il a eues avec l’accusé concernant la victime et l’endroit o</w:t>
      </w:r>
      <w:r w:rsidR="0068265A">
        <w:rPr>
          <w:lang w:val="fr-CA"/>
        </w:rPr>
        <w:t>ù se trouvait le corps de celle</w:t>
      </w:r>
      <w:r w:rsidR="0068265A">
        <w:rPr>
          <w:lang w:val="fr-CA"/>
        </w:rPr>
        <w:noBreakHyphen/>
      </w:r>
      <w:r w:rsidR="00295469" w:rsidRPr="00295469">
        <w:rPr>
          <w:lang w:val="fr-CA"/>
        </w:rPr>
        <w:t>ci, avant l’appel téléphonique de l’accusé à son épouse. Le jury a déclaré l’accusé coupable de meurtre au deuxième degré.</w:t>
      </w:r>
    </w:p>
    <w:p w14:paraId="6DAD67F2" w14:textId="22427C0E" w:rsidR="00295469" w:rsidRPr="00295469" w:rsidRDefault="00295469" w:rsidP="0068265A">
      <w:pPr>
        <w:pStyle w:val="SCCNormalDoubleSpacing"/>
        <w:spacing w:after="480"/>
        <w:rPr>
          <w:lang w:val="fr-CA"/>
        </w:rPr>
      </w:pPr>
      <w:r w:rsidRPr="00295469">
        <w:rPr>
          <w:lang w:val="fr-CA"/>
        </w:rPr>
        <w:tab/>
        <w:t>L’accusé a fait appel de sa déclaration de culpabilité, plaidant que la juge du procès avait fait erreur en admettant le témoignage de son frère concernant la conversation té</w:t>
      </w:r>
      <w:r w:rsidR="0068265A">
        <w:rPr>
          <w:lang w:val="fr-CA"/>
        </w:rPr>
        <w:t xml:space="preserve">léphonique qu’il avait entendue </w:t>
      </w:r>
      <w:r w:rsidRPr="00295469">
        <w:rPr>
          <w:lang w:val="fr-CA"/>
        </w:rPr>
        <w:t>et en répond</w:t>
      </w:r>
      <w:r w:rsidR="00B13CF0">
        <w:rPr>
          <w:lang w:val="fr-CA"/>
        </w:rPr>
        <w:t>ant comme elle l’avait fait à une</w:t>
      </w:r>
      <w:r w:rsidRPr="00295469">
        <w:rPr>
          <w:lang w:val="fr-CA"/>
        </w:rPr>
        <w:t xml:space="preserve"> question posée par le jury</w:t>
      </w:r>
      <w:r w:rsidRPr="00295469">
        <w:rPr>
          <w:iCs/>
          <w:lang w:val="fr-CA"/>
        </w:rPr>
        <w:t xml:space="preserve"> durant ses délibérations. </w:t>
      </w:r>
      <w:r w:rsidRPr="00295469">
        <w:rPr>
          <w:lang w:val="fr-CA"/>
        </w:rPr>
        <w:t xml:space="preserve">Les juges majoritaires de la Cour d’appel ont accueilli l’appel, annulé la déclaration de culpabilité et ordonné la tenue d’un nouveau procès. Ils ont conclu que le témoignage était incapable de signification et par conséquent non pertinent, et qu’il n’aurait pas dû être admis. À leur avis, </w:t>
      </w:r>
      <w:r w:rsidR="0068265A">
        <w:rPr>
          <w:lang w:val="fr-CA"/>
        </w:rPr>
        <w:t>seul le micro</w:t>
      </w:r>
      <w:r w:rsidR="0068265A">
        <w:rPr>
          <w:lang w:val="fr-CA"/>
        </w:rPr>
        <w:noBreakHyphen/>
        <w:t>contexte, c.</w:t>
      </w:r>
      <w:r w:rsidR="0068265A">
        <w:rPr>
          <w:lang w:val="fr-CA"/>
        </w:rPr>
        <w:noBreakHyphen/>
        <w:t>à</w:t>
      </w:r>
      <w:r w:rsidR="0068265A">
        <w:rPr>
          <w:lang w:val="fr-CA"/>
        </w:rPr>
        <w:noBreakHyphen/>
      </w:r>
      <w:r w:rsidRPr="00295469">
        <w:rPr>
          <w:lang w:val="fr-CA"/>
        </w:rPr>
        <w:t xml:space="preserve">d. </w:t>
      </w:r>
      <w:proofErr w:type="gramStart"/>
      <w:r w:rsidRPr="00295469">
        <w:rPr>
          <w:lang w:val="fr-CA"/>
        </w:rPr>
        <w:t>les</w:t>
      </w:r>
      <w:proofErr w:type="gramEnd"/>
      <w:r w:rsidRPr="00295469">
        <w:rPr>
          <w:lang w:val="fr-CA"/>
        </w:rPr>
        <w:t xml:space="preserve"> paro</w:t>
      </w:r>
      <w:r w:rsidR="00BA0BC7">
        <w:rPr>
          <w:lang w:val="fr-CA"/>
        </w:rPr>
        <w:t xml:space="preserve">les prononcées avant et après les </w:t>
      </w:r>
      <w:r w:rsidRPr="00295469">
        <w:rPr>
          <w:lang w:val="fr-CA"/>
        </w:rPr>
        <w:t>aveu</w:t>
      </w:r>
      <w:r w:rsidR="00BA0BC7">
        <w:rPr>
          <w:lang w:val="fr-CA"/>
        </w:rPr>
        <w:t>x</w:t>
      </w:r>
      <w:r w:rsidRPr="00295469">
        <w:rPr>
          <w:lang w:val="fr-CA"/>
        </w:rPr>
        <w:t xml:space="preserve"> entendu</w:t>
      </w:r>
      <w:r w:rsidR="00BA0BC7">
        <w:rPr>
          <w:lang w:val="fr-CA"/>
        </w:rPr>
        <w:t>s</w:t>
      </w:r>
      <w:r w:rsidRPr="00295469">
        <w:rPr>
          <w:lang w:val="fr-CA"/>
        </w:rPr>
        <w:t xml:space="preserve">, était pertinent pour déterminer si les aveux avaient une signification, et le frère ne pouvait se rappeler ce contexte. La juge dissidente aurait rejeté l’appel, car elle considérait que l’ensemble de la preuve, y compris les conversations que le frère de </w:t>
      </w:r>
      <w:r w:rsidRPr="00295469">
        <w:rPr>
          <w:lang w:val="fr-CA"/>
        </w:rPr>
        <w:lastRenderedPageBreak/>
        <w:t>l’accusé avait eues avec celui</w:t>
      </w:r>
      <w:r w:rsidRPr="00295469">
        <w:rPr>
          <w:lang w:val="fr-CA"/>
        </w:rPr>
        <w:noBreakHyphen/>
        <w:t>ci avant l’appel téléphonique, pouvait éclairer la signification des paroles qu’il avait entendues. La Cour d’appel a unanimement rejeté le moyen fondé sur le point concernant la question posée par le jury. La Couronne se pourvoit de plein droit devant la Cour. En réponse, l’accusé soutient que la juge du procès a commis une erreur dans la réponse qu’elle a donnée à la question posée par le jury au cours de ses délibérations.</w:t>
      </w:r>
    </w:p>
    <w:p w14:paraId="30799352" w14:textId="5A3ACC0C" w:rsidR="00295469" w:rsidRPr="00295469" w:rsidRDefault="00295469" w:rsidP="0068265A">
      <w:pPr>
        <w:pStyle w:val="SCCNormalDoubleSpacing"/>
        <w:spacing w:after="480"/>
        <w:rPr>
          <w:lang w:val="fr-CA"/>
        </w:rPr>
      </w:pPr>
      <w:r w:rsidRPr="00295469">
        <w:rPr>
          <w:rStyle w:val="QuoteChar"/>
          <w:color w:val="auto"/>
          <w:lang w:val="fr-CA"/>
        </w:rPr>
        <w:tab/>
        <w:t>Arrêt</w:t>
      </w:r>
      <w:r w:rsidRPr="00295469">
        <w:rPr>
          <w:rStyle w:val="QuoteChar"/>
          <w:i w:val="0"/>
          <w:color w:val="auto"/>
          <w:lang w:val="fr-CA"/>
        </w:rPr>
        <w:t xml:space="preserve"> (les juges Karakatsanis et Brown sont dissidents) :</w:t>
      </w:r>
      <w:r w:rsidRPr="00295469">
        <w:rPr>
          <w:lang w:val="fr-CA"/>
        </w:rPr>
        <w:t xml:space="preserve"> Le pourvoi est accueilli et la déclarati</w:t>
      </w:r>
      <w:r w:rsidR="0068265A">
        <w:rPr>
          <w:lang w:val="fr-CA"/>
        </w:rPr>
        <w:t>on de culpabilité est rétablie.</w:t>
      </w:r>
    </w:p>
    <w:p w14:paraId="4315738D" w14:textId="7503631A" w:rsidR="00295469" w:rsidRPr="00295469" w:rsidRDefault="00295469" w:rsidP="0068265A">
      <w:pPr>
        <w:pStyle w:val="SCCNormalDoubleSpacing"/>
        <w:spacing w:after="480"/>
        <w:rPr>
          <w:lang w:val="fr-CA"/>
        </w:rPr>
      </w:pPr>
      <w:r w:rsidRPr="00295469">
        <w:rPr>
          <w:lang w:val="fr-CA"/>
        </w:rPr>
        <w:tab/>
      </w:r>
      <w:r w:rsidRPr="00295469">
        <w:rPr>
          <w:i/>
          <w:lang w:val="fr-CA"/>
        </w:rPr>
        <w:t>Le</w:t>
      </w:r>
      <w:r w:rsidRPr="00295469">
        <w:rPr>
          <w:lang w:val="fr-CA"/>
        </w:rPr>
        <w:t xml:space="preserve"> juge en chef</w:t>
      </w:r>
      <w:r w:rsidRPr="00295469">
        <w:rPr>
          <w:i/>
          <w:lang w:val="fr-CA"/>
        </w:rPr>
        <w:t xml:space="preserve"> </w:t>
      </w:r>
      <w:r w:rsidRPr="00295469">
        <w:rPr>
          <w:lang w:val="fr-CA"/>
        </w:rPr>
        <w:t xml:space="preserve">Wagner et les juges Moldaver, Côté, </w:t>
      </w:r>
      <w:r w:rsidRPr="00295469">
        <w:rPr>
          <w:b/>
          <w:lang w:val="fr-CA"/>
        </w:rPr>
        <w:t>Rowe</w:t>
      </w:r>
      <w:r w:rsidRPr="00295469">
        <w:rPr>
          <w:lang w:val="fr-CA"/>
        </w:rPr>
        <w:t>, Martin, Kasirer et Jamal : La juge du procès n’a pas commis d’erreur en admettant le témoignage par ou</w:t>
      </w:r>
      <w:r w:rsidRPr="00295469">
        <w:rPr>
          <w:rFonts w:ascii="Century" w:hAnsi="Century"/>
          <w:lang w:val="fr-CA"/>
        </w:rPr>
        <w:t>ï</w:t>
      </w:r>
      <w:r w:rsidRPr="00295469">
        <w:rPr>
          <w:lang w:val="fr-CA"/>
        </w:rPr>
        <w:noBreakHyphen/>
        <w:t>dire du frère. Les paroles que le frère a entendu l’accusé prononcer au téléphone étaient capables de signification non conjecturale, de telle sorte qu’elles étaient pertinentes; elles étaient admissibles en vertu de l’exception à la règle d’exc</w:t>
      </w:r>
      <w:r w:rsidR="0068265A">
        <w:rPr>
          <w:lang w:val="fr-CA"/>
        </w:rPr>
        <w:t>lusion du ouï</w:t>
      </w:r>
      <w:r w:rsidR="0068265A">
        <w:rPr>
          <w:lang w:val="fr-CA"/>
        </w:rPr>
        <w:noBreakHyphen/>
        <w:t xml:space="preserve">dire relative aux </w:t>
      </w:r>
      <w:r w:rsidRPr="00295469">
        <w:rPr>
          <w:lang w:val="fr-CA"/>
        </w:rPr>
        <w:t>aveux émanant d’une partie; et rien ne justifie de modifier la mise en balance discrétionnaire par la juge du procès de la valeur probante d’un élément de preuve par rapport à son effet préjudiciable. Qui plus est, il y a accord pour l’essentiel avec la Cour d’appel pour dire que la question posée par le jury n’était pas ambiguë et que la juge du procès y a répondu correctement.</w:t>
      </w:r>
    </w:p>
    <w:p w14:paraId="28FEBBFF" w14:textId="6F2AB324" w:rsidR="00295469" w:rsidRPr="00295469" w:rsidRDefault="00295469" w:rsidP="0068265A">
      <w:pPr>
        <w:pStyle w:val="SCCNormalDoubleSpacing"/>
        <w:spacing w:after="480"/>
        <w:rPr>
          <w:lang w:val="fr-CA"/>
        </w:rPr>
      </w:pPr>
      <w:r w:rsidRPr="00295469">
        <w:rPr>
          <w:lang w:val="fr-CA"/>
        </w:rPr>
        <w:tab/>
        <w:t xml:space="preserve">Suivant l’analyse à trois volets qui régit l’admission de tout élément de preuve, y compris les aveux émanant d’une partie, le juge du procès doit se demander a) si l’élément de preuve est pertinent, b) si cet élément est visé par une règle </w:t>
      </w:r>
      <w:r w:rsidRPr="00295469">
        <w:rPr>
          <w:lang w:val="fr-CA"/>
        </w:rPr>
        <w:lastRenderedPageBreak/>
        <w:t>d’exclusion et c) s’il doit exercer son pouvoir discrétionnaire afin de l’écarter. Bien qu’un voir</w:t>
      </w:r>
      <w:r w:rsidRPr="00295469">
        <w:rPr>
          <w:lang w:val="fr-CA"/>
        </w:rPr>
        <w:noBreakHyphen/>
        <w:t>dire soit souvent nécessaire lorsqu’une question relative à l’admissibilité d’un élément de preuve est soulevée, il est po</w:t>
      </w:r>
      <w:r w:rsidR="0068265A">
        <w:rPr>
          <w:lang w:val="fr-CA"/>
        </w:rPr>
        <w:t>ssible qu’un voir</w:t>
      </w:r>
      <w:r w:rsidR="0068265A">
        <w:rPr>
          <w:lang w:val="fr-CA"/>
        </w:rPr>
        <w:noBreakHyphen/>
      </w:r>
      <w:r w:rsidRPr="00295469">
        <w:rPr>
          <w:lang w:val="fr-CA"/>
        </w:rPr>
        <w:t>dire ne soit pas nécessaire dans le cas d’un aveu émanant d’une partie; la question de savoir si la tenue d’un voir</w:t>
      </w:r>
      <w:r w:rsidRPr="00295469">
        <w:rPr>
          <w:lang w:val="fr-CA"/>
        </w:rPr>
        <w:noBreakHyphen/>
        <w:t>dire est nécessaire à l’égard d’une preuve de cette nature doit être tranchée au regard des circonstances propres à chaque</w:t>
      </w:r>
      <w:r w:rsidR="0068265A">
        <w:rPr>
          <w:lang w:val="fr-CA"/>
        </w:rPr>
        <w:t xml:space="preserve"> espèce.</w:t>
      </w:r>
    </w:p>
    <w:p w14:paraId="4F7EDBF6" w14:textId="2210F80F" w:rsidR="00295469" w:rsidRPr="00295469" w:rsidRDefault="00295469" w:rsidP="0068265A">
      <w:pPr>
        <w:pStyle w:val="SCCNormalDoubleSpacing"/>
        <w:spacing w:after="480"/>
        <w:rPr>
          <w:noProof/>
          <w:lang w:val="fr-CA"/>
        </w:rPr>
      </w:pPr>
      <w:r w:rsidRPr="00295469">
        <w:rPr>
          <w:lang w:val="fr-CA"/>
        </w:rPr>
        <w:tab/>
        <w:t>Premièrement, pour déterminer si un élément de preuve est pertinent, le juge doit se demander si, à la lumière de tous les autres éléments de preuve, l’élément en cause tend logiquement à accroître ou à diminuer la vraisemblance d’un fait en litige. Le seuil requis est peu élevé, et les juges peuvent admettre un élément de preuve qui présente une faible valeur probante. Des concepts comme la fiabilité en dernière analyse, la vraisemblance et la valeur probante n’ont pas leur place lorsqu’il s’agit de décider de la pertinence; ils sont réservés au juge des faits. Le contexte en ce qui a trait à la preuve dont peut tenir compte le juge présidant un procès afin de décider si un élément de preuve est capable de signification et peut de ce fait être pertinent comprend les éléments de preuve que les parties ont présentés et ceux qu’une partie indique qu’elle entend présenter. Cette proposition s’applique aux aveux émanant d’une partie; rien ne justifie de les traiter différemment dans la détermination de la pertinence. Par conséquent, il n’existe en droit aucun fondement justifiant d’établir une dist</w:t>
      </w:r>
      <w:r w:rsidR="0068265A">
        <w:rPr>
          <w:lang w:val="fr-CA"/>
        </w:rPr>
        <w:t>inction entre le micro</w:t>
      </w:r>
      <w:r w:rsidR="0068265A">
        <w:rPr>
          <w:lang w:val="fr-CA"/>
        </w:rPr>
        <w:noBreakHyphen/>
        <w:t xml:space="preserve">contexte </w:t>
      </w:r>
      <w:r w:rsidRPr="00295469">
        <w:rPr>
          <w:lang w:val="fr-CA"/>
        </w:rPr>
        <w:t xml:space="preserve">et le </w:t>
      </w:r>
      <w:proofErr w:type="spellStart"/>
      <w:r w:rsidRPr="00295469">
        <w:rPr>
          <w:lang w:val="fr-CA"/>
        </w:rPr>
        <w:t>macro</w:t>
      </w:r>
      <w:r w:rsidRPr="00295469">
        <w:rPr>
          <w:lang w:val="fr-CA"/>
        </w:rPr>
        <w:noBreakHyphen/>
        <w:t>contexte</w:t>
      </w:r>
      <w:proofErr w:type="spellEnd"/>
      <w:r w:rsidRPr="00295469">
        <w:rPr>
          <w:lang w:val="fr-CA"/>
        </w:rPr>
        <w:t xml:space="preserve">; </w:t>
      </w:r>
      <w:r w:rsidRPr="00295469">
        <w:rPr>
          <w:noProof/>
          <w:lang w:val="fr-CA"/>
        </w:rPr>
        <w:t>tous les éléments de preuve sont susceptibles d’éclairer l’analyse de cette question par le juge.</w:t>
      </w:r>
      <w:r w:rsidRPr="00295469">
        <w:rPr>
          <w:lang w:val="fr-CA"/>
        </w:rPr>
        <w:t xml:space="preserve"> En outre, les aveux émanant d’une partie, comme tout autre élément de preuve, ne deviennent pas inadmissibles parce que le témoin rend un témoignage équivoque. Dans la mesure où les hésitations ou un souvenir imparfait des circonstances d’un témoin portent sur des points liés à l’admissibilité (plutôt qu’au poids), il est approprié que le juge qui préside un procès les prenne en considération dans la mise en balance de la valeur probante et de l’effet préjudiciable. </w:t>
      </w:r>
      <w:r w:rsidRPr="00295469">
        <w:rPr>
          <w:noProof/>
          <w:lang w:val="fr-CA"/>
        </w:rPr>
        <w:t>En conséquence, le fait qu’un témoin ne se souvienne pas des mots exacts qui ont été utilisés ne signifie pas que son témoignage n’est pas pertinent.</w:t>
      </w:r>
      <w:r w:rsidRPr="00295469">
        <w:rPr>
          <w:lang w:val="fr-CA"/>
        </w:rPr>
        <w:t xml:space="preserve"> L’analyse doit demeurer axée sur la question de savoir si le jury est en mesure d’attribuer à la déposition du témoin une signification d’une manière qui n’est pas conjecturale.</w:t>
      </w:r>
    </w:p>
    <w:p w14:paraId="50C93A4B" w14:textId="77777777" w:rsidR="00295469" w:rsidRPr="00295469" w:rsidRDefault="00295469" w:rsidP="0068265A">
      <w:pPr>
        <w:pStyle w:val="SCCNormalDoubleSpacing"/>
        <w:spacing w:after="480"/>
        <w:rPr>
          <w:lang w:val="fr-CA"/>
        </w:rPr>
      </w:pPr>
      <w:r w:rsidRPr="00295469">
        <w:rPr>
          <w:lang w:val="fr-CA"/>
        </w:rPr>
        <w:tab/>
        <w:t>Deuxièmement, un élément de preuve pertinent est habituellement admissible, sous réserve de diverses règles d’exclusion. La preuve par ou</w:t>
      </w:r>
      <w:r w:rsidRPr="00295469">
        <w:rPr>
          <w:rFonts w:ascii="Century" w:hAnsi="Century"/>
          <w:lang w:val="fr-CA"/>
        </w:rPr>
        <w:t>ï</w:t>
      </w:r>
      <w:r w:rsidRPr="00295469">
        <w:rPr>
          <w:lang w:val="fr-CA"/>
        </w:rPr>
        <w:noBreakHyphen/>
        <w:t xml:space="preserve">dire est visée par une règle générale d’exclusion et par diverses exceptions. L’une de ces exceptions est celle touchant les aveux émanant d’une partie. Les aveux émanant d’une partie incluent tout acte ou propos d’une partie présenté en preuve </w:t>
      </w:r>
      <w:r w:rsidRPr="00295469">
        <w:rPr>
          <w:iCs/>
          <w:lang w:val="fr-CA"/>
        </w:rPr>
        <w:t>contre cette partie</w:t>
      </w:r>
      <w:r w:rsidRPr="00295469">
        <w:rPr>
          <w:lang w:val="fr-CA"/>
        </w:rPr>
        <w:t>. Dans un procès criminel, un aveu émanant d’une partie constitue une preuve à charge que la Couronne présente contre l’accusé. La common law justifie l’admission en preuve de ce type d’aveux par le fait qu’une partie ne peut se plaindre de la non</w:t>
      </w:r>
      <w:r w:rsidRPr="00295469">
        <w:rPr>
          <w:lang w:val="fr-CA"/>
        </w:rPr>
        <w:noBreakHyphen/>
        <w:t>fiabilité de ses propres déclarations. Contrairement à plusieurs autres exceptions, la justification de l’admission des aveux émanant d’une partie n’est pas liée à des considérations de nécessité ou de fiabilité; par conséquent, ils sont admissibles en preuve sans égard à leur nécessité ou leur fiabilité.</w:t>
      </w:r>
    </w:p>
    <w:p w14:paraId="52CE257D" w14:textId="77777777" w:rsidR="00295469" w:rsidRPr="00295469" w:rsidRDefault="00295469" w:rsidP="0068265A">
      <w:pPr>
        <w:pStyle w:val="SCCNormalDoubleSpacing"/>
        <w:spacing w:after="480"/>
        <w:rPr>
          <w:lang w:val="fr-CA"/>
        </w:rPr>
      </w:pPr>
      <w:r w:rsidRPr="00295469">
        <w:rPr>
          <w:lang w:val="fr-CA"/>
        </w:rPr>
        <w:tab/>
        <w:t>Troisièmement, les juges doivent décider s’il y a lieu d’exercer leur pouvoir discrétionnaire afin d’écarter un élément de preuve après avoir soupesé la valeur probante de celui</w:t>
      </w:r>
      <w:r w:rsidRPr="00295469">
        <w:rPr>
          <w:lang w:val="fr-CA"/>
        </w:rPr>
        <w:noBreakHyphen/>
        <w:t>ci par rapport à ses effets préjudiciables. Cette mise en balance a été qualifiée d’</w:t>
      </w:r>
      <w:r w:rsidRPr="00295469">
        <w:rPr>
          <w:color w:val="000000"/>
          <w:lang w:val="fr-CA"/>
        </w:rPr>
        <w:t>analyse du coût et des bénéfices.</w:t>
      </w:r>
      <w:r w:rsidRPr="00295469">
        <w:rPr>
          <w:lang w:val="fr-CA"/>
        </w:rPr>
        <w:t xml:space="preserve"> La valeur probante s’entend du degré de pertinence d’un élément de preuve par rapport </w:t>
      </w:r>
      <w:r w:rsidRPr="00295469">
        <w:rPr>
          <w:color w:val="000000"/>
          <w:lang w:val="fr-CA"/>
        </w:rPr>
        <w:t>aux faits en litige et de la solidité des inférences qui peuvent être tirées de celui</w:t>
      </w:r>
      <w:r w:rsidRPr="00295469">
        <w:rPr>
          <w:color w:val="000000"/>
          <w:lang w:val="fr-CA"/>
        </w:rPr>
        <w:noBreakHyphen/>
        <w:t>ci.</w:t>
      </w:r>
      <w:r w:rsidRPr="00295469">
        <w:rPr>
          <w:lang w:val="fr-CA"/>
        </w:rPr>
        <w:t xml:space="preserve"> L’effet préjudiciable a trait à la probabilité que le jury fasse un mauvais usage de l’élément de preuve litigieux. Le juge qui préside un procès avec jury doit se demander dans quelle mesure il est possible d’atténuer le coût associé à l’élément de preuve litigieux (c.</w:t>
      </w:r>
      <w:r w:rsidRPr="00295469">
        <w:rPr>
          <w:lang w:val="fr-CA"/>
        </w:rPr>
        <w:noBreakHyphen/>
        <w:t>à</w:t>
      </w:r>
      <w:r w:rsidRPr="00295469">
        <w:rPr>
          <w:lang w:val="fr-CA"/>
        </w:rPr>
        <w:noBreakHyphen/>
        <w:t>d. son effet préjudiciable) en donnant au jury des directives appropriées sur l’utilisation qui peut régulièrement être faite de cet élément. La décision par le juge présidant un procès que la valeur probante d’un élément de preuve l’emporte sur son effet préjudiciable est une décision discrétionnaire qui commande la déférence en cas de contrôle.</w:t>
      </w:r>
    </w:p>
    <w:p w14:paraId="1D724F9B" w14:textId="77777777" w:rsidR="00295469" w:rsidRDefault="00295469" w:rsidP="0068265A">
      <w:pPr>
        <w:pStyle w:val="SCCNormalDoubleSpacing"/>
        <w:spacing w:after="480"/>
        <w:rPr>
          <w:lang w:val="fr-CA"/>
        </w:rPr>
      </w:pPr>
      <w:r w:rsidRPr="00295469">
        <w:rPr>
          <w:lang w:val="fr-CA"/>
        </w:rPr>
        <w:tab/>
        <w:t xml:space="preserve">En l’espèce, la juge du procès n’a pas fait erreur en admettant en preuve le témoignage du frère concernant ce qu’il avait entendu l’accusé dire. Le jury disposait d’un contexte suffisant pour attribuer une signification aux paroles que le frère avait entendues, de sorte que cet élément de preuve satisfait au seuil peu élevé de pertinence requis. Le fait que le frère était incertain quant aux paroles exactes qu’il avait entendu l’accusé prononcer n’est pas fatal. La nature équivoque du témoignage du frère est un facteur à considérer dans la mise en balance de la valeur probante et de l’effet préjudiciable. Si le jury y prête foi, le témoignage du frère tend à accroître la probabilité que l’accusé ait été responsable de la mort de la victime. À la lumière des autres éléments de preuve, le témoignage du frère rapportait des propos capables de signification non conjecturale et il était pertinent. Ensuite, le témoignage indiquait que l’accusé avait admis, par ses propres mots, être responsable de la mort de la victime. Cela constitue un aveu émanant d’une partie, qui est donc visé par une exception reconnue à la règle </w:t>
      </w:r>
      <w:r w:rsidRPr="00295469">
        <w:rPr>
          <w:noProof/>
          <w:lang w:val="fr-CA"/>
        </w:rPr>
        <w:t xml:space="preserve">générale d’exclusion </w:t>
      </w:r>
      <w:proofErr w:type="gramStart"/>
      <w:r w:rsidRPr="00295469">
        <w:rPr>
          <w:noProof/>
          <w:lang w:val="fr-CA"/>
        </w:rPr>
        <w:t xml:space="preserve">du </w:t>
      </w:r>
      <w:r w:rsidRPr="00295469">
        <w:rPr>
          <w:lang w:val="fr-CA"/>
        </w:rPr>
        <w:t>ouï</w:t>
      </w:r>
      <w:r w:rsidRPr="00295469">
        <w:rPr>
          <w:lang w:val="fr-CA"/>
        </w:rPr>
        <w:noBreakHyphen/>
        <w:t>dire</w:t>
      </w:r>
      <w:proofErr w:type="gramEnd"/>
      <w:r w:rsidRPr="00295469">
        <w:rPr>
          <w:noProof/>
          <w:lang w:val="fr-CA"/>
        </w:rPr>
        <w:t>.</w:t>
      </w:r>
      <w:r w:rsidRPr="00295469">
        <w:rPr>
          <w:lang w:val="fr-CA"/>
        </w:rPr>
        <w:t xml:space="preserve"> Enfin, l’accusé n’a pas démontré que la juge du procès avait commis une erreur dans la mise en balance discrétionnaire de la valeur probante d’un élément de preuve par rapport à son effet préjudiciable; cela ressort de façon particulière des directives bien structurées que la juge du procès a données au jury sur l’utilisation appropriée qu’il pouvait faire des aveux émanant d’une partie, directives qui ont limité de manière efficace et adéquate la possibilité d’utilisation préjudiciable du témoignage</w:t>
      </w:r>
      <w:r>
        <w:rPr>
          <w:lang w:val="fr-CA"/>
        </w:rPr>
        <w:t>.</w:t>
      </w:r>
    </w:p>
    <w:p w14:paraId="2CFE58B5" w14:textId="1CBF7D37" w:rsidR="00295469" w:rsidRPr="00895750" w:rsidRDefault="00295469" w:rsidP="0068265A">
      <w:pPr>
        <w:pStyle w:val="SCCNormalDoubleSpacing"/>
        <w:spacing w:after="480"/>
        <w:rPr>
          <w:lang w:val="fr-CA"/>
        </w:rPr>
      </w:pPr>
      <w:r>
        <w:rPr>
          <w:lang w:val="fr-CA"/>
        </w:rPr>
        <w:tab/>
      </w:r>
      <w:r w:rsidRPr="00295469">
        <w:rPr>
          <w:i/>
          <w:lang w:val="fr-CA"/>
        </w:rPr>
        <w:t xml:space="preserve">Les </w:t>
      </w:r>
      <w:r w:rsidRPr="00295469">
        <w:rPr>
          <w:lang w:val="fr-CA"/>
        </w:rPr>
        <w:t xml:space="preserve">juges </w:t>
      </w:r>
      <w:r w:rsidRPr="00295469">
        <w:rPr>
          <w:b/>
          <w:lang w:val="fr-CA"/>
        </w:rPr>
        <w:t>Karakatsanis</w:t>
      </w:r>
      <w:r w:rsidRPr="00295469">
        <w:rPr>
          <w:lang w:val="fr-CA"/>
        </w:rPr>
        <w:t xml:space="preserve"> et</w:t>
      </w:r>
      <w:r w:rsidRPr="00295469">
        <w:rPr>
          <w:b/>
          <w:lang w:val="fr-CA"/>
        </w:rPr>
        <w:t xml:space="preserve"> Brown</w:t>
      </w:r>
      <w:r w:rsidRPr="00295469">
        <w:rPr>
          <w:lang w:val="fr-CA"/>
        </w:rPr>
        <w:t xml:space="preserve"> (dissidents) : Le pourvoi devrait être rejeté. Il y a accord avec le cadre d’analyse utilisé par les juges majoritaires afin d’évaluer la pertinence et la valeur probante, mais il y a désaccord avec l’application de ce cadre. La preuve relative aux déclarations entendues n’aurait pas dû être admise, parce qu’un jury n’était pas en mesure de déterminer le </w:t>
      </w:r>
      <w:r w:rsidR="0068265A">
        <w:rPr>
          <w:lang w:val="fr-CA"/>
        </w:rPr>
        <w:t>sens ou la pertinence de celles</w:t>
      </w:r>
      <w:r w:rsidR="0068265A">
        <w:rPr>
          <w:lang w:val="fr-CA"/>
        </w:rPr>
        <w:noBreakHyphen/>
      </w:r>
      <w:r w:rsidRPr="00295469">
        <w:rPr>
          <w:lang w:val="fr-CA"/>
        </w:rPr>
        <w:t xml:space="preserve">ci. Au regard de la preuve dont disposait le jury, il était impossible de savoir ce que l’accusé avait dit à son épouse durant la conversation téléphonique entendue par le </w:t>
      </w:r>
      <w:r w:rsidR="00FD02A9">
        <w:rPr>
          <w:lang w:val="fr-CA"/>
        </w:rPr>
        <w:t>frère</w:t>
      </w:r>
      <w:r w:rsidRPr="00295469">
        <w:rPr>
          <w:lang w:val="fr-CA"/>
        </w:rPr>
        <w:t xml:space="preserve">. </w:t>
      </w:r>
      <w:r w:rsidR="00565780">
        <w:rPr>
          <w:lang w:val="fr-CA"/>
        </w:rPr>
        <w:t>Ce dernier</w:t>
      </w:r>
      <w:r w:rsidRPr="00295469">
        <w:rPr>
          <w:lang w:val="fr-CA"/>
        </w:rPr>
        <w:t xml:space="preserve"> ne savait pas quelles paroles il avait entendues, il essayait délibérément de ne pas</w:t>
      </w:r>
      <w:r w:rsidRPr="00295469">
        <w:rPr>
          <w:i/>
          <w:lang w:val="fr-CA"/>
        </w:rPr>
        <w:t xml:space="preserve"> </w:t>
      </w:r>
      <w:r w:rsidRPr="00295469">
        <w:rPr>
          <w:lang w:val="fr-CA"/>
        </w:rPr>
        <w:t>écouter la conversation,</w:t>
      </w:r>
      <w:r w:rsidRPr="00295469">
        <w:rPr>
          <w:szCs w:val="24"/>
          <w:lang w:val="fr-CA"/>
        </w:rPr>
        <w:t xml:space="preserve"> il </w:t>
      </w:r>
      <w:r w:rsidRPr="00295469">
        <w:rPr>
          <w:lang w:val="fr-CA"/>
        </w:rPr>
        <w:t>n’a ni participé à cette conversation ni entendu les échanges des deux parties à la conversation, et il a reconnu qu’il ne savait pas ce qui avait été dit durant la conversation et ne se souvenait pas de la teneur de celle</w:t>
      </w:r>
      <w:r w:rsidRPr="00295469">
        <w:rPr>
          <w:lang w:val="fr-CA"/>
        </w:rPr>
        <w:noBreakHyphen/>
        <w:t>ci. Évaluer la pertinence du témoignage du frère de l’accusé constitue donc une opération purement conjecturale. Bien qu’un examen allant au</w:t>
      </w:r>
      <w:r w:rsidRPr="00295469">
        <w:rPr>
          <w:lang w:val="fr-CA"/>
        </w:rPr>
        <w:noBreakHyphen/>
        <w:t>delà du contexte immédiat d’une conversation donnée puisse éclairer le sens de déclarations faites durant celle</w:t>
      </w:r>
      <w:r w:rsidRPr="00295469">
        <w:rPr>
          <w:lang w:val="fr-CA"/>
        </w:rPr>
        <w:noBreakHyphen/>
        <w:t xml:space="preserve">ci, </w:t>
      </w:r>
      <w:r w:rsidRPr="00295469">
        <w:rPr>
          <w:bCs/>
          <w:lang w:val="fr-CA"/>
        </w:rPr>
        <w:t xml:space="preserve">en l’espèce, les </w:t>
      </w:r>
      <w:r w:rsidR="0068265A">
        <w:rPr>
          <w:bCs/>
          <w:lang w:val="fr-CA"/>
        </w:rPr>
        <w:t>aspects contextuels qui vont au</w:t>
      </w:r>
      <w:r w:rsidR="0068265A">
        <w:rPr>
          <w:bCs/>
          <w:lang w:val="fr-CA"/>
        </w:rPr>
        <w:noBreakHyphen/>
      </w:r>
      <w:r w:rsidRPr="00295469">
        <w:rPr>
          <w:bCs/>
          <w:lang w:val="fr-CA"/>
        </w:rPr>
        <w:t>delà de la conversation et sur lesquels on s’est appuyé</w:t>
      </w:r>
      <w:r w:rsidR="00D20695">
        <w:rPr>
          <w:bCs/>
          <w:lang w:val="fr-CA"/>
        </w:rPr>
        <w:t>s</w:t>
      </w:r>
      <w:r w:rsidRPr="00295469">
        <w:rPr>
          <w:bCs/>
          <w:lang w:val="fr-CA"/>
        </w:rPr>
        <w:t xml:space="preserve"> n’étaient pas pertinents,</w:t>
      </w:r>
      <w:r w:rsidRPr="00295469">
        <w:rPr>
          <w:lang w:val="fr-CA"/>
        </w:rPr>
        <w:t xml:space="preserve"> et la conversation à elle seule ne fournissait pas suffisamment de contexte. </w:t>
      </w:r>
      <w:r w:rsidR="00D20695">
        <w:rPr>
          <w:lang w:val="fr-CA"/>
        </w:rPr>
        <w:t xml:space="preserve">Quoi qu’il en </w:t>
      </w:r>
      <w:r w:rsidR="00D20695" w:rsidRPr="00D20695">
        <w:rPr>
          <w:lang w:val="fr-CA"/>
        </w:rPr>
        <w:t>soit, lorsque le risque de mauvaise utilisation et l’absence de toute valeur probante appréciable sont mis en balance, il s’ensuit que la preuve</w:t>
      </w:r>
      <w:r w:rsidR="00D20695">
        <w:rPr>
          <w:lang w:val="fr-CA"/>
        </w:rPr>
        <w:t xml:space="preserve"> litigieuse aurait dû être soustraite à l’examen du jury</w:t>
      </w:r>
    </w:p>
    <w:p w14:paraId="39013C07" w14:textId="77777777" w:rsidR="004D7D95" w:rsidRPr="004D7D95" w:rsidRDefault="004D7D95" w:rsidP="00E87401">
      <w:pPr>
        <w:pStyle w:val="SCCNormalDoubleSpacing"/>
        <w:widowControl w:val="0"/>
        <w:spacing w:after="720" w:line="240" w:lineRule="auto"/>
        <w:rPr>
          <w:b/>
          <w:lang w:val="fr-CA"/>
        </w:rPr>
      </w:pPr>
      <w:r w:rsidRPr="004D7D95">
        <w:rPr>
          <w:b/>
          <w:lang w:val="fr-CA"/>
        </w:rPr>
        <w:t>Jurisprudence</w:t>
      </w:r>
    </w:p>
    <w:p w14:paraId="7F689FB9" w14:textId="024838C5" w:rsidR="004D7D95" w:rsidRPr="004D7D95" w:rsidRDefault="00324C6C" w:rsidP="00E87401">
      <w:pPr>
        <w:pStyle w:val="SCCNormalDoubleSpacing"/>
        <w:widowControl w:val="0"/>
        <w:spacing w:after="720" w:line="240" w:lineRule="auto"/>
        <w:rPr>
          <w:lang w:val="fr-CA"/>
        </w:rPr>
      </w:pPr>
      <w:r>
        <w:rPr>
          <w:lang w:val="fr-CA"/>
        </w:rPr>
        <w:t>Cité</w:t>
      </w:r>
      <w:r w:rsidR="0082777B">
        <w:rPr>
          <w:lang w:val="fr-CA"/>
        </w:rPr>
        <w:t>e par le juge Rowe</w:t>
      </w:r>
    </w:p>
    <w:p w14:paraId="6BC46B79" w14:textId="6691AF23" w:rsidR="004D7D95" w:rsidRPr="00F606A2" w:rsidRDefault="004D7D95" w:rsidP="00E87401">
      <w:pPr>
        <w:pStyle w:val="SCCNormalDoubleSpacing"/>
        <w:widowControl w:val="0"/>
        <w:spacing w:after="480"/>
        <w:rPr>
          <w:b/>
          <w:lang w:val="fr-CA"/>
        </w:rPr>
      </w:pPr>
      <w:r w:rsidRPr="004D7D95">
        <w:rPr>
          <w:lang w:val="fr-CA"/>
        </w:rPr>
        <w:tab/>
      </w:r>
      <w:r w:rsidR="00DE30C6">
        <w:rPr>
          <w:b/>
          <w:lang w:val="fr-CA"/>
        </w:rPr>
        <w:t xml:space="preserve">Arrêt appliqué : </w:t>
      </w:r>
      <w:r w:rsidR="00DE30C6">
        <w:rPr>
          <w:i/>
          <w:lang w:val="fr-CA"/>
        </w:rPr>
        <w:t>R. c</w:t>
      </w:r>
      <w:r w:rsidR="00DE30C6" w:rsidRPr="003D4EF3">
        <w:rPr>
          <w:i/>
          <w:lang w:val="fr-CA"/>
        </w:rPr>
        <w:t>. Ferris</w:t>
      </w:r>
      <w:r w:rsidR="00DE30C6" w:rsidRPr="003D4EF3">
        <w:rPr>
          <w:lang w:val="fr-CA"/>
        </w:rPr>
        <w:t xml:space="preserve">, [1994] 3 </w:t>
      </w:r>
      <w:r w:rsidR="00DE30C6">
        <w:rPr>
          <w:lang w:val="fr-CA"/>
        </w:rPr>
        <w:t>R.C.</w:t>
      </w:r>
      <w:r w:rsidR="00DE30C6" w:rsidRPr="003D4EF3">
        <w:rPr>
          <w:lang w:val="fr-CA"/>
        </w:rPr>
        <w:t>S. 756</w:t>
      </w:r>
      <w:r w:rsidR="00DE30C6">
        <w:rPr>
          <w:lang w:val="fr-CA"/>
        </w:rPr>
        <w:t>;</w:t>
      </w:r>
      <w:r w:rsidR="00DE30C6" w:rsidRPr="00DE30C6">
        <w:rPr>
          <w:lang w:val="fr-CA"/>
        </w:rPr>
        <w:t xml:space="preserve"> </w:t>
      </w:r>
      <w:r w:rsidR="00DE30C6">
        <w:rPr>
          <w:b/>
          <w:lang w:val="fr-CA"/>
        </w:rPr>
        <w:t>arrêts examinés :</w:t>
      </w:r>
      <w:r w:rsidR="00DE30C6">
        <w:rPr>
          <w:lang w:val="fr-CA"/>
        </w:rPr>
        <w:t xml:space="preserve"> </w:t>
      </w:r>
      <w:r w:rsidR="00DE30C6" w:rsidRPr="005367C5">
        <w:rPr>
          <w:i/>
          <w:lang w:val="fr-CA"/>
        </w:rPr>
        <w:t xml:space="preserve">R. </w:t>
      </w:r>
      <w:r w:rsidR="00DE30C6">
        <w:rPr>
          <w:i/>
          <w:lang w:val="fr-CA"/>
        </w:rPr>
        <w:t>c</w:t>
      </w:r>
      <w:r w:rsidR="00DE30C6" w:rsidRPr="005367C5">
        <w:rPr>
          <w:i/>
          <w:lang w:val="fr-CA"/>
        </w:rPr>
        <w:t>. Ferris</w:t>
      </w:r>
      <w:r w:rsidR="00DE30C6" w:rsidRPr="005367C5">
        <w:rPr>
          <w:lang w:val="fr-CA"/>
        </w:rPr>
        <w:t xml:space="preserve"> (1994), 149 A.R. 1</w:t>
      </w:r>
      <w:r w:rsidR="00DE30C6">
        <w:rPr>
          <w:lang w:val="fr-CA"/>
        </w:rPr>
        <w:t xml:space="preserve">; </w:t>
      </w:r>
      <w:r w:rsidR="00DE30C6" w:rsidRPr="00AD48BC">
        <w:rPr>
          <w:i/>
          <w:lang w:val="fr-CA"/>
        </w:rPr>
        <w:t>R. c. Bennight</w:t>
      </w:r>
      <w:r w:rsidR="00DE30C6" w:rsidRPr="00AD48BC">
        <w:rPr>
          <w:lang w:val="fr-CA"/>
        </w:rPr>
        <w:t xml:space="preserve">, 2012 BCCA 190, 320 B.C.A.C. 195; </w:t>
      </w:r>
      <w:r w:rsidR="00DE30C6" w:rsidRPr="00AD48BC">
        <w:rPr>
          <w:i/>
          <w:lang w:val="fr-CA"/>
        </w:rPr>
        <w:t>R. c. Buttazzoni</w:t>
      </w:r>
      <w:r w:rsidR="00DE30C6" w:rsidRPr="00AD48BC">
        <w:rPr>
          <w:lang w:val="fr-CA"/>
        </w:rPr>
        <w:t>, 2019 ONCA</w:t>
      </w:r>
      <w:r w:rsidR="00DE30C6" w:rsidRPr="006D5009">
        <w:rPr>
          <w:lang w:val="fr-CA"/>
        </w:rPr>
        <w:t xml:space="preserve"> 645</w:t>
      </w:r>
      <w:r w:rsidR="00DE30C6">
        <w:rPr>
          <w:lang w:val="fr-CA"/>
        </w:rPr>
        <w:t xml:space="preserve">; </w:t>
      </w:r>
      <w:r w:rsidR="00DE30C6" w:rsidRPr="00F606A2">
        <w:rPr>
          <w:i/>
          <w:lang w:val="fr-CA"/>
        </w:rPr>
        <w:t xml:space="preserve">R. </w:t>
      </w:r>
      <w:r w:rsidR="00DE30C6">
        <w:rPr>
          <w:i/>
          <w:lang w:val="fr-CA"/>
        </w:rPr>
        <w:t>c</w:t>
      </w:r>
      <w:r w:rsidR="00DE30C6" w:rsidRPr="00F606A2">
        <w:rPr>
          <w:i/>
          <w:lang w:val="fr-CA"/>
        </w:rPr>
        <w:t>. Hummel</w:t>
      </w:r>
      <w:r w:rsidR="00DE30C6" w:rsidRPr="00D13338">
        <w:rPr>
          <w:lang w:val="fr-CA"/>
        </w:rPr>
        <w:t>,</w:t>
      </w:r>
      <w:r w:rsidR="00DE30C6" w:rsidRPr="00F606A2">
        <w:rPr>
          <w:i/>
          <w:lang w:val="fr-CA"/>
        </w:rPr>
        <w:t xml:space="preserve"> </w:t>
      </w:r>
      <w:r w:rsidR="00DE30C6" w:rsidRPr="00F606A2">
        <w:rPr>
          <w:lang w:val="fr-CA"/>
        </w:rPr>
        <w:t>2002 YKCA 6, 166 C.C.C. (3d) 30</w:t>
      </w:r>
      <w:r w:rsidR="00DE30C6">
        <w:rPr>
          <w:lang w:val="fr-CA"/>
        </w:rPr>
        <w:t xml:space="preserve">; </w:t>
      </w:r>
      <w:r w:rsidR="00DE30C6">
        <w:rPr>
          <w:b/>
          <w:lang w:val="fr-CA"/>
        </w:rPr>
        <w:t>a</w:t>
      </w:r>
      <w:r w:rsidRPr="004D7D95">
        <w:rPr>
          <w:b/>
          <w:lang w:val="fr-CA"/>
        </w:rPr>
        <w:t>rrêts mentionnés :</w:t>
      </w:r>
      <w:r w:rsidRPr="004D7D95">
        <w:rPr>
          <w:lang w:val="fr-CA"/>
        </w:rPr>
        <w:t xml:space="preserve"> </w:t>
      </w:r>
      <w:r w:rsidR="000B24E0" w:rsidRPr="000B24E0">
        <w:rPr>
          <w:i/>
          <w:lang w:val="fr-CA"/>
        </w:rPr>
        <w:t xml:space="preserve">R. </w:t>
      </w:r>
      <w:r w:rsidR="000B24E0">
        <w:rPr>
          <w:i/>
          <w:lang w:val="fr-CA"/>
        </w:rPr>
        <w:t>c</w:t>
      </w:r>
      <w:r w:rsidR="000B24E0" w:rsidRPr="000B24E0">
        <w:rPr>
          <w:i/>
          <w:lang w:val="fr-CA"/>
        </w:rPr>
        <w:t>. Khelawon</w:t>
      </w:r>
      <w:r w:rsidR="000B24E0">
        <w:rPr>
          <w:lang w:val="fr-CA"/>
        </w:rPr>
        <w:t>, 2006 CSC</w:t>
      </w:r>
      <w:r w:rsidR="000B24E0" w:rsidRPr="000B24E0">
        <w:rPr>
          <w:lang w:val="fr-CA"/>
        </w:rPr>
        <w:t xml:space="preserve"> 57, [2006] 2 R.C.</w:t>
      </w:r>
      <w:r w:rsidR="000B24E0">
        <w:rPr>
          <w:lang w:val="fr-CA"/>
        </w:rPr>
        <w:t>S</w:t>
      </w:r>
      <w:r w:rsidR="000B24E0" w:rsidRPr="000B24E0">
        <w:rPr>
          <w:lang w:val="fr-CA"/>
        </w:rPr>
        <w:t>. 787</w:t>
      </w:r>
      <w:r w:rsidR="000B24E0">
        <w:rPr>
          <w:lang w:val="fr-CA"/>
        </w:rPr>
        <w:t xml:space="preserve">; </w:t>
      </w:r>
      <w:r w:rsidR="000B24E0" w:rsidRPr="000B24E0">
        <w:rPr>
          <w:i/>
          <w:lang w:val="fr-CA"/>
        </w:rPr>
        <w:t xml:space="preserve">R. </w:t>
      </w:r>
      <w:r w:rsidR="000B24E0">
        <w:rPr>
          <w:i/>
          <w:lang w:val="fr-CA"/>
        </w:rPr>
        <w:t>c</w:t>
      </w:r>
      <w:r w:rsidR="000B24E0" w:rsidRPr="000B24E0">
        <w:rPr>
          <w:i/>
          <w:lang w:val="fr-CA"/>
        </w:rPr>
        <w:t>. S.G.T.</w:t>
      </w:r>
      <w:r w:rsidR="000B24E0" w:rsidRPr="000B24E0">
        <w:rPr>
          <w:lang w:val="fr-CA"/>
        </w:rPr>
        <w:t>,</w:t>
      </w:r>
      <w:r w:rsidR="000B24E0">
        <w:rPr>
          <w:lang w:val="fr-CA"/>
        </w:rPr>
        <w:t xml:space="preserve"> 2010 </w:t>
      </w:r>
      <w:r w:rsidR="000B24E0" w:rsidRPr="000B24E0">
        <w:rPr>
          <w:lang w:val="fr-CA"/>
        </w:rPr>
        <w:t>C</w:t>
      </w:r>
      <w:r w:rsidR="000B24E0">
        <w:rPr>
          <w:lang w:val="fr-CA"/>
        </w:rPr>
        <w:t>SC</w:t>
      </w:r>
      <w:r w:rsidR="000B24E0" w:rsidRPr="000B24E0">
        <w:rPr>
          <w:lang w:val="fr-CA"/>
        </w:rPr>
        <w:t xml:space="preserve"> 20, [2010] 1 </w:t>
      </w:r>
      <w:r w:rsidR="000B24E0">
        <w:rPr>
          <w:lang w:val="fr-CA"/>
        </w:rPr>
        <w:t>R</w:t>
      </w:r>
      <w:r w:rsidR="000B24E0" w:rsidRPr="000B24E0">
        <w:rPr>
          <w:lang w:val="fr-CA"/>
        </w:rPr>
        <w:t>.C.</w:t>
      </w:r>
      <w:r w:rsidR="000B24E0">
        <w:rPr>
          <w:lang w:val="fr-CA"/>
        </w:rPr>
        <w:t>S</w:t>
      </w:r>
      <w:r w:rsidR="000B24E0" w:rsidRPr="000B24E0">
        <w:rPr>
          <w:lang w:val="fr-CA"/>
        </w:rPr>
        <w:t>. 688</w:t>
      </w:r>
      <w:r w:rsidR="000B24E0">
        <w:rPr>
          <w:lang w:val="fr-CA"/>
        </w:rPr>
        <w:t xml:space="preserve">; </w:t>
      </w:r>
      <w:r w:rsidR="00722292" w:rsidRPr="00722292">
        <w:rPr>
          <w:i/>
          <w:lang w:val="fr-CA"/>
        </w:rPr>
        <w:t xml:space="preserve">R. </w:t>
      </w:r>
      <w:r w:rsidR="00722292">
        <w:rPr>
          <w:i/>
          <w:lang w:val="fr-CA"/>
        </w:rPr>
        <w:t>c</w:t>
      </w:r>
      <w:r w:rsidR="00722292" w:rsidRPr="00722292">
        <w:rPr>
          <w:i/>
          <w:lang w:val="fr-CA"/>
        </w:rPr>
        <w:t>. Arp</w:t>
      </w:r>
      <w:r w:rsidR="00722292" w:rsidRPr="00722292">
        <w:rPr>
          <w:lang w:val="fr-CA"/>
        </w:rPr>
        <w:t xml:space="preserve">, [1998] 3 </w:t>
      </w:r>
      <w:r w:rsidR="00722292">
        <w:rPr>
          <w:lang w:val="fr-CA"/>
        </w:rPr>
        <w:t>R</w:t>
      </w:r>
      <w:r w:rsidR="00722292" w:rsidRPr="00722292">
        <w:rPr>
          <w:lang w:val="fr-CA"/>
        </w:rPr>
        <w:t>.</w:t>
      </w:r>
      <w:r w:rsidR="00722292">
        <w:rPr>
          <w:lang w:val="fr-CA"/>
        </w:rPr>
        <w:t>C</w:t>
      </w:r>
      <w:r w:rsidR="00722292" w:rsidRPr="00722292">
        <w:rPr>
          <w:lang w:val="fr-CA"/>
        </w:rPr>
        <w:t>.</w:t>
      </w:r>
      <w:r w:rsidR="00722292">
        <w:rPr>
          <w:lang w:val="fr-CA"/>
        </w:rPr>
        <w:t>S</w:t>
      </w:r>
      <w:r w:rsidR="00722292" w:rsidRPr="00722292">
        <w:rPr>
          <w:lang w:val="fr-CA"/>
        </w:rPr>
        <w:t xml:space="preserve">. </w:t>
      </w:r>
      <w:r w:rsidR="00722292" w:rsidRPr="00916C39">
        <w:rPr>
          <w:lang w:val="fr-CA"/>
        </w:rPr>
        <w:t xml:space="preserve">339; </w:t>
      </w:r>
      <w:r w:rsidR="00722292" w:rsidRPr="00916C39">
        <w:rPr>
          <w:i/>
          <w:lang w:val="fr-CA"/>
        </w:rPr>
        <w:t>R. c. White</w:t>
      </w:r>
      <w:r w:rsidR="00722292" w:rsidRPr="00916C39">
        <w:rPr>
          <w:lang w:val="fr-CA"/>
        </w:rPr>
        <w:t xml:space="preserve">, 2011 CSC 13, [2011] 1 R.C.S. 433; </w:t>
      </w:r>
      <w:r w:rsidR="00722292" w:rsidRPr="00916C39">
        <w:rPr>
          <w:i/>
          <w:lang w:val="fr-CA"/>
        </w:rPr>
        <w:t>R. c. Hart</w:t>
      </w:r>
      <w:r w:rsidR="00722292" w:rsidRPr="00916C39">
        <w:rPr>
          <w:lang w:val="fr-CA"/>
        </w:rPr>
        <w:t>, 2014 CSC 52, [2014] 2 R.C.S. 544;</w:t>
      </w:r>
      <w:r w:rsidR="00570EFE" w:rsidRPr="00916C39">
        <w:rPr>
          <w:lang w:val="fr-CA"/>
        </w:rPr>
        <w:t xml:space="preserve"> </w:t>
      </w:r>
      <w:r w:rsidR="00570EFE" w:rsidRPr="00916C39">
        <w:rPr>
          <w:i/>
          <w:lang w:val="fr-CA"/>
        </w:rPr>
        <w:t>R. c. Grant</w:t>
      </w:r>
      <w:r w:rsidR="00570EFE" w:rsidRPr="00916C39">
        <w:rPr>
          <w:lang w:val="fr-CA"/>
        </w:rPr>
        <w:t xml:space="preserve">, </w:t>
      </w:r>
      <w:r w:rsidR="00C4348D" w:rsidRPr="00C4348D">
        <w:rPr>
          <w:lang w:val="fr-CA"/>
        </w:rPr>
        <w:t>2015 C</w:t>
      </w:r>
      <w:r w:rsidR="00C4348D">
        <w:rPr>
          <w:lang w:val="fr-CA"/>
        </w:rPr>
        <w:t>S</w:t>
      </w:r>
      <w:r w:rsidR="00C4348D" w:rsidRPr="00C4348D">
        <w:rPr>
          <w:lang w:val="fr-CA"/>
        </w:rPr>
        <w:t>C 9,</w:t>
      </w:r>
      <w:r w:rsidR="00C4348D" w:rsidRPr="00C4348D">
        <w:rPr>
          <w:i/>
          <w:lang w:val="fr-CA"/>
        </w:rPr>
        <w:t xml:space="preserve"> </w:t>
      </w:r>
      <w:r w:rsidR="00C4348D" w:rsidRPr="00C4348D">
        <w:rPr>
          <w:lang w:val="fr-CA"/>
        </w:rPr>
        <w:t>[2015] 1 R</w:t>
      </w:r>
      <w:r w:rsidR="00C4348D">
        <w:rPr>
          <w:lang w:val="fr-CA"/>
        </w:rPr>
        <w:t>.C.</w:t>
      </w:r>
      <w:r w:rsidR="00C4348D" w:rsidRPr="00C4348D">
        <w:rPr>
          <w:lang w:val="fr-CA"/>
        </w:rPr>
        <w:t>S. 475</w:t>
      </w:r>
      <w:r w:rsidR="00570EFE" w:rsidRPr="00916C39">
        <w:rPr>
          <w:lang w:val="fr-CA"/>
        </w:rPr>
        <w:t xml:space="preserve">; </w:t>
      </w:r>
      <w:r w:rsidR="00570EFE" w:rsidRPr="00916C39">
        <w:rPr>
          <w:i/>
          <w:lang w:val="fr-CA"/>
        </w:rPr>
        <w:t>R. c. Corbett</w:t>
      </w:r>
      <w:r w:rsidR="00570EFE" w:rsidRPr="00916C39">
        <w:rPr>
          <w:lang w:val="fr-CA"/>
        </w:rPr>
        <w:t xml:space="preserve">, [1988] 1 R.C.S. 670; </w:t>
      </w:r>
      <w:r w:rsidR="00C4454D" w:rsidRPr="00C4454D">
        <w:rPr>
          <w:i/>
          <w:lang w:val="fr-CA"/>
        </w:rPr>
        <w:t>Morris</w:t>
      </w:r>
      <w:r w:rsidR="00C4454D">
        <w:rPr>
          <w:i/>
          <w:lang w:val="fr-CA"/>
        </w:rPr>
        <w:t xml:space="preserve"> c</w:t>
      </w:r>
      <w:r w:rsidR="00C4454D" w:rsidRPr="00C4454D">
        <w:rPr>
          <w:i/>
          <w:lang w:val="fr-CA"/>
        </w:rPr>
        <w:t xml:space="preserve">. </w:t>
      </w:r>
      <w:r w:rsidR="00C4454D">
        <w:rPr>
          <w:i/>
          <w:lang w:val="fr-CA"/>
        </w:rPr>
        <w:t>La Reine</w:t>
      </w:r>
      <w:r w:rsidR="00570EFE" w:rsidRPr="00916C39">
        <w:rPr>
          <w:lang w:val="fr-CA"/>
        </w:rPr>
        <w:t xml:space="preserve">, [1983] 2 R.C.S. 190; </w:t>
      </w:r>
      <w:r w:rsidR="00570EFE" w:rsidRPr="00916C39">
        <w:rPr>
          <w:i/>
          <w:lang w:val="fr-CA"/>
        </w:rPr>
        <w:t>R. c. Mohan</w:t>
      </w:r>
      <w:r w:rsidR="00570EFE" w:rsidRPr="00916C39">
        <w:rPr>
          <w:lang w:val="fr-CA"/>
        </w:rPr>
        <w:t xml:space="preserve">, [1994] 2 R.C.S. 9; </w:t>
      </w:r>
      <w:r w:rsidR="00E1026C" w:rsidRPr="00916C39">
        <w:rPr>
          <w:i/>
          <w:lang w:val="fr-CA"/>
        </w:rPr>
        <w:t>R. c. Blackman</w:t>
      </w:r>
      <w:r w:rsidR="00E1026C" w:rsidRPr="00916C39">
        <w:rPr>
          <w:lang w:val="fr-CA"/>
        </w:rPr>
        <w:t xml:space="preserve">, 2008 CSC 37, [2008] 2 R.C.S. 298; </w:t>
      </w:r>
      <w:r w:rsidR="00E1026C" w:rsidRPr="00916C39">
        <w:rPr>
          <w:i/>
          <w:lang w:val="fr-CA"/>
        </w:rPr>
        <w:t>R. c. Evans</w:t>
      </w:r>
      <w:r w:rsidR="00E1026C" w:rsidRPr="00916C39">
        <w:rPr>
          <w:lang w:val="fr-CA"/>
        </w:rPr>
        <w:t xml:space="preserve">, [1993] 3 R.C.S. 653; </w:t>
      </w:r>
      <w:r w:rsidR="00E1026C" w:rsidRPr="00916C39">
        <w:rPr>
          <w:i/>
          <w:lang w:val="fr-CA"/>
        </w:rPr>
        <w:t>R. c. Smith</w:t>
      </w:r>
      <w:r w:rsidR="00E1026C" w:rsidRPr="00916C39">
        <w:rPr>
          <w:lang w:val="fr-CA"/>
        </w:rPr>
        <w:t xml:space="preserve">, [1992] 2 R.C.S. 915; </w:t>
      </w:r>
      <w:r w:rsidR="00E1026C" w:rsidRPr="00916C39">
        <w:rPr>
          <w:i/>
          <w:lang w:val="fr-CA"/>
        </w:rPr>
        <w:t>R. c. Starr</w:t>
      </w:r>
      <w:r w:rsidR="00E1026C" w:rsidRPr="00916C39">
        <w:rPr>
          <w:lang w:val="fr-CA"/>
        </w:rPr>
        <w:t>, 2000 CSC 40, [2000] 2 R.C.S. 144</w:t>
      </w:r>
      <w:r w:rsidR="009745BB" w:rsidRPr="00916C39">
        <w:rPr>
          <w:lang w:val="fr-CA"/>
        </w:rPr>
        <w:t xml:space="preserve">; </w:t>
      </w:r>
      <w:r w:rsidR="009745BB" w:rsidRPr="00916C39">
        <w:rPr>
          <w:i/>
          <w:lang w:val="fr-CA"/>
        </w:rPr>
        <w:t xml:space="preserve">R. c. </w:t>
      </w:r>
      <w:r w:rsidR="009745BB" w:rsidRPr="00AD48BC">
        <w:rPr>
          <w:i/>
          <w:lang w:val="fr-CA"/>
        </w:rPr>
        <w:t>Mapara</w:t>
      </w:r>
      <w:r w:rsidR="009745BB" w:rsidRPr="00AD48BC">
        <w:rPr>
          <w:lang w:val="fr-CA"/>
        </w:rPr>
        <w:t xml:space="preserve">, 2005 CSC 23, [2005] 1 R.C.S. 358; </w:t>
      </w:r>
      <w:r w:rsidR="009745BB" w:rsidRPr="00AD48BC">
        <w:rPr>
          <w:i/>
          <w:lang w:val="fr-CA"/>
        </w:rPr>
        <w:t>R. c. Khan</w:t>
      </w:r>
      <w:r w:rsidR="009745BB" w:rsidRPr="00AD48BC">
        <w:rPr>
          <w:lang w:val="fr-CA"/>
        </w:rPr>
        <w:t xml:space="preserve">, [1990] 2 R.C.S. 531; </w:t>
      </w:r>
      <w:r w:rsidR="00174AD0" w:rsidRPr="00AD48BC">
        <w:rPr>
          <w:i/>
          <w:lang w:val="fr-CA"/>
        </w:rPr>
        <w:t>R. c. Baldree</w:t>
      </w:r>
      <w:r w:rsidR="00174AD0" w:rsidRPr="00AD48BC">
        <w:rPr>
          <w:lang w:val="fr-CA"/>
        </w:rPr>
        <w:t xml:space="preserve">, 2013 CSC 35, [2013] 2 R.C.S. 520; </w:t>
      </w:r>
      <w:r w:rsidR="00174AD0" w:rsidRPr="00AD48BC">
        <w:rPr>
          <w:i/>
          <w:lang w:val="fr-CA"/>
        </w:rPr>
        <w:t>R. c. Couture</w:t>
      </w:r>
      <w:r w:rsidR="00174AD0" w:rsidRPr="00AD48BC">
        <w:rPr>
          <w:lang w:val="fr-CA"/>
        </w:rPr>
        <w:t xml:space="preserve">, 2007 CSC 28, [2007] 2 R.C.S. 517; </w:t>
      </w:r>
      <w:r w:rsidR="00683DF1" w:rsidRPr="00AD48BC">
        <w:rPr>
          <w:i/>
          <w:lang w:val="fr-CA"/>
        </w:rPr>
        <w:t>R. c. Bradshaw</w:t>
      </w:r>
      <w:r w:rsidR="00683DF1" w:rsidRPr="00AD48BC">
        <w:rPr>
          <w:lang w:val="fr-CA"/>
        </w:rPr>
        <w:t xml:space="preserve">, 2017 CSC 35, [2017] 1 R.C.S. 865; </w:t>
      </w:r>
      <w:r w:rsidR="006926D1" w:rsidRPr="00AD48BC">
        <w:rPr>
          <w:i/>
          <w:lang w:val="fr-CA"/>
        </w:rPr>
        <w:t>R. c. Gordon Gray</w:t>
      </w:r>
      <w:r w:rsidR="006926D1" w:rsidRPr="00AD48BC">
        <w:rPr>
          <w:lang w:val="fr-CA"/>
        </w:rPr>
        <w:t xml:space="preserve">, 2021 QCCA 882; </w:t>
      </w:r>
      <w:r w:rsidR="00962DB0" w:rsidRPr="00AD48BC">
        <w:rPr>
          <w:i/>
          <w:lang w:val="fr-CA"/>
        </w:rPr>
        <w:t>R. c. Foreman</w:t>
      </w:r>
      <w:r w:rsidR="00962DB0" w:rsidRPr="00AD48BC">
        <w:rPr>
          <w:lang w:val="fr-CA"/>
        </w:rPr>
        <w:t xml:space="preserve"> (2002), </w:t>
      </w:r>
      <w:r w:rsidR="00EF5252" w:rsidRPr="00153D0C">
        <w:rPr>
          <w:lang w:val="fr-CA"/>
        </w:rPr>
        <w:t>169 C.C.C. (3d) 489</w:t>
      </w:r>
      <w:r w:rsidR="00962DB0" w:rsidRPr="00AD48BC">
        <w:rPr>
          <w:lang w:val="fr-CA"/>
        </w:rPr>
        <w:t xml:space="preserve">; </w:t>
      </w:r>
      <w:r w:rsidR="00CC0BA6" w:rsidRPr="00AD48BC">
        <w:rPr>
          <w:i/>
          <w:lang w:val="fr-CA"/>
        </w:rPr>
        <w:t>R. c</w:t>
      </w:r>
      <w:r w:rsidR="00962DB0" w:rsidRPr="00AD48BC">
        <w:rPr>
          <w:i/>
          <w:lang w:val="fr-CA"/>
        </w:rPr>
        <w:t>. Osmar</w:t>
      </w:r>
      <w:r w:rsidR="00962DB0" w:rsidRPr="00AD48BC">
        <w:rPr>
          <w:lang w:val="fr-CA"/>
        </w:rPr>
        <w:t xml:space="preserve">, 2007 ONCA 50, 84 O.R. (3d) 321; </w:t>
      </w:r>
      <w:r w:rsidR="00CC0BA6" w:rsidRPr="00AD48BC">
        <w:rPr>
          <w:i/>
          <w:lang w:val="fr-CA"/>
        </w:rPr>
        <w:t>R. c. Lo</w:t>
      </w:r>
      <w:r w:rsidR="00CC0BA6" w:rsidRPr="00AD48BC">
        <w:rPr>
          <w:lang w:val="fr-CA"/>
        </w:rPr>
        <w:t>, 2020 ONCA 622, 152 O.R. (3d) 609;</w:t>
      </w:r>
      <w:r w:rsidR="00916C39" w:rsidRPr="00AD48BC">
        <w:rPr>
          <w:lang w:val="fr-CA"/>
        </w:rPr>
        <w:t xml:space="preserve"> </w:t>
      </w:r>
      <w:r w:rsidR="00916C39" w:rsidRPr="00AD48BC">
        <w:rPr>
          <w:i/>
          <w:lang w:val="fr-CA"/>
        </w:rPr>
        <w:t>R. c. Scott</w:t>
      </w:r>
      <w:r w:rsidR="00916C39" w:rsidRPr="00AD48BC">
        <w:rPr>
          <w:lang w:val="fr-CA"/>
        </w:rPr>
        <w:t xml:space="preserve">, 2013 MBCA 7, 288 Man. R. (2d) 188; </w:t>
      </w:r>
      <w:r w:rsidR="00916C39" w:rsidRPr="00AD48BC">
        <w:rPr>
          <w:i/>
          <w:lang w:val="fr-CA"/>
        </w:rPr>
        <w:t xml:space="preserve">R. c. </w:t>
      </w:r>
      <w:proofErr w:type="spellStart"/>
      <w:r w:rsidR="00916C39" w:rsidRPr="00AD48BC">
        <w:rPr>
          <w:i/>
          <w:lang w:val="fr-CA"/>
        </w:rPr>
        <w:t>Handy</w:t>
      </w:r>
      <w:proofErr w:type="spellEnd"/>
      <w:r w:rsidR="00916C39" w:rsidRPr="00AD48BC">
        <w:rPr>
          <w:lang w:val="fr-CA"/>
        </w:rPr>
        <w:t>, 2002 CSC 56, [2002] 2 R.C.S. 908;</w:t>
      </w:r>
      <w:r w:rsidR="006C4A87" w:rsidRPr="00AD48BC">
        <w:rPr>
          <w:lang w:val="fr-CA"/>
        </w:rPr>
        <w:t xml:space="preserve"> </w:t>
      </w:r>
      <w:r w:rsidR="006C4A87" w:rsidRPr="00AD48BC">
        <w:rPr>
          <w:i/>
          <w:lang w:val="fr-CA"/>
        </w:rPr>
        <w:t>R. c. Robertson</w:t>
      </w:r>
      <w:r w:rsidR="00F76990" w:rsidRPr="00AD48BC">
        <w:rPr>
          <w:lang w:val="fr-CA"/>
        </w:rPr>
        <w:t>, [1987] 1 R.C.S</w:t>
      </w:r>
      <w:r w:rsidR="006C4A87" w:rsidRPr="00AD48BC">
        <w:rPr>
          <w:lang w:val="fr-CA"/>
        </w:rPr>
        <w:t xml:space="preserve">. 918; </w:t>
      </w:r>
      <w:r w:rsidR="006C4A87" w:rsidRPr="00AD48BC">
        <w:rPr>
          <w:i/>
          <w:lang w:val="fr-CA"/>
        </w:rPr>
        <w:t>R. c. Khill</w:t>
      </w:r>
      <w:r w:rsidR="00F76990" w:rsidRPr="00AD48BC">
        <w:rPr>
          <w:lang w:val="fr-CA"/>
        </w:rPr>
        <w:t>, 2021 CS</w:t>
      </w:r>
      <w:r w:rsidR="006C4A87" w:rsidRPr="00AD48BC">
        <w:rPr>
          <w:lang w:val="fr-CA"/>
        </w:rPr>
        <w:t xml:space="preserve">C 37; </w:t>
      </w:r>
      <w:r w:rsidR="00F76990" w:rsidRPr="00AD48BC">
        <w:rPr>
          <w:i/>
          <w:lang w:val="fr-CA"/>
        </w:rPr>
        <w:t>R. c. Griffin</w:t>
      </w:r>
      <w:r w:rsidR="00F76990" w:rsidRPr="00AD48BC">
        <w:rPr>
          <w:lang w:val="fr-CA"/>
        </w:rPr>
        <w:t>, 2009 CSC 28, [2009] 2 R.C.S. 42</w:t>
      </w:r>
      <w:r w:rsidR="00DF11F1" w:rsidRPr="00AD48BC">
        <w:rPr>
          <w:lang w:val="fr-CA"/>
        </w:rPr>
        <w:t xml:space="preserve">; </w:t>
      </w:r>
      <w:r w:rsidR="00DF11F1" w:rsidRPr="00AD48BC">
        <w:rPr>
          <w:i/>
          <w:lang w:val="fr-CA"/>
        </w:rPr>
        <w:t>R. c. Araya</w:t>
      </w:r>
      <w:r w:rsidR="00DF11F1" w:rsidRPr="00AD48BC">
        <w:rPr>
          <w:lang w:val="fr-CA"/>
        </w:rPr>
        <w:t xml:space="preserve">, 2015 CSC 11, [2015] 1 R.C.S. 581; </w:t>
      </w:r>
      <w:r w:rsidR="0075127D" w:rsidRPr="00AD48BC">
        <w:rPr>
          <w:i/>
          <w:lang w:val="fr-CA"/>
        </w:rPr>
        <w:t xml:space="preserve">R. c. </w:t>
      </w:r>
      <w:proofErr w:type="spellStart"/>
      <w:r w:rsidR="0075127D" w:rsidRPr="00AD48BC">
        <w:rPr>
          <w:i/>
          <w:lang w:val="fr-CA"/>
        </w:rPr>
        <w:t>Shearing</w:t>
      </w:r>
      <w:proofErr w:type="spellEnd"/>
      <w:r w:rsidR="0075127D" w:rsidRPr="00AD48BC">
        <w:rPr>
          <w:lang w:val="fr-CA"/>
        </w:rPr>
        <w:t xml:space="preserve">, 2002 CSC 58, [2002] 3 R.C.S. 33; </w:t>
      </w:r>
      <w:r w:rsidR="0075127D" w:rsidRPr="00AD48BC">
        <w:rPr>
          <w:i/>
          <w:lang w:val="fr-CA"/>
        </w:rPr>
        <w:t xml:space="preserve">R. c. </w:t>
      </w:r>
      <w:proofErr w:type="spellStart"/>
      <w:r w:rsidR="0075127D" w:rsidRPr="00AD48BC">
        <w:rPr>
          <w:i/>
          <w:lang w:val="fr-CA"/>
        </w:rPr>
        <w:t>Jaw</w:t>
      </w:r>
      <w:proofErr w:type="spellEnd"/>
      <w:r w:rsidR="0075127D" w:rsidRPr="00AD48BC">
        <w:rPr>
          <w:lang w:val="fr-CA"/>
        </w:rPr>
        <w:t xml:space="preserve">, 2009 CSC 42, [2009] 3 R.C.S. 26; </w:t>
      </w:r>
      <w:r w:rsidR="00F606A2" w:rsidRPr="00F606A2">
        <w:rPr>
          <w:i/>
          <w:lang w:val="fr-CA"/>
        </w:rPr>
        <w:t xml:space="preserve">R. </w:t>
      </w:r>
      <w:r w:rsidR="00F606A2">
        <w:rPr>
          <w:i/>
          <w:lang w:val="fr-CA"/>
        </w:rPr>
        <w:t>c</w:t>
      </w:r>
      <w:r w:rsidR="00F606A2" w:rsidRPr="00F606A2">
        <w:rPr>
          <w:i/>
          <w:lang w:val="fr-CA"/>
        </w:rPr>
        <w:t>. Reierson</w:t>
      </w:r>
      <w:r w:rsidR="00F606A2" w:rsidRPr="00F606A2">
        <w:rPr>
          <w:lang w:val="fr-CA"/>
        </w:rPr>
        <w:t>, 2010 BCCA 381, 259 C.C.C. (3d) 32</w:t>
      </w:r>
      <w:r w:rsidR="00F606A2">
        <w:rPr>
          <w:lang w:val="fr-CA"/>
        </w:rPr>
        <w:t xml:space="preserve">; </w:t>
      </w:r>
      <w:r w:rsidR="00F606A2" w:rsidRPr="00F606A2">
        <w:rPr>
          <w:i/>
          <w:lang w:val="fr-CA"/>
        </w:rPr>
        <w:t xml:space="preserve">R. </w:t>
      </w:r>
      <w:r w:rsidR="00F606A2">
        <w:rPr>
          <w:i/>
          <w:lang w:val="fr-CA"/>
        </w:rPr>
        <w:t>c</w:t>
      </w:r>
      <w:r w:rsidR="00F606A2" w:rsidRPr="00F606A2">
        <w:rPr>
          <w:i/>
          <w:lang w:val="fr-CA"/>
        </w:rPr>
        <w:t>. Oickle</w:t>
      </w:r>
      <w:r w:rsidR="00F606A2">
        <w:rPr>
          <w:lang w:val="fr-CA"/>
        </w:rPr>
        <w:t>, 2000 CS</w:t>
      </w:r>
      <w:r w:rsidR="00F606A2" w:rsidRPr="00F606A2">
        <w:rPr>
          <w:lang w:val="fr-CA"/>
        </w:rPr>
        <w:t xml:space="preserve">C 38, [2000] </w:t>
      </w:r>
      <w:r w:rsidR="00F606A2">
        <w:rPr>
          <w:lang w:val="fr-CA"/>
        </w:rPr>
        <w:t>2 R</w:t>
      </w:r>
      <w:r w:rsidR="00F606A2" w:rsidRPr="00F606A2">
        <w:rPr>
          <w:lang w:val="fr-CA"/>
        </w:rPr>
        <w:t>.</w:t>
      </w:r>
      <w:r w:rsidR="00F606A2">
        <w:rPr>
          <w:lang w:val="fr-CA"/>
        </w:rPr>
        <w:t>C.S</w:t>
      </w:r>
      <w:r w:rsidR="00F606A2" w:rsidRPr="00F606A2">
        <w:rPr>
          <w:lang w:val="fr-CA"/>
        </w:rPr>
        <w:t>. 3</w:t>
      </w:r>
      <w:r w:rsidR="00F606A2">
        <w:rPr>
          <w:lang w:val="fr-CA"/>
        </w:rPr>
        <w:t xml:space="preserve">; </w:t>
      </w:r>
      <w:r w:rsidR="004215F1" w:rsidRPr="004215F1">
        <w:rPr>
          <w:i/>
          <w:lang w:val="fr-CA"/>
        </w:rPr>
        <w:t xml:space="preserve">R. </w:t>
      </w:r>
      <w:r w:rsidR="004215F1">
        <w:rPr>
          <w:i/>
          <w:lang w:val="fr-CA"/>
        </w:rPr>
        <w:t>c</w:t>
      </w:r>
      <w:r w:rsidR="004215F1" w:rsidRPr="004215F1">
        <w:rPr>
          <w:i/>
          <w:lang w:val="fr-CA"/>
        </w:rPr>
        <w:t>. Jacquard</w:t>
      </w:r>
      <w:r w:rsidR="00DC778D">
        <w:rPr>
          <w:lang w:val="fr-CA"/>
        </w:rPr>
        <w:t>, [1997] 1 R.C.S</w:t>
      </w:r>
      <w:r w:rsidR="004215F1" w:rsidRPr="004215F1">
        <w:rPr>
          <w:lang w:val="fr-CA"/>
        </w:rPr>
        <w:t>. 314</w:t>
      </w:r>
      <w:r w:rsidR="008D056E">
        <w:rPr>
          <w:lang w:val="fr-CA"/>
        </w:rPr>
        <w:t xml:space="preserve">; </w:t>
      </w:r>
      <w:r w:rsidR="008D056E" w:rsidRPr="008D056E">
        <w:rPr>
          <w:i/>
          <w:lang w:val="fr-CA"/>
        </w:rPr>
        <w:t xml:space="preserve">R. c. </w:t>
      </w:r>
      <w:proofErr w:type="spellStart"/>
      <w:r w:rsidR="008D056E" w:rsidRPr="008D056E">
        <w:rPr>
          <w:i/>
          <w:lang w:val="fr-CA"/>
        </w:rPr>
        <w:t>Miljevic</w:t>
      </w:r>
      <w:proofErr w:type="spellEnd"/>
      <w:r w:rsidR="008D056E">
        <w:rPr>
          <w:lang w:val="fr-CA"/>
        </w:rPr>
        <w:t>, 2011 CS</w:t>
      </w:r>
      <w:r w:rsidR="008D056E" w:rsidRPr="008D056E">
        <w:rPr>
          <w:lang w:val="fr-CA"/>
        </w:rPr>
        <w:t xml:space="preserve">C 8, [2011] 1 </w:t>
      </w:r>
      <w:r w:rsidR="008D056E">
        <w:rPr>
          <w:lang w:val="fr-CA"/>
        </w:rPr>
        <w:t>R</w:t>
      </w:r>
      <w:r w:rsidR="008D056E" w:rsidRPr="008D056E">
        <w:rPr>
          <w:lang w:val="fr-CA"/>
        </w:rPr>
        <w:t>.C.</w:t>
      </w:r>
      <w:r w:rsidR="008D056E">
        <w:rPr>
          <w:lang w:val="fr-CA"/>
        </w:rPr>
        <w:t>S</w:t>
      </w:r>
      <w:r w:rsidR="008D056E" w:rsidRPr="008D056E">
        <w:rPr>
          <w:lang w:val="fr-CA"/>
        </w:rPr>
        <w:t>. 203</w:t>
      </w:r>
      <w:r w:rsidR="008D056E">
        <w:rPr>
          <w:lang w:val="fr-CA"/>
        </w:rPr>
        <w:t>.</w:t>
      </w:r>
    </w:p>
    <w:p w14:paraId="6D75BC71" w14:textId="77777777" w:rsidR="005927C4" w:rsidRDefault="005927C4" w:rsidP="00E87401">
      <w:pPr>
        <w:pStyle w:val="SCCNormalDoubleSpacing"/>
        <w:spacing w:after="720" w:line="240" w:lineRule="auto"/>
        <w:rPr>
          <w:lang w:val="fr-CA"/>
        </w:rPr>
      </w:pPr>
      <w:r>
        <w:rPr>
          <w:lang w:val="fr-CA"/>
        </w:rPr>
        <w:t xml:space="preserve">Citée par les juges </w:t>
      </w:r>
      <w:r w:rsidRPr="005927C4">
        <w:rPr>
          <w:lang w:val="fr-CA"/>
        </w:rPr>
        <w:t>Karakatsanis</w:t>
      </w:r>
      <w:r>
        <w:rPr>
          <w:lang w:val="fr-CA"/>
        </w:rPr>
        <w:t xml:space="preserve"> et</w:t>
      </w:r>
      <w:r w:rsidRPr="005927C4">
        <w:rPr>
          <w:lang w:val="fr-CA"/>
        </w:rPr>
        <w:t xml:space="preserve"> Brown</w:t>
      </w:r>
      <w:r>
        <w:rPr>
          <w:lang w:val="fr-CA"/>
        </w:rPr>
        <w:t xml:space="preserve"> (dissidents)</w:t>
      </w:r>
    </w:p>
    <w:p w14:paraId="023DAFA6" w14:textId="5E989B92" w:rsidR="005927C4" w:rsidRPr="00C4348D" w:rsidRDefault="00445FBD" w:rsidP="00445FBD">
      <w:pPr>
        <w:pStyle w:val="SCCNormalDoubleSpacing"/>
        <w:spacing w:after="480"/>
        <w:rPr>
          <w:lang w:val="en-US"/>
        </w:rPr>
      </w:pPr>
      <w:r>
        <w:rPr>
          <w:i/>
          <w:lang w:val="fr-CA"/>
        </w:rPr>
        <w:tab/>
      </w:r>
      <w:r w:rsidR="005927C4" w:rsidRPr="00C4348D">
        <w:rPr>
          <w:i/>
          <w:lang w:val="en-US"/>
        </w:rPr>
        <w:t>R. c. Ferris</w:t>
      </w:r>
      <w:r w:rsidR="005927C4" w:rsidRPr="00C4348D">
        <w:rPr>
          <w:lang w:val="en-US"/>
        </w:rPr>
        <w:t xml:space="preserve"> (1994), 149 A.R. 1; </w:t>
      </w:r>
      <w:r w:rsidR="005927C4" w:rsidRPr="00C4348D">
        <w:rPr>
          <w:i/>
          <w:lang w:val="en-US"/>
        </w:rPr>
        <w:t>R. c. Arp</w:t>
      </w:r>
      <w:r w:rsidR="005927C4" w:rsidRPr="00C4348D">
        <w:rPr>
          <w:lang w:val="en-US"/>
        </w:rPr>
        <w:t>, [1998] 3 R.C.S. 339.</w:t>
      </w:r>
    </w:p>
    <w:p w14:paraId="082424FA" w14:textId="77777777" w:rsidR="004D7D95" w:rsidRPr="004D7D95" w:rsidRDefault="004D7D95" w:rsidP="00445FBD">
      <w:pPr>
        <w:pStyle w:val="SCCNormalDoubleSpacing"/>
        <w:spacing w:after="720" w:line="240" w:lineRule="auto"/>
        <w:rPr>
          <w:b/>
          <w:lang w:val="fr-CA"/>
        </w:rPr>
      </w:pPr>
      <w:r w:rsidRPr="004D7D95">
        <w:rPr>
          <w:b/>
          <w:lang w:val="fr-CA"/>
        </w:rPr>
        <w:t>Lois et règlements cités</w:t>
      </w:r>
    </w:p>
    <w:p w14:paraId="57671C4E" w14:textId="43E0D485" w:rsidR="00C927D5" w:rsidRDefault="00C927D5" w:rsidP="00B32B95">
      <w:pPr>
        <w:pStyle w:val="SCCNormalDoubleSpacing"/>
        <w:spacing w:after="720" w:line="240" w:lineRule="auto"/>
        <w:ind w:left="547" w:hanging="547"/>
        <w:rPr>
          <w:lang w:val="fr-CA"/>
        </w:rPr>
      </w:pPr>
      <w:r>
        <w:rPr>
          <w:i/>
          <w:lang w:val="fr-CA"/>
        </w:rPr>
        <w:t>Code criminel</w:t>
      </w:r>
      <w:r w:rsidR="00445FBD">
        <w:rPr>
          <w:lang w:val="fr-CA"/>
        </w:rPr>
        <w:t>, L.R.C. 1985, c. C</w:t>
      </w:r>
      <w:r w:rsidR="00445FBD">
        <w:rPr>
          <w:lang w:val="fr-CA"/>
        </w:rPr>
        <w:noBreakHyphen/>
        <w:t>46, art. </w:t>
      </w:r>
      <w:r>
        <w:rPr>
          <w:lang w:val="fr-CA"/>
        </w:rPr>
        <w:t>2</w:t>
      </w:r>
      <w:r w:rsidR="00123921">
        <w:rPr>
          <w:lang w:val="fr-CA"/>
        </w:rPr>
        <w:t xml:space="preserve"> « </w:t>
      </w:r>
      <w:r w:rsidR="00123921" w:rsidRPr="00123921">
        <w:rPr>
          <w:lang w:val="fr-CA"/>
        </w:rPr>
        <w:t>lésions corporelles</w:t>
      </w:r>
      <w:r w:rsidR="00123921">
        <w:rPr>
          <w:lang w:val="fr-CA"/>
        </w:rPr>
        <w:t> »</w:t>
      </w:r>
      <w:r>
        <w:rPr>
          <w:lang w:val="fr-CA"/>
        </w:rPr>
        <w:t xml:space="preserve">, </w:t>
      </w:r>
      <w:r w:rsidR="00973C81">
        <w:rPr>
          <w:lang w:val="fr-CA"/>
        </w:rPr>
        <w:t xml:space="preserve">25(3), </w:t>
      </w:r>
      <w:r w:rsidR="000A0041">
        <w:rPr>
          <w:lang w:val="fr-CA"/>
        </w:rPr>
        <w:t xml:space="preserve">182b), </w:t>
      </w:r>
      <w:r w:rsidR="00973C81">
        <w:rPr>
          <w:lang w:val="fr-CA"/>
        </w:rPr>
        <w:t>229a</w:t>
      </w:r>
      <w:proofErr w:type="gramStart"/>
      <w:r w:rsidR="00973C81">
        <w:rPr>
          <w:lang w:val="fr-CA"/>
        </w:rPr>
        <w:t>)(</w:t>
      </w:r>
      <w:proofErr w:type="gramEnd"/>
      <w:r w:rsidR="00973C81">
        <w:rPr>
          <w:lang w:val="fr-CA"/>
        </w:rPr>
        <w:t>ii)</w:t>
      </w:r>
      <w:r w:rsidR="000A0041">
        <w:rPr>
          <w:lang w:val="fr-CA"/>
        </w:rPr>
        <w:t>, 235(1)</w:t>
      </w:r>
      <w:r w:rsidR="00973C81">
        <w:rPr>
          <w:lang w:val="fr-CA"/>
        </w:rPr>
        <w:t>.</w:t>
      </w:r>
    </w:p>
    <w:p w14:paraId="4C5DD5BD" w14:textId="77777777" w:rsidR="004D7D95" w:rsidRPr="00DC778D" w:rsidRDefault="004D7D95" w:rsidP="00445FBD">
      <w:pPr>
        <w:pStyle w:val="SCCNormalDoubleSpacing"/>
        <w:spacing w:after="720" w:line="240" w:lineRule="auto"/>
        <w:rPr>
          <w:b/>
          <w:lang w:val="en-US"/>
        </w:rPr>
      </w:pPr>
      <w:r w:rsidRPr="00DC778D">
        <w:rPr>
          <w:b/>
          <w:lang w:val="en-US"/>
        </w:rPr>
        <w:t xml:space="preserve">Doctrine </w:t>
      </w:r>
      <w:proofErr w:type="gramStart"/>
      <w:r w:rsidRPr="00DC778D">
        <w:rPr>
          <w:b/>
          <w:lang w:val="en-US"/>
        </w:rPr>
        <w:t>et</w:t>
      </w:r>
      <w:proofErr w:type="gramEnd"/>
      <w:r w:rsidRPr="00DC778D">
        <w:rPr>
          <w:b/>
          <w:lang w:val="en-US"/>
        </w:rPr>
        <w:t xml:space="preserve"> autres documents cités</w:t>
      </w:r>
    </w:p>
    <w:p w14:paraId="604AC62E" w14:textId="6827436F" w:rsidR="00CC5A74" w:rsidRPr="00CC5A74" w:rsidRDefault="00CC5A74" w:rsidP="00445FBD">
      <w:pPr>
        <w:pStyle w:val="SCCNormalDoubleSpacing"/>
        <w:spacing w:after="240" w:line="240" w:lineRule="auto"/>
        <w:ind w:left="540" w:hanging="540"/>
      </w:pPr>
      <w:r>
        <w:t>Lederman, Sidney N., Michelle K. Fuerst and Hamish C. Stewart</w:t>
      </w:r>
      <w:r w:rsidRPr="00153D0C">
        <w:t>.</w:t>
      </w:r>
      <w:r w:rsidRPr="00153D0C">
        <w:rPr>
          <w:i/>
        </w:rPr>
        <w:t xml:space="preserve"> Sopinka, Lederman &amp; </w:t>
      </w:r>
      <w:proofErr w:type="gramStart"/>
      <w:r w:rsidRPr="00153D0C">
        <w:rPr>
          <w:i/>
        </w:rPr>
        <w:t>Bryant</w:t>
      </w:r>
      <w:r w:rsidR="008D2319">
        <w:rPr>
          <w:i/>
        </w:rPr>
        <w:t> </w:t>
      </w:r>
      <w:r w:rsidRPr="00153D0C">
        <w:rPr>
          <w:i/>
        </w:rPr>
        <w:t>:</w:t>
      </w:r>
      <w:proofErr w:type="gramEnd"/>
      <w:r w:rsidRPr="00153D0C">
        <w:rPr>
          <w:i/>
        </w:rPr>
        <w:t xml:space="preserve"> The Law of Evidence in Canada</w:t>
      </w:r>
      <w:r>
        <w:t>, 6</w:t>
      </w:r>
      <w:r w:rsidRPr="00153D0C">
        <w:t>th ed., Toronto</w:t>
      </w:r>
      <w:r>
        <w:t>, LexisNexis, 2022.</w:t>
      </w:r>
    </w:p>
    <w:p w14:paraId="4287941B" w14:textId="6649B5B6" w:rsidR="00F01862" w:rsidRDefault="000110CE" w:rsidP="00445FBD">
      <w:pPr>
        <w:pStyle w:val="SCCNormalDoubleSpacing"/>
        <w:spacing w:after="240" w:line="240" w:lineRule="auto"/>
        <w:ind w:left="540" w:hanging="540"/>
      </w:pPr>
      <w:r w:rsidRPr="00CC5A74">
        <w:rPr>
          <w:lang w:val="en-US"/>
        </w:rPr>
        <w:t xml:space="preserve">Paciocco, David M., Palma Paciocco and Lee Stuesser. </w:t>
      </w:r>
      <w:r w:rsidRPr="00856549">
        <w:rPr>
          <w:i/>
        </w:rPr>
        <w:t>The Law of Evidence</w:t>
      </w:r>
      <w:r w:rsidRPr="00693648">
        <w:t>, 8th ed</w:t>
      </w:r>
      <w:r>
        <w:t>., Toronto, Irwin Law, 2020.</w:t>
      </w:r>
    </w:p>
    <w:p w14:paraId="0A85BA26" w14:textId="1C6E119A" w:rsidR="00A53280" w:rsidRPr="001C1399" w:rsidRDefault="00A53280" w:rsidP="00445FBD">
      <w:pPr>
        <w:pStyle w:val="SCCNormalDoubleSpacing"/>
        <w:spacing w:after="240" w:line="240" w:lineRule="auto"/>
        <w:ind w:left="547" w:hanging="547"/>
        <w:rPr>
          <w:lang w:val="fr-CA"/>
        </w:rPr>
      </w:pPr>
      <w:r w:rsidRPr="00D41083">
        <w:rPr>
          <w:rStyle w:val="solexhl"/>
          <w:lang w:val="fr-CA"/>
        </w:rPr>
        <w:t>Vauclair</w:t>
      </w:r>
      <w:r w:rsidRPr="00D41083">
        <w:rPr>
          <w:lang w:val="fr-CA"/>
        </w:rPr>
        <w:t>, Martin, et Tristan Desjardins, avec la collaboration de Pauline Lachance.</w:t>
      </w:r>
      <w:r w:rsidRPr="00D41083">
        <w:rPr>
          <w:i/>
          <w:iCs/>
          <w:lang w:val="fr-CA"/>
        </w:rPr>
        <w:t xml:space="preserve"> Traité général de preuve et de procédure pénales</w:t>
      </w:r>
      <w:r w:rsidR="004F56B6" w:rsidRPr="00D41083">
        <w:rPr>
          <w:i/>
          <w:iCs/>
          <w:lang w:val="fr-CA"/>
        </w:rPr>
        <w:t xml:space="preserve"> 2022</w:t>
      </w:r>
      <w:r w:rsidRPr="00D41083">
        <w:rPr>
          <w:lang w:val="fr-CA"/>
        </w:rPr>
        <w:t>, 2</w:t>
      </w:r>
      <w:r w:rsidR="004F56B6" w:rsidRPr="00D41083">
        <w:rPr>
          <w:lang w:val="fr-CA"/>
        </w:rPr>
        <w:t>9</w:t>
      </w:r>
      <w:r w:rsidRPr="00D41083">
        <w:rPr>
          <w:vertAlign w:val="superscript"/>
          <w:lang w:val="fr-CA"/>
        </w:rPr>
        <w:t>e</w:t>
      </w:r>
      <w:r w:rsidRPr="00D41083">
        <w:rPr>
          <w:lang w:val="fr-CA"/>
        </w:rPr>
        <w:t> éd., Montréal, Yvon Blais, 202</w:t>
      </w:r>
      <w:r w:rsidR="004F56B6" w:rsidRPr="00D41083">
        <w:rPr>
          <w:lang w:val="fr-CA"/>
        </w:rPr>
        <w:t>2</w:t>
      </w:r>
      <w:r w:rsidRPr="00D41083">
        <w:rPr>
          <w:lang w:val="fr-CA"/>
        </w:rPr>
        <w:t>.</w:t>
      </w:r>
    </w:p>
    <w:p w14:paraId="178E115D" w14:textId="06D8E1F8" w:rsidR="001F3A19" w:rsidRDefault="001F3A19" w:rsidP="00445FBD">
      <w:pPr>
        <w:pStyle w:val="SCCNormalDoubleSpacing"/>
        <w:spacing w:after="720" w:line="240" w:lineRule="auto"/>
        <w:ind w:left="547" w:hanging="547"/>
      </w:pPr>
      <w:r>
        <w:t xml:space="preserve">Younger, Irving. </w:t>
      </w:r>
      <w:r w:rsidRPr="00645E3D">
        <w:rPr>
          <w:i/>
        </w:rPr>
        <w:t>An Irreverent Introduction to Hearsay</w:t>
      </w:r>
      <w:r>
        <w:t xml:space="preserve">, Chicago, </w:t>
      </w:r>
      <w:r w:rsidRPr="00693648">
        <w:t>Ameri</w:t>
      </w:r>
      <w:r>
        <w:t>can Bar Association, 1977.</w:t>
      </w:r>
    </w:p>
    <w:p w14:paraId="68F45EB1" w14:textId="362C3E9A" w:rsidR="004D7D95" w:rsidRPr="004D7D95" w:rsidRDefault="004D7D95" w:rsidP="00445FBD">
      <w:pPr>
        <w:pStyle w:val="SCCNormalDoubleSpacing"/>
        <w:spacing w:after="480"/>
        <w:rPr>
          <w:lang w:val="fr-CA"/>
        </w:rPr>
      </w:pPr>
      <w:r w:rsidRPr="001F3A19">
        <w:rPr>
          <w:lang w:val="en-US"/>
        </w:rPr>
        <w:tab/>
      </w:r>
      <w:r w:rsidRPr="004D7D95">
        <w:rPr>
          <w:lang w:val="fr-CA"/>
        </w:rPr>
        <w:t xml:space="preserve">POURVOI contre un arrêt de la </w:t>
      </w:r>
      <w:r w:rsidRPr="003D4EF3">
        <w:rPr>
          <w:lang w:val="fr-CA"/>
        </w:rPr>
        <w:t>Cour d</w:t>
      </w:r>
      <w:r w:rsidR="000804F4">
        <w:rPr>
          <w:lang w:val="fr-CA"/>
        </w:rPr>
        <w:t>’</w:t>
      </w:r>
      <w:r w:rsidRPr="003D4EF3">
        <w:rPr>
          <w:lang w:val="fr-CA"/>
        </w:rPr>
        <w:t xml:space="preserve">appel de la </w:t>
      </w:r>
      <w:r w:rsidR="008A0771" w:rsidRPr="003D4EF3">
        <w:rPr>
          <w:lang w:val="fr-CA"/>
        </w:rPr>
        <w:t>Colombie-Britannique (les j</w:t>
      </w:r>
      <w:r w:rsidR="00445FBD">
        <w:rPr>
          <w:lang w:val="fr-CA"/>
        </w:rPr>
        <w:t>uges Saunders, Goepel et DeWitt</w:t>
      </w:r>
      <w:r w:rsidR="00445FBD">
        <w:rPr>
          <w:lang w:val="fr-CA"/>
        </w:rPr>
        <w:noBreakHyphen/>
      </w:r>
      <w:r w:rsidR="008A0771" w:rsidRPr="003D4EF3">
        <w:rPr>
          <w:lang w:val="fr-CA"/>
        </w:rPr>
        <w:t xml:space="preserve">Van Oosten), </w:t>
      </w:r>
      <w:hyperlink r:id="rId9" w:history="1">
        <w:r w:rsidR="008A0771" w:rsidRPr="001E6D82">
          <w:rPr>
            <w:rStyle w:val="Hyperlink"/>
            <w:lang w:val="fr-CA"/>
          </w:rPr>
          <w:t>2021 BCCA 41</w:t>
        </w:r>
      </w:hyperlink>
      <w:r w:rsidR="008A0771" w:rsidRPr="003D4EF3">
        <w:rPr>
          <w:lang w:val="fr-CA"/>
        </w:rPr>
        <w:t xml:space="preserve">, 400 C.C.C. (3d) 131, </w:t>
      </w:r>
      <w:r w:rsidR="00445FBD">
        <w:rPr>
          <w:lang w:val="fr-CA"/>
        </w:rPr>
        <w:t>[2021] B.C.J. No. </w:t>
      </w:r>
      <w:r w:rsidR="00292C33" w:rsidRPr="003D4EF3">
        <w:rPr>
          <w:lang w:val="fr-CA"/>
        </w:rPr>
        <w:t>151 (Q</w:t>
      </w:r>
      <w:r w:rsidR="00E037CA">
        <w:rPr>
          <w:lang w:val="fr-CA"/>
        </w:rPr>
        <w:t>L), 2021 CarswellBC 232 (WL</w:t>
      </w:r>
      <w:r w:rsidR="00292C33" w:rsidRPr="00C927D5">
        <w:rPr>
          <w:lang w:val="fr-CA"/>
        </w:rPr>
        <w:t xml:space="preserve">), </w:t>
      </w:r>
      <w:r w:rsidR="00292C33" w:rsidRPr="00D20695">
        <w:rPr>
          <w:lang w:val="fr-CA"/>
        </w:rPr>
        <w:t xml:space="preserve">qui a </w:t>
      </w:r>
      <w:r w:rsidR="005138AD" w:rsidRPr="00D20695">
        <w:rPr>
          <w:lang w:val="fr-CA"/>
        </w:rPr>
        <w:t>annulé la</w:t>
      </w:r>
      <w:r w:rsidR="00292C33" w:rsidRPr="00D20695">
        <w:rPr>
          <w:lang w:val="fr-CA"/>
        </w:rPr>
        <w:t xml:space="preserve"> dé</w:t>
      </w:r>
      <w:r w:rsidR="0045028A" w:rsidRPr="00D20695">
        <w:rPr>
          <w:lang w:val="fr-CA"/>
        </w:rPr>
        <w:t>claration de culpabilité pour meurtre au deuxième degré</w:t>
      </w:r>
      <w:r w:rsidR="005138AD" w:rsidRPr="00D20695">
        <w:rPr>
          <w:lang w:val="fr-CA"/>
        </w:rPr>
        <w:t xml:space="preserve"> prononcée contre l’accusé</w:t>
      </w:r>
      <w:r w:rsidR="0045028A" w:rsidRPr="005138AD">
        <w:rPr>
          <w:lang w:val="fr-CA"/>
        </w:rPr>
        <w:t xml:space="preserve"> </w:t>
      </w:r>
      <w:r w:rsidR="00292C33" w:rsidRPr="005138AD">
        <w:rPr>
          <w:lang w:val="fr-CA"/>
        </w:rPr>
        <w:t xml:space="preserve">et </w:t>
      </w:r>
      <w:r w:rsidR="00045CE8" w:rsidRPr="005138AD">
        <w:rPr>
          <w:lang w:val="fr-CA"/>
        </w:rPr>
        <w:t xml:space="preserve">a </w:t>
      </w:r>
      <w:r w:rsidR="00292C33" w:rsidRPr="005138AD">
        <w:rPr>
          <w:lang w:val="fr-CA"/>
        </w:rPr>
        <w:t>ordonné un nouveau procès</w:t>
      </w:r>
      <w:r w:rsidR="00045CE8" w:rsidRPr="005138AD">
        <w:rPr>
          <w:lang w:val="fr-CA"/>
        </w:rPr>
        <w:t>. Pourvoi</w:t>
      </w:r>
      <w:r w:rsidR="00744A09" w:rsidRPr="005138AD">
        <w:rPr>
          <w:lang w:val="fr-CA"/>
        </w:rPr>
        <w:t xml:space="preserve"> </w:t>
      </w:r>
      <w:r w:rsidR="005138AD" w:rsidRPr="005138AD">
        <w:rPr>
          <w:lang w:val="fr-CA"/>
        </w:rPr>
        <w:t>accueilli, les juges Karakatsanis et Brown sont dissidents</w:t>
      </w:r>
      <w:r w:rsidR="0045028A" w:rsidRPr="005138AD">
        <w:rPr>
          <w:lang w:val="fr-CA"/>
        </w:rPr>
        <w:t>.</w:t>
      </w:r>
    </w:p>
    <w:p w14:paraId="48956EB1" w14:textId="40E52176" w:rsidR="0035035B" w:rsidRPr="003D4EF3" w:rsidRDefault="00012291" w:rsidP="00445FBD">
      <w:pPr>
        <w:pStyle w:val="SCCNormalDoubleSpacing"/>
        <w:spacing w:after="480"/>
        <w:rPr>
          <w:lang w:val="fr-CA"/>
        </w:rPr>
      </w:pPr>
      <w:r w:rsidRPr="003D4EF3">
        <w:rPr>
          <w:rStyle w:val="SCCCounselNameChar"/>
          <w:lang w:val="fr-CA"/>
        </w:rPr>
        <w:tab/>
        <w:t>Mary </w:t>
      </w:r>
      <w:r w:rsidR="007D2601">
        <w:rPr>
          <w:rStyle w:val="SCCCounselNameChar"/>
          <w:lang w:val="fr-CA"/>
        </w:rPr>
        <w:t>T. Ainslie</w:t>
      </w:r>
      <w:r w:rsidR="007D2601" w:rsidRPr="0023711F">
        <w:rPr>
          <w:rStyle w:val="SCCCounselNameChar"/>
          <w:i w:val="0"/>
          <w:lang w:val="fr-CA"/>
        </w:rPr>
        <w:t>,</w:t>
      </w:r>
      <w:r w:rsidR="000804F4">
        <w:rPr>
          <w:rStyle w:val="SCCCounselNameChar"/>
          <w:lang w:val="fr-CA"/>
        </w:rPr>
        <w:t xml:space="preserve"> </w:t>
      </w:r>
      <w:proofErr w:type="gramStart"/>
      <w:r w:rsidR="000804F4">
        <w:rPr>
          <w:rStyle w:val="SCCCounselNameChar"/>
          <w:lang w:val="fr-CA"/>
        </w:rPr>
        <w:t>c</w:t>
      </w:r>
      <w:r w:rsidR="007D2601">
        <w:rPr>
          <w:rStyle w:val="SCCCounselNameChar"/>
          <w:lang w:val="fr-CA"/>
        </w:rPr>
        <w:t>.</w:t>
      </w:r>
      <w:r w:rsidR="000804F4">
        <w:rPr>
          <w:rStyle w:val="SCCCounselNameChar"/>
          <w:lang w:val="fr-CA"/>
        </w:rPr>
        <w:t>r</w:t>
      </w:r>
      <w:r w:rsidR="007D2601">
        <w:rPr>
          <w:rStyle w:val="SCCCounselNameChar"/>
          <w:lang w:val="fr-CA"/>
        </w:rPr>
        <w:t>.</w:t>
      </w:r>
      <w:r w:rsidR="007D2601" w:rsidRPr="0023711F">
        <w:rPr>
          <w:rStyle w:val="SCCCounselNameChar"/>
          <w:i w:val="0"/>
          <w:lang w:val="fr-CA"/>
        </w:rPr>
        <w:t>,</w:t>
      </w:r>
      <w:proofErr w:type="gramEnd"/>
      <w:r w:rsidR="0020171D" w:rsidRPr="0023711F">
        <w:rPr>
          <w:rStyle w:val="SCCCounselSeparatorChar"/>
          <w:i/>
          <w:lang w:val="fr-CA"/>
        </w:rPr>
        <w:t xml:space="preserve"> </w:t>
      </w:r>
      <w:r w:rsidR="0020171D" w:rsidRPr="003D4EF3">
        <w:rPr>
          <w:rStyle w:val="SCCCounselSeparatorChar"/>
          <w:lang w:val="fr-CA"/>
        </w:rPr>
        <w:t xml:space="preserve">et </w:t>
      </w:r>
      <w:r w:rsidRPr="003D4EF3">
        <w:rPr>
          <w:rStyle w:val="SCCCounselNameChar"/>
          <w:lang w:val="fr-CA"/>
        </w:rPr>
        <w:t>Liliane </w:t>
      </w:r>
      <w:r w:rsidR="0020171D" w:rsidRPr="003D4EF3">
        <w:rPr>
          <w:rStyle w:val="SCCCounselNameChar"/>
          <w:lang w:val="fr-CA"/>
        </w:rPr>
        <w:t>Y. Bantourakis</w:t>
      </w:r>
      <w:r w:rsidR="007455AA" w:rsidRPr="003D4EF3">
        <w:rPr>
          <w:rStyle w:val="SCCCounselPartyRoleChar"/>
          <w:lang w:val="fr-CA"/>
        </w:rPr>
        <w:t>, pour l</w:t>
      </w:r>
      <w:r w:rsidR="000804F4">
        <w:rPr>
          <w:rStyle w:val="SCCCounselPartyRoleChar"/>
          <w:lang w:val="fr-CA"/>
        </w:rPr>
        <w:t>’</w:t>
      </w:r>
      <w:r w:rsidR="007455AA" w:rsidRPr="003D4EF3">
        <w:rPr>
          <w:rStyle w:val="SCCCounselPartyRoleChar"/>
          <w:lang w:val="fr-CA"/>
        </w:rPr>
        <w:t>appelant</w:t>
      </w:r>
      <w:r w:rsidR="0020171D" w:rsidRPr="003D4EF3">
        <w:rPr>
          <w:rStyle w:val="SCCCounselPartyRoleChar"/>
          <w:lang w:val="fr-CA"/>
        </w:rPr>
        <w:t>.</w:t>
      </w:r>
    </w:p>
    <w:p w14:paraId="72FD6E9F" w14:textId="1C26AFE1" w:rsidR="0035035B" w:rsidRDefault="0020171D" w:rsidP="00445FBD">
      <w:pPr>
        <w:pStyle w:val="SCCNormalDoubleSpacing"/>
        <w:spacing w:after="480"/>
        <w:rPr>
          <w:rStyle w:val="SCCCounselPartyRoleChar"/>
          <w:lang w:val="en-US"/>
        </w:rPr>
      </w:pPr>
      <w:r w:rsidRPr="003D4EF3">
        <w:rPr>
          <w:rStyle w:val="SCCCounselNameChar"/>
          <w:lang w:val="fr-CA"/>
        </w:rPr>
        <w:tab/>
      </w:r>
      <w:r w:rsidRPr="000804F4">
        <w:rPr>
          <w:rStyle w:val="SCCCounselNameChar"/>
          <w:lang w:val="en-US"/>
        </w:rPr>
        <w:t xml:space="preserve">Christopher </w:t>
      </w:r>
      <w:proofErr w:type="spellStart"/>
      <w:r w:rsidRPr="000804F4">
        <w:rPr>
          <w:rStyle w:val="SCCCounselNameChar"/>
          <w:lang w:val="en-US"/>
        </w:rPr>
        <w:t>Nowlin</w:t>
      </w:r>
      <w:proofErr w:type="spellEnd"/>
      <w:r w:rsidRPr="000804F4">
        <w:rPr>
          <w:rStyle w:val="SCCCounselNameChar"/>
          <w:i w:val="0"/>
          <w:lang w:val="en-US"/>
        </w:rPr>
        <w:t>,</w:t>
      </w:r>
      <w:r w:rsidRPr="000804F4">
        <w:rPr>
          <w:rStyle w:val="SCCCounselNameChar"/>
          <w:lang w:val="en-US"/>
        </w:rPr>
        <w:t xml:space="preserve"> Thomas Arbogast</w:t>
      </w:r>
      <w:r w:rsidR="007D2601" w:rsidRPr="000804F4">
        <w:rPr>
          <w:rStyle w:val="SCCCounselNameChar"/>
          <w:i w:val="0"/>
          <w:lang w:val="en-US"/>
        </w:rPr>
        <w:t>,</w:t>
      </w:r>
      <w:r w:rsidR="007D2601" w:rsidRPr="000804F4">
        <w:rPr>
          <w:rStyle w:val="SCCCounselNameChar"/>
          <w:lang w:val="en-US"/>
        </w:rPr>
        <w:t xml:space="preserve"> </w:t>
      </w:r>
      <w:proofErr w:type="gramStart"/>
      <w:r w:rsidR="000804F4">
        <w:rPr>
          <w:rStyle w:val="SCCCounselNameChar"/>
          <w:lang w:val="en-US"/>
        </w:rPr>
        <w:t>c</w:t>
      </w:r>
      <w:r w:rsidR="007D2601" w:rsidRPr="000804F4">
        <w:rPr>
          <w:rStyle w:val="SCCCounselNameChar"/>
          <w:lang w:val="en-US"/>
        </w:rPr>
        <w:t>.</w:t>
      </w:r>
      <w:r w:rsidR="000804F4">
        <w:rPr>
          <w:rStyle w:val="SCCCounselNameChar"/>
          <w:lang w:val="en-US"/>
        </w:rPr>
        <w:t>r</w:t>
      </w:r>
      <w:proofErr w:type="gramEnd"/>
      <w:r w:rsidR="007D2601" w:rsidRPr="000804F4">
        <w:rPr>
          <w:rStyle w:val="SCCCounselNameChar"/>
          <w:lang w:val="en-US"/>
        </w:rPr>
        <w:t>.</w:t>
      </w:r>
      <w:r w:rsidR="007D2601" w:rsidRPr="000804F4">
        <w:rPr>
          <w:rStyle w:val="SCCCounselNameChar"/>
          <w:i w:val="0"/>
          <w:lang w:val="en-US"/>
        </w:rPr>
        <w:t>,</w:t>
      </w:r>
      <w:r w:rsidRPr="000804F4">
        <w:rPr>
          <w:rStyle w:val="SCCCounselSeparatorChar"/>
          <w:lang w:val="en-US"/>
        </w:rPr>
        <w:t xml:space="preserve"> et </w:t>
      </w:r>
      <w:r w:rsidRPr="000804F4">
        <w:rPr>
          <w:rStyle w:val="SCCCounselNameChar"/>
          <w:lang w:val="en-US"/>
        </w:rPr>
        <w:t>Katherine Kirkpatrick</w:t>
      </w:r>
      <w:r w:rsidR="00012291" w:rsidRPr="000804F4">
        <w:rPr>
          <w:rStyle w:val="SCCCounselPartyRoleChar"/>
          <w:lang w:val="en-US"/>
        </w:rPr>
        <w:t xml:space="preserve">, pour </w:t>
      </w:r>
      <w:proofErr w:type="spellStart"/>
      <w:r w:rsidR="00012291" w:rsidRPr="000804F4">
        <w:rPr>
          <w:rStyle w:val="SCCCounselPartyRoleChar"/>
          <w:lang w:val="en-US"/>
        </w:rPr>
        <w:t>l</w:t>
      </w:r>
      <w:r w:rsidR="000804F4" w:rsidRPr="000804F4">
        <w:rPr>
          <w:rStyle w:val="SCCCounselPartyRoleChar"/>
          <w:lang w:val="en-US"/>
        </w:rPr>
        <w:t>’</w:t>
      </w:r>
      <w:r w:rsidR="00012291" w:rsidRPr="000804F4">
        <w:rPr>
          <w:rStyle w:val="SCCCounselPartyRoleChar"/>
          <w:lang w:val="en-US"/>
        </w:rPr>
        <w:t>intimé</w:t>
      </w:r>
      <w:proofErr w:type="spellEnd"/>
      <w:r w:rsidRPr="000804F4">
        <w:rPr>
          <w:rStyle w:val="SCCCounselPartyRoleChar"/>
          <w:lang w:val="en-US"/>
        </w:rPr>
        <w:t>.</w:t>
      </w:r>
    </w:p>
    <w:p w14:paraId="1E86DB1D" w14:textId="77777777" w:rsidR="008B6D43" w:rsidRDefault="008B6D43" w:rsidP="00445FBD">
      <w:pPr>
        <w:pStyle w:val="SCCNormalDoubleSpacing"/>
        <w:spacing w:after="480"/>
        <w:rPr>
          <w:rStyle w:val="SCCCounselPartyRoleChar"/>
          <w:lang w:val="en-US"/>
        </w:rPr>
      </w:pPr>
    </w:p>
    <w:p w14:paraId="7E5C7883" w14:textId="77777777" w:rsidR="008B6D43" w:rsidRDefault="008B6D43" w:rsidP="008B6D43">
      <w:pPr>
        <w:tabs>
          <w:tab w:val="left" w:pos="1134"/>
        </w:tabs>
        <w:jc w:val="both"/>
        <w:rPr>
          <w:lang w:val="fr-CA"/>
        </w:rPr>
      </w:pPr>
      <w:r w:rsidRPr="00AF1A21">
        <w:tab/>
      </w:r>
      <w:r w:rsidRPr="00173A02">
        <w:rPr>
          <w:lang w:val="fr-CA"/>
        </w:rPr>
        <w:t xml:space="preserve">Version française du jugement </w:t>
      </w:r>
      <w:r w:rsidRPr="00AF1A21">
        <w:rPr>
          <w:lang w:val="fr-CA"/>
        </w:rPr>
        <w:t xml:space="preserve">du juge en chef Wagner </w:t>
      </w:r>
      <w:r>
        <w:rPr>
          <w:lang w:val="fr-CA"/>
        </w:rPr>
        <w:t xml:space="preserve">et </w:t>
      </w:r>
      <w:r w:rsidRPr="00173A02">
        <w:rPr>
          <w:lang w:val="fr-CA"/>
        </w:rPr>
        <w:t xml:space="preserve">des juges </w:t>
      </w:r>
      <w:r w:rsidRPr="00AF1A21">
        <w:rPr>
          <w:lang w:val="fr-CA"/>
        </w:rPr>
        <w:t>Moldaver, Côté</w:t>
      </w:r>
      <w:r>
        <w:rPr>
          <w:lang w:val="fr-CA"/>
        </w:rPr>
        <w:t xml:space="preserve">, </w:t>
      </w:r>
      <w:r w:rsidRPr="00AF1A21">
        <w:rPr>
          <w:lang w:val="fr-CA"/>
        </w:rPr>
        <w:t>Rowe, Martin, Kasirer et Jamal</w:t>
      </w:r>
      <w:r w:rsidRPr="00173A02">
        <w:rPr>
          <w:lang w:val="fr-CA"/>
        </w:rPr>
        <w:t xml:space="preserve"> rendu par</w:t>
      </w:r>
    </w:p>
    <w:p w14:paraId="3C8839F1" w14:textId="77777777" w:rsidR="008B6D43" w:rsidRPr="00AF1A21" w:rsidRDefault="008B6D43" w:rsidP="008B6D43">
      <w:pPr>
        <w:tabs>
          <w:tab w:val="left" w:pos="1134"/>
        </w:tabs>
        <w:jc w:val="both"/>
        <w:rPr>
          <w:lang w:val="fr-CA"/>
        </w:rPr>
      </w:pPr>
    </w:p>
    <w:p w14:paraId="37F6DD47" w14:textId="77777777" w:rsidR="008B6D43" w:rsidRPr="0054234B" w:rsidRDefault="008B6D43" w:rsidP="008B6D43">
      <w:pPr>
        <w:pStyle w:val="JudgeJuge"/>
        <w:spacing w:before="240"/>
        <w:rPr>
          <w:noProof/>
          <w:lang w:val="fr-CA"/>
        </w:rPr>
      </w:pPr>
      <w:r w:rsidRPr="0054234B">
        <w:rPr>
          <w:noProof/>
          <w:lang w:val="fr-CA"/>
        </w:rPr>
        <w:tab/>
        <w:t xml:space="preserve">Le juge Rowe — </w:t>
      </w:r>
    </w:p>
    <w:p w14:paraId="1493C4C3" w14:textId="77777777" w:rsidR="008B6D43" w:rsidRPr="0054234B" w:rsidRDefault="008B6D43" w:rsidP="008B6D43">
      <w:pPr>
        <w:pStyle w:val="ParaNoNdepar-AltN"/>
        <w:spacing w:before="0"/>
        <w:rPr>
          <w:rFonts w:cs="Times New Roman"/>
          <w:noProof/>
          <w:lang w:val="fr-CA"/>
        </w:rPr>
      </w:pPr>
      <w:r w:rsidRPr="0054234B">
        <w:rPr>
          <w:rFonts w:cs="Times New Roman"/>
          <w:noProof/>
          <w:lang w:val="fr-CA"/>
        </w:rPr>
        <w:t>Le présent pourvoi porte sur l’admissibilité d’un élément de preuve par ouï</w:t>
      </w:r>
      <w:r w:rsidRPr="0054234B">
        <w:rPr>
          <w:rFonts w:cs="Times New Roman"/>
          <w:noProof/>
          <w:lang w:val="fr-CA"/>
        </w:rPr>
        <w:noBreakHyphen/>
        <w:t>dire, en l’occurrence un témoignage relatif à une conversation téléphonique entendue par le témoin et comportant un aveu de responsabilité criminelle. L’aspect central des motifs qui suivent est l’idée selon laquelle l’admissibilité d’une telle preuve est régie par des principes juridiques fondamentaux, plutôt que par quelque règle unique. En conséquence, pour statuer sur la présente affaire, je vais considérer les notions de pertinence et de ouï</w:t>
      </w:r>
      <w:r w:rsidRPr="0054234B">
        <w:rPr>
          <w:rFonts w:cs="Times New Roman"/>
          <w:noProof/>
          <w:lang w:val="fr-CA"/>
        </w:rPr>
        <w:noBreakHyphen/>
        <w:t xml:space="preserve">dire, ainsi que la question de l’appréciation discrétionnaire de la valeur probante d’un élément de preuve par rapport à son effet préjudiciable. Il sera également nécessaire d’appliquer l’arrêt </w:t>
      </w:r>
      <w:r w:rsidRPr="0054234B">
        <w:rPr>
          <w:rFonts w:cs="Times New Roman"/>
          <w:i/>
          <w:noProof/>
          <w:lang w:val="fr-CA"/>
        </w:rPr>
        <w:t>R. c. Ferris</w:t>
      </w:r>
      <w:r w:rsidRPr="0054234B">
        <w:rPr>
          <w:rFonts w:cs="Times New Roman"/>
          <w:noProof/>
          <w:lang w:val="fr-CA"/>
        </w:rPr>
        <w:t>, [1994] 3 R.C.S. 756, de notre Cour.</w:t>
      </w:r>
    </w:p>
    <w:p w14:paraId="03F029C3" w14:textId="77777777" w:rsidR="008B6D43" w:rsidRPr="0054234B" w:rsidRDefault="008B6D43" w:rsidP="008B6D43">
      <w:pPr>
        <w:pStyle w:val="ParaNoNdepar-AltN"/>
        <w:spacing w:before="0"/>
        <w:rPr>
          <w:rFonts w:cs="Times New Roman"/>
          <w:noProof/>
          <w:lang w:val="fr-CA"/>
        </w:rPr>
      </w:pPr>
      <w:r w:rsidRPr="0054234B">
        <w:rPr>
          <w:rFonts w:cs="Times New Roman"/>
          <w:noProof/>
          <w:lang w:val="fr-CA"/>
        </w:rPr>
        <w:t>Pour trancher le pourvoi, je vais répondre à trois questions. Premièrement, est</w:t>
      </w:r>
      <w:r w:rsidRPr="0054234B">
        <w:rPr>
          <w:rFonts w:cs="Times New Roman"/>
          <w:noProof/>
          <w:lang w:val="fr-CA"/>
        </w:rPr>
        <w:noBreakHyphen/>
        <w:t>ce que les paroles entendues par le témoin avaient une signification et étaient donc pertinentes à l’égard d’une question en litige au procès? Deuxièmement, ces paroles étaient</w:t>
      </w:r>
      <w:r w:rsidRPr="0054234B">
        <w:rPr>
          <w:rFonts w:cs="Times New Roman"/>
          <w:noProof/>
          <w:lang w:val="fr-CA"/>
        </w:rPr>
        <w:noBreakHyphen/>
        <w:t>elles admissibles en preuve en vertu d’une exception à la règle générale d’exclusion du ouï</w:t>
      </w:r>
      <w:r w:rsidRPr="0054234B">
        <w:rPr>
          <w:rFonts w:cs="Times New Roman"/>
          <w:noProof/>
          <w:lang w:val="fr-CA"/>
        </w:rPr>
        <w:noBreakHyphen/>
        <w:t>dire? Troisièmement, la juge du procès a</w:t>
      </w:r>
      <w:r w:rsidRPr="0054234B">
        <w:rPr>
          <w:rFonts w:cs="Times New Roman"/>
          <w:noProof/>
          <w:lang w:val="fr-CA"/>
        </w:rPr>
        <w:noBreakHyphen/>
        <w:t>t</w:t>
      </w:r>
      <w:r w:rsidRPr="0054234B">
        <w:rPr>
          <w:rFonts w:cs="Times New Roman"/>
          <w:noProof/>
          <w:lang w:val="fr-CA"/>
        </w:rPr>
        <w:noBreakHyphen/>
        <w:t>elle eu raison de refuser d’écarter cet élément de preuve pour le motif que sa valeur probante l’emportait sur son effet préjudiciable? Je réponds par l’affirmative à chacune de ces questions. Les paroles que le témoin a entendu l’accusé prononcer au téléphone étaient capables de signification non conjecturale, de telle sorte qu’elles étaient pertinentes; elles étaient admissibles en vertu de l’exception à la règle d’exclusion du ouï</w:t>
      </w:r>
      <w:r w:rsidRPr="0054234B">
        <w:rPr>
          <w:rFonts w:cs="Times New Roman"/>
          <w:noProof/>
          <w:lang w:val="fr-CA"/>
        </w:rPr>
        <w:noBreakHyphen/>
        <w:t>dire relative aux « aveux émanant d’une partie »; et rien ne justifie de modifier la décision de la juge du procès d’admettre l’élément de preuve en question.</w:t>
      </w:r>
    </w:p>
    <w:p w14:paraId="2F7EC4CE" w14:textId="77777777" w:rsidR="008B6D43" w:rsidRPr="0054234B" w:rsidRDefault="008B6D43" w:rsidP="008B6D43">
      <w:pPr>
        <w:pStyle w:val="ParaNoNdepar-AltN"/>
        <w:tabs>
          <w:tab w:val="clear" w:pos="1166"/>
          <w:tab w:val="num" w:pos="1152"/>
        </w:tabs>
        <w:rPr>
          <w:rFonts w:cs="Times New Roman"/>
          <w:noProof/>
          <w:lang w:val="fr-CA"/>
        </w:rPr>
      </w:pPr>
      <w:r w:rsidRPr="0054234B">
        <w:rPr>
          <w:rFonts w:cs="Times New Roman"/>
          <w:noProof/>
          <w:lang w:val="fr-CA"/>
        </w:rPr>
        <w:t xml:space="preserve">La police a inculpé l’intimé, William Victor Schneider (« accusé »), de meurtre au deuxième degré et d’outrage envers un cadavre, infractions prévues au par. 235(1) et à l’al. 182b) du </w:t>
      </w:r>
      <w:r w:rsidRPr="0054234B">
        <w:rPr>
          <w:rFonts w:cs="Times New Roman"/>
          <w:i/>
          <w:noProof/>
          <w:lang w:val="fr-CA"/>
        </w:rPr>
        <w:t>Code criminel</w:t>
      </w:r>
      <w:r w:rsidRPr="0054234B">
        <w:rPr>
          <w:rFonts w:cs="Times New Roman"/>
          <w:noProof/>
          <w:lang w:val="fr-CA"/>
        </w:rPr>
        <w:t>, L.R.C. 1985, c. C</w:t>
      </w:r>
      <w:r w:rsidRPr="0054234B">
        <w:rPr>
          <w:rFonts w:cs="Times New Roman"/>
          <w:noProof/>
          <w:lang w:val="fr-CA"/>
        </w:rPr>
        <w:noBreakHyphen/>
        <w:t>46. Au procès, la Couronne a voulu présenter en preuve le témoignage par ouï</w:t>
      </w:r>
      <w:r w:rsidRPr="0054234B">
        <w:rPr>
          <w:rFonts w:cs="Times New Roman"/>
          <w:noProof/>
          <w:lang w:val="fr-CA"/>
        </w:rPr>
        <w:noBreakHyphen/>
        <w:t>dire du frère de l’accusé, Warren Schneider Jr. (« frère »), qui avait entendu l’accusé parler au téléphone avec son épouse. Le frère a témoigné que, même s’il ne se souvenait pas des paroles précises prononcées par l’accusé, ce dernier avait admis, au cours de cette conversation téléphonique, avoir tué la victime. Il s’agit de l’élément de preuve en litige. Étant donné que, à la clôture de la preuve de la Couronne, l’accusé a plaidé coupable d’outrage envers un cadavre, le présent pourvoi porte uniquement sur l’accusation de meurtre.</w:t>
      </w:r>
    </w:p>
    <w:p w14:paraId="2D50D7B2" w14:textId="77777777" w:rsidR="008B6D43" w:rsidRPr="0054234B" w:rsidRDefault="008B6D43" w:rsidP="008B6D43">
      <w:pPr>
        <w:pStyle w:val="ParaNoNdepar-AltN"/>
        <w:spacing w:before="0"/>
        <w:rPr>
          <w:rFonts w:cs="Times New Roman"/>
          <w:noProof/>
          <w:lang w:val="fr-CA"/>
        </w:rPr>
      </w:pPr>
      <w:r w:rsidRPr="0054234B">
        <w:rPr>
          <w:rFonts w:cs="Times New Roman"/>
          <w:noProof/>
          <w:lang w:val="fr-CA"/>
        </w:rPr>
        <w:t>La juge du procès a admis en preuve le témoignage du frère relatif à la conversation qu’il avait entendue. Le jury a déclaré l’accusé coupable de meurtre au deuxième degré. Ce dernier a interjeté appel, faisant valoir que la juge du procès avait fait erreur, notamment en admettant le témoignage du frère concernant la conversation qu’il avait entendue. La Cour d’appel de la Colombie</w:t>
      </w:r>
      <w:r w:rsidRPr="0054234B">
        <w:rPr>
          <w:rFonts w:cs="Times New Roman"/>
          <w:noProof/>
          <w:lang w:val="fr-CA"/>
        </w:rPr>
        <w:noBreakHyphen/>
        <w:t>Britannique a, à la majorité, accueilli l’appel, annulé la déclaration de culpabilité et ordonné la tenue d’un nouveau procès, statuant que le témoignage en question était inadmissible. La juge dissidente aurait pour sa part rejeté l’appel, puisqu’elle était d’avis de confirmer l’admissibilité de l’élément de preuve et de maintenir la déclaration de culpabilité.</w:t>
      </w:r>
    </w:p>
    <w:p w14:paraId="116F9EBC" w14:textId="77777777" w:rsidR="008B6D43" w:rsidRPr="0054234B" w:rsidRDefault="008B6D43" w:rsidP="008B6D43">
      <w:pPr>
        <w:pStyle w:val="ParaNoNdepar-AltN"/>
        <w:spacing w:before="0"/>
        <w:rPr>
          <w:rFonts w:cs="Times New Roman"/>
          <w:noProof/>
          <w:lang w:val="fr-CA"/>
        </w:rPr>
      </w:pPr>
      <w:r w:rsidRPr="0054234B">
        <w:rPr>
          <w:rFonts w:cs="Times New Roman"/>
          <w:noProof/>
          <w:lang w:val="fr-CA"/>
        </w:rPr>
        <w:t xml:space="preserve">Les juges de la Cour d’appel étaient tous d’accord pour dire que l’arrêt </w:t>
      </w:r>
      <w:r w:rsidRPr="0054234B">
        <w:rPr>
          <w:rFonts w:cs="Times New Roman"/>
          <w:i/>
          <w:noProof/>
          <w:lang w:val="fr-CA"/>
        </w:rPr>
        <w:t>R. c. Ferris</w:t>
      </w:r>
      <w:r w:rsidRPr="0054234B">
        <w:rPr>
          <w:rFonts w:cs="Times New Roman"/>
          <w:noProof/>
          <w:lang w:val="fr-CA"/>
        </w:rPr>
        <w:t xml:space="preserve"> (1994), 149 A.R. 1 (C.A.), confirmé par notre Cour, régissait la question de l’admissibilité du témoignage du frère. Tous les juges étaient d’avis que le témoignage était admissible si les paroles rapportées étaient capables de signification et étaient, de ce fait, pertinentes à l’égard d’une question en litige au procès. Les juges étaient toutefois en désaccord sur la question de savoir quels </w:t>
      </w:r>
      <w:r w:rsidRPr="0054234B">
        <w:rPr>
          <w:rFonts w:cs="Times New Roman"/>
          <w:i/>
          <w:iCs/>
          <w:noProof/>
          <w:lang w:val="fr-CA"/>
        </w:rPr>
        <w:t xml:space="preserve">autres </w:t>
      </w:r>
      <w:r w:rsidRPr="0054234B">
        <w:rPr>
          <w:rFonts w:cs="Times New Roman"/>
          <w:noProof/>
          <w:lang w:val="fr-CA"/>
        </w:rPr>
        <w:t>éléments de preuve présentés au procès pouvaient éclairer l’analyse visant à déterminer si les paroles rapportées dans le témoignage avaient une signification et étaient par conséquent pertinentes. Les juges majoritaires ont circonscrit dans un cercle contextuellement étroit les éléments de preuve pouvant éclairer la signification. Ce faisant, la majorité a conclu que seul le « micro</w:t>
      </w:r>
      <w:r w:rsidRPr="0054234B">
        <w:rPr>
          <w:rFonts w:cs="Times New Roman"/>
          <w:noProof/>
          <w:lang w:val="fr-CA"/>
        </w:rPr>
        <w:noBreakHyphen/>
        <w:t>contexte » — c.</w:t>
      </w:r>
      <w:r w:rsidRPr="0054234B">
        <w:rPr>
          <w:rFonts w:cs="Times New Roman"/>
          <w:noProof/>
          <w:lang w:val="fr-CA"/>
        </w:rPr>
        <w:noBreakHyphen/>
        <w:t>à</w:t>
      </w:r>
      <w:r w:rsidRPr="0054234B">
        <w:rPr>
          <w:rFonts w:cs="Times New Roman"/>
          <w:noProof/>
          <w:lang w:val="fr-CA"/>
        </w:rPr>
        <w:noBreakHyphen/>
        <w:t>d. les paroles prononcées avant et après celles rapportées dans le témoignage en cause — était pertinent à l’égard de la signification. La juge dissidente a pour sa part estimé que l’ensemble de la preuve était susceptible d’éclairer la signification des paroles que le frère avait entendues.</w:t>
      </w:r>
    </w:p>
    <w:p w14:paraId="02294853" w14:textId="77777777" w:rsidR="008B6D43" w:rsidRPr="0054234B" w:rsidRDefault="008B6D43" w:rsidP="008B6D43">
      <w:pPr>
        <w:pStyle w:val="ParaNoNdepar-AltN"/>
        <w:spacing w:before="0"/>
        <w:rPr>
          <w:rFonts w:cs="Times New Roman"/>
          <w:noProof/>
          <w:lang w:val="fr-CA"/>
        </w:rPr>
      </w:pPr>
      <w:r w:rsidRPr="0054234B">
        <w:rPr>
          <w:rFonts w:cs="Times New Roman"/>
          <w:noProof/>
          <w:lang w:val="fr-CA"/>
        </w:rPr>
        <w:t>La Couronne demande à notre Cour de faire droit à l’appel et de rétablir la déclaration de culpabilité. Je suis d’avis d’accueillir ces demandes. La juge du procès n’a pas commis d’erreur en admettant la partie litigieuse du témoignage du frère. Il n’existe en droit aucun fondement justifiant d’établir une distinction entre le « micro</w:t>
      </w:r>
      <w:r w:rsidRPr="0054234B">
        <w:rPr>
          <w:rFonts w:cs="Times New Roman"/>
          <w:noProof/>
          <w:lang w:val="fr-CA"/>
        </w:rPr>
        <w:noBreakHyphen/>
        <w:t>contexte » et le « macro</w:t>
      </w:r>
      <w:r w:rsidRPr="0054234B">
        <w:rPr>
          <w:rFonts w:cs="Times New Roman"/>
          <w:noProof/>
          <w:lang w:val="fr-CA"/>
        </w:rPr>
        <w:noBreakHyphen/>
        <w:t>contexte » afin de décider si un élément de preuve est capable de signification et, par conséquent, pertinent. Tous les éléments de preuve sont susceptibles d’éclairer l’analyse de cette question par le juge.</w:t>
      </w:r>
    </w:p>
    <w:p w14:paraId="04C84A35" w14:textId="77777777" w:rsidR="008B6D43" w:rsidRPr="0054234B" w:rsidRDefault="008B6D43" w:rsidP="008B6D43">
      <w:pPr>
        <w:pStyle w:val="ParaNoNdepar-AltN"/>
        <w:spacing w:before="0"/>
        <w:rPr>
          <w:rFonts w:cs="Times New Roman"/>
          <w:noProof/>
          <w:lang w:val="fr-CA"/>
        </w:rPr>
      </w:pPr>
      <w:r w:rsidRPr="0054234B">
        <w:rPr>
          <w:rFonts w:cs="Times New Roman"/>
          <w:noProof/>
          <w:lang w:val="fr-CA"/>
        </w:rPr>
        <w:t>En réponse à l’appel de plein droit formé par la Couronne, l’accusé a soulevé une question additionnelle. Il soutient que la juge du procès a commis une erreur dans la réponse qu’elle a donnée à une question posée par le jury au cours de ses délibérations. Sur ce point, je souscris pour l’essentiel à l’opinion unanime de la Cour d’appel. La question du jury n’était pas ambiguë et la juge du procès n’a pas commis d’erreur en y répondant.</w:t>
      </w:r>
    </w:p>
    <w:p w14:paraId="12D3939F" w14:textId="77777777" w:rsidR="008B6D43" w:rsidRPr="0054234B" w:rsidRDefault="008B6D43" w:rsidP="008B6D43">
      <w:pPr>
        <w:pStyle w:val="Title1LevelTitre1Niveau-AltL"/>
        <w:widowControl w:val="0"/>
        <w:spacing w:before="0"/>
        <w:rPr>
          <w:rFonts w:cs="Times New Roman"/>
          <w:noProof/>
          <w:lang w:val="fr-CA"/>
        </w:rPr>
      </w:pPr>
      <w:r w:rsidRPr="0054234B">
        <w:rPr>
          <w:rFonts w:cs="Times New Roman"/>
          <w:noProof/>
          <w:lang w:val="fr-CA"/>
        </w:rPr>
        <w:t>Les faits</w:t>
      </w:r>
    </w:p>
    <w:p w14:paraId="59D3065B" w14:textId="77777777" w:rsidR="008B6D43" w:rsidRPr="0054234B" w:rsidRDefault="008B6D43" w:rsidP="008B6D43">
      <w:pPr>
        <w:pStyle w:val="ParaNoNdepar-AltN"/>
        <w:widowControl w:val="0"/>
        <w:tabs>
          <w:tab w:val="clear" w:pos="1166"/>
          <w:tab w:val="num" w:pos="1152"/>
        </w:tabs>
        <w:spacing w:before="0"/>
        <w:rPr>
          <w:rFonts w:cs="Times New Roman"/>
          <w:noProof/>
          <w:lang w:val="fr-CA"/>
        </w:rPr>
      </w:pPr>
      <w:r w:rsidRPr="0054234B">
        <w:rPr>
          <w:rFonts w:cs="Times New Roman"/>
          <w:noProof/>
          <w:lang w:val="fr-CA"/>
        </w:rPr>
        <w:t>La victime, M</w:t>
      </w:r>
      <w:r w:rsidRPr="0054234B">
        <w:rPr>
          <w:rFonts w:cs="Times New Roman"/>
          <w:noProof/>
          <w:vertAlign w:val="superscript"/>
          <w:lang w:val="fr-CA"/>
        </w:rPr>
        <w:t>me</w:t>
      </w:r>
      <w:r w:rsidRPr="0054234B">
        <w:rPr>
          <w:rFonts w:cs="Times New Roman"/>
          <w:noProof/>
          <w:lang w:val="fr-CA"/>
        </w:rPr>
        <w:t> Natsumi Kogawa, a été portée disparue le 12 septembre 2016. La police a diffusé, le 27 septembre 2016, un communiqué de presse comportant une photo montrant M</w:t>
      </w:r>
      <w:r w:rsidRPr="0054234B">
        <w:rPr>
          <w:rFonts w:cs="Times New Roman"/>
          <w:noProof/>
          <w:vertAlign w:val="superscript"/>
          <w:lang w:val="fr-CA"/>
        </w:rPr>
        <w:t>me</w:t>
      </w:r>
      <w:r w:rsidRPr="0054234B">
        <w:rPr>
          <w:rFonts w:cs="Times New Roman"/>
          <w:noProof/>
          <w:lang w:val="fr-CA"/>
        </w:rPr>
        <w:t> Kogawa en compagnie d’un homme non identifié dans un centre commercial. La police a demandé l’aide du public pour identifier cet homme. Elle a alors reçu du frère de l’accusé des informations concernant l’endroit où se trouverait le corps de M</w:t>
      </w:r>
      <w:r w:rsidRPr="0054234B">
        <w:rPr>
          <w:rFonts w:cs="Times New Roman"/>
          <w:noProof/>
          <w:vertAlign w:val="superscript"/>
          <w:lang w:val="fr-CA"/>
        </w:rPr>
        <w:t>me</w:t>
      </w:r>
      <w:r w:rsidRPr="0054234B">
        <w:rPr>
          <w:rFonts w:cs="Times New Roman"/>
          <w:noProof/>
          <w:lang w:val="fr-CA"/>
        </w:rPr>
        <w:t> Kogawa. Ces informations ont permis à la police de retrouver le corps de M</w:t>
      </w:r>
      <w:r w:rsidRPr="0054234B">
        <w:rPr>
          <w:rFonts w:cs="Times New Roman"/>
          <w:noProof/>
          <w:vertAlign w:val="superscript"/>
          <w:lang w:val="fr-CA"/>
        </w:rPr>
        <w:t>me</w:t>
      </w:r>
      <w:r w:rsidRPr="0054234B">
        <w:rPr>
          <w:rFonts w:cs="Times New Roman"/>
          <w:noProof/>
          <w:lang w:val="fr-CA"/>
        </w:rPr>
        <w:t> Kogawa, deux semaines après le signalement de la disparition de cette dernière, dans une valise cachée dans le quartier West End de Vancouver. Après avoir mené une enquête, la police a arrêté l’accusé et l’a inculpé de meurtre au deuxième degré et d’outrage envers le cadavre de M</w:t>
      </w:r>
      <w:r w:rsidRPr="0054234B">
        <w:rPr>
          <w:rFonts w:cs="Times New Roman"/>
          <w:noProof/>
          <w:vertAlign w:val="superscript"/>
          <w:lang w:val="fr-CA"/>
        </w:rPr>
        <w:t>me</w:t>
      </w:r>
      <w:r w:rsidRPr="0054234B">
        <w:rPr>
          <w:rFonts w:cs="Times New Roman"/>
          <w:noProof/>
          <w:lang w:val="fr-CA"/>
        </w:rPr>
        <w:t> Kogawa.</w:t>
      </w:r>
    </w:p>
    <w:p w14:paraId="0FA7A638"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Entre la diffusion du communiqué de presse de la police et le signalement effectué à la police par le frère, ce dernier a eu avec l’accusé plusieurs conversations cruciales que je vais décrire plus loin. Comme l’accusé n’a pas témoigné, ces descriptions des faits sont entièrement tirées du témoignage du frère.</w:t>
      </w:r>
    </w:p>
    <w:p w14:paraId="2DA06359" w14:textId="77777777" w:rsidR="008B6D43" w:rsidRPr="0054234B" w:rsidRDefault="008B6D43" w:rsidP="008B6D43">
      <w:pPr>
        <w:pStyle w:val="Title2LevelTitre2Niveau"/>
        <w:widowControl w:val="0"/>
        <w:numPr>
          <w:ilvl w:val="1"/>
          <w:numId w:val="9"/>
        </w:numPr>
        <w:spacing w:before="0"/>
        <w:rPr>
          <w:rFonts w:cs="Times New Roman"/>
          <w:noProof/>
          <w:lang w:val="fr-CA"/>
        </w:rPr>
      </w:pPr>
      <w:r w:rsidRPr="0054234B">
        <w:rPr>
          <w:rFonts w:cs="Times New Roman"/>
          <w:noProof/>
          <w:lang w:val="fr-CA"/>
        </w:rPr>
        <w:t>Le 27 septembre 2016</w:t>
      </w:r>
    </w:p>
    <w:p w14:paraId="7D101F3A" w14:textId="77777777" w:rsidR="008B6D43" w:rsidRPr="0054234B" w:rsidRDefault="008B6D43" w:rsidP="008B6D43">
      <w:pPr>
        <w:pStyle w:val="ParaNoNdepar-AltN"/>
        <w:widowControl w:val="0"/>
        <w:tabs>
          <w:tab w:val="clear" w:pos="1166"/>
          <w:tab w:val="num" w:pos="1152"/>
        </w:tabs>
        <w:spacing w:before="0"/>
        <w:rPr>
          <w:rFonts w:cs="Times New Roman"/>
          <w:noProof/>
          <w:lang w:val="fr-CA"/>
        </w:rPr>
      </w:pPr>
      <w:r w:rsidRPr="0054234B">
        <w:rPr>
          <w:rFonts w:cs="Times New Roman"/>
          <w:noProof/>
          <w:lang w:val="fr-CA"/>
        </w:rPr>
        <w:t>Le 27 septembre 2016, la fille du frère a signalé à celui</w:t>
      </w:r>
      <w:r w:rsidRPr="0054234B">
        <w:rPr>
          <w:rFonts w:cs="Times New Roman"/>
          <w:noProof/>
          <w:lang w:val="fr-CA"/>
        </w:rPr>
        <w:noBreakHyphen/>
        <w:t>ci le communiqué de presse de la police. Elle lui a demandé si l’homme non identifié était l’accusé (son oncle). Le frère a répondu par l’affirmative. Le frère a ensuite appelé l’accusé pour lui parler du communiqué de presse diffusé par la police. L’accusé n’a rien dit et a raccroché le téléphone.</w:t>
      </w:r>
    </w:p>
    <w:p w14:paraId="6E8AE25D"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Le frère s’est rendu à l’endroit où résidait l’accusé, et ils sont allés se promener tous les deux. L’accusé lui a alors parlé de sa relation avec M</w:t>
      </w:r>
      <w:r w:rsidRPr="0054234B">
        <w:rPr>
          <w:rFonts w:cs="Times New Roman"/>
          <w:noProof/>
          <w:vertAlign w:val="superscript"/>
          <w:lang w:val="fr-CA"/>
        </w:rPr>
        <w:t>me</w:t>
      </w:r>
      <w:r w:rsidRPr="0054234B">
        <w:rPr>
          <w:rFonts w:cs="Times New Roman"/>
          <w:noProof/>
          <w:lang w:val="fr-CA"/>
        </w:rPr>
        <w:t> Kogawa. Il lui a dit qu’il avait eu trois rendez</w:t>
      </w:r>
      <w:r w:rsidRPr="0054234B">
        <w:rPr>
          <w:rFonts w:cs="Times New Roman"/>
          <w:noProof/>
          <w:lang w:val="fr-CA"/>
        </w:rPr>
        <w:noBreakHyphen/>
        <w:t>vous avec elle. Il a raconté à son frère que, lors de leur troisième rendez</w:t>
      </w:r>
      <w:r w:rsidRPr="0054234B">
        <w:rPr>
          <w:rFonts w:cs="Times New Roman"/>
          <w:noProof/>
          <w:lang w:val="fr-CA"/>
        </w:rPr>
        <w:noBreakHyphen/>
        <w:t>vous, ils avaient pris des [</w:t>
      </w:r>
      <w:r w:rsidRPr="0054234B">
        <w:rPr>
          <w:rFonts w:cs="Times New Roman"/>
          <w:smallCaps/>
          <w:noProof/>
          <w:lang w:val="fr-CA"/>
        </w:rPr>
        <w:t>traduction</w:t>
      </w:r>
      <w:r w:rsidRPr="0054234B">
        <w:rPr>
          <w:rFonts w:cs="Times New Roman"/>
          <w:noProof/>
          <w:lang w:val="fr-CA"/>
        </w:rPr>
        <w:t>] « médicaments ». Le frère a témoigné qu’au cours de cette conversation, l’accusé lui avait semblé [</w:t>
      </w:r>
      <w:r w:rsidRPr="0054234B">
        <w:rPr>
          <w:rFonts w:cs="Times New Roman"/>
          <w:smallCaps/>
          <w:noProof/>
          <w:lang w:val="fr-CA"/>
        </w:rPr>
        <w:t>traduction</w:t>
      </w:r>
      <w:r w:rsidRPr="0054234B">
        <w:rPr>
          <w:rFonts w:cs="Times New Roman"/>
          <w:noProof/>
          <w:lang w:val="fr-CA"/>
        </w:rPr>
        <w:t>] « triste et plein de remords » et lui avait dit : « c’est vrai » (d.a., vol. II, p. 113</w:t>
      </w:r>
      <w:r w:rsidRPr="0054234B">
        <w:rPr>
          <w:rFonts w:cs="Times New Roman"/>
          <w:noProof/>
          <w:lang w:val="fr-CA"/>
        </w:rPr>
        <w:noBreakHyphen/>
        <w:t>114). La juge du procès a écarté le témoignage du frère relativement à ce qu’il pensait que l’accusé voulait dire par cette déclaration. Le frère a dit à l’accusé qu’ils devraient se reparler le lendemain matin.</w:t>
      </w:r>
    </w:p>
    <w:p w14:paraId="611AF202" w14:textId="77777777" w:rsidR="008B6D43" w:rsidRPr="0054234B" w:rsidRDefault="008B6D43" w:rsidP="008B6D43">
      <w:pPr>
        <w:pStyle w:val="Title2LevelTitre2Niveau"/>
        <w:widowControl w:val="0"/>
        <w:numPr>
          <w:ilvl w:val="1"/>
          <w:numId w:val="9"/>
        </w:numPr>
        <w:spacing w:before="0"/>
        <w:rPr>
          <w:rFonts w:cs="Times New Roman"/>
          <w:noProof/>
          <w:lang w:val="fr-CA"/>
        </w:rPr>
      </w:pPr>
      <w:r w:rsidRPr="0054234B">
        <w:rPr>
          <w:rFonts w:cs="Times New Roman"/>
          <w:noProof/>
          <w:lang w:val="fr-CA"/>
        </w:rPr>
        <w:t>Le 28 septembre 2016</w:t>
      </w:r>
    </w:p>
    <w:p w14:paraId="61C32A0A" w14:textId="77777777" w:rsidR="008B6D43" w:rsidRPr="0054234B" w:rsidRDefault="008B6D43" w:rsidP="008B6D43">
      <w:pPr>
        <w:pStyle w:val="ParaNoNdepar-AltN"/>
        <w:widowControl w:val="0"/>
        <w:tabs>
          <w:tab w:val="clear" w:pos="1166"/>
          <w:tab w:val="num" w:pos="1152"/>
        </w:tabs>
        <w:spacing w:before="0"/>
        <w:rPr>
          <w:rFonts w:cs="Times New Roman"/>
          <w:noProof/>
          <w:lang w:val="fr-CA"/>
        </w:rPr>
      </w:pPr>
      <w:r w:rsidRPr="0054234B">
        <w:rPr>
          <w:rFonts w:cs="Times New Roman"/>
          <w:noProof/>
          <w:lang w:val="fr-CA"/>
        </w:rPr>
        <w:t>Le lendemain matin, l’accusé a dit à son frère qu’il avait l’intention d’acheter de l’héroïne et d’en consommer pour se suicider. L’accusé a demandé à son frère de rester avec lui; le frère a accepté. Ils ont tous les deux acheté de l’alcool, et l’accusé a acheté de l’héroïne. Ils se sont ensuite rendus ensemble dans un parc.</w:t>
      </w:r>
    </w:p>
    <w:p w14:paraId="1730B061"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Une fois au parc et avant de prendre l’héroïne, l’accusé a indiqué à son frère l’endroit où se trouvait le corps de M</w:t>
      </w:r>
      <w:r w:rsidRPr="0054234B">
        <w:rPr>
          <w:rFonts w:cs="Times New Roman"/>
          <w:noProof/>
          <w:vertAlign w:val="superscript"/>
          <w:lang w:val="fr-CA"/>
        </w:rPr>
        <w:t>me</w:t>
      </w:r>
      <w:r w:rsidRPr="0054234B">
        <w:rPr>
          <w:rFonts w:cs="Times New Roman"/>
          <w:noProof/>
          <w:lang w:val="fr-CA"/>
        </w:rPr>
        <w:t> Kogawa. Le frère devait informer la police de l’endroit où se trouvait le corps une fois que l’accusé se serait suicidé. L’accusé s’est ensuite injecté de l’héroïne, mais il n’est pas mort.</w:t>
      </w:r>
    </w:p>
    <w:p w14:paraId="41EB3E8C"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Après sa tentative de suicide, l’accusé a demandé à son frère de lui prêter son téléphone cellulaire. Il a appelé son épouse, un témoin non contraignable. Cet appel est au cœur du présent pourvoi. Même si le frère se trouvait à une dizaine de pieds de distance et qu’il [</w:t>
      </w:r>
      <w:r w:rsidRPr="0054234B">
        <w:rPr>
          <w:rFonts w:cs="Times New Roman"/>
          <w:smallCaps/>
          <w:noProof/>
          <w:lang w:val="fr-CA"/>
        </w:rPr>
        <w:t>traduction</w:t>
      </w:r>
      <w:r w:rsidRPr="0054234B">
        <w:rPr>
          <w:rFonts w:cs="Times New Roman"/>
          <w:noProof/>
          <w:lang w:val="fr-CA"/>
        </w:rPr>
        <w:t>] « n’essayait pas activement d’écouter »</w:t>
      </w:r>
      <w:r w:rsidRPr="0054234B">
        <w:rPr>
          <w:rFonts w:cs="Times New Roman"/>
          <w:lang w:val="fr-CA"/>
        </w:rPr>
        <w:t xml:space="preserve"> (motifs de la C.A., 2021 BCCA 41, 400 C.C.C. (3d) 131, par. 42)</w:t>
      </w:r>
      <w:r w:rsidRPr="0054234B">
        <w:rPr>
          <w:rFonts w:cs="Times New Roman"/>
          <w:noProof/>
          <w:lang w:val="fr-CA"/>
        </w:rPr>
        <w:t>, il a entendu des bribes de la conversation de l’accusé.</w:t>
      </w:r>
      <w:r w:rsidRPr="0054234B">
        <w:rPr>
          <w:rFonts w:cs="Times New Roman"/>
          <w:lang w:val="fr-CA"/>
        </w:rPr>
        <w:t xml:space="preserve"> </w:t>
      </w:r>
      <w:r w:rsidRPr="0054234B">
        <w:rPr>
          <w:rFonts w:cs="Times New Roman"/>
          <w:noProof/>
          <w:lang w:val="fr-CA"/>
        </w:rPr>
        <w:t>Ce dont le frère peut témoigner au sujet de ce qu’il a entendu est la principale question en litige dans le présent pourvoi.</w:t>
      </w:r>
    </w:p>
    <w:p w14:paraId="78CB5B5F" w14:textId="77777777" w:rsidR="008B6D43" w:rsidRPr="0054234B" w:rsidRDefault="008B6D43" w:rsidP="008B6D43">
      <w:pPr>
        <w:pStyle w:val="Title1LevelTitre1Niveau-AltL"/>
        <w:numPr>
          <w:ilvl w:val="0"/>
          <w:numId w:val="9"/>
        </w:numPr>
        <w:spacing w:before="0"/>
        <w:rPr>
          <w:rFonts w:cs="Times New Roman"/>
          <w:noProof/>
          <w:lang w:val="fr-CA"/>
        </w:rPr>
      </w:pPr>
      <w:r w:rsidRPr="0054234B">
        <w:rPr>
          <w:rFonts w:cs="Times New Roman"/>
          <w:noProof/>
          <w:lang w:val="fr-CA"/>
        </w:rPr>
        <w:t>Le témoignage en cause</w:t>
      </w:r>
    </w:p>
    <w:p w14:paraId="2C7D3589" w14:textId="77777777" w:rsidR="008B6D43" w:rsidRPr="0054234B" w:rsidRDefault="008B6D43" w:rsidP="008B6D43">
      <w:pPr>
        <w:pStyle w:val="Title2LevelTitre2Niveau"/>
        <w:numPr>
          <w:ilvl w:val="1"/>
          <w:numId w:val="9"/>
        </w:numPr>
        <w:spacing w:before="0"/>
        <w:rPr>
          <w:rFonts w:cs="Times New Roman"/>
          <w:noProof/>
          <w:lang w:val="fr-CA"/>
        </w:rPr>
      </w:pPr>
      <w:r w:rsidRPr="0054234B">
        <w:rPr>
          <w:rFonts w:cs="Times New Roman"/>
          <w:noProof/>
          <w:lang w:val="fr-CA"/>
        </w:rPr>
        <w:t>Le témoignage du frère lors du voir</w:t>
      </w:r>
      <w:r w:rsidRPr="0054234B">
        <w:rPr>
          <w:rFonts w:cs="Times New Roman"/>
          <w:noProof/>
          <w:lang w:val="fr-CA"/>
        </w:rPr>
        <w:noBreakHyphen/>
        <w:t>dire</w:t>
      </w:r>
    </w:p>
    <w:p w14:paraId="5A7BA382"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juge du procès a tenu un voir</w:t>
      </w:r>
      <w:r w:rsidRPr="0054234B">
        <w:rPr>
          <w:rFonts w:cs="Times New Roman"/>
          <w:noProof/>
          <w:lang w:val="fr-CA"/>
        </w:rPr>
        <w:noBreakHyphen/>
        <w:t>dire relativement à l’admissibilité du témoignage du frère concernant ce qu’il avait entendu l’accusé dire à son épouse.</w:t>
      </w:r>
    </w:p>
    <w:p w14:paraId="543C8ACA"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Lors de son interrogatoire principal au cours du voir</w:t>
      </w:r>
      <w:r w:rsidRPr="0054234B">
        <w:rPr>
          <w:rFonts w:cs="Times New Roman"/>
          <w:noProof/>
          <w:lang w:val="fr-CA"/>
        </w:rPr>
        <w:noBreakHyphen/>
        <w:t>dire, le frère a témoigné que l’accusé avait commencé l’appel en disant : [</w:t>
      </w:r>
      <w:r w:rsidRPr="0054234B">
        <w:rPr>
          <w:rFonts w:cs="Times New Roman"/>
          <w:smallCaps/>
          <w:noProof/>
          <w:lang w:val="fr-CA"/>
        </w:rPr>
        <w:t>traduction</w:t>
      </w:r>
      <w:r w:rsidRPr="0054234B">
        <w:rPr>
          <w:rFonts w:cs="Times New Roman"/>
          <w:noProof/>
          <w:lang w:val="fr-CA"/>
        </w:rPr>
        <w:t>] « As</w:t>
      </w:r>
      <w:r w:rsidRPr="0054234B">
        <w:rPr>
          <w:rFonts w:cs="Times New Roman"/>
          <w:noProof/>
          <w:lang w:val="fr-CA"/>
        </w:rPr>
        <w:noBreakHyphen/>
        <w:t xml:space="preserve">tu vu les nouvelles au sujet de la femme japonaise disparue, l’étudiante? » </w:t>
      </w:r>
      <w:r w:rsidRPr="0054234B">
        <w:rPr>
          <w:rFonts w:cs="Times New Roman"/>
          <w:lang w:val="fr-CA"/>
        </w:rPr>
        <w:t>(</w:t>
      </w:r>
      <w:proofErr w:type="gramStart"/>
      <w:r w:rsidRPr="0054234B">
        <w:rPr>
          <w:rFonts w:cs="Times New Roman"/>
          <w:lang w:val="fr-CA"/>
        </w:rPr>
        <w:t>d.a.,</w:t>
      </w:r>
      <w:proofErr w:type="gramEnd"/>
      <w:r w:rsidRPr="0054234B">
        <w:rPr>
          <w:rFonts w:cs="Times New Roman"/>
          <w:lang w:val="fr-CA"/>
        </w:rPr>
        <w:t xml:space="preserve"> vol. II, p. 135)</w:t>
      </w:r>
      <w:r w:rsidRPr="0054234B">
        <w:rPr>
          <w:rFonts w:cs="Times New Roman"/>
          <w:noProof/>
          <w:lang w:val="fr-CA"/>
        </w:rPr>
        <w:t>. Il a également témoigné que l’accusé avait dit plus tard : [</w:t>
      </w:r>
      <w:r w:rsidRPr="0054234B">
        <w:rPr>
          <w:rFonts w:cs="Times New Roman"/>
          <w:smallCaps/>
          <w:noProof/>
          <w:lang w:val="fr-CA"/>
        </w:rPr>
        <w:t>traduction</w:t>
      </w:r>
      <w:r w:rsidRPr="0054234B">
        <w:rPr>
          <w:rFonts w:cs="Times New Roman"/>
          <w:noProof/>
          <w:lang w:val="fr-CA"/>
        </w:rPr>
        <w:t xml:space="preserve">] « Je l’ai fait » </w:t>
      </w:r>
      <w:r w:rsidRPr="0054234B">
        <w:rPr>
          <w:rFonts w:cs="Times New Roman"/>
          <w:i/>
          <w:noProof/>
          <w:lang w:val="fr-CA"/>
        </w:rPr>
        <w:t>et</w:t>
      </w:r>
      <w:r w:rsidRPr="0054234B">
        <w:rPr>
          <w:rFonts w:cs="Times New Roman"/>
          <w:noProof/>
          <w:lang w:val="fr-CA"/>
        </w:rPr>
        <w:t xml:space="preserve"> « Je l’ai tuée » (</w:t>
      </w:r>
      <w:r w:rsidRPr="0054234B">
        <w:rPr>
          <w:rFonts w:cs="Times New Roman"/>
          <w:i/>
          <w:noProof/>
          <w:lang w:val="fr-CA"/>
        </w:rPr>
        <w:t>ibid.</w:t>
      </w:r>
      <w:r w:rsidRPr="0054234B">
        <w:rPr>
          <w:rFonts w:cs="Times New Roman"/>
          <w:noProof/>
          <w:lang w:val="fr-CA"/>
        </w:rPr>
        <w:t>).</w:t>
      </w:r>
    </w:p>
    <w:p w14:paraId="31A55C0C"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Durant son contre</w:t>
      </w:r>
      <w:r w:rsidRPr="0054234B">
        <w:rPr>
          <w:rFonts w:cs="Times New Roman"/>
          <w:noProof/>
          <w:lang w:val="fr-CA"/>
        </w:rPr>
        <w:noBreakHyphen/>
        <w:t>interrogatoire lors du voir</w:t>
      </w:r>
      <w:r w:rsidRPr="0054234B">
        <w:rPr>
          <w:rFonts w:cs="Times New Roman"/>
          <w:noProof/>
          <w:lang w:val="fr-CA"/>
        </w:rPr>
        <w:noBreakHyphen/>
        <w:t>dire, le frère a été confronté par l’avocat de la défense aux déclarations qu’il avait faites à l’enquête préliminaire, lorsqu’il avait déclaré qu’il [</w:t>
      </w:r>
      <w:r w:rsidRPr="0054234B">
        <w:rPr>
          <w:rFonts w:cs="Times New Roman"/>
          <w:smallCaps/>
          <w:noProof/>
          <w:lang w:val="fr-CA"/>
        </w:rPr>
        <w:t>traduction</w:t>
      </w:r>
      <w:r w:rsidRPr="0054234B">
        <w:rPr>
          <w:rFonts w:cs="Times New Roman"/>
          <w:noProof/>
          <w:lang w:val="fr-CA"/>
        </w:rPr>
        <w:t xml:space="preserve">] « cro[yait] » que l’accusé avait dit « Je l’ai fait » </w:t>
      </w:r>
      <w:r w:rsidRPr="0054234B">
        <w:rPr>
          <w:rFonts w:cs="Times New Roman"/>
          <w:i/>
          <w:iCs/>
          <w:noProof/>
          <w:lang w:val="fr-CA"/>
        </w:rPr>
        <w:t>ou</w:t>
      </w:r>
      <w:r w:rsidRPr="0054234B">
        <w:rPr>
          <w:rFonts w:cs="Times New Roman"/>
          <w:noProof/>
          <w:lang w:val="fr-CA"/>
        </w:rPr>
        <w:t xml:space="preserve"> « Je l’ai tuée » </w:t>
      </w:r>
      <w:r w:rsidRPr="0054234B">
        <w:rPr>
          <w:rFonts w:cs="Times New Roman"/>
          <w:lang w:val="fr-CA"/>
        </w:rPr>
        <w:t>(</w:t>
      </w:r>
      <w:proofErr w:type="gramStart"/>
      <w:r w:rsidRPr="0054234B">
        <w:rPr>
          <w:rFonts w:cs="Times New Roman"/>
          <w:lang w:val="fr-CA"/>
        </w:rPr>
        <w:t>d.a.,</w:t>
      </w:r>
      <w:proofErr w:type="gramEnd"/>
      <w:r w:rsidRPr="0054234B">
        <w:rPr>
          <w:rFonts w:cs="Times New Roman"/>
          <w:lang w:val="fr-CA"/>
        </w:rPr>
        <w:t xml:space="preserve"> vol. II, p. 141 et 147)</w:t>
      </w:r>
      <w:r w:rsidRPr="0054234B">
        <w:rPr>
          <w:rFonts w:cs="Times New Roman"/>
          <w:noProof/>
          <w:lang w:val="fr-CA"/>
        </w:rPr>
        <w:t>. Après avoir pris connaissance de la transcription de l’enquête préliminaire, le frère a dit qu’il ne pouvait pas se rappeler [</w:t>
      </w:r>
      <w:r w:rsidRPr="0054234B">
        <w:rPr>
          <w:rFonts w:cs="Times New Roman"/>
          <w:smallCaps/>
          <w:noProof/>
          <w:lang w:val="fr-CA"/>
        </w:rPr>
        <w:t>traduction</w:t>
      </w:r>
      <w:r w:rsidRPr="0054234B">
        <w:rPr>
          <w:rFonts w:cs="Times New Roman"/>
          <w:noProof/>
          <w:lang w:val="fr-CA"/>
        </w:rPr>
        <w:t>] « mot pour mot » ce que l’accusé avait dit, mais que ses déclarations étaient « à cet effet »</w:t>
      </w:r>
      <w:r w:rsidRPr="0054234B">
        <w:rPr>
          <w:rFonts w:cs="Times New Roman"/>
          <w:lang w:val="fr-CA"/>
        </w:rPr>
        <w:t xml:space="preserve"> (p. 138</w:t>
      </w:r>
      <w:r w:rsidRPr="0054234B">
        <w:rPr>
          <w:rFonts w:cs="Times New Roman"/>
          <w:lang w:val="fr-CA"/>
        </w:rPr>
        <w:noBreakHyphen/>
        <w:t>145)</w:t>
      </w:r>
      <w:r w:rsidRPr="0054234B">
        <w:rPr>
          <w:rFonts w:cs="Times New Roman"/>
          <w:noProof/>
          <w:lang w:val="fr-CA"/>
        </w:rPr>
        <w:t>.</w:t>
      </w:r>
    </w:p>
    <w:p w14:paraId="2FC90B15"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juge du procès a statué que le témoignage était admissible.</w:t>
      </w:r>
    </w:p>
    <w:p w14:paraId="4EBAEC7C" w14:textId="77777777" w:rsidR="008B6D43" w:rsidRPr="0054234B" w:rsidRDefault="008B6D43" w:rsidP="008B6D43">
      <w:pPr>
        <w:pStyle w:val="Title2LevelTitre2Niveau"/>
        <w:numPr>
          <w:ilvl w:val="1"/>
          <w:numId w:val="9"/>
        </w:numPr>
        <w:spacing w:before="0"/>
        <w:rPr>
          <w:rFonts w:cs="Times New Roman"/>
          <w:iCs/>
          <w:noProof/>
          <w:lang w:val="fr-CA"/>
        </w:rPr>
      </w:pPr>
      <w:r w:rsidRPr="0054234B">
        <w:rPr>
          <w:rFonts w:cs="Times New Roman"/>
          <w:iCs/>
          <w:noProof/>
          <w:lang w:val="fr-CA"/>
        </w:rPr>
        <w:t>Le témoignage du frère au procès</w:t>
      </w:r>
    </w:p>
    <w:p w14:paraId="740F324D" w14:textId="77777777" w:rsidR="008B6D43" w:rsidRPr="0054234B" w:rsidRDefault="008B6D43" w:rsidP="008B6D43">
      <w:pPr>
        <w:pStyle w:val="ParaNoNdepar-AltN"/>
        <w:widowControl w:val="0"/>
        <w:spacing w:before="0"/>
        <w:rPr>
          <w:rFonts w:cs="Times New Roman"/>
          <w:noProof/>
          <w:lang w:val="fr-CA"/>
        </w:rPr>
      </w:pPr>
      <w:r w:rsidRPr="0054234B">
        <w:rPr>
          <w:rFonts w:cs="Times New Roman"/>
          <w:noProof/>
          <w:lang w:val="fr-CA"/>
        </w:rPr>
        <w:t>Durant son interrogatoire principal, le frère de l’accusé a déclaré que ce dernier, au début de la conversation téléphonique, a dit : [</w:t>
      </w:r>
      <w:r w:rsidRPr="0054234B">
        <w:rPr>
          <w:rFonts w:cs="Times New Roman"/>
          <w:smallCaps/>
          <w:noProof/>
          <w:lang w:val="fr-CA"/>
        </w:rPr>
        <w:t>traduction</w:t>
      </w:r>
      <w:r w:rsidRPr="0054234B">
        <w:rPr>
          <w:rFonts w:cs="Times New Roman"/>
          <w:noProof/>
          <w:lang w:val="fr-CA"/>
        </w:rPr>
        <w:t>] « As</w:t>
      </w:r>
      <w:r w:rsidRPr="0054234B">
        <w:rPr>
          <w:rFonts w:cs="Times New Roman"/>
          <w:noProof/>
          <w:lang w:val="fr-CA"/>
        </w:rPr>
        <w:noBreakHyphen/>
        <w:t xml:space="preserve">tu entendu les nouvelles au sujet de l’étudiante japonaise disparue? » </w:t>
      </w:r>
      <w:r w:rsidRPr="0054234B">
        <w:rPr>
          <w:rFonts w:cs="Times New Roman"/>
          <w:lang w:val="fr-CA"/>
        </w:rPr>
        <w:t>(</w:t>
      </w:r>
      <w:proofErr w:type="gramStart"/>
      <w:r w:rsidRPr="0054234B">
        <w:rPr>
          <w:rFonts w:cs="Times New Roman"/>
          <w:lang w:val="fr-CA"/>
        </w:rPr>
        <w:t>d.a.,</w:t>
      </w:r>
      <w:proofErr w:type="gramEnd"/>
      <w:r w:rsidRPr="0054234B">
        <w:rPr>
          <w:rFonts w:cs="Times New Roman"/>
          <w:lang w:val="fr-CA"/>
        </w:rPr>
        <w:t xml:space="preserve"> vol. II, p. 170)</w:t>
      </w:r>
      <w:r w:rsidRPr="0054234B">
        <w:rPr>
          <w:rFonts w:cs="Times New Roman"/>
          <w:noProof/>
          <w:lang w:val="fr-CA"/>
        </w:rPr>
        <w:t>. Il a témoigné qu’il ignorait les paroles exactes que l’accusé avait prononcées par la suite, mais qu’il pensait que, [</w:t>
      </w:r>
      <w:r w:rsidRPr="0054234B">
        <w:rPr>
          <w:rFonts w:cs="Times New Roman"/>
          <w:smallCaps/>
          <w:noProof/>
          <w:lang w:val="fr-CA"/>
        </w:rPr>
        <w:t>traduction</w:t>
      </w:r>
      <w:r w:rsidRPr="0054234B">
        <w:rPr>
          <w:rFonts w:cs="Times New Roman"/>
          <w:noProof/>
          <w:lang w:val="fr-CA"/>
        </w:rPr>
        <w:t xml:space="preserve">] « [à] peu près au milieu de la conversation », l’accusé avait dit « qu’il l’avait fait, qu’il l’avait tuée » </w:t>
      </w:r>
      <w:r w:rsidRPr="0054234B">
        <w:rPr>
          <w:rFonts w:cs="Times New Roman"/>
          <w:lang w:val="fr-CA"/>
        </w:rPr>
        <w:t>(</w:t>
      </w:r>
      <w:r w:rsidRPr="0054234B">
        <w:rPr>
          <w:rFonts w:cs="Times New Roman"/>
          <w:i/>
          <w:lang w:val="fr-CA"/>
        </w:rPr>
        <w:t>ibid.</w:t>
      </w:r>
      <w:r w:rsidRPr="0054234B">
        <w:rPr>
          <w:rFonts w:cs="Times New Roman"/>
          <w:lang w:val="fr-CA"/>
        </w:rPr>
        <w:t>)</w:t>
      </w:r>
      <w:r w:rsidRPr="0054234B">
        <w:rPr>
          <w:rFonts w:cs="Times New Roman"/>
          <w:noProof/>
          <w:lang w:val="fr-CA"/>
        </w:rPr>
        <w:t>. Bien que le frère n’ait entendu qu’une des deux parties à la conversation, l’essence de ce qu’il avait entendu était que l’accusé assumait la responsabilité de la mort de M</w:t>
      </w:r>
      <w:r w:rsidRPr="0054234B">
        <w:rPr>
          <w:rFonts w:cs="Times New Roman"/>
          <w:noProof/>
          <w:vertAlign w:val="superscript"/>
          <w:lang w:val="fr-CA"/>
        </w:rPr>
        <w:t>me</w:t>
      </w:r>
      <w:r w:rsidRPr="0054234B">
        <w:rPr>
          <w:rFonts w:cs="Times New Roman"/>
          <w:noProof/>
          <w:lang w:val="fr-CA"/>
        </w:rPr>
        <w:t> Kogawa. Le frère a témoigné que le ton de la conversation [</w:t>
      </w:r>
      <w:r w:rsidRPr="0054234B">
        <w:rPr>
          <w:rFonts w:cs="Times New Roman"/>
          <w:smallCaps/>
          <w:noProof/>
          <w:lang w:val="fr-CA"/>
        </w:rPr>
        <w:t>traduction</w:t>
      </w:r>
      <w:r w:rsidRPr="0054234B">
        <w:rPr>
          <w:rFonts w:cs="Times New Roman"/>
          <w:noProof/>
          <w:lang w:val="fr-CA"/>
        </w:rPr>
        <w:t>] « n’était pas [. . .] doux » ou « affectueux » (</w:t>
      </w:r>
      <w:proofErr w:type="gramStart"/>
      <w:r w:rsidRPr="0054234B">
        <w:rPr>
          <w:rFonts w:cs="Times New Roman"/>
          <w:lang w:val="fr-CA"/>
        </w:rPr>
        <w:t>d.a.,</w:t>
      </w:r>
      <w:proofErr w:type="gramEnd"/>
      <w:r w:rsidRPr="0054234B">
        <w:rPr>
          <w:rFonts w:cs="Times New Roman"/>
          <w:lang w:val="fr-CA"/>
        </w:rPr>
        <w:t xml:space="preserve"> vol. II, </w:t>
      </w:r>
      <w:r w:rsidRPr="0054234B">
        <w:rPr>
          <w:rFonts w:cs="Times New Roman"/>
          <w:noProof/>
          <w:lang w:val="fr-CA"/>
        </w:rPr>
        <w:t>p. 171).</w:t>
      </w:r>
    </w:p>
    <w:p w14:paraId="0609AB56"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Au cours de son contre</w:t>
      </w:r>
      <w:r w:rsidRPr="0054234B">
        <w:rPr>
          <w:rFonts w:cs="Times New Roman"/>
          <w:noProof/>
          <w:lang w:val="fr-CA"/>
        </w:rPr>
        <w:noBreakHyphen/>
        <w:t>interrogatoire, le frère a reconnu qu’il ne se souvenait pas des mots exacts utilisés par l’accusé. En outre, même si son souvenir était exact lorsqu’il affirmait avoir entendu l’accusé dire « Je l’ai fait » ou « Je l’ai tuée », il ignorait en réponse à quoi l’accusé avait tenu ces propos. Le frère ne pouvait pas affirmer avec certitude si ces propos avaient été formulés en réponse à une question ou s’ils étaient liés à la disparition de M</w:t>
      </w:r>
      <w:r w:rsidRPr="0054234B">
        <w:rPr>
          <w:rFonts w:cs="Times New Roman"/>
          <w:noProof/>
          <w:vertAlign w:val="superscript"/>
          <w:lang w:val="fr-CA"/>
        </w:rPr>
        <w:t>me</w:t>
      </w:r>
      <w:r w:rsidRPr="0054234B">
        <w:rPr>
          <w:rFonts w:cs="Times New Roman"/>
          <w:noProof/>
          <w:lang w:val="fr-CA"/>
        </w:rPr>
        <w:t> Kogawa. Le frère a témoigné qu’il n’essayait pas d’écouter la conversation, qu’il était considérablement stressé à ce moment</w:t>
      </w:r>
      <w:r w:rsidRPr="0054234B">
        <w:rPr>
          <w:rFonts w:cs="Times New Roman"/>
          <w:noProof/>
          <w:lang w:val="fr-CA"/>
        </w:rPr>
        <w:noBreakHyphen/>
        <w:t>là et qu’il avait consommé de l’alcool.</w:t>
      </w:r>
    </w:p>
    <w:p w14:paraId="3BFEC35B" w14:textId="77777777" w:rsidR="008B6D43" w:rsidRPr="0054234B" w:rsidRDefault="008B6D43" w:rsidP="008B6D43">
      <w:pPr>
        <w:pStyle w:val="Title1LevelTitre1Niveau-AltL"/>
        <w:numPr>
          <w:ilvl w:val="0"/>
          <w:numId w:val="9"/>
        </w:numPr>
        <w:spacing w:before="0"/>
        <w:rPr>
          <w:rFonts w:cs="Times New Roman"/>
          <w:noProof/>
          <w:lang w:val="fr-CA"/>
        </w:rPr>
      </w:pPr>
      <w:r w:rsidRPr="0054234B">
        <w:rPr>
          <w:rFonts w:cs="Times New Roman"/>
          <w:noProof/>
          <w:lang w:val="fr-CA"/>
        </w:rPr>
        <w:t>Les décisions en litige</w:t>
      </w:r>
    </w:p>
    <w:p w14:paraId="37994DFB" w14:textId="77777777" w:rsidR="008B6D43" w:rsidRPr="0054234B" w:rsidRDefault="008B6D43" w:rsidP="008B6D43">
      <w:pPr>
        <w:pStyle w:val="Title2LevelTitre2Niveau"/>
        <w:numPr>
          <w:ilvl w:val="1"/>
          <w:numId w:val="9"/>
        </w:numPr>
        <w:spacing w:before="0"/>
        <w:rPr>
          <w:rFonts w:cs="Times New Roman"/>
          <w:noProof/>
          <w:lang w:val="fr-CA"/>
        </w:rPr>
      </w:pPr>
      <w:r w:rsidRPr="0054234B">
        <w:rPr>
          <w:rFonts w:cs="Times New Roman"/>
          <w:noProof/>
          <w:lang w:val="fr-CA"/>
        </w:rPr>
        <w:t>La décision rendue au terme du voir</w:t>
      </w:r>
      <w:r w:rsidRPr="0054234B">
        <w:rPr>
          <w:rFonts w:cs="Times New Roman"/>
          <w:noProof/>
          <w:lang w:val="fr-CA"/>
        </w:rPr>
        <w:noBreakHyphen/>
        <w:t xml:space="preserve">dire, </w:t>
      </w:r>
      <w:r w:rsidRPr="0054234B">
        <w:rPr>
          <w:rFonts w:cs="Times New Roman"/>
          <w:iCs/>
          <w:noProof/>
          <w:lang w:val="fr-CA"/>
        </w:rPr>
        <w:t>2018 BCSC 2546</w:t>
      </w:r>
    </w:p>
    <w:p w14:paraId="0F515A72"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juge du procès a considéré que l’admissibilité du témoignage du frère dépendait de la réponse à la question de savoir (1) s’il y avait [</w:t>
      </w:r>
      <w:r w:rsidRPr="0054234B">
        <w:rPr>
          <w:rFonts w:cs="Times New Roman"/>
          <w:smallCaps/>
          <w:noProof/>
          <w:lang w:val="fr-CA"/>
        </w:rPr>
        <w:t>traduction</w:t>
      </w:r>
      <w:r w:rsidRPr="0054234B">
        <w:rPr>
          <w:rFonts w:cs="Times New Roman"/>
          <w:noProof/>
          <w:lang w:val="fr-CA"/>
        </w:rPr>
        <w:t xml:space="preserve">] « certains éléments de preuve » </w:t>
      </w:r>
      <w:r w:rsidRPr="0054234B">
        <w:rPr>
          <w:rFonts w:cs="Times New Roman"/>
          <w:lang w:val="fr-CA"/>
        </w:rPr>
        <w:t xml:space="preserve">(par. 19, reproduit au </w:t>
      </w:r>
      <w:proofErr w:type="gramStart"/>
      <w:r w:rsidRPr="0054234B">
        <w:rPr>
          <w:rFonts w:cs="Times New Roman"/>
          <w:lang w:val="fr-CA"/>
        </w:rPr>
        <w:t>d.a.,</w:t>
      </w:r>
      <w:proofErr w:type="gramEnd"/>
      <w:r w:rsidRPr="0054234B">
        <w:rPr>
          <w:rFonts w:cs="Times New Roman"/>
          <w:lang w:val="fr-CA"/>
        </w:rPr>
        <w:t xml:space="preserve"> vol. I, p. 5)</w:t>
      </w:r>
      <w:r w:rsidRPr="0054234B">
        <w:rPr>
          <w:rFonts w:cs="Times New Roman"/>
          <w:noProof/>
          <w:lang w:val="fr-CA"/>
        </w:rPr>
        <w:t xml:space="preserve"> que le jury pouvait utiliser pour déterminer la signification des paroles que le frère avait entendues, et donc leur pertinence, et (2) si la valeur probante du témoignage l’emportait sur son effet préjudiciable</w:t>
      </w:r>
      <w:r w:rsidRPr="0054234B">
        <w:rPr>
          <w:rFonts w:cs="Times New Roman"/>
          <w:noProof/>
          <w:szCs w:val="24"/>
          <w:lang w:val="fr-CA"/>
        </w:rPr>
        <w:t>.</w:t>
      </w:r>
    </w:p>
    <w:p w14:paraId="3F078D19"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szCs w:val="24"/>
          <w:lang w:val="fr-CA"/>
        </w:rPr>
        <w:t xml:space="preserve">Le fait que le frère était incapable de se rappeler les mots exacts ne rendait pas son témoignage inadmissible. Il a témoigné que l’accusé </w:t>
      </w:r>
      <w:r w:rsidRPr="0054234B">
        <w:rPr>
          <w:rFonts w:cs="Times New Roman"/>
          <w:noProof/>
          <w:lang w:val="fr-CA"/>
        </w:rPr>
        <w:t>avait dit [</w:t>
      </w:r>
      <w:r w:rsidRPr="0054234B">
        <w:rPr>
          <w:rFonts w:cs="Times New Roman"/>
          <w:smallCaps/>
          <w:noProof/>
          <w:lang w:val="fr-CA"/>
        </w:rPr>
        <w:t>traduction</w:t>
      </w:r>
      <w:r w:rsidRPr="0054234B">
        <w:rPr>
          <w:rFonts w:cs="Times New Roman"/>
          <w:noProof/>
          <w:lang w:val="fr-CA"/>
        </w:rPr>
        <w:t>] « Je l’ai tuée » ou « Je l’ai fait »,</w:t>
      </w:r>
      <w:r w:rsidRPr="0054234B">
        <w:rPr>
          <w:rFonts w:cs="Times New Roman"/>
          <w:noProof/>
          <w:szCs w:val="24"/>
          <w:lang w:val="fr-CA"/>
        </w:rPr>
        <w:t xml:space="preserve"> et qu’il avait compris </w:t>
      </w:r>
      <w:r w:rsidRPr="0054234B">
        <w:rPr>
          <w:rFonts w:cs="Times New Roman"/>
          <w:noProof/>
          <w:lang w:val="fr-CA"/>
        </w:rPr>
        <w:t>« l’essence »</w:t>
      </w:r>
      <w:r w:rsidRPr="0054234B">
        <w:rPr>
          <w:rFonts w:cs="Times New Roman"/>
          <w:noProof/>
          <w:szCs w:val="24"/>
          <w:lang w:val="fr-CA"/>
        </w:rPr>
        <w:t xml:space="preserve"> de la conversation (par. 16</w:t>
      </w:r>
      <w:r w:rsidRPr="0054234B">
        <w:rPr>
          <w:rFonts w:cs="Times New Roman"/>
          <w:noProof/>
          <w:szCs w:val="24"/>
          <w:lang w:val="fr-CA"/>
        </w:rPr>
        <w:noBreakHyphen/>
        <w:t>17). Le contexte était suffisant pour permettre au jury d’attribuer un sens aux mots. La valeur probante</w:t>
      </w:r>
      <w:r w:rsidRPr="0054234B">
        <w:rPr>
          <w:rFonts w:cs="Times New Roman"/>
          <w:noProof/>
          <w:lang w:val="fr-CA"/>
        </w:rPr>
        <w:t xml:space="preserve"> du témoignage l’emportait sur son effet préjudiciable; de plus, une [</w:t>
      </w:r>
      <w:r w:rsidRPr="0054234B">
        <w:rPr>
          <w:rFonts w:cs="Times New Roman"/>
          <w:smallCaps/>
          <w:noProof/>
          <w:lang w:val="fr-CA"/>
        </w:rPr>
        <w:t>traduction</w:t>
      </w:r>
      <w:r w:rsidRPr="0054234B">
        <w:rPr>
          <w:rFonts w:cs="Times New Roman"/>
          <w:noProof/>
          <w:lang w:val="fr-CA"/>
        </w:rPr>
        <w:t>] « mise en garde ferme adressée au jury » pouvait tempérer tout problème associé à la preuve (par. 21)</w:t>
      </w:r>
      <w:r w:rsidRPr="0054234B">
        <w:rPr>
          <w:rFonts w:cs="Times New Roman"/>
          <w:noProof/>
          <w:szCs w:val="24"/>
          <w:lang w:val="fr-CA"/>
        </w:rPr>
        <w:t>. Pour ces raisons, la juge du procès a admis le témoignage en preuve.</w:t>
      </w:r>
    </w:p>
    <w:p w14:paraId="1FBCCF13" w14:textId="77777777" w:rsidR="008B6D43" w:rsidRPr="0054234B" w:rsidRDefault="008B6D43" w:rsidP="008B6D43">
      <w:pPr>
        <w:pStyle w:val="Title2LevelTitre2Niveau"/>
        <w:numPr>
          <w:ilvl w:val="1"/>
          <w:numId w:val="9"/>
        </w:numPr>
        <w:spacing w:before="0"/>
        <w:rPr>
          <w:rFonts w:cs="Times New Roman"/>
          <w:noProof/>
          <w:lang w:val="fr-CA"/>
        </w:rPr>
      </w:pPr>
      <w:r w:rsidRPr="0054234B">
        <w:rPr>
          <w:rFonts w:cs="Times New Roman"/>
          <w:iCs/>
          <w:noProof/>
          <w:lang w:val="fr-CA"/>
        </w:rPr>
        <w:t>La réponse à la question posée par le jury durant ses délibérations et la déclaration de culpabilité</w:t>
      </w:r>
    </w:p>
    <w:p w14:paraId="2960E153"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Durant ses délibérations, le jury a fait parvenir au tribunal une note manuscrite dans laquelle il lui posait la question suivante </w:t>
      </w:r>
      <w:r w:rsidRPr="0054234B">
        <w:rPr>
          <w:rFonts w:cs="Times New Roman"/>
          <w:lang w:val="fr-CA"/>
        </w:rPr>
        <w:t>(la version anglaise originale de cette note est reproduite en annexe aux présents motifs)</w:t>
      </w:r>
      <w:r w:rsidRPr="0054234B">
        <w:rPr>
          <w:rFonts w:cs="Times New Roman"/>
          <w:noProof/>
          <w:lang w:val="fr-CA"/>
        </w:rPr>
        <w:t> :</w:t>
      </w:r>
    </w:p>
    <w:p w14:paraId="04B0E354" w14:textId="77777777" w:rsidR="008B6D43" w:rsidRPr="008B6D43" w:rsidRDefault="008B6D43" w:rsidP="008B6D43">
      <w:pPr>
        <w:spacing w:after="240"/>
        <w:ind w:left="1170" w:hanging="360"/>
        <w:rPr>
          <w:lang w:val="fr-CA"/>
        </w:rPr>
      </w:pPr>
      <w:r w:rsidRPr="008B6D43">
        <w:rPr>
          <w:lang w:val="fr-CA"/>
        </w:rPr>
        <w:tab/>
        <w:t>[</w:t>
      </w:r>
      <w:r w:rsidRPr="008B6D43">
        <w:rPr>
          <w:smallCaps/>
          <w:lang w:val="fr-CA"/>
        </w:rPr>
        <w:t>traduction</w:t>
      </w:r>
      <w:r w:rsidRPr="008B6D43">
        <w:rPr>
          <w:lang w:val="fr-CA"/>
        </w:rPr>
        <w:t>]</w:t>
      </w:r>
    </w:p>
    <w:p w14:paraId="110DCD82" w14:textId="77777777" w:rsidR="008B6D43" w:rsidRPr="008B6D43" w:rsidRDefault="008B6D43" w:rsidP="008B6D43">
      <w:pPr>
        <w:spacing w:after="240"/>
        <w:ind w:left="1166" w:hanging="360"/>
        <w:jc w:val="both"/>
        <w:rPr>
          <w:szCs w:val="22"/>
          <w:lang w:val="fr-CA"/>
        </w:rPr>
      </w:pPr>
      <w:r w:rsidRPr="008B6D43">
        <w:rPr>
          <w:szCs w:val="22"/>
          <w:lang w:val="fr-CA"/>
        </w:rPr>
        <w:tab/>
        <w:t>Pourriez</w:t>
      </w:r>
      <w:r w:rsidRPr="008B6D43">
        <w:rPr>
          <w:szCs w:val="22"/>
          <w:lang w:val="fr-CA"/>
        </w:rPr>
        <w:noBreakHyphen/>
        <w:t xml:space="preserve">vous nous </w:t>
      </w:r>
      <w:r w:rsidRPr="008B6D43">
        <w:rPr>
          <w:szCs w:val="22"/>
          <w:u w:val="single"/>
          <w:lang w:val="fr-CA"/>
        </w:rPr>
        <w:t>préciser</w:t>
      </w:r>
      <w:r w:rsidRPr="008B6D43">
        <w:rPr>
          <w:szCs w:val="22"/>
          <w:lang w:val="fr-CA"/>
        </w:rPr>
        <w:t xml:space="preserve"> la définition de lésions corporelles à la Q3 (l’intention requise pour l’infraction de meurtre) versus les lésions corporelles décrites aux par 109</w:t>
      </w:r>
      <w:proofErr w:type="gramStart"/>
      <w:r w:rsidRPr="008B6D43">
        <w:rPr>
          <w:szCs w:val="22"/>
          <w:lang w:val="fr-CA"/>
        </w:rPr>
        <w:t>./</w:t>
      </w:r>
      <w:proofErr w:type="gramEnd"/>
      <w:r w:rsidRPr="008B6D43">
        <w:rPr>
          <w:szCs w:val="22"/>
          <w:lang w:val="fr-CA"/>
        </w:rPr>
        <w:t>111 pour l’infraction d’homicide involontaire coupable.</w:t>
      </w:r>
    </w:p>
    <w:p w14:paraId="5991AC59" w14:textId="77777777" w:rsidR="008B6D43" w:rsidRPr="0054234B" w:rsidRDefault="008B6D43" w:rsidP="008B6D43">
      <w:pPr>
        <w:pStyle w:val="ListParagraph"/>
        <w:numPr>
          <w:ilvl w:val="0"/>
          <w:numId w:val="19"/>
        </w:numPr>
        <w:ind w:left="1886"/>
        <w:jc w:val="both"/>
        <w:rPr>
          <w:rFonts w:cs="Times New Roman"/>
        </w:rPr>
      </w:pPr>
      <w:r w:rsidRPr="0054234B">
        <w:rPr>
          <w:rFonts w:cs="Times New Roman"/>
        </w:rPr>
        <w:t>Lésions corporelles</w:t>
      </w:r>
    </w:p>
    <w:p w14:paraId="448DAE0B" w14:textId="77777777" w:rsidR="008B6D43" w:rsidRPr="0054234B" w:rsidRDefault="008B6D43" w:rsidP="008B6D43">
      <w:pPr>
        <w:ind w:left="2707"/>
        <w:jc w:val="both"/>
        <w:rPr>
          <w:szCs w:val="22"/>
        </w:rPr>
      </w:pPr>
      <w:proofErr w:type="spellStart"/>
      <w:r w:rsidRPr="0054234B">
        <w:rPr>
          <w:szCs w:val="22"/>
        </w:rPr>
        <w:t>Toute</w:t>
      </w:r>
      <w:proofErr w:type="spellEnd"/>
      <w:r w:rsidRPr="0054234B">
        <w:rPr>
          <w:szCs w:val="22"/>
        </w:rPr>
        <w:t xml:space="preserve"> </w:t>
      </w:r>
      <w:proofErr w:type="spellStart"/>
      <w:proofErr w:type="gramStart"/>
      <w:r w:rsidRPr="0054234B">
        <w:rPr>
          <w:szCs w:val="22"/>
        </w:rPr>
        <w:t>blessure</w:t>
      </w:r>
      <w:proofErr w:type="spellEnd"/>
      <w:r w:rsidRPr="0054234B">
        <w:rPr>
          <w:szCs w:val="22"/>
        </w:rPr>
        <w:t xml:space="preserve"> .</w:t>
      </w:r>
      <w:proofErr w:type="gramEnd"/>
      <w:r w:rsidRPr="0054234B">
        <w:rPr>
          <w:szCs w:val="22"/>
        </w:rPr>
        <w:t> . .</w:t>
      </w:r>
    </w:p>
    <w:p w14:paraId="0A5AC26D" w14:textId="77777777" w:rsidR="008B6D43" w:rsidRPr="008B6D43" w:rsidRDefault="008B6D43" w:rsidP="008B6D43">
      <w:pPr>
        <w:ind w:left="2707"/>
        <w:jc w:val="both"/>
        <w:rPr>
          <w:szCs w:val="22"/>
          <w:lang w:val="fr-CA"/>
        </w:rPr>
      </w:pPr>
      <w:r w:rsidRPr="008B6D43">
        <w:rPr>
          <w:szCs w:val="22"/>
          <w:lang w:val="fr-CA"/>
        </w:rPr>
        <w:t xml:space="preserve">qui nuit à la </w:t>
      </w:r>
      <w:proofErr w:type="gramStart"/>
      <w:r w:rsidRPr="008B6D43">
        <w:rPr>
          <w:szCs w:val="22"/>
          <w:lang w:val="fr-CA"/>
        </w:rPr>
        <w:t>santé .</w:t>
      </w:r>
      <w:proofErr w:type="gramEnd"/>
      <w:r w:rsidRPr="008B6D43">
        <w:rPr>
          <w:szCs w:val="22"/>
          <w:lang w:val="fr-CA"/>
        </w:rPr>
        <w:t> . .</w:t>
      </w:r>
    </w:p>
    <w:p w14:paraId="56E18EB0" w14:textId="77777777" w:rsidR="008B6D43" w:rsidRPr="008B6D43" w:rsidRDefault="008B6D43" w:rsidP="008B6D43">
      <w:pPr>
        <w:spacing w:after="240"/>
        <w:ind w:left="2707"/>
        <w:jc w:val="both"/>
        <w:rPr>
          <w:szCs w:val="22"/>
          <w:lang w:val="fr-CA"/>
        </w:rPr>
      </w:pPr>
      <w:r w:rsidRPr="008B6D43">
        <w:rPr>
          <w:szCs w:val="22"/>
          <w:lang w:val="fr-CA"/>
        </w:rPr>
        <w:t>Pas de nature brève/</w:t>
      </w:r>
      <w:r w:rsidRPr="008B6D43">
        <w:rPr>
          <w:szCs w:val="22"/>
          <w:u w:val="single"/>
          <w:lang w:val="fr-CA"/>
        </w:rPr>
        <w:t>mineure</w:t>
      </w:r>
      <w:r w:rsidRPr="008B6D43">
        <w:rPr>
          <w:szCs w:val="22"/>
          <w:lang w:val="fr-CA"/>
        </w:rPr>
        <w:t>.</w:t>
      </w:r>
    </w:p>
    <w:p w14:paraId="262BCD88" w14:textId="77777777" w:rsidR="008B6D43" w:rsidRPr="0054234B" w:rsidRDefault="008B6D43" w:rsidP="008B6D43">
      <w:pPr>
        <w:pStyle w:val="ListParagraph"/>
        <w:numPr>
          <w:ilvl w:val="0"/>
          <w:numId w:val="20"/>
        </w:numPr>
        <w:ind w:left="1886"/>
        <w:jc w:val="both"/>
        <w:rPr>
          <w:rFonts w:cs="Times New Roman"/>
        </w:rPr>
      </w:pPr>
      <w:r w:rsidRPr="0054234B">
        <w:rPr>
          <w:rFonts w:cs="Times New Roman"/>
        </w:rPr>
        <w:t>Concept de lésions corporelles</w:t>
      </w:r>
    </w:p>
    <w:p w14:paraId="79789AD7" w14:textId="77777777" w:rsidR="008B6D43" w:rsidRPr="008B6D43" w:rsidRDefault="008B6D43" w:rsidP="008B6D43">
      <w:pPr>
        <w:tabs>
          <w:tab w:val="left" w:pos="1890"/>
        </w:tabs>
        <w:spacing w:after="240"/>
        <w:ind w:left="1886"/>
        <w:jc w:val="both"/>
        <w:rPr>
          <w:szCs w:val="22"/>
          <w:lang w:val="fr-CA"/>
        </w:rPr>
      </w:pPr>
      <w:r w:rsidRPr="008B6D43">
        <w:rPr>
          <w:szCs w:val="22"/>
          <w:lang w:val="fr-CA"/>
        </w:rPr>
        <w:t xml:space="preserve">que l’accusé </w:t>
      </w:r>
      <w:r w:rsidRPr="008B6D43">
        <w:rPr>
          <w:szCs w:val="22"/>
          <w:u w:val="single"/>
          <w:lang w:val="fr-CA"/>
        </w:rPr>
        <w:t>sait</w:t>
      </w:r>
      <w:r w:rsidRPr="008B6D43">
        <w:rPr>
          <w:szCs w:val="22"/>
          <w:lang w:val="fr-CA"/>
        </w:rPr>
        <w:t xml:space="preserve"> être « de nature » à causer la mort </w:t>
      </w:r>
      <w:r w:rsidRPr="008B6D43">
        <w:rPr>
          <w:szCs w:val="22"/>
          <w:u w:val="single"/>
          <w:lang w:val="fr-CA"/>
        </w:rPr>
        <w:t>et</w:t>
      </w:r>
      <w:r w:rsidRPr="008B6D43">
        <w:rPr>
          <w:szCs w:val="22"/>
          <w:lang w:val="fr-CA"/>
        </w:rPr>
        <w:t xml:space="preserve"> qu’il lui est indifférent </w:t>
      </w:r>
      <w:proofErr w:type="gramStart"/>
      <w:r w:rsidRPr="008B6D43">
        <w:rPr>
          <w:szCs w:val="22"/>
          <w:lang w:val="fr-CA"/>
        </w:rPr>
        <w:t>que .</w:t>
      </w:r>
      <w:proofErr w:type="gramEnd"/>
      <w:r w:rsidRPr="008B6D43">
        <w:rPr>
          <w:szCs w:val="22"/>
          <w:lang w:val="fr-CA"/>
        </w:rPr>
        <w:t> . . [Souligné dans l’original.]</w:t>
      </w:r>
    </w:p>
    <w:p w14:paraId="22D93267" w14:textId="77777777" w:rsidR="008B6D43" w:rsidRPr="008B6D43" w:rsidRDefault="008B6D43" w:rsidP="008B6D43">
      <w:pPr>
        <w:tabs>
          <w:tab w:val="left" w:pos="1890"/>
        </w:tabs>
        <w:spacing w:after="720"/>
        <w:ind w:left="1166" w:hanging="360"/>
        <w:jc w:val="both"/>
        <w:rPr>
          <w:sz w:val="28"/>
          <w:lang w:val="fr-CA"/>
        </w:rPr>
      </w:pPr>
      <w:r w:rsidRPr="008B6D43">
        <w:rPr>
          <w:lang w:val="fr-CA"/>
        </w:rPr>
        <w:tab/>
        <w:t>(</w:t>
      </w:r>
      <w:proofErr w:type="gramStart"/>
      <w:r w:rsidRPr="008B6D43">
        <w:rPr>
          <w:lang w:val="fr-CA"/>
        </w:rPr>
        <w:t>d.a.,</w:t>
      </w:r>
      <w:proofErr w:type="gramEnd"/>
      <w:r w:rsidRPr="008B6D43">
        <w:rPr>
          <w:lang w:val="fr-CA"/>
        </w:rPr>
        <w:t xml:space="preserve"> vol. IV, p. 215; voir aussi motifs de la C.A., par. 115.)</w:t>
      </w:r>
    </w:p>
    <w:p w14:paraId="016F5C7C"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Les mentions « Q3 » et « par 109./111 » renvoient aux passages suivants des directives données au jury :</w:t>
      </w:r>
    </w:p>
    <w:p w14:paraId="283BA3F7" w14:textId="77777777" w:rsidR="008B6D43" w:rsidRPr="0054234B" w:rsidRDefault="008B6D43" w:rsidP="008B6D43">
      <w:pPr>
        <w:pStyle w:val="Citation-AltC"/>
        <w:spacing w:after="240"/>
        <w:ind w:hanging="356"/>
        <w:contextualSpacing w:val="0"/>
        <w:rPr>
          <w:noProof/>
          <w:lang w:val="fr-CA"/>
        </w:rPr>
      </w:pPr>
      <w:r w:rsidRPr="0054234B">
        <w:rPr>
          <w:noProof/>
          <w:lang w:val="fr-CA"/>
        </w:rPr>
        <w:tab/>
        <w:t>[</w:t>
      </w:r>
      <w:r w:rsidRPr="0054234B">
        <w:rPr>
          <w:smallCaps/>
          <w:noProof/>
          <w:lang w:val="fr-CA"/>
        </w:rPr>
        <w:t>traduction</w:t>
      </w:r>
      <w:r w:rsidRPr="0054234B">
        <w:rPr>
          <w:noProof/>
          <w:lang w:val="fr-CA"/>
        </w:rPr>
        <w:t>]</w:t>
      </w:r>
    </w:p>
    <w:p w14:paraId="130E06F0" w14:textId="77777777" w:rsidR="008B6D43" w:rsidRPr="0054234B" w:rsidRDefault="008B6D43" w:rsidP="008B6D43">
      <w:pPr>
        <w:pStyle w:val="Citation-AltC"/>
        <w:spacing w:after="240"/>
        <w:ind w:hanging="356"/>
        <w:contextualSpacing w:val="0"/>
        <w:rPr>
          <w:noProof/>
          <w:lang w:val="fr-CA"/>
        </w:rPr>
      </w:pPr>
      <w:r w:rsidRPr="0054234B">
        <w:rPr>
          <w:noProof/>
          <w:lang w:val="fr-CA"/>
        </w:rPr>
        <w:tab/>
        <w:t>[109] Dans le cas de l’homicide involontaire coupable, la faute criminelle réside dans la perpétration d’un acte illégal qui est objectivement dangereux en ce sens qu’une personne raisonnable se trouvant dans la même situation que l’accusé reconnaîtrait que l’acte illégal exposerait une autre personne au risque de lésions corporelles. L’expression « </w:t>
      </w:r>
      <w:r w:rsidRPr="0054234B">
        <w:rPr>
          <w:lang w:val="fr-CA"/>
        </w:rPr>
        <w:t xml:space="preserve">lésions corporelles » s’entend de toute </w:t>
      </w:r>
      <w:bookmarkStart w:id="0" w:name="_Hlk105339582"/>
      <w:r w:rsidRPr="0054234B">
        <w:rPr>
          <w:lang w:val="fr-CA"/>
        </w:rPr>
        <w:t>blessure qui nuit à la santé ou au bien</w:t>
      </w:r>
      <w:r w:rsidRPr="0054234B">
        <w:rPr>
          <w:lang w:val="fr-CA"/>
        </w:rPr>
        <w:noBreakHyphen/>
        <w:t>être d’une personne et qui n’est pas simplement brève ou de nature mineure</w:t>
      </w:r>
      <w:bookmarkEnd w:id="0"/>
      <w:r w:rsidRPr="0054234B">
        <w:rPr>
          <w:noProof/>
          <w:lang w:val="fr-CA"/>
        </w:rPr>
        <w:t>.</w:t>
      </w:r>
    </w:p>
    <w:p w14:paraId="1C2CD9C1" w14:textId="77777777" w:rsidR="008B6D43" w:rsidRPr="0054234B" w:rsidRDefault="008B6D43" w:rsidP="008B6D43">
      <w:pPr>
        <w:pStyle w:val="Citation-AltC"/>
        <w:spacing w:after="240"/>
        <w:ind w:hanging="356"/>
        <w:contextualSpacing w:val="0"/>
        <w:rPr>
          <w:noProof/>
          <w:lang w:val="fr-CA"/>
        </w:rPr>
      </w:pPr>
      <w:r w:rsidRPr="0054234B">
        <w:rPr>
          <w:noProof/>
          <w:lang w:val="fr-CA"/>
        </w:rPr>
        <w:tab/>
        <w:t xml:space="preserve">[110] Dans le cas du meurtre, il faut, en plus de l’acte illégal, que l’accusé ait eu l’intention de causer la mort ou </w:t>
      </w:r>
      <w:bookmarkStart w:id="1" w:name="_Hlk105339676"/>
      <w:r w:rsidRPr="0054234B">
        <w:rPr>
          <w:lang w:val="fr-CA"/>
        </w:rPr>
        <w:t>des lésions corporelles qu’il sait être de nature à causer la mort, et qu’il lui est indifférent que la mort s’ensuive ou non</w:t>
      </w:r>
      <w:bookmarkEnd w:id="1"/>
      <w:r w:rsidRPr="0054234B">
        <w:rPr>
          <w:noProof/>
          <w:lang w:val="fr-CA"/>
        </w:rPr>
        <w:t xml:space="preserve">. Ce sont là les différences juridiques entre les infractions de meurtre au deuxième degré et </w:t>
      </w:r>
      <w:bookmarkStart w:id="2" w:name="_Hlk105339474"/>
      <w:r w:rsidRPr="0054234B">
        <w:rPr>
          <w:noProof/>
          <w:lang w:val="fr-CA"/>
        </w:rPr>
        <w:t>d’homicide involontaire coupable</w:t>
      </w:r>
      <w:bookmarkEnd w:id="2"/>
      <w:r w:rsidRPr="0054234B">
        <w:rPr>
          <w:noProof/>
          <w:lang w:val="fr-CA"/>
        </w:rPr>
        <w:t>.</w:t>
      </w:r>
    </w:p>
    <w:p w14:paraId="7FAA718D" w14:textId="77777777" w:rsidR="008B6D43" w:rsidRPr="0054234B" w:rsidRDefault="008B6D43" w:rsidP="008B6D43">
      <w:pPr>
        <w:pStyle w:val="Citation-AltC"/>
        <w:spacing w:after="480"/>
        <w:ind w:hanging="360"/>
        <w:contextualSpacing w:val="0"/>
        <w:rPr>
          <w:noProof/>
          <w:lang w:val="fr-CA"/>
        </w:rPr>
      </w:pPr>
      <w:r w:rsidRPr="0054234B">
        <w:rPr>
          <w:noProof/>
          <w:lang w:val="fr-CA"/>
        </w:rPr>
        <w:tab/>
        <w:t>[111] Par conséquent, ce qui distingue le meurtre de l’homicide involontaire, c’est l’état d’esprit de l’accusé, ou ce que nous appelons en droit criminel l’intention de la personne qui a causé la mort.</w:t>
      </w:r>
    </w:p>
    <w:p w14:paraId="48D32BC4" w14:textId="77777777" w:rsidR="008B6D43" w:rsidRPr="0054234B" w:rsidRDefault="008B6D43" w:rsidP="008B6D43">
      <w:pPr>
        <w:pStyle w:val="Citation-AltC"/>
        <w:spacing w:after="240"/>
        <w:ind w:hanging="356"/>
        <w:contextualSpacing w:val="0"/>
        <w:rPr>
          <w:noProof/>
          <w:lang w:val="fr-CA"/>
        </w:rPr>
      </w:pPr>
      <w:r w:rsidRPr="0054234B">
        <w:rPr>
          <w:noProof/>
          <w:lang w:val="fr-CA"/>
        </w:rPr>
        <w:tab/>
        <w:t>[Q3 : M. Schneider avait</w:t>
      </w:r>
      <w:r w:rsidRPr="0054234B">
        <w:rPr>
          <w:noProof/>
          <w:lang w:val="fr-CA"/>
        </w:rPr>
        <w:noBreakHyphen/>
        <w:t xml:space="preserve">il </w:t>
      </w:r>
      <w:bookmarkStart w:id="3" w:name="_Hlk105339250"/>
      <w:r w:rsidRPr="0054234B">
        <w:rPr>
          <w:noProof/>
          <w:lang w:val="fr-CA"/>
        </w:rPr>
        <w:t>l’intention requise pour commettre un meurtre</w:t>
      </w:r>
      <w:bookmarkEnd w:id="3"/>
      <w:r w:rsidRPr="0054234B">
        <w:rPr>
          <w:noProof/>
          <w:lang w:val="fr-CA"/>
        </w:rPr>
        <w:t>?]</w:t>
      </w:r>
    </w:p>
    <w:p w14:paraId="6842D1E5" w14:textId="77777777" w:rsidR="008B6D43" w:rsidRPr="0054234B" w:rsidRDefault="008B6D43" w:rsidP="008B6D43">
      <w:pPr>
        <w:pStyle w:val="Citation-AltC"/>
        <w:spacing w:after="240"/>
        <w:contextualSpacing w:val="0"/>
        <w:rPr>
          <w:noProof/>
          <w:lang w:val="fr-CA"/>
        </w:rPr>
      </w:pPr>
      <w:r w:rsidRPr="0054234B">
        <w:rPr>
          <w:noProof/>
          <w:lang w:val="fr-CA"/>
        </w:rPr>
        <w:t>[132] Pour démontrer que M. Schneider avait l’intention requise pour commettre un meurtre, la Couronne doit prouver hors de tout doute raisonnable l’un ou l’autre des éléments suivants :</w:t>
      </w:r>
    </w:p>
    <w:p w14:paraId="667B3A45" w14:textId="77777777" w:rsidR="008B6D43" w:rsidRPr="0054234B" w:rsidRDefault="008B6D43" w:rsidP="008B6D43">
      <w:pPr>
        <w:pStyle w:val="Citation-AltC"/>
        <w:numPr>
          <w:ilvl w:val="6"/>
          <w:numId w:val="21"/>
        </w:numPr>
        <w:spacing w:after="240"/>
        <w:ind w:left="1800"/>
        <w:contextualSpacing w:val="0"/>
        <w:rPr>
          <w:noProof/>
          <w:lang w:val="fr-CA"/>
        </w:rPr>
      </w:pPr>
      <w:r w:rsidRPr="0054234B">
        <w:rPr>
          <w:noProof/>
          <w:lang w:val="fr-CA"/>
        </w:rPr>
        <w:t>soit que M. Schneider avait l’intention de causer la mort de M</w:t>
      </w:r>
      <w:r w:rsidRPr="0054234B">
        <w:rPr>
          <w:noProof/>
          <w:vertAlign w:val="superscript"/>
          <w:lang w:val="fr-CA"/>
        </w:rPr>
        <w:t>me</w:t>
      </w:r>
      <w:r w:rsidRPr="0054234B">
        <w:rPr>
          <w:noProof/>
          <w:lang w:val="fr-CA"/>
        </w:rPr>
        <w:t> Kogawa;</w:t>
      </w:r>
    </w:p>
    <w:p w14:paraId="2077617A" w14:textId="77777777" w:rsidR="008B6D43" w:rsidRPr="007222DC" w:rsidRDefault="008B6D43" w:rsidP="008B6D43">
      <w:pPr>
        <w:pStyle w:val="Citation-AltC"/>
        <w:numPr>
          <w:ilvl w:val="6"/>
          <w:numId w:val="21"/>
        </w:numPr>
        <w:spacing w:after="240"/>
        <w:ind w:left="1800"/>
        <w:contextualSpacing w:val="0"/>
      </w:pPr>
      <w:r w:rsidRPr="0054234B">
        <w:rPr>
          <w:noProof/>
          <w:lang w:val="fr-CA"/>
        </w:rPr>
        <w:t>soit que M. Schneider avait l’intention de causer à M</w:t>
      </w:r>
      <w:r w:rsidRPr="0054234B">
        <w:rPr>
          <w:noProof/>
          <w:vertAlign w:val="superscript"/>
          <w:lang w:val="fr-CA"/>
        </w:rPr>
        <w:t>me</w:t>
      </w:r>
      <w:r w:rsidRPr="0054234B">
        <w:rPr>
          <w:noProof/>
          <w:lang w:val="fr-CA"/>
        </w:rPr>
        <w:t xml:space="preserve"> Kogawa des lésions corporelles </w:t>
      </w:r>
      <w:r w:rsidRPr="007222DC">
        <w:t>qu’il savait être de nature à causer la mort de cette dernière, et qu’il lui était indifférent que la mort s’ensuive ou non.</w:t>
      </w:r>
    </w:p>
    <w:p w14:paraId="1EE35B31" w14:textId="77777777" w:rsidR="008B6D43" w:rsidRPr="0054234B" w:rsidRDefault="008B6D43" w:rsidP="008B6D43">
      <w:pPr>
        <w:pStyle w:val="Citation-AltC"/>
        <w:spacing w:after="240"/>
        <w:ind w:hanging="360"/>
        <w:contextualSpacing w:val="0"/>
        <w:rPr>
          <w:rStyle w:val="fontstyle01"/>
        </w:rPr>
      </w:pPr>
      <w:r w:rsidRPr="0054234B">
        <w:rPr>
          <w:noProof/>
          <w:lang w:val="fr-CA"/>
        </w:rPr>
        <w:tab/>
        <w:t>[133] En d’autres mots, vous devez décider si la Couronne a prouvé hors de tout doute raisonnable soit que M. Schneider avait l’intention de tuer M</w:t>
      </w:r>
      <w:r w:rsidRPr="0054234B">
        <w:rPr>
          <w:noProof/>
          <w:vertAlign w:val="superscript"/>
          <w:lang w:val="fr-CA"/>
        </w:rPr>
        <w:t>me</w:t>
      </w:r>
      <w:r w:rsidRPr="0054234B">
        <w:rPr>
          <w:noProof/>
          <w:lang w:val="fr-CA"/>
        </w:rPr>
        <w:t> Kogawa, soit que M. Schneider avait l’intention de causer à M</w:t>
      </w:r>
      <w:r w:rsidRPr="0054234B">
        <w:rPr>
          <w:noProof/>
          <w:vertAlign w:val="superscript"/>
          <w:lang w:val="fr-CA"/>
        </w:rPr>
        <w:t>me</w:t>
      </w:r>
      <w:r w:rsidRPr="0054234B">
        <w:rPr>
          <w:noProof/>
          <w:lang w:val="fr-CA"/>
        </w:rPr>
        <w:t> Kogawa des lésions corporelles qu’il savait si dangereuses et graves qu’elles risquaient de tuer M</w:t>
      </w:r>
      <w:r w:rsidRPr="0054234B">
        <w:rPr>
          <w:noProof/>
          <w:vertAlign w:val="superscript"/>
          <w:lang w:val="fr-CA"/>
        </w:rPr>
        <w:t>me</w:t>
      </w:r>
      <w:r w:rsidRPr="0054234B">
        <w:rPr>
          <w:noProof/>
          <w:lang w:val="fr-CA"/>
        </w:rPr>
        <w:t> Kogawa, et qu’il a agi malgré le fait qu’il connaissait ce risque. [</w:t>
      </w:r>
      <w:proofErr w:type="spellStart"/>
      <w:r w:rsidRPr="0054234B">
        <w:rPr>
          <w:rStyle w:val="fontstyle01"/>
        </w:rPr>
        <w:t>Soulignement</w:t>
      </w:r>
      <w:proofErr w:type="spellEnd"/>
      <w:r w:rsidRPr="0054234B">
        <w:rPr>
          <w:rStyle w:val="fontstyle01"/>
        </w:rPr>
        <w:t xml:space="preserve"> </w:t>
      </w:r>
      <w:proofErr w:type="spellStart"/>
      <w:r w:rsidRPr="0054234B">
        <w:rPr>
          <w:rStyle w:val="fontstyle01"/>
        </w:rPr>
        <w:t>omis</w:t>
      </w:r>
      <w:proofErr w:type="spellEnd"/>
      <w:r w:rsidRPr="0054234B">
        <w:rPr>
          <w:rStyle w:val="fontstyle01"/>
        </w:rPr>
        <w:t>.]</w:t>
      </w:r>
    </w:p>
    <w:p w14:paraId="132E206C" w14:textId="77777777" w:rsidR="008B6D43" w:rsidRPr="0054234B" w:rsidRDefault="008B6D43" w:rsidP="008B6D43">
      <w:pPr>
        <w:pStyle w:val="Citation-AltC"/>
        <w:ind w:hanging="360"/>
        <w:contextualSpacing w:val="0"/>
        <w:rPr>
          <w:noProof/>
          <w:lang w:val="fr-CA"/>
        </w:rPr>
      </w:pPr>
      <w:r w:rsidRPr="0054234B">
        <w:rPr>
          <w:lang w:val="fr-CA"/>
        </w:rPr>
        <w:tab/>
        <w:t>(Voir motifs de la C.A., par. 116</w:t>
      </w:r>
      <w:r w:rsidRPr="0054234B">
        <w:rPr>
          <w:lang w:val="fr-CA"/>
        </w:rPr>
        <w:noBreakHyphen/>
        <w:t>117.)</w:t>
      </w:r>
    </w:p>
    <w:p w14:paraId="6B9E9CDC"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juge du procès s’est entretenue avec les avocats au sujet de la question posée par le jury. Elle leur a demandé s’ils pensaient qu’elle devait fournir au jury une définition plus explicite de l’intention. L’avocat de la Couronne a répondu que le jury [</w:t>
      </w:r>
      <w:r w:rsidRPr="0054234B">
        <w:rPr>
          <w:rFonts w:cs="Times New Roman"/>
          <w:smallCaps/>
          <w:noProof/>
          <w:lang w:val="fr-CA"/>
        </w:rPr>
        <w:t>traduction</w:t>
      </w:r>
      <w:r w:rsidRPr="0054234B">
        <w:rPr>
          <w:rFonts w:cs="Times New Roman"/>
          <w:noProof/>
          <w:lang w:val="fr-CA"/>
        </w:rPr>
        <w:t xml:space="preserve">] « sembl[ait] avoir compris que pour qu’il y ait lésions corporelles il doit y avoir une blessure, une ecchymose ou quelque chose du genre » </w:t>
      </w:r>
      <w:r w:rsidRPr="0054234B">
        <w:rPr>
          <w:rFonts w:cs="Times New Roman"/>
          <w:lang w:val="fr-CA"/>
        </w:rPr>
        <w:t>(</w:t>
      </w:r>
      <w:proofErr w:type="gramStart"/>
      <w:r w:rsidRPr="0054234B">
        <w:rPr>
          <w:rFonts w:cs="Times New Roman"/>
          <w:lang w:val="fr-CA"/>
        </w:rPr>
        <w:t>d.a.,</w:t>
      </w:r>
      <w:proofErr w:type="gramEnd"/>
      <w:r w:rsidRPr="0054234B">
        <w:rPr>
          <w:rFonts w:cs="Times New Roman"/>
          <w:lang w:val="fr-CA"/>
        </w:rPr>
        <w:t xml:space="preserve"> vol. III, p. 327)</w:t>
      </w:r>
      <w:r w:rsidRPr="0054234B">
        <w:rPr>
          <w:rFonts w:cs="Times New Roman"/>
          <w:noProof/>
          <w:lang w:val="fr-CA"/>
        </w:rPr>
        <w:t xml:space="preserve">. L’avocat de la défense a recommandé à la juge de fournir au jury la définition de « lésions corporelles » énoncée à l’art. 2 du </w:t>
      </w:r>
      <w:r w:rsidRPr="0054234B">
        <w:rPr>
          <w:rFonts w:cs="Times New Roman"/>
          <w:i/>
          <w:noProof/>
          <w:lang w:val="fr-CA"/>
        </w:rPr>
        <w:t>Code criminel</w:t>
      </w:r>
      <w:r w:rsidRPr="0054234B">
        <w:rPr>
          <w:rFonts w:cs="Times New Roman"/>
          <w:noProof/>
          <w:lang w:val="fr-CA"/>
        </w:rPr>
        <w:t>. La juge a acquiescé et a indiqué qu’elle avait mal compris au départ la question posée par le jury. Bien que l’avocat de la Couronne ait continué à suggérer que la juge fournisse une définition plus explicite de l’intention, l’avocat de la défense a continué de maintenir fermement que ce n’était pas ce que demandaient les jurés. La juge du procès a décidé qu’elle attendrait [</w:t>
      </w:r>
      <w:r w:rsidRPr="0054234B">
        <w:rPr>
          <w:rFonts w:cs="Times New Roman"/>
          <w:smallCaps/>
          <w:noProof/>
          <w:lang w:val="fr-CA"/>
        </w:rPr>
        <w:t>traduction</w:t>
      </w:r>
      <w:r w:rsidRPr="0054234B">
        <w:rPr>
          <w:rFonts w:cs="Times New Roman"/>
          <w:noProof/>
          <w:lang w:val="fr-CA"/>
        </w:rPr>
        <w:t xml:space="preserve">] « qu’[ils soient] arrivés » à la question de l’intention </w:t>
      </w:r>
      <w:r w:rsidRPr="0054234B">
        <w:rPr>
          <w:rFonts w:cs="Times New Roman"/>
          <w:lang w:val="fr-CA"/>
        </w:rPr>
        <w:t>(</w:t>
      </w:r>
      <w:proofErr w:type="gramStart"/>
      <w:r w:rsidRPr="0054234B">
        <w:rPr>
          <w:rFonts w:cs="Times New Roman"/>
          <w:lang w:val="fr-CA"/>
        </w:rPr>
        <w:t>d.a.,</w:t>
      </w:r>
      <w:proofErr w:type="gramEnd"/>
      <w:r w:rsidRPr="0054234B">
        <w:rPr>
          <w:rFonts w:cs="Times New Roman"/>
          <w:lang w:val="fr-CA"/>
        </w:rPr>
        <w:t xml:space="preserve"> vol. III, p. 331)</w:t>
      </w:r>
      <w:r w:rsidRPr="0054234B">
        <w:rPr>
          <w:rFonts w:cs="Times New Roman"/>
          <w:noProof/>
          <w:lang w:val="fr-CA"/>
        </w:rPr>
        <w:t xml:space="preserve">. Elle a fait revenir le jury et a lu à deux reprises la définition des « lésions corporelles » figurant à l’art. 2 du </w:t>
      </w:r>
      <w:r w:rsidRPr="0054234B">
        <w:rPr>
          <w:rFonts w:cs="Times New Roman"/>
          <w:i/>
          <w:iCs/>
          <w:noProof/>
          <w:lang w:val="fr-CA"/>
        </w:rPr>
        <w:t>Code criminel</w:t>
      </w:r>
      <w:r w:rsidRPr="0054234B">
        <w:rPr>
          <w:rFonts w:cs="Times New Roman"/>
          <w:noProof/>
          <w:lang w:val="fr-CA"/>
        </w:rPr>
        <w:t>. Le jury n’a pas posé d’autres questions et a déclaré l’accusé coupable de meurtre au deuxième degré.</w:t>
      </w:r>
    </w:p>
    <w:p w14:paraId="3EF484A8" w14:textId="77777777" w:rsidR="008B6D43" w:rsidRPr="0054234B" w:rsidRDefault="008B6D43" w:rsidP="008B6D43">
      <w:pPr>
        <w:pStyle w:val="Title2LevelTitre2Niveau"/>
        <w:numPr>
          <w:ilvl w:val="1"/>
          <w:numId w:val="9"/>
        </w:numPr>
        <w:spacing w:before="0"/>
        <w:rPr>
          <w:rFonts w:cs="Times New Roman"/>
          <w:noProof/>
          <w:lang w:val="fr-CA"/>
        </w:rPr>
      </w:pPr>
      <w:r w:rsidRPr="0054234B">
        <w:rPr>
          <w:rFonts w:cs="Times New Roman"/>
          <w:lang w:val="fr-CA"/>
        </w:rPr>
        <w:t>Cour d’appel de la Colombie-Britannique</w:t>
      </w:r>
      <w:r w:rsidRPr="0054234B">
        <w:rPr>
          <w:rFonts w:cs="Times New Roman"/>
          <w:iCs/>
          <w:noProof/>
          <w:lang w:val="fr-CA"/>
        </w:rPr>
        <w:t>, 2021 BCCA 41</w:t>
      </w:r>
      <w:r w:rsidRPr="0054234B">
        <w:rPr>
          <w:rFonts w:cs="Times New Roman"/>
          <w:lang w:val="fr-CA"/>
        </w:rPr>
        <w:t>, 400 C.C.C. (3d) 131</w:t>
      </w:r>
    </w:p>
    <w:p w14:paraId="4591E7B0"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L’accusé a interjeté appel de sa déclaration de culpabilité en faisant valoir trois moyens. Deux de ces moyens sont pertinents pour trancher le pourvoi dont notre Cour est saisie. L’accusé a demandé à la Cour d’appel de décider si la juge du procès avait fait erreur :</w:t>
      </w:r>
    </w:p>
    <w:p w14:paraId="09722FCB" w14:textId="77777777" w:rsidR="008B6D43" w:rsidRPr="0054234B" w:rsidRDefault="008B6D43" w:rsidP="008B6D43">
      <w:pPr>
        <w:pStyle w:val="ParaNoNdepar-AltN"/>
        <w:numPr>
          <w:ilvl w:val="0"/>
          <w:numId w:val="0"/>
        </w:numPr>
        <w:spacing w:before="0"/>
        <w:ind w:left="1166"/>
        <w:rPr>
          <w:rFonts w:cs="Times New Roman"/>
          <w:noProof/>
          <w:lang w:val="fr-CA"/>
        </w:rPr>
      </w:pPr>
      <w:r w:rsidRPr="0054234B">
        <w:rPr>
          <w:rFonts w:cs="Times New Roman"/>
          <w:noProof/>
          <w:lang w:val="fr-CA"/>
        </w:rPr>
        <w:t>(1) en admettant le témoignage de son frère concernant la conversation téléphonique qu’il avait entendue (« question de l’admissibilité »);</w:t>
      </w:r>
    </w:p>
    <w:p w14:paraId="7CA044F3" w14:textId="77777777" w:rsidR="008B6D43" w:rsidRPr="0054234B" w:rsidRDefault="008B6D43" w:rsidP="008B6D43">
      <w:pPr>
        <w:pStyle w:val="ParaNoNdepar-AltN"/>
        <w:numPr>
          <w:ilvl w:val="0"/>
          <w:numId w:val="0"/>
        </w:numPr>
        <w:spacing w:before="0"/>
        <w:ind w:left="1166"/>
        <w:rPr>
          <w:rFonts w:cs="Times New Roman"/>
          <w:noProof/>
          <w:lang w:val="fr-CA"/>
        </w:rPr>
      </w:pPr>
      <w:r w:rsidRPr="0054234B">
        <w:rPr>
          <w:rFonts w:cs="Times New Roman"/>
          <w:noProof/>
          <w:lang w:val="fr-CA"/>
        </w:rPr>
        <w:t>(2) dans la façon dont elle avait répondu à la question du jury (« point concernant la question du jury »).</w:t>
      </w:r>
    </w:p>
    <w:p w14:paraId="2B82260D"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Cour d’appel a unanimement rejeté le moyen fondé sur le point concernant la question du jury, mais elle s’est divisée sur la question de l’admissibilité. Les juges majoritaires ont conclu que le témoignage du frère au sujet de la conversation téléphonique qu’il avait entendue n’était pas admissible. La juge DeWitt</w:t>
      </w:r>
      <w:r w:rsidRPr="0054234B">
        <w:rPr>
          <w:rFonts w:cs="Times New Roman"/>
          <w:noProof/>
          <w:lang w:val="fr-CA"/>
        </w:rPr>
        <w:noBreakHyphen/>
        <w:t>Van Oosten, dissidente, a estimé que la juge du procès n’avait pas fait erreur en admettant ce témoignage.</w:t>
      </w:r>
    </w:p>
    <w:p w14:paraId="3AFA794B" w14:textId="77777777" w:rsidR="008B6D43" w:rsidRPr="0054234B" w:rsidRDefault="008B6D43" w:rsidP="008B6D43">
      <w:pPr>
        <w:pStyle w:val="Title3LevelTitre3Niveau"/>
        <w:numPr>
          <w:ilvl w:val="2"/>
          <w:numId w:val="9"/>
        </w:numPr>
        <w:tabs>
          <w:tab w:val="clear" w:pos="1296"/>
          <w:tab w:val="num" w:pos="1170"/>
        </w:tabs>
        <w:spacing w:before="0"/>
        <w:ind w:left="1152"/>
        <w:rPr>
          <w:rFonts w:cs="Times New Roman"/>
          <w:noProof/>
          <w:lang w:val="fr-CA"/>
        </w:rPr>
      </w:pPr>
      <w:r w:rsidRPr="0054234B">
        <w:rPr>
          <w:rFonts w:cs="Times New Roman"/>
          <w:noProof/>
          <w:lang w:val="fr-CA"/>
        </w:rPr>
        <w:t>La question de l’admissibilité</w:t>
      </w:r>
    </w:p>
    <w:p w14:paraId="360C1168" w14:textId="77777777" w:rsidR="008B6D43" w:rsidRPr="0054234B" w:rsidRDefault="008B6D43" w:rsidP="008B6D43">
      <w:pPr>
        <w:pStyle w:val="ParaNoNdepar-AltN"/>
        <w:spacing w:before="0"/>
        <w:rPr>
          <w:rFonts w:cs="Times New Roman"/>
          <w:noProof/>
          <w:lang w:val="fr-CA"/>
        </w:rPr>
      </w:pPr>
      <w:r w:rsidRPr="0054234B">
        <w:rPr>
          <w:rFonts w:cs="Times New Roman"/>
          <w:noProof/>
          <w:lang w:val="fr-CA"/>
        </w:rPr>
        <w:t xml:space="preserve">Les juges de la Cour d’appel se sont accordés pour dire que le témoignage du frère était admissible si </w:t>
      </w:r>
      <w:r>
        <w:rPr>
          <w:rFonts w:cs="Times New Roman"/>
          <w:noProof/>
          <w:lang w:val="fr-CA"/>
        </w:rPr>
        <w:t xml:space="preserve">les </w:t>
      </w:r>
      <w:r w:rsidRPr="0054234B">
        <w:rPr>
          <w:rFonts w:cs="Times New Roman"/>
          <w:noProof/>
          <w:lang w:val="fr-CA"/>
        </w:rPr>
        <w:t>conditions suivantes étaient réunies : (1) le témoignage était pertinent; et (2) sa valeur probante l’emportait sur son effet préjudiciable. Toutefois, les juges majoritaires et la juge dissidente ont divergé d’opinions en ce qui a trait au contexte dont le juge qui préside un procès peut tenir compte pour décider si des aveux émanant d’une partie sont capables de signification et sont par conséquent pertinents. La majorité a conclu que le contexte comporte deux facettes : le [</w:t>
      </w:r>
      <w:r w:rsidRPr="0054234B">
        <w:rPr>
          <w:rFonts w:cs="Times New Roman"/>
          <w:smallCaps/>
          <w:noProof/>
          <w:lang w:val="fr-CA"/>
        </w:rPr>
        <w:t>traduction</w:t>
      </w:r>
      <w:r w:rsidRPr="0054234B">
        <w:rPr>
          <w:rFonts w:cs="Times New Roman"/>
          <w:noProof/>
          <w:lang w:val="fr-CA"/>
        </w:rPr>
        <w:t>] « micro</w:t>
      </w:r>
      <w:r w:rsidRPr="0054234B">
        <w:rPr>
          <w:rFonts w:cs="Times New Roman"/>
          <w:noProof/>
          <w:lang w:val="fr-CA"/>
        </w:rPr>
        <w:noBreakHyphen/>
        <w:t>contexte » et le « macro</w:t>
      </w:r>
      <w:r w:rsidRPr="0054234B">
        <w:rPr>
          <w:rFonts w:cs="Times New Roman"/>
          <w:noProof/>
          <w:lang w:val="fr-CA"/>
        </w:rPr>
        <w:noBreakHyphen/>
        <w:t>contexte »</w:t>
      </w:r>
      <w:r w:rsidRPr="0054234B">
        <w:rPr>
          <w:rFonts w:cs="Times New Roman"/>
          <w:lang w:val="fr-CA"/>
        </w:rPr>
        <w:t xml:space="preserve"> (par. 203)</w:t>
      </w:r>
      <w:r w:rsidRPr="0054234B">
        <w:rPr>
          <w:rFonts w:cs="Times New Roman"/>
          <w:noProof/>
          <w:lang w:val="fr-CA"/>
        </w:rPr>
        <w:t>, et que seul le micro</w:t>
      </w:r>
      <w:r w:rsidRPr="0054234B">
        <w:rPr>
          <w:rFonts w:cs="Times New Roman"/>
          <w:noProof/>
          <w:lang w:val="fr-CA"/>
        </w:rPr>
        <w:noBreakHyphen/>
        <w:t>contexte, c.</w:t>
      </w:r>
      <w:r w:rsidRPr="0054234B">
        <w:rPr>
          <w:rFonts w:cs="Times New Roman"/>
          <w:noProof/>
          <w:lang w:val="fr-CA"/>
        </w:rPr>
        <w:noBreakHyphen/>
        <w:t>à</w:t>
      </w:r>
      <w:r w:rsidRPr="0054234B">
        <w:rPr>
          <w:rFonts w:cs="Times New Roman"/>
          <w:noProof/>
          <w:lang w:val="fr-CA"/>
        </w:rPr>
        <w:noBreakHyphen/>
        <w:t>d. les paroles prononcées avant et après l’aveu entendu, était pertinent pour déterminer si les aveux avaient une signification. Comme le frère ne pouvait se rappeler [</w:t>
      </w:r>
      <w:r w:rsidRPr="0054234B">
        <w:rPr>
          <w:rFonts w:cs="Times New Roman"/>
          <w:smallCaps/>
          <w:noProof/>
          <w:lang w:val="fr-CA"/>
        </w:rPr>
        <w:t>traduction</w:t>
      </w:r>
      <w:r w:rsidRPr="0054234B">
        <w:rPr>
          <w:rFonts w:cs="Times New Roman"/>
          <w:noProof/>
          <w:lang w:val="fr-CA"/>
        </w:rPr>
        <w:t xml:space="preserve">] « ce qui a été dit avant ou après les paroles qu’il avait entendues[,] aucun jury ayant reçu des directives appropriées ne pourrait conclure que le fragment de conversation entendu constituait un aveu » </w:t>
      </w:r>
      <w:r w:rsidRPr="0054234B">
        <w:rPr>
          <w:rFonts w:cs="Times New Roman"/>
          <w:lang w:val="fr-CA"/>
        </w:rPr>
        <w:t>(par. 205</w:t>
      </w:r>
      <w:r w:rsidRPr="0054234B">
        <w:rPr>
          <w:rFonts w:cs="Times New Roman"/>
          <w:lang w:val="fr-CA"/>
        </w:rPr>
        <w:noBreakHyphen/>
        <w:t>206)</w:t>
      </w:r>
      <w:r w:rsidRPr="0054234B">
        <w:rPr>
          <w:rFonts w:cs="Times New Roman"/>
          <w:noProof/>
          <w:lang w:val="fr-CA"/>
        </w:rPr>
        <w:t>. Le témoignage n’était pas pertinent et, par conséquent, n’aurait pas dû être admis.</w:t>
      </w:r>
    </w:p>
    <w:p w14:paraId="0804907C"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juge DeWitt</w:t>
      </w:r>
      <w:r w:rsidRPr="0054234B">
        <w:rPr>
          <w:rFonts w:cs="Times New Roman"/>
          <w:noProof/>
          <w:lang w:val="fr-CA"/>
        </w:rPr>
        <w:noBreakHyphen/>
        <w:t>Van Oosten, dissidente, était d’avis que le juge présidant un procès peut tenir compte de tous les éléments de preuve pour déterminer si les paroles en cause ont une signification et sont, de ce fait, pertinentes. Dans la présente affaire, il existait une preuve appréciable (en sus du « micro</w:t>
      </w:r>
      <w:r w:rsidRPr="0054234B">
        <w:rPr>
          <w:rFonts w:cs="Times New Roman"/>
          <w:noProof/>
          <w:lang w:val="fr-CA"/>
        </w:rPr>
        <w:noBreakHyphen/>
        <w:t>contexte ») permettant d’éclairer la signification des paroles entendues par le frère. Le frère de l’accusé avait eu avec celui</w:t>
      </w:r>
      <w:r w:rsidRPr="0054234B">
        <w:rPr>
          <w:rFonts w:cs="Times New Roman"/>
          <w:noProof/>
          <w:lang w:val="fr-CA"/>
        </w:rPr>
        <w:noBreakHyphen/>
        <w:t>ci plusieurs conversations avant l’appel téléphonique; l’accusé avait répondu aux questions de son frère concernant le communiqué de presse révélant l’identité d’une femme portée disparue en disant « c’est vrai »; l’accusé avait indiqué à son frère l’endroit où se trouvait le corps de M</w:t>
      </w:r>
      <w:r w:rsidRPr="0054234B">
        <w:rPr>
          <w:rFonts w:cs="Times New Roman"/>
          <w:noProof/>
          <w:vertAlign w:val="superscript"/>
          <w:lang w:val="fr-CA"/>
        </w:rPr>
        <w:t>me</w:t>
      </w:r>
      <w:r w:rsidRPr="0054234B">
        <w:rPr>
          <w:rFonts w:cs="Times New Roman"/>
          <w:noProof/>
          <w:lang w:val="fr-CA"/>
        </w:rPr>
        <w:t> Kogawa; l’accusé avait manifesté un comportement empreint de remords durant ses interactions avec son frère avant l’appel téléphonique. Les paroles que le frère a entendues [</w:t>
      </w:r>
      <w:r w:rsidRPr="0054234B">
        <w:rPr>
          <w:rFonts w:cs="Times New Roman"/>
          <w:smallCaps/>
          <w:noProof/>
          <w:lang w:val="fr-CA"/>
        </w:rPr>
        <w:t>traduction</w:t>
      </w:r>
      <w:r w:rsidRPr="0054234B">
        <w:rPr>
          <w:rFonts w:cs="Times New Roman"/>
          <w:noProof/>
          <w:lang w:val="fr-CA"/>
        </w:rPr>
        <w:t xml:space="preserve">] « faisaient partie d’une interaction et d’un dialogue continus » </w:t>
      </w:r>
      <w:r w:rsidRPr="0054234B">
        <w:rPr>
          <w:rFonts w:cs="Times New Roman"/>
          <w:lang w:val="fr-CA"/>
        </w:rPr>
        <w:t>(par. 89)</w:t>
      </w:r>
      <w:r w:rsidRPr="0054234B">
        <w:rPr>
          <w:rFonts w:cs="Times New Roman"/>
          <w:noProof/>
          <w:lang w:val="fr-CA"/>
        </w:rPr>
        <w:t>. Sur la base de l’ensemble de la preuve, un jury ayant reçu des directives appropriées serait en mesure d’attribuer une signification aux paroles entendues sans pour autant se livrer à des conjectures. Par conséquent, le témoignage du frère était pertinent.</w:t>
      </w:r>
    </w:p>
    <w:p w14:paraId="3227A663"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En ce qui concerne l’étape suivante de l’analyse de l’admissibilité, la juge DeWitt</w:t>
      </w:r>
      <w:r w:rsidRPr="0054234B">
        <w:rPr>
          <w:rFonts w:cs="Times New Roman"/>
          <w:noProof/>
          <w:lang w:val="fr-CA"/>
        </w:rPr>
        <w:noBreakHyphen/>
        <w:t>Van Oosten a conclu qu’il y avait lieu de faire montre de déférence envers l’appréciation par la juge du procès de la valeur probante par rapport à l’effet préjudiciable. De plus, tout préjudice suseptible d’être survenu avait été atténué par les directives appropriées données au jury relativement à l’utilisation qui pouvait être faite de l’aveu émanant d’une partie. La juge DeWitt</w:t>
      </w:r>
      <w:r w:rsidRPr="0054234B">
        <w:rPr>
          <w:rFonts w:cs="Times New Roman"/>
          <w:noProof/>
          <w:lang w:val="fr-CA"/>
        </w:rPr>
        <w:noBreakHyphen/>
        <w:t>Van Oosten aurait en conséquence rejeté ce moyen d’appel.</w:t>
      </w:r>
    </w:p>
    <w:p w14:paraId="3626E66D" w14:textId="77777777" w:rsidR="008B6D43" w:rsidRPr="0054234B" w:rsidRDefault="008B6D43" w:rsidP="008B6D43">
      <w:pPr>
        <w:pStyle w:val="Title3LevelTitre3Niveau"/>
        <w:spacing w:before="0"/>
        <w:rPr>
          <w:rFonts w:cs="Times New Roman"/>
          <w:noProof/>
          <w:lang w:val="fr-CA"/>
        </w:rPr>
      </w:pPr>
      <w:r w:rsidRPr="0054234B">
        <w:rPr>
          <w:rFonts w:cs="Times New Roman"/>
          <w:noProof/>
          <w:lang w:val="fr-CA"/>
        </w:rPr>
        <w:t>Le point concernant la question du jury</w:t>
      </w:r>
    </w:p>
    <w:p w14:paraId="0D62C1DC"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L’accusé plaidait que la juge du procès avait fait erreur de deux façons : premièrement, en ne demandant pas aux jurés de clarifier leur question, car elle était ambiguë; deuxièmement, en ne répondant pas correctement à cette question. La formation de la Cour d’appel a unanimement rejeté ce moyen d’appel. La question n’était pas ambiguë, et la suggestion de l’accusé selon laquelle la définition de lésions corporelles différait selon qu’il s’agissait d’un homicide involontaire coupable ou d’un meurtre était dénuée de fondement. Les principes d’interprétation des lois exigent que la même définition de lésions corporelles s’applique aux deux infractions. La différence entre les deux infractions ne réside pas dans la gravité des lésions corporelles que l’accusé inflige à la victime, mais plutôt dans l’intention qui accompagne l’acte. La formation a conclu qu’il n’y avait [</w:t>
      </w:r>
      <w:r w:rsidRPr="0054234B">
        <w:rPr>
          <w:rFonts w:cs="Times New Roman"/>
          <w:smallCaps/>
          <w:noProof/>
          <w:lang w:val="fr-CA"/>
        </w:rPr>
        <w:t>traduction</w:t>
      </w:r>
      <w:r w:rsidRPr="0054234B">
        <w:rPr>
          <w:rFonts w:cs="Times New Roman"/>
          <w:noProof/>
          <w:lang w:val="fr-CA"/>
        </w:rPr>
        <w:t>] « aucune possibilité raisonnable que le jury ait été induit en erreur et ait reconnu [l’accusé] coupable de meurtre au deuxième degré sur la base d’une forme d’intention atténuée » (par. 148).</w:t>
      </w:r>
    </w:p>
    <w:p w14:paraId="20B3DBBB" w14:textId="77777777" w:rsidR="008B6D43" w:rsidRPr="0054234B" w:rsidRDefault="008B6D43" w:rsidP="008B6D43">
      <w:pPr>
        <w:pStyle w:val="Title1LevelTitre1Niveau-AltL"/>
        <w:widowControl w:val="0"/>
        <w:numPr>
          <w:ilvl w:val="0"/>
          <w:numId w:val="9"/>
        </w:numPr>
        <w:spacing w:before="0"/>
        <w:rPr>
          <w:rFonts w:cs="Times New Roman"/>
          <w:noProof/>
          <w:lang w:val="fr-CA"/>
        </w:rPr>
      </w:pPr>
      <w:r w:rsidRPr="0054234B">
        <w:rPr>
          <w:rFonts w:cs="Times New Roman"/>
          <w:noProof/>
          <w:lang w:val="fr-CA"/>
        </w:rPr>
        <w:t>Les questions en litige dans le présent pourvoi</w:t>
      </w:r>
    </w:p>
    <w:p w14:paraId="2F01615D" w14:textId="77777777" w:rsidR="008B6D43" w:rsidRPr="0054234B" w:rsidRDefault="008B6D43" w:rsidP="008B6D43">
      <w:pPr>
        <w:pStyle w:val="ParaNoNdepar-AltN"/>
        <w:widowControl w:val="0"/>
        <w:spacing w:before="0"/>
        <w:rPr>
          <w:rFonts w:cs="Times New Roman"/>
          <w:noProof/>
          <w:lang w:val="fr-CA"/>
        </w:rPr>
      </w:pPr>
      <w:r w:rsidRPr="0054234B">
        <w:rPr>
          <w:rFonts w:cs="Times New Roman"/>
          <w:noProof/>
          <w:lang w:val="fr-CA"/>
        </w:rPr>
        <w:t>La Couronne se pourvoit de plein droit contre la décision de la Cour d’appel sur la question de l’admissibilité. L’accusé soulève le point concernant la question du jury à titre de fondement subsidiaire sur lequel notre Cour pourrait confirmer l’ordonnance de la Cour d’appel.</w:t>
      </w:r>
    </w:p>
    <w:p w14:paraId="6300EAC0" w14:textId="77777777" w:rsidR="008B6D43" w:rsidRPr="0054234B" w:rsidRDefault="008B6D43" w:rsidP="008B6D43">
      <w:pPr>
        <w:pStyle w:val="Title1LevelTitre1Niveau-AltL"/>
        <w:numPr>
          <w:ilvl w:val="0"/>
          <w:numId w:val="9"/>
        </w:numPr>
        <w:spacing w:before="0"/>
        <w:rPr>
          <w:rFonts w:cs="Times New Roman"/>
          <w:noProof/>
          <w:lang w:val="fr-CA"/>
        </w:rPr>
      </w:pPr>
      <w:r w:rsidRPr="0054234B">
        <w:rPr>
          <w:rFonts w:cs="Times New Roman"/>
          <w:noProof/>
          <w:lang w:val="fr-CA"/>
        </w:rPr>
        <w:t>L’analyse</w:t>
      </w:r>
    </w:p>
    <w:p w14:paraId="353AA9E8"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Je vais examiner le présent pourvoi en deux temps. Premièrement, je vais me pencher sur la question de l’admissibilité. J’arrive à la conclusion que la juge du procès n’a pas fait erreur en admettant le témoignage du frère. Deuxièmement, je vais considérer le point concernant la question du jury. Sur ce point, je souscris pour l’essentiel aux motifs unanimes de la Cour d’appel. À l’instar des juges de cette cour, je conclus que la question du jury n’était pas ambiguë et que la juge du procès n’a pas commis d’erreur en y répondant. Par conséquent, je suis d’avis d’accueillir le pourvoi formé par la Couronne, d’infirmer l’arrêt de la Cour d’appel et de rétablir la déclaration de culpabilité prononcée contre l’accusé à l’égard de l’accusation de meurtre au deuxième degré.</w:t>
      </w:r>
    </w:p>
    <w:p w14:paraId="2695012D" w14:textId="77777777" w:rsidR="008B6D43" w:rsidRPr="0054234B" w:rsidRDefault="008B6D43" w:rsidP="008B6D43">
      <w:pPr>
        <w:pStyle w:val="Title2LevelTitre2Niveau"/>
        <w:widowControl w:val="0"/>
        <w:spacing w:before="0"/>
        <w:rPr>
          <w:rFonts w:cs="Times New Roman"/>
          <w:noProof/>
          <w:lang w:val="fr-CA"/>
        </w:rPr>
      </w:pPr>
      <w:r w:rsidRPr="0054234B">
        <w:rPr>
          <w:rFonts w:cs="Times New Roman"/>
          <w:noProof/>
          <w:lang w:val="fr-CA"/>
        </w:rPr>
        <w:t>La question de l’admissibilité</w:t>
      </w:r>
    </w:p>
    <w:p w14:paraId="3D5AD14C" w14:textId="77777777" w:rsidR="008B6D43" w:rsidRPr="0054234B" w:rsidRDefault="008B6D43" w:rsidP="008B6D43">
      <w:pPr>
        <w:pStyle w:val="ParaNoNdepar-AltN"/>
        <w:widowControl w:val="0"/>
        <w:spacing w:before="0"/>
        <w:rPr>
          <w:rFonts w:cs="Times New Roman"/>
          <w:noProof/>
          <w:lang w:val="fr-CA"/>
        </w:rPr>
      </w:pPr>
      <w:r w:rsidRPr="0054234B">
        <w:rPr>
          <w:rFonts w:cs="Times New Roman"/>
          <w:noProof/>
          <w:lang w:val="fr-CA"/>
        </w:rPr>
        <w:t>La Cour d’appel s’est attachée au fait que l’élément de preuve en litige est un aveu émanant d’une partie. Tout en gardant ce fait à l’esprit, je vais situer mon analyse de la question de l’admissibilité dans le contexte plus large du droit de la preuve, au lieu de traiter cette question comme un sujet particulier ou niché.</w:t>
      </w:r>
    </w:p>
    <w:p w14:paraId="601C220E" w14:textId="77777777" w:rsidR="008B6D43" w:rsidRPr="0054234B" w:rsidRDefault="008B6D43" w:rsidP="008B6D43">
      <w:pPr>
        <w:pStyle w:val="ParaNoNdepar-AltN"/>
        <w:spacing w:before="0"/>
        <w:rPr>
          <w:rFonts w:cs="Times New Roman"/>
          <w:noProof/>
          <w:lang w:val="fr-CA"/>
        </w:rPr>
      </w:pPr>
      <w:r w:rsidRPr="0054234B">
        <w:rPr>
          <w:rFonts w:cs="Times New Roman"/>
          <w:noProof/>
          <w:lang w:val="fr-CA"/>
        </w:rPr>
        <w:t>Je vais d’abord rappeler ce que je considère comme étant les règles de droit bien établies en ce qui concerne la démarche générale à suivre pour statuer sur l’admissibilité d’éléments de preuve dans un procès criminel, y compris les aveux émanant d’une partie. Je vais ensuite appliquer ces règles au témoignage du frère et conclure que la juge du procès n’a pas fait erreur en admettant ce témoignage.</w:t>
      </w:r>
    </w:p>
    <w:p w14:paraId="32535DEF" w14:textId="77777777" w:rsidR="008B6D43" w:rsidRPr="0054234B" w:rsidRDefault="008B6D43" w:rsidP="008B6D43">
      <w:pPr>
        <w:pStyle w:val="Title3LevelTitre3Niveau"/>
        <w:numPr>
          <w:ilvl w:val="2"/>
          <w:numId w:val="9"/>
        </w:numPr>
        <w:spacing w:before="0"/>
        <w:ind w:left="1152"/>
        <w:rPr>
          <w:rFonts w:cs="Times New Roman"/>
          <w:noProof/>
          <w:lang w:val="fr-CA"/>
        </w:rPr>
      </w:pPr>
      <w:r w:rsidRPr="0054234B">
        <w:rPr>
          <w:rFonts w:cs="Times New Roman"/>
          <w:noProof/>
          <w:lang w:val="fr-CA"/>
        </w:rPr>
        <w:t>Le cadre juridique de l’admissibilité de la preuve dans un procès criminel</w:t>
      </w:r>
    </w:p>
    <w:p w14:paraId="4347746A"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Les éléments de preuve qui sont pertinents à l’égard d’une question en litige au procès sont admissibles, pourvu qu’ils ne soient pas visés par une règle d’exclusion et que le juge du procès ne les écarte pas dans l’exercice de son pouvoir discrétionnaire (</w:t>
      </w:r>
      <w:r w:rsidRPr="0054234B">
        <w:rPr>
          <w:rFonts w:cs="Times New Roman"/>
          <w:i/>
          <w:noProof/>
          <w:lang w:val="fr-CA"/>
        </w:rPr>
        <w:t>R. c. Khelawon</w:t>
      </w:r>
      <w:r w:rsidRPr="0054234B">
        <w:rPr>
          <w:rFonts w:cs="Times New Roman"/>
          <w:noProof/>
          <w:lang w:val="fr-CA"/>
        </w:rPr>
        <w:t>, 2006 CSC 57</w:t>
      </w:r>
      <w:r w:rsidRPr="0054234B">
        <w:rPr>
          <w:rFonts w:cs="Times New Roman"/>
          <w:lang w:val="fr-CA"/>
        </w:rPr>
        <w:t>, [2006] 2 R.C.S. 787</w:t>
      </w:r>
      <w:r w:rsidRPr="0054234B">
        <w:rPr>
          <w:rFonts w:cs="Times New Roman"/>
          <w:noProof/>
          <w:lang w:val="fr-CA"/>
        </w:rPr>
        <w:t xml:space="preserve">, par. 2; </w:t>
      </w:r>
      <w:r w:rsidRPr="0054234B">
        <w:rPr>
          <w:rFonts w:cs="Times New Roman"/>
          <w:lang w:val="fr-CA"/>
        </w:rPr>
        <w:t>D. M. </w:t>
      </w:r>
      <w:r w:rsidRPr="0054234B">
        <w:rPr>
          <w:rFonts w:cs="Times New Roman"/>
          <w:noProof/>
          <w:lang w:val="fr-CA"/>
        </w:rPr>
        <w:t xml:space="preserve">Paciocco, </w:t>
      </w:r>
      <w:r w:rsidRPr="0054234B">
        <w:rPr>
          <w:rFonts w:cs="Times New Roman"/>
          <w:lang w:val="fr-CA"/>
        </w:rPr>
        <w:t>P. </w:t>
      </w:r>
      <w:r w:rsidRPr="0054234B">
        <w:rPr>
          <w:rFonts w:cs="Times New Roman"/>
          <w:noProof/>
          <w:lang w:val="fr-CA"/>
        </w:rPr>
        <w:t xml:space="preserve">Paciocco et </w:t>
      </w:r>
      <w:r w:rsidRPr="0054234B">
        <w:rPr>
          <w:rFonts w:cs="Times New Roman"/>
          <w:lang w:val="fr-CA"/>
        </w:rPr>
        <w:t>L. </w:t>
      </w:r>
      <w:r w:rsidRPr="0054234B">
        <w:rPr>
          <w:rFonts w:cs="Times New Roman"/>
          <w:noProof/>
          <w:lang w:val="fr-CA"/>
        </w:rPr>
        <w:t xml:space="preserve">Stuesser, </w:t>
      </w:r>
      <w:r w:rsidRPr="0054234B">
        <w:rPr>
          <w:rFonts w:cs="Times New Roman"/>
          <w:i/>
          <w:noProof/>
          <w:lang w:val="fr-CA"/>
        </w:rPr>
        <w:t>The Law of Evidence</w:t>
      </w:r>
      <w:r w:rsidRPr="0054234B">
        <w:rPr>
          <w:rFonts w:cs="Times New Roman"/>
          <w:noProof/>
          <w:lang w:val="fr-CA"/>
        </w:rPr>
        <w:t xml:space="preserve"> (8</w:t>
      </w:r>
      <w:r w:rsidRPr="0054234B">
        <w:rPr>
          <w:rFonts w:cs="Times New Roman"/>
          <w:noProof/>
          <w:vertAlign w:val="superscript"/>
          <w:lang w:val="fr-CA"/>
        </w:rPr>
        <w:t>e</w:t>
      </w:r>
      <w:r w:rsidRPr="0054234B">
        <w:rPr>
          <w:rFonts w:cs="Times New Roman"/>
          <w:noProof/>
          <w:lang w:val="fr-CA"/>
        </w:rPr>
        <w:t xml:space="preserve"> éd. 2020), p. 32; </w:t>
      </w:r>
      <w:r w:rsidRPr="0054234B">
        <w:rPr>
          <w:rFonts w:cs="Times New Roman"/>
          <w:lang w:val="fr-CA"/>
        </w:rPr>
        <w:t>S. N. Lederman, M. K. Fuerst et H. C. Stewart,</w:t>
      </w:r>
      <w:r w:rsidRPr="0054234B">
        <w:rPr>
          <w:rFonts w:cs="Times New Roman"/>
          <w:noProof/>
          <w:lang w:val="fr-CA"/>
        </w:rPr>
        <w:t xml:space="preserve"> </w:t>
      </w:r>
      <w:r w:rsidRPr="0054234B">
        <w:rPr>
          <w:rFonts w:cs="Times New Roman"/>
          <w:i/>
          <w:noProof/>
          <w:lang w:val="fr-CA"/>
        </w:rPr>
        <w:t>Sopinka, Lederman &amp; Bryant : The Law of Evidence in Canada</w:t>
      </w:r>
      <w:r w:rsidRPr="0054234B">
        <w:rPr>
          <w:rFonts w:cs="Times New Roman"/>
          <w:noProof/>
          <w:lang w:val="fr-CA"/>
        </w:rPr>
        <w:t xml:space="preserve"> (6</w:t>
      </w:r>
      <w:r w:rsidRPr="0054234B">
        <w:rPr>
          <w:rFonts w:cs="Times New Roman"/>
          <w:noProof/>
          <w:vertAlign w:val="superscript"/>
          <w:lang w:val="fr-CA"/>
        </w:rPr>
        <w:t>e</w:t>
      </w:r>
      <w:r w:rsidRPr="0054234B">
        <w:rPr>
          <w:rFonts w:cs="Times New Roman"/>
          <w:noProof/>
          <w:lang w:val="fr-CA"/>
        </w:rPr>
        <w:t xml:space="preserve"> éd. 2022), </w:t>
      </w:r>
      <w:r w:rsidRPr="0054234B">
        <w:rPr>
          <w:rFonts w:cs="Times New Roman"/>
          <w:lang w:val="fr-CA"/>
        </w:rPr>
        <w:t>¶2.48</w:t>
      </w:r>
      <w:r w:rsidRPr="0054234B">
        <w:rPr>
          <w:rFonts w:cs="Times New Roman"/>
          <w:noProof/>
          <w:lang w:val="fr-CA"/>
        </w:rPr>
        <w:t xml:space="preserve">; </w:t>
      </w:r>
      <w:r w:rsidRPr="0054234B">
        <w:rPr>
          <w:rFonts w:cs="Times New Roman"/>
          <w:lang w:val="fr-CA"/>
        </w:rPr>
        <w:t>M. </w:t>
      </w:r>
      <w:r w:rsidRPr="0054234B">
        <w:rPr>
          <w:rStyle w:val="solexhl"/>
          <w:rFonts w:cs="Times New Roman"/>
          <w:noProof/>
          <w:lang w:val="fr-CA"/>
        </w:rPr>
        <w:t>Vauclair</w:t>
      </w:r>
      <w:r w:rsidRPr="0054234B">
        <w:rPr>
          <w:rFonts w:cs="Times New Roman"/>
          <w:noProof/>
          <w:lang w:val="fr-CA"/>
        </w:rPr>
        <w:t xml:space="preserve"> et T. Desjardins</w:t>
      </w:r>
      <w:r w:rsidRPr="0054234B">
        <w:rPr>
          <w:rFonts w:cs="Times New Roman"/>
          <w:lang w:val="fr-CA"/>
        </w:rPr>
        <w:t>, avec la collaboration de P. Lachance,</w:t>
      </w:r>
      <w:r w:rsidRPr="0054234B">
        <w:rPr>
          <w:rFonts w:cs="Times New Roman"/>
          <w:i/>
          <w:iCs/>
          <w:noProof/>
          <w:lang w:val="fr-CA"/>
        </w:rPr>
        <w:t xml:space="preserve"> Traité général de preuve et de procédure pénales 2022</w:t>
      </w:r>
      <w:r w:rsidRPr="0054234B">
        <w:rPr>
          <w:rFonts w:cs="Times New Roman"/>
          <w:noProof/>
          <w:lang w:val="fr-CA"/>
        </w:rPr>
        <w:t xml:space="preserve"> (29</w:t>
      </w:r>
      <w:r w:rsidRPr="0054234B">
        <w:rPr>
          <w:rFonts w:cs="Times New Roman"/>
          <w:noProof/>
          <w:vertAlign w:val="superscript"/>
          <w:lang w:val="fr-CA"/>
        </w:rPr>
        <w:t>e</w:t>
      </w:r>
      <w:r w:rsidRPr="0054234B">
        <w:rPr>
          <w:rFonts w:cs="Times New Roman"/>
          <w:noProof/>
          <w:lang w:val="fr-CA"/>
        </w:rPr>
        <w:t xml:space="preserve"> éd. 2022), </w:t>
      </w:r>
      <w:r w:rsidRPr="0054234B">
        <w:rPr>
          <w:rFonts w:cs="Times New Roman"/>
          <w:lang w:val="fr-CA"/>
        </w:rPr>
        <w:t>p. 905</w:t>
      </w:r>
      <w:r w:rsidRPr="0054234B">
        <w:rPr>
          <w:rFonts w:cs="Times New Roman"/>
          <w:lang w:val="fr-CA"/>
        </w:rPr>
        <w:noBreakHyphen/>
        <w:t>906</w:t>
      </w:r>
      <w:r w:rsidRPr="0054234B">
        <w:rPr>
          <w:rFonts w:cs="Times New Roman"/>
          <w:noProof/>
          <w:lang w:val="fr-CA"/>
        </w:rPr>
        <w:t>). Il s’agit de l’analyse à trois volets qui régit l’admission de tout élément de preuve. Le juge doit se demander a) si l’élément de preuve est pertinent, b) si cet élément est visé par une règle d’exclusion et c) s’il doit exercer son pouvoir discrétionnaire afin de l’écarter.</w:t>
      </w:r>
    </w:p>
    <w:p w14:paraId="2749D123"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Lorsqu’une question relative à l’admissibilité d’un élément de preuve est soulevée, un voir</w:t>
      </w:r>
      <w:r w:rsidRPr="0054234B">
        <w:rPr>
          <w:rFonts w:cs="Times New Roman"/>
          <w:noProof/>
          <w:lang w:val="fr-CA"/>
        </w:rPr>
        <w:noBreakHyphen/>
        <w:t>dire est souvent nécessaire. Cela dit, notre Cour a souligné, dans une remarque incidente, qu’il est possible qu’un voir</w:t>
      </w:r>
      <w:r w:rsidRPr="0054234B">
        <w:rPr>
          <w:rFonts w:cs="Times New Roman"/>
          <w:noProof/>
          <w:lang w:val="fr-CA"/>
        </w:rPr>
        <w:noBreakHyphen/>
        <w:t>dire ne soit pas nécessaire dans le cas d’un aveu émanant d’une partie (</w:t>
      </w:r>
      <w:r w:rsidRPr="0054234B">
        <w:rPr>
          <w:rFonts w:cs="Times New Roman"/>
          <w:i/>
          <w:noProof/>
          <w:lang w:val="fr-CA"/>
        </w:rPr>
        <w:t xml:space="preserve">R. c. </w:t>
      </w:r>
      <w:r w:rsidRPr="0054234B">
        <w:rPr>
          <w:rFonts w:cs="Times New Roman"/>
          <w:i/>
          <w:lang w:val="fr-CA"/>
        </w:rPr>
        <w:t>S.G.T.</w:t>
      </w:r>
      <w:r w:rsidRPr="0054234B">
        <w:rPr>
          <w:rFonts w:cs="Times New Roman"/>
          <w:noProof/>
          <w:lang w:val="fr-CA"/>
        </w:rPr>
        <w:t>, 2010 CSC 20</w:t>
      </w:r>
      <w:r w:rsidRPr="0054234B">
        <w:rPr>
          <w:rFonts w:cs="Times New Roman"/>
          <w:lang w:val="fr-CA"/>
        </w:rPr>
        <w:t>, [2010] 1 R.C.S. 688</w:t>
      </w:r>
      <w:r w:rsidRPr="0054234B">
        <w:rPr>
          <w:rFonts w:cs="Times New Roman"/>
          <w:noProof/>
          <w:lang w:val="fr-CA"/>
        </w:rPr>
        <w:t>, par. 20). La question de savoir si la tenue d’un voir</w:t>
      </w:r>
      <w:r w:rsidRPr="0054234B">
        <w:rPr>
          <w:rFonts w:cs="Times New Roman"/>
          <w:noProof/>
          <w:lang w:val="fr-CA"/>
        </w:rPr>
        <w:noBreakHyphen/>
        <w:t>dire est nécessaire à l’égard d’une preuve de cette nature doit être tranchée au regard des circonstances propres à chaque espèce.</w:t>
      </w:r>
    </w:p>
    <w:p w14:paraId="55E90242" w14:textId="77777777" w:rsidR="008B6D43" w:rsidRPr="0054234B" w:rsidRDefault="008B6D43" w:rsidP="008B6D43">
      <w:pPr>
        <w:pStyle w:val="Title4LevelTitre4Niveau"/>
        <w:widowControl w:val="0"/>
        <w:numPr>
          <w:ilvl w:val="1"/>
          <w:numId w:val="1"/>
        </w:numPr>
        <w:spacing w:before="0"/>
        <w:ind w:left="1181" w:hanging="634"/>
        <w:rPr>
          <w:rFonts w:cs="Times New Roman"/>
          <w:noProof/>
          <w:lang w:val="fr-CA"/>
        </w:rPr>
      </w:pPr>
      <w:r w:rsidRPr="0054234B">
        <w:rPr>
          <w:rFonts w:cs="Times New Roman"/>
          <w:noProof/>
          <w:lang w:val="fr-CA"/>
        </w:rPr>
        <w:t>L’élément de preuve est</w:t>
      </w:r>
      <w:r w:rsidRPr="0054234B">
        <w:rPr>
          <w:rFonts w:cs="Times New Roman"/>
          <w:noProof/>
          <w:lang w:val="fr-CA"/>
        </w:rPr>
        <w:noBreakHyphen/>
        <w:t>il pertinent à l’égard d’une question en litige au procès?</w:t>
      </w:r>
    </w:p>
    <w:p w14:paraId="67086FF2" w14:textId="77777777" w:rsidR="008B6D43" w:rsidRPr="0054234B" w:rsidRDefault="008B6D43" w:rsidP="008B6D43">
      <w:pPr>
        <w:pStyle w:val="ParaNoNdepar-AltN"/>
        <w:widowControl w:val="0"/>
        <w:tabs>
          <w:tab w:val="clear" w:pos="1166"/>
          <w:tab w:val="num" w:pos="1152"/>
        </w:tabs>
        <w:spacing w:before="0"/>
        <w:rPr>
          <w:rFonts w:cs="Times New Roman"/>
          <w:noProof/>
          <w:lang w:val="fr-CA"/>
        </w:rPr>
      </w:pPr>
      <w:r w:rsidRPr="0054234B">
        <w:rPr>
          <w:rFonts w:cs="Times New Roman"/>
          <w:noProof/>
          <w:lang w:val="fr-CA"/>
        </w:rPr>
        <w:t>La première étape pour statuer sur l’admissibilité d’un élément de preuve consiste à se demander si cet élément est pertinent. À cette étape, on parle souvent de « pertinence logique ». Toutefois, je vais employer le mot « pertinence » (plutôt que l’expression « pertinence logique ») dans la présente décision.</w:t>
      </w:r>
    </w:p>
    <w:p w14:paraId="49BB8C2D"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Pour déterminer si un élément de preuve est pertinent, le juge doit se demander s’il tend à accroître ou à diminuer la probabilité de l’existence d’un fait en litige (</w:t>
      </w:r>
      <w:r w:rsidRPr="0054234B">
        <w:rPr>
          <w:rFonts w:cs="Times New Roman"/>
          <w:i/>
          <w:noProof/>
          <w:lang w:val="fr-CA"/>
        </w:rPr>
        <w:t>R. c. Arp</w:t>
      </w:r>
      <w:r w:rsidRPr="0054234B">
        <w:rPr>
          <w:rFonts w:cs="Times New Roman"/>
          <w:noProof/>
          <w:lang w:val="fr-CA"/>
        </w:rPr>
        <w:t>, [1998] 3 R.C.S. 339, par. 38). Outre cette question, il n’existe pas de [</w:t>
      </w:r>
      <w:r w:rsidRPr="0054234B">
        <w:rPr>
          <w:rFonts w:cs="Times New Roman"/>
          <w:smallCaps/>
          <w:noProof/>
          <w:lang w:val="fr-CA"/>
        </w:rPr>
        <w:t>traduction</w:t>
      </w:r>
      <w:r w:rsidRPr="0054234B">
        <w:rPr>
          <w:rFonts w:cs="Times New Roman"/>
          <w:noProof/>
          <w:lang w:val="fr-CA"/>
        </w:rPr>
        <w:t>] « critère juridique » en matière de pertinence (Paciocco</w:t>
      </w:r>
      <w:r w:rsidRPr="0054234B">
        <w:rPr>
          <w:rFonts w:cs="Times New Roman"/>
          <w:lang w:val="fr-CA"/>
        </w:rPr>
        <w:t>, Paciocco et Stuesser,</w:t>
      </w:r>
      <w:r w:rsidRPr="0054234B">
        <w:rPr>
          <w:rFonts w:cs="Times New Roman"/>
          <w:noProof/>
          <w:lang w:val="fr-CA"/>
        </w:rPr>
        <w:t xml:space="preserve"> p. 35). Les juges doivent, dans l’exercice de leur rôle de gardiens du système judiciaire, évaluer la pertinence d’un élément de preuve « </w:t>
      </w:r>
      <w:r w:rsidRPr="0054234B">
        <w:rPr>
          <w:rFonts w:cs="Times New Roman"/>
          <w:lang w:val="fr-CA"/>
        </w:rPr>
        <w:t>selon la logique et l’expérience humaine »</w:t>
      </w:r>
      <w:r w:rsidRPr="0054234B">
        <w:rPr>
          <w:rFonts w:cs="Times New Roman"/>
          <w:noProof/>
          <w:lang w:val="fr-CA"/>
        </w:rPr>
        <w:t xml:space="preserve"> (</w:t>
      </w:r>
      <w:r w:rsidRPr="0054234B">
        <w:rPr>
          <w:rFonts w:cs="Times New Roman"/>
          <w:i/>
          <w:noProof/>
          <w:lang w:val="fr-CA"/>
        </w:rPr>
        <w:t>R. c. White</w:t>
      </w:r>
      <w:r w:rsidRPr="0054234B">
        <w:rPr>
          <w:rFonts w:cs="Times New Roman"/>
          <w:noProof/>
          <w:lang w:val="fr-CA"/>
        </w:rPr>
        <w:t xml:space="preserve">, 2011 CSC 13, </w:t>
      </w:r>
      <w:r w:rsidRPr="0054234B">
        <w:rPr>
          <w:rFonts w:cs="Times New Roman"/>
          <w:lang w:val="fr-CA"/>
        </w:rPr>
        <w:t>[2011] 1 R.C.S. 433,</w:t>
      </w:r>
      <w:r w:rsidRPr="0054234B">
        <w:rPr>
          <w:rFonts w:cs="Times New Roman"/>
          <w:noProof/>
          <w:lang w:val="fr-CA"/>
        </w:rPr>
        <w:t xml:space="preserve"> par. 44).</w:t>
      </w:r>
      <w:r w:rsidRPr="0054234B">
        <w:rPr>
          <w:rFonts w:cs="Times New Roman"/>
          <w:lang w:val="fr-CA"/>
        </w:rPr>
        <w:t xml:space="preserve"> Ce faisant</w:t>
      </w:r>
      <w:r w:rsidRPr="0054234B">
        <w:rPr>
          <w:rFonts w:cs="Times New Roman"/>
          <w:noProof/>
          <w:lang w:val="fr-CA"/>
        </w:rPr>
        <w:t xml:space="preserve">, les juges doivent veiller à ne pas usurper le rôle du juge des faits, bien qu’il leur faille dans une certaine mesure soupeser la preuve, une fonction typiquement réservée au jury (Vauclair et </w:t>
      </w:r>
      <w:r w:rsidRPr="0054234B">
        <w:rPr>
          <w:rFonts w:cs="Times New Roman"/>
          <w:lang w:val="fr-CA"/>
        </w:rPr>
        <w:t>Desjardins</w:t>
      </w:r>
      <w:r w:rsidRPr="0054234B">
        <w:rPr>
          <w:rFonts w:cs="Times New Roman"/>
          <w:noProof/>
          <w:lang w:val="fr-CA"/>
        </w:rPr>
        <w:t>, p. </w:t>
      </w:r>
      <w:r w:rsidRPr="0054234B">
        <w:rPr>
          <w:rFonts w:cs="Times New Roman"/>
          <w:lang w:val="fr-CA"/>
        </w:rPr>
        <w:t>687</w:t>
      </w:r>
      <w:r w:rsidRPr="0054234B">
        <w:rPr>
          <w:rFonts w:cs="Times New Roman"/>
          <w:noProof/>
          <w:lang w:val="fr-CA"/>
        </w:rPr>
        <w:t xml:space="preserve">, citant </w:t>
      </w:r>
      <w:r w:rsidRPr="0054234B">
        <w:rPr>
          <w:rFonts w:cs="Times New Roman"/>
          <w:i/>
          <w:noProof/>
          <w:lang w:val="fr-CA"/>
        </w:rPr>
        <w:t>R. c. Hart</w:t>
      </w:r>
      <w:r w:rsidRPr="0054234B">
        <w:rPr>
          <w:rFonts w:cs="Times New Roman"/>
          <w:noProof/>
          <w:lang w:val="fr-CA"/>
        </w:rPr>
        <w:t>, 2014 CSC 52</w:t>
      </w:r>
      <w:r w:rsidRPr="0054234B">
        <w:rPr>
          <w:rFonts w:cs="Times New Roman"/>
          <w:lang w:val="fr-CA"/>
        </w:rPr>
        <w:t>, [2014] 2 R.C.S. 544</w:t>
      </w:r>
      <w:r w:rsidRPr="0054234B">
        <w:rPr>
          <w:rFonts w:cs="Times New Roman"/>
          <w:noProof/>
          <w:lang w:val="fr-CA"/>
        </w:rPr>
        <w:t>, par. 95 et 98). Il n’est pas nécessaire que l’</w:t>
      </w:r>
      <w:r w:rsidRPr="0054234B">
        <w:rPr>
          <w:rFonts w:cs="Times New Roman"/>
          <w:lang w:val="fr-CA"/>
        </w:rPr>
        <w:t>élément de preuve en cause « établisse fermement [. . .] la véracité ou la fausseté d’un fait en litige »</w:t>
      </w:r>
      <w:r w:rsidRPr="0054234B">
        <w:rPr>
          <w:rFonts w:cs="Times New Roman"/>
          <w:noProof/>
          <w:lang w:val="fr-CA"/>
        </w:rPr>
        <w:t xml:space="preserve"> (</w:t>
      </w:r>
      <w:r w:rsidRPr="0054234B">
        <w:rPr>
          <w:rFonts w:cs="Times New Roman"/>
          <w:i/>
          <w:noProof/>
          <w:lang w:val="fr-CA"/>
        </w:rPr>
        <w:t>Arp</w:t>
      </w:r>
      <w:r w:rsidRPr="0054234B">
        <w:rPr>
          <w:rFonts w:cs="Times New Roman"/>
          <w:noProof/>
          <w:lang w:val="fr-CA"/>
        </w:rPr>
        <w:t>, par. 38), bien qu’il soit possible que cet élément soit trop conjectural ou équivoque pour être pertinent (</w:t>
      </w:r>
      <w:r w:rsidRPr="0054234B">
        <w:rPr>
          <w:rFonts w:cs="Times New Roman"/>
          <w:i/>
          <w:noProof/>
          <w:lang w:val="fr-CA"/>
        </w:rPr>
        <w:t>White</w:t>
      </w:r>
      <w:r w:rsidRPr="0054234B">
        <w:rPr>
          <w:rFonts w:cs="Times New Roman"/>
          <w:noProof/>
          <w:lang w:val="fr-CA"/>
        </w:rPr>
        <w:t>, par. 44). Le seuil de pertinence requis est peu élevé, et les juges peuvent admettre un élément de preuve qui présente une faible valeur probante (</w:t>
      </w:r>
      <w:r w:rsidRPr="0054234B">
        <w:rPr>
          <w:rFonts w:cs="Times New Roman"/>
          <w:i/>
          <w:noProof/>
          <w:lang w:val="fr-CA"/>
        </w:rPr>
        <w:t>Arp</w:t>
      </w:r>
      <w:r w:rsidRPr="0054234B">
        <w:rPr>
          <w:rFonts w:cs="Times New Roman"/>
          <w:noProof/>
          <w:lang w:val="fr-CA"/>
        </w:rPr>
        <w:t xml:space="preserve">, par. 38; </w:t>
      </w:r>
      <w:r w:rsidRPr="0054234B">
        <w:rPr>
          <w:rFonts w:cs="Times New Roman"/>
          <w:i/>
          <w:noProof/>
          <w:lang w:val="fr-CA"/>
        </w:rPr>
        <w:t>R. c. Grant</w:t>
      </w:r>
      <w:r w:rsidRPr="0054234B">
        <w:rPr>
          <w:rFonts w:cs="Times New Roman"/>
          <w:noProof/>
          <w:lang w:val="fr-CA"/>
        </w:rPr>
        <w:t>, 2015 CSC 9, [2015] 1 R.C.S. 475, par. 18). Dans l’examen par les juges de la pertinence, celle</w:t>
      </w:r>
      <w:r w:rsidRPr="0054234B">
        <w:rPr>
          <w:rFonts w:cs="Times New Roman"/>
          <w:noProof/>
          <w:lang w:val="fr-CA"/>
        </w:rPr>
        <w:noBreakHyphen/>
        <w:t>ci « ne tient nullement à l’existence d’une valeur probante suffisante », et « [o]n ne doit [. . .] pas confondre l’admissibilité de la preuve avec son poids » (</w:t>
      </w:r>
      <w:r w:rsidRPr="0054234B">
        <w:rPr>
          <w:rFonts w:cs="Times New Roman"/>
          <w:i/>
          <w:noProof/>
          <w:lang w:val="fr-CA"/>
        </w:rPr>
        <w:t>R. c. Corbett</w:t>
      </w:r>
      <w:r w:rsidRPr="0054234B">
        <w:rPr>
          <w:rFonts w:cs="Times New Roman"/>
          <w:noProof/>
          <w:lang w:val="fr-CA"/>
        </w:rPr>
        <w:t xml:space="preserve">, [1988] 1 R.C.S. 670, p. 715, le juge </w:t>
      </w:r>
      <w:r w:rsidRPr="0054234B">
        <w:rPr>
          <w:rFonts w:cs="Times New Roman"/>
          <w:lang w:val="fr-CA"/>
        </w:rPr>
        <w:t>La Forest, dissident, mais non sur ce point, citant</w:t>
      </w:r>
      <w:r w:rsidRPr="0054234B">
        <w:rPr>
          <w:rFonts w:cs="Times New Roman"/>
          <w:noProof/>
          <w:lang w:val="fr-CA"/>
        </w:rPr>
        <w:t xml:space="preserve"> </w:t>
      </w:r>
      <w:r w:rsidRPr="0054234B">
        <w:rPr>
          <w:rFonts w:cs="Times New Roman"/>
          <w:i/>
          <w:noProof/>
          <w:lang w:val="fr-CA"/>
        </w:rPr>
        <w:t>Morris c. La Reine</w:t>
      </w:r>
      <w:r w:rsidRPr="0054234B">
        <w:rPr>
          <w:rFonts w:cs="Times New Roman"/>
          <w:noProof/>
          <w:lang w:val="fr-CA"/>
        </w:rPr>
        <w:t xml:space="preserve">, [1983] 2 R.C.S. 190, </w:t>
      </w:r>
      <w:r w:rsidRPr="0054234B">
        <w:rPr>
          <w:rFonts w:cs="Times New Roman"/>
          <w:lang w:val="fr-CA"/>
        </w:rPr>
        <w:t>p. 192</w:t>
      </w:r>
      <w:r w:rsidRPr="0054234B">
        <w:rPr>
          <w:rFonts w:cs="Times New Roman"/>
          <w:noProof/>
          <w:lang w:val="fr-CA"/>
        </w:rPr>
        <w:t>). Des concepts comme la fiabilité en dernière analyse, la vraisemblance et la valeur probante n’ont pas leur place lorsqu’il s’agit de décider de la pertinence. La question de savoir si un élément de preuve est pertinent est une question de droit susceptible de contrôle suivant la norme de la décision correcte (</w:t>
      </w:r>
      <w:r w:rsidRPr="0054234B">
        <w:rPr>
          <w:rFonts w:cs="Times New Roman"/>
          <w:i/>
          <w:noProof/>
          <w:lang w:val="fr-CA"/>
        </w:rPr>
        <w:t>R. c. Mohan</w:t>
      </w:r>
      <w:r w:rsidRPr="0054234B">
        <w:rPr>
          <w:rFonts w:cs="Times New Roman"/>
          <w:noProof/>
          <w:lang w:val="fr-CA"/>
        </w:rPr>
        <w:t xml:space="preserve">, [1994] 2 R.C.S. 9, </w:t>
      </w:r>
      <w:r w:rsidRPr="0054234B">
        <w:rPr>
          <w:rFonts w:cs="Times New Roman"/>
          <w:lang w:val="fr-CA"/>
        </w:rPr>
        <w:t>p. 20</w:t>
      </w:r>
      <w:r w:rsidRPr="0054234B">
        <w:rPr>
          <w:rFonts w:cs="Times New Roman"/>
          <w:lang w:val="fr-CA"/>
        </w:rPr>
        <w:noBreakHyphen/>
        <w:t>21</w:t>
      </w:r>
      <w:r w:rsidRPr="0054234B">
        <w:rPr>
          <w:rFonts w:cs="Times New Roman"/>
          <w:noProof/>
          <w:lang w:val="fr-CA"/>
        </w:rPr>
        <w:t>).</w:t>
      </w:r>
    </w:p>
    <w:p w14:paraId="3AFD7E74"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Cela nous amène à la question sur laquelle la juridiction inférieure s’est divisée : De quel contexte en ce qui a trait à la preuve peut tenir compte le juge présidant un procès afin de décider si un élément de preuve est capable de signification et peut de ce fait être pertinent? La juge Charron a examiné cette question dans l’affaire </w:t>
      </w:r>
      <w:r w:rsidRPr="0054234B">
        <w:rPr>
          <w:rFonts w:cs="Times New Roman"/>
          <w:i/>
          <w:noProof/>
          <w:lang w:val="fr-CA"/>
        </w:rPr>
        <w:t>R. c. Blackman</w:t>
      </w:r>
      <w:r w:rsidRPr="0054234B">
        <w:rPr>
          <w:rFonts w:cs="Times New Roman"/>
          <w:noProof/>
          <w:lang w:val="fr-CA"/>
        </w:rPr>
        <w:t>, 2008 CSC 37</w:t>
      </w:r>
      <w:r w:rsidRPr="0054234B">
        <w:rPr>
          <w:rFonts w:cs="Times New Roman"/>
          <w:lang w:val="fr-CA"/>
        </w:rPr>
        <w:t>, [2008] 2 R.C.S. 298</w:t>
      </w:r>
      <w:r w:rsidRPr="0054234B">
        <w:rPr>
          <w:rFonts w:cs="Times New Roman"/>
          <w:noProof/>
          <w:lang w:val="fr-CA"/>
        </w:rPr>
        <w:t>, par. 30 :</w:t>
      </w:r>
    </w:p>
    <w:p w14:paraId="29E8F565" w14:textId="77777777" w:rsidR="008B6D43" w:rsidRPr="0054234B" w:rsidRDefault="008B6D43" w:rsidP="008B6D43">
      <w:pPr>
        <w:pStyle w:val="Citation-AltC"/>
        <w:tabs>
          <w:tab w:val="left" w:pos="1440"/>
        </w:tabs>
        <w:spacing w:after="240"/>
        <w:ind w:firstLine="4"/>
        <w:contextualSpacing w:val="0"/>
        <w:rPr>
          <w:noProof/>
          <w:lang w:val="fr-CA"/>
        </w:rPr>
      </w:pPr>
      <w:r w:rsidRPr="0054234B">
        <w:rPr>
          <w:noProof/>
          <w:lang w:val="fr-CA"/>
        </w:rPr>
        <w:tab/>
        <w:t xml:space="preserve">Pour évaluer pleinement la pertinence d’un élément de preuve, il faut tenir compte des autres éléments présentés pendant le procès. Toutefois, en tant que critère d’admissibilité, l’appréciation de la pertinence est un processus continu et dynamique dont la résolution ne peut attendre l’issue du procès. Selon l’étape du procès, le « contexte » de l’appréciation de la pertinence d’un élément de preuve peut très bien être embryonnaire. Souvent, pour des raisons pragmatiques, il faut s’appuyer sur les observations des avocats pour décider de la pertinence d’un élément de preuve. Dans </w:t>
      </w:r>
      <w:r w:rsidRPr="0054234B">
        <w:rPr>
          <w:i/>
          <w:iCs/>
          <w:noProof/>
          <w:lang w:val="fr-CA"/>
        </w:rPr>
        <w:t>The Law of Evidence</w:t>
      </w:r>
      <w:r w:rsidRPr="0054234B">
        <w:rPr>
          <w:noProof/>
          <w:lang w:val="fr-CA"/>
        </w:rPr>
        <w:t xml:space="preserve"> (4</w:t>
      </w:r>
      <w:r w:rsidRPr="0054234B">
        <w:rPr>
          <w:noProof/>
          <w:vertAlign w:val="superscript"/>
          <w:lang w:val="fr-CA"/>
        </w:rPr>
        <w:t>e</w:t>
      </w:r>
      <w:r w:rsidRPr="0054234B">
        <w:rPr>
          <w:noProof/>
          <w:lang w:val="fr-CA"/>
        </w:rPr>
        <w:t xml:space="preserve"> éd. 2005), p. 29, les professeurs D. M. Paciocco et L. Stuesser expliquent pourquoi, en réalité, le critère préliminaire de la pertinence ne peut être un critère strict et, comme les auteurs le soulignent, les propos suivants du juge Cory dans </w:t>
      </w:r>
      <w:r w:rsidRPr="0054234B">
        <w:rPr>
          <w:i/>
          <w:iCs/>
          <w:noProof/>
          <w:lang w:val="fr-CA"/>
        </w:rPr>
        <w:t>R. c. Arp</w:t>
      </w:r>
      <w:r w:rsidRPr="0054234B">
        <w:rPr>
          <w:noProof/>
          <w:lang w:val="fr-CA"/>
        </w:rPr>
        <w:t>, [1998] 3 R.C.S. 339, par. 38, rendent bien compte de ce point de vue :</w:t>
      </w:r>
    </w:p>
    <w:p w14:paraId="691AE194" w14:textId="77777777" w:rsidR="008B6D43" w:rsidRPr="0054234B" w:rsidRDefault="008B6D43" w:rsidP="008B6D43">
      <w:pPr>
        <w:pStyle w:val="Citation-AltC"/>
        <w:ind w:left="1440" w:hanging="274"/>
        <w:contextualSpacing w:val="0"/>
        <w:rPr>
          <w:noProof/>
          <w:lang w:val="fr-CA"/>
        </w:rPr>
      </w:pPr>
      <w:r w:rsidRPr="0054234B">
        <w:rPr>
          <w:noProof/>
          <w:lang w:val="fr-CA"/>
        </w:rPr>
        <w:tab/>
        <w:t>Pour qu’un élément de preuve soit logiquement pertinent, il n’est pas nécessaire qu’il établisse fermement, selon quelque norme que ce soit, la véracité ou la fausseté d’un fait en litige. La preuve doit simplement tendre à [</w:t>
      </w:r>
      <w:r w:rsidRPr="0054234B">
        <w:rPr>
          <w:smallCaps/>
          <w:noProof/>
          <w:lang w:val="fr-CA"/>
        </w:rPr>
        <w:t>traduction</w:t>
      </w:r>
      <w:r w:rsidRPr="0054234B">
        <w:rPr>
          <w:noProof/>
          <w:lang w:val="fr-CA"/>
        </w:rPr>
        <w:t>] « accroître ou diminuer la probabilité de l’existence d’un fait en litige ». [I</w:t>
      </w:r>
      <w:proofErr w:type="spellStart"/>
      <w:r w:rsidRPr="0054234B">
        <w:rPr>
          <w:rStyle w:val="fontstyle01"/>
        </w:rPr>
        <w:t>talique</w:t>
      </w:r>
      <w:proofErr w:type="spellEnd"/>
      <w:r w:rsidRPr="0054234B">
        <w:rPr>
          <w:rStyle w:val="fontstyle01"/>
        </w:rPr>
        <w:t xml:space="preserve"> </w:t>
      </w:r>
      <w:proofErr w:type="spellStart"/>
      <w:r w:rsidRPr="0054234B">
        <w:rPr>
          <w:rStyle w:val="fontstyle01"/>
        </w:rPr>
        <w:t>omis</w:t>
      </w:r>
      <w:proofErr w:type="spellEnd"/>
      <w:r w:rsidRPr="0054234B">
        <w:rPr>
          <w:rStyle w:val="fontstyle01"/>
        </w:rPr>
        <w:t>.]</w:t>
      </w:r>
    </w:p>
    <w:p w14:paraId="474CEC51"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Comme l’a expliqué la juge Charron, les juges qui président des procès peuvent examiner la pertinence à la lumière des éléments de preuve que les parties ont présentés, ainsi que de ceux qu’une partie indique qu’elle </w:t>
      </w:r>
      <w:r w:rsidRPr="0054234B">
        <w:rPr>
          <w:rFonts w:cs="Times New Roman"/>
          <w:i/>
          <w:noProof/>
          <w:lang w:val="fr-CA"/>
        </w:rPr>
        <w:t>entend</w:t>
      </w:r>
      <w:r w:rsidRPr="0054234B">
        <w:rPr>
          <w:rFonts w:cs="Times New Roman"/>
          <w:noProof/>
          <w:lang w:val="fr-CA"/>
        </w:rPr>
        <w:t xml:space="preserve"> présenter. Les juges peuvent admettre un élément de preuve litigieux sous réserve de l’engagement de l’avocat concerné quant </w:t>
      </w:r>
      <w:r>
        <w:rPr>
          <w:rFonts w:cs="Times New Roman"/>
          <w:noProof/>
          <w:lang w:val="fr-CA"/>
        </w:rPr>
        <w:t xml:space="preserve">aux </w:t>
      </w:r>
      <w:r w:rsidRPr="0054234B">
        <w:rPr>
          <w:rFonts w:cs="Times New Roman"/>
          <w:noProof/>
          <w:lang w:val="fr-CA"/>
        </w:rPr>
        <w:t>élément</w:t>
      </w:r>
      <w:r>
        <w:rPr>
          <w:rFonts w:cs="Times New Roman"/>
          <w:noProof/>
          <w:lang w:val="fr-CA"/>
        </w:rPr>
        <w:t>s</w:t>
      </w:r>
      <w:r w:rsidRPr="0054234B">
        <w:rPr>
          <w:rFonts w:cs="Times New Roman"/>
          <w:noProof/>
          <w:lang w:val="fr-CA"/>
        </w:rPr>
        <w:t xml:space="preserve"> devant être présenté</w:t>
      </w:r>
      <w:r>
        <w:rPr>
          <w:rFonts w:cs="Times New Roman"/>
          <w:noProof/>
          <w:lang w:val="fr-CA"/>
        </w:rPr>
        <w:t>s</w:t>
      </w:r>
      <w:r w:rsidRPr="0054234B">
        <w:rPr>
          <w:rFonts w:cs="Times New Roman"/>
          <w:noProof/>
          <w:lang w:val="fr-CA"/>
        </w:rPr>
        <w:t xml:space="preserve"> (</w:t>
      </w:r>
      <w:r w:rsidRPr="0054234B">
        <w:rPr>
          <w:rFonts w:cs="Times New Roman"/>
          <w:lang w:val="fr-CA"/>
        </w:rPr>
        <w:t>Lederman, Fuerst et Stewart, ¶2.72</w:t>
      </w:r>
      <w:r w:rsidRPr="0054234B">
        <w:rPr>
          <w:rFonts w:cs="Times New Roman"/>
          <w:noProof/>
          <w:lang w:val="fr-CA"/>
        </w:rPr>
        <w:t xml:space="preserve">). Compte tenu du lien qui existe entre la signification et la pertinence, les propos formulés par la juge Charron dans l’arrêt </w:t>
      </w:r>
      <w:r w:rsidRPr="0054234B">
        <w:rPr>
          <w:rFonts w:cs="Times New Roman"/>
          <w:i/>
          <w:noProof/>
          <w:lang w:val="fr-CA"/>
        </w:rPr>
        <w:t>Blackman</w:t>
      </w:r>
      <w:r w:rsidRPr="0054234B">
        <w:rPr>
          <w:rFonts w:cs="Times New Roman"/>
          <w:noProof/>
          <w:lang w:val="fr-CA"/>
        </w:rPr>
        <w:t xml:space="preserve"> s’appliquent logiquement aux éléments de preuve susceptibles d’éclairer la signification.</w:t>
      </w:r>
    </w:p>
    <w:p w14:paraId="6D12BB6F"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Cette proposition générale s’applique aux aveux émanant d’une partie. Rien ne justifie de traiter différemment ces aveux dans la détermination de la pertinence. À cette étape de l’analyse, il n’est pas nécessaire que les juges qui président des procès aient qualifié la preuve d’aveu émanant d’une partie. En circonscrivant à l’intérieur d’un cercle étroit les autres éléments de preuve pouvant être pris en compte pour déterminer la pertinence des aveux émanant d’une partie (la distinction entre « micro</w:t>
      </w:r>
      <w:r w:rsidRPr="0054234B">
        <w:rPr>
          <w:rFonts w:cs="Times New Roman"/>
          <w:noProof/>
          <w:lang w:val="fr-CA"/>
        </w:rPr>
        <w:noBreakHyphen/>
        <w:t>contexte » et « macro</w:t>
      </w:r>
      <w:r w:rsidRPr="0054234B">
        <w:rPr>
          <w:rFonts w:cs="Times New Roman"/>
          <w:noProof/>
          <w:lang w:val="fr-CA"/>
        </w:rPr>
        <w:noBreakHyphen/>
        <w:t>contexte »), les juges majoritaires de la Cour d’appel ont commis une erreur de droit.</w:t>
      </w:r>
    </w:p>
    <w:p w14:paraId="02AD93A1"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En formulant cette observation, je suis conscient qu’il n’est pas nécessaire que la preuve soit sans équivoque pour être pertinente. Dans l’arrêt </w:t>
      </w:r>
      <w:r w:rsidRPr="0054234B">
        <w:rPr>
          <w:rFonts w:cs="Times New Roman"/>
          <w:i/>
          <w:noProof/>
          <w:lang w:val="fr-CA"/>
        </w:rPr>
        <w:t>R. c. Evans</w:t>
      </w:r>
      <w:r w:rsidRPr="0054234B">
        <w:rPr>
          <w:rFonts w:cs="Times New Roman"/>
          <w:noProof/>
          <w:lang w:val="fr-CA"/>
        </w:rPr>
        <w:t xml:space="preserve">, [1993] 3 R.C.S. 653, le juge Sopinka a souligné que, bien que les questions d’admissibilité relèvent du juge du procès, c’est au juge des faits qu’il appartient de décider </w:t>
      </w:r>
      <w:r w:rsidRPr="0054234B">
        <w:rPr>
          <w:rFonts w:cs="Times New Roman"/>
          <w:i/>
          <w:iCs/>
          <w:noProof/>
          <w:lang w:val="fr-CA"/>
        </w:rPr>
        <w:t>si une déclaration a été faite</w:t>
      </w:r>
      <w:r w:rsidRPr="0054234B">
        <w:rPr>
          <w:rFonts w:cs="Times New Roman"/>
          <w:noProof/>
          <w:lang w:val="fr-CA"/>
        </w:rPr>
        <w:t xml:space="preserve"> et si elle est véridique (</w:t>
      </w:r>
      <w:r w:rsidRPr="0054234B">
        <w:rPr>
          <w:rFonts w:cs="Times New Roman"/>
          <w:lang w:val="fr-CA"/>
        </w:rPr>
        <w:t>p. 664</w:t>
      </w:r>
      <w:r w:rsidRPr="0054234B">
        <w:rPr>
          <w:rFonts w:cs="Times New Roman"/>
          <w:lang w:val="fr-CA"/>
        </w:rPr>
        <w:noBreakHyphen/>
        <w:t>666</w:t>
      </w:r>
      <w:r w:rsidRPr="0054234B">
        <w:rPr>
          <w:rFonts w:cs="Times New Roman"/>
          <w:noProof/>
          <w:lang w:val="fr-CA"/>
        </w:rPr>
        <w:t xml:space="preserve">; voir aussi Vauclair et </w:t>
      </w:r>
      <w:r w:rsidRPr="0054234B">
        <w:rPr>
          <w:rFonts w:cs="Times New Roman"/>
          <w:lang w:val="fr-CA"/>
        </w:rPr>
        <w:t>Desjardins</w:t>
      </w:r>
      <w:r w:rsidRPr="0054234B">
        <w:rPr>
          <w:rFonts w:cs="Times New Roman"/>
          <w:noProof/>
          <w:lang w:val="fr-CA"/>
        </w:rPr>
        <w:t>, p. </w:t>
      </w:r>
      <w:r w:rsidRPr="0054234B">
        <w:rPr>
          <w:rFonts w:cs="Times New Roman"/>
          <w:lang w:val="fr-CA"/>
        </w:rPr>
        <w:t>865</w:t>
      </w:r>
      <w:r w:rsidRPr="0054234B">
        <w:rPr>
          <w:rFonts w:cs="Times New Roman"/>
          <w:lang w:val="fr-CA"/>
        </w:rPr>
        <w:noBreakHyphen/>
        <w:t>866</w:t>
      </w:r>
      <w:r w:rsidRPr="0054234B">
        <w:rPr>
          <w:rFonts w:cs="Times New Roman"/>
          <w:noProof/>
          <w:lang w:val="fr-CA"/>
        </w:rPr>
        <w:t>). Les aveux émanant d’une partie, comme tout autre élément de preuve, ne deviennent pas inadmissibles parce que le témoin rend un témoignage équivoque. Il arrive souvent que les témoins aient un souvenir imparfait des circonstances et manifestent de l’hésitation lorsqu’ils déposent. Dans la mesure où de telles imperfections ou hésitations portent sur des points liés à l’admissibilité (plutôt qu’au poids que le juge des faits accorde à l’élément de preuve), il est approprié que le juge qui préside un procès les prenne en considération dans la mise en balance de la valeur probante et de l’effet préjudiciable. En conséquence, le fait qu’un témoin ne se souvienne pas des mots exacts qui ont été utilisés ne signifie pas que son témoignage n’est pas pertinent.</w:t>
      </w:r>
    </w:p>
    <w:p w14:paraId="5805362B"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Il va de soi que les parties ne sont pas autorisées à « rattacher » à l’ensemble de la preuve leur argument relatif à l’admissibilité d’un aveu émanant d’une partie. La partie qui sollicite l’admission de l’élément de preuve proposé doit limiter ses observations à la preuve contextuelle qui est pertinente afin de déterminer la signification de la déclaration litigieuse. Dans une affaire criminelle, la Couronne ne peut pas prétendre que </w:t>
      </w:r>
      <w:r w:rsidRPr="0054234B">
        <w:rPr>
          <w:rFonts w:cs="Times New Roman"/>
          <w:i/>
          <w:noProof/>
          <w:lang w:val="fr-CA"/>
        </w:rPr>
        <w:t>tout</w:t>
      </w:r>
      <w:r w:rsidRPr="0054234B">
        <w:rPr>
          <w:rFonts w:cs="Times New Roman"/>
          <w:noProof/>
          <w:lang w:val="fr-CA"/>
        </w:rPr>
        <w:t xml:space="preserve"> élément de preuve tendant à indiquer que l’accusé est coupable constitue un élément contextuel pertinent. L’analyse doit demeurer axée non pas sur la solidité globale de la preuve de la Couronne, mais sur la question de savoir si le jury est en mesure d’attribuer à la déposition du témoin une signification d’une manière qui n’est pas conjecturale.</w:t>
      </w:r>
    </w:p>
    <w:p w14:paraId="5AFBEFAE"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En résumé, le juge statue sur la pertinence en se demandant si, à la lumière de tous les autres éléments de preuve, l’élément en cause tend logiquement à accroître ou à diminuer la vraisemblance d’un fait en litige. Cette norme s’applique à tous les éléments de preuve dans un procès criminel.</w:t>
      </w:r>
    </w:p>
    <w:p w14:paraId="0E26D1D0" w14:textId="77777777" w:rsidR="008B6D43" w:rsidRPr="0054234B" w:rsidRDefault="008B6D43" w:rsidP="008B6D43">
      <w:pPr>
        <w:pStyle w:val="Title4LevelTitre4Niveau"/>
        <w:widowControl w:val="0"/>
        <w:numPr>
          <w:ilvl w:val="1"/>
          <w:numId w:val="18"/>
        </w:numPr>
        <w:spacing w:before="0"/>
        <w:ind w:left="1181" w:hanging="634"/>
        <w:rPr>
          <w:rFonts w:cs="Times New Roman"/>
          <w:noProof/>
          <w:lang w:val="fr-CA"/>
        </w:rPr>
      </w:pPr>
      <w:r w:rsidRPr="0054234B">
        <w:rPr>
          <w:rFonts w:cs="Times New Roman"/>
          <w:noProof/>
          <w:lang w:val="fr-CA"/>
        </w:rPr>
        <w:t>L’élément de preuve est</w:t>
      </w:r>
      <w:r w:rsidRPr="0054234B">
        <w:rPr>
          <w:rFonts w:cs="Times New Roman"/>
          <w:noProof/>
          <w:lang w:val="fr-CA"/>
        </w:rPr>
        <w:noBreakHyphen/>
        <w:t>il visé par une règle d’exclusion?</w:t>
      </w:r>
    </w:p>
    <w:p w14:paraId="024BC5C0" w14:textId="77777777" w:rsidR="008B6D43" w:rsidRPr="0054234B" w:rsidRDefault="008B6D43" w:rsidP="008B6D43">
      <w:pPr>
        <w:pStyle w:val="ParaNoNdepar-AltN"/>
        <w:widowControl w:val="0"/>
        <w:tabs>
          <w:tab w:val="clear" w:pos="1166"/>
          <w:tab w:val="num" w:pos="1152"/>
        </w:tabs>
        <w:spacing w:before="0"/>
        <w:rPr>
          <w:rFonts w:cs="Times New Roman"/>
          <w:noProof/>
          <w:lang w:val="fr-CA"/>
        </w:rPr>
      </w:pPr>
      <w:r w:rsidRPr="0054234B">
        <w:rPr>
          <w:rFonts w:cs="Times New Roman"/>
          <w:noProof/>
          <w:lang w:val="fr-CA"/>
        </w:rPr>
        <w:t>Un élément de preuve pertinent est habituellement admissible, sous réserve de diverses règles d’exclusion. La preuve par ouï</w:t>
      </w:r>
      <w:r w:rsidRPr="0054234B">
        <w:rPr>
          <w:rFonts w:cs="Times New Roman"/>
          <w:noProof/>
          <w:lang w:val="fr-CA"/>
        </w:rPr>
        <w:noBreakHyphen/>
        <w:t>dire, le type de preuve en cause dans le présent pourvoi, est visée par une règle d’exclusion et par diverses exceptions.</w:t>
      </w:r>
    </w:p>
    <w:p w14:paraId="2FEDF82B"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preuve par ouï</w:t>
      </w:r>
      <w:r w:rsidRPr="0054234B">
        <w:rPr>
          <w:rFonts w:cs="Times New Roman"/>
          <w:noProof/>
          <w:lang w:val="fr-CA"/>
        </w:rPr>
        <w:noBreakHyphen/>
        <w:t xml:space="preserve">dire comporte trois éléments : (1) une déclaration (ou une action) faite extrajudiciairement par un déclarant, (2) </w:t>
      </w:r>
      <w:r w:rsidRPr="0054234B">
        <w:rPr>
          <w:rFonts w:cs="Times New Roman"/>
          <w:lang w:val="fr-CA"/>
        </w:rPr>
        <w:t>qu’une partie cherche à présenter en cour pour établir la véracité de son contenu, (3) sans possibilité pour l’autre partie de contre</w:t>
      </w:r>
      <w:r w:rsidRPr="0054234B">
        <w:rPr>
          <w:rFonts w:cs="Times New Roman"/>
          <w:lang w:val="fr-CA"/>
        </w:rPr>
        <w:noBreakHyphen/>
        <w:t xml:space="preserve">interroger de façon contemporaine le déclarant </w:t>
      </w:r>
      <w:r w:rsidRPr="0054234B">
        <w:rPr>
          <w:rFonts w:cs="Times New Roman"/>
          <w:noProof/>
          <w:lang w:val="fr-CA"/>
        </w:rPr>
        <w:t>(</w:t>
      </w:r>
      <w:r w:rsidRPr="0054234B">
        <w:rPr>
          <w:rFonts w:cs="Times New Roman"/>
          <w:i/>
          <w:noProof/>
          <w:lang w:val="fr-CA"/>
        </w:rPr>
        <w:t>Khelawon</w:t>
      </w:r>
      <w:r w:rsidRPr="0054234B">
        <w:rPr>
          <w:rFonts w:cs="Times New Roman"/>
          <w:noProof/>
          <w:lang w:val="fr-CA"/>
        </w:rPr>
        <w:t xml:space="preserve">, par. 35; </w:t>
      </w:r>
      <w:r w:rsidRPr="0054234B">
        <w:rPr>
          <w:rFonts w:cs="Times New Roman"/>
          <w:i/>
          <w:noProof/>
          <w:lang w:val="fr-CA"/>
        </w:rPr>
        <w:t>Evans</w:t>
      </w:r>
      <w:r w:rsidRPr="0054234B">
        <w:rPr>
          <w:rFonts w:cs="Times New Roman"/>
          <w:noProof/>
          <w:lang w:val="fr-CA"/>
        </w:rPr>
        <w:t>, p. 661</w:t>
      </w:r>
      <w:r w:rsidRPr="0054234B">
        <w:rPr>
          <w:rFonts w:cs="Times New Roman"/>
          <w:noProof/>
          <w:lang w:val="fr-CA"/>
        </w:rPr>
        <w:noBreakHyphen/>
        <w:t xml:space="preserve">662; voir aussi </w:t>
      </w:r>
      <w:r w:rsidRPr="0054234B">
        <w:rPr>
          <w:rFonts w:cs="Times New Roman"/>
          <w:i/>
          <w:noProof/>
          <w:lang w:val="fr-CA"/>
        </w:rPr>
        <w:t>R. c. Smith</w:t>
      </w:r>
      <w:r w:rsidRPr="0054234B">
        <w:rPr>
          <w:rFonts w:cs="Times New Roman"/>
          <w:noProof/>
          <w:lang w:val="fr-CA"/>
        </w:rPr>
        <w:t xml:space="preserve">, [1992] 2 R.C.S. 915, </w:t>
      </w:r>
      <w:r w:rsidRPr="0054234B">
        <w:rPr>
          <w:rFonts w:cs="Times New Roman"/>
          <w:lang w:val="fr-CA"/>
        </w:rPr>
        <w:t>p. 924</w:t>
      </w:r>
      <w:r w:rsidRPr="0054234B">
        <w:rPr>
          <w:rFonts w:cs="Times New Roman"/>
          <w:noProof/>
          <w:lang w:val="fr-CA"/>
        </w:rPr>
        <w:t>).</w:t>
      </w:r>
    </w:p>
    <w:p w14:paraId="575663E9"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szCs w:val="24"/>
          <w:lang w:val="fr-CA"/>
        </w:rPr>
        <w:t>Pendant longtemps, la common law écartait la preuve par ouï</w:t>
      </w:r>
      <w:r w:rsidRPr="0054234B">
        <w:rPr>
          <w:rFonts w:cs="Times New Roman"/>
          <w:noProof/>
          <w:szCs w:val="24"/>
          <w:lang w:val="fr-CA"/>
        </w:rPr>
        <w:noBreakHyphen/>
        <w:t>dire (</w:t>
      </w:r>
      <w:r w:rsidRPr="0054234B">
        <w:rPr>
          <w:rFonts w:cs="Times New Roman"/>
          <w:i/>
          <w:noProof/>
          <w:szCs w:val="24"/>
          <w:lang w:val="fr-CA"/>
        </w:rPr>
        <w:t>Smith</w:t>
      </w:r>
      <w:r w:rsidRPr="0054234B">
        <w:rPr>
          <w:rFonts w:cs="Times New Roman"/>
          <w:noProof/>
          <w:szCs w:val="24"/>
          <w:lang w:val="fr-CA"/>
        </w:rPr>
        <w:t>, p. 924</w:t>
      </w:r>
      <w:r w:rsidRPr="0054234B">
        <w:rPr>
          <w:rFonts w:cs="Times New Roman"/>
          <w:noProof/>
          <w:szCs w:val="24"/>
          <w:lang w:val="fr-CA"/>
        </w:rPr>
        <w:noBreakHyphen/>
        <w:t xml:space="preserve">925; </w:t>
      </w:r>
      <w:r w:rsidRPr="0054234B">
        <w:rPr>
          <w:rFonts w:cs="Times New Roman"/>
          <w:i/>
          <w:noProof/>
          <w:szCs w:val="24"/>
          <w:lang w:val="fr-CA"/>
        </w:rPr>
        <w:t>R. c. Starr</w:t>
      </w:r>
      <w:r w:rsidRPr="0054234B">
        <w:rPr>
          <w:rFonts w:cs="Times New Roman"/>
          <w:noProof/>
          <w:szCs w:val="24"/>
          <w:lang w:val="fr-CA"/>
        </w:rPr>
        <w:t xml:space="preserve">, 2000 CSC 40, [2000] 2 R.C.S. 144, par. 153; </w:t>
      </w:r>
      <w:r w:rsidRPr="0054234B">
        <w:rPr>
          <w:rFonts w:cs="Times New Roman"/>
          <w:i/>
          <w:noProof/>
          <w:szCs w:val="24"/>
          <w:lang w:val="fr-CA"/>
        </w:rPr>
        <w:t>R. c. Mapara</w:t>
      </w:r>
      <w:r w:rsidRPr="0054234B">
        <w:rPr>
          <w:rFonts w:cs="Times New Roman"/>
          <w:noProof/>
          <w:szCs w:val="24"/>
          <w:lang w:val="fr-CA"/>
        </w:rPr>
        <w:t>, 2005 CSC 23, [2005] 1 R.C.S. 358, par. 13). Les tribunaux basaient cette exclusion sur deux préoccupations principales. Premièrement, la preuve par ouï</w:t>
      </w:r>
      <w:r w:rsidRPr="0054234B">
        <w:rPr>
          <w:rFonts w:cs="Times New Roman"/>
          <w:noProof/>
          <w:szCs w:val="24"/>
          <w:lang w:val="fr-CA"/>
        </w:rPr>
        <w:noBreakHyphen/>
        <w:t>dire peut ne pas être fiable, et les parties n’ont pas la possibilité de v</w:t>
      </w:r>
      <w:proofErr w:type="spellStart"/>
      <w:r w:rsidRPr="0054234B">
        <w:rPr>
          <w:rFonts w:cs="Times New Roman"/>
          <w:szCs w:val="24"/>
          <w:lang w:val="fr-CA"/>
        </w:rPr>
        <w:t>érifier</w:t>
      </w:r>
      <w:proofErr w:type="spellEnd"/>
      <w:r w:rsidRPr="0054234B">
        <w:rPr>
          <w:rFonts w:cs="Times New Roman"/>
          <w:szCs w:val="24"/>
          <w:lang w:val="fr-CA"/>
        </w:rPr>
        <w:t xml:space="preserve"> sa fiabilité par voie de contre</w:t>
      </w:r>
      <w:r w:rsidRPr="0054234B">
        <w:rPr>
          <w:rFonts w:cs="Times New Roman"/>
          <w:szCs w:val="24"/>
          <w:lang w:val="fr-CA"/>
        </w:rPr>
        <w:noBreakHyphen/>
        <w:t xml:space="preserve">interrogatoire </w:t>
      </w:r>
      <w:r w:rsidRPr="0054234B">
        <w:rPr>
          <w:rFonts w:cs="Times New Roman"/>
          <w:noProof/>
          <w:szCs w:val="24"/>
          <w:lang w:val="fr-CA"/>
        </w:rPr>
        <w:t>(</w:t>
      </w:r>
      <w:r w:rsidRPr="0054234B">
        <w:rPr>
          <w:rFonts w:cs="Times New Roman"/>
          <w:i/>
          <w:noProof/>
          <w:szCs w:val="24"/>
          <w:lang w:val="fr-CA"/>
        </w:rPr>
        <w:t>Khelawon</w:t>
      </w:r>
      <w:r w:rsidRPr="0054234B">
        <w:rPr>
          <w:rFonts w:cs="Times New Roman"/>
          <w:noProof/>
          <w:szCs w:val="24"/>
          <w:lang w:val="fr-CA"/>
        </w:rPr>
        <w:t>, par. 2;</w:t>
      </w:r>
      <w:r w:rsidRPr="0054234B">
        <w:rPr>
          <w:rFonts w:cs="Times New Roman"/>
          <w:i/>
          <w:noProof/>
          <w:szCs w:val="24"/>
          <w:lang w:val="fr-CA"/>
        </w:rPr>
        <w:t xml:space="preserve"> Mapara</w:t>
      </w:r>
      <w:r w:rsidRPr="0054234B">
        <w:rPr>
          <w:rFonts w:cs="Times New Roman"/>
          <w:noProof/>
          <w:szCs w:val="24"/>
          <w:lang w:val="fr-CA"/>
        </w:rPr>
        <w:t xml:space="preserve">, par. 14). Deuxièmement, une preuve directe est préférable et, par conséquent, il est possible que </w:t>
      </w:r>
      <w:r w:rsidRPr="0054234B">
        <w:rPr>
          <w:rFonts w:cs="Times New Roman"/>
          <w:noProof/>
          <w:lang w:val="fr-CA"/>
        </w:rPr>
        <w:t>la preuve par ouï</w:t>
      </w:r>
      <w:r w:rsidRPr="0054234B">
        <w:rPr>
          <w:rFonts w:cs="Times New Roman"/>
          <w:noProof/>
          <w:lang w:val="fr-CA"/>
        </w:rPr>
        <w:noBreakHyphen/>
        <w:t>dire ne soit pas la meilleure preuve disponible (</w:t>
      </w:r>
      <w:r w:rsidRPr="0054234B">
        <w:rPr>
          <w:rFonts w:cs="Times New Roman"/>
          <w:i/>
          <w:lang w:val="fr-CA"/>
        </w:rPr>
        <w:t>Mapara</w:t>
      </w:r>
      <w:r w:rsidRPr="0054234B">
        <w:rPr>
          <w:rFonts w:cs="Times New Roman"/>
          <w:lang w:val="fr-CA"/>
        </w:rPr>
        <w:t>, par. 14</w:t>
      </w:r>
      <w:r w:rsidRPr="0054234B">
        <w:rPr>
          <w:rFonts w:cs="Times New Roman"/>
          <w:noProof/>
          <w:lang w:val="fr-CA"/>
        </w:rPr>
        <w:t>). La preuve par ouï</w:t>
      </w:r>
      <w:r w:rsidRPr="0054234B">
        <w:rPr>
          <w:rFonts w:cs="Times New Roman"/>
          <w:noProof/>
          <w:lang w:val="fr-CA"/>
        </w:rPr>
        <w:noBreakHyphen/>
        <w:t>dire était donc, en règle générale, écartée pour prévenir les conclusions de fait inexactes.</w:t>
      </w:r>
    </w:p>
    <w:p w14:paraId="2843CDC5"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Toutefois, l’exclusion de la preuve par ouï</w:t>
      </w:r>
      <w:r w:rsidRPr="0054234B">
        <w:rPr>
          <w:rFonts w:cs="Times New Roman"/>
          <w:noProof/>
          <w:lang w:val="fr-CA"/>
        </w:rPr>
        <w:noBreakHyphen/>
        <w:t>dire dans certaines circonstances avait pour effet d’entraver la constatation exacte des faits plutôt que de l’aider (</w:t>
      </w:r>
      <w:r w:rsidRPr="0054234B">
        <w:rPr>
          <w:rFonts w:cs="Times New Roman"/>
          <w:i/>
          <w:noProof/>
          <w:lang w:val="fr-CA"/>
        </w:rPr>
        <w:t>Khelawon</w:t>
      </w:r>
      <w:r w:rsidRPr="0054234B">
        <w:rPr>
          <w:rFonts w:cs="Times New Roman"/>
          <w:noProof/>
          <w:lang w:val="fr-CA"/>
        </w:rPr>
        <w:t xml:space="preserve">, par. 2; </w:t>
      </w:r>
      <w:r w:rsidRPr="0054234B">
        <w:rPr>
          <w:rFonts w:cs="Times New Roman"/>
          <w:i/>
          <w:noProof/>
          <w:lang w:val="fr-CA"/>
        </w:rPr>
        <w:t>Mapara</w:t>
      </w:r>
      <w:r w:rsidRPr="0054234B">
        <w:rPr>
          <w:rFonts w:cs="Times New Roman"/>
          <w:noProof/>
          <w:lang w:val="fr-CA"/>
        </w:rPr>
        <w:t>, par. 14). Avec le temps, les tribunaux ont créé des exceptions à l’exclusion générale du ouï</w:t>
      </w:r>
      <w:r w:rsidRPr="0054234B">
        <w:rPr>
          <w:rFonts w:cs="Times New Roman"/>
          <w:noProof/>
          <w:lang w:val="fr-CA"/>
        </w:rPr>
        <w:noBreakHyphen/>
        <w:t>dire (</w:t>
      </w:r>
      <w:r w:rsidRPr="0054234B">
        <w:rPr>
          <w:rFonts w:cs="Times New Roman"/>
          <w:i/>
          <w:noProof/>
          <w:lang w:val="fr-CA"/>
        </w:rPr>
        <w:t>Mapara</w:t>
      </w:r>
      <w:r w:rsidRPr="0054234B">
        <w:rPr>
          <w:rFonts w:cs="Times New Roman"/>
          <w:noProof/>
          <w:lang w:val="fr-CA"/>
        </w:rPr>
        <w:t>, par. 14). Souvent qualifiées de compartiments, ces exceptions ont été élaborées dans des cas où les circonstances de la preuve par ouï</w:t>
      </w:r>
      <w:r w:rsidRPr="0054234B">
        <w:rPr>
          <w:rFonts w:cs="Times New Roman"/>
          <w:noProof/>
          <w:lang w:val="fr-CA"/>
        </w:rPr>
        <w:noBreakHyphen/>
        <w:t>dire atténuaient les préoccupations relatives à sa fiabilité ou dans des cas où la preuve par ouï</w:t>
      </w:r>
      <w:r w:rsidRPr="0054234B">
        <w:rPr>
          <w:rFonts w:cs="Times New Roman"/>
          <w:noProof/>
          <w:lang w:val="fr-CA"/>
        </w:rPr>
        <w:noBreakHyphen/>
        <w:t>dire était la meilleure disponible. Ces exceptions sont « devenue[s] rigide[s] », et le formalisme foisonnait (</w:t>
      </w:r>
      <w:r w:rsidRPr="0054234B">
        <w:rPr>
          <w:rFonts w:cs="Times New Roman"/>
          <w:i/>
          <w:noProof/>
          <w:lang w:val="fr-CA"/>
        </w:rPr>
        <w:t>Mapara</w:t>
      </w:r>
      <w:r w:rsidRPr="0054234B">
        <w:rPr>
          <w:rFonts w:cs="Times New Roman"/>
          <w:noProof/>
          <w:lang w:val="fr-CA"/>
        </w:rPr>
        <w:t>, par. 14; Paciocco, Paciocco et Stuesser, p. 151). Le droit relatif au ouï</w:t>
      </w:r>
      <w:r w:rsidRPr="0054234B">
        <w:rPr>
          <w:rFonts w:cs="Times New Roman"/>
          <w:noProof/>
          <w:lang w:val="fr-CA"/>
        </w:rPr>
        <w:noBreakHyphen/>
        <w:t>dire est devenu un ensemble complexe de catégories, chacune définie par des règles étroites, donnant parfois lieu à des résultats arbitraires et nuisant à la constatation exacte des faits.</w:t>
      </w:r>
    </w:p>
    <w:p w14:paraId="4C39B62A"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En réponse, notre Cour a élaboré une approche raisonnée </w:t>
      </w:r>
      <w:proofErr w:type="gramStart"/>
      <w:r w:rsidRPr="0054234B">
        <w:rPr>
          <w:rFonts w:cs="Times New Roman"/>
          <w:noProof/>
          <w:lang w:val="fr-CA"/>
        </w:rPr>
        <w:t xml:space="preserve">à l’égard du </w:t>
      </w:r>
      <w:r w:rsidRPr="0054234B">
        <w:rPr>
          <w:rFonts w:cs="Times New Roman"/>
          <w:lang w:val="fr-CA"/>
        </w:rPr>
        <w:t>ouï</w:t>
      </w:r>
      <w:r w:rsidRPr="0054234B">
        <w:rPr>
          <w:rFonts w:cs="Times New Roman"/>
          <w:lang w:val="fr-CA"/>
        </w:rPr>
        <w:noBreakHyphen/>
        <w:t>dire</w:t>
      </w:r>
      <w:proofErr w:type="gramEnd"/>
      <w:r w:rsidRPr="0054234B">
        <w:rPr>
          <w:rFonts w:cs="Times New Roman"/>
          <w:lang w:val="fr-CA"/>
        </w:rPr>
        <w:t xml:space="preserve"> dans l’arrêt </w:t>
      </w:r>
      <w:r w:rsidRPr="0054234B">
        <w:rPr>
          <w:rFonts w:cs="Times New Roman"/>
          <w:i/>
          <w:noProof/>
          <w:lang w:val="fr-CA"/>
        </w:rPr>
        <w:t>R. c. Khan</w:t>
      </w:r>
      <w:r w:rsidRPr="0054234B">
        <w:rPr>
          <w:rFonts w:cs="Times New Roman"/>
          <w:noProof/>
          <w:lang w:val="fr-CA"/>
        </w:rPr>
        <w:t>, [1990] 2 R.C.S. 531 (</w:t>
      </w:r>
      <w:r w:rsidRPr="0054234B">
        <w:rPr>
          <w:rFonts w:cs="Times New Roman"/>
          <w:i/>
          <w:noProof/>
          <w:lang w:val="fr-CA"/>
        </w:rPr>
        <w:t>Mapara</w:t>
      </w:r>
      <w:r w:rsidRPr="0054234B">
        <w:rPr>
          <w:rFonts w:cs="Times New Roman"/>
          <w:noProof/>
          <w:lang w:val="fr-CA"/>
        </w:rPr>
        <w:t>, par. 12). Cette approche visait à mettre un terme à l’établissement d’exceptions spécifiques à la règle d’exclusion du ouï</w:t>
      </w:r>
      <w:r w:rsidRPr="0054234B">
        <w:rPr>
          <w:rFonts w:cs="Times New Roman"/>
          <w:noProof/>
          <w:lang w:val="fr-CA"/>
        </w:rPr>
        <w:noBreakHyphen/>
        <w:t>dire fondées sur des circonstances particulières — des compartiments — et à « </w:t>
      </w:r>
      <w:r w:rsidRPr="0054234B">
        <w:rPr>
          <w:rFonts w:cs="Times New Roman"/>
          <w:lang w:val="fr-CA"/>
        </w:rPr>
        <w:t>conférer une certaine souplesse à la règle du ouï</w:t>
      </w:r>
      <w:r w:rsidRPr="0054234B">
        <w:rPr>
          <w:rFonts w:cs="Times New Roman"/>
          <w:lang w:val="fr-CA"/>
        </w:rPr>
        <w:noBreakHyphen/>
        <w:t>dire » pour éviter les solutions arbitraires</w:t>
      </w:r>
      <w:r w:rsidRPr="0054234B">
        <w:rPr>
          <w:rFonts w:cs="Times New Roman"/>
          <w:noProof/>
          <w:lang w:val="fr-CA"/>
        </w:rPr>
        <w:t xml:space="preserve"> (</w:t>
      </w:r>
      <w:r w:rsidRPr="0054234B">
        <w:rPr>
          <w:rFonts w:cs="Times New Roman"/>
          <w:i/>
          <w:noProof/>
          <w:lang w:val="fr-CA"/>
        </w:rPr>
        <w:t>Mapara</w:t>
      </w:r>
      <w:r w:rsidRPr="0054234B">
        <w:rPr>
          <w:rFonts w:cs="Times New Roman"/>
          <w:noProof/>
          <w:lang w:val="fr-CA"/>
        </w:rPr>
        <w:t xml:space="preserve">, par. 15). Suivant cette approche raisonnée, la preuve par </w:t>
      </w:r>
      <w:r w:rsidRPr="0054234B">
        <w:rPr>
          <w:rFonts w:cs="Times New Roman"/>
          <w:lang w:val="fr-CA"/>
        </w:rPr>
        <w:t>ouï</w:t>
      </w:r>
      <w:r w:rsidRPr="0054234B">
        <w:rPr>
          <w:rFonts w:cs="Times New Roman"/>
          <w:lang w:val="fr-CA"/>
        </w:rPr>
        <w:noBreakHyphen/>
        <w:t>dire</w:t>
      </w:r>
      <w:r w:rsidRPr="0054234B">
        <w:rPr>
          <w:rFonts w:cs="Times New Roman"/>
          <w:noProof/>
          <w:lang w:val="fr-CA"/>
        </w:rPr>
        <w:t xml:space="preserve"> peut être admise sur la base de deux facteurs : la nécessité et la fiabilité (</w:t>
      </w:r>
      <w:r w:rsidRPr="0054234B">
        <w:rPr>
          <w:rFonts w:cs="Times New Roman"/>
          <w:i/>
          <w:noProof/>
          <w:lang w:val="fr-CA"/>
        </w:rPr>
        <w:t>Khan</w:t>
      </w:r>
      <w:r w:rsidRPr="0054234B">
        <w:rPr>
          <w:rFonts w:cs="Times New Roman"/>
          <w:noProof/>
          <w:lang w:val="fr-CA"/>
        </w:rPr>
        <w:t>, p. 540</w:t>
      </w:r>
      <w:r w:rsidRPr="0054234B">
        <w:rPr>
          <w:rFonts w:cs="Times New Roman"/>
          <w:noProof/>
          <w:lang w:val="fr-CA"/>
        </w:rPr>
        <w:noBreakHyphen/>
        <w:t xml:space="preserve">542; </w:t>
      </w:r>
      <w:r w:rsidRPr="0054234B">
        <w:rPr>
          <w:rFonts w:cs="Times New Roman"/>
          <w:i/>
          <w:noProof/>
          <w:lang w:val="fr-CA"/>
        </w:rPr>
        <w:t>Starr</w:t>
      </w:r>
      <w:r w:rsidRPr="0054234B">
        <w:rPr>
          <w:rFonts w:cs="Times New Roman"/>
          <w:noProof/>
          <w:lang w:val="fr-CA"/>
        </w:rPr>
        <w:t>, par. 153; Paciocco, Paciocco et Stuesser, p. 152</w:t>
      </w:r>
      <w:r w:rsidRPr="0054234B">
        <w:rPr>
          <w:rFonts w:cs="Times New Roman"/>
          <w:noProof/>
          <w:lang w:val="fr-CA"/>
        </w:rPr>
        <w:noBreakHyphen/>
        <w:t>154; Vauclair et Desjardins, p. </w:t>
      </w:r>
      <w:r w:rsidRPr="0054234B">
        <w:rPr>
          <w:rFonts w:cs="Times New Roman"/>
          <w:lang w:val="fr-CA"/>
        </w:rPr>
        <w:t>1078</w:t>
      </w:r>
      <w:r w:rsidRPr="0054234B">
        <w:rPr>
          <w:rFonts w:cs="Times New Roman"/>
          <w:lang w:val="fr-CA"/>
        </w:rPr>
        <w:noBreakHyphen/>
        <w:t>1089</w:t>
      </w:r>
      <w:r w:rsidRPr="0054234B">
        <w:rPr>
          <w:rFonts w:cs="Times New Roman"/>
          <w:noProof/>
          <w:lang w:val="fr-CA"/>
        </w:rPr>
        <w:t>).</w:t>
      </w:r>
    </w:p>
    <w:p w14:paraId="5D0E3A8E"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Dans l’arrêt </w:t>
      </w:r>
      <w:r w:rsidRPr="0054234B">
        <w:rPr>
          <w:rFonts w:cs="Times New Roman"/>
          <w:i/>
          <w:noProof/>
          <w:lang w:val="fr-CA"/>
        </w:rPr>
        <w:t>Mapara</w:t>
      </w:r>
      <w:r w:rsidRPr="0054234B">
        <w:rPr>
          <w:rFonts w:cs="Times New Roman"/>
          <w:noProof/>
          <w:lang w:val="fr-CA"/>
        </w:rPr>
        <w:t xml:space="preserve">, la Cour a indiqué que les </w:t>
      </w:r>
      <w:r w:rsidRPr="0054234B">
        <w:rPr>
          <w:rFonts w:cs="Times New Roman"/>
          <w:lang w:val="fr-CA"/>
        </w:rPr>
        <w:t>exceptions traditionnelles continuent présomptivement de s’appliquer</w:t>
      </w:r>
      <w:r w:rsidRPr="0054234B">
        <w:rPr>
          <w:rFonts w:cs="Times New Roman"/>
          <w:noProof/>
          <w:lang w:val="fr-CA"/>
        </w:rPr>
        <w:t xml:space="preserve"> (par. 15, indication confirmée dans les arrêts </w:t>
      </w:r>
      <w:r w:rsidRPr="0054234B">
        <w:rPr>
          <w:rFonts w:cs="Times New Roman"/>
          <w:i/>
          <w:noProof/>
          <w:lang w:val="fr-CA"/>
        </w:rPr>
        <w:t>Khelawon</w:t>
      </w:r>
      <w:r w:rsidRPr="0054234B">
        <w:rPr>
          <w:rFonts w:cs="Times New Roman"/>
          <w:noProof/>
          <w:lang w:val="fr-CA"/>
        </w:rPr>
        <w:t xml:space="preserve">, par. 42; </w:t>
      </w:r>
      <w:r w:rsidRPr="0054234B">
        <w:rPr>
          <w:rFonts w:cs="Times New Roman"/>
          <w:i/>
          <w:noProof/>
          <w:lang w:val="fr-CA"/>
        </w:rPr>
        <w:t>R. c. Baldree</w:t>
      </w:r>
      <w:r w:rsidRPr="0054234B">
        <w:rPr>
          <w:rFonts w:cs="Times New Roman"/>
          <w:noProof/>
          <w:lang w:val="fr-CA"/>
        </w:rPr>
        <w:t xml:space="preserve">, 2013 CSC 35, [2013] 2 R.C.S. 520, par. 34). Toutefois, un plaideur peut </w:t>
      </w:r>
      <w:r w:rsidRPr="0054234B">
        <w:rPr>
          <w:rFonts w:cs="Times New Roman"/>
          <w:lang w:val="fr-CA"/>
        </w:rPr>
        <w:t xml:space="preserve">contester une exception au motif que l’élément de preuve concerné « ne présenterait pas les indices de nécessité et de fiabilité requis » </w:t>
      </w:r>
      <w:r w:rsidRPr="0054234B">
        <w:rPr>
          <w:rFonts w:cs="Times New Roman"/>
          <w:noProof/>
          <w:lang w:val="fr-CA"/>
        </w:rPr>
        <w:t>(</w:t>
      </w:r>
      <w:r w:rsidRPr="0054234B">
        <w:rPr>
          <w:rFonts w:cs="Times New Roman"/>
          <w:i/>
          <w:noProof/>
          <w:lang w:val="fr-CA"/>
        </w:rPr>
        <w:t>Mapara</w:t>
      </w:r>
      <w:r w:rsidRPr="0054234B">
        <w:rPr>
          <w:rFonts w:cs="Times New Roman"/>
          <w:noProof/>
          <w:lang w:val="fr-CA"/>
        </w:rPr>
        <w:t>, par. 15).</w:t>
      </w:r>
    </w:p>
    <w:p w14:paraId="05E93680"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L’exception en cause dans la présente affaire est celle fondée sur des aveux émanant d’une partie. De tels aveux incluent tout [</w:t>
      </w:r>
      <w:r w:rsidRPr="0054234B">
        <w:rPr>
          <w:rFonts w:cs="Times New Roman"/>
          <w:smallCaps/>
          <w:noProof/>
          <w:lang w:val="fr-CA"/>
        </w:rPr>
        <w:t>traduction</w:t>
      </w:r>
      <w:r w:rsidRPr="0054234B">
        <w:rPr>
          <w:rFonts w:cs="Times New Roman"/>
          <w:noProof/>
          <w:lang w:val="fr-CA"/>
        </w:rPr>
        <w:t xml:space="preserve">] « act[e] ou propos d’une partie présent[é] en preuve </w:t>
      </w:r>
      <w:r w:rsidRPr="0054234B">
        <w:rPr>
          <w:rFonts w:cs="Times New Roman"/>
          <w:iCs/>
          <w:noProof/>
          <w:u w:val="single"/>
          <w:lang w:val="fr-CA"/>
        </w:rPr>
        <w:t>contre cette partie</w:t>
      </w:r>
      <w:r w:rsidRPr="0054234B">
        <w:rPr>
          <w:rFonts w:cs="Times New Roman"/>
          <w:noProof/>
          <w:lang w:val="fr-CA"/>
        </w:rPr>
        <w:t xml:space="preserve"> » (Paciocco, Paciocco et Stuesser, p. 191 (je souligne)). Bien que la question de savoir si les aveux émanant d’une partie constituent ou non </w:t>
      </w:r>
      <w:r w:rsidRPr="0054234B">
        <w:rPr>
          <w:rFonts w:cs="Times New Roman"/>
          <w:lang w:val="fr-CA"/>
        </w:rPr>
        <w:t>du ouï</w:t>
      </w:r>
      <w:r w:rsidRPr="0054234B">
        <w:rPr>
          <w:rFonts w:cs="Times New Roman"/>
          <w:lang w:val="fr-CA"/>
        </w:rPr>
        <w:noBreakHyphen/>
        <w:t>dire</w:t>
      </w:r>
      <w:r w:rsidRPr="0054234B">
        <w:rPr>
          <w:rFonts w:cs="Times New Roman"/>
          <w:noProof/>
          <w:lang w:val="fr-CA"/>
        </w:rPr>
        <w:t xml:space="preserve"> soit l’objet de débats, je souscris à l’opinion dominante énoncée par la juge Charron : « . . . </w:t>
      </w:r>
      <w:r w:rsidRPr="0054234B">
        <w:rPr>
          <w:rFonts w:cs="Times New Roman"/>
          <w:lang w:val="fr-CA"/>
        </w:rPr>
        <w:t>les aveux d’un accusé relèvent d’une exception bien connue à la règle du ouï</w:t>
      </w:r>
      <w:r w:rsidRPr="0054234B">
        <w:rPr>
          <w:rFonts w:cs="Times New Roman"/>
          <w:lang w:val="fr-CA"/>
        </w:rPr>
        <w:noBreakHyphen/>
        <w:t>dire »</w:t>
      </w:r>
      <w:r w:rsidRPr="0054234B">
        <w:rPr>
          <w:rFonts w:cs="Times New Roman"/>
          <w:noProof/>
          <w:lang w:val="fr-CA"/>
        </w:rPr>
        <w:t xml:space="preserve"> (</w:t>
      </w:r>
      <w:r w:rsidRPr="0054234B">
        <w:rPr>
          <w:rFonts w:cs="Times New Roman"/>
          <w:i/>
          <w:noProof/>
          <w:lang w:val="fr-CA"/>
        </w:rPr>
        <w:t>R. c. Couture</w:t>
      </w:r>
      <w:r w:rsidRPr="0054234B">
        <w:rPr>
          <w:rFonts w:cs="Times New Roman"/>
          <w:noProof/>
          <w:lang w:val="fr-CA"/>
        </w:rPr>
        <w:t>, 2007 CSC 28, [2007] 2 R.C.S. 517, par. 75; voir aussi Paciocco, Paciocco et Stuesser, p. 192).</w:t>
      </w:r>
    </w:p>
    <w:p w14:paraId="5EDC88F7"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Dans un procès criminel, un aveu émanant d’une partie constitue une preuve à charge que la Couronne présente contre l’accusé. Comme il a été expliqué dans </w:t>
      </w:r>
      <w:r w:rsidRPr="0054234B">
        <w:rPr>
          <w:rFonts w:cs="Times New Roman"/>
          <w:i/>
          <w:noProof/>
          <w:lang w:val="fr-CA"/>
        </w:rPr>
        <w:t>Evans</w:t>
      </w:r>
      <w:r w:rsidRPr="0054234B">
        <w:rPr>
          <w:rFonts w:cs="Times New Roman"/>
          <w:noProof/>
          <w:lang w:val="fr-CA"/>
        </w:rPr>
        <w:t xml:space="preserve">, la </w:t>
      </w:r>
      <w:r w:rsidRPr="0054234B">
        <w:rPr>
          <w:rFonts w:cs="Times New Roman"/>
          <w:lang w:val="fr-CA"/>
        </w:rPr>
        <w:t>common law justifie l’admission en preuve de ce type d’aveux par le fait qu’une partie ne peut « se plaindre de la non</w:t>
      </w:r>
      <w:r w:rsidRPr="0054234B">
        <w:rPr>
          <w:rFonts w:cs="Times New Roman"/>
          <w:lang w:val="fr-CA"/>
        </w:rPr>
        <w:noBreakHyphen/>
        <w:t xml:space="preserve">fiabilité de ses propres déclarations » </w:t>
      </w:r>
      <w:r w:rsidRPr="0054234B">
        <w:rPr>
          <w:rFonts w:cs="Times New Roman"/>
          <w:noProof/>
          <w:lang w:val="fr-CA"/>
        </w:rPr>
        <w:t>(</w:t>
      </w:r>
      <w:r w:rsidRPr="0054234B">
        <w:rPr>
          <w:rFonts w:cs="Times New Roman"/>
          <w:i/>
          <w:noProof/>
          <w:lang w:val="fr-CA"/>
        </w:rPr>
        <w:t>Evans</w:t>
      </w:r>
      <w:r w:rsidRPr="0054234B">
        <w:rPr>
          <w:rFonts w:cs="Times New Roman"/>
          <w:noProof/>
          <w:lang w:val="fr-CA"/>
        </w:rPr>
        <w:t>, p. 664). Contrairement à plusieurs autres exceptions, la justification de l’admission des aveux émanant d’une partie n’est pas liée à des considérations de nécessité ou de fiabilité (Vauclair et Desjardins, p. </w:t>
      </w:r>
      <w:r w:rsidRPr="0054234B">
        <w:rPr>
          <w:rFonts w:cs="Times New Roman"/>
          <w:lang w:val="fr-CA"/>
        </w:rPr>
        <w:t>911</w:t>
      </w:r>
      <w:r w:rsidRPr="0054234B">
        <w:rPr>
          <w:rFonts w:cs="Times New Roman"/>
          <w:noProof/>
          <w:lang w:val="fr-CA"/>
        </w:rPr>
        <w:t>). Il s’agit d’un aspect sur lequel ces aveux dérogent aux règles générales.</w:t>
      </w:r>
    </w:p>
    <w:p w14:paraId="4D7F5BF9"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La juge Charron a confirmé ce point dans l’arrêt </w:t>
      </w:r>
      <w:r w:rsidRPr="0054234B">
        <w:rPr>
          <w:rFonts w:cs="Times New Roman"/>
          <w:i/>
          <w:noProof/>
          <w:lang w:val="fr-CA"/>
        </w:rPr>
        <w:t>Khelawon</w:t>
      </w:r>
      <w:r w:rsidRPr="0054234B">
        <w:rPr>
          <w:rFonts w:cs="Times New Roman"/>
          <w:noProof/>
          <w:lang w:val="fr-CA"/>
        </w:rPr>
        <w:t xml:space="preserve"> : « Certaines exceptions traditionnelles ont une assise différente, tels les aveux de parties [. . .] [L]es critères d’admissibilité ne sont pas établis de la même façon » (par. 65). Voir aussi </w:t>
      </w:r>
      <w:r w:rsidRPr="0054234B">
        <w:rPr>
          <w:rFonts w:cs="Times New Roman"/>
          <w:i/>
          <w:noProof/>
          <w:lang w:val="fr-CA"/>
        </w:rPr>
        <w:t>Hart</w:t>
      </w:r>
      <w:r w:rsidRPr="0054234B">
        <w:rPr>
          <w:rFonts w:cs="Times New Roman"/>
          <w:noProof/>
          <w:lang w:val="fr-CA"/>
        </w:rPr>
        <w:t xml:space="preserve">, par. 63; </w:t>
      </w:r>
      <w:r w:rsidRPr="0054234B">
        <w:rPr>
          <w:rFonts w:cs="Times New Roman"/>
          <w:i/>
          <w:noProof/>
          <w:lang w:val="fr-CA"/>
        </w:rPr>
        <w:t>Couture</w:t>
      </w:r>
      <w:r w:rsidRPr="0054234B">
        <w:rPr>
          <w:rFonts w:cs="Times New Roman"/>
          <w:noProof/>
          <w:lang w:val="fr-CA"/>
        </w:rPr>
        <w:t xml:space="preserve">, par. 75; </w:t>
      </w:r>
      <w:r w:rsidRPr="0054234B">
        <w:rPr>
          <w:rFonts w:cs="Times New Roman"/>
          <w:i/>
          <w:noProof/>
          <w:lang w:val="fr-CA"/>
        </w:rPr>
        <w:t>S.G.T.</w:t>
      </w:r>
      <w:r w:rsidRPr="0054234B">
        <w:rPr>
          <w:rFonts w:cs="Times New Roman"/>
          <w:noProof/>
          <w:lang w:val="fr-CA"/>
        </w:rPr>
        <w:t xml:space="preserve">, par. 20; </w:t>
      </w:r>
      <w:r w:rsidRPr="0054234B">
        <w:rPr>
          <w:rFonts w:cs="Times New Roman"/>
          <w:i/>
          <w:noProof/>
          <w:lang w:val="fr-CA"/>
        </w:rPr>
        <w:t>R. c. Bradshaw</w:t>
      </w:r>
      <w:r w:rsidRPr="0054234B">
        <w:rPr>
          <w:rFonts w:cs="Times New Roman"/>
          <w:noProof/>
          <w:lang w:val="fr-CA"/>
        </w:rPr>
        <w:t>, 2017 CSC 35, [2017] 1 R.C.S. 865, par. 82.</w:t>
      </w:r>
    </w:p>
    <w:p w14:paraId="29F83D0B"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Par conséquent, des aveux émanant d’une partie sont admissibles en preuve sans égard à leur nécessité et à leur fiabilité (</w:t>
      </w:r>
      <w:r w:rsidRPr="0054234B">
        <w:rPr>
          <w:rFonts w:cs="Times New Roman"/>
          <w:i/>
          <w:noProof/>
          <w:lang w:val="fr-CA"/>
        </w:rPr>
        <w:t>R. c. Gordon Gray</w:t>
      </w:r>
      <w:r w:rsidRPr="0054234B">
        <w:rPr>
          <w:rFonts w:cs="Times New Roman"/>
          <w:noProof/>
          <w:lang w:val="fr-CA"/>
        </w:rPr>
        <w:t>, 2021 QCCA 882, par. 27</w:t>
      </w:r>
      <w:r w:rsidRPr="0054234B">
        <w:rPr>
          <w:rFonts w:cs="Times New Roman"/>
          <w:noProof/>
          <w:lang w:val="fr-CA"/>
        </w:rPr>
        <w:noBreakHyphen/>
        <w:t>28 (CanLII);</w:t>
      </w:r>
      <w:r w:rsidRPr="0054234B">
        <w:rPr>
          <w:rFonts w:cs="Times New Roman"/>
          <w:i/>
          <w:noProof/>
          <w:lang w:val="fr-CA"/>
        </w:rPr>
        <w:t xml:space="preserve"> R. c. Foreman</w:t>
      </w:r>
      <w:r w:rsidRPr="0054234B">
        <w:rPr>
          <w:rFonts w:cs="Times New Roman"/>
          <w:noProof/>
          <w:lang w:val="fr-CA"/>
        </w:rPr>
        <w:t xml:space="preserve"> (2002), 169 C.C.C. (3d) 489 (C.A. Ont.), par. 37; </w:t>
      </w:r>
      <w:r w:rsidRPr="0054234B">
        <w:rPr>
          <w:rFonts w:cs="Times New Roman"/>
          <w:i/>
          <w:noProof/>
          <w:lang w:val="fr-CA"/>
        </w:rPr>
        <w:t>R. c. Osmar</w:t>
      </w:r>
      <w:r w:rsidRPr="0054234B">
        <w:rPr>
          <w:rFonts w:cs="Times New Roman"/>
          <w:noProof/>
          <w:lang w:val="fr-CA"/>
        </w:rPr>
        <w:t>, 2007 ONCA 50</w:t>
      </w:r>
      <w:r w:rsidRPr="0054234B">
        <w:rPr>
          <w:rFonts w:cs="Times New Roman"/>
          <w:lang w:val="fr-CA"/>
        </w:rPr>
        <w:t>, 84 O.R. (3d) 321</w:t>
      </w:r>
      <w:r w:rsidRPr="0054234B">
        <w:rPr>
          <w:rFonts w:cs="Times New Roman"/>
          <w:noProof/>
          <w:lang w:val="fr-CA"/>
        </w:rPr>
        <w:t xml:space="preserve">, par. 53; </w:t>
      </w:r>
      <w:r w:rsidRPr="0054234B">
        <w:rPr>
          <w:rFonts w:cs="Times New Roman"/>
          <w:i/>
          <w:lang w:val="fr-CA"/>
        </w:rPr>
        <w:t xml:space="preserve">R. c. </w:t>
      </w:r>
      <w:r w:rsidRPr="0054234B">
        <w:rPr>
          <w:rFonts w:cs="Times New Roman"/>
          <w:i/>
          <w:noProof/>
          <w:lang w:val="fr-CA"/>
        </w:rPr>
        <w:t>Lo</w:t>
      </w:r>
      <w:r w:rsidRPr="0054234B">
        <w:rPr>
          <w:rFonts w:cs="Times New Roman"/>
          <w:noProof/>
          <w:lang w:val="fr-CA"/>
        </w:rPr>
        <w:t xml:space="preserve">, </w:t>
      </w:r>
      <w:r w:rsidRPr="0054234B">
        <w:rPr>
          <w:rFonts w:cs="Times New Roman"/>
          <w:lang w:val="fr-CA"/>
        </w:rPr>
        <w:t xml:space="preserve">2020 ONCA 622, 152 O.R. (3d) 609, </w:t>
      </w:r>
      <w:r w:rsidRPr="0054234B">
        <w:rPr>
          <w:rFonts w:cs="Times New Roman"/>
          <w:noProof/>
          <w:lang w:val="fr-CA"/>
        </w:rPr>
        <w:t xml:space="preserve">par. 81). Ainsi, outre les « rares cas » où les juges conservent leur pouvoir discrétionnaire d’exclure </w:t>
      </w:r>
      <w:r w:rsidRPr="0054234B">
        <w:rPr>
          <w:rFonts w:cs="Times New Roman"/>
          <w:i/>
          <w:noProof/>
          <w:lang w:val="fr-CA"/>
        </w:rPr>
        <w:t xml:space="preserve">toute </w:t>
      </w:r>
      <w:r w:rsidRPr="0054234B">
        <w:rPr>
          <w:rFonts w:cs="Times New Roman"/>
          <w:noProof/>
          <w:lang w:val="fr-CA"/>
        </w:rPr>
        <w:t xml:space="preserve">preuve par </w:t>
      </w:r>
      <w:r w:rsidRPr="0054234B">
        <w:rPr>
          <w:rFonts w:cs="Times New Roman"/>
          <w:lang w:val="fr-CA"/>
        </w:rPr>
        <w:t>ouï</w:t>
      </w:r>
      <w:r w:rsidRPr="0054234B">
        <w:rPr>
          <w:rFonts w:cs="Times New Roman"/>
          <w:lang w:val="fr-CA"/>
        </w:rPr>
        <w:noBreakHyphen/>
        <w:t>dire</w:t>
      </w:r>
      <w:r w:rsidRPr="0054234B">
        <w:rPr>
          <w:rFonts w:cs="Times New Roman"/>
          <w:noProof/>
          <w:lang w:val="fr-CA"/>
        </w:rPr>
        <w:t xml:space="preserve"> au motif qu’elle n’est pas fiable ou nécessaire (</w:t>
      </w:r>
      <w:r w:rsidRPr="0054234B">
        <w:rPr>
          <w:rFonts w:cs="Times New Roman"/>
          <w:i/>
          <w:noProof/>
          <w:lang w:val="fr-CA"/>
        </w:rPr>
        <w:t>Mapara</w:t>
      </w:r>
      <w:r w:rsidRPr="0054234B">
        <w:rPr>
          <w:rFonts w:cs="Times New Roman"/>
          <w:iCs/>
          <w:noProof/>
          <w:lang w:val="fr-CA"/>
        </w:rPr>
        <w:t>,</w:t>
      </w:r>
      <w:r w:rsidRPr="0054234B">
        <w:rPr>
          <w:rFonts w:cs="Times New Roman"/>
          <w:noProof/>
          <w:lang w:val="fr-CA"/>
        </w:rPr>
        <w:t xml:space="preserve"> par. 15), la fiabilité et la nécessité ne sont pas des considérations pertinentes à l’égard de l’admissibilité d’aveux émanant d’une partie.</w:t>
      </w:r>
    </w:p>
    <w:p w14:paraId="334AA3D1"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Je vais ouvrir ici une brève parenthèse pour souligner un point. Il ne faut pas confondre l’exception à la règle d’exclusion du ouï</w:t>
      </w:r>
      <w:r w:rsidRPr="0054234B">
        <w:rPr>
          <w:rFonts w:cs="Times New Roman"/>
          <w:noProof/>
          <w:lang w:val="fr-CA"/>
        </w:rPr>
        <w:noBreakHyphen/>
        <w:t xml:space="preserve">dire touchant les aveux émanant d’une partie avec d’autres exceptions qui présentent certaines similitudes, par exemple l’exception relative aux déclarations faites par une personne qui n’est pas partie à l’instance et qui va à l’encontre de ses intérêts. Voir </w:t>
      </w:r>
      <w:r w:rsidRPr="0054234B">
        <w:rPr>
          <w:rFonts w:cs="Times New Roman"/>
          <w:i/>
          <w:noProof/>
          <w:lang w:val="fr-CA"/>
        </w:rPr>
        <w:t>Lo</w:t>
      </w:r>
      <w:r w:rsidRPr="0054234B">
        <w:rPr>
          <w:rFonts w:cs="Times New Roman"/>
          <w:noProof/>
          <w:lang w:val="fr-CA"/>
        </w:rPr>
        <w:t>, par. 65</w:t>
      </w:r>
      <w:r w:rsidRPr="0054234B">
        <w:rPr>
          <w:rFonts w:cs="Times New Roman"/>
          <w:noProof/>
          <w:lang w:val="fr-CA"/>
        </w:rPr>
        <w:noBreakHyphen/>
        <w:t xml:space="preserve">66; Paciocco, Paciocco et Stuesser, p. 192. Les aveux émanant d’une partie incluent les « actes ou propos d’une partie présentés en preuve </w:t>
      </w:r>
      <w:r w:rsidRPr="0054234B">
        <w:rPr>
          <w:rFonts w:cs="Times New Roman"/>
          <w:iCs/>
          <w:noProof/>
          <w:u w:val="single"/>
          <w:lang w:val="fr-CA"/>
        </w:rPr>
        <w:t>contre cette partie</w:t>
      </w:r>
      <w:r w:rsidRPr="0054234B">
        <w:rPr>
          <w:rFonts w:cs="Times New Roman"/>
          <w:noProof/>
          <w:lang w:val="fr-CA"/>
        </w:rPr>
        <w:t xml:space="preserve"> » (Paciocco, Paciocco et Stuesser, p. 191 (je souligne)). Par contraste, les déclarations contraires à l’intérêt de leur auteur ne sont pas présentées </w:t>
      </w:r>
      <w:r w:rsidRPr="0054234B">
        <w:rPr>
          <w:rFonts w:cs="Times New Roman"/>
          <w:i/>
          <w:noProof/>
          <w:lang w:val="fr-CA"/>
        </w:rPr>
        <w:t>contre</w:t>
      </w:r>
      <w:r w:rsidRPr="0054234B">
        <w:rPr>
          <w:rFonts w:cs="Times New Roman"/>
          <w:noProof/>
          <w:lang w:val="fr-CA"/>
        </w:rPr>
        <w:t xml:space="preserve"> la personne qui les a faites, étant donné que cette personne n’est pas partie à l’instance. Les aveux émanant d’une partie et les déclarations contraires à l’intérêt de leur auteur possèdent des fondements qui leur sont propres. Les tribunaux ont commencé à autoriser l’admission de déclarations contraires à l’intérêt de leur auteur en partant du principe que [</w:t>
      </w:r>
      <w:r w:rsidRPr="0054234B">
        <w:rPr>
          <w:rFonts w:cs="Times New Roman"/>
          <w:smallCaps/>
          <w:noProof/>
          <w:lang w:val="fr-CA"/>
        </w:rPr>
        <w:t>traduction</w:t>
      </w:r>
      <w:r w:rsidRPr="0054234B">
        <w:rPr>
          <w:rFonts w:cs="Times New Roman"/>
          <w:noProof/>
          <w:lang w:val="fr-CA"/>
        </w:rPr>
        <w:t xml:space="preserve">] « les gens ne font pas volontiers des déclarations dans lesquelles ils admettent des faits qui sont contraires à leur intérêt, à moins que ces déclarations ne soient véridiques » (Paciocco, Paciocco et Stuesser, p. 208). Comme je l’ai indiqué plus tôt, les tribunaux admettent en preuve les aveux émanant d’une partie sur la base que </w:t>
      </w:r>
      <w:r w:rsidRPr="0054234B">
        <w:rPr>
          <w:rFonts w:cs="Times New Roman"/>
          <w:lang w:val="fr-CA"/>
        </w:rPr>
        <w:t>« les déclarations antérieures d’une partie peuvent être admises contre la partie qu</w:t>
      </w:r>
      <w:r>
        <w:rPr>
          <w:rFonts w:cs="Times New Roman"/>
          <w:lang w:val="fr-CA"/>
        </w:rPr>
        <w:t>i ne peut se plaindre de la non</w:t>
      </w:r>
      <w:r>
        <w:rPr>
          <w:rFonts w:cs="Times New Roman"/>
          <w:lang w:val="fr-CA"/>
        </w:rPr>
        <w:noBreakHyphen/>
      </w:r>
      <w:r w:rsidRPr="0054234B">
        <w:rPr>
          <w:rFonts w:cs="Times New Roman"/>
          <w:lang w:val="fr-CA"/>
        </w:rPr>
        <w:t xml:space="preserve">fiabilité de ses propres déclarations » </w:t>
      </w:r>
      <w:r w:rsidRPr="0054234B">
        <w:rPr>
          <w:rFonts w:cs="Times New Roman"/>
          <w:noProof/>
          <w:lang w:val="fr-CA"/>
        </w:rPr>
        <w:t>(</w:t>
      </w:r>
      <w:r w:rsidRPr="0054234B">
        <w:rPr>
          <w:rFonts w:cs="Times New Roman"/>
          <w:i/>
          <w:noProof/>
          <w:lang w:val="fr-CA"/>
        </w:rPr>
        <w:t>Evans</w:t>
      </w:r>
      <w:r w:rsidRPr="0054234B">
        <w:rPr>
          <w:rFonts w:cs="Times New Roman"/>
          <w:noProof/>
          <w:lang w:val="fr-CA"/>
        </w:rPr>
        <w:t>, p. 664). Le fait que les déclarations et aveux susmentionnés possèdent des fondements qui leur sont propres se traduit par des conditions préalables d’admission différentes.</w:t>
      </w:r>
    </w:p>
    <w:p w14:paraId="517B5414"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Dans le présent pourvoi, les aveux émanant d’une partie correspondent à des paroles que l’accusé a formulées, que le témoin a entendues et que la Couronne a présentées en preuve pour établir la culpabilité de l’accusé (</w:t>
      </w:r>
      <w:r w:rsidRPr="0054234B">
        <w:rPr>
          <w:rFonts w:cs="Times New Roman"/>
          <w:i/>
          <w:noProof/>
          <w:lang w:val="fr-CA"/>
        </w:rPr>
        <w:t>Evans</w:t>
      </w:r>
      <w:r w:rsidRPr="0054234B">
        <w:rPr>
          <w:rFonts w:cs="Times New Roman"/>
          <w:noProof/>
          <w:lang w:val="fr-CA"/>
        </w:rPr>
        <w:t>, p. 664; Paciocco, Paciocco et Stuesser, p. 191</w:t>
      </w:r>
      <w:r w:rsidRPr="0054234B">
        <w:rPr>
          <w:rFonts w:cs="Times New Roman"/>
          <w:noProof/>
          <w:lang w:val="fr-CA"/>
        </w:rPr>
        <w:noBreakHyphen/>
        <w:t>192). Cependant, des aveux émanant d’une partie peuvent être autre chose que des paroles; en common law, il a été jugé que peuvent constituer des aveux émanant d’une partie, notamment, le silence d’une partie, des actes de celle</w:t>
      </w:r>
      <w:r w:rsidRPr="0054234B">
        <w:rPr>
          <w:rFonts w:cs="Times New Roman"/>
          <w:noProof/>
          <w:lang w:val="fr-CA"/>
        </w:rPr>
        <w:noBreakHyphen/>
        <w:t xml:space="preserve">ci et son comportement (voir, p. ex., </w:t>
      </w:r>
      <w:r w:rsidRPr="0054234B">
        <w:rPr>
          <w:rFonts w:cs="Times New Roman"/>
          <w:i/>
          <w:noProof/>
          <w:lang w:val="fr-CA"/>
        </w:rPr>
        <w:t>R. c. Scott</w:t>
      </w:r>
      <w:r w:rsidRPr="0054234B">
        <w:rPr>
          <w:rFonts w:cs="Times New Roman"/>
          <w:noProof/>
          <w:lang w:val="fr-CA"/>
        </w:rPr>
        <w:t>, 2013 MBCA 7</w:t>
      </w:r>
      <w:r w:rsidRPr="0054234B">
        <w:rPr>
          <w:rFonts w:cs="Times New Roman"/>
          <w:lang w:val="fr-CA"/>
        </w:rPr>
        <w:t>, 288 Man. R. (2d) 188</w:t>
      </w:r>
      <w:r w:rsidRPr="0054234B">
        <w:rPr>
          <w:rFonts w:cs="Times New Roman"/>
          <w:noProof/>
          <w:lang w:val="fr-CA"/>
        </w:rPr>
        <w:t xml:space="preserve">; voir aussi </w:t>
      </w:r>
      <w:r w:rsidRPr="0054234B">
        <w:rPr>
          <w:rFonts w:cs="Times New Roman"/>
          <w:lang w:val="fr-CA"/>
        </w:rPr>
        <w:t>Lederman, Fuerst et Stewart, ¶6.470</w:t>
      </w:r>
      <w:r w:rsidRPr="0054234B">
        <w:rPr>
          <w:rFonts w:cs="Times New Roman"/>
          <w:lang w:val="fr-CA"/>
        </w:rPr>
        <w:noBreakHyphen/>
        <w:t>6.512</w:t>
      </w:r>
      <w:r w:rsidRPr="0054234B">
        <w:rPr>
          <w:rFonts w:cs="Times New Roman"/>
          <w:noProof/>
          <w:lang w:val="fr-CA"/>
        </w:rPr>
        <w:t xml:space="preserve">; Vauclair et </w:t>
      </w:r>
      <w:r w:rsidRPr="0054234B">
        <w:rPr>
          <w:rFonts w:cs="Times New Roman"/>
          <w:lang w:val="fr-CA"/>
        </w:rPr>
        <w:t>Desjardins</w:t>
      </w:r>
      <w:r w:rsidRPr="0054234B">
        <w:rPr>
          <w:rFonts w:cs="Times New Roman"/>
          <w:noProof/>
          <w:lang w:val="fr-CA"/>
        </w:rPr>
        <w:t>, p. </w:t>
      </w:r>
      <w:r w:rsidRPr="0054234B">
        <w:rPr>
          <w:rFonts w:cs="Times New Roman"/>
          <w:lang w:val="fr-CA"/>
        </w:rPr>
        <w:t>911</w:t>
      </w:r>
      <w:r w:rsidRPr="0054234B">
        <w:rPr>
          <w:rFonts w:cs="Times New Roman"/>
          <w:noProof/>
          <w:lang w:val="fr-CA"/>
        </w:rPr>
        <w:t>). Ainsi que l’a fait observer le professeur I. Younger, selon une règle pratique, [</w:t>
      </w:r>
      <w:r w:rsidRPr="0054234B">
        <w:rPr>
          <w:rFonts w:cs="Times New Roman"/>
          <w:smallCaps/>
          <w:noProof/>
          <w:lang w:val="fr-CA"/>
        </w:rPr>
        <w:t>traduction</w:t>
      </w:r>
      <w:r w:rsidRPr="0054234B">
        <w:rPr>
          <w:rFonts w:cs="Times New Roman"/>
          <w:noProof/>
          <w:lang w:val="fr-CA"/>
        </w:rPr>
        <w:t>] « [t]out ce que l’autre partie a pu dire ou faire est admissible tant que cet élément est en lien avec l’affaire » (</w:t>
      </w:r>
      <w:r w:rsidRPr="0054234B">
        <w:rPr>
          <w:rFonts w:cs="Times New Roman"/>
          <w:i/>
          <w:noProof/>
          <w:lang w:val="fr-CA"/>
        </w:rPr>
        <w:t>An Irreverent Introduction to Hearsay</w:t>
      </w:r>
      <w:r w:rsidRPr="0054234B">
        <w:rPr>
          <w:rFonts w:cs="Times New Roman"/>
          <w:noProof/>
          <w:lang w:val="fr-CA"/>
        </w:rPr>
        <w:t xml:space="preserve"> (1977), p. 24, propos cités dans Paciocco, Paciocco et Stuesser, p. 191</w:t>
      </w:r>
      <w:r w:rsidRPr="0054234B">
        <w:rPr>
          <w:rFonts w:cs="Times New Roman"/>
          <w:noProof/>
          <w:lang w:val="fr-CA"/>
        </w:rPr>
        <w:noBreakHyphen/>
        <w:t>192). Je ne cherche pas ici à définir les limites précises de la notion d’aveux émanant d’une partie, car il ne s’agit pas d’une question en litige.</w:t>
      </w:r>
    </w:p>
    <w:p w14:paraId="0355643A" w14:textId="77777777" w:rsidR="008B6D43" w:rsidRPr="0054234B" w:rsidRDefault="008B6D43" w:rsidP="008B6D43">
      <w:pPr>
        <w:pStyle w:val="ParaNoNdepar-AltN"/>
        <w:widowControl w:val="0"/>
        <w:tabs>
          <w:tab w:val="clear" w:pos="1166"/>
          <w:tab w:val="num" w:pos="1152"/>
        </w:tabs>
        <w:spacing w:before="0"/>
        <w:rPr>
          <w:rFonts w:cs="Times New Roman"/>
          <w:noProof/>
          <w:lang w:val="fr-CA"/>
        </w:rPr>
      </w:pPr>
      <w:r w:rsidRPr="0054234B">
        <w:rPr>
          <w:rFonts w:cs="Times New Roman"/>
          <w:noProof/>
          <w:lang w:val="fr-CA"/>
        </w:rPr>
        <w:t>La décision par le juge qui préside un procès qu’un élément de preuve constitue du ouï</w:t>
      </w:r>
      <w:r w:rsidRPr="0054234B">
        <w:rPr>
          <w:rFonts w:cs="Times New Roman"/>
          <w:noProof/>
          <w:lang w:val="fr-CA"/>
        </w:rPr>
        <w:noBreakHyphen/>
        <w:t>dire, mais qu’il est visé par une exception à la règle générale d’exclusion, est une question de droit susceptible de contrôle suivant la norme de la décision correcte.</w:t>
      </w:r>
    </w:p>
    <w:p w14:paraId="7DF2BA31" w14:textId="77777777" w:rsidR="008B6D43" w:rsidRPr="0054234B" w:rsidRDefault="008B6D43" w:rsidP="008B6D43">
      <w:pPr>
        <w:pStyle w:val="Title4LevelTitre4Niveau"/>
        <w:widowControl w:val="0"/>
        <w:numPr>
          <w:ilvl w:val="1"/>
          <w:numId w:val="15"/>
        </w:numPr>
        <w:tabs>
          <w:tab w:val="left" w:pos="1170"/>
        </w:tabs>
        <w:spacing w:before="0"/>
        <w:ind w:left="1181" w:hanging="634"/>
        <w:rPr>
          <w:rFonts w:cs="Times New Roman"/>
          <w:noProof/>
          <w:lang w:val="fr-CA"/>
        </w:rPr>
      </w:pPr>
      <w:r w:rsidRPr="0054234B">
        <w:rPr>
          <w:rFonts w:cs="Times New Roman"/>
          <w:noProof/>
          <w:lang w:val="fr-CA"/>
        </w:rPr>
        <w:t>Y a</w:t>
      </w:r>
      <w:r w:rsidRPr="0054234B">
        <w:rPr>
          <w:rFonts w:cs="Times New Roman"/>
          <w:noProof/>
          <w:lang w:val="fr-CA"/>
        </w:rPr>
        <w:noBreakHyphen/>
        <w:t>t</w:t>
      </w:r>
      <w:r w:rsidRPr="0054234B">
        <w:rPr>
          <w:rFonts w:cs="Times New Roman"/>
          <w:noProof/>
          <w:lang w:val="fr-CA"/>
        </w:rPr>
        <w:noBreakHyphen/>
        <w:t>il lieu pour le tribunal d’exercer son pouvoir discrétionnaire afin d’écarter l’élément de preuve litigieux?</w:t>
      </w:r>
    </w:p>
    <w:p w14:paraId="63DDE1B0" w14:textId="77777777" w:rsidR="008B6D43" w:rsidRPr="0054234B" w:rsidRDefault="008B6D43" w:rsidP="008B6D43">
      <w:pPr>
        <w:pStyle w:val="ParaNoNdepar-AltN"/>
        <w:widowControl w:val="0"/>
        <w:tabs>
          <w:tab w:val="clear" w:pos="1166"/>
          <w:tab w:val="num" w:pos="1152"/>
        </w:tabs>
        <w:spacing w:before="0"/>
        <w:rPr>
          <w:rFonts w:cs="Times New Roman"/>
          <w:noProof/>
          <w:lang w:val="fr-CA"/>
        </w:rPr>
      </w:pPr>
      <w:r w:rsidRPr="0054234B">
        <w:rPr>
          <w:rFonts w:cs="Times New Roman"/>
          <w:noProof/>
          <w:lang w:val="fr-CA"/>
        </w:rPr>
        <w:t>Enfin, les juges doivent décider s’il y a lieu qu’ils exercent leur pouvoir discrétionnaire afin d’écarter un élément de preuve après avoir soupesé la valeur probante de celui</w:t>
      </w:r>
      <w:r w:rsidRPr="0054234B">
        <w:rPr>
          <w:rFonts w:cs="Times New Roman"/>
          <w:noProof/>
          <w:lang w:val="fr-CA"/>
        </w:rPr>
        <w:noBreakHyphen/>
        <w:t>ci par rapport à ses effets préjudiciables. Le juge qui préside un procès avec jury doit se demander dans quelle mesure il est possible d’atténuer les effets préjudiciables d’un élément de preuve en donnant au jury des directives appropriées sur l’utilisation qui peut régulièrement être faite de cet élément. De plus, un élément de preuve peut être écarté lorsque son obtention a été marquée par une injustice importante, de telle sorte que cela rendrait inéquitable le procès de l’accusé (</w:t>
      </w:r>
      <w:r w:rsidRPr="0054234B">
        <w:rPr>
          <w:rFonts w:cs="Times New Roman"/>
          <w:i/>
          <w:noProof/>
          <w:lang w:val="fr-CA"/>
        </w:rPr>
        <w:t>Mohan</w:t>
      </w:r>
      <w:r w:rsidRPr="0054234B">
        <w:rPr>
          <w:rFonts w:cs="Times New Roman"/>
          <w:noProof/>
          <w:lang w:val="fr-CA"/>
        </w:rPr>
        <w:t>;</w:t>
      </w:r>
      <w:r w:rsidRPr="0054234B">
        <w:rPr>
          <w:rFonts w:cs="Times New Roman"/>
          <w:i/>
          <w:noProof/>
          <w:lang w:val="fr-CA"/>
        </w:rPr>
        <w:t xml:space="preserve"> </w:t>
      </w:r>
      <w:r w:rsidRPr="0054234B">
        <w:rPr>
          <w:rFonts w:cs="Times New Roman"/>
          <w:noProof/>
          <w:lang w:val="fr-CA"/>
        </w:rPr>
        <w:t>Paciocco</w:t>
      </w:r>
      <w:r w:rsidRPr="0054234B">
        <w:rPr>
          <w:rFonts w:cs="Times New Roman"/>
          <w:lang w:val="fr-CA"/>
        </w:rPr>
        <w:t>, Paciocco et Stuesser</w:t>
      </w:r>
      <w:r w:rsidRPr="0054234B">
        <w:rPr>
          <w:rFonts w:cs="Times New Roman"/>
          <w:noProof/>
          <w:lang w:val="fr-CA"/>
        </w:rPr>
        <w:t>, p. 47</w:t>
      </w:r>
      <w:r w:rsidRPr="0054234B">
        <w:rPr>
          <w:rFonts w:cs="Times New Roman"/>
          <w:noProof/>
          <w:lang w:val="fr-CA"/>
        </w:rPr>
        <w:noBreakHyphen/>
        <w:t xml:space="preserve">48; </w:t>
      </w:r>
      <w:r w:rsidRPr="0054234B">
        <w:rPr>
          <w:rFonts w:cs="Times New Roman"/>
          <w:lang w:val="fr-CA"/>
        </w:rPr>
        <w:t>Lederman, Fuerst et Stewart, ¶2.75</w:t>
      </w:r>
      <w:r w:rsidRPr="0054234B">
        <w:rPr>
          <w:rFonts w:cs="Times New Roman"/>
          <w:lang w:val="fr-CA"/>
        </w:rPr>
        <w:noBreakHyphen/>
        <w:t>2.77</w:t>
      </w:r>
      <w:r w:rsidRPr="0054234B">
        <w:rPr>
          <w:rFonts w:cs="Times New Roman"/>
          <w:noProof/>
          <w:lang w:val="fr-CA"/>
        </w:rPr>
        <w:t xml:space="preserve">; Vauclair et </w:t>
      </w:r>
      <w:r w:rsidRPr="0054234B">
        <w:rPr>
          <w:rFonts w:cs="Times New Roman"/>
          <w:lang w:val="fr-CA"/>
        </w:rPr>
        <w:t>Desjardins</w:t>
      </w:r>
      <w:r w:rsidRPr="0054234B">
        <w:rPr>
          <w:rFonts w:cs="Times New Roman"/>
          <w:noProof/>
          <w:lang w:val="fr-CA"/>
        </w:rPr>
        <w:t>, p. </w:t>
      </w:r>
      <w:r w:rsidRPr="0054234B">
        <w:rPr>
          <w:rFonts w:cs="Times New Roman"/>
          <w:lang w:val="fr-CA"/>
        </w:rPr>
        <w:t>905</w:t>
      </w:r>
      <w:r w:rsidRPr="0054234B">
        <w:rPr>
          <w:rFonts w:cs="Times New Roman"/>
          <w:lang w:val="fr-CA"/>
        </w:rPr>
        <w:noBreakHyphen/>
        <w:t>906</w:t>
      </w:r>
      <w:r w:rsidRPr="0054234B">
        <w:rPr>
          <w:rFonts w:cs="Times New Roman"/>
          <w:noProof/>
          <w:lang w:val="fr-CA"/>
        </w:rPr>
        <w:t>). Aucune considération de ce genre n’est en jeu dans les circonstances de la présente affaire.</w:t>
      </w:r>
    </w:p>
    <w:p w14:paraId="5227FF78"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La valeur probante s’entend du degré de pertinence d’un élément de preuve par rapport </w:t>
      </w:r>
      <w:r w:rsidRPr="0054234B">
        <w:rPr>
          <w:rFonts w:cs="Times New Roman"/>
          <w:lang w:val="fr-CA"/>
        </w:rPr>
        <w:t>aux faits en litige et de la solidité des inférences qui peuvent être tirées de celui</w:t>
      </w:r>
      <w:r w:rsidRPr="0054234B">
        <w:rPr>
          <w:rFonts w:cs="Times New Roman"/>
          <w:lang w:val="fr-CA"/>
        </w:rPr>
        <w:noBreakHyphen/>
        <w:t>ci</w:t>
      </w:r>
      <w:r w:rsidRPr="0054234B">
        <w:rPr>
          <w:rFonts w:cs="Times New Roman"/>
          <w:noProof/>
          <w:lang w:val="fr-CA"/>
        </w:rPr>
        <w:t xml:space="preserve"> (</w:t>
      </w:r>
      <w:r w:rsidRPr="0054234B">
        <w:rPr>
          <w:rFonts w:cs="Times New Roman"/>
          <w:i/>
          <w:noProof/>
          <w:lang w:val="fr-CA"/>
        </w:rPr>
        <w:t>R. c. Handy</w:t>
      </w:r>
      <w:r w:rsidRPr="0054234B">
        <w:rPr>
          <w:rFonts w:cs="Times New Roman"/>
          <w:noProof/>
          <w:lang w:val="fr-CA"/>
        </w:rPr>
        <w:t xml:space="preserve">, 2002 CSC 56, </w:t>
      </w:r>
      <w:r w:rsidRPr="0054234B">
        <w:rPr>
          <w:rFonts w:cs="Times New Roman"/>
          <w:lang w:val="fr-CA"/>
        </w:rPr>
        <w:t>[2002] 2 R.C.S. 908</w:t>
      </w:r>
      <w:r w:rsidRPr="0054234B">
        <w:rPr>
          <w:rFonts w:cs="Times New Roman"/>
          <w:noProof/>
          <w:lang w:val="fr-CA"/>
        </w:rPr>
        <w:t xml:space="preserve">, par. 26, citant </w:t>
      </w:r>
      <w:r w:rsidRPr="0054234B">
        <w:rPr>
          <w:rFonts w:cs="Times New Roman"/>
          <w:i/>
          <w:noProof/>
          <w:lang w:val="fr-CA"/>
        </w:rPr>
        <w:t xml:space="preserve">R. c. </w:t>
      </w:r>
      <w:r w:rsidRPr="0054234B">
        <w:rPr>
          <w:rFonts w:cs="Times New Roman"/>
          <w:i/>
          <w:lang w:val="fr-CA"/>
        </w:rPr>
        <w:t>Robertson</w:t>
      </w:r>
      <w:r w:rsidRPr="0054234B">
        <w:rPr>
          <w:rFonts w:cs="Times New Roman"/>
          <w:noProof/>
          <w:lang w:val="fr-CA"/>
        </w:rPr>
        <w:t xml:space="preserve">, [1987] 1 R.C.S. 918, p. 943; </w:t>
      </w:r>
      <w:r w:rsidRPr="0054234B">
        <w:rPr>
          <w:rFonts w:cs="Times New Roman"/>
          <w:i/>
          <w:noProof/>
          <w:lang w:val="fr-CA"/>
        </w:rPr>
        <w:t>Hart</w:t>
      </w:r>
      <w:r w:rsidRPr="0054234B">
        <w:rPr>
          <w:rFonts w:cs="Times New Roman"/>
          <w:noProof/>
          <w:lang w:val="fr-CA"/>
        </w:rPr>
        <w:t>, par. 94</w:t>
      </w:r>
      <w:r w:rsidRPr="0054234B">
        <w:rPr>
          <w:rFonts w:cs="Times New Roman"/>
          <w:noProof/>
          <w:lang w:val="fr-CA"/>
        </w:rPr>
        <w:noBreakHyphen/>
        <w:t>98). L’effet préjudiciable a trait à la probabilité que le jury fasse un mauvais usage de l’élément de preuve litigieux (</w:t>
      </w:r>
      <w:r w:rsidRPr="0054234B">
        <w:rPr>
          <w:rFonts w:cs="Times New Roman"/>
          <w:i/>
          <w:noProof/>
          <w:lang w:val="fr-CA"/>
        </w:rPr>
        <w:t>Hart</w:t>
      </w:r>
      <w:r w:rsidRPr="0054234B">
        <w:rPr>
          <w:rFonts w:cs="Times New Roman"/>
          <w:iCs/>
          <w:noProof/>
          <w:lang w:val="fr-CA"/>
        </w:rPr>
        <w:t>,</w:t>
      </w:r>
      <w:r w:rsidRPr="0054234B">
        <w:rPr>
          <w:rFonts w:cs="Times New Roman"/>
          <w:noProof/>
          <w:lang w:val="fr-CA"/>
        </w:rPr>
        <w:t xml:space="preserve"> par. 106; Paciocco, Paciocco et Stuesser, p. 52). La mise en balance de la valeur probante et de l’effet préjudiciable a été qualifiée d’</w:t>
      </w:r>
      <w:r w:rsidRPr="0054234B">
        <w:rPr>
          <w:rFonts w:cs="Times New Roman"/>
          <w:lang w:val="fr-CA"/>
        </w:rPr>
        <w:t>« analyse du coût et des bénéfices »</w:t>
      </w:r>
      <w:r w:rsidRPr="0054234B">
        <w:rPr>
          <w:rFonts w:cs="Times New Roman"/>
          <w:noProof/>
          <w:lang w:val="fr-CA"/>
        </w:rPr>
        <w:t xml:space="preserve"> (</w:t>
      </w:r>
      <w:r w:rsidRPr="0054234B">
        <w:rPr>
          <w:rFonts w:cs="Times New Roman"/>
          <w:i/>
          <w:noProof/>
          <w:lang w:val="fr-CA"/>
        </w:rPr>
        <w:t>Mohan</w:t>
      </w:r>
      <w:r w:rsidRPr="0054234B">
        <w:rPr>
          <w:rFonts w:cs="Times New Roman"/>
          <w:iCs/>
          <w:noProof/>
          <w:lang w:val="fr-CA"/>
        </w:rPr>
        <w:t>,</w:t>
      </w:r>
      <w:r w:rsidRPr="0054234B">
        <w:rPr>
          <w:rFonts w:cs="Times New Roman"/>
          <w:noProof/>
          <w:lang w:val="fr-CA"/>
        </w:rPr>
        <w:t xml:space="preserve"> </w:t>
      </w:r>
      <w:r w:rsidRPr="0054234B">
        <w:rPr>
          <w:rFonts w:cs="Times New Roman"/>
          <w:lang w:val="fr-CA"/>
        </w:rPr>
        <w:t>p. 21</w:t>
      </w:r>
      <w:r w:rsidRPr="0054234B">
        <w:rPr>
          <w:rFonts w:cs="Times New Roman"/>
          <w:lang w:val="fr-CA"/>
        </w:rPr>
        <w:noBreakHyphen/>
      </w:r>
      <w:r w:rsidRPr="0054234B">
        <w:rPr>
          <w:rFonts w:cs="Times New Roman"/>
          <w:noProof/>
          <w:lang w:val="fr-CA"/>
        </w:rPr>
        <w:t xml:space="preserve">22; </w:t>
      </w:r>
      <w:r w:rsidRPr="0054234B">
        <w:rPr>
          <w:rFonts w:cs="Times New Roman"/>
          <w:i/>
          <w:noProof/>
          <w:lang w:val="fr-CA"/>
        </w:rPr>
        <w:t>Hart</w:t>
      </w:r>
      <w:r w:rsidRPr="0054234B">
        <w:rPr>
          <w:rFonts w:cs="Times New Roman"/>
          <w:iCs/>
          <w:noProof/>
          <w:lang w:val="fr-CA"/>
        </w:rPr>
        <w:t xml:space="preserve">, </w:t>
      </w:r>
      <w:r w:rsidRPr="0054234B">
        <w:rPr>
          <w:rFonts w:cs="Times New Roman"/>
          <w:noProof/>
          <w:lang w:val="fr-CA"/>
        </w:rPr>
        <w:t>par. </w:t>
      </w:r>
      <w:r w:rsidRPr="0054234B">
        <w:rPr>
          <w:rFonts w:cs="Times New Roman"/>
          <w:lang w:val="fr-CA"/>
        </w:rPr>
        <w:t>94</w:t>
      </w:r>
      <w:r w:rsidRPr="0054234B">
        <w:rPr>
          <w:rFonts w:cs="Times New Roman"/>
          <w:noProof/>
          <w:lang w:val="fr-CA"/>
        </w:rPr>
        <w:t xml:space="preserve">; Vauclair et </w:t>
      </w:r>
      <w:r w:rsidRPr="0054234B">
        <w:rPr>
          <w:rFonts w:cs="Times New Roman"/>
          <w:lang w:val="fr-CA"/>
        </w:rPr>
        <w:t>Desjardins</w:t>
      </w:r>
      <w:r w:rsidRPr="0054234B">
        <w:rPr>
          <w:rFonts w:cs="Times New Roman"/>
          <w:noProof/>
          <w:lang w:val="fr-CA"/>
        </w:rPr>
        <w:t>, p. </w:t>
      </w:r>
      <w:r w:rsidRPr="0054234B">
        <w:rPr>
          <w:rFonts w:cs="Times New Roman"/>
          <w:lang w:val="fr-CA"/>
        </w:rPr>
        <w:t>905</w:t>
      </w:r>
      <w:r w:rsidRPr="0054234B">
        <w:rPr>
          <w:rFonts w:cs="Times New Roman"/>
          <w:lang w:val="fr-CA"/>
        </w:rPr>
        <w:noBreakHyphen/>
        <w:t>906</w:t>
      </w:r>
      <w:r w:rsidRPr="0054234B">
        <w:rPr>
          <w:rFonts w:cs="Times New Roman"/>
          <w:noProof/>
          <w:lang w:val="fr-CA"/>
        </w:rPr>
        <w:t>).</w:t>
      </w:r>
    </w:p>
    <w:p w14:paraId="638072F6"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Comme je l’ai signalé, il est possible d’atténuer le « coût » associé à l’élément de preuve litigieux (c.</w:t>
      </w:r>
      <w:r w:rsidRPr="0054234B">
        <w:rPr>
          <w:rFonts w:cs="Times New Roman"/>
          <w:noProof/>
          <w:lang w:val="fr-CA"/>
        </w:rPr>
        <w:noBreakHyphen/>
        <w:t>à</w:t>
      </w:r>
      <w:r w:rsidRPr="0054234B">
        <w:rPr>
          <w:rFonts w:cs="Times New Roman"/>
          <w:noProof/>
          <w:lang w:val="fr-CA"/>
        </w:rPr>
        <w:noBreakHyphen/>
        <w:t>d. son effet préjudiciable) par des directives appropriées au jury. Des directives appropriées peuvent effectivement permettre aux jurés de comprendre comment utiliser un élément de preuve de manière judiciaire (</w:t>
      </w:r>
      <w:r w:rsidRPr="0054234B">
        <w:rPr>
          <w:rFonts w:cs="Times New Roman"/>
          <w:i/>
          <w:noProof/>
          <w:lang w:val="fr-CA"/>
        </w:rPr>
        <w:t>R. c. Khill</w:t>
      </w:r>
      <w:r w:rsidRPr="0054234B">
        <w:rPr>
          <w:rFonts w:cs="Times New Roman"/>
          <w:noProof/>
          <w:lang w:val="fr-CA"/>
        </w:rPr>
        <w:t xml:space="preserve">, 2021 CSC 37, par. 116; </w:t>
      </w:r>
      <w:r w:rsidRPr="0054234B">
        <w:rPr>
          <w:rFonts w:cs="Times New Roman"/>
          <w:i/>
          <w:noProof/>
          <w:lang w:val="fr-CA"/>
        </w:rPr>
        <w:t>R. c. Griffin</w:t>
      </w:r>
      <w:r w:rsidRPr="0054234B">
        <w:rPr>
          <w:rFonts w:cs="Times New Roman"/>
          <w:noProof/>
          <w:lang w:val="fr-CA"/>
        </w:rPr>
        <w:t>, 2009 CSC 28</w:t>
      </w:r>
      <w:r w:rsidRPr="0054234B">
        <w:rPr>
          <w:rFonts w:cs="Times New Roman"/>
          <w:lang w:val="fr-CA"/>
        </w:rPr>
        <w:t>, [2009] 2 R.C.S. 42</w:t>
      </w:r>
      <w:r w:rsidRPr="0054234B">
        <w:rPr>
          <w:rFonts w:cs="Times New Roman"/>
          <w:noProof/>
          <w:lang w:val="fr-CA"/>
        </w:rPr>
        <w:t>, par. 69).</w:t>
      </w:r>
    </w:p>
    <w:p w14:paraId="51C73570"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La décision par le juge présidant un procès que </w:t>
      </w:r>
      <w:r w:rsidRPr="0054234B">
        <w:rPr>
          <w:rFonts w:cs="Times New Roman"/>
          <w:lang w:val="fr-CA"/>
        </w:rPr>
        <w:t>la valeur probante d’un élément de preuve l’emporte sur son effet préjudiciable est une décision discrétionnaire qui commande la déférence en cas de contrôle</w:t>
      </w:r>
      <w:r w:rsidRPr="0054234B">
        <w:rPr>
          <w:rFonts w:cs="Times New Roman"/>
          <w:szCs w:val="24"/>
          <w:lang w:val="fr-CA"/>
        </w:rPr>
        <w:t xml:space="preserve"> </w:t>
      </w:r>
      <w:r w:rsidRPr="0054234B">
        <w:rPr>
          <w:rFonts w:cs="Times New Roman"/>
          <w:noProof/>
          <w:szCs w:val="24"/>
          <w:lang w:val="fr-CA"/>
        </w:rPr>
        <w:t>(</w:t>
      </w:r>
      <w:r w:rsidRPr="0054234B">
        <w:rPr>
          <w:rFonts w:cs="Times New Roman"/>
          <w:i/>
          <w:noProof/>
          <w:szCs w:val="24"/>
          <w:lang w:val="fr-CA"/>
        </w:rPr>
        <w:t>R. c. Araya</w:t>
      </w:r>
      <w:r w:rsidRPr="0054234B">
        <w:rPr>
          <w:rFonts w:cs="Times New Roman"/>
          <w:noProof/>
          <w:szCs w:val="24"/>
          <w:lang w:val="fr-CA"/>
        </w:rPr>
        <w:t>, 2015 CSC 11</w:t>
      </w:r>
      <w:r w:rsidRPr="0054234B">
        <w:rPr>
          <w:rFonts w:cs="Times New Roman"/>
          <w:lang w:val="fr-CA"/>
        </w:rPr>
        <w:t>, [2015] 1 R.C.S. 581</w:t>
      </w:r>
      <w:r w:rsidRPr="0054234B">
        <w:rPr>
          <w:rFonts w:cs="Times New Roman"/>
          <w:noProof/>
          <w:szCs w:val="24"/>
          <w:lang w:val="fr-CA"/>
        </w:rPr>
        <w:t xml:space="preserve">, par. 31; </w:t>
      </w:r>
      <w:r w:rsidRPr="0054234B">
        <w:rPr>
          <w:rFonts w:cs="Times New Roman"/>
          <w:i/>
          <w:noProof/>
          <w:szCs w:val="24"/>
          <w:lang w:val="fr-CA"/>
        </w:rPr>
        <w:t>R. c. Shearing</w:t>
      </w:r>
      <w:r w:rsidRPr="0054234B">
        <w:rPr>
          <w:rFonts w:cs="Times New Roman"/>
          <w:noProof/>
          <w:szCs w:val="24"/>
          <w:lang w:val="fr-CA"/>
        </w:rPr>
        <w:t>, 2002 CSC 58</w:t>
      </w:r>
      <w:r w:rsidRPr="0054234B">
        <w:rPr>
          <w:rFonts w:cs="Times New Roman"/>
          <w:lang w:val="fr-CA"/>
        </w:rPr>
        <w:t>, [2002] 3 R.C.S. 33</w:t>
      </w:r>
      <w:r w:rsidRPr="0054234B">
        <w:rPr>
          <w:rFonts w:cs="Times New Roman"/>
          <w:noProof/>
          <w:szCs w:val="24"/>
          <w:lang w:val="fr-CA"/>
        </w:rPr>
        <w:t xml:space="preserve">, par. 73). En outre, </w:t>
      </w:r>
      <w:r w:rsidRPr="0054234B">
        <w:rPr>
          <w:rFonts w:cs="Times New Roman"/>
          <w:szCs w:val="24"/>
          <w:lang w:val="fr-CA"/>
        </w:rPr>
        <w:t xml:space="preserve">les cours d’appel doivent examiner les erreurs susceptibles d’avoir entaché les directives au jury « dans le contexte de l’ensemble de l’exposé au jury et du déroulement général du procès » </w:t>
      </w:r>
      <w:r w:rsidRPr="0054234B">
        <w:rPr>
          <w:rFonts w:cs="Times New Roman"/>
          <w:noProof/>
          <w:szCs w:val="24"/>
          <w:lang w:val="fr-CA"/>
        </w:rPr>
        <w:t>(</w:t>
      </w:r>
      <w:r w:rsidRPr="0054234B">
        <w:rPr>
          <w:rFonts w:cs="Times New Roman"/>
          <w:i/>
          <w:noProof/>
          <w:szCs w:val="24"/>
          <w:lang w:val="fr-CA"/>
        </w:rPr>
        <w:t>R. c. Jaw</w:t>
      </w:r>
      <w:r w:rsidRPr="0054234B">
        <w:rPr>
          <w:rFonts w:cs="Times New Roman"/>
          <w:noProof/>
          <w:szCs w:val="24"/>
          <w:lang w:val="fr-CA"/>
        </w:rPr>
        <w:t>, 2009 CSC 42</w:t>
      </w:r>
      <w:r w:rsidRPr="0054234B">
        <w:rPr>
          <w:rFonts w:cs="Times New Roman"/>
          <w:lang w:val="fr-CA"/>
        </w:rPr>
        <w:t>, [2009] 3 R.C.S. 26</w:t>
      </w:r>
      <w:r w:rsidRPr="0054234B">
        <w:rPr>
          <w:rFonts w:cs="Times New Roman"/>
          <w:noProof/>
          <w:szCs w:val="24"/>
          <w:lang w:val="fr-CA"/>
        </w:rPr>
        <w:t xml:space="preserve">, par. 32, cité dans </w:t>
      </w:r>
      <w:r w:rsidRPr="0054234B">
        <w:rPr>
          <w:rFonts w:cs="Times New Roman"/>
          <w:i/>
          <w:noProof/>
          <w:szCs w:val="24"/>
          <w:lang w:val="fr-CA"/>
        </w:rPr>
        <w:t>Araya</w:t>
      </w:r>
      <w:r w:rsidRPr="0054234B">
        <w:rPr>
          <w:rFonts w:cs="Times New Roman"/>
          <w:noProof/>
          <w:szCs w:val="24"/>
          <w:lang w:val="fr-CA"/>
        </w:rPr>
        <w:t>, par. 39), de manière à laisser aux juges qui président des procès « </w:t>
      </w:r>
      <w:r w:rsidRPr="0054234B">
        <w:rPr>
          <w:rFonts w:cs="Times New Roman"/>
          <w:szCs w:val="24"/>
          <w:lang w:val="fr-CA"/>
        </w:rPr>
        <w:t xml:space="preserve">une certaine latitude dans la formulation de [leurs] directives » </w:t>
      </w:r>
      <w:r w:rsidRPr="0054234B">
        <w:rPr>
          <w:rFonts w:cs="Times New Roman"/>
          <w:noProof/>
          <w:szCs w:val="24"/>
          <w:lang w:val="fr-CA"/>
        </w:rPr>
        <w:t>(</w:t>
      </w:r>
      <w:r w:rsidRPr="0054234B">
        <w:rPr>
          <w:rFonts w:cs="Times New Roman"/>
          <w:i/>
          <w:noProof/>
          <w:szCs w:val="24"/>
          <w:lang w:val="fr-CA"/>
        </w:rPr>
        <w:t>Araya</w:t>
      </w:r>
      <w:r w:rsidRPr="0054234B">
        <w:rPr>
          <w:rFonts w:cs="Times New Roman"/>
          <w:iCs/>
          <w:noProof/>
          <w:szCs w:val="24"/>
          <w:lang w:val="fr-CA"/>
        </w:rPr>
        <w:t xml:space="preserve">, </w:t>
      </w:r>
      <w:r w:rsidRPr="0054234B">
        <w:rPr>
          <w:rFonts w:cs="Times New Roman"/>
          <w:noProof/>
          <w:szCs w:val="24"/>
          <w:lang w:val="fr-CA"/>
        </w:rPr>
        <w:t>par. 39).</w:t>
      </w:r>
      <w:r w:rsidRPr="0054234B">
        <w:rPr>
          <w:rFonts w:cs="Times New Roman"/>
          <w:lang w:val="fr-CA"/>
        </w:rPr>
        <w:t xml:space="preserve"> J</w:t>
      </w:r>
      <w:r w:rsidRPr="0054234B">
        <w:rPr>
          <w:rFonts w:cs="Times New Roman"/>
          <w:noProof/>
          <w:szCs w:val="24"/>
          <w:lang w:val="fr-CA"/>
        </w:rPr>
        <w:t>e tiens à souligner à quel point il est important que le juge du procès expose une analyse claire de la valeur probante et de l’effet préjudiciable d’un élément de preuve afin de faciliter le contrôle de cette question en appel</w:t>
      </w:r>
      <w:r w:rsidRPr="0054234B">
        <w:rPr>
          <w:rFonts w:cs="Times New Roman"/>
          <w:noProof/>
          <w:lang w:val="fr-CA"/>
        </w:rPr>
        <w:t>.</w:t>
      </w:r>
    </w:p>
    <w:p w14:paraId="6259DD02" w14:textId="77777777" w:rsidR="008B6D43" w:rsidRPr="0054234B" w:rsidRDefault="008B6D43" w:rsidP="008B6D43">
      <w:pPr>
        <w:pStyle w:val="Title3LevelTitre3Niveau"/>
        <w:widowControl w:val="0"/>
        <w:numPr>
          <w:ilvl w:val="2"/>
          <w:numId w:val="9"/>
        </w:numPr>
        <w:tabs>
          <w:tab w:val="clear" w:pos="1296"/>
          <w:tab w:val="num" w:pos="1170"/>
        </w:tabs>
        <w:spacing w:before="0"/>
        <w:ind w:left="1170" w:hanging="630"/>
        <w:rPr>
          <w:rFonts w:cs="Times New Roman"/>
          <w:noProof/>
          <w:lang w:val="fr-CA"/>
        </w:rPr>
      </w:pPr>
      <w:r w:rsidRPr="0054234B">
        <w:rPr>
          <w:rFonts w:cs="Times New Roman"/>
          <w:noProof/>
          <w:lang w:val="fr-CA"/>
        </w:rPr>
        <w:t>L’application du cadre juridique aux circonstances de l’espèce</w:t>
      </w:r>
    </w:p>
    <w:p w14:paraId="2C806EF8" w14:textId="77777777" w:rsidR="008B6D43" w:rsidRPr="0054234B" w:rsidRDefault="008B6D43" w:rsidP="008B6D43">
      <w:pPr>
        <w:pStyle w:val="Title4LevelTitre4Niveau"/>
        <w:widowControl w:val="0"/>
        <w:numPr>
          <w:ilvl w:val="1"/>
          <w:numId w:val="1"/>
        </w:numPr>
        <w:spacing w:before="0"/>
        <w:ind w:left="1170" w:hanging="630"/>
        <w:rPr>
          <w:rFonts w:cs="Times New Roman"/>
          <w:noProof/>
          <w:lang w:val="fr-CA"/>
        </w:rPr>
      </w:pPr>
      <w:r w:rsidRPr="0054234B">
        <w:rPr>
          <w:rFonts w:cs="Times New Roman"/>
          <w:noProof/>
          <w:lang w:val="fr-CA"/>
        </w:rPr>
        <w:t>L’élément de preuve était pertinent</w:t>
      </w:r>
    </w:p>
    <w:p w14:paraId="562DE062" w14:textId="77777777" w:rsidR="008B6D43" w:rsidRPr="0054234B" w:rsidRDefault="008B6D43" w:rsidP="008B6D43">
      <w:pPr>
        <w:pStyle w:val="ParaNoNdepar-AltN"/>
        <w:widowControl w:val="0"/>
        <w:tabs>
          <w:tab w:val="clear" w:pos="1166"/>
          <w:tab w:val="num" w:pos="1152"/>
        </w:tabs>
        <w:spacing w:before="0"/>
        <w:rPr>
          <w:rFonts w:cs="Times New Roman"/>
          <w:noProof/>
          <w:lang w:val="fr-CA"/>
        </w:rPr>
      </w:pPr>
      <w:r w:rsidRPr="0054234B">
        <w:rPr>
          <w:rFonts w:cs="Times New Roman"/>
          <w:noProof/>
          <w:lang w:val="fr-CA"/>
        </w:rPr>
        <w:t>Le témoignage du frère concernant la conversation qu’il a entendue était pertinent. Premièrement, le jury disposait d’un contexte suffisant pour attribuer une signification aux paroles que le frère avait entendues, de sorte que cet élément de preuve satisfait au seuil peu élevé de pertinence (logique) requis. Deuxièmement, le fait que le frère était incertain quant aux paroles exactes qu’il avait entendu l’accusé prononcer n’est pas fatal. La nature équivoque du témoignage du frère est un facteur à considérer dans la mise en balance de la valeur probante et de l’effet préjudiciable. Elle est également liée à la fiabilité et à la vraisemblance; toutefois, il s’agit là de facteurs qui relèvent du juge des faits lors de l’appréciation du poids de la preuve plutôt que du juge lors de l’analyse de la pertinence.</w:t>
      </w:r>
    </w:p>
    <w:p w14:paraId="3905E399"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juge du procès devait déterminer si, au regard de l’ensemble de la preuve, le jury pouvait (sans se livrer à des conjectures) attribuer une signification aux paroles que le frère témoignait avoir entendues. Le contexte s’étendait au</w:t>
      </w:r>
      <w:r w:rsidRPr="0054234B">
        <w:rPr>
          <w:rFonts w:cs="Times New Roman"/>
          <w:noProof/>
          <w:lang w:val="fr-CA"/>
        </w:rPr>
        <w:noBreakHyphen/>
        <w:t>delà du cadre étroit appliqué par les juges majoritaires de la Cour d’appel. D’autres éléments de preuve éclairaient utilement le témoignage du frère concernant ce qu’il avait entendu. Dans les jours précédant l’appel téléphonique, l’accusé et son frère avaient parlé de la victime. Durant ces conversations, l’accusé avait admis qu’il avait fait [</w:t>
      </w:r>
      <w:r w:rsidRPr="0054234B">
        <w:rPr>
          <w:rFonts w:cs="Times New Roman"/>
          <w:smallCaps/>
          <w:noProof/>
          <w:lang w:val="fr-CA"/>
        </w:rPr>
        <w:t>traduction</w:t>
      </w:r>
      <w:r w:rsidRPr="0054234B">
        <w:rPr>
          <w:rFonts w:cs="Times New Roman"/>
          <w:noProof/>
          <w:lang w:val="fr-CA"/>
        </w:rPr>
        <w:t xml:space="preserve">] « quelque chose de mal », il avait dit à son frère que c’était « vrai » </w:t>
      </w:r>
      <w:r w:rsidRPr="0054234B">
        <w:rPr>
          <w:rFonts w:cs="Times New Roman"/>
          <w:lang w:val="fr-CA"/>
        </w:rPr>
        <w:t>(</w:t>
      </w:r>
      <w:proofErr w:type="gramStart"/>
      <w:r w:rsidRPr="0054234B">
        <w:rPr>
          <w:rFonts w:cs="Times New Roman"/>
          <w:lang w:val="fr-CA"/>
        </w:rPr>
        <w:t>d.a.,</w:t>
      </w:r>
      <w:proofErr w:type="gramEnd"/>
      <w:r w:rsidRPr="0054234B">
        <w:rPr>
          <w:rFonts w:cs="Times New Roman"/>
          <w:lang w:val="fr-CA"/>
        </w:rPr>
        <w:t xml:space="preserve"> vol. II, p. 107, 111 et 113)</w:t>
      </w:r>
      <w:r w:rsidRPr="0054234B">
        <w:rPr>
          <w:rFonts w:cs="Times New Roman"/>
          <w:noProof/>
          <w:lang w:val="fr-CA"/>
        </w:rPr>
        <w:t>, et le frère a dit que l’accusé était « triste et plein de remords. Heureux d’avoir vidé son sac, pour ainsi dire »</w:t>
      </w:r>
      <w:r w:rsidRPr="0054234B">
        <w:rPr>
          <w:rFonts w:cs="Times New Roman"/>
          <w:lang w:val="fr-CA"/>
        </w:rPr>
        <w:t xml:space="preserve"> (</w:t>
      </w:r>
      <w:r w:rsidRPr="0054234B">
        <w:rPr>
          <w:rFonts w:cs="Times New Roman"/>
          <w:noProof/>
          <w:lang w:val="fr-CA"/>
        </w:rPr>
        <w:t xml:space="preserve">p. 121). Le jour de l’appel téléphonique, l’accusé avait dit à son frère où se trouvait le corps de la victime; le frère se trouvait avec l’accusé lorsque que ce dernier avait tenté de se suicider; et le frère était avec l’accusé au cours de la période ayant précédé l’appel téléphonique à son épouse. Enfin, le frère a témoigné qu’il avait entendu l’accusé mentionner la victime au début de l’appel téléphonique. Le frère était présent, bien qu’à une </w:t>
      </w:r>
      <w:r>
        <w:rPr>
          <w:rFonts w:cs="Times New Roman"/>
          <w:noProof/>
          <w:lang w:val="fr-CA"/>
        </w:rPr>
        <w:t>distance d’approximativement 10 </w:t>
      </w:r>
      <w:r w:rsidRPr="0054234B">
        <w:rPr>
          <w:rFonts w:cs="Times New Roman"/>
          <w:noProof/>
          <w:lang w:val="fr-CA"/>
        </w:rPr>
        <w:t>pieds, pendant toute la durée de l’appel.</w:t>
      </w:r>
    </w:p>
    <w:p w14:paraId="31F92FD0"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Je vais maintenant me pencher sur l’arrêt </w:t>
      </w:r>
      <w:r w:rsidRPr="0054234B">
        <w:rPr>
          <w:rFonts w:cs="Times New Roman"/>
          <w:i/>
          <w:noProof/>
          <w:lang w:val="fr-CA"/>
        </w:rPr>
        <w:t>Ferris</w:t>
      </w:r>
      <w:r w:rsidRPr="0054234B">
        <w:rPr>
          <w:rFonts w:cs="Times New Roman"/>
          <w:noProof/>
          <w:lang w:val="fr-CA"/>
        </w:rPr>
        <w:t>, la décision de notre Cour qui, comme l’ont reconnu la juge du procès et la Cour d’appel en l’espèce, régit l’admissibilité de l’élément de preuve.</w:t>
      </w:r>
    </w:p>
    <w:p w14:paraId="3FAC0020"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iCs/>
          <w:noProof/>
          <w:lang w:val="fr-CA"/>
        </w:rPr>
        <w:t xml:space="preserve">L’arrêt </w:t>
      </w:r>
      <w:r w:rsidRPr="0054234B">
        <w:rPr>
          <w:rFonts w:cs="Times New Roman"/>
          <w:i/>
          <w:noProof/>
          <w:lang w:val="fr-CA"/>
        </w:rPr>
        <w:t>Ferris</w:t>
      </w:r>
      <w:r w:rsidRPr="0054234B">
        <w:rPr>
          <w:rFonts w:cs="Times New Roman"/>
          <w:noProof/>
          <w:lang w:val="fr-CA"/>
        </w:rPr>
        <w:t xml:space="preserve"> portait sur l’admissibilité d’un élément de preuve par ouï</w:t>
      </w:r>
      <w:r w:rsidRPr="0054234B">
        <w:rPr>
          <w:rFonts w:cs="Times New Roman"/>
          <w:noProof/>
          <w:lang w:val="fr-CA"/>
        </w:rPr>
        <w:noBreakHyphen/>
        <w:t>dire que la Couronne souhaitait présenter en tant qu’aveux émanant d’une partie.</w:t>
      </w:r>
      <w:r w:rsidRPr="0054234B">
        <w:rPr>
          <w:rFonts w:cs="Times New Roman"/>
          <w:lang w:val="fr-CA"/>
        </w:rPr>
        <w:t xml:space="preserve"> Dans cette affaire, la police a arrêté M. Ferris pour meurtre et l’a amené au poste. Ce dernier a alors demandé à faire un appel téléphonique. Un policier a passé l’appel, a remis le téléphone à M. Ferris, puis s’est dirigé vers son bureau. En quittant la pièce, le policier a entendu M. Ferris dire </w:t>
      </w:r>
      <w:r w:rsidRPr="0054234B">
        <w:rPr>
          <w:rFonts w:cs="Times New Roman"/>
          <w:noProof/>
          <w:lang w:val="fr-CA"/>
        </w:rPr>
        <w:t>[</w:t>
      </w:r>
      <w:r w:rsidRPr="0054234B">
        <w:rPr>
          <w:rFonts w:cs="Times New Roman"/>
          <w:smallCaps/>
          <w:noProof/>
          <w:lang w:val="fr-CA"/>
        </w:rPr>
        <w:t>traduction</w:t>
      </w:r>
      <w:r w:rsidRPr="0054234B">
        <w:rPr>
          <w:rFonts w:cs="Times New Roman"/>
          <w:noProof/>
          <w:lang w:val="fr-CA"/>
        </w:rPr>
        <w:t>] « J</w:t>
      </w:r>
      <w:r w:rsidRPr="0054234B">
        <w:rPr>
          <w:rFonts w:cs="Times New Roman"/>
          <w:lang w:val="fr-CA"/>
        </w:rPr>
        <w:t xml:space="preserve">’ai été arrêté » et ensuite </w:t>
      </w:r>
      <w:r w:rsidRPr="0054234B">
        <w:rPr>
          <w:rFonts w:cs="Times New Roman"/>
          <w:noProof/>
          <w:lang w:val="fr-CA"/>
        </w:rPr>
        <w:t>« J</w:t>
      </w:r>
      <w:r w:rsidRPr="0054234B">
        <w:rPr>
          <w:rFonts w:cs="Times New Roman"/>
          <w:lang w:val="fr-CA"/>
        </w:rPr>
        <w:t>’ai tué David » (</w:t>
      </w:r>
      <w:r w:rsidRPr="0054234B">
        <w:rPr>
          <w:rFonts w:cs="Times New Roman"/>
          <w:i/>
          <w:lang w:val="fr-CA"/>
        </w:rPr>
        <w:t xml:space="preserve">Ferris </w:t>
      </w:r>
      <w:r w:rsidRPr="0054234B">
        <w:rPr>
          <w:rFonts w:cs="Times New Roman"/>
          <w:lang w:val="fr-CA"/>
        </w:rPr>
        <w:t>(C.A.), par. 7). Le juge du procès a admis le témoignage du policier concernant ce qu’il avait entendu M. Ferris dire</w:t>
      </w:r>
      <w:r w:rsidRPr="0054234B">
        <w:rPr>
          <w:rFonts w:cs="Times New Roman"/>
          <w:noProof/>
          <w:lang w:val="fr-CA"/>
        </w:rPr>
        <w:t>. Ce dernier a été déclaré coupable par le jury de meurtre au deuxième degré.</w:t>
      </w:r>
    </w:p>
    <w:p w14:paraId="448DA2FE"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La Cour d’appel de l’Alberta a infirmé la décision du tribunal de première instance, concluant qu’un jury ayant reçu des directives appropriées n’aurait pas été en mesure d’attribuer </w:t>
      </w:r>
      <w:r w:rsidRPr="0054234B">
        <w:rPr>
          <w:rFonts w:cs="Times New Roman"/>
          <w:iCs/>
          <w:noProof/>
          <w:lang w:val="fr-CA"/>
        </w:rPr>
        <w:t xml:space="preserve">une </w:t>
      </w:r>
      <w:r w:rsidRPr="0054234B">
        <w:rPr>
          <w:rFonts w:cs="Times New Roman"/>
          <w:i/>
          <w:iCs/>
          <w:noProof/>
          <w:lang w:val="fr-CA"/>
        </w:rPr>
        <w:t>signification</w:t>
      </w:r>
      <w:r w:rsidRPr="0054234B">
        <w:rPr>
          <w:rFonts w:cs="Times New Roman"/>
          <w:iCs/>
          <w:noProof/>
          <w:lang w:val="fr-CA"/>
        </w:rPr>
        <w:t xml:space="preserve"> </w:t>
      </w:r>
      <w:r w:rsidRPr="0054234B">
        <w:rPr>
          <w:rFonts w:cs="Times New Roman"/>
          <w:noProof/>
          <w:lang w:val="fr-CA"/>
        </w:rPr>
        <w:t xml:space="preserve">aux propos que le policier avait entendus. Des propos incapables de signification ne pouvaient avoir de valeur probante à l’égard de quelque question que ce soit et n’étaient donc pas pertinents. Un élément de preuve qui n’était pas pertinent n’était pas admissible. La question en litige n’était pas de savoir quel poids devait être accordé au témoignage du policier, mais plutôt si les propos qu’il avait entendus avaient </w:t>
      </w:r>
      <w:r w:rsidRPr="0054234B">
        <w:rPr>
          <w:rFonts w:cs="Times New Roman"/>
          <w:i/>
          <w:noProof/>
          <w:lang w:val="fr-CA"/>
        </w:rPr>
        <w:t>quelque</w:t>
      </w:r>
      <w:r w:rsidRPr="0054234B">
        <w:rPr>
          <w:rFonts w:cs="Times New Roman"/>
          <w:noProof/>
          <w:lang w:val="fr-CA"/>
        </w:rPr>
        <w:t xml:space="preserve"> signification. La Cour d’appel a fait observer que [</w:t>
      </w:r>
      <w:r w:rsidRPr="0054234B">
        <w:rPr>
          <w:rFonts w:cs="Times New Roman"/>
          <w:smallCaps/>
          <w:noProof/>
          <w:lang w:val="fr-CA"/>
        </w:rPr>
        <w:t>traduction</w:t>
      </w:r>
      <w:r w:rsidRPr="0054234B">
        <w:rPr>
          <w:rFonts w:cs="Times New Roman"/>
          <w:noProof/>
          <w:lang w:val="fr-CA"/>
        </w:rPr>
        <w:t>] « les règles relatives au ouï</w:t>
      </w:r>
      <w:r w:rsidRPr="0054234B">
        <w:rPr>
          <w:rFonts w:cs="Times New Roman"/>
          <w:noProof/>
          <w:lang w:val="fr-CA"/>
        </w:rPr>
        <w:noBreakHyphen/>
        <w:t>dire n’écartent pas l’exigence relative à la pertinence » (par. 32).</w:t>
      </w:r>
    </w:p>
    <w:p w14:paraId="08B2BC2C"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Cour d’appel a expliqué qu’il était possible que les mots « J</w:t>
      </w:r>
      <w:r w:rsidRPr="0054234B">
        <w:rPr>
          <w:rFonts w:cs="Times New Roman"/>
          <w:lang w:val="fr-CA"/>
        </w:rPr>
        <w:t>’ai tué David »</w:t>
      </w:r>
      <w:r w:rsidRPr="0054234B">
        <w:rPr>
          <w:rFonts w:cs="Times New Roman"/>
          <w:noProof/>
          <w:lang w:val="fr-CA"/>
        </w:rPr>
        <w:t xml:space="preserve"> aient été un aveu. Il était également possible qu’ils aient fait partie d’une réponse à la question [</w:t>
      </w:r>
      <w:r w:rsidRPr="0054234B">
        <w:rPr>
          <w:rFonts w:cs="Times New Roman"/>
          <w:smallCaps/>
          <w:noProof/>
          <w:lang w:val="fr-CA"/>
        </w:rPr>
        <w:t>traduction</w:t>
      </w:r>
      <w:r w:rsidRPr="0054234B">
        <w:rPr>
          <w:rFonts w:cs="Times New Roman"/>
          <w:noProof/>
          <w:lang w:val="fr-CA"/>
        </w:rPr>
        <w:t>] « qu’est</w:t>
      </w:r>
      <w:r w:rsidRPr="0054234B">
        <w:rPr>
          <w:rFonts w:cs="Times New Roman"/>
          <w:noProof/>
          <w:lang w:val="fr-CA"/>
        </w:rPr>
        <w:noBreakHyphen/>
        <w:t xml:space="preserve">ce que la police pense [que vous] avez fait? » </w:t>
      </w:r>
      <w:r w:rsidRPr="0054234B">
        <w:rPr>
          <w:rFonts w:cs="Times New Roman"/>
          <w:lang w:val="fr-CA"/>
        </w:rPr>
        <w:t>(par. 17)</w:t>
      </w:r>
      <w:r w:rsidRPr="0054234B">
        <w:rPr>
          <w:rFonts w:cs="Times New Roman"/>
          <w:noProof/>
          <w:lang w:val="fr-CA"/>
        </w:rPr>
        <w:t>. [</w:t>
      </w:r>
      <w:r w:rsidRPr="0054234B">
        <w:rPr>
          <w:rFonts w:cs="Times New Roman"/>
          <w:smallCaps/>
          <w:noProof/>
          <w:lang w:val="fr-CA"/>
        </w:rPr>
        <w:t>traduction</w:t>
      </w:r>
      <w:r w:rsidRPr="0054234B">
        <w:rPr>
          <w:rFonts w:cs="Times New Roman"/>
          <w:noProof/>
          <w:lang w:val="fr-CA"/>
        </w:rPr>
        <w:t>] « [E]n soi », ces mots ne pouvaient « permettre de comprendre et d’apprécier véritablement la signification de la déclaration » (par. 24). Le témoignage du policier était inadmissible parce que le jury ne pouvait interpréter la signification des mots en question sans se livrer à [</w:t>
      </w:r>
      <w:r w:rsidRPr="0054234B">
        <w:rPr>
          <w:rFonts w:cs="Times New Roman"/>
          <w:smallCaps/>
          <w:noProof/>
          <w:lang w:val="fr-CA"/>
        </w:rPr>
        <w:t>traduction</w:t>
      </w:r>
      <w:r w:rsidRPr="0054234B">
        <w:rPr>
          <w:rFonts w:cs="Times New Roman"/>
          <w:noProof/>
          <w:lang w:val="fr-CA"/>
        </w:rPr>
        <w:t>] « de flagrantes conjectures » (par. 49).</w:t>
      </w:r>
    </w:p>
    <w:p w14:paraId="4BE9ABEA"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Notre Cour a confirmé en définitive la décision de la Cour d’appel dans </w:t>
      </w:r>
      <w:r w:rsidRPr="0054234B">
        <w:rPr>
          <w:rFonts w:cs="Times New Roman"/>
          <w:i/>
          <w:noProof/>
          <w:lang w:val="fr-CA"/>
        </w:rPr>
        <w:t>Ferris</w:t>
      </w:r>
      <w:r w:rsidRPr="0054234B">
        <w:rPr>
          <w:rFonts w:cs="Times New Roman"/>
          <w:noProof/>
          <w:lang w:val="fr-CA"/>
        </w:rPr>
        <w:t xml:space="preserve">. Dans un court jugement prononcé à l’audience, le juge Sopinka a affirmé que, même si la preuve basée sur les mots entendus </w:t>
      </w:r>
      <w:r w:rsidRPr="0054234B">
        <w:rPr>
          <w:rFonts w:cs="Times New Roman"/>
          <w:lang w:val="fr-CA"/>
        </w:rPr>
        <w:t xml:space="preserve">avait eu quelque pertinence que ce soit, sa signification était « si conjecturale et sa valeur probante si faible que le juge du procès aurait dû l’exclure pour le motif que son effet préjudiciable l’emportait sur sa valeur probante » (p. 756). Il ressort d’une lecture attentive des motifs du juge </w:t>
      </w:r>
      <w:r w:rsidRPr="0054234B">
        <w:rPr>
          <w:rFonts w:cs="Times New Roman"/>
          <w:noProof/>
          <w:lang w:val="fr-CA"/>
        </w:rPr>
        <w:t xml:space="preserve">Sopinka que ce dernier </w:t>
      </w:r>
      <w:r w:rsidRPr="0054234B">
        <w:rPr>
          <w:rFonts w:cs="Times New Roman"/>
          <w:i/>
          <w:iCs/>
          <w:noProof/>
          <w:lang w:val="fr-CA"/>
        </w:rPr>
        <w:t>n’</w:t>
      </w:r>
      <w:r w:rsidRPr="0054234B">
        <w:rPr>
          <w:rFonts w:cs="Times New Roman"/>
          <w:iCs/>
          <w:noProof/>
          <w:lang w:val="fr-CA"/>
        </w:rPr>
        <w:t xml:space="preserve">a </w:t>
      </w:r>
      <w:r w:rsidRPr="0054234B">
        <w:rPr>
          <w:rFonts w:cs="Times New Roman"/>
          <w:i/>
          <w:iCs/>
          <w:noProof/>
          <w:lang w:val="fr-CA"/>
        </w:rPr>
        <w:t>pas</w:t>
      </w:r>
      <w:r w:rsidRPr="0054234B">
        <w:rPr>
          <w:rFonts w:cs="Times New Roman"/>
          <w:iCs/>
          <w:noProof/>
          <w:lang w:val="fr-CA"/>
        </w:rPr>
        <w:t xml:space="preserve"> dit</w:t>
      </w:r>
      <w:r w:rsidRPr="0054234B">
        <w:rPr>
          <w:rFonts w:cs="Times New Roman"/>
          <w:noProof/>
          <w:lang w:val="fr-CA"/>
        </w:rPr>
        <w:t xml:space="preserve"> que la preuve était inadmissible pour des raisons de pertinence. Notre Cour n’a pas confirmé l’analyse de la pertinence effectuée par la Cour d’appel ou l’application par celle</w:t>
      </w:r>
      <w:r w:rsidRPr="0054234B">
        <w:rPr>
          <w:rFonts w:cs="Times New Roman"/>
          <w:noProof/>
          <w:lang w:val="fr-CA"/>
        </w:rPr>
        <w:noBreakHyphen/>
        <w:t>ci de l’approche raisonnée. Le juge Sopinka a plutôt déclaré que, même si le témoignage avait été pertinent, il aurait dû être écarté après une mise en balance de sa valeur probante et de son effet préjudiciable.</w:t>
      </w:r>
    </w:p>
    <w:p w14:paraId="5E75183B"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La preuve présentée au procès dans l’affaire </w:t>
      </w:r>
      <w:r w:rsidRPr="0054234B">
        <w:rPr>
          <w:rFonts w:cs="Times New Roman"/>
          <w:i/>
          <w:noProof/>
          <w:lang w:val="fr-CA"/>
        </w:rPr>
        <w:t>Ferris</w:t>
      </w:r>
      <w:r w:rsidRPr="0054234B">
        <w:rPr>
          <w:rFonts w:cs="Times New Roman"/>
          <w:noProof/>
          <w:lang w:val="fr-CA"/>
        </w:rPr>
        <w:t xml:space="preserve"> </w:t>
      </w:r>
      <w:r w:rsidRPr="0054234B">
        <w:rPr>
          <w:rFonts w:cs="Times New Roman"/>
          <w:iCs/>
          <w:noProof/>
          <w:lang w:val="fr-CA"/>
        </w:rPr>
        <w:t xml:space="preserve">était différente de celle dont il est question en l’espèce. Dans </w:t>
      </w:r>
      <w:r w:rsidRPr="0054234B">
        <w:rPr>
          <w:rFonts w:cs="Times New Roman"/>
          <w:i/>
          <w:noProof/>
          <w:lang w:val="fr-CA"/>
        </w:rPr>
        <w:t>Ferris</w:t>
      </w:r>
      <w:r w:rsidRPr="0054234B">
        <w:rPr>
          <w:rFonts w:cs="Times New Roman"/>
          <w:noProof/>
          <w:lang w:val="fr-CA"/>
        </w:rPr>
        <w:t>, l’accusé et le policier étaient des étrangers l’un par rapport à l’autre. Il n’y avait dans cette affaire absolument rien de similaire aux circonstances, à la chronologie des événements et aux conversations qui ont précédé, dans le présent cas, les paroles que le frère a entendues durant la conversation de l’accusé avec son épouse.</w:t>
      </w:r>
    </w:p>
    <w:p w14:paraId="4D2F82AC"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Encore une fois, il faut garder à l’esprit la différence entre la pertinence et la fiabilité en dernière analyse. La fidélité avec laquelle le frère se rappelait des paroles prononcées par l’accusé se rapporte à la fiabilité en dernière analyse, une question qui relève du juge des faits. Peu de gens seraient en mesure de se souvenir des paroles exactes qui ont été prononcées lors d’une conversation récente qu’ils ont écoutée attentivement. Néanmoins, bon nombre d’entre nous seraient capables de se rappeler l’essentiel de cette conversation. Les règles de preuve doivent tenir compte de cette réalité. L’analyse de la valeur probante et le poids accordé à un élément de preuve par le juge des faits sont des mécanismes suffisants pour tenir compte des lacunes de la mémoire. Il n’est pas nécessaire que ces lacunes soient </w:t>
      </w:r>
      <w:r w:rsidRPr="0054234B">
        <w:rPr>
          <w:rFonts w:cs="Times New Roman"/>
          <w:i/>
          <w:noProof/>
          <w:lang w:val="fr-CA"/>
        </w:rPr>
        <w:t>aussi</w:t>
      </w:r>
      <w:r w:rsidRPr="0054234B">
        <w:rPr>
          <w:rFonts w:cs="Times New Roman"/>
          <w:noProof/>
          <w:lang w:val="fr-CA"/>
        </w:rPr>
        <w:t xml:space="preserve"> prises en compte dans la détermination de la pertinence.</w:t>
      </w:r>
    </w:p>
    <w:p w14:paraId="32B4E843"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iCs/>
          <w:noProof/>
          <w:lang w:val="fr-CA"/>
        </w:rPr>
        <w:t>L’arrêt</w:t>
      </w:r>
      <w:r w:rsidRPr="0054234B">
        <w:rPr>
          <w:rFonts w:cs="Times New Roman"/>
          <w:i/>
          <w:noProof/>
          <w:lang w:val="fr-CA"/>
        </w:rPr>
        <w:t xml:space="preserve"> Ferris</w:t>
      </w:r>
      <w:r w:rsidRPr="0054234B">
        <w:rPr>
          <w:rFonts w:cs="Times New Roman"/>
          <w:noProof/>
          <w:lang w:val="fr-CA"/>
        </w:rPr>
        <w:t xml:space="preserve"> </w:t>
      </w:r>
      <w:r w:rsidRPr="0054234B">
        <w:rPr>
          <w:rFonts w:cs="Times New Roman"/>
          <w:iCs/>
          <w:noProof/>
          <w:lang w:val="fr-CA"/>
        </w:rPr>
        <w:t>demeure valable, mais il doit être lu avec soin</w:t>
      </w:r>
      <w:r w:rsidRPr="0054234B">
        <w:rPr>
          <w:rFonts w:cs="Times New Roman"/>
          <w:noProof/>
          <w:lang w:val="fr-CA"/>
        </w:rPr>
        <w:t xml:space="preserve">. Effectivement, « [l]’exclusion d’une conversation partielle n’est [. . .] pas automatique et l’analyse est avant tout contextuelle » (Vauclair et </w:t>
      </w:r>
      <w:r w:rsidRPr="0054234B">
        <w:rPr>
          <w:rFonts w:cs="Times New Roman"/>
          <w:lang w:val="fr-CA"/>
        </w:rPr>
        <w:t>Desjardins</w:t>
      </w:r>
      <w:r w:rsidRPr="0054234B">
        <w:rPr>
          <w:rFonts w:cs="Times New Roman"/>
          <w:noProof/>
          <w:lang w:val="fr-CA"/>
        </w:rPr>
        <w:t xml:space="preserve">, p. 970). Je tiens à souligner l’application de cet arrêt dans trois décisions : </w:t>
      </w:r>
      <w:r w:rsidRPr="0054234B">
        <w:rPr>
          <w:rFonts w:cs="Times New Roman"/>
          <w:i/>
          <w:noProof/>
          <w:lang w:val="fr-CA"/>
        </w:rPr>
        <w:t>R. c. Bennight</w:t>
      </w:r>
      <w:r w:rsidRPr="0054234B">
        <w:rPr>
          <w:rFonts w:cs="Times New Roman"/>
          <w:noProof/>
          <w:lang w:val="fr-CA"/>
        </w:rPr>
        <w:t xml:space="preserve">, 2012 BCCA 190, </w:t>
      </w:r>
      <w:r w:rsidRPr="0054234B">
        <w:rPr>
          <w:rFonts w:cs="Times New Roman"/>
          <w:lang w:val="fr-CA"/>
        </w:rPr>
        <w:t>320 B.C.A.C. 195</w:t>
      </w:r>
      <w:r w:rsidRPr="0054234B">
        <w:rPr>
          <w:rFonts w:cs="Times New Roman"/>
          <w:noProof/>
          <w:lang w:val="fr-CA"/>
        </w:rPr>
        <w:t xml:space="preserve">, </w:t>
      </w:r>
      <w:r w:rsidRPr="0054234B">
        <w:rPr>
          <w:rFonts w:cs="Times New Roman"/>
          <w:i/>
          <w:noProof/>
          <w:lang w:val="fr-CA"/>
        </w:rPr>
        <w:t>R. c. Buttazzoni</w:t>
      </w:r>
      <w:r w:rsidRPr="0054234B">
        <w:rPr>
          <w:rFonts w:cs="Times New Roman"/>
          <w:noProof/>
          <w:lang w:val="fr-CA"/>
        </w:rPr>
        <w:t xml:space="preserve">, 2019 ONCA 645, et </w:t>
      </w:r>
      <w:r w:rsidRPr="0054234B">
        <w:rPr>
          <w:rFonts w:cs="Times New Roman"/>
          <w:i/>
          <w:noProof/>
          <w:lang w:val="fr-CA"/>
        </w:rPr>
        <w:t>R. c. Hummel</w:t>
      </w:r>
      <w:r w:rsidRPr="0054234B">
        <w:rPr>
          <w:rFonts w:cs="Times New Roman"/>
          <w:noProof/>
          <w:lang w:val="fr-CA"/>
        </w:rPr>
        <w:t>, 2002 YKCA 6</w:t>
      </w:r>
      <w:r w:rsidRPr="0054234B">
        <w:rPr>
          <w:rFonts w:cs="Times New Roman"/>
          <w:lang w:val="fr-CA"/>
        </w:rPr>
        <w:t>, 166 C.C.C. (3d) 30.</w:t>
      </w:r>
      <w:r w:rsidRPr="0054234B">
        <w:rPr>
          <w:rFonts w:cs="Times New Roman"/>
          <w:noProof/>
          <w:lang w:val="fr-CA"/>
        </w:rPr>
        <w:t xml:space="preserve"> Voir aussi </w:t>
      </w:r>
      <w:r w:rsidRPr="0054234B">
        <w:rPr>
          <w:rFonts w:cs="Times New Roman"/>
          <w:i/>
          <w:noProof/>
          <w:lang w:val="fr-CA"/>
        </w:rPr>
        <w:t>R. c. Reierson</w:t>
      </w:r>
      <w:r w:rsidRPr="0054234B">
        <w:rPr>
          <w:rFonts w:cs="Times New Roman"/>
          <w:noProof/>
          <w:lang w:val="fr-CA"/>
        </w:rPr>
        <w:t>, 2010 BCCA 381</w:t>
      </w:r>
      <w:r w:rsidRPr="0054234B">
        <w:rPr>
          <w:rFonts w:cs="Times New Roman"/>
          <w:lang w:val="fr-CA"/>
        </w:rPr>
        <w:t>, 259 C.C.C. (3d) 32</w:t>
      </w:r>
      <w:r w:rsidRPr="0054234B">
        <w:rPr>
          <w:rFonts w:cs="Times New Roman"/>
          <w:noProof/>
          <w:lang w:val="fr-CA"/>
        </w:rPr>
        <w:t>, par. 40.</w:t>
      </w:r>
    </w:p>
    <w:p w14:paraId="613F1BC5"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L’arrêt </w:t>
      </w:r>
      <w:r w:rsidRPr="0054234B">
        <w:rPr>
          <w:rFonts w:cs="Times New Roman"/>
          <w:i/>
          <w:noProof/>
          <w:lang w:val="fr-CA"/>
        </w:rPr>
        <w:t>Bennight</w:t>
      </w:r>
      <w:r w:rsidRPr="0054234B">
        <w:rPr>
          <w:rFonts w:cs="Times New Roman"/>
          <w:noProof/>
          <w:lang w:val="fr-CA"/>
        </w:rPr>
        <w:t xml:space="preserve"> est factuellement assez similaire à la présente espèce. Dans cette affaire, la Cour d’appel de la Colombie</w:t>
      </w:r>
      <w:r w:rsidRPr="0054234B">
        <w:rPr>
          <w:rFonts w:cs="Times New Roman"/>
          <w:noProof/>
          <w:lang w:val="fr-CA"/>
        </w:rPr>
        <w:noBreakHyphen/>
        <w:t>Britannique avait admis en preuve le témoignage d’une agente correctionnelle qui n’arrivait pas à se souvenir des paroles précises que lui avait dites le contrevenant. La cour a estimé qu’il suffisait que [</w:t>
      </w:r>
      <w:r w:rsidRPr="0054234B">
        <w:rPr>
          <w:rFonts w:cs="Times New Roman"/>
          <w:smallCaps/>
          <w:noProof/>
          <w:lang w:val="fr-CA"/>
        </w:rPr>
        <w:t>traduction</w:t>
      </w:r>
      <w:r w:rsidRPr="0054234B">
        <w:rPr>
          <w:rFonts w:cs="Times New Roman"/>
          <w:noProof/>
          <w:lang w:val="fr-CA"/>
        </w:rPr>
        <w:t>] « le témoin puisse témoigner à la fois à l’égard de “l’essence” de la déclaration et du contexte dans lequel elle a été faite » (par. 92). Le fait que l’agente était incapable de se rappeler les paroles précises n’était pas pertinent pour l’analyse de la pertinence effectuée par le juge; le caractère incomplet du témoignage était un facteur à soupeser par le jury</w:t>
      </w:r>
      <w:r w:rsidRPr="0054234B">
        <w:rPr>
          <w:rFonts w:cs="Times New Roman"/>
          <w:noProof/>
          <w:szCs w:val="24"/>
          <w:lang w:val="fr-CA"/>
        </w:rPr>
        <w:t xml:space="preserve">. En l’espèce, l’accusé a fait valoir devant notre Cour que l’arrêt </w:t>
      </w:r>
      <w:r w:rsidRPr="0054234B">
        <w:rPr>
          <w:rFonts w:cs="Times New Roman"/>
          <w:i/>
          <w:noProof/>
          <w:szCs w:val="24"/>
          <w:lang w:val="fr-CA"/>
        </w:rPr>
        <w:t>Bennight</w:t>
      </w:r>
      <w:r w:rsidRPr="0054234B">
        <w:rPr>
          <w:rFonts w:cs="Times New Roman"/>
          <w:noProof/>
          <w:szCs w:val="24"/>
          <w:lang w:val="fr-CA"/>
        </w:rPr>
        <w:t xml:space="preserve"> différait de la présente instance en ce que dans </w:t>
      </w:r>
      <w:r w:rsidRPr="0054234B">
        <w:rPr>
          <w:rFonts w:cs="Times New Roman"/>
          <w:i/>
          <w:noProof/>
          <w:szCs w:val="24"/>
          <w:lang w:val="fr-CA"/>
        </w:rPr>
        <w:t>Bennight</w:t>
      </w:r>
      <w:r w:rsidRPr="0054234B">
        <w:rPr>
          <w:rFonts w:cs="Times New Roman"/>
          <w:noProof/>
          <w:szCs w:val="24"/>
          <w:lang w:val="fr-CA"/>
        </w:rPr>
        <w:t xml:space="preserve"> l’agente correctionnelle avait entendu les paroles prononcées par les deux parties à la conversation. J’estime qu’il s’agit d’une distinction sans conséquence. Ce qui importe, c’est la question de savoir s</w:t>
      </w:r>
      <w:r w:rsidRPr="0054234B">
        <w:rPr>
          <w:rFonts w:cs="Times New Roman"/>
          <w:noProof/>
          <w:lang w:val="fr-CA"/>
        </w:rPr>
        <w:t>i l’élément de preuve tend à accroître ou à diminuer la probabilité de l’existence d’un fait, et non les circonstances particulières à l’origine de cette preuve.</w:t>
      </w:r>
    </w:p>
    <w:p w14:paraId="4D192EB4"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Dans l’affaire </w:t>
      </w:r>
      <w:r w:rsidRPr="0054234B">
        <w:rPr>
          <w:rFonts w:cs="Times New Roman"/>
          <w:i/>
          <w:noProof/>
          <w:lang w:val="fr-CA"/>
        </w:rPr>
        <w:t>Buttazzoni</w:t>
      </w:r>
      <w:r w:rsidRPr="0054234B">
        <w:rPr>
          <w:rFonts w:cs="Times New Roman"/>
          <w:noProof/>
          <w:lang w:val="fr-CA"/>
        </w:rPr>
        <w:t>,</w:t>
      </w:r>
      <w:r w:rsidRPr="0054234B">
        <w:rPr>
          <w:rFonts w:cs="Times New Roman"/>
          <w:i/>
          <w:noProof/>
          <w:lang w:val="fr-CA"/>
        </w:rPr>
        <w:t xml:space="preserve"> </w:t>
      </w:r>
      <w:r w:rsidRPr="0054234B">
        <w:rPr>
          <w:rFonts w:cs="Times New Roman"/>
          <w:noProof/>
          <w:lang w:val="fr-CA"/>
        </w:rPr>
        <w:t>la Cour d’appel de l’Ontario a conclu que le juge du procès avait à juste titre admis en preuve [</w:t>
      </w:r>
      <w:r w:rsidRPr="0054234B">
        <w:rPr>
          <w:rFonts w:cs="Times New Roman"/>
          <w:smallCaps/>
          <w:noProof/>
          <w:lang w:val="fr-CA"/>
        </w:rPr>
        <w:t>traduction]</w:t>
      </w:r>
      <w:r w:rsidRPr="0054234B">
        <w:rPr>
          <w:rFonts w:cs="Times New Roman"/>
          <w:noProof/>
          <w:lang w:val="fr-CA"/>
        </w:rPr>
        <w:t xml:space="preserve"> « des propos relatés [qui] ont été qualifiés de “presque textuels” », et </w:t>
      </w:r>
      <w:r w:rsidRPr="0054234B">
        <w:rPr>
          <w:rFonts w:cs="Times New Roman"/>
          <w:i/>
          <w:iCs/>
          <w:noProof/>
          <w:lang w:val="fr-CA"/>
        </w:rPr>
        <w:t>également</w:t>
      </w:r>
      <w:r w:rsidRPr="0054234B">
        <w:rPr>
          <w:rFonts w:cs="Times New Roman"/>
          <w:noProof/>
          <w:lang w:val="fr-CA"/>
        </w:rPr>
        <w:t xml:space="preserve"> admis à bon droit des propos relatés qui constituaient « un résumé paraphrasé » (par. 56). La question de l’exactitude des souvenirs ne concernait pas la pertinence, mais constituait plutôt un facteur qui devait être soupesé par le juge des faits. Tout comme dans l’affaire </w:t>
      </w:r>
      <w:r w:rsidRPr="0054234B">
        <w:rPr>
          <w:rFonts w:cs="Times New Roman"/>
          <w:i/>
          <w:noProof/>
          <w:lang w:val="fr-CA"/>
        </w:rPr>
        <w:t>Bennight</w:t>
      </w:r>
      <w:r w:rsidRPr="0054234B">
        <w:rPr>
          <w:rFonts w:cs="Times New Roman"/>
          <w:noProof/>
          <w:lang w:val="fr-CA"/>
        </w:rPr>
        <w:t xml:space="preserve">, le témoin </w:t>
      </w:r>
      <w:r w:rsidRPr="0054234B">
        <w:rPr>
          <w:rFonts w:cs="Times New Roman"/>
          <w:noProof/>
          <w:szCs w:val="24"/>
          <w:lang w:val="fr-CA"/>
        </w:rPr>
        <w:t>avait entendu les paroles prononcées par les deux parties à la conversation</w:t>
      </w:r>
      <w:r w:rsidRPr="0054234B">
        <w:rPr>
          <w:rFonts w:cs="Times New Roman"/>
          <w:noProof/>
          <w:lang w:val="fr-CA"/>
        </w:rPr>
        <w:t>. Toutefois, comme je l’ai souligné, il ne s’agit pas d’une justification raisonnée permettant d’établir une distinction entre ces affaires et les circonstances du présent pourvoi.</w:t>
      </w:r>
    </w:p>
    <w:p w14:paraId="5A219CEF"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Dans l’affaire </w:t>
      </w:r>
      <w:r w:rsidRPr="0054234B">
        <w:rPr>
          <w:rFonts w:cs="Times New Roman"/>
          <w:i/>
          <w:noProof/>
          <w:lang w:val="fr-CA"/>
        </w:rPr>
        <w:t>Hummel</w:t>
      </w:r>
      <w:r w:rsidRPr="0054234B">
        <w:rPr>
          <w:rFonts w:cs="Times New Roman"/>
          <w:noProof/>
          <w:lang w:val="fr-CA"/>
        </w:rPr>
        <w:t>, l’accusé soutenait en appel que le juge du procès avait erronément admis un témoignage suggérant qu’il avait dit [</w:t>
      </w:r>
      <w:r w:rsidRPr="0054234B">
        <w:rPr>
          <w:rFonts w:cs="Times New Roman"/>
          <w:smallCaps/>
          <w:noProof/>
          <w:lang w:val="fr-CA"/>
        </w:rPr>
        <w:t>traduction]</w:t>
      </w:r>
      <w:r w:rsidRPr="0054234B">
        <w:rPr>
          <w:rFonts w:cs="Times New Roman"/>
          <w:noProof/>
          <w:lang w:val="fr-CA"/>
        </w:rPr>
        <w:t xml:space="preserve"> « J’entends la voix d’une femme appelant mon nom » et « d’outre</w:t>
      </w:r>
      <w:r w:rsidRPr="0054234B">
        <w:rPr>
          <w:rFonts w:cs="Times New Roman"/>
          <w:noProof/>
          <w:lang w:val="fr-CA"/>
        </w:rPr>
        <w:noBreakHyphen/>
        <w:t>tombe » (par. 8). La Cour d’appel du Yukon a conclu qu’il y avait [</w:t>
      </w:r>
      <w:r w:rsidRPr="0054234B">
        <w:rPr>
          <w:rFonts w:cs="Times New Roman"/>
          <w:smallCaps/>
          <w:noProof/>
          <w:lang w:val="fr-CA"/>
        </w:rPr>
        <w:t>traduction]</w:t>
      </w:r>
      <w:r w:rsidRPr="0054234B">
        <w:rPr>
          <w:rFonts w:cs="Times New Roman"/>
          <w:noProof/>
          <w:lang w:val="fr-CA"/>
        </w:rPr>
        <w:t xml:space="preserve"> « amplement de contexte au regard duquel les paroles pouvaient être considérées », puisque l’accusé avait prononcé ces paroles le matin qui avait suivi le moment où la victime avait été vue vivante pour la dernière fois et qu’il y avait d’autres éléments de preuve le rattachant à celle</w:t>
      </w:r>
      <w:r w:rsidRPr="0054234B">
        <w:rPr>
          <w:rFonts w:cs="Times New Roman"/>
          <w:noProof/>
          <w:lang w:val="fr-CA"/>
        </w:rPr>
        <w:noBreakHyphen/>
        <w:t>ci avant sa disparition (par. 32). Le jury pouvait inférer que l’accusé exprimait des remords par ces paroles.</w:t>
      </w:r>
    </w:p>
    <w:p w14:paraId="568E6C17"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Ces décisions montrent qu’il ne faut pas considérer que l’arrêt </w:t>
      </w:r>
      <w:r w:rsidRPr="0054234B">
        <w:rPr>
          <w:rFonts w:cs="Times New Roman"/>
          <w:i/>
          <w:noProof/>
          <w:lang w:val="fr-CA"/>
        </w:rPr>
        <w:t>Ferris</w:t>
      </w:r>
      <w:r w:rsidRPr="0054234B">
        <w:rPr>
          <w:rFonts w:cs="Times New Roman"/>
          <w:noProof/>
          <w:lang w:val="fr-CA"/>
        </w:rPr>
        <w:t xml:space="preserve"> permet d’affirmer que le souvenir incomplet d’aveux émanant d’une partie entraîne l’exclusion d’un tel élément de preuve, ou que seul le « micro</w:t>
      </w:r>
      <w:r w:rsidRPr="0054234B">
        <w:rPr>
          <w:rFonts w:cs="Times New Roman"/>
          <w:noProof/>
          <w:lang w:val="fr-CA"/>
        </w:rPr>
        <w:noBreakHyphen/>
        <w:t>contexte » peut éclairer la signification des paroles prononcées et, par conséquent, la pertinence. Dans l’appréciation de la pertinence (logique), ce qui importe c’est de savoir si l’élément de preuve tend à accroître ou à diminuer la probabilité de l’existence d’un fait en litige (</w:t>
      </w:r>
      <w:r w:rsidRPr="0054234B">
        <w:rPr>
          <w:rFonts w:cs="Times New Roman"/>
          <w:i/>
          <w:noProof/>
          <w:lang w:val="fr-CA"/>
        </w:rPr>
        <w:t>Arp</w:t>
      </w:r>
      <w:r w:rsidRPr="0054234B">
        <w:rPr>
          <w:rFonts w:cs="Times New Roman"/>
          <w:noProof/>
          <w:lang w:val="fr-CA"/>
        </w:rPr>
        <w:t>, par. 38).</w:t>
      </w:r>
    </w:p>
    <w:p w14:paraId="30D5A472"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Même s’il n’était pas en mesure de se rappeler les paroles exactes qu’avait prononcées l’accusé, le frère a témoigné qu’il avait entendu une conversation téléphonique au cours de laquelle l’accusé avait admis avoir tué M</w:t>
      </w:r>
      <w:r w:rsidRPr="0054234B">
        <w:rPr>
          <w:rFonts w:cs="Times New Roman"/>
          <w:noProof/>
          <w:vertAlign w:val="superscript"/>
          <w:lang w:val="fr-CA"/>
        </w:rPr>
        <w:t>me</w:t>
      </w:r>
      <w:r w:rsidRPr="0054234B">
        <w:rPr>
          <w:rFonts w:cs="Times New Roman"/>
          <w:noProof/>
          <w:lang w:val="fr-CA"/>
        </w:rPr>
        <w:t xml:space="preserve"> Kogawa. Si le jury y prête foi, le souvenir du frère concernant l’appel téléphonique (pour reprendre les termes utilisés dans </w:t>
      </w:r>
      <w:r w:rsidRPr="0054234B">
        <w:rPr>
          <w:rFonts w:cs="Times New Roman"/>
          <w:i/>
          <w:noProof/>
          <w:lang w:val="fr-CA"/>
        </w:rPr>
        <w:t>Arp</w:t>
      </w:r>
      <w:r w:rsidRPr="0054234B">
        <w:rPr>
          <w:rFonts w:cs="Times New Roman"/>
          <w:noProof/>
          <w:lang w:val="fr-CA"/>
        </w:rPr>
        <w:t xml:space="preserve">) « ten[d] </w:t>
      </w:r>
      <w:r w:rsidRPr="0054234B">
        <w:rPr>
          <w:rFonts w:cs="Times New Roman"/>
          <w:noProof/>
          <w:szCs w:val="24"/>
          <w:lang w:val="fr-CA"/>
        </w:rPr>
        <w:t xml:space="preserve">à </w:t>
      </w:r>
      <w:r w:rsidRPr="0054234B">
        <w:rPr>
          <w:rFonts w:eastAsia="Times New Roman" w:cs="Times New Roman"/>
          <w:noProof/>
          <w:szCs w:val="24"/>
          <w:lang w:val="fr-CA" w:eastAsia="en-CA"/>
        </w:rPr>
        <w:t>[</w:t>
      </w:r>
      <w:r w:rsidRPr="0054234B">
        <w:rPr>
          <w:rFonts w:eastAsia="Times New Roman" w:cs="Times New Roman"/>
          <w:smallCaps/>
          <w:noProof/>
          <w:szCs w:val="24"/>
          <w:lang w:val="fr-CA" w:eastAsia="en-CA"/>
        </w:rPr>
        <w:t>traduction</w:t>
      </w:r>
      <w:r w:rsidRPr="0054234B">
        <w:rPr>
          <w:rFonts w:eastAsia="Times New Roman" w:cs="Times New Roman"/>
          <w:noProof/>
          <w:szCs w:val="24"/>
          <w:lang w:val="fr-CA" w:eastAsia="en-CA"/>
        </w:rPr>
        <w:t xml:space="preserve">] </w:t>
      </w:r>
      <w:r w:rsidRPr="0054234B">
        <w:rPr>
          <w:rFonts w:cs="Times New Roman"/>
          <w:noProof/>
          <w:szCs w:val="24"/>
          <w:lang w:val="fr-CA"/>
        </w:rPr>
        <w:t>“</w:t>
      </w:r>
      <w:r w:rsidRPr="0054234B">
        <w:rPr>
          <w:rFonts w:cs="Times New Roman"/>
          <w:noProof/>
          <w:lang w:val="fr-CA"/>
        </w:rPr>
        <w:t>accroître [. . .] la probabilité” » que l’accusé ait été responsable de la mort de la victime. À la lumière des autres éléments de preuve, le témoignage du frère rapportait des propos capables de signification non conjecturale et il était pertinent.</w:t>
      </w:r>
    </w:p>
    <w:p w14:paraId="0F126715" w14:textId="77777777" w:rsidR="008B6D43" w:rsidRPr="0054234B" w:rsidRDefault="008B6D43" w:rsidP="008B6D43">
      <w:pPr>
        <w:pStyle w:val="Title4LevelTitre4Niveau"/>
        <w:numPr>
          <w:ilvl w:val="1"/>
          <w:numId w:val="16"/>
        </w:numPr>
        <w:spacing w:before="0"/>
        <w:ind w:left="1181" w:hanging="634"/>
        <w:rPr>
          <w:rFonts w:cs="Times New Roman"/>
          <w:noProof/>
          <w:lang w:val="fr-CA"/>
        </w:rPr>
      </w:pPr>
      <w:r w:rsidRPr="0054234B">
        <w:rPr>
          <w:rFonts w:cs="Times New Roman"/>
          <w:noProof/>
          <w:lang w:val="fr-CA"/>
        </w:rPr>
        <w:t>Le témoignage constituait du ouï</w:t>
      </w:r>
      <w:r w:rsidRPr="0054234B">
        <w:rPr>
          <w:rFonts w:cs="Times New Roman"/>
          <w:noProof/>
          <w:lang w:val="fr-CA"/>
        </w:rPr>
        <w:noBreakHyphen/>
        <w:t>dire, mais était visé par l’exception à la règle d’exclusion du ouï</w:t>
      </w:r>
      <w:r w:rsidRPr="0054234B">
        <w:rPr>
          <w:rFonts w:cs="Times New Roman"/>
          <w:noProof/>
          <w:lang w:val="fr-CA"/>
        </w:rPr>
        <w:noBreakHyphen/>
        <w:t>dire relative aux aveux émanant d’une partie</w:t>
      </w:r>
    </w:p>
    <w:p w14:paraId="500956E9"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Couronne a présenté en preuve le témoignage du frère dans le but de démontrer que l’accusé avait admis avoir tué M</w:t>
      </w:r>
      <w:r w:rsidRPr="0054234B">
        <w:rPr>
          <w:rFonts w:cs="Times New Roman"/>
          <w:noProof/>
          <w:vertAlign w:val="superscript"/>
          <w:lang w:val="fr-CA"/>
        </w:rPr>
        <w:t>me</w:t>
      </w:r>
      <w:r w:rsidRPr="0054234B">
        <w:rPr>
          <w:rFonts w:cs="Times New Roman"/>
          <w:noProof/>
          <w:lang w:val="fr-CA"/>
        </w:rPr>
        <w:t> Kogawa. Ce témoignage constituait du ouï</w:t>
      </w:r>
      <w:r w:rsidRPr="0054234B">
        <w:rPr>
          <w:rFonts w:cs="Times New Roman"/>
          <w:noProof/>
          <w:lang w:val="fr-CA"/>
        </w:rPr>
        <w:noBreakHyphen/>
        <w:t>dire et était donc inadmissible suivant la règle générale d’exclusion. Toutefois, le témoignage du frère indiquait que l’accusé avait</w:t>
      </w:r>
      <w:r w:rsidRPr="0054234B">
        <w:rPr>
          <w:rFonts w:cs="Times New Roman"/>
          <w:lang w:val="fr-CA"/>
        </w:rPr>
        <w:t xml:space="preserve"> admis, par ses propres mots, être responsable de la mort de </w:t>
      </w:r>
      <w:r w:rsidRPr="0054234B">
        <w:rPr>
          <w:rFonts w:cs="Times New Roman"/>
          <w:noProof/>
          <w:lang w:val="fr-CA"/>
        </w:rPr>
        <w:t>M</w:t>
      </w:r>
      <w:r w:rsidRPr="0054234B">
        <w:rPr>
          <w:rFonts w:cs="Times New Roman"/>
          <w:noProof/>
          <w:vertAlign w:val="superscript"/>
          <w:lang w:val="fr-CA"/>
        </w:rPr>
        <w:t>me</w:t>
      </w:r>
      <w:r w:rsidRPr="0054234B">
        <w:rPr>
          <w:rFonts w:cs="Times New Roman"/>
          <w:noProof/>
          <w:lang w:val="fr-CA"/>
        </w:rPr>
        <w:t> Kogawa</w:t>
      </w:r>
      <w:r w:rsidRPr="0054234B">
        <w:rPr>
          <w:rFonts w:cs="Times New Roman"/>
          <w:lang w:val="fr-CA"/>
        </w:rPr>
        <w:t>. Il s’agit d’un élément de preuve de quelque chose qu’une partie a dit ou fait et se rapportant à une question en litige au procès (voir Paciocco, Paciocco et Stuesser, p. 191</w:t>
      </w:r>
      <w:r w:rsidRPr="0054234B">
        <w:rPr>
          <w:rFonts w:cs="Times New Roman"/>
          <w:lang w:val="fr-CA"/>
        </w:rPr>
        <w:noBreakHyphen/>
        <w:t xml:space="preserve">192; Younger, p. 24). En tant que tel, cet élément de preuve constitue un aveu émanant d’une partie et est visé par une exception reconnue à la règle </w:t>
      </w:r>
      <w:r w:rsidRPr="0054234B">
        <w:rPr>
          <w:rFonts w:cs="Times New Roman"/>
          <w:noProof/>
          <w:lang w:val="fr-CA"/>
        </w:rPr>
        <w:t>générale d’exclusion.</w:t>
      </w:r>
    </w:p>
    <w:p w14:paraId="11581106" w14:textId="77777777" w:rsidR="008B6D43" w:rsidRPr="0054234B" w:rsidRDefault="008B6D43" w:rsidP="008B6D43">
      <w:pPr>
        <w:pStyle w:val="Title4LevelTitre4Niveau"/>
        <w:numPr>
          <w:ilvl w:val="1"/>
          <w:numId w:val="17"/>
        </w:numPr>
        <w:spacing w:before="0"/>
        <w:ind w:left="1181" w:hanging="634"/>
        <w:rPr>
          <w:rFonts w:cs="Times New Roman"/>
          <w:noProof/>
          <w:lang w:val="fr-CA"/>
        </w:rPr>
      </w:pPr>
      <w:r w:rsidRPr="0054234B">
        <w:rPr>
          <w:rFonts w:cs="Times New Roman"/>
          <w:lang w:val="fr-CA"/>
        </w:rPr>
        <w:t>À la lumière des directives détaillées qu’elle a données au jury, la juge du procès n’a pas fait erreur en admettant le témoignage en preuve</w:t>
      </w:r>
    </w:p>
    <w:p w14:paraId="7A91C7A0"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mise en balance de la valeur probante et de l’effet préjudiciable peut jouer un rôle crucial dans la décision relative à l’admissibilité d’aveux émanant d’une partie. Il s’agit d’une décision discrétionnaire prise par le juge qui préside un procès. Ces décisions commandent la déférence en cas de contrôle. L’accusé n’a pas démontré que la juge du procès avait commis une erreur dans l’exercice de son pouvoir discrétionnaire. Cela ressort de façon particulière des directives bien structurées que la juge du procès a données au jury sur l’utilisation appropriée qu’il pouvait faire des aveux émanant d’une partie.</w:t>
      </w:r>
    </w:p>
    <w:p w14:paraId="45A44B06"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Le témoignage du frère comportait des lacunes. Ce dernier était incertain quant aux paroles précises que l’accusé avait prononcées. Il a témoigné qu’il n’essayait pas d’écouter la conversation et qu’il avait entendu uniquement </w:t>
      </w:r>
      <w:r w:rsidRPr="0054234B">
        <w:rPr>
          <w:rFonts w:cs="Times New Roman"/>
          <w:noProof/>
          <w:szCs w:val="24"/>
          <w:lang w:val="fr-CA"/>
        </w:rPr>
        <w:t>les paroles prononcées par l’une des deux parties à la conversation</w:t>
      </w:r>
      <w:r w:rsidRPr="0054234B">
        <w:rPr>
          <w:rFonts w:cs="Times New Roman"/>
          <w:noProof/>
          <w:lang w:val="fr-CA"/>
        </w:rPr>
        <w:t>. Il ne savait pas si l’accusé répondait à des questions de son épouse. Le frère a admis qu’il avait consommé de l’alcool avant et après l’appel téléphonique et que l’accusé était sous l’influence de substances intoxicantes. Le frère a témoigné que l’élocution de l’accusé était affectée par l’héroïne qu’il avait consommée. Ces facteurs diminuaient la valeur probante des aveux émanant d’une partie.</w:t>
      </w:r>
    </w:p>
    <w:p w14:paraId="4ADEEF6F"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En ce qui concerne l’effet préjudiciable, je suis d’accord avec la juge Arbour, </w:t>
      </w:r>
      <w:r w:rsidRPr="0054234B">
        <w:rPr>
          <w:rFonts w:cs="Times New Roman"/>
          <w:lang w:val="fr-CA"/>
        </w:rPr>
        <w:t>dissidente, mais non sur ce point,</w:t>
      </w:r>
      <w:r w:rsidRPr="0054234B">
        <w:rPr>
          <w:rFonts w:cs="Times New Roman"/>
          <w:noProof/>
          <w:lang w:val="fr-CA"/>
        </w:rPr>
        <w:t xml:space="preserve"> pour dire que les jurys s</w:t>
      </w:r>
      <w:r w:rsidRPr="0054234B">
        <w:rPr>
          <w:rFonts w:cs="Times New Roman"/>
          <w:lang w:val="fr-CA"/>
        </w:rPr>
        <w:t xml:space="preserve">ont susceptibles d’accorder un poids important à un élément de preuve s’apparentant à une confession </w:t>
      </w:r>
      <w:r w:rsidRPr="0054234B">
        <w:rPr>
          <w:rFonts w:cs="Times New Roman"/>
          <w:noProof/>
          <w:lang w:val="fr-CA"/>
        </w:rPr>
        <w:t>(</w:t>
      </w:r>
      <w:r w:rsidRPr="0054234B">
        <w:rPr>
          <w:rFonts w:cs="Times New Roman"/>
          <w:i/>
          <w:noProof/>
          <w:lang w:val="fr-CA"/>
        </w:rPr>
        <w:t>R. c. Oickle</w:t>
      </w:r>
      <w:r w:rsidRPr="0054234B">
        <w:rPr>
          <w:rFonts w:cs="Times New Roman"/>
          <w:noProof/>
          <w:lang w:val="fr-CA"/>
        </w:rPr>
        <w:t>, 2000 CSC 38</w:t>
      </w:r>
      <w:r w:rsidRPr="0054234B">
        <w:rPr>
          <w:rFonts w:cs="Times New Roman"/>
          <w:lang w:val="fr-CA"/>
        </w:rPr>
        <w:t>, [2000] 2 R.C.S. 3</w:t>
      </w:r>
      <w:r w:rsidRPr="0054234B">
        <w:rPr>
          <w:rFonts w:cs="Times New Roman"/>
          <w:noProof/>
          <w:lang w:val="fr-CA"/>
        </w:rPr>
        <w:t xml:space="preserve">, par. 146). Notre Cour a </w:t>
      </w:r>
      <w:r w:rsidRPr="0054234B">
        <w:rPr>
          <w:rFonts w:cs="Times New Roman"/>
          <w:lang w:val="fr-CA"/>
        </w:rPr>
        <w:t xml:space="preserve">reconnu le risque appréciable d’utilisation préjudiciable des confessions (voir, p. ex., </w:t>
      </w:r>
      <w:r w:rsidRPr="0054234B">
        <w:rPr>
          <w:rFonts w:cs="Times New Roman"/>
          <w:i/>
          <w:iCs/>
          <w:lang w:val="fr-CA"/>
        </w:rPr>
        <w:t>Hart</w:t>
      </w:r>
      <w:r w:rsidRPr="0054234B">
        <w:rPr>
          <w:rFonts w:cs="Times New Roman"/>
          <w:lang w:val="fr-CA"/>
        </w:rPr>
        <w:t>, par. 106), et les aveux émanant d’une partie en cause en l’espèce s’apparentaient à une confession. La possibilité d’utilisation préjudiciable par le jury était bien réelle</w:t>
      </w:r>
      <w:r w:rsidRPr="0054234B">
        <w:rPr>
          <w:rFonts w:cs="Times New Roman"/>
          <w:noProof/>
          <w:lang w:val="fr-CA"/>
        </w:rPr>
        <w:t>.</w:t>
      </w:r>
    </w:p>
    <w:p w14:paraId="65944F63"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Lors de la mise en balance de la valeur probante et de l’effet préjudiciable, la juge du procès </w:t>
      </w:r>
      <w:r w:rsidRPr="0054234B">
        <w:rPr>
          <w:rFonts w:cs="Times New Roman"/>
          <w:lang w:val="fr-CA"/>
        </w:rPr>
        <w:t>a souligné que [</w:t>
      </w:r>
      <w:r w:rsidRPr="0054234B">
        <w:rPr>
          <w:rFonts w:cs="Times New Roman"/>
          <w:smallCaps/>
          <w:lang w:val="fr-CA"/>
        </w:rPr>
        <w:t>traduction</w:t>
      </w:r>
      <w:r w:rsidRPr="0054234B">
        <w:rPr>
          <w:rFonts w:cs="Times New Roman"/>
          <w:lang w:val="fr-CA"/>
        </w:rPr>
        <w:t>] « [l’</w:t>
      </w:r>
      <w:proofErr w:type="gramStart"/>
      <w:r w:rsidRPr="0054234B">
        <w:rPr>
          <w:rFonts w:cs="Times New Roman"/>
          <w:lang w:val="fr-CA"/>
        </w:rPr>
        <w:t>]effet</w:t>
      </w:r>
      <w:proofErr w:type="gramEnd"/>
      <w:r w:rsidRPr="0054234B">
        <w:rPr>
          <w:rFonts w:cs="Times New Roman"/>
          <w:lang w:val="fr-CA"/>
        </w:rPr>
        <w:t xml:space="preserve"> préjudiciable peut être tempéré par une mise en garde ferme au jury relativement à l’utilisation qui peut être faite de l’élément de preuve » (par. 21). La juge a formulé une telle mise en garde concernant l’utilisation appropriée de l’aveu en litige. Cela démontre qu’elle était consciente du risque de préjudice. La juge du procès a dit aux jurés que c’était à eux qu’il appartenait de décider si les déclarations attribuées à l’accusé par le frère avaient été faites. Les jurés devaient [</w:t>
      </w:r>
      <w:r w:rsidRPr="0054234B">
        <w:rPr>
          <w:rFonts w:cs="Times New Roman"/>
          <w:smallCaps/>
          <w:lang w:val="fr-CA"/>
        </w:rPr>
        <w:t>traduction</w:t>
      </w:r>
      <w:r w:rsidRPr="0054234B">
        <w:rPr>
          <w:rFonts w:cs="Times New Roman"/>
          <w:lang w:val="fr-CA"/>
        </w:rPr>
        <w:t>] « [c]onsidére[r] les circonstances dans lesquelles la conversation a eu lieu [et] garde[r] à l’esprit tout autre élément susceptible de rendre la déposition du témoin plus ou moins fiable » (</w:t>
      </w:r>
      <w:proofErr w:type="gramStart"/>
      <w:r w:rsidRPr="0054234B">
        <w:rPr>
          <w:rFonts w:cs="Times New Roman"/>
          <w:lang w:val="fr-CA"/>
        </w:rPr>
        <w:t>d.a.,</w:t>
      </w:r>
      <w:proofErr w:type="gramEnd"/>
      <w:r w:rsidRPr="0054234B">
        <w:rPr>
          <w:rFonts w:cs="Times New Roman"/>
          <w:lang w:val="fr-CA"/>
        </w:rPr>
        <w:t xml:space="preserve"> vol. IV, p. 197). La juge du procès a traité méthodiquement des lacunes du témoignage du frère dans les directives qu’elle a données au jury. Elle a souligné que le frère n’avait entendu que les propos d’un des deux interlocuteurs durant la conversation et qu’il ne se souvenait pas des paroles exactes prononcées par l’accusé. Elle a mentionné que l’accusé avait consommé de l’alcool et de l’héroïne avant l’appel, et que ces substances intoxicantes pouvaient avoir affecté ses propos. La juge a clairement indiqué que c’est au jury qu’il revenait de décider si l’accusé avait prononcé une phrase particulière et le sens de celle</w:t>
      </w:r>
      <w:r w:rsidRPr="0054234B">
        <w:rPr>
          <w:rFonts w:cs="Times New Roman"/>
          <w:lang w:val="fr-CA"/>
        </w:rPr>
        <w:noBreakHyphen/>
        <w:t xml:space="preserve">ci. </w:t>
      </w:r>
      <w:r w:rsidRPr="0054234B">
        <w:rPr>
          <w:rFonts w:cs="Times New Roman"/>
          <w:noProof/>
          <w:lang w:val="fr-CA"/>
        </w:rPr>
        <w:t>La juge a expliqué aux jurés qu’ils pouvaient faire abstraction de l’aveu s’ils n’étaient pas certains de ce qui avait été dit ou de la signification des paroles qui avaient été prononcées. Elle a dit aux jurés qu’ils ne pouvaient pas s’en remettre au témoignage du frère pour ce qui était de l’état d’esprit de l’accusé. C’était plutôt à eux qu’il appartenait de considérer ces questions.</w:t>
      </w:r>
    </w:p>
    <w:p w14:paraId="05B66F8C"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La juge du procès a formulé au jury des directives claires et efficaces sur l’utilisation appropriée du témoignage du frère. Ces directives ont fourni au jury les indications dont il avait besoin pour soupeser cet élément de preuve conformément aux principes juridiques. Par conséquent, les directives ont limité de manière efficace et adéquate la possibilité d’utilisation préjudiciable du témoignage.</w:t>
      </w:r>
    </w:p>
    <w:p w14:paraId="42E1F486"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À la lumière de ce qui précède, la juge du procès n’a pas fait erreur en admettant en preuve le témoignage du frère concernant ce qu’il avait entendu l’accusé dire.</w:t>
      </w:r>
    </w:p>
    <w:p w14:paraId="716E8807" w14:textId="77777777" w:rsidR="008B6D43" w:rsidRPr="0054234B" w:rsidRDefault="008B6D43" w:rsidP="008B6D43">
      <w:pPr>
        <w:pStyle w:val="Title2LevelTitre2Niveau"/>
        <w:numPr>
          <w:ilvl w:val="1"/>
          <w:numId w:val="9"/>
        </w:numPr>
        <w:spacing w:before="0"/>
        <w:rPr>
          <w:rFonts w:cs="Times New Roman"/>
          <w:noProof/>
          <w:lang w:val="fr-CA"/>
        </w:rPr>
      </w:pPr>
      <w:r w:rsidRPr="0054234B">
        <w:rPr>
          <w:rFonts w:cs="Times New Roman"/>
          <w:noProof/>
          <w:lang w:val="fr-CA"/>
        </w:rPr>
        <w:t>Le point concernant la question du jury</w:t>
      </w:r>
    </w:p>
    <w:p w14:paraId="38655C18"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Je souscris pour l’essentiel aux motifs de la Cour d’appel sur le point concernant la question du jury. La question posée par celui</w:t>
      </w:r>
      <w:r w:rsidRPr="0054234B">
        <w:rPr>
          <w:rFonts w:cs="Times New Roman"/>
          <w:noProof/>
          <w:lang w:val="fr-CA"/>
        </w:rPr>
        <w:noBreakHyphen/>
        <w:t>ci n’était pas ambiguë et la juge du procès y a répondu correctement. Malgré mon accord, je tiens toutefois à souligner deux points.</w:t>
      </w:r>
    </w:p>
    <w:p w14:paraId="238ADFC2"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Premièrement, l’accusé prétend en appel que la question du jury révélait l’existence de confusion relativement à l’intention requise à l’égard de l’infraction de meurtre et à celle exigée à l’égard de l’infraction d’homicide involontaire coupable. Cependant, l’avocat de l’accusé au procès (et non celui qui le représentait en appel) maintenait catégoriquement que ce </w:t>
      </w:r>
      <w:r w:rsidRPr="0054234B">
        <w:rPr>
          <w:rFonts w:cs="Times New Roman"/>
          <w:i/>
          <w:noProof/>
          <w:lang w:val="fr-CA"/>
        </w:rPr>
        <w:t>n’</w:t>
      </w:r>
      <w:r w:rsidRPr="0054234B">
        <w:rPr>
          <w:rFonts w:cs="Times New Roman"/>
          <w:noProof/>
          <w:lang w:val="fr-CA"/>
        </w:rPr>
        <w:t xml:space="preserve">était </w:t>
      </w:r>
      <w:r w:rsidRPr="0054234B">
        <w:rPr>
          <w:rFonts w:cs="Times New Roman"/>
          <w:i/>
          <w:noProof/>
          <w:lang w:val="fr-CA"/>
        </w:rPr>
        <w:t>pas</w:t>
      </w:r>
      <w:r w:rsidRPr="0054234B">
        <w:rPr>
          <w:rFonts w:cs="Times New Roman"/>
          <w:noProof/>
          <w:lang w:val="fr-CA"/>
        </w:rPr>
        <w:t xml:space="preserve"> ce sur quoi portait la question du jury. Le fait que l’avocat représentant un accusé au procès ait plaidé en faveur d’une certaine réponse à une question du jury n’est pas déterminant relativement à cette question en appel, mais constitue un facteur important à considérer (</w:t>
      </w:r>
      <w:r w:rsidRPr="0054234B">
        <w:rPr>
          <w:rFonts w:cs="Times New Roman"/>
          <w:i/>
          <w:noProof/>
          <w:lang w:val="fr-CA"/>
        </w:rPr>
        <w:t>R. c. Jacquard</w:t>
      </w:r>
      <w:r w:rsidRPr="0054234B">
        <w:rPr>
          <w:rFonts w:cs="Times New Roman"/>
          <w:noProof/>
          <w:lang w:val="fr-CA"/>
        </w:rPr>
        <w:t xml:space="preserve">, [1997] 1 R.C.S. 314, par. 38; </w:t>
      </w:r>
      <w:r w:rsidRPr="0054234B">
        <w:rPr>
          <w:rFonts w:cs="Times New Roman"/>
          <w:i/>
          <w:noProof/>
          <w:lang w:val="fr-CA"/>
        </w:rPr>
        <w:t>Araya</w:t>
      </w:r>
      <w:r w:rsidRPr="0054234B">
        <w:rPr>
          <w:rFonts w:cs="Times New Roman"/>
          <w:noProof/>
          <w:lang w:val="fr-CA"/>
        </w:rPr>
        <w:t xml:space="preserve">, par. 51). Bien qu’on ne doive pas attendre la perfection de la part des avocats qui représentent les accusés en première instance, ce sont eux qui sont les plus au fait des intérêts des accusés. En l’espèce, l’avocat de l’accusé au procès a délaissé la question de l’intention et suggéré que la juge fournisse au jury une </w:t>
      </w:r>
      <w:r w:rsidRPr="0054234B">
        <w:rPr>
          <w:rFonts w:cs="Times New Roman"/>
          <w:lang w:val="fr-CA"/>
        </w:rPr>
        <w:t>[</w:t>
      </w:r>
      <w:r w:rsidRPr="0054234B">
        <w:rPr>
          <w:rFonts w:cs="Times New Roman"/>
          <w:smallCaps/>
          <w:lang w:val="fr-CA"/>
        </w:rPr>
        <w:t>traduction</w:t>
      </w:r>
      <w:r w:rsidRPr="0054234B">
        <w:rPr>
          <w:rFonts w:cs="Times New Roman"/>
          <w:lang w:val="fr-CA"/>
        </w:rPr>
        <w:t>]</w:t>
      </w:r>
      <w:r w:rsidRPr="0054234B">
        <w:rPr>
          <w:rFonts w:cs="Times New Roman"/>
          <w:noProof/>
          <w:lang w:val="fr-CA"/>
        </w:rPr>
        <w:t xml:space="preserve"> « définition plus explicite de la notion de lésions corporelles » </w:t>
      </w:r>
      <w:r w:rsidRPr="0054234B">
        <w:rPr>
          <w:rFonts w:cs="Times New Roman"/>
          <w:lang w:val="fr-CA"/>
        </w:rPr>
        <w:t>(</w:t>
      </w:r>
      <w:proofErr w:type="gramStart"/>
      <w:r w:rsidRPr="0054234B">
        <w:rPr>
          <w:rFonts w:cs="Times New Roman"/>
          <w:lang w:val="fr-CA"/>
        </w:rPr>
        <w:t>d.a.,</w:t>
      </w:r>
      <w:proofErr w:type="gramEnd"/>
      <w:r w:rsidRPr="0054234B">
        <w:rPr>
          <w:rFonts w:cs="Times New Roman"/>
          <w:lang w:val="fr-CA"/>
        </w:rPr>
        <w:t xml:space="preserve"> vol. III, p. 330)</w:t>
      </w:r>
      <w:r w:rsidRPr="0054234B">
        <w:rPr>
          <w:rFonts w:cs="Times New Roman"/>
          <w:noProof/>
          <w:lang w:val="fr-CA"/>
        </w:rPr>
        <w:t xml:space="preserve">. </w:t>
      </w:r>
      <w:r w:rsidRPr="0054234B">
        <w:rPr>
          <w:rFonts w:cs="Times New Roman"/>
          <w:lang w:val="fr-CA"/>
        </w:rPr>
        <w:t>Cette approche représentait vraisemblablement l’opinion de l’avocat au procès sur la façon de répondre correctement à la question, d’une manière favorable à son client. Je ne vois aucune erreur dans la façon dont la juge du procès a traité cette question, particulièrement au regard des observations sur ce point de l’avocat qui représentait l’accusé en première instance</w:t>
      </w:r>
      <w:r w:rsidRPr="0054234B">
        <w:rPr>
          <w:rFonts w:cs="Times New Roman"/>
          <w:noProof/>
          <w:lang w:val="fr-CA"/>
        </w:rPr>
        <w:t>.</w:t>
      </w:r>
    </w:p>
    <w:p w14:paraId="21B6E38E" w14:textId="77777777" w:rsidR="008B6D43" w:rsidRPr="0054234B"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 xml:space="preserve">Deuxièmement, l’argument de l’accusé suivant lequel la définition de « lésions corporelles » figurant à l’art. 2 du </w:t>
      </w:r>
      <w:r w:rsidRPr="0054234B">
        <w:rPr>
          <w:rFonts w:cs="Times New Roman"/>
          <w:i/>
          <w:noProof/>
          <w:lang w:val="fr-CA"/>
        </w:rPr>
        <w:t>Code criminel</w:t>
      </w:r>
      <w:r w:rsidRPr="0054234B">
        <w:rPr>
          <w:rFonts w:cs="Times New Roman"/>
          <w:noProof/>
          <w:lang w:val="fr-CA"/>
        </w:rPr>
        <w:t xml:space="preserve"> ne s’applique pas au sous</w:t>
      </w:r>
      <w:r w:rsidRPr="0054234B">
        <w:rPr>
          <w:rFonts w:cs="Times New Roman"/>
          <w:noProof/>
          <w:lang w:val="fr-CA"/>
        </w:rPr>
        <w:noBreakHyphen/>
        <w:t xml:space="preserve">al. 229a)(ii), qui définit le meurtre, est dénué de fondement. Le terme « lésions corporelles » a le même sens dans l’ensemble du </w:t>
      </w:r>
      <w:r w:rsidRPr="0054234B">
        <w:rPr>
          <w:rFonts w:cs="Times New Roman"/>
          <w:i/>
          <w:noProof/>
          <w:lang w:val="fr-CA"/>
        </w:rPr>
        <w:t>Code criminel</w:t>
      </w:r>
      <w:r w:rsidRPr="0054234B">
        <w:rPr>
          <w:rFonts w:cs="Times New Roman"/>
          <w:noProof/>
          <w:lang w:val="fr-CA"/>
        </w:rPr>
        <w:t xml:space="preserve">. Lorsque le Parlement entend s’écarter du sens donné au terme « lésions corporelles », il le fait en lui ajoutant un qualificatif (p. ex., « lésions corporelles graves », au par. 25(3)). Aucun précédent de notre Cour, y compris l’arrêt </w:t>
      </w:r>
      <w:r w:rsidRPr="0054234B">
        <w:rPr>
          <w:rFonts w:cs="Times New Roman"/>
          <w:i/>
          <w:iCs/>
          <w:noProof/>
          <w:lang w:val="fr-CA"/>
        </w:rPr>
        <w:t>R. c. Miljevic</w:t>
      </w:r>
      <w:r w:rsidRPr="0054234B">
        <w:rPr>
          <w:rFonts w:cs="Times New Roman"/>
          <w:noProof/>
          <w:lang w:val="fr-CA"/>
        </w:rPr>
        <w:t xml:space="preserve">, 2011 CSC 8, </w:t>
      </w:r>
      <w:r w:rsidRPr="0054234B">
        <w:rPr>
          <w:rFonts w:cs="Times New Roman"/>
          <w:lang w:val="fr-CA"/>
        </w:rPr>
        <w:t>[2011] 1 R.C.S. 203</w:t>
      </w:r>
      <w:r w:rsidRPr="0054234B">
        <w:rPr>
          <w:rFonts w:cs="Times New Roman"/>
          <w:noProof/>
          <w:lang w:val="fr-CA"/>
        </w:rPr>
        <w:t>, ne doit être considéré comme suggérant le contraire. L’argument de l’accusé voulant que le meurtre exige des lésions corporelles sérieuses, dangereuses ou graves semble découler d’une compréhension inexacte du modèle de directives au jury. Les mots qu’il suggère pour qualifier les lésions corporelles — dangereuses, sérieuses, graves — ont trait à la prévisibilité. Je tiens à réitérer que la définition de « lésions corporelles » énoncée à l’art. 2 s’applique au sous</w:t>
      </w:r>
      <w:r w:rsidRPr="0054234B">
        <w:rPr>
          <w:rFonts w:cs="Times New Roman"/>
          <w:noProof/>
          <w:lang w:val="fr-CA"/>
        </w:rPr>
        <w:noBreakHyphen/>
        <w:t>al. 229a)(ii).</w:t>
      </w:r>
    </w:p>
    <w:p w14:paraId="00447C68" w14:textId="77777777" w:rsidR="008B6D43" w:rsidRPr="0054234B" w:rsidRDefault="008B6D43" w:rsidP="008B6D43">
      <w:pPr>
        <w:pStyle w:val="Title1LevelTitre1Niveau-AltL"/>
        <w:spacing w:before="0"/>
        <w:rPr>
          <w:rFonts w:cs="Times New Roman"/>
          <w:noProof/>
          <w:lang w:val="fr-CA"/>
        </w:rPr>
      </w:pPr>
      <w:r w:rsidRPr="0054234B">
        <w:rPr>
          <w:rFonts w:cs="Times New Roman"/>
          <w:noProof/>
          <w:lang w:val="fr-CA"/>
        </w:rPr>
        <w:t>Dispositif</w:t>
      </w:r>
    </w:p>
    <w:p w14:paraId="5E654FA3" w14:textId="77777777" w:rsidR="008B6D43" w:rsidRDefault="008B6D43" w:rsidP="008B6D43">
      <w:pPr>
        <w:pStyle w:val="ParaNoNdepar-AltN"/>
        <w:tabs>
          <w:tab w:val="clear" w:pos="1166"/>
          <w:tab w:val="num" w:pos="1152"/>
        </w:tabs>
        <w:spacing w:before="0"/>
        <w:rPr>
          <w:rFonts w:cs="Times New Roman"/>
          <w:noProof/>
          <w:lang w:val="fr-CA"/>
        </w:rPr>
      </w:pPr>
      <w:r w:rsidRPr="0054234B">
        <w:rPr>
          <w:rFonts w:cs="Times New Roman"/>
          <w:noProof/>
          <w:lang w:val="fr-CA"/>
        </w:rPr>
        <w:t>Je suis d’avis d’accueillir le pourvoi formé par la Couronne, d’infirmer l’ordonnance de la Cour d’appel et de rétablir la déclaration de culpabilité prononcée contre l’accusé pour meurtre au deuxième degré.</w:t>
      </w:r>
    </w:p>
    <w:p w14:paraId="6CEBBD5C" w14:textId="77777777" w:rsidR="008B6D43" w:rsidRDefault="008B6D43" w:rsidP="008B6D43">
      <w:pPr>
        <w:pStyle w:val="ParaNoNdepar-AltN"/>
        <w:numPr>
          <w:ilvl w:val="0"/>
          <w:numId w:val="0"/>
        </w:numPr>
        <w:spacing w:before="0"/>
        <w:rPr>
          <w:rFonts w:cs="Times New Roman"/>
          <w:noProof/>
          <w:lang w:val="fr-CA"/>
        </w:rPr>
      </w:pPr>
    </w:p>
    <w:p w14:paraId="3DE694C2" w14:textId="77777777" w:rsidR="008B6D43" w:rsidRDefault="008B6D43" w:rsidP="008B6D43">
      <w:pPr>
        <w:tabs>
          <w:tab w:val="left" w:pos="1134"/>
        </w:tabs>
        <w:jc w:val="both"/>
        <w:rPr>
          <w:lang w:val="fr-CA"/>
        </w:rPr>
      </w:pPr>
      <w:r w:rsidRPr="00AF1A21">
        <w:tab/>
      </w:r>
      <w:r w:rsidRPr="00173A02">
        <w:rPr>
          <w:lang w:val="fr-CA"/>
        </w:rPr>
        <w:t>Version française des motifs rendus par</w:t>
      </w:r>
    </w:p>
    <w:p w14:paraId="51E5B410" w14:textId="77777777" w:rsidR="008B6D43" w:rsidRPr="00AF1A21" w:rsidRDefault="008B6D43" w:rsidP="008B6D43">
      <w:pPr>
        <w:tabs>
          <w:tab w:val="left" w:pos="1134"/>
        </w:tabs>
        <w:jc w:val="both"/>
        <w:rPr>
          <w:lang w:val="fr-CA"/>
        </w:rPr>
      </w:pPr>
    </w:p>
    <w:p w14:paraId="3CD9B64E" w14:textId="77777777" w:rsidR="008B6D43" w:rsidRPr="00F2112C" w:rsidRDefault="008B6D43" w:rsidP="008B6D43">
      <w:pPr>
        <w:pStyle w:val="JudgeJuge"/>
        <w:spacing w:before="240"/>
        <w:rPr>
          <w:lang w:val="fr-CA"/>
        </w:rPr>
      </w:pPr>
      <w:r w:rsidRPr="00F2112C">
        <w:rPr>
          <w:lang w:val="fr-CA"/>
        </w:rPr>
        <w:tab/>
        <w:t xml:space="preserve">Les juges Karakatsanis et Brown — </w:t>
      </w:r>
    </w:p>
    <w:p w14:paraId="07339E37" w14:textId="77777777" w:rsidR="008B6D43" w:rsidRPr="00F2112C" w:rsidRDefault="008B6D43" w:rsidP="008B6D43">
      <w:pPr>
        <w:pStyle w:val="ParaNoNdepar-AltN"/>
        <w:tabs>
          <w:tab w:val="clear" w:pos="1166"/>
          <w:tab w:val="num" w:pos="1152"/>
        </w:tabs>
        <w:spacing w:before="0"/>
        <w:rPr>
          <w:rFonts w:cs="Times New Roman"/>
          <w:lang w:val="fr-CA"/>
        </w:rPr>
      </w:pPr>
      <w:r w:rsidRPr="00F2112C">
        <w:rPr>
          <w:rFonts w:cs="Times New Roman"/>
          <w:lang w:val="fr-CA"/>
        </w:rPr>
        <w:t>Nous sommes d’avis de rejeter le présent pourvoi. Nous ne sommes pas en désaccord avec le cadre d’analyse utilisé par nos collègues afin d’évaluer la pertinence et la valeur probante. Notre divergence d’opinions porte sur l’application de ce cadre en l’espèce. À notre avis, pour les motifs exposés par le juge Goepel de la Cour d’appel, un jury n’était pas en mesure de déterminer le sens ou la pertinence des déclarations qui ont été entendues (2021 BCCA 41, 400 C.C.C. (3d) 131). De plus, l’effet préjudiciable de celles</w:t>
      </w:r>
      <w:r w:rsidRPr="00F2112C">
        <w:rPr>
          <w:rFonts w:cs="Times New Roman"/>
          <w:lang w:val="fr-CA"/>
        </w:rPr>
        <w:noBreakHyphen/>
        <w:t>ci l’emportait sur la mince valeur probante qu’elles pouvaient avoir. Les déclarations entendues étaient inadmissibles.</w:t>
      </w:r>
    </w:p>
    <w:p w14:paraId="62494938" w14:textId="77777777" w:rsidR="008B6D43" w:rsidRPr="00F2112C" w:rsidRDefault="008B6D43" w:rsidP="008B6D43">
      <w:pPr>
        <w:pStyle w:val="ParaNoNdepar-AltN"/>
        <w:tabs>
          <w:tab w:val="clear" w:pos="1166"/>
          <w:tab w:val="num" w:pos="1152"/>
        </w:tabs>
        <w:spacing w:before="0"/>
        <w:rPr>
          <w:rFonts w:cs="Times New Roman"/>
          <w:lang w:val="fr-CA"/>
        </w:rPr>
      </w:pPr>
      <w:r w:rsidRPr="00F2112C">
        <w:rPr>
          <w:rFonts w:cs="Times New Roman"/>
          <w:lang w:val="fr-CA"/>
        </w:rPr>
        <w:t xml:space="preserve">Au regard de la preuve dont disposait le jury, il était impossible de savoir ce que M. Schneider avait dit à son épouse durant la conversation téléphonique entendue par le témoin. Ce dernier, le frère de M. Schneider, ne savait pas quelles paroles il avait entendues. Il essayait délibérément de </w:t>
      </w:r>
      <w:r w:rsidRPr="00F2112C">
        <w:rPr>
          <w:rFonts w:cs="Times New Roman"/>
          <w:i/>
          <w:lang w:val="fr-CA"/>
        </w:rPr>
        <w:t xml:space="preserve">ne pas </w:t>
      </w:r>
      <w:r w:rsidRPr="00F2112C">
        <w:rPr>
          <w:rFonts w:cs="Times New Roman"/>
          <w:lang w:val="fr-CA"/>
        </w:rPr>
        <w:t>écouter la conversation, laquelle a duré 13 minutes. Il n’a ni participé à cette conversation ni entendu les échanges des deux parties à la conversation. Il a reconnu qu’il ne savait pas ce qui avait été dit durant la conversation, et qu’il ne se souvenait même pas de la teneur de celle</w:t>
      </w:r>
      <w:r w:rsidRPr="00F2112C">
        <w:rPr>
          <w:rFonts w:cs="Times New Roman"/>
          <w:lang w:val="fr-CA"/>
        </w:rPr>
        <w:noBreakHyphen/>
        <w:t>ci. Initialement, lors de l’interrogatoire principal, il a témoigné qu’il avait entendu M. Schneider dire [</w:t>
      </w:r>
      <w:r w:rsidRPr="00F2112C">
        <w:rPr>
          <w:rFonts w:cs="Times New Roman"/>
          <w:smallCaps/>
          <w:lang w:val="fr-CA"/>
        </w:rPr>
        <w:t>traduction</w:t>
      </w:r>
      <w:r w:rsidRPr="00F2112C">
        <w:rPr>
          <w:rFonts w:cs="Times New Roman"/>
          <w:lang w:val="fr-CA"/>
        </w:rPr>
        <w:t>] « Je l’ai fait. Je l’ai tuée », à peu près au milieu de la conversation téléphonique (</w:t>
      </w:r>
      <w:proofErr w:type="gramStart"/>
      <w:r w:rsidRPr="00F2112C">
        <w:rPr>
          <w:rFonts w:cs="Times New Roman"/>
          <w:lang w:val="fr-CA"/>
        </w:rPr>
        <w:t>d.a.,</w:t>
      </w:r>
      <w:proofErr w:type="gramEnd"/>
      <w:r w:rsidRPr="00F2112C">
        <w:rPr>
          <w:rFonts w:cs="Times New Roman"/>
          <w:lang w:val="fr-CA"/>
        </w:rPr>
        <w:t xml:space="preserve"> vol. II, p. 170). Il a ensuite clarifié sa réponse en disant qu’il ne pouvait pas affirmer que c’étaient les paroles exactes qui avaient été prononcées, mais qu’il s’agissait de [</w:t>
      </w:r>
      <w:r w:rsidRPr="00F2112C">
        <w:rPr>
          <w:rFonts w:cs="Times New Roman"/>
          <w:smallCaps/>
          <w:lang w:val="fr-CA"/>
        </w:rPr>
        <w:t>traduction</w:t>
      </w:r>
      <w:r w:rsidRPr="00F2112C">
        <w:rPr>
          <w:rFonts w:cs="Times New Roman"/>
          <w:lang w:val="fr-CA"/>
        </w:rPr>
        <w:t>] « l’essence » de ce que M. Schneider avait dit durant la conversation (d.a., vol. II, p. 171). Il semble que l’« essence » de la conversation dérivait d’une déclaration qu’il avait entendue six ou sept minutes plus tôt au cours de la conversation, ainsi que, selon la Couronne, du traumatisme résultant du fait d’avoir accompagné son frère durant sa tentative de suicide. En contre</w:t>
      </w:r>
      <w:r w:rsidRPr="00F2112C">
        <w:rPr>
          <w:rFonts w:cs="Times New Roman"/>
          <w:lang w:val="fr-CA"/>
        </w:rPr>
        <w:noBreakHyphen/>
        <w:t>interrogatoire, le témoin a confirmé que, parce qu’il ne savait pas quelles étaient les paroles exactes prononcées par M. Schneider, il était possible qu’elles aient été quelque chose comme [</w:t>
      </w:r>
      <w:r w:rsidRPr="00F2112C">
        <w:rPr>
          <w:rFonts w:cs="Times New Roman"/>
          <w:smallCaps/>
          <w:lang w:val="fr-CA"/>
        </w:rPr>
        <w:t>traduction</w:t>
      </w:r>
      <w:r w:rsidRPr="00F2112C">
        <w:rPr>
          <w:rFonts w:cs="Times New Roman"/>
          <w:lang w:val="fr-CA"/>
        </w:rPr>
        <w:t>] « Je l’ai fait », et que ces paroles ⸺ quelles qu’elles aient été ⸺ avaient pu être prononcées au début, au milieu ou à la fin d’une phrase plus longue (</w:t>
      </w:r>
      <w:proofErr w:type="gramStart"/>
      <w:r w:rsidRPr="00F2112C">
        <w:rPr>
          <w:rFonts w:cs="Times New Roman"/>
          <w:lang w:val="fr-CA"/>
        </w:rPr>
        <w:t>d.a.,</w:t>
      </w:r>
      <w:proofErr w:type="gramEnd"/>
      <w:r w:rsidRPr="00F2112C">
        <w:rPr>
          <w:rFonts w:cs="Times New Roman"/>
          <w:lang w:val="fr-CA"/>
        </w:rPr>
        <w:t xml:space="preserve"> vol. II, p. 189</w:t>
      </w:r>
      <w:r w:rsidRPr="00F2112C">
        <w:rPr>
          <w:rFonts w:cs="Times New Roman"/>
          <w:lang w:val="fr-CA"/>
        </w:rPr>
        <w:noBreakHyphen/>
        <w:t>190).</w:t>
      </w:r>
    </w:p>
    <w:p w14:paraId="308ACDC0" w14:textId="77777777" w:rsidR="008B6D43" w:rsidRPr="00F2112C" w:rsidRDefault="008B6D43" w:rsidP="008B6D43">
      <w:pPr>
        <w:pStyle w:val="ParaNoNdepar-AltN"/>
        <w:tabs>
          <w:tab w:val="clear" w:pos="1166"/>
          <w:tab w:val="num" w:pos="1152"/>
        </w:tabs>
        <w:spacing w:before="0"/>
        <w:rPr>
          <w:rFonts w:cs="Times New Roman"/>
          <w:lang w:val="fr-CA"/>
        </w:rPr>
      </w:pPr>
      <w:r w:rsidRPr="00F2112C">
        <w:rPr>
          <w:rFonts w:cs="Times New Roman"/>
          <w:lang w:val="fr-CA"/>
        </w:rPr>
        <w:t>Au procès, la Couronne a demandé à présenter en preuve les paroles entendues par le frère de M. Schneider en tant qu’aveu de la responsabilité de ce dernier quant à la mort de la victime, Natsumi Kogawa. Dans ses observations finales, la Couronne a déclaré qu’on avait entendu M. Schneider dire à son épouse [</w:t>
      </w:r>
      <w:r w:rsidRPr="00F2112C">
        <w:rPr>
          <w:rFonts w:cs="Times New Roman"/>
          <w:smallCaps/>
          <w:lang w:val="fr-CA"/>
        </w:rPr>
        <w:t>traduction</w:t>
      </w:r>
      <w:r w:rsidRPr="00F2112C">
        <w:rPr>
          <w:rFonts w:cs="Times New Roman"/>
          <w:lang w:val="fr-CA"/>
        </w:rPr>
        <w:t>] « Je l’ai fait » ou « Je l’ai tuée » ⸺ tout en reconnaissant que les paroles exactes qui avaient été prononcées n’étaient pas connues ⸺, et elle a dit au jury « vous pouvez inférer de ces paroles qu’il avait l’intention de tuer Natsumi Kogawa ou qu’il voulait tuer Natsumi Kogawa » (</w:t>
      </w:r>
      <w:proofErr w:type="gramStart"/>
      <w:r w:rsidRPr="00F2112C">
        <w:rPr>
          <w:rFonts w:cs="Times New Roman"/>
          <w:lang w:val="fr-CA"/>
        </w:rPr>
        <w:t>d.a.,</w:t>
      </w:r>
      <w:proofErr w:type="gramEnd"/>
      <w:r w:rsidRPr="00F2112C">
        <w:rPr>
          <w:rFonts w:cs="Times New Roman"/>
          <w:lang w:val="fr-CA"/>
        </w:rPr>
        <w:t xml:space="preserve"> vol. III, p. 286).</w:t>
      </w:r>
    </w:p>
    <w:p w14:paraId="58040183" w14:textId="77777777" w:rsidR="008B6D43" w:rsidRPr="00F2112C" w:rsidRDefault="008B6D43" w:rsidP="008B6D43">
      <w:pPr>
        <w:pStyle w:val="ParaNoNdepar-AltN"/>
        <w:tabs>
          <w:tab w:val="clear" w:pos="1166"/>
          <w:tab w:val="num" w:pos="1152"/>
        </w:tabs>
        <w:spacing w:before="0"/>
        <w:rPr>
          <w:rFonts w:cs="Times New Roman"/>
          <w:lang w:val="fr-CA"/>
        </w:rPr>
      </w:pPr>
      <w:r w:rsidRPr="00F2112C">
        <w:rPr>
          <w:rFonts w:cs="Times New Roman"/>
          <w:lang w:val="fr-CA"/>
        </w:rPr>
        <w:t>Évaluer la pertinence du témoignage du frère de M. Schneider (y compris l’interprétation que lui donne la Couronne) constitue une opération purement conjecturale. Le recours par la Couronne au « contexte » afin de déterminer la pertinence de ce que le témoin estime être l’« essence » de la conversation revient non seulement à forcer le sens des mots, mais s’avère beaucoup plus préjudiciable qu’utile. Selon la Couronne, le « contexte » inclut le fait que le frère connaissait M. Schneider, que ceux</w:t>
      </w:r>
      <w:r w:rsidRPr="00F2112C">
        <w:rPr>
          <w:rFonts w:cs="Times New Roman"/>
          <w:lang w:val="fr-CA"/>
        </w:rPr>
        <w:noBreakHyphen/>
        <w:t xml:space="preserve">ci avaient parlé de la victime au cours des jours qui ont précédé l’appel téléphonique, </w:t>
      </w:r>
      <w:r>
        <w:rPr>
          <w:rFonts w:cs="Times New Roman"/>
          <w:lang w:val="fr-CA"/>
        </w:rPr>
        <w:t xml:space="preserve">qu’avant l’appel téléphonique </w:t>
      </w:r>
      <w:r w:rsidRPr="00F2112C">
        <w:rPr>
          <w:rFonts w:cs="Times New Roman"/>
          <w:lang w:val="fr-CA"/>
        </w:rPr>
        <w:t>M. Schneider avait fait part à son frère de certains détails concernant sa relation avec M</w:t>
      </w:r>
      <w:r w:rsidRPr="00F2112C">
        <w:rPr>
          <w:rFonts w:cs="Times New Roman"/>
          <w:vertAlign w:val="superscript"/>
          <w:lang w:val="fr-CA"/>
        </w:rPr>
        <w:t>me</w:t>
      </w:r>
      <w:r w:rsidRPr="00F2112C">
        <w:rPr>
          <w:rFonts w:cs="Times New Roman"/>
          <w:lang w:val="fr-CA"/>
        </w:rPr>
        <w:t> Kogawa et lui avait dit que le corps de celle</w:t>
      </w:r>
      <w:r w:rsidRPr="00F2112C">
        <w:rPr>
          <w:rFonts w:cs="Times New Roman"/>
          <w:lang w:val="fr-CA"/>
        </w:rPr>
        <w:noBreakHyphen/>
        <w:t>ci se trouvait dans une valise, que le frère était physiquement présent lors de la conversation téléphonique et de la tentative de suicide, et que ce dernier avait bien saisi le « ton » de la conversation. Ces facteurs n’appuient en rien l’appréciation de ce qui a été dit durant l’appel téléphonique.</w:t>
      </w:r>
    </w:p>
    <w:p w14:paraId="2CBAD25C" w14:textId="77777777" w:rsidR="008B6D43" w:rsidRPr="00F2112C" w:rsidRDefault="008B6D43" w:rsidP="008B6D43">
      <w:pPr>
        <w:pStyle w:val="ParaNoNdepar-AltN"/>
        <w:tabs>
          <w:tab w:val="clear" w:pos="1166"/>
          <w:tab w:val="num" w:pos="1152"/>
        </w:tabs>
        <w:spacing w:before="0"/>
        <w:rPr>
          <w:rFonts w:cs="Times New Roman"/>
          <w:lang w:val="fr-CA"/>
        </w:rPr>
      </w:pPr>
      <w:r w:rsidRPr="00F2112C">
        <w:rPr>
          <w:rFonts w:cs="Times New Roman"/>
          <w:lang w:val="fr-CA"/>
        </w:rPr>
        <w:t>Nos collègues exagèrent l’importance des observations de la Cour d’appel relatives au « </w:t>
      </w:r>
      <w:proofErr w:type="spellStart"/>
      <w:r w:rsidRPr="00F2112C">
        <w:rPr>
          <w:rFonts w:cs="Times New Roman"/>
          <w:lang w:val="fr-CA"/>
        </w:rPr>
        <w:t>macro</w:t>
      </w:r>
      <w:r w:rsidRPr="00F2112C">
        <w:rPr>
          <w:rFonts w:cs="Times New Roman"/>
          <w:lang w:val="fr-CA"/>
        </w:rPr>
        <w:noBreakHyphen/>
        <w:t>contexte</w:t>
      </w:r>
      <w:proofErr w:type="spellEnd"/>
      <w:r w:rsidRPr="00F2112C">
        <w:rPr>
          <w:rFonts w:cs="Times New Roman"/>
          <w:lang w:val="fr-CA"/>
        </w:rPr>
        <w:t> » et au « micro</w:t>
      </w:r>
      <w:r w:rsidRPr="00F2112C">
        <w:rPr>
          <w:rFonts w:cs="Times New Roman"/>
          <w:lang w:val="fr-CA"/>
        </w:rPr>
        <w:noBreakHyphen/>
        <w:t>contexte » (motifs du juge Rowe, par. 6, 28 et 42). Ces observations ne visaient pas à modifier la manière dont il faut apprécier la pertinence. Il s’agissait plutôt de termes concis servant à désigner ce que les juges majoritaires et la juge dissidente considéraient comme étant le contexte pertinent. La juge DeWitt</w:t>
      </w:r>
      <w:r w:rsidRPr="00F2112C">
        <w:rPr>
          <w:rFonts w:cs="Times New Roman"/>
          <w:lang w:val="fr-CA"/>
        </w:rPr>
        <w:noBreakHyphen/>
        <w:t>Van Oosten a adopté une conception plus vaste du contexte pertinent (qui, avec égards, était trop large en ce qu’il tenait compte des mêmes facteurs non pertinents considérés par la Couronne), tandis que le juge Goepel a (à juste titre) limité son examen au contexte de la conversation elle</w:t>
      </w:r>
      <w:r w:rsidRPr="00F2112C">
        <w:rPr>
          <w:rFonts w:cs="Times New Roman"/>
          <w:lang w:val="fr-CA"/>
        </w:rPr>
        <w:noBreakHyphen/>
        <w:t>même. Cela ne signifie pas qu’un examen allant au</w:t>
      </w:r>
      <w:r w:rsidRPr="00F2112C">
        <w:rPr>
          <w:rFonts w:cs="Times New Roman"/>
          <w:lang w:val="fr-CA"/>
        </w:rPr>
        <w:noBreakHyphen/>
        <w:t>delà du contexte immédiat d’une conversation donnée ne peut jamais éclairer le sens de déclarations faites durant celle</w:t>
      </w:r>
      <w:r w:rsidRPr="00F2112C">
        <w:rPr>
          <w:rFonts w:cs="Times New Roman"/>
          <w:lang w:val="fr-CA"/>
        </w:rPr>
        <w:noBreakHyphen/>
        <w:t>ci. Cependant, le fait est qu’en l’espèce la Couronne s’appuie sur des aspects contextuels qui vont au</w:t>
      </w:r>
      <w:r w:rsidRPr="00F2112C">
        <w:rPr>
          <w:rFonts w:cs="Times New Roman"/>
          <w:lang w:val="fr-CA"/>
        </w:rPr>
        <w:noBreakHyphen/>
        <w:t>delà de la conversation elle</w:t>
      </w:r>
      <w:r w:rsidRPr="00F2112C">
        <w:rPr>
          <w:rFonts w:cs="Times New Roman"/>
          <w:lang w:val="fr-CA"/>
        </w:rPr>
        <w:noBreakHyphen/>
        <w:t>même et ne sont pas pertinents, et que la conversation à elle seule ne fournissait pas suffisamment de contexte pour éclairer le sens des déclarations entendues.</w:t>
      </w:r>
    </w:p>
    <w:p w14:paraId="1624F01C" w14:textId="77777777" w:rsidR="008B6D43" w:rsidRPr="00F2112C" w:rsidRDefault="008B6D43" w:rsidP="008B6D43">
      <w:pPr>
        <w:pStyle w:val="ParaNoNdepar-AltN"/>
        <w:tabs>
          <w:tab w:val="clear" w:pos="1166"/>
          <w:tab w:val="num" w:pos="1152"/>
        </w:tabs>
        <w:spacing w:before="0"/>
        <w:rPr>
          <w:rFonts w:cs="Times New Roman"/>
          <w:lang w:val="fr-CA"/>
        </w:rPr>
      </w:pPr>
      <w:r w:rsidRPr="00F2112C">
        <w:rPr>
          <w:rFonts w:cs="Times New Roman"/>
          <w:lang w:val="fr-CA"/>
        </w:rPr>
        <w:t>À notre avis, la Couronne s’appuie sur un « contexte » qui est non seulement dénué de pertinence, mais qui accroît en outre l’effet préjudiciable de l’admission des déclarations en preuve, et ce, même si celles</w:t>
      </w:r>
      <w:r w:rsidRPr="00F2112C">
        <w:rPr>
          <w:rFonts w:cs="Times New Roman"/>
          <w:lang w:val="fr-CA"/>
        </w:rPr>
        <w:noBreakHyphen/>
        <w:t>ci avaient été pertinentes. Il est possible que le jury se soit attaché à des aspects du contexte qui tendaient à impliquer M. Schneider dans la mort de la victime ⸺ par exemple sa déclaration concernant l’endroit où se trouvait le corps de M</w:t>
      </w:r>
      <w:r w:rsidRPr="00F2112C">
        <w:rPr>
          <w:rFonts w:cs="Times New Roman"/>
          <w:vertAlign w:val="superscript"/>
          <w:lang w:val="fr-CA"/>
        </w:rPr>
        <w:t>me</w:t>
      </w:r>
      <w:r w:rsidRPr="00F2112C">
        <w:rPr>
          <w:rFonts w:cs="Times New Roman"/>
          <w:lang w:val="fr-CA"/>
        </w:rPr>
        <w:t xml:space="preserve"> Kogawa ⸺ et en ait déduit que M. Schneider avait par conséquent avoué qu’il était responsable de la mort de cette dernière. Dans l’arrêt </w:t>
      </w:r>
      <w:r w:rsidRPr="00F2112C">
        <w:rPr>
          <w:rFonts w:cs="Times New Roman"/>
          <w:i/>
          <w:lang w:val="fr-CA"/>
        </w:rPr>
        <w:t>R. c. Ferris</w:t>
      </w:r>
      <w:r w:rsidRPr="00F2112C">
        <w:rPr>
          <w:rFonts w:cs="Times New Roman"/>
          <w:lang w:val="fr-CA"/>
        </w:rPr>
        <w:t xml:space="preserve"> (1994), 149 A.R. 1 (C.A.), par. 27, la juge Conrad de la Cour d’appel a décrit ainsi le danger que crée ce type de raisonnement :</w:t>
      </w:r>
    </w:p>
    <w:p w14:paraId="221C3019" w14:textId="77777777" w:rsidR="008B6D43" w:rsidRPr="00F2112C" w:rsidRDefault="008B6D43" w:rsidP="008B6D43">
      <w:pPr>
        <w:pStyle w:val="Citation-AltC"/>
        <w:ind w:hanging="360"/>
        <w:contextualSpacing w:val="0"/>
        <w:rPr>
          <w:lang w:val="fr-CA"/>
        </w:rPr>
      </w:pPr>
      <w:r w:rsidRPr="00F2112C">
        <w:rPr>
          <w:lang w:val="fr-CA"/>
        </w:rPr>
        <w:tab/>
        <w:t>[</w:t>
      </w:r>
      <w:r w:rsidRPr="00F2112C">
        <w:rPr>
          <w:smallCaps/>
          <w:lang w:val="fr-CA"/>
        </w:rPr>
        <w:t>traduction</w:t>
      </w:r>
      <w:r w:rsidRPr="00F2112C">
        <w:rPr>
          <w:lang w:val="fr-CA"/>
        </w:rPr>
        <w:t>] Il serait énormément tentant pour tout juge des faits de considérer les éléments de preuve extrinsèques qui tendent à impliquer l’accusé dans le meurtre, de se fonder sur ces faits pour conclure que l’accusé a probablement commis le meurtre, et qu’en conséquence il a avoué l’avoir commis. Cette constatation serait ensuite invoquée pour élever la probabilité de culpabilité au rang de conclusion de culpabilité. Le danger implicite de ce type de raisonnement sinueux est évident.</w:t>
      </w:r>
    </w:p>
    <w:p w14:paraId="2E6E0553" w14:textId="77777777" w:rsidR="008B6D43" w:rsidRPr="00F2112C" w:rsidRDefault="008B6D43" w:rsidP="008B6D43">
      <w:pPr>
        <w:pStyle w:val="ContinueParaSuitedupar-AltP"/>
        <w:spacing w:before="0"/>
        <w:rPr>
          <w:rFonts w:cs="Times New Roman"/>
          <w:lang w:val="fr-CA"/>
        </w:rPr>
      </w:pPr>
      <w:r w:rsidRPr="00F2112C">
        <w:rPr>
          <w:rFonts w:cs="Times New Roman"/>
          <w:lang w:val="fr-CA"/>
        </w:rPr>
        <w:t>Cette même préoccupation se soulève en l’espèce du fait qu’on a laissé au jury le soin d’évaluer la pertinence logique de l’« essence » d’une conversation, en l’absence d’un quelconque souvenir de ce qui a été dit, ou à tout le moins d’un quelconque souvenir de la teneur de ce qui a été dit.</w:t>
      </w:r>
    </w:p>
    <w:p w14:paraId="4DCF1D9D" w14:textId="77777777" w:rsidR="008B6D43" w:rsidRPr="00F2112C" w:rsidRDefault="008B6D43" w:rsidP="008B6D43">
      <w:pPr>
        <w:pStyle w:val="ParaNoNdepar-AltN"/>
        <w:tabs>
          <w:tab w:val="clear" w:pos="1166"/>
          <w:tab w:val="num" w:pos="1152"/>
        </w:tabs>
        <w:spacing w:before="0"/>
        <w:rPr>
          <w:rFonts w:cs="Times New Roman"/>
          <w:lang w:val="fr-CA"/>
        </w:rPr>
      </w:pPr>
      <w:r w:rsidRPr="00F2112C">
        <w:rPr>
          <w:rFonts w:cs="Times New Roman"/>
          <w:lang w:val="fr-CA"/>
        </w:rPr>
        <w:t>La juge du procès n’a pas indiqué explicitement les dangers liés à l’admission en preuve des déclarations entendues ou à l’incidence que celles</w:t>
      </w:r>
      <w:r w:rsidRPr="00F2112C">
        <w:rPr>
          <w:rFonts w:cs="Times New Roman"/>
          <w:lang w:val="fr-CA"/>
        </w:rPr>
        <w:noBreakHyphen/>
        <w:t>ci pourraient avoir sur l’équité du procès. Elle a simplement conclu que [</w:t>
      </w:r>
      <w:r w:rsidRPr="00F2112C">
        <w:rPr>
          <w:rFonts w:cs="Times New Roman"/>
          <w:smallCaps/>
          <w:lang w:val="fr-CA"/>
        </w:rPr>
        <w:t>traduction</w:t>
      </w:r>
      <w:r w:rsidRPr="00F2112C">
        <w:rPr>
          <w:rFonts w:cs="Times New Roman"/>
          <w:lang w:val="fr-CA"/>
        </w:rPr>
        <w:t>] « [l’</w:t>
      </w:r>
      <w:proofErr w:type="gramStart"/>
      <w:r w:rsidRPr="00F2112C">
        <w:rPr>
          <w:rFonts w:cs="Times New Roman"/>
          <w:lang w:val="fr-CA"/>
        </w:rPr>
        <w:t>]effet</w:t>
      </w:r>
      <w:proofErr w:type="gramEnd"/>
      <w:r w:rsidRPr="00F2112C">
        <w:rPr>
          <w:rFonts w:cs="Times New Roman"/>
          <w:lang w:val="fr-CA"/>
        </w:rPr>
        <w:t xml:space="preserve"> préjudiciable peut être tempéré par une mise en garde ferme au jury relativement à l’utilisation qui peut être faite de l’élément de preuve » (2018 BCSC 2546, par. 21, reproduit au d.a., vol. I, p. 5). Selon nous, les directives données au jury n’ont pas remédié au préjudice. Elles présupposaient que le jury était en mesure de décider ce que M. Schneider</w:t>
      </w:r>
      <w:r w:rsidRPr="00F2112C">
        <w:rPr>
          <w:rFonts w:eastAsia="Times New Roman" w:cs="Times New Roman"/>
          <w:szCs w:val="24"/>
          <w:lang w:val="fr-CA" w:eastAsia="en-CA"/>
        </w:rPr>
        <w:t xml:space="preserve"> </w:t>
      </w:r>
      <w:r w:rsidRPr="00F2112C">
        <w:rPr>
          <w:rFonts w:cs="Times New Roman"/>
          <w:lang w:val="fr-CA"/>
        </w:rPr>
        <w:t>avait dit malgré l’absence dans la preuve d’éléments lui permettant de le faire.</w:t>
      </w:r>
    </w:p>
    <w:p w14:paraId="1DAFEF6C" w14:textId="77777777" w:rsidR="008B6D43" w:rsidRPr="00F2112C" w:rsidRDefault="008B6D43" w:rsidP="008B6D43">
      <w:pPr>
        <w:pStyle w:val="ParaNoNdepar-AltN"/>
        <w:tabs>
          <w:tab w:val="clear" w:pos="1166"/>
          <w:tab w:val="num" w:pos="1152"/>
        </w:tabs>
        <w:spacing w:before="0"/>
        <w:rPr>
          <w:rFonts w:cs="Times New Roman"/>
          <w:lang w:val="fr-CA"/>
        </w:rPr>
      </w:pPr>
      <w:r w:rsidRPr="00F2112C">
        <w:rPr>
          <w:rFonts w:cs="Times New Roman"/>
          <w:lang w:val="fr-CA"/>
        </w:rPr>
        <w:t xml:space="preserve">Nous concluons que la preuve relative aux déclarations entendues n’aurait pas dû être admise. Nous reconnaissons que le seuil de pertinence logique est peu élevé. Mais il constitue néanmoins </w:t>
      </w:r>
      <w:r w:rsidRPr="00F2112C">
        <w:rPr>
          <w:rFonts w:cs="Times New Roman"/>
          <w:i/>
          <w:lang w:val="fr-CA"/>
        </w:rPr>
        <w:t>un seuil</w:t>
      </w:r>
      <w:r w:rsidRPr="00F2112C">
        <w:rPr>
          <w:rFonts w:cs="Times New Roman"/>
          <w:lang w:val="fr-CA"/>
        </w:rPr>
        <w:t xml:space="preserve"> à respecter, en ce que l’élément de preuve doit [</w:t>
      </w:r>
      <w:r w:rsidRPr="00F2112C">
        <w:rPr>
          <w:rFonts w:cs="Times New Roman"/>
          <w:smallCaps/>
          <w:lang w:val="fr-CA"/>
        </w:rPr>
        <w:t>traduction</w:t>
      </w:r>
      <w:r w:rsidRPr="00F2112C">
        <w:rPr>
          <w:rFonts w:cs="Times New Roman"/>
          <w:lang w:val="fr-CA"/>
        </w:rPr>
        <w:t>] « accroître ou diminuer la probabilité de l’existence d’un fait en litige » (</w:t>
      </w:r>
      <w:r w:rsidRPr="00F2112C">
        <w:rPr>
          <w:rFonts w:cs="Times New Roman"/>
          <w:i/>
          <w:lang w:val="fr-CA"/>
        </w:rPr>
        <w:t>R. c. Arp</w:t>
      </w:r>
      <w:r w:rsidRPr="00F2112C">
        <w:rPr>
          <w:rFonts w:cs="Times New Roman"/>
          <w:lang w:val="fr-CA"/>
        </w:rPr>
        <w:t xml:space="preserve">, [1998] 3 R.C.S. 339, par. 38, citant R. Eggleston, </w:t>
      </w:r>
      <w:r w:rsidRPr="00F2112C">
        <w:rPr>
          <w:rFonts w:cs="Times New Roman"/>
          <w:i/>
          <w:iCs/>
          <w:lang w:val="fr-CA"/>
        </w:rPr>
        <w:t>Evidence, Proof and Probability</w:t>
      </w:r>
      <w:bookmarkStart w:id="4" w:name="_GoBack"/>
      <w:bookmarkEnd w:id="4"/>
      <w:r w:rsidRPr="00F2112C">
        <w:rPr>
          <w:rFonts w:cs="Times New Roman"/>
          <w:lang w:val="fr-CA"/>
        </w:rPr>
        <w:t xml:space="preserve"> (2</w:t>
      </w:r>
      <w:r w:rsidRPr="00F2112C">
        <w:rPr>
          <w:rFonts w:cs="Times New Roman"/>
          <w:vertAlign w:val="superscript"/>
          <w:lang w:val="fr-CA"/>
        </w:rPr>
        <w:t>e</w:t>
      </w:r>
      <w:r w:rsidRPr="00F2112C">
        <w:rPr>
          <w:rFonts w:cs="Times New Roman"/>
          <w:lang w:val="fr-CA"/>
        </w:rPr>
        <w:t xml:space="preserve"> éd. 1978), p. 83). Si le témoignage du frère de M. Schneider respecte ce seuil, il est difficile d’imaginer quoi que ce soit que M. Schneider ait pu dire (ou soit considéré comme ayant dit) ⸺ aussi partiel, oblique ou indistinct que cela puisse être ⸺ qui </w:t>
      </w:r>
      <w:r w:rsidRPr="00F2112C">
        <w:rPr>
          <w:rFonts w:cs="Times New Roman"/>
          <w:i/>
          <w:lang w:val="fr-CA"/>
        </w:rPr>
        <w:t>ne</w:t>
      </w:r>
      <w:r w:rsidRPr="00F2112C">
        <w:rPr>
          <w:rFonts w:cs="Times New Roman"/>
          <w:lang w:val="fr-CA"/>
        </w:rPr>
        <w:t xml:space="preserve"> serait </w:t>
      </w:r>
      <w:r w:rsidRPr="00F2112C">
        <w:rPr>
          <w:rFonts w:cs="Times New Roman"/>
          <w:i/>
          <w:lang w:val="fr-CA"/>
        </w:rPr>
        <w:t>pas</w:t>
      </w:r>
      <w:r w:rsidRPr="00F2112C">
        <w:rPr>
          <w:rFonts w:cs="Times New Roman"/>
          <w:lang w:val="fr-CA"/>
        </w:rPr>
        <w:t xml:space="preserve"> « pertinent ». Quoi qu’il en soit, lorsqu’on soupèse le risque de mauvaise utilisation et l’absence de toute valeur probante appréciable, il faut conclure que la preuve litigieuse aurait dû être soustraite entièrement à l’examen du jury.</w:t>
      </w:r>
    </w:p>
    <w:p w14:paraId="0180BE7B" w14:textId="77777777" w:rsidR="008B6D43" w:rsidRPr="00F2112C" w:rsidRDefault="008B6D43" w:rsidP="008B6D43">
      <w:pPr>
        <w:pStyle w:val="ParaNoNdepar-AltN"/>
        <w:tabs>
          <w:tab w:val="clear" w:pos="1166"/>
          <w:tab w:val="num" w:pos="1152"/>
        </w:tabs>
        <w:spacing w:before="0"/>
        <w:rPr>
          <w:rFonts w:cs="Times New Roman"/>
          <w:lang w:val="fr-CA"/>
        </w:rPr>
      </w:pPr>
      <w:r w:rsidRPr="00F2112C">
        <w:rPr>
          <w:rFonts w:cs="Times New Roman"/>
          <w:lang w:val="fr-CA"/>
        </w:rPr>
        <w:t>Par conséquent, nous rejetterions le présent pourvoi.</w:t>
      </w:r>
    </w:p>
    <w:p w14:paraId="104B76A2" w14:textId="77777777" w:rsidR="008B6D43" w:rsidRDefault="008B6D43" w:rsidP="008B6D43">
      <w:pPr>
        <w:pStyle w:val="ParaNoNdepar-AltN"/>
        <w:numPr>
          <w:ilvl w:val="0"/>
          <w:numId w:val="0"/>
        </w:numPr>
        <w:spacing w:before="0"/>
        <w:rPr>
          <w:rFonts w:cs="Times New Roman"/>
          <w:noProof/>
          <w:lang w:val="fr-CA"/>
        </w:rPr>
      </w:pPr>
    </w:p>
    <w:p w14:paraId="3A12CC0A" w14:textId="77777777" w:rsidR="008B6D43" w:rsidRPr="0054234B" w:rsidRDefault="008B6D43" w:rsidP="008B6D43">
      <w:pPr>
        <w:pStyle w:val="ParaNoNdepar-AltN"/>
        <w:numPr>
          <w:ilvl w:val="0"/>
          <w:numId w:val="0"/>
        </w:numPr>
        <w:spacing w:before="0"/>
        <w:rPr>
          <w:rFonts w:cs="Times New Roman"/>
          <w:noProof/>
          <w:lang w:val="fr-CA"/>
        </w:rPr>
        <w:sectPr w:rsidR="008B6D43" w:rsidRPr="0054234B" w:rsidSect="008B6D43">
          <w:headerReference w:type="even" r:id="rId10"/>
          <w:headerReference w:type="default" r:id="rId11"/>
          <w:footerReference w:type="even" r:id="rId12"/>
          <w:footerReference w:type="default" r:id="rId13"/>
          <w:headerReference w:type="first" r:id="rId14"/>
          <w:footerReference w:type="first" r:id="rId15"/>
          <w:pgSz w:w="12240" w:h="15840"/>
          <w:pgMar w:top="1800" w:right="2160" w:bottom="1195" w:left="1800" w:header="1800" w:footer="720" w:gutter="0"/>
          <w:cols w:space="720"/>
          <w:docGrid w:linePitch="326"/>
        </w:sectPr>
      </w:pPr>
    </w:p>
    <w:p w14:paraId="6FAD0059" w14:textId="77777777" w:rsidR="008B6D43" w:rsidRPr="0054234B" w:rsidRDefault="008B6D43" w:rsidP="008B6D43">
      <w:pPr>
        <w:pStyle w:val="ParaNoNdepar-AltN"/>
        <w:numPr>
          <w:ilvl w:val="0"/>
          <w:numId w:val="0"/>
        </w:numPr>
        <w:spacing w:before="0"/>
        <w:jc w:val="center"/>
        <w:rPr>
          <w:rFonts w:cs="Times New Roman"/>
          <w:b/>
          <w:noProof/>
          <w:u w:val="single"/>
          <w:lang w:val="fr-CA"/>
        </w:rPr>
      </w:pPr>
      <w:r w:rsidRPr="0054234B">
        <w:rPr>
          <w:rFonts w:cs="Times New Roman"/>
          <w:b/>
          <w:noProof/>
          <w:u w:val="single"/>
          <w:lang w:val="fr-CA"/>
        </w:rPr>
        <w:t>ANNEXE</w:t>
      </w:r>
    </w:p>
    <w:p w14:paraId="5AF34048" w14:textId="77777777" w:rsidR="008B6D43" w:rsidRPr="0054234B" w:rsidRDefault="008B6D43" w:rsidP="008B6D43">
      <w:pPr>
        <w:pStyle w:val="ParaNoNdepar-AltN"/>
        <w:numPr>
          <w:ilvl w:val="0"/>
          <w:numId w:val="0"/>
        </w:numPr>
        <w:spacing w:before="0"/>
        <w:jc w:val="center"/>
        <w:rPr>
          <w:rFonts w:cs="Times New Roman"/>
          <w:b/>
          <w:noProof/>
          <w:u w:val="single"/>
          <w:lang w:val="fr-CA"/>
        </w:rPr>
      </w:pPr>
      <w:r w:rsidRPr="0054234B">
        <w:rPr>
          <w:rFonts w:cs="Times New Roman"/>
          <w:noProof/>
          <w:lang w:val="en-US"/>
        </w:rPr>
        <w:drawing>
          <wp:inline distT="0" distB="0" distL="0" distR="0" wp14:anchorId="40F5DE00" wp14:editId="335289A8">
            <wp:extent cx="3107267" cy="3259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0172" cy="3283666"/>
                    </a:xfrm>
                    <a:prstGeom prst="rect">
                      <a:avLst/>
                    </a:prstGeom>
                  </pic:spPr>
                </pic:pic>
              </a:graphicData>
            </a:graphic>
          </wp:inline>
        </w:drawing>
      </w:r>
    </w:p>
    <w:p w14:paraId="60AF3687" w14:textId="77777777" w:rsidR="008B6D43" w:rsidRPr="008B6D43" w:rsidRDefault="008B6D43" w:rsidP="00445FBD">
      <w:pPr>
        <w:pStyle w:val="SCCNormalDoubleSpacing"/>
        <w:spacing w:after="480"/>
        <w:rPr>
          <w:lang w:val="fr-CA"/>
        </w:rPr>
      </w:pPr>
    </w:p>
    <w:p w14:paraId="7252CA71" w14:textId="352E49BB" w:rsidR="004D7D95" w:rsidRPr="0023711F" w:rsidRDefault="0023711F" w:rsidP="00445FBD">
      <w:pPr>
        <w:pStyle w:val="SCCNormalDoubleSpacing"/>
        <w:spacing w:after="480"/>
        <w:rPr>
          <w:i/>
          <w:lang w:val="fr-CA"/>
        </w:rPr>
      </w:pPr>
      <w:r w:rsidRPr="008B6D43">
        <w:rPr>
          <w:lang w:val="fr-CA"/>
        </w:rPr>
        <w:tab/>
      </w:r>
      <w:r w:rsidR="00305560" w:rsidRPr="00993496">
        <w:rPr>
          <w:i/>
          <w:lang w:val="fr-CA"/>
        </w:rPr>
        <w:t>Pourvoi</w:t>
      </w:r>
      <w:r w:rsidRPr="00993496">
        <w:rPr>
          <w:i/>
          <w:lang w:val="fr-CA"/>
        </w:rPr>
        <w:t xml:space="preserve"> </w:t>
      </w:r>
      <w:r w:rsidR="00993496" w:rsidRPr="00993496">
        <w:rPr>
          <w:i/>
          <w:lang w:val="fr-CA"/>
        </w:rPr>
        <w:t xml:space="preserve">accueilli, les juges </w:t>
      </w:r>
      <w:r w:rsidR="00993496" w:rsidRPr="00993496">
        <w:rPr>
          <w:smallCaps/>
          <w:lang w:val="fr-CA"/>
        </w:rPr>
        <w:t xml:space="preserve">Karakatsanis </w:t>
      </w:r>
      <w:r w:rsidR="00993496" w:rsidRPr="00993496">
        <w:rPr>
          <w:i/>
          <w:lang w:val="fr-CA"/>
        </w:rPr>
        <w:t xml:space="preserve">et </w:t>
      </w:r>
      <w:r w:rsidR="00993496" w:rsidRPr="00993496">
        <w:rPr>
          <w:smallCaps/>
          <w:lang w:val="fr-CA"/>
        </w:rPr>
        <w:t>Brown</w:t>
      </w:r>
      <w:r w:rsidR="00993496" w:rsidRPr="00993496">
        <w:rPr>
          <w:i/>
          <w:smallCaps/>
          <w:lang w:val="fr-CA"/>
        </w:rPr>
        <w:t xml:space="preserve"> </w:t>
      </w:r>
      <w:r w:rsidR="00993496" w:rsidRPr="00993496">
        <w:rPr>
          <w:i/>
          <w:lang w:val="fr-CA"/>
        </w:rPr>
        <w:t>sont dissidents</w:t>
      </w:r>
      <w:r w:rsidR="0045028A" w:rsidRPr="00993496">
        <w:rPr>
          <w:lang w:val="fr-CA"/>
        </w:rPr>
        <w:t>.</w:t>
      </w:r>
    </w:p>
    <w:p w14:paraId="7BC73CA2" w14:textId="1F708532" w:rsidR="0035035B" w:rsidRPr="003D4EF3" w:rsidRDefault="00305560" w:rsidP="00445FBD">
      <w:pPr>
        <w:pStyle w:val="SCCLawFirm"/>
        <w:spacing w:after="480"/>
        <w:rPr>
          <w:lang w:val="fr-CA"/>
        </w:rPr>
      </w:pPr>
      <w:r w:rsidRPr="00E037CA">
        <w:rPr>
          <w:lang w:val="fr-CA"/>
        </w:rPr>
        <w:tab/>
      </w:r>
      <w:r w:rsidR="000804F4">
        <w:rPr>
          <w:lang w:val="fr-CA"/>
        </w:rPr>
        <w:t>Procureur de l’</w:t>
      </w:r>
      <w:r w:rsidRPr="003D4EF3">
        <w:rPr>
          <w:lang w:val="fr-CA"/>
        </w:rPr>
        <w:t>appelant</w:t>
      </w:r>
      <w:r w:rsidR="000804F4">
        <w:rPr>
          <w:lang w:val="fr-CA"/>
        </w:rPr>
        <w:t> </w:t>
      </w:r>
      <w:r w:rsidR="0020171D" w:rsidRPr="003D4EF3">
        <w:rPr>
          <w:lang w:val="fr-CA"/>
        </w:rPr>
        <w:t xml:space="preserve">: </w:t>
      </w:r>
      <w:r w:rsidRPr="003D4EF3">
        <w:rPr>
          <w:lang w:val="fr-CA"/>
        </w:rPr>
        <w:t>Procureur général de la Colombie-Britannique</w:t>
      </w:r>
      <w:r w:rsidR="0020171D" w:rsidRPr="003D4EF3">
        <w:rPr>
          <w:lang w:val="fr-CA"/>
        </w:rPr>
        <w:t>, Vancouver.</w:t>
      </w:r>
    </w:p>
    <w:p w14:paraId="1AD9960C" w14:textId="293EC668" w:rsidR="009B57B3" w:rsidRPr="005F5E9D" w:rsidRDefault="00305560" w:rsidP="00445FBD">
      <w:pPr>
        <w:pStyle w:val="SCCLawFirm"/>
        <w:spacing w:after="480"/>
        <w:rPr>
          <w:lang w:val="fr-CA"/>
        </w:rPr>
      </w:pPr>
      <w:r w:rsidRPr="003D4EF3">
        <w:rPr>
          <w:lang w:val="fr-CA"/>
        </w:rPr>
        <w:tab/>
        <w:t>Procureurs de l</w:t>
      </w:r>
      <w:r w:rsidR="000804F4">
        <w:rPr>
          <w:lang w:val="fr-CA"/>
        </w:rPr>
        <w:t>’</w:t>
      </w:r>
      <w:r w:rsidRPr="003D4EF3">
        <w:rPr>
          <w:lang w:val="fr-CA"/>
        </w:rPr>
        <w:t>intimé</w:t>
      </w:r>
      <w:r w:rsidR="000804F4">
        <w:rPr>
          <w:lang w:val="fr-CA"/>
        </w:rPr>
        <w:t> </w:t>
      </w:r>
      <w:r w:rsidR="0045028A">
        <w:rPr>
          <w:lang w:val="fr-CA"/>
        </w:rPr>
        <w:t>: D</w:t>
      </w:r>
      <w:r w:rsidRPr="003D4EF3">
        <w:rPr>
          <w:lang w:val="fr-CA"/>
        </w:rPr>
        <w:t>G Barristers, Vancouver</w:t>
      </w:r>
      <w:r w:rsidR="0020171D" w:rsidRPr="003D4EF3">
        <w:rPr>
          <w:lang w:val="fr-CA"/>
        </w:rPr>
        <w:t>.</w:t>
      </w:r>
    </w:p>
    <w:sectPr w:rsidR="009B57B3" w:rsidRPr="005F5E9D" w:rsidSect="000648CC">
      <w:headerReference w:type="defaul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25D9C" w14:textId="77777777" w:rsidR="00EF1C59" w:rsidRDefault="00EF1C59">
      <w:r>
        <w:separator/>
      </w:r>
    </w:p>
  </w:endnote>
  <w:endnote w:type="continuationSeparator" w:id="0">
    <w:p w14:paraId="0BAF0DF1" w14:textId="77777777" w:rsidR="00EF1C59" w:rsidRDefault="00EF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880D" w14:textId="77777777" w:rsidR="00CA5709" w:rsidRDefault="00CA5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64F1" w14:textId="77777777" w:rsidR="00CA5709" w:rsidRDefault="00CA5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8FAA" w14:textId="77777777" w:rsidR="00CA5709" w:rsidRDefault="00CA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031AA" w14:textId="77777777" w:rsidR="00EF1C59" w:rsidRDefault="00EF1C59">
      <w:r>
        <w:separator/>
      </w:r>
    </w:p>
  </w:footnote>
  <w:footnote w:type="continuationSeparator" w:id="0">
    <w:p w14:paraId="196DA399" w14:textId="77777777" w:rsidR="00EF1C59" w:rsidRDefault="00EF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67DF" w14:textId="77777777" w:rsidR="00CA5709" w:rsidRDefault="00CA5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BBD7" w14:textId="3B5C7055" w:rsidR="008B6D43" w:rsidRPr="00CA5709" w:rsidRDefault="008B6D43" w:rsidP="00CA5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CFA52" w14:textId="77777777" w:rsidR="00CA5709" w:rsidRDefault="00CA57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B6C97" w14:textId="77777777" w:rsidR="00450352" w:rsidRPr="001660F2" w:rsidRDefault="00450352" w:rsidP="00166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8B54A4"/>
    <w:multiLevelType w:val="hybridMultilevel"/>
    <w:tmpl w:val="7EBC7728"/>
    <w:lvl w:ilvl="0" w:tplc="C04C94F8">
      <w:numFmt w:val="bullet"/>
      <w:lvlText w:val="-"/>
      <w:lvlJc w:val="left"/>
      <w:pPr>
        <w:ind w:left="720" w:hanging="360"/>
      </w:pPr>
      <w:rPr>
        <w:rFonts w:ascii="CourierNew" w:eastAsia="Times New Roman" w:hAnsi="CourierNew" w:cs="Courier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476"/>
        </w:tabs>
        <w:ind w:left="1476"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841D5D"/>
    <w:multiLevelType w:val="hybridMultilevel"/>
    <w:tmpl w:val="2FA0897E"/>
    <w:lvl w:ilvl="0" w:tplc="213656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0F3DC0"/>
    <w:multiLevelType w:val="hybridMultilevel"/>
    <w:tmpl w:val="E51864CA"/>
    <w:lvl w:ilvl="0" w:tplc="380C76A4">
      <w:start w:val="1"/>
      <w:numFmt w:val="upperLetter"/>
      <w:lvlText w:val="%1)"/>
      <w:lvlJc w:val="left"/>
      <w:pPr>
        <w:ind w:left="1836" w:hanging="360"/>
      </w:pPr>
      <w:rPr>
        <w:rFonts w:hint="default"/>
      </w:rPr>
    </w:lvl>
    <w:lvl w:ilvl="1" w:tplc="0C0C0019" w:tentative="1">
      <w:start w:val="1"/>
      <w:numFmt w:val="lowerLetter"/>
      <w:lvlText w:val="%2."/>
      <w:lvlJc w:val="left"/>
      <w:pPr>
        <w:ind w:left="2556" w:hanging="360"/>
      </w:pPr>
    </w:lvl>
    <w:lvl w:ilvl="2" w:tplc="0C0C001B" w:tentative="1">
      <w:start w:val="1"/>
      <w:numFmt w:val="lowerRoman"/>
      <w:lvlText w:val="%3."/>
      <w:lvlJc w:val="right"/>
      <w:pPr>
        <w:ind w:left="3276" w:hanging="180"/>
      </w:pPr>
    </w:lvl>
    <w:lvl w:ilvl="3" w:tplc="0C0C000F" w:tentative="1">
      <w:start w:val="1"/>
      <w:numFmt w:val="decimal"/>
      <w:lvlText w:val="%4."/>
      <w:lvlJc w:val="left"/>
      <w:pPr>
        <w:ind w:left="3996" w:hanging="360"/>
      </w:pPr>
    </w:lvl>
    <w:lvl w:ilvl="4" w:tplc="0C0C0019" w:tentative="1">
      <w:start w:val="1"/>
      <w:numFmt w:val="lowerLetter"/>
      <w:lvlText w:val="%5."/>
      <w:lvlJc w:val="left"/>
      <w:pPr>
        <w:ind w:left="4716" w:hanging="360"/>
      </w:pPr>
    </w:lvl>
    <w:lvl w:ilvl="5" w:tplc="0C0C001B" w:tentative="1">
      <w:start w:val="1"/>
      <w:numFmt w:val="lowerRoman"/>
      <w:lvlText w:val="%6."/>
      <w:lvlJc w:val="right"/>
      <w:pPr>
        <w:ind w:left="5436" w:hanging="180"/>
      </w:pPr>
    </w:lvl>
    <w:lvl w:ilvl="6" w:tplc="0C0C000F" w:tentative="1">
      <w:start w:val="1"/>
      <w:numFmt w:val="decimal"/>
      <w:lvlText w:val="%7."/>
      <w:lvlJc w:val="left"/>
      <w:pPr>
        <w:ind w:left="6156" w:hanging="360"/>
      </w:pPr>
    </w:lvl>
    <w:lvl w:ilvl="7" w:tplc="0C0C0019" w:tentative="1">
      <w:start w:val="1"/>
      <w:numFmt w:val="lowerLetter"/>
      <w:lvlText w:val="%8."/>
      <w:lvlJc w:val="left"/>
      <w:pPr>
        <w:ind w:left="6876" w:hanging="360"/>
      </w:pPr>
    </w:lvl>
    <w:lvl w:ilvl="8" w:tplc="0C0C001B" w:tentative="1">
      <w:start w:val="1"/>
      <w:numFmt w:val="lowerRoman"/>
      <w:lvlText w:val="%9."/>
      <w:lvlJc w:val="right"/>
      <w:pPr>
        <w:ind w:left="7596" w:hanging="180"/>
      </w:pPr>
    </w:lvl>
  </w:abstractNum>
  <w:abstractNum w:abstractNumId="8" w15:restartNumberingAfterBreak="0">
    <w:nsid w:val="54283EE8"/>
    <w:multiLevelType w:val="multilevel"/>
    <w:tmpl w:val="0B0E83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447AC9"/>
    <w:multiLevelType w:val="hybridMultilevel"/>
    <w:tmpl w:val="7B5ABD34"/>
    <w:lvl w:ilvl="0" w:tplc="0409000F">
      <w:start w:val="1"/>
      <w:numFmt w:val="decimal"/>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221ED9"/>
    <w:multiLevelType w:val="hybridMultilevel"/>
    <w:tmpl w:val="722A5960"/>
    <w:lvl w:ilvl="0" w:tplc="08AE38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866D97"/>
    <w:multiLevelType w:val="hybridMultilevel"/>
    <w:tmpl w:val="DD0EE8F0"/>
    <w:lvl w:ilvl="0" w:tplc="08AE38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4"/>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296"/>
          </w:tabs>
          <w:ind w:left="129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8"/>
    <w:lvlOverride w:ilvl="0">
      <w:startOverride w:val="6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7"/>
  </w:num>
  <w:num w:numId="14">
    <w:abstractNumId w:val="8"/>
    <w:lvlOverride w:ilvl="0">
      <w:startOverride w:val="1"/>
    </w:lvlOverride>
    <w:lvlOverride w:ilvl="1">
      <w:startOverride w:val="2"/>
    </w:lvlOverride>
  </w:num>
  <w:num w:numId="15">
    <w:abstractNumId w:val="8"/>
    <w:lvlOverride w:ilvl="0">
      <w:startOverride w:val="1"/>
    </w:lvlOverride>
    <w:lvlOverride w:ilvl="1">
      <w:startOverride w:val="3"/>
    </w:lvlOverride>
  </w:num>
  <w:num w:numId="16">
    <w:abstractNumId w:val="8"/>
    <w:lvlOverride w:ilvl="0">
      <w:startOverride w:val="1"/>
    </w:lvlOverride>
    <w:lvlOverride w:ilvl="1">
      <w:startOverride w:val="2"/>
    </w:lvlOverride>
  </w:num>
  <w:num w:numId="17">
    <w:abstractNumId w:val="8"/>
    <w:lvlOverride w:ilvl="0">
      <w:startOverride w:val="1"/>
    </w:lvlOverride>
    <w:lvlOverride w:ilvl="1">
      <w:startOverride w:val="3"/>
    </w:lvlOverride>
  </w:num>
  <w:num w:numId="18">
    <w:abstractNumId w:val="8"/>
    <w:lvlOverride w:ilvl="0">
      <w:startOverride w:val="4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0CE"/>
    <w:rsid w:val="00012291"/>
    <w:rsid w:val="00023FC7"/>
    <w:rsid w:val="00025198"/>
    <w:rsid w:val="00045CE8"/>
    <w:rsid w:val="000578A3"/>
    <w:rsid w:val="000648CC"/>
    <w:rsid w:val="00067C66"/>
    <w:rsid w:val="000804F4"/>
    <w:rsid w:val="000A0041"/>
    <w:rsid w:val="000A437C"/>
    <w:rsid w:val="000B24E0"/>
    <w:rsid w:val="000C4B0A"/>
    <w:rsid w:val="000C59B8"/>
    <w:rsid w:val="000C6AF0"/>
    <w:rsid w:val="000D0A77"/>
    <w:rsid w:val="000F7993"/>
    <w:rsid w:val="00104F33"/>
    <w:rsid w:val="00111DE2"/>
    <w:rsid w:val="00116B38"/>
    <w:rsid w:val="00123921"/>
    <w:rsid w:val="001314C1"/>
    <w:rsid w:val="00135406"/>
    <w:rsid w:val="00135972"/>
    <w:rsid w:val="001426A9"/>
    <w:rsid w:val="00153D0C"/>
    <w:rsid w:val="00154D7C"/>
    <w:rsid w:val="001570B0"/>
    <w:rsid w:val="0015752C"/>
    <w:rsid w:val="00157737"/>
    <w:rsid w:val="00165277"/>
    <w:rsid w:val="001660F2"/>
    <w:rsid w:val="00170592"/>
    <w:rsid w:val="001720F7"/>
    <w:rsid w:val="00174AD0"/>
    <w:rsid w:val="001758D8"/>
    <w:rsid w:val="00195D83"/>
    <w:rsid w:val="001A00C1"/>
    <w:rsid w:val="001A4CD3"/>
    <w:rsid w:val="001B1585"/>
    <w:rsid w:val="001B33E0"/>
    <w:rsid w:val="001B4573"/>
    <w:rsid w:val="001C779F"/>
    <w:rsid w:val="001D2AC1"/>
    <w:rsid w:val="001D4E88"/>
    <w:rsid w:val="001E6D82"/>
    <w:rsid w:val="001F3A19"/>
    <w:rsid w:val="0020171D"/>
    <w:rsid w:val="00220FC2"/>
    <w:rsid w:val="002222F4"/>
    <w:rsid w:val="00224FC0"/>
    <w:rsid w:val="00225EA4"/>
    <w:rsid w:val="00226EAF"/>
    <w:rsid w:val="00231F3A"/>
    <w:rsid w:val="00235E22"/>
    <w:rsid w:val="0023711F"/>
    <w:rsid w:val="002406EE"/>
    <w:rsid w:val="00243EC8"/>
    <w:rsid w:val="00270D93"/>
    <w:rsid w:val="002745CC"/>
    <w:rsid w:val="00292C33"/>
    <w:rsid w:val="00295469"/>
    <w:rsid w:val="002B693B"/>
    <w:rsid w:val="002B6FBE"/>
    <w:rsid w:val="002B7924"/>
    <w:rsid w:val="002C10A6"/>
    <w:rsid w:val="002D28C3"/>
    <w:rsid w:val="002D39A4"/>
    <w:rsid w:val="002E6705"/>
    <w:rsid w:val="0030329A"/>
    <w:rsid w:val="00305560"/>
    <w:rsid w:val="0031086F"/>
    <w:rsid w:val="0031414C"/>
    <w:rsid w:val="00314E01"/>
    <w:rsid w:val="0032089D"/>
    <w:rsid w:val="00324C6C"/>
    <w:rsid w:val="003310DE"/>
    <w:rsid w:val="003323B0"/>
    <w:rsid w:val="00340A49"/>
    <w:rsid w:val="0035035B"/>
    <w:rsid w:val="0035169A"/>
    <w:rsid w:val="0035259D"/>
    <w:rsid w:val="00364B18"/>
    <w:rsid w:val="00396767"/>
    <w:rsid w:val="003A125D"/>
    <w:rsid w:val="003A4C70"/>
    <w:rsid w:val="003B215F"/>
    <w:rsid w:val="003C799C"/>
    <w:rsid w:val="003D0399"/>
    <w:rsid w:val="003D4EF3"/>
    <w:rsid w:val="003E069B"/>
    <w:rsid w:val="003E1C71"/>
    <w:rsid w:val="003F327B"/>
    <w:rsid w:val="00406166"/>
    <w:rsid w:val="0040704B"/>
    <w:rsid w:val="00410A55"/>
    <w:rsid w:val="00411300"/>
    <w:rsid w:val="00413F17"/>
    <w:rsid w:val="00415417"/>
    <w:rsid w:val="004215F1"/>
    <w:rsid w:val="00426659"/>
    <w:rsid w:val="004335D7"/>
    <w:rsid w:val="00445FBD"/>
    <w:rsid w:val="0045028A"/>
    <w:rsid w:val="00450352"/>
    <w:rsid w:val="00454BDB"/>
    <w:rsid w:val="00465132"/>
    <w:rsid w:val="00474368"/>
    <w:rsid w:val="00480C90"/>
    <w:rsid w:val="0048396F"/>
    <w:rsid w:val="00487FE9"/>
    <w:rsid w:val="00493C18"/>
    <w:rsid w:val="004A600C"/>
    <w:rsid w:val="004A6118"/>
    <w:rsid w:val="004C478D"/>
    <w:rsid w:val="004D7D95"/>
    <w:rsid w:val="004E2C26"/>
    <w:rsid w:val="004F5671"/>
    <w:rsid w:val="004F56B6"/>
    <w:rsid w:val="005125A8"/>
    <w:rsid w:val="005138AD"/>
    <w:rsid w:val="00517549"/>
    <w:rsid w:val="00520ABC"/>
    <w:rsid w:val="00521AE8"/>
    <w:rsid w:val="00527180"/>
    <w:rsid w:val="005367C5"/>
    <w:rsid w:val="00555291"/>
    <w:rsid w:val="00565780"/>
    <w:rsid w:val="00566AD1"/>
    <w:rsid w:val="00570EFE"/>
    <w:rsid w:val="00583EDE"/>
    <w:rsid w:val="005927C4"/>
    <w:rsid w:val="005A6079"/>
    <w:rsid w:val="005E4698"/>
    <w:rsid w:val="005F2DE4"/>
    <w:rsid w:val="005F5E9D"/>
    <w:rsid w:val="00603924"/>
    <w:rsid w:val="00606C7E"/>
    <w:rsid w:val="00610539"/>
    <w:rsid w:val="00613969"/>
    <w:rsid w:val="00625C35"/>
    <w:rsid w:val="00626626"/>
    <w:rsid w:val="00647E49"/>
    <w:rsid w:val="00656313"/>
    <w:rsid w:val="006565F4"/>
    <w:rsid w:val="0068265A"/>
    <w:rsid w:val="00683DF1"/>
    <w:rsid w:val="00684EEA"/>
    <w:rsid w:val="006926D1"/>
    <w:rsid w:val="0069689B"/>
    <w:rsid w:val="006B5FF5"/>
    <w:rsid w:val="006C4A87"/>
    <w:rsid w:val="006D5009"/>
    <w:rsid w:val="006F30AF"/>
    <w:rsid w:val="00701759"/>
    <w:rsid w:val="00705C15"/>
    <w:rsid w:val="007110F6"/>
    <w:rsid w:val="007208D1"/>
    <w:rsid w:val="00722292"/>
    <w:rsid w:val="007222DC"/>
    <w:rsid w:val="00744518"/>
    <w:rsid w:val="00744A09"/>
    <w:rsid w:val="007455AA"/>
    <w:rsid w:val="00747288"/>
    <w:rsid w:val="00747DD3"/>
    <w:rsid w:val="0075127D"/>
    <w:rsid w:val="007549C8"/>
    <w:rsid w:val="00766D14"/>
    <w:rsid w:val="00767A0F"/>
    <w:rsid w:val="00791272"/>
    <w:rsid w:val="007A05F6"/>
    <w:rsid w:val="007A52A9"/>
    <w:rsid w:val="007B6F4A"/>
    <w:rsid w:val="007C0CCA"/>
    <w:rsid w:val="007D2601"/>
    <w:rsid w:val="007E1C47"/>
    <w:rsid w:val="007E337A"/>
    <w:rsid w:val="007E5C70"/>
    <w:rsid w:val="007F2FF5"/>
    <w:rsid w:val="007F3F08"/>
    <w:rsid w:val="00804CC6"/>
    <w:rsid w:val="00817190"/>
    <w:rsid w:val="008260E2"/>
    <w:rsid w:val="0082777B"/>
    <w:rsid w:val="008322BD"/>
    <w:rsid w:val="00834F73"/>
    <w:rsid w:val="00864C8A"/>
    <w:rsid w:val="00864CF8"/>
    <w:rsid w:val="0086593C"/>
    <w:rsid w:val="00874914"/>
    <w:rsid w:val="00891422"/>
    <w:rsid w:val="00892E1A"/>
    <w:rsid w:val="00895EE5"/>
    <w:rsid w:val="008A0586"/>
    <w:rsid w:val="008A0771"/>
    <w:rsid w:val="008B660A"/>
    <w:rsid w:val="008B6D43"/>
    <w:rsid w:val="008C01DA"/>
    <w:rsid w:val="008D056E"/>
    <w:rsid w:val="008D2319"/>
    <w:rsid w:val="008D51D9"/>
    <w:rsid w:val="008E12F0"/>
    <w:rsid w:val="008F2674"/>
    <w:rsid w:val="008F2EF4"/>
    <w:rsid w:val="008F6CA1"/>
    <w:rsid w:val="008F78E9"/>
    <w:rsid w:val="00901DBF"/>
    <w:rsid w:val="00916C39"/>
    <w:rsid w:val="009179F9"/>
    <w:rsid w:val="00917C7A"/>
    <w:rsid w:val="00933E5E"/>
    <w:rsid w:val="00935218"/>
    <w:rsid w:val="00937C52"/>
    <w:rsid w:val="009403F3"/>
    <w:rsid w:val="009555B7"/>
    <w:rsid w:val="009567AA"/>
    <w:rsid w:val="009602C9"/>
    <w:rsid w:val="00962DB0"/>
    <w:rsid w:val="00967374"/>
    <w:rsid w:val="00973C81"/>
    <w:rsid w:val="009745BB"/>
    <w:rsid w:val="00993496"/>
    <w:rsid w:val="009A343A"/>
    <w:rsid w:val="009B2F23"/>
    <w:rsid w:val="009B57B3"/>
    <w:rsid w:val="009D2920"/>
    <w:rsid w:val="009D5AEB"/>
    <w:rsid w:val="009F0E33"/>
    <w:rsid w:val="00A149DF"/>
    <w:rsid w:val="00A1755C"/>
    <w:rsid w:val="00A21B90"/>
    <w:rsid w:val="00A22AAC"/>
    <w:rsid w:val="00A2369A"/>
    <w:rsid w:val="00A41805"/>
    <w:rsid w:val="00A51882"/>
    <w:rsid w:val="00A52AFB"/>
    <w:rsid w:val="00A53280"/>
    <w:rsid w:val="00A548CB"/>
    <w:rsid w:val="00A5521C"/>
    <w:rsid w:val="00A643E7"/>
    <w:rsid w:val="00A72411"/>
    <w:rsid w:val="00A73C38"/>
    <w:rsid w:val="00A921A7"/>
    <w:rsid w:val="00AB670D"/>
    <w:rsid w:val="00AC26A9"/>
    <w:rsid w:val="00AC67AF"/>
    <w:rsid w:val="00AD48BC"/>
    <w:rsid w:val="00AF03C5"/>
    <w:rsid w:val="00B000D8"/>
    <w:rsid w:val="00B00F75"/>
    <w:rsid w:val="00B13CF0"/>
    <w:rsid w:val="00B145B6"/>
    <w:rsid w:val="00B279EB"/>
    <w:rsid w:val="00B32B95"/>
    <w:rsid w:val="00B40418"/>
    <w:rsid w:val="00B50C81"/>
    <w:rsid w:val="00B557F8"/>
    <w:rsid w:val="00B815FC"/>
    <w:rsid w:val="00B93FBC"/>
    <w:rsid w:val="00BA0BC7"/>
    <w:rsid w:val="00BA7DA0"/>
    <w:rsid w:val="00BB2EE4"/>
    <w:rsid w:val="00BB4C92"/>
    <w:rsid w:val="00BC2108"/>
    <w:rsid w:val="00BD0E9E"/>
    <w:rsid w:val="00BD1BEC"/>
    <w:rsid w:val="00BD32FF"/>
    <w:rsid w:val="00BD6344"/>
    <w:rsid w:val="00BF6FE9"/>
    <w:rsid w:val="00C003CF"/>
    <w:rsid w:val="00C02092"/>
    <w:rsid w:val="00C24D91"/>
    <w:rsid w:val="00C26DB2"/>
    <w:rsid w:val="00C4348D"/>
    <w:rsid w:val="00C4454D"/>
    <w:rsid w:val="00C53F14"/>
    <w:rsid w:val="00C600CF"/>
    <w:rsid w:val="00C6084F"/>
    <w:rsid w:val="00C62A66"/>
    <w:rsid w:val="00C66359"/>
    <w:rsid w:val="00C71458"/>
    <w:rsid w:val="00C71EA0"/>
    <w:rsid w:val="00C77613"/>
    <w:rsid w:val="00C828E7"/>
    <w:rsid w:val="00C86719"/>
    <w:rsid w:val="00C921DD"/>
    <w:rsid w:val="00C927D5"/>
    <w:rsid w:val="00C95938"/>
    <w:rsid w:val="00CA5709"/>
    <w:rsid w:val="00CA6391"/>
    <w:rsid w:val="00CC0BA6"/>
    <w:rsid w:val="00CC5A74"/>
    <w:rsid w:val="00CE036E"/>
    <w:rsid w:val="00CE3171"/>
    <w:rsid w:val="00CF1601"/>
    <w:rsid w:val="00D0172F"/>
    <w:rsid w:val="00D01E33"/>
    <w:rsid w:val="00D068A7"/>
    <w:rsid w:val="00D13338"/>
    <w:rsid w:val="00D17476"/>
    <w:rsid w:val="00D17B0E"/>
    <w:rsid w:val="00D20695"/>
    <w:rsid w:val="00D32086"/>
    <w:rsid w:val="00D37A3F"/>
    <w:rsid w:val="00D41083"/>
    <w:rsid w:val="00D4431D"/>
    <w:rsid w:val="00D4667A"/>
    <w:rsid w:val="00D63A1C"/>
    <w:rsid w:val="00D7516F"/>
    <w:rsid w:val="00D772D4"/>
    <w:rsid w:val="00D95F8E"/>
    <w:rsid w:val="00DA0590"/>
    <w:rsid w:val="00DA4087"/>
    <w:rsid w:val="00DB5B79"/>
    <w:rsid w:val="00DC1739"/>
    <w:rsid w:val="00DC1788"/>
    <w:rsid w:val="00DC778D"/>
    <w:rsid w:val="00DE30C6"/>
    <w:rsid w:val="00DE319C"/>
    <w:rsid w:val="00DF0CA8"/>
    <w:rsid w:val="00DF11F1"/>
    <w:rsid w:val="00DF2B48"/>
    <w:rsid w:val="00DF49A7"/>
    <w:rsid w:val="00E037CA"/>
    <w:rsid w:val="00E07EE2"/>
    <w:rsid w:val="00E07FD1"/>
    <w:rsid w:val="00E1001B"/>
    <w:rsid w:val="00E1026C"/>
    <w:rsid w:val="00E24573"/>
    <w:rsid w:val="00E25E1E"/>
    <w:rsid w:val="00E27EE7"/>
    <w:rsid w:val="00E35404"/>
    <w:rsid w:val="00E45109"/>
    <w:rsid w:val="00E47B7A"/>
    <w:rsid w:val="00E5046E"/>
    <w:rsid w:val="00E56A44"/>
    <w:rsid w:val="00E60269"/>
    <w:rsid w:val="00E87401"/>
    <w:rsid w:val="00E97830"/>
    <w:rsid w:val="00EE0830"/>
    <w:rsid w:val="00EE6CB8"/>
    <w:rsid w:val="00EF0683"/>
    <w:rsid w:val="00EF1C59"/>
    <w:rsid w:val="00EF5252"/>
    <w:rsid w:val="00EF5DA1"/>
    <w:rsid w:val="00F0070C"/>
    <w:rsid w:val="00F00EB7"/>
    <w:rsid w:val="00F011FB"/>
    <w:rsid w:val="00F01862"/>
    <w:rsid w:val="00F2018A"/>
    <w:rsid w:val="00F36AB6"/>
    <w:rsid w:val="00F37A09"/>
    <w:rsid w:val="00F409CE"/>
    <w:rsid w:val="00F4379D"/>
    <w:rsid w:val="00F50D2D"/>
    <w:rsid w:val="00F56C8B"/>
    <w:rsid w:val="00F606A2"/>
    <w:rsid w:val="00F60DEB"/>
    <w:rsid w:val="00F62639"/>
    <w:rsid w:val="00F6470B"/>
    <w:rsid w:val="00F66810"/>
    <w:rsid w:val="00F76990"/>
    <w:rsid w:val="00F84DF4"/>
    <w:rsid w:val="00F85C97"/>
    <w:rsid w:val="00FA4EEF"/>
    <w:rsid w:val="00FA5C8B"/>
    <w:rsid w:val="00FB37D2"/>
    <w:rsid w:val="00FC4EFB"/>
    <w:rsid w:val="00FD02A9"/>
    <w:rsid w:val="00FD068D"/>
    <w:rsid w:val="00FD4F28"/>
    <w:rsid w:val="00FE6784"/>
    <w:rsid w:val="00FE6800"/>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F6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045CE8"/>
    <w:rPr>
      <w:sz w:val="16"/>
      <w:szCs w:val="16"/>
    </w:rPr>
  </w:style>
  <w:style w:type="paragraph" w:styleId="CommentText">
    <w:name w:val="annotation text"/>
    <w:basedOn w:val="Normal"/>
    <w:link w:val="CommentTextChar"/>
    <w:uiPriority w:val="99"/>
    <w:unhideWhenUsed/>
    <w:rsid w:val="00045CE8"/>
    <w:rPr>
      <w:sz w:val="20"/>
    </w:rPr>
  </w:style>
  <w:style w:type="character" w:customStyle="1" w:styleId="CommentTextChar">
    <w:name w:val="Comment Text Char"/>
    <w:basedOn w:val="DefaultParagraphFont"/>
    <w:link w:val="CommentText"/>
    <w:uiPriority w:val="99"/>
    <w:rsid w:val="00045CE8"/>
  </w:style>
  <w:style w:type="paragraph" w:styleId="CommentSubject">
    <w:name w:val="annotation subject"/>
    <w:basedOn w:val="CommentText"/>
    <w:next w:val="CommentText"/>
    <w:link w:val="CommentSubjectChar"/>
    <w:uiPriority w:val="99"/>
    <w:semiHidden/>
    <w:unhideWhenUsed/>
    <w:rsid w:val="00045CE8"/>
    <w:rPr>
      <w:b/>
      <w:bCs/>
    </w:rPr>
  </w:style>
  <w:style w:type="character" w:customStyle="1" w:styleId="CommentSubjectChar">
    <w:name w:val="Comment Subject Char"/>
    <w:basedOn w:val="CommentTextChar"/>
    <w:link w:val="CommentSubject"/>
    <w:uiPriority w:val="99"/>
    <w:semiHidden/>
    <w:rsid w:val="00045CE8"/>
    <w:rPr>
      <w:b/>
      <w:bCs/>
    </w:rPr>
  </w:style>
  <w:style w:type="character" w:styleId="Hyperlink">
    <w:name w:val="Hyperlink"/>
    <w:basedOn w:val="DefaultParagraphFont"/>
    <w:uiPriority w:val="99"/>
    <w:unhideWhenUsed/>
    <w:rsid w:val="001E6D82"/>
    <w:rPr>
      <w:color w:val="660000"/>
      <w:u w:val="none"/>
    </w:rPr>
  </w:style>
  <w:style w:type="character" w:styleId="FollowedHyperlink">
    <w:name w:val="FollowedHyperlink"/>
    <w:basedOn w:val="DefaultParagraphFont"/>
    <w:uiPriority w:val="99"/>
    <w:semiHidden/>
    <w:unhideWhenUsed/>
    <w:rsid w:val="0045028A"/>
    <w:rPr>
      <w:color w:val="800080" w:themeColor="followedHyperlink"/>
      <w:u w:val="single"/>
    </w:rPr>
  </w:style>
  <w:style w:type="character" w:customStyle="1" w:styleId="solexhl">
    <w:name w:val="solexhl"/>
    <w:basedOn w:val="DefaultParagraphFont"/>
    <w:rsid w:val="00A53280"/>
  </w:style>
  <w:style w:type="paragraph" w:customStyle="1" w:styleId="ParaNoNdepar-AltN">
    <w:name w:val="Para. No. / Nº de par. - Alt N"/>
    <w:link w:val="ParaNoNdepar-AltNChar"/>
    <w:qFormat/>
    <w:rsid w:val="00295469"/>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295469"/>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8B6D43"/>
    <w:pPr>
      <w:spacing w:after="480"/>
    </w:pPr>
    <w:rPr>
      <w:rFonts w:eastAsiaTheme="minorHAnsi" w:cstheme="minorBidi"/>
      <w:noProof/>
      <w:szCs w:val="22"/>
      <w:lang w:val="fr-CA" w:eastAsia="en-US"/>
    </w:rPr>
  </w:style>
  <w:style w:type="paragraph" w:customStyle="1" w:styleId="SCCCoram">
    <w:name w:val="SCC.Coram"/>
    <w:basedOn w:val="Normal"/>
    <w:next w:val="Normal"/>
    <w:link w:val="SCCCoramChar"/>
    <w:rsid w:val="008B6D43"/>
    <w:pPr>
      <w:pBdr>
        <w:bottom w:val="single" w:sz="4" w:space="1" w:color="auto"/>
      </w:pBdr>
    </w:pPr>
    <w:rPr>
      <w:rFonts w:eastAsiaTheme="minorHAnsi" w:cstheme="minorBidi"/>
      <w:noProof/>
      <w:szCs w:val="22"/>
      <w:lang w:val="fr-CA" w:eastAsia="en-US"/>
    </w:rPr>
  </w:style>
  <w:style w:type="character" w:customStyle="1" w:styleId="SCCCoramChar">
    <w:name w:val="SCC.Coram Char"/>
    <w:basedOn w:val="DefaultParagraphFont"/>
    <w:link w:val="SCCCoram"/>
    <w:rsid w:val="008B6D43"/>
    <w:rPr>
      <w:rFonts w:eastAsiaTheme="minorHAnsi" w:cstheme="minorBidi"/>
      <w:noProof/>
      <w:sz w:val="24"/>
      <w:szCs w:val="22"/>
      <w:lang w:val="fr-CA" w:eastAsia="en-US"/>
    </w:rPr>
  </w:style>
  <w:style w:type="character" w:customStyle="1" w:styleId="SCCLsocOtherPartyRoleSeparatorChar">
    <w:name w:val="SCC.Lsoc.OtherPartyRoleSeparator Char"/>
    <w:basedOn w:val="DefaultParagraphFont"/>
    <w:link w:val="SCCLsocOtherPartyRoleSeparator"/>
    <w:rsid w:val="008B6D43"/>
    <w:rPr>
      <w:rFonts w:eastAsiaTheme="minorHAnsi" w:cstheme="minorBidi"/>
      <w:noProof/>
      <w:sz w:val="24"/>
      <w:szCs w:val="22"/>
      <w:lang w:val="fr-CA" w:eastAsia="en-US"/>
    </w:rPr>
  </w:style>
  <w:style w:type="character" w:customStyle="1" w:styleId="SCCBanSummaryChar">
    <w:name w:val="SCC.BanSummary Char"/>
    <w:basedOn w:val="DefaultParagraphFont"/>
    <w:link w:val="SCCBanSummary"/>
    <w:rsid w:val="008B6D43"/>
    <w:rPr>
      <w:b/>
      <w:sz w:val="24"/>
    </w:rPr>
  </w:style>
  <w:style w:type="table" w:styleId="TableGrid">
    <w:name w:val="Table Grid"/>
    <w:basedOn w:val="TableNormal"/>
    <w:uiPriority w:val="59"/>
    <w:rsid w:val="008B6D4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B6D4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B6D4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B6D4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B6D4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B6D4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B6D43"/>
    <w:pPr>
      <w:numPr>
        <w:ilvl w:val="2"/>
      </w:numPr>
      <w:outlineLvl w:val="2"/>
    </w:pPr>
  </w:style>
  <w:style w:type="paragraph" w:customStyle="1" w:styleId="Title4LevelTitre4Niveau">
    <w:name w:val="Title 4 Level / Titre 4 Niveau"/>
    <w:basedOn w:val="Title3LevelTitre3Niveau"/>
    <w:next w:val="ParaNoNdepar-AltN"/>
    <w:uiPriority w:val="4"/>
    <w:qFormat/>
    <w:rsid w:val="008B6D4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B6D43"/>
    <w:pPr>
      <w:numPr>
        <w:ilvl w:val="4"/>
      </w:numPr>
      <w:outlineLvl w:val="4"/>
    </w:pPr>
  </w:style>
  <w:style w:type="paragraph" w:styleId="TOC1">
    <w:name w:val="toc 1"/>
    <w:basedOn w:val="Normal"/>
    <w:next w:val="Normal"/>
    <w:autoRedefine/>
    <w:uiPriority w:val="39"/>
    <w:unhideWhenUsed/>
    <w:rsid w:val="008B6D43"/>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8B6D43"/>
    <w:pPr>
      <w:tabs>
        <w:tab w:val="left" w:pos="720"/>
        <w:tab w:val="right" w:leader="dot" w:pos="8270"/>
      </w:tabs>
      <w:spacing w:before="120" w:after="120"/>
      <w:ind w:left="432" w:hanging="432"/>
    </w:pPr>
    <w:rPr>
      <w:i/>
      <w:noProof/>
      <w:szCs w:val="24"/>
      <w:lang w:val="fr-CA"/>
    </w:rPr>
  </w:style>
  <w:style w:type="paragraph" w:styleId="TOC3">
    <w:name w:val="toc 3"/>
    <w:basedOn w:val="Normal"/>
    <w:next w:val="Normal"/>
    <w:autoRedefine/>
    <w:uiPriority w:val="39"/>
    <w:unhideWhenUsed/>
    <w:rsid w:val="008B6D43"/>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8B6D43"/>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8B6D43"/>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8B6D43"/>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8B6D4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B6D4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B6D43"/>
    <w:pPr>
      <w:numPr>
        <w:ilvl w:val="5"/>
      </w:numPr>
      <w:outlineLvl w:val="5"/>
    </w:pPr>
    <w:rPr>
      <w:i/>
      <w:u w:val="none"/>
    </w:rPr>
  </w:style>
  <w:style w:type="paragraph" w:styleId="FootnoteText">
    <w:name w:val="footnote text"/>
    <w:basedOn w:val="Normal"/>
    <w:link w:val="FootnoteTextChar"/>
    <w:uiPriority w:val="99"/>
    <w:unhideWhenUsed/>
    <w:rsid w:val="008B6D43"/>
    <w:pPr>
      <w:tabs>
        <w:tab w:val="left" w:pos="180"/>
      </w:tabs>
      <w:ind w:left="187" w:hanging="187"/>
      <w:jc w:val="both"/>
    </w:pPr>
    <w:rPr>
      <w:noProof/>
      <w:sz w:val="20"/>
      <w:lang w:val="fr-CA"/>
    </w:rPr>
  </w:style>
  <w:style w:type="character" w:customStyle="1" w:styleId="FootnoteTextChar">
    <w:name w:val="Footnote Text Char"/>
    <w:basedOn w:val="DefaultParagraphFont"/>
    <w:link w:val="FootnoteText"/>
    <w:uiPriority w:val="99"/>
    <w:rsid w:val="008B6D43"/>
    <w:rPr>
      <w:noProof/>
      <w:lang w:val="fr-CA"/>
    </w:rPr>
  </w:style>
  <w:style w:type="character" w:styleId="FootnoteReference">
    <w:name w:val="footnote reference"/>
    <w:basedOn w:val="DefaultParagraphFont"/>
    <w:uiPriority w:val="99"/>
    <w:semiHidden/>
    <w:unhideWhenUsed/>
    <w:rsid w:val="008B6D43"/>
    <w:rPr>
      <w:vertAlign w:val="superscript"/>
    </w:rPr>
  </w:style>
  <w:style w:type="paragraph" w:styleId="NoSpacing">
    <w:name w:val="No Spacing"/>
    <w:uiPriority w:val="1"/>
    <w:qFormat/>
    <w:rsid w:val="008B6D43"/>
    <w:rPr>
      <w:rFonts w:eastAsiaTheme="minorHAnsi" w:cstheme="minorBidi"/>
      <w:sz w:val="24"/>
      <w:szCs w:val="22"/>
      <w:lang w:val="en-US" w:eastAsia="en-US" w:bidi="en-US"/>
    </w:rPr>
  </w:style>
  <w:style w:type="character" w:styleId="Emphasis">
    <w:name w:val="Emphasis"/>
    <w:basedOn w:val="DefaultParagraphFont"/>
    <w:uiPriority w:val="20"/>
    <w:qFormat/>
    <w:rsid w:val="008B6D43"/>
    <w:rPr>
      <w:i/>
      <w:iCs/>
    </w:rPr>
  </w:style>
  <w:style w:type="paragraph" w:styleId="ListParagraph">
    <w:name w:val="List Paragraph"/>
    <w:basedOn w:val="Normal"/>
    <w:uiPriority w:val="34"/>
    <w:qFormat/>
    <w:rsid w:val="008B6D43"/>
    <w:pPr>
      <w:ind w:left="720"/>
      <w:contextualSpacing/>
    </w:pPr>
    <w:rPr>
      <w:rFonts w:eastAsiaTheme="minorHAnsi" w:cstheme="minorBidi"/>
      <w:noProof/>
      <w:szCs w:val="22"/>
      <w:lang w:val="en-US" w:eastAsia="en-US" w:bidi="en-US"/>
    </w:rPr>
  </w:style>
  <w:style w:type="paragraph" w:styleId="NormalWeb">
    <w:name w:val="Normal (Web)"/>
    <w:basedOn w:val="Normal"/>
    <w:uiPriority w:val="99"/>
    <w:unhideWhenUsed/>
    <w:rsid w:val="008B6D43"/>
    <w:pPr>
      <w:spacing w:before="100" w:beforeAutospacing="1" w:after="100" w:afterAutospacing="1"/>
    </w:pPr>
    <w:rPr>
      <w:noProof/>
      <w:szCs w:val="24"/>
      <w:lang w:val="en-US" w:eastAsia="en-US"/>
    </w:rPr>
  </w:style>
  <w:style w:type="character" w:customStyle="1" w:styleId="counderline">
    <w:name w:val="co_underline"/>
    <w:basedOn w:val="DefaultParagraphFont"/>
    <w:rsid w:val="008B6D43"/>
  </w:style>
  <w:style w:type="paragraph" w:styleId="Revision">
    <w:name w:val="Revision"/>
    <w:hidden/>
    <w:uiPriority w:val="99"/>
    <w:semiHidden/>
    <w:rsid w:val="008B6D43"/>
    <w:rPr>
      <w:sz w:val="24"/>
      <w:szCs w:val="24"/>
    </w:rPr>
  </w:style>
  <w:style w:type="character" w:customStyle="1" w:styleId="highlight">
    <w:name w:val="highlight"/>
    <w:basedOn w:val="DefaultParagraphFont"/>
    <w:rsid w:val="008B6D43"/>
  </w:style>
  <w:style w:type="character" w:customStyle="1" w:styleId="ng-star-inserted">
    <w:name w:val="ng-star-inserted"/>
    <w:basedOn w:val="DefaultParagraphFont"/>
    <w:rsid w:val="008B6D43"/>
  </w:style>
  <w:style w:type="character" w:customStyle="1" w:styleId="fontstyle01">
    <w:name w:val="fontstyle01"/>
    <w:basedOn w:val="DefaultParagraphFont"/>
    <w:rsid w:val="008B6D43"/>
    <w:rPr>
      <w:rFonts w:ascii="TimesNewRomanPSMT" w:hAnsi="TimesNewRomanPSMT" w:hint="default"/>
      <w:b w:val="0"/>
      <w:bCs w:val="0"/>
      <w:i w:val="0"/>
      <w:iCs w:val="0"/>
      <w:color w:val="000000"/>
      <w:sz w:val="24"/>
      <w:szCs w:val="24"/>
    </w:rPr>
  </w:style>
  <w:style w:type="table" w:customStyle="1" w:styleId="TableGrid2">
    <w:name w:val="Table Grid2"/>
    <w:basedOn w:val="TableNormal"/>
    <w:next w:val="TableGrid"/>
    <w:uiPriority w:val="59"/>
    <w:rsid w:val="008B6D4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ccourts.ca/jdb-txt/ca/21/00/2021BCCA0041.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15010</Words>
  <Characters>75431</Characters>
  <Application>Microsoft Office Word</Application>
  <DocSecurity>0</DocSecurity>
  <Lines>628</Lines>
  <Paragraphs>180</Paragraphs>
  <ScaleCrop>false</ScaleCrop>
  <Company/>
  <LinksUpToDate>false</LinksUpToDate>
  <CharactersWithSpaces>90261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2022-10-06T22:16:00Z</dcterms:created>
  <dcterms:modified xsi:type="dcterms:W3CDTF">2022-10-06T22:25:00Z</dcterms:modified>
</cp:coreProperties>
</file>