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0"/>
        <w:gridCol w:w="2074"/>
        <w:gridCol w:w="3577"/>
        <w:gridCol w:w="19"/>
      </w:tblGrid>
      <w:tr w:rsidR="002909F6" w:rsidTr="00796207">
        <w:trPr>
          <w:trHeight w:val="1786"/>
        </w:trPr>
        <w:tc>
          <w:tcPr>
            <w:tcW w:w="5000" w:type="pct"/>
            <w:gridSpan w:val="4"/>
          </w:tcPr>
          <w:p w:rsidR="002909F6" w:rsidRDefault="00820223" w:rsidP="00E92347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BB4B827" wp14:editId="5F099E29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F6" w:rsidRDefault="002909F6" w:rsidP="00D22128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  <w:tr w:rsidR="002909F6" w:rsidRPr="006F7FA0" w:rsidTr="001708F9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2909F6" w:rsidRPr="00B15684" w:rsidRDefault="002909F6" w:rsidP="00425158">
            <w:pPr>
              <w:spacing w:before="100" w:beforeAutospacing="1"/>
              <w:rPr>
                <w:rFonts w:eastAsia="Calibri"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Référence :</w:t>
            </w:r>
            <w:r w:rsidRPr="00CB5B04">
              <w:rPr>
                <w:lang w:val="fr-CA"/>
              </w:rPr>
              <w:t xml:space="preserve"> </w:t>
            </w:r>
            <w:r w:rsidR="00575FF2">
              <w:rPr>
                <w:lang w:val="fr-CA"/>
              </w:rPr>
              <w:t xml:space="preserve">R. </w:t>
            </w:r>
            <w:r w:rsidR="00575FF2">
              <w:rPr>
                <w:i/>
                <w:lang w:val="fr-CA"/>
              </w:rPr>
              <w:t>c.</w:t>
            </w:r>
            <w:r w:rsidR="00B0409C">
              <w:rPr>
                <w:lang w:val="fr-CA"/>
              </w:rPr>
              <w:t xml:space="preserve"> </w:t>
            </w:r>
            <w:r w:rsidR="00445C7C" w:rsidRPr="00445C7C">
              <w:rPr>
                <w:lang w:val="fr-CA"/>
              </w:rPr>
              <w:t>Doxtator</w:t>
            </w:r>
            <w:r w:rsidR="00445C7C">
              <w:rPr>
                <w:lang w:val="fr-CA"/>
              </w:rPr>
              <w:t>, 2022</w:t>
            </w:r>
            <w:r w:rsidR="00B0409C">
              <w:rPr>
                <w:lang w:val="fr-CA"/>
              </w:rPr>
              <w:t xml:space="preserve"> CSC </w:t>
            </w:r>
            <w:r w:rsidR="00B15684" w:rsidRPr="00B15684">
              <w:rPr>
                <w:lang w:val="fr-CA"/>
              </w:rPr>
              <w:t>40</w:t>
            </w:r>
          </w:p>
        </w:tc>
        <w:tc>
          <w:tcPr>
            <w:tcW w:w="1108" w:type="pct"/>
          </w:tcPr>
          <w:p w:rsidR="002909F6" w:rsidRPr="00CB5B04" w:rsidRDefault="002909F6" w:rsidP="00CB5B04">
            <w:pPr>
              <w:rPr>
                <w:b/>
                <w:smallCaps/>
                <w:lang w:val="fr-CA"/>
              </w:rPr>
            </w:pPr>
          </w:p>
        </w:tc>
        <w:tc>
          <w:tcPr>
            <w:tcW w:w="1911" w:type="pct"/>
            <w:tcMar>
              <w:top w:w="284" w:type="dxa"/>
            </w:tcMar>
          </w:tcPr>
          <w:p w:rsidR="002909F6" w:rsidRPr="00CB5B04" w:rsidRDefault="002909F6" w:rsidP="00CB5B04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Appel entendu :</w:t>
            </w:r>
            <w:r w:rsidRPr="00CB5B04">
              <w:rPr>
                <w:lang w:val="fr-CA"/>
              </w:rPr>
              <w:t xml:space="preserve"> </w:t>
            </w:r>
            <w:r w:rsidR="00445C7C">
              <w:rPr>
                <w:lang w:val="fr-CA"/>
              </w:rPr>
              <w:t>9</w:t>
            </w:r>
            <w:r w:rsidR="00B0409C">
              <w:rPr>
                <w:lang w:val="fr-CA"/>
              </w:rPr>
              <w:t xml:space="preserve"> </w:t>
            </w:r>
            <w:r w:rsidR="00445C7C">
              <w:rPr>
                <w:lang w:val="fr-CA"/>
              </w:rPr>
              <w:t>novembre 2022</w:t>
            </w:r>
          </w:p>
          <w:p w:rsidR="002909F6" w:rsidRPr="00CB5B04" w:rsidRDefault="002909F6" w:rsidP="00CB5B04">
            <w:pPr>
              <w:rPr>
                <w:b/>
                <w:smallCaps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 xml:space="preserve">Jugement rendu : </w:t>
            </w:r>
            <w:r w:rsidR="00445C7C">
              <w:rPr>
                <w:lang w:val="fr-CA"/>
              </w:rPr>
              <w:t>9 novembre 2022</w:t>
            </w:r>
          </w:p>
          <w:p w:rsidR="002909F6" w:rsidRPr="00A9085B" w:rsidRDefault="002909F6" w:rsidP="00C31D39">
            <w:pPr>
              <w:rPr>
                <w:rFonts w:eastAsia="Calibri"/>
                <w:lang w:val="fr-CA"/>
              </w:rPr>
            </w:pPr>
            <w:r w:rsidRPr="00A9085B">
              <w:rPr>
                <w:b/>
                <w:smallCaps/>
                <w:lang w:val="fr-CA"/>
              </w:rPr>
              <w:t>Dossier :</w:t>
            </w:r>
            <w:r w:rsidRPr="00A9085B">
              <w:rPr>
                <w:lang w:val="fr-CA"/>
              </w:rPr>
              <w:t xml:space="preserve"> </w:t>
            </w:r>
            <w:r w:rsidR="00445C7C" w:rsidRPr="00445C7C">
              <w:rPr>
                <w:lang w:val="fr-CA"/>
              </w:rPr>
              <w:t>40063</w:t>
            </w:r>
          </w:p>
        </w:tc>
      </w:tr>
      <w:tr w:rsidR="002909F6" w:rsidRPr="00770BF2" w:rsidTr="00B1431F">
        <w:tc>
          <w:tcPr>
            <w:tcW w:w="5000" w:type="pct"/>
            <w:gridSpan w:val="4"/>
          </w:tcPr>
          <w:p w:rsidR="00506A78" w:rsidRDefault="00506A78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83F8A" w:rsidRDefault="00B0409C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</w:t>
            </w:r>
            <w:r w:rsidR="00883F8A" w:rsidRPr="00883F8A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E04080" w:rsidRPr="00883F8A" w:rsidRDefault="00E04080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6B4F1D" w:rsidRPr="00637318" w:rsidRDefault="00445C7C" w:rsidP="00883F8A">
            <w:pPr>
              <w:jc w:val="center"/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  <w:t>Sa Majesté le Roi</w:t>
            </w:r>
          </w:p>
          <w:p w:rsidR="00883F8A" w:rsidRPr="00E04080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E04080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883F8A" w:rsidRPr="00E04080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83F8A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883F8A" w:rsidRPr="00883F8A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45C7C" w:rsidRDefault="00445C7C" w:rsidP="006F7FA0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445C7C">
              <w:rPr>
                <w:rFonts w:eastAsiaTheme="minorHAnsi" w:cstheme="minorBidi"/>
                <w:b/>
                <w:szCs w:val="24"/>
                <w:lang w:val="fr-CA" w:eastAsia="en-US"/>
              </w:rPr>
              <w:t>Richard Doxtator</w:t>
            </w:r>
          </w:p>
          <w:p w:rsidR="002909F6" w:rsidRDefault="00022F2E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Intimé</w:t>
            </w:r>
          </w:p>
          <w:p w:rsidR="006F7FA0" w:rsidRDefault="006F7FA0" w:rsidP="00425158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6F7FA0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92FD4">
              <w:rPr>
                <w:b/>
                <w:smallCaps/>
                <w:lang w:val="fr-CA"/>
              </w:rPr>
              <w:t>Traduction française officielle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7"/>
        <w:gridCol w:w="7102"/>
        <w:gridCol w:w="21"/>
      </w:tblGrid>
      <w:tr w:rsidR="00E92347" w:rsidRPr="00770BF2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C34E9" w:rsidRPr="00637318" w:rsidRDefault="00CB5B04" w:rsidP="00EC34E9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Coram :</w:t>
            </w:r>
            <w:r w:rsidRPr="00CB5B04">
              <w:rPr>
                <w:lang w:val="fr-CA"/>
              </w:rPr>
              <w:t xml:space="preserve"> L</w:t>
            </w:r>
            <w:r w:rsidR="00517BC7">
              <w:rPr>
                <w:lang w:val="fr-CA"/>
              </w:rPr>
              <w:t>es juges</w:t>
            </w:r>
            <w:r w:rsidR="00EC34E9" w:rsidRPr="00637318">
              <w:rPr>
                <w:lang w:val="fr-CA"/>
              </w:rPr>
              <w:t xml:space="preserve"> </w:t>
            </w:r>
            <w:proofErr w:type="spellStart"/>
            <w:r w:rsidR="00E04080">
              <w:rPr>
                <w:lang w:val="fr-CA"/>
              </w:rPr>
              <w:t>Karakatsanis</w:t>
            </w:r>
            <w:proofErr w:type="spellEnd"/>
            <w:r w:rsidR="00E04080">
              <w:rPr>
                <w:lang w:val="fr-CA"/>
              </w:rPr>
              <w:t>, Côté, Brown, Rowe et</w:t>
            </w:r>
            <w:r w:rsidR="00EC34E9" w:rsidRPr="00637318">
              <w:rPr>
                <w:lang w:val="fr-CA"/>
              </w:rPr>
              <w:t xml:space="preserve"> Kasirer</w:t>
            </w:r>
          </w:p>
          <w:p w:rsidR="00E92347" w:rsidRPr="00CB5B04" w:rsidRDefault="00E92347" w:rsidP="00E1000C">
            <w:pPr>
              <w:rPr>
                <w:lang w:val="fr-CA"/>
              </w:rPr>
            </w:pPr>
          </w:p>
        </w:tc>
      </w:tr>
      <w:tr w:rsidR="005966EF" w:rsidRPr="00744F09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5966EF" w:rsidRPr="00982D32" w:rsidRDefault="005966EF" w:rsidP="0026412B">
            <w:pPr>
              <w:rPr>
                <w:b/>
                <w:smallCaps/>
                <w:lang w:val="fr-CA"/>
              </w:rPr>
            </w:pPr>
            <w:r w:rsidRPr="00982D32">
              <w:rPr>
                <w:b/>
                <w:smallCaps/>
                <w:lang w:val="fr-CA"/>
              </w:rPr>
              <w:t>Jugement</w:t>
            </w:r>
            <w:r w:rsidR="00AB59C4" w:rsidRPr="00982D32">
              <w:rPr>
                <w:b/>
                <w:smallCaps/>
                <w:lang w:val="fr-CA"/>
              </w:rPr>
              <w:t xml:space="preserve"> lu par :</w:t>
            </w:r>
            <w:r w:rsidRPr="00982D32">
              <w:rPr>
                <w:b/>
                <w:smallCaps/>
                <w:lang w:val="fr-CA"/>
              </w:rPr>
              <w:t xml:space="preserve"> </w:t>
            </w:r>
          </w:p>
          <w:p w:rsidR="005966EF" w:rsidRPr="00982D32" w:rsidRDefault="005966EF" w:rsidP="008D0BDF">
            <w:pPr>
              <w:rPr>
                <w:b/>
                <w:smallCaps/>
                <w:lang w:val="fr-CA"/>
              </w:rPr>
            </w:pPr>
            <w:r w:rsidRPr="00982D32">
              <w:rPr>
                <w:lang w:val="fr-CA"/>
              </w:rPr>
              <w:t>(</w:t>
            </w:r>
            <w:r w:rsidR="002D3505" w:rsidRPr="00982D32">
              <w:rPr>
                <w:lang w:val="fr-CA"/>
              </w:rPr>
              <w:t>par. </w:t>
            </w:r>
            <w:r w:rsidR="00EB0D87" w:rsidRPr="00982D32">
              <w:rPr>
                <w:lang w:val="fr-CA"/>
              </w:rPr>
              <w:t>1</w:t>
            </w:r>
            <w:r w:rsidR="00B838B8" w:rsidRPr="00982D32">
              <w:rPr>
                <w:lang w:val="fr-CA"/>
              </w:rPr>
              <w:t xml:space="preserve"> à </w:t>
            </w:r>
            <w:r w:rsidR="0081764F" w:rsidRPr="004C6955">
              <w:rPr>
                <w:lang w:val="fr-CA"/>
              </w:rPr>
              <w:t>2</w:t>
            </w:r>
            <w:r w:rsidRPr="00982D32">
              <w:rPr>
                <w:lang w:val="fr-CA"/>
              </w:rPr>
              <w:t>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1431F" w:rsidRPr="00640645" w:rsidRDefault="00640645" w:rsidP="005C617A">
            <w:pPr>
              <w:rPr>
                <w:lang w:val="fr-CA"/>
              </w:rPr>
            </w:pPr>
            <w:r w:rsidRPr="00640645">
              <w:rPr>
                <w:lang w:val="fr-CA"/>
              </w:rPr>
              <w:t xml:space="preserve">Le juge </w:t>
            </w:r>
            <w:r w:rsidR="00E04080" w:rsidRPr="00637318">
              <w:rPr>
                <w:lang w:val="fr-CA"/>
              </w:rPr>
              <w:t>Kasirer</w:t>
            </w:r>
          </w:p>
        </w:tc>
      </w:tr>
      <w:tr w:rsidR="00381C49" w:rsidRPr="00770BF2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381C49" w:rsidRPr="007B3D74" w:rsidRDefault="00381C49" w:rsidP="0026412B">
            <w:pPr>
              <w:rPr>
                <w:b/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>Majorité :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381C49" w:rsidRPr="00637318" w:rsidRDefault="00E04080" w:rsidP="00E04080">
            <w:pPr>
              <w:rPr>
                <w:lang w:val="fr-CA"/>
              </w:rPr>
            </w:pPr>
            <w:r w:rsidRPr="00CB5B04">
              <w:rPr>
                <w:lang w:val="fr-CA"/>
              </w:rPr>
              <w:t>L</w:t>
            </w:r>
            <w:r>
              <w:rPr>
                <w:lang w:val="fr-CA"/>
              </w:rPr>
              <w:t>es juges Côté, Brown et</w:t>
            </w:r>
            <w:r w:rsidRPr="00637318">
              <w:rPr>
                <w:lang w:val="fr-CA"/>
              </w:rPr>
              <w:t xml:space="preserve"> Kasirer</w:t>
            </w:r>
          </w:p>
        </w:tc>
      </w:tr>
      <w:tr w:rsidR="00381C49" w:rsidRPr="00770BF2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381C49" w:rsidRDefault="00381C49" w:rsidP="0026412B">
            <w:pPr>
              <w:rPr>
                <w:b/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>Dissidence :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983AF6" w:rsidRDefault="00CB793C" w:rsidP="00E04080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E04080">
              <w:rPr>
                <w:lang w:val="fr-CA"/>
              </w:rPr>
              <w:t>es</w:t>
            </w:r>
            <w:r>
              <w:rPr>
                <w:lang w:val="fr-CA"/>
              </w:rPr>
              <w:t xml:space="preserve"> juge</w:t>
            </w:r>
            <w:r w:rsidR="00E04080">
              <w:rPr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  <w:r w:rsidR="00E04080">
              <w:rPr>
                <w:lang w:val="fr-CA"/>
              </w:rPr>
              <w:t>Karakatsanis et Rowe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F43876" w:rsidRPr="00770BF2" w:rsidTr="001708F9">
        <w:tc>
          <w:tcPr>
            <w:tcW w:w="9360" w:type="dxa"/>
          </w:tcPr>
          <w:p w:rsidR="00801B60" w:rsidRPr="00353EF2" w:rsidRDefault="00801B60" w:rsidP="00462939">
            <w:pPr>
              <w:jc w:val="both"/>
              <w:rPr>
                <w:lang w:val="fr-CA"/>
              </w:rPr>
            </w:pPr>
          </w:p>
        </w:tc>
      </w:tr>
    </w:tbl>
    <w:p w:rsidR="007B3D74" w:rsidRPr="00A9085B" w:rsidRDefault="00A9085B" w:rsidP="007B3D74">
      <w:pPr>
        <w:spacing w:before="100" w:beforeAutospacing="1"/>
        <w:rPr>
          <w:rFonts w:eastAsia="Calibri"/>
          <w:szCs w:val="24"/>
          <w:lang w:val="fr-CA" w:eastAsia="en-US"/>
        </w:rPr>
      </w:pPr>
      <w:r>
        <w:rPr>
          <w:rFonts w:eastAsia="Calibri"/>
          <w:b/>
          <w:smallCaps/>
          <w:szCs w:val="24"/>
          <w:lang w:val="fr-CA" w:eastAsia="en-US"/>
        </w:rPr>
        <w:lastRenderedPageBreak/>
        <w:t>Note :</w:t>
      </w:r>
      <w:r w:rsidR="00C22905" w:rsidRPr="00A9085B">
        <w:rPr>
          <w:rFonts w:eastAsia="Calibri"/>
          <w:szCs w:val="24"/>
          <w:lang w:val="fr-CA" w:eastAsia="en-US"/>
        </w:rPr>
        <w:t xml:space="preserve"> </w:t>
      </w:r>
      <w:r w:rsidRPr="00A9085B">
        <w:rPr>
          <w:lang w:val="fr-CA"/>
        </w:rPr>
        <w:t xml:space="preserve">Ce document fera l’objet de retouches de forme avant la parution de sa version définitive dans le </w:t>
      </w:r>
      <w:r w:rsidRPr="00A9085B">
        <w:rPr>
          <w:i/>
          <w:lang w:val="fr-CA"/>
        </w:rPr>
        <w:t>Recueil des arrêts de la Cour suprême du Canada</w:t>
      </w:r>
      <w:r w:rsidRPr="00A9085B">
        <w:rPr>
          <w:lang w:val="fr-CA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B3D74" w:rsidRPr="00770BF2" w:rsidTr="00653AAD">
        <w:tc>
          <w:tcPr>
            <w:tcW w:w="1500" w:type="pct"/>
            <w:tcMar>
              <w:top w:w="284" w:type="dxa"/>
            </w:tcMar>
          </w:tcPr>
          <w:p w:rsidR="007B3D74" w:rsidRPr="00A9085B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B3D74" w:rsidRPr="00A9085B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B3D74" w:rsidRPr="00A9085B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8E2AF3" w:rsidRDefault="008E2AF3" w:rsidP="00462939">
      <w:pPr>
        <w:rPr>
          <w:lang w:val="fr-CA"/>
        </w:rPr>
      </w:pPr>
    </w:p>
    <w:p w:rsidR="00462939" w:rsidRDefault="00462939" w:rsidP="00462939">
      <w:pPr>
        <w:rPr>
          <w:lang w:val="fr-CA"/>
        </w:rPr>
      </w:pPr>
    </w:p>
    <w:p w:rsidR="00462939" w:rsidRPr="00462939" w:rsidRDefault="00462939" w:rsidP="00462939">
      <w:pPr>
        <w:tabs>
          <w:tab w:val="right" w:pos="8222"/>
        </w:tabs>
        <w:spacing w:after="720"/>
        <w:rPr>
          <w:b/>
          <w:szCs w:val="24"/>
          <w:lang w:val="fr-CA"/>
        </w:rPr>
      </w:pPr>
      <w:r w:rsidRPr="00462939">
        <w:rPr>
          <w:b/>
          <w:szCs w:val="24"/>
          <w:lang w:val="fr-CA"/>
        </w:rPr>
        <w:t>Sa Majesté le Roi</w:t>
      </w:r>
      <w:r w:rsidRPr="00462939">
        <w:rPr>
          <w:i/>
          <w:szCs w:val="24"/>
          <w:lang w:val="fr-CA"/>
        </w:rPr>
        <w:tab/>
        <w:t>Appelant</w:t>
      </w:r>
    </w:p>
    <w:p w:rsidR="00462939" w:rsidRPr="00462939" w:rsidRDefault="00462939" w:rsidP="00462939">
      <w:pPr>
        <w:spacing w:after="720"/>
        <w:rPr>
          <w:i/>
          <w:szCs w:val="24"/>
          <w:lang w:val="fr-CA"/>
        </w:rPr>
      </w:pPr>
      <w:proofErr w:type="gramStart"/>
      <w:r w:rsidRPr="00462939">
        <w:rPr>
          <w:i/>
          <w:szCs w:val="24"/>
          <w:lang w:val="fr-CA"/>
        </w:rPr>
        <w:t>c</w:t>
      </w:r>
      <w:proofErr w:type="gramEnd"/>
      <w:r w:rsidRPr="00462939">
        <w:rPr>
          <w:i/>
          <w:szCs w:val="24"/>
          <w:lang w:val="fr-CA"/>
        </w:rPr>
        <w:t>.</w:t>
      </w:r>
    </w:p>
    <w:p w:rsidR="00462939" w:rsidRPr="00462939" w:rsidRDefault="00462939" w:rsidP="00462939">
      <w:pPr>
        <w:tabs>
          <w:tab w:val="right" w:pos="8222"/>
        </w:tabs>
        <w:spacing w:after="720"/>
        <w:rPr>
          <w:b/>
          <w:szCs w:val="24"/>
          <w:lang w:val="fr-CA"/>
        </w:rPr>
      </w:pPr>
      <w:r w:rsidRPr="00462939">
        <w:rPr>
          <w:b/>
          <w:szCs w:val="24"/>
          <w:lang w:val="fr-CA"/>
        </w:rPr>
        <w:t xml:space="preserve">Richard </w:t>
      </w:r>
      <w:proofErr w:type="spellStart"/>
      <w:r w:rsidRPr="00462939">
        <w:rPr>
          <w:b/>
          <w:szCs w:val="24"/>
          <w:lang w:val="fr-CA"/>
        </w:rPr>
        <w:t>Doxtator</w:t>
      </w:r>
      <w:proofErr w:type="spellEnd"/>
      <w:r w:rsidRPr="00462939">
        <w:rPr>
          <w:i/>
          <w:szCs w:val="24"/>
          <w:lang w:val="fr-CA"/>
        </w:rPr>
        <w:tab/>
        <w:t>Intimé</w:t>
      </w:r>
    </w:p>
    <w:p w:rsidR="00462939" w:rsidRPr="00462939" w:rsidRDefault="00462939" w:rsidP="00462939">
      <w:pPr>
        <w:spacing w:after="720"/>
        <w:jc w:val="both"/>
        <w:rPr>
          <w:b/>
          <w:szCs w:val="24"/>
          <w:lang w:val="fr-CA"/>
        </w:rPr>
      </w:pPr>
      <w:r w:rsidRPr="00462939">
        <w:rPr>
          <w:b/>
          <w:szCs w:val="24"/>
          <w:lang w:val="fr-CA"/>
        </w:rPr>
        <w:t xml:space="preserve">Répertorié : R. </w:t>
      </w:r>
      <w:r w:rsidRPr="00462939">
        <w:rPr>
          <w:b/>
          <w:i/>
          <w:szCs w:val="24"/>
          <w:lang w:val="fr-CA"/>
        </w:rPr>
        <w:t>c.</w:t>
      </w:r>
      <w:r w:rsidRPr="00462939">
        <w:rPr>
          <w:b/>
          <w:szCs w:val="24"/>
          <w:lang w:val="fr-CA"/>
        </w:rPr>
        <w:t xml:space="preserve"> </w:t>
      </w:r>
      <w:proofErr w:type="spellStart"/>
      <w:r w:rsidRPr="00462939">
        <w:rPr>
          <w:b/>
          <w:szCs w:val="24"/>
          <w:lang w:val="fr-CA"/>
        </w:rPr>
        <w:t>Doxtator</w:t>
      </w:r>
      <w:proofErr w:type="spellEnd"/>
    </w:p>
    <w:p w:rsidR="00462939" w:rsidRPr="00462939" w:rsidRDefault="00462939" w:rsidP="00462939">
      <w:pPr>
        <w:spacing w:after="720"/>
        <w:jc w:val="both"/>
        <w:rPr>
          <w:b/>
          <w:szCs w:val="24"/>
          <w:lang w:val="fr-CA"/>
        </w:rPr>
      </w:pPr>
      <w:r w:rsidRPr="00462939">
        <w:rPr>
          <w:b/>
          <w:szCs w:val="24"/>
          <w:lang w:val="fr-CA"/>
        </w:rPr>
        <w:t>2022 CSC 40</w:t>
      </w:r>
    </w:p>
    <w:p w:rsidR="00462939" w:rsidRPr="00462939" w:rsidRDefault="00462939" w:rsidP="00462939">
      <w:pPr>
        <w:spacing w:after="720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>N</w:t>
      </w:r>
      <w:r w:rsidRPr="00462939">
        <w:rPr>
          <w:szCs w:val="24"/>
          <w:vertAlign w:val="superscript"/>
          <w:lang w:val="fr-CA"/>
        </w:rPr>
        <w:t>o</w:t>
      </w:r>
      <w:r w:rsidRPr="00462939">
        <w:rPr>
          <w:szCs w:val="24"/>
          <w:lang w:val="fr-CA"/>
        </w:rPr>
        <w:t xml:space="preserve"> du greffe : 40063.</w:t>
      </w:r>
    </w:p>
    <w:p w:rsidR="00462939" w:rsidRPr="00462939" w:rsidRDefault="00462939" w:rsidP="00462939">
      <w:pPr>
        <w:spacing w:after="720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>2022 : 9 novembre.</w:t>
      </w:r>
    </w:p>
    <w:p w:rsidR="00462939" w:rsidRPr="00462939" w:rsidRDefault="00462939" w:rsidP="00462939">
      <w:pPr>
        <w:spacing w:after="720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 xml:space="preserve">Présents : Les juges </w:t>
      </w:r>
      <w:proofErr w:type="spellStart"/>
      <w:r w:rsidRPr="00462939">
        <w:rPr>
          <w:szCs w:val="24"/>
          <w:lang w:val="fr-CA"/>
        </w:rPr>
        <w:t>Karakatsanis</w:t>
      </w:r>
      <w:proofErr w:type="spellEnd"/>
      <w:r w:rsidRPr="00462939">
        <w:rPr>
          <w:szCs w:val="24"/>
          <w:lang w:val="fr-CA"/>
        </w:rPr>
        <w:t xml:space="preserve">, Côté, Brown, Rowe et </w:t>
      </w:r>
      <w:proofErr w:type="spellStart"/>
      <w:r w:rsidRPr="00462939">
        <w:rPr>
          <w:szCs w:val="24"/>
          <w:lang w:val="fr-CA"/>
        </w:rPr>
        <w:t>Kasirer</w:t>
      </w:r>
      <w:proofErr w:type="spellEnd"/>
      <w:r w:rsidRPr="00462939">
        <w:rPr>
          <w:szCs w:val="24"/>
          <w:lang w:val="fr-CA"/>
        </w:rPr>
        <w:t>.</w:t>
      </w:r>
    </w:p>
    <w:p w:rsidR="00462939" w:rsidRPr="00462939" w:rsidRDefault="00462939" w:rsidP="00462939">
      <w:pPr>
        <w:spacing w:after="720"/>
        <w:jc w:val="both"/>
        <w:rPr>
          <w:smallCaps/>
          <w:szCs w:val="24"/>
          <w:lang w:val="fr-CA"/>
        </w:rPr>
      </w:pPr>
      <w:r w:rsidRPr="00462939">
        <w:rPr>
          <w:smallCaps/>
          <w:szCs w:val="24"/>
          <w:lang w:val="fr-CA"/>
        </w:rPr>
        <w:t xml:space="preserve">en appel de la cour d’appel de </w:t>
      </w:r>
      <w:proofErr w:type="spellStart"/>
      <w:r w:rsidRPr="00462939">
        <w:rPr>
          <w:smallCaps/>
          <w:szCs w:val="24"/>
          <w:lang w:val="fr-CA"/>
        </w:rPr>
        <w:t>l’ontario</w:t>
      </w:r>
      <w:proofErr w:type="spellEnd"/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ab/>
      </w:r>
      <w:r w:rsidRPr="00462939">
        <w:rPr>
          <w:i/>
          <w:szCs w:val="24"/>
          <w:lang w:val="fr-CA"/>
        </w:rPr>
        <w:t xml:space="preserve">Droit criminel — Exposé au jury — Infractions incluses — Accusé et </w:t>
      </w:r>
      <w:proofErr w:type="spellStart"/>
      <w:r w:rsidRPr="00462939">
        <w:rPr>
          <w:i/>
          <w:szCs w:val="24"/>
          <w:lang w:val="fr-CA"/>
        </w:rPr>
        <w:t>coaccusée</w:t>
      </w:r>
      <w:proofErr w:type="spellEnd"/>
      <w:r w:rsidRPr="00462939">
        <w:rPr>
          <w:i/>
          <w:szCs w:val="24"/>
          <w:lang w:val="fr-CA"/>
        </w:rPr>
        <w:t xml:space="preserve"> déclarés coupables par un jury de meurtre au premier degré — Appel formé par l’accusé contre la déclaration de culpabilité au motif que l’omission du juge du procès de laisser à l’appréciation du jury les infractions incluses dans le cas de la </w:t>
      </w:r>
      <w:proofErr w:type="spellStart"/>
      <w:r w:rsidRPr="00462939">
        <w:rPr>
          <w:i/>
          <w:szCs w:val="24"/>
          <w:lang w:val="fr-CA"/>
        </w:rPr>
        <w:t>coaccusée</w:t>
      </w:r>
      <w:proofErr w:type="spellEnd"/>
      <w:r w:rsidRPr="00462939">
        <w:rPr>
          <w:i/>
          <w:szCs w:val="24"/>
          <w:lang w:val="fr-CA"/>
        </w:rPr>
        <w:t xml:space="preserve"> ont miné sa défense et vicié le verdict — Conclusion des juges majoritaires de la Cour d’appel portant que le juge du procès aurait dû laisser les infractions incluses à l’appréciation du jury pour ce qui est de la </w:t>
      </w:r>
      <w:proofErr w:type="spellStart"/>
      <w:r w:rsidRPr="00462939">
        <w:rPr>
          <w:i/>
          <w:szCs w:val="24"/>
          <w:lang w:val="fr-CA"/>
        </w:rPr>
        <w:t>coaccusée</w:t>
      </w:r>
      <w:proofErr w:type="spellEnd"/>
      <w:r w:rsidRPr="00462939">
        <w:rPr>
          <w:i/>
          <w:szCs w:val="24"/>
          <w:lang w:val="fr-CA"/>
        </w:rPr>
        <w:t xml:space="preserve"> et que l’omission de le faire a restreint les directives données au jury dans le cas de l’accusé et affaibli sa position — </w:t>
      </w:r>
      <w:r w:rsidRPr="00462939">
        <w:rPr>
          <w:i/>
          <w:lang w:val="fr-CA"/>
        </w:rPr>
        <w:t>Annulation par les juges majoritaires de la déclaration de culpabilité et nouveau procès ordonné par ceux</w:t>
      </w:r>
      <w:r w:rsidRPr="00462939">
        <w:rPr>
          <w:i/>
          <w:lang w:val="fr-CA"/>
        </w:rPr>
        <w:noBreakHyphen/>
        <w:t xml:space="preserve">ci </w:t>
      </w:r>
      <w:r w:rsidRPr="00462939">
        <w:rPr>
          <w:i/>
          <w:szCs w:val="24"/>
          <w:lang w:val="fr-CA"/>
        </w:rPr>
        <w:t xml:space="preserve">— Conclusion du juge dissident portant que l’erreur du juge du procès n’a pas eu d’effet préjudiciable sur l’exposé concernant l’accusé étant donné que le juge du procès a dit au jury de considérer chaque accusé séparément et de juger l’accusé avant la </w:t>
      </w:r>
      <w:proofErr w:type="spellStart"/>
      <w:r w:rsidRPr="00462939">
        <w:rPr>
          <w:i/>
          <w:szCs w:val="24"/>
          <w:lang w:val="fr-CA"/>
        </w:rPr>
        <w:t>coaccusée</w:t>
      </w:r>
      <w:proofErr w:type="spellEnd"/>
      <w:r w:rsidRPr="00462939">
        <w:rPr>
          <w:i/>
          <w:szCs w:val="24"/>
          <w:lang w:val="fr-CA"/>
        </w:rPr>
        <w:t xml:space="preserve"> — Déclaration de culpabilité rétablie.</w:t>
      </w:r>
      <w:r w:rsidRPr="00462939">
        <w:rPr>
          <w:szCs w:val="24"/>
          <w:lang w:val="fr-CA"/>
        </w:rPr>
        <w:t xml:space="preserve"> </w:t>
      </w:r>
    </w:p>
    <w:p w:rsidR="00462939" w:rsidRPr="00462939" w:rsidRDefault="00462939" w:rsidP="00462939">
      <w:pPr>
        <w:tabs>
          <w:tab w:val="left" w:pos="1168"/>
        </w:tabs>
        <w:spacing w:after="720"/>
        <w:jc w:val="both"/>
        <w:rPr>
          <w:b/>
          <w:szCs w:val="24"/>
          <w:lang w:val="fr-CA"/>
        </w:rPr>
      </w:pPr>
      <w:r w:rsidRPr="00462939">
        <w:rPr>
          <w:b/>
          <w:szCs w:val="24"/>
          <w:lang w:val="fr-CA"/>
        </w:rPr>
        <w:t>Jurisprudence</w:t>
      </w:r>
    </w:p>
    <w:p w:rsidR="00462939" w:rsidRPr="00462939" w:rsidRDefault="00462939" w:rsidP="00462939">
      <w:pPr>
        <w:tabs>
          <w:tab w:val="left" w:pos="1168"/>
        </w:tabs>
        <w:spacing w:after="720"/>
        <w:jc w:val="both"/>
        <w:rPr>
          <w:b/>
          <w:szCs w:val="24"/>
          <w:lang w:val="fr-CA"/>
        </w:rPr>
      </w:pPr>
      <w:r w:rsidRPr="00462939">
        <w:rPr>
          <w:szCs w:val="24"/>
          <w:lang w:val="fr-CA"/>
        </w:rPr>
        <w:tab/>
      </w:r>
      <w:r w:rsidRPr="00462939">
        <w:rPr>
          <w:b/>
          <w:szCs w:val="24"/>
          <w:lang w:val="fr-CA"/>
        </w:rPr>
        <w:t>Arrêts mentionnés :</w:t>
      </w:r>
      <w:r w:rsidRPr="00462939">
        <w:rPr>
          <w:szCs w:val="24"/>
          <w:lang w:val="fr-CA"/>
        </w:rPr>
        <w:t xml:space="preserve"> </w:t>
      </w:r>
      <w:r w:rsidRPr="00462939">
        <w:rPr>
          <w:i/>
          <w:iCs/>
          <w:color w:val="000000"/>
          <w:szCs w:val="24"/>
          <w:lang w:val="fr-CA"/>
        </w:rPr>
        <w:t xml:space="preserve">R. c. </w:t>
      </w:r>
      <w:proofErr w:type="spellStart"/>
      <w:r w:rsidRPr="00462939">
        <w:rPr>
          <w:i/>
          <w:iCs/>
          <w:color w:val="000000"/>
          <w:szCs w:val="24"/>
          <w:lang w:val="fr-CA"/>
        </w:rPr>
        <w:t>Corbett</w:t>
      </w:r>
      <w:proofErr w:type="spellEnd"/>
      <w:r w:rsidRPr="00462939">
        <w:rPr>
          <w:color w:val="000000"/>
          <w:szCs w:val="24"/>
          <w:lang w:val="fr-CA"/>
        </w:rPr>
        <w:t xml:space="preserve">, [1988] 1 </w:t>
      </w:r>
      <w:proofErr w:type="spellStart"/>
      <w:r w:rsidRPr="00462939">
        <w:rPr>
          <w:color w:val="000000"/>
          <w:szCs w:val="24"/>
          <w:lang w:val="fr-CA"/>
        </w:rPr>
        <w:t>R.C.S</w:t>
      </w:r>
      <w:proofErr w:type="spellEnd"/>
      <w:r w:rsidRPr="00462939">
        <w:rPr>
          <w:color w:val="000000"/>
          <w:szCs w:val="24"/>
          <w:lang w:val="fr-CA"/>
        </w:rPr>
        <w:t>. 670.</w:t>
      </w:r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ab/>
        <w:t xml:space="preserve">POURVOI contre un arrêt de la Cour d’appel de l’Ontario (les juges </w:t>
      </w:r>
      <w:proofErr w:type="spellStart"/>
      <w:r w:rsidRPr="00462939">
        <w:rPr>
          <w:szCs w:val="24"/>
          <w:lang w:val="fr-CA"/>
        </w:rPr>
        <w:t>MacPherson</w:t>
      </w:r>
      <w:proofErr w:type="spellEnd"/>
      <w:r w:rsidRPr="00462939">
        <w:rPr>
          <w:szCs w:val="24"/>
          <w:lang w:val="fr-CA"/>
        </w:rPr>
        <w:t xml:space="preserve">, Roberts et Miller), </w:t>
      </w:r>
      <w:hyperlink r:id="rId10" w:history="1">
        <w:r w:rsidRPr="00462939">
          <w:rPr>
            <w:color w:val="660000"/>
            <w:szCs w:val="24"/>
            <w:lang w:val="fr-CA"/>
          </w:rPr>
          <w:t xml:space="preserve">2022 </w:t>
        </w:r>
        <w:proofErr w:type="spellStart"/>
        <w:r w:rsidRPr="00462939">
          <w:rPr>
            <w:color w:val="660000"/>
            <w:szCs w:val="24"/>
            <w:lang w:val="fr-CA"/>
          </w:rPr>
          <w:t>ONCA</w:t>
        </w:r>
        <w:proofErr w:type="spellEnd"/>
        <w:r w:rsidRPr="00462939">
          <w:rPr>
            <w:color w:val="660000"/>
            <w:szCs w:val="24"/>
            <w:lang w:val="fr-CA"/>
          </w:rPr>
          <w:t xml:space="preserve"> 155</w:t>
        </w:r>
      </w:hyperlink>
      <w:r w:rsidRPr="00462939">
        <w:rPr>
          <w:szCs w:val="24"/>
          <w:lang w:val="fr-CA"/>
        </w:rPr>
        <w:t xml:space="preserve">, 161 </w:t>
      </w:r>
      <w:proofErr w:type="spellStart"/>
      <w:r w:rsidRPr="00462939">
        <w:rPr>
          <w:szCs w:val="24"/>
          <w:lang w:val="fr-CA"/>
        </w:rPr>
        <w:t>O.R</w:t>
      </w:r>
      <w:proofErr w:type="spellEnd"/>
      <w:r w:rsidRPr="00462939">
        <w:rPr>
          <w:szCs w:val="24"/>
          <w:lang w:val="fr-CA"/>
        </w:rPr>
        <w:t>. (</w:t>
      </w:r>
      <w:proofErr w:type="spellStart"/>
      <w:r w:rsidRPr="00462939">
        <w:rPr>
          <w:szCs w:val="24"/>
          <w:lang w:val="fr-CA"/>
        </w:rPr>
        <w:t>3d</w:t>
      </w:r>
      <w:proofErr w:type="spellEnd"/>
      <w:r w:rsidRPr="00462939">
        <w:rPr>
          <w:szCs w:val="24"/>
          <w:lang w:val="fr-CA"/>
        </w:rPr>
        <w:t xml:space="preserve">) 81, 78 </w:t>
      </w:r>
      <w:proofErr w:type="spellStart"/>
      <w:r w:rsidRPr="00462939">
        <w:rPr>
          <w:szCs w:val="24"/>
          <w:lang w:val="fr-CA"/>
        </w:rPr>
        <w:t>C.R</w:t>
      </w:r>
      <w:proofErr w:type="spellEnd"/>
      <w:r w:rsidRPr="00462939">
        <w:rPr>
          <w:szCs w:val="24"/>
          <w:lang w:val="fr-CA"/>
        </w:rPr>
        <w:t>. (</w:t>
      </w:r>
      <w:proofErr w:type="spellStart"/>
      <w:r w:rsidRPr="00462939">
        <w:rPr>
          <w:szCs w:val="24"/>
          <w:lang w:val="fr-CA"/>
        </w:rPr>
        <w:t>7th</w:t>
      </w:r>
      <w:proofErr w:type="spellEnd"/>
      <w:r w:rsidRPr="00462939">
        <w:rPr>
          <w:szCs w:val="24"/>
          <w:lang w:val="fr-CA"/>
        </w:rPr>
        <w:t>) 298,</w:t>
      </w:r>
      <w:r w:rsidRPr="00462939">
        <w:rPr>
          <w:lang w:val="fr-CA"/>
        </w:rPr>
        <w:t xml:space="preserve"> </w:t>
      </w:r>
      <w:r w:rsidRPr="00462939">
        <w:rPr>
          <w:szCs w:val="24"/>
          <w:lang w:val="fr-CA"/>
        </w:rPr>
        <w:t xml:space="preserve">[2022] </w:t>
      </w:r>
      <w:proofErr w:type="spellStart"/>
      <w:r w:rsidRPr="00462939">
        <w:rPr>
          <w:szCs w:val="24"/>
          <w:lang w:val="fr-CA"/>
        </w:rPr>
        <w:t>O.J</w:t>
      </w:r>
      <w:proofErr w:type="spellEnd"/>
      <w:r w:rsidRPr="00462939">
        <w:rPr>
          <w:szCs w:val="24"/>
          <w:lang w:val="fr-CA"/>
        </w:rPr>
        <w:t>. No. 794 (</w:t>
      </w:r>
      <w:proofErr w:type="spellStart"/>
      <w:r w:rsidRPr="00462939">
        <w:rPr>
          <w:szCs w:val="24"/>
          <w:lang w:val="fr-CA"/>
        </w:rPr>
        <w:t>QL</w:t>
      </w:r>
      <w:proofErr w:type="spellEnd"/>
      <w:r w:rsidRPr="00462939">
        <w:rPr>
          <w:szCs w:val="24"/>
          <w:lang w:val="fr-CA"/>
        </w:rPr>
        <w:t xml:space="preserve">), 2022 </w:t>
      </w:r>
      <w:proofErr w:type="spellStart"/>
      <w:r w:rsidRPr="00462939">
        <w:rPr>
          <w:szCs w:val="24"/>
          <w:lang w:val="fr-CA"/>
        </w:rPr>
        <w:t>CarswellOnt</w:t>
      </w:r>
      <w:proofErr w:type="spellEnd"/>
      <w:r w:rsidRPr="00462939">
        <w:rPr>
          <w:szCs w:val="24"/>
          <w:lang w:val="fr-CA"/>
        </w:rPr>
        <w:t xml:space="preserve"> 1966 (</w:t>
      </w:r>
      <w:proofErr w:type="spellStart"/>
      <w:r w:rsidRPr="00462939">
        <w:rPr>
          <w:szCs w:val="24"/>
          <w:lang w:val="fr-CA"/>
        </w:rPr>
        <w:t>WL</w:t>
      </w:r>
      <w:proofErr w:type="spellEnd"/>
      <w:r w:rsidRPr="00462939">
        <w:rPr>
          <w:szCs w:val="24"/>
          <w:lang w:val="fr-CA"/>
        </w:rPr>
        <w:t>)</w:t>
      </w:r>
      <w:r w:rsidRPr="00462939">
        <w:rPr>
          <w:color w:val="000000"/>
          <w:szCs w:val="24"/>
          <w:lang w:val="fr-CA"/>
        </w:rPr>
        <w:t>, qui a annulé la déclaration de culpabilité pour meurtre au premier degré prononcée contre l’accusé et ordonné un nouveau procès</w:t>
      </w:r>
      <w:r w:rsidRPr="00462939">
        <w:rPr>
          <w:szCs w:val="24"/>
          <w:lang w:val="fr-CA"/>
        </w:rPr>
        <w:t>. P</w:t>
      </w:r>
      <w:r w:rsidRPr="00462939">
        <w:rPr>
          <w:color w:val="000000"/>
          <w:szCs w:val="24"/>
          <w:lang w:val="fr-CA"/>
        </w:rPr>
        <w:t>ourvoi accueilli, les juges </w:t>
      </w:r>
      <w:proofErr w:type="spellStart"/>
      <w:r w:rsidRPr="00462939">
        <w:rPr>
          <w:color w:val="000000"/>
          <w:szCs w:val="24"/>
          <w:lang w:val="fr-CA"/>
        </w:rPr>
        <w:t>Karakatsanis</w:t>
      </w:r>
      <w:proofErr w:type="spellEnd"/>
      <w:r w:rsidRPr="00462939">
        <w:rPr>
          <w:color w:val="000000"/>
          <w:szCs w:val="24"/>
          <w:lang w:val="fr-CA"/>
        </w:rPr>
        <w:t xml:space="preserve"> et Rowe sont dissidents.</w:t>
      </w:r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i/>
          <w:szCs w:val="24"/>
          <w:lang w:val="fr-CA"/>
        </w:rPr>
        <w:tab/>
      </w:r>
      <w:proofErr w:type="spellStart"/>
      <w:r w:rsidRPr="00462939">
        <w:rPr>
          <w:i/>
          <w:szCs w:val="24"/>
          <w:lang w:val="fr-CA"/>
        </w:rPr>
        <w:t>Andreea</w:t>
      </w:r>
      <w:proofErr w:type="spellEnd"/>
      <w:r w:rsidRPr="00462939">
        <w:rPr>
          <w:i/>
          <w:szCs w:val="24"/>
          <w:lang w:val="fr-CA"/>
        </w:rPr>
        <w:t xml:space="preserve"> </w:t>
      </w:r>
      <w:proofErr w:type="spellStart"/>
      <w:r w:rsidRPr="00462939">
        <w:rPr>
          <w:i/>
          <w:szCs w:val="24"/>
          <w:lang w:val="fr-CA"/>
        </w:rPr>
        <w:t>Baiasu</w:t>
      </w:r>
      <w:proofErr w:type="spellEnd"/>
      <w:r w:rsidRPr="00462939">
        <w:rPr>
          <w:szCs w:val="24"/>
          <w:lang w:val="fr-CA"/>
        </w:rPr>
        <w:t>, pour l’appelant.</w:t>
      </w:r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i/>
          <w:szCs w:val="24"/>
          <w:lang w:val="fr-CA"/>
        </w:rPr>
        <w:tab/>
        <w:t>James Lockyer</w:t>
      </w:r>
      <w:r w:rsidRPr="00462939">
        <w:rPr>
          <w:szCs w:val="24"/>
          <w:lang w:val="fr-CA"/>
        </w:rPr>
        <w:t xml:space="preserve"> et </w:t>
      </w:r>
      <w:r w:rsidRPr="00462939">
        <w:rPr>
          <w:i/>
          <w:szCs w:val="24"/>
          <w:lang w:val="fr-CA"/>
        </w:rPr>
        <w:t>Jessica Zita</w:t>
      </w:r>
      <w:r w:rsidRPr="00462939">
        <w:rPr>
          <w:szCs w:val="24"/>
          <w:lang w:val="fr-CA"/>
        </w:rPr>
        <w:t>, pour l’intimé.</w:t>
      </w:r>
    </w:p>
    <w:p w:rsid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ab/>
        <w:t xml:space="preserve">Version française du jugement de la </w:t>
      </w:r>
      <w:r w:rsidRPr="00462939">
        <w:rPr>
          <w:lang w:val="fr-CA"/>
        </w:rPr>
        <w:t>Cour</w:t>
      </w:r>
      <w:r w:rsidRPr="00462939">
        <w:rPr>
          <w:szCs w:val="24"/>
          <w:lang w:val="fr-CA"/>
        </w:rPr>
        <w:t xml:space="preserve"> rendu oralement par</w:t>
      </w:r>
    </w:p>
    <w:p w:rsidR="00462939" w:rsidRPr="00462939" w:rsidRDefault="00462939" w:rsidP="00462939">
      <w:pPr>
        <w:numPr>
          <w:ilvl w:val="0"/>
          <w:numId w:val="31"/>
        </w:numPr>
        <w:tabs>
          <w:tab w:val="clear" w:pos="1166"/>
          <w:tab w:val="left" w:pos="1168"/>
        </w:tabs>
        <w:spacing w:before="480" w:after="480" w:line="480" w:lineRule="auto"/>
        <w:jc w:val="both"/>
        <w:rPr>
          <w:szCs w:val="24"/>
          <w:lang w:val="fr-CA"/>
        </w:rPr>
      </w:pPr>
      <w:bookmarkStart w:id="0" w:name="_GoBack"/>
      <w:bookmarkEnd w:id="0"/>
      <w:r w:rsidRPr="00462939">
        <w:rPr>
          <w:smallCaps/>
          <w:color w:val="000000"/>
          <w:szCs w:val="24"/>
          <w:lang w:val="fr-CA"/>
        </w:rPr>
        <w:t xml:space="preserve">Le juge </w:t>
      </w:r>
      <w:proofErr w:type="spellStart"/>
      <w:r w:rsidRPr="00462939">
        <w:rPr>
          <w:smallCaps/>
          <w:color w:val="000000"/>
          <w:szCs w:val="24"/>
          <w:lang w:val="fr-CA"/>
        </w:rPr>
        <w:t>Kasirer</w:t>
      </w:r>
      <w:proofErr w:type="spellEnd"/>
      <w:r w:rsidRPr="00462939">
        <w:rPr>
          <w:color w:val="000000"/>
          <w:szCs w:val="24"/>
          <w:lang w:val="fr-CA"/>
        </w:rPr>
        <w:t> — La Cour, à la majorité, est d’avis d’accueillir l’appel. Les directives du juge du procès concernant M. </w:t>
      </w:r>
      <w:proofErr w:type="spellStart"/>
      <w:r w:rsidRPr="00462939">
        <w:rPr>
          <w:color w:val="000000"/>
          <w:szCs w:val="24"/>
          <w:lang w:val="fr-CA"/>
        </w:rPr>
        <w:t>Doxtator</w:t>
      </w:r>
      <w:proofErr w:type="spellEnd"/>
      <w:r w:rsidRPr="00462939">
        <w:rPr>
          <w:color w:val="000000"/>
          <w:szCs w:val="24"/>
          <w:lang w:val="fr-CA"/>
        </w:rPr>
        <w:t xml:space="preserve"> ont dûment laissé à l’appréciation du jury les verdicts qui étaient raisonnablement possibles. Comme l’a observé à bon </w:t>
      </w:r>
      <w:r w:rsidRPr="00462939">
        <w:rPr>
          <w:lang w:val="fr-CA"/>
        </w:rPr>
        <w:t>droit</w:t>
      </w:r>
      <w:r w:rsidRPr="00462939">
        <w:rPr>
          <w:color w:val="000000"/>
          <w:szCs w:val="24"/>
          <w:lang w:val="fr-CA"/>
        </w:rPr>
        <w:t xml:space="preserve"> en Cour d’appel le juge </w:t>
      </w:r>
      <w:proofErr w:type="spellStart"/>
      <w:r w:rsidRPr="00462939">
        <w:rPr>
          <w:color w:val="000000"/>
          <w:szCs w:val="24"/>
          <w:lang w:val="fr-CA"/>
        </w:rPr>
        <w:t>MacPherson</w:t>
      </w:r>
      <w:proofErr w:type="spellEnd"/>
      <w:r w:rsidRPr="00462939">
        <w:rPr>
          <w:color w:val="000000"/>
          <w:szCs w:val="24"/>
          <w:lang w:val="fr-CA"/>
        </w:rPr>
        <w:t>, dissident, le juge du procès a explicitement donné comme directive au jury de considérer le cas de M. </w:t>
      </w:r>
      <w:proofErr w:type="spellStart"/>
      <w:r w:rsidRPr="00462939">
        <w:rPr>
          <w:color w:val="000000"/>
          <w:szCs w:val="24"/>
          <w:lang w:val="fr-CA"/>
        </w:rPr>
        <w:t>Doxtator</w:t>
      </w:r>
      <w:proofErr w:type="spellEnd"/>
      <w:r w:rsidRPr="00462939">
        <w:rPr>
          <w:color w:val="000000"/>
          <w:szCs w:val="24"/>
          <w:lang w:val="fr-CA"/>
        </w:rPr>
        <w:t xml:space="preserve"> séparément de celui de la </w:t>
      </w:r>
      <w:proofErr w:type="spellStart"/>
      <w:r w:rsidRPr="00462939">
        <w:rPr>
          <w:color w:val="000000"/>
          <w:szCs w:val="24"/>
          <w:lang w:val="fr-CA"/>
        </w:rPr>
        <w:t>coaccusée</w:t>
      </w:r>
      <w:proofErr w:type="spellEnd"/>
      <w:r w:rsidRPr="00462939">
        <w:rPr>
          <w:color w:val="000000"/>
          <w:szCs w:val="24"/>
          <w:lang w:val="fr-CA"/>
        </w:rPr>
        <w:t xml:space="preserve">. Rien dans le dossier en appel ne permet à notre Cour de s’écarter du principe selon lequel les jurés suivent généralement les directives explicites : voir </w:t>
      </w:r>
      <w:r w:rsidRPr="00462939">
        <w:rPr>
          <w:i/>
          <w:iCs/>
          <w:color w:val="000000"/>
          <w:szCs w:val="24"/>
          <w:lang w:val="fr-CA"/>
        </w:rPr>
        <w:t xml:space="preserve">R. c. </w:t>
      </w:r>
      <w:proofErr w:type="spellStart"/>
      <w:r w:rsidRPr="00462939">
        <w:rPr>
          <w:i/>
          <w:iCs/>
          <w:color w:val="000000"/>
          <w:szCs w:val="24"/>
          <w:lang w:val="fr-CA"/>
        </w:rPr>
        <w:t>Corbett</w:t>
      </w:r>
      <w:proofErr w:type="spellEnd"/>
      <w:r w:rsidRPr="00462939">
        <w:rPr>
          <w:color w:val="000000"/>
          <w:szCs w:val="24"/>
          <w:lang w:val="fr-CA"/>
        </w:rPr>
        <w:t xml:space="preserve">, [1988] 1 </w:t>
      </w:r>
      <w:proofErr w:type="spellStart"/>
      <w:r w:rsidRPr="00462939">
        <w:rPr>
          <w:color w:val="000000"/>
          <w:szCs w:val="24"/>
          <w:lang w:val="fr-CA"/>
        </w:rPr>
        <w:t>R.C.S</w:t>
      </w:r>
      <w:proofErr w:type="spellEnd"/>
      <w:r w:rsidRPr="00462939">
        <w:rPr>
          <w:color w:val="000000"/>
          <w:szCs w:val="24"/>
          <w:lang w:val="fr-CA"/>
        </w:rPr>
        <w:t xml:space="preserve">. 670, p. 692-693. Cela est suffisant pour que l’appel soit accueilli, que l’ordonnance sollicitant la tenue d’un nouveau procès pour l’intimé Richard </w:t>
      </w:r>
      <w:proofErr w:type="spellStart"/>
      <w:r w:rsidRPr="00462939">
        <w:rPr>
          <w:color w:val="000000"/>
          <w:szCs w:val="24"/>
          <w:lang w:val="fr-CA"/>
        </w:rPr>
        <w:t>Doxtator</w:t>
      </w:r>
      <w:proofErr w:type="spellEnd"/>
      <w:r w:rsidRPr="00462939">
        <w:rPr>
          <w:color w:val="000000"/>
          <w:szCs w:val="24"/>
          <w:lang w:val="fr-CA"/>
        </w:rPr>
        <w:t xml:space="preserve"> soit annulée, et que sa déclaration de culpabilité pour meurtre au premier degré soit rétablie.</w:t>
      </w:r>
    </w:p>
    <w:p w:rsidR="00462939" w:rsidRPr="00462939" w:rsidRDefault="00462939" w:rsidP="00462939">
      <w:pPr>
        <w:numPr>
          <w:ilvl w:val="0"/>
          <w:numId w:val="31"/>
        </w:numPr>
        <w:tabs>
          <w:tab w:val="clear" w:pos="1166"/>
          <w:tab w:val="left" w:pos="1168"/>
        </w:tabs>
        <w:spacing w:before="480" w:after="480" w:line="480" w:lineRule="auto"/>
        <w:jc w:val="both"/>
        <w:rPr>
          <w:szCs w:val="24"/>
          <w:lang w:val="fr-CA"/>
        </w:rPr>
      </w:pPr>
      <w:r w:rsidRPr="00462939">
        <w:rPr>
          <w:color w:val="000000"/>
          <w:szCs w:val="24"/>
          <w:lang w:val="fr-CA"/>
        </w:rPr>
        <w:t xml:space="preserve">Les juges </w:t>
      </w:r>
      <w:proofErr w:type="spellStart"/>
      <w:r w:rsidRPr="00462939">
        <w:rPr>
          <w:color w:val="000000"/>
          <w:szCs w:val="24"/>
          <w:lang w:val="fr-CA"/>
        </w:rPr>
        <w:t>Karakatsanis</w:t>
      </w:r>
      <w:proofErr w:type="spellEnd"/>
      <w:r w:rsidRPr="00462939">
        <w:rPr>
          <w:color w:val="000000"/>
          <w:szCs w:val="24"/>
          <w:lang w:val="fr-CA"/>
        </w:rPr>
        <w:t xml:space="preserve"> et Rowe, dissidents, auraient rejeté l’appel essentiellement pour </w:t>
      </w:r>
      <w:r w:rsidRPr="00462939">
        <w:rPr>
          <w:lang w:val="fr-CA"/>
        </w:rPr>
        <w:t>les</w:t>
      </w:r>
      <w:r w:rsidRPr="00462939">
        <w:rPr>
          <w:color w:val="000000"/>
          <w:szCs w:val="24"/>
          <w:lang w:val="fr-CA"/>
        </w:rPr>
        <w:t xml:space="preserve"> motifs exposés par le juge Roberts de la Cour d’appel.</w:t>
      </w:r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szCs w:val="24"/>
          <w:lang w:val="fr-CA"/>
        </w:rPr>
      </w:pPr>
      <w:r w:rsidRPr="00462939">
        <w:rPr>
          <w:szCs w:val="24"/>
          <w:lang w:val="fr-CA"/>
        </w:rPr>
        <w:tab/>
      </w:r>
      <w:r w:rsidRPr="00462939">
        <w:rPr>
          <w:i/>
          <w:szCs w:val="24"/>
          <w:lang w:val="fr-CA"/>
        </w:rPr>
        <w:t>Jugement en conséquence.</w:t>
      </w:r>
    </w:p>
    <w:p w:rsidR="00462939" w:rsidRPr="00462939" w:rsidRDefault="00462939" w:rsidP="00462939">
      <w:pPr>
        <w:tabs>
          <w:tab w:val="left" w:pos="1168"/>
        </w:tabs>
        <w:spacing w:after="480" w:line="480" w:lineRule="auto"/>
        <w:jc w:val="both"/>
        <w:rPr>
          <w:i/>
          <w:szCs w:val="24"/>
          <w:lang w:val="fr-CA"/>
        </w:rPr>
      </w:pPr>
      <w:r w:rsidRPr="00462939">
        <w:rPr>
          <w:i/>
          <w:szCs w:val="24"/>
          <w:lang w:val="fr-CA"/>
        </w:rPr>
        <w:tab/>
        <w:t>Procureurs de l’appelant : </w:t>
      </w:r>
      <w:r w:rsidRPr="00462939">
        <w:rPr>
          <w:i/>
          <w:iCs/>
          <w:szCs w:val="24"/>
          <w:lang w:val="fr-CA"/>
        </w:rPr>
        <w:t>Ministère du Procureur général, Bureau des avocats de la Couronne — Droit criminel</w:t>
      </w:r>
      <w:r w:rsidRPr="00462939">
        <w:rPr>
          <w:i/>
          <w:szCs w:val="24"/>
          <w:lang w:val="fr-CA"/>
        </w:rPr>
        <w:t>, Toronto.</w:t>
      </w:r>
    </w:p>
    <w:p w:rsidR="00462939" w:rsidRPr="00462939" w:rsidRDefault="00462939" w:rsidP="00462939">
      <w:pPr>
        <w:tabs>
          <w:tab w:val="left" w:pos="1168"/>
        </w:tabs>
        <w:spacing w:line="480" w:lineRule="auto"/>
        <w:jc w:val="both"/>
        <w:rPr>
          <w:i/>
          <w:szCs w:val="24"/>
          <w:lang w:val="fr-CA"/>
        </w:rPr>
      </w:pPr>
      <w:r w:rsidRPr="00462939">
        <w:rPr>
          <w:i/>
          <w:szCs w:val="24"/>
          <w:lang w:val="fr-CA"/>
        </w:rPr>
        <w:tab/>
        <w:t xml:space="preserve">Procureurs de l’intimé : Lockyer </w:t>
      </w:r>
      <w:proofErr w:type="spellStart"/>
      <w:r w:rsidRPr="00462939">
        <w:rPr>
          <w:i/>
          <w:szCs w:val="24"/>
          <w:lang w:val="fr-CA"/>
        </w:rPr>
        <w:t>Zaduk</w:t>
      </w:r>
      <w:proofErr w:type="spellEnd"/>
      <w:r w:rsidRPr="00462939">
        <w:rPr>
          <w:i/>
          <w:szCs w:val="24"/>
          <w:lang w:val="fr-CA"/>
        </w:rPr>
        <w:t xml:space="preserve"> </w:t>
      </w:r>
      <w:proofErr w:type="spellStart"/>
      <w:r w:rsidRPr="00462939">
        <w:rPr>
          <w:i/>
          <w:szCs w:val="24"/>
          <w:lang w:val="fr-CA"/>
        </w:rPr>
        <w:t>Zeeh</w:t>
      </w:r>
      <w:proofErr w:type="spellEnd"/>
      <w:r w:rsidRPr="00462939">
        <w:rPr>
          <w:i/>
          <w:szCs w:val="24"/>
          <w:lang w:val="fr-CA"/>
        </w:rPr>
        <w:t>, Toronto.</w:t>
      </w:r>
    </w:p>
    <w:p w:rsidR="00462939" w:rsidRPr="001F46B4" w:rsidRDefault="00462939" w:rsidP="00462939">
      <w:pPr>
        <w:rPr>
          <w:lang w:val="fr-CA"/>
        </w:rPr>
      </w:pPr>
    </w:p>
    <w:sectPr w:rsidR="00462939" w:rsidRPr="001F46B4" w:rsidSect="00462939">
      <w:headerReference w:type="even" r:id="rId11"/>
      <w:headerReference w:type="first" r:id="rId12"/>
      <w:pgSz w:w="12240" w:h="15840"/>
      <w:pgMar w:top="1440" w:right="1440" w:bottom="1440" w:left="1440" w:header="18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CE" w:rsidRDefault="006C2CCE">
      <w:r>
        <w:separator/>
      </w:r>
    </w:p>
  </w:endnote>
  <w:endnote w:type="continuationSeparator" w:id="0">
    <w:p w:rsidR="006C2CCE" w:rsidRDefault="006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CE" w:rsidRDefault="006C2CCE">
      <w:r>
        <w:separator/>
      </w:r>
    </w:p>
  </w:footnote>
  <w:footnote w:type="continuationSeparator" w:id="0">
    <w:p w:rsidR="006C2CCE" w:rsidRDefault="006C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7B" w:rsidRDefault="00770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739672" o:spid="_x0000_s14337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A3" w:rsidRDefault="00770BF2" w:rsidP="000367A3"/>
  <w:sdt>
    <w:sdtPr>
      <w:id w:val="-106422754"/>
      <w:lock w:val="contentLocked"/>
      <w:showingPlcHdr/>
      <w:text/>
    </w:sdtPr>
    <w:sdtEndPr/>
    <w:sdtContent>
      <w:p w:rsidR="000367A3" w:rsidRDefault="00770BF2" w:rsidP="000367A3"/>
      <w:p w:rsidR="000367A3" w:rsidRDefault="00770BF2" w:rsidP="000367A3"/>
      <w:p w:rsidR="000367A3" w:rsidRPr="0031097F" w:rsidRDefault="00770BF2" w:rsidP="000367A3"/>
      <w:p w:rsidR="000367A3" w:rsidRDefault="00770BF2" w:rsidP="000367A3"/>
      <w:p w:rsidR="000367A3" w:rsidRDefault="00770BF2" w:rsidP="000367A3"/>
      <w:p w:rsidR="000367A3" w:rsidRDefault="00770BF2" w:rsidP="000367A3"/>
      <w:p w:rsidR="000367A3" w:rsidRDefault="00770BF2" w:rsidP="000367A3"/>
      <w:p w:rsidR="000367A3" w:rsidRDefault="00770BF2" w:rsidP="000367A3"/>
      <w:p w:rsidR="000367A3" w:rsidRPr="00FE22F9" w:rsidRDefault="00770BF2" w:rsidP="000367A3"/>
      <w:p w:rsidR="000367A3" w:rsidRPr="00FE22F9" w:rsidRDefault="00770BF2" w:rsidP="000367A3"/>
      <w:p w:rsidR="000367A3" w:rsidRDefault="00770BF2" w:rsidP="000367A3">
        <w:pPr>
          <w:pStyle w:val="Header"/>
        </w:pPr>
      </w:p>
      <w:p w:rsidR="00484355" w:rsidRPr="000367A3" w:rsidRDefault="00770BF2" w:rsidP="000367A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5617F"/>
    <w:multiLevelType w:val="hybridMultilevel"/>
    <w:tmpl w:val="24D8B888"/>
    <w:lvl w:ilvl="0" w:tplc="55D069D8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7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3DC"/>
    <w:rsid w:val="00013781"/>
    <w:rsid w:val="00017885"/>
    <w:rsid w:val="00022F2E"/>
    <w:rsid w:val="00025198"/>
    <w:rsid w:val="00026467"/>
    <w:rsid w:val="00040D1B"/>
    <w:rsid w:val="00041BDD"/>
    <w:rsid w:val="000578A3"/>
    <w:rsid w:val="000648CC"/>
    <w:rsid w:val="00076E46"/>
    <w:rsid w:val="00094FED"/>
    <w:rsid w:val="000B34E8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2D2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708F9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407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505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7F1"/>
    <w:rsid w:val="0032089D"/>
    <w:rsid w:val="00324AE2"/>
    <w:rsid w:val="003310DE"/>
    <w:rsid w:val="003323B0"/>
    <w:rsid w:val="0033472B"/>
    <w:rsid w:val="00337C82"/>
    <w:rsid w:val="00342089"/>
    <w:rsid w:val="00347BA4"/>
    <w:rsid w:val="0035169A"/>
    <w:rsid w:val="0035259D"/>
    <w:rsid w:val="00353B79"/>
    <w:rsid w:val="00353EF2"/>
    <w:rsid w:val="00355C66"/>
    <w:rsid w:val="00362ADA"/>
    <w:rsid w:val="00364B18"/>
    <w:rsid w:val="003801DB"/>
    <w:rsid w:val="00381C49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5158"/>
    <w:rsid w:val="00426659"/>
    <w:rsid w:val="00426D16"/>
    <w:rsid w:val="00445C7C"/>
    <w:rsid w:val="00450352"/>
    <w:rsid w:val="00454BDB"/>
    <w:rsid w:val="00456FFF"/>
    <w:rsid w:val="00462939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86C55"/>
    <w:rsid w:val="00493C18"/>
    <w:rsid w:val="00495D96"/>
    <w:rsid w:val="004A600C"/>
    <w:rsid w:val="004A6118"/>
    <w:rsid w:val="004C2314"/>
    <w:rsid w:val="004C25EE"/>
    <w:rsid w:val="004C478D"/>
    <w:rsid w:val="004C6955"/>
    <w:rsid w:val="004D1721"/>
    <w:rsid w:val="004D4FEC"/>
    <w:rsid w:val="004E0D6A"/>
    <w:rsid w:val="004E2C26"/>
    <w:rsid w:val="004E61A7"/>
    <w:rsid w:val="004F36FF"/>
    <w:rsid w:val="00506A78"/>
    <w:rsid w:val="005125A8"/>
    <w:rsid w:val="00516DED"/>
    <w:rsid w:val="00517BC7"/>
    <w:rsid w:val="00521AE8"/>
    <w:rsid w:val="00524449"/>
    <w:rsid w:val="00527180"/>
    <w:rsid w:val="005341CE"/>
    <w:rsid w:val="00534AB2"/>
    <w:rsid w:val="0054201E"/>
    <w:rsid w:val="00547FB8"/>
    <w:rsid w:val="005541DB"/>
    <w:rsid w:val="00555291"/>
    <w:rsid w:val="0056265A"/>
    <w:rsid w:val="00566AD1"/>
    <w:rsid w:val="0057257D"/>
    <w:rsid w:val="00575FF2"/>
    <w:rsid w:val="00583EDE"/>
    <w:rsid w:val="00586928"/>
    <w:rsid w:val="005966EF"/>
    <w:rsid w:val="005A4F85"/>
    <w:rsid w:val="005A6079"/>
    <w:rsid w:val="005C617A"/>
    <w:rsid w:val="005C7840"/>
    <w:rsid w:val="005E4698"/>
    <w:rsid w:val="006003EE"/>
    <w:rsid w:val="006055B2"/>
    <w:rsid w:val="00610539"/>
    <w:rsid w:val="00613969"/>
    <w:rsid w:val="0061523C"/>
    <w:rsid w:val="00617208"/>
    <w:rsid w:val="00625C35"/>
    <w:rsid w:val="00626A7D"/>
    <w:rsid w:val="0062787A"/>
    <w:rsid w:val="00635521"/>
    <w:rsid w:val="00637318"/>
    <w:rsid w:val="00640645"/>
    <w:rsid w:val="006468AB"/>
    <w:rsid w:val="0065050D"/>
    <w:rsid w:val="00656313"/>
    <w:rsid w:val="006565F4"/>
    <w:rsid w:val="0066108F"/>
    <w:rsid w:val="00666098"/>
    <w:rsid w:val="006763FD"/>
    <w:rsid w:val="00684EEA"/>
    <w:rsid w:val="006908E8"/>
    <w:rsid w:val="0069689B"/>
    <w:rsid w:val="006A1551"/>
    <w:rsid w:val="006A48DB"/>
    <w:rsid w:val="006B4F1D"/>
    <w:rsid w:val="006B5FF5"/>
    <w:rsid w:val="006B7683"/>
    <w:rsid w:val="006C2CCE"/>
    <w:rsid w:val="006D4200"/>
    <w:rsid w:val="006D65A1"/>
    <w:rsid w:val="006F30AF"/>
    <w:rsid w:val="006F7FA0"/>
    <w:rsid w:val="007009A0"/>
    <w:rsid w:val="00701759"/>
    <w:rsid w:val="00701CF2"/>
    <w:rsid w:val="00705C15"/>
    <w:rsid w:val="00712E55"/>
    <w:rsid w:val="00713025"/>
    <w:rsid w:val="00714103"/>
    <w:rsid w:val="007154A1"/>
    <w:rsid w:val="0071600E"/>
    <w:rsid w:val="007162FD"/>
    <w:rsid w:val="00717FDC"/>
    <w:rsid w:val="007208D1"/>
    <w:rsid w:val="0072428C"/>
    <w:rsid w:val="0072436C"/>
    <w:rsid w:val="00730177"/>
    <w:rsid w:val="00742119"/>
    <w:rsid w:val="00742337"/>
    <w:rsid w:val="00744F09"/>
    <w:rsid w:val="00747288"/>
    <w:rsid w:val="00747DD3"/>
    <w:rsid w:val="007549C8"/>
    <w:rsid w:val="00754A0B"/>
    <w:rsid w:val="00766D14"/>
    <w:rsid w:val="00767A0F"/>
    <w:rsid w:val="00770BF2"/>
    <w:rsid w:val="00775C3E"/>
    <w:rsid w:val="00796207"/>
    <w:rsid w:val="007A05F6"/>
    <w:rsid w:val="007B1289"/>
    <w:rsid w:val="007B3D74"/>
    <w:rsid w:val="007B6F4A"/>
    <w:rsid w:val="007B7758"/>
    <w:rsid w:val="007D097E"/>
    <w:rsid w:val="007E1C47"/>
    <w:rsid w:val="007E337A"/>
    <w:rsid w:val="007E5C70"/>
    <w:rsid w:val="007F2FF5"/>
    <w:rsid w:val="007F3F08"/>
    <w:rsid w:val="00801B60"/>
    <w:rsid w:val="00804CC6"/>
    <w:rsid w:val="00813B48"/>
    <w:rsid w:val="00817190"/>
    <w:rsid w:val="0081764F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83F8A"/>
    <w:rsid w:val="00891422"/>
    <w:rsid w:val="00892E1A"/>
    <w:rsid w:val="00892FD4"/>
    <w:rsid w:val="008A3F29"/>
    <w:rsid w:val="008B660A"/>
    <w:rsid w:val="008B70F9"/>
    <w:rsid w:val="008C01DA"/>
    <w:rsid w:val="008C02C9"/>
    <w:rsid w:val="008C7263"/>
    <w:rsid w:val="008D0BDF"/>
    <w:rsid w:val="008D2104"/>
    <w:rsid w:val="008E18E5"/>
    <w:rsid w:val="008E2AF3"/>
    <w:rsid w:val="008E3C2D"/>
    <w:rsid w:val="008F78E9"/>
    <w:rsid w:val="00903C32"/>
    <w:rsid w:val="00911989"/>
    <w:rsid w:val="009179F9"/>
    <w:rsid w:val="0093031F"/>
    <w:rsid w:val="00931C1C"/>
    <w:rsid w:val="00933E5E"/>
    <w:rsid w:val="00934D17"/>
    <w:rsid w:val="00935218"/>
    <w:rsid w:val="009365D5"/>
    <w:rsid w:val="009403F3"/>
    <w:rsid w:val="00953701"/>
    <w:rsid w:val="009555B7"/>
    <w:rsid w:val="009567AA"/>
    <w:rsid w:val="0096473A"/>
    <w:rsid w:val="00967374"/>
    <w:rsid w:val="00976EB5"/>
    <w:rsid w:val="00981B4D"/>
    <w:rsid w:val="00982D32"/>
    <w:rsid w:val="00983AF6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E5766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46FB0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3FB8"/>
    <w:rsid w:val="00AE4535"/>
    <w:rsid w:val="00AF03C5"/>
    <w:rsid w:val="00AF0B26"/>
    <w:rsid w:val="00AF4773"/>
    <w:rsid w:val="00AF49CC"/>
    <w:rsid w:val="00AF571D"/>
    <w:rsid w:val="00B000D8"/>
    <w:rsid w:val="00B00F75"/>
    <w:rsid w:val="00B0409C"/>
    <w:rsid w:val="00B11735"/>
    <w:rsid w:val="00B1431F"/>
    <w:rsid w:val="00B145B6"/>
    <w:rsid w:val="00B15684"/>
    <w:rsid w:val="00B2215E"/>
    <w:rsid w:val="00B279EB"/>
    <w:rsid w:val="00B30E18"/>
    <w:rsid w:val="00B32357"/>
    <w:rsid w:val="00B43559"/>
    <w:rsid w:val="00B50C81"/>
    <w:rsid w:val="00B557F8"/>
    <w:rsid w:val="00B56AAF"/>
    <w:rsid w:val="00B62F10"/>
    <w:rsid w:val="00B67199"/>
    <w:rsid w:val="00B815FC"/>
    <w:rsid w:val="00B838B8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BE7206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359C"/>
    <w:rsid w:val="00C77613"/>
    <w:rsid w:val="00C828E7"/>
    <w:rsid w:val="00C86719"/>
    <w:rsid w:val="00C921DD"/>
    <w:rsid w:val="00C93B01"/>
    <w:rsid w:val="00CA6391"/>
    <w:rsid w:val="00CA7B39"/>
    <w:rsid w:val="00CB5B04"/>
    <w:rsid w:val="00CB793C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8628D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4080"/>
    <w:rsid w:val="00E07EE2"/>
    <w:rsid w:val="00E07FD1"/>
    <w:rsid w:val="00E1000C"/>
    <w:rsid w:val="00E10A5C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476E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D87"/>
    <w:rsid w:val="00EC34E9"/>
    <w:rsid w:val="00ED681A"/>
    <w:rsid w:val="00EE0B3C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44C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010F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8E2AF3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8E2AF3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E2AF3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adecisions.ontariocourts.ca/coa/coa/en/item/20386/index.d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EF01-B1F5-4099-831E-A62B2D17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2022-11-14T16:44:00Z</dcterms:created>
  <dcterms:modified xsi:type="dcterms:W3CDTF">2023-07-28T15:11:00Z</dcterms:modified>
</cp:coreProperties>
</file>