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8"/>
        <w:gridCol w:w="1379"/>
        <w:gridCol w:w="1290"/>
        <w:gridCol w:w="3348"/>
      </w:tblGrid>
      <w:tr w:rsidR="00A767C7" w:rsidRPr="00A767C7" w:rsidTr="00DE45DB">
        <w:trPr>
          <w:trHeight w:val="1786"/>
        </w:trPr>
        <w:tc>
          <w:tcPr>
            <w:tcW w:w="5000" w:type="pct"/>
            <w:gridSpan w:val="4"/>
          </w:tcPr>
          <w:p w:rsidR="00A767C7" w:rsidRPr="00A767C7" w:rsidRDefault="00A767C7" w:rsidP="00A767C7">
            <w:pPr>
              <w:jc w:val="center"/>
              <w:rPr>
                <w:b/>
                <w:lang w:val="fr-CA"/>
              </w:rPr>
            </w:pPr>
            <w:r w:rsidRPr="00A767C7">
              <w:rPr>
                <w:b/>
                <w:noProof/>
              </w:rPr>
              <w:drawing>
                <wp:inline distT="0" distB="0" distL="0" distR="0" wp14:anchorId="1C5AA602" wp14:editId="5C9F6235">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A767C7" w:rsidRPr="00A767C7" w:rsidRDefault="00A767C7" w:rsidP="00A767C7">
            <w:pPr>
              <w:spacing w:before="120" w:after="100" w:afterAutospacing="1"/>
              <w:jc w:val="center"/>
              <w:rPr>
                <w:lang w:val="fr-CA"/>
              </w:rPr>
            </w:pPr>
            <w:r w:rsidRPr="00A767C7">
              <w:rPr>
                <w:b/>
                <w:lang w:val="fr-CA"/>
              </w:rPr>
              <w:t>COUR SUPRÊME DU CANADA</w:t>
            </w:r>
          </w:p>
        </w:tc>
      </w:tr>
      <w:tr w:rsidR="00A767C7" w:rsidRPr="00A767C7" w:rsidTr="00A767C7">
        <w:tblPrEx>
          <w:tblCellMar>
            <w:top w:w="58" w:type="dxa"/>
            <w:left w:w="58" w:type="dxa"/>
            <w:bottom w:w="58" w:type="dxa"/>
            <w:right w:w="58" w:type="dxa"/>
          </w:tblCellMar>
        </w:tblPrEx>
        <w:trPr>
          <w:cantSplit/>
        </w:trPr>
        <w:tc>
          <w:tcPr>
            <w:tcW w:w="2110" w:type="pct"/>
            <w:gridSpan w:val="2"/>
          </w:tcPr>
          <w:p w:rsidR="00A767C7" w:rsidRPr="00A767C7" w:rsidRDefault="00A767C7" w:rsidP="00A767C7">
            <w:pPr>
              <w:rPr>
                <w:b/>
                <w:smallCaps/>
                <w:lang w:val="fr-CA"/>
              </w:rPr>
            </w:pPr>
          </w:p>
          <w:p w:rsidR="00A767C7" w:rsidRPr="00A767C7" w:rsidRDefault="00A767C7" w:rsidP="00A767C7">
            <w:pPr>
              <w:rPr>
                <w:b/>
                <w:smallCaps/>
                <w:lang w:val="fr-CA"/>
              </w:rPr>
            </w:pPr>
            <w:r w:rsidRPr="00A767C7">
              <w:rPr>
                <w:b/>
                <w:smallCaps/>
                <w:lang w:val="fr-CA"/>
              </w:rPr>
              <w:t>Référence :</w:t>
            </w:r>
            <w:r w:rsidRPr="00A767C7">
              <w:rPr>
                <w:lang w:val="fr-CA"/>
              </w:rPr>
              <w:t xml:space="preserve"> Des Groseillers </w:t>
            </w:r>
            <w:r w:rsidRPr="00A767C7">
              <w:rPr>
                <w:i/>
                <w:lang w:val="fr-CA"/>
              </w:rPr>
              <w:t xml:space="preserve">c. </w:t>
            </w:r>
            <w:r w:rsidRPr="00A767C7">
              <w:rPr>
                <w:lang w:val="fr-CA"/>
              </w:rPr>
              <w:t>Québec (Agence du revenu), 2022 CSC 42</w:t>
            </w:r>
          </w:p>
        </w:tc>
        <w:tc>
          <w:tcPr>
            <w:tcW w:w="804" w:type="pct"/>
          </w:tcPr>
          <w:p w:rsidR="00A767C7" w:rsidRPr="00A767C7" w:rsidRDefault="00A767C7" w:rsidP="00A767C7">
            <w:pPr>
              <w:rPr>
                <w:lang w:val="fr-CA"/>
              </w:rPr>
            </w:pPr>
          </w:p>
        </w:tc>
        <w:tc>
          <w:tcPr>
            <w:tcW w:w="2085" w:type="pct"/>
          </w:tcPr>
          <w:p w:rsidR="00A767C7" w:rsidRPr="00A767C7" w:rsidRDefault="00A767C7" w:rsidP="00A767C7">
            <w:pPr>
              <w:jc w:val="both"/>
              <w:rPr>
                <w:b/>
                <w:smallCaps/>
                <w:lang w:val="fr-CA"/>
              </w:rPr>
            </w:pPr>
          </w:p>
          <w:p w:rsidR="00A767C7" w:rsidRPr="00A767C7" w:rsidRDefault="00A767C7" w:rsidP="00A767C7">
            <w:pPr>
              <w:jc w:val="both"/>
              <w:rPr>
                <w:lang w:val="fr-CA"/>
              </w:rPr>
            </w:pPr>
            <w:r w:rsidRPr="00A767C7">
              <w:rPr>
                <w:b/>
                <w:smallCaps/>
                <w:lang w:val="fr-CA"/>
              </w:rPr>
              <w:t>Appel entendu :</w:t>
            </w:r>
            <w:r w:rsidRPr="00A767C7">
              <w:rPr>
                <w:lang w:val="fr-CA"/>
              </w:rPr>
              <w:t xml:space="preserve"> 3 novembre 2022</w:t>
            </w:r>
          </w:p>
          <w:p w:rsidR="00A767C7" w:rsidRPr="00A767C7" w:rsidRDefault="00A767C7" w:rsidP="00A767C7">
            <w:pPr>
              <w:rPr>
                <w:lang w:val="fr-CA"/>
              </w:rPr>
            </w:pPr>
            <w:r w:rsidRPr="00A767C7">
              <w:rPr>
                <w:b/>
                <w:smallCaps/>
                <w:lang w:val="fr-CA"/>
              </w:rPr>
              <w:t>Jugement rendu :</w:t>
            </w:r>
            <w:r w:rsidRPr="00A767C7">
              <w:rPr>
                <w:lang w:val="fr-CA"/>
              </w:rPr>
              <w:t xml:space="preserve"> 17 novembre 2022</w:t>
            </w:r>
          </w:p>
          <w:p w:rsidR="00A767C7" w:rsidRPr="00A767C7" w:rsidRDefault="00A767C7" w:rsidP="00A767C7">
            <w:r w:rsidRPr="00A767C7">
              <w:rPr>
                <w:b/>
                <w:smallCaps/>
              </w:rPr>
              <w:t>Dossier :</w:t>
            </w:r>
            <w:r w:rsidRPr="00A767C7">
              <w:t xml:space="preserve"> </w:t>
            </w:r>
            <w:r w:rsidRPr="00A767C7">
              <w:rPr>
                <w:lang w:val="fr-CA"/>
              </w:rPr>
              <w:t>39879</w:t>
            </w:r>
          </w:p>
        </w:tc>
      </w:tr>
      <w:tr w:rsidR="00A767C7" w:rsidRPr="00B57B16" w:rsidTr="00DE45DB">
        <w:tblPrEx>
          <w:tblCellMar>
            <w:top w:w="58" w:type="dxa"/>
            <w:left w:w="58" w:type="dxa"/>
            <w:bottom w:w="58" w:type="dxa"/>
            <w:right w:w="58" w:type="dxa"/>
          </w:tblCellMar>
        </w:tblPrEx>
        <w:trPr>
          <w:cantSplit/>
        </w:trPr>
        <w:tc>
          <w:tcPr>
            <w:tcW w:w="5000" w:type="pct"/>
            <w:gridSpan w:val="4"/>
          </w:tcPr>
          <w:p w:rsidR="00A767C7" w:rsidRPr="00A767C7" w:rsidRDefault="00A767C7" w:rsidP="00A767C7">
            <w:pPr>
              <w:rPr>
                <w:lang w:val="fr-CA"/>
              </w:rPr>
            </w:pPr>
          </w:p>
          <w:p w:rsidR="00A767C7" w:rsidRPr="00A767C7" w:rsidRDefault="00A767C7" w:rsidP="00A767C7">
            <w:pPr>
              <w:rPr>
                <w:b/>
                <w:smallCaps/>
                <w:lang w:val="fr-CA"/>
              </w:rPr>
            </w:pPr>
            <w:r w:rsidRPr="00A767C7">
              <w:rPr>
                <w:b/>
                <w:smallCaps/>
                <w:lang w:val="fr-CA"/>
              </w:rPr>
              <w:t>Entre :</w:t>
            </w:r>
          </w:p>
          <w:p w:rsidR="00A767C7" w:rsidRPr="00A767C7" w:rsidRDefault="00A767C7" w:rsidP="00A767C7">
            <w:pPr>
              <w:jc w:val="center"/>
              <w:rPr>
                <w:b/>
                <w:lang w:val="fr-CA"/>
              </w:rPr>
            </w:pPr>
          </w:p>
          <w:p w:rsidR="00A767C7" w:rsidRPr="00A767C7" w:rsidRDefault="00A767C7" w:rsidP="00A767C7">
            <w:pPr>
              <w:jc w:val="center"/>
              <w:rPr>
                <w:b/>
                <w:lang w:val="fr-CA"/>
              </w:rPr>
            </w:pPr>
            <w:r w:rsidRPr="00A767C7">
              <w:rPr>
                <w:b/>
                <w:lang w:val="fr-CA"/>
              </w:rPr>
              <w:t>Yves Des Groseillers et Groupe BMTC inc.</w:t>
            </w:r>
          </w:p>
          <w:p w:rsidR="00A767C7" w:rsidRPr="00A767C7" w:rsidRDefault="00A767C7" w:rsidP="00A767C7">
            <w:pPr>
              <w:jc w:val="center"/>
              <w:rPr>
                <w:lang w:val="fr-CA"/>
              </w:rPr>
            </w:pPr>
            <w:r w:rsidRPr="00A767C7">
              <w:rPr>
                <w:lang w:val="fr-CA"/>
              </w:rPr>
              <w:t>Appelants</w:t>
            </w:r>
          </w:p>
          <w:p w:rsidR="00A767C7" w:rsidRPr="00A767C7" w:rsidRDefault="00A767C7" w:rsidP="00A767C7">
            <w:pPr>
              <w:rPr>
                <w:lang w:val="fr-CA"/>
              </w:rPr>
            </w:pPr>
          </w:p>
          <w:p w:rsidR="00A767C7" w:rsidRPr="00A767C7" w:rsidRDefault="00A767C7" w:rsidP="00A767C7">
            <w:pPr>
              <w:jc w:val="center"/>
              <w:rPr>
                <w:lang w:val="fr-CA"/>
              </w:rPr>
            </w:pPr>
            <w:r w:rsidRPr="00A767C7">
              <w:rPr>
                <w:lang w:val="fr-CA"/>
              </w:rPr>
              <w:t>et</w:t>
            </w:r>
          </w:p>
          <w:p w:rsidR="00A767C7" w:rsidRPr="00A767C7" w:rsidRDefault="00A767C7" w:rsidP="00A767C7">
            <w:pPr>
              <w:rPr>
                <w:lang w:val="fr-CA"/>
              </w:rPr>
            </w:pPr>
          </w:p>
          <w:p w:rsidR="00A767C7" w:rsidRPr="00A767C7" w:rsidRDefault="00A767C7" w:rsidP="00A767C7">
            <w:pPr>
              <w:jc w:val="center"/>
              <w:rPr>
                <w:b/>
                <w:lang w:val="fr-CA"/>
              </w:rPr>
            </w:pPr>
            <w:r w:rsidRPr="00A767C7">
              <w:rPr>
                <w:b/>
                <w:lang w:val="fr-CA"/>
              </w:rPr>
              <w:t>Agence du revenu du Québec</w:t>
            </w:r>
          </w:p>
          <w:p w:rsidR="00A767C7" w:rsidRPr="00A767C7" w:rsidRDefault="00A767C7" w:rsidP="00A767C7">
            <w:pPr>
              <w:jc w:val="center"/>
              <w:rPr>
                <w:lang w:val="fr-CA"/>
              </w:rPr>
            </w:pPr>
            <w:r w:rsidRPr="00A767C7">
              <w:rPr>
                <w:lang w:val="fr-CA"/>
              </w:rPr>
              <w:t>Intimée</w:t>
            </w:r>
          </w:p>
          <w:p w:rsidR="00A767C7" w:rsidRPr="00A767C7" w:rsidRDefault="00A767C7" w:rsidP="00A767C7">
            <w:pPr>
              <w:rPr>
                <w:lang w:val="fr-CA"/>
              </w:rPr>
            </w:pPr>
          </w:p>
          <w:p w:rsidR="00A767C7" w:rsidRPr="00A767C7" w:rsidRDefault="00A767C7" w:rsidP="00A767C7">
            <w:pPr>
              <w:rPr>
                <w:lang w:val="fr-CA"/>
              </w:rPr>
            </w:pPr>
          </w:p>
          <w:p w:rsidR="00A767C7" w:rsidRPr="00A767C7" w:rsidRDefault="00A767C7" w:rsidP="00A767C7">
            <w:pPr>
              <w:rPr>
                <w:lang w:val="fr-CA"/>
              </w:rPr>
            </w:pPr>
            <w:r w:rsidRPr="00A767C7">
              <w:rPr>
                <w:b/>
                <w:smallCaps/>
                <w:lang w:val="fr-CA"/>
              </w:rPr>
              <w:t>Coram :</w:t>
            </w:r>
            <w:r w:rsidRPr="00A767C7">
              <w:rPr>
                <w:lang w:val="fr-CA"/>
              </w:rPr>
              <w:t xml:space="preserve"> Le juge en chef Wagner et les juges Karakatsanis, Brown, Rowe, Martin, Kasirer et Jamal</w:t>
            </w:r>
          </w:p>
          <w:p w:rsidR="00A767C7" w:rsidRPr="00A767C7" w:rsidRDefault="00A767C7" w:rsidP="00A767C7">
            <w:pPr>
              <w:jc w:val="both"/>
              <w:rPr>
                <w:b/>
                <w:smallCaps/>
                <w:lang w:val="fr-CA"/>
              </w:rPr>
            </w:pPr>
          </w:p>
        </w:tc>
      </w:tr>
      <w:tr w:rsidR="00A767C7" w:rsidRPr="00A767C7" w:rsidTr="00DE45DB">
        <w:tblPrEx>
          <w:tblCellMar>
            <w:top w:w="58" w:type="dxa"/>
            <w:left w:w="58" w:type="dxa"/>
            <w:bottom w:w="58" w:type="dxa"/>
            <w:right w:w="58" w:type="dxa"/>
          </w:tblCellMar>
        </w:tblPrEx>
        <w:trPr>
          <w:cantSplit/>
        </w:trPr>
        <w:tc>
          <w:tcPr>
            <w:tcW w:w="1251" w:type="pct"/>
          </w:tcPr>
          <w:p w:rsidR="00A767C7" w:rsidRPr="00A767C7" w:rsidRDefault="00A767C7" w:rsidP="00A767C7">
            <w:pPr>
              <w:rPr>
                <w:b/>
                <w:lang w:val="fr-CA"/>
              </w:rPr>
            </w:pPr>
            <w:r w:rsidRPr="00A767C7">
              <w:rPr>
                <w:b/>
                <w:smallCaps/>
                <w:lang w:val="fr-CA"/>
              </w:rPr>
              <w:t>Motifs de jugement</w:t>
            </w:r>
            <w:r w:rsidRPr="00A767C7">
              <w:rPr>
                <w:b/>
                <w:lang w:val="fr-CA"/>
              </w:rPr>
              <w:t> :</w:t>
            </w:r>
          </w:p>
          <w:p w:rsidR="00A767C7" w:rsidRPr="00A767C7" w:rsidRDefault="00A767C7" w:rsidP="00A767C7">
            <w:pPr>
              <w:rPr>
                <w:lang w:val="fr-CA"/>
              </w:rPr>
            </w:pPr>
            <w:r w:rsidRPr="00A767C7">
              <w:rPr>
                <w:lang w:val="fr-CA"/>
              </w:rPr>
              <w:t>(par. 1 à 5)</w:t>
            </w:r>
          </w:p>
        </w:tc>
        <w:tc>
          <w:tcPr>
            <w:tcW w:w="3749" w:type="pct"/>
            <w:gridSpan w:val="3"/>
          </w:tcPr>
          <w:p w:rsidR="00A767C7" w:rsidRPr="00A767C7" w:rsidRDefault="00A767C7" w:rsidP="00A767C7">
            <w:pPr>
              <w:rPr>
                <w:lang w:val="fr-CA"/>
              </w:rPr>
            </w:pPr>
            <w:r w:rsidRPr="00A767C7">
              <w:rPr>
                <w:lang w:val="fr-CA"/>
              </w:rPr>
              <w:t>La Cour</w:t>
            </w:r>
          </w:p>
        </w:tc>
      </w:tr>
    </w:tbl>
    <w:p w:rsidR="00A767C7" w:rsidRPr="00A767C7" w:rsidRDefault="00A767C7" w:rsidP="00A767C7">
      <w:pPr>
        <w:rPr>
          <w:rFonts w:eastAsiaTheme="minorHAnsi" w:cstheme="minorBidi"/>
          <w:szCs w:val="24"/>
          <w:lang w:val="fr-CA" w:eastAsia="en-US"/>
        </w:rPr>
      </w:pPr>
    </w:p>
    <w:p w:rsidR="00A767C7" w:rsidRPr="00A767C7" w:rsidRDefault="00A767C7" w:rsidP="00A767C7">
      <w:pPr>
        <w:rPr>
          <w:rFonts w:eastAsiaTheme="minorHAnsi" w:cstheme="minorBidi"/>
          <w:szCs w:val="24"/>
          <w:lang w:val="fr-CA" w:eastAsia="en-US"/>
        </w:rPr>
      </w:pPr>
    </w:p>
    <w:p w:rsidR="00A767C7" w:rsidRPr="00A767C7" w:rsidRDefault="00A767C7" w:rsidP="00A767C7">
      <w:pPr>
        <w:rPr>
          <w:rFonts w:eastAsiaTheme="minorHAnsi" w:cstheme="minorBidi"/>
          <w:szCs w:val="24"/>
          <w:lang w:val="fr-CA" w:eastAsia="en-US"/>
        </w:rPr>
      </w:pPr>
    </w:p>
    <w:p w:rsidR="00A767C7" w:rsidRPr="00A767C7" w:rsidRDefault="00A767C7" w:rsidP="00A767C7">
      <w:pPr>
        <w:rPr>
          <w:rFonts w:eastAsiaTheme="minorHAnsi" w:cstheme="minorBidi"/>
          <w:szCs w:val="24"/>
          <w:lang w:val="fr-CA" w:eastAsia="en-US"/>
        </w:rPr>
      </w:pPr>
      <w:r w:rsidRPr="00A767C7">
        <w:rPr>
          <w:rFonts w:eastAsiaTheme="minorHAnsi" w:cstheme="minorBidi"/>
          <w:b/>
          <w:smallCaps/>
          <w:szCs w:val="24"/>
          <w:lang w:val="fr-CA" w:eastAsia="en-US"/>
        </w:rPr>
        <w:t>Note :</w:t>
      </w:r>
      <w:r w:rsidRPr="00A767C7">
        <w:rPr>
          <w:rFonts w:eastAsiaTheme="minorHAnsi" w:cstheme="minorBidi"/>
          <w:b/>
          <w:szCs w:val="24"/>
          <w:lang w:val="fr-CA" w:eastAsia="en-US"/>
        </w:rPr>
        <w:t xml:space="preserve"> </w:t>
      </w:r>
      <w:r w:rsidRPr="00A767C7">
        <w:rPr>
          <w:rFonts w:eastAsiaTheme="minorHAnsi" w:cstheme="minorBidi"/>
          <w:szCs w:val="24"/>
          <w:lang w:val="fr-CA" w:eastAsia="en-US"/>
        </w:rPr>
        <w:t xml:space="preserve">Ce document fera l’objet de retouches de forme avant la parution de sa version définitive dans le </w:t>
      </w:r>
      <w:r w:rsidRPr="00A767C7">
        <w:rPr>
          <w:rFonts w:eastAsiaTheme="minorHAnsi" w:cstheme="minorBidi"/>
          <w:i/>
          <w:szCs w:val="24"/>
          <w:lang w:val="fr-CA" w:eastAsia="en-US"/>
        </w:rPr>
        <w:t>Recueil des arrêts de la Cour suprême du Canada</w:t>
      </w:r>
      <w:r w:rsidRPr="00A767C7">
        <w:rPr>
          <w:rFonts w:eastAsiaTheme="minorHAnsi" w:cstheme="minorBidi"/>
          <w:szCs w:val="24"/>
          <w:lang w:val="fr-CA" w:eastAsia="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A767C7" w:rsidRPr="00B57B16" w:rsidTr="00DE45DB">
        <w:tc>
          <w:tcPr>
            <w:tcW w:w="1500" w:type="pct"/>
            <w:tcMar>
              <w:top w:w="284" w:type="dxa"/>
            </w:tcMar>
          </w:tcPr>
          <w:p w:rsidR="00A767C7" w:rsidRPr="00A767C7" w:rsidRDefault="00A767C7" w:rsidP="00A767C7">
            <w:pPr>
              <w:rPr>
                <w:lang w:val="fr-CA"/>
              </w:rPr>
            </w:pPr>
          </w:p>
        </w:tc>
        <w:tc>
          <w:tcPr>
            <w:tcW w:w="2000" w:type="pct"/>
            <w:tcBorders>
              <w:bottom w:val="single" w:sz="4" w:space="0" w:color="auto"/>
            </w:tcBorders>
            <w:tcMar>
              <w:top w:w="284" w:type="dxa"/>
            </w:tcMar>
          </w:tcPr>
          <w:p w:rsidR="00A767C7" w:rsidRPr="00A767C7" w:rsidRDefault="00A767C7" w:rsidP="00A767C7">
            <w:pPr>
              <w:rPr>
                <w:lang w:val="fr-CA"/>
              </w:rPr>
            </w:pPr>
          </w:p>
        </w:tc>
        <w:tc>
          <w:tcPr>
            <w:tcW w:w="1500" w:type="pct"/>
            <w:tcMar>
              <w:top w:w="284" w:type="dxa"/>
            </w:tcMar>
          </w:tcPr>
          <w:p w:rsidR="00A767C7" w:rsidRPr="00A767C7" w:rsidRDefault="00A767C7" w:rsidP="00A767C7">
            <w:pPr>
              <w:rPr>
                <w:lang w:val="fr-CA"/>
              </w:rPr>
            </w:pPr>
          </w:p>
        </w:tc>
      </w:tr>
    </w:tbl>
    <w:p w:rsidR="00A767C7" w:rsidRPr="00A767C7" w:rsidRDefault="00A767C7" w:rsidP="00A767C7">
      <w:pPr>
        <w:rPr>
          <w:rFonts w:eastAsiaTheme="minorHAnsi" w:cstheme="minorBidi"/>
          <w:szCs w:val="24"/>
          <w:lang w:val="fr-CA" w:eastAsia="en-US"/>
        </w:rPr>
      </w:pPr>
    </w:p>
    <w:p w:rsidR="00A767C7" w:rsidRPr="00A767C7" w:rsidRDefault="00A767C7">
      <w:pPr>
        <w:rPr>
          <w:b/>
          <w:lang w:val="fr-CA"/>
        </w:rPr>
      </w:pPr>
      <w:r w:rsidRPr="00A767C7">
        <w:rPr>
          <w:lang w:val="fr-CA"/>
        </w:rPr>
        <w:br w:type="page"/>
      </w:r>
    </w:p>
    <w:p w:rsidR="000734C5" w:rsidRPr="00A767C7" w:rsidRDefault="007D0613">
      <w:pPr>
        <w:pStyle w:val="SCCLsocParty"/>
        <w:rPr>
          <w:lang w:val="fr-CA"/>
        </w:rPr>
      </w:pPr>
      <w:r w:rsidRPr="00A767C7">
        <w:rPr>
          <w:lang w:val="fr-CA"/>
        </w:rPr>
        <w:lastRenderedPageBreak/>
        <w:t>Yves Des Groseillers et</w:t>
      </w:r>
    </w:p>
    <w:p w:rsidR="000734C5" w:rsidRPr="00A767C7" w:rsidRDefault="001C2654">
      <w:pPr>
        <w:pStyle w:val="SCCLsocLastPartyInRole"/>
        <w:rPr>
          <w:lang w:val="fr-CA"/>
        </w:rPr>
      </w:pPr>
      <w:r w:rsidRPr="00A767C7">
        <w:rPr>
          <w:lang w:val="fr-CA"/>
        </w:rPr>
        <w:t>Groupe BMTC inc.</w:t>
      </w:r>
      <w:r w:rsidR="00BB749A" w:rsidRPr="00A767C7">
        <w:rPr>
          <w:rStyle w:val="SCCLsocPartyRole"/>
          <w:lang w:val="fr-CA"/>
        </w:rPr>
        <w:tab/>
        <w:t>Appelant</w:t>
      </w:r>
      <w:r w:rsidRPr="00A767C7">
        <w:rPr>
          <w:rStyle w:val="SCCLsocPartyRole"/>
          <w:lang w:val="fr-CA"/>
        </w:rPr>
        <w:t>s</w:t>
      </w:r>
    </w:p>
    <w:p w:rsidR="000734C5" w:rsidRPr="00A767C7" w:rsidRDefault="001C2654">
      <w:pPr>
        <w:pStyle w:val="SCCLsocVersus"/>
        <w:rPr>
          <w:lang w:val="fr-CA"/>
        </w:rPr>
      </w:pPr>
      <w:proofErr w:type="gramStart"/>
      <w:r w:rsidRPr="00A767C7">
        <w:rPr>
          <w:lang w:val="fr-CA"/>
        </w:rPr>
        <w:t>c</w:t>
      </w:r>
      <w:proofErr w:type="gramEnd"/>
      <w:r w:rsidRPr="00A767C7">
        <w:rPr>
          <w:lang w:val="fr-CA"/>
        </w:rPr>
        <w:t>.</w:t>
      </w:r>
    </w:p>
    <w:p w:rsidR="000734C5" w:rsidRPr="00A767C7" w:rsidRDefault="001C2654" w:rsidP="002F06B3">
      <w:pPr>
        <w:pStyle w:val="SCCLsocLastPartyInRole"/>
        <w:rPr>
          <w:lang w:val="fr-CA"/>
        </w:rPr>
      </w:pPr>
      <w:r w:rsidRPr="00A767C7">
        <w:rPr>
          <w:lang w:val="fr-CA"/>
        </w:rPr>
        <w:t>Agence du revenu du Québec</w:t>
      </w:r>
      <w:r w:rsidR="00BB749A" w:rsidRPr="00A767C7">
        <w:rPr>
          <w:rStyle w:val="SCCLsocPartyRole"/>
          <w:lang w:val="fr-CA"/>
        </w:rPr>
        <w:tab/>
        <w:t>Intimée</w:t>
      </w:r>
    </w:p>
    <w:p w:rsidR="004D7D95" w:rsidRPr="00A767C7" w:rsidRDefault="00BB749A" w:rsidP="002F06B3">
      <w:pPr>
        <w:spacing w:after="720"/>
        <w:jc w:val="both"/>
        <w:rPr>
          <w:b/>
          <w:lang w:val="fr-CA"/>
        </w:rPr>
      </w:pPr>
      <w:r w:rsidRPr="00A767C7">
        <w:rPr>
          <w:b/>
          <w:lang w:val="fr-CA"/>
        </w:rPr>
        <w:t xml:space="preserve">Répertorié : </w:t>
      </w:r>
      <w:r w:rsidRPr="00A767C7">
        <w:rPr>
          <w:rStyle w:val="SCCAppellantForIndexChar"/>
          <w:lang w:val="fr-CA"/>
        </w:rPr>
        <w:t>Des Groseillers</w:t>
      </w:r>
      <w:r w:rsidR="004D7D95" w:rsidRPr="00A767C7">
        <w:rPr>
          <w:b/>
          <w:lang w:val="fr-CA"/>
        </w:rPr>
        <w:t xml:space="preserve"> </w:t>
      </w:r>
      <w:r w:rsidR="004D7D95" w:rsidRPr="00A767C7">
        <w:rPr>
          <w:b/>
          <w:i/>
          <w:lang w:val="fr-CA"/>
        </w:rPr>
        <w:t>c.</w:t>
      </w:r>
      <w:r w:rsidR="004D7D95" w:rsidRPr="00A767C7">
        <w:rPr>
          <w:b/>
          <w:lang w:val="fr-CA"/>
        </w:rPr>
        <w:t xml:space="preserve"> </w:t>
      </w:r>
      <w:r w:rsidR="007940C1" w:rsidRPr="00A767C7">
        <w:rPr>
          <w:rStyle w:val="SCCRespondentForIndexChar"/>
          <w:lang w:val="fr-CA"/>
        </w:rPr>
        <w:t>Québec (Agence du revenu</w:t>
      </w:r>
      <w:r w:rsidRPr="00A767C7">
        <w:rPr>
          <w:rStyle w:val="SCCRespondentForIndexChar"/>
          <w:lang w:val="fr-CA"/>
        </w:rPr>
        <w:t>)</w:t>
      </w:r>
    </w:p>
    <w:p w:rsidR="004D7D95" w:rsidRPr="00A767C7" w:rsidRDefault="00D17B0E" w:rsidP="002F06B3">
      <w:pPr>
        <w:pStyle w:val="SCCSystemYear"/>
        <w:spacing w:after="720"/>
        <w:jc w:val="both"/>
        <w:rPr>
          <w:lang w:val="fr-CA"/>
        </w:rPr>
      </w:pPr>
      <w:r w:rsidRPr="00A767C7">
        <w:rPr>
          <w:lang w:val="fr-CA"/>
        </w:rPr>
        <w:t>2022</w:t>
      </w:r>
      <w:r w:rsidR="002F06B3" w:rsidRPr="00A767C7">
        <w:rPr>
          <w:lang w:val="fr-CA"/>
        </w:rPr>
        <w:t xml:space="preserve"> CSC </w:t>
      </w:r>
      <w:r w:rsidR="009F3AF8" w:rsidRPr="00A767C7">
        <w:rPr>
          <w:lang w:val="fr-CA"/>
        </w:rPr>
        <w:t>42</w:t>
      </w:r>
    </w:p>
    <w:p w:rsidR="004D7D95" w:rsidRPr="00A767C7" w:rsidRDefault="004D7D95" w:rsidP="002F06B3">
      <w:pPr>
        <w:spacing w:after="720"/>
        <w:jc w:val="both"/>
        <w:rPr>
          <w:lang w:val="fr-CA"/>
        </w:rPr>
      </w:pPr>
      <w:r w:rsidRPr="00A767C7">
        <w:rPr>
          <w:lang w:val="fr-CA"/>
        </w:rPr>
        <w:t>N</w:t>
      </w:r>
      <w:r w:rsidRPr="00A767C7">
        <w:rPr>
          <w:vertAlign w:val="superscript"/>
          <w:lang w:val="fr-CA"/>
        </w:rPr>
        <w:t>o</w:t>
      </w:r>
      <w:r w:rsidR="00753FE5" w:rsidRPr="00A767C7">
        <w:rPr>
          <w:lang w:val="fr-CA"/>
        </w:rPr>
        <w:t xml:space="preserve"> du greffe : </w:t>
      </w:r>
      <w:r w:rsidRPr="00A767C7">
        <w:rPr>
          <w:lang w:val="fr-CA"/>
        </w:rPr>
        <w:t>39879.</w:t>
      </w:r>
    </w:p>
    <w:p w:rsidR="004D7D95" w:rsidRPr="00A767C7" w:rsidRDefault="00753FE5" w:rsidP="002F06B3">
      <w:pPr>
        <w:spacing w:after="720"/>
        <w:jc w:val="both"/>
        <w:rPr>
          <w:lang w:val="fr-CA"/>
        </w:rPr>
      </w:pPr>
      <w:r w:rsidRPr="00A767C7">
        <w:rPr>
          <w:lang w:val="fr-CA"/>
        </w:rPr>
        <w:t>2022 </w:t>
      </w:r>
      <w:r w:rsidR="00D17B0E" w:rsidRPr="00A767C7">
        <w:rPr>
          <w:lang w:val="fr-CA"/>
        </w:rPr>
        <w:t>: 3 novembre</w:t>
      </w:r>
      <w:r w:rsidR="004D7D95" w:rsidRPr="00A767C7">
        <w:rPr>
          <w:lang w:val="fr-CA"/>
        </w:rPr>
        <w:t xml:space="preserve">; </w:t>
      </w:r>
      <w:r w:rsidR="00B57986" w:rsidRPr="00A767C7">
        <w:rPr>
          <w:lang w:val="fr-CA"/>
        </w:rPr>
        <w:t>2022 : 17 novembre</w:t>
      </w:r>
      <w:r w:rsidR="004D7D95" w:rsidRPr="00A767C7">
        <w:rPr>
          <w:lang w:val="fr-CA"/>
        </w:rPr>
        <w:t>.</w:t>
      </w:r>
    </w:p>
    <w:p w:rsidR="004D7D95" w:rsidRPr="00A767C7" w:rsidRDefault="002F06B3" w:rsidP="002F06B3">
      <w:pPr>
        <w:spacing w:after="720"/>
        <w:jc w:val="both"/>
        <w:rPr>
          <w:lang w:val="fr-CA"/>
        </w:rPr>
      </w:pPr>
      <w:r w:rsidRPr="00A767C7">
        <w:rPr>
          <w:lang w:val="fr-CA"/>
        </w:rPr>
        <w:t xml:space="preserve">Présents : </w:t>
      </w:r>
      <w:r w:rsidR="004D7D95" w:rsidRPr="00A767C7">
        <w:rPr>
          <w:lang w:val="fr-CA"/>
        </w:rPr>
        <w:t>Le juge en chef Wagner et les juges Karakatsanis, Brown, Rowe, Martin, Kasirer et Jamal.</w:t>
      </w:r>
    </w:p>
    <w:p w:rsidR="004D7D95" w:rsidRPr="00A767C7" w:rsidRDefault="004D7D95" w:rsidP="002F06B3">
      <w:pPr>
        <w:spacing w:after="720"/>
        <w:jc w:val="both"/>
        <w:rPr>
          <w:smallCaps/>
          <w:lang w:val="fr-CA"/>
        </w:rPr>
      </w:pPr>
      <w:r w:rsidRPr="00A767C7">
        <w:rPr>
          <w:smallCaps/>
          <w:lang w:val="fr-CA"/>
        </w:rPr>
        <w:t>en appel de la c</w:t>
      </w:r>
      <w:r w:rsidR="00C964C9" w:rsidRPr="00A767C7">
        <w:rPr>
          <w:smallCaps/>
          <w:lang w:val="fr-CA"/>
        </w:rPr>
        <w:t xml:space="preserve">our d’appel du </w:t>
      </w:r>
      <w:proofErr w:type="spellStart"/>
      <w:r w:rsidR="00C964C9" w:rsidRPr="00A767C7">
        <w:rPr>
          <w:smallCaps/>
          <w:lang w:val="fr-CA"/>
        </w:rPr>
        <w:t>québec</w:t>
      </w:r>
      <w:proofErr w:type="spellEnd"/>
    </w:p>
    <w:p w:rsidR="004D7D95" w:rsidRPr="00A767C7" w:rsidRDefault="002358A9" w:rsidP="005F192D">
      <w:pPr>
        <w:pStyle w:val="SCCNormalDoubleSpacing"/>
        <w:spacing w:after="480"/>
        <w:rPr>
          <w:lang w:val="fr-CA"/>
        </w:rPr>
      </w:pPr>
      <w:r w:rsidRPr="00A767C7">
        <w:rPr>
          <w:lang w:val="fr-CA"/>
        </w:rPr>
        <w:tab/>
      </w:r>
      <w:r w:rsidRPr="00A767C7">
        <w:rPr>
          <w:i/>
          <w:lang w:val="fr-CA"/>
        </w:rPr>
        <w:t xml:space="preserve">Droit fiscal — Impôt sur le revenu — Cotisation — Dons d’options d’achat d’actions faits par un contribuable à différents organismes de bienfaisance enregistrés — Crédits d’impôt correspondant aux montants des dons réclamés par le contribuable dans ses déclarations de revenus — Nouvelles cotisations établies à l’encontre du contribuable afin d’ajouter les montants des dons à ses revenus imposables — Nouvelles cotisations annulées par la Cour du Québec mais rétablies par la Cour </w:t>
      </w:r>
      <w:r w:rsidRPr="00A767C7">
        <w:rPr>
          <w:i/>
          <w:lang w:val="fr-CA"/>
        </w:rPr>
        <w:lastRenderedPageBreak/>
        <w:t>d’appel — Décision de la Cour d’appel confirmée —</w:t>
      </w:r>
      <w:r w:rsidR="005F192D" w:rsidRPr="00A767C7">
        <w:rPr>
          <w:i/>
          <w:lang w:val="fr-CA"/>
        </w:rPr>
        <w:t xml:space="preserve"> Loi sur les impôts, RLRQ, c. I</w:t>
      </w:r>
      <w:r w:rsidR="005F192D" w:rsidRPr="00A767C7">
        <w:rPr>
          <w:i/>
          <w:lang w:val="fr-CA"/>
        </w:rPr>
        <w:noBreakHyphen/>
        <w:t>3, art. </w:t>
      </w:r>
      <w:r w:rsidRPr="00A767C7">
        <w:rPr>
          <w:i/>
          <w:lang w:val="fr-CA"/>
        </w:rPr>
        <w:t>50, 422c</w:t>
      </w:r>
      <w:proofErr w:type="gramStart"/>
      <w:r w:rsidRPr="00A767C7">
        <w:rPr>
          <w:i/>
          <w:lang w:val="fr-CA"/>
        </w:rPr>
        <w:t>)ii</w:t>
      </w:r>
      <w:proofErr w:type="gramEnd"/>
      <w:r w:rsidRPr="00A767C7">
        <w:rPr>
          <w:i/>
          <w:lang w:val="fr-CA"/>
        </w:rPr>
        <w:t>.</w:t>
      </w:r>
    </w:p>
    <w:p w:rsidR="004D7D95" w:rsidRPr="00A767C7" w:rsidRDefault="004D7D95" w:rsidP="002F06B3">
      <w:pPr>
        <w:pStyle w:val="SCCNormalDoubleSpacing"/>
        <w:spacing w:after="720" w:line="240" w:lineRule="auto"/>
        <w:rPr>
          <w:b/>
          <w:lang w:val="fr-CA"/>
        </w:rPr>
      </w:pPr>
      <w:r w:rsidRPr="00A767C7">
        <w:rPr>
          <w:b/>
          <w:lang w:val="fr-CA"/>
        </w:rPr>
        <w:t>Lois et règlements cités</w:t>
      </w:r>
    </w:p>
    <w:p w:rsidR="004D7D95" w:rsidRPr="00A767C7" w:rsidRDefault="0015177B" w:rsidP="002F06B3">
      <w:pPr>
        <w:pStyle w:val="SCCNormalDoubleSpacing"/>
        <w:spacing w:after="720" w:line="240" w:lineRule="auto"/>
        <w:ind w:left="547" w:hanging="547"/>
        <w:rPr>
          <w:lang w:val="fr-CA"/>
        </w:rPr>
      </w:pPr>
      <w:r w:rsidRPr="00A767C7">
        <w:rPr>
          <w:rStyle w:val="reflex2-link"/>
          <w:rFonts w:cstheme="minorHAnsi"/>
          <w:i/>
          <w:color w:val="000000"/>
          <w:szCs w:val="24"/>
          <w:lang w:val="fr-CA"/>
        </w:rPr>
        <w:t>Loi sur les impôts</w:t>
      </w:r>
      <w:r w:rsidR="002F06B3" w:rsidRPr="00A767C7">
        <w:rPr>
          <w:rStyle w:val="reflex2-link"/>
          <w:rFonts w:cstheme="minorHAnsi"/>
          <w:color w:val="000000"/>
          <w:szCs w:val="24"/>
          <w:lang w:val="fr-CA"/>
        </w:rPr>
        <w:t>, RLRQ, c. I</w:t>
      </w:r>
      <w:r w:rsidR="002F06B3" w:rsidRPr="00A767C7">
        <w:rPr>
          <w:rStyle w:val="reflex2-link"/>
          <w:rFonts w:cstheme="minorHAnsi"/>
          <w:color w:val="000000"/>
          <w:szCs w:val="24"/>
          <w:lang w:val="fr-CA"/>
        </w:rPr>
        <w:noBreakHyphen/>
      </w:r>
      <w:r w:rsidRPr="00A767C7">
        <w:rPr>
          <w:rStyle w:val="reflex2-link"/>
          <w:rFonts w:cstheme="minorHAnsi"/>
          <w:color w:val="000000"/>
          <w:szCs w:val="24"/>
          <w:lang w:val="fr-CA"/>
        </w:rPr>
        <w:t>3</w:t>
      </w:r>
      <w:r w:rsidR="0056780C" w:rsidRPr="00A767C7">
        <w:rPr>
          <w:rStyle w:val="reflex2-link"/>
          <w:rFonts w:cstheme="minorHAnsi"/>
          <w:color w:val="000000"/>
          <w:szCs w:val="24"/>
          <w:lang w:val="fr-CA"/>
        </w:rPr>
        <w:t>,</w:t>
      </w:r>
      <w:r w:rsidR="002F06B3" w:rsidRPr="00A767C7">
        <w:rPr>
          <w:rStyle w:val="reflex2-link"/>
          <w:rFonts w:cstheme="minorHAnsi"/>
          <w:color w:val="000000"/>
          <w:szCs w:val="24"/>
          <w:lang w:val="fr-CA"/>
        </w:rPr>
        <w:t xml:space="preserve"> art. </w:t>
      </w:r>
      <w:r w:rsidR="0056780C" w:rsidRPr="00A767C7">
        <w:rPr>
          <w:rStyle w:val="reflex2-link"/>
          <w:rFonts w:cstheme="minorHAnsi"/>
          <w:color w:val="000000"/>
          <w:szCs w:val="24"/>
          <w:lang w:val="fr-CA"/>
        </w:rPr>
        <w:t>50, 422</w:t>
      </w:r>
      <w:r w:rsidR="0056780C" w:rsidRPr="00A767C7">
        <w:rPr>
          <w:rStyle w:val="reflex2-link"/>
          <w:rFonts w:cstheme="minorHAnsi"/>
          <w:i/>
          <w:color w:val="000000"/>
          <w:szCs w:val="24"/>
          <w:lang w:val="fr-CA"/>
        </w:rPr>
        <w:t>c</w:t>
      </w:r>
      <w:proofErr w:type="gramStart"/>
      <w:r w:rsidR="0056780C" w:rsidRPr="00A767C7">
        <w:rPr>
          <w:rStyle w:val="reflex2-link"/>
          <w:rFonts w:cstheme="minorHAnsi"/>
          <w:color w:val="000000"/>
          <w:szCs w:val="24"/>
          <w:lang w:val="fr-CA"/>
        </w:rPr>
        <w:t>)ii</w:t>
      </w:r>
      <w:proofErr w:type="gramEnd"/>
      <w:r w:rsidRPr="00A767C7">
        <w:rPr>
          <w:rStyle w:val="reflex2-link"/>
          <w:rFonts w:cstheme="minorHAnsi"/>
          <w:color w:val="000000"/>
          <w:szCs w:val="24"/>
          <w:lang w:val="fr-CA"/>
        </w:rPr>
        <w:t>.</w:t>
      </w:r>
    </w:p>
    <w:p w:rsidR="00DD4BC7" w:rsidRPr="00A767C7" w:rsidRDefault="004D7D95" w:rsidP="002F06B3">
      <w:pPr>
        <w:pStyle w:val="SCCNormalDoubleSpacing"/>
        <w:spacing w:after="480"/>
        <w:rPr>
          <w:lang w:val="fr-CA"/>
        </w:rPr>
      </w:pPr>
      <w:r w:rsidRPr="00A767C7">
        <w:rPr>
          <w:lang w:val="fr-CA"/>
        </w:rPr>
        <w:tab/>
        <w:t>POURVOI contre un arrêt de la C</w:t>
      </w:r>
      <w:r w:rsidR="00497356" w:rsidRPr="00A767C7">
        <w:rPr>
          <w:lang w:val="fr-CA"/>
        </w:rPr>
        <w:t>our d’appel du Québec</w:t>
      </w:r>
      <w:r w:rsidR="0063037A" w:rsidRPr="00A767C7">
        <w:rPr>
          <w:lang w:val="fr-CA"/>
        </w:rPr>
        <w:t xml:space="preserve"> (les juges Chamberland, Schrager et Cournoyer), </w:t>
      </w:r>
      <w:hyperlink r:id="rId9" w:history="1">
        <w:r w:rsidR="00DD4BC7" w:rsidRPr="00A767C7">
          <w:rPr>
            <w:rStyle w:val="Hyperlink"/>
            <w:lang w:val="fr-CA"/>
          </w:rPr>
          <w:t>2021 QCCA 906</w:t>
        </w:r>
      </w:hyperlink>
      <w:r w:rsidR="00DD4BC7" w:rsidRPr="00A767C7">
        <w:rPr>
          <w:lang w:val="fr-CA"/>
        </w:rPr>
        <w:t>, [2</w:t>
      </w:r>
      <w:r w:rsidR="002F06B3" w:rsidRPr="00A767C7">
        <w:rPr>
          <w:lang w:val="fr-CA"/>
        </w:rPr>
        <w:t>021] AZ</w:t>
      </w:r>
      <w:r w:rsidR="002F06B3" w:rsidRPr="00A767C7">
        <w:rPr>
          <w:lang w:val="fr-CA"/>
        </w:rPr>
        <w:noBreakHyphen/>
      </w:r>
      <w:r w:rsidR="0056780C" w:rsidRPr="00A767C7">
        <w:rPr>
          <w:lang w:val="fr-CA"/>
        </w:rPr>
        <w:t>51770266, [2021] J.Q. n</w:t>
      </w:r>
      <w:r w:rsidR="0056780C" w:rsidRPr="00A767C7">
        <w:rPr>
          <w:vertAlign w:val="superscript"/>
          <w:lang w:val="fr-CA"/>
        </w:rPr>
        <w:t>o</w:t>
      </w:r>
      <w:r w:rsidR="002F06B3" w:rsidRPr="00A767C7">
        <w:rPr>
          <w:lang w:val="fr-CA"/>
        </w:rPr>
        <w:t> </w:t>
      </w:r>
      <w:r w:rsidR="00DD4BC7" w:rsidRPr="00A767C7">
        <w:rPr>
          <w:lang w:val="fr-CA"/>
        </w:rPr>
        <w:t xml:space="preserve">5962 (QL), 2021 CarswellQue 6472 (WL), </w:t>
      </w:r>
      <w:r w:rsidR="00AE0C51" w:rsidRPr="00A767C7">
        <w:rPr>
          <w:lang w:val="fr-CA"/>
        </w:rPr>
        <w:t xml:space="preserve">qui a infirmé une décision du juge Bourgeois, </w:t>
      </w:r>
      <w:r w:rsidR="00B65DE4" w:rsidRPr="00A767C7">
        <w:rPr>
          <w:lang w:val="fr-CA"/>
        </w:rPr>
        <w:t>2019 QCCQ 1430, [2019] J.Q. n</w:t>
      </w:r>
      <w:r w:rsidR="00B65DE4" w:rsidRPr="00A767C7">
        <w:rPr>
          <w:vertAlign w:val="superscript"/>
          <w:lang w:val="fr-CA"/>
        </w:rPr>
        <w:t>o</w:t>
      </w:r>
      <w:r w:rsidR="002F06B3" w:rsidRPr="00A767C7">
        <w:rPr>
          <w:lang w:val="fr-CA"/>
        </w:rPr>
        <w:t> </w:t>
      </w:r>
      <w:r w:rsidR="00B65DE4" w:rsidRPr="00A767C7">
        <w:rPr>
          <w:lang w:val="fr-CA"/>
        </w:rPr>
        <w:t>2345 (QL), 2019 CarswellQue 1831 (WL). Pourvoi rejeté.</w:t>
      </w:r>
    </w:p>
    <w:p w:rsidR="000734C5" w:rsidRPr="00A767C7" w:rsidRDefault="001C2654" w:rsidP="002F06B3">
      <w:pPr>
        <w:pStyle w:val="SCCNormalDoubleSpacing"/>
        <w:spacing w:after="480"/>
        <w:rPr>
          <w:lang w:val="fr-CA"/>
        </w:rPr>
      </w:pPr>
      <w:r w:rsidRPr="00A767C7">
        <w:rPr>
          <w:rStyle w:val="SCCCounselNameChar"/>
          <w:lang w:val="fr-CA"/>
        </w:rPr>
        <w:tab/>
        <w:t>Dominic</w:t>
      </w:r>
      <w:r w:rsidR="00ED069A" w:rsidRPr="00A767C7">
        <w:rPr>
          <w:rStyle w:val="SCCCounselNameChar"/>
          <w:lang w:val="fr-CA"/>
        </w:rPr>
        <w:t> </w:t>
      </w:r>
      <w:r w:rsidRPr="00A767C7">
        <w:rPr>
          <w:rStyle w:val="SCCCounselNameChar"/>
          <w:lang w:val="fr-CA"/>
        </w:rPr>
        <w:t>C. Belley</w:t>
      </w:r>
      <w:r w:rsidRPr="00A767C7">
        <w:rPr>
          <w:rStyle w:val="SCCCounselNameChar"/>
          <w:i w:val="0"/>
          <w:lang w:val="fr-CA"/>
        </w:rPr>
        <w:t>,</w:t>
      </w:r>
      <w:r w:rsidRPr="00A767C7">
        <w:rPr>
          <w:rStyle w:val="SCCCounselNameChar"/>
          <w:lang w:val="fr-CA"/>
        </w:rPr>
        <w:t xml:space="preserve"> Catherine Dubé</w:t>
      </w:r>
      <w:r w:rsidRPr="00A767C7">
        <w:rPr>
          <w:rStyle w:val="SCCCounselNameChar"/>
          <w:i w:val="0"/>
          <w:lang w:val="fr-CA"/>
        </w:rPr>
        <w:t>,</w:t>
      </w:r>
      <w:r w:rsidR="002F06B3" w:rsidRPr="00A767C7">
        <w:rPr>
          <w:rStyle w:val="SCCCounselNameChar"/>
          <w:lang w:val="fr-CA"/>
        </w:rPr>
        <w:t xml:space="preserve"> Nicolas Benoit</w:t>
      </w:r>
      <w:r w:rsidR="002F06B3" w:rsidRPr="00A767C7">
        <w:rPr>
          <w:rStyle w:val="SCCCounselNameChar"/>
          <w:lang w:val="fr-CA"/>
        </w:rPr>
        <w:noBreakHyphen/>
      </w:r>
      <w:r w:rsidRPr="00A767C7">
        <w:rPr>
          <w:rStyle w:val="SCCCounselNameChar"/>
          <w:lang w:val="fr-CA"/>
        </w:rPr>
        <w:t>Guay</w:t>
      </w:r>
      <w:r w:rsidRPr="00A767C7">
        <w:rPr>
          <w:rStyle w:val="SCCCounselSeparatorChar"/>
          <w:lang w:val="fr-CA"/>
        </w:rPr>
        <w:t xml:space="preserve"> et </w:t>
      </w:r>
      <w:r w:rsidRPr="00A767C7">
        <w:rPr>
          <w:rStyle w:val="SCCCounselNameChar"/>
          <w:lang w:val="fr-CA"/>
        </w:rPr>
        <w:t>Mareine Gervais Cloutier</w:t>
      </w:r>
      <w:r w:rsidR="00BF6577" w:rsidRPr="00A767C7">
        <w:rPr>
          <w:rStyle w:val="SCCCounselPartyRoleChar"/>
          <w:lang w:val="fr-CA"/>
        </w:rPr>
        <w:t xml:space="preserve">, pour les </w:t>
      </w:r>
      <w:r w:rsidRPr="00A767C7">
        <w:rPr>
          <w:rStyle w:val="SCCCounselPartyRoleChar"/>
          <w:lang w:val="fr-CA"/>
        </w:rPr>
        <w:t>appelant</w:t>
      </w:r>
      <w:r w:rsidR="002505A9" w:rsidRPr="00A767C7">
        <w:rPr>
          <w:rStyle w:val="SCCCounselPartyRoleChar"/>
          <w:lang w:val="fr-CA"/>
        </w:rPr>
        <w:t>s</w:t>
      </w:r>
      <w:r w:rsidRPr="00A767C7">
        <w:rPr>
          <w:rStyle w:val="SCCCounselPartyRoleChar"/>
          <w:lang w:val="fr-CA"/>
        </w:rPr>
        <w:t>.</w:t>
      </w:r>
    </w:p>
    <w:p w:rsidR="000734C5" w:rsidRPr="00A767C7" w:rsidRDefault="001C2654" w:rsidP="002F06B3">
      <w:pPr>
        <w:pStyle w:val="SCCNormalDoubleSpacing"/>
        <w:spacing w:after="480"/>
        <w:rPr>
          <w:lang w:val="fr-CA"/>
        </w:rPr>
      </w:pPr>
      <w:r w:rsidRPr="00A767C7">
        <w:rPr>
          <w:rStyle w:val="SCCCounselNameChar"/>
          <w:lang w:val="fr-CA"/>
        </w:rPr>
        <w:tab/>
        <w:t>Normand Perreault</w:t>
      </w:r>
      <w:r w:rsidRPr="00A767C7">
        <w:rPr>
          <w:rStyle w:val="SCCCounselSeparatorChar"/>
          <w:lang w:val="fr-CA"/>
        </w:rPr>
        <w:t xml:space="preserve"> et </w:t>
      </w:r>
      <w:r w:rsidRPr="00A767C7">
        <w:rPr>
          <w:rStyle w:val="SCCCounselNameChar"/>
          <w:lang w:val="fr-CA"/>
        </w:rPr>
        <w:t>Gabriel Déry</w:t>
      </w:r>
      <w:r w:rsidR="00BF6577" w:rsidRPr="00A767C7">
        <w:rPr>
          <w:rStyle w:val="SCCCounselPartyRoleChar"/>
          <w:lang w:val="fr-CA"/>
        </w:rPr>
        <w:t>, pour l</w:t>
      </w:r>
      <w:r w:rsidR="00CA036D" w:rsidRPr="00A767C7">
        <w:rPr>
          <w:rStyle w:val="SCCCounselPartyRoleChar"/>
          <w:lang w:val="fr-CA"/>
        </w:rPr>
        <w:t>’</w:t>
      </w:r>
      <w:r w:rsidR="00BF6577" w:rsidRPr="00A767C7">
        <w:rPr>
          <w:rStyle w:val="SCCCounselPartyRoleChar"/>
          <w:lang w:val="fr-CA"/>
        </w:rPr>
        <w:t>intimée</w:t>
      </w:r>
      <w:r w:rsidRPr="00A767C7">
        <w:rPr>
          <w:rStyle w:val="SCCCounselPartyRoleChar"/>
          <w:lang w:val="fr-CA"/>
        </w:rPr>
        <w:t>.</w:t>
      </w:r>
    </w:p>
    <w:p w:rsidR="00A767C7" w:rsidRPr="00A767C7" w:rsidRDefault="00A767C7" w:rsidP="00A767C7">
      <w:pPr>
        <w:tabs>
          <w:tab w:val="left" w:pos="1134"/>
        </w:tabs>
        <w:autoSpaceDE w:val="0"/>
        <w:autoSpaceDN w:val="0"/>
        <w:adjustRightInd w:val="0"/>
        <w:snapToGrid w:val="0"/>
        <w:rPr>
          <w:color w:val="000000"/>
          <w:szCs w:val="24"/>
          <w:lang w:val="x-none"/>
        </w:rPr>
      </w:pPr>
      <w:r w:rsidRPr="00A767C7">
        <w:rPr>
          <w:szCs w:val="24"/>
          <w:lang w:val="fr-CA"/>
        </w:rPr>
        <w:tab/>
      </w:r>
      <w:r w:rsidRPr="00A767C7">
        <w:rPr>
          <w:color w:val="000000"/>
          <w:szCs w:val="24"/>
          <w:lang w:val="x-none"/>
        </w:rPr>
        <w:t>Le jugement suivant a été rendu par</w:t>
      </w:r>
    </w:p>
    <w:p w:rsidR="00A767C7" w:rsidRPr="00A767C7" w:rsidRDefault="00A767C7" w:rsidP="00A767C7">
      <w:pPr>
        <w:tabs>
          <w:tab w:val="left" w:pos="1134"/>
        </w:tabs>
        <w:autoSpaceDE w:val="0"/>
        <w:autoSpaceDN w:val="0"/>
        <w:adjustRightInd w:val="0"/>
        <w:snapToGrid w:val="0"/>
        <w:rPr>
          <w:color w:val="000000"/>
          <w:szCs w:val="24"/>
          <w:lang w:val="x-none"/>
        </w:rPr>
      </w:pPr>
    </w:p>
    <w:p w:rsidR="00A767C7" w:rsidRPr="00A767C7" w:rsidRDefault="00A767C7" w:rsidP="00090581">
      <w:pPr>
        <w:pStyle w:val="JudgeJuge"/>
        <w:tabs>
          <w:tab w:val="clear" w:pos="1166"/>
          <w:tab w:val="left" w:pos="1134"/>
        </w:tabs>
      </w:pPr>
      <w:r w:rsidRPr="00A767C7">
        <w:tab/>
        <w:t xml:space="preserve">La Cour — </w:t>
      </w:r>
    </w:p>
    <w:p w:rsidR="00A767C7" w:rsidRPr="00A767C7" w:rsidRDefault="00A767C7" w:rsidP="00A767C7">
      <w:pPr>
        <w:pStyle w:val="ParaNoNdepar-AltN"/>
      </w:pPr>
      <w:r w:rsidRPr="00A767C7">
        <w:rPr>
          <w:rFonts w:cstheme="minorHAnsi"/>
          <w:szCs w:val="24"/>
        </w:rPr>
        <w:t>Nous sommes unanimement d’avis que l’appel doit être rejeté.</w:t>
      </w:r>
    </w:p>
    <w:p w:rsidR="00A767C7" w:rsidRPr="00A767C7" w:rsidRDefault="00A767C7" w:rsidP="00A767C7">
      <w:pPr>
        <w:pStyle w:val="ParaNoNdepar-AltN"/>
      </w:pPr>
      <w:r w:rsidRPr="00A767C7">
        <w:t xml:space="preserve">Dans un arrêt unanime de la Cour d’appel du Québec portant sur la </w:t>
      </w:r>
      <w:r w:rsidRPr="00A767C7">
        <w:rPr>
          <w:i/>
        </w:rPr>
        <w:t>Loi sur les impôts</w:t>
      </w:r>
      <w:r w:rsidRPr="00A767C7">
        <w:t>, RLRQ, c. I-3 (« L.I. »), le juge Cournoyer écrit, à bon droit, ce qui suit :</w:t>
      </w:r>
    </w:p>
    <w:p w:rsidR="00A767C7" w:rsidRPr="00A767C7" w:rsidRDefault="00A767C7" w:rsidP="00A767C7">
      <w:pPr>
        <w:pStyle w:val="Citation-AltC"/>
        <w:rPr>
          <w:rStyle w:val="reflex2-link"/>
          <w:rFonts w:cstheme="minorBidi"/>
          <w:szCs w:val="22"/>
        </w:rPr>
      </w:pPr>
      <w:r w:rsidRPr="00A767C7">
        <w:rPr>
          <w:rStyle w:val="reflex2-link"/>
        </w:rPr>
        <w:tab/>
        <w:t>Puisqu’il</w:t>
      </w:r>
      <w:r w:rsidRPr="00A767C7">
        <w:rPr>
          <w:rStyle w:val="reflex2-link"/>
          <w:rFonts w:cstheme="minorBidi"/>
          <w:szCs w:val="22"/>
        </w:rPr>
        <w:t xml:space="preserve"> s’agit principalement d’un exercice d’interprétation législative et par souci de commodité, je reproduis encore une fois les articles 50, 54 et 422 L.I. :</w:t>
      </w:r>
    </w:p>
    <w:p w:rsidR="00A767C7" w:rsidRPr="00A767C7" w:rsidRDefault="00A767C7" w:rsidP="00A767C7">
      <w:pPr>
        <w:pStyle w:val="Citation-AltC"/>
        <w:rPr>
          <w:rStyle w:val="reflex2-link"/>
          <w:rFonts w:cstheme="minorBidi"/>
          <w:szCs w:val="22"/>
        </w:rPr>
      </w:pPr>
    </w:p>
    <w:p w:rsidR="00A767C7" w:rsidRPr="00A767C7" w:rsidRDefault="00A767C7" w:rsidP="00A767C7">
      <w:pPr>
        <w:pStyle w:val="Citation-AltC"/>
        <w:ind w:left="1440"/>
        <w:rPr>
          <w:lang w:eastAsia="fr-CA"/>
        </w:rPr>
      </w:pPr>
      <w:r w:rsidRPr="00A767C7">
        <w:rPr>
          <w:b/>
          <w:bCs/>
          <w:lang w:eastAsia="fr-CA"/>
        </w:rPr>
        <w:t>50.</w:t>
      </w:r>
      <w:r w:rsidRPr="00A767C7">
        <w:rPr>
          <w:lang w:eastAsia="fr-CA"/>
        </w:rPr>
        <w:t xml:space="preserve"> L’employé qui cède ou aliène des droits prévus par la convention visée à l’article 48, en ce qui concerne des titres, à une personne avec laquelle il n’a aucun lien de dépendance, </w:t>
      </w:r>
      <w:r w:rsidRPr="00A767C7">
        <w:rPr>
          <w:u w:val="single"/>
          <w:lang w:eastAsia="fr-CA"/>
        </w:rPr>
        <w:t>est réputé recevoir</w:t>
      </w:r>
      <w:r w:rsidRPr="00A767C7">
        <w:rPr>
          <w:lang w:eastAsia="fr-CA"/>
        </w:rPr>
        <w:t xml:space="preserve"> en raison de sa charge ou de son emploi, dans l’année d’imposition dans laquelle il fait cette cession ou aliénation, </w:t>
      </w:r>
      <w:r w:rsidRPr="00A767C7">
        <w:rPr>
          <w:u w:val="single"/>
          <w:lang w:eastAsia="fr-CA"/>
        </w:rPr>
        <w:t>un avantage égal à l’excédent de la valeur de la contrepartie de la cession ou de l’aliénation sur le montant qu’il a payé pour acquérir ces droits</w:t>
      </w:r>
      <w:r w:rsidRPr="00A767C7">
        <w:rPr>
          <w:lang w:eastAsia="fr-CA"/>
        </w:rPr>
        <w:t>.</w:t>
      </w:r>
    </w:p>
    <w:p w:rsidR="00A767C7" w:rsidRPr="00A767C7" w:rsidRDefault="00A767C7" w:rsidP="00A767C7">
      <w:pPr>
        <w:pStyle w:val="Citation-AltC"/>
        <w:ind w:left="1440"/>
      </w:pPr>
    </w:p>
    <w:p w:rsidR="00A767C7" w:rsidRPr="00A767C7" w:rsidRDefault="00A767C7" w:rsidP="00A767C7">
      <w:pPr>
        <w:pStyle w:val="Citation-AltC"/>
        <w:ind w:left="720" w:firstLine="720"/>
        <w:rPr>
          <w:lang w:eastAsia="fr-CA"/>
        </w:rPr>
      </w:pPr>
      <w:r w:rsidRPr="00A767C7">
        <w:rPr>
          <w:lang w:eastAsia="fr-CA"/>
        </w:rPr>
        <w:t>[…]</w:t>
      </w:r>
    </w:p>
    <w:p w:rsidR="00A767C7" w:rsidRPr="00A767C7" w:rsidRDefault="00A767C7" w:rsidP="00A767C7">
      <w:pPr>
        <w:pStyle w:val="Citation-AltC"/>
        <w:ind w:left="720"/>
        <w:rPr>
          <w:lang w:eastAsia="fr-CA"/>
        </w:rPr>
      </w:pPr>
    </w:p>
    <w:p w:rsidR="00A767C7" w:rsidRPr="00A767C7" w:rsidRDefault="00A767C7" w:rsidP="00A767C7">
      <w:pPr>
        <w:pStyle w:val="Citation-AltC"/>
        <w:ind w:left="1440"/>
        <w:rPr>
          <w:lang w:eastAsia="fr-CA"/>
        </w:rPr>
      </w:pPr>
      <w:bookmarkStart w:id="0" w:name="_Hlk60045834"/>
      <w:r w:rsidRPr="00A767C7">
        <w:rPr>
          <w:b/>
          <w:bCs/>
          <w:lang w:eastAsia="fr-CA"/>
        </w:rPr>
        <w:t>54.</w:t>
      </w:r>
      <w:r w:rsidRPr="00A767C7">
        <w:rPr>
          <w:lang w:eastAsia="fr-CA"/>
        </w:rPr>
        <w:t xml:space="preserve"> Lorsqu’une personne admissible donnée convient de vendre ou d’émettre un de ses titres ou un titre d’une personne admissible avec laquelle elle a un lien de dépendance, à un de ses employés ou à un employé d’une personne admissible avec laquelle elle a un lien de dépendance, </w:t>
      </w:r>
      <w:r w:rsidRPr="00A767C7">
        <w:rPr>
          <w:u w:val="single"/>
          <w:lang w:eastAsia="fr-CA"/>
        </w:rPr>
        <w:t>l’employé n’est pas réputé recevoir, en vertu ou par l’effet de la convention, d’autre avantage que celui prévu par la présente section</w:t>
      </w:r>
      <w:r w:rsidRPr="00A767C7">
        <w:rPr>
          <w:lang w:eastAsia="fr-CA"/>
        </w:rPr>
        <w:t>.</w:t>
      </w:r>
      <w:bookmarkEnd w:id="0"/>
    </w:p>
    <w:p w:rsidR="00A767C7" w:rsidRPr="00A767C7" w:rsidRDefault="00A767C7" w:rsidP="00A767C7">
      <w:pPr>
        <w:pStyle w:val="Citation-AltC"/>
        <w:ind w:left="720"/>
        <w:rPr>
          <w:lang w:eastAsia="fr-CA"/>
        </w:rPr>
      </w:pPr>
    </w:p>
    <w:p w:rsidR="00A767C7" w:rsidRPr="00A767C7" w:rsidRDefault="00A767C7" w:rsidP="00A767C7">
      <w:pPr>
        <w:pStyle w:val="Citation-AltC"/>
        <w:ind w:left="720" w:firstLine="720"/>
        <w:rPr>
          <w:lang w:eastAsia="fr-CA"/>
        </w:rPr>
      </w:pPr>
      <w:r w:rsidRPr="00A767C7">
        <w:rPr>
          <w:lang w:eastAsia="fr-CA"/>
        </w:rPr>
        <w:t>[…]</w:t>
      </w:r>
    </w:p>
    <w:p w:rsidR="00A767C7" w:rsidRPr="00A767C7" w:rsidRDefault="00A767C7" w:rsidP="00A767C7">
      <w:pPr>
        <w:pStyle w:val="Citation-AltC"/>
        <w:ind w:left="1440"/>
      </w:pPr>
    </w:p>
    <w:p w:rsidR="00A767C7" w:rsidRPr="00A767C7" w:rsidRDefault="00A767C7" w:rsidP="00A767C7">
      <w:pPr>
        <w:pStyle w:val="Citation-AltC"/>
        <w:ind w:left="1440"/>
        <w:rPr>
          <w:lang w:eastAsia="fr-CA"/>
        </w:rPr>
      </w:pPr>
      <w:r w:rsidRPr="00A767C7">
        <w:rPr>
          <w:b/>
          <w:bCs/>
          <w:lang w:eastAsia="fr-CA"/>
        </w:rPr>
        <w:t>422.</w:t>
      </w:r>
      <w:r w:rsidRPr="00A767C7">
        <w:rPr>
          <w:lang w:eastAsia="fr-CA"/>
        </w:rPr>
        <w:t xml:space="preserve"> </w:t>
      </w:r>
      <w:r w:rsidRPr="00A767C7">
        <w:rPr>
          <w:u w:val="single"/>
          <w:lang w:eastAsia="fr-CA"/>
        </w:rPr>
        <w:t>Sauf disposition contraire de la présente partie</w:t>
      </w:r>
      <w:r w:rsidRPr="00A767C7">
        <w:rPr>
          <w:lang w:eastAsia="fr-CA"/>
        </w:rPr>
        <w:t xml:space="preserve">, </w:t>
      </w:r>
      <w:r w:rsidRPr="00A767C7">
        <w:rPr>
          <w:u w:val="single"/>
          <w:lang w:eastAsia="fr-CA"/>
        </w:rPr>
        <w:t>l’aliénation</w:t>
      </w:r>
      <w:r w:rsidRPr="00A767C7">
        <w:rPr>
          <w:lang w:eastAsia="fr-CA"/>
        </w:rPr>
        <w:t xml:space="preserve"> ou l’acquisition </w:t>
      </w:r>
      <w:r w:rsidRPr="00A767C7">
        <w:rPr>
          <w:u w:val="single"/>
          <w:lang w:eastAsia="fr-CA"/>
        </w:rPr>
        <w:t>d’un bien par un contribuable sont réputées faites à la juste valeur marchande de ce bien au moment de l’aliénation</w:t>
      </w:r>
      <w:r w:rsidRPr="00A767C7">
        <w:rPr>
          <w:lang w:eastAsia="fr-CA"/>
        </w:rPr>
        <w:t xml:space="preserve"> ou de l’acquisition, selon le cas, </w:t>
      </w:r>
      <w:r w:rsidRPr="00A767C7">
        <w:rPr>
          <w:u w:val="single"/>
          <w:lang w:eastAsia="fr-CA"/>
        </w:rPr>
        <w:t>lorsque l’une des situations suivantes s’applique</w:t>
      </w:r>
      <w:r w:rsidRPr="00A767C7">
        <w:rPr>
          <w:lang w:eastAsia="fr-CA"/>
        </w:rPr>
        <w:t> :</w:t>
      </w:r>
    </w:p>
    <w:p w:rsidR="00A767C7" w:rsidRPr="00A767C7" w:rsidRDefault="00A767C7" w:rsidP="00A767C7">
      <w:pPr>
        <w:pStyle w:val="Citation-AltC"/>
        <w:ind w:left="1710"/>
        <w:rPr>
          <w:lang w:eastAsia="fr-CA"/>
        </w:rPr>
      </w:pPr>
    </w:p>
    <w:p w:rsidR="00A767C7" w:rsidRPr="00A767C7" w:rsidRDefault="00A767C7" w:rsidP="00A767C7">
      <w:pPr>
        <w:pStyle w:val="Citation-AltC"/>
        <w:ind w:left="1440"/>
        <w:rPr>
          <w:lang w:eastAsia="fr-CA"/>
        </w:rPr>
      </w:pPr>
      <w:r w:rsidRPr="00A767C7">
        <w:rPr>
          <w:lang w:eastAsia="fr-CA"/>
        </w:rPr>
        <w:t>a) le contribuable l’acquiert par donation, succession ou testament, ou en raison d’une aliénation qui n’entraîne pas de changement dans la propriété à titre bénéficiaire du bien;</w:t>
      </w:r>
    </w:p>
    <w:p w:rsidR="00A767C7" w:rsidRPr="00A767C7" w:rsidRDefault="00A767C7" w:rsidP="00A767C7">
      <w:pPr>
        <w:pStyle w:val="Citation-AltC"/>
        <w:ind w:left="720"/>
        <w:rPr>
          <w:lang w:eastAsia="fr-CA"/>
        </w:rPr>
      </w:pPr>
    </w:p>
    <w:p w:rsidR="00A767C7" w:rsidRPr="00A767C7" w:rsidRDefault="00A767C7" w:rsidP="00A767C7">
      <w:pPr>
        <w:pStyle w:val="Citation-AltC"/>
        <w:ind w:left="1440"/>
        <w:rPr>
          <w:lang w:eastAsia="fr-CA"/>
        </w:rPr>
      </w:pPr>
      <w:r w:rsidRPr="00A767C7">
        <w:rPr>
          <w:lang w:eastAsia="fr-CA"/>
        </w:rPr>
        <w:t>b) le contribuable l’acquiert d’une personne avec laquelle il a un lien de dépendance, pour un montant supérieur à cette valeur;</w:t>
      </w:r>
    </w:p>
    <w:p w:rsidR="00A767C7" w:rsidRPr="00A767C7" w:rsidRDefault="00A767C7" w:rsidP="00A767C7">
      <w:pPr>
        <w:pStyle w:val="Citation-AltC"/>
        <w:ind w:left="720"/>
        <w:rPr>
          <w:lang w:eastAsia="fr-CA"/>
        </w:rPr>
      </w:pPr>
    </w:p>
    <w:p w:rsidR="00A767C7" w:rsidRPr="00A767C7" w:rsidRDefault="00A767C7" w:rsidP="00A767C7">
      <w:pPr>
        <w:pStyle w:val="Citation-AltC"/>
        <w:ind w:left="720" w:firstLine="720"/>
        <w:rPr>
          <w:lang w:eastAsia="fr-CA"/>
        </w:rPr>
      </w:pPr>
      <w:r w:rsidRPr="00A767C7">
        <w:rPr>
          <w:lang w:eastAsia="fr-CA"/>
        </w:rPr>
        <w:t xml:space="preserve">c) </w:t>
      </w:r>
      <w:r w:rsidRPr="00A767C7">
        <w:rPr>
          <w:u w:val="single"/>
          <w:lang w:eastAsia="fr-CA"/>
        </w:rPr>
        <w:t>le contribuable l’aliène en faveur</w:t>
      </w:r>
      <w:r w:rsidRPr="00A767C7">
        <w:rPr>
          <w:lang w:eastAsia="fr-CA"/>
        </w:rPr>
        <w:t> :</w:t>
      </w:r>
    </w:p>
    <w:p w:rsidR="00A767C7" w:rsidRPr="00A767C7" w:rsidRDefault="00A767C7" w:rsidP="00A767C7">
      <w:pPr>
        <w:pStyle w:val="Citation-AltC"/>
        <w:ind w:left="1710"/>
        <w:rPr>
          <w:lang w:eastAsia="fr-CA"/>
        </w:rPr>
      </w:pPr>
    </w:p>
    <w:p w:rsidR="00A767C7" w:rsidRPr="00A767C7" w:rsidRDefault="00A767C7" w:rsidP="00A767C7">
      <w:pPr>
        <w:pStyle w:val="Citation-AltC"/>
        <w:ind w:left="1440"/>
        <w:rPr>
          <w:lang w:eastAsia="fr-CA"/>
        </w:rPr>
      </w:pPr>
      <w:r w:rsidRPr="00A767C7">
        <w:rPr>
          <w:lang w:eastAsia="fr-CA"/>
        </w:rPr>
        <w:t>i. soit d’une personne avec laquelle il a un lien de dépendance, à titre gratuit ou moyennant une contrepartie inférieure à cette juste valeur marchande;</w:t>
      </w:r>
    </w:p>
    <w:p w:rsidR="00A767C7" w:rsidRPr="00A767C7" w:rsidRDefault="00A767C7" w:rsidP="00A767C7">
      <w:pPr>
        <w:pStyle w:val="Citation-AltC"/>
        <w:ind w:left="720"/>
        <w:rPr>
          <w:lang w:eastAsia="fr-CA"/>
        </w:rPr>
      </w:pPr>
    </w:p>
    <w:p w:rsidR="00A767C7" w:rsidRPr="00A767C7" w:rsidRDefault="00A767C7" w:rsidP="00A767C7">
      <w:pPr>
        <w:pStyle w:val="Citation-AltC"/>
        <w:ind w:left="720" w:firstLine="720"/>
        <w:rPr>
          <w:u w:val="single"/>
          <w:lang w:eastAsia="fr-CA"/>
        </w:rPr>
      </w:pPr>
      <w:r w:rsidRPr="00A767C7">
        <w:rPr>
          <w:lang w:eastAsia="fr-CA"/>
        </w:rPr>
        <w:t xml:space="preserve">ii. </w:t>
      </w:r>
      <w:r w:rsidRPr="00A767C7">
        <w:rPr>
          <w:u w:val="single"/>
          <w:lang w:eastAsia="fr-CA"/>
        </w:rPr>
        <w:t>soit d’une personne par donation</w:t>
      </w:r>
      <w:r w:rsidRPr="00A767C7">
        <w:rPr>
          <w:lang w:eastAsia="fr-CA"/>
        </w:rPr>
        <w:t>;</w:t>
      </w:r>
    </w:p>
    <w:p w:rsidR="00A767C7" w:rsidRPr="00A767C7" w:rsidRDefault="00A767C7" w:rsidP="00A767C7">
      <w:pPr>
        <w:pStyle w:val="Citation-AltC"/>
        <w:ind w:left="720"/>
        <w:rPr>
          <w:lang w:eastAsia="fr-CA"/>
        </w:rPr>
      </w:pPr>
    </w:p>
    <w:p w:rsidR="00A767C7" w:rsidRPr="00A767C7" w:rsidRDefault="00A767C7" w:rsidP="00A767C7">
      <w:pPr>
        <w:pStyle w:val="Citation-AltC"/>
        <w:ind w:left="1440"/>
        <w:rPr>
          <w:lang w:eastAsia="fr-CA"/>
        </w:rPr>
      </w:pPr>
      <w:r w:rsidRPr="00A767C7">
        <w:rPr>
          <w:lang w:eastAsia="fr-CA"/>
        </w:rPr>
        <w:t>iii. soit d’une fiducie en raison d’une aliénation qui n’entraîne pas de changement dans la propriété à titre bénéficiaire du bien.</w:t>
      </w:r>
    </w:p>
    <w:p w:rsidR="00A767C7" w:rsidRPr="00A767C7" w:rsidRDefault="00A767C7" w:rsidP="00A767C7">
      <w:pPr>
        <w:pStyle w:val="Citation-AltC"/>
        <w:ind w:left="1710"/>
      </w:pPr>
    </w:p>
    <w:p w:rsidR="00A767C7" w:rsidRPr="00A767C7" w:rsidRDefault="00A767C7" w:rsidP="00A767C7">
      <w:pPr>
        <w:pStyle w:val="Citation-AltC"/>
        <w:jc w:val="center"/>
      </w:pPr>
      <w:r w:rsidRPr="00A767C7">
        <w:t>. . .</w:t>
      </w:r>
    </w:p>
    <w:p w:rsidR="00A767C7" w:rsidRPr="00A767C7" w:rsidRDefault="00A767C7" w:rsidP="00A767C7">
      <w:pPr>
        <w:pStyle w:val="Citation-AltC"/>
        <w:jc w:val="center"/>
      </w:pPr>
    </w:p>
    <w:p w:rsidR="00A767C7" w:rsidRPr="00A767C7" w:rsidRDefault="00A767C7" w:rsidP="00A767C7">
      <w:pPr>
        <w:pStyle w:val="Citation-AltC"/>
        <w:ind w:left="1170"/>
        <w:rPr>
          <w:color w:val="000000"/>
        </w:rPr>
      </w:pPr>
      <w:r w:rsidRPr="00A767C7">
        <w:rPr>
          <w:color w:val="000000"/>
        </w:rPr>
        <w:tab/>
        <w:t>M. Des Groseillers plaide que l’</w:t>
      </w:r>
      <w:r w:rsidRPr="00A767C7">
        <w:rPr>
          <w:rStyle w:val="reflex2-link"/>
          <w:color w:val="000000"/>
        </w:rPr>
        <w:t>article 422</w:t>
      </w:r>
      <w:r w:rsidRPr="00A767C7">
        <w:t xml:space="preserve"> </w:t>
      </w:r>
      <w:r w:rsidRPr="00A767C7">
        <w:rPr>
          <w:color w:val="000000"/>
        </w:rPr>
        <w:t xml:space="preserve">ne trouve pas application en l’espèce puisque </w:t>
      </w:r>
      <w:bookmarkStart w:id="1" w:name="_Hlk60306393"/>
      <w:r w:rsidRPr="00A767C7">
        <w:rPr>
          <w:color w:val="000000"/>
        </w:rPr>
        <w:t xml:space="preserve">les </w:t>
      </w:r>
      <w:bookmarkEnd w:id="1"/>
      <w:r w:rsidRPr="00A767C7">
        <w:t>articles 47.18</w:t>
      </w:r>
      <w:r w:rsidRPr="00A767C7">
        <w:rPr>
          <w:color w:val="000000"/>
        </w:rPr>
        <w:t xml:space="preserve"> à </w:t>
      </w:r>
      <w:r w:rsidRPr="00A767C7">
        <w:t>58.0.7</w:t>
      </w:r>
      <w:r w:rsidRPr="00A767C7">
        <w:rPr>
          <w:color w:val="000000"/>
        </w:rPr>
        <w:t xml:space="preserve"> de la </w:t>
      </w:r>
      <w:r w:rsidRPr="00A767C7">
        <w:t>L.I.</w:t>
      </w:r>
      <w:r w:rsidRPr="00A767C7">
        <w:rPr>
          <w:color w:val="000000"/>
        </w:rPr>
        <w:t xml:space="preserve"> constituent un code complet qui comporte en lui</w:t>
      </w:r>
      <w:r w:rsidRPr="00A767C7">
        <w:rPr>
          <w:color w:val="000000"/>
        </w:rPr>
        <w:noBreakHyphen/>
        <w:t>même et de façon exhaustive l’ensemble des règles de calcul du revenu tiré de l’émission de titres à des employés, de même que l’ensemble des fictions juridiques que le législateur a jugé nécessaire d’adopter au soutien de ces règles. Il ajoute que l’</w:t>
      </w:r>
      <w:r w:rsidRPr="00A767C7">
        <w:t>article 54</w:t>
      </w:r>
      <w:r w:rsidRPr="00A767C7">
        <w:rPr>
          <w:color w:val="000000"/>
        </w:rPr>
        <w:t xml:space="preserve"> </w:t>
      </w:r>
      <w:r w:rsidRPr="00A767C7">
        <w:t>L.I.</w:t>
      </w:r>
      <w:r w:rsidRPr="00A767C7">
        <w:rPr>
          <w:color w:val="000000"/>
        </w:rPr>
        <w:t xml:space="preserve"> est une disposition contraire qui exclut l’application de l’article 422 L.I.</w:t>
      </w:r>
    </w:p>
    <w:p w:rsidR="00A767C7" w:rsidRPr="00A767C7" w:rsidRDefault="00A767C7" w:rsidP="00A767C7">
      <w:pPr>
        <w:pStyle w:val="Citation-AltC"/>
        <w:rPr>
          <w:color w:val="000000"/>
        </w:rPr>
      </w:pPr>
    </w:p>
    <w:p w:rsidR="00A767C7" w:rsidRPr="00A767C7" w:rsidRDefault="00A767C7" w:rsidP="00A767C7">
      <w:pPr>
        <w:pStyle w:val="Citation-AltC"/>
        <w:ind w:left="1170"/>
        <w:rPr>
          <w:color w:val="000000"/>
        </w:rPr>
      </w:pPr>
      <w:r w:rsidRPr="00A767C7">
        <w:rPr>
          <w:color w:val="000000"/>
        </w:rPr>
        <w:tab/>
        <w:t>Qu’en est-il?</w:t>
      </w:r>
    </w:p>
    <w:p w:rsidR="00A767C7" w:rsidRPr="00A767C7" w:rsidRDefault="00A767C7" w:rsidP="00A767C7">
      <w:pPr>
        <w:pStyle w:val="Citation-AltC"/>
        <w:ind w:left="1170"/>
        <w:rPr>
          <w:color w:val="000000"/>
        </w:rPr>
      </w:pPr>
    </w:p>
    <w:p w:rsidR="00A767C7" w:rsidRPr="00A767C7" w:rsidRDefault="00A767C7" w:rsidP="00A767C7">
      <w:pPr>
        <w:pStyle w:val="Citation-AltC"/>
        <w:jc w:val="center"/>
        <w:rPr>
          <w:color w:val="000000"/>
        </w:rPr>
      </w:pPr>
      <w:r w:rsidRPr="00A767C7">
        <w:rPr>
          <w:color w:val="000000"/>
        </w:rPr>
        <w:t>. . .</w:t>
      </w:r>
    </w:p>
    <w:p w:rsidR="00A767C7" w:rsidRPr="00A767C7" w:rsidRDefault="00A767C7" w:rsidP="00A767C7">
      <w:pPr>
        <w:pStyle w:val="Citation-AltC"/>
        <w:rPr>
          <w:color w:val="000000"/>
        </w:rPr>
      </w:pPr>
    </w:p>
    <w:p w:rsidR="00A767C7" w:rsidRPr="00A767C7" w:rsidRDefault="00A767C7" w:rsidP="00A767C7">
      <w:pPr>
        <w:pStyle w:val="Citation-AltC"/>
        <w:tabs>
          <w:tab w:val="left" w:pos="1170"/>
        </w:tabs>
        <w:ind w:left="1170"/>
        <w:rPr>
          <w:color w:val="000000"/>
          <w:szCs w:val="24"/>
          <w:lang w:eastAsia="fr-CA"/>
        </w:rPr>
      </w:pPr>
      <w:r w:rsidRPr="00A767C7">
        <w:rPr>
          <w:rStyle w:val="reflex2-link"/>
          <w:rFonts w:cstheme="minorBidi"/>
          <w:szCs w:val="22"/>
        </w:rPr>
        <w:tab/>
      </w:r>
      <w:r w:rsidRPr="00A767C7">
        <w:rPr>
          <w:color w:val="000000"/>
        </w:rPr>
        <w:t>P</w:t>
      </w:r>
      <w:r w:rsidRPr="00A767C7">
        <w:rPr>
          <w:color w:val="000000"/>
          <w:szCs w:val="24"/>
          <w:lang w:eastAsia="fr-CA"/>
        </w:rPr>
        <w:t>remièrement, l’article 50 L.I. prévoit deux choses. D’une part, il indique le moment de l’imposition d’un avantage reçu en raison d’une convention visée à l’article 48 L.I. Et d’autre part, en considérant la cession à titre de revenu d’emploi, l’article 50 établit une exception à la règle générale selon laquelle l’aliénation d’un bien donne lieu à un gain ou à une perte en capital. Le sous-</w:t>
      </w:r>
      <w:r w:rsidRPr="00A767C7">
        <w:rPr>
          <w:szCs w:val="24"/>
          <w:lang w:eastAsia="fr-CA"/>
        </w:rPr>
        <w:t>paragraphe 422</w:t>
      </w:r>
      <w:r w:rsidRPr="00A767C7">
        <w:rPr>
          <w:color w:val="000000"/>
          <w:szCs w:val="24"/>
          <w:lang w:eastAsia="fr-CA"/>
        </w:rPr>
        <w:t>c</w:t>
      </w:r>
      <w:proofErr w:type="gramStart"/>
      <w:r w:rsidRPr="00A767C7">
        <w:rPr>
          <w:color w:val="000000"/>
          <w:szCs w:val="24"/>
          <w:lang w:eastAsia="fr-CA"/>
        </w:rPr>
        <w:t>)ii</w:t>
      </w:r>
      <w:proofErr w:type="gramEnd"/>
      <w:r w:rsidRPr="00A767C7">
        <w:rPr>
          <w:color w:val="000000"/>
          <w:szCs w:val="24"/>
          <w:lang w:eastAsia="fr-CA"/>
        </w:rPr>
        <w:t xml:space="preserve">) </w:t>
      </w:r>
      <w:r w:rsidRPr="00A767C7">
        <w:rPr>
          <w:szCs w:val="24"/>
          <w:lang w:eastAsia="fr-CA"/>
        </w:rPr>
        <w:t>L.I.</w:t>
      </w:r>
      <w:r w:rsidRPr="00A767C7">
        <w:rPr>
          <w:color w:val="000000"/>
          <w:szCs w:val="24"/>
          <w:lang w:eastAsia="fr-CA"/>
        </w:rPr>
        <w:t>, en imputant une valeur à la contrepartie, n’a pas d’impact sur ces fictions juridiques. Cela dit, à mon avis, il n’y a pas de véritable conflit entre l’article 50 et l’article 422.</w:t>
      </w:r>
    </w:p>
    <w:p w:rsidR="00A767C7" w:rsidRPr="00A767C7" w:rsidRDefault="00A767C7" w:rsidP="00A767C7">
      <w:pPr>
        <w:pStyle w:val="Citation-AltC"/>
        <w:tabs>
          <w:tab w:val="left" w:pos="1170"/>
        </w:tabs>
        <w:ind w:left="1170"/>
        <w:rPr>
          <w:color w:val="000000"/>
          <w:szCs w:val="24"/>
          <w:lang w:eastAsia="fr-CA"/>
        </w:rPr>
      </w:pPr>
    </w:p>
    <w:p w:rsidR="00A767C7" w:rsidRPr="00A767C7" w:rsidRDefault="00A767C7" w:rsidP="00A767C7">
      <w:pPr>
        <w:pStyle w:val="Citation-AltC"/>
        <w:ind w:left="1170"/>
        <w:rPr>
          <w:color w:val="000000"/>
          <w:szCs w:val="24"/>
          <w:lang w:eastAsia="fr-CA"/>
        </w:rPr>
      </w:pPr>
      <w:r w:rsidRPr="00A767C7">
        <w:rPr>
          <w:rStyle w:val="reflex2-link"/>
          <w:rFonts w:cstheme="minorBidi"/>
          <w:szCs w:val="22"/>
        </w:rPr>
        <w:tab/>
      </w:r>
      <w:r w:rsidRPr="00A767C7">
        <w:rPr>
          <w:color w:val="000000"/>
          <w:szCs w:val="24"/>
          <w:lang w:eastAsia="fr-CA"/>
        </w:rPr>
        <w:t xml:space="preserve">Deuxièmement, la formulation très large de la règle prévue à l’article 422 laisse penser que l’objectif du législateur était d’imputer à toute aliénation d’un bien par une personne une valeur égale à la juste valeur marchande de ce bien aux fins du calcul du revenu. De plus, le législateur n’a pas explicitement exclu la section de la loi portant sur les options d’achat d’actions accordées aux employés de l’application de l’article 422 lorsqu’il a adopté la </w:t>
      </w:r>
      <w:r w:rsidRPr="00A767C7">
        <w:rPr>
          <w:i/>
          <w:iCs/>
          <w:szCs w:val="24"/>
          <w:lang w:eastAsia="fr-CA"/>
        </w:rPr>
        <w:t>Loi sur les impôts</w:t>
      </w:r>
      <w:r w:rsidRPr="00A767C7">
        <w:rPr>
          <w:szCs w:val="24"/>
          <w:lang w:eastAsia="fr-CA"/>
        </w:rPr>
        <w:t xml:space="preserve"> </w:t>
      </w:r>
      <w:r w:rsidRPr="00A767C7">
        <w:rPr>
          <w:color w:val="000000"/>
          <w:szCs w:val="24"/>
          <w:lang w:eastAsia="fr-CA"/>
        </w:rPr>
        <w:t xml:space="preserve">en 1972 ni lors de ses modifications subséquentes. Son silence à cet égard est révélateur, puisque </w:t>
      </w:r>
      <w:r w:rsidRPr="00A767C7">
        <w:rPr>
          <w:szCs w:val="24"/>
          <w:lang w:eastAsia="fr-CA"/>
        </w:rPr>
        <w:t xml:space="preserve">la </w:t>
      </w:r>
      <w:hyperlink r:id="rId10" w:history="1">
        <w:r w:rsidRPr="00A767C7">
          <w:rPr>
            <w:szCs w:val="24"/>
            <w:lang w:eastAsia="fr-CA"/>
          </w:rPr>
          <w:t>L.I.</w:t>
        </w:r>
      </w:hyperlink>
      <w:r w:rsidRPr="00A767C7">
        <w:rPr>
          <w:color w:val="000000"/>
          <w:szCs w:val="24"/>
          <w:lang w:eastAsia="fr-CA"/>
        </w:rPr>
        <w:t xml:space="preserve"> comporte plusieurs mentions expresses de la non</w:t>
      </w:r>
      <w:r w:rsidRPr="00A767C7">
        <w:rPr>
          <w:color w:val="000000"/>
          <w:szCs w:val="24"/>
          <w:lang w:eastAsia="fr-CA"/>
        </w:rPr>
        <w:noBreakHyphen/>
        <w:t>applicabilité de l’article 422.</w:t>
      </w:r>
    </w:p>
    <w:p w:rsidR="00A767C7" w:rsidRPr="00A767C7" w:rsidRDefault="00A767C7" w:rsidP="00A767C7">
      <w:pPr>
        <w:pStyle w:val="Citation-AltC"/>
        <w:ind w:left="1170"/>
        <w:rPr>
          <w:color w:val="000000"/>
          <w:szCs w:val="24"/>
          <w:lang w:eastAsia="fr-CA"/>
        </w:rPr>
      </w:pPr>
    </w:p>
    <w:p w:rsidR="00A767C7" w:rsidRPr="00A767C7" w:rsidRDefault="00A767C7" w:rsidP="00A767C7">
      <w:pPr>
        <w:pStyle w:val="Citation-AltC"/>
        <w:ind w:left="1170"/>
        <w:rPr>
          <w:color w:val="000000"/>
          <w:szCs w:val="24"/>
          <w:lang w:eastAsia="fr-CA"/>
        </w:rPr>
      </w:pPr>
      <w:r w:rsidRPr="00A767C7">
        <w:rPr>
          <w:rStyle w:val="reflex2-link"/>
          <w:rFonts w:cstheme="minorBidi"/>
          <w:szCs w:val="22"/>
        </w:rPr>
        <w:tab/>
      </w:r>
      <w:r w:rsidRPr="00A767C7">
        <w:rPr>
          <w:szCs w:val="24"/>
          <w:lang w:eastAsia="fr-CA"/>
        </w:rPr>
        <w:t xml:space="preserve">L’article 54 </w:t>
      </w:r>
      <w:hyperlink r:id="rId11" w:history="1">
        <w:r w:rsidRPr="00A767C7">
          <w:rPr>
            <w:szCs w:val="24"/>
            <w:lang w:eastAsia="fr-CA"/>
          </w:rPr>
          <w:t>L.I.</w:t>
        </w:r>
      </w:hyperlink>
      <w:r w:rsidRPr="00A767C7">
        <w:rPr>
          <w:szCs w:val="24"/>
          <w:lang w:eastAsia="fr-CA"/>
        </w:rPr>
        <w:t xml:space="preserve"> a </w:t>
      </w:r>
      <w:r w:rsidRPr="00A767C7">
        <w:rPr>
          <w:color w:val="000000"/>
          <w:szCs w:val="24"/>
          <w:lang w:eastAsia="fr-CA"/>
        </w:rPr>
        <w:t xml:space="preserve">seulement comme effet de donner préséance à l’application des articles 49 et s. sur tout autre article prévoyant </w:t>
      </w:r>
      <w:r w:rsidRPr="00A767C7">
        <w:rPr>
          <w:color w:val="000000"/>
          <w:szCs w:val="24"/>
          <w:u w:val="single"/>
          <w:lang w:eastAsia="fr-CA"/>
        </w:rPr>
        <w:t>une règle d’imposition</w:t>
      </w:r>
      <w:r w:rsidRPr="00A767C7">
        <w:rPr>
          <w:color w:val="000000"/>
          <w:szCs w:val="24"/>
          <w:lang w:eastAsia="fr-CA"/>
        </w:rPr>
        <w:t xml:space="preserve">. Il n’empêche pas l’ARQ de recourir aux présomptions prévues dans la </w:t>
      </w:r>
      <w:r w:rsidRPr="00A767C7">
        <w:rPr>
          <w:szCs w:val="24"/>
          <w:lang w:eastAsia="fr-CA"/>
        </w:rPr>
        <w:t xml:space="preserve">L.I. </w:t>
      </w:r>
      <w:r w:rsidRPr="00A767C7">
        <w:rPr>
          <w:color w:val="000000"/>
          <w:szCs w:val="24"/>
          <w:lang w:eastAsia="fr-CA"/>
        </w:rPr>
        <w:t>afin de calculer le revenu imposable du contribuable.</w:t>
      </w:r>
    </w:p>
    <w:p w:rsidR="00A767C7" w:rsidRPr="00A767C7" w:rsidRDefault="00A767C7" w:rsidP="00A767C7">
      <w:pPr>
        <w:pStyle w:val="Citation-AltC"/>
        <w:rPr>
          <w:color w:val="000000"/>
          <w:szCs w:val="24"/>
          <w:lang w:eastAsia="fr-CA"/>
        </w:rPr>
      </w:pPr>
    </w:p>
    <w:p w:rsidR="00A767C7" w:rsidRPr="00A767C7" w:rsidRDefault="00A767C7" w:rsidP="00A767C7">
      <w:pPr>
        <w:pStyle w:val="Citation-AltC"/>
        <w:jc w:val="center"/>
        <w:rPr>
          <w:lang w:eastAsia="fr-CA"/>
        </w:rPr>
      </w:pPr>
      <w:r w:rsidRPr="00A767C7">
        <w:rPr>
          <w:lang w:eastAsia="fr-CA"/>
        </w:rPr>
        <w:t>. . .</w:t>
      </w:r>
    </w:p>
    <w:p w:rsidR="00A767C7" w:rsidRPr="00A767C7" w:rsidRDefault="00A767C7" w:rsidP="00A767C7">
      <w:pPr>
        <w:pStyle w:val="Citation-AltC"/>
        <w:jc w:val="center"/>
        <w:rPr>
          <w:lang w:eastAsia="fr-CA"/>
        </w:rPr>
      </w:pPr>
    </w:p>
    <w:p w:rsidR="00A767C7" w:rsidRPr="00A767C7" w:rsidRDefault="00A767C7" w:rsidP="00A767C7">
      <w:pPr>
        <w:pStyle w:val="Citation-AltC"/>
        <w:rPr>
          <w:lang w:eastAsia="fr-CA"/>
        </w:rPr>
      </w:pPr>
      <w:r w:rsidRPr="00A767C7">
        <w:rPr>
          <w:rStyle w:val="reflex2-link"/>
          <w:rFonts w:cstheme="minorBidi"/>
          <w:szCs w:val="22"/>
        </w:rPr>
        <w:tab/>
      </w:r>
      <w:r w:rsidRPr="00A767C7">
        <w:rPr>
          <w:lang w:eastAsia="fr-CA"/>
        </w:rPr>
        <w:t>Dans le présent dossier, l’interprétation adoptée par le juge d’instance postule que la section VI de la L.I.</w:t>
      </w:r>
      <w:r w:rsidRPr="00A767C7">
        <w:rPr>
          <w:iCs/>
          <w:lang w:eastAsia="fr-CA"/>
        </w:rPr>
        <w:t xml:space="preserve"> </w:t>
      </w:r>
      <w:r w:rsidRPr="00A767C7">
        <w:rPr>
          <w:lang w:eastAsia="fr-CA"/>
        </w:rPr>
        <w:t>s’avère un code complet et que « l’</w:t>
      </w:r>
      <w:hyperlink r:id="rId12" w:anchor="art422_smooth" w:history="1">
        <w:r w:rsidRPr="00A767C7">
          <w:rPr>
            <w:lang w:eastAsia="fr-CA"/>
          </w:rPr>
          <w:t>article 422</w:t>
        </w:r>
      </w:hyperlink>
      <w:r w:rsidRPr="00A767C7">
        <w:rPr>
          <w:lang w:eastAsia="fr-CA"/>
        </w:rPr>
        <w:t xml:space="preserve"> </w:t>
      </w:r>
      <w:hyperlink r:id="rId13" w:history="1">
        <w:r w:rsidRPr="00A767C7">
          <w:rPr>
            <w:lang w:eastAsia="fr-CA"/>
          </w:rPr>
          <w:t>L.I.</w:t>
        </w:r>
      </w:hyperlink>
      <w:r w:rsidRPr="00A767C7">
        <w:rPr>
          <w:lang w:eastAsia="fr-CA"/>
        </w:rPr>
        <w:t xml:space="preserve"> ne peut être invoqué afin de compléter les règles de calcul du revenu prévu à la Section VI ».</w:t>
      </w:r>
    </w:p>
    <w:p w:rsidR="00A767C7" w:rsidRPr="00A767C7" w:rsidRDefault="00A767C7" w:rsidP="00A767C7">
      <w:pPr>
        <w:pStyle w:val="Citation-AltC"/>
        <w:rPr>
          <w:lang w:eastAsia="fr-CA"/>
        </w:rPr>
      </w:pPr>
    </w:p>
    <w:p w:rsidR="00A767C7" w:rsidRPr="00A767C7" w:rsidRDefault="00A767C7" w:rsidP="00A767C7">
      <w:pPr>
        <w:pStyle w:val="Citation-AltC"/>
        <w:rPr>
          <w:lang w:eastAsia="fr-CA"/>
        </w:rPr>
      </w:pPr>
      <w:r w:rsidRPr="00A767C7">
        <w:rPr>
          <w:rStyle w:val="reflex2-link"/>
          <w:rFonts w:cstheme="minorBidi"/>
          <w:szCs w:val="22"/>
        </w:rPr>
        <w:tab/>
      </w:r>
      <w:r w:rsidRPr="00A767C7">
        <w:rPr>
          <w:lang w:eastAsia="fr-CA"/>
        </w:rPr>
        <w:t xml:space="preserve">Or, si l’article 54 assure l’assujettissement des avantages découlant de l’octroi d’options d’achat d’actions aux articles 49 et s. de la </w:t>
      </w:r>
      <w:hyperlink r:id="rId14" w:history="1">
        <w:r w:rsidRPr="00A767C7">
          <w:rPr>
            <w:lang w:eastAsia="fr-CA"/>
          </w:rPr>
          <w:t>L.I.</w:t>
        </w:r>
      </w:hyperlink>
      <w:r w:rsidRPr="00A767C7">
        <w:rPr>
          <w:lang w:eastAsia="fr-CA"/>
        </w:rPr>
        <w:t xml:space="preserve"> et les exclut du champ d’application des articles 36 et 37, il ne constitue pas, en l’absence d’indices législatifs clairs à cet effet, un code si complet et si hermétique que l’application de l’article 422 est exclue.</w:t>
      </w:r>
    </w:p>
    <w:p w:rsidR="00A767C7" w:rsidRPr="00A767C7" w:rsidRDefault="00A767C7" w:rsidP="00A767C7">
      <w:pPr>
        <w:pStyle w:val="Citation-AltC"/>
        <w:rPr>
          <w:lang w:eastAsia="fr-CA"/>
        </w:rPr>
      </w:pPr>
    </w:p>
    <w:p w:rsidR="00A767C7" w:rsidRPr="00A767C7" w:rsidRDefault="00A767C7" w:rsidP="00A767C7">
      <w:pPr>
        <w:pStyle w:val="Citation-AltC"/>
        <w:rPr>
          <w:lang w:eastAsia="fr-CA"/>
        </w:rPr>
      </w:pPr>
      <w:r w:rsidRPr="00A767C7">
        <w:rPr>
          <w:rStyle w:val="reflex2-link"/>
          <w:rFonts w:cstheme="minorBidi"/>
          <w:szCs w:val="22"/>
        </w:rPr>
        <w:tab/>
      </w:r>
      <w:r w:rsidRPr="00A767C7">
        <w:t>Je rappelle que l’</w:t>
      </w:r>
      <w:r w:rsidRPr="00A767C7">
        <w:rPr>
          <w:rStyle w:val="reflex2-link"/>
        </w:rPr>
        <w:t>article 422</w:t>
      </w:r>
      <w:r w:rsidRPr="00A767C7">
        <w:t xml:space="preserve"> est contenu dans le titre VII de la L.I. qui concerne les règles omnibus relatives au calcul du revenu. Il prévoit plus spécifiquement que lorsqu’un contribuable aliène un bien en faveur d’une personne comme en l’espèce par donation, l’aliénation est réputée faite à la juste valeur marchande de ce bien au moment de l’aliénation.</w:t>
      </w:r>
      <w:r w:rsidRPr="00A767C7">
        <w:rPr>
          <w:color w:val="000000"/>
        </w:rPr>
        <w:t xml:space="preserve"> </w:t>
      </w:r>
      <w:r w:rsidRPr="00A767C7">
        <w:t>[Souligné dans l’original; citation de la version anglaise de la loi omise; notes en bas de page omises.]</w:t>
      </w:r>
    </w:p>
    <w:p w:rsidR="00A767C7" w:rsidRPr="00A767C7" w:rsidRDefault="00A767C7" w:rsidP="00A767C7">
      <w:pPr>
        <w:pStyle w:val="Citation-AltC"/>
        <w:ind w:left="1260"/>
      </w:pPr>
    </w:p>
    <w:p w:rsidR="00A767C7" w:rsidRPr="00A767C7" w:rsidRDefault="00A767C7" w:rsidP="00A767C7">
      <w:pPr>
        <w:pStyle w:val="Citation-AltC"/>
        <w:tabs>
          <w:tab w:val="left" w:pos="1170"/>
        </w:tabs>
      </w:pPr>
      <w:r w:rsidRPr="00A767C7">
        <w:t>(2021 QCCA 906, par. 52, 57-58, 62-64 et 69-71 (CanLII))</w:t>
      </w:r>
    </w:p>
    <w:p w:rsidR="00A767C7" w:rsidRPr="00A767C7" w:rsidRDefault="00A767C7" w:rsidP="00A767C7">
      <w:pPr>
        <w:pStyle w:val="ParaNoNdepar-AltN"/>
      </w:pPr>
      <w:r w:rsidRPr="00A767C7">
        <w:t>Nous partageons son avis; cela suffit pour rejeter le pourvoi. Les autres moyens proposés par les appelants sont sans mérite.</w:t>
      </w:r>
    </w:p>
    <w:p w:rsidR="00A767C7" w:rsidRPr="00A767C7" w:rsidRDefault="00A767C7" w:rsidP="00A767C7">
      <w:pPr>
        <w:pStyle w:val="ParaNoNdepar-AltN"/>
        <w:rPr>
          <w:rStyle w:val="reflex2-link"/>
        </w:rPr>
      </w:pPr>
      <w:r w:rsidRPr="00A767C7">
        <w:rPr>
          <w:rStyle w:val="reflex2-link"/>
        </w:rPr>
        <w:t>Comme la Cour d’appel, nous concluons que l’intimée avait raison de cotiser M. Des Groseillers,</w:t>
      </w:r>
      <w:r w:rsidRPr="00A767C7">
        <w:rPr>
          <w:rFonts w:eastAsiaTheme="minorHAnsi"/>
        </w:rPr>
        <w:t xml:space="preserve"> </w:t>
      </w:r>
      <w:r w:rsidRPr="00A767C7">
        <w:t>en vertu de l’art. 50 L.I.</w:t>
      </w:r>
      <w:r w:rsidRPr="00A767C7">
        <w:rPr>
          <w:rStyle w:val="reflex2-link"/>
        </w:rPr>
        <w:t>, pour l’avantage reçu. En l’espèce, et sur la base du sous-par. 422</w:t>
      </w:r>
      <w:r w:rsidRPr="00A767C7">
        <w:rPr>
          <w:rStyle w:val="reflex2-link"/>
          <w:i/>
        </w:rPr>
        <w:t>c</w:t>
      </w:r>
      <w:proofErr w:type="gramStart"/>
      <w:r w:rsidRPr="00A767C7">
        <w:rPr>
          <w:rStyle w:val="reflex2-link"/>
        </w:rPr>
        <w:t>)ii</w:t>
      </w:r>
      <w:proofErr w:type="gramEnd"/>
      <w:r w:rsidRPr="00A767C7">
        <w:rPr>
          <w:rStyle w:val="reflex2-link"/>
        </w:rPr>
        <w:t xml:space="preserve"> L.I., la valeur de la contrepartie reçue est réputée égale à la juste valeur marchande des options d’achat d’actions au moment du don.</w:t>
      </w:r>
    </w:p>
    <w:p w:rsidR="00A767C7" w:rsidRPr="00A767C7" w:rsidRDefault="00A767C7" w:rsidP="00A767C7">
      <w:pPr>
        <w:pStyle w:val="ParaNoNdepar-AltN"/>
      </w:pPr>
      <w:r w:rsidRPr="00A767C7">
        <w:rPr>
          <w:rStyle w:val="reflex2-link"/>
        </w:rPr>
        <w:t>L’appel est donc rejeté, avec dépens devant toutes les cours.</w:t>
      </w:r>
    </w:p>
    <w:p w:rsidR="004D7D95" w:rsidRPr="00A767C7" w:rsidRDefault="004D7D95" w:rsidP="002F06B3">
      <w:pPr>
        <w:pStyle w:val="SCCNormalDoubleSpacing"/>
        <w:spacing w:after="480"/>
        <w:rPr>
          <w:i/>
          <w:lang w:val="fr-CA"/>
        </w:rPr>
      </w:pPr>
      <w:bookmarkStart w:id="2" w:name="_GoBack"/>
      <w:bookmarkEnd w:id="2"/>
      <w:r w:rsidRPr="00A767C7">
        <w:rPr>
          <w:lang w:val="fr-CA"/>
        </w:rPr>
        <w:tab/>
      </w:r>
      <w:r w:rsidR="00BF6577" w:rsidRPr="00A767C7">
        <w:rPr>
          <w:i/>
          <w:lang w:val="fr-CA"/>
        </w:rPr>
        <w:t>Pourvoi</w:t>
      </w:r>
      <w:r w:rsidR="00C65346" w:rsidRPr="00A767C7">
        <w:rPr>
          <w:i/>
          <w:lang w:val="fr-CA"/>
        </w:rPr>
        <w:t xml:space="preserve"> rejeté</w:t>
      </w:r>
      <w:r w:rsidR="00BD34D1" w:rsidRPr="00A767C7">
        <w:rPr>
          <w:i/>
          <w:lang w:val="fr-CA"/>
        </w:rPr>
        <w:t xml:space="preserve"> avec dépens</w:t>
      </w:r>
      <w:r w:rsidR="0056780C" w:rsidRPr="00A767C7">
        <w:rPr>
          <w:i/>
          <w:lang w:val="fr-CA"/>
        </w:rPr>
        <w:t xml:space="preserve"> devant toutes les cours</w:t>
      </w:r>
      <w:r w:rsidR="00FA7E71" w:rsidRPr="00A767C7">
        <w:rPr>
          <w:i/>
          <w:lang w:val="fr-CA"/>
        </w:rPr>
        <w:t>.</w:t>
      </w:r>
    </w:p>
    <w:p w:rsidR="000734C5" w:rsidRPr="00A767C7" w:rsidRDefault="00BF6577" w:rsidP="002F06B3">
      <w:pPr>
        <w:pStyle w:val="SCCLawFirm"/>
        <w:spacing w:after="480"/>
        <w:rPr>
          <w:lang w:val="fr-CA"/>
        </w:rPr>
      </w:pPr>
      <w:r w:rsidRPr="00A767C7">
        <w:rPr>
          <w:lang w:val="fr-CA"/>
        </w:rPr>
        <w:tab/>
        <w:t>Procureurs</w:t>
      </w:r>
      <w:r w:rsidR="001C2654" w:rsidRPr="00A767C7">
        <w:rPr>
          <w:lang w:val="fr-CA"/>
        </w:rPr>
        <w:t xml:space="preserve"> de</w:t>
      </w:r>
      <w:r w:rsidRPr="00A767C7">
        <w:rPr>
          <w:lang w:val="fr-CA"/>
        </w:rPr>
        <w:t>s appelants </w:t>
      </w:r>
      <w:r w:rsidR="001C2654" w:rsidRPr="00A767C7">
        <w:rPr>
          <w:lang w:val="fr-CA"/>
        </w:rPr>
        <w:t xml:space="preserve">: </w:t>
      </w:r>
      <w:r w:rsidRPr="00A767C7">
        <w:rPr>
          <w:lang w:val="fr-CA"/>
        </w:rPr>
        <w:t>Norton Rose Fulbright Canada</w:t>
      </w:r>
      <w:r w:rsidR="001C2654" w:rsidRPr="00A767C7">
        <w:rPr>
          <w:lang w:val="fr-CA"/>
        </w:rPr>
        <w:t>, Montréal.</w:t>
      </w:r>
    </w:p>
    <w:p w:rsidR="004D7D95" w:rsidRPr="000B4D9A" w:rsidRDefault="001C2654" w:rsidP="002F06B3">
      <w:pPr>
        <w:pStyle w:val="SCCLawFirm"/>
        <w:spacing w:after="480"/>
        <w:rPr>
          <w:lang w:val="fr-CA"/>
        </w:rPr>
      </w:pPr>
      <w:r w:rsidRPr="00A767C7">
        <w:rPr>
          <w:lang w:val="fr-CA"/>
        </w:rPr>
        <w:tab/>
        <w:t>Procureur</w:t>
      </w:r>
      <w:r w:rsidR="00BF6577" w:rsidRPr="00A767C7">
        <w:rPr>
          <w:lang w:val="fr-CA"/>
        </w:rPr>
        <w:t>s</w:t>
      </w:r>
      <w:r w:rsidRPr="00A767C7">
        <w:rPr>
          <w:lang w:val="fr-CA"/>
        </w:rPr>
        <w:t xml:space="preserve"> de l</w:t>
      </w:r>
      <w:r w:rsidR="00CA036D" w:rsidRPr="00A767C7">
        <w:rPr>
          <w:lang w:val="fr-CA"/>
        </w:rPr>
        <w:t>’</w:t>
      </w:r>
      <w:r w:rsidRPr="00A767C7">
        <w:rPr>
          <w:lang w:val="fr-CA"/>
        </w:rPr>
        <w:t>intimée</w:t>
      </w:r>
      <w:r w:rsidR="00BF6577" w:rsidRPr="00A767C7">
        <w:rPr>
          <w:lang w:val="fr-CA"/>
        </w:rPr>
        <w:t> </w:t>
      </w:r>
      <w:r w:rsidRPr="00A767C7">
        <w:rPr>
          <w:lang w:val="fr-CA"/>
        </w:rPr>
        <w:t>: Larivière Meunier</w:t>
      </w:r>
      <w:r w:rsidR="0056780C" w:rsidRPr="00A767C7">
        <w:rPr>
          <w:lang w:val="fr-CA"/>
        </w:rPr>
        <w:t xml:space="preserve"> (Revenu Québec)</w:t>
      </w:r>
      <w:r w:rsidRPr="00A767C7">
        <w:rPr>
          <w:lang w:val="fr-CA"/>
        </w:rPr>
        <w:t>, Montréal.</w:t>
      </w:r>
    </w:p>
    <w:sectPr w:rsidR="004D7D95" w:rsidRPr="000B4D9A" w:rsidSect="000648CC">
      <w:headerReference w:type="defaul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6F" w:rsidRDefault="00C93B6F">
      <w:r>
        <w:separator/>
      </w:r>
    </w:p>
  </w:endnote>
  <w:endnote w:type="continuationSeparator" w:id="0">
    <w:p w:rsidR="00C93B6F" w:rsidRDefault="00C9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6F" w:rsidRDefault="00C93B6F">
      <w:r>
        <w:separator/>
      </w:r>
    </w:p>
  </w:footnote>
  <w:footnote w:type="continuationSeparator" w:id="0">
    <w:p w:rsidR="00C93B6F" w:rsidRDefault="00C93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565ADC" w:rsidRDefault="00450352" w:rsidP="00565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734C5"/>
    <w:rsid w:val="00090581"/>
    <w:rsid w:val="000B4D9A"/>
    <w:rsid w:val="000C59B8"/>
    <w:rsid w:val="000C6AF0"/>
    <w:rsid w:val="000D0A77"/>
    <w:rsid w:val="000F7993"/>
    <w:rsid w:val="001013DF"/>
    <w:rsid w:val="00104F33"/>
    <w:rsid w:val="00111DE2"/>
    <w:rsid w:val="00116B38"/>
    <w:rsid w:val="00135406"/>
    <w:rsid w:val="00135972"/>
    <w:rsid w:val="001426A9"/>
    <w:rsid w:val="0015177B"/>
    <w:rsid w:val="00154D7C"/>
    <w:rsid w:val="001570B0"/>
    <w:rsid w:val="0015752C"/>
    <w:rsid w:val="00157737"/>
    <w:rsid w:val="00165277"/>
    <w:rsid w:val="00170592"/>
    <w:rsid w:val="001720F7"/>
    <w:rsid w:val="00195D83"/>
    <w:rsid w:val="001A00C1"/>
    <w:rsid w:val="001B33E0"/>
    <w:rsid w:val="001B4573"/>
    <w:rsid w:val="001C2654"/>
    <w:rsid w:val="001C779F"/>
    <w:rsid w:val="001D2AC1"/>
    <w:rsid w:val="001D4E88"/>
    <w:rsid w:val="00220FC2"/>
    <w:rsid w:val="002222F4"/>
    <w:rsid w:val="00224FC0"/>
    <w:rsid w:val="00225EA4"/>
    <w:rsid w:val="00226EAF"/>
    <w:rsid w:val="00231F3A"/>
    <w:rsid w:val="002358A9"/>
    <w:rsid w:val="002406EE"/>
    <w:rsid w:val="00243EC8"/>
    <w:rsid w:val="002464F5"/>
    <w:rsid w:val="002505A9"/>
    <w:rsid w:val="00270D93"/>
    <w:rsid w:val="002745CC"/>
    <w:rsid w:val="002B6FBE"/>
    <w:rsid w:val="002B7924"/>
    <w:rsid w:val="002C10A6"/>
    <w:rsid w:val="002D28C3"/>
    <w:rsid w:val="002D39A4"/>
    <w:rsid w:val="002E6705"/>
    <w:rsid w:val="002F06B3"/>
    <w:rsid w:val="0030329A"/>
    <w:rsid w:val="0031086F"/>
    <w:rsid w:val="0031414C"/>
    <w:rsid w:val="00314E01"/>
    <w:rsid w:val="0032089D"/>
    <w:rsid w:val="003310DE"/>
    <w:rsid w:val="003323B0"/>
    <w:rsid w:val="00340A49"/>
    <w:rsid w:val="0035169A"/>
    <w:rsid w:val="0035259D"/>
    <w:rsid w:val="00364B18"/>
    <w:rsid w:val="003A125D"/>
    <w:rsid w:val="003A4C70"/>
    <w:rsid w:val="003B0B36"/>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97356"/>
    <w:rsid w:val="004A3FE7"/>
    <w:rsid w:val="004A600C"/>
    <w:rsid w:val="004A6118"/>
    <w:rsid w:val="004C478D"/>
    <w:rsid w:val="004D7D95"/>
    <w:rsid w:val="004E2C26"/>
    <w:rsid w:val="005125A8"/>
    <w:rsid w:val="00517549"/>
    <w:rsid w:val="00520ABC"/>
    <w:rsid w:val="00521AE8"/>
    <w:rsid w:val="00527180"/>
    <w:rsid w:val="00555291"/>
    <w:rsid w:val="00565ADC"/>
    <w:rsid w:val="00566AD1"/>
    <w:rsid w:val="0056780C"/>
    <w:rsid w:val="00583EDE"/>
    <w:rsid w:val="005A6079"/>
    <w:rsid w:val="005E4698"/>
    <w:rsid w:val="005F192D"/>
    <w:rsid w:val="00603924"/>
    <w:rsid w:val="00610539"/>
    <w:rsid w:val="00613969"/>
    <w:rsid w:val="00625C35"/>
    <w:rsid w:val="0063037A"/>
    <w:rsid w:val="00647E49"/>
    <w:rsid w:val="00656313"/>
    <w:rsid w:val="006565F4"/>
    <w:rsid w:val="00684EEA"/>
    <w:rsid w:val="0069689B"/>
    <w:rsid w:val="006B5FF5"/>
    <w:rsid w:val="006F30AF"/>
    <w:rsid w:val="00701759"/>
    <w:rsid w:val="00705C15"/>
    <w:rsid w:val="007110F6"/>
    <w:rsid w:val="007208D1"/>
    <w:rsid w:val="00744518"/>
    <w:rsid w:val="00747288"/>
    <w:rsid w:val="00747DD3"/>
    <w:rsid w:val="00753FE5"/>
    <w:rsid w:val="007549C8"/>
    <w:rsid w:val="00766D14"/>
    <w:rsid w:val="00767A0F"/>
    <w:rsid w:val="00791272"/>
    <w:rsid w:val="007940C1"/>
    <w:rsid w:val="007A05F6"/>
    <w:rsid w:val="007B6F4A"/>
    <w:rsid w:val="007D0613"/>
    <w:rsid w:val="007E1C47"/>
    <w:rsid w:val="007E337A"/>
    <w:rsid w:val="007E5C70"/>
    <w:rsid w:val="007F2FF5"/>
    <w:rsid w:val="007F3F08"/>
    <w:rsid w:val="00804CC6"/>
    <w:rsid w:val="00817190"/>
    <w:rsid w:val="008260E2"/>
    <w:rsid w:val="008322BD"/>
    <w:rsid w:val="00834F73"/>
    <w:rsid w:val="00864C8A"/>
    <w:rsid w:val="00864CF8"/>
    <w:rsid w:val="00874914"/>
    <w:rsid w:val="00891422"/>
    <w:rsid w:val="00892E1A"/>
    <w:rsid w:val="008B660A"/>
    <w:rsid w:val="008C01DA"/>
    <w:rsid w:val="008F2674"/>
    <w:rsid w:val="008F78E9"/>
    <w:rsid w:val="009179F9"/>
    <w:rsid w:val="00917C7A"/>
    <w:rsid w:val="00933E5E"/>
    <w:rsid w:val="00935218"/>
    <w:rsid w:val="00937C52"/>
    <w:rsid w:val="009403F3"/>
    <w:rsid w:val="009555B7"/>
    <w:rsid w:val="009567AA"/>
    <w:rsid w:val="009602C9"/>
    <w:rsid w:val="00967374"/>
    <w:rsid w:val="009A343A"/>
    <w:rsid w:val="009B2F23"/>
    <w:rsid w:val="009B57B3"/>
    <w:rsid w:val="009D2920"/>
    <w:rsid w:val="009D5AEB"/>
    <w:rsid w:val="009F0E33"/>
    <w:rsid w:val="009F3AF8"/>
    <w:rsid w:val="00A149DF"/>
    <w:rsid w:val="00A1755C"/>
    <w:rsid w:val="00A21B90"/>
    <w:rsid w:val="00A22AAC"/>
    <w:rsid w:val="00A41805"/>
    <w:rsid w:val="00A51882"/>
    <w:rsid w:val="00A52AFB"/>
    <w:rsid w:val="00A548CB"/>
    <w:rsid w:val="00A5521C"/>
    <w:rsid w:val="00A643E7"/>
    <w:rsid w:val="00A73C38"/>
    <w:rsid w:val="00A767C7"/>
    <w:rsid w:val="00A921A7"/>
    <w:rsid w:val="00A97062"/>
    <w:rsid w:val="00AB670D"/>
    <w:rsid w:val="00AE0C51"/>
    <w:rsid w:val="00AF03C5"/>
    <w:rsid w:val="00B000D8"/>
    <w:rsid w:val="00B00F75"/>
    <w:rsid w:val="00B145B6"/>
    <w:rsid w:val="00B279EB"/>
    <w:rsid w:val="00B50C81"/>
    <w:rsid w:val="00B557F8"/>
    <w:rsid w:val="00B57986"/>
    <w:rsid w:val="00B57B16"/>
    <w:rsid w:val="00B65DE4"/>
    <w:rsid w:val="00B815FC"/>
    <w:rsid w:val="00B93FBC"/>
    <w:rsid w:val="00BA7DA0"/>
    <w:rsid w:val="00BB2EE4"/>
    <w:rsid w:val="00BB4C92"/>
    <w:rsid w:val="00BB749A"/>
    <w:rsid w:val="00BC2108"/>
    <w:rsid w:val="00BD0E9E"/>
    <w:rsid w:val="00BD1BEC"/>
    <w:rsid w:val="00BD32FF"/>
    <w:rsid w:val="00BD34D1"/>
    <w:rsid w:val="00BF6577"/>
    <w:rsid w:val="00BF6FE9"/>
    <w:rsid w:val="00C02092"/>
    <w:rsid w:val="00C24D91"/>
    <w:rsid w:val="00C26DB2"/>
    <w:rsid w:val="00C53F14"/>
    <w:rsid w:val="00C600CF"/>
    <w:rsid w:val="00C6084F"/>
    <w:rsid w:val="00C62A66"/>
    <w:rsid w:val="00C65346"/>
    <w:rsid w:val="00C66359"/>
    <w:rsid w:val="00C71458"/>
    <w:rsid w:val="00C77613"/>
    <w:rsid w:val="00C828E7"/>
    <w:rsid w:val="00C85CCF"/>
    <w:rsid w:val="00C86719"/>
    <w:rsid w:val="00C921DD"/>
    <w:rsid w:val="00C93B6F"/>
    <w:rsid w:val="00C964C9"/>
    <w:rsid w:val="00CA036D"/>
    <w:rsid w:val="00CA6391"/>
    <w:rsid w:val="00CE036E"/>
    <w:rsid w:val="00CE3171"/>
    <w:rsid w:val="00CF1601"/>
    <w:rsid w:val="00D0172F"/>
    <w:rsid w:val="00D01E33"/>
    <w:rsid w:val="00D068A7"/>
    <w:rsid w:val="00D17476"/>
    <w:rsid w:val="00D17B0E"/>
    <w:rsid w:val="00D32086"/>
    <w:rsid w:val="00D329AF"/>
    <w:rsid w:val="00D37A3F"/>
    <w:rsid w:val="00D4431D"/>
    <w:rsid w:val="00D4667A"/>
    <w:rsid w:val="00D63A1C"/>
    <w:rsid w:val="00D7516F"/>
    <w:rsid w:val="00D95F8E"/>
    <w:rsid w:val="00DA0590"/>
    <w:rsid w:val="00DC1739"/>
    <w:rsid w:val="00DC1788"/>
    <w:rsid w:val="00DD4BC7"/>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7266C"/>
    <w:rsid w:val="00E97830"/>
    <w:rsid w:val="00ED069A"/>
    <w:rsid w:val="00EE0830"/>
    <w:rsid w:val="00EE6CB8"/>
    <w:rsid w:val="00EF0683"/>
    <w:rsid w:val="00F0070C"/>
    <w:rsid w:val="00F00EB7"/>
    <w:rsid w:val="00F22A78"/>
    <w:rsid w:val="00F36AB6"/>
    <w:rsid w:val="00F37A09"/>
    <w:rsid w:val="00F409CE"/>
    <w:rsid w:val="00F4379D"/>
    <w:rsid w:val="00F50D2D"/>
    <w:rsid w:val="00F56C8B"/>
    <w:rsid w:val="00F62639"/>
    <w:rsid w:val="00F66810"/>
    <w:rsid w:val="00F84DF4"/>
    <w:rsid w:val="00F85C97"/>
    <w:rsid w:val="00FA7E71"/>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reflex2-link">
    <w:name w:val="reflex2-link"/>
    <w:basedOn w:val="DefaultParagraphFont"/>
    <w:rsid w:val="0015177B"/>
  </w:style>
  <w:style w:type="character" w:styleId="Hyperlink">
    <w:name w:val="Hyperlink"/>
    <w:basedOn w:val="DefaultParagraphFont"/>
    <w:uiPriority w:val="99"/>
    <w:unhideWhenUsed/>
    <w:rsid w:val="004A3FE7"/>
    <w:rPr>
      <w:color w:val="660000"/>
      <w:u w:val="none"/>
    </w:rPr>
  </w:style>
  <w:style w:type="character" w:styleId="FollowedHyperlink">
    <w:name w:val="FollowedHyperlink"/>
    <w:basedOn w:val="DefaultParagraphFont"/>
    <w:uiPriority w:val="99"/>
    <w:semiHidden/>
    <w:unhideWhenUsed/>
    <w:rsid w:val="004A3FE7"/>
    <w:rPr>
      <w:color w:val="800080" w:themeColor="followedHyperlink"/>
      <w:u w:val="single"/>
    </w:rPr>
  </w:style>
  <w:style w:type="paragraph" w:customStyle="1" w:styleId="Citation-AltC">
    <w:name w:val="Citation - Alt C"/>
    <w:uiPriority w:val="2"/>
    <w:qFormat/>
    <w:rsid w:val="00A767C7"/>
    <w:pPr>
      <w:spacing w:after="720"/>
      <w:ind w:left="1166"/>
      <w:contextualSpacing/>
      <w:jc w:val="both"/>
    </w:pPr>
    <w:rPr>
      <w:sz w:val="24"/>
      <w:lang w:val="fr-CA"/>
    </w:rPr>
  </w:style>
  <w:style w:type="paragraph" w:customStyle="1" w:styleId="JudgeJuge">
    <w:name w:val="Judge / Juge"/>
    <w:uiPriority w:val="3"/>
    <w:rsid w:val="00A767C7"/>
    <w:pPr>
      <w:tabs>
        <w:tab w:val="left" w:pos="1166"/>
      </w:tabs>
      <w:spacing w:after="480" w:line="480" w:lineRule="auto"/>
    </w:pPr>
    <w:rPr>
      <w:smallCaps/>
      <w:sz w:val="24"/>
      <w:lang w:val="fr-CA"/>
    </w:rPr>
  </w:style>
  <w:style w:type="paragraph" w:customStyle="1" w:styleId="ParaNoNdepar-AltN">
    <w:name w:val="Para. No. / Nº de par. - Alt N"/>
    <w:qFormat/>
    <w:rsid w:val="00A767C7"/>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table" w:styleId="TableGrid">
    <w:name w:val="Table Grid"/>
    <w:basedOn w:val="TableNormal"/>
    <w:uiPriority w:val="59"/>
    <w:rsid w:val="00A767C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yperlink" Target="https://www.canlii.org/fr/qc/legis/lois/rlrq-c-i-3/derniere/rlrq-c-i-3.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anlii.org/fr/qc/legis/lois/rlrq-c-i-3/derniere/rlrq-c-i-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fr/qc/legis/lois/rlrq-c-i-3/derniere/rlrq-c-i-3.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anlii.org/fr/qc/legis/lois/rlrq-c-i-3/derniere/rlrq-c-i-3.html" TargetMode="External"/><Relationship Id="rId4" Type="http://schemas.openxmlformats.org/officeDocument/2006/relationships/webSettings" Target="webSettings.xml"/><Relationship Id="rId9" Type="http://schemas.openxmlformats.org/officeDocument/2006/relationships/hyperlink" Target="http://citoyens.soquij.qc.ca/php/decision.php?ID=8F95AFEF3F8EC3ECEEC916B09875C5A1&amp;captchaToken=03AEkXODA24qr1DkcFsa_9948m__Z4GLN54_ZkHqLUrNI--d3XZZd2WGX-IMUMFjHjyYIEasu4aAk_eOMR8c2zpy3NlNKgQlNHRnFXlhIrpYxCf0w5PkjdwSaETzpQy7T6OgDPS_4Swvl2LXuSUWHNZYGIuhOfrNzpMfdt4PyEMtfeitKSlXhYTLA0NU0stpY8W9ldrMFpQ8Y_4I1mhEb_Gn1r_HP2p3TJN21OuWmO-zlF1q-sga1W9lMoCs7jfFD6Lgl68ES1lj-AqaS3unS6k5-MPUSYcHavil7tY16SBdwKQfeqYckfDzZ-lxwaYr0Kt-79vx4Qh3-g4blwuhywFkIUPmb9WImIZi754n1nqZe_VQJ0xG6S06TiciCmS1B46lPVx5JedrYmwJqFVt_TpDSexUlViJH9VL36O-4ysmd3FGqWWXe2I7gZ-KIv-ochg7R0XFugbl6fZtJpPBZAN0BVCRokei1ISMAyOrP6QlsjRjoZMf2Pc6_nR30McpSXIcJpwNUCoQC8Ufk-LRRyxHrpQ_FLJHu-CQ" TargetMode="External"/><Relationship Id="rId14" Type="http://schemas.openxmlformats.org/officeDocument/2006/relationships/hyperlink" Target="https://www.canlii.org/fr/qc/legis/lois/rlrq-c-i-3/derniere/rlrq-c-i-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8136</Characters>
  <Application>Microsoft Office Word</Application>
  <DocSecurity>0</DocSecurity>
  <Lines>67</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2022-11-16T16:41:00Z</dcterms:created>
  <dcterms:modified xsi:type="dcterms:W3CDTF">2022-11-17T15:18:00Z</dcterms:modified>
</cp:coreProperties>
</file>