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316C8D" w:rsidRPr="00316C8D" w:rsidTr="00F725B0">
        <w:trPr>
          <w:trHeight w:val="1786"/>
        </w:trPr>
        <w:tc>
          <w:tcPr>
            <w:tcW w:w="5000" w:type="pct"/>
            <w:gridSpan w:val="4"/>
          </w:tcPr>
          <w:p w:rsidR="00316C8D" w:rsidRPr="00316C8D" w:rsidRDefault="00316C8D" w:rsidP="00316C8D">
            <w:pPr>
              <w:jc w:val="center"/>
              <w:rPr>
                <w:b/>
                <w:lang w:val="fr-CA"/>
              </w:rPr>
            </w:pPr>
            <w:r w:rsidRPr="00316C8D">
              <w:rPr>
                <w:b/>
                <w:noProof/>
              </w:rPr>
              <w:drawing>
                <wp:inline distT="0" distB="0" distL="0" distR="0" wp14:anchorId="45E63567" wp14:editId="2B9B93D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316C8D" w:rsidRPr="00316C8D" w:rsidRDefault="00316C8D" w:rsidP="00316C8D">
            <w:pPr>
              <w:spacing w:before="120" w:after="100" w:afterAutospacing="1"/>
              <w:jc w:val="center"/>
              <w:rPr>
                <w:lang w:val="fr-CA"/>
              </w:rPr>
            </w:pPr>
            <w:r w:rsidRPr="00316C8D">
              <w:rPr>
                <w:b/>
                <w:lang w:val="fr-CA"/>
              </w:rPr>
              <w:t>COUR SUPRÊME DU CANADA</w:t>
            </w:r>
          </w:p>
        </w:tc>
      </w:tr>
      <w:tr w:rsidR="00316C8D" w:rsidRPr="00316C8D" w:rsidTr="00316C8D">
        <w:tblPrEx>
          <w:tblCellMar>
            <w:top w:w="58" w:type="dxa"/>
            <w:left w:w="58" w:type="dxa"/>
            <w:bottom w:w="58" w:type="dxa"/>
            <w:right w:w="58" w:type="dxa"/>
          </w:tblCellMar>
        </w:tblPrEx>
        <w:trPr>
          <w:cantSplit/>
        </w:trPr>
        <w:tc>
          <w:tcPr>
            <w:tcW w:w="2110" w:type="pct"/>
            <w:gridSpan w:val="2"/>
          </w:tcPr>
          <w:p w:rsidR="00316C8D" w:rsidRPr="00316C8D" w:rsidRDefault="00316C8D" w:rsidP="00316C8D">
            <w:pPr>
              <w:rPr>
                <w:b/>
                <w:smallCaps/>
                <w:lang w:val="fr-CA"/>
              </w:rPr>
            </w:pPr>
          </w:p>
          <w:p w:rsidR="00316C8D" w:rsidRPr="00316C8D" w:rsidRDefault="00316C8D" w:rsidP="00316C8D">
            <w:pPr>
              <w:rPr>
                <w:b/>
                <w:smallCaps/>
                <w:lang w:val="fr-CA"/>
              </w:rPr>
            </w:pPr>
            <w:r w:rsidRPr="00316C8D">
              <w:rPr>
                <w:b/>
                <w:smallCaps/>
                <w:lang w:val="fr-CA"/>
              </w:rPr>
              <w:t>Référence :</w:t>
            </w:r>
            <w:r w:rsidRPr="00316C8D">
              <w:rPr>
                <w:lang w:val="fr-CA"/>
              </w:rPr>
              <w:t xml:space="preserve"> R. </w:t>
            </w:r>
            <w:r w:rsidRPr="00316C8D">
              <w:rPr>
                <w:i/>
                <w:lang w:val="fr-CA"/>
              </w:rPr>
              <w:t>c.</w:t>
            </w:r>
            <w:r w:rsidRPr="00316C8D">
              <w:rPr>
                <w:lang w:val="fr-CA"/>
              </w:rPr>
              <w:t xml:space="preserve"> Dare, 2022 CSC 47</w:t>
            </w:r>
          </w:p>
        </w:tc>
        <w:tc>
          <w:tcPr>
            <w:tcW w:w="893" w:type="pct"/>
          </w:tcPr>
          <w:p w:rsidR="00316C8D" w:rsidRPr="00316C8D" w:rsidRDefault="00316C8D" w:rsidP="00316C8D">
            <w:pPr>
              <w:rPr>
                <w:lang w:val="fr-CA"/>
              </w:rPr>
            </w:pPr>
          </w:p>
        </w:tc>
        <w:tc>
          <w:tcPr>
            <w:tcW w:w="1997" w:type="pct"/>
          </w:tcPr>
          <w:p w:rsidR="00316C8D" w:rsidRPr="00316C8D" w:rsidRDefault="00316C8D" w:rsidP="00316C8D">
            <w:pPr>
              <w:jc w:val="both"/>
              <w:rPr>
                <w:b/>
                <w:smallCaps/>
                <w:lang w:val="fr-CA"/>
              </w:rPr>
            </w:pPr>
          </w:p>
          <w:p w:rsidR="00316C8D" w:rsidRPr="00316C8D" w:rsidRDefault="00316C8D" w:rsidP="00316C8D">
            <w:pPr>
              <w:jc w:val="both"/>
              <w:rPr>
                <w:lang w:val="fr-CA"/>
              </w:rPr>
            </w:pPr>
            <w:r w:rsidRPr="00316C8D">
              <w:rPr>
                <w:b/>
                <w:smallCaps/>
                <w:lang w:val="fr-CA"/>
              </w:rPr>
              <w:t>Appel entendu :</w:t>
            </w:r>
            <w:r w:rsidRPr="00316C8D">
              <w:rPr>
                <w:lang w:val="fr-CA"/>
              </w:rPr>
              <w:t xml:space="preserve"> 17 mai 2022</w:t>
            </w:r>
          </w:p>
          <w:p w:rsidR="00316C8D" w:rsidRPr="00316C8D" w:rsidRDefault="00316C8D" w:rsidP="00316C8D">
            <w:pPr>
              <w:rPr>
                <w:lang w:val="fr-CA"/>
              </w:rPr>
            </w:pPr>
            <w:r w:rsidRPr="00316C8D">
              <w:rPr>
                <w:b/>
                <w:smallCaps/>
                <w:lang w:val="fr-CA"/>
              </w:rPr>
              <w:t>Jugement rendu :</w:t>
            </w:r>
            <w:r w:rsidRPr="00316C8D">
              <w:rPr>
                <w:lang w:val="fr-CA"/>
              </w:rPr>
              <w:t xml:space="preserve"> 24 novembre 2022</w:t>
            </w:r>
          </w:p>
          <w:p w:rsidR="00316C8D" w:rsidRPr="00316C8D" w:rsidRDefault="00316C8D" w:rsidP="00316C8D">
            <w:pPr>
              <w:rPr>
                <w:lang w:val="fr-CA"/>
              </w:rPr>
            </w:pPr>
            <w:r w:rsidRPr="00316C8D">
              <w:rPr>
                <w:b/>
                <w:smallCaps/>
                <w:lang w:val="fr-CA"/>
              </w:rPr>
              <w:t>Dossier :</w:t>
            </w:r>
            <w:r w:rsidRPr="00316C8D">
              <w:rPr>
                <w:lang w:val="fr-CA"/>
              </w:rPr>
              <w:t xml:space="preserve"> 39871</w:t>
            </w:r>
          </w:p>
        </w:tc>
      </w:tr>
      <w:tr w:rsidR="00316C8D" w:rsidRPr="00316C8D" w:rsidTr="00F725B0">
        <w:tblPrEx>
          <w:tblCellMar>
            <w:top w:w="58" w:type="dxa"/>
            <w:left w:w="58" w:type="dxa"/>
            <w:bottom w:w="58" w:type="dxa"/>
            <w:right w:w="58" w:type="dxa"/>
          </w:tblCellMar>
        </w:tblPrEx>
        <w:trPr>
          <w:cantSplit/>
        </w:trPr>
        <w:tc>
          <w:tcPr>
            <w:tcW w:w="5000" w:type="pct"/>
            <w:gridSpan w:val="4"/>
          </w:tcPr>
          <w:p w:rsidR="00316C8D" w:rsidRPr="00316C8D" w:rsidRDefault="00316C8D" w:rsidP="00316C8D">
            <w:pPr>
              <w:rPr>
                <w:lang w:val="fr-CA"/>
              </w:rPr>
            </w:pPr>
          </w:p>
          <w:p w:rsidR="00316C8D" w:rsidRPr="00316C8D" w:rsidRDefault="00316C8D" w:rsidP="00316C8D">
            <w:pPr>
              <w:rPr>
                <w:b/>
                <w:smallCaps/>
                <w:lang w:val="fr-CA"/>
              </w:rPr>
            </w:pPr>
            <w:r w:rsidRPr="00316C8D">
              <w:rPr>
                <w:b/>
                <w:smallCaps/>
                <w:lang w:val="fr-CA"/>
              </w:rPr>
              <w:t>Entre :</w:t>
            </w:r>
          </w:p>
          <w:p w:rsidR="00316C8D" w:rsidRPr="00316C8D" w:rsidRDefault="00316C8D" w:rsidP="00316C8D">
            <w:pPr>
              <w:rPr>
                <w:b/>
                <w:smallCaps/>
                <w:lang w:val="fr-CA"/>
              </w:rPr>
            </w:pPr>
          </w:p>
          <w:p w:rsidR="00316C8D" w:rsidRPr="00316C8D" w:rsidRDefault="00316C8D" w:rsidP="00316C8D">
            <w:pPr>
              <w:jc w:val="center"/>
              <w:rPr>
                <w:b/>
                <w:lang w:val="fr-CA"/>
              </w:rPr>
            </w:pPr>
            <w:r w:rsidRPr="00316C8D">
              <w:rPr>
                <w:b/>
                <w:lang w:val="fr-CA"/>
              </w:rPr>
              <w:t>Temitope Dare</w:t>
            </w:r>
          </w:p>
          <w:p w:rsidR="00316C8D" w:rsidRPr="00316C8D" w:rsidRDefault="00316C8D" w:rsidP="00316C8D">
            <w:pPr>
              <w:jc w:val="center"/>
              <w:rPr>
                <w:lang w:val="fr-CA"/>
              </w:rPr>
            </w:pPr>
            <w:r w:rsidRPr="00316C8D">
              <w:rPr>
                <w:lang w:val="fr-CA"/>
              </w:rPr>
              <w:t>Appelant</w:t>
            </w:r>
          </w:p>
          <w:p w:rsidR="00316C8D" w:rsidRPr="00316C8D" w:rsidRDefault="00316C8D" w:rsidP="00316C8D">
            <w:pPr>
              <w:rPr>
                <w:lang w:val="fr-CA"/>
              </w:rPr>
            </w:pPr>
          </w:p>
          <w:p w:rsidR="00316C8D" w:rsidRPr="00316C8D" w:rsidRDefault="00316C8D" w:rsidP="00316C8D">
            <w:pPr>
              <w:jc w:val="center"/>
              <w:rPr>
                <w:lang w:val="fr-CA"/>
              </w:rPr>
            </w:pPr>
            <w:r w:rsidRPr="00316C8D">
              <w:rPr>
                <w:lang w:val="fr-CA"/>
              </w:rPr>
              <w:t>et</w:t>
            </w:r>
          </w:p>
          <w:p w:rsidR="00316C8D" w:rsidRPr="00316C8D" w:rsidRDefault="00316C8D" w:rsidP="00316C8D">
            <w:pPr>
              <w:rPr>
                <w:lang w:val="fr-CA"/>
              </w:rPr>
            </w:pPr>
          </w:p>
          <w:p w:rsidR="00316C8D" w:rsidRPr="00316C8D" w:rsidRDefault="00316C8D" w:rsidP="00316C8D">
            <w:pPr>
              <w:jc w:val="center"/>
              <w:rPr>
                <w:b/>
                <w:lang w:val="fr-CA"/>
              </w:rPr>
            </w:pPr>
            <w:r w:rsidRPr="00316C8D">
              <w:rPr>
                <w:b/>
                <w:lang w:val="fr-CA"/>
              </w:rPr>
              <w:t>Sa Majesté le Roi</w:t>
            </w:r>
          </w:p>
          <w:p w:rsidR="00316C8D" w:rsidRPr="00316C8D" w:rsidRDefault="00316C8D" w:rsidP="00316C8D">
            <w:pPr>
              <w:jc w:val="center"/>
              <w:rPr>
                <w:lang w:val="fr-CA"/>
              </w:rPr>
            </w:pPr>
            <w:r w:rsidRPr="00316C8D">
              <w:rPr>
                <w:lang w:val="fr-CA"/>
              </w:rPr>
              <w:t>Intimé</w:t>
            </w:r>
          </w:p>
          <w:p w:rsidR="00316C8D" w:rsidRPr="00316C8D" w:rsidRDefault="00316C8D" w:rsidP="00316C8D">
            <w:pPr>
              <w:rPr>
                <w:lang w:val="fr-CA"/>
              </w:rPr>
            </w:pPr>
          </w:p>
          <w:p w:rsidR="00316C8D" w:rsidRPr="00316C8D" w:rsidRDefault="00316C8D" w:rsidP="00316C8D">
            <w:pPr>
              <w:jc w:val="center"/>
              <w:rPr>
                <w:lang w:val="fr-CA"/>
              </w:rPr>
            </w:pPr>
            <w:r w:rsidRPr="00316C8D">
              <w:rPr>
                <w:lang w:val="fr-CA"/>
              </w:rPr>
              <w:t>- et -</w:t>
            </w:r>
          </w:p>
          <w:p w:rsidR="00316C8D" w:rsidRPr="00316C8D" w:rsidRDefault="00316C8D" w:rsidP="00316C8D">
            <w:pPr>
              <w:rPr>
                <w:lang w:val="fr-CA"/>
              </w:rPr>
            </w:pPr>
          </w:p>
          <w:p w:rsidR="00316C8D" w:rsidRPr="00316C8D" w:rsidRDefault="00316C8D" w:rsidP="00316C8D">
            <w:pPr>
              <w:jc w:val="center"/>
              <w:rPr>
                <w:b/>
                <w:lang w:val="fr-CA"/>
              </w:rPr>
            </w:pPr>
            <w:r w:rsidRPr="00316C8D">
              <w:rPr>
                <w:b/>
                <w:lang w:val="fr-CA"/>
              </w:rPr>
              <w:t xml:space="preserve">Directrice des poursuites pénales, Criminal Lawyers’ Association of Ontario, British Columbia Civil Liberties Association et </w:t>
            </w:r>
            <w:r w:rsidRPr="00316C8D">
              <w:rPr>
                <w:b/>
                <w:bCs/>
                <w:lang w:val="fr-CA"/>
              </w:rPr>
              <w:t>Association canadienne des libertés civiles</w:t>
            </w:r>
          </w:p>
          <w:p w:rsidR="00316C8D" w:rsidRPr="00316C8D" w:rsidRDefault="00316C8D" w:rsidP="00316C8D">
            <w:pPr>
              <w:jc w:val="center"/>
              <w:rPr>
                <w:lang w:val="fr-CA"/>
              </w:rPr>
            </w:pPr>
            <w:r w:rsidRPr="00316C8D">
              <w:rPr>
                <w:lang w:val="fr-CA"/>
              </w:rPr>
              <w:t>Intervenantes</w:t>
            </w:r>
          </w:p>
          <w:p w:rsidR="00316C8D" w:rsidRPr="00316C8D" w:rsidRDefault="00316C8D" w:rsidP="00316C8D">
            <w:pPr>
              <w:rPr>
                <w:lang w:val="fr-CA"/>
              </w:rPr>
            </w:pPr>
          </w:p>
          <w:p w:rsidR="00316C8D" w:rsidRPr="00316C8D" w:rsidRDefault="00316C8D" w:rsidP="00316C8D">
            <w:pPr>
              <w:jc w:val="center"/>
              <w:rPr>
                <w:b/>
                <w:smallCaps/>
                <w:lang w:val="fr-CA"/>
              </w:rPr>
            </w:pPr>
            <w:r w:rsidRPr="00316C8D">
              <w:rPr>
                <w:b/>
                <w:smallCaps/>
                <w:lang w:val="fr-CA"/>
              </w:rPr>
              <w:t>Traduction française officielle</w:t>
            </w:r>
          </w:p>
          <w:p w:rsidR="00316C8D" w:rsidRPr="00316C8D" w:rsidRDefault="00316C8D" w:rsidP="00316C8D">
            <w:pPr>
              <w:rPr>
                <w:lang w:val="fr-CA"/>
              </w:rPr>
            </w:pPr>
          </w:p>
          <w:p w:rsidR="00316C8D" w:rsidRPr="00316C8D" w:rsidRDefault="00316C8D" w:rsidP="00316C8D">
            <w:pPr>
              <w:rPr>
                <w:lang w:val="fr-CA"/>
              </w:rPr>
            </w:pPr>
            <w:r w:rsidRPr="00316C8D">
              <w:rPr>
                <w:b/>
                <w:smallCaps/>
                <w:lang w:val="fr-CA"/>
              </w:rPr>
              <w:t>Coram :</w:t>
            </w:r>
            <w:r w:rsidRPr="00316C8D">
              <w:rPr>
                <w:lang w:val="fr-CA"/>
              </w:rPr>
              <w:t xml:space="preserve"> Le juge en chef Wagner et les juges Moldaver, Karakatsanis, Côté, Brown, Rowe, Martin, Kasirer et Jamal</w:t>
            </w:r>
          </w:p>
          <w:p w:rsidR="00316C8D" w:rsidRPr="00316C8D" w:rsidRDefault="00316C8D" w:rsidP="00316C8D">
            <w:pPr>
              <w:jc w:val="both"/>
              <w:rPr>
                <w:b/>
                <w:smallCaps/>
                <w:lang w:val="fr-CA"/>
              </w:rPr>
            </w:pPr>
          </w:p>
        </w:tc>
      </w:tr>
      <w:tr w:rsidR="00316C8D" w:rsidRPr="00316C8D" w:rsidTr="00316C8D">
        <w:tblPrEx>
          <w:tblCellMar>
            <w:top w:w="58" w:type="dxa"/>
            <w:left w:w="58" w:type="dxa"/>
            <w:bottom w:w="58" w:type="dxa"/>
            <w:right w:w="58" w:type="dxa"/>
          </w:tblCellMar>
        </w:tblPrEx>
        <w:trPr>
          <w:cantSplit/>
        </w:trPr>
        <w:tc>
          <w:tcPr>
            <w:tcW w:w="1250" w:type="pct"/>
          </w:tcPr>
          <w:p w:rsidR="00316C8D" w:rsidRPr="00316C8D" w:rsidRDefault="00316C8D" w:rsidP="00316C8D">
            <w:pPr>
              <w:rPr>
                <w:b/>
                <w:smallCaps/>
                <w:lang w:val="fr-CA"/>
              </w:rPr>
            </w:pPr>
            <w:r w:rsidRPr="00316C8D">
              <w:rPr>
                <w:b/>
                <w:smallCaps/>
                <w:lang w:val="fr-CA"/>
              </w:rPr>
              <w:t>Motifs de jugement :</w:t>
            </w:r>
          </w:p>
          <w:p w:rsidR="00316C8D" w:rsidRPr="00316C8D" w:rsidRDefault="00316C8D" w:rsidP="00316C8D">
            <w:pPr>
              <w:rPr>
                <w:lang w:val="fr-CA"/>
              </w:rPr>
            </w:pPr>
            <w:r w:rsidRPr="00316C8D">
              <w:rPr>
                <w:lang w:val="fr-CA"/>
              </w:rPr>
              <w:t>(par. 1 à 7)</w:t>
            </w:r>
          </w:p>
        </w:tc>
        <w:tc>
          <w:tcPr>
            <w:tcW w:w="3750" w:type="pct"/>
            <w:gridSpan w:val="3"/>
          </w:tcPr>
          <w:p w:rsidR="00316C8D" w:rsidRPr="00316C8D" w:rsidRDefault="00316C8D" w:rsidP="00316C8D">
            <w:pPr>
              <w:rPr>
                <w:lang w:val="fr-CA"/>
              </w:rPr>
            </w:pPr>
            <w:r w:rsidRPr="00316C8D">
              <w:rPr>
                <w:lang w:val="fr-CA"/>
              </w:rPr>
              <w:t>La juge Karakatsanis (avec l’accord du juge en chef Wagner et des juges Moldaver, Côté, Brown, Rowe, Martin, Kasirer et Jamal)</w:t>
            </w:r>
          </w:p>
        </w:tc>
      </w:tr>
    </w:tbl>
    <w:p w:rsidR="00316C8D" w:rsidRPr="00316C8D" w:rsidRDefault="00316C8D" w:rsidP="00316C8D">
      <w:pPr>
        <w:rPr>
          <w:rFonts w:eastAsiaTheme="minorHAnsi" w:cstheme="minorBidi"/>
          <w:szCs w:val="24"/>
          <w:lang w:val="fr-CA" w:eastAsia="en-US"/>
        </w:rPr>
      </w:pPr>
    </w:p>
    <w:p w:rsidR="00316C8D" w:rsidRPr="00316C8D" w:rsidRDefault="00316C8D" w:rsidP="00316C8D">
      <w:pPr>
        <w:rPr>
          <w:rFonts w:eastAsiaTheme="minorHAnsi" w:cstheme="minorBidi"/>
          <w:szCs w:val="24"/>
          <w:lang w:val="fr-CA" w:eastAsia="en-US"/>
        </w:rPr>
      </w:pPr>
    </w:p>
    <w:p w:rsidR="00316C8D" w:rsidRPr="00316C8D" w:rsidRDefault="00316C8D" w:rsidP="00316C8D">
      <w:pPr>
        <w:rPr>
          <w:rFonts w:eastAsiaTheme="minorHAnsi" w:cstheme="minorBidi"/>
          <w:szCs w:val="24"/>
          <w:lang w:val="fr-CA" w:eastAsia="en-US"/>
        </w:rPr>
      </w:pPr>
      <w:r w:rsidRPr="00316C8D">
        <w:rPr>
          <w:rFonts w:eastAsiaTheme="minorHAnsi" w:cstheme="minorBidi"/>
          <w:b/>
          <w:smallCaps/>
          <w:szCs w:val="24"/>
          <w:lang w:val="fr-CA" w:eastAsia="en-US"/>
        </w:rPr>
        <w:t>Note :</w:t>
      </w:r>
      <w:r w:rsidRPr="00316C8D">
        <w:rPr>
          <w:rFonts w:eastAsiaTheme="minorHAnsi" w:cstheme="minorBidi"/>
          <w:b/>
          <w:szCs w:val="24"/>
          <w:lang w:val="fr-CA" w:eastAsia="en-US"/>
        </w:rPr>
        <w:t xml:space="preserve"> </w:t>
      </w:r>
      <w:r w:rsidRPr="00316C8D">
        <w:rPr>
          <w:rFonts w:eastAsiaTheme="minorHAnsi" w:cstheme="minorBidi"/>
          <w:szCs w:val="24"/>
          <w:lang w:val="fr-CA" w:eastAsia="en-US"/>
        </w:rPr>
        <w:t>Ce doc</w:t>
      </w:r>
      <w:bookmarkStart w:id="0" w:name="_GoBack"/>
      <w:bookmarkEnd w:id="0"/>
      <w:r w:rsidRPr="00316C8D">
        <w:rPr>
          <w:rFonts w:eastAsiaTheme="minorHAnsi" w:cstheme="minorBidi"/>
          <w:szCs w:val="24"/>
          <w:lang w:val="fr-CA" w:eastAsia="en-US"/>
        </w:rPr>
        <w:t xml:space="preserve">ument fera l’objet de retouches de forme avant la parution de sa version définitive dans le </w:t>
      </w:r>
      <w:r w:rsidRPr="00316C8D">
        <w:rPr>
          <w:rFonts w:eastAsiaTheme="minorHAnsi" w:cstheme="minorBidi"/>
          <w:i/>
          <w:szCs w:val="24"/>
          <w:lang w:val="fr-CA" w:eastAsia="en-US"/>
        </w:rPr>
        <w:t>Recueil des arrêts de la Cour suprême du Canada</w:t>
      </w:r>
      <w:r w:rsidRPr="00316C8D">
        <w:rPr>
          <w:rFonts w:eastAsiaTheme="minorHAnsi" w:cstheme="minorBidi"/>
          <w:szCs w:val="24"/>
          <w:lang w:val="fr-CA" w:eastAsia="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316C8D" w:rsidRPr="00316C8D" w:rsidTr="00F725B0">
        <w:tc>
          <w:tcPr>
            <w:tcW w:w="1500" w:type="pct"/>
            <w:tcMar>
              <w:top w:w="284" w:type="dxa"/>
            </w:tcMar>
          </w:tcPr>
          <w:p w:rsidR="00316C8D" w:rsidRPr="00316C8D" w:rsidRDefault="00316C8D" w:rsidP="00316C8D">
            <w:pPr>
              <w:rPr>
                <w:lang w:val="fr-CA"/>
              </w:rPr>
            </w:pPr>
          </w:p>
        </w:tc>
        <w:tc>
          <w:tcPr>
            <w:tcW w:w="2000" w:type="pct"/>
            <w:tcBorders>
              <w:bottom w:val="single" w:sz="4" w:space="0" w:color="auto"/>
            </w:tcBorders>
            <w:tcMar>
              <w:top w:w="284" w:type="dxa"/>
            </w:tcMar>
          </w:tcPr>
          <w:p w:rsidR="00316C8D" w:rsidRPr="00316C8D" w:rsidRDefault="00316C8D" w:rsidP="00316C8D">
            <w:pPr>
              <w:rPr>
                <w:lang w:val="fr-CA"/>
              </w:rPr>
            </w:pPr>
          </w:p>
        </w:tc>
        <w:tc>
          <w:tcPr>
            <w:tcW w:w="1500" w:type="pct"/>
            <w:tcMar>
              <w:top w:w="284" w:type="dxa"/>
            </w:tcMar>
          </w:tcPr>
          <w:p w:rsidR="00316C8D" w:rsidRPr="00316C8D" w:rsidRDefault="00316C8D" w:rsidP="00316C8D">
            <w:pPr>
              <w:rPr>
                <w:lang w:val="fr-CA"/>
              </w:rPr>
            </w:pPr>
          </w:p>
        </w:tc>
      </w:tr>
    </w:tbl>
    <w:p w:rsidR="00316C8D" w:rsidRPr="00316C8D" w:rsidRDefault="00316C8D" w:rsidP="00316C8D">
      <w:pPr>
        <w:rPr>
          <w:rFonts w:eastAsiaTheme="minorHAnsi" w:cstheme="minorBidi"/>
          <w:szCs w:val="24"/>
          <w:lang w:val="fr-CA" w:eastAsia="en-US"/>
        </w:rPr>
      </w:pPr>
    </w:p>
    <w:p w:rsidR="00316C8D" w:rsidRPr="00316C8D" w:rsidRDefault="00316C8D">
      <w:pPr>
        <w:rPr>
          <w:b/>
          <w:lang w:val="fr-CA"/>
        </w:rPr>
      </w:pPr>
      <w:r w:rsidRPr="00316C8D">
        <w:rPr>
          <w:lang w:val="fr-CA"/>
        </w:rPr>
        <w:br w:type="page"/>
      </w:r>
    </w:p>
    <w:p w:rsidR="003244C6" w:rsidRPr="00316C8D" w:rsidRDefault="002243A2">
      <w:pPr>
        <w:pStyle w:val="SCCLsocLastPartyInRole"/>
        <w:rPr>
          <w:lang w:val="fr-CA"/>
        </w:rPr>
      </w:pPr>
      <w:r w:rsidRPr="00316C8D">
        <w:rPr>
          <w:lang w:val="fr-CA"/>
        </w:rPr>
        <w:t>Temitope Dare</w:t>
      </w:r>
      <w:r w:rsidR="00467FA5" w:rsidRPr="00316C8D">
        <w:rPr>
          <w:rStyle w:val="SCCLsocPartyRole"/>
          <w:lang w:val="fr-CA"/>
        </w:rPr>
        <w:tab/>
        <w:t>Appelant</w:t>
      </w:r>
    </w:p>
    <w:p w:rsidR="003244C6" w:rsidRPr="00316C8D" w:rsidRDefault="002243A2">
      <w:pPr>
        <w:pStyle w:val="SCCLsocVersus"/>
        <w:rPr>
          <w:lang w:val="fr-CA"/>
        </w:rPr>
      </w:pPr>
      <w:proofErr w:type="gramStart"/>
      <w:r w:rsidRPr="00316C8D">
        <w:rPr>
          <w:lang w:val="fr-CA"/>
        </w:rPr>
        <w:t>c</w:t>
      </w:r>
      <w:proofErr w:type="gramEnd"/>
      <w:r w:rsidRPr="00316C8D">
        <w:rPr>
          <w:lang w:val="fr-CA"/>
        </w:rPr>
        <w:t>.</w:t>
      </w:r>
    </w:p>
    <w:p w:rsidR="003244C6" w:rsidRPr="00316C8D" w:rsidRDefault="002243A2">
      <w:pPr>
        <w:pStyle w:val="SCCLsocLastPartyInRole"/>
        <w:rPr>
          <w:lang w:val="fr-CA"/>
        </w:rPr>
      </w:pPr>
      <w:r w:rsidRPr="00316C8D">
        <w:rPr>
          <w:lang w:val="fr-CA"/>
        </w:rPr>
        <w:t>Sa Majesté l</w:t>
      </w:r>
      <w:r w:rsidR="00C71A05" w:rsidRPr="00316C8D">
        <w:rPr>
          <w:lang w:val="fr-CA"/>
        </w:rPr>
        <w:t>e Roi</w:t>
      </w:r>
      <w:r w:rsidR="00C71A05" w:rsidRPr="00316C8D">
        <w:rPr>
          <w:rStyle w:val="SCCLsocPartyRole"/>
          <w:lang w:val="fr-CA"/>
        </w:rPr>
        <w:tab/>
        <w:t>Intimé</w:t>
      </w:r>
    </w:p>
    <w:p w:rsidR="003244C6" w:rsidRPr="00316C8D" w:rsidRDefault="002243A2">
      <w:pPr>
        <w:pStyle w:val="SCCLsocOtherPartySeparator"/>
        <w:rPr>
          <w:lang w:val="fr-CA"/>
        </w:rPr>
      </w:pPr>
      <w:proofErr w:type="gramStart"/>
      <w:r w:rsidRPr="00316C8D">
        <w:rPr>
          <w:lang w:val="fr-CA"/>
        </w:rPr>
        <w:t>et</w:t>
      </w:r>
      <w:proofErr w:type="gramEnd"/>
    </w:p>
    <w:p w:rsidR="003244C6" w:rsidRPr="00316C8D" w:rsidRDefault="00467FA5">
      <w:pPr>
        <w:pStyle w:val="SCCLsocParty"/>
        <w:rPr>
          <w:lang w:val="fr-CA"/>
        </w:rPr>
      </w:pPr>
      <w:r w:rsidRPr="00316C8D">
        <w:rPr>
          <w:lang w:val="fr-CA"/>
        </w:rPr>
        <w:t>Directrice</w:t>
      </w:r>
      <w:r w:rsidR="002243A2" w:rsidRPr="00316C8D">
        <w:rPr>
          <w:lang w:val="fr-CA"/>
        </w:rPr>
        <w:t xml:space="preserve"> des poursuites </w:t>
      </w:r>
      <w:r w:rsidR="000963D5" w:rsidRPr="00316C8D">
        <w:rPr>
          <w:lang w:val="fr-CA"/>
        </w:rPr>
        <w:t>pénales</w:t>
      </w:r>
      <w:r w:rsidR="002243A2" w:rsidRPr="00316C8D">
        <w:rPr>
          <w:lang w:val="fr-CA"/>
        </w:rPr>
        <w:t>,</w:t>
      </w:r>
    </w:p>
    <w:p w:rsidR="003244C6" w:rsidRPr="00316C8D" w:rsidRDefault="002243A2">
      <w:pPr>
        <w:pStyle w:val="SCCLsocParty"/>
        <w:rPr>
          <w:lang w:val="en-US"/>
        </w:rPr>
      </w:pPr>
      <w:r w:rsidRPr="00316C8D">
        <w:rPr>
          <w:lang w:val="en-US"/>
        </w:rPr>
        <w:t>Criminal Lawyers</w:t>
      </w:r>
      <w:r w:rsidR="00467FA5" w:rsidRPr="00316C8D">
        <w:rPr>
          <w:lang w:val="en-US"/>
        </w:rPr>
        <w:t>’</w:t>
      </w:r>
      <w:r w:rsidRPr="00316C8D">
        <w:rPr>
          <w:lang w:val="en-US"/>
        </w:rPr>
        <w:t xml:space="preserve"> Association of Ontario,</w:t>
      </w:r>
    </w:p>
    <w:p w:rsidR="003244C6" w:rsidRPr="00316C8D" w:rsidRDefault="002243A2">
      <w:pPr>
        <w:pStyle w:val="SCCLsocParty"/>
        <w:rPr>
          <w:lang w:val="fr-CA"/>
        </w:rPr>
      </w:pPr>
      <w:r w:rsidRPr="00316C8D">
        <w:rPr>
          <w:lang w:val="fr-CA"/>
        </w:rPr>
        <w:t>British Colum</w:t>
      </w:r>
      <w:r w:rsidR="00467FA5" w:rsidRPr="00316C8D">
        <w:rPr>
          <w:lang w:val="fr-CA"/>
        </w:rPr>
        <w:t>bia Civil Liberties Association et</w:t>
      </w:r>
    </w:p>
    <w:p w:rsidR="003244C6" w:rsidRPr="00316C8D" w:rsidRDefault="000963D5" w:rsidP="00C66F62">
      <w:pPr>
        <w:pStyle w:val="SCCLsocLastPartyInRole"/>
        <w:rPr>
          <w:lang w:val="fr-CA"/>
        </w:rPr>
      </w:pPr>
      <w:r w:rsidRPr="00316C8D">
        <w:rPr>
          <w:bCs/>
          <w:lang w:val="fr-CA"/>
        </w:rPr>
        <w:t>Association canadienne des libertés civiles</w:t>
      </w:r>
      <w:r w:rsidR="00467FA5" w:rsidRPr="00316C8D">
        <w:rPr>
          <w:rStyle w:val="SCCLsocPartyRole"/>
          <w:lang w:val="fr-CA"/>
        </w:rPr>
        <w:tab/>
        <w:t>Intervenante</w:t>
      </w:r>
      <w:r w:rsidR="002243A2" w:rsidRPr="00316C8D">
        <w:rPr>
          <w:rStyle w:val="SCCLsocPartyRole"/>
          <w:lang w:val="fr-CA"/>
        </w:rPr>
        <w:t>s</w:t>
      </w:r>
    </w:p>
    <w:p w:rsidR="004D7D95" w:rsidRPr="00316C8D" w:rsidRDefault="00C66F62" w:rsidP="00C66F62">
      <w:pPr>
        <w:spacing w:after="720"/>
        <w:jc w:val="both"/>
        <w:rPr>
          <w:b/>
          <w:lang w:val="fr-CA"/>
        </w:rPr>
      </w:pPr>
      <w:r w:rsidRPr="00316C8D">
        <w:rPr>
          <w:b/>
          <w:lang w:val="fr-CA"/>
        </w:rPr>
        <w:t xml:space="preserve">Répertorié : </w:t>
      </w:r>
      <w:r w:rsidR="0030680F" w:rsidRPr="00316C8D">
        <w:rPr>
          <w:rStyle w:val="SCCRespondentForIndexChar"/>
          <w:lang w:val="fr-CA"/>
        </w:rPr>
        <w:t xml:space="preserve">R. </w:t>
      </w:r>
      <w:r w:rsidR="0030680F" w:rsidRPr="00316C8D">
        <w:rPr>
          <w:b/>
          <w:i/>
          <w:lang w:val="fr-CA"/>
        </w:rPr>
        <w:t xml:space="preserve">c. </w:t>
      </w:r>
      <w:r w:rsidR="004D7D95" w:rsidRPr="00316C8D">
        <w:rPr>
          <w:rStyle w:val="SCCAppellantForIndexChar"/>
          <w:lang w:val="fr-CA"/>
        </w:rPr>
        <w:t>Dare</w:t>
      </w:r>
    </w:p>
    <w:p w:rsidR="004D7D95" w:rsidRPr="00316C8D" w:rsidRDefault="00D17B0E" w:rsidP="00C66F62">
      <w:pPr>
        <w:pStyle w:val="SCCSystemYear"/>
        <w:spacing w:after="720"/>
        <w:jc w:val="both"/>
        <w:rPr>
          <w:lang w:val="fr-CA"/>
        </w:rPr>
      </w:pPr>
      <w:r w:rsidRPr="00316C8D">
        <w:rPr>
          <w:lang w:val="fr-CA"/>
        </w:rPr>
        <w:t>2022</w:t>
      </w:r>
      <w:r w:rsidR="00C66F62" w:rsidRPr="00316C8D">
        <w:rPr>
          <w:lang w:val="fr-CA"/>
        </w:rPr>
        <w:t xml:space="preserve"> CSC </w:t>
      </w:r>
      <w:r w:rsidR="00044828" w:rsidRPr="00316C8D">
        <w:rPr>
          <w:lang w:val="fr-CA"/>
        </w:rPr>
        <w:t>47</w:t>
      </w:r>
    </w:p>
    <w:p w:rsidR="004D7D95" w:rsidRPr="00316C8D" w:rsidRDefault="004D7D95" w:rsidP="00C66F62">
      <w:pPr>
        <w:spacing w:after="720"/>
        <w:jc w:val="both"/>
        <w:rPr>
          <w:lang w:val="fr-CA"/>
        </w:rPr>
      </w:pPr>
      <w:r w:rsidRPr="00316C8D">
        <w:rPr>
          <w:lang w:val="fr-CA"/>
        </w:rPr>
        <w:t>N</w:t>
      </w:r>
      <w:r w:rsidRPr="00316C8D">
        <w:rPr>
          <w:vertAlign w:val="superscript"/>
          <w:lang w:val="fr-CA"/>
        </w:rPr>
        <w:t>o</w:t>
      </w:r>
      <w:r w:rsidR="00C66F62" w:rsidRPr="00316C8D">
        <w:rPr>
          <w:lang w:val="fr-CA"/>
        </w:rPr>
        <w:t xml:space="preserve"> du greffe : </w:t>
      </w:r>
      <w:r w:rsidRPr="00316C8D">
        <w:rPr>
          <w:lang w:val="fr-CA"/>
        </w:rPr>
        <w:t>39871.</w:t>
      </w:r>
    </w:p>
    <w:p w:rsidR="004D7D95" w:rsidRPr="00316C8D" w:rsidRDefault="00D47538" w:rsidP="00C66F62">
      <w:pPr>
        <w:spacing w:after="720"/>
        <w:jc w:val="both"/>
        <w:rPr>
          <w:lang w:val="fr-CA"/>
        </w:rPr>
      </w:pPr>
      <w:r w:rsidRPr="00316C8D">
        <w:rPr>
          <w:lang w:val="fr-CA"/>
        </w:rPr>
        <w:t>2022 </w:t>
      </w:r>
      <w:r w:rsidR="00D17B0E" w:rsidRPr="00316C8D">
        <w:rPr>
          <w:lang w:val="fr-CA"/>
        </w:rPr>
        <w:t>: 17 mai</w:t>
      </w:r>
      <w:r w:rsidR="004D7D95" w:rsidRPr="00316C8D">
        <w:rPr>
          <w:lang w:val="fr-CA"/>
        </w:rPr>
        <w:t xml:space="preserve">; </w:t>
      </w:r>
      <w:r w:rsidRPr="00316C8D">
        <w:rPr>
          <w:lang w:val="fr-CA"/>
        </w:rPr>
        <w:t>2022 : 24 novembre</w:t>
      </w:r>
      <w:r w:rsidR="004D7D95" w:rsidRPr="00316C8D">
        <w:rPr>
          <w:lang w:val="fr-CA"/>
        </w:rPr>
        <w:t>.</w:t>
      </w:r>
    </w:p>
    <w:p w:rsidR="004D7D95" w:rsidRPr="00316C8D" w:rsidRDefault="00C66F62" w:rsidP="00C66F62">
      <w:pPr>
        <w:spacing w:after="720"/>
        <w:jc w:val="both"/>
        <w:rPr>
          <w:lang w:val="fr-CA"/>
        </w:rPr>
      </w:pPr>
      <w:r w:rsidRPr="00316C8D">
        <w:rPr>
          <w:lang w:val="fr-CA"/>
        </w:rPr>
        <w:t xml:space="preserve">Présents : </w:t>
      </w:r>
      <w:r w:rsidR="004D7D95" w:rsidRPr="00316C8D">
        <w:rPr>
          <w:lang w:val="fr-CA"/>
        </w:rPr>
        <w:t>Le juge en chef Wagner et les juges Moldaver, Karakatsanis, Côté, Brown, Rowe, Martin, Kasirer et Jamal.</w:t>
      </w:r>
    </w:p>
    <w:p w:rsidR="004D7D95" w:rsidRPr="00316C8D" w:rsidRDefault="004D7D95" w:rsidP="00C66F62">
      <w:pPr>
        <w:spacing w:after="720"/>
        <w:jc w:val="both"/>
        <w:rPr>
          <w:smallCaps/>
          <w:lang w:val="fr-CA"/>
        </w:rPr>
      </w:pPr>
      <w:r w:rsidRPr="00316C8D">
        <w:rPr>
          <w:smallCaps/>
          <w:lang w:val="fr-CA"/>
        </w:rPr>
        <w:t>en appel de la cour d</w:t>
      </w:r>
      <w:r w:rsidR="00467FA5" w:rsidRPr="00316C8D">
        <w:rPr>
          <w:smallCaps/>
          <w:lang w:val="fr-CA"/>
        </w:rPr>
        <w:t>’</w:t>
      </w:r>
      <w:r w:rsidRPr="00316C8D">
        <w:rPr>
          <w:smallCaps/>
          <w:lang w:val="fr-CA"/>
        </w:rPr>
        <w:t>appel de l</w:t>
      </w:r>
      <w:r w:rsidR="00467FA5" w:rsidRPr="00316C8D">
        <w:rPr>
          <w:smallCaps/>
          <w:lang w:val="fr-CA"/>
        </w:rPr>
        <w:t>’</w:t>
      </w:r>
      <w:r w:rsidRPr="00316C8D">
        <w:rPr>
          <w:smallCaps/>
          <w:lang w:val="fr-CA"/>
        </w:rPr>
        <w:t>ontario</w:t>
      </w:r>
    </w:p>
    <w:p w:rsidR="006C34C3" w:rsidRPr="00316C8D" w:rsidRDefault="004D7D95" w:rsidP="00EA48FC">
      <w:pPr>
        <w:pStyle w:val="SCCNormalDoubleSpacing"/>
        <w:spacing w:after="480"/>
        <w:rPr>
          <w:i/>
          <w:lang w:val="fr-CA"/>
        </w:rPr>
      </w:pPr>
      <w:r w:rsidRPr="00316C8D">
        <w:rPr>
          <w:lang w:val="fr-CA"/>
        </w:rPr>
        <w:tab/>
      </w:r>
      <w:r w:rsidR="006C34C3" w:rsidRPr="00316C8D">
        <w:rPr>
          <w:i/>
          <w:lang w:val="fr-CA"/>
        </w:rPr>
        <w:t xml:space="preserve">Droit criminel — Abus de procédure — Provocation policière — Véritable enquête — Espace virtuel — Internet — Accusé répondant à une annonce publiée par la police dans le sous-répertoire escortes d’un site Web d’annonces classées — Agent </w:t>
      </w:r>
      <w:r w:rsidR="006C34C3" w:rsidRPr="00316C8D">
        <w:rPr>
          <w:i/>
          <w:lang w:val="fr-CA"/>
        </w:rPr>
        <w:lastRenderedPageBreak/>
        <w:t>d’infiltration se faisant passer pour une escorte et révélant à l’accusé dans un message texte subséquent qu’elle est mineure — Accusé arrêté à son arrivée à une chambre d’hôtel en vue de rencontrer l’agent d’infiltration et inculpé d’infractions relatives au leurre d’enfants — Accusé déclaré coupable mais demandant un arrêt des procédures pour cause de pro</w:t>
      </w:r>
      <w:r w:rsidR="00EA48FC" w:rsidRPr="00316C8D">
        <w:rPr>
          <w:i/>
          <w:lang w:val="fr-CA"/>
        </w:rPr>
        <w:t>vocation policière — L’accusé a</w:t>
      </w:r>
      <w:r w:rsidR="00EA48FC" w:rsidRPr="00316C8D">
        <w:rPr>
          <w:i/>
          <w:lang w:val="fr-CA"/>
        </w:rPr>
        <w:noBreakHyphen/>
        <w:t>t</w:t>
      </w:r>
      <w:r w:rsidR="00EA48FC" w:rsidRPr="00316C8D">
        <w:rPr>
          <w:i/>
          <w:lang w:val="fr-CA"/>
        </w:rPr>
        <w:noBreakHyphen/>
      </w:r>
      <w:r w:rsidR="006C34C3" w:rsidRPr="00316C8D">
        <w:rPr>
          <w:i/>
          <w:lang w:val="fr-CA"/>
        </w:rPr>
        <w:t>il fait l’</w:t>
      </w:r>
      <w:r w:rsidR="00EA48FC" w:rsidRPr="00316C8D">
        <w:rPr>
          <w:i/>
          <w:lang w:val="fr-CA"/>
        </w:rPr>
        <w:t>objet de provocation policière?</w:t>
      </w:r>
    </w:p>
    <w:p w:rsidR="006C34C3" w:rsidRPr="00316C8D" w:rsidRDefault="006C34C3" w:rsidP="006C34C3">
      <w:pPr>
        <w:pStyle w:val="SCCNormalDoubleSpacing"/>
        <w:spacing w:after="480"/>
        <w:rPr>
          <w:lang w:val="fr-CA"/>
        </w:rPr>
      </w:pPr>
      <w:r w:rsidRPr="00316C8D">
        <w:rPr>
          <w:b/>
          <w:lang w:val="fr-CA"/>
        </w:rPr>
        <w:tab/>
      </w:r>
      <w:r w:rsidRPr="00316C8D">
        <w:rPr>
          <w:lang w:val="fr-CA"/>
        </w:rPr>
        <w:t xml:space="preserve">D est l’une des 104 personnes qui ont été arrêtées dans le cadre du « Projet Raphael », une enquête de la Police régionale de York qui ciblait les acheteurs sur le marché du travail du sexe juvénile. En 2016, </w:t>
      </w:r>
      <w:bookmarkStart w:id="1" w:name="_Hlk111542811"/>
      <w:r w:rsidRPr="00316C8D">
        <w:rPr>
          <w:lang w:val="fr-CA"/>
        </w:rPr>
        <w:t>alors qu’il naviguait dans le sous-répertoire escortes de Backpage.com</w:t>
      </w:r>
      <w:bookmarkEnd w:id="1"/>
      <w:r w:rsidRPr="00316C8D">
        <w:rPr>
          <w:lang w:val="fr-CA"/>
        </w:rPr>
        <w:t>, D a répondu à une annonce placée par un agent d’infiltration se faisant passer po</w:t>
      </w:r>
      <w:r w:rsidR="00EA48FC" w:rsidRPr="00316C8D">
        <w:rPr>
          <w:lang w:val="fr-CA"/>
        </w:rPr>
        <w:t xml:space="preserve">ur « Kathy ». Communiquant avec </w:t>
      </w:r>
      <w:r w:rsidRPr="00316C8D">
        <w:rPr>
          <w:lang w:val="fr-CA"/>
        </w:rPr>
        <w:t>D par messages textes, « Kathy » lui a révélé, au bout d’un certain temps, qu’« elle » était âgée de 15 ans. À son arrivée à une chambre d’hôtel désignée pour rencontrer « Kathy », D a été arrêté et accusé de trois infractions, soit celles visées aux al. 172.</w:t>
      </w:r>
      <w:r w:rsidR="00EA48FC" w:rsidRPr="00316C8D">
        <w:rPr>
          <w:lang w:val="fr-CA"/>
        </w:rPr>
        <w:t>1(1)a) et 172.1(1)b) et au par. </w:t>
      </w:r>
      <w:r w:rsidRPr="00316C8D">
        <w:rPr>
          <w:lang w:val="fr-CA"/>
        </w:rPr>
        <w:t xml:space="preserve">286.1(2) du </w:t>
      </w:r>
      <w:r w:rsidRPr="00316C8D">
        <w:rPr>
          <w:i/>
          <w:lang w:val="fr-CA"/>
        </w:rPr>
        <w:t>Code criminel</w:t>
      </w:r>
      <w:r w:rsidRPr="00316C8D">
        <w:rPr>
          <w:lang w:val="fr-CA"/>
        </w:rPr>
        <w:t>. À son procès, il a été déclaré coupable par un jury de tous les chefs d’accusation, mais il a présenté une demande d’arrêt des procédures pour cause de provocation policière. La juge saisie de la demande l’a rejetée, concluant que le Projet Raphael était fondé sur les soupçons raisonnables de la police que les infractions étaient perpétrées dans un espace suffisamment précis. La Cour d’appel</w:t>
      </w:r>
      <w:r w:rsidR="00EA48FC" w:rsidRPr="00316C8D">
        <w:rPr>
          <w:lang w:val="fr-CA"/>
        </w:rPr>
        <w:t xml:space="preserve"> a rejeté l’appel de D.</w:t>
      </w:r>
    </w:p>
    <w:p w:rsidR="006C34C3" w:rsidRPr="00316C8D" w:rsidRDefault="006C34C3" w:rsidP="006C34C3">
      <w:pPr>
        <w:pStyle w:val="SCCNormalDoubleSpacing"/>
        <w:spacing w:after="480"/>
        <w:rPr>
          <w:lang w:val="fr-CA"/>
        </w:rPr>
      </w:pPr>
      <w:r w:rsidRPr="00316C8D">
        <w:rPr>
          <w:lang w:val="fr-CA"/>
        </w:rPr>
        <w:tab/>
      </w:r>
      <w:r w:rsidRPr="00316C8D">
        <w:rPr>
          <w:rStyle w:val="QuoteChar"/>
          <w:lang w:val="fr-CA"/>
        </w:rPr>
        <w:t>Arrêt </w:t>
      </w:r>
      <w:r w:rsidRPr="00316C8D">
        <w:rPr>
          <w:rStyle w:val="QuoteChar"/>
          <w:i w:val="0"/>
          <w:lang w:val="fr-CA"/>
        </w:rPr>
        <w:t>:</w:t>
      </w:r>
      <w:r w:rsidR="00EA48FC" w:rsidRPr="00316C8D">
        <w:rPr>
          <w:lang w:val="fr-CA"/>
        </w:rPr>
        <w:t xml:space="preserve"> L’appel est rejeté.</w:t>
      </w:r>
    </w:p>
    <w:p w:rsidR="004D7D95" w:rsidRPr="00316C8D" w:rsidRDefault="006C34C3" w:rsidP="006C34C3">
      <w:pPr>
        <w:pStyle w:val="SCCNormalDoubleSpacing"/>
        <w:spacing w:after="480"/>
        <w:rPr>
          <w:lang w:val="fr-CA"/>
        </w:rPr>
      </w:pPr>
      <w:r w:rsidRPr="00316C8D">
        <w:rPr>
          <w:i/>
          <w:lang w:val="fr-CA"/>
        </w:rPr>
        <w:lastRenderedPageBreak/>
        <w:tab/>
      </w:r>
      <w:r w:rsidRPr="00316C8D">
        <w:rPr>
          <w:lang w:val="fr-CA"/>
        </w:rPr>
        <w:t xml:space="preserve">D n’a pas fait l’objet de provocation policière pour les motifs exposés dans l’arrêt </w:t>
      </w:r>
      <w:r w:rsidRPr="00316C8D">
        <w:rPr>
          <w:i/>
          <w:lang w:val="fr-CA"/>
        </w:rPr>
        <w:t>R. c. Ramelson</w:t>
      </w:r>
      <w:r w:rsidRPr="00316C8D">
        <w:rPr>
          <w:lang w:val="fr-CA"/>
        </w:rPr>
        <w:t xml:space="preserve">, 2022 CSC </w:t>
      </w:r>
      <w:r w:rsidR="001C1330" w:rsidRPr="00316C8D">
        <w:rPr>
          <w:lang w:val="fr-CA"/>
        </w:rPr>
        <w:t>44</w:t>
      </w:r>
      <w:r w:rsidRPr="00316C8D">
        <w:rPr>
          <w:lang w:val="fr-CA"/>
        </w:rPr>
        <w:t>, dans lequel il a été conclu que le Projet Raphael constituait une véritable enquête.</w:t>
      </w:r>
    </w:p>
    <w:p w:rsidR="004D7D95" w:rsidRPr="00316C8D" w:rsidRDefault="004D7D95" w:rsidP="00C66F62">
      <w:pPr>
        <w:pStyle w:val="SCCNormalDoubleSpacing"/>
        <w:widowControl w:val="0"/>
        <w:spacing w:after="720" w:line="240" w:lineRule="auto"/>
        <w:rPr>
          <w:b/>
          <w:lang w:val="fr-CA"/>
        </w:rPr>
      </w:pPr>
      <w:r w:rsidRPr="00316C8D">
        <w:rPr>
          <w:b/>
          <w:lang w:val="fr-CA"/>
        </w:rPr>
        <w:t>Jurisprudence</w:t>
      </w:r>
    </w:p>
    <w:p w:rsidR="004D7D95" w:rsidRPr="00316C8D" w:rsidRDefault="004D7D95" w:rsidP="00C66F62">
      <w:pPr>
        <w:pStyle w:val="SCCNormalDoubleSpacing"/>
        <w:widowControl w:val="0"/>
        <w:spacing w:after="480"/>
        <w:rPr>
          <w:b/>
          <w:lang w:val="fr-CA"/>
        </w:rPr>
      </w:pPr>
      <w:r w:rsidRPr="00316C8D">
        <w:rPr>
          <w:lang w:val="fr-CA"/>
        </w:rPr>
        <w:tab/>
      </w:r>
      <w:r w:rsidRPr="00316C8D">
        <w:rPr>
          <w:b/>
          <w:lang w:val="fr-CA"/>
        </w:rPr>
        <w:t>Arrêts mentionnés :</w:t>
      </w:r>
      <w:r w:rsidRPr="00316C8D">
        <w:rPr>
          <w:lang w:val="fr-CA"/>
        </w:rPr>
        <w:t xml:space="preserve"> </w:t>
      </w:r>
      <w:r w:rsidR="009B2150" w:rsidRPr="00316C8D">
        <w:rPr>
          <w:i/>
          <w:lang w:val="fr-CA"/>
        </w:rPr>
        <w:t>R. c. Ramelson</w:t>
      </w:r>
      <w:r w:rsidR="009B2150" w:rsidRPr="00316C8D">
        <w:rPr>
          <w:lang w:val="fr-CA"/>
        </w:rPr>
        <w:t xml:space="preserve">, 2022 CSC </w:t>
      </w:r>
      <w:r w:rsidR="00044828" w:rsidRPr="00316C8D">
        <w:rPr>
          <w:lang w:val="fr-CA"/>
        </w:rPr>
        <w:t>44</w:t>
      </w:r>
      <w:r w:rsidR="009B2150" w:rsidRPr="00316C8D">
        <w:rPr>
          <w:lang w:val="fr-CA"/>
        </w:rPr>
        <w:t xml:space="preserve">; </w:t>
      </w:r>
      <w:r w:rsidR="00383CA5" w:rsidRPr="00316C8D">
        <w:rPr>
          <w:i/>
          <w:lang w:val="fr-CA"/>
        </w:rPr>
        <w:t>R. c. Jaffer</w:t>
      </w:r>
      <w:r w:rsidR="00383CA5" w:rsidRPr="00316C8D">
        <w:rPr>
          <w:lang w:val="fr-CA"/>
        </w:rPr>
        <w:t xml:space="preserve">, 2022 CSC 45; </w:t>
      </w:r>
      <w:r w:rsidR="009B2150" w:rsidRPr="00316C8D">
        <w:rPr>
          <w:i/>
          <w:lang w:val="fr-CA"/>
        </w:rPr>
        <w:t>R. c. Haniffa</w:t>
      </w:r>
      <w:r w:rsidR="009B2150" w:rsidRPr="00316C8D">
        <w:rPr>
          <w:lang w:val="fr-CA"/>
        </w:rPr>
        <w:t xml:space="preserve">, 2022 CSC </w:t>
      </w:r>
      <w:r w:rsidR="00044828" w:rsidRPr="00316C8D">
        <w:rPr>
          <w:lang w:val="fr-CA"/>
        </w:rPr>
        <w:t>46</w:t>
      </w:r>
      <w:r w:rsidR="009B2150" w:rsidRPr="00316C8D">
        <w:rPr>
          <w:lang w:val="fr-CA"/>
        </w:rPr>
        <w:t xml:space="preserve">; </w:t>
      </w:r>
      <w:r w:rsidR="00072526" w:rsidRPr="00316C8D">
        <w:rPr>
          <w:i/>
          <w:lang w:val="fr-CA"/>
        </w:rPr>
        <w:t>Kienapple c. La Reine</w:t>
      </w:r>
      <w:r w:rsidR="00072526" w:rsidRPr="00316C8D">
        <w:rPr>
          <w:lang w:val="fr-CA"/>
        </w:rPr>
        <w:t>,</w:t>
      </w:r>
      <w:r w:rsidR="00072526" w:rsidRPr="00316C8D">
        <w:rPr>
          <w:i/>
          <w:lang w:val="fr-CA"/>
        </w:rPr>
        <w:t xml:space="preserve"> </w:t>
      </w:r>
      <w:r w:rsidR="00072526" w:rsidRPr="00316C8D">
        <w:rPr>
          <w:lang w:val="fr-CA"/>
        </w:rPr>
        <w:t xml:space="preserve">[1975] 1 R.C.S. 729; </w:t>
      </w:r>
      <w:r w:rsidR="00341F72" w:rsidRPr="00316C8D">
        <w:rPr>
          <w:i/>
          <w:lang w:val="fr-CA"/>
        </w:rPr>
        <w:t>R. c. Ramelson</w:t>
      </w:r>
      <w:r w:rsidR="00341F72" w:rsidRPr="00316C8D">
        <w:rPr>
          <w:lang w:val="fr-CA"/>
        </w:rPr>
        <w:t>, 2021 ONCA 328, 155 O.R. (3d) 481</w:t>
      </w:r>
      <w:r w:rsidR="0061166D" w:rsidRPr="00316C8D">
        <w:rPr>
          <w:lang w:val="fr-CA"/>
        </w:rPr>
        <w:t>.</w:t>
      </w:r>
    </w:p>
    <w:p w:rsidR="004D7D95" w:rsidRPr="00316C8D" w:rsidRDefault="004D7D95" w:rsidP="00C66F62">
      <w:pPr>
        <w:pStyle w:val="SCCNormalDoubleSpacing"/>
        <w:spacing w:after="720" w:line="240" w:lineRule="auto"/>
        <w:rPr>
          <w:b/>
          <w:lang w:val="fr-CA"/>
        </w:rPr>
      </w:pPr>
      <w:r w:rsidRPr="00316C8D">
        <w:rPr>
          <w:b/>
          <w:lang w:val="fr-CA"/>
        </w:rPr>
        <w:t>Lois et règlements cités</w:t>
      </w:r>
    </w:p>
    <w:p w:rsidR="004D7D95" w:rsidRPr="00316C8D" w:rsidRDefault="007F1293" w:rsidP="00C66F62">
      <w:pPr>
        <w:pStyle w:val="SCCNormalDoubleSpacing"/>
        <w:spacing w:after="720" w:line="240" w:lineRule="auto"/>
        <w:ind w:left="547" w:hanging="547"/>
        <w:rPr>
          <w:lang w:val="fr-CA"/>
        </w:rPr>
      </w:pPr>
      <w:r w:rsidRPr="00316C8D">
        <w:rPr>
          <w:i/>
          <w:lang w:val="fr-CA"/>
        </w:rPr>
        <w:t>Code criminel</w:t>
      </w:r>
      <w:r w:rsidR="00C66F62" w:rsidRPr="00316C8D">
        <w:rPr>
          <w:lang w:val="fr-CA"/>
        </w:rPr>
        <w:t>, L.R.C. 1985, c. C</w:t>
      </w:r>
      <w:r w:rsidR="00C66F62" w:rsidRPr="00316C8D">
        <w:rPr>
          <w:lang w:val="fr-CA"/>
        </w:rPr>
        <w:noBreakHyphen/>
        <w:t>46, art. </w:t>
      </w:r>
      <w:r w:rsidRPr="00316C8D">
        <w:rPr>
          <w:lang w:val="fr-CA"/>
        </w:rPr>
        <w:t>152, 172.1(1)a), b), 286.1(2).</w:t>
      </w:r>
    </w:p>
    <w:p w:rsidR="004D7D95" w:rsidRPr="00316C8D" w:rsidRDefault="00792C1A" w:rsidP="00C66F62">
      <w:pPr>
        <w:pStyle w:val="SCCNormalDoubleSpacing"/>
        <w:spacing w:after="480"/>
        <w:rPr>
          <w:lang w:val="fr-CA"/>
        </w:rPr>
      </w:pPr>
      <w:r w:rsidRPr="00316C8D">
        <w:rPr>
          <w:lang w:val="fr-CA"/>
        </w:rPr>
        <w:tab/>
      </w:r>
      <w:r w:rsidR="004D7D95" w:rsidRPr="00316C8D">
        <w:rPr>
          <w:lang w:val="fr-CA"/>
        </w:rPr>
        <w:t>POURVOI contre un arrêt de la Cour d</w:t>
      </w:r>
      <w:r w:rsidR="00467FA5" w:rsidRPr="00316C8D">
        <w:rPr>
          <w:lang w:val="fr-CA"/>
        </w:rPr>
        <w:t>’</w:t>
      </w:r>
      <w:r w:rsidR="004D7D95" w:rsidRPr="00316C8D">
        <w:rPr>
          <w:lang w:val="fr-CA"/>
        </w:rPr>
        <w:t>appel de l</w:t>
      </w:r>
      <w:r w:rsidR="00467FA5" w:rsidRPr="00316C8D">
        <w:rPr>
          <w:lang w:val="fr-CA"/>
        </w:rPr>
        <w:t>’</w:t>
      </w:r>
      <w:r w:rsidR="004D7D95" w:rsidRPr="00316C8D">
        <w:rPr>
          <w:lang w:val="fr-CA"/>
        </w:rPr>
        <w:t>Ontario</w:t>
      </w:r>
      <w:r w:rsidRPr="00316C8D">
        <w:rPr>
          <w:lang w:val="fr-CA"/>
        </w:rPr>
        <w:t xml:space="preserve"> (</w:t>
      </w:r>
      <w:r w:rsidR="00535838" w:rsidRPr="00316C8D">
        <w:rPr>
          <w:lang w:val="fr-CA"/>
        </w:rPr>
        <w:t xml:space="preserve">les juges Juriansz, Tulloch et Paciocco), </w:t>
      </w:r>
      <w:hyperlink r:id="rId9" w:history="1">
        <w:r w:rsidR="00535838" w:rsidRPr="00316C8D">
          <w:rPr>
            <w:rStyle w:val="Hyperlink"/>
            <w:lang w:val="fr-CA"/>
          </w:rPr>
          <w:t>2021 ONCA 327</w:t>
        </w:r>
      </w:hyperlink>
      <w:r w:rsidR="00535838" w:rsidRPr="00316C8D">
        <w:rPr>
          <w:lang w:val="fr-CA"/>
        </w:rPr>
        <w:t>, 155</w:t>
      </w:r>
      <w:r w:rsidR="00C66F62" w:rsidRPr="00316C8D">
        <w:rPr>
          <w:lang w:val="fr-CA"/>
        </w:rPr>
        <w:t xml:space="preserve"> O.R. (3d) 516, [2021] O.J. No. </w:t>
      </w:r>
      <w:r w:rsidR="00535838" w:rsidRPr="00316C8D">
        <w:rPr>
          <w:lang w:val="fr-CA"/>
        </w:rPr>
        <w:t xml:space="preserve">2624 (QL), 2021 CarswellOnt 7086 (WL), qui a confirmé la déclaration de culpabilité prononcée contre l’accusé et le rejet de la demande d’arrêt des procédures. Pourvoi </w:t>
      </w:r>
      <w:r w:rsidR="00931010" w:rsidRPr="00316C8D">
        <w:rPr>
          <w:lang w:val="fr-CA"/>
        </w:rPr>
        <w:t>rejeté</w:t>
      </w:r>
      <w:r w:rsidR="00535838" w:rsidRPr="00316C8D">
        <w:rPr>
          <w:lang w:val="fr-CA"/>
        </w:rPr>
        <w:t>.</w:t>
      </w:r>
    </w:p>
    <w:p w:rsidR="00BE26AE" w:rsidRPr="00316C8D" w:rsidRDefault="002243A2" w:rsidP="00C66F62">
      <w:pPr>
        <w:pStyle w:val="SCCNormalDoubleSpacing"/>
        <w:spacing w:after="480"/>
        <w:rPr>
          <w:rStyle w:val="SCCCounselNameChar"/>
          <w:i w:val="0"/>
          <w:lang w:val="fr-CA"/>
        </w:rPr>
      </w:pPr>
      <w:r w:rsidRPr="00316C8D">
        <w:rPr>
          <w:rStyle w:val="SCCCounselNameChar"/>
          <w:lang w:val="fr-CA"/>
        </w:rPr>
        <w:tab/>
      </w:r>
      <w:r w:rsidR="00BE26AE" w:rsidRPr="00316C8D">
        <w:rPr>
          <w:rStyle w:val="SCCCounselNameChar"/>
          <w:lang w:val="fr-CA"/>
        </w:rPr>
        <w:t>Temitope Dare</w:t>
      </w:r>
      <w:r w:rsidR="00BE26AE" w:rsidRPr="00316C8D">
        <w:rPr>
          <w:rStyle w:val="SCCCounselNameChar"/>
          <w:i w:val="0"/>
          <w:lang w:val="fr-CA"/>
        </w:rPr>
        <w:t>,</w:t>
      </w:r>
      <w:r w:rsidR="00BE26AE" w:rsidRPr="00316C8D">
        <w:rPr>
          <w:lang w:val="fr-CA"/>
        </w:rPr>
        <w:t xml:space="preserve"> en personne.</w:t>
      </w:r>
    </w:p>
    <w:p w:rsidR="003244C6" w:rsidRPr="00316C8D" w:rsidRDefault="00BE26AE" w:rsidP="00C66F62">
      <w:pPr>
        <w:pStyle w:val="SCCNormalDoubleSpacing"/>
        <w:spacing w:after="480"/>
        <w:rPr>
          <w:lang w:val="fr-CA"/>
        </w:rPr>
      </w:pPr>
      <w:r w:rsidRPr="00316C8D">
        <w:rPr>
          <w:rStyle w:val="SCCCounselNameChar"/>
          <w:lang w:val="fr-CA"/>
        </w:rPr>
        <w:tab/>
      </w:r>
      <w:r w:rsidR="00EB025C" w:rsidRPr="00316C8D">
        <w:rPr>
          <w:rStyle w:val="SCCCounselNameChar"/>
          <w:lang w:val="fr-CA"/>
        </w:rPr>
        <w:t xml:space="preserve">Lisa Fineberg </w:t>
      </w:r>
      <w:r w:rsidR="00EB025C" w:rsidRPr="00316C8D">
        <w:rPr>
          <w:rStyle w:val="SCCCounselNameChar"/>
          <w:i w:val="0"/>
          <w:lang w:val="fr-CA"/>
        </w:rPr>
        <w:t xml:space="preserve">et </w:t>
      </w:r>
      <w:r w:rsidR="00B326A0" w:rsidRPr="00316C8D">
        <w:rPr>
          <w:rStyle w:val="SCCCounselNameChar"/>
          <w:lang w:val="fr-CA"/>
        </w:rPr>
        <w:t>Katie Doherty</w:t>
      </w:r>
      <w:r w:rsidR="002243A2" w:rsidRPr="00316C8D">
        <w:rPr>
          <w:rStyle w:val="SCCCounselPartyRoleChar"/>
          <w:lang w:val="fr-CA"/>
        </w:rPr>
        <w:t>, pour l</w:t>
      </w:r>
      <w:r w:rsidR="00467FA5" w:rsidRPr="00316C8D">
        <w:rPr>
          <w:rStyle w:val="SCCCounselPartyRoleChar"/>
          <w:lang w:val="fr-CA"/>
        </w:rPr>
        <w:t>’</w:t>
      </w:r>
      <w:r w:rsidR="00C71A05" w:rsidRPr="00316C8D">
        <w:rPr>
          <w:rStyle w:val="SCCCounselPartyRoleChar"/>
          <w:lang w:val="fr-CA"/>
        </w:rPr>
        <w:t>intimé</w:t>
      </w:r>
      <w:r w:rsidR="002243A2" w:rsidRPr="00316C8D">
        <w:rPr>
          <w:rStyle w:val="SCCCounselPartyRoleChar"/>
          <w:lang w:val="fr-CA"/>
        </w:rPr>
        <w:t>.</w:t>
      </w:r>
    </w:p>
    <w:p w:rsidR="003244C6" w:rsidRPr="00316C8D" w:rsidRDefault="002243A2" w:rsidP="00C66F62">
      <w:pPr>
        <w:pStyle w:val="SCCNormalDoubleSpacing"/>
        <w:spacing w:after="480"/>
        <w:rPr>
          <w:lang w:val="fr-CA"/>
        </w:rPr>
      </w:pPr>
      <w:r w:rsidRPr="00316C8D">
        <w:rPr>
          <w:rStyle w:val="SCCCounselNameChar"/>
          <w:lang w:val="fr-CA"/>
        </w:rPr>
        <w:lastRenderedPageBreak/>
        <w:tab/>
        <w:t>David Quayat</w:t>
      </w:r>
      <w:r w:rsidRPr="00316C8D">
        <w:rPr>
          <w:rStyle w:val="SCCCounselSeparatorChar"/>
          <w:lang w:val="fr-CA"/>
        </w:rPr>
        <w:t xml:space="preserve"> et </w:t>
      </w:r>
      <w:r w:rsidRPr="00316C8D">
        <w:rPr>
          <w:rStyle w:val="SCCCounselNameChar"/>
          <w:lang w:val="fr-CA"/>
        </w:rPr>
        <w:t>Chris Greenwood</w:t>
      </w:r>
      <w:r w:rsidRPr="00316C8D">
        <w:rPr>
          <w:rStyle w:val="SCCCounselPartyRoleChar"/>
          <w:lang w:val="fr-CA"/>
        </w:rPr>
        <w:t>, pour l</w:t>
      </w:r>
      <w:r w:rsidR="00467FA5" w:rsidRPr="00316C8D">
        <w:rPr>
          <w:rStyle w:val="SCCCounselPartyRoleChar"/>
          <w:lang w:val="fr-CA"/>
        </w:rPr>
        <w:t>’</w:t>
      </w:r>
      <w:r w:rsidR="00B326A0" w:rsidRPr="00316C8D">
        <w:rPr>
          <w:rStyle w:val="SCCCounselPartyRoleChar"/>
          <w:lang w:val="fr-CA"/>
        </w:rPr>
        <w:t>intervenante</w:t>
      </w:r>
      <w:r w:rsidRPr="00316C8D">
        <w:rPr>
          <w:rStyle w:val="SCCCounselPartyRoleChar"/>
          <w:lang w:val="fr-CA"/>
        </w:rPr>
        <w:t xml:space="preserve"> </w:t>
      </w:r>
      <w:r w:rsidR="00B326A0" w:rsidRPr="00316C8D">
        <w:rPr>
          <w:rStyle w:val="SCCCounselPartyRoleChar"/>
          <w:lang w:val="fr-CA"/>
        </w:rPr>
        <w:t>la Directrice</w:t>
      </w:r>
      <w:r w:rsidRPr="00316C8D">
        <w:rPr>
          <w:rStyle w:val="SCCCounselPartyRoleChar"/>
          <w:lang w:val="fr-CA"/>
        </w:rPr>
        <w:t xml:space="preserve"> des poursuites </w:t>
      </w:r>
      <w:r w:rsidR="0094291B" w:rsidRPr="00316C8D">
        <w:rPr>
          <w:lang w:val="fr-CA"/>
        </w:rPr>
        <w:t>pénales</w:t>
      </w:r>
      <w:r w:rsidRPr="00316C8D">
        <w:rPr>
          <w:rStyle w:val="SCCCounselPartyRoleChar"/>
          <w:lang w:val="fr-CA"/>
        </w:rPr>
        <w:t>.</w:t>
      </w:r>
    </w:p>
    <w:p w:rsidR="003244C6" w:rsidRPr="00316C8D" w:rsidRDefault="002243A2" w:rsidP="00C66F62">
      <w:pPr>
        <w:pStyle w:val="SCCNormalDoubleSpacing"/>
        <w:spacing w:after="480"/>
        <w:rPr>
          <w:lang w:val="fr-CA"/>
        </w:rPr>
      </w:pPr>
      <w:r w:rsidRPr="00316C8D">
        <w:rPr>
          <w:rStyle w:val="SCCCounselNameChar"/>
          <w:lang w:val="fr-CA"/>
        </w:rPr>
        <w:tab/>
        <w:t>Michael Lacy</w:t>
      </w:r>
      <w:r w:rsidRPr="00316C8D">
        <w:rPr>
          <w:rStyle w:val="SCCCounselSeparatorChar"/>
          <w:lang w:val="fr-CA"/>
        </w:rPr>
        <w:t xml:space="preserve"> et </w:t>
      </w:r>
      <w:r w:rsidRPr="00316C8D">
        <w:rPr>
          <w:rStyle w:val="SCCCounselNameChar"/>
          <w:lang w:val="fr-CA"/>
        </w:rPr>
        <w:t>Bryan Badali</w:t>
      </w:r>
      <w:r w:rsidRPr="00316C8D">
        <w:rPr>
          <w:rStyle w:val="SCCCounselPartyRoleChar"/>
          <w:lang w:val="fr-CA"/>
        </w:rPr>
        <w:t>, pour l</w:t>
      </w:r>
      <w:r w:rsidR="00467FA5" w:rsidRPr="00316C8D">
        <w:rPr>
          <w:rStyle w:val="SCCCounselPartyRoleChar"/>
          <w:lang w:val="fr-CA"/>
        </w:rPr>
        <w:t>’</w:t>
      </w:r>
      <w:r w:rsidR="00B326A0" w:rsidRPr="00316C8D">
        <w:rPr>
          <w:rStyle w:val="SCCCounselPartyRoleChar"/>
          <w:lang w:val="fr-CA"/>
        </w:rPr>
        <w:t>intervenante</w:t>
      </w:r>
      <w:r w:rsidRPr="00316C8D">
        <w:rPr>
          <w:rStyle w:val="SCCCounselPartyRoleChar"/>
          <w:lang w:val="fr-CA"/>
        </w:rPr>
        <w:t xml:space="preserve"> Criminal Lawyers</w:t>
      </w:r>
      <w:r w:rsidR="00467FA5" w:rsidRPr="00316C8D">
        <w:rPr>
          <w:rStyle w:val="SCCCounselPartyRoleChar"/>
          <w:lang w:val="fr-CA"/>
        </w:rPr>
        <w:t>’</w:t>
      </w:r>
      <w:r w:rsidRPr="00316C8D">
        <w:rPr>
          <w:rStyle w:val="SCCCounselPartyRoleChar"/>
          <w:lang w:val="fr-CA"/>
        </w:rPr>
        <w:t xml:space="preserve"> Association of Ontario.</w:t>
      </w:r>
    </w:p>
    <w:p w:rsidR="003244C6" w:rsidRPr="00316C8D" w:rsidRDefault="002243A2" w:rsidP="00C66F62">
      <w:pPr>
        <w:pStyle w:val="SCCNormalDoubleSpacing"/>
        <w:spacing w:after="480"/>
        <w:rPr>
          <w:lang w:val="fr-CA"/>
        </w:rPr>
      </w:pPr>
      <w:r w:rsidRPr="00316C8D">
        <w:rPr>
          <w:rStyle w:val="SCCCounselNameChar"/>
          <w:lang w:val="fr-CA"/>
        </w:rPr>
        <w:tab/>
        <w:t>Gerald Chan</w:t>
      </w:r>
      <w:r w:rsidRPr="00316C8D">
        <w:rPr>
          <w:rStyle w:val="SCCCounselSeparatorChar"/>
          <w:lang w:val="fr-CA"/>
        </w:rPr>
        <w:t xml:space="preserve"> et </w:t>
      </w:r>
      <w:r w:rsidRPr="00316C8D">
        <w:rPr>
          <w:rStyle w:val="SCCCounselNameChar"/>
          <w:lang w:val="fr-CA"/>
        </w:rPr>
        <w:t>Spencer Bass</w:t>
      </w:r>
      <w:r w:rsidRPr="00316C8D">
        <w:rPr>
          <w:rStyle w:val="SCCCounselPartyRoleChar"/>
          <w:lang w:val="fr-CA"/>
        </w:rPr>
        <w:t>, pour l</w:t>
      </w:r>
      <w:r w:rsidR="00467FA5" w:rsidRPr="00316C8D">
        <w:rPr>
          <w:rStyle w:val="SCCCounselPartyRoleChar"/>
          <w:lang w:val="fr-CA"/>
        </w:rPr>
        <w:t>’</w:t>
      </w:r>
      <w:r w:rsidR="00B326A0" w:rsidRPr="00316C8D">
        <w:rPr>
          <w:rStyle w:val="SCCCounselPartyRoleChar"/>
          <w:lang w:val="fr-CA"/>
        </w:rPr>
        <w:t>intervenante</w:t>
      </w:r>
      <w:r w:rsidRPr="00316C8D">
        <w:rPr>
          <w:rStyle w:val="SCCCounselPartyRoleChar"/>
          <w:lang w:val="fr-CA"/>
        </w:rPr>
        <w:t xml:space="preserve"> British Columbia Civil Liberties Association.</w:t>
      </w:r>
    </w:p>
    <w:p w:rsidR="003244C6" w:rsidRPr="00316C8D" w:rsidRDefault="002243A2" w:rsidP="00C66F62">
      <w:pPr>
        <w:pStyle w:val="SCCNormalDoubleSpacing"/>
        <w:spacing w:after="480"/>
        <w:rPr>
          <w:lang w:val="fr-CA"/>
        </w:rPr>
      </w:pPr>
      <w:r w:rsidRPr="00316C8D">
        <w:rPr>
          <w:rStyle w:val="SCCCounselNameChar"/>
          <w:lang w:val="fr-CA"/>
        </w:rPr>
        <w:tab/>
        <w:t>Danielle Glatt</w:t>
      </w:r>
      <w:r w:rsidRPr="00316C8D">
        <w:rPr>
          <w:rStyle w:val="SCCCounselSeparatorChar"/>
          <w:lang w:val="fr-CA"/>
        </w:rPr>
        <w:t xml:space="preserve"> et </w:t>
      </w:r>
      <w:r w:rsidRPr="00316C8D">
        <w:rPr>
          <w:rStyle w:val="SCCCounselNameChar"/>
          <w:lang w:val="fr-CA"/>
        </w:rPr>
        <w:t>Catherine Fan</w:t>
      </w:r>
      <w:r w:rsidRPr="00316C8D">
        <w:rPr>
          <w:rStyle w:val="SCCCounselPartyRoleChar"/>
          <w:lang w:val="fr-CA"/>
        </w:rPr>
        <w:t>, pour l</w:t>
      </w:r>
      <w:r w:rsidR="00467FA5" w:rsidRPr="00316C8D">
        <w:rPr>
          <w:rStyle w:val="SCCCounselPartyRoleChar"/>
          <w:lang w:val="fr-CA"/>
        </w:rPr>
        <w:t>’</w:t>
      </w:r>
      <w:r w:rsidR="00B326A0" w:rsidRPr="00316C8D">
        <w:rPr>
          <w:rStyle w:val="SCCCounselPartyRoleChar"/>
          <w:lang w:val="fr-CA"/>
        </w:rPr>
        <w:t>intervenante</w:t>
      </w:r>
      <w:r w:rsidRPr="00316C8D">
        <w:rPr>
          <w:rStyle w:val="SCCCounselPartyRoleChar"/>
          <w:lang w:val="fr-CA"/>
        </w:rPr>
        <w:t xml:space="preserve"> </w:t>
      </w:r>
      <w:r w:rsidR="0094291B" w:rsidRPr="00316C8D">
        <w:rPr>
          <w:rStyle w:val="SCCCounselPartyRoleChar"/>
          <w:lang w:val="fr-CA"/>
        </w:rPr>
        <w:t>l’</w:t>
      </w:r>
      <w:r w:rsidR="0094291B" w:rsidRPr="00316C8D">
        <w:rPr>
          <w:bCs/>
          <w:lang w:val="fr-CA"/>
        </w:rPr>
        <w:t>Association canadienne des libertés civiles</w:t>
      </w:r>
      <w:r w:rsidRPr="00316C8D">
        <w:rPr>
          <w:rStyle w:val="SCCCounselPartyRoleChar"/>
          <w:lang w:val="fr-CA"/>
        </w:rPr>
        <w:t>.</w:t>
      </w:r>
    </w:p>
    <w:p w:rsidR="00316C8D" w:rsidRPr="00316C8D" w:rsidRDefault="00316C8D" w:rsidP="00316C8D">
      <w:pPr>
        <w:tabs>
          <w:tab w:val="left" w:pos="1134"/>
        </w:tabs>
        <w:jc w:val="both"/>
        <w:rPr>
          <w:szCs w:val="24"/>
          <w:lang w:val="fr-CA"/>
        </w:rPr>
      </w:pPr>
      <w:r w:rsidRPr="00316C8D">
        <w:rPr>
          <w:szCs w:val="24"/>
        </w:rPr>
        <w:tab/>
      </w:r>
      <w:r w:rsidRPr="00316C8D">
        <w:rPr>
          <w:szCs w:val="24"/>
          <w:lang w:val="fr-CA"/>
        </w:rPr>
        <w:t>Version française du jugement de la Cour rendu par</w:t>
      </w:r>
    </w:p>
    <w:p w:rsidR="00316C8D" w:rsidRPr="00316C8D" w:rsidRDefault="00316C8D" w:rsidP="00316C8D">
      <w:pPr>
        <w:tabs>
          <w:tab w:val="left" w:pos="1134"/>
        </w:tabs>
        <w:jc w:val="both"/>
        <w:rPr>
          <w:szCs w:val="24"/>
          <w:lang w:val="fr-CA"/>
        </w:rPr>
      </w:pPr>
    </w:p>
    <w:p w:rsidR="00316C8D" w:rsidRPr="00316C8D" w:rsidRDefault="00316C8D" w:rsidP="003354E8">
      <w:pPr>
        <w:pStyle w:val="JudgeJuge"/>
        <w:tabs>
          <w:tab w:val="clear" w:pos="1166"/>
          <w:tab w:val="left" w:pos="1134"/>
        </w:tabs>
        <w:spacing w:before="240"/>
        <w:rPr>
          <w:lang w:val="fr-CA"/>
        </w:rPr>
      </w:pPr>
      <w:r w:rsidRPr="00316C8D">
        <w:rPr>
          <w:lang w:val="fr-CA"/>
        </w:rPr>
        <w:tab/>
      </w:r>
      <w:bookmarkStart w:id="2" w:name="_Hlk111540293"/>
      <w:r w:rsidRPr="00316C8D">
        <w:rPr>
          <w:lang w:val="fr-CA"/>
        </w:rPr>
        <w:t>La juge Karakatsanis</w:t>
      </w:r>
      <w:bookmarkEnd w:id="2"/>
      <w:r w:rsidRPr="00316C8D">
        <w:rPr>
          <w:lang w:val="fr-CA"/>
        </w:rPr>
        <w:t xml:space="preserve"> —</w:t>
      </w:r>
    </w:p>
    <w:p w:rsidR="00316C8D" w:rsidRPr="00316C8D" w:rsidRDefault="00316C8D" w:rsidP="00316C8D">
      <w:pPr>
        <w:pStyle w:val="ParaNoNdepar-AltN"/>
        <w:tabs>
          <w:tab w:val="clear" w:pos="1152"/>
          <w:tab w:val="left" w:pos="1166"/>
        </w:tabs>
        <w:spacing w:before="0"/>
        <w:rPr>
          <w:rFonts w:cs="Times New Roman"/>
          <w:lang w:val="fr-CA"/>
        </w:rPr>
      </w:pPr>
      <w:r w:rsidRPr="00316C8D">
        <w:rPr>
          <w:rFonts w:cs="Times New Roman"/>
          <w:lang w:val="fr-CA"/>
        </w:rPr>
        <w:t>L’appelant, Temitope Dare</w:t>
      </w:r>
      <w:bookmarkStart w:id="3" w:name="_Hlk111540355"/>
      <w:r w:rsidRPr="00316C8D">
        <w:rPr>
          <w:rFonts w:cs="Times New Roman"/>
          <w:lang w:val="fr-CA"/>
        </w:rPr>
        <w:t>, est l’une des 104 personnes qui ont été arrêtées dans le cadre du « Projet Raphael », une enquête en ligne de la Police régionale de York qui ciblait les acheteurs sur le marché du travail du sexe juvénile. Son pourvoi devant notre Cour a été entendu avec trois autres pourvois, qui portaient tous sur la doctrine de la provocation policière dans le contexte de l’enquête policière en ligne menée au cours du Projet Raphael. Les pourvois connexes, dont les motifs sont déposés en même temps que ceux</w:t>
      </w:r>
      <w:r w:rsidRPr="00316C8D">
        <w:rPr>
          <w:rFonts w:cs="Times New Roman"/>
          <w:lang w:val="fr-CA"/>
        </w:rPr>
        <w:noBreakHyphen/>
        <w:t xml:space="preserve">ci, sont </w:t>
      </w:r>
      <w:r w:rsidRPr="00316C8D">
        <w:rPr>
          <w:rFonts w:cs="Times New Roman"/>
          <w:i/>
          <w:lang w:val="fr-CA"/>
        </w:rPr>
        <w:t>R. c. Ramelson</w:t>
      </w:r>
      <w:r w:rsidRPr="00316C8D">
        <w:rPr>
          <w:rFonts w:cs="Times New Roman"/>
          <w:lang w:val="fr-CA"/>
        </w:rPr>
        <w:t>, 2022 CSC 44,</w:t>
      </w:r>
      <w:r w:rsidRPr="00316C8D">
        <w:rPr>
          <w:rFonts w:cs="Times New Roman"/>
          <w:i/>
          <w:lang w:val="fr-CA"/>
        </w:rPr>
        <w:t xml:space="preserve"> R. c. Jaffer</w:t>
      </w:r>
      <w:r w:rsidRPr="00316C8D">
        <w:rPr>
          <w:rFonts w:cs="Times New Roman"/>
          <w:lang w:val="fr-CA"/>
        </w:rPr>
        <w:t>,</w:t>
      </w:r>
      <w:r w:rsidRPr="00316C8D">
        <w:rPr>
          <w:rFonts w:cs="Times New Roman"/>
          <w:i/>
          <w:lang w:val="fr-CA"/>
        </w:rPr>
        <w:t xml:space="preserve"> </w:t>
      </w:r>
      <w:r w:rsidRPr="00316C8D">
        <w:rPr>
          <w:rFonts w:cs="Times New Roman"/>
          <w:lang w:val="fr-CA"/>
        </w:rPr>
        <w:t xml:space="preserve">2022 CSC 45, et </w:t>
      </w:r>
      <w:r w:rsidRPr="00316C8D">
        <w:rPr>
          <w:rFonts w:cs="Times New Roman"/>
          <w:i/>
          <w:lang w:val="fr-CA"/>
        </w:rPr>
        <w:t>R. c. Haniffa</w:t>
      </w:r>
      <w:r w:rsidRPr="00316C8D">
        <w:rPr>
          <w:rFonts w:cs="Times New Roman"/>
          <w:lang w:val="fr-CA"/>
        </w:rPr>
        <w:t>, 2022 CSC 46. À l’instar de deux des trois autres appelants, M. Dare fait appel d’une ordonnance de la Cour d’appel de l’Ontario qui a rejeté l’appel de sa déclaration de culpabilité ainsi que son appel du rejet par la première juge de sa demande fondée sur la provocation policière</w:t>
      </w:r>
      <w:bookmarkEnd w:id="3"/>
      <w:r w:rsidRPr="00316C8D">
        <w:rPr>
          <w:rFonts w:cs="Times New Roman"/>
          <w:lang w:val="fr-CA"/>
        </w:rPr>
        <w:t>.</w:t>
      </w:r>
    </w:p>
    <w:p w:rsidR="00316C8D" w:rsidRPr="00316C8D" w:rsidRDefault="00316C8D" w:rsidP="00316C8D">
      <w:pPr>
        <w:pStyle w:val="ParaNoNdepar-AltN"/>
        <w:tabs>
          <w:tab w:val="clear" w:pos="1152"/>
          <w:tab w:val="left" w:pos="1166"/>
        </w:tabs>
        <w:spacing w:before="0"/>
        <w:rPr>
          <w:rFonts w:cs="Times New Roman"/>
          <w:lang w:val="fr-CA"/>
        </w:rPr>
      </w:pPr>
      <w:r w:rsidRPr="00316C8D">
        <w:rPr>
          <w:rFonts w:cs="Times New Roman"/>
          <w:lang w:val="fr-CA"/>
        </w:rPr>
        <w:t>Le pourvoi de M. Dare concerne le sous</w:t>
      </w:r>
      <w:r w:rsidRPr="00316C8D">
        <w:rPr>
          <w:rFonts w:cs="Times New Roman"/>
          <w:lang w:val="fr-CA"/>
        </w:rPr>
        <w:noBreakHyphen/>
        <w:t xml:space="preserve">volet « véritable enquête » de la doctrine de la provocation policière en lien avec le Projet Raphael. Parce que j’examine ces questions en détail dans </w:t>
      </w:r>
      <w:r w:rsidRPr="00316C8D">
        <w:rPr>
          <w:rFonts w:cs="Times New Roman"/>
          <w:i/>
          <w:lang w:val="fr-CA"/>
        </w:rPr>
        <w:t>Ramelson</w:t>
      </w:r>
      <w:r w:rsidRPr="00316C8D">
        <w:rPr>
          <w:rFonts w:cs="Times New Roman"/>
          <w:lang w:val="fr-CA"/>
        </w:rPr>
        <w:t xml:space="preserve"> et que le dispositif du présent pourvoi est nécessairement le même, mes motifs sont brefs dans la présente espèce.</w:t>
      </w:r>
    </w:p>
    <w:p w:rsidR="00316C8D" w:rsidRPr="00316C8D" w:rsidRDefault="00316C8D" w:rsidP="00316C8D">
      <w:pPr>
        <w:pStyle w:val="ParaNoNdepar-AltN"/>
        <w:tabs>
          <w:tab w:val="clear" w:pos="1152"/>
          <w:tab w:val="left" w:pos="1166"/>
        </w:tabs>
        <w:rPr>
          <w:rFonts w:cs="Times New Roman"/>
          <w:lang w:val="fr-CA"/>
        </w:rPr>
      </w:pPr>
      <w:r w:rsidRPr="00316C8D">
        <w:rPr>
          <w:rFonts w:cs="Times New Roman"/>
          <w:lang w:val="fr-CA"/>
        </w:rPr>
        <w:t>Le 25 mars 2016, alors qu’il naviguait dans le sous</w:t>
      </w:r>
      <w:r w:rsidRPr="00316C8D">
        <w:rPr>
          <w:rFonts w:cs="Times New Roman"/>
          <w:lang w:val="fr-CA"/>
        </w:rPr>
        <w:noBreakHyphen/>
        <w:t xml:space="preserve">répertoire escortes de Backpage.com, M. Dare a répondu à une annonce censément placée par « Kathy ». </w:t>
      </w:r>
      <w:bookmarkStart w:id="4" w:name="_Hlk109814138"/>
      <w:r w:rsidRPr="00316C8D">
        <w:rPr>
          <w:rFonts w:cs="Times New Roman"/>
          <w:lang w:val="fr-CA"/>
        </w:rPr>
        <w:t>L’annonce indiquait qu’elle était âgée de 18 ans (l’âge minimum autorisé par le site Web), la décrivait comme étant une [</w:t>
      </w:r>
      <w:r w:rsidRPr="00316C8D">
        <w:rPr>
          <w:rFonts w:cs="Times New Roman"/>
          <w:smallCaps/>
          <w:lang w:val="fr-CA"/>
        </w:rPr>
        <w:t>traduction</w:t>
      </w:r>
      <w:r w:rsidRPr="00316C8D">
        <w:rPr>
          <w:rFonts w:cs="Times New Roman"/>
          <w:lang w:val="fr-CA"/>
        </w:rPr>
        <w:t>]</w:t>
      </w:r>
      <w:bookmarkEnd w:id="4"/>
      <w:r w:rsidRPr="00316C8D">
        <w:rPr>
          <w:rFonts w:cs="Times New Roman"/>
          <w:lang w:val="fr-CA"/>
        </w:rPr>
        <w:t xml:space="preserve"> « Toute nouvelle jeune fille mince [. . .] qui est jeune et sexy avec un corps ferme » et mentionnait qu’elle avait une « JEUNE AMIE » (</w:t>
      </w:r>
      <w:proofErr w:type="spellStart"/>
      <w:proofErr w:type="gramStart"/>
      <w:r w:rsidRPr="00316C8D">
        <w:rPr>
          <w:rFonts w:cs="Times New Roman"/>
          <w:lang w:val="fr-CA"/>
        </w:rPr>
        <w:t>d.i</w:t>
      </w:r>
      <w:proofErr w:type="spellEnd"/>
      <w:r w:rsidRPr="00316C8D">
        <w:rPr>
          <w:rFonts w:cs="Times New Roman"/>
          <w:lang w:val="fr-CA"/>
        </w:rPr>
        <w:t>.,</w:t>
      </w:r>
      <w:proofErr w:type="gramEnd"/>
      <w:r w:rsidRPr="00316C8D">
        <w:rPr>
          <w:rFonts w:cs="Times New Roman"/>
          <w:lang w:val="fr-CA"/>
        </w:rPr>
        <w:t xml:space="preserve"> vol. IV, p. 118). Communiquant avec M. Dare par messages textes, l’agent d’infiltration (AI) lui a révélé, au bout d’un certain temps, qu’« elle » était âgée de 15 ans :</w:t>
      </w:r>
    </w:p>
    <w:p w:rsidR="00316C8D" w:rsidRPr="00316C8D" w:rsidRDefault="00316C8D" w:rsidP="00316C8D">
      <w:pPr>
        <w:pStyle w:val="Citation-AltC"/>
        <w:spacing w:after="240"/>
        <w:ind w:hanging="356"/>
        <w:contextualSpacing w:val="0"/>
        <w:rPr>
          <w:lang w:val="fr-CA"/>
        </w:rPr>
      </w:pPr>
      <w:r w:rsidRPr="00316C8D">
        <w:rPr>
          <w:lang w:val="fr-CA"/>
        </w:rPr>
        <w:tab/>
        <w:t>[</w:t>
      </w:r>
      <w:r w:rsidRPr="00316C8D">
        <w:rPr>
          <w:smallCaps/>
          <w:lang w:val="fr-CA"/>
        </w:rPr>
        <w:t>traduction</w:t>
      </w:r>
      <w:r w:rsidRPr="00316C8D">
        <w:rPr>
          <w:lang w:val="fr-CA"/>
        </w:rPr>
        <w:t>]</w:t>
      </w:r>
    </w:p>
    <w:p w:rsidR="00316C8D" w:rsidRPr="00316C8D" w:rsidRDefault="00316C8D" w:rsidP="00316C8D">
      <w:pPr>
        <w:pStyle w:val="Citation-AltC"/>
        <w:spacing w:after="240"/>
        <w:ind w:hanging="356"/>
        <w:contextualSpacing w:val="0"/>
        <w:rPr>
          <w:lang w:val="fr-CA"/>
        </w:rPr>
      </w:pPr>
      <w:r w:rsidRPr="00316C8D">
        <w:rPr>
          <w:lang w:val="fr-CA"/>
        </w:rPr>
        <w:tab/>
        <w:t>[03:26 – AI] : Ça te va si je suis jeune?</w:t>
      </w:r>
    </w:p>
    <w:p w:rsidR="00316C8D" w:rsidRPr="00316C8D" w:rsidRDefault="00316C8D" w:rsidP="00316C8D">
      <w:pPr>
        <w:pStyle w:val="Citation-AltC"/>
        <w:spacing w:after="240"/>
        <w:ind w:hanging="356"/>
        <w:contextualSpacing w:val="0"/>
        <w:rPr>
          <w:lang w:val="fr-CA"/>
        </w:rPr>
      </w:pPr>
      <w:r w:rsidRPr="00316C8D">
        <w:rPr>
          <w:lang w:val="fr-CA"/>
        </w:rPr>
        <w:tab/>
        <w:t>[03:26 – Dare] : Oui</w:t>
      </w:r>
    </w:p>
    <w:p w:rsidR="00316C8D" w:rsidRPr="00316C8D" w:rsidRDefault="00316C8D" w:rsidP="00316C8D">
      <w:pPr>
        <w:pStyle w:val="Citation-AltC"/>
        <w:spacing w:after="240"/>
        <w:ind w:hanging="356"/>
        <w:contextualSpacing w:val="0"/>
        <w:rPr>
          <w:lang w:val="fr-CA"/>
        </w:rPr>
      </w:pPr>
      <w:r w:rsidRPr="00316C8D">
        <w:rPr>
          <w:lang w:val="fr-CA"/>
        </w:rPr>
        <w:tab/>
        <w:t>[03:27 – Dare] : Je suis jeune moi aussi</w:t>
      </w:r>
    </w:p>
    <w:p w:rsidR="00316C8D" w:rsidRPr="00316C8D" w:rsidRDefault="00316C8D" w:rsidP="00316C8D">
      <w:pPr>
        <w:pStyle w:val="Citation-AltC"/>
        <w:spacing w:after="240"/>
        <w:ind w:hanging="356"/>
        <w:contextualSpacing w:val="0"/>
        <w:rPr>
          <w:lang w:val="fr-CA"/>
        </w:rPr>
      </w:pPr>
      <w:r w:rsidRPr="00316C8D">
        <w:rPr>
          <w:lang w:val="fr-CA"/>
        </w:rPr>
        <w:tab/>
        <w:t xml:space="preserve">[03:27 – AI] : Ok cool. J’ai 15 ans, mais j’ai l’air un peu plus </w:t>
      </w:r>
      <w:proofErr w:type="gramStart"/>
      <w:r w:rsidRPr="00316C8D">
        <w:rPr>
          <w:lang w:val="fr-CA"/>
        </w:rPr>
        <w:t>vieille</w:t>
      </w:r>
      <w:proofErr w:type="gramEnd"/>
      <w:r w:rsidRPr="00316C8D">
        <w:rPr>
          <w:lang w:val="fr-CA"/>
        </w:rPr>
        <w:t>.</w:t>
      </w:r>
    </w:p>
    <w:p w:rsidR="00316C8D" w:rsidRPr="00316C8D" w:rsidRDefault="00316C8D" w:rsidP="00316C8D">
      <w:pPr>
        <w:pStyle w:val="Citation-AltC"/>
        <w:spacing w:after="240"/>
        <w:ind w:left="4590" w:hanging="356"/>
        <w:contextualSpacing w:val="0"/>
        <w:rPr>
          <w:lang w:val="fr-CA"/>
        </w:rPr>
      </w:pPr>
      <w:r w:rsidRPr="00316C8D">
        <w:rPr>
          <w:lang w:val="fr-CA"/>
        </w:rPr>
        <w:tab/>
        <w:t>. . .</w:t>
      </w:r>
    </w:p>
    <w:p w:rsidR="00316C8D" w:rsidRPr="00316C8D" w:rsidRDefault="00316C8D" w:rsidP="00316C8D">
      <w:pPr>
        <w:pStyle w:val="Citation-AltC"/>
        <w:spacing w:after="240"/>
        <w:ind w:hanging="356"/>
        <w:contextualSpacing w:val="0"/>
        <w:rPr>
          <w:lang w:val="fr-CA"/>
        </w:rPr>
      </w:pPr>
      <w:r w:rsidRPr="00316C8D">
        <w:rPr>
          <w:lang w:val="fr-CA"/>
        </w:rPr>
        <w:tab/>
        <w:t>[03:28 – AI] : T’as quel âge, toi, si ça te dérange pas que je le demande?</w:t>
      </w:r>
    </w:p>
    <w:p w:rsidR="00316C8D" w:rsidRPr="00316C8D" w:rsidRDefault="00316C8D" w:rsidP="00316C8D">
      <w:pPr>
        <w:pStyle w:val="Citation-AltC"/>
        <w:spacing w:after="240"/>
        <w:ind w:hanging="356"/>
        <w:contextualSpacing w:val="0"/>
        <w:rPr>
          <w:lang w:val="fr-CA"/>
        </w:rPr>
      </w:pPr>
      <w:r w:rsidRPr="00316C8D">
        <w:rPr>
          <w:lang w:val="fr-CA"/>
        </w:rPr>
        <w:tab/>
        <w:t>[03:29 – Dare] : Ok j’ai 22 ans</w:t>
      </w:r>
    </w:p>
    <w:p w:rsidR="00316C8D" w:rsidRPr="00316C8D" w:rsidRDefault="00316C8D" w:rsidP="00316C8D">
      <w:pPr>
        <w:pStyle w:val="Citation-AltC"/>
        <w:ind w:hanging="360"/>
        <w:contextualSpacing w:val="0"/>
        <w:rPr>
          <w:lang w:val="fr-CA"/>
        </w:rPr>
      </w:pPr>
      <w:r w:rsidRPr="00316C8D">
        <w:rPr>
          <w:lang w:val="fr-CA"/>
        </w:rPr>
        <w:tab/>
        <w:t>(</w:t>
      </w:r>
      <w:proofErr w:type="spellStart"/>
      <w:proofErr w:type="gramStart"/>
      <w:r w:rsidRPr="00316C8D">
        <w:rPr>
          <w:lang w:val="fr-CA"/>
        </w:rPr>
        <w:t>d.i</w:t>
      </w:r>
      <w:proofErr w:type="spellEnd"/>
      <w:r w:rsidRPr="00316C8D">
        <w:rPr>
          <w:lang w:val="fr-CA"/>
        </w:rPr>
        <w:t>.,</w:t>
      </w:r>
      <w:proofErr w:type="gramEnd"/>
      <w:r w:rsidRPr="00316C8D">
        <w:rPr>
          <w:lang w:val="fr-CA"/>
        </w:rPr>
        <w:t xml:space="preserve"> vol. IV, p. 121</w:t>
      </w:r>
      <w:r w:rsidRPr="00316C8D">
        <w:rPr>
          <w:lang w:val="fr-CA"/>
        </w:rPr>
        <w:noBreakHyphen/>
        <w:t>122)</w:t>
      </w:r>
    </w:p>
    <w:p w:rsidR="00316C8D" w:rsidRPr="00316C8D" w:rsidRDefault="00316C8D" w:rsidP="00316C8D">
      <w:pPr>
        <w:pStyle w:val="ParaNoNdepar-AltN"/>
        <w:tabs>
          <w:tab w:val="clear" w:pos="1152"/>
          <w:tab w:val="left" w:pos="1166"/>
        </w:tabs>
        <w:spacing w:before="0"/>
        <w:rPr>
          <w:rFonts w:cs="Times New Roman"/>
          <w:lang w:val="fr-CA"/>
        </w:rPr>
      </w:pPr>
      <w:r w:rsidRPr="00316C8D">
        <w:rPr>
          <w:rFonts w:cs="Times New Roman"/>
          <w:lang w:val="fr-CA"/>
        </w:rPr>
        <w:t xml:space="preserve">À son arrivée à la chambre d’hôtel désignée, M. Dare a été arrêté. Il a été accusé de trois infractions : avoir communiqué par un moyen de télécommunication avec une personne qu’il croyait être âgée de moins de 18 ans en vue de commettre une infraction visée au </w:t>
      </w:r>
      <w:proofErr w:type="spellStart"/>
      <w:r w:rsidRPr="00316C8D">
        <w:rPr>
          <w:rFonts w:cs="Times New Roman"/>
          <w:lang w:val="fr-CA"/>
        </w:rPr>
        <w:t>par</w:t>
      </w:r>
      <w:proofErr w:type="spellEnd"/>
      <w:r w:rsidRPr="00316C8D">
        <w:rPr>
          <w:rFonts w:cs="Times New Roman"/>
          <w:lang w:val="fr-CA"/>
        </w:rPr>
        <w:t xml:space="preserve">. 286.1(2) du </w:t>
      </w:r>
      <w:r w:rsidRPr="00316C8D">
        <w:rPr>
          <w:rFonts w:cs="Times New Roman"/>
          <w:i/>
          <w:lang w:val="fr-CA"/>
        </w:rPr>
        <w:t>Code criminel</w:t>
      </w:r>
      <w:r w:rsidRPr="00316C8D">
        <w:rPr>
          <w:rFonts w:cs="Times New Roman"/>
          <w:lang w:val="fr-CA"/>
        </w:rPr>
        <w:t>, L.R.C. 1985, c. C</w:t>
      </w:r>
      <w:r w:rsidRPr="00316C8D">
        <w:rPr>
          <w:rFonts w:cs="Times New Roman"/>
          <w:lang w:val="fr-CA"/>
        </w:rPr>
        <w:noBreakHyphen/>
        <w:t>46 (communiquer pour obtenir les services sexuels d’une personne mineure), en contravention de l’al. 172.1(1)a); avoir communiqué par un moyen de télécommunication avec une personne qu’il croyait être âgée de moins de 16 ans en vue de commettre une infraction visée à l’art. 152 (incitation à des contacts sexuels), en contravention de l’al. 172.1(1)b); et avoir communiqué en vue d’obtenir, moyennant rétribution, les services sexuels d’une personne âgée de moins de 18 ans, en contravention du par. 286.1(2).</w:t>
      </w:r>
    </w:p>
    <w:p w:rsidR="00316C8D" w:rsidRPr="00316C8D" w:rsidRDefault="00316C8D" w:rsidP="00316C8D">
      <w:pPr>
        <w:pStyle w:val="ParaNoNdepar-AltN"/>
        <w:tabs>
          <w:tab w:val="clear" w:pos="1152"/>
          <w:tab w:val="left" w:pos="1166"/>
        </w:tabs>
        <w:spacing w:before="0"/>
        <w:rPr>
          <w:rFonts w:cs="Times New Roman"/>
          <w:lang w:val="fr-CA"/>
        </w:rPr>
      </w:pPr>
      <w:r w:rsidRPr="00316C8D">
        <w:rPr>
          <w:rFonts w:cs="Times New Roman"/>
          <w:lang w:val="fr-CA"/>
        </w:rPr>
        <w:t xml:space="preserve">Le jury a déclaré M. Dare coupable des trois chefs d’accusation, mais ses déclarations de culpabilité fondées sur l’al. 172.1(1)b) et le par. 286.1(2) ont été suspendues par application de l’arrêt </w:t>
      </w:r>
      <w:r w:rsidRPr="00316C8D">
        <w:rPr>
          <w:rFonts w:cs="Times New Roman"/>
          <w:i/>
          <w:lang w:val="fr-CA"/>
        </w:rPr>
        <w:t>Kienapple c. La Reine</w:t>
      </w:r>
      <w:r w:rsidRPr="00316C8D">
        <w:rPr>
          <w:rFonts w:cs="Times New Roman"/>
          <w:lang w:val="fr-CA"/>
        </w:rPr>
        <w:t>,</w:t>
      </w:r>
      <w:r w:rsidRPr="00316C8D">
        <w:rPr>
          <w:rFonts w:cs="Times New Roman"/>
          <w:i/>
          <w:lang w:val="fr-CA"/>
        </w:rPr>
        <w:t xml:space="preserve"> </w:t>
      </w:r>
      <w:r w:rsidRPr="00316C8D">
        <w:rPr>
          <w:rFonts w:cs="Times New Roman"/>
          <w:lang w:val="fr-CA"/>
        </w:rPr>
        <w:t>[1975] 1 R.C.S. 729. Monsieur Dare a alors présenté une demande d’arrêt des procédures, plaidant qu’il avait fait l’objet de provocation policière.</w:t>
      </w:r>
    </w:p>
    <w:p w:rsidR="00316C8D" w:rsidRPr="00316C8D" w:rsidRDefault="00316C8D" w:rsidP="00316C8D">
      <w:pPr>
        <w:pStyle w:val="ParaNoNdepar-AltN"/>
        <w:tabs>
          <w:tab w:val="clear" w:pos="1152"/>
          <w:tab w:val="left" w:pos="1166"/>
        </w:tabs>
        <w:spacing w:before="0"/>
        <w:rPr>
          <w:rFonts w:cs="Times New Roman"/>
          <w:lang w:val="fr-CA"/>
        </w:rPr>
      </w:pPr>
      <w:r w:rsidRPr="00316C8D">
        <w:rPr>
          <w:rFonts w:cs="Times New Roman"/>
          <w:lang w:val="fr-CA"/>
        </w:rPr>
        <w:t>La juge saisie de la demande l’a rejetée, concluant que le Projet Raphael était fondé sur les soupçons raisonnables de la police que les infractions étaient perpétrées dans un espace suffisamment précis. Puisque la police avait fait [</w:t>
      </w:r>
      <w:r w:rsidRPr="00316C8D">
        <w:rPr>
          <w:rFonts w:cs="Times New Roman"/>
          <w:smallCaps/>
          <w:lang w:val="fr-CA"/>
        </w:rPr>
        <w:t>traduction</w:t>
      </w:r>
      <w:r w:rsidRPr="00316C8D">
        <w:rPr>
          <w:rFonts w:cs="Times New Roman"/>
          <w:lang w:val="fr-CA"/>
        </w:rPr>
        <w:t>] « tout ce qu’il était possible de faire à l’intérieur des balises de Backpage » afin de limiter le bassin des individus qui choisiraient de répondre à l’annonce aux individus intéressés à obtenir les services sexuels d’une jeune personne, la conduite de la police n’équivalait pas à éprouver au hasard la vertu des gens (</w:t>
      </w:r>
      <w:proofErr w:type="gramStart"/>
      <w:r w:rsidRPr="00316C8D">
        <w:rPr>
          <w:rFonts w:cs="Times New Roman"/>
          <w:lang w:val="fr-CA"/>
        </w:rPr>
        <w:t>d.a.,</w:t>
      </w:r>
      <w:proofErr w:type="gramEnd"/>
      <w:r w:rsidRPr="00316C8D">
        <w:rPr>
          <w:rFonts w:cs="Times New Roman"/>
          <w:lang w:val="fr-CA"/>
        </w:rPr>
        <w:t xml:space="preserve"> vol. I, p. 8). La Cour d’appel a ensuite rejeté l’appel de M. Dare pour les motifs qu’elle avait formulés dans l’arrêt </w:t>
      </w:r>
      <w:r w:rsidRPr="00316C8D">
        <w:rPr>
          <w:rFonts w:cs="Times New Roman"/>
          <w:i/>
          <w:lang w:val="fr-CA"/>
        </w:rPr>
        <w:t>R. c. Ramelson</w:t>
      </w:r>
      <w:r w:rsidRPr="00316C8D">
        <w:rPr>
          <w:rFonts w:cs="Times New Roman"/>
          <w:iCs/>
          <w:lang w:val="fr-CA"/>
        </w:rPr>
        <w:t>,</w:t>
      </w:r>
      <w:r w:rsidRPr="00316C8D">
        <w:rPr>
          <w:rFonts w:cs="Times New Roman"/>
          <w:i/>
          <w:lang w:val="fr-CA"/>
        </w:rPr>
        <w:t xml:space="preserve"> </w:t>
      </w:r>
      <w:r w:rsidRPr="00316C8D">
        <w:rPr>
          <w:rFonts w:cs="Times New Roman"/>
          <w:lang w:val="fr-CA"/>
        </w:rPr>
        <w:t>2021 ONCA 328, 155 O.R. (3d) 481, qui avait traité de la question litigieuse commune de savoir si les personnes arrêtées dans le cadre du Projet Raphael avaient fait l’objet de provocation policière (2021 ONCA 327, 155 O.R. (3d) 516, par. 28).</w:t>
      </w:r>
    </w:p>
    <w:p w:rsidR="00316C8D" w:rsidRPr="00316C8D" w:rsidRDefault="00316C8D" w:rsidP="00316C8D">
      <w:pPr>
        <w:pStyle w:val="ParaNoNdepar-AltN"/>
        <w:tabs>
          <w:tab w:val="clear" w:pos="1152"/>
          <w:tab w:val="left" w:pos="1166"/>
        </w:tabs>
        <w:spacing w:before="0"/>
        <w:rPr>
          <w:rFonts w:cs="Times New Roman"/>
          <w:lang w:val="fr-CA"/>
        </w:rPr>
      </w:pPr>
      <w:r w:rsidRPr="00316C8D">
        <w:rPr>
          <w:rFonts w:cs="Times New Roman"/>
          <w:lang w:val="fr-CA"/>
        </w:rPr>
        <w:t xml:space="preserve">Dans le présent pourvoi, M. Dare fait siennes les observations soumises par les appelants dans les affaires </w:t>
      </w:r>
      <w:r w:rsidRPr="00316C8D">
        <w:rPr>
          <w:rFonts w:cs="Times New Roman"/>
          <w:i/>
          <w:lang w:val="fr-CA"/>
        </w:rPr>
        <w:t>Ramelson</w:t>
      </w:r>
      <w:r w:rsidRPr="00316C8D">
        <w:rPr>
          <w:rFonts w:cs="Times New Roman"/>
          <w:lang w:val="fr-CA"/>
        </w:rPr>
        <w:t xml:space="preserve"> et </w:t>
      </w:r>
      <w:r w:rsidRPr="00316C8D">
        <w:rPr>
          <w:rFonts w:cs="Times New Roman"/>
          <w:i/>
          <w:iCs/>
          <w:lang w:val="fr-CA"/>
        </w:rPr>
        <w:t>Haniffa</w:t>
      </w:r>
      <w:r w:rsidRPr="00316C8D">
        <w:rPr>
          <w:rFonts w:cs="Times New Roman"/>
          <w:lang w:val="fr-CA"/>
        </w:rPr>
        <w:t>, affirmant que [</w:t>
      </w:r>
      <w:r w:rsidRPr="00316C8D">
        <w:rPr>
          <w:rFonts w:cs="Times New Roman"/>
          <w:smallCaps/>
          <w:lang w:val="fr-CA"/>
        </w:rPr>
        <w:t>traduction</w:t>
      </w:r>
      <w:r w:rsidRPr="00316C8D">
        <w:rPr>
          <w:rFonts w:cs="Times New Roman"/>
          <w:lang w:val="fr-CA"/>
        </w:rPr>
        <w:t>] « les faits de la présente espèce sont suffisamment similaires qu’ils devraient en conséquence mener aux mêmes conclusions » (</w:t>
      </w:r>
      <w:proofErr w:type="spellStart"/>
      <w:proofErr w:type="gramStart"/>
      <w:r w:rsidRPr="00316C8D">
        <w:rPr>
          <w:rFonts w:cs="Times New Roman"/>
          <w:lang w:val="fr-CA"/>
        </w:rPr>
        <w:t>m.a</w:t>
      </w:r>
      <w:proofErr w:type="spellEnd"/>
      <w:r w:rsidRPr="00316C8D">
        <w:rPr>
          <w:rFonts w:cs="Times New Roman"/>
          <w:lang w:val="fr-CA"/>
        </w:rPr>
        <w:t>.,</w:t>
      </w:r>
      <w:proofErr w:type="gramEnd"/>
      <w:r w:rsidRPr="00316C8D">
        <w:rPr>
          <w:rFonts w:cs="Times New Roman"/>
          <w:lang w:val="fr-CA"/>
        </w:rPr>
        <w:t xml:space="preserve"> par. 23). Pour les motifs que j’ai exposés dans l’arrêt </w:t>
      </w:r>
      <w:r w:rsidRPr="00316C8D">
        <w:rPr>
          <w:rFonts w:cs="Times New Roman"/>
          <w:i/>
          <w:lang w:val="fr-CA"/>
        </w:rPr>
        <w:t>Ramelson</w:t>
      </w:r>
      <w:r w:rsidRPr="00316C8D">
        <w:rPr>
          <w:rFonts w:cs="Times New Roman"/>
          <w:lang w:val="fr-CA"/>
        </w:rPr>
        <w:t>, dans lesquels j’ai conclu que le Projet Raphael constituait une véritable enquête, je ne saurais retenir les moyens d’appel de M. Dare. Ce dernier n’a pas fait l’objet de provocation policière. Je suis par conséquent d’avis de rejeter le pourvoi.</w:t>
      </w:r>
    </w:p>
    <w:p w:rsidR="004D7D95" w:rsidRPr="00316C8D" w:rsidRDefault="004D7D95" w:rsidP="00C66F62">
      <w:pPr>
        <w:pStyle w:val="SCCNormalDoubleSpacing"/>
        <w:spacing w:after="480"/>
        <w:rPr>
          <w:lang w:val="fr-CA"/>
        </w:rPr>
      </w:pPr>
      <w:r w:rsidRPr="00316C8D">
        <w:rPr>
          <w:lang w:val="fr-CA"/>
        </w:rPr>
        <w:tab/>
      </w:r>
      <w:r w:rsidR="00B326A0" w:rsidRPr="00316C8D">
        <w:rPr>
          <w:i/>
          <w:lang w:val="fr-CA"/>
        </w:rPr>
        <w:t xml:space="preserve">Pourvoi </w:t>
      </w:r>
      <w:r w:rsidR="00931010" w:rsidRPr="00316C8D">
        <w:rPr>
          <w:i/>
          <w:lang w:val="fr-CA"/>
        </w:rPr>
        <w:t>rejeté</w:t>
      </w:r>
      <w:r w:rsidR="00B326A0" w:rsidRPr="00316C8D">
        <w:rPr>
          <w:i/>
          <w:lang w:val="fr-CA"/>
        </w:rPr>
        <w:t>.</w:t>
      </w:r>
    </w:p>
    <w:p w:rsidR="003244C6" w:rsidRPr="00316C8D" w:rsidRDefault="00B326A0" w:rsidP="00C66F62">
      <w:pPr>
        <w:pStyle w:val="SCCLawFirm"/>
        <w:spacing w:after="480"/>
        <w:rPr>
          <w:lang w:val="fr-CA"/>
        </w:rPr>
      </w:pPr>
      <w:r w:rsidRPr="00316C8D">
        <w:rPr>
          <w:lang w:val="fr-CA"/>
        </w:rPr>
        <w:tab/>
        <w:t>Procureur</w:t>
      </w:r>
      <w:r w:rsidR="002243A2" w:rsidRPr="00316C8D">
        <w:rPr>
          <w:lang w:val="fr-CA"/>
        </w:rPr>
        <w:t xml:space="preserve"> de l</w:t>
      </w:r>
      <w:r w:rsidR="00467FA5" w:rsidRPr="00316C8D">
        <w:rPr>
          <w:lang w:val="fr-CA"/>
        </w:rPr>
        <w:t>’</w:t>
      </w:r>
      <w:r w:rsidR="00C71A05" w:rsidRPr="00316C8D">
        <w:rPr>
          <w:lang w:val="fr-CA"/>
        </w:rPr>
        <w:t>intimé</w:t>
      </w:r>
      <w:r w:rsidRPr="00316C8D">
        <w:rPr>
          <w:lang w:val="fr-CA"/>
        </w:rPr>
        <w:t> </w:t>
      </w:r>
      <w:r w:rsidR="002243A2" w:rsidRPr="00316C8D">
        <w:rPr>
          <w:lang w:val="fr-CA"/>
        </w:rPr>
        <w:t xml:space="preserve">: </w:t>
      </w:r>
      <w:r w:rsidRPr="00316C8D">
        <w:rPr>
          <w:lang w:val="fr-CA"/>
        </w:rPr>
        <w:t>Procureur général</w:t>
      </w:r>
      <w:r w:rsidR="002243A2" w:rsidRPr="00316C8D">
        <w:rPr>
          <w:lang w:val="fr-CA"/>
        </w:rPr>
        <w:t xml:space="preserve"> </w:t>
      </w:r>
      <w:r w:rsidRPr="00316C8D">
        <w:rPr>
          <w:lang w:val="fr-CA"/>
        </w:rPr>
        <w:t>de l’</w:t>
      </w:r>
      <w:r w:rsidR="002243A2" w:rsidRPr="00316C8D">
        <w:rPr>
          <w:lang w:val="fr-CA"/>
        </w:rPr>
        <w:t xml:space="preserve">Ontario, </w:t>
      </w:r>
      <w:r w:rsidR="00606DEC" w:rsidRPr="00316C8D">
        <w:rPr>
          <w:iCs/>
          <w:lang w:val="fr-CA"/>
        </w:rPr>
        <w:t>Bur</w:t>
      </w:r>
      <w:r w:rsidR="008D135C" w:rsidRPr="00316C8D">
        <w:rPr>
          <w:iCs/>
          <w:lang w:val="fr-CA"/>
        </w:rPr>
        <w:t xml:space="preserve">eau des avocats de la Couronne </w:t>
      </w:r>
      <w:r w:rsidR="008D135C" w:rsidRPr="00316C8D">
        <w:rPr>
          <w:iCs/>
          <w:color w:val="000000"/>
          <w:lang w:val="fr-CA"/>
        </w:rPr>
        <w:t>—</w:t>
      </w:r>
      <w:r w:rsidR="00606DEC" w:rsidRPr="00316C8D">
        <w:rPr>
          <w:iCs/>
          <w:lang w:val="fr-CA"/>
        </w:rPr>
        <w:t xml:space="preserve"> Droit criminel, </w:t>
      </w:r>
      <w:r w:rsidR="002243A2" w:rsidRPr="00316C8D">
        <w:rPr>
          <w:lang w:val="fr-CA"/>
        </w:rPr>
        <w:t>Toronto.</w:t>
      </w:r>
    </w:p>
    <w:p w:rsidR="003244C6" w:rsidRPr="00316C8D" w:rsidRDefault="002243A2" w:rsidP="00C66F62">
      <w:pPr>
        <w:pStyle w:val="SCCLawFirm"/>
        <w:spacing w:after="480"/>
        <w:rPr>
          <w:lang w:val="fr-CA"/>
        </w:rPr>
      </w:pPr>
      <w:r w:rsidRPr="00316C8D">
        <w:rPr>
          <w:lang w:val="fr-CA"/>
        </w:rPr>
        <w:tab/>
      </w:r>
      <w:r w:rsidR="00B326A0" w:rsidRPr="00316C8D">
        <w:rPr>
          <w:lang w:val="fr-CA"/>
        </w:rPr>
        <w:t>Procureur</w:t>
      </w:r>
      <w:r w:rsidRPr="00316C8D">
        <w:rPr>
          <w:lang w:val="fr-CA"/>
        </w:rPr>
        <w:t xml:space="preserve"> de l</w:t>
      </w:r>
      <w:r w:rsidR="00467FA5" w:rsidRPr="00316C8D">
        <w:rPr>
          <w:lang w:val="fr-CA"/>
        </w:rPr>
        <w:t>’</w:t>
      </w:r>
      <w:r w:rsidR="00B326A0" w:rsidRPr="00316C8D">
        <w:rPr>
          <w:lang w:val="fr-CA"/>
        </w:rPr>
        <w:t xml:space="preserve">intervenante la Directrice des poursuites </w:t>
      </w:r>
      <w:r w:rsidR="0094291B" w:rsidRPr="00316C8D">
        <w:rPr>
          <w:lang w:val="fr-CA"/>
        </w:rPr>
        <w:t>pénales </w:t>
      </w:r>
      <w:r w:rsidRPr="00316C8D">
        <w:rPr>
          <w:lang w:val="fr-CA"/>
        </w:rPr>
        <w:t xml:space="preserve">: </w:t>
      </w:r>
      <w:r w:rsidR="00AE6AEC" w:rsidRPr="00316C8D">
        <w:rPr>
          <w:lang w:val="fr-CA"/>
        </w:rPr>
        <w:t>Service des poursuites pénales du Canada</w:t>
      </w:r>
      <w:r w:rsidRPr="00316C8D">
        <w:rPr>
          <w:lang w:val="fr-CA"/>
        </w:rPr>
        <w:t>, Toronto.</w:t>
      </w:r>
    </w:p>
    <w:p w:rsidR="003244C6" w:rsidRPr="00316C8D" w:rsidRDefault="002243A2" w:rsidP="00C66F62">
      <w:pPr>
        <w:pStyle w:val="SCCLawFirm"/>
        <w:spacing w:after="480"/>
      </w:pPr>
      <w:r w:rsidRPr="00316C8D">
        <w:rPr>
          <w:lang w:val="fr-CA"/>
        </w:rPr>
        <w:tab/>
      </w:r>
      <w:r w:rsidR="00AE6AEC" w:rsidRPr="00316C8D">
        <w:t>Procureurs</w:t>
      </w:r>
      <w:r w:rsidRPr="00316C8D">
        <w:t xml:space="preserve"> de l</w:t>
      </w:r>
      <w:r w:rsidR="00467FA5" w:rsidRPr="00316C8D">
        <w:t>’</w:t>
      </w:r>
      <w:r w:rsidR="00AE6AEC" w:rsidRPr="00316C8D">
        <w:t>intervenante</w:t>
      </w:r>
      <w:r w:rsidRPr="00316C8D">
        <w:t xml:space="preserve"> Criminal Lawyers</w:t>
      </w:r>
      <w:r w:rsidR="00467FA5" w:rsidRPr="00316C8D">
        <w:t>’</w:t>
      </w:r>
      <w:r w:rsidRPr="00316C8D">
        <w:t xml:space="preserve"> Association o</w:t>
      </w:r>
      <w:r w:rsidR="00AE6AEC" w:rsidRPr="00316C8D">
        <w:t xml:space="preserve">f </w:t>
      </w:r>
      <w:proofErr w:type="gramStart"/>
      <w:r w:rsidR="00AE6AEC" w:rsidRPr="00316C8D">
        <w:t>Ontario </w:t>
      </w:r>
      <w:r w:rsidRPr="00316C8D">
        <w:t>:</w:t>
      </w:r>
      <w:proofErr w:type="gramEnd"/>
      <w:r w:rsidRPr="00316C8D">
        <w:t xml:space="preserve"> Brauti Thorning, Toronto.</w:t>
      </w:r>
    </w:p>
    <w:p w:rsidR="003244C6" w:rsidRPr="00316C8D" w:rsidRDefault="00AE6AEC" w:rsidP="00C66F62">
      <w:pPr>
        <w:pStyle w:val="SCCLawFirm"/>
        <w:spacing w:after="480"/>
        <w:rPr>
          <w:lang w:val="fr-CA"/>
        </w:rPr>
      </w:pPr>
      <w:r w:rsidRPr="00316C8D">
        <w:tab/>
      </w:r>
      <w:r w:rsidRPr="00316C8D">
        <w:rPr>
          <w:lang w:val="fr-CA"/>
        </w:rPr>
        <w:t>Procureurs</w:t>
      </w:r>
      <w:r w:rsidR="002243A2" w:rsidRPr="00316C8D">
        <w:rPr>
          <w:lang w:val="fr-CA"/>
        </w:rPr>
        <w:t xml:space="preserve"> de l</w:t>
      </w:r>
      <w:r w:rsidR="00467FA5" w:rsidRPr="00316C8D">
        <w:rPr>
          <w:lang w:val="fr-CA"/>
        </w:rPr>
        <w:t>’</w:t>
      </w:r>
      <w:r w:rsidRPr="00316C8D">
        <w:rPr>
          <w:lang w:val="fr-CA"/>
        </w:rPr>
        <w:t>intervenante</w:t>
      </w:r>
      <w:r w:rsidR="002243A2" w:rsidRPr="00316C8D">
        <w:rPr>
          <w:lang w:val="fr-CA"/>
        </w:rPr>
        <w:t xml:space="preserve"> British Colum</w:t>
      </w:r>
      <w:r w:rsidRPr="00316C8D">
        <w:rPr>
          <w:lang w:val="fr-CA"/>
        </w:rPr>
        <w:t>bia Civil Liberties Association : Stockwoods</w:t>
      </w:r>
      <w:r w:rsidR="002243A2" w:rsidRPr="00316C8D">
        <w:rPr>
          <w:lang w:val="fr-CA"/>
        </w:rPr>
        <w:t>, Toronto.</w:t>
      </w:r>
    </w:p>
    <w:p w:rsidR="003244C6" w:rsidRPr="0094291B" w:rsidRDefault="00AE6AEC" w:rsidP="00C66F62">
      <w:pPr>
        <w:pStyle w:val="SCCLawFirm"/>
        <w:spacing w:after="480"/>
        <w:rPr>
          <w:lang w:val="fr-CA"/>
        </w:rPr>
      </w:pPr>
      <w:r w:rsidRPr="00316C8D">
        <w:rPr>
          <w:lang w:val="fr-CA"/>
        </w:rPr>
        <w:tab/>
        <w:t>Procureurs</w:t>
      </w:r>
      <w:r w:rsidR="002243A2" w:rsidRPr="00316C8D">
        <w:rPr>
          <w:lang w:val="fr-CA"/>
        </w:rPr>
        <w:t xml:space="preserve"> de l</w:t>
      </w:r>
      <w:r w:rsidR="00467FA5" w:rsidRPr="00316C8D">
        <w:rPr>
          <w:lang w:val="fr-CA"/>
        </w:rPr>
        <w:t>’</w:t>
      </w:r>
      <w:r w:rsidRPr="00316C8D">
        <w:rPr>
          <w:lang w:val="fr-CA"/>
        </w:rPr>
        <w:t>intervenante</w:t>
      </w:r>
      <w:r w:rsidR="002243A2" w:rsidRPr="00316C8D">
        <w:rPr>
          <w:lang w:val="fr-CA"/>
        </w:rPr>
        <w:t xml:space="preserve"> </w:t>
      </w:r>
      <w:r w:rsidR="0094291B" w:rsidRPr="00316C8D">
        <w:rPr>
          <w:rStyle w:val="SCCCounselPartyRoleChar"/>
          <w:lang w:val="fr-CA"/>
        </w:rPr>
        <w:t>l’</w:t>
      </w:r>
      <w:r w:rsidR="0094291B" w:rsidRPr="00316C8D">
        <w:rPr>
          <w:bCs/>
          <w:lang w:val="fr-CA"/>
        </w:rPr>
        <w:t>Association canadienne des libertés civiles</w:t>
      </w:r>
      <w:r w:rsidRPr="00316C8D">
        <w:rPr>
          <w:lang w:val="fr-CA"/>
        </w:rPr>
        <w:t> </w:t>
      </w:r>
      <w:r w:rsidR="002243A2" w:rsidRPr="00316C8D">
        <w:rPr>
          <w:lang w:val="fr-CA"/>
        </w:rPr>
        <w:t>: Paliare Roland Rosenberg Rothstei</w:t>
      </w:r>
      <w:r w:rsidRPr="00316C8D">
        <w:rPr>
          <w:lang w:val="fr-CA"/>
        </w:rPr>
        <w:t>n</w:t>
      </w:r>
      <w:r w:rsidR="002243A2" w:rsidRPr="00316C8D">
        <w:rPr>
          <w:lang w:val="fr-CA"/>
        </w:rPr>
        <w:t>, Toronto.</w:t>
      </w:r>
    </w:p>
    <w:sectPr w:rsidR="003244C6" w:rsidRPr="0094291B"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52B" w:rsidRDefault="00F9152B">
      <w:r>
        <w:separator/>
      </w:r>
    </w:p>
  </w:endnote>
  <w:endnote w:type="continuationSeparator" w:id="0">
    <w:p w:rsidR="00F9152B" w:rsidRDefault="00F9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52B" w:rsidRDefault="00F9152B">
      <w:r>
        <w:separator/>
      </w:r>
    </w:p>
  </w:footnote>
  <w:footnote w:type="continuationSeparator" w:id="0">
    <w:p w:rsidR="00F9152B" w:rsidRDefault="00F9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EA48FC" w:rsidRDefault="00450352" w:rsidP="00EA4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2CC4A98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30B2"/>
    <w:rsid w:val="00044828"/>
    <w:rsid w:val="000578A3"/>
    <w:rsid w:val="000648CC"/>
    <w:rsid w:val="00072526"/>
    <w:rsid w:val="000963D5"/>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1330"/>
    <w:rsid w:val="001C779F"/>
    <w:rsid w:val="001D2AC1"/>
    <w:rsid w:val="001D4E88"/>
    <w:rsid w:val="001E6D03"/>
    <w:rsid w:val="00220FC2"/>
    <w:rsid w:val="002222F4"/>
    <w:rsid w:val="002243A2"/>
    <w:rsid w:val="00224FC0"/>
    <w:rsid w:val="00225EA4"/>
    <w:rsid w:val="00226EAF"/>
    <w:rsid w:val="00231F3A"/>
    <w:rsid w:val="002406EE"/>
    <w:rsid w:val="00243EC8"/>
    <w:rsid w:val="00270D93"/>
    <w:rsid w:val="002745CC"/>
    <w:rsid w:val="0028039F"/>
    <w:rsid w:val="00294E86"/>
    <w:rsid w:val="002B6FBE"/>
    <w:rsid w:val="002B7924"/>
    <w:rsid w:val="002C10A6"/>
    <w:rsid w:val="002D28C3"/>
    <w:rsid w:val="002D39A4"/>
    <w:rsid w:val="002E6705"/>
    <w:rsid w:val="0030329A"/>
    <w:rsid w:val="0030680F"/>
    <w:rsid w:val="0031086F"/>
    <w:rsid w:val="0031414C"/>
    <w:rsid w:val="00314E01"/>
    <w:rsid w:val="00316C8D"/>
    <w:rsid w:val="0032089D"/>
    <w:rsid w:val="003244C6"/>
    <w:rsid w:val="003310DE"/>
    <w:rsid w:val="003323B0"/>
    <w:rsid w:val="003354E8"/>
    <w:rsid w:val="00340A49"/>
    <w:rsid w:val="00341F72"/>
    <w:rsid w:val="0035169A"/>
    <w:rsid w:val="0035259D"/>
    <w:rsid w:val="00364B18"/>
    <w:rsid w:val="00383CA5"/>
    <w:rsid w:val="003A125D"/>
    <w:rsid w:val="003A4C70"/>
    <w:rsid w:val="003B215F"/>
    <w:rsid w:val="003B7355"/>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67FA5"/>
    <w:rsid w:val="00480C90"/>
    <w:rsid w:val="0048396F"/>
    <w:rsid w:val="00493C18"/>
    <w:rsid w:val="004A55EB"/>
    <w:rsid w:val="004A600C"/>
    <w:rsid w:val="004A6118"/>
    <w:rsid w:val="004C478D"/>
    <w:rsid w:val="004D750C"/>
    <w:rsid w:val="004D7D95"/>
    <w:rsid w:val="004E2C26"/>
    <w:rsid w:val="005125A8"/>
    <w:rsid w:val="00517549"/>
    <w:rsid w:val="00520ABC"/>
    <w:rsid w:val="00521AE8"/>
    <w:rsid w:val="00527180"/>
    <w:rsid w:val="00535838"/>
    <w:rsid w:val="0055122D"/>
    <w:rsid w:val="00555291"/>
    <w:rsid w:val="00566AD1"/>
    <w:rsid w:val="00583EDE"/>
    <w:rsid w:val="005A6079"/>
    <w:rsid w:val="005E2EFF"/>
    <w:rsid w:val="005E4698"/>
    <w:rsid w:val="00603924"/>
    <w:rsid w:val="00606DEC"/>
    <w:rsid w:val="00610539"/>
    <w:rsid w:val="0061166D"/>
    <w:rsid w:val="00613969"/>
    <w:rsid w:val="00625C35"/>
    <w:rsid w:val="00647E49"/>
    <w:rsid w:val="00651D62"/>
    <w:rsid w:val="00656313"/>
    <w:rsid w:val="006565F4"/>
    <w:rsid w:val="00684EEA"/>
    <w:rsid w:val="0069689B"/>
    <w:rsid w:val="006B5FF5"/>
    <w:rsid w:val="006C34C3"/>
    <w:rsid w:val="006F30AF"/>
    <w:rsid w:val="00701759"/>
    <w:rsid w:val="00705C15"/>
    <w:rsid w:val="007110F6"/>
    <w:rsid w:val="007208D1"/>
    <w:rsid w:val="00744518"/>
    <w:rsid w:val="00747288"/>
    <w:rsid w:val="00747DD3"/>
    <w:rsid w:val="007549C8"/>
    <w:rsid w:val="00762F71"/>
    <w:rsid w:val="00766D14"/>
    <w:rsid w:val="00767A0F"/>
    <w:rsid w:val="00791272"/>
    <w:rsid w:val="00792C1A"/>
    <w:rsid w:val="007A05F6"/>
    <w:rsid w:val="007B6F4A"/>
    <w:rsid w:val="007E1C47"/>
    <w:rsid w:val="007E337A"/>
    <w:rsid w:val="007E5C70"/>
    <w:rsid w:val="007F1293"/>
    <w:rsid w:val="007F2FF5"/>
    <w:rsid w:val="007F3F08"/>
    <w:rsid w:val="00804CC6"/>
    <w:rsid w:val="00817190"/>
    <w:rsid w:val="008260E2"/>
    <w:rsid w:val="008322BD"/>
    <w:rsid w:val="00834F73"/>
    <w:rsid w:val="00864C8A"/>
    <w:rsid w:val="00864CF8"/>
    <w:rsid w:val="00874914"/>
    <w:rsid w:val="00891422"/>
    <w:rsid w:val="00892E1A"/>
    <w:rsid w:val="008B660A"/>
    <w:rsid w:val="008C01DA"/>
    <w:rsid w:val="008D135C"/>
    <w:rsid w:val="008F2674"/>
    <w:rsid w:val="008F4B8E"/>
    <w:rsid w:val="008F78E9"/>
    <w:rsid w:val="009179F9"/>
    <w:rsid w:val="00917C7A"/>
    <w:rsid w:val="00931010"/>
    <w:rsid w:val="00933E5E"/>
    <w:rsid w:val="00935218"/>
    <w:rsid w:val="00937C52"/>
    <w:rsid w:val="009403F3"/>
    <w:rsid w:val="0094291B"/>
    <w:rsid w:val="009555B7"/>
    <w:rsid w:val="009567AA"/>
    <w:rsid w:val="009602C9"/>
    <w:rsid w:val="00967374"/>
    <w:rsid w:val="009A343A"/>
    <w:rsid w:val="009B2150"/>
    <w:rsid w:val="009B2F23"/>
    <w:rsid w:val="009B57B3"/>
    <w:rsid w:val="009D2920"/>
    <w:rsid w:val="009D30DD"/>
    <w:rsid w:val="009D5AEB"/>
    <w:rsid w:val="009F0E33"/>
    <w:rsid w:val="00A149DF"/>
    <w:rsid w:val="00A1755C"/>
    <w:rsid w:val="00A21B90"/>
    <w:rsid w:val="00A22AAC"/>
    <w:rsid w:val="00A41805"/>
    <w:rsid w:val="00A51882"/>
    <w:rsid w:val="00A52AFB"/>
    <w:rsid w:val="00A548CB"/>
    <w:rsid w:val="00A5521C"/>
    <w:rsid w:val="00A643E7"/>
    <w:rsid w:val="00A726BF"/>
    <w:rsid w:val="00A73C38"/>
    <w:rsid w:val="00A921A7"/>
    <w:rsid w:val="00AB670D"/>
    <w:rsid w:val="00AE6AEC"/>
    <w:rsid w:val="00AF03C5"/>
    <w:rsid w:val="00B000D8"/>
    <w:rsid w:val="00B00F75"/>
    <w:rsid w:val="00B145B6"/>
    <w:rsid w:val="00B279EB"/>
    <w:rsid w:val="00B326A0"/>
    <w:rsid w:val="00B34E41"/>
    <w:rsid w:val="00B50C81"/>
    <w:rsid w:val="00B557F8"/>
    <w:rsid w:val="00B64D37"/>
    <w:rsid w:val="00B815FC"/>
    <w:rsid w:val="00B93FBC"/>
    <w:rsid w:val="00BA7DA0"/>
    <w:rsid w:val="00BB2EE4"/>
    <w:rsid w:val="00BB4C92"/>
    <w:rsid w:val="00BC2108"/>
    <w:rsid w:val="00BD0E9E"/>
    <w:rsid w:val="00BD1BEC"/>
    <w:rsid w:val="00BD32FF"/>
    <w:rsid w:val="00BE26AE"/>
    <w:rsid w:val="00BF6FE9"/>
    <w:rsid w:val="00C02092"/>
    <w:rsid w:val="00C12FA7"/>
    <w:rsid w:val="00C24D91"/>
    <w:rsid w:val="00C26DB2"/>
    <w:rsid w:val="00C35057"/>
    <w:rsid w:val="00C53F14"/>
    <w:rsid w:val="00C600CF"/>
    <w:rsid w:val="00C6084F"/>
    <w:rsid w:val="00C62A66"/>
    <w:rsid w:val="00C66359"/>
    <w:rsid w:val="00C66F62"/>
    <w:rsid w:val="00C71458"/>
    <w:rsid w:val="00C71A05"/>
    <w:rsid w:val="00C77613"/>
    <w:rsid w:val="00C828E7"/>
    <w:rsid w:val="00C84631"/>
    <w:rsid w:val="00C86719"/>
    <w:rsid w:val="00C921DD"/>
    <w:rsid w:val="00CA6391"/>
    <w:rsid w:val="00CC62E7"/>
    <w:rsid w:val="00CE036E"/>
    <w:rsid w:val="00CE3171"/>
    <w:rsid w:val="00CF1601"/>
    <w:rsid w:val="00D0172F"/>
    <w:rsid w:val="00D01E33"/>
    <w:rsid w:val="00D068A7"/>
    <w:rsid w:val="00D17476"/>
    <w:rsid w:val="00D17B0E"/>
    <w:rsid w:val="00D32086"/>
    <w:rsid w:val="00D37A3F"/>
    <w:rsid w:val="00D4431D"/>
    <w:rsid w:val="00D4667A"/>
    <w:rsid w:val="00D47538"/>
    <w:rsid w:val="00D63A1C"/>
    <w:rsid w:val="00D7516F"/>
    <w:rsid w:val="00D95F8E"/>
    <w:rsid w:val="00D961C6"/>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A48FC"/>
    <w:rsid w:val="00EB025C"/>
    <w:rsid w:val="00ED7825"/>
    <w:rsid w:val="00EE0830"/>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9152B"/>
    <w:rsid w:val="00FB2FBF"/>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5E2EFF"/>
    <w:rPr>
      <w:i w:val="0"/>
      <w:color w:val="660000"/>
      <w:u w:val="none"/>
    </w:rPr>
  </w:style>
  <w:style w:type="paragraph" w:customStyle="1" w:styleId="ParaNoNdepar-AltN">
    <w:name w:val="Para. No. / Nº de par. - Alt N"/>
    <w:qFormat/>
    <w:rsid w:val="006C34C3"/>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316C8D"/>
    <w:pPr>
      <w:spacing w:after="720"/>
      <w:ind w:left="1166"/>
      <w:contextualSpacing/>
      <w:jc w:val="both"/>
    </w:pPr>
    <w:rPr>
      <w:sz w:val="24"/>
      <w:szCs w:val="24"/>
    </w:rPr>
  </w:style>
  <w:style w:type="paragraph" w:customStyle="1" w:styleId="JudgeJuge">
    <w:name w:val="Judge / Juge"/>
    <w:uiPriority w:val="3"/>
    <w:rsid w:val="00316C8D"/>
    <w:pPr>
      <w:tabs>
        <w:tab w:val="left" w:pos="1166"/>
      </w:tabs>
      <w:spacing w:after="480" w:line="480" w:lineRule="auto"/>
    </w:pPr>
    <w:rPr>
      <w:smallCaps/>
      <w:sz w:val="24"/>
      <w:szCs w:val="24"/>
    </w:rPr>
  </w:style>
  <w:style w:type="table" w:styleId="TableGrid">
    <w:name w:val="Table Grid"/>
    <w:basedOn w:val="TableNormal"/>
    <w:uiPriority w:val="59"/>
    <w:rsid w:val="00316C8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ourts.ca/decisions/2021/2021ONCA03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1641</Words>
  <Characters>8466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2022-11-24T00:31:00Z</dcterms:created>
  <dcterms:modified xsi:type="dcterms:W3CDTF">2022-11-24T00:32:00Z</dcterms:modified>
</cp:coreProperties>
</file>