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690"/>
        <w:gridCol w:w="2074"/>
        <w:gridCol w:w="3577"/>
        <w:gridCol w:w="19"/>
      </w:tblGrid>
      <w:tr w:rsidR="002909F6" w:rsidRPr="00CC705C" w:rsidTr="00796207">
        <w:trPr>
          <w:trHeight w:val="1786"/>
        </w:trPr>
        <w:tc>
          <w:tcPr>
            <w:tcW w:w="5000" w:type="pct"/>
            <w:gridSpan w:val="4"/>
          </w:tcPr>
          <w:p w:rsidR="002909F6" w:rsidRPr="00CC705C" w:rsidRDefault="00820223" w:rsidP="00E92347">
            <w:pPr>
              <w:jc w:val="center"/>
            </w:pPr>
            <w:r w:rsidRPr="00CC705C">
              <w:rPr>
                <w:noProof/>
                <w:lang w:val="fr-CA" w:eastAsia="fr-CA"/>
              </w:rPr>
              <w:drawing>
                <wp:inline distT="0" distB="0" distL="0" distR="0" wp14:anchorId="7BB4B827" wp14:editId="5F099E29">
                  <wp:extent cx="1191895" cy="1638300"/>
                  <wp:effectExtent l="0" t="0" r="8255" b="0"/>
                  <wp:docPr id="2" name="Picture 2" descr="cid:image001.jpg@01D72252.19B69DE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1.jpg@01D72252.19B69DE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1895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09F6" w:rsidRPr="00CC705C" w:rsidRDefault="002909F6" w:rsidP="00D22128">
            <w:pPr>
              <w:spacing w:before="120" w:after="100" w:afterAutospacing="1"/>
              <w:jc w:val="center"/>
              <w:rPr>
                <w:rFonts w:eastAsia="Calibri"/>
              </w:rPr>
            </w:pPr>
            <w:r w:rsidRPr="00CC705C">
              <w:rPr>
                <w:rFonts w:eastAsia="Calibri"/>
                <w:b/>
                <w:szCs w:val="24"/>
                <w:lang w:eastAsia="en-US"/>
              </w:rPr>
              <w:t>COUR SUPRÊME DU CANADA</w:t>
            </w:r>
          </w:p>
        </w:tc>
      </w:tr>
      <w:tr w:rsidR="002909F6" w:rsidRPr="00CC705C" w:rsidTr="001708F9">
        <w:trPr>
          <w:gridAfter w:val="1"/>
          <w:wAfter w:w="10" w:type="pct"/>
        </w:trPr>
        <w:tc>
          <w:tcPr>
            <w:tcW w:w="1971" w:type="pct"/>
            <w:tcMar>
              <w:top w:w="284" w:type="dxa"/>
            </w:tcMar>
          </w:tcPr>
          <w:p w:rsidR="002909F6" w:rsidRPr="00CC705C" w:rsidRDefault="002909F6" w:rsidP="00425158">
            <w:pPr>
              <w:spacing w:before="100" w:beforeAutospacing="1"/>
              <w:rPr>
                <w:rFonts w:eastAsia="Calibri"/>
                <w:lang w:val="fr-CA"/>
              </w:rPr>
            </w:pPr>
            <w:r w:rsidRPr="00CC705C">
              <w:rPr>
                <w:b/>
                <w:smallCaps/>
                <w:lang w:val="fr-CA"/>
              </w:rPr>
              <w:t>Référence :</w:t>
            </w:r>
            <w:r w:rsidRPr="00CC705C">
              <w:rPr>
                <w:lang w:val="fr-CA"/>
              </w:rPr>
              <w:t xml:space="preserve"> </w:t>
            </w:r>
            <w:r w:rsidR="00575FF2" w:rsidRPr="00CC705C">
              <w:rPr>
                <w:lang w:val="fr-CA"/>
              </w:rPr>
              <w:t xml:space="preserve">R. </w:t>
            </w:r>
            <w:r w:rsidR="00575FF2" w:rsidRPr="00CC705C">
              <w:rPr>
                <w:i/>
                <w:lang w:val="fr-CA"/>
              </w:rPr>
              <w:t>c.</w:t>
            </w:r>
            <w:r w:rsidR="00B0409C" w:rsidRPr="00CC705C">
              <w:rPr>
                <w:lang w:val="fr-CA"/>
              </w:rPr>
              <w:t xml:space="preserve"> </w:t>
            </w:r>
            <w:r w:rsidR="00E50033" w:rsidRPr="00CC705C">
              <w:rPr>
                <w:lang w:val="fr-CA"/>
              </w:rPr>
              <w:t>Furey</w:t>
            </w:r>
            <w:r w:rsidR="00445C7C" w:rsidRPr="00CC705C">
              <w:rPr>
                <w:lang w:val="fr-CA"/>
              </w:rPr>
              <w:t>, 2022</w:t>
            </w:r>
            <w:r w:rsidR="00B0409C" w:rsidRPr="00CC705C">
              <w:rPr>
                <w:lang w:val="fr-CA"/>
              </w:rPr>
              <w:t xml:space="preserve"> CSC </w:t>
            </w:r>
            <w:r w:rsidR="00E50033" w:rsidRPr="00CC705C">
              <w:rPr>
                <w:lang w:val="fr-CA"/>
              </w:rPr>
              <w:t>52</w:t>
            </w:r>
          </w:p>
        </w:tc>
        <w:tc>
          <w:tcPr>
            <w:tcW w:w="1108" w:type="pct"/>
          </w:tcPr>
          <w:p w:rsidR="002909F6" w:rsidRPr="00CC705C" w:rsidRDefault="002909F6" w:rsidP="00CB5B04">
            <w:pPr>
              <w:rPr>
                <w:b/>
                <w:smallCaps/>
                <w:lang w:val="fr-CA"/>
              </w:rPr>
            </w:pPr>
          </w:p>
        </w:tc>
        <w:tc>
          <w:tcPr>
            <w:tcW w:w="1911" w:type="pct"/>
            <w:tcMar>
              <w:top w:w="284" w:type="dxa"/>
            </w:tcMar>
          </w:tcPr>
          <w:p w:rsidR="002909F6" w:rsidRPr="00CC705C" w:rsidRDefault="002909F6" w:rsidP="00CB5B04">
            <w:pPr>
              <w:rPr>
                <w:lang w:val="fr-CA"/>
              </w:rPr>
            </w:pPr>
            <w:r w:rsidRPr="00CC705C">
              <w:rPr>
                <w:b/>
                <w:smallCaps/>
                <w:lang w:val="fr-CA"/>
              </w:rPr>
              <w:t>Appel entendu :</w:t>
            </w:r>
            <w:r w:rsidRPr="00CC705C">
              <w:rPr>
                <w:lang w:val="fr-CA"/>
              </w:rPr>
              <w:t xml:space="preserve"> </w:t>
            </w:r>
            <w:r w:rsidR="00E50033" w:rsidRPr="00CC705C">
              <w:rPr>
                <w:lang w:val="fr-CA"/>
              </w:rPr>
              <w:t>2 décembre</w:t>
            </w:r>
            <w:r w:rsidR="00445C7C" w:rsidRPr="00CC705C">
              <w:rPr>
                <w:lang w:val="fr-CA"/>
              </w:rPr>
              <w:t xml:space="preserve"> 2022</w:t>
            </w:r>
          </w:p>
          <w:p w:rsidR="002909F6" w:rsidRPr="00CC705C" w:rsidRDefault="002909F6" w:rsidP="00CB5B04">
            <w:pPr>
              <w:rPr>
                <w:b/>
                <w:smallCaps/>
                <w:lang w:val="fr-CA"/>
              </w:rPr>
            </w:pPr>
            <w:r w:rsidRPr="00CC705C">
              <w:rPr>
                <w:b/>
                <w:smallCaps/>
                <w:lang w:val="fr-CA"/>
              </w:rPr>
              <w:t xml:space="preserve">Jugement rendu : </w:t>
            </w:r>
            <w:r w:rsidR="00E50033" w:rsidRPr="00CC705C">
              <w:rPr>
                <w:lang w:val="fr-CA"/>
              </w:rPr>
              <w:t xml:space="preserve">2 décembre </w:t>
            </w:r>
            <w:r w:rsidR="00445C7C" w:rsidRPr="00CC705C">
              <w:rPr>
                <w:lang w:val="fr-CA"/>
              </w:rPr>
              <w:t>2022</w:t>
            </w:r>
          </w:p>
          <w:p w:rsidR="002909F6" w:rsidRPr="00CC705C" w:rsidRDefault="002909F6" w:rsidP="00C31D39">
            <w:pPr>
              <w:rPr>
                <w:rFonts w:eastAsia="Calibri"/>
                <w:lang w:val="fr-CA"/>
              </w:rPr>
            </w:pPr>
            <w:r w:rsidRPr="00CC705C">
              <w:rPr>
                <w:b/>
                <w:smallCaps/>
                <w:lang w:val="fr-CA"/>
              </w:rPr>
              <w:t>Dossier :</w:t>
            </w:r>
            <w:r w:rsidRPr="00CC705C">
              <w:rPr>
                <w:lang w:val="fr-CA"/>
              </w:rPr>
              <w:t xml:space="preserve"> </w:t>
            </w:r>
            <w:r w:rsidR="00E50033" w:rsidRPr="00CC705C">
              <w:rPr>
                <w:lang w:val="fr-CA"/>
              </w:rPr>
              <w:t>40038</w:t>
            </w:r>
          </w:p>
        </w:tc>
      </w:tr>
      <w:tr w:rsidR="002909F6" w:rsidRPr="00C22C57" w:rsidTr="00B1431F">
        <w:tc>
          <w:tcPr>
            <w:tcW w:w="5000" w:type="pct"/>
            <w:gridSpan w:val="4"/>
          </w:tcPr>
          <w:p w:rsidR="00506A78" w:rsidRPr="00CC705C" w:rsidRDefault="00506A78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883F8A" w:rsidRPr="00CC705C" w:rsidRDefault="00B0409C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  <w:r w:rsidRPr="00CC705C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Entre </w:t>
            </w:r>
            <w:r w:rsidR="00883F8A" w:rsidRPr="00CC705C"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  <w:t>:</w:t>
            </w:r>
          </w:p>
          <w:p w:rsidR="00E04080" w:rsidRPr="00CC705C" w:rsidRDefault="00E04080" w:rsidP="00883F8A">
            <w:pPr>
              <w:rPr>
                <w:rFonts w:eastAsiaTheme="minorHAnsi" w:cstheme="minorBidi"/>
                <w:b/>
                <w:smallCaps/>
                <w:szCs w:val="24"/>
                <w:lang w:val="fr-CA" w:eastAsia="en-US"/>
              </w:rPr>
            </w:pPr>
          </w:p>
          <w:p w:rsidR="006B4F1D" w:rsidRPr="00CC705C" w:rsidRDefault="00E50033" w:rsidP="00883F8A">
            <w:pPr>
              <w:jc w:val="center"/>
              <w:rPr>
                <w:rFonts w:eastAsiaTheme="minorHAnsi" w:cstheme="minorBidi"/>
                <w:b/>
                <w:bCs/>
                <w:szCs w:val="24"/>
                <w:lang w:val="fr-CA" w:eastAsia="en-US"/>
              </w:rPr>
            </w:pPr>
            <w:r w:rsidRPr="00CC705C">
              <w:rPr>
                <w:rFonts w:eastAsiaTheme="minorHAnsi" w:cstheme="minorBidi"/>
                <w:b/>
                <w:bCs/>
                <w:szCs w:val="24"/>
                <w:lang w:val="fr-CA" w:eastAsia="en-US"/>
              </w:rPr>
              <w:t>Sa Majesté le Roi</w:t>
            </w:r>
          </w:p>
          <w:p w:rsidR="00883F8A" w:rsidRPr="00CC705C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CC705C">
              <w:rPr>
                <w:rFonts w:eastAsiaTheme="minorHAnsi" w:cstheme="minorBidi"/>
                <w:szCs w:val="24"/>
                <w:lang w:val="fr-CA" w:eastAsia="en-US"/>
              </w:rPr>
              <w:t>Appelant</w:t>
            </w:r>
          </w:p>
          <w:p w:rsidR="00883F8A" w:rsidRPr="00CC705C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883F8A" w:rsidRPr="00CC705C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CC705C">
              <w:rPr>
                <w:rFonts w:eastAsiaTheme="minorHAnsi" w:cstheme="minorBidi"/>
                <w:szCs w:val="24"/>
                <w:lang w:val="fr-CA" w:eastAsia="en-US"/>
              </w:rPr>
              <w:t>et</w:t>
            </w:r>
          </w:p>
          <w:p w:rsidR="00883F8A" w:rsidRPr="00CC705C" w:rsidRDefault="00883F8A" w:rsidP="00883F8A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445C7C" w:rsidRPr="00CC705C" w:rsidRDefault="00E50033" w:rsidP="006F7FA0">
            <w:pPr>
              <w:jc w:val="center"/>
              <w:rPr>
                <w:rFonts w:eastAsiaTheme="minorHAnsi" w:cstheme="minorBidi"/>
                <w:b/>
                <w:szCs w:val="24"/>
                <w:lang w:val="fr-CA" w:eastAsia="en-US"/>
              </w:rPr>
            </w:pPr>
            <w:r w:rsidRPr="00CC705C">
              <w:rPr>
                <w:rFonts w:eastAsiaTheme="minorHAnsi" w:cstheme="minorBidi"/>
                <w:b/>
                <w:szCs w:val="24"/>
                <w:lang w:val="fr-CA" w:eastAsia="en-US"/>
              </w:rPr>
              <w:t>David Edward Furey</w:t>
            </w:r>
          </w:p>
          <w:p w:rsidR="002909F6" w:rsidRPr="00CC705C" w:rsidRDefault="00022F2E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CC705C">
              <w:rPr>
                <w:rFonts w:eastAsiaTheme="minorHAnsi" w:cstheme="minorBidi"/>
                <w:szCs w:val="24"/>
                <w:lang w:val="fr-CA" w:eastAsia="en-US"/>
              </w:rPr>
              <w:t>Intimé</w:t>
            </w:r>
          </w:p>
          <w:p w:rsidR="006F7FA0" w:rsidRPr="00CC705C" w:rsidRDefault="006F7FA0" w:rsidP="00425158">
            <w:pPr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E1000C" w:rsidRPr="00CC705C" w:rsidRDefault="00E1000C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</w:p>
          <w:p w:rsidR="00E1000C" w:rsidRPr="00CC705C" w:rsidRDefault="00E1000C" w:rsidP="006F7FA0">
            <w:pPr>
              <w:jc w:val="center"/>
              <w:rPr>
                <w:rFonts w:eastAsiaTheme="minorHAnsi" w:cstheme="minorBidi"/>
                <w:szCs w:val="24"/>
                <w:lang w:val="fr-CA" w:eastAsia="en-US"/>
              </w:rPr>
            </w:pPr>
            <w:r w:rsidRPr="00CC705C">
              <w:rPr>
                <w:b/>
                <w:smallCaps/>
                <w:lang w:val="fr-CA"/>
              </w:rPr>
              <w:t>Traduction française officielle</w:t>
            </w:r>
          </w:p>
        </w:tc>
      </w:tr>
    </w:tbl>
    <w:tbl>
      <w:tblPr>
        <w:tblStyle w:val="TableGrid2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237"/>
        <w:gridCol w:w="7102"/>
        <w:gridCol w:w="21"/>
      </w:tblGrid>
      <w:tr w:rsidR="00E92347" w:rsidRPr="00C22C57" w:rsidTr="00E92347">
        <w:trPr>
          <w:cantSplit/>
          <w:trHeight w:val="508"/>
        </w:trPr>
        <w:tc>
          <w:tcPr>
            <w:tcW w:w="5000" w:type="pct"/>
            <w:gridSpan w:val="3"/>
            <w:tcMar>
              <w:top w:w="284" w:type="dxa"/>
              <w:bottom w:w="57" w:type="dxa"/>
            </w:tcMar>
            <w:vAlign w:val="center"/>
          </w:tcPr>
          <w:p w:rsidR="00EC34E9" w:rsidRPr="00CC705C" w:rsidRDefault="00CB5B04" w:rsidP="00EC34E9">
            <w:pPr>
              <w:rPr>
                <w:lang w:val="fr-CA"/>
              </w:rPr>
            </w:pPr>
            <w:r w:rsidRPr="00CC705C">
              <w:rPr>
                <w:b/>
                <w:smallCaps/>
                <w:lang w:val="fr-CA"/>
              </w:rPr>
              <w:t>Coram :</w:t>
            </w:r>
            <w:r w:rsidRPr="00CC705C">
              <w:rPr>
                <w:lang w:val="fr-CA"/>
              </w:rPr>
              <w:t xml:space="preserve"> L</w:t>
            </w:r>
            <w:r w:rsidR="00517BC7" w:rsidRPr="00CC705C">
              <w:rPr>
                <w:lang w:val="fr-CA"/>
              </w:rPr>
              <w:t>es juges</w:t>
            </w:r>
            <w:r w:rsidR="00EC34E9" w:rsidRPr="00CC705C">
              <w:rPr>
                <w:lang w:val="fr-CA"/>
              </w:rPr>
              <w:t xml:space="preserve"> </w:t>
            </w:r>
            <w:proofErr w:type="spellStart"/>
            <w:r w:rsidR="00E04080" w:rsidRPr="00CC705C">
              <w:rPr>
                <w:lang w:val="fr-CA"/>
              </w:rPr>
              <w:t>Karakatsanis</w:t>
            </w:r>
            <w:proofErr w:type="spellEnd"/>
            <w:r w:rsidR="00E04080" w:rsidRPr="00CC705C">
              <w:rPr>
                <w:lang w:val="fr-CA"/>
              </w:rPr>
              <w:t>, Côté, Brown</w:t>
            </w:r>
            <w:r w:rsidR="00E50033" w:rsidRPr="00CC705C">
              <w:rPr>
                <w:lang w:val="fr-CA"/>
              </w:rPr>
              <w:t xml:space="preserve">, </w:t>
            </w:r>
            <w:r w:rsidR="00E50033" w:rsidRPr="00CC705C">
              <w:rPr>
                <w:color w:val="000000"/>
                <w:lang w:val="fr-CA"/>
              </w:rPr>
              <w:t>Rowe</w:t>
            </w:r>
            <w:r w:rsidR="00E04080" w:rsidRPr="00CC705C">
              <w:rPr>
                <w:lang w:val="fr-CA"/>
              </w:rPr>
              <w:t xml:space="preserve">, </w:t>
            </w:r>
            <w:r w:rsidR="004234D3" w:rsidRPr="00CC705C">
              <w:rPr>
                <w:lang w:val="fr-CA"/>
              </w:rPr>
              <w:t>Martin</w:t>
            </w:r>
            <w:r w:rsidR="00E50033" w:rsidRPr="00CC705C">
              <w:rPr>
                <w:lang w:val="fr-CA"/>
              </w:rPr>
              <w:t>,</w:t>
            </w:r>
            <w:r w:rsidR="004234D3" w:rsidRPr="00CC705C">
              <w:rPr>
                <w:lang w:val="fr-CA"/>
              </w:rPr>
              <w:t xml:space="preserve"> </w:t>
            </w:r>
            <w:r w:rsidR="00EC34E9" w:rsidRPr="00CC705C">
              <w:rPr>
                <w:lang w:val="fr-CA"/>
              </w:rPr>
              <w:t>Kasirer</w:t>
            </w:r>
            <w:r w:rsidR="00E50033" w:rsidRPr="00CC705C">
              <w:rPr>
                <w:lang w:val="fr-CA"/>
              </w:rPr>
              <w:t xml:space="preserve"> et O’Bonsawin</w:t>
            </w:r>
          </w:p>
          <w:p w:rsidR="00E92347" w:rsidRPr="00CC705C" w:rsidRDefault="00E92347" w:rsidP="00E1000C">
            <w:pPr>
              <w:rPr>
                <w:lang w:val="fr-CA"/>
              </w:rPr>
            </w:pPr>
          </w:p>
        </w:tc>
      </w:tr>
      <w:tr w:rsidR="005966EF" w:rsidRPr="00CC705C" w:rsidTr="0026412B">
        <w:trPr>
          <w:gridAfter w:val="1"/>
          <w:wAfter w:w="11" w:type="pct"/>
          <w:cantSplit/>
        </w:trPr>
        <w:tc>
          <w:tcPr>
            <w:tcW w:w="1195" w:type="pct"/>
            <w:tcMar>
              <w:top w:w="284" w:type="dxa"/>
              <w:bottom w:w="57" w:type="dxa"/>
            </w:tcMar>
            <w:vAlign w:val="center"/>
          </w:tcPr>
          <w:p w:rsidR="005966EF" w:rsidRPr="00CC705C" w:rsidRDefault="004234D3" w:rsidP="0026412B">
            <w:pPr>
              <w:rPr>
                <w:b/>
                <w:smallCaps/>
                <w:lang w:val="fr-CA"/>
              </w:rPr>
            </w:pPr>
            <w:r w:rsidRPr="00CC705C">
              <w:rPr>
                <w:b/>
                <w:bCs/>
                <w:smallCaps/>
                <w:color w:val="000000"/>
                <w:lang w:val="fr-CA"/>
              </w:rPr>
              <w:t>Jugement unanime lu par :</w:t>
            </w:r>
            <w:r w:rsidR="005966EF" w:rsidRPr="00CC705C">
              <w:rPr>
                <w:b/>
                <w:smallCaps/>
                <w:lang w:val="fr-CA"/>
              </w:rPr>
              <w:t xml:space="preserve"> </w:t>
            </w:r>
          </w:p>
          <w:p w:rsidR="005966EF" w:rsidRPr="00CC705C" w:rsidRDefault="005966EF" w:rsidP="00B1050B">
            <w:pPr>
              <w:rPr>
                <w:b/>
                <w:smallCaps/>
                <w:lang w:val="fr-CA"/>
              </w:rPr>
            </w:pPr>
            <w:r w:rsidRPr="00CC705C">
              <w:rPr>
                <w:lang w:val="fr-CA"/>
              </w:rPr>
              <w:t>(</w:t>
            </w:r>
            <w:r w:rsidR="002D3505" w:rsidRPr="00CC705C">
              <w:rPr>
                <w:lang w:val="fr-CA"/>
              </w:rPr>
              <w:t>par. </w:t>
            </w:r>
            <w:r w:rsidR="00EB0D87" w:rsidRPr="00CC705C">
              <w:rPr>
                <w:lang w:val="fr-CA"/>
              </w:rPr>
              <w:t>1</w:t>
            </w:r>
            <w:r w:rsidR="00E50033" w:rsidRPr="00CC705C">
              <w:rPr>
                <w:lang w:val="fr-CA"/>
              </w:rPr>
              <w:t xml:space="preserve"> à </w:t>
            </w:r>
            <w:r w:rsidR="00B1050B" w:rsidRPr="00CC705C">
              <w:rPr>
                <w:lang w:val="fr-CA"/>
              </w:rPr>
              <w:t>7</w:t>
            </w:r>
            <w:r w:rsidRPr="00CC705C">
              <w:rPr>
                <w:lang w:val="fr-CA"/>
              </w:rPr>
              <w:t>)</w:t>
            </w:r>
          </w:p>
        </w:tc>
        <w:tc>
          <w:tcPr>
            <w:tcW w:w="3794" w:type="pct"/>
            <w:tcMar>
              <w:top w:w="284" w:type="dxa"/>
            </w:tcMar>
            <w:vAlign w:val="center"/>
          </w:tcPr>
          <w:p w:rsidR="00B1431F" w:rsidRPr="00CC705C" w:rsidRDefault="00640645" w:rsidP="004234D3">
            <w:pPr>
              <w:rPr>
                <w:lang w:val="fr-CA"/>
              </w:rPr>
            </w:pPr>
            <w:r w:rsidRPr="00CC705C">
              <w:rPr>
                <w:lang w:val="fr-CA"/>
              </w:rPr>
              <w:t>L</w:t>
            </w:r>
            <w:r w:rsidR="004234D3" w:rsidRPr="00CC705C">
              <w:rPr>
                <w:lang w:val="fr-CA"/>
              </w:rPr>
              <w:t>a</w:t>
            </w:r>
            <w:r w:rsidRPr="00CC705C">
              <w:rPr>
                <w:lang w:val="fr-CA"/>
              </w:rPr>
              <w:t xml:space="preserve"> juge </w:t>
            </w:r>
            <w:r w:rsidR="004234D3" w:rsidRPr="00CC705C">
              <w:t>Karakatsanis</w:t>
            </w:r>
          </w:p>
        </w:tc>
      </w:tr>
    </w:tbl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9360"/>
      </w:tblGrid>
      <w:tr w:rsidR="00F43876" w:rsidRPr="00CC705C" w:rsidTr="001708F9">
        <w:tc>
          <w:tcPr>
            <w:tcW w:w="9360" w:type="dxa"/>
          </w:tcPr>
          <w:p w:rsidR="00801B60" w:rsidRPr="00CC705C" w:rsidRDefault="00801B60" w:rsidP="00C22C57">
            <w:pPr>
              <w:jc w:val="both"/>
              <w:rPr>
                <w:lang w:val="fr-CA"/>
              </w:rPr>
            </w:pPr>
          </w:p>
        </w:tc>
      </w:tr>
    </w:tbl>
    <w:p w:rsidR="007B3D74" w:rsidRPr="00CC705C" w:rsidRDefault="00A9085B" w:rsidP="007B3D74">
      <w:pPr>
        <w:spacing w:before="100" w:beforeAutospacing="1"/>
        <w:rPr>
          <w:rFonts w:eastAsia="Calibri"/>
          <w:szCs w:val="24"/>
          <w:lang w:val="fr-CA" w:eastAsia="en-US"/>
        </w:rPr>
      </w:pPr>
      <w:r w:rsidRPr="00CC705C">
        <w:rPr>
          <w:rFonts w:eastAsia="Calibri"/>
          <w:b/>
          <w:smallCaps/>
          <w:szCs w:val="24"/>
          <w:lang w:val="fr-CA" w:eastAsia="en-US"/>
        </w:rPr>
        <w:t>Note :</w:t>
      </w:r>
      <w:r w:rsidR="00C22905" w:rsidRPr="00CC705C">
        <w:rPr>
          <w:rFonts w:eastAsia="Calibri"/>
          <w:szCs w:val="24"/>
          <w:lang w:val="fr-CA" w:eastAsia="en-US"/>
        </w:rPr>
        <w:t xml:space="preserve"> </w:t>
      </w:r>
      <w:r w:rsidRPr="00CC705C">
        <w:rPr>
          <w:lang w:val="fr-CA"/>
        </w:rPr>
        <w:t xml:space="preserve">Ce document fera l’objet de retouches de forme avant la parution de sa version définitive dans le </w:t>
      </w:r>
      <w:r w:rsidRPr="00CC705C">
        <w:rPr>
          <w:i/>
          <w:lang w:val="fr-CA"/>
        </w:rPr>
        <w:t>Recueil des arrêts de la Cour suprême du Canada</w:t>
      </w:r>
      <w:r w:rsidRPr="00CC705C">
        <w:rPr>
          <w:lang w:val="fr-CA"/>
        </w:rPr>
        <w:t>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3744"/>
        <w:gridCol w:w="2808"/>
      </w:tblGrid>
      <w:tr w:rsidR="007B3D74" w:rsidRPr="00C22C57" w:rsidTr="00653AAD">
        <w:tc>
          <w:tcPr>
            <w:tcW w:w="1500" w:type="pct"/>
            <w:tcMar>
              <w:top w:w="284" w:type="dxa"/>
            </w:tcMar>
          </w:tcPr>
          <w:p w:rsidR="007B3D74" w:rsidRPr="00CC705C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2000" w:type="pct"/>
            <w:tcBorders>
              <w:bottom w:val="single" w:sz="4" w:space="0" w:color="auto"/>
            </w:tcBorders>
            <w:tcMar>
              <w:top w:w="284" w:type="dxa"/>
            </w:tcMar>
          </w:tcPr>
          <w:p w:rsidR="007B3D74" w:rsidRPr="00CC705C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  <w:tc>
          <w:tcPr>
            <w:tcW w:w="1500" w:type="pct"/>
            <w:tcMar>
              <w:top w:w="284" w:type="dxa"/>
            </w:tcMar>
          </w:tcPr>
          <w:p w:rsidR="007B3D74" w:rsidRPr="00CC705C" w:rsidRDefault="007B3D74" w:rsidP="00653AAD">
            <w:pPr>
              <w:rPr>
                <w:rFonts w:eastAsia="Calibri"/>
                <w:szCs w:val="24"/>
                <w:lang w:val="fr-CA" w:eastAsia="en-US"/>
              </w:rPr>
            </w:pPr>
          </w:p>
        </w:tc>
      </w:tr>
    </w:tbl>
    <w:p w:rsidR="00C22C57" w:rsidRDefault="00C22C57" w:rsidP="007B3D74">
      <w:pPr>
        <w:rPr>
          <w:rFonts w:eastAsia="Calibri"/>
          <w:szCs w:val="24"/>
          <w:lang w:val="fr-CA" w:eastAsia="en-US"/>
        </w:rPr>
      </w:pPr>
    </w:p>
    <w:p w:rsidR="00C22C57" w:rsidRPr="00C22C57" w:rsidRDefault="00C22C57" w:rsidP="00C22C57">
      <w:pPr>
        <w:rPr>
          <w:rFonts w:eastAsia="Calibri"/>
          <w:szCs w:val="24"/>
          <w:lang w:val="fr-CA" w:eastAsia="en-US"/>
        </w:rPr>
      </w:pPr>
    </w:p>
    <w:p w:rsidR="00C22C57" w:rsidRPr="00C22C57" w:rsidRDefault="00C22C57" w:rsidP="00C22C57">
      <w:pPr>
        <w:rPr>
          <w:rFonts w:eastAsia="Calibri"/>
          <w:szCs w:val="24"/>
          <w:lang w:val="fr-CA" w:eastAsia="en-US"/>
        </w:rPr>
      </w:pPr>
    </w:p>
    <w:p w:rsidR="00C22C57" w:rsidRDefault="00C22C57" w:rsidP="00C22C57">
      <w:pPr>
        <w:rPr>
          <w:rFonts w:eastAsia="Calibri"/>
          <w:szCs w:val="24"/>
          <w:lang w:val="fr-CA" w:eastAsia="en-US"/>
        </w:rPr>
      </w:pPr>
    </w:p>
    <w:p w:rsidR="00C22C57" w:rsidRPr="00C22C57" w:rsidRDefault="00C22C57" w:rsidP="00C22C57">
      <w:pPr>
        <w:tabs>
          <w:tab w:val="right" w:pos="8222"/>
        </w:tabs>
        <w:spacing w:after="720"/>
        <w:rPr>
          <w:b/>
          <w:lang w:val="fr-CA"/>
        </w:rPr>
      </w:pPr>
      <w:r w:rsidRPr="00C22C57">
        <w:rPr>
          <w:b/>
          <w:lang w:val="fr-CA"/>
        </w:rPr>
        <w:t>Sa Majesté le Roi</w:t>
      </w:r>
      <w:r w:rsidRPr="00C22C57">
        <w:rPr>
          <w:i/>
          <w:lang w:val="fr-CA"/>
        </w:rPr>
        <w:tab/>
        <w:t>Appelant</w:t>
      </w:r>
    </w:p>
    <w:p w:rsidR="00C22C57" w:rsidRPr="00C22C57" w:rsidRDefault="00C22C57" w:rsidP="00C22C57">
      <w:pPr>
        <w:spacing w:after="720"/>
        <w:rPr>
          <w:i/>
          <w:lang w:val="fr-CA"/>
        </w:rPr>
      </w:pPr>
      <w:proofErr w:type="gramStart"/>
      <w:r w:rsidRPr="00C22C57">
        <w:rPr>
          <w:i/>
          <w:lang w:val="fr-CA"/>
        </w:rPr>
        <w:t>c</w:t>
      </w:r>
      <w:proofErr w:type="gramEnd"/>
      <w:r w:rsidRPr="00C22C57">
        <w:rPr>
          <w:i/>
          <w:lang w:val="fr-CA"/>
        </w:rPr>
        <w:t>.</w:t>
      </w:r>
    </w:p>
    <w:p w:rsidR="00C22C57" w:rsidRPr="00C22C57" w:rsidRDefault="00C22C57" w:rsidP="00C22C57">
      <w:pPr>
        <w:tabs>
          <w:tab w:val="right" w:pos="8222"/>
        </w:tabs>
        <w:spacing w:after="720"/>
        <w:rPr>
          <w:b/>
          <w:lang w:val="fr-CA"/>
        </w:rPr>
      </w:pPr>
      <w:r w:rsidRPr="00C22C57">
        <w:rPr>
          <w:b/>
          <w:lang w:val="fr-CA"/>
        </w:rPr>
        <w:t xml:space="preserve">David Edward </w:t>
      </w:r>
      <w:proofErr w:type="spellStart"/>
      <w:r w:rsidRPr="00C22C57">
        <w:rPr>
          <w:b/>
          <w:lang w:val="fr-CA"/>
        </w:rPr>
        <w:t>Furey</w:t>
      </w:r>
      <w:proofErr w:type="spellEnd"/>
      <w:r w:rsidRPr="00C22C57">
        <w:rPr>
          <w:i/>
          <w:lang w:val="fr-CA"/>
        </w:rPr>
        <w:tab/>
        <w:t>Intimé</w:t>
      </w:r>
    </w:p>
    <w:p w:rsidR="00C22C57" w:rsidRPr="00C22C57" w:rsidRDefault="00C22C57" w:rsidP="00C22C57">
      <w:pPr>
        <w:spacing w:after="720"/>
        <w:jc w:val="both"/>
        <w:rPr>
          <w:b/>
          <w:lang w:val="fr-CA"/>
        </w:rPr>
      </w:pPr>
      <w:r w:rsidRPr="00C22C57">
        <w:rPr>
          <w:b/>
          <w:lang w:val="fr-CA"/>
        </w:rPr>
        <w:t xml:space="preserve">Répertorié : R. </w:t>
      </w:r>
      <w:r w:rsidRPr="00C22C57">
        <w:rPr>
          <w:b/>
          <w:i/>
          <w:lang w:val="fr-CA"/>
        </w:rPr>
        <w:t>c.</w:t>
      </w:r>
      <w:r w:rsidRPr="00C22C57">
        <w:rPr>
          <w:b/>
          <w:lang w:val="fr-CA"/>
        </w:rPr>
        <w:t xml:space="preserve"> </w:t>
      </w:r>
      <w:proofErr w:type="spellStart"/>
      <w:r w:rsidRPr="00C22C57">
        <w:rPr>
          <w:b/>
          <w:lang w:val="fr-CA"/>
        </w:rPr>
        <w:t>Furey</w:t>
      </w:r>
      <w:proofErr w:type="spellEnd"/>
    </w:p>
    <w:p w:rsidR="00C22C57" w:rsidRPr="00C22C57" w:rsidRDefault="00C22C57" w:rsidP="00C22C57">
      <w:pPr>
        <w:spacing w:after="720"/>
        <w:jc w:val="both"/>
        <w:rPr>
          <w:b/>
          <w:lang w:val="fr-CA"/>
        </w:rPr>
      </w:pPr>
      <w:r w:rsidRPr="00C22C57">
        <w:rPr>
          <w:b/>
          <w:lang w:val="fr-CA"/>
        </w:rPr>
        <w:t>2022 CSC 52</w:t>
      </w:r>
    </w:p>
    <w:p w:rsidR="00C22C57" w:rsidRPr="00C22C57" w:rsidRDefault="00C22C57" w:rsidP="00C22C57">
      <w:pPr>
        <w:spacing w:after="720"/>
        <w:jc w:val="both"/>
        <w:rPr>
          <w:lang w:val="fr-CA"/>
        </w:rPr>
      </w:pPr>
      <w:r w:rsidRPr="00C22C57">
        <w:rPr>
          <w:lang w:val="fr-CA"/>
        </w:rPr>
        <w:t>N</w:t>
      </w:r>
      <w:r w:rsidRPr="00C22C57">
        <w:rPr>
          <w:vertAlign w:val="superscript"/>
          <w:lang w:val="fr-CA"/>
        </w:rPr>
        <w:t>o</w:t>
      </w:r>
      <w:r w:rsidRPr="00C22C57">
        <w:rPr>
          <w:lang w:val="fr-CA"/>
        </w:rPr>
        <w:t xml:space="preserve"> du greffe : 40038.</w:t>
      </w:r>
    </w:p>
    <w:p w:rsidR="00C22C57" w:rsidRPr="00C22C57" w:rsidRDefault="00C22C57" w:rsidP="00C22C57">
      <w:pPr>
        <w:spacing w:after="720"/>
        <w:jc w:val="both"/>
        <w:rPr>
          <w:lang w:val="fr-CA"/>
        </w:rPr>
      </w:pPr>
      <w:r w:rsidRPr="00C22C57">
        <w:rPr>
          <w:lang w:val="fr-CA"/>
        </w:rPr>
        <w:t>2022 : 2 décembre.</w:t>
      </w:r>
    </w:p>
    <w:p w:rsidR="00C22C57" w:rsidRPr="00C22C57" w:rsidRDefault="00C22C57" w:rsidP="00C22C57">
      <w:pPr>
        <w:spacing w:after="720"/>
        <w:jc w:val="both"/>
        <w:rPr>
          <w:lang w:val="fr-CA"/>
        </w:rPr>
      </w:pPr>
      <w:r w:rsidRPr="00C22C57">
        <w:rPr>
          <w:lang w:val="fr-CA"/>
        </w:rPr>
        <w:t xml:space="preserve">Présents : Les juges </w:t>
      </w:r>
      <w:proofErr w:type="spellStart"/>
      <w:r w:rsidRPr="00C22C57">
        <w:rPr>
          <w:lang w:val="fr-CA"/>
        </w:rPr>
        <w:t>Karakatsanis</w:t>
      </w:r>
      <w:proofErr w:type="spellEnd"/>
      <w:r w:rsidRPr="00C22C57">
        <w:rPr>
          <w:lang w:val="fr-CA"/>
        </w:rPr>
        <w:t xml:space="preserve">, Côté, Brown, Rowe, Martin, Jamal et </w:t>
      </w:r>
      <w:proofErr w:type="spellStart"/>
      <w:r w:rsidRPr="00C22C57">
        <w:rPr>
          <w:lang w:val="fr-CA"/>
        </w:rPr>
        <w:t>O’Bonsawin</w:t>
      </w:r>
      <w:proofErr w:type="spellEnd"/>
      <w:r w:rsidRPr="00C22C57">
        <w:rPr>
          <w:lang w:val="fr-CA"/>
        </w:rPr>
        <w:t>.</w:t>
      </w:r>
    </w:p>
    <w:p w:rsidR="00C22C57" w:rsidRPr="00C22C57" w:rsidRDefault="00C22C57" w:rsidP="00C22C57">
      <w:pPr>
        <w:spacing w:after="720"/>
        <w:jc w:val="both"/>
        <w:rPr>
          <w:lang w:val="fr-CA"/>
        </w:rPr>
      </w:pPr>
      <w:r w:rsidRPr="00C22C57">
        <w:rPr>
          <w:smallCaps/>
          <w:lang w:val="fr-CA"/>
        </w:rPr>
        <w:t>en appel de la cour d’appel de terre-neuve-et-labrador</w:t>
      </w:r>
    </w:p>
    <w:p w:rsidR="00C22C57" w:rsidRPr="00C22C57" w:rsidRDefault="00C22C57" w:rsidP="00C22C57">
      <w:pPr>
        <w:tabs>
          <w:tab w:val="left" w:pos="1168"/>
        </w:tabs>
        <w:spacing w:after="480" w:line="480" w:lineRule="auto"/>
        <w:jc w:val="both"/>
        <w:rPr>
          <w:i/>
          <w:lang w:val="fr-CA"/>
        </w:rPr>
      </w:pPr>
      <w:r w:rsidRPr="00C22C57">
        <w:rPr>
          <w:lang w:val="fr-CA"/>
        </w:rPr>
        <w:tab/>
      </w:r>
      <w:r w:rsidRPr="00C22C57">
        <w:rPr>
          <w:i/>
          <w:lang w:val="fr-CA"/>
        </w:rPr>
        <w:t>Droit criminel — Preuve — Admissibilité — Ouï</w:t>
      </w:r>
      <w:r w:rsidRPr="00C22C57">
        <w:rPr>
          <w:i/>
          <w:lang w:val="fr-CA"/>
        </w:rPr>
        <w:noBreakHyphen/>
        <w:t xml:space="preserve">dire — Déclaration </w:t>
      </w:r>
      <w:proofErr w:type="spellStart"/>
      <w:r w:rsidRPr="00C22C57">
        <w:rPr>
          <w:i/>
          <w:lang w:val="fr-CA"/>
        </w:rPr>
        <w:t>extrajudiciaire</w:t>
      </w:r>
      <w:proofErr w:type="spellEnd"/>
      <w:r w:rsidRPr="00C22C57">
        <w:rPr>
          <w:i/>
          <w:lang w:val="fr-CA"/>
        </w:rPr>
        <w:t xml:space="preserve"> — Fiabilité — Accusé déclaré coupable de plusieurs infractions découlant d’altercations avec deux plaignants — Appel formé par l’accusé contre les déclarations de culpabilité au motif que la juge du procès a commis une erreur en admettant une déclaration </w:t>
      </w:r>
      <w:proofErr w:type="spellStart"/>
      <w:r w:rsidRPr="00C22C57">
        <w:rPr>
          <w:i/>
          <w:lang w:val="fr-CA"/>
        </w:rPr>
        <w:t>extrajudiciaire</w:t>
      </w:r>
      <w:proofErr w:type="spellEnd"/>
      <w:r w:rsidRPr="00C22C57">
        <w:rPr>
          <w:i/>
          <w:lang w:val="fr-CA"/>
        </w:rPr>
        <w:t xml:space="preserve"> faite par un des plaignants, qui est mort de causes non reliées aux infractions avant le procès, afin d’établir la </w:t>
      </w:r>
      <w:r w:rsidRPr="00C22C57">
        <w:rPr>
          <w:i/>
          <w:lang w:val="fr-CA"/>
        </w:rPr>
        <w:lastRenderedPageBreak/>
        <w:t>véracité de son contenu — Conclusion des juges majoritaires de la Cour d’appel portant que la juge du procès a appliqué un mauvais principe de droit dans l’appréciation du seuil de fiabilité de la déclaration et la détermination de l’admissibilité de celle</w:t>
      </w:r>
      <w:r w:rsidRPr="00C22C57">
        <w:rPr>
          <w:i/>
          <w:lang w:val="fr-CA"/>
        </w:rPr>
        <w:noBreakHyphen/>
        <w:t>ci — Annulation par les juges majoritaires des déclarations de culpabilité et nouveau procès ordonné par ceux</w:t>
      </w:r>
      <w:r w:rsidRPr="00C22C57">
        <w:rPr>
          <w:i/>
          <w:lang w:val="fr-CA"/>
        </w:rPr>
        <w:noBreakHyphen/>
        <w:t>ci — Conclusion de la juge dissidente portant que la juge du procès n’a commis aucune erreur en appliquant la méthode d’analyse raisonnée à la preuve par ouï</w:t>
      </w:r>
      <w:r w:rsidRPr="00C22C57">
        <w:rPr>
          <w:i/>
          <w:lang w:val="fr-CA"/>
        </w:rPr>
        <w:noBreakHyphen/>
        <w:t>dire et en admettant la déclaration — Déclarations de culpabilité rétablies.</w:t>
      </w:r>
    </w:p>
    <w:p w:rsidR="00C22C57" w:rsidRPr="00C22C57" w:rsidRDefault="00C22C57" w:rsidP="00C22C57">
      <w:pPr>
        <w:widowControl w:val="0"/>
        <w:tabs>
          <w:tab w:val="left" w:pos="1168"/>
        </w:tabs>
        <w:spacing w:after="720"/>
        <w:jc w:val="both"/>
        <w:rPr>
          <w:b/>
          <w:lang w:val="fr-CA"/>
        </w:rPr>
      </w:pPr>
      <w:r w:rsidRPr="00C22C57">
        <w:rPr>
          <w:b/>
          <w:lang w:val="fr-CA"/>
        </w:rPr>
        <w:t>Jurisprudence</w:t>
      </w:r>
    </w:p>
    <w:p w:rsidR="00C22C57" w:rsidRPr="00C22C57" w:rsidRDefault="00C22C57" w:rsidP="00C22C57">
      <w:pPr>
        <w:widowControl w:val="0"/>
        <w:tabs>
          <w:tab w:val="left" w:pos="1168"/>
        </w:tabs>
        <w:spacing w:after="480" w:line="480" w:lineRule="auto"/>
        <w:jc w:val="both"/>
        <w:rPr>
          <w:b/>
          <w:lang w:val="fr-CA"/>
        </w:rPr>
      </w:pPr>
      <w:r w:rsidRPr="00C22C57">
        <w:rPr>
          <w:lang w:val="fr-CA"/>
        </w:rPr>
        <w:tab/>
      </w:r>
      <w:r w:rsidRPr="00C22C57">
        <w:rPr>
          <w:b/>
          <w:lang w:val="fr-CA"/>
        </w:rPr>
        <w:t>Arrêts mentionnés :</w:t>
      </w:r>
      <w:r w:rsidRPr="00C22C57">
        <w:rPr>
          <w:lang w:val="fr-CA"/>
        </w:rPr>
        <w:t xml:space="preserve"> </w:t>
      </w:r>
      <w:r w:rsidRPr="00C22C57">
        <w:rPr>
          <w:i/>
          <w:iCs/>
          <w:color w:val="000000"/>
          <w:lang w:val="fr-CA"/>
        </w:rPr>
        <w:t xml:space="preserve">R. c. </w:t>
      </w:r>
      <w:proofErr w:type="spellStart"/>
      <w:r w:rsidRPr="00C22C57">
        <w:rPr>
          <w:i/>
          <w:iCs/>
          <w:color w:val="000000"/>
          <w:lang w:val="fr-CA"/>
        </w:rPr>
        <w:t>Khelawon</w:t>
      </w:r>
      <w:proofErr w:type="spellEnd"/>
      <w:r w:rsidRPr="00C22C57">
        <w:rPr>
          <w:color w:val="000000"/>
          <w:lang w:val="fr-CA"/>
        </w:rPr>
        <w:t xml:space="preserve">, 2006 CSC 57, [2006] 2 </w:t>
      </w:r>
      <w:proofErr w:type="spellStart"/>
      <w:r w:rsidRPr="00C22C57">
        <w:rPr>
          <w:color w:val="000000"/>
          <w:lang w:val="fr-CA"/>
        </w:rPr>
        <w:t>R.C.S</w:t>
      </w:r>
      <w:proofErr w:type="spellEnd"/>
      <w:r w:rsidRPr="00C22C57">
        <w:rPr>
          <w:color w:val="000000"/>
          <w:lang w:val="fr-CA"/>
        </w:rPr>
        <w:t xml:space="preserve">. 787; </w:t>
      </w:r>
      <w:r w:rsidRPr="00C22C57">
        <w:rPr>
          <w:i/>
          <w:iCs/>
          <w:color w:val="000000"/>
          <w:lang w:val="fr-CA"/>
        </w:rPr>
        <w:t xml:space="preserve">R. c. </w:t>
      </w:r>
      <w:proofErr w:type="spellStart"/>
      <w:r w:rsidRPr="00C22C57">
        <w:rPr>
          <w:i/>
          <w:iCs/>
          <w:color w:val="000000"/>
          <w:lang w:val="fr-CA"/>
        </w:rPr>
        <w:t>Baldree</w:t>
      </w:r>
      <w:proofErr w:type="spellEnd"/>
      <w:r w:rsidRPr="00C22C57">
        <w:rPr>
          <w:color w:val="000000"/>
          <w:lang w:val="fr-CA"/>
        </w:rPr>
        <w:t xml:space="preserve">, 2013 CSC 35, [2013] 2 </w:t>
      </w:r>
      <w:proofErr w:type="spellStart"/>
      <w:r w:rsidRPr="00C22C57">
        <w:rPr>
          <w:color w:val="000000"/>
          <w:lang w:val="fr-CA"/>
        </w:rPr>
        <w:t>R.C.S</w:t>
      </w:r>
      <w:proofErr w:type="spellEnd"/>
      <w:r w:rsidRPr="00C22C57">
        <w:rPr>
          <w:color w:val="000000"/>
          <w:lang w:val="fr-CA"/>
        </w:rPr>
        <w:t xml:space="preserve">. 520; </w:t>
      </w:r>
      <w:r w:rsidRPr="00C22C57">
        <w:rPr>
          <w:i/>
          <w:iCs/>
          <w:color w:val="000000"/>
          <w:lang w:val="fr-CA"/>
        </w:rPr>
        <w:t>R. c. U. (</w:t>
      </w:r>
      <w:proofErr w:type="spellStart"/>
      <w:r w:rsidRPr="00C22C57">
        <w:rPr>
          <w:i/>
          <w:iCs/>
          <w:color w:val="000000"/>
          <w:lang w:val="fr-CA"/>
        </w:rPr>
        <w:t>F.J</w:t>
      </w:r>
      <w:proofErr w:type="spellEnd"/>
      <w:r w:rsidRPr="00C22C57">
        <w:rPr>
          <w:i/>
          <w:iCs/>
          <w:color w:val="000000"/>
          <w:lang w:val="fr-CA"/>
        </w:rPr>
        <w:t>.)</w:t>
      </w:r>
      <w:r w:rsidRPr="00C22C57">
        <w:rPr>
          <w:color w:val="000000"/>
          <w:lang w:val="fr-CA"/>
        </w:rPr>
        <w:t xml:space="preserve">, [1995] 3 </w:t>
      </w:r>
      <w:proofErr w:type="spellStart"/>
      <w:r w:rsidRPr="00C22C57">
        <w:rPr>
          <w:color w:val="000000"/>
          <w:lang w:val="fr-CA"/>
        </w:rPr>
        <w:t>R.C.S</w:t>
      </w:r>
      <w:proofErr w:type="spellEnd"/>
      <w:r w:rsidRPr="00C22C57">
        <w:rPr>
          <w:color w:val="000000"/>
          <w:lang w:val="fr-CA"/>
        </w:rPr>
        <w:t xml:space="preserve">. 764; </w:t>
      </w:r>
      <w:r w:rsidRPr="00C22C57">
        <w:rPr>
          <w:i/>
          <w:iCs/>
          <w:color w:val="000000"/>
          <w:lang w:val="fr-CA"/>
        </w:rPr>
        <w:t>R. c. Bradshaw</w:t>
      </w:r>
      <w:r w:rsidRPr="00C22C57">
        <w:rPr>
          <w:color w:val="000000"/>
          <w:lang w:val="fr-CA"/>
        </w:rPr>
        <w:t xml:space="preserve">, 2017 CSC 35, [2017] 1 </w:t>
      </w:r>
      <w:proofErr w:type="spellStart"/>
      <w:r w:rsidRPr="00C22C57">
        <w:rPr>
          <w:color w:val="000000"/>
          <w:lang w:val="fr-CA"/>
        </w:rPr>
        <w:t>R.C.S</w:t>
      </w:r>
      <w:proofErr w:type="spellEnd"/>
      <w:r w:rsidRPr="00C22C57">
        <w:rPr>
          <w:color w:val="000000"/>
          <w:lang w:val="fr-CA"/>
        </w:rPr>
        <w:t xml:space="preserve">. 865; </w:t>
      </w:r>
      <w:r w:rsidRPr="00C22C57">
        <w:rPr>
          <w:i/>
          <w:iCs/>
          <w:color w:val="000000"/>
          <w:lang w:val="fr-CA"/>
        </w:rPr>
        <w:t>R. c. Smith</w:t>
      </w:r>
      <w:r w:rsidRPr="00C22C57">
        <w:rPr>
          <w:color w:val="000000"/>
          <w:lang w:val="fr-CA"/>
        </w:rPr>
        <w:t xml:space="preserve">, [1992] 2 </w:t>
      </w:r>
      <w:proofErr w:type="spellStart"/>
      <w:r w:rsidRPr="00C22C57">
        <w:rPr>
          <w:color w:val="000000"/>
          <w:lang w:val="fr-CA"/>
        </w:rPr>
        <w:t>R.C.S</w:t>
      </w:r>
      <w:proofErr w:type="spellEnd"/>
      <w:r w:rsidRPr="00C22C57">
        <w:rPr>
          <w:color w:val="000000"/>
          <w:lang w:val="fr-CA"/>
        </w:rPr>
        <w:t>. 915.</w:t>
      </w:r>
    </w:p>
    <w:p w:rsidR="00C22C57" w:rsidRPr="00C22C57" w:rsidRDefault="00C22C57" w:rsidP="00C22C5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C22C57">
        <w:rPr>
          <w:lang w:val="fr-CA"/>
        </w:rPr>
        <w:tab/>
        <w:t>POURVOI contre un arrêt de la Cour d’appel de Terre</w:t>
      </w:r>
      <w:r w:rsidRPr="00C22C57">
        <w:rPr>
          <w:lang w:val="fr-CA"/>
        </w:rPr>
        <w:noBreakHyphen/>
        <w:t>Neuve</w:t>
      </w:r>
      <w:r w:rsidRPr="00C22C57">
        <w:rPr>
          <w:lang w:val="fr-CA"/>
        </w:rPr>
        <w:noBreakHyphen/>
        <w:t>et</w:t>
      </w:r>
      <w:r w:rsidRPr="00C22C57">
        <w:rPr>
          <w:lang w:val="fr-CA"/>
        </w:rPr>
        <w:noBreakHyphen/>
        <w:t xml:space="preserve">Labrador (les juges </w:t>
      </w:r>
      <w:proofErr w:type="spellStart"/>
      <w:r w:rsidRPr="00C22C57">
        <w:rPr>
          <w:lang w:val="fr-CA"/>
        </w:rPr>
        <w:t>Welsh</w:t>
      </w:r>
      <w:proofErr w:type="spellEnd"/>
      <w:r w:rsidRPr="00C22C57">
        <w:rPr>
          <w:lang w:val="fr-CA"/>
        </w:rPr>
        <w:t xml:space="preserve">, White et </w:t>
      </w:r>
      <w:proofErr w:type="spellStart"/>
      <w:r w:rsidRPr="00C22C57">
        <w:rPr>
          <w:lang w:val="fr-CA"/>
        </w:rPr>
        <w:t>Knickle</w:t>
      </w:r>
      <w:proofErr w:type="spellEnd"/>
      <w:r w:rsidRPr="00C22C57">
        <w:rPr>
          <w:lang w:val="fr-CA"/>
        </w:rPr>
        <w:t xml:space="preserve">), </w:t>
      </w:r>
      <w:hyperlink r:id="rId10" w:history="1">
        <w:r w:rsidRPr="00C22C57">
          <w:rPr>
            <w:color w:val="660000"/>
            <w:lang w:val="fr-CA"/>
          </w:rPr>
          <w:t xml:space="preserve">2021 </w:t>
        </w:r>
        <w:proofErr w:type="spellStart"/>
        <w:r w:rsidRPr="00C22C57">
          <w:rPr>
            <w:color w:val="660000"/>
            <w:lang w:val="fr-CA"/>
          </w:rPr>
          <w:t>NLCA</w:t>
        </w:r>
        <w:proofErr w:type="spellEnd"/>
        <w:r w:rsidRPr="00C22C57">
          <w:rPr>
            <w:color w:val="660000"/>
            <w:lang w:val="fr-CA"/>
          </w:rPr>
          <w:t xml:space="preserve"> 59</w:t>
        </w:r>
      </w:hyperlink>
      <w:r w:rsidRPr="00C22C57">
        <w:rPr>
          <w:lang w:val="fr-CA"/>
        </w:rPr>
        <w:t xml:space="preserve">, 476 </w:t>
      </w:r>
      <w:proofErr w:type="spellStart"/>
      <w:r w:rsidRPr="00C22C57">
        <w:rPr>
          <w:lang w:val="fr-CA"/>
        </w:rPr>
        <w:t>D.L.R</w:t>
      </w:r>
      <w:proofErr w:type="spellEnd"/>
      <w:r w:rsidRPr="00C22C57">
        <w:rPr>
          <w:lang w:val="fr-CA"/>
        </w:rPr>
        <w:t>. (</w:t>
      </w:r>
      <w:proofErr w:type="spellStart"/>
      <w:r w:rsidRPr="00C22C57">
        <w:rPr>
          <w:lang w:val="fr-CA"/>
        </w:rPr>
        <w:t>4th</w:t>
      </w:r>
      <w:proofErr w:type="spellEnd"/>
      <w:r w:rsidRPr="00C22C57">
        <w:rPr>
          <w:lang w:val="fr-CA"/>
        </w:rPr>
        <w:t xml:space="preserve">) 197, [2021] </w:t>
      </w:r>
      <w:proofErr w:type="spellStart"/>
      <w:r w:rsidRPr="00C22C57">
        <w:rPr>
          <w:lang w:val="fr-CA"/>
        </w:rPr>
        <w:t>N.J</w:t>
      </w:r>
      <w:proofErr w:type="spellEnd"/>
      <w:r w:rsidRPr="00C22C57">
        <w:rPr>
          <w:lang w:val="fr-CA"/>
        </w:rPr>
        <w:t>. No. 338 (</w:t>
      </w:r>
      <w:proofErr w:type="spellStart"/>
      <w:r w:rsidRPr="00C22C57">
        <w:rPr>
          <w:lang w:val="fr-CA"/>
        </w:rPr>
        <w:t>QL</w:t>
      </w:r>
      <w:proofErr w:type="spellEnd"/>
      <w:r w:rsidRPr="00C22C57">
        <w:rPr>
          <w:lang w:val="fr-CA"/>
        </w:rPr>
        <w:t xml:space="preserve">), 2021 </w:t>
      </w:r>
      <w:proofErr w:type="spellStart"/>
      <w:r w:rsidRPr="00C22C57">
        <w:rPr>
          <w:lang w:val="fr-CA"/>
        </w:rPr>
        <w:t>CarswellNfld</w:t>
      </w:r>
      <w:proofErr w:type="spellEnd"/>
      <w:r w:rsidRPr="00C22C57">
        <w:rPr>
          <w:lang w:val="fr-CA"/>
        </w:rPr>
        <w:t xml:space="preserve"> 424 (</w:t>
      </w:r>
      <w:proofErr w:type="spellStart"/>
      <w:r w:rsidRPr="00C22C57">
        <w:rPr>
          <w:lang w:val="fr-CA"/>
        </w:rPr>
        <w:t>WL</w:t>
      </w:r>
      <w:proofErr w:type="spellEnd"/>
      <w:r w:rsidRPr="00C22C57">
        <w:rPr>
          <w:lang w:val="fr-CA"/>
        </w:rPr>
        <w:t>), qui a annulé les déclarations de culpabilité prononcées contre l’accusé et ordonné un nouveau procès. Pourvoi accueilli.</w:t>
      </w:r>
    </w:p>
    <w:p w:rsidR="00C22C57" w:rsidRPr="00C22C57" w:rsidRDefault="00C22C57" w:rsidP="00C22C5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C22C57">
        <w:rPr>
          <w:i/>
          <w:lang w:val="fr-CA"/>
        </w:rPr>
        <w:tab/>
        <w:t xml:space="preserve">Arnold </w:t>
      </w:r>
      <w:proofErr w:type="spellStart"/>
      <w:r w:rsidRPr="00C22C57">
        <w:rPr>
          <w:i/>
          <w:lang w:val="fr-CA"/>
        </w:rPr>
        <w:t>Hussey</w:t>
      </w:r>
      <w:proofErr w:type="spellEnd"/>
      <w:r w:rsidRPr="00C22C57">
        <w:rPr>
          <w:lang w:val="fr-CA"/>
        </w:rPr>
        <w:t>,</w:t>
      </w:r>
      <w:r w:rsidRPr="00C22C57">
        <w:rPr>
          <w:i/>
          <w:lang w:val="fr-CA"/>
        </w:rPr>
        <w:t xml:space="preserve"> </w:t>
      </w:r>
      <w:proofErr w:type="spellStart"/>
      <w:proofErr w:type="gramStart"/>
      <w:r w:rsidRPr="00C22C57">
        <w:rPr>
          <w:i/>
          <w:lang w:val="fr-CA"/>
        </w:rPr>
        <w:t>c.r</w:t>
      </w:r>
      <w:proofErr w:type="spellEnd"/>
      <w:r w:rsidRPr="00C22C57">
        <w:rPr>
          <w:i/>
          <w:lang w:val="fr-CA"/>
        </w:rPr>
        <w:t>.</w:t>
      </w:r>
      <w:r w:rsidRPr="00C22C57">
        <w:rPr>
          <w:lang w:val="fr-CA"/>
        </w:rPr>
        <w:t>,</w:t>
      </w:r>
      <w:proofErr w:type="gramEnd"/>
      <w:r w:rsidRPr="00C22C57">
        <w:rPr>
          <w:lang w:val="fr-CA"/>
        </w:rPr>
        <w:t xml:space="preserve"> pour l’appelant.</w:t>
      </w:r>
    </w:p>
    <w:p w:rsidR="00C22C57" w:rsidRPr="00C22C57" w:rsidRDefault="00C22C57" w:rsidP="00C22C5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C22C57">
        <w:rPr>
          <w:i/>
          <w:lang w:val="fr-CA"/>
        </w:rPr>
        <w:tab/>
        <w:t>Jason Edwards</w:t>
      </w:r>
      <w:r w:rsidRPr="00C22C57">
        <w:rPr>
          <w:lang w:val="fr-CA"/>
        </w:rPr>
        <w:t>, pour l’intimé.</w:t>
      </w:r>
    </w:p>
    <w:p w:rsidR="00C22C57" w:rsidRPr="00C22C57" w:rsidRDefault="00C22C57" w:rsidP="00C22C5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C22C57">
        <w:rPr>
          <w:i/>
          <w:lang w:val="fr-CA"/>
        </w:rPr>
        <w:tab/>
      </w:r>
      <w:r w:rsidRPr="00C22C57">
        <w:rPr>
          <w:lang w:val="fr-CA"/>
        </w:rPr>
        <w:t>Version française du jugement de la Cour rendu oralement par</w:t>
      </w:r>
    </w:p>
    <w:p w:rsidR="00C22C57" w:rsidRPr="00C22C57" w:rsidRDefault="00C22C57" w:rsidP="00C22C57">
      <w:pPr>
        <w:numPr>
          <w:ilvl w:val="0"/>
          <w:numId w:val="31"/>
        </w:numPr>
        <w:tabs>
          <w:tab w:val="left" w:pos="1166"/>
        </w:tabs>
        <w:spacing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C22C57">
        <w:rPr>
          <w:rFonts w:eastAsiaTheme="minorEastAsia" w:cstheme="minorBidi"/>
          <w:smallCaps/>
          <w:color w:val="000000"/>
          <w:szCs w:val="22"/>
          <w:lang w:val="fr-CA" w:eastAsia="en-US"/>
        </w:rPr>
        <w:lastRenderedPageBreak/>
        <w:t xml:space="preserve">La juge </w:t>
      </w:r>
      <w:proofErr w:type="spellStart"/>
      <w:r w:rsidRPr="00C22C57">
        <w:rPr>
          <w:rFonts w:eastAsiaTheme="minorEastAsia" w:cstheme="minorBidi"/>
          <w:smallCaps/>
          <w:color w:val="000000"/>
          <w:szCs w:val="22"/>
          <w:lang w:val="fr-CA" w:eastAsia="en-US"/>
        </w:rPr>
        <w:t>Karakatsanis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 — Nous sommes d’avis que l’appel devrait être accueilli. La juge du procès n’a pas commis d’erreur en admettant la preuve par ouï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dire lors du voir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dire.</w:t>
      </w:r>
    </w:p>
    <w:p w:rsidR="00C22C57" w:rsidRPr="00C22C57" w:rsidRDefault="00C22C57" w:rsidP="00C22C57">
      <w:pPr>
        <w:numPr>
          <w:ilvl w:val="0"/>
          <w:numId w:val="31"/>
        </w:numPr>
        <w:tabs>
          <w:tab w:val="left" w:pos="1166"/>
        </w:tabs>
        <w:spacing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C22C57">
        <w:rPr>
          <w:rFonts w:eastAsiaTheme="minorEastAsia" w:cstheme="minorBidi"/>
          <w:color w:val="000000"/>
          <w:szCs w:val="22"/>
          <w:lang w:val="fr-CA" w:eastAsia="en-US"/>
        </w:rPr>
        <w:t>Toutefois, nous tenons à souligner que la nécessité de recevoir une preuve par ouï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dire n’est jamais importante au point où l’exigence du seuil de fiabilité de la méthode d’analyse raisonnée peut être sacrifiée. L’admission d’une preuve par ouï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dire non fiable contre un accusé compromet l’équité du procès, crée le risque de déclarations de culpabilité erronées et mine l’intégrité du processus judiciaire (</w:t>
      </w:r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 xml:space="preserve">R. c. </w:t>
      </w:r>
      <w:proofErr w:type="spellStart"/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Khelawon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, 2006 CSC 57, [2006] 2 </w:t>
      </w:r>
      <w:proofErr w:type="spell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R.C.S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. 787, par. 47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49).</w:t>
      </w:r>
    </w:p>
    <w:p w:rsidR="00C22C57" w:rsidRPr="00C22C57" w:rsidRDefault="00C22C57" w:rsidP="00C22C57">
      <w:pPr>
        <w:numPr>
          <w:ilvl w:val="0"/>
          <w:numId w:val="31"/>
        </w:numPr>
        <w:tabs>
          <w:tab w:val="left" w:pos="1166"/>
        </w:tabs>
        <w:spacing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C22C57">
        <w:rPr>
          <w:rFonts w:eastAsiaTheme="minorEastAsia" w:cstheme="minorBidi"/>
          <w:color w:val="000000"/>
          <w:szCs w:val="22"/>
          <w:lang w:val="fr-CA" w:eastAsia="en-US"/>
        </w:rPr>
        <w:t>La Cour a reconnu que la nécessité et la fiabilité — qui constituent la méthode d’analyse raisonnée applicable à la preuve par ouï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dire — « vont de pair »; en particulier, « si la preuve est suffisamment fiable, l’exigence de nécessité peut être assouplie » (</w:t>
      </w:r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 xml:space="preserve">R. c. </w:t>
      </w:r>
      <w:proofErr w:type="spellStart"/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Baldree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, 2013 CSC 35, [2013] 2 </w:t>
      </w:r>
      <w:proofErr w:type="spell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R.C.S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. 520, par. 72). De fait, « [p]</w:t>
      </w:r>
      <w:proofErr w:type="spell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ar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 souci de recherche de la vérité, il [peut se révéler] nécessaire d’admettre quant au fond [une] déclaration en raison de sa très grande fiabilité » (</w:t>
      </w:r>
      <w:proofErr w:type="spellStart"/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Khelawon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, par. 86, citant </w:t>
      </w:r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R. c. U. (</w:t>
      </w:r>
      <w:proofErr w:type="spellStart"/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F.J</w:t>
      </w:r>
      <w:proofErr w:type="spellEnd"/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.)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, [1995] 3 </w:t>
      </w:r>
      <w:proofErr w:type="spell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R.C.S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. 764).</w:t>
      </w:r>
    </w:p>
    <w:p w:rsidR="00C22C57" w:rsidRPr="00C22C57" w:rsidRDefault="00C22C57" w:rsidP="00C22C57">
      <w:pPr>
        <w:numPr>
          <w:ilvl w:val="0"/>
          <w:numId w:val="31"/>
        </w:numPr>
        <w:tabs>
          <w:tab w:val="left" w:pos="1166"/>
        </w:tabs>
        <w:spacing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Cependant, la Cour n’a jamais dit que la fiabilité s’assouplit à mesure que s’accroît la nécessité. Bien que les indices de fiabilité requis pour répondre à certaines préoccupations précises concernant </w:t>
      </w:r>
      <w:proofErr w:type="gram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le ouï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dire</w:t>
      </w:r>
      <w:proofErr w:type="gram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 puissent varier selon les circonstances de chaque cas (</w:t>
      </w:r>
      <w:proofErr w:type="spellStart"/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Khelawon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, par. 78), le seuil de fiabilité doit être établi dans tous les cas. Comme l’a affirmé notre Cour dans </w:t>
      </w:r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R. c. Bradshaw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, 2017 CSC 35, [2017] 1 </w:t>
      </w:r>
      <w:proofErr w:type="spell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R.C.S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. 865, « la norme du seuil de fiabilité demeure toujours élevée — la déclaration doit être suffisamment fiable pour écarter les dangers spécifiques du ouï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 xml:space="preserve">dire qu’elle présente » (par. 32, se référant à </w:t>
      </w:r>
      <w:proofErr w:type="spellStart"/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Khelawon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, par. 49). D’ailleurs, dans les cas où la 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lastRenderedPageBreak/>
        <w:t xml:space="preserve">Cour a considéré des déclarations </w:t>
      </w:r>
      <w:proofErr w:type="spell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extrajudiciaires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 de déclarants décédés, nous avons invariablement insisté sur des « garantie[s] circonstancielle[s] de fiabilité » (</w:t>
      </w:r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R. c. Smith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, [1992] 2 </w:t>
      </w:r>
      <w:proofErr w:type="spell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R.C.S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. 915, p. 937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938), ou « un autre moyen suffisant de [. . .] vérifier [la preuve] » (</w:t>
      </w:r>
      <w:proofErr w:type="spellStart"/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Khelawon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, par. 105). Par conséquent, dans tous les cas, quel que soit le degré de nécessité, de tels éléments de preuve doivent respecter l’exigence du seuil de fiabilité afin d’être admissibles.</w:t>
      </w:r>
    </w:p>
    <w:p w:rsidR="00C22C57" w:rsidRPr="00C22C57" w:rsidRDefault="00C22C57" w:rsidP="00C22C57">
      <w:pPr>
        <w:numPr>
          <w:ilvl w:val="0"/>
          <w:numId w:val="31"/>
        </w:numPr>
        <w:tabs>
          <w:tab w:val="left" w:pos="1166"/>
        </w:tabs>
        <w:spacing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Cela dit, nous ne considérons pas que les motifs de la juge du procès reposent sur un seuil de fiabilité assoupli. Au contraire, ils révèlent qu’elle a appliqué le seuil de fiabilité décrit par la Cour dans l’arrêt </w:t>
      </w:r>
      <w:r w:rsidRPr="00C22C57">
        <w:rPr>
          <w:rFonts w:eastAsiaTheme="minorEastAsia" w:cstheme="minorBidi"/>
          <w:i/>
          <w:iCs/>
          <w:color w:val="000000"/>
          <w:szCs w:val="22"/>
          <w:lang w:val="fr-CA" w:eastAsia="en-US"/>
        </w:rPr>
        <w:t>Bradshaw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, au </w:t>
      </w:r>
      <w:proofErr w:type="spell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par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. 31. Elle a fait remarquer que la déclaration était enregistrée sur bande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vidéo, [</w:t>
      </w:r>
      <w:r w:rsidRPr="00C22C57">
        <w:rPr>
          <w:rFonts w:eastAsiaTheme="minorEastAsia" w:cstheme="minorBidi"/>
          <w:smallCaps/>
          <w:color w:val="000000"/>
          <w:szCs w:val="22"/>
          <w:lang w:val="fr-CA" w:eastAsia="en-US"/>
        </w:rPr>
        <w:t>traduction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t>] « raisonnablement contemporaine aux événements, et avait été faite aux policiers sans hésitation » (motifs du voir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>dire, par. 28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 xml:space="preserve">29, reproduits dans </w:t>
      </w:r>
      <w:proofErr w:type="spellStart"/>
      <w:proofErr w:type="gram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d.a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.,</w:t>
      </w:r>
      <w:proofErr w:type="gram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 xml:space="preserve"> vol. I, p. 12). La juge du procès a également considéré la preuve </w:t>
      </w:r>
      <w:proofErr w:type="spell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corroborante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, et elle a estimé que les explications différentes quant à la teneur de la déclaration « </w:t>
      </w:r>
      <w:proofErr w:type="spellStart"/>
      <w:proofErr w:type="gramStart"/>
      <w:r w:rsidRPr="00C22C57">
        <w:rPr>
          <w:rFonts w:eastAsiaTheme="minorEastAsia" w:cstheme="minorBidi"/>
          <w:color w:val="000000"/>
          <w:szCs w:val="22"/>
          <w:lang w:val="fr-CA" w:eastAsia="en-US"/>
        </w:rPr>
        <w:t>sembl</w:t>
      </w:r>
      <w:proofErr w:type="spell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[</w:t>
      </w:r>
      <w:proofErr w:type="gramEnd"/>
      <w:r w:rsidRPr="00C22C57">
        <w:rPr>
          <w:rFonts w:eastAsiaTheme="minorEastAsia" w:cstheme="minorBidi"/>
          <w:color w:val="000000"/>
          <w:szCs w:val="22"/>
          <w:lang w:val="fr-CA" w:eastAsia="en-US"/>
        </w:rPr>
        <w:t>aient] peu vraisemblables » (par. 44). Sur la base de ces considérations, elle a conclu « qu’un contre-interrogatoire contemporain, quoique préférable comme dans tous les cas, contribuerait vraisemblablement peu au processus de détermination de la véracité de ce que [le déclarant] a dit dans sa déclaration » (par. 46).</w:t>
      </w:r>
    </w:p>
    <w:p w:rsidR="00C22C57" w:rsidRPr="00C22C57" w:rsidRDefault="00C22C57" w:rsidP="00C22C57">
      <w:pPr>
        <w:numPr>
          <w:ilvl w:val="0"/>
          <w:numId w:val="31"/>
        </w:numPr>
        <w:tabs>
          <w:tab w:val="left" w:pos="1166"/>
        </w:tabs>
        <w:spacing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C22C57">
        <w:rPr>
          <w:rFonts w:eastAsiaTheme="minorEastAsia" w:cstheme="minorBidi"/>
          <w:color w:val="000000"/>
          <w:szCs w:val="22"/>
          <w:lang w:val="fr-CA" w:eastAsia="en-US"/>
        </w:rPr>
        <w:t>En conséquence, nous sommes convaincus que les motifs de la juge du procès, considérés dans leur ensemble, indiquent qu’elle a appliqué adéquatement le droit relatif à l’admission de la preuve par ouï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noBreakHyphen/>
        <w:t xml:space="preserve">dire, et n’a pas assoupli le seuil de fiabilité minimal. Nous sommes d’accord avec la juge dissidente de la Cour d’appel pour dire que les éléments mentionnés dans </w:t>
      </w:r>
      <w:r w:rsidRPr="00C22C57">
        <w:rPr>
          <w:rFonts w:eastAsiaTheme="minorEastAsia" w:cstheme="minorBidi"/>
          <w:color w:val="000000"/>
          <w:szCs w:val="22"/>
          <w:lang w:val="fr-CA" w:eastAsia="en-US"/>
        </w:rPr>
        <w:lastRenderedPageBreak/>
        <w:t>les derniers paragraphes des motifs de la juge du procès ne minent pas sa conclusion précédente selon laquelle le seuil de fiabilité a été établi.</w:t>
      </w:r>
    </w:p>
    <w:p w:rsidR="00C22C57" w:rsidRPr="00C22C57" w:rsidRDefault="00C22C57" w:rsidP="00C22C57">
      <w:pPr>
        <w:numPr>
          <w:ilvl w:val="0"/>
          <w:numId w:val="31"/>
        </w:numPr>
        <w:tabs>
          <w:tab w:val="left" w:pos="1166"/>
        </w:tabs>
        <w:spacing w:after="480" w:line="480" w:lineRule="auto"/>
        <w:jc w:val="both"/>
        <w:rPr>
          <w:rFonts w:eastAsiaTheme="minorEastAsia" w:cstheme="minorBidi"/>
          <w:szCs w:val="22"/>
          <w:lang w:val="fr-CA" w:eastAsia="en-US"/>
        </w:rPr>
      </w:pPr>
      <w:r w:rsidRPr="00C22C57">
        <w:rPr>
          <w:rFonts w:eastAsiaTheme="minorEastAsia" w:cstheme="minorBidi"/>
          <w:color w:val="000000"/>
          <w:szCs w:val="22"/>
          <w:lang w:val="fr-CA" w:eastAsia="en-US"/>
        </w:rPr>
        <w:t>Pour ces motifs, nous accueillons le pourvoi, annulons l’ordonnance de la Cour d’appel et rétablissons les déclarations de culpabilité prononcées contre l’intimé.</w:t>
      </w:r>
    </w:p>
    <w:p w:rsidR="00C22C57" w:rsidRPr="00C22C57" w:rsidRDefault="00C22C57" w:rsidP="00C22C57">
      <w:pPr>
        <w:tabs>
          <w:tab w:val="left" w:pos="1168"/>
        </w:tabs>
        <w:spacing w:after="480" w:line="480" w:lineRule="auto"/>
        <w:jc w:val="both"/>
        <w:rPr>
          <w:lang w:val="fr-CA"/>
        </w:rPr>
      </w:pPr>
      <w:r w:rsidRPr="00C22C57">
        <w:rPr>
          <w:lang w:val="fr-CA"/>
        </w:rPr>
        <w:tab/>
      </w:r>
      <w:r w:rsidRPr="00C22C57">
        <w:rPr>
          <w:i/>
          <w:lang w:val="fr-CA"/>
        </w:rPr>
        <w:t>Jugement en conséquence.</w:t>
      </w:r>
    </w:p>
    <w:p w:rsidR="00C22C57" w:rsidRPr="00C22C57" w:rsidRDefault="00C22C57" w:rsidP="00C22C57">
      <w:pPr>
        <w:tabs>
          <w:tab w:val="left" w:pos="1168"/>
        </w:tabs>
        <w:spacing w:after="480" w:line="480" w:lineRule="auto"/>
        <w:jc w:val="both"/>
        <w:rPr>
          <w:i/>
          <w:lang w:val="fr-CA"/>
        </w:rPr>
      </w:pPr>
      <w:r w:rsidRPr="00C22C57">
        <w:rPr>
          <w:i/>
          <w:lang w:val="fr-CA"/>
        </w:rPr>
        <w:tab/>
        <w:t xml:space="preserve">Procureur de l’appelant : Crown Attorneys’ Office, </w:t>
      </w:r>
      <w:proofErr w:type="spellStart"/>
      <w:r w:rsidRPr="00C22C57">
        <w:rPr>
          <w:i/>
          <w:lang w:val="fr-CA"/>
        </w:rPr>
        <w:t>Dept</w:t>
      </w:r>
      <w:proofErr w:type="spellEnd"/>
      <w:r w:rsidRPr="00C22C57">
        <w:rPr>
          <w:i/>
          <w:lang w:val="fr-CA"/>
        </w:rPr>
        <w:t xml:space="preserve">. </w:t>
      </w:r>
      <w:proofErr w:type="gramStart"/>
      <w:r w:rsidRPr="00C22C57">
        <w:rPr>
          <w:i/>
          <w:lang w:val="fr-CA"/>
        </w:rPr>
        <w:t>of</w:t>
      </w:r>
      <w:proofErr w:type="gramEnd"/>
      <w:r w:rsidRPr="00C22C57">
        <w:rPr>
          <w:i/>
          <w:lang w:val="fr-CA"/>
        </w:rPr>
        <w:t xml:space="preserve"> Justice and Public </w:t>
      </w:r>
      <w:proofErr w:type="spellStart"/>
      <w:r w:rsidRPr="00C22C57">
        <w:rPr>
          <w:i/>
          <w:lang w:val="fr-CA"/>
        </w:rPr>
        <w:t>Safety</w:t>
      </w:r>
      <w:proofErr w:type="spellEnd"/>
      <w:r w:rsidRPr="00C22C57">
        <w:rPr>
          <w:i/>
          <w:lang w:val="fr-CA"/>
        </w:rPr>
        <w:t xml:space="preserve">, </w:t>
      </w:r>
      <w:proofErr w:type="spellStart"/>
      <w:r w:rsidRPr="00C22C57">
        <w:rPr>
          <w:i/>
          <w:lang w:val="fr-CA"/>
        </w:rPr>
        <w:t>Clarenville</w:t>
      </w:r>
      <w:proofErr w:type="spellEnd"/>
      <w:r w:rsidRPr="00C22C57">
        <w:rPr>
          <w:i/>
          <w:lang w:val="fr-CA"/>
        </w:rPr>
        <w:t xml:space="preserve"> (</w:t>
      </w:r>
      <w:proofErr w:type="spellStart"/>
      <w:r w:rsidRPr="00C22C57">
        <w:rPr>
          <w:i/>
          <w:lang w:val="fr-CA"/>
        </w:rPr>
        <w:t>T.</w:t>
      </w:r>
      <w:r w:rsidRPr="00C22C57">
        <w:rPr>
          <w:i/>
          <w:lang w:val="fr-CA"/>
        </w:rPr>
        <w:noBreakHyphen/>
        <w:t>N.</w:t>
      </w:r>
      <w:r w:rsidRPr="00C22C57">
        <w:rPr>
          <w:i/>
          <w:lang w:val="fr-CA"/>
        </w:rPr>
        <w:noBreakHyphen/>
        <w:t>L</w:t>
      </w:r>
      <w:proofErr w:type="spellEnd"/>
      <w:r w:rsidRPr="00C22C57">
        <w:rPr>
          <w:i/>
          <w:lang w:val="fr-CA"/>
        </w:rPr>
        <w:t>.).</w:t>
      </w:r>
    </w:p>
    <w:p w:rsidR="00C22C57" w:rsidRPr="00C22C57" w:rsidRDefault="00C22C57" w:rsidP="00C22C57">
      <w:pPr>
        <w:tabs>
          <w:tab w:val="left" w:pos="1168"/>
        </w:tabs>
        <w:spacing w:after="480" w:line="480" w:lineRule="auto"/>
        <w:jc w:val="both"/>
        <w:rPr>
          <w:i/>
          <w:lang w:val="fr-CA"/>
        </w:rPr>
      </w:pPr>
      <w:r w:rsidRPr="00C22C57">
        <w:rPr>
          <w:i/>
          <w:lang w:val="fr-CA"/>
        </w:rPr>
        <w:tab/>
        <w:t xml:space="preserve">Procureur de l’intimé : </w:t>
      </w:r>
      <w:proofErr w:type="spellStart"/>
      <w:r w:rsidRPr="00C22C57">
        <w:rPr>
          <w:i/>
          <w:lang w:val="fr-CA"/>
        </w:rPr>
        <w:t>Legal</w:t>
      </w:r>
      <w:proofErr w:type="spellEnd"/>
      <w:r w:rsidRPr="00C22C57">
        <w:rPr>
          <w:i/>
          <w:lang w:val="fr-CA"/>
        </w:rPr>
        <w:t xml:space="preserve"> </w:t>
      </w:r>
      <w:proofErr w:type="spellStart"/>
      <w:r w:rsidRPr="00C22C57">
        <w:rPr>
          <w:i/>
          <w:lang w:val="fr-CA"/>
        </w:rPr>
        <w:t>Aid</w:t>
      </w:r>
      <w:proofErr w:type="spellEnd"/>
      <w:r w:rsidRPr="00C22C57">
        <w:rPr>
          <w:i/>
          <w:lang w:val="fr-CA"/>
        </w:rPr>
        <w:t xml:space="preserve"> </w:t>
      </w:r>
      <w:proofErr w:type="spellStart"/>
      <w:r w:rsidRPr="00C22C57">
        <w:rPr>
          <w:i/>
          <w:lang w:val="fr-CA"/>
        </w:rPr>
        <w:t>NL</w:t>
      </w:r>
      <w:proofErr w:type="spellEnd"/>
      <w:r w:rsidRPr="00C22C57">
        <w:rPr>
          <w:i/>
          <w:lang w:val="fr-CA"/>
        </w:rPr>
        <w:t>, St. John’s.</w:t>
      </w:r>
      <w:bookmarkStart w:id="0" w:name="_GoBack"/>
      <w:bookmarkEnd w:id="0"/>
    </w:p>
    <w:sectPr w:rsidR="00C22C57" w:rsidRPr="00C22C57" w:rsidSect="001E7575">
      <w:headerReference w:type="default" r:id="rId11"/>
      <w:headerReference w:type="first" r:id="rId12"/>
      <w:pgSz w:w="12240" w:h="15840"/>
      <w:pgMar w:top="1440" w:right="1440" w:bottom="144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CCE" w:rsidRDefault="006C2CCE">
      <w:r>
        <w:separator/>
      </w:r>
    </w:p>
  </w:endnote>
  <w:endnote w:type="continuationSeparator" w:id="0">
    <w:p w:rsidR="006C2CCE" w:rsidRDefault="006C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CCE" w:rsidRDefault="006C2CCE">
      <w:r>
        <w:separator/>
      </w:r>
    </w:p>
  </w:footnote>
  <w:footnote w:type="continuationSeparator" w:id="0">
    <w:p w:rsidR="006C2CCE" w:rsidRDefault="006C2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B0F" w:rsidRDefault="00C22C57" w:rsidP="00F07DDA">
    <w:pPr>
      <w:tabs>
        <w:tab w:val="right" w:pos="9360"/>
      </w:tabs>
      <w:jc w:val="right"/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55" w:rsidRPr="000367A3" w:rsidRDefault="00C22C57" w:rsidP="00036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15E64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763F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FC8503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9A47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3837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3003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7208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96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9058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2A5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6F2675"/>
    <w:multiLevelType w:val="multilevel"/>
    <w:tmpl w:val="858A85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CE55D70"/>
    <w:multiLevelType w:val="hybridMultilevel"/>
    <w:tmpl w:val="191220A4"/>
    <w:lvl w:ilvl="0" w:tplc="55A041F2">
      <w:start w:val="1"/>
      <w:numFmt w:val="decimal"/>
      <w:lvlText w:val="[%1]"/>
      <w:lvlJc w:val="left"/>
      <w:pPr>
        <w:tabs>
          <w:tab w:val="num" w:pos="1166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B73F21"/>
    <w:multiLevelType w:val="hybridMultilevel"/>
    <w:tmpl w:val="1CA8AB4C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F31A9"/>
    <w:multiLevelType w:val="hybridMultilevel"/>
    <w:tmpl w:val="9F5C01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000BA4"/>
    <w:multiLevelType w:val="hybridMultilevel"/>
    <w:tmpl w:val="900CBD0E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C1B2609"/>
    <w:multiLevelType w:val="hybridMultilevel"/>
    <w:tmpl w:val="B62EB43A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F65EB2"/>
    <w:multiLevelType w:val="hybridMultilevel"/>
    <w:tmpl w:val="406E4396"/>
    <w:lvl w:ilvl="0" w:tplc="AF12D3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269BE"/>
    <w:multiLevelType w:val="hybridMultilevel"/>
    <w:tmpl w:val="424E113C"/>
    <w:lvl w:ilvl="0" w:tplc="846E00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3130A"/>
    <w:multiLevelType w:val="multilevel"/>
    <w:tmpl w:val="9A5EAD4C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(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9" w15:restartNumberingAfterBreak="0">
    <w:nsid w:val="4AC64FE2"/>
    <w:multiLevelType w:val="hybridMultilevel"/>
    <w:tmpl w:val="0B76EEBC"/>
    <w:lvl w:ilvl="0" w:tplc="434646E8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035C40"/>
    <w:multiLevelType w:val="hybridMultilevel"/>
    <w:tmpl w:val="02E69B28"/>
    <w:lvl w:ilvl="0" w:tplc="8FDA0F80">
      <w:numFmt w:val="bullet"/>
      <w:lvlText w:val="-"/>
      <w:lvlJc w:val="left"/>
      <w:pPr>
        <w:ind w:left="2868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21" w15:restartNumberingAfterBreak="0">
    <w:nsid w:val="4CE36BA0"/>
    <w:multiLevelType w:val="hybridMultilevel"/>
    <w:tmpl w:val="5742DC2C"/>
    <w:lvl w:ilvl="0" w:tplc="323471C8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283EE8"/>
    <w:multiLevelType w:val="multilevel"/>
    <w:tmpl w:val="6138042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55E1740"/>
    <w:multiLevelType w:val="hybridMultilevel"/>
    <w:tmpl w:val="535EC1A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662891"/>
    <w:multiLevelType w:val="hybridMultilevel"/>
    <w:tmpl w:val="FAECBADC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66D1F9C"/>
    <w:multiLevelType w:val="hybridMultilevel"/>
    <w:tmpl w:val="A1BADD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CA5550B"/>
    <w:multiLevelType w:val="hybridMultilevel"/>
    <w:tmpl w:val="D9EA6A54"/>
    <w:lvl w:ilvl="0" w:tplc="AF12D38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9B23C74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A957F3C"/>
    <w:multiLevelType w:val="hybridMultilevel"/>
    <w:tmpl w:val="A0A41CF8"/>
    <w:lvl w:ilvl="0" w:tplc="D7E6156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0"/>
  </w:num>
  <w:num w:numId="5">
    <w:abstractNumId w:val="21"/>
  </w:num>
  <w:num w:numId="6">
    <w:abstractNumId w:val="22"/>
  </w:num>
  <w:num w:numId="7">
    <w:abstractNumId w:val="18"/>
  </w:num>
  <w:num w:numId="8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9">
    <w:abstractNumId w:val="26"/>
  </w:num>
  <w:num w:numId="10">
    <w:abstractNumId w:val="16"/>
  </w:num>
  <w:num w:numId="11">
    <w:abstractNumId w:val="14"/>
  </w:num>
  <w:num w:numId="12">
    <w:abstractNumId w:val="12"/>
  </w:num>
  <w:num w:numId="13">
    <w:abstractNumId w:val="18"/>
    <w:lvlOverride w:ilvl="0"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2"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  <w:i w:val="0"/>
        </w:rPr>
      </w:lvl>
    </w:lvlOverride>
    <w:lvlOverride w:ilvl="5"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7"/>
  </w:num>
  <w:num w:numId="26">
    <w:abstractNumId w:val="24"/>
  </w:num>
  <w:num w:numId="27">
    <w:abstractNumId w:val="15"/>
  </w:num>
  <w:num w:numId="28">
    <w:abstractNumId w:val="27"/>
  </w:num>
  <w:num w:numId="29">
    <w:abstractNumId w:val="25"/>
  </w:num>
  <w:num w:numId="30">
    <w:abstractNumId w:val="18"/>
    <w:lvlOverride w:ilvl="0">
      <w:startOverride w:val="1"/>
      <w:lvl w:ilvl="0">
        <w:start w:val="1"/>
        <w:numFmt w:val="upperRoman"/>
        <w:pStyle w:val="Title1LevelTitre1Niveau-AltL"/>
        <w:lvlText w:val="%1."/>
        <w:lvlJc w:val="left"/>
        <w:pPr>
          <w:tabs>
            <w:tab w:val="num" w:pos="576"/>
          </w:tabs>
          <w:ind w:left="576" w:hanging="576"/>
        </w:pPr>
        <w:rPr>
          <w:rFonts w:hint="default"/>
          <w:sz w:val="24"/>
        </w:rPr>
      </w:lvl>
    </w:lvlOverride>
    <w:lvlOverride w:ilvl="1">
      <w:startOverride w:val="1"/>
      <w:lvl w:ilvl="1">
        <w:start w:val="1"/>
        <w:numFmt w:val="upperLetter"/>
        <w:pStyle w:val="Title2LevelTitre2Niveau"/>
        <w:lvlText w:val="%2."/>
        <w:lvlJc w:val="left"/>
        <w:pPr>
          <w:tabs>
            <w:tab w:val="num" w:pos="576"/>
          </w:tabs>
          <w:ind w:left="576" w:hanging="576"/>
        </w:pPr>
        <w:rPr>
          <w:rFonts w:ascii="Times New Roman" w:hAnsi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Title3LevelTitre3Niveau"/>
        <w:lvlText w:val="(%3)"/>
        <w:lvlJc w:val="left"/>
        <w:pPr>
          <w:tabs>
            <w:tab w:val="num" w:pos="1152"/>
          </w:tabs>
          <w:ind w:left="1152" w:hanging="576"/>
        </w:pPr>
        <w:rPr>
          <w:rFonts w:ascii="Times New Roman" w:hAnsi="Times New Roman" w:hint="default"/>
          <w:b w:val="0"/>
          <w:i w:val="0"/>
          <w:sz w:val="24"/>
        </w:rPr>
      </w:lvl>
    </w:lvlOverride>
    <w:lvlOverride w:ilvl="3">
      <w:startOverride w:val="1"/>
      <w:lvl w:ilvl="3">
        <w:start w:val="1"/>
        <w:numFmt w:val="lowerLetter"/>
        <w:pStyle w:val="Title4LevelTitre4Niveau"/>
        <w:lvlText w:val="(%4)"/>
        <w:lvlJc w:val="left"/>
        <w:pPr>
          <w:tabs>
            <w:tab w:val="num" w:pos="1152"/>
          </w:tabs>
          <w:ind w:left="1152" w:hanging="576"/>
        </w:pPr>
        <w:rPr>
          <w:rFonts w:hint="default"/>
          <w:b w:val="0"/>
          <w:i w:val="0"/>
        </w:rPr>
      </w:lvl>
    </w:lvlOverride>
    <w:lvlOverride w:ilvl="4">
      <w:startOverride w:val="1"/>
      <w:lvl w:ilvl="4">
        <w:start w:val="1"/>
        <w:numFmt w:val="lowerRoman"/>
        <w:pStyle w:val="Title5LevelTitre5Niveau"/>
        <w:lvlText w:val="(%5)"/>
        <w:lvlJc w:val="left"/>
        <w:pPr>
          <w:tabs>
            <w:tab w:val="num" w:pos="1728"/>
          </w:tabs>
          <w:ind w:left="1728" w:hanging="576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Title6LevelTitre6Niveau"/>
        <w:lvlText w:val="%6."/>
        <w:lvlJc w:val="left"/>
        <w:pPr>
          <w:tabs>
            <w:tab w:val="num" w:pos="1728"/>
          </w:tabs>
          <w:ind w:left="1728" w:hanging="576"/>
        </w:pPr>
        <w:rPr>
          <w:rFonts w:hint="default"/>
          <w:b w:val="0"/>
          <w:i w:val="0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8208" w:hanging="432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8640" w:hanging="432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9072" w:hanging="432"/>
        </w:pPr>
        <w:rPr>
          <w:rFonts w:hint="default"/>
        </w:rPr>
      </w:lvl>
    </w:lvlOverride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removePersonalInformation/>
  <w:removeDateAndTime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133DC"/>
    <w:rsid w:val="00013781"/>
    <w:rsid w:val="00017885"/>
    <w:rsid w:val="00022F2E"/>
    <w:rsid w:val="00025198"/>
    <w:rsid w:val="00026467"/>
    <w:rsid w:val="00040D1B"/>
    <w:rsid w:val="00041BDD"/>
    <w:rsid w:val="000578A3"/>
    <w:rsid w:val="000648CC"/>
    <w:rsid w:val="00076E46"/>
    <w:rsid w:val="00094FED"/>
    <w:rsid w:val="000B34E8"/>
    <w:rsid w:val="000B5CFA"/>
    <w:rsid w:val="000B69B5"/>
    <w:rsid w:val="000C3FCE"/>
    <w:rsid w:val="000C59B8"/>
    <w:rsid w:val="000C6AF0"/>
    <w:rsid w:val="000C78C2"/>
    <w:rsid w:val="000F0995"/>
    <w:rsid w:val="000F2FF1"/>
    <w:rsid w:val="00104F33"/>
    <w:rsid w:val="00106D75"/>
    <w:rsid w:val="00111905"/>
    <w:rsid w:val="00111DE2"/>
    <w:rsid w:val="0011492A"/>
    <w:rsid w:val="001160DE"/>
    <w:rsid w:val="00116B38"/>
    <w:rsid w:val="00134F55"/>
    <w:rsid w:val="00135406"/>
    <w:rsid w:val="00135972"/>
    <w:rsid w:val="00136268"/>
    <w:rsid w:val="00137E61"/>
    <w:rsid w:val="001426A9"/>
    <w:rsid w:val="00142D29"/>
    <w:rsid w:val="0014546A"/>
    <w:rsid w:val="00154563"/>
    <w:rsid w:val="00154D7C"/>
    <w:rsid w:val="001570B0"/>
    <w:rsid w:val="0015752C"/>
    <w:rsid w:val="00157737"/>
    <w:rsid w:val="00165277"/>
    <w:rsid w:val="001677C1"/>
    <w:rsid w:val="00170592"/>
    <w:rsid w:val="001708F9"/>
    <w:rsid w:val="00186351"/>
    <w:rsid w:val="00195D83"/>
    <w:rsid w:val="001977DB"/>
    <w:rsid w:val="001A00C1"/>
    <w:rsid w:val="001A42A4"/>
    <w:rsid w:val="001B33E0"/>
    <w:rsid w:val="001B4573"/>
    <w:rsid w:val="001C4602"/>
    <w:rsid w:val="001C779F"/>
    <w:rsid w:val="001D2AC1"/>
    <w:rsid w:val="001D4DDF"/>
    <w:rsid w:val="001D4E88"/>
    <w:rsid w:val="001D65FF"/>
    <w:rsid w:val="001D6E70"/>
    <w:rsid w:val="001E477D"/>
    <w:rsid w:val="001E7575"/>
    <w:rsid w:val="00220FC2"/>
    <w:rsid w:val="002222F4"/>
    <w:rsid w:val="00224FC0"/>
    <w:rsid w:val="00225EA4"/>
    <w:rsid w:val="00226EAF"/>
    <w:rsid w:val="002310A2"/>
    <w:rsid w:val="00231407"/>
    <w:rsid w:val="00231F3A"/>
    <w:rsid w:val="00234199"/>
    <w:rsid w:val="00236389"/>
    <w:rsid w:val="00237AFE"/>
    <w:rsid w:val="002406EE"/>
    <w:rsid w:val="00243EC8"/>
    <w:rsid w:val="0026412B"/>
    <w:rsid w:val="00264B77"/>
    <w:rsid w:val="00270D93"/>
    <w:rsid w:val="002745CC"/>
    <w:rsid w:val="002909F6"/>
    <w:rsid w:val="0029178F"/>
    <w:rsid w:val="002B7924"/>
    <w:rsid w:val="002B7ABA"/>
    <w:rsid w:val="002D2226"/>
    <w:rsid w:val="002D28C3"/>
    <w:rsid w:val="002D294E"/>
    <w:rsid w:val="002D3505"/>
    <w:rsid w:val="002D39A4"/>
    <w:rsid w:val="002E6189"/>
    <w:rsid w:val="002E6705"/>
    <w:rsid w:val="00301D08"/>
    <w:rsid w:val="0030329A"/>
    <w:rsid w:val="00303F14"/>
    <w:rsid w:val="00305526"/>
    <w:rsid w:val="0031086F"/>
    <w:rsid w:val="0031414C"/>
    <w:rsid w:val="00314E01"/>
    <w:rsid w:val="00317670"/>
    <w:rsid w:val="003207F1"/>
    <w:rsid w:val="0032089D"/>
    <w:rsid w:val="00324AE2"/>
    <w:rsid w:val="003310DE"/>
    <w:rsid w:val="003323B0"/>
    <w:rsid w:val="0033472B"/>
    <w:rsid w:val="00337C82"/>
    <w:rsid w:val="00342089"/>
    <w:rsid w:val="00347BA4"/>
    <w:rsid w:val="0035169A"/>
    <w:rsid w:val="0035259D"/>
    <w:rsid w:val="00353B79"/>
    <w:rsid w:val="00353EF2"/>
    <w:rsid w:val="00355C66"/>
    <w:rsid w:val="00362ADA"/>
    <w:rsid w:val="00364B18"/>
    <w:rsid w:val="003801DB"/>
    <w:rsid w:val="00381C49"/>
    <w:rsid w:val="00396BF3"/>
    <w:rsid w:val="003A125D"/>
    <w:rsid w:val="003A4C70"/>
    <w:rsid w:val="003B215F"/>
    <w:rsid w:val="003C2CFF"/>
    <w:rsid w:val="003C799C"/>
    <w:rsid w:val="003D0399"/>
    <w:rsid w:val="003E1C71"/>
    <w:rsid w:val="003E2693"/>
    <w:rsid w:val="003E53AC"/>
    <w:rsid w:val="003F327B"/>
    <w:rsid w:val="003F7ACB"/>
    <w:rsid w:val="00400B24"/>
    <w:rsid w:val="00404D28"/>
    <w:rsid w:val="00406166"/>
    <w:rsid w:val="0040704B"/>
    <w:rsid w:val="00407839"/>
    <w:rsid w:val="00410003"/>
    <w:rsid w:val="00410A55"/>
    <w:rsid w:val="00411300"/>
    <w:rsid w:val="00415417"/>
    <w:rsid w:val="004234D3"/>
    <w:rsid w:val="00424FE1"/>
    <w:rsid w:val="00425158"/>
    <w:rsid w:val="00426659"/>
    <w:rsid w:val="00426D16"/>
    <w:rsid w:val="00445C7C"/>
    <w:rsid w:val="00450352"/>
    <w:rsid w:val="00454BDB"/>
    <w:rsid w:val="00456FFF"/>
    <w:rsid w:val="00463A7A"/>
    <w:rsid w:val="00464800"/>
    <w:rsid w:val="00464BF6"/>
    <w:rsid w:val="00465132"/>
    <w:rsid w:val="00465EF1"/>
    <w:rsid w:val="004707F9"/>
    <w:rsid w:val="00470DB3"/>
    <w:rsid w:val="0047411A"/>
    <w:rsid w:val="00480C90"/>
    <w:rsid w:val="0048396F"/>
    <w:rsid w:val="00486C55"/>
    <w:rsid w:val="00493C18"/>
    <w:rsid w:val="00495D96"/>
    <w:rsid w:val="004A600C"/>
    <w:rsid w:val="004A6118"/>
    <w:rsid w:val="004C2314"/>
    <w:rsid w:val="004C25EE"/>
    <w:rsid w:val="004C478D"/>
    <w:rsid w:val="004C6955"/>
    <w:rsid w:val="004D1721"/>
    <w:rsid w:val="004D4FEC"/>
    <w:rsid w:val="004E0988"/>
    <w:rsid w:val="004E0D6A"/>
    <w:rsid w:val="004E2C26"/>
    <w:rsid w:val="004E61A7"/>
    <w:rsid w:val="004F36FF"/>
    <w:rsid w:val="00506A78"/>
    <w:rsid w:val="005125A8"/>
    <w:rsid w:val="00516DED"/>
    <w:rsid w:val="00517BC7"/>
    <w:rsid w:val="00521AE8"/>
    <w:rsid w:val="00524449"/>
    <w:rsid w:val="00527180"/>
    <w:rsid w:val="005341CE"/>
    <w:rsid w:val="00534AB2"/>
    <w:rsid w:val="0054201E"/>
    <w:rsid w:val="00547FB8"/>
    <w:rsid w:val="005541DB"/>
    <w:rsid w:val="00555291"/>
    <w:rsid w:val="0056265A"/>
    <w:rsid w:val="00566AD1"/>
    <w:rsid w:val="0057257D"/>
    <w:rsid w:val="00575FF2"/>
    <w:rsid w:val="00582AE2"/>
    <w:rsid w:val="00583EDE"/>
    <w:rsid w:val="00586928"/>
    <w:rsid w:val="005966EF"/>
    <w:rsid w:val="005A4F85"/>
    <w:rsid w:val="005A6079"/>
    <w:rsid w:val="005C617A"/>
    <w:rsid w:val="005C7840"/>
    <w:rsid w:val="005E4698"/>
    <w:rsid w:val="006003EE"/>
    <w:rsid w:val="006055B2"/>
    <w:rsid w:val="00610539"/>
    <w:rsid w:val="00613969"/>
    <w:rsid w:val="0061523C"/>
    <w:rsid w:val="00617208"/>
    <w:rsid w:val="00625C35"/>
    <w:rsid w:val="00626A7D"/>
    <w:rsid w:val="0062787A"/>
    <w:rsid w:val="00635521"/>
    <w:rsid w:val="00637318"/>
    <w:rsid w:val="00640645"/>
    <w:rsid w:val="006468AB"/>
    <w:rsid w:val="0065050D"/>
    <w:rsid w:val="00656313"/>
    <w:rsid w:val="006565F4"/>
    <w:rsid w:val="0066108F"/>
    <w:rsid w:val="00666098"/>
    <w:rsid w:val="006763FD"/>
    <w:rsid w:val="00684EEA"/>
    <w:rsid w:val="006908E8"/>
    <w:rsid w:val="0069689B"/>
    <w:rsid w:val="006A1551"/>
    <w:rsid w:val="006A48DB"/>
    <w:rsid w:val="006B4F1D"/>
    <w:rsid w:val="006B5FF5"/>
    <w:rsid w:val="006B7683"/>
    <w:rsid w:val="006C2CCE"/>
    <w:rsid w:val="006D4200"/>
    <w:rsid w:val="006D65A1"/>
    <w:rsid w:val="006F30AF"/>
    <w:rsid w:val="006F54BB"/>
    <w:rsid w:val="006F7FA0"/>
    <w:rsid w:val="007009A0"/>
    <w:rsid w:val="00701759"/>
    <w:rsid w:val="00701CF2"/>
    <w:rsid w:val="00705C15"/>
    <w:rsid w:val="00712E55"/>
    <w:rsid w:val="00713025"/>
    <w:rsid w:val="00714103"/>
    <w:rsid w:val="007154A1"/>
    <w:rsid w:val="0071600E"/>
    <w:rsid w:val="007162FD"/>
    <w:rsid w:val="00717FDC"/>
    <w:rsid w:val="007208D1"/>
    <w:rsid w:val="0072428C"/>
    <w:rsid w:val="0072436C"/>
    <w:rsid w:val="00730177"/>
    <w:rsid w:val="00742119"/>
    <w:rsid w:val="00742337"/>
    <w:rsid w:val="00744F09"/>
    <w:rsid w:val="00747288"/>
    <w:rsid w:val="00747DD3"/>
    <w:rsid w:val="007549C8"/>
    <w:rsid w:val="00754A0B"/>
    <w:rsid w:val="00766D14"/>
    <w:rsid w:val="00767A0F"/>
    <w:rsid w:val="00775C3E"/>
    <w:rsid w:val="00796207"/>
    <w:rsid w:val="007A05F6"/>
    <w:rsid w:val="007B1289"/>
    <w:rsid w:val="007B3D74"/>
    <w:rsid w:val="007B6F4A"/>
    <w:rsid w:val="007B7758"/>
    <w:rsid w:val="007D097E"/>
    <w:rsid w:val="007E1C47"/>
    <w:rsid w:val="007E337A"/>
    <w:rsid w:val="007E5C70"/>
    <w:rsid w:val="007F2FF5"/>
    <w:rsid w:val="007F3F08"/>
    <w:rsid w:val="00801B60"/>
    <w:rsid w:val="00804CC6"/>
    <w:rsid w:val="00813B48"/>
    <w:rsid w:val="00817190"/>
    <w:rsid w:val="0081764F"/>
    <w:rsid w:val="00820223"/>
    <w:rsid w:val="00820EE5"/>
    <w:rsid w:val="008244E9"/>
    <w:rsid w:val="008260E2"/>
    <w:rsid w:val="008322BD"/>
    <w:rsid w:val="008323C4"/>
    <w:rsid w:val="00833E0A"/>
    <w:rsid w:val="00834F73"/>
    <w:rsid w:val="00847F55"/>
    <w:rsid w:val="008544FA"/>
    <w:rsid w:val="00864CF8"/>
    <w:rsid w:val="00872819"/>
    <w:rsid w:val="00874914"/>
    <w:rsid w:val="00883F8A"/>
    <w:rsid w:val="00891422"/>
    <w:rsid w:val="00892E1A"/>
    <w:rsid w:val="00892FD4"/>
    <w:rsid w:val="008A3F29"/>
    <w:rsid w:val="008B660A"/>
    <w:rsid w:val="008B70F9"/>
    <w:rsid w:val="008C01DA"/>
    <w:rsid w:val="008C02C9"/>
    <w:rsid w:val="008C7263"/>
    <w:rsid w:val="008D0BDF"/>
    <w:rsid w:val="008D2104"/>
    <w:rsid w:val="008E18E5"/>
    <w:rsid w:val="008E3C2D"/>
    <w:rsid w:val="008F78E9"/>
    <w:rsid w:val="00903C32"/>
    <w:rsid w:val="00911989"/>
    <w:rsid w:val="009179F9"/>
    <w:rsid w:val="0093031F"/>
    <w:rsid w:val="00931C1C"/>
    <w:rsid w:val="00933E5E"/>
    <w:rsid w:val="00934D17"/>
    <w:rsid w:val="00935218"/>
    <w:rsid w:val="009365D5"/>
    <w:rsid w:val="009403F3"/>
    <w:rsid w:val="00953701"/>
    <w:rsid w:val="009555B7"/>
    <w:rsid w:val="009567AA"/>
    <w:rsid w:val="0096473A"/>
    <w:rsid w:val="00967374"/>
    <w:rsid w:val="00976EB5"/>
    <w:rsid w:val="00981B4D"/>
    <w:rsid w:val="00982D32"/>
    <w:rsid w:val="00983AF6"/>
    <w:rsid w:val="009A343A"/>
    <w:rsid w:val="009A4E51"/>
    <w:rsid w:val="009A520F"/>
    <w:rsid w:val="009B2F23"/>
    <w:rsid w:val="009B57B3"/>
    <w:rsid w:val="009B6FFE"/>
    <w:rsid w:val="009C5B92"/>
    <w:rsid w:val="009D2920"/>
    <w:rsid w:val="009D5AEB"/>
    <w:rsid w:val="009F0E33"/>
    <w:rsid w:val="009F1E77"/>
    <w:rsid w:val="00A003F4"/>
    <w:rsid w:val="00A030CE"/>
    <w:rsid w:val="00A149DF"/>
    <w:rsid w:val="00A1755C"/>
    <w:rsid w:val="00A21B90"/>
    <w:rsid w:val="00A41805"/>
    <w:rsid w:val="00A42DCD"/>
    <w:rsid w:val="00A44699"/>
    <w:rsid w:val="00A46FB0"/>
    <w:rsid w:val="00A52AFB"/>
    <w:rsid w:val="00A548CB"/>
    <w:rsid w:val="00A5521C"/>
    <w:rsid w:val="00A557A1"/>
    <w:rsid w:val="00A55CEF"/>
    <w:rsid w:val="00A643E7"/>
    <w:rsid w:val="00A73C38"/>
    <w:rsid w:val="00A9085B"/>
    <w:rsid w:val="00AB59C4"/>
    <w:rsid w:val="00AB670D"/>
    <w:rsid w:val="00AC6FA4"/>
    <w:rsid w:val="00AD2826"/>
    <w:rsid w:val="00AD342F"/>
    <w:rsid w:val="00AE25FE"/>
    <w:rsid w:val="00AE3FB8"/>
    <w:rsid w:val="00AE4535"/>
    <w:rsid w:val="00AF03C5"/>
    <w:rsid w:val="00AF0B26"/>
    <w:rsid w:val="00AF4773"/>
    <w:rsid w:val="00AF49CC"/>
    <w:rsid w:val="00AF571D"/>
    <w:rsid w:val="00B000D8"/>
    <w:rsid w:val="00B00F75"/>
    <w:rsid w:val="00B0409C"/>
    <w:rsid w:val="00B1050B"/>
    <w:rsid w:val="00B11735"/>
    <w:rsid w:val="00B1431F"/>
    <w:rsid w:val="00B145B6"/>
    <w:rsid w:val="00B15684"/>
    <w:rsid w:val="00B2215E"/>
    <w:rsid w:val="00B279EB"/>
    <w:rsid w:val="00B30E18"/>
    <w:rsid w:val="00B32357"/>
    <w:rsid w:val="00B43559"/>
    <w:rsid w:val="00B50C81"/>
    <w:rsid w:val="00B557F8"/>
    <w:rsid w:val="00B56AAF"/>
    <w:rsid w:val="00B62F10"/>
    <w:rsid w:val="00B67199"/>
    <w:rsid w:val="00B815FC"/>
    <w:rsid w:val="00B838B8"/>
    <w:rsid w:val="00B93FBC"/>
    <w:rsid w:val="00BA066D"/>
    <w:rsid w:val="00BA1F0D"/>
    <w:rsid w:val="00BA7DA0"/>
    <w:rsid w:val="00BB2366"/>
    <w:rsid w:val="00BB2EE4"/>
    <w:rsid w:val="00BB5AE6"/>
    <w:rsid w:val="00BC2108"/>
    <w:rsid w:val="00BC3F80"/>
    <w:rsid w:val="00BC5642"/>
    <w:rsid w:val="00BD0E9E"/>
    <w:rsid w:val="00BD1BEC"/>
    <w:rsid w:val="00BD32FF"/>
    <w:rsid w:val="00BD67ED"/>
    <w:rsid w:val="00BE7206"/>
    <w:rsid w:val="00C02092"/>
    <w:rsid w:val="00C22905"/>
    <w:rsid w:val="00C229CD"/>
    <w:rsid w:val="00C22C57"/>
    <w:rsid w:val="00C24D91"/>
    <w:rsid w:val="00C31D39"/>
    <w:rsid w:val="00C53F14"/>
    <w:rsid w:val="00C600CF"/>
    <w:rsid w:val="00C6084F"/>
    <w:rsid w:val="00C62A66"/>
    <w:rsid w:val="00C62FD6"/>
    <w:rsid w:val="00C71458"/>
    <w:rsid w:val="00C7359C"/>
    <w:rsid w:val="00C77613"/>
    <w:rsid w:val="00C828E7"/>
    <w:rsid w:val="00C86719"/>
    <w:rsid w:val="00C921DD"/>
    <w:rsid w:val="00C93B01"/>
    <w:rsid w:val="00CA6391"/>
    <w:rsid w:val="00CA7B39"/>
    <w:rsid w:val="00CB5B04"/>
    <w:rsid w:val="00CB793C"/>
    <w:rsid w:val="00CC34BD"/>
    <w:rsid w:val="00CC705C"/>
    <w:rsid w:val="00CE161A"/>
    <w:rsid w:val="00CE3171"/>
    <w:rsid w:val="00CF1601"/>
    <w:rsid w:val="00D0172F"/>
    <w:rsid w:val="00D068A7"/>
    <w:rsid w:val="00D173CE"/>
    <w:rsid w:val="00D17476"/>
    <w:rsid w:val="00D22128"/>
    <w:rsid w:val="00D25F6B"/>
    <w:rsid w:val="00D26B67"/>
    <w:rsid w:val="00D32086"/>
    <w:rsid w:val="00D360E6"/>
    <w:rsid w:val="00D37A3F"/>
    <w:rsid w:val="00D4431D"/>
    <w:rsid w:val="00D4667A"/>
    <w:rsid w:val="00D469D5"/>
    <w:rsid w:val="00D47BFC"/>
    <w:rsid w:val="00D614A5"/>
    <w:rsid w:val="00D63A1C"/>
    <w:rsid w:val="00D7516F"/>
    <w:rsid w:val="00D83628"/>
    <w:rsid w:val="00D8579F"/>
    <w:rsid w:val="00D8628D"/>
    <w:rsid w:val="00D90B9E"/>
    <w:rsid w:val="00D91A89"/>
    <w:rsid w:val="00D95F8E"/>
    <w:rsid w:val="00DA0590"/>
    <w:rsid w:val="00DB342C"/>
    <w:rsid w:val="00DB7BEA"/>
    <w:rsid w:val="00DC1739"/>
    <w:rsid w:val="00DC1788"/>
    <w:rsid w:val="00DC2F37"/>
    <w:rsid w:val="00DD105B"/>
    <w:rsid w:val="00DE319C"/>
    <w:rsid w:val="00DE54B0"/>
    <w:rsid w:val="00DF0CA8"/>
    <w:rsid w:val="00DF2B48"/>
    <w:rsid w:val="00DF49A7"/>
    <w:rsid w:val="00E04080"/>
    <w:rsid w:val="00E07EE2"/>
    <w:rsid w:val="00E07FD1"/>
    <w:rsid w:val="00E1000C"/>
    <w:rsid w:val="00E10A5C"/>
    <w:rsid w:val="00E176D8"/>
    <w:rsid w:val="00E24573"/>
    <w:rsid w:val="00E25E1E"/>
    <w:rsid w:val="00E27EE7"/>
    <w:rsid w:val="00E31D67"/>
    <w:rsid w:val="00E3214F"/>
    <w:rsid w:val="00E333F9"/>
    <w:rsid w:val="00E35404"/>
    <w:rsid w:val="00E45109"/>
    <w:rsid w:val="00E47B7A"/>
    <w:rsid w:val="00E50033"/>
    <w:rsid w:val="00E5476E"/>
    <w:rsid w:val="00E56A44"/>
    <w:rsid w:val="00E60269"/>
    <w:rsid w:val="00E653D0"/>
    <w:rsid w:val="00E65A2E"/>
    <w:rsid w:val="00E71951"/>
    <w:rsid w:val="00E77932"/>
    <w:rsid w:val="00E83FDA"/>
    <w:rsid w:val="00E92347"/>
    <w:rsid w:val="00E97830"/>
    <w:rsid w:val="00EA1D3B"/>
    <w:rsid w:val="00EB0D87"/>
    <w:rsid w:val="00EC34E9"/>
    <w:rsid w:val="00ED681A"/>
    <w:rsid w:val="00EE0B3C"/>
    <w:rsid w:val="00EE5737"/>
    <w:rsid w:val="00EE643C"/>
    <w:rsid w:val="00EF0683"/>
    <w:rsid w:val="00EF69D2"/>
    <w:rsid w:val="00EF766E"/>
    <w:rsid w:val="00F0070C"/>
    <w:rsid w:val="00F00EB7"/>
    <w:rsid w:val="00F03D8E"/>
    <w:rsid w:val="00F22AF3"/>
    <w:rsid w:val="00F36AB6"/>
    <w:rsid w:val="00F37A09"/>
    <w:rsid w:val="00F409CE"/>
    <w:rsid w:val="00F4379D"/>
    <w:rsid w:val="00F43876"/>
    <w:rsid w:val="00F44C76"/>
    <w:rsid w:val="00F50635"/>
    <w:rsid w:val="00F50D2D"/>
    <w:rsid w:val="00F56C8B"/>
    <w:rsid w:val="00F66810"/>
    <w:rsid w:val="00F846D9"/>
    <w:rsid w:val="00F84DF4"/>
    <w:rsid w:val="00F85C97"/>
    <w:rsid w:val="00F94A57"/>
    <w:rsid w:val="00FA51A0"/>
    <w:rsid w:val="00FB010F"/>
    <w:rsid w:val="00FB37D2"/>
    <w:rsid w:val="00FB7D08"/>
    <w:rsid w:val="00FC3788"/>
    <w:rsid w:val="00FC4EFB"/>
    <w:rsid w:val="00FD068D"/>
    <w:rsid w:val="00FD4F28"/>
    <w:rsid w:val="00FE0416"/>
    <w:rsid w:val="00FE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ABA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9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val="en-US"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90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val="en-US"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90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  <w:lang w:val="en-US"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90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  <w:lang w:val="en-US"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90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val="en-US"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90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lang w:val="en-US"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90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qFormat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link w:val="SCCBanSummaryChar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301D08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301D08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E65A2E"/>
    <w:rPr>
      <w:color w:val="0000FF" w:themeColor="hyperlink"/>
      <w:u w:val="single"/>
    </w:rPr>
  </w:style>
  <w:style w:type="character" w:customStyle="1" w:styleId="solexhl">
    <w:name w:val="solexhl"/>
    <w:basedOn w:val="DefaultParagraphFont"/>
    <w:rsid w:val="000C78C2"/>
  </w:style>
  <w:style w:type="character" w:customStyle="1" w:styleId="Heading3Char">
    <w:name w:val="Heading 3 Char"/>
    <w:basedOn w:val="DefaultParagraphFont"/>
    <w:link w:val="Heading3"/>
    <w:uiPriority w:val="9"/>
    <w:semiHidden/>
    <w:rsid w:val="00C22905"/>
    <w:rPr>
      <w:rFonts w:asciiTheme="majorHAnsi" w:eastAsiaTheme="majorEastAsia" w:hAnsiTheme="majorHAnsi" w:cstheme="majorBidi"/>
      <w:b/>
      <w:bCs/>
      <w:color w:val="4F81BD" w:themeColor="accent1"/>
      <w:sz w:val="24"/>
      <w:szCs w:val="22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90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905"/>
    <w:rPr>
      <w:rFonts w:asciiTheme="majorHAnsi" w:eastAsiaTheme="majorEastAsia" w:hAnsiTheme="majorHAnsi" w:cstheme="majorBidi"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90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 w:bidi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905"/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905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customStyle="1" w:styleId="SCCLsocOtherPartyRoleSeparator">
    <w:name w:val="SCC.Lsoc.OtherPartyRoleSeparator"/>
    <w:basedOn w:val="Normal"/>
    <w:next w:val="Normal"/>
    <w:link w:val="SCCLsocOtherPartyRoleSeparatorChar"/>
    <w:rsid w:val="00C22905"/>
    <w:pPr>
      <w:spacing w:after="480"/>
    </w:pPr>
    <w:rPr>
      <w:rFonts w:eastAsiaTheme="minorHAnsi" w:cstheme="minorBidi"/>
      <w:szCs w:val="22"/>
      <w:lang w:val="en-US" w:eastAsia="en-US" w:bidi="en-US"/>
    </w:rPr>
  </w:style>
  <w:style w:type="paragraph" w:customStyle="1" w:styleId="SCCCoram">
    <w:name w:val="SCC.Coram"/>
    <w:basedOn w:val="Normal"/>
    <w:next w:val="Normal"/>
    <w:link w:val="SCCCoramChar"/>
    <w:rsid w:val="00C22905"/>
    <w:pPr>
      <w:pBdr>
        <w:bottom w:val="single" w:sz="4" w:space="1" w:color="auto"/>
      </w:pBdr>
    </w:pPr>
    <w:rPr>
      <w:rFonts w:eastAsiaTheme="minorHAnsi" w:cstheme="minorBidi"/>
      <w:szCs w:val="22"/>
      <w:lang w:val="en-US" w:eastAsia="en-US" w:bidi="en-US"/>
    </w:rPr>
  </w:style>
  <w:style w:type="character" w:customStyle="1" w:styleId="SCCCoramChar">
    <w:name w:val="SCC.Coram Char"/>
    <w:basedOn w:val="DefaultParagraphFont"/>
    <w:link w:val="SCCCoram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LsocOtherPartyRoleSeparatorChar">
    <w:name w:val="SCC.Lsoc.OtherPartyRoleSeparator Char"/>
    <w:basedOn w:val="DefaultParagraphFont"/>
    <w:link w:val="SCCLsocOtherPartyRoleSeparator"/>
    <w:rsid w:val="00C22905"/>
    <w:rPr>
      <w:rFonts w:eastAsiaTheme="minorHAnsi" w:cstheme="minorBidi"/>
      <w:sz w:val="24"/>
      <w:szCs w:val="22"/>
      <w:lang w:val="en-US" w:eastAsia="en-US" w:bidi="en-US"/>
    </w:rPr>
  </w:style>
  <w:style w:type="character" w:customStyle="1" w:styleId="SCCBanSummaryChar">
    <w:name w:val="SCC.BanSummary Char"/>
    <w:basedOn w:val="DefaultParagraphFont"/>
    <w:link w:val="SCCBanSummary"/>
    <w:rsid w:val="00C22905"/>
    <w:rPr>
      <w:b/>
      <w:sz w:val="24"/>
    </w:rPr>
  </w:style>
  <w:style w:type="table" w:styleId="TableGrid">
    <w:name w:val="Table Grid"/>
    <w:basedOn w:val="TableNormal"/>
    <w:uiPriority w:val="59"/>
    <w:rsid w:val="00C22905"/>
    <w:rPr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itation-AltC">
    <w:name w:val="Citation - Alt C"/>
    <w:uiPriority w:val="2"/>
    <w:qFormat/>
    <w:rsid w:val="00C22905"/>
    <w:pPr>
      <w:spacing w:after="720"/>
      <w:ind w:left="1166"/>
      <w:contextualSpacing/>
      <w:jc w:val="both"/>
    </w:pPr>
    <w:rPr>
      <w:sz w:val="24"/>
    </w:rPr>
  </w:style>
  <w:style w:type="paragraph" w:customStyle="1" w:styleId="ContinueParaSuitedupar-AltP">
    <w:name w:val="Continue Para. / Suite du par. - Alt P"/>
    <w:next w:val="ParaNoNdepar-AltN"/>
    <w:uiPriority w:val="1"/>
    <w:qFormat/>
    <w:rsid w:val="00C22905"/>
    <w:pPr>
      <w:spacing w:before="480" w:after="480" w:line="480" w:lineRule="auto"/>
      <w:jc w:val="both"/>
    </w:pPr>
    <w:rPr>
      <w:rFonts w:eastAsiaTheme="minorHAnsi" w:cstheme="minorBidi"/>
      <w:sz w:val="24"/>
      <w:szCs w:val="22"/>
      <w:lang w:eastAsia="en-US"/>
    </w:rPr>
  </w:style>
  <w:style w:type="paragraph" w:customStyle="1" w:styleId="JudgeJuge">
    <w:name w:val="Judge / Juge"/>
    <w:link w:val="JudgeJugeChar"/>
    <w:uiPriority w:val="3"/>
    <w:rsid w:val="00C22905"/>
    <w:pPr>
      <w:tabs>
        <w:tab w:val="left" w:pos="1260"/>
      </w:tabs>
      <w:spacing w:after="480" w:line="480" w:lineRule="auto"/>
    </w:pPr>
    <w:rPr>
      <w:smallCaps/>
      <w:sz w:val="24"/>
    </w:rPr>
  </w:style>
  <w:style w:type="paragraph" w:customStyle="1" w:styleId="ParaNoNdepar-AltN">
    <w:name w:val="Para. No. / Nº de par. - Alt N"/>
    <w:link w:val="ParaNoNdepar-AltNChar"/>
    <w:qFormat/>
    <w:rsid w:val="00C22905"/>
    <w:pPr>
      <w:numPr>
        <w:numId w:val="6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C22905"/>
    <w:pPr>
      <w:numPr>
        <w:numId w:val="7"/>
      </w:numPr>
      <w:tabs>
        <w:tab w:val="clear" w:pos="576"/>
      </w:tabs>
      <w:spacing w:before="480" w:after="720"/>
      <w:outlineLvl w:val="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C22905"/>
    <w:pPr>
      <w:numPr>
        <w:ilvl w:val="1"/>
      </w:numPr>
      <w:tabs>
        <w:tab w:val="clear" w:pos="576"/>
      </w:tabs>
      <w:outlineLvl w:val="1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C22905"/>
    <w:pPr>
      <w:numPr>
        <w:ilvl w:val="2"/>
      </w:numPr>
      <w:tabs>
        <w:tab w:val="clear" w:pos="1152"/>
      </w:tabs>
      <w:outlineLvl w:val="2"/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C22905"/>
    <w:pPr>
      <w:numPr>
        <w:ilvl w:val="3"/>
      </w:numPr>
      <w:tabs>
        <w:tab w:val="clear" w:pos="1152"/>
      </w:tabs>
      <w:ind w:left="1156" w:hanging="578"/>
      <w:outlineLvl w:val="3"/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C22905"/>
    <w:pPr>
      <w:numPr>
        <w:ilvl w:val="4"/>
      </w:numPr>
      <w:tabs>
        <w:tab w:val="clear" w:pos="1728"/>
      </w:tabs>
      <w:ind w:left="1729" w:hanging="578"/>
      <w:outlineLvl w:val="4"/>
    </w:pPr>
  </w:style>
  <w:style w:type="paragraph" w:styleId="TOC1">
    <w:name w:val="toc 1"/>
    <w:basedOn w:val="Normal"/>
    <w:next w:val="Normal"/>
    <w:autoRedefine/>
    <w:uiPriority w:val="39"/>
    <w:unhideWhenUsed/>
    <w:rsid w:val="00C22905"/>
    <w:pPr>
      <w:tabs>
        <w:tab w:val="left" w:pos="360"/>
        <w:tab w:val="right" w:leader="dot" w:pos="8270"/>
      </w:tabs>
      <w:spacing w:before="120" w:after="120"/>
    </w:pPr>
    <w:rPr>
      <w:rFonts w:eastAsiaTheme="minorHAnsi" w:cstheme="minorBidi"/>
      <w:noProof/>
      <w:u w:val="single"/>
      <w:lang w:val="en-US" w:eastAsia="en-US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C22905"/>
    <w:pPr>
      <w:tabs>
        <w:tab w:val="left" w:pos="720"/>
        <w:tab w:val="right" w:leader="dot" w:pos="8270"/>
      </w:tabs>
      <w:spacing w:before="120" w:after="120"/>
      <w:ind w:left="432" w:hanging="432"/>
    </w:pPr>
    <w:rPr>
      <w:rFonts w:eastAsiaTheme="minorHAnsi" w:cstheme="minorBidi"/>
      <w:i/>
      <w:szCs w:val="22"/>
      <w:lang w:val="en-US" w:eastAsia="en-US" w:bidi="en-US"/>
    </w:rPr>
  </w:style>
  <w:style w:type="paragraph" w:styleId="TOC3">
    <w:name w:val="toc 3"/>
    <w:basedOn w:val="Normal"/>
    <w:next w:val="Normal"/>
    <w:autoRedefine/>
    <w:uiPriority w:val="39"/>
    <w:unhideWhenUsed/>
    <w:rsid w:val="00C22905"/>
    <w:pPr>
      <w:tabs>
        <w:tab w:val="left" w:pos="1080"/>
        <w:tab w:val="right" w:leader="dot" w:pos="8270"/>
      </w:tabs>
      <w:spacing w:before="120" w:after="120"/>
      <w:ind w:left="864" w:hanging="432"/>
    </w:pPr>
    <w:rPr>
      <w:rFonts w:eastAsiaTheme="minorHAnsi" w:cstheme="minorBidi"/>
      <w:noProof/>
      <w:u w:val="single"/>
      <w:lang w:val="en-US" w:eastAsia="en-US" w:bidi="en-US"/>
    </w:rPr>
  </w:style>
  <w:style w:type="paragraph" w:styleId="TOC4">
    <w:name w:val="toc 4"/>
    <w:basedOn w:val="Normal"/>
    <w:next w:val="Normal"/>
    <w:autoRedefine/>
    <w:uiPriority w:val="39"/>
    <w:unhideWhenUsed/>
    <w:rsid w:val="00C22905"/>
    <w:pPr>
      <w:tabs>
        <w:tab w:val="left" w:pos="900"/>
        <w:tab w:val="right" w:leader="dot" w:pos="8270"/>
      </w:tabs>
      <w:spacing w:before="120" w:after="120"/>
      <w:ind w:left="900" w:hanging="450"/>
    </w:pPr>
    <w:rPr>
      <w:rFonts w:eastAsiaTheme="minorEastAsia" w:cstheme="minorBidi"/>
      <w:i/>
      <w:noProof/>
      <w:szCs w:val="22"/>
      <w:lang w:val="en-US" w:eastAsia="en-US" w:bidi="en-US"/>
    </w:rPr>
  </w:style>
  <w:style w:type="paragraph" w:styleId="TOC5">
    <w:name w:val="toc 5"/>
    <w:basedOn w:val="Normal"/>
    <w:next w:val="Normal"/>
    <w:autoRedefine/>
    <w:uiPriority w:val="39"/>
    <w:unhideWhenUsed/>
    <w:rsid w:val="00C22905"/>
    <w:pPr>
      <w:tabs>
        <w:tab w:val="left" w:pos="1440"/>
        <w:tab w:val="right" w:leader="dot" w:pos="8270"/>
      </w:tabs>
      <w:spacing w:before="120" w:after="120"/>
      <w:ind w:left="1454" w:hanging="547"/>
    </w:pPr>
    <w:rPr>
      <w:rFonts w:eastAsiaTheme="minorHAnsi" w:cstheme="minorBidi"/>
      <w:noProof/>
      <w:u w:val="single"/>
      <w:lang w:val="en-US" w:eastAsia="en-US" w:bidi="en-US"/>
    </w:rPr>
  </w:style>
  <w:style w:type="paragraph" w:styleId="TOC6">
    <w:name w:val="toc 6"/>
    <w:basedOn w:val="Normal"/>
    <w:next w:val="Normal"/>
    <w:autoRedefine/>
    <w:uiPriority w:val="39"/>
    <w:unhideWhenUsed/>
    <w:rsid w:val="00C22905"/>
    <w:pPr>
      <w:tabs>
        <w:tab w:val="left" w:pos="2160"/>
        <w:tab w:val="right" w:leader="dot" w:pos="8270"/>
      </w:tabs>
      <w:spacing w:after="100"/>
      <w:ind w:left="1800"/>
    </w:pPr>
    <w:rPr>
      <w:rFonts w:eastAsiaTheme="minorHAnsi" w:cstheme="minorBidi"/>
      <w:noProof/>
      <w:lang w:val="en-US" w:eastAsia="en-US" w:bidi="en-US"/>
    </w:rPr>
  </w:style>
  <w:style w:type="table" w:customStyle="1" w:styleId="TableGrid1">
    <w:name w:val="Table Grid1"/>
    <w:basedOn w:val="TableNormal"/>
    <w:uiPriority w:val="59"/>
    <w:rsid w:val="00C22905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Titre-AltT">
    <w:name w:val="Title / Titre - Alt T"/>
    <w:next w:val="ParaNoNdepar-AltN"/>
    <w:uiPriority w:val="3"/>
    <w:qFormat/>
    <w:rsid w:val="00C22905"/>
    <w:pPr>
      <w:tabs>
        <w:tab w:val="left" w:pos="360"/>
      </w:tabs>
      <w:spacing w:before="480" w:after="720"/>
      <w:ind w:left="360" w:hanging="360"/>
      <w:jc w:val="both"/>
      <w:outlineLvl w:val="0"/>
    </w:pPr>
    <w:rPr>
      <w:rFonts w:eastAsiaTheme="minorHAnsi" w:cstheme="minorBidi"/>
      <w:sz w:val="24"/>
      <w:szCs w:val="22"/>
      <w:lang w:eastAsia="en-US"/>
    </w:r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C22905"/>
    <w:pPr>
      <w:numPr>
        <w:ilvl w:val="5"/>
      </w:numPr>
      <w:jc w:val="both"/>
      <w:outlineLvl w:val="5"/>
    </w:pPr>
    <w:rPr>
      <w:i/>
      <w:u w:val="none"/>
    </w:rPr>
  </w:style>
  <w:style w:type="paragraph" w:styleId="FootnoteText">
    <w:name w:val="footnote text"/>
    <w:basedOn w:val="Normal"/>
    <w:link w:val="FootnoteTextChar"/>
    <w:uiPriority w:val="99"/>
    <w:unhideWhenUsed/>
    <w:rsid w:val="00C22905"/>
    <w:pPr>
      <w:tabs>
        <w:tab w:val="left" w:pos="180"/>
      </w:tabs>
      <w:ind w:left="187" w:hanging="187"/>
      <w:jc w:val="both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2905"/>
  </w:style>
  <w:style w:type="character" w:styleId="FootnoteReference">
    <w:name w:val="foot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styleId="SubtleEmphasis">
    <w:name w:val="Subtle Emphasis"/>
    <w:basedOn w:val="DefaultParagraphFont"/>
    <w:uiPriority w:val="19"/>
    <w:rsid w:val="00C22905"/>
    <w:rPr>
      <w:i/>
      <w:iCs/>
      <w:color w:val="808080" w:themeColor="text1" w:themeTint="7F"/>
    </w:rPr>
  </w:style>
  <w:style w:type="character" w:customStyle="1" w:styleId="ParaNoNdepar-AltNChar">
    <w:name w:val="Para. No. / Nº de par. - Alt N Char"/>
    <w:basedOn w:val="DefaultParagraphFont"/>
    <w:link w:val="ParaNoNdepar-AltN"/>
    <w:locked/>
    <w:rsid w:val="00C22905"/>
    <w:rPr>
      <w:rFonts w:eastAsiaTheme="minorEastAsia" w:cstheme="minorBidi"/>
      <w:sz w:val="24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229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05"/>
    <w:rPr>
      <w:rFonts w:eastAsiaTheme="minorHAnsi" w:cstheme="minorBidi"/>
      <w:sz w:val="20"/>
      <w:szCs w:val="22"/>
      <w:lang w:val="en-US" w:eastAsia="en-US"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05"/>
    <w:rPr>
      <w:rFonts w:eastAsiaTheme="minorHAnsi" w:cstheme="minorBidi"/>
      <w:szCs w:val="22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05"/>
    <w:rPr>
      <w:rFonts w:eastAsiaTheme="minorHAnsi" w:cstheme="minorBidi"/>
      <w:b/>
      <w:bCs/>
      <w:szCs w:val="22"/>
      <w:lang w:val="en-US" w:eastAsia="en-US" w:bidi="en-US"/>
    </w:rPr>
  </w:style>
  <w:style w:type="character" w:customStyle="1" w:styleId="JudgeJugeChar">
    <w:name w:val="Judge / Juge Char"/>
    <w:basedOn w:val="DefaultParagraphFont"/>
    <w:link w:val="JudgeJuge"/>
    <w:uiPriority w:val="3"/>
    <w:rsid w:val="00C22905"/>
    <w:rPr>
      <w:smallCaps/>
      <w:sz w:val="24"/>
    </w:rPr>
  </w:style>
  <w:style w:type="paragraph" w:styleId="NoSpacing">
    <w:name w:val="No Spacing"/>
    <w:uiPriority w:val="1"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905"/>
    <w:pPr>
      <w:spacing w:before="480" w:after="0"/>
      <w:ind w:left="0" w:firstLine="0"/>
      <w:outlineLvl w:val="9"/>
    </w:pPr>
    <w:rPr>
      <w:lang w:val="en-US" w:eastAsia="en-US" w:bidi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905"/>
    <w:rPr>
      <w:rFonts w:eastAsia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Title">
    <w:name w:val="Title"/>
    <w:basedOn w:val="Normal"/>
    <w:next w:val="Normal"/>
    <w:link w:val="TitleChar"/>
    <w:uiPriority w:val="10"/>
    <w:rsid w:val="00C2290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C229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paragraph" w:styleId="Subtitle">
    <w:name w:val="Subtitle"/>
    <w:basedOn w:val="Normal"/>
    <w:next w:val="Normal"/>
    <w:link w:val="SubtitleChar"/>
    <w:uiPriority w:val="11"/>
    <w:rsid w:val="00C2290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C2290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styleId="Emphasis">
    <w:name w:val="Emphasis"/>
    <w:basedOn w:val="DefaultParagraphFont"/>
    <w:uiPriority w:val="20"/>
    <w:rsid w:val="00C22905"/>
    <w:rPr>
      <w:i/>
      <w:iCs/>
    </w:rPr>
  </w:style>
  <w:style w:type="paragraph" w:styleId="ListParagraph">
    <w:name w:val="List Paragraph"/>
    <w:basedOn w:val="Normal"/>
    <w:uiPriority w:val="34"/>
    <w:rsid w:val="00C22905"/>
    <w:pPr>
      <w:ind w:left="720"/>
      <w:contextualSpacing/>
    </w:pPr>
    <w:rPr>
      <w:rFonts w:eastAsiaTheme="minorHAnsi" w:cstheme="minorBidi"/>
      <w:szCs w:val="22"/>
      <w:lang w:val="en-US" w:eastAsia="en-US" w:bidi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C22905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HAnsi" w:cstheme="minorBidi"/>
      <w:b/>
      <w:bCs/>
      <w:i/>
      <w:iCs/>
      <w:color w:val="4F81BD" w:themeColor="accent1"/>
      <w:szCs w:val="22"/>
      <w:lang w:val="en-US"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905"/>
    <w:rPr>
      <w:rFonts w:eastAsiaTheme="minorHAnsi" w:cstheme="minorBidi"/>
      <w:b/>
      <w:bCs/>
      <w:i/>
      <w:iCs/>
      <w:color w:val="4F81BD" w:themeColor="accent1"/>
      <w:sz w:val="24"/>
      <w:szCs w:val="22"/>
      <w:lang w:val="en-US" w:eastAsia="en-US" w:bidi="en-US"/>
    </w:rPr>
  </w:style>
  <w:style w:type="character" w:styleId="IntenseEmphasis">
    <w:name w:val="Intense Emphasis"/>
    <w:basedOn w:val="DefaultParagraphFont"/>
    <w:uiPriority w:val="21"/>
    <w:rsid w:val="00C2290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C2290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C2290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rsid w:val="00C22905"/>
    <w:rPr>
      <w:b/>
      <w:bCs/>
      <w:smallCaps/>
      <w:spacing w:val="5"/>
    </w:rPr>
  </w:style>
  <w:style w:type="paragraph" w:styleId="Revision">
    <w:name w:val="Revision"/>
    <w:hidden/>
    <w:uiPriority w:val="99"/>
    <w:semiHidden/>
    <w:rsid w:val="00C22905"/>
    <w:rPr>
      <w:rFonts w:eastAsiaTheme="minorHAnsi" w:cstheme="minorBidi"/>
      <w:sz w:val="24"/>
      <w:szCs w:val="22"/>
      <w:lang w:val="en-US" w:eastAsia="en-US" w:bidi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22905"/>
    <w:rPr>
      <w:rFonts w:eastAsiaTheme="minorHAnsi" w:cstheme="minorBidi"/>
      <w:sz w:val="20"/>
      <w:lang w:val="en-US" w:eastAsia="en-US" w:bidi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22905"/>
    <w:rPr>
      <w:rFonts w:eastAsiaTheme="minorHAnsi" w:cstheme="minorBidi"/>
      <w:lang w:val="en-US" w:eastAsia="en-US"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22905"/>
    <w:rPr>
      <w:vertAlign w:val="superscript"/>
    </w:rPr>
  </w:style>
  <w:style w:type="character" w:customStyle="1" w:styleId="reflex3-block">
    <w:name w:val="reflex3-block"/>
    <w:basedOn w:val="DefaultParagraphFont"/>
    <w:rsid w:val="00C22905"/>
  </w:style>
  <w:style w:type="character" w:customStyle="1" w:styleId="reflex3-alt">
    <w:name w:val="reflex3-alt"/>
    <w:basedOn w:val="DefaultParagraphFont"/>
    <w:rsid w:val="00C22905"/>
  </w:style>
  <w:style w:type="character" w:customStyle="1" w:styleId="lawlabel">
    <w:name w:val="lawlabel"/>
    <w:basedOn w:val="DefaultParagraphFont"/>
    <w:rsid w:val="00C22905"/>
  </w:style>
  <w:style w:type="table" w:customStyle="1" w:styleId="TableGrid2">
    <w:name w:val="Table Grid2"/>
    <w:basedOn w:val="TableNormal"/>
    <w:next w:val="TableGrid"/>
    <w:uiPriority w:val="59"/>
    <w:rsid w:val="00C22905"/>
    <w:rPr>
      <w:rFonts w:eastAsia="Calibri"/>
      <w:sz w:val="24"/>
      <w:szCs w:val="24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CCLsocPartyRoleChar">
    <w:name w:val="SCC.Lsoc.PartyRole Char"/>
    <w:basedOn w:val="DefaultParagraphFont"/>
    <w:rsid w:val="001E7575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1E7575"/>
    <w:rPr>
      <w:rFonts w:eastAsiaTheme="minorHAnsi" w:cstheme="minorBidi"/>
      <w:b/>
      <w:szCs w:val="22"/>
      <w:lang w:eastAsia="en-US"/>
    </w:rPr>
  </w:style>
  <w:style w:type="character" w:customStyle="1" w:styleId="SCCLsocPrefixChar">
    <w:name w:val="SCC.Lsoc.Prefix Char"/>
    <w:basedOn w:val="DefaultParagraphFont"/>
    <w:link w:val="SCCLsocPrefix"/>
    <w:rsid w:val="001E7575"/>
    <w:rPr>
      <w:rFonts w:eastAsiaTheme="minorHAnsi" w:cstheme="minorBidi"/>
      <w:b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ecords.court.nl.ca/public/supremecourt/decisiondownload/?decision-id=8461&amp;mode=stream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1.jpg@01D72252.19B69DE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80C7A-E56E-4817-A167-918678D70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1090</Words>
  <Characters>5815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2022-12-08T16:48:00Z</dcterms:created>
  <dcterms:modified xsi:type="dcterms:W3CDTF">2023-07-28T15:01:00Z</dcterms:modified>
</cp:coreProperties>
</file>