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3263"/>
        <w:gridCol w:w="1835"/>
        <w:gridCol w:w="3165"/>
        <w:gridCol w:w="17"/>
      </w:tblGrid>
      <w:tr w:rsidR="00BA7887" w:rsidTr="00A24381">
        <w:trPr>
          <w:trHeight w:val="1786"/>
        </w:trPr>
        <w:tc>
          <w:tcPr>
            <w:tcW w:w="5000" w:type="pct"/>
            <w:gridSpan w:val="4"/>
          </w:tcPr>
          <w:p w:rsidR="00BA7887" w:rsidRDefault="00BA7887" w:rsidP="00A24381">
            <w:pPr>
              <w:jc w:val="center"/>
            </w:pPr>
            <w:r>
              <w:rPr>
                <w:noProof/>
                <w:lang w:val="fr-CA" w:eastAsia="fr-CA"/>
              </w:rPr>
              <w:drawing>
                <wp:inline distT="0" distB="0" distL="0" distR="0" wp14:anchorId="63E52ED6" wp14:editId="6A42B9C8">
                  <wp:extent cx="1191895" cy="1638300"/>
                  <wp:effectExtent l="0" t="0" r="8255" b="0"/>
                  <wp:docPr id="2" name="Picture 2" descr="cid:image001.jpg@01D72252.19B69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2252.19B69DE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91895" cy="1638300"/>
                          </a:xfrm>
                          <a:prstGeom prst="rect">
                            <a:avLst/>
                          </a:prstGeom>
                          <a:noFill/>
                          <a:ln>
                            <a:noFill/>
                          </a:ln>
                        </pic:spPr>
                      </pic:pic>
                    </a:graphicData>
                  </a:graphic>
                </wp:inline>
              </w:drawing>
            </w:r>
          </w:p>
          <w:p w:rsidR="00BA7887" w:rsidRDefault="00BA7887" w:rsidP="00A24381">
            <w:pPr>
              <w:spacing w:before="120" w:after="100" w:afterAutospacing="1"/>
              <w:jc w:val="center"/>
              <w:rPr>
                <w:rFonts w:eastAsia="Calibri"/>
              </w:rPr>
            </w:pPr>
            <w:r w:rsidRPr="00C22905">
              <w:rPr>
                <w:rFonts w:eastAsia="Calibri"/>
                <w:b/>
                <w:szCs w:val="24"/>
                <w:lang w:eastAsia="en-US"/>
              </w:rPr>
              <w:t>COUR</w:t>
            </w:r>
            <w:r>
              <w:rPr>
                <w:rFonts w:eastAsia="Calibri"/>
                <w:b/>
                <w:szCs w:val="24"/>
                <w:lang w:eastAsia="en-US"/>
              </w:rPr>
              <w:t xml:space="preserve"> SUPRÊME DU</w:t>
            </w:r>
            <w:r w:rsidRPr="00C22905">
              <w:rPr>
                <w:rFonts w:eastAsia="Calibri"/>
                <w:b/>
                <w:szCs w:val="24"/>
                <w:lang w:eastAsia="en-US"/>
              </w:rPr>
              <w:t xml:space="preserve"> CANADA</w:t>
            </w:r>
          </w:p>
        </w:tc>
      </w:tr>
      <w:tr w:rsidR="00BA7887" w:rsidRPr="006F7FA0" w:rsidTr="00A24381">
        <w:trPr>
          <w:gridAfter w:val="1"/>
          <w:wAfter w:w="10" w:type="pct"/>
        </w:trPr>
        <w:tc>
          <w:tcPr>
            <w:tcW w:w="1971" w:type="pct"/>
            <w:tcMar>
              <w:top w:w="284" w:type="dxa"/>
            </w:tcMar>
          </w:tcPr>
          <w:p w:rsidR="00BA7887" w:rsidRPr="004234D3" w:rsidRDefault="00BA7887" w:rsidP="00A24381">
            <w:pPr>
              <w:spacing w:before="100" w:beforeAutospacing="1"/>
              <w:rPr>
                <w:rFonts w:eastAsia="Calibri"/>
                <w:lang w:val="fr-CA"/>
              </w:rPr>
            </w:pPr>
            <w:r w:rsidRPr="00CB5B04">
              <w:rPr>
                <w:b/>
                <w:smallCaps/>
                <w:lang w:val="fr-CA"/>
              </w:rPr>
              <w:t>Référence :</w:t>
            </w:r>
            <w:r w:rsidRPr="00CB5B04">
              <w:rPr>
                <w:lang w:val="fr-CA"/>
              </w:rPr>
              <w:t xml:space="preserve"> </w:t>
            </w:r>
            <w:r>
              <w:rPr>
                <w:lang w:val="fr-CA"/>
              </w:rPr>
              <w:t xml:space="preserve">R. </w:t>
            </w:r>
            <w:r>
              <w:rPr>
                <w:i/>
                <w:lang w:val="fr-CA"/>
              </w:rPr>
              <w:t>c.</w:t>
            </w:r>
            <w:r>
              <w:rPr>
                <w:lang w:val="fr-CA"/>
              </w:rPr>
              <w:t xml:space="preserve"> </w:t>
            </w:r>
            <w:r w:rsidRPr="00516B30">
              <w:rPr>
                <w:lang w:val="fr-CA"/>
              </w:rPr>
              <w:t>Vernelus</w:t>
            </w:r>
            <w:r>
              <w:rPr>
                <w:lang w:val="fr-CA"/>
              </w:rPr>
              <w:t xml:space="preserve">, 2022 CSC </w:t>
            </w:r>
            <w:r w:rsidRPr="00DA1E61">
              <w:rPr>
                <w:lang w:val="fr-CA"/>
              </w:rPr>
              <w:t>53</w:t>
            </w:r>
          </w:p>
        </w:tc>
        <w:tc>
          <w:tcPr>
            <w:tcW w:w="1108" w:type="pct"/>
          </w:tcPr>
          <w:p w:rsidR="00BA7887" w:rsidRPr="00CB5B04" w:rsidRDefault="00BA7887" w:rsidP="00A24381">
            <w:pPr>
              <w:rPr>
                <w:b/>
                <w:smallCaps/>
                <w:lang w:val="fr-CA"/>
              </w:rPr>
            </w:pPr>
          </w:p>
        </w:tc>
        <w:tc>
          <w:tcPr>
            <w:tcW w:w="1911" w:type="pct"/>
            <w:tcMar>
              <w:top w:w="284" w:type="dxa"/>
            </w:tcMar>
          </w:tcPr>
          <w:p w:rsidR="00BA7887" w:rsidRPr="00CB5B04" w:rsidRDefault="00BA7887" w:rsidP="00A24381">
            <w:pPr>
              <w:rPr>
                <w:lang w:val="fr-CA"/>
              </w:rPr>
            </w:pPr>
            <w:r w:rsidRPr="00CB5B04">
              <w:rPr>
                <w:b/>
                <w:smallCaps/>
                <w:lang w:val="fr-CA"/>
              </w:rPr>
              <w:t>Appel entendu :</w:t>
            </w:r>
            <w:r w:rsidRPr="00CB5B04">
              <w:rPr>
                <w:lang w:val="fr-CA"/>
              </w:rPr>
              <w:t xml:space="preserve"> </w:t>
            </w:r>
            <w:r>
              <w:rPr>
                <w:lang w:val="fr-CA"/>
              </w:rPr>
              <w:t>6 décembre 2022</w:t>
            </w:r>
          </w:p>
          <w:p w:rsidR="00BA7887" w:rsidRPr="00CB5B04" w:rsidRDefault="00BA7887" w:rsidP="00A24381">
            <w:pPr>
              <w:rPr>
                <w:b/>
                <w:smallCaps/>
                <w:lang w:val="fr-CA"/>
              </w:rPr>
            </w:pPr>
            <w:r w:rsidRPr="00CB5B04">
              <w:rPr>
                <w:b/>
                <w:smallCaps/>
                <w:lang w:val="fr-CA"/>
              </w:rPr>
              <w:t xml:space="preserve">Jugement rendu : </w:t>
            </w:r>
            <w:r>
              <w:rPr>
                <w:lang w:val="fr-CA"/>
              </w:rPr>
              <w:t>6 décembre 2022</w:t>
            </w:r>
          </w:p>
          <w:p w:rsidR="00BA7887" w:rsidRPr="00A9085B" w:rsidRDefault="00BA7887" w:rsidP="00A24381">
            <w:pPr>
              <w:rPr>
                <w:rFonts w:eastAsia="Calibri"/>
                <w:lang w:val="fr-CA"/>
              </w:rPr>
            </w:pPr>
            <w:r w:rsidRPr="00A9085B">
              <w:rPr>
                <w:b/>
                <w:smallCaps/>
                <w:lang w:val="fr-CA"/>
              </w:rPr>
              <w:t>Dossier :</w:t>
            </w:r>
            <w:r w:rsidRPr="00A9085B">
              <w:rPr>
                <w:lang w:val="fr-CA"/>
              </w:rPr>
              <w:t xml:space="preserve"> </w:t>
            </w:r>
            <w:r w:rsidRPr="004803D6">
              <w:rPr>
                <w:lang w:val="fr-CA"/>
              </w:rPr>
              <w:t>40072</w:t>
            </w:r>
          </w:p>
        </w:tc>
      </w:tr>
      <w:tr w:rsidR="00BA7887" w:rsidRPr="00516B30" w:rsidTr="00A24381">
        <w:tc>
          <w:tcPr>
            <w:tcW w:w="5000" w:type="pct"/>
            <w:gridSpan w:val="4"/>
          </w:tcPr>
          <w:p w:rsidR="00BA7887" w:rsidRDefault="00BA7887" w:rsidP="00A24381">
            <w:pPr>
              <w:rPr>
                <w:rFonts w:eastAsiaTheme="minorHAnsi" w:cstheme="minorBidi"/>
                <w:b/>
                <w:smallCaps/>
                <w:szCs w:val="24"/>
                <w:lang w:val="fr-CA" w:eastAsia="en-US"/>
              </w:rPr>
            </w:pPr>
          </w:p>
          <w:p w:rsidR="00BA7887" w:rsidRDefault="00BA7887" w:rsidP="00A24381">
            <w:pPr>
              <w:rPr>
                <w:rFonts w:eastAsiaTheme="minorHAnsi" w:cstheme="minorBidi"/>
                <w:b/>
                <w:smallCaps/>
                <w:szCs w:val="24"/>
                <w:lang w:val="fr-CA" w:eastAsia="en-US"/>
              </w:rPr>
            </w:pPr>
            <w:r>
              <w:rPr>
                <w:rFonts w:eastAsiaTheme="minorHAnsi" w:cstheme="minorBidi"/>
                <w:b/>
                <w:smallCaps/>
                <w:szCs w:val="24"/>
                <w:lang w:val="fr-CA" w:eastAsia="en-US"/>
              </w:rPr>
              <w:t>Entre </w:t>
            </w:r>
            <w:r w:rsidRPr="00883F8A">
              <w:rPr>
                <w:rFonts w:eastAsiaTheme="minorHAnsi" w:cstheme="minorBidi"/>
                <w:b/>
                <w:smallCaps/>
                <w:szCs w:val="24"/>
                <w:lang w:val="fr-CA" w:eastAsia="en-US"/>
              </w:rPr>
              <w:t>:</w:t>
            </w:r>
          </w:p>
          <w:p w:rsidR="00BA7887" w:rsidRPr="00883F8A" w:rsidRDefault="00BA7887" w:rsidP="00A24381">
            <w:pPr>
              <w:rPr>
                <w:rFonts w:eastAsiaTheme="minorHAnsi" w:cstheme="minorBidi"/>
                <w:b/>
                <w:smallCaps/>
                <w:szCs w:val="24"/>
                <w:lang w:val="fr-CA" w:eastAsia="en-US"/>
              </w:rPr>
            </w:pPr>
          </w:p>
          <w:p w:rsidR="00BA7887" w:rsidRPr="00637318" w:rsidRDefault="00BA7887" w:rsidP="00A24381">
            <w:pPr>
              <w:jc w:val="center"/>
              <w:rPr>
                <w:rFonts w:eastAsiaTheme="minorHAnsi" w:cstheme="minorBidi"/>
                <w:b/>
                <w:bCs/>
                <w:szCs w:val="24"/>
                <w:lang w:val="fr-CA" w:eastAsia="en-US"/>
              </w:rPr>
            </w:pPr>
            <w:r w:rsidRPr="00B7007D">
              <w:rPr>
                <w:rFonts w:eastAsiaTheme="minorHAnsi" w:cstheme="minorBidi"/>
                <w:b/>
                <w:szCs w:val="24"/>
                <w:lang w:val="fr-CA" w:eastAsia="en-US"/>
              </w:rPr>
              <w:t>Mikerlson Vernelus</w:t>
            </w:r>
          </w:p>
          <w:p w:rsidR="00BA7887" w:rsidRPr="00E04080" w:rsidRDefault="00BA7887" w:rsidP="00A24381">
            <w:pPr>
              <w:jc w:val="center"/>
              <w:rPr>
                <w:rFonts w:eastAsiaTheme="minorHAnsi" w:cstheme="minorBidi"/>
                <w:szCs w:val="24"/>
                <w:lang w:val="fr-CA" w:eastAsia="en-US"/>
              </w:rPr>
            </w:pPr>
            <w:r w:rsidRPr="00E04080">
              <w:rPr>
                <w:rFonts w:eastAsiaTheme="minorHAnsi" w:cstheme="minorBidi"/>
                <w:szCs w:val="24"/>
                <w:lang w:val="fr-CA" w:eastAsia="en-US"/>
              </w:rPr>
              <w:t>Appelant</w:t>
            </w:r>
          </w:p>
          <w:p w:rsidR="00BA7887" w:rsidRPr="00E04080" w:rsidRDefault="00BA7887" w:rsidP="00A24381">
            <w:pPr>
              <w:jc w:val="center"/>
              <w:rPr>
                <w:rFonts w:eastAsiaTheme="minorHAnsi" w:cstheme="minorBidi"/>
                <w:szCs w:val="24"/>
                <w:lang w:val="fr-CA" w:eastAsia="en-US"/>
              </w:rPr>
            </w:pPr>
          </w:p>
          <w:p w:rsidR="00BA7887" w:rsidRDefault="00BA7887" w:rsidP="00A24381">
            <w:pPr>
              <w:jc w:val="center"/>
              <w:rPr>
                <w:rFonts w:eastAsiaTheme="minorHAnsi" w:cstheme="minorBidi"/>
                <w:szCs w:val="24"/>
                <w:lang w:val="fr-CA" w:eastAsia="en-US"/>
              </w:rPr>
            </w:pPr>
            <w:r>
              <w:rPr>
                <w:rFonts w:eastAsiaTheme="minorHAnsi" w:cstheme="minorBidi"/>
                <w:szCs w:val="24"/>
                <w:lang w:val="fr-CA" w:eastAsia="en-US"/>
              </w:rPr>
              <w:t>et</w:t>
            </w:r>
          </w:p>
          <w:p w:rsidR="00BA7887" w:rsidRPr="00883F8A" w:rsidRDefault="00BA7887" w:rsidP="00A24381">
            <w:pPr>
              <w:jc w:val="center"/>
              <w:rPr>
                <w:rFonts w:eastAsiaTheme="minorHAnsi" w:cstheme="minorBidi"/>
                <w:szCs w:val="24"/>
                <w:lang w:val="fr-CA" w:eastAsia="en-US"/>
              </w:rPr>
            </w:pPr>
          </w:p>
          <w:p w:rsidR="00BA7887" w:rsidRDefault="00BA7887" w:rsidP="00A24381">
            <w:pPr>
              <w:jc w:val="center"/>
              <w:rPr>
                <w:rFonts w:eastAsiaTheme="minorHAnsi" w:cstheme="minorBidi"/>
                <w:b/>
                <w:szCs w:val="24"/>
                <w:lang w:val="fr-CA" w:eastAsia="en-US"/>
              </w:rPr>
            </w:pPr>
            <w:r>
              <w:rPr>
                <w:rFonts w:eastAsiaTheme="minorHAnsi" w:cstheme="minorBidi"/>
                <w:b/>
                <w:bCs/>
                <w:szCs w:val="24"/>
                <w:lang w:val="fr-CA" w:eastAsia="en-US"/>
              </w:rPr>
              <w:t>Sa Majesté le Roi</w:t>
            </w:r>
          </w:p>
          <w:p w:rsidR="00BA7887" w:rsidRDefault="00BA7887" w:rsidP="00A24381">
            <w:pPr>
              <w:jc w:val="center"/>
              <w:rPr>
                <w:rFonts w:eastAsiaTheme="minorHAnsi" w:cstheme="minorBidi"/>
                <w:szCs w:val="24"/>
                <w:lang w:val="fr-CA" w:eastAsia="en-US"/>
              </w:rPr>
            </w:pPr>
            <w:r>
              <w:rPr>
                <w:rFonts w:eastAsiaTheme="minorHAnsi" w:cstheme="minorBidi"/>
                <w:szCs w:val="24"/>
                <w:lang w:val="fr-CA" w:eastAsia="en-US"/>
              </w:rPr>
              <w:t>Intimé</w:t>
            </w:r>
          </w:p>
          <w:p w:rsidR="00BA7887" w:rsidRDefault="00BA7887" w:rsidP="00A24381">
            <w:pPr>
              <w:rPr>
                <w:rFonts w:eastAsiaTheme="minorHAnsi" w:cstheme="minorBidi"/>
                <w:szCs w:val="24"/>
                <w:lang w:val="fr-CA" w:eastAsia="en-US"/>
              </w:rPr>
            </w:pPr>
          </w:p>
          <w:p w:rsidR="00BA7887" w:rsidRDefault="00BA7887" w:rsidP="00A24381">
            <w:pPr>
              <w:jc w:val="center"/>
              <w:rPr>
                <w:rFonts w:eastAsiaTheme="minorHAnsi" w:cstheme="minorBidi"/>
                <w:szCs w:val="24"/>
                <w:lang w:val="fr-CA" w:eastAsia="en-US"/>
              </w:rPr>
            </w:pPr>
          </w:p>
          <w:p w:rsidR="00BA7887" w:rsidRPr="006F7FA0" w:rsidRDefault="00BA7887" w:rsidP="00A24381">
            <w:pPr>
              <w:jc w:val="center"/>
              <w:rPr>
                <w:rFonts w:eastAsiaTheme="minorHAnsi" w:cstheme="minorBidi"/>
                <w:szCs w:val="24"/>
                <w:lang w:val="fr-CA" w:eastAsia="en-US"/>
              </w:rPr>
            </w:pPr>
          </w:p>
        </w:tc>
      </w:tr>
    </w:tbl>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979"/>
        <w:gridCol w:w="6283"/>
        <w:gridCol w:w="18"/>
      </w:tblGrid>
      <w:tr w:rsidR="00BA7887" w:rsidRPr="00BA7887" w:rsidTr="00A24381">
        <w:trPr>
          <w:cantSplit/>
          <w:trHeight w:val="508"/>
        </w:trPr>
        <w:tc>
          <w:tcPr>
            <w:tcW w:w="5000" w:type="pct"/>
            <w:gridSpan w:val="3"/>
            <w:tcMar>
              <w:top w:w="284" w:type="dxa"/>
              <w:bottom w:w="57" w:type="dxa"/>
            </w:tcMar>
            <w:vAlign w:val="center"/>
          </w:tcPr>
          <w:p w:rsidR="00BA7887" w:rsidRPr="002A1297" w:rsidRDefault="00BA7887" w:rsidP="00A24381">
            <w:pPr>
              <w:rPr>
                <w:lang w:val="fr-CA"/>
              </w:rPr>
            </w:pPr>
            <w:r w:rsidRPr="00CB5B04">
              <w:rPr>
                <w:b/>
                <w:smallCaps/>
                <w:lang w:val="fr-CA"/>
              </w:rPr>
              <w:t>Coram :</w:t>
            </w:r>
            <w:r w:rsidRPr="00CB5B04">
              <w:rPr>
                <w:lang w:val="fr-CA"/>
              </w:rPr>
              <w:t xml:space="preserve"> L</w:t>
            </w:r>
            <w:r>
              <w:rPr>
                <w:lang w:val="fr-CA"/>
              </w:rPr>
              <w:t xml:space="preserve">es juges Côté, Brown, </w:t>
            </w:r>
            <w:r w:rsidRPr="004234D3">
              <w:rPr>
                <w:lang w:val="fr-CA"/>
              </w:rPr>
              <w:t>Martin</w:t>
            </w:r>
            <w:r>
              <w:rPr>
                <w:lang w:val="fr-CA"/>
              </w:rPr>
              <w:t>,</w:t>
            </w:r>
            <w:r w:rsidRPr="004234D3">
              <w:rPr>
                <w:lang w:val="fr-CA"/>
              </w:rPr>
              <w:t xml:space="preserve"> </w:t>
            </w:r>
            <w:r w:rsidRPr="00637318">
              <w:rPr>
                <w:lang w:val="fr-CA"/>
              </w:rPr>
              <w:t>Kasirer</w:t>
            </w:r>
            <w:r>
              <w:rPr>
                <w:lang w:val="fr-CA"/>
              </w:rPr>
              <w:t xml:space="preserve"> et </w:t>
            </w:r>
            <w:r w:rsidRPr="002A1297">
              <w:rPr>
                <w:lang w:val="fr-CA"/>
              </w:rPr>
              <w:t>O’Bonsawin</w:t>
            </w:r>
          </w:p>
          <w:p w:rsidR="00BA7887" w:rsidRPr="00CB5B04" w:rsidRDefault="00BA7887" w:rsidP="00A24381">
            <w:pPr>
              <w:rPr>
                <w:lang w:val="fr-CA"/>
              </w:rPr>
            </w:pPr>
          </w:p>
        </w:tc>
      </w:tr>
      <w:tr w:rsidR="00BA7887" w:rsidRPr="00744F09" w:rsidTr="00A24381">
        <w:trPr>
          <w:gridAfter w:val="1"/>
          <w:wAfter w:w="11" w:type="pct"/>
          <w:cantSplit/>
        </w:trPr>
        <w:tc>
          <w:tcPr>
            <w:tcW w:w="1195" w:type="pct"/>
            <w:tcMar>
              <w:top w:w="284" w:type="dxa"/>
              <w:bottom w:w="57" w:type="dxa"/>
            </w:tcMar>
            <w:vAlign w:val="center"/>
          </w:tcPr>
          <w:p w:rsidR="00BA7887" w:rsidRPr="00982D32" w:rsidRDefault="00BA7887" w:rsidP="00A24381">
            <w:pPr>
              <w:rPr>
                <w:b/>
                <w:smallCaps/>
                <w:lang w:val="fr-CA"/>
              </w:rPr>
            </w:pPr>
            <w:r w:rsidRPr="004234D3">
              <w:rPr>
                <w:b/>
                <w:bCs/>
                <w:smallCaps/>
                <w:color w:val="000000"/>
                <w:lang w:val="fr-CA"/>
              </w:rPr>
              <w:t>Jugement unanime lu par :</w:t>
            </w:r>
            <w:r w:rsidRPr="00982D32">
              <w:rPr>
                <w:b/>
                <w:smallCaps/>
                <w:lang w:val="fr-CA"/>
              </w:rPr>
              <w:t xml:space="preserve"> </w:t>
            </w:r>
          </w:p>
          <w:p w:rsidR="00BA7887" w:rsidRPr="00982D32" w:rsidRDefault="00BA7887" w:rsidP="00A24381">
            <w:pPr>
              <w:rPr>
                <w:b/>
                <w:smallCaps/>
                <w:lang w:val="fr-CA"/>
              </w:rPr>
            </w:pPr>
            <w:r w:rsidRPr="00982D32">
              <w:rPr>
                <w:lang w:val="fr-CA"/>
              </w:rPr>
              <w:t>(par. 1</w:t>
            </w:r>
            <w:r>
              <w:rPr>
                <w:lang w:val="fr-CA"/>
              </w:rPr>
              <w:t xml:space="preserve"> à 8</w:t>
            </w:r>
            <w:r w:rsidRPr="00982D32">
              <w:rPr>
                <w:lang w:val="fr-CA"/>
              </w:rPr>
              <w:t>)</w:t>
            </w:r>
          </w:p>
        </w:tc>
        <w:tc>
          <w:tcPr>
            <w:tcW w:w="3794" w:type="pct"/>
            <w:tcMar>
              <w:top w:w="284" w:type="dxa"/>
            </w:tcMar>
            <w:vAlign w:val="center"/>
          </w:tcPr>
          <w:p w:rsidR="00BA7887" w:rsidRPr="00640645" w:rsidRDefault="00BA7887" w:rsidP="00A24381">
            <w:pPr>
              <w:rPr>
                <w:lang w:val="fr-CA"/>
              </w:rPr>
            </w:pPr>
            <w:r w:rsidRPr="00640645">
              <w:rPr>
                <w:lang w:val="fr-CA"/>
              </w:rPr>
              <w:t>L</w:t>
            </w:r>
            <w:r>
              <w:rPr>
                <w:lang w:val="fr-CA"/>
              </w:rPr>
              <w:t>e</w:t>
            </w:r>
            <w:r w:rsidRPr="00640645">
              <w:rPr>
                <w:lang w:val="fr-CA"/>
              </w:rPr>
              <w:t xml:space="preserve"> juge </w:t>
            </w:r>
            <w:r w:rsidRPr="00637318">
              <w:rPr>
                <w:lang w:val="fr-CA"/>
              </w:rPr>
              <w:t>Kasirer</w:t>
            </w:r>
          </w:p>
        </w:tc>
      </w:tr>
    </w:tbl>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9360"/>
      </w:tblGrid>
      <w:tr w:rsidR="00BA7887" w:rsidRPr="0041438C" w:rsidTr="00A24381">
        <w:tc>
          <w:tcPr>
            <w:tcW w:w="9360" w:type="dxa"/>
          </w:tcPr>
          <w:p w:rsidR="00BA7887" w:rsidRPr="00C11FA3" w:rsidRDefault="00BA7887" w:rsidP="00A24381">
            <w:pPr>
              <w:jc w:val="both"/>
              <w:rPr>
                <w:lang w:val="fr-CA"/>
              </w:rPr>
            </w:pPr>
          </w:p>
        </w:tc>
      </w:tr>
    </w:tbl>
    <w:p w:rsidR="00BA7887" w:rsidRPr="00A9085B" w:rsidRDefault="00BA7887" w:rsidP="00BA7887">
      <w:pPr>
        <w:spacing w:before="100" w:beforeAutospacing="1"/>
        <w:rPr>
          <w:rFonts w:eastAsia="Calibri"/>
          <w:szCs w:val="24"/>
          <w:lang w:val="fr-CA" w:eastAsia="en-US"/>
        </w:rPr>
      </w:pPr>
      <w:r>
        <w:rPr>
          <w:rFonts w:eastAsia="Calibri"/>
          <w:b/>
          <w:smallCaps/>
          <w:szCs w:val="24"/>
          <w:lang w:val="fr-CA" w:eastAsia="en-US"/>
        </w:rPr>
        <w:t>Note :</w:t>
      </w:r>
      <w:r w:rsidRPr="00A9085B">
        <w:rPr>
          <w:rFonts w:eastAsia="Calibri"/>
          <w:szCs w:val="24"/>
          <w:lang w:val="fr-CA" w:eastAsia="en-US"/>
        </w:rPr>
        <w:t xml:space="preserve"> </w:t>
      </w:r>
      <w:r w:rsidRPr="00A9085B">
        <w:rPr>
          <w:lang w:val="fr-CA"/>
        </w:rPr>
        <w:t xml:space="preserve">Ce document fera l’objet de retouches de forme avant la parution de sa version définitive dans le </w:t>
      </w:r>
      <w:r w:rsidRPr="00A9085B">
        <w:rPr>
          <w:i/>
          <w:lang w:val="fr-CA"/>
        </w:rPr>
        <w:t>Recueil des arrêts de la Cour suprême du Canada</w:t>
      </w:r>
      <w:r w:rsidRPr="00A9085B">
        <w:rPr>
          <w:lang w:val="fr-CA"/>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4"/>
        <w:gridCol w:w="3312"/>
        <w:gridCol w:w="2484"/>
      </w:tblGrid>
      <w:tr w:rsidR="00BA7887" w:rsidRPr="00BA7887" w:rsidTr="00A24381">
        <w:tc>
          <w:tcPr>
            <w:tcW w:w="1500" w:type="pct"/>
            <w:tcMar>
              <w:top w:w="284" w:type="dxa"/>
            </w:tcMar>
          </w:tcPr>
          <w:p w:rsidR="00BA7887" w:rsidRPr="00A9085B" w:rsidRDefault="00BA7887" w:rsidP="00A24381">
            <w:pPr>
              <w:rPr>
                <w:rFonts w:eastAsia="Calibri"/>
                <w:szCs w:val="24"/>
                <w:lang w:val="fr-CA" w:eastAsia="en-US"/>
              </w:rPr>
            </w:pPr>
          </w:p>
        </w:tc>
        <w:tc>
          <w:tcPr>
            <w:tcW w:w="2000" w:type="pct"/>
            <w:tcBorders>
              <w:bottom w:val="single" w:sz="4" w:space="0" w:color="auto"/>
            </w:tcBorders>
            <w:tcMar>
              <w:top w:w="284" w:type="dxa"/>
            </w:tcMar>
          </w:tcPr>
          <w:p w:rsidR="00BA7887" w:rsidRPr="00A9085B" w:rsidRDefault="00BA7887" w:rsidP="00A24381">
            <w:pPr>
              <w:rPr>
                <w:rFonts w:eastAsia="Calibri"/>
                <w:szCs w:val="24"/>
                <w:lang w:val="fr-CA" w:eastAsia="en-US"/>
              </w:rPr>
            </w:pPr>
          </w:p>
        </w:tc>
        <w:tc>
          <w:tcPr>
            <w:tcW w:w="1500" w:type="pct"/>
            <w:tcMar>
              <w:top w:w="284" w:type="dxa"/>
            </w:tcMar>
          </w:tcPr>
          <w:p w:rsidR="00BA7887" w:rsidRPr="00A9085B" w:rsidRDefault="00BA7887" w:rsidP="00A24381">
            <w:pPr>
              <w:rPr>
                <w:rFonts w:eastAsia="Calibri"/>
                <w:szCs w:val="24"/>
                <w:lang w:val="fr-CA" w:eastAsia="en-US"/>
              </w:rPr>
            </w:pPr>
          </w:p>
        </w:tc>
      </w:tr>
    </w:tbl>
    <w:p w:rsidR="00BA7887" w:rsidRDefault="00BA7887">
      <w:pPr>
        <w:pStyle w:val="SCCLsocLastPartyInRole"/>
        <w:rPr>
          <w:lang w:val="fr-CA"/>
        </w:rPr>
      </w:pPr>
    </w:p>
    <w:p w:rsidR="00313CAB" w:rsidRPr="00BC3307" w:rsidRDefault="009A41A3">
      <w:pPr>
        <w:pStyle w:val="SCCLsocLastPartyInRole"/>
        <w:rPr>
          <w:lang w:val="fr-CA"/>
        </w:rPr>
      </w:pPr>
      <w:bookmarkStart w:id="0" w:name="_GoBack"/>
      <w:bookmarkEnd w:id="0"/>
      <w:r w:rsidRPr="00BC3307">
        <w:rPr>
          <w:lang w:val="fr-CA"/>
        </w:rPr>
        <w:t>Mikerlson Vernelus</w:t>
      </w:r>
      <w:r w:rsidR="00BC3307">
        <w:rPr>
          <w:rStyle w:val="SCCLsocPartyRole"/>
          <w:lang w:val="fr-CA"/>
        </w:rPr>
        <w:tab/>
        <w:t>Appelant</w:t>
      </w:r>
    </w:p>
    <w:p w:rsidR="00313CAB" w:rsidRPr="00BC3307" w:rsidRDefault="009A41A3">
      <w:pPr>
        <w:pStyle w:val="SCCLsocVersus"/>
        <w:rPr>
          <w:lang w:val="fr-CA"/>
        </w:rPr>
      </w:pPr>
      <w:r w:rsidRPr="00BC3307">
        <w:rPr>
          <w:lang w:val="fr-CA"/>
        </w:rPr>
        <w:t>c.</w:t>
      </w:r>
    </w:p>
    <w:p w:rsidR="00313CAB" w:rsidRPr="00BC3307" w:rsidRDefault="009A41A3" w:rsidP="00F571C5">
      <w:pPr>
        <w:pStyle w:val="SCCLsocLastPartyInRole"/>
        <w:rPr>
          <w:lang w:val="fr-CA"/>
        </w:rPr>
      </w:pPr>
      <w:r w:rsidRPr="00BC3307">
        <w:rPr>
          <w:lang w:val="fr-CA"/>
        </w:rPr>
        <w:t>Sa Majesté le Roi</w:t>
      </w:r>
      <w:r w:rsidR="00BC3307">
        <w:rPr>
          <w:rStyle w:val="SCCLsocPartyRole"/>
          <w:lang w:val="fr-CA"/>
        </w:rPr>
        <w:tab/>
        <w:t>Intimé</w:t>
      </w:r>
    </w:p>
    <w:p w:rsidR="004D7D95" w:rsidRPr="00BC3307" w:rsidRDefault="00F571C5" w:rsidP="00F571C5">
      <w:pPr>
        <w:spacing w:after="720"/>
        <w:jc w:val="both"/>
        <w:rPr>
          <w:b/>
          <w:lang w:val="fr-CA"/>
        </w:rPr>
      </w:pPr>
      <w:r>
        <w:rPr>
          <w:b/>
          <w:lang w:val="fr-CA"/>
        </w:rPr>
        <w:t xml:space="preserve">Répertorié : </w:t>
      </w:r>
      <w:r w:rsidR="00BC3307">
        <w:rPr>
          <w:b/>
          <w:lang w:val="fr-CA"/>
        </w:rPr>
        <w:t xml:space="preserve">R. </w:t>
      </w:r>
      <w:r w:rsidR="009A41A3">
        <w:rPr>
          <w:b/>
          <w:i/>
          <w:lang w:val="fr-CA"/>
        </w:rPr>
        <w:t>c</w:t>
      </w:r>
      <w:r w:rsidR="00BC3307">
        <w:rPr>
          <w:b/>
          <w:i/>
          <w:lang w:val="fr-CA"/>
        </w:rPr>
        <w:t xml:space="preserve">. </w:t>
      </w:r>
      <w:r w:rsidR="004D7D95" w:rsidRPr="00BC3307">
        <w:rPr>
          <w:rStyle w:val="SCCAppellantForIndexChar"/>
          <w:lang w:val="fr-CA"/>
        </w:rPr>
        <w:t>Vernelus</w:t>
      </w:r>
    </w:p>
    <w:p w:rsidR="004D7D95" w:rsidRPr="00BC3307" w:rsidRDefault="00D17B0E" w:rsidP="00F571C5">
      <w:pPr>
        <w:pStyle w:val="SCCSystemYear"/>
        <w:spacing w:after="720"/>
        <w:jc w:val="both"/>
        <w:rPr>
          <w:lang w:val="fr-CA"/>
        </w:rPr>
      </w:pPr>
      <w:r w:rsidRPr="00BC3307">
        <w:rPr>
          <w:lang w:val="fr-CA"/>
        </w:rPr>
        <w:t>2022</w:t>
      </w:r>
      <w:r w:rsidR="00F571C5">
        <w:rPr>
          <w:lang w:val="fr-CA"/>
        </w:rPr>
        <w:t xml:space="preserve"> CSC </w:t>
      </w:r>
      <w:r w:rsidR="00BC3307" w:rsidRPr="00BC3307">
        <w:rPr>
          <w:lang w:val="fr-CA"/>
        </w:rPr>
        <w:t>53</w:t>
      </w:r>
    </w:p>
    <w:p w:rsidR="004D7D95" w:rsidRPr="00BC3307" w:rsidRDefault="004D7D95" w:rsidP="00F571C5">
      <w:pPr>
        <w:spacing w:after="720"/>
        <w:jc w:val="both"/>
        <w:rPr>
          <w:lang w:val="fr-CA"/>
        </w:rPr>
      </w:pPr>
      <w:r w:rsidRPr="00BC3307">
        <w:rPr>
          <w:lang w:val="fr-CA"/>
        </w:rPr>
        <w:t>N</w:t>
      </w:r>
      <w:r w:rsidRPr="00BC3307">
        <w:rPr>
          <w:vertAlign w:val="superscript"/>
          <w:lang w:val="fr-CA"/>
        </w:rPr>
        <w:t>o</w:t>
      </w:r>
      <w:r w:rsidR="00F571C5">
        <w:rPr>
          <w:lang w:val="fr-CA"/>
        </w:rPr>
        <w:t xml:space="preserve"> du greffe : </w:t>
      </w:r>
      <w:r w:rsidRPr="00BC3307">
        <w:rPr>
          <w:lang w:val="fr-CA"/>
        </w:rPr>
        <w:t>40072.</w:t>
      </w:r>
    </w:p>
    <w:p w:rsidR="004D7D95" w:rsidRPr="00BC3307" w:rsidRDefault="00D17B0E" w:rsidP="00F571C5">
      <w:pPr>
        <w:spacing w:after="720"/>
        <w:jc w:val="both"/>
        <w:rPr>
          <w:lang w:val="fr-CA"/>
        </w:rPr>
      </w:pPr>
      <w:r w:rsidRPr="00BC3307">
        <w:rPr>
          <w:lang w:val="fr-CA"/>
        </w:rPr>
        <w:t>2022</w:t>
      </w:r>
      <w:r w:rsidR="00BC3307">
        <w:rPr>
          <w:lang w:val="fr-CA"/>
        </w:rPr>
        <w:t> </w:t>
      </w:r>
      <w:r w:rsidRPr="00BC3307">
        <w:rPr>
          <w:lang w:val="fr-CA"/>
        </w:rPr>
        <w:t>: 6 décembre</w:t>
      </w:r>
      <w:r w:rsidR="004D7D95" w:rsidRPr="00BC3307">
        <w:rPr>
          <w:lang w:val="fr-CA"/>
        </w:rPr>
        <w:t>.</w:t>
      </w:r>
    </w:p>
    <w:p w:rsidR="004D7D95" w:rsidRPr="00BC3307" w:rsidRDefault="00F571C5" w:rsidP="00F571C5">
      <w:pPr>
        <w:spacing w:after="720"/>
        <w:jc w:val="both"/>
        <w:rPr>
          <w:lang w:val="fr-CA"/>
        </w:rPr>
      </w:pPr>
      <w:r>
        <w:rPr>
          <w:lang w:val="fr-CA"/>
        </w:rPr>
        <w:t xml:space="preserve">Présents : </w:t>
      </w:r>
      <w:r w:rsidR="004D7D95" w:rsidRPr="00BC3307">
        <w:rPr>
          <w:lang w:val="fr-CA"/>
        </w:rPr>
        <w:t>Les juges Côté, Brown, Martin, Kasirer et O</w:t>
      </w:r>
      <w:r w:rsidR="00BC3307">
        <w:rPr>
          <w:lang w:val="fr-CA"/>
        </w:rPr>
        <w:t>’</w:t>
      </w:r>
      <w:r w:rsidR="004D7D95" w:rsidRPr="00BC3307">
        <w:rPr>
          <w:lang w:val="fr-CA"/>
        </w:rPr>
        <w:t>Bonsawin.</w:t>
      </w:r>
    </w:p>
    <w:p w:rsidR="004D7D95" w:rsidRPr="00BC3307" w:rsidRDefault="004D7D95" w:rsidP="00F571C5">
      <w:pPr>
        <w:spacing w:after="720"/>
        <w:jc w:val="both"/>
        <w:rPr>
          <w:smallCaps/>
          <w:lang w:val="fr-CA"/>
        </w:rPr>
      </w:pPr>
      <w:r w:rsidRPr="00BC3307">
        <w:rPr>
          <w:smallCaps/>
          <w:lang w:val="fr-CA"/>
        </w:rPr>
        <w:t>en appel de la cour d</w:t>
      </w:r>
      <w:r w:rsidR="00BC3307" w:rsidRPr="00BC3307">
        <w:rPr>
          <w:smallCaps/>
          <w:lang w:val="fr-CA"/>
        </w:rPr>
        <w:t>’appel du québec</w:t>
      </w:r>
    </w:p>
    <w:p w:rsidR="004D7D95" w:rsidRPr="00D865E4" w:rsidRDefault="004D7D95" w:rsidP="00F571C5">
      <w:pPr>
        <w:pStyle w:val="SCCNormalDoubleSpacing"/>
        <w:spacing w:after="480"/>
        <w:rPr>
          <w:i/>
          <w:lang w:val="fr-CA"/>
        </w:rPr>
      </w:pPr>
      <w:r w:rsidRPr="00BB4C92">
        <w:rPr>
          <w:lang w:val="fr-CA"/>
        </w:rPr>
        <w:tab/>
      </w:r>
      <w:r w:rsidR="00D865E4">
        <w:rPr>
          <w:i/>
          <w:lang w:val="fr-CA"/>
        </w:rPr>
        <w:t xml:space="preserve">Droit criminel — </w:t>
      </w:r>
      <w:r w:rsidR="00B31A19">
        <w:rPr>
          <w:i/>
          <w:lang w:val="fr-CA"/>
        </w:rPr>
        <w:t>Appels — Verdict déraisonnable —</w:t>
      </w:r>
      <w:r w:rsidR="008C04D8">
        <w:rPr>
          <w:i/>
          <w:lang w:val="fr-CA"/>
        </w:rPr>
        <w:t xml:space="preserve"> </w:t>
      </w:r>
      <w:r w:rsidR="00B31A19">
        <w:rPr>
          <w:i/>
          <w:lang w:val="fr-CA"/>
        </w:rPr>
        <w:t xml:space="preserve">Accusé </w:t>
      </w:r>
      <w:r w:rsidR="00AE4569">
        <w:rPr>
          <w:i/>
          <w:lang w:val="fr-CA"/>
        </w:rPr>
        <w:t xml:space="preserve">inculpé de possession d’une arme à feu à autorisation restreinte chargée </w:t>
      </w:r>
      <w:r w:rsidR="008C04D8">
        <w:rPr>
          <w:i/>
          <w:lang w:val="fr-CA"/>
        </w:rPr>
        <w:t xml:space="preserve">et </w:t>
      </w:r>
      <w:r w:rsidR="008C04D8" w:rsidRPr="008C04D8">
        <w:rPr>
          <w:i/>
          <w:lang w:val="fr-CA"/>
        </w:rPr>
        <w:t>d’</w:t>
      </w:r>
      <w:r w:rsidR="008C04D8" w:rsidRPr="008C04D8">
        <w:rPr>
          <w:i/>
          <w:lang w:val="fr-FR"/>
        </w:rPr>
        <w:t>omission de se conformer à une condition d’un engagement</w:t>
      </w:r>
      <w:r w:rsidR="008C04D8">
        <w:rPr>
          <w:i/>
          <w:lang w:val="fr-CA"/>
        </w:rPr>
        <w:t xml:space="preserve"> </w:t>
      </w:r>
      <w:r w:rsidR="00AE4569">
        <w:rPr>
          <w:i/>
          <w:lang w:val="fr-CA"/>
        </w:rPr>
        <w:t xml:space="preserve">— Arme à feu trouvée par les policiers dans un sac </w:t>
      </w:r>
      <w:r w:rsidR="00603002">
        <w:rPr>
          <w:i/>
          <w:lang w:val="fr-CA"/>
        </w:rPr>
        <w:t>appartenant à</w:t>
      </w:r>
      <w:r w:rsidR="00AE4569">
        <w:rPr>
          <w:i/>
          <w:lang w:val="fr-CA"/>
        </w:rPr>
        <w:t xml:space="preserve"> l’accusé à l’arrière d’une voiture dans laquelle prennent aussi place deux autres individus — Conclusion de la juge du procès portant que le témoignage de l’accusé</w:t>
      </w:r>
      <w:r w:rsidR="00603002">
        <w:rPr>
          <w:i/>
          <w:lang w:val="fr-CA"/>
        </w:rPr>
        <w:t>, selon lequel il ne savait pas que l’arme se trouvait dans son sac,</w:t>
      </w:r>
      <w:r w:rsidR="00AE4569">
        <w:rPr>
          <w:i/>
          <w:lang w:val="fr-CA"/>
        </w:rPr>
        <w:t xml:space="preserve"> n’est pas crédible </w:t>
      </w:r>
      <w:r w:rsidR="00603002">
        <w:rPr>
          <w:i/>
          <w:lang w:val="fr-CA"/>
        </w:rPr>
        <w:t xml:space="preserve">— Accusé déclaré coupable — Appel formé par l’accusé au motif que </w:t>
      </w:r>
      <w:r w:rsidR="005A2489">
        <w:rPr>
          <w:i/>
          <w:lang w:val="fr-CA"/>
        </w:rPr>
        <w:t>le verdict est déraisonnable</w:t>
      </w:r>
      <w:r w:rsidR="00603002">
        <w:rPr>
          <w:i/>
          <w:lang w:val="fr-CA"/>
        </w:rPr>
        <w:t xml:space="preserve"> — Appel rejeté par les juges majoritaires de la Cour d’appel — Déclarations de culpabilité confirmées.</w:t>
      </w:r>
    </w:p>
    <w:p w:rsidR="004D7D95" w:rsidRPr="004D7D95" w:rsidRDefault="004D7D95" w:rsidP="00F571C5">
      <w:pPr>
        <w:pStyle w:val="SCCNormalDoubleSpacing"/>
        <w:widowControl w:val="0"/>
        <w:spacing w:after="720" w:line="240" w:lineRule="auto"/>
        <w:rPr>
          <w:b/>
          <w:lang w:val="fr-CA"/>
        </w:rPr>
      </w:pPr>
      <w:r w:rsidRPr="004D7D95">
        <w:rPr>
          <w:b/>
          <w:lang w:val="fr-CA"/>
        </w:rPr>
        <w:lastRenderedPageBreak/>
        <w:t>Jurisprudence</w:t>
      </w:r>
    </w:p>
    <w:p w:rsidR="004D7D95" w:rsidRPr="004D7D95" w:rsidRDefault="004D7D95" w:rsidP="00F571C5">
      <w:pPr>
        <w:pStyle w:val="SCCNormalDoubleSpacing"/>
        <w:widowControl w:val="0"/>
        <w:spacing w:after="480"/>
        <w:rPr>
          <w:b/>
          <w:lang w:val="fr-CA"/>
        </w:rPr>
      </w:pPr>
      <w:r w:rsidRPr="004D7D95">
        <w:rPr>
          <w:lang w:val="fr-CA"/>
        </w:rPr>
        <w:tab/>
      </w:r>
      <w:r w:rsidRPr="004D7D95">
        <w:rPr>
          <w:b/>
          <w:lang w:val="fr-CA"/>
        </w:rPr>
        <w:t>Arrêts mentionnés :</w:t>
      </w:r>
      <w:r w:rsidRPr="004D7D95">
        <w:rPr>
          <w:lang w:val="fr-CA"/>
        </w:rPr>
        <w:t xml:space="preserve"> </w:t>
      </w:r>
      <w:r w:rsidR="00337B18" w:rsidRPr="00337B18">
        <w:rPr>
          <w:i/>
          <w:iCs/>
          <w:color w:val="000000"/>
          <w:lang w:val="fr-CA"/>
        </w:rPr>
        <w:t>R. c. Villaroman</w:t>
      </w:r>
      <w:r w:rsidR="00337B18" w:rsidRPr="00337B18">
        <w:rPr>
          <w:color w:val="000000"/>
          <w:lang w:val="fr-CA"/>
        </w:rPr>
        <w:t>, 2016 CSC 33, [2016] 1 R.C.S. 1000</w:t>
      </w:r>
      <w:r w:rsidR="00337B18">
        <w:rPr>
          <w:color w:val="000000"/>
          <w:lang w:val="fr-CA"/>
        </w:rPr>
        <w:t xml:space="preserve">; </w:t>
      </w:r>
      <w:r w:rsidR="00337B18" w:rsidRPr="00337B18">
        <w:rPr>
          <w:i/>
          <w:iCs/>
          <w:color w:val="000000"/>
          <w:lang w:val="fr-CA"/>
        </w:rPr>
        <w:t>R. c. W.(D.)</w:t>
      </w:r>
      <w:r w:rsidR="00337B18" w:rsidRPr="00337B18">
        <w:rPr>
          <w:color w:val="000000"/>
          <w:lang w:val="fr-CA"/>
        </w:rPr>
        <w:t>, [1991] 1 R.C.S. 742</w:t>
      </w:r>
      <w:r w:rsidR="00337B18">
        <w:rPr>
          <w:color w:val="000000"/>
          <w:lang w:val="fr-CA"/>
        </w:rPr>
        <w:t>.</w:t>
      </w:r>
    </w:p>
    <w:p w:rsidR="004D7D95" w:rsidRPr="00373326" w:rsidRDefault="004D7D95" w:rsidP="00F571C5">
      <w:pPr>
        <w:pStyle w:val="SCCNormalDoubleSpacing"/>
        <w:spacing w:after="480"/>
        <w:rPr>
          <w:lang w:val="fr-CA"/>
        </w:rPr>
      </w:pPr>
      <w:r w:rsidRPr="004D7D95">
        <w:rPr>
          <w:lang w:val="fr-CA"/>
        </w:rPr>
        <w:tab/>
        <w:t xml:space="preserve">POURVOI contre un arrêt de la </w:t>
      </w:r>
      <w:r w:rsidRPr="00BC3307">
        <w:rPr>
          <w:lang w:val="fr-CA"/>
        </w:rPr>
        <w:t>Cour d</w:t>
      </w:r>
      <w:r w:rsidR="00BC3307">
        <w:rPr>
          <w:lang w:val="fr-CA"/>
        </w:rPr>
        <w:t xml:space="preserve">’appel du Québec (les juges </w:t>
      </w:r>
      <w:r w:rsidR="003D7586" w:rsidRPr="003D7586">
        <w:rPr>
          <w:lang w:val="fr-CA"/>
        </w:rPr>
        <w:t>Pelletier</w:t>
      </w:r>
      <w:r w:rsidR="003D7586">
        <w:rPr>
          <w:lang w:val="fr-CA"/>
        </w:rPr>
        <w:t xml:space="preserve">, </w:t>
      </w:r>
      <w:r w:rsidR="003D7586" w:rsidRPr="003D7586">
        <w:rPr>
          <w:lang w:val="fr-CA"/>
        </w:rPr>
        <w:t>Schrager</w:t>
      </w:r>
      <w:r w:rsidR="003D7586">
        <w:rPr>
          <w:lang w:val="fr-CA"/>
        </w:rPr>
        <w:t xml:space="preserve"> et </w:t>
      </w:r>
      <w:r w:rsidR="003D7586" w:rsidRPr="003D7586">
        <w:rPr>
          <w:lang w:val="fr-CA"/>
        </w:rPr>
        <w:t>Moore</w:t>
      </w:r>
      <w:r w:rsidRPr="00BC3307">
        <w:rPr>
          <w:lang w:val="fr-CA"/>
        </w:rPr>
        <w:t>)</w:t>
      </w:r>
      <w:r w:rsidR="003D7586">
        <w:rPr>
          <w:lang w:val="fr-CA"/>
        </w:rPr>
        <w:t xml:space="preserve">, </w:t>
      </w:r>
      <w:hyperlink r:id="rId10" w:history="1">
        <w:r w:rsidR="003D7586" w:rsidRPr="002428A7">
          <w:rPr>
            <w:rStyle w:val="Hyperlink"/>
            <w:lang w:val="fr-CA"/>
          </w:rPr>
          <w:t>2022 QCCA 138</w:t>
        </w:r>
      </w:hyperlink>
      <w:r w:rsidR="003D7586">
        <w:rPr>
          <w:lang w:val="fr-CA"/>
        </w:rPr>
        <w:t xml:space="preserve">, </w:t>
      </w:r>
      <w:r w:rsidR="00F571C5">
        <w:rPr>
          <w:lang w:val="fr-CA"/>
        </w:rPr>
        <w:t>[2022] AZ</w:t>
      </w:r>
      <w:r w:rsidR="00F571C5">
        <w:rPr>
          <w:lang w:val="fr-CA"/>
        </w:rPr>
        <w:noBreakHyphen/>
      </w:r>
      <w:r w:rsidR="00373326" w:rsidRPr="00373326">
        <w:rPr>
          <w:lang w:val="fr-CA"/>
        </w:rPr>
        <w:t xml:space="preserve">51826418, </w:t>
      </w:r>
      <w:r w:rsidR="00DF1688">
        <w:rPr>
          <w:lang w:val="fr-CA"/>
        </w:rPr>
        <w:t xml:space="preserve">480 D.L.R. (4th) 623, 424 C.C.C. (3d) 272, </w:t>
      </w:r>
      <w:r w:rsidR="00373326" w:rsidRPr="00373326">
        <w:rPr>
          <w:lang w:val="fr-CA"/>
        </w:rPr>
        <w:t>[2022] J.Q. n</w:t>
      </w:r>
      <w:r w:rsidR="00373326" w:rsidRPr="00373326">
        <w:rPr>
          <w:vertAlign w:val="superscript"/>
          <w:lang w:val="fr-CA"/>
        </w:rPr>
        <w:t>o</w:t>
      </w:r>
      <w:r w:rsidR="00373326" w:rsidRPr="00373326">
        <w:rPr>
          <w:lang w:val="fr-CA"/>
        </w:rPr>
        <w:t> 413 (QL), 2022 CarswellQue 641 (WL)</w:t>
      </w:r>
      <w:r w:rsidR="002428A7">
        <w:rPr>
          <w:lang w:val="fr-CA"/>
        </w:rPr>
        <w:t xml:space="preserve">, </w:t>
      </w:r>
      <w:r w:rsidR="00373865" w:rsidRPr="00626898">
        <w:rPr>
          <w:lang w:val="fr-FR"/>
        </w:rPr>
        <w:t xml:space="preserve">qui a confirmé les déclarations de culpabilité pour </w:t>
      </w:r>
      <w:r w:rsidR="00373865" w:rsidRPr="00626898">
        <w:rPr>
          <w:color w:val="000000"/>
          <w:lang w:val="fr-CA"/>
        </w:rPr>
        <w:t>possession d’une arme à feu</w:t>
      </w:r>
      <w:r w:rsidR="00373865" w:rsidRPr="00626898">
        <w:rPr>
          <w:lang w:val="fr-FR"/>
        </w:rPr>
        <w:t xml:space="preserve"> </w:t>
      </w:r>
      <w:r w:rsidR="006859C2" w:rsidRPr="00626898">
        <w:rPr>
          <w:lang w:val="fr-FR"/>
        </w:rPr>
        <w:t xml:space="preserve">à autorisation restreinte chargée </w:t>
      </w:r>
      <w:r w:rsidR="00373865" w:rsidRPr="00626898">
        <w:rPr>
          <w:lang w:val="fr-FR"/>
        </w:rPr>
        <w:t xml:space="preserve">et </w:t>
      </w:r>
      <w:r w:rsidR="006859C2" w:rsidRPr="00626898">
        <w:rPr>
          <w:lang w:val="fr-FR"/>
        </w:rPr>
        <w:t xml:space="preserve">omission de se conformer à une condition d’un engagement </w:t>
      </w:r>
      <w:r w:rsidR="00373865" w:rsidRPr="00626898">
        <w:rPr>
          <w:lang w:val="fr-FR"/>
        </w:rPr>
        <w:t>prononcées contre l’accusé</w:t>
      </w:r>
      <w:r w:rsidR="00373865" w:rsidRPr="00796D65">
        <w:rPr>
          <w:lang w:val="fr-FR"/>
        </w:rPr>
        <w:t xml:space="preserve">. </w:t>
      </w:r>
      <w:r w:rsidR="00373865" w:rsidRPr="00373865">
        <w:rPr>
          <w:lang w:val="fr-CA"/>
        </w:rPr>
        <w:t xml:space="preserve">Pourvoi </w:t>
      </w:r>
      <w:r w:rsidR="00CA5C79">
        <w:rPr>
          <w:lang w:val="fr-CA"/>
        </w:rPr>
        <w:t>rejeté</w:t>
      </w:r>
      <w:r w:rsidR="00373865" w:rsidRPr="00373865">
        <w:rPr>
          <w:lang w:val="fr-CA"/>
        </w:rPr>
        <w:t>.</w:t>
      </w:r>
    </w:p>
    <w:p w:rsidR="00313CAB" w:rsidRPr="00BC3307" w:rsidRDefault="009A41A3" w:rsidP="00F571C5">
      <w:pPr>
        <w:pStyle w:val="SCCNormalDoubleSpacing"/>
        <w:spacing w:after="480"/>
        <w:rPr>
          <w:lang w:val="fr-CA"/>
        </w:rPr>
      </w:pPr>
      <w:r w:rsidRPr="00BC3307">
        <w:rPr>
          <w:rStyle w:val="SCCCounselNameChar"/>
          <w:lang w:val="fr-CA"/>
        </w:rPr>
        <w:tab/>
        <w:t>David Leclair</w:t>
      </w:r>
      <w:r w:rsidRPr="00BC3307">
        <w:rPr>
          <w:rStyle w:val="SCCCounselSeparatorChar"/>
          <w:lang w:val="fr-CA"/>
        </w:rPr>
        <w:t xml:space="preserve"> et </w:t>
      </w:r>
      <w:r w:rsidRPr="00BC3307">
        <w:rPr>
          <w:rStyle w:val="SCCCounselNameChar"/>
          <w:lang w:val="fr-CA"/>
        </w:rPr>
        <w:t>Mustapha Mahmoud</w:t>
      </w:r>
      <w:r w:rsidRPr="00BC3307">
        <w:rPr>
          <w:rStyle w:val="SCCCounselPartyRoleChar"/>
          <w:lang w:val="fr-CA"/>
        </w:rPr>
        <w:t>, pour l</w:t>
      </w:r>
      <w:r w:rsidR="00BC3307">
        <w:rPr>
          <w:rStyle w:val="SCCCounselPartyRoleChar"/>
          <w:lang w:val="fr-CA"/>
        </w:rPr>
        <w:t>’</w:t>
      </w:r>
      <w:r w:rsidR="00373865">
        <w:rPr>
          <w:rStyle w:val="SCCCounselPartyRoleChar"/>
          <w:lang w:val="fr-CA"/>
        </w:rPr>
        <w:t>appelant</w:t>
      </w:r>
      <w:r w:rsidRPr="00BC3307">
        <w:rPr>
          <w:rStyle w:val="SCCCounselPartyRoleChar"/>
          <w:lang w:val="fr-CA"/>
        </w:rPr>
        <w:t>.</w:t>
      </w:r>
    </w:p>
    <w:p w:rsidR="00313CAB" w:rsidRPr="00BC3307" w:rsidRDefault="009A41A3" w:rsidP="00F571C5">
      <w:pPr>
        <w:pStyle w:val="SCCNormalDoubleSpacing"/>
        <w:spacing w:after="480"/>
        <w:rPr>
          <w:lang w:val="fr-CA"/>
        </w:rPr>
      </w:pPr>
      <w:r w:rsidRPr="00BC3307">
        <w:rPr>
          <w:rStyle w:val="SCCCounselNameChar"/>
          <w:lang w:val="fr-CA"/>
        </w:rPr>
        <w:tab/>
      </w:r>
      <w:r w:rsidR="00F571C5">
        <w:rPr>
          <w:rStyle w:val="SCCCounselNameChar"/>
          <w:lang w:val="fr-CA"/>
        </w:rPr>
        <w:t>Jean</w:t>
      </w:r>
      <w:r w:rsidR="00F571C5">
        <w:rPr>
          <w:rStyle w:val="SCCCounselNameChar"/>
          <w:lang w:val="fr-CA"/>
        </w:rPr>
        <w:noBreakHyphen/>
      </w:r>
      <w:r w:rsidRPr="00BC3307">
        <w:rPr>
          <w:rStyle w:val="SCCCounselNameChar"/>
          <w:lang w:val="fr-CA"/>
        </w:rPr>
        <w:t xml:space="preserve">Philippe </w:t>
      </w:r>
      <w:r w:rsidR="00967C90" w:rsidRPr="009A41A3">
        <w:rPr>
          <w:i/>
          <w:lang w:val="fr-CA"/>
        </w:rPr>
        <w:t xml:space="preserve">MacKay </w:t>
      </w:r>
      <w:r w:rsidRPr="00BC3307">
        <w:rPr>
          <w:rStyle w:val="SCCCounselSeparatorChar"/>
          <w:lang w:val="fr-CA"/>
        </w:rPr>
        <w:t xml:space="preserve">et </w:t>
      </w:r>
      <w:r w:rsidRPr="00BC3307">
        <w:rPr>
          <w:rStyle w:val="SCCCounselNameChar"/>
          <w:lang w:val="fr-CA"/>
        </w:rPr>
        <w:t>Robert Benoit</w:t>
      </w:r>
      <w:r w:rsidRPr="00BC3307">
        <w:rPr>
          <w:rStyle w:val="SCCCounselPartyRoleChar"/>
          <w:lang w:val="fr-CA"/>
        </w:rPr>
        <w:t>, pour l</w:t>
      </w:r>
      <w:r w:rsidR="00BC3307">
        <w:rPr>
          <w:rStyle w:val="SCCCounselPartyRoleChar"/>
          <w:lang w:val="fr-CA"/>
        </w:rPr>
        <w:t>’</w:t>
      </w:r>
      <w:r w:rsidR="00373865">
        <w:rPr>
          <w:rStyle w:val="SCCCounselPartyRoleChar"/>
          <w:lang w:val="fr-CA"/>
        </w:rPr>
        <w:t>intimé</w:t>
      </w:r>
      <w:r w:rsidRPr="00BC3307">
        <w:rPr>
          <w:rStyle w:val="SCCCounselPartyRoleChar"/>
          <w:lang w:val="fr-CA"/>
        </w:rPr>
        <w:t>.</w:t>
      </w:r>
    </w:p>
    <w:p w:rsidR="00313CAB" w:rsidRPr="00BD0E39" w:rsidRDefault="009A41A3" w:rsidP="00F571C5">
      <w:pPr>
        <w:pStyle w:val="SCCLawFirm"/>
        <w:spacing w:after="480"/>
        <w:rPr>
          <w:i w:val="0"/>
          <w:lang w:val="fr-CA"/>
        </w:rPr>
      </w:pPr>
      <w:r w:rsidRPr="00BC3307">
        <w:rPr>
          <w:lang w:val="fr-CA"/>
        </w:rPr>
        <w:tab/>
      </w:r>
      <w:r w:rsidR="00BC3307" w:rsidRPr="00BD0E39">
        <w:rPr>
          <w:i w:val="0"/>
          <w:lang w:val="fr-CA"/>
        </w:rPr>
        <w:t>Le jugement de la Cour a été rendu oralement par</w:t>
      </w:r>
    </w:p>
    <w:p w:rsidR="00313CAB" w:rsidRDefault="00337B18" w:rsidP="00D4629A">
      <w:pPr>
        <w:pStyle w:val="ParaNoNdepar-AltN"/>
        <w:numPr>
          <w:ilvl w:val="0"/>
          <w:numId w:val="1"/>
        </w:numPr>
        <w:tabs>
          <w:tab w:val="left" w:pos="1166"/>
        </w:tabs>
        <w:spacing w:before="0"/>
        <w:rPr>
          <w:lang w:val="fr-CA"/>
        </w:rPr>
      </w:pPr>
      <w:r w:rsidRPr="00337B18">
        <w:rPr>
          <w:smallCaps/>
          <w:lang w:val="fr-CA"/>
        </w:rPr>
        <w:t>Le juge Kasirer</w:t>
      </w:r>
      <w:r w:rsidR="003B5DB3">
        <w:rPr>
          <w:smallCaps/>
          <w:lang w:val="fr-CA"/>
        </w:rPr>
        <w:t xml:space="preserve"> </w:t>
      </w:r>
      <w:r w:rsidR="003B5DB3">
        <w:rPr>
          <w:lang w:val="fr-CA"/>
        </w:rPr>
        <w:t xml:space="preserve">— </w:t>
      </w:r>
      <w:r w:rsidRPr="00337B18">
        <w:rPr>
          <w:color w:val="000000"/>
          <w:lang w:val="fr-CA"/>
        </w:rPr>
        <w:t>La Cour est d’avis de rejeter le pourvoi pour les motifs du juge Moore au nom de la majorité de la Cour d’appel.</w:t>
      </w:r>
    </w:p>
    <w:p w:rsidR="002325D0" w:rsidRDefault="00337B18" w:rsidP="00D4629A">
      <w:pPr>
        <w:pStyle w:val="ParaNoNdepar-AltN"/>
        <w:numPr>
          <w:ilvl w:val="0"/>
          <w:numId w:val="1"/>
        </w:numPr>
        <w:tabs>
          <w:tab w:val="left" w:pos="1166"/>
        </w:tabs>
        <w:spacing w:before="0"/>
        <w:rPr>
          <w:lang w:val="fr-CA"/>
        </w:rPr>
      </w:pPr>
      <w:r w:rsidRPr="00337B18">
        <w:rPr>
          <w:color w:val="000000"/>
          <w:lang w:val="fr-CA"/>
        </w:rPr>
        <w:t>Nous partageons l’avis de la majorité selon lequel il était raisonnable pour la juge de première instance de conclure que, considérée dans son ensemble, la preuve excluait toute autre conclusion que la culpabilité (voir</w:t>
      </w:r>
      <w:r w:rsidR="003B7DC0">
        <w:rPr>
          <w:color w:val="000000"/>
          <w:lang w:val="fr-CA"/>
        </w:rPr>
        <w:t xml:space="preserve"> </w:t>
      </w:r>
      <w:r w:rsidRPr="00337B18">
        <w:rPr>
          <w:i/>
          <w:iCs/>
          <w:color w:val="000000"/>
          <w:lang w:val="fr-CA"/>
        </w:rPr>
        <w:t>R. c. Villaroman</w:t>
      </w:r>
      <w:r w:rsidRPr="00337B18">
        <w:rPr>
          <w:color w:val="000000"/>
          <w:lang w:val="fr-CA"/>
        </w:rPr>
        <w:t>, 2016 CSC 33, [2016] 1 R.C.S. 1000, par.</w:t>
      </w:r>
      <w:r>
        <w:rPr>
          <w:color w:val="000000"/>
          <w:lang w:val="fr-CA"/>
        </w:rPr>
        <w:t> </w:t>
      </w:r>
      <w:r w:rsidRPr="00337B18">
        <w:rPr>
          <w:color w:val="000000"/>
          <w:lang w:val="fr-CA"/>
        </w:rPr>
        <w:t>71, cité par la majorité en l’espèce, au par.</w:t>
      </w:r>
      <w:r>
        <w:rPr>
          <w:color w:val="000000"/>
          <w:lang w:val="fr-CA"/>
        </w:rPr>
        <w:t> </w:t>
      </w:r>
      <w:r w:rsidRPr="00337B18">
        <w:rPr>
          <w:color w:val="000000"/>
          <w:lang w:val="fr-CA"/>
        </w:rPr>
        <w:t>41 de ses motifs).</w:t>
      </w:r>
    </w:p>
    <w:p w:rsidR="002325D0" w:rsidRDefault="00337B18" w:rsidP="00A324DD">
      <w:pPr>
        <w:pStyle w:val="ParaNoNdepar-AltN"/>
        <w:numPr>
          <w:ilvl w:val="0"/>
          <w:numId w:val="1"/>
        </w:numPr>
        <w:tabs>
          <w:tab w:val="left" w:pos="1166"/>
        </w:tabs>
        <w:spacing w:before="0"/>
        <w:rPr>
          <w:lang w:val="fr-CA"/>
        </w:rPr>
      </w:pPr>
      <w:r w:rsidRPr="00337B18">
        <w:rPr>
          <w:color w:val="000000"/>
          <w:lang w:val="fr-CA"/>
        </w:rPr>
        <w:t>Tous les moyens d’appel sont sans fondement.</w:t>
      </w:r>
    </w:p>
    <w:p w:rsidR="002325D0" w:rsidRDefault="00337B18" w:rsidP="0052569A">
      <w:pPr>
        <w:pStyle w:val="ParaNoNdepar-AltN"/>
        <w:numPr>
          <w:ilvl w:val="0"/>
          <w:numId w:val="1"/>
        </w:numPr>
        <w:tabs>
          <w:tab w:val="left" w:pos="1166"/>
        </w:tabs>
        <w:spacing w:before="0"/>
        <w:rPr>
          <w:lang w:val="fr-CA"/>
        </w:rPr>
      </w:pPr>
      <w:r w:rsidRPr="00337B18">
        <w:rPr>
          <w:color w:val="000000"/>
          <w:lang w:val="fr-CA"/>
        </w:rPr>
        <w:t>Premièrement, la juge de première instance n’a pas commis d’erreur dans son application du test énoncé dans l’arrêt</w:t>
      </w:r>
      <w:r w:rsidR="003B7DC0">
        <w:rPr>
          <w:color w:val="000000"/>
          <w:lang w:val="fr-CA"/>
        </w:rPr>
        <w:t xml:space="preserve"> </w:t>
      </w:r>
      <w:r w:rsidRPr="00337B18">
        <w:rPr>
          <w:i/>
          <w:iCs/>
          <w:color w:val="000000"/>
          <w:lang w:val="fr-CA"/>
        </w:rPr>
        <w:t>R. c. W.(D.)</w:t>
      </w:r>
      <w:r>
        <w:rPr>
          <w:color w:val="000000"/>
          <w:lang w:val="fr-CA"/>
        </w:rPr>
        <w:t>, [1991] 1 R.C.S. 742, p. </w:t>
      </w:r>
      <w:r w:rsidRPr="00337B18">
        <w:rPr>
          <w:color w:val="000000"/>
          <w:lang w:val="fr-CA"/>
        </w:rPr>
        <w:t>758</w:t>
      </w:r>
      <w:r w:rsidRPr="00337B18">
        <w:rPr>
          <w:i/>
          <w:iCs/>
          <w:color w:val="000000"/>
          <w:lang w:val="fr-CA"/>
        </w:rPr>
        <w:t>.</w:t>
      </w:r>
      <w:r>
        <w:rPr>
          <w:i/>
          <w:iCs/>
          <w:color w:val="000000"/>
          <w:lang w:val="fr-CA"/>
        </w:rPr>
        <w:t xml:space="preserve"> </w:t>
      </w:r>
      <w:r w:rsidRPr="00337B18">
        <w:rPr>
          <w:color w:val="000000"/>
          <w:lang w:val="fr-CA"/>
        </w:rPr>
        <w:t>La juge rejette entièrement la preuve présentée en défense, tout en concluant que cette preuve ne soulève aucun doute raisonnable. Estimant être en présence d’une preuve circonstancielle forte ayant trait à la possession, la juge se retrouvait devant une absence de preuve susceptible de contrer l’inférence de culpabilité qui découlait raisonnablement de la preuve à charge. Rien dans ses motifs ne laisse croire que la juge utilise le rejet de la preuve en défense à titre de preuve positive de culpabilité. Les juges majoritaires en app</w:t>
      </w:r>
      <w:r>
        <w:rPr>
          <w:color w:val="000000"/>
          <w:lang w:val="fr-CA"/>
        </w:rPr>
        <w:t>el font le même constat au par. </w:t>
      </w:r>
      <w:r w:rsidRPr="00337B18">
        <w:rPr>
          <w:color w:val="000000"/>
          <w:lang w:val="fr-CA"/>
        </w:rPr>
        <w:t>36 de leurs motifs lorsqu’ils concluent que « le rejet par la juge du témoignage de l’appelant, en raison de ses contradictions, devient déterminant et fatal pour le sort de sa défense ».</w:t>
      </w:r>
    </w:p>
    <w:p w:rsidR="002325D0" w:rsidRDefault="00337B18" w:rsidP="001B42CE">
      <w:pPr>
        <w:pStyle w:val="ParaNoNdepar-AltN"/>
        <w:numPr>
          <w:ilvl w:val="0"/>
          <w:numId w:val="1"/>
        </w:numPr>
        <w:tabs>
          <w:tab w:val="left" w:pos="1166"/>
        </w:tabs>
        <w:spacing w:before="0"/>
        <w:rPr>
          <w:lang w:val="fr-CA"/>
        </w:rPr>
      </w:pPr>
      <w:r w:rsidRPr="00337B18">
        <w:rPr>
          <w:color w:val="000000"/>
          <w:lang w:val="fr-CA"/>
        </w:rPr>
        <w:t>Deuxièmement, la majorité de la Cour d’appel ne s’est pas méprise dans son application de l’arrêt</w:t>
      </w:r>
      <w:r w:rsidR="003B7DC0">
        <w:rPr>
          <w:color w:val="000000"/>
          <w:lang w:val="fr-CA"/>
        </w:rPr>
        <w:t xml:space="preserve"> </w:t>
      </w:r>
      <w:r w:rsidRPr="00337B18">
        <w:rPr>
          <w:i/>
          <w:iCs/>
          <w:color w:val="000000"/>
          <w:lang w:val="fr-CA"/>
        </w:rPr>
        <w:t>Villaroman</w:t>
      </w:r>
      <w:r w:rsidRPr="00337B18">
        <w:rPr>
          <w:color w:val="000000"/>
          <w:lang w:val="fr-CA"/>
        </w:rPr>
        <w:t>. Le critère de la « seule inférence raisonnable » ne signifie pas, bien entendu, que la culpabilité devait être la seule inférence possible ou imaginable.</w:t>
      </w:r>
    </w:p>
    <w:p w:rsidR="002325D0" w:rsidRDefault="00337B18" w:rsidP="004902F5">
      <w:pPr>
        <w:pStyle w:val="ParaNoNdepar-AltN"/>
        <w:numPr>
          <w:ilvl w:val="0"/>
          <w:numId w:val="1"/>
        </w:numPr>
        <w:tabs>
          <w:tab w:val="left" w:pos="1166"/>
        </w:tabs>
        <w:spacing w:before="0"/>
        <w:rPr>
          <w:lang w:val="fr-CA"/>
        </w:rPr>
      </w:pPr>
      <w:r w:rsidRPr="00337B18">
        <w:rPr>
          <w:color w:val="000000"/>
          <w:lang w:val="fr-CA"/>
        </w:rPr>
        <w:t xml:space="preserve">Le juge dissident en appel insiste sur le fait qu’il était « raisonnable et non conjectural </w:t>
      </w:r>
      <w:r w:rsidR="004902F5">
        <w:rPr>
          <w:color w:val="000000"/>
          <w:lang w:val="fr-CA"/>
        </w:rPr>
        <w:t>d’inférer la possibilité que M. </w:t>
      </w:r>
      <w:r w:rsidRPr="00337B18">
        <w:rPr>
          <w:color w:val="000000"/>
          <w:lang w:val="fr-CA"/>
        </w:rPr>
        <w:t>Daniel ait placé l’arme dans le sac » (par.</w:t>
      </w:r>
      <w:r>
        <w:rPr>
          <w:color w:val="000000"/>
          <w:lang w:val="fr-CA"/>
        </w:rPr>
        <w:t> </w:t>
      </w:r>
      <w:r w:rsidRPr="00337B18">
        <w:rPr>
          <w:color w:val="000000"/>
          <w:lang w:val="fr-CA"/>
        </w:rPr>
        <w:t>28 (note en bas de page omise)). Cette hypothèse est en effet plaus</w:t>
      </w:r>
      <w:r>
        <w:rPr>
          <w:color w:val="000000"/>
          <w:lang w:val="fr-CA"/>
        </w:rPr>
        <w:t>ible compte tenu du fait que M. </w:t>
      </w:r>
      <w:r w:rsidRPr="00337B18">
        <w:rPr>
          <w:color w:val="000000"/>
          <w:lang w:val="fr-CA"/>
        </w:rPr>
        <w:t>Daniel était assis à côté du sac et que son ADN a été retrouvé sur l’arme. Or, comme le souligne la majorité de la Cour d’appel, le fait que ce soit ou non l’appelant qui ait placé l’arme dans le sac « importe peu » (par.</w:t>
      </w:r>
      <w:r>
        <w:rPr>
          <w:color w:val="000000"/>
          <w:lang w:val="fr-CA"/>
        </w:rPr>
        <w:t> </w:t>
      </w:r>
      <w:r w:rsidRPr="00337B18">
        <w:rPr>
          <w:color w:val="000000"/>
          <w:lang w:val="fr-CA"/>
        </w:rPr>
        <w:t>38). Dans la mesure où la poursuite a établi que l’arme n’y avait pas été placée à l’insu de l’appelant ou contre son gré, tous les éléments de la possession étaient réunis. Ainsi, la juge de première instance pouvait conclure que la seule inférence raisonnable était que l’arme a été dissimulée dans le sac au vu et au su de l’appelant.</w:t>
      </w:r>
    </w:p>
    <w:p w:rsidR="002325D0" w:rsidRDefault="00337B18" w:rsidP="004902F5">
      <w:pPr>
        <w:pStyle w:val="ParaNoNdepar-AltN"/>
        <w:numPr>
          <w:ilvl w:val="0"/>
          <w:numId w:val="1"/>
        </w:numPr>
        <w:tabs>
          <w:tab w:val="left" w:pos="1166"/>
        </w:tabs>
        <w:spacing w:before="0"/>
        <w:rPr>
          <w:lang w:val="fr-CA"/>
        </w:rPr>
      </w:pPr>
      <w:r w:rsidRPr="00337B18">
        <w:rPr>
          <w:color w:val="000000"/>
          <w:lang w:val="fr-CA"/>
        </w:rPr>
        <w:t>Troisièmement, la juge de première instance n’a pas erré en se référant à la réaction calme de l’appelant au moment de son arrestation pour possession d’arme à feu. En effet, comme le soulignent les juges majoritair</w:t>
      </w:r>
      <w:r>
        <w:rPr>
          <w:color w:val="000000"/>
          <w:lang w:val="fr-CA"/>
        </w:rPr>
        <w:t xml:space="preserve">es, la juge n’a pas utilisé cet </w:t>
      </w:r>
      <w:r w:rsidRPr="00337B18">
        <w:rPr>
          <w:color w:val="000000"/>
          <w:lang w:val="fr-CA"/>
        </w:rPr>
        <w:t>élément afin d’évaluer la crédibilité de l’appelant lors de son témoignage, mais bien pour apprécier, à titre d’élément de preuve circonstancielle, la connaissance par l’appelant de la présence de l’arme dans son sac (motifs de la majorité, par.</w:t>
      </w:r>
      <w:r>
        <w:rPr>
          <w:color w:val="000000"/>
          <w:lang w:val="fr-CA"/>
        </w:rPr>
        <w:t> </w:t>
      </w:r>
      <w:r w:rsidRPr="00337B18">
        <w:rPr>
          <w:color w:val="000000"/>
          <w:lang w:val="fr-CA"/>
        </w:rPr>
        <w:t>37).</w:t>
      </w:r>
    </w:p>
    <w:p w:rsidR="002325D0" w:rsidRPr="003B5DB3" w:rsidRDefault="00337B18" w:rsidP="003D4A16">
      <w:pPr>
        <w:pStyle w:val="ParaNoNdepar-AltN"/>
        <w:numPr>
          <w:ilvl w:val="0"/>
          <w:numId w:val="1"/>
        </w:numPr>
        <w:tabs>
          <w:tab w:val="left" w:pos="1166"/>
        </w:tabs>
        <w:spacing w:before="0"/>
        <w:rPr>
          <w:lang w:val="fr-CA"/>
        </w:rPr>
      </w:pPr>
      <w:r w:rsidRPr="00337B18">
        <w:rPr>
          <w:color w:val="000000"/>
          <w:lang w:val="fr-CA"/>
        </w:rPr>
        <w:t>Pour ces motifs, l’appel est rejeté.</w:t>
      </w:r>
    </w:p>
    <w:p w:rsidR="004D7D95" w:rsidRPr="00BC3307" w:rsidRDefault="004D7D95" w:rsidP="003D4A16">
      <w:pPr>
        <w:pStyle w:val="SCCNormalDoubleSpacing"/>
        <w:spacing w:after="480"/>
        <w:rPr>
          <w:lang w:val="fr-CA"/>
        </w:rPr>
      </w:pPr>
      <w:r w:rsidRPr="00BC3307">
        <w:rPr>
          <w:lang w:val="fr-CA"/>
        </w:rPr>
        <w:tab/>
      </w:r>
      <w:r w:rsidR="00BC3307" w:rsidRPr="00796D65">
        <w:rPr>
          <w:i/>
          <w:lang w:val="fr-CA"/>
        </w:rPr>
        <w:t>Jugement en conséquence.</w:t>
      </w:r>
    </w:p>
    <w:p w:rsidR="00313CAB" w:rsidRPr="00BC3307" w:rsidRDefault="00BC3307" w:rsidP="003D4A16">
      <w:pPr>
        <w:pStyle w:val="SCCLawFirm"/>
        <w:spacing w:after="480"/>
        <w:rPr>
          <w:lang w:val="fr-CA"/>
        </w:rPr>
      </w:pPr>
      <w:r>
        <w:rPr>
          <w:lang w:val="fr-CA"/>
        </w:rPr>
        <w:tab/>
        <w:t>Procureurs</w:t>
      </w:r>
      <w:r w:rsidR="009A41A3" w:rsidRPr="00BC3307">
        <w:rPr>
          <w:lang w:val="fr-CA"/>
        </w:rPr>
        <w:t xml:space="preserve"> de l</w:t>
      </w:r>
      <w:r>
        <w:rPr>
          <w:lang w:val="fr-CA"/>
        </w:rPr>
        <w:t>’</w:t>
      </w:r>
      <w:r w:rsidR="009A41A3" w:rsidRPr="00BC3307">
        <w:rPr>
          <w:lang w:val="fr-CA"/>
        </w:rPr>
        <w:t>appelant</w:t>
      </w:r>
      <w:r>
        <w:rPr>
          <w:lang w:val="fr-CA"/>
        </w:rPr>
        <w:t> </w:t>
      </w:r>
      <w:r w:rsidR="009A41A3" w:rsidRPr="00BC3307">
        <w:rPr>
          <w:lang w:val="fr-CA"/>
        </w:rPr>
        <w:t>: David Leclair</w:t>
      </w:r>
      <w:r>
        <w:rPr>
          <w:lang w:val="fr-CA"/>
        </w:rPr>
        <w:t>, avocat</w:t>
      </w:r>
      <w:r w:rsidR="009A41A3" w:rsidRPr="00BC3307">
        <w:rPr>
          <w:lang w:val="fr-CA"/>
        </w:rPr>
        <w:t>, Montréal</w:t>
      </w:r>
      <w:r>
        <w:rPr>
          <w:lang w:val="fr-CA"/>
        </w:rPr>
        <w:t xml:space="preserve">; </w:t>
      </w:r>
      <w:r w:rsidRPr="00BC3307">
        <w:rPr>
          <w:lang w:val="fr-CA"/>
        </w:rPr>
        <w:t>LEMN Avocats</w:t>
      </w:r>
      <w:r>
        <w:rPr>
          <w:lang w:val="fr-CA"/>
        </w:rPr>
        <w:t>, Montréal</w:t>
      </w:r>
      <w:r w:rsidR="009A41A3" w:rsidRPr="00BC3307">
        <w:rPr>
          <w:lang w:val="fr-CA"/>
        </w:rPr>
        <w:t>.</w:t>
      </w:r>
    </w:p>
    <w:p w:rsidR="00313CAB" w:rsidRPr="00BC3307" w:rsidRDefault="00BC3307" w:rsidP="003D4A16">
      <w:pPr>
        <w:pStyle w:val="SCCLawFirm"/>
        <w:spacing w:after="480"/>
        <w:rPr>
          <w:lang w:val="fr-CA"/>
        </w:rPr>
      </w:pPr>
      <w:r>
        <w:rPr>
          <w:lang w:val="fr-CA"/>
        </w:rPr>
        <w:tab/>
        <w:t>Procureur</w:t>
      </w:r>
      <w:r w:rsidR="009A41A3" w:rsidRPr="00BC3307">
        <w:rPr>
          <w:lang w:val="fr-CA"/>
        </w:rPr>
        <w:t xml:space="preserve"> de l</w:t>
      </w:r>
      <w:r>
        <w:rPr>
          <w:lang w:val="fr-CA"/>
        </w:rPr>
        <w:t>’</w:t>
      </w:r>
      <w:r w:rsidR="009A41A3" w:rsidRPr="00BC3307">
        <w:rPr>
          <w:lang w:val="fr-CA"/>
        </w:rPr>
        <w:t>intimé</w:t>
      </w:r>
      <w:r>
        <w:rPr>
          <w:lang w:val="fr-CA"/>
        </w:rPr>
        <w:t> </w:t>
      </w:r>
      <w:r w:rsidR="009A41A3" w:rsidRPr="00BC3307">
        <w:rPr>
          <w:lang w:val="fr-CA"/>
        </w:rPr>
        <w:t xml:space="preserve">: </w:t>
      </w:r>
      <w:r>
        <w:rPr>
          <w:lang w:val="fr-CA"/>
        </w:rPr>
        <w:t>Directeur</w:t>
      </w:r>
      <w:r w:rsidR="009A41A3" w:rsidRPr="00BC3307">
        <w:rPr>
          <w:lang w:val="fr-CA"/>
        </w:rPr>
        <w:t xml:space="preserve"> </w:t>
      </w:r>
      <w:r>
        <w:rPr>
          <w:lang w:val="fr-CA"/>
        </w:rPr>
        <w:t>des</w:t>
      </w:r>
      <w:r w:rsidR="009A41A3" w:rsidRPr="00BC3307">
        <w:rPr>
          <w:lang w:val="fr-CA"/>
        </w:rPr>
        <w:t xml:space="preserve"> poursuites criminelles et pénales, Montréal.</w:t>
      </w:r>
    </w:p>
    <w:sectPr w:rsidR="00313CAB" w:rsidRPr="00BC3307" w:rsidSect="000648CC">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269A" w:rsidRDefault="002A269A">
      <w:r>
        <w:separator/>
      </w:r>
    </w:p>
  </w:endnote>
  <w:endnote w:type="continuationSeparator" w:id="0">
    <w:p w:rsidR="002A269A" w:rsidRDefault="002A2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269A" w:rsidRDefault="002A269A">
      <w:r>
        <w:separator/>
      </w:r>
    </w:p>
  </w:footnote>
  <w:footnote w:type="continuationSeparator" w:id="0">
    <w:p w:rsidR="002A269A" w:rsidRDefault="002A26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F267E7"/>
    <w:multiLevelType w:val="hybridMultilevel"/>
    <w:tmpl w:val="24D6A4EA"/>
    <w:lvl w:ilvl="0" w:tplc="E78A321E">
      <w:start w:val="1"/>
      <w:numFmt w:val="decimal"/>
      <w:lvlText w:val="[%1]"/>
      <w:lvlJc w:val="left"/>
      <w:pPr>
        <w:tabs>
          <w:tab w:val="num" w:pos="1166"/>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23FC7"/>
    <w:rsid w:val="00025198"/>
    <w:rsid w:val="000578A3"/>
    <w:rsid w:val="000648CC"/>
    <w:rsid w:val="000C59B8"/>
    <w:rsid w:val="000C6AF0"/>
    <w:rsid w:val="000D0A77"/>
    <w:rsid w:val="000F7993"/>
    <w:rsid w:val="00104F33"/>
    <w:rsid w:val="00111DE2"/>
    <w:rsid w:val="00116B38"/>
    <w:rsid w:val="00135406"/>
    <w:rsid w:val="00135972"/>
    <w:rsid w:val="001426A9"/>
    <w:rsid w:val="00154D7C"/>
    <w:rsid w:val="001570B0"/>
    <w:rsid w:val="0015752C"/>
    <w:rsid w:val="00157737"/>
    <w:rsid w:val="00165277"/>
    <w:rsid w:val="00170592"/>
    <w:rsid w:val="001720F7"/>
    <w:rsid w:val="00195D83"/>
    <w:rsid w:val="001A00C1"/>
    <w:rsid w:val="001B33E0"/>
    <w:rsid w:val="001B42CE"/>
    <w:rsid w:val="001B4573"/>
    <w:rsid w:val="001C2CCC"/>
    <w:rsid w:val="001C779F"/>
    <w:rsid w:val="001D2AC1"/>
    <w:rsid w:val="001D4E88"/>
    <w:rsid w:val="00220FC2"/>
    <w:rsid w:val="002222F4"/>
    <w:rsid w:val="00224FC0"/>
    <w:rsid w:val="00225EA4"/>
    <w:rsid w:val="00226EAF"/>
    <w:rsid w:val="00231F3A"/>
    <w:rsid w:val="002325D0"/>
    <w:rsid w:val="002406EE"/>
    <w:rsid w:val="002428A7"/>
    <w:rsid w:val="00243EC8"/>
    <w:rsid w:val="00270D93"/>
    <w:rsid w:val="002745CC"/>
    <w:rsid w:val="002A269A"/>
    <w:rsid w:val="002B6FBE"/>
    <w:rsid w:val="002B7924"/>
    <w:rsid w:val="002C10A6"/>
    <w:rsid w:val="002D28C3"/>
    <w:rsid w:val="002D39A4"/>
    <w:rsid w:val="002E6705"/>
    <w:rsid w:val="0030329A"/>
    <w:rsid w:val="0031086F"/>
    <w:rsid w:val="00313CAB"/>
    <w:rsid w:val="0031414C"/>
    <w:rsid w:val="00314E01"/>
    <w:rsid w:val="0032089D"/>
    <w:rsid w:val="003310DE"/>
    <w:rsid w:val="003323B0"/>
    <w:rsid w:val="00337B18"/>
    <w:rsid w:val="00340A49"/>
    <w:rsid w:val="00350098"/>
    <w:rsid w:val="0035169A"/>
    <w:rsid w:val="0035259D"/>
    <w:rsid w:val="00353E1F"/>
    <w:rsid w:val="00364B18"/>
    <w:rsid w:val="00373326"/>
    <w:rsid w:val="00373865"/>
    <w:rsid w:val="003A125D"/>
    <w:rsid w:val="003A4C70"/>
    <w:rsid w:val="003B215F"/>
    <w:rsid w:val="003B5DB3"/>
    <w:rsid w:val="003B7DC0"/>
    <w:rsid w:val="003C799C"/>
    <w:rsid w:val="003D0399"/>
    <w:rsid w:val="003D4A16"/>
    <w:rsid w:val="003D7586"/>
    <w:rsid w:val="003E1C71"/>
    <w:rsid w:val="003F327B"/>
    <w:rsid w:val="00406166"/>
    <w:rsid w:val="0040704B"/>
    <w:rsid w:val="00410A55"/>
    <w:rsid w:val="00411300"/>
    <w:rsid w:val="00413F17"/>
    <w:rsid w:val="00415417"/>
    <w:rsid w:val="00426659"/>
    <w:rsid w:val="00450352"/>
    <w:rsid w:val="00454BDB"/>
    <w:rsid w:val="00465132"/>
    <w:rsid w:val="00480C90"/>
    <w:rsid w:val="0048396F"/>
    <w:rsid w:val="004902F5"/>
    <w:rsid w:val="00493C18"/>
    <w:rsid w:val="004A600C"/>
    <w:rsid w:val="004A6118"/>
    <w:rsid w:val="004C478D"/>
    <w:rsid w:val="004D7D95"/>
    <w:rsid w:val="004E2C26"/>
    <w:rsid w:val="005125A8"/>
    <w:rsid w:val="00517549"/>
    <w:rsid w:val="00520ABC"/>
    <w:rsid w:val="00521AE8"/>
    <w:rsid w:val="0052569A"/>
    <w:rsid w:val="00527180"/>
    <w:rsid w:val="00555291"/>
    <w:rsid w:val="00566AD1"/>
    <w:rsid w:val="00583EDE"/>
    <w:rsid w:val="005A2489"/>
    <w:rsid w:val="005A6079"/>
    <w:rsid w:val="005E4698"/>
    <w:rsid w:val="005F5FA3"/>
    <w:rsid w:val="00603002"/>
    <w:rsid w:val="00603924"/>
    <w:rsid w:val="00610539"/>
    <w:rsid w:val="00613969"/>
    <w:rsid w:val="00625C35"/>
    <w:rsid w:val="00626898"/>
    <w:rsid w:val="00647E49"/>
    <w:rsid w:val="00656313"/>
    <w:rsid w:val="006565F4"/>
    <w:rsid w:val="00684EEA"/>
    <w:rsid w:val="006859C2"/>
    <w:rsid w:val="0069689B"/>
    <w:rsid w:val="006B5FF5"/>
    <w:rsid w:val="006F30AF"/>
    <w:rsid w:val="00701759"/>
    <w:rsid w:val="00705C15"/>
    <w:rsid w:val="007110F6"/>
    <w:rsid w:val="007208D1"/>
    <w:rsid w:val="00744518"/>
    <w:rsid w:val="00747288"/>
    <w:rsid w:val="00747DD3"/>
    <w:rsid w:val="007549C8"/>
    <w:rsid w:val="00766D14"/>
    <w:rsid w:val="00767A0F"/>
    <w:rsid w:val="00791272"/>
    <w:rsid w:val="007A05F6"/>
    <w:rsid w:val="007B6F4A"/>
    <w:rsid w:val="007E1C47"/>
    <w:rsid w:val="007E337A"/>
    <w:rsid w:val="007E5C70"/>
    <w:rsid w:val="007F2FF5"/>
    <w:rsid w:val="007F3F08"/>
    <w:rsid w:val="00804CC6"/>
    <w:rsid w:val="00817190"/>
    <w:rsid w:val="008260E2"/>
    <w:rsid w:val="008322BD"/>
    <w:rsid w:val="00834F73"/>
    <w:rsid w:val="00864C8A"/>
    <w:rsid w:val="00864CF8"/>
    <w:rsid w:val="00874914"/>
    <w:rsid w:val="00891422"/>
    <w:rsid w:val="00892E1A"/>
    <w:rsid w:val="008B660A"/>
    <w:rsid w:val="008C01DA"/>
    <w:rsid w:val="008C04D8"/>
    <w:rsid w:val="008E109C"/>
    <w:rsid w:val="008F2674"/>
    <w:rsid w:val="008F78E9"/>
    <w:rsid w:val="00911362"/>
    <w:rsid w:val="009179F9"/>
    <w:rsid w:val="00917C7A"/>
    <w:rsid w:val="00933E5E"/>
    <w:rsid w:val="00935218"/>
    <w:rsid w:val="00937C52"/>
    <w:rsid w:val="009403F3"/>
    <w:rsid w:val="009555B7"/>
    <w:rsid w:val="009567AA"/>
    <w:rsid w:val="009602C9"/>
    <w:rsid w:val="00967374"/>
    <w:rsid w:val="00967C90"/>
    <w:rsid w:val="009A343A"/>
    <w:rsid w:val="009A41A3"/>
    <w:rsid w:val="009B2F23"/>
    <w:rsid w:val="009B57B3"/>
    <w:rsid w:val="009D2920"/>
    <w:rsid w:val="009D5AEB"/>
    <w:rsid w:val="009F0E33"/>
    <w:rsid w:val="00A149DF"/>
    <w:rsid w:val="00A1755C"/>
    <w:rsid w:val="00A21B90"/>
    <w:rsid w:val="00A22AAC"/>
    <w:rsid w:val="00A324DD"/>
    <w:rsid w:val="00A41805"/>
    <w:rsid w:val="00A51882"/>
    <w:rsid w:val="00A52AFB"/>
    <w:rsid w:val="00A548CB"/>
    <w:rsid w:val="00A5521C"/>
    <w:rsid w:val="00A643E7"/>
    <w:rsid w:val="00A73C38"/>
    <w:rsid w:val="00A921A7"/>
    <w:rsid w:val="00AB670D"/>
    <w:rsid w:val="00AE4569"/>
    <w:rsid w:val="00AF03C5"/>
    <w:rsid w:val="00B000D8"/>
    <w:rsid w:val="00B00F75"/>
    <w:rsid w:val="00B145B6"/>
    <w:rsid w:val="00B279EB"/>
    <w:rsid w:val="00B31A19"/>
    <w:rsid w:val="00B50C81"/>
    <w:rsid w:val="00B557F8"/>
    <w:rsid w:val="00B815FC"/>
    <w:rsid w:val="00B93FBC"/>
    <w:rsid w:val="00BA7887"/>
    <w:rsid w:val="00BA7DA0"/>
    <w:rsid w:val="00BB2EE4"/>
    <w:rsid w:val="00BB4C92"/>
    <w:rsid w:val="00BC2108"/>
    <w:rsid w:val="00BC3307"/>
    <w:rsid w:val="00BD0E39"/>
    <w:rsid w:val="00BD0E9E"/>
    <w:rsid w:val="00BD1BEC"/>
    <w:rsid w:val="00BD32FF"/>
    <w:rsid w:val="00BF6FE9"/>
    <w:rsid w:val="00C02092"/>
    <w:rsid w:val="00C24D91"/>
    <w:rsid w:val="00C26DB2"/>
    <w:rsid w:val="00C53F14"/>
    <w:rsid w:val="00C600CF"/>
    <w:rsid w:val="00C6084F"/>
    <w:rsid w:val="00C62A66"/>
    <w:rsid w:val="00C66359"/>
    <w:rsid w:val="00C71458"/>
    <w:rsid w:val="00C77613"/>
    <w:rsid w:val="00C828E7"/>
    <w:rsid w:val="00C86719"/>
    <w:rsid w:val="00C921DD"/>
    <w:rsid w:val="00CA5C79"/>
    <w:rsid w:val="00CA6391"/>
    <w:rsid w:val="00CE036E"/>
    <w:rsid w:val="00CE3171"/>
    <w:rsid w:val="00CF1601"/>
    <w:rsid w:val="00D0172F"/>
    <w:rsid w:val="00D01E33"/>
    <w:rsid w:val="00D068A7"/>
    <w:rsid w:val="00D17476"/>
    <w:rsid w:val="00D17B0E"/>
    <w:rsid w:val="00D32086"/>
    <w:rsid w:val="00D37A3F"/>
    <w:rsid w:val="00D4431D"/>
    <w:rsid w:val="00D4629A"/>
    <w:rsid w:val="00D4667A"/>
    <w:rsid w:val="00D63A1C"/>
    <w:rsid w:val="00D7516F"/>
    <w:rsid w:val="00D865E4"/>
    <w:rsid w:val="00D95F8E"/>
    <w:rsid w:val="00DA0590"/>
    <w:rsid w:val="00DC1739"/>
    <w:rsid w:val="00DC1788"/>
    <w:rsid w:val="00DE319C"/>
    <w:rsid w:val="00DF0CA8"/>
    <w:rsid w:val="00DF1688"/>
    <w:rsid w:val="00DF2B48"/>
    <w:rsid w:val="00DF49A7"/>
    <w:rsid w:val="00E07EE2"/>
    <w:rsid w:val="00E07FD1"/>
    <w:rsid w:val="00E24573"/>
    <w:rsid w:val="00E25E1E"/>
    <w:rsid w:val="00E27EE7"/>
    <w:rsid w:val="00E35404"/>
    <w:rsid w:val="00E45109"/>
    <w:rsid w:val="00E47B7A"/>
    <w:rsid w:val="00E56A44"/>
    <w:rsid w:val="00E60269"/>
    <w:rsid w:val="00E6030F"/>
    <w:rsid w:val="00E97830"/>
    <w:rsid w:val="00EE0830"/>
    <w:rsid w:val="00EE6CB8"/>
    <w:rsid w:val="00EF0683"/>
    <w:rsid w:val="00F0070C"/>
    <w:rsid w:val="00F00EB7"/>
    <w:rsid w:val="00F36AB6"/>
    <w:rsid w:val="00F37A09"/>
    <w:rsid w:val="00F409CE"/>
    <w:rsid w:val="00F4379D"/>
    <w:rsid w:val="00F50D2D"/>
    <w:rsid w:val="00F56C8B"/>
    <w:rsid w:val="00F571C5"/>
    <w:rsid w:val="00F62639"/>
    <w:rsid w:val="00F66810"/>
    <w:rsid w:val="00F84DF4"/>
    <w:rsid w:val="00F85C97"/>
    <w:rsid w:val="00FB37D2"/>
    <w:rsid w:val="00FC4EFB"/>
    <w:rsid w:val="00FD068D"/>
    <w:rsid w:val="00FD4F28"/>
    <w:rsid w:val="00FE6784"/>
    <w:rsid w:val="00FE7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paragraph" w:styleId="ListParagraph">
    <w:name w:val="List Paragraph"/>
    <w:basedOn w:val="Normal"/>
    <w:uiPriority w:val="34"/>
    <w:qFormat/>
    <w:rsid w:val="003B5DB3"/>
    <w:pPr>
      <w:ind w:left="720"/>
      <w:contextualSpacing/>
    </w:pPr>
  </w:style>
  <w:style w:type="character" w:styleId="Hyperlink">
    <w:name w:val="Hyperlink"/>
    <w:basedOn w:val="DefaultParagraphFont"/>
    <w:uiPriority w:val="99"/>
    <w:unhideWhenUsed/>
    <w:rsid w:val="001C2CCC"/>
    <w:rPr>
      <w:color w:val="660000"/>
      <w:u w:val="none"/>
    </w:rPr>
  </w:style>
  <w:style w:type="character" w:styleId="FollowedHyperlink">
    <w:name w:val="FollowedHyperlink"/>
    <w:basedOn w:val="DefaultParagraphFont"/>
    <w:uiPriority w:val="99"/>
    <w:semiHidden/>
    <w:unhideWhenUsed/>
    <w:rsid w:val="00353E1F"/>
    <w:rPr>
      <w:color w:val="800080" w:themeColor="followedHyperlink"/>
      <w:u w:val="single"/>
    </w:rPr>
  </w:style>
  <w:style w:type="paragraph" w:customStyle="1" w:styleId="ParaNoNdepar-AltN">
    <w:name w:val="Para. No. / Nº de par. - Alt N"/>
    <w:link w:val="ParaNoNdepar-AltNChar"/>
    <w:qFormat/>
    <w:rsid w:val="005F5FA3"/>
    <w:pPr>
      <w:tabs>
        <w:tab w:val="left" w:pos="1166"/>
      </w:tabs>
      <w:spacing w:before="480" w:after="480" w:line="480" w:lineRule="auto"/>
      <w:jc w:val="both"/>
    </w:pPr>
    <w:rPr>
      <w:rFonts w:eastAsiaTheme="minorEastAsia" w:cstheme="minorBidi"/>
      <w:sz w:val="24"/>
      <w:szCs w:val="22"/>
      <w:lang w:eastAsia="en-US"/>
    </w:rPr>
  </w:style>
  <w:style w:type="character" w:customStyle="1" w:styleId="ParaNoNdepar-AltNChar">
    <w:name w:val="Para. No. / Nº de par. - Alt N Char"/>
    <w:basedOn w:val="DefaultParagraphFont"/>
    <w:link w:val="ParaNoNdepar-AltN"/>
    <w:rsid w:val="005F5FA3"/>
    <w:rPr>
      <w:rFonts w:eastAsiaTheme="minorEastAsia" w:cstheme="minorBidi"/>
      <w:sz w:val="24"/>
      <w:szCs w:val="22"/>
      <w:lang w:eastAsia="en-US"/>
    </w:rPr>
  </w:style>
  <w:style w:type="table" w:styleId="TableGrid">
    <w:name w:val="Table Grid"/>
    <w:basedOn w:val="TableNormal"/>
    <w:uiPriority w:val="59"/>
    <w:rsid w:val="00BA7887"/>
    <w:rPr>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BA7887"/>
    <w:rPr>
      <w:rFonts w:eastAsia="Calibri"/>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384181">
      <w:bodyDiv w:val="1"/>
      <w:marLeft w:val="0"/>
      <w:marRight w:val="0"/>
      <w:marTop w:val="0"/>
      <w:marBottom w:val="0"/>
      <w:divBdr>
        <w:top w:val="none" w:sz="0" w:space="0" w:color="auto"/>
        <w:left w:val="none" w:sz="0" w:space="0" w:color="auto"/>
        <w:bottom w:val="none" w:sz="0" w:space="0" w:color="auto"/>
        <w:right w:val="none" w:sz="0" w:space="0" w:color="auto"/>
      </w:divBdr>
    </w:div>
    <w:div w:id="92302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t.soquij.ca/y6Z4T" TargetMode="External"/><Relationship Id="rId4" Type="http://schemas.openxmlformats.org/officeDocument/2006/relationships/settings" Target="settings.xml"/><Relationship Id="rId9" Type="http://schemas.openxmlformats.org/officeDocument/2006/relationships/image" Target="cid:image001.jpg@01D72252.19B69D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D8567E-CC8E-458A-89A2-3D6548444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916</Words>
  <Characters>4557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2023-07-25T13:36:00Z</dcterms:created>
  <dcterms:modified xsi:type="dcterms:W3CDTF">2023-07-27T19:31:00Z</dcterms:modified>
</cp:coreProperties>
</file>