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tblpY="-50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690"/>
        <w:gridCol w:w="2074"/>
        <w:gridCol w:w="3577"/>
        <w:gridCol w:w="19"/>
      </w:tblGrid>
      <w:tr w:rsidR="002909F6" w:rsidRPr="000B53DD" w:rsidTr="00DB1285">
        <w:trPr>
          <w:trHeight w:val="1786"/>
        </w:trPr>
        <w:tc>
          <w:tcPr>
            <w:tcW w:w="5000" w:type="pct"/>
            <w:gridSpan w:val="4"/>
          </w:tcPr>
          <w:p w:rsidR="002909F6" w:rsidRPr="000B53DD" w:rsidRDefault="00820223" w:rsidP="00DB1285">
            <w:pPr>
              <w:jc w:val="center"/>
              <w:rPr>
                <w:szCs w:val="24"/>
              </w:rPr>
            </w:pPr>
            <w:r w:rsidRPr="000B53DD">
              <w:rPr>
                <w:noProof/>
                <w:szCs w:val="24"/>
                <w:lang w:val="fr-CA" w:eastAsia="fr-CA"/>
              </w:rPr>
              <w:drawing>
                <wp:inline distT="0" distB="0" distL="0" distR="0" wp14:anchorId="7BB4B827" wp14:editId="5F099E29">
                  <wp:extent cx="1191895" cy="1638300"/>
                  <wp:effectExtent l="0" t="0" r="8255" b="0"/>
                  <wp:docPr id="2" name="Picture 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rsidR="002909F6" w:rsidRPr="000B53DD" w:rsidRDefault="002909F6" w:rsidP="00DB1285">
            <w:pPr>
              <w:spacing w:before="120" w:after="100" w:afterAutospacing="1"/>
              <w:jc w:val="center"/>
              <w:rPr>
                <w:rFonts w:eastAsia="Calibri"/>
                <w:szCs w:val="24"/>
              </w:rPr>
            </w:pPr>
            <w:r w:rsidRPr="000B53DD">
              <w:rPr>
                <w:rFonts w:eastAsia="Calibri"/>
                <w:b/>
                <w:szCs w:val="24"/>
                <w:lang w:eastAsia="en-US"/>
              </w:rPr>
              <w:t>COUR SUPRÊME DU CANADA</w:t>
            </w:r>
          </w:p>
        </w:tc>
      </w:tr>
      <w:tr w:rsidR="002909F6" w:rsidRPr="000B53DD" w:rsidTr="00DB1285">
        <w:trPr>
          <w:gridAfter w:val="1"/>
          <w:wAfter w:w="10" w:type="pct"/>
        </w:trPr>
        <w:tc>
          <w:tcPr>
            <w:tcW w:w="1971" w:type="pct"/>
            <w:tcMar>
              <w:top w:w="284" w:type="dxa"/>
            </w:tcMar>
          </w:tcPr>
          <w:p w:rsidR="002909F6" w:rsidRPr="000B53DD" w:rsidRDefault="002909F6" w:rsidP="00DB1285">
            <w:pPr>
              <w:spacing w:before="100" w:beforeAutospacing="1"/>
              <w:rPr>
                <w:rFonts w:eastAsia="Calibri"/>
                <w:szCs w:val="24"/>
                <w:lang w:val="fr-CA"/>
              </w:rPr>
            </w:pPr>
            <w:r w:rsidRPr="000B53DD">
              <w:rPr>
                <w:b/>
                <w:smallCaps/>
                <w:szCs w:val="24"/>
                <w:lang w:val="fr-CA"/>
              </w:rPr>
              <w:t>Référence :</w:t>
            </w:r>
            <w:r w:rsidRPr="000B53DD">
              <w:rPr>
                <w:szCs w:val="24"/>
                <w:lang w:val="fr-CA"/>
              </w:rPr>
              <w:t xml:space="preserve"> </w:t>
            </w:r>
            <w:r w:rsidR="00575FF2" w:rsidRPr="000B53DD">
              <w:rPr>
                <w:szCs w:val="24"/>
                <w:lang w:val="fr-CA"/>
              </w:rPr>
              <w:t xml:space="preserve">R. </w:t>
            </w:r>
            <w:r w:rsidR="00575FF2" w:rsidRPr="000B53DD">
              <w:rPr>
                <w:i/>
                <w:szCs w:val="24"/>
                <w:lang w:val="fr-CA"/>
              </w:rPr>
              <w:t>c.</w:t>
            </w:r>
            <w:r w:rsidR="00B0409C" w:rsidRPr="000B53DD">
              <w:rPr>
                <w:szCs w:val="24"/>
                <w:lang w:val="fr-CA"/>
              </w:rPr>
              <w:t xml:space="preserve"> </w:t>
            </w:r>
            <w:r w:rsidR="0039294D" w:rsidRPr="000B53DD">
              <w:rPr>
                <w:szCs w:val="24"/>
                <w:lang w:val="fr-CA"/>
              </w:rPr>
              <w:t>S.S.</w:t>
            </w:r>
            <w:r w:rsidR="00445C7C" w:rsidRPr="000B53DD">
              <w:rPr>
                <w:szCs w:val="24"/>
                <w:lang w:val="fr-CA"/>
              </w:rPr>
              <w:t>, 202</w:t>
            </w:r>
            <w:r w:rsidR="0039294D" w:rsidRPr="000B53DD">
              <w:rPr>
                <w:szCs w:val="24"/>
                <w:lang w:val="fr-CA"/>
              </w:rPr>
              <w:t>3</w:t>
            </w:r>
            <w:r w:rsidR="00B0409C" w:rsidRPr="000B53DD">
              <w:rPr>
                <w:szCs w:val="24"/>
                <w:lang w:val="fr-CA"/>
              </w:rPr>
              <w:t xml:space="preserve"> CSC </w:t>
            </w:r>
            <w:r w:rsidR="0039294D" w:rsidRPr="000B53DD">
              <w:rPr>
                <w:szCs w:val="24"/>
                <w:lang w:val="fr-CA"/>
              </w:rPr>
              <w:t>1</w:t>
            </w:r>
          </w:p>
        </w:tc>
        <w:tc>
          <w:tcPr>
            <w:tcW w:w="1108" w:type="pct"/>
          </w:tcPr>
          <w:p w:rsidR="002909F6" w:rsidRPr="000B53DD" w:rsidRDefault="002909F6" w:rsidP="00DB1285">
            <w:pPr>
              <w:rPr>
                <w:b/>
                <w:smallCaps/>
                <w:szCs w:val="24"/>
                <w:lang w:val="fr-CA"/>
              </w:rPr>
            </w:pPr>
          </w:p>
        </w:tc>
        <w:tc>
          <w:tcPr>
            <w:tcW w:w="1911" w:type="pct"/>
            <w:tcMar>
              <w:top w:w="284" w:type="dxa"/>
            </w:tcMar>
          </w:tcPr>
          <w:p w:rsidR="002909F6" w:rsidRPr="000B53DD" w:rsidRDefault="002909F6" w:rsidP="00DB1285">
            <w:pPr>
              <w:rPr>
                <w:szCs w:val="24"/>
                <w:lang w:val="fr-CA"/>
              </w:rPr>
            </w:pPr>
            <w:r w:rsidRPr="000B53DD">
              <w:rPr>
                <w:b/>
                <w:smallCaps/>
                <w:szCs w:val="24"/>
                <w:lang w:val="fr-CA"/>
              </w:rPr>
              <w:t>Appel entendu :</w:t>
            </w:r>
            <w:r w:rsidRPr="000B53DD">
              <w:rPr>
                <w:szCs w:val="24"/>
                <w:lang w:val="fr-CA"/>
              </w:rPr>
              <w:t xml:space="preserve"> </w:t>
            </w:r>
            <w:r w:rsidR="0039294D" w:rsidRPr="000B53DD">
              <w:rPr>
                <w:szCs w:val="24"/>
                <w:lang w:val="fr-CA"/>
              </w:rPr>
              <w:t>10</w:t>
            </w:r>
            <w:r w:rsidR="00E50033" w:rsidRPr="000B53DD">
              <w:rPr>
                <w:szCs w:val="24"/>
                <w:lang w:val="fr-CA"/>
              </w:rPr>
              <w:t xml:space="preserve"> </w:t>
            </w:r>
            <w:r w:rsidR="0039294D" w:rsidRPr="000B53DD">
              <w:rPr>
                <w:szCs w:val="24"/>
                <w:lang w:val="fr-CA"/>
              </w:rPr>
              <w:t>janvier 2023</w:t>
            </w:r>
          </w:p>
          <w:p w:rsidR="002909F6" w:rsidRPr="000B53DD" w:rsidRDefault="002909F6" w:rsidP="00DB1285">
            <w:pPr>
              <w:rPr>
                <w:b/>
                <w:smallCaps/>
                <w:szCs w:val="24"/>
                <w:lang w:val="fr-CA"/>
              </w:rPr>
            </w:pPr>
            <w:r w:rsidRPr="000B53DD">
              <w:rPr>
                <w:b/>
                <w:smallCaps/>
                <w:szCs w:val="24"/>
                <w:lang w:val="fr-CA"/>
              </w:rPr>
              <w:t xml:space="preserve">Jugement rendu : </w:t>
            </w:r>
            <w:r w:rsidR="0039294D" w:rsidRPr="000B53DD">
              <w:rPr>
                <w:szCs w:val="24"/>
                <w:lang w:val="fr-CA"/>
              </w:rPr>
              <w:t>10 janvier 2023</w:t>
            </w:r>
          </w:p>
          <w:p w:rsidR="002909F6" w:rsidRPr="000B53DD" w:rsidRDefault="002909F6" w:rsidP="00DB1285">
            <w:pPr>
              <w:rPr>
                <w:rFonts w:eastAsia="Calibri"/>
                <w:szCs w:val="24"/>
                <w:lang w:val="fr-CA"/>
              </w:rPr>
            </w:pPr>
            <w:r w:rsidRPr="000B53DD">
              <w:rPr>
                <w:b/>
                <w:smallCaps/>
                <w:szCs w:val="24"/>
                <w:lang w:val="fr-CA"/>
              </w:rPr>
              <w:t>Dossier :</w:t>
            </w:r>
            <w:r w:rsidRPr="000B53DD">
              <w:rPr>
                <w:szCs w:val="24"/>
                <w:lang w:val="fr-CA"/>
              </w:rPr>
              <w:t xml:space="preserve"> </w:t>
            </w:r>
            <w:r w:rsidR="0039294D" w:rsidRPr="000B53DD">
              <w:rPr>
                <w:szCs w:val="24"/>
                <w:lang w:val="fr-CA"/>
              </w:rPr>
              <w:t>40147</w:t>
            </w:r>
          </w:p>
        </w:tc>
      </w:tr>
      <w:tr w:rsidR="002909F6" w:rsidRPr="00DB1285" w:rsidTr="00DB1285">
        <w:tc>
          <w:tcPr>
            <w:tcW w:w="5000" w:type="pct"/>
            <w:gridSpan w:val="4"/>
          </w:tcPr>
          <w:p w:rsidR="00506A78" w:rsidRPr="000B53DD" w:rsidRDefault="00506A78" w:rsidP="00DB1285">
            <w:pPr>
              <w:rPr>
                <w:rFonts w:eastAsiaTheme="minorHAnsi" w:cstheme="minorBidi"/>
                <w:b/>
                <w:smallCaps/>
                <w:szCs w:val="24"/>
                <w:lang w:val="fr-CA" w:eastAsia="en-US"/>
              </w:rPr>
            </w:pPr>
          </w:p>
          <w:p w:rsidR="00883F8A" w:rsidRPr="000B53DD" w:rsidRDefault="00B0409C" w:rsidP="00DB1285">
            <w:pPr>
              <w:rPr>
                <w:rFonts w:eastAsiaTheme="minorHAnsi" w:cstheme="minorBidi"/>
                <w:b/>
                <w:smallCaps/>
                <w:szCs w:val="24"/>
                <w:lang w:val="fr-CA" w:eastAsia="en-US"/>
              </w:rPr>
            </w:pPr>
            <w:r w:rsidRPr="000B53DD">
              <w:rPr>
                <w:rFonts w:eastAsiaTheme="minorHAnsi" w:cstheme="minorBidi"/>
                <w:b/>
                <w:smallCaps/>
                <w:szCs w:val="24"/>
                <w:lang w:val="fr-CA" w:eastAsia="en-US"/>
              </w:rPr>
              <w:t>Entre </w:t>
            </w:r>
            <w:r w:rsidR="00883F8A" w:rsidRPr="000B53DD">
              <w:rPr>
                <w:rFonts w:eastAsiaTheme="minorHAnsi" w:cstheme="minorBidi"/>
                <w:b/>
                <w:smallCaps/>
                <w:szCs w:val="24"/>
                <w:lang w:val="fr-CA" w:eastAsia="en-US"/>
              </w:rPr>
              <w:t>:</w:t>
            </w:r>
          </w:p>
          <w:p w:rsidR="00E04080" w:rsidRPr="000B53DD" w:rsidRDefault="00E04080" w:rsidP="00DB1285">
            <w:pPr>
              <w:rPr>
                <w:rFonts w:eastAsiaTheme="minorHAnsi" w:cstheme="minorBidi"/>
                <w:b/>
                <w:smallCaps/>
                <w:szCs w:val="24"/>
                <w:lang w:val="fr-CA" w:eastAsia="en-US"/>
              </w:rPr>
            </w:pPr>
          </w:p>
          <w:p w:rsidR="006B4F1D" w:rsidRPr="000B53DD" w:rsidRDefault="00E50033" w:rsidP="00DB1285">
            <w:pPr>
              <w:jc w:val="center"/>
              <w:rPr>
                <w:rFonts w:eastAsiaTheme="minorHAnsi" w:cstheme="minorBidi"/>
                <w:b/>
                <w:bCs/>
                <w:szCs w:val="24"/>
                <w:lang w:val="fr-CA" w:eastAsia="en-US"/>
              </w:rPr>
            </w:pPr>
            <w:r w:rsidRPr="000B53DD">
              <w:rPr>
                <w:rFonts w:eastAsiaTheme="minorHAnsi" w:cstheme="minorBidi"/>
                <w:b/>
                <w:bCs/>
                <w:szCs w:val="24"/>
                <w:lang w:val="fr-CA" w:eastAsia="en-US"/>
              </w:rPr>
              <w:t>Sa Majesté le Roi</w:t>
            </w:r>
          </w:p>
          <w:p w:rsidR="00883F8A" w:rsidRPr="000B53DD" w:rsidRDefault="00883F8A" w:rsidP="00DB1285">
            <w:pPr>
              <w:jc w:val="center"/>
              <w:rPr>
                <w:rFonts w:eastAsiaTheme="minorHAnsi" w:cstheme="minorBidi"/>
                <w:szCs w:val="24"/>
                <w:lang w:val="fr-CA" w:eastAsia="en-US"/>
              </w:rPr>
            </w:pPr>
            <w:r w:rsidRPr="000B53DD">
              <w:rPr>
                <w:rFonts w:eastAsiaTheme="minorHAnsi" w:cstheme="minorBidi"/>
                <w:szCs w:val="24"/>
                <w:lang w:val="fr-CA" w:eastAsia="en-US"/>
              </w:rPr>
              <w:t>Appelant</w:t>
            </w:r>
          </w:p>
          <w:p w:rsidR="00883F8A" w:rsidRPr="000B53DD" w:rsidRDefault="00883F8A" w:rsidP="00DB1285">
            <w:pPr>
              <w:jc w:val="center"/>
              <w:rPr>
                <w:rFonts w:eastAsiaTheme="minorHAnsi" w:cstheme="minorBidi"/>
                <w:szCs w:val="24"/>
                <w:lang w:val="fr-CA" w:eastAsia="en-US"/>
              </w:rPr>
            </w:pPr>
          </w:p>
          <w:p w:rsidR="00883F8A" w:rsidRPr="000B53DD" w:rsidRDefault="00883F8A" w:rsidP="00DB1285">
            <w:pPr>
              <w:jc w:val="center"/>
              <w:rPr>
                <w:rFonts w:eastAsiaTheme="minorHAnsi" w:cstheme="minorBidi"/>
                <w:szCs w:val="24"/>
                <w:lang w:val="fr-CA" w:eastAsia="en-US"/>
              </w:rPr>
            </w:pPr>
            <w:r w:rsidRPr="000B53DD">
              <w:rPr>
                <w:rFonts w:eastAsiaTheme="minorHAnsi" w:cstheme="minorBidi"/>
                <w:szCs w:val="24"/>
                <w:lang w:val="fr-CA" w:eastAsia="en-US"/>
              </w:rPr>
              <w:t>et</w:t>
            </w:r>
          </w:p>
          <w:p w:rsidR="00883F8A" w:rsidRPr="000B53DD" w:rsidRDefault="00883F8A" w:rsidP="00DB1285">
            <w:pPr>
              <w:jc w:val="center"/>
              <w:rPr>
                <w:rFonts w:eastAsiaTheme="minorHAnsi" w:cstheme="minorBidi"/>
                <w:szCs w:val="24"/>
                <w:lang w:val="fr-CA" w:eastAsia="en-US"/>
              </w:rPr>
            </w:pPr>
          </w:p>
          <w:p w:rsidR="00445C7C" w:rsidRPr="000B53DD" w:rsidRDefault="000903EF" w:rsidP="00DB1285">
            <w:pPr>
              <w:jc w:val="center"/>
              <w:rPr>
                <w:rFonts w:eastAsiaTheme="minorHAnsi" w:cstheme="minorBidi"/>
                <w:b/>
                <w:szCs w:val="24"/>
                <w:lang w:val="fr-CA" w:eastAsia="en-US"/>
              </w:rPr>
            </w:pPr>
            <w:r w:rsidRPr="000B53DD">
              <w:rPr>
                <w:rFonts w:eastAsiaTheme="minorHAnsi" w:cstheme="minorBidi"/>
                <w:b/>
                <w:szCs w:val="24"/>
                <w:lang w:val="fr-CA" w:eastAsia="en-US"/>
              </w:rPr>
              <w:t>S.S.</w:t>
            </w:r>
          </w:p>
          <w:p w:rsidR="002909F6" w:rsidRPr="000B53DD" w:rsidRDefault="00022F2E" w:rsidP="00DB1285">
            <w:pPr>
              <w:jc w:val="center"/>
              <w:rPr>
                <w:rFonts w:eastAsiaTheme="minorHAnsi" w:cstheme="minorBidi"/>
                <w:szCs w:val="24"/>
                <w:lang w:val="fr-CA" w:eastAsia="en-US"/>
              </w:rPr>
            </w:pPr>
            <w:r w:rsidRPr="000B53DD">
              <w:rPr>
                <w:rFonts w:eastAsiaTheme="minorHAnsi" w:cstheme="minorBidi"/>
                <w:szCs w:val="24"/>
                <w:lang w:val="fr-CA" w:eastAsia="en-US"/>
              </w:rPr>
              <w:t>Intimé</w:t>
            </w:r>
          </w:p>
          <w:p w:rsidR="006F7FA0" w:rsidRPr="000B53DD" w:rsidRDefault="006F7FA0" w:rsidP="00DB1285">
            <w:pPr>
              <w:rPr>
                <w:rFonts w:eastAsiaTheme="minorHAnsi" w:cstheme="minorBidi"/>
                <w:szCs w:val="24"/>
                <w:lang w:val="fr-CA" w:eastAsia="en-US"/>
              </w:rPr>
            </w:pPr>
          </w:p>
          <w:p w:rsidR="0026669D" w:rsidRPr="000B53DD" w:rsidRDefault="0026669D" w:rsidP="00DB1285">
            <w:pPr>
              <w:jc w:val="center"/>
              <w:rPr>
                <w:color w:val="000000"/>
                <w:szCs w:val="24"/>
                <w:lang w:val="fr-CA" w:eastAsia="en-US"/>
              </w:rPr>
            </w:pPr>
            <w:r w:rsidRPr="000B53DD">
              <w:rPr>
                <w:color w:val="000000"/>
                <w:szCs w:val="24"/>
                <w:lang w:val="fr-CA" w:eastAsia="en-US"/>
              </w:rPr>
              <w:t>- et -</w:t>
            </w:r>
          </w:p>
          <w:p w:rsidR="0026669D" w:rsidRPr="000B53DD" w:rsidRDefault="0026669D" w:rsidP="00DB1285">
            <w:pPr>
              <w:rPr>
                <w:color w:val="000000"/>
                <w:szCs w:val="24"/>
                <w:lang w:val="fr-CA" w:eastAsia="en-US"/>
              </w:rPr>
            </w:pPr>
          </w:p>
          <w:p w:rsidR="0026669D" w:rsidRPr="000B53DD" w:rsidRDefault="0026669D" w:rsidP="00DB1285">
            <w:pPr>
              <w:jc w:val="center"/>
              <w:rPr>
                <w:color w:val="000000"/>
                <w:szCs w:val="24"/>
                <w:lang w:val="fr-CA" w:eastAsia="en-US"/>
              </w:rPr>
            </w:pPr>
            <w:r w:rsidRPr="000B53DD">
              <w:rPr>
                <w:b/>
                <w:bCs/>
                <w:color w:val="000000"/>
                <w:szCs w:val="24"/>
                <w:lang w:val="fr-CA" w:eastAsia="en-US"/>
              </w:rPr>
              <w:t>Criminal Lawyers</w:t>
            </w:r>
            <w:r w:rsidR="007D041C" w:rsidRPr="000B53DD">
              <w:rPr>
                <w:b/>
                <w:bCs/>
                <w:color w:val="000000"/>
                <w:szCs w:val="24"/>
                <w:lang w:val="fr-CA" w:eastAsia="en-US"/>
              </w:rPr>
              <w:t>’</w:t>
            </w:r>
            <w:r w:rsidRPr="000B53DD">
              <w:rPr>
                <w:b/>
                <w:bCs/>
                <w:color w:val="000000"/>
                <w:szCs w:val="24"/>
                <w:lang w:val="fr-CA" w:eastAsia="en-US"/>
              </w:rPr>
              <w:t xml:space="preserve"> Association (Ontario) et Criminal Trial Lawyers</w:t>
            </w:r>
            <w:r w:rsidR="007D041C" w:rsidRPr="000B53DD">
              <w:rPr>
                <w:b/>
                <w:bCs/>
                <w:color w:val="000000"/>
                <w:szCs w:val="24"/>
                <w:lang w:val="fr-CA" w:eastAsia="en-US"/>
              </w:rPr>
              <w:t>’</w:t>
            </w:r>
            <w:r w:rsidRPr="000B53DD">
              <w:rPr>
                <w:b/>
                <w:bCs/>
                <w:color w:val="000000"/>
                <w:szCs w:val="24"/>
                <w:lang w:val="fr-CA" w:eastAsia="en-US"/>
              </w:rPr>
              <w:t xml:space="preserve"> Association</w:t>
            </w:r>
          </w:p>
          <w:p w:rsidR="0026669D" w:rsidRPr="000B53DD" w:rsidRDefault="0026669D" w:rsidP="00DB1285">
            <w:pPr>
              <w:jc w:val="center"/>
              <w:rPr>
                <w:color w:val="000000"/>
                <w:szCs w:val="24"/>
                <w:lang w:val="fr-CA" w:eastAsia="en-US"/>
              </w:rPr>
            </w:pPr>
            <w:r w:rsidRPr="000B53DD">
              <w:rPr>
                <w:color w:val="000000"/>
                <w:szCs w:val="24"/>
                <w:lang w:val="fr-CA" w:eastAsia="en-US"/>
              </w:rPr>
              <w:t>Intervenantes</w:t>
            </w:r>
          </w:p>
          <w:p w:rsidR="00E1000C" w:rsidRPr="000B53DD" w:rsidRDefault="00E1000C" w:rsidP="00DB1285">
            <w:pPr>
              <w:jc w:val="center"/>
              <w:rPr>
                <w:rFonts w:eastAsiaTheme="minorHAnsi" w:cstheme="minorBidi"/>
                <w:szCs w:val="24"/>
                <w:lang w:val="fr-CA" w:eastAsia="en-US"/>
              </w:rPr>
            </w:pPr>
          </w:p>
          <w:p w:rsidR="00E1000C" w:rsidRPr="000B53DD" w:rsidRDefault="00E1000C" w:rsidP="00DB1285">
            <w:pPr>
              <w:jc w:val="center"/>
              <w:rPr>
                <w:rFonts w:eastAsiaTheme="minorHAnsi" w:cstheme="minorBidi"/>
                <w:szCs w:val="24"/>
                <w:lang w:val="fr-CA" w:eastAsia="en-US"/>
              </w:rPr>
            </w:pPr>
            <w:r w:rsidRPr="000B53DD">
              <w:rPr>
                <w:b/>
                <w:smallCaps/>
                <w:szCs w:val="24"/>
                <w:lang w:val="fr-CA"/>
              </w:rPr>
              <w:t>Traduction française officielle</w:t>
            </w:r>
          </w:p>
        </w:tc>
      </w:tr>
    </w:tbl>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2237"/>
        <w:gridCol w:w="7102"/>
        <w:gridCol w:w="21"/>
      </w:tblGrid>
      <w:tr w:rsidR="00E92347" w:rsidRPr="00DB1285" w:rsidTr="00E92347">
        <w:trPr>
          <w:cantSplit/>
          <w:trHeight w:val="508"/>
        </w:trPr>
        <w:tc>
          <w:tcPr>
            <w:tcW w:w="5000" w:type="pct"/>
            <w:gridSpan w:val="3"/>
            <w:tcMar>
              <w:top w:w="284" w:type="dxa"/>
              <w:bottom w:w="57" w:type="dxa"/>
            </w:tcMar>
            <w:vAlign w:val="center"/>
          </w:tcPr>
          <w:p w:rsidR="00EC34E9" w:rsidRPr="000B53DD" w:rsidRDefault="00CB5B04" w:rsidP="00EC34E9">
            <w:pPr>
              <w:rPr>
                <w:lang w:val="fr-CA"/>
              </w:rPr>
            </w:pPr>
            <w:r w:rsidRPr="000B53DD">
              <w:rPr>
                <w:b/>
                <w:smallCaps/>
                <w:lang w:val="fr-CA"/>
              </w:rPr>
              <w:t>Coram :</w:t>
            </w:r>
            <w:r w:rsidRPr="000B53DD">
              <w:rPr>
                <w:lang w:val="fr-CA"/>
              </w:rPr>
              <w:t xml:space="preserve"> </w:t>
            </w:r>
            <w:r w:rsidR="0039294D" w:rsidRPr="000B53DD">
              <w:rPr>
                <w:lang w:val="fr-CA"/>
              </w:rPr>
              <w:t>Le juge en chef Wagner et les juges Karakatsanis, Côté, Rowe, Martin, Kasirer et O</w:t>
            </w:r>
            <w:r w:rsidR="007D041C" w:rsidRPr="000B53DD">
              <w:rPr>
                <w:lang w:val="fr-CA"/>
              </w:rPr>
              <w:t>’</w:t>
            </w:r>
            <w:r w:rsidR="0039294D" w:rsidRPr="000B53DD">
              <w:rPr>
                <w:lang w:val="fr-CA"/>
              </w:rPr>
              <w:t>Bonsawin</w:t>
            </w:r>
          </w:p>
          <w:p w:rsidR="00E92347" w:rsidRPr="000B53DD" w:rsidRDefault="00E92347" w:rsidP="00E1000C">
            <w:pPr>
              <w:rPr>
                <w:lang w:val="fr-CA"/>
              </w:rPr>
            </w:pPr>
          </w:p>
        </w:tc>
      </w:tr>
      <w:tr w:rsidR="005966EF" w:rsidRPr="00DB1285" w:rsidTr="0026412B">
        <w:trPr>
          <w:gridAfter w:val="1"/>
          <w:wAfter w:w="11" w:type="pct"/>
          <w:cantSplit/>
        </w:trPr>
        <w:tc>
          <w:tcPr>
            <w:tcW w:w="1195" w:type="pct"/>
            <w:tcMar>
              <w:top w:w="284" w:type="dxa"/>
              <w:bottom w:w="57" w:type="dxa"/>
            </w:tcMar>
            <w:vAlign w:val="center"/>
          </w:tcPr>
          <w:p w:rsidR="005966EF" w:rsidRPr="000B53DD" w:rsidRDefault="004234D3" w:rsidP="0026412B">
            <w:pPr>
              <w:rPr>
                <w:b/>
                <w:smallCaps/>
                <w:lang w:val="fr-CA"/>
              </w:rPr>
            </w:pPr>
            <w:r w:rsidRPr="000B53DD">
              <w:rPr>
                <w:b/>
                <w:bCs/>
                <w:smallCaps/>
                <w:color w:val="000000"/>
                <w:lang w:val="fr-CA"/>
              </w:rPr>
              <w:t>Jugement lu par :</w:t>
            </w:r>
            <w:r w:rsidR="005966EF" w:rsidRPr="000B53DD">
              <w:rPr>
                <w:b/>
                <w:smallCaps/>
                <w:lang w:val="fr-CA"/>
              </w:rPr>
              <w:t xml:space="preserve"> </w:t>
            </w:r>
          </w:p>
          <w:p w:rsidR="005966EF" w:rsidRPr="000B53DD" w:rsidRDefault="005966EF" w:rsidP="00B1050B">
            <w:pPr>
              <w:rPr>
                <w:b/>
                <w:smallCaps/>
                <w:lang w:val="fr-CA"/>
              </w:rPr>
            </w:pPr>
            <w:r w:rsidRPr="000B53DD">
              <w:rPr>
                <w:lang w:val="fr-CA"/>
              </w:rPr>
              <w:t>(</w:t>
            </w:r>
            <w:r w:rsidR="002D3505" w:rsidRPr="000B53DD">
              <w:rPr>
                <w:lang w:val="fr-CA"/>
              </w:rPr>
              <w:t>par. </w:t>
            </w:r>
            <w:r w:rsidR="00EB0D87" w:rsidRPr="000B53DD">
              <w:rPr>
                <w:lang w:val="fr-CA"/>
              </w:rPr>
              <w:t>1</w:t>
            </w:r>
            <w:r w:rsidRPr="000B53DD">
              <w:rPr>
                <w:lang w:val="fr-CA"/>
              </w:rPr>
              <w:t>)</w:t>
            </w:r>
          </w:p>
        </w:tc>
        <w:tc>
          <w:tcPr>
            <w:tcW w:w="3794" w:type="pct"/>
            <w:tcMar>
              <w:top w:w="284" w:type="dxa"/>
            </w:tcMar>
            <w:vAlign w:val="center"/>
          </w:tcPr>
          <w:p w:rsidR="00B1431F" w:rsidRPr="000B53DD" w:rsidRDefault="00BA12BA" w:rsidP="0026669D">
            <w:pPr>
              <w:rPr>
                <w:lang w:val="fr-CA"/>
              </w:rPr>
            </w:pPr>
            <w:r w:rsidRPr="000B53DD">
              <w:rPr>
                <w:lang w:val="fr-CA"/>
              </w:rPr>
              <w:t>Le juge en chef Wagner</w:t>
            </w:r>
          </w:p>
        </w:tc>
      </w:tr>
      <w:tr w:rsidR="00BA12BA" w:rsidRPr="00DB1285" w:rsidTr="00273C37">
        <w:trPr>
          <w:gridAfter w:val="1"/>
          <w:wAfter w:w="11" w:type="pct"/>
          <w:cantSplit/>
        </w:trPr>
        <w:tc>
          <w:tcPr>
            <w:tcW w:w="1195" w:type="pct"/>
            <w:tcMar>
              <w:top w:w="284" w:type="dxa"/>
              <w:bottom w:w="57" w:type="dxa"/>
            </w:tcMar>
            <w:vAlign w:val="center"/>
          </w:tcPr>
          <w:p w:rsidR="00BA12BA" w:rsidRPr="000B53DD" w:rsidRDefault="00BA12BA" w:rsidP="00273C37">
            <w:pPr>
              <w:rPr>
                <w:b/>
                <w:smallCaps/>
                <w:lang w:val="fr-CA"/>
              </w:rPr>
            </w:pPr>
            <w:r w:rsidRPr="000B53DD">
              <w:rPr>
                <w:b/>
                <w:smallCaps/>
                <w:lang w:val="fr-CA"/>
              </w:rPr>
              <w:t>Majorité :</w:t>
            </w:r>
          </w:p>
        </w:tc>
        <w:tc>
          <w:tcPr>
            <w:tcW w:w="3794" w:type="pct"/>
            <w:tcMar>
              <w:top w:w="284" w:type="dxa"/>
            </w:tcMar>
            <w:vAlign w:val="center"/>
          </w:tcPr>
          <w:p w:rsidR="00BA12BA" w:rsidRPr="000B53DD" w:rsidRDefault="00BA12BA" w:rsidP="00BA12BA">
            <w:pPr>
              <w:rPr>
                <w:lang w:val="fr-CA"/>
              </w:rPr>
            </w:pPr>
            <w:r w:rsidRPr="000B53DD">
              <w:rPr>
                <w:lang w:val="fr-CA"/>
              </w:rPr>
              <w:t>Le juge en chef Wagner et les juges Karakatsanis, Côté, Martin, Kasirer et O</w:t>
            </w:r>
            <w:r w:rsidR="007D041C" w:rsidRPr="000B53DD">
              <w:rPr>
                <w:lang w:val="fr-CA"/>
              </w:rPr>
              <w:t>’</w:t>
            </w:r>
            <w:r w:rsidRPr="000B53DD">
              <w:rPr>
                <w:lang w:val="fr-CA"/>
              </w:rPr>
              <w:t>Bonsawin</w:t>
            </w:r>
          </w:p>
        </w:tc>
      </w:tr>
      <w:tr w:rsidR="00BA12BA" w:rsidRPr="000B53DD" w:rsidTr="00273C37">
        <w:trPr>
          <w:gridAfter w:val="1"/>
          <w:wAfter w:w="11" w:type="pct"/>
          <w:cantSplit/>
        </w:trPr>
        <w:tc>
          <w:tcPr>
            <w:tcW w:w="1195" w:type="pct"/>
            <w:tcMar>
              <w:top w:w="284" w:type="dxa"/>
              <w:bottom w:w="57" w:type="dxa"/>
            </w:tcMar>
            <w:vAlign w:val="center"/>
          </w:tcPr>
          <w:p w:rsidR="00BA12BA" w:rsidRPr="000B53DD" w:rsidRDefault="00BA12BA" w:rsidP="00273C37">
            <w:pPr>
              <w:rPr>
                <w:b/>
                <w:smallCaps/>
                <w:lang w:val="fr-CA"/>
              </w:rPr>
            </w:pPr>
            <w:r w:rsidRPr="000B53DD">
              <w:rPr>
                <w:b/>
                <w:smallCaps/>
                <w:lang w:val="fr-CA"/>
              </w:rPr>
              <w:t>Dissidence :</w:t>
            </w:r>
          </w:p>
        </w:tc>
        <w:tc>
          <w:tcPr>
            <w:tcW w:w="3794" w:type="pct"/>
            <w:tcMar>
              <w:top w:w="284" w:type="dxa"/>
            </w:tcMar>
            <w:vAlign w:val="center"/>
          </w:tcPr>
          <w:p w:rsidR="00BA12BA" w:rsidRPr="000B53DD" w:rsidRDefault="00BA12BA" w:rsidP="00BA12BA">
            <w:pPr>
              <w:rPr>
                <w:lang w:val="fr-CA"/>
              </w:rPr>
            </w:pPr>
            <w:r w:rsidRPr="000B53DD">
              <w:rPr>
                <w:lang w:val="fr-CA"/>
              </w:rPr>
              <w:t>Le juge Rowe</w:t>
            </w:r>
          </w:p>
        </w:tc>
      </w:tr>
    </w:tbl>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9360"/>
      </w:tblGrid>
      <w:tr w:rsidR="00F43876" w:rsidRPr="000B53DD" w:rsidTr="001708F9">
        <w:tc>
          <w:tcPr>
            <w:tcW w:w="9360" w:type="dxa"/>
          </w:tcPr>
          <w:p w:rsidR="00801B60" w:rsidRPr="000B53DD" w:rsidRDefault="00801B60" w:rsidP="00425158">
            <w:pPr>
              <w:jc w:val="both"/>
              <w:rPr>
                <w:szCs w:val="24"/>
                <w:lang w:val="en-US"/>
              </w:rPr>
            </w:pPr>
          </w:p>
        </w:tc>
      </w:tr>
    </w:tbl>
    <w:p w:rsidR="007B3D74" w:rsidRPr="000B53DD" w:rsidRDefault="00A9085B" w:rsidP="007B3D74">
      <w:pPr>
        <w:spacing w:before="100" w:beforeAutospacing="1"/>
        <w:rPr>
          <w:rFonts w:eastAsia="Calibri"/>
          <w:szCs w:val="24"/>
          <w:lang w:val="fr-CA" w:eastAsia="en-US"/>
        </w:rPr>
      </w:pPr>
      <w:r w:rsidRPr="000B53DD">
        <w:rPr>
          <w:rFonts w:eastAsia="Calibri"/>
          <w:b/>
          <w:smallCaps/>
          <w:szCs w:val="24"/>
          <w:lang w:val="fr-CA" w:eastAsia="en-US"/>
        </w:rPr>
        <w:t>Note :</w:t>
      </w:r>
      <w:r w:rsidR="00C22905" w:rsidRPr="000B53DD">
        <w:rPr>
          <w:rFonts w:eastAsia="Calibri"/>
          <w:szCs w:val="24"/>
          <w:lang w:val="fr-CA" w:eastAsia="en-US"/>
        </w:rPr>
        <w:t xml:space="preserve"> </w:t>
      </w:r>
      <w:r w:rsidRPr="000B53DD">
        <w:rPr>
          <w:szCs w:val="24"/>
          <w:lang w:val="fr-CA"/>
        </w:rPr>
        <w:t>Ce document fera l</w:t>
      </w:r>
      <w:r w:rsidR="007D041C" w:rsidRPr="000B53DD">
        <w:rPr>
          <w:szCs w:val="24"/>
          <w:lang w:val="fr-CA"/>
        </w:rPr>
        <w:t>’</w:t>
      </w:r>
      <w:r w:rsidRPr="000B53DD">
        <w:rPr>
          <w:szCs w:val="24"/>
          <w:lang w:val="fr-CA"/>
        </w:rPr>
        <w:t xml:space="preserve">objet de retouches de forme avant la parution de sa version définitive dans le </w:t>
      </w:r>
      <w:r w:rsidRPr="000B53DD">
        <w:rPr>
          <w:i/>
          <w:szCs w:val="24"/>
          <w:lang w:val="fr-CA"/>
        </w:rPr>
        <w:t>Recueil des arrêts de la Cour suprême du Canada</w:t>
      </w:r>
      <w:r w:rsidRPr="000B53DD">
        <w:rPr>
          <w:szCs w:val="24"/>
          <w:lang w:val="fr-C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744"/>
        <w:gridCol w:w="2808"/>
      </w:tblGrid>
      <w:tr w:rsidR="007B3D74" w:rsidRPr="00DB1285" w:rsidTr="00653AAD">
        <w:tc>
          <w:tcPr>
            <w:tcW w:w="1500" w:type="pct"/>
            <w:tcMar>
              <w:top w:w="284" w:type="dxa"/>
            </w:tcMar>
          </w:tcPr>
          <w:p w:rsidR="007B3D74" w:rsidRPr="000B53DD" w:rsidRDefault="007B3D74" w:rsidP="00653AAD">
            <w:pPr>
              <w:rPr>
                <w:rFonts w:eastAsia="Calibri"/>
                <w:szCs w:val="24"/>
                <w:lang w:val="fr-CA" w:eastAsia="en-US"/>
              </w:rPr>
            </w:pPr>
          </w:p>
        </w:tc>
        <w:tc>
          <w:tcPr>
            <w:tcW w:w="2000" w:type="pct"/>
            <w:tcBorders>
              <w:bottom w:val="single" w:sz="4" w:space="0" w:color="auto"/>
            </w:tcBorders>
            <w:tcMar>
              <w:top w:w="284" w:type="dxa"/>
            </w:tcMar>
          </w:tcPr>
          <w:p w:rsidR="007B3D74" w:rsidRPr="000B53DD" w:rsidRDefault="007B3D74" w:rsidP="00653AAD">
            <w:pPr>
              <w:rPr>
                <w:rFonts w:eastAsia="Calibri"/>
                <w:szCs w:val="24"/>
                <w:lang w:val="fr-CA" w:eastAsia="en-US"/>
              </w:rPr>
            </w:pPr>
          </w:p>
        </w:tc>
        <w:tc>
          <w:tcPr>
            <w:tcW w:w="1500" w:type="pct"/>
            <w:tcMar>
              <w:top w:w="284" w:type="dxa"/>
            </w:tcMar>
          </w:tcPr>
          <w:p w:rsidR="007B3D74" w:rsidRPr="000B53DD" w:rsidRDefault="007B3D74" w:rsidP="00653AAD">
            <w:pPr>
              <w:rPr>
                <w:rFonts w:eastAsia="Calibri"/>
                <w:szCs w:val="24"/>
                <w:lang w:val="fr-CA" w:eastAsia="en-US"/>
              </w:rPr>
            </w:pPr>
          </w:p>
        </w:tc>
      </w:tr>
    </w:tbl>
    <w:p w:rsidR="00DB1285" w:rsidRDefault="00DB1285" w:rsidP="007B3D74">
      <w:pPr>
        <w:rPr>
          <w:rFonts w:eastAsia="Calibri"/>
          <w:szCs w:val="24"/>
          <w:lang w:val="fr-CA" w:eastAsia="en-US"/>
        </w:rPr>
      </w:pPr>
    </w:p>
    <w:p w:rsidR="00DB1285" w:rsidRPr="00DB1285" w:rsidRDefault="00DB1285" w:rsidP="00DB1285">
      <w:pPr>
        <w:rPr>
          <w:rFonts w:eastAsia="Calibri"/>
          <w:szCs w:val="24"/>
          <w:lang w:val="fr-CA" w:eastAsia="en-US"/>
        </w:rPr>
      </w:pPr>
    </w:p>
    <w:p w:rsidR="00DB1285" w:rsidRPr="00DB1285" w:rsidRDefault="00DB1285" w:rsidP="00DB1285">
      <w:pPr>
        <w:rPr>
          <w:rFonts w:eastAsia="Calibri"/>
          <w:szCs w:val="24"/>
          <w:lang w:val="fr-CA" w:eastAsia="en-US"/>
        </w:rPr>
      </w:pPr>
    </w:p>
    <w:p w:rsidR="00DB1285" w:rsidRPr="00DB1285" w:rsidRDefault="00DB1285" w:rsidP="00DB1285">
      <w:pPr>
        <w:rPr>
          <w:rFonts w:eastAsia="Calibri"/>
          <w:szCs w:val="24"/>
          <w:lang w:val="fr-CA" w:eastAsia="en-US"/>
        </w:rPr>
      </w:pPr>
    </w:p>
    <w:p w:rsidR="00DB1285" w:rsidRPr="00DB1285" w:rsidRDefault="00DB1285" w:rsidP="00DB1285">
      <w:pPr>
        <w:tabs>
          <w:tab w:val="right" w:pos="8222"/>
        </w:tabs>
        <w:spacing w:after="720"/>
        <w:rPr>
          <w:b/>
          <w:lang w:val="fr-CA"/>
        </w:rPr>
      </w:pPr>
      <w:r w:rsidRPr="00DB1285">
        <w:rPr>
          <w:b/>
          <w:lang w:val="fr-CA"/>
        </w:rPr>
        <w:t>Sa Majesté le Roi</w:t>
      </w:r>
      <w:r w:rsidRPr="00DB1285">
        <w:rPr>
          <w:i/>
          <w:lang w:val="fr-CA"/>
        </w:rPr>
        <w:tab/>
        <w:t>Appelant</w:t>
      </w:r>
    </w:p>
    <w:p w:rsidR="00DB1285" w:rsidRPr="00DB1285" w:rsidRDefault="00DB1285" w:rsidP="00DB1285">
      <w:pPr>
        <w:spacing w:after="720"/>
        <w:rPr>
          <w:i/>
          <w:lang w:val="fr-CA"/>
        </w:rPr>
      </w:pPr>
      <w:proofErr w:type="gramStart"/>
      <w:r w:rsidRPr="00DB1285">
        <w:rPr>
          <w:i/>
          <w:lang w:val="fr-CA"/>
        </w:rPr>
        <w:t>c</w:t>
      </w:r>
      <w:proofErr w:type="gramEnd"/>
      <w:r w:rsidRPr="00DB1285">
        <w:rPr>
          <w:i/>
          <w:lang w:val="fr-CA"/>
        </w:rPr>
        <w:t>.</w:t>
      </w:r>
    </w:p>
    <w:p w:rsidR="00DB1285" w:rsidRPr="00DB1285" w:rsidRDefault="00DB1285" w:rsidP="00DB1285">
      <w:pPr>
        <w:tabs>
          <w:tab w:val="right" w:pos="8222"/>
        </w:tabs>
        <w:spacing w:after="720"/>
        <w:rPr>
          <w:b/>
          <w:lang w:val="fr-CA"/>
        </w:rPr>
      </w:pPr>
      <w:r w:rsidRPr="00DB1285">
        <w:rPr>
          <w:b/>
          <w:lang w:val="fr-CA"/>
        </w:rPr>
        <w:t>S.S.</w:t>
      </w:r>
      <w:r w:rsidRPr="00DB1285">
        <w:rPr>
          <w:i/>
          <w:lang w:val="fr-CA"/>
        </w:rPr>
        <w:tab/>
        <w:t>Intimé</w:t>
      </w:r>
    </w:p>
    <w:p w:rsidR="00DB1285" w:rsidRPr="00DB1285" w:rsidRDefault="00DB1285" w:rsidP="00DB1285">
      <w:pPr>
        <w:spacing w:after="720"/>
        <w:rPr>
          <w:lang w:val="fr-CA"/>
        </w:rPr>
      </w:pPr>
      <w:proofErr w:type="gramStart"/>
      <w:r w:rsidRPr="00DB1285">
        <w:rPr>
          <w:lang w:val="fr-CA"/>
        </w:rPr>
        <w:t>et</w:t>
      </w:r>
      <w:proofErr w:type="gramEnd"/>
    </w:p>
    <w:p w:rsidR="00DB1285" w:rsidRPr="00DB1285" w:rsidRDefault="00DB1285" w:rsidP="00DB1285">
      <w:pPr>
        <w:tabs>
          <w:tab w:val="right" w:pos="8222"/>
        </w:tabs>
        <w:jc w:val="both"/>
        <w:rPr>
          <w:b/>
          <w:lang w:val="fr-CA"/>
        </w:rPr>
      </w:pPr>
      <w:proofErr w:type="spellStart"/>
      <w:r w:rsidRPr="00DB1285">
        <w:rPr>
          <w:b/>
          <w:lang w:val="fr-CA"/>
        </w:rPr>
        <w:t>Criminal</w:t>
      </w:r>
      <w:proofErr w:type="spellEnd"/>
      <w:r w:rsidRPr="00DB1285">
        <w:rPr>
          <w:b/>
          <w:lang w:val="fr-CA"/>
        </w:rPr>
        <w:t xml:space="preserve"> </w:t>
      </w:r>
      <w:proofErr w:type="spellStart"/>
      <w:r w:rsidRPr="00DB1285">
        <w:rPr>
          <w:b/>
          <w:lang w:val="fr-CA"/>
        </w:rPr>
        <w:t>Lawyers</w:t>
      </w:r>
      <w:proofErr w:type="spellEnd"/>
      <w:r w:rsidRPr="00DB1285">
        <w:rPr>
          <w:b/>
          <w:lang w:val="fr-CA"/>
        </w:rPr>
        <w:t>’ Association (Ontario) et</w:t>
      </w:r>
    </w:p>
    <w:p w:rsidR="00DB1285" w:rsidRPr="00DB1285" w:rsidRDefault="00DB1285" w:rsidP="00DB1285">
      <w:pPr>
        <w:tabs>
          <w:tab w:val="right" w:pos="8222"/>
        </w:tabs>
        <w:spacing w:after="720"/>
        <w:rPr>
          <w:b/>
          <w:lang w:val="fr-CA"/>
        </w:rPr>
      </w:pPr>
      <w:proofErr w:type="spellStart"/>
      <w:r w:rsidRPr="00DB1285">
        <w:rPr>
          <w:b/>
          <w:lang w:val="fr-CA"/>
        </w:rPr>
        <w:t>Criminal</w:t>
      </w:r>
      <w:proofErr w:type="spellEnd"/>
      <w:r w:rsidRPr="00DB1285">
        <w:rPr>
          <w:b/>
          <w:lang w:val="fr-CA"/>
        </w:rPr>
        <w:t xml:space="preserve"> Trial </w:t>
      </w:r>
      <w:proofErr w:type="spellStart"/>
      <w:r w:rsidRPr="00DB1285">
        <w:rPr>
          <w:b/>
          <w:lang w:val="fr-CA"/>
        </w:rPr>
        <w:t>Lawyers</w:t>
      </w:r>
      <w:proofErr w:type="spellEnd"/>
      <w:r w:rsidRPr="00DB1285">
        <w:rPr>
          <w:b/>
          <w:lang w:val="fr-CA"/>
        </w:rPr>
        <w:t>’ Association</w:t>
      </w:r>
      <w:r w:rsidRPr="00DB1285">
        <w:rPr>
          <w:i/>
          <w:lang w:val="fr-CA"/>
        </w:rPr>
        <w:tab/>
        <w:t>Intervenantes</w:t>
      </w:r>
    </w:p>
    <w:p w:rsidR="00DB1285" w:rsidRPr="00DB1285" w:rsidRDefault="00DB1285" w:rsidP="00DB1285">
      <w:pPr>
        <w:spacing w:after="720"/>
        <w:jc w:val="both"/>
        <w:rPr>
          <w:b/>
          <w:lang w:val="fr-CA"/>
        </w:rPr>
      </w:pPr>
      <w:r w:rsidRPr="00DB1285">
        <w:rPr>
          <w:b/>
          <w:lang w:val="fr-CA"/>
        </w:rPr>
        <w:t xml:space="preserve">Répertorié : R. </w:t>
      </w:r>
      <w:r w:rsidRPr="00DB1285">
        <w:rPr>
          <w:b/>
          <w:i/>
          <w:lang w:val="fr-CA"/>
        </w:rPr>
        <w:t>c.</w:t>
      </w:r>
      <w:r w:rsidRPr="00DB1285">
        <w:rPr>
          <w:b/>
          <w:lang w:val="fr-CA"/>
        </w:rPr>
        <w:t xml:space="preserve"> S.S.</w:t>
      </w:r>
    </w:p>
    <w:p w:rsidR="00DB1285" w:rsidRPr="00DB1285" w:rsidRDefault="00DB1285" w:rsidP="00DB1285">
      <w:pPr>
        <w:spacing w:after="720"/>
        <w:jc w:val="both"/>
        <w:rPr>
          <w:b/>
          <w:lang w:val="fr-CA"/>
        </w:rPr>
      </w:pPr>
      <w:r w:rsidRPr="00DB1285">
        <w:rPr>
          <w:b/>
          <w:lang w:val="fr-CA"/>
        </w:rPr>
        <w:t>2023 CSC 1</w:t>
      </w:r>
    </w:p>
    <w:p w:rsidR="00DB1285" w:rsidRPr="00DB1285" w:rsidRDefault="00DB1285" w:rsidP="00DB1285">
      <w:pPr>
        <w:spacing w:after="720"/>
        <w:jc w:val="both"/>
        <w:rPr>
          <w:lang w:val="fr-CA"/>
        </w:rPr>
      </w:pPr>
      <w:r w:rsidRPr="00DB1285">
        <w:rPr>
          <w:lang w:val="fr-CA"/>
        </w:rPr>
        <w:t>N</w:t>
      </w:r>
      <w:r w:rsidRPr="00DB1285">
        <w:rPr>
          <w:vertAlign w:val="superscript"/>
          <w:lang w:val="fr-CA"/>
        </w:rPr>
        <w:t>o</w:t>
      </w:r>
      <w:r w:rsidRPr="00DB1285">
        <w:rPr>
          <w:lang w:val="fr-CA"/>
        </w:rPr>
        <w:t xml:space="preserve"> du greffe : 40147.</w:t>
      </w:r>
    </w:p>
    <w:p w:rsidR="00DB1285" w:rsidRPr="00DB1285" w:rsidRDefault="00DB1285" w:rsidP="00DB1285">
      <w:pPr>
        <w:spacing w:after="720"/>
        <w:jc w:val="both"/>
        <w:rPr>
          <w:lang w:val="fr-CA"/>
        </w:rPr>
      </w:pPr>
      <w:r w:rsidRPr="00DB1285">
        <w:rPr>
          <w:lang w:val="fr-CA"/>
        </w:rPr>
        <w:t>2023 : 10 janvier.</w:t>
      </w:r>
    </w:p>
    <w:p w:rsidR="00DB1285" w:rsidRPr="00DB1285" w:rsidRDefault="00DB1285" w:rsidP="00DB1285">
      <w:pPr>
        <w:spacing w:after="720"/>
        <w:jc w:val="both"/>
        <w:rPr>
          <w:lang w:val="fr-CA"/>
        </w:rPr>
      </w:pPr>
      <w:r w:rsidRPr="00DB1285">
        <w:rPr>
          <w:lang w:val="fr-CA"/>
        </w:rPr>
        <w:t xml:space="preserve">Présents : Le juge en chef Wagner et les juges </w:t>
      </w:r>
      <w:proofErr w:type="spellStart"/>
      <w:r w:rsidRPr="00DB1285">
        <w:rPr>
          <w:lang w:val="fr-CA"/>
        </w:rPr>
        <w:t>Karakatsanis</w:t>
      </w:r>
      <w:proofErr w:type="spellEnd"/>
      <w:r w:rsidRPr="00DB1285">
        <w:rPr>
          <w:lang w:val="fr-CA"/>
        </w:rPr>
        <w:t xml:space="preserve">, Côté, Rowe, Martin, </w:t>
      </w:r>
      <w:proofErr w:type="spellStart"/>
      <w:r w:rsidRPr="00DB1285">
        <w:rPr>
          <w:lang w:val="fr-CA"/>
        </w:rPr>
        <w:t>Kasirer</w:t>
      </w:r>
      <w:proofErr w:type="spellEnd"/>
      <w:r w:rsidRPr="00DB1285">
        <w:rPr>
          <w:lang w:val="fr-CA"/>
        </w:rPr>
        <w:t xml:space="preserve"> et </w:t>
      </w:r>
      <w:proofErr w:type="spellStart"/>
      <w:r w:rsidRPr="00DB1285">
        <w:rPr>
          <w:lang w:val="fr-CA"/>
        </w:rPr>
        <w:t>O’Bonsawin</w:t>
      </w:r>
      <w:proofErr w:type="spellEnd"/>
      <w:r w:rsidRPr="00DB1285">
        <w:rPr>
          <w:lang w:val="fr-CA"/>
        </w:rPr>
        <w:t>.</w:t>
      </w:r>
    </w:p>
    <w:p w:rsidR="00DB1285" w:rsidRPr="00DB1285" w:rsidRDefault="00DB1285" w:rsidP="00DB1285">
      <w:pPr>
        <w:spacing w:after="720"/>
        <w:jc w:val="both"/>
        <w:rPr>
          <w:smallCaps/>
          <w:lang w:val="fr-CA"/>
        </w:rPr>
      </w:pPr>
      <w:r w:rsidRPr="00DB1285">
        <w:rPr>
          <w:smallCaps/>
          <w:lang w:val="fr-CA"/>
        </w:rPr>
        <w:t xml:space="preserve">en appel de la cour d’appel de </w:t>
      </w:r>
      <w:proofErr w:type="spellStart"/>
      <w:r w:rsidRPr="00DB1285">
        <w:rPr>
          <w:smallCaps/>
          <w:lang w:val="fr-CA"/>
        </w:rPr>
        <w:t>l’ontario</w:t>
      </w:r>
      <w:proofErr w:type="spellEnd"/>
    </w:p>
    <w:p w:rsidR="00DB1285" w:rsidRPr="00DB1285" w:rsidRDefault="00DB1285" w:rsidP="00DB1285">
      <w:pPr>
        <w:tabs>
          <w:tab w:val="left" w:pos="1168"/>
        </w:tabs>
        <w:spacing w:after="480" w:line="480" w:lineRule="auto"/>
        <w:jc w:val="both"/>
        <w:rPr>
          <w:lang w:val="fr-CA"/>
        </w:rPr>
      </w:pPr>
      <w:r w:rsidRPr="00DB1285">
        <w:rPr>
          <w:lang w:val="fr-CA"/>
        </w:rPr>
        <w:tab/>
      </w:r>
      <w:r w:rsidRPr="00DB1285">
        <w:rPr>
          <w:i/>
          <w:lang w:val="fr-CA"/>
        </w:rPr>
        <w:t xml:space="preserve">Droit criminel — Preuve — Admissibilité — Ouï-dire — Seuil de fiabilité — Accusé inculpé d’infractions sexuelles à l’endroit de sa jeune nièce — Conclusion d’une </w:t>
      </w:r>
      <w:proofErr w:type="spellStart"/>
      <w:r w:rsidRPr="00DB1285">
        <w:rPr>
          <w:i/>
          <w:lang w:val="fr-CA"/>
        </w:rPr>
        <w:t>pédosychologue</w:t>
      </w:r>
      <w:proofErr w:type="spellEnd"/>
      <w:r w:rsidRPr="00DB1285">
        <w:rPr>
          <w:i/>
          <w:lang w:val="fr-CA"/>
        </w:rPr>
        <w:t xml:space="preserve"> portant que la nièce ne pouvait pas témoigner au procès parce que cela serait trop traumatisant — Déclaration vidéo faite à la police par la nièce sans prêter serment admise en preuve au procès par le juge présidant celui</w:t>
      </w:r>
      <w:r w:rsidRPr="00DB1285">
        <w:rPr>
          <w:i/>
          <w:lang w:val="fr-CA"/>
        </w:rPr>
        <w:noBreakHyphen/>
        <w:t>ci par application de l’exception raisonnée à la règle du ouï</w:t>
      </w:r>
      <w:r w:rsidRPr="00DB1285">
        <w:rPr>
          <w:i/>
          <w:lang w:val="fr-CA"/>
        </w:rPr>
        <w:noBreakHyphen/>
        <w:t>dire — Déclaration de culpabilité prononcée contre l’accusé et appel formé par ce dernier au motif que le juge du procès aurait fait erreur dans son analyse du seuil de fiabilité et en admettant la déclaration — Annulation par les juges majoritaires de la Cour d’appel de la déclaration de culpabilité et inscription par ceux</w:t>
      </w:r>
      <w:r w:rsidRPr="00DB1285">
        <w:rPr>
          <w:i/>
          <w:lang w:val="fr-CA"/>
        </w:rPr>
        <w:noBreakHyphen/>
        <w:t>ci d’un acquittement — Conclusion des juges majoritaires portant que le juge du procès a fait erreur en omettant d’adapter l’analyse du seuil de fiabilité en fonction des dangers spécifiques au ouï</w:t>
      </w:r>
      <w:r w:rsidRPr="00DB1285">
        <w:rPr>
          <w:i/>
          <w:lang w:val="fr-CA"/>
        </w:rPr>
        <w:noBreakHyphen/>
        <w:t>dire en cause et de déterminer s’il existait des solutions de rechange d’ordre procédural ou substantiel à un contre</w:t>
      </w:r>
      <w:r w:rsidRPr="00DB1285">
        <w:rPr>
          <w:i/>
          <w:lang w:val="fr-CA"/>
        </w:rPr>
        <w:noBreakHyphen/>
        <w:t>interrogatoire contemporain susceptibles d’écarter ces dangers — Conclusion additionnelle des juges majoritaires portant que le juge du procès a fait erreur en décidant de façon positive que la nièce n’avait pas de motif de fabriquer des allégations et en utilisant cette décision au soutien de la fiabilité de la déclaration — Conclusion du juge dissident portant que le juge du procès était conscient du rôle du contre</w:t>
      </w:r>
      <w:r w:rsidRPr="00DB1285">
        <w:rPr>
          <w:i/>
          <w:lang w:val="fr-CA"/>
        </w:rPr>
        <w:noBreakHyphen/>
        <w:t>interrogatoire dans l’analyse du seuil de fiabilité et que ses motifs traitent de façon convaincante de la fiabilité procédurale et substantielle — Conclusion supplémentaire du juge dissident portant que le juge du procès était autorisé à conclure que la déclaration de la nièce à la police n’était pas délibérément mensongère — Déclaration de culpabilité rétablie.</w:t>
      </w:r>
    </w:p>
    <w:p w:rsidR="00DB1285" w:rsidRPr="00DB1285" w:rsidRDefault="00DB1285" w:rsidP="00DB1285">
      <w:pPr>
        <w:tabs>
          <w:tab w:val="left" w:pos="1168"/>
        </w:tabs>
        <w:spacing w:after="480" w:line="480" w:lineRule="auto"/>
        <w:jc w:val="both"/>
        <w:rPr>
          <w:lang w:val="fr-CA"/>
        </w:rPr>
      </w:pPr>
      <w:r w:rsidRPr="00DB1285">
        <w:rPr>
          <w:lang w:val="fr-CA"/>
        </w:rPr>
        <w:tab/>
        <w:t xml:space="preserve">POURVOI contre un arrêt de la Cour d’appel de l’Ontario (les juges </w:t>
      </w:r>
      <w:proofErr w:type="spellStart"/>
      <w:r w:rsidRPr="00DB1285">
        <w:rPr>
          <w:lang w:val="fr-CA"/>
        </w:rPr>
        <w:t>Feldman</w:t>
      </w:r>
      <w:proofErr w:type="spellEnd"/>
      <w:r w:rsidRPr="00DB1285">
        <w:rPr>
          <w:lang w:val="fr-CA"/>
        </w:rPr>
        <w:t xml:space="preserve">, </w:t>
      </w:r>
      <w:proofErr w:type="spellStart"/>
      <w:r w:rsidRPr="00DB1285">
        <w:rPr>
          <w:lang w:val="fr-CA"/>
        </w:rPr>
        <w:t>MacPherson</w:t>
      </w:r>
      <w:proofErr w:type="spellEnd"/>
      <w:r w:rsidRPr="00DB1285">
        <w:rPr>
          <w:lang w:val="fr-CA"/>
        </w:rPr>
        <w:t xml:space="preserve"> et </w:t>
      </w:r>
      <w:proofErr w:type="spellStart"/>
      <w:r w:rsidRPr="00DB1285">
        <w:rPr>
          <w:lang w:val="fr-CA"/>
        </w:rPr>
        <w:t>Thorburn</w:t>
      </w:r>
      <w:proofErr w:type="spellEnd"/>
      <w:r w:rsidRPr="00DB1285">
        <w:rPr>
          <w:lang w:val="fr-CA"/>
        </w:rPr>
        <w:t xml:space="preserve">), </w:t>
      </w:r>
      <w:hyperlink r:id="rId10" w:history="1">
        <w:r w:rsidRPr="00DB1285">
          <w:rPr>
            <w:color w:val="660000"/>
            <w:lang w:val="fr-CA"/>
          </w:rPr>
          <w:t xml:space="preserve">2022 </w:t>
        </w:r>
        <w:proofErr w:type="spellStart"/>
        <w:r w:rsidRPr="00DB1285">
          <w:rPr>
            <w:color w:val="660000"/>
            <w:lang w:val="fr-CA"/>
          </w:rPr>
          <w:t>ONCA</w:t>
        </w:r>
        <w:proofErr w:type="spellEnd"/>
        <w:r w:rsidRPr="00DB1285">
          <w:rPr>
            <w:color w:val="660000"/>
            <w:lang w:val="fr-CA"/>
          </w:rPr>
          <w:t xml:space="preserve"> 305</w:t>
        </w:r>
      </w:hyperlink>
      <w:r w:rsidRPr="00DB1285">
        <w:rPr>
          <w:lang w:val="fr-CA"/>
        </w:rPr>
        <w:t xml:space="preserve">, 161 </w:t>
      </w:r>
      <w:proofErr w:type="spellStart"/>
      <w:r w:rsidRPr="00DB1285">
        <w:rPr>
          <w:lang w:val="fr-CA"/>
        </w:rPr>
        <w:t>O.R</w:t>
      </w:r>
      <w:proofErr w:type="spellEnd"/>
      <w:r w:rsidRPr="00DB1285">
        <w:rPr>
          <w:lang w:val="fr-CA"/>
        </w:rPr>
        <w:t>. (</w:t>
      </w:r>
      <w:proofErr w:type="spellStart"/>
      <w:r w:rsidRPr="00DB1285">
        <w:rPr>
          <w:lang w:val="fr-CA"/>
        </w:rPr>
        <w:t>3d</w:t>
      </w:r>
      <w:proofErr w:type="spellEnd"/>
      <w:r w:rsidRPr="00DB1285">
        <w:rPr>
          <w:lang w:val="fr-CA"/>
        </w:rPr>
        <w:t xml:space="preserve">) 641, 414 </w:t>
      </w:r>
      <w:proofErr w:type="spellStart"/>
      <w:r w:rsidRPr="00DB1285">
        <w:rPr>
          <w:lang w:val="fr-CA"/>
        </w:rPr>
        <w:t>C.C.C</w:t>
      </w:r>
      <w:proofErr w:type="spellEnd"/>
      <w:r w:rsidRPr="00DB1285">
        <w:rPr>
          <w:lang w:val="fr-CA"/>
        </w:rPr>
        <w:t>. (</w:t>
      </w:r>
      <w:proofErr w:type="spellStart"/>
      <w:r w:rsidRPr="00DB1285">
        <w:rPr>
          <w:lang w:val="fr-CA"/>
        </w:rPr>
        <w:t>3d</w:t>
      </w:r>
      <w:proofErr w:type="spellEnd"/>
      <w:r w:rsidRPr="00DB1285">
        <w:rPr>
          <w:lang w:val="fr-CA"/>
        </w:rPr>
        <w:t xml:space="preserve">) 56, [2022] </w:t>
      </w:r>
      <w:proofErr w:type="spellStart"/>
      <w:r w:rsidRPr="00DB1285">
        <w:rPr>
          <w:lang w:val="fr-CA"/>
        </w:rPr>
        <w:t>O.J</w:t>
      </w:r>
      <w:proofErr w:type="spellEnd"/>
      <w:r w:rsidRPr="00DB1285">
        <w:rPr>
          <w:lang w:val="fr-CA"/>
        </w:rPr>
        <w:t>. No. 1841 (</w:t>
      </w:r>
      <w:proofErr w:type="spellStart"/>
      <w:r w:rsidRPr="00DB1285">
        <w:rPr>
          <w:lang w:val="fr-CA"/>
        </w:rPr>
        <w:t>QL</w:t>
      </w:r>
      <w:proofErr w:type="spellEnd"/>
      <w:r w:rsidRPr="00DB1285">
        <w:rPr>
          <w:lang w:val="fr-CA"/>
        </w:rPr>
        <w:t xml:space="preserve">), 2022 </w:t>
      </w:r>
      <w:proofErr w:type="spellStart"/>
      <w:r w:rsidRPr="00DB1285">
        <w:rPr>
          <w:lang w:val="fr-CA"/>
        </w:rPr>
        <w:t>CarswellOnt</w:t>
      </w:r>
      <w:proofErr w:type="spellEnd"/>
      <w:r w:rsidRPr="00DB1285">
        <w:rPr>
          <w:lang w:val="fr-CA"/>
        </w:rPr>
        <w:t xml:space="preserve"> 5175 (</w:t>
      </w:r>
      <w:proofErr w:type="spellStart"/>
      <w:r w:rsidRPr="00DB1285">
        <w:rPr>
          <w:lang w:val="fr-CA"/>
        </w:rPr>
        <w:t>WL</w:t>
      </w:r>
      <w:proofErr w:type="spellEnd"/>
      <w:r w:rsidRPr="00DB1285">
        <w:rPr>
          <w:lang w:val="fr-CA"/>
        </w:rPr>
        <w:t xml:space="preserve">), qui a annulé la déclaration de culpabilité prononcée par le juge Gray, 2017 </w:t>
      </w:r>
      <w:proofErr w:type="spellStart"/>
      <w:r w:rsidRPr="00DB1285">
        <w:rPr>
          <w:lang w:val="fr-CA"/>
        </w:rPr>
        <w:t>ONSC</w:t>
      </w:r>
      <w:proofErr w:type="spellEnd"/>
      <w:r w:rsidRPr="00DB1285">
        <w:rPr>
          <w:lang w:val="fr-CA"/>
        </w:rPr>
        <w:t xml:space="preserve"> 5459, [2017] </w:t>
      </w:r>
      <w:proofErr w:type="spellStart"/>
      <w:r w:rsidRPr="00DB1285">
        <w:rPr>
          <w:lang w:val="fr-CA"/>
        </w:rPr>
        <w:t>O.J</w:t>
      </w:r>
      <w:proofErr w:type="spellEnd"/>
      <w:r w:rsidRPr="00DB1285">
        <w:rPr>
          <w:lang w:val="fr-CA"/>
        </w:rPr>
        <w:t>. No. 4840 (</w:t>
      </w:r>
      <w:proofErr w:type="spellStart"/>
      <w:r w:rsidRPr="00DB1285">
        <w:rPr>
          <w:lang w:val="fr-CA"/>
        </w:rPr>
        <w:t>QL</w:t>
      </w:r>
      <w:proofErr w:type="spellEnd"/>
      <w:r w:rsidRPr="00DB1285">
        <w:rPr>
          <w:lang w:val="fr-CA"/>
        </w:rPr>
        <w:t xml:space="preserve">), 2017 </w:t>
      </w:r>
      <w:proofErr w:type="spellStart"/>
      <w:r w:rsidRPr="00DB1285">
        <w:rPr>
          <w:lang w:val="fr-CA"/>
        </w:rPr>
        <w:t>CarswellOnt</w:t>
      </w:r>
      <w:proofErr w:type="spellEnd"/>
      <w:r w:rsidRPr="00DB1285">
        <w:rPr>
          <w:lang w:val="fr-CA"/>
        </w:rPr>
        <w:t xml:space="preserve"> 14644 (</w:t>
      </w:r>
      <w:proofErr w:type="spellStart"/>
      <w:r w:rsidRPr="00DB1285">
        <w:rPr>
          <w:lang w:val="fr-CA"/>
        </w:rPr>
        <w:t>WL</w:t>
      </w:r>
      <w:proofErr w:type="spellEnd"/>
      <w:r w:rsidRPr="00DB1285">
        <w:rPr>
          <w:lang w:val="fr-CA"/>
        </w:rPr>
        <w:t>), et inscrit un acquittement. Pourvoi accueilli, le juge Rowe est dissident.</w:t>
      </w:r>
    </w:p>
    <w:p w:rsidR="00DB1285" w:rsidRPr="00DB1285" w:rsidRDefault="00DB1285" w:rsidP="00DB1285">
      <w:pPr>
        <w:tabs>
          <w:tab w:val="left" w:pos="1168"/>
        </w:tabs>
        <w:spacing w:after="480" w:line="480" w:lineRule="auto"/>
        <w:jc w:val="both"/>
        <w:rPr>
          <w:lang w:val="fr-CA"/>
        </w:rPr>
      </w:pPr>
      <w:r w:rsidRPr="00DB1285">
        <w:rPr>
          <w:i/>
          <w:lang w:val="fr-CA"/>
        </w:rPr>
        <w:tab/>
        <w:t>Michael S. Dunn</w:t>
      </w:r>
      <w:r w:rsidRPr="00DB1285">
        <w:rPr>
          <w:lang w:val="fr-CA"/>
        </w:rPr>
        <w:t>, pour l’appelant.</w:t>
      </w:r>
    </w:p>
    <w:p w:rsidR="00DB1285" w:rsidRPr="00DB1285" w:rsidRDefault="00DB1285" w:rsidP="00DB1285">
      <w:pPr>
        <w:tabs>
          <w:tab w:val="left" w:pos="1168"/>
        </w:tabs>
        <w:spacing w:after="480" w:line="480" w:lineRule="auto"/>
        <w:jc w:val="both"/>
        <w:rPr>
          <w:lang w:val="fr-CA"/>
        </w:rPr>
      </w:pPr>
      <w:r w:rsidRPr="00DB1285">
        <w:rPr>
          <w:i/>
          <w:lang w:val="fr-CA"/>
        </w:rPr>
        <w:tab/>
        <w:t xml:space="preserve">Jeff </w:t>
      </w:r>
      <w:proofErr w:type="spellStart"/>
      <w:r w:rsidRPr="00DB1285">
        <w:rPr>
          <w:i/>
          <w:lang w:val="fr-CA"/>
        </w:rPr>
        <w:t>Marshman</w:t>
      </w:r>
      <w:proofErr w:type="spellEnd"/>
      <w:r w:rsidRPr="00DB1285">
        <w:rPr>
          <w:i/>
          <w:lang w:val="fr-CA"/>
        </w:rPr>
        <w:t xml:space="preserve"> </w:t>
      </w:r>
      <w:r w:rsidRPr="00DB1285">
        <w:rPr>
          <w:lang w:val="fr-CA"/>
        </w:rPr>
        <w:t>et</w:t>
      </w:r>
      <w:r w:rsidRPr="00DB1285">
        <w:rPr>
          <w:i/>
          <w:lang w:val="fr-CA"/>
        </w:rPr>
        <w:t xml:space="preserve"> Ingrid Grant</w:t>
      </w:r>
      <w:r w:rsidRPr="00DB1285">
        <w:rPr>
          <w:lang w:val="fr-CA"/>
        </w:rPr>
        <w:t>, pour l’intimé.</w:t>
      </w:r>
    </w:p>
    <w:p w:rsidR="00DB1285" w:rsidRPr="00DB1285" w:rsidRDefault="00DB1285" w:rsidP="00DB1285">
      <w:pPr>
        <w:tabs>
          <w:tab w:val="left" w:pos="1168"/>
        </w:tabs>
        <w:spacing w:after="480" w:line="480" w:lineRule="auto"/>
        <w:jc w:val="both"/>
        <w:rPr>
          <w:lang w:val="fr-CA"/>
        </w:rPr>
      </w:pPr>
      <w:r w:rsidRPr="00DB1285">
        <w:rPr>
          <w:i/>
          <w:lang w:val="fr-CA"/>
        </w:rPr>
        <w:tab/>
        <w:t>Maija Martin</w:t>
      </w:r>
      <w:r w:rsidRPr="00DB1285">
        <w:rPr>
          <w:lang w:val="fr-CA"/>
        </w:rPr>
        <w:t xml:space="preserve"> et </w:t>
      </w:r>
      <w:r w:rsidRPr="00DB1285">
        <w:rPr>
          <w:i/>
          <w:lang w:val="fr-CA"/>
        </w:rPr>
        <w:t xml:space="preserve">Nicola </w:t>
      </w:r>
      <w:proofErr w:type="spellStart"/>
      <w:r w:rsidRPr="00DB1285">
        <w:rPr>
          <w:i/>
          <w:lang w:val="fr-CA"/>
        </w:rPr>
        <w:t>Langille</w:t>
      </w:r>
      <w:proofErr w:type="spellEnd"/>
      <w:r w:rsidRPr="00DB1285">
        <w:rPr>
          <w:lang w:val="fr-CA"/>
        </w:rPr>
        <w:t xml:space="preserve">, pour l’intervenante </w:t>
      </w:r>
      <w:proofErr w:type="spellStart"/>
      <w:r w:rsidRPr="00DB1285">
        <w:rPr>
          <w:lang w:val="fr-CA"/>
        </w:rPr>
        <w:t>Criminal</w:t>
      </w:r>
      <w:proofErr w:type="spellEnd"/>
      <w:r w:rsidRPr="00DB1285">
        <w:rPr>
          <w:lang w:val="fr-CA"/>
        </w:rPr>
        <w:t xml:space="preserve"> </w:t>
      </w:r>
      <w:proofErr w:type="spellStart"/>
      <w:r w:rsidRPr="00DB1285">
        <w:rPr>
          <w:lang w:val="fr-CA"/>
        </w:rPr>
        <w:t>Lawyers</w:t>
      </w:r>
      <w:proofErr w:type="spellEnd"/>
      <w:r w:rsidRPr="00DB1285">
        <w:rPr>
          <w:lang w:val="fr-CA"/>
        </w:rPr>
        <w:t>’ Association (Ontario).</w:t>
      </w:r>
    </w:p>
    <w:p w:rsidR="00DB1285" w:rsidRPr="00DB1285" w:rsidRDefault="00DB1285" w:rsidP="00DB1285">
      <w:pPr>
        <w:tabs>
          <w:tab w:val="left" w:pos="1168"/>
        </w:tabs>
        <w:spacing w:after="480" w:line="480" w:lineRule="auto"/>
        <w:jc w:val="both"/>
        <w:rPr>
          <w:lang w:val="fr-CA"/>
        </w:rPr>
      </w:pPr>
      <w:r w:rsidRPr="00DB1285">
        <w:rPr>
          <w:i/>
          <w:lang w:val="fr-CA"/>
        </w:rPr>
        <w:tab/>
        <w:t xml:space="preserve">William J. van </w:t>
      </w:r>
      <w:proofErr w:type="spellStart"/>
      <w:r w:rsidRPr="00DB1285">
        <w:rPr>
          <w:i/>
          <w:lang w:val="fr-CA"/>
        </w:rPr>
        <w:t>Engen</w:t>
      </w:r>
      <w:proofErr w:type="spellEnd"/>
      <w:r w:rsidRPr="00DB1285">
        <w:rPr>
          <w:i/>
          <w:lang w:val="fr-CA"/>
        </w:rPr>
        <w:t xml:space="preserve"> </w:t>
      </w:r>
      <w:r w:rsidRPr="00DB1285">
        <w:rPr>
          <w:lang w:val="fr-CA"/>
        </w:rPr>
        <w:t xml:space="preserve">et </w:t>
      </w:r>
      <w:r w:rsidRPr="00DB1285">
        <w:rPr>
          <w:i/>
          <w:lang w:val="fr-CA"/>
        </w:rPr>
        <w:t>Deborah R. Hatch</w:t>
      </w:r>
      <w:r w:rsidRPr="00DB1285">
        <w:rPr>
          <w:lang w:val="fr-CA"/>
        </w:rPr>
        <w:t xml:space="preserve">, pour l’intervenante </w:t>
      </w:r>
      <w:proofErr w:type="spellStart"/>
      <w:r w:rsidRPr="00DB1285">
        <w:rPr>
          <w:lang w:val="fr-CA"/>
        </w:rPr>
        <w:t>Criminal</w:t>
      </w:r>
      <w:proofErr w:type="spellEnd"/>
      <w:r w:rsidRPr="00DB1285">
        <w:rPr>
          <w:lang w:val="fr-CA"/>
        </w:rPr>
        <w:t xml:space="preserve"> Trial </w:t>
      </w:r>
      <w:proofErr w:type="spellStart"/>
      <w:r w:rsidRPr="00DB1285">
        <w:rPr>
          <w:lang w:val="fr-CA"/>
        </w:rPr>
        <w:t>Lawyers</w:t>
      </w:r>
      <w:proofErr w:type="spellEnd"/>
      <w:r w:rsidRPr="00DB1285">
        <w:rPr>
          <w:lang w:val="fr-CA"/>
        </w:rPr>
        <w:t>’ Association.</w:t>
      </w:r>
    </w:p>
    <w:p w:rsidR="00DB1285" w:rsidRPr="00DB1285" w:rsidRDefault="00DB1285" w:rsidP="00DB1285">
      <w:pPr>
        <w:tabs>
          <w:tab w:val="left" w:pos="1168"/>
        </w:tabs>
        <w:spacing w:after="480" w:line="480" w:lineRule="auto"/>
        <w:jc w:val="both"/>
        <w:rPr>
          <w:lang w:val="fr-CA"/>
        </w:rPr>
      </w:pPr>
      <w:r w:rsidRPr="00DB1285">
        <w:rPr>
          <w:lang w:val="fr-CA"/>
        </w:rPr>
        <w:tab/>
        <w:t>Version française du jugement de la Cour rendu oralement par</w:t>
      </w:r>
    </w:p>
    <w:p w:rsidR="00DB1285" w:rsidRPr="00DB1285" w:rsidRDefault="00DB1285" w:rsidP="00DB1285">
      <w:pPr>
        <w:tabs>
          <w:tab w:val="left" w:pos="1168"/>
        </w:tabs>
        <w:spacing w:after="480" w:line="480" w:lineRule="auto"/>
        <w:jc w:val="both"/>
        <w:rPr>
          <w:lang w:val="fr-CA"/>
        </w:rPr>
      </w:pPr>
      <w:r w:rsidRPr="00DB1285">
        <w:rPr>
          <w:lang w:val="fr-CA"/>
        </w:rPr>
        <w:t>[1]</w:t>
      </w:r>
      <w:r w:rsidRPr="00DB1285">
        <w:rPr>
          <w:lang w:val="fr-CA"/>
        </w:rPr>
        <w:tab/>
      </w:r>
      <w:r w:rsidRPr="00DB1285">
        <w:rPr>
          <w:smallCaps/>
          <w:lang w:val="fr-CA"/>
        </w:rPr>
        <w:t>Le juge en chef</w:t>
      </w:r>
      <w:r w:rsidRPr="00DB1285">
        <w:rPr>
          <w:lang w:val="fr-CA"/>
        </w:rPr>
        <w:t xml:space="preserve"> — La Cour est d’avis, à la majorité, d’accueillir l’appel, et ce, essentiellement pour les motifs dissidents exposés par le juge d’appel </w:t>
      </w:r>
      <w:proofErr w:type="spellStart"/>
      <w:r w:rsidRPr="00DB1285">
        <w:rPr>
          <w:lang w:val="fr-CA"/>
        </w:rPr>
        <w:t>MacPherson</w:t>
      </w:r>
      <w:proofErr w:type="spellEnd"/>
      <w:r w:rsidRPr="00DB1285">
        <w:rPr>
          <w:lang w:val="fr-CA"/>
        </w:rPr>
        <w:t>. Le juge Rowe rejetterait l’appel, principalement pour les motifs des juges majoritaires de la Cour d’appel. En conséquence, l’appel est accueilli et la déclaration de culpabilité est rétablie.</w:t>
      </w:r>
    </w:p>
    <w:p w:rsidR="00DB1285" w:rsidRPr="00DB1285" w:rsidRDefault="00DB1285" w:rsidP="00DB1285">
      <w:pPr>
        <w:tabs>
          <w:tab w:val="left" w:pos="1168"/>
        </w:tabs>
        <w:spacing w:after="480" w:line="480" w:lineRule="auto"/>
        <w:jc w:val="both"/>
        <w:rPr>
          <w:i/>
          <w:lang w:val="fr-CA"/>
        </w:rPr>
      </w:pPr>
      <w:bookmarkStart w:id="0" w:name="_GoBack"/>
      <w:bookmarkEnd w:id="0"/>
      <w:r w:rsidRPr="00DB1285">
        <w:rPr>
          <w:lang w:val="fr-CA"/>
        </w:rPr>
        <w:tab/>
      </w:r>
      <w:r w:rsidRPr="00DB1285">
        <w:rPr>
          <w:i/>
          <w:lang w:val="fr-CA"/>
        </w:rPr>
        <w:t>Jugement en conséquence.</w:t>
      </w:r>
    </w:p>
    <w:p w:rsidR="00DB1285" w:rsidRPr="00DB1285" w:rsidRDefault="00DB1285" w:rsidP="00DB1285">
      <w:pPr>
        <w:tabs>
          <w:tab w:val="left" w:pos="1168"/>
        </w:tabs>
        <w:spacing w:after="480" w:line="480" w:lineRule="auto"/>
        <w:jc w:val="both"/>
        <w:rPr>
          <w:i/>
          <w:lang w:val="fr-CA"/>
        </w:rPr>
      </w:pPr>
      <w:r w:rsidRPr="00DB1285">
        <w:rPr>
          <w:i/>
          <w:lang w:val="fr-CA"/>
        </w:rPr>
        <w:tab/>
        <w:t xml:space="preserve">Procureur de l’appelant : </w:t>
      </w:r>
      <w:r w:rsidRPr="00DB1285">
        <w:rPr>
          <w:i/>
          <w:iCs/>
          <w:lang w:val="fr-CA"/>
        </w:rPr>
        <w:t>Ministère du Procureur général — Bureau des avocats de la Couronne, Droit criminel</w:t>
      </w:r>
      <w:r w:rsidRPr="00DB1285">
        <w:rPr>
          <w:i/>
          <w:lang w:val="fr-CA"/>
        </w:rPr>
        <w:t>, Toronto.</w:t>
      </w:r>
    </w:p>
    <w:p w:rsidR="00DB1285" w:rsidRPr="00DB1285" w:rsidRDefault="00DB1285" w:rsidP="00DB1285">
      <w:pPr>
        <w:tabs>
          <w:tab w:val="left" w:pos="1168"/>
        </w:tabs>
        <w:spacing w:after="480" w:line="480" w:lineRule="auto"/>
        <w:jc w:val="both"/>
        <w:rPr>
          <w:i/>
          <w:lang w:val="fr-CA"/>
        </w:rPr>
      </w:pPr>
      <w:r w:rsidRPr="00DB1285">
        <w:rPr>
          <w:i/>
          <w:lang w:val="fr-CA"/>
        </w:rPr>
        <w:tab/>
        <w:t xml:space="preserve">Procureurs de l’intimé : Grant and </w:t>
      </w:r>
      <w:proofErr w:type="spellStart"/>
      <w:r w:rsidRPr="00DB1285">
        <w:rPr>
          <w:i/>
          <w:lang w:val="fr-CA"/>
        </w:rPr>
        <w:t>Marshman</w:t>
      </w:r>
      <w:proofErr w:type="spellEnd"/>
      <w:r w:rsidRPr="00DB1285">
        <w:rPr>
          <w:i/>
          <w:lang w:val="fr-CA"/>
        </w:rPr>
        <w:t>, Toronto.</w:t>
      </w:r>
    </w:p>
    <w:p w:rsidR="00DB1285" w:rsidRPr="00DB1285" w:rsidRDefault="00DB1285" w:rsidP="00DB1285">
      <w:pPr>
        <w:tabs>
          <w:tab w:val="left" w:pos="1168"/>
        </w:tabs>
        <w:spacing w:after="480" w:line="480" w:lineRule="auto"/>
        <w:jc w:val="both"/>
        <w:rPr>
          <w:i/>
          <w:lang w:val="fr-CA"/>
        </w:rPr>
      </w:pPr>
      <w:r w:rsidRPr="00DB1285">
        <w:rPr>
          <w:i/>
          <w:lang w:val="fr-CA"/>
        </w:rPr>
        <w:tab/>
        <w:t xml:space="preserve">Procureurs de l’intervenante </w:t>
      </w:r>
      <w:proofErr w:type="spellStart"/>
      <w:r w:rsidRPr="00DB1285">
        <w:rPr>
          <w:i/>
          <w:lang w:val="fr-CA"/>
        </w:rPr>
        <w:t>Criminal</w:t>
      </w:r>
      <w:proofErr w:type="spellEnd"/>
      <w:r w:rsidRPr="00DB1285">
        <w:rPr>
          <w:i/>
          <w:lang w:val="fr-CA"/>
        </w:rPr>
        <w:t xml:space="preserve"> </w:t>
      </w:r>
      <w:proofErr w:type="spellStart"/>
      <w:r w:rsidRPr="00DB1285">
        <w:rPr>
          <w:i/>
          <w:lang w:val="fr-CA"/>
        </w:rPr>
        <w:t>Lawyers</w:t>
      </w:r>
      <w:proofErr w:type="spellEnd"/>
      <w:r w:rsidRPr="00DB1285">
        <w:rPr>
          <w:i/>
          <w:lang w:val="fr-CA"/>
        </w:rPr>
        <w:t xml:space="preserve">’ Association (Ontario) : Martin </w:t>
      </w:r>
      <w:proofErr w:type="spellStart"/>
      <w:r w:rsidRPr="00DB1285">
        <w:rPr>
          <w:i/>
          <w:lang w:val="fr-CA"/>
        </w:rPr>
        <w:t>Barristers</w:t>
      </w:r>
      <w:proofErr w:type="spellEnd"/>
      <w:r w:rsidRPr="00DB1285">
        <w:rPr>
          <w:i/>
          <w:lang w:val="fr-CA"/>
        </w:rPr>
        <w:t xml:space="preserve">, Toronto; Yellowknife </w:t>
      </w:r>
      <w:proofErr w:type="spellStart"/>
      <w:r w:rsidRPr="00DB1285">
        <w:rPr>
          <w:i/>
          <w:lang w:val="fr-CA"/>
        </w:rPr>
        <w:t>Legal</w:t>
      </w:r>
      <w:proofErr w:type="spellEnd"/>
      <w:r w:rsidRPr="00DB1285">
        <w:rPr>
          <w:i/>
          <w:lang w:val="fr-CA"/>
        </w:rPr>
        <w:t xml:space="preserve"> </w:t>
      </w:r>
      <w:proofErr w:type="spellStart"/>
      <w:r w:rsidRPr="00DB1285">
        <w:rPr>
          <w:i/>
          <w:lang w:val="fr-CA"/>
        </w:rPr>
        <w:t>Aid</w:t>
      </w:r>
      <w:proofErr w:type="spellEnd"/>
      <w:r w:rsidRPr="00DB1285">
        <w:rPr>
          <w:i/>
          <w:lang w:val="fr-CA"/>
        </w:rPr>
        <w:t xml:space="preserve"> </w:t>
      </w:r>
      <w:proofErr w:type="spellStart"/>
      <w:r w:rsidRPr="00DB1285">
        <w:rPr>
          <w:i/>
          <w:lang w:val="fr-CA"/>
        </w:rPr>
        <w:t>Clinic</w:t>
      </w:r>
      <w:proofErr w:type="spellEnd"/>
      <w:r w:rsidRPr="00DB1285">
        <w:rPr>
          <w:i/>
          <w:lang w:val="fr-CA"/>
        </w:rPr>
        <w:t>, Yellowknife.</w:t>
      </w:r>
    </w:p>
    <w:p w:rsidR="00DB1285" w:rsidRPr="00DB1285" w:rsidRDefault="00DB1285" w:rsidP="00DB1285">
      <w:pPr>
        <w:tabs>
          <w:tab w:val="left" w:pos="1168"/>
        </w:tabs>
        <w:spacing w:after="480" w:line="480" w:lineRule="auto"/>
        <w:jc w:val="both"/>
        <w:rPr>
          <w:i/>
          <w:lang w:val="fr-CA"/>
        </w:rPr>
      </w:pPr>
      <w:r w:rsidRPr="00DB1285">
        <w:rPr>
          <w:i/>
          <w:lang w:val="fr-CA"/>
        </w:rPr>
        <w:tab/>
        <w:t xml:space="preserve">Procureurs de l’intervenante </w:t>
      </w:r>
      <w:proofErr w:type="spellStart"/>
      <w:r w:rsidRPr="00DB1285">
        <w:rPr>
          <w:i/>
          <w:lang w:val="fr-CA"/>
        </w:rPr>
        <w:t>Criminal</w:t>
      </w:r>
      <w:proofErr w:type="spellEnd"/>
      <w:r w:rsidRPr="00DB1285">
        <w:rPr>
          <w:i/>
          <w:lang w:val="fr-CA"/>
        </w:rPr>
        <w:t xml:space="preserve"> Trial </w:t>
      </w:r>
      <w:proofErr w:type="spellStart"/>
      <w:r w:rsidRPr="00DB1285">
        <w:rPr>
          <w:i/>
          <w:lang w:val="fr-CA"/>
        </w:rPr>
        <w:t>Lawyers</w:t>
      </w:r>
      <w:proofErr w:type="spellEnd"/>
      <w:r w:rsidRPr="00DB1285">
        <w:rPr>
          <w:i/>
          <w:lang w:val="fr-CA"/>
        </w:rPr>
        <w:t xml:space="preserve">’ Association : </w:t>
      </w:r>
      <w:proofErr w:type="spellStart"/>
      <w:r w:rsidRPr="00DB1285">
        <w:rPr>
          <w:i/>
          <w:lang w:val="fr-CA"/>
        </w:rPr>
        <w:t>Bottos</w:t>
      </w:r>
      <w:proofErr w:type="spellEnd"/>
      <w:r w:rsidRPr="00DB1285">
        <w:rPr>
          <w:i/>
          <w:lang w:val="fr-CA"/>
        </w:rPr>
        <w:t xml:space="preserve"> Law Group, Edmonton; Deborah R. Hatch </w:t>
      </w:r>
      <w:proofErr w:type="spellStart"/>
      <w:r w:rsidRPr="00DB1285">
        <w:rPr>
          <w:i/>
          <w:lang w:val="fr-CA"/>
        </w:rPr>
        <w:t>Criminal</w:t>
      </w:r>
      <w:proofErr w:type="spellEnd"/>
      <w:r w:rsidRPr="00DB1285">
        <w:rPr>
          <w:i/>
          <w:lang w:val="fr-CA"/>
        </w:rPr>
        <w:t xml:space="preserve"> Law, Edmonton.</w:t>
      </w:r>
    </w:p>
    <w:p w:rsidR="00DB1285" w:rsidRDefault="00DB1285" w:rsidP="00DB1285">
      <w:pPr>
        <w:rPr>
          <w:rFonts w:eastAsia="Calibri"/>
          <w:szCs w:val="24"/>
          <w:lang w:val="fr-CA" w:eastAsia="en-US"/>
        </w:rPr>
      </w:pPr>
    </w:p>
    <w:sectPr w:rsidR="00DB1285" w:rsidSect="00DB1285">
      <w:headerReference w:type="default" r:id="rId11"/>
      <w:headerReference w:type="first" r:id="rId12"/>
      <w:pgSz w:w="12240" w:h="15840"/>
      <w:pgMar w:top="1440" w:right="1440" w:bottom="1440" w:left="1440" w:header="180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CE" w:rsidRDefault="006C2CCE">
      <w:r>
        <w:separator/>
      </w:r>
    </w:p>
  </w:endnote>
  <w:endnote w:type="continuationSeparator" w:id="0">
    <w:p w:rsidR="006C2CCE" w:rsidRDefault="006C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CE" w:rsidRDefault="006C2CCE">
      <w:r>
        <w:separator/>
      </w:r>
    </w:p>
  </w:footnote>
  <w:footnote w:type="continuationSeparator" w:id="0">
    <w:p w:rsidR="006C2CCE" w:rsidRDefault="006C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DA" w:rsidRDefault="00DB1285" w:rsidP="00F07DDA">
    <w:pPr>
      <w:rPr>
        <w:szCs w:val="24"/>
      </w:rPr>
    </w:pPr>
  </w:p>
  <w:p w:rsidR="00F07DDA" w:rsidRDefault="00DB1285" w:rsidP="00F07DDA">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22754"/>
      <w:lock w:val="contentLocked"/>
      <w:showingPlcHdr/>
      <w:text/>
    </w:sdtPr>
    <w:sdtEndPr/>
    <w:sdtContent>
      <w:p w:rsidR="000367A3" w:rsidRDefault="00DB1285" w:rsidP="000367A3"/>
      <w:p w:rsidR="000367A3" w:rsidRDefault="00DB1285" w:rsidP="000367A3"/>
      <w:p w:rsidR="000367A3" w:rsidRPr="0031097F" w:rsidRDefault="00DB1285" w:rsidP="000367A3"/>
      <w:p w:rsidR="000367A3" w:rsidRDefault="00DB1285" w:rsidP="000367A3"/>
      <w:p w:rsidR="000367A3" w:rsidRDefault="00DB1285" w:rsidP="000367A3"/>
      <w:p w:rsidR="000367A3" w:rsidRDefault="00DB1285" w:rsidP="000367A3"/>
      <w:p w:rsidR="000367A3" w:rsidRDefault="00DB1285" w:rsidP="000367A3"/>
      <w:p w:rsidR="000367A3" w:rsidRDefault="00DB1285" w:rsidP="000367A3"/>
      <w:p w:rsidR="000367A3" w:rsidRPr="00FE22F9" w:rsidRDefault="00DB1285" w:rsidP="000367A3"/>
      <w:p w:rsidR="000367A3" w:rsidRPr="00FE22F9" w:rsidRDefault="00DB1285" w:rsidP="000367A3"/>
      <w:p w:rsidR="000367A3" w:rsidRDefault="00DB1285" w:rsidP="000367A3">
        <w:pPr>
          <w:pStyle w:val="Header"/>
        </w:pPr>
      </w:p>
      <w:p w:rsidR="00484355" w:rsidRPr="000367A3" w:rsidRDefault="00DB1285" w:rsidP="000367A3">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64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763F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C850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A47E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3837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3003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7208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9661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905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2A5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B73F21"/>
    <w:multiLevelType w:val="hybridMultilevel"/>
    <w:tmpl w:val="1CA8AB4C"/>
    <w:lvl w:ilvl="0" w:tplc="AF12D3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D000BA4"/>
    <w:multiLevelType w:val="hybridMultilevel"/>
    <w:tmpl w:val="900CBD0E"/>
    <w:lvl w:ilvl="0" w:tplc="AF12D3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C1B2609"/>
    <w:multiLevelType w:val="hybridMultilevel"/>
    <w:tmpl w:val="B62EB43A"/>
    <w:lvl w:ilvl="0" w:tplc="AF12D3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0F65EB2"/>
    <w:multiLevelType w:val="hybridMultilevel"/>
    <w:tmpl w:val="406E4396"/>
    <w:lvl w:ilvl="0" w:tplc="AF12D38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03130A"/>
    <w:multiLevelType w:val="multilevel"/>
    <w:tmpl w:val="9A5EAD4C"/>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8"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20"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4283EE8"/>
    <w:multiLevelType w:val="multilevel"/>
    <w:tmpl w:val="61380426"/>
    <w:lvl w:ilvl="0">
      <w:start w:val="1"/>
      <w:numFmt w:val="decimal"/>
      <w:pStyle w:val="ParaNoNdepar-AltN"/>
      <w:lvlText w:val="[%1]"/>
      <w:lvlJc w:val="left"/>
      <w:pPr>
        <w:tabs>
          <w:tab w:val="num" w:pos="1152"/>
        </w:tabs>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662891"/>
    <w:multiLevelType w:val="hybridMultilevel"/>
    <w:tmpl w:val="FAECBADC"/>
    <w:lvl w:ilvl="0" w:tplc="AF12D38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66D1F9C"/>
    <w:multiLevelType w:val="hybridMultilevel"/>
    <w:tmpl w:val="A1BAD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A5550B"/>
    <w:multiLevelType w:val="hybridMultilevel"/>
    <w:tmpl w:val="D9EA6A54"/>
    <w:lvl w:ilvl="0" w:tplc="AF12D38C">
      <w:start w:val="1"/>
      <w:numFmt w:val="decimal"/>
      <w:lvlText w:val="(%1)"/>
      <w:lvlJc w:val="left"/>
      <w:pPr>
        <w:ind w:left="1080" w:hanging="360"/>
      </w:pPr>
      <w:rPr>
        <w:rFonts w:hint="default"/>
      </w:rPr>
    </w:lvl>
    <w:lvl w:ilvl="1" w:tplc="19B23C74">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A957F3C"/>
    <w:multiLevelType w:val="hybridMultilevel"/>
    <w:tmpl w:val="A0A41CF8"/>
    <w:lvl w:ilvl="0" w:tplc="D7E6156A">
      <w:start w:val="1"/>
      <w:numFmt w:val="bullet"/>
      <w:lvlText w:val=""/>
      <w:lvlJc w:val="left"/>
      <w:pPr>
        <w:ind w:left="900" w:hanging="360"/>
      </w:pPr>
      <w:rPr>
        <w:rFonts w:ascii="Symbol" w:hAnsi="Symbol" w:hint="default"/>
        <w:color w:val="auto"/>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num w:numId="1">
    <w:abstractNumId w:val="22"/>
  </w:num>
  <w:num w:numId="2">
    <w:abstractNumId w:val="12"/>
  </w:num>
  <w:num w:numId="3">
    <w:abstractNumId w:val="10"/>
  </w:num>
  <w:num w:numId="4">
    <w:abstractNumId w:val="19"/>
  </w:num>
  <w:num w:numId="5">
    <w:abstractNumId w:val="20"/>
  </w:num>
  <w:num w:numId="6">
    <w:abstractNumId w:val="21"/>
  </w:num>
  <w:num w:numId="7">
    <w:abstractNumId w:val="17"/>
  </w:num>
  <w:num w:numId="8">
    <w:abstractNumId w:val="17"/>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25"/>
  </w:num>
  <w:num w:numId="10">
    <w:abstractNumId w:val="15"/>
  </w:num>
  <w:num w:numId="11">
    <w:abstractNumId w:val="13"/>
  </w:num>
  <w:num w:numId="12">
    <w:abstractNumId w:val="11"/>
  </w:num>
  <w:num w:numId="13">
    <w:abstractNumId w:val="17"/>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i w:val="0"/>
          <w:sz w:val="24"/>
        </w:rPr>
      </w:lvl>
    </w:lvlOverride>
    <w:lvlOverride w:ilvl="2">
      <w:lvl w:ilvl="2">
        <w:start w:val="1"/>
        <w:numFmt w:val="decimal"/>
        <w:pStyle w:val="Title3LevelTitre3Niveau"/>
        <w:lvlText w:val="(%3)"/>
        <w:lvlJc w:val="left"/>
        <w:pPr>
          <w:tabs>
            <w:tab w:val="num" w:pos="1152"/>
          </w:tabs>
          <w:ind w:left="1152"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Title4LevelTitre4Niveau"/>
        <w:lvlText w:val="(%4)"/>
        <w:lvlJc w:val="left"/>
        <w:pPr>
          <w:tabs>
            <w:tab w:val="num" w:pos="1152"/>
          </w:tabs>
          <w:ind w:left="1152" w:hanging="576"/>
        </w:pPr>
        <w:rPr>
          <w:rFonts w:hint="default"/>
          <w:b/>
          <w:i w:val="0"/>
        </w:rPr>
      </w:lvl>
    </w:lvlOverride>
    <w:lvlOverride w:ilvl="4">
      <w:lvl w:ilvl="4">
        <w:start w:val="1"/>
        <w:numFmt w:val="lowerRoman"/>
        <w:pStyle w:val="Title5LevelTitre5Niveau"/>
        <w:lvlText w:val="(%5)"/>
        <w:lvlJc w:val="left"/>
        <w:pPr>
          <w:tabs>
            <w:tab w:val="num" w:pos="1728"/>
          </w:tabs>
          <w:ind w:left="1728" w:hanging="576"/>
        </w:pPr>
        <w:rPr>
          <w:rFonts w:hint="default"/>
          <w:i w:val="0"/>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3"/>
  </w:num>
  <w:num w:numId="27">
    <w:abstractNumId w:val="14"/>
  </w:num>
  <w:num w:numId="28">
    <w:abstractNumId w:val="26"/>
  </w:num>
  <w:num w:numId="29">
    <w:abstractNumId w:val="24"/>
  </w:num>
  <w:num w:numId="30">
    <w:abstractNumId w:val="17"/>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33DC"/>
    <w:rsid w:val="00013781"/>
    <w:rsid w:val="00017885"/>
    <w:rsid w:val="00022F2E"/>
    <w:rsid w:val="00025198"/>
    <w:rsid w:val="00026467"/>
    <w:rsid w:val="00040D1B"/>
    <w:rsid w:val="00041BDD"/>
    <w:rsid w:val="000578A3"/>
    <w:rsid w:val="000648CC"/>
    <w:rsid w:val="00076E46"/>
    <w:rsid w:val="0008133F"/>
    <w:rsid w:val="000903EF"/>
    <w:rsid w:val="00094FED"/>
    <w:rsid w:val="000B34E8"/>
    <w:rsid w:val="000B53DD"/>
    <w:rsid w:val="000B5CFA"/>
    <w:rsid w:val="000B69B5"/>
    <w:rsid w:val="000C3FCE"/>
    <w:rsid w:val="000C59B8"/>
    <w:rsid w:val="000C6AF0"/>
    <w:rsid w:val="000C78C2"/>
    <w:rsid w:val="000F0995"/>
    <w:rsid w:val="000F2FF1"/>
    <w:rsid w:val="00104F33"/>
    <w:rsid w:val="00106D75"/>
    <w:rsid w:val="00111905"/>
    <w:rsid w:val="00111DE2"/>
    <w:rsid w:val="0011492A"/>
    <w:rsid w:val="001160DE"/>
    <w:rsid w:val="00116B38"/>
    <w:rsid w:val="00134F55"/>
    <w:rsid w:val="00135406"/>
    <w:rsid w:val="00135972"/>
    <w:rsid w:val="00136268"/>
    <w:rsid w:val="00137E61"/>
    <w:rsid w:val="001426A9"/>
    <w:rsid w:val="00142D29"/>
    <w:rsid w:val="0014546A"/>
    <w:rsid w:val="00154563"/>
    <w:rsid w:val="00154D7C"/>
    <w:rsid w:val="001570B0"/>
    <w:rsid w:val="0015752C"/>
    <w:rsid w:val="00157737"/>
    <w:rsid w:val="00165277"/>
    <w:rsid w:val="001677C1"/>
    <w:rsid w:val="00170592"/>
    <w:rsid w:val="001708F9"/>
    <w:rsid w:val="00186351"/>
    <w:rsid w:val="00195D83"/>
    <w:rsid w:val="001977DB"/>
    <w:rsid w:val="001A00C1"/>
    <w:rsid w:val="001A42A4"/>
    <w:rsid w:val="001B33E0"/>
    <w:rsid w:val="001B4573"/>
    <w:rsid w:val="001C4602"/>
    <w:rsid w:val="001C779F"/>
    <w:rsid w:val="001D2AC1"/>
    <w:rsid w:val="001D4DDF"/>
    <w:rsid w:val="001D4E88"/>
    <w:rsid w:val="001D65FF"/>
    <w:rsid w:val="001D6E70"/>
    <w:rsid w:val="001E477D"/>
    <w:rsid w:val="00220FC2"/>
    <w:rsid w:val="002222F4"/>
    <w:rsid w:val="00224FC0"/>
    <w:rsid w:val="00225EA4"/>
    <w:rsid w:val="00226EAF"/>
    <w:rsid w:val="002310A2"/>
    <w:rsid w:val="00231407"/>
    <w:rsid w:val="00231F3A"/>
    <w:rsid w:val="00234199"/>
    <w:rsid w:val="00236389"/>
    <w:rsid w:val="00237AFE"/>
    <w:rsid w:val="002406EE"/>
    <w:rsid w:val="00243EC8"/>
    <w:rsid w:val="0026412B"/>
    <w:rsid w:val="00264B77"/>
    <w:rsid w:val="0026669D"/>
    <w:rsid w:val="00270D93"/>
    <w:rsid w:val="002745CC"/>
    <w:rsid w:val="002909F6"/>
    <w:rsid w:val="0029178F"/>
    <w:rsid w:val="002B7924"/>
    <w:rsid w:val="002B7ABA"/>
    <w:rsid w:val="002D2226"/>
    <w:rsid w:val="002D28C3"/>
    <w:rsid w:val="002D294E"/>
    <w:rsid w:val="002D3505"/>
    <w:rsid w:val="002D39A4"/>
    <w:rsid w:val="002E6189"/>
    <w:rsid w:val="002E6705"/>
    <w:rsid w:val="00301D08"/>
    <w:rsid w:val="0030329A"/>
    <w:rsid w:val="00303F14"/>
    <w:rsid w:val="00305526"/>
    <w:rsid w:val="00305B66"/>
    <w:rsid w:val="0031086F"/>
    <w:rsid w:val="0031414C"/>
    <w:rsid w:val="00314E01"/>
    <w:rsid w:val="00317670"/>
    <w:rsid w:val="003207F1"/>
    <w:rsid w:val="0032089D"/>
    <w:rsid w:val="00324AE2"/>
    <w:rsid w:val="003310DE"/>
    <w:rsid w:val="003323B0"/>
    <w:rsid w:val="0033472B"/>
    <w:rsid w:val="00337C82"/>
    <w:rsid w:val="00342089"/>
    <w:rsid w:val="00347BA4"/>
    <w:rsid w:val="0035169A"/>
    <w:rsid w:val="0035259D"/>
    <w:rsid w:val="00353B79"/>
    <w:rsid w:val="00353EF2"/>
    <w:rsid w:val="00355C66"/>
    <w:rsid w:val="00362ADA"/>
    <w:rsid w:val="00364B18"/>
    <w:rsid w:val="003801DB"/>
    <w:rsid w:val="00381C49"/>
    <w:rsid w:val="0039294D"/>
    <w:rsid w:val="00396BF3"/>
    <w:rsid w:val="003A125D"/>
    <w:rsid w:val="003A4C70"/>
    <w:rsid w:val="003B215F"/>
    <w:rsid w:val="003C2CFF"/>
    <w:rsid w:val="003C799C"/>
    <w:rsid w:val="003D0399"/>
    <w:rsid w:val="003E1C71"/>
    <w:rsid w:val="003E2693"/>
    <w:rsid w:val="003E53AC"/>
    <w:rsid w:val="003F327B"/>
    <w:rsid w:val="003F7ACB"/>
    <w:rsid w:val="00400B24"/>
    <w:rsid w:val="00404D28"/>
    <w:rsid w:val="00406166"/>
    <w:rsid w:val="0040704B"/>
    <w:rsid w:val="00407839"/>
    <w:rsid w:val="00410003"/>
    <w:rsid w:val="00410A55"/>
    <w:rsid w:val="00411300"/>
    <w:rsid w:val="00415417"/>
    <w:rsid w:val="004234D3"/>
    <w:rsid w:val="00424FE1"/>
    <w:rsid w:val="00425158"/>
    <w:rsid w:val="00426659"/>
    <w:rsid w:val="00426D16"/>
    <w:rsid w:val="00445C7C"/>
    <w:rsid w:val="00450352"/>
    <w:rsid w:val="00454BDB"/>
    <w:rsid w:val="00456FFF"/>
    <w:rsid w:val="00463A7A"/>
    <w:rsid w:val="00464800"/>
    <w:rsid w:val="00464BF6"/>
    <w:rsid w:val="00465132"/>
    <w:rsid w:val="00465EF1"/>
    <w:rsid w:val="004707F9"/>
    <w:rsid w:val="00470DB3"/>
    <w:rsid w:val="0047411A"/>
    <w:rsid w:val="00480C90"/>
    <w:rsid w:val="0048396F"/>
    <w:rsid w:val="00486C55"/>
    <w:rsid w:val="00493C18"/>
    <w:rsid w:val="00495D96"/>
    <w:rsid w:val="004A600C"/>
    <w:rsid w:val="004A6118"/>
    <w:rsid w:val="004C2314"/>
    <w:rsid w:val="004C25EE"/>
    <w:rsid w:val="004C478D"/>
    <w:rsid w:val="004C6955"/>
    <w:rsid w:val="004D1721"/>
    <w:rsid w:val="004D4FEC"/>
    <w:rsid w:val="004E0D6A"/>
    <w:rsid w:val="004E2C26"/>
    <w:rsid w:val="004E61A7"/>
    <w:rsid w:val="004F36FF"/>
    <w:rsid w:val="00506A78"/>
    <w:rsid w:val="005125A8"/>
    <w:rsid w:val="00516DED"/>
    <w:rsid w:val="00517BC7"/>
    <w:rsid w:val="00521AE8"/>
    <w:rsid w:val="00524449"/>
    <w:rsid w:val="00527180"/>
    <w:rsid w:val="005341CE"/>
    <w:rsid w:val="00534AB2"/>
    <w:rsid w:val="0054201E"/>
    <w:rsid w:val="00547FB8"/>
    <w:rsid w:val="005541DB"/>
    <w:rsid w:val="00555291"/>
    <w:rsid w:val="0056265A"/>
    <w:rsid w:val="00566AD1"/>
    <w:rsid w:val="0057257D"/>
    <w:rsid w:val="00575FF2"/>
    <w:rsid w:val="00582AE2"/>
    <w:rsid w:val="00583EDE"/>
    <w:rsid w:val="00586928"/>
    <w:rsid w:val="005966EF"/>
    <w:rsid w:val="005A4F85"/>
    <w:rsid w:val="005A6079"/>
    <w:rsid w:val="005C617A"/>
    <w:rsid w:val="005C7840"/>
    <w:rsid w:val="005E4698"/>
    <w:rsid w:val="006003EE"/>
    <w:rsid w:val="006055B2"/>
    <w:rsid w:val="00610539"/>
    <w:rsid w:val="00613969"/>
    <w:rsid w:val="0061523C"/>
    <w:rsid w:val="00617208"/>
    <w:rsid w:val="00625C35"/>
    <w:rsid w:val="00626A7D"/>
    <w:rsid w:val="0062787A"/>
    <w:rsid w:val="00635521"/>
    <w:rsid w:val="00637318"/>
    <w:rsid w:val="00640645"/>
    <w:rsid w:val="006468AB"/>
    <w:rsid w:val="0065050D"/>
    <w:rsid w:val="00656313"/>
    <w:rsid w:val="006565F4"/>
    <w:rsid w:val="0066108F"/>
    <w:rsid w:val="00666098"/>
    <w:rsid w:val="006763FD"/>
    <w:rsid w:val="00684EEA"/>
    <w:rsid w:val="006908E8"/>
    <w:rsid w:val="0069689B"/>
    <w:rsid w:val="006A1551"/>
    <w:rsid w:val="006A48DB"/>
    <w:rsid w:val="006B4F1D"/>
    <w:rsid w:val="006B5FF5"/>
    <w:rsid w:val="006B7683"/>
    <w:rsid w:val="006C2CCE"/>
    <w:rsid w:val="006D4200"/>
    <w:rsid w:val="006D65A1"/>
    <w:rsid w:val="006F30AF"/>
    <w:rsid w:val="006F54BB"/>
    <w:rsid w:val="006F7FA0"/>
    <w:rsid w:val="007009A0"/>
    <w:rsid w:val="00701759"/>
    <w:rsid w:val="00701CF2"/>
    <w:rsid w:val="00705C15"/>
    <w:rsid w:val="00712E55"/>
    <w:rsid w:val="00713025"/>
    <w:rsid w:val="00714103"/>
    <w:rsid w:val="007154A1"/>
    <w:rsid w:val="0071600E"/>
    <w:rsid w:val="007162E1"/>
    <w:rsid w:val="007162FD"/>
    <w:rsid w:val="00717FDC"/>
    <w:rsid w:val="007208D1"/>
    <w:rsid w:val="0072428C"/>
    <w:rsid w:val="0072436C"/>
    <w:rsid w:val="00730177"/>
    <w:rsid w:val="00742119"/>
    <w:rsid w:val="00742337"/>
    <w:rsid w:val="00744F09"/>
    <w:rsid w:val="00747288"/>
    <w:rsid w:val="00747DD3"/>
    <w:rsid w:val="007549C8"/>
    <w:rsid w:val="00754A0B"/>
    <w:rsid w:val="00766D14"/>
    <w:rsid w:val="00767A0F"/>
    <w:rsid w:val="00775C3E"/>
    <w:rsid w:val="00796207"/>
    <w:rsid w:val="007A05F6"/>
    <w:rsid w:val="007B1289"/>
    <w:rsid w:val="007B3D74"/>
    <w:rsid w:val="007B6F4A"/>
    <w:rsid w:val="007B7758"/>
    <w:rsid w:val="007D041C"/>
    <w:rsid w:val="007D097E"/>
    <w:rsid w:val="007E1C47"/>
    <w:rsid w:val="007E337A"/>
    <w:rsid w:val="007E5C70"/>
    <w:rsid w:val="007F2FF5"/>
    <w:rsid w:val="007F3F08"/>
    <w:rsid w:val="00801B60"/>
    <w:rsid w:val="00804CC6"/>
    <w:rsid w:val="00813B48"/>
    <w:rsid w:val="00817190"/>
    <w:rsid w:val="0081764F"/>
    <w:rsid w:val="00820223"/>
    <w:rsid w:val="00820EE5"/>
    <w:rsid w:val="008244E9"/>
    <w:rsid w:val="008260E2"/>
    <w:rsid w:val="008322BD"/>
    <w:rsid w:val="008323C4"/>
    <w:rsid w:val="00833E0A"/>
    <w:rsid w:val="00834F73"/>
    <w:rsid w:val="00847F55"/>
    <w:rsid w:val="008544FA"/>
    <w:rsid w:val="00864CF8"/>
    <w:rsid w:val="00872819"/>
    <w:rsid w:val="00874914"/>
    <w:rsid w:val="00883F8A"/>
    <w:rsid w:val="00891422"/>
    <w:rsid w:val="00892E1A"/>
    <w:rsid w:val="00892FD4"/>
    <w:rsid w:val="008A3F29"/>
    <w:rsid w:val="008A6438"/>
    <w:rsid w:val="008B660A"/>
    <w:rsid w:val="008B70F9"/>
    <w:rsid w:val="008C01DA"/>
    <w:rsid w:val="008C02C9"/>
    <w:rsid w:val="008C7263"/>
    <w:rsid w:val="008D0BDF"/>
    <w:rsid w:val="008D2104"/>
    <w:rsid w:val="008E18E5"/>
    <w:rsid w:val="008E3C2D"/>
    <w:rsid w:val="008F78E9"/>
    <w:rsid w:val="00903C32"/>
    <w:rsid w:val="00911989"/>
    <w:rsid w:val="009179F9"/>
    <w:rsid w:val="0093031F"/>
    <w:rsid w:val="00931C1C"/>
    <w:rsid w:val="00933E5E"/>
    <w:rsid w:val="00934D17"/>
    <w:rsid w:val="00935218"/>
    <w:rsid w:val="009365D5"/>
    <w:rsid w:val="009403F3"/>
    <w:rsid w:val="00953701"/>
    <w:rsid w:val="009555B7"/>
    <w:rsid w:val="009567AA"/>
    <w:rsid w:val="0096473A"/>
    <w:rsid w:val="00967374"/>
    <w:rsid w:val="00976EB5"/>
    <w:rsid w:val="00981B4D"/>
    <w:rsid w:val="00982D32"/>
    <w:rsid w:val="00983AF6"/>
    <w:rsid w:val="009A343A"/>
    <w:rsid w:val="009A4E51"/>
    <w:rsid w:val="009A520F"/>
    <w:rsid w:val="009B2F23"/>
    <w:rsid w:val="009B57B3"/>
    <w:rsid w:val="009B6FFE"/>
    <w:rsid w:val="009C5B92"/>
    <w:rsid w:val="009D2920"/>
    <w:rsid w:val="009D5AEB"/>
    <w:rsid w:val="009F0E33"/>
    <w:rsid w:val="009F1E77"/>
    <w:rsid w:val="00A003F4"/>
    <w:rsid w:val="00A030CE"/>
    <w:rsid w:val="00A149DF"/>
    <w:rsid w:val="00A1755C"/>
    <w:rsid w:val="00A21B90"/>
    <w:rsid w:val="00A41805"/>
    <w:rsid w:val="00A42DCD"/>
    <w:rsid w:val="00A44699"/>
    <w:rsid w:val="00A46FB0"/>
    <w:rsid w:val="00A52AFB"/>
    <w:rsid w:val="00A548CB"/>
    <w:rsid w:val="00A5521C"/>
    <w:rsid w:val="00A557A1"/>
    <w:rsid w:val="00A55CEF"/>
    <w:rsid w:val="00A643E7"/>
    <w:rsid w:val="00A73C38"/>
    <w:rsid w:val="00A9085B"/>
    <w:rsid w:val="00AB59C4"/>
    <w:rsid w:val="00AB670D"/>
    <w:rsid w:val="00AC6FA4"/>
    <w:rsid w:val="00AD2826"/>
    <w:rsid w:val="00AD342F"/>
    <w:rsid w:val="00AE25FE"/>
    <w:rsid w:val="00AE3FB8"/>
    <w:rsid w:val="00AE4535"/>
    <w:rsid w:val="00AF03C5"/>
    <w:rsid w:val="00AF0B26"/>
    <w:rsid w:val="00AF4773"/>
    <w:rsid w:val="00AF49CC"/>
    <w:rsid w:val="00AF571D"/>
    <w:rsid w:val="00B000D8"/>
    <w:rsid w:val="00B00F75"/>
    <w:rsid w:val="00B0409C"/>
    <w:rsid w:val="00B1050B"/>
    <w:rsid w:val="00B11735"/>
    <w:rsid w:val="00B1431F"/>
    <w:rsid w:val="00B145B6"/>
    <w:rsid w:val="00B15684"/>
    <w:rsid w:val="00B2215E"/>
    <w:rsid w:val="00B279EB"/>
    <w:rsid w:val="00B30E18"/>
    <w:rsid w:val="00B32357"/>
    <w:rsid w:val="00B43559"/>
    <w:rsid w:val="00B50C81"/>
    <w:rsid w:val="00B557F8"/>
    <w:rsid w:val="00B56AAF"/>
    <w:rsid w:val="00B62F10"/>
    <w:rsid w:val="00B67199"/>
    <w:rsid w:val="00B815FC"/>
    <w:rsid w:val="00B838B8"/>
    <w:rsid w:val="00B93FBC"/>
    <w:rsid w:val="00BA066D"/>
    <w:rsid w:val="00BA12BA"/>
    <w:rsid w:val="00BA1F0D"/>
    <w:rsid w:val="00BA7DA0"/>
    <w:rsid w:val="00BB2366"/>
    <w:rsid w:val="00BB2EE4"/>
    <w:rsid w:val="00BB5AE6"/>
    <w:rsid w:val="00BC2108"/>
    <w:rsid w:val="00BC3F80"/>
    <w:rsid w:val="00BC5642"/>
    <w:rsid w:val="00BD0E9E"/>
    <w:rsid w:val="00BD1BEC"/>
    <w:rsid w:val="00BD32FF"/>
    <w:rsid w:val="00BD67ED"/>
    <w:rsid w:val="00BE7206"/>
    <w:rsid w:val="00C02092"/>
    <w:rsid w:val="00C22905"/>
    <w:rsid w:val="00C229CD"/>
    <w:rsid w:val="00C24D91"/>
    <w:rsid w:val="00C31D39"/>
    <w:rsid w:val="00C53F14"/>
    <w:rsid w:val="00C600CF"/>
    <w:rsid w:val="00C6084F"/>
    <w:rsid w:val="00C62A66"/>
    <w:rsid w:val="00C62FD6"/>
    <w:rsid w:val="00C71458"/>
    <w:rsid w:val="00C7359C"/>
    <w:rsid w:val="00C77613"/>
    <w:rsid w:val="00C828E7"/>
    <w:rsid w:val="00C86719"/>
    <w:rsid w:val="00C921DD"/>
    <w:rsid w:val="00C93B01"/>
    <w:rsid w:val="00CA6391"/>
    <w:rsid w:val="00CA7B39"/>
    <w:rsid w:val="00CB5B04"/>
    <w:rsid w:val="00CB793C"/>
    <w:rsid w:val="00CC34BD"/>
    <w:rsid w:val="00CE161A"/>
    <w:rsid w:val="00CE3171"/>
    <w:rsid w:val="00CF1601"/>
    <w:rsid w:val="00D0172F"/>
    <w:rsid w:val="00D068A7"/>
    <w:rsid w:val="00D173CE"/>
    <w:rsid w:val="00D17476"/>
    <w:rsid w:val="00D22128"/>
    <w:rsid w:val="00D25F6B"/>
    <w:rsid w:val="00D26B67"/>
    <w:rsid w:val="00D32086"/>
    <w:rsid w:val="00D360E6"/>
    <w:rsid w:val="00D37A3F"/>
    <w:rsid w:val="00D4431D"/>
    <w:rsid w:val="00D4667A"/>
    <w:rsid w:val="00D469D5"/>
    <w:rsid w:val="00D47BFC"/>
    <w:rsid w:val="00D614A5"/>
    <w:rsid w:val="00D63A1C"/>
    <w:rsid w:val="00D7516F"/>
    <w:rsid w:val="00D83628"/>
    <w:rsid w:val="00D8579F"/>
    <w:rsid w:val="00D8628D"/>
    <w:rsid w:val="00D90B9E"/>
    <w:rsid w:val="00D91A89"/>
    <w:rsid w:val="00D95F8E"/>
    <w:rsid w:val="00DA0590"/>
    <w:rsid w:val="00DB1285"/>
    <w:rsid w:val="00DB342C"/>
    <w:rsid w:val="00DB7BEA"/>
    <w:rsid w:val="00DC1739"/>
    <w:rsid w:val="00DC1788"/>
    <w:rsid w:val="00DC2F37"/>
    <w:rsid w:val="00DD105B"/>
    <w:rsid w:val="00DE319C"/>
    <w:rsid w:val="00DE54B0"/>
    <w:rsid w:val="00DF0CA8"/>
    <w:rsid w:val="00DF2B48"/>
    <w:rsid w:val="00DF49A7"/>
    <w:rsid w:val="00E04080"/>
    <w:rsid w:val="00E07EE2"/>
    <w:rsid w:val="00E07FD1"/>
    <w:rsid w:val="00E1000C"/>
    <w:rsid w:val="00E10A5C"/>
    <w:rsid w:val="00E176D8"/>
    <w:rsid w:val="00E24573"/>
    <w:rsid w:val="00E25E1E"/>
    <w:rsid w:val="00E27EE7"/>
    <w:rsid w:val="00E31D67"/>
    <w:rsid w:val="00E3214F"/>
    <w:rsid w:val="00E333F9"/>
    <w:rsid w:val="00E35404"/>
    <w:rsid w:val="00E45109"/>
    <w:rsid w:val="00E47B7A"/>
    <w:rsid w:val="00E50033"/>
    <w:rsid w:val="00E5476E"/>
    <w:rsid w:val="00E56A44"/>
    <w:rsid w:val="00E60269"/>
    <w:rsid w:val="00E653D0"/>
    <w:rsid w:val="00E65A2E"/>
    <w:rsid w:val="00E71951"/>
    <w:rsid w:val="00E77932"/>
    <w:rsid w:val="00E83FDA"/>
    <w:rsid w:val="00E92347"/>
    <w:rsid w:val="00E97830"/>
    <w:rsid w:val="00EA1D3B"/>
    <w:rsid w:val="00EB0D87"/>
    <w:rsid w:val="00EC34E9"/>
    <w:rsid w:val="00ED681A"/>
    <w:rsid w:val="00EE0B3C"/>
    <w:rsid w:val="00EE5737"/>
    <w:rsid w:val="00EE643C"/>
    <w:rsid w:val="00EF0683"/>
    <w:rsid w:val="00EF69D2"/>
    <w:rsid w:val="00EF766E"/>
    <w:rsid w:val="00F0070C"/>
    <w:rsid w:val="00F00EB7"/>
    <w:rsid w:val="00F03D8E"/>
    <w:rsid w:val="00F22AF3"/>
    <w:rsid w:val="00F36AB6"/>
    <w:rsid w:val="00F37A09"/>
    <w:rsid w:val="00F409CE"/>
    <w:rsid w:val="00F4379D"/>
    <w:rsid w:val="00F43876"/>
    <w:rsid w:val="00F44C76"/>
    <w:rsid w:val="00F50635"/>
    <w:rsid w:val="00F50D2D"/>
    <w:rsid w:val="00F56C8B"/>
    <w:rsid w:val="00F66810"/>
    <w:rsid w:val="00F846D9"/>
    <w:rsid w:val="00F84DF4"/>
    <w:rsid w:val="00F85C97"/>
    <w:rsid w:val="00F94A57"/>
    <w:rsid w:val="00FA51A0"/>
    <w:rsid w:val="00FB010F"/>
    <w:rsid w:val="00FB37D2"/>
    <w:rsid w:val="00FB7D08"/>
    <w:rsid w:val="00FC3788"/>
    <w:rsid w:val="00FC4EFB"/>
    <w:rsid w:val="00FD068D"/>
    <w:rsid w:val="00FD4F28"/>
    <w:rsid w:val="00FE0416"/>
    <w:rsid w:val="00F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ABA"/>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2905"/>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basedOn w:val="Normal"/>
    <w:next w:val="Normal"/>
    <w:link w:val="Heading4Char"/>
    <w:uiPriority w:val="9"/>
    <w:semiHidden/>
    <w:unhideWhenUsed/>
    <w:qFormat/>
    <w:rsid w:val="00C22905"/>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semiHidden/>
    <w:unhideWhenUsed/>
    <w:qFormat/>
    <w:rsid w:val="00C22905"/>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Heading6">
    <w:name w:val="heading 6"/>
    <w:basedOn w:val="Normal"/>
    <w:next w:val="Normal"/>
    <w:link w:val="Heading6Char"/>
    <w:uiPriority w:val="9"/>
    <w:semiHidden/>
    <w:unhideWhenUsed/>
    <w:qFormat/>
    <w:rsid w:val="00C22905"/>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semiHidden/>
    <w:unhideWhenUsed/>
    <w:qFormat/>
    <w:rsid w:val="00C22905"/>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semiHidden/>
    <w:unhideWhenUsed/>
    <w:qFormat/>
    <w:rsid w:val="00C22905"/>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Heading9">
    <w:name w:val="heading 9"/>
    <w:basedOn w:val="Normal"/>
    <w:next w:val="Normal"/>
    <w:link w:val="Heading9Char"/>
    <w:uiPriority w:val="9"/>
    <w:semiHidden/>
    <w:unhideWhenUsed/>
    <w:qFormat/>
    <w:rsid w:val="00C22905"/>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qFormat/>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styleId="Hyperlink">
    <w:name w:val="Hyperlink"/>
    <w:basedOn w:val="DefaultParagraphFont"/>
    <w:uiPriority w:val="99"/>
    <w:unhideWhenUsed/>
    <w:rsid w:val="00E65A2E"/>
    <w:rPr>
      <w:color w:val="0000FF" w:themeColor="hyperlink"/>
      <w:u w:val="single"/>
    </w:rPr>
  </w:style>
  <w:style w:type="character" w:customStyle="1" w:styleId="solexhl">
    <w:name w:val="solexhl"/>
    <w:basedOn w:val="DefaultParagraphFont"/>
    <w:rsid w:val="000C78C2"/>
  </w:style>
  <w:style w:type="character" w:customStyle="1" w:styleId="Heading3Char">
    <w:name w:val="Heading 3 Char"/>
    <w:basedOn w:val="DefaultParagraphFont"/>
    <w:link w:val="Heading3"/>
    <w:uiPriority w:val="9"/>
    <w:semiHidden/>
    <w:rsid w:val="00C22905"/>
    <w:rPr>
      <w:rFonts w:asciiTheme="majorHAnsi" w:eastAsiaTheme="majorEastAsia" w:hAnsiTheme="majorHAnsi" w:cstheme="majorBidi"/>
      <w:b/>
      <w:bCs/>
      <w:color w:val="4F81BD" w:themeColor="accent1"/>
      <w:sz w:val="24"/>
      <w:szCs w:val="22"/>
      <w:lang w:val="en-US" w:eastAsia="en-US" w:bidi="en-US"/>
    </w:rPr>
  </w:style>
  <w:style w:type="character" w:customStyle="1" w:styleId="Heading4Char">
    <w:name w:val="Heading 4 Char"/>
    <w:basedOn w:val="DefaultParagraphFont"/>
    <w:link w:val="Heading4"/>
    <w:uiPriority w:val="9"/>
    <w:semiHidden/>
    <w:rsid w:val="00C22905"/>
    <w:rPr>
      <w:rFonts w:asciiTheme="majorHAnsi" w:eastAsiaTheme="majorEastAsia" w:hAnsiTheme="majorHAnsi" w:cstheme="majorBidi"/>
      <w:b/>
      <w:bCs/>
      <w:i/>
      <w:iCs/>
      <w:color w:val="4F81BD" w:themeColor="accent1"/>
      <w:sz w:val="24"/>
      <w:szCs w:val="22"/>
      <w:lang w:val="en-US" w:eastAsia="en-US" w:bidi="en-US"/>
    </w:rPr>
  </w:style>
  <w:style w:type="character" w:customStyle="1" w:styleId="Heading5Char">
    <w:name w:val="Heading 5 Char"/>
    <w:basedOn w:val="DefaultParagraphFont"/>
    <w:link w:val="Heading5"/>
    <w:uiPriority w:val="9"/>
    <w:semiHidden/>
    <w:rsid w:val="00C22905"/>
    <w:rPr>
      <w:rFonts w:asciiTheme="majorHAnsi" w:eastAsiaTheme="majorEastAsia" w:hAnsiTheme="majorHAnsi" w:cstheme="majorBidi"/>
      <w:color w:val="243F60" w:themeColor="accent1" w:themeShade="7F"/>
      <w:sz w:val="24"/>
      <w:szCs w:val="22"/>
      <w:lang w:val="en-US" w:eastAsia="en-US" w:bidi="en-US"/>
    </w:rPr>
  </w:style>
  <w:style w:type="character" w:customStyle="1" w:styleId="Heading6Char">
    <w:name w:val="Heading 6 Char"/>
    <w:basedOn w:val="DefaultParagraphFont"/>
    <w:link w:val="Heading6"/>
    <w:uiPriority w:val="9"/>
    <w:semiHidden/>
    <w:rsid w:val="00C22905"/>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Heading7Char">
    <w:name w:val="Heading 7 Char"/>
    <w:basedOn w:val="DefaultParagraphFont"/>
    <w:link w:val="Heading7"/>
    <w:uiPriority w:val="9"/>
    <w:semiHidden/>
    <w:rsid w:val="00C22905"/>
    <w:rPr>
      <w:rFonts w:asciiTheme="majorHAnsi" w:eastAsiaTheme="majorEastAsia" w:hAnsiTheme="majorHAnsi" w:cstheme="majorBidi"/>
      <w:i/>
      <w:iCs/>
      <w:color w:val="404040" w:themeColor="text1" w:themeTint="BF"/>
      <w:sz w:val="24"/>
      <w:szCs w:val="22"/>
      <w:lang w:val="en-US" w:eastAsia="en-US" w:bidi="en-US"/>
    </w:rPr>
  </w:style>
  <w:style w:type="character" w:customStyle="1" w:styleId="Heading8Char">
    <w:name w:val="Heading 8 Char"/>
    <w:basedOn w:val="DefaultParagraphFont"/>
    <w:link w:val="Heading8"/>
    <w:uiPriority w:val="9"/>
    <w:semiHidden/>
    <w:rsid w:val="00C22905"/>
    <w:rPr>
      <w:rFonts w:asciiTheme="majorHAnsi" w:eastAsiaTheme="majorEastAsia" w:hAnsiTheme="majorHAnsi" w:cstheme="majorBidi"/>
      <w:color w:val="4F81BD" w:themeColor="accent1"/>
      <w:lang w:val="en-US" w:eastAsia="en-US" w:bidi="en-US"/>
    </w:rPr>
  </w:style>
  <w:style w:type="character" w:customStyle="1" w:styleId="Heading9Char">
    <w:name w:val="Heading 9 Char"/>
    <w:basedOn w:val="DefaultParagraphFont"/>
    <w:link w:val="Heading9"/>
    <w:uiPriority w:val="9"/>
    <w:semiHidden/>
    <w:rsid w:val="00C22905"/>
    <w:rPr>
      <w:rFonts w:asciiTheme="majorHAnsi" w:eastAsiaTheme="majorEastAsia" w:hAnsiTheme="majorHAnsi" w:cstheme="majorBidi"/>
      <w:i/>
      <w:iCs/>
      <w:color w:val="404040" w:themeColor="text1" w:themeTint="BF"/>
      <w:lang w:val="en-US" w:eastAsia="en-US" w:bidi="en-US"/>
    </w:rPr>
  </w:style>
  <w:style w:type="paragraph" w:customStyle="1" w:styleId="SCCLsocOtherPartyRoleSeparator">
    <w:name w:val="SCC.Lsoc.OtherPartyRoleSeparator"/>
    <w:basedOn w:val="Normal"/>
    <w:next w:val="Normal"/>
    <w:link w:val="SCCLsocOtherPartyRoleSeparatorChar"/>
    <w:rsid w:val="00C22905"/>
    <w:pPr>
      <w:spacing w:after="480"/>
    </w:pPr>
    <w:rPr>
      <w:rFonts w:eastAsiaTheme="minorHAnsi" w:cstheme="minorBidi"/>
      <w:szCs w:val="22"/>
      <w:lang w:val="en-US" w:eastAsia="en-US" w:bidi="en-US"/>
    </w:rPr>
  </w:style>
  <w:style w:type="paragraph" w:customStyle="1" w:styleId="SCCCoram">
    <w:name w:val="SCC.Coram"/>
    <w:basedOn w:val="Normal"/>
    <w:next w:val="Normal"/>
    <w:link w:val="SCCCoramChar"/>
    <w:rsid w:val="00C22905"/>
    <w:pPr>
      <w:pBdr>
        <w:bottom w:val="single" w:sz="4" w:space="1" w:color="auto"/>
      </w:pBdr>
    </w:pPr>
    <w:rPr>
      <w:rFonts w:eastAsiaTheme="minorHAnsi" w:cstheme="minorBidi"/>
      <w:szCs w:val="22"/>
      <w:lang w:val="en-US" w:eastAsia="en-US" w:bidi="en-US"/>
    </w:rPr>
  </w:style>
  <w:style w:type="character" w:customStyle="1" w:styleId="SCCCoramChar">
    <w:name w:val="SCC.Coram Char"/>
    <w:basedOn w:val="DefaultParagraphFont"/>
    <w:link w:val="SCCCoram"/>
    <w:rsid w:val="00C22905"/>
    <w:rPr>
      <w:rFonts w:eastAsiaTheme="minorHAnsi" w:cstheme="minorBidi"/>
      <w:sz w:val="24"/>
      <w:szCs w:val="22"/>
      <w:lang w:val="en-US" w:eastAsia="en-US" w:bidi="en-US"/>
    </w:rPr>
  </w:style>
  <w:style w:type="character" w:customStyle="1" w:styleId="SCCLsocOtherPartyRoleSeparatorChar">
    <w:name w:val="SCC.Lsoc.OtherPartyRoleSeparator Char"/>
    <w:basedOn w:val="DefaultParagraphFont"/>
    <w:link w:val="SCCLsocOtherPartyRoleSeparator"/>
    <w:rsid w:val="00C22905"/>
    <w:rPr>
      <w:rFonts w:eastAsiaTheme="minorHAnsi" w:cstheme="minorBidi"/>
      <w:sz w:val="24"/>
      <w:szCs w:val="22"/>
      <w:lang w:val="en-US" w:eastAsia="en-US" w:bidi="en-US"/>
    </w:rPr>
  </w:style>
  <w:style w:type="character" w:customStyle="1" w:styleId="SCCBanSummaryChar">
    <w:name w:val="SCC.BanSummary Char"/>
    <w:basedOn w:val="DefaultParagraphFont"/>
    <w:link w:val="SCCBanSummary"/>
    <w:rsid w:val="00C22905"/>
    <w:rPr>
      <w:b/>
      <w:sz w:val="24"/>
    </w:rPr>
  </w:style>
  <w:style w:type="table" w:styleId="TableGrid">
    <w:name w:val="Table Grid"/>
    <w:basedOn w:val="TableNormal"/>
    <w:uiPriority w:val="59"/>
    <w:rsid w:val="00C22905"/>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C22905"/>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C22905"/>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C22905"/>
    <w:pPr>
      <w:tabs>
        <w:tab w:val="left" w:pos="1260"/>
      </w:tabs>
      <w:spacing w:after="480" w:line="480" w:lineRule="auto"/>
    </w:pPr>
    <w:rPr>
      <w:smallCaps/>
      <w:sz w:val="24"/>
    </w:rPr>
  </w:style>
  <w:style w:type="paragraph" w:customStyle="1" w:styleId="ParaNoNdepar-AltN">
    <w:name w:val="Para. No. / Nº de par. - Alt N"/>
    <w:link w:val="ParaNoNdepar-AltNChar"/>
    <w:qFormat/>
    <w:rsid w:val="00C22905"/>
    <w:pPr>
      <w:numPr>
        <w:numId w:val="6"/>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C22905"/>
    <w:pPr>
      <w:numPr>
        <w:numId w:val="7"/>
      </w:numPr>
      <w:tabs>
        <w:tab w:val="clear" w:pos="576"/>
      </w:tabs>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C22905"/>
    <w:pPr>
      <w:numPr>
        <w:ilvl w:val="1"/>
      </w:numPr>
      <w:tabs>
        <w:tab w:val="clear" w:pos="576"/>
      </w:tabs>
      <w:outlineLvl w:val="1"/>
    </w:pPr>
    <w:rPr>
      <w:i/>
      <w:u w:val="none"/>
    </w:rPr>
  </w:style>
  <w:style w:type="paragraph" w:customStyle="1" w:styleId="Title3LevelTitre3Niveau">
    <w:name w:val="Title 3 Level / Titre 3 Niveau"/>
    <w:basedOn w:val="Title1LevelTitre1Niveau-AltL"/>
    <w:next w:val="ParaNoNdepar-AltN"/>
    <w:uiPriority w:val="4"/>
    <w:qFormat/>
    <w:rsid w:val="00C22905"/>
    <w:pPr>
      <w:numPr>
        <w:ilvl w:val="2"/>
      </w:numPr>
      <w:tabs>
        <w:tab w:val="clear" w:pos="1152"/>
      </w:tabs>
      <w:outlineLvl w:val="2"/>
    </w:pPr>
  </w:style>
  <w:style w:type="paragraph" w:customStyle="1" w:styleId="Title4LevelTitre4Niveau">
    <w:name w:val="Title 4 Level / Titre 4 Niveau"/>
    <w:basedOn w:val="Title3LevelTitre3Niveau"/>
    <w:next w:val="ParaNoNdepar-AltN"/>
    <w:uiPriority w:val="4"/>
    <w:qFormat/>
    <w:rsid w:val="00C22905"/>
    <w:pPr>
      <w:numPr>
        <w:ilvl w:val="3"/>
      </w:numPr>
      <w:tabs>
        <w:tab w:val="clear" w:pos="1152"/>
      </w:tabs>
      <w:ind w:left="1156" w:hanging="578"/>
      <w:outlineLvl w:val="3"/>
    </w:pPr>
    <w:rPr>
      <w:i/>
      <w:u w:val="none"/>
    </w:rPr>
  </w:style>
  <w:style w:type="paragraph" w:customStyle="1" w:styleId="Title5LevelTitre5Niveau">
    <w:name w:val="Title 5 Level / Titre 5 Niveau"/>
    <w:basedOn w:val="Title1LevelTitre1Niveau-AltL"/>
    <w:next w:val="ParaNoNdepar-AltN"/>
    <w:uiPriority w:val="4"/>
    <w:qFormat/>
    <w:rsid w:val="00C22905"/>
    <w:pPr>
      <w:numPr>
        <w:ilvl w:val="4"/>
      </w:numPr>
      <w:tabs>
        <w:tab w:val="clear" w:pos="1728"/>
      </w:tabs>
      <w:ind w:left="1729" w:hanging="578"/>
      <w:outlineLvl w:val="4"/>
    </w:pPr>
  </w:style>
  <w:style w:type="paragraph" w:styleId="TOC1">
    <w:name w:val="toc 1"/>
    <w:basedOn w:val="Normal"/>
    <w:next w:val="Normal"/>
    <w:autoRedefine/>
    <w:uiPriority w:val="39"/>
    <w:unhideWhenUsed/>
    <w:rsid w:val="00C22905"/>
    <w:pPr>
      <w:tabs>
        <w:tab w:val="left" w:pos="360"/>
        <w:tab w:val="right" w:leader="dot" w:pos="8270"/>
      </w:tabs>
      <w:spacing w:before="120" w:after="120"/>
    </w:pPr>
    <w:rPr>
      <w:rFonts w:eastAsiaTheme="minorHAnsi" w:cstheme="minorBidi"/>
      <w:noProof/>
      <w:u w:val="single"/>
      <w:lang w:val="en-US" w:eastAsia="en-US" w:bidi="en-US"/>
    </w:rPr>
  </w:style>
  <w:style w:type="paragraph" w:styleId="TOC2">
    <w:name w:val="toc 2"/>
    <w:basedOn w:val="Normal"/>
    <w:next w:val="Normal"/>
    <w:autoRedefine/>
    <w:uiPriority w:val="39"/>
    <w:unhideWhenUsed/>
    <w:rsid w:val="00C22905"/>
    <w:pPr>
      <w:tabs>
        <w:tab w:val="left" w:pos="720"/>
        <w:tab w:val="right" w:leader="dot" w:pos="8270"/>
      </w:tabs>
      <w:spacing w:before="120" w:after="120"/>
      <w:ind w:left="432" w:hanging="432"/>
    </w:pPr>
    <w:rPr>
      <w:rFonts w:eastAsiaTheme="minorHAnsi" w:cstheme="minorBidi"/>
      <w:i/>
      <w:szCs w:val="22"/>
      <w:lang w:val="en-US" w:eastAsia="en-US" w:bidi="en-US"/>
    </w:rPr>
  </w:style>
  <w:style w:type="paragraph" w:styleId="TOC3">
    <w:name w:val="toc 3"/>
    <w:basedOn w:val="Normal"/>
    <w:next w:val="Normal"/>
    <w:autoRedefine/>
    <w:uiPriority w:val="39"/>
    <w:unhideWhenUsed/>
    <w:rsid w:val="00C22905"/>
    <w:pPr>
      <w:tabs>
        <w:tab w:val="left" w:pos="1080"/>
        <w:tab w:val="right" w:leader="dot" w:pos="8270"/>
      </w:tabs>
      <w:spacing w:before="120" w:after="120"/>
      <w:ind w:left="864" w:hanging="432"/>
    </w:pPr>
    <w:rPr>
      <w:rFonts w:eastAsiaTheme="minorHAnsi" w:cstheme="minorBidi"/>
      <w:noProof/>
      <w:u w:val="single"/>
      <w:lang w:val="en-US" w:eastAsia="en-US" w:bidi="en-US"/>
    </w:rPr>
  </w:style>
  <w:style w:type="paragraph" w:styleId="TOC4">
    <w:name w:val="toc 4"/>
    <w:basedOn w:val="Normal"/>
    <w:next w:val="Normal"/>
    <w:autoRedefine/>
    <w:uiPriority w:val="39"/>
    <w:unhideWhenUsed/>
    <w:rsid w:val="00C22905"/>
    <w:pPr>
      <w:tabs>
        <w:tab w:val="left" w:pos="900"/>
        <w:tab w:val="right" w:leader="dot" w:pos="8270"/>
      </w:tabs>
      <w:spacing w:before="120" w:after="120"/>
      <w:ind w:left="900" w:hanging="450"/>
    </w:pPr>
    <w:rPr>
      <w:rFonts w:eastAsiaTheme="minorEastAsia" w:cstheme="minorBidi"/>
      <w:i/>
      <w:noProof/>
      <w:szCs w:val="22"/>
      <w:lang w:val="en-US" w:eastAsia="en-US" w:bidi="en-US"/>
    </w:rPr>
  </w:style>
  <w:style w:type="paragraph" w:styleId="TOC5">
    <w:name w:val="toc 5"/>
    <w:basedOn w:val="Normal"/>
    <w:next w:val="Normal"/>
    <w:autoRedefine/>
    <w:uiPriority w:val="39"/>
    <w:unhideWhenUsed/>
    <w:rsid w:val="00C22905"/>
    <w:pPr>
      <w:tabs>
        <w:tab w:val="left" w:pos="1440"/>
        <w:tab w:val="right" w:leader="dot" w:pos="8270"/>
      </w:tabs>
      <w:spacing w:before="120" w:after="120"/>
      <w:ind w:left="1454" w:hanging="547"/>
    </w:pPr>
    <w:rPr>
      <w:rFonts w:eastAsiaTheme="minorHAnsi" w:cstheme="minorBidi"/>
      <w:noProof/>
      <w:u w:val="single"/>
      <w:lang w:val="en-US" w:eastAsia="en-US" w:bidi="en-US"/>
    </w:rPr>
  </w:style>
  <w:style w:type="paragraph" w:styleId="TOC6">
    <w:name w:val="toc 6"/>
    <w:basedOn w:val="Normal"/>
    <w:next w:val="Normal"/>
    <w:autoRedefine/>
    <w:uiPriority w:val="39"/>
    <w:unhideWhenUsed/>
    <w:rsid w:val="00C22905"/>
    <w:pPr>
      <w:tabs>
        <w:tab w:val="left" w:pos="2160"/>
        <w:tab w:val="right" w:leader="dot" w:pos="8270"/>
      </w:tabs>
      <w:spacing w:after="100"/>
      <w:ind w:left="1800"/>
    </w:pPr>
    <w:rPr>
      <w:rFonts w:eastAsiaTheme="minorHAnsi" w:cstheme="minorBidi"/>
      <w:noProof/>
      <w:lang w:val="en-US" w:eastAsia="en-US" w:bidi="en-US"/>
    </w:rPr>
  </w:style>
  <w:style w:type="table" w:customStyle="1" w:styleId="TableGrid1">
    <w:name w:val="Table Grid1"/>
    <w:basedOn w:val="TableNormal"/>
    <w:uiPriority w:val="59"/>
    <w:rsid w:val="00C22905"/>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C22905"/>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C22905"/>
    <w:pPr>
      <w:numPr>
        <w:ilvl w:val="5"/>
      </w:numPr>
      <w:jc w:val="both"/>
      <w:outlineLvl w:val="5"/>
    </w:pPr>
    <w:rPr>
      <w:i/>
      <w:u w:val="none"/>
    </w:rPr>
  </w:style>
  <w:style w:type="paragraph" w:styleId="FootnoteText">
    <w:name w:val="footnote text"/>
    <w:basedOn w:val="Normal"/>
    <w:link w:val="FootnoteTextChar"/>
    <w:uiPriority w:val="99"/>
    <w:unhideWhenUsed/>
    <w:rsid w:val="00C22905"/>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C22905"/>
  </w:style>
  <w:style w:type="character" w:styleId="FootnoteReference">
    <w:name w:val="footnote reference"/>
    <w:basedOn w:val="DefaultParagraphFont"/>
    <w:uiPriority w:val="99"/>
    <w:semiHidden/>
    <w:unhideWhenUsed/>
    <w:rsid w:val="00C22905"/>
    <w:rPr>
      <w:vertAlign w:val="superscript"/>
    </w:rPr>
  </w:style>
  <w:style w:type="character" w:styleId="SubtleEmphasis">
    <w:name w:val="Subtle Emphasis"/>
    <w:basedOn w:val="DefaultParagraphFont"/>
    <w:uiPriority w:val="19"/>
    <w:rsid w:val="00C22905"/>
    <w:rPr>
      <w:i/>
      <w:iCs/>
      <w:color w:val="808080" w:themeColor="text1" w:themeTint="7F"/>
    </w:rPr>
  </w:style>
  <w:style w:type="character" w:customStyle="1" w:styleId="ParaNoNdepar-AltNChar">
    <w:name w:val="Para. No. / Nº de par. - Alt N Char"/>
    <w:basedOn w:val="DefaultParagraphFont"/>
    <w:link w:val="ParaNoNdepar-AltN"/>
    <w:locked/>
    <w:rsid w:val="00C22905"/>
    <w:rPr>
      <w:rFonts w:eastAsiaTheme="minorEastAsia" w:cstheme="minorBidi"/>
      <w:sz w:val="24"/>
      <w:szCs w:val="22"/>
      <w:lang w:eastAsia="en-US"/>
    </w:rPr>
  </w:style>
  <w:style w:type="character" w:styleId="CommentReference">
    <w:name w:val="annotation reference"/>
    <w:basedOn w:val="DefaultParagraphFont"/>
    <w:uiPriority w:val="99"/>
    <w:semiHidden/>
    <w:unhideWhenUsed/>
    <w:rsid w:val="00C22905"/>
    <w:rPr>
      <w:sz w:val="16"/>
      <w:szCs w:val="16"/>
    </w:rPr>
  </w:style>
  <w:style w:type="paragraph" w:styleId="CommentText">
    <w:name w:val="annotation text"/>
    <w:basedOn w:val="Normal"/>
    <w:link w:val="CommentTextChar"/>
    <w:uiPriority w:val="99"/>
    <w:semiHidden/>
    <w:unhideWhenUsed/>
    <w:rsid w:val="00C22905"/>
    <w:rPr>
      <w:rFonts w:eastAsiaTheme="minorHAnsi" w:cstheme="minorBidi"/>
      <w:sz w:val="20"/>
      <w:szCs w:val="22"/>
      <w:lang w:val="en-US" w:eastAsia="en-US" w:bidi="en-US"/>
    </w:rPr>
  </w:style>
  <w:style w:type="character" w:customStyle="1" w:styleId="CommentTextChar">
    <w:name w:val="Comment Text Char"/>
    <w:basedOn w:val="DefaultParagraphFont"/>
    <w:link w:val="CommentText"/>
    <w:uiPriority w:val="99"/>
    <w:semiHidden/>
    <w:rsid w:val="00C22905"/>
    <w:rPr>
      <w:rFonts w:eastAsiaTheme="minorHAnsi" w:cstheme="minorBidi"/>
      <w:szCs w:val="22"/>
      <w:lang w:val="en-US" w:eastAsia="en-US" w:bidi="en-US"/>
    </w:rPr>
  </w:style>
  <w:style w:type="paragraph" w:styleId="CommentSubject">
    <w:name w:val="annotation subject"/>
    <w:basedOn w:val="CommentText"/>
    <w:next w:val="CommentText"/>
    <w:link w:val="CommentSubjectChar"/>
    <w:uiPriority w:val="99"/>
    <w:semiHidden/>
    <w:unhideWhenUsed/>
    <w:rsid w:val="00C22905"/>
    <w:rPr>
      <w:b/>
      <w:bCs/>
    </w:rPr>
  </w:style>
  <w:style w:type="character" w:customStyle="1" w:styleId="CommentSubjectChar">
    <w:name w:val="Comment Subject Char"/>
    <w:basedOn w:val="CommentTextChar"/>
    <w:link w:val="CommentSubject"/>
    <w:uiPriority w:val="99"/>
    <w:semiHidden/>
    <w:rsid w:val="00C22905"/>
    <w:rPr>
      <w:rFonts w:eastAsiaTheme="minorHAnsi" w:cstheme="minorBidi"/>
      <w:b/>
      <w:bCs/>
      <w:szCs w:val="22"/>
      <w:lang w:val="en-US" w:eastAsia="en-US" w:bidi="en-US"/>
    </w:rPr>
  </w:style>
  <w:style w:type="character" w:customStyle="1" w:styleId="JudgeJugeChar">
    <w:name w:val="Judge / Juge Char"/>
    <w:basedOn w:val="DefaultParagraphFont"/>
    <w:link w:val="JudgeJuge"/>
    <w:uiPriority w:val="3"/>
    <w:rsid w:val="00C22905"/>
    <w:rPr>
      <w:smallCaps/>
      <w:sz w:val="24"/>
    </w:rPr>
  </w:style>
  <w:style w:type="paragraph" w:styleId="NoSpacing">
    <w:name w:val="No Spacing"/>
    <w:uiPriority w:val="1"/>
    <w:rsid w:val="00C22905"/>
    <w:rPr>
      <w:rFonts w:eastAsiaTheme="minorHAnsi" w:cstheme="minorBidi"/>
      <w:sz w:val="24"/>
      <w:szCs w:val="22"/>
      <w:lang w:val="en-US" w:eastAsia="en-US" w:bidi="en-US"/>
    </w:rPr>
  </w:style>
  <w:style w:type="paragraph" w:styleId="TOCHeading">
    <w:name w:val="TOC Heading"/>
    <w:basedOn w:val="Heading1"/>
    <w:next w:val="Normal"/>
    <w:uiPriority w:val="39"/>
    <w:semiHidden/>
    <w:unhideWhenUsed/>
    <w:qFormat/>
    <w:rsid w:val="00C22905"/>
    <w:pPr>
      <w:spacing w:before="480" w:after="0"/>
      <w:ind w:left="0" w:firstLine="0"/>
      <w:outlineLvl w:val="9"/>
    </w:pPr>
    <w:rPr>
      <w:lang w:val="en-US" w:eastAsia="en-US" w:bidi="en-US"/>
    </w:rPr>
  </w:style>
  <w:style w:type="paragraph" w:styleId="Caption">
    <w:name w:val="caption"/>
    <w:basedOn w:val="Normal"/>
    <w:next w:val="Normal"/>
    <w:uiPriority w:val="35"/>
    <w:semiHidden/>
    <w:unhideWhenUsed/>
    <w:qFormat/>
    <w:rsid w:val="00C22905"/>
    <w:rPr>
      <w:rFonts w:eastAsiaTheme="minorHAnsi" w:cstheme="minorBidi"/>
      <w:b/>
      <w:bCs/>
      <w:color w:val="4F81BD" w:themeColor="accent1"/>
      <w:sz w:val="18"/>
      <w:szCs w:val="18"/>
      <w:lang w:val="en-US" w:eastAsia="en-US" w:bidi="en-US"/>
    </w:rPr>
  </w:style>
  <w:style w:type="paragraph" w:styleId="Title">
    <w:name w:val="Title"/>
    <w:basedOn w:val="Normal"/>
    <w:next w:val="Normal"/>
    <w:link w:val="TitleChar"/>
    <w:uiPriority w:val="10"/>
    <w:rsid w:val="00C229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C22905"/>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ubtitle">
    <w:name w:val="Subtitle"/>
    <w:basedOn w:val="Normal"/>
    <w:next w:val="Normal"/>
    <w:link w:val="SubtitleChar"/>
    <w:uiPriority w:val="11"/>
    <w:rsid w:val="00C22905"/>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ubtitleChar">
    <w:name w:val="Subtitle Char"/>
    <w:basedOn w:val="DefaultParagraphFont"/>
    <w:link w:val="Subtitle"/>
    <w:uiPriority w:val="11"/>
    <w:rsid w:val="00C22905"/>
    <w:rPr>
      <w:rFonts w:asciiTheme="majorHAnsi" w:eastAsiaTheme="majorEastAsia" w:hAnsiTheme="majorHAnsi" w:cstheme="majorBidi"/>
      <w:i/>
      <w:iCs/>
      <w:color w:val="4F81BD" w:themeColor="accent1"/>
      <w:spacing w:val="15"/>
      <w:sz w:val="24"/>
      <w:szCs w:val="24"/>
      <w:lang w:val="en-US" w:eastAsia="en-US" w:bidi="en-US"/>
    </w:rPr>
  </w:style>
  <w:style w:type="character" w:styleId="Emphasis">
    <w:name w:val="Emphasis"/>
    <w:basedOn w:val="DefaultParagraphFont"/>
    <w:uiPriority w:val="20"/>
    <w:rsid w:val="00C22905"/>
    <w:rPr>
      <w:i/>
      <w:iCs/>
    </w:rPr>
  </w:style>
  <w:style w:type="paragraph" w:styleId="ListParagraph">
    <w:name w:val="List Paragraph"/>
    <w:basedOn w:val="Normal"/>
    <w:uiPriority w:val="34"/>
    <w:rsid w:val="00C22905"/>
    <w:pPr>
      <w:ind w:left="720"/>
      <w:contextualSpacing/>
    </w:pPr>
    <w:rPr>
      <w:rFonts w:eastAsiaTheme="minorHAnsi" w:cstheme="minorBidi"/>
      <w:szCs w:val="22"/>
      <w:lang w:val="en-US" w:eastAsia="en-US" w:bidi="en-US"/>
    </w:rPr>
  </w:style>
  <w:style w:type="paragraph" w:styleId="IntenseQuote">
    <w:name w:val="Intense Quote"/>
    <w:basedOn w:val="Normal"/>
    <w:next w:val="Normal"/>
    <w:link w:val="IntenseQuoteChar"/>
    <w:uiPriority w:val="30"/>
    <w:rsid w:val="00C22905"/>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C22905"/>
    <w:rPr>
      <w:rFonts w:eastAsiaTheme="minorHAnsi" w:cstheme="minorBidi"/>
      <w:b/>
      <w:bCs/>
      <w:i/>
      <w:iCs/>
      <w:color w:val="4F81BD" w:themeColor="accent1"/>
      <w:sz w:val="24"/>
      <w:szCs w:val="22"/>
      <w:lang w:val="en-US" w:eastAsia="en-US" w:bidi="en-US"/>
    </w:rPr>
  </w:style>
  <w:style w:type="character" w:styleId="IntenseEmphasis">
    <w:name w:val="Intense Emphasis"/>
    <w:basedOn w:val="DefaultParagraphFont"/>
    <w:uiPriority w:val="21"/>
    <w:rsid w:val="00C22905"/>
    <w:rPr>
      <w:b/>
      <w:bCs/>
      <w:i/>
      <w:iCs/>
      <w:color w:val="4F81BD" w:themeColor="accent1"/>
    </w:rPr>
  </w:style>
  <w:style w:type="character" w:styleId="SubtleReference">
    <w:name w:val="Subtle Reference"/>
    <w:basedOn w:val="DefaultParagraphFont"/>
    <w:uiPriority w:val="31"/>
    <w:rsid w:val="00C22905"/>
    <w:rPr>
      <w:smallCaps/>
      <w:color w:val="C0504D" w:themeColor="accent2"/>
      <w:u w:val="single"/>
    </w:rPr>
  </w:style>
  <w:style w:type="character" w:styleId="IntenseReference">
    <w:name w:val="Intense Reference"/>
    <w:basedOn w:val="DefaultParagraphFont"/>
    <w:uiPriority w:val="32"/>
    <w:rsid w:val="00C22905"/>
    <w:rPr>
      <w:b/>
      <w:bCs/>
      <w:smallCaps/>
      <w:color w:val="C0504D" w:themeColor="accent2"/>
      <w:spacing w:val="5"/>
      <w:u w:val="single"/>
    </w:rPr>
  </w:style>
  <w:style w:type="character" w:styleId="BookTitle">
    <w:name w:val="Book Title"/>
    <w:basedOn w:val="DefaultParagraphFont"/>
    <w:uiPriority w:val="33"/>
    <w:rsid w:val="00C22905"/>
    <w:rPr>
      <w:b/>
      <w:bCs/>
      <w:smallCaps/>
      <w:spacing w:val="5"/>
    </w:rPr>
  </w:style>
  <w:style w:type="paragraph" w:styleId="Revision">
    <w:name w:val="Revision"/>
    <w:hidden/>
    <w:uiPriority w:val="99"/>
    <w:semiHidden/>
    <w:rsid w:val="00C22905"/>
    <w:rPr>
      <w:rFonts w:eastAsiaTheme="minorHAnsi" w:cstheme="minorBidi"/>
      <w:sz w:val="24"/>
      <w:szCs w:val="22"/>
      <w:lang w:val="en-US" w:eastAsia="en-US" w:bidi="en-US"/>
    </w:rPr>
  </w:style>
  <w:style w:type="paragraph" w:styleId="EndnoteText">
    <w:name w:val="endnote text"/>
    <w:basedOn w:val="Normal"/>
    <w:link w:val="EndnoteTextChar"/>
    <w:uiPriority w:val="99"/>
    <w:semiHidden/>
    <w:unhideWhenUsed/>
    <w:rsid w:val="00C22905"/>
    <w:rPr>
      <w:rFonts w:eastAsiaTheme="minorHAnsi" w:cstheme="minorBidi"/>
      <w:sz w:val="20"/>
      <w:lang w:val="en-US" w:eastAsia="en-US" w:bidi="en-US"/>
    </w:rPr>
  </w:style>
  <w:style w:type="character" w:customStyle="1" w:styleId="EndnoteTextChar">
    <w:name w:val="Endnote Text Char"/>
    <w:basedOn w:val="DefaultParagraphFont"/>
    <w:link w:val="EndnoteText"/>
    <w:uiPriority w:val="99"/>
    <w:semiHidden/>
    <w:rsid w:val="00C22905"/>
    <w:rPr>
      <w:rFonts w:eastAsiaTheme="minorHAnsi" w:cstheme="minorBidi"/>
      <w:lang w:val="en-US" w:eastAsia="en-US" w:bidi="en-US"/>
    </w:rPr>
  </w:style>
  <w:style w:type="character" w:styleId="EndnoteReference">
    <w:name w:val="endnote reference"/>
    <w:basedOn w:val="DefaultParagraphFont"/>
    <w:uiPriority w:val="99"/>
    <w:semiHidden/>
    <w:unhideWhenUsed/>
    <w:rsid w:val="00C22905"/>
    <w:rPr>
      <w:vertAlign w:val="superscript"/>
    </w:rPr>
  </w:style>
  <w:style w:type="character" w:customStyle="1" w:styleId="reflex3-block">
    <w:name w:val="reflex3-block"/>
    <w:basedOn w:val="DefaultParagraphFont"/>
    <w:rsid w:val="00C22905"/>
  </w:style>
  <w:style w:type="character" w:customStyle="1" w:styleId="reflex3-alt">
    <w:name w:val="reflex3-alt"/>
    <w:basedOn w:val="DefaultParagraphFont"/>
    <w:rsid w:val="00C22905"/>
  </w:style>
  <w:style w:type="character" w:customStyle="1" w:styleId="lawlabel">
    <w:name w:val="lawlabel"/>
    <w:basedOn w:val="DefaultParagraphFont"/>
    <w:rsid w:val="00C22905"/>
  </w:style>
  <w:style w:type="table" w:customStyle="1" w:styleId="TableGrid2">
    <w:name w:val="Table Grid2"/>
    <w:basedOn w:val="TableNormal"/>
    <w:next w:val="TableGrid"/>
    <w:uiPriority w:val="59"/>
    <w:rsid w:val="00C22905"/>
    <w:rPr>
      <w:rFonts w:eastAsia="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CLsocPartyRoleChar">
    <w:name w:val="SCC.Lsoc.PartyRole Char"/>
    <w:basedOn w:val="DefaultParagraphFont"/>
    <w:rsid w:val="000B53DD"/>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B53DD"/>
    <w:rPr>
      <w:rFonts w:eastAsiaTheme="minorHAnsi" w:cstheme="minorBidi"/>
      <w:b/>
      <w:szCs w:val="22"/>
      <w:lang w:eastAsia="en-US"/>
    </w:rPr>
  </w:style>
  <w:style w:type="character" w:customStyle="1" w:styleId="SCCLsocPrefixChar">
    <w:name w:val="SCC.Lsoc.Prefix Char"/>
    <w:basedOn w:val="DefaultParagraphFont"/>
    <w:link w:val="SCCLsocPrefix"/>
    <w:rsid w:val="000B53DD"/>
    <w:rPr>
      <w:rFonts w:eastAsiaTheme="minorHAnsi" w:cstheme="minorBid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5940">
      <w:bodyDiv w:val="1"/>
      <w:marLeft w:val="0"/>
      <w:marRight w:val="0"/>
      <w:marTop w:val="0"/>
      <w:marBottom w:val="0"/>
      <w:divBdr>
        <w:top w:val="none" w:sz="0" w:space="0" w:color="auto"/>
        <w:left w:val="none" w:sz="0" w:space="0" w:color="auto"/>
        <w:bottom w:val="none" w:sz="0" w:space="0" w:color="auto"/>
        <w:right w:val="none" w:sz="0" w:space="0" w:color="auto"/>
      </w:divBdr>
    </w:div>
    <w:div w:id="431164180">
      <w:bodyDiv w:val="1"/>
      <w:marLeft w:val="0"/>
      <w:marRight w:val="0"/>
      <w:marTop w:val="0"/>
      <w:marBottom w:val="0"/>
      <w:divBdr>
        <w:top w:val="none" w:sz="0" w:space="0" w:color="auto"/>
        <w:left w:val="none" w:sz="0" w:space="0" w:color="auto"/>
        <w:bottom w:val="none" w:sz="0" w:space="0" w:color="auto"/>
        <w:right w:val="none" w:sz="0" w:space="0" w:color="auto"/>
      </w:divBdr>
    </w:div>
    <w:div w:id="12852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ntariocourts.ca/decisions/2022/2022ONCA0305.htm" TargetMode="External"/><Relationship Id="rId4" Type="http://schemas.openxmlformats.org/officeDocument/2006/relationships/settings" Target="settings.xml"/><Relationship Id="rId9" Type="http://schemas.openxmlformats.org/officeDocument/2006/relationships/image" Target="cid:image001.jpg@01D72252.19B69DE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D4FC-B713-4BC8-B907-E4F8C4B4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4706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2023-01-11T21:16:00Z</dcterms:created>
  <dcterms:modified xsi:type="dcterms:W3CDTF">2023-12-18T22:06:00Z</dcterms:modified>
</cp:coreProperties>
</file>