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0"/>
        <w:gridCol w:w="2074"/>
        <w:gridCol w:w="3577"/>
        <w:gridCol w:w="19"/>
      </w:tblGrid>
      <w:tr w:rsidR="002909F6" w:rsidRPr="000B46A4" w:rsidTr="00796207">
        <w:trPr>
          <w:trHeight w:val="1786"/>
        </w:trPr>
        <w:tc>
          <w:tcPr>
            <w:tcW w:w="5000" w:type="pct"/>
            <w:gridSpan w:val="4"/>
          </w:tcPr>
          <w:p w:rsidR="002909F6" w:rsidRPr="000B46A4" w:rsidRDefault="00820223" w:rsidP="00E92347">
            <w:pPr>
              <w:jc w:val="center"/>
              <w:rPr>
                <w:szCs w:val="24"/>
              </w:rPr>
            </w:pPr>
            <w:r w:rsidRPr="000B46A4">
              <w:rPr>
                <w:noProof/>
                <w:szCs w:val="24"/>
                <w:lang w:val="fr-CA" w:eastAsia="fr-CA"/>
              </w:rPr>
              <w:drawing>
                <wp:inline distT="0" distB="0" distL="0" distR="0" wp14:anchorId="7BB4B827" wp14:editId="5F099E29">
                  <wp:extent cx="1191895" cy="1638300"/>
                  <wp:effectExtent l="0" t="0" r="8255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F6" w:rsidRPr="000B46A4" w:rsidRDefault="002909F6" w:rsidP="00D22128">
            <w:pPr>
              <w:spacing w:before="120" w:after="100" w:afterAutospacing="1"/>
              <w:jc w:val="center"/>
              <w:rPr>
                <w:rFonts w:eastAsia="Calibri"/>
                <w:szCs w:val="24"/>
              </w:rPr>
            </w:pPr>
            <w:r w:rsidRPr="000B46A4">
              <w:rPr>
                <w:rFonts w:eastAsia="Calibri"/>
                <w:b/>
                <w:szCs w:val="24"/>
                <w:lang w:eastAsia="en-US"/>
              </w:rPr>
              <w:t>COUR SUPRÊME DU CANADA</w:t>
            </w:r>
          </w:p>
        </w:tc>
      </w:tr>
      <w:tr w:rsidR="002909F6" w:rsidRPr="000B46A4" w:rsidTr="001708F9">
        <w:trPr>
          <w:gridAfter w:val="1"/>
          <w:wAfter w:w="10" w:type="pct"/>
        </w:trPr>
        <w:tc>
          <w:tcPr>
            <w:tcW w:w="1971" w:type="pct"/>
            <w:tcMar>
              <w:top w:w="284" w:type="dxa"/>
            </w:tcMar>
          </w:tcPr>
          <w:p w:rsidR="002909F6" w:rsidRPr="000B46A4" w:rsidRDefault="002909F6" w:rsidP="0039294D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0B46A4">
              <w:rPr>
                <w:b/>
                <w:smallCaps/>
                <w:szCs w:val="24"/>
                <w:lang w:val="fr-CA"/>
              </w:rPr>
              <w:t>Référence :</w:t>
            </w:r>
            <w:r w:rsidRPr="000B46A4">
              <w:rPr>
                <w:szCs w:val="24"/>
                <w:lang w:val="fr-CA"/>
              </w:rPr>
              <w:t xml:space="preserve"> </w:t>
            </w:r>
            <w:r w:rsidR="00575FF2" w:rsidRPr="000B46A4">
              <w:rPr>
                <w:szCs w:val="24"/>
                <w:lang w:val="fr-CA"/>
              </w:rPr>
              <w:t xml:space="preserve">R. </w:t>
            </w:r>
            <w:r w:rsidR="00575FF2" w:rsidRPr="000B46A4">
              <w:rPr>
                <w:i/>
                <w:szCs w:val="24"/>
                <w:lang w:val="fr-CA"/>
              </w:rPr>
              <w:t>c.</w:t>
            </w:r>
            <w:r w:rsidR="00B0409C" w:rsidRPr="000B46A4">
              <w:rPr>
                <w:szCs w:val="24"/>
                <w:lang w:val="fr-CA"/>
              </w:rPr>
              <w:t xml:space="preserve"> </w:t>
            </w:r>
            <w:r w:rsidR="00E661A4" w:rsidRPr="000B46A4">
              <w:rPr>
                <w:lang w:val="fr-CA"/>
              </w:rPr>
              <w:t>Chatillon</w:t>
            </w:r>
            <w:r w:rsidR="00445C7C" w:rsidRPr="000B46A4">
              <w:rPr>
                <w:szCs w:val="24"/>
                <w:lang w:val="fr-CA"/>
              </w:rPr>
              <w:t>, 202</w:t>
            </w:r>
            <w:r w:rsidR="0039294D" w:rsidRPr="000B46A4">
              <w:rPr>
                <w:szCs w:val="24"/>
                <w:lang w:val="fr-CA"/>
              </w:rPr>
              <w:t>3</w:t>
            </w:r>
            <w:r w:rsidR="00B0409C" w:rsidRPr="000B46A4">
              <w:rPr>
                <w:szCs w:val="24"/>
                <w:lang w:val="fr-CA"/>
              </w:rPr>
              <w:t xml:space="preserve"> CSC </w:t>
            </w:r>
            <w:r w:rsidR="00E661A4" w:rsidRPr="000B46A4">
              <w:rPr>
                <w:szCs w:val="24"/>
                <w:lang w:val="fr-CA"/>
              </w:rPr>
              <w:t>7</w:t>
            </w:r>
          </w:p>
        </w:tc>
        <w:tc>
          <w:tcPr>
            <w:tcW w:w="1108" w:type="pct"/>
          </w:tcPr>
          <w:p w:rsidR="002909F6" w:rsidRPr="000B46A4" w:rsidRDefault="002909F6" w:rsidP="00CB5B04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911" w:type="pct"/>
            <w:tcMar>
              <w:top w:w="284" w:type="dxa"/>
            </w:tcMar>
          </w:tcPr>
          <w:p w:rsidR="002909F6" w:rsidRPr="000B46A4" w:rsidRDefault="002909F6" w:rsidP="00CB5B04">
            <w:pPr>
              <w:rPr>
                <w:szCs w:val="24"/>
                <w:lang w:val="fr-CA"/>
              </w:rPr>
            </w:pPr>
            <w:r w:rsidRPr="000B46A4">
              <w:rPr>
                <w:b/>
                <w:smallCaps/>
                <w:szCs w:val="24"/>
                <w:lang w:val="fr-CA"/>
              </w:rPr>
              <w:t>Appel entendu :</w:t>
            </w:r>
            <w:r w:rsidRPr="000B46A4">
              <w:rPr>
                <w:szCs w:val="24"/>
                <w:lang w:val="fr-CA"/>
              </w:rPr>
              <w:t xml:space="preserve"> </w:t>
            </w:r>
            <w:r w:rsidR="0039294D" w:rsidRPr="000B46A4">
              <w:rPr>
                <w:szCs w:val="24"/>
                <w:lang w:val="fr-CA"/>
              </w:rPr>
              <w:t>1</w:t>
            </w:r>
            <w:r w:rsidR="00E661A4" w:rsidRPr="000B46A4">
              <w:rPr>
                <w:szCs w:val="24"/>
                <w:lang w:val="fr-CA"/>
              </w:rPr>
              <w:t>5</w:t>
            </w:r>
            <w:r w:rsidR="00E50033" w:rsidRPr="000B46A4">
              <w:rPr>
                <w:szCs w:val="24"/>
                <w:lang w:val="fr-CA"/>
              </w:rPr>
              <w:t xml:space="preserve"> </w:t>
            </w:r>
            <w:r w:rsidR="00E661A4" w:rsidRPr="000B46A4">
              <w:rPr>
                <w:szCs w:val="24"/>
                <w:lang w:val="fr-CA"/>
              </w:rPr>
              <w:t>mars</w:t>
            </w:r>
            <w:r w:rsidR="0039294D" w:rsidRPr="000B46A4">
              <w:rPr>
                <w:szCs w:val="24"/>
                <w:lang w:val="fr-CA"/>
              </w:rPr>
              <w:t xml:space="preserve"> 2023</w:t>
            </w:r>
          </w:p>
          <w:p w:rsidR="002909F6" w:rsidRPr="000B46A4" w:rsidRDefault="002909F6" w:rsidP="00CB5B04">
            <w:pPr>
              <w:rPr>
                <w:b/>
                <w:smallCaps/>
                <w:szCs w:val="24"/>
                <w:lang w:val="fr-CA"/>
              </w:rPr>
            </w:pPr>
            <w:r w:rsidRPr="000B46A4">
              <w:rPr>
                <w:b/>
                <w:smallCaps/>
                <w:szCs w:val="24"/>
                <w:lang w:val="fr-CA"/>
              </w:rPr>
              <w:t xml:space="preserve">Jugement rendu : </w:t>
            </w:r>
            <w:r w:rsidR="00E661A4" w:rsidRPr="000B46A4">
              <w:rPr>
                <w:szCs w:val="24"/>
                <w:lang w:val="fr-CA"/>
              </w:rPr>
              <w:t xml:space="preserve">15 mars </w:t>
            </w:r>
            <w:r w:rsidR="0039294D" w:rsidRPr="000B46A4">
              <w:rPr>
                <w:szCs w:val="24"/>
                <w:lang w:val="fr-CA"/>
              </w:rPr>
              <w:t>2023</w:t>
            </w:r>
          </w:p>
          <w:p w:rsidR="002909F6" w:rsidRPr="000B46A4" w:rsidRDefault="002909F6" w:rsidP="00C31D39">
            <w:pPr>
              <w:rPr>
                <w:rFonts w:eastAsia="Calibri"/>
                <w:szCs w:val="24"/>
                <w:lang w:val="fr-CA"/>
              </w:rPr>
            </w:pPr>
            <w:r w:rsidRPr="000B46A4">
              <w:rPr>
                <w:b/>
                <w:smallCaps/>
                <w:szCs w:val="24"/>
                <w:lang w:val="fr-CA"/>
              </w:rPr>
              <w:t>Dossier :</w:t>
            </w:r>
            <w:r w:rsidRPr="000B46A4">
              <w:rPr>
                <w:szCs w:val="24"/>
                <w:lang w:val="fr-CA"/>
              </w:rPr>
              <w:t xml:space="preserve"> </w:t>
            </w:r>
            <w:r w:rsidR="00E661A4" w:rsidRPr="000B46A4">
              <w:t>40331</w:t>
            </w:r>
          </w:p>
        </w:tc>
      </w:tr>
      <w:tr w:rsidR="002909F6" w:rsidRPr="000B46A4" w:rsidTr="00B1431F">
        <w:tc>
          <w:tcPr>
            <w:tcW w:w="5000" w:type="pct"/>
            <w:gridSpan w:val="4"/>
          </w:tcPr>
          <w:p w:rsidR="00506A78" w:rsidRPr="000B46A4" w:rsidRDefault="00506A78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883F8A" w:rsidRPr="000B46A4" w:rsidRDefault="00B0409C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0B46A4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</w:t>
            </w:r>
            <w:r w:rsidR="00883F8A" w:rsidRPr="000B46A4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:</w:t>
            </w:r>
          </w:p>
          <w:p w:rsidR="00E04080" w:rsidRPr="000B46A4" w:rsidRDefault="00E04080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6B4F1D" w:rsidRPr="000B46A4" w:rsidRDefault="00E50033" w:rsidP="00883F8A">
            <w:pPr>
              <w:jc w:val="center"/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</w:pPr>
            <w:r w:rsidRPr="000B46A4"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  <w:t>Sa Majesté le Roi</w:t>
            </w:r>
          </w:p>
          <w:p w:rsidR="00883F8A" w:rsidRPr="000B46A4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0B46A4"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883F8A" w:rsidRPr="000B46A4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83F8A" w:rsidRPr="000B46A4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0B46A4"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883F8A" w:rsidRPr="000B46A4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45C7C" w:rsidRPr="000B46A4" w:rsidRDefault="00E661A4" w:rsidP="006F7FA0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0B46A4">
              <w:rPr>
                <w:rFonts w:eastAsiaTheme="minorHAnsi"/>
                <w:b/>
                <w:szCs w:val="24"/>
                <w:lang w:val="fr-CA" w:eastAsia="en-US"/>
              </w:rPr>
              <w:t>Olivier Chatillon</w:t>
            </w:r>
          </w:p>
          <w:p w:rsidR="002909F6" w:rsidRPr="000B46A4" w:rsidRDefault="00022F2E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0B46A4">
              <w:rPr>
                <w:rFonts w:eastAsiaTheme="minorHAnsi" w:cstheme="minorBidi"/>
                <w:szCs w:val="24"/>
                <w:lang w:val="fr-CA" w:eastAsia="en-US"/>
              </w:rPr>
              <w:t>Intimé</w:t>
            </w:r>
          </w:p>
          <w:p w:rsidR="006F7FA0" w:rsidRPr="000B46A4" w:rsidRDefault="006F7FA0" w:rsidP="00425158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26669D" w:rsidRPr="000B46A4" w:rsidRDefault="0026669D" w:rsidP="0026669D">
            <w:pPr>
              <w:jc w:val="center"/>
              <w:rPr>
                <w:color w:val="000000"/>
                <w:szCs w:val="24"/>
                <w:lang w:val="fr-CA" w:eastAsia="en-US"/>
              </w:rPr>
            </w:pPr>
            <w:r w:rsidRPr="000B46A4">
              <w:rPr>
                <w:color w:val="000000"/>
                <w:szCs w:val="24"/>
                <w:lang w:val="fr-CA" w:eastAsia="en-US"/>
              </w:rPr>
              <w:t>- et -</w:t>
            </w:r>
          </w:p>
          <w:p w:rsidR="0026669D" w:rsidRPr="000B46A4" w:rsidRDefault="0026669D" w:rsidP="0026669D">
            <w:pPr>
              <w:rPr>
                <w:color w:val="000000"/>
                <w:szCs w:val="24"/>
                <w:lang w:val="fr-CA" w:eastAsia="en-US"/>
              </w:rPr>
            </w:pPr>
          </w:p>
          <w:p w:rsidR="0026669D" w:rsidRPr="000B46A4" w:rsidRDefault="00E661A4" w:rsidP="0026669D">
            <w:pPr>
              <w:jc w:val="center"/>
              <w:rPr>
                <w:color w:val="000000"/>
                <w:szCs w:val="24"/>
                <w:lang w:val="fr-CA" w:eastAsia="en-US"/>
              </w:rPr>
            </w:pPr>
            <w:r w:rsidRPr="000B46A4">
              <w:rPr>
                <w:b/>
                <w:bCs/>
                <w:color w:val="000000"/>
                <w:szCs w:val="24"/>
                <w:lang w:val="fr-CA" w:eastAsia="en-US"/>
              </w:rPr>
              <w:t>Association québécoise des avocats et avocates de la défense</w:t>
            </w:r>
          </w:p>
          <w:p w:rsidR="0026669D" w:rsidRPr="000B46A4" w:rsidRDefault="00E661A4" w:rsidP="0026669D">
            <w:pPr>
              <w:jc w:val="center"/>
              <w:rPr>
                <w:color w:val="000000"/>
                <w:szCs w:val="24"/>
                <w:lang w:val="fr-CA" w:eastAsia="en-US"/>
              </w:rPr>
            </w:pPr>
            <w:r w:rsidRPr="000B46A4">
              <w:rPr>
                <w:color w:val="000000"/>
                <w:szCs w:val="24"/>
                <w:lang w:val="fr-CA" w:eastAsia="en-US"/>
              </w:rPr>
              <w:t>Intervenante</w:t>
            </w:r>
          </w:p>
          <w:p w:rsidR="00E1000C" w:rsidRPr="000B46A4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Pr="000B46A4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661A4" w:rsidRPr="000B46A4" w:rsidRDefault="00E661A4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661A4" w:rsidRPr="000B46A4" w:rsidRDefault="00E661A4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37"/>
        <w:gridCol w:w="7102"/>
        <w:gridCol w:w="21"/>
      </w:tblGrid>
      <w:tr w:rsidR="00E92347" w:rsidRPr="00161887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C34E9" w:rsidRPr="000B46A4" w:rsidRDefault="00CB5B04" w:rsidP="00EC34E9">
            <w:pPr>
              <w:rPr>
                <w:lang w:val="fr-CA"/>
              </w:rPr>
            </w:pPr>
            <w:r w:rsidRPr="000B46A4">
              <w:rPr>
                <w:b/>
                <w:smallCaps/>
                <w:lang w:val="fr-CA"/>
              </w:rPr>
              <w:t>Coram :</w:t>
            </w:r>
            <w:r w:rsidRPr="000B46A4">
              <w:rPr>
                <w:lang w:val="fr-CA"/>
              </w:rPr>
              <w:t xml:space="preserve"> </w:t>
            </w:r>
            <w:r w:rsidR="0039294D" w:rsidRPr="000B46A4">
              <w:rPr>
                <w:lang w:val="fr-CA"/>
              </w:rPr>
              <w:t>Le juge en chef Wagner et les juges Karakatsanis, Côté, Rowe, Martin, Kasirer et O</w:t>
            </w:r>
            <w:r w:rsidR="007D041C" w:rsidRPr="000B46A4">
              <w:rPr>
                <w:lang w:val="fr-CA"/>
              </w:rPr>
              <w:t>’</w:t>
            </w:r>
            <w:r w:rsidR="0039294D" w:rsidRPr="000B46A4">
              <w:rPr>
                <w:lang w:val="fr-CA"/>
              </w:rPr>
              <w:t>Bonsawin</w:t>
            </w:r>
          </w:p>
          <w:p w:rsidR="00E92347" w:rsidRPr="000B46A4" w:rsidRDefault="00E92347" w:rsidP="00E1000C">
            <w:pPr>
              <w:rPr>
                <w:lang w:val="fr-CA"/>
              </w:rPr>
            </w:pPr>
          </w:p>
        </w:tc>
      </w:tr>
      <w:tr w:rsidR="005966EF" w:rsidRPr="00161887" w:rsidTr="0026412B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5966EF" w:rsidRPr="000B46A4" w:rsidRDefault="004234D3" w:rsidP="0026412B">
            <w:pPr>
              <w:rPr>
                <w:b/>
                <w:smallCaps/>
                <w:lang w:val="fr-CA"/>
              </w:rPr>
            </w:pPr>
            <w:r w:rsidRPr="000B46A4">
              <w:rPr>
                <w:b/>
                <w:bCs/>
                <w:smallCaps/>
                <w:color w:val="000000"/>
                <w:lang w:val="fr-CA"/>
              </w:rPr>
              <w:t>Jugement lu par :</w:t>
            </w:r>
            <w:r w:rsidR="005966EF" w:rsidRPr="000B46A4">
              <w:rPr>
                <w:b/>
                <w:smallCaps/>
                <w:lang w:val="fr-CA"/>
              </w:rPr>
              <w:t xml:space="preserve"> </w:t>
            </w:r>
          </w:p>
          <w:p w:rsidR="005966EF" w:rsidRPr="000B46A4" w:rsidRDefault="005966EF" w:rsidP="00E661A4">
            <w:pPr>
              <w:rPr>
                <w:b/>
                <w:smallCaps/>
                <w:lang w:val="fr-CA"/>
              </w:rPr>
            </w:pPr>
            <w:r w:rsidRPr="000B46A4">
              <w:rPr>
                <w:lang w:val="fr-CA"/>
              </w:rPr>
              <w:t>(</w:t>
            </w:r>
            <w:r w:rsidR="002D3505" w:rsidRPr="000B46A4">
              <w:rPr>
                <w:lang w:val="fr-CA"/>
              </w:rPr>
              <w:t>par. </w:t>
            </w:r>
            <w:r w:rsidR="00EB0D87" w:rsidRPr="000B46A4">
              <w:rPr>
                <w:lang w:val="fr-CA"/>
              </w:rPr>
              <w:t>1</w:t>
            </w:r>
            <w:r w:rsidR="006322BA" w:rsidRPr="000B46A4">
              <w:rPr>
                <w:lang w:val="fr-CA"/>
              </w:rPr>
              <w:t xml:space="preserve"> à 3</w:t>
            </w:r>
            <w:r w:rsidRPr="000B46A4">
              <w:rPr>
                <w:lang w:val="fr-CA"/>
              </w:rPr>
              <w:t>)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B1431F" w:rsidRPr="000B46A4" w:rsidRDefault="00BA12BA" w:rsidP="0026669D">
            <w:pPr>
              <w:rPr>
                <w:lang w:val="fr-CA"/>
              </w:rPr>
            </w:pPr>
            <w:r w:rsidRPr="000B46A4">
              <w:rPr>
                <w:lang w:val="fr-CA"/>
              </w:rPr>
              <w:t>Le juge en chef Wagner</w:t>
            </w:r>
          </w:p>
        </w:tc>
      </w:tr>
      <w:tr w:rsidR="00BA12BA" w:rsidRPr="00161887" w:rsidTr="00273C37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BA12BA" w:rsidRPr="000B46A4" w:rsidRDefault="00BA12BA" w:rsidP="00273C37">
            <w:pPr>
              <w:rPr>
                <w:b/>
                <w:smallCaps/>
                <w:lang w:val="fr-CA"/>
              </w:rPr>
            </w:pPr>
            <w:r w:rsidRPr="000B46A4">
              <w:rPr>
                <w:b/>
                <w:smallCaps/>
                <w:lang w:val="fr-CA"/>
              </w:rPr>
              <w:t>Majorité :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BA12BA" w:rsidRPr="000B46A4" w:rsidRDefault="00BA12BA" w:rsidP="00E661A4">
            <w:pPr>
              <w:rPr>
                <w:lang w:val="fr-CA"/>
              </w:rPr>
            </w:pPr>
            <w:r w:rsidRPr="000B46A4">
              <w:rPr>
                <w:lang w:val="fr-CA"/>
              </w:rPr>
              <w:t xml:space="preserve">Le juge en chef Wagner et les juges Karakatsanis, </w:t>
            </w:r>
            <w:r w:rsidR="00E661A4" w:rsidRPr="000B46A4">
              <w:rPr>
                <w:lang w:val="fr-CA"/>
              </w:rPr>
              <w:t>Rowe</w:t>
            </w:r>
            <w:r w:rsidRPr="000B46A4">
              <w:rPr>
                <w:lang w:val="fr-CA"/>
              </w:rPr>
              <w:t>, Martin, Kasirer et O</w:t>
            </w:r>
            <w:r w:rsidR="007D041C" w:rsidRPr="000B46A4">
              <w:rPr>
                <w:lang w:val="fr-CA"/>
              </w:rPr>
              <w:t>’</w:t>
            </w:r>
            <w:r w:rsidRPr="000B46A4">
              <w:rPr>
                <w:lang w:val="fr-CA"/>
              </w:rPr>
              <w:t>Bonsawin</w:t>
            </w:r>
          </w:p>
        </w:tc>
      </w:tr>
      <w:tr w:rsidR="00BA12BA" w:rsidRPr="000B46A4" w:rsidTr="00273C37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BA12BA" w:rsidRPr="000B46A4" w:rsidRDefault="00BA12BA" w:rsidP="00273C37">
            <w:pPr>
              <w:rPr>
                <w:b/>
                <w:smallCaps/>
                <w:lang w:val="fr-CA"/>
              </w:rPr>
            </w:pPr>
            <w:r w:rsidRPr="000B46A4">
              <w:rPr>
                <w:b/>
                <w:smallCaps/>
                <w:lang w:val="fr-CA"/>
              </w:rPr>
              <w:lastRenderedPageBreak/>
              <w:t>Dissidence :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BA12BA" w:rsidRPr="000B46A4" w:rsidRDefault="00BA6E0D" w:rsidP="00BA12BA">
            <w:pPr>
              <w:rPr>
                <w:lang w:val="fr-CA"/>
              </w:rPr>
            </w:pPr>
            <w:r w:rsidRPr="000B46A4">
              <w:rPr>
                <w:lang w:val="fr-CA"/>
              </w:rPr>
              <w:t>La</w:t>
            </w:r>
            <w:r w:rsidR="00BA12BA" w:rsidRPr="000B46A4">
              <w:rPr>
                <w:lang w:val="fr-CA"/>
              </w:rPr>
              <w:t xml:space="preserve"> juge </w:t>
            </w:r>
            <w:r w:rsidR="00E661A4" w:rsidRPr="000B46A4">
              <w:rPr>
                <w:lang w:val="fr-CA"/>
              </w:rPr>
              <w:t>Côté</w:t>
            </w: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F43876" w:rsidRPr="00742C64" w:rsidTr="001708F9">
        <w:tc>
          <w:tcPr>
            <w:tcW w:w="9360" w:type="dxa"/>
          </w:tcPr>
          <w:p w:rsidR="00801B60" w:rsidRPr="000B46A4" w:rsidRDefault="00801B60" w:rsidP="00425158">
            <w:pPr>
              <w:jc w:val="both"/>
              <w:rPr>
                <w:szCs w:val="24"/>
                <w:lang w:val="fr-CA"/>
              </w:rPr>
            </w:pPr>
          </w:p>
        </w:tc>
      </w:tr>
    </w:tbl>
    <w:p w:rsidR="007B3D74" w:rsidRPr="000B46A4" w:rsidRDefault="00A9085B" w:rsidP="007B3D74">
      <w:pPr>
        <w:spacing w:before="100" w:beforeAutospacing="1"/>
        <w:rPr>
          <w:rFonts w:eastAsia="Calibri"/>
          <w:szCs w:val="24"/>
          <w:lang w:val="fr-CA" w:eastAsia="en-US"/>
        </w:rPr>
      </w:pPr>
      <w:r w:rsidRPr="000B46A4">
        <w:rPr>
          <w:rFonts w:eastAsia="Calibri"/>
          <w:b/>
          <w:smallCaps/>
          <w:szCs w:val="24"/>
          <w:lang w:val="fr-CA" w:eastAsia="en-US"/>
        </w:rPr>
        <w:t>Note :</w:t>
      </w:r>
      <w:r w:rsidR="00C22905" w:rsidRPr="000B46A4">
        <w:rPr>
          <w:rFonts w:eastAsia="Calibri"/>
          <w:szCs w:val="24"/>
          <w:lang w:val="fr-CA" w:eastAsia="en-US"/>
        </w:rPr>
        <w:t xml:space="preserve"> </w:t>
      </w:r>
      <w:r w:rsidRPr="000B46A4">
        <w:rPr>
          <w:szCs w:val="24"/>
          <w:lang w:val="fr-CA"/>
        </w:rPr>
        <w:t>Ce document fera l</w:t>
      </w:r>
      <w:r w:rsidR="007D041C" w:rsidRPr="000B46A4">
        <w:rPr>
          <w:szCs w:val="24"/>
          <w:lang w:val="fr-CA"/>
        </w:rPr>
        <w:t>’</w:t>
      </w:r>
      <w:r w:rsidRPr="000B46A4">
        <w:rPr>
          <w:szCs w:val="24"/>
          <w:lang w:val="fr-CA"/>
        </w:rPr>
        <w:t xml:space="preserve">objet de retouches de forme avant la parution de sa version définitive dans le </w:t>
      </w:r>
      <w:r w:rsidRPr="000B46A4">
        <w:rPr>
          <w:i/>
          <w:szCs w:val="24"/>
          <w:lang w:val="fr-CA"/>
        </w:rPr>
        <w:t>Recueil des arrêts de la Cour suprême du Canada</w:t>
      </w:r>
      <w:r w:rsidRPr="000B46A4">
        <w:rPr>
          <w:szCs w:val="24"/>
          <w:lang w:val="fr-CA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B3D74" w:rsidRPr="00161887" w:rsidTr="00653AAD">
        <w:tc>
          <w:tcPr>
            <w:tcW w:w="1500" w:type="pct"/>
            <w:tcMar>
              <w:top w:w="284" w:type="dxa"/>
            </w:tcMar>
          </w:tcPr>
          <w:p w:rsidR="007B3D74" w:rsidRPr="000B46A4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B3D74" w:rsidRPr="000B46A4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B3D74" w:rsidRPr="000B46A4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161887" w:rsidRDefault="00161887" w:rsidP="007B3D74">
      <w:pPr>
        <w:rPr>
          <w:rFonts w:eastAsia="Calibri"/>
          <w:szCs w:val="24"/>
          <w:lang w:val="fr-CA" w:eastAsia="en-US"/>
        </w:rPr>
      </w:pPr>
    </w:p>
    <w:p w:rsidR="00161887" w:rsidRPr="00161887" w:rsidRDefault="00161887" w:rsidP="00161887">
      <w:pPr>
        <w:rPr>
          <w:rFonts w:eastAsia="Calibri"/>
          <w:szCs w:val="24"/>
          <w:lang w:val="fr-CA" w:eastAsia="en-US"/>
        </w:rPr>
      </w:pPr>
    </w:p>
    <w:p w:rsidR="00161887" w:rsidRPr="00161887" w:rsidRDefault="00161887" w:rsidP="00161887">
      <w:pPr>
        <w:tabs>
          <w:tab w:val="right" w:pos="8222"/>
        </w:tabs>
        <w:spacing w:after="720"/>
        <w:rPr>
          <w:b/>
          <w:lang w:val="fr-CA"/>
        </w:rPr>
      </w:pPr>
      <w:r w:rsidRPr="00161887">
        <w:rPr>
          <w:b/>
          <w:lang w:val="fr-CA"/>
        </w:rPr>
        <w:t>Sa Majesté le Roi</w:t>
      </w:r>
      <w:r w:rsidRPr="00161887">
        <w:rPr>
          <w:i/>
          <w:lang w:val="fr-CA"/>
        </w:rPr>
        <w:tab/>
        <w:t>Appelant</w:t>
      </w:r>
    </w:p>
    <w:p w:rsidR="00161887" w:rsidRPr="00161887" w:rsidRDefault="00161887" w:rsidP="00161887">
      <w:pPr>
        <w:spacing w:after="720"/>
        <w:rPr>
          <w:i/>
          <w:lang w:val="fr-CA"/>
        </w:rPr>
      </w:pPr>
      <w:proofErr w:type="gramStart"/>
      <w:r w:rsidRPr="00161887">
        <w:rPr>
          <w:i/>
          <w:lang w:val="fr-CA"/>
        </w:rPr>
        <w:t>c</w:t>
      </w:r>
      <w:proofErr w:type="gramEnd"/>
      <w:r w:rsidRPr="00161887">
        <w:rPr>
          <w:i/>
          <w:lang w:val="fr-CA"/>
        </w:rPr>
        <w:t>.</w:t>
      </w:r>
    </w:p>
    <w:p w:rsidR="00161887" w:rsidRPr="00161887" w:rsidRDefault="00161887" w:rsidP="00161887">
      <w:pPr>
        <w:tabs>
          <w:tab w:val="right" w:pos="8222"/>
        </w:tabs>
        <w:spacing w:after="720"/>
        <w:rPr>
          <w:b/>
          <w:lang w:val="fr-CA"/>
        </w:rPr>
      </w:pPr>
      <w:r w:rsidRPr="00161887">
        <w:rPr>
          <w:b/>
          <w:lang w:val="fr-CA"/>
        </w:rPr>
        <w:t>Olivier Chatillon</w:t>
      </w:r>
      <w:r w:rsidRPr="00161887">
        <w:rPr>
          <w:i/>
          <w:lang w:val="fr-CA"/>
        </w:rPr>
        <w:tab/>
        <w:t>Intimé</w:t>
      </w:r>
    </w:p>
    <w:p w:rsidR="00161887" w:rsidRPr="00161887" w:rsidRDefault="00161887" w:rsidP="00161887">
      <w:pPr>
        <w:spacing w:after="720"/>
        <w:rPr>
          <w:lang w:val="fr-CA"/>
        </w:rPr>
      </w:pPr>
      <w:proofErr w:type="gramStart"/>
      <w:r w:rsidRPr="00161887">
        <w:rPr>
          <w:lang w:val="fr-CA"/>
        </w:rPr>
        <w:t>et</w:t>
      </w:r>
      <w:proofErr w:type="gramEnd"/>
    </w:p>
    <w:p w:rsidR="00161887" w:rsidRPr="00161887" w:rsidRDefault="00161887" w:rsidP="00161887">
      <w:pPr>
        <w:tabs>
          <w:tab w:val="right" w:pos="8222"/>
        </w:tabs>
        <w:spacing w:after="720"/>
        <w:rPr>
          <w:b/>
          <w:lang w:val="fr-CA"/>
        </w:rPr>
      </w:pPr>
      <w:r w:rsidRPr="00161887">
        <w:rPr>
          <w:b/>
          <w:lang w:val="fr-CA"/>
        </w:rPr>
        <w:t>Association québécoise des avocats et avocates de la défense</w:t>
      </w:r>
      <w:r w:rsidRPr="00161887">
        <w:rPr>
          <w:i/>
          <w:lang w:val="fr-CA"/>
        </w:rPr>
        <w:tab/>
        <w:t>Intervenante</w:t>
      </w:r>
    </w:p>
    <w:p w:rsidR="00161887" w:rsidRPr="00161887" w:rsidRDefault="00161887" w:rsidP="00161887">
      <w:pPr>
        <w:spacing w:after="720"/>
        <w:jc w:val="both"/>
        <w:rPr>
          <w:b/>
          <w:lang w:val="fr-CA"/>
        </w:rPr>
      </w:pPr>
      <w:r w:rsidRPr="00161887">
        <w:rPr>
          <w:b/>
          <w:lang w:val="fr-CA"/>
        </w:rPr>
        <w:t xml:space="preserve">Répertorié : R. </w:t>
      </w:r>
      <w:r w:rsidRPr="00161887">
        <w:rPr>
          <w:b/>
          <w:i/>
          <w:lang w:val="fr-CA"/>
        </w:rPr>
        <w:t>c.</w:t>
      </w:r>
      <w:r w:rsidRPr="00161887">
        <w:rPr>
          <w:b/>
          <w:lang w:val="fr-CA"/>
        </w:rPr>
        <w:t xml:space="preserve"> Chatillon</w:t>
      </w:r>
    </w:p>
    <w:p w:rsidR="00161887" w:rsidRPr="00161887" w:rsidRDefault="00161887" w:rsidP="00161887">
      <w:pPr>
        <w:spacing w:after="720"/>
        <w:jc w:val="both"/>
        <w:rPr>
          <w:b/>
          <w:lang w:val="fr-CA"/>
        </w:rPr>
      </w:pPr>
      <w:r w:rsidRPr="00161887">
        <w:rPr>
          <w:b/>
          <w:lang w:val="fr-CA"/>
        </w:rPr>
        <w:t>2023 CSC 7</w:t>
      </w:r>
    </w:p>
    <w:p w:rsidR="00161887" w:rsidRPr="00161887" w:rsidRDefault="00161887" w:rsidP="00161887">
      <w:pPr>
        <w:spacing w:after="720"/>
        <w:jc w:val="both"/>
        <w:rPr>
          <w:lang w:val="fr-CA"/>
        </w:rPr>
      </w:pPr>
      <w:r w:rsidRPr="00161887">
        <w:rPr>
          <w:lang w:val="fr-CA"/>
        </w:rPr>
        <w:t>N</w:t>
      </w:r>
      <w:r w:rsidRPr="00161887">
        <w:rPr>
          <w:vertAlign w:val="superscript"/>
          <w:lang w:val="fr-CA"/>
        </w:rPr>
        <w:t>o</w:t>
      </w:r>
      <w:r w:rsidRPr="00161887">
        <w:rPr>
          <w:lang w:val="fr-CA"/>
        </w:rPr>
        <w:t xml:space="preserve"> du greffe : 40331.</w:t>
      </w:r>
    </w:p>
    <w:p w:rsidR="00161887" w:rsidRPr="00161887" w:rsidRDefault="00161887" w:rsidP="00161887">
      <w:pPr>
        <w:spacing w:after="720"/>
        <w:jc w:val="both"/>
        <w:rPr>
          <w:lang w:val="fr-CA"/>
        </w:rPr>
      </w:pPr>
      <w:r w:rsidRPr="00161887">
        <w:rPr>
          <w:lang w:val="fr-CA"/>
        </w:rPr>
        <w:t>2023 : 15 mars.</w:t>
      </w:r>
    </w:p>
    <w:p w:rsidR="00161887" w:rsidRPr="00161887" w:rsidRDefault="00161887" w:rsidP="00161887">
      <w:pPr>
        <w:spacing w:after="720"/>
        <w:jc w:val="both"/>
        <w:rPr>
          <w:lang w:val="fr-CA"/>
        </w:rPr>
      </w:pPr>
      <w:r w:rsidRPr="00161887">
        <w:rPr>
          <w:lang w:val="fr-CA"/>
        </w:rPr>
        <w:t xml:space="preserve">Présents : Le juge en chef Wagner et les juges </w:t>
      </w:r>
      <w:proofErr w:type="spellStart"/>
      <w:r w:rsidRPr="00161887">
        <w:rPr>
          <w:lang w:val="fr-CA"/>
        </w:rPr>
        <w:t>Karakatsanis</w:t>
      </w:r>
      <w:proofErr w:type="spellEnd"/>
      <w:r w:rsidRPr="00161887">
        <w:rPr>
          <w:lang w:val="fr-CA"/>
        </w:rPr>
        <w:t xml:space="preserve">, Côté, Rowe, Martin, </w:t>
      </w:r>
      <w:proofErr w:type="spellStart"/>
      <w:r w:rsidRPr="00161887">
        <w:rPr>
          <w:lang w:val="fr-CA"/>
        </w:rPr>
        <w:t>Kasirer</w:t>
      </w:r>
      <w:proofErr w:type="spellEnd"/>
      <w:r w:rsidRPr="00161887">
        <w:rPr>
          <w:lang w:val="fr-CA"/>
        </w:rPr>
        <w:t xml:space="preserve"> et </w:t>
      </w:r>
      <w:proofErr w:type="spellStart"/>
      <w:r w:rsidRPr="00161887">
        <w:rPr>
          <w:lang w:val="fr-CA"/>
        </w:rPr>
        <w:t>O’Bonsawin</w:t>
      </w:r>
      <w:proofErr w:type="spellEnd"/>
      <w:r w:rsidRPr="00161887">
        <w:rPr>
          <w:lang w:val="fr-CA"/>
        </w:rPr>
        <w:t>.</w:t>
      </w:r>
    </w:p>
    <w:p w:rsidR="00161887" w:rsidRPr="00161887" w:rsidRDefault="00161887" w:rsidP="00161887">
      <w:pPr>
        <w:spacing w:after="720"/>
        <w:jc w:val="both"/>
        <w:rPr>
          <w:smallCaps/>
          <w:lang w:val="fr-CA"/>
        </w:rPr>
      </w:pPr>
      <w:r w:rsidRPr="00161887">
        <w:rPr>
          <w:smallCaps/>
          <w:lang w:val="fr-CA"/>
        </w:rPr>
        <w:t xml:space="preserve">en appel de la cour d’appel du </w:t>
      </w:r>
      <w:proofErr w:type="spellStart"/>
      <w:r w:rsidRPr="00161887">
        <w:rPr>
          <w:smallCaps/>
          <w:lang w:val="fr-CA"/>
        </w:rPr>
        <w:t>québec</w:t>
      </w:r>
      <w:proofErr w:type="spellEnd"/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i/>
          <w:iCs/>
          <w:lang w:val="fr-CA"/>
        </w:rPr>
      </w:pPr>
      <w:r w:rsidRPr="00161887">
        <w:rPr>
          <w:lang w:val="fr-CA"/>
        </w:rPr>
        <w:tab/>
      </w:r>
      <w:r w:rsidRPr="00161887">
        <w:rPr>
          <w:i/>
          <w:lang w:val="fr-CA"/>
        </w:rPr>
        <w:t>Droit criminel — Preuve —</w:t>
      </w:r>
      <w:r w:rsidRPr="00161887">
        <w:rPr>
          <w:i/>
          <w:iCs/>
          <w:lang w:val="fr-CA"/>
        </w:rPr>
        <w:t xml:space="preserve"> Admissibilité —</w:t>
      </w:r>
      <w:r w:rsidRPr="00161887">
        <w:rPr>
          <w:lang w:val="fr-CA"/>
        </w:rPr>
        <w:t xml:space="preserve"> </w:t>
      </w:r>
      <w:r w:rsidRPr="00161887">
        <w:rPr>
          <w:i/>
          <w:lang w:val="fr-CA"/>
        </w:rPr>
        <w:t>Aveux</w:t>
      </w:r>
      <w:r w:rsidRPr="00161887">
        <w:rPr>
          <w:lang w:val="fr-CA"/>
        </w:rPr>
        <w:t xml:space="preserve"> </w:t>
      </w:r>
      <w:r w:rsidRPr="00161887">
        <w:rPr>
          <w:i/>
          <w:iCs/>
          <w:lang w:val="fr-CA"/>
        </w:rPr>
        <w:t xml:space="preserve">— Aveux faits volontairement par l’accusé, dans le cadre d’une démarche thérapeutique, concernant des gestes à caractère sexuel qu’il a posé sur une enfant — Aveux transmis au directeur de la protection de la jeunesse puis à la police avec le consentement de l’accusé — Accusé inculpé d’agression sexuelle — Dépôt par l’accusé d’une requête en exclusion des aveux — Rejet de la requête par le juge du procès au motif que l’application des critères de </w:t>
      </w:r>
      <w:proofErr w:type="spellStart"/>
      <w:r w:rsidRPr="00161887">
        <w:rPr>
          <w:i/>
          <w:iCs/>
          <w:lang w:val="fr-CA"/>
        </w:rPr>
        <w:t>Wigmore</w:t>
      </w:r>
      <w:proofErr w:type="spellEnd"/>
      <w:r w:rsidRPr="00161887">
        <w:rPr>
          <w:i/>
          <w:iCs/>
          <w:lang w:val="fr-CA"/>
        </w:rPr>
        <w:t xml:space="preserve"> ne mène pas à l’inadmissibilité des aveux — Accusé déclaré coupable d’agression sexuelle — Acquittement inscrit par les juges majoritaires de la Cour d’appel au motif que les aveux sont inadmissibles — Conclusion du juge dissident portant que les aveux sont admissibles puisque l’accusé a explicitement renoncé à leur caractère confidentiel en consentant à leur divulgation — Déclaration de culpabilité rétablie.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161887">
        <w:rPr>
          <w:lang w:val="fr-CA"/>
        </w:rPr>
        <w:tab/>
        <w:t xml:space="preserve">POURVOI contre un arrêt de la Cour d’appel du Québec (les juges </w:t>
      </w:r>
      <w:proofErr w:type="spellStart"/>
      <w:r w:rsidRPr="00161887">
        <w:rPr>
          <w:lang w:val="fr-CA"/>
        </w:rPr>
        <w:t>Vauclair</w:t>
      </w:r>
      <w:proofErr w:type="spellEnd"/>
      <w:r w:rsidRPr="00161887">
        <w:rPr>
          <w:lang w:val="fr-CA"/>
        </w:rPr>
        <w:t xml:space="preserve">, Mainville et </w:t>
      </w:r>
      <w:proofErr w:type="spellStart"/>
      <w:r w:rsidRPr="00161887">
        <w:rPr>
          <w:lang w:val="fr-CA"/>
        </w:rPr>
        <w:t>Healy</w:t>
      </w:r>
      <w:proofErr w:type="spellEnd"/>
      <w:r w:rsidRPr="00161887">
        <w:rPr>
          <w:lang w:val="fr-CA"/>
        </w:rPr>
        <w:t xml:space="preserve">), </w:t>
      </w:r>
      <w:hyperlink r:id="rId10" w:history="1">
        <w:r w:rsidRPr="00161887">
          <w:rPr>
            <w:color w:val="660000"/>
            <w:lang w:val="fr-CA"/>
          </w:rPr>
          <w:t xml:space="preserve">2022 </w:t>
        </w:r>
        <w:proofErr w:type="spellStart"/>
        <w:r w:rsidRPr="00161887">
          <w:rPr>
            <w:color w:val="660000"/>
            <w:lang w:val="fr-CA"/>
          </w:rPr>
          <w:t>QCCA</w:t>
        </w:r>
        <w:proofErr w:type="spellEnd"/>
        <w:r w:rsidRPr="00161887">
          <w:rPr>
            <w:color w:val="660000"/>
            <w:lang w:val="fr-CA"/>
          </w:rPr>
          <w:t xml:space="preserve"> 1072</w:t>
        </w:r>
      </w:hyperlink>
      <w:r w:rsidRPr="00161887">
        <w:rPr>
          <w:lang w:val="fr-CA"/>
        </w:rPr>
        <w:t xml:space="preserve">, 83 </w:t>
      </w:r>
      <w:proofErr w:type="spellStart"/>
      <w:r w:rsidRPr="00161887">
        <w:rPr>
          <w:lang w:val="fr-CA"/>
        </w:rPr>
        <w:t>C.R</w:t>
      </w:r>
      <w:proofErr w:type="spellEnd"/>
      <w:r w:rsidRPr="00161887">
        <w:rPr>
          <w:lang w:val="fr-CA"/>
        </w:rPr>
        <w:t>. (</w:t>
      </w:r>
      <w:proofErr w:type="spellStart"/>
      <w:r w:rsidRPr="00161887">
        <w:rPr>
          <w:lang w:val="fr-CA"/>
        </w:rPr>
        <w:t>7th</w:t>
      </w:r>
      <w:proofErr w:type="spellEnd"/>
      <w:r w:rsidRPr="00161887">
        <w:rPr>
          <w:lang w:val="fr-CA"/>
        </w:rPr>
        <w:t xml:space="preserve">) 403, [2022] </w:t>
      </w:r>
      <w:proofErr w:type="spellStart"/>
      <w:r w:rsidRPr="00161887">
        <w:rPr>
          <w:lang w:val="fr-CA"/>
        </w:rPr>
        <w:t>J.Q</w:t>
      </w:r>
      <w:proofErr w:type="spellEnd"/>
      <w:r w:rsidRPr="00161887">
        <w:rPr>
          <w:lang w:val="fr-CA"/>
        </w:rPr>
        <w:t>. n</w:t>
      </w:r>
      <w:r w:rsidRPr="00161887">
        <w:rPr>
          <w:vertAlign w:val="superscript"/>
          <w:lang w:val="fr-CA"/>
        </w:rPr>
        <w:t>o</w:t>
      </w:r>
      <w:r w:rsidRPr="00161887">
        <w:rPr>
          <w:lang w:val="fr-CA"/>
        </w:rPr>
        <w:t> 7757 (</w:t>
      </w:r>
      <w:proofErr w:type="spellStart"/>
      <w:r w:rsidRPr="00161887">
        <w:rPr>
          <w:lang w:val="fr-CA"/>
        </w:rPr>
        <w:t>QL</w:t>
      </w:r>
      <w:proofErr w:type="spellEnd"/>
      <w:r w:rsidRPr="00161887">
        <w:rPr>
          <w:lang w:val="fr-CA"/>
        </w:rPr>
        <w:t xml:space="preserve">), 2022 </w:t>
      </w:r>
      <w:proofErr w:type="spellStart"/>
      <w:r w:rsidRPr="00161887">
        <w:rPr>
          <w:lang w:val="fr-CA"/>
        </w:rPr>
        <w:t>CarswellQue</w:t>
      </w:r>
      <w:proofErr w:type="spellEnd"/>
      <w:r w:rsidRPr="00161887">
        <w:rPr>
          <w:lang w:val="fr-CA"/>
        </w:rPr>
        <w:t xml:space="preserve"> 11441 (</w:t>
      </w:r>
      <w:proofErr w:type="spellStart"/>
      <w:r w:rsidRPr="00161887">
        <w:rPr>
          <w:lang w:val="fr-CA"/>
        </w:rPr>
        <w:t>WL</w:t>
      </w:r>
      <w:proofErr w:type="spellEnd"/>
      <w:r w:rsidRPr="00161887">
        <w:rPr>
          <w:lang w:val="fr-CA"/>
        </w:rPr>
        <w:t>), qui a annulé la déclaration de culpabilité pour agression sexuelle prononcée contre l’accusé et</w:t>
      </w:r>
      <w:r w:rsidRPr="00161887">
        <w:rPr>
          <w:color w:val="000000"/>
          <w:lang w:val="fr-CA"/>
        </w:rPr>
        <w:t xml:space="preserve"> </w:t>
      </w:r>
      <w:r w:rsidRPr="00161887">
        <w:rPr>
          <w:lang w:val="fr-CA"/>
        </w:rPr>
        <w:t>inscrit un acquittement</w:t>
      </w:r>
      <w:r w:rsidRPr="00161887">
        <w:rPr>
          <w:rFonts w:eastAsiaTheme="minorHAnsi" w:cs="Calibri"/>
          <w:szCs w:val="24"/>
          <w:lang w:val="fr-CA" w:eastAsia="en-US"/>
        </w:rPr>
        <w:t xml:space="preserve">. Pourvoi </w:t>
      </w:r>
      <w:r w:rsidRPr="00161887">
        <w:rPr>
          <w:color w:val="000000"/>
          <w:lang w:val="fr-CA"/>
        </w:rPr>
        <w:t>accueilli, la juge Côté est dissidente.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161887">
        <w:rPr>
          <w:i/>
          <w:lang w:val="fr-CA"/>
        </w:rPr>
        <w:tab/>
        <w:t xml:space="preserve">Maxime </w:t>
      </w:r>
      <w:proofErr w:type="spellStart"/>
      <w:r w:rsidRPr="00161887">
        <w:rPr>
          <w:i/>
          <w:iCs/>
          <w:color w:val="000000"/>
          <w:lang w:val="fr-CA"/>
        </w:rPr>
        <w:t>Hébrard</w:t>
      </w:r>
      <w:proofErr w:type="spellEnd"/>
      <w:r w:rsidRPr="00161887">
        <w:rPr>
          <w:i/>
          <w:iCs/>
          <w:color w:val="000000"/>
          <w:lang w:val="fr-CA"/>
        </w:rPr>
        <w:t xml:space="preserve"> </w:t>
      </w:r>
      <w:r w:rsidRPr="00161887">
        <w:rPr>
          <w:lang w:val="fr-CA"/>
        </w:rPr>
        <w:t xml:space="preserve">et </w:t>
      </w:r>
      <w:r w:rsidRPr="00161887">
        <w:rPr>
          <w:i/>
          <w:iCs/>
          <w:color w:val="000000"/>
          <w:lang w:val="fr-CA"/>
        </w:rPr>
        <w:t>Julien Fitzgerald</w:t>
      </w:r>
      <w:r w:rsidRPr="00161887">
        <w:rPr>
          <w:lang w:val="fr-CA"/>
        </w:rPr>
        <w:t>, pour l’appelant.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161887">
        <w:rPr>
          <w:i/>
          <w:lang w:val="fr-CA"/>
        </w:rPr>
        <w:tab/>
        <w:t>Nicolas Lemyre</w:t>
      </w:r>
      <w:r w:rsidRPr="00161887">
        <w:rPr>
          <w:i/>
          <w:lang w:val="fr-CA"/>
        </w:rPr>
        <w:noBreakHyphen/>
        <w:t>Cossette</w:t>
      </w:r>
      <w:r w:rsidRPr="00161887">
        <w:rPr>
          <w:lang w:val="fr-CA"/>
        </w:rPr>
        <w:t xml:space="preserve"> et </w:t>
      </w:r>
      <w:proofErr w:type="spellStart"/>
      <w:r w:rsidRPr="00161887">
        <w:rPr>
          <w:i/>
          <w:lang w:val="fr-CA"/>
        </w:rPr>
        <w:t>Marie</w:t>
      </w:r>
      <w:r w:rsidRPr="00161887">
        <w:rPr>
          <w:i/>
          <w:lang w:val="fr-CA"/>
        </w:rPr>
        <w:noBreakHyphen/>
        <w:t>Pier</w:t>
      </w:r>
      <w:proofErr w:type="spellEnd"/>
      <w:r w:rsidRPr="00161887">
        <w:rPr>
          <w:i/>
          <w:lang w:val="fr-CA"/>
        </w:rPr>
        <w:t xml:space="preserve"> Boulet</w:t>
      </w:r>
      <w:r w:rsidRPr="00161887">
        <w:rPr>
          <w:lang w:val="fr-CA"/>
        </w:rPr>
        <w:t>, pour l’intimé.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161887">
        <w:rPr>
          <w:i/>
          <w:lang w:val="fr-CA"/>
        </w:rPr>
        <w:tab/>
        <w:t>Cynthia Lacombe</w:t>
      </w:r>
      <w:r w:rsidRPr="00161887">
        <w:rPr>
          <w:lang w:val="fr-CA"/>
        </w:rPr>
        <w:t>, pour l’intervenante.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161887">
        <w:rPr>
          <w:lang w:val="fr-CA"/>
        </w:rPr>
        <w:tab/>
        <w:t>Le jugement de la Cour a été rendu oralement par</w:t>
      </w:r>
    </w:p>
    <w:p w:rsidR="00161887" w:rsidRPr="00161887" w:rsidRDefault="00161887" w:rsidP="00161887">
      <w:pPr>
        <w:numPr>
          <w:ilvl w:val="0"/>
          <w:numId w:val="31"/>
        </w:numPr>
        <w:tabs>
          <w:tab w:val="left" w:pos="1166"/>
        </w:tabs>
        <w:spacing w:before="480"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161887">
        <w:rPr>
          <w:rFonts w:eastAsiaTheme="minorEastAsia" w:cstheme="minorBidi"/>
          <w:color w:val="000000"/>
          <w:szCs w:val="22"/>
          <w:lang w:val="fr-CA" w:eastAsia="en-US"/>
        </w:rPr>
        <w:t>L</w:t>
      </w:r>
      <w:r w:rsidRPr="00161887">
        <w:rPr>
          <w:rFonts w:eastAsiaTheme="minorEastAsia" w:cstheme="minorBidi"/>
          <w:smallCaps/>
          <w:color w:val="000000"/>
          <w:szCs w:val="22"/>
          <w:lang w:val="fr-CA" w:eastAsia="en-US"/>
        </w:rPr>
        <w:t>e juge en chef</w:t>
      </w:r>
      <w:r w:rsidRPr="00161887">
        <w:rPr>
          <w:rFonts w:eastAsiaTheme="minorEastAsia" w:cstheme="minorBidi"/>
          <w:color w:val="000000"/>
          <w:szCs w:val="22"/>
          <w:lang w:val="fr-CA" w:eastAsia="en-US"/>
        </w:rPr>
        <w:t xml:space="preserve"> — Une majorité des juges de la Cour est d’avis qu’il y a lieu d’accueillir l’appel sur la seule question du consentement de l’intimé à la divulgation de ses aveux, exposée par le juge dissident aux </w:t>
      </w:r>
      <w:proofErr w:type="spellStart"/>
      <w:r w:rsidRPr="00161887">
        <w:rPr>
          <w:rFonts w:eastAsiaTheme="minorEastAsia" w:cstheme="minorBidi"/>
          <w:color w:val="000000"/>
          <w:szCs w:val="22"/>
          <w:lang w:val="fr-CA" w:eastAsia="en-US"/>
        </w:rPr>
        <w:t>par</w:t>
      </w:r>
      <w:proofErr w:type="spellEnd"/>
      <w:r w:rsidRPr="00161887">
        <w:rPr>
          <w:rFonts w:eastAsiaTheme="minorEastAsia" w:cstheme="minorBidi"/>
          <w:color w:val="000000"/>
          <w:szCs w:val="22"/>
          <w:lang w:val="fr-CA" w:eastAsia="en-US"/>
        </w:rPr>
        <w:t>. 83</w:t>
      </w:r>
      <w:r w:rsidRPr="00161887">
        <w:rPr>
          <w:rFonts w:eastAsiaTheme="minorEastAsia" w:cstheme="minorBidi"/>
          <w:color w:val="000000"/>
          <w:szCs w:val="22"/>
          <w:lang w:val="fr-CA" w:eastAsia="en-US"/>
        </w:rPr>
        <w:noBreakHyphen/>
        <w:t>85 des motifs. Cela suffit, de l’avis de la Cour, pour disposer de l’appel.</w:t>
      </w:r>
    </w:p>
    <w:p w:rsidR="00161887" w:rsidRPr="00161887" w:rsidRDefault="00161887" w:rsidP="00161887">
      <w:pPr>
        <w:numPr>
          <w:ilvl w:val="0"/>
          <w:numId w:val="31"/>
        </w:numPr>
        <w:tabs>
          <w:tab w:val="left" w:pos="1166"/>
        </w:tabs>
        <w:spacing w:before="480"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161887">
        <w:rPr>
          <w:rFonts w:eastAsiaTheme="minorEastAsia" w:cstheme="minorBidi"/>
          <w:color w:val="000000"/>
          <w:szCs w:val="22"/>
          <w:lang w:val="fr-CA" w:eastAsia="en-US"/>
        </w:rPr>
        <w:t>La juge Côté, pour sa part, aurait rejeté l’appel, essentiellement pour les motifs de la majorité de la Cour d’appel.</w:t>
      </w:r>
    </w:p>
    <w:p w:rsidR="00161887" w:rsidRPr="00161887" w:rsidRDefault="00161887" w:rsidP="00161887">
      <w:pPr>
        <w:numPr>
          <w:ilvl w:val="0"/>
          <w:numId w:val="31"/>
        </w:numPr>
        <w:tabs>
          <w:tab w:val="left" w:pos="1166"/>
        </w:tabs>
        <w:spacing w:before="480"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161887">
        <w:rPr>
          <w:rFonts w:eastAsiaTheme="minorEastAsia" w:cstheme="minorBidi"/>
          <w:color w:val="000000"/>
          <w:szCs w:val="22"/>
          <w:lang w:val="fr-CA" w:eastAsia="en-US"/>
        </w:rPr>
        <w:t>L’appel est accueilli, le jugement de la Cour d’appel est annulé et la déclaration de culpabilité prononcée contre l’intimé est rétablie.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161887">
        <w:rPr>
          <w:lang w:val="fr-CA"/>
        </w:rPr>
        <w:tab/>
      </w:r>
      <w:r w:rsidRPr="00161887">
        <w:rPr>
          <w:i/>
          <w:lang w:val="fr-CA"/>
        </w:rPr>
        <w:t>Jugement en conséquence.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161887">
        <w:rPr>
          <w:i/>
          <w:lang w:val="fr-CA"/>
        </w:rPr>
        <w:tab/>
        <w:t>Procureur de l’appelant : Procureur aux poursuites criminelles et pénales, Longueuil.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161887">
        <w:rPr>
          <w:i/>
          <w:lang w:val="fr-CA"/>
        </w:rPr>
        <w:tab/>
        <w:t xml:space="preserve">Procureurs de l’intimé : </w:t>
      </w:r>
      <w:proofErr w:type="spellStart"/>
      <w:r w:rsidRPr="00161887">
        <w:rPr>
          <w:i/>
          <w:lang w:val="fr-CA"/>
        </w:rPr>
        <w:t>Poitras</w:t>
      </w:r>
      <w:proofErr w:type="spellEnd"/>
      <w:r w:rsidRPr="00161887">
        <w:rPr>
          <w:i/>
          <w:lang w:val="fr-CA"/>
        </w:rPr>
        <w:t>, Fournier, Cossette, Granby; BMD, Laval.</w:t>
      </w:r>
    </w:p>
    <w:p w:rsidR="00161887" w:rsidRPr="00161887" w:rsidRDefault="00161887" w:rsidP="00161887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161887">
        <w:rPr>
          <w:i/>
          <w:lang w:val="fr-CA"/>
        </w:rPr>
        <w:tab/>
        <w:t>Procureurs de l’intervenant</w:t>
      </w:r>
      <w:bookmarkStart w:id="0" w:name="_GoBack"/>
      <w:bookmarkEnd w:id="0"/>
      <w:r w:rsidRPr="00161887">
        <w:rPr>
          <w:i/>
          <w:lang w:val="fr-CA"/>
        </w:rPr>
        <w:t>e : BMD, Laval.</w:t>
      </w:r>
    </w:p>
    <w:p w:rsidR="00161887" w:rsidRDefault="00161887" w:rsidP="00161887">
      <w:pPr>
        <w:rPr>
          <w:rFonts w:eastAsia="Calibri"/>
          <w:szCs w:val="24"/>
          <w:lang w:val="fr-CA" w:eastAsia="en-US"/>
        </w:rPr>
      </w:pPr>
    </w:p>
    <w:sectPr w:rsidR="00161887" w:rsidSect="00161887">
      <w:headerReference w:type="default" r:id="rId11"/>
      <w:headerReference w:type="first" r:id="rId12"/>
      <w:pgSz w:w="12240" w:h="15840"/>
      <w:pgMar w:top="1440" w:right="1440" w:bottom="1440" w:left="1440" w:header="180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CE" w:rsidRDefault="006C2CCE">
      <w:r>
        <w:separator/>
      </w:r>
    </w:p>
  </w:endnote>
  <w:endnote w:type="continuationSeparator" w:id="0">
    <w:p w:rsidR="006C2CCE" w:rsidRDefault="006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CE" w:rsidRDefault="006C2CCE">
      <w:r>
        <w:separator/>
      </w:r>
    </w:p>
  </w:footnote>
  <w:footnote w:type="continuationSeparator" w:id="0">
    <w:p w:rsidR="006C2CCE" w:rsidRDefault="006C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36" w:rsidRDefault="000B46A4" w:rsidP="0013661E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161887">
      <w:rPr>
        <w:noProof/>
        <w:szCs w:val="24"/>
      </w:rPr>
      <w:t>5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542236" w:rsidRDefault="00161887" w:rsidP="0013661E">
    <w:pPr>
      <w:rPr>
        <w:szCs w:val="24"/>
      </w:rPr>
    </w:pPr>
  </w:p>
  <w:p w:rsidR="00542236" w:rsidRDefault="00161887" w:rsidP="0013661E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52973"/>
      <w:lock w:val="contentLocked"/>
      <w:showingPlcHdr/>
      <w:text/>
    </w:sdtPr>
    <w:sdtEndPr/>
    <w:sdtContent>
      <w:p w:rsidR="00542236" w:rsidRDefault="00161887" w:rsidP="00A83D11"/>
      <w:p w:rsidR="00542236" w:rsidRDefault="00161887" w:rsidP="00A83D11"/>
      <w:p w:rsidR="00542236" w:rsidRPr="0031097F" w:rsidRDefault="00161887" w:rsidP="00A83D11"/>
      <w:p w:rsidR="00542236" w:rsidRPr="0031097F" w:rsidRDefault="00161887" w:rsidP="00A83D11"/>
      <w:p w:rsidR="00542236" w:rsidRDefault="00161887" w:rsidP="00A83D11"/>
      <w:p w:rsidR="00542236" w:rsidRDefault="00161887" w:rsidP="00A83D11"/>
      <w:p w:rsidR="00542236" w:rsidRDefault="00161887" w:rsidP="00A83D11"/>
      <w:p w:rsidR="00542236" w:rsidRDefault="00161887" w:rsidP="00A83D11"/>
      <w:p w:rsidR="00542236" w:rsidRDefault="00161887" w:rsidP="00A83D11"/>
      <w:p w:rsidR="00542236" w:rsidRPr="0031097F" w:rsidRDefault="00161887" w:rsidP="00A83D11"/>
      <w:p w:rsidR="00542236" w:rsidRPr="0031097F" w:rsidRDefault="00161887" w:rsidP="00A83D11"/>
      <w:p w:rsidR="00542236" w:rsidRPr="00A83D11" w:rsidRDefault="00161887" w:rsidP="00A83D1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F520B"/>
    <w:multiLevelType w:val="multilevel"/>
    <w:tmpl w:val="EC1A4062"/>
    <w:lvl w:ilvl="0">
      <w:start w:val="1"/>
      <w:numFmt w:val="decimal"/>
      <w:lvlText w:val="[%1]"/>
      <w:lvlJc w:val="left"/>
      <w:pPr>
        <w:tabs>
          <w:tab w:val="num" w:pos="116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9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6"/>
  </w:num>
  <w:num w:numId="11">
    <w:abstractNumId w:val="13"/>
  </w:num>
  <w:num w:numId="12">
    <w:abstractNumId w:val="11"/>
  </w:num>
  <w:num w:numId="13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4"/>
  </w:num>
  <w:num w:numId="27">
    <w:abstractNumId w:val="14"/>
  </w:num>
  <w:num w:numId="28">
    <w:abstractNumId w:val="27"/>
  </w:num>
  <w:num w:numId="29">
    <w:abstractNumId w:val="25"/>
  </w:num>
  <w:num w:numId="30">
    <w:abstractNumId w:val="18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3DC"/>
    <w:rsid w:val="00013781"/>
    <w:rsid w:val="00017885"/>
    <w:rsid w:val="00022F2E"/>
    <w:rsid w:val="00025198"/>
    <w:rsid w:val="00026467"/>
    <w:rsid w:val="00040D1B"/>
    <w:rsid w:val="00041BDD"/>
    <w:rsid w:val="000578A3"/>
    <w:rsid w:val="000648CC"/>
    <w:rsid w:val="00076E46"/>
    <w:rsid w:val="0008133F"/>
    <w:rsid w:val="000903EF"/>
    <w:rsid w:val="00094FED"/>
    <w:rsid w:val="000B34E8"/>
    <w:rsid w:val="000B46A4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2D29"/>
    <w:rsid w:val="0014546A"/>
    <w:rsid w:val="00154563"/>
    <w:rsid w:val="00154D7C"/>
    <w:rsid w:val="001570B0"/>
    <w:rsid w:val="0015752C"/>
    <w:rsid w:val="00157737"/>
    <w:rsid w:val="00161887"/>
    <w:rsid w:val="00165277"/>
    <w:rsid w:val="001677C1"/>
    <w:rsid w:val="00170592"/>
    <w:rsid w:val="001708F9"/>
    <w:rsid w:val="00186351"/>
    <w:rsid w:val="00195D83"/>
    <w:rsid w:val="001977DB"/>
    <w:rsid w:val="001A00C1"/>
    <w:rsid w:val="001A42A4"/>
    <w:rsid w:val="001B33E0"/>
    <w:rsid w:val="001B4573"/>
    <w:rsid w:val="001C4602"/>
    <w:rsid w:val="001C779F"/>
    <w:rsid w:val="001D2AC1"/>
    <w:rsid w:val="001D4DDF"/>
    <w:rsid w:val="001D4E88"/>
    <w:rsid w:val="001D65FF"/>
    <w:rsid w:val="001D6E70"/>
    <w:rsid w:val="001E477D"/>
    <w:rsid w:val="00217F53"/>
    <w:rsid w:val="00220FC2"/>
    <w:rsid w:val="002222F4"/>
    <w:rsid w:val="00224FC0"/>
    <w:rsid w:val="00225EA4"/>
    <w:rsid w:val="00226EAF"/>
    <w:rsid w:val="002310A2"/>
    <w:rsid w:val="00231407"/>
    <w:rsid w:val="00231F3A"/>
    <w:rsid w:val="00234199"/>
    <w:rsid w:val="00236389"/>
    <w:rsid w:val="00237AFE"/>
    <w:rsid w:val="002406EE"/>
    <w:rsid w:val="00243EC8"/>
    <w:rsid w:val="0026412B"/>
    <w:rsid w:val="00264B77"/>
    <w:rsid w:val="0026669D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505"/>
    <w:rsid w:val="002D39A4"/>
    <w:rsid w:val="002E6189"/>
    <w:rsid w:val="002E6705"/>
    <w:rsid w:val="00301D08"/>
    <w:rsid w:val="0030329A"/>
    <w:rsid w:val="00303F14"/>
    <w:rsid w:val="00305526"/>
    <w:rsid w:val="00305B66"/>
    <w:rsid w:val="0031086F"/>
    <w:rsid w:val="0031414C"/>
    <w:rsid w:val="00314E01"/>
    <w:rsid w:val="00317670"/>
    <w:rsid w:val="003207F1"/>
    <w:rsid w:val="0032089D"/>
    <w:rsid w:val="00324AE2"/>
    <w:rsid w:val="003310DE"/>
    <w:rsid w:val="003323B0"/>
    <w:rsid w:val="0033472B"/>
    <w:rsid w:val="00337C82"/>
    <w:rsid w:val="00342089"/>
    <w:rsid w:val="00347BA4"/>
    <w:rsid w:val="0035169A"/>
    <w:rsid w:val="0035259D"/>
    <w:rsid w:val="00353B79"/>
    <w:rsid w:val="00353EF2"/>
    <w:rsid w:val="00355C66"/>
    <w:rsid w:val="00362ADA"/>
    <w:rsid w:val="00364B18"/>
    <w:rsid w:val="003801DB"/>
    <w:rsid w:val="00381C49"/>
    <w:rsid w:val="0039294D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34D3"/>
    <w:rsid w:val="00424FE1"/>
    <w:rsid w:val="00425158"/>
    <w:rsid w:val="00426659"/>
    <w:rsid w:val="00426D16"/>
    <w:rsid w:val="00445C7C"/>
    <w:rsid w:val="00450352"/>
    <w:rsid w:val="00454BDB"/>
    <w:rsid w:val="00456FFF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86C55"/>
    <w:rsid w:val="00493C18"/>
    <w:rsid w:val="00495D96"/>
    <w:rsid w:val="004A600C"/>
    <w:rsid w:val="004A6118"/>
    <w:rsid w:val="004C2314"/>
    <w:rsid w:val="004C25EE"/>
    <w:rsid w:val="004C478D"/>
    <w:rsid w:val="004C6955"/>
    <w:rsid w:val="004D1721"/>
    <w:rsid w:val="004D4FEC"/>
    <w:rsid w:val="004E0D6A"/>
    <w:rsid w:val="004E2C26"/>
    <w:rsid w:val="004E61A7"/>
    <w:rsid w:val="004F36FF"/>
    <w:rsid w:val="00506A78"/>
    <w:rsid w:val="005125A8"/>
    <w:rsid w:val="00516DED"/>
    <w:rsid w:val="00517BC7"/>
    <w:rsid w:val="00521AE8"/>
    <w:rsid w:val="00524449"/>
    <w:rsid w:val="00527180"/>
    <w:rsid w:val="005341CE"/>
    <w:rsid w:val="00534AB2"/>
    <w:rsid w:val="0054201E"/>
    <w:rsid w:val="00547FB8"/>
    <w:rsid w:val="005541DB"/>
    <w:rsid w:val="00555291"/>
    <w:rsid w:val="0056265A"/>
    <w:rsid w:val="00566AD1"/>
    <w:rsid w:val="0057257D"/>
    <w:rsid w:val="00575FF2"/>
    <w:rsid w:val="00582AE2"/>
    <w:rsid w:val="00583EDE"/>
    <w:rsid w:val="00586928"/>
    <w:rsid w:val="005966EF"/>
    <w:rsid w:val="005A4F85"/>
    <w:rsid w:val="005A6079"/>
    <w:rsid w:val="005C617A"/>
    <w:rsid w:val="005C7840"/>
    <w:rsid w:val="005E4698"/>
    <w:rsid w:val="006003EE"/>
    <w:rsid w:val="006055B2"/>
    <w:rsid w:val="00610539"/>
    <w:rsid w:val="00613969"/>
    <w:rsid w:val="0061523C"/>
    <w:rsid w:val="00617208"/>
    <w:rsid w:val="00625C35"/>
    <w:rsid w:val="00626A7D"/>
    <w:rsid w:val="0062787A"/>
    <w:rsid w:val="006322BA"/>
    <w:rsid w:val="00635521"/>
    <w:rsid w:val="00637318"/>
    <w:rsid w:val="00640645"/>
    <w:rsid w:val="006468AB"/>
    <w:rsid w:val="0065050D"/>
    <w:rsid w:val="00656313"/>
    <w:rsid w:val="006565F4"/>
    <w:rsid w:val="0066108F"/>
    <w:rsid w:val="00666098"/>
    <w:rsid w:val="006763FD"/>
    <w:rsid w:val="00684EEA"/>
    <w:rsid w:val="006908E8"/>
    <w:rsid w:val="0069689B"/>
    <w:rsid w:val="006A1551"/>
    <w:rsid w:val="006A48DB"/>
    <w:rsid w:val="006B4F1D"/>
    <w:rsid w:val="006B5FF5"/>
    <w:rsid w:val="006B7683"/>
    <w:rsid w:val="006C2CCE"/>
    <w:rsid w:val="006D4200"/>
    <w:rsid w:val="006D65A1"/>
    <w:rsid w:val="006F30AF"/>
    <w:rsid w:val="006F54BB"/>
    <w:rsid w:val="006F7FA0"/>
    <w:rsid w:val="007009A0"/>
    <w:rsid w:val="00701759"/>
    <w:rsid w:val="00701CF2"/>
    <w:rsid w:val="00705C15"/>
    <w:rsid w:val="00712E55"/>
    <w:rsid w:val="00713025"/>
    <w:rsid w:val="00714103"/>
    <w:rsid w:val="007154A1"/>
    <w:rsid w:val="0071600E"/>
    <w:rsid w:val="007162E1"/>
    <w:rsid w:val="007162FD"/>
    <w:rsid w:val="00717FDC"/>
    <w:rsid w:val="007208D1"/>
    <w:rsid w:val="0072428C"/>
    <w:rsid w:val="0072436C"/>
    <w:rsid w:val="00730177"/>
    <w:rsid w:val="00742119"/>
    <w:rsid w:val="00742337"/>
    <w:rsid w:val="00742C64"/>
    <w:rsid w:val="00744F09"/>
    <w:rsid w:val="00747288"/>
    <w:rsid w:val="00747DD3"/>
    <w:rsid w:val="007549C8"/>
    <w:rsid w:val="00754A0B"/>
    <w:rsid w:val="00766D14"/>
    <w:rsid w:val="00767A0F"/>
    <w:rsid w:val="00775C3E"/>
    <w:rsid w:val="00796207"/>
    <w:rsid w:val="007A05F6"/>
    <w:rsid w:val="007B1289"/>
    <w:rsid w:val="007B3D74"/>
    <w:rsid w:val="007B6F4A"/>
    <w:rsid w:val="007B7758"/>
    <w:rsid w:val="007D041C"/>
    <w:rsid w:val="007D097E"/>
    <w:rsid w:val="007E1C47"/>
    <w:rsid w:val="007E337A"/>
    <w:rsid w:val="007E5C70"/>
    <w:rsid w:val="007F2FF5"/>
    <w:rsid w:val="007F3F08"/>
    <w:rsid w:val="00801B60"/>
    <w:rsid w:val="00804CC6"/>
    <w:rsid w:val="00813B48"/>
    <w:rsid w:val="00817190"/>
    <w:rsid w:val="0081764F"/>
    <w:rsid w:val="00820223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83F8A"/>
    <w:rsid w:val="00891422"/>
    <w:rsid w:val="00892E1A"/>
    <w:rsid w:val="00892FD4"/>
    <w:rsid w:val="008A3F29"/>
    <w:rsid w:val="008A6438"/>
    <w:rsid w:val="008B660A"/>
    <w:rsid w:val="008B70F9"/>
    <w:rsid w:val="008C01DA"/>
    <w:rsid w:val="008C02C9"/>
    <w:rsid w:val="008C7263"/>
    <w:rsid w:val="008D0BDF"/>
    <w:rsid w:val="008D2104"/>
    <w:rsid w:val="008E18E5"/>
    <w:rsid w:val="008E3C2D"/>
    <w:rsid w:val="008F78E9"/>
    <w:rsid w:val="00903C32"/>
    <w:rsid w:val="00911989"/>
    <w:rsid w:val="009179F9"/>
    <w:rsid w:val="0093031F"/>
    <w:rsid w:val="00931C1C"/>
    <w:rsid w:val="00933E5E"/>
    <w:rsid w:val="00934D17"/>
    <w:rsid w:val="00935218"/>
    <w:rsid w:val="009365D5"/>
    <w:rsid w:val="009403F3"/>
    <w:rsid w:val="00953701"/>
    <w:rsid w:val="009555B7"/>
    <w:rsid w:val="009567AA"/>
    <w:rsid w:val="0096473A"/>
    <w:rsid w:val="00967374"/>
    <w:rsid w:val="00976EB5"/>
    <w:rsid w:val="00981B4D"/>
    <w:rsid w:val="00982D32"/>
    <w:rsid w:val="00983AF6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46FB0"/>
    <w:rsid w:val="00A52AFB"/>
    <w:rsid w:val="00A548CB"/>
    <w:rsid w:val="00A5521C"/>
    <w:rsid w:val="00A557A1"/>
    <w:rsid w:val="00A55CEF"/>
    <w:rsid w:val="00A643E7"/>
    <w:rsid w:val="00A73C38"/>
    <w:rsid w:val="00A9085B"/>
    <w:rsid w:val="00AB59C4"/>
    <w:rsid w:val="00AB670D"/>
    <w:rsid w:val="00AC6FA4"/>
    <w:rsid w:val="00AD2826"/>
    <w:rsid w:val="00AD342F"/>
    <w:rsid w:val="00AE25FE"/>
    <w:rsid w:val="00AE3FB8"/>
    <w:rsid w:val="00AE4535"/>
    <w:rsid w:val="00AF03C5"/>
    <w:rsid w:val="00AF0B26"/>
    <w:rsid w:val="00AF4773"/>
    <w:rsid w:val="00AF49CC"/>
    <w:rsid w:val="00AF571D"/>
    <w:rsid w:val="00B000D8"/>
    <w:rsid w:val="00B00F75"/>
    <w:rsid w:val="00B0409C"/>
    <w:rsid w:val="00B1050B"/>
    <w:rsid w:val="00B11735"/>
    <w:rsid w:val="00B1431F"/>
    <w:rsid w:val="00B145B6"/>
    <w:rsid w:val="00B15684"/>
    <w:rsid w:val="00B2215E"/>
    <w:rsid w:val="00B279EB"/>
    <w:rsid w:val="00B30E18"/>
    <w:rsid w:val="00B32357"/>
    <w:rsid w:val="00B43559"/>
    <w:rsid w:val="00B50C81"/>
    <w:rsid w:val="00B557F8"/>
    <w:rsid w:val="00B56AAF"/>
    <w:rsid w:val="00B62F10"/>
    <w:rsid w:val="00B67199"/>
    <w:rsid w:val="00B815FC"/>
    <w:rsid w:val="00B838B8"/>
    <w:rsid w:val="00B93FBC"/>
    <w:rsid w:val="00BA066D"/>
    <w:rsid w:val="00BA12BA"/>
    <w:rsid w:val="00BA1F0D"/>
    <w:rsid w:val="00BA6E0D"/>
    <w:rsid w:val="00BA7DA0"/>
    <w:rsid w:val="00BB2366"/>
    <w:rsid w:val="00BB2EE4"/>
    <w:rsid w:val="00BB5AE6"/>
    <w:rsid w:val="00BC2108"/>
    <w:rsid w:val="00BC3F80"/>
    <w:rsid w:val="00BC5642"/>
    <w:rsid w:val="00BD0E9E"/>
    <w:rsid w:val="00BD1BEC"/>
    <w:rsid w:val="00BD32FF"/>
    <w:rsid w:val="00BD67ED"/>
    <w:rsid w:val="00BE7206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359C"/>
    <w:rsid w:val="00C77613"/>
    <w:rsid w:val="00C828E7"/>
    <w:rsid w:val="00C86719"/>
    <w:rsid w:val="00C921DD"/>
    <w:rsid w:val="00C93B01"/>
    <w:rsid w:val="00CA6391"/>
    <w:rsid w:val="00CA7B39"/>
    <w:rsid w:val="00CB5B04"/>
    <w:rsid w:val="00CB793C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8628D"/>
    <w:rsid w:val="00D90B9E"/>
    <w:rsid w:val="00D91A89"/>
    <w:rsid w:val="00D95F8E"/>
    <w:rsid w:val="00DA0590"/>
    <w:rsid w:val="00DB342C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4080"/>
    <w:rsid w:val="00E07EE2"/>
    <w:rsid w:val="00E07FD1"/>
    <w:rsid w:val="00E1000C"/>
    <w:rsid w:val="00E10A5C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0033"/>
    <w:rsid w:val="00E5476E"/>
    <w:rsid w:val="00E56A44"/>
    <w:rsid w:val="00E60269"/>
    <w:rsid w:val="00E653D0"/>
    <w:rsid w:val="00E65A2E"/>
    <w:rsid w:val="00E661A4"/>
    <w:rsid w:val="00E71951"/>
    <w:rsid w:val="00E77932"/>
    <w:rsid w:val="00E83FDA"/>
    <w:rsid w:val="00E92347"/>
    <w:rsid w:val="00E97830"/>
    <w:rsid w:val="00EA1D3B"/>
    <w:rsid w:val="00EA424B"/>
    <w:rsid w:val="00EB0D87"/>
    <w:rsid w:val="00EC34E9"/>
    <w:rsid w:val="00ED681A"/>
    <w:rsid w:val="00EE0B3C"/>
    <w:rsid w:val="00EE5737"/>
    <w:rsid w:val="00EE643C"/>
    <w:rsid w:val="00EF0683"/>
    <w:rsid w:val="00EF69D2"/>
    <w:rsid w:val="00EF766E"/>
    <w:rsid w:val="00F0070C"/>
    <w:rsid w:val="00F00EB7"/>
    <w:rsid w:val="00F03D8E"/>
    <w:rsid w:val="00F22AF3"/>
    <w:rsid w:val="00F36AB6"/>
    <w:rsid w:val="00F37A09"/>
    <w:rsid w:val="00F409CE"/>
    <w:rsid w:val="00F4379D"/>
    <w:rsid w:val="00F43876"/>
    <w:rsid w:val="00F44C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010F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0B46A4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B46A4"/>
    <w:rPr>
      <w:rFonts w:eastAsiaTheme="minorHAnsi" w:cstheme="minorBidi"/>
      <w:b/>
      <w:szCs w:val="22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0B46A4"/>
    <w:rPr>
      <w:rFonts w:eastAsiaTheme="minorHAnsi" w:cstheme="minorBidi"/>
      <w:b/>
      <w:sz w:val="24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.soquij.ca/Sg2z6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8A40-9596-4139-BF63-558DC5C1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2023-03-20T14:23:00Z</dcterms:created>
  <dcterms:modified xsi:type="dcterms:W3CDTF">2023-05-05T19:17:00Z</dcterms:modified>
</cp:coreProperties>
</file>