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0E6B3D" w:rsidRPr="000E6B3D" w14:paraId="14A10A11" w14:textId="77777777" w:rsidTr="00B975C3">
        <w:trPr>
          <w:trHeight w:val="1786"/>
        </w:trPr>
        <w:tc>
          <w:tcPr>
            <w:tcW w:w="5000" w:type="pct"/>
            <w:gridSpan w:val="4"/>
          </w:tcPr>
          <w:p w14:paraId="458BB52A" w14:textId="77777777" w:rsidR="000E6B3D" w:rsidRPr="000E6B3D" w:rsidRDefault="000E6B3D" w:rsidP="000E6B3D">
            <w:pPr>
              <w:jc w:val="center"/>
              <w:rPr>
                <w:b/>
                <w:lang w:val="fr-CA"/>
              </w:rPr>
            </w:pPr>
            <w:r w:rsidRPr="000E6B3D">
              <w:rPr>
                <w:b/>
                <w:noProof/>
              </w:rPr>
              <w:drawing>
                <wp:inline distT="0" distB="0" distL="0" distR="0" wp14:anchorId="4DA2A61D" wp14:editId="73CB955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BB1F217" w14:textId="77777777" w:rsidR="000E6B3D" w:rsidRPr="000E6B3D" w:rsidRDefault="000E6B3D" w:rsidP="000E6B3D">
            <w:pPr>
              <w:spacing w:before="120" w:after="100" w:afterAutospacing="1"/>
              <w:jc w:val="center"/>
              <w:rPr>
                <w:lang w:val="fr-CA"/>
              </w:rPr>
            </w:pPr>
            <w:r w:rsidRPr="000E6B3D">
              <w:rPr>
                <w:b/>
                <w:lang w:val="fr-CA"/>
              </w:rPr>
              <w:t>COUR SUPRÊME DU CANADA</w:t>
            </w:r>
          </w:p>
        </w:tc>
      </w:tr>
      <w:tr w:rsidR="000E6B3D" w:rsidRPr="000E6B3D" w14:paraId="3AEE0A68" w14:textId="77777777" w:rsidTr="00B975C3">
        <w:tblPrEx>
          <w:tblCellMar>
            <w:top w:w="58" w:type="dxa"/>
            <w:left w:w="58" w:type="dxa"/>
            <w:bottom w:w="58" w:type="dxa"/>
            <w:right w:w="58" w:type="dxa"/>
          </w:tblCellMar>
        </w:tblPrEx>
        <w:trPr>
          <w:cantSplit/>
        </w:trPr>
        <w:tc>
          <w:tcPr>
            <w:tcW w:w="2110" w:type="pct"/>
            <w:gridSpan w:val="2"/>
          </w:tcPr>
          <w:p w14:paraId="010BDA03" w14:textId="77777777" w:rsidR="000E6B3D" w:rsidRPr="000E6B3D" w:rsidRDefault="000E6B3D" w:rsidP="000E6B3D">
            <w:pPr>
              <w:rPr>
                <w:b/>
                <w:smallCaps/>
                <w:lang w:val="fr-CA"/>
              </w:rPr>
            </w:pPr>
          </w:p>
          <w:p w14:paraId="3EB76288" w14:textId="77777777" w:rsidR="000E6B3D" w:rsidRPr="000E6B3D" w:rsidRDefault="000E6B3D" w:rsidP="000E6B3D">
            <w:pPr>
              <w:rPr>
                <w:b/>
                <w:smallCaps/>
                <w:lang w:val="fr-CA"/>
              </w:rPr>
            </w:pPr>
            <w:r w:rsidRPr="000E6B3D">
              <w:rPr>
                <w:b/>
                <w:smallCaps/>
                <w:lang w:val="fr-CA"/>
              </w:rPr>
              <w:t>Référence :</w:t>
            </w:r>
            <w:r w:rsidRPr="000E6B3D">
              <w:rPr>
                <w:lang w:val="fr-CA"/>
              </w:rPr>
              <w:t xml:space="preserve"> R. </w:t>
            </w:r>
            <w:r w:rsidRPr="000E6B3D">
              <w:rPr>
                <w:i/>
                <w:lang w:val="fr-CA"/>
              </w:rPr>
              <w:t>c.</w:t>
            </w:r>
            <w:r w:rsidRPr="000E6B3D">
              <w:rPr>
                <w:lang w:val="fr-CA"/>
              </w:rPr>
              <w:t xml:space="preserve"> Basque, 2023 CSC 18</w:t>
            </w:r>
          </w:p>
        </w:tc>
        <w:tc>
          <w:tcPr>
            <w:tcW w:w="780" w:type="pct"/>
          </w:tcPr>
          <w:p w14:paraId="1C4BD327" w14:textId="77777777" w:rsidR="000E6B3D" w:rsidRPr="000E6B3D" w:rsidRDefault="000E6B3D" w:rsidP="000E6B3D">
            <w:pPr>
              <w:rPr>
                <w:lang w:val="fr-CA"/>
              </w:rPr>
            </w:pPr>
          </w:p>
        </w:tc>
        <w:tc>
          <w:tcPr>
            <w:tcW w:w="2110" w:type="pct"/>
          </w:tcPr>
          <w:p w14:paraId="23F032A5" w14:textId="77777777" w:rsidR="000E6B3D" w:rsidRPr="000E6B3D" w:rsidRDefault="000E6B3D" w:rsidP="000E6B3D">
            <w:pPr>
              <w:jc w:val="both"/>
              <w:rPr>
                <w:b/>
                <w:smallCaps/>
                <w:lang w:val="fr-CA"/>
              </w:rPr>
            </w:pPr>
          </w:p>
          <w:p w14:paraId="50D3B59D" w14:textId="77777777" w:rsidR="000E6B3D" w:rsidRPr="000E6B3D" w:rsidRDefault="000E6B3D" w:rsidP="000E6B3D">
            <w:pPr>
              <w:jc w:val="both"/>
              <w:rPr>
                <w:lang w:val="fr-CA"/>
              </w:rPr>
            </w:pPr>
            <w:r w:rsidRPr="000E6B3D">
              <w:rPr>
                <w:b/>
                <w:smallCaps/>
                <w:lang w:val="fr-CA"/>
              </w:rPr>
              <w:t>Appel entendu :</w:t>
            </w:r>
            <w:r w:rsidRPr="000E6B3D">
              <w:rPr>
                <w:lang w:val="fr-CA"/>
              </w:rPr>
              <w:t xml:space="preserve"> 8 novembre 2022</w:t>
            </w:r>
          </w:p>
          <w:p w14:paraId="64EB216C" w14:textId="77777777" w:rsidR="000E6B3D" w:rsidRPr="000E6B3D" w:rsidRDefault="000E6B3D" w:rsidP="000E6B3D">
            <w:pPr>
              <w:rPr>
                <w:lang w:val="fr-CA"/>
              </w:rPr>
            </w:pPr>
            <w:r w:rsidRPr="000E6B3D">
              <w:rPr>
                <w:b/>
                <w:smallCaps/>
                <w:lang w:val="fr-CA"/>
              </w:rPr>
              <w:t>Jugement rendu :</w:t>
            </w:r>
            <w:r w:rsidRPr="000E6B3D">
              <w:rPr>
                <w:lang w:val="fr-CA"/>
              </w:rPr>
              <w:t xml:space="preserve"> 30 juin 2023</w:t>
            </w:r>
          </w:p>
          <w:p w14:paraId="2B6E20D3" w14:textId="77777777" w:rsidR="000E6B3D" w:rsidRPr="000E6B3D" w:rsidRDefault="000E6B3D" w:rsidP="000E6B3D">
            <w:pPr>
              <w:rPr>
                <w:lang w:val="fr-CA"/>
              </w:rPr>
            </w:pPr>
            <w:r w:rsidRPr="000E6B3D">
              <w:rPr>
                <w:b/>
                <w:smallCaps/>
                <w:lang w:val="fr-CA"/>
              </w:rPr>
              <w:t>Dossier :</w:t>
            </w:r>
            <w:r w:rsidRPr="000E6B3D">
              <w:rPr>
                <w:lang w:val="fr-CA"/>
              </w:rPr>
              <w:t xml:space="preserve"> 39997</w:t>
            </w:r>
          </w:p>
        </w:tc>
      </w:tr>
      <w:tr w:rsidR="000E6B3D" w:rsidRPr="00496E12" w14:paraId="52661EFF" w14:textId="77777777" w:rsidTr="00B975C3">
        <w:tblPrEx>
          <w:tblCellMar>
            <w:top w:w="58" w:type="dxa"/>
            <w:left w:w="58" w:type="dxa"/>
            <w:bottom w:w="58" w:type="dxa"/>
            <w:right w:w="58" w:type="dxa"/>
          </w:tblCellMar>
        </w:tblPrEx>
        <w:trPr>
          <w:cantSplit/>
        </w:trPr>
        <w:tc>
          <w:tcPr>
            <w:tcW w:w="5000" w:type="pct"/>
            <w:gridSpan w:val="4"/>
          </w:tcPr>
          <w:p w14:paraId="591203C2" w14:textId="77777777" w:rsidR="000E6B3D" w:rsidRPr="000E6B3D" w:rsidRDefault="000E6B3D" w:rsidP="000E6B3D">
            <w:pPr>
              <w:rPr>
                <w:lang w:val="fr-CA"/>
              </w:rPr>
            </w:pPr>
          </w:p>
          <w:p w14:paraId="23270A5C" w14:textId="77777777" w:rsidR="000E6B3D" w:rsidRPr="000E6B3D" w:rsidRDefault="000E6B3D" w:rsidP="000E6B3D">
            <w:pPr>
              <w:rPr>
                <w:b/>
                <w:smallCaps/>
                <w:lang w:val="fr-CA"/>
              </w:rPr>
            </w:pPr>
            <w:r w:rsidRPr="000E6B3D">
              <w:rPr>
                <w:b/>
                <w:smallCaps/>
                <w:lang w:val="fr-CA"/>
              </w:rPr>
              <w:t>Entre :</w:t>
            </w:r>
          </w:p>
          <w:p w14:paraId="2BC53FF1" w14:textId="77777777" w:rsidR="000E6B3D" w:rsidRPr="000E6B3D" w:rsidRDefault="000E6B3D" w:rsidP="000E6B3D">
            <w:pPr>
              <w:rPr>
                <w:lang w:val="fr-CA"/>
              </w:rPr>
            </w:pPr>
          </w:p>
          <w:p w14:paraId="4932D632" w14:textId="77777777" w:rsidR="000E6B3D" w:rsidRPr="000E6B3D" w:rsidRDefault="000E6B3D" w:rsidP="000E6B3D">
            <w:pPr>
              <w:jc w:val="center"/>
              <w:rPr>
                <w:b/>
                <w:lang w:val="fr-CA"/>
              </w:rPr>
            </w:pPr>
            <w:r w:rsidRPr="000E6B3D">
              <w:rPr>
                <w:b/>
                <w:lang w:val="fr-CA"/>
              </w:rPr>
              <w:t>Jennifer Basque</w:t>
            </w:r>
          </w:p>
          <w:p w14:paraId="3E50073E" w14:textId="77777777" w:rsidR="000E6B3D" w:rsidRPr="000E6B3D" w:rsidRDefault="000E6B3D" w:rsidP="000E6B3D">
            <w:pPr>
              <w:jc w:val="center"/>
              <w:rPr>
                <w:lang w:val="fr-CA"/>
              </w:rPr>
            </w:pPr>
            <w:r w:rsidRPr="000E6B3D">
              <w:rPr>
                <w:lang w:val="fr-CA"/>
              </w:rPr>
              <w:t>Appelante</w:t>
            </w:r>
          </w:p>
          <w:p w14:paraId="1F32AF84" w14:textId="77777777" w:rsidR="000E6B3D" w:rsidRPr="000E6B3D" w:rsidRDefault="000E6B3D" w:rsidP="000E6B3D">
            <w:pPr>
              <w:rPr>
                <w:lang w:val="fr-CA"/>
              </w:rPr>
            </w:pPr>
          </w:p>
          <w:p w14:paraId="76841432" w14:textId="77777777" w:rsidR="000E6B3D" w:rsidRPr="000E6B3D" w:rsidRDefault="000E6B3D" w:rsidP="000E6B3D">
            <w:pPr>
              <w:jc w:val="center"/>
              <w:rPr>
                <w:lang w:val="fr-CA"/>
              </w:rPr>
            </w:pPr>
            <w:proofErr w:type="gramStart"/>
            <w:r w:rsidRPr="000E6B3D">
              <w:rPr>
                <w:lang w:val="fr-CA"/>
              </w:rPr>
              <w:t>et</w:t>
            </w:r>
            <w:proofErr w:type="gramEnd"/>
          </w:p>
          <w:p w14:paraId="4407B9AD" w14:textId="77777777" w:rsidR="000E6B3D" w:rsidRPr="000E6B3D" w:rsidRDefault="000E6B3D" w:rsidP="000E6B3D">
            <w:pPr>
              <w:rPr>
                <w:lang w:val="fr-CA"/>
              </w:rPr>
            </w:pPr>
          </w:p>
          <w:p w14:paraId="776AF0E5" w14:textId="77777777" w:rsidR="000E6B3D" w:rsidRPr="000E6B3D" w:rsidRDefault="000E6B3D" w:rsidP="000E6B3D">
            <w:pPr>
              <w:jc w:val="center"/>
              <w:rPr>
                <w:b/>
                <w:lang w:val="fr-CA"/>
              </w:rPr>
            </w:pPr>
            <w:r w:rsidRPr="000E6B3D">
              <w:rPr>
                <w:b/>
                <w:lang w:val="fr-CA"/>
              </w:rPr>
              <w:t>Sa Majesté le Roi</w:t>
            </w:r>
          </w:p>
          <w:p w14:paraId="5CA8733B" w14:textId="77777777" w:rsidR="000E6B3D" w:rsidRPr="000E6B3D" w:rsidRDefault="000E6B3D" w:rsidP="000E6B3D">
            <w:pPr>
              <w:jc w:val="center"/>
              <w:rPr>
                <w:lang w:val="fr-CA"/>
              </w:rPr>
            </w:pPr>
            <w:r w:rsidRPr="000E6B3D">
              <w:rPr>
                <w:lang w:val="fr-CA"/>
              </w:rPr>
              <w:t>Intimé</w:t>
            </w:r>
          </w:p>
          <w:p w14:paraId="455989F5" w14:textId="77777777" w:rsidR="000E6B3D" w:rsidRPr="000E6B3D" w:rsidRDefault="000E6B3D" w:rsidP="000E6B3D">
            <w:pPr>
              <w:rPr>
                <w:lang w:val="fr-CA"/>
              </w:rPr>
            </w:pPr>
          </w:p>
          <w:p w14:paraId="170E4895" w14:textId="77777777" w:rsidR="000E6B3D" w:rsidRPr="000E6B3D" w:rsidRDefault="000E6B3D" w:rsidP="000E6B3D">
            <w:pPr>
              <w:jc w:val="center"/>
              <w:rPr>
                <w:lang w:val="fr-CA"/>
              </w:rPr>
            </w:pPr>
            <w:r w:rsidRPr="000E6B3D">
              <w:rPr>
                <w:lang w:val="fr-CA"/>
              </w:rPr>
              <w:t>- et -</w:t>
            </w:r>
          </w:p>
          <w:p w14:paraId="1A034809" w14:textId="77777777" w:rsidR="000E6B3D" w:rsidRPr="000E6B3D" w:rsidRDefault="000E6B3D" w:rsidP="000E6B3D">
            <w:pPr>
              <w:rPr>
                <w:lang w:val="fr-CA"/>
              </w:rPr>
            </w:pPr>
          </w:p>
          <w:p w14:paraId="0AEF34D3" w14:textId="77777777" w:rsidR="000E6B3D" w:rsidRPr="000E6B3D" w:rsidRDefault="000E6B3D" w:rsidP="000E6B3D">
            <w:pPr>
              <w:jc w:val="center"/>
              <w:rPr>
                <w:b/>
                <w:lang w:val="fr-CA"/>
              </w:rPr>
            </w:pPr>
            <w:r w:rsidRPr="000E6B3D">
              <w:rPr>
                <w:b/>
                <w:lang w:val="fr-CA"/>
              </w:rPr>
              <w:t>Procureur général de l’Alberta</w:t>
            </w:r>
          </w:p>
          <w:p w14:paraId="15CA34EF" w14:textId="77777777" w:rsidR="000E6B3D" w:rsidRPr="000E6B3D" w:rsidRDefault="000E6B3D" w:rsidP="000E6B3D">
            <w:pPr>
              <w:jc w:val="center"/>
              <w:rPr>
                <w:lang w:val="fr-CA"/>
              </w:rPr>
            </w:pPr>
            <w:r w:rsidRPr="000E6B3D">
              <w:rPr>
                <w:lang w:val="fr-CA"/>
              </w:rPr>
              <w:t>Intervenant</w:t>
            </w:r>
          </w:p>
          <w:p w14:paraId="095D63BC" w14:textId="77777777" w:rsidR="000E6B3D" w:rsidRPr="000E6B3D" w:rsidRDefault="000E6B3D" w:rsidP="000E6B3D">
            <w:pPr>
              <w:rPr>
                <w:lang w:val="fr-CA"/>
              </w:rPr>
            </w:pPr>
          </w:p>
          <w:p w14:paraId="5EC7CB88" w14:textId="77777777" w:rsidR="000E6B3D" w:rsidRPr="000E6B3D" w:rsidRDefault="000E6B3D" w:rsidP="000E6B3D">
            <w:pPr>
              <w:jc w:val="center"/>
              <w:rPr>
                <w:b/>
                <w:smallCaps/>
                <w:lang w:val="fr-CA"/>
              </w:rPr>
            </w:pPr>
          </w:p>
          <w:p w14:paraId="31D80F00" w14:textId="77777777" w:rsidR="000E6B3D" w:rsidRPr="000E6B3D" w:rsidRDefault="000E6B3D" w:rsidP="000E6B3D">
            <w:pPr>
              <w:rPr>
                <w:lang w:val="fr-CA"/>
              </w:rPr>
            </w:pPr>
          </w:p>
          <w:p w14:paraId="48C450BC" w14:textId="77777777" w:rsidR="000E6B3D" w:rsidRPr="000E6B3D" w:rsidRDefault="000E6B3D" w:rsidP="000E6B3D">
            <w:pPr>
              <w:rPr>
                <w:lang w:val="fr-CA"/>
              </w:rPr>
            </w:pPr>
            <w:r w:rsidRPr="000E6B3D">
              <w:rPr>
                <w:b/>
                <w:smallCaps/>
                <w:lang w:val="fr-CA"/>
              </w:rPr>
              <w:t>Coram :</w:t>
            </w:r>
            <w:r w:rsidRPr="000E6B3D">
              <w:rPr>
                <w:lang w:val="fr-CA"/>
              </w:rPr>
              <w:t xml:space="preserve"> Le juge en chef Wagner et les juges </w:t>
            </w:r>
            <w:proofErr w:type="spellStart"/>
            <w:r w:rsidRPr="000E6B3D">
              <w:rPr>
                <w:lang w:val="fr-CA"/>
              </w:rPr>
              <w:t>Karakatsanis</w:t>
            </w:r>
            <w:proofErr w:type="spellEnd"/>
            <w:r w:rsidRPr="000E6B3D">
              <w:rPr>
                <w:lang w:val="fr-CA"/>
              </w:rPr>
              <w:t>, Côté, Brown</w:t>
            </w:r>
            <w:r w:rsidRPr="000E6B3D">
              <w:rPr>
                <w:vertAlign w:val="superscript"/>
                <w:lang w:val="fr-CA"/>
              </w:rPr>
              <w:t>*</w:t>
            </w:r>
            <w:r w:rsidRPr="000E6B3D">
              <w:rPr>
                <w:lang w:val="fr-CA"/>
              </w:rPr>
              <w:t xml:space="preserve">, Rowe, Martin, </w:t>
            </w:r>
            <w:proofErr w:type="spellStart"/>
            <w:r w:rsidRPr="000E6B3D">
              <w:rPr>
                <w:lang w:val="fr-CA"/>
              </w:rPr>
              <w:t>Kasirer</w:t>
            </w:r>
            <w:proofErr w:type="spellEnd"/>
            <w:r w:rsidRPr="000E6B3D">
              <w:rPr>
                <w:lang w:val="fr-CA"/>
              </w:rPr>
              <w:t xml:space="preserve">, Jamal et </w:t>
            </w:r>
            <w:proofErr w:type="spellStart"/>
            <w:r w:rsidRPr="000E6B3D">
              <w:rPr>
                <w:lang w:val="fr-CA"/>
              </w:rPr>
              <w:t>O’Bonsawin</w:t>
            </w:r>
            <w:proofErr w:type="spellEnd"/>
          </w:p>
          <w:p w14:paraId="2E5A1F0E" w14:textId="77777777" w:rsidR="000E6B3D" w:rsidRPr="000E6B3D" w:rsidRDefault="000E6B3D" w:rsidP="000E6B3D">
            <w:pPr>
              <w:jc w:val="both"/>
              <w:rPr>
                <w:b/>
                <w:smallCaps/>
                <w:lang w:val="fr-CA"/>
              </w:rPr>
            </w:pPr>
          </w:p>
        </w:tc>
      </w:tr>
      <w:tr w:rsidR="000E6B3D" w:rsidRPr="00496E12" w14:paraId="05574147" w14:textId="77777777" w:rsidTr="00B975C3">
        <w:tblPrEx>
          <w:tblCellMar>
            <w:top w:w="58" w:type="dxa"/>
            <w:left w:w="58" w:type="dxa"/>
            <w:bottom w:w="58" w:type="dxa"/>
            <w:right w:w="58" w:type="dxa"/>
          </w:tblCellMar>
        </w:tblPrEx>
        <w:trPr>
          <w:cantSplit/>
        </w:trPr>
        <w:tc>
          <w:tcPr>
            <w:tcW w:w="1251" w:type="pct"/>
          </w:tcPr>
          <w:p w14:paraId="32BFFE58" w14:textId="77777777" w:rsidR="000E6B3D" w:rsidRPr="000E6B3D" w:rsidRDefault="000E6B3D" w:rsidP="000E6B3D">
            <w:pPr>
              <w:rPr>
                <w:b/>
                <w:smallCaps/>
                <w:lang w:val="fr-CA"/>
              </w:rPr>
            </w:pPr>
            <w:r w:rsidRPr="000E6B3D">
              <w:rPr>
                <w:b/>
                <w:smallCaps/>
                <w:lang w:val="fr-CA"/>
              </w:rPr>
              <w:t>Motifs de jugement :</w:t>
            </w:r>
          </w:p>
          <w:p w14:paraId="0A8D4A6B" w14:textId="77777777" w:rsidR="000E6B3D" w:rsidRPr="000E6B3D" w:rsidRDefault="000E6B3D" w:rsidP="000E6B3D">
            <w:pPr>
              <w:rPr>
                <w:smallCaps/>
                <w:lang w:val="fr-CA"/>
              </w:rPr>
            </w:pPr>
            <w:r w:rsidRPr="000E6B3D">
              <w:rPr>
                <w:lang w:val="fr-CA"/>
              </w:rPr>
              <w:t>(</w:t>
            </w:r>
            <w:proofErr w:type="gramStart"/>
            <w:r w:rsidRPr="000E6B3D">
              <w:rPr>
                <w:lang w:val="fr-CA"/>
              </w:rPr>
              <w:t>par</w:t>
            </w:r>
            <w:proofErr w:type="gramEnd"/>
            <w:r w:rsidRPr="000E6B3D">
              <w:rPr>
                <w:lang w:val="fr-CA"/>
              </w:rPr>
              <w:t>. 1 à 78)</w:t>
            </w:r>
          </w:p>
        </w:tc>
        <w:tc>
          <w:tcPr>
            <w:tcW w:w="3749" w:type="pct"/>
            <w:gridSpan w:val="3"/>
          </w:tcPr>
          <w:p w14:paraId="696C932E" w14:textId="77777777" w:rsidR="000E6B3D" w:rsidRPr="000E6B3D" w:rsidRDefault="000E6B3D" w:rsidP="000E6B3D">
            <w:pPr>
              <w:rPr>
                <w:lang w:val="fr-CA"/>
              </w:rPr>
            </w:pPr>
            <w:r w:rsidRPr="000E6B3D">
              <w:rPr>
                <w:lang w:val="fr-CA"/>
              </w:rPr>
              <w:t xml:space="preserve">Le juge </w:t>
            </w:r>
            <w:proofErr w:type="spellStart"/>
            <w:r w:rsidRPr="000E6B3D">
              <w:rPr>
                <w:lang w:val="fr-CA"/>
              </w:rPr>
              <w:t>Kasirer</w:t>
            </w:r>
            <w:proofErr w:type="spellEnd"/>
            <w:r w:rsidRPr="000E6B3D">
              <w:rPr>
                <w:lang w:val="fr-CA"/>
              </w:rPr>
              <w:t xml:space="preserve"> (avec l’accord du juge en chef Wagner et des juges </w:t>
            </w:r>
            <w:proofErr w:type="spellStart"/>
            <w:r w:rsidRPr="000E6B3D">
              <w:rPr>
                <w:lang w:val="fr-CA"/>
              </w:rPr>
              <w:t>Karakatsanis</w:t>
            </w:r>
            <w:proofErr w:type="spellEnd"/>
            <w:r w:rsidRPr="000E6B3D">
              <w:rPr>
                <w:lang w:val="fr-CA"/>
              </w:rPr>
              <w:t xml:space="preserve">, Côté, Rowe, Martin, Jamal et </w:t>
            </w:r>
            <w:proofErr w:type="spellStart"/>
            <w:r w:rsidRPr="000E6B3D">
              <w:rPr>
                <w:lang w:val="fr-CA"/>
              </w:rPr>
              <w:t>O’Bonsawin</w:t>
            </w:r>
            <w:proofErr w:type="spellEnd"/>
            <w:r w:rsidRPr="000E6B3D">
              <w:rPr>
                <w:lang w:val="fr-CA"/>
              </w:rPr>
              <w:t>)</w:t>
            </w:r>
          </w:p>
        </w:tc>
      </w:tr>
    </w:tbl>
    <w:p w14:paraId="7F6FF40A" w14:textId="77777777" w:rsidR="000E6B3D" w:rsidRPr="000E6B3D" w:rsidRDefault="000E6B3D" w:rsidP="000E6B3D">
      <w:pPr>
        <w:rPr>
          <w:rFonts w:eastAsiaTheme="minorHAnsi" w:cstheme="minorBidi"/>
          <w:szCs w:val="24"/>
          <w:lang w:val="fr-CA" w:eastAsia="en-US"/>
        </w:rPr>
      </w:pPr>
    </w:p>
    <w:p w14:paraId="04F22D21" w14:textId="77777777" w:rsidR="000E6B3D" w:rsidRPr="000E6B3D" w:rsidRDefault="000E6B3D" w:rsidP="000E6B3D">
      <w:pPr>
        <w:rPr>
          <w:rFonts w:eastAsiaTheme="minorHAnsi" w:cstheme="minorBidi"/>
          <w:szCs w:val="24"/>
          <w:lang w:val="fr-CA" w:eastAsia="en-US"/>
        </w:rPr>
      </w:pPr>
    </w:p>
    <w:p w14:paraId="59BA0A74" w14:textId="77777777" w:rsidR="000E6B3D" w:rsidRPr="000E6B3D" w:rsidRDefault="000E6B3D" w:rsidP="000E6B3D">
      <w:pPr>
        <w:rPr>
          <w:rFonts w:eastAsiaTheme="minorHAnsi" w:cstheme="minorBidi"/>
          <w:szCs w:val="24"/>
          <w:lang w:val="fr-CA" w:eastAsia="en-US"/>
        </w:rPr>
      </w:pPr>
      <w:r w:rsidRPr="000E6B3D">
        <w:rPr>
          <w:rFonts w:eastAsiaTheme="minorHAnsi" w:cstheme="minorBidi"/>
          <w:b/>
          <w:smallCaps/>
          <w:szCs w:val="24"/>
          <w:lang w:val="fr-CA" w:eastAsia="en-US"/>
        </w:rPr>
        <w:t>Note :</w:t>
      </w:r>
      <w:r w:rsidRPr="000E6B3D">
        <w:rPr>
          <w:rFonts w:eastAsiaTheme="minorHAnsi" w:cstheme="minorBidi"/>
          <w:b/>
          <w:szCs w:val="24"/>
          <w:lang w:val="fr-CA" w:eastAsia="en-US"/>
        </w:rPr>
        <w:t xml:space="preserve"> </w:t>
      </w:r>
      <w:r w:rsidRPr="000E6B3D">
        <w:rPr>
          <w:rFonts w:eastAsiaTheme="minorHAnsi" w:cstheme="minorBidi"/>
          <w:szCs w:val="24"/>
          <w:lang w:val="fr-CA" w:eastAsia="en-US"/>
        </w:rPr>
        <w:t xml:space="preserve">Ce document fera l’objet de retouches de forme avant la parution de sa version définitive dans le </w:t>
      </w:r>
      <w:r w:rsidRPr="000E6B3D">
        <w:rPr>
          <w:rFonts w:eastAsiaTheme="minorHAnsi" w:cstheme="minorBidi"/>
          <w:i/>
          <w:szCs w:val="24"/>
          <w:lang w:val="fr-CA" w:eastAsia="en-US"/>
        </w:rPr>
        <w:t>Recueil des arrêts de la Cour suprême du Canada</w:t>
      </w:r>
      <w:r w:rsidRPr="000E6B3D">
        <w:rPr>
          <w:rFonts w:eastAsiaTheme="minorHAnsi" w:cstheme="minorBidi"/>
          <w:szCs w:val="24"/>
          <w:lang w:val="fr-CA" w:eastAsia="en-US"/>
        </w:rPr>
        <w:t>.</w:t>
      </w:r>
    </w:p>
    <w:p w14:paraId="512FD836" w14:textId="77777777" w:rsidR="000E6B3D" w:rsidRPr="000E6B3D" w:rsidRDefault="000E6B3D" w:rsidP="000E6B3D">
      <w:pPr>
        <w:rPr>
          <w:rFonts w:eastAsiaTheme="minorHAnsi" w:cstheme="minorBidi"/>
          <w:szCs w:val="24"/>
          <w:lang w:val="fr-CA" w:eastAsia="en-US"/>
        </w:rPr>
      </w:pPr>
    </w:p>
    <w:p w14:paraId="338661D1" w14:textId="77777777" w:rsidR="000E6B3D" w:rsidRPr="000E6B3D" w:rsidRDefault="000E6B3D" w:rsidP="000E6B3D">
      <w:pPr>
        <w:rPr>
          <w:rFonts w:eastAsiaTheme="minorHAnsi" w:cstheme="minorBidi"/>
          <w:szCs w:val="24"/>
          <w:lang w:val="fr-CA" w:eastAsia="en-US"/>
        </w:rPr>
      </w:pPr>
    </w:p>
    <w:p w14:paraId="45634C5E" w14:textId="77777777" w:rsidR="000E6B3D" w:rsidRPr="000E6B3D" w:rsidRDefault="000E6B3D" w:rsidP="000E6B3D">
      <w:pPr>
        <w:rPr>
          <w:rFonts w:eastAsiaTheme="minorHAnsi" w:cstheme="minorBidi"/>
          <w:szCs w:val="24"/>
          <w:lang w:val="fr-CA" w:eastAsia="en-US"/>
        </w:rPr>
      </w:pPr>
      <w:r w:rsidRPr="000E6B3D">
        <w:rPr>
          <w:rFonts w:eastAsiaTheme="minorHAnsi" w:cstheme="minorBidi"/>
          <w:szCs w:val="24"/>
          <w:vertAlign w:val="superscript"/>
          <w:lang w:val="fr-CA" w:eastAsia="en-US"/>
        </w:rPr>
        <w:t>*</w:t>
      </w:r>
      <w:r w:rsidRPr="000E6B3D">
        <w:rPr>
          <w:rFonts w:eastAsiaTheme="minorHAnsi" w:cstheme="minorBidi"/>
          <w:szCs w:val="24"/>
          <w:lang w:val="fr-CA" w:eastAsia="en-US"/>
        </w:rPr>
        <w:t> </w:t>
      </w:r>
      <w:r w:rsidRPr="000E6B3D">
        <w:rPr>
          <w:color w:val="000000"/>
          <w:szCs w:val="27"/>
          <w:lang w:val="fr-CA" w:eastAsia="en-US"/>
        </w:rPr>
        <w:t>Le juge Brown n’a pas participé au dispositif final du jugement.</w:t>
      </w:r>
    </w:p>
    <w:p w14:paraId="0D7589E5" w14:textId="77777777" w:rsidR="000E6B3D" w:rsidRPr="000E6B3D" w:rsidRDefault="000E6B3D" w:rsidP="000E6B3D">
      <w:pPr>
        <w:rPr>
          <w:rFonts w:eastAsiaTheme="minorHAnsi" w:cstheme="minorBidi"/>
          <w:szCs w:val="24"/>
          <w:lang w:val="fr-CA" w:eastAsia="en-US"/>
        </w:rPr>
      </w:pPr>
    </w:p>
    <w:p w14:paraId="7137BE33" w14:textId="77777777" w:rsidR="000E6B3D" w:rsidRPr="000E6B3D" w:rsidRDefault="000E6B3D" w:rsidP="000E6B3D">
      <w:pPr>
        <w:rPr>
          <w:rFonts w:eastAsiaTheme="minorHAnsi" w:cstheme="minorBidi"/>
          <w:szCs w:val="24"/>
          <w:lang w:val="fr-CA"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E6B3D" w:rsidRPr="00496E12" w14:paraId="0C0989BE" w14:textId="77777777" w:rsidTr="00B975C3">
        <w:tc>
          <w:tcPr>
            <w:tcW w:w="1500" w:type="pct"/>
            <w:tcMar>
              <w:top w:w="284" w:type="dxa"/>
            </w:tcMar>
          </w:tcPr>
          <w:p w14:paraId="0288AA95" w14:textId="77777777" w:rsidR="000E6B3D" w:rsidRPr="000E6B3D" w:rsidRDefault="000E6B3D" w:rsidP="000E6B3D">
            <w:pPr>
              <w:rPr>
                <w:lang w:val="fr-CA"/>
              </w:rPr>
            </w:pPr>
          </w:p>
        </w:tc>
        <w:tc>
          <w:tcPr>
            <w:tcW w:w="2000" w:type="pct"/>
            <w:tcBorders>
              <w:bottom w:val="single" w:sz="4" w:space="0" w:color="auto"/>
            </w:tcBorders>
            <w:tcMar>
              <w:top w:w="284" w:type="dxa"/>
            </w:tcMar>
          </w:tcPr>
          <w:p w14:paraId="5004D9F0" w14:textId="77777777" w:rsidR="000E6B3D" w:rsidRPr="000E6B3D" w:rsidRDefault="000E6B3D" w:rsidP="000E6B3D">
            <w:pPr>
              <w:rPr>
                <w:lang w:val="fr-CA"/>
              </w:rPr>
            </w:pPr>
          </w:p>
        </w:tc>
        <w:tc>
          <w:tcPr>
            <w:tcW w:w="1500" w:type="pct"/>
            <w:tcMar>
              <w:top w:w="284" w:type="dxa"/>
            </w:tcMar>
          </w:tcPr>
          <w:p w14:paraId="6529B4CA" w14:textId="77777777" w:rsidR="000E6B3D" w:rsidRPr="000E6B3D" w:rsidRDefault="000E6B3D" w:rsidP="000E6B3D">
            <w:pPr>
              <w:rPr>
                <w:lang w:val="fr-CA"/>
              </w:rPr>
            </w:pPr>
          </w:p>
        </w:tc>
      </w:tr>
    </w:tbl>
    <w:p w14:paraId="64F60820" w14:textId="77777777" w:rsidR="000E6B3D" w:rsidRPr="000E6B3D" w:rsidRDefault="000E6B3D" w:rsidP="000E6B3D">
      <w:pPr>
        <w:rPr>
          <w:rFonts w:eastAsiaTheme="minorHAnsi" w:cstheme="minorBidi"/>
          <w:szCs w:val="24"/>
          <w:lang w:val="fr-CA" w:eastAsia="en-US"/>
        </w:rPr>
      </w:pPr>
    </w:p>
    <w:p w14:paraId="36BD7D52" w14:textId="77777777" w:rsidR="000E6B3D" w:rsidRDefault="000E6B3D">
      <w:pPr>
        <w:rPr>
          <w:b/>
          <w:lang w:val="fr-CA"/>
        </w:rPr>
      </w:pPr>
      <w:r>
        <w:rPr>
          <w:lang w:val="fr-CA"/>
        </w:rPr>
        <w:br w:type="page"/>
      </w:r>
    </w:p>
    <w:p w14:paraId="65DF1561" w14:textId="715A7814" w:rsidR="006C58DC" w:rsidRPr="005B3B19" w:rsidRDefault="003B122D">
      <w:pPr>
        <w:pStyle w:val="SCCLsocLastPartyInRole"/>
        <w:rPr>
          <w:lang w:val="fr-CA"/>
        </w:rPr>
      </w:pPr>
      <w:r w:rsidRPr="005B3B19">
        <w:rPr>
          <w:lang w:val="fr-CA"/>
        </w:rPr>
        <w:lastRenderedPageBreak/>
        <w:t>Jennifer Basque</w:t>
      </w:r>
      <w:r w:rsidR="002A5933">
        <w:rPr>
          <w:rStyle w:val="SCCLsocPartyRole"/>
          <w:lang w:val="fr-CA"/>
        </w:rPr>
        <w:tab/>
        <w:t>Appelante</w:t>
      </w:r>
    </w:p>
    <w:p w14:paraId="3A440D12" w14:textId="77777777" w:rsidR="006C58DC" w:rsidRPr="005B3B19" w:rsidRDefault="003B122D">
      <w:pPr>
        <w:pStyle w:val="SCCLsocVersus"/>
        <w:rPr>
          <w:lang w:val="fr-CA"/>
        </w:rPr>
      </w:pPr>
      <w:r w:rsidRPr="005B3B19">
        <w:rPr>
          <w:lang w:val="fr-CA"/>
        </w:rPr>
        <w:t>c.</w:t>
      </w:r>
    </w:p>
    <w:p w14:paraId="5FB6356B" w14:textId="77777777" w:rsidR="006C58DC" w:rsidRPr="005B3B19" w:rsidRDefault="003B122D">
      <w:pPr>
        <w:pStyle w:val="SCCLsocLastPartyInRole"/>
        <w:rPr>
          <w:lang w:val="fr-CA"/>
        </w:rPr>
      </w:pPr>
      <w:r w:rsidRPr="005B3B19">
        <w:rPr>
          <w:lang w:val="fr-CA"/>
        </w:rPr>
        <w:t>Sa Majesté le Roi</w:t>
      </w:r>
      <w:r w:rsidR="002A5933">
        <w:rPr>
          <w:rStyle w:val="SCCLsocPartyRole"/>
          <w:lang w:val="fr-CA"/>
        </w:rPr>
        <w:tab/>
        <w:t>Intimé</w:t>
      </w:r>
    </w:p>
    <w:p w14:paraId="6C2C2774" w14:textId="77777777" w:rsidR="006C58DC" w:rsidRPr="005B3B19" w:rsidRDefault="003B122D">
      <w:pPr>
        <w:pStyle w:val="SCCLsocOtherPartySeparator"/>
        <w:rPr>
          <w:lang w:val="fr-CA"/>
        </w:rPr>
      </w:pPr>
      <w:proofErr w:type="gramStart"/>
      <w:r w:rsidRPr="005B3B19">
        <w:rPr>
          <w:lang w:val="fr-CA"/>
        </w:rPr>
        <w:t>et</w:t>
      </w:r>
      <w:proofErr w:type="gramEnd"/>
    </w:p>
    <w:p w14:paraId="74F28852" w14:textId="77777777" w:rsidR="006C58DC" w:rsidRPr="005B3B19" w:rsidRDefault="003B122D" w:rsidP="003F0C3A">
      <w:pPr>
        <w:pStyle w:val="SCCLsocLastPartyInRole"/>
        <w:rPr>
          <w:lang w:val="fr-CA"/>
        </w:rPr>
      </w:pPr>
      <w:r w:rsidRPr="005B3B19">
        <w:rPr>
          <w:lang w:val="fr-CA"/>
        </w:rPr>
        <w:t>Procureur général de l</w:t>
      </w:r>
      <w:r w:rsidR="007B4856">
        <w:rPr>
          <w:lang w:val="fr-CA"/>
        </w:rPr>
        <w:t>’</w:t>
      </w:r>
      <w:r w:rsidRPr="005B3B19">
        <w:rPr>
          <w:lang w:val="fr-CA"/>
        </w:rPr>
        <w:t>Alberta</w:t>
      </w:r>
      <w:r w:rsidR="002A5933">
        <w:rPr>
          <w:rStyle w:val="SCCLsocPartyRole"/>
          <w:lang w:val="fr-CA"/>
        </w:rPr>
        <w:tab/>
        <w:t>Intervenant</w:t>
      </w:r>
    </w:p>
    <w:p w14:paraId="7A6627B5" w14:textId="08627A25" w:rsidR="004D7D95" w:rsidRPr="005B3B19" w:rsidRDefault="003F0C3A" w:rsidP="003F0C3A">
      <w:pPr>
        <w:spacing w:after="720"/>
        <w:jc w:val="both"/>
        <w:rPr>
          <w:b/>
          <w:lang w:val="fr-CA"/>
        </w:rPr>
      </w:pPr>
      <w:r>
        <w:rPr>
          <w:b/>
          <w:lang w:val="fr-CA"/>
        </w:rPr>
        <w:t xml:space="preserve">Répertorié : </w:t>
      </w:r>
      <w:r w:rsidR="002A5933" w:rsidRPr="005B3B19">
        <w:rPr>
          <w:rStyle w:val="SCCRespondentForIndexChar"/>
          <w:lang w:val="fr-CA"/>
        </w:rPr>
        <w:t>R.</w:t>
      </w:r>
      <w:r w:rsidR="004D7D95" w:rsidRPr="00BB4C92">
        <w:rPr>
          <w:b/>
          <w:lang w:val="fr-CA"/>
        </w:rPr>
        <w:t xml:space="preserve"> </w:t>
      </w:r>
      <w:r w:rsidR="004D7D95" w:rsidRPr="00BB4C92">
        <w:rPr>
          <w:b/>
          <w:i/>
          <w:lang w:val="fr-CA"/>
        </w:rPr>
        <w:t>c.</w:t>
      </w:r>
      <w:r w:rsidR="004D7D95" w:rsidRPr="00BB4C92">
        <w:rPr>
          <w:b/>
          <w:lang w:val="fr-CA"/>
        </w:rPr>
        <w:t xml:space="preserve"> </w:t>
      </w:r>
      <w:r w:rsidR="002A5933" w:rsidRPr="005B3B19">
        <w:rPr>
          <w:rStyle w:val="SCCAppellantForIndexChar"/>
          <w:lang w:val="fr-CA"/>
        </w:rPr>
        <w:t>Basque</w:t>
      </w:r>
    </w:p>
    <w:p w14:paraId="08348479" w14:textId="72E755E1" w:rsidR="004D7D95" w:rsidRPr="005B3B19" w:rsidRDefault="002A5933" w:rsidP="003F0C3A">
      <w:pPr>
        <w:pStyle w:val="SCCSystemYear"/>
        <w:spacing w:after="720"/>
        <w:jc w:val="both"/>
        <w:rPr>
          <w:lang w:val="fr-CA"/>
        </w:rPr>
      </w:pPr>
      <w:r>
        <w:rPr>
          <w:lang w:val="fr-CA"/>
        </w:rPr>
        <w:t>2023</w:t>
      </w:r>
      <w:r w:rsidR="003F0C3A">
        <w:rPr>
          <w:lang w:val="fr-CA"/>
        </w:rPr>
        <w:t xml:space="preserve"> CSC </w:t>
      </w:r>
      <w:r w:rsidR="00CF7D92" w:rsidRPr="001D0081">
        <w:rPr>
          <w:lang w:val="fr-CA"/>
        </w:rPr>
        <w:t>18</w:t>
      </w:r>
    </w:p>
    <w:p w14:paraId="134A9DE3" w14:textId="5662CB1F" w:rsidR="004D7D95" w:rsidRPr="005B3B19" w:rsidRDefault="004D7D95" w:rsidP="003F0C3A">
      <w:pPr>
        <w:spacing w:after="720"/>
        <w:jc w:val="both"/>
        <w:rPr>
          <w:lang w:val="fr-CA"/>
        </w:rPr>
      </w:pPr>
      <w:r w:rsidRPr="005B3B19">
        <w:rPr>
          <w:lang w:val="fr-CA"/>
        </w:rPr>
        <w:t>N</w:t>
      </w:r>
      <w:r w:rsidRPr="005B3B19">
        <w:rPr>
          <w:vertAlign w:val="superscript"/>
          <w:lang w:val="fr-CA"/>
        </w:rPr>
        <w:t>o</w:t>
      </w:r>
      <w:r w:rsidR="003F0C3A">
        <w:rPr>
          <w:lang w:val="fr-CA"/>
        </w:rPr>
        <w:t xml:space="preserve"> du greffe : </w:t>
      </w:r>
      <w:r w:rsidRPr="005B3B19">
        <w:rPr>
          <w:lang w:val="fr-CA"/>
        </w:rPr>
        <w:t>39997.</w:t>
      </w:r>
    </w:p>
    <w:p w14:paraId="4239B1A2" w14:textId="44653E35" w:rsidR="004D7D95" w:rsidRPr="005B3B19" w:rsidRDefault="002A5933" w:rsidP="003F0C3A">
      <w:pPr>
        <w:spacing w:after="720"/>
        <w:jc w:val="both"/>
        <w:rPr>
          <w:lang w:val="fr-CA"/>
        </w:rPr>
      </w:pPr>
      <w:r>
        <w:rPr>
          <w:lang w:val="fr-CA"/>
        </w:rPr>
        <w:t>2022</w:t>
      </w:r>
      <w:r w:rsidR="001822CE">
        <w:rPr>
          <w:lang w:val="fr-CA"/>
        </w:rPr>
        <w:t> </w:t>
      </w:r>
      <w:r w:rsidR="003F0C3A">
        <w:rPr>
          <w:lang w:val="fr-CA"/>
        </w:rPr>
        <w:t xml:space="preserve">: </w:t>
      </w:r>
      <w:r w:rsidR="00D17B0E" w:rsidRPr="005B3B19">
        <w:rPr>
          <w:lang w:val="fr-CA"/>
        </w:rPr>
        <w:t>8 novembre</w:t>
      </w:r>
      <w:r w:rsidR="004D7D95" w:rsidRPr="005B3B19">
        <w:rPr>
          <w:lang w:val="fr-CA"/>
        </w:rPr>
        <w:t xml:space="preserve">; </w:t>
      </w:r>
      <w:r w:rsidR="00166B65">
        <w:rPr>
          <w:lang w:val="fr-CA"/>
        </w:rPr>
        <w:t xml:space="preserve">2023 : </w:t>
      </w:r>
      <w:r w:rsidR="00CF7D92" w:rsidRPr="006B31C9">
        <w:rPr>
          <w:lang w:val="fr-CA"/>
        </w:rPr>
        <w:t>30 juin</w:t>
      </w:r>
      <w:r w:rsidR="004D7D95" w:rsidRPr="005B3B19">
        <w:rPr>
          <w:lang w:val="fr-CA"/>
        </w:rPr>
        <w:t>.</w:t>
      </w:r>
    </w:p>
    <w:p w14:paraId="3FB465E1" w14:textId="3DD2A292" w:rsidR="00BF6FE9" w:rsidRDefault="003F0C3A" w:rsidP="003F0C3A">
      <w:pPr>
        <w:spacing w:after="720"/>
        <w:jc w:val="both"/>
        <w:rPr>
          <w:lang w:val="fr-CA"/>
        </w:rPr>
      </w:pPr>
      <w:r>
        <w:rPr>
          <w:lang w:val="fr-CA"/>
        </w:rPr>
        <w:t xml:space="preserve">Présents : </w:t>
      </w:r>
      <w:r w:rsidR="004D7D95" w:rsidRPr="005B3B19">
        <w:rPr>
          <w:lang w:val="fr-CA"/>
        </w:rPr>
        <w:t xml:space="preserve">Le juge en chef Wagner et les juges </w:t>
      </w:r>
      <w:proofErr w:type="spellStart"/>
      <w:r w:rsidR="004D7D95" w:rsidRPr="005B3B19">
        <w:rPr>
          <w:lang w:val="fr-CA"/>
        </w:rPr>
        <w:t>Karakatsanis</w:t>
      </w:r>
      <w:proofErr w:type="spellEnd"/>
      <w:r w:rsidR="004D7D95" w:rsidRPr="005B3B19">
        <w:rPr>
          <w:lang w:val="fr-CA"/>
        </w:rPr>
        <w:t>, Côté, Brown</w:t>
      </w:r>
      <w:r w:rsidR="00C8535D" w:rsidRPr="000F6296">
        <w:rPr>
          <w:rStyle w:val="Hyperlink"/>
          <w:vertAlign w:val="superscript"/>
        </w:rPr>
        <w:footnoteReference w:customMarkFollows="1" w:id="1"/>
        <w:sym w:font="Symbol" w:char="F02A"/>
      </w:r>
      <w:r w:rsidR="004D7D95" w:rsidRPr="005B3B19">
        <w:rPr>
          <w:lang w:val="fr-CA"/>
        </w:rPr>
        <w:t xml:space="preserve">, Rowe, Martin, </w:t>
      </w:r>
      <w:proofErr w:type="spellStart"/>
      <w:r w:rsidR="004D7D95" w:rsidRPr="005B3B19">
        <w:rPr>
          <w:lang w:val="fr-CA"/>
        </w:rPr>
        <w:t>Kasirer</w:t>
      </w:r>
      <w:proofErr w:type="spellEnd"/>
      <w:r w:rsidR="004D7D95" w:rsidRPr="005B3B19">
        <w:rPr>
          <w:lang w:val="fr-CA"/>
        </w:rPr>
        <w:t xml:space="preserve">, Jamal et </w:t>
      </w:r>
      <w:proofErr w:type="spellStart"/>
      <w:r w:rsidR="004D7D95" w:rsidRPr="005B3B19">
        <w:rPr>
          <w:lang w:val="fr-CA"/>
        </w:rPr>
        <w:t>O’Bonsawin</w:t>
      </w:r>
      <w:proofErr w:type="spellEnd"/>
      <w:r w:rsidR="004D7D95" w:rsidRPr="005B3B19">
        <w:rPr>
          <w:lang w:val="fr-CA"/>
        </w:rPr>
        <w:t>.</w:t>
      </w:r>
    </w:p>
    <w:p w14:paraId="43421832" w14:textId="77AE0472" w:rsidR="004D7D95" w:rsidRPr="002A5933" w:rsidRDefault="002A5933" w:rsidP="003F0C3A">
      <w:pPr>
        <w:spacing w:after="720"/>
        <w:jc w:val="both"/>
        <w:rPr>
          <w:smallCaps/>
          <w:lang w:val="fr-CA"/>
        </w:rPr>
      </w:pPr>
      <w:r w:rsidRPr="002A5933">
        <w:rPr>
          <w:smallCaps/>
          <w:lang w:val="fr-CA"/>
        </w:rPr>
        <w:t>e</w:t>
      </w:r>
      <w:r w:rsidR="004D7D95" w:rsidRPr="002A5933">
        <w:rPr>
          <w:smallCaps/>
          <w:lang w:val="fr-CA"/>
        </w:rPr>
        <w:t>n appe</w:t>
      </w:r>
      <w:r w:rsidR="003F0C3A">
        <w:rPr>
          <w:smallCaps/>
          <w:lang w:val="fr-CA"/>
        </w:rPr>
        <w:t xml:space="preserve">l de la cour d’appel du </w:t>
      </w:r>
      <w:proofErr w:type="spellStart"/>
      <w:r w:rsidR="003F0C3A">
        <w:rPr>
          <w:smallCaps/>
          <w:lang w:val="fr-CA"/>
        </w:rPr>
        <w:t>nouveau</w:t>
      </w:r>
      <w:r w:rsidR="003F0C3A">
        <w:rPr>
          <w:smallCaps/>
          <w:lang w:val="fr-CA"/>
        </w:rPr>
        <w:noBreakHyphen/>
      </w:r>
      <w:r w:rsidR="004D7D95" w:rsidRPr="002A5933">
        <w:rPr>
          <w:smallCaps/>
          <w:lang w:val="fr-CA"/>
        </w:rPr>
        <w:t>brunswick</w:t>
      </w:r>
      <w:proofErr w:type="spellEnd"/>
    </w:p>
    <w:p w14:paraId="1D1D0809" w14:textId="55A84F30" w:rsidR="007108C7" w:rsidRPr="003F0C3A" w:rsidRDefault="004D7D95" w:rsidP="003F0C3A">
      <w:pPr>
        <w:pStyle w:val="SCCNormalDoubleSpacing"/>
        <w:spacing w:after="480"/>
        <w:rPr>
          <w:lang w:val="fr-CA"/>
        </w:rPr>
      </w:pPr>
      <w:r w:rsidRPr="00023C71">
        <w:rPr>
          <w:lang w:val="fr-CA"/>
        </w:rPr>
        <w:lastRenderedPageBreak/>
        <w:tab/>
      </w:r>
      <w:r w:rsidR="007108C7" w:rsidRPr="003F0C3A">
        <w:rPr>
          <w:i/>
          <w:iCs/>
          <w:color w:val="000000"/>
          <w:lang w:val="fr-CA"/>
        </w:rPr>
        <w:t xml:space="preserve">Droit criminel </w:t>
      </w:r>
      <w:r w:rsidR="007108C7" w:rsidRPr="003F0C3A">
        <w:rPr>
          <w:i/>
          <w:lang w:val="fr-CA"/>
        </w:rPr>
        <w:t>—</w:t>
      </w:r>
      <w:r w:rsidR="007108C7" w:rsidRPr="003F0C3A">
        <w:rPr>
          <w:i/>
          <w:iCs/>
          <w:color w:val="000000"/>
          <w:lang w:val="fr-CA"/>
        </w:rPr>
        <w:t xml:space="preserve"> Détermination de la peine </w:t>
      </w:r>
      <w:r w:rsidR="007108C7" w:rsidRPr="003F0C3A">
        <w:rPr>
          <w:i/>
          <w:lang w:val="fr-CA"/>
        </w:rPr>
        <w:t>—</w:t>
      </w:r>
      <w:r w:rsidR="007108C7" w:rsidRPr="003F0C3A">
        <w:rPr>
          <w:i/>
          <w:iCs/>
          <w:color w:val="000000"/>
          <w:lang w:val="fr-CA"/>
        </w:rPr>
        <w:t xml:space="preserve"> Peines minimales obligatoires </w:t>
      </w:r>
      <w:r w:rsidR="007108C7" w:rsidRPr="003F0C3A">
        <w:rPr>
          <w:i/>
          <w:lang w:val="fr-CA"/>
        </w:rPr>
        <w:t>—</w:t>
      </w:r>
      <w:r w:rsidR="007108C7" w:rsidRPr="003F0C3A">
        <w:rPr>
          <w:i/>
          <w:iCs/>
          <w:color w:val="000000"/>
          <w:lang w:val="fr-CA"/>
        </w:rPr>
        <w:t xml:space="preserve"> </w:t>
      </w:r>
      <w:r w:rsidR="007108C7" w:rsidRPr="003F0C3A">
        <w:rPr>
          <w:i/>
          <w:lang w:val="fr-CA"/>
        </w:rPr>
        <w:t xml:space="preserve">Crédit pour interdiction </w:t>
      </w:r>
      <w:proofErr w:type="spellStart"/>
      <w:r w:rsidR="007108C7" w:rsidRPr="003F0C3A">
        <w:rPr>
          <w:i/>
          <w:lang w:val="fr-CA"/>
        </w:rPr>
        <w:t>présentencielle</w:t>
      </w:r>
      <w:proofErr w:type="spellEnd"/>
      <w:r w:rsidR="007108C7" w:rsidRPr="003F0C3A">
        <w:rPr>
          <w:i/>
          <w:lang w:val="fr-CA"/>
        </w:rPr>
        <w:t xml:space="preserve"> de conduire —</w:t>
      </w:r>
      <w:r w:rsidR="007108C7" w:rsidRPr="003F0C3A">
        <w:rPr>
          <w:i/>
          <w:iCs/>
          <w:color w:val="000000"/>
          <w:lang w:val="fr-CA"/>
        </w:rPr>
        <w:t xml:space="preserve"> Contrevenante accusée de conduite avec facultés affaiblies </w:t>
      </w:r>
      <w:r w:rsidR="007108C7">
        <w:rPr>
          <w:rFonts w:eastAsiaTheme="minorHAnsi"/>
          <w:i/>
          <w:lang w:val="fr-FR"/>
        </w:rPr>
        <w:t>r</w:t>
      </w:r>
      <w:r w:rsidR="007108C7" w:rsidRPr="003E7ACA">
        <w:rPr>
          <w:rFonts w:eastAsiaTheme="minorHAnsi"/>
          <w:i/>
          <w:lang w:val="fr-FR"/>
        </w:rPr>
        <w:t xml:space="preserve">emise en liberté sous promesse de ne pas conduire </w:t>
      </w:r>
      <w:r w:rsidR="007108C7">
        <w:rPr>
          <w:rFonts w:eastAsiaTheme="minorHAnsi"/>
          <w:i/>
          <w:lang w:val="fr-FR"/>
        </w:rPr>
        <w:t xml:space="preserve">un </w:t>
      </w:r>
      <w:r w:rsidR="007108C7" w:rsidRPr="003E7ACA">
        <w:rPr>
          <w:rFonts w:eastAsiaTheme="minorHAnsi"/>
          <w:i/>
          <w:lang w:val="fr-FR"/>
        </w:rPr>
        <w:t>véhicule à moteur dans l’attente d</w:t>
      </w:r>
      <w:r w:rsidR="007108C7">
        <w:rPr>
          <w:rFonts w:eastAsiaTheme="minorHAnsi"/>
          <w:i/>
          <w:lang w:val="fr-FR"/>
        </w:rPr>
        <w:t>e son</w:t>
      </w:r>
      <w:r w:rsidR="007108C7" w:rsidRPr="003E7ACA">
        <w:rPr>
          <w:rFonts w:eastAsiaTheme="minorHAnsi"/>
          <w:i/>
          <w:lang w:val="fr-FR"/>
        </w:rPr>
        <w:t xml:space="preserve"> procès</w:t>
      </w:r>
      <w:r w:rsidR="007108C7">
        <w:rPr>
          <w:rFonts w:eastAsiaTheme="minorHAnsi"/>
          <w:i/>
          <w:lang w:val="fr-FR"/>
        </w:rPr>
        <w:t xml:space="preserve"> </w:t>
      </w:r>
      <w:r w:rsidR="007108C7" w:rsidRPr="003F0C3A">
        <w:rPr>
          <w:i/>
          <w:lang w:val="fr-CA"/>
        </w:rPr>
        <w:t xml:space="preserve">— Infraction assortie d’une </w:t>
      </w:r>
      <w:r w:rsidR="00CC1B98">
        <w:rPr>
          <w:i/>
          <w:lang w:val="fr-CA"/>
        </w:rPr>
        <w:t>interdiction obligatoire</w:t>
      </w:r>
      <w:r w:rsidR="007108C7" w:rsidRPr="003E7ACA">
        <w:rPr>
          <w:rFonts w:eastAsiaTheme="minorHAnsi"/>
          <w:i/>
          <w:lang w:val="fr-FR"/>
        </w:rPr>
        <w:t xml:space="preserve"> de conduire </w:t>
      </w:r>
      <w:r w:rsidR="007108C7">
        <w:rPr>
          <w:rFonts w:eastAsiaTheme="minorHAnsi"/>
          <w:i/>
          <w:lang w:val="fr-FR"/>
        </w:rPr>
        <w:t xml:space="preserve">un </w:t>
      </w:r>
      <w:r w:rsidR="007108C7" w:rsidRPr="003E7ACA">
        <w:rPr>
          <w:rFonts w:eastAsiaTheme="minorHAnsi"/>
          <w:i/>
          <w:lang w:val="fr-FR"/>
        </w:rPr>
        <w:t xml:space="preserve">véhicule à moteur durant </w:t>
      </w:r>
      <w:r w:rsidR="007108C7">
        <w:rPr>
          <w:rFonts w:eastAsiaTheme="minorHAnsi"/>
          <w:i/>
          <w:lang w:val="fr-FR"/>
        </w:rPr>
        <w:t>une période minimale d’un</w:t>
      </w:r>
      <w:r w:rsidR="007108C7" w:rsidRPr="003E7ACA">
        <w:rPr>
          <w:rFonts w:eastAsiaTheme="minorHAnsi"/>
          <w:i/>
          <w:lang w:val="fr-FR"/>
        </w:rPr>
        <w:t xml:space="preserve"> an</w:t>
      </w:r>
      <w:r w:rsidR="007108C7" w:rsidRPr="003F0C3A">
        <w:rPr>
          <w:i/>
          <w:iCs/>
          <w:color w:val="000000"/>
          <w:lang w:val="fr-CA"/>
        </w:rPr>
        <w:t xml:space="preserve"> </w:t>
      </w:r>
      <w:r w:rsidR="007108C7" w:rsidRPr="003F0C3A">
        <w:rPr>
          <w:i/>
          <w:lang w:val="fr-CA"/>
        </w:rPr>
        <w:t>—</w:t>
      </w:r>
      <w:r w:rsidR="007108C7" w:rsidRPr="003F0C3A">
        <w:rPr>
          <w:i/>
          <w:iCs/>
          <w:color w:val="000000"/>
          <w:lang w:val="fr-CA"/>
        </w:rPr>
        <w:t xml:space="preserve"> </w:t>
      </w:r>
      <w:r w:rsidR="007108C7" w:rsidRPr="003E7ACA">
        <w:rPr>
          <w:rFonts w:eastAsiaTheme="minorHAnsi"/>
          <w:i/>
          <w:lang w:val="fr-FR"/>
        </w:rPr>
        <w:t xml:space="preserve">Le </w:t>
      </w:r>
      <w:r w:rsidR="007108C7">
        <w:rPr>
          <w:rFonts w:eastAsiaTheme="minorHAnsi"/>
          <w:i/>
          <w:lang w:val="fr-FR"/>
        </w:rPr>
        <w:t>juge</w:t>
      </w:r>
      <w:r w:rsidR="007108C7" w:rsidRPr="003E7ACA">
        <w:rPr>
          <w:rFonts w:eastAsiaTheme="minorHAnsi"/>
          <w:i/>
          <w:lang w:val="fr-FR"/>
        </w:rPr>
        <w:t xml:space="preserve"> chargé de la détermination de la peine p</w:t>
      </w:r>
      <w:r w:rsidR="007108C7">
        <w:rPr>
          <w:rFonts w:eastAsiaTheme="minorHAnsi"/>
          <w:i/>
          <w:lang w:val="fr-FR"/>
        </w:rPr>
        <w:t>ouvai</w:t>
      </w:r>
      <w:r w:rsidR="003F0C3A">
        <w:rPr>
          <w:rFonts w:eastAsiaTheme="minorHAnsi"/>
          <w:i/>
          <w:lang w:val="fr-FR"/>
        </w:rPr>
        <w:t>t</w:t>
      </w:r>
      <w:r w:rsidR="003F0C3A">
        <w:rPr>
          <w:rFonts w:eastAsiaTheme="minorHAnsi"/>
          <w:i/>
          <w:lang w:val="fr-FR"/>
        </w:rPr>
        <w:noBreakHyphen/>
      </w:r>
      <w:r w:rsidR="007108C7" w:rsidRPr="003E7ACA">
        <w:rPr>
          <w:rFonts w:eastAsiaTheme="minorHAnsi"/>
          <w:i/>
          <w:lang w:val="fr-FR"/>
        </w:rPr>
        <w:t xml:space="preserve">il octroyer </w:t>
      </w:r>
      <w:r w:rsidR="007108C7" w:rsidRPr="003E7ACA">
        <w:rPr>
          <w:rFonts w:eastAsiaTheme="minorHAnsi"/>
          <w:i/>
          <w:szCs w:val="24"/>
          <w:lang w:val="fr-FR"/>
        </w:rPr>
        <w:t xml:space="preserve">un crédit </w:t>
      </w:r>
      <w:r w:rsidR="007108C7" w:rsidRPr="003E7ACA">
        <w:rPr>
          <w:rFonts w:eastAsiaTheme="minorHAnsi"/>
          <w:i/>
          <w:lang w:val="fr-FR"/>
        </w:rPr>
        <w:t>pour la période</w:t>
      </w:r>
      <w:r w:rsidR="007108C7" w:rsidRPr="003F0C3A">
        <w:rPr>
          <w:i/>
          <w:lang w:val="fr-CA"/>
        </w:rPr>
        <w:t xml:space="preserve"> </w:t>
      </w:r>
      <w:r w:rsidR="007108C7" w:rsidRPr="003E7ACA">
        <w:rPr>
          <w:rFonts w:eastAsiaTheme="minorHAnsi"/>
          <w:i/>
          <w:lang w:val="fr-FR"/>
        </w:rPr>
        <w:t xml:space="preserve">d’interdiction </w:t>
      </w:r>
      <w:r w:rsidR="007108C7">
        <w:rPr>
          <w:rFonts w:eastAsiaTheme="minorHAnsi"/>
          <w:i/>
          <w:lang w:val="fr-FR"/>
        </w:rPr>
        <w:t xml:space="preserve">de conduire </w:t>
      </w:r>
      <w:r w:rsidR="007108C7" w:rsidRPr="003E7ACA">
        <w:rPr>
          <w:rFonts w:eastAsiaTheme="minorHAnsi"/>
          <w:i/>
          <w:lang w:val="fr-FR"/>
        </w:rPr>
        <w:t>déjà purgée</w:t>
      </w:r>
      <w:r w:rsidR="007108C7">
        <w:rPr>
          <w:rFonts w:eastAsiaTheme="minorHAnsi"/>
          <w:i/>
          <w:lang w:val="fr-FR"/>
        </w:rPr>
        <w:t xml:space="preserve"> par la contrevenante dans l’attente du procès</w:t>
      </w:r>
      <w:r w:rsidR="007108C7" w:rsidRPr="003E7ACA">
        <w:rPr>
          <w:rFonts w:eastAsiaTheme="minorHAnsi"/>
          <w:i/>
          <w:lang w:val="fr-FR"/>
        </w:rPr>
        <w:t xml:space="preserve">? </w:t>
      </w:r>
      <w:r w:rsidR="007108C7" w:rsidRPr="003F0C3A">
        <w:rPr>
          <w:i/>
          <w:lang w:val="fr-CA"/>
        </w:rPr>
        <w:t>—</w:t>
      </w:r>
      <w:r w:rsidR="003F0C3A">
        <w:rPr>
          <w:i/>
          <w:lang w:val="fr-CA"/>
        </w:rPr>
        <w:t xml:space="preserve"> Code criminel, L.R.C. 1985, c. C</w:t>
      </w:r>
      <w:r w:rsidR="003F0C3A">
        <w:rPr>
          <w:i/>
          <w:lang w:val="fr-CA"/>
        </w:rPr>
        <w:noBreakHyphen/>
        <w:t>46, art. </w:t>
      </w:r>
      <w:r w:rsidR="007108C7" w:rsidRPr="003F0C3A">
        <w:rPr>
          <w:i/>
          <w:lang w:val="fr-CA"/>
        </w:rPr>
        <w:t>259(1)a), 719(1).</w:t>
      </w:r>
    </w:p>
    <w:p w14:paraId="7A5125F9" w14:textId="00E0E707" w:rsidR="0001289A" w:rsidRDefault="003F0C3A" w:rsidP="003F0C3A">
      <w:pPr>
        <w:pStyle w:val="SCCNormalDoubleSpacing"/>
        <w:spacing w:after="480"/>
        <w:rPr>
          <w:lang w:val="fr-CA"/>
        </w:rPr>
      </w:pPr>
      <w:r>
        <w:rPr>
          <w:rFonts w:eastAsiaTheme="minorHAnsi"/>
          <w:lang w:val="fr-FR"/>
        </w:rPr>
        <w:tab/>
      </w:r>
      <w:r w:rsidR="007108C7" w:rsidRPr="00BE501B">
        <w:rPr>
          <w:rFonts w:eastAsiaTheme="minorHAnsi"/>
          <w:lang w:val="fr-FR"/>
        </w:rPr>
        <w:t xml:space="preserve">Accusée de conduite avec facultés affaiblies par voie d’infraction punissable par procédure sommaire, </w:t>
      </w:r>
      <w:r w:rsidR="007108C7">
        <w:rPr>
          <w:rFonts w:eastAsiaTheme="minorHAnsi"/>
          <w:lang w:val="fr-FR"/>
        </w:rPr>
        <w:t>la contrevenante</w:t>
      </w:r>
      <w:r w:rsidR="007108C7" w:rsidRPr="00BE501B">
        <w:rPr>
          <w:rFonts w:eastAsiaTheme="minorHAnsi"/>
          <w:lang w:val="fr-FR"/>
        </w:rPr>
        <w:t xml:space="preserve"> a été remise en liberté sous promesse de ne pas conduire un véhicule à moteur dans l’attente de son procès. Elle est demeurée sous le coup de cette interdiction jusqu’au prononcé de sa peine, 21 mois plus tard. Au moment des faits reprochés</w:t>
      </w:r>
      <w:r w:rsidR="007108C7" w:rsidRPr="00BE501B">
        <w:rPr>
          <w:rFonts w:eastAsiaTheme="minorHAnsi"/>
          <w:szCs w:val="24"/>
          <w:lang w:val="fr-FR"/>
        </w:rPr>
        <w:t>, l</w:t>
      </w:r>
      <w:r w:rsidR="007108C7" w:rsidRPr="00BE501B">
        <w:rPr>
          <w:rFonts w:eastAsiaTheme="minorHAnsi"/>
          <w:lang w:val="fr-FR"/>
        </w:rPr>
        <w:t xml:space="preserve">’al. 259(1)a) du </w:t>
      </w:r>
      <w:r w:rsidR="007108C7" w:rsidRPr="00BE501B">
        <w:rPr>
          <w:rFonts w:eastAsiaTheme="minorHAnsi"/>
          <w:i/>
          <w:lang w:val="fr-FR"/>
        </w:rPr>
        <w:t>Code criminel</w:t>
      </w:r>
      <w:r w:rsidR="007108C7" w:rsidRPr="00BE501B">
        <w:rPr>
          <w:rFonts w:eastAsiaTheme="minorHAnsi"/>
          <w:lang w:val="fr-FR"/>
        </w:rPr>
        <w:t xml:space="preserve"> (« </w:t>
      </w:r>
      <w:r w:rsidR="007108C7" w:rsidRPr="00BE501B">
        <w:rPr>
          <w:rFonts w:eastAsiaTheme="minorHAnsi"/>
          <w:i/>
          <w:lang w:val="fr-FR"/>
        </w:rPr>
        <w:t>C. </w:t>
      </w:r>
      <w:proofErr w:type="spellStart"/>
      <w:r w:rsidR="007108C7" w:rsidRPr="00BE501B">
        <w:rPr>
          <w:rFonts w:eastAsiaTheme="minorHAnsi"/>
          <w:i/>
          <w:lang w:val="fr-FR"/>
        </w:rPr>
        <w:t>cr</w:t>
      </w:r>
      <w:proofErr w:type="spellEnd"/>
      <w:r w:rsidR="007108C7" w:rsidRPr="00BE501B">
        <w:rPr>
          <w:rFonts w:eastAsiaTheme="minorHAnsi"/>
          <w:i/>
          <w:lang w:val="fr-FR"/>
        </w:rPr>
        <w:t>.</w:t>
      </w:r>
      <w:r w:rsidR="007108C7">
        <w:rPr>
          <w:rFonts w:eastAsiaTheme="minorHAnsi"/>
          <w:lang w:val="fr-FR"/>
        </w:rPr>
        <w:t> ») exigeai</w:t>
      </w:r>
      <w:r w:rsidR="007108C7" w:rsidRPr="00BE501B">
        <w:rPr>
          <w:rFonts w:eastAsiaTheme="minorHAnsi"/>
          <w:lang w:val="fr-FR"/>
        </w:rPr>
        <w:t xml:space="preserve">t du tribunal qu’il rende à l’égard </w:t>
      </w:r>
      <w:r w:rsidR="007108C7">
        <w:rPr>
          <w:rFonts w:eastAsiaTheme="minorHAnsi"/>
          <w:lang w:val="fr-FR"/>
        </w:rPr>
        <w:t>d’un contrevenant</w:t>
      </w:r>
      <w:r w:rsidR="007108C7" w:rsidRPr="00BE501B">
        <w:rPr>
          <w:rFonts w:eastAsiaTheme="minorHAnsi"/>
          <w:lang w:val="fr-FR"/>
        </w:rPr>
        <w:t xml:space="preserve"> </w:t>
      </w:r>
      <w:r w:rsidR="007108C7">
        <w:rPr>
          <w:rFonts w:eastAsiaTheme="minorHAnsi"/>
          <w:lang w:val="fr-FR"/>
        </w:rPr>
        <w:t>accusé d’une première infraction de co</w:t>
      </w:r>
      <w:r w:rsidR="00C54E1C">
        <w:rPr>
          <w:rFonts w:eastAsiaTheme="minorHAnsi"/>
          <w:lang w:val="fr-FR"/>
        </w:rPr>
        <w:t>nduite avec facultés affaiblies</w:t>
      </w:r>
      <w:r w:rsidR="007108C7">
        <w:rPr>
          <w:rFonts w:eastAsiaTheme="minorHAnsi"/>
          <w:lang w:val="fr-FR"/>
        </w:rPr>
        <w:t xml:space="preserve"> </w:t>
      </w:r>
      <w:r w:rsidR="007108C7" w:rsidRPr="00BE501B">
        <w:rPr>
          <w:rFonts w:eastAsiaTheme="minorHAnsi"/>
          <w:lang w:val="fr-FR"/>
        </w:rPr>
        <w:t xml:space="preserve">une ordonnance </w:t>
      </w:r>
      <w:r w:rsidR="007108C7">
        <w:rPr>
          <w:rFonts w:eastAsiaTheme="minorHAnsi"/>
          <w:lang w:val="fr-FR"/>
        </w:rPr>
        <w:t>lui</w:t>
      </w:r>
      <w:r w:rsidR="007108C7">
        <w:rPr>
          <w:lang w:val="fr-FR"/>
        </w:rPr>
        <w:t xml:space="preserve"> </w:t>
      </w:r>
      <w:r w:rsidR="007108C7" w:rsidRPr="00BE501B">
        <w:rPr>
          <w:rFonts w:eastAsiaTheme="minorHAnsi"/>
          <w:lang w:val="fr-FR"/>
        </w:rPr>
        <w:t>interdisant de</w:t>
      </w:r>
      <w:r w:rsidR="007108C7">
        <w:rPr>
          <w:rFonts w:eastAsiaTheme="minorHAnsi"/>
          <w:lang w:val="fr-FR"/>
        </w:rPr>
        <w:t xml:space="preserve"> conduire un véhicule à moteur </w:t>
      </w:r>
      <w:r w:rsidR="007108C7" w:rsidRPr="00BE501B">
        <w:rPr>
          <w:rFonts w:eastAsiaTheme="minorHAnsi"/>
          <w:lang w:val="fr-FR"/>
        </w:rPr>
        <w:t>duran</w:t>
      </w:r>
      <w:r w:rsidR="007108C7">
        <w:rPr>
          <w:rFonts w:eastAsiaTheme="minorHAnsi"/>
          <w:lang w:val="fr-FR"/>
        </w:rPr>
        <w:t xml:space="preserve">t une période </w:t>
      </w:r>
      <w:r w:rsidR="00C54E1C">
        <w:rPr>
          <w:rFonts w:eastAsiaTheme="minorHAnsi"/>
          <w:lang w:val="fr-FR"/>
        </w:rPr>
        <w:t xml:space="preserve">minimale d’un an. </w:t>
      </w:r>
      <w:r w:rsidR="00023C71" w:rsidRPr="00023C71">
        <w:rPr>
          <w:rFonts w:eastAsiaTheme="minorHAnsi"/>
          <w:lang w:val="fr-FR"/>
        </w:rPr>
        <w:t xml:space="preserve">Le juge chargé de la </w:t>
      </w:r>
      <w:r w:rsidR="00023C71">
        <w:rPr>
          <w:rFonts w:eastAsiaTheme="minorHAnsi"/>
          <w:lang w:val="fr-FR"/>
        </w:rPr>
        <w:t>détermination de la peine impose à la contrevenante une</w:t>
      </w:r>
      <w:r w:rsidR="00023C71" w:rsidRPr="00023C71">
        <w:rPr>
          <w:rFonts w:eastAsiaTheme="minorHAnsi"/>
          <w:lang w:val="fr-FR"/>
        </w:rPr>
        <w:t xml:space="preserve"> péri</w:t>
      </w:r>
      <w:r w:rsidR="00023C71">
        <w:rPr>
          <w:rFonts w:eastAsiaTheme="minorHAnsi"/>
          <w:lang w:val="fr-FR"/>
        </w:rPr>
        <w:t>ode d’interdiction de conduire d’un an, et</w:t>
      </w:r>
      <w:r w:rsidR="00023C71" w:rsidRPr="00023C71">
        <w:rPr>
          <w:rFonts w:eastAsiaTheme="minorHAnsi"/>
          <w:lang w:val="fr-FR"/>
        </w:rPr>
        <w:t xml:space="preserve"> choisit d’antidater l’ordonnance au premier jour de l’interdiction </w:t>
      </w:r>
      <w:proofErr w:type="spellStart"/>
      <w:r w:rsidR="00023C71" w:rsidRPr="00023C71">
        <w:rPr>
          <w:rFonts w:eastAsiaTheme="minorHAnsi"/>
          <w:lang w:val="fr-FR"/>
        </w:rPr>
        <w:t>prése</w:t>
      </w:r>
      <w:r w:rsidR="00023C71">
        <w:rPr>
          <w:rFonts w:eastAsiaTheme="minorHAnsi"/>
          <w:lang w:val="fr-FR"/>
        </w:rPr>
        <w:t>ntencielle</w:t>
      </w:r>
      <w:proofErr w:type="spellEnd"/>
      <w:r w:rsidR="00023C71">
        <w:rPr>
          <w:rFonts w:eastAsiaTheme="minorHAnsi"/>
          <w:lang w:val="fr-FR"/>
        </w:rPr>
        <w:t>, de telle sorte que la</w:t>
      </w:r>
      <w:r w:rsidR="00023C71" w:rsidRPr="00023C71">
        <w:rPr>
          <w:rFonts w:eastAsiaTheme="minorHAnsi"/>
          <w:lang w:val="fr-FR"/>
        </w:rPr>
        <w:t xml:space="preserve"> </w:t>
      </w:r>
      <w:r w:rsidR="00CC1B98">
        <w:rPr>
          <w:rFonts w:eastAsiaTheme="minorHAnsi"/>
          <w:lang w:val="fr-FR"/>
        </w:rPr>
        <w:t>période prévue par la loi</w:t>
      </w:r>
      <w:r w:rsidR="00023C71" w:rsidRPr="00023C71">
        <w:rPr>
          <w:rFonts w:eastAsiaTheme="minorHAnsi"/>
          <w:lang w:val="fr-FR"/>
        </w:rPr>
        <w:t xml:space="preserve"> est en</w:t>
      </w:r>
      <w:r w:rsidR="00023C71">
        <w:rPr>
          <w:rFonts w:eastAsiaTheme="minorHAnsi"/>
          <w:lang w:val="fr-FR"/>
        </w:rPr>
        <w:t>tièrement complétée en date de sa</w:t>
      </w:r>
      <w:r w:rsidR="00023C71" w:rsidRPr="00023C71">
        <w:rPr>
          <w:rFonts w:eastAsiaTheme="minorHAnsi"/>
          <w:lang w:val="fr-FR"/>
        </w:rPr>
        <w:t xml:space="preserve"> décision.</w:t>
      </w:r>
    </w:p>
    <w:p w14:paraId="472F5B86" w14:textId="685E855B" w:rsidR="007108C7" w:rsidRPr="00023C71" w:rsidRDefault="0001289A" w:rsidP="003F0C3A">
      <w:pPr>
        <w:pStyle w:val="SCCNormalDoubleSpacing"/>
        <w:spacing w:after="480"/>
        <w:rPr>
          <w:lang w:val="fr-CA"/>
        </w:rPr>
      </w:pPr>
      <w:r>
        <w:rPr>
          <w:lang w:val="fr-CA"/>
        </w:rPr>
        <w:lastRenderedPageBreak/>
        <w:tab/>
      </w:r>
      <w:r w:rsidRPr="0001289A">
        <w:rPr>
          <w:lang w:val="fr-CA"/>
        </w:rPr>
        <w:t>Le juge d’appel en matière de poursuites sommaires rejette l’appel du ministère public. Tout en soulignant que le premier juge a eu tort d’antidater l’</w:t>
      </w:r>
      <w:r w:rsidR="00483D77">
        <w:rPr>
          <w:lang w:val="fr-CA"/>
        </w:rPr>
        <w:t>interdiction</w:t>
      </w:r>
      <w:r w:rsidRPr="0001289A">
        <w:rPr>
          <w:lang w:val="fr-CA"/>
        </w:rPr>
        <w:t xml:space="preserve">, il conclut que le premier juge pouvait néanmoins accorder un crédit pour une interdiction </w:t>
      </w:r>
      <w:proofErr w:type="spellStart"/>
      <w:r w:rsidRPr="0001289A">
        <w:rPr>
          <w:lang w:val="fr-CA"/>
        </w:rPr>
        <w:t>présentencielle</w:t>
      </w:r>
      <w:proofErr w:type="spellEnd"/>
      <w:r w:rsidRPr="0001289A">
        <w:rPr>
          <w:lang w:val="fr-CA"/>
        </w:rPr>
        <w:t xml:space="preserve"> de conduire, dans la mesure où une telle interdiction constitue une condition de remise en liberté et fait également partie de la peine ultérieurement infligée</w:t>
      </w:r>
      <w:r w:rsidR="00C54E1C" w:rsidRPr="0001289A">
        <w:rPr>
          <w:lang w:val="fr-CA"/>
        </w:rPr>
        <w:t xml:space="preserve">. </w:t>
      </w:r>
      <w:r w:rsidR="00C54E1C" w:rsidRPr="00023C71">
        <w:rPr>
          <w:lang w:val="fr-CA"/>
        </w:rPr>
        <w:t xml:space="preserve">Toutefois, </w:t>
      </w:r>
      <w:r w:rsidR="007108C7" w:rsidRPr="00023C71">
        <w:rPr>
          <w:lang w:val="fr-CA"/>
        </w:rPr>
        <w:t>la Co</w:t>
      </w:r>
      <w:r w:rsidR="00C54E1C" w:rsidRPr="00023C71">
        <w:rPr>
          <w:lang w:val="fr-CA"/>
        </w:rPr>
        <w:t>ur d’appel accueille à la</w:t>
      </w:r>
      <w:r w:rsidR="007108C7" w:rsidRPr="00023C71">
        <w:rPr>
          <w:lang w:val="fr-CA"/>
        </w:rPr>
        <w:t xml:space="preserve"> majorité l’appel</w:t>
      </w:r>
      <w:r w:rsidR="00C54E1C" w:rsidRPr="00023C71">
        <w:rPr>
          <w:lang w:val="fr-CA"/>
        </w:rPr>
        <w:t xml:space="preserve"> </w:t>
      </w:r>
      <w:r w:rsidR="007108C7" w:rsidRPr="00023C71">
        <w:rPr>
          <w:lang w:val="fr-CA"/>
        </w:rPr>
        <w:t>subséquent du ministère public</w:t>
      </w:r>
      <w:r w:rsidR="00C54E1C" w:rsidRPr="00023C71">
        <w:rPr>
          <w:lang w:val="fr-CA"/>
        </w:rPr>
        <w:t>, déterminant qu’</w:t>
      </w:r>
      <w:r w:rsidR="007108C7" w:rsidRPr="00023C71">
        <w:rPr>
          <w:lang w:val="fr-CA"/>
        </w:rPr>
        <w:t xml:space="preserve">il n’existe aucune autorité permettant d’octroyer un crédit de façon à écarter </w:t>
      </w:r>
      <w:r w:rsidR="00C54E1C" w:rsidRPr="00023C71">
        <w:rPr>
          <w:lang w:val="fr-CA"/>
        </w:rPr>
        <w:t>la</w:t>
      </w:r>
      <w:r w:rsidR="007108C7" w:rsidRPr="00023C71">
        <w:rPr>
          <w:lang w:val="fr-CA"/>
        </w:rPr>
        <w:t xml:space="preserve"> peine minimale obligatoire prévue par la loi.</w:t>
      </w:r>
    </w:p>
    <w:p w14:paraId="7ED70B4D" w14:textId="664B3DB1" w:rsidR="007108C7" w:rsidRPr="00023C71" w:rsidRDefault="003F0C3A" w:rsidP="003F0C3A">
      <w:pPr>
        <w:pStyle w:val="SCCNormalDoubleSpacing"/>
        <w:spacing w:after="480"/>
        <w:rPr>
          <w:lang w:val="fr-CA"/>
        </w:rPr>
      </w:pPr>
      <w:r w:rsidRPr="00023C71">
        <w:rPr>
          <w:i/>
          <w:lang w:val="fr-CA"/>
        </w:rPr>
        <w:tab/>
      </w:r>
      <w:r w:rsidR="007108C7" w:rsidRPr="00023C71">
        <w:rPr>
          <w:i/>
          <w:lang w:val="fr-CA"/>
        </w:rPr>
        <w:t>Arrêt</w:t>
      </w:r>
      <w:r w:rsidR="007108C7" w:rsidRPr="00023C71">
        <w:rPr>
          <w:lang w:val="fr-CA"/>
        </w:rPr>
        <w:t> : Le pourvoi est accueilli.</w:t>
      </w:r>
    </w:p>
    <w:p w14:paraId="1AD99132" w14:textId="59906079" w:rsidR="007108C7" w:rsidRPr="003F0C3A" w:rsidRDefault="003F0C3A" w:rsidP="003F0C3A">
      <w:pPr>
        <w:pStyle w:val="SCCNormalDoubleSpacing"/>
        <w:spacing w:after="480"/>
        <w:rPr>
          <w:lang w:val="fr-CA"/>
        </w:rPr>
      </w:pPr>
      <w:r>
        <w:rPr>
          <w:lang w:val="fr-FR"/>
        </w:rPr>
        <w:tab/>
      </w:r>
      <w:r w:rsidR="00C54E1C">
        <w:rPr>
          <w:lang w:val="fr-FR"/>
        </w:rPr>
        <w:t xml:space="preserve">Il était loisible au juge </w:t>
      </w:r>
      <w:r w:rsidR="007108C7">
        <w:rPr>
          <w:lang w:val="fr-FR"/>
        </w:rPr>
        <w:t xml:space="preserve">chargé </w:t>
      </w:r>
      <w:r w:rsidR="00C54E1C">
        <w:rPr>
          <w:lang w:val="fr-FR"/>
        </w:rPr>
        <w:t>de la détermination de la peine</w:t>
      </w:r>
      <w:r w:rsidR="007108C7" w:rsidRPr="00BE501B">
        <w:rPr>
          <w:lang w:val="fr-FR"/>
        </w:rPr>
        <w:t xml:space="preserve"> de t</w:t>
      </w:r>
      <w:r w:rsidR="00854F18">
        <w:rPr>
          <w:lang w:val="fr-FR"/>
        </w:rPr>
        <w:t>enir compte de la période de 21 </w:t>
      </w:r>
      <w:r w:rsidR="007108C7" w:rsidRPr="00BE501B">
        <w:rPr>
          <w:lang w:val="fr-FR"/>
        </w:rPr>
        <w:t xml:space="preserve">mois déjà purgée par </w:t>
      </w:r>
      <w:r w:rsidR="00C54E1C">
        <w:rPr>
          <w:lang w:val="fr-FR"/>
        </w:rPr>
        <w:t>la contrevenante</w:t>
      </w:r>
      <w:r w:rsidR="007108C7">
        <w:rPr>
          <w:lang w:val="fr-FR"/>
        </w:rPr>
        <w:t xml:space="preserve"> </w:t>
      </w:r>
      <w:r w:rsidR="007108C7" w:rsidRPr="00036D71">
        <w:rPr>
          <w:lang w:val="fr-FR"/>
        </w:rPr>
        <w:t>puisque cela ne contrecarrerait pas la volonté du législateur</w:t>
      </w:r>
      <w:r w:rsidR="00CC1B98">
        <w:rPr>
          <w:lang w:val="fr-FR"/>
        </w:rPr>
        <w:t xml:space="preserve"> en adoptant la peine minimale obligatoire</w:t>
      </w:r>
      <w:r w:rsidR="00C54E1C">
        <w:rPr>
          <w:lang w:val="fr-FR"/>
        </w:rPr>
        <w:t xml:space="preserve">. </w:t>
      </w:r>
      <w:r w:rsidR="007108C7">
        <w:rPr>
          <w:lang w:val="fr-FR"/>
        </w:rPr>
        <w:t>A</w:t>
      </w:r>
      <w:r w:rsidR="007108C7" w:rsidRPr="00BE501B">
        <w:rPr>
          <w:lang w:val="fr-FR"/>
        </w:rPr>
        <w:t>ucun conflit ne résulte de l’application concomitante de l’al. 259(1)a)</w:t>
      </w:r>
      <w:r w:rsidR="007108C7">
        <w:rPr>
          <w:lang w:val="fr-FR"/>
        </w:rPr>
        <w:t xml:space="preserve"> </w:t>
      </w:r>
      <w:r w:rsidRPr="003F0C3A">
        <w:rPr>
          <w:i/>
          <w:lang w:val="fr-CA"/>
        </w:rPr>
        <w:t>C. </w:t>
      </w:r>
      <w:proofErr w:type="spellStart"/>
      <w:r w:rsidR="007108C7" w:rsidRPr="003F0C3A">
        <w:rPr>
          <w:i/>
          <w:lang w:val="fr-CA"/>
        </w:rPr>
        <w:t>cr</w:t>
      </w:r>
      <w:proofErr w:type="spellEnd"/>
      <w:r w:rsidR="007108C7" w:rsidRPr="003F0C3A">
        <w:rPr>
          <w:i/>
          <w:lang w:val="fr-CA"/>
        </w:rPr>
        <w:t>.</w:t>
      </w:r>
      <w:r w:rsidR="007108C7" w:rsidRPr="00BE501B">
        <w:rPr>
          <w:lang w:val="fr-FR"/>
        </w:rPr>
        <w:t xml:space="preserve"> </w:t>
      </w:r>
      <w:proofErr w:type="gramStart"/>
      <w:r w:rsidR="007108C7" w:rsidRPr="00BE501B">
        <w:rPr>
          <w:lang w:val="fr-FR"/>
        </w:rPr>
        <w:t>et</w:t>
      </w:r>
      <w:proofErr w:type="gramEnd"/>
      <w:r w:rsidR="007108C7" w:rsidRPr="00BE501B">
        <w:rPr>
          <w:lang w:val="fr-FR"/>
        </w:rPr>
        <w:t xml:space="preserve"> de la règle de </w:t>
      </w:r>
      <w:proofErr w:type="spellStart"/>
      <w:r w:rsidR="007108C7" w:rsidRPr="00BE501B">
        <w:rPr>
          <w:lang w:val="fr-FR"/>
        </w:rPr>
        <w:t>common</w:t>
      </w:r>
      <w:proofErr w:type="spellEnd"/>
      <w:r w:rsidR="007108C7" w:rsidRPr="00BE501B">
        <w:rPr>
          <w:lang w:val="fr-FR"/>
        </w:rPr>
        <w:t xml:space="preserve"> </w:t>
      </w:r>
      <w:proofErr w:type="spellStart"/>
      <w:r w:rsidR="007108C7" w:rsidRPr="00BE501B">
        <w:rPr>
          <w:lang w:val="fr-FR"/>
        </w:rPr>
        <w:t>law</w:t>
      </w:r>
      <w:proofErr w:type="spellEnd"/>
      <w:r w:rsidR="007108C7" w:rsidRPr="00BE501B">
        <w:rPr>
          <w:lang w:val="fr-FR"/>
        </w:rPr>
        <w:t xml:space="preserve"> permettant l’octroi d’un crédit. </w:t>
      </w:r>
      <w:r w:rsidR="00C54E1C">
        <w:rPr>
          <w:lang w:val="fr-FR"/>
        </w:rPr>
        <w:t>A</w:t>
      </w:r>
      <w:r w:rsidR="007108C7" w:rsidRPr="00BE501B">
        <w:rPr>
          <w:lang w:val="fr-FR"/>
        </w:rPr>
        <w:t xml:space="preserve">u moment du prononcé de la sentence, le tribunal est tenu d’infliger la peine minimale obligatoire d’un an, mais rien dans la loi ne l’empêche d’octroyer ensuite un crédit. De même, l’octroi d’un crédit ne contrevient pas à </w:t>
      </w:r>
      <w:r w:rsidR="00C54E1C">
        <w:rPr>
          <w:lang w:val="fr-FR"/>
        </w:rPr>
        <w:t>la règle</w:t>
      </w:r>
      <w:r w:rsidR="007108C7" w:rsidRPr="00BE501B">
        <w:rPr>
          <w:lang w:val="fr-FR"/>
        </w:rPr>
        <w:t xml:space="preserve"> prévue au </w:t>
      </w:r>
      <w:proofErr w:type="spellStart"/>
      <w:r w:rsidR="007108C7" w:rsidRPr="00BE501B">
        <w:rPr>
          <w:lang w:val="fr-FR"/>
        </w:rPr>
        <w:t>par</w:t>
      </w:r>
      <w:proofErr w:type="spellEnd"/>
      <w:r w:rsidR="007108C7" w:rsidRPr="00BE501B">
        <w:rPr>
          <w:lang w:val="fr-FR"/>
        </w:rPr>
        <w:t xml:space="preserve">. 719(1) </w:t>
      </w:r>
      <w:r w:rsidR="007108C7" w:rsidRPr="00BE501B">
        <w:rPr>
          <w:i/>
          <w:lang w:val="fr-FR"/>
        </w:rPr>
        <w:t>C.</w:t>
      </w:r>
      <w:r>
        <w:rPr>
          <w:i/>
          <w:lang w:val="fr-FR"/>
        </w:rPr>
        <w:t> </w:t>
      </w:r>
      <w:proofErr w:type="spellStart"/>
      <w:r w:rsidR="007108C7" w:rsidRPr="00BE501B">
        <w:rPr>
          <w:i/>
          <w:lang w:val="fr-FR"/>
        </w:rPr>
        <w:t>cr</w:t>
      </w:r>
      <w:proofErr w:type="spellEnd"/>
      <w:r w:rsidR="007108C7">
        <w:rPr>
          <w:i/>
          <w:lang w:val="fr-FR"/>
        </w:rPr>
        <w:t xml:space="preserve">. </w:t>
      </w:r>
      <w:proofErr w:type="gramStart"/>
      <w:r w:rsidR="007108C7" w:rsidRPr="00BE501B">
        <w:rPr>
          <w:lang w:val="fr-FR"/>
        </w:rPr>
        <w:t>exigeant</w:t>
      </w:r>
      <w:proofErr w:type="gramEnd"/>
      <w:r w:rsidR="007108C7" w:rsidRPr="00BE501B">
        <w:rPr>
          <w:lang w:val="fr-FR"/>
        </w:rPr>
        <w:t xml:space="preserve"> que la peine commence au moment où elle est infligée</w:t>
      </w:r>
      <w:r w:rsidR="00C54E1C">
        <w:rPr>
          <w:lang w:val="fr-FR"/>
        </w:rPr>
        <w:t xml:space="preserve">. </w:t>
      </w:r>
      <w:r w:rsidR="007108C7">
        <w:rPr>
          <w:lang w:val="fr-FR"/>
        </w:rPr>
        <w:t>S</w:t>
      </w:r>
      <w:r w:rsidR="007108C7" w:rsidRPr="00BE501B">
        <w:rPr>
          <w:lang w:val="fr-FR"/>
        </w:rPr>
        <w:t xml:space="preserve">eule la sentence doit commencer au moment où elle est prononcée, et non la </w:t>
      </w:r>
      <w:r w:rsidR="00CC1B98">
        <w:rPr>
          <w:lang w:val="fr-FR"/>
        </w:rPr>
        <w:t>peine</w:t>
      </w:r>
      <w:r w:rsidR="007108C7" w:rsidRPr="00BE501B">
        <w:rPr>
          <w:lang w:val="fr-FR"/>
        </w:rPr>
        <w:t xml:space="preserve"> minimale </w:t>
      </w:r>
      <w:r w:rsidR="00CC1B98">
        <w:rPr>
          <w:lang w:val="fr-FR"/>
        </w:rPr>
        <w:t xml:space="preserve">obligatoire </w:t>
      </w:r>
      <w:proofErr w:type="gramStart"/>
      <w:r w:rsidR="007108C7" w:rsidRPr="00BE501B">
        <w:rPr>
          <w:lang w:val="fr-FR"/>
        </w:rPr>
        <w:t>d’un an purgée</w:t>
      </w:r>
      <w:proofErr w:type="gramEnd"/>
      <w:r w:rsidR="007108C7" w:rsidRPr="00BE501B">
        <w:rPr>
          <w:lang w:val="fr-FR"/>
        </w:rPr>
        <w:t xml:space="preserve"> en application de l’al. 259(1)a). </w:t>
      </w:r>
      <w:r w:rsidR="007108C7" w:rsidRPr="00EB5864">
        <w:rPr>
          <w:lang w:val="fr-FR"/>
        </w:rPr>
        <w:t xml:space="preserve">Par conséquent, ces dispositions législatives n’écartent pas le pouvoir discrétionnaire </w:t>
      </w:r>
      <w:r w:rsidR="00C54E1C" w:rsidRPr="003F0C3A">
        <w:rPr>
          <w:lang w:val="fr-CA"/>
        </w:rPr>
        <w:t>f</w:t>
      </w:r>
      <w:r w:rsidR="007108C7" w:rsidRPr="003F0C3A">
        <w:rPr>
          <w:lang w:val="fr-CA"/>
        </w:rPr>
        <w:t xml:space="preserve">ondé sur la </w:t>
      </w:r>
      <w:proofErr w:type="spellStart"/>
      <w:r w:rsidR="007108C7" w:rsidRPr="003F0C3A">
        <w:rPr>
          <w:lang w:val="fr-CA"/>
        </w:rPr>
        <w:t>common</w:t>
      </w:r>
      <w:proofErr w:type="spellEnd"/>
      <w:r w:rsidR="007108C7" w:rsidRPr="003F0C3A">
        <w:rPr>
          <w:lang w:val="fr-CA"/>
        </w:rPr>
        <w:t xml:space="preserve"> </w:t>
      </w:r>
      <w:proofErr w:type="spellStart"/>
      <w:r w:rsidR="003E02D2" w:rsidRPr="003F0C3A">
        <w:rPr>
          <w:lang w:val="fr-CA"/>
        </w:rPr>
        <w:t>law</w:t>
      </w:r>
      <w:proofErr w:type="spellEnd"/>
      <w:r w:rsidR="003E02D2" w:rsidRPr="003F0C3A">
        <w:rPr>
          <w:lang w:val="fr-CA"/>
        </w:rPr>
        <w:t xml:space="preserve">, </w:t>
      </w:r>
      <w:r w:rsidR="007108C7" w:rsidRPr="00EB5864">
        <w:rPr>
          <w:lang w:val="fr-FR"/>
        </w:rPr>
        <w:t xml:space="preserve">reconnu aux juges des peines dans l’arrêt </w:t>
      </w:r>
      <w:r w:rsidR="007108C7" w:rsidRPr="00EB5864">
        <w:rPr>
          <w:i/>
          <w:lang w:val="fr-FR"/>
        </w:rPr>
        <w:t xml:space="preserve">R. </w:t>
      </w:r>
      <w:r w:rsidR="007108C7" w:rsidRPr="00EB5864">
        <w:rPr>
          <w:i/>
          <w:lang w:val="fr-FR"/>
        </w:rPr>
        <w:lastRenderedPageBreak/>
        <w:t>c. Lacasse</w:t>
      </w:r>
      <w:r w:rsidR="007108C7" w:rsidRPr="00146AD5">
        <w:rPr>
          <w:lang w:val="fr-FR"/>
        </w:rPr>
        <w:t>, 2015 CSC 64, [2015] 3 R.C.S. 1089</w:t>
      </w:r>
      <w:r w:rsidR="003E02D2">
        <w:rPr>
          <w:lang w:val="fr-FR"/>
        </w:rPr>
        <w:t xml:space="preserve">, </w:t>
      </w:r>
      <w:r w:rsidR="007108C7" w:rsidRPr="003F0C3A">
        <w:rPr>
          <w:lang w:val="fr-CA"/>
        </w:rPr>
        <w:t xml:space="preserve">permettant au tribunal d’octroyer un crédit pour une interdiction </w:t>
      </w:r>
      <w:proofErr w:type="spellStart"/>
      <w:r w:rsidR="007108C7" w:rsidRPr="003F0C3A">
        <w:rPr>
          <w:lang w:val="fr-CA"/>
        </w:rPr>
        <w:t>présentencielle</w:t>
      </w:r>
      <w:proofErr w:type="spellEnd"/>
      <w:r w:rsidR="007108C7" w:rsidRPr="003F0C3A">
        <w:rPr>
          <w:lang w:val="fr-CA"/>
        </w:rPr>
        <w:t xml:space="preserve"> de conduire</w:t>
      </w:r>
      <w:r>
        <w:rPr>
          <w:lang w:val="fr-FR"/>
        </w:rPr>
        <w:t>.</w:t>
      </w:r>
    </w:p>
    <w:p w14:paraId="27A3E755" w14:textId="50B0AFBE" w:rsidR="007108C7" w:rsidRPr="00023C71" w:rsidRDefault="003F0C3A" w:rsidP="003F0C3A">
      <w:pPr>
        <w:pStyle w:val="SCCNormalDoubleSpacing"/>
        <w:spacing w:after="480"/>
        <w:rPr>
          <w:lang w:val="fr-CA"/>
        </w:rPr>
      </w:pPr>
      <w:r w:rsidRPr="00023C71">
        <w:rPr>
          <w:lang w:val="fr-CA"/>
        </w:rPr>
        <w:tab/>
      </w:r>
      <w:r w:rsidR="007108C7" w:rsidRPr="003F0C3A">
        <w:rPr>
          <w:lang w:val="fr-CA"/>
        </w:rPr>
        <w:t>Le droit criminel canadien se compose à la fois du droit établi par le législateur et</w:t>
      </w:r>
      <w:r w:rsidR="003E02D2" w:rsidRPr="003F0C3A">
        <w:rPr>
          <w:lang w:val="fr-CA"/>
        </w:rPr>
        <w:t xml:space="preserve"> de principes de </w:t>
      </w:r>
      <w:proofErr w:type="spellStart"/>
      <w:r w:rsidR="003E02D2" w:rsidRPr="003F0C3A">
        <w:rPr>
          <w:lang w:val="fr-CA"/>
        </w:rPr>
        <w:t>common</w:t>
      </w:r>
      <w:proofErr w:type="spellEnd"/>
      <w:r w:rsidR="003E02D2" w:rsidRPr="003F0C3A">
        <w:rPr>
          <w:lang w:val="fr-CA"/>
        </w:rPr>
        <w:t xml:space="preserve"> </w:t>
      </w:r>
      <w:proofErr w:type="spellStart"/>
      <w:r w:rsidR="003E02D2" w:rsidRPr="003F0C3A">
        <w:rPr>
          <w:lang w:val="fr-CA"/>
        </w:rPr>
        <w:t>law</w:t>
      </w:r>
      <w:proofErr w:type="spellEnd"/>
      <w:r w:rsidR="003E02D2" w:rsidRPr="003F0C3A">
        <w:rPr>
          <w:lang w:val="fr-CA"/>
        </w:rPr>
        <w:t xml:space="preserve">. </w:t>
      </w:r>
      <w:r w:rsidR="007108C7" w:rsidRPr="00023C71">
        <w:rPr>
          <w:lang w:val="fr-CA"/>
        </w:rPr>
        <w:t xml:space="preserve">Cette coexistence </w:t>
      </w:r>
      <w:r w:rsidR="00CC1B98">
        <w:rPr>
          <w:lang w:val="fr-CA"/>
        </w:rPr>
        <w:t>de la législation</w:t>
      </w:r>
      <w:r w:rsidR="007108C7" w:rsidRPr="00023C71">
        <w:rPr>
          <w:lang w:val="fr-CA"/>
        </w:rPr>
        <w:t xml:space="preserve"> et de la </w:t>
      </w:r>
      <w:proofErr w:type="spellStart"/>
      <w:r w:rsidR="007108C7" w:rsidRPr="00023C71">
        <w:rPr>
          <w:lang w:val="fr-CA"/>
        </w:rPr>
        <w:t>common</w:t>
      </w:r>
      <w:proofErr w:type="spellEnd"/>
      <w:r w:rsidR="007108C7" w:rsidRPr="00023C71">
        <w:rPr>
          <w:lang w:val="fr-CA"/>
        </w:rPr>
        <w:t xml:space="preserve"> </w:t>
      </w:r>
      <w:proofErr w:type="spellStart"/>
      <w:r w:rsidR="007108C7" w:rsidRPr="00023C71">
        <w:rPr>
          <w:lang w:val="fr-CA"/>
        </w:rPr>
        <w:t>law</w:t>
      </w:r>
      <w:proofErr w:type="spellEnd"/>
      <w:r w:rsidR="007108C7" w:rsidRPr="00023C71">
        <w:rPr>
          <w:lang w:val="fr-CA"/>
        </w:rPr>
        <w:t xml:space="preserve"> anime le droit relatif à la déterminati</w:t>
      </w:r>
      <w:r w:rsidR="003E02D2" w:rsidRPr="00023C71">
        <w:rPr>
          <w:lang w:val="fr-CA"/>
        </w:rPr>
        <w:t>on de la peine. Alors que le</w:t>
      </w:r>
      <w:r w:rsidR="007108C7" w:rsidRPr="00023C71">
        <w:rPr>
          <w:lang w:val="fr-CA"/>
        </w:rPr>
        <w:t xml:space="preserve"> </w:t>
      </w:r>
      <w:r w:rsidR="007108C7" w:rsidRPr="00023C71">
        <w:rPr>
          <w:i/>
          <w:lang w:val="fr-CA"/>
        </w:rPr>
        <w:t>Code criminel</w:t>
      </w:r>
      <w:r w:rsidR="007108C7" w:rsidRPr="00023C71">
        <w:rPr>
          <w:lang w:val="fr-CA"/>
        </w:rPr>
        <w:t xml:space="preserve"> codifie les principes fondamentaux de la détermination de la peine, les tribunaux peuvent aussi tenir compte d’autres principes et facteurs découlant de la </w:t>
      </w:r>
      <w:proofErr w:type="spellStart"/>
      <w:r w:rsidR="007108C7" w:rsidRPr="00023C71">
        <w:rPr>
          <w:lang w:val="fr-CA"/>
        </w:rPr>
        <w:t>common</w:t>
      </w:r>
      <w:proofErr w:type="spellEnd"/>
      <w:r w:rsidR="007108C7" w:rsidRPr="00023C71">
        <w:rPr>
          <w:lang w:val="fr-CA"/>
        </w:rPr>
        <w:t xml:space="preserve"> </w:t>
      </w:r>
      <w:proofErr w:type="spellStart"/>
      <w:r w:rsidR="007108C7" w:rsidRPr="00023C71">
        <w:rPr>
          <w:lang w:val="fr-CA"/>
        </w:rPr>
        <w:t>law</w:t>
      </w:r>
      <w:proofErr w:type="spellEnd"/>
      <w:r w:rsidR="007108C7" w:rsidRPr="00023C71">
        <w:rPr>
          <w:lang w:val="fr-CA"/>
        </w:rPr>
        <w:t xml:space="preserve">. Bien que la législation puisse être prépondérante sur la </w:t>
      </w:r>
      <w:proofErr w:type="spellStart"/>
      <w:r w:rsidR="007108C7" w:rsidRPr="00023C71">
        <w:rPr>
          <w:lang w:val="fr-CA"/>
        </w:rPr>
        <w:t>common</w:t>
      </w:r>
      <w:proofErr w:type="spellEnd"/>
      <w:r w:rsidR="007108C7" w:rsidRPr="00023C71">
        <w:rPr>
          <w:lang w:val="fr-CA"/>
        </w:rPr>
        <w:t xml:space="preserve"> </w:t>
      </w:r>
      <w:proofErr w:type="spellStart"/>
      <w:r w:rsidR="007108C7" w:rsidRPr="00023C71">
        <w:rPr>
          <w:lang w:val="fr-CA"/>
        </w:rPr>
        <w:t>law</w:t>
      </w:r>
      <w:proofErr w:type="spellEnd"/>
      <w:r w:rsidR="007108C7" w:rsidRPr="00023C71">
        <w:rPr>
          <w:lang w:val="fr-CA"/>
        </w:rPr>
        <w:t>, cette dernière demeure applicable dans la mesure où elle n’est pas écartée explicitement ou par implication nécessaire, principe justifié par l’importance</w:t>
      </w:r>
      <w:r w:rsidR="003E02D2" w:rsidRPr="00023C71">
        <w:rPr>
          <w:lang w:val="fr-CA"/>
        </w:rPr>
        <w:t xml:space="preserve"> de la stabilité du droit. </w:t>
      </w:r>
      <w:r w:rsidR="007108C7" w:rsidRPr="00BE501B">
        <w:rPr>
          <w:szCs w:val="24"/>
          <w:lang w:val="fr-FR"/>
        </w:rPr>
        <w:t xml:space="preserve">Le cadre d’analyse en </w:t>
      </w:r>
      <w:proofErr w:type="gramStart"/>
      <w:r w:rsidR="007108C7" w:rsidRPr="00BE501B">
        <w:rPr>
          <w:szCs w:val="24"/>
          <w:lang w:val="fr-FR"/>
        </w:rPr>
        <w:t>deux étapes relatif</w:t>
      </w:r>
      <w:proofErr w:type="gramEnd"/>
      <w:r w:rsidR="007108C7" w:rsidRPr="00BE501B">
        <w:rPr>
          <w:szCs w:val="24"/>
          <w:lang w:val="fr-FR"/>
        </w:rPr>
        <w:t xml:space="preserve"> à </w:t>
      </w:r>
      <w:r w:rsidR="007108C7">
        <w:rPr>
          <w:szCs w:val="24"/>
          <w:lang w:val="fr-FR"/>
        </w:rPr>
        <w:t>l’</w:t>
      </w:r>
      <w:r w:rsidR="007108C7" w:rsidRPr="00BE501B">
        <w:rPr>
          <w:szCs w:val="24"/>
          <w:lang w:val="fr-FR"/>
        </w:rPr>
        <w:t xml:space="preserve">interaction </w:t>
      </w:r>
      <w:r w:rsidR="003E02D2">
        <w:rPr>
          <w:szCs w:val="24"/>
          <w:lang w:val="fr-FR"/>
        </w:rPr>
        <w:t xml:space="preserve">entre la </w:t>
      </w:r>
      <w:r w:rsidR="00CC1B98">
        <w:rPr>
          <w:szCs w:val="24"/>
          <w:lang w:val="fr-FR"/>
        </w:rPr>
        <w:t>législation</w:t>
      </w:r>
      <w:r w:rsidR="003E02D2">
        <w:rPr>
          <w:szCs w:val="24"/>
          <w:lang w:val="fr-FR"/>
        </w:rPr>
        <w:t xml:space="preserve"> et la </w:t>
      </w:r>
      <w:proofErr w:type="spellStart"/>
      <w:r w:rsidR="003E02D2">
        <w:rPr>
          <w:szCs w:val="24"/>
          <w:lang w:val="fr-FR"/>
        </w:rPr>
        <w:t>common</w:t>
      </w:r>
      <w:proofErr w:type="spellEnd"/>
      <w:r w:rsidR="003E02D2">
        <w:rPr>
          <w:szCs w:val="24"/>
          <w:lang w:val="fr-FR"/>
        </w:rPr>
        <w:t xml:space="preserve"> </w:t>
      </w:r>
      <w:proofErr w:type="spellStart"/>
      <w:r w:rsidR="003E02D2">
        <w:rPr>
          <w:szCs w:val="24"/>
          <w:lang w:val="fr-FR"/>
        </w:rPr>
        <w:t>law</w:t>
      </w:r>
      <w:proofErr w:type="spellEnd"/>
      <w:r w:rsidR="007108C7">
        <w:rPr>
          <w:szCs w:val="24"/>
          <w:lang w:val="fr-FR"/>
        </w:rPr>
        <w:t xml:space="preserve"> </w:t>
      </w:r>
      <w:r w:rsidR="007108C7" w:rsidRPr="00BE501B">
        <w:rPr>
          <w:szCs w:val="24"/>
          <w:lang w:val="fr-FR"/>
        </w:rPr>
        <w:t>est bien établi. Dans un premier temps, il s’agit d’</w:t>
      </w:r>
      <w:r w:rsidR="007108C7" w:rsidRPr="00023C71">
        <w:rPr>
          <w:szCs w:val="24"/>
          <w:lang w:val="fr-CA"/>
        </w:rPr>
        <w:t xml:space="preserve">analyser, identifier et énoncer la </w:t>
      </w:r>
      <w:proofErr w:type="spellStart"/>
      <w:r w:rsidR="007108C7" w:rsidRPr="00023C71">
        <w:rPr>
          <w:szCs w:val="24"/>
          <w:lang w:val="fr-CA"/>
        </w:rPr>
        <w:t>common</w:t>
      </w:r>
      <w:proofErr w:type="spellEnd"/>
      <w:r w:rsidR="007108C7" w:rsidRPr="00023C71">
        <w:rPr>
          <w:szCs w:val="24"/>
          <w:lang w:val="fr-CA"/>
        </w:rPr>
        <w:t xml:space="preserve"> </w:t>
      </w:r>
      <w:proofErr w:type="spellStart"/>
      <w:r w:rsidR="007108C7" w:rsidRPr="00023C71">
        <w:rPr>
          <w:szCs w:val="24"/>
          <w:lang w:val="fr-CA"/>
        </w:rPr>
        <w:t>law</w:t>
      </w:r>
      <w:proofErr w:type="spellEnd"/>
      <w:r w:rsidR="007108C7" w:rsidRPr="00023C71">
        <w:rPr>
          <w:szCs w:val="24"/>
          <w:lang w:val="fr-CA"/>
        </w:rPr>
        <w:t xml:space="preserve"> applicable puis, d</w:t>
      </w:r>
      <w:r w:rsidR="007108C7" w:rsidRPr="00BE501B">
        <w:rPr>
          <w:szCs w:val="24"/>
          <w:lang w:val="fr-FR"/>
        </w:rPr>
        <w:t>ans un second temp</w:t>
      </w:r>
      <w:r w:rsidR="007108C7" w:rsidRPr="00BE501B">
        <w:rPr>
          <w:lang w:val="fr-FR"/>
        </w:rPr>
        <w:t>s,</w:t>
      </w:r>
      <w:r w:rsidR="007108C7" w:rsidRPr="00BE501B">
        <w:rPr>
          <w:szCs w:val="24"/>
          <w:lang w:val="fr-FR"/>
        </w:rPr>
        <w:t xml:space="preserve"> de</w:t>
      </w:r>
      <w:r w:rsidR="007108C7" w:rsidRPr="00BE501B">
        <w:rPr>
          <w:lang w:val="fr-FR"/>
        </w:rPr>
        <w:t xml:space="preserve"> </w:t>
      </w:r>
      <w:r w:rsidR="007108C7" w:rsidRPr="00023C71">
        <w:rPr>
          <w:szCs w:val="24"/>
          <w:lang w:val="fr-CA"/>
        </w:rPr>
        <w:t xml:space="preserve">préciser l’effet du droit statutaire sur la </w:t>
      </w:r>
      <w:proofErr w:type="spellStart"/>
      <w:r w:rsidR="007108C7" w:rsidRPr="00023C71">
        <w:rPr>
          <w:szCs w:val="24"/>
          <w:lang w:val="fr-CA"/>
        </w:rPr>
        <w:t>common</w:t>
      </w:r>
      <w:proofErr w:type="spellEnd"/>
      <w:r w:rsidR="007108C7" w:rsidRPr="00023C71">
        <w:rPr>
          <w:szCs w:val="24"/>
          <w:lang w:val="fr-CA"/>
        </w:rPr>
        <w:t xml:space="preserve"> </w:t>
      </w:r>
      <w:proofErr w:type="spellStart"/>
      <w:r w:rsidR="007108C7" w:rsidRPr="00023C71">
        <w:rPr>
          <w:szCs w:val="24"/>
          <w:lang w:val="fr-CA"/>
        </w:rPr>
        <w:t>law</w:t>
      </w:r>
      <w:proofErr w:type="spellEnd"/>
      <w:r w:rsidR="007108C7" w:rsidRPr="00023C71">
        <w:rPr>
          <w:szCs w:val="24"/>
          <w:lang w:val="fr-CA"/>
        </w:rPr>
        <w:t>.</w:t>
      </w:r>
    </w:p>
    <w:p w14:paraId="55EE7C3F" w14:textId="759E1E34" w:rsidR="007108C7" w:rsidRPr="00023C71" w:rsidRDefault="003F0C3A" w:rsidP="003F0C3A">
      <w:pPr>
        <w:pStyle w:val="SCCNormalDoubleSpacing"/>
        <w:spacing w:after="480"/>
        <w:rPr>
          <w:lang w:val="fr-CA"/>
        </w:rPr>
      </w:pPr>
      <w:r w:rsidRPr="00023C71">
        <w:rPr>
          <w:lang w:val="fr-CA"/>
        </w:rPr>
        <w:tab/>
      </w:r>
      <w:r w:rsidR="00CC1B98">
        <w:rPr>
          <w:lang w:val="fr-CA"/>
        </w:rPr>
        <w:t>Quant</w:t>
      </w:r>
      <w:r w:rsidR="007108C7" w:rsidRPr="003F0C3A">
        <w:rPr>
          <w:lang w:val="fr-CA"/>
        </w:rPr>
        <w:t xml:space="preserve"> à </w:t>
      </w:r>
      <w:r w:rsidR="003E02D2" w:rsidRPr="003F0C3A">
        <w:rPr>
          <w:lang w:val="fr-CA"/>
        </w:rPr>
        <w:t xml:space="preserve">la première étape de l’analyse, </w:t>
      </w:r>
      <w:r w:rsidR="007108C7" w:rsidRPr="003F0C3A">
        <w:rPr>
          <w:lang w:val="fr-CA"/>
        </w:rPr>
        <w:t xml:space="preserve">la </w:t>
      </w:r>
      <w:proofErr w:type="spellStart"/>
      <w:r w:rsidR="007108C7" w:rsidRPr="003F0C3A">
        <w:rPr>
          <w:lang w:val="fr-CA"/>
        </w:rPr>
        <w:t>common</w:t>
      </w:r>
      <w:proofErr w:type="spellEnd"/>
      <w:r w:rsidR="007108C7" w:rsidRPr="003F0C3A">
        <w:rPr>
          <w:lang w:val="fr-CA"/>
        </w:rPr>
        <w:t xml:space="preserve"> </w:t>
      </w:r>
      <w:proofErr w:type="spellStart"/>
      <w:r w:rsidR="007108C7" w:rsidRPr="003F0C3A">
        <w:rPr>
          <w:lang w:val="fr-CA"/>
        </w:rPr>
        <w:t>law</w:t>
      </w:r>
      <w:proofErr w:type="spellEnd"/>
      <w:r w:rsidR="007108C7" w:rsidRPr="003F0C3A">
        <w:rPr>
          <w:lang w:val="fr-CA"/>
        </w:rPr>
        <w:t xml:space="preserve"> permet aux tribunaux d’accorder un crédit pour une interdiction </w:t>
      </w:r>
      <w:proofErr w:type="spellStart"/>
      <w:r w:rsidR="007108C7" w:rsidRPr="003F0C3A">
        <w:rPr>
          <w:lang w:val="fr-CA"/>
        </w:rPr>
        <w:t>présentencielle</w:t>
      </w:r>
      <w:proofErr w:type="spellEnd"/>
      <w:r w:rsidR="007108C7" w:rsidRPr="003F0C3A">
        <w:rPr>
          <w:lang w:val="fr-CA"/>
        </w:rPr>
        <w:t xml:space="preserve"> de conduire subie par un contrevenant. </w:t>
      </w:r>
      <w:r w:rsidR="007108C7" w:rsidRPr="00023C71">
        <w:rPr>
          <w:lang w:val="fr-CA"/>
        </w:rPr>
        <w:t xml:space="preserve">Ce pouvoir discrétionnaire de </w:t>
      </w:r>
      <w:proofErr w:type="spellStart"/>
      <w:r w:rsidR="007108C7" w:rsidRPr="00023C71">
        <w:rPr>
          <w:lang w:val="fr-CA"/>
        </w:rPr>
        <w:t>common</w:t>
      </w:r>
      <w:proofErr w:type="spellEnd"/>
      <w:r w:rsidR="007108C7" w:rsidRPr="00023C71">
        <w:rPr>
          <w:lang w:val="fr-CA"/>
        </w:rPr>
        <w:t xml:space="preserve"> </w:t>
      </w:r>
      <w:proofErr w:type="spellStart"/>
      <w:r w:rsidR="007108C7" w:rsidRPr="00023C71">
        <w:rPr>
          <w:lang w:val="fr-CA"/>
        </w:rPr>
        <w:t>law</w:t>
      </w:r>
      <w:proofErr w:type="spellEnd"/>
      <w:r w:rsidR="007108C7" w:rsidRPr="00023C71">
        <w:rPr>
          <w:lang w:val="fr-CA"/>
        </w:rPr>
        <w:t xml:space="preserve"> est l’extension naturelle d’un principe analogue en matière de détention </w:t>
      </w:r>
      <w:proofErr w:type="spellStart"/>
      <w:r w:rsidR="007108C7" w:rsidRPr="00023C71">
        <w:rPr>
          <w:lang w:val="fr-CA"/>
        </w:rPr>
        <w:t>présentencielle</w:t>
      </w:r>
      <w:proofErr w:type="spellEnd"/>
      <w:r w:rsidR="00CC1B98">
        <w:rPr>
          <w:lang w:val="fr-CA"/>
        </w:rPr>
        <w:t>. L</w:t>
      </w:r>
      <w:r w:rsidR="007108C7" w:rsidRPr="00023C71">
        <w:rPr>
          <w:lang w:val="fr-CA"/>
        </w:rPr>
        <w:t xml:space="preserve">es tribunaux </w:t>
      </w:r>
      <w:r w:rsidR="00CC1B98">
        <w:rPr>
          <w:lang w:val="fr-CA"/>
        </w:rPr>
        <w:t>ont depuis longtemps reconnu</w:t>
      </w:r>
      <w:r w:rsidR="007108C7" w:rsidRPr="00023C71">
        <w:rPr>
          <w:lang w:val="fr-CA"/>
        </w:rPr>
        <w:t xml:space="preserve"> qu’il est possible de tenir compte, dans l’infliction de la peine, de toute période d’incarcération que </w:t>
      </w:r>
      <w:r w:rsidR="003E02D2" w:rsidRPr="00023C71">
        <w:rPr>
          <w:lang w:val="fr-CA"/>
        </w:rPr>
        <w:t>le contrevenant</w:t>
      </w:r>
      <w:r w:rsidR="007108C7" w:rsidRPr="00023C71">
        <w:rPr>
          <w:lang w:val="fr-CA"/>
        </w:rPr>
        <w:t xml:space="preserve"> a déjà purgée entre la date de son arrestation et ce</w:t>
      </w:r>
      <w:r w:rsidR="00CC1B98">
        <w:rPr>
          <w:lang w:val="fr-CA"/>
        </w:rPr>
        <w:t xml:space="preserve">lle du prononcé de sa sentence. </w:t>
      </w:r>
      <w:r w:rsidR="007475C9" w:rsidRPr="009C42BA">
        <w:rPr>
          <w:lang w:val="fr-CA"/>
        </w:rPr>
        <w:t xml:space="preserve">L’octroi d’un crédit pour la </w:t>
      </w:r>
      <w:r w:rsidR="007475C9" w:rsidRPr="009C42BA">
        <w:rPr>
          <w:lang w:val="fr-CA"/>
        </w:rPr>
        <w:lastRenderedPageBreak/>
        <w:t xml:space="preserve">période </w:t>
      </w:r>
      <w:r w:rsidR="00523521">
        <w:rPr>
          <w:lang w:val="fr-CA"/>
        </w:rPr>
        <w:t>de détention</w:t>
      </w:r>
      <w:r w:rsidR="007475C9" w:rsidRPr="009C42BA">
        <w:rPr>
          <w:lang w:val="fr-CA"/>
        </w:rPr>
        <w:t xml:space="preserve"> </w:t>
      </w:r>
      <w:proofErr w:type="spellStart"/>
      <w:r w:rsidR="007475C9" w:rsidRPr="009C42BA">
        <w:rPr>
          <w:lang w:val="fr-CA"/>
        </w:rPr>
        <w:t>présentencielle</w:t>
      </w:r>
      <w:proofErr w:type="spellEnd"/>
      <w:r w:rsidR="007475C9" w:rsidRPr="009C42BA">
        <w:rPr>
          <w:lang w:val="fr-CA"/>
        </w:rPr>
        <w:t xml:space="preserve"> purgée par le contrevenant fait partie des principes centraux de la détermination de la peine, bien qu’il ne so</w:t>
      </w:r>
      <w:r w:rsidR="007475C9">
        <w:rPr>
          <w:lang w:val="fr-CA"/>
        </w:rPr>
        <w:t>it pas exprimé législativement</w:t>
      </w:r>
      <w:r w:rsidR="003E02D2" w:rsidRPr="00023C71">
        <w:rPr>
          <w:lang w:val="fr-CA"/>
        </w:rPr>
        <w:t xml:space="preserve">. </w:t>
      </w:r>
      <w:r w:rsidR="007108C7" w:rsidRPr="003F0C3A">
        <w:rPr>
          <w:lang w:val="fr-CA"/>
        </w:rPr>
        <w:t xml:space="preserve">Le principe autorisant l’octroi d’un crédit en matière de détention </w:t>
      </w:r>
      <w:proofErr w:type="spellStart"/>
      <w:r w:rsidR="007108C7" w:rsidRPr="003F0C3A">
        <w:rPr>
          <w:lang w:val="fr-CA"/>
        </w:rPr>
        <w:t>présentencielle</w:t>
      </w:r>
      <w:proofErr w:type="spellEnd"/>
      <w:r w:rsidR="007108C7" w:rsidRPr="003F0C3A">
        <w:rPr>
          <w:lang w:val="fr-CA"/>
        </w:rPr>
        <w:t xml:space="preserve"> permet de pallier certaines injustices découlant de l’application du principe interdisant d’antidater une sentence, aujourd</w:t>
      </w:r>
      <w:r w:rsidRPr="003F0C3A">
        <w:rPr>
          <w:lang w:val="fr-CA"/>
        </w:rPr>
        <w:t xml:space="preserve">’hui codifié au </w:t>
      </w:r>
      <w:proofErr w:type="spellStart"/>
      <w:r w:rsidRPr="003F0C3A">
        <w:rPr>
          <w:lang w:val="fr-CA"/>
        </w:rPr>
        <w:t>par</w:t>
      </w:r>
      <w:proofErr w:type="spellEnd"/>
      <w:r w:rsidRPr="003F0C3A">
        <w:rPr>
          <w:lang w:val="fr-CA"/>
        </w:rPr>
        <w:t>.</w:t>
      </w:r>
      <w:r>
        <w:rPr>
          <w:lang w:val="fr-CA"/>
        </w:rPr>
        <w:t> </w:t>
      </w:r>
      <w:r w:rsidR="003E02D2" w:rsidRPr="003F0C3A">
        <w:rPr>
          <w:lang w:val="fr-CA"/>
        </w:rPr>
        <w:t xml:space="preserve">719(1). </w:t>
      </w:r>
      <w:r w:rsidR="007108C7" w:rsidRPr="003F0C3A">
        <w:rPr>
          <w:lang w:val="fr-CA"/>
        </w:rPr>
        <w:t>Bien que le droit canadien ne permette pas aux tribunaux d’antidater une se</w:t>
      </w:r>
      <w:r w:rsidRPr="003F0C3A">
        <w:rPr>
          <w:lang w:val="fr-CA"/>
        </w:rPr>
        <w:t>ntence afin de la réduire, ceux</w:t>
      </w:r>
      <w:r w:rsidRPr="003F0C3A">
        <w:rPr>
          <w:lang w:val="fr-CA"/>
        </w:rPr>
        <w:noBreakHyphen/>
      </w:r>
      <w:r w:rsidR="007108C7" w:rsidRPr="003F0C3A">
        <w:rPr>
          <w:lang w:val="fr-CA"/>
        </w:rPr>
        <w:t xml:space="preserve">ci peuvent néanmoins considérer le temps passé en détention </w:t>
      </w:r>
      <w:proofErr w:type="spellStart"/>
      <w:r w:rsidR="007108C7" w:rsidRPr="003F0C3A">
        <w:rPr>
          <w:lang w:val="fr-CA"/>
        </w:rPr>
        <w:t>présentencielle</w:t>
      </w:r>
      <w:proofErr w:type="spellEnd"/>
      <w:r w:rsidR="007108C7" w:rsidRPr="003F0C3A">
        <w:rPr>
          <w:lang w:val="fr-CA"/>
        </w:rPr>
        <w:t xml:space="preserve"> dans le calcul de la </w:t>
      </w:r>
      <w:r w:rsidR="00CC1B98">
        <w:rPr>
          <w:lang w:val="fr-CA"/>
        </w:rPr>
        <w:t>période</w:t>
      </w:r>
      <w:r w:rsidR="007108C7" w:rsidRPr="003F0C3A">
        <w:rPr>
          <w:lang w:val="fr-CA"/>
        </w:rPr>
        <w:t xml:space="preserve"> devant être purgée par le contrevenant</w:t>
      </w:r>
      <w:r w:rsidR="003E02D2" w:rsidRPr="003F0C3A">
        <w:rPr>
          <w:lang w:val="fr-CA"/>
        </w:rPr>
        <w:t xml:space="preserve"> de façon prospective. </w:t>
      </w:r>
      <w:r w:rsidR="007108C7" w:rsidRPr="00023C71">
        <w:rPr>
          <w:lang w:val="fr-CA"/>
        </w:rPr>
        <w:t xml:space="preserve">L’application de cette règle de </w:t>
      </w:r>
      <w:proofErr w:type="spellStart"/>
      <w:r w:rsidR="007108C7" w:rsidRPr="00023C71">
        <w:rPr>
          <w:lang w:val="fr-CA"/>
        </w:rPr>
        <w:t>common</w:t>
      </w:r>
      <w:proofErr w:type="spellEnd"/>
      <w:r w:rsidR="007108C7" w:rsidRPr="00023C71">
        <w:rPr>
          <w:lang w:val="fr-CA"/>
        </w:rPr>
        <w:t xml:space="preserve"> </w:t>
      </w:r>
      <w:proofErr w:type="spellStart"/>
      <w:r w:rsidR="007108C7" w:rsidRPr="00023C71">
        <w:rPr>
          <w:lang w:val="fr-CA"/>
        </w:rPr>
        <w:t>law</w:t>
      </w:r>
      <w:proofErr w:type="spellEnd"/>
      <w:r w:rsidR="007108C7" w:rsidRPr="00023C71">
        <w:rPr>
          <w:lang w:val="fr-CA"/>
        </w:rPr>
        <w:t xml:space="preserve"> permettant l’octroi d’un crédit n’équivaut donc pas à antidater la sentence.</w:t>
      </w:r>
    </w:p>
    <w:p w14:paraId="39216AF5" w14:textId="0C42DA0C" w:rsidR="007108C7" w:rsidRPr="003F0C3A" w:rsidRDefault="003F0C3A" w:rsidP="003F0C3A">
      <w:pPr>
        <w:pStyle w:val="SCCNormalDoubleSpacing"/>
        <w:spacing w:after="480"/>
        <w:rPr>
          <w:lang w:val="fr-CA" w:bidi="en-US"/>
        </w:rPr>
      </w:pPr>
      <w:r w:rsidRPr="00023C71">
        <w:rPr>
          <w:lang w:val="fr-CA"/>
        </w:rPr>
        <w:tab/>
      </w:r>
      <w:r w:rsidR="007108C7" w:rsidRPr="003F0C3A">
        <w:rPr>
          <w:lang w:val="fr-CA"/>
        </w:rPr>
        <w:t>De p</w:t>
      </w:r>
      <w:r w:rsidR="003E02D2" w:rsidRPr="003F0C3A">
        <w:rPr>
          <w:lang w:val="fr-CA"/>
        </w:rPr>
        <w:t xml:space="preserve">lus, </w:t>
      </w:r>
      <w:r w:rsidR="007108C7" w:rsidRPr="003F0C3A">
        <w:rPr>
          <w:lang w:val="fr-CA"/>
        </w:rPr>
        <w:t xml:space="preserve">l’absence, en matière d’interdictions </w:t>
      </w:r>
      <w:proofErr w:type="spellStart"/>
      <w:r w:rsidR="007108C7" w:rsidRPr="003F0C3A">
        <w:rPr>
          <w:lang w:val="fr-CA"/>
        </w:rPr>
        <w:t>présentencielles</w:t>
      </w:r>
      <w:proofErr w:type="spellEnd"/>
      <w:r w:rsidR="007108C7" w:rsidRPr="003F0C3A">
        <w:rPr>
          <w:lang w:val="fr-CA"/>
        </w:rPr>
        <w:t xml:space="preserve"> de conduire, d’une disposition législative équiva</w:t>
      </w:r>
      <w:r>
        <w:rPr>
          <w:lang w:val="fr-CA"/>
        </w:rPr>
        <w:t xml:space="preserve">lente au </w:t>
      </w:r>
      <w:proofErr w:type="spellStart"/>
      <w:r>
        <w:rPr>
          <w:lang w:val="fr-CA"/>
        </w:rPr>
        <w:t>par</w:t>
      </w:r>
      <w:proofErr w:type="spellEnd"/>
      <w:r>
        <w:rPr>
          <w:lang w:val="fr-CA"/>
        </w:rPr>
        <w:t>. </w:t>
      </w:r>
      <w:r w:rsidR="007108C7" w:rsidRPr="003F0C3A">
        <w:rPr>
          <w:lang w:val="fr-CA"/>
        </w:rPr>
        <w:t xml:space="preserve">719(3) </w:t>
      </w:r>
      <w:r>
        <w:rPr>
          <w:i/>
          <w:lang w:val="fr-CA"/>
        </w:rPr>
        <w:t>C. </w:t>
      </w:r>
      <w:proofErr w:type="spellStart"/>
      <w:r w:rsidR="007108C7" w:rsidRPr="003F0C3A">
        <w:rPr>
          <w:i/>
          <w:lang w:val="fr-CA"/>
        </w:rPr>
        <w:t>cr</w:t>
      </w:r>
      <w:proofErr w:type="spellEnd"/>
      <w:r w:rsidR="007108C7" w:rsidRPr="003F0C3A">
        <w:rPr>
          <w:i/>
          <w:lang w:val="fr-CA"/>
        </w:rPr>
        <w:t>.</w:t>
      </w:r>
      <w:r w:rsidR="003E02D2" w:rsidRPr="003F0C3A">
        <w:rPr>
          <w:lang w:val="fr-CA"/>
        </w:rPr>
        <w:t>, qui</w:t>
      </w:r>
      <w:r w:rsidR="007108C7" w:rsidRPr="003F0C3A">
        <w:rPr>
          <w:lang w:val="fr-CA"/>
        </w:rPr>
        <w:t xml:space="preserve"> codifi</w:t>
      </w:r>
      <w:r w:rsidR="00CC1B98">
        <w:rPr>
          <w:lang w:val="fr-CA"/>
        </w:rPr>
        <w:t>e</w:t>
      </w:r>
      <w:r w:rsidR="007108C7" w:rsidRPr="003F0C3A">
        <w:rPr>
          <w:lang w:val="fr-CA"/>
        </w:rPr>
        <w:t xml:space="preserve"> l’octroi d’un crédit en matière de détention </w:t>
      </w:r>
      <w:proofErr w:type="spellStart"/>
      <w:r w:rsidR="007108C7" w:rsidRPr="003F0C3A">
        <w:rPr>
          <w:lang w:val="fr-CA"/>
        </w:rPr>
        <w:t>présentencie</w:t>
      </w:r>
      <w:r w:rsidR="003E02D2" w:rsidRPr="003F0C3A">
        <w:rPr>
          <w:lang w:val="fr-CA"/>
        </w:rPr>
        <w:t>lle</w:t>
      </w:r>
      <w:proofErr w:type="spellEnd"/>
      <w:r w:rsidR="003E02D2" w:rsidRPr="003F0C3A">
        <w:rPr>
          <w:lang w:val="fr-CA"/>
        </w:rPr>
        <w:t xml:space="preserve">, </w:t>
      </w:r>
      <w:r w:rsidR="007108C7" w:rsidRPr="003F0C3A">
        <w:rPr>
          <w:lang w:val="fr-CA"/>
        </w:rPr>
        <w:t xml:space="preserve">n’a pas pour effet d’écarter ou de limiter la règle de </w:t>
      </w:r>
      <w:proofErr w:type="spellStart"/>
      <w:r w:rsidR="007108C7" w:rsidRPr="003F0C3A">
        <w:rPr>
          <w:lang w:val="fr-CA"/>
        </w:rPr>
        <w:t>common</w:t>
      </w:r>
      <w:proofErr w:type="spellEnd"/>
      <w:r w:rsidR="007108C7" w:rsidRPr="003F0C3A">
        <w:rPr>
          <w:lang w:val="fr-CA"/>
        </w:rPr>
        <w:t xml:space="preserve"> </w:t>
      </w:r>
      <w:proofErr w:type="spellStart"/>
      <w:r w:rsidR="007108C7" w:rsidRPr="003F0C3A">
        <w:rPr>
          <w:lang w:val="fr-CA"/>
        </w:rPr>
        <w:t>law</w:t>
      </w:r>
      <w:proofErr w:type="spellEnd"/>
      <w:r w:rsidR="007108C7" w:rsidRPr="003F0C3A">
        <w:rPr>
          <w:lang w:val="fr-CA"/>
        </w:rPr>
        <w:t xml:space="preserve"> permettant l’octroi d’un crédit</w:t>
      </w:r>
      <w:r w:rsidR="003E02D2" w:rsidRPr="003F0C3A">
        <w:rPr>
          <w:lang w:val="fr-CA"/>
        </w:rPr>
        <w:t xml:space="preserve">. </w:t>
      </w:r>
      <w:r w:rsidR="007108C7" w:rsidRPr="003F0C3A">
        <w:rPr>
          <w:lang w:val="fr-CA" w:bidi="en-US"/>
        </w:rPr>
        <w:t xml:space="preserve">En l’absence d’une intention contraire exprimée clairement par le législateur, une loi ne devrait pas être interprétée de façon à modifier substantiellement le droit, y compris la </w:t>
      </w:r>
      <w:proofErr w:type="spellStart"/>
      <w:r w:rsidR="007108C7" w:rsidRPr="003F0C3A">
        <w:rPr>
          <w:lang w:val="fr-CA" w:bidi="en-US"/>
        </w:rPr>
        <w:t>common</w:t>
      </w:r>
      <w:proofErr w:type="spellEnd"/>
      <w:r w:rsidR="007108C7" w:rsidRPr="003F0C3A">
        <w:rPr>
          <w:lang w:val="fr-CA" w:bidi="en-US"/>
        </w:rPr>
        <w:t xml:space="preserve"> </w:t>
      </w:r>
      <w:proofErr w:type="spellStart"/>
      <w:r w:rsidR="007108C7" w:rsidRPr="003F0C3A">
        <w:rPr>
          <w:lang w:val="fr-CA" w:bidi="en-US"/>
        </w:rPr>
        <w:t>law</w:t>
      </w:r>
      <w:proofErr w:type="spellEnd"/>
      <w:r w:rsidR="007108C7" w:rsidRPr="003F0C3A">
        <w:rPr>
          <w:lang w:val="fr-CA" w:bidi="en-US"/>
        </w:rPr>
        <w:t>.</w:t>
      </w:r>
      <w:r w:rsidRPr="003F0C3A">
        <w:rPr>
          <w:lang w:val="fr-CA" w:bidi="en-US"/>
        </w:rPr>
        <w:t xml:space="preserve"> </w:t>
      </w:r>
      <w:r w:rsidR="003F60E2">
        <w:rPr>
          <w:lang w:val="fr-CA" w:bidi="en-US"/>
        </w:rPr>
        <w:t>Le paragraphe </w:t>
      </w:r>
      <w:r w:rsidR="007108C7" w:rsidRPr="003F0C3A">
        <w:rPr>
          <w:lang w:val="fr-CA" w:bidi="en-US"/>
        </w:rPr>
        <w:t xml:space="preserve">719(3) a été édicté dans le contexte spécifique de la détention </w:t>
      </w:r>
      <w:proofErr w:type="spellStart"/>
      <w:r w:rsidR="007108C7" w:rsidRPr="003F0C3A">
        <w:rPr>
          <w:lang w:val="fr-CA" w:bidi="en-US"/>
        </w:rPr>
        <w:t>présentencielle</w:t>
      </w:r>
      <w:proofErr w:type="spellEnd"/>
      <w:r w:rsidR="007108C7" w:rsidRPr="003F0C3A">
        <w:rPr>
          <w:lang w:val="fr-CA" w:bidi="en-US"/>
        </w:rPr>
        <w:t xml:space="preserve">, </w:t>
      </w:r>
      <w:r w:rsidR="003E02D2" w:rsidRPr="003F0C3A">
        <w:rPr>
          <w:lang w:val="fr-CA" w:bidi="en-US"/>
        </w:rPr>
        <w:t>et</w:t>
      </w:r>
      <w:r w:rsidR="007108C7" w:rsidRPr="003F0C3A">
        <w:rPr>
          <w:lang w:val="fr-CA" w:bidi="en-US"/>
        </w:rPr>
        <w:t xml:space="preserve"> les débats parlementaires </w:t>
      </w:r>
      <w:r w:rsidR="00905101">
        <w:rPr>
          <w:lang w:val="fr-CA" w:bidi="en-US"/>
        </w:rPr>
        <w:t>tendent à indiquer</w:t>
      </w:r>
      <w:r w:rsidR="007108C7" w:rsidRPr="003F0C3A">
        <w:rPr>
          <w:lang w:val="fr-CA" w:bidi="en-US"/>
        </w:rPr>
        <w:t xml:space="preserve"> que l’intention du Parlement était de s’assurer que l’octroi d’un crédit demeurait possible dans le cas d’une peine minimale obligatoire de détention. </w:t>
      </w:r>
      <w:r w:rsidR="007108C7" w:rsidRPr="00023C71">
        <w:rPr>
          <w:lang w:val="fr-CA" w:bidi="en-US"/>
        </w:rPr>
        <w:t xml:space="preserve">Rien n’indique que le Parlement se soit penché sur la possibilité d’accorder un crédit pour les interdictions </w:t>
      </w:r>
      <w:proofErr w:type="spellStart"/>
      <w:r w:rsidR="007108C7" w:rsidRPr="00023C71">
        <w:rPr>
          <w:lang w:val="fr-CA" w:bidi="en-US"/>
        </w:rPr>
        <w:t>présentencielles</w:t>
      </w:r>
      <w:proofErr w:type="spellEnd"/>
      <w:r w:rsidR="007108C7" w:rsidRPr="00023C71">
        <w:rPr>
          <w:lang w:val="fr-CA" w:bidi="en-US"/>
        </w:rPr>
        <w:t xml:space="preserve"> de conduire. De même, les débats parlementaires n’offrent aucune indication étayant la </w:t>
      </w:r>
      <w:r w:rsidR="007108C7" w:rsidRPr="00023C71">
        <w:rPr>
          <w:lang w:val="fr-CA" w:bidi="en-US"/>
        </w:rPr>
        <w:lastRenderedPageBreak/>
        <w:t xml:space="preserve">thèse suivant laquelle le législateur aurait cherché à écarter, que ce soit explicitement ou par implication nécessaire, la règle de </w:t>
      </w:r>
      <w:proofErr w:type="spellStart"/>
      <w:r w:rsidR="007108C7" w:rsidRPr="00023C71">
        <w:rPr>
          <w:lang w:val="fr-CA" w:bidi="en-US"/>
        </w:rPr>
        <w:t>common</w:t>
      </w:r>
      <w:proofErr w:type="spellEnd"/>
      <w:r w:rsidR="007108C7" w:rsidRPr="00023C71">
        <w:rPr>
          <w:lang w:val="fr-CA" w:bidi="en-US"/>
        </w:rPr>
        <w:t xml:space="preserve"> </w:t>
      </w:r>
      <w:proofErr w:type="spellStart"/>
      <w:r w:rsidR="007108C7" w:rsidRPr="00023C71">
        <w:rPr>
          <w:lang w:val="fr-CA" w:bidi="en-US"/>
        </w:rPr>
        <w:t>law</w:t>
      </w:r>
      <w:proofErr w:type="spellEnd"/>
      <w:r w:rsidR="007108C7" w:rsidRPr="00023C71">
        <w:rPr>
          <w:lang w:val="fr-CA" w:bidi="en-US"/>
        </w:rPr>
        <w:t xml:space="preserve"> applicable à l’égard de ces interdictions. </w:t>
      </w:r>
      <w:r w:rsidR="007108C7" w:rsidRPr="003F0C3A">
        <w:rPr>
          <w:lang w:val="fr-CA" w:bidi="en-US"/>
        </w:rPr>
        <w:t>Il ne s’agit pas d’un cas de figure où le Parlement aurait fait clairement état de son intention d’écarter ou de li</w:t>
      </w:r>
      <w:r w:rsidRPr="003F0C3A">
        <w:rPr>
          <w:lang w:val="fr-CA" w:bidi="en-US"/>
        </w:rPr>
        <w:t xml:space="preserve">miter la </w:t>
      </w:r>
      <w:proofErr w:type="spellStart"/>
      <w:r w:rsidRPr="003F0C3A">
        <w:rPr>
          <w:lang w:val="fr-CA" w:bidi="en-US"/>
        </w:rPr>
        <w:t>common</w:t>
      </w:r>
      <w:proofErr w:type="spellEnd"/>
      <w:r w:rsidRPr="003F0C3A">
        <w:rPr>
          <w:lang w:val="fr-CA" w:bidi="en-US"/>
        </w:rPr>
        <w:t xml:space="preserve"> </w:t>
      </w:r>
      <w:proofErr w:type="spellStart"/>
      <w:r w:rsidRPr="003F0C3A">
        <w:rPr>
          <w:lang w:val="fr-CA" w:bidi="en-US"/>
        </w:rPr>
        <w:t>law</w:t>
      </w:r>
      <w:proofErr w:type="spellEnd"/>
      <w:r w:rsidRPr="003F0C3A">
        <w:rPr>
          <w:lang w:val="fr-CA" w:bidi="en-US"/>
        </w:rPr>
        <w:t xml:space="preserve"> applicable.</w:t>
      </w:r>
    </w:p>
    <w:p w14:paraId="52110C53" w14:textId="638D56B7" w:rsidR="007108C7" w:rsidRPr="00023C71" w:rsidRDefault="003F0C3A" w:rsidP="003F0C3A">
      <w:pPr>
        <w:pStyle w:val="SCCNormalDoubleSpacing"/>
        <w:spacing w:after="480"/>
        <w:rPr>
          <w:lang w:val="fr-CA"/>
        </w:rPr>
      </w:pPr>
      <w:r w:rsidRPr="00023C71">
        <w:rPr>
          <w:lang w:val="fr-CA"/>
        </w:rPr>
        <w:tab/>
      </w:r>
      <w:r w:rsidR="007108C7" w:rsidRPr="003F0C3A">
        <w:rPr>
          <w:lang w:val="fr-CA"/>
        </w:rPr>
        <w:t xml:space="preserve">Relativement à </w:t>
      </w:r>
      <w:r w:rsidR="003E02D2" w:rsidRPr="003F0C3A">
        <w:rPr>
          <w:lang w:val="fr-CA"/>
        </w:rPr>
        <w:t xml:space="preserve">la deuxième étape de l’analyse, </w:t>
      </w:r>
      <w:r w:rsidR="007108C7" w:rsidRPr="003F0C3A">
        <w:rPr>
          <w:lang w:val="fr-CA"/>
        </w:rPr>
        <w:t xml:space="preserve">l’al. 259(1)a) ne limite pas la portée de la règle de </w:t>
      </w:r>
      <w:proofErr w:type="spellStart"/>
      <w:r w:rsidR="007108C7" w:rsidRPr="003F0C3A">
        <w:rPr>
          <w:lang w:val="fr-CA"/>
        </w:rPr>
        <w:t>common</w:t>
      </w:r>
      <w:proofErr w:type="spellEnd"/>
      <w:r w:rsidR="007108C7" w:rsidRPr="003F0C3A">
        <w:rPr>
          <w:lang w:val="fr-CA"/>
        </w:rPr>
        <w:t xml:space="preserve"> </w:t>
      </w:r>
      <w:proofErr w:type="spellStart"/>
      <w:r w:rsidR="007108C7" w:rsidRPr="003F0C3A">
        <w:rPr>
          <w:lang w:val="fr-CA"/>
        </w:rPr>
        <w:t>law</w:t>
      </w:r>
      <w:proofErr w:type="spellEnd"/>
      <w:r w:rsidR="007108C7" w:rsidRPr="003F0C3A">
        <w:rPr>
          <w:lang w:val="fr-CA"/>
        </w:rPr>
        <w:t xml:space="preserve"> permettant l’octroi d’un crédit pour une interdiction </w:t>
      </w:r>
      <w:proofErr w:type="spellStart"/>
      <w:r w:rsidR="007108C7" w:rsidRPr="003F0C3A">
        <w:rPr>
          <w:lang w:val="fr-CA"/>
        </w:rPr>
        <w:t>présentencielle</w:t>
      </w:r>
      <w:proofErr w:type="spellEnd"/>
      <w:r w:rsidR="007108C7" w:rsidRPr="003F0C3A">
        <w:rPr>
          <w:lang w:val="fr-CA"/>
        </w:rPr>
        <w:t xml:space="preserve"> de conduire. </w:t>
      </w:r>
      <w:r w:rsidR="007108C7" w:rsidRPr="00023C71">
        <w:rPr>
          <w:lang w:val="fr-CA"/>
        </w:rPr>
        <w:t xml:space="preserve">L’octroi discrétionnaire d’un crédit fondé sur la </w:t>
      </w:r>
      <w:proofErr w:type="spellStart"/>
      <w:r w:rsidR="007108C7" w:rsidRPr="00023C71">
        <w:rPr>
          <w:lang w:val="fr-CA"/>
        </w:rPr>
        <w:t>common</w:t>
      </w:r>
      <w:proofErr w:type="spellEnd"/>
      <w:r w:rsidR="007108C7" w:rsidRPr="00023C71">
        <w:rPr>
          <w:lang w:val="fr-CA"/>
        </w:rPr>
        <w:t xml:space="preserve"> </w:t>
      </w:r>
      <w:proofErr w:type="spellStart"/>
      <w:r w:rsidR="007108C7" w:rsidRPr="00023C71">
        <w:rPr>
          <w:lang w:val="fr-CA"/>
        </w:rPr>
        <w:t>law</w:t>
      </w:r>
      <w:proofErr w:type="spellEnd"/>
      <w:r w:rsidR="007108C7" w:rsidRPr="00023C71">
        <w:rPr>
          <w:lang w:val="fr-CA"/>
        </w:rPr>
        <w:t xml:space="preserve"> peut coexister harmonieusement avec le respect par les juges de la peine minimale obligat</w:t>
      </w:r>
      <w:r w:rsidR="003E02D2" w:rsidRPr="00023C71">
        <w:rPr>
          <w:lang w:val="fr-CA"/>
        </w:rPr>
        <w:t xml:space="preserve">oire édictée par la loi. </w:t>
      </w:r>
      <w:r w:rsidR="007108C7" w:rsidRPr="00023C71">
        <w:rPr>
          <w:lang w:val="fr-CA"/>
        </w:rPr>
        <w:t xml:space="preserve">Cette coexistence repose sur la distinction connue entre les concepts de « peine » au sens de punition </w:t>
      </w:r>
      <w:r w:rsidR="00CC1B98">
        <w:rPr>
          <w:lang w:val="fr-CA"/>
        </w:rPr>
        <w:t xml:space="preserve">ou de privation </w:t>
      </w:r>
      <w:r w:rsidR="007108C7" w:rsidRPr="00023C71">
        <w:rPr>
          <w:lang w:val="fr-CA"/>
        </w:rPr>
        <w:t>(en anglais « </w:t>
      </w:r>
      <w:proofErr w:type="spellStart"/>
      <w:r w:rsidR="007108C7" w:rsidRPr="00023C71">
        <w:rPr>
          <w:i/>
          <w:lang w:val="fr-CA"/>
        </w:rPr>
        <w:t>punishment</w:t>
      </w:r>
      <w:proofErr w:type="spellEnd"/>
      <w:r w:rsidR="007108C7" w:rsidRPr="00023C71">
        <w:rPr>
          <w:lang w:val="fr-CA"/>
        </w:rPr>
        <w:t> »), et de « peine » au sens de décision de justice ou de sentence (en anglais « </w:t>
      </w:r>
      <w:r w:rsidR="007108C7" w:rsidRPr="00023C71">
        <w:rPr>
          <w:i/>
          <w:lang w:val="fr-CA"/>
        </w:rPr>
        <w:t>sentence </w:t>
      </w:r>
      <w:r w:rsidR="007108C7" w:rsidRPr="00023C71">
        <w:rPr>
          <w:lang w:val="fr-CA"/>
        </w:rPr>
        <w:t xml:space="preserve">»). Alors que le terme </w:t>
      </w:r>
      <w:r w:rsidR="00523521">
        <w:rPr>
          <w:lang w:val="fr-CA"/>
        </w:rPr>
        <w:t>« </w:t>
      </w:r>
      <w:r w:rsidR="007108C7" w:rsidRPr="00023C71">
        <w:rPr>
          <w:lang w:val="fr-CA"/>
        </w:rPr>
        <w:t>peine</w:t>
      </w:r>
      <w:r w:rsidR="00523521">
        <w:rPr>
          <w:lang w:val="fr-CA"/>
        </w:rPr>
        <w:t> »</w:t>
      </w:r>
      <w:r w:rsidR="007108C7" w:rsidRPr="00023C71">
        <w:rPr>
          <w:lang w:val="fr-CA"/>
        </w:rPr>
        <w:t>, employé au sens de punition, renvoie à la punition totale subie par le contrevenant, le même mot, employé au sens de sentence, réfère à la décision de justice rendue par le tribunal, laquelle est toujours prospective, afin d’empêcher la pratique judiciaire d’antidater les sentences.</w:t>
      </w:r>
    </w:p>
    <w:p w14:paraId="7312A564" w14:textId="2360A3C0" w:rsidR="007108C7" w:rsidRPr="003F0C3A" w:rsidRDefault="003F0C3A" w:rsidP="003F0C3A">
      <w:pPr>
        <w:pStyle w:val="SCCNormalDoubleSpacing"/>
        <w:spacing w:after="480"/>
        <w:rPr>
          <w:lang w:val="fr-CA"/>
        </w:rPr>
      </w:pPr>
      <w:r w:rsidRPr="00023C71">
        <w:rPr>
          <w:lang w:val="fr-CA"/>
        </w:rPr>
        <w:tab/>
      </w:r>
      <w:r w:rsidR="007108C7" w:rsidRPr="003F0C3A">
        <w:rPr>
          <w:lang w:val="fr-CA"/>
        </w:rPr>
        <w:t>Conformément à la méthode moderne d’int</w:t>
      </w:r>
      <w:r>
        <w:rPr>
          <w:lang w:val="fr-CA"/>
        </w:rPr>
        <w:t>erprétation</w:t>
      </w:r>
      <w:r w:rsidR="00523521">
        <w:rPr>
          <w:lang w:val="fr-CA"/>
        </w:rPr>
        <w:t xml:space="preserve"> des lois</w:t>
      </w:r>
      <w:r>
        <w:rPr>
          <w:lang w:val="fr-CA"/>
        </w:rPr>
        <w:t>, la portée de l’al. </w:t>
      </w:r>
      <w:r w:rsidR="007108C7" w:rsidRPr="003F0C3A">
        <w:rPr>
          <w:lang w:val="fr-CA"/>
        </w:rPr>
        <w:t xml:space="preserve">259(1)a) </w:t>
      </w:r>
      <w:r w:rsidR="007108C7" w:rsidRPr="003F0C3A">
        <w:rPr>
          <w:i/>
          <w:lang w:val="fr-CA"/>
        </w:rPr>
        <w:t>C. </w:t>
      </w:r>
      <w:proofErr w:type="spellStart"/>
      <w:r w:rsidR="007108C7" w:rsidRPr="003F0C3A">
        <w:rPr>
          <w:i/>
          <w:lang w:val="fr-CA"/>
        </w:rPr>
        <w:t>cr</w:t>
      </w:r>
      <w:proofErr w:type="spellEnd"/>
      <w:r w:rsidR="007108C7" w:rsidRPr="003F0C3A">
        <w:rPr>
          <w:i/>
          <w:lang w:val="fr-CA"/>
        </w:rPr>
        <w:t>.</w:t>
      </w:r>
      <w:r w:rsidR="007108C7" w:rsidRPr="003F0C3A">
        <w:rPr>
          <w:lang w:val="fr-CA"/>
        </w:rPr>
        <w:t xml:space="preserve"> </w:t>
      </w:r>
      <w:proofErr w:type="gramStart"/>
      <w:r w:rsidR="007108C7" w:rsidRPr="003F0C3A">
        <w:rPr>
          <w:lang w:val="fr-CA"/>
        </w:rPr>
        <w:t>doit</w:t>
      </w:r>
      <w:proofErr w:type="gramEnd"/>
      <w:r w:rsidR="007108C7" w:rsidRPr="003F0C3A">
        <w:rPr>
          <w:lang w:val="fr-CA"/>
        </w:rPr>
        <w:t xml:space="preserve"> être cernée en examinant son tex</w:t>
      </w:r>
      <w:r w:rsidR="003E02D2" w:rsidRPr="003F0C3A">
        <w:rPr>
          <w:lang w:val="fr-CA"/>
        </w:rPr>
        <w:t xml:space="preserve">te, son contexte et son objet. </w:t>
      </w:r>
      <w:r w:rsidR="007108C7" w:rsidRPr="003F0C3A">
        <w:rPr>
          <w:lang w:val="fr-CA"/>
        </w:rPr>
        <w:t xml:space="preserve">Correctement interprété, </w:t>
      </w:r>
      <w:r w:rsidRPr="003F0C3A">
        <w:rPr>
          <w:lang w:val="fr-CA"/>
        </w:rPr>
        <w:t>l’al. </w:t>
      </w:r>
      <w:r w:rsidR="007108C7" w:rsidRPr="003F0C3A">
        <w:rPr>
          <w:lang w:val="fr-CA"/>
        </w:rPr>
        <w:t xml:space="preserve">259(1)a) prévoit une punition minimale, et non une sentence minimale. </w:t>
      </w:r>
      <w:r w:rsidR="00CC1B98">
        <w:rPr>
          <w:lang w:val="fr-CA"/>
        </w:rPr>
        <w:t xml:space="preserve">L’interprétation selon laquelle </w:t>
      </w:r>
      <w:r w:rsidRPr="003F0C3A">
        <w:rPr>
          <w:lang w:val="fr-CA"/>
        </w:rPr>
        <w:t>l’al. </w:t>
      </w:r>
      <w:r w:rsidR="007108C7" w:rsidRPr="003F0C3A">
        <w:rPr>
          <w:lang w:val="fr-CA"/>
        </w:rPr>
        <w:t xml:space="preserve">259(1)a) </w:t>
      </w:r>
      <w:r>
        <w:rPr>
          <w:i/>
          <w:lang w:val="fr-CA"/>
        </w:rPr>
        <w:t>C. </w:t>
      </w:r>
      <w:proofErr w:type="spellStart"/>
      <w:r w:rsidR="007108C7" w:rsidRPr="003F0C3A">
        <w:rPr>
          <w:i/>
          <w:lang w:val="fr-CA"/>
        </w:rPr>
        <w:t>cr</w:t>
      </w:r>
      <w:proofErr w:type="spellEnd"/>
      <w:r w:rsidR="007108C7" w:rsidRPr="003F0C3A">
        <w:rPr>
          <w:i/>
          <w:lang w:val="fr-CA"/>
        </w:rPr>
        <w:t>.</w:t>
      </w:r>
      <w:r w:rsidR="00C13408">
        <w:rPr>
          <w:lang w:val="fr-CA"/>
        </w:rPr>
        <w:t xml:space="preserve"> </w:t>
      </w:r>
      <w:proofErr w:type="gramStart"/>
      <w:r w:rsidR="00C13408">
        <w:rPr>
          <w:lang w:val="fr-CA"/>
        </w:rPr>
        <w:t>p</w:t>
      </w:r>
      <w:r w:rsidR="00CC1B98">
        <w:rPr>
          <w:lang w:val="fr-CA"/>
        </w:rPr>
        <w:t>révoit</w:t>
      </w:r>
      <w:proofErr w:type="gramEnd"/>
      <w:r w:rsidR="00CC1B98">
        <w:rPr>
          <w:lang w:val="fr-CA"/>
        </w:rPr>
        <w:t xml:space="preserve"> </w:t>
      </w:r>
      <w:r w:rsidR="007108C7" w:rsidRPr="003F0C3A">
        <w:rPr>
          <w:lang w:val="fr-CA"/>
        </w:rPr>
        <w:t>l’infliction d’une peine d’un an au sens d’une punition globale satisfait parfaitement aux objectifs de dis</w:t>
      </w:r>
      <w:r>
        <w:rPr>
          <w:lang w:val="fr-CA"/>
        </w:rPr>
        <w:t>suasion et de punition qui sous</w:t>
      </w:r>
      <w:r>
        <w:rPr>
          <w:lang w:val="fr-CA"/>
        </w:rPr>
        <w:noBreakHyphen/>
      </w:r>
      <w:r w:rsidR="007108C7" w:rsidRPr="003F0C3A">
        <w:rPr>
          <w:lang w:val="fr-CA"/>
        </w:rPr>
        <w:t xml:space="preserve">tendent </w:t>
      </w:r>
      <w:r w:rsidR="003E02D2" w:rsidRPr="003F0C3A">
        <w:rPr>
          <w:lang w:val="fr-CA"/>
        </w:rPr>
        <w:t>la</w:t>
      </w:r>
      <w:r w:rsidR="007108C7" w:rsidRPr="003F0C3A">
        <w:rPr>
          <w:lang w:val="fr-CA"/>
        </w:rPr>
        <w:t xml:space="preserve"> disposition. </w:t>
      </w:r>
      <w:r w:rsidR="007108C7" w:rsidRPr="00023C71">
        <w:rPr>
          <w:lang w:val="fr-CA"/>
        </w:rPr>
        <w:t xml:space="preserve">L’intention </w:t>
      </w:r>
      <w:r w:rsidR="007108C7" w:rsidRPr="00023C71">
        <w:rPr>
          <w:lang w:val="fr-CA"/>
        </w:rPr>
        <w:lastRenderedPageBreak/>
        <w:t xml:space="preserve">du Parlement est respectée, que la punition soit purgée avant ou après le prononcé de la sentence, puisque dans un cas comme dans l’autre l’effet sur le contrevenant est identique. </w:t>
      </w:r>
      <w:r w:rsidR="003E02D2" w:rsidRPr="00023C71">
        <w:rPr>
          <w:lang w:val="fr-CA"/>
        </w:rPr>
        <w:t>Bien que</w:t>
      </w:r>
      <w:r w:rsidR="007108C7" w:rsidRPr="00023C71">
        <w:rPr>
          <w:lang w:val="fr-CA"/>
        </w:rPr>
        <w:t xml:space="preserve"> silencieuse quant au crédit, </w:t>
      </w:r>
      <w:r w:rsidR="003E02D2" w:rsidRPr="00023C71">
        <w:rPr>
          <w:lang w:val="fr-CA"/>
        </w:rPr>
        <w:t>la disposition</w:t>
      </w:r>
      <w:r w:rsidR="007108C7" w:rsidRPr="00023C71">
        <w:rPr>
          <w:lang w:val="fr-CA"/>
        </w:rPr>
        <w:t xml:space="preserve"> ne souffre d’aucune ambiguïté : elle n’admet qu’une seule interprétation, soi</w:t>
      </w:r>
      <w:r w:rsidR="003E02D2" w:rsidRPr="00023C71">
        <w:rPr>
          <w:lang w:val="fr-CA"/>
        </w:rPr>
        <w:t>t</w:t>
      </w:r>
      <w:r w:rsidR="007108C7" w:rsidRPr="00023C71">
        <w:rPr>
          <w:lang w:val="fr-CA"/>
        </w:rPr>
        <w:t xml:space="preserve"> l’infliction d’une peine minimale obligatoire au sens de punition</w:t>
      </w:r>
      <w:r w:rsidR="003E02D2" w:rsidRPr="00023C71">
        <w:rPr>
          <w:lang w:val="fr-CA"/>
        </w:rPr>
        <w:t xml:space="preserve">. </w:t>
      </w:r>
      <w:r w:rsidRPr="003F0C3A">
        <w:rPr>
          <w:lang w:val="fr-CA"/>
        </w:rPr>
        <w:t>Si l’al. </w:t>
      </w:r>
      <w:r w:rsidR="007108C7" w:rsidRPr="003F0C3A">
        <w:rPr>
          <w:lang w:val="fr-CA"/>
        </w:rPr>
        <w:t xml:space="preserve">259(1)a) </w:t>
      </w:r>
      <w:r>
        <w:rPr>
          <w:i/>
          <w:lang w:val="fr-CA"/>
        </w:rPr>
        <w:t>C. </w:t>
      </w:r>
      <w:proofErr w:type="spellStart"/>
      <w:r w:rsidR="007108C7" w:rsidRPr="003F0C3A">
        <w:rPr>
          <w:i/>
          <w:lang w:val="fr-CA"/>
        </w:rPr>
        <w:t>cr</w:t>
      </w:r>
      <w:proofErr w:type="spellEnd"/>
      <w:r w:rsidR="007108C7" w:rsidRPr="003F0C3A">
        <w:rPr>
          <w:i/>
          <w:lang w:val="fr-CA"/>
        </w:rPr>
        <w:t>.</w:t>
      </w:r>
      <w:r w:rsidR="007108C7" w:rsidRPr="003F0C3A">
        <w:rPr>
          <w:lang w:val="fr-CA"/>
        </w:rPr>
        <w:t xml:space="preserve"> </w:t>
      </w:r>
      <w:proofErr w:type="gramStart"/>
      <w:r w:rsidR="007108C7" w:rsidRPr="003F0C3A">
        <w:rPr>
          <w:lang w:val="fr-CA"/>
        </w:rPr>
        <w:t>exigeait</w:t>
      </w:r>
      <w:proofErr w:type="gramEnd"/>
      <w:r w:rsidR="007108C7" w:rsidRPr="003F0C3A">
        <w:rPr>
          <w:lang w:val="fr-CA"/>
        </w:rPr>
        <w:t xml:space="preserve"> le prononcé d’une sentence minimale, l’écart approprié entre les peines infligées aux contrevenants les plus dangereux et les moins dangereux risquerait indû</w:t>
      </w:r>
      <w:r w:rsidR="003E02D2" w:rsidRPr="003F0C3A">
        <w:rPr>
          <w:lang w:val="fr-CA"/>
        </w:rPr>
        <w:t>ment de s’effriter, et</w:t>
      </w:r>
      <w:r w:rsidR="007108C7" w:rsidRPr="003F0C3A">
        <w:rPr>
          <w:lang w:val="fr-CA"/>
        </w:rPr>
        <w:t xml:space="preserve"> la gradation méticuleuse des interdictions mini</w:t>
      </w:r>
      <w:r w:rsidR="003E02D2" w:rsidRPr="003F0C3A">
        <w:rPr>
          <w:lang w:val="fr-CA"/>
        </w:rPr>
        <w:t xml:space="preserve">males établie par le Parlement </w:t>
      </w:r>
      <w:r w:rsidR="007108C7" w:rsidRPr="003F0C3A">
        <w:rPr>
          <w:lang w:val="fr-CA"/>
        </w:rPr>
        <w:t>a</w:t>
      </w:r>
      <w:r>
        <w:rPr>
          <w:lang w:val="fr-CA"/>
        </w:rPr>
        <w:t xml:space="preserve">u </w:t>
      </w:r>
      <w:proofErr w:type="spellStart"/>
      <w:r>
        <w:rPr>
          <w:lang w:val="fr-CA"/>
        </w:rPr>
        <w:t>par</w:t>
      </w:r>
      <w:proofErr w:type="spellEnd"/>
      <w:r>
        <w:rPr>
          <w:lang w:val="fr-CA"/>
        </w:rPr>
        <w:t>. </w:t>
      </w:r>
      <w:r w:rsidR="003E02D2" w:rsidRPr="003F0C3A">
        <w:rPr>
          <w:lang w:val="fr-CA"/>
        </w:rPr>
        <w:t>259(1) serait minée</w:t>
      </w:r>
      <w:r w:rsidR="007108C7" w:rsidRPr="003F0C3A">
        <w:rPr>
          <w:lang w:val="fr-CA"/>
        </w:rPr>
        <w:t xml:space="preserve">. </w:t>
      </w:r>
      <w:r w:rsidR="007108C7" w:rsidRPr="00023C71">
        <w:rPr>
          <w:lang w:val="fr-CA"/>
        </w:rPr>
        <w:t xml:space="preserve">En l’absence d’une intention claire à cet effet, </w:t>
      </w:r>
      <w:r w:rsidR="003E02D2" w:rsidRPr="00023C71">
        <w:rPr>
          <w:lang w:val="fr-CA"/>
        </w:rPr>
        <w:t>il faut présumer que</w:t>
      </w:r>
      <w:r w:rsidR="007108C7" w:rsidRPr="00023C71">
        <w:rPr>
          <w:lang w:val="fr-CA"/>
        </w:rPr>
        <w:t xml:space="preserve"> le Parlement n’avait pas l’intention de produire de tels résultats absurdes. </w:t>
      </w:r>
      <w:r w:rsidR="007108C7" w:rsidRPr="003F0C3A">
        <w:rPr>
          <w:lang w:val="fr-CA"/>
        </w:rPr>
        <w:t>Cette interprétation de</w:t>
      </w:r>
      <w:r w:rsidRPr="003F0C3A">
        <w:rPr>
          <w:lang w:val="fr-CA"/>
        </w:rPr>
        <w:t xml:space="preserve"> l’al. </w:t>
      </w:r>
      <w:r w:rsidR="007108C7" w:rsidRPr="003F0C3A">
        <w:rPr>
          <w:lang w:val="fr-CA"/>
        </w:rPr>
        <w:t xml:space="preserve">259(1)a) </w:t>
      </w:r>
      <w:r>
        <w:rPr>
          <w:i/>
          <w:lang w:val="fr-CA"/>
        </w:rPr>
        <w:t>C. </w:t>
      </w:r>
      <w:proofErr w:type="spellStart"/>
      <w:r w:rsidR="007108C7" w:rsidRPr="003F0C3A">
        <w:rPr>
          <w:i/>
          <w:lang w:val="fr-CA"/>
        </w:rPr>
        <w:t>cr</w:t>
      </w:r>
      <w:proofErr w:type="spellEnd"/>
      <w:r w:rsidR="007108C7" w:rsidRPr="003F0C3A">
        <w:rPr>
          <w:i/>
          <w:lang w:val="fr-CA"/>
        </w:rPr>
        <w:t>.</w:t>
      </w:r>
      <w:r w:rsidR="003E02D2" w:rsidRPr="003F0C3A">
        <w:rPr>
          <w:lang w:val="fr-CA"/>
        </w:rPr>
        <w:t>, en plus de laisser</w:t>
      </w:r>
      <w:r w:rsidR="007108C7" w:rsidRPr="003F0C3A">
        <w:rPr>
          <w:lang w:val="fr-CA"/>
        </w:rPr>
        <w:t xml:space="preserve"> place à l’exercice du pouvoir discrétionnaire du tribunal d’octroyer un crédit, est compatible avec les principes généraux d</w:t>
      </w:r>
      <w:r w:rsidR="003E02D2" w:rsidRPr="003F0C3A">
        <w:rPr>
          <w:lang w:val="fr-CA"/>
        </w:rPr>
        <w:t xml:space="preserve">e la détermination de la peine </w:t>
      </w:r>
      <w:r w:rsidR="007108C7" w:rsidRPr="003F0C3A">
        <w:rPr>
          <w:lang w:val="fr-CA"/>
        </w:rPr>
        <w:t>et ne porte pas atteinte à l’intégrité du</w:t>
      </w:r>
      <w:r>
        <w:rPr>
          <w:lang w:val="fr-CA"/>
        </w:rPr>
        <w:t xml:space="preserve"> système de justice criminelle.</w:t>
      </w:r>
    </w:p>
    <w:p w14:paraId="6C12DD3E" w14:textId="78D5AFF7" w:rsidR="004D7D95" w:rsidRPr="00023C71" w:rsidRDefault="00C22A11" w:rsidP="00C22A11">
      <w:pPr>
        <w:pStyle w:val="SCCNormalDoubleSpacing"/>
        <w:spacing w:after="480"/>
        <w:rPr>
          <w:lang w:val="fr-CA"/>
        </w:rPr>
      </w:pPr>
      <w:r w:rsidRPr="00023C71">
        <w:rPr>
          <w:lang w:val="fr-CA"/>
        </w:rPr>
        <w:tab/>
      </w:r>
      <w:r w:rsidR="003E02D2" w:rsidRPr="00C22A11">
        <w:rPr>
          <w:lang w:val="fr-CA"/>
        </w:rPr>
        <w:t>En l’espèce</w:t>
      </w:r>
      <w:r w:rsidR="007108C7" w:rsidRPr="00C22A11">
        <w:rPr>
          <w:lang w:val="fr-CA"/>
        </w:rPr>
        <w:t>, l’imposition d’une punition additionnelle d’un an équivaudrait à une sorte de double punition, contrairement aux exigences les plus fondamentales de justice et d’équité. Au moment où le jugement de détermination de la peine a été rendu, la contrevenant</w:t>
      </w:r>
      <w:r w:rsidR="003E02D2" w:rsidRPr="00C22A11">
        <w:rPr>
          <w:lang w:val="fr-CA"/>
        </w:rPr>
        <w:t>e</w:t>
      </w:r>
      <w:r w:rsidR="007108C7" w:rsidRPr="00C22A11">
        <w:rPr>
          <w:lang w:val="fr-CA"/>
        </w:rPr>
        <w:t xml:space="preserve"> avait essentiellement comme</w:t>
      </w:r>
      <w:r w:rsidRPr="00C22A11">
        <w:rPr>
          <w:lang w:val="fr-CA"/>
        </w:rPr>
        <w:t xml:space="preserve">ncé à purger sa peine </w:t>
      </w:r>
      <w:r w:rsidR="003F60E2">
        <w:rPr>
          <w:lang w:val="fr-CA"/>
        </w:rPr>
        <w:t>depuis 21 </w:t>
      </w:r>
      <w:r w:rsidR="007108C7" w:rsidRPr="00C22A11">
        <w:rPr>
          <w:lang w:val="fr-CA"/>
        </w:rPr>
        <w:t xml:space="preserve">mois. </w:t>
      </w:r>
      <w:r w:rsidR="007108C7" w:rsidRPr="00023C71">
        <w:rPr>
          <w:lang w:val="fr-CA"/>
        </w:rPr>
        <w:t xml:space="preserve">Conscient de cette réalité, le juge chargé </w:t>
      </w:r>
      <w:r w:rsidR="003E02D2" w:rsidRPr="00023C71">
        <w:rPr>
          <w:lang w:val="fr-CA"/>
        </w:rPr>
        <w:t>de la détermination de la peine</w:t>
      </w:r>
      <w:r w:rsidR="007108C7" w:rsidRPr="00023C71">
        <w:rPr>
          <w:lang w:val="fr-CA"/>
        </w:rPr>
        <w:t xml:space="preserve"> a ordonné une interdiction de conduire d’un an, mais a considéré que </w:t>
      </w:r>
      <w:r w:rsidR="003E02D2" w:rsidRPr="00023C71">
        <w:rPr>
          <w:lang w:val="fr-CA"/>
        </w:rPr>
        <w:t>la contrevenante</w:t>
      </w:r>
      <w:r w:rsidR="007108C7" w:rsidRPr="00023C71">
        <w:rPr>
          <w:lang w:val="fr-CA"/>
        </w:rPr>
        <w:t xml:space="preserve"> avait déjà satisfait à cette condition. Cependant, il a antidaté la sentence de </w:t>
      </w:r>
      <w:r w:rsidR="003E02D2" w:rsidRPr="00023C71">
        <w:rPr>
          <w:lang w:val="fr-CA"/>
        </w:rPr>
        <w:t>la contrevenante</w:t>
      </w:r>
      <w:r w:rsidR="007108C7" w:rsidRPr="00023C71">
        <w:rPr>
          <w:lang w:val="fr-CA"/>
        </w:rPr>
        <w:t xml:space="preserve"> pour arriver à ce résultat, ce qui était une erreur. Il aurait pu, à bon droit, infliger la peine </w:t>
      </w:r>
      <w:r w:rsidR="007108C7" w:rsidRPr="00023C71">
        <w:rPr>
          <w:lang w:val="fr-CA"/>
        </w:rPr>
        <w:lastRenderedPageBreak/>
        <w:t xml:space="preserve">minimale obligatoire </w:t>
      </w:r>
      <w:proofErr w:type="gramStart"/>
      <w:r w:rsidR="007108C7" w:rsidRPr="00023C71">
        <w:rPr>
          <w:lang w:val="fr-CA"/>
        </w:rPr>
        <w:t>d’un an prescrite</w:t>
      </w:r>
      <w:proofErr w:type="gramEnd"/>
      <w:r w:rsidR="007108C7" w:rsidRPr="00023C71">
        <w:rPr>
          <w:lang w:val="fr-CA"/>
        </w:rPr>
        <w:t xml:space="preserve"> par l’al. 259(1)a) </w:t>
      </w:r>
      <w:r w:rsidR="007108C7" w:rsidRPr="00023C71">
        <w:rPr>
          <w:i/>
          <w:lang w:val="fr-CA"/>
        </w:rPr>
        <w:t>C. </w:t>
      </w:r>
      <w:proofErr w:type="spellStart"/>
      <w:r w:rsidR="007108C7" w:rsidRPr="00023C71">
        <w:rPr>
          <w:i/>
          <w:lang w:val="fr-CA"/>
        </w:rPr>
        <w:t>cr</w:t>
      </w:r>
      <w:proofErr w:type="spellEnd"/>
      <w:r w:rsidR="007108C7" w:rsidRPr="00023C71">
        <w:rPr>
          <w:i/>
          <w:lang w:val="fr-CA"/>
        </w:rPr>
        <w:t>.</w:t>
      </w:r>
      <w:r w:rsidR="007108C7" w:rsidRPr="00023C71">
        <w:rPr>
          <w:lang w:val="fr-CA"/>
        </w:rPr>
        <w:t xml:space="preserve">, préciser que la sentence commence au moment où elle est prononcée aux termes du par. 719(1) </w:t>
      </w:r>
      <w:r w:rsidR="007108C7" w:rsidRPr="00023C71">
        <w:rPr>
          <w:i/>
          <w:lang w:val="fr-CA"/>
        </w:rPr>
        <w:t>C. </w:t>
      </w:r>
      <w:proofErr w:type="spellStart"/>
      <w:r w:rsidR="007108C7" w:rsidRPr="00023C71">
        <w:rPr>
          <w:i/>
          <w:lang w:val="fr-CA"/>
        </w:rPr>
        <w:t>cr</w:t>
      </w:r>
      <w:proofErr w:type="spellEnd"/>
      <w:r w:rsidR="007108C7" w:rsidRPr="00023C71">
        <w:rPr>
          <w:i/>
          <w:lang w:val="fr-CA"/>
        </w:rPr>
        <w:t>.</w:t>
      </w:r>
      <w:r w:rsidR="007108C7" w:rsidRPr="00023C71">
        <w:rPr>
          <w:lang w:val="fr-CA"/>
        </w:rPr>
        <w:t xml:space="preserve"> </w:t>
      </w:r>
      <w:proofErr w:type="gramStart"/>
      <w:r w:rsidR="007108C7" w:rsidRPr="00023C71">
        <w:rPr>
          <w:lang w:val="fr-CA"/>
        </w:rPr>
        <w:t>et</w:t>
      </w:r>
      <w:proofErr w:type="gramEnd"/>
      <w:r w:rsidR="007108C7" w:rsidRPr="00023C71">
        <w:rPr>
          <w:lang w:val="fr-CA"/>
        </w:rPr>
        <w:t xml:space="preserve">, ensuite, octroyer un crédit pour la période </w:t>
      </w:r>
      <w:proofErr w:type="spellStart"/>
      <w:r w:rsidR="007108C7" w:rsidRPr="00023C71">
        <w:rPr>
          <w:lang w:val="fr-CA"/>
        </w:rPr>
        <w:t>présentencielle</w:t>
      </w:r>
      <w:proofErr w:type="spellEnd"/>
      <w:r w:rsidR="007108C7" w:rsidRPr="00023C71">
        <w:rPr>
          <w:lang w:val="fr-CA"/>
        </w:rPr>
        <w:t xml:space="preserve"> d’interdiction de conduire en application du pouvoir discrétionnaire que lui reconnaît la </w:t>
      </w:r>
      <w:proofErr w:type="spellStart"/>
      <w:r w:rsidR="007108C7" w:rsidRPr="00023C71">
        <w:rPr>
          <w:lang w:val="fr-CA"/>
        </w:rPr>
        <w:t>common</w:t>
      </w:r>
      <w:proofErr w:type="spellEnd"/>
      <w:r w:rsidR="007108C7" w:rsidRPr="00023C71">
        <w:rPr>
          <w:lang w:val="fr-CA"/>
        </w:rPr>
        <w:t xml:space="preserve"> </w:t>
      </w:r>
      <w:proofErr w:type="spellStart"/>
      <w:r w:rsidR="007108C7" w:rsidRPr="00023C71">
        <w:rPr>
          <w:lang w:val="fr-CA"/>
        </w:rPr>
        <w:t>law</w:t>
      </w:r>
      <w:proofErr w:type="spellEnd"/>
      <w:r w:rsidR="007108C7" w:rsidRPr="00023C71">
        <w:rPr>
          <w:lang w:val="fr-CA"/>
        </w:rPr>
        <w:t xml:space="preserve">, pouvoir qui n’est nullement écarté par le </w:t>
      </w:r>
      <w:r w:rsidR="007108C7" w:rsidRPr="00023C71">
        <w:rPr>
          <w:i/>
          <w:lang w:val="fr-CA"/>
        </w:rPr>
        <w:t>Code criminel</w:t>
      </w:r>
      <w:r w:rsidR="007108C7" w:rsidRPr="00023C71">
        <w:rPr>
          <w:lang w:val="fr-CA"/>
        </w:rPr>
        <w:t>.</w:t>
      </w:r>
    </w:p>
    <w:p w14:paraId="2ABE92D4" w14:textId="77777777" w:rsidR="004D7D95" w:rsidRPr="004D7D95" w:rsidRDefault="004D7D95" w:rsidP="00C22A11">
      <w:pPr>
        <w:pStyle w:val="SCCNormalDoubleSpacing"/>
        <w:widowControl w:val="0"/>
        <w:spacing w:after="720" w:line="240" w:lineRule="auto"/>
        <w:rPr>
          <w:b/>
          <w:lang w:val="fr-CA"/>
        </w:rPr>
      </w:pPr>
      <w:r w:rsidRPr="004D7D95">
        <w:rPr>
          <w:b/>
          <w:lang w:val="fr-CA"/>
        </w:rPr>
        <w:t>Jurisprudence</w:t>
      </w:r>
    </w:p>
    <w:p w14:paraId="321E76DF" w14:textId="5B8A01B5" w:rsidR="003B7E40" w:rsidRPr="00FE1919" w:rsidRDefault="004D7D95" w:rsidP="00C22A11">
      <w:pPr>
        <w:pStyle w:val="SCCNormalDoubleSpacing"/>
        <w:widowControl w:val="0"/>
        <w:spacing w:after="480"/>
        <w:rPr>
          <w:lang w:val="fr-CA"/>
        </w:rPr>
      </w:pPr>
      <w:r w:rsidRPr="004D7D95">
        <w:rPr>
          <w:lang w:val="fr-CA"/>
        </w:rPr>
        <w:tab/>
      </w:r>
      <w:r w:rsidR="00F008D5" w:rsidRPr="00F008D5">
        <w:rPr>
          <w:b/>
          <w:lang w:val="fr-CA"/>
        </w:rPr>
        <w:t xml:space="preserve">Arrêt appliqué : </w:t>
      </w:r>
      <w:r w:rsidR="00F008D5" w:rsidRPr="00D110C7">
        <w:rPr>
          <w:i/>
          <w:lang w:val="fr-FR"/>
        </w:rPr>
        <w:t>R. c. Lacasse</w:t>
      </w:r>
      <w:r w:rsidR="00F008D5" w:rsidRPr="00D110C7">
        <w:rPr>
          <w:lang w:val="fr-FR"/>
        </w:rPr>
        <w:t>, 2015 CSC 64, [2015] 3 R.C.S. 1089</w:t>
      </w:r>
      <w:r w:rsidR="00F008D5">
        <w:rPr>
          <w:lang w:val="fr-FR"/>
        </w:rPr>
        <w:t xml:space="preserve">; </w:t>
      </w:r>
      <w:r w:rsidR="00F008D5" w:rsidRPr="00F008D5">
        <w:rPr>
          <w:b/>
          <w:lang w:val="fr-CA"/>
        </w:rPr>
        <w:t xml:space="preserve">arrêt examiné : </w:t>
      </w:r>
      <w:r w:rsidR="00F008D5" w:rsidRPr="0044457E">
        <w:rPr>
          <w:i/>
          <w:lang w:val="fr-CA"/>
        </w:rPr>
        <w:t xml:space="preserve">R. c. </w:t>
      </w:r>
      <w:proofErr w:type="spellStart"/>
      <w:r w:rsidR="00F008D5" w:rsidRPr="0044457E">
        <w:rPr>
          <w:i/>
          <w:lang w:val="fr-CA"/>
        </w:rPr>
        <w:t>Wust</w:t>
      </w:r>
      <w:proofErr w:type="spellEnd"/>
      <w:r w:rsidR="00F008D5" w:rsidRPr="0044457E">
        <w:rPr>
          <w:lang w:val="fr-CA"/>
        </w:rPr>
        <w:t>, 2000 CSC 18, [2000] 1 R.C.S. 455</w:t>
      </w:r>
      <w:r w:rsidR="00F008D5">
        <w:rPr>
          <w:lang w:val="fr-CA"/>
        </w:rPr>
        <w:t xml:space="preserve">; </w:t>
      </w:r>
      <w:r w:rsidR="00F008D5" w:rsidRPr="00F008D5">
        <w:rPr>
          <w:b/>
          <w:lang w:val="fr-CA"/>
        </w:rPr>
        <w:t>a</w:t>
      </w:r>
      <w:r w:rsidRPr="00F008D5">
        <w:rPr>
          <w:b/>
          <w:lang w:val="fr-CA"/>
        </w:rPr>
        <w:t>rrêts</w:t>
      </w:r>
      <w:r w:rsidRPr="00780D5E">
        <w:rPr>
          <w:b/>
          <w:lang w:val="fr-CA"/>
        </w:rPr>
        <w:t xml:space="preserve"> mentionnés :</w:t>
      </w:r>
      <w:r w:rsidRPr="004D7D95">
        <w:rPr>
          <w:lang w:val="fr-CA"/>
        </w:rPr>
        <w:t xml:space="preserve"> </w:t>
      </w:r>
      <w:r w:rsidR="0049459D" w:rsidRPr="0049459D">
        <w:rPr>
          <w:i/>
          <w:lang w:val="fr-CA"/>
        </w:rPr>
        <w:t>R. c. McDonald</w:t>
      </w:r>
      <w:r w:rsidR="0049459D" w:rsidRPr="0049459D">
        <w:rPr>
          <w:lang w:val="fr-CA"/>
        </w:rPr>
        <w:t xml:space="preserve"> (1998), 40 O.R. (3d) 641; </w:t>
      </w:r>
      <w:r w:rsidR="009B5794" w:rsidRPr="009B5794">
        <w:rPr>
          <w:i/>
          <w:lang w:val="fr-CA"/>
        </w:rPr>
        <w:t>R. c. Sharma</w:t>
      </w:r>
      <w:r w:rsidR="009B5794" w:rsidRPr="009B5794">
        <w:rPr>
          <w:lang w:val="fr-CA"/>
        </w:rPr>
        <w:t>, [1992] 1 R.C.S. 814</w:t>
      </w:r>
      <w:r w:rsidR="009B5794">
        <w:rPr>
          <w:lang w:val="fr-CA"/>
        </w:rPr>
        <w:t xml:space="preserve">; </w:t>
      </w:r>
      <w:r w:rsidR="008C226B" w:rsidRPr="00D110C7">
        <w:rPr>
          <w:i/>
          <w:lang w:val="fr-FR"/>
        </w:rPr>
        <w:t>Lizotte c. Aviva</w:t>
      </w:r>
      <w:r w:rsidR="008C226B">
        <w:rPr>
          <w:i/>
          <w:lang w:val="fr-FR"/>
        </w:rPr>
        <w:t xml:space="preserve">, </w:t>
      </w:r>
      <w:r w:rsidR="008C226B" w:rsidRPr="00AB2F98">
        <w:rPr>
          <w:i/>
          <w:lang w:val="fr-FR"/>
        </w:rPr>
        <w:t>Compagnie d’assurance du</w:t>
      </w:r>
      <w:r w:rsidR="008C226B" w:rsidRPr="00D110C7">
        <w:rPr>
          <w:i/>
          <w:lang w:val="fr-FR"/>
        </w:rPr>
        <w:t xml:space="preserve"> Canada</w:t>
      </w:r>
      <w:r w:rsidR="008C226B" w:rsidRPr="00D110C7">
        <w:rPr>
          <w:lang w:val="fr-FR"/>
        </w:rPr>
        <w:t>, 2016 CSC 52, [2016] 2 R.C.S. 521</w:t>
      </w:r>
      <w:r w:rsidR="00E92E73">
        <w:rPr>
          <w:lang w:val="fr-FR"/>
        </w:rPr>
        <w:t xml:space="preserve">; </w:t>
      </w:r>
      <w:r w:rsidR="00AB3702" w:rsidRPr="007F00B9">
        <w:rPr>
          <w:i/>
          <w:lang w:val="fr-CA"/>
        </w:rPr>
        <w:t xml:space="preserve">R. c. </w:t>
      </w:r>
      <w:proofErr w:type="spellStart"/>
      <w:r w:rsidR="00AB3702" w:rsidRPr="007F00B9">
        <w:rPr>
          <w:i/>
          <w:lang w:val="fr-CA"/>
        </w:rPr>
        <w:t>Bland</w:t>
      </w:r>
      <w:proofErr w:type="spellEnd"/>
      <w:r w:rsidR="00AB3702" w:rsidRPr="007F00B9">
        <w:rPr>
          <w:lang w:val="fr-CA"/>
        </w:rPr>
        <w:t>, 2016 YKSC 61, 3 M.V.R. (7th) 112;</w:t>
      </w:r>
      <w:r w:rsidR="00AB3702">
        <w:rPr>
          <w:lang w:val="fr-CA"/>
        </w:rPr>
        <w:t xml:space="preserve"> </w:t>
      </w:r>
      <w:r w:rsidR="00AB3702" w:rsidRPr="009D1271">
        <w:rPr>
          <w:i/>
          <w:lang w:val="fr-CA"/>
        </w:rPr>
        <w:t>R. c. Edwards</w:t>
      </w:r>
      <w:r w:rsidR="00AB3702" w:rsidRPr="009D1271">
        <w:rPr>
          <w:lang w:val="fr-CA"/>
        </w:rPr>
        <w:t xml:space="preserve"> (2016), 382 </w:t>
      </w:r>
      <w:proofErr w:type="spellStart"/>
      <w:r w:rsidR="00AB3702" w:rsidRPr="009D1271">
        <w:rPr>
          <w:lang w:val="fr-CA"/>
        </w:rPr>
        <w:t>Nfld</w:t>
      </w:r>
      <w:proofErr w:type="spellEnd"/>
      <w:r w:rsidR="00AB3702" w:rsidRPr="009D1271">
        <w:rPr>
          <w:lang w:val="fr-CA"/>
        </w:rPr>
        <w:t xml:space="preserve">. &amp; P.E.I.R. 225; </w:t>
      </w:r>
      <w:r w:rsidR="00DB3B5A" w:rsidRPr="00DB3B5A">
        <w:rPr>
          <w:i/>
          <w:lang w:val="fr-CA"/>
        </w:rPr>
        <w:t xml:space="preserve">R. c. </w:t>
      </w:r>
      <w:proofErr w:type="spellStart"/>
      <w:r w:rsidR="00DB3B5A" w:rsidRPr="00DB3B5A">
        <w:rPr>
          <w:i/>
          <w:lang w:val="fr-CA"/>
        </w:rPr>
        <w:t>Hilbach</w:t>
      </w:r>
      <w:proofErr w:type="spellEnd"/>
      <w:r w:rsidR="00DB3B5A" w:rsidRPr="00DB3B5A">
        <w:rPr>
          <w:lang w:val="fr-CA"/>
        </w:rPr>
        <w:t>, 2023 CSC 3</w:t>
      </w:r>
      <w:r w:rsidR="00DB3B5A">
        <w:rPr>
          <w:lang w:val="fr-CA"/>
        </w:rPr>
        <w:t xml:space="preserve">; </w:t>
      </w:r>
      <w:r w:rsidR="008D2376" w:rsidRPr="00C71311">
        <w:rPr>
          <w:i/>
          <w:lang w:val="fr-CA"/>
        </w:rPr>
        <w:t>R. c. McIntosh</w:t>
      </w:r>
      <w:r w:rsidR="008D2376" w:rsidRPr="00C71311">
        <w:rPr>
          <w:lang w:val="fr-CA"/>
        </w:rPr>
        <w:t xml:space="preserve">, [1995] 1 R.C.S. 686; </w:t>
      </w:r>
      <w:r w:rsidR="00C71311" w:rsidRPr="00C71311">
        <w:rPr>
          <w:i/>
          <w:lang w:val="fr-CA"/>
        </w:rPr>
        <w:t>R. c. D.L.W.</w:t>
      </w:r>
      <w:r w:rsidR="00C71311" w:rsidRPr="00C71311">
        <w:rPr>
          <w:lang w:val="fr-CA" w:bidi="en-US"/>
        </w:rPr>
        <w:t>, 2016 CSC 22</w:t>
      </w:r>
      <w:r w:rsidR="00C71311" w:rsidRPr="00C71311">
        <w:rPr>
          <w:lang w:val="fr-CA"/>
        </w:rPr>
        <w:t>, [2016] 1 R.C.S. 402</w:t>
      </w:r>
      <w:r w:rsidR="00C71311">
        <w:rPr>
          <w:lang w:val="fr-CA"/>
        </w:rPr>
        <w:t xml:space="preserve">; </w:t>
      </w:r>
      <w:r w:rsidR="002A048A" w:rsidRPr="00E92E73">
        <w:rPr>
          <w:i/>
          <w:lang w:val="fr-CA"/>
        </w:rPr>
        <w:t>R. c. Tim</w:t>
      </w:r>
      <w:r w:rsidR="002A048A" w:rsidRPr="00E92E73">
        <w:rPr>
          <w:lang w:val="fr-CA"/>
        </w:rPr>
        <w:t>, 2022 CSC 12</w:t>
      </w:r>
      <w:r w:rsidR="002A048A">
        <w:rPr>
          <w:lang w:val="fr-CA"/>
        </w:rPr>
        <w:t xml:space="preserve">; </w:t>
      </w:r>
      <w:r w:rsidR="00FD6DC5" w:rsidRPr="00FD6DC5">
        <w:rPr>
          <w:i/>
          <w:lang w:val="fr-CA"/>
        </w:rPr>
        <w:t xml:space="preserve">R. c. </w:t>
      </w:r>
      <w:proofErr w:type="spellStart"/>
      <w:r w:rsidR="00FD6DC5" w:rsidRPr="00FD6DC5">
        <w:rPr>
          <w:i/>
          <w:lang w:val="fr-CA"/>
        </w:rPr>
        <w:t>Jobidon</w:t>
      </w:r>
      <w:proofErr w:type="spellEnd"/>
      <w:r w:rsidR="00FD6DC5" w:rsidRPr="00FD6DC5">
        <w:rPr>
          <w:lang w:val="fr-CA"/>
        </w:rPr>
        <w:t>, [1991] 2 R.C.S. 714;</w:t>
      </w:r>
      <w:r w:rsidR="00FD6DC5">
        <w:rPr>
          <w:lang w:val="fr-CA"/>
        </w:rPr>
        <w:t xml:space="preserve"> </w:t>
      </w:r>
      <w:r w:rsidR="00D7457C" w:rsidRPr="00BF62C9">
        <w:rPr>
          <w:i/>
          <w:iCs/>
          <w:lang w:val="fr-CA"/>
        </w:rPr>
        <w:t xml:space="preserve">R. c. </w:t>
      </w:r>
      <w:proofErr w:type="spellStart"/>
      <w:r w:rsidR="00D7457C" w:rsidRPr="00BF62C9">
        <w:rPr>
          <w:i/>
          <w:iCs/>
          <w:lang w:val="fr-CA"/>
        </w:rPr>
        <w:t>Gladue</w:t>
      </w:r>
      <w:proofErr w:type="spellEnd"/>
      <w:r w:rsidR="00D7457C" w:rsidRPr="00BF62C9">
        <w:rPr>
          <w:lang w:val="fr-CA"/>
        </w:rPr>
        <w:t>, [1999] 1 R.C.S. 688</w:t>
      </w:r>
      <w:r w:rsidR="00D7457C">
        <w:rPr>
          <w:lang w:val="fr-FR"/>
        </w:rPr>
        <w:t>;</w:t>
      </w:r>
      <w:r w:rsidR="00FE573D">
        <w:rPr>
          <w:lang w:val="fr-FR"/>
        </w:rPr>
        <w:t xml:space="preserve"> </w:t>
      </w:r>
      <w:r w:rsidR="00D7457C" w:rsidRPr="000B3FD8">
        <w:rPr>
          <w:i/>
          <w:lang w:val="fr-CA"/>
        </w:rPr>
        <w:t xml:space="preserve">R. </w:t>
      </w:r>
      <w:r w:rsidR="00D7457C">
        <w:rPr>
          <w:i/>
          <w:lang w:val="fr-CA"/>
        </w:rPr>
        <w:t>c</w:t>
      </w:r>
      <w:r w:rsidR="00D7457C" w:rsidRPr="000B3FD8">
        <w:rPr>
          <w:i/>
          <w:lang w:val="fr-CA"/>
        </w:rPr>
        <w:t xml:space="preserve">. </w:t>
      </w:r>
      <w:proofErr w:type="spellStart"/>
      <w:r w:rsidR="00D7457C" w:rsidRPr="000B3FD8">
        <w:rPr>
          <w:i/>
          <w:lang w:val="fr-CA"/>
        </w:rPr>
        <w:t>Skolnick</w:t>
      </w:r>
      <w:proofErr w:type="spellEnd"/>
      <w:r w:rsidR="00D7457C" w:rsidRPr="000B3FD8">
        <w:rPr>
          <w:lang w:val="fr-CA"/>
        </w:rPr>
        <w:t>, [1982] 2 R.C.S. 47;</w:t>
      </w:r>
      <w:r w:rsidR="00D7457C">
        <w:rPr>
          <w:lang w:val="fr-CA"/>
        </w:rPr>
        <w:t xml:space="preserve"> </w:t>
      </w:r>
      <w:r w:rsidR="00C605E3" w:rsidRPr="00C605E3">
        <w:rPr>
          <w:i/>
          <w:szCs w:val="24"/>
          <w:lang w:val="fr-CA"/>
        </w:rPr>
        <w:t>R. c. Pham</w:t>
      </w:r>
      <w:r w:rsidR="00C605E3" w:rsidRPr="00C605E3">
        <w:rPr>
          <w:szCs w:val="24"/>
          <w:lang w:val="fr-CA"/>
        </w:rPr>
        <w:t>, 2013 ONCJ 635, 296 C.R.R. (2d) 178</w:t>
      </w:r>
      <w:r w:rsidR="00C605E3">
        <w:rPr>
          <w:szCs w:val="24"/>
          <w:lang w:val="fr-CA"/>
        </w:rPr>
        <w:t xml:space="preserve">; </w:t>
      </w:r>
      <w:r w:rsidR="00C22A11">
        <w:rPr>
          <w:i/>
          <w:szCs w:val="24"/>
          <w:lang w:val="fr-FR"/>
        </w:rPr>
        <w:t>2747</w:t>
      </w:r>
      <w:r w:rsidR="00C22A11">
        <w:rPr>
          <w:i/>
          <w:szCs w:val="24"/>
          <w:lang w:val="fr-FR"/>
        </w:rPr>
        <w:noBreakHyphen/>
      </w:r>
      <w:r w:rsidR="00000C86" w:rsidRPr="00653262">
        <w:rPr>
          <w:i/>
          <w:szCs w:val="24"/>
          <w:lang w:val="fr-FR"/>
        </w:rPr>
        <w:t>3174 Québec Inc. c. Québec (Régie des permis d’alcool)</w:t>
      </w:r>
      <w:r w:rsidR="00000C86" w:rsidRPr="00653262">
        <w:rPr>
          <w:szCs w:val="24"/>
          <w:lang w:val="fr-FR"/>
        </w:rPr>
        <w:t>, [1996] 3 R.C.S. 919</w:t>
      </w:r>
      <w:r w:rsidR="00000C86">
        <w:rPr>
          <w:szCs w:val="24"/>
          <w:lang w:val="fr-FR"/>
        </w:rPr>
        <w:t xml:space="preserve">; </w:t>
      </w:r>
      <w:proofErr w:type="spellStart"/>
      <w:r w:rsidR="00745E9E" w:rsidRPr="00745E9E">
        <w:rPr>
          <w:i/>
          <w:iCs/>
          <w:szCs w:val="24"/>
          <w:lang w:val="fr-CA"/>
        </w:rPr>
        <w:t>Zaidan</w:t>
      </w:r>
      <w:proofErr w:type="spellEnd"/>
      <w:r w:rsidR="00745E9E" w:rsidRPr="00745E9E">
        <w:rPr>
          <w:i/>
          <w:iCs/>
          <w:szCs w:val="24"/>
          <w:lang w:val="fr-CA"/>
        </w:rPr>
        <w:t xml:space="preserve"> Group Ltd. c. London (Ville)</w:t>
      </w:r>
      <w:r w:rsidR="00745E9E" w:rsidRPr="00745E9E">
        <w:rPr>
          <w:szCs w:val="24"/>
          <w:lang w:val="fr-CA"/>
        </w:rPr>
        <w:t>, [1991] 3 R.C.S. 593</w:t>
      </w:r>
      <w:r w:rsidR="00745E9E">
        <w:rPr>
          <w:szCs w:val="24"/>
          <w:lang w:val="fr-CA"/>
        </w:rPr>
        <w:t xml:space="preserve">; </w:t>
      </w:r>
      <w:r w:rsidR="009D2BD8" w:rsidRPr="009D2BD8">
        <w:rPr>
          <w:i/>
          <w:iCs/>
          <w:szCs w:val="24"/>
          <w:lang w:val="fr-CA"/>
        </w:rPr>
        <w:t>Frame c. Smith</w:t>
      </w:r>
      <w:r w:rsidR="009D2BD8" w:rsidRPr="009D2BD8">
        <w:rPr>
          <w:szCs w:val="24"/>
          <w:lang w:val="fr-CA"/>
        </w:rPr>
        <w:t>, [1987] 2 R.C.S. 99</w:t>
      </w:r>
      <w:r w:rsidR="009D2BD8">
        <w:rPr>
          <w:szCs w:val="24"/>
          <w:lang w:val="fr-CA"/>
        </w:rPr>
        <w:t xml:space="preserve">; </w:t>
      </w:r>
      <w:r w:rsidR="00A47A40" w:rsidRPr="00A47A40">
        <w:rPr>
          <w:i/>
          <w:lang w:val="fr-CA"/>
        </w:rPr>
        <w:t xml:space="preserve">Urban </w:t>
      </w:r>
      <w:proofErr w:type="spellStart"/>
      <w:r w:rsidR="00A47A40" w:rsidRPr="00A47A40">
        <w:rPr>
          <w:i/>
          <w:lang w:val="fr-CA"/>
        </w:rPr>
        <w:t>Mechanical</w:t>
      </w:r>
      <w:proofErr w:type="spellEnd"/>
      <w:r w:rsidR="00A47A40" w:rsidRPr="00A47A40">
        <w:rPr>
          <w:i/>
          <w:lang w:val="fr-CA"/>
        </w:rPr>
        <w:t xml:space="preserve"> </w:t>
      </w:r>
      <w:proofErr w:type="spellStart"/>
      <w:r w:rsidR="00A47A40" w:rsidRPr="00A47A40">
        <w:rPr>
          <w:i/>
          <w:lang w:val="fr-CA"/>
        </w:rPr>
        <w:t>Contracting</w:t>
      </w:r>
      <w:proofErr w:type="spellEnd"/>
      <w:r w:rsidR="00A47A40" w:rsidRPr="00A47A40">
        <w:rPr>
          <w:i/>
          <w:lang w:val="fr-CA"/>
        </w:rPr>
        <w:t xml:space="preserve"> Ltd. c. Zurich</w:t>
      </w:r>
      <w:r w:rsidR="00A47A40" w:rsidRPr="00A47A40">
        <w:rPr>
          <w:lang w:val="fr-CA"/>
        </w:rPr>
        <w:t xml:space="preserve"> </w:t>
      </w:r>
      <w:proofErr w:type="spellStart"/>
      <w:r w:rsidR="00A47A40" w:rsidRPr="00A47A40">
        <w:rPr>
          <w:i/>
          <w:lang w:val="fr-CA"/>
        </w:rPr>
        <w:t>Insurance</w:t>
      </w:r>
      <w:proofErr w:type="spellEnd"/>
      <w:r w:rsidR="00A47A40" w:rsidRPr="00A47A40">
        <w:rPr>
          <w:i/>
          <w:lang w:val="fr-CA"/>
        </w:rPr>
        <w:t xml:space="preserve"> Co.</w:t>
      </w:r>
      <w:r w:rsidR="00A47A40" w:rsidRPr="00A47A40">
        <w:rPr>
          <w:lang w:val="fr-CA"/>
        </w:rPr>
        <w:t xml:space="preserve">, 2022 ONCA 589, </w:t>
      </w:r>
      <w:r w:rsidR="00A47A40" w:rsidRPr="00A47A40">
        <w:rPr>
          <w:szCs w:val="24"/>
          <w:lang w:val="fr-CA"/>
        </w:rPr>
        <w:t>163 O.R. (3d) 652;</w:t>
      </w:r>
      <w:r w:rsidR="00DA6190" w:rsidRPr="00DA6190">
        <w:rPr>
          <w:i/>
          <w:lang w:val="fr-CA" w:bidi="en-US"/>
        </w:rPr>
        <w:t xml:space="preserve"> </w:t>
      </w:r>
      <w:r w:rsidR="00DA6190" w:rsidRPr="00F37F25">
        <w:rPr>
          <w:i/>
          <w:lang w:val="fr-CA" w:bidi="en-US"/>
        </w:rPr>
        <w:t xml:space="preserve">R. c. </w:t>
      </w:r>
      <w:proofErr w:type="spellStart"/>
      <w:r w:rsidR="00DA6190" w:rsidRPr="00F37F25">
        <w:rPr>
          <w:i/>
          <w:lang w:val="fr-CA" w:bidi="en-US"/>
        </w:rPr>
        <w:t>Goulding</w:t>
      </w:r>
      <w:proofErr w:type="spellEnd"/>
      <w:r w:rsidR="00DA6190" w:rsidRPr="00F37F25">
        <w:rPr>
          <w:lang w:val="fr-CA" w:bidi="en-US"/>
        </w:rPr>
        <w:t xml:space="preserve"> (1987), 81 N.S.R. </w:t>
      </w:r>
      <w:r w:rsidR="00DA6190" w:rsidRPr="00DA6190">
        <w:rPr>
          <w:lang w:val="fr-CA" w:bidi="en-US"/>
        </w:rPr>
        <w:t>(2d) 158</w:t>
      </w:r>
      <w:r w:rsidR="00DA6190">
        <w:rPr>
          <w:lang w:val="fr-CA" w:bidi="en-US"/>
        </w:rPr>
        <w:t>;</w:t>
      </w:r>
      <w:r w:rsidR="0028501F" w:rsidRPr="0028501F">
        <w:rPr>
          <w:i/>
          <w:lang w:val="fr-CA" w:bidi="en-US"/>
        </w:rPr>
        <w:t xml:space="preserve"> R. c. </w:t>
      </w:r>
      <w:proofErr w:type="spellStart"/>
      <w:r w:rsidR="0028501F" w:rsidRPr="0028501F">
        <w:rPr>
          <w:i/>
          <w:lang w:val="fr-CA" w:bidi="en-US"/>
        </w:rPr>
        <w:t>Pellicore</w:t>
      </w:r>
      <w:proofErr w:type="spellEnd"/>
      <w:r w:rsidR="00C22A11">
        <w:rPr>
          <w:lang w:val="fr-CA" w:bidi="en-US"/>
        </w:rPr>
        <w:t>, [1997] O.J. No. </w:t>
      </w:r>
      <w:r w:rsidR="0028501F" w:rsidRPr="0028501F">
        <w:rPr>
          <w:lang w:val="fr-CA" w:bidi="en-US"/>
        </w:rPr>
        <w:t xml:space="preserve">226 (QL), 1997 </w:t>
      </w:r>
      <w:proofErr w:type="spellStart"/>
      <w:r w:rsidR="0028501F" w:rsidRPr="0028501F">
        <w:rPr>
          <w:lang w:val="fr-CA" w:bidi="en-US"/>
        </w:rPr>
        <w:t>CarswellOnt</w:t>
      </w:r>
      <w:proofErr w:type="spellEnd"/>
      <w:r w:rsidR="0028501F" w:rsidRPr="0028501F">
        <w:rPr>
          <w:lang w:val="fr-CA" w:bidi="en-US"/>
        </w:rPr>
        <w:t xml:space="preserve"> 246 (WL)</w:t>
      </w:r>
      <w:r w:rsidR="0028501F">
        <w:rPr>
          <w:lang w:val="fr-CA" w:bidi="en-US"/>
        </w:rPr>
        <w:t xml:space="preserve">; </w:t>
      </w:r>
      <w:r w:rsidR="00AA459D" w:rsidRPr="00AA459D">
        <w:rPr>
          <w:i/>
          <w:lang w:val="fr-CA" w:bidi="en-US"/>
        </w:rPr>
        <w:t>R. c. Williams</w:t>
      </w:r>
      <w:r w:rsidR="00AA459D" w:rsidRPr="00AA459D">
        <w:rPr>
          <w:lang w:val="fr-CA" w:bidi="en-US"/>
        </w:rPr>
        <w:t>, 2009 NBCP 16, 346 R.N.</w:t>
      </w:r>
      <w:r w:rsidR="00AA459D" w:rsidRPr="00AA459D">
        <w:rPr>
          <w:lang w:val="fr-CA" w:bidi="en-US"/>
        </w:rPr>
        <w:noBreakHyphen/>
        <w:t>B. (2e) 164;</w:t>
      </w:r>
      <w:r w:rsidR="00AA459D">
        <w:rPr>
          <w:lang w:val="fr-CA" w:bidi="en-US"/>
        </w:rPr>
        <w:t xml:space="preserve"> </w:t>
      </w:r>
      <w:r w:rsidR="00AC22E5" w:rsidRPr="00AC22E5">
        <w:rPr>
          <w:i/>
          <w:lang w:val="fr-CA" w:bidi="en-US"/>
        </w:rPr>
        <w:t>Bilodeau c. R.</w:t>
      </w:r>
      <w:r w:rsidR="00AC22E5" w:rsidRPr="00AC22E5">
        <w:rPr>
          <w:lang w:val="fr-CA" w:bidi="en-US"/>
        </w:rPr>
        <w:t>, 2013 QCCA 980;</w:t>
      </w:r>
      <w:r w:rsidR="00A341C7" w:rsidRPr="00A341C7">
        <w:rPr>
          <w:i/>
          <w:lang w:val="fr-CA" w:bidi="en-US"/>
        </w:rPr>
        <w:t xml:space="preserve"> R. c. Sloan</w:t>
      </w:r>
      <w:r w:rsidR="00A341C7" w:rsidRPr="00A341C7">
        <w:rPr>
          <w:lang w:val="fr-CA" w:bidi="en-US"/>
        </w:rPr>
        <w:t xml:space="preserve"> (1947), 87 C.C.C. 198</w:t>
      </w:r>
      <w:r w:rsidR="00A341C7">
        <w:rPr>
          <w:lang w:val="fr-CA" w:bidi="en-US"/>
        </w:rPr>
        <w:t xml:space="preserve">; </w:t>
      </w:r>
      <w:r w:rsidR="0019351B" w:rsidRPr="0019351B">
        <w:rPr>
          <w:i/>
          <w:lang w:val="fr-CA" w:bidi="en-US"/>
        </w:rPr>
        <w:t xml:space="preserve">R. c. Patterson </w:t>
      </w:r>
      <w:r w:rsidR="0019351B" w:rsidRPr="0019351B">
        <w:rPr>
          <w:lang w:val="fr-CA" w:bidi="en-US"/>
        </w:rPr>
        <w:t xml:space="preserve">(1946), 87 </w:t>
      </w:r>
      <w:r w:rsidR="0019351B" w:rsidRPr="0019351B">
        <w:rPr>
          <w:lang w:val="fr-CA" w:bidi="en-US"/>
        </w:rPr>
        <w:lastRenderedPageBreak/>
        <w:t>C.C.C. 86</w:t>
      </w:r>
      <w:r w:rsidR="0019351B">
        <w:rPr>
          <w:lang w:val="fr-CA" w:bidi="en-US"/>
        </w:rPr>
        <w:t xml:space="preserve">; </w:t>
      </w:r>
      <w:r w:rsidR="006908A4" w:rsidRPr="006908A4">
        <w:rPr>
          <w:i/>
          <w:lang w:val="fr-CA"/>
        </w:rPr>
        <w:t>R. c. Wells</w:t>
      </w:r>
      <w:r w:rsidR="006908A4" w:rsidRPr="006908A4">
        <w:rPr>
          <w:lang w:val="fr-CA"/>
        </w:rPr>
        <w:t xml:space="preserve"> (1969), 4 C.C.C. 25</w:t>
      </w:r>
      <w:r w:rsidR="006908A4">
        <w:rPr>
          <w:lang w:val="fr-CA"/>
        </w:rPr>
        <w:t xml:space="preserve">; </w:t>
      </w:r>
      <w:proofErr w:type="spellStart"/>
      <w:r w:rsidR="00CD450A" w:rsidRPr="00CD450A">
        <w:rPr>
          <w:i/>
          <w:lang w:val="fr-CA" w:bidi="en-US"/>
        </w:rPr>
        <w:t>McClurg</w:t>
      </w:r>
      <w:proofErr w:type="spellEnd"/>
      <w:r w:rsidR="00CD450A" w:rsidRPr="00CD450A">
        <w:rPr>
          <w:i/>
          <w:lang w:val="fr-CA" w:bidi="en-US"/>
        </w:rPr>
        <w:t xml:space="preserve"> c. Canada</w:t>
      </w:r>
      <w:r w:rsidR="00CD450A" w:rsidRPr="00CD450A">
        <w:rPr>
          <w:lang w:val="fr-CA" w:bidi="en-US"/>
        </w:rPr>
        <w:t>, [1990] 3 R.C.S. 1020</w:t>
      </w:r>
      <w:r w:rsidR="00CD450A">
        <w:rPr>
          <w:lang w:val="fr-CA" w:bidi="en-US"/>
        </w:rPr>
        <w:t xml:space="preserve">; </w:t>
      </w:r>
      <w:r w:rsidR="00165C90" w:rsidRPr="00165C90">
        <w:rPr>
          <w:i/>
          <w:lang w:val="fr-CA" w:bidi="en-US"/>
        </w:rPr>
        <w:t>Turgeon c. Dominion Bank</w:t>
      </w:r>
      <w:r w:rsidR="00165C90" w:rsidRPr="00165C90">
        <w:rPr>
          <w:lang w:val="fr-CA" w:bidi="en-US"/>
        </w:rPr>
        <w:t>, [1930] R.C.S. 67</w:t>
      </w:r>
      <w:r w:rsidR="00165C90">
        <w:rPr>
          <w:lang w:val="fr-CA" w:bidi="en-US"/>
        </w:rPr>
        <w:t xml:space="preserve">; </w:t>
      </w:r>
      <w:r w:rsidR="00102992" w:rsidRPr="00102992">
        <w:rPr>
          <w:i/>
          <w:lang w:val="fr-CA" w:bidi="en-US"/>
        </w:rPr>
        <w:t xml:space="preserve">Rizzo &amp; Rizzo </w:t>
      </w:r>
      <w:proofErr w:type="spellStart"/>
      <w:r w:rsidR="00102992" w:rsidRPr="00102992">
        <w:rPr>
          <w:i/>
          <w:lang w:val="fr-CA" w:bidi="en-US"/>
        </w:rPr>
        <w:t>Shoes</w:t>
      </w:r>
      <w:proofErr w:type="spellEnd"/>
      <w:r w:rsidR="00102992" w:rsidRPr="00102992">
        <w:rPr>
          <w:i/>
          <w:lang w:val="fr-CA" w:bidi="en-US"/>
        </w:rPr>
        <w:t xml:space="preserve"> Ltd. </w:t>
      </w:r>
      <w:r w:rsidR="00102992" w:rsidRPr="00E002F1">
        <w:rPr>
          <w:i/>
          <w:lang w:val="fr-CA" w:bidi="en-US"/>
        </w:rPr>
        <w:t>(Re)</w:t>
      </w:r>
      <w:r w:rsidR="00102992" w:rsidRPr="00E002F1">
        <w:rPr>
          <w:lang w:val="fr-CA" w:bidi="en-US"/>
        </w:rPr>
        <w:t xml:space="preserve">, [1998] 1 R.C.S. 27; </w:t>
      </w:r>
      <w:r w:rsidR="008A6D7C" w:rsidRPr="00E002F1">
        <w:rPr>
          <w:i/>
          <w:lang w:val="fr-CA" w:bidi="en-US"/>
        </w:rPr>
        <w:t xml:space="preserve">Bell </w:t>
      </w:r>
      <w:proofErr w:type="spellStart"/>
      <w:r w:rsidR="008A6D7C" w:rsidRPr="00E002F1">
        <w:rPr>
          <w:i/>
          <w:lang w:val="fr-CA" w:bidi="en-US"/>
        </w:rPr>
        <w:t>ExpressVu</w:t>
      </w:r>
      <w:proofErr w:type="spellEnd"/>
      <w:r w:rsidR="008A6D7C" w:rsidRPr="00E002F1">
        <w:rPr>
          <w:i/>
          <w:lang w:val="fr-CA" w:bidi="en-US"/>
        </w:rPr>
        <w:t xml:space="preserve"> Limited Partnership c. Rex</w:t>
      </w:r>
      <w:r w:rsidR="008A6D7C" w:rsidRPr="00E002F1">
        <w:rPr>
          <w:lang w:val="fr-CA" w:bidi="en-US"/>
        </w:rPr>
        <w:t xml:space="preserve">, 2002 CSC 42, [2002] 2 R.C.S. 559; </w:t>
      </w:r>
      <w:r w:rsidR="00CA694C" w:rsidRPr="00E002F1">
        <w:rPr>
          <w:i/>
          <w:iCs/>
          <w:lang w:val="fr-CA" w:bidi="en-US"/>
        </w:rPr>
        <w:t>R. c. Mathieu</w:t>
      </w:r>
      <w:r w:rsidR="00CA694C" w:rsidRPr="00E002F1">
        <w:rPr>
          <w:iCs/>
          <w:lang w:val="fr-CA" w:bidi="en-US"/>
        </w:rPr>
        <w:t xml:space="preserve">, 2008 CSC 21, [2008] 1 R.C.S. 723; </w:t>
      </w:r>
      <w:r w:rsidR="00E002F1" w:rsidRPr="00E002F1">
        <w:rPr>
          <w:i/>
          <w:iCs/>
          <w:lang w:val="fr-CA" w:bidi="en-US"/>
        </w:rPr>
        <w:t xml:space="preserve">R. c. </w:t>
      </w:r>
      <w:proofErr w:type="spellStart"/>
      <w:r w:rsidR="00E002F1" w:rsidRPr="00E002F1">
        <w:rPr>
          <w:i/>
          <w:iCs/>
          <w:lang w:val="fr-CA" w:bidi="en-US"/>
        </w:rPr>
        <w:t>Fice</w:t>
      </w:r>
      <w:proofErr w:type="spellEnd"/>
      <w:r w:rsidR="00E002F1" w:rsidRPr="00E002F1">
        <w:rPr>
          <w:iCs/>
          <w:lang w:val="fr-CA" w:bidi="en-US"/>
        </w:rPr>
        <w:t>, 2005 CSC 32, [2005] 1 R.C.S. 742</w:t>
      </w:r>
      <w:r w:rsidR="00E002F1">
        <w:rPr>
          <w:iCs/>
          <w:lang w:val="fr-CA" w:bidi="en-US"/>
        </w:rPr>
        <w:t xml:space="preserve">; </w:t>
      </w:r>
      <w:r w:rsidR="000A67F7" w:rsidRPr="000A67F7">
        <w:rPr>
          <w:i/>
          <w:lang w:val="fr-CA" w:bidi="en-US"/>
        </w:rPr>
        <w:t>R. c. Walker</w:t>
      </w:r>
      <w:r w:rsidR="000A67F7" w:rsidRPr="000A67F7">
        <w:rPr>
          <w:lang w:val="fr-CA" w:bidi="en-US"/>
        </w:rPr>
        <w:t xml:space="preserve">, 2017 ONCA 39, </w:t>
      </w:r>
      <w:r w:rsidR="000A67F7" w:rsidRPr="000A67F7">
        <w:rPr>
          <w:iCs/>
          <w:lang w:val="fr-CA" w:bidi="en-US"/>
        </w:rPr>
        <w:t>345 C.C.C. (3d) 497</w:t>
      </w:r>
      <w:r w:rsidR="000A67F7">
        <w:rPr>
          <w:iCs/>
          <w:lang w:val="fr-CA" w:bidi="en-US"/>
        </w:rPr>
        <w:t xml:space="preserve">; </w:t>
      </w:r>
      <w:r w:rsidR="00230561" w:rsidRPr="00230561">
        <w:rPr>
          <w:i/>
          <w:lang w:val="fr-CA" w:bidi="en-US"/>
        </w:rPr>
        <w:t xml:space="preserve">R. c. </w:t>
      </w:r>
      <w:proofErr w:type="spellStart"/>
      <w:r w:rsidR="00230561" w:rsidRPr="00230561">
        <w:rPr>
          <w:i/>
          <w:lang w:val="fr-CA" w:bidi="en-US"/>
        </w:rPr>
        <w:t>Severight</w:t>
      </w:r>
      <w:proofErr w:type="spellEnd"/>
      <w:r w:rsidR="00230561" w:rsidRPr="00230561">
        <w:rPr>
          <w:lang w:val="fr-CA" w:bidi="en-US"/>
        </w:rPr>
        <w:t>, 2014 ABCA 25, 566 A.R. 344</w:t>
      </w:r>
      <w:r w:rsidR="00230561">
        <w:rPr>
          <w:lang w:val="fr-CA" w:bidi="en-US"/>
        </w:rPr>
        <w:t xml:space="preserve">; </w:t>
      </w:r>
      <w:r w:rsidR="002D2667" w:rsidRPr="002D2667">
        <w:rPr>
          <w:i/>
          <w:lang w:val="fr-CA" w:bidi="en-US"/>
        </w:rPr>
        <w:t xml:space="preserve">R. c. </w:t>
      </w:r>
      <w:proofErr w:type="spellStart"/>
      <w:r w:rsidR="002D2667" w:rsidRPr="002D2667">
        <w:rPr>
          <w:i/>
          <w:lang w:val="fr-CA" w:bidi="en-US"/>
        </w:rPr>
        <w:t>LeBlanc</w:t>
      </w:r>
      <w:proofErr w:type="spellEnd"/>
      <w:r w:rsidR="002D2667" w:rsidRPr="002D2667">
        <w:rPr>
          <w:lang w:val="fr-CA" w:bidi="en-US"/>
        </w:rPr>
        <w:t>, 2005 NBCA 6, 279 R.N.</w:t>
      </w:r>
      <w:r w:rsidR="002D2667" w:rsidRPr="002D2667">
        <w:rPr>
          <w:lang w:val="fr-CA" w:bidi="en-US"/>
        </w:rPr>
        <w:noBreakHyphen/>
        <w:t>B. (2e) 121</w:t>
      </w:r>
      <w:r w:rsidR="00360D9F">
        <w:rPr>
          <w:lang w:val="fr-CA" w:bidi="en-US"/>
        </w:rPr>
        <w:t xml:space="preserve">; </w:t>
      </w:r>
      <w:r w:rsidR="00360D9F" w:rsidRPr="00360D9F">
        <w:rPr>
          <w:i/>
          <w:lang w:val="fr-CA"/>
        </w:rPr>
        <w:t>R. c. Hills</w:t>
      </w:r>
      <w:r w:rsidR="00360D9F" w:rsidRPr="00360D9F">
        <w:rPr>
          <w:lang w:val="fr-CA"/>
        </w:rPr>
        <w:t>, 2023 CSC 2</w:t>
      </w:r>
      <w:r w:rsidR="002D2667">
        <w:rPr>
          <w:lang w:val="fr-CA" w:bidi="en-US"/>
        </w:rPr>
        <w:t xml:space="preserve">; </w:t>
      </w:r>
      <w:r w:rsidR="007E1E84" w:rsidRPr="007E1E84">
        <w:rPr>
          <w:i/>
          <w:szCs w:val="24"/>
          <w:lang w:val="fr-CA"/>
        </w:rPr>
        <w:t>Schwartz c. Canada</w:t>
      </w:r>
      <w:r w:rsidR="007E1E84" w:rsidRPr="007E1E84">
        <w:rPr>
          <w:szCs w:val="24"/>
          <w:lang w:val="fr-CA"/>
        </w:rPr>
        <w:t>, [1996] 1 R.C.S. 254</w:t>
      </w:r>
      <w:r w:rsidR="007E1E84">
        <w:rPr>
          <w:szCs w:val="24"/>
          <w:lang w:val="fr-CA"/>
        </w:rPr>
        <w:t xml:space="preserve">; </w:t>
      </w:r>
      <w:r w:rsidR="00842A05" w:rsidRPr="00842A05">
        <w:rPr>
          <w:i/>
          <w:lang w:val="fr-CA"/>
        </w:rPr>
        <w:t xml:space="preserve">R. c. </w:t>
      </w:r>
      <w:proofErr w:type="spellStart"/>
      <w:r w:rsidR="00842A05" w:rsidRPr="00842A05">
        <w:rPr>
          <w:i/>
          <w:lang w:val="fr-CA"/>
        </w:rPr>
        <w:t>Sohal</w:t>
      </w:r>
      <w:proofErr w:type="spellEnd"/>
      <w:r w:rsidR="00842A05" w:rsidRPr="00842A05">
        <w:rPr>
          <w:lang w:val="fr-CA"/>
        </w:rPr>
        <w:t>, 2019 ABCA 293, 91 Alta. L.R. (6th) 48</w:t>
      </w:r>
      <w:r w:rsidR="00842A05">
        <w:rPr>
          <w:lang w:val="fr-CA"/>
        </w:rPr>
        <w:t xml:space="preserve">; </w:t>
      </w:r>
      <w:r w:rsidR="002D2AFB" w:rsidRPr="002D2AFB">
        <w:rPr>
          <w:i/>
          <w:lang w:val="fr-CA"/>
        </w:rPr>
        <w:t>R. c. Fox</w:t>
      </w:r>
      <w:r w:rsidR="002D2AFB" w:rsidRPr="002D2AFB">
        <w:rPr>
          <w:lang w:val="fr-CA"/>
        </w:rPr>
        <w:t>, 2022 ABQB 132, 89 M.V.R. (7th) 23</w:t>
      </w:r>
      <w:r w:rsidR="002D2AFB">
        <w:rPr>
          <w:lang w:val="fr-CA"/>
        </w:rPr>
        <w:t xml:space="preserve">; </w:t>
      </w:r>
      <w:r w:rsidR="00FC41EA" w:rsidRPr="00FC41EA">
        <w:rPr>
          <w:i/>
          <w:lang w:val="fr-CA"/>
        </w:rPr>
        <w:t xml:space="preserve">R. c. </w:t>
      </w:r>
      <w:proofErr w:type="spellStart"/>
      <w:r w:rsidR="00FC41EA" w:rsidRPr="00FC41EA">
        <w:rPr>
          <w:i/>
          <w:lang w:val="fr-CA"/>
        </w:rPr>
        <w:t>Froese</w:t>
      </w:r>
      <w:proofErr w:type="spellEnd"/>
      <w:r w:rsidR="00FC41EA" w:rsidRPr="00FC41EA">
        <w:rPr>
          <w:lang w:val="fr-CA"/>
        </w:rPr>
        <w:t>, 2020 MBQB 11, 461 C.R.R. (2d) 1;</w:t>
      </w:r>
      <w:r w:rsidR="00E0013A" w:rsidRPr="00E0013A">
        <w:rPr>
          <w:i/>
          <w:lang w:val="fr-CA"/>
        </w:rPr>
        <w:t xml:space="preserve"> R. c. </w:t>
      </w:r>
      <w:proofErr w:type="spellStart"/>
      <w:r w:rsidR="00E0013A" w:rsidRPr="00E0013A">
        <w:rPr>
          <w:i/>
          <w:lang w:val="fr-CA"/>
        </w:rPr>
        <w:t>Osnach</w:t>
      </w:r>
      <w:proofErr w:type="spellEnd"/>
      <w:r w:rsidR="00E0013A" w:rsidRPr="00E0013A">
        <w:rPr>
          <w:lang w:val="fr-CA"/>
        </w:rPr>
        <w:t>, 2019 MBPC 1, 38 M.V.R. (7th) 257</w:t>
      </w:r>
      <w:r w:rsidR="00E0013A">
        <w:rPr>
          <w:lang w:val="fr-CA"/>
        </w:rPr>
        <w:t xml:space="preserve">; </w:t>
      </w:r>
      <w:r w:rsidR="00BB0D66" w:rsidRPr="00BB0D66">
        <w:rPr>
          <w:i/>
          <w:lang w:val="fr-CA"/>
        </w:rPr>
        <w:t>R. c. Bryden</w:t>
      </w:r>
      <w:r w:rsidR="00BB0D66" w:rsidRPr="00BB0D66">
        <w:rPr>
          <w:lang w:val="fr-CA"/>
        </w:rPr>
        <w:t>, 2007 NBBR 316, 323 R.N.</w:t>
      </w:r>
      <w:r w:rsidR="00BB0D66" w:rsidRPr="00BB0D66">
        <w:rPr>
          <w:lang w:val="fr-CA"/>
        </w:rPr>
        <w:noBreakHyphen/>
        <w:t>B. (2e) 119</w:t>
      </w:r>
      <w:r w:rsidR="00BB0D66">
        <w:rPr>
          <w:lang w:val="fr-CA"/>
        </w:rPr>
        <w:t xml:space="preserve">; </w:t>
      </w:r>
      <w:r w:rsidR="00F407EB" w:rsidRPr="00F407EB">
        <w:rPr>
          <w:i/>
          <w:lang w:val="fr-CA"/>
        </w:rPr>
        <w:t xml:space="preserve">R. c. </w:t>
      </w:r>
      <w:proofErr w:type="spellStart"/>
      <w:r w:rsidR="00F407EB" w:rsidRPr="00F407EB">
        <w:rPr>
          <w:i/>
          <w:lang w:val="fr-CA"/>
        </w:rPr>
        <w:t>Panday</w:t>
      </w:r>
      <w:proofErr w:type="spellEnd"/>
      <w:r w:rsidR="00F407EB" w:rsidRPr="00F407EB">
        <w:rPr>
          <w:lang w:val="fr-CA"/>
        </w:rPr>
        <w:t>, 2007 ONCA 598, 87 O.R. (3d) 1</w:t>
      </w:r>
      <w:r w:rsidR="00F407EB">
        <w:rPr>
          <w:lang w:val="fr-CA"/>
        </w:rPr>
        <w:t xml:space="preserve">; </w:t>
      </w:r>
      <w:r w:rsidR="002F4A82" w:rsidRPr="002F4A82">
        <w:rPr>
          <w:i/>
          <w:lang w:val="fr-CA"/>
        </w:rPr>
        <w:t>R. c. K.R.J.</w:t>
      </w:r>
      <w:r w:rsidR="002F4A82" w:rsidRPr="002F4A82">
        <w:rPr>
          <w:lang w:val="fr-CA"/>
        </w:rPr>
        <w:t>, 2016 CSC 31, [2016] 1 R.C.S. 906</w:t>
      </w:r>
      <w:r w:rsidR="002F4A82">
        <w:rPr>
          <w:lang w:val="fr-CA"/>
        </w:rPr>
        <w:t xml:space="preserve">; </w:t>
      </w:r>
      <w:r w:rsidR="001523E8" w:rsidRPr="001523E8">
        <w:rPr>
          <w:i/>
          <w:lang w:val="fr-CA" w:eastAsia="fr-CA"/>
        </w:rPr>
        <w:t>R. c. Rodgers</w:t>
      </w:r>
      <w:r w:rsidR="001523E8" w:rsidRPr="001523E8">
        <w:rPr>
          <w:lang w:val="fr-CA" w:eastAsia="fr-CA"/>
        </w:rPr>
        <w:t>, 2006 CSC 15, [2006] 1 R.C.S. 554</w:t>
      </w:r>
      <w:r w:rsidR="001523E8">
        <w:rPr>
          <w:lang w:val="fr-CA" w:eastAsia="fr-CA"/>
        </w:rPr>
        <w:t xml:space="preserve">; </w:t>
      </w:r>
      <w:proofErr w:type="spellStart"/>
      <w:r w:rsidR="003E73EE" w:rsidRPr="003E73EE">
        <w:rPr>
          <w:i/>
          <w:lang w:val="fr-CA" w:eastAsia="fr-CA"/>
        </w:rPr>
        <w:t>Keatley</w:t>
      </w:r>
      <w:proofErr w:type="spellEnd"/>
      <w:r w:rsidR="003E73EE" w:rsidRPr="003E73EE">
        <w:rPr>
          <w:i/>
          <w:lang w:val="fr-CA" w:eastAsia="fr-CA"/>
        </w:rPr>
        <w:t xml:space="preserve"> </w:t>
      </w:r>
      <w:proofErr w:type="spellStart"/>
      <w:r w:rsidR="003E73EE" w:rsidRPr="003E73EE">
        <w:rPr>
          <w:i/>
          <w:lang w:val="fr-CA" w:eastAsia="fr-CA"/>
        </w:rPr>
        <w:t>Surveying</w:t>
      </w:r>
      <w:proofErr w:type="spellEnd"/>
      <w:r w:rsidR="003E73EE" w:rsidRPr="003E73EE">
        <w:rPr>
          <w:i/>
          <w:lang w:val="fr-CA" w:eastAsia="fr-CA"/>
        </w:rPr>
        <w:t xml:space="preserve"> Ltd.</w:t>
      </w:r>
      <w:r w:rsidR="003E73EE" w:rsidRPr="003E73EE">
        <w:rPr>
          <w:i/>
          <w:lang w:val="fr-CA"/>
        </w:rPr>
        <w:t xml:space="preserve"> </w:t>
      </w:r>
      <w:r w:rsidR="003E73EE" w:rsidRPr="003E73EE">
        <w:rPr>
          <w:i/>
          <w:lang w:val="fr-CA" w:eastAsia="fr-CA"/>
        </w:rPr>
        <w:t xml:space="preserve">c. </w:t>
      </w:r>
      <w:proofErr w:type="spellStart"/>
      <w:r w:rsidR="003E73EE" w:rsidRPr="003E73EE">
        <w:rPr>
          <w:i/>
          <w:lang w:val="fr-CA" w:eastAsia="fr-CA"/>
        </w:rPr>
        <w:t>Teranet</w:t>
      </w:r>
      <w:proofErr w:type="spellEnd"/>
      <w:r w:rsidR="003E73EE" w:rsidRPr="003E73EE">
        <w:rPr>
          <w:i/>
          <w:lang w:val="fr-CA" w:eastAsia="fr-CA"/>
        </w:rPr>
        <w:t xml:space="preserve"> Inc.</w:t>
      </w:r>
      <w:r w:rsidR="003E73EE" w:rsidRPr="003E73EE">
        <w:rPr>
          <w:lang w:val="fr-CA" w:eastAsia="fr-CA"/>
        </w:rPr>
        <w:t>, 2019 CSC 43, [2019] 3 R.C.S. 418;</w:t>
      </w:r>
      <w:r w:rsidR="003E73EE">
        <w:rPr>
          <w:lang w:val="fr-CA" w:eastAsia="fr-CA"/>
        </w:rPr>
        <w:t xml:space="preserve"> </w:t>
      </w:r>
      <w:r w:rsidR="003A2D2D" w:rsidRPr="003A2D2D">
        <w:rPr>
          <w:i/>
          <w:iCs/>
          <w:lang w:val="fr-CA"/>
        </w:rPr>
        <w:t>Marcotte c. Sous</w:t>
      </w:r>
      <w:r w:rsidR="003A2D2D" w:rsidRPr="003A2D2D">
        <w:rPr>
          <w:i/>
          <w:iCs/>
          <w:lang w:val="fr-CA"/>
        </w:rPr>
        <w:noBreakHyphen/>
        <w:t>procureur général du Canada</w:t>
      </w:r>
      <w:r w:rsidR="003A2D2D" w:rsidRPr="003A2D2D">
        <w:rPr>
          <w:iCs/>
          <w:lang w:val="fr-CA"/>
        </w:rPr>
        <w:t>, [1976] 1 R.C.S. 108</w:t>
      </w:r>
      <w:r w:rsidR="003A2D2D">
        <w:rPr>
          <w:iCs/>
          <w:lang w:val="fr-CA"/>
        </w:rPr>
        <w:t xml:space="preserve">; </w:t>
      </w:r>
      <w:proofErr w:type="spellStart"/>
      <w:r w:rsidR="00BB27BB" w:rsidRPr="00BB27BB">
        <w:rPr>
          <w:i/>
          <w:lang w:val="fr-CA"/>
        </w:rPr>
        <w:t>CanadianOxy</w:t>
      </w:r>
      <w:proofErr w:type="spellEnd"/>
      <w:r w:rsidR="00BB27BB" w:rsidRPr="00BB27BB">
        <w:rPr>
          <w:i/>
          <w:lang w:val="fr-CA"/>
        </w:rPr>
        <w:t xml:space="preserve"> Chemicals Ltd. c. Canada (Procureur général)</w:t>
      </w:r>
      <w:r w:rsidR="00BB27BB" w:rsidRPr="00BB27BB">
        <w:rPr>
          <w:lang w:val="fr-CA"/>
        </w:rPr>
        <w:t>, [1999] 1 R.C.S. 743</w:t>
      </w:r>
      <w:r w:rsidR="00B37DF3">
        <w:rPr>
          <w:lang w:val="fr-CA"/>
        </w:rPr>
        <w:t>.</w:t>
      </w:r>
    </w:p>
    <w:p w14:paraId="35B60990" w14:textId="77777777" w:rsidR="004D7D95" w:rsidRPr="004D7D95" w:rsidRDefault="004D7D95" w:rsidP="00C22A11">
      <w:pPr>
        <w:pStyle w:val="SCCNormalDoubleSpacing"/>
        <w:spacing w:after="720" w:line="240" w:lineRule="auto"/>
        <w:rPr>
          <w:b/>
          <w:lang w:val="fr-CA"/>
        </w:rPr>
      </w:pPr>
      <w:r w:rsidRPr="004D7D95">
        <w:rPr>
          <w:b/>
          <w:lang w:val="fr-CA"/>
        </w:rPr>
        <w:t>Lois et règlements cités</w:t>
      </w:r>
    </w:p>
    <w:p w14:paraId="5B0A6A5F" w14:textId="634AD3C7" w:rsidR="004D7D95" w:rsidRPr="00780D5E" w:rsidRDefault="00954C59" w:rsidP="00C22A11">
      <w:pPr>
        <w:pStyle w:val="SCCNormalDoubleSpacing"/>
        <w:spacing w:after="720" w:line="240" w:lineRule="auto"/>
        <w:ind w:left="547" w:hanging="547"/>
        <w:rPr>
          <w:lang w:val="en-US"/>
        </w:rPr>
      </w:pPr>
      <w:r w:rsidRPr="00FD6DC5">
        <w:rPr>
          <w:rFonts w:eastAsiaTheme="minorHAnsi"/>
          <w:i/>
          <w:lang w:val="fr-CA"/>
        </w:rPr>
        <w:t>Code criminel</w:t>
      </w:r>
      <w:r w:rsidR="00C22A11">
        <w:rPr>
          <w:rFonts w:eastAsiaTheme="minorHAnsi"/>
          <w:lang w:val="fr-CA"/>
        </w:rPr>
        <w:t>, L.R.C. 1985, c. C</w:t>
      </w:r>
      <w:r w:rsidR="00C22A11">
        <w:rPr>
          <w:rFonts w:eastAsiaTheme="minorHAnsi"/>
          <w:lang w:val="fr-CA"/>
        </w:rPr>
        <w:noBreakHyphen/>
      </w:r>
      <w:r w:rsidRPr="00FD6DC5">
        <w:rPr>
          <w:rFonts w:eastAsiaTheme="minorHAnsi"/>
          <w:lang w:val="fr-CA"/>
        </w:rPr>
        <w:t>46, art. </w:t>
      </w:r>
      <w:r w:rsidR="007B454D" w:rsidRPr="00FD6DC5">
        <w:rPr>
          <w:lang w:val="fr-CA"/>
        </w:rPr>
        <w:t>8(3), 9a)</w:t>
      </w:r>
      <w:r w:rsidR="00E56890">
        <w:rPr>
          <w:lang w:val="fr-CA"/>
        </w:rPr>
        <w:t xml:space="preserve">, </w:t>
      </w:r>
      <w:r w:rsidR="00E56890" w:rsidRPr="003E73EE">
        <w:rPr>
          <w:lang w:val="fr-CA"/>
        </w:rPr>
        <w:t>109(2)a)</w:t>
      </w:r>
      <w:r w:rsidR="007B454D" w:rsidRPr="00FD6DC5">
        <w:rPr>
          <w:lang w:val="fr-CA"/>
        </w:rPr>
        <w:t xml:space="preserve">, </w:t>
      </w:r>
      <w:r w:rsidR="001A03F9" w:rsidRPr="00FD6DC5">
        <w:rPr>
          <w:lang w:val="fr-CA"/>
        </w:rPr>
        <w:t xml:space="preserve">253(1)b) </w:t>
      </w:r>
      <w:r w:rsidR="001A03F9" w:rsidRPr="00C11ACB">
        <w:rPr>
          <w:rFonts w:eastAsiaTheme="minorHAnsi"/>
          <w:lang w:val="fr-CA"/>
        </w:rPr>
        <w:t>[</w:t>
      </w:r>
      <w:proofErr w:type="spellStart"/>
      <w:r w:rsidR="001A03F9" w:rsidRPr="001566D7">
        <w:rPr>
          <w:rFonts w:eastAsiaTheme="minorHAnsi"/>
          <w:lang w:val="fr-CA"/>
        </w:rPr>
        <w:t>abr</w:t>
      </w:r>
      <w:proofErr w:type="spellEnd"/>
      <w:r w:rsidR="001A03F9" w:rsidRPr="001566D7">
        <w:rPr>
          <w:rFonts w:eastAsiaTheme="minorHAnsi"/>
          <w:lang w:val="fr-CA"/>
        </w:rPr>
        <w:t xml:space="preserve">. </w:t>
      </w:r>
      <w:r w:rsidR="001A03F9" w:rsidRPr="00780D5E">
        <w:rPr>
          <w:rFonts w:eastAsiaTheme="minorHAnsi"/>
          <w:lang w:val="en-US"/>
        </w:rPr>
        <w:t>L.C. 2018, c. 21, art. 14]</w:t>
      </w:r>
      <w:r w:rsidR="006671A8" w:rsidRPr="00780D5E">
        <w:rPr>
          <w:rFonts w:eastAsiaTheme="minorHAnsi"/>
          <w:lang w:val="en-US"/>
        </w:rPr>
        <w:t xml:space="preserve">, </w:t>
      </w:r>
      <w:r w:rsidR="006671A8" w:rsidRPr="00780D5E">
        <w:rPr>
          <w:lang w:val="en-US"/>
        </w:rPr>
        <w:t xml:space="preserve">255(5) </w:t>
      </w:r>
      <w:r w:rsidR="006671A8" w:rsidRPr="00780D5E">
        <w:rPr>
          <w:rFonts w:eastAsiaTheme="minorHAnsi"/>
          <w:lang w:val="en-US"/>
        </w:rPr>
        <w:t>[</w:t>
      </w:r>
      <w:r w:rsidR="006671A8" w:rsidRPr="00780D5E">
        <w:rPr>
          <w:i/>
          <w:iCs/>
          <w:lang w:val="en-US"/>
        </w:rPr>
        <w:t>idem</w:t>
      </w:r>
      <w:r w:rsidR="006671A8" w:rsidRPr="00780D5E">
        <w:rPr>
          <w:rFonts w:eastAsiaTheme="minorHAnsi"/>
          <w:lang w:val="en-US"/>
        </w:rPr>
        <w:t>]</w:t>
      </w:r>
      <w:r w:rsidR="001A03F9" w:rsidRPr="00780D5E">
        <w:rPr>
          <w:lang w:val="en-US"/>
        </w:rPr>
        <w:t xml:space="preserve">, </w:t>
      </w:r>
      <w:r w:rsidR="00BE40FD" w:rsidRPr="00780D5E">
        <w:rPr>
          <w:rFonts w:eastAsiaTheme="minorHAnsi"/>
          <w:lang w:val="en-US"/>
        </w:rPr>
        <w:t>259(1)</w:t>
      </w:r>
      <w:r w:rsidR="00A3520B" w:rsidRPr="00780D5E">
        <w:rPr>
          <w:rFonts w:eastAsiaTheme="minorHAnsi"/>
          <w:lang w:val="en-US"/>
        </w:rPr>
        <w:t xml:space="preserve"> [</w:t>
      </w:r>
      <w:r w:rsidR="001A03F9" w:rsidRPr="00780D5E">
        <w:rPr>
          <w:i/>
          <w:iCs/>
          <w:lang w:val="en-US"/>
        </w:rPr>
        <w:t>idem</w:t>
      </w:r>
      <w:r w:rsidR="00A3520B" w:rsidRPr="00780D5E">
        <w:rPr>
          <w:rFonts w:eastAsiaTheme="minorHAnsi"/>
          <w:lang w:val="en-US"/>
        </w:rPr>
        <w:t xml:space="preserve">], </w:t>
      </w:r>
      <w:r w:rsidR="00A3520B" w:rsidRPr="00780D5E">
        <w:rPr>
          <w:lang w:val="en-US"/>
        </w:rPr>
        <w:t>320.24(2) [</w:t>
      </w:r>
      <w:proofErr w:type="spellStart"/>
      <w:r w:rsidR="00A3520B" w:rsidRPr="00780D5E">
        <w:rPr>
          <w:lang w:val="en-US"/>
        </w:rPr>
        <w:t>aj</w:t>
      </w:r>
      <w:proofErr w:type="spellEnd"/>
      <w:r w:rsidR="00A3520B" w:rsidRPr="00780D5E">
        <w:rPr>
          <w:lang w:val="en-US"/>
        </w:rPr>
        <w:t xml:space="preserve">. </w:t>
      </w:r>
      <w:r w:rsidR="00A3520B" w:rsidRPr="00780D5E">
        <w:rPr>
          <w:i/>
          <w:iCs/>
          <w:lang w:val="en-US"/>
        </w:rPr>
        <w:t>idem</w:t>
      </w:r>
      <w:r w:rsidR="00A3520B" w:rsidRPr="00780D5E">
        <w:rPr>
          <w:rFonts w:eastAsiaTheme="minorHAnsi"/>
          <w:lang w:val="en-US"/>
        </w:rPr>
        <w:t>, art. 15]</w:t>
      </w:r>
      <w:r w:rsidR="00D60C31" w:rsidRPr="00780D5E">
        <w:rPr>
          <w:rFonts w:eastAsiaTheme="minorHAnsi"/>
          <w:lang w:val="en-US"/>
        </w:rPr>
        <w:t>,</w:t>
      </w:r>
      <w:r w:rsidR="00346D76" w:rsidRPr="00780D5E">
        <w:rPr>
          <w:rFonts w:eastAsiaTheme="minorHAnsi"/>
          <w:lang w:val="en-US"/>
        </w:rPr>
        <w:t xml:space="preserve"> </w:t>
      </w:r>
      <w:proofErr w:type="spellStart"/>
      <w:r w:rsidR="00346D76" w:rsidRPr="00780D5E">
        <w:rPr>
          <w:lang w:val="en-US"/>
        </w:rPr>
        <w:t>partie</w:t>
      </w:r>
      <w:proofErr w:type="spellEnd"/>
      <w:r w:rsidR="00346D76" w:rsidRPr="00780D5E">
        <w:rPr>
          <w:lang w:val="en-US"/>
        </w:rPr>
        <w:t xml:space="preserve"> XXIII</w:t>
      </w:r>
      <w:r w:rsidR="000B4BB3" w:rsidRPr="00780D5E">
        <w:rPr>
          <w:lang w:val="en-US"/>
        </w:rPr>
        <w:t xml:space="preserve">, </w:t>
      </w:r>
      <w:r w:rsidR="00D60C31" w:rsidRPr="00780D5E">
        <w:rPr>
          <w:rFonts w:eastAsiaTheme="minorHAnsi"/>
          <w:szCs w:val="24"/>
          <w:lang w:val="en-US"/>
        </w:rPr>
        <w:t>718.3(2)</w:t>
      </w:r>
      <w:r w:rsidR="006D3449" w:rsidRPr="00780D5E">
        <w:rPr>
          <w:rFonts w:eastAsiaTheme="minorHAnsi"/>
          <w:lang w:val="en-US"/>
        </w:rPr>
        <w:t>, 719(1)</w:t>
      </w:r>
      <w:r w:rsidR="003468CD" w:rsidRPr="00780D5E">
        <w:rPr>
          <w:rFonts w:eastAsiaTheme="minorHAnsi"/>
          <w:lang w:val="en-US"/>
        </w:rPr>
        <w:t xml:space="preserve">, </w:t>
      </w:r>
      <w:r w:rsidR="003468CD" w:rsidRPr="00780D5E">
        <w:rPr>
          <w:lang w:val="en-US"/>
        </w:rPr>
        <w:t>(3)</w:t>
      </w:r>
      <w:r w:rsidRPr="00780D5E">
        <w:rPr>
          <w:rFonts w:eastAsiaTheme="minorHAnsi"/>
          <w:lang w:val="en-US"/>
        </w:rPr>
        <w:t>.</w:t>
      </w:r>
    </w:p>
    <w:p w14:paraId="3E30DD80" w14:textId="77777777" w:rsidR="004D7D95" w:rsidRPr="00FD6DC5" w:rsidRDefault="004D7D95" w:rsidP="00C22A11">
      <w:pPr>
        <w:pStyle w:val="SCCNormalDoubleSpacing"/>
        <w:spacing w:after="720" w:line="240" w:lineRule="auto"/>
        <w:rPr>
          <w:b/>
          <w:lang w:val="fr-CA"/>
        </w:rPr>
      </w:pPr>
      <w:r w:rsidRPr="00FD6DC5">
        <w:rPr>
          <w:b/>
          <w:lang w:val="fr-CA"/>
        </w:rPr>
        <w:t>Doctrine et autres documents cités</w:t>
      </w:r>
    </w:p>
    <w:p w14:paraId="01B28570" w14:textId="2F323888" w:rsidR="00D03BE2" w:rsidRDefault="00D03BE2" w:rsidP="00C22A11">
      <w:pPr>
        <w:pStyle w:val="SCCNormalDoubleSpacing"/>
        <w:spacing w:after="240" w:line="240" w:lineRule="auto"/>
        <w:ind w:left="547" w:hanging="547"/>
      </w:pPr>
      <w:r w:rsidRPr="00FD6DC5">
        <w:rPr>
          <w:lang w:val="fr-CA"/>
        </w:rPr>
        <w:lastRenderedPageBreak/>
        <w:t xml:space="preserve">Allen, Carleton Kemp. </w:t>
      </w:r>
      <w:r w:rsidRPr="00653262">
        <w:rPr>
          <w:i/>
          <w:lang w:val="en-US"/>
        </w:rPr>
        <w:t>Law in the Making</w:t>
      </w:r>
      <w:r>
        <w:rPr>
          <w:lang w:val="en-US"/>
        </w:rPr>
        <w:t>,</w:t>
      </w:r>
      <w:r w:rsidR="00AF7790">
        <w:rPr>
          <w:lang w:val="en-US"/>
        </w:rPr>
        <w:t xml:space="preserve"> </w:t>
      </w:r>
      <w:r w:rsidR="00AF7790" w:rsidRPr="00B92817">
        <w:rPr>
          <w:lang w:val="en-US"/>
        </w:rPr>
        <w:t>special ed.,</w:t>
      </w:r>
      <w:r>
        <w:rPr>
          <w:lang w:val="en-US"/>
        </w:rPr>
        <w:t xml:space="preserve"> New York, Lega</w:t>
      </w:r>
      <w:r w:rsidRPr="00D03BE2">
        <w:rPr>
          <w:lang w:val="en-US"/>
        </w:rPr>
        <w:t>l Classics Library</w:t>
      </w:r>
      <w:r>
        <w:rPr>
          <w:lang w:val="en-US"/>
        </w:rPr>
        <w:t xml:space="preserve">, </w:t>
      </w:r>
      <w:r w:rsidRPr="00653262">
        <w:rPr>
          <w:lang w:val="en-US"/>
        </w:rPr>
        <w:t>19</w:t>
      </w:r>
      <w:r>
        <w:rPr>
          <w:lang w:val="en-US"/>
        </w:rPr>
        <w:t>92.</w:t>
      </w:r>
    </w:p>
    <w:p w14:paraId="2F64AEC4" w14:textId="77777777" w:rsidR="0090345B" w:rsidRPr="00EA499A" w:rsidRDefault="0090345B" w:rsidP="00C22A11">
      <w:pPr>
        <w:pStyle w:val="SCCNormalDoubleSpacing"/>
        <w:spacing w:after="240" w:line="240" w:lineRule="auto"/>
        <w:ind w:left="547" w:hanging="547"/>
        <w:rPr>
          <w:lang w:val="en-US"/>
        </w:rPr>
      </w:pPr>
      <w:r w:rsidRPr="00653262">
        <w:t>Brown,</w:t>
      </w:r>
      <w:r>
        <w:t xml:space="preserve"> Desmond H.</w:t>
      </w:r>
      <w:r w:rsidRPr="00653262">
        <w:t xml:space="preserve"> </w:t>
      </w:r>
      <w:r w:rsidRPr="00653262">
        <w:rPr>
          <w:i/>
        </w:rPr>
        <w:t xml:space="preserve">The Genesis of the </w:t>
      </w:r>
      <w:r>
        <w:rPr>
          <w:i/>
        </w:rPr>
        <w:t xml:space="preserve">Canadian </w:t>
      </w:r>
      <w:r w:rsidRPr="00653262">
        <w:rPr>
          <w:i/>
        </w:rPr>
        <w:t>Criminal Code of 1892</w:t>
      </w:r>
      <w:r w:rsidR="00EA499A">
        <w:t>,</w:t>
      </w:r>
      <w:r w:rsidRPr="008113E9">
        <w:rPr>
          <w:color w:val="000000"/>
        </w:rPr>
        <w:t xml:space="preserve"> </w:t>
      </w:r>
      <w:r w:rsidR="00EA499A" w:rsidRPr="00EA499A">
        <w:rPr>
          <w:color w:val="000000"/>
          <w:lang w:val="en-US"/>
        </w:rPr>
        <w:t>Toronto,</w:t>
      </w:r>
      <w:r w:rsidRPr="00EA499A">
        <w:rPr>
          <w:color w:val="000000"/>
          <w:lang w:val="en-US"/>
        </w:rPr>
        <w:t xml:space="preserve"> </w:t>
      </w:r>
      <w:proofErr w:type="spellStart"/>
      <w:r w:rsidRPr="00EA499A">
        <w:rPr>
          <w:color w:val="000000"/>
          <w:lang w:val="en-US"/>
        </w:rPr>
        <w:t>Osgoode</w:t>
      </w:r>
      <w:proofErr w:type="spellEnd"/>
      <w:r w:rsidRPr="00EA499A">
        <w:rPr>
          <w:color w:val="000000"/>
          <w:lang w:val="en-US"/>
        </w:rPr>
        <w:t xml:space="preserve"> Society, </w:t>
      </w:r>
      <w:r w:rsidRPr="00EA499A">
        <w:rPr>
          <w:lang w:val="en-US"/>
        </w:rPr>
        <w:t>1989.</w:t>
      </w:r>
    </w:p>
    <w:p w14:paraId="24B3BD1A" w14:textId="77777777" w:rsidR="00604D67" w:rsidRPr="00604D67" w:rsidRDefault="00604D67" w:rsidP="00C22A11">
      <w:pPr>
        <w:pStyle w:val="SCCNormalDoubleSpacing"/>
        <w:spacing w:after="240" w:line="240" w:lineRule="auto"/>
        <w:ind w:left="547" w:hanging="547"/>
        <w:rPr>
          <w:lang w:val="fr-CA"/>
        </w:rPr>
      </w:pPr>
      <w:r>
        <w:rPr>
          <w:lang w:val="fr-CA"/>
        </w:rPr>
        <w:t xml:space="preserve">Canada. </w:t>
      </w:r>
      <w:r w:rsidRPr="00604D67">
        <w:rPr>
          <w:lang w:val="fr-CA" w:bidi="en-US"/>
        </w:rPr>
        <w:t>Commission canadienne sur la détermination de la peine</w:t>
      </w:r>
      <w:r>
        <w:rPr>
          <w:lang w:val="fr-CA" w:bidi="en-US"/>
        </w:rPr>
        <w:t>.</w:t>
      </w:r>
      <w:r w:rsidRPr="00604D67">
        <w:rPr>
          <w:i/>
          <w:iCs/>
          <w:lang w:val="fr-CA" w:bidi="en-US"/>
        </w:rPr>
        <w:t xml:space="preserve"> Réformer la sentence : une approche canadienne</w:t>
      </w:r>
      <w:r>
        <w:rPr>
          <w:lang w:val="fr-CA"/>
        </w:rPr>
        <w:t>, Ottawa,</w:t>
      </w:r>
      <w:r w:rsidRPr="00604D67">
        <w:rPr>
          <w:lang w:val="fr-CA"/>
        </w:rPr>
        <w:t xml:space="preserve"> </w:t>
      </w:r>
      <w:r w:rsidRPr="00604D67">
        <w:rPr>
          <w:iCs/>
          <w:lang w:val="fr-CA" w:bidi="en-US"/>
        </w:rPr>
        <w:t>1987</w:t>
      </w:r>
      <w:r>
        <w:rPr>
          <w:iCs/>
          <w:lang w:val="fr-CA" w:bidi="en-US"/>
        </w:rPr>
        <w:t>.</w:t>
      </w:r>
    </w:p>
    <w:p w14:paraId="710A99E5" w14:textId="77777777" w:rsidR="00ED0776" w:rsidRPr="00ED0776" w:rsidRDefault="00ED0776" w:rsidP="00C22A11">
      <w:pPr>
        <w:pStyle w:val="SCCNormalDoubleSpacing"/>
        <w:spacing w:after="240" w:line="240" w:lineRule="auto"/>
        <w:ind w:left="547" w:hanging="547"/>
        <w:rPr>
          <w:lang w:val="fr-CA"/>
        </w:rPr>
      </w:pPr>
      <w:r>
        <w:rPr>
          <w:lang w:val="fr-CA"/>
        </w:rPr>
        <w:t xml:space="preserve">Canada. </w:t>
      </w:r>
      <w:r w:rsidRPr="00ED0776">
        <w:rPr>
          <w:lang w:val="fr-CA"/>
        </w:rPr>
        <w:t>Commission canadienne sur la détermination de la peine</w:t>
      </w:r>
      <w:r>
        <w:rPr>
          <w:lang w:val="fr-CA"/>
        </w:rPr>
        <w:t>.</w:t>
      </w:r>
      <w:r w:rsidRPr="00ED0776">
        <w:rPr>
          <w:lang w:val="fr-CA"/>
        </w:rPr>
        <w:t xml:space="preserve"> </w:t>
      </w:r>
      <w:r w:rsidRPr="00ED0776">
        <w:rPr>
          <w:i/>
          <w:lang w:val="fr-CA"/>
        </w:rPr>
        <w:t>Structure de la détermination de la peine au Canada : perspectives historiques</w:t>
      </w:r>
      <w:r>
        <w:rPr>
          <w:lang w:val="fr-CA"/>
        </w:rPr>
        <w:t xml:space="preserve">, par </w:t>
      </w:r>
      <w:r w:rsidRPr="00ED0776">
        <w:rPr>
          <w:lang w:val="fr-CA"/>
        </w:rPr>
        <w:t>Martin Friedland</w:t>
      </w:r>
      <w:r>
        <w:rPr>
          <w:lang w:val="fr-CA"/>
        </w:rPr>
        <w:t>, Ottawa,</w:t>
      </w:r>
      <w:r w:rsidRPr="00ED0776">
        <w:rPr>
          <w:i/>
          <w:lang w:val="fr-CA"/>
        </w:rPr>
        <w:t xml:space="preserve"> </w:t>
      </w:r>
      <w:r w:rsidRPr="00ED0776">
        <w:rPr>
          <w:lang w:val="fr-CA"/>
        </w:rPr>
        <w:t>1988</w:t>
      </w:r>
      <w:r>
        <w:rPr>
          <w:lang w:val="fr-CA"/>
        </w:rPr>
        <w:t>.</w:t>
      </w:r>
    </w:p>
    <w:p w14:paraId="386672CF" w14:textId="77777777" w:rsidR="00155F51" w:rsidRPr="00155F51" w:rsidRDefault="00155F51" w:rsidP="00C22A11">
      <w:pPr>
        <w:pStyle w:val="SCCNormalDoubleSpacing"/>
        <w:spacing w:after="240" w:line="240" w:lineRule="auto"/>
        <w:ind w:left="547" w:hanging="547"/>
        <w:rPr>
          <w:lang w:val="fr-CA"/>
        </w:rPr>
      </w:pPr>
      <w:r w:rsidRPr="00155F51">
        <w:rPr>
          <w:szCs w:val="24"/>
          <w:lang w:val="fr-CA"/>
        </w:rPr>
        <w:t>Cornu,</w:t>
      </w:r>
      <w:r>
        <w:rPr>
          <w:szCs w:val="24"/>
          <w:lang w:val="fr-CA"/>
        </w:rPr>
        <w:t xml:space="preserve"> </w:t>
      </w:r>
      <w:r w:rsidRPr="00155F51">
        <w:rPr>
          <w:szCs w:val="24"/>
          <w:lang w:val="fr-CA"/>
        </w:rPr>
        <w:t>G</w:t>
      </w:r>
      <w:r>
        <w:rPr>
          <w:szCs w:val="24"/>
          <w:lang w:val="fr-CA"/>
        </w:rPr>
        <w:t>é</w:t>
      </w:r>
      <w:r w:rsidRPr="00155F51">
        <w:rPr>
          <w:szCs w:val="24"/>
          <w:lang w:val="fr-CA"/>
        </w:rPr>
        <w:t>rard</w:t>
      </w:r>
      <w:r>
        <w:rPr>
          <w:szCs w:val="24"/>
          <w:lang w:val="fr-CA"/>
        </w:rPr>
        <w:t>.</w:t>
      </w:r>
      <w:r w:rsidRPr="00155F51">
        <w:rPr>
          <w:szCs w:val="24"/>
          <w:lang w:val="fr-CA"/>
        </w:rPr>
        <w:t xml:space="preserve"> </w:t>
      </w:r>
      <w:r w:rsidRPr="00155F51">
        <w:rPr>
          <w:i/>
          <w:szCs w:val="24"/>
          <w:lang w:val="fr-CA"/>
        </w:rPr>
        <w:t>Linguistique juridique</w:t>
      </w:r>
      <w:r>
        <w:rPr>
          <w:szCs w:val="24"/>
          <w:lang w:val="fr-CA"/>
        </w:rPr>
        <w:t xml:space="preserve">, </w:t>
      </w:r>
      <w:r w:rsidRPr="00155F51">
        <w:rPr>
          <w:szCs w:val="24"/>
          <w:lang w:val="fr-CA"/>
        </w:rPr>
        <w:t>3</w:t>
      </w:r>
      <w:r w:rsidRPr="00155F51">
        <w:rPr>
          <w:szCs w:val="24"/>
          <w:vertAlign w:val="superscript"/>
          <w:lang w:val="fr-CA"/>
        </w:rPr>
        <w:t>e</w:t>
      </w:r>
      <w:r w:rsidRPr="00155F51">
        <w:rPr>
          <w:szCs w:val="24"/>
          <w:lang w:val="fr-CA"/>
        </w:rPr>
        <w:t> éd.</w:t>
      </w:r>
      <w:r>
        <w:rPr>
          <w:szCs w:val="24"/>
          <w:lang w:val="fr-CA"/>
        </w:rPr>
        <w:t xml:space="preserve">, </w:t>
      </w:r>
      <w:r w:rsidRPr="00155F51">
        <w:rPr>
          <w:szCs w:val="24"/>
          <w:lang w:val="fr-CA"/>
        </w:rPr>
        <w:t>Paris</w:t>
      </w:r>
      <w:r>
        <w:rPr>
          <w:szCs w:val="24"/>
          <w:lang w:val="fr-CA"/>
        </w:rPr>
        <w:t xml:space="preserve">, </w:t>
      </w:r>
      <w:r w:rsidRPr="00155F51">
        <w:rPr>
          <w:szCs w:val="24"/>
          <w:lang w:val="fr-CA"/>
        </w:rPr>
        <w:t>Montchrestien</w:t>
      </w:r>
      <w:r>
        <w:rPr>
          <w:szCs w:val="24"/>
          <w:lang w:val="fr-CA"/>
        </w:rPr>
        <w:t>,</w:t>
      </w:r>
      <w:r w:rsidRPr="00155F51">
        <w:rPr>
          <w:szCs w:val="24"/>
          <w:lang w:val="fr-CA"/>
        </w:rPr>
        <w:t xml:space="preserve"> 2005</w:t>
      </w:r>
      <w:r>
        <w:rPr>
          <w:szCs w:val="24"/>
          <w:lang w:val="fr-CA"/>
        </w:rPr>
        <w:t>.</w:t>
      </w:r>
    </w:p>
    <w:p w14:paraId="71EEE1A0" w14:textId="62C33367" w:rsidR="00246A3E" w:rsidRPr="00246A3E" w:rsidRDefault="00246A3E" w:rsidP="00C22A11">
      <w:pPr>
        <w:pStyle w:val="SCCNormalDoubleSpacing"/>
        <w:spacing w:after="240" w:line="240" w:lineRule="auto"/>
        <w:ind w:left="547" w:hanging="547"/>
        <w:rPr>
          <w:lang w:val="fr-CA"/>
        </w:rPr>
      </w:pPr>
      <w:r w:rsidRPr="00246A3E">
        <w:rPr>
          <w:lang w:val="fr-CA"/>
        </w:rPr>
        <w:t>Côté</w:t>
      </w:r>
      <w:r>
        <w:rPr>
          <w:lang w:val="fr-CA"/>
        </w:rPr>
        <w:t xml:space="preserve">, </w:t>
      </w:r>
      <w:r w:rsidR="00C22A11">
        <w:rPr>
          <w:lang w:val="fr-CA"/>
        </w:rPr>
        <w:t>Pierre</w:t>
      </w:r>
      <w:r w:rsidR="00C22A11">
        <w:rPr>
          <w:lang w:val="fr-CA"/>
        </w:rPr>
        <w:noBreakHyphen/>
      </w:r>
      <w:r w:rsidRPr="00246A3E">
        <w:rPr>
          <w:lang w:val="fr-CA"/>
        </w:rPr>
        <w:t>André</w:t>
      </w:r>
      <w:r>
        <w:rPr>
          <w:lang w:val="fr-CA"/>
        </w:rPr>
        <w:t>,</w:t>
      </w:r>
      <w:r w:rsidR="00C22A11">
        <w:rPr>
          <w:lang w:val="fr-CA"/>
        </w:rPr>
        <w:t xml:space="preserve"> et Mathieu </w:t>
      </w:r>
      <w:proofErr w:type="spellStart"/>
      <w:r w:rsidRPr="00246A3E">
        <w:rPr>
          <w:lang w:val="fr-CA"/>
        </w:rPr>
        <w:t>Devinat</w:t>
      </w:r>
      <w:proofErr w:type="spellEnd"/>
      <w:r>
        <w:rPr>
          <w:lang w:val="fr-CA"/>
        </w:rPr>
        <w:t>.</w:t>
      </w:r>
      <w:r w:rsidRPr="00246A3E">
        <w:rPr>
          <w:lang w:val="fr-CA"/>
        </w:rPr>
        <w:t xml:space="preserve"> </w:t>
      </w:r>
      <w:r w:rsidRPr="00246A3E">
        <w:rPr>
          <w:i/>
          <w:lang w:val="fr-CA"/>
        </w:rPr>
        <w:t>Interprétation des lois</w:t>
      </w:r>
      <w:r>
        <w:rPr>
          <w:lang w:val="fr-CA"/>
        </w:rPr>
        <w:t xml:space="preserve">, </w:t>
      </w:r>
      <w:r w:rsidRPr="00246A3E">
        <w:rPr>
          <w:lang w:val="fr-CA"/>
        </w:rPr>
        <w:t>5</w:t>
      </w:r>
      <w:r w:rsidRPr="00246A3E">
        <w:rPr>
          <w:vertAlign w:val="superscript"/>
          <w:lang w:val="fr-CA"/>
        </w:rPr>
        <w:t>e</w:t>
      </w:r>
      <w:r w:rsidRPr="00246A3E">
        <w:rPr>
          <w:lang w:val="fr-CA"/>
        </w:rPr>
        <w:t xml:space="preserve"> éd.</w:t>
      </w:r>
      <w:r>
        <w:rPr>
          <w:lang w:val="fr-CA"/>
        </w:rPr>
        <w:t>, Montréal, Thémis,</w:t>
      </w:r>
      <w:r w:rsidRPr="00246A3E">
        <w:rPr>
          <w:lang w:val="fr-CA"/>
        </w:rPr>
        <w:t xml:space="preserve"> 2021</w:t>
      </w:r>
      <w:r w:rsidR="000F7706">
        <w:rPr>
          <w:lang w:val="fr-CA"/>
        </w:rPr>
        <w:t>.</w:t>
      </w:r>
    </w:p>
    <w:p w14:paraId="76F01141" w14:textId="77777777" w:rsidR="008D1BEE" w:rsidRDefault="008D1BEE" w:rsidP="00C22A11">
      <w:pPr>
        <w:pStyle w:val="SCCNormalDoubleSpacing"/>
        <w:spacing w:after="240" w:line="240" w:lineRule="auto"/>
        <w:ind w:left="547" w:hanging="547"/>
      </w:pPr>
      <w:r w:rsidRPr="00653262">
        <w:t>Cro</w:t>
      </w:r>
      <w:r>
        <w:t>u</w:t>
      </w:r>
      <w:r w:rsidRPr="00653262">
        <w:t>se,</w:t>
      </w:r>
      <w:r>
        <w:t xml:space="preserve"> George H.</w:t>
      </w:r>
      <w:r w:rsidRPr="00653262">
        <w:t xml:space="preserve"> « A Critique of Canadian Criminal </w:t>
      </w:r>
      <w:proofErr w:type="gramStart"/>
      <w:r w:rsidRPr="00653262">
        <w:t>Legislation</w:t>
      </w:r>
      <w:r>
        <w:t> :</w:t>
      </w:r>
      <w:proofErr w:type="gramEnd"/>
      <w:r>
        <w:t xml:space="preserve"> Part One</w:t>
      </w:r>
      <w:r w:rsidRPr="00653262">
        <w:t> » (1934)</w:t>
      </w:r>
      <w:r>
        <w:t>,</w:t>
      </w:r>
      <w:r w:rsidRPr="00653262">
        <w:t xml:space="preserve"> </w:t>
      </w:r>
      <w:r>
        <w:t xml:space="preserve">12 </w:t>
      </w:r>
      <w:r w:rsidRPr="00AF5AE9">
        <w:rPr>
          <w:i/>
        </w:rPr>
        <w:t xml:space="preserve">R. du B. </w:t>
      </w:r>
      <w:r w:rsidRPr="00AF5AE9">
        <w:rPr>
          <w:i/>
          <w:lang w:val="en-US"/>
        </w:rPr>
        <w:t>can.</w:t>
      </w:r>
      <w:r w:rsidRPr="004E57F2">
        <w:rPr>
          <w:lang w:val="en-US"/>
        </w:rPr>
        <w:t xml:space="preserve"> </w:t>
      </w:r>
      <w:r w:rsidRPr="00653262">
        <w:t>545</w:t>
      </w:r>
      <w:r>
        <w:t>.</w:t>
      </w:r>
    </w:p>
    <w:p w14:paraId="66596845" w14:textId="5E95A932" w:rsidR="00555004" w:rsidRDefault="00C22A11" w:rsidP="00C22A11">
      <w:pPr>
        <w:pStyle w:val="SCCNormalDoubleSpacing"/>
        <w:spacing w:after="240" w:line="240" w:lineRule="auto"/>
        <w:ind w:left="547" w:hanging="547"/>
        <w:rPr>
          <w:lang w:val="fr-CA"/>
        </w:rPr>
      </w:pPr>
      <w:proofErr w:type="gramStart"/>
      <w:r>
        <w:rPr>
          <w:lang w:val="fr-CA"/>
        </w:rPr>
        <w:t>de</w:t>
      </w:r>
      <w:proofErr w:type="gramEnd"/>
      <w:r>
        <w:rPr>
          <w:lang w:val="fr-CA"/>
        </w:rPr>
        <w:t xml:space="preserve"> Villers, </w:t>
      </w:r>
      <w:proofErr w:type="spellStart"/>
      <w:r>
        <w:rPr>
          <w:lang w:val="fr-CA"/>
        </w:rPr>
        <w:t>Marie</w:t>
      </w:r>
      <w:r>
        <w:rPr>
          <w:lang w:val="fr-CA"/>
        </w:rPr>
        <w:noBreakHyphen/>
        <w:t>Éva</w:t>
      </w:r>
      <w:proofErr w:type="spellEnd"/>
      <w:r>
        <w:rPr>
          <w:lang w:val="fr-CA"/>
        </w:rPr>
        <w:t xml:space="preserve">. </w:t>
      </w:r>
      <w:proofErr w:type="spellStart"/>
      <w:r w:rsidR="00555004" w:rsidRPr="00DD36BE">
        <w:rPr>
          <w:i/>
          <w:iCs/>
          <w:lang w:val="fr-CA"/>
        </w:rPr>
        <w:t>Multidictionnaire</w:t>
      </w:r>
      <w:proofErr w:type="spellEnd"/>
      <w:r w:rsidR="00555004" w:rsidRPr="00DD36BE">
        <w:rPr>
          <w:i/>
          <w:iCs/>
          <w:lang w:val="fr-CA"/>
        </w:rPr>
        <w:t xml:space="preserve"> de la langue française</w:t>
      </w:r>
      <w:r w:rsidR="00555004" w:rsidRPr="00DD36BE">
        <w:rPr>
          <w:lang w:val="fr-CA"/>
        </w:rPr>
        <w:t>, 7</w:t>
      </w:r>
      <w:r w:rsidR="00555004" w:rsidRPr="00DD36BE">
        <w:rPr>
          <w:vertAlign w:val="superscript"/>
          <w:lang w:val="fr-CA"/>
        </w:rPr>
        <w:t>e</w:t>
      </w:r>
      <w:r w:rsidR="00555004" w:rsidRPr="00DD36BE">
        <w:rPr>
          <w:lang w:val="fr-CA"/>
        </w:rPr>
        <w:t> éd., Montréal, Québec Amérique, 2021, « ordonnance ».</w:t>
      </w:r>
    </w:p>
    <w:p w14:paraId="5E84F69A" w14:textId="50D8893D" w:rsidR="00150B02" w:rsidRPr="00C22A11" w:rsidRDefault="00150B02" w:rsidP="00C22A11">
      <w:pPr>
        <w:pStyle w:val="SCCNormalDoubleSpacing"/>
        <w:spacing w:after="240" w:line="240" w:lineRule="auto"/>
        <w:ind w:left="547" w:hanging="547"/>
        <w:rPr>
          <w:lang w:val="en-US"/>
        </w:rPr>
      </w:pPr>
      <w:proofErr w:type="spellStart"/>
      <w:r w:rsidRPr="00C22A11">
        <w:rPr>
          <w:lang w:val="en-US"/>
        </w:rPr>
        <w:t>Driedger</w:t>
      </w:r>
      <w:proofErr w:type="spellEnd"/>
      <w:r w:rsidRPr="00C22A11">
        <w:rPr>
          <w:lang w:val="en-US"/>
        </w:rPr>
        <w:t>, Elmer</w:t>
      </w:r>
      <w:r w:rsidR="00C22A11" w:rsidRPr="00C22A11">
        <w:rPr>
          <w:lang w:val="en-US"/>
        </w:rPr>
        <w:t xml:space="preserve"> </w:t>
      </w:r>
      <w:r w:rsidRPr="00C22A11">
        <w:rPr>
          <w:lang w:val="en-US"/>
        </w:rPr>
        <w:t xml:space="preserve">A. </w:t>
      </w:r>
      <w:r w:rsidRPr="00C22A11">
        <w:rPr>
          <w:i/>
          <w:iCs/>
          <w:lang w:val="en-US"/>
        </w:rPr>
        <w:t>Construction of Statutes</w:t>
      </w:r>
      <w:r w:rsidRPr="00C22A11">
        <w:rPr>
          <w:lang w:val="en-US"/>
        </w:rPr>
        <w:t>, 2nd ed., Toronto, Butterworth, 1983.</w:t>
      </w:r>
    </w:p>
    <w:p w14:paraId="367A6EEB" w14:textId="77777777" w:rsidR="008D1BEE" w:rsidRDefault="004C1EE3" w:rsidP="00C22A11">
      <w:pPr>
        <w:pStyle w:val="SCCNormalDoubleSpacing"/>
        <w:spacing w:after="240" w:line="240" w:lineRule="auto"/>
        <w:ind w:left="547" w:hanging="547"/>
        <w:rPr>
          <w:lang w:val="fr-CA"/>
        </w:rPr>
      </w:pPr>
      <w:r w:rsidRPr="004C1EE3">
        <w:rPr>
          <w:lang w:val="fr-CA"/>
        </w:rPr>
        <w:t xml:space="preserve">Dumont, </w:t>
      </w:r>
      <w:r>
        <w:rPr>
          <w:lang w:val="fr-CA"/>
        </w:rPr>
        <w:t>Hélène.</w:t>
      </w:r>
      <w:r w:rsidRPr="004C1EE3">
        <w:rPr>
          <w:lang w:val="fr-CA"/>
        </w:rPr>
        <w:t xml:space="preserve"> </w:t>
      </w:r>
      <w:r w:rsidRPr="004C1EE3">
        <w:rPr>
          <w:i/>
          <w:lang w:val="fr-CA"/>
        </w:rPr>
        <w:t xml:space="preserve">Pénologie : </w:t>
      </w:r>
      <w:r w:rsidRPr="00BB7DD9">
        <w:rPr>
          <w:i/>
          <w:lang w:val="fr-CA"/>
        </w:rPr>
        <w:t>Le droit canadien relatif aux peines et aux sentences</w:t>
      </w:r>
      <w:r>
        <w:rPr>
          <w:lang w:val="fr-CA"/>
        </w:rPr>
        <w:t xml:space="preserve">, Montréal, Thémis, </w:t>
      </w:r>
      <w:r w:rsidRPr="004C1EE3">
        <w:rPr>
          <w:lang w:val="fr-CA"/>
        </w:rPr>
        <w:t>1993</w:t>
      </w:r>
      <w:r>
        <w:rPr>
          <w:lang w:val="fr-CA"/>
        </w:rPr>
        <w:t>.</w:t>
      </w:r>
    </w:p>
    <w:p w14:paraId="55A19FBE" w14:textId="452E59EE" w:rsidR="00FF7977" w:rsidRPr="00FF7977" w:rsidRDefault="00FF7977" w:rsidP="00C22A11">
      <w:pPr>
        <w:pStyle w:val="SCCNormalDoubleSpacing"/>
        <w:spacing w:after="240" w:line="240" w:lineRule="auto"/>
        <w:ind w:left="547" w:hanging="547"/>
        <w:rPr>
          <w:lang w:val="fr-CA"/>
        </w:rPr>
      </w:pPr>
      <w:r w:rsidRPr="00FF7977">
        <w:rPr>
          <w:lang w:val="fr-CA"/>
        </w:rPr>
        <w:t>Fortin</w:t>
      </w:r>
      <w:r>
        <w:rPr>
          <w:lang w:val="fr-CA"/>
        </w:rPr>
        <w:t>, Jacques, et Louise</w:t>
      </w:r>
      <w:r w:rsidR="00C22A11">
        <w:rPr>
          <w:lang w:val="fr-CA"/>
        </w:rPr>
        <w:t xml:space="preserve"> </w:t>
      </w:r>
      <w:r w:rsidRPr="00FF7977">
        <w:rPr>
          <w:lang w:val="fr-CA"/>
        </w:rPr>
        <w:t>Viau</w:t>
      </w:r>
      <w:r>
        <w:rPr>
          <w:lang w:val="fr-CA"/>
        </w:rPr>
        <w:t>.</w:t>
      </w:r>
      <w:r w:rsidRPr="00FF7977">
        <w:rPr>
          <w:lang w:val="fr-CA"/>
        </w:rPr>
        <w:t xml:space="preserve"> </w:t>
      </w:r>
      <w:r w:rsidRPr="00FF7977">
        <w:rPr>
          <w:i/>
          <w:lang w:val="fr-CA"/>
        </w:rPr>
        <w:t>Traité de droit pénal général</w:t>
      </w:r>
      <w:r>
        <w:rPr>
          <w:lang w:val="fr-CA"/>
        </w:rPr>
        <w:t xml:space="preserve">, Montréal, </w:t>
      </w:r>
      <w:r w:rsidR="00CA1A8F">
        <w:rPr>
          <w:lang w:val="fr-CA"/>
        </w:rPr>
        <w:t>Thémis</w:t>
      </w:r>
      <w:r>
        <w:rPr>
          <w:lang w:val="fr-CA"/>
        </w:rPr>
        <w:t xml:space="preserve">, </w:t>
      </w:r>
      <w:r w:rsidRPr="00FF7977">
        <w:rPr>
          <w:lang w:val="fr-CA"/>
        </w:rPr>
        <w:t>1982</w:t>
      </w:r>
      <w:r>
        <w:rPr>
          <w:lang w:val="fr-CA"/>
        </w:rPr>
        <w:t>.</w:t>
      </w:r>
    </w:p>
    <w:p w14:paraId="4B1E4B86" w14:textId="1DEDC1B8" w:rsidR="00376F1D" w:rsidRPr="00376F1D" w:rsidRDefault="00C22A11" w:rsidP="00C22A11">
      <w:pPr>
        <w:pStyle w:val="SCCNormalDoubleSpacing"/>
        <w:spacing w:after="240" w:line="240" w:lineRule="auto"/>
        <w:ind w:left="547" w:hanging="547"/>
        <w:rPr>
          <w:lang w:val="en-US"/>
        </w:rPr>
      </w:pPr>
      <w:r>
        <w:rPr>
          <w:lang w:val="en-US"/>
        </w:rPr>
        <w:t>Manson, Allan. « Pre</w:t>
      </w:r>
      <w:r>
        <w:rPr>
          <w:lang w:val="en-US"/>
        </w:rPr>
        <w:noBreakHyphen/>
      </w:r>
      <w:r w:rsidR="00376F1D" w:rsidRPr="003E73EE">
        <w:rPr>
          <w:lang w:val="en-US"/>
        </w:rPr>
        <w:t xml:space="preserve">Sentence </w:t>
      </w:r>
      <w:r w:rsidR="00376F1D" w:rsidRPr="00653262">
        <w:t xml:space="preserve">Custody and the Determination of </w:t>
      </w:r>
      <w:r w:rsidR="00376F1D">
        <w:t xml:space="preserve">a </w:t>
      </w:r>
      <w:r w:rsidR="00376F1D" w:rsidRPr="00653262">
        <w:t>Sentence (</w:t>
      </w:r>
      <w:r w:rsidR="00376F1D">
        <w:t>O</w:t>
      </w:r>
      <w:r w:rsidR="00376F1D" w:rsidRPr="00653262">
        <w:t xml:space="preserve">r How to Make a Mole Hill out of a Mountain) » (2004), 49 </w:t>
      </w:r>
      <w:r w:rsidR="00376F1D" w:rsidRPr="00F37F25">
        <w:rPr>
          <w:i/>
        </w:rPr>
        <w:t>C.L.Q.</w:t>
      </w:r>
      <w:r w:rsidR="00376F1D" w:rsidRPr="00653262">
        <w:t xml:space="preserve"> 292</w:t>
      </w:r>
      <w:r w:rsidR="00376F1D">
        <w:t>.</w:t>
      </w:r>
    </w:p>
    <w:p w14:paraId="2950796F" w14:textId="62CF7296" w:rsidR="00E41DC8" w:rsidRPr="00E41DC8" w:rsidRDefault="00E41DC8" w:rsidP="00C22A11">
      <w:pPr>
        <w:pStyle w:val="SCCNormalDoubleSpacing"/>
        <w:spacing w:after="240" w:line="240" w:lineRule="auto"/>
        <w:ind w:left="547" w:hanging="547"/>
        <w:rPr>
          <w:lang w:val="fr-CA"/>
        </w:rPr>
      </w:pPr>
      <w:proofErr w:type="spellStart"/>
      <w:r w:rsidRPr="00CA694C">
        <w:rPr>
          <w:lang w:val="fr-CA" w:bidi="en-US"/>
        </w:rPr>
        <w:t>Mayrand</w:t>
      </w:r>
      <w:proofErr w:type="spellEnd"/>
      <w:r w:rsidRPr="00CA694C">
        <w:rPr>
          <w:lang w:val="fr-CA" w:bidi="en-US"/>
        </w:rPr>
        <w:t xml:space="preserve">, Albert. </w:t>
      </w:r>
      <w:r w:rsidRPr="00E41DC8">
        <w:rPr>
          <w:i/>
          <w:lang w:val="fr-CA" w:bidi="en-US"/>
        </w:rPr>
        <w:t>Dictionnaire de maximes et loc</w:t>
      </w:r>
      <w:r w:rsidR="00E435EF">
        <w:rPr>
          <w:i/>
          <w:lang w:val="fr-CA" w:bidi="en-US"/>
        </w:rPr>
        <w:t>u</w:t>
      </w:r>
      <w:r w:rsidRPr="00E41DC8">
        <w:rPr>
          <w:i/>
          <w:lang w:val="fr-CA" w:bidi="en-US"/>
        </w:rPr>
        <w:t>tions latines utilisées en droit</w:t>
      </w:r>
      <w:r w:rsidRPr="00E41DC8">
        <w:rPr>
          <w:lang w:val="fr-CA" w:bidi="en-US"/>
        </w:rPr>
        <w:t>, 4</w:t>
      </w:r>
      <w:r w:rsidRPr="00E41DC8">
        <w:rPr>
          <w:vertAlign w:val="superscript"/>
          <w:lang w:val="fr-CA" w:bidi="en-US"/>
        </w:rPr>
        <w:t>e</w:t>
      </w:r>
      <w:r w:rsidRPr="00E41DC8">
        <w:rPr>
          <w:lang w:val="fr-CA" w:bidi="en-US"/>
        </w:rPr>
        <w:t> éd.</w:t>
      </w:r>
      <w:r>
        <w:rPr>
          <w:lang w:val="fr-CA" w:bidi="en-US"/>
        </w:rPr>
        <w:t xml:space="preserve">, </w:t>
      </w:r>
      <w:r w:rsidRPr="00E41DC8">
        <w:rPr>
          <w:lang w:val="fr-CA" w:bidi="en-US"/>
        </w:rPr>
        <w:t>Cowansville (</w:t>
      </w:r>
      <w:proofErr w:type="spellStart"/>
      <w:r w:rsidRPr="00E41DC8">
        <w:rPr>
          <w:lang w:val="fr-CA" w:bidi="en-US"/>
        </w:rPr>
        <w:t>Qc</w:t>
      </w:r>
      <w:proofErr w:type="spellEnd"/>
      <w:r w:rsidRPr="00E41DC8">
        <w:rPr>
          <w:lang w:val="fr-CA" w:bidi="en-US"/>
        </w:rPr>
        <w:t>), Yvon Blais, 2007</w:t>
      </w:r>
      <w:r>
        <w:rPr>
          <w:lang w:val="fr-CA" w:bidi="en-US"/>
        </w:rPr>
        <w:t>, « </w:t>
      </w:r>
      <w:proofErr w:type="spellStart"/>
      <w:r w:rsidRPr="00E41DC8">
        <w:rPr>
          <w:i/>
          <w:lang w:val="fr-CA" w:bidi="en-US"/>
        </w:rPr>
        <w:t>expressio</w:t>
      </w:r>
      <w:proofErr w:type="spellEnd"/>
      <w:r w:rsidRPr="00E41DC8">
        <w:rPr>
          <w:i/>
          <w:lang w:val="fr-CA" w:bidi="en-US"/>
        </w:rPr>
        <w:t xml:space="preserve"> </w:t>
      </w:r>
      <w:proofErr w:type="spellStart"/>
      <w:r w:rsidRPr="00E41DC8">
        <w:rPr>
          <w:i/>
          <w:lang w:val="fr-CA" w:bidi="en-US"/>
        </w:rPr>
        <w:t>unius</w:t>
      </w:r>
      <w:proofErr w:type="spellEnd"/>
      <w:r w:rsidRPr="00E41DC8">
        <w:rPr>
          <w:i/>
          <w:lang w:val="fr-CA" w:bidi="en-US"/>
        </w:rPr>
        <w:t xml:space="preserve"> </w:t>
      </w:r>
      <w:r w:rsidRPr="00677FE5">
        <w:rPr>
          <w:i/>
          <w:lang w:val="fr-CA" w:bidi="en-US"/>
        </w:rPr>
        <w:t>est</w:t>
      </w:r>
      <w:r w:rsidR="00677FE5">
        <w:rPr>
          <w:i/>
          <w:lang w:val="fr-CA" w:bidi="en-US"/>
        </w:rPr>
        <w:t xml:space="preserve"> </w:t>
      </w:r>
      <w:r w:rsidR="00677FE5" w:rsidRPr="00605F96">
        <w:rPr>
          <w:lang w:val="fr-CA" w:bidi="en-US"/>
        </w:rPr>
        <w:t>(ou fit)</w:t>
      </w:r>
      <w:r w:rsidRPr="00E41DC8">
        <w:rPr>
          <w:i/>
          <w:lang w:val="fr-CA" w:bidi="en-US"/>
        </w:rPr>
        <w:t xml:space="preserve"> </w:t>
      </w:r>
      <w:proofErr w:type="spellStart"/>
      <w:r w:rsidRPr="00E41DC8">
        <w:rPr>
          <w:i/>
          <w:lang w:val="fr-CA" w:bidi="en-US"/>
        </w:rPr>
        <w:t>exclusio</w:t>
      </w:r>
      <w:proofErr w:type="spellEnd"/>
      <w:r w:rsidRPr="00E41DC8">
        <w:rPr>
          <w:i/>
          <w:lang w:val="fr-CA" w:bidi="en-US"/>
        </w:rPr>
        <w:t xml:space="preserve"> </w:t>
      </w:r>
      <w:proofErr w:type="spellStart"/>
      <w:r w:rsidRPr="00E41DC8">
        <w:rPr>
          <w:i/>
          <w:lang w:val="fr-CA" w:bidi="en-US"/>
        </w:rPr>
        <w:t>alterius</w:t>
      </w:r>
      <w:proofErr w:type="spellEnd"/>
      <w:r>
        <w:rPr>
          <w:lang w:val="fr-CA" w:bidi="en-US"/>
        </w:rPr>
        <w:t> »</w:t>
      </w:r>
      <w:r w:rsidRPr="00E41DC8">
        <w:rPr>
          <w:lang w:val="fr-CA" w:bidi="en-US"/>
        </w:rPr>
        <w:t>.</w:t>
      </w:r>
    </w:p>
    <w:p w14:paraId="746D78AC" w14:textId="77777777" w:rsidR="004D7D95" w:rsidRPr="003E73EE" w:rsidRDefault="006F2C51" w:rsidP="00C22A11">
      <w:pPr>
        <w:pStyle w:val="SCCNormalDoubleSpacing"/>
        <w:spacing w:after="240" w:line="240" w:lineRule="auto"/>
        <w:ind w:left="547" w:hanging="547"/>
        <w:rPr>
          <w:lang w:val="fr-CA"/>
        </w:rPr>
      </w:pPr>
      <w:proofErr w:type="spellStart"/>
      <w:r w:rsidRPr="0039749F">
        <w:rPr>
          <w:lang w:val="en-US"/>
        </w:rPr>
        <w:t>Paciocco</w:t>
      </w:r>
      <w:proofErr w:type="spellEnd"/>
      <w:r w:rsidRPr="0039749F">
        <w:rPr>
          <w:lang w:val="en-US"/>
        </w:rPr>
        <w:t>,</w:t>
      </w:r>
      <w:r>
        <w:rPr>
          <w:lang w:val="en-US"/>
        </w:rPr>
        <w:t xml:space="preserve"> David M.</w:t>
      </w:r>
      <w:r w:rsidRPr="0039749F">
        <w:rPr>
          <w:lang w:val="en-US"/>
        </w:rPr>
        <w:t xml:space="preserve"> « The Law of Minimum </w:t>
      </w:r>
      <w:proofErr w:type="gramStart"/>
      <w:r w:rsidRPr="0039749F">
        <w:rPr>
          <w:lang w:val="en-US"/>
        </w:rPr>
        <w:t>Sentences :</w:t>
      </w:r>
      <w:proofErr w:type="gramEnd"/>
      <w:r w:rsidRPr="0039749F">
        <w:rPr>
          <w:lang w:val="en-US"/>
        </w:rPr>
        <w:t xml:space="preserve"> Judicial Responses and Responsibility » (2015), 19 </w:t>
      </w:r>
      <w:r w:rsidRPr="0039749F">
        <w:rPr>
          <w:i/>
          <w:lang w:val="en-US"/>
        </w:rPr>
        <w:t xml:space="preserve">Rev. can. </w:t>
      </w:r>
      <w:r w:rsidRPr="003E73EE">
        <w:rPr>
          <w:i/>
          <w:lang w:val="fr-CA"/>
        </w:rPr>
        <w:t>D.P.</w:t>
      </w:r>
      <w:r w:rsidRPr="003E73EE">
        <w:rPr>
          <w:lang w:val="fr-CA"/>
        </w:rPr>
        <w:t xml:space="preserve"> 173.</w:t>
      </w:r>
    </w:p>
    <w:p w14:paraId="78C58A60" w14:textId="7A3F4756" w:rsidR="0048192F" w:rsidRPr="0048192F" w:rsidRDefault="0048192F" w:rsidP="00C22A11">
      <w:pPr>
        <w:pStyle w:val="SCCNormalDoubleSpacing"/>
        <w:spacing w:after="240" w:line="240" w:lineRule="auto"/>
        <w:ind w:left="547" w:hanging="547"/>
        <w:rPr>
          <w:lang w:val="fr-CA"/>
        </w:rPr>
      </w:pPr>
      <w:r w:rsidRPr="0048192F">
        <w:rPr>
          <w:lang w:val="fr-CA"/>
        </w:rPr>
        <w:t>Parent</w:t>
      </w:r>
      <w:r>
        <w:rPr>
          <w:lang w:val="fr-CA"/>
        </w:rPr>
        <w:t xml:space="preserve">, </w:t>
      </w:r>
      <w:r w:rsidRPr="0048192F">
        <w:rPr>
          <w:lang w:val="fr-CA"/>
        </w:rPr>
        <w:t>Hugues</w:t>
      </w:r>
      <w:r>
        <w:rPr>
          <w:lang w:val="fr-CA"/>
        </w:rPr>
        <w:t xml:space="preserve">, et </w:t>
      </w:r>
      <w:r w:rsidR="00C22A11">
        <w:rPr>
          <w:lang w:val="fr-CA"/>
        </w:rPr>
        <w:t xml:space="preserve">Julie </w:t>
      </w:r>
      <w:r w:rsidRPr="0048192F">
        <w:rPr>
          <w:lang w:val="fr-CA"/>
        </w:rPr>
        <w:t>Desrosiers</w:t>
      </w:r>
      <w:r>
        <w:rPr>
          <w:lang w:val="fr-CA"/>
        </w:rPr>
        <w:t>.</w:t>
      </w:r>
      <w:r w:rsidRPr="0048192F">
        <w:rPr>
          <w:lang w:val="fr-CA"/>
        </w:rPr>
        <w:t xml:space="preserve"> </w:t>
      </w:r>
      <w:r w:rsidRPr="0048192F">
        <w:rPr>
          <w:i/>
          <w:lang w:val="fr-CA"/>
        </w:rPr>
        <w:t>Traité de droit criminel</w:t>
      </w:r>
      <w:r w:rsidRPr="0048192F">
        <w:rPr>
          <w:lang w:val="fr-CA"/>
        </w:rPr>
        <w:t xml:space="preserve">, t. III, </w:t>
      </w:r>
      <w:r w:rsidRPr="0048192F">
        <w:rPr>
          <w:i/>
          <w:lang w:val="fr-CA"/>
        </w:rPr>
        <w:t>La peine</w:t>
      </w:r>
      <w:r w:rsidR="00184B5F">
        <w:rPr>
          <w:lang w:val="fr-CA"/>
        </w:rPr>
        <w:t>, 3</w:t>
      </w:r>
      <w:r w:rsidR="00184B5F" w:rsidRPr="00184B5F">
        <w:rPr>
          <w:vertAlign w:val="superscript"/>
          <w:lang w:val="fr-CA"/>
        </w:rPr>
        <w:t>e</w:t>
      </w:r>
      <w:r w:rsidR="00184B5F">
        <w:rPr>
          <w:lang w:val="fr-CA"/>
        </w:rPr>
        <w:t xml:space="preserve"> éd.</w:t>
      </w:r>
      <w:r>
        <w:rPr>
          <w:lang w:val="fr-CA"/>
        </w:rPr>
        <w:t xml:space="preserve">, </w:t>
      </w:r>
      <w:r w:rsidRPr="0048192F">
        <w:rPr>
          <w:lang w:val="fr-CA"/>
        </w:rPr>
        <w:t>Montréal</w:t>
      </w:r>
      <w:r>
        <w:rPr>
          <w:lang w:val="fr-CA"/>
        </w:rPr>
        <w:t>, Thémis,</w:t>
      </w:r>
      <w:r w:rsidRPr="0048192F">
        <w:rPr>
          <w:lang w:val="fr-CA"/>
        </w:rPr>
        <w:t xml:space="preserve"> 2020</w:t>
      </w:r>
      <w:r>
        <w:rPr>
          <w:lang w:val="fr-CA"/>
        </w:rPr>
        <w:t>.</w:t>
      </w:r>
    </w:p>
    <w:p w14:paraId="264B2F98" w14:textId="2947B205" w:rsidR="00D20A59" w:rsidRPr="00D20A59" w:rsidRDefault="00D20A59" w:rsidP="00C22A11">
      <w:pPr>
        <w:pStyle w:val="SCCNormalDoubleSpacing"/>
        <w:spacing w:after="240" w:line="240" w:lineRule="auto"/>
        <w:ind w:left="547" w:hanging="547"/>
        <w:rPr>
          <w:lang w:val="fr-CA"/>
        </w:rPr>
      </w:pPr>
      <w:r w:rsidRPr="00D20A59">
        <w:rPr>
          <w:rStyle w:val="solexhl"/>
          <w:rFonts w:eastAsiaTheme="majorEastAsia"/>
          <w:i/>
          <w:iCs/>
          <w:color w:val="000000"/>
          <w:lang w:val="fr-CA"/>
        </w:rPr>
        <w:t>Petit Robert</w:t>
      </w:r>
      <w:r w:rsidRPr="00D20A59">
        <w:rPr>
          <w:i/>
          <w:iCs/>
          <w:color w:val="000000"/>
          <w:lang w:val="fr-CA"/>
        </w:rPr>
        <w:t> : dictionnaire alphabétique et analogique de la langue française</w:t>
      </w:r>
      <w:r w:rsidRPr="00D20A59">
        <w:rPr>
          <w:color w:val="000000"/>
          <w:lang w:val="fr-CA"/>
        </w:rPr>
        <w:t xml:space="preserve">, </w:t>
      </w:r>
      <w:proofErr w:type="spellStart"/>
      <w:r w:rsidRPr="00D20A59">
        <w:rPr>
          <w:color w:val="000000"/>
          <w:lang w:val="fr-CA"/>
        </w:rPr>
        <w:t>nouv</w:t>
      </w:r>
      <w:proofErr w:type="spellEnd"/>
      <w:r w:rsidR="00E1146A">
        <w:rPr>
          <w:color w:val="000000"/>
          <w:lang w:val="fr-CA"/>
        </w:rPr>
        <w:t>.</w:t>
      </w:r>
      <w:r>
        <w:rPr>
          <w:color w:val="000000"/>
          <w:lang w:val="fr-CA"/>
        </w:rPr>
        <w:t xml:space="preserve"> </w:t>
      </w:r>
      <w:proofErr w:type="gramStart"/>
      <w:r>
        <w:rPr>
          <w:color w:val="000000"/>
          <w:lang w:val="fr-CA"/>
        </w:rPr>
        <w:t>éd</w:t>
      </w:r>
      <w:proofErr w:type="gramEnd"/>
      <w:r>
        <w:rPr>
          <w:color w:val="000000"/>
          <w:lang w:val="fr-CA"/>
        </w:rPr>
        <w:t>., Paris, Le Robert, 2022</w:t>
      </w:r>
      <w:r w:rsidRPr="00D20A59">
        <w:rPr>
          <w:color w:val="000000"/>
          <w:lang w:val="fr-CA"/>
        </w:rPr>
        <w:t>, « </w:t>
      </w:r>
      <w:r w:rsidRPr="00D20A59">
        <w:rPr>
          <w:lang w:val="fr-CA"/>
        </w:rPr>
        <w:t>ordonnance »</w:t>
      </w:r>
      <w:r>
        <w:rPr>
          <w:lang w:val="fr-CA"/>
        </w:rPr>
        <w:t>.</w:t>
      </w:r>
    </w:p>
    <w:p w14:paraId="649315C4" w14:textId="330BE93C" w:rsidR="000E6C4E" w:rsidRPr="000E6C4E" w:rsidRDefault="000E6C4E" w:rsidP="00C22A11">
      <w:pPr>
        <w:pStyle w:val="SCCNormalDoubleSpacing"/>
        <w:spacing w:after="240" w:line="240" w:lineRule="auto"/>
        <w:ind w:left="547" w:hanging="547"/>
        <w:rPr>
          <w:lang w:val="fr-CA"/>
        </w:rPr>
      </w:pPr>
      <w:proofErr w:type="spellStart"/>
      <w:r w:rsidRPr="000E6C4E">
        <w:rPr>
          <w:lang w:val="fr-CA"/>
        </w:rPr>
        <w:lastRenderedPageBreak/>
        <w:t>Picotte</w:t>
      </w:r>
      <w:proofErr w:type="spellEnd"/>
      <w:r w:rsidRPr="000E6C4E">
        <w:rPr>
          <w:lang w:val="fr-CA"/>
        </w:rPr>
        <w:t>,</w:t>
      </w:r>
      <w:r>
        <w:rPr>
          <w:lang w:val="fr-CA"/>
        </w:rPr>
        <w:t xml:space="preserve"> </w:t>
      </w:r>
      <w:r w:rsidRPr="000E6C4E">
        <w:rPr>
          <w:lang w:val="fr-CA"/>
        </w:rPr>
        <w:t xml:space="preserve">Jacques. </w:t>
      </w:r>
      <w:proofErr w:type="spellStart"/>
      <w:r w:rsidRPr="000E6C4E">
        <w:rPr>
          <w:i/>
          <w:lang w:val="fr-CA"/>
        </w:rPr>
        <w:t>Juridictionnaire</w:t>
      </w:r>
      <w:proofErr w:type="spellEnd"/>
      <w:r w:rsidRPr="000E6C4E">
        <w:rPr>
          <w:i/>
          <w:lang w:val="fr-CA"/>
        </w:rPr>
        <w:t> : Recueil des difficultés et des ressources du français juridique</w:t>
      </w:r>
      <w:r w:rsidRPr="000E6C4E">
        <w:rPr>
          <w:lang w:val="fr-CA"/>
        </w:rPr>
        <w:t>, 15 octobre 2018 (en ligne)</w:t>
      </w:r>
      <w:r w:rsidR="005E5831">
        <w:rPr>
          <w:lang w:val="fr-CA"/>
        </w:rPr>
        <w:t xml:space="preserve">, </w:t>
      </w:r>
      <w:r w:rsidR="005E5831" w:rsidRPr="000E6C4E">
        <w:rPr>
          <w:lang w:val="fr-CA"/>
        </w:rPr>
        <w:t>« peine/sentence »</w:t>
      </w:r>
      <w:r>
        <w:rPr>
          <w:lang w:val="fr-CA"/>
        </w:rPr>
        <w:t>.</w:t>
      </w:r>
    </w:p>
    <w:p w14:paraId="79DCE6E0" w14:textId="6EF2A85E" w:rsidR="00AE0FF7" w:rsidRPr="00AE0FF7" w:rsidRDefault="00AE0FF7" w:rsidP="00C22A11">
      <w:pPr>
        <w:pStyle w:val="SCCNormalDoubleSpacing"/>
        <w:spacing w:after="240" w:line="240" w:lineRule="auto"/>
        <w:ind w:left="547" w:hanging="547"/>
        <w:rPr>
          <w:lang w:val="fr-CA"/>
        </w:rPr>
      </w:pPr>
      <w:r w:rsidRPr="00AE0FF7">
        <w:rPr>
          <w:lang w:val="fr-CA"/>
        </w:rPr>
        <w:t xml:space="preserve">Québec. Cour d’appel. </w:t>
      </w:r>
      <w:r w:rsidR="006703BF" w:rsidRPr="00B92817">
        <w:rPr>
          <w:i/>
          <w:lang w:val="fr-CA"/>
        </w:rPr>
        <w:t>Lexique en droit pénal</w:t>
      </w:r>
      <w:r w:rsidRPr="00AE0FF7">
        <w:rPr>
          <w:lang w:val="fr-CA"/>
        </w:rPr>
        <w:t xml:space="preserve"> (</w:t>
      </w:r>
      <w:r>
        <w:rPr>
          <w:lang w:val="fr-CA"/>
        </w:rPr>
        <w:t>en ligne</w:t>
      </w:r>
      <w:r w:rsidRPr="00AE0FF7">
        <w:rPr>
          <w:color w:val="000000"/>
          <w:lang w:val="fr-CA"/>
        </w:rPr>
        <w:t>).</w:t>
      </w:r>
    </w:p>
    <w:p w14:paraId="435C3C4E" w14:textId="75E12DB6" w:rsidR="005830B9" w:rsidRDefault="005830B9" w:rsidP="00C22A11">
      <w:pPr>
        <w:pStyle w:val="SCCNormalDoubleSpacing"/>
        <w:spacing w:after="240" w:line="240" w:lineRule="auto"/>
        <w:ind w:left="547" w:hanging="547"/>
        <w:rPr>
          <w:lang w:val="en-US"/>
        </w:rPr>
      </w:pPr>
      <w:r w:rsidRPr="00653262">
        <w:t>Rose,</w:t>
      </w:r>
      <w:r>
        <w:t xml:space="preserve"> </w:t>
      </w:r>
      <w:r w:rsidRPr="005830B9">
        <w:t>David</w:t>
      </w:r>
      <w:r>
        <w:t>.</w:t>
      </w:r>
      <w:r w:rsidRPr="00653262">
        <w:t xml:space="preserve"> </w:t>
      </w:r>
      <w:r w:rsidRPr="00653262">
        <w:rPr>
          <w:i/>
          <w:iCs/>
        </w:rPr>
        <w:t>Quigley’s Criminal Procedure in Canada</w:t>
      </w:r>
      <w:r>
        <w:rPr>
          <w:iCs/>
        </w:rPr>
        <w:t xml:space="preserve">, </w:t>
      </w:r>
      <w:r w:rsidRPr="005830B9">
        <w:rPr>
          <w:iCs/>
        </w:rPr>
        <w:t xml:space="preserve">Toronto, </w:t>
      </w:r>
      <w:r w:rsidR="00BF04A8" w:rsidRPr="00E172FE">
        <w:rPr>
          <w:iCs/>
        </w:rPr>
        <w:t>Thomson/Carswell</w:t>
      </w:r>
      <w:r>
        <w:rPr>
          <w:iCs/>
        </w:rPr>
        <w:t>,</w:t>
      </w:r>
      <w:r w:rsidRPr="00653262">
        <w:t xml:space="preserve"> </w:t>
      </w:r>
      <w:r>
        <w:t>2023 (</w:t>
      </w:r>
      <w:r w:rsidR="00C22A11">
        <w:t>loose</w:t>
      </w:r>
      <w:r w:rsidR="00C22A11">
        <w:noBreakHyphen/>
      </w:r>
      <w:r w:rsidRPr="005830B9">
        <w:t>leaf</w:t>
      </w:r>
      <w:r>
        <w:t xml:space="preserve"> </w:t>
      </w:r>
      <w:r w:rsidRPr="005830B9">
        <w:t>updated</w:t>
      </w:r>
      <w:r>
        <w:t xml:space="preserve"> February 2023, release 1).</w:t>
      </w:r>
    </w:p>
    <w:p w14:paraId="3A3943E6" w14:textId="77777777" w:rsidR="001A6285" w:rsidRPr="00212976" w:rsidRDefault="001A6285" w:rsidP="00C22A11">
      <w:pPr>
        <w:pStyle w:val="SCCNormalDoubleSpacing"/>
        <w:spacing w:after="240" w:line="240" w:lineRule="auto"/>
        <w:ind w:left="547" w:hanging="547"/>
        <w:rPr>
          <w:lang w:val="en-US"/>
        </w:rPr>
      </w:pPr>
      <w:r w:rsidRPr="00AE00F5">
        <w:t>Sullivan</w:t>
      </w:r>
      <w:r>
        <w:t xml:space="preserve">, </w:t>
      </w:r>
      <w:r w:rsidRPr="00AE00F5">
        <w:t>Ruth</w:t>
      </w:r>
      <w:r>
        <w:t xml:space="preserve">. </w:t>
      </w:r>
      <w:r w:rsidRPr="0001127A">
        <w:rPr>
          <w:i/>
          <w:lang w:val="en-US" w:bidi="en-US"/>
        </w:rPr>
        <w:t>The Construction of Statutes</w:t>
      </w:r>
      <w:r>
        <w:rPr>
          <w:lang w:val="en-US" w:bidi="en-US"/>
        </w:rPr>
        <w:t xml:space="preserve">, </w:t>
      </w:r>
      <w:r w:rsidRPr="0001127A">
        <w:rPr>
          <w:lang w:val="en-US" w:bidi="en-US"/>
        </w:rPr>
        <w:t>7</w:t>
      </w:r>
      <w:r>
        <w:rPr>
          <w:lang w:val="en-US" w:bidi="en-US"/>
        </w:rPr>
        <w:t>th</w:t>
      </w:r>
      <w:r w:rsidRPr="0001127A">
        <w:rPr>
          <w:lang w:val="en-US" w:bidi="en-US"/>
        </w:rPr>
        <w:t xml:space="preserve"> </w:t>
      </w:r>
      <w:r>
        <w:rPr>
          <w:lang w:val="en-US" w:bidi="en-US"/>
        </w:rPr>
        <w:t>e</w:t>
      </w:r>
      <w:r w:rsidRPr="0001127A">
        <w:rPr>
          <w:lang w:val="en-US" w:bidi="en-US"/>
        </w:rPr>
        <w:t>d.</w:t>
      </w:r>
      <w:r>
        <w:rPr>
          <w:lang w:val="en-US" w:bidi="en-US"/>
        </w:rPr>
        <w:t>, Toronto, LexisNexis,</w:t>
      </w:r>
      <w:r w:rsidRPr="0001127A">
        <w:rPr>
          <w:lang w:val="en-US" w:bidi="en-US"/>
        </w:rPr>
        <w:t xml:space="preserve"> </w:t>
      </w:r>
      <w:r w:rsidRPr="00AE00F5">
        <w:rPr>
          <w:lang w:bidi="en-US"/>
        </w:rPr>
        <w:t>2022</w:t>
      </w:r>
      <w:r>
        <w:rPr>
          <w:lang w:bidi="en-US"/>
        </w:rPr>
        <w:t>.</w:t>
      </w:r>
    </w:p>
    <w:p w14:paraId="7BB09D02" w14:textId="77777777" w:rsidR="00C07D3C" w:rsidRPr="00C07D3C" w:rsidRDefault="00C07D3C" w:rsidP="00C22A11">
      <w:pPr>
        <w:pStyle w:val="SCCNormalDoubleSpacing"/>
        <w:spacing w:after="720" w:line="240" w:lineRule="auto"/>
        <w:ind w:left="547" w:hanging="547"/>
        <w:rPr>
          <w:lang w:val="fr-CA"/>
        </w:rPr>
      </w:pPr>
      <w:proofErr w:type="spellStart"/>
      <w:r w:rsidRPr="00C07D3C">
        <w:rPr>
          <w:szCs w:val="24"/>
          <w:lang w:val="fr-CA"/>
        </w:rPr>
        <w:t>Vauclair</w:t>
      </w:r>
      <w:proofErr w:type="spellEnd"/>
      <w:r w:rsidR="0044127E">
        <w:rPr>
          <w:szCs w:val="24"/>
          <w:lang w:val="fr-CA"/>
        </w:rPr>
        <w:t>,</w:t>
      </w:r>
      <w:r>
        <w:rPr>
          <w:szCs w:val="24"/>
          <w:lang w:val="fr-CA"/>
        </w:rPr>
        <w:t xml:space="preserve"> Martin, et Tristan Desjardins</w:t>
      </w:r>
      <w:r w:rsidR="009B52CD" w:rsidRPr="009B52CD">
        <w:rPr>
          <w:szCs w:val="24"/>
          <w:lang w:val="fr-CA"/>
        </w:rPr>
        <w:t>, avec la collaboration de P</w:t>
      </w:r>
      <w:r w:rsidR="009B52CD">
        <w:rPr>
          <w:szCs w:val="24"/>
          <w:lang w:val="fr-CA"/>
        </w:rPr>
        <w:t>auline</w:t>
      </w:r>
      <w:r w:rsidR="009B52CD" w:rsidRPr="009B52CD">
        <w:rPr>
          <w:szCs w:val="24"/>
          <w:lang w:val="fr-CA"/>
        </w:rPr>
        <w:t xml:space="preserve"> Lachance</w:t>
      </w:r>
      <w:r>
        <w:rPr>
          <w:szCs w:val="24"/>
          <w:lang w:val="fr-CA"/>
        </w:rPr>
        <w:t>.</w:t>
      </w:r>
      <w:r w:rsidRPr="00C07D3C">
        <w:rPr>
          <w:szCs w:val="24"/>
          <w:lang w:val="fr-CA"/>
        </w:rPr>
        <w:t xml:space="preserve"> </w:t>
      </w:r>
      <w:r w:rsidRPr="00C07D3C">
        <w:rPr>
          <w:i/>
          <w:szCs w:val="24"/>
          <w:lang w:val="fr-CA"/>
        </w:rPr>
        <w:t>Traité général de preuve et de procédure pénales</w:t>
      </w:r>
      <w:r w:rsidR="0032362F">
        <w:rPr>
          <w:i/>
          <w:szCs w:val="24"/>
          <w:lang w:val="fr-CA"/>
        </w:rPr>
        <w:t xml:space="preserve"> 2022</w:t>
      </w:r>
      <w:r>
        <w:rPr>
          <w:szCs w:val="24"/>
          <w:lang w:val="fr-CA"/>
        </w:rPr>
        <w:t xml:space="preserve">, </w:t>
      </w:r>
      <w:r w:rsidRPr="00C07D3C">
        <w:rPr>
          <w:szCs w:val="24"/>
          <w:lang w:val="fr-CA"/>
        </w:rPr>
        <w:t>29</w:t>
      </w:r>
      <w:r w:rsidRPr="00C07D3C">
        <w:rPr>
          <w:szCs w:val="24"/>
          <w:vertAlign w:val="superscript"/>
          <w:lang w:val="fr-CA"/>
        </w:rPr>
        <w:t>e</w:t>
      </w:r>
      <w:r w:rsidRPr="00C07D3C">
        <w:rPr>
          <w:szCs w:val="24"/>
          <w:lang w:val="fr-CA"/>
        </w:rPr>
        <w:t xml:space="preserve"> éd.</w:t>
      </w:r>
      <w:r>
        <w:rPr>
          <w:szCs w:val="24"/>
          <w:lang w:val="fr-CA"/>
        </w:rPr>
        <w:t>, Montréal, Yvon Blais,</w:t>
      </w:r>
      <w:r w:rsidRPr="00C07D3C">
        <w:rPr>
          <w:szCs w:val="24"/>
          <w:lang w:val="fr-CA"/>
        </w:rPr>
        <w:t xml:space="preserve"> 2022</w:t>
      </w:r>
      <w:r>
        <w:rPr>
          <w:szCs w:val="24"/>
          <w:lang w:val="fr-CA"/>
        </w:rPr>
        <w:t>.</w:t>
      </w:r>
    </w:p>
    <w:p w14:paraId="0FE83750" w14:textId="4FC728D3" w:rsidR="004D7D95" w:rsidRPr="004D7D95" w:rsidRDefault="005D27D6" w:rsidP="008100DF">
      <w:pPr>
        <w:pStyle w:val="SCCNormalDoubleSpacing"/>
        <w:spacing w:after="480"/>
        <w:rPr>
          <w:lang w:val="fr-CA"/>
        </w:rPr>
      </w:pPr>
      <w:r w:rsidRPr="00C07D3C">
        <w:rPr>
          <w:lang w:val="fr-CA"/>
        </w:rPr>
        <w:tab/>
      </w:r>
      <w:r w:rsidR="004D7D95" w:rsidRPr="004D7D95">
        <w:rPr>
          <w:lang w:val="fr-CA"/>
        </w:rPr>
        <w:t xml:space="preserve">POURVOI contre un arrêt de la </w:t>
      </w:r>
      <w:r w:rsidR="004D7D95" w:rsidRPr="005B3B19">
        <w:rPr>
          <w:lang w:val="fr-CA"/>
        </w:rPr>
        <w:t xml:space="preserve">Cour d’appel du </w:t>
      </w:r>
      <w:r w:rsidR="00C22A11">
        <w:rPr>
          <w:lang w:val="fr-CA"/>
        </w:rPr>
        <w:t>Nouveau</w:t>
      </w:r>
      <w:r w:rsidR="00C22A11">
        <w:rPr>
          <w:lang w:val="fr-CA"/>
        </w:rPr>
        <w:noBreakHyphen/>
      </w:r>
      <w:r w:rsidR="004D7D95" w:rsidRPr="005B3B19">
        <w:rPr>
          <w:lang w:val="fr-CA"/>
        </w:rPr>
        <w:t>Brunswick</w:t>
      </w:r>
      <w:r>
        <w:rPr>
          <w:lang w:val="fr-CA"/>
        </w:rPr>
        <w:t xml:space="preserve"> (</w:t>
      </w:r>
      <w:r w:rsidR="00EE3999">
        <w:rPr>
          <w:lang w:val="fr-CA"/>
        </w:rPr>
        <w:t xml:space="preserve">le juge en chef </w:t>
      </w:r>
      <w:r w:rsidR="00EE3999" w:rsidRPr="00E934F8">
        <w:rPr>
          <w:lang w:val="fr-CA"/>
        </w:rPr>
        <w:t>Richard</w:t>
      </w:r>
      <w:r w:rsidR="00EE3999">
        <w:rPr>
          <w:lang w:val="fr-CA"/>
        </w:rPr>
        <w:t xml:space="preserve"> et </w:t>
      </w:r>
      <w:r>
        <w:rPr>
          <w:lang w:val="fr-CA"/>
        </w:rPr>
        <w:t>les juges</w:t>
      </w:r>
      <w:r w:rsidR="00E934F8" w:rsidRPr="00E934F8">
        <w:rPr>
          <w:lang w:val="fr-CA"/>
        </w:rPr>
        <w:t xml:space="preserve"> Baird </w:t>
      </w:r>
      <w:r w:rsidR="00E934F8">
        <w:rPr>
          <w:lang w:val="fr-CA"/>
        </w:rPr>
        <w:t>et</w:t>
      </w:r>
      <w:r w:rsidR="00E934F8" w:rsidRPr="00E934F8">
        <w:rPr>
          <w:lang w:val="fr-CA"/>
        </w:rPr>
        <w:t xml:space="preserve"> French</w:t>
      </w:r>
      <w:r>
        <w:rPr>
          <w:lang w:val="fr-CA"/>
        </w:rPr>
        <w:t xml:space="preserve">), </w:t>
      </w:r>
      <w:hyperlink r:id="rId10" w:history="1">
        <w:r w:rsidR="00E934F8" w:rsidRPr="00D63C22">
          <w:rPr>
            <w:rStyle w:val="Hyperlink"/>
            <w:lang w:val="fr-CA"/>
          </w:rPr>
          <w:t>2021 NBCA 50</w:t>
        </w:r>
      </w:hyperlink>
      <w:r w:rsidR="00E934F8" w:rsidRPr="00E934F8">
        <w:rPr>
          <w:lang w:val="fr-CA"/>
        </w:rPr>
        <w:t xml:space="preserve">, 410 C.C.C. (3d) 228, 84 M.V.R. (7th) </w:t>
      </w:r>
      <w:r w:rsidR="002163FC">
        <w:rPr>
          <w:lang w:val="fr-CA"/>
        </w:rPr>
        <w:t>54</w:t>
      </w:r>
      <w:r w:rsidR="00E934F8" w:rsidRPr="00E934F8">
        <w:rPr>
          <w:lang w:val="fr-CA"/>
        </w:rPr>
        <w:t xml:space="preserve">, [2021] </w:t>
      </w:r>
      <w:r w:rsidR="00C22A11">
        <w:rPr>
          <w:lang w:val="fr-CA"/>
        </w:rPr>
        <w:t>A.N.</w:t>
      </w:r>
      <w:r w:rsidR="00C22A11">
        <w:rPr>
          <w:lang w:val="fr-CA"/>
        </w:rPr>
        <w:noBreakHyphen/>
      </w:r>
      <w:r w:rsidR="00E934F8">
        <w:rPr>
          <w:lang w:val="fr-CA"/>
        </w:rPr>
        <w:t xml:space="preserve">B. </w:t>
      </w:r>
      <w:r w:rsidR="00E934F8" w:rsidRPr="001A48FF">
        <w:rPr>
          <w:lang w:val="fr-CA"/>
        </w:rPr>
        <w:t>n</w:t>
      </w:r>
      <w:r w:rsidR="00E934F8" w:rsidRPr="001A48FF">
        <w:rPr>
          <w:vertAlign w:val="superscript"/>
          <w:lang w:val="fr-CA"/>
        </w:rPr>
        <w:t>o</w:t>
      </w:r>
      <w:r w:rsidR="00E934F8" w:rsidRPr="00E934F8">
        <w:rPr>
          <w:lang w:val="fr-CA"/>
        </w:rPr>
        <w:t xml:space="preserve"> 288 (QL), 2021 </w:t>
      </w:r>
      <w:proofErr w:type="spellStart"/>
      <w:r w:rsidR="00E934F8" w:rsidRPr="00E934F8">
        <w:rPr>
          <w:lang w:val="fr-CA"/>
        </w:rPr>
        <w:t>CarswellNB</w:t>
      </w:r>
      <w:proofErr w:type="spellEnd"/>
      <w:r w:rsidR="00E934F8" w:rsidRPr="00E934F8">
        <w:rPr>
          <w:lang w:val="fr-CA"/>
        </w:rPr>
        <w:t xml:space="preserve"> </w:t>
      </w:r>
      <w:r w:rsidR="00382B34" w:rsidRPr="00382B34">
        <w:rPr>
          <w:lang w:val="fr-CA"/>
        </w:rPr>
        <w:t>565</w:t>
      </w:r>
      <w:r w:rsidR="00E934F8" w:rsidRPr="00E934F8">
        <w:rPr>
          <w:lang w:val="fr-CA"/>
        </w:rPr>
        <w:t xml:space="preserve"> (WL)</w:t>
      </w:r>
      <w:r w:rsidR="002B4974">
        <w:rPr>
          <w:lang w:val="fr-CA"/>
        </w:rPr>
        <w:t xml:space="preserve">, </w:t>
      </w:r>
      <w:r w:rsidR="002B4974" w:rsidRPr="00446967">
        <w:rPr>
          <w:lang w:val="fr-CA"/>
        </w:rPr>
        <w:t xml:space="preserve">qui a écarté une décision du juge </w:t>
      </w:r>
      <w:proofErr w:type="spellStart"/>
      <w:r w:rsidR="002B4974" w:rsidRPr="00446967">
        <w:rPr>
          <w:lang w:val="fr-CA"/>
        </w:rPr>
        <w:t>Dysart</w:t>
      </w:r>
      <w:proofErr w:type="spellEnd"/>
      <w:r w:rsidR="002B4974">
        <w:rPr>
          <w:lang w:val="fr-CA"/>
        </w:rPr>
        <w:t xml:space="preserve">, </w:t>
      </w:r>
      <w:r w:rsidR="00945F44">
        <w:rPr>
          <w:lang w:val="fr-CA"/>
        </w:rPr>
        <w:t xml:space="preserve">2020 NBBR 130, </w:t>
      </w:r>
      <w:r w:rsidR="009F5570" w:rsidRPr="00954C59">
        <w:rPr>
          <w:lang w:val="fr-CA"/>
        </w:rPr>
        <w:t>65 M.V.R. (7th) 208,</w:t>
      </w:r>
      <w:r w:rsidR="009F5570">
        <w:rPr>
          <w:lang w:val="fr-CA"/>
        </w:rPr>
        <w:t xml:space="preserve"> </w:t>
      </w:r>
      <w:r w:rsidR="008100DF">
        <w:rPr>
          <w:lang w:val="fr-CA"/>
        </w:rPr>
        <w:t>[2020] A.N.</w:t>
      </w:r>
      <w:r w:rsidR="008100DF">
        <w:rPr>
          <w:lang w:val="fr-CA"/>
        </w:rPr>
        <w:noBreakHyphen/>
      </w:r>
      <w:r w:rsidR="00945F44">
        <w:rPr>
          <w:lang w:val="fr-CA"/>
        </w:rPr>
        <w:t xml:space="preserve">B. </w:t>
      </w:r>
      <w:r w:rsidR="00945F44" w:rsidRPr="001A48FF">
        <w:rPr>
          <w:lang w:val="fr-CA"/>
        </w:rPr>
        <w:t>n</w:t>
      </w:r>
      <w:r w:rsidR="00945F44" w:rsidRPr="001A48FF">
        <w:rPr>
          <w:vertAlign w:val="superscript"/>
          <w:lang w:val="fr-CA"/>
        </w:rPr>
        <w:t>o</w:t>
      </w:r>
      <w:r w:rsidR="00945F44" w:rsidRPr="00E934F8">
        <w:rPr>
          <w:lang w:val="fr-CA"/>
        </w:rPr>
        <w:t> </w:t>
      </w:r>
      <w:r w:rsidR="00945F44">
        <w:rPr>
          <w:lang w:val="fr-CA"/>
        </w:rPr>
        <w:t xml:space="preserve">194 (QL), 2020 </w:t>
      </w:r>
      <w:proofErr w:type="spellStart"/>
      <w:r w:rsidR="00945F44">
        <w:rPr>
          <w:lang w:val="fr-CA"/>
        </w:rPr>
        <w:t>CarswellNB</w:t>
      </w:r>
      <w:proofErr w:type="spellEnd"/>
      <w:r w:rsidR="00945F44">
        <w:rPr>
          <w:lang w:val="fr-CA"/>
        </w:rPr>
        <w:t xml:space="preserve"> </w:t>
      </w:r>
      <w:r w:rsidR="00945F44" w:rsidRPr="00382B34">
        <w:rPr>
          <w:lang w:val="fr-CA"/>
        </w:rPr>
        <w:t>386</w:t>
      </w:r>
      <w:r w:rsidR="002B495D">
        <w:rPr>
          <w:lang w:val="fr-CA"/>
        </w:rPr>
        <w:t xml:space="preserve"> (WL), qui avait confirmé la </w:t>
      </w:r>
      <w:r w:rsidR="0048332E">
        <w:rPr>
          <w:lang w:val="fr-CA"/>
        </w:rPr>
        <w:t>peine</w:t>
      </w:r>
      <w:r w:rsidR="002B495D">
        <w:rPr>
          <w:lang w:val="fr-CA"/>
        </w:rPr>
        <w:t xml:space="preserve"> imposée</w:t>
      </w:r>
      <w:r w:rsidR="002B495D" w:rsidRPr="002B495D">
        <w:rPr>
          <w:lang w:val="fr-CA"/>
        </w:rPr>
        <w:t xml:space="preserve"> </w:t>
      </w:r>
      <w:r w:rsidR="002B495D">
        <w:rPr>
          <w:lang w:val="fr-CA"/>
        </w:rPr>
        <w:t xml:space="preserve">à la contrevenante par le juge </w:t>
      </w:r>
      <w:proofErr w:type="spellStart"/>
      <w:r w:rsidR="002B495D">
        <w:rPr>
          <w:lang w:val="fr-CA"/>
        </w:rPr>
        <w:t>McCarroll</w:t>
      </w:r>
      <w:proofErr w:type="spellEnd"/>
      <w:r w:rsidR="002B495D">
        <w:rPr>
          <w:lang w:val="fr-CA"/>
        </w:rPr>
        <w:t xml:space="preserve"> de la Cour provinciale.</w:t>
      </w:r>
      <w:r>
        <w:rPr>
          <w:lang w:val="fr-CA"/>
        </w:rPr>
        <w:t xml:space="preserve"> Pourvoi </w:t>
      </w:r>
      <w:r w:rsidR="005129D1" w:rsidRPr="00446967">
        <w:rPr>
          <w:lang w:val="fr-CA"/>
        </w:rPr>
        <w:t>accueilli</w:t>
      </w:r>
      <w:r>
        <w:rPr>
          <w:lang w:val="fr-CA"/>
        </w:rPr>
        <w:t>.</w:t>
      </w:r>
    </w:p>
    <w:p w14:paraId="1604C957" w14:textId="77777777" w:rsidR="006C58DC" w:rsidRPr="005B3B19" w:rsidRDefault="00D92AB2" w:rsidP="008100DF">
      <w:pPr>
        <w:pStyle w:val="SCCNormalDoubleSpacing"/>
        <w:spacing w:after="480"/>
        <w:rPr>
          <w:lang w:val="fr-CA"/>
        </w:rPr>
      </w:pPr>
      <w:r>
        <w:rPr>
          <w:rStyle w:val="SCCCounselNameChar"/>
          <w:lang w:val="fr-CA"/>
        </w:rPr>
        <w:tab/>
        <w:t>Robert K. McK</w:t>
      </w:r>
      <w:r w:rsidR="003B122D" w:rsidRPr="005B3B19">
        <w:rPr>
          <w:rStyle w:val="SCCCounselNameChar"/>
          <w:lang w:val="fr-CA"/>
        </w:rPr>
        <w:t>ee</w:t>
      </w:r>
      <w:r>
        <w:rPr>
          <w:rStyle w:val="SCCCounselPartyRoleChar"/>
          <w:lang w:val="fr-CA"/>
        </w:rPr>
        <w:t>, pour l</w:t>
      </w:r>
      <w:r w:rsidR="007B4856">
        <w:rPr>
          <w:rStyle w:val="SCCCounselPartyRoleChar"/>
          <w:lang w:val="fr-CA"/>
        </w:rPr>
        <w:t>’</w:t>
      </w:r>
      <w:r>
        <w:rPr>
          <w:rStyle w:val="SCCCounselPartyRoleChar"/>
          <w:lang w:val="fr-CA"/>
        </w:rPr>
        <w:t>appelante</w:t>
      </w:r>
      <w:r w:rsidR="003B122D" w:rsidRPr="005B3B19">
        <w:rPr>
          <w:rStyle w:val="SCCCounselPartyRoleChar"/>
          <w:lang w:val="fr-CA"/>
        </w:rPr>
        <w:t>.</w:t>
      </w:r>
    </w:p>
    <w:p w14:paraId="0F8466F5" w14:textId="77777777" w:rsidR="006C58DC" w:rsidRPr="005B3B19" w:rsidRDefault="003B122D" w:rsidP="008100DF">
      <w:pPr>
        <w:pStyle w:val="SCCNormalDoubleSpacing"/>
        <w:spacing w:after="480"/>
        <w:rPr>
          <w:lang w:val="fr-CA"/>
        </w:rPr>
      </w:pPr>
      <w:r w:rsidRPr="005B3B19">
        <w:rPr>
          <w:rStyle w:val="SCCCounselNameChar"/>
          <w:lang w:val="fr-CA"/>
        </w:rPr>
        <w:tab/>
        <w:t xml:space="preserve">Patrick </w:t>
      </w:r>
      <w:proofErr w:type="spellStart"/>
      <w:r w:rsidRPr="005B3B19">
        <w:rPr>
          <w:rStyle w:val="SCCCounselNameChar"/>
          <w:lang w:val="fr-CA"/>
        </w:rPr>
        <w:t>McGuinty</w:t>
      </w:r>
      <w:proofErr w:type="spellEnd"/>
      <w:r w:rsidR="00D92AB2">
        <w:rPr>
          <w:rStyle w:val="SCCCounselNameChar"/>
          <w:lang w:val="fr-CA"/>
        </w:rPr>
        <w:t xml:space="preserve"> </w:t>
      </w:r>
      <w:r w:rsidR="00D92AB2" w:rsidRPr="00D92AB2">
        <w:rPr>
          <w:rStyle w:val="SCCCounselNameChar"/>
          <w:i w:val="0"/>
          <w:lang w:val="fr-CA"/>
        </w:rPr>
        <w:t xml:space="preserve">et </w:t>
      </w:r>
      <w:r w:rsidR="00D92AB2" w:rsidRPr="00D92AB2">
        <w:rPr>
          <w:rStyle w:val="SCCCounselNameChar"/>
          <w:lang w:val="fr-CA"/>
        </w:rPr>
        <w:t xml:space="preserve">Pierre </w:t>
      </w:r>
      <w:proofErr w:type="spellStart"/>
      <w:r w:rsidR="00D92AB2" w:rsidRPr="00D92AB2">
        <w:rPr>
          <w:rStyle w:val="SCCCounselNameChar"/>
          <w:lang w:val="fr-CA"/>
        </w:rPr>
        <w:t>Gionet</w:t>
      </w:r>
      <w:proofErr w:type="spellEnd"/>
      <w:r w:rsidR="00D92AB2">
        <w:rPr>
          <w:rStyle w:val="SCCCounselPartyRoleChar"/>
          <w:lang w:val="fr-CA"/>
        </w:rPr>
        <w:t>, pour l</w:t>
      </w:r>
      <w:r w:rsidR="007B4856">
        <w:rPr>
          <w:rStyle w:val="SCCCounselPartyRoleChar"/>
          <w:lang w:val="fr-CA"/>
        </w:rPr>
        <w:t>’</w:t>
      </w:r>
      <w:r w:rsidR="00D92AB2">
        <w:rPr>
          <w:rStyle w:val="SCCCounselPartyRoleChar"/>
          <w:lang w:val="fr-CA"/>
        </w:rPr>
        <w:t>intimé</w:t>
      </w:r>
      <w:r w:rsidRPr="005B3B19">
        <w:rPr>
          <w:rStyle w:val="SCCCounselPartyRoleChar"/>
          <w:lang w:val="fr-CA"/>
        </w:rPr>
        <w:t>.</w:t>
      </w:r>
    </w:p>
    <w:p w14:paraId="5C557E3B" w14:textId="77777777" w:rsidR="006C58DC" w:rsidRPr="005B3B19" w:rsidRDefault="003B122D" w:rsidP="008100DF">
      <w:pPr>
        <w:pStyle w:val="SCCNormalDoubleSpacing"/>
        <w:spacing w:after="480"/>
        <w:rPr>
          <w:lang w:val="fr-CA"/>
        </w:rPr>
      </w:pPr>
      <w:r w:rsidRPr="005B3B19">
        <w:rPr>
          <w:rStyle w:val="SCCCounselNameChar"/>
          <w:lang w:val="fr-CA"/>
        </w:rPr>
        <w:tab/>
      </w:r>
      <w:proofErr w:type="spellStart"/>
      <w:r w:rsidRPr="005B3B19">
        <w:rPr>
          <w:rStyle w:val="SCCCounselNameChar"/>
          <w:lang w:val="fr-CA"/>
        </w:rPr>
        <w:t>Elisa</w:t>
      </w:r>
      <w:proofErr w:type="spellEnd"/>
      <w:r w:rsidRPr="005B3B19">
        <w:rPr>
          <w:rStyle w:val="SCCCounselNameChar"/>
          <w:lang w:val="fr-CA"/>
        </w:rPr>
        <w:t xml:space="preserve"> Frank</w:t>
      </w:r>
      <w:r w:rsidR="00D92AB2">
        <w:rPr>
          <w:rStyle w:val="SCCCounselPartyRoleChar"/>
          <w:lang w:val="fr-CA"/>
        </w:rPr>
        <w:t>, pour l</w:t>
      </w:r>
      <w:r w:rsidR="007B4856">
        <w:rPr>
          <w:rStyle w:val="SCCCounselPartyRoleChar"/>
          <w:lang w:val="fr-CA"/>
        </w:rPr>
        <w:t>’</w:t>
      </w:r>
      <w:r w:rsidR="00D92AB2">
        <w:rPr>
          <w:rStyle w:val="SCCCounselPartyRoleChar"/>
          <w:lang w:val="fr-CA"/>
        </w:rPr>
        <w:t>intervenant</w:t>
      </w:r>
      <w:r w:rsidRPr="005B3B19">
        <w:rPr>
          <w:rStyle w:val="SCCCounselPartyRoleChar"/>
          <w:lang w:val="fr-CA"/>
        </w:rPr>
        <w:t>.</w:t>
      </w:r>
    </w:p>
    <w:p w14:paraId="55B424C5" w14:textId="77777777" w:rsidR="000E6B3D" w:rsidRDefault="000E6B3D" w:rsidP="000E6B3D">
      <w:pPr>
        <w:tabs>
          <w:tab w:val="left" w:pos="1134"/>
        </w:tabs>
        <w:jc w:val="both"/>
        <w:rPr>
          <w:lang w:val="fr-CA"/>
        </w:rPr>
      </w:pPr>
      <w:r w:rsidRPr="00A60FE5">
        <w:rPr>
          <w:lang w:val="fr-CA"/>
        </w:rPr>
        <w:tab/>
      </w:r>
      <w:r w:rsidRPr="00460D04">
        <w:rPr>
          <w:lang w:val="fr-CA"/>
        </w:rPr>
        <w:t>Le jugement de la Cour a été rendu par</w:t>
      </w:r>
    </w:p>
    <w:p w14:paraId="7AF36DEF" w14:textId="77777777" w:rsidR="000E6B3D" w:rsidRPr="00A60FE5" w:rsidRDefault="000E6B3D" w:rsidP="000E6B3D">
      <w:pPr>
        <w:tabs>
          <w:tab w:val="left" w:pos="1134"/>
        </w:tabs>
        <w:jc w:val="both"/>
        <w:rPr>
          <w:lang w:val="fr-CA"/>
        </w:rPr>
      </w:pPr>
    </w:p>
    <w:p w14:paraId="4B505AE1" w14:textId="77777777" w:rsidR="000E6B3D" w:rsidRPr="005E0713" w:rsidRDefault="000E6B3D" w:rsidP="000F6296">
      <w:pPr>
        <w:pStyle w:val="JudgeJuge"/>
        <w:tabs>
          <w:tab w:val="clear" w:pos="1166"/>
          <w:tab w:val="left" w:pos="1134"/>
        </w:tabs>
      </w:pPr>
      <w:r w:rsidRPr="005E0713">
        <w:tab/>
        <w:t xml:space="preserve">Le juge </w:t>
      </w:r>
      <w:proofErr w:type="spellStart"/>
      <w:r w:rsidRPr="005E0713">
        <w:t>Kasirer</w:t>
      </w:r>
      <w:proofErr w:type="spellEnd"/>
      <w:r w:rsidRPr="005E0713">
        <w:t xml:space="preserve"> — </w:t>
      </w:r>
    </w:p>
    <w:p w14:paraId="64BB4214" w14:textId="77777777" w:rsidR="000E6B3D" w:rsidRPr="005E0713" w:rsidRDefault="000E6B3D" w:rsidP="000E6B3D">
      <w:pPr>
        <w:pStyle w:val="Title1LevelTitre1Niveau-AltL"/>
        <w:keepNext/>
        <w:rPr>
          <w:rFonts w:cs="Times New Roman"/>
          <w:lang w:val="fr-CA"/>
        </w:rPr>
      </w:pPr>
      <w:bookmarkStart w:id="0" w:name="_Toc123734872"/>
      <w:bookmarkStart w:id="1" w:name="_Toc123830834"/>
      <w:bookmarkStart w:id="2" w:name="_Toc124075268"/>
      <w:bookmarkStart w:id="3" w:name="_Toc124075324"/>
      <w:r w:rsidRPr="005E0713">
        <w:rPr>
          <w:rFonts w:cs="Times New Roman"/>
          <w:lang w:val="fr-CA"/>
        </w:rPr>
        <w:lastRenderedPageBreak/>
        <w:t>Survol</w:t>
      </w:r>
      <w:bookmarkEnd w:id="0"/>
      <w:bookmarkEnd w:id="1"/>
      <w:bookmarkEnd w:id="2"/>
      <w:bookmarkEnd w:id="3"/>
    </w:p>
    <w:p w14:paraId="7EE2D905" w14:textId="77777777" w:rsidR="000E6B3D" w:rsidRPr="005E0713" w:rsidRDefault="000E6B3D" w:rsidP="000E6B3D">
      <w:pPr>
        <w:pStyle w:val="ParaNoNdepar-AltN"/>
        <w:rPr>
          <w:rFonts w:cs="Times New Roman"/>
        </w:rPr>
      </w:pPr>
      <w:bookmarkStart w:id="4" w:name="_Toc122713947"/>
      <w:bookmarkStart w:id="5" w:name="_Toc123734873"/>
      <w:bookmarkStart w:id="6" w:name="_Toc123830835"/>
      <w:bookmarkStart w:id="7" w:name="_Toc124075269"/>
      <w:bookmarkStart w:id="8" w:name="_Toc124075325"/>
      <w:r w:rsidRPr="005E0713">
        <w:rPr>
          <w:rFonts w:eastAsiaTheme="minorHAnsi" w:cs="Times New Roman"/>
          <w:lang w:val="fr-FR"/>
        </w:rPr>
        <w:t>Accusée de conduite avec facultés affaiblies en 2017 par voie d’infraction punissable par procédure sommaire, l’appelante, Jennifer Basque, a été remise en liberté sous promesse de ne pas conduire un véhicule à moteur dans l’attente de son procès. Elle est demeurée sous le coup de cette interdiction jusqu’au prononcé de sa peine, 21 mois plus tard. Au moment des faits reprochés</w:t>
      </w:r>
      <w:r w:rsidRPr="005E0713">
        <w:rPr>
          <w:rFonts w:eastAsiaTheme="minorHAnsi" w:cs="Times New Roman"/>
          <w:szCs w:val="24"/>
          <w:lang w:val="fr-FR"/>
        </w:rPr>
        <w:t>, l</w:t>
      </w:r>
      <w:r w:rsidRPr="005E0713">
        <w:rPr>
          <w:rFonts w:eastAsiaTheme="minorHAnsi" w:cs="Times New Roman"/>
          <w:lang w:val="fr-FR"/>
        </w:rPr>
        <w:t xml:space="preserve">’al. 259(1)a) du </w:t>
      </w:r>
      <w:r w:rsidRPr="005E0713">
        <w:rPr>
          <w:rFonts w:eastAsiaTheme="minorHAnsi" w:cs="Times New Roman"/>
          <w:i/>
          <w:lang w:val="fr-FR"/>
        </w:rPr>
        <w:t>Code criminel</w:t>
      </w:r>
      <w:r w:rsidRPr="005E0713">
        <w:rPr>
          <w:rFonts w:eastAsiaTheme="minorHAnsi" w:cs="Times New Roman"/>
          <w:lang w:val="fr-FR"/>
        </w:rPr>
        <w:t>, L.R.C. 1985, c. C</w:t>
      </w:r>
      <w:r w:rsidRPr="005E0713">
        <w:rPr>
          <w:rFonts w:eastAsiaTheme="minorHAnsi" w:cs="Times New Roman"/>
          <w:lang w:val="fr-FR"/>
        </w:rPr>
        <w:noBreakHyphen/>
        <w:t>46 (« </w:t>
      </w:r>
      <w:r w:rsidRPr="005E0713">
        <w:rPr>
          <w:rFonts w:eastAsiaTheme="minorHAnsi" w:cs="Times New Roman"/>
          <w:i/>
          <w:lang w:val="fr-FR"/>
        </w:rPr>
        <w:t>C. </w:t>
      </w:r>
      <w:proofErr w:type="spellStart"/>
      <w:r w:rsidRPr="005E0713">
        <w:rPr>
          <w:rFonts w:eastAsiaTheme="minorHAnsi" w:cs="Times New Roman"/>
          <w:i/>
          <w:lang w:val="fr-FR"/>
        </w:rPr>
        <w:t>cr</w:t>
      </w:r>
      <w:proofErr w:type="spellEnd"/>
      <w:r w:rsidRPr="005E0713">
        <w:rPr>
          <w:rFonts w:eastAsiaTheme="minorHAnsi" w:cs="Times New Roman"/>
          <w:i/>
          <w:lang w:val="fr-FR"/>
        </w:rPr>
        <w:t>.</w:t>
      </w:r>
      <w:r w:rsidRPr="005E0713">
        <w:rPr>
          <w:rFonts w:eastAsiaTheme="minorHAnsi" w:cs="Times New Roman"/>
          <w:lang w:val="fr-FR"/>
        </w:rPr>
        <w:t> »), exigeait du tribunal qu’il rende à l’égard du contrevenant une « ordonnance lui</w:t>
      </w:r>
      <w:r w:rsidRPr="005E0713">
        <w:rPr>
          <w:rFonts w:cs="Times New Roman"/>
          <w:lang w:val="fr-FR"/>
        </w:rPr>
        <w:t xml:space="preserve"> </w:t>
      </w:r>
      <w:r w:rsidRPr="005E0713">
        <w:rPr>
          <w:rFonts w:eastAsiaTheme="minorHAnsi" w:cs="Times New Roman"/>
          <w:lang w:val="fr-FR"/>
        </w:rPr>
        <w:t>interdisant de conduire un véhicule à moteur [. . .] durant une période minimale d’un an »</w:t>
      </w:r>
      <w:r w:rsidRPr="000F6296">
        <w:rPr>
          <w:rStyle w:val="Hyperlink"/>
          <w:vertAlign w:val="superscript"/>
        </w:rPr>
        <w:footnoteReference w:id="2"/>
      </w:r>
      <w:r w:rsidRPr="005E0713">
        <w:rPr>
          <w:rFonts w:eastAsiaTheme="minorHAnsi" w:cs="Times New Roman"/>
          <w:lang w:val="fr-FR"/>
        </w:rPr>
        <w:t>.</w:t>
      </w:r>
    </w:p>
    <w:p w14:paraId="5FAC9A43" w14:textId="77777777" w:rsidR="000E6B3D" w:rsidRPr="005E0713" w:rsidRDefault="000E6B3D" w:rsidP="000E6B3D">
      <w:pPr>
        <w:pStyle w:val="ParaNoNdepar-AltN"/>
        <w:rPr>
          <w:rFonts w:cs="Times New Roman"/>
        </w:rPr>
      </w:pPr>
      <w:r w:rsidRPr="005E0713">
        <w:rPr>
          <w:rFonts w:eastAsiaTheme="minorHAnsi" w:cs="Times New Roman"/>
          <w:lang w:val="fr-FR"/>
        </w:rPr>
        <w:t xml:space="preserve">Le juge chargé de la détermination de la peine pouvait-il octroyer à </w:t>
      </w:r>
      <w:r w:rsidRPr="005E0713">
        <w:rPr>
          <w:rFonts w:eastAsiaTheme="minorHAnsi" w:cs="Times New Roman"/>
          <w:szCs w:val="24"/>
          <w:lang w:val="fr-FR"/>
        </w:rPr>
        <w:t>M</w:t>
      </w:r>
      <w:r w:rsidRPr="005E0713">
        <w:rPr>
          <w:rFonts w:eastAsiaTheme="minorHAnsi" w:cs="Times New Roman"/>
          <w:szCs w:val="24"/>
          <w:vertAlign w:val="superscript"/>
          <w:lang w:val="fr-FR"/>
        </w:rPr>
        <w:t>me</w:t>
      </w:r>
      <w:r w:rsidRPr="005E0713">
        <w:rPr>
          <w:rFonts w:eastAsiaTheme="minorHAnsi" w:cs="Times New Roman"/>
          <w:szCs w:val="24"/>
          <w:lang w:val="fr-FR"/>
        </w:rPr>
        <w:t xml:space="preserve"> Basque un crédit </w:t>
      </w:r>
      <w:r w:rsidRPr="005E0713">
        <w:rPr>
          <w:rFonts w:eastAsiaTheme="minorHAnsi" w:cs="Times New Roman"/>
          <w:lang w:val="fr-FR"/>
        </w:rPr>
        <w:t>pour la période</w:t>
      </w:r>
      <w:r w:rsidRPr="005E0713">
        <w:rPr>
          <w:rFonts w:cs="Times New Roman"/>
        </w:rPr>
        <w:t xml:space="preserve"> </w:t>
      </w:r>
      <w:r w:rsidRPr="005E0713">
        <w:rPr>
          <w:rFonts w:eastAsiaTheme="minorHAnsi" w:cs="Times New Roman"/>
          <w:lang w:val="fr-FR"/>
        </w:rPr>
        <w:t xml:space="preserve">d’interdiction de conduire déjà purgée, malgré l’effet combiné de cette interdiction minimale obligatoire d’un an et de la directive — codifiée au </w:t>
      </w:r>
      <w:proofErr w:type="spellStart"/>
      <w:r w:rsidRPr="005E0713">
        <w:rPr>
          <w:rFonts w:eastAsiaTheme="minorHAnsi" w:cs="Times New Roman"/>
          <w:lang w:val="fr-FR"/>
        </w:rPr>
        <w:t>par</w:t>
      </w:r>
      <w:proofErr w:type="spellEnd"/>
      <w:r w:rsidRPr="005E0713">
        <w:rPr>
          <w:rFonts w:eastAsiaTheme="minorHAnsi" w:cs="Times New Roman"/>
          <w:lang w:val="fr-FR"/>
        </w:rPr>
        <w:t xml:space="preserve">. 719(1) </w:t>
      </w:r>
      <w:r w:rsidRPr="005E0713">
        <w:rPr>
          <w:rFonts w:eastAsiaTheme="minorHAnsi" w:cs="Times New Roman"/>
          <w:i/>
          <w:lang w:val="fr-FR"/>
        </w:rPr>
        <w:t>C. </w:t>
      </w:r>
      <w:proofErr w:type="spellStart"/>
      <w:r w:rsidRPr="005E0713">
        <w:rPr>
          <w:rFonts w:eastAsiaTheme="minorHAnsi" w:cs="Times New Roman"/>
          <w:i/>
          <w:lang w:val="fr-FR"/>
        </w:rPr>
        <w:t>cr</w:t>
      </w:r>
      <w:proofErr w:type="spellEnd"/>
      <w:r w:rsidRPr="005E0713">
        <w:rPr>
          <w:rFonts w:eastAsiaTheme="minorHAnsi" w:cs="Times New Roman"/>
          <w:i/>
          <w:lang w:val="fr-FR"/>
        </w:rPr>
        <w:t>.</w:t>
      </w:r>
      <w:r w:rsidRPr="005E0713">
        <w:rPr>
          <w:rFonts w:eastAsiaTheme="minorHAnsi" w:cs="Times New Roman"/>
          <w:lang w:val="fr-FR"/>
        </w:rPr>
        <w:t xml:space="preserve"> — portant que, sauf exception, la peine commence au moment où elle est </w:t>
      </w:r>
      <w:proofErr w:type="gramStart"/>
      <w:r w:rsidRPr="005E0713">
        <w:rPr>
          <w:rFonts w:eastAsiaTheme="minorHAnsi" w:cs="Times New Roman"/>
          <w:lang w:val="fr-FR"/>
        </w:rPr>
        <w:t>infligée?</w:t>
      </w:r>
      <w:proofErr w:type="gramEnd"/>
    </w:p>
    <w:p w14:paraId="7BA6E982" w14:textId="77777777" w:rsidR="000E6B3D" w:rsidRPr="005E0713" w:rsidRDefault="000E6B3D" w:rsidP="000E6B3D">
      <w:pPr>
        <w:pStyle w:val="ParaNoNdepar-AltN"/>
        <w:rPr>
          <w:rFonts w:cs="Times New Roman"/>
        </w:rPr>
      </w:pPr>
      <w:r w:rsidRPr="005E0713">
        <w:rPr>
          <w:rFonts w:eastAsiaTheme="minorHAnsi" w:cs="Times New Roman"/>
          <w:lang w:val="fr-FR"/>
        </w:rPr>
        <w:t xml:space="preserve">N’eût été l’exigence de l’al. 259(1)a), il ne fait aucun doute que l’octroi d’un crédit serait possible. En effet, </w:t>
      </w:r>
      <w:r w:rsidRPr="005E0713">
        <w:rPr>
          <w:rFonts w:cs="Times New Roman"/>
        </w:rPr>
        <w:t>d</w:t>
      </w:r>
      <w:r w:rsidRPr="005E0713">
        <w:rPr>
          <w:rFonts w:cs="Times New Roman"/>
          <w:lang w:val="fr-FR"/>
        </w:rPr>
        <w:t xml:space="preserve">ans l’arrêt </w:t>
      </w:r>
      <w:r w:rsidRPr="005E0713">
        <w:rPr>
          <w:rFonts w:cs="Times New Roman"/>
          <w:i/>
          <w:lang w:val="fr-FR"/>
        </w:rPr>
        <w:t>R. c. Lacasse</w:t>
      </w:r>
      <w:r w:rsidRPr="005E0713">
        <w:rPr>
          <w:rFonts w:cs="Times New Roman"/>
          <w:lang w:val="fr-FR"/>
        </w:rPr>
        <w:t xml:space="preserve">, 2015 CSC 64, [2015] 3 R.C.S. 1089 — une affaire qui ne concernait pas une interdiction minimale obligatoire — notre Cour a confirmé l’existence d’un pouvoir discrétionnaire, fondé sur la </w:t>
      </w:r>
      <w:proofErr w:type="spellStart"/>
      <w:r w:rsidRPr="005E0713">
        <w:rPr>
          <w:rFonts w:cs="Times New Roman"/>
          <w:lang w:val="fr-FR"/>
        </w:rPr>
        <w:lastRenderedPageBreak/>
        <w:t>common</w:t>
      </w:r>
      <w:proofErr w:type="spellEnd"/>
      <w:r w:rsidRPr="005E0713">
        <w:rPr>
          <w:rFonts w:cs="Times New Roman"/>
          <w:lang w:val="fr-FR"/>
        </w:rPr>
        <w:t xml:space="preserve"> </w:t>
      </w:r>
      <w:proofErr w:type="spellStart"/>
      <w:r w:rsidRPr="005E0713">
        <w:rPr>
          <w:rFonts w:cs="Times New Roman"/>
          <w:lang w:val="fr-FR"/>
        </w:rPr>
        <w:t>law</w:t>
      </w:r>
      <w:proofErr w:type="spellEnd"/>
      <w:r w:rsidRPr="005E0713">
        <w:rPr>
          <w:rFonts w:cs="Times New Roman"/>
          <w:lang w:val="fr-FR"/>
        </w:rPr>
        <w:t xml:space="preserve">, permettant au tribunal d’octroyer un crédit pour une interdiction </w:t>
      </w:r>
      <w:proofErr w:type="spellStart"/>
      <w:r w:rsidRPr="005E0713">
        <w:rPr>
          <w:rFonts w:cs="Times New Roman"/>
          <w:lang w:val="fr-FR"/>
        </w:rPr>
        <w:t>présentencielle</w:t>
      </w:r>
      <w:proofErr w:type="spellEnd"/>
      <w:r w:rsidRPr="005E0713">
        <w:rPr>
          <w:rFonts w:cs="Times New Roman"/>
          <w:lang w:val="fr-FR"/>
        </w:rPr>
        <w:t xml:space="preserve"> de conduire. </w:t>
      </w:r>
      <w:r w:rsidRPr="005E0713">
        <w:rPr>
          <w:rFonts w:eastAsiaTheme="minorHAnsi" w:cs="Times New Roman"/>
          <w:szCs w:val="24"/>
          <w:lang w:val="fr-FR"/>
        </w:rPr>
        <w:t>Ce pouvoir est l’extension naturelle d’une pratique de longue date</w:t>
      </w:r>
      <w:r w:rsidRPr="005E0713">
        <w:rPr>
          <w:rFonts w:cs="Times New Roman"/>
        </w:rPr>
        <w:t xml:space="preserve"> autorisant l’octroi d’un crédit pour des périodes </w:t>
      </w:r>
      <w:r w:rsidRPr="005E0713">
        <w:rPr>
          <w:rFonts w:eastAsiaTheme="minorHAnsi" w:cs="Times New Roman"/>
          <w:szCs w:val="24"/>
          <w:lang w:val="fr-FR"/>
        </w:rPr>
        <w:t xml:space="preserve">de détention </w:t>
      </w:r>
      <w:proofErr w:type="spellStart"/>
      <w:r w:rsidRPr="005E0713">
        <w:rPr>
          <w:rFonts w:eastAsiaTheme="minorHAnsi" w:cs="Times New Roman"/>
          <w:szCs w:val="24"/>
          <w:lang w:val="fr-FR"/>
        </w:rPr>
        <w:t>présentencielle</w:t>
      </w:r>
      <w:proofErr w:type="spellEnd"/>
      <w:r w:rsidRPr="005E0713">
        <w:rPr>
          <w:rFonts w:eastAsiaTheme="minorHAnsi" w:cs="Times New Roman"/>
          <w:szCs w:val="24"/>
          <w:lang w:val="fr-FR"/>
        </w:rPr>
        <w:t>.</w:t>
      </w:r>
    </w:p>
    <w:p w14:paraId="4D591304" w14:textId="77777777" w:rsidR="000E6B3D" w:rsidRPr="005E0713" w:rsidRDefault="000E6B3D" w:rsidP="000E6B3D">
      <w:pPr>
        <w:pStyle w:val="ParaNoNdepar-AltN"/>
        <w:rPr>
          <w:rFonts w:cs="Times New Roman"/>
        </w:rPr>
      </w:pPr>
      <w:r w:rsidRPr="005E0713">
        <w:rPr>
          <w:rFonts w:cs="Times New Roman"/>
          <w:lang w:val="fr-FR"/>
        </w:rPr>
        <w:t xml:space="preserve">Dans la mesure où il respecte les balises constitutionnelles pertinentes, le Parlement peut certes adopter une loi qui écarterait la règle de </w:t>
      </w:r>
      <w:proofErr w:type="spellStart"/>
      <w:r w:rsidRPr="005E0713">
        <w:rPr>
          <w:rFonts w:cs="Times New Roman"/>
          <w:lang w:val="fr-FR"/>
        </w:rPr>
        <w:t>common</w:t>
      </w:r>
      <w:proofErr w:type="spellEnd"/>
      <w:r w:rsidRPr="005E0713">
        <w:rPr>
          <w:rFonts w:cs="Times New Roman"/>
          <w:lang w:val="fr-FR"/>
        </w:rPr>
        <w:t xml:space="preserve"> </w:t>
      </w:r>
      <w:proofErr w:type="spellStart"/>
      <w:r w:rsidRPr="005E0713">
        <w:rPr>
          <w:rFonts w:cs="Times New Roman"/>
          <w:lang w:val="fr-FR"/>
        </w:rPr>
        <w:t>law</w:t>
      </w:r>
      <w:proofErr w:type="spellEnd"/>
      <w:r w:rsidRPr="005E0713">
        <w:rPr>
          <w:rFonts w:cs="Times New Roman"/>
          <w:lang w:val="fr-FR"/>
        </w:rPr>
        <w:t xml:space="preserve"> permettant d’octroyer un crédit pour une interdiction </w:t>
      </w:r>
      <w:proofErr w:type="spellStart"/>
      <w:r w:rsidRPr="005E0713">
        <w:rPr>
          <w:rFonts w:cs="Times New Roman"/>
          <w:lang w:val="fr-FR"/>
        </w:rPr>
        <w:t>présentencielle</w:t>
      </w:r>
      <w:proofErr w:type="spellEnd"/>
      <w:r w:rsidRPr="005E0713">
        <w:rPr>
          <w:rFonts w:cs="Times New Roman"/>
          <w:lang w:val="fr-FR"/>
        </w:rPr>
        <w:t xml:space="preserve"> de conduire. </w:t>
      </w:r>
      <w:r w:rsidRPr="005E0713">
        <w:rPr>
          <w:rFonts w:cs="Times New Roman"/>
        </w:rPr>
        <w:t xml:space="preserve">Madame Basque n’attaque pas la constitutionnalité de l’al. 259(1)a), mais soutient que </w:t>
      </w:r>
      <w:r w:rsidRPr="005E0713">
        <w:rPr>
          <w:rFonts w:cs="Times New Roman"/>
          <w:lang w:val="fr-FR"/>
        </w:rPr>
        <w:t>sa demande de crédit n’est nullement limitée par l’imposition de l’interdiction minimale obligatoire. Or, prenant appui sur les motifs majoritaires de la Cour d’appel, l’intimé, le ministère public, affirme que l’octroi d’un crédit en l’espèce entrerait en conflit avec l’application de</w:t>
      </w:r>
      <w:r w:rsidRPr="005E0713">
        <w:rPr>
          <w:rFonts w:cs="Times New Roman"/>
          <w:sz w:val="22"/>
          <w:lang w:val="fr-FR"/>
        </w:rPr>
        <w:t xml:space="preserve"> </w:t>
      </w:r>
      <w:r w:rsidRPr="005E0713">
        <w:rPr>
          <w:rFonts w:cs="Times New Roman"/>
          <w:lang w:val="fr-FR"/>
        </w:rPr>
        <w:t>l’interdiction minimale d’un an, même si la disposition législative en jeu est silencieuse à cet égard.</w:t>
      </w:r>
    </w:p>
    <w:p w14:paraId="6D3B64C8" w14:textId="77777777" w:rsidR="000E6B3D" w:rsidRPr="005E0713" w:rsidRDefault="000E6B3D" w:rsidP="000E6B3D">
      <w:pPr>
        <w:pStyle w:val="ParaNoNdepar-AltN"/>
        <w:rPr>
          <w:rFonts w:cs="Times New Roman"/>
        </w:rPr>
      </w:pPr>
      <w:r w:rsidRPr="005E0713">
        <w:rPr>
          <w:rFonts w:cs="Times New Roman"/>
          <w:lang w:val="fr-FR"/>
        </w:rPr>
        <w:t>Soit dit en tout respect, j’estime que l’intimé a tort.</w:t>
      </w:r>
      <w:r w:rsidRPr="005E0713">
        <w:rPr>
          <w:rFonts w:cs="Times New Roman"/>
          <w:sz w:val="22"/>
          <w:lang w:val="fr-FR"/>
        </w:rPr>
        <w:t xml:space="preserve"> </w:t>
      </w:r>
      <w:r w:rsidRPr="005E0713">
        <w:rPr>
          <w:rFonts w:cs="Times New Roman"/>
          <w:lang w:val="fr-FR"/>
        </w:rPr>
        <w:t xml:space="preserve">À mon avis, l’octroi d’un crédit fondé sur le pouvoir discrétionnaire de </w:t>
      </w:r>
      <w:proofErr w:type="spellStart"/>
      <w:r w:rsidRPr="005E0713">
        <w:rPr>
          <w:rFonts w:cs="Times New Roman"/>
          <w:lang w:val="fr-FR"/>
        </w:rPr>
        <w:t>common</w:t>
      </w:r>
      <w:proofErr w:type="spellEnd"/>
      <w:r w:rsidRPr="005E0713">
        <w:rPr>
          <w:rFonts w:cs="Times New Roman"/>
          <w:lang w:val="fr-FR"/>
        </w:rPr>
        <w:t xml:space="preserve"> </w:t>
      </w:r>
      <w:proofErr w:type="spellStart"/>
      <w:r w:rsidRPr="005E0713">
        <w:rPr>
          <w:rFonts w:cs="Times New Roman"/>
          <w:lang w:val="fr-FR"/>
        </w:rPr>
        <w:t>law</w:t>
      </w:r>
      <w:proofErr w:type="spellEnd"/>
      <w:r w:rsidRPr="005E0713">
        <w:rPr>
          <w:rFonts w:cs="Times New Roman"/>
          <w:lang w:val="fr-FR"/>
        </w:rPr>
        <w:t xml:space="preserve"> reconnu dans l’arrêt </w:t>
      </w:r>
      <w:r w:rsidRPr="005E0713">
        <w:rPr>
          <w:rFonts w:cs="Times New Roman"/>
          <w:i/>
          <w:lang w:val="fr-FR"/>
        </w:rPr>
        <w:t>Lacasse</w:t>
      </w:r>
      <w:r w:rsidRPr="005E0713">
        <w:rPr>
          <w:rFonts w:cs="Times New Roman"/>
          <w:lang w:val="fr-FR"/>
        </w:rPr>
        <w:t xml:space="preserve"> s’accorde parfaitement avec l’application de l’interdiction minimale à l’al. 259(1)a) </w:t>
      </w:r>
      <w:r w:rsidRPr="005E0713">
        <w:rPr>
          <w:rFonts w:cs="Times New Roman"/>
          <w:i/>
          <w:lang w:val="fr-FR"/>
        </w:rPr>
        <w:t>C. </w:t>
      </w:r>
      <w:proofErr w:type="spellStart"/>
      <w:r w:rsidRPr="005E0713">
        <w:rPr>
          <w:rFonts w:cs="Times New Roman"/>
          <w:i/>
          <w:lang w:val="fr-FR"/>
        </w:rPr>
        <w:t>cr</w:t>
      </w:r>
      <w:proofErr w:type="spellEnd"/>
      <w:r w:rsidRPr="005E0713">
        <w:rPr>
          <w:rFonts w:cs="Times New Roman"/>
          <w:i/>
          <w:lang w:val="fr-FR"/>
        </w:rPr>
        <w:t>.</w:t>
      </w:r>
      <w:r w:rsidRPr="005E0713">
        <w:rPr>
          <w:rFonts w:cs="Times New Roman"/>
          <w:lang w:val="fr-FR"/>
        </w:rPr>
        <w:t xml:space="preserve"> </w:t>
      </w:r>
      <w:proofErr w:type="gramStart"/>
      <w:r w:rsidRPr="005E0713">
        <w:rPr>
          <w:rFonts w:cs="Times New Roman"/>
          <w:lang w:val="fr-FR"/>
        </w:rPr>
        <w:t>et</w:t>
      </w:r>
      <w:proofErr w:type="gramEnd"/>
      <w:r w:rsidRPr="005E0713">
        <w:rPr>
          <w:rFonts w:cs="Times New Roman"/>
          <w:lang w:val="fr-FR"/>
        </w:rPr>
        <w:t xml:space="preserve"> avec la règle exigeant que la peine commence au moment où elle est infligée au </w:t>
      </w:r>
      <w:proofErr w:type="spellStart"/>
      <w:r w:rsidRPr="005E0713">
        <w:rPr>
          <w:rFonts w:cs="Times New Roman"/>
          <w:lang w:val="fr-FR"/>
        </w:rPr>
        <w:t>par</w:t>
      </w:r>
      <w:proofErr w:type="spellEnd"/>
      <w:r w:rsidRPr="005E0713">
        <w:rPr>
          <w:rFonts w:cs="Times New Roman"/>
          <w:lang w:val="fr-FR"/>
        </w:rPr>
        <w:t xml:space="preserve">. 719(1) </w:t>
      </w:r>
      <w:r w:rsidRPr="005E0713">
        <w:rPr>
          <w:rFonts w:cs="Times New Roman"/>
          <w:i/>
          <w:lang w:val="fr-FR"/>
        </w:rPr>
        <w:t>C. </w:t>
      </w:r>
      <w:proofErr w:type="spellStart"/>
      <w:r w:rsidRPr="005E0713">
        <w:rPr>
          <w:rFonts w:cs="Times New Roman"/>
          <w:i/>
          <w:lang w:val="fr-FR"/>
        </w:rPr>
        <w:t>cr</w:t>
      </w:r>
      <w:proofErr w:type="spellEnd"/>
      <w:r w:rsidRPr="005E0713">
        <w:rPr>
          <w:rFonts w:cs="Times New Roman"/>
          <w:i/>
          <w:lang w:val="fr-FR"/>
        </w:rPr>
        <w:t>.</w:t>
      </w:r>
      <w:r w:rsidRPr="005E0713">
        <w:rPr>
          <w:rFonts w:cs="Times New Roman"/>
          <w:lang w:val="fr-FR"/>
        </w:rPr>
        <w:t xml:space="preserve"> Par conséquent, il était loisible au juge de première instance de tenir compte de la période de 21 mois déjà purgée par M</w:t>
      </w:r>
      <w:r w:rsidRPr="005E0713">
        <w:rPr>
          <w:rFonts w:cs="Times New Roman"/>
          <w:vertAlign w:val="superscript"/>
          <w:lang w:val="fr-FR"/>
        </w:rPr>
        <w:t>me</w:t>
      </w:r>
      <w:r w:rsidRPr="005E0713">
        <w:rPr>
          <w:rFonts w:cs="Times New Roman"/>
          <w:lang w:val="fr-FR"/>
        </w:rPr>
        <w:t> Basque, puisque cela ne contrecarrerait pas la volonté du législateur.</w:t>
      </w:r>
    </w:p>
    <w:p w14:paraId="1A962ED1" w14:textId="77777777" w:rsidR="000E6B3D" w:rsidRPr="005E0713" w:rsidRDefault="000E6B3D" w:rsidP="000E6B3D">
      <w:pPr>
        <w:pStyle w:val="ParaNoNdepar-AltN"/>
        <w:rPr>
          <w:rFonts w:cs="Times New Roman"/>
          <w:lang w:val="fr-FR"/>
        </w:rPr>
      </w:pPr>
      <w:r w:rsidRPr="005E0713">
        <w:rPr>
          <w:rFonts w:cs="Times New Roman"/>
        </w:rPr>
        <w:lastRenderedPageBreak/>
        <w:t xml:space="preserve">L’octroi discrétionnaire d’un crédit fondé sur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peut coexister harmonieusement avec le respect par les juges de la peine minimale obligatoire édictée par la loi. Cette coexistence repose sur la distinction connue entre les concepts de « peine » au sens de punition ou de privation (en anglais, « </w:t>
      </w:r>
      <w:proofErr w:type="spellStart"/>
      <w:r w:rsidRPr="005E0713">
        <w:rPr>
          <w:rFonts w:cs="Times New Roman"/>
          <w:i/>
        </w:rPr>
        <w:t>punishment</w:t>
      </w:r>
      <w:proofErr w:type="spellEnd"/>
      <w:r w:rsidRPr="005E0713">
        <w:rPr>
          <w:rFonts w:cs="Times New Roman"/>
        </w:rPr>
        <w:t> »), et de « peine » au sens de décision de justice ou de sentence (en anglais, « </w:t>
      </w:r>
      <w:r w:rsidRPr="005E0713">
        <w:rPr>
          <w:rFonts w:cs="Times New Roman"/>
          <w:i/>
        </w:rPr>
        <w:t>sentence </w:t>
      </w:r>
      <w:r w:rsidRPr="005E0713">
        <w:rPr>
          <w:rFonts w:cs="Times New Roman"/>
        </w:rPr>
        <w:t xml:space="preserve">»). Cette distinction, discutée par le juge d’appel Rosenberg dans le contexte du crédit pour détention </w:t>
      </w:r>
      <w:proofErr w:type="spellStart"/>
      <w:r w:rsidRPr="005E0713">
        <w:rPr>
          <w:rFonts w:cs="Times New Roman"/>
        </w:rPr>
        <w:t>présentencielle</w:t>
      </w:r>
      <w:proofErr w:type="spellEnd"/>
      <w:r w:rsidRPr="005E0713">
        <w:rPr>
          <w:rFonts w:cs="Times New Roman"/>
        </w:rPr>
        <w:t xml:space="preserve"> dans l’arrêt </w:t>
      </w:r>
      <w:r w:rsidRPr="005E0713">
        <w:rPr>
          <w:rFonts w:cs="Times New Roman"/>
          <w:i/>
        </w:rPr>
        <w:t>R. c. McDonald</w:t>
      </w:r>
      <w:r w:rsidRPr="005E0713">
        <w:rPr>
          <w:rFonts w:cs="Times New Roman"/>
        </w:rPr>
        <w:t xml:space="preserve"> (1998), 40 O.R. (3d) 641 (C.A.), a été reprise par la juge </w:t>
      </w:r>
      <w:proofErr w:type="spellStart"/>
      <w:r w:rsidRPr="005E0713">
        <w:rPr>
          <w:rFonts w:cs="Times New Roman"/>
        </w:rPr>
        <w:t>Arbour</w:t>
      </w:r>
      <w:proofErr w:type="spellEnd"/>
      <w:r w:rsidRPr="005E0713">
        <w:rPr>
          <w:rFonts w:cs="Times New Roman"/>
        </w:rPr>
        <w:t xml:space="preserve"> de notre Cour, avec une attention particulière aux sens multiples du terme français « peine », dans l’arrêt </w:t>
      </w:r>
      <w:r w:rsidRPr="005E0713">
        <w:rPr>
          <w:rFonts w:cs="Times New Roman"/>
          <w:i/>
        </w:rPr>
        <w:t xml:space="preserve">R. c. </w:t>
      </w:r>
      <w:proofErr w:type="spellStart"/>
      <w:r w:rsidRPr="005E0713">
        <w:rPr>
          <w:rFonts w:cs="Times New Roman"/>
          <w:i/>
        </w:rPr>
        <w:t>Wust</w:t>
      </w:r>
      <w:proofErr w:type="spellEnd"/>
      <w:r w:rsidRPr="005E0713">
        <w:rPr>
          <w:rFonts w:cs="Times New Roman"/>
        </w:rPr>
        <w:t>, 2000 CSC 18, [2000] 1 R.C.S. 455, par. 35</w:t>
      </w:r>
      <w:r w:rsidRPr="005E0713">
        <w:rPr>
          <w:rFonts w:cs="Times New Roman"/>
        </w:rPr>
        <w:noBreakHyphen/>
        <w:t xml:space="preserve">37. Dans cette optique, explique la juge </w:t>
      </w:r>
      <w:proofErr w:type="spellStart"/>
      <w:r w:rsidRPr="005E0713">
        <w:rPr>
          <w:rFonts w:cs="Times New Roman"/>
        </w:rPr>
        <w:t>Arbour</w:t>
      </w:r>
      <w:proofErr w:type="spellEnd"/>
      <w:r w:rsidRPr="005E0713">
        <w:rPr>
          <w:rFonts w:cs="Times New Roman"/>
        </w:rPr>
        <w:t xml:space="preserve">, alors que le terme peine, employé au sens de punition, renvoie à la punition totale subie par le contrevenant, le même mot, employé au sens de sentence, réfère à la décision de justice rendue par le tribunal. On notera que la sentence, elle, est toujours prospective, afin d’empêcher la pratique judiciaire d’antidater les sentences (voir par. 719(1)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w:t>
      </w:r>
    </w:p>
    <w:p w14:paraId="0E8EB99B" w14:textId="77777777" w:rsidR="000E6B3D" w:rsidRPr="005E0713" w:rsidRDefault="000E6B3D" w:rsidP="000E6B3D">
      <w:pPr>
        <w:pStyle w:val="ParaNoNdepar-AltN"/>
        <w:rPr>
          <w:rFonts w:cs="Times New Roman"/>
          <w:lang w:val="fr-FR"/>
        </w:rPr>
      </w:pPr>
      <w:r w:rsidRPr="005E0713">
        <w:rPr>
          <w:rFonts w:cs="Times New Roman"/>
          <w:lang w:val="fr-FR"/>
        </w:rPr>
        <w:t>En règle générale</w:t>
      </w:r>
      <w:r w:rsidRPr="005E0713">
        <w:rPr>
          <w:rFonts w:cs="Times New Roman"/>
        </w:rPr>
        <w:t xml:space="preserve">, le but d’une peine minimale obligatoire est d’infliger au contrevenant une </w:t>
      </w:r>
      <w:r w:rsidRPr="005E0713">
        <w:rPr>
          <w:rFonts w:cs="Times New Roman"/>
          <w:i/>
        </w:rPr>
        <w:t>punition</w:t>
      </w:r>
      <w:r w:rsidRPr="005E0713">
        <w:rPr>
          <w:rFonts w:cs="Times New Roman"/>
        </w:rPr>
        <w:t xml:space="preserve"> effective d’une durée minimale précise. Il en est ainsi puisque les objectifs qui sous-tendent une peine minimale sont aussi bien servis que celle</w:t>
      </w:r>
      <w:r w:rsidRPr="005E0713">
        <w:rPr>
          <w:rFonts w:cs="Times New Roman"/>
        </w:rPr>
        <w:noBreakHyphen/>
        <w:t>ci soit purgée avant ou après le prononcé de la sentence. En l’occurrence, la peine minimale obligatoire prévue à l’al. 259(1)a) ne fait pas exception à cette règle.</w:t>
      </w:r>
    </w:p>
    <w:p w14:paraId="14733332" w14:textId="77777777" w:rsidR="000E6B3D" w:rsidRPr="005E0713" w:rsidRDefault="000E6B3D" w:rsidP="000E6B3D">
      <w:pPr>
        <w:pStyle w:val="ParaNoNdepar-AltN"/>
        <w:tabs>
          <w:tab w:val="clear" w:pos="1152"/>
          <w:tab w:val="left" w:pos="1166"/>
        </w:tabs>
        <w:rPr>
          <w:rFonts w:cs="Times New Roman"/>
          <w:lang w:val="fr-FR"/>
        </w:rPr>
      </w:pPr>
      <w:r w:rsidRPr="005E0713">
        <w:rPr>
          <w:rFonts w:cs="Times New Roman"/>
        </w:rPr>
        <w:t xml:space="preserve">Correctement interprété, l’al. 259(1)a) prescrit l’infliction d’une </w:t>
      </w:r>
      <w:r w:rsidRPr="005E0713">
        <w:rPr>
          <w:rFonts w:cs="Times New Roman"/>
          <w:i/>
        </w:rPr>
        <w:t>punition</w:t>
      </w:r>
      <w:r w:rsidRPr="005E0713">
        <w:rPr>
          <w:rFonts w:cs="Times New Roman"/>
        </w:rPr>
        <w:t xml:space="preserve"> totale d’un an à purger, et non le prononcé d’une </w:t>
      </w:r>
      <w:r w:rsidRPr="005E0713">
        <w:rPr>
          <w:rFonts w:cs="Times New Roman"/>
          <w:i/>
        </w:rPr>
        <w:t>sentence</w:t>
      </w:r>
      <w:r w:rsidRPr="005E0713">
        <w:rPr>
          <w:rFonts w:cs="Times New Roman"/>
        </w:rPr>
        <w:t xml:space="preserve"> condamnant ce dernier à une </w:t>
      </w:r>
      <w:r w:rsidRPr="005E0713">
        <w:rPr>
          <w:rFonts w:cs="Times New Roman"/>
        </w:rPr>
        <w:lastRenderedPageBreak/>
        <w:t xml:space="preserve">interdiction d’un an devant nécessairement être purgée de façon prospective. Comme le souligne le juge d’appel Rosenberg dans l’arrêt </w:t>
      </w:r>
      <w:r w:rsidRPr="005E0713">
        <w:rPr>
          <w:rFonts w:cs="Times New Roman"/>
          <w:i/>
        </w:rPr>
        <w:t>McDonald</w:t>
      </w:r>
      <w:r w:rsidRPr="005E0713">
        <w:rPr>
          <w:rFonts w:cs="Times New Roman"/>
        </w:rPr>
        <w:t xml:space="preserve">, l’intention du Parlement est respectée, que la punition soit purgée avant ou après le prononcé de la sentence, puisque dans un cas comme dans l’autre l’effet sur le contrevenant est identique. Ainsi interprété, l’al. 259(1)a) n’interdisait pas au juge de première instance de « réduire » la </w:t>
      </w:r>
      <w:r w:rsidRPr="005E0713">
        <w:rPr>
          <w:rFonts w:cs="Times New Roman"/>
          <w:i/>
        </w:rPr>
        <w:t>sentence</w:t>
      </w:r>
      <w:r w:rsidRPr="005E0713">
        <w:rPr>
          <w:rFonts w:cs="Times New Roman"/>
        </w:rPr>
        <w:t xml:space="preserve"> par l’octroi d’un crédit tenant compte de la période </w:t>
      </w:r>
      <w:proofErr w:type="spellStart"/>
      <w:r w:rsidRPr="005E0713">
        <w:rPr>
          <w:rFonts w:cs="Times New Roman"/>
        </w:rPr>
        <w:t>présentencielle</w:t>
      </w:r>
      <w:proofErr w:type="spellEnd"/>
      <w:r w:rsidRPr="005E0713">
        <w:rPr>
          <w:rFonts w:cs="Times New Roman"/>
        </w:rPr>
        <w:t xml:space="preserve"> d’interdiction de conduire, dans la mesure où la </w:t>
      </w:r>
      <w:r w:rsidRPr="005E0713">
        <w:rPr>
          <w:rFonts w:cs="Times New Roman"/>
          <w:i/>
        </w:rPr>
        <w:t>punition</w:t>
      </w:r>
      <w:r w:rsidRPr="005E0713">
        <w:rPr>
          <w:rFonts w:cs="Times New Roman"/>
        </w:rPr>
        <w:t xml:space="preserve"> totale respectait toujours le minimum prescrit par le Parlement.</w:t>
      </w:r>
    </w:p>
    <w:p w14:paraId="227FCE5F" w14:textId="77777777" w:rsidR="000E6B3D" w:rsidRPr="005E0713" w:rsidRDefault="000E6B3D" w:rsidP="000E6B3D">
      <w:pPr>
        <w:pStyle w:val="ParaNoNdepar-AltN"/>
        <w:rPr>
          <w:rFonts w:cs="Times New Roman"/>
        </w:rPr>
      </w:pPr>
      <w:r w:rsidRPr="005E0713">
        <w:rPr>
          <w:rFonts w:cs="Times New Roman"/>
        </w:rPr>
        <w:t>En l’espèce, au moment où le jugement de première instance a été rendu, M</w:t>
      </w:r>
      <w:r w:rsidRPr="005E0713">
        <w:rPr>
          <w:rFonts w:cs="Times New Roman"/>
          <w:vertAlign w:val="superscript"/>
        </w:rPr>
        <w:t>me</w:t>
      </w:r>
      <w:r w:rsidRPr="005E0713">
        <w:rPr>
          <w:rFonts w:cs="Times New Roman"/>
        </w:rPr>
        <w:t xml:space="preserve"> Basque avait essentiellement « commencé à purger sa peine » depuis 21 mois (voir </w:t>
      </w:r>
      <w:r w:rsidRPr="005E0713">
        <w:rPr>
          <w:rFonts w:cs="Times New Roman"/>
          <w:i/>
        </w:rPr>
        <w:t>R. c. Sharma</w:t>
      </w:r>
      <w:r w:rsidRPr="005E0713">
        <w:rPr>
          <w:rFonts w:cs="Times New Roman"/>
        </w:rPr>
        <w:t xml:space="preserve">, [1992] 1 R.C.S. 814, p. 818, cité avec approbation par le juge Wagner, maintenant juge en chef, dans l’arrêt </w:t>
      </w:r>
      <w:r w:rsidRPr="005E0713">
        <w:rPr>
          <w:rFonts w:cs="Times New Roman"/>
          <w:i/>
        </w:rPr>
        <w:t>Lacasse</w:t>
      </w:r>
      <w:r w:rsidRPr="005E0713">
        <w:rPr>
          <w:rFonts w:cs="Times New Roman"/>
        </w:rPr>
        <w:t>, par. 113). Selon cette perspective, les objectifs visés par la peine minimale prévue à l’al. 259(1)a) étaient déjà réalisés — et même dépassés. En pareil contexte, l’octroi d’un crédit pour « réduire » la durée de l’interdiction imposée à M</w:t>
      </w:r>
      <w:r w:rsidRPr="005E0713">
        <w:rPr>
          <w:rFonts w:cs="Times New Roman"/>
          <w:vertAlign w:val="superscript"/>
        </w:rPr>
        <w:t>me</w:t>
      </w:r>
      <w:r w:rsidRPr="005E0713">
        <w:rPr>
          <w:rFonts w:cs="Times New Roman"/>
        </w:rPr>
        <w:t xml:space="preserve"> Basque n’entre pas en conflit avec l’al. 259(1)a), étant donné qu’elle a déjà purgé une période de prohibition de conduire excédant la durée minimale d’un an prescrite par cette disposition. En outre, l’octroi d’un crédit </w:t>
      </w:r>
      <w:r w:rsidRPr="005E0713">
        <w:rPr>
          <w:rFonts w:cs="Times New Roman"/>
          <w:lang w:val="fr-FR"/>
        </w:rPr>
        <w:t xml:space="preserve">répond aux considérations d’équité et de justice évoquées dans l’arrêt </w:t>
      </w:r>
      <w:proofErr w:type="spellStart"/>
      <w:r w:rsidRPr="005E0713">
        <w:rPr>
          <w:rFonts w:cs="Times New Roman"/>
          <w:i/>
          <w:lang w:val="fr-FR"/>
        </w:rPr>
        <w:t>Wust</w:t>
      </w:r>
      <w:proofErr w:type="spellEnd"/>
      <w:r w:rsidRPr="005E0713">
        <w:rPr>
          <w:rFonts w:cs="Times New Roman"/>
          <w:lang w:val="fr-FR"/>
        </w:rPr>
        <w:t xml:space="preserve">, dont celle que le juge </w:t>
      </w:r>
      <w:proofErr w:type="spellStart"/>
      <w:r w:rsidRPr="005E0713">
        <w:rPr>
          <w:rFonts w:cs="Times New Roman"/>
          <w:lang w:val="fr-FR"/>
        </w:rPr>
        <w:t>Paciocco</w:t>
      </w:r>
      <w:proofErr w:type="spellEnd"/>
      <w:r w:rsidRPr="005E0713">
        <w:rPr>
          <w:rFonts w:cs="Times New Roman"/>
          <w:lang w:val="fr-FR"/>
        </w:rPr>
        <w:t xml:space="preserve"> a utilement appelée, dans un article de doctrine, </w:t>
      </w:r>
      <w:r w:rsidRPr="005E0713">
        <w:rPr>
          <w:rFonts w:cs="Times New Roman"/>
        </w:rPr>
        <w:t>[</w:t>
      </w:r>
      <w:r w:rsidRPr="005E0713">
        <w:rPr>
          <w:rFonts w:cs="Times New Roman"/>
          <w:smallCaps/>
        </w:rPr>
        <w:t>traduction</w:t>
      </w:r>
      <w:r w:rsidRPr="005E0713">
        <w:rPr>
          <w:rFonts w:cs="Times New Roman"/>
        </w:rPr>
        <w:t>]</w:t>
      </w:r>
      <w:r w:rsidRPr="005E0713">
        <w:rPr>
          <w:rFonts w:cs="Times New Roman"/>
          <w:lang w:val="fr-FR"/>
        </w:rPr>
        <w:t xml:space="preserve"> « l’aversion pour la double punition » (D. M. </w:t>
      </w:r>
      <w:proofErr w:type="spellStart"/>
      <w:r w:rsidRPr="005E0713">
        <w:rPr>
          <w:rFonts w:cs="Times New Roman"/>
          <w:lang w:val="fr-FR"/>
        </w:rPr>
        <w:t>Paciocco</w:t>
      </w:r>
      <w:proofErr w:type="spellEnd"/>
      <w:r w:rsidRPr="005E0713">
        <w:rPr>
          <w:rFonts w:cs="Times New Roman"/>
          <w:lang w:val="fr-FR"/>
        </w:rPr>
        <w:t xml:space="preserve">, « The Law of Minimum Sentences : </w:t>
      </w:r>
      <w:proofErr w:type="spellStart"/>
      <w:r w:rsidRPr="005E0713">
        <w:rPr>
          <w:rFonts w:cs="Times New Roman"/>
          <w:lang w:val="fr-FR"/>
        </w:rPr>
        <w:t>Judicial</w:t>
      </w:r>
      <w:proofErr w:type="spellEnd"/>
      <w:r w:rsidRPr="005E0713">
        <w:rPr>
          <w:rFonts w:cs="Times New Roman"/>
          <w:lang w:val="fr-FR"/>
        </w:rPr>
        <w:t xml:space="preserve"> </w:t>
      </w:r>
      <w:proofErr w:type="spellStart"/>
      <w:r w:rsidRPr="005E0713">
        <w:rPr>
          <w:rFonts w:cs="Times New Roman"/>
          <w:lang w:val="fr-FR"/>
        </w:rPr>
        <w:t>Responses</w:t>
      </w:r>
      <w:proofErr w:type="spellEnd"/>
      <w:r w:rsidRPr="005E0713">
        <w:rPr>
          <w:rFonts w:cs="Times New Roman"/>
          <w:lang w:val="fr-FR"/>
        </w:rPr>
        <w:t xml:space="preserve"> and </w:t>
      </w:r>
      <w:proofErr w:type="spellStart"/>
      <w:r w:rsidRPr="005E0713">
        <w:rPr>
          <w:rFonts w:cs="Times New Roman"/>
          <w:lang w:val="fr-FR"/>
        </w:rPr>
        <w:t>Responsibility</w:t>
      </w:r>
      <w:proofErr w:type="spellEnd"/>
      <w:r w:rsidRPr="005E0713">
        <w:rPr>
          <w:rFonts w:cs="Times New Roman"/>
          <w:lang w:val="fr-FR"/>
        </w:rPr>
        <w:t xml:space="preserve"> » (2015), 19 </w:t>
      </w:r>
      <w:proofErr w:type="spellStart"/>
      <w:r w:rsidRPr="005E0713">
        <w:rPr>
          <w:rFonts w:cs="Times New Roman"/>
          <w:i/>
          <w:lang w:val="fr-FR"/>
        </w:rPr>
        <w:t>Rev</w:t>
      </w:r>
      <w:proofErr w:type="spellEnd"/>
      <w:r w:rsidRPr="005E0713">
        <w:rPr>
          <w:rFonts w:cs="Times New Roman"/>
          <w:i/>
          <w:lang w:val="fr-FR"/>
        </w:rPr>
        <w:t xml:space="preserve">. </w:t>
      </w:r>
      <w:proofErr w:type="gramStart"/>
      <w:r w:rsidRPr="005E0713">
        <w:rPr>
          <w:rFonts w:cs="Times New Roman"/>
          <w:i/>
          <w:lang w:val="fr-FR"/>
        </w:rPr>
        <w:t>can</w:t>
      </w:r>
      <w:proofErr w:type="gramEnd"/>
      <w:r w:rsidRPr="005E0713">
        <w:rPr>
          <w:rFonts w:cs="Times New Roman"/>
          <w:i/>
          <w:lang w:val="fr-FR"/>
        </w:rPr>
        <w:t>.</w:t>
      </w:r>
      <w:r w:rsidRPr="005E0713">
        <w:rPr>
          <w:rFonts w:cs="Times New Roman"/>
          <w:lang w:val="fr-FR"/>
        </w:rPr>
        <w:t xml:space="preserve"> </w:t>
      </w:r>
      <w:r w:rsidRPr="005E0713">
        <w:rPr>
          <w:rFonts w:cs="Times New Roman"/>
          <w:i/>
          <w:lang w:val="fr-FR"/>
        </w:rPr>
        <w:t>D.P.</w:t>
      </w:r>
      <w:r w:rsidRPr="005E0713">
        <w:rPr>
          <w:rFonts w:cs="Times New Roman"/>
          <w:lang w:val="fr-FR"/>
        </w:rPr>
        <w:t xml:space="preserve"> 173, p. 211).</w:t>
      </w:r>
    </w:p>
    <w:p w14:paraId="1C1CD7BF" w14:textId="77777777" w:rsidR="000E6B3D" w:rsidRPr="005E0713" w:rsidRDefault="000E6B3D" w:rsidP="000E6B3D">
      <w:pPr>
        <w:pStyle w:val="ParaNoNdepar-AltN"/>
        <w:rPr>
          <w:rFonts w:cs="Times New Roman"/>
          <w:lang w:val="fr-FR"/>
        </w:rPr>
      </w:pPr>
      <w:r w:rsidRPr="005E0713">
        <w:rPr>
          <w:rFonts w:cs="Times New Roman"/>
          <w:lang w:val="fr-FR"/>
        </w:rPr>
        <w:lastRenderedPageBreak/>
        <w:t xml:space="preserve">En somme, aucun conflit ne résulte de l’application concomitante de l’al. 259(1)a) et de la règle de </w:t>
      </w:r>
      <w:proofErr w:type="spellStart"/>
      <w:r w:rsidRPr="005E0713">
        <w:rPr>
          <w:rFonts w:cs="Times New Roman"/>
          <w:lang w:val="fr-FR"/>
        </w:rPr>
        <w:t>common</w:t>
      </w:r>
      <w:proofErr w:type="spellEnd"/>
      <w:r w:rsidRPr="005E0713">
        <w:rPr>
          <w:rFonts w:cs="Times New Roman"/>
          <w:lang w:val="fr-FR"/>
        </w:rPr>
        <w:t xml:space="preserve"> </w:t>
      </w:r>
      <w:proofErr w:type="spellStart"/>
      <w:r w:rsidRPr="005E0713">
        <w:rPr>
          <w:rFonts w:cs="Times New Roman"/>
          <w:lang w:val="fr-FR"/>
        </w:rPr>
        <w:t>law</w:t>
      </w:r>
      <w:proofErr w:type="spellEnd"/>
      <w:r w:rsidRPr="005E0713">
        <w:rPr>
          <w:rFonts w:cs="Times New Roman"/>
          <w:lang w:val="fr-FR"/>
        </w:rPr>
        <w:t xml:space="preserve"> permettant l’octroi d’un crédit. Au moment du prononcé de la sentence, le tribunal est tenu d’infliger la peine minimale obligatoire d’un an, mais rien dans la loi ne l’empêche d’octroyer ensuite un crédit. De même, l’octroi d’un crédit ne contrevient pas à l’exigence prévue au </w:t>
      </w:r>
      <w:proofErr w:type="spellStart"/>
      <w:r w:rsidRPr="005E0713">
        <w:rPr>
          <w:rFonts w:cs="Times New Roman"/>
          <w:lang w:val="fr-FR"/>
        </w:rPr>
        <w:t>par</w:t>
      </w:r>
      <w:proofErr w:type="spellEnd"/>
      <w:r w:rsidRPr="005E0713">
        <w:rPr>
          <w:rFonts w:cs="Times New Roman"/>
          <w:lang w:val="fr-FR"/>
        </w:rPr>
        <w:t xml:space="preserve">. 719(1) </w:t>
      </w:r>
      <w:r w:rsidRPr="005E0713">
        <w:rPr>
          <w:rFonts w:cs="Times New Roman"/>
          <w:i/>
          <w:lang w:val="fr-FR"/>
        </w:rPr>
        <w:t>C. </w:t>
      </w:r>
      <w:proofErr w:type="spellStart"/>
      <w:r w:rsidRPr="005E0713">
        <w:rPr>
          <w:rFonts w:cs="Times New Roman"/>
          <w:i/>
          <w:lang w:val="fr-FR"/>
        </w:rPr>
        <w:t>cr</w:t>
      </w:r>
      <w:proofErr w:type="spellEnd"/>
      <w:r w:rsidRPr="005E0713">
        <w:rPr>
          <w:rFonts w:cs="Times New Roman"/>
          <w:lang w:val="fr-FR"/>
        </w:rPr>
        <w:t xml:space="preserve">. En effet, seule la sentence doit commencer au moment où elle est prononcée, et non la punition minimale d’un an purgée en application de l’al. 259(1)a). Par conséquent, ces dispositions législatives n’écartent pas le pouvoir discrétionnaire reconnu aux juges des peines dans l’arrêt </w:t>
      </w:r>
      <w:r w:rsidRPr="005E0713">
        <w:rPr>
          <w:rFonts w:cs="Times New Roman"/>
          <w:i/>
          <w:lang w:val="fr-FR"/>
        </w:rPr>
        <w:t>Lacasse</w:t>
      </w:r>
      <w:r w:rsidRPr="005E0713">
        <w:rPr>
          <w:rFonts w:cs="Times New Roman"/>
          <w:lang w:val="fr-FR"/>
        </w:rPr>
        <w:t>. Bien entendu, le Parlement demeure libre, à l’intérieur des balises imposées par la Constitution, de limiter ce pouvoir discrétionnaire, mais il doit alors le faire au moyen d’une « disposition claire à cet effet » (</w:t>
      </w:r>
      <w:r w:rsidRPr="005E0713">
        <w:rPr>
          <w:rFonts w:cs="Times New Roman"/>
          <w:i/>
          <w:lang w:val="fr-FR"/>
        </w:rPr>
        <w:t>Lizotte c. Aviva, Compagnie d’assurance du Canada</w:t>
      </w:r>
      <w:r w:rsidRPr="005E0713">
        <w:rPr>
          <w:rFonts w:cs="Times New Roman"/>
          <w:lang w:val="fr-FR"/>
        </w:rPr>
        <w:t>, 2016 CSC 52, [2016] 2 R.C.S. 521, par. 56). Il n’y a rien de tel en l’espèce, l’al. 259(1)a) étant silencieux sur la question de l’octroi d’un crédit.</w:t>
      </w:r>
    </w:p>
    <w:p w14:paraId="198D8DEF" w14:textId="77777777" w:rsidR="000E6B3D" w:rsidRPr="005E0713" w:rsidRDefault="000E6B3D" w:rsidP="000E6B3D">
      <w:pPr>
        <w:pStyle w:val="ParaNoNdepar-AltN"/>
        <w:rPr>
          <w:rFonts w:cs="Times New Roman"/>
        </w:rPr>
      </w:pPr>
      <w:r w:rsidRPr="005E0713">
        <w:rPr>
          <w:rFonts w:cs="Times New Roman"/>
          <w:lang w:val="fr-FR"/>
        </w:rPr>
        <w:t xml:space="preserve">Par ailleurs, la codification au </w:t>
      </w:r>
      <w:proofErr w:type="spellStart"/>
      <w:r w:rsidRPr="005E0713">
        <w:rPr>
          <w:rFonts w:cs="Times New Roman"/>
          <w:lang w:val="fr-FR"/>
        </w:rPr>
        <w:t>par</w:t>
      </w:r>
      <w:proofErr w:type="spellEnd"/>
      <w:r w:rsidRPr="005E0713">
        <w:rPr>
          <w:rFonts w:cs="Times New Roman"/>
          <w:lang w:val="fr-FR"/>
        </w:rPr>
        <w:t xml:space="preserve">. 719(3) </w:t>
      </w:r>
      <w:r w:rsidRPr="005E0713">
        <w:rPr>
          <w:rFonts w:cs="Times New Roman"/>
          <w:i/>
          <w:lang w:val="fr-FR"/>
        </w:rPr>
        <w:t>C. </w:t>
      </w:r>
      <w:proofErr w:type="spellStart"/>
      <w:r w:rsidRPr="005E0713">
        <w:rPr>
          <w:rFonts w:cs="Times New Roman"/>
          <w:i/>
          <w:lang w:val="fr-FR"/>
        </w:rPr>
        <w:t>cr</w:t>
      </w:r>
      <w:proofErr w:type="spellEnd"/>
      <w:r w:rsidRPr="005E0713">
        <w:rPr>
          <w:rFonts w:cs="Times New Roman"/>
          <w:i/>
          <w:lang w:val="fr-FR"/>
        </w:rPr>
        <w:t>.</w:t>
      </w:r>
      <w:r w:rsidRPr="005E0713">
        <w:rPr>
          <w:rFonts w:cs="Times New Roman"/>
          <w:lang w:val="fr-FR"/>
        </w:rPr>
        <w:t xml:space="preserve"> </w:t>
      </w:r>
      <w:proofErr w:type="gramStart"/>
      <w:r w:rsidRPr="005E0713">
        <w:rPr>
          <w:rFonts w:cs="Times New Roman"/>
          <w:lang w:val="fr-FR"/>
        </w:rPr>
        <w:t>du</w:t>
      </w:r>
      <w:proofErr w:type="gramEnd"/>
      <w:r w:rsidRPr="005E0713">
        <w:rPr>
          <w:rFonts w:cs="Times New Roman"/>
          <w:lang w:val="fr-FR"/>
        </w:rPr>
        <w:t xml:space="preserve"> pouvoir discrétionnaire d’accorder un crédit en matière de détention </w:t>
      </w:r>
      <w:proofErr w:type="spellStart"/>
      <w:r w:rsidRPr="005E0713">
        <w:rPr>
          <w:rFonts w:cs="Times New Roman"/>
          <w:lang w:val="fr-FR"/>
        </w:rPr>
        <w:t>présentencielle</w:t>
      </w:r>
      <w:proofErr w:type="spellEnd"/>
      <w:r w:rsidRPr="005E0713">
        <w:rPr>
          <w:rFonts w:cs="Times New Roman"/>
          <w:lang w:val="fr-FR"/>
        </w:rPr>
        <w:t xml:space="preserve"> n’a aucune incidence sur le présent pourvoi. Tout comme l’al. 259(1)a), le par. 719(3) ne souffre d’aucune ambiguïté et est tout aussi silencieux sur l’interdiction de conduire. En l’espèce,</w:t>
      </w:r>
      <w:r w:rsidRPr="005E0713">
        <w:rPr>
          <w:rFonts w:cs="Times New Roman"/>
        </w:rPr>
        <w:t xml:space="preserve"> l’absence d’une disposition analogue en matière de prohibition de conduire ne dénote pas</w:t>
      </w:r>
      <w:r w:rsidRPr="005E0713">
        <w:rPr>
          <w:rFonts w:cs="Times New Roman"/>
          <w:sz w:val="20"/>
        </w:rPr>
        <w:t xml:space="preserve"> </w:t>
      </w:r>
      <w:r w:rsidRPr="005E0713">
        <w:rPr>
          <w:rFonts w:cs="Times New Roman"/>
        </w:rPr>
        <w:t xml:space="preserve">une intention positive du Parlement d’éliminer le pouvoir discrétionnaire reconnu dans l’arrêt </w:t>
      </w:r>
      <w:r w:rsidRPr="005E0713">
        <w:rPr>
          <w:rFonts w:cs="Times New Roman"/>
          <w:i/>
        </w:rPr>
        <w:t>Lacasse</w:t>
      </w:r>
      <w:r w:rsidRPr="005E0713">
        <w:rPr>
          <w:rFonts w:cs="Times New Roman"/>
        </w:rPr>
        <w:t>, d’ailleurs rendu postérieurement à l’adoption du par. 719(3).</w:t>
      </w:r>
    </w:p>
    <w:p w14:paraId="668AD19A" w14:textId="77777777" w:rsidR="000E6B3D" w:rsidRPr="005E0713" w:rsidRDefault="000E6B3D" w:rsidP="000E6B3D">
      <w:pPr>
        <w:pStyle w:val="ParaNoNdepar-AltN"/>
        <w:rPr>
          <w:rFonts w:cs="Times New Roman"/>
        </w:rPr>
      </w:pPr>
      <w:r w:rsidRPr="005E0713">
        <w:rPr>
          <w:rFonts w:cs="Times New Roman"/>
          <w:lang w:val="fr-FR"/>
        </w:rPr>
        <w:lastRenderedPageBreak/>
        <w:t>Au vu de ce qui précède, et puisque M</w:t>
      </w:r>
      <w:r w:rsidRPr="005E0713">
        <w:rPr>
          <w:rFonts w:cs="Times New Roman"/>
          <w:vertAlign w:val="superscript"/>
          <w:lang w:val="fr-FR"/>
        </w:rPr>
        <w:t>me</w:t>
      </w:r>
      <w:r w:rsidRPr="005E0713">
        <w:rPr>
          <w:rFonts w:cs="Times New Roman"/>
          <w:lang w:val="fr-FR"/>
        </w:rPr>
        <w:t> Basque a déjà été soumise à une interdiction de conduire d’une durée de 21 mois, l’imposition d’une période additionnelle d’un an équivaudrait à une sorte de double punition, contrairement aux exigences les plus fondamentales de justice et d’équité. Conscient de cette réalité, le juge de première instance a ordonné une interdiction de conduire d’un an, mais a considéré que M</w:t>
      </w:r>
      <w:r w:rsidRPr="005E0713">
        <w:rPr>
          <w:rFonts w:cs="Times New Roman"/>
          <w:vertAlign w:val="superscript"/>
          <w:lang w:val="fr-FR"/>
        </w:rPr>
        <w:t>me</w:t>
      </w:r>
      <w:r w:rsidRPr="005E0713">
        <w:rPr>
          <w:rFonts w:cs="Times New Roman"/>
          <w:lang w:val="fr-FR"/>
        </w:rPr>
        <w:t xml:space="preserve"> Basque avait déjà satisfait à cette condition. Cependant, il a antidaté la sentence de M</w:t>
      </w:r>
      <w:r w:rsidRPr="005E0713">
        <w:rPr>
          <w:rFonts w:cs="Times New Roman"/>
          <w:vertAlign w:val="superscript"/>
          <w:lang w:val="fr-FR"/>
        </w:rPr>
        <w:t>me</w:t>
      </w:r>
      <w:r w:rsidRPr="005E0713">
        <w:rPr>
          <w:rFonts w:cs="Times New Roman"/>
          <w:lang w:val="fr-FR"/>
        </w:rPr>
        <w:t xml:space="preserve"> Basque pour arriver à ce résultat. Avec égards, il s’agit d’une erreur. En effet, il aurait pu, à bon droit, infliger la peine minimale obligatoire </w:t>
      </w:r>
      <w:proofErr w:type="gramStart"/>
      <w:r w:rsidRPr="005E0713">
        <w:rPr>
          <w:rFonts w:cs="Times New Roman"/>
          <w:lang w:val="fr-FR"/>
        </w:rPr>
        <w:t>d’un an prescrite</w:t>
      </w:r>
      <w:proofErr w:type="gramEnd"/>
      <w:r w:rsidRPr="005E0713">
        <w:rPr>
          <w:rFonts w:cs="Times New Roman"/>
          <w:lang w:val="fr-FR"/>
        </w:rPr>
        <w:t xml:space="preserve"> par l’al. 259(1)a) </w:t>
      </w:r>
      <w:r w:rsidRPr="005E0713">
        <w:rPr>
          <w:rFonts w:cs="Times New Roman"/>
          <w:i/>
          <w:lang w:val="fr-FR"/>
        </w:rPr>
        <w:t>C. </w:t>
      </w:r>
      <w:proofErr w:type="spellStart"/>
      <w:r w:rsidRPr="005E0713">
        <w:rPr>
          <w:rFonts w:cs="Times New Roman"/>
          <w:i/>
          <w:lang w:val="fr-FR"/>
        </w:rPr>
        <w:t>cr</w:t>
      </w:r>
      <w:proofErr w:type="spellEnd"/>
      <w:r w:rsidRPr="005E0713">
        <w:rPr>
          <w:rFonts w:cs="Times New Roman"/>
          <w:i/>
          <w:lang w:val="fr-FR"/>
        </w:rPr>
        <w:t>.</w:t>
      </w:r>
      <w:r w:rsidRPr="005E0713">
        <w:rPr>
          <w:rFonts w:cs="Times New Roman"/>
          <w:lang w:val="fr-FR"/>
        </w:rPr>
        <w:t xml:space="preserve">, préciser que la sentence commence au moment où elle est prononcée aux termes du par. 719(1) </w:t>
      </w:r>
      <w:r w:rsidRPr="005E0713">
        <w:rPr>
          <w:rFonts w:cs="Times New Roman"/>
          <w:i/>
          <w:lang w:val="fr-FR"/>
        </w:rPr>
        <w:t>C. </w:t>
      </w:r>
      <w:proofErr w:type="spellStart"/>
      <w:r w:rsidRPr="005E0713">
        <w:rPr>
          <w:rFonts w:cs="Times New Roman"/>
          <w:i/>
          <w:lang w:val="fr-FR"/>
        </w:rPr>
        <w:t>cr</w:t>
      </w:r>
      <w:proofErr w:type="spellEnd"/>
      <w:r w:rsidRPr="005E0713">
        <w:rPr>
          <w:rFonts w:cs="Times New Roman"/>
          <w:i/>
          <w:lang w:val="fr-FR"/>
        </w:rPr>
        <w:t>.</w:t>
      </w:r>
      <w:r w:rsidRPr="005E0713">
        <w:rPr>
          <w:rFonts w:cs="Times New Roman"/>
          <w:lang w:val="fr-FR"/>
        </w:rPr>
        <w:t xml:space="preserve"> </w:t>
      </w:r>
      <w:proofErr w:type="gramStart"/>
      <w:r w:rsidRPr="005E0713">
        <w:rPr>
          <w:rFonts w:cs="Times New Roman"/>
          <w:lang w:val="fr-FR"/>
        </w:rPr>
        <w:t>et</w:t>
      </w:r>
      <w:proofErr w:type="gramEnd"/>
      <w:r w:rsidRPr="005E0713">
        <w:rPr>
          <w:rFonts w:cs="Times New Roman"/>
          <w:lang w:val="fr-FR"/>
        </w:rPr>
        <w:t xml:space="preserve">, ensuite, octroyer un crédit pour la période </w:t>
      </w:r>
      <w:proofErr w:type="spellStart"/>
      <w:r w:rsidRPr="005E0713">
        <w:rPr>
          <w:rFonts w:cs="Times New Roman"/>
          <w:lang w:val="fr-FR"/>
        </w:rPr>
        <w:t>présentencielle</w:t>
      </w:r>
      <w:proofErr w:type="spellEnd"/>
      <w:r w:rsidRPr="005E0713">
        <w:rPr>
          <w:rFonts w:cs="Times New Roman"/>
          <w:lang w:val="fr-FR"/>
        </w:rPr>
        <w:t xml:space="preserve"> d’interdiction de conduire en application du pouvoir discrétionnaire que lui reconnaît la </w:t>
      </w:r>
      <w:proofErr w:type="spellStart"/>
      <w:r w:rsidRPr="005E0713">
        <w:rPr>
          <w:rFonts w:cs="Times New Roman"/>
          <w:lang w:val="fr-FR"/>
        </w:rPr>
        <w:t>common</w:t>
      </w:r>
      <w:proofErr w:type="spellEnd"/>
      <w:r w:rsidRPr="005E0713">
        <w:rPr>
          <w:rFonts w:cs="Times New Roman"/>
          <w:lang w:val="fr-FR"/>
        </w:rPr>
        <w:t xml:space="preserve"> </w:t>
      </w:r>
      <w:proofErr w:type="spellStart"/>
      <w:r w:rsidRPr="005E0713">
        <w:rPr>
          <w:rFonts w:cs="Times New Roman"/>
          <w:lang w:val="fr-FR"/>
        </w:rPr>
        <w:t>law</w:t>
      </w:r>
      <w:proofErr w:type="spellEnd"/>
      <w:r w:rsidRPr="005E0713">
        <w:rPr>
          <w:rFonts w:cs="Times New Roman"/>
          <w:lang w:val="fr-FR"/>
        </w:rPr>
        <w:t xml:space="preserve">, pouvoir qui n’est nullement écarté par le </w:t>
      </w:r>
      <w:r w:rsidRPr="005E0713">
        <w:rPr>
          <w:rFonts w:cs="Times New Roman"/>
          <w:i/>
          <w:lang w:val="fr-FR"/>
        </w:rPr>
        <w:t>Code criminel</w:t>
      </w:r>
      <w:r w:rsidRPr="005E0713">
        <w:rPr>
          <w:rFonts w:cs="Times New Roman"/>
          <w:lang w:val="fr-FR"/>
        </w:rPr>
        <w:t>.</w:t>
      </w:r>
    </w:p>
    <w:p w14:paraId="76980198"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Pour les motifs qui suivent, je propose d’accueillir l’appel et d’infirmer l’arrêt de la Cour d’appel du Nouveau</w:t>
      </w:r>
      <w:r w:rsidRPr="005E0713">
        <w:rPr>
          <w:rFonts w:cs="Times New Roman"/>
        </w:rPr>
        <w:noBreakHyphen/>
        <w:t xml:space="preserve">Brunswick. Je rétablirais le jugement de la cour d’appel en matière de poursuites sommaires et je rétablirais en partie, pour des motifs distincts, les conclusions du juge de première instance, en précisant que l’appelante a déjà purgé l’interdiction minimale obligatoire prévue à l’al. 259(1)a) </w:t>
      </w:r>
      <w:r w:rsidRPr="005E0713">
        <w:rPr>
          <w:rFonts w:cs="Times New Roman"/>
          <w:i/>
        </w:rPr>
        <w:t>C. </w:t>
      </w:r>
      <w:proofErr w:type="spellStart"/>
      <w:r w:rsidRPr="005E0713">
        <w:rPr>
          <w:rFonts w:cs="Times New Roman"/>
          <w:i/>
        </w:rPr>
        <w:t>cr</w:t>
      </w:r>
      <w:proofErr w:type="spellEnd"/>
      <w:r w:rsidRPr="005E0713">
        <w:rPr>
          <w:rFonts w:cs="Times New Roman"/>
          <w:i/>
        </w:rPr>
        <w:t>.</w:t>
      </w:r>
    </w:p>
    <w:p w14:paraId="40821FB3" w14:textId="77777777" w:rsidR="000E6B3D" w:rsidRPr="005E0713" w:rsidRDefault="000E6B3D" w:rsidP="000E6B3D">
      <w:pPr>
        <w:pStyle w:val="Title1LevelTitre1Niveau-AltL"/>
        <w:rPr>
          <w:rFonts w:cs="Times New Roman"/>
          <w:lang w:val="fr-CA"/>
        </w:rPr>
      </w:pPr>
      <w:r w:rsidRPr="005E0713">
        <w:rPr>
          <w:rFonts w:cs="Times New Roman"/>
          <w:lang w:val="fr-CA"/>
        </w:rPr>
        <w:t>Faits</w:t>
      </w:r>
      <w:bookmarkEnd w:id="4"/>
      <w:bookmarkEnd w:id="5"/>
      <w:bookmarkEnd w:id="6"/>
      <w:bookmarkEnd w:id="7"/>
      <w:bookmarkEnd w:id="8"/>
    </w:p>
    <w:p w14:paraId="5B06FD0D"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Dans la nuit du 7 octobre 2017, l’appelante conduit son véhicule dans le centre</w:t>
      </w:r>
      <w:r w:rsidRPr="005E0713">
        <w:rPr>
          <w:rFonts w:cs="Times New Roman"/>
        </w:rPr>
        <w:noBreakHyphen/>
        <w:t>ville de Moncton, au Nouveau</w:t>
      </w:r>
      <w:r w:rsidRPr="005E0713">
        <w:rPr>
          <w:rFonts w:cs="Times New Roman"/>
        </w:rPr>
        <w:noBreakHyphen/>
        <w:t xml:space="preserve">Brunswick. Le constable Richard, qui patrouille </w:t>
      </w:r>
      <w:r w:rsidRPr="005E0713">
        <w:rPr>
          <w:rFonts w:cs="Times New Roman"/>
        </w:rPr>
        <w:lastRenderedPageBreak/>
        <w:t>dans cette zone, remarque la conduite erratique du véhicule et procède à son interception. L’interaction entre l’appelante et l’agent se déroule en français, suivant la préférence exprimée par M</w:t>
      </w:r>
      <w:r w:rsidRPr="005E0713">
        <w:rPr>
          <w:rFonts w:cs="Times New Roman"/>
          <w:vertAlign w:val="superscript"/>
        </w:rPr>
        <w:t>me</w:t>
      </w:r>
      <w:r w:rsidRPr="005E0713">
        <w:rPr>
          <w:rFonts w:cs="Times New Roman"/>
        </w:rPr>
        <w:t> Basque. Le constable lui fait subir un alcootest, qui révèle une alcoolémie supérieure à la limite légale. Madame Basque est alors arrêtée pour avoir conduit un véhicule à moteur alors que son alcoolémie excédait 80 mg d’alcool pour 100 ml de sang.</w:t>
      </w:r>
    </w:p>
    <w:p w14:paraId="3626D28F"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Le 30 novembre, M</w:t>
      </w:r>
      <w:r w:rsidRPr="005E0713">
        <w:rPr>
          <w:rFonts w:cs="Times New Roman"/>
          <w:vertAlign w:val="superscript"/>
        </w:rPr>
        <w:t>me</w:t>
      </w:r>
      <w:r w:rsidRPr="005E0713">
        <w:rPr>
          <w:rFonts w:cs="Times New Roman"/>
        </w:rPr>
        <w:t xml:space="preserve"> Basque est remise en liberté sous promesse de ne pas conduire de véhicule à moteur. Elle sera accusée de conduite avec facultés affaiblies en violation de l’ancien al. 253(1)b) </w:t>
      </w:r>
      <w:r w:rsidRPr="005E0713">
        <w:rPr>
          <w:rFonts w:cs="Times New Roman"/>
          <w:i/>
        </w:rPr>
        <w:t>C. </w:t>
      </w:r>
      <w:proofErr w:type="spellStart"/>
      <w:r w:rsidRPr="005E0713">
        <w:rPr>
          <w:rFonts w:cs="Times New Roman"/>
          <w:i/>
        </w:rPr>
        <w:t>cr</w:t>
      </w:r>
      <w:proofErr w:type="spellEnd"/>
      <w:r w:rsidRPr="005E0713">
        <w:rPr>
          <w:rFonts w:cs="Times New Roman"/>
          <w:i/>
        </w:rPr>
        <w:t>.</w:t>
      </w:r>
    </w:p>
    <w:p w14:paraId="0A6894F0"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Madame Basque inscrit d’abord un plaidoyer de non</w:t>
      </w:r>
      <w:r w:rsidRPr="005E0713">
        <w:rPr>
          <w:rFonts w:cs="Times New Roman"/>
        </w:rPr>
        <w:noBreakHyphen/>
        <w:t>culpabilité à l’égard de l’accusation portée contre elle. Le procès est alors fixé à juin 2018, mais ensuite ajourné à sa demande. En octobre de la même année, M</w:t>
      </w:r>
      <w:r w:rsidRPr="005E0713">
        <w:rPr>
          <w:rFonts w:cs="Times New Roman"/>
          <w:vertAlign w:val="superscript"/>
        </w:rPr>
        <w:t>me</w:t>
      </w:r>
      <w:r w:rsidRPr="005E0713">
        <w:rPr>
          <w:rFonts w:cs="Times New Roman"/>
        </w:rPr>
        <w:t xml:space="preserve"> Basque plaide coupable et exprime son intention de demander une absolution conditionnelle en vertu du par. 255(5)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w:t>
      </w:r>
      <w:proofErr w:type="gramStart"/>
      <w:r w:rsidRPr="005E0713">
        <w:rPr>
          <w:rFonts w:cs="Times New Roman"/>
        </w:rPr>
        <w:t>maintenant</w:t>
      </w:r>
      <w:proofErr w:type="gramEnd"/>
      <w:r w:rsidRPr="005E0713">
        <w:rPr>
          <w:rFonts w:cs="Times New Roman"/>
        </w:rPr>
        <w:t xml:space="preserve"> abrogé).</w:t>
      </w:r>
    </w:p>
    <w:p w14:paraId="69267E9F" w14:textId="77777777" w:rsidR="000E6B3D" w:rsidRPr="005E0713" w:rsidRDefault="000E6B3D" w:rsidP="000E6B3D">
      <w:pPr>
        <w:pStyle w:val="ParaNoNdepar-AltN"/>
        <w:rPr>
          <w:rFonts w:cs="Times New Roman"/>
        </w:rPr>
      </w:pPr>
      <w:r w:rsidRPr="005E0713">
        <w:rPr>
          <w:rFonts w:cs="Times New Roman"/>
        </w:rPr>
        <w:t xml:space="preserve">Lors de l’audience relative à la détermination de la peine en </w:t>
      </w:r>
      <w:proofErr w:type="gramStart"/>
      <w:r w:rsidRPr="005E0713">
        <w:rPr>
          <w:rFonts w:cs="Times New Roman"/>
        </w:rPr>
        <w:t>Cour</w:t>
      </w:r>
      <w:proofErr w:type="gramEnd"/>
      <w:r w:rsidRPr="005E0713">
        <w:rPr>
          <w:rFonts w:cs="Times New Roman"/>
        </w:rPr>
        <w:t xml:space="preserve"> provinciale — retardée par des ajournements —, M</w:t>
      </w:r>
      <w:r w:rsidRPr="005E0713">
        <w:rPr>
          <w:rFonts w:cs="Times New Roman"/>
          <w:vertAlign w:val="superscript"/>
        </w:rPr>
        <w:t>me</w:t>
      </w:r>
      <w:r w:rsidRPr="005E0713">
        <w:rPr>
          <w:rFonts w:cs="Times New Roman"/>
        </w:rPr>
        <w:t> Basque renonce à son droit de procéder en français et abandonne sa demande d’absolution conditionnelle. Après discussion de ses antécédents judiciaires, il est déterminé que M</w:t>
      </w:r>
      <w:r w:rsidRPr="005E0713">
        <w:rPr>
          <w:rFonts w:cs="Times New Roman"/>
          <w:vertAlign w:val="superscript"/>
        </w:rPr>
        <w:t>me</w:t>
      </w:r>
      <w:r w:rsidRPr="005E0713">
        <w:rPr>
          <w:rFonts w:cs="Times New Roman"/>
        </w:rPr>
        <w:t> Basque doit se voir imposer, aux termes de l’al. 259(1)a), une interdiction applicable en cas de première infraction. Le ministère public ne demande pas de peine d’emprisonnement, et les parties arrivent à un accord quant au montant de l’amende à fixer dans son cas.</w:t>
      </w:r>
    </w:p>
    <w:p w14:paraId="04D485E3"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lastRenderedPageBreak/>
        <w:t>Entre sa comparution initiale et le prononcé de sa peine, M</w:t>
      </w:r>
      <w:r w:rsidRPr="005E0713">
        <w:rPr>
          <w:rFonts w:cs="Times New Roman"/>
          <w:vertAlign w:val="superscript"/>
        </w:rPr>
        <w:t>me</w:t>
      </w:r>
      <w:r w:rsidRPr="005E0713">
        <w:rPr>
          <w:rFonts w:cs="Times New Roman"/>
        </w:rPr>
        <w:t xml:space="preserve"> Basque a été assujettie à une interdiction de conduire d’une durée de 21 mois. </w:t>
      </w:r>
    </w:p>
    <w:p w14:paraId="68210D0F" w14:textId="77777777" w:rsidR="000E6B3D" w:rsidRPr="005E0713" w:rsidRDefault="000E6B3D" w:rsidP="000E6B3D">
      <w:pPr>
        <w:pStyle w:val="Title1LevelTitre1Niveau-AltL"/>
        <w:rPr>
          <w:rFonts w:cs="Times New Roman"/>
          <w:lang w:val="fr-CA"/>
        </w:rPr>
      </w:pPr>
      <w:bookmarkStart w:id="9" w:name="_Toc122713948"/>
      <w:bookmarkStart w:id="10" w:name="_Toc123734874"/>
      <w:bookmarkStart w:id="11" w:name="_Toc123830836"/>
      <w:bookmarkStart w:id="12" w:name="_Toc124075270"/>
      <w:bookmarkStart w:id="13" w:name="_Toc124075326"/>
      <w:r w:rsidRPr="005E0713">
        <w:rPr>
          <w:rFonts w:cs="Times New Roman"/>
          <w:lang w:val="fr-CA"/>
        </w:rPr>
        <w:t>Historique des procédures judiciaires</w:t>
      </w:r>
      <w:bookmarkEnd w:id="9"/>
      <w:bookmarkEnd w:id="10"/>
      <w:bookmarkEnd w:id="11"/>
      <w:bookmarkEnd w:id="12"/>
      <w:bookmarkEnd w:id="13"/>
    </w:p>
    <w:p w14:paraId="56FEF01C" w14:textId="77777777" w:rsidR="000E6B3D" w:rsidRPr="005E0713" w:rsidRDefault="000E6B3D" w:rsidP="000E6B3D">
      <w:pPr>
        <w:pStyle w:val="Title2LevelTitre2Niveau"/>
        <w:rPr>
          <w:rFonts w:cs="Times New Roman"/>
          <w:lang w:val="fr-CA"/>
        </w:rPr>
      </w:pPr>
      <w:bookmarkStart w:id="14" w:name="_Toc122713949"/>
      <w:bookmarkStart w:id="15" w:name="_Toc123734875"/>
      <w:bookmarkStart w:id="16" w:name="_Toc123830837"/>
      <w:bookmarkStart w:id="17" w:name="_Toc124075271"/>
      <w:bookmarkStart w:id="18" w:name="_Toc124075327"/>
      <w:r w:rsidRPr="005E0713">
        <w:rPr>
          <w:rFonts w:cs="Times New Roman"/>
          <w:lang w:val="fr-CA"/>
        </w:rPr>
        <w:t>Cour provinciale du Nouveau-Brunswick</w:t>
      </w:r>
      <w:bookmarkEnd w:id="14"/>
      <w:r w:rsidRPr="005E0713">
        <w:rPr>
          <w:rFonts w:cs="Times New Roman"/>
          <w:lang w:val="fr-CA"/>
        </w:rPr>
        <w:t xml:space="preserve"> (le juge </w:t>
      </w:r>
      <w:proofErr w:type="spellStart"/>
      <w:r w:rsidRPr="005E0713">
        <w:rPr>
          <w:rFonts w:cs="Times New Roman"/>
          <w:lang w:val="fr-CA"/>
        </w:rPr>
        <w:t>McCarroll</w:t>
      </w:r>
      <w:proofErr w:type="spellEnd"/>
      <w:r w:rsidRPr="005E0713">
        <w:rPr>
          <w:rFonts w:cs="Times New Roman"/>
          <w:lang w:val="fr-CA"/>
        </w:rPr>
        <w:t>)</w:t>
      </w:r>
      <w:bookmarkEnd w:id="15"/>
      <w:bookmarkEnd w:id="16"/>
      <w:bookmarkEnd w:id="17"/>
      <w:bookmarkEnd w:id="18"/>
    </w:p>
    <w:p w14:paraId="0D4E3F16" w14:textId="77777777" w:rsidR="000E6B3D" w:rsidRPr="005E0713" w:rsidRDefault="000E6B3D" w:rsidP="000E6B3D">
      <w:pPr>
        <w:pStyle w:val="ParaNoNdepar-AltN"/>
        <w:rPr>
          <w:rFonts w:cs="Times New Roman"/>
        </w:rPr>
      </w:pPr>
      <w:r w:rsidRPr="005E0713">
        <w:rPr>
          <w:rFonts w:cs="Times New Roman"/>
        </w:rPr>
        <w:t>Le juge chargé de la détermination de la peine prend acte du passé difficile de M</w:t>
      </w:r>
      <w:r w:rsidRPr="005E0713">
        <w:rPr>
          <w:rFonts w:cs="Times New Roman"/>
          <w:vertAlign w:val="superscript"/>
        </w:rPr>
        <w:t>me</w:t>
      </w:r>
      <w:r w:rsidRPr="005E0713">
        <w:rPr>
          <w:rFonts w:cs="Times New Roman"/>
        </w:rPr>
        <w:t xml:space="preserve"> Basque, lequel inclut une enfance marquée par de nombreux abus. Il note également l’importance que revêt pour elle </w:t>
      </w:r>
      <w:proofErr w:type="gramStart"/>
      <w:r w:rsidRPr="005E0713">
        <w:rPr>
          <w:rFonts w:cs="Times New Roman"/>
        </w:rPr>
        <w:t>la</w:t>
      </w:r>
      <w:proofErr w:type="gramEnd"/>
      <w:r w:rsidRPr="005E0713">
        <w:rPr>
          <w:rFonts w:cs="Times New Roman"/>
        </w:rPr>
        <w:t xml:space="preserve"> conduite de son véhicule. En effet, elle a besoin de se rendre à Fredericton afin de participer aux audiences relatives à la garde de ses enfants, et l’utilisation du transport en commun à cette fin la place dans une situation de précarité financière. Sensible à cette réalité et tenant compte du fait que M</w:t>
      </w:r>
      <w:r w:rsidRPr="005E0713">
        <w:rPr>
          <w:rFonts w:cs="Times New Roman"/>
          <w:vertAlign w:val="superscript"/>
        </w:rPr>
        <w:t>me</w:t>
      </w:r>
      <w:r w:rsidRPr="005E0713">
        <w:rPr>
          <w:rFonts w:cs="Times New Roman"/>
        </w:rPr>
        <w:t xml:space="preserve"> Basque a été assujettie à une interdiction </w:t>
      </w:r>
      <w:proofErr w:type="spellStart"/>
      <w:r w:rsidRPr="005E0713">
        <w:rPr>
          <w:rFonts w:cs="Times New Roman"/>
        </w:rPr>
        <w:t>présentencielle</w:t>
      </w:r>
      <w:proofErr w:type="spellEnd"/>
      <w:r w:rsidRPr="005E0713">
        <w:rPr>
          <w:rFonts w:cs="Times New Roman"/>
        </w:rPr>
        <w:t xml:space="preserve"> de conduire de 21 mois, le juge accède à sa demande non contestée de ne pas imposer une interdiction additionnelle.</w:t>
      </w:r>
    </w:p>
    <w:p w14:paraId="0DD6EB76" w14:textId="77777777" w:rsidR="000E6B3D" w:rsidRPr="005E0713" w:rsidRDefault="000E6B3D" w:rsidP="000E6B3D">
      <w:pPr>
        <w:pStyle w:val="ParaNoNdepar-AltN"/>
        <w:rPr>
          <w:rFonts w:cs="Times New Roman"/>
        </w:rPr>
      </w:pPr>
      <w:r w:rsidRPr="005E0713">
        <w:rPr>
          <w:rFonts w:cs="Times New Roman"/>
        </w:rPr>
        <w:t>À l’audience, le juge commente ainsi les possibles modalités de l’ordonnance qu’il doit rendre : [</w:t>
      </w:r>
      <w:r w:rsidRPr="005E0713">
        <w:rPr>
          <w:rFonts w:cs="Times New Roman"/>
          <w:smallCaps/>
        </w:rPr>
        <w:t>traduction</w:t>
      </w:r>
      <w:r w:rsidRPr="005E0713">
        <w:rPr>
          <w:rFonts w:cs="Times New Roman"/>
        </w:rPr>
        <w:t>]</w:t>
      </w:r>
      <w:r w:rsidRPr="005E0713">
        <w:rPr>
          <w:rFonts w:cs="Times New Roman"/>
          <w:lang w:val="fr-FR"/>
        </w:rPr>
        <w:t xml:space="preserve"> </w:t>
      </w:r>
      <w:r w:rsidRPr="005E0713">
        <w:rPr>
          <w:rFonts w:cs="Times New Roman"/>
        </w:rPr>
        <w:t xml:space="preserve">« . . . je ne suis pas certain si je devrais écrire, période d’interdiction de conduire pendant un an qui est terminée en raison des deux années pendant lesquelles – il lui a été interdit de conduire [par suite de l’interdiction </w:t>
      </w:r>
      <w:proofErr w:type="spellStart"/>
      <w:r w:rsidRPr="005E0713">
        <w:rPr>
          <w:rFonts w:cs="Times New Roman"/>
        </w:rPr>
        <w:t>présentencielle</w:t>
      </w:r>
      <w:proofErr w:type="spellEnd"/>
      <w:r w:rsidRPr="005E0713">
        <w:rPr>
          <w:rFonts w:cs="Times New Roman"/>
        </w:rPr>
        <w:t xml:space="preserve">], ou simplement, aucune interdiction de conduire. Je suis enclin à retenir la première approche parce que la loi m’oblige à – à ordonner [l’interdiction] – mais j’estime qu’il est plus prudent de – de l’ordonner puis de </w:t>
      </w:r>
      <w:r w:rsidRPr="005E0713">
        <w:rPr>
          <w:rFonts w:cs="Times New Roman"/>
        </w:rPr>
        <w:lastRenderedPageBreak/>
        <w:t>l’antidater et de dire, vous savez, elle est déjà privée de son permis par ordonnance du tribunal depuis – depuis plus de deux ans » (</w:t>
      </w:r>
      <w:proofErr w:type="spellStart"/>
      <w:r w:rsidRPr="005E0713">
        <w:rPr>
          <w:rFonts w:cs="Times New Roman"/>
        </w:rPr>
        <w:t>d.a</w:t>
      </w:r>
      <w:proofErr w:type="spellEnd"/>
      <w:r w:rsidRPr="005E0713">
        <w:rPr>
          <w:rFonts w:cs="Times New Roman"/>
        </w:rPr>
        <w:t>., vol. I, p. 16). Finalement, le juge choisit d’antidater l’ordonnance interdisant à M</w:t>
      </w:r>
      <w:r w:rsidRPr="005E0713">
        <w:rPr>
          <w:rFonts w:cs="Times New Roman"/>
          <w:vertAlign w:val="superscript"/>
        </w:rPr>
        <w:t>me</w:t>
      </w:r>
      <w:r w:rsidRPr="005E0713">
        <w:rPr>
          <w:rFonts w:cs="Times New Roman"/>
        </w:rPr>
        <w:t> Basque de conduire un véhicule au 30 novembre 2017 — c’est</w:t>
      </w:r>
      <w:r w:rsidRPr="005E0713">
        <w:rPr>
          <w:rFonts w:cs="Times New Roman"/>
        </w:rPr>
        <w:noBreakHyphen/>
        <w:t>à</w:t>
      </w:r>
      <w:r w:rsidRPr="005E0713">
        <w:rPr>
          <w:rFonts w:cs="Times New Roman"/>
        </w:rPr>
        <w:noBreakHyphen/>
        <w:t xml:space="preserve">dire le premier jour de l’interdiction </w:t>
      </w:r>
      <w:proofErr w:type="spellStart"/>
      <w:r w:rsidRPr="005E0713">
        <w:rPr>
          <w:rFonts w:cs="Times New Roman"/>
        </w:rPr>
        <w:t>présentencielle</w:t>
      </w:r>
      <w:proofErr w:type="spellEnd"/>
      <w:r w:rsidRPr="005E0713">
        <w:rPr>
          <w:rFonts w:cs="Times New Roman"/>
        </w:rPr>
        <w:t xml:space="preserve"> — de telle sorte que cette prohibition est entièrement complétée en date de la décision. Il impose également l’amende minimale de 1 000 $.</w:t>
      </w:r>
    </w:p>
    <w:p w14:paraId="0913D7C0" w14:textId="77777777" w:rsidR="000E6B3D" w:rsidRPr="005E0713" w:rsidRDefault="000E6B3D" w:rsidP="000E6B3D">
      <w:pPr>
        <w:pStyle w:val="Title2LevelTitre2Niveau"/>
        <w:rPr>
          <w:rFonts w:cs="Times New Roman"/>
          <w:lang w:val="fr-CA"/>
        </w:rPr>
      </w:pPr>
      <w:bookmarkStart w:id="19" w:name="_Toc122713950"/>
      <w:bookmarkStart w:id="20" w:name="_Toc123734876"/>
      <w:bookmarkStart w:id="21" w:name="_Toc123830838"/>
      <w:bookmarkStart w:id="22" w:name="_Toc124075272"/>
      <w:bookmarkStart w:id="23" w:name="_Toc124075328"/>
      <w:r w:rsidRPr="005E0713">
        <w:rPr>
          <w:rFonts w:cs="Times New Roman"/>
          <w:lang w:val="fr-CA"/>
        </w:rPr>
        <w:t>Cour du Banc de la Reine du Nouveau-Brunswick</w:t>
      </w:r>
      <w:bookmarkEnd w:id="19"/>
      <w:r w:rsidRPr="005E0713">
        <w:rPr>
          <w:rFonts w:cs="Times New Roman"/>
          <w:lang w:val="fr-CA"/>
        </w:rPr>
        <w:t>, 2020 NBBR 130 (le juge </w:t>
      </w:r>
      <w:proofErr w:type="spellStart"/>
      <w:r w:rsidRPr="005E0713">
        <w:rPr>
          <w:rFonts w:cs="Times New Roman"/>
          <w:lang w:val="fr-CA"/>
        </w:rPr>
        <w:t>Dysart</w:t>
      </w:r>
      <w:proofErr w:type="spellEnd"/>
      <w:r w:rsidRPr="005E0713">
        <w:rPr>
          <w:rFonts w:cs="Times New Roman"/>
          <w:lang w:val="fr-CA"/>
        </w:rPr>
        <w:t>)</w:t>
      </w:r>
      <w:bookmarkEnd w:id="20"/>
      <w:bookmarkEnd w:id="21"/>
      <w:bookmarkEnd w:id="22"/>
      <w:bookmarkEnd w:id="23"/>
    </w:p>
    <w:p w14:paraId="594897F9" w14:textId="77777777" w:rsidR="000E6B3D" w:rsidRPr="005E0713" w:rsidRDefault="000E6B3D" w:rsidP="000E6B3D">
      <w:pPr>
        <w:pStyle w:val="ParaNoNdepar-AltN"/>
        <w:rPr>
          <w:rFonts w:cs="Times New Roman"/>
        </w:rPr>
      </w:pPr>
      <w:r w:rsidRPr="005E0713">
        <w:rPr>
          <w:rFonts w:cs="Times New Roman"/>
        </w:rPr>
        <w:t xml:space="preserve">Le juge d’appel en matière de poursuites sommaires est saisi d’un appel interjeté par le ministère public, qui soutient que le premier juge a erré en droit en antidatant la sentence. Or, s’appuyant sur les enseignements de notre Cour dans les arrêts </w:t>
      </w:r>
      <w:r w:rsidRPr="005E0713">
        <w:rPr>
          <w:rFonts w:cs="Times New Roman"/>
          <w:i/>
        </w:rPr>
        <w:t xml:space="preserve">Lacasse </w:t>
      </w:r>
      <w:r w:rsidRPr="005E0713">
        <w:rPr>
          <w:rFonts w:cs="Times New Roman"/>
        </w:rPr>
        <w:t>et</w:t>
      </w:r>
      <w:r w:rsidRPr="005E0713">
        <w:rPr>
          <w:rFonts w:cs="Times New Roman"/>
          <w:i/>
        </w:rPr>
        <w:t xml:space="preserve"> </w:t>
      </w:r>
      <w:proofErr w:type="spellStart"/>
      <w:r w:rsidRPr="005E0713">
        <w:rPr>
          <w:rFonts w:cs="Times New Roman"/>
          <w:i/>
        </w:rPr>
        <w:t>Wust</w:t>
      </w:r>
      <w:proofErr w:type="spellEnd"/>
      <w:r w:rsidRPr="005E0713">
        <w:rPr>
          <w:rFonts w:cs="Times New Roman"/>
        </w:rPr>
        <w:t xml:space="preserve">, il rejette l’appel, concluant que le premier juge pouvait accorder un crédit pour une prohibition </w:t>
      </w:r>
      <w:proofErr w:type="spellStart"/>
      <w:r w:rsidRPr="005E0713">
        <w:rPr>
          <w:rFonts w:cs="Times New Roman"/>
        </w:rPr>
        <w:t>présentencielle</w:t>
      </w:r>
      <w:proofErr w:type="spellEnd"/>
      <w:r w:rsidRPr="005E0713">
        <w:rPr>
          <w:rFonts w:cs="Times New Roman"/>
        </w:rPr>
        <w:t xml:space="preserve"> de conduire, dans la mesure où une telle prohibition constitue une condition de remise en liberté et fait également partie de la peine ultérieurement infligée (par. 28 (CanLII)). </w:t>
      </w:r>
    </w:p>
    <w:p w14:paraId="50FB0046" w14:textId="77777777" w:rsidR="000E6B3D" w:rsidRPr="005E0713" w:rsidRDefault="000E6B3D" w:rsidP="000E6B3D">
      <w:pPr>
        <w:pStyle w:val="ParaNoNdepar-AltN"/>
        <w:rPr>
          <w:rFonts w:cs="Times New Roman"/>
        </w:rPr>
      </w:pPr>
      <w:r w:rsidRPr="005E0713">
        <w:rPr>
          <w:rFonts w:cs="Times New Roman"/>
        </w:rPr>
        <w:t xml:space="preserve">Illustrant son propos à l’aide de deux décisions prenant appui sur l’arrêt </w:t>
      </w:r>
      <w:r w:rsidRPr="005E0713">
        <w:rPr>
          <w:rFonts w:cs="Times New Roman"/>
          <w:i/>
        </w:rPr>
        <w:t>Lacasse</w:t>
      </w:r>
      <w:r w:rsidRPr="005E0713">
        <w:rPr>
          <w:rFonts w:cs="Times New Roman"/>
        </w:rPr>
        <w:t xml:space="preserve"> — </w:t>
      </w:r>
      <w:r w:rsidRPr="005E0713">
        <w:rPr>
          <w:rFonts w:cs="Times New Roman"/>
          <w:i/>
        </w:rPr>
        <w:t xml:space="preserve">R. c. </w:t>
      </w:r>
      <w:proofErr w:type="spellStart"/>
      <w:r w:rsidRPr="005E0713">
        <w:rPr>
          <w:rFonts w:cs="Times New Roman"/>
          <w:i/>
        </w:rPr>
        <w:t>Bland</w:t>
      </w:r>
      <w:proofErr w:type="spellEnd"/>
      <w:r w:rsidRPr="005E0713">
        <w:rPr>
          <w:rFonts w:cs="Times New Roman"/>
        </w:rPr>
        <w:t xml:space="preserve">, 2016 YKSC 61, 3 M.V.R. (7th) 112, et </w:t>
      </w:r>
      <w:r w:rsidRPr="005E0713">
        <w:rPr>
          <w:rFonts w:cs="Times New Roman"/>
          <w:i/>
        </w:rPr>
        <w:t>R. c. Edwards</w:t>
      </w:r>
      <w:r w:rsidRPr="005E0713">
        <w:rPr>
          <w:rFonts w:cs="Times New Roman"/>
        </w:rPr>
        <w:t xml:space="preserve"> (2016), 382 </w:t>
      </w:r>
      <w:proofErr w:type="spellStart"/>
      <w:r w:rsidRPr="005E0713">
        <w:rPr>
          <w:rFonts w:cs="Times New Roman"/>
        </w:rPr>
        <w:t>Nfld</w:t>
      </w:r>
      <w:proofErr w:type="spellEnd"/>
      <w:r w:rsidRPr="005E0713">
        <w:rPr>
          <w:rFonts w:cs="Times New Roman"/>
        </w:rPr>
        <w:t>. &amp; P.E.I.R. 225 (C. prov. T.</w:t>
      </w:r>
      <w:r w:rsidRPr="005E0713">
        <w:rPr>
          <w:rFonts w:cs="Times New Roman"/>
        </w:rPr>
        <w:noBreakHyphen/>
        <w:t>N.</w:t>
      </w:r>
      <w:r w:rsidRPr="005E0713">
        <w:rPr>
          <w:rFonts w:cs="Times New Roman"/>
        </w:rPr>
        <w:noBreakHyphen/>
        <w:t xml:space="preserve">L.) —, le juge d’appel souligne que le premier juge n’a pas imposé une interdiction d’une durée inférieure au minimum prévu par le </w:t>
      </w:r>
      <w:r w:rsidRPr="005E0713">
        <w:rPr>
          <w:rFonts w:cs="Times New Roman"/>
          <w:i/>
        </w:rPr>
        <w:t>Code criminel</w:t>
      </w:r>
      <w:r w:rsidRPr="005E0713">
        <w:rPr>
          <w:rFonts w:cs="Times New Roman"/>
        </w:rPr>
        <w:t>. La décision du premier juge a eu pour effet d’imposer à M</w:t>
      </w:r>
      <w:r w:rsidRPr="005E0713">
        <w:rPr>
          <w:rFonts w:cs="Times New Roman"/>
          <w:vertAlign w:val="superscript"/>
        </w:rPr>
        <w:t>me</w:t>
      </w:r>
      <w:r w:rsidRPr="005E0713">
        <w:rPr>
          <w:rFonts w:cs="Times New Roman"/>
        </w:rPr>
        <w:t xml:space="preserve"> Basque une prohibition de conduire d’une durée totale d’un an, conformément à l’al. 259(1)a) </w:t>
      </w:r>
      <w:r w:rsidRPr="005E0713">
        <w:rPr>
          <w:rFonts w:cs="Times New Roman"/>
          <w:i/>
        </w:rPr>
        <w:lastRenderedPageBreak/>
        <w:t>C. </w:t>
      </w:r>
      <w:proofErr w:type="spellStart"/>
      <w:r w:rsidRPr="005E0713">
        <w:rPr>
          <w:rFonts w:cs="Times New Roman"/>
          <w:i/>
        </w:rPr>
        <w:t>cr</w:t>
      </w:r>
      <w:proofErr w:type="spellEnd"/>
      <w:r w:rsidRPr="005E0713">
        <w:rPr>
          <w:rFonts w:cs="Times New Roman"/>
          <w:i/>
        </w:rPr>
        <w:t>.</w:t>
      </w:r>
      <w:r w:rsidRPr="005E0713">
        <w:rPr>
          <w:rFonts w:cs="Times New Roman"/>
        </w:rPr>
        <w:t xml:space="preserve">, puis de lui accorder un crédit pour la prohibition </w:t>
      </w:r>
      <w:proofErr w:type="spellStart"/>
      <w:r w:rsidRPr="005E0713">
        <w:rPr>
          <w:rFonts w:cs="Times New Roman"/>
        </w:rPr>
        <w:t>présentencielle</w:t>
      </w:r>
      <w:proofErr w:type="spellEnd"/>
      <w:r w:rsidRPr="005E0713">
        <w:rPr>
          <w:rFonts w:cs="Times New Roman"/>
        </w:rPr>
        <w:t xml:space="preserve"> à laquelle elle a été soumise (par. 29). En cela, il n’a pas erré en droit. Enfin, le juge d’appel souligne que l’erreur ayant consisté à antidater la sentence n’a eu aucun impact sur la décision rendue, puisqu’aucune interdiction additionnelle de conduire n’était indiquée en l’espèce (par. 30).</w:t>
      </w:r>
    </w:p>
    <w:p w14:paraId="48466EF2" w14:textId="77777777" w:rsidR="000E6B3D" w:rsidRPr="005E0713" w:rsidRDefault="000E6B3D" w:rsidP="000E6B3D">
      <w:pPr>
        <w:pStyle w:val="Title2LevelTitre2Niveau"/>
        <w:rPr>
          <w:rFonts w:cs="Times New Roman"/>
          <w:lang w:val="fr-CA"/>
        </w:rPr>
      </w:pPr>
      <w:bookmarkStart w:id="24" w:name="_Toc122713951"/>
      <w:bookmarkStart w:id="25" w:name="_Toc123734877"/>
      <w:bookmarkStart w:id="26" w:name="_Toc123830839"/>
      <w:bookmarkStart w:id="27" w:name="_Toc124075273"/>
      <w:bookmarkStart w:id="28" w:name="_Toc124075329"/>
      <w:r w:rsidRPr="005E0713">
        <w:rPr>
          <w:rFonts w:cs="Times New Roman"/>
          <w:lang w:val="fr-CA"/>
        </w:rPr>
        <w:t>Cour d’appel du Nouveau-Brunswick</w:t>
      </w:r>
      <w:bookmarkEnd w:id="24"/>
      <w:r w:rsidRPr="005E0713">
        <w:rPr>
          <w:rFonts w:cs="Times New Roman"/>
          <w:lang w:val="fr-CA"/>
        </w:rPr>
        <w:t>, 2021 NBCA 50, 84 M.V.R. (7th) 54 (le juge en chef Richard, avec l’accord de la juge Baird; le juge French, dissident)</w:t>
      </w:r>
      <w:bookmarkEnd w:id="25"/>
      <w:bookmarkEnd w:id="26"/>
      <w:bookmarkEnd w:id="27"/>
      <w:bookmarkEnd w:id="28"/>
    </w:p>
    <w:p w14:paraId="511B1ADF"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Devant la Cour d’appel, la question en litige est formulée ainsi : [</w:t>
      </w:r>
      <w:r w:rsidRPr="005E0713">
        <w:rPr>
          <w:rFonts w:cs="Times New Roman"/>
          <w:smallCaps/>
        </w:rPr>
        <w:t>traduction</w:t>
      </w:r>
      <w:r w:rsidRPr="005E0713">
        <w:rPr>
          <w:rFonts w:cs="Times New Roman"/>
        </w:rPr>
        <w:t>] « Le juge de la cour d’appel en matière de poursuites sommaires a</w:t>
      </w:r>
      <w:r w:rsidRPr="005E0713">
        <w:rPr>
          <w:rFonts w:cs="Times New Roman"/>
        </w:rPr>
        <w:noBreakHyphen/>
        <w:t>t</w:t>
      </w:r>
      <w:r w:rsidRPr="005E0713">
        <w:rPr>
          <w:rFonts w:cs="Times New Roman"/>
        </w:rPr>
        <w:noBreakHyphen/>
        <w:t xml:space="preserve">il confirmé erronément que le juge de la Cour provinciale avait compétence pour réduire la période de l’interdiction de conduire obligatoire prescrite </w:t>
      </w:r>
      <w:r>
        <w:rPr>
          <w:rFonts w:cs="Times New Roman"/>
        </w:rPr>
        <w:t>[à l’al</w:t>
      </w:r>
      <w:r w:rsidRPr="005E0713">
        <w:rPr>
          <w:rFonts w:cs="Times New Roman"/>
        </w:rPr>
        <w:t>. 259(1)a)] (maintenant l’al. 320.24(2)a)) sous le seuil minimal d’un an, en créditant à l’intimée (M</w:t>
      </w:r>
      <w:r w:rsidRPr="005E0713">
        <w:rPr>
          <w:rFonts w:cs="Times New Roman"/>
          <w:vertAlign w:val="superscript"/>
        </w:rPr>
        <w:t>me</w:t>
      </w:r>
      <w:r w:rsidRPr="005E0713">
        <w:rPr>
          <w:rFonts w:cs="Times New Roman"/>
        </w:rPr>
        <w:t xml:space="preserve"> Basque) la période pendant laquelle elle avait subi l’interdiction </w:t>
      </w:r>
      <w:proofErr w:type="spellStart"/>
      <w:r w:rsidRPr="005E0713">
        <w:rPr>
          <w:rFonts w:cs="Times New Roman"/>
        </w:rPr>
        <w:t>présentencielle</w:t>
      </w:r>
      <w:proofErr w:type="spellEnd"/>
      <w:r w:rsidRPr="005E0713">
        <w:rPr>
          <w:rFonts w:cs="Times New Roman"/>
        </w:rPr>
        <w:t xml:space="preserve"> comme condition de sa mise en liberté sur remise d’une promesse? » (</w:t>
      </w:r>
      <w:proofErr w:type="gramStart"/>
      <w:r w:rsidRPr="005E0713">
        <w:rPr>
          <w:rFonts w:cs="Times New Roman"/>
        </w:rPr>
        <w:t>par</w:t>
      </w:r>
      <w:proofErr w:type="gramEnd"/>
      <w:r w:rsidRPr="005E0713">
        <w:rPr>
          <w:rFonts w:cs="Times New Roman"/>
        </w:rPr>
        <w:t xml:space="preserve">. 10). Le juge en chef Richard précise que la question n’est pas celle de savoir si la période d’interdiction </w:t>
      </w:r>
      <w:proofErr w:type="spellStart"/>
      <w:r w:rsidRPr="005E0713">
        <w:rPr>
          <w:rFonts w:cs="Times New Roman"/>
        </w:rPr>
        <w:t>présentencielle</w:t>
      </w:r>
      <w:proofErr w:type="spellEnd"/>
      <w:r w:rsidRPr="005E0713">
        <w:rPr>
          <w:rFonts w:cs="Times New Roman"/>
        </w:rPr>
        <w:t xml:space="preserve"> écoulée peut réduire la période d’interdiction postérieure au procès, « mais bien si elle peut </w:t>
      </w:r>
      <w:r w:rsidRPr="005E0713">
        <w:rPr>
          <w:rFonts w:cs="Times New Roman"/>
          <w:i/>
        </w:rPr>
        <w:t>réduire cette période sous le seuil minimal d’un an </w:t>
      </w:r>
      <w:r w:rsidRPr="005E0713">
        <w:rPr>
          <w:rFonts w:cs="Times New Roman"/>
        </w:rPr>
        <w:t>» (par. 12 (en italique dans l’original)).</w:t>
      </w:r>
    </w:p>
    <w:p w14:paraId="17E2B880"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La Cour d’appel se divise sur cette question. La majorité, sous la plume du juge en chef, fait droit à la demande d’autorisation d’appel présentée par le ministère public et accueille l’appel. Bien qu’il soit effectivement possible d’accorder un crédit </w:t>
      </w:r>
      <w:r w:rsidRPr="005E0713">
        <w:rPr>
          <w:rFonts w:cs="Times New Roman"/>
        </w:rPr>
        <w:lastRenderedPageBreak/>
        <w:t xml:space="preserve">pour une interdiction </w:t>
      </w:r>
      <w:proofErr w:type="spellStart"/>
      <w:r w:rsidRPr="005E0713">
        <w:rPr>
          <w:rFonts w:cs="Times New Roman"/>
        </w:rPr>
        <w:t>présentencielle</w:t>
      </w:r>
      <w:proofErr w:type="spellEnd"/>
      <w:r w:rsidRPr="005E0713">
        <w:rPr>
          <w:rFonts w:cs="Times New Roman"/>
        </w:rPr>
        <w:t xml:space="preserve"> de conduire dans certaines circonstances, écrit la majorité, il n’existe aucune autorité permettant d’octroyer un tel crédit de façon à écarter une peine minimale obligatoire prévue par la loi. La majorité mentionne que l’arrêt </w:t>
      </w:r>
      <w:r w:rsidRPr="005E0713">
        <w:rPr>
          <w:rFonts w:cs="Times New Roman"/>
          <w:i/>
        </w:rPr>
        <w:t>Lacasse</w:t>
      </w:r>
      <w:r w:rsidRPr="005E0713">
        <w:rPr>
          <w:rFonts w:cs="Times New Roman"/>
        </w:rPr>
        <w:t xml:space="preserve"> ne peut servir de guide en l’espèce, puisque cet arrêt porte sur une interdiction « discrétionnaire » de conduire n’impliquant pas une peine minimale obligatoire (par. 18-19). Les peines minimales </w:t>
      </w:r>
      <w:r>
        <w:rPr>
          <w:rFonts w:cs="Times New Roman"/>
        </w:rPr>
        <w:t xml:space="preserve">obligatoires </w:t>
      </w:r>
      <w:r w:rsidRPr="005E0713">
        <w:rPr>
          <w:rFonts w:cs="Times New Roman"/>
        </w:rPr>
        <w:t xml:space="preserve">ont précisément pour objet de limiter le pouvoir discrétionnaire dont jouissent les tribunaux. De plus, le pourvoi dont la Cour d’appel est saisie diffère fondamentalement de l’arrêt </w:t>
      </w:r>
      <w:proofErr w:type="spellStart"/>
      <w:r w:rsidRPr="005E0713">
        <w:rPr>
          <w:rFonts w:cs="Times New Roman"/>
          <w:i/>
        </w:rPr>
        <w:t>Wust</w:t>
      </w:r>
      <w:proofErr w:type="spellEnd"/>
      <w:r w:rsidRPr="005E0713">
        <w:rPr>
          <w:rFonts w:cs="Times New Roman"/>
        </w:rPr>
        <w:t xml:space="preserve">, lequel portait sur la possibilité d’accorder un crédit pour détention </w:t>
      </w:r>
      <w:proofErr w:type="spellStart"/>
      <w:r w:rsidRPr="005E0713">
        <w:rPr>
          <w:rFonts w:cs="Times New Roman"/>
        </w:rPr>
        <w:t>présentencielle</w:t>
      </w:r>
      <w:proofErr w:type="spellEnd"/>
      <w:r w:rsidRPr="005E0713">
        <w:rPr>
          <w:rFonts w:cs="Times New Roman"/>
        </w:rPr>
        <w:t xml:space="preserve"> en vertu du par. 719(3). Or, il n’existe pas d’équivalent au </w:t>
      </w:r>
      <w:proofErr w:type="spellStart"/>
      <w:r w:rsidRPr="005E0713">
        <w:rPr>
          <w:rFonts w:cs="Times New Roman"/>
        </w:rPr>
        <w:t>par</w:t>
      </w:r>
      <w:proofErr w:type="spellEnd"/>
      <w:r w:rsidRPr="005E0713">
        <w:rPr>
          <w:rFonts w:cs="Times New Roman"/>
        </w:rPr>
        <w:t>. 719(3) en matière d’interdiction de conduire.</w:t>
      </w:r>
    </w:p>
    <w:p w14:paraId="6FCCD805"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Interprété selon la méthode moderne d’interprétation des lois, l’al. 259(1)a) n’est pas ambigu, disent les juges majoritaires, et aucun crédit ne peut être accordé afin de permettre que soit imposée une interdiction qui serait d’une durée inférieure au minimum prescrit par cette disposition. Par ailleurs, l’interprétation proposée par M</w:t>
      </w:r>
      <w:r w:rsidRPr="005E0713">
        <w:rPr>
          <w:rFonts w:cs="Times New Roman"/>
          <w:vertAlign w:val="superscript"/>
        </w:rPr>
        <w:t>me</w:t>
      </w:r>
      <w:r w:rsidRPr="005E0713">
        <w:rPr>
          <w:rFonts w:cs="Times New Roman"/>
        </w:rPr>
        <w:t> Basque viderait de son sens le par. 719(3), car l’exception qu’il établit s’appliquerait alors à toutes les peines minimales obligatoires et non plus seulement, comme le prévoit ce texte, aux peines d’emprisonnement (par. 27). La majorité rejette l’argument suivant lequel la non</w:t>
      </w:r>
      <w:r w:rsidRPr="005E0713">
        <w:rPr>
          <w:rFonts w:cs="Times New Roman"/>
        </w:rPr>
        <w:noBreakHyphen/>
        <w:t xml:space="preserve">disponibilité d’un crédit entraînerait des résultats absurdes, notant que « [s]i les peines minimales obligatoires sont parfois inéquitables, il n’appartient pas à la Cour de les qualifier d’absurdes » (par. 31). Puisqu’une peine commence à courir à la date où elle est infligée, un tel crédit ne peut </w:t>
      </w:r>
      <w:r w:rsidRPr="005E0713">
        <w:rPr>
          <w:rFonts w:cs="Times New Roman"/>
        </w:rPr>
        <w:lastRenderedPageBreak/>
        <w:t>être accordé « en l’absence d’une contestation constitutionnelle couronnée de succès ou d’indications claires de la Cour suprême » (par. 39). Dans les circonstances, le juge d’appel en matière de poursuites sommaires a eu tort de créditer à M</w:t>
      </w:r>
      <w:r w:rsidRPr="005E0713">
        <w:rPr>
          <w:rFonts w:cs="Times New Roman"/>
          <w:vertAlign w:val="superscript"/>
        </w:rPr>
        <w:t>me</w:t>
      </w:r>
      <w:r w:rsidRPr="005E0713">
        <w:rPr>
          <w:rFonts w:cs="Times New Roman"/>
        </w:rPr>
        <w:t xml:space="preserve"> Basque la durée de son interdiction </w:t>
      </w:r>
      <w:proofErr w:type="spellStart"/>
      <w:r w:rsidRPr="005E0713">
        <w:rPr>
          <w:rFonts w:cs="Times New Roman"/>
        </w:rPr>
        <w:t>présentencielle</w:t>
      </w:r>
      <w:proofErr w:type="spellEnd"/>
      <w:r w:rsidRPr="005E0713">
        <w:rPr>
          <w:rFonts w:cs="Times New Roman"/>
        </w:rPr>
        <w:t xml:space="preserve"> de conduire, faisant ainsi défaut d’imposer la peine minimale obligatoire.</w:t>
      </w:r>
    </w:p>
    <w:p w14:paraId="208829A2"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Le juge French, dissident, écrit qu’il n’y a aucun doute que la loi exige l’infliction d’une interdiction de conduire pendant une période correspondant au moins à la peine minimale applicable. Toutefois, il est d’avis que l’interdiction peut être réduite « sous le seuil de la peine minimale applicable » par l’octroi d’un crédit pour la période d’interdiction </w:t>
      </w:r>
      <w:proofErr w:type="spellStart"/>
      <w:r w:rsidRPr="005E0713">
        <w:rPr>
          <w:rFonts w:cs="Times New Roman"/>
        </w:rPr>
        <w:t>présentencielle</w:t>
      </w:r>
      <w:proofErr w:type="spellEnd"/>
      <w:r w:rsidRPr="005E0713">
        <w:rPr>
          <w:rFonts w:cs="Times New Roman"/>
        </w:rPr>
        <w:t>, dans la mesure où la période totale de l’interdiction demeure supérieure à la peine minimale obligatoire (par. 58).</w:t>
      </w:r>
    </w:p>
    <w:p w14:paraId="22B20265"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Bien que le texte de l’al. 259(1)a) soit généralement clair, le juge dissident considère qu’il est ambigu quant à la possibilité d’accorder un crédit. Citant l’arrêt </w:t>
      </w:r>
      <w:r w:rsidRPr="005E0713">
        <w:rPr>
          <w:rFonts w:cs="Times New Roman"/>
          <w:i/>
        </w:rPr>
        <w:t>McDonald</w:t>
      </w:r>
      <w:r w:rsidRPr="005E0713">
        <w:rPr>
          <w:rFonts w:cs="Times New Roman"/>
        </w:rPr>
        <w:t xml:space="preserve">, et procédant par analogie avec l’arrêt </w:t>
      </w:r>
      <w:proofErr w:type="spellStart"/>
      <w:r w:rsidRPr="005E0713">
        <w:rPr>
          <w:rFonts w:cs="Times New Roman"/>
          <w:i/>
        </w:rPr>
        <w:t>Wust</w:t>
      </w:r>
      <w:proofErr w:type="spellEnd"/>
      <w:r w:rsidRPr="005E0713">
        <w:rPr>
          <w:rFonts w:cs="Times New Roman"/>
        </w:rPr>
        <w:t xml:space="preserve">, il souligne que des résultats absurdes s’ensuivraient si l’al. 259(1)a) était interprété de façon à empêcher l’octroi d’un crédit. En outre, l’absence d’une disposition équivalente au </w:t>
      </w:r>
      <w:proofErr w:type="spellStart"/>
      <w:r w:rsidRPr="005E0713">
        <w:rPr>
          <w:rFonts w:cs="Times New Roman"/>
        </w:rPr>
        <w:t>par</w:t>
      </w:r>
      <w:proofErr w:type="spellEnd"/>
      <w:r w:rsidRPr="005E0713">
        <w:rPr>
          <w:rFonts w:cs="Times New Roman"/>
        </w:rPr>
        <w:t xml:space="preserve">. 719(3)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w:t>
      </w:r>
      <w:proofErr w:type="gramStart"/>
      <w:r w:rsidRPr="005E0713">
        <w:rPr>
          <w:rFonts w:cs="Times New Roman"/>
        </w:rPr>
        <w:t>en</w:t>
      </w:r>
      <w:proofErr w:type="gramEnd"/>
      <w:r w:rsidRPr="005E0713">
        <w:rPr>
          <w:rFonts w:cs="Times New Roman"/>
        </w:rPr>
        <w:t xml:space="preserve"> matière d’interdiction de conduire ne signifie pas que le Parlement a eu l’intention de prohiber l’octroi d’un tel crédit. De fait, dans l’arrêt </w:t>
      </w:r>
      <w:r w:rsidRPr="005E0713">
        <w:rPr>
          <w:rFonts w:cs="Times New Roman"/>
          <w:i/>
        </w:rPr>
        <w:t>Lacasse</w:t>
      </w:r>
      <w:r w:rsidRPr="005E0713">
        <w:rPr>
          <w:rFonts w:cs="Times New Roman"/>
        </w:rPr>
        <w:t xml:space="preserve">, la Cour a explicitement reconnu la possibilité qu’un tel crédit soit accordé dans le contexte d’une interdiction </w:t>
      </w:r>
      <w:proofErr w:type="spellStart"/>
      <w:r w:rsidRPr="005E0713">
        <w:rPr>
          <w:rFonts w:cs="Times New Roman"/>
        </w:rPr>
        <w:t>présentencielle</w:t>
      </w:r>
      <w:proofErr w:type="spellEnd"/>
      <w:r w:rsidRPr="005E0713">
        <w:rPr>
          <w:rFonts w:cs="Times New Roman"/>
        </w:rPr>
        <w:t xml:space="preserve"> de conduire et que ce principe « est d’application générale » (par. 121). </w:t>
      </w:r>
    </w:p>
    <w:p w14:paraId="2212AEAA"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lastRenderedPageBreak/>
        <w:t>Enfin, tant les juges majoritaires que le juge dissident s’accordent sur l’opportunité de suspendre l’exécution de l’ordonnance prononcée à l’égard de M</w:t>
      </w:r>
      <w:r w:rsidRPr="005E0713">
        <w:rPr>
          <w:rFonts w:cs="Times New Roman"/>
          <w:vertAlign w:val="superscript"/>
        </w:rPr>
        <w:t>me</w:t>
      </w:r>
      <w:r w:rsidRPr="005E0713">
        <w:rPr>
          <w:rFonts w:cs="Times New Roman"/>
        </w:rPr>
        <w:t> Basque. En l’espèce, bien que cette dernière n’ait pas initialement contesté ses conditions de remise en liberté, celles</w:t>
      </w:r>
      <w:r w:rsidRPr="005E0713">
        <w:rPr>
          <w:rFonts w:cs="Times New Roman"/>
        </w:rPr>
        <w:noBreakHyphen/>
        <w:t xml:space="preserve">ci étaient déraisonnables. Cette interdiction </w:t>
      </w:r>
      <w:proofErr w:type="spellStart"/>
      <w:r w:rsidRPr="005E0713">
        <w:rPr>
          <w:rFonts w:cs="Times New Roman"/>
        </w:rPr>
        <w:t>présentencielle</w:t>
      </w:r>
      <w:proofErr w:type="spellEnd"/>
      <w:r w:rsidRPr="005E0713">
        <w:rPr>
          <w:rFonts w:cs="Times New Roman"/>
        </w:rPr>
        <w:t xml:space="preserve"> a fait en sorte que M</w:t>
      </w:r>
      <w:r w:rsidRPr="005E0713">
        <w:rPr>
          <w:rFonts w:cs="Times New Roman"/>
          <w:vertAlign w:val="superscript"/>
        </w:rPr>
        <w:t>me</w:t>
      </w:r>
      <w:r w:rsidRPr="005E0713">
        <w:rPr>
          <w:rFonts w:cs="Times New Roman"/>
        </w:rPr>
        <w:t> Basque a dans les faits été traitée plus sévèrement avant le prononcé de sa sentence qu’après celui</w:t>
      </w:r>
      <w:r w:rsidRPr="005E0713">
        <w:rPr>
          <w:rFonts w:cs="Times New Roman"/>
        </w:rPr>
        <w:noBreakHyphen/>
        <w:t>ci. Compte tenu des circonstances particulières de cette affaire, et afin d’éviter la perpétration d’une injustice et l’infliction d’une « peine disproportionnée », la Cour d’appel conclut qu’il y a lieu de suspendre l’exécution de toute interdiction additionnelle (motifs de la majorité, par. 54; voir aussi les motifs du juge dissident, par. 132).</w:t>
      </w:r>
    </w:p>
    <w:p w14:paraId="41C37EA8" w14:textId="77777777" w:rsidR="000E6B3D" w:rsidRPr="005E0713" w:rsidRDefault="000E6B3D" w:rsidP="000E6B3D">
      <w:pPr>
        <w:pStyle w:val="Title1LevelTitre1Niveau-AltL"/>
        <w:rPr>
          <w:rFonts w:cs="Times New Roman"/>
          <w:lang w:val="fr-CA"/>
        </w:rPr>
      </w:pPr>
      <w:bookmarkStart w:id="29" w:name="_Toc122713952"/>
      <w:bookmarkStart w:id="30" w:name="_Toc123734878"/>
      <w:bookmarkStart w:id="31" w:name="_Toc123830840"/>
      <w:bookmarkStart w:id="32" w:name="_Toc124075274"/>
      <w:bookmarkStart w:id="33" w:name="_Toc124075330"/>
      <w:r w:rsidRPr="005E0713">
        <w:rPr>
          <w:rFonts w:cs="Times New Roman"/>
          <w:lang w:val="fr-CA"/>
        </w:rPr>
        <w:t xml:space="preserve">Question en </w:t>
      </w:r>
      <w:bookmarkEnd w:id="29"/>
      <w:bookmarkEnd w:id="30"/>
      <w:bookmarkEnd w:id="31"/>
      <w:bookmarkEnd w:id="32"/>
      <w:bookmarkEnd w:id="33"/>
      <w:r w:rsidRPr="005E0713">
        <w:rPr>
          <w:rFonts w:cs="Times New Roman"/>
          <w:lang w:val="fr-CA"/>
        </w:rPr>
        <w:t>litige</w:t>
      </w:r>
    </w:p>
    <w:p w14:paraId="03DED724" w14:textId="77777777" w:rsidR="000E6B3D" w:rsidRPr="005E0713" w:rsidRDefault="000E6B3D" w:rsidP="000E6B3D">
      <w:pPr>
        <w:pStyle w:val="ParaNoNdepar-AltN"/>
        <w:rPr>
          <w:rFonts w:cs="Times New Roman"/>
        </w:rPr>
      </w:pPr>
      <w:r w:rsidRPr="005E0713">
        <w:rPr>
          <w:rFonts w:cs="Times New Roman"/>
        </w:rPr>
        <w:t>Madame Basque soulève plusieurs questions devant la Cour. Celles</w:t>
      </w:r>
      <w:r w:rsidRPr="005E0713">
        <w:rPr>
          <w:rFonts w:cs="Times New Roman"/>
        </w:rPr>
        <w:noBreakHyphen/>
        <w:t xml:space="preserve">ci se résument dans l’énoncé suivant : La période </w:t>
      </w:r>
      <w:proofErr w:type="spellStart"/>
      <w:r w:rsidRPr="005E0713">
        <w:rPr>
          <w:rFonts w:cs="Times New Roman"/>
        </w:rPr>
        <w:t>présentencielle</w:t>
      </w:r>
      <w:proofErr w:type="spellEnd"/>
      <w:r w:rsidRPr="005E0713">
        <w:rPr>
          <w:rFonts w:cs="Times New Roman"/>
        </w:rPr>
        <w:t xml:space="preserve"> d’interdiction de conduire purgée par l’appelante peut-elle lui être créditée malgré la période d’interdiction minimale obligatoire </w:t>
      </w:r>
      <w:proofErr w:type="gramStart"/>
      <w:r w:rsidRPr="005E0713">
        <w:rPr>
          <w:rFonts w:cs="Times New Roman"/>
        </w:rPr>
        <w:t>d’un an prévue</w:t>
      </w:r>
      <w:proofErr w:type="gramEnd"/>
      <w:r w:rsidRPr="005E0713">
        <w:rPr>
          <w:rFonts w:cs="Times New Roman"/>
        </w:rPr>
        <w:t xml:space="preserve"> à l’al. 259(1)a) </w:t>
      </w:r>
      <w:r w:rsidRPr="005E0713">
        <w:rPr>
          <w:rFonts w:cs="Times New Roman"/>
          <w:i/>
        </w:rPr>
        <w:t xml:space="preserve">C. </w:t>
      </w:r>
      <w:proofErr w:type="spellStart"/>
      <w:r w:rsidRPr="005E0713">
        <w:rPr>
          <w:rFonts w:cs="Times New Roman"/>
          <w:i/>
        </w:rPr>
        <w:t>c.r</w:t>
      </w:r>
      <w:proofErr w:type="spellEnd"/>
      <w:r w:rsidRPr="005E0713">
        <w:rPr>
          <w:rFonts w:cs="Times New Roman"/>
          <w:i/>
        </w:rPr>
        <w:t>.</w:t>
      </w:r>
      <w:r w:rsidRPr="005E0713">
        <w:rPr>
          <w:rFonts w:cs="Times New Roman"/>
        </w:rPr>
        <w:t>?</w:t>
      </w:r>
    </w:p>
    <w:p w14:paraId="16F026F8" w14:textId="77777777" w:rsidR="000E6B3D" w:rsidRPr="005E0713" w:rsidRDefault="000E6B3D" w:rsidP="000E6B3D">
      <w:pPr>
        <w:pStyle w:val="Title1LevelTitre1Niveau-AltL"/>
        <w:rPr>
          <w:rFonts w:cs="Times New Roman"/>
          <w:lang w:val="fr-CA"/>
        </w:rPr>
      </w:pPr>
      <w:bookmarkStart w:id="34" w:name="_Toc122713953"/>
      <w:bookmarkStart w:id="35" w:name="_Toc123734879"/>
      <w:bookmarkStart w:id="36" w:name="_Toc123830841"/>
      <w:bookmarkStart w:id="37" w:name="_Toc124075275"/>
      <w:bookmarkStart w:id="38" w:name="_Toc124075331"/>
      <w:r w:rsidRPr="005E0713">
        <w:rPr>
          <w:rFonts w:cs="Times New Roman"/>
          <w:lang w:val="fr-CA"/>
        </w:rPr>
        <w:t>Analyse</w:t>
      </w:r>
      <w:bookmarkEnd w:id="34"/>
      <w:bookmarkEnd w:id="35"/>
      <w:bookmarkEnd w:id="36"/>
      <w:bookmarkEnd w:id="37"/>
      <w:bookmarkEnd w:id="38"/>
    </w:p>
    <w:p w14:paraId="1613B5FD" w14:textId="77777777" w:rsidR="000E6B3D" w:rsidRPr="005E0713" w:rsidRDefault="000E6B3D" w:rsidP="000E6B3D">
      <w:pPr>
        <w:pStyle w:val="Title2LevelTitre2Niveau"/>
        <w:rPr>
          <w:rFonts w:cs="Times New Roman"/>
          <w:lang w:val="fr-CA"/>
        </w:rPr>
      </w:pPr>
      <w:bookmarkStart w:id="39" w:name="_Toc123830842"/>
      <w:bookmarkStart w:id="40" w:name="_Toc124075276"/>
      <w:bookmarkStart w:id="41" w:name="_Toc124075332"/>
      <w:bookmarkStart w:id="42" w:name="_Toc123734880"/>
      <w:bookmarkStart w:id="43" w:name="_Toc122713954"/>
      <w:r w:rsidRPr="005E0713">
        <w:rPr>
          <w:rFonts w:cs="Times New Roman"/>
          <w:lang w:val="fr-CA"/>
        </w:rPr>
        <w:t>Principales dispositions législatives</w:t>
      </w:r>
      <w:bookmarkEnd w:id="39"/>
      <w:bookmarkEnd w:id="40"/>
      <w:bookmarkEnd w:id="41"/>
      <w:r w:rsidRPr="005E0713">
        <w:rPr>
          <w:rFonts w:cs="Times New Roman"/>
          <w:lang w:val="fr-CA"/>
        </w:rPr>
        <w:t xml:space="preserve"> </w:t>
      </w:r>
      <w:bookmarkEnd w:id="42"/>
    </w:p>
    <w:p w14:paraId="0D395FBD" w14:textId="77777777" w:rsidR="000E6B3D" w:rsidRPr="005E0713" w:rsidRDefault="000E6B3D" w:rsidP="000E6B3D">
      <w:pPr>
        <w:pStyle w:val="ParaNoNdepar-AltN"/>
        <w:tabs>
          <w:tab w:val="clear" w:pos="1152"/>
          <w:tab w:val="left" w:pos="1166"/>
        </w:tabs>
        <w:rPr>
          <w:rFonts w:cs="Times New Roman"/>
        </w:rPr>
      </w:pPr>
      <w:bookmarkStart w:id="44" w:name="_Toc123734881"/>
      <w:bookmarkStart w:id="45" w:name="_Toc123830843"/>
      <w:r w:rsidRPr="005E0713">
        <w:rPr>
          <w:rFonts w:eastAsiaTheme="minorHAnsi" w:cs="Times New Roman"/>
          <w:szCs w:val="24"/>
          <w:lang w:val="fr-FR"/>
        </w:rPr>
        <w:t xml:space="preserve">L’ancien par. 259(1) </w:t>
      </w:r>
      <w:r w:rsidRPr="005E0713">
        <w:rPr>
          <w:rFonts w:eastAsiaTheme="minorHAnsi" w:cs="Times New Roman"/>
          <w:i/>
          <w:szCs w:val="24"/>
          <w:lang w:val="fr-FR"/>
        </w:rPr>
        <w:t>C. </w:t>
      </w:r>
      <w:proofErr w:type="spellStart"/>
      <w:r w:rsidRPr="005E0713">
        <w:rPr>
          <w:rFonts w:eastAsiaTheme="minorHAnsi" w:cs="Times New Roman"/>
          <w:i/>
          <w:szCs w:val="24"/>
          <w:lang w:val="fr-FR"/>
        </w:rPr>
        <w:t>cr</w:t>
      </w:r>
      <w:proofErr w:type="spellEnd"/>
      <w:r w:rsidRPr="005E0713">
        <w:rPr>
          <w:rFonts w:eastAsiaTheme="minorHAnsi" w:cs="Times New Roman"/>
          <w:i/>
          <w:szCs w:val="24"/>
          <w:lang w:val="fr-FR"/>
        </w:rPr>
        <w:t>.</w:t>
      </w:r>
      <w:r w:rsidRPr="005E0713">
        <w:rPr>
          <w:rFonts w:eastAsiaTheme="minorHAnsi" w:cs="Times New Roman"/>
          <w:szCs w:val="24"/>
          <w:lang w:val="fr-FR"/>
        </w:rPr>
        <w:t xml:space="preserve"> </w:t>
      </w:r>
      <w:proofErr w:type="gramStart"/>
      <w:r w:rsidRPr="005E0713">
        <w:rPr>
          <w:rFonts w:eastAsiaTheme="minorHAnsi" w:cs="Times New Roman"/>
          <w:szCs w:val="24"/>
          <w:lang w:val="fr-FR"/>
        </w:rPr>
        <w:t>prévoyait</w:t>
      </w:r>
      <w:proofErr w:type="gramEnd"/>
      <w:r w:rsidRPr="005E0713">
        <w:rPr>
          <w:rFonts w:eastAsiaTheme="minorHAnsi" w:cs="Times New Roman"/>
          <w:szCs w:val="24"/>
          <w:lang w:val="fr-FR"/>
        </w:rPr>
        <w:t xml:space="preserve"> à l’époque des faits des ordonnances d’interdiction de conduire obligatoires à l’égard de certaines infractions de conduite </w:t>
      </w:r>
      <w:r w:rsidRPr="005E0713">
        <w:rPr>
          <w:rFonts w:eastAsiaTheme="minorHAnsi" w:cs="Times New Roman"/>
          <w:szCs w:val="24"/>
          <w:lang w:val="fr-FR"/>
        </w:rPr>
        <w:lastRenderedPageBreak/>
        <w:t xml:space="preserve">avec facultés affaiblies, dont l’infraction punissable sur déclaration sommaire de culpabilité pertinente en l’espèce (de manière similaire, voir l’actuel par. 320.24(2) </w:t>
      </w:r>
      <w:r w:rsidRPr="005E0713">
        <w:rPr>
          <w:rFonts w:eastAsiaTheme="minorHAnsi" w:cs="Times New Roman"/>
          <w:i/>
          <w:szCs w:val="24"/>
          <w:lang w:val="fr-FR"/>
        </w:rPr>
        <w:t>C. </w:t>
      </w:r>
      <w:proofErr w:type="spellStart"/>
      <w:r w:rsidRPr="005E0713">
        <w:rPr>
          <w:rFonts w:eastAsiaTheme="minorHAnsi" w:cs="Times New Roman"/>
          <w:i/>
          <w:szCs w:val="24"/>
          <w:lang w:val="fr-FR"/>
        </w:rPr>
        <w:t>cr</w:t>
      </w:r>
      <w:proofErr w:type="spellEnd"/>
      <w:r w:rsidRPr="005E0713">
        <w:rPr>
          <w:rFonts w:eastAsiaTheme="minorHAnsi" w:cs="Times New Roman"/>
          <w:i/>
          <w:szCs w:val="24"/>
          <w:lang w:val="fr-FR"/>
        </w:rPr>
        <w:t>.</w:t>
      </w:r>
      <w:r w:rsidRPr="005E0713">
        <w:rPr>
          <w:rFonts w:eastAsiaTheme="minorHAnsi" w:cs="Times New Roman"/>
          <w:szCs w:val="24"/>
          <w:lang w:val="fr-FR"/>
        </w:rPr>
        <w:t xml:space="preserve">, adopté par L.C. 2018, c. 21). Les alinéas 259(1)a), b) et c) établissaient une gradation d’interdictions minimales obligatoires tenant compte des antécédents </w:t>
      </w:r>
      <w:r w:rsidRPr="005E0713">
        <w:rPr>
          <w:rFonts w:cs="Times New Roman"/>
          <w:lang w:val="fr-FR"/>
        </w:rPr>
        <w:t>du contrevenant</w:t>
      </w:r>
      <w:r w:rsidRPr="005E0713">
        <w:rPr>
          <w:rFonts w:eastAsiaTheme="minorHAnsi" w:cs="Times New Roman"/>
          <w:szCs w:val="24"/>
          <w:lang w:val="fr-FR"/>
        </w:rPr>
        <w:t xml:space="preserve"> en la matière : </w:t>
      </w:r>
    </w:p>
    <w:tbl>
      <w:tblPr>
        <w:tblW w:w="4296" w:type="pct"/>
        <w:tblInd w:w="1170" w:type="dxa"/>
        <w:tblLayout w:type="fixed"/>
        <w:tblCellMar>
          <w:top w:w="115" w:type="dxa"/>
          <w:left w:w="216" w:type="dxa"/>
          <w:bottom w:w="58" w:type="dxa"/>
          <w:right w:w="216" w:type="dxa"/>
        </w:tblCellMar>
        <w:tblLook w:val="0000" w:firstRow="0" w:lastRow="0" w:firstColumn="0" w:lastColumn="0" w:noHBand="0" w:noVBand="0"/>
      </w:tblPr>
      <w:tblGrid>
        <w:gridCol w:w="3557"/>
        <w:gridCol w:w="3557"/>
      </w:tblGrid>
      <w:tr w:rsidR="000E6B3D" w:rsidRPr="00496E12" w14:paraId="7E007882" w14:textId="77777777" w:rsidTr="00B975C3">
        <w:trPr>
          <w:trHeight w:val="475"/>
        </w:trPr>
        <w:tc>
          <w:tcPr>
            <w:tcW w:w="2500" w:type="pct"/>
          </w:tcPr>
          <w:p w14:paraId="6D1A8B4E" w14:textId="77777777" w:rsidR="000E6B3D" w:rsidRPr="005E0713" w:rsidRDefault="000E6B3D" w:rsidP="00B975C3">
            <w:pPr>
              <w:rPr>
                <w:b/>
                <w:szCs w:val="24"/>
              </w:rPr>
            </w:pPr>
            <w:r w:rsidRPr="005E0713">
              <w:rPr>
                <w:b/>
                <w:szCs w:val="24"/>
              </w:rPr>
              <w:t xml:space="preserve">Mandatory order of prohibition </w:t>
            </w:r>
          </w:p>
          <w:p w14:paraId="2E5F31A3" w14:textId="77777777" w:rsidR="000E6B3D" w:rsidRPr="005E0713" w:rsidRDefault="000E6B3D" w:rsidP="00B975C3">
            <w:pPr>
              <w:jc w:val="both"/>
              <w:rPr>
                <w:szCs w:val="24"/>
                <w:lang w:val="en-US"/>
              </w:rPr>
            </w:pPr>
            <w:r w:rsidRPr="005E0713">
              <w:rPr>
                <w:b/>
                <w:szCs w:val="24"/>
              </w:rPr>
              <w:t>259 (1)</w:t>
            </w:r>
            <w:r w:rsidRPr="005E0713">
              <w:rPr>
                <w:szCs w:val="24"/>
              </w:rPr>
              <w:t xml:space="preserve"> </w:t>
            </w:r>
            <w:r w:rsidRPr="005E0713">
              <w:rPr>
                <w:szCs w:val="24"/>
                <w:lang w:val="en-US"/>
              </w:rPr>
              <w:t>When an offender is convicted of an offence committed under section 253 or 254 [. . .], the court that sentences the offender shall, in addition to any other punishment that may be imposed for that offence, make an order prohibiting the offender from operating a motor vehicle on any street, road, highway or other public place, or from operating a vessel or an aircraft or railway equipment, as the case may be,</w:t>
            </w:r>
          </w:p>
          <w:p w14:paraId="15000F43" w14:textId="77777777" w:rsidR="000E6B3D" w:rsidRPr="005E0713" w:rsidRDefault="000E6B3D" w:rsidP="00B975C3">
            <w:pPr>
              <w:jc w:val="both"/>
              <w:rPr>
                <w:szCs w:val="24"/>
                <w:lang w:val="en-US"/>
              </w:rPr>
            </w:pPr>
          </w:p>
        </w:tc>
        <w:tc>
          <w:tcPr>
            <w:tcW w:w="2500" w:type="pct"/>
          </w:tcPr>
          <w:p w14:paraId="3E563709" w14:textId="77777777" w:rsidR="000E6B3D" w:rsidRPr="000E6B3D" w:rsidRDefault="000E6B3D" w:rsidP="00B975C3">
            <w:pPr>
              <w:rPr>
                <w:b/>
                <w:szCs w:val="24"/>
                <w:lang w:val="fr-CA"/>
              </w:rPr>
            </w:pPr>
            <w:r w:rsidRPr="000E6B3D">
              <w:rPr>
                <w:b/>
                <w:szCs w:val="24"/>
                <w:lang w:val="fr-CA"/>
              </w:rPr>
              <w:t>Ordonnance d’interdiction obligatoire</w:t>
            </w:r>
          </w:p>
          <w:p w14:paraId="0C8A28DE" w14:textId="77777777" w:rsidR="000E6B3D" w:rsidRPr="000E6B3D" w:rsidRDefault="000E6B3D" w:rsidP="00B975C3">
            <w:pPr>
              <w:jc w:val="both"/>
              <w:rPr>
                <w:szCs w:val="24"/>
                <w:lang w:val="fr-CA"/>
              </w:rPr>
            </w:pPr>
            <w:r w:rsidRPr="000E6B3D">
              <w:rPr>
                <w:b/>
                <w:szCs w:val="24"/>
                <w:lang w:val="fr-CA"/>
              </w:rPr>
              <w:t>259 (1)</w:t>
            </w:r>
            <w:r w:rsidRPr="000E6B3D">
              <w:rPr>
                <w:szCs w:val="24"/>
                <w:lang w:val="fr-CA"/>
              </w:rPr>
              <w:t xml:space="preserve"> Lorsqu’un contrevenant est déclaré coupable d’une infraction prévue aux articles 253 ou 254 [. . .], le tribunal qui lui inflige une peine doit, en plus de toute autre peine applicable à cette infraction, rendre une ordonnance lui interdisant de conduire un véhicule à moteur dans une rue, sur un chemin ou une grande route ou dans tout autre lieu public, un bateau, un aéronef ou du matériel ferroviaire :</w:t>
            </w:r>
          </w:p>
          <w:p w14:paraId="2B4E82E6" w14:textId="77777777" w:rsidR="000E6B3D" w:rsidRPr="000E6B3D" w:rsidRDefault="000E6B3D" w:rsidP="00B975C3">
            <w:pPr>
              <w:jc w:val="both"/>
              <w:rPr>
                <w:szCs w:val="24"/>
                <w:lang w:val="fr-CA"/>
              </w:rPr>
            </w:pPr>
          </w:p>
        </w:tc>
      </w:tr>
      <w:tr w:rsidR="000E6B3D" w:rsidRPr="00496E12" w14:paraId="7E165B61" w14:textId="77777777" w:rsidTr="00B975C3">
        <w:trPr>
          <w:trHeight w:val="475"/>
        </w:trPr>
        <w:tc>
          <w:tcPr>
            <w:tcW w:w="2500" w:type="pct"/>
          </w:tcPr>
          <w:p w14:paraId="731C13F3" w14:textId="77777777" w:rsidR="000E6B3D" w:rsidRPr="005E0713" w:rsidRDefault="000E6B3D" w:rsidP="00B975C3">
            <w:pPr>
              <w:jc w:val="both"/>
              <w:rPr>
                <w:szCs w:val="24"/>
                <w:lang w:val="en-US"/>
              </w:rPr>
            </w:pPr>
            <w:r w:rsidRPr="005E0713">
              <w:rPr>
                <w:b/>
                <w:szCs w:val="24"/>
                <w:lang w:val="en-US"/>
              </w:rPr>
              <w:t>(a)</w:t>
            </w:r>
            <w:r w:rsidRPr="005E0713">
              <w:rPr>
                <w:szCs w:val="24"/>
                <w:lang w:val="en-US"/>
              </w:rPr>
              <w:t xml:space="preserve"> for a first offence, during a period of not more than three years plus any period to which the offender is sentenced to imprisonment, and not less than one </w:t>
            </w:r>
            <w:proofErr w:type="gramStart"/>
            <w:r w:rsidRPr="005E0713">
              <w:rPr>
                <w:szCs w:val="24"/>
                <w:lang w:val="en-US"/>
              </w:rPr>
              <w:t>year;</w:t>
            </w:r>
            <w:proofErr w:type="gramEnd"/>
          </w:p>
          <w:p w14:paraId="173653E1" w14:textId="77777777" w:rsidR="000E6B3D" w:rsidRPr="005E0713" w:rsidRDefault="000E6B3D" w:rsidP="00B975C3">
            <w:pPr>
              <w:jc w:val="both"/>
              <w:rPr>
                <w:b/>
                <w:szCs w:val="24"/>
                <w:lang w:val="en-US"/>
              </w:rPr>
            </w:pPr>
          </w:p>
        </w:tc>
        <w:tc>
          <w:tcPr>
            <w:tcW w:w="2500" w:type="pct"/>
          </w:tcPr>
          <w:p w14:paraId="1A3CA94B" w14:textId="77777777" w:rsidR="000E6B3D" w:rsidRPr="000E6B3D" w:rsidRDefault="000E6B3D" w:rsidP="00B975C3">
            <w:pPr>
              <w:jc w:val="both"/>
              <w:rPr>
                <w:szCs w:val="24"/>
                <w:lang w:val="fr-CA"/>
              </w:rPr>
            </w:pPr>
            <w:r w:rsidRPr="000E6B3D">
              <w:rPr>
                <w:b/>
                <w:szCs w:val="24"/>
                <w:lang w:val="fr-CA"/>
              </w:rPr>
              <w:t xml:space="preserve">a) </w:t>
            </w:r>
            <w:r w:rsidRPr="000E6B3D">
              <w:rPr>
                <w:szCs w:val="24"/>
                <w:lang w:val="fr-CA"/>
              </w:rPr>
              <w:t>pour une première infraction, durant une période minimale d’un an et maximale de trois ans, en plus de la période d’emprisonnement à laquelle il est condamné;</w:t>
            </w:r>
          </w:p>
          <w:p w14:paraId="243771D2" w14:textId="77777777" w:rsidR="000E6B3D" w:rsidRPr="000E6B3D" w:rsidRDefault="000E6B3D" w:rsidP="00B975C3">
            <w:pPr>
              <w:rPr>
                <w:b/>
                <w:szCs w:val="24"/>
                <w:lang w:val="fr-CA"/>
              </w:rPr>
            </w:pPr>
          </w:p>
        </w:tc>
      </w:tr>
      <w:tr w:rsidR="000E6B3D" w:rsidRPr="00496E12" w14:paraId="6B68F0F9" w14:textId="77777777" w:rsidTr="00B975C3">
        <w:trPr>
          <w:trHeight w:val="475"/>
        </w:trPr>
        <w:tc>
          <w:tcPr>
            <w:tcW w:w="2500" w:type="pct"/>
          </w:tcPr>
          <w:p w14:paraId="3ABC8D21" w14:textId="77777777" w:rsidR="000E6B3D" w:rsidRPr="005E0713" w:rsidRDefault="000E6B3D" w:rsidP="00B975C3">
            <w:pPr>
              <w:jc w:val="both"/>
              <w:rPr>
                <w:szCs w:val="24"/>
                <w:lang w:val="en-US"/>
              </w:rPr>
            </w:pPr>
            <w:r w:rsidRPr="005E0713">
              <w:rPr>
                <w:b/>
                <w:szCs w:val="24"/>
                <w:lang w:val="en-US"/>
              </w:rPr>
              <w:t>(b)</w:t>
            </w:r>
            <w:r w:rsidRPr="005E0713">
              <w:rPr>
                <w:szCs w:val="24"/>
                <w:lang w:val="en-US"/>
              </w:rPr>
              <w:t xml:space="preserve"> for a second offence, during a period of not more than five years plus any period to which the offender is sentenced to imprisonment, and not less than two years; and</w:t>
            </w:r>
          </w:p>
          <w:p w14:paraId="6E7EEC40" w14:textId="77777777" w:rsidR="000E6B3D" w:rsidRPr="005E0713" w:rsidRDefault="000E6B3D" w:rsidP="00B975C3">
            <w:pPr>
              <w:jc w:val="both"/>
              <w:rPr>
                <w:b/>
                <w:szCs w:val="24"/>
                <w:lang w:val="en-US"/>
              </w:rPr>
            </w:pPr>
          </w:p>
        </w:tc>
        <w:tc>
          <w:tcPr>
            <w:tcW w:w="2500" w:type="pct"/>
          </w:tcPr>
          <w:p w14:paraId="163A351C" w14:textId="77777777" w:rsidR="000E6B3D" w:rsidRPr="000E6B3D" w:rsidRDefault="000E6B3D" w:rsidP="00B975C3">
            <w:pPr>
              <w:jc w:val="both"/>
              <w:rPr>
                <w:szCs w:val="24"/>
                <w:lang w:val="fr-CA"/>
              </w:rPr>
            </w:pPr>
            <w:r w:rsidRPr="000E6B3D">
              <w:rPr>
                <w:b/>
                <w:szCs w:val="24"/>
                <w:lang w:val="fr-CA"/>
              </w:rPr>
              <w:t>b)</w:t>
            </w:r>
            <w:r w:rsidRPr="000E6B3D">
              <w:rPr>
                <w:szCs w:val="24"/>
                <w:lang w:val="fr-CA"/>
              </w:rPr>
              <w:t xml:space="preserve"> pour une deuxième infraction, durant une période minimale de deux ans et maximale de cinq ans, en plus de la période d’emprisonnement à laquelle il est condamné;</w:t>
            </w:r>
          </w:p>
          <w:p w14:paraId="52142F57" w14:textId="77777777" w:rsidR="000E6B3D" w:rsidRPr="000E6B3D" w:rsidRDefault="000E6B3D" w:rsidP="00B975C3">
            <w:pPr>
              <w:rPr>
                <w:b/>
                <w:szCs w:val="24"/>
                <w:lang w:val="fr-CA"/>
              </w:rPr>
            </w:pPr>
          </w:p>
        </w:tc>
      </w:tr>
      <w:tr w:rsidR="000E6B3D" w:rsidRPr="00496E12" w14:paraId="76F91CE4" w14:textId="77777777" w:rsidTr="00B975C3">
        <w:trPr>
          <w:trHeight w:val="475"/>
        </w:trPr>
        <w:tc>
          <w:tcPr>
            <w:tcW w:w="2500" w:type="pct"/>
          </w:tcPr>
          <w:p w14:paraId="33F16E87" w14:textId="77777777" w:rsidR="000E6B3D" w:rsidRPr="005E0713" w:rsidRDefault="000E6B3D" w:rsidP="00B975C3">
            <w:pPr>
              <w:jc w:val="both"/>
              <w:rPr>
                <w:b/>
                <w:szCs w:val="24"/>
              </w:rPr>
            </w:pPr>
            <w:r w:rsidRPr="005E0713">
              <w:rPr>
                <w:b/>
                <w:szCs w:val="24"/>
                <w:lang w:val="en-US"/>
              </w:rPr>
              <w:lastRenderedPageBreak/>
              <w:t>(c)</w:t>
            </w:r>
            <w:r w:rsidRPr="005E0713">
              <w:rPr>
                <w:szCs w:val="24"/>
                <w:lang w:val="en-US"/>
              </w:rPr>
              <w:t xml:space="preserve"> for each subsequent offence, during a period of not less than three years plus any period to which the offender is sentenced to imprisonment.</w:t>
            </w:r>
          </w:p>
        </w:tc>
        <w:tc>
          <w:tcPr>
            <w:tcW w:w="2500" w:type="pct"/>
          </w:tcPr>
          <w:p w14:paraId="502A0470" w14:textId="77777777" w:rsidR="000E6B3D" w:rsidRPr="000E6B3D" w:rsidRDefault="000E6B3D" w:rsidP="00B975C3">
            <w:pPr>
              <w:jc w:val="both"/>
              <w:rPr>
                <w:szCs w:val="24"/>
                <w:lang w:val="fr-CA"/>
              </w:rPr>
            </w:pPr>
            <w:r w:rsidRPr="000E6B3D">
              <w:rPr>
                <w:b/>
                <w:szCs w:val="24"/>
                <w:lang w:val="fr-CA"/>
              </w:rPr>
              <w:t>c)</w:t>
            </w:r>
            <w:r w:rsidRPr="000E6B3D">
              <w:rPr>
                <w:szCs w:val="24"/>
                <w:lang w:val="fr-CA"/>
              </w:rPr>
              <w:t xml:space="preserve"> pour chaque infraction subséquente, durant une période minimale de trois ans, en plus de la période d’emprisonnement à laquelle il est condamné.</w:t>
            </w:r>
          </w:p>
        </w:tc>
      </w:tr>
    </w:tbl>
    <w:p w14:paraId="4DD65FB9" w14:textId="77777777" w:rsidR="000E6B3D" w:rsidRPr="005E0713" w:rsidRDefault="000E6B3D" w:rsidP="000E6B3D">
      <w:pPr>
        <w:pStyle w:val="ParaNoNdepar-AltN"/>
        <w:tabs>
          <w:tab w:val="clear" w:pos="1152"/>
          <w:tab w:val="left" w:pos="1166"/>
        </w:tabs>
        <w:rPr>
          <w:rFonts w:cs="Times New Roman"/>
        </w:rPr>
      </w:pPr>
      <w:r w:rsidRPr="005E0713">
        <w:rPr>
          <w:rFonts w:eastAsiaTheme="minorHAnsi" w:cs="Times New Roman"/>
          <w:szCs w:val="24"/>
        </w:rPr>
        <w:t xml:space="preserve">Faisant partie de la section du </w:t>
      </w:r>
      <w:r w:rsidRPr="005E0713">
        <w:rPr>
          <w:rFonts w:eastAsiaTheme="minorHAnsi" w:cs="Times New Roman"/>
          <w:i/>
          <w:szCs w:val="24"/>
          <w:lang w:val="fr-FR"/>
        </w:rPr>
        <w:t>Code criminel</w:t>
      </w:r>
      <w:r w:rsidRPr="005E0713">
        <w:rPr>
          <w:rFonts w:eastAsiaTheme="minorHAnsi" w:cs="Times New Roman"/>
          <w:szCs w:val="24"/>
          <w:lang w:val="fr-FR"/>
        </w:rPr>
        <w:t xml:space="preserve"> ayant trait aux « Peines en général », le par. 718.3(2) </w:t>
      </w:r>
      <w:r w:rsidRPr="005E0713">
        <w:rPr>
          <w:rFonts w:eastAsiaTheme="minorHAnsi" w:cs="Times New Roman"/>
          <w:i/>
          <w:szCs w:val="24"/>
          <w:lang w:val="fr-FR"/>
        </w:rPr>
        <w:t>C. </w:t>
      </w:r>
      <w:proofErr w:type="spellStart"/>
      <w:r w:rsidRPr="005E0713">
        <w:rPr>
          <w:rFonts w:eastAsiaTheme="minorHAnsi" w:cs="Times New Roman"/>
          <w:i/>
          <w:szCs w:val="24"/>
          <w:lang w:val="fr-FR"/>
        </w:rPr>
        <w:t>cr</w:t>
      </w:r>
      <w:proofErr w:type="spellEnd"/>
      <w:r w:rsidRPr="005E0713">
        <w:rPr>
          <w:rFonts w:eastAsiaTheme="minorHAnsi" w:cs="Times New Roman"/>
          <w:i/>
          <w:szCs w:val="24"/>
          <w:lang w:val="fr-FR"/>
        </w:rPr>
        <w:t>.</w:t>
      </w:r>
      <w:r w:rsidRPr="005E0713">
        <w:rPr>
          <w:rFonts w:eastAsiaTheme="minorHAnsi" w:cs="Times New Roman"/>
          <w:szCs w:val="24"/>
          <w:lang w:val="fr-FR"/>
        </w:rPr>
        <w:t xml:space="preserve"> </w:t>
      </w:r>
      <w:proofErr w:type="gramStart"/>
      <w:r w:rsidRPr="005E0713">
        <w:rPr>
          <w:rFonts w:eastAsiaTheme="minorHAnsi" w:cs="Times New Roman"/>
          <w:szCs w:val="24"/>
          <w:lang w:val="fr-FR"/>
        </w:rPr>
        <w:t>prévoit</w:t>
      </w:r>
      <w:proofErr w:type="gramEnd"/>
      <w:r w:rsidRPr="005E0713">
        <w:rPr>
          <w:rFonts w:eastAsiaTheme="minorHAnsi" w:cs="Times New Roman"/>
          <w:szCs w:val="24"/>
          <w:lang w:val="fr-FR"/>
        </w:rPr>
        <w:t xml:space="preserve"> que la peine à infliger (en anglai</w:t>
      </w:r>
      <w:r w:rsidRPr="005E0713">
        <w:rPr>
          <w:rFonts w:cs="Times New Roman"/>
          <w:lang w:val="fr-FR"/>
        </w:rPr>
        <w:t>s</w:t>
      </w:r>
      <w:r w:rsidRPr="005E0713">
        <w:rPr>
          <w:rFonts w:eastAsiaTheme="minorHAnsi" w:cs="Times New Roman"/>
          <w:szCs w:val="24"/>
          <w:lang w:val="fr-FR"/>
        </w:rPr>
        <w:t xml:space="preserve"> « </w:t>
      </w:r>
      <w:proofErr w:type="spellStart"/>
      <w:r w:rsidRPr="005E0713">
        <w:rPr>
          <w:rFonts w:eastAsiaTheme="minorHAnsi" w:cs="Times New Roman"/>
          <w:i/>
          <w:szCs w:val="24"/>
          <w:lang w:val="fr-FR"/>
        </w:rPr>
        <w:t>punishment</w:t>
      </w:r>
      <w:proofErr w:type="spellEnd"/>
      <w:r w:rsidRPr="005E0713">
        <w:rPr>
          <w:rFonts w:eastAsiaTheme="minorHAnsi" w:cs="Times New Roman"/>
          <w:i/>
          <w:szCs w:val="24"/>
          <w:lang w:val="fr-FR"/>
        </w:rPr>
        <w:t xml:space="preserve"> to </w:t>
      </w:r>
      <w:proofErr w:type="spellStart"/>
      <w:r w:rsidRPr="005E0713">
        <w:rPr>
          <w:rFonts w:eastAsiaTheme="minorHAnsi" w:cs="Times New Roman"/>
          <w:i/>
          <w:szCs w:val="24"/>
          <w:lang w:val="fr-FR"/>
        </w:rPr>
        <w:t>be</w:t>
      </w:r>
      <w:proofErr w:type="spellEnd"/>
      <w:r w:rsidRPr="005E0713">
        <w:rPr>
          <w:rFonts w:eastAsiaTheme="minorHAnsi" w:cs="Times New Roman"/>
          <w:i/>
          <w:szCs w:val="24"/>
          <w:lang w:val="fr-FR"/>
        </w:rPr>
        <w:t xml:space="preserve"> </w:t>
      </w:r>
      <w:proofErr w:type="spellStart"/>
      <w:r w:rsidRPr="005E0713">
        <w:rPr>
          <w:rFonts w:eastAsiaTheme="minorHAnsi" w:cs="Times New Roman"/>
          <w:i/>
          <w:szCs w:val="24"/>
          <w:lang w:val="fr-FR"/>
        </w:rPr>
        <w:t>imposed</w:t>
      </w:r>
      <w:proofErr w:type="spellEnd"/>
      <w:r w:rsidRPr="005E0713">
        <w:rPr>
          <w:rFonts w:eastAsiaTheme="minorHAnsi" w:cs="Times New Roman"/>
          <w:i/>
          <w:szCs w:val="24"/>
          <w:lang w:val="fr-FR"/>
        </w:rPr>
        <w:t> </w:t>
      </w:r>
      <w:r w:rsidRPr="005E0713">
        <w:rPr>
          <w:rFonts w:eastAsiaTheme="minorHAnsi" w:cs="Times New Roman"/>
          <w:szCs w:val="24"/>
          <w:lang w:val="fr-FR"/>
        </w:rPr>
        <w:t>») est laissée à l’appréciation du tribunal, sous réserve des restrictions contenues dans la disposition prescrivant la peine en question :</w:t>
      </w:r>
    </w:p>
    <w:tbl>
      <w:tblPr>
        <w:tblW w:w="4293" w:type="pct"/>
        <w:tblInd w:w="1170" w:type="dxa"/>
        <w:tblLayout w:type="fixed"/>
        <w:tblCellMar>
          <w:top w:w="115" w:type="dxa"/>
          <w:left w:w="216" w:type="dxa"/>
          <w:bottom w:w="58" w:type="dxa"/>
          <w:right w:w="216" w:type="dxa"/>
        </w:tblCellMar>
        <w:tblLook w:val="0000" w:firstRow="0" w:lastRow="0" w:firstColumn="0" w:lastColumn="0" w:noHBand="0" w:noVBand="0"/>
      </w:tblPr>
      <w:tblGrid>
        <w:gridCol w:w="3555"/>
        <w:gridCol w:w="3554"/>
      </w:tblGrid>
      <w:tr w:rsidR="000E6B3D" w:rsidRPr="00496E12" w14:paraId="4A360DED" w14:textId="77777777" w:rsidTr="00B975C3">
        <w:trPr>
          <w:trHeight w:val="475"/>
        </w:trPr>
        <w:tc>
          <w:tcPr>
            <w:tcW w:w="3557" w:type="dxa"/>
          </w:tcPr>
          <w:p w14:paraId="342310A7" w14:textId="77777777" w:rsidR="000E6B3D" w:rsidRPr="005E0713" w:rsidRDefault="000E6B3D" w:rsidP="00B975C3">
            <w:pPr>
              <w:rPr>
                <w:b/>
                <w:szCs w:val="24"/>
                <w:lang w:val="en-US"/>
              </w:rPr>
            </w:pPr>
            <w:r w:rsidRPr="005E0713">
              <w:rPr>
                <w:b/>
                <w:szCs w:val="24"/>
                <w:lang w:val="en-US"/>
              </w:rPr>
              <w:t xml:space="preserve">Discretion respecting </w:t>
            </w:r>
            <w:proofErr w:type="gramStart"/>
            <w:r w:rsidRPr="005E0713">
              <w:rPr>
                <w:b/>
                <w:szCs w:val="24"/>
                <w:lang w:val="en-US"/>
              </w:rPr>
              <w:t>punishment</w:t>
            </w:r>
            <w:proofErr w:type="gramEnd"/>
          </w:p>
          <w:p w14:paraId="4042A558" w14:textId="77777777" w:rsidR="000E6B3D" w:rsidRPr="005E0713" w:rsidRDefault="000E6B3D" w:rsidP="00B975C3">
            <w:pPr>
              <w:jc w:val="both"/>
              <w:rPr>
                <w:szCs w:val="24"/>
                <w:lang w:val="en-US"/>
              </w:rPr>
            </w:pPr>
            <w:r w:rsidRPr="005E0713">
              <w:rPr>
                <w:b/>
                <w:szCs w:val="24"/>
                <w:lang w:val="en-US"/>
              </w:rPr>
              <w:t>[</w:t>
            </w:r>
            <w:proofErr w:type="gramStart"/>
            <w:r w:rsidRPr="005E0713">
              <w:rPr>
                <w:b/>
                <w:szCs w:val="24"/>
                <w:lang w:val="en-US"/>
              </w:rPr>
              <w:t>718.3](</w:t>
            </w:r>
            <w:proofErr w:type="gramEnd"/>
            <w:r w:rsidRPr="005E0713">
              <w:rPr>
                <w:b/>
                <w:szCs w:val="24"/>
                <w:lang w:val="en-US"/>
              </w:rPr>
              <w:t>2)</w:t>
            </w:r>
            <w:r w:rsidRPr="005E0713">
              <w:rPr>
                <w:szCs w:val="24"/>
                <w:lang w:val="en-US"/>
              </w:rPr>
              <w:t xml:space="preserve"> Where an enactment prescribes a punishment in respect of an offence, the punishment to be imposed is, subject to the limitations prescribed in the enactment, in the discretion of the court that convicts a person who commits the offence, but no punishment is a minimum punishment unless it is declared to be a minimum punishment.</w:t>
            </w:r>
          </w:p>
          <w:p w14:paraId="57CDF02B" w14:textId="77777777" w:rsidR="000E6B3D" w:rsidRPr="002E08B7" w:rsidRDefault="000E6B3D" w:rsidP="00B975C3">
            <w:pPr>
              <w:jc w:val="both"/>
              <w:rPr>
                <w:szCs w:val="24"/>
                <w:lang w:val="en-US"/>
              </w:rPr>
            </w:pPr>
          </w:p>
        </w:tc>
        <w:tc>
          <w:tcPr>
            <w:tcW w:w="3557" w:type="dxa"/>
          </w:tcPr>
          <w:p w14:paraId="12837B3D" w14:textId="77777777" w:rsidR="000E6B3D" w:rsidRPr="000E6B3D" w:rsidRDefault="000E6B3D" w:rsidP="00B975C3">
            <w:pPr>
              <w:rPr>
                <w:b/>
                <w:szCs w:val="24"/>
                <w:lang w:val="fr-CA"/>
              </w:rPr>
            </w:pPr>
            <w:r w:rsidRPr="000E6B3D">
              <w:rPr>
                <w:b/>
                <w:szCs w:val="24"/>
                <w:lang w:val="fr-CA"/>
              </w:rPr>
              <w:t>Appréciation du tribunal</w:t>
            </w:r>
          </w:p>
          <w:p w14:paraId="116D5CDA" w14:textId="77777777" w:rsidR="000E6B3D" w:rsidRPr="000E6B3D" w:rsidRDefault="000E6B3D" w:rsidP="00B975C3">
            <w:pPr>
              <w:jc w:val="both"/>
              <w:rPr>
                <w:szCs w:val="24"/>
                <w:lang w:val="fr-CA"/>
              </w:rPr>
            </w:pPr>
            <w:r w:rsidRPr="000E6B3D">
              <w:rPr>
                <w:b/>
                <w:szCs w:val="24"/>
                <w:lang w:val="fr-CA"/>
              </w:rPr>
              <w:t>[</w:t>
            </w:r>
            <w:proofErr w:type="gramStart"/>
            <w:r w:rsidRPr="000E6B3D">
              <w:rPr>
                <w:b/>
                <w:szCs w:val="24"/>
                <w:lang w:val="fr-CA"/>
              </w:rPr>
              <w:t>718.3](</w:t>
            </w:r>
            <w:proofErr w:type="gramEnd"/>
            <w:r w:rsidRPr="000E6B3D">
              <w:rPr>
                <w:b/>
                <w:szCs w:val="24"/>
                <w:lang w:val="fr-CA"/>
              </w:rPr>
              <w:t>2)</w:t>
            </w:r>
            <w:r w:rsidRPr="000E6B3D">
              <w:rPr>
                <w:szCs w:val="24"/>
                <w:lang w:val="fr-CA"/>
              </w:rPr>
              <w:t xml:space="preserve"> Lorsqu’une disposition prescrit une peine à l’égard d’une infraction, la peine à infliger est, sous réserve des restrictions contenues dans la disposition, laissée à l’appréciation du tribunal qui condamne l’auteur de l’infraction, mais nulle peine n’est une peine minimale à moins qu’elle ne soit déclarée telle.</w:t>
            </w:r>
          </w:p>
          <w:p w14:paraId="2B8FE44C" w14:textId="77777777" w:rsidR="000E6B3D" w:rsidRPr="000E6B3D" w:rsidRDefault="000E6B3D" w:rsidP="00B975C3">
            <w:pPr>
              <w:jc w:val="both"/>
              <w:rPr>
                <w:szCs w:val="24"/>
                <w:lang w:val="fr-CA"/>
              </w:rPr>
            </w:pPr>
          </w:p>
        </w:tc>
      </w:tr>
    </w:tbl>
    <w:p w14:paraId="16C12088"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L’article 719 a également retenu l’attention des parties. Son premier paragraphe est intitulé « Début de la peine » (en anglais, le mot « </w:t>
      </w:r>
      <w:r w:rsidRPr="005E0713">
        <w:rPr>
          <w:rFonts w:cs="Times New Roman"/>
          <w:i/>
        </w:rPr>
        <w:t>sentence</w:t>
      </w:r>
      <w:r w:rsidRPr="005E0713">
        <w:rPr>
          <w:rFonts w:cs="Times New Roman"/>
        </w:rPr>
        <w:t> » est utilisé dans ce contexte comme équivalent de « peine »). Le paragraphe 719(3) porte le titre « Infliction de la peine » (en anglais « </w:t>
      </w:r>
      <w:proofErr w:type="spellStart"/>
      <w:r w:rsidRPr="005E0713">
        <w:rPr>
          <w:rFonts w:cs="Times New Roman"/>
          <w:i/>
        </w:rPr>
        <w:t>Determination</w:t>
      </w:r>
      <w:proofErr w:type="spellEnd"/>
      <w:r w:rsidRPr="005E0713">
        <w:rPr>
          <w:rFonts w:cs="Times New Roman"/>
          <w:i/>
        </w:rPr>
        <w:t xml:space="preserve"> of sentence</w:t>
      </w:r>
      <w:r w:rsidRPr="005E0713">
        <w:rPr>
          <w:rFonts w:cs="Times New Roman"/>
        </w:rPr>
        <w:t> »). Ces dispositions sont rédigées ainsi :</w:t>
      </w:r>
    </w:p>
    <w:tbl>
      <w:tblPr>
        <w:tblW w:w="4293" w:type="pct"/>
        <w:tblInd w:w="1170" w:type="dxa"/>
        <w:tblLayout w:type="fixed"/>
        <w:tblCellMar>
          <w:top w:w="115" w:type="dxa"/>
          <w:left w:w="216" w:type="dxa"/>
          <w:bottom w:w="58" w:type="dxa"/>
          <w:right w:w="216" w:type="dxa"/>
        </w:tblCellMar>
        <w:tblLook w:val="0000" w:firstRow="0" w:lastRow="0" w:firstColumn="0" w:lastColumn="0" w:noHBand="0" w:noVBand="0"/>
      </w:tblPr>
      <w:tblGrid>
        <w:gridCol w:w="3555"/>
        <w:gridCol w:w="3554"/>
      </w:tblGrid>
      <w:tr w:rsidR="000E6B3D" w:rsidRPr="00496E12" w14:paraId="2C553CE2" w14:textId="77777777" w:rsidTr="00B975C3">
        <w:trPr>
          <w:trHeight w:val="475"/>
        </w:trPr>
        <w:tc>
          <w:tcPr>
            <w:tcW w:w="3557" w:type="dxa"/>
          </w:tcPr>
          <w:p w14:paraId="0A09B64F" w14:textId="77777777" w:rsidR="000E6B3D" w:rsidRPr="005E0713" w:rsidRDefault="000E6B3D" w:rsidP="00B975C3">
            <w:pPr>
              <w:jc w:val="both"/>
              <w:rPr>
                <w:b/>
                <w:szCs w:val="24"/>
                <w:lang w:bidi="en-US"/>
              </w:rPr>
            </w:pPr>
            <w:r w:rsidRPr="005E0713">
              <w:rPr>
                <w:b/>
                <w:szCs w:val="24"/>
                <w:lang w:bidi="en-US"/>
              </w:rPr>
              <w:lastRenderedPageBreak/>
              <w:t xml:space="preserve">Commencement of sentence </w:t>
            </w:r>
          </w:p>
          <w:p w14:paraId="31A3B151" w14:textId="77777777" w:rsidR="000E6B3D" w:rsidRPr="005E0713" w:rsidRDefault="000E6B3D" w:rsidP="00496E12">
            <w:pPr>
              <w:spacing w:after="240"/>
              <w:jc w:val="both"/>
              <w:rPr>
                <w:szCs w:val="24"/>
                <w:lang w:val="en-US" w:bidi="en-US"/>
              </w:rPr>
            </w:pPr>
            <w:r w:rsidRPr="005E0713">
              <w:rPr>
                <w:b/>
                <w:szCs w:val="24"/>
                <w:lang w:bidi="en-US"/>
              </w:rPr>
              <w:t xml:space="preserve">719 (1) </w:t>
            </w:r>
            <w:r w:rsidRPr="005E0713">
              <w:rPr>
                <w:szCs w:val="24"/>
                <w:lang w:bidi="en-US"/>
              </w:rPr>
              <w:t xml:space="preserve">A sentence commences when it is imposed, except where a relevant </w:t>
            </w:r>
            <w:proofErr w:type="spellStart"/>
            <w:r w:rsidRPr="005E0713">
              <w:rPr>
                <w:szCs w:val="24"/>
                <w:lang w:bidi="en-US"/>
              </w:rPr>
              <w:t>enactme</w:t>
            </w:r>
            <w:r w:rsidRPr="005E0713">
              <w:rPr>
                <w:szCs w:val="24"/>
                <w:lang w:val="en-US" w:bidi="en-US"/>
              </w:rPr>
              <w:t>nt</w:t>
            </w:r>
            <w:proofErr w:type="spellEnd"/>
            <w:r w:rsidRPr="005E0713">
              <w:rPr>
                <w:szCs w:val="24"/>
                <w:lang w:val="en-US" w:bidi="en-US"/>
              </w:rPr>
              <w:t xml:space="preserve"> otherwise provides.</w:t>
            </w:r>
          </w:p>
          <w:p w14:paraId="7537E54A" w14:textId="77777777" w:rsidR="000E6B3D" w:rsidRPr="005E0713" w:rsidRDefault="000E6B3D" w:rsidP="00496E12">
            <w:pPr>
              <w:spacing w:after="240"/>
              <w:jc w:val="center"/>
              <w:rPr>
                <w:szCs w:val="24"/>
                <w:lang w:val="en-US" w:bidi="en-US"/>
              </w:rPr>
            </w:pPr>
            <w:r w:rsidRPr="005E0713">
              <w:rPr>
                <w:szCs w:val="24"/>
                <w:lang w:val="en-US" w:bidi="en-US"/>
              </w:rPr>
              <w:t>. . .</w:t>
            </w:r>
          </w:p>
          <w:p w14:paraId="2BF7FF4B" w14:textId="77777777" w:rsidR="000E6B3D" w:rsidRPr="005E0713" w:rsidRDefault="000E6B3D" w:rsidP="00B975C3">
            <w:pPr>
              <w:jc w:val="both"/>
              <w:rPr>
                <w:b/>
                <w:szCs w:val="24"/>
                <w:lang w:val="en-US" w:bidi="en-US"/>
              </w:rPr>
            </w:pPr>
            <w:r w:rsidRPr="005E0713">
              <w:rPr>
                <w:b/>
                <w:szCs w:val="24"/>
                <w:lang w:val="en-US" w:bidi="en-US"/>
              </w:rPr>
              <w:t>Determination of sentence</w:t>
            </w:r>
          </w:p>
          <w:p w14:paraId="6409A780" w14:textId="77777777" w:rsidR="000E6B3D" w:rsidRPr="005E0713" w:rsidRDefault="000E6B3D" w:rsidP="00B975C3">
            <w:pPr>
              <w:jc w:val="both"/>
              <w:rPr>
                <w:szCs w:val="24"/>
                <w:lang w:val="en-US" w:bidi="en-US"/>
              </w:rPr>
            </w:pPr>
            <w:r w:rsidRPr="005E0713">
              <w:rPr>
                <w:b/>
                <w:szCs w:val="24"/>
                <w:lang w:val="en-US" w:bidi="en-US"/>
              </w:rPr>
              <w:t>(3)</w:t>
            </w:r>
            <w:r w:rsidRPr="005E0713">
              <w:rPr>
                <w:szCs w:val="24"/>
                <w:lang w:val="en-US" w:bidi="en-US"/>
              </w:rPr>
              <w:t xml:space="preserve"> In determining the sentence to be imposed on a person convicted of an offence, a court may take into account any time spent in custody by the person as a result of the </w:t>
            </w:r>
            <w:proofErr w:type="gramStart"/>
            <w:r w:rsidRPr="005E0713">
              <w:rPr>
                <w:szCs w:val="24"/>
                <w:lang w:val="en-US" w:bidi="en-US"/>
              </w:rPr>
              <w:t>offence</w:t>
            </w:r>
            <w:proofErr w:type="gramEnd"/>
            <w:r w:rsidRPr="005E0713">
              <w:rPr>
                <w:szCs w:val="24"/>
                <w:lang w:val="en-US" w:bidi="en-US"/>
              </w:rPr>
              <w:t xml:space="preserve"> but the court shall limit any credit for that time to a maximum of one day for each day spent in custody.</w:t>
            </w:r>
          </w:p>
        </w:tc>
        <w:tc>
          <w:tcPr>
            <w:tcW w:w="3557" w:type="dxa"/>
          </w:tcPr>
          <w:p w14:paraId="616BCFBC" w14:textId="77777777" w:rsidR="000E6B3D" w:rsidRPr="000E6B3D" w:rsidRDefault="000E6B3D" w:rsidP="00B975C3">
            <w:pPr>
              <w:jc w:val="both"/>
              <w:rPr>
                <w:b/>
                <w:szCs w:val="24"/>
                <w:lang w:val="fr-CA" w:bidi="en-US"/>
              </w:rPr>
            </w:pPr>
            <w:r w:rsidRPr="000E6B3D">
              <w:rPr>
                <w:b/>
                <w:szCs w:val="24"/>
                <w:lang w:val="fr-CA" w:bidi="en-US"/>
              </w:rPr>
              <w:t>Début de la peine</w:t>
            </w:r>
          </w:p>
          <w:p w14:paraId="000D5144" w14:textId="77777777" w:rsidR="000E6B3D" w:rsidRPr="000E6B3D" w:rsidRDefault="000E6B3D" w:rsidP="00496E12">
            <w:pPr>
              <w:spacing w:after="240"/>
              <w:jc w:val="both"/>
              <w:rPr>
                <w:szCs w:val="24"/>
                <w:lang w:val="fr-CA" w:bidi="en-US"/>
              </w:rPr>
            </w:pPr>
            <w:r w:rsidRPr="000E6B3D">
              <w:rPr>
                <w:b/>
                <w:szCs w:val="24"/>
                <w:lang w:val="fr-CA" w:bidi="en-US"/>
              </w:rPr>
              <w:t xml:space="preserve">719 (1) </w:t>
            </w:r>
            <w:r w:rsidRPr="000E6B3D">
              <w:rPr>
                <w:szCs w:val="24"/>
                <w:lang w:val="fr-CA" w:bidi="en-US"/>
              </w:rPr>
              <w:t>La peine commence au moment où elle est infligée, sauf lorsque le texte législatif applicable y pourvoit de façon différente.</w:t>
            </w:r>
          </w:p>
          <w:p w14:paraId="28137127" w14:textId="77777777" w:rsidR="000E6B3D" w:rsidRPr="000E6B3D" w:rsidRDefault="000E6B3D" w:rsidP="00496E12">
            <w:pPr>
              <w:spacing w:after="240"/>
              <w:jc w:val="center"/>
              <w:rPr>
                <w:szCs w:val="24"/>
                <w:lang w:val="fr-CA" w:bidi="en-US"/>
              </w:rPr>
            </w:pPr>
            <w:r w:rsidRPr="000E6B3D">
              <w:rPr>
                <w:szCs w:val="24"/>
                <w:lang w:val="fr-CA" w:bidi="en-US"/>
              </w:rPr>
              <w:t>. . .</w:t>
            </w:r>
          </w:p>
          <w:p w14:paraId="5357CE80" w14:textId="77777777" w:rsidR="000E6B3D" w:rsidRPr="000E6B3D" w:rsidRDefault="000E6B3D" w:rsidP="00B975C3">
            <w:pPr>
              <w:jc w:val="both"/>
              <w:rPr>
                <w:b/>
                <w:szCs w:val="24"/>
                <w:lang w:val="fr-CA" w:bidi="en-US"/>
              </w:rPr>
            </w:pPr>
            <w:r w:rsidRPr="000E6B3D">
              <w:rPr>
                <w:b/>
                <w:szCs w:val="24"/>
                <w:lang w:val="fr-CA" w:bidi="en-US"/>
              </w:rPr>
              <w:t>Infliction de la peine</w:t>
            </w:r>
          </w:p>
          <w:p w14:paraId="0506570E" w14:textId="77777777" w:rsidR="000E6B3D" w:rsidRDefault="000E6B3D" w:rsidP="00B975C3">
            <w:pPr>
              <w:jc w:val="both"/>
              <w:rPr>
                <w:szCs w:val="24"/>
                <w:lang w:val="fr-CA" w:bidi="en-US"/>
              </w:rPr>
            </w:pPr>
            <w:r w:rsidRPr="000E6B3D">
              <w:rPr>
                <w:b/>
                <w:szCs w:val="24"/>
                <w:lang w:val="fr-CA" w:bidi="en-US"/>
              </w:rPr>
              <w:t xml:space="preserve">(3) </w:t>
            </w:r>
            <w:r w:rsidRPr="000E6B3D">
              <w:rPr>
                <w:szCs w:val="24"/>
                <w:lang w:val="fr-CA" w:bidi="en-US"/>
              </w:rPr>
              <w:t xml:space="preserve">Pour fixer la peine à infliger à une personne déclarée coupable d’une infraction, le tribunal peut prendre en compte toute période que la personne a passée sous garde par suite de l’infraction; il doit, le cas échéant, restreindre le temps alloué pour cette période à un maximum d’un jour pour chaque jour </w:t>
            </w:r>
            <w:proofErr w:type="gramStart"/>
            <w:r w:rsidRPr="000E6B3D">
              <w:rPr>
                <w:szCs w:val="24"/>
                <w:lang w:val="fr-CA" w:bidi="en-US"/>
              </w:rPr>
              <w:t>passé</w:t>
            </w:r>
            <w:proofErr w:type="gramEnd"/>
            <w:r w:rsidRPr="000E6B3D">
              <w:rPr>
                <w:szCs w:val="24"/>
                <w:lang w:val="fr-CA" w:bidi="en-US"/>
              </w:rPr>
              <w:t xml:space="preserve"> sous garde.</w:t>
            </w:r>
          </w:p>
          <w:p w14:paraId="6A99E0E2" w14:textId="77777777" w:rsidR="00496E12" w:rsidRPr="000E6B3D" w:rsidRDefault="00496E12" w:rsidP="00B975C3">
            <w:pPr>
              <w:jc w:val="both"/>
              <w:rPr>
                <w:b/>
                <w:szCs w:val="24"/>
                <w:lang w:val="fr-CA" w:bidi="en-US"/>
              </w:rPr>
            </w:pPr>
          </w:p>
        </w:tc>
      </w:tr>
    </w:tbl>
    <w:p w14:paraId="5D0D6A77" w14:textId="77777777" w:rsidR="000E6B3D" w:rsidRPr="005E0713" w:rsidRDefault="000E6B3D" w:rsidP="000E6B3D">
      <w:pPr>
        <w:pStyle w:val="ParaNoNdepar-AltN"/>
        <w:rPr>
          <w:rFonts w:cs="Times New Roman"/>
        </w:rPr>
      </w:pPr>
      <w:r w:rsidRPr="005E0713">
        <w:rPr>
          <w:rFonts w:cs="Times New Roman"/>
        </w:rPr>
        <w:t xml:space="preserve">Avant toute chose, il est utile de souligner que l’usage linguistique dans ce domaine de la pénologie manque souvent d’uniformité, tant dans la législation que dans la jurisprudence et la doctrine. Dans l’intitulé du par. 259(1)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le Parlement faisait référence à l</w:t>
      </w:r>
      <w:proofErr w:type="gramStart"/>
      <w:r w:rsidRPr="005E0713">
        <w:rPr>
          <w:rFonts w:cs="Times New Roman"/>
        </w:rPr>
        <w:t>’«</w:t>
      </w:r>
      <w:proofErr w:type="gramEnd"/>
      <w:r w:rsidRPr="005E0713">
        <w:rPr>
          <w:rFonts w:cs="Times New Roman"/>
        </w:rPr>
        <w:t> ordonnance d’interdiction obligatoire » / « </w:t>
      </w:r>
      <w:proofErr w:type="spellStart"/>
      <w:r w:rsidRPr="005E0713">
        <w:rPr>
          <w:rFonts w:cs="Times New Roman"/>
          <w:i/>
        </w:rPr>
        <w:t>mandatory</w:t>
      </w:r>
      <w:proofErr w:type="spellEnd"/>
      <w:r w:rsidRPr="005E0713">
        <w:rPr>
          <w:rFonts w:cs="Times New Roman"/>
          <w:i/>
        </w:rPr>
        <w:t xml:space="preserve"> </w:t>
      </w:r>
      <w:proofErr w:type="spellStart"/>
      <w:r w:rsidRPr="005E0713">
        <w:rPr>
          <w:rFonts w:cs="Times New Roman"/>
          <w:i/>
        </w:rPr>
        <w:t>order</w:t>
      </w:r>
      <w:proofErr w:type="spellEnd"/>
      <w:r w:rsidRPr="005E0713">
        <w:rPr>
          <w:rFonts w:cs="Times New Roman"/>
          <w:i/>
        </w:rPr>
        <w:t xml:space="preserve"> of prohibition</w:t>
      </w:r>
      <w:r w:rsidRPr="005E0713">
        <w:rPr>
          <w:rFonts w:cs="Times New Roman"/>
        </w:rPr>
        <w:t> ». Dans les motifs rédigés en anglais de la Cour d’appel dans la présente affaire, on emploie tantôt « </w:t>
      </w:r>
      <w:proofErr w:type="spellStart"/>
      <w:r w:rsidRPr="005E0713">
        <w:rPr>
          <w:rFonts w:cs="Times New Roman"/>
          <w:i/>
        </w:rPr>
        <w:t>mandatory</w:t>
      </w:r>
      <w:proofErr w:type="spellEnd"/>
      <w:r w:rsidRPr="005E0713">
        <w:rPr>
          <w:rFonts w:cs="Times New Roman"/>
          <w:i/>
        </w:rPr>
        <w:t xml:space="preserve"> minimum</w:t>
      </w:r>
      <w:r w:rsidRPr="005E0713">
        <w:rPr>
          <w:rFonts w:cs="Times New Roman"/>
        </w:rPr>
        <w:t> », tantôt « </w:t>
      </w:r>
      <w:proofErr w:type="spellStart"/>
      <w:r w:rsidRPr="005E0713">
        <w:rPr>
          <w:rFonts w:cs="Times New Roman"/>
          <w:i/>
        </w:rPr>
        <w:t>mandatory</w:t>
      </w:r>
      <w:proofErr w:type="spellEnd"/>
      <w:r w:rsidRPr="005E0713">
        <w:rPr>
          <w:rFonts w:cs="Times New Roman"/>
          <w:i/>
        </w:rPr>
        <w:t xml:space="preserve"> minimum sentence</w:t>
      </w:r>
      <w:r w:rsidRPr="005E0713">
        <w:rPr>
          <w:rFonts w:cs="Times New Roman"/>
        </w:rPr>
        <w:t> » ou « </w:t>
      </w:r>
      <w:proofErr w:type="spellStart"/>
      <w:r w:rsidRPr="005E0713">
        <w:rPr>
          <w:rFonts w:cs="Times New Roman"/>
          <w:i/>
        </w:rPr>
        <w:t>mandatory</w:t>
      </w:r>
      <w:proofErr w:type="spellEnd"/>
      <w:r w:rsidRPr="005E0713">
        <w:rPr>
          <w:rFonts w:cs="Times New Roman"/>
          <w:i/>
        </w:rPr>
        <w:t xml:space="preserve"> </w:t>
      </w:r>
      <w:proofErr w:type="spellStart"/>
      <w:r w:rsidRPr="005E0713">
        <w:rPr>
          <w:rFonts w:cs="Times New Roman"/>
          <w:i/>
        </w:rPr>
        <w:t>driving</w:t>
      </w:r>
      <w:proofErr w:type="spellEnd"/>
      <w:r w:rsidRPr="005E0713">
        <w:rPr>
          <w:rFonts w:cs="Times New Roman"/>
          <w:i/>
        </w:rPr>
        <w:t xml:space="preserve"> prohibition</w:t>
      </w:r>
      <w:r w:rsidRPr="005E0713">
        <w:rPr>
          <w:rFonts w:cs="Times New Roman"/>
        </w:rPr>
        <w:t xml:space="preserve"> ». Dans la version française des mêmes motifs, les expressions « peine minimale obligatoire » et « période minimale d’interdiction » prédominent. Plus généralement, dans le </w:t>
      </w:r>
      <w:r w:rsidRPr="005E0713">
        <w:rPr>
          <w:rFonts w:cs="Times New Roman"/>
          <w:i/>
        </w:rPr>
        <w:t>Code criminel</w:t>
      </w:r>
      <w:r w:rsidRPr="005E0713">
        <w:rPr>
          <w:rFonts w:cs="Times New Roman"/>
        </w:rPr>
        <w:t>, les termes « peine minimale » / « </w:t>
      </w:r>
      <w:r w:rsidRPr="005E0713">
        <w:rPr>
          <w:rFonts w:cs="Times New Roman"/>
          <w:i/>
        </w:rPr>
        <w:t xml:space="preserve">minimum </w:t>
      </w:r>
      <w:proofErr w:type="spellStart"/>
      <w:r w:rsidRPr="005E0713">
        <w:rPr>
          <w:rFonts w:cs="Times New Roman"/>
          <w:i/>
        </w:rPr>
        <w:t>punishment</w:t>
      </w:r>
      <w:proofErr w:type="spellEnd"/>
      <w:r w:rsidRPr="005E0713">
        <w:rPr>
          <w:rFonts w:cs="Times New Roman"/>
        </w:rPr>
        <w:t xml:space="preserve"> » sont souvent employés à titre d’équivalents (voir, p. ex., </w:t>
      </w:r>
      <w:r w:rsidRPr="005E0713">
        <w:rPr>
          <w:rFonts w:cs="Times New Roman"/>
          <w:i/>
        </w:rPr>
        <w:t xml:space="preserve">R. c. </w:t>
      </w:r>
      <w:proofErr w:type="spellStart"/>
      <w:r w:rsidRPr="005E0713">
        <w:rPr>
          <w:rFonts w:cs="Times New Roman"/>
          <w:i/>
        </w:rPr>
        <w:t>Hilbach</w:t>
      </w:r>
      <w:proofErr w:type="spellEnd"/>
      <w:r w:rsidRPr="005E0713">
        <w:rPr>
          <w:rFonts w:cs="Times New Roman"/>
        </w:rPr>
        <w:t>, 2023 CSC 3, par. 2 et 12,</w:t>
      </w:r>
      <w:r>
        <w:rPr>
          <w:rFonts w:cs="Times New Roman"/>
        </w:rPr>
        <w:t xml:space="preserve"> interprétant </w:t>
      </w:r>
      <w:r>
        <w:rPr>
          <w:rFonts w:cs="Times New Roman"/>
        </w:rPr>
        <w:lastRenderedPageBreak/>
        <w:t>l’art. </w:t>
      </w:r>
      <w:r w:rsidRPr="005E0713">
        <w:rPr>
          <w:rFonts w:cs="Times New Roman"/>
        </w:rPr>
        <w:t xml:space="preserve">344(1) </w:t>
      </w:r>
      <w:r w:rsidRPr="005E0713">
        <w:rPr>
          <w:rFonts w:cs="Times New Roman"/>
          <w:i/>
        </w:rPr>
        <w:t xml:space="preserve">C. </w:t>
      </w:r>
      <w:proofErr w:type="spellStart"/>
      <w:r w:rsidRPr="005E0713">
        <w:rPr>
          <w:rFonts w:cs="Times New Roman"/>
          <w:i/>
        </w:rPr>
        <w:t>cr</w:t>
      </w:r>
      <w:proofErr w:type="spellEnd"/>
      <w:r w:rsidRPr="005E0713">
        <w:rPr>
          <w:rFonts w:cs="Times New Roman"/>
          <w:i/>
        </w:rPr>
        <w:t>.</w:t>
      </w:r>
      <w:r w:rsidRPr="005E0713">
        <w:rPr>
          <w:rFonts w:cs="Times New Roman"/>
        </w:rPr>
        <w:t xml:space="preserve"> </w:t>
      </w:r>
      <w:proofErr w:type="gramStart"/>
      <w:r w:rsidRPr="005E0713">
        <w:rPr>
          <w:rFonts w:cs="Times New Roman"/>
        </w:rPr>
        <w:t>et</w:t>
      </w:r>
      <w:proofErr w:type="gramEnd"/>
      <w:r w:rsidRPr="005E0713">
        <w:rPr>
          <w:rFonts w:cs="Times New Roman"/>
        </w:rPr>
        <w:t xml:space="preserve"> employant tant « peine minimale obligatoire » / « </w:t>
      </w:r>
      <w:proofErr w:type="spellStart"/>
      <w:r w:rsidRPr="005E0713">
        <w:rPr>
          <w:rFonts w:cs="Times New Roman"/>
          <w:i/>
        </w:rPr>
        <w:t>mandatory</w:t>
      </w:r>
      <w:proofErr w:type="spellEnd"/>
      <w:r w:rsidRPr="005E0713">
        <w:rPr>
          <w:rFonts w:cs="Times New Roman"/>
          <w:i/>
        </w:rPr>
        <w:t xml:space="preserve"> minimum sentence</w:t>
      </w:r>
      <w:r w:rsidRPr="005E0713">
        <w:rPr>
          <w:rFonts w:cs="Times New Roman"/>
        </w:rPr>
        <w:t> » que « peine minimale obligatoire » / « </w:t>
      </w:r>
      <w:proofErr w:type="spellStart"/>
      <w:r w:rsidRPr="005E0713">
        <w:rPr>
          <w:rFonts w:cs="Times New Roman"/>
          <w:i/>
        </w:rPr>
        <w:t>mandatory</w:t>
      </w:r>
      <w:proofErr w:type="spellEnd"/>
      <w:r w:rsidRPr="005E0713">
        <w:rPr>
          <w:rFonts w:cs="Times New Roman"/>
          <w:i/>
        </w:rPr>
        <w:t xml:space="preserve"> minimum </w:t>
      </w:r>
      <w:proofErr w:type="spellStart"/>
      <w:r w:rsidRPr="005E0713">
        <w:rPr>
          <w:rFonts w:cs="Times New Roman"/>
          <w:i/>
        </w:rPr>
        <w:t>punishment</w:t>
      </w:r>
      <w:proofErr w:type="spellEnd"/>
      <w:r w:rsidRPr="005E0713">
        <w:rPr>
          <w:rFonts w:cs="Times New Roman"/>
        </w:rPr>
        <w:t> »). Cela dit,</w:t>
      </w:r>
      <w:r w:rsidRPr="005E0713">
        <w:rPr>
          <w:rFonts w:cs="Times New Roman"/>
          <w:b/>
        </w:rPr>
        <w:t xml:space="preserve"> </w:t>
      </w:r>
      <w:r w:rsidRPr="005E0713">
        <w:rPr>
          <w:rFonts w:cs="Times New Roman"/>
        </w:rPr>
        <w:t xml:space="preserve">pour reprendre le propos de la juge </w:t>
      </w:r>
      <w:proofErr w:type="spellStart"/>
      <w:r w:rsidRPr="005E0713">
        <w:rPr>
          <w:rFonts w:cs="Times New Roman"/>
        </w:rPr>
        <w:t>Arbour</w:t>
      </w:r>
      <w:proofErr w:type="spellEnd"/>
      <w:r w:rsidRPr="005E0713">
        <w:rPr>
          <w:rFonts w:cs="Times New Roman"/>
        </w:rPr>
        <w:t xml:space="preserve"> dans l’arrêt </w:t>
      </w:r>
      <w:proofErr w:type="spellStart"/>
      <w:r w:rsidRPr="005E0713">
        <w:rPr>
          <w:rFonts w:cs="Times New Roman"/>
          <w:i/>
        </w:rPr>
        <w:t>Wust</w:t>
      </w:r>
      <w:proofErr w:type="spellEnd"/>
      <w:r w:rsidRPr="005E0713">
        <w:rPr>
          <w:rFonts w:cs="Times New Roman"/>
        </w:rPr>
        <w:t>, « [c]e n’est pas tant les mots utilisés dans les versions française et anglaise qui importent, mais plutôt les concepts qu’ils désignent » (par. 36).</w:t>
      </w:r>
    </w:p>
    <w:p w14:paraId="66BA3231" w14:textId="77777777" w:rsidR="000E6B3D" w:rsidRPr="005E0713" w:rsidRDefault="000E6B3D" w:rsidP="000E6B3D">
      <w:pPr>
        <w:pStyle w:val="Title2LevelTitre2Niveau"/>
        <w:keepNext/>
        <w:rPr>
          <w:rFonts w:cs="Times New Roman"/>
          <w:lang w:val="fr-CA"/>
        </w:rPr>
      </w:pPr>
      <w:r w:rsidRPr="005E0713">
        <w:rPr>
          <w:rFonts w:cs="Times New Roman"/>
          <w:lang w:val="fr-CA"/>
        </w:rPr>
        <w:t>Moyens d’appel</w:t>
      </w:r>
      <w:bookmarkEnd w:id="44"/>
      <w:bookmarkEnd w:id="45"/>
    </w:p>
    <w:p w14:paraId="10246F46" w14:textId="77777777" w:rsidR="000E6B3D" w:rsidRPr="005E0713" w:rsidRDefault="000E6B3D" w:rsidP="000E6B3D">
      <w:pPr>
        <w:pStyle w:val="ParaNoNdepar-AltN"/>
        <w:keepNext/>
        <w:tabs>
          <w:tab w:val="clear" w:pos="1152"/>
          <w:tab w:val="left" w:pos="1166"/>
        </w:tabs>
        <w:rPr>
          <w:rFonts w:cs="Times New Roman"/>
        </w:rPr>
      </w:pPr>
      <w:r w:rsidRPr="005E0713">
        <w:rPr>
          <w:rFonts w:cs="Times New Roman"/>
        </w:rPr>
        <w:t>Devant notre Cour, l’appelante concède que le juge de première instance a commis une erreur en antidatant sa sentence; il aurait dû, reconnaît</w:t>
      </w:r>
      <w:r w:rsidRPr="005E0713">
        <w:rPr>
          <w:rFonts w:cs="Times New Roman"/>
        </w:rPr>
        <w:noBreakHyphen/>
        <w:t xml:space="preserve">elle, faire commencer la peine au moment où elle a été infligée aux termes du par. 719(1) </w:t>
      </w:r>
      <w:r w:rsidRPr="005E0713">
        <w:rPr>
          <w:rFonts w:cs="Times New Roman"/>
          <w:i/>
        </w:rPr>
        <w:t>C. </w:t>
      </w:r>
      <w:proofErr w:type="spellStart"/>
      <w:r w:rsidRPr="005E0713">
        <w:rPr>
          <w:rFonts w:cs="Times New Roman"/>
          <w:i/>
        </w:rPr>
        <w:t>cr</w:t>
      </w:r>
      <w:proofErr w:type="spellEnd"/>
      <w:r w:rsidRPr="005E0713">
        <w:rPr>
          <w:rFonts w:cs="Times New Roman"/>
        </w:rPr>
        <w:t xml:space="preserve">. Elle reconnaît aussi que l’al. 259(1)a) prévoit que l’interdiction de conduire doit être imposée pour une période d’au moins un an. Or, en adoptant pour l’essentiel la position du juge d’appel en matière de poursuites sommaires, l’appelante prétend que l’interdiction imposée par le premier juge n’était pas inférieure à la peine minimale obligatoire. Suivant les enseignements de notre Cour dans l’arrêt </w:t>
      </w:r>
      <w:r w:rsidRPr="005E0713">
        <w:rPr>
          <w:rFonts w:cs="Times New Roman"/>
          <w:i/>
        </w:rPr>
        <w:t>Lacasse</w:t>
      </w:r>
      <w:r w:rsidRPr="005E0713">
        <w:rPr>
          <w:rFonts w:cs="Times New Roman"/>
        </w:rPr>
        <w:t xml:space="preserve">, elle est d’avis qu’un crédit pour la période d’interdiction </w:t>
      </w:r>
      <w:proofErr w:type="spellStart"/>
      <w:r w:rsidRPr="005E0713">
        <w:rPr>
          <w:rFonts w:cs="Times New Roman"/>
        </w:rPr>
        <w:t>présentencielle</w:t>
      </w:r>
      <w:proofErr w:type="spellEnd"/>
      <w:r w:rsidRPr="005E0713">
        <w:rPr>
          <w:rFonts w:cs="Times New Roman"/>
        </w:rPr>
        <w:t xml:space="preserve"> pouvait être accordé en l’espèce.</w:t>
      </w:r>
    </w:p>
    <w:p w14:paraId="60CD925D"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Le principal moyen de l’appelante en est un d’interprétation législative. Elle soutient que l’al. 259(1)a) est silencieux quant à la possibilité d’accorder un crédit pour la période d’interdiction de conduire </w:t>
      </w:r>
      <w:proofErr w:type="spellStart"/>
      <w:r w:rsidRPr="005E0713">
        <w:rPr>
          <w:rFonts w:cs="Times New Roman"/>
        </w:rPr>
        <w:t>présentencielle</w:t>
      </w:r>
      <w:proofErr w:type="spellEnd"/>
      <w:r w:rsidRPr="005E0713">
        <w:rPr>
          <w:rFonts w:cs="Times New Roman"/>
        </w:rPr>
        <w:t xml:space="preserve">. En outre, le pouvoir discrétionnaire du tribunal d’appliquer un tel crédit, pouvoir </w:t>
      </w:r>
      <w:proofErr w:type="gramStart"/>
      <w:r w:rsidRPr="005E0713">
        <w:rPr>
          <w:rFonts w:cs="Times New Roman"/>
        </w:rPr>
        <w:t>fondé</w:t>
      </w:r>
      <w:proofErr w:type="gramEnd"/>
      <w:r w:rsidRPr="005E0713">
        <w:rPr>
          <w:rFonts w:cs="Times New Roman"/>
        </w:rPr>
        <w:t xml:space="preserve"> sur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n’a pas été écarté par les textes de loi pertinents. Par ailleurs, dit</w:t>
      </w:r>
      <w:r w:rsidRPr="005E0713">
        <w:rPr>
          <w:rFonts w:cs="Times New Roman"/>
        </w:rPr>
        <w:noBreakHyphen/>
        <w:t xml:space="preserve">elle, l’interprétation </w:t>
      </w:r>
      <w:r w:rsidRPr="005E0713">
        <w:rPr>
          <w:rFonts w:cs="Times New Roman"/>
        </w:rPr>
        <w:lastRenderedPageBreak/>
        <w:t xml:space="preserve">préconisée par les juges majoritaires de la Cour d’appel entraîne des résultats absurdes, dont l’imposition de périodes d’interdiction ne tenant pas compte de la gradation établie au </w:t>
      </w:r>
      <w:proofErr w:type="spellStart"/>
      <w:r w:rsidRPr="005E0713">
        <w:rPr>
          <w:rFonts w:cs="Times New Roman"/>
        </w:rPr>
        <w:t>par</w:t>
      </w:r>
      <w:proofErr w:type="spellEnd"/>
      <w:r w:rsidRPr="005E0713">
        <w:rPr>
          <w:rFonts w:cs="Times New Roman"/>
        </w:rPr>
        <w:t>. 259(1), ce que ne peut avoir voulu le législateur.</w:t>
      </w:r>
    </w:p>
    <w:p w14:paraId="4974F3FE"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Le ministère public intimé s’appuie notamment sur l’arrêt </w:t>
      </w:r>
      <w:r w:rsidRPr="005E0713">
        <w:rPr>
          <w:rFonts w:cs="Times New Roman"/>
          <w:i/>
        </w:rPr>
        <w:t>R. c. McIntosh</w:t>
      </w:r>
      <w:r w:rsidRPr="005E0713">
        <w:rPr>
          <w:rFonts w:cs="Times New Roman"/>
        </w:rPr>
        <w:t>, [1995] 1 R.C.S. 686, pour soutenir que les tribunaux doivent mettre en œuvre l’intention claire du Parlement, même si cela donne lieu à des [</w:t>
      </w:r>
      <w:r w:rsidRPr="005E0713">
        <w:rPr>
          <w:rFonts w:cs="Times New Roman"/>
          <w:smallCaps/>
        </w:rPr>
        <w:t>traduction</w:t>
      </w:r>
      <w:r w:rsidRPr="005E0713">
        <w:rPr>
          <w:rFonts w:cs="Times New Roman"/>
        </w:rPr>
        <w:t>] « résultat[s] absurde[s] ou embarrassant[s] » (recueil condensé de l’intimé, p. 1). À son avis, l’al. 259(1)a) et le par. 719(1) ne sont nullement ambigus : le Parlement dicte aux juges qu’ils doivent infliger au contrevenant une période d’interdiction minimale d’un an devant commencer au moment du prononcé de la sentence. En l’absence de contestation constitutionnelle des dispositions applicables, les tribunaux doivent donner effet à cette intention du législateur.</w:t>
      </w:r>
    </w:p>
    <w:p w14:paraId="26C13AEE"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De plus, l’intimé rappelle que le législateur est présumé connaître les éléments contextuels nécessaires à la mise en œuvre de sa loi. En l’occurrence, il y a lieu de présumer que le Parlement n’ignorait pas que certains accusés sont assujettis à une interdiction </w:t>
      </w:r>
      <w:proofErr w:type="spellStart"/>
      <w:r w:rsidRPr="005E0713">
        <w:rPr>
          <w:rFonts w:cs="Times New Roman"/>
        </w:rPr>
        <w:t>présentencielle</w:t>
      </w:r>
      <w:proofErr w:type="spellEnd"/>
      <w:r w:rsidRPr="005E0713">
        <w:rPr>
          <w:rFonts w:cs="Times New Roman"/>
        </w:rPr>
        <w:t xml:space="preserve"> de conduire. Selon l’intimé, tout porte à croire qu’en adoptant l’al. 259(1)a), le Parlement a choisi de ne pas édicter, en matière d’interdictions de conduire, de disposition équivalente au </w:t>
      </w:r>
      <w:proofErr w:type="spellStart"/>
      <w:r w:rsidRPr="005E0713">
        <w:rPr>
          <w:rFonts w:cs="Times New Roman"/>
        </w:rPr>
        <w:t>par</w:t>
      </w:r>
      <w:proofErr w:type="spellEnd"/>
      <w:r w:rsidRPr="005E0713">
        <w:rPr>
          <w:rFonts w:cs="Times New Roman"/>
        </w:rPr>
        <w:t xml:space="preserve">. 719(3). Dans ce contexte, poursuit l’intimé, il faudrait rejeter l’argument voulant que le silence du législateur implique que le pouvoir discrétionnaire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demeure intact. La lecture de l’al. 259(1)a), ainsi que des </w:t>
      </w:r>
      <w:proofErr w:type="spellStart"/>
      <w:r w:rsidRPr="005E0713">
        <w:rPr>
          <w:rFonts w:cs="Times New Roman"/>
        </w:rPr>
        <w:t>par</w:t>
      </w:r>
      <w:proofErr w:type="spellEnd"/>
      <w:r w:rsidRPr="005E0713">
        <w:rPr>
          <w:rFonts w:cs="Times New Roman"/>
        </w:rPr>
        <w:t xml:space="preserve">. 718.3(2), 719(1) et 719(3), révèle que ce </w:t>
      </w:r>
      <w:r w:rsidRPr="005E0713">
        <w:rPr>
          <w:rFonts w:cs="Times New Roman"/>
        </w:rPr>
        <w:lastRenderedPageBreak/>
        <w:t xml:space="preserve">pouvoir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a été écarté par l’effet conjugué de la peine minimale obligatoire et de la règle prescrivant que la peine commence le jour où elle est infligée.</w:t>
      </w:r>
    </w:p>
    <w:p w14:paraId="5DFE8644"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Sans se prononcer sur le sort de l’appel, le procureur général de l’Alberta intervient au soutien de l’interprétation proposée par l’intimé. L’intervenant avance que le silence du Parlement quant à la possibilité d’accorder un crédit ne saurait contrecarrer l’intention claire du législateur d’imposer la peine minimale obligatoire commençant le jour du prononcé de la sentence. L’arrêt </w:t>
      </w:r>
      <w:r w:rsidRPr="005E0713">
        <w:rPr>
          <w:rFonts w:cs="Times New Roman"/>
          <w:i/>
        </w:rPr>
        <w:t>Lacasse</w:t>
      </w:r>
      <w:r w:rsidRPr="005E0713">
        <w:rPr>
          <w:rFonts w:cs="Times New Roman"/>
        </w:rPr>
        <w:t xml:space="preserve"> ne serait d’aucune utilité en l’espèce, puisque cette affaire ne concernait pas une peine minimale obligatoire.</w:t>
      </w:r>
    </w:p>
    <w:p w14:paraId="0871B553" w14:textId="77777777" w:rsidR="000E6B3D" w:rsidRPr="005E0713" w:rsidRDefault="000E6B3D" w:rsidP="000E6B3D">
      <w:pPr>
        <w:pStyle w:val="Title2LevelTitre2Niveau"/>
        <w:rPr>
          <w:rFonts w:cs="Times New Roman"/>
          <w:lang w:val="fr-CA"/>
        </w:rPr>
      </w:pPr>
      <w:bookmarkStart w:id="46" w:name="_Toc123734882"/>
      <w:bookmarkStart w:id="47" w:name="_Toc123830844"/>
      <w:bookmarkStart w:id="48" w:name="_Toc124075278"/>
      <w:bookmarkStart w:id="49" w:name="_Toc124075334"/>
      <w:r w:rsidRPr="005E0713">
        <w:rPr>
          <w:rFonts w:cs="Times New Roman"/>
          <w:lang w:val="fr-CA"/>
        </w:rPr>
        <w:t xml:space="preserve">Cadre d’analyse : la coexistence de la </w:t>
      </w:r>
      <w:proofErr w:type="spellStart"/>
      <w:r w:rsidRPr="005E0713">
        <w:rPr>
          <w:rFonts w:cs="Times New Roman"/>
          <w:lang w:val="fr-CA"/>
        </w:rPr>
        <w:t>common</w:t>
      </w:r>
      <w:proofErr w:type="spellEnd"/>
      <w:r w:rsidRPr="005E0713">
        <w:rPr>
          <w:rFonts w:cs="Times New Roman"/>
          <w:lang w:val="fr-CA"/>
        </w:rPr>
        <w:t xml:space="preserve"> </w:t>
      </w:r>
      <w:proofErr w:type="spellStart"/>
      <w:r w:rsidRPr="005E0713">
        <w:rPr>
          <w:rFonts w:cs="Times New Roman"/>
          <w:lang w:val="fr-CA"/>
        </w:rPr>
        <w:t>law</w:t>
      </w:r>
      <w:proofErr w:type="spellEnd"/>
      <w:r w:rsidRPr="005E0713">
        <w:rPr>
          <w:rFonts w:cs="Times New Roman"/>
          <w:lang w:val="fr-CA"/>
        </w:rPr>
        <w:t xml:space="preserve"> et de la </w:t>
      </w:r>
      <w:bookmarkEnd w:id="43"/>
      <w:r w:rsidRPr="005E0713">
        <w:rPr>
          <w:rFonts w:cs="Times New Roman"/>
          <w:lang w:val="fr-CA"/>
        </w:rPr>
        <w:t>législation en matière de détermination de la peine</w:t>
      </w:r>
      <w:bookmarkEnd w:id="46"/>
      <w:bookmarkEnd w:id="47"/>
      <w:bookmarkEnd w:id="48"/>
      <w:bookmarkEnd w:id="49"/>
    </w:p>
    <w:p w14:paraId="0D45E3BB"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Les deux parties s’entendent sur l’existence d’un pouvoir discrétionnaire permettant au juge de la peine d’accorder un crédit pour une période d’interdiction de conduire </w:t>
      </w:r>
      <w:proofErr w:type="spellStart"/>
      <w:r w:rsidRPr="005E0713">
        <w:rPr>
          <w:rFonts w:cs="Times New Roman"/>
        </w:rPr>
        <w:t>présentencielle</w:t>
      </w:r>
      <w:proofErr w:type="spellEnd"/>
      <w:r w:rsidRPr="005E0713">
        <w:rPr>
          <w:rFonts w:cs="Times New Roman"/>
        </w:rPr>
        <w:t xml:space="preserve">. Or, contrairement à l’appelante, le ministère public soutient que ce pouvoir fondé sur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a été limité ou écarté par le Parlement par l’adoption de la peine minimale obligatoire prévue à l’al. 259(1)a)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Ce pourvoi soulève donc la question de savoir si la règle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peut, comme le prétend l’appelante, coexister harmonieusement avec la peine minimale obligatoire prévue par le </w:t>
      </w:r>
      <w:r w:rsidRPr="005E0713">
        <w:rPr>
          <w:rFonts w:cs="Times New Roman"/>
          <w:i/>
        </w:rPr>
        <w:t>Code criminel</w:t>
      </w:r>
      <w:r w:rsidRPr="005E0713">
        <w:rPr>
          <w:rFonts w:cs="Times New Roman"/>
        </w:rPr>
        <w:t>.</w:t>
      </w:r>
    </w:p>
    <w:p w14:paraId="4D3E47B6" w14:textId="77777777" w:rsidR="000E6B3D" w:rsidRPr="005E0713" w:rsidRDefault="000E6B3D" w:rsidP="000E6B3D">
      <w:pPr>
        <w:pStyle w:val="ParaNoNdepar-AltN"/>
        <w:tabs>
          <w:tab w:val="clear" w:pos="1152"/>
          <w:tab w:val="left" w:pos="1166"/>
        </w:tabs>
        <w:rPr>
          <w:rFonts w:cs="Times New Roman"/>
          <w:szCs w:val="24"/>
        </w:rPr>
      </w:pPr>
      <w:r w:rsidRPr="005E0713">
        <w:rPr>
          <w:rFonts w:cs="Times New Roman"/>
        </w:rPr>
        <w:t xml:space="preserve">Cette question amène la Cour à se pencher sur les interactions parfois complexes qui caractérisent la relation entre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et la législation. Bien que </w:t>
      </w:r>
      <w:r w:rsidRPr="005E0713">
        <w:rPr>
          <w:rFonts w:cs="Times New Roman"/>
        </w:rPr>
        <w:lastRenderedPageBreak/>
        <w:t xml:space="preserve">la législation puisse être prépondérante sur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cette dernière demeure applicable dans la mesure où elle n’est pas écartée explicitement ou par implication nécessaire, principe souvent justifié par l’importance de la « stabilité du droit »</w:t>
      </w:r>
      <w:r w:rsidRPr="005E0713">
        <w:rPr>
          <w:rFonts w:cs="Times New Roman"/>
          <w:i/>
        </w:rPr>
        <w:t xml:space="preserve"> </w:t>
      </w:r>
      <w:r w:rsidRPr="005E0713">
        <w:rPr>
          <w:rFonts w:cs="Times New Roman"/>
        </w:rPr>
        <w:t>(</w:t>
      </w:r>
      <w:r w:rsidRPr="005E0713">
        <w:rPr>
          <w:rFonts w:cs="Times New Roman"/>
          <w:i/>
        </w:rPr>
        <w:t>R. c. D.L.W.</w:t>
      </w:r>
      <w:r w:rsidRPr="005E0713">
        <w:rPr>
          <w:rFonts w:cs="Times New Roman"/>
        </w:rPr>
        <w:t xml:space="preserve">, 2016 CSC 22, [2016] 1 R.C.S. 402, par. 21, le juge Cromwell). Au nom d’une Cour unanime dans l’arrêt </w:t>
      </w:r>
      <w:r w:rsidRPr="005E0713">
        <w:rPr>
          <w:rFonts w:cs="Times New Roman"/>
          <w:i/>
          <w:szCs w:val="24"/>
          <w:lang w:bidi="en-US"/>
        </w:rPr>
        <w:t>Lizotte</w:t>
      </w:r>
      <w:r w:rsidRPr="005E0713">
        <w:rPr>
          <w:rFonts w:cs="Times New Roman"/>
          <w:lang w:bidi="en-US"/>
        </w:rPr>
        <w:t xml:space="preserve">, </w:t>
      </w:r>
      <w:r w:rsidRPr="005E0713">
        <w:rPr>
          <w:rFonts w:cs="Times New Roman"/>
        </w:rPr>
        <w:t xml:space="preserve">le juge Gascon rappelle le principe général relatif à la mise à l’écart par voie législative de règles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lang w:bidi="en-US"/>
        </w:rPr>
        <w:t> </w:t>
      </w:r>
      <w:r w:rsidRPr="005E0713">
        <w:rPr>
          <w:rFonts w:cs="Times New Roman"/>
        </w:rPr>
        <w:t xml:space="preserve">: « La jurisprudence veut que l’on doive présumer qu’un législateur n’a pas l’intention de modifier les règles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existantes à moins d’une disposition claire à cet effet . . . » (</w:t>
      </w:r>
      <w:r w:rsidRPr="005E0713">
        <w:rPr>
          <w:rFonts w:cs="Times New Roman"/>
          <w:lang w:bidi="en-US"/>
        </w:rPr>
        <w:t>par. 56)</w:t>
      </w:r>
      <w:r w:rsidRPr="005E0713">
        <w:rPr>
          <w:rFonts w:cs="Times New Roman"/>
        </w:rPr>
        <w:t>. La professeure Ruth Sullivan a écrit que cette présomption [</w:t>
      </w:r>
      <w:r w:rsidRPr="005E0713">
        <w:rPr>
          <w:rFonts w:cs="Times New Roman"/>
          <w:smallCaps/>
        </w:rPr>
        <w:t>traduction</w:t>
      </w:r>
      <w:r w:rsidRPr="005E0713">
        <w:rPr>
          <w:rFonts w:cs="Times New Roman"/>
        </w:rPr>
        <w:t>] « </w:t>
      </w:r>
      <w:r w:rsidRPr="005E0713">
        <w:rPr>
          <w:rFonts w:cs="Times New Roman"/>
          <w:lang w:bidi="en-US"/>
        </w:rPr>
        <w:t>permet aux tribunaux d’insister sur la présence de directives précises et explicites du législateur avant d’accepter tout changement. De cette façon, la</w:t>
      </w:r>
      <w:r w:rsidRPr="005E0713">
        <w:rPr>
          <w:rFonts w:cs="Times New Roman"/>
        </w:rPr>
        <w:t xml:space="preserv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w:t>
      </w:r>
      <w:r w:rsidRPr="005E0713">
        <w:rPr>
          <w:rFonts w:cs="Times New Roman"/>
          <w:lang w:bidi="en-US"/>
        </w:rPr>
        <w:t>est protégée contre les empiétements découlant d’imprécisions ou d’inadvertances législatives</w:t>
      </w:r>
      <w:r w:rsidRPr="005E0713">
        <w:rPr>
          <w:rFonts w:cs="Times New Roman"/>
        </w:rPr>
        <w:t> » (</w:t>
      </w:r>
      <w:r w:rsidRPr="005E0713">
        <w:rPr>
          <w:rFonts w:cs="Times New Roman"/>
          <w:i/>
        </w:rPr>
        <w:t xml:space="preserve">The Construction of </w:t>
      </w:r>
      <w:proofErr w:type="spellStart"/>
      <w:r w:rsidRPr="005E0713">
        <w:rPr>
          <w:rFonts w:cs="Times New Roman"/>
          <w:i/>
        </w:rPr>
        <w:t>Statutes</w:t>
      </w:r>
      <w:proofErr w:type="spellEnd"/>
      <w:r w:rsidRPr="005E0713">
        <w:rPr>
          <w:rFonts w:cs="Times New Roman"/>
        </w:rPr>
        <w:t xml:space="preserve"> (7</w:t>
      </w:r>
      <w:r w:rsidRPr="005E0713">
        <w:rPr>
          <w:rFonts w:cs="Times New Roman"/>
          <w:vertAlign w:val="superscript"/>
        </w:rPr>
        <w:t>e</w:t>
      </w:r>
      <w:r w:rsidRPr="005E0713">
        <w:rPr>
          <w:rFonts w:cs="Times New Roman"/>
        </w:rPr>
        <w:t> éd. 2022), § 17.</w:t>
      </w:r>
      <w:proofErr w:type="gramStart"/>
      <w:r w:rsidRPr="005E0713">
        <w:rPr>
          <w:rFonts w:cs="Times New Roman"/>
        </w:rPr>
        <w:t>01.Pt</w:t>
      </w:r>
      <w:proofErr w:type="gramEnd"/>
      <w:r w:rsidRPr="005E0713">
        <w:rPr>
          <w:rFonts w:cs="Times New Roman"/>
        </w:rPr>
        <w:t>1[2]; voir aussi P.</w:t>
      </w:r>
      <w:r w:rsidRPr="005E0713">
        <w:rPr>
          <w:rFonts w:cs="Times New Roman"/>
        </w:rPr>
        <w:noBreakHyphen/>
        <w:t>A. Côté et M. </w:t>
      </w:r>
      <w:proofErr w:type="spellStart"/>
      <w:r w:rsidRPr="005E0713">
        <w:rPr>
          <w:rFonts w:cs="Times New Roman"/>
        </w:rPr>
        <w:t>Devinat</w:t>
      </w:r>
      <w:proofErr w:type="spellEnd"/>
      <w:r w:rsidRPr="005E0713">
        <w:rPr>
          <w:rFonts w:cs="Times New Roman"/>
        </w:rPr>
        <w:t xml:space="preserve">, </w:t>
      </w:r>
      <w:r w:rsidRPr="005E0713">
        <w:rPr>
          <w:rFonts w:cs="Times New Roman"/>
          <w:i/>
        </w:rPr>
        <w:t>Interprétation des lois</w:t>
      </w:r>
      <w:r w:rsidRPr="005E0713">
        <w:rPr>
          <w:rFonts w:cs="Times New Roman"/>
        </w:rPr>
        <w:t xml:space="preserve"> (5</w:t>
      </w:r>
      <w:r w:rsidRPr="005E0713">
        <w:rPr>
          <w:rFonts w:cs="Times New Roman"/>
          <w:vertAlign w:val="superscript"/>
        </w:rPr>
        <w:t>e</w:t>
      </w:r>
      <w:r w:rsidRPr="005E0713">
        <w:rPr>
          <w:rFonts w:cs="Times New Roman"/>
        </w:rPr>
        <w:t> éd. 2021), n</w:t>
      </w:r>
      <w:r w:rsidRPr="005E0713">
        <w:rPr>
          <w:rFonts w:cs="Times New Roman"/>
          <w:vertAlign w:val="superscript"/>
        </w:rPr>
        <w:t>os</w:t>
      </w:r>
      <w:r w:rsidRPr="005E0713">
        <w:rPr>
          <w:rFonts w:cs="Times New Roman"/>
          <w:lang w:bidi="en-US"/>
        </w:rPr>
        <w:t> 180</w:t>
      </w:r>
      <w:r w:rsidRPr="005E0713">
        <w:rPr>
          <w:rFonts w:cs="Times New Roman"/>
          <w:lang w:bidi="en-US"/>
        </w:rPr>
        <w:noBreakHyphen/>
        <w:t>192</w:t>
      </w:r>
      <w:r w:rsidRPr="005E0713">
        <w:rPr>
          <w:rFonts w:cs="Times New Roman"/>
        </w:rPr>
        <w:t xml:space="preserve">). </w:t>
      </w:r>
    </w:p>
    <w:p w14:paraId="6951F598"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Le droit criminel canadien se compose à la fois du droit établi par le législateur et de principes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(M. </w:t>
      </w:r>
      <w:proofErr w:type="spellStart"/>
      <w:r w:rsidRPr="005E0713">
        <w:rPr>
          <w:rFonts w:cs="Times New Roman"/>
        </w:rPr>
        <w:t>Vauclair</w:t>
      </w:r>
      <w:proofErr w:type="spellEnd"/>
      <w:r w:rsidRPr="005E0713">
        <w:rPr>
          <w:rFonts w:cs="Times New Roman"/>
        </w:rPr>
        <w:t xml:space="preserve"> et T. Desjardins, avec la collaboration de P. Lachance, </w:t>
      </w:r>
      <w:r w:rsidRPr="005E0713">
        <w:rPr>
          <w:rFonts w:cs="Times New Roman"/>
          <w:i/>
        </w:rPr>
        <w:t>Traité général de preuve et de procédure pénales 2022</w:t>
      </w:r>
      <w:r w:rsidRPr="005E0713">
        <w:rPr>
          <w:rFonts w:cs="Times New Roman"/>
        </w:rPr>
        <w:t xml:space="preserve"> (29</w:t>
      </w:r>
      <w:r w:rsidRPr="005E0713">
        <w:rPr>
          <w:rFonts w:cs="Times New Roman"/>
          <w:vertAlign w:val="superscript"/>
        </w:rPr>
        <w:t>e</w:t>
      </w:r>
      <w:r w:rsidRPr="005E0713">
        <w:rPr>
          <w:rFonts w:cs="Times New Roman"/>
        </w:rPr>
        <w:t> éd. 2022), n</w:t>
      </w:r>
      <w:r w:rsidRPr="005E0713">
        <w:rPr>
          <w:rFonts w:cs="Times New Roman"/>
          <w:vertAlign w:val="superscript"/>
        </w:rPr>
        <w:t>os</w:t>
      </w:r>
      <w:r w:rsidRPr="005E0713">
        <w:rPr>
          <w:rFonts w:cs="Times New Roman"/>
        </w:rPr>
        <w:t> 1.17</w:t>
      </w:r>
      <w:r w:rsidRPr="005E0713">
        <w:rPr>
          <w:rFonts w:cs="Times New Roman"/>
        </w:rPr>
        <w:noBreakHyphen/>
        <w:t xml:space="preserve">1.24, citant notamment </w:t>
      </w:r>
      <w:r w:rsidRPr="005E0713">
        <w:rPr>
          <w:rFonts w:cs="Times New Roman"/>
          <w:i/>
        </w:rPr>
        <w:t>D.L.W.</w:t>
      </w:r>
      <w:r w:rsidRPr="005E0713">
        <w:rPr>
          <w:rFonts w:cs="Times New Roman"/>
        </w:rPr>
        <w:t>, par. 3, 15 et 57</w:t>
      </w:r>
      <w:r w:rsidRPr="005E0713">
        <w:rPr>
          <w:rFonts w:cs="Times New Roman"/>
        </w:rPr>
        <w:noBreakHyphen/>
        <w:t xml:space="preserve">59). L’adoption au pays d’un code criminel en 1892 n’a pas eu pour effet d’écarter systématiquement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en tant que source du droit (D. H. Brown, </w:t>
      </w:r>
      <w:r w:rsidRPr="005E0713">
        <w:rPr>
          <w:rFonts w:cs="Times New Roman"/>
          <w:i/>
        </w:rPr>
        <w:t>The Genesis of the Canadian Criminal Code of 1892</w:t>
      </w:r>
      <w:r w:rsidRPr="005E0713">
        <w:rPr>
          <w:rFonts w:cs="Times New Roman"/>
        </w:rPr>
        <w:t xml:space="preserve"> (1989), p. 126; G. H. Crouse, « A Critique of Canadian Criminal </w:t>
      </w:r>
      <w:proofErr w:type="spellStart"/>
      <w:r w:rsidRPr="005E0713">
        <w:rPr>
          <w:rFonts w:cs="Times New Roman"/>
        </w:rPr>
        <w:t>Legislation</w:t>
      </w:r>
      <w:proofErr w:type="spellEnd"/>
      <w:r w:rsidRPr="005E0713">
        <w:rPr>
          <w:rFonts w:cs="Times New Roman"/>
        </w:rPr>
        <w:t xml:space="preserve"> : Part One » (1934), 12 </w:t>
      </w:r>
      <w:r w:rsidRPr="005E0713">
        <w:rPr>
          <w:rFonts w:cs="Times New Roman"/>
          <w:i/>
        </w:rPr>
        <w:t>R. du B. can.</w:t>
      </w:r>
      <w:r w:rsidRPr="005E0713">
        <w:rPr>
          <w:rFonts w:cs="Times New Roman"/>
        </w:rPr>
        <w:t xml:space="preserve"> 545, </w:t>
      </w:r>
      <w:r w:rsidRPr="005E0713">
        <w:rPr>
          <w:rFonts w:cs="Times New Roman"/>
        </w:rPr>
        <w:lastRenderedPageBreak/>
        <w:t>p. 565 : [</w:t>
      </w:r>
      <w:r w:rsidRPr="005E0713">
        <w:rPr>
          <w:rFonts w:cs="Times New Roman"/>
          <w:smallCaps/>
        </w:rPr>
        <w:t>traduction</w:t>
      </w:r>
      <w:r w:rsidRPr="005E0713">
        <w:rPr>
          <w:rFonts w:cs="Times New Roman"/>
        </w:rPr>
        <w:t xml:space="preserve">] « Un principe fondamental de la codification canadienne est que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n’est pas écartée. »). Aujourd’hui, le </w:t>
      </w:r>
      <w:r w:rsidRPr="005E0713">
        <w:rPr>
          <w:rFonts w:cs="Times New Roman"/>
          <w:i/>
        </w:rPr>
        <w:t>Code criminel</w:t>
      </w:r>
      <w:r w:rsidRPr="005E0713">
        <w:rPr>
          <w:rFonts w:cs="Times New Roman"/>
        </w:rPr>
        <w:t xml:space="preserve"> dispose qu’en règle générale,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n’est plus une source d’infractions au Canada (al. 9a)). Il prévoit </w:t>
      </w:r>
      <w:proofErr w:type="gramStart"/>
      <w:r w:rsidRPr="005E0713">
        <w:rPr>
          <w:rFonts w:cs="Times New Roman"/>
        </w:rPr>
        <w:t>par contre</w:t>
      </w:r>
      <w:proofErr w:type="gramEnd"/>
      <w:r w:rsidRPr="005E0713">
        <w:rPr>
          <w:rFonts w:cs="Times New Roman"/>
        </w:rPr>
        <w:t xml:space="preserve"> que les moyens de défense prévus par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demeurent en vigueur, sauf dans la mesure où ils sont modifiés par la loi (par. 8(3); </w:t>
      </w:r>
      <w:r w:rsidRPr="005E0713">
        <w:rPr>
          <w:rFonts w:cs="Times New Roman"/>
          <w:i/>
        </w:rPr>
        <w:t>R. c. Tim</w:t>
      </w:r>
      <w:r w:rsidRPr="005E0713">
        <w:rPr>
          <w:rFonts w:cs="Times New Roman"/>
        </w:rPr>
        <w:t xml:space="preserve">, 2022 CSC 12, par. 27; voir aussi J. Fortin et L. Viau, </w:t>
      </w:r>
      <w:r w:rsidRPr="005E0713">
        <w:rPr>
          <w:rFonts w:cs="Times New Roman"/>
          <w:i/>
        </w:rPr>
        <w:t>Traité de droit pénal général</w:t>
      </w:r>
      <w:r w:rsidRPr="005E0713">
        <w:rPr>
          <w:rFonts w:cs="Times New Roman"/>
        </w:rPr>
        <w:t xml:space="preserve"> (1982), p. 18). Comme l’enseignent les auteurs </w:t>
      </w:r>
      <w:proofErr w:type="spellStart"/>
      <w:r w:rsidRPr="005E0713">
        <w:rPr>
          <w:rFonts w:cs="Times New Roman"/>
        </w:rPr>
        <w:t>Vauclair</w:t>
      </w:r>
      <w:proofErr w:type="spellEnd"/>
      <w:r w:rsidRPr="005E0713">
        <w:rPr>
          <w:rFonts w:cs="Times New Roman"/>
        </w:rPr>
        <w:t xml:space="preserve"> et Desjardins, on peut se référer à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pour interpréter le texte d’incrimination qui codifie une infraction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(n</w:t>
      </w:r>
      <w:r w:rsidRPr="005E0713">
        <w:rPr>
          <w:rFonts w:cs="Times New Roman"/>
          <w:vertAlign w:val="superscript"/>
        </w:rPr>
        <w:t>o</w:t>
      </w:r>
      <w:r w:rsidRPr="005E0713">
        <w:rPr>
          <w:rFonts w:cs="Times New Roman"/>
        </w:rPr>
        <w:t xml:space="preserve"> 3.20, citant </w:t>
      </w:r>
      <w:r w:rsidRPr="005E0713">
        <w:rPr>
          <w:rFonts w:cs="Times New Roman"/>
          <w:i/>
        </w:rPr>
        <w:t xml:space="preserve">R. c. </w:t>
      </w:r>
      <w:proofErr w:type="spellStart"/>
      <w:r w:rsidRPr="005E0713">
        <w:rPr>
          <w:rFonts w:cs="Times New Roman"/>
          <w:i/>
        </w:rPr>
        <w:t>Jobidon</w:t>
      </w:r>
      <w:proofErr w:type="spellEnd"/>
      <w:r w:rsidRPr="005E0713">
        <w:rPr>
          <w:rFonts w:cs="Times New Roman"/>
        </w:rPr>
        <w:t xml:space="preserve">, [1991] 2 R.C.S. 714). </w:t>
      </w:r>
    </w:p>
    <w:p w14:paraId="0847B851" w14:textId="77777777" w:rsidR="000E6B3D" w:rsidRPr="005E0713" w:rsidRDefault="000E6B3D" w:rsidP="000E6B3D">
      <w:pPr>
        <w:pStyle w:val="ParaNoNdepar-AltN"/>
        <w:tabs>
          <w:tab w:val="clear" w:pos="1152"/>
          <w:tab w:val="left" w:pos="1166"/>
        </w:tabs>
        <w:rPr>
          <w:rFonts w:cs="Times New Roman"/>
        </w:rPr>
      </w:pPr>
      <w:r w:rsidRPr="005E0713">
        <w:rPr>
          <w:rFonts w:cs="Times New Roman"/>
          <w:szCs w:val="24"/>
        </w:rPr>
        <w:t xml:space="preserve">Cette coexistence de la législation et de la </w:t>
      </w:r>
      <w:proofErr w:type="spellStart"/>
      <w:r w:rsidRPr="005E0713">
        <w:rPr>
          <w:rFonts w:cs="Times New Roman"/>
          <w:szCs w:val="24"/>
        </w:rPr>
        <w:t>common</w:t>
      </w:r>
      <w:proofErr w:type="spellEnd"/>
      <w:r w:rsidRPr="005E0713">
        <w:rPr>
          <w:rFonts w:cs="Times New Roman"/>
          <w:szCs w:val="24"/>
        </w:rPr>
        <w:t xml:space="preserve"> </w:t>
      </w:r>
      <w:proofErr w:type="spellStart"/>
      <w:r w:rsidRPr="005E0713">
        <w:rPr>
          <w:rFonts w:cs="Times New Roman"/>
          <w:szCs w:val="24"/>
        </w:rPr>
        <w:t>law</w:t>
      </w:r>
      <w:proofErr w:type="spellEnd"/>
      <w:r w:rsidRPr="005E0713">
        <w:rPr>
          <w:rFonts w:cs="Times New Roman"/>
          <w:szCs w:val="24"/>
        </w:rPr>
        <w:t xml:space="preserve"> anime le droit relatif à la détermination de la peine (voir Commission canadienne sur la détermination de la peine, </w:t>
      </w:r>
      <w:r w:rsidRPr="005E0713">
        <w:rPr>
          <w:rFonts w:cs="Times New Roman"/>
          <w:i/>
          <w:szCs w:val="24"/>
        </w:rPr>
        <w:t>Structure de la détermination de la peine au Canada : perspectives historiques</w:t>
      </w:r>
      <w:r w:rsidRPr="005E0713">
        <w:rPr>
          <w:rFonts w:cs="Times New Roman"/>
          <w:szCs w:val="24"/>
        </w:rPr>
        <w:t xml:space="preserve"> (1988), p. 42). </w:t>
      </w:r>
      <w:r w:rsidRPr="005E0713">
        <w:rPr>
          <w:rFonts w:cs="Times New Roman"/>
        </w:rPr>
        <w:t xml:space="preserve">Alors que la partie XXIII du </w:t>
      </w:r>
      <w:r w:rsidRPr="005E0713">
        <w:rPr>
          <w:rFonts w:cs="Times New Roman"/>
          <w:i/>
        </w:rPr>
        <w:t>Code criminel</w:t>
      </w:r>
      <w:r w:rsidRPr="005E0713">
        <w:rPr>
          <w:rFonts w:cs="Times New Roman"/>
        </w:rPr>
        <w:t xml:space="preserve"> codifie « les principes fondamentaux de la détermination de la peine » (</w:t>
      </w:r>
      <w:r w:rsidRPr="005E0713">
        <w:rPr>
          <w:rFonts w:cs="Times New Roman"/>
          <w:i/>
          <w:iCs/>
        </w:rPr>
        <w:t xml:space="preserve">R. c. </w:t>
      </w:r>
      <w:proofErr w:type="spellStart"/>
      <w:r w:rsidRPr="005E0713">
        <w:rPr>
          <w:rFonts w:cs="Times New Roman"/>
          <w:i/>
          <w:iCs/>
        </w:rPr>
        <w:t>Gladue</w:t>
      </w:r>
      <w:proofErr w:type="spellEnd"/>
      <w:r w:rsidRPr="005E0713">
        <w:rPr>
          <w:rFonts w:cs="Times New Roman"/>
        </w:rPr>
        <w:t>, [1999] 1 R.C.S. 688, par. 1), les tribunaux peuvent aussi tenir compte [</w:t>
      </w:r>
      <w:r w:rsidRPr="005E0713">
        <w:rPr>
          <w:rFonts w:cs="Times New Roman"/>
          <w:smallCaps/>
        </w:rPr>
        <w:t>traduction</w:t>
      </w:r>
      <w:r w:rsidRPr="005E0713">
        <w:rPr>
          <w:rFonts w:cs="Times New Roman"/>
        </w:rPr>
        <w:t xml:space="preserve">] « d’autres principes et facteurs découlant de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 (D. Rose, </w:t>
      </w:r>
      <w:proofErr w:type="spellStart"/>
      <w:r w:rsidRPr="005E0713">
        <w:rPr>
          <w:rFonts w:cs="Times New Roman"/>
          <w:i/>
          <w:iCs/>
        </w:rPr>
        <w:t>Quigley’s</w:t>
      </w:r>
      <w:proofErr w:type="spellEnd"/>
      <w:r w:rsidRPr="005E0713">
        <w:rPr>
          <w:rFonts w:cs="Times New Roman"/>
          <w:i/>
          <w:iCs/>
        </w:rPr>
        <w:t xml:space="preserve"> Criminal </w:t>
      </w:r>
      <w:proofErr w:type="spellStart"/>
      <w:r w:rsidRPr="005E0713">
        <w:rPr>
          <w:rFonts w:cs="Times New Roman"/>
          <w:i/>
          <w:iCs/>
        </w:rPr>
        <w:t>Procedure</w:t>
      </w:r>
      <w:proofErr w:type="spellEnd"/>
      <w:r w:rsidRPr="005E0713">
        <w:rPr>
          <w:rFonts w:cs="Times New Roman"/>
          <w:i/>
          <w:iCs/>
        </w:rPr>
        <w:t xml:space="preserve"> in Canada</w:t>
      </w:r>
      <w:r w:rsidRPr="005E0713">
        <w:rPr>
          <w:rFonts w:cs="Times New Roman"/>
        </w:rPr>
        <w:t xml:space="preserve"> (feuilles mobiles), § 23:6). </w:t>
      </w:r>
      <w:r w:rsidRPr="005E0713">
        <w:rPr>
          <w:rFonts w:cs="Times New Roman"/>
          <w:szCs w:val="24"/>
        </w:rPr>
        <w:t>La législation a également prépondérance</w:t>
      </w:r>
      <w:r w:rsidRPr="005E0713">
        <w:rPr>
          <w:rFonts w:cs="Times New Roman"/>
        </w:rPr>
        <w:t xml:space="preserve"> sur</w:t>
      </w:r>
      <w:r w:rsidRPr="005E0713">
        <w:rPr>
          <w:rFonts w:cs="Times New Roman"/>
          <w:szCs w:val="24"/>
        </w:rPr>
        <w:t xml:space="preserve"> la </w:t>
      </w:r>
      <w:proofErr w:type="spellStart"/>
      <w:r w:rsidRPr="005E0713">
        <w:rPr>
          <w:rFonts w:cs="Times New Roman"/>
          <w:szCs w:val="24"/>
        </w:rPr>
        <w:t>common</w:t>
      </w:r>
      <w:proofErr w:type="spellEnd"/>
      <w:r w:rsidRPr="005E0713">
        <w:rPr>
          <w:rFonts w:cs="Times New Roman"/>
          <w:szCs w:val="24"/>
        </w:rPr>
        <w:t xml:space="preserve"> </w:t>
      </w:r>
      <w:proofErr w:type="spellStart"/>
      <w:r w:rsidRPr="005E0713">
        <w:rPr>
          <w:rFonts w:cs="Times New Roman"/>
          <w:szCs w:val="24"/>
        </w:rPr>
        <w:t>law</w:t>
      </w:r>
      <w:proofErr w:type="spellEnd"/>
      <w:r w:rsidRPr="005E0713">
        <w:rPr>
          <w:rFonts w:cs="Times New Roman"/>
          <w:szCs w:val="24"/>
        </w:rPr>
        <w:t xml:space="preserve"> en cette matière dans la mesure où le législateur l’écarte explicitement ou par implication nécessaire </w:t>
      </w:r>
      <w:r w:rsidRPr="005E0713">
        <w:rPr>
          <w:rFonts w:cs="Times New Roman"/>
        </w:rPr>
        <w:t xml:space="preserve">(voir, p. ex., </w:t>
      </w:r>
      <w:r w:rsidRPr="005E0713">
        <w:rPr>
          <w:rFonts w:cs="Times New Roman"/>
          <w:i/>
        </w:rPr>
        <w:t xml:space="preserve">R. c. </w:t>
      </w:r>
      <w:proofErr w:type="spellStart"/>
      <w:r w:rsidRPr="005E0713">
        <w:rPr>
          <w:rFonts w:cs="Times New Roman"/>
          <w:i/>
        </w:rPr>
        <w:t>Skolnick</w:t>
      </w:r>
      <w:proofErr w:type="spellEnd"/>
      <w:r w:rsidRPr="005E0713">
        <w:rPr>
          <w:rFonts w:cs="Times New Roman"/>
        </w:rPr>
        <w:t>, [1982] 2 R.C.S. 47, p. 58)</w:t>
      </w:r>
      <w:r w:rsidRPr="005E0713">
        <w:rPr>
          <w:rFonts w:cs="Times New Roman"/>
          <w:szCs w:val="24"/>
        </w:rPr>
        <w:t>.</w:t>
      </w:r>
    </w:p>
    <w:p w14:paraId="4276A4B6" w14:textId="77777777" w:rsidR="000E6B3D" w:rsidRPr="005E0713" w:rsidRDefault="000E6B3D" w:rsidP="000E6B3D">
      <w:pPr>
        <w:pStyle w:val="ParaNoNdepar-AltN"/>
        <w:tabs>
          <w:tab w:val="clear" w:pos="1152"/>
          <w:tab w:val="left" w:pos="1166"/>
        </w:tabs>
        <w:rPr>
          <w:rFonts w:cs="Times New Roman"/>
          <w:szCs w:val="24"/>
        </w:rPr>
      </w:pPr>
      <w:r w:rsidRPr="005E0713">
        <w:rPr>
          <w:rFonts w:cs="Times New Roman"/>
          <w:szCs w:val="24"/>
        </w:rPr>
        <w:lastRenderedPageBreak/>
        <w:t xml:space="preserve">Dans l’arrêt </w:t>
      </w:r>
      <w:r w:rsidRPr="005E0713">
        <w:rPr>
          <w:rFonts w:cs="Times New Roman"/>
          <w:i/>
          <w:szCs w:val="24"/>
        </w:rPr>
        <w:t>Lacasse</w:t>
      </w:r>
      <w:r w:rsidRPr="005E0713">
        <w:rPr>
          <w:rFonts w:cs="Times New Roman"/>
          <w:szCs w:val="24"/>
        </w:rPr>
        <w:t xml:space="preserve">, la Cour a réitéré que les tribunaux doivent tenir compte de la période </w:t>
      </w:r>
      <w:proofErr w:type="spellStart"/>
      <w:r w:rsidRPr="005E0713">
        <w:rPr>
          <w:rFonts w:cs="Times New Roman"/>
          <w:szCs w:val="24"/>
        </w:rPr>
        <w:t>présentencielle</w:t>
      </w:r>
      <w:proofErr w:type="spellEnd"/>
      <w:r w:rsidRPr="005E0713">
        <w:rPr>
          <w:rFonts w:cs="Times New Roman"/>
          <w:szCs w:val="24"/>
        </w:rPr>
        <w:t xml:space="preserve"> de l’interdiction de conduire dans l’exercice de leur pouvoir discrétionnaire d’accorder un crédit (par. 111</w:t>
      </w:r>
      <w:r w:rsidRPr="005E0713">
        <w:rPr>
          <w:rFonts w:cs="Times New Roman"/>
          <w:szCs w:val="24"/>
        </w:rPr>
        <w:noBreakHyphen/>
        <w:t>114, le juge Wagner; voir aussi par. 176</w:t>
      </w:r>
      <w:r w:rsidRPr="005E0713">
        <w:rPr>
          <w:rFonts w:cs="Times New Roman"/>
          <w:szCs w:val="24"/>
        </w:rPr>
        <w:noBreakHyphen/>
        <w:t xml:space="preserve">178, le juge Gascon, dissident, mais pas sur ce point). Il est vrai que l’arrêt </w:t>
      </w:r>
      <w:r w:rsidRPr="005E0713">
        <w:rPr>
          <w:rFonts w:cs="Times New Roman"/>
          <w:i/>
          <w:szCs w:val="24"/>
        </w:rPr>
        <w:t>Lacasse</w:t>
      </w:r>
      <w:r w:rsidRPr="005E0713">
        <w:rPr>
          <w:rFonts w:cs="Times New Roman"/>
          <w:szCs w:val="24"/>
        </w:rPr>
        <w:t xml:space="preserve"> ne concernait</w:t>
      </w:r>
      <w:r w:rsidRPr="005E0713">
        <w:rPr>
          <w:rFonts w:cs="Times New Roman"/>
        </w:rPr>
        <w:t xml:space="preserve"> pas</w:t>
      </w:r>
      <w:r w:rsidRPr="005E0713">
        <w:rPr>
          <w:rFonts w:cs="Times New Roman"/>
          <w:szCs w:val="24"/>
        </w:rPr>
        <w:t xml:space="preserve"> une peine minimale obligatoire et que, conformément à l’al. 259(</w:t>
      </w:r>
      <w:proofErr w:type="gramStart"/>
      <w:r w:rsidRPr="005E0713">
        <w:rPr>
          <w:rFonts w:cs="Times New Roman"/>
          <w:szCs w:val="24"/>
        </w:rPr>
        <w:t>2)a.</w:t>
      </w:r>
      <w:proofErr w:type="gramEnd"/>
      <w:r w:rsidRPr="005E0713">
        <w:rPr>
          <w:rFonts w:cs="Times New Roman"/>
          <w:szCs w:val="24"/>
        </w:rPr>
        <w:t xml:space="preserve">1) </w:t>
      </w:r>
      <w:r w:rsidRPr="005E0713">
        <w:rPr>
          <w:rFonts w:cs="Times New Roman"/>
          <w:i/>
          <w:szCs w:val="24"/>
        </w:rPr>
        <w:t>C. </w:t>
      </w:r>
      <w:proofErr w:type="spellStart"/>
      <w:r w:rsidRPr="005E0713">
        <w:rPr>
          <w:rFonts w:cs="Times New Roman"/>
          <w:i/>
          <w:szCs w:val="24"/>
        </w:rPr>
        <w:t>cr</w:t>
      </w:r>
      <w:proofErr w:type="spellEnd"/>
      <w:r w:rsidRPr="005E0713">
        <w:rPr>
          <w:rFonts w:cs="Times New Roman"/>
          <w:i/>
          <w:szCs w:val="24"/>
        </w:rPr>
        <w:t>.</w:t>
      </w:r>
      <w:r w:rsidRPr="005E0713">
        <w:rPr>
          <w:rFonts w:cs="Times New Roman"/>
          <w:szCs w:val="24"/>
        </w:rPr>
        <w:t>, la sentence avait commencé au terme de l’incarcération du contrevenant. Toutefois, cet arrêt peut nous guider en l’espèce, avec les adaptations nécessaires.</w:t>
      </w:r>
    </w:p>
    <w:p w14:paraId="5C99B72D" w14:textId="77777777" w:rsidR="000E6B3D" w:rsidRPr="005E0713" w:rsidRDefault="000E6B3D" w:rsidP="000E6B3D">
      <w:pPr>
        <w:pStyle w:val="ParaNoNdepar-AltN"/>
        <w:tabs>
          <w:tab w:val="clear" w:pos="1152"/>
          <w:tab w:val="left" w:pos="1166"/>
        </w:tabs>
        <w:rPr>
          <w:rFonts w:cs="Times New Roman"/>
          <w:szCs w:val="24"/>
        </w:rPr>
      </w:pPr>
      <w:r w:rsidRPr="005E0713">
        <w:rPr>
          <w:rFonts w:cs="Times New Roman"/>
          <w:szCs w:val="24"/>
        </w:rPr>
        <w:t xml:space="preserve">L’octroi d’un tel crédit est ancré dans la </w:t>
      </w:r>
      <w:proofErr w:type="spellStart"/>
      <w:r w:rsidRPr="005E0713">
        <w:rPr>
          <w:rFonts w:cs="Times New Roman"/>
          <w:szCs w:val="24"/>
        </w:rPr>
        <w:t>common</w:t>
      </w:r>
      <w:proofErr w:type="spellEnd"/>
      <w:r w:rsidRPr="005E0713">
        <w:rPr>
          <w:rFonts w:cs="Times New Roman"/>
          <w:szCs w:val="24"/>
        </w:rPr>
        <w:t xml:space="preserve"> </w:t>
      </w:r>
      <w:proofErr w:type="spellStart"/>
      <w:r w:rsidRPr="005E0713">
        <w:rPr>
          <w:rFonts w:cs="Times New Roman"/>
          <w:szCs w:val="24"/>
        </w:rPr>
        <w:t>law</w:t>
      </w:r>
      <w:proofErr w:type="spellEnd"/>
      <w:r w:rsidRPr="005E0713">
        <w:rPr>
          <w:rFonts w:cs="Times New Roman"/>
          <w:szCs w:val="24"/>
        </w:rPr>
        <w:t>; il s’agit d’une manifestation, dans le contexte de l’interdiction de conduire, de ce que la juge </w:t>
      </w:r>
      <w:proofErr w:type="spellStart"/>
      <w:r w:rsidRPr="005E0713">
        <w:rPr>
          <w:rFonts w:cs="Times New Roman"/>
          <w:szCs w:val="24"/>
        </w:rPr>
        <w:t>Arbour</w:t>
      </w:r>
      <w:proofErr w:type="spellEnd"/>
      <w:r w:rsidRPr="005E0713">
        <w:rPr>
          <w:rFonts w:cs="Times New Roman"/>
          <w:szCs w:val="24"/>
        </w:rPr>
        <w:t xml:space="preserve"> a qualifié de « pratique bien établie qu’appliquaient les juges déterminant la peine et qui consistait à prendre en compte la période passée sous garde par le délinquant » (</w:t>
      </w:r>
      <w:proofErr w:type="spellStart"/>
      <w:r w:rsidRPr="005E0713">
        <w:rPr>
          <w:rFonts w:cs="Times New Roman"/>
          <w:i/>
          <w:szCs w:val="24"/>
        </w:rPr>
        <w:t>Wust</w:t>
      </w:r>
      <w:proofErr w:type="spellEnd"/>
      <w:r w:rsidRPr="005E0713">
        <w:rPr>
          <w:rFonts w:cs="Times New Roman"/>
          <w:szCs w:val="24"/>
        </w:rPr>
        <w:t xml:space="preserve">, par. 31). Pour reprendre la description du juge </w:t>
      </w:r>
      <w:proofErr w:type="spellStart"/>
      <w:r w:rsidRPr="005E0713">
        <w:rPr>
          <w:rFonts w:cs="Times New Roman"/>
          <w:szCs w:val="24"/>
        </w:rPr>
        <w:t>Paciocco</w:t>
      </w:r>
      <w:proofErr w:type="spellEnd"/>
      <w:r w:rsidRPr="005E0713">
        <w:rPr>
          <w:rFonts w:cs="Times New Roman"/>
          <w:szCs w:val="24"/>
        </w:rPr>
        <w:t xml:space="preserve">, maintenant juge de la Cour d’appel, cette règle fait partie des </w:t>
      </w:r>
      <w:r w:rsidRPr="005E0713">
        <w:rPr>
          <w:rFonts w:cs="Times New Roman"/>
        </w:rPr>
        <w:t>[</w:t>
      </w:r>
      <w:r w:rsidRPr="005E0713">
        <w:rPr>
          <w:rFonts w:cs="Times New Roman"/>
          <w:smallCaps/>
        </w:rPr>
        <w:t>traduction</w:t>
      </w:r>
      <w:r w:rsidRPr="005E0713">
        <w:rPr>
          <w:rFonts w:cs="Times New Roman"/>
        </w:rPr>
        <w:t xml:space="preserve">] </w:t>
      </w:r>
      <w:r w:rsidRPr="005E0713">
        <w:rPr>
          <w:rFonts w:cs="Times New Roman"/>
          <w:szCs w:val="24"/>
        </w:rPr>
        <w:t xml:space="preserve">« principes centraux de la détermination de la peine non exprimés législativement mais toujours bien vivants au titre de </w:t>
      </w:r>
      <w:r w:rsidRPr="005E0713">
        <w:rPr>
          <w:rFonts w:cs="Times New Roman"/>
        </w:rPr>
        <w:t>“principes généraux de la détermination de la peine”</w:t>
      </w:r>
      <w:r w:rsidRPr="005E0713">
        <w:rPr>
          <w:rFonts w:cs="Times New Roman"/>
          <w:szCs w:val="24"/>
        </w:rPr>
        <w:t> » (</w:t>
      </w:r>
      <w:r w:rsidRPr="005E0713">
        <w:rPr>
          <w:rFonts w:cs="Times New Roman"/>
          <w:i/>
          <w:szCs w:val="24"/>
        </w:rPr>
        <w:t>R. c. Pham</w:t>
      </w:r>
      <w:r w:rsidRPr="005E0713">
        <w:rPr>
          <w:rFonts w:cs="Times New Roman"/>
          <w:szCs w:val="24"/>
        </w:rPr>
        <w:t xml:space="preserve">, 2013 ONCJ 635, 296 C.R.R. (2d) 178, par. 18). Comme l’a souligné subséquemment </w:t>
      </w:r>
      <w:r w:rsidRPr="005E0713">
        <w:rPr>
          <w:rFonts w:cs="Times New Roman"/>
        </w:rPr>
        <w:t>le juge Wagner</w:t>
      </w:r>
      <w:r w:rsidRPr="005E0713">
        <w:rPr>
          <w:rFonts w:cs="Times New Roman"/>
          <w:szCs w:val="24"/>
        </w:rPr>
        <w:t xml:space="preserve"> dans l’arrêt </w:t>
      </w:r>
      <w:r w:rsidRPr="005E0713">
        <w:rPr>
          <w:rFonts w:cs="Times New Roman"/>
          <w:i/>
          <w:szCs w:val="24"/>
        </w:rPr>
        <w:t>Lacasse</w:t>
      </w:r>
      <w:r w:rsidRPr="005E0713">
        <w:rPr>
          <w:rFonts w:cs="Times New Roman"/>
          <w:szCs w:val="24"/>
        </w:rPr>
        <w:t>, ce principe n’a pas fait l’objet d’une codification. Alors qu</w:t>
      </w:r>
      <w:r w:rsidRPr="005E0713">
        <w:rPr>
          <w:rFonts w:cs="Times New Roman"/>
        </w:rPr>
        <w:t>e</w:t>
      </w:r>
      <w:r w:rsidRPr="005E0713">
        <w:rPr>
          <w:rFonts w:cs="Times New Roman"/>
          <w:szCs w:val="24"/>
        </w:rPr>
        <w:t xml:space="preserve"> </w:t>
      </w:r>
      <w:r w:rsidRPr="005E0713">
        <w:rPr>
          <w:rFonts w:cs="Times New Roman"/>
        </w:rPr>
        <w:t>le</w:t>
      </w:r>
      <w:r w:rsidRPr="005E0713">
        <w:rPr>
          <w:rFonts w:cs="Times New Roman"/>
          <w:szCs w:val="24"/>
        </w:rPr>
        <w:t xml:space="preserve"> principe permettant l’octroi d’un crédit a été codifié au </w:t>
      </w:r>
      <w:proofErr w:type="spellStart"/>
      <w:r w:rsidRPr="005E0713">
        <w:rPr>
          <w:rFonts w:cs="Times New Roman"/>
          <w:szCs w:val="24"/>
        </w:rPr>
        <w:t>par</w:t>
      </w:r>
      <w:proofErr w:type="spellEnd"/>
      <w:r w:rsidRPr="005E0713">
        <w:rPr>
          <w:rFonts w:cs="Times New Roman"/>
          <w:szCs w:val="24"/>
        </w:rPr>
        <w:t xml:space="preserve">. 719(3) </w:t>
      </w:r>
      <w:r w:rsidRPr="005E0713">
        <w:rPr>
          <w:rFonts w:cs="Times New Roman"/>
          <w:i/>
          <w:szCs w:val="24"/>
        </w:rPr>
        <w:t>C. </w:t>
      </w:r>
      <w:proofErr w:type="spellStart"/>
      <w:r w:rsidRPr="005E0713">
        <w:rPr>
          <w:rFonts w:cs="Times New Roman"/>
          <w:i/>
          <w:szCs w:val="24"/>
        </w:rPr>
        <w:t>cr</w:t>
      </w:r>
      <w:proofErr w:type="spellEnd"/>
      <w:r w:rsidRPr="005E0713">
        <w:rPr>
          <w:rFonts w:cs="Times New Roman"/>
          <w:i/>
          <w:szCs w:val="24"/>
        </w:rPr>
        <w:t>.</w:t>
      </w:r>
      <w:r w:rsidRPr="005E0713">
        <w:rPr>
          <w:rFonts w:cs="Times New Roman"/>
          <w:szCs w:val="24"/>
        </w:rPr>
        <w:t xml:space="preserve"> </w:t>
      </w:r>
      <w:proofErr w:type="gramStart"/>
      <w:r w:rsidRPr="005E0713">
        <w:rPr>
          <w:rFonts w:cs="Times New Roman"/>
        </w:rPr>
        <w:t>en</w:t>
      </w:r>
      <w:proofErr w:type="gramEnd"/>
      <w:r w:rsidRPr="005E0713">
        <w:rPr>
          <w:rFonts w:cs="Times New Roman"/>
        </w:rPr>
        <w:t xml:space="preserve"> matière de détention </w:t>
      </w:r>
      <w:proofErr w:type="spellStart"/>
      <w:r w:rsidRPr="005E0713">
        <w:rPr>
          <w:rFonts w:cs="Times New Roman"/>
        </w:rPr>
        <w:t>présentencielle</w:t>
      </w:r>
      <w:proofErr w:type="spellEnd"/>
      <w:r w:rsidRPr="005E0713">
        <w:rPr>
          <w:rFonts w:cs="Times New Roman"/>
          <w:szCs w:val="24"/>
        </w:rPr>
        <w:t xml:space="preserve">, </w:t>
      </w:r>
      <w:r w:rsidRPr="005E0713">
        <w:rPr>
          <w:rFonts w:cs="Times New Roman"/>
        </w:rPr>
        <w:t>cette di</w:t>
      </w:r>
      <w:r w:rsidRPr="005E0713">
        <w:rPr>
          <w:rFonts w:cs="Times New Roman"/>
          <w:szCs w:val="24"/>
        </w:rPr>
        <w:t xml:space="preserve">sposition n’a aucun équivalent législatif en matière de prohibition </w:t>
      </w:r>
      <w:proofErr w:type="spellStart"/>
      <w:r w:rsidRPr="005E0713">
        <w:rPr>
          <w:rFonts w:cs="Times New Roman"/>
          <w:szCs w:val="24"/>
        </w:rPr>
        <w:t>présentencielle</w:t>
      </w:r>
      <w:proofErr w:type="spellEnd"/>
      <w:r w:rsidRPr="005E0713">
        <w:rPr>
          <w:rFonts w:cs="Times New Roman"/>
          <w:szCs w:val="24"/>
        </w:rPr>
        <w:t xml:space="preserve"> de conduire. L’intimé soutient ici que le principe auquel la Cour fait référence dans l’arrêt </w:t>
      </w:r>
      <w:r w:rsidRPr="005E0713">
        <w:rPr>
          <w:rFonts w:cs="Times New Roman"/>
          <w:i/>
          <w:szCs w:val="24"/>
        </w:rPr>
        <w:t>Lacasse</w:t>
      </w:r>
      <w:r w:rsidRPr="005E0713">
        <w:rPr>
          <w:rFonts w:cs="Times New Roman"/>
          <w:szCs w:val="24"/>
        </w:rPr>
        <w:t xml:space="preserve"> a été écarté par l’adoption </w:t>
      </w:r>
      <w:r w:rsidRPr="005E0713">
        <w:rPr>
          <w:rFonts w:cs="Times New Roman"/>
          <w:szCs w:val="24"/>
        </w:rPr>
        <w:lastRenderedPageBreak/>
        <w:t>par le Parlement de la peine minimale obligatoire, une considération étrangère aux faits de cette dernière affaire.</w:t>
      </w:r>
    </w:p>
    <w:p w14:paraId="10152A1E" w14:textId="77777777" w:rsidR="000E6B3D" w:rsidRPr="005E0713" w:rsidRDefault="000E6B3D" w:rsidP="000E6B3D">
      <w:pPr>
        <w:pStyle w:val="ParaNoNdepar-AltN"/>
        <w:tabs>
          <w:tab w:val="clear" w:pos="1152"/>
          <w:tab w:val="left" w:pos="1166"/>
        </w:tabs>
        <w:rPr>
          <w:rFonts w:cs="Times New Roman"/>
          <w:szCs w:val="24"/>
        </w:rPr>
      </w:pPr>
      <w:r w:rsidRPr="005E0713">
        <w:rPr>
          <w:rFonts w:cs="Times New Roman"/>
          <w:szCs w:val="24"/>
        </w:rPr>
        <w:t xml:space="preserve">L’interaction entre la législation et la </w:t>
      </w:r>
      <w:proofErr w:type="spellStart"/>
      <w:r w:rsidRPr="005E0713">
        <w:rPr>
          <w:rFonts w:cs="Times New Roman"/>
          <w:szCs w:val="24"/>
        </w:rPr>
        <w:t>common</w:t>
      </w:r>
      <w:proofErr w:type="spellEnd"/>
      <w:r w:rsidRPr="005E0713">
        <w:rPr>
          <w:rFonts w:cs="Times New Roman"/>
          <w:szCs w:val="24"/>
        </w:rPr>
        <w:t xml:space="preserve"> </w:t>
      </w:r>
      <w:proofErr w:type="spellStart"/>
      <w:r w:rsidRPr="005E0713">
        <w:rPr>
          <w:rFonts w:cs="Times New Roman"/>
          <w:szCs w:val="24"/>
        </w:rPr>
        <w:t>law</w:t>
      </w:r>
      <w:proofErr w:type="spellEnd"/>
      <w:r w:rsidRPr="005E0713">
        <w:rPr>
          <w:rFonts w:cs="Times New Roman"/>
          <w:szCs w:val="24"/>
        </w:rPr>
        <w:t xml:space="preserve"> en matière de peine est donc au cœur du présent pourvoi.</w:t>
      </w:r>
      <w:r w:rsidRPr="005E0713">
        <w:rPr>
          <w:rFonts w:cs="Times New Roman"/>
          <w:szCs w:val="24"/>
          <w:lang w:val="fr-FR"/>
        </w:rPr>
        <w:t xml:space="preserve"> Le cadre d’analyse en </w:t>
      </w:r>
      <w:proofErr w:type="gramStart"/>
      <w:r w:rsidRPr="005E0713">
        <w:rPr>
          <w:rFonts w:cs="Times New Roman"/>
          <w:szCs w:val="24"/>
          <w:lang w:val="fr-FR"/>
        </w:rPr>
        <w:t>deux étapes relatif</w:t>
      </w:r>
      <w:proofErr w:type="gramEnd"/>
      <w:r w:rsidRPr="005E0713">
        <w:rPr>
          <w:rFonts w:cs="Times New Roman"/>
          <w:szCs w:val="24"/>
          <w:lang w:val="fr-FR"/>
        </w:rPr>
        <w:t xml:space="preserve"> à cette interaction est bien établi. Dans un premier temps, il s’agit d</w:t>
      </w:r>
      <w:proofErr w:type="gramStart"/>
      <w:r w:rsidRPr="005E0713">
        <w:rPr>
          <w:rFonts w:cs="Times New Roman"/>
          <w:szCs w:val="24"/>
          <w:lang w:val="fr-FR"/>
        </w:rPr>
        <w:t>’«</w:t>
      </w:r>
      <w:proofErr w:type="gramEnd"/>
      <w:r w:rsidRPr="005E0713">
        <w:rPr>
          <w:rFonts w:cs="Times New Roman"/>
          <w:szCs w:val="24"/>
          <w:lang w:val="fr-FR"/>
        </w:rPr>
        <w:t> </w:t>
      </w:r>
      <w:r w:rsidRPr="005E0713">
        <w:rPr>
          <w:rFonts w:cs="Times New Roman"/>
          <w:szCs w:val="24"/>
        </w:rPr>
        <w:t xml:space="preserve">analyser, identifier et énoncer la </w:t>
      </w:r>
      <w:proofErr w:type="spellStart"/>
      <w:r w:rsidRPr="005E0713">
        <w:rPr>
          <w:rFonts w:cs="Times New Roman"/>
          <w:szCs w:val="24"/>
        </w:rPr>
        <w:t>common</w:t>
      </w:r>
      <w:proofErr w:type="spellEnd"/>
      <w:r w:rsidRPr="005E0713">
        <w:rPr>
          <w:rFonts w:cs="Times New Roman"/>
          <w:szCs w:val="24"/>
        </w:rPr>
        <w:t xml:space="preserve"> </w:t>
      </w:r>
      <w:proofErr w:type="spellStart"/>
      <w:r w:rsidRPr="005E0713">
        <w:rPr>
          <w:rFonts w:cs="Times New Roman"/>
          <w:szCs w:val="24"/>
        </w:rPr>
        <w:t>law</w:t>
      </w:r>
      <w:proofErr w:type="spellEnd"/>
      <w:r w:rsidRPr="005E0713">
        <w:rPr>
          <w:rFonts w:cs="Times New Roman"/>
          <w:szCs w:val="24"/>
        </w:rPr>
        <w:t xml:space="preserve"> applicable » puis, d</w:t>
      </w:r>
      <w:r w:rsidRPr="005E0713">
        <w:rPr>
          <w:rFonts w:cs="Times New Roman"/>
          <w:szCs w:val="24"/>
          <w:lang w:val="fr-FR"/>
        </w:rPr>
        <w:t>ans un second temp</w:t>
      </w:r>
      <w:r w:rsidRPr="005E0713">
        <w:rPr>
          <w:rFonts w:cs="Times New Roman"/>
          <w:lang w:val="fr-FR"/>
        </w:rPr>
        <w:t>s,</w:t>
      </w:r>
      <w:r w:rsidRPr="005E0713">
        <w:rPr>
          <w:rFonts w:cs="Times New Roman"/>
          <w:szCs w:val="24"/>
          <w:lang w:val="fr-FR"/>
        </w:rPr>
        <w:t xml:space="preserve"> de</w:t>
      </w:r>
      <w:r w:rsidRPr="005E0713">
        <w:rPr>
          <w:rFonts w:cs="Times New Roman"/>
          <w:lang w:val="fr-FR"/>
        </w:rPr>
        <w:t xml:space="preserve"> </w:t>
      </w:r>
      <w:r w:rsidRPr="005E0713">
        <w:rPr>
          <w:rFonts w:cs="Times New Roman"/>
        </w:rPr>
        <w:t>«</w:t>
      </w:r>
      <w:r w:rsidRPr="005E0713">
        <w:rPr>
          <w:rFonts w:cs="Times New Roman"/>
          <w:szCs w:val="24"/>
        </w:rPr>
        <w:t xml:space="preserve"> préciser l’effet du droit statutaire sur la </w:t>
      </w:r>
      <w:proofErr w:type="spellStart"/>
      <w:r w:rsidRPr="005E0713">
        <w:rPr>
          <w:rFonts w:cs="Times New Roman"/>
          <w:szCs w:val="24"/>
        </w:rPr>
        <w:t>common</w:t>
      </w:r>
      <w:proofErr w:type="spellEnd"/>
      <w:r w:rsidRPr="005E0713">
        <w:rPr>
          <w:rFonts w:cs="Times New Roman"/>
          <w:szCs w:val="24"/>
        </w:rPr>
        <w:t xml:space="preserve"> </w:t>
      </w:r>
      <w:proofErr w:type="spellStart"/>
      <w:r w:rsidRPr="005E0713">
        <w:rPr>
          <w:rFonts w:cs="Times New Roman"/>
          <w:szCs w:val="24"/>
        </w:rPr>
        <w:t>law</w:t>
      </w:r>
      <w:proofErr w:type="spellEnd"/>
      <w:r w:rsidRPr="005E0713">
        <w:rPr>
          <w:rFonts w:cs="Times New Roman"/>
          <w:szCs w:val="24"/>
        </w:rPr>
        <w:t> » (</w:t>
      </w:r>
      <w:r w:rsidRPr="005E0713">
        <w:rPr>
          <w:rFonts w:cs="Times New Roman"/>
          <w:i/>
          <w:szCs w:val="24"/>
          <w:lang w:val="fr-FR"/>
        </w:rPr>
        <w:t>2747-3174 Québec Inc. c. Québec (Régie des permis d’alcool)</w:t>
      </w:r>
      <w:r w:rsidRPr="005E0713">
        <w:rPr>
          <w:rFonts w:cs="Times New Roman"/>
          <w:szCs w:val="24"/>
          <w:lang w:val="fr-FR"/>
        </w:rPr>
        <w:t>, [1996] 3 R.C.S. 919, par. 97, la juge L’Heureux</w:t>
      </w:r>
      <w:r w:rsidRPr="005E0713">
        <w:rPr>
          <w:rFonts w:cs="Times New Roman"/>
          <w:szCs w:val="24"/>
          <w:lang w:val="fr-FR"/>
        </w:rPr>
        <w:noBreakHyphen/>
        <w:t xml:space="preserve">Dubé, citant </w:t>
      </w:r>
      <w:proofErr w:type="spellStart"/>
      <w:r w:rsidRPr="005E0713">
        <w:rPr>
          <w:rFonts w:cs="Times New Roman"/>
          <w:i/>
          <w:iCs/>
          <w:szCs w:val="24"/>
        </w:rPr>
        <w:t>Zaidan</w:t>
      </w:r>
      <w:proofErr w:type="spellEnd"/>
      <w:r w:rsidRPr="005E0713">
        <w:rPr>
          <w:rFonts w:cs="Times New Roman"/>
          <w:i/>
          <w:iCs/>
          <w:szCs w:val="24"/>
        </w:rPr>
        <w:t xml:space="preserve"> Group Ltd. c. London (Ville)</w:t>
      </w:r>
      <w:r w:rsidRPr="005E0713">
        <w:rPr>
          <w:rFonts w:cs="Times New Roman"/>
          <w:szCs w:val="24"/>
        </w:rPr>
        <w:t xml:space="preserve">, [1991] 3 R.C.S. 593, et </w:t>
      </w:r>
      <w:r w:rsidRPr="005E0713">
        <w:rPr>
          <w:rFonts w:cs="Times New Roman"/>
          <w:i/>
          <w:iCs/>
          <w:szCs w:val="24"/>
        </w:rPr>
        <w:t>Frame c. Smith</w:t>
      </w:r>
      <w:r w:rsidRPr="005E0713">
        <w:rPr>
          <w:rFonts w:cs="Times New Roman"/>
          <w:szCs w:val="24"/>
        </w:rPr>
        <w:t xml:space="preserve">, [1987] 2 R.C.S. 99; voir aussi </w:t>
      </w:r>
      <w:r w:rsidRPr="005E0713">
        <w:rPr>
          <w:rFonts w:cs="Times New Roman"/>
          <w:i/>
          <w:szCs w:val="24"/>
        </w:rPr>
        <w:t xml:space="preserve">Urban </w:t>
      </w:r>
      <w:proofErr w:type="spellStart"/>
      <w:r w:rsidRPr="005E0713">
        <w:rPr>
          <w:rFonts w:cs="Times New Roman"/>
          <w:i/>
          <w:szCs w:val="24"/>
        </w:rPr>
        <w:t>Mechanical</w:t>
      </w:r>
      <w:proofErr w:type="spellEnd"/>
      <w:r w:rsidRPr="005E0713">
        <w:rPr>
          <w:rFonts w:cs="Times New Roman"/>
          <w:i/>
          <w:szCs w:val="24"/>
        </w:rPr>
        <w:t xml:space="preserve"> </w:t>
      </w:r>
      <w:proofErr w:type="spellStart"/>
      <w:r w:rsidRPr="005E0713">
        <w:rPr>
          <w:rFonts w:cs="Times New Roman"/>
          <w:i/>
          <w:szCs w:val="24"/>
        </w:rPr>
        <w:t>Contracting</w:t>
      </w:r>
      <w:proofErr w:type="spellEnd"/>
      <w:r w:rsidRPr="005E0713">
        <w:rPr>
          <w:rFonts w:cs="Times New Roman"/>
          <w:i/>
          <w:szCs w:val="24"/>
        </w:rPr>
        <w:t xml:space="preserve"> Ltd. c. Zurich </w:t>
      </w:r>
      <w:proofErr w:type="spellStart"/>
      <w:r w:rsidRPr="005E0713">
        <w:rPr>
          <w:rFonts w:cs="Times New Roman"/>
          <w:i/>
          <w:szCs w:val="24"/>
        </w:rPr>
        <w:t>Insurance</w:t>
      </w:r>
      <w:proofErr w:type="spellEnd"/>
      <w:r w:rsidRPr="005E0713">
        <w:rPr>
          <w:rFonts w:cs="Times New Roman"/>
          <w:i/>
          <w:szCs w:val="24"/>
        </w:rPr>
        <w:t xml:space="preserve"> Co.</w:t>
      </w:r>
      <w:r w:rsidRPr="005E0713">
        <w:rPr>
          <w:rFonts w:cs="Times New Roman"/>
          <w:szCs w:val="24"/>
        </w:rPr>
        <w:t>, 2022 ONCA 589, 163 O.R. (3d) 652, par. 45</w:t>
      </w:r>
      <w:r w:rsidRPr="005E0713">
        <w:rPr>
          <w:rFonts w:cs="Times New Roman"/>
          <w:szCs w:val="24"/>
          <w:lang w:val="fr-FR"/>
        </w:rPr>
        <w:t>).</w:t>
      </w:r>
      <w:r w:rsidRPr="005E0713">
        <w:rPr>
          <w:rFonts w:cs="Times New Roman"/>
          <w:szCs w:val="24"/>
        </w:rPr>
        <w:t xml:space="preserve"> Ainsi</w:t>
      </w:r>
      <w:r w:rsidRPr="005E0713">
        <w:rPr>
          <w:rFonts w:cs="Times New Roman"/>
        </w:rPr>
        <w:t>,</w:t>
      </w:r>
      <w:r w:rsidRPr="005E0713">
        <w:rPr>
          <w:rFonts w:cs="Times New Roman"/>
          <w:szCs w:val="24"/>
        </w:rPr>
        <w:t xml:space="preserve"> il s’agit d’abord de déterminer le contenu de la règle de </w:t>
      </w:r>
      <w:proofErr w:type="spellStart"/>
      <w:r w:rsidRPr="005E0713">
        <w:rPr>
          <w:rFonts w:cs="Times New Roman"/>
          <w:szCs w:val="24"/>
        </w:rPr>
        <w:t>common</w:t>
      </w:r>
      <w:proofErr w:type="spellEnd"/>
      <w:r w:rsidRPr="005E0713">
        <w:rPr>
          <w:rFonts w:cs="Times New Roman"/>
          <w:szCs w:val="24"/>
        </w:rPr>
        <w:t xml:space="preserve"> </w:t>
      </w:r>
      <w:proofErr w:type="spellStart"/>
      <w:r w:rsidRPr="005E0713">
        <w:rPr>
          <w:rFonts w:cs="Times New Roman"/>
          <w:szCs w:val="24"/>
        </w:rPr>
        <w:t>law</w:t>
      </w:r>
      <w:proofErr w:type="spellEnd"/>
      <w:r w:rsidRPr="005E0713">
        <w:rPr>
          <w:rFonts w:cs="Times New Roman"/>
          <w:szCs w:val="24"/>
        </w:rPr>
        <w:t xml:space="preserve"> permettant l’octroi d’un crédit dans le cas d’une interdiction </w:t>
      </w:r>
      <w:proofErr w:type="spellStart"/>
      <w:r w:rsidRPr="005E0713">
        <w:rPr>
          <w:rFonts w:cs="Times New Roman"/>
          <w:szCs w:val="24"/>
        </w:rPr>
        <w:t>présentencielle</w:t>
      </w:r>
      <w:proofErr w:type="spellEnd"/>
      <w:r w:rsidRPr="005E0713">
        <w:rPr>
          <w:rFonts w:cs="Times New Roman"/>
          <w:szCs w:val="24"/>
        </w:rPr>
        <w:t xml:space="preserve"> de conduire. Ensuite, il y a lieu d’interpréter l’al. 259(1)a) </w:t>
      </w:r>
      <w:r w:rsidRPr="005E0713">
        <w:rPr>
          <w:rFonts w:cs="Times New Roman"/>
          <w:i/>
          <w:szCs w:val="24"/>
        </w:rPr>
        <w:t>C. </w:t>
      </w:r>
      <w:proofErr w:type="spellStart"/>
      <w:r w:rsidRPr="005E0713">
        <w:rPr>
          <w:rFonts w:cs="Times New Roman"/>
          <w:i/>
          <w:szCs w:val="24"/>
        </w:rPr>
        <w:t>cr</w:t>
      </w:r>
      <w:proofErr w:type="spellEnd"/>
      <w:r w:rsidRPr="005E0713">
        <w:rPr>
          <w:rFonts w:cs="Times New Roman"/>
          <w:i/>
          <w:szCs w:val="24"/>
        </w:rPr>
        <w:t>.</w:t>
      </w:r>
      <w:r w:rsidRPr="005E0713">
        <w:rPr>
          <w:rFonts w:cs="Times New Roman"/>
          <w:szCs w:val="24"/>
        </w:rPr>
        <w:t>, tout en tenant compte du par. 719(3), afin de déterminer si celui</w:t>
      </w:r>
      <w:r w:rsidRPr="005E0713">
        <w:rPr>
          <w:rFonts w:cs="Times New Roman"/>
          <w:szCs w:val="24"/>
        </w:rPr>
        <w:noBreakHyphen/>
        <w:t xml:space="preserve">ci a pour effet de limiter, voire d’écarter la règle de </w:t>
      </w:r>
      <w:proofErr w:type="spellStart"/>
      <w:r w:rsidRPr="005E0713">
        <w:rPr>
          <w:rFonts w:cs="Times New Roman"/>
          <w:szCs w:val="24"/>
        </w:rPr>
        <w:t>common</w:t>
      </w:r>
      <w:proofErr w:type="spellEnd"/>
      <w:r w:rsidRPr="005E0713">
        <w:rPr>
          <w:rFonts w:cs="Times New Roman"/>
          <w:szCs w:val="24"/>
        </w:rPr>
        <w:t xml:space="preserve"> </w:t>
      </w:r>
      <w:proofErr w:type="spellStart"/>
      <w:r w:rsidRPr="005E0713">
        <w:rPr>
          <w:rFonts w:cs="Times New Roman"/>
          <w:szCs w:val="24"/>
        </w:rPr>
        <w:t>law</w:t>
      </w:r>
      <w:proofErr w:type="spellEnd"/>
      <w:r w:rsidRPr="005E0713">
        <w:rPr>
          <w:rFonts w:cs="Times New Roman"/>
          <w:szCs w:val="24"/>
        </w:rPr>
        <w:t>, que ce soit explicitement ou par implication nécessaire.</w:t>
      </w:r>
    </w:p>
    <w:p w14:paraId="16FD828A" w14:textId="77777777" w:rsidR="000E6B3D" w:rsidRPr="005E0713" w:rsidRDefault="000E6B3D" w:rsidP="000E6B3D">
      <w:pPr>
        <w:pStyle w:val="Title3LevelTitre3Niveau"/>
        <w:rPr>
          <w:rFonts w:cs="Times New Roman"/>
          <w:lang w:val="fr-CA"/>
        </w:rPr>
      </w:pPr>
      <w:bookmarkStart w:id="50" w:name="_Toc122713955"/>
      <w:bookmarkStart w:id="51" w:name="_Toc123734883"/>
      <w:bookmarkStart w:id="52" w:name="_Toc123830845"/>
      <w:bookmarkStart w:id="53" w:name="_Toc124075279"/>
      <w:bookmarkStart w:id="54" w:name="_Toc124075335"/>
      <w:r w:rsidRPr="005E0713">
        <w:rPr>
          <w:rFonts w:cs="Times New Roman"/>
          <w:lang w:val="fr-CA"/>
        </w:rPr>
        <w:t xml:space="preserve">La </w:t>
      </w:r>
      <w:proofErr w:type="spellStart"/>
      <w:r w:rsidRPr="005E0713">
        <w:rPr>
          <w:rFonts w:cs="Times New Roman"/>
          <w:lang w:val="fr-CA"/>
        </w:rPr>
        <w:t>common</w:t>
      </w:r>
      <w:proofErr w:type="spellEnd"/>
      <w:r w:rsidRPr="005E0713">
        <w:rPr>
          <w:rFonts w:cs="Times New Roman"/>
          <w:lang w:val="fr-CA"/>
        </w:rPr>
        <w:t xml:space="preserve"> </w:t>
      </w:r>
      <w:proofErr w:type="spellStart"/>
      <w:r w:rsidRPr="005E0713">
        <w:rPr>
          <w:rFonts w:cs="Times New Roman"/>
          <w:lang w:val="fr-CA"/>
        </w:rPr>
        <w:t>law</w:t>
      </w:r>
      <w:proofErr w:type="spellEnd"/>
      <w:r w:rsidRPr="005E0713">
        <w:rPr>
          <w:rFonts w:cs="Times New Roman"/>
          <w:lang w:val="fr-CA"/>
        </w:rPr>
        <w:t xml:space="preserve"> permet d’accorder un crédit pour une interdiction </w:t>
      </w:r>
      <w:proofErr w:type="spellStart"/>
      <w:r w:rsidRPr="005E0713">
        <w:rPr>
          <w:rFonts w:cs="Times New Roman"/>
          <w:lang w:val="fr-CA"/>
        </w:rPr>
        <w:t>présentencielle</w:t>
      </w:r>
      <w:proofErr w:type="spellEnd"/>
      <w:r w:rsidRPr="005E0713">
        <w:rPr>
          <w:rFonts w:cs="Times New Roman"/>
          <w:lang w:val="fr-CA"/>
        </w:rPr>
        <w:t xml:space="preserve"> de conduire</w:t>
      </w:r>
      <w:bookmarkEnd w:id="50"/>
      <w:bookmarkEnd w:id="51"/>
      <w:bookmarkEnd w:id="52"/>
      <w:bookmarkEnd w:id="53"/>
      <w:bookmarkEnd w:id="54"/>
    </w:p>
    <w:p w14:paraId="1685A01B" w14:textId="77777777" w:rsidR="000E6B3D" w:rsidRPr="005E0713" w:rsidRDefault="000E6B3D" w:rsidP="000E6B3D">
      <w:pPr>
        <w:pStyle w:val="ParaNoNdepar-AltN"/>
        <w:tabs>
          <w:tab w:val="clear" w:pos="1152"/>
          <w:tab w:val="left" w:pos="1166"/>
        </w:tabs>
        <w:rPr>
          <w:rFonts w:cs="Times New Roman"/>
        </w:rPr>
      </w:pPr>
      <w:bookmarkStart w:id="55" w:name="_Toc123734884"/>
      <w:bookmarkEnd w:id="55"/>
      <w:r w:rsidRPr="005E0713">
        <w:rPr>
          <w:rFonts w:cs="Times New Roman"/>
        </w:rPr>
        <w:t xml:space="preserve">Il est bien établi que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permet aux tribunaux d’accorder un crédit pour une interdiction </w:t>
      </w:r>
      <w:proofErr w:type="spellStart"/>
      <w:r w:rsidRPr="005E0713">
        <w:rPr>
          <w:rFonts w:cs="Times New Roman"/>
        </w:rPr>
        <w:t>présentencielle</w:t>
      </w:r>
      <w:proofErr w:type="spellEnd"/>
      <w:r w:rsidRPr="005E0713">
        <w:rPr>
          <w:rFonts w:cs="Times New Roman"/>
        </w:rPr>
        <w:t xml:space="preserve"> de conduire subie par un contrevenant (voir, p. ex., </w:t>
      </w:r>
      <w:r w:rsidRPr="005E0713">
        <w:rPr>
          <w:rFonts w:cs="Times New Roman"/>
          <w:i/>
        </w:rPr>
        <w:t xml:space="preserve">R. c. </w:t>
      </w:r>
      <w:proofErr w:type="spellStart"/>
      <w:r w:rsidRPr="005E0713">
        <w:rPr>
          <w:rFonts w:cs="Times New Roman"/>
          <w:i/>
        </w:rPr>
        <w:t>Goulding</w:t>
      </w:r>
      <w:proofErr w:type="spellEnd"/>
      <w:r w:rsidRPr="005E0713">
        <w:rPr>
          <w:rFonts w:cs="Times New Roman"/>
        </w:rPr>
        <w:t xml:space="preserve"> (1987), 81 N.S.R. (2d) 158 (C.S. (Div. app.))</w:t>
      </w:r>
      <w:r w:rsidRPr="005E0713">
        <w:rPr>
          <w:rFonts w:cs="Times New Roman"/>
          <w:lang w:bidi="en-US"/>
        </w:rPr>
        <w:t xml:space="preserve">; </w:t>
      </w:r>
      <w:r w:rsidRPr="005E0713">
        <w:rPr>
          <w:rFonts w:cs="Times New Roman"/>
          <w:i/>
          <w:lang w:bidi="en-US"/>
        </w:rPr>
        <w:t xml:space="preserve">R. c. </w:t>
      </w:r>
      <w:proofErr w:type="spellStart"/>
      <w:r w:rsidRPr="005E0713">
        <w:rPr>
          <w:rFonts w:cs="Times New Roman"/>
          <w:i/>
          <w:lang w:bidi="en-US"/>
        </w:rPr>
        <w:t>Pellicore</w:t>
      </w:r>
      <w:proofErr w:type="spellEnd"/>
      <w:r w:rsidRPr="005E0713">
        <w:rPr>
          <w:rFonts w:cs="Times New Roman"/>
          <w:lang w:bidi="en-US"/>
        </w:rPr>
        <w:t xml:space="preserve">, </w:t>
      </w:r>
      <w:r w:rsidRPr="005E0713">
        <w:rPr>
          <w:rFonts w:cs="Times New Roman"/>
          <w:lang w:bidi="en-US"/>
        </w:rPr>
        <w:lastRenderedPageBreak/>
        <w:t xml:space="preserve">[1997] O.J. No. 226 (QL), 1997 </w:t>
      </w:r>
      <w:proofErr w:type="spellStart"/>
      <w:r w:rsidRPr="005E0713">
        <w:rPr>
          <w:rFonts w:cs="Times New Roman"/>
          <w:lang w:bidi="en-US"/>
        </w:rPr>
        <w:t>CarswellOnt</w:t>
      </w:r>
      <w:proofErr w:type="spellEnd"/>
      <w:r w:rsidRPr="005E0713">
        <w:rPr>
          <w:rFonts w:cs="Times New Roman"/>
          <w:lang w:bidi="en-US"/>
        </w:rPr>
        <w:t xml:space="preserve"> 246 (WL) (C.A.); </w:t>
      </w:r>
      <w:r w:rsidRPr="005E0713">
        <w:rPr>
          <w:rFonts w:cs="Times New Roman"/>
          <w:i/>
          <w:lang w:bidi="en-US"/>
        </w:rPr>
        <w:t>R. c. Williams</w:t>
      </w:r>
      <w:r w:rsidRPr="005E0713">
        <w:rPr>
          <w:rFonts w:cs="Times New Roman"/>
          <w:lang w:bidi="en-US"/>
        </w:rPr>
        <w:t>, 2009 NBCP 16, 346 R.N.</w:t>
      </w:r>
      <w:r w:rsidRPr="005E0713">
        <w:rPr>
          <w:rFonts w:cs="Times New Roman"/>
          <w:lang w:bidi="en-US"/>
        </w:rPr>
        <w:noBreakHyphen/>
        <w:t>B. (2e) 164;</w:t>
      </w:r>
      <w:r w:rsidRPr="005E0713">
        <w:rPr>
          <w:rFonts w:cs="Times New Roman"/>
          <w:i/>
          <w:lang w:bidi="en-US"/>
        </w:rPr>
        <w:t xml:space="preserve"> Bilodeau c. R.</w:t>
      </w:r>
      <w:r w:rsidRPr="005E0713">
        <w:rPr>
          <w:rFonts w:cs="Times New Roman"/>
          <w:lang w:bidi="en-US"/>
        </w:rPr>
        <w:t xml:space="preserve">, 2013 QCCA 980; </w:t>
      </w:r>
      <w:r w:rsidRPr="005E0713">
        <w:rPr>
          <w:rFonts w:cs="Times New Roman"/>
          <w:i/>
          <w:lang w:bidi="en-US"/>
        </w:rPr>
        <w:t>Lacasse</w:t>
      </w:r>
      <w:r w:rsidRPr="005E0713">
        <w:rPr>
          <w:rFonts w:cs="Times New Roman"/>
          <w:lang w:bidi="en-US"/>
        </w:rPr>
        <w:t xml:space="preserve">). </w:t>
      </w:r>
      <w:r w:rsidRPr="005E0713">
        <w:rPr>
          <w:rFonts w:cs="Times New Roman"/>
        </w:rPr>
        <w:t xml:space="preserve">Ce pouvoir discrétionnaire fondé sur la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est l’extension naturelle d’un principe analogue en matière de détention </w:t>
      </w:r>
      <w:proofErr w:type="spellStart"/>
      <w:r w:rsidRPr="005E0713">
        <w:rPr>
          <w:rFonts w:cs="Times New Roman"/>
        </w:rPr>
        <w:t>présentencielle</w:t>
      </w:r>
      <w:proofErr w:type="spellEnd"/>
      <w:r w:rsidRPr="005E0713">
        <w:rPr>
          <w:rFonts w:cs="Times New Roman"/>
        </w:rPr>
        <w:t>. Les tribunaux ont</w:t>
      </w:r>
      <w:r w:rsidRPr="005E0713">
        <w:rPr>
          <w:rFonts w:cs="Times New Roman"/>
          <w:lang w:bidi="en-US"/>
        </w:rPr>
        <w:t xml:space="preserve"> reconnu de longue date </w:t>
      </w:r>
      <w:r w:rsidRPr="005E0713">
        <w:rPr>
          <w:rFonts w:cs="Times New Roman"/>
        </w:rPr>
        <w:t>qu’il est possible de [</w:t>
      </w:r>
      <w:r w:rsidRPr="005E0713">
        <w:rPr>
          <w:rFonts w:cs="Times New Roman"/>
          <w:smallCaps/>
        </w:rPr>
        <w:t>traduction</w:t>
      </w:r>
      <w:r w:rsidRPr="005E0713">
        <w:rPr>
          <w:rFonts w:cs="Times New Roman"/>
        </w:rPr>
        <w:t xml:space="preserve">] </w:t>
      </w:r>
      <w:r w:rsidRPr="005E0713">
        <w:rPr>
          <w:rFonts w:cs="Times New Roman"/>
          <w:lang w:bidi="en-US"/>
        </w:rPr>
        <w:t>« tenir compte, dans l’infliction de la peine, de toute période d’incarcération que l’accusé a déjà purgée entre la date de son arrestation et celle du prononcé de sa</w:t>
      </w:r>
      <w:r w:rsidRPr="005E0713">
        <w:rPr>
          <w:rFonts w:cs="Times New Roman"/>
        </w:rPr>
        <w:t xml:space="preserve"> sentence » (</w:t>
      </w:r>
      <w:r w:rsidRPr="005E0713">
        <w:rPr>
          <w:rFonts w:cs="Times New Roman"/>
          <w:i/>
        </w:rPr>
        <w:t>R. c. Sloan</w:t>
      </w:r>
      <w:r w:rsidRPr="005E0713">
        <w:rPr>
          <w:rFonts w:cs="Times New Roman"/>
        </w:rPr>
        <w:t xml:space="preserve"> (1947), 87 C.C.C. 198 (C.A. Ont.), p. 198</w:t>
      </w:r>
      <w:r w:rsidRPr="005E0713">
        <w:rPr>
          <w:rFonts w:cs="Times New Roman"/>
        </w:rPr>
        <w:noBreakHyphen/>
        <w:t xml:space="preserve">199, citant </w:t>
      </w:r>
      <w:r w:rsidRPr="005E0713">
        <w:rPr>
          <w:rFonts w:cs="Times New Roman"/>
          <w:i/>
        </w:rPr>
        <w:t xml:space="preserve">R. c. Patterson </w:t>
      </w:r>
      <w:r w:rsidRPr="005E0713">
        <w:rPr>
          <w:rFonts w:cs="Times New Roman"/>
        </w:rPr>
        <w:t>(1946), 87 C.C.C. 86 (C.A. Ont</w:t>
      </w:r>
      <w:r w:rsidRPr="005E0713">
        <w:rPr>
          <w:rFonts w:cs="Times New Roman"/>
          <w:lang w:bidi="en-US"/>
        </w:rPr>
        <w:t>.)).</w:t>
      </w:r>
    </w:p>
    <w:p w14:paraId="1F5BF996"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Le principe autorisant l’octroi d’un crédit en matière de détention </w:t>
      </w:r>
      <w:proofErr w:type="spellStart"/>
      <w:r w:rsidRPr="005E0713">
        <w:rPr>
          <w:rFonts w:cs="Times New Roman"/>
        </w:rPr>
        <w:t>présentencielle</w:t>
      </w:r>
      <w:proofErr w:type="spellEnd"/>
      <w:r w:rsidRPr="005E0713">
        <w:rPr>
          <w:rFonts w:cs="Times New Roman"/>
        </w:rPr>
        <w:t xml:space="preserve"> permet de pallier certaines injustices découlant de l’application du principe interdisant d’antidater une sentence, aujourd’hui codifié au </w:t>
      </w:r>
      <w:proofErr w:type="spellStart"/>
      <w:r w:rsidRPr="005E0713">
        <w:rPr>
          <w:rFonts w:cs="Times New Roman"/>
        </w:rPr>
        <w:t>par</w:t>
      </w:r>
      <w:proofErr w:type="spellEnd"/>
      <w:r w:rsidRPr="005E0713">
        <w:rPr>
          <w:rFonts w:cs="Times New Roman"/>
        </w:rPr>
        <w:t xml:space="preserve">. 719(1). En effet, bien que le droit canadien ne permette pas aux tribunaux d’antidater une sentence afin de la réduire, ceux-ci peuvent néanmoins considérer le temps passé en détention </w:t>
      </w:r>
      <w:proofErr w:type="spellStart"/>
      <w:r w:rsidRPr="005E0713">
        <w:rPr>
          <w:rFonts w:cs="Times New Roman"/>
        </w:rPr>
        <w:t>présentencielle</w:t>
      </w:r>
      <w:proofErr w:type="spellEnd"/>
      <w:r w:rsidRPr="005E0713">
        <w:rPr>
          <w:rFonts w:cs="Times New Roman"/>
        </w:rPr>
        <w:t xml:space="preserve"> dans le calcul de la période devant être purgée par le contrevenant de façon prospective (</w:t>
      </w:r>
      <w:r w:rsidRPr="005E0713">
        <w:rPr>
          <w:rFonts w:cs="Times New Roman"/>
          <w:i/>
          <w:lang w:bidi="en-US"/>
        </w:rPr>
        <w:t>Sloan</w:t>
      </w:r>
      <w:r w:rsidRPr="005E0713">
        <w:rPr>
          <w:rFonts w:cs="Times New Roman"/>
          <w:lang w:bidi="en-US"/>
        </w:rPr>
        <w:t>, p. 198</w:t>
      </w:r>
      <w:r w:rsidRPr="005E0713">
        <w:rPr>
          <w:rFonts w:cs="Times New Roman"/>
          <w:lang w:bidi="en-US"/>
        </w:rPr>
        <w:noBreakHyphen/>
        <w:t>199; voir aussi</w:t>
      </w:r>
      <w:r w:rsidRPr="005E0713">
        <w:rPr>
          <w:rFonts w:cs="Times New Roman"/>
        </w:rPr>
        <w:t xml:space="preserve"> </w:t>
      </w:r>
      <w:r w:rsidRPr="005E0713">
        <w:rPr>
          <w:rFonts w:cs="Times New Roman"/>
          <w:i/>
          <w:lang w:bidi="en-US"/>
        </w:rPr>
        <w:t>Patterson</w:t>
      </w:r>
      <w:r w:rsidRPr="005E0713">
        <w:rPr>
          <w:rFonts w:cs="Times New Roman"/>
          <w:lang w:bidi="en-US"/>
        </w:rPr>
        <w:t xml:space="preserve">; </w:t>
      </w:r>
      <w:r w:rsidRPr="005E0713">
        <w:rPr>
          <w:rFonts w:cs="Times New Roman"/>
          <w:i/>
        </w:rPr>
        <w:t>R. c. Wells</w:t>
      </w:r>
      <w:r w:rsidRPr="005E0713">
        <w:rPr>
          <w:rFonts w:cs="Times New Roman"/>
        </w:rPr>
        <w:t xml:space="preserve"> (1969), 4 C.C.C. 25 (C.A. C.-B.), p. 36</w:t>
      </w:r>
      <w:r w:rsidRPr="005E0713">
        <w:rPr>
          <w:rFonts w:cs="Times New Roman"/>
        </w:rPr>
        <w:noBreakHyphen/>
        <w:t xml:space="preserve">37, le juge Bull, dissident; A. Manson, « Pre-Sentence </w:t>
      </w:r>
      <w:proofErr w:type="spellStart"/>
      <w:r w:rsidRPr="005E0713">
        <w:rPr>
          <w:rFonts w:cs="Times New Roman"/>
        </w:rPr>
        <w:t>Custody</w:t>
      </w:r>
      <w:proofErr w:type="spellEnd"/>
      <w:r w:rsidRPr="005E0713">
        <w:rPr>
          <w:rFonts w:cs="Times New Roman"/>
        </w:rPr>
        <w:t xml:space="preserve"> and the </w:t>
      </w:r>
      <w:proofErr w:type="spellStart"/>
      <w:r w:rsidRPr="005E0713">
        <w:rPr>
          <w:rFonts w:cs="Times New Roman"/>
        </w:rPr>
        <w:t>Determination</w:t>
      </w:r>
      <w:proofErr w:type="spellEnd"/>
      <w:r w:rsidRPr="005E0713">
        <w:rPr>
          <w:rFonts w:cs="Times New Roman"/>
        </w:rPr>
        <w:t xml:space="preserve"> of a Sentence (Or How to </w:t>
      </w:r>
      <w:proofErr w:type="spellStart"/>
      <w:r w:rsidRPr="005E0713">
        <w:rPr>
          <w:rFonts w:cs="Times New Roman"/>
        </w:rPr>
        <w:t>Make</w:t>
      </w:r>
      <w:proofErr w:type="spellEnd"/>
      <w:r w:rsidRPr="005E0713">
        <w:rPr>
          <w:rFonts w:cs="Times New Roman"/>
        </w:rPr>
        <w:t xml:space="preserve"> a Mole Hill out of a </w:t>
      </w:r>
      <w:proofErr w:type="spellStart"/>
      <w:r w:rsidRPr="005E0713">
        <w:rPr>
          <w:rFonts w:cs="Times New Roman"/>
        </w:rPr>
        <w:t>Mountain</w:t>
      </w:r>
      <w:proofErr w:type="spellEnd"/>
      <w:r w:rsidRPr="005E0713">
        <w:rPr>
          <w:rFonts w:cs="Times New Roman"/>
        </w:rPr>
        <w:t xml:space="preserve">) » (2004), 49 </w:t>
      </w:r>
      <w:r w:rsidRPr="005E0713">
        <w:rPr>
          <w:rFonts w:cs="Times New Roman"/>
          <w:i/>
        </w:rPr>
        <w:t>C.L.Q.</w:t>
      </w:r>
      <w:r w:rsidRPr="005E0713">
        <w:rPr>
          <w:rFonts w:cs="Times New Roman"/>
        </w:rPr>
        <w:t xml:space="preserve"> 292). L’application de cette règle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permettant l’octroi d’un crédit n’équivaut donc pas à antidater la sentence.</w:t>
      </w:r>
    </w:p>
    <w:p w14:paraId="2682B7CD"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 xml:space="preserve">S’il est vrai que la règle permettant l’octroi d’un crédit en matière de détention </w:t>
      </w:r>
      <w:proofErr w:type="spellStart"/>
      <w:r w:rsidRPr="005E0713">
        <w:rPr>
          <w:rFonts w:cs="Times New Roman"/>
        </w:rPr>
        <w:t>présentencielle</w:t>
      </w:r>
      <w:proofErr w:type="spellEnd"/>
      <w:r w:rsidRPr="005E0713">
        <w:rPr>
          <w:rFonts w:cs="Times New Roman"/>
        </w:rPr>
        <w:t xml:space="preserve"> est maintenant codifiée, il</w:t>
      </w:r>
      <w:r w:rsidRPr="005E0713">
        <w:rPr>
          <w:rFonts w:cs="Times New Roman"/>
          <w:lang w:bidi="en-US"/>
        </w:rPr>
        <w:t xml:space="preserve"> n’existe pas de disposition </w:t>
      </w:r>
      <w:r w:rsidRPr="005E0713">
        <w:rPr>
          <w:rFonts w:cs="Times New Roman"/>
          <w:lang w:bidi="en-US"/>
        </w:rPr>
        <w:lastRenderedPageBreak/>
        <w:t>législative équivalente</w:t>
      </w:r>
      <w:r w:rsidRPr="005E0713">
        <w:rPr>
          <w:rFonts w:cs="Times New Roman"/>
        </w:rPr>
        <w:t xml:space="preserve"> au </w:t>
      </w:r>
      <w:proofErr w:type="spellStart"/>
      <w:r w:rsidRPr="005E0713">
        <w:rPr>
          <w:rFonts w:cs="Times New Roman"/>
        </w:rPr>
        <w:t>par</w:t>
      </w:r>
      <w:proofErr w:type="spellEnd"/>
      <w:r w:rsidRPr="005E0713">
        <w:rPr>
          <w:rFonts w:cs="Times New Roman"/>
        </w:rPr>
        <w:t xml:space="preserve">. 719(3) en </w:t>
      </w:r>
      <w:r w:rsidRPr="005E0713">
        <w:rPr>
          <w:rFonts w:cs="Times New Roman"/>
          <w:lang w:bidi="en-US"/>
        </w:rPr>
        <w:t xml:space="preserve">ce qui concerne les interdictions </w:t>
      </w:r>
      <w:proofErr w:type="spellStart"/>
      <w:r w:rsidRPr="005E0713">
        <w:rPr>
          <w:rFonts w:cs="Times New Roman"/>
          <w:lang w:bidi="en-US"/>
        </w:rPr>
        <w:t>présentencielles</w:t>
      </w:r>
      <w:proofErr w:type="spellEnd"/>
      <w:r w:rsidRPr="005E0713">
        <w:rPr>
          <w:rFonts w:cs="Times New Roman"/>
          <w:lang w:bidi="en-US"/>
        </w:rPr>
        <w:t xml:space="preserve"> de conduire. L’intimé soutient que l’omission du Parlement d’adopt</w:t>
      </w:r>
      <w:r w:rsidRPr="005E0713">
        <w:rPr>
          <w:rFonts w:cs="Times New Roman"/>
        </w:rPr>
        <w:t xml:space="preserve">er </w:t>
      </w:r>
      <w:r w:rsidRPr="005E0713">
        <w:rPr>
          <w:rFonts w:cs="Times New Roman"/>
          <w:lang w:bidi="en-US"/>
        </w:rPr>
        <w:t xml:space="preserve">une disposition équivalente au </w:t>
      </w:r>
      <w:proofErr w:type="spellStart"/>
      <w:r w:rsidRPr="005E0713">
        <w:rPr>
          <w:rFonts w:cs="Times New Roman"/>
          <w:lang w:bidi="en-US"/>
        </w:rPr>
        <w:t>par</w:t>
      </w:r>
      <w:proofErr w:type="spellEnd"/>
      <w:r w:rsidRPr="005E0713">
        <w:rPr>
          <w:rFonts w:cs="Times New Roman"/>
          <w:lang w:bidi="en-US"/>
        </w:rPr>
        <w:t xml:space="preserve">. 719(3) en matière de prohibition </w:t>
      </w:r>
      <w:proofErr w:type="spellStart"/>
      <w:r w:rsidRPr="005E0713">
        <w:rPr>
          <w:rFonts w:cs="Times New Roman"/>
          <w:lang w:bidi="en-US"/>
        </w:rPr>
        <w:t>présentencielle</w:t>
      </w:r>
      <w:proofErr w:type="spellEnd"/>
      <w:r w:rsidRPr="005E0713">
        <w:rPr>
          <w:rFonts w:cs="Times New Roman"/>
          <w:lang w:bidi="en-US"/>
        </w:rPr>
        <w:t xml:space="preserve"> de conduire est délibérée et traduit son intention d’écarter la règle de </w:t>
      </w:r>
      <w:proofErr w:type="spellStart"/>
      <w:r w:rsidRPr="005E0713">
        <w:rPr>
          <w:rFonts w:cs="Times New Roman"/>
          <w:lang w:bidi="en-US"/>
        </w:rPr>
        <w:t>common</w:t>
      </w:r>
      <w:proofErr w:type="spellEnd"/>
      <w:r w:rsidRPr="005E0713">
        <w:rPr>
          <w:rFonts w:cs="Times New Roman"/>
          <w:lang w:bidi="en-US"/>
        </w:rPr>
        <w:t xml:space="preserve"> </w:t>
      </w:r>
      <w:proofErr w:type="spellStart"/>
      <w:r w:rsidRPr="005E0713">
        <w:rPr>
          <w:rFonts w:cs="Times New Roman"/>
          <w:lang w:bidi="en-US"/>
        </w:rPr>
        <w:t>law</w:t>
      </w:r>
      <w:proofErr w:type="spellEnd"/>
      <w:r w:rsidRPr="005E0713">
        <w:rPr>
          <w:rFonts w:cs="Times New Roman"/>
          <w:lang w:bidi="en-US"/>
        </w:rPr>
        <w:t xml:space="preserve"> autorisant l’octroi d’un crédit dans ce contexte. Plus précisément, selon lui, le Parlement aurait </w:t>
      </w:r>
      <w:r w:rsidRPr="005E0713">
        <w:rPr>
          <w:rFonts w:cs="Times New Roman"/>
        </w:rPr>
        <w:t>[</w:t>
      </w:r>
      <w:r w:rsidRPr="005E0713">
        <w:rPr>
          <w:rFonts w:cs="Times New Roman"/>
          <w:smallCaps/>
        </w:rPr>
        <w:t>traduction</w:t>
      </w:r>
      <w:r w:rsidRPr="005E0713">
        <w:rPr>
          <w:rFonts w:cs="Times New Roman"/>
        </w:rPr>
        <w:t xml:space="preserve">] </w:t>
      </w:r>
      <w:r w:rsidRPr="005E0713">
        <w:rPr>
          <w:rFonts w:cs="Times New Roman"/>
          <w:lang w:bidi="en-US"/>
        </w:rPr>
        <w:t xml:space="preserve">« envisagé » la possibilité de reconnaître une exception analogue pour la conduite, et l’aurait implicitement rejetée (transcription, p. 28). Avec égards, je ne partage pas son avis. L’absence d’une disposition législative équivalente au </w:t>
      </w:r>
      <w:proofErr w:type="spellStart"/>
      <w:r w:rsidRPr="005E0713">
        <w:rPr>
          <w:rFonts w:cs="Times New Roman"/>
          <w:lang w:bidi="en-US"/>
        </w:rPr>
        <w:t>par</w:t>
      </w:r>
      <w:proofErr w:type="spellEnd"/>
      <w:r w:rsidRPr="005E0713">
        <w:rPr>
          <w:rFonts w:cs="Times New Roman"/>
          <w:lang w:bidi="en-US"/>
        </w:rPr>
        <w:t xml:space="preserve">. 719(3) en matière d’interdictions </w:t>
      </w:r>
      <w:proofErr w:type="spellStart"/>
      <w:r w:rsidRPr="005E0713">
        <w:rPr>
          <w:rFonts w:cs="Times New Roman"/>
          <w:lang w:bidi="en-US"/>
        </w:rPr>
        <w:t>présentencielles</w:t>
      </w:r>
      <w:proofErr w:type="spellEnd"/>
      <w:r w:rsidRPr="005E0713">
        <w:rPr>
          <w:rFonts w:cs="Times New Roman"/>
          <w:lang w:bidi="en-US"/>
        </w:rPr>
        <w:t xml:space="preserve"> n’a pas pour effet d’écarter ou de limiter la règle de </w:t>
      </w:r>
      <w:proofErr w:type="spellStart"/>
      <w:r w:rsidRPr="005E0713">
        <w:rPr>
          <w:rFonts w:cs="Times New Roman"/>
          <w:lang w:bidi="en-US"/>
        </w:rPr>
        <w:t>common</w:t>
      </w:r>
      <w:proofErr w:type="spellEnd"/>
      <w:r w:rsidRPr="005E0713">
        <w:rPr>
          <w:rFonts w:cs="Times New Roman"/>
          <w:lang w:bidi="en-US"/>
        </w:rPr>
        <w:t xml:space="preserve"> </w:t>
      </w:r>
      <w:proofErr w:type="spellStart"/>
      <w:r w:rsidRPr="005E0713">
        <w:rPr>
          <w:rFonts w:cs="Times New Roman"/>
          <w:lang w:bidi="en-US"/>
        </w:rPr>
        <w:t>law</w:t>
      </w:r>
      <w:proofErr w:type="spellEnd"/>
      <w:r w:rsidRPr="005E0713">
        <w:rPr>
          <w:rFonts w:cs="Times New Roman"/>
          <w:lang w:bidi="en-US"/>
        </w:rPr>
        <w:t xml:space="preserve"> permettant l’octroi d’un crédit en pareil contexte.</w:t>
      </w:r>
    </w:p>
    <w:p w14:paraId="7FD1F1CF" w14:textId="77777777" w:rsidR="000E6B3D" w:rsidRPr="005E0713" w:rsidRDefault="000E6B3D" w:rsidP="000E6B3D">
      <w:pPr>
        <w:pStyle w:val="ParaNoNdepar-AltN"/>
        <w:rPr>
          <w:rFonts w:cs="Times New Roman"/>
        </w:rPr>
      </w:pPr>
      <w:r w:rsidRPr="005E0713">
        <w:rPr>
          <w:rFonts w:cs="Times New Roman"/>
        </w:rPr>
        <w:t xml:space="preserve">L’opinion voulant que le Parlement puisse codifier une règle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en vue d’en exclure implicitement une autre rappelle la maxime d’interprétation </w:t>
      </w:r>
      <w:proofErr w:type="spellStart"/>
      <w:r w:rsidRPr="005E0713">
        <w:rPr>
          <w:rFonts w:cs="Times New Roman"/>
          <w:i/>
          <w:lang w:bidi="en-US"/>
        </w:rPr>
        <w:t>expressio</w:t>
      </w:r>
      <w:proofErr w:type="spellEnd"/>
      <w:r w:rsidRPr="005E0713">
        <w:rPr>
          <w:rFonts w:cs="Times New Roman"/>
          <w:i/>
          <w:lang w:bidi="en-US"/>
        </w:rPr>
        <w:t xml:space="preserve"> </w:t>
      </w:r>
      <w:proofErr w:type="spellStart"/>
      <w:r w:rsidRPr="005E0713">
        <w:rPr>
          <w:rFonts w:cs="Times New Roman"/>
          <w:i/>
          <w:lang w:bidi="en-US"/>
        </w:rPr>
        <w:t>unius</w:t>
      </w:r>
      <w:proofErr w:type="spellEnd"/>
      <w:r w:rsidRPr="005E0713">
        <w:rPr>
          <w:rFonts w:cs="Times New Roman"/>
          <w:i/>
          <w:lang w:bidi="en-US"/>
        </w:rPr>
        <w:t xml:space="preserve"> est </w:t>
      </w:r>
      <w:proofErr w:type="spellStart"/>
      <w:r w:rsidRPr="005E0713">
        <w:rPr>
          <w:rFonts w:cs="Times New Roman"/>
          <w:i/>
          <w:lang w:bidi="en-US"/>
        </w:rPr>
        <w:t>exclusio</w:t>
      </w:r>
      <w:proofErr w:type="spellEnd"/>
      <w:r w:rsidRPr="005E0713">
        <w:rPr>
          <w:rFonts w:cs="Times New Roman"/>
          <w:i/>
          <w:lang w:bidi="en-US"/>
        </w:rPr>
        <w:t xml:space="preserve"> </w:t>
      </w:r>
      <w:proofErr w:type="spellStart"/>
      <w:r w:rsidRPr="005E0713">
        <w:rPr>
          <w:rFonts w:cs="Times New Roman"/>
          <w:i/>
          <w:lang w:bidi="en-US"/>
        </w:rPr>
        <w:t>alterius</w:t>
      </w:r>
      <w:proofErr w:type="spellEnd"/>
      <w:r w:rsidRPr="005E0713">
        <w:rPr>
          <w:rFonts w:cs="Times New Roman"/>
          <w:lang w:bidi="en-US"/>
        </w:rPr>
        <w:t>, c’est-à-dire « la mention de l’un est (ou implique) l’exclusion de l’autre »</w:t>
      </w:r>
      <w:r w:rsidRPr="005E0713">
        <w:rPr>
          <w:rFonts w:cs="Times New Roman"/>
        </w:rPr>
        <w:t xml:space="preserve"> </w:t>
      </w:r>
      <w:r w:rsidRPr="005E0713">
        <w:rPr>
          <w:rFonts w:cs="Times New Roman"/>
          <w:lang w:bidi="en-US"/>
        </w:rPr>
        <w:t>(A. </w:t>
      </w:r>
      <w:proofErr w:type="spellStart"/>
      <w:r w:rsidRPr="005E0713">
        <w:rPr>
          <w:rFonts w:cs="Times New Roman"/>
          <w:lang w:bidi="en-US"/>
        </w:rPr>
        <w:t>Mayrand</w:t>
      </w:r>
      <w:proofErr w:type="spellEnd"/>
      <w:r w:rsidRPr="005E0713">
        <w:rPr>
          <w:rFonts w:cs="Times New Roman"/>
          <w:lang w:bidi="en-US"/>
        </w:rPr>
        <w:t xml:space="preserve">, </w:t>
      </w:r>
      <w:r w:rsidRPr="005E0713">
        <w:rPr>
          <w:rFonts w:cs="Times New Roman"/>
          <w:i/>
          <w:lang w:bidi="en-US"/>
        </w:rPr>
        <w:t>Dictionnaire de maximes et locutions latines utilisées en droit</w:t>
      </w:r>
      <w:r w:rsidRPr="005E0713">
        <w:rPr>
          <w:rFonts w:cs="Times New Roman"/>
          <w:lang w:bidi="en-US"/>
        </w:rPr>
        <w:t xml:space="preserve"> (4</w:t>
      </w:r>
      <w:r w:rsidRPr="005E0713">
        <w:rPr>
          <w:rFonts w:cs="Times New Roman"/>
          <w:vertAlign w:val="superscript"/>
          <w:lang w:bidi="en-US"/>
        </w:rPr>
        <w:t>e</w:t>
      </w:r>
      <w:r w:rsidRPr="005E0713">
        <w:rPr>
          <w:rFonts w:cs="Times New Roman"/>
          <w:lang w:bidi="en-US"/>
        </w:rPr>
        <w:t xml:space="preserve"> éd. 2007), p. 170; voir aussi Sullivan (2022), § 8.09; </w:t>
      </w:r>
      <w:proofErr w:type="spellStart"/>
      <w:r w:rsidRPr="005E0713">
        <w:rPr>
          <w:rFonts w:cs="Times New Roman"/>
          <w:i/>
          <w:lang w:bidi="en-US"/>
        </w:rPr>
        <w:t>McClurg</w:t>
      </w:r>
      <w:proofErr w:type="spellEnd"/>
      <w:r w:rsidRPr="005E0713">
        <w:rPr>
          <w:rFonts w:cs="Times New Roman"/>
          <w:i/>
          <w:lang w:bidi="en-US"/>
        </w:rPr>
        <w:t xml:space="preserve"> c. Canada</w:t>
      </w:r>
      <w:r w:rsidRPr="005E0713">
        <w:rPr>
          <w:rFonts w:cs="Times New Roman"/>
          <w:lang w:bidi="en-US"/>
        </w:rPr>
        <w:t>, [1990] 3 R.C.S. 1020). Or, les tribunaux font preuve de prudence avant d’</w:t>
      </w:r>
      <w:r w:rsidRPr="005E0713">
        <w:rPr>
          <w:rFonts w:cs="Times New Roman"/>
        </w:rPr>
        <w:t xml:space="preserve">accepter de tels arguments fondés sur l’intention du Parlement d’exclure implicitement une règle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le contexte ne permettant pas toujours de présumer la pensée non exprimée d’un législateur (</w:t>
      </w:r>
      <w:r w:rsidRPr="005E0713">
        <w:rPr>
          <w:rFonts w:cs="Times New Roman"/>
          <w:lang w:bidi="en-US"/>
        </w:rPr>
        <w:t>Sullivan (2022), § 17.</w:t>
      </w:r>
      <w:proofErr w:type="gramStart"/>
      <w:r w:rsidRPr="005E0713">
        <w:rPr>
          <w:rFonts w:cs="Times New Roman"/>
          <w:lang w:bidi="en-US"/>
        </w:rPr>
        <w:t>01.Pt</w:t>
      </w:r>
      <w:proofErr w:type="gramEnd"/>
      <w:r w:rsidRPr="005E0713">
        <w:rPr>
          <w:rFonts w:cs="Times New Roman"/>
          <w:lang w:bidi="en-US"/>
        </w:rPr>
        <w:t>1[2]</w:t>
      </w:r>
      <w:r w:rsidRPr="005E0713">
        <w:rPr>
          <w:rFonts w:cs="Times New Roman"/>
        </w:rPr>
        <w:t xml:space="preserve">). </w:t>
      </w:r>
      <w:r w:rsidRPr="005E0713">
        <w:rPr>
          <w:rFonts w:cs="Times New Roman"/>
          <w:lang w:bidi="en-US"/>
        </w:rPr>
        <w:t xml:space="preserve">Dans l’arrêt </w:t>
      </w:r>
      <w:r w:rsidRPr="005E0713">
        <w:rPr>
          <w:rFonts w:cs="Times New Roman"/>
          <w:i/>
          <w:lang w:bidi="en-US"/>
        </w:rPr>
        <w:t>Turgeon c. Dominion Bank</w:t>
      </w:r>
      <w:r w:rsidRPr="005E0713">
        <w:rPr>
          <w:rFonts w:cs="Times New Roman"/>
          <w:lang w:bidi="en-US"/>
        </w:rPr>
        <w:t xml:space="preserve">, [1930] R.C.S. 67, le juge </w:t>
      </w:r>
      <w:proofErr w:type="spellStart"/>
      <w:r w:rsidRPr="005E0713">
        <w:rPr>
          <w:rFonts w:cs="Times New Roman"/>
          <w:lang w:bidi="en-US"/>
        </w:rPr>
        <w:t>Newcombe</w:t>
      </w:r>
      <w:proofErr w:type="spellEnd"/>
      <w:r w:rsidRPr="005E0713">
        <w:rPr>
          <w:rFonts w:cs="Times New Roman"/>
          <w:lang w:bidi="en-US"/>
        </w:rPr>
        <w:t xml:space="preserve"> a formulé la mise en garde selon laquelle cette règle, si elle est considérée comme un principe d’application générale, peut être </w:t>
      </w:r>
      <w:r w:rsidRPr="005E0713">
        <w:rPr>
          <w:rFonts w:cs="Times New Roman"/>
        </w:rPr>
        <w:t>[</w:t>
      </w:r>
      <w:r w:rsidRPr="005E0713">
        <w:rPr>
          <w:rFonts w:cs="Times New Roman"/>
          <w:smallCaps/>
        </w:rPr>
        <w:t>traduction</w:t>
      </w:r>
      <w:r w:rsidRPr="005E0713">
        <w:rPr>
          <w:rFonts w:cs="Times New Roman"/>
        </w:rPr>
        <w:t xml:space="preserve">] </w:t>
      </w:r>
      <w:r w:rsidRPr="005E0713">
        <w:rPr>
          <w:rFonts w:cs="Times New Roman"/>
          <w:lang w:bidi="en-US"/>
        </w:rPr>
        <w:t xml:space="preserve">« un dangereux maître à suivre » </w:t>
      </w:r>
      <w:r w:rsidRPr="005E0713">
        <w:rPr>
          <w:rFonts w:cs="Times New Roman"/>
          <w:lang w:bidi="en-US"/>
        </w:rPr>
        <w:lastRenderedPageBreak/>
        <w:t>puisque son utilité dépend du contexte et que « le rédacteur ne l’a pas toujours à l’esprit » (p. 71</w:t>
      </w:r>
      <w:r w:rsidRPr="005E0713">
        <w:rPr>
          <w:rFonts w:cs="Times New Roman"/>
        </w:rPr>
        <w:t>)</w:t>
      </w:r>
      <w:r w:rsidRPr="005E0713">
        <w:rPr>
          <w:rFonts w:cs="Times New Roman"/>
          <w:lang w:bidi="en-US"/>
        </w:rPr>
        <w:t>. Ainsi, le juge Cromwell a écrit qu</w:t>
      </w:r>
      <w:proofErr w:type="gramStart"/>
      <w:r w:rsidRPr="005E0713">
        <w:rPr>
          <w:rFonts w:cs="Times New Roman"/>
          <w:lang w:bidi="en-US"/>
        </w:rPr>
        <w:t>’«</w:t>
      </w:r>
      <w:proofErr w:type="gramEnd"/>
      <w:r w:rsidRPr="005E0713">
        <w:rPr>
          <w:rFonts w:cs="Times New Roman"/>
          <w:lang w:bidi="en-US"/>
        </w:rPr>
        <w:t xml:space="preserve"> [e]n l’absence d’une intention contraire exprimée clairement par le législateur, une loi ne devrait pas être interprétée de façon à modifier substantiellement le droit, y compris la </w:t>
      </w:r>
      <w:proofErr w:type="spellStart"/>
      <w:r w:rsidRPr="005E0713">
        <w:rPr>
          <w:rFonts w:cs="Times New Roman"/>
          <w:lang w:bidi="en-US"/>
        </w:rPr>
        <w:t>common</w:t>
      </w:r>
      <w:proofErr w:type="spellEnd"/>
      <w:r w:rsidRPr="005E0713">
        <w:rPr>
          <w:rFonts w:cs="Times New Roman"/>
          <w:lang w:bidi="en-US"/>
        </w:rPr>
        <w:t xml:space="preserve"> </w:t>
      </w:r>
      <w:proofErr w:type="spellStart"/>
      <w:r w:rsidRPr="005E0713">
        <w:rPr>
          <w:rFonts w:cs="Times New Roman"/>
          <w:lang w:bidi="en-US"/>
        </w:rPr>
        <w:t>law</w:t>
      </w:r>
      <w:proofErr w:type="spellEnd"/>
      <w:r w:rsidRPr="005E0713">
        <w:rPr>
          <w:rFonts w:cs="Times New Roman"/>
          <w:lang w:bidi="en-US"/>
        </w:rPr>
        <w:t> » (</w:t>
      </w:r>
      <w:r w:rsidRPr="005E0713">
        <w:rPr>
          <w:rFonts w:cs="Times New Roman"/>
          <w:i/>
          <w:lang w:bidi="en-US"/>
        </w:rPr>
        <w:t>D.L.W.</w:t>
      </w:r>
      <w:r w:rsidRPr="005E0713">
        <w:rPr>
          <w:rFonts w:cs="Times New Roman"/>
          <w:lang w:bidi="en-US"/>
        </w:rPr>
        <w:t xml:space="preserve">, par. 21). </w:t>
      </w:r>
      <w:r w:rsidRPr="005E0713">
        <w:rPr>
          <w:rFonts w:cs="Times New Roman"/>
        </w:rPr>
        <w:t>Cela évoque les enseignements du professeur C. K. Allen : [</w:t>
      </w:r>
      <w:r w:rsidRPr="005E0713">
        <w:rPr>
          <w:rFonts w:cs="Times New Roman"/>
          <w:smallCaps/>
        </w:rPr>
        <w:t>traduction</w:t>
      </w:r>
      <w:r w:rsidRPr="005E0713">
        <w:rPr>
          <w:rFonts w:cs="Times New Roman"/>
        </w:rPr>
        <w:t xml:space="preserve">] </w:t>
      </w:r>
      <w:r w:rsidRPr="005E0713">
        <w:rPr>
          <w:rFonts w:cs="Times New Roman"/>
          <w:lang w:bidi="en-US"/>
        </w:rPr>
        <w:t xml:space="preserve">« . . . les tribunaux, si cela leur est possible, ne permettront pas qu’un texte de loi écarte une règle de </w:t>
      </w:r>
      <w:proofErr w:type="spellStart"/>
      <w:r w:rsidRPr="005E0713">
        <w:rPr>
          <w:rFonts w:cs="Times New Roman"/>
          <w:lang w:bidi="en-US"/>
        </w:rPr>
        <w:t>common</w:t>
      </w:r>
      <w:proofErr w:type="spellEnd"/>
      <w:r w:rsidRPr="005E0713">
        <w:rPr>
          <w:rFonts w:cs="Times New Roman"/>
          <w:lang w:bidi="en-US"/>
        </w:rPr>
        <w:t xml:space="preserve"> </w:t>
      </w:r>
      <w:proofErr w:type="spellStart"/>
      <w:r w:rsidRPr="005E0713">
        <w:rPr>
          <w:rFonts w:cs="Times New Roman"/>
          <w:lang w:bidi="en-US"/>
        </w:rPr>
        <w:t>law</w:t>
      </w:r>
      <w:proofErr w:type="spellEnd"/>
      <w:r w:rsidRPr="005E0713">
        <w:rPr>
          <w:rFonts w:cs="Times New Roman"/>
          <w:lang w:bidi="en-US"/>
        </w:rPr>
        <w:t xml:space="preserve"> existante simplement </w:t>
      </w:r>
      <w:r w:rsidRPr="005E0713">
        <w:rPr>
          <w:rFonts w:cs="Times New Roman"/>
          <w:i/>
          <w:lang w:bidi="en-US"/>
        </w:rPr>
        <w:t>par voie d’inférence</w:t>
      </w:r>
      <w:r w:rsidRPr="005E0713">
        <w:rPr>
          <w:rFonts w:cs="Times New Roman"/>
          <w:lang w:bidi="en-US"/>
        </w:rPr>
        <w:t> » et, de poursuivre l’auteur, « [l]a situation est très différente lorsque la disposition législative est explicite, ou qu’il se dégage une intention générale claire de modifier le droit</w:t>
      </w:r>
      <w:r w:rsidRPr="005E0713">
        <w:rPr>
          <w:rFonts w:cs="Times New Roman"/>
        </w:rPr>
        <w:t> » (</w:t>
      </w:r>
      <w:r w:rsidRPr="005E0713">
        <w:rPr>
          <w:rFonts w:cs="Times New Roman"/>
          <w:i/>
        </w:rPr>
        <w:t xml:space="preserve">Law in the </w:t>
      </w:r>
      <w:proofErr w:type="spellStart"/>
      <w:r w:rsidRPr="005E0713">
        <w:rPr>
          <w:rFonts w:cs="Times New Roman"/>
          <w:i/>
        </w:rPr>
        <w:t>Making</w:t>
      </w:r>
      <w:proofErr w:type="spellEnd"/>
      <w:r w:rsidRPr="005E0713">
        <w:rPr>
          <w:rFonts w:cs="Times New Roman"/>
        </w:rPr>
        <w:t xml:space="preserve"> (1992), p. 258</w:t>
      </w:r>
      <w:r w:rsidRPr="005E0713">
        <w:rPr>
          <w:rFonts w:cs="Times New Roman"/>
        </w:rPr>
        <w:noBreakHyphen/>
        <w:t>259 (en italique dans l’original)).</w:t>
      </w:r>
    </w:p>
    <w:p w14:paraId="34369733" w14:textId="77777777" w:rsidR="000E6B3D" w:rsidRPr="005E0713" w:rsidRDefault="000E6B3D" w:rsidP="000E6B3D">
      <w:pPr>
        <w:pStyle w:val="ParaNoNdepar-AltN"/>
        <w:rPr>
          <w:rFonts w:cs="Times New Roman"/>
          <w:i/>
          <w:lang w:bidi="en-US"/>
        </w:rPr>
      </w:pPr>
      <w:r w:rsidRPr="005E0713">
        <w:rPr>
          <w:rFonts w:cs="Times New Roman"/>
          <w:lang w:bidi="en-US"/>
        </w:rPr>
        <w:t xml:space="preserve">En l’espèce, le par. 719(3) a été édicté dans le contexte spécifique de la détention </w:t>
      </w:r>
      <w:proofErr w:type="spellStart"/>
      <w:r w:rsidRPr="005E0713">
        <w:rPr>
          <w:rFonts w:cs="Times New Roman"/>
          <w:lang w:bidi="en-US"/>
        </w:rPr>
        <w:t>présentencielle</w:t>
      </w:r>
      <w:proofErr w:type="spellEnd"/>
      <w:r w:rsidRPr="005E0713">
        <w:rPr>
          <w:rFonts w:cs="Times New Roman"/>
          <w:lang w:bidi="en-US"/>
        </w:rPr>
        <w:t>. Les débats parlementaires tendent à indiquer que l’intention du Parlement, en adoptant cette disposition, était de s’assurer que l’octroi d’un crédit demeurait possible dans le cas d’une peine minimale obligatoire de détention (</w:t>
      </w:r>
      <w:proofErr w:type="spellStart"/>
      <w:r w:rsidRPr="005E0713">
        <w:rPr>
          <w:rFonts w:cs="Times New Roman"/>
          <w:i/>
          <w:lang w:bidi="en-US"/>
        </w:rPr>
        <w:t>Wust</w:t>
      </w:r>
      <w:proofErr w:type="spellEnd"/>
      <w:r w:rsidRPr="005E0713">
        <w:rPr>
          <w:rFonts w:cs="Times New Roman"/>
          <w:lang w:bidi="en-US"/>
        </w:rPr>
        <w:t xml:space="preserve">, par. 31, citant </w:t>
      </w:r>
      <w:r w:rsidRPr="005E0713">
        <w:rPr>
          <w:rFonts w:cs="Times New Roman"/>
          <w:i/>
          <w:iCs/>
          <w:lang w:bidi="en-US"/>
        </w:rPr>
        <w:t>Débats de la Chambre des communes</w:t>
      </w:r>
      <w:r w:rsidRPr="005E0713">
        <w:rPr>
          <w:rFonts w:cs="Times New Roman"/>
          <w:lang w:bidi="en-US"/>
        </w:rPr>
        <w:t>, vol. 3, 3</w:t>
      </w:r>
      <w:r w:rsidRPr="005E0713">
        <w:rPr>
          <w:rFonts w:cs="Times New Roman"/>
          <w:vertAlign w:val="superscript"/>
          <w:lang w:bidi="en-US"/>
        </w:rPr>
        <w:t>e</w:t>
      </w:r>
      <w:r w:rsidRPr="005E0713">
        <w:rPr>
          <w:rFonts w:cs="Times New Roman"/>
          <w:lang w:bidi="en-US"/>
        </w:rPr>
        <w:t> </w:t>
      </w:r>
      <w:proofErr w:type="spellStart"/>
      <w:r w:rsidRPr="005E0713">
        <w:rPr>
          <w:rFonts w:cs="Times New Roman"/>
          <w:lang w:bidi="en-US"/>
        </w:rPr>
        <w:t>sess</w:t>
      </w:r>
      <w:proofErr w:type="spellEnd"/>
      <w:r w:rsidRPr="005E0713">
        <w:rPr>
          <w:rFonts w:cs="Times New Roman"/>
          <w:lang w:bidi="en-US"/>
        </w:rPr>
        <w:t>., 28</w:t>
      </w:r>
      <w:r w:rsidRPr="005E0713">
        <w:rPr>
          <w:rFonts w:cs="Times New Roman"/>
          <w:vertAlign w:val="superscript"/>
          <w:lang w:bidi="en-US"/>
        </w:rPr>
        <w:t>e</w:t>
      </w:r>
      <w:r w:rsidRPr="005E0713">
        <w:rPr>
          <w:rFonts w:cs="Times New Roman"/>
          <w:lang w:bidi="en-US"/>
        </w:rPr>
        <w:t> </w:t>
      </w:r>
      <w:proofErr w:type="spellStart"/>
      <w:r w:rsidRPr="005E0713">
        <w:rPr>
          <w:rFonts w:cs="Times New Roman"/>
          <w:lang w:bidi="en-US"/>
        </w:rPr>
        <w:t>lég</w:t>
      </w:r>
      <w:proofErr w:type="spellEnd"/>
      <w:r w:rsidRPr="005E0713">
        <w:rPr>
          <w:rFonts w:cs="Times New Roman"/>
          <w:lang w:bidi="en-US"/>
        </w:rPr>
        <w:t xml:space="preserve">., 5 février 1971, p. 3118). Rien n’indique que le Parlement se soit penché sur la possibilité d’accorder un crédit pour les interdictions </w:t>
      </w:r>
      <w:proofErr w:type="spellStart"/>
      <w:r w:rsidRPr="005E0713">
        <w:rPr>
          <w:rFonts w:cs="Times New Roman"/>
          <w:lang w:bidi="en-US"/>
        </w:rPr>
        <w:t>présentencielles</w:t>
      </w:r>
      <w:proofErr w:type="spellEnd"/>
      <w:r w:rsidRPr="005E0713">
        <w:rPr>
          <w:rFonts w:cs="Times New Roman"/>
          <w:lang w:bidi="en-US"/>
        </w:rPr>
        <w:t xml:space="preserve"> de conduire. De même, les débats parlementaires n’offrent aucune indication étayant la thèse suivant laquelle le législateur aurait cherché à écarter, que ce soit explicitement ou par implication nécessaire, la règle de </w:t>
      </w:r>
      <w:proofErr w:type="spellStart"/>
      <w:r w:rsidRPr="005E0713">
        <w:rPr>
          <w:rFonts w:cs="Times New Roman"/>
          <w:lang w:bidi="en-US"/>
        </w:rPr>
        <w:t>common</w:t>
      </w:r>
      <w:proofErr w:type="spellEnd"/>
      <w:r w:rsidRPr="005E0713">
        <w:rPr>
          <w:rFonts w:cs="Times New Roman"/>
          <w:lang w:bidi="en-US"/>
        </w:rPr>
        <w:t xml:space="preserve"> </w:t>
      </w:r>
      <w:proofErr w:type="spellStart"/>
      <w:r w:rsidRPr="005E0713">
        <w:rPr>
          <w:rFonts w:cs="Times New Roman"/>
          <w:lang w:bidi="en-US"/>
        </w:rPr>
        <w:t>law</w:t>
      </w:r>
      <w:proofErr w:type="spellEnd"/>
      <w:r w:rsidRPr="005E0713">
        <w:rPr>
          <w:rFonts w:cs="Times New Roman"/>
          <w:lang w:bidi="en-US"/>
        </w:rPr>
        <w:t xml:space="preserve"> applicable à l’égard de ces interdictions. En somme, il ne s’agit pas d’un cas de figure où le Parlement aurait fait clairement état de son intention d’écarter ou de limiter la </w:t>
      </w:r>
      <w:proofErr w:type="spellStart"/>
      <w:r w:rsidRPr="005E0713">
        <w:rPr>
          <w:rFonts w:cs="Times New Roman"/>
          <w:lang w:bidi="en-US"/>
        </w:rPr>
        <w:t>common</w:t>
      </w:r>
      <w:proofErr w:type="spellEnd"/>
      <w:r w:rsidRPr="005E0713">
        <w:rPr>
          <w:rFonts w:cs="Times New Roman"/>
          <w:lang w:bidi="en-US"/>
        </w:rPr>
        <w:t xml:space="preserve"> </w:t>
      </w:r>
      <w:proofErr w:type="spellStart"/>
      <w:r w:rsidRPr="005E0713">
        <w:rPr>
          <w:rFonts w:cs="Times New Roman"/>
          <w:lang w:bidi="en-US"/>
        </w:rPr>
        <w:t>law</w:t>
      </w:r>
      <w:proofErr w:type="spellEnd"/>
      <w:r w:rsidRPr="005E0713">
        <w:rPr>
          <w:rFonts w:cs="Times New Roman"/>
          <w:lang w:bidi="en-US"/>
        </w:rPr>
        <w:t xml:space="preserve"> applicable.</w:t>
      </w:r>
    </w:p>
    <w:p w14:paraId="2D5342E4" w14:textId="77777777" w:rsidR="000E6B3D" w:rsidRPr="005E0713" w:rsidRDefault="000E6B3D" w:rsidP="000E6B3D">
      <w:pPr>
        <w:pStyle w:val="ParaNoNdepar-AltN"/>
        <w:rPr>
          <w:rFonts w:cs="Times New Roman"/>
        </w:rPr>
      </w:pPr>
      <w:r w:rsidRPr="005E0713">
        <w:rPr>
          <w:rFonts w:cs="Times New Roman"/>
        </w:rPr>
        <w:lastRenderedPageBreak/>
        <w:t xml:space="preserve">À la lumière de ce qui précède, j’estime que l’adoption du par. 719(3)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w:t>
      </w:r>
      <w:proofErr w:type="gramStart"/>
      <w:r w:rsidRPr="005E0713">
        <w:rPr>
          <w:rFonts w:cs="Times New Roman"/>
        </w:rPr>
        <w:t>n’a</w:t>
      </w:r>
      <w:proofErr w:type="gramEnd"/>
      <w:r w:rsidRPr="005E0713">
        <w:rPr>
          <w:rFonts w:cs="Times New Roman"/>
        </w:rPr>
        <w:t xml:space="preserve"> pas pour effet de limiter la règle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permettant l’octroi d’un crédit pour une interdiction </w:t>
      </w:r>
      <w:proofErr w:type="spellStart"/>
      <w:r w:rsidRPr="005E0713">
        <w:rPr>
          <w:rFonts w:cs="Times New Roman"/>
        </w:rPr>
        <w:t>présentencielle</w:t>
      </w:r>
      <w:proofErr w:type="spellEnd"/>
      <w:r w:rsidRPr="005E0713">
        <w:rPr>
          <w:rFonts w:cs="Times New Roman"/>
        </w:rPr>
        <w:t xml:space="preserve"> de conduire. Cette règle fait donc toujours partie du droit positif en matière de détermination de la peine. Cela étant, il reste à déterminer si elle a été écartée ou limitée par le par. 259(1)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lequel établit, comme nous le rappelle l’intimé, des périodes d’interdictions maximales et minimales obligatoires</w:t>
      </w:r>
      <w:r w:rsidRPr="005E0713">
        <w:rPr>
          <w:rFonts w:cs="Times New Roman"/>
          <w:lang w:val="fr-FR"/>
        </w:rPr>
        <w:t>.</w:t>
      </w:r>
    </w:p>
    <w:p w14:paraId="6E39E39E" w14:textId="77777777" w:rsidR="000E6B3D" w:rsidRPr="005E0713" w:rsidRDefault="000E6B3D" w:rsidP="000E6B3D">
      <w:pPr>
        <w:pStyle w:val="Title3LevelTitre3Niveau"/>
        <w:rPr>
          <w:rFonts w:cs="Times New Roman"/>
          <w:lang w:val="fr-FR"/>
        </w:rPr>
      </w:pPr>
      <w:bookmarkStart w:id="56" w:name="_Toc123830848"/>
      <w:bookmarkStart w:id="57" w:name="_Toc124075280"/>
      <w:bookmarkStart w:id="58" w:name="_Toc124075336"/>
      <w:r w:rsidRPr="005E0713">
        <w:rPr>
          <w:rFonts w:cs="Times New Roman"/>
          <w:lang w:val="fr-CA"/>
        </w:rPr>
        <w:t xml:space="preserve">L’alinéa 259(1)a) </w:t>
      </w:r>
      <w:r w:rsidRPr="005E0713">
        <w:rPr>
          <w:rFonts w:cs="Times New Roman"/>
          <w:i/>
          <w:lang w:val="fr-CA"/>
        </w:rPr>
        <w:t>C. </w:t>
      </w:r>
      <w:proofErr w:type="spellStart"/>
      <w:r w:rsidRPr="005E0713">
        <w:rPr>
          <w:rFonts w:cs="Times New Roman"/>
          <w:i/>
          <w:lang w:val="fr-CA"/>
        </w:rPr>
        <w:t>cr</w:t>
      </w:r>
      <w:proofErr w:type="spellEnd"/>
      <w:r w:rsidRPr="005E0713">
        <w:rPr>
          <w:rFonts w:cs="Times New Roman"/>
          <w:i/>
          <w:lang w:val="fr-CA"/>
        </w:rPr>
        <w:t>.</w:t>
      </w:r>
      <w:r w:rsidRPr="005E0713">
        <w:rPr>
          <w:rFonts w:cs="Times New Roman"/>
          <w:lang w:val="fr-CA"/>
        </w:rPr>
        <w:t xml:space="preserve"> </w:t>
      </w:r>
      <w:proofErr w:type="gramStart"/>
      <w:r w:rsidRPr="005E0713">
        <w:rPr>
          <w:rFonts w:cs="Times New Roman"/>
          <w:lang w:val="fr-CA"/>
        </w:rPr>
        <w:t>ne</w:t>
      </w:r>
      <w:proofErr w:type="gramEnd"/>
      <w:r w:rsidRPr="005E0713">
        <w:rPr>
          <w:rFonts w:cs="Times New Roman"/>
          <w:lang w:val="fr-CA"/>
        </w:rPr>
        <w:t xml:space="preserve"> limite pas la portée de la règle de </w:t>
      </w:r>
      <w:proofErr w:type="spellStart"/>
      <w:r w:rsidRPr="005E0713">
        <w:rPr>
          <w:rFonts w:cs="Times New Roman"/>
          <w:lang w:val="fr-CA"/>
        </w:rPr>
        <w:t>common</w:t>
      </w:r>
      <w:proofErr w:type="spellEnd"/>
      <w:r w:rsidRPr="005E0713">
        <w:rPr>
          <w:rFonts w:cs="Times New Roman"/>
          <w:lang w:val="fr-CA"/>
        </w:rPr>
        <w:t xml:space="preserve"> </w:t>
      </w:r>
      <w:proofErr w:type="spellStart"/>
      <w:r w:rsidRPr="005E0713">
        <w:rPr>
          <w:rFonts w:cs="Times New Roman"/>
          <w:lang w:val="fr-CA"/>
        </w:rPr>
        <w:t>law</w:t>
      </w:r>
      <w:proofErr w:type="spellEnd"/>
      <w:r w:rsidRPr="005E0713">
        <w:rPr>
          <w:rFonts w:cs="Times New Roman"/>
          <w:lang w:val="fr-CA"/>
        </w:rPr>
        <w:t xml:space="preserve"> permettant l’octroi d’un crédit pour interdiction </w:t>
      </w:r>
      <w:proofErr w:type="spellStart"/>
      <w:r w:rsidRPr="005E0713">
        <w:rPr>
          <w:rFonts w:cs="Times New Roman"/>
          <w:lang w:val="fr-CA"/>
        </w:rPr>
        <w:t>présentencielle</w:t>
      </w:r>
      <w:proofErr w:type="spellEnd"/>
      <w:r w:rsidRPr="005E0713">
        <w:rPr>
          <w:rFonts w:cs="Times New Roman"/>
          <w:lang w:val="fr-CA"/>
        </w:rPr>
        <w:t xml:space="preserve"> de conduire</w:t>
      </w:r>
      <w:bookmarkEnd w:id="56"/>
      <w:bookmarkEnd w:id="57"/>
      <w:bookmarkEnd w:id="58"/>
    </w:p>
    <w:p w14:paraId="3DDE067B" w14:textId="77777777" w:rsidR="000E6B3D" w:rsidRPr="005E0713" w:rsidRDefault="000E6B3D" w:rsidP="000E6B3D">
      <w:pPr>
        <w:pStyle w:val="ParaNoNdepar-AltN"/>
        <w:tabs>
          <w:tab w:val="clear" w:pos="1152"/>
          <w:tab w:val="left" w:pos="1166"/>
        </w:tabs>
        <w:rPr>
          <w:rFonts w:cs="Times New Roman"/>
        </w:rPr>
      </w:pPr>
      <w:r w:rsidRPr="005E0713">
        <w:rPr>
          <w:rFonts w:cs="Times New Roman"/>
          <w:lang w:val="fr-FR" w:bidi="en-US"/>
        </w:rPr>
        <w:t xml:space="preserve">Une fois la règle de </w:t>
      </w:r>
      <w:proofErr w:type="spellStart"/>
      <w:r w:rsidRPr="005E0713">
        <w:rPr>
          <w:rFonts w:cs="Times New Roman"/>
          <w:lang w:bidi="en-US"/>
        </w:rPr>
        <w:t>common</w:t>
      </w:r>
      <w:proofErr w:type="spellEnd"/>
      <w:r w:rsidRPr="005E0713">
        <w:rPr>
          <w:rFonts w:cs="Times New Roman"/>
          <w:lang w:val="fr-FR" w:bidi="en-US"/>
        </w:rPr>
        <w:t xml:space="preserve"> </w:t>
      </w:r>
      <w:proofErr w:type="spellStart"/>
      <w:r w:rsidRPr="005E0713">
        <w:rPr>
          <w:rFonts w:cs="Times New Roman"/>
          <w:lang w:val="fr-FR" w:bidi="en-US"/>
        </w:rPr>
        <w:t>law</w:t>
      </w:r>
      <w:proofErr w:type="spellEnd"/>
      <w:r w:rsidRPr="005E0713">
        <w:rPr>
          <w:rFonts w:cs="Times New Roman"/>
          <w:lang w:val="fr-FR" w:bidi="en-US"/>
        </w:rPr>
        <w:t xml:space="preserve"> identifiée, la seconde étape de l’analyse</w:t>
      </w:r>
      <w:r w:rsidRPr="005E0713">
        <w:rPr>
          <w:rFonts w:cs="Times New Roman"/>
          <w:lang w:bidi="en-US"/>
        </w:rPr>
        <w:t xml:space="preserve"> consiste à examiner l’effet de la disposition législative pertinente sur celle-ci (</w:t>
      </w:r>
      <w:r w:rsidRPr="005E0713">
        <w:rPr>
          <w:rFonts w:cs="Times New Roman"/>
          <w:i/>
          <w:lang w:val="fr-FR" w:bidi="en-US"/>
        </w:rPr>
        <w:t>2747</w:t>
      </w:r>
      <w:r w:rsidRPr="005E0713">
        <w:rPr>
          <w:rFonts w:cs="Times New Roman"/>
          <w:i/>
          <w:lang w:val="fr-FR" w:bidi="en-US"/>
        </w:rPr>
        <w:noBreakHyphen/>
        <w:t>3174 Québec Inc.</w:t>
      </w:r>
      <w:r w:rsidRPr="005E0713">
        <w:rPr>
          <w:rFonts w:cs="Times New Roman"/>
          <w:lang w:val="fr-FR" w:bidi="en-US"/>
        </w:rPr>
        <w:t xml:space="preserve">, par. 97). Ce faisant, </w:t>
      </w:r>
      <w:r w:rsidRPr="005E0713">
        <w:rPr>
          <w:rFonts w:cs="Times New Roman"/>
          <w:lang w:bidi="en-US"/>
        </w:rPr>
        <w:t xml:space="preserve">il convient de cerner la portée de l’al. 259(1)a) </w:t>
      </w:r>
      <w:r w:rsidRPr="005E0713">
        <w:rPr>
          <w:rFonts w:cs="Times New Roman"/>
          <w:i/>
          <w:lang w:bidi="en-US"/>
        </w:rPr>
        <w:t>C. </w:t>
      </w:r>
      <w:proofErr w:type="spellStart"/>
      <w:r w:rsidRPr="005E0713">
        <w:rPr>
          <w:rFonts w:cs="Times New Roman"/>
          <w:i/>
          <w:lang w:bidi="en-US"/>
        </w:rPr>
        <w:t>cr</w:t>
      </w:r>
      <w:proofErr w:type="spellEnd"/>
      <w:r w:rsidRPr="005E0713">
        <w:rPr>
          <w:rFonts w:cs="Times New Roman"/>
          <w:i/>
          <w:lang w:bidi="en-US"/>
        </w:rPr>
        <w:t>.</w:t>
      </w:r>
      <w:r w:rsidRPr="005E0713">
        <w:rPr>
          <w:rFonts w:cs="Times New Roman"/>
          <w:lang w:bidi="en-US"/>
        </w:rPr>
        <w:t xml:space="preserve"> </w:t>
      </w:r>
      <w:proofErr w:type="gramStart"/>
      <w:r w:rsidRPr="005E0713">
        <w:rPr>
          <w:rFonts w:cs="Times New Roman"/>
          <w:lang w:bidi="en-US"/>
        </w:rPr>
        <w:t>suivant</w:t>
      </w:r>
      <w:proofErr w:type="gramEnd"/>
      <w:r w:rsidRPr="005E0713">
        <w:rPr>
          <w:rFonts w:cs="Times New Roman"/>
          <w:lang w:bidi="en-US"/>
        </w:rPr>
        <w:t xml:space="preserve"> la méthode moderne d’interprétation (</w:t>
      </w:r>
      <w:r w:rsidRPr="005E0713">
        <w:rPr>
          <w:rFonts w:cs="Times New Roman"/>
          <w:i/>
          <w:lang w:bidi="en-US"/>
        </w:rPr>
        <w:t xml:space="preserve">Rizzo &amp; Rizzo </w:t>
      </w:r>
      <w:proofErr w:type="spellStart"/>
      <w:r w:rsidRPr="005E0713">
        <w:rPr>
          <w:rFonts w:cs="Times New Roman"/>
          <w:i/>
          <w:lang w:bidi="en-US"/>
        </w:rPr>
        <w:t>Shoes</w:t>
      </w:r>
      <w:proofErr w:type="spellEnd"/>
      <w:r w:rsidRPr="005E0713">
        <w:rPr>
          <w:rFonts w:cs="Times New Roman"/>
          <w:i/>
          <w:lang w:bidi="en-US"/>
        </w:rPr>
        <w:t xml:space="preserve"> Ltd. (Re)</w:t>
      </w:r>
      <w:r w:rsidRPr="005E0713">
        <w:rPr>
          <w:rFonts w:cs="Times New Roman"/>
          <w:lang w:bidi="en-US"/>
        </w:rPr>
        <w:t xml:space="preserve">, [1998] 1 R.C.S. 27; </w:t>
      </w:r>
      <w:r w:rsidRPr="005E0713">
        <w:rPr>
          <w:rFonts w:cs="Times New Roman"/>
          <w:i/>
          <w:lang w:bidi="en-US"/>
        </w:rPr>
        <w:t xml:space="preserve">Bell </w:t>
      </w:r>
      <w:proofErr w:type="spellStart"/>
      <w:r w:rsidRPr="005E0713">
        <w:rPr>
          <w:rFonts w:cs="Times New Roman"/>
          <w:i/>
          <w:lang w:bidi="en-US"/>
        </w:rPr>
        <w:t>ExpressVu</w:t>
      </w:r>
      <w:proofErr w:type="spellEnd"/>
      <w:r w:rsidRPr="005E0713">
        <w:rPr>
          <w:rFonts w:cs="Times New Roman"/>
          <w:i/>
          <w:lang w:bidi="en-US"/>
        </w:rPr>
        <w:t xml:space="preserve"> Limited Partnership c. Rex</w:t>
      </w:r>
      <w:r w:rsidRPr="005E0713">
        <w:rPr>
          <w:rFonts w:cs="Times New Roman"/>
          <w:lang w:bidi="en-US"/>
        </w:rPr>
        <w:t xml:space="preserve">, 2002 CSC 42, [2002] 2 R.C.S. 559), puis de déterminer si cette disposition a pour effet de limiter, voire d’écarter la règle de </w:t>
      </w:r>
      <w:proofErr w:type="spellStart"/>
      <w:r w:rsidRPr="005E0713">
        <w:rPr>
          <w:rFonts w:cs="Times New Roman"/>
          <w:lang w:bidi="en-US"/>
        </w:rPr>
        <w:t>common</w:t>
      </w:r>
      <w:proofErr w:type="spellEnd"/>
      <w:r w:rsidRPr="005E0713">
        <w:rPr>
          <w:rFonts w:cs="Times New Roman"/>
          <w:lang w:bidi="en-US"/>
        </w:rPr>
        <w:t xml:space="preserve"> </w:t>
      </w:r>
      <w:proofErr w:type="spellStart"/>
      <w:r w:rsidRPr="005E0713">
        <w:rPr>
          <w:rFonts w:cs="Times New Roman"/>
          <w:lang w:bidi="en-US"/>
        </w:rPr>
        <w:t>law</w:t>
      </w:r>
      <w:proofErr w:type="spellEnd"/>
      <w:r w:rsidRPr="005E0713">
        <w:rPr>
          <w:rFonts w:cs="Times New Roman"/>
          <w:lang w:bidi="en-US"/>
        </w:rPr>
        <w:t xml:space="preserve">. </w:t>
      </w:r>
    </w:p>
    <w:p w14:paraId="09AB6DAF" w14:textId="77777777" w:rsidR="000E6B3D" w:rsidRPr="005E0713" w:rsidRDefault="000E6B3D" w:rsidP="000E6B3D">
      <w:pPr>
        <w:pStyle w:val="ParaNoNdepar-AltN"/>
        <w:rPr>
          <w:rFonts w:cs="Times New Roman"/>
        </w:rPr>
      </w:pPr>
      <w:r w:rsidRPr="005E0713">
        <w:rPr>
          <w:rFonts w:cs="Times New Roman"/>
          <w:lang w:bidi="en-US"/>
        </w:rPr>
        <w:t>Avant de procéder à cette analyse, il importe de bien comprendre la distinction entre les notions de</w:t>
      </w:r>
      <w:r w:rsidRPr="005E0713">
        <w:rPr>
          <w:rFonts w:cs="Times New Roman"/>
        </w:rPr>
        <w:t xml:space="preserve"> </w:t>
      </w:r>
      <w:r w:rsidRPr="005E0713">
        <w:rPr>
          <w:rFonts w:cs="Times New Roman"/>
          <w:lang w:bidi="en-US"/>
        </w:rPr>
        <w:t xml:space="preserve">punition et de sentence, </w:t>
      </w:r>
      <w:r w:rsidRPr="005E0713">
        <w:rPr>
          <w:rFonts w:cs="Times New Roman"/>
          <w:lang w:val="fr-FR" w:bidi="en-US"/>
        </w:rPr>
        <w:t>entérinée pour la première fois</w:t>
      </w:r>
      <w:r w:rsidRPr="005E0713">
        <w:rPr>
          <w:rFonts w:cs="Times New Roman"/>
        </w:rPr>
        <w:t xml:space="preserve"> par </w:t>
      </w:r>
      <w:r w:rsidRPr="005E0713">
        <w:rPr>
          <w:rFonts w:cs="Times New Roman"/>
          <w:lang w:bidi="en-US"/>
        </w:rPr>
        <w:t>la</w:t>
      </w:r>
      <w:r w:rsidRPr="005E0713">
        <w:rPr>
          <w:rFonts w:cs="Times New Roman"/>
        </w:rPr>
        <w:t xml:space="preserve"> Cour </w:t>
      </w:r>
      <w:r w:rsidRPr="005E0713">
        <w:rPr>
          <w:rFonts w:cs="Times New Roman"/>
          <w:lang w:bidi="en-US"/>
        </w:rPr>
        <w:t xml:space="preserve">dans l’arrêt </w:t>
      </w:r>
      <w:proofErr w:type="spellStart"/>
      <w:r w:rsidRPr="005E0713">
        <w:rPr>
          <w:rFonts w:cs="Times New Roman"/>
          <w:i/>
          <w:lang w:bidi="en-US"/>
        </w:rPr>
        <w:t>Wust</w:t>
      </w:r>
      <w:proofErr w:type="spellEnd"/>
      <w:r w:rsidRPr="005E0713">
        <w:rPr>
          <w:rFonts w:cs="Times New Roman"/>
          <w:lang w:bidi="en-US"/>
        </w:rPr>
        <w:t>.</w:t>
      </w:r>
      <w:r w:rsidRPr="005E0713">
        <w:rPr>
          <w:rFonts w:cs="Times New Roman"/>
          <w:lang w:val="fr-FR" w:bidi="en-US"/>
        </w:rPr>
        <w:t xml:space="preserve"> Cette distinction, qui touche au cœur du présent pourvoi, est essentielle à une juste interprétation de la portée de l’al. 259(1)a).</w:t>
      </w:r>
    </w:p>
    <w:p w14:paraId="109B939D" w14:textId="77777777" w:rsidR="000E6B3D" w:rsidRPr="005E0713" w:rsidRDefault="000E6B3D" w:rsidP="000E6B3D">
      <w:pPr>
        <w:pStyle w:val="Title4LevelTitre4Niveau"/>
        <w:rPr>
          <w:rFonts w:cs="Times New Roman"/>
          <w:lang w:val="fr-CA"/>
        </w:rPr>
      </w:pPr>
      <w:bookmarkStart w:id="59" w:name="_Toc123830849"/>
      <w:bookmarkStart w:id="60" w:name="_Toc124075337"/>
      <w:r w:rsidRPr="005E0713">
        <w:rPr>
          <w:rFonts w:cs="Times New Roman"/>
          <w:lang w:val="fr-CA"/>
        </w:rPr>
        <w:t>La distinction entre les notions de punition et de sentence</w:t>
      </w:r>
      <w:bookmarkEnd w:id="59"/>
      <w:bookmarkEnd w:id="60"/>
    </w:p>
    <w:p w14:paraId="3B7ABAFD" w14:textId="77777777" w:rsidR="000E6B3D" w:rsidRPr="005E0713" w:rsidRDefault="000E6B3D" w:rsidP="000E6B3D">
      <w:pPr>
        <w:pStyle w:val="ParaNoNdepar-AltN"/>
        <w:rPr>
          <w:rFonts w:cs="Times New Roman"/>
        </w:rPr>
      </w:pPr>
      <w:r w:rsidRPr="005E0713">
        <w:rPr>
          <w:rFonts w:cs="Times New Roman"/>
        </w:rPr>
        <w:lastRenderedPageBreak/>
        <w:t xml:space="preserve">Dans l’arrêt </w:t>
      </w:r>
      <w:proofErr w:type="spellStart"/>
      <w:r w:rsidRPr="005E0713">
        <w:rPr>
          <w:rFonts w:cs="Times New Roman"/>
          <w:i/>
        </w:rPr>
        <w:t>Wust</w:t>
      </w:r>
      <w:proofErr w:type="spellEnd"/>
      <w:r w:rsidRPr="005E0713">
        <w:rPr>
          <w:rFonts w:cs="Times New Roman"/>
        </w:rPr>
        <w:t xml:space="preserve">, la Cour devait trancher la question de savoir s’il était possible d’accorder au contrevenant un crédit pour détention </w:t>
      </w:r>
      <w:proofErr w:type="spellStart"/>
      <w:r w:rsidRPr="005E0713">
        <w:rPr>
          <w:rFonts w:cs="Times New Roman"/>
        </w:rPr>
        <w:t>présentencielle</w:t>
      </w:r>
      <w:proofErr w:type="spellEnd"/>
      <w:r w:rsidRPr="005E0713">
        <w:rPr>
          <w:rFonts w:cs="Times New Roman"/>
        </w:rPr>
        <w:t xml:space="preserve">, dans la mesure où, du fait de ce crédit, la sentence prononcée serait inférieure à la durée de la peine minimale obligatoire prévue à l’ancien al. 344a) (aujourd’hui, l’al. 344(1)a)). La juge </w:t>
      </w:r>
      <w:proofErr w:type="spellStart"/>
      <w:r w:rsidRPr="005E0713">
        <w:rPr>
          <w:rFonts w:cs="Times New Roman"/>
        </w:rPr>
        <w:t>Arbour</w:t>
      </w:r>
      <w:proofErr w:type="spellEnd"/>
      <w:r w:rsidRPr="005E0713">
        <w:rPr>
          <w:rFonts w:cs="Times New Roman"/>
        </w:rPr>
        <w:t xml:space="preserve">, écrivant pour une Cour unanime, a répondu à cette question par l’affirmative. D’entrée de jeu, elle a souligné que le par. 719(3) avait été adopté précisément dans le but d’autoriser un tel crédit en cas de peine minimale obligatoire. De surcroît, et de façon significative, elle a affirmé qu’aucun conflit ne résultait de l’application concomitante du par. 719(3) et de l’al. 344a). La juge </w:t>
      </w:r>
      <w:proofErr w:type="spellStart"/>
      <w:r w:rsidRPr="005E0713">
        <w:rPr>
          <w:rFonts w:cs="Times New Roman"/>
        </w:rPr>
        <w:t>Arbour</w:t>
      </w:r>
      <w:proofErr w:type="spellEnd"/>
      <w:r w:rsidRPr="005E0713">
        <w:rPr>
          <w:rFonts w:cs="Times New Roman"/>
        </w:rPr>
        <w:t xml:space="preserve"> a expliqué que cette absence de conflit découle de la distinction conceptuelle entre une peine au sens de punition et une peine au sens de sentence. </w:t>
      </w:r>
    </w:p>
    <w:p w14:paraId="6E64444A" w14:textId="77777777" w:rsidR="000E6B3D" w:rsidRPr="005E0713" w:rsidRDefault="000E6B3D" w:rsidP="000E6B3D">
      <w:pPr>
        <w:pStyle w:val="ParaNoNdepar-AltN"/>
        <w:rPr>
          <w:rFonts w:cs="Times New Roman"/>
        </w:rPr>
      </w:pPr>
      <w:r w:rsidRPr="005E0713">
        <w:rPr>
          <w:rFonts w:cs="Times New Roman"/>
        </w:rPr>
        <w:t>Cette distinction a été examinée sous l’angle des termes anglais « </w:t>
      </w:r>
      <w:proofErr w:type="spellStart"/>
      <w:r w:rsidRPr="005E0713">
        <w:rPr>
          <w:rFonts w:cs="Times New Roman"/>
          <w:i/>
        </w:rPr>
        <w:t>punishment</w:t>
      </w:r>
      <w:proofErr w:type="spellEnd"/>
      <w:r w:rsidRPr="005E0713">
        <w:rPr>
          <w:rFonts w:cs="Times New Roman"/>
        </w:rPr>
        <w:t> » et « </w:t>
      </w:r>
      <w:r w:rsidRPr="005E0713">
        <w:rPr>
          <w:rFonts w:cs="Times New Roman"/>
          <w:i/>
        </w:rPr>
        <w:t>sentence</w:t>
      </w:r>
      <w:r w:rsidRPr="005E0713">
        <w:rPr>
          <w:rFonts w:cs="Times New Roman"/>
        </w:rPr>
        <w:t xml:space="preserve"> » par le juge Rosenberg dans l’arrêt </w:t>
      </w:r>
      <w:r w:rsidRPr="005E0713">
        <w:rPr>
          <w:rFonts w:cs="Times New Roman"/>
          <w:i/>
        </w:rPr>
        <w:t>McDonald</w:t>
      </w:r>
      <w:r w:rsidRPr="005E0713">
        <w:rPr>
          <w:rFonts w:cs="Times New Roman"/>
        </w:rPr>
        <w:t xml:space="preserve">, en s’appuyant sur les travaux de la Commission canadienne sur la détermination de la peine. La Commission </w:t>
      </w:r>
      <w:r w:rsidRPr="005E0713">
        <w:rPr>
          <w:rFonts w:cs="Times New Roman"/>
          <w:iCs/>
          <w:lang w:bidi="en-US"/>
        </w:rPr>
        <w:t>a clarifié</w:t>
      </w:r>
      <w:r w:rsidRPr="005E0713">
        <w:rPr>
          <w:rFonts w:cs="Times New Roman"/>
        </w:rPr>
        <w:t xml:space="preserve"> que le terme « </w:t>
      </w:r>
      <w:proofErr w:type="spellStart"/>
      <w:r w:rsidRPr="005E0713">
        <w:rPr>
          <w:rFonts w:cs="Times New Roman"/>
          <w:i/>
        </w:rPr>
        <w:t>punishment</w:t>
      </w:r>
      <w:proofErr w:type="spellEnd"/>
      <w:r w:rsidRPr="005E0713">
        <w:rPr>
          <w:rFonts w:cs="Times New Roman"/>
        </w:rPr>
        <w:t> » renvoie à « l’imposition d’une privation sévère à une personne jugée coupable d’un acte répréhensible » (</w:t>
      </w:r>
      <w:r w:rsidRPr="005E0713">
        <w:rPr>
          <w:rFonts w:cs="Times New Roman"/>
          <w:i/>
          <w:iCs/>
          <w:lang w:bidi="en-US"/>
        </w:rPr>
        <w:t>Réformer la sentence : une approche canadienne</w:t>
      </w:r>
      <w:r w:rsidRPr="005E0713">
        <w:rPr>
          <w:rFonts w:cs="Times New Roman"/>
          <w:iCs/>
          <w:lang w:bidi="en-US"/>
        </w:rPr>
        <w:t xml:space="preserve"> (1987), p. 119). Elle a ensuite précisé que le terme « </w:t>
      </w:r>
      <w:r w:rsidRPr="005E0713">
        <w:rPr>
          <w:rFonts w:cs="Times New Roman"/>
          <w:i/>
          <w:iCs/>
          <w:lang w:bidi="en-US"/>
        </w:rPr>
        <w:t>sentence</w:t>
      </w:r>
      <w:r w:rsidRPr="005E0713">
        <w:rPr>
          <w:rFonts w:cs="Times New Roman"/>
          <w:iCs/>
          <w:lang w:bidi="en-US"/>
        </w:rPr>
        <w:t xml:space="preserve"> » — qui vient du mot latin </w:t>
      </w:r>
      <w:proofErr w:type="spellStart"/>
      <w:r w:rsidRPr="005E0713">
        <w:rPr>
          <w:rFonts w:cs="Times New Roman"/>
          <w:i/>
          <w:iCs/>
          <w:lang w:bidi="en-US"/>
        </w:rPr>
        <w:t>sententia</w:t>
      </w:r>
      <w:proofErr w:type="spellEnd"/>
      <w:r w:rsidRPr="005E0713">
        <w:rPr>
          <w:rFonts w:cs="Times New Roman"/>
          <w:iCs/>
          <w:lang w:bidi="en-US"/>
        </w:rPr>
        <w:t xml:space="preserve"> signifiant « opinion ou expression d’une opinion » — s’entend de la déclaration du tribunal ordonnant l’infliction d’une sanction et déterminant ce qu’elle sera (p. 121). </w:t>
      </w:r>
    </w:p>
    <w:p w14:paraId="179CB68F" w14:textId="77777777" w:rsidR="000E6B3D" w:rsidRPr="005E0713" w:rsidRDefault="000E6B3D" w:rsidP="000E6B3D">
      <w:pPr>
        <w:pStyle w:val="ParaNoNdepar-AltN"/>
        <w:rPr>
          <w:rFonts w:cs="Times New Roman"/>
        </w:rPr>
      </w:pPr>
      <w:r w:rsidRPr="005E0713">
        <w:rPr>
          <w:rFonts w:cs="Times New Roman"/>
          <w:iCs/>
          <w:lang w:bidi="en-US"/>
        </w:rPr>
        <w:lastRenderedPageBreak/>
        <w:t>On peut donc dire que la notion de punition diffère fondamentalement de celle de sentence, en ce que la première reflète la punition globale infligée au contrevenant, alors que la seconde n’a trait qu’à la partie de cette punition que celui</w:t>
      </w:r>
      <w:r w:rsidRPr="005E0713">
        <w:rPr>
          <w:rFonts w:cs="Times New Roman"/>
          <w:iCs/>
          <w:lang w:bidi="en-US"/>
        </w:rPr>
        <w:noBreakHyphen/>
        <w:t>ci doit purger après le prononcé du jugement. Rien dans la jurisprudence ne s’oppose à l’application de cette distinction en l’espèce. Je prends note du fait qu</w:t>
      </w:r>
      <w:r w:rsidRPr="005E0713">
        <w:rPr>
          <w:rFonts w:cs="Times New Roman"/>
        </w:rPr>
        <w:t>e</w:t>
      </w:r>
      <w:r w:rsidRPr="005E0713">
        <w:rPr>
          <w:rFonts w:cs="Times New Roman"/>
          <w:iCs/>
          <w:lang w:bidi="en-US"/>
        </w:rPr>
        <w:t xml:space="preserve">, dans l’arrêt </w:t>
      </w:r>
      <w:r w:rsidRPr="005E0713">
        <w:rPr>
          <w:rFonts w:cs="Times New Roman"/>
          <w:i/>
          <w:iCs/>
          <w:lang w:bidi="en-US"/>
        </w:rPr>
        <w:t>R. c. Mathieu</w:t>
      </w:r>
      <w:r w:rsidRPr="005E0713">
        <w:rPr>
          <w:rFonts w:cs="Times New Roman"/>
          <w:iCs/>
          <w:lang w:bidi="en-US"/>
        </w:rPr>
        <w:t xml:space="preserve">, 2008 CSC 21, [2008] 1 R.C.S. 723, une affaire portant sur l’admissibilité à la libération conditionnelle suivant une période </w:t>
      </w:r>
      <w:proofErr w:type="spellStart"/>
      <w:r w:rsidRPr="005E0713">
        <w:rPr>
          <w:rFonts w:cs="Times New Roman"/>
          <w:iCs/>
          <w:lang w:bidi="en-US"/>
        </w:rPr>
        <w:t>présentencielle</w:t>
      </w:r>
      <w:proofErr w:type="spellEnd"/>
      <w:r w:rsidRPr="005E0713">
        <w:rPr>
          <w:rFonts w:cs="Times New Roman"/>
          <w:iCs/>
          <w:lang w:bidi="en-US"/>
        </w:rPr>
        <w:t xml:space="preserve"> de détention provisoire, la Cour a conclu que la « peine » à considérer à cette fin se limite à la période qui suit le prononcé de la sentence, tout en reconnaissant qu’elle a traité la question différemment</w:t>
      </w:r>
      <w:r w:rsidRPr="005E0713">
        <w:rPr>
          <w:rFonts w:cs="Times New Roman"/>
        </w:rPr>
        <w:t xml:space="preserve"> </w:t>
      </w:r>
      <w:r w:rsidRPr="005E0713">
        <w:rPr>
          <w:rFonts w:cs="Times New Roman"/>
          <w:iCs/>
          <w:lang w:bidi="en-US"/>
        </w:rPr>
        <w:t xml:space="preserve">dans l’arrêt </w:t>
      </w:r>
      <w:proofErr w:type="spellStart"/>
      <w:r w:rsidRPr="005E0713">
        <w:rPr>
          <w:rFonts w:cs="Times New Roman"/>
          <w:i/>
          <w:iCs/>
          <w:lang w:bidi="en-US"/>
        </w:rPr>
        <w:t>Wust</w:t>
      </w:r>
      <w:proofErr w:type="spellEnd"/>
      <w:r w:rsidRPr="005E0713">
        <w:rPr>
          <w:rFonts w:cs="Times New Roman"/>
          <w:iCs/>
          <w:lang w:bidi="en-US"/>
        </w:rPr>
        <w:t xml:space="preserve"> (par. 7). Par ailleurs, aux fins de l’emprisonnement avec sursis, la « peine » à considérer s’entend plutôt de la punition globale subie par le contrevenant, incluant la période </w:t>
      </w:r>
      <w:proofErr w:type="spellStart"/>
      <w:r w:rsidRPr="005E0713">
        <w:rPr>
          <w:rFonts w:cs="Times New Roman"/>
          <w:iCs/>
          <w:lang w:bidi="en-US"/>
        </w:rPr>
        <w:t>présentencielle</w:t>
      </w:r>
      <w:proofErr w:type="spellEnd"/>
      <w:r w:rsidRPr="005E0713">
        <w:rPr>
          <w:rFonts w:cs="Times New Roman"/>
          <w:iCs/>
          <w:lang w:bidi="en-US"/>
        </w:rPr>
        <w:t xml:space="preserve"> (</w:t>
      </w:r>
      <w:r w:rsidRPr="005E0713">
        <w:rPr>
          <w:rFonts w:cs="Times New Roman"/>
          <w:i/>
          <w:iCs/>
          <w:lang w:bidi="en-US"/>
        </w:rPr>
        <w:t xml:space="preserve">R. c. </w:t>
      </w:r>
      <w:proofErr w:type="spellStart"/>
      <w:r w:rsidRPr="005E0713">
        <w:rPr>
          <w:rFonts w:cs="Times New Roman"/>
          <w:i/>
          <w:iCs/>
          <w:lang w:bidi="en-US"/>
        </w:rPr>
        <w:t>Fice</w:t>
      </w:r>
      <w:proofErr w:type="spellEnd"/>
      <w:r w:rsidRPr="005E0713">
        <w:rPr>
          <w:rFonts w:cs="Times New Roman"/>
          <w:iCs/>
          <w:lang w:bidi="en-US"/>
        </w:rPr>
        <w:t>, 2005 CSC 32, [2005] 1 R.C.S. 742).</w:t>
      </w:r>
      <w:r w:rsidRPr="005E0713">
        <w:rPr>
          <w:rFonts w:cs="Times New Roman"/>
        </w:rPr>
        <w:t xml:space="preserve"> </w:t>
      </w:r>
      <w:r w:rsidRPr="005E0713">
        <w:rPr>
          <w:rFonts w:cs="Times New Roman"/>
          <w:iCs/>
          <w:lang w:bidi="en-US"/>
        </w:rPr>
        <w:t>De mêm</w:t>
      </w:r>
      <w:r w:rsidRPr="005E0713">
        <w:rPr>
          <w:rFonts w:cs="Times New Roman"/>
        </w:rPr>
        <w:t xml:space="preserve">e, lorsque les tribunaux ont été appelés à trancher l’effet d’une période de détention </w:t>
      </w:r>
      <w:proofErr w:type="spellStart"/>
      <w:r w:rsidRPr="005E0713">
        <w:rPr>
          <w:rFonts w:cs="Times New Roman"/>
        </w:rPr>
        <w:t>présentencielle</w:t>
      </w:r>
      <w:proofErr w:type="spellEnd"/>
      <w:r w:rsidRPr="005E0713">
        <w:rPr>
          <w:rFonts w:cs="Times New Roman"/>
        </w:rPr>
        <w:t xml:space="preserve"> en présence d’une peine maximale </w:t>
      </w:r>
      <w:r>
        <w:rPr>
          <w:rFonts w:cs="Times New Roman"/>
        </w:rPr>
        <w:t>prévue par la loi</w:t>
      </w:r>
      <w:r w:rsidRPr="005E0713">
        <w:rPr>
          <w:rFonts w:cs="Times New Roman"/>
        </w:rPr>
        <w:t xml:space="preserve">, certaines cours d’appel provinciales ont considéré, </w:t>
      </w:r>
      <w:r w:rsidRPr="005E0713">
        <w:rPr>
          <w:rFonts w:cs="Times New Roman"/>
          <w:iCs/>
          <w:lang w:bidi="en-US"/>
        </w:rPr>
        <w:t xml:space="preserve">à l’instar de notre Cour dans les arrêts </w:t>
      </w:r>
      <w:proofErr w:type="spellStart"/>
      <w:r w:rsidRPr="005E0713">
        <w:rPr>
          <w:rFonts w:cs="Times New Roman"/>
          <w:i/>
          <w:iCs/>
          <w:lang w:bidi="en-US"/>
        </w:rPr>
        <w:t>Wust</w:t>
      </w:r>
      <w:proofErr w:type="spellEnd"/>
      <w:r w:rsidRPr="005E0713">
        <w:rPr>
          <w:rFonts w:cs="Times New Roman"/>
          <w:iCs/>
          <w:lang w:bidi="en-US"/>
        </w:rPr>
        <w:t xml:space="preserve"> et </w:t>
      </w:r>
      <w:proofErr w:type="spellStart"/>
      <w:r w:rsidRPr="005E0713">
        <w:rPr>
          <w:rFonts w:cs="Times New Roman"/>
          <w:i/>
          <w:iCs/>
          <w:lang w:bidi="en-US"/>
        </w:rPr>
        <w:t>Fice</w:t>
      </w:r>
      <w:proofErr w:type="spellEnd"/>
      <w:r w:rsidRPr="005E0713">
        <w:rPr>
          <w:rFonts w:cs="Times New Roman"/>
          <w:iCs/>
          <w:lang w:bidi="en-US"/>
        </w:rPr>
        <w:t>, que la notion de « peine » désigne</w:t>
      </w:r>
      <w:r w:rsidRPr="005E0713">
        <w:rPr>
          <w:rFonts w:cs="Times New Roman"/>
        </w:rPr>
        <w:t xml:space="preserve"> l</w:t>
      </w:r>
      <w:r w:rsidRPr="005E0713">
        <w:rPr>
          <w:rFonts w:cs="Times New Roman"/>
          <w:iCs/>
          <w:lang w:bidi="en-US"/>
        </w:rPr>
        <w:t>a punition globale et no</w:t>
      </w:r>
      <w:r w:rsidRPr="005E0713">
        <w:rPr>
          <w:rFonts w:cs="Times New Roman"/>
        </w:rPr>
        <w:t>n l</w:t>
      </w:r>
      <w:r w:rsidRPr="005E0713">
        <w:rPr>
          <w:rFonts w:cs="Times New Roman"/>
          <w:iCs/>
          <w:lang w:bidi="en-US"/>
        </w:rPr>
        <w:t>a sentence (</w:t>
      </w:r>
      <w:r w:rsidRPr="005E0713">
        <w:rPr>
          <w:rFonts w:cs="Times New Roman"/>
          <w:i/>
          <w:iCs/>
          <w:lang w:bidi="en-US"/>
        </w:rPr>
        <w:t>R. c. Walker</w:t>
      </w:r>
      <w:r w:rsidRPr="005E0713">
        <w:rPr>
          <w:rFonts w:cs="Times New Roman"/>
          <w:iCs/>
          <w:lang w:bidi="en-US"/>
        </w:rPr>
        <w:t>, 2017 ONCA 39, 345 C.C.C. (3d) 497, par. 20</w:t>
      </w:r>
      <w:r w:rsidRPr="005E0713">
        <w:rPr>
          <w:rFonts w:cs="Times New Roman"/>
          <w:iCs/>
          <w:lang w:bidi="en-US"/>
        </w:rPr>
        <w:noBreakHyphen/>
        <w:t xml:space="preserve">26; </w:t>
      </w:r>
      <w:r w:rsidRPr="005E0713">
        <w:rPr>
          <w:rFonts w:cs="Times New Roman"/>
          <w:i/>
          <w:iCs/>
          <w:lang w:bidi="en-US"/>
        </w:rPr>
        <w:t xml:space="preserve">R. c. </w:t>
      </w:r>
      <w:proofErr w:type="spellStart"/>
      <w:r w:rsidRPr="005E0713">
        <w:rPr>
          <w:rFonts w:cs="Times New Roman"/>
          <w:i/>
          <w:iCs/>
          <w:lang w:bidi="en-US"/>
        </w:rPr>
        <w:t>Severight</w:t>
      </w:r>
      <w:proofErr w:type="spellEnd"/>
      <w:r w:rsidRPr="005E0713">
        <w:rPr>
          <w:rFonts w:cs="Times New Roman"/>
          <w:iCs/>
          <w:lang w:bidi="en-US"/>
        </w:rPr>
        <w:t xml:space="preserve">, 2014 ABCA 25, 566 A.R. 344, par. 32; </w:t>
      </w:r>
      <w:r w:rsidRPr="005E0713">
        <w:rPr>
          <w:rFonts w:cs="Times New Roman"/>
          <w:i/>
          <w:iCs/>
          <w:lang w:bidi="en-US"/>
        </w:rPr>
        <w:t xml:space="preserve">R. c. </w:t>
      </w:r>
      <w:proofErr w:type="spellStart"/>
      <w:r w:rsidRPr="005E0713">
        <w:rPr>
          <w:rFonts w:cs="Times New Roman"/>
          <w:i/>
          <w:iCs/>
          <w:lang w:bidi="en-US"/>
        </w:rPr>
        <w:t>LeBlanc</w:t>
      </w:r>
      <w:proofErr w:type="spellEnd"/>
      <w:r w:rsidRPr="005E0713">
        <w:rPr>
          <w:rFonts w:cs="Times New Roman"/>
          <w:iCs/>
          <w:lang w:bidi="en-US"/>
        </w:rPr>
        <w:t>, 2005 NBCA 6, 279 R.N.</w:t>
      </w:r>
      <w:r w:rsidRPr="005E0713">
        <w:rPr>
          <w:rFonts w:cs="Times New Roman"/>
          <w:iCs/>
          <w:lang w:bidi="en-US"/>
        </w:rPr>
        <w:noBreakHyphen/>
        <w:t>B. (2e) 121, par. 63).</w:t>
      </w:r>
    </w:p>
    <w:p w14:paraId="7214402C" w14:textId="77777777" w:rsidR="000E6B3D" w:rsidRPr="005E0713" w:rsidRDefault="000E6B3D" w:rsidP="000E6B3D">
      <w:pPr>
        <w:pStyle w:val="ParaNoNdepar-AltN"/>
        <w:tabs>
          <w:tab w:val="clear" w:pos="1152"/>
          <w:tab w:val="left" w:pos="1166"/>
        </w:tabs>
        <w:rPr>
          <w:rFonts w:cs="Times New Roman"/>
        </w:rPr>
      </w:pPr>
      <w:r w:rsidRPr="005E0713">
        <w:rPr>
          <w:rFonts w:cs="Times New Roman"/>
        </w:rPr>
        <w:t>La distinction entre « peine » au sens de punition et « peine » au sens de sentence est consacrée dans le lexique français du droit canadien, en tenant compte de la polysémie du terme « peine » (</w:t>
      </w:r>
      <w:r w:rsidRPr="005E0713">
        <w:rPr>
          <w:rFonts w:cs="Times New Roman"/>
          <w:lang w:bidi="en-US"/>
        </w:rPr>
        <w:t xml:space="preserve">Commission canadienne sur la détermination de la </w:t>
      </w:r>
      <w:r w:rsidRPr="005E0713">
        <w:rPr>
          <w:rFonts w:cs="Times New Roman"/>
          <w:lang w:bidi="en-US"/>
        </w:rPr>
        <w:lastRenderedPageBreak/>
        <w:t>peine (1987), p. 118 et 121)</w:t>
      </w:r>
      <w:r w:rsidRPr="005E0713">
        <w:rPr>
          <w:rFonts w:cs="Times New Roman"/>
        </w:rPr>
        <w:t>. On notera que, selon le contexte, le terme « peine » peut renvoyer soit à la punition globale subie par le contrevenant (en anglais « </w:t>
      </w:r>
      <w:proofErr w:type="spellStart"/>
      <w:r w:rsidRPr="005E0713">
        <w:rPr>
          <w:rFonts w:cs="Times New Roman"/>
          <w:i/>
        </w:rPr>
        <w:t>punishment</w:t>
      </w:r>
      <w:proofErr w:type="spellEnd"/>
      <w:r w:rsidRPr="005E0713">
        <w:rPr>
          <w:rFonts w:cs="Times New Roman"/>
        </w:rPr>
        <w:t> »), soit à la sentence prononcée à l’égard de celui-ci (en anglais « </w:t>
      </w:r>
      <w:r w:rsidRPr="005E0713">
        <w:rPr>
          <w:rFonts w:cs="Times New Roman"/>
          <w:i/>
        </w:rPr>
        <w:t>sentence</w:t>
      </w:r>
      <w:r w:rsidRPr="005E0713">
        <w:rPr>
          <w:rFonts w:cs="Times New Roman"/>
        </w:rPr>
        <w:t xml:space="preserve"> ») (voir le </w:t>
      </w:r>
      <w:r w:rsidRPr="005E0713">
        <w:rPr>
          <w:rFonts w:cs="Times New Roman"/>
          <w:i/>
        </w:rPr>
        <w:t>Lexique en droit pénal</w:t>
      </w:r>
      <w:r w:rsidRPr="005E0713">
        <w:rPr>
          <w:rFonts w:cs="Times New Roman"/>
        </w:rPr>
        <w:t xml:space="preserve"> de la Cour d’appel du Québec (en ligne)). </w:t>
      </w:r>
      <w:r w:rsidRPr="005E0713">
        <w:rPr>
          <w:rFonts w:cs="Times New Roman"/>
          <w:lang w:bidi="en-US"/>
        </w:rPr>
        <w:t>C’est ce qui a conduit la Commission à écrire que la pein</w:t>
      </w:r>
      <w:r w:rsidRPr="005E0713">
        <w:rPr>
          <w:rFonts w:cs="Times New Roman"/>
        </w:rPr>
        <w:t>e</w:t>
      </w:r>
      <w:r w:rsidRPr="005E0713">
        <w:rPr>
          <w:rFonts w:cs="Times New Roman"/>
          <w:lang w:bidi="en-US"/>
        </w:rPr>
        <w:t xml:space="preserve"> au sens de « punition » diffère fondamentalement de la sentence. </w:t>
      </w:r>
      <w:r w:rsidRPr="005E0713">
        <w:rPr>
          <w:rFonts w:cs="Times New Roman"/>
        </w:rPr>
        <w:t xml:space="preserve">Le </w:t>
      </w:r>
      <w:proofErr w:type="spellStart"/>
      <w:r w:rsidRPr="005E0713">
        <w:rPr>
          <w:rFonts w:cs="Times New Roman"/>
          <w:i/>
        </w:rPr>
        <w:t>Juridictionnaire</w:t>
      </w:r>
      <w:proofErr w:type="spellEnd"/>
      <w:r w:rsidRPr="005E0713">
        <w:rPr>
          <w:rFonts w:cs="Times New Roman"/>
        </w:rPr>
        <w:t xml:space="preserve">, ouvrage canadien de </w:t>
      </w:r>
      <w:proofErr w:type="spellStart"/>
      <w:r w:rsidRPr="005E0713">
        <w:rPr>
          <w:rFonts w:cs="Times New Roman"/>
        </w:rPr>
        <w:t>jurilinguistique</w:t>
      </w:r>
      <w:proofErr w:type="spellEnd"/>
      <w:r w:rsidRPr="005E0713">
        <w:rPr>
          <w:rFonts w:cs="Times New Roman"/>
        </w:rPr>
        <w:t xml:space="preserve"> publié par le Centre de traduction et de terminologie juridiques de l’Université de Moncton, reprend cette distinction, soulignant que « [l]a </w:t>
      </w:r>
      <w:r w:rsidRPr="005E0713">
        <w:rPr>
          <w:rFonts w:cs="Times New Roman"/>
          <w:i/>
        </w:rPr>
        <w:t>peine</w:t>
      </w:r>
      <w:r w:rsidRPr="005E0713">
        <w:rPr>
          <w:rFonts w:cs="Times New Roman"/>
        </w:rPr>
        <w:t xml:space="preserve"> [au sens de « punition »] est la sanction </w:t>
      </w:r>
      <w:r w:rsidRPr="005E0713">
        <w:rPr>
          <w:rFonts w:cs="Times New Roman"/>
          <w:i/>
        </w:rPr>
        <w:t>encourue</w:t>
      </w:r>
      <w:r w:rsidRPr="005E0713">
        <w:rPr>
          <w:rFonts w:cs="Times New Roman"/>
        </w:rPr>
        <w:t xml:space="preserve">, alors que la </w:t>
      </w:r>
      <w:r w:rsidRPr="005E0713">
        <w:rPr>
          <w:rFonts w:cs="Times New Roman"/>
          <w:i/>
        </w:rPr>
        <w:t>sentence</w:t>
      </w:r>
      <w:r w:rsidRPr="005E0713">
        <w:rPr>
          <w:rFonts w:cs="Times New Roman"/>
        </w:rPr>
        <w:t xml:space="preserve"> est la décision de justice qui </w:t>
      </w:r>
      <w:r w:rsidRPr="005E0713">
        <w:rPr>
          <w:rFonts w:cs="Times New Roman"/>
          <w:i/>
        </w:rPr>
        <w:t>condamne à une peine</w:t>
      </w:r>
      <w:r w:rsidRPr="005E0713">
        <w:rPr>
          <w:rFonts w:cs="Times New Roman"/>
        </w:rPr>
        <w:t> » (J. </w:t>
      </w:r>
      <w:proofErr w:type="spellStart"/>
      <w:r w:rsidRPr="005E0713">
        <w:rPr>
          <w:rFonts w:cs="Times New Roman"/>
        </w:rPr>
        <w:t>Picotte</w:t>
      </w:r>
      <w:proofErr w:type="spellEnd"/>
      <w:r w:rsidRPr="005E0713">
        <w:rPr>
          <w:rFonts w:cs="Times New Roman"/>
        </w:rPr>
        <w:t xml:space="preserve">, </w:t>
      </w:r>
      <w:proofErr w:type="spellStart"/>
      <w:r w:rsidRPr="005E0713">
        <w:rPr>
          <w:rFonts w:cs="Times New Roman"/>
          <w:i/>
        </w:rPr>
        <w:t>Juridictionnaire</w:t>
      </w:r>
      <w:proofErr w:type="spellEnd"/>
      <w:r w:rsidRPr="005E0713">
        <w:rPr>
          <w:rFonts w:cs="Times New Roman"/>
          <w:i/>
        </w:rPr>
        <w:t> : Recueil des difficultés et des ressources du français juridique</w:t>
      </w:r>
      <w:r w:rsidRPr="005E0713">
        <w:rPr>
          <w:rFonts w:cs="Times New Roman"/>
        </w:rPr>
        <w:t>, 15 octobre 2018 (en ligne), p. 2035, par. 24 (en italique dans l’original)). Autrement dit, alors que la sentence commence le jour où elle est prononcée par le tribunal, la punition englobe « [t]</w:t>
      </w:r>
      <w:proofErr w:type="spellStart"/>
      <w:r w:rsidRPr="005E0713">
        <w:rPr>
          <w:rFonts w:cs="Times New Roman"/>
        </w:rPr>
        <w:t>oute</w:t>
      </w:r>
      <w:proofErr w:type="spellEnd"/>
      <w:r w:rsidRPr="005E0713">
        <w:rPr>
          <w:rFonts w:cs="Times New Roman"/>
        </w:rPr>
        <w:t xml:space="preserve"> sanction infligée par une autorité judiciaire dans l’application d’une loi pénale » (H. Dumont, </w:t>
      </w:r>
      <w:r w:rsidRPr="005E0713">
        <w:rPr>
          <w:rFonts w:cs="Times New Roman"/>
          <w:i/>
        </w:rPr>
        <w:t>Pénologie : Le droit canadien relatif aux peines et aux sentences</w:t>
      </w:r>
      <w:r w:rsidRPr="005E0713">
        <w:rPr>
          <w:rFonts w:cs="Times New Roman"/>
        </w:rPr>
        <w:t xml:space="preserve"> (1993), p. 47).</w:t>
      </w:r>
    </w:p>
    <w:p w14:paraId="0DEEC8FB" w14:textId="77777777" w:rsidR="000E6B3D" w:rsidRPr="005E0713" w:rsidRDefault="000E6B3D" w:rsidP="000E6B3D">
      <w:pPr>
        <w:pStyle w:val="ParaNoNdepar-AltN"/>
        <w:rPr>
          <w:rFonts w:cs="Times New Roman"/>
          <w:lang w:bidi="en-US"/>
        </w:rPr>
      </w:pPr>
      <w:r w:rsidRPr="005E0713">
        <w:rPr>
          <w:rFonts w:cs="Times New Roman"/>
        </w:rPr>
        <w:t xml:space="preserve">Le double sens du terme « peine » est illustré à plusieurs endroits dans le </w:t>
      </w:r>
      <w:r w:rsidRPr="005E0713">
        <w:rPr>
          <w:rFonts w:cs="Times New Roman"/>
          <w:i/>
        </w:rPr>
        <w:t>Code criminel</w:t>
      </w:r>
      <w:r w:rsidRPr="005E0713">
        <w:rPr>
          <w:rFonts w:cs="Times New Roman"/>
        </w:rPr>
        <w:t>. Par exemple, le par. 718.3(2), qui limite le pouvoir discrétionnaire du tribunal en présence d’une peine minimale obligatoire, utilise le terme « peine » comme équivalent du terme anglais « </w:t>
      </w:r>
      <w:proofErr w:type="spellStart"/>
      <w:r w:rsidRPr="005E0713">
        <w:rPr>
          <w:rFonts w:cs="Times New Roman"/>
          <w:i/>
        </w:rPr>
        <w:t>punishment</w:t>
      </w:r>
      <w:proofErr w:type="spellEnd"/>
      <w:r w:rsidRPr="005E0713">
        <w:rPr>
          <w:rFonts w:cs="Times New Roman"/>
        </w:rPr>
        <w:t xml:space="preserve"> ». Par contraste, le par. 719(1), qui prévoit que </w:t>
      </w:r>
      <w:r w:rsidRPr="005E0713">
        <w:rPr>
          <w:rFonts w:cs="Times New Roman"/>
          <w:lang w:bidi="en-US"/>
        </w:rPr>
        <w:t xml:space="preserve">« [l]a peine commence au moment où elle est infligée », emploie </w:t>
      </w:r>
      <w:r w:rsidRPr="005E0713">
        <w:rPr>
          <w:rFonts w:cs="Times New Roman"/>
        </w:rPr>
        <w:t>également le terme « peine », mais cette fois à titre d’équivalent du terme anglais « </w:t>
      </w:r>
      <w:r w:rsidRPr="005E0713">
        <w:rPr>
          <w:rFonts w:cs="Times New Roman"/>
          <w:i/>
        </w:rPr>
        <w:t>sentence</w:t>
      </w:r>
      <w:r w:rsidRPr="005E0713">
        <w:rPr>
          <w:rFonts w:cs="Times New Roman"/>
        </w:rPr>
        <w:t xml:space="preserve"> ». L’identification de l’équivalent exact en anglais du terme « peine » (soit </w:t>
      </w:r>
      <w:r w:rsidRPr="005E0713">
        <w:rPr>
          <w:rFonts w:cs="Times New Roman"/>
        </w:rPr>
        <w:lastRenderedPageBreak/>
        <w:t>« </w:t>
      </w:r>
      <w:proofErr w:type="spellStart"/>
      <w:r w:rsidRPr="005E0713">
        <w:rPr>
          <w:rFonts w:cs="Times New Roman"/>
          <w:i/>
        </w:rPr>
        <w:t>punishment</w:t>
      </w:r>
      <w:proofErr w:type="spellEnd"/>
      <w:r w:rsidRPr="005E0713">
        <w:rPr>
          <w:rFonts w:cs="Times New Roman"/>
        </w:rPr>
        <w:t> », soit « </w:t>
      </w:r>
      <w:r w:rsidRPr="005E0713">
        <w:rPr>
          <w:rFonts w:cs="Times New Roman"/>
          <w:i/>
        </w:rPr>
        <w:t>sentence</w:t>
      </w:r>
      <w:r w:rsidRPr="005E0713">
        <w:rPr>
          <w:rFonts w:cs="Times New Roman"/>
        </w:rPr>
        <w:t> ») varie selon le contexte; ce doublet peut donc soulever des difficultés interprétatives en droit criminel canadien, où les règles applicables à l’interprétation du lexique législatif bilingue donnent à chaque texte linguistique une vocation égale à dire le droit. Bien entendu, cela ne signifie pas que le terme anglais « </w:t>
      </w:r>
      <w:r w:rsidRPr="005E0713">
        <w:rPr>
          <w:rFonts w:cs="Times New Roman"/>
          <w:i/>
        </w:rPr>
        <w:t>sentence</w:t>
      </w:r>
      <w:r w:rsidRPr="005E0713">
        <w:rPr>
          <w:rFonts w:cs="Times New Roman"/>
        </w:rPr>
        <w:t> » est exclusivement employé pour référer à la décision de justice imposant une punition. À titre d’exemple, l’expression « </w:t>
      </w:r>
      <w:r w:rsidRPr="005E0713">
        <w:rPr>
          <w:rFonts w:cs="Times New Roman"/>
          <w:i/>
        </w:rPr>
        <w:t>fit sentence</w:t>
      </w:r>
      <w:r w:rsidRPr="005E0713">
        <w:rPr>
          <w:rFonts w:cs="Times New Roman"/>
        </w:rPr>
        <w:t xml:space="preserve"> » (souvent rendue par « peine juste » en français) renvoie généralement à l’idée de la punition globale appropriée (voir, p. ex., </w:t>
      </w:r>
      <w:r w:rsidRPr="005E0713">
        <w:rPr>
          <w:rFonts w:cs="Times New Roman"/>
          <w:i/>
        </w:rPr>
        <w:t>R. c. Hills</w:t>
      </w:r>
      <w:r w:rsidRPr="005E0713">
        <w:rPr>
          <w:rFonts w:cs="Times New Roman"/>
        </w:rPr>
        <w:t>, 2023 CSC 2, par. 45).</w:t>
      </w:r>
    </w:p>
    <w:p w14:paraId="1CA0F55D" w14:textId="77777777" w:rsidR="000E6B3D" w:rsidRPr="005E0713" w:rsidRDefault="000E6B3D" w:rsidP="000E6B3D">
      <w:pPr>
        <w:pStyle w:val="ParaNoNdepar-AltN"/>
        <w:rPr>
          <w:rFonts w:cs="Times New Roman"/>
          <w:lang w:bidi="en-US"/>
        </w:rPr>
      </w:pPr>
      <w:r w:rsidRPr="005E0713">
        <w:rPr>
          <w:rFonts w:cs="Times New Roman"/>
        </w:rPr>
        <w:t>Devant cette réalité, et au</w:t>
      </w:r>
      <w:r w:rsidRPr="005E0713">
        <w:rPr>
          <w:rFonts w:cs="Times New Roman"/>
        </w:rPr>
        <w:noBreakHyphen/>
        <w:t>delà de la terminologie utilisée, il y a lieu de porter une attention particulière à l’objet et au contexte des dispositions pertinentes (</w:t>
      </w:r>
      <w:proofErr w:type="spellStart"/>
      <w:r w:rsidRPr="005E0713">
        <w:rPr>
          <w:rFonts w:cs="Times New Roman"/>
          <w:i/>
        </w:rPr>
        <w:t>Wust</w:t>
      </w:r>
      <w:proofErr w:type="spellEnd"/>
      <w:r w:rsidRPr="005E0713">
        <w:rPr>
          <w:rFonts w:cs="Times New Roman"/>
        </w:rPr>
        <w:t>, par. 36).</w:t>
      </w:r>
      <w:r w:rsidRPr="005E0713">
        <w:rPr>
          <w:rFonts w:cs="Times New Roman"/>
          <w:lang w:bidi="en-US"/>
        </w:rPr>
        <w:t xml:space="preserve"> </w:t>
      </w:r>
      <w:r w:rsidRPr="005E0713">
        <w:rPr>
          <w:rFonts w:cs="Times New Roman"/>
          <w:szCs w:val="24"/>
        </w:rPr>
        <w:t>Certes, on peut s’attendre à ce que, règle général</w:t>
      </w:r>
      <w:r w:rsidRPr="005E0713">
        <w:rPr>
          <w:rFonts w:cs="Times New Roman"/>
        </w:rPr>
        <w:t>e</w:t>
      </w:r>
      <w:r w:rsidRPr="005E0713">
        <w:rPr>
          <w:rFonts w:cs="Times New Roman"/>
          <w:szCs w:val="24"/>
        </w:rPr>
        <w:t>, le législateur s’astreign</w:t>
      </w:r>
      <w:r w:rsidRPr="005E0713">
        <w:rPr>
          <w:rFonts w:cs="Times New Roman"/>
        </w:rPr>
        <w:t>e dans le discours législatif</w:t>
      </w:r>
      <w:r w:rsidRPr="005E0713">
        <w:rPr>
          <w:rFonts w:cs="Times New Roman"/>
          <w:szCs w:val="24"/>
        </w:rPr>
        <w:t xml:space="preserve"> à une « discipline » consistant à ne pas employer le même mot dans des sens différents au sein d’une même loi (G. Cornu, </w:t>
      </w:r>
      <w:r w:rsidRPr="005E0713">
        <w:rPr>
          <w:rFonts w:cs="Times New Roman"/>
          <w:i/>
          <w:szCs w:val="24"/>
        </w:rPr>
        <w:t>Linguistique juridique</w:t>
      </w:r>
      <w:r w:rsidRPr="005E0713">
        <w:rPr>
          <w:rFonts w:cs="Times New Roman"/>
          <w:szCs w:val="24"/>
        </w:rPr>
        <w:t xml:space="preserve"> (3</w:t>
      </w:r>
      <w:r w:rsidRPr="005E0713">
        <w:rPr>
          <w:rFonts w:cs="Times New Roman"/>
          <w:szCs w:val="24"/>
          <w:vertAlign w:val="superscript"/>
        </w:rPr>
        <w:t>e</w:t>
      </w:r>
      <w:r w:rsidRPr="005E0713">
        <w:rPr>
          <w:rFonts w:cs="Times New Roman"/>
          <w:szCs w:val="24"/>
        </w:rPr>
        <w:t xml:space="preserve"> éd. 2005), p. 105). Dans le même ordre d’idées, les professeurs Côté et </w:t>
      </w:r>
      <w:proofErr w:type="spellStart"/>
      <w:r w:rsidRPr="005E0713">
        <w:rPr>
          <w:rFonts w:cs="Times New Roman"/>
          <w:szCs w:val="24"/>
        </w:rPr>
        <w:t>Devinat</w:t>
      </w:r>
      <w:proofErr w:type="spellEnd"/>
      <w:r w:rsidRPr="005E0713">
        <w:rPr>
          <w:rFonts w:cs="Times New Roman"/>
          <w:szCs w:val="24"/>
        </w:rPr>
        <w:t xml:space="preserve"> font état du « principe de l’uniformité d’expression » que le législateur s’efforce de respect</w:t>
      </w:r>
      <w:r w:rsidRPr="005E0713">
        <w:rPr>
          <w:rFonts w:cs="Times New Roman"/>
        </w:rPr>
        <w:t>er</w:t>
      </w:r>
      <w:r w:rsidRPr="005E0713">
        <w:rPr>
          <w:rFonts w:cs="Times New Roman"/>
          <w:szCs w:val="24"/>
        </w:rPr>
        <w:t xml:space="preserve"> et</w:t>
      </w:r>
      <w:r w:rsidRPr="005E0713">
        <w:rPr>
          <w:rFonts w:cs="Times New Roman"/>
        </w:rPr>
        <w:t xml:space="preserve"> q</w:t>
      </w:r>
      <w:r w:rsidRPr="005E0713">
        <w:rPr>
          <w:rFonts w:cs="Times New Roman"/>
          <w:szCs w:val="24"/>
        </w:rPr>
        <w:t>ui justifie l’existence,</w:t>
      </w:r>
      <w:r w:rsidRPr="005E0713">
        <w:rPr>
          <w:rFonts w:cs="Times New Roman"/>
        </w:rPr>
        <w:t xml:space="preserve"> en matière d’interprétation législative</w:t>
      </w:r>
      <w:r w:rsidRPr="005E0713">
        <w:rPr>
          <w:rFonts w:cs="Times New Roman"/>
          <w:szCs w:val="24"/>
        </w:rPr>
        <w:t>, d’une présomption selon laquelle, dans une même loi, « le même terme a partout le même sens » (n</w:t>
      </w:r>
      <w:r w:rsidRPr="005E0713">
        <w:rPr>
          <w:rFonts w:cs="Times New Roman"/>
          <w:szCs w:val="24"/>
          <w:vertAlign w:val="superscript"/>
        </w:rPr>
        <w:t>os</w:t>
      </w:r>
      <w:r w:rsidRPr="005E0713">
        <w:rPr>
          <w:rFonts w:cs="Times New Roman"/>
          <w:szCs w:val="24"/>
        </w:rPr>
        <w:t> 1142</w:t>
      </w:r>
      <w:r w:rsidRPr="005E0713">
        <w:rPr>
          <w:rFonts w:cs="Times New Roman"/>
          <w:szCs w:val="24"/>
        </w:rPr>
        <w:noBreakHyphen/>
        <w:t>1143). Or, constatent-ils, cette présomption « doit céder le pas lorsqu’il ressort des circonstances que telle n’était pas l’intention du législateur » (n</w:t>
      </w:r>
      <w:r w:rsidRPr="005E0713">
        <w:rPr>
          <w:rFonts w:cs="Times New Roman"/>
          <w:szCs w:val="24"/>
          <w:vertAlign w:val="superscript"/>
        </w:rPr>
        <w:t>o</w:t>
      </w:r>
      <w:r w:rsidRPr="005E0713">
        <w:rPr>
          <w:rFonts w:cs="Times New Roman"/>
          <w:szCs w:val="24"/>
        </w:rPr>
        <w:t xml:space="preserve"> 1146, citant </w:t>
      </w:r>
      <w:r w:rsidRPr="005E0713">
        <w:rPr>
          <w:rFonts w:cs="Times New Roman"/>
          <w:i/>
          <w:szCs w:val="24"/>
        </w:rPr>
        <w:t>Schwartz c. Canada</w:t>
      </w:r>
      <w:r w:rsidRPr="005E0713">
        <w:rPr>
          <w:rFonts w:cs="Times New Roman"/>
          <w:szCs w:val="24"/>
        </w:rPr>
        <w:t>, [1996] 1 R.C.S. 254, par. 61). J’estime que nous sommes en présence d’un tel cas ici. Le</w:t>
      </w:r>
      <w:r w:rsidRPr="005E0713">
        <w:rPr>
          <w:rFonts w:cs="Times New Roman"/>
        </w:rPr>
        <w:t xml:space="preserve"> mot « peine » </w:t>
      </w:r>
      <w:r w:rsidRPr="005E0713">
        <w:rPr>
          <w:rFonts w:cs="Times New Roman"/>
          <w:szCs w:val="24"/>
        </w:rPr>
        <w:t xml:space="preserve">est utilisé dans des sens différents </w:t>
      </w:r>
      <w:r w:rsidRPr="005E0713">
        <w:rPr>
          <w:rFonts w:cs="Times New Roman"/>
        </w:rPr>
        <w:t>d</w:t>
      </w:r>
      <w:r w:rsidRPr="005E0713">
        <w:rPr>
          <w:rFonts w:cs="Times New Roman"/>
          <w:szCs w:val="24"/>
        </w:rPr>
        <w:t xml:space="preserve">ans le </w:t>
      </w:r>
      <w:r w:rsidRPr="005E0713">
        <w:rPr>
          <w:rFonts w:cs="Times New Roman"/>
          <w:i/>
          <w:szCs w:val="24"/>
        </w:rPr>
        <w:t>Code criminel</w:t>
      </w:r>
      <w:r w:rsidRPr="005E0713">
        <w:rPr>
          <w:rFonts w:cs="Times New Roman"/>
          <w:szCs w:val="24"/>
        </w:rPr>
        <w:t>,</w:t>
      </w:r>
      <w:r w:rsidRPr="005E0713">
        <w:rPr>
          <w:rFonts w:cs="Times New Roman"/>
        </w:rPr>
        <w:t xml:space="preserve"> tantôt </w:t>
      </w:r>
      <w:r w:rsidRPr="005E0713">
        <w:rPr>
          <w:rFonts w:cs="Times New Roman"/>
          <w:szCs w:val="24"/>
        </w:rPr>
        <w:t xml:space="preserve">pour désigner la sentence, c’est-à-dire la décision de </w:t>
      </w:r>
      <w:r w:rsidRPr="005E0713">
        <w:rPr>
          <w:rFonts w:cs="Times New Roman"/>
          <w:szCs w:val="24"/>
        </w:rPr>
        <w:lastRenderedPageBreak/>
        <w:t>justice</w:t>
      </w:r>
      <w:r w:rsidRPr="005E0713">
        <w:rPr>
          <w:rFonts w:cs="Times New Roman"/>
        </w:rPr>
        <w:t>, t</w:t>
      </w:r>
      <w:r w:rsidRPr="005E0713">
        <w:rPr>
          <w:rFonts w:cs="Times New Roman"/>
          <w:szCs w:val="24"/>
        </w:rPr>
        <w:t xml:space="preserve">antôt la punition. Je précise que la plupart des affaires n’impliquant pas de période d’interdiction ou de détention </w:t>
      </w:r>
      <w:proofErr w:type="spellStart"/>
      <w:r w:rsidRPr="005E0713">
        <w:rPr>
          <w:rFonts w:cs="Times New Roman"/>
          <w:szCs w:val="24"/>
        </w:rPr>
        <w:t>présentencielle</w:t>
      </w:r>
      <w:proofErr w:type="spellEnd"/>
      <w:r w:rsidRPr="005E0713">
        <w:rPr>
          <w:rFonts w:cs="Times New Roman"/>
          <w:szCs w:val="24"/>
        </w:rPr>
        <w:t xml:space="preserve"> ne reposent pas sur la distinction conceptuelle entre les notions de sentence et de punition.</w:t>
      </w:r>
    </w:p>
    <w:p w14:paraId="65F1C2C1" w14:textId="77777777" w:rsidR="000E6B3D" w:rsidRPr="005E0713" w:rsidRDefault="000E6B3D" w:rsidP="000E6B3D">
      <w:pPr>
        <w:pStyle w:val="ParaNoNdepar-AltN"/>
        <w:tabs>
          <w:tab w:val="clear" w:pos="1152"/>
          <w:tab w:val="left" w:pos="1166"/>
        </w:tabs>
        <w:rPr>
          <w:rFonts w:cs="Times New Roman"/>
          <w:lang w:bidi="en-US"/>
        </w:rPr>
      </w:pPr>
      <w:r w:rsidRPr="005E0713">
        <w:rPr>
          <w:rFonts w:cs="Times New Roman"/>
          <w:lang w:bidi="en-US"/>
        </w:rPr>
        <w:t xml:space="preserve">Ayant ici cette distinction à l’esprit, je souligne </w:t>
      </w:r>
      <w:r w:rsidRPr="005E0713">
        <w:rPr>
          <w:rFonts w:cs="Times New Roman"/>
        </w:rPr>
        <w:t xml:space="preserve">que l’approche préconisée par l’appelante dans son mémoire risque de prêter à confusion. En effet, l’appelante suggère que l’octroi d’un crédit entraîne l’imposition d’une interdiction inférieure au minimum prévu par la loi. Cette approche fait écho à un courant jurisprudentiel exemplifié par l’arrêt </w:t>
      </w:r>
      <w:r w:rsidRPr="005E0713">
        <w:rPr>
          <w:rFonts w:cs="Times New Roman"/>
          <w:i/>
        </w:rPr>
        <w:t xml:space="preserve">R. c. </w:t>
      </w:r>
      <w:proofErr w:type="spellStart"/>
      <w:r w:rsidRPr="005E0713">
        <w:rPr>
          <w:rFonts w:cs="Times New Roman"/>
          <w:i/>
        </w:rPr>
        <w:t>Sohal</w:t>
      </w:r>
      <w:proofErr w:type="spellEnd"/>
      <w:r w:rsidRPr="005E0713">
        <w:rPr>
          <w:rFonts w:cs="Times New Roman"/>
        </w:rPr>
        <w:t xml:space="preserve">, 2019 ABCA 293, 91 Alta. L.R. (6th) 48, lequel ne semble pas distinguer les notions de punition et de sentence. Cette approche suggère, à tort à mon humble avis, que l’adoption par le Parlement d’une peine minimale </w:t>
      </w:r>
      <w:r>
        <w:rPr>
          <w:rFonts w:cs="Times New Roman"/>
        </w:rPr>
        <w:t xml:space="preserve">obligatoire </w:t>
      </w:r>
      <w:r w:rsidRPr="005E0713">
        <w:rPr>
          <w:rFonts w:cs="Times New Roman"/>
        </w:rPr>
        <w:t xml:space="preserve">oblige le tribunal à prononcer une </w:t>
      </w:r>
      <w:r w:rsidRPr="005E0713">
        <w:rPr>
          <w:rFonts w:cs="Times New Roman"/>
          <w:i/>
        </w:rPr>
        <w:t>sentence</w:t>
      </w:r>
      <w:r w:rsidRPr="005E0713">
        <w:rPr>
          <w:rFonts w:cs="Times New Roman"/>
        </w:rPr>
        <w:t xml:space="preserve"> minimale (voir aussi</w:t>
      </w:r>
      <w:r w:rsidRPr="005E0713">
        <w:rPr>
          <w:rFonts w:cs="Times New Roman"/>
          <w:i/>
        </w:rPr>
        <w:t xml:space="preserve"> R. c. Fox</w:t>
      </w:r>
      <w:r w:rsidRPr="005E0713">
        <w:rPr>
          <w:rFonts w:cs="Times New Roman"/>
        </w:rPr>
        <w:t xml:space="preserve">, 2022 ABQB 132, 89 M.V.R. (7th) 23; </w:t>
      </w:r>
      <w:r w:rsidRPr="005E0713">
        <w:rPr>
          <w:rFonts w:cs="Times New Roman"/>
          <w:i/>
        </w:rPr>
        <w:t xml:space="preserve">R. c. </w:t>
      </w:r>
      <w:proofErr w:type="spellStart"/>
      <w:r w:rsidRPr="005E0713">
        <w:rPr>
          <w:rFonts w:cs="Times New Roman"/>
          <w:i/>
        </w:rPr>
        <w:t>Froese</w:t>
      </w:r>
      <w:proofErr w:type="spellEnd"/>
      <w:r w:rsidRPr="005E0713">
        <w:rPr>
          <w:rFonts w:cs="Times New Roman"/>
        </w:rPr>
        <w:t xml:space="preserve">, 2020 MBQB 11, 461 C.R.R. (2d) 1; </w:t>
      </w:r>
      <w:r w:rsidRPr="005E0713">
        <w:rPr>
          <w:rFonts w:cs="Times New Roman"/>
          <w:i/>
        </w:rPr>
        <w:t xml:space="preserve">R. c. </w:t>
      </w:r>
      <w:proofErr w:type="spellStart"/>
      <w:r w:rsidRPr="005E0713">
        <w:rPr>
          <w:rFonts w:cs="Times New Roman"/>
          <w:i/>
        </w:rPr>
        <w:t>Osnach</w:t>
      </w:r>
      <w:proofErr w:type="spellEnd"/>
      <w:r w:rsidRPr="005E0713">
        <w:rPr>
          <w:rFonts w:cs="Times New Roman"/>
        </w:rPr>
        <w:t>, 2019 MBPC 1, 38 M.V.R. (7th) 257;</w:t>
      </w:r>
      <w:r w:rsidRPr="005E0713">
        <w:rPr>
          <w:rFonts w:cs="Times New Roman"/>
          <w:i/>
        </w:rPr>
        <w:t xml:space="preserve"> R. c. Bryden</w:t>
      </w:r>
      <w:r w:rsidRPr="005E0713">
        <w:rPr>
          <w:rFonts w:cs="Times New Roman"/>
        </w:rPr>
        <w:t>, 2007 NBBR 316, 323 R.N.</w:t>
      </w:r>
      <w:r w:rsidRPr="005E0713">
        <w:rPr>
          <w:rFonts w:cs="Times New Roman"/>
        </w:rPr>
        <w:noBreakHyphen/>
        <w:t>B. (2e) 119). Selon cette approche, aucune assise juridique ne permet de réduire la sentence minimale obligatoire, puisque [</w:t>
      </w:r>
      <w:r w:rsidRPr="005E0713">
        <w:rPr>
          <w:rFonts w:cs="Times New Roman"/>
          <w:smallCaps/>
        </w:rPr>
        <w:t>traduction</w:t>
      </w:r>
      <w:r w:rsidRPr="005E0713">
        <w:rPr>
          <w:rFonts w:cs="Times New Roman"/>
        </w:rPr>
        <w:t>] « [l]e pouvoir discrétionnaire inhérent du tribunal doit céder devant le libellé de la loi » (</w:t>
      </w:r>
      <w:proofErr w:type="spellStart"/>
      <w:r w:rsidRPr="005E0713">
        <w:rPr>
          <w:rFonts w:cs="Times New Roman"/>
          <w:i/>
        </w:rPr>
        <w:t>Sohal</w:t>
      </w:r>
      <w:proofErr w:type="spellEnd"/>
      <w:r w:rsidRPr="005E0713">
        <w:rPr>
          <w:rFonts w:cs="Times New Roman"/>
        </w:rPr>
        <w:t>, par. 15).</w:t>
      </w:r>
    </w:p>
    <w:p w14:paraId="06C95B61" w14:textId="77777777" w:rsidR="000E6B3D" w:rsidRPr="005E0713" w:rsidRDefault="000E6B3D" w:rsidP="000E6B3D">
      <w:pPr>
        <w:pStyle w:val="ParaNoNdepar-AltN"/>
        <w:tabs>
          <w:tab w:val="clear" w:pos="1152"/>
          <w:tab w:val="left" w:pos="1166"/>
        </w:tabs>
        <w:rPr>
          <w:rFonts w:cs="Times New Roman"/>
          <w:lang w:bidi="en-US"/>
        </w:rPr>
      </w:pPr>
      <w:r w:rsidRPr="005E0713">
        <w:rPr>
          <w:rFonts w:cs="Times New Roman"/>
        </w:rPr>
        <w:t xml:space="preserve">Or, lorsque l’appelante a précisé sa pensée à l’audience, elle a reconnu — à bon droit et à l’instar du juge dissident en l’espèce — que le tribunal est contraint d’imposer l’interdiction minimale obligatoire prévue expressément à l’al. 259(1)a). Toutefois, l’infliction de la peine minimale n’exclut pas la prise en compte, en </w:t>
      </w:r>
      <w:r w:rsidRPr="005E0713">
        <w:rPr>
          <w:rFonts w:cs="Times New Roman"/>
        </w:rPr>
        <w:lastRenderedPageBreak/>
        <w:t xml:space="preserve">application de la règle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de la période d’interdiction </w:t>
      </w:r>
      <w:proofErr w:type="spellStart"/>
      <w:r w:rsidRPr="005E0713">
        <w:rPr>
          <w:rFonts w:cs="Times New Roman"/>
        </w:rPr>
        <w:t>présentencielle</w:t>
      </w:r>
      <w:proofErr w:type="spellEnd"/>
      <w:r w:rsidRPr="005E0713">
        <w:rPr>
          <w:rFonts w:cs="Times New Roman"/>
        </w:rPr>
        <w:t>, laquelle peut, selon les circonstances et à l’appréciation du premier juge, faire partie intégrante de la punition, si l’effet de l’interdiction est « identique » avant et après le prononcé de la sentence (</w:t>
      </w:r>
      <w:r w:rsidRPr="005E0713">
        <w:rPr>
          <w:rFonts w:cs="Times New Roman"/>
          <w:i/>
        </w:rPr>
        <w:t>Lacasse</w:t>
      </w:r>
      <w:r w:rsidRPr="005E0713">
        <w:rPr>
          <w:rFonts w:cs="Times New Roman"/>
        </w:rPr>
        <w:t xml:space="preserve">, par. 113). Autrement, si l’effet n’est pas identique, le tribunal ne peut en tenir compte qu’à titre de facteur atténuant, et non à titre de période pouvant être créditée en vertu du pouvoir de </w:t>
      </w:r>
      <w:proofErr w:type="spellStart"/>
      <w:r w:rsidRPr="005E0713">
        <w:rPr>
          <w:rFonts w:cs="Times New Roman"/>
        </w:rPr>
        <w:t>common</w:t>
      </w:r>
      <w:proofErr w:type="spellEnd"/>
      <w:r w:rsidRPr="005E0713">
        <w:rPr>
          <w:rFonts w:cs="Times New Roman"/>
        </w:rPr>
        <w:t xml:space="preserve"> </w:t>
      </w:r>
      <w:proofErr w:type="spellStart"/>
      <w:r w:rsidRPr="005E0713">
        <w:rPr>
          <w:rFonts w:cs="Times New Roman"/>
        </w:rPr>
        <w:t>law</w:t>
      </w:r>
      <w:proofErr w:type="spellEnd"/>
      <w:r w:rsidRPr="005E0713">
        <w:rPr>
          <w:rFonts w:cs="Times New Roman"/>
        </w:rPr>
        <w:t xml:space="preserve"> à cet effet (voir les explications du juge </w:t>
      </w:r>
      <w:proofErr w:type="spellStart"/>
      <w:r w:rsidRPr="005E0713">
        <w:rPr>
          <w:rFonts w:cs="Times New Roman"/>
        </w:rPr>
        <w:t>MacPherson</w:t>
      </w:r>
      <w:proofErr w:type="spellEnd"/>
      <w:r w:rsidRPr="005E0713">
        <w:rPr>
          <w:rFonts w:cs="Times New Roman"/>
        </w:rPr>
        <w:t xml:space="preserve"> sur ce point dans </w:t>
      </w:r>
      <w:r w:rsidRPr="005E0713">
        <w:rPr>
          <w:rFonts w:cs="Times New Roman"/>
          <w:i/>
        </w:rPr>
        <w:t xml:space="preserve">R. c. </w:t>
      </w:r>
      <w:proofErr w:type="spellStart"/>
      <w:r w:rsidRPr="005E0713">
        <w:rPr>
          <w:rFonts w:cs="Times New Roman"/>
          <w:i/>
        </w:rPr>
        <w:t>Panday</w:t>
      </w:r>
      <w:proofErr w:type="spellEnd"/>
      <w:r w:rsidRPr="005E0713">
        <w:rPr>
          <w:rFonts w:cs="Times New Roman"/>
        </w:rPr>
        <w:t>, 2007 ONCA 598, 87 O.R. (3d) 1, par. 32</w:t>
      </w:r>
      <w:r w:rsidRPr="005E0713">
        <w:rPr>
          <w:rFonts w:cs="Times New Roman"/>
        </w:rPr>
        <w:noBreakHyphen/>
        <w:t>35).</w:t>
      </w:r>
    </w:p>
    <w:p w14:paraId="75C355FA" w14:textId="77777777" w:rsidR="000E6B3D" w:rsidRPr="005E0713" w:rsidRDefault="000E6B3D" w:rsidP="000E6B3D">
      <w:pPr>
        <w:pStyle w:val="ParaNoNdepar-AltN"/>
        <w:rPr>
          <w:rFonts w:cs="Times New Roman"/>
        </w:rPr>
      </w:pPr>
      <w:r w:rsidRPr="005E0713">
        <w:rPr>
          <w:rFonts w:cs="Times New Roman"/>
          <w:lang w:bidi="en-US"/>
        </w:rPr>
        <w:t xml:space="preserve">En l’espèce, à la lumière de la distinction réitérée par la juge </w:t>
      </w:r>
      <w:proofErr w:type="spellStart"/>
      <w:r w:rsidRPr="005E0713">
        <w:rPr>
          <w:rFonts w:cs="Times New Roman"/>
          <w:lang w:bidi="en-US"/>
        </w:rPr>
        <w:t>Arbour</w:t>
      </w:r>
      <w:proofErr w:type="spellEnd"/>
      <w:r w:rsidRPr="005E0713">
        <w:rPr>
          <w:rFonts w:cs="Times New Roman"/>
          <w:lang w:bidi="en-US"/>
        </w:rPr>
        <w:t xml:space="preserve"> dans l’arrêt </w:t>
      </w:r>
      <w:proofErr w:type="spellStart"/>
      <w:r w:rsidRPr="005E0713">
        <w:rPr>
          <w:rFonts w:cs="Times New Roman"/>
          <w:i/>
          <w:lang w:bidi="en-US"/>
        </w:rPr>
        <w:t>Wust</w:t>
      </w:r>
      <w:proofErr w:type="spellEnd"/>
      <w:r w:rsidRPr="005E0713">
        <w:rPr>
          <w:rFonts w:cs="Times New Roman"/>
          <w:lang w:bidi="en-US"/>
        </w:rPr>
        <w:t xml:space="preserve">, il importe dès lors de déterminer si l’al. 259(1)a) exige l’infliction d’une </w:t>
      </w:r>
      <w:r w:rsidRPr="005E0713">
        <w:rPr>
          <w:rFonts w:cs="Times New Roman"/>
          <w:i/>
          <w:lang w:bidi="en-US"/>
        </w:rPr>
        <w:t>punition</w:t>
      </w:r>
      <w:r w:rsidRPr="005E0713">
        <w:rPr>
          <w:rFonts w:cs="Times New Roman"/>
          <w:lang w:bidi="en-US"/>
        </w:rPr>
        <w:t xml:space="preserve"> minimale ou le prononcé d’une </w:t>
      </w:r>
      <w:r w:rsidRPr="005E0713">
        <w:rPr>
          <w:rFonts w:cs="Times New Roman"/>
          <w:i/>
          <w:lang w:bidi="en-US"/>
        </w:rPr>
        <w:t>sentence</w:t>
      </w:r>
      <w:r w:rsidRPr="005E0713">
        <w:rPr>
          <w:rFonts w:cs="Times New Roman"/>
          <w:lang w:bidi="en-US"/>
        </w:rPr>
        <w:t xml:space="preserve"> minimale. Cet exercice interprétatif est décisif quant au sort du présent pourvoi. En effet, si l’interdiction de conduire minimale prévue à l’al. 259(1)a) constitue une pein</w:t>
      </w:r>
      <w:r w:rsidRPr="005E0713">
        <w:rPr>
          <w:rFonts w:cs="Times New Roman"/>
        </w:rPr>
        <w:t>e minimale</w:t>
      </w:r>
      <w:r w:rsidRPr="005E0713">
        <w:rPr>
          <w:rFonts w:cs="Times New Roman"/>
          <w:lang w:bidi="en-US"/>
        </w:rPr>
        <w:t xml:space="preserve">, au sens de punition, cet alinéa n’aura aucune incidence sur l’applicabilité de la règle de </w:t>
      </w:r>
      <w:proofErr w:type="spellStart"/>
      <w:r w:rsidRPr="005E0713">
        <w:rPr>
          <w:rFonts w:cs="Times New Roman"/>
          <w:lang w:bidi="en-US"/>
        </w:rPr>
        <w:t>common</w:t>
      </w:r>
      <w:proofErr w:type="spellEnd"/>
      <w:r w:rsidRPr="005E0713">
        <w:rPr>
          <w:rFonts w:cs="Times New Roman"/>
          <w:lang w:bidi="en-US"/>
        </w:rPr>
        <w:t xml:space="preserve"> </w:t>
      </w:r>
      <w:proofErr w:type="spellStart"/>
      <w:r w:rsidRPr="005E0713">
        <w:rPr>
          <w:rFonts w:cs="Times New Roman"/>
          <w:lang w:bidi="en-US"/>
        </w:rPr>
        <w:t>law</w:t>
      </w:r>
      <w:proofErr w:type="spellEnd"/>
      <w:r w:rsidRPr="005E0713">
        <w:rPr>
          <w:rFonts w:cs="Times New Roman"/>
          <w:lang w:bidi="en-US"/>
        </w:rPr>
        <w:t xml:space="preserve">. Le cas échéant, l’interdiction </w:t>
      </w:r>
      <w:proofErr w:type="spellStart"/>
      <w:r w:rsidRPr="005E0713">
        <w:rPr>
          <w:rFonts w:cs="Times New Roman"/>
          <w:lang w:bidi="en-US"/>
        </w:rPr>
        <w:t>présentencielle</w:t>
      </w:r>
      <w:proofErr w:type="spellEnd"/>
      <w:r w:rsidRPr="005E0713">
        <w:rPr>
          <w:rFonts w:cs="Times New Roman"/>
          <w:lang w:bidi="en-US"/>
        </w:rPr>
        <w:t xml:space="preserve"> de conduire à laquelle M</w:t>
      </w:r>
      <w:r w:rsidRPr="005E0713">
        <w:rPr>
          <w:rFonts w:cs="Times New Roman"/>
          <w:vertAlign w:val="superscript"/>
          <w:lang w:bidi="en-US"/>
        </w:rPr>
        <w:t>me</w:t>
      </w:r>
      <w:r w:rsidRPr="005E0713">
        <w:rPr>
          <w:rFonts w:cs="Times New Roman"/>
          <w:lang w:bidi="en-US"/>
        </w:rPr>
        <w:t> Basque a été assujettie pourra « réduire » la durée ultime de sa sentence, tout en respectant la directive du législateur portant que</w:t>
      </w:r>
      <w:r w:rsidRPr="005E0713">
        <w:rPr>
          <w:rFonts w:cs="Times New Roman"/>
        </w:rPr>
        <w:t xml:space="preserve"> la punition minimale </w:t>
      </w:r>
      <w:r w:rsidRPr="005E0713">
        <w:rPr>
          <w:rFonts w:cs="Times New Roman"/>
          <w:lang w:bidi="en-US"/>
        </w:rPr>
        <w:t>doit être d’une durée minimale d’un an. Au contraire, si l’al. 259(1)a) prévoit une sentence minimale d’un an, M</w:t>
      </w:r>
      <w:r w:rsidRPr="005E0713">
        <w:rPr>
          <w:rFonts w:cs="Times New Roman"/>
          <w:vertAlign w:val="superscript"/>
          <w:lang w:bidi="en-US"/>
        </w:rPr>
        <w:t>me</w:t>
      </w:r>
      <w:r w:rsidRPr="005E0713">
        <w:rPr>
          <w:rFonts w:cs="Times New Roman"/>
          <w:lang w:bidi="en-US"/>
        </w:rPr>
        <w:t xml:space="preserve"> Basque devra purger une période de prohibition de conduire additionnelle d’un an, cette sentence obligatoire ayant nécessairement un caractère prospectif (par. 719(1) </w:t>
      </w:r>
      <w:r w:rsidRPr="005E0713">
        <w:rPr>
          <w:rFonts w:cs="Times New Roman"/>
          <w:i/>
          <w:lang w:bidi="en-US"/>
        </w:rPr>
        <w:t>C. </w:t>
      </w:r>
      <w:proofErr w:type="spellStart"/>
      <w:r w:rsidRPr="005E0713">
        <w:rPr>
          <w:rFonts w:cs="Times New Roman"/>
          <w:i/>
          <w:lang w:bidi="en-US"/>
        </w:rPr>
        <w:t>cr</w:t>
      </w:r>
      <w:proofErr w:type="spellEnd"/>
      <w:r w:rsidRPr="005E0713">
        <w:rPr>
          <w:rFonts w:cs="Times New Roman"/>
          <w:i/>
          <w:lang w:bidi="en-US"/>
        </w:rPr>
        <w:t>.</w:t>
      </w:r>
      <w:r w:rsidRPr="005E0713">
        <w:rPr>
          <w:rFonts w:cs="Times New Roman"/>
          <w:lang w:bidi="en-US"/>
        </w:rPr>
        <w:t>).</w:t>
      </w:r>
    </w:p>
    <w:p w14:paraId="61C64B6F" w14:textId="77777777" w:rsidR="000E6B3D" w:rsidRPr="005E0713" w:rsidRDefault="000E6B3D" w:rsidP="000E6B3D">
      <w:pPr>
        <w:pStyle w:val="Title4LevelTitre4Niveau"/>
        <w:rPr>
          <w:rFonts w:cs="Times New Roman"/>
          <w:lang w:val="fr-CA"/>
        </w:rPr>
      </w:pPr>
      <w:bookmarkStart w:id="61" w:name="_Toc124075338"/>
      <w:r w:rsidRPr="005E0713">
        <w:rPr>
          <w:rFonts w:cs="Times New Roman"/>
          <w:lang w:val="fr-CA"/>
        </w:rPr>
        <w:lastRenderedPageBreak/>
        <w:t>L’alinéa 259(1)a) prévoit l’infliction d’une punition minimale et non le prononcé d’une sentence minimale</w:t>
      </w:r>
      <w:bookmarkEnd w:id="61"/>
    </w:p>
    <w:p w14:paraId="0F48C5A8" w14:textId="77777777" w:rsidR="000E6B3D" w:rsidRPr="005E0713" w:rsidRDefault="000E6B3D" w:rsidP="000E6B3D">
      <w:pPr>
        <w:pStyle w:val="ParaNoNdepar-AltN"/>
        <w:rPr>
          <w:rFonts w:cs="Times New Roman"/>
        </w:rPr>
      </w:pPr>
      <w:r w:rsidRPr="005E0713">
        <w:rPr>
          <w:rFonts w:cs="Times New Roman"/>
        </w:rPr>
        <w:t xml:space="preserve">Conformément à la méthode moderne d’interprétation, le sens de l’al. 259(1)a)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w:t>
      </w:r>
      <w:proofErr w:type="gramStart"/>
      <w:r w:rsidRPr="005E0713">
        <w:rPr>
          <w:rFonts w:cs="Times New Roman"/>
        </w:rPr>
        <w:t>doit</w:t>
      </w:r>
      <w:proofErr w:type="gramEnd"/>
      <w:r w:rsidRPr="005E0713">
        <w:rPr>
          <w:rFonts w:cs="Times New Roman"/>
        </w:rPr>
        <w:t xml:space="preserve"> être cerné en examinant son texte, son contexte et son objet (</w:t>
      </w:r>
      <w:r w:rsidRPr="005E0713">
        <w:rPr>
          <w:rFonts w:cs="Times New Roman"/>
          <w:i/>
        </w:rPr>
        <w:t>Rizzo</w:t>
      </w:r>
      <w:r w:rsidRPr="005E0713">
        <w:rPr>
          <w:rFonts w:cs="Times New Roman"/>
        </w:rPr>
        <w:t xml:space="preserve">, par. 21; </w:t>
      </w:r>
      <w:r w:rsidRPr="005E0713">
        <w:rPr>
          <w:rFonts w:cs="Times New Roman"/>
          <w:i/>
        </w:rPr>
        <w:t xml:space="preserve">Bell </w:t>
      </w:r>
      <w:proofErr w:type="spellStart"/>
      <w:r w:rsidRPr="005E0713">
        <w:rPr>
          <w:rFonts w:cs="Times New Roman"/>
          <w:i/>
        </w:rPr>
        <w:t>ExpressVu</w:t>
      </w:r>
      <w:proofErr w:type="spellEnd"/>
      <w:r w:rsidRPr="005E0713">
        <w:rPr>
          <w:rFonts w:cs="Times New Roman"/>
        </w:rPr>
        <w:t xml:space="preserve">, par. 26; Côté et </w:t>
      </w:r>
      <w:proofErr w:type="spellStart"/>
      <w:r w:rsidRPr="005E0713">
        <w:rPr>
          <w:rFonts w:cs="Times New Roman"/>
        </w:rPr>
        <w:t>Devinat</w:t>
      </w:r>
      <w:proofErr w:type="spellEnd"/>
      <w:r w:rsidRPr="005E0713">
        <w:rPr>
          <w:rFonts w:cs="Times New Roman"/>
        </w:rPr>
        <w:t>, n</w:t>
      </w:r>
      <w:r w:rsidRPr="005E0713">
        <w:rPr>
          <w:rFonts w:cs="Times New Roman"/>
          <w:vertAlign w:val="superscript"/>
        </w:rPr>
        <w:t>os</w:t>
      </w:r>
      <w:r w:rsidRPr="005E0713">
        <w:rPr>
          <w:rFonts w:cs="Times New Roman"/>
        </w:rPr>
        <w:t> 165</w:t>
      </w:r>
      <w:r w:rsidRPr="005E0713">
        <w:rPr>
          <w:rFonts w:cs="Times New Roman"/>
        </w:rPr>
        <w:noBreakHyphen/>
        <w:t>170; E. A. </w:t>
      </w:r>
      <w:proofErr w:type="spellStart"/>
      <w:r w:rsidRPr="005E0713">
        <w:rPr>
          <w:rFonts w:cs="Times New Roman"/>
        </w:rPr>
        <w:t>Driedger</w:t>
      </w:r>
      <w:proofErr w:type="spellEnd"/>
      <w:r w:rsidRPr="005E0713">
        <w:rPr>
          <w:rFonts w:cs="Times New Roman"/>
        </w:rPr>
        <w:t xml:space="preserve">, </w:t>
      </w:r>
      <w:r w:rsidRPr="005E0713">
        <w:rPr>
          <w:rFonts w:cs="Times New Roman"/>
          <w:i/>
          <w:iCs/>
        </w:rPr>
        <w:t xml:space="preserve">Construction of </w:t>
      </w:r>
      <w:proofErr w:type="spellStart"/>
      <w:r w:rsidRPr="005E0713">
        <w:rPr>
          <w:rFonts w:cs="Times New Roman"/>
          <w:i/>
          <w:iCs/>
        </w:rPr>
        <w:t>Statutes</w:t>
      </w:r>
      <w:proofErr w:type="spellEnd"/>
      <w:r w:rsidRPr="005E0713">
        <w:rPr>
          <w:rFonts w:cs="Times New Roman"/>
        </w:rPr>
        <w:t xml:space="preserve"> (2</w:t>
      </w:r>
      <w:r w:rsidRPr="005E0713">
        <w:rPr>
          <w:rFonts w:cs="Times New Roman"/>
          <w:vertAlign w:val="superscript"/>
        </w:rPr>
        <w:t>e</w:t>
      </w:r>
      <w:r w:rsidRPr="005E0713">
        <w:rPr>
          <w:rFonts w:cs="Times New Roman"/>
        </w:rPr>
        <w:t xml:space="preserve"> éd. 1983), p. 87). Je propose de procéder comme l’a fait la Cour dans l’arrêt </w:t>
      </w:r>
      <w:r w:rsidRPr="005E0713">
        <w:rPr>
          <w:rFonts w:cs="Times New Roman"/>
          <w:i/>
        </w:rPr>
        <w:t xml:space="preserve">Bell </w:t>
      </w:r>
      <w:proofErr w:type="spellStart"/>
      <w:r w:rsidRPr="005E0713">
        <w:rPr>
          <w:rFonts w:cs="Times New Roman"/>
          <w:i/>
        </w:rPr>
        <w:t>ExpressVu</w:t>
      </w:r>
      <w:proofErr w:type="spellEnd"/>
      <w:r w:rsidRPr="005E0713">
        <w:rPr>
          <w:rFonts w:cs="Times New Roman"/>
        </w:rPr>
        <w:t>, soit en débutant par l’analyse du sens ordinaire et grammatical des termes de l’al. 259(1)a), avant de me pencher sur son contexte et son objet.</w:t>
      </w:r>
    </w:p>
    <w:p w14:paraId="75D379D2" w14:textId="77777777" w:rsidR="000E6B3D" w:rsidRPr="005E0713" w:rsidRDefault="000E6B3D" w:rsidP="000E6B3D">
      <w:pPr>
        <w:pStyle w:val="ParaNoNdepar-AltN"/>
        <w:rPr>
          <w:rFonts w:cs="Times New Roman"/>
        </w:rPr>
      </w:pPr>
      <w:r w:rsidRPr="005E0713">
        <w:rPr>
          <w:rFonts w:cs="Times New Roman"/>
        </w:rPr>
        <w:t xml:space="preserve">Tout d’abord, le texte de l’al. 259(1)a) est silencieux quant à la possibilité de tenir compte de la période </w:t>
      </w:r>
      <w:proofErr w:type="spellStart"/>
      <w:r w:rsidRPr="005E0713">
        <w:rPr>
          <w:rFonts w:cs="Times New Roman"/>
        </w:rPr>
        <w:t>présentencielle</w:t>
      </w:r>
      <w:proofErr w:type="spellEnd"/>
      <w:r w:rsidRPr="005E0713">
        <w:rPr>
          <w:rFonts w:cs="Times New Roman"/>
        </w:rPr>
        <w:t xml:space="preserve"> de prohibition de conduire (</w:t>
      </w:r>
      <w:proofErr w:type="spellStart"/>
      <w:r w:rsidRPr="005E0713">
        <w:rPr>
          <w:rFonts w:cs="Times New Roman"/>
          <w:i/>
        </w:rPr>
        <w:t>Bland</w:t>
      </w:r>
      <w:proofErr w:type="spellEnd"/>
      <w:r w:rsidRPr="005E0713">
        <w:rPr>
          <w:rFonts w:cs="Times New Roman"/>
        </w:rPr>
        <w:t xml:space="preserve">, par. 22). De surcroît, il n’indique pas clairement si l’interdiction de conduire minimale qu’il prévoit constitue une punition ou une sentence. À cet égard, soulignons que le terme « ordonnance » employé au </w:t>
      </w:r>
      <w:proofErr w:type="spellStart"/>
      <w:r w:rsidRPr="005E0713">
        <w:rPr>
          <w:rFonts w:cs="Times New Roman"/>
        </w:rPr>
        <w:t>par</w:t>
      </w:r>
      <w:proofErr w:type="spellEnd"/>
      <w:r w:rsidRPr="005E0713">
        <w:rPr>
          <w:rFonts w:cs="Times New Roman"/>
        </w:rPr>
        <w:t>. 259(1) est défini comme étant une « [d]</w:t>
      </w:r>
      <w:proofErr w:type="spellStart"/>
      <w:r w:rsidRPr="005E0713">
        <w:rPr>
          <w:rFonts w:cs="Times New Roman"/>
        </w:rPr>
        <w:t>écision</w:t>
      </w:r>
      <w:proofErr w:type="spellEnd"/>
      <w:r w:rsidRPr="005E0713">
        <w:rPr>
          <w:rFonts w:cs="Times New Roman"/>
        </w:rPr>
        <w:t xml:space="preserve"> émanant d’un juge » (</w:t>
      </w:r>
      <w:r w:rsidRPr="005E0713">
        <w:rPr>
          <w:rFonts w:cs="Times New Roman"/>
          <w:i/>
        </w:rPr>
        <w:t>Le Petit Robert</w:t>
      </w:r>
      <w:r w:rsidRPr="005E0713">
        <w:rPr>
          <w:rFonts w:cs="Times New Roman"/>
        </w:rPr>
        <w:t xml:space="preserve"> (</w:t>
      </w:r>
      <w:proofErr w:type="spellStart"/>
      <w:r w:rsidRPr="005E0713">
        <w:rPr>
          <w:rFonts w:cs="Times New Roman"/>
        </w:rPr>
        <w:t>nouv</w:t>
      </w:r>
      <w:proofErr w:type="spellEnd"/>
      <w:r w:rsidRPr="005E0713">
        <w:rPr>
          <w:rFonts w:cs="Times New Roman"/>
        </w:rPr>
        <w:t>. </w:t>
      </w:r>
      <w:proofErr w:type="gramStart"/>
      <w:r w:rsidRPr="005E0713">
        <w:rPr>
          <w:rFonts w:cs="Times New Roman"/>
        </w:rPr>
        <w:t>éd</w:t>
      </w:r>
      <w:proofErr w:type="gramEnd"/>
      <w:r w:rsidRPr="005E0713">
        <w:rPr>
          <w:rFonts w:cs="Times New Roman"/>
        </w:rPr>
        <w:t>. 2022), p. 1755), ou comme étant une « [d]</w:t>
      </w:r>
      <w:proofErr w:type="spellStart"/>
      <w:r w:rsidRPr="005E0713">
        <w:rPr>
          <w:rFonts w:cs="Times New Roman"/>
        </w:rPr>
        <w:t>écision</w:t>
      </w:r>
      <w:proofErr w:type="spellEnd"/>
      <w:r w:rsidRPr="005E0713">
        <w:rPr>
          <w:rFonts w:cs="Times New Roman"/>
        </w:rPr>
        <w:t xml:space="preserve"> d’un tribunal » (</w:t>
      </w:r>
      <w:proofErr w:type="spellStart"/>
      <w:r w:rsidRPr="005E0713">
        <w:rPr>
          <w:rFonts w:cs="Times New Roman"/>
          <w:i/>
        </w:rPr>
        <w:t>Multidictionnaire</w:t>
      </w:r>
      <w:proofErr w:type="spellEnd"/>
      <w:r w:rsidRPr="005E0713">
        <w:rPr>
          <w:rFonts w:cs="Times New Roman"/>
          <w:i/>
        </w:rPr>
        <w:t xml:space="preserve"> de la langue française</w:t>
      </w:r>
      <w:r w:rsidRPr="005E0713">
        <w:rPr>
          <w:rFonts w:cs="Times New Roman"/>
        </w:rPr>
        <w:t xml:space="preserve"> (7</w:t>
      </w:r>
      <w:r w:rsidRPr="005E0713">
        <w:rPr>
          <w:rFonts w:cs="Times New Roman"/>
          <w:vertAlign w:val="superscript"/>
        </w:rPr>
        <w:t>e</w:t>
      </w:r>
      <w:r w:rsidRPr="005E0713">
        <w:rPr>
          <w:rFonts w:cs="Times New Roman"/>
        </w:rPr>
        <w:t xml:space="preserve"> éd. 2021), p. 1245). </w:t>
      </w:r>
      <w:r w:rsidRPr="005E0713">
        <w:rPr>
          <w:rFonts w:cs="Times New Roman"/>
          <w:i/>
        </w:rPr>
        <w:t>A priori</w:t>
      </w:r>
      <w:r w:rsidRPr="005E0713">
        <w:rPr>
          <w:rFonts w:cs="Times New Roman"/>
        </w:rPr>
        <w:t>, cette distinction peut sembler opérer un rapprochement entre le terme « ordonnance » et le concept de « sentence » (</w:t>
      </w:r>
      <w:r w:rsidRPr="005E0713">
        <w:rPr>
          <w:rFonts w:cs="Times New Roman"/>
          <w:i/>
        </w:rPr>
        <w:t>Pham</w:t>
      </w:r>
      <w:r w:rsidRPr="005E0713">
        <w:rPr>
          <w:rFonts w:cs="Times New Roman"/>
        </w:rPr>
        <w:t>, par. 9).</w:t>
      </w:r>
    </w:p>
    <w:p w14:paraId="4CF56B8B" w14:textId="77777777" w:rsidR="000E6B3D" w:rsidRPr="005E0713" w:rsidRDefault="000E6B3D" w:rsidP="000E6B3D">
      <w:pPr>
        <w:pStyle w:val="ParaNoNdepar-AltN"/>
        <w:rPr>
          <w:rFonts w:cs="Times New Roman"/>
        </w:rPr>
      </w:pPr>
      <w:r w:rsidRPr="005E0713">
        <w:rPr>
          <w:rFonts w:cs="Times New Roman"/>
        </w:rPr>
        <w:t xml:space="preserve">Toutefois, il convient de signaler que le terme « peine » figure au </w:t>
      </w:r>
      <w:proofErr w:type="spellStart"/>
      <w:r w:rsidRPr="005E0713">
        <w:rPr>
          <w:rFonts w:cs="Times New Roman"/>
        </w:rPr>
        <w:t>par</w:t>
      </w:r>
      <w:proofErr w:type="spellEnd"/>
      <w:r w:rsidRPr="005E0713">
        <w:rPr>
          <w:rFonts w:cs="Times New Roman"/>
        </w:rPr>
        <w:t xml:space="preserve">. 259(1), qui prévoit que « le tribunal qui [. . .] inflige une peine [au contrevenant] doit, </w:t>
      </w:r>
      <w:r w:rsidRPr="005E0713">
        <w:rPr>
          <w:rFonts w:cs="Times New Roman"/>
          <w:u w:val="single"/>
        </w:rPr>
        <w:t>en plus de toute autre peine applicable à cette infraction</w:t>
      </w:r>
      <w:r w:rsidRPr="005E0713">
        <w:rPr>
          <w:rFonts w:cs="Times New Roman"/>
        </w:rPr>
        <w:t xml:space="preserve">, rendre une ordonnance </w:t>
      </w:r>
      <w:r w:rsidRPr="005E0713">
        <w:rPr>
          <w:rFonts w:cs="Times New Roman"/>
        </w:rPr>
        <w:lastRenderedPageBreak/>
        <w:t>lui interdisant de conduire un véhicule à moteur ». Rappelons que la version anglaise utilise le terme « </w:t>
      </w:r>
      <w:proofErr w:type="spellStart"/>
      <w:r w:rsidRPr="005E0713">
        <w:rPr>
          <w:rFonts w:cs="Times New Roman"/>
          <w:i/>
        </w:rPr>
        <w:t>punishment</w:t>
      </w:r>
      <w:proofErr w:type="spellEnd"/>
      <w:r w:rsidRPr="005E0713">
        <w:rPr>
          <w:rFonts w:cs="Times New Roman"/>
        </w:rPr>
        <w:t> » comme équivalent du terme « peine » dans ce contexte. Le libellé des deux textes linguistiques suggère donc que l’ordonnance devant être imposée suivant les termes de l’al. 259(1)a) est une punition et non une sentence.</w:t>
      </w:r>
    </w:p>
    <w:p w14:paraId="7E2B8FE1" w14:textId="77777777" w:rsidR="000E6B3D" w:rsidRPr="005E0713" w:rsidRDefault="000E6B3D" w:rsidP="000E6B3D">
      <w:pPr>
        <w:pStyle w:val="ParaNoNdepar-AltN"/>
        <w:rPr>
          <w:rFonts w:cs="Times New Roman"/>
        </w:rPr>
      </w:pPr>
      <w:r w:rsidRPr="005E0713">
        <w:rPr>
          <w:rFonts w:cs="Times New Roman"/>
        </w:rPr>
        <w:t>À tout événement, la démarche interprétative moderne ne saurait s’attacher uniquement au libellé de la disposition (</w:t>
      </w:r>
      <w:r w:rsidRPr="005E0713">
        <w:rPr>
          <w:rFonts w:cs="Times New Roman"/>
          <w:i/>
        </w:rPr>
        <w:t>Rizzo</w:t>
      </w:r>
      <w:r w:rsidRPr="005E0713">
        <w:rPr>
          <w:rFonts w:cs="Times New Roman"/>
        </w:rPr>
        <w:t xml:space="preserve">, par. 21; </w:t>
      </w:r>
      <w:r w:rsidRPr="005E0713">
        <w:rPr>
          <w:rFonts w:cs="Times New Roman"/>
          <w:i/>
        </w:rPr>
        <w:t xml:space="preserve">Bell </w:t>
      </w:r>
      <w:proofErr w:type="spellStart"/>
      <w:r w:rsidRPr="005E0713">
        <w:rPr>
          <w:rFonts w:cs="Times New Roman"/>
          <w:i/>
        </w:rPr>
        <w:t>ExpressVu</w:t>
      </w:r>
      <w:proofErr w:type="spellEnd"/>
      <w:r w:rsidRPr="005E0713">
        <w:rPr>
          <w:rFonts w:cs="Times New Roman"/>
        </w:rPr>
        <w:t xml:space="preserve">, par. 26). Pour reprendre les propos des professeurs Côté et </w:t>
      </w:r>
      <w:proofErr w:type="spellStart"/>
      <w:r w:rsidRPr="005E0713">
        <w:rPr>
          <w:rFonts w:cs="Times New Roman"/>
        </w:rPr>
        <w:t>Devinat</w:t>
      </w:r>
      <w:proofErr w:type="spellEnd"/>
      <w:r w:rsidRPr="005E0713">
        <w:rPr>
          <w:rFonts w:cs="Times New Roman"/>
        </w:rPr>
        <w:t>, le texte « doit être confronté aux indications fournies par les autres facteurs pertinents à l’interprétation » (n</w:t>
      </w:r>
      <w:r w:rsidRPr="005E0713">
        <w:rPr>
          <w:rFonts w:cs="Times New Roman"/>
          <w:vertAlign w:val="superscript"/>
        </w:rPr>
        <w:t>o</w:t>
      </w:r>
      <w:r w:rsidRPr="005E0713">
        <w:rPr>
          <w:rFonts w:cs="Times New Roman"/>
        </w:rPr>
        <w:t> 167). Je me tourne maintenant vers l’analyse du contexte et de l’objet de l’al. 259(1)a).</w:t>
      </w:r>
    </w:p>
    <w:p w14:paraId="683BA984" w14:textId="77777777" w:rsidR="000E6B3D" w:rsidRPr="005E0713" w:rsidRDefault="000E6B3D" w:rsidP="000E6B3D">
      <w:pPr>
        <w:pStyle w:val="ParaNoNdepar-AltN"/>
        <w:rPr>
          <w:rFonts w:cs="Times New Roman"/>
        </w:rPr>
      </w:pPr>
      <w:r w:rsidRPr="005E0713">
        <w:rPr>
          <w:rFonts w:cs="Times New Roman"/>
        </w:rPr>
        <w:t xml:space="preserve">Au regard du contexte de cet alinéa, je note le langage différent utilisé par le Parlement à l’al. 109(2)a)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lequel concerne une interdiction de possession d’armes à feu. Cette disposition prévoit que « l’ordonnance interdit au contrevenant d’avoir en sa possession [. . .] des armes à feu [. . .] </w:t>
      </w:r>
      <w:r w:rsidRPr="005E0713">
        <w:rPr>
          <w:rFonts w:cs="Times New Roman"/>
          <w:u w:val="single"/>
        </w:rPr>
        <w:t>pour une période commençant à la date de l’ordonnance</w:t>
      </w:r>
      <w:r w:rsidRPr="005E0713">
        <w:rPr>
          <w:rFonts w:cs="Times New Roman"/>
        </w:rPr>
        <w:t xml:space="preserve"> et se terminant au plus tôt dix ans après sa libération ou, s’il n’est pas emprisonné ni passible d’emprisonnement, après sa déclaration de culpabilité ou son absolution » (je souligne). Or, en édictant l’al. 109(2)a), le Parlement a choisi de préciser en toutes lettres la date à laquelle l’ordonnance prendra fin, limitant ainsi le pouvoir discrétionnaire du tribunal de « réduire » la période prospective d’interdiction en deçà de la période minimale prévue à l’al. 109(2)a). En outre, le passage souligné démontre que, lorsque le Parlement désire imposer une interdiction prospective d’une durée précise, il exprime cette volonté en termes clairs. On ne trouve toutefois rien de </w:t>
      </w:r>
      <w:r w:rsidRPr="005E0713">
        <w:rPr>
          <w:rFonts w:cs="Times New Roman"/>
        </w:rPr>
        <w:lastRenderedPageBreak/>
        <w:t>tel à l’al. 259(1)a), qui ne prévoit ni date de début, ni date de fin de l’interdiction de conduire d’une durée minimale d’un an.</w:t>
      </w:r>
    </w:p>
    <w:p w14:paraId="53E313AE" w14:textId="77777777" w:rsidR="000E6B3D" w:rsidRPr="005E0713" w:rsidRDefault="000E6B3D" w:rsidP="000E6B3D">
      <w:pPr>
        <w:pStyle w:val="ParaNoNdepar-AltN"/>
        <w:rPr>
          <w:rFonts w:eastAsia="Times New Roman" w:cs="Times New Roman"/>
          <w:lang w:eastAsia="fr-CA"/>
        </w:rPr>
      </w:pPr>
      <w:r w:rsidRPr="005E0713">
        <w:rPr>
          <w:rFonts w:cs="Times New Roman"/>
        </w:rPr>
        <w:t xml:space="preserve">L’objet de l’al. 259(1)a)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w:t>
      </w:r>
      <w:proofErr w:type="gramStart"/>
      <w:r w:rsidRPr="005E0713">
        <w:rPr>
          <w:rFonts w:cs="Times New Roman"/>
        </w:rPr>
        <w:t>renforce</w:t>
      </w:r>
      <w:proofErr w:type="gramEnd"/>
      <w:r w:rsidRPr="005E0713">
        <w:rPr>
          <w:rFonts w:cs="Times New Roman"/>
        </w:rPr>
        <w:t xml:space="preserve"> également l’idée que cette disposition prévoit une </w:t>
      </w:r>
      <w:r w:rsidRPr="005E0713">
        <w:rPr>
          <w:rFonts w:cs="Times New Roman"/>
          <w:i/>
        </w:rPr>
        <w:t>punition</w:t>
      </w:r>
      <w:r w:rsidRPr="005E0713">
        <w:rPr>
          <w:rFonts w:cs="Times New Roman"/>
        </w:rPr>
        <w:t xml:space="preserve"> minimale, et non une </w:t>
      </w:r>
      <w:r w:rsidRPr="005E0713">
        <w:rPr>
          <w:rFonts w:cs="Times New Roman"/>
          <w:i/>
        </w:rPr>
        <w:t>sentence</w:t>
      </w:r>
      <w:r w:rsidRPr="005E0713">
        <w:rPr>
          <w:rFonts w:cs="Times New Roman"/>
        </w:rPr>
        <w:t xml:space="preserve"> minimale. En règle générale, en adoptant des peines minimales obligatoires, le Parlement poursuit des buts essentiellement dissuasifs et punitifs (voir H. Parent et J. Desrosiers, </w:t>
      </w:r>
      <w:r w:rsidRPr="005E0713">
        <w:rPr>
          <w:rFonts w:cs="Times New Roman"/>
          <w:i/>
        </w:rPr>
        <w:t>Traité de droit criminel</w:t>
      </w:r>
      <w:r w:rsidRPr="005E0713">
        <w:rPr>
          <w:rFonts w:cs="Times New Roman"/>
        </w:rPr>
        <w:t xml:space="preserve">, t. III, </w:t>
      </w:r>
      <w:r w:rsidRPr="005E0713">
        <w:rPr>
          <w:rFonts w:cs="Times New Roman"/>
          <w:i/>
        </w:rPr>
        <w:t>La peine</w:t>
      </w:r>
      <w:r w:rsidRPr="005E0713">
        <w:rPr>
          <w:rFonts w:cs="Times New Roman"/>
        </w:rPr>
        <w:t xml:space="preserve"> (3</w:t>
      </w:r>
      <w:r w:rsidRPr="005E0713">
        <w:rPr>
          <w:rFonts w:cs="Times New Roman"/>
          <w:vertAlign w:val="superscript"/>
        </w:rPr>
        <w:t>e</w:t>
      </w:r>
      <w:r w:rsidRPr="005E0713">
        <w:rPr>
          <w:rFonts w:cs="Times New Roman"/>
        </w:rPr>
        <w:t> éd. 2020), p. 507</w:t>
      </w:r>
      <w:r w:rsidRPr="005E0713">
        <w:rPr>
          <w:rFonts w:cs="Times New Roman"/>
        </w:rPr>
        <w:noBreakHyphen/>
        <w:t xml:space="preserve">508; voir aussi </w:t>
      </w:r>
      <w:proofErr w:type="spellStart"/>
      <w:r w:rsidRPr="005E0713">
        <w:rPr>
          <w:rFonts w:cs="Times New Roman"/>
        </w:rPr>
        <w:t>Paciocco</w:t>
      </w:r>
      <w:proofErr w:type="spellEnd"/>
      <w:r w:rsidRPr="005E0713">
        <w:rPr>
          <w:rFonts w:cs="Times New Roman"/>
        </w:rPr>
        <w:t xml:space="preserve">, p. 177). </w:t>
      </w:r>
      <w:r w:rsidRPr="005E0713">
        <w:rPr>
          <w:rFonts w:eastAsia="Times New Roman" w:cs="Times New Roman"/>
          <w:lang w:eastAsia="fr-CA"/>
        </w:rPr>
        <w:t xml:space="preserve">Après avoir exposé une </w:t>
      </w:r>
      <w:r w:rsidRPr="005E0713">
        <w:rPr>
          <w:rFonts w:cs="Times New Roman"/>
        </w:rPr>
        <w:t>typologie</w:t>
      </w:r>
      <w:r w:rsidRPr="005E0713">
        <w:rPr>
          <w:rFonts w:eastAsia="Times New Roman" w:cs="Times New Roman"/>
          <w:lang w:eastAsia="fr-CA"/>
        </w:rPr>
        <w:t xml:space="preserve"> détaillée des peines en droit criminel canadien, la professeure Dumont affirme que « toute mesure coercitive portant atteinte à la vie, à l’intégrité, à la sécurité, à la liberté, à la réputation d’une personne ou constituant une atteinte à ses biens et à ses droits [. . .] est apte à [être une peine au sens de punition] dans l’ordre juridique pénal » (p. 489). </w:t>
      </w:r>
      <w:r w:rsidRPr="005E0713">
        <w:rPr>
          <w:rFonts w:cs="Times New Roman"/>
        </w:rPr>
        <w:t xml:space="preserve">Suivant l’arrêt </w:t>
      </w:r>
      <w:r w:rsidRPr="005E0713">
        <w:rPr>
          <w:rFonts w:cs="Times New Roman"/>
          <w:i/>
        </w:rPr>
        <w:t>R. c. K.R.J.</w:t>
      </w:r>
      <w:r w:rsidRPr="005E0713">
        <w:rPr>
          <w:rFonts w:cs="Times New Roman"/>
        </w:rPr>
        <w:t xml:space="preserve">, 2016 CSC 31, [2016] 1 R.C.S. 906, pour qu’une mesure coercitive s’élève au rang de punition, elle doit notamment avoir « une grande incidence sur le droit du contrevenant à la liberté ou à la sécurité » et être « une conséquence d’une déclaration de culpabilité » (par. 41). </w:t>
      </w:r>
      <w:r w:rsidRPr="005E0713">
        <w:rPr>
          <w:rFonts w:eastAsia="Times New Roman" w:cs="Times New Roman"/>
          <w:lang w:eastAsia="fr-CA"/>
        </w:rPr>
        <w:t xml:space="preserve">Cette typologie inclut des mesures telles que « le dédommagement de la victime pour certains crimes, </w:t>
      </w:r>
      <w:r w:rsidRPr="005E0713">
        <w:rPr>
          <w:rFonts w:eastAsia="Times New Roman" w:cs="Times New Roman"/>
          <w:u w:val="single"/>
          <w:lang w:eastAsia="fr-CA"/>
        </w:rPr>
        <w:t>l’interdiction de conduire</w:t>
      </w:r>
      <w:r w:rsidRPr="005E0713">
        <w:rPr>
          <w:rFonts w:eastAsia="Times New Roman" w:cs="Times New Roman"/>
          <w:lang w:eastAsia="fr-CA"/>
        </w:rPr>
        <w:t xml:space="preserve"> ou de posséder une arme à feu [et] l’incapacité d’occuper une fonction ou de contracter avec l’État » (Dumont, p. 489 (je souligne)). Je partage l’opinion formulée par le juge </w:t>
      </w:r>
      <w:proofErr w:type="spellStart"/>
      <w:r w:rsidRPr="005E0713">
        <w:rPr>
          <w:rFonts w:eastAsia="Times New Roman" w:cs="Times New Roman"/>
          <w:lang w:eastAsia="fr-CA"/>
        </w:rPr>
        <w:t>Paciocco</w:t>
      </w:r>
      <w:proofErr w:type="spellEnd"/>
      <w:r w:rsidRPr="005E0713">
        <w:rPr>
          <w:rFonts w:eastAsia="Times New Roman" w:cs="Times New Roman"/>
          <w:lang w:eastAsia="fr-CA"/>
        </w:rPr>
        <w:t xml:space="preserve"> dans l’arrêt </w:t>
      </w:r>
      <w:r w:rsidRPr="005E0713">
        <w:rPr>
          <w:rFonts w:eastAsia="Times New Roman" w:cs="Times New Roman"/>
          <w:i/>
          <w:lang w:eastAsia="fr-CA"/>
        </w:rPr>
        <w:t>Pham</w:t>
      </w:r>
      <w:r w:rsidRPr="005E0713">
        <w:rPr>
          <w:rFonts w:eastAsia="Times New Roman" w:cs="Times New Roman"/>
          <w:lang w:eastAsia="fr-CA"/>
        </w:rPr>
        <w:t xml:space="preserve"> à cet égard : l’interdiction de conduire est une forme de punition puisqu’elle [</w:t>
      </w:r>
      <w:r w:rsidRPr="005E0713">
        <w:rPr>
          <w:rFonts w:eastAsia="Times New Roman" w:cs="Times New Roman"/>
          <w:smallCaps/>
          <w:lang w:eastAsia="fr-CA"/>
        </w:rPr>
        <w:t>traduction</w:t>
      </w:r>
      <w:r w:rsidRPr="005E0713">
        <w:rPr>
          <w:rFonts w:eastAsia="Times New Roman" w:cs="Times New Roman"/>
          <w:lang w:eastAsia="fr-CA"/>
        </w:rPr>
        <w:t>] « </w:t>
      </w:r>
      <w:r w:rsidRPr="005E0713">
        <w:rPr>
          <w:rFonts w:cs="Times New Roman"/>
        </w:rPr>
        <w:t xml:space="preserve">fait partie </w:t>
      </w:r>
      <w:r w:rsidRPr="005E0713">
        <w:rPr>
          <w:rFonts w:eastAsia="Times New Roman" w:cs="Times New Roman"/>
          <w:lang w:eastAsia="fr-CA"/>
        </w:rPr>
        <w:t>des</w:t>
      </w:r>
      <w:r w:rsidRPr="005E0713">
        <w:rPr>
          <w:rFonts w:cs="Times New Roman"/>
        </w:rPr>
        <w:t xml:space="preserve"> sanctions </w:t>
      </w:r>
      <w:r w:rsidRPr="005E0713">
        <w:rPr>
          <w:rFonts w:eastAsia="Times New Roman" w:cs="Times New Roman"/>
          <w:lang w:eastAsia="fr-CA"/>
        </w:rPr>
        <w:t xml:space="preserve">dont est passible un accusé pour une infraction donnée » (par. 22, renvoyant à </w:t>
      </w:r>
      <w:r w:rsidRPr="005E0713">
        <w:rPr>
          <w:rFonts w:eastAsia="Times New Roman" w:cs="Times New Roman"/>
          <w:i/>
          <w:lang w:eastAsia="fr-CA"/>
        </w:rPr>
        <w:t>R. c. Rodgers</w:t>
      </w:r>
      <w:r w:rsidRPr="005E0713">
        <w:rPr>
          <w:rFonts w:eastAsia="Times New Roman" w:cs="Times New Roman"/>
          <w:lang w:eastAsia="fr-CA"/>
        </w:rPr>
        <w:t>, 2006 CSC 15, [2006] 1 R.C.S. 554, par. 62</w:t>
      </w:r>
      <w:r w:rsidRPr="005E0713">
        <w:rPr>
          <w:rFonts w:eastAsia="Times New Roman" w:cs="Times New Roman"/>
          <w:lang w:eastAsia="fr-CA"/>
        </w:rPr>
        <w:noBreakHyphen/>
        <w:t xml:space="preserve">63). </w:t>
      </w:r>
    </w:p>
    <w:p w14:paraId="4976D52C" w14:textId="77777777" w:rsidR="000E6B3D" w:rsidRPr="005E0713" w:rsidRDefault="000E6B3D" w:rsidP="000E6B3D">
      <w:pPr>
        <w:pStyle w:val="ParaNoNdepar-AltN"/>
        <w:rPr>
          <w:rFonts w:eastAsia="Times New Roman" w:cs="Times New Roman"/>
          <w:lang w:eastAsia="fr-CA"/>
        </w:rPr>
      </w:pPr>
      <w:r w:rsidRPr="005E0713">
        <w:rPr>
          <w:rFonts w:cs="Times New Roman"/>
        </w:rPr>
        <w:lastRenderedPageBreak/>
        <w:t xml:space="preserve">Bien qu’une détention </w:t>
      </w:r>
      <w:proofErr w:type="spellStart"/>
      <w:r w:rsidRPr="005E0713">
        <w:rPr>
          <w:rFonts w:cs="Times New Roman"/>
        </w:rPr>
        <w:t>présentencielle</w:t>
      </w:r>
      <w:proofErr w:type="spellEnd"/>
      <w:r w:rsidRPr="005E0713">
        <w:rPr>
          <w:rFonts w:cs="Times New Roman"/>
        </w:rPr>
        <w:t xml:space="preserve"> ou une interdiction </w:t>
      </w:r>
      <w:proofErr w:type="spellStart"/>
      <w:r w:rsidRPr="005E0713">
        <w:rPr>
          <w:rFonts w:cs="Times New Roman"/>
        </w:rPr>
        <w:t>présentencielle</w:t>
      </w:r>
      <w:proofErr w:type="spellEnd"/>
      <w:r w:rsidRPr="005E0713">
        <w:rPr>
          <w:rFonts w:cs="Times New Roman"/>
        </w:rPr>
        <w:t xml:space="preserve"> de conduire puisse avoir reposé initialement sur une volonté de protéger le public, à la suite d’une déclaration de culpabilité, cette sanction peut néanmoins avoir ultimement un effet punitif et dissuasif sur le contrevenant et ainsi faire partie de sa peine. Sur ce point, la juge </w:t>
      </w:r>
      <w:proofErr w:type="spellStart"/>
      <w:r w:rsidRPr="005E0713">
        <w:rPr>
          <w:rFonts w:cs="Times New Roman"/>
        </w:rPr>
        <w:t>Arbour</w:t>
      </w:r>
      <w:proofErr w:type="spellEnd"/>
      <w:r w:rsidRPr="005E0713">
        <w:rPr>
          <w:rFonts w:cs="Times New Roman"/>
        </w:rPr>
        <w:t xml:space="preserve"> a écrit dans l’arrêt </w:t>
      </w:r>
      <w:proofErr w:type="spellStart"/>
      <w:r w:rsidRPr="005E0713">
        <w:rPr>
          <w:rFonts w:cs="Times New Roman"/>
          <w:i/>
        </w:rPr>
        <w:t>Wust</w:t>
      </w:r>
      <w:proofErr w:type="spellEnd"/>
      <w:r w:rsidRPr="005E0713">
        <w:rPr>
          <w:rFonts w:cs="Times New Roman"/>
        </w:rPr>
        <w:t xml:space="preserve"> que « [p]</w:t>
      </w:r>
      <w:proofErr w:type="spellStart"/>
      <w:r w:rsidRPr="005E0713">
        <w:rPr>
          <w:rFonts w:cs="Times New Roman"/>
        </w:rPr>
        <w:t>rétendre</w:t>
      </w:r>
      <w:proofErr w:type="spellEnd"/>
      <w:r w:rsidRPr="005E0713">
        <w:rPr>
          <w:rFonts w:cs="Times New Roman"/>
        </w:rPr>
        <w:t xml:space="preserve"> </w:t>
      </w:r>
      <w:r w:rsidRPr="005E0713">
        <w:rPr>
          <w:rFonts w:eastAsia="Times New Roman" w:cs="Times New Roman"/>
          <w:lang w:eastAsia="fr-CA"/>
        </w:rPr>
        <w:t xml:space="preserve">que la détention </w:t>
      </w:r>
      <w:proofErr w:type="spellStart"/>
      <w:r w:rsidRPr="005E0713">
        <w:rPr>
          <w:rFonts w:eastAsia="Times New Roman" w:cs="Times New Roman"/>
          <w:lang w:eastAsia="fr-CA"/>
        </w:rPr>
        <w:t>présentencielle</w:t>
      </w:r>
      <w:proofErr w:type="spellEnd"/>
      <w:r w:rsidRPr="005E0713">
        <w:rPr>
          <w:rFonts w:eastAsia="Times New Roman" w:cs="Times New Roman"/>
          <w:lang w:eastAsia="fr-CA"/>
        </w:rPr>
        <w:t xml:space="preserve"> ne peut jamais être </w:t>
      </w:r>
      <w:r w:rsidRPr="005E0713">
        <w:rPr>
          <w:rFonts w:eastAsia="Times New Roman" w:cs="Times New Roman"/>
          <w:u w:val="single"/>
          <w:lang w:eastAsia="fr-CA"/>
        </w:rPr>
        <w:t>réputée</w:t>
      </w:r>
      <w:r w:rsidRPr="005E0713">
        <w:rPr>
          <w:rFonts w:eastAsia="Times New Roman" w:cs="Times New Roman"/>
          <w:lang w:eastAsia="fr-CA"/>
        </w:rPr>
        <w:t xml:space="preserve"> constituer une peine après la déclaration de culpabilité — parce que le système judiciaire ne punit pas des personnes innocentes — est un exercice de sémantique qui ne tient pas compte de la réalité de cette détention » (par. 41 (souligné dans l’original)). Elle conclu</w:t>
      </w:r>
      <w:r w:rsidRPr="005E0713">
        <w:rPr>
          <w:rFonts w:cs="Times New Roman"/>
        </w:rPr>
        <w:t>t</w:t>
      </w:r>
      <w:r w:rsidRPr="005E0713">
        <w:rPr>
          <w:rFonts w:eastAsia="Times New Roman" w:cs="Times New Roman"/>
          <w:lang w:eastAsia="fr-CA"/>
        </w:rPr>
        <w:t xml:space="preserve"> que « bien que la détention avant le procès ne se veuille pas une sanction lorsqu’elle est infligée, elle est, de fait, réputée faire partie de la peine après la déclaration de culpabilité du délinquant » (par. 41).</w:t>
      </w:r>
    </w:p>
    <w:p w14:paraId="6EDCE674" w14:textId="77777777" w:rsidR="000E6B3D" w:rsidRPr="005E0713" w:rsidRDefault="000E6B3D" w:rsidP="000E6B3D">
      <w:pPr>
        <w:pStyle w:val="ParaNoNdepar-AltN"/>
        <w:rPr>
          <w:rFonts w:eastAsia="Times New Roman" w:cs="Times New Roman"/>
          <w:lang w:eastAsia="fr-CA"/>
        </w:rPr>
      </w:pPr>
      <w:r w:rsidRPr="005E0713">
        <w:rPr>
          <w:rFonts w:eastAsia="Times New Roman" w:cs="Times New Roman"/>
          <w:lang w:eastAsia="fr-CA"/>
        </w:rPr>
        <w:t xml:space="preserve">Ces réflexions font écho aux propos du juge en chef Lamer dans l’arrêt </w:t>
      </w:r>
      <w:r w:rsidRPr="005E0713">
        <w:rPr>
          <w:rFonts w:eastAsia="Times New Roman" w:cs="Times New Roman"/>
          <w:i/>
          <w:lang w:eastAsia="fr-CA"/>
        </w:rPr>
        <w:t>Sharma</w:t>
      </w:r>
      <w:r w:rsidRPr="005E0713">
        <w:rPr>
          <w:rFonts w:eastAsia="Times New Roman" w:cs="Times New Roman"/>
          <w:lang w:eastAsia="fr-CA"/>
        </w:rPr>
        <w:t xml:space="preserve">, lorsqu’il a affirmé que l’interdiction </w:t>
      </w:r>
      <w:proofErr w:type="spellStart"/>
      <w:r w:rsidRPr="005E0713">
        <w:rPr>
          <w:rFonts w:eastAsia="Times New Roman" w:cs="Times New Roman"/>
          <w:lang w:eastAsia="fr-CA"/>
        </w:rPr>
        <w:t>présentencielle</w:t>
      </w:r>
      <w:proofErr w:type="spellEnd"/>
      <w:r w:rsidRPr="005E0713">
        <w:rPr>
          <w:rFonts w:eastAsia="Times New Roman" w:cs="Times New Roman"/>
          <w:lang w:eastAsia="fr-CA"/>
        </w:rPr>
        <w:t xml:space="preserve"> de conduire à laquelle avait été assujetti le contrevenant constituait</w:t>
      </w:r>
      <w:r w:rsidRPr="005E0713">
        <w:rPr>
          <w:rFonts w:cs="Times New Roman"/>
        </w:rPr>
        <w:t xml:space="preserve"> une atteinte à </w:t>
      </w:r>
      <w:r w:rsidRPr="005E0713">
        <w:rPr>
          <w:rFonts w:eastAsia="Times New Roman" w:cs="Times New Roman"/>
          <w:lang w:eastAsia="fr-CA"/>
        </w:rPr>
        <w:t>sa</w:t>
      </w:r>
      <w:r w:rsidRPr="005E0713">
        <w:rPr>
          <w:rFonts w:cs="Times New Roman"/>
        </w:rPr>
        <w:t xml:space="preserve"> liberté</w:t>
      </w:r>
      <w:r w:rsidRPr="005E0713">
        <w:rPr>
          <w:rFonts w:eastAsia="Times New Roman" w:cs="Times New Roman"/>
          <w:lang w:eastAsia="fr-CA"/>
        </w:rPr>
        <w:t xml:space="preserve">, de telle sorte </w:t>
      </w:r>
      <w:r w:rsidRPr="005E0713">
        <w:rPr>
          <w:rFonts w:cs="Times New Roman"/>
        </w:rPr>
        <w:t xml:space="preserve">que </w:t>
      </w:r>
      <w:r w:rsidRPr="005E0713">
        <w:rPr>
          <w:rFonts w:eastAsia="Times New Roman" w:cs="Times New Roman"/>
          <w:lang w:eastAsia="fr-CA"/>
        </w:rPr>
        <w:t>celui-ci avait essentiellement déjà commencé à purger sa peine (p. 817</w:t>
      </w:r>
      <w:r w:rsidRPr="005E0713">
        <w:rPr>
          <w:rFonts w:eastAsia="Times New Roman" w:cs="Times New Roman"/>
          <w:lang w:eastAsia="fr-CA"/>
        </w:rPr>
        <w:noBreakHyphen/>
        <w:t xml:space="preserve">818; voir aussi </w:t>
      </w:r>
      <w:r w:rsidRPr="005E0713">
        <w:rPr>
          <w:rFonts w:eastAsia="Times New Roman" w:cs="Times New Roman"/>
          <w:i/>
          <w:lang w:eastAsia="fr-CA"/>
        </w:rPr>
        <w:t>Lacasse</w:t>
      </w:r>
      <w:r w:rsidRPr="005E0713">
        <w:rPr>
          <w:rFonts w:eastAsia="Times New Roman" w:cs="Times New Roman"/>
          <w:lang w:eastAsia="fr-CA"/>
        </w:rPr>
        <w:t>, par. 113). En réalité, dans le cas de M</w:t>
      </w:r>
      <w:r w:rsidRPr="005E0713">
        <w:rPr>
          <w:rFonts w:eastAsia="Times New Roman" w:cs="Times New Roman"/>
          <w:vertAlign w:val="superscript"/>
          <w:lang w:eastAsia="fr-CA"/>
        </w:rPr>
        <w:t>me</w:t>
      </w:r>
      <w:r w:rsidRPr="005E0713">
        <w:rPr>
          <w:rFonts w:eastAsia="Times New Roman" w:cs="Times New Roman"/>
          <w:lang w:eastAsia="fr-CA"/>
        </w:rPr>
        <w:t xml:space="preserve"> Basque, l’interdiction </w:t>
      </w:r>
      <w:proofErr w:type="spellStart"/>
      <w:r w:rsidRPr="005E0713">
        <w:rPr>
          <w:rFonts w:eastAsia="Times New Roman" w:cs="Times New Roman"/>
          <w:lang w:eastAsia="fr-CA"/>
        </w:rPr>
        <w:t>présentencielle</w:t>
      </w:r>
      <w:proofErr w:type="spellEnd"/>
      <w:r w:rsidRPr="005E0713">
        <w:rPr>
          <w:rFonts w:eastAsia="Times New Roman" w:cs="Times New Roman"/>
          <w:lang w:eastAsia="fr-CA"/>
        </w:rPr>
        <w:t xml:space="preserve"> de conduire a eu les mêmes effets punitifs et dissuasifs que si cette prohibition avait été purgée postérieurement au</w:t>
      </w:r>
      <w:r w:rsidRPr="005E0713">
        <w:rPr>
          <w:rFonts w:cs="Times New Roman"/>
        </w:rPr>
        <w:t xml:space="preserve"> prononcé de la sentence</w:t>
      </w:r>
      <w:r w:rsidRPr="005E0713">
        <w:rPr>
          <w:rFonts w:eastAsia="Times New Roman" w:cs="Times New Roman"/>
          <w:lang w:eastAsia="fr-CA"/>
        </w:rPr>
        <w:t xml:space="preserve">. Par conséquent, considérer que l’al. 259(1)a) </w:t>
      </w:r>
      <w:r w:rsidRPr="005E0713">
        <w:rPr>
          <w:rFonts w:eastAsia="Times New Roman" w:cs="Times New Roman"/>
          <w:i/>
          <w:lang w:eastAsia="fr-CA"/>
        </w:rPr>
        <w:t>C. </w:t>
      </w:r>
      <w:proofErr w:type="spellStart"/>
      <w:r w:rsidRPr="005E0713">
        <w:rPr>
          <w:rFonts w:eastAsia="Times New Roman" w:cs="Times New Roman"/>
          <w:i/>
          <w:lang w:eastAsia="fr-CA"/>
        </w:rPr>
        <w:t>cr</w:t>
      </w:r>
      <w:proofErr w:type="spellEnd"/>
      <w:r w:rsidRPr="005E0713">
        <w:rPr>
          <w:rFonts w:eastAsia="Times New Roman" w:cs="Times New Roman"/>
          <w:i/>
          <w:lang w:eastAsia="fr-CA"/>
        </w:rPr>
        <w:t>.</w:t>
      </w:r>
      <w:r w:rsidRPr="005E0713">
        <w:rPr>
          <w:rFonts w:eastAsia="Times New Roman" w:cs="Times New Roman"/>
          <w:lang w:eastAsia="fr-CA"/>
        </w:rPr>
        <w:t xml:space="preserve"> </w:t>
      </w:r>
      <w:proofErr w:type="gramStart"/>
      <w:r w:rsidRPr="005E0713">
        <w:rPr>
          <w:rFonts w:eastAsia="Times New Roman" w:cs="Times New Roman"/>
          <w:lang w:eastAsia="fr-CA"/>
        </w:rPr>
        <w:t>exige</w:t>
      </w:r>
      <w:proofErr w:type="gramEnd"/>
      <w:r w:rsidRPr="005E0713">
        <w:rPr>
          <w:rFonts w:eastAsia="Times New Roman" w:cs="Times New Roman"/>
          <w:lang w:eastAsia="fr-CA"/>
        </w:rPr>
        <w:t xml:space="preserve"> l’infliction d’une peine d’un an — au sens d’une punition globale incluant la période </w:t>
      </w:r>
      <w:proofErr w:type="spellStart"/>
      <w:r w:rsidRPr="005E0713">
        <w:rPr>
          <w:rFonts w:eastAsia="Times New Roman" w:cs="Times New Roman"/>
          <w:lang w:eastAsia="fr-CA"/>
        </w:rPr>
        <w:t>présentencielle</w:t>
      </w:r>
      <w:proofErr w:type="spellEnd"/>
      <w:r w:rsidRPr="005E0713">
        <w:rPr>
          <w:rFonts w:eastAsia="Times New Roman" w:cs="Times New Roman"/>
          <w:lang w:eastAsia="fr-CA"/>
        </w:rPr>
        <w:t xml:space="preserve"> —</w:t>
      </w:r>
      <w:r>
        <w:rPr>
          <w:rFonts w:eastAsia="Times New Roman" w:cs="Times New Roman"/>
          <w:lang w:eastAsia="fr-CA"/>
        </w:rPr>
        <w:t> </w:t>
      </w:r>
      <w:r w:rsidRPr="005E0713">
        <w:rPr>
          <w:rFonts w:eastAsia="Times New Roman" w:cs="Times New Roman"/>
          <w:lang w:eastAsia="fr-CA"/>
        </w:rPr>
        <w:t xml:space="preserve">satisfait parfaitement aux objectifs de dissuasion et de punition qui sous-tendent cette disposition (voir sur ce point l’arrêt </w:t>
      </w:r>
      <w:r w:rsidRPr="005E0713">
        <w:rPr>
          <w:rFonts w:eastAsia="Times New Roman" w:cs="Times New Roman"/>
          <w:i/>
          <w:lang w:eastAsia="fr-CA"/>
        </w:rPr>
        <w:t>Pham</w:t>
      </w:r>
      <w:r w:rsidRPr="005E0713">
        <w:rPr>
          <w:rFonts w:eastAsia="Times New Roman" w:cs="Times New Roman"/>
          <w:lang w:eastAsia="fr-CA"/>
        </w:rPr>
        <w:t xml:space="preserve">, par. 10 et 28). </w:t>
      </w:r>
      <w:r w:rsidRPr="005E0713">
        <w:rPr>
          <w:rFonts w:cs="Times New Roman"/>
        </w:rPr>
        <w:t xml:space="preserve">Je souligne par ailleurs qu’en balisant l’appréciation </w:t>
      </w:r>
      <w:r w:rsidRPr="005E0713">
        <w:rPr>
          <w:rFonts w:cs="Times New Roman"/>
        </w:rPr>
        <w:lastRenderedPageBreak/>
        <w:t xml:space="preserve">discrétionnaire du tribunal au </w:t>
      </w:r>
      <w:proofErr w:type="spellStart"/>
      <w:r w:rsidRPr="005E0713">
        <w:rPr>
          <w:rFonts w:cs="Times New Roman"/>
        </w:rPr>
        <w:t>par</w:t>
      </w:r>
      <w:proofErr w:type="spellEnd"/>
      <w:r w:rsidRPr="005E0713">
        <w:rPr>
          <w:rFonts w:cs="Times New Roman"/>
        </w:rPr>
        <w:t xml:space="preserve">. 718.3(2)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le législateur emploie le terme « </w:t>
      </w:r>
      <w:proofErr w:type="spellStart"/>
      <w:r w:rsidRPr="005E0713">
        <w:rPr>
          <w:rFonts w:cs="Times New Roman"/>
          <w:i/>
        </w:rPr>
        <w:t>punishment</w:t>
      </w:r>
      <w:proofErr w:type="spellEnd"/>
      <w:r w:rsidRPr="005E0713">
        <w:rPr>
          <w:rFonts w:cs="Times New Roman"/>
        </w:rPr>
        <w:t> » dans la version anglaise de cette disposition.</w:t>
      </w:r>
    </w:p>
    <w:p w14:paraId="2B81D871" w14:textId="77777777" w:rsidR="000E6B3D" w:rsidRPr="005E0713" w:rsidRDefault="000E6B3D" w:rsidP="000E6B3D">
      <w:pPr>
        <w:pStyle w:val="ParaNoNdepar-AltN"/>
        <w:rPr>
          <w:rFonts w:eastAsia="Times New Roman" w:cs="Times New Roman"/>
          <w:lang w:eastAsia="fr-CA"/>
        </w:rPr>
      </w:pPr>
      <w:r w:rsidRPr="005E0713">
        <w:rPr>
          <w:rFonts w:cs="Times New Roman"/>
        </w:rPr>
        <w:t xml:space="preserve">Si l’al. 259(1)a)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w:t>
      </w:r>
      <w:proofErr w:type="gramStart"/>
      <w:r w:rsidRPr="005E0713">
        <w:rPr>
          <w:rFonts w:cs="Times New Roman"/>
        </w:rPr>
        <w:t>exigeait</w:t>
      </w:r>
      <w:proofErr w:type="gramEnd"/>
      <w:r w:rsidRPr="005E0713">
        <w:rPr>
          <w:rFonts w:cs="Times New Roman"/>
        </w:rPr>
        <w:t xml:space="preserve"> le prononcé d’une sentence minimale, cela risquerait d’entraîner des résultats contre</w:t>
      </w:r>
      <w:r w:rsidRPr="005E0713">
        <w:rPr>
          <w:rFonts w:cs="Times New Roman"/>
        </w:rPr>
        <w:noBreakHyphen/>
        <w:t>intuitifs, voire absurdes. Par exemple, l’infliction d’une interdiction additionnelle</w:t>
      </w:r>
      <w:r w:rsidRPr="005E0713">
        <w:rPr>
          <w:rFonts w:eastAsia="Times New Roman" w:cs="Times New Roman"/>
          <w:lang w:eastAsia="fr-CA"/>
        </w:rPr>
        <w:t xml:space="preserve"> de conduire d’une durée minimale d’</w:t>
      </w:r>
      <w:r w:rsidRPr="005E0713">
        <w:rPr>
          <w:rFonts w:cs="Times New Roman"/>
        </w:rPr>
        <w:t>un an équivaudrait à une double punition pour le contrevenant ayant déjà purgé, dans l’attente de son procès, tout ou partie de la durée minimale de la prohibition de conduire. Un tel résultat serait contraire aux intérêts les plus fondamentaux de la justice, faisant poindre le spectre d’une double punition [</w:t>
      </w:r>
      <w:r w:rsidRPr="005E0713">
        <w:rPr>
          <w:rFonts w:cs="Times New Roman"/>
          <w:smallCaps/>
        </w:rPr>
        <w:t>traduction</w:t>
      </w:r>
      <w:r w:rsidRPr="005E0713">
        <w:rPr>
          <w:rFonts w:cs="Times New Roman"/>
        </w:rPr>
        <w:t>] « sans aucune indication claire que c’est ce que le Parlement cherchait à réaliser » (</w:t>
      </w:r>
      <w:r w:rsidRPr="005E0713">
        <w:rPr>
          <w:rFonts w:cs="Times New Roman"/>
          <w:i/>
        </w:rPr>
        <w:t>Pham</w:t>
      </w:r>
      <w:r w:rsidRPr="005E0713">
        <w:rPr>
          <w:rFonts w:cs="Times New Roman"/>
        </w:rPr>
        <w:t xml:space="preserve">, par. 10). </w:t>
      </w:r>
    </w:p>
    <w:p w14:paraId="2F593AE6" w14:textId="77777777" w:rsidR="000E6B3D" w:rsidRPr="005E0713" w:rsidRDefault="000E6B3D" w:rsidP="000E6B3D">
      <w:pPr>
        <w:pStyle w:val="ParaNoNdepar-AltN"/>
        <w:rPr>
          <w:rFonts w:eastAsia="Times New Roman" w:cs="Times New Roman"/>
          <w:lang w:eastAsia="fr-CA"/>
        </w:rPr>
      </w:pPr>
      <w:r w:rsidRPr="005E0713">
        <w:rPr>
          <w:rFonts w:cs="Times New Roman"/>
        </w:rPr>
        <w:t>De surcroît, par analogie avec les enseignements de la juge </w:t>
      </w:r>
      <w:proofErr w:type="spellStart"/>
      <w:r w:rsidRPr="005E0713">
        <w:rPr>
          <w:rFonts w:cs="Times New Roman"/>
        </w:rPr>
        <w:t>Arbour</w:t>
      </w:r>
      <w:proofErr w:type="spellEnd"/>
      <w:r w:rsidRPr="005E0713">
        <w:rPr>
          <w:rFonts w:cs="Times New Roman"/>
        </w:rPr>
        <w:t xml:space="preserve"> dans l’arrêt </w:t>
      </w:r>
      <w:proofErr w:type="spellStart"/>
      <w:r w:rsidRPr="005E0713">
        <w:rPr>
          <w:rFonts w:cs="Times New Roman"/>
          <w:i/>
        </w:rPr>
        <w:t>Wust</w:t>
      </w:r>
      <w:proofErr w:type="spellEnd"/>
      <w:r w:rsidRPr="005E0713">
        <w:rPr>
          <w:rFonts w:cs="Times New Roman"/>
        </w:rPr>
        <w:t xml:space="preserve">, l’écart approprié entre les peines infligées aux contrevenants les plus dangereux et les moins dangereux risquerait indûment de s’effriter. En effet, les délinquants endurcis, « du fait qu’ils reçoivent des peines supérieures au minimum prévu, profiteraient d’une réduction de peine fondée sur la période de détention </w:t>
      </w:r>
      <w:proofErr w:type="spellStart"/>
      <w:r w:rsidRPr="005E0713">
        <w:rPr>
          <w:rFonts w:cs="Times New Roman"/>
        </w:rPr>
        <w:t>présentencielle</w:t>
      </w:r>
      <w:proofErr w:type="spellEnd"/>
      <w:r w:rsidRPr="005E0713">
        <w:rPr>
          <w:rFonts w:cs="Times New Roman"/>
        </w:rPr>
        <w:t>, alors que les délinquants qui n’en sont qu’à leur première infraction et qui se voient infliger la peine minimale ne bénéficieraient pas de cette réduction » (par. 42). En m’inspirant des propos de la juge </w:t>
      </w:r>
      <w:proofErr w:type="spellStart"/>
      <w:r w:rsidRPr="005E0713">
        <w:rPr>
          <w:rFonts w:cs="Times New Roman"/>
        </w:rPr>
        <w:t>Arbour</w:t>
      </w:r>
      <w:proofErr w:type="spellEnd"/>
      <w:r w:rsidRPr="005E0713">
        <w:rPr>
          <w:rFonts w:cs="Times New Roman"/>
        </w:rPr>
        <w:t xml:space="preserve">, je suis d’avis qu’il faut, en l’espèce, écarter toute interprétation « qui aurait pour effet de profiter aux délinquants les plus dangereux et de pénaliser les délinquants les moins dangereux » (par. 42). Enfin, si l’al. 259(1)a) </w:t>
      </w:r>
      <w:r w:rsidRPr="005E0713">
        <w:rPr>
          <w:rFonts w:cs="Times New Roman"/>
          <w:i/>
        </w:rPr>
        <w:t>C. </w:t>
      </w:r>
      <w:proofErr w:type="spellStart"/>
      <w:r w:rsidRPr="005E0713">
        <w:rPr>
          <w:rFonts w:cs="Times New Roman"/>
          <w:i/>
        </w:rPr>
        <w:t>cr</w:t>
      </w:r>
      <w:proofErr w:type="spellEnd"/>
      <w:r w:rsidRPr="005E0713">
        <w:rPr>
          <w:rFonts w:cs="Times New Roman"/>
          <w:i/>
        </w:rPr>
        <w:t>.</w:t>
      </w:r>
      <w:r w:rsidRPr="005E0713">
        <w:rPr>
          <w:rFonts w:cs="Times New Roman"/>
        </w:rPr>
        <w:t xml:space="preserve"> </w:t>
      </w:r>
      <w:proofErr w:type="gramStart"/>
      <w:r w:rsidRPr="005E0713">
        <w:rPr>
          <w:rFonts w:cs="Times New Roman"/>
        </w:rPr>
        <w:t>exigeait</w:t>
      </w:r>
      <w:proofErr w:type="gramEnd"/>
      <w:r w:rsidRPr="005E0713">
        <w:rPr>
          <w:rFonts w:cs="Times New Roman"/>
        </w:rPr>
        <w:t xml:space="preserve"> le prononcé d’une </w:t>
      </w:r>
      <w:r w:rsidRPr="005E0713">
        <w:rPr>
          <w:rFonts w:cs="Times New Roman"/>
          <w:i/>
        </w:rPr>
        <w:t xml:space="preserve">sentence </w:t>
      </w:r>
      <w:r w:rsidRPr="005E0713">
        <w:rPr>
          <w:rFonts w:cs="Times New Roman"/>
        </w:rPr>
        <w:t xml:space="preserve">minimale, cela </w:t>
      </w:r>
      <w:r w:rsidRPr="005E0713">
        <w:rPr>
          <w:rFonts w:cs="Times New Roman"/>
        </w:rPr>
        <w:lastRenderedPageBreak/>
        <w:t>minerait la gradation méticuleuse des interdictions minimales établie par le Parlement aux al. 259(1)a), b) et c) et exposée par le juge French, dissident (voir les par. 93-94 et 129 des motifs de la Cour d’appel). En effet, un contrevenant ne méritant que la peine minimale d’un an pour une première infraction risquerait, à l’instar de M</w:t>
      </w:r>
      <w:r w:rsidRPr="005E0713">
        <w:rPr>
          <w:rFonts w:cs="Times New Roman"/>
          <w:vertAlign w:val="superscript"/>
        </w:rPr>
        <w:t>me</w:t>
      </w:r>
      <w:r w:rsidRPr="005E0713">
        <w:rPr>
          <w:rFonts w:cs="Times New Roman"/>
        </w:rPr>
        <w:t> Basque, d’être sujet à la même privation de liberté qu’un récidiviste multiple n’ayant pas été sous le coup d’une prohibition de conduire dans l’attente de son procès.</w:t>
      </w:r>
    </w:p>
    <w:p w14:paraId="0D3546D9" w14:textId="77777777" w:rsidR="000E6B3D" w:rsidRPr="005E0713" w:rsidRDefault="000E6B3D" w:rsidP="000E6B3D">
      <w:pPr>
        <w:pStyle w:val="ParaNoNdepar-AltN"/>
        <w:rPr>
          <w:rFonts w:cs="Times New Roman"/>
        </w:rPr>
      </w:pPr>
      <w:r w:rsidRPr="005E0713">
        <w:rPr>
          <w:rFonts w:eastAsia="Times New Roman" w:cs="Times New Roman"/>
          <w:lang w:eastAsia="fr-CA"/>
        </w:rPr>
        <w:t>Conformément aux enseignements de notre Cour, il faut présumer qu’en l’absence d’une intention claire à cet effet, le Parlement n’avait pas l’intention de produire de tels résultats absurdes (</w:t>
      </w:r>
      <w:r w:rsidRPr="005E0713">
        <w:rPr>
          <w:rFonts w:eastAsia="Times New Roman" w:cs="Times New Roman"/>
          <w:i/>
          <w:lang w:eastAsia="fr-CA"/>
        </w:rPr>
        <w:t>Rizzo</w:t>
      </w:r>
      <w:r w:rsidRPr="005E0713">
        <w:rPr>
          <w:rFonts w:eastAsia="Times New Roman" w:cs="Times New Roman"/>
          <w:lang w:eastAsia="fr-CA"/>
        </w:rPr>
        <w:t xml:space="preserve">, par. 27, citant R. Sullivan, </w:t>
      </w:r>
      <w:proofErr w:type="spellStart"/>
      <w:r w:rsidRPr="005E0713">
        <w:rPr>
          <w:rFonts w:eastAsia="Times New Roman" w:cs="Times New Roman"/>
          <w:i/>
          <w:lang w:eastAsia="fr-CA"/>
        </w:rPr>
        <w:t>Driedger</w:t>
      </w:r>
      <w:proofErr w:type="spellEnd"/>
      <w:r w:rsidRPr="005E0713">
        <w:rPr>
          <w:rFonts w:eastAsia="Times New Roman" w:cs="Times New Roman"/>
          <w:i/>
          <w:lang w:eastAsia="fr-CA"/>
        </w:rPr>
        <w:t xml:space="preserve"> on the Construction of </w:t>
      </w:r>
      <w:proofErr w:type="spellStart"/>
      <w:r w:rsidRPr="005E0713">
        <w:rPr>
          <w:rFonts w:eastAsia="Times New Roman" w:cs="Times New Roman"/>
          <w:i/>
          <w:lang w:eastAsia="fr-CA"/>
        </w:rPr>
        <w:t>Statutes</w:t>
      </w:r>
      <w:proofErr w:type="spellEnd"/>
      <w:r w:rsidRPr="005E0713">
        <w:rPr>
          <w:rFonts w:eastAsia="Times New Roman" w:cs="Times New Roman"/>
          <w:lang w:eastAsia="fr-CA"/>
        </w:rPr>
        <w:t xml:space="preserve"> (3</w:t>
      </w:r>
      <w:r w:rsidRPr="005E0713">
        <w:rPr>
          <w:rFonts w:eastAsia="Times New Roman" w:cs="Times New Roman"/>
          <w:vertAlign w:val="superscript"/>
          <w:lang w:eastAsia="fr-CA"/>
        </w:rPr>
        <w:t>e</w:t>
      </w:r>
      <w:r w:rsidRPr="005E0713">
        <w:rPr>
          <w:rFonts w:eastAsia="Times New Roman" w:cs="Times New Roman"/>
          <w:lang w:eastAsia="fr-CA"/>
        </w:rPr>
        <w:t xml:space="preserve"> éd. 1994), p. 88; </w:t>
      </w:r>
      <w:proofErr w:type="spellStart"/>
      <w:r w:rsidRPr="005E0713">
        <w:rPr>
          <w:rFonts w:eastAsia="Times New Roman" w:cs="Times New Roman"/>
          <w:i/>
          <w:lang w:eastAsia="fr-CA"/>
        </w:rPr>
        <w:t>Keatley</w:t>
      </w:r>
      <w:proofErr w:type="spellEnd"/>
      <w:r w:rsidRPr="005E0713">
        <w:rPr>
          <w:rFonts w:eastAsia="Times New Roman" w:cs="Times New Roman"/>
          <w:i/>
          <w:lang w:eastAsia="fr-CA"/>
        </w:rPr>
        <w:t xml:space="preserve"> </w:t>
      </w:r>
      <w:proofErr w:type="spellStart"/>
      <w:r w:rsidRPr="005E0713">
        <w:rPr>
          <w:rFonts w:eastAsia="Times New Roman" w:cs="Times New Roman"/>
          <w:i/>
          <w:lang w:eastAsia="fr-CA"/>
        </w:rPr>
        <w:t>Surveying</w:t>
      </w:r>
      <w:proofErr w:type="spellEnd"/>
      <w:r w:rsidRPr="005E0713">
        <w:rPr>
          <w:rFonts w:eastAsia="Times New Roman" w:cs="Times New Roman"/>
          <w:i/>
          <w:lang w:eastAsia="fr-CA"/>
        </w:rPr>
        <w:t xml:space="preserve"> Ltd.</w:t>
      </w:r>
      <w:r w:rsidRPr="005E0713">
        <w:rPr>
          <w:rFonts w:eastAsia="Times New Roman" w:cs="Times New Roman"/>
          <w:i/>
          <w:szCs w:val="20"/>
          <w:lang w:eastAsia="en-CA"/>
        </w:rPr>
        <w:t xml:space="preserve"> </w:t>
      </w:r>
      <w:r w:rsidRPr="005E0713">
        <w:rPr>
          <w:rFonts w:eastAsia="Times New Roman" w:cs="Times New Roman"/>
          <w:i/>
          <w:lang w:eastAsia="fr-CA"/>
        </w:rPr>
        <w:t xml:space="preserve">c. </w:t>
      </w:r>
      <w:proofErr w:type="spellStart"/>
      <w:r w:rsidRPr="005E0713">
        <w:rPr>
          <w:rFonts w:eastAsia="Times New Roman" w:cs="Times New Roman"/>
          <w:i/>
          <w:lang w:eastAsia="fr-CA"/>
        </w:rPr>
        <w:t>Teranet</w:t>
      </w:r>
      <w:proofErr w:type="spellEnd"/>
      <w:r w:rsidRPr="005E0713">
        <w:rPr>
          <w:rFonts w:eastAsia="Times New Roman" w:cs="Times New Roman"/>
          <w:i/>
          <w:lang w:eastAsia="fr-CA"/>
        </w:rPr>
        <w:t xml:space="preserve"> Inc.</w:t>
      </w:r>
      <w:r w:rsidRPr="005E0713">
        <w:rPr>
          <w:rFonts w:eastAsia="Times New Roman" w:cs="Times New Roman"/>
          <w:lang w:eastAsia="fr-CA"/>
        </w:rPr>
        <w:t>, 2019 CSC 43, [2019] 3 R.C.S. 418, par. 96, les juges Côté et Brown, motifs concordants).</w:t>
      </w:r>
    </w:p>
    <w:p w14:paraId="4FEBBCA3" w14:textId="77777777" w:rsidR="000E6B3D" w:rsidRPr="005E0713" w:rsidRDefault="000E6B3D" w:rsidP="000E6B3D">
      <w:pPr>
        <w:pStyle w:val="Title4LevelTitre4Niveau"/>
        <w:rPr>
          <w:rFonts w:cs="Times New Roman"/>
          <w:lang w:val="fr-CA"/>
        </w:rPr>
      </w:pPr>
      <w:bookmarkStart w:id="62" w:name="_Toc122713962"/>
      <w:bookmarkStart w:id="63" w:name="_Toc123830850"/>
      <w:bookmarkStart w:id="64" w:name="_Toc124075339"/>
      <w:r w:rsidRPr="005E0713">
        <w:rPr>
          <w:rFonts w:cs="Times New Roman"/>
          <w:lang w:val="fr-CA"/>
        </w:rPr>
        <w:t xml:space="preserve">L’alinéa 259(1)a) ne limite pas la règle de </w:t>
      </w:r>
      <w:proofErr w:type="spellStart"/>
      <w:r w:rsidRPr="005E0713">
        <w:rPr>
          <w:rFonts w:cs="Times New Roman"/>
          <w:lang w:val="fr-CA"/>
        </w:rPr>
        <w:t>common</w:t>
      </w:r>
      <w:proofErr w:type="spellEnd"/>
      <w:r w:rsidRPr="005E0713">
        <w:rPr>
          <w:rFonts w:cs="Times New Roman"/>
          <w:lang w:val="fr-CA"/>
        </w:rPr>
        <w:t xml:space="preserve"> </w:t>
      </w:r>
      <w:proofErr w:type="spellStart"/>
      <w:r w:rsidRPr="005E0713">
        <w:rPr>
          <w:rFonts w:cs="Times New Roman"/>
          <w:lang w:val="fr-CA"/>
        </w:rPr>
        <w:t>law</w:t>
      </w:r>
      <w:bookmarkEnd w:id="62"/>
      <w:proofErr w:type="spellEnd"/>
      <w:r w:rsidRPr="005E0713">
        <w:rPr>
          <w:rFonts w:cs="Times New Roman"/>
          <w:lang w:val="fr-CA"/>
        </w:rPr>
        <w:t xml:space="preserve"> permettant l’octroi d’un crédit pour interdiction </w:t>
      </w:r>
      <w:proofErr w:type="spellStart"/>
      <w:r w:rsidRPr="005E0713">
        <w:rPr>
          <w:rFonts w:cs="Times New Roman"/>
          <w:lang w:val="fr-CA"/>
        </w:rPr>
        <w:t>présentencielle</w:t>
      </w:r>
      <w:proofErr w:type="spellEnd"/>
      <w:r w:rsidRPr="005E0713">
        <w:rPr>
          <w:rFonts w:cs="Times New Roman"/>
          <w:lang w:val="fr-CA"/>
        </w:rPr>
        <w:t xml:space="preserve"> de conduire</w:t>
      </w:r>
      <w:bookmarkEnd w:id="63"/>
      <w:bookmarkEnd w:id="64"/>
    </w:p>
    <w:p w14:paraId="21B08FD6" w14:textId="77777777" w:rsidR="000E6B3D" w:rsidRPr="005E0713" w:rsidRDefault="000E6B3D" w:rsidP="000E6B3D">
      <w:pPr>
        <w:pStyle w:val="ParaNoNdepar-AltN"/>
        <w:rPr>
          <w:rFonts w:cs="Times New Roman"/>
          <w:lang w:bidi="en-US"/>
        </w:rPr>
      </w:pPr>
      <w:r w:rsidRPr="005E0713">
        <w:rPr>
          <w:rFonts w:cs="Times New Roman"/>
          <w:lang w:bidi="en-US"/>
        </w:rPr>
        <w:t xml:space="preserve">Tout </w:t>
      </w:r>
      <w:r w:rsidRPr="005E0713">
        <w:rPr>
          <w:rFonts w:cs="Times New Roman"/>
        </w:rPr>
        <w:t>porte à croire</w:t>
      </w:r>
      <w:r w:rsidRPr="005E0713">
        <w:rPr>
          <w:rFonts w:cs="Times New Roman"/>
          <w:lang w:bidi="en-US"/>
        </w:rPr>
        <w:t xml:space="preserve"> que l’al. 259(1)a) prévoit une punition minimale, et non une sentence minimale. </w:t>
      </w:r>
      <w:r w:rsidRPr="005E0713">
        <w:rPr>
          <w:rFonts w:cs="Times New Roman"/>
        </w:rPr>
        <w:t xml:space="preserve">Cette disposition, silencieuse quant au crédit, ne souffre d’aucune ambiguïté. En effet, dans l’arrêt </w:t>
      </w:r>
      <w:r w:rsidRPr="005E0713">
        <w:rPr>
          <w:rFonts w:cs="Times New Roman"/>
          <w:i/>
        </w:rPr>
        <w:t xml:space="preserve">Bell </w:t>
      </w:r>
      <w:proofErr w:type="spellStart"/>
      <w:r w:rsidRPr="005E0713">
        <w:rPr>
          <w:rFonts w:cs="Times New Roman"/>
          <w:i/>
        </w:rPr>
        <w:t>ExpressVu</w:t>
      </w:r>
      <w:proofErr w:type="spellEnd"/>
      <w:r w:rsidRPr="005E0713">
        <w:rPr>
          <w:rFonts w:cs="Times New Roman"/>
        </w:rPr>
        <w:t xml:space="preserve">, la Cour a réitéré que l’ambiguïté se doit d’être « réelle », en ce que la disposition doit être raisonnablement susceptible de plus d’une interprétation (par. 29, citant </w:t>
      </w:r>
      <w:r w:rsidRPr="005E0713">
        <w:rPr>
          <w:rFonts w:cs="Times New Roman"/>
          <w:i/>
          <w:iCs/>
        </w:rPr>
        <w:t>Marcotte c. Sous</w:t>
      </w:r>
      <w:r w:rsidRPr="005E0713">
        <w:rPr>
          <w:rFonts w:cs="Times New Roman"/>
          <w:i/>
          <w:iCs/>
        </w:rPr>
        <w:noBreakHyphen/>
        <w:t>procureur général du Canada</w:t>
      </w:r>
      <w:r w:rsidRPr="005E0713">
        <w:rPr>
          <w:rFonts w:cs="Times New Roman"/>
          <w:iCs/>
        </w:rPr>
        <w:t>, [1976] 1 R.C.S. 108, p. 115</w:t>
      </w:r>
      <w:r w:rsidRPr="005E0713">
        <w:rPr>
          <w:rFonts w:cs="Times New Roman"/>
        </w:rPr>
        <w:t xml:space="preserve">). Pour tirer cette conclusion, il est nécessaire de tenir compte du contexte global de la disposition afin de déterminer s’il </w:t>
      </w:r>
      <w:r w:rsidRPr="005E0713">
        <w:rPr>
          <w:rFonts w:cs="Times New Roman"/>
        </w:rPr>
        <w:lastRenderedPageBreak/>
        <w:t>existe « deux ou plusieurs interprétations plausibles, qui s’harmonisent chacune également avec l’intention du législateur » (</w:t>
      </w:r>
      <w:proofErr w:type="spellStart"/>
      <w:r w:rsidRPr="005E0713">
        <w:rPr>
          <w:rFonts w:cs="Times New Roman"/>
          <w:i/>
        </w:rPr>
        <w:t>CanadianOxy</w:t>
      </w:r>
      <w:proofErr w:type="spellEnd"/>
      <w:r w:rsidRPr="005E0713">
        <w:rPr>
          <w:rFonts w:cs="Times New Roman"/>
          <w:i/>
        </w:rPr>
        <w:t xml:space="preserve"> Chemicals Ltd. c. Canada (Procureur général)</w:t>
      </w:r>
      <w:r w:rsidRPr="005E0713">
        <w:rPr>
          <w:rFonts w:cs="Times New Roman"/>
        </w:rPr>
        <w:t xml:space="preserve">, [1999] 1 R.C.S. 743, par. 14). Or, en l’espèce, l’al. 259(1)a) n’admet qu’une seule interprétation : l’infliction d’une peine minimale obligatoire au sens de </w:t>
      </w:r>
      <w:r w:rsidRPr="005E0713">
        <w:rPr>
          <w:rFonts w:cs="Times New Roman"/>
          <w:i/>
        </w:rPr>
        <w:t>punition</w:t>
      </w:r>
      <w:r w:rsidRPr="005E0713">
        <w:rPr>
          <w:rFonts w:cs="Times New Roman"/>
        </w:rPr>
        <w:t xml:space="preserve"> (en anglais « </w:t>
      </w:r>
      <w:proofErr w:type="spellStart"/>
      <w:r w:rsidRPr="005E0713">
        <w:rPr>
          <w:rFonts w:cs="Times New Roman"/>
          <w:i/>
        </w:rPr>
        <w:t>punishment</w:t>
      </w:r>
      <w:proofErr w:type="spellEnd"/>
      <w:r w:rsidRPr="005E0713">
        <w:rPr>
          <w:rFonts w:cs="Times New Roman"/>
        </w:rPr>
        <w:t> »).</w:t>
      </w:r>
    </w:p>
    <w:p w14:paraId="0D8AB752" w14:textId="77777777" w:rsidR="000E6B3D" w:rsidRPr="005E0713" w:rsidRDefault="000E6B3D" w:rsidP="000E6B3D">
      <w:pPr>
        <w:pStyle w:val="ParaNoNdepar-AltN"/>
        <w:rPr>
          <w:rFonts w:cs="Times New Roman"/>
          <w:lang w:bidi="en-US"/>
        </w:rPr>
      </w:pPr>
      <w:r w:rsidRPr="005E0713">
        <w:rPr>
          <w:rFonts w:cs="Times New Roman"/>
          <w:lang w:val="fr-FR"/>
        </w:rPr>
        <w:t xml:space="preserve">Non seulement cette interprétation de l’al. 259 (1)a) </w:t>
      </w:r>
      <w:r w:rsidRPr="005E0713">
        <w:rPr>
          <w:rFonts w:cs="Times New Roman"/>
          <w:i/>
          <w:lang w:val="fr-FR"/>
        </w:rPr>
        <w:t>C. </w:t>
      </w:r>
      <w:proofErr w:type="spellStart"/>
      <w:r w:rsidRPr="005E0713">
        <w:rPr>
          <w:rFonts w:cs="Times New Roman"/>
          <w:i/>
          <w:lang w:val="fr-FR"/>
        </w:rPr>
        <w:t>cr</w:t>
      </w:r>
      <w:proofErr w:type="spellEnd"/>
      <w:r w:rsidRPr="005E0713">
        <w:rPr>
          <w:rFonts w:cs="Times New Roman"/>
          <w:i/>
          <w:lang w:val="fr-FR"/>
        </w:rPr>
        <w:t>.</w:t>
      </w:r>
      <w:r w:rsidRPr="005E0713">
        <w:rPr>
          <w:rFonts w:cs="Times New Roman"/>
          <w:lang w:val="fr-FR"/>
        </w:rPr>
        <w:t xml:space="preserve"> laisse</w:t>
      </w:r>
      <w:r w:rsidRPr="005E0713">
        <w:rPr>
          <w:rFonts w:cs="Times New Roman"/>
          <w:lang w:val="fr-FR"/>
        </w:rPr>
        <w:noBreakHyphen/>
        <w:t>t</w:t>
      </w:r>
      <w:r w:rsidRPr="005E0713">
        <w:rPr>
          <w:rFonts w:cs="Times New Roman"/>
          <w:lang w:val="fr-FR"/>
        </w:rPr>
        <w:noBreakHyphen/>
        <w:t>elle place à l’exercice du pouvoir discrétionnaire du tribunal d’octroyer un crédit, mais elle s’aligne sur la recommandation formulée par la juge </w:t>
      </w:r>
      <w:proofErr w:type="spellStart"/>
      <w:r w:rsidRPr="005E0713">
        <w:rPr>
          <w:rFonts w:cs="Times New Roman"/>
          <w:lang w:val="fr-FR"/>
        </w:rPr>
        <w:t>Arbour</w:t>
      </w:r>
      <w:proofErr w:type="spellEnd"/>
      <w:r w:rsidRPr="005E0713">
        <w:rPr>
          <w:rFonts w:cs="Times New Roman"/>
          <w:lang w:val="fr-FR"/>
        </w:rPr>
        <w:t xml:space="preserve"> dans l’arrêt </w:t>
      </w:r>
      <w:proofErr w:type="spellStart"/>
      <w:r w:rsidRPr="005E0713">
        <w:rPr>
          <w:rFonts w:cs="Times New Roman"/>
          <w:i/>
          <w:lang w:val="fr-FR"/>
        </w:rPr>
        <w:t>Wust</w:t>
      </w:r>
      <w:proofErr w:type="spellEnd"/>
      <w:r w:rsidRPr="005E0713">
        <w:rPr>
          <w:rFonts w:cs="Times New Roman"/>
          <w:lang w:val="fr-FR"/>
        </w:rPr>
        <w:t xml:space="preserve"> selon laquelle « il est important que les dispositions législatives qui portent [. . .] sur des peines minimales obligatoires soient interprétées d’une manière qui soit compatible avec les principes généraux de la détermination de la peine et qui ne porte pas atteinte à l’intégrité du système de justice criminelle » (par. 22).</w:t>
      </w:r>
    </w:p>
    <w:p w14:paraId="1DA78F92" w14:textId="77777777" w:rsidR="000E6B3D" w:rsidRPr="005E0713" w:rsidRDefault="000E6B3D" w:rsidP="000E6B3D">
      <w:pPr>
        <w:pStyle w:val="ParaNoNdepar-AltN"/>
        <w:rPr>
          <w:rFonts w:cs="Times New Roman"/>
          <w:lang w:bidi="en-US"/>
        </w:rPr>
      </w:pPr>
      <w:r w:rsidRPr="005E0713">
        <w:rPr>
          <w:rFonts w:cs="Times New Roman"/>
          <w:lang w:bidi="en-US"/>
        </w:rPr>
        <w:t>Comme l’al. 259(1)a) exige le prononcé d’une ordonnance interdisant au contrevenant de conduire pendant une durée minimale d’un an, le juge chargé de la détermination de la peine pouvait satisfaire à cette exigence en rendant une ordonnance imposant une punition d’une durée totale d’un an. L’octroi d’un crédit ne fait nullement échec à l’imposition de la punition minimale prévue par cette disposition. En l’espèce, puisque celle-ci avait déjà été purgée dans son entièreté au moment de son prononcé, aucune interdiction additionnelle n’était requise.</w:t>
      </w:r>
    </w:p>
    <w:p w14:paraId="403B9228" w14:textId="77777777" w:rsidR="000E6B3D" w:rsidRPr="005E0713" w:rsidRDefault="000E6B3D" w:rsidP="000E6B3D">
      <w:pPr>
        <w:pStyle w:val="Title2LevelTitre2Niveau"/>
        <w:numPr>
          <w:ilvl w:val="1"/>
          <w:numId w:val="8"/>
        </w:numPr>
        <w:rPr>
          <w:rFonts w:cs="Times New Roman"/>
          <w:lang w:val="fr-CA"/>
        </w:rPr>
      </w:pPr>
      <w:bookmarkStart w:id="65" w:name="_Toc123830851"/>
      <w:bookmarkStart w:id="66" w:name="_Toc124075281"/>
      <w:bookmarkStart w:id="67" w:name="_Toc124075340"/>
      <w:r w:rsidRPr="005E0713">
        <w:rPr>
          <w:rFonts w:cs="Times New Roman"/>
          <w:lang w:val="fr-CA"/>
        </w:rPr>
        <w:t>La suspension d’exécution de la peine accordée par la Cour d’appel</w:t>
      </w:r>
      <w:bookmarkEnd w:id="65"/>
      <w:bookmarkEnd w:id="66"/>
      <w:bookmarkEnd w:id="67"/>
    </w:p>
    <w:p w14:paraId="4862D243" w14:textId="77777777" w:rsidR="000E6B3D" w:rsidRPr="005E0713" w:rsidRDefault="000E6B3D" w:rsidP="000E6B3D">
      <w:pPr>
        <w:pStyle w:val="ParaNoNdepar-AltN"/>
        <w:rPr>
          <w:rFonts w:cs="Times New Roman"/>
        </w:rPr>
      </w:pPr>
      <w:r w:rsidRPr="005E0713">
        <w:rPr>
          <w:rFonts w:cs="Times New Roman"/>
        </w:rPr>
        <w:lastRenderedPageBreak/>
        <w:t xml:space="preserve">Quoique cela ne soit pas nécessaire pour trancher le pourvoi, je prends </w:t>
      </w:r>
      <w:r w:rsidRPr="005E0713">
        <w:rPr>
          <w:rFonts w:cs="Times New Roman"/>
          <w:lang w:val="fr-FR"/>
        </w:rPr>
        <w:t xml:space="preserve">acte de </w:t>
      </w:r>
      <w:r w:rsidRPr="005E0713">
        <w:rPr>
          <w:rFonts w:cs="Times New Roman"/>
        </w:rPr>
        <w:t>la concession du ministère public selon laquelle il n’était pas indiqué de demander que la mise en liberté de M</w:t>
      </w:r>
      <w:r w:rsidRPr="005E0713">
        <w:rPr>
          <w:rFonts w:cs="Times New Roman"/>
          <w:vertAlign w:val="superscript"/>
        </w:rPr>
        <w:t>me</w:t>
      </w:r>
      <w:r w:rsidRPr="005E0713">
        <w:rPr>
          <w:rFonts w:cs="Times New Roman"/>
        </w:rPr>
        <w:t> Basque soit assortie d’une interdiction de conduire. C’est à juste titre que la Cour d’appel a considéré, à l’unanimité, que les conditions de remise en liberté imposées à M</w:t>
      </w:r>
      <w:r w:rsidRPr="005E0713">
        <w:rPr>
          <w:rFonts w:cs="Times New Roman"/>
          <w:vertAlign w:val="superscript"/>
        </w:rPr>
        <w:t>me</w:t>
      </w:r>
      <w:r w:rsidRPr="005E0713">
        <w:rPr>
          <w:rFonts w:cs="Times New Roman"/>
        </w:rPr>
        <w:t xml:space="preserve"> Basque étaient déraisonnables. En effet, cette dernière a ultimement été soumise à une interdiction de conduire d’une durée de 21 mois, étant ainsi traitée plus sévèrement que l’aurait été un autre contrevenant non assujetti à une interdiction </w:t>
      </w:r>
      <w:proofErr w:type="spellStart"/>
      <w:r w:rsidRPr="005E0713">
        <w:rPr>
          <w:rFonts w:cs="Times New Roman"/>
        </w:rPr>
        <w:t>présentencielle</w:t>
      </w:r>
      <w:proofErr w:type="spellEnd"/>
      <w:r w:rsidRPr="005E0713">
        <w:rPr>
          <w:rFonts w:cs="Times New Roman"/>
        </w:rPr>
        <w:t xml:space="preserve"> de conduire, dans des circonstances par ailleurs similaires ou plus graves. On comprend donc le souci de justice et d’équité qui animait la Cour d’appel lorsqu’elle a ordonné la suspension de l’exécution de la peine infligée à M</w:t>
      </w:r>
      <w:r w:rsidRPr="005E0713">
        <w:rPr>
          <w:rFonts w:cs="Times New Roman"/>
          <w:vertAlign w:val="superscript"/>
        </w:rPr>
        <w:t>me</w:t>
      </w:r>
      <w:r w:rsidRPr="005E0713">
        <w:rPr>
          <w:rFonts w:cs="Times New Roman"/>
        </w:rPr>
        <w:t> Basque, préoccupation que l’on retrouve également dans les jugements des juridictions inférieures, même si elles ont tranché l’affaire autrement. Ce même souci rejoint, en substance mais pas en droit, la solution proposée ici. Mais, avec égards pour l’opinion contraire, il n’y a pas lieu, pour y arriver, de suspendre l’exécution de la peine de M</w:t>
      </w:r>
      <w:r w:rsidRPr="005E0713">
        <w:rPr>
          <w:rFonts w:cs="Times New Roman"/>
          <w:vertAlign w:val="superscript"/>
        </w:rPr>
        <w:t>me</w:t>
      </w:r>
      <w:r w:rsidRPr="005E0713">
        <w:rPr>
          <w:rFonts w:cs="Times New Roman"/>
        </w:rPr>
        <w:t> Basque. Juridiquement, elle a purgé la peine minimale obligatoire prévue à l’al. 259(1)a).</w:t>
      </w:r>
    </w:p>
    <w:p w14:paraId="122923FE" w14:textId="77777777" w:rsidR="000E6B3D" w:rsidRPr="005E0713" w:rsidRDefault="000E6B3D" w:rsidP="000E6B3D">
      <w:pPr>
        <w:pStyle w:val="Title1LevelTitre1Niveau-AltL"/>
        <w:rPr>
          <w:rFonts w:cs="Times New Roman"/>
          <w:szCs w:val="24"/>
          <w:lang w:val="fr-CA"/>
        </w:rPr>
      </w:pPr>
      <w:bookmarkStart w:id="68" w:name="_Toc122713963"/>
      <w:bookmarkStart w:id="69" w:name="_Toc123734893"/>
      <w:bookmarkStart w:id="70" w:name="_Toc123830852"/>
      <w:bookmarkStart w:id="71" w:name="_Toc124075282"/>
      <w:bookmarkStart w:id="72" w:name="_Toc124075341"/>
      <w:r w:rsidRPr="005E0713">
        <w:rPr>
          <w:rFonts w:cs="Times New Roman"/>
          <w:lang w:val="fr-CA"/>
        </w:rPr>
        <w:t>Dispositif</w:t>
      </w:r>
      <w:bookmarkEnd w:id="68"/>
      <w:bookmarkEnd w:id="69"/>
      <w:bookmarkEnd w:id="70"/>
      <w:bookmarkEnd w:id="71"/>
      <w:bookmarkEnd w:id="72"/>
    </w:p>
    <w:p w14:paraId="4F567DF8" w14:textId="77777777" w:rsidR="000E6B3D" w:rsidRPr="005E0713" w:rsidRDefault="000E6B3D" w:rsidP="000E6B3D">
      <w:pPr>
        <w:pStyle w:val="ParaNoNdepar-AltN"/>
        <w:rPr>
          <w:rFonts w:cs="Times New Roman"/>
          <w:szCs w:val="24"/>
          <w:lang w:val="fr-FR"/>
        </w:rPr>
      </w:pPr>
      <w:r w:rsidRPr="005E0713">
        <w:rPr>
          <w:rFonts w:cs="Times New Roman"/>
          <w:szCs w:val="24"/>
          <w:lang w:val="fr-FR"/>
        </w:rPr>
        <w:t xml:space="preserve">Je propose d’accueillir l’appel et d’infirmer l’arrêt de la Cour d’appel. Je rétablirais le jugement de la cour d’appel en matière de poursuites sommaires et je rétablirais en partie les conclusions de la Cour provinciale, en précisant qu’il n’y a pas lieu </w:t>
      </w:r>
      <w:r w:rsidRPr="005E0713">
        <w:rPr>
          <w:rFonts w:cs="Times New Roman"/>
          <w:lang w:val="fr-FR"/>
        </w:rPr>
        <w:t>d’antidater la sentence prononcée à l’égard de M</w:t>
      </w:r>
      <w:r w:rsidRPr="005E0713">
        <w:rPr>
          <w:rFonts w:cs="Times New Roman"/>
          <w:vertAlign w:val="superscript"/>
          <w:lang w:val="fr-FR"/>
        </w:rPr>
        <w:t>me</w:t>
      </w:r>
      <w:r w:rsidRPr="005E0713">
        <w:rPr>
          <w:rFonts w:cs="Times New Roman"/>
          <w:lang w:val="fr-FR"/>
        </w:rPr>
        <w:t xml:space="preserve"> Basque. Au moment du </w:t>
      </w:r>
      <w:r w:rsidRPr="005E0713">
        <w:rPr>
          <w:rFonts w:cs="Times New Roman"/>
          <w:lang w:val="fr-FR"/>
        </w:rPr>
        <w:lastRenderedPageBreak/>
        <w:t xml:space="preserve">prononcé de sa sentence, cette dernière avait déjà purgé de façon </w:t>
      </w:r>
      <w:proofErr w:type="spellStart"/>
      <w:r w:rsidRPr="005E0713">
        <w:rPr>
          <w:rFonts w:cs="Times New Roman"/>
          <w:lang w:val="fr-FR"/>
        </w:rPr>
        <w:t>présentencielle</w:t>
      </w:r>
      <w:proofErr w:type="spellEnd"/>
      <w:r w:rsidRPr="005E0713">
        <w:rPr>
          <w:rFonts w:cs="Times New Roman"/>
          <w:lang w:val="fr-FR"/>
        </w:rPr>
        <w:t xml:space="preserve"> l’interdiction de conduire minimale prévue à l’al. 259(1)a). Par conséquent, aucune interdiction additionnelle n’est indiquée en l’espèce.</w:t>
      </w:r>
    </w:p>
    <w:p w14:paraId="71C818A6" w14:textId="2238BEC1" w:rsidR="004D7D95" w:rsidRPr="00136995" w:rsidRDefault="00136995" w:rsidP="008100DF">
      <w:pPr>
        <w:pStyle w:val="SCCNormalDoubleSpacing"/>
        <w:spacing w:after="480"/>
        <w:rPr>
          <w:i/>
          <w:lang w:val="fr-CA"/>
        </w:rPr>
      </w:pPr>
      <w:r>
        <w:rPr>
          <w:lang w:val="fr-CA"/>
        </w:rPr>
        <w:tab/>
      </w:r>
      <w:r w:rsidRPr="00DB09F5">
        <w:rPr>
          <w:i/>
          <w:lang w:val="fr-CA"/>
        </w:rPr>
        <w:t xml:space="preserve">Pourvoi </w:t>
      </w:r>
      <w:r w:rsidR="000C366B" w:rsidRPr="00DB09F5">
        <w:rPr>
          <w:i/>
          <w:lang w:val="fr-CA"/>
        </w:rPr>
        <w:t>accueilli</w:t>
      </w:r>
      <w:r w:rsidRPr="00DB09F5">
        <w:rPr>
          <w:i/>
          <w:lang w:val="fr-CA"/>
        </w:rPr>
        <w:t>.</w:t>
      </w:r>
    </w:p>
    <w:p w14:paraId="0FC75B76" w14:textId="353D04E5" w:rsidR="006C58DC" w:rsidRPr="005B3B19" w:rsidRDefault="00EB48E6" w:rsidP="008100DF">
      <w:pPr>
        <w:pStyle w:val="SCCLawFirm"/>
        <w:spacing w:after="480"/>
        <w:rPr>
          <w:lang w:val="fr-CA"/>
        </w:rPr>
      </w:pPr>
      <w:r>
        <w:rPr>
          <w:lang w:val="fr-CA"/>
        </w:rPr>
        <w:tab/>
        <w:t>Procureurs de l</w:t>
      </w:r>
      <w:r w:rsidR="007B4856">
        <w:rPr>
          <w:lang w:val="fr-CA"/>
        </w:rPr>
        <w:t>’</w:t>
      </w:r>
      <w:r w:rsidR="00140FA8">
        <w:rPr>
          <w:lang w:val="fr-CA"/>
        </w:rPr>
        <w:t>appelante : </w:t>
      </w:r>
      <w:r w:rsidR="003B122D" w:rsidRPr="005B3B19">
        <w:rPr>
          <w:lang w:val="fr-CA"/>
        </w:rPr>
        <w:t>Fowler Law P.C. Inc</w:t>
      </w:r>
      <w:r w:rsidR="00C376F2">
        <w:rPr>
          <w:lang w:val="fr-CA"/>
        </w:rPr>
        <w:t>.</w:t>
      </w:r>
      <w:r w:rsidR="003B122D" w:rsidRPr="005B3B19">
        <w:rPr>
          <w:lang w:val="fr-CA"/>
        </w:rPr>
        <w:t>, Moncton.</w:t>
      </w:r>
    </w:p>
    <w:p w14:paraId="6F3CA4F0" w14:textId="08787570" w:rsidR="006C58DC" w:rsidRPr="00E26D46" w:rsidRDefault="003B122D" w:rsidP="008100DF">
      <w:pPr>
        <w:pStyle w:val="SCCLawFirm"/>
        <w:spacing w:after="480"/>
        <w:rPr>
          <w:lang w:val="fr-CA"/>
        </w:rPr>
      </w:pPr>
      <w:r w:rsidRPr="005B3B19">
        <w:rPr>
          <w:lang w:val="fr-CA"/>
        </w:rPr>
        <w:tab/>
      </w:r>
      <w:r w:rsidR="00E26D46" w:rsidRPr="00E26D46">
        <w:rPr>
          <w:lang w:val="fr-CA"/>
        </w:rPr>
        <w:t>Procureur de l</w:t>
      </w:r>
      <w:r w:rsidR="007B4856">
        <w:rPr>
          <w:lang w:val="fr-CA"/>
        </w:rPr>
        <w:t>’</w:t>
      </w:r>
      <w:r w:rsidR="00E26D46" w:rsidRPr="00E26D46">
        <w:rPr>
          <w:lang w:val="fr-CA"/>
        </w:rPr>
        <w:t>intimé </w:t>
      </w:r>
      <w:r w:rsidR="00140FA8">
        <w:rPr>
          <w:lang w:val="fr-CA"/>
        </w:rPr>
        <w:t>: </w:t>
      </w:r>
      <w:r w:rsidR="00D73FC0">
        <w:rPr>
          <w:lang w:val="fr-CA"/>
        </w:rPr>
        <w:t>Service de</w:t>
      </w:r>
      <w:r w:rsidR="008100DF">
        <w:rPr>
          <w:lang w:val="fr-CA"/>
        </w:rPr>
        <w:t>s poursuites pénales du Nouveau</w:t>
      </w:r>
      <w:r w:rsidR="008100DF">
        <w:rPr>
          <w:lang w:val="fr-CA"/>
        </w:rPr>
        <w:noBreakHyphen/>
      </w:r>
      <w:r w:rsidR="00D73FC0">
        <w:rPr>
          <w:lang w:val="fr-CA"/>
        </w:rPr>
        <w:t>Brunswick</w:t>
      </w:r>
      <w:r w:rsidRPr="00E26D46">
        <w:rPr>
          <w:lang w:val="fr-CA"/>
        </w:rPr>
        <w:t>,</w:t>
      </w:r>
      <w:r w:rsidR="00C9375A">
        <w:rPr>
          <w:lang w:val="fr-CA"/>
        </w:rPr>
        <w:t xml:space="preserve"> Cabinet du procureur général,</w:t>
      </w:r>
      <w:r w:rsidRPr="00E26D46">
        <w:rPr>
          <w:lang w:val="fr-CA"/>
        </w:rPr>
        <w:t xml:space="preserve"> Fredericton.</w:t>
      </w:r>
    </w:p>
    <w:p w14:paraId="37DE9179" w14:textId="77777777" w:rsidR="009B57B3" w:rsidRPr="00C07D3C" w:rsidRDefault="003B122D" w:rsidP="008100DF">
      <w:pPr>
        <w:pStyle w:val="SCCLawFirm"/>
        <w:spacing w:after="480"/>
        <w:rPr>
          <w:lang w:val="en-US"/>
        </w:rPr>
      </w:pPr>
      <w:r w:rsidRPr="00E26D46">
        <w:rPr>
          <w:lang w:val="fr-CA"/>
        </w:rPr>
        <w:tab/>
      </w:r>
      <w:r w:rsidR="00D73FC0" w:rsidRPr="00C07D3C">
        <w:rPr>
          <w:lang w:val="en-US"/>
        </w:rPr>
        <w:t xml:space="preserve">Procureur de </w:t>
      </w:r>
      <w:proofErr w:type="spellStart"/>
      <w:proofErr w:type="gramStart"/>
      <w:r w:rsidR="00D73FC0" w:rsidRPr="00C07D3C">
        <w:rPr>
          <w:lang w:val="en-US"/>
        </w:rPr>
        <w:t>l</w:t>
      </w:r>
      <w:r w:rsidR="007B4856" w:rsidRPr="00C07D3C">
        <w:rPr>
          <w:lang w:val="en-US"/>
        </w:rPr>
        <w:t>’</w:t>
      </w:r>
      <w:r w:rsidR="00D73FC0" w:rsidRPr="00C07D3C">
        <w:rPr>
          <w:lang w:val="en-US"/>
        </w:rPr>
        <w:t>intervenant</w:t>
      </w:r>
      <w:proofErr w:type="spellEnd"/>
      <w:r w:rsidR="00E26D46" w:rsidRPr="00C07D3C">
        <w:rPr>
          <w:lang w:val="en-US"/>
        </w:rPr>
        <w:t> </w:t>
      </w:r>
      <w:r w:rsidR="00C376F2" w:rsidRPr="00C07D3C">
        <w:rPr>
          <w:lang w:val="en-US"/>
        </w:rPr>
        <w:t>:</w:t>
      </w:r>
      <w:proofErr w:type="gramEnd"/>
      <w:r w:rsidR="00C376F2" w:rsidRPr="00C07D3C">
        <w:rPr>
          <w:lang w:val="en-US"/>
        </w:rPr>
        <w:t> </w:t>
      </w:r>
      <w:r w:rsidR="00D73FC0">
        <w:t>Alberta Crown Prosecution Service, Appeals and Specialized Prosecutions Office</w:t>
      </w:r>
      <w:r w:rsidRPr="00C07D3C">
        <w:rPr>
          <w:lang w:val="en-US"/>
        </w:rPr>
        <w:t>, Calgary.</w:t>
      </w:r>
    </w:p>
    <w:sectPr w:rsidR="009B57B3" w:rsidRPr="00C07D3C"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1FCD" w14:textId="77777777" w:rsidR="00253273" w:rsidRDefault="00253273">
      <w:r>
        <w:separator/>
      </w:r>
    </w:p>
  </w:endnote>
  <w:endnote w:type="continuationSeparator" w:id="0">
    <w:p w14:paraId="3CB67E6C" w14:textId="77777777" w:rsidR="00253273" w:rsidRDefault="0025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A09A" w14:textId="77777777" w:rsidR="000F6296" w:rsidRDefault="000F6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54B0" w14:textId="77777777" w:rsidR="000F6296" w:rsidRDefault="000F6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FCEA" w14:textId="77777777" w:rsidR="000F6296" w:rsidRDefault="000F6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DA4D" w14:textId="77777777" w:rsidR="00253273" w:rsidRDefault="00253273">
      <w:r>
        <w:separator/>
      </w:r>
    </w:p>
  </w:footnote>
  <w:footnote w:type="continuationSeparator" w:id="0">
    <w:p w14:paraId="7ADD3701" w14:textId="77777777" w:rsidR="00253273" w:rsidRDefault="00253273">
      <w:r>
        <w:continuationSeparator/>
      </w:r>
    </w:p>
  </w:footnote>
  <w:footnote w:id="1">
    <w:p w14:paraId="1661DCA8" w14:textId="01619047" w:rsidR="00C8535D" w:rsidRPr="006B31C9" w:rsidRDefault="00C8535D" w:rsidP="00C8535D">
      <w:pPr>
        <w:pStyle w:val="FootnoteText"/>
        <w:rPr>
          <w:lang w:val="fr-CA"/>
        </w:rPr>
      </w:pPr>
      <w:r w:rsidRPr="006B31C9">
        <w:rPr>
          <w:rStyle w:val="FootnoteReference"/>
        </w:rPr>
        <w:sym w:font="Symbol" w:char="F02A"/>
      </w:r>
      <w:r w:rsidR="005903D3">
        <w:rPr>
          <w:lang w:val="fr-CA"/>
        </w:rPr>
        <w:t> </w:t>
      </w:r>
      <w:r w:rsidRPr="006B31C9">
        <w:rPr>
          <w:color w:val="000000"/>
          <w:lang w:val="fr-CA"/>
        </w:rPr>
        <w:t>Le juge Brown n’a pas participé au dispositif final du jugement.</w:t>
      </w:r>
    </w:p>
  </w:footnote>
  <w:footnote w:id="2">
    <w:p w14:paraId="442B83DC" w14:textId="77777777" w:rsidR="000E6B3D" w:rsidRPr="0035783E" w:rsidRDefault="000E6B3D" w:rsidP="00A81584">
      <w:pPr>
        <w:pStyle w:val="FootnoteText"/>
        <w:tabs>
          <w:tab w:val="left" w:pos="180"/>
        </w:tabs>
        <w:ind w:left="187" w:hanging="187"/>
        <w:jc w:val="both"/>
        <w:rPr>
          <w:lang w:val="fr-CA"/>
        </w:rPr>
      </w:pPr>
      <w:r w:rsidRPr="00A8777A">
        <w:rPr>
          <w:rStyle w:val="FootnoteReference"/>
        </w:rPr>
        <w:footnoteRef/>
      </w:r>
      <w:r>
        <w:rPr>
          <w:lang w:val="fr-CA"/>
        </w:rPr>
        <w:tab/>
      </w:r>
      <w:r w:rsidRPr="0035783E">
        <w:rPr>
          <w:lang w:val="fr-CA"/>
        </w:rPr>
        <w:t xml:space="preserve">Cette disposition a été abrogée et remplacée par l’al. 320.24(2)a) </w:t>
      </w:r>
      <w:r w:rsidRPr="00D26692">
        <w:rPr>
          <w:i/>
          <w:lang w:val="fr-CA"/>
        </w:rPr>
        <w:t>C. </w:t>
      </w:r>
      <w:proofErr w:type="spellStart"/>
      <w:r w:rsidRPr="00D26692">
        <w:rPr>
          <w:i/>
          <w:lang w:val="fr-CA"/>
        </w:rPr>
        <w:t>cr</w:t>
      </w:r>
      <w:proofErr w:type="spellEnd"/>
      <w:r w:rsidRPr="00D26692">
        <w:rPr>
          <w:i/>
          <w:lang w:val="fr-CA"/>
        </w:rPr>
        <w:t>.</w:t>
      </w:r>
      <w:r w:rsidRPr="0035783E">
        <w:rPr>
          <w:lang w:val="fr-CA"/>
        </w:rPr>
        <w:t xml:space="preserve"> (L.C. 2018, </w:t>
      </w:r>
      <w:r w:rsidRPr="00AF17C9">
        <w:rPr>
          <w:lang w:val="fr-CA"/>
        </w:rPr>
        <w:t>c.</w:t>
      </w:r>
      <w:r>
        <w:rPr>
          <w:lang w:val="fr-CA"/>
        </w:rPr>
        <w:t> </w:t>
      </w:r>
      <w:r w:rsidRPr="0035783E">
        <w:rPr>
          <w:lang w:val="fr-CA"/>
        </w:rPr>
        <w:t>21), lequel demeure « presque identique » à l’al. 259(1)a), comme le soulignent les juges majoritaires de la Cour d’appel (</w:t>
      </w:r>
      <w:r>
        <w:rPr>
          <w:lang w:val="fr-CA"/>
        </w:rPr>
        <w:t>2021 NBCA 50, 84 M.V.R. (7th) 54</w:t>
      </w:r>
      <w:r w:rsidRPr="0035783E">
        <w:rPr>
          <w:lang w:val="fr-CA"/>
        </w:rPr>
        <w:t>, par.</w:t>
      </w:r>
      <w:r>
        <w:rPr>
          <w:lang w:val="fr-CA"/>
        </w:rPr>
        <w:t> </w:t>
      </w:r>
      <w:r w:rsidRPr="0035783E">
        <w:rPr>
          <w:lang w:val="fr-CA"/>
        </w:rPr>
        <w:t xml:space="preserve">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793F" w14:textId="77777777" w:rsidR="000F6296" w:rsidRDefault="000F6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E56B" w14:textId="77777777" w:rsidR="00450352" w:rsidRPr="006A6070" w:rsidRDefault="00450352" w:rsidP="006A6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E74B" w14:textId="77777777" w:rsidR="000F6296" w:rsidRDefault="000F6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32A6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BB2D6F"/>
    <w:multiLevelType w:val="hybridMultilevel"/>
    <w:tmpl w:val="CDB411B6"/>
    <w:lvl w:ilvl="0" w:tplc="DBA623DE">
      <w:start w:val="3"/>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19358B1"/>
    <w:multiLevelType w:val="hybridMultilevel"/>
    <w:tmpl w:val="AF20E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6738283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ACA77A8"/>
    <w:multiLevelType w:val="hybridMultilevel"/>
    <w:tmpl w:val="F20A259A"/>
    <w:lvl w:ilvl="0" w:tplc="6AACA95C">
      <w:start w:val="10"/>
      <w:numFmt w:val="bullet"/>
      <w:pStyle w:val="ListParagraph"/>
      <w:lvlText w:val=""/>
      <w:lvlJc w:val="left"/>
      <w:pPr>
        <w:ind w:left="1526" w:hanging="360"/>
      </w:pPr>
      <w:rPr>
        <w:rFonts w:ascii="Symbol" w:eastAsia="Times New Roman" w:hAnsi="Symbol" w:cs="Times New Roman" w:hint="default"/>
      </w:rPr>
    </w:lvl>
    <w:lvl w:ilvl="1" w:tplc="FD369C00">
      <w:start w:val="1"/>
      <w:numFmt w:val="bullet"/>
      <w:pStyle w:val="TOCHeading"/>
      <w:lvlText w:val="o"/>
      <w:lvlJc w:val="left"/>
      <w:pPr>
        <w:ind w:left="2246" w:hanging="360"/>
      </w:pPr>
      <w:rPr>
        <w:rFonts w:ascii="Courier New" w:hAnsi="Courier New" w:cs="Courier New" w:hint="default"/>
      </w:rPr>
    </w:lvl>
    <w:lvl w:ilvl="2" w:tplc="10B662B8">
      <w:start w:val="1"/>
      <w:numFmt w:val="bullet"/>
      <w:pStyle w:val="Subtitle"/>
      <w:lvlText w:val=""/>
      <w:lvlJc w:val="left"/>
      <w:pPr>
        <w:ind w:left="2966" w:hanging="360"/>
      </w:pPr>
    </w:lvl>
    <w:lvl w:ilvl="3" w:tplc="10090001">
      <w:start w:val="1"/>
      <w:numFmt w:val="bullet"/>
      <w:lvlText w:val=""/>
      <w:lvlJc w:val="left"/>
      <w:pPr>
        <w:ind w:left="3686" w:hanging="360"/>
      </w:pPr>
      <w:rPr>
        <w:rFonts w:ascii="Symbol" w:hAnsi="Symbol" w:hint="default"/>
      </w:rPr>
    </w:lvl>
    <w:lvl w:ilvl="4" w:tplc="10090003">
      <w:start w:val="1"/>
      <w:numFmt w:val="bullet"/>
      <w:lvlText w:val="o"/>
      <w:lvlJc w:val="left"/>
      <w:pPr>
        <w:ind w:left="4406" w:hanging="360"/>
      </w:pPr>
      <w:rPr>
        <w:rFonts w:ascii="Courier New" w:hAnsi="Courier New" w:cs="Courier New" w:hint="default"/>
      </w:rPr>
    </w:lvl>
    <w:lvl w:ilvl="5" w:tplc="10090005">
      <w:start w:val="1"/>
      <w:numFmt w:val="bullet"/>
      <w:lvlText w:val=""/>
      <w:lvlJc w:val="left"/>
      <w:pPr>
        <w:ind w:left="5126" w:hanging="360"/>
      </w:pPr>
      <w:rPr>
        <w:rFonts w:ascii="Wingdings" w:hAnsi="Wingdings" w:hint="default"/>
      </w:rPr>
    </w:lvl>
    <w:lvl w:ilvl="6" w:tplc="10090001">
      <w:start w:val="1"/>
      <w:numFmt w:val="bullet"/>
      <w:lvlText w:val=""/>
      <w:lvlJc w:val="left"/>
      <w:pPr>
        <w:ind w:left="5846" w:hanging="360"/>
      </w:pPr>
      <w:rPr>
        <w:rFonts w:ascii="Symbol" w:hAnsi="Symbol" w:hint="default"/>
      </w:rPr>
    </w:lvl>
    <w:lvl w:ilvl="7" w:tplc="10090003">
      <w:start w:val="1"/>
      <w:numFmt w:val="bullet"/>
      <w:lvlText w:val="o"/>
      <w:lvlJc w:val="left"/>
      <w:pPr>
        <w:ind w:left="6566" w:hanging="360"/>
      </w:pPr>
      <w:rPr>
        <w:rFonts w:ascii="Courier New" w:hAnsi="Courier New" w:cs="Courier New" w:hint="default"/>
      </w:rPr>
    </w:lvl>
    <w:lvl w:ilvl="8" w:tplc="10090005">
      <w:start w:val="1"/>
      <w:numFmt w:val="bullet"/>
      <w:lvlText w:val=""/>
      <w:lvlJc w:val="left"/>
      <w:pPr>
        <w:ind w:left="7286" w:hanging="360"/>
      </w:pPr>
      <w:rPr>
        <w:rFonts w:ascii="Wingdings" w:hAnsi="Wingding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8B54AC2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2372059">
    <w:abstractNumId w:val="9"/>
  </w:num>
  <w:num w:numId="2" w16cid:durableId="1916744208">
    <w:abstractNumId w:val="10"/>
  </w:num>
  <w:num w:numId="3" w16cid:durableId="362754383">
    <w:abstractNumId w:val="2"/>
  </w:num>
  <w:num w:numId="4" w16cid:durableId="874971234">
    <w:abstractNumId w:val="1"/>
  </w:num>
  <w:num w:numId="5" w16cid:durableId="1881748386">
    <w:abstractNumId w:val="7"/>
  </w:num>
  <w:num w:numId="6" w16cid:durableId="2024437065">
    <w:abstractNumId w:val="8"/>
  </w:num>
  <w:num w:numId="7" w16cid:durableId="315183758">
    <w:abstractNumId w:val="5"/>
  </w:num>
  <w:num w:numId="8" w16cid:durableId="978412059">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16cid:durableId="2082366917">
    <w:abstractNumId w:val="0"/>
  </w:num>
  <w:num w:numId="10" w16cid:durableId="1527600204">
    <w:abstractNumId w:val="6"/>
  </w:num>
  <w:num w:numId="11" w16cid:durableId="335348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8675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2035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1814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271399">
    <w:abstractNumId w:val="4"/>
  </w:num>
  <w:num w:numId="16" w16cid:durableId="550848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1737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7471108">
    <w:abstractNumId w:val="3"/>
  </w:num>
  <w:num w:numId="19" w16cid:durableId="2099402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8314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6314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7438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5675421">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4" w16cid:durableId="477916572">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4C"/>
    <w:rsid w:val="00000C86"/>
    <w:rsid w:val="00000ED4"/>
    <w:rsid w:val="0001289A"/>
    <w:rsid w:val="00023C71"/>
    <w:rsid w:val="00023FC7"/>
    <w:rsid w:val="00025198"/>
    <w:rsid w:val="00052433"/>
    <w:rsid w:val="000578A3"/>
    <w:rsid w:val="000648CC"/>
    <w:rsid w:val="00082C0B"/>
    <w:rsid w:val="000A67F7"/>
    <w:rsid w:val="000B3FD8"/>
    <w:rsid w:val="000B4BB3"/>
    <w:rsid w:val="000C2B03"/>
    <w:rsid w:val="000C366B"/>
    <w:rsid w:val="000C59B8"/>
    <w:rsid w:val="000C6AF0"/>
    <w:rsid w:val="000D0A77"/>
    <w:rsid w:val="000D5058"/>
    <w:rsid w:val="000E6B3D"/>
    <w:rsid w:val="000E6C4E"/>
    <w:rsid w:val="000F6296"/>
    <w:rsid w:val="000F7706"/>
    <w:rsid w:val="000F7993"/>
    <w:rsid w:val="00101491"/>
    <w:rsid w:val="00102992"/>
    <w:rsid w:val="00104F33"/>
    <w:rsid w:val="00111DE2"/>
    <w:rsid w:val="00116B38"/>
    <w:rsid w:val="00135406"/>
    <w:rsid w:val="00135972"/>
    <w:rsid w:val="00136995"/>
    <w:rsid w:val="00140FA8"/>
    <w:rsid w:val="001426A9"/>
    <w:rsid w:val="00150B02"/>
    <w:rsid w:val="001523E8"/>
    <w:rsid w:val="00154D7C"/>
    <w:rsid w:val="00155F51"/>
    <w:rsid w:val="001566D7"/>
    <w:rsid w:val="001570B0"/>
    <w:rsid w:val="0015752C"/>
    <w:rsid w:val="00157737"/>
    <w:rsid w:val="00165277"/>
    <w:rsid w:val="00165C90"/>
    <w:rsid w:val="00166B65"/>
    <w:rsid w:val="00170592"/>
    <w:rsid w:val="001720F7"/>
    <w:rsid w:val="001822CE"/>
    <w:rsid w:val="00184B5F"/>
    <w:rsid w:val="0019351B"/>
    <w:rsid w:val="00195D83"/>
    <w:rsid w:val="001A00C1"/>
    <w:rsid w:val="001A03F9"/>
    <w:rsid w:val="001A6285"/>
    <w:rsid w:val="001B20FC"/>
    <w:rsid w:val="001B33E0"/>
    <w:rsid w:val="001B4573"/>
    <w:rsid w:val="001C779F"/>
    <w:rsid w:val="001D0081"/>
    <w:rsid w:val="001D184A"/>
    <w:rsid w:val="001D2AC1"/>
    <w:rsid w:val="001D4E88"/>
    <w:rsid w:val="001F0E38"/>
    <w:rsid w:val="00212976"/>
    <w:rsid w:val="002163FC"/>
    <w:rsid w:val="00220FC2"/>
    <w:rsid w:val="0022214F"/>
    <w:rsid w:val="002222F4"/>
    <w:rsid w:val="00224FC0"/>
    <w:rsid w:val="00225EA4"/>
    <w:rsid w:val="00226EAF"/>
    <w:rsid w:val="00230561"/>
    <w:rsid w:val="00231F3A"/>
    <w:rsid w:val="00233AEC"/>
    <w:rsid w:val="002406EE"/>
    <w:rsid w:val="00243EC8"/>
    <w:rsid w:val="00246A3E"/>
    <w:rsid w:val="00253273"/>
    <w:rsid w:val="0025683D"/>
    <w:rsid w:val="00270D93"/>
    <w:rsid w:val="002711A2"/>
    <w:rsid w:val="002745CC"/>
    <w:rsid w:val="0028501F"/>
    <w:rsid w:val="0028780F"/>
    <w:rsid w:val="002A048A"/>
    <w:rsid w:val="002A5933"/>
    <w:rsid w:val="002A7401"/>
    <w:rsid w:val="002B495D"/>
    <w:rsid w:val="002B4974"/>
    <w:rsid w:val="002B5435"/>
    <w:rsid w:val="002B6FBE"/>
    <w:rsid w:val="002B7924"/>
    <w:rsid w:val="002C10A6"/>
    <w:rsid w:val="002C47EA"/>
    <w:rsid w:val="002D1F54"/>
    <w:rsid w:val="002D2667"/>
    <w:rsid w:val="002D28C3"/>
    <w:rsid w:val="002D2AFB"/>
    <w:rsid w:val="002D39A4"/>
    <w:rsid w:val="002E08B7"/>
    <w:rsid w:val="002E10AA"/>
    <w:rsid w:val="002E6036"/>
    <w:rsid w:val="002E6705"/>
    <w:rsid w:val="002F4A82"/>
    <w:rsid w:val="0030329A"/>
    <w:rsid w:val="0031086F"/>
    <w:rsid w:val="0031414C"/>
    <w:rsid w:val="00314E01"/>
    <w:rsid w:val="0032089D"/>
    <w:rsid w:val="0032362F"/>
    <w:rsid w:val="003310DE"/>
    <w:rsid w:val="003323B0"/>
    <w:rsid w:val="00340A49"/>
    <w:rsid w:val="00342600"/>
    <w:rsid w:val="003468CD"/>
    <w:rsid w:val="00346D76"/>
    <w:rsid w:val="0035169A"/>
    <w:rsid w:val="0035259D"/>
    <w:rsid w:val="00360D9F"/>
    <w:rsid w:val="00364B18"/>
    <w:rsid w:val="00376F1D"/>
    <w:rsid w:val="00382B34"/>
    <w:rsid w:val="00394F3F"/>
    <w:rsid w:val="003A125D"/>
    <w:rsid w:val="003A2D2D"/>
    <w:rsid w:val="003A4C70"/>
    <w:rsid w:val="003A577A"/>
    <w:rsid w:val="003B122D"/>
    <w:rsid w:val="003B215F"/>
    <w:rsid w:val="003B7E40"/>
    <w:rsid w:val="003C799C"/>
    <w:rsid w:val="003D0399"/>
    <w:rsid w:val="003D37A6"/>
    <w:rsid w:val="003E02D2"/>
    <w:rsid w:val="003E1C71"/>
    <w:rsid w:val="003E73EE"/>
    <w:rsid w:val="003F0C3A"/>
    <w:rsid w:val="003F327B"/>
    <w:rsid w:val="003F60E2"/>
    <w:rsid w:val="00406166"/>
    <w:rsid w:val="0040704B"/>
    <w:rsid w:val="00410A55"/>
    <w:rsid w:val="00411300"/>
    <w:rsid w:val="00413F17"/>
    <w:rsid w:val="00415417"/>
    <w:rsid w:val="00426659"/>
    <w:rsid w:val="0044127E"/>
    <w:rsid w:val="0044457E"/>
    <w:rsid w:val="00446967"/>
    <w:rsid w:val="00450352"/>
    <w:rsid w:val="00454BDB"/>
    <w:rsid w:val="00465132"/>
    <w:rsid w:val="00480C90"/>
    <w:rsid w:val="0048112D"/>
    <w:rsid w:val="0048192F"/>
    <w:rsid w:val="0048332E"/>
    <w:rsid w:val="0048396F"/>
    <w:rsid w:val="00483D77"/>
    <w:rsid w:val="00493C18"/>
    <w:rsid w:val="0049459D"/>
    <w:rsid w:val="00496E12"/>
    <w:rsid w:val="004A5A9E"/>
    <w:rsid w:val="004A600C"/>
    <w:rsid w:val="004A6118"/>
    <w:rsid w:val="004C1EE3"/>
    <w:rsid w:val="004C478D"/>
    <w:rsid w:val="004D7D95"/>
    <w:rsid w:val="004E2C26"/>
    <w:rsid w:val="004F1905"/>
    <w:rsid w:val="005125A8"/>
    <w:rsid w:val="005129D1"/>
    <w:rsid w:val="00517549"/>
    <w:rsid w:val="00520ABC"/>
    <w:rsid w:val="00521AE8"/>
    <w:rsid w:val="00523521"/>
    <w:rsid w:val="00527180"/>
    <w:rsid w:val="00555004"/>
    <w:rsid w:val="00555291"/>
    <w:rsid w:val="00566AD1"/>
    <w:rsid w:val="005810A9"/>
    <w:rsid w:val="005830B9"/>
    <w:rsid w:val="00583EDE"/>
    <w:rsid w:val="005903D3"/>
    <w:rsid w:val="00593371"/>
    <w:rsid w:val="005979F7"/>
    <w:rsid w:val="005A6079"/>
    <w:rsid w:val="005B3B19"/>
    <w:rsid w:val="005C071A"/>
    <w:rsid w:val="005C7E3F"/>
    <w:rsid w:val="005D27D6"/>
    <w:rsid w:val="005E4698"/>
    <w:rsid w:val="005E5831"/>
    <w:rsid w:val="00603924"/>
    <w:rsid w:val="00604D67"/>
    <w:rsid w:val="00605F96"/>
    <w:rsid w:val="00610539"/>
    <w:rsid w:val="00613969"/>
    <w:rsid w:val="00625C35"/>
    <w:rsid w:val="00647E49"/>
    <w:rsid w:val="00656313"/>
    <w:rsid w:val="006565F4"/>
    <w:rsid w:val="006671A8"/>
    <w:rsid w:val="006703BF"/>
    <w:rsid w:val="00677FE5"/>
    <w:rsid w:val="00684EEA"/>
    <w:rsid w:val="006908A4"/>
    <w:rsid w:val="0069689B"/>
    <w:rsid w:val="006A6070"/>
    <w:rsid w:val="006B31C9"/>
    <w:rsid w:val="006B4DCF"/>
    <w:rsid w:val="006B5FF5"/>
    <w:rsid w:val="006C58DC"/>
    <w:rsid w:val="006D3449"/>
    <w:rsid w:val="006D73CE"/>
    <w:rsid w:val="006F2C51"/>
    <w:rsid w:val="006F30AF"/>
    <w:rsid w:val="00701759"/>
    <w:rsid w:val="00705C15"/>
    <w:rsid w:val="007108C7"/>
    <w:rsid w:val="007110F6"/>
    <w:rsid w:val="007208D1"/>
    <w:rsid w:val="0073437F"/>
    <w:rsid w:val="00744518"/>
    <w:rsid w:val="00745E9E"/>
    <w:rsid w:val="00747288"/>
    <w:rsid w:val="007475C9"/>
    <w:rsid w:val="00747DD3"/>
    <w:rsid w:val="0075135C"/>
    <w:rsid w:val="007549C8"/>
    <w:rsid w:val="00766D14"/>
    <w:rsid w:val="00767A0F"/>
    <w:rsid w:val="00780D5E"/>
    <w:rsid w:val="00791272"/>
    <w:rsid w:val="007A05F6"/>
    <w:rsid w:val="007B454D"/>
    <w:rsid w:val="007B4856"/>
    <w:rsid w:val="007B6F4A"/>
    <w:rsid w:val="007C50F3"/>
    <w:rsid w:val="007E1C47"/>
    <w:rsid w:val="007E1E84"/>
    <w:rsid w:val="007E337A"/>
    <w:rsid w:val="007E5C70"/>
    <w:rsid w:val="007F00B9"/>
    <w:rsid w:val="007F2FF5"/>
    <w:rsid w:val="007F3F08"/>
    <w:rsid w:val="00804CC6"/>
    <w:rsid w:val="008100DF"/>
    <w:rsid w:val="00817190"/>
    <w:rsid w:val="008260E2"/>
    <w:rsid w:val="008322BD"/>
    <w:rsid w:val="00834F73"/>
    <w:rsid w:val="00842A05"/>
    <w:rsid w:val="00854F18"/>
    <w:rsid w:val="00864C8A"/>
    <w:rsid w:val="00864CF8"/>
    <w:rsid w:val="00874914"/>
    <w:rsid w:val="00891422"/>
    <w:rsid w:val="00892E1A"/>
    <w:rsid w:val="008A6D7C"/>
    <w:rsid w:val="008B660A"/>
    <w:rsid w:val="008C01DA"/>
    <w:rsid w:val="008C226B"/>
    <w:rsid w:val="008D1BEE"/>
    <w:rsid w:val="008D2376"/>
    <w:rsid w:val="008E0F21"/>
    <w:rsid w:val="008F2674"/>
    <w:rsid w:val="008F6273"/>
    <w:rsid w:val="008F78E9"/>
    <w:rsid w:val="0090345B"/>
    <w:rsid w:val="00905101"/>
    <w:rsid w:val="009179F9"/>
    <w:rsid w:val="00917C7A"/>
    <w:rsid w:val="00933E5E"/>
    <w:rsid w:val="00935218"/>
    <w:rsid w:val="0093659B"/>
    <w:rsid w:val="00937C52"/>
    <w:rsid w:val="009403F3"/>
    <w:rsid w:val="00945F44"/>
    <w:rsid w:val="00954C59"/>
    <w:rsid w:val="009555B7"/>
    <w:rsid w:val="009567AA"/>
    <w:rsid w:val="009602C9"/>
    <w:rsid w:val="00962E6F"/>
    <w:rsid w:val="00967374"/>
    <w:rsid w:val="009A343A"/>
    <w:rsid w:val="009B2F23"/>
    <w:rsid w:val="009B52CD"/>
    <w:rsid w:val="009B5794"/>
    <w:rsid w:val="009B57B3"/>
    <w:rsid w:val="009C633B"/>
    <w:rsid w:val="009D0163"/>
    <w:rsid w:val="009D1271"/>
    <w:rsid w:val="009D2920"/>
    <w:rsid w:val="009D2BD8"/>
    <w:rsid w:val="009D5AEB"/>
    <w:rsid w:val="009F0E33"/>
    <w:rsid w:val="009F5570"/>
    <w:rsid w:val="00A149DF"/>
    <w:rsid w:val="00A1755C"/>
    <w:rsid w:val="00A21B90"/>
    <w:rsid w:val="00A22AAC"/>
    <w:rsid w:val="00A26D55"/>
    <w:rsid w:val="00A341C7"/>
    <w:rsid w:val="00A3520B"/>
    <w:rsid w:val="00A41805"/>
    <w:rsid w:val="00A43C9D"/>
    <w:rsid w:val="00A47A40"/>
    <w:rsid w:val="00A51882"/>
    <w:rsid w:val="00A52AFB"/>
    <w:rsid w:val="00A548CB"/>
    <w:rsid w:val="00A5521C"/>
    <w:rsid w:val="00A643E7"/>
    <w:rsid w:val="00A73C38"/>
    <w:rsid w:val="00A81584"/>
    <w:rsid w:val="00A8245C"/>
    <w:rsid w:val="00A921A7"/>
    <w:rsid w:val="00AA459D"/>
    <w:rsid w:val="00AB3702"/>
    <w:rsid w:val="00AB670D"/>
    <w:rsid w:val="00AC22E5"/>
    <w:rsid w:val="00AC2381"/>
    <w:rsid w:val="00AC56BB"/>
    <w:rsid w:val="00AE0FF7"/>
    <w:rsid w:val="00AE1EC1"/>
    <w:rsid w:val="00AF03C5"/>
    <w:rsid w:val="00AF7790"/>
    <w:rsid w:val="00B000D8"/>
    <w:rsid w:val="00B00F75"/>
    <w:rsid w:val="00B054B8"/>
    <w:rsid w:val="00B145B6"/>
    <w:rsid w:val="00B25F61"/>
    <w:rsid w:val="00B279EB"/>
    <w:rsid w:val="00B37DF3"/>
    <w:rsid w:val="00B50C81"/>
    <w:rsid w:val="00B557F8"/>
    <w:rsid w:val="00B60F5B"/>
    <w:rsid w:val="00B632BE"/>
    <w:rsid w:val="00B815FC"/>
    <w:rsid w:val="00B858D9"/>
    <w:rsid w:val="00B92817"/>
    <w:rsid w:val="00B93FBC"/>
    <w:rsid w:val="00BA0D21"/>
    <w:rsid w:val="00BA7DA0"/>
    <w:rsid w:val="00BB0D66"/>
    <w:rsid w:val="00BB27BB"/>
    <w:rsid w:val="00BB2EE4"/>
    <w:rsid w:val="00BB4C92"/>
    <w:rsid w:val="00BC2108"/>
    <w:rsid w:val="00BC2E4E"/>
    <w:rsid w:val="00BC7B25"/>
    <w:rsid w:val="00BD0E9E"/>
    <w:rsid w:val="00BD1BEC"/>
    <w:rsid w:val="00BD32FF"/>
    <w:rsid w:val="00BE40FD"/>
    <w:rsid w:val="00BF04A8"/>
    <w:rsid w:val="00BF1821"/>
    <w:rsid w:val="00BF62C9"/>
    <w:rsid w:val="00BF6FE9"/>
    <w:rsid w:val="00C02092"/>
    <w:rsid w:val="00C07D3C"/>
    <w:rsid w:val="00C11ACB"/>
    <w:rsid w:val="00C13408"/>
    <w:rsid w:val="00C22A11"/>
    <w:rsid w:val="00C24D91"/>
    <w:rsid w:val="00C26DB2"/>
    <w:rsid w:val="00C34F72"/>
    <w:rsid w:val="00C376F2"/>
    <w:rsid w:val="00C53F14"/>
    <w:rsid w:val="00C54E1C"/>
    <w:rsid w:val="00C600CF"/>
    <w:rsid w:val="00C605E3"/>
    <w:rsid w:val="00C6084F"/>
    <w:rsid w:val="00C621CD"/>
    <w:rsid w:val="00C62A66"/>
    <w:rsid w:val="00C66359"/>
    <w:rsid w:val="00C71311"/>
    <w:rsid w:val="00C71458"/>
    <w:rsid w:val="00C77613"/>
    <w:rsid w:val="00C828E7"/>
    <w:rsid w:val="00C8535D"/>
    <w:rsid w:val="00C86719"/>
    <w:rsid w:val="00C921DD"/>
    <w:rsid w:val="00C9375A"/>
    <w:rsid w:val="00C962EE"/>
    <w:rsid w:val="00CA1A8F"/>
    <w:rsid w:val="00CA6391"/>
    <w:rsid w:val="00CA694C"/>
    <w:rsid w:val="00CC1B98"/>
    <w:rsid w:val="00CC282E"/>
    <w:rsid w:val="00CD450A"/>
    <w:rsid w:val="00CE036E"/>
    <w:rsid w:val="00CE3171"/>
    <w:rsid w:val="00CE329E"/>
    <w:rsid w:val="00CF1601"/>
    <w:rsid w:val="00CF7D92"/>
    <w:rsid w:val="00D0172F"/>
    <w:rsid w:val="00D01E33"/>
    <w:rsid w:val="00D033A2"/>
    <w:rsid w:val="00D03BE2"/>
    <w:rsid w:val="00D068A7"/>
    <w:rsid w:val="00D17476"/>
    <w:rsid w:val="00D17B0E"/>
    <w:rsid w:val="00D20A59"/>
    <w:rsid w:val="00D32086"/>
    <w:rsid w:val="00D37A3F"/>
    <w:rsid w:val="00D4431D"/>
    <w:rsid w:val="00D4667A"/>
    <w:rsid w:val="00D5349D"/>
    <w:rsid w:val="00D60C31"/>
    <w:rsid w:val="00D63A1C"/>
    <w:rsid w:val="00D63C22"/>
    <w:rsid w:val="00D73FC0"/>
    <w:rsid w:val="00D7457C"/>
    <w:rsid w:val="00D7516F"/>
    <w:rsid w:val="00D92AB2"/>
    <w:rsid w:val="00D95F8E"/>
    <w:rsid w:val="00DA0590"/>
    <w:rsid w:val="00DA6190"/>
    <w:rsid w:val="00DB09F5"/>
    <w:rsid w:val="00DB3B5A"/>
    <w:rsid w:val="00DC1739"/>
    <w:rsid w:val="00DC1788"/>
    <w:rsid w:val="00DD36BE"/>
    <w:rsid w:val="00DE319C"/>
    <w:rsid w:val="00DF0CA8"/>
    <w:rsid w:val="00DF2B48"/>
    <w:rsid w:val="00DF49A7"/>
    <w:rsid w:val="00E0013A"/>
    <w:rsid w:val="00E002F1"/>
    <w:rsid w:val="00E07EE2"/>
    <w:rsid w:val="00E07FD1"/>
    <w:rsid w:val="00E1146A"/>
    <w:rsid w:val="00E24573"/>
    <w:rsid w:val="00E25E1E"/>
    <w:rsid w:val="00E26D46"/>
    <w:rsid w:val="00E27694"/>
    <w:rsid w:val="00E27EE7"/>
    <w:rsid w:val="00E35404"/>
    <w:rsid w:val="00E41DC8"/>
    <w:rsid w:val="00E435EF"/>
    <w:rsid w:val="00E45109"/>
    <w:rsid w:val="00E47B7A"/>
    <w:rsid w:val="00E56890"/>
    <w:rsid w:val="00E56A44"/>
    <w:rsid w:val="00E60269"/>
    <w:rsid w:val="00E92E73"/>
    <w:rsid w:val="00E934F8"/>
    <w:rsid w:val="00E97830"/>
    <w:rsid w:val="00EA499A"/>
    <w:rsid w:val="00EB48E6"/>
    <w:rsid w:val="00EC435F"/>
    <w:rsid w:val="00ED0776"/>
    <w:rsid w:val="00ED1014"/>
    <w:rsid w:val="00ED344B"/>
    <w:rsid w:val="00EE0830"/>
    <w:rsid w:val="00EE3999"/>
    <w:rsid w:val="00EE6CB8"/>
    <w:rsid w:val="00EF0683"/>
    <w:rsid w:val="00F0070C"/>
    <w:rsid w:val="00F008D5"/>
    <w:rsid w:val="00F00EB7"/>
    <w:rsid w:val="00F05405"/>
    <w:rsid w:val="00F24264"/>
    <w:rsid w:val="00F36AB6"/>
    <w:rsid w:val="00F37A09"/>
    <w:rsid w:val="00F407EB"/>
    <w:rsid w:val="00F409CE"/>
    <w:rsid w:val="00F4379D"/>
    <w:rsid w:val="00F44D95"/>
    <w:rsid w:val="00F50D2D"/>
    <w:rsid w:val="00F54AA8"/>
    <w:rsid w:val="00F56C8B"/>
    <w:rsid w:val="00F62639"/>
    <w:rsid w:val="00F66810"/>
    <w:rsid w:val="00F84DF4"/>
    <w:rsid w:val="00F85C97"/>
    <w:rsid w:val="00FB37D2"/>
    <w:rsid w:val="00FB59CD"/>
    <w:rsid w:val="00FC41EA"/>
    <w:rsid w:val="00FC4EFB"/>
    <w:rsid w:val="00FD068D"/>
    <w:rsid w:val="00FD4F28"/>
    <w:rsid w:val="00FD6DC5"/>
    <w:rsid w:val="00FE1919"/>
    <w:rsid w:val="00FE573D"/>
    <w:rsid w:val="00FE6784"/>
    <w:rsid w:val="00FE7A8B"/>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65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9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0E6B3D"/>
    <w:pPr>
      <w:keepNext/>
      <w:keepLines/>
      <w:spacing w:before="40" w:line="276" w:lineRule="auto"/>
      <w:outlineLvl w:val="5"/>
    </w:pPr>
    <w:rPr>
      <w:rFonts w:asciiTheme="majorHAnsi" w:eastAsiaTheme="majorEastAsia" w:hAnsiTheme="majorHAnsi" w:cstheme="majorBidi"/>
      <w:color w:val="243F60" w:themeColor="accent1" w:themeShade="7F"/>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3D37A6"/>
    <w:rPr>
      <w:color w:val="660000"/>
      <w:u w:val="none"/>
    </w:rPr>
  </w:style>
  <w:style w:type="character" w:styleId="FollowedHyperlink">
    <w:name w:val="FollowedHyperlink"/>
    <w:basedOn w:val="DefaultParagraphFont"/>
    <w:uiPriority w:val="99"/>
    <w:semiHidden/>
    <w:unhideWhenUsed/>
    <w:rsid w:val="00D63C22"/>
    <w:rPr>
      <w:color w:val="800080" w:themeColor="followedHyperlink"/>
      <w:u w:val="single"/>
    </w:rPr>
  </w:style>
  <w:style w:type="character" w:styleId="CommentReference">
    <w:name w:val="annotation reference"/>
    <w:basedOn w:val="DefaultParagraphFont"/>
    <w:uiPriority w:val="99"/>
    <w:semiHidden/>
    <w:unhideWhenUsed/>
    <w:rsid w:val="0049459D"/>
    <w:rPr>
      <w:sz w:val="16"/>
      <w:szCs w:val="16"/>
    </w:rPr>
  </w:style>
  <w:style w:type="paragraph" w:styleId="CommentText">
    <w:name w:val="annotation text"/>
    <w:basedOn w:val="Normal"/>
    <w:link w:val="CommentTextChar"/>
    <w:uiPriority w:val="99"/>
    <w:unhideWhenUsed/>
    <w:rsid w:val="0049459D"/>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49459D"/>
    <w:rPr>
      <w:rFonts w:eastAsiaTheme="minorHAnsi" w:cstheme="minorBidi"/>
      <w:szCs w:val="22"/>
      <w:lang w:val="en-US" w:eastAsia="en-US" w:bidi="en-US"/>
    </w:rPr>
  </w:style>
  <w:style w:type="character" w:customStyle="1" w:styleId="solexhl">
    <w:name w:val="solexhl"/>
    <w:basedOn w:val="DefaultParagraphFont"/>
    <w:rsid w:val="00AE0FF7"/>
  </w:style>
  <w:style w:type="paragraph" w:styleId="CommentSubject">
    <w:name w:val="annotation subject"/>
    <w:basedOn w:val="CommentText"/>
    <w:next w:val="CommentText"/>
    <w:link w:val="CommentSubjectChar"/>
    <w:uiPriority w:val="99"/>
    <w:semiHidden/>
    <w:unhideWhenUsed/>
    <w:rsid w:val="00B054B8"/>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B054B8"/>
    <w:rPr>
      <w:rFonts w:eastAsiaTheme="minorHAnsi" w:cstheme="minorBidi"/>
      <w:b/>
      <w:bCs/>
      <w:szCs w:val="22"/>
      <w:lang w:val="en-US" w:eastAsia="en-US" w:bidi="en-US"/>
    </w:rPr>
  </w:style>
  <w:style w:type="paragraph" w:customStyle="1" w:styleId="ParaNoNdepar-AltN">
    <w:name w:val="Para. No. / Nº de par. - Alt N"/>
    <w:link w:val="ParaNoNdepar-AltNChar"/>
    <w:qFormat/>
    <w:rsid w:val="007108C7"/>
    <w:pPr>
      <w:numPr>
        <w:numId w:val="1"/>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locked/>
    <w:rsid w:val="007108C7"/>
    <w:rPr>
      <w:rFonts w:eastAsiaTheme="minorEastAsia" w:cstheme="minorBidi"/>
      <w:sz w:val="24"/>
      <w:szCs w:val="22"/>
      <w:lang w:val="fr-CA" w:eastAsia="en-US"/>
    </w:rPr>
  </w:style>
  <w:style w:type="paragraph" w:styleId="FootnoteText">
    <w:name w:val="footnote text"/>
    <w:basedOn w:val="Normal"/>
    <w:link w:val="FootnoteTextChar"/>
    <w:uiPriority w:val="99"/>
    <w:unhideWhenUsed/>
    <w:rsid w:val="006B31C9"/>
    <w:rPr>
      <w:sz w:val="20"/>
    </w:rPr>
  </w:style>
  <w:style w:type="character" w:customStyle="1" w:styleId="FootnoteTextChar">
    <w:name w:val="Footnote Text Char"/>
    <w:basedOn w:val="DefaultParagraphFont"/>
    <w:link w:val="FootnoteText"/>
    <w:uiPriority w:val="99"/>
    <w:rsid w:val="006B31C9"/>
  </w:style>
  <w:style w:type="character" w:styleId="FootnoteReference">
    <w:name w:val="footnote reference"/>
    <w:basedOn w:val="DefaultParagraphFont"/>
    <w:uiPriority w:val="99"/>
    <w:semiHidden/>
    <w:unhideWhenUsed/>
    <w:rsid w:val="006B31C9"/>
    <w:rPr>
      <w:vertAlign w:val="superscript"/>
    </w:rPr>
  </w:style>
  <w:style w:type="character" w:customStyle="1" w:styleId="Heading6Char">
    <w:name w:val="Heading 6 Char"/>
    <w:basedOn w:val="DefaultParagraphFont"/>
    <w:link w:val="Heading6"/>
    <w:uiPriority w:val="9"/>
    <w:semiHidden/>
    <w:rsid w:val="000E6B3D"/>
    <w:rPr>
      <w:rFonts w:asciiTheme="majorHAnsi" w:eastAsiaTheme="majorEastAsia" w:hAnsiTheme="majorHAnsi" w:cstheme="majorBidi"/>
      <w:color w:val="243F60" w:themeColor="accent1" w:themeShade="7F"/>
      <w:sz w:val="24"/>
      <w:szCs w:val="22"/>
      <w:lang w:val="fr-CA" w:eastAsia="en-US"/>
    </w:rPr>
  </w:style>
  <w:style w:type="paragraph" w:styleId="NoSpacing">
    <w:name w:val="No Spacing"/>
    <w:uiPriority w:val="1"/>
    <w:rsid w:val="000E6B3D"/>
    <w:rPr>
      <w:sz w:val="24"/>
    </w:rPr>
  </w:style>
  <w:style w:type="paragraph" w:customStyle="1" w:styleId="SCCLsocOtherPartyRoleSeparator">
    <w:name w:val="SCC.Lsoc.OtherPartyRoleSeparator"/>
    <w:basedOn w:val="Normal"/>
    <w:next w:val="Normal"/>
    <w:link w:val="SCCLsocOtherPartyRoleSeparatorChar"/>
    <w:rsid w:val="000E6B3D"/>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0E6B3D"/>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0E6B3D"/>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0E6B3D"/>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0E6B3D"/>
    <w:rPr>
      <w:b/>
      <w:sz w:val="24"/>
    </w:rPr>
  </w:style>
  <w:style w:type="table" w:styleId="TableGrid">
    <w:name w:val="Table Grid"/>
    <w:basedOn w:val="TableNormal"/>
    <w:uiPriority w:val="59"/>
    <w:rsid w:val="000E6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E6B3D"/>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0E6B3D"/>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0E6B3D"/>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0E6B3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E6B3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E6B3D"/>
    <w:pPr>
      <w:numPr>
        <w:ilvl w:val="2"/>
      </w:numPr>
      <w:outlineLvl w:val="2"/>
    </w:pPr>
  </w:style>
  <w:style w:type="paragraph" w:customStyle="1" w:styleId="Title4LevelTitre4Niveau">
    <w:name w:val="Title 4 Level / Titre 4 Niveau"/>
    <w:basedOn w:val="Title3LevelTitre3Niveau"/>
    <w:next w:val="ParaNoNdepar-AltN"/>
    <w:uiPriority w:val="4"/>
    <w:qFormat/>
    <w:rsid w:val="000E6B3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E6B3D"/>
    <w:pPr>
      <w:numPr>
        <w:ilvl w:val="4"/>
      </w:numPr>
      <w:outlineLvl w:val="4"/>
    </w:pPr>
  </w:style>
  <w:style w:type="paragraph" w:customStyle="1" w:styleId="TitleTitre-AltT">
    <w:name w:val="Title / Titre - Alt T"/>
    <w:next w:val="ParaNoNdepar-AltN"/>
    <w:uiPriority w:val="3"/>
    <w:qFormat/>
    <w:rsid w:val="000E6B3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E6B3D"/>
    <w:pPr>
      <w:numPr>
        <w:ilvl w:val="5"/>
      </w:numPr>
      <w:outlineLvl w:val="5"/>
    </w:pPr>
    <w:rPr>
      <w:i/>
      <w:u w:val="none"/>
    </w:rPr>
  </w:style>
  <w:style w:type="character" w:styleId="Emphasis">
    <w:name w:val="Emphasis"/>
    <w:basedOn w:val="DefaultParagraphFont"/>
    <w:uiPriority w:val="20"/>
    <w:qFormat/>
    <w:rsid w:val="000E6B3D"/>
    <w:rPr>
      <w:i/>
      <w:iCs/>
    </w:rPr>
  </w:style>
  <w:style w:type="character" w:customStyle="1" w:styleId="Italic">
    <w:name w:val="Italic"/>
    <w:basedOn w:val="DefaultParagraphFont"/>
    <w:uiPriority w:val="1"/>
    <w:rsid w:val="000E6B3D"/>
    <w:rPr>
      <w:i/>
    </w:rPr>
  </w:style>
  <w:style w:type="paragraph" w:styleId="ListParagraph">
    <w:name w:val="List Paragraph"/>
    <w:basedOn w:val="Normal"/>
    <w:uiPriority w:val="34"/>
    <w:qFormat/>
    <w:rsid w:val="000E6B3D"/>
    <w:pPr>
      <w:numPr>
        <w:numId w:val="10"/>
      </w:numPr>
      <w:spacing w:after="200" w:line="360" w:lineRule="auto"/>
      <w:ind w:left="1134" w:hanging="425"/>
      <w:jc w:val="both"/>
    </w:pPr>
    <w:rPr>
      <w:rFonts w:eastAsiaTheme="minorHAnsi"/>
      <w:szCs w:val="22"/>
      <w:lang w:val="fr-CA" w:eastAsia="en-US"/>
    </w:rPr>
  </w:style>
  <w:style w:type="paragraph" w:styleId="ListBullet">
    <w:name w:val="List Bullet"/>
    <w:basedOn w:val="Normal"/>
    <w:uiPriority w:val="99"/>
    <w:unhideWhenUsed/>
    <w:rsid w:val="000E6B3D"/>
    <w:pPr>
      <w:numPr>
        <w:numId w:val="9"/>
      </w:numPr>
      <w:spacing w:after="200" w:line="276" w:lineRule="auto"/>
      <w:contextualSpacing/>
    </w:pPr>
    <w:rPr>
      <w:rFonts w:eastAsiaTheme="minorHAnsi" w:cstheme="minorBidi"/>
      <w:szCs w:val="22"/>
      <w:lang w:val="fr-CA" w:eastAsia="en-US"/>
    </w:rPr>
  </w:style>
  <w:style w:type="paragraph" w:styleId="TOCHeading">
    <w:name w:val="TOC Heading"/>
    <w:basedOn w:val="ListParagraph"/>
    <w:next w:val="Normal"/>
    <w:uiPriority w:val="39"/>
    <w:unhideWhenUsed/>
    <w:qFormat/>
    <w:rsid w:val="000E6B3D"/>
    <w:pPr>
      <w:numPr>
        <w:ilvl w:val="1"/>
      </w:numPr>
      <w:ind w:left="1701" w:hanging="425"/>
    </w:pPr>
  </w:style>
  <w:style w:type="paragraph" w:styleId="TOC1">
    <w:name w:val="toc 1"/>
    <w:basedOn w:val="Normal"/>
    <w:next w:val="Normal"/>
    <w:autoRedefine/>
    <w:uiPriority w:val="39"/>
    <w:unhideWhenUsed/>
    <w:rsid w:val="000E6B3D"/>
    <w:pPr>
      <w:spacing w:after="100" w:line="276" w:lineRule="auto"/>
    </w:pPr>
    <w:rPr>
      <w:rFonts w:eastAsiaTheme="minorHAnsi" w:cstheme="minorBidi"/>
      <w:szCs w:val="22"/>
      <w:lang w:val="fr-CA" w:eastAsia="en-US"/>
    </w:rPr>
  </w:style>
  <w:style w:type="paragraph" w:styleId="TOC2">
    <w:name w:val="toc 2"/>
    <w:basedOn w:val="Normal"/>
    <w:next w:val="Normal"/>
    <w:autoRedefine/>
    <w:uiPriority w:val="39"/>
    <w:unhideWhenUsed/>
    <w:rsid w:val="000E6B3D"/>
    <w:pPr>
      <w:spacing w:after="100" w:line="276" w:lineRule="auto"/>
      <w:ind w:left="240"/>
    </w:pPr>
    <w:rPr>
      <w:rFonts w:eastAsiaTheme="minorHAnsi" w:cstheme="minorBidi"/>
      <w:szCs w:val="22"/>
      <w:lang w:val="fr-CA" w:eastAsia="en-US"/>
    </w:rPr>
  </w:style>
  <w:style w:type="character" w:styleId="BookTitle">
    <w:name w:val="Book Title"/>
    <w:uiPriority w:val="33"/>
    <w:qFormat/>
    <w:rsid w:val="000E6B3D"/>
    <w:rPr>
      <w:rFonts w:ascii="Wingdings" w:hAnsi="Wingdings"/>
    </w:rPr>
  </w:style>
  <w:style w:type="character" w:styleId="IntenseReference">
    <w:name w:val="Intense Reference"/>
    <w:uiPriority w:val="32"/>
    <w:qFormat/>
    <w:rsid w:val="000E6B3D"/>
  </w:style>
  <w:style w:type="paragraph" w:styleId="Subtitle">
    <w:name w:val="Subtitle"/>
    <w:basedOn w:val="TOCHeading"/>
    <w:next w:val="Normal"/>
    <w:link w:val="SubtitleChar"/>
    <w:uiPriority w:val="11"/>
    <w:qFormat/>
    <w:rsid w:val="000E6B3D"/>
    <w:pPr>
      <w:numPr>
        <w:ilvl w:val="2"/>
      </w:numPr>
      <w:ind w:left="2410" w:hanging="425"/>
    </w:pPr>
  </w:style>
  <w:style w:type="character" w:customStyle="1" w:styleId="SubtitleChar">
    <w:name w:val="Subtitle Char"/>
    <w:basedOn w:val="DefaultParagraphFont"/>
    <w:link w:val="Subtitle"/>
    <w:uiPriority w:val="11"/>
    <w:rsid w:val="000E6B3D"/>
    <w:rPr>
      <w:rFonts w:eastAsiaTheme="minorHAnsi"/>
      <w:sz w:val="24"/>
      <w:szCs w:val="22"/>
      <w:lang w:val="fr-CA" w:eastAsia="en-US"/>
    </w:rPr>
  </w:style>
  <w:style w:type="paragraph" w:styleId="TOC3">
    <w:name w:val="toc 3"/>
    <w:basedOn w:val="Normal"/>
    <w:next w:val="Normal"/>
    <w:autoRedefine/>
    <w:uiPriority w:val="39"/>
    <w:unhideWhenUsed/>
    <w:rsid w:val="000E6B3D"/>
    <w:pPr>
      <w:spacing w:after="100" w:line="276" w:lineRule="auto"/>
      <w:ind w:left="480"/>
    </w:pPr>
    <w:rPr>
      <w:rFonts w:eastAsiaTheme="minorHAnsi" w:cstheme="minorBidi"/>
      <w:szCs w:val="22"/>
      <w:lang w:val="fr-CA" w:eastAsia="en-US"/>
    </w:rPr>
  </w:style>
  <w:style w:type="character" w:customStyle="1" w:styleId="reflex2-link">
    <w:name w:val="reflex2-link"/>
    <w:basedOn w:val="DefaultParagraphFont"/>
    <w:rsid w:val="000E6B3D"/>
  </w:style>
  <w:style w:type="paragraph" w:styleId="TOC4">
    <w:name w:val="toc 4"/>
    <w:basedOn w:val="Normal"/>
    <w:next w:val="Normal"/>
    <w:autoRedefine/>
    <w:uiPriority w:val="39"/>
    <w:unhideWhenUsed/>
    <w:rsid w:val="000E6B3D"/>
    <w:pPr>
      <w:spacing w:after="100" w:line="276" w:lineRule="auto"/>
      <w:ind w:left="720"/>
    </w:pPr>
    <w:rPr>
      <w:rFonts w:eastAsiaTheme="minorHAnsi" w:cstheme="minorBidi"/>
      <w:szCs w:val="22"/>
      <w:lang w:val="fr-CA" w:eastAsia="en-US"/>
    </w:rPr>
  </w:style>
  <w:style w:type="table" w:customStyle="1" w:styleId="TableGrid1">
    <w:name w:val="Table Grid1"/>
    <w:basedOn w:val="TableNormal"/>
    <w:next w:val="TableGrid"/>
    <w:uiPriority w:val="59"/>
    <w:rsid w:val="000E6B3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720713">
      <w:bodyDiv w:val="1"/>
      <w:marLeft w:val="0"/>
      <w:marRight w:val="0"/>
      <w:marTop w:val="0"/>
      <w:marBottom w:val="0"/>
      <w:divBdr>
        <w:top w:val="none" w:sz="0" w:space="0" w:color="auto"/>
        <w:left w:val="none" w:sz="0" w:space="0" w:color="auto"/>
        <w:bottom w:val="none" w:sz="0" w:space="0" w:color="auto"/>
        <w:right w:val="none" w:sz="0" w:space="0" w:color="auto"/>
      </w:divBdr>
      <w:divsChild>
        <w:div w:id="75223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urtsnb-coursnb.ca/content/dam/courts/pdf/appeal-appel/decisions/2021/11/2021-11-10-r-v-basque-2021-nbca-50.pdf"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0767-5421-4BE8-BA3E-28740CAB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14049</Words>
  <Characters>73479</Characters>
  <Application>Microsoft Office Word</Application>
  <DocSecurity>0</DocSecurity>
  <Lines>612</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2023-06-29T19:39:00Z</dcterms:created>
  <dcterms:modified xsi:type="dcterms:W3CDTF">2023-06-30T15:44:00Z</dcterms:modified>
</cp:coreProperties>
</file>