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70"/>
        <w:gridCol w:w="1559"/>
        <w:gridCol w:w="1415"/>
        <w:gridCol w:w="3828"/>
      </w:tblGrid>
      <w:tr w:rsidR="00423C0D" w:rsidRPr="00A537E3" w:rsidTr="00423C0D">
        <w:trPr>
          <w:trHeight w:val="1786"/>
        </w:trPr>
        <w:tc>
          <w:tcPr>
            <w:tcW w:w="5000" w:type="pct"/>
            <w:gridSpan w:val="4"/>
          </w:tcPr>
          <w:p w:rsidR="00423C0D" w:rsidRPr="00A537E3" w:rsidRDefault="00423C0D" w:rsidP="00A51442">
            <w:pPr>
              <w:pStyle w:val="SCCBold"/>
              <w:jc w:val="center"/>
            </w:pPr>
            <w:r w:rsidRPr="00A537E3">
              <w:rPr>
                <w:noProof/>
                <w:lang w:val="en-CA" w:eastAsia="en-CA"/>
              </w:rPr>
              <w:drawing>
                <wp:inline distT="0" distB="0" distL="0" distR="0" wp14:anchorId="4E1468BC" wp14:editId="0002C89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423C0D" w:rsidRPr="00A537E3" w:rsidRDefault="00423C0D" w:rsidP="009764CA">
            <w:pPr>
              <w:spacing w:before="120" w:after="100" w:afterAutospacing="1"/>
              <w:jc w:val="center"/>
              <w:rPr>
                <w:rFonts w:eastAsia="Calibri"/>
              </w:rPr>
            </w:pPr>
            <w:r w:rsidRPr="00A537E3">
              <w:rPr>
                <w:rFonts w:eastAsia="Calibri"/>
                <w:b/>
              </w:rPr>
              <w:t>COUR SUPRÊME DU CANADA</w:t>
            </w:r>
          </w:p>
        </w:tc>
      </w:tr>
      <w:tr w:rsidR="00D056AE" w:rsidRPr="00A537E3" w:rsidTr="00D056AE">
        <w:tblPrEx>
          <w:tblCellMar>
            <w:top w:w="58" w:type="dxa"/>
            <w:left w:w="58" w:type="dxa"/>
            <w:bottom w:w="58" w:type="dxa"/>
            <w:right w:w="58" w:type="dxa"/>
          </w:tblCellMar>
        </w:tblPrEx>
        <w:trPr>
          <w:cantSplit/>
        </w:trPr>
        <w:tc>
          <w:tcPr>
            <w:tcW w:w="2110" w:type="pct"/>
            <w:gridSpan w:val="2"/>
          </w:tcPr>
          <w:p w:rsidR="008215C3" w:rsidRPr="00A537E3" w:rsidRDefault="008215C3" w:rsidP="002F0B6C">
            <w:pPr>
              <w:rPr>
                <w:b/>
                <w:smallCaps/>
              </w:rPr>
            </w:pPr>
          </w:p>
          <w:p w:rsidR="008E7672" w:rsidRPr="00A537E3" w:rsidRDefault="00D056AE" w:rsidP="008E7672">
            <w:r w:rsidRPr="00A537E3">
              <w:rPr>
                <w:b/>
                <w:smallCaps/>
              </w:rPr>
              <w:t>Référence :</w:t>
            </w:r>
            <w:r w:rsidRPr="00A537E3">
              <w:t xml:space="preserve"> </w:t>
            </w:r>
            <w:bookmarkStart w:id="0" w:name="_MailEndCompose"/>
            <w:r w:rsidR="008E7672" w:rsidRPr="00A537E3">
              <w:t xml:space="preserve">R. </w:t>
            </w:r>
            <w:r w:rsidR="008E7672" w:rsidRPr="00A537E3">
              <w:rPr>
                <w:i/>
              </w:rPr>
              <w:t>c.</w:t>
            </w:r>
            <w:r w:rsidR="008E7672" w:rsidRPr="00A537E3">
              <w:t xml:space="preserve"> Lawlor, 2023 CSC 34</w:t>
            </w:r>
            <w:bookmarkEnd w:id="0"/>
          </w:p>
          <w:p w:rsidR="00D056AE" w:rsidRPr="00A537E3" w:rsidRDefault="00D056AE" w:rsidP="002F0B6C">
            <w:pPr>
              <w:rPr>
                <w:b/>
                <w:smallCaps/>
              </w:rPr>
            </w:pPr>
          </w:p>
        </w:tc>
        <w:tc>
          <w:tcPr>
            <w:tcW w:w="780" w:type="pct"/>
          </w:tcPr>
          <w:p w:rsidR="00D056AE" w:rsidRPr="00A537E3" w:rsidRDefault="00D056AE" w:rsidP="002F0B6C"/>
        </w:tc>
        <w:tc>
          <w:tcPr>
            <w:tcW w:w="2109" w:type="pct"/>
          </w:tcPr>
          <w:p w:rsidR="00D056AE" w:rsidRPr="00A537E3" w:rsidRDefault="00D056AE" w:rsidP="00423C0D">
            <w:pPr>
              <w:jc w:val="both"/>
              <w:rPr>
                <w:b/>
                <w:smallCaps/>
              </w:rPr>
            </w:pPr>
          </w:p>
          <w:p w:rsidR="00D056AE" w:rsidRPr="00A537E3" w:rsidRDefault="00D056AE" w:rsidP="00423C0D">
            <w:pPr>
              <w:jc w:val="both"/>
            </w:pPr>
            <w:r w:rsidRPr="00A537E3">
              <w:rPr>
                <w:b/>
                <w:smallCaps/>
              </w:rPr>
              <w:t>Appel entendu :</w:t>
            </w:r>
            <w:r w:rsidRPr="00A537E3">
              <w:t xml:space="preserve"> </w:t>
            </w:r>
            <w:r w:rsidR="008E7672" w:rsidRPr="00A537E3">
              <w:t>15 décembre 2023</w:t>
            </w:r>
          </w:p>
          <w:p w:rsidR="00D056AE" w:rsidRPr="00A537E3" w:rsidRDefault="00D056AE">
            <w:r w:rsidRPr="00A537E3">
              <w:rPr>
                <w:b/>
                <w:smallCaps/>
              </w:rPr>
              <w:t>Jugement rendu :</w:t>
            </w:r>
            <w:r w:rsidRPr="00A537E3">
              <w:t xml:space="preserve"> </w:t>
            </w:r>
            <w:r w:rsidR="008E7672" w:rsidRPr="00A537E3">
              <w:t>15 décembre 2023</w:t>
            </w:r>
          </w:p>
          <w:p w:rsidR="00D056AE" w:rsidRPr="00A537E3" w:rsidRDefault="00D056AE" w:rsidP="002F0B6C">
            <w:r w:rsidRPr="00A537E3">
              <w:rPr>
                <w:b/>
                <w:smallCaps/>
              </w:rPr>
              <w:t>Dossier :</w:t>
            </w:r>
            <w:r w:rsidRPr="00A537E3">
              <w:t xml:space="preserve"> 40500</w:t>
            </w:r>
          </w:p>
        </w:tc>
      </w:tr>
      <w:tr w:rsidR="00423C0D" w:rsidRPr="00A537E3" w:rsidTr="00423C0D">
        <w:tblPrEx>
          <w:tblCellMar>
            <w:top w:w="58" w:type="dxa"/>
            <w:left w:w="58" w:type="dxa"/>
            <w:bottom w:w="58" w:type="dxa"/>
            <w:right w:w="58" w:type="dxa"/>
          </w:tblCellMar>
        </w:tblPrEx>
        <w:trPr>
          <w:cantSplit/>
        </w:trPr>
        <w:tc>
          <w:tcPr>
            <w:tcW w:w="5000" w:type="pct"/>
            <w:gridSpan w:val="4"/>
          </w:tcPr>
          <w:p w:rsidR="00423C0D" w:rsidRPr="00A537E3" w:rsidRDefault="00423C0D" w:rsidP="00423C0D"/>
          <w:p w:rsidR="007C0A6C" w:rsidRPr="00A537E3" w:rsidRDefault="00C6665E">
            <w:pPr>
              <w:pStyle w:val="SCCLsocPrefix"/>
            </w:pPr>
            <w:r w:rsidRPr="00A537E3">
              <w:t>Entre :</w:t>
            </w:r>
          </w:p>
          <w:p w:rsidR="008E7672" w:rsidRPr="00A537E3" w:rsidRDefault="008E7672" w:rsidP="008E7672"/>
          <w:p w:rsidR="007C0A6C" w:rsidRPr="00A537E3" w:rsidRDefault="00C6665E">
            <w:pPr>
              <w:pStyle w:val="SCCLsocParty"/>
            </w:pPr>
            <w:r w:rsidRPr="00A537E3">
              <w:t>Derrick Michael Lawlor</w:t>
            </w:r>
          </w:p>
          <w:p w:rsidR="007C0A6C" w:rsidRPr="00A537E3" w:rsidRDefault="008E7672">
            <w:pPr>
              <w:pStyle w:val="SCCLsocPartyRole"/>
            </w:pPr>
            <w:r w:rsidRPr="00A537E3">
              <w:t>Appelant</w:t>
            </w:r>
          </w:p>
          <w:p w:rsidR="007C0A6C" w:rsidRPr="00A537E3" w:rsidRDefault="007C0A6C"/>
          <w:p w:rsidR="007C0A6C" w:rsidRPr="00A537E3" w:rsidRDefault="008E7672">
            <w:pPr>
              <w:pStyle w:val="SCCLsocVersus"/>
            </w:pPr>
            <w:r w:rsidRPr="00A537E3">
              <w:t>et</w:t>
            </w:r>
          </w:p>
          <w:p w:rsidR="007C0A6C" w:rsidRPr="00A537E3" w:rsidRDefault="007C0A6C"/>
          <w:p w:rsidR="007C0A6C" w:rsidRPr="00A537E3" w:rsidRDefault="00C6665E">
            <w:pPr>
              <w:pStyle w:val="SCCLsocParty"/>
            </w:pPr>
            <w:r w:rsidRPr="00A537E3">
              <w:t>Sa Majesté le Roi</w:t>
            </w:r>
          </w:p>
          <w:p w:rsidR="007C0A6C" w:rsidRPr="00A537E3" w:rsidRDefault="008E7672">
            <w:pPr>
              <w:pStyle w:val="SCCLsocPartyRole"/>
            </w:pPr>
            <w:r w:rsidRPr="00A537E3">
              <w:t>Intimé</w:t>
            </w:r>
          </w:p>
          <w:p w:rsidR="00C34313" w:rsidRPr="00A537E3" w:rsidRDefault="00C34313" w:rsidP="00423C0D"/>
          <w:p w:rsidR="00423C0D" w:rsidRPr="00A537E3" w:rsidRDefault="00423C0D" w:rsidP="00423C0D">
            <w:pPr>
              <w:jc w:val="center"/>
              <w:rPr>
                <w:b/>
                <w:smallCaps/>
              </w:rPr>
            </w:pPr>
            <w:r w:rsidRPr="00A537E3">
              <w:rPr>
                <w:b/>
                <w:smallCaps/>
              </w:rPr>
              <w:t>Traduction française officielle</w:t>
            </w:r>
          </w:p>
          <w:p w:rsidR="00423C0D" w:rsidRPr="00A537E3" w:rsidRDefault="00423C0D" w:rsidP="00423C0D"/>
          <w:p w:rsidR="00423C0D" w:rsidRPr="00A537E3" w:rsidRDefault="00423C0D" w:rsidP="00423C0D">
            <w:r w:rsidRPr="00A537E3">
              <w:rPr>
                <w:b/>
                <w:smallCaps/>
              </w:rPr>
              <w:t>Coram :</w:t>
            </w:r>
            <w:r w:rsidRPr="00A537E3">
              <w:t xml:space="preserve"> Les juges Rowe, Martin, Kasirer, O’Bonsawin et Moreau</w:t>
            </w:r>
          </w:p>
          <w:p w:rsidR="00423C0D" w:rsidRPr="00A537E3" w:rsidRDefault="00423C0D" w:rsidP="00423C0D">
            <w:pPr>
              <w:jc w:val="both"/>
              <w:rPr>
                <w:b/>
                <w:smallCaps/>
              </w:rPr>
            </w:pPr>
          </w:p>
        </w:tc>
      </w:tr>
      <w:tr w:rsidR="004E69EC" w:rsidRPr="00A537E3" w:rsidTr="00D056AE">
        <w:tblPrEx>
          <w:tblCellMar>
            <w:top w:w="58" w:type="dxa"/>
            <w:left w:w="58" w:type="dxa"/>
            <w:bottom w:w="58" w:type="dxa"/>
            <w:right w:w="58" w:type="dxa"/>
          </w:tblCellMar>
        </w:tblPrEx>
        <w:trPr>
          <w:cantSplit/>
        </w:trPr>
        <w:tc>
          <w:tcPr>
            <w:tcW w:w="1251" w:type="pct"/>
          </w:tcPr>
          <w:p w:rsidR="008E7672" w:rsidRPr="00A537E3" w:rsidRDefault="008E7672" w:rsidP="008E7672">
            <w:pPr>
              <w:rPr>
                <w:b/>
                <w:smallCaps/>
              </w:rPr>
            </w:pPr>
            <w:r w:rsidRPr="00A537E3">
              <w:rPr>
                <w:b/>
                <w:smallCaps/>
              </w:rPr>
              <w:t>Jugement lu par :</w:t>
            </w:r>
          </w:p>
          <w:p w:rsidR="004E69EC" w:rsidRPr="00A537E3" w:rsidRDefault="008E7672" w:rsidP="008E7672">
            <w:r w:rsidRPr="00A537E3">
              <w:t xml:space="preserve">(par. 1 à </w:t>
            </w:r>
            <w:r w:rsidR="00E31DD1" w:rsidRPr="00A537E3">
              <w:t>5</w:t>
            </w:r>
            <w:r w:rsidRPr="00A537E3">
              <w:t>)</w:t>
            </w:r>
          </w:p>
          <w:p w:rsidR="008E7672" w:rsidRPr="00A537E3" w:rsidRDefault="008E7672" w:rsidP="008E7672"/>
        </w:tc>
        <w:tc>
          <w:tcPr>
            <w:tcW w:w="3749" w:type="pct"/>
            <w:gridSpan w:val="3"/>
          </w:tcPr>
          <w:p w:rsidR="004E69EC" w:rsidRPr="00A537E3" w:rsidRDefault="008E7672">
            <w:r w:rsidRPr="00A537E3">
              <w:t>La juge O’Bonsawin</w:t>
            </w:r>
          </w:p>
        </w:tc>
      </w:tr>
      <w:tr w:rsidR="008E7672" w:rsidRPr="00A537E3" w:rsidTr="00D056AE">
        <w:tblPrEx>
          <w:tblCellMar>
            <w:top w:w="58" w:type="dxa"/>
            <w:left w:w="58" w:type="dxa"/>
            <w:bottom w:w="58" w:type="dxa"/>
            <w:right w:w="58" w:type="dxa"/>
          </w:tblCellMar>
        </w:tblPrEx>
        <w:trPr>
          <w:cantSplit/>
        </w:trPr>
        <w:tc>
          <w:tcPr>
            <w:tcW w:w="1251" w:type="pct"/>
          </w:tcPr>
          <w:p w:rsidR="008E7672" w:rsidRPr="00A537E3" w:rsidRDefault="008E7672" w:rsidP="008E7672">
            <w:pPr>
              <w:rPr>
                <w:b/>
                <w:smallCaps/>
              </w:rPr>
            </w:pPr>
            <w:r w:rsidRPr="00A537E3">
              <w:rPr>
                <w:b/>
                <w:smallCaps/>
              </w:rPr>
              <w:t>Dissidence lue par :</w:t>
            </w:r>
          </w:p>
          <w:p w:rsidR="008E7672" w:rsidRPr="00A537E3" w:rsidRDefault="008E7672" w:rsidP="008E7672">
            <w:r w:rsidRPr="00A537E3">
              <w:t>(par. </w:t>
            </w:r>
            <w:r w:rsidR="00E31DD1" w:rsidRPr="00A537E3">
              <w:t>6</w:t>
            </w:r>
            <w:r w:rsidRPr="00A537E3">
              <w:t xml:space="preserve"> à </w:t>
            </w:r>
            <w:r w:rsidR="00E31DD1" w:rsidRPr="00A537E3">
              <w:t>8</w:t>
            </w:r>
            <w:r w:rsidRPr="00A537E3">
              <w:t>)</w:t>
            </w:r>
          </w:p>
          <w:p w:rsidR="008E7672" w:rsidRPr="00A537E3" w:rsidRDefault="008E7672" w:rsidP="008E7672">
            <w:pPr>
              <w:rPr>
                <w:smallCaps/>
              </w:rPr>
            </w:pPr>
          </w:p>
        </w:tc>
        <w:tc>
          <w:tcPr>
            <w:tcW w:w="3749" w:type="pct"/>
            <w:gridSpan w:val="3"/>
          </w:tcPr>
          <w:p w:rsidR="008E7672" w:rsidRPr="00A537E3" w:rsidRDefault="008E7672">
            <w:r w:rsidRPr="00A537E3">
              <w:t>Le juge Kasirer</w:t>
            </w:r>
          </w:p>
        </w:tc>
      </w:tr>
      <w:tr w:rsidR="008E7672" w:rsidRPr="00A537E3" w:rsidTr="00D056AE">
        <w:tblPrEx>
          <w:tblCellMar>
            <w:top w:w="58" w:type="dxa"/>
            <w:left w:w="58" w:type="dxa"/>
            <w:bottom w:w="58" w:type="dxa"/>
            <w:right w:w="58" w:type="dxa"/>
          </w:tblCellMar>
        </w:tblPrEx>
        <w:trPr>
          <w:cantSplit/>
        </w:trPr>
        <w:tc>
          <w:tcPr>
            <w:tcW w:w="1251" w:type="pct"/>
          </w:tcPr>
          <w:p w:rsidR="008E7672" w:rsidRPr="00A537E3" w:rsidRDefault="008E7672" w:rsidP="008E7672">
            <w:pPr>
              <w:rPr>
                <w:b/>
                <w:smallCaps/>
              </w:rPr>
            </w:pPr>
            <w:r w:rsidRPr="00A537E3">
              <w:rPr>
                <w:b/>
                <w:smallCaps/>
              </w:rPr>
              <w:t>Majorité :</w:t>
            </w:r>
          </w:p>
          <w:p w:rsidR="008E7672" w:rsidRPr="00A537E3" w:rsidRDefault="008E7672" w:rsidP="008E7672">
            <w:pPr>
              <w:rPr>
                <w:b/>
                <w:smallCaps/>
              </w:rPr>
            </w:pPr>
          </w:p>
        </w:tc>
        <w:tc>
          <w:tcPr>
            <w:tcW w:w="3749" w:type="pct"/>
            <w:gridSpan w:val="3"/>
          </w:tcPr>
          <w:p w:rsidR="008E7672" w:rsidRPr="00A537E3" w:rsidRDefault="008E7672">
            <w:r w:rsidRPr="00A537E3">
              <w:t>Les juges Rowe, Martin, O’Bonsawin et Moreau</w:t>
            </w:r>
          </w:p>
        </w:tc>
      </w:tr>
      <w:tr w:rsidR="008E7672" w:rsidRPr="00A537E3" w:rsidTr="00D056AE">
        <w:tblPrEx>
          <w:tblCellMar>
            <w:top w:w="58" w:type="dxa"/>
            <w:left w:w="58" w:type="dxa"/>
            <w:bottom w:w="58" w:type="dxa"/>
            <w:right w:w="58" w:type="dxa"/>
          </w:tblCellMar>
        </w:tblPrEx>
        <w:trPr>
          <w:cantSplit/>
        </w:trPr>
        <w:tc>
          <w:tcPr>
            <w:tcW w:w="1251" w:type="pct"/>
          </w:tcPr>
          <w:p w:rsidR="008E7672" w:rsidRPr="00A537E3" w:rsidRDefault="008E7672" w:rsidP="008E7672">
            <w:pPr>
              <w:rPr>
                <w:b/>
                <w:smallCaps/>
              </w:rPr>
            </w:pPr>
            <w:r w:rsidRPr="00A537E3">
              <w:rPr>
                <w:b/>
                <w:smallCaps/>
              </w:rPr>
              <w:t>Dissidence :</w:t>
            </w:r>
          </w:p>
          <w:p w:rsidR="008E7672" w:rsidRPr="00A537E3" w:rsidRDefault="008E7672" w:rsidP="008E7672">
            <w:pPr>
              <w:rPr>
                <w:b/>
                <w:smallCaps/>
              </w:rPr>
            </w:pPr>
          </w:p>
        </w:tc>
        <w:tc>
          <w:tcPr>
            <w:tcW w:w="3749" w:type="pct"/>
            <w:gridSpan w:val="3"/>
          </w:tcPr>
          <w:p w:rsidR="008E7672" w:rsidRPr="00A537E3" w:rsidRDefault="008E7672">
            <w:r w:rsidRPr="00A537E3">
              <w:t>Le juge Kasirer</w:t>
            </w:r>
          </w:p>
        </w:tc>
      </w:tr>
      <w:tr w:rsidR="008E7672" w:rsidRPr="00A537E3" w:rsidTr="00A22EE0">
        <w:tblPrEx>
          <w:tblCellMar>
            <w:top w:w="58" w:type="dxa"/>
            <w:left w:w="58" w:type="dxa"/>
            <w:bottom w:w="58" w:type="dxa"/>
            <w:right w:w="58" w:type="dxa"/>
          </w:tblCellMar>
        </w:tblPrEx>
        <w:trPr>
          <w:cantSplit/>
        </w:trPr>
        <w:tc>
          <w:tcPr>
            <w:tcW w:w="1" w:type="pct"/>
            <w:gridSpan w:val="4"/>
          </w:tcPr>
          <w:p w:rsidR="008E7672" w:rsidRPr="00A537E3" w:rsidRDefault="008E7672" w:rsidP="008E7672">
            <w:pPr>
              <w:rPr>
                <w:b/>
                <w:smallCaps/>
              </w:rPr>
            </w:pPr>
            <w:r w:rsidRPr="00A537E3">
              <w:rPr>
                <w:b/>
                <w:smallCaps/>
              </w:rPr>
              <w:lastRenderedPageBreak/>
              <w:t>Avocats :</w:t>
            </w:r>
          </w:p>
          <w:p w:rsidR="008E7672" w:rsidRPr="00A537E3" w:rsidRDefault="008E7672" w:rsidP="008E7672"/>
          <w:p w:rsidR="008E7672" w:rsidRPr="00A537E3" w:rsidRDefault="008E7672" w:rsidP="008E7672">
            <w:r w:rsidRPr="00A537E3">
              <w:rPr>
                <w:i/>
              </w:rPr>
              <w:t xml:space="preserve">John M. </w:t>
            </w:r>
            <w:proofErr w:type="spellStart"/>
            <w:r w:rsidRPr="00A537E3">
              <w:rPr>
                <w:i/>
              </w:rPr>
              <w:t>Rosen</w:t>
            </w:r>
            <w:proofErr w:type="spellEnd"/>
            <w:r w:rsidRPr="00A537E3">
              <w:t xml:space="preserve"> et </w:t>
            </w:r>
            <w:r w:rsidRPr="00A537E3">
              <w:rPr>
                <w:i/>
              </w:rPr>
              <w:t xml:space="preserve">Amy J. </w:t>
            </w:r>
            <w:proofErr w:type="spellStart"/>
            <w:r w:rsidRPr="00A537E3">
              <w:rPr>
                <w:i/>
              </w:rPr>
              <w:t>Ohler</w:t>
            </w:r>
            <w:proofErr w:type="spellEnd"/>
            <w:r w:rsidRPr="00A537E3">
              <w:t>, pour l’appelant.</w:t>
            </w:r>
          </w:p>
          <w:p w:rsidR="008E7672" w:rsidRPr="00A537E3" w:rsidRDefault="008E7672" w:rsidP="008E7672">
            <w:proofErr w:type="spellStart"/>
            <w:r w:rsidRPr="00A537E3">
              <w:rPr>
                <w:i/>
              </w:rPr>
              <w:t>Benita</w:t>
            </w:r>
            <w:proofErr w:type="spellEnd"/>
            <w:r w:rsidRPr="00A537E3">
              <w:rPr>
                <w:i/>
              </w:rPr>
              <w:t xml:space="preserve"> </w:t>
            </w:r>
            <w:proofErr w:type="spellStart"/>
            <w:r w:rsidRPr="00A537E3">
              <w:rPr>
                <w:i/>
              </w:rPr>
              <w:t>Wassenaar</w:t>
            </w:r>
            <w:proofErr w:type="spellEnd"/>
            <w:r w:rsidRPr="00A537E3">
              <w:t>, pour l’intimé.</w:t>
            </w:r>
          </w:p>
          <w:p w:rsidR="008E7672" w:rsidRPr="00A537E3" w:rsidRDefault="008E7672" w:rsidP="008E7672"/>
        </w:tc>
      </w:tr>
    </w:tbl>
    <w:p w:rsidR="00F837E7" w:rsidRPr="00A537E3" w:rsidRDefault="00F837E7"/>
    <w:p w:rsidR="007C0A6C" w:rsidRPr="00A537E3" w:rsidRDefault="007C0A6C"/>
    <w:p w:rsidR="004F7322" w:rsidRPr="00A537E3" w:rsidRDefault="004F7322" w:rsidP="004F7322"/>
    <w:p w:rsidR="00904937" w:rsidRPr="00A537E3" w:rsidRDefault="00904937">
      <w:r w:rsidRPr="00A537E3">
        <w:rPr>
          <w:b/>
          <w:smallCaps/>
        </w:rPr>
        <w:t>Note</w:t>
      </w:r>
      <w:r w:rsidR="002F0B6C" w:rsidRPr="00A537E3">
        <w:rPr>
          <w:b/>
          <w:smallCaps/>
        </w:rPr>
        <w:t> :</w:t>
      </w:r>
      <w:r w:rsidRPr="00A537E3">
        <w:rPr>
          <w:b/>
        </w:rPr>
        <w:t xml:space="preserve"> </w:t>
      </w:r>
      <w:r w:rsidR="001E12E2" w:rsidRPr="00A537E3">
        <w:t>Ce document fera l’objet de retouches de forme avant la parution</w:t>
      </w:r>
      <w:r w:rsidR="005C0397" w:rsidRPr="00A537E3">
        <w:t xml:space="preserve"> </w:t>
      </w:r>
      <w:r w:rsidR="001E12E2" w:rsidRPr="00A537E3">
        <w:t>de sa version définitive dans le</w:t>
      </w:r>
      <w:r w:rsidRPr="00A537E3">
        <w:t xml:space="preserve"> </w:t>
      </w:r>
      <w:r w:rsidR="001E12E2" w:rsidRPr="00A537E3">
        <w:rPr>
          <w:i/>
        </w:rPr>
        <w:t>Recueil des arrêts de la Cour suprême du C</w:t>
      </w:r>
      <w:r w:rsidRPr="00A537E3">
        <w:rPr>
          <w:i/>
        </w:rPr>
        <w:t>anada</w:t>
      </w:r>
      <w:r w:rsidRPr="00A537E3">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D1436" w:rsidRPr="00A537E3" w:rsidTr="003375C9">
        <w:tc>
          <w:tcPr>
            <w:tcW w:w="1500" w:type="pct"/>
            <w:tcMar>
              <w:top w:w="284" w:type="dxa"/>
            </w:tcMar>
          </w:tcPr>
          <w:p w:rsidR="000D1436" w:rsidRPr="00A537E3" w:rsidRDefault="000D1436" w:rsidP="003375C9">
            <w:pPr>
              <w:rPr>
                <w:rFonts w:eastAsia="Calibri"/>
              </w:rPr>
            </w:pPr>
          </w:p>
        </w:tc>
        <w:tc>
          <w:tcPr>
            <w:tcW w:w="2000" w:type="pct"/>
            <w:tcBorders>
              <w:bottom w:val="single" w:sz="4" w:space="0" w:color="auto"/>
            </w:tcBorders>
            <w:tcMar>
              <w:top w:w="284" w:type="dxa"/>
            </w:tcMar>
          </w:tcPr>
          <w:p w:rsidR="000D1436" w:rsidRPr="00A537E3" w:rsidRDefault="000D1436" w:rsidP="003375C9">
            <w:pPr>
              <w:rPr>
                <w:rFonts w:eastAsia="Calibri"/>
              </w:rPr>
            </w:pPr>
          </w:p>
        </w:tc>
        <w:tc>
          <w:tcPr>
            <w:tcW w:w="1500" w:type="pct"/>
            <w:tcMar>
              <w:top w:w="284" w:type="dxa"/>
            </w:tcMar>
          </w:tcPr>
          <w:p w:rsidR="000D1436" w:rsidRPr="00A537E3" w:rsidRDefault="000D1436" w:rsidP="003375C9">
            <w:pPr>
              <w:rPr>
                <w:rFonts w:eastAsia="Calibri"/>
              </w:rPr>
            </w:pPr>
          </w:p>
        </w:tc>
      </w:tr>
    </w:tbl>
    <w:p w:rsidR="00A537E3" w:rsidRPr="00A537E3" w:rsidRDefault="00A537E3"/>
    <w:p w:rsidR="00A537E3" w:rsidRPr="00A537E3" w:rsidRDefault="00A537E3" w:rsidP="00A537E3">
      <w:r w:rsidRPr="00A537E3">
        <w:br w:type="page"/>
      </w:r>
    </w:p>
    <w:p w:rsidR="00A537E3" w:rsidRPr="00A537E3" w:rsidRDefault="00A537E3" w:rsidP="00A537E3">
      <w:pPr>
        <w:jc w:val="right"/>
      </w:pPr>
      <w:r w:rsidRPr="00A537E3">
        <w:lastRenderedPageBreak/>
        <w:t>No. 40500     </w:t>
      </w:r>
    </w:p>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A537E3" w:rsidRPr="00A537E3" w:rsidTr="0021221C">
        <w:tc>
          <w:tcPr>
            <w:tcW w:w="2269" w:type="pct"/>
          </w:tcPr>
          <w:p w:rsidR="00A537E3" w:rsidRPr="00A537E3" w:rsidRDefault="00A537E3" w:rsidP="0021221C">
            <w:r w:rsidRPr="00A537E3">
              <w:t>December 19, 2023</w:t>
            </w:r>
          </w:p>
        </w:tc>
        <w:tc>
          <w:tcPr>
            <w:tcW w:w="381" w:type="pct"/>
          </w:tcPr>
          <w:p w:rsidR="00A537E3" w:rsidRPr="00A537E3" w:rsidRDefault="00A537E3" w:rsidP="0021221C"/>
        </w:tc>
        <w:tc>
          <w:tcPr>
            <w:tcW w:w="2350" w:type="pct"/>
          </w:tcPr>
          <w:p w:rsidR="00A537E3" w:rsidRPr="00A537E3" w:rsidRDefault="00A537E3" w:rsidP="0021221C">
            <w:pPr>
              <w:rPr>
                <w:lang w:val="en-US"/>
              </w:rPr>
            </w:pPr>
            <w:r w:rsidRPr="00A537E3">
              <w:t>Le 19 décembre 2023</w:t>
            </w:r>
          </w:p>
        </w:tc>
      </w:tr>
      <w:tr w:rsidR="00A537E3" w:rsidRPr="00A537E3" w:rsidTr="0021221C">
        <w:tc>
          <w:tcPr>
            <w:tcW w:w="2269" w:type="pct"/>
            <w:tcMar>
              <w:top w:w="0" w:type="dxa"/>
              <w:bottom w:w="0" w:type="dxa"/>
            </w:tcMar>
          </w:tcPr>
          <w:p w:rsidR="00A537E3" w:rsidRPr="00A537E3" w:rsidRDefault="00A537E3" w:rsidP="0021221C"/>
        </w:tc>
        <w:tc>
          <w:tcPr>
            <w:tcW w:w="381" w:type="pct"/>
            <w:tcMar>
              <w:top w:w="0" w:type="dxa"/>
              <w:bottom w:w="0" w:type="dxa"/>
            </w:tcMar>
          </w:tcPr>
          <w:p w:rsidR="00A537E3" w:rsidRPr="00A537E3" w:rsidRDefault="00A537E3" w:rsidP="0021221C"/>
        </w:tc>
        <w:tc>
          <w:tcPr>
            <w:tcW w:w="2350" w:type="pct"/>
            <w:tcMar>
              <w:top w:w="0" w:type="dxa"/>
              <w:bottom w:w="0" w:type="dxa"/>
            </w:tcMar>
          </w:tcPr>
          <w:p w:rsidR="00A537E3" w:rsidRPr="00A537E3" w:rsidRDefault="00A537E3" w:rsidP="0021221C">
            <w:pPr>
              <w:rPr>
                <w:lang w:val="en-US"/>
              </w:rPr>
            </w:pPr>
          </w:p>
        </w:tc>
      </w:tr>
      <w:tr w:rsidR="00A537E3" w:rsidRPr="00A537E3" w:rsidTr="0021221C">
        <w:tc>
          <w:tcPr>
            <w:tcW w:w="2269" w:type="pct"/>
          </w:tcPr>
          <w:p w:rsidR="00A537E3" w:rsidRPr="00A537E3" w:rsidRDefault="00A537E3" w:rsidP="0021221C">
            <w:r w:rsidRPr="00A537E3">
              <w:t>Coram: Rowe, Martin, Kasirer, O’Bonsawin and Moreau JJ.</w:t>
            </w:r>
          </w:p>
        </w:tc>
        <w:tc>
          <w:tcPr>
            <w:tcW w:w="381" w:type="pct"/>
          </w:tcPr>
          <w:p w:rsidR="00A537E3" w:rsidRPr="00A537E3" w:rsidRDefault="00A537E3" w:rsidP="0021221C"/>
        </w:tc>
        <w:tc>
          <w:tcPr>
            <w:tcW w:w="2350" w:type="pct"/>
          </w:tcPr>
          <w:p w:rsidR="00A537E3" w:rsidRPr="00A537E3" w:rsidRDefault="00A537E3" w:rsidP="0021221C">
            <w:r w:rsidRPr="00A537E3">
              <w:t>Coram : Les juges Rowe, Martin, Kasirer, O’Bonsawin et Moreau</w:t>
            </w:r>
          </w:p>
        </w:tc>
      </w:tr>
      <w:tr w:rsidR="00A537E3" w:rsidRPr="00A537E3" w:rsidTr="0021221C">
        <w:tc>
          <w:tcPr>
            <w:tcW w:w="2269" w:type="pct"/>
            <w:tcMar>
              <w:top w:w="0" w:type="dxa"/>
              <w:bottom w:w="0" w:type="dxa"/>
            </w:tcMar>
          </w:tcPr>
          <w:p w:rsidR="00A537E3" w:rsidRPr="00A537E3" w:rsidRDefault="00A537E3" w:rsidP="0021221C"/>
        </w:tc>
        <w:tc>
          <w:tcPr>
            <w:tcW w:w="381" w:type="pct"/>
            <w:tcMar>
              <w:top w:w="0" w:type="dxa"/>
              <w:bottom w:w="0" w:type="dxa"/>
            </w:tcMar>
          </w:tcPr>
          <w:p w:rsidR="00A537E3" w:rsidRPr="00A537E3" w:rsidRDefault="00A537E3" w:rsidP="0021221C"/>
        </w:tc>
        <w:tc>
          <w:tcPr>
            <w:tcW w:w="2350" w:type="pct"/>
            <w:tcMar>
              <w:top w:w="0" w:type="dxa"/>
              <w:bottom w:w="0" w:type="dxa"/>
            </w:tcMar>
          </w:tcPr>
          <w:p w:rsidR="00A537E3" w:rsidRPr="00A537E3" w:rsidRDefault="00A537E3" w:rsidP="0021221C"/>
        </w:tc>
      </w:tr>
      <w:tr w:rsidR="00A537E3" w:rsidRPr="00A537E3" w:rsidTr="0021221C">
        <w:tc>
          <w:tcPr>
            <w:tcW w:w="2269" w:type="pct"/>
          </w:tcPr>
          <w:p w:rsidR="00A537E3" w:rsidRPr="00A537E3" w:rsidRDefault="00A537E3" w:rsidP="0021221C"/>
          <w:p w:rsidR="00A537E3" w:rsidRPr="00A537E3" w:rsidRDefault="00A537E3" w:rsidP="0021221C">
            <w:pPr>
              <w:pStyle w:val="SCCLsocPrefix"/>
            </w:pPr>
            <w:r w:rsidRPr="00A537E3">
              <w:t>BETWEEN:</w:t>
            </w:r>
          </w:p>
          <w:p w:rsidR="00A537E3" w:rsidRPr="00A537E3" w:rsidRDefault="00A537E3" w:rsidP="0021221C"/>
          <w:p w:rsidR="00A537E3" w:rsidRPr="00A537E3" w:rsidRDefault="00A537E3" w:rsidP="0021221C">
            <w:pPr>
              <w:pStyle w:val="SCCLsocParty"/>
              <w:rPr>
                <w:b w:val="0"/>
              </w:rPr>
            </w:pPr>
            <w:r w:rsidRPr="00A537E3">
              <w:rPr>
                <w:b w:val="0"/>
              </w:rPr>
              <w:t>Derrick Michael Lawlor</w:t>
            </w:r>
            <w:r w:rsidRPr="00A537E3">
              <w:rPr>
                <w:b w:val="0"/>
              </w:rPr>
              <w:br/>
            </w:r>
          </w:p>
          <w:p w:rsidR="00A537E3" w:rsidRPr="00A537E3" w:rsidRDefault="00A537E3" w:rsidP="0021221C">
            <w:pPr>
              <w:pStyle w:val="SCCLsocPartyRole"/>
            </w:pPr>
            <w:r w:rsidRPr="00A537E3">
              <w:t>Appellant</w:t>
            </w:r>
            <w:r w:rsidRPr="00A537E3">
              <w:br/>
            </w:r>
          </w:p>
          <w:p w:rsidR="00A537E3" w:rsidRPr="00A537E3" w:rsidRDefault="00A537E3" w:rsidP="0021221C">
            <w:pPr>
              <w:pStyle w:val="SCCLsocVersus"/>
            </w:pPr>
            <w:r w:rsidRPr="00A537E3">
              <w:t>- and -</w:t>
            </w:r>
          </w:p>
          <w:p w:rsidR="00A537E3" w:rsidRPr="00A537E3" w:rsidRDefault="00A537E3" w:rsidP="0021221C"/>
          <w:p w:rsidR="00A537E3" w:rsidRPr="00A537E3" w:rsidRDefault="00A537E3" w:rsidP="0021221C">
            <w:pPr>
              <w:pStyle w:val="SCCLsocParty"/>
              <w:rPr>
                <w:b w:val="0"/>
              </w:rPr>
            </w:pPr>
            <w:r w:rsidRPr="00A537E3">
              <w:rPr>
                <w:b w:val="0"/>
              </w:rPr>
              <w:t>His Majesty The King</w:t>
            </w:r>
            <w:r w:rsidRPr="00A537E3">
              <w:rPr>
                <w:b w:val="0"/>
              </w:rPr>
              <w:br/>
            </w:r>
          </w:p>
          <w:p w:rsidR="00A537E3" w:rsidRPr="00A537E3" w:rsidRDefault="00A537E3" w:rsidP="0021221C">
            <w:pPr>
              <w:pStyle w:val="SCCLsocPartyRole"/>
            </w:pPr>
            <w:r w:rsidRPr="00A537E3">
              <w:t>Respondent</w:t>
            </w:r>
          </w:p>
        </w:tc>
        <w:tc>
          <w:tcPr>
            <w:tcW w:w="381" w:type="pct"/>
          </w:tcPr>
          <w:p w:rsidR="00A537E3" w:rsidRPr="00A537E3" w:rsidRDefault="00A537E3" w:rsidP="0021221C"/>
        </w:tc>
        <w:tc>
          <w:tcPr>
            <w:tcW w:w="2350" w:type="pct"/>
          </w:tcPr>
          <w:p w:rsidR="00A537E3" w:rsidRPr="00A537E3" w:rsidRDefault="00A537E3" w:rsidP="0021221C"/>
          <w:p w:rsidR="00A537E3" w:rsidRPr="00A537E3" w:rsidRDefault="00A537E3" w:rsidP="0021221C">
            <w:pPr>
              <w:pStyle w:val="SCCLsocPrefix"/>
            </w:pPr>
            <w:r w:rsidRPr="00A537E3">
              <w:t>ENTRE :</w:t>
            </w:r>
          </w:p>
          <w:p w:rsidR="00A537E3" w:rsidRPr="00A537E3" w:rsidRDefault="00A537E3" w:rsidP="0021221C"/>
          <w:p w:rsidR="00A537E3" w:rsidRPr="00A537E3" w:rsidRDefault="00A537E3" w:rsidP="0021221C">
            <w:pPr>
              <w:pStyle w:val="SCCLsocParty"/>
              <w:rPr>
                <w:b w:val="0"/>
              </w:rPr>
            </w:pPr>
            <w:r w:rsidRPr="00A537E3">
              <w:rPr>
                <w:b w:val="0"/>
              </w:rPr>
              <w:t>Derrick Michael Lawlor</w:t>
            </w:r>
            <w:r w:rsidRPr="00A537E3">
              <w:rPr>
                <w:b w:val="0"/>
              </w:rPr>
              <w:br/>
            </w:r>
          </w:p>
          <w:p w:rsidR="00A537E3" w:rsidRPr="00A537E3" w:rsidRDefault="00A537E3" w:rsidP="0021221C">
            <w:pPr>
              <w:pStyle w:val="SCCLsocPartyRole"/>
            </w:pPr>
            <w:r w:rsidRPr="00A537E3">
              <w:t>Appelant</w:t>
            </w:r>
            <w:r w:rsidRPr="00A537E3">
              <w:br/>
            </w:r>
          </w:p>
          <w:p w:rsidR="00A537E3" w:rsidRPr="00A537E3" w:rsidRDefault="00A537E3" w:rsidP="0021221C">
            <w:pPr>
              <w:pStyle w:val="SCCLsocVersus"/>
            </w:pPr>
            <w:r w:rsidRPr="00A537E3">
              <w:t>- et -</w:t>
            </w:r>
          </w:p>
          <w:p w:rsidR="00A537E3" w:rsidRPr="00A537E3" w:rsidRDefault="00A537E3" w:rsidP="0021221C"/>
          <w:p w:rsidR="00A537E3" w:rsidRPr="00A537E3" w:rsidRDefault="00A537E3" w:rsidP="0021221C">
            <w:pPr>
              <w:pStyle w:val="SCCLsocParty"/>
              <w:rPr>
                <w:b w:val="0"/>
              </w:rPr>
            </w:pPr>
            <w:r w:rsidRPr="00A537E3">
              <w:rPr>
                <w:b w:val="0"/>
              </w:rPr>
              <w:t>Sa Majesté le Roi</w:t>
            </w:r>
            <w:r w:rsidRPr="00A537E3">
              <w:rPr>
                <w:b w:val="0"/>
              </w:rPr>
              <w:br/>
            </w:r>
          </w:p>
          <w:p w:rsidR="00A537E3" w:rsidRPr="00A537E3" w:rsidRDefault="00A537E3" w:rsidP="0021221C">
            <w:pPr>
              <w:pStyle w:val="SCCLsocPartyRole"/>
            </w:pPr>
            <w:r w:rsidRPr="00A537E3">
              <w:t>Intimé</w:t>
            </w:r>
          </w:p>
        </w:tc>
      </w:tr>
      <w:tr w:rsidR="00A537E3" w:rsidRPr="00A537E3" w:rsidTr="0021221C">
        <w:tc>
          <w:tcPr>
            <w:tcW w:w="2269" w:type="pct"/>
            <w:tcMar>
              <w:top w:w="0" w:type="dxa"/>
              <w:bottom w:w="0" w:type="dxa"/>
            </w:tcMar>
          </w:tcPr>
          <w:p w:rsidR="00A537E3" w:rsidRPr="00A537E3" w:rsidRDefault="00A537E3" w:rsidP="0021221C"/>
        </w:tc>
        <w:tc>
          <w:tcPr>
            <w:tcW w:w="381" w:type="pct"/>
            <w:tcMar>
              <w:top w:w="0" w:type="dxa"/>
              <w:bottom w:w="0" w:type="dxa"/>
            </w:tcMar>
          </w:tcPr>
          <w:p w:rsidR="00A537E3" w:rsidRPr="00A537E3" w:rsidRDefault="00A537E3" w:rsidP="0021221C"/>
        </w:tc>
        <w:tc>
          <w:tcPr>
            <w:tcW w:w="2350" w:type="pct"/>
            <w:tcMar>
              <w:top w:w="0" w:type="dxa"/>
              <w:bottom w:w="0" w:type="dxa"/>
            </w:tcMar>
          </w:tcPr>
          <w:p w:rsidR="00A537E3" w:rsidRPr="00A537E3" w:rsidRDefault="00A537E3" w:rsidP="0021221C"/>
        </w:tc>
      </w:tr>
      <w:tr w:rsidR="00A537E3" w:rsidRPr="00A537E3" w:rsidTr="0021221C">
        <w:tc>
          <w:tcPr>
            <w:tcW w:w="2269" w:type="pct"/>
          </w:tcPr>
          <w:p w:rsidR="00A537E3" w:rsidRPr="00A537E3" w:rsidRDefault="00A537E3" w:rsidP="0021221C">
            <w:pPr>
              <w:jc w:val="center"/>
            </w:pPr>
            <w:r w:rsidRPr="00A537E3">
              <w:t>JUDGMENT</w:t>
            </w:r>
          </w:p>
          <w:p w:rsidR="00A537E3" w:rsidRPr="00A537E3" w:rsidRDefault="00A537E3" w:rsidP="0021221C">
            <w:pPr>
              <w:jc w:val="center"/>
            </w:pPr>
          </w:p>
          <w:p w:rsidR="00A537E3" w:rsidRPr="00A537E3" w:rsidRDefault="00A537E3" w:rsidP="0021221C">
            <w:pPr>
              <w:jc w:val="both"/>
            </w:pPr>
            <w:r w:rsidRPr="00A537E3">
              <w:t xml:space="preserve">The appeal </w:t>
            </w:r>
            <w:proofErr w:type="spellStart"/>
            <w:r w:rsidRPr="00A537E3">
              <w:t>from</w:t>
            </w:r>
            <w:proofErr w:type="spellEnd"/>
            <w:r w:rsidRPr="00A537E3">
              <w:t xml:space="preserve"> the </w:t>
            </w:r>
            <w:proofErr w:type="spellStart"/>
            <w:r w:rsidRPr="00A537E3">
              <w:t>judgment</w:t>
            </w:r>
            <w:proofErr w:type="spellEnd"/>
            <w:r w:rsidRPr="00A537E3">
              <w:t xml:space="preserve"> of the Court of Appeal for Ontario, </w:t>
            </w:r>
            <w:proofErr w:type="spellStart"/>
            <w:r w:rsidRPr="00A537E3">
              <w:t>Number</w:t>
            </w:r>
            <w:proofErr w:type="spellEnd"/>
            <w:r w:rsidRPr="00A537E3">
              <w:t xml:space="preserve"> C66605, </w:t>
            </w:r>
            <w:hyperlink r:id="rId8" w:history="1">
              <w:r w:rsidRPr="00A537E3">
                <w:rPr>
                  <w:rStyle w:val="Hyperlink"/>
                  <w:color w:val="660000"/>
                  <w:u w:val="none"/>
                  <w:lang w:val="en-US"/>
                </w:rPr>
                <w:t>2022 ONCA 645</w:t>
              </w:r>
            </w:hyperlink>
            <w:r w:rsidRPr="00A537E3">
              <w:rPr>
                <w:lang w:val="en-US"/>
              </w:rPr>
              <w:t xml:space="preserve">, </w:t>
            </w:r>
            <w:proofErr w:type="spellStart"/>
            <w:r w:rsidRPr="00A537E3">
              <w:t>dated</w:t>
            </w:r>
            <w:proofErr w:type="spellEnd"/>
            <w:r w:rsidRPr="00A537E3">
              <w:t xml:space="preserve"> September 15, 2022, </w:t>
            </w:r>
            <w:proofErr w:type="spellStart"/>
            <w:r w:rsidRPr="00A537E3">
              <w:t>was</w:t>
            </w:r>
            <w:proofErr w:type="spellEnd"/>
            <w:r w:rsidRPr="00A537E3">
              <w:t xml:space="preserve"> heard on December 15, 2023, and the Court on </w:t>
            </w:r>
            <w:proofErr w:type="spellStart"/>
            <w:r w:rsidRPr="00A537E3">
              <w:t>that</w:t>
            </w:r>
            <w:proofErr w:type="spellEnd"/>
            <w:r w:rsidRPr="00A537E3">
              <w:t xml:space="preserve"> </w:t>
            </w:r>
            <w:proofErr w:type="spellStart"/>
            <w:r w:rsidRPr="00A537E3">
              <w:t>day</w:t>
            </w:r>
            <w:proofErr w:type="spellEnd"/>
            <w:r w:rsidRPr="00A537E3">
              <w:t xml:space="preserve"> </w:t>
            </w:r>
            <w:proofErr w:type="spellStart"/>
            <w:r w:rsidRPr="00A537E3">
              <w:t>delivered</w:t>
            </w:r>
            <w:proofErr w:type="spellEnd"/>
            <w:r w:rsidRPr="00A537E3">
              <w:t xml:space="preserve"> the </w:t>
            </w:r>
            <w:proofErr w:type="spellStart"/>
            <w:r w:rsidRPr="00A537E3">
              <w:t>following</w:t>
            </w:r>
            <w:proofErr w:type="spellEnd"/>
            <w:r w:rsidRPr="00A537E3">
              <w:t xml:space="preserve"> </w:t>
            </w:r>
            <w:proofErr w:type="spellStart"/>
            <w:r w:rsidRPr="00A537E3">
              <w:t>judgment</w:t>
            </w:r>
            <w:proofErr w:type="spellEnd"/>
            <w:r w:rsidRPr="00A537E3">
              <w:t xml:space="preserve"> </w:t>
            </w:r>
            <w:proofErr w:type="spellStart"/>
            <w:r w:rsidRPr="00A537E3">
              <w:t>orally</w:t>
            </w:r>
            <w:proofErr w:type="spellEnd"/>
            <w:r w:rsidRPr="00A537E3">
              <w:t xml:space="preserve">: </w:t>
            </w:r>
          </w:p>
          <w:p w:rsidR="00A537E3" w:rsidRPr="00A537E3" w:rsidRDefault="00A537E3" w:rsidP="0021221C">
            <w:pPr>
              <w:jc w:val="both"/>
            </w:pPr>
          </w:p>
          <w:p w:rsidR="00A537E3" w:rsidRPr="00A537E3" w:rsidRDefault="00A537E3" w:rsidP="0021221C">
            <w:pPr>
              <w:jc w:val="both"/>
            </w:pPr>
          </w:p>
          <w:p w:rsidR="00A537E3" w:rsidRPr="00A537E3" w:rsidRDefault="00A537E3" w:rsidP="0021221C">
            <w:pPr>
              <w:jc w:val="both"/>
            </w:pPr>
            <w:r w:rsidRPr="00A537E3">
              <w:rPr>
                <w:smallCaps/>
              </w:rPr>
              <w:t>O’Bonsawin</w:t>
            </w:r>
            <w:r w:rsidRPr="00A537E3">
              <w:t xml:space="preserve"> J. (Rowe, Martin and Moreau JJ. </w:t>
            </w:r>
            <w:proofErr w:type="spellStart"/>
            <w:r w:rsidRPr="00A537E3">
              <w:t>concurring</w:t>
            </w:r>
            <w:proofErr w:type="spellEnd"/>
            <w:r w:rsidRPr="00A537E3">
              <w:t xml:space="preserve">) </w:t>
            </w:r>
            <w:r w:rsidRPr="00A537E3">
              <w:rPr>
                <w:rFonts w:cs="Times New Roman"/>
              </w:rPr>
              <w:t>—</w:t>
            </w:r>
            <w:r w:rsidRPr="00A537E3">
              <w:t xml:space="preserve"> This is an appeal </w:t>
            </w:r>
            <w:proofErr w:type="spellStart"/>
            <w:r w:rsidRPr="00A537E3">
              <w:t>from</w:t>
            </w:r>
            <w:proofErr w:type="spellEnd"/>
            <w:r w:rsidRPr="00A537E3">
              <w:t xml:space="preserve"> </w:t>
            </w:r>
            <w:r w:rsidRPr="00A537E3">
              <w:rPr>
                <w:i/>
              </w:rPr>
              <w:t>R. v. Lawlor</w:t>
            </w:r>
            <w:r w:rsidRPr="00A537E3">
              <w:t xml:space="preserve">, 2022 ONCA 645, 418 C.C.C. (3d) 87, in </w:t>
            </w:r>
            <w:proofErr w:type="spellStart"/>
            <w:r w:rsidRPr="00A537E3">
              <w:t>which</w:t>
            </w:r>
            <w:proofErr w:type="spellEnd"/>
            <w:r w:rsidRPr="00A537E3">
              <w:t xml:space="preserve"> the </w:t>
            </w:r>
            <w:proofErr w:type="spellStart"/>
            <w:r w:rsidRPr="00A537E3">
              <w:t>majority</w:t>
            </w:r>
            <w:proofErr w:type="spellEnd"/>
            <w:r w:rsidRPr="00A537E3">
              <w:t xml:space="preserve"> dismissed an appeal by Derrick Lawlor of </w:t>
            </w:r>
            <w:proofErr w:type="spellStart"/>
            <w:r w:rsidRPr="00A537E3">
              <w:t>his</w:t>
            </w:r>
            <w:proofErr w:type="spellEnd"/>
            <w:r w:rsidRPr="00A537E3">
              <w:t xml:space="preserve"> conviction for first </w:t>
            </w:r>
            <w:proofErr w:type="spellStart"/>
            <w:r w:rsidRPr="00A537E3">
              <w:t>degree</w:t>
            </w:r>
            <w:proofErr w:type="spellEnd"/>
            <w:r w:rsidRPr="00A537E3">
              <w:t xml:space="preserve"> </w:t>
            </w:r>
            <w:proofErr w:type="spellStart"/>
            <w:r w:rsidRPr="00A537E3">
              <w:t>murder</w:t>
            </w:r>
            <w:proofErr w:type="spellEnd"/>
            <w:r w:rsidRPr="00A537E3">
              <w:t xml:space="preserve"> by a jury. The </w:t>
            </w:r>
            <w:proofErr w:type="spellStart"/>
            <w:r w:rsidRPr="00A537E3">
              <w:t>majority</w:t>
            </w:r>
            <w:proofErr w:type="spellEnd"/>
            <w:r w:rsidRPr="00A537E3">
              <w:t xml:space="preserve"> in the Ontario Court of Appeal dismissed the appeal; Justice Nordheimer </w:t>
            </w:r>
            <w:proofErr w:type="spellStart"/>
            <w:r w:rsidRPr="00A537E3">
              <w:t>would</w:t>
            </w:r>
            <w:proofErr w:type="spellEnd"/>
            <w:r w:rsidRPr="00A537E3">
              <w:t xml:space="preserve"> have allowed the appeal and </w:t>
            </w:r>
            <w:proofErr w:type="spellStart"/>
            <w:r w:rsidRPr="00A537E3">
              <w:t>ordered</w:t>
            </w:r>
            <w:proofErr w:type="spellEnd"/>
            <w:r w:rsidRPr="00A537E3">
              <w:t xml:space="preserve"> a new trial. </w:t>
            </w:r>
          </w:p>
          <w:p w:rsidR="00A537E3" w:rsidRPr="00A537E3" w:rsidRDefault="00A537E3" w:rsidP="0021221C">
            <w:pPr>
              <w:jc w:val="both"/>
            </w:pPr>
          </w:p>
          <w:p w:rsidR="00A537E3" w:rsidRPr="00A537E3" w:rsidRDefault="00A537E3" w:rsidP="0021221C">
            <w:pPr>
              <w:jc w:val="both"/>
            </w:pPr>
          </w:p>
          <w:p w:rsidR="00A537E3" w:rsidRPr="00A537E3" w:rsidRDefault="00A537E3" w:rsidP="0021221C">
            <w:pPr>
              <w:jc w:val="both"/>
            </w:pPr>
            <w:proofErr w:type="spellStart"/>
            <w:r w:rsidRPr="00A537E3">
              <w:t>Only</w:t>
            </w:r>
            <w:proofErr w:type="spellEnd"/>
            <w:r w:rsidRPr="00A537E3">
              <w:t xml:space="preserve"> </w:t>
            </w:r>
            <w:proofErr w:type="spellStart"/>
            <w:r w:rsidRPr="00A537E3">
              <w:t>two</w:t>
            </w:r>
            <w:proofErr w:type="spellEnd"/>
            <w:r w:rsidRPr="00A537E3">
              <w:t xml:space="preserve"> grounds of appeal are </w:t>
            </w:r>
            <w:proofErr w:type="spellStart"/>
            <w:r w:rsidRPr="00A537E3">
              <w:t>before</w:t>
            </w:r>
            <w:proofErr w:type="spellEnd"/>
            <w:r w:rsidRPr="00A537E3">
              <w:t xml:space="preserve"> </w:t>
            </w:r>
            <w:proofErr w:type="spellStart"/>
            <w:r w:rsidRPr="00A537E3">
              <w:t>this</w:t>
            </w:r>
            <w:proofErr w:type="spellEnd"/>
            <w:r w:rsidRPr="00A537E3">
              <w:t xml:space="preserve"> Court. The first is </w:t>
            </w:r>
            <w:proofErr w:type="spellStart"/>
            <w:r w:rsidRPr="00A537E3">
              <w:t>whether</w:t>
            </w:r>
            <w:proofErr w:type="spellEnd"/>
            <w:r w:rsidRPr="00A537E3">
              <w:t xml:space="preserve"> the trial </w:t>
            </w:r>
            <w:proofErr w:type="spellStart"/>
            <w:r w:rsidRPr="00A537E3">
              <w:t>judge</w:t>
            </w:r>
            <w:proofErr w:type="spellEnd"/>
            <w:r w:rsidRPr="00A537E3">
              <w:t xml:space="preserve"> </w:t>
            </w:r>
            <w:proofErr w:type="spellStart"/>
            <w:r w:rsidRPr="00A537E3">
              <w:t>erred</w:t>
            </w:r>
            <w:proofErr w:type="spellEnd"/>
            <w:r w:rsidRPr="00A537E3">
              <w:t xml:space="preserve"> in </w:t>
            </w:r>
            <w:proofErr w:type="spellStart"/>
            <w:r w:rsidRPr="00A537E3">
              <w:t>his</w:t>
            </w:r>
            <w:proofErr w:type="spellEnd"/>
            <w:r w:rsidRPr="00A537E3">
              <w:t xml:space="preserve"> instructions to the jury </w:t>
            </w:r>
            <w:proofErr w:type="spellStart"/>
            <w:r w:rsidRPr="00A537E3">
              <w:t>regarding</w:t>
            </w:r>
            <w:proofErr w:type="spellEnd"/>
            <w:r w:rsidRPr="00A537E3">
              <w:t xml:space="preserve"> the use of </w:t>
            </w:r>
            <w:proofErr w:type="spellStart"/>
            <w:r w:rsidRPr="00A537E3">
              <w:t>evidence</w:t>
            </w:r>
            <w:proofErr w:type="spellEnd"/>
            <w:r w:rsidRPr="00A537E3">
              <w:t xml:space="preserve"> as to the </w:t>
            </w:r>
            <w:proofErr w:type="spellStart"/>
            <w:r w:rsidRPr="00A537E3">
              <w:t>accused’s</w:t>
            </w:r>
            <w:proofErr w:type="spellEnd"/>
            <w:r w:rsidRPr="00A537E3">
              <w:t xml:space="preserve"> mental </w:t>
            </w:r>
            <w:proofErr w:type="spellStart"/>
            <w:r w:rsidRPr="00A537E3">
              <w:t>health</w:t>
            </w:r>
            <w:proofErr w:type="spellEnd"/>
            <w:r w:rsidRPr="00A537E3">
              <w:t xml:space="preserve"> and the </w:t>
            </w:r>
            <w:proofErr w:type="spellStart"/>
            <w:r w:rsidRPr="00A537E3">
              <w:t>requisite</w:t>
            </w:r>
            <w:proofErr w:type="spellEnd"/>
            <w:r w:rsidRPr="00A537E3">
              <w:t xml:space="preserve"> </w:t>
            </w:r>
            <w:proofErr w:type="spellStart"/>
            <w:r w:rsidRPr="00A537E3">
              <w:t>intent</w:t>
            </w:r>
            <w:proofErr w:type="spellEnd"/>
            <w:r w:rsidRPr="00A537E3">
              <w:t xml:space="preserve"> for first </w:t>
            </w:r>
            <w:proofErr w:type="spellStart"/>
            <w:r w:rsidRPr="00A537E3">
              <w:t>degree</w:t>
            </w:r>
            <w:proofErr w:type="spellEnd"/>
            <w:r w:rsidRPr="00A537E3">
              <w:t xml:space="preserve"> </w:t>
            </w:r>
            <w:proofErr w:type="spellStart"/>
            <w:r w:rsidRPr="00A537E3">
              <w:t>murder</w:t>
            </w:r>
            <w:proofErr w:type="spellEnd"/>
            <w:r w:rsidRPr="00A537E3">
              <w:t xml:space="preserve">. The second relates to </w:t>
            </w:r>
            <w:proofErr w:type="spellStart"/>
            <w:r w:rsidRPr="00A537E3">
              <w:t>evidence</w:t>
            </w:r>
            <w:proofErr w:type="spellEnd"/>
            <w:r w:rsidRPr="00A537E3">
              <w:t xml:space="preserve"> of </w:t>
            </w:r>
            <w:proofErr w:type="spellStart"/>
            <w:r w:rsidRPr="00A537E3">
              <w:t>after</w:t>
            </w:r>
            <w:proofErr w:type="spellEnd"/>
            <w:r w:rsidRPr="00A537E3">
              <w:t>-the-</w:t>
            </w:r>
            <w:proofErr w:type="spellStart"/>
            <w:r w:rsidRPr="00A537E3">
              <w:t>fact</w:t>
            </w:r>
            <w:proofErr w:type="spellEnd"/>
            <w:r w:rsidRPr="00A537E3">
              <w:t xml:space="preserve"> </w:t>
            </w:r>
            <w:proofErr w:type="spellStart"/>
            <w:r w:rsidRPr="00A537E3">
              <w:t>conduct</w:t>
            </w:r>
            <w:proofErr w:type="spellEnd"/>
            <w:r w:rsidRPr="00A537E3">
              <w:t xml:space="preserve">. </w:t>
            </w:r>
          </w:p>
          <w:p w:rsidR="00A537E3" w:rsidRPr="00A537E3" w:rsidRDefault="00A537E3" w:rsidP="0021221C">
            <w:pPr>
              <w:jc w:val="both"/>
            </w:pPr>
          </w:p>
          <w:p w:rsidR="00A537E3" w:rsidRPr="00A537E3" w:rsidRDefault="00A537E3" w:rsidP="0021221C">
            <w:pPr>
              <w:jc w:val="both"/>
            </w:pPr>
          </w:p>
          <w:p w:rsidR="00A537E3" w:rsidRPr="00A537E3" w:rsidRDefault="00A537E3" w:rsidP="0021221C">
            <w:pPr>
              <w:jc w:val="both"/>
            </w:pPr>
            <w:r w:rsidRPr="00A537E3">
              <w:t xml:space="preserve">A </w:t>
            </w:r>
            <w:proofErr w:type="spellStart"/>
            <w:r w:rsidRPr="00A537E3">
              <w:t>majority</w:t>
            </w:r>
            <w:proofErr w:type="spellEnd"/>
            <w:r w:rsidRPr="00A537E3">
              <w:t xml:space="preserve"> of </w:t>
            </w:r>
            <w:proofErr w:type="spellStart"/>
            <w:r w:rsidRPr="00A537E3">
              <w:t>this</w:t>
            </w:r>
            <w:proofErr w:type="spellEnd"/>
            <w:r w:rsidRPr="00A537E3">
              <w:t xml:space="preserve"> Court </w:t>
            </w:r>
            <w:proofErr w:type="spellStart"/>
            <w:r w:rsidRPr="00A537E3">
              <w:t>would</w:t>
            </w:r>
            <w:proofErr w:type="spellEnd"/>
            <w:r w:rsidRPr="00A537E3">
              <w:t xml:space="preserve"> </w:t>
            </w:r>
            <w:proofErr w:type="spellStart"/>
            <w:r w:rsidRPr="00A537E3">
              <w:t>allow</w:t>
            </w:r>
            <w:proofErr w:type="spellEnd"/>
            <w:r w:rsidRPr="00A537E3">
              <w:t xml:space="preserve"> the appeal on the </w:t>
            </w:r>
            <w:proofErr w:type="spellStart"/>
            <w:r w:rsidRPr="00A537E3">
              <w:t>ground</w:t>
            </w:r>
            <w:proofErr w:type="spellEnd"/>
            <w:r w:rsidRPr="00A537E3">
              <w:t xml:space="preserve"> </w:t>
            </w:r>
            <w:proofErr w:type="spellStart"/>
            <w:r w:rsidRPr="00A537E3">
              <w:t>relating</w:t>
            </w:r>
            <w:proofErr w:type="spellEnd"/>
            <w:r w:rsidRPr="00A537E3">
              <w:t xml:space="preserve"> to the </w:t>
            </w:r>
            <w:proofErr w:type="spellStart"/>
            <w:r w:rsidRPr="00A537E3">
              <w:t>requisite</w:t>
            </w:r>
            <w:proofErr w:type="spellEnd"/>
            <w:r w:rsidRPr="00A537E3">
              <w:t xml:space="preserve"> </w:t>
            </w:r>
            <w:proofErr w:type="spellStart"/>
            <w:r w:rsidRPr="00A537E3">
              <w:t>intent</w:t>
            </w:r>
            <w:proofErr w:type="spellEnd"/>
            <w:r w:rsidRPr="00A537E3">
              <w:t xml:space="preserve"> for </w:t>
            </w:r>
            <w:proofErr w:type="spellStart"/>
            <w:r w:rsidRPr="00A537E3">
              <w:t>murder</w:t>
            </w:r>
            <w:proofErr w:type="spellEnd"/>
            <w:r w:rsidRPr="00A537E3">
              <w:t xml:space="preserve"> and for first </w:t>
            </w:r>
            <w:proofErr w:type="spellStart"/>
            <w:r w:rsidRPr="00A537E3">
              <w:t>degree</w:t>
            </w:r>
            <w:proofErr w:type="spellEnd"/>
            <w:r w:rsidRPr="00A537E3">
              <w:t xml:space="preserve"> </w:t>
            </w:r>
            <w:proofErr w:type="spellStart"/>
            <w:r w:rsidRPr="00A537E3">
              <w:t>murder</w:t>
            </w:r>
            <w:proofErr w:type="spellEnd"/>
            <w:r w:rsidRPr="00A537E3">
              <w:t xml:space="preserve">, but not on the </w:t>
            </w:r>
            <w:proofErr w:type="spellStart"/>
            <w:r w:rsidRPr="00A537E3">
              <w:t>ground</w:t>
            </w:r>
            <w:proofErr w:type="spellEnd"/>
            <w:r w:rsidRPr="00A537E3">
              <w:t xml:space="preserve"> </w:t>
            </w:r>
            <w:proofErr w:type="spellStart"/>
            <w:r w:rsidRPr="00A537E3">
              <w:t>relating</w:t>
            </w:r>
            <w:proofErr w:type="spellEnd"/>
            <w:r w:rsidRPr="00A537E3">
              <w:t xml:space="preserve"> to </w:t>
            </w:r>
            <w:proofErr w:type="spellStart"/>
            <w:r w:rsidRPr="00A537E3">
              <w:t>after</w:t>
            </w:r>
            <w:proofErr w:type="spellEnd"/>
            <w:r w:rsidRPr="00A537E3">
              <w:t>-the-</w:t>
            </w:r>
            <w:proofErr w:type="spellStart"/>
            <w:r w:rsidRPr="00A537E3">
              <w:t>fact</w:t>
            </w:r>
            <w:proofErr w:type="spellEnd"/>
            <w:r w:rsidRPr="00A537E3">
              <w:t xml:space="preserve"> </w:t>
            </w:r>
            <w:proofErr w:type="spellStart"/>
            <w:r w:rsidRPr="00A537E3">
              <w:t>conduct</w:t>
            </w:r>
            <w:proofErr w:type="spellEnd"/>
            <w:r w:rsidRPr="00A537E3">
              <w:t xml:space="preserve">. As to the first </w:t>
            </w:r>
            <w:proofErr w:type="spellStart"/>
            <w:r w:rsidRPr="00A537E3">
              <w:t>ground</w:t>
            </w:r>
            <w:proofErr w:type="spellEnd"/>
            <w:r w:rsidRPr="00A537E3">
              <w:t xml:space="preserve">, </w:t>
            </w:r>
            <w:proofErr w:type="spellStart"/>
            <w:r w:rsidRPr="00A537E3">
              <w:t>we</w:t>
            </w:r>
            <w:proofErr w:type="spellEnd"/>
            <w:r w:rsidRPr="00A537E3">
              <w:t xml:space="preserve"> are in </w:t>
            </w:r>
            <w:proofErr w:type="spellStart"/>
            <w:r w:rsidRPr="00A537E3">
              <w:t>substantial</w:t>
            </w:r>
            <w:proofErr w:type="spellEnd"/>
            <w:r w:rsidRPr="00A537E3">
              <w:t xml:space="preserve"> agreement </w:t>
            </w:r>
            <w:proofErr w:type="spellStart"/>
            <w:r w:rsidRPr="00A537E3">
              <w:t>with</w:t>
            </w:r>
            <w:proofErr w:type="spellEnd"/>
            <w:r w:rsidRPr="00A537E3">
              <w:t xml:space="preserve"> the </w:t>
            </w:r>
            <w:proofErr w:type="spellStart"/>
            <w:r w:rsidRPr="00A537E3">
              <w:t>reasons</w:t>
            </w:r>
            <w:proofErr w:type="spellEnd"/>
            <w:r w:rsidRPr="00A537E3">
              <w:t xml:space="preserve"> of Justice Nordheimer. As to the second </w:t>
            </w:r>
            <w:proofErr w:type="spellStart"/>
            <w:r w:rsidRPr="00A537E3">
              <w:t>ground</w:t>
            </w:r>
            <w:proofErr w:type="spellEnd"/>
            <w:r w:rsidRPr="00A537E3">
              <w:t xml:space="preserve">, </w:t>
            </w:r>
            <w:proofErr w:type="spellStart"/>
            <w:r w:rsidRPr="00A537E3">
              <w:t>we</w:t>
            </w:r>
            <w:proofErr w:type="spellEnd"/>
            <w:r w:rsidRPr="00A537E3">
              <w:t xml:space="preserve"> are in </w:t>
            </w:r>
            <w:proofErr w:type="spellStart"/>
            <w:r w:rsidRPr="00A537E3">
              <w:t>substantial</w:t>
            </w:r>
            <w:proofErr w:type="spellEnd"/>
            <w:r w:rsidRPr="00A537E3">
              <w:t xml:space="preserve"> agreement </w:t>
            </w:r>
            <w:proofErr w:type="spellStart"/>
            <w:r w:rsidRPr="00A537E3">
              <w:t>with</w:t>
            </w:r>
            <w:proofErr w:type="spellEnd"/>
            <w:r w:rsidRPr="00A537E3">
              <w:t xml:space="preserve"> the </w:t>
            </w:r>
            <w:proofErr w:type="spellStart"/>
            <w:r w:rsidRPr="00A537E3">
              <w:t>reasons</w:t>
            </w:r>
            <w:proofErr w:type="spellEnd"/>
            <w:r w:rsidRPr="00A537E3">
              <w:t xml:space="preserve"> of the Ontario Court of Appeal </w:t>
            </w:r>
            <w:proofErr w:type="spellStart"/>
            <w:r w:rsidRPr="00A537E3">
              <w:t>majority</w:t>
            </w:r>
            <w:proofErr w:type="spellEnd"/>
            <w:r w:rsidRPr="00A537E3">
              <w:t xml:space="preserve">. </w:t>
            </w:r>
            <w:proofErr w:type="spellStart"/>
            <w:r w:rsidRPr="00A537E3">
              <w:t>We</w:t>
            </w:r>
            <w:proofErr w:type="spellEnd"/>
            <w:r w:rsidRPr="00A537E3">
              <w:t xml:space="preserve"> </w:t>
            </w:r>
            <w:proofErr w:type="spellStart"/>
            <w:r w:rsidRPr="00A537E3">
              <w:t>would</w:t>
            </w:r>
            <w:proofErr w:type="spellEnd"/>
            <w:r w:rsidRPr="00A537E3">
              <w:t xml:space="preserve"> </w:t>
            </w:r>
            <w:proofErr w:type="spellStart"/>
            <w:r w:rsidRPr="00A537E3">
              <w:t>add</w:t>
            </w:r>
            <w:proofErr w:type="spellEnd"/>
            <w:r w:rsidRPr="00A537E3">
              <w:t xml:space="preserve"> the </w:t>
            </w:r>
            <w:proofErr w:type="spellStart"/>
            <w:r w:rsidRPr="00A537E3">
              <w:t>following</w:t>
            </w:r>
            <w:proofErr w:type="spellEnd"/>
            <w:r w:rsidRPr="00A537E3">
              <w:t xml:space="preserve"> comment. </w:t>
            </w:r>
          </w:p>
          <w:p w:rsidR="00A537E3" w:rsidRPr="00A537E3" w:rsidRDefault="00A537E3" w:rsidP="0021221C">
            <w:pPr>
              <w:jc w:val="both"/>
            </w:pPr>
          </w:p>
          <w:p w:rsidR="00A537E3" w:rsidRPr="00A537E3" w:rsidRDefault="00A537E3" w:rsidP="0021221C">
            <w:pPr>
              <w:jc w:val="both"/>
            </w:pPr>
          </w:p>
          <w:p w:rsidR="00A537E3" w:rsidRPr="00A537E3" w:rsidRDefault="00A537E3" w:rsidP="0021221C">
            <w:pPr>
              <w:jc w:val="both"/>
            </w:pPr>
            <w:r w:rsidRPr="00A537E3">
              <w:t xml:space="preserve">As has been </w:t>
            </w:r>
            <w:proofErr w:type="spellStart"/>
            <w:r w:rsidRPr="00A537E3">
              <w:t>stated</w:t>
            </w:r>
            <w:proofErr w:type="spellEnd"/>
            <w:r w:rsidRPr="00A537E3">
              <w:t xml:space="preserve"> on </w:t>
            </w:r>
            <w:proofErr w:type="spellStart"/>
            <w:r w:rsidRPr="00A537E3">
              <w:t>many</w:t>
            </w:r>
            <w:proofErr w:type="spellEnd"/>
            <w:r w:rsidRPr="00A537E3">
              <w:t xml:space="preserve"> occasions, and </w:t>
            </w:r>
            <w:proofErr w:type="spellStart"/>
            <w:r w:rsidRPr="00A537E3">
              <w:t>we</w:t>
            </w:r>
            <w:proofErr w:type="spellEnd"/>
            <w:r w:rsidRPr="00A537E3">
              <w:t xml:space="preserve"> </w:t>
            </w:r>
            <w:proofErr w:type="spellStart"/>
            <w:r w:rsidRPr="00A537E3">
              <w:t>repeat</w:t>
            </w:r>
            <w:proofErr w:type="spellEnd"/>
            <w:r w:rsidRPr="00A537E3">
              <w:t xml:space="preserve"> </w:t>
            </w:r>
            <w:proofErr w:type="spellStart"/>
            <w:r w:rsidRPr="00A537E3">
              <w:t>here</w:t>
            </w:r>
            <w:proofErr w:type="spellEnd"/>
            <w:r w:rsidRPr="00A537E3">
              <w:t xml:space="preserve">, courts </w:t>
            </w:r>
            <w:proofErr w:type="spellStart"/>
            <w:r w:rsidRPr="00A537E3">
              <w:t>need</w:t>
            </w:r>
            <w:proofErr w:type="spellEnd"/>
            <w:r w:rsidRPr="00A537E3">
              <w:t xml:space="preserve"> to </w:t>
            </w:r>
            <w:proofErr w:type="spellStart"/>
            <w:r w:rsidRPr="00A537E3">
              <w:t>be</w:t>
            </w:r>
            <w:proofErr w:type="spellEnd"/>
            <w:r w:rsidRPr="00A537E3">
              <w:t xml:space="preserve"> </w:t>
            </w:r>
            <w:proofErr w:type="spellStart"/>
            <w:r w:rsidRPr="00A537E3">
              <w:t>mindful</w:t>
            </w:r>
            <w:proofErr w:type="spellEnd"/>
            <w:r w:rsidRPr="00A537E3">
              <w:t xml:space="preserve"> of </w:t>
            </w:r>
            <w:proofErr w:type="spellStart"/>
            <w:r w:rsidRPr="00A537E3">
              <w:t>evidence</w:t>
            </w:r>
            <w:proofErr w:type="spellEnd"/>
            <w:r w:rsidRPr="00A537E3">
              <w:t xml:space="preserve"> as to mental </w:t>
            </w:r>
            <w:proofErr w:type="spellStart"/>
            <w:r w:rsidRPr="00A537E3">
              <w:t>health</w:t>
            </w:r>
            <w:proofErr w:type="spellEnd"/>
            <w:r w:rsidRPr="00A537E3">
              <w:t xml:space="preserve"> </w:t>
            </w:r>
            <w:proofErr w:type="spellStart"/>
            <w:r w:rsidRPr="00A537E3">
              <w:t>where</w:t>
            </w:r>
            <w:proofErr w:type="spellEnd"/>
            <w:r w:rsidRPr="00A537E3">
              <w:t xml:space="preserve"> </w:t>
            </w:r>
            <w:proofErr w:type="spellStart"/>
            <w:r w:rsidRPr="00A537E3">
              <w:t>this</w:t>
            </w:r>
            <w:proofErr w:type="spellEnd"/>
            <w:r w:rsidRPr="00A537E3">
              <w:t xml:space="preserve"> is relevant to issues of </w:t>
            </w:r>
            <w:proofErr w:type="spellStart"/>
            <w:r w:rsidRPr="00A537E3">
              <w:t>criminal</w:t>
            </w:r>
            <w:proofErr w:type="spellEnd"/>
            <w:r w:rsidRPr="00A537E3">
              <w:t xml:space="preserve"> </w:t>
            </w:r>
            <w:proofErr w:type="spellStart"/>
            <w:r w:rsidRPr="00A537E3">
              <w:t>responsibility</w:t>
            </w:r>
            <w:proofErr w:type="spellEnd"/>
            <w:r w:rsidRPr="00A537E3">
              <w:t xml:space="preserve">. This is </w:t>
            </w:r>
            <w:proofErr w:type="spellStart"/>
            <w:r w:rsidRPr="00A537E3">
              <w:t>especially</w:t>
            </w:r>
            <w:proofErr w:type="spellEnd"/>
            <w:r w:rsidRPr="00A537E3">
              <w:t xml:space="preserve"> </w:t>
            </w:r>
            <w:proofErr w:type="spellStart"/>
            <w:r w:rsidRPr="00A537E3">
              <w:t>so</w:t>
            </w:r>
            <w:proofErr w:type="spellEnd"/>
            <w:r w:rsidRPr="00A537E3">
              <w:t xml:space="preserve"> in </w:t>
            </w:r>
            <w:proofErr w:type="spellStart"/>
            <w:r w:rsidRPr="00A537E3">
              <w:t>instructing</w:t>
            </w:r>
            <w:proofErr w:type="spellEnd"/>
            <w:r w:rsidRPr="00A537E3">
              <w:t xml:space="preserve"> a jury, to </w:t>
            </w:r>
            <w:proofErr w:type="spellStart"/>
            <w:r w:rsidRPr="00A537E3">
              <w:t>assist</w:t>
            </w:r>
            <w:proofErr w:type="spellEnd"/>
            <w:r w:rsidRPr="00A537E3">
              <w:t xml:space="preserve"> </w:t>
            </w:r>
            <w:proofErr w:type="spellStart"/>
            <w:r w:rsidRPr="00A537E3">
              <w:t>them</w:t>
            </w:r>
            <w:proofErr w:type="spellEnd"/>
            <w:r w:rsidRPr="00A537E3">
              <w:t xml:space="preserve"> in the </w:t>
            </w:r>
            <w:proofErr w:type="spellStart"/>
            <w:r w:rsidRPr="00A537E3">
              <w:t>proper</w:t>
            </w:r>
            <w:proofErr w:type="spellEnd"/>
            <w:r w:rsidRPr="00A537E3">
              <w:t xml:space="preserve"> use of </w:t>
            </w:r>
            <w:proofErr w:type="spellStart"/>
            <w:r w:rsidRPr="00A537E3">
              <w:t>such</w:t>
            </w:r>
            <w:proofErr w:type="spellEnd"/>
            <w:r w:rsidRPr="00A537E3">
              <w:t xml:space="preserve"> </w:t>
            </w:r>
            <w:proofErr w:type="spellStart"/>
            <w:r w:rsidRPr="00A537E3">
              <w:t>evidence</w:t>
            </w:r>
            <w:proofErr w:type="spellEnd"/>
            <w:r w:rsidRPr="00A537E3">
              <w:t xml:space="preserve">. </w:t>
            </w:r>
          </w:p>
          <w:p w:rsidR="00A537E3" w:rsidRPr="00A537E3" w:rsidRDefault="00A537E3" w:rsidP="0021221C">
            <w:pPr>
              <w:jc w:val="both"/>
            </w:pPr>
          </w:p>
          <w:p w:rsidR="00A537E3" w:rsidRPr="00A537E3" w:rsidRDefault="00A537E3" w:rsidP="0021221C">
            <w:pPr>
              <w:jc w:val="both"/>
            </w:pPr>
          </w:p>
          <w:p w:rsidR="00A537E3" w:rsidRPr="00A537E3" w:rsidRDefault="00A537E3" w:rsidP="0021221C">
            <w:pPr>
              <w:jc w:val="both"/>
            </w:pPr>
            <w:proofErr w:type="spellStart"/>
            <w:r w:rsidRPr="00A537E3">
              <w:t>Accordingly</w:t>
            </w:r>
            <w:proofErr w:type="spellEnd"/>
            <w:r w:rsidRPr="00A537E3">
              <w:t xml:space="preserve">, the appeal is allowed, the conviction is set </w:t>
            </w:r>
            <w:proofErr w:type="spellStart"/>
            <w:r w:rsidRPr="00A537E3">
              <w:t>aside</w:t>
            </w:r>
            <w:proofErr w:type="spellEnd"/>
            <w:r w:rsidRPr="00A537E3">
              <w:t xml:space="preserve"> and a new trial is </w:t>
            </w:r>
            <w:proofErr w:type="spellStart"/>
            <w:r w:rsidRPr="00A537E3">
              <w:t>ordered</w:t>
            </w:r>
            <w:proofErr w:type="spellEnd"/>
            <w:r w:rsidRPr="00A537E3">
              <w:t xml:space="preserve">. </w:t>
            </w:r>
          </w:p>
          <w:p w:rsidR="00A537E3" w:rsidRPr="00A537E3" w:rsidRDefault="00A537E3" w:rsidP="0021221C">
            <w:pPr>
              <w:jc w:val="both"/>
            </w:pPr>
          </w:p>
          <w:p w:rsidR="00A537E3" w:rsidRPr="00A537E3" w:rsidRDefault="00A537E3" w:rsidP="0021221C">
            <w:pPr>
              <w:jc w:val="both"/>
              <w:rPr>
                <w:rFonts w:cs="Times New Roman"/>
              </w:rPr>
            </w:pPr>
            <w:r w:rsidRPr="00A537E3">
              <w:rPr>
                <w:smallCaps/>
              </w:rPr>
              <w:t>Kasirer J.</w:t>
            </w:r>
            <w:r w:rsidRPr="00A537E3">
              <w:t xml:space="preserve"> </w:t>
            </w:r>
            <w:r w:rsidRPr="00A537E3">
              <w:rPr>
                <w:rFonts w:cs="Times New Roman"/>
              </w:rPr>
              <w:t xml:space="preserve">— I </w:t>
            </w:r>
            <w:proofErr w:type="spellStart"/>
            <w:r w:rsidRPr="00A537E3">
              <w:rPr>
                <w:rFonts w:cs="Times New Roman"/>
              </w:rPr>
              <w:t>would</w:t>
            </w:r>
            <w:proofErr w:type="spellEnd"/>
            <w:r w:rsidRPr="00A537E3">
              <w:rPr>
                <w:rFonts w:cs="Times New Roman"/>
              </w:rPr>
              <w:t xml:space="preserve"> </w:t>
            </w:r>
            <w:proofErr w:type="spellStart"/>
            <w:r w:rsidRPr="00A537E3">
              <w:rPr>
                <w:rFonts w:cs="Times New Roman"/>
              </w:rPr>
              <w:t>dismiss</w:t>
            </w:r>
            <w:proofErr w:type="spellEnd"/>
            <w:r w:rsidRPr="00A537E3">
              <w:rPr>
                <w:rFonts w:cs="Times New Roman"/>
              </w:rPr>
              <w:t xml:space="preserve"> the appeal. I </w:t>
            </w:r>
            <w:proofErr w:type="spellStart"/>
            <w:r w:rsidRPr="00A537E3">
              <w:rPr>
                <w:rFonts w:cs="Times New Roman"/>
              </w:rPr>
              <w:t>allow</w:t>
            </w:r>
            <w:proofErr w:type="spellEnd"/>
            <w:r w:rsidRPr="00A537E3">
              <w:rPr>
                <w:rFonts w:cs="Times New Roman"/>
              </w:rPr>
              <w:t xml:space="preserve"> </w:t>
            </w:r>
            <w:proofErr w:type="spellStart"/>
            <w:r w:rsidRPr="00A537E3">
              <w:rPr>
                <w:rFonts w:cs="Times New Roman"/>
              </w:rPr>
              <w:t>myself</w:t>
            </w:r>
            <w:proofErr w:type="spellEnd"/>
            <w:r w:rsidRPr="00A537E3">
              <w:rPr>
                <w:rFonts w:cs="Times New Roman"/>
              </w:rPr>
              <w:t xml:space="preserve"> </w:t>
            </w:r>
            <w:proofErr w:type="spellStart"/>
            <w:r w:rsidRPr="00A537E3">
              <w:rPr>
                <w:rFonts w:cs="Times New Roman"/>
              </w:rPr>
              <w:t>two</w:t>
            </w:r>
            <w:proofErr w:type="spellEnd"/>
            <w:r w:rsidRPr="00A537E3">
              <w:rPr>
                <w:rFonts w:cs="Times New Roman"/>
              </w:rPr>
              <w:t xml:space="preserve"> observations.</w:t>
            </w:r>
          </w:p>
          <w:p w:rsidR="00A537E3" w:rsidRPr="00A537E3" w:rsidRDefault="00A537E3" w:rsidP="0021221C">
            <w:pPr>
              <w:jc w:val="both"/>
              <w:rPr>
                <w:rFonts w:cs="Times New Roman"/>
              </w:rPr>
            </w:pPr>
          </w:p>
          <w:p w:rsidR="00A537E3" w:rsidRPr="00A537E3" w:rsidRDefault="00A537E3" w:rsidP="0021221C">
            <w:pPr>
              <w:jc w:val="both"/>
              <w:rPr>
                <w:rFonts w:cs="Times New Roman"/>
              </w:rPr>
            </w:pPr>
            <w:r w:rsidRPr="00A537E3">
              <w:rPr>
                <w:rFonts w:cs="Times New Roman"/>
              </w:rPr>
              <w:t xml:space="preserve">First, I </w:t>
            </w:r>
            <w:proofErr w:type="spellStart"/>
            <w:r w:rsidRPr="00A537E3">
              <w:rPr>
                <w:rFonts w:cs="Times New Roman"/>
              </w:rPr>
              <w:t>agree</w:t>
            </w:r>
            <w:proofErr w:type="spellEnd"/>
            <w:r w:rsidRPr="00A537E3">
              <w:rPr>
                <w:rFonts w:cs="Times New Roman"/>
              </w:rPr>
              <w:t xml:space="preserve"> </w:t>
            </w:r>
            <w:proofErr w:type="spellStart"/>
            <w:r w:rsidRPr="00A537E3">
              <w:rPr>
                <w:rFonts w:cs="Times New Roman"/>
              </w:rPr>
              <w:t>with</w:t>
            </w:r>
            <w:proofErr w:type="spellEnd"/>
            <w:r w:rsidRPr="00A537E3">
              <w:rPr>
                <w:rFonts w:cs="Times New Roman"/>
              </w:rPr>
              <w:t xml:space="preserve"> </w:t>
            </w:r>
            <w:proofErr w:type="spellStart"/>
            <w:r w:rsidRPr="00A537E3">
              <w:rPr>
                <w:rFonts w:cs="Times New Roman"/>
              </w:rPr>
              <w:t>my</w:t>
            </w:r>
            <w:proofErr w:type="spellEnd"/>
            <w:r w:rsidRPr="00A537E3">
              <w:rPr>
                <w:rFonts w:cs="Times New Roman"/>
              </w:rPr>
              <w:t xml:space="preserve"> </w:t>
            </w:r>
            <w:proofErr w:type="spellStart"/>
            <w:r w:rsidRPr="00A537E3">
              <w:rPr>
                <w:rFonts w:cs="Times New Roman"/>
              </w:rPr>
              <w:t>colleagues</w:t>
            </w:r>
            <w:proofErr w:type="spellEnd"/>
            <w:r w:rsidRPr="00A537E3">
              <w:rPr>
                <w:rFonts w:cs="Times New Roman"/>
              </w:rPr>
              <w:t xml:space="preserve"> </w:t>
            </w:r>
            <w:proofErr w:type="spellStart"/>
            <w:r w:rsidRPr="00A537E3">
              <w:rPr>
                <w:rFonts w:cs="Times New Roman"/>
              </w:rPr>
              <w:t>that</w:t>
            </w:r>
            <w:proofErr w:type="spellEnd"/>
            <w:r w:rsidRPr="00A537E3">
              <w:rPr>
                <w:rFonts w:cs="Times New Roman"/>
              </w:rPr>
              <w:t xml:space="preserve"> courts </w:t>
            </w:r>
            <w:proofErr w:type="spellStart"/>
            <w:r w:rsidRPr="00A537E3">
              <w:rPr>
                <w:rFonts w:cs="Times New Roman"/>
              </w:rPr>
              <w:t>need</w:t>
            </w:r>
            <w:proofErr w:type="spellEnd"/>
            <w:r w:rsidRPr="00A537E3">
              <w:rPr>
                <w:rFonts w:cs="Times New Roman"/>
              </w:rPr>
              <w:t xml:space="preserve"> to </w:t>
            </w:r>
            <w:proofErr w:type="spellStart"/>
            <w:r w:rsidRPr="00A537E3">
              <w:rPr>
                <w:rFonts w:cs="Times New Roman"/>
              </w:rPr>
              <w:t>be</w:t>
            </w:r>
            <w:proofErr w:type="spellEnd"/>
            <w:r w:rsidRPr="00A537E3">
              <w:rPr>
                <w:rFonts w:cs="Times New Roman"/>
              </w:rPr>
              <w:t xml:space="preserve"> </w:t>
            </w:r>
            <w:proofErr w:type="spellStart"/>
            <w:r w:rsidRPr="00A537E3">
              <w:rPr>
                <w:rFonts w:cs="Times New Roman"/>
              </w:rPr>
              <w:t>mindful</w:t>
            </w:r>
            <w:proofErr w:type="spellEnd"/>
            <w:r w:rsidRPr="00A537E3">
              <w:rPr>
                <w:rFonts w:cs="Times New Roman"/>
              </w:rPr>
              <w:t xml:space="preserve"> of mental </w:t>
            </w:r>
            <w:proofErr w:type="spellStart"/>
            <w:r w:rsidRPr="00A537E3">
              <w:rPr>
                <w:rFonts w:cs="Times New Roman"/>
              </w:rPr>
              <w:t>health</w:t>
            </w:r>
            <w:proofErr w:type="spellEnd"/>
            <w:r w:rsidRPr="00A537E3">
              <w:rPr>
                <w:rFonts w:cs="Times New Roman"/>
              </w:rPr>
              <w:t xml:space="preserve"> </w:t>
            </w:r>
            <w:proofErr w:type="spellStart"/>
            <w:r w:rsidRPr="00A537E3">
              <w:rPr>
                <w:rFonts w:cs="Times New Roman"/>
              </w:rPr>
              <w:t>evidence</w:t>
            </w:r>
            <w:proofErr w:type="spellEnd"/>
            <w:r w:rsidRPr="00A537E3">
              <w:rPr>
                <w:rFonts w:cs="Times New Roman"/>
              </w:rPr>
              <w:t xml:space="preserve"> in </w:t>
            </w:r>
            <w:proofErr w:type="spellStart"/>
            <w:r w:rsidRPr="00A537E3">
              <w:rPr>
                <w:rFonts w:cs="Times New Roman"/>
              </w:rPr>
              <w:t>criminal</w:t>
            </w:r>
            <w:proofErr w:type="spellEnd"/>
            <w:r w:rsidRPr="00A537E3">
              <w:rPr>
                <w:rFonts w:cs="Times New Roman"/>
              </w:rPr>
              <w:t xml:space="preserve"> </w:t>
            </w:r>
            <w:proofErr w:type="spellStart"/>
            <w:r w:rsidRPr="00A537E3">
              <w:rPr>
                <w:rFonts w:cs="Times New Roman"/>
              </w:rPr>
              <w:t>matters</w:t>
            </w:r>
            <w:proofErr w:type="spellEnd"/>
            <w:r w:rsidRPr="00A537E3">
              <w:rPr>
                <w:rFonts w:cs="Times New Roman"/>
              </w:rPr>
              <w:t xml:space="preserve">, </w:t>
            </w:r>
            <w:proofErr w:type="spellStart"/>
            <w:r w:rsidRPr="00A537E3">
              <w:rPr>
                <w:rFonts w:cs="Times New Roman"/>
              </w:rPr>
              <w:t>including</w:t>
            </w:r>
            <w:proofErr w:type="spellEnd"/>
            <w:r w:rsidRPr="00A537E3">
              <w:rPr>
                <w:rFonts w:cs="Times New Roman"/>
              </w:rPr>
              <w:t xml:space="preserve"> in instructions to the jury. As the </w:t>
            </w:r>
            <w:proofErr w:type="spellStart"/>
            <w:r w:rsidRPr="00A537E3">
              <w:rPr>
                <w:rFonts w:cs="Times New Roman"/>
              </w:rPr>
              <w:t>majority</w:t>
            </w:r>
            <w:proofErr w:type="spellEnd"/>
            <w:r w:rsidRPr="00A537E3">
              <w:rPr>
                <w:rFonts w:cs="Times New Roman"/>
              </w:rPr>
              <w:t xml:space="preserve"> in the Court of Appeal </w:t>
            </w:r>
            <w:proofErr w:type="spellStart"/>
            <w:r w:rsidRPr="00A537E3">
              <w:rPr>
                <w:rFonts w:cs="Times New Roman"/>
              </w:rPr>
              <w:t>wrote</w:t>
            </w:r>
            <w:proofErr w:type="spellEnd"/>
            <w:r w:rsidRPr="00A537E3">
              <w:rPr>
                <w:rFonts w:cs="Times New Roman"/>
              </w:rPr>
              <w:t xml:space="preserve">, </w:t>
            </w:r>
            <w:proofErr w:type="spellStart"/>
            <w:r w:rsidRPr="00A537E3">
              <w:rPr>
                <w:rFonts w:cs="Times New Roman"/>
              </w:rPr>
              <w:t>there</w:t>
            </w:r>
            <w:proofErr w:type="spellEnd"/>
            <w:r w:rsidRPr="00A537E3">
              <w:rPr>
                <w:rFonts w:cs="Times New Roman"/>
              </w:rPr>
              <w:t xml:space="preserve"> is no question </w:t>
            </w:r>
            <w:proofErr w:type="spellStart"/>
            <w:r w:rsidRPr="00A537E3">
              <w:rPr>
                <w:rFonts w:cs="Times New Roman"/>
              </w:rPr>
              <w:t>that</w:t>
            </w:r>
            <w:proofErr w:type="spellEnd"/>
            <w:r w:rsidRPr="00A537E3">
              <w:rPr>
                <w:rFonts w:cs="Times New Roman"/>
              </w:rPr>
              <w:t xml:space="preserve"> </w:t>
            </w:r>
            <w:proofErr w:type="spellStart"/>
            <w:r w:rsidRPr="00A537E3">
              <w:rPr>
                <w:rFonts w:cs="Times New Roman"/>
              </w:rPr>
              <w:t>evidence</w:t>
            </w:r>
            <w:proofErr w:type="spellEnd"/>
            <w:r w:rsidRPr="00A537E3">
              <w:rPr>
                <w:rFonts w:cs="Times New Roman"/>
              </w:rPr>
              <w:t xml:space="preserve"> of mental </w:t>
            </w:r>
            <w:proofErr w:type="spellStart"/>
            <w:r w:rsidRPr="00A537E3">
              <w:rPr>
                <w:rFonts w:cs="Times New Roman"/>
              </w:rPr>
              <w:t>health</w:t>
            </w:r>
            <w:proofErr w:type="spellEnd"/>
            <w:r w:rsidRPr="00A537E3">
              <w:rPr>
                <w:rFonts w:cs="Times New Roman"/>
              </w:rPr>
              <w:t xml:space="preserve"> </w:t>
            </w:r>
            <w:proofErr w:type="spellStart"/>
            <w:r w:rsidRPr="00A537E3">
              <w:rPr>
                <w:rFonts w:cs="Times New Roman"/>
              </w:rPr>
              <w:t>problems</w:t>
            </w:r>
            <w:proofErr w:type="spellEnd"/>
            <w:r w:rsidRPr="00A537E3">
              <w:rPr>
                <w:rFonts w:cs="Times New Roman"/>
              </w:rPr>
              <w:t xml:space="preserve"> </w:t>
            </w:r>
            <w:proofErr w:type="spellStart"/>
            <w:r w:rsidRPr="00A537E3">
              <w:rPr>
                <w:rFonts w:cs="Times New Roman"/>
              </w:rPr>
              <w:t>may</w:t>
            </w:r>
            <w:proofErr w:type="spellEnd"/>
            <w:r w:rsidRPr="00A537E3">
              <w:rPr>
                <w:rFonts w:cs="Times New Roman"/>
              </w:rPr>
              <w:t xml:space="preserve"> </w:t>
            </w:r>
            <w:proofErr w:type="spellStart"/>
            <w:r w:rsidRPr="00A537E3">
              <w:rPr>
                <w:rFonts w:cs="Times New Roman"/>
              </w:rPr>
              <w:t>be</w:t>
            </w:r>
            <w:proofErr w:type="spellEnd"/>
            <w:r w:rsidRPr="00A537E3">
              <w:rPr>
                <w:rFonts w:cs="Times New Roman"/>
              </w:rPr>
              <w:t xml:space="preserve"> relevant to issues of </w:t>
            </w:r>
            <w:proofErr w:type="spellStart"/>
            <w:r w:rsidRPr="00A537E3">
              <w:rPr>
                <w:rFonts w:cs="Times New Roman"/>
              </w:rPr>
              <w:t>intent</w:t>
            </w:r>
            <w:proofErr w:type="spellEnd"/>
            <w:r w:rsidRPr="00A537E3">
              <w:rPr>
                <w:rFonts w:cs="Times New Roman"/>
              </w:rPr>
              <w:t xml:space="preserve"> and planning and </w:t>
            </w:r>
            <w:proofErr w:type="spellStart"/>
            <w:r w:rsidRPr="00A537E3">
              <w:rPr>
                <w:rFonts w:cs="Times New Roman"/>
              </w:rPr>
              <w:t>deliberation</w:t>
            </w:r>
            <w:proofErr w:type="spellEnd"/>
            <w:r w:rsidRPr="00A537E3">
              <w:rPr>
                <w:rFonts w:cs="Times New Roman"/>
              </w:rPr>
              <w:t xml:space="preserve">, </w:t>
            </w:r>
            <w:proofErr w:type="spellStart"/>
            <w:r w:rsidRPr="00A537E3">
              <w:rPr>
                <w:rFonts w:cs="Times New Roman"/>
              </w:rPr>
              <w:t>including</w:t>
            </w:r>
            <w:proofErr w:type="spellEnd"/>
            <w:r w:rsidRPr="00A537E3">
              <w:rPr>
                <w:rFonts w:cs="Times New Roman"/>
              </w:rPr>
              <w:t xml:space="preserve"> in an </w:t>
            </w:r>
            <w:proofErr w:type="spellStart"/>
            <w:r w:rsidRPr="00A537E3">
              <w:rPr>
                <w:rFonts w:cs="Times New Roman"/>
              </w:rPr>
              <w:t>assessment</w:t>
            </w:r>
            <w:proofErr w:type="spellEnd"/>
            <w:r w:rsidRPr="00A537E3">
              <w:rPr>
                <w:rFonts w:cs="Times New Roman"/>
              </w:rPr>
              <w:t xml:space="preserve"> of the </w:t>
            </w:r>
            <w:proofErr w:type="spellStart"/>
            <w:r w:rsidRPr="00A537E3">
              <w:rPr>
                <w:rFonts w:cs="Times New Roman"/>
              </w:rPr>
              <w:t>adequacy</w:t>
            </w:r>
            <w:proofErr w:type="spellEnd"/>
            <w:r w:rsidRPr="00A537E3">
              <w:rPr>
                <w:rFonts w:cs="Times New Roman"/>
              </w:rPr>
              <w:t xml:space="preserve"> of a jury charge (see paras. 41 and 44-48).</w:t>
            </w:r>
          </w:p>
          <w:p w:rsidR="00A537E3" w:rsidRPr="00A537E3" w:rsidRDefault="00A537E3" w:rsidP="0021221C">
            <w:pPr>
              <w:jc w:val="both"/>
              <w:rPr>
                <w:rFonts w:cs="Times New Roman"/>
              </w:rPr>
            </w:pPr>
          </w:p>
          <w:p w:rsidR="00A537E3" w:rsidRPr="00A537E3" w:rsidRDefault="00A537E3" w:rsidP="0021221C">
            <w:pPr>
              <w:jc w:val="both"/>
              <w:rPr>
                <w:rFonts w:cs="Times New Roman"/>
              </w:rPr>
            </w:pPr>
            <w:bookmarkStart w:id="1" w:name="_GoBack"/>
            <w:bookmarkEnd w:id="1"/>
          </w:p>
          <w:p w:rsidR="00A537E3" w:rsidRPr="00A537E3" w:rsidRDefault="00A537E3" w:rsidP="0021221C">
            <w:pPr>
              <w:jc w:val="both"/>
            </w:pPr>
            <w:r w:rsidRPr="00A537E3">
              <w:rPr>
                <w:rFonts w:cs="Times New Roman"/>
              </w:rPr>
              <w:t xml:space="preserve">Second, and </w:t>
            </w:r>
            <w:proofErr w:type="spellStart"/>
            <w:r w:rsidRPr="00A537E3">
              <w:rPr>
                <w:rFonts w:cs="Times New Roman"/>
              </w:rPr>
              <w:t>with</w:t>
            </w:r>
            <w:proofErr w:type="spellEnd"/>
            <w:r w:rsidRPr="00A537E3">
              <w:rPr>
                <w:rFonts w:cs="Times New Roman"/>
              </w:rPr>
              <w:t xml:space="preserve"> the </w:t>
            </w:r>
            <w:proofErr w:type="spellStart"/>
            <w:r w:rsidRPr="00A537E3">
              <w:rPr>
                <w:rFonts w:cs="Times New Roman"/>
              </w:rPr>
              <w:t>utmost</w:t>
            </w:r>
            <w:proofErr w:type="spellEnd"/>
            <w:r w:rsidRPr="00A537E3">
              <w:rPr>
                <w:rFonts w:cs="Times New Roman"/>
              </w:rPr>
              <w:t xml:space="preserve"> respect for </w:t>
            </w:r>
            <w:proofErr w:type="spellStart"/>
            <w:r w:rsidRPr="00A537E3">
              <w:rPr>
                <w:rFonts w:cs="Times New Roman"/>
              </w:rPr>
              <w:t>other</w:t>
            </w:r>
            <w:proofErr w:type="spellEnd"/>
            <w:r w:rsidRPr="00A537E3">
              <w:rPr>
                <w:rFonts w:cs="Times New Roman"/>
              </w:rPr>
              <w:t xml:space="preserve"> </w:t>
            </w:r>
            <w:proofErr w:type="spellStart"/>
            <w:r w:rsidRPr="00A537E3">
              <w:rPr>
                <w:rFonts w:cs="Times New Roman"/>
              </w:rPr>
              <w:t>views</w:t>
            </w:r>
            <w:proofErr w:type="spellEnd"/>
            <w:r w:rsidRPr="00A537E3">
              <w:rPr>
                <w:rFonts w:cs="Times New Roman"/>
              </w:rPr>
              <w:t xml:space="preserve">, I </w:t>
            </w:r>
            <w:proofErr w:type="spellStart"/>
            <w:r w:rsidRPr="00A537E3">
              <w:rPr>
                <w:rFonts w:cs="Times New Roman"/>
              </w:rPr>
              <w:t>conclude</w:t>
            </w:r>
            <w:proofErr w:type="spellEnd"/>
            <w:r w:rsidRPr="00A537E3">
              <w:rPr>
                <w:rFonts w:cs="Times New Roman"/>
              </w:rPr>
              <w:t xml:space="preserve"> </w:t>
            </w:r>
            <w:proofErr w:type="spellStart"/>
            <w:r w:rsidRPr="00A537E3">
              <w:rPr>
                <w:rFonts w:cs="Times New Roman"/>
              </w:rPr>
              <w:t>that</w:t>
            </w:r>
            <w:proofErr w:type="spellEnd"/>
            <w:r w:rsidRPr="00A537E3">
              <w:rPr>
                <w:rFonts w:cs="Times New Roman"/>
              </w:rPr>
              <w:t xml:space="preserve"> the trial </w:t>
            </w:r>
            <w:proofErr w:type="spellStart"/>
            <w:r w:rsidRPr="00A537E3">
              <w:rPr>
                <w:rFonts w:cs="Times New Roman"/>
              </w:rPr>
              <w:t>judge’s</w:t>
            </w:r>
            <w:proofErr w:type="spellEnd"/>
            <w:r w:rsidRPr="00A537E3">
              <w:rPr>
                <w:rFonts w:cs="Times New Roman"/>
              </w:rPr>
              <w:t xml:space="preserve"> charge </w:t>
            </w:r>
            <w:proofErr w:type="spellStart"/>
            <w:r w:rsidRPr="00A537E3">
              <w:rPr>
                <w:rFonts w:cs="Times New Roman"/>
              </w:rPr>
              <w:t>properly</w:t>
            </w:r>
            <w:proofErr w:type="spellEnd"/>
            <w:r w:rsidRPr="00A537E3">
              <w:rPr>
                <w:rFonts w:cs="Times New Roman"/>
              </w:rPr>
              <w:t xml:space="preserve"> </w:t>
            </w:r>
            <w:proofErr w:type="spellStart"/>
            <w:r w:rsidRPr="00A537E3">
              <w:rPr>
                <w:rFonts w:cs="Times New Roman"/>
              </w:rPr>
              <w:t>equipped</w:t>
            </w:r>
            <w:proofErr w:type="spellEnd"/>
            <w:r w:rsidRPr="00A537E3">
              <w:rPr>
                <w:rFonts w:cs="Times New Roman"/>
              </w:rPr>
              <w:t xml:space="preserve"> the jury, in light of all the </w:t>
            </w:r>
            <w:proofErr w:type="spellStart"/>
            <w:r w:rsidRPr="00A537E3">
              <w:rPr>
                <w:rFonts w:cs="Times New Roman"/>
              </w:rPr>
              <w:t>circumstances</w:t>
            </w:r>
            <w:proofErr w:type="spellEnd"/>
            <w:r w:rsidRPr="00A537E3">
              <w:rPr>
                <w:rFonts w:cs="Times New Roman"/>
              </w:rPr>
              <w:t xml:space="preserve">, to </w:t>
            </w:r>
            <w:proofErr w:type="spellStart"/>
            <w:r w:rsidRPr="00A537E3">
              <w:rPr>
                <w:rFonts w:cs="Times New Roman"/>
              </w:rPr>
              <w:t>decide</w:t>
            </w:r>
            <w:proofErr w:type="spellEnd"/>
            <w:r w:rsidRPr="00A537E3">
              <w:rPr>
                <w:rFonts w:cs="Times New Roman"/>
              </w:rPr>
              <w:t xml:space="preserve"> the case </w:t>
            </w:r>
            <w:proofErr w:type="spellStart"/>
            <w:r w:rsidRPr="00A537E3">
              <w:rPr>
                <w:rFonts w:cs="Times New Roman"/>
              </w:rPr>
              <w:t>according</w:t>
            </w:r>
            <w:proofErr w:type="spellEnd"/>
            <w:r w:rsidRPr="00A537E3">
              <w:rPr>
                <w:rFonts w:cs="Times New Roman"/>
              </w:rPr>
              <w:t xml:space="preserve"> to the </w:t>
            </w:r>
            <w:proofErr w:type="spellStart"/>
            <w:r w:rsidRPr="00A537E3">
              <w:rPr>
                <w:rFonts w:cs="Times New Roman"/>
              </w:rPr>
              <w:t>exacting</w:t>
            </w:r>
            <w:proofErr w:type="spellEnd"/>
            <w:r w:rsidRPr="00A537E3">
              <w:rPr>
                <w:rFonts w:cs="Times New Roman"/>
              </w:rPr>
              <w:t xml:space="preserve"> standard set </w:t>
            </w:r>
            <w:proofErr w:type="spellStart"/>
            <w:r w:rsidRPr="00A537E3">
              <w:rPr>
                <w:rFonts w:cs="Times New Roman"/>
              </w:rPr>
              <w:t>forth</w:t>
            </w:r>
            <w:proofErr w:type="spellEnd"/>
            <w:r w:rsidRPr="00A537E3">
              <w:rPr>
                <w:rFonts w:cs="Times New Roman"/>
              </w:rPr>
              <w:t xml:space="preserve"> in </w:t>
            </w:r>
            <w:r w:rsidRPr="00A537E3">
              <w:rPr>
                <w:rFonts w:cs="Times New Roman"/>
                <w:i/>
              </w:rPr>
              <w:t>R. v. Abdullahi</w:t>
            </w:r>
            <w:r w:rsidRPr="00A537E3">
              <w:rPr>
                <w:rFonts w:cs="Times New Roman"/>
              </w:rPr>
              <w:t xml:space="preserve">, 2023 SCC 19. In </w:t>
            </w:r>
            <w:proofErr w:type="spellStart"/>
            <w:r w:rsidRPr="00A537E3">
              <w:rPr>
                <w:rFonts w:cs="Times New Roman"/>
              </w:rPr>
              <w:t>sum</w:t>
            </w:r>
            <w:proofErr w:type="spellEnd"/>
            <w:r w:rsidRPr="00A537E3">
              <w:rPr>
                <w:rFonts w:cs="Times New Roman"/>
              </w:rPr>
              <w:t xml:space="preserve">, in respect of </w:t>
            </w:r>
            <w:proofErr w:type="spellStart"/>
            <w:r w:rsidRPr="00A537E3">
              <w:rPr>
                <w:rFonts w:cs="Times New Roman"/>
              </w:rPr>
              <w:t>both</w:t>
            </w:r>
            <w:proofErr w:type="spellEnd"/>
            <w:r w:rsidRPr="00A537E3">
              <w:rPr>
                <w:rFonts w:cs="Times New Roman"/>
              </w:rPr>
              <w:t xml:space="preserve"> the mental </w:t>
            </w:r>
            <w:proofErr w:type="spellStart"/>
            <w:r w:rsidRPr="00A537E3">
              <w:rPr>
                <w:rFonts w:cs="Times New Roman"/>
              </w:rPr>
              <w:t>health</w:t>
            </w:r>
            <w:proofErr w:type="spellEnd"/>
            <w:r w:rsidRPr="00A537E3">
              <w:rPr>
                <w:rFonts w:cs="Times New Roman"/>
              </w:rPr>
              <w:t xml:space="preserve"> and the </w:t>
            </w:r>
            <w:proofErr w:type="spellStart"/>
            <w:r w:rsidRPr="00A537E3">
              <w:rPr>
                <w:rFonts w:cs="Times New Roman"/>
              </w:rPr>
              <w:t>after</w:t>
            </w:r>
            <w:proofErr w:type="spellEnd"/>
            <w:r w:rsidRPr="00A537E3">
              <w:rPr>
                <w:rFonts w:cs="Times New Roman"/>
              </w:rPr>
              <w:t>-the-</w:t>
            </w:r>
            <w:proofErr w:type="spellStart"/>
            <w:r w:rsidRPr="00A537E3">
              <w:rPr>
                <w:rFonts w:cs="Times New Roman"/>
              </w:rPr>
              <w:t>fact</w:t>
            </w:r>
            <w:proofErr w:type="spellEnd"/>
            <w:r w:rsidRPr="00A537E3">
              <w:rPr>
                <w:rFonts w:cs="Times New Roman"/>
              </w:rPr>
              <w:t xml:space="preserve"> </w:t>
            </w:r>
            <w:proofErr w:type="spellStart"/>
            <w:r w:rsidRPr="00A537E3">
              <w:rPr>
                <w:rFonts w:cs="Times New Roman"/>
              </w:rPr>
              <w:t>evidence</w:t>
            </w:r>
            <w:proofErr w:type="spellEnd"/>
            <w:r w:rsidRPr="00A537E3">
              <w:rPr>
                <w:rFonts w:cs="Times New Roman"/>
              </w:rPr>
              <w:t xml:space="preserve">, I see no </w:t>
            </w:r>
            <w:proofErr w:type="spellStart"/>
            <w:r w:rsidRPr="00A537E3">
              <w:rPr>
                <w:rFonts w:cs="Times New Roman"/>
              </w:rPr>
              <w:t>reviewable</w:t>
            </w:r>
            <w:proofErr w:type="spellEnd"/>
            <w:r w:rsidRPr="00A537E3">
              <w:rPr>
                <w:rFonts w:cs="Times New Roman"/>
              </w:rPr>
              <w:t xml:space="preserve"> </w:t>
            </w:r>
            <w:proofErr w:type="spellStart"/>
            <w:r w:rsidRPr="00A537E3">
              <w:rPr>
                <w:rFonts w:cs="Times New Roman"/>
              </w:rPr>
              <w:t>errors</w:t>
            </w:r>
            <w:proofErr w:type="spellEnd"/>
            <w:r w:rsidRPr="00A537E3">
              <w:rPr>
                <w:rFonts w:cs="Times New Roman"/>
              </w:rPr>
              <w:t xml:space="preserve"> in the jury charge and, on </w:t>
            </w:r>
            <w:proofErr w:type="spellStart"/>
            <w:r w:rsidRPr="00A537E3">
              <w:rPr>
                <w:rFonts w:cs="Times New Roman"/>
              </w:rPr>
              <w:t>these</w:t>
            </w:r>
            <w:proofErr w:type="spellEnd"/>
            <w:r w:rsidRPr="00A537E3">
              <w:rPr>
                <w:rFonts w:cs="Times New Roman"/>
              </w:rPr>
              <w:t xml:space="preserve"> points, I </w:t>
            </w:r>
            <w:proofErr w:type="spellStart"/>
            <w:r w:rsidRPr="00A537E3">
              <w:rPr>
                <w:rFonts w:cs="Times New Roman"/>
              </w:rPr>
              <w:t>would</w:t>
            </w:r>
            <w:proofErr w:type="spellEnd"/>
            <w:r w:rsidRPr="00A537E3">
              <w:rPr>
                <w:rFonts w:cs="Times New Roman"/>
              </w:rPr>
              <w:t xml:space="preserve"> </w:t>
            </w:r>
            <w:proofErr w:type="spellStart"/>
            <w:r w:rsidRPr="00A537E3">
              <w:rPr>
                <w:rFonts w:cs="Times New Roman"/>
              </w:rPr>
              <w:t>adopt</w:t>
            </w:r>
            <w:proofErr w:type="spellEnd"/>
            <w:r w:rsidRPr="00A537E3">
              <w:rPr>
                <w:rFonts w:cs="Times New Roman"/>
              </w:rPr>
              <w:t xml:space="preserve"> the </w:t>
            </w:r>
            <w:proofErr w:type="spellStart"/>
            <w:r w:rsidRPr="00A537E3">
              <w:rPr>
                <w:rFonts w:cs="Times New Roman"/>
              </w:rPr>
              <w:t>majority</w:t>
            </w:r>
            <w:proofErr w:type="spellEnd"/>
            <w:r w:rsidRPr="00A537E3">
              <w:rPr>
                <w:rFonts w:cs="Times New Roman"/>
              </w:rPr>
              <w:t xml:space="preserve"> </w:t>
            </w:r>
            <w:proofErr w:type="spellStart"/>
            <w:r w:rsidRPr="00A537E3">
              <w:rPr>
                <w:rFonts w:cs="Times New Roman"/>
              </w:rPr>
              <w:t>reasons</w:t>
            </w:r>
            <w:proofErr w:type="spellEnd"/>
            <w:r w:rsidRPr="00A537E3">
              <w:rPr>
                <w:rFonts w:cs="Times New Roman"/>
              </w:rPr>
              <w:t xml:space="preserve"> of van Rensburg J.A. as </w:t>
            </w:r>
            <w:proofErr w:type="spellStart"/>
            <w:r w:rsidRPr="00A537E3">
              <w:rPr>
                <w:rFonts w:cs="Times New Roman"/>
              </w:rPr>
              <w:t>my</w:t>
            </w:r>
            <w:proofErr w:type="spellEnd"/>
            <w:r w:rsidRPr="00A537E3">
              <w:rPr>
                <w:rFonts w:cs="Times New Roman"/>
              </w:rPr>
              <w:t xml:space="preserve"> </w:t>
            </w:r>
            <w:proofErr w:type="spellStart"/>
            <w:r w:rsidRPr="00A537E3">
              <w:rPr>
                <w:rFonts w:cs="Times New Roman"/>
              </w:rPr>
              <w:t>own</w:t>
            </w:r>
            <w:proofErr w:type="spellEnd"/>
            <w:r w:rsidRPr="00A537E3">
              <w:rPr>
                <w:rFonts w:cs="Times New Roman"/>
              </w:rPr>
              <w:t xml:space="preserve">, </w:t>
            </w:r>
            <w:proofErr w:type="spellStart"/>
            <w:r w:rsidRPr="00A537E3">
              <w:rPr>
                <w:rFonts w:cs="Times New Roman"/>
              </w:rPr>
              <w:t>without</w:t>
            </w:r>
            <w:proofErr w:type="spellEnd"/>
            <w:r w:rsidRPr="00A537E3">
              <w:rPr>
                <w:rFonts w:cs="Times New Roman"/>
              </w:rPr>
              <w:t xml:space="preserve"> </w:t>
            </w:r>
            <w:proofErr w:type="spellStart"/>
            <w:r w:rsidRPr="00A537E3">
              <w:rPr>
                <w:rFonts w:cs="Times New Roman"/>
              </w:rPr>
              <w:t>reserve</w:t>
            </w:r>
            <w:proofErr w:type="spellEnd"/>
            <w:r w:rsidRPr="00A537E3">
              <w:rPr>
                <w:rFonts w:cs="Times New Roman"/>
              </w:rPr>
              <w:t xml:space="preserve">. </w:t>
            </w:r>
          </w:p>
        </w:tc>
        <w:tc>
          <w:tcPr>
            <w:tcW w:w="381" w:type="pct"/>
            <w:tcBorders>
              <w:left w:val="nil"/>
            </w:tcBorders>
          </w:tcPr>
          <w:p w:rsidR="00A537E3" w:rsidRPr="00A537E3" w:rsidRDefault="00A537E3" w:rsidP="0021221C">
            <w:pPr>
              <w:jc w:val="center"/>
            </w:pPr>
          </w:p>
        </w:tc>
        <w:tc>
          <w:tcPr>
            <w:tcW w:w="2350" w:type="pct"/>
          </w:tcPr>
          <w:p w:rsidR="00A537E3" w:rsidRPr="00A537E3" w:rsidRDefault="00A537E3" w:rsidP="0021221C">
            <w:pPr>
              <w:jc w:val="center"/>
            </w:pPr>
            <w:r w:rsidRPr="00A537E3">
              <w:t>JUGEMENT</w:t>
            </w:r>
          </w:p>
          <w:p w:rsidR="00A537E3" w:rsidRPr="00A537E3" w:rsidRDefault="00A537E3" w:rsidP="0021221C">
            <w:pPr>
              <w:jc w:val="center"/>
            </w:pPr>
          </w:p>
          <w:p w:rsidR="00A537E3" w:rsidRPr="00A537E3" w:rsidRDefault="00A537E3" w:rsidP="0021221C">
            <w:pPr>
              <w:jc w:val="both"/>
            </w:pPr>
            <w:r w:rsidRPr="00A537E3">
              <w:t xml:space="preserve">L’appel interjeté contre l’arrêt de la Cour d’appel de l’Ontario, numéro C66605, </w:t>
            </w:r>
            <w:hyperlink r:id="rId9" w:history="1">
              <w:r w:rsidRPr="00A537E3">
                <w:rPr>
                  <w:rStyle w:val="Hyperlink"/>
                  <w:color w:val="660000"/>
                  <w:u w:val="none"/>
                </w:rPr>
                <w:t>2022 ONCA 645</w:t>
              </w:r>
            </w:hyperlink>
            <w:r w:rsidRPr="00A537E3">
              <w:t>, daté du 15 septembre 2022, a été entendu le 15 décembre 2023 et la Cour a prononcé oralement le même jour le jugement suivant :</w:t>
            </w:r>
          </w:p>
          <w:p w:rsidR="00A537E3" w:rsidRPr="00A537E3" w:rsidRDefault="00A537E3" w:rsidP="0021221C">
            <w:pPr>
              <w:jc w:val="both"/>
            </w:pPr>
            <w:r w:rsidRPr="00A537E3">
              <w:tab/>
            </w:r>
          </w:p>
          <w:p w:rsidR="00A537E3" w:rsidRPr="00A537E3" w:rsidRDefault="00A537E3" w:rsidP="0021221C">
            <w:pPr>
              <w:jc w:val="both"/>
            </w:pPr>
            <w:r w:rsidRPr="00A537E3">
              <w:t>[</w:t>
            </w:r>
            <w:r w:rsidRPr="00A537E3">
              <w:rPr>
                <w:smallCaps/>
              </w:rPr>
              <w:t>traduction</w:t>
            </w:r>
            <w:r w:rsidRPr="00A537E3">
              <w:t>]</w:t>
            </w:r>
          </w:p>
          <w:p w:rsidR="00A537E3" w:rsidRPr="00A537E3" w:rsidRDefault="00A537E3" w:rsidP="0021221C">
            <w:pPr>
              <w:jc w:val="both"/>
            </w:pPr>
            <w:r w:rsidRPr="00A537E3">
              <w:rPr>
                <w:smallCaps/>
              </w:rPr>
              <w:t>La juge O’Bonsawin</w:t>
            </w:r>
            <w:r w:rsidRPr="00A537E3">
              <w:t xml:space="preserve"> (avec l’accord des juges Rowe, Martin et Moreau) </w:t>
            </w:r>
            <w:r w:rsidRPr="00A537E3">
              <w:rPr>
                <w:rFonts w:cs="Times New Roman"/>
              </w:rPr>
              <w:t>—</w:t>
            </w:r>
            <w:r w:rsidRPr="00A537E3">
              <w:t xml:space="preserve"> Il s’agit d’un appel visant l’arrêt </w:t>
            </w:r>
            <w:r w:rsidRPr="00A537E3">
              <w:rPr>
                <w:i/>
              </w:rPr>
              <w:t>R. c. Lawlor</w:t>
            </w:r>
            <w:r w:rsidRPr="00A537E3">
              <w:t>, 2022 ONCA 645, 418 C.C.C. (3d) 87, dans lequel les juges majoritaires ont rejeté l’appel formé par Derrick Lawlor contre la déclaration de culpabilité pour meurtre au premier degré prononcée contre lui par un jury. La Cour d’appel de l’Ontario a rejeté l’appel à la majorité; le juge Nordheimer aurait accueilli l’appel et ordonné un nouveau procès.</w:t>
            </w:r>
          </w:p>
          <w:p w:rsidR="00A537E3" w:rsidRPr="00A537E3" w:rsidRDefault="00A537E3" w:rsidP="0021221C">
            <w:pPr>
              <w:jc w:val="both"/>
            </w:pPr>
          </w:p>
          <w:p w:rsidR="00A537E3" w:rsidRPr="00A537E3" w:rsidRDefault="00A537E3" w:rsidP="0021221C">
            <w:pPr>
              <w:jc w:val="both"/>
            </w:pPr>
            <w:r w:rsidRPr="00A537E3">
              <w:t xml:space="preserve">Seulement deux moyens d’appel sont soumis à notre Cour. </w:t>
            </w:r>
            <w:proofErr w:type="gramStart"/>
            <w:r w:rsidRPr="00A537E3">
              <w:t>Le premier</w:t>
            </w:r>
            <w:proofErr w:type="gramEnd"/>
            <w:r w:rsidRPr="00A537E3">
              <w:t xml:space="preserve"> porte sur la question de savoir si le juge du procès a fait erreur dans ses directives au jury relativement à l’utilisation de la preuve concernant la santé mentale de l’accusé et à l’intention requise à l’égard de l’infraction de meurtre au premier degré. </w:t>
            </w:r>
            <w:proofErr w:type="gramStart"/>
            <w:r w:rsidRPr="00A537E3">
              <w:t>Le second</w:t>
            </w:r>
            <w:proofErr w:type="gramEnd"/>
            <w:r w:rsidRPr="00A537E3">
              <w:t xml:space="preserve"> porte sur la preuve relative au comportement après le fait.</w:t>
            </w:r>
          </w:p>
          <w:p w:rsidR="00A537E3" w:rsidRPr="00A537E3" w:rsidRDefault="00A537E3" w:rsidP="0021221C">
            <w:pPr>
              <w:jc w:val="both"/>
            </w:pPr>
          </w:p>
          <w:p w:rsidR="00A537E3" w:rsidRPr="00A537E3" w:rsidRDefault="00A537E3" w:rsidP="0021221C">
            <w:pPr>
              <w:jc w:val="both"/>
            </w:pPr>
            <w:r w:rsidRPr="00A537E3">
              <w:t>Notre Cour est majoritairement d’avis d’accueillir l’appel sur la base du moyen relatif à l’intention requise pour l’infraction de meurtre et de meurtre au premier degré, mais non sur la base du moyen relatif au comportement après le fait. Pour ce qui est du premier moyen, nous souscrivons substantiellement aux motifs du juge Nordheimer. Pour ce qui est du second moyen, nous souscrivons substantiellement aux motifs des juges majoritaires de la Cour d’appel de l’Ontario. Nous ajouterions le commentaire suivant.</w:t>
            </w:r>
          </w:p>
          <w:p w:rsidR="00A537E3" w:rsidRPr="00A537E3" w:rsidRDefault="00A537E3" w:rsidP="0021221C">
            <w:pPr>
              <w:jc w:val="both"/>
            </w:pPr>
          </w:p>
          <w:p w:rsidR="00A537E3" w:rsidRDefault="00A537E3" w:rsidP="0021221C">
            <w:pPr>
              <w:jc w:val="both"/>
            </w:pPr>
            <w:r w:rsidRPr="00A537E3">
              <w:t>Comme il a maintes fois été énoncé, et nous le répétons en l’espèce, les tribunaux doivent   avoir à l’esprit la preuve concernant la santé mentale lorsque cette preuve est pertinente à l’égard de questions touchant la responsabilité criminelle. C’est particulièrement le cas dans le cadre des directives aux jurés, afin de les aider à utiliser une telle preuve de manière appropriée.</w:t>
            </w:r>
          </w:p>
          <w:p w:rsidR="009B53A6" w:rsidRPr="00A537E3" w:rsidRDefault="009B53A6" w:rsidP="0021221C">
            <w:pPr>
              <w:jc w:val="both"/>
            </w:pPr>
          </w:p>
          <w:p w:rsidR="00A537E3" w:rsidRPr="00A537E3" w:rsidRDefault="00A537E3" w:rsidP="0021221C">
            <w:pPr>
              <w:jc w:val="both"/>
            </w:pPr>
            <w:r w:rsidRPr="00A537E3">
              <w:t>En conséquence, l’appel est accueilli, la déclaration de culpabilité est annulée et un nouveau procès est ordonné.</w:t>
            </w:r>
          </w:p>
          <w:p w:rsidR="00A537E3" w:rsidRPr="00A537E3" w:rsidRDefault="00A537E3" w:rsidP="0021221C">
            <w:pPr>
              <w:jc w:val="both"/>
            </w:pPr>
          </w:p>
          <w:p w:rsidR="00A537E3" w:rsidRPr="00A537E3" w:rsidRDefault="00A537E3" w:rsidP="0021221C">
            <w:pPr>
              <w:jc w:val="both"/>
              <w:rPr>
                <w:rFonts w:cs="Times New Roman"/>
              </w:rPr>
            </w:pPr>
            <w:r w:rsidRPr="00A537E3">
              <w:rPr>
                <w:smallCaps/>
              </w:rPr>
              <w:t>Le juge Kasirer</w:t>
            </w:r>
            <w:r w:rsidRPr="00A537E3">
              <w:t xml:space="preserve"> </w:t>
            </w:r>
            <w:r w:rsidRPr="00A537E3">
              <w:rPr>
                <w:rFonts w:cs="Times New Roman"/>
              </w:rPr>
              <w:t>— Je rejetterais l’appel. Je me permets deux observations.</w:t>
            </w:r>
          </w:p>
          <w:p w:rsidR="00A537E3" w:rsidRPr="00A537E3" w:rsidRDefault="00A537E3" w:rsidP="0021221C">
            <w:pPr>
              <w:jc w:val="both"/>
              <w:rPr>
                <w:rFonts w:cs="Times New Roman"/>
              </w:rPr>
            </w:pPr>
          </w:p>
          <w:p w:rsidR="00A537E3" w:rsidRPr="00A537E3" w:rsidRDefault="00A537E3" w:rsidP="0021221C">
            <w:pPr>
              <w:jc w:val="both"/>
            </w:pPr>
            <w:r w:rsidRPr="00A537E3">
              <w:rPr>
                <w:rFonts w:cs="Times New Roman"/>
              </w:rPr>
              <w:t xml:space="preserve">Premièrement, je suis d’accord avec mes collègues pour dire que </w:t>
            </w:r>
            <w:r w:rsidRPr="00A537E3">
              <w:t>les tribunaux doivent   avoir à l’esprit la preuve concernant la santé mentale dans les affaires criminelles, y compris dans le cadre des directives au jury. Comme l’ont écrit les juges majoritaires de la Cour d’appel, il est indubitable que la preuve de problèmes de santé mentale peut être pertinente à l’égard de questions touchant l’intention ainsi que la préméditation et le propos délibéré, y compris dans l’appréciation du caractère adéquat d’un exposé au jury (voir les par. 41 et 44-48).</w:t>
            </w:r>
          </w:p>
          <w:p w:rsidR="00A537E3" w:rsidRPr="00A537E3" w:rsidRDefault="00A537E3" w:rsidP="0021221C">
            <w:pPr>
              <w:jc w:val="both"/>
            </w:pPr>
          </w:p>
          <w:p w:rsidR="00A537E3" w:rsidRPr="00A537E3" w:rsidRDefault="00A537E3" w:rsidP="0021221C">
            <w:pPr>
              <w:jc w:val="both"/>
            </w:pPr>
            <w:r w:rsidRPr="00A537E3">
              <w:t xml:space="preserve">Deuxièmement, et avec tout le respect dû aux opinions différentes, je conclus que l’exposé du juge du procès a outillé adéquatement le jury, eu égard à toutes les circonstances, pour qu’il décide l’affaire conformément à la norme exigeante énoncée dans l’arrêt </w:t>
            </w:r>
            <w:r w:rsidRPr="00A537E3">
              <w:rPr>
                <w:i/>
              </w:rPr>
              <w:t>R. c. Abdullahi</w:t>
            </w:r>
            <w:r w:rsidRPr="00A537E3">
              <w:t>, 2023 CSC 19. En résumé, tant en ce qui concerne la preuve touchant la santé mentale que celle touchant le comportement après le fait, je ne vois aucune erreur révisable dans l’exposé au jury et, sur ces points, je fais miens, sans réserve, les motifs  majoritaires rédigés par la juge d’appel van Rensburg.</w:t>
            </w:r>
          </w:p>
        </w:tc>
      </w:tr>
    </w:tbl>
    <w:p w:rsidR="00A537E3" w:rsidRPr="00A537E3" w:rsidRDefault="00A537E3" w:rsidP="00A537E3"/>
    <w:p w:rsidR="00A537E3" w:rsidRPr="00A537E3" w:rsidRDefault="00A537E3" w:rsidP="00A537E3"/>
    <w:p w:rsidR="00A537E3" w:rsidRPr="00A537E3" w:rsidRDefault="00A537E3" w:rsidP="00A537E3"/>
    <w:p w:rsidR="00A537E3" w:rsidRPr="00A537E3" w:rsidRDefault="00A537E3" w:rsidP="00A537E3"/>
    <w:p w:rsidR="00A537E3" w:rsidRPr="00A537E3" w:rsidRDefault="00A537E3" w:rsidP="00A537E3"/>
    <w:p w:rsidR="00A537E3" w:rsidRPr="00A537E3" w:rsidRDefault="00A537E3" w:rsidP="00A537E3">
      <w:pPr>
        <w:jc w:val="center"/>
      </w:pPr>
      <w:r w:rsidRPr="00A537E3">
        <w:t>J.S.C.C.</w:t>
      </w:r>
    </w:p>
    <w:p w:rsidR="00A537E3" w:rsidRPr="00794EEB" w:rsidRDefault="00A537E3" w:rsidP="00A537E3">
      <w:pPr>
        <w:jc w:val="center"/>
      </w:pPr>
      <w:r w:rsidRPr="00A537E3">
        <w:t>J.C.S.C.</w:t>
      </w:r>
    </w:p>
    <w:p w:rsidR="00904937" w:rsidRPr="001E12E2" w:rsidRDefault="00904937" w:rsidP="00A537E3">
      <w:pPr>
        <w:jc w:val="center"/>
      </w:pPr>
    </w:p>
    <w:sectPr w:rsidR="00904937" w:rsidRPr="001E12E2" w:rsidSect="00F72014">
      <w:headerReference w:type="default" r:id="rId10"/>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67" w:rsidRDefault="000F4467" w:rsidP="00F72014">
      <w:r>
        <w:separator/>
      </w:r>
    </w:p>
  </w:endnote>
  <w:endnote w:type="continuationSeparator" w:id="0">
    <w:p w:rsidR="000F4467" w:rsidRDefault="000F4467"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67" w:rsidRDefault="000F4467" w:rsidP="00F72014">
      <w:r>
        <w:separator/>
      </w:r>
    </w:p>
  </w:footnote>
  <w:footnote w:type="continuationSeparator" w:id="0">
    <w:p w:rsidR="000F4467" w:rsidRDefault="000F4467"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82" w:rsidRDefault="00196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D1436"/>
    <w:rsid w:val="000F4467"/>
    <w:rsid w:val="00100074"/>
    <w:rsid w:val="001311DA"/>
    <w:rsid w:val="00177E57"/>
    <w:rsid w:val="00196882"/>
    <w:rsid w:val="001A2CF8"/>
    <w:rsid w:val="001D6B8C"/>
    <w:rsid w:val="001E12E2"/>
    <w:rsid w:val="001E5B5A"/>
    <w:rsid w:val="001F1F83"/>
    <w:rsid w:val="00256B56"/>
    <w:rsid w:val="0028675F"/>
    <w:rsid w:val="0029156B"/>
    <w:rsid w:val="002F0B6C"/>
    <w:rsid w:val="00355967"/>
    <w:rsid w:val="0036772A"/>
    <w:rsid w:val="00384384"/>
    <w:rsid w:val="003B2BE1"/>
    <w:rsid w:val="003B3C63"/>
    <w:rsid w:val="003B7306"/>
    <w:rsid w:val="00423C0D"/>
    <w:rsid w:val="00460AFC"/>
    <w:rsid w:val="00467372"/>
    <w:rsid w:val="004B6D25"/>
    <w:rsid w:val="004E69EC"/>
    <w:rsid w:val="004F090E"/>
    <w:rsid w:val="004F7322"/>
    <w:rsid w:val="00535189"/>
    <w:rsid w:val="00582136"/>
    <w:rsid w:val="0058383C"/>
    <w:rsid w:val="005C0397"/>
    <w:rsid w:val="005D5624"/>
    <w:rsid w:val="006034F1"/>
    <w:rsid w:val="006936F1"/>
    <w:rsid w:val="006D697E"/>
    <w:rsid w:val="00701ABD"/>
    <w:rsid w:val="007740CA"/>
    <w:rsid w:val="00787F6E"/>
    <w:rsid w:val="007C0A6C"/>
    <w:rsid w:val="008029A6"/>
    <w:rsid w:val="008029AC"/>
    <w:rsid w:val="00803557"/>
    <w:rsid w:val="008215C3"/>
    <w:rsid w:val="00842677"/>
    <w:rsid w:val="008714CB"/>
    <w:rsid w:val="00880B14"/>
    <w:rsid w:val="008B5797"/>
    <w:rsid w:val="008C75A4"/>
    <w:rsid w:val="008E7672"/>
    <w:rsid w:val="008F4691"/>
    <w:rsid w:val="00904937"/>
    <w:rsid w:val="00996510"/>
    <w:rsid w:val="009B53A6"/>
    <w:rsid w:val="009F0F2D"/>
    <w:rsid w:val="00A51442"/>
    <w:rsid w:val="00A51D10"/>
    <w:rsid w:val="00A537E3"/>
    <w:rsid w:val="00A863F7"/>
    <w:rsid w:val="00AB2201"/>
    <w:rsid w:val="00BD4217"/>
    <w:rsid w:val="00C34313"/>
    <w:rsid w:val="00C6665E"/>
    <w:rsid w:val="00CA3730"/>
    <w:rsid w:val="00D030DA"/>
    <w:rsid w:val="00D056AE"/>
    <w:rsid w:val="00D07EED"/>
    <w:rsid w:val="00D5237B"/>
    <w:rsid w:val="00D751FC"/>
    <w:rsid w:val="00D76BDF"/>
    <w:rsid w:val="00E31DD1"/>
    <w:rsid w:val="00E356C7"/>
    <w:rsid w:val="00E53ED9"/>
    <w:rsid w:val="00E64FA7"/>
    <w:rsid w:val="00E7577F"/>
    <w:rsid w:val="00E770CB"/>
    <w:rsid w:val="00F01FC5"/>
    <w:rsid w:val="00F060D9"/>
    <w:rsid w:val="00F25646"/>
    <w:rsid w:val="00F72014"/>
    <w:rsid w:val="00F837E7"/>
    <w:rsid w:val="00F9518C"/>
    <w:rsid w:val="00FA59EF"/>
    <w:rsid w:val="00FB616D"/>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SCCCounselName">
    <w:name w:val="SCC.CounselName"/>
    <w:basedOn w:val="Normal"/>
    <w:next w:val="Normal"/>
    <w:link w:val="SCCCounselNameChar"/>
    <w:rsid w:val="003B7306"/>
    <w:rPr>
      <w:i/>
    </w:rPr>
  </w:style>
  <w:style w:type="character" w:customStyle="1" w:styleId="SCCCounselNameChar">
    <w:name w:val="SCC.CounselName Char"/>
    <w:basedOn w:val="DefaultParagraphFont"/>
    <w:link w:val="SCCCounselName"/>
    <w:rsid w:val="003B7306"/>
    <w:rPr>
      <w:rFonts w:eastAsia="Times New Roman" w:cs="Times New Roman"/>
      <w:i/>
      <w:szCs w:val="20"/>
      <w:lang w:val="fr-CA" w:eastAsia="en-CA"/>
    </w:rPr>
  </w:style>
  <w:style w:type="paragraph" w:customStyle="1" w:styleId="SCCCounselSeparator">
    <w:name w:val="SCC.CounselSeparator"/>
    <w:basedOn w:val="Normal"/>
    <w:next w:val="Normal"/>
    <w:link w:val="SCCCounselSeparatorChar"/>
    <w:rsid w:val="003B7306"/>
  </w:style>
  <w:style w:type="character" w:customStyle="1" w:styleId="SCCCounselSeparatorChar">
    <w:name w:val="SCC.CounselSeparator Char"/>
    <w:basedOn w:val="DefaultParagraphFont"/>
    <w:link w:val="SCCCounselSeparator"/>
    <w:rsid w:val="003B7306"/>
    <w:rPr>
      <w:rFonts w:eastAsia="Times New Roman" w:cs="Times New Roman"/>
      <w:szCs w:val="20"/>
      <w:lang w:val="fr-CA" w:eastAsia="en-CA"/>
    </w:rPr>
  </w:style>
  <w:style w:type="paragraph" w:customStyle="1" w:styleId="SCCCounselPartyRole">
    <w:name w:val="SCC.CounselPartyRole"/>
    <w:basedOn w:val="Normal"/>
    <w:next w:val="Normal"/>
    <w:link w:val="SCCCounselPartyRoleChar"/>
    <w:rsid w:val="003B7306"/>
  </w:style>
  <w:style w:type="character" w:customStyle="1" w:styleId="SCCCounselPartyRoleChar">
    <w:name w:val="SCC.CounselPartyRole Char"/>
    <w:basedOn w:val="DefaultParagraphFont"/>
    <w:link w:val="SCCCounselPartyRole"/>
    <w:rsid w:val="003B7306"/>
    <w:rPr>
      <w:rFonts w:eastAsia="Times New Roman" w:cs="Times New Roman"/>
      <w:szCs w:val="20"/>
      <w:lang w:val="fr-CA" w:eastAsia="en-CA"/>
    </w:rPr>
  </w:style>
  <w:style w:type="paragraph" w:customStyle="1" w:styleId="SCCBold">
    <w:name w:val="SCC.Bold"/>
    <w:basedOn w:val="Normal"/>
    <w:next w:val="Normal"/>
    <w:qFormat/>
    <w:rsid w:val="00D07EED"/>
    <w:rPr>
      <w:b/>
    </w:rPr>
  </w:style>
  <w:style w:type="paragraph" w:customStyle="1" w:styleId="SCCReasonsTitle">
    <w:name w:val="SCC.ReasonsTitle"/>
    <w:basedOn w:val="Normal"/>
    <w:next w:val="Normal"/>
    <w:link w:val="SCCReasonsTitleChar"/>
    <w:qFormat/>
    <w:rsid w:val="00D5237B"/>
    <w:rPr>
      <w:b/>
    </w:rPr>
  </w:style>
  <w:style w:type="character" w:customStyle="1" w:styleId="SCCReasonsTitleChar">
    <w:name w:val="SCC.ReasonsTitle Char"/>
    <w:basedOn w:val="DefaultParagraphFont"/>
    <w:link w:val="SCCReasonsTitle"/>
    <w:rsid w:val="00100074"/>
    <w:rPr>
      <w:b/>
      <w:lang w:val="fr-CA"/>
    </w:rPr>
  </w:style>
  <w:style w:type="character" w:styleId="Hyperlink">
    <w:name w:val="Hyperlink"/>
    <w:basedOn w:val="DefaultParagraphFont"/>
    <w:uiPriority w:val="99"/>
    <w:unhideWhenUsed/>
    <w:rsid w:val="00A53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adecisions.ontariocourts.ca/coa/coa/en/20849/1/document.do" TargetMode="External"/><Relationship Id="rId3" Type="http://schemas.openxmlformats.org/officeDocument/2006/relationships/webSettings" Target="webSettings.xml"/><Relationship Id="rId7" Type="http://schemas.openxmlformats.org/officeDocument/2006/relationships/image" Target="cid:image001.jpg@01D72252.19B69DE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oadecisions.ontariocourts.ca/coa/coa/en/20849/1/documen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2023-12-20T19:37:00Z</dcterms:created>
  <dcterms:modified xsi:type="dcterms:W3CDTF">2023-12-20T19:44:00Z</dcterms:modified>
</cp:coreProperties>
</file>