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72" w:rsidRDefault="00353C72" w:rsidP="00353C72">
      <w:pPr>
        <w:jc w:val="center"/>
      </w:pPr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pt;height:64.8pt" o:ole="">
            <v:imagedata r:id="rId5" o:title=""/>
          </v:shape>
          <o:OLEObject Type="Embed" ProgID="Presentations.Drawing.13" ShapeID="_x0000_i1025" DrawAspect="Content" ObjectID="_1360059121" r:id="rId6"/>
        </w:object>
      </w:r>
    </w:p>
    <w:p w:rsidR="00353C72" w:rsidRDefault="00353C72" w:rsidP="00353C72">
      <w:pPr>
        <w:jc w:val="center"/>
      </w:pPr>
    </w:p>
    <w:p w:rsidR="00353C72" w:rsidRDefault="00353C72" w:rsidP="00353C72">
      <w:pPr>
        <w:jc w:val="center"/>
      </w:pPr>
      <w:r>
        <w:rPr>
          <w:b/>
        </w:rPr>
        <w:t xml:space="preserve">COUR </w:t>
      </w:r>
      <w:r w:rsidRPr="006B210C">
        <w:rPr>
          <w:b/>
        </w:rPr>
        <w:t>SUPR</w:t>
      </w:r>
      <w:r>
        <w:rPr>
          <w:b/>
        </w:rPr>
        <w:t>Ê</w:t>
      </w:r>
      <w:r w:rsidRPr="006B210C">
        <w:rPr>
          <w:b/>
        </w:rPr>
        <w:t xml:space="preserve">ME </w:t>
      </w:r>
      <w:r>
        <w:rPr>
          <w:b/>
        </w:rPr>
        <w:t>DU</w:t>
      </w:r>
      <w:r w:rsidRPr="006B210C">
        <w:rPr>
          <w:b/>
        </w:rPr>
        <w:t xml:space="preserve"> CANADA</w:t>
      </w:r>
    </w:p>
    <w:p w:rsidR="00353C72" w:rsidRDefault="00353C72" w:rsidP="00353C72"/>
    <w:p w:rsidR="00353C72" w:rsidRDefault="00353C72" w:rsidP="00353C72"/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6768"/>
        <w:gridCol w:w="2808"/>
      </w:tblGrid>
      <w:tr w:rsidR="00353C72" w:rsidRPr="001E12E2" w:rsidTr="005D4E50">
        <w:trPr>
          <w:cantSplit/>
        </w:trPr>
        <w:tc>
          <w:tcPr>
            <w:tcW w:w="6768" w:type="dxa"/>
          </w:tcPr>
          <w:p w:rsidR="00353C72" w:rsidRPr="00941636" w:rsidRDefault="00353C72" w:rsidP="005D4E50">
            <w:pPr>
              <w:rPr>
                <w:lang w:val="fr-CA"/>
              </w:rPr>
            </w:pPr>
            <w:r w:rsidRPr="00353C72">
              <w:rPr>
                <w:b/>
                <w:smallCaps/>
                <w:lang w:val="fr-CA"/>
              </w:rPr>
              <w:t xml:space="preserve">Référence </w:t>
            </w:r>
            <w:proofErr w:type="gramStart"/>
            <w:r w:rsidRPr="00353C72">
              <w:rPr>
                <w:lang w:val="fr-CA"/>
              </w:rPr>
              <w:t xml:space="preserve">:  </w:t>
            </w:r>
            <w:r w:rsidRPr="00F902F2">
              <w:rPr>
                <w:rStyle w:val="SCCAppellantForIndexChar"/>
                <w:rFonts w:eastAsiaTheme="minorHAnsi"/>
                <w:b w:val="0"/>
                <w:lang w:val="fr-CA"/>
              </w:rPr>
              <w:t>R</w:t>
            </w:r>
            <w:proofErr w:type="gramEnd"/>
            <w:r w:rsidRPr="00F902F2">
              <w:rPr>
                <w:rStyle w:val="SCCAppellantForIndexChar"/>
                <w:rFonts w:eastAsiaTheme="minorHAnsi"/>
                <w:b w:val="0"/>
                <w:lang w:val="fr-CA"/>
              </w:rPr>
              <w:t>.</w:t>
            </w:r>
            <w:r w:rsidRPr="00F902F2">
              <w:rPr>
                <w:b/>
                <w:lang w:val="fr-CA"/>
              </w:rPr>
              <w:t xml:space="preserve"> </w:t>
            </w:r>
            <w:r w:rsidRPr="00F902F2">
              <w:rPr>
                <w:i/>
                <w:lang w:val="fr-CA"/>
              </w:rPr>
              <w:t>c.</w:t>
            </w:r>
            <w:r w:rsidRPr="00F902F2">
              <w:rPr>
                <w:b/>
                <w:lang w:val="fr-CA"/>
              </w:rPr>
              <w:t xml:space="preserve"> </w:t>
            </w:r>
            <w:r w:rsidRPr="00F902F2">
              <w:rPr>
                <w:rStyle w:val="SCCRespondentForIndexChar"/>
                <w:rFonts w:eastAsiaTheme="minorHAnsi"/>
                <w:b w:val="0"/>
                <w:lang w:val="fr-CA"/>
              </w:rPr>
              <w:t>Allen, 2010 CSC 42</w:t>
            </w:r>
            <w:r w:rsidR="00941636" w:rsidRPr="00F902F2">
              <w:rPr>
                <w:rStyle w:val="SCCRespondentForIndexChar"/>
                <w:rFonts w:eastAsiaTheme="minorHAnsi"/>
                <w:b w:val="0"/>
                <w:lang w:val="fr-CA"/>
              </w:rPr>
              <w:t>, [2010] 2 R.C.S. 648</w:t>
            </w:r>
          </w:p>
        </w:tc>
        <w:tc>
          <w:tcPr>
            <w:tcW w:w="2808" w:type="dxa"/>
          </w:tcPr>
          <w:p w:rsidR="00353C72" w:rsidRPr="001E12E2" w:rsidRDefault="00353C72" w:rsidP="005D4E50">
            <w:r w:rsidRPr="001E12E2">
              <w:rPr>
                <w:b/>
                <w:smallCaps/>
              </w:rPr>
              <w:t xml:space="preserve">Date </w:t>
            </w:r>
            <w:r w:rsidRPr="001E12E2">
              <w:t xml:space="preserve">: </w:t>
            </w:r>
            <w:r>
              <w:t>20101027</w:t>
            </w:r>
          </w:p>
          <w:p w:rsidR="00353C72" w:rsidRPr="001E12E2" w:rsidRDefault="00353C72" w:rsidP="005D4E50">
            <w:r w:rsidRPr="001E12E2">
              <w:rPr>
                <w:b/>
                <w:smallCaps/>
              </w:rPr>
              <w:t>Do</w:t>
            </w:r>
            <w:r>
              <w:rPr>
                <w:b/>
                <w:smallCaps/>
              </w:rPr>
              <w:t>ssier</w:t>
            </w:r>
            <w:r w:rsidRPr="001E12E2">
              <w:rPr>
                <w:b/>
                <w:smallCaps/>
              </w:rPr>
              <w:t xml:space="preserve"> </w:t>
            </w:r>
            <w:r w:rsidRPr="001E12E2">
              <w:t xml:space="preserve">: </w:t>
            </w:r>
            <w:r>
              <w:t>33558</w:t>
            </w:r>
          </w:p>
        </w:tc>
      </w:tr>
    </w:tbl>
    <w:p w:rsidR="00353C72" w:rsidRPr="001E12E2" w:rsidRDefault="00353C72" w:rsidP="00353C72"/>
    <w:p w:rsidR="00353C72" w:rsidRDefault="00353C72" w:rsidP="00353C72">
      <w:pPr>
        <w:pStyle w:val="SCCLsocPrefix"/>
      </w:pPr>
      <w:r>
        <w:t>Entre :</w:t>
      </w:r>
    </w:p>
    <w:p w:rsidR="00353C72" w:rsidRDefault="00353C72" w:rsidP="00353C72">
      <w:pPr>
        <w:pStyle w:val="SCCLsocParty"/>
      </w:pPr>
      <w:r>
        <w:t xml:space="preserve">George William Allen </w:t>
      </w:r>
    </w:p>
    <w:p w:rsidR="00353C72" w:rsidRDefault="00353C72" w:rsidP="00353C72">
      <w:pPr>
        <w:pStyle w:val="SCCLsocPartyRole"/>
      </w:pPr>
      <w:r>
        <w:t>Appelant</w:t>
      </w:r>
    </w:p>
    <w:p w:rsidR="00353C72" w:rsidRDefault="00353C72" w:rsidP="00353C72">
      <w:pPr>
        <w:pStyle w:val="SCCLsocVersus"/>
      </w:pPr>
      <w:proofErr w:type="gramStart"/>
      <w:r>
        <w:t>et</w:t>
      </w:r>
      <w:proofErr w:type="gramEnd"/>
    </w:p>
    <w:p w:rsidR="00353C72" w:rsidRDefault="00353C72" w:rsidP="00353C72">
      <w:pPr>
        <w:pStyle w:val="SCCLsocParty"/>
      </w:pPr>
      <w:r>
        <w:t>Sa Majesté la Reine</w:t>
      </w:r>
    </w:p>
    <w:p w:rsidR="00353C72" w:rsidRDefault="00353C72" w:rsidP="00353C72">
      <w:pPr>
        <w:pStyle w:val="SCCLsocPartyRole"/>
      </w:pPr>
      <w:r>
        <w:t>Intimée</w:t>
      </w:r>
    </w:p>
    <w:p w:rsidR="00353C72" w:rsidRDefault="00353C72" w:rsidP="00353C72"/>
    <w:p w:rsidR="00353C72" w:rsidRPr="001E12E2" w:rsidRDefault="00353C72" w:rsidP="00353C72">
      <w:pPr>
        <w:jc w:val="center"/>
        <w:rPr>
          <w:b/>
          <w:smallCaps/>
        </w:rPr>
      </w:pPr>
      <w:r>
        <w:rPr>
          <w:b/>
          <w:smallCaps/>
        </w:rPr>
        <w:t>Traduction française o</w:t>
      </w:r>
      <w:r w:rsidRPr="001E12E2">
        <w:rPr>
          <w:b/>
          <w:smallCaps/>
        </w:rPr>
        <w:t>ffici</w:t>
      </w:r>
      <w:r>
        <w:rPr>
          <w:b/>
          <w:smallCaps/>
        </w:rPr>
        <w:t>elle</w:t>
      </w:r>
    </w:p>
    <w:p w:rsidR="00353C72" w:rsidRPr="001E12E2" w:rsidRDefault="00353C72" w:rsidP="00353C72"/>
    <w:p w:rsidR="00353C72" w:rsidRPr="001E12E2" w:rsidRDefault="00353C72" w:rsidP="00353C72">
      <w:r w:rsidRPr="001E12E2">
        <w:rPr>
          <w:b/>
          <w:smallCaps/>
        </w:rPr>
        <w:t xml:space="preserve">Coram </w:t>
      </w:r>
      <w:r w:rsidRPr="001E12E2">
        <w:t xml:space="preserve">: </w:t>
      </w:r>
      <w:r>
        <w:t xml:space="preserve">Les juges </w:t>
      </w:r>
      <w:proofErr w:type="spellStart"/>
      <w:r>
        <w:t>Binnie</w:t>
      </w:r>
      <w:proofErr w:type="spellEnd"/>
      <w:r>
        <w:t xml:space="preserve">, </w:t>
      </w:r>
      <w:proofErr w:type="spellStart"/>
      <w:r>
        <w:t>LeBel</w:t>
      </w:r>
      <w:proofErr w:type="spellEnd"/>
      <w:r>
        <w:t xml:space="preserve">, Deschamps, Fish, Abella, Charron et </w:t>
      </w:r>
      <w:proofErr w:type="spellStart"/>
      <w:r>
        <w:t>Rothstein</w:t>
      </w:r>
      <w:proofErr w:type="spellEnd"/>
    </w:p>
    <w:p w:rsidR="00353C72" w:rsidRPr="001E12E2" w:rsidRDefault="00353C72" w:rsidP="00353C7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3618"/>
        <w:gridCol w:w="5958"/>
      </w:tblGrid>
      <w:tr w:rsidR="00353C72" w:rsidRPr="001E12E2" w:rsidTr="005D4E50">
        <w:trPr>
          <w:cantSplit/>
        </w:trPr>
        <w:tc>
          <w:tcPr>
            <w:tcW w:w="3618" w:type="dxa"/>
          </w:tcPr>
          <w:p w:rsidR="00353C72" w:rsidRPr="00353C72" w:rsidRDefault="00353C72" w:rsidP="005D4E50">
            <w:pPr>
              <w:rPr>
                <w:lang w:val="fr-CA"/>
              </w:rPr>
            </w:pPr>
            <w:r w:rsidRPr="00353C72">
              <w:rPr>
                <w:b/>
                <w:smallCaps/>
                <w:lang w:val="fr-CA"/>
              </w:rPr>
              <w:t>Motifs de jugement</w:t>
            </w:r>
            <w:r w:rsidRPr="00353C72">
              <w:rPr>
                <w:lang w:val="fr-CA"/>
              </w:rPr>
              <w:t xml:space="preserve"> :</w:t>
            </w:r>
          </w:p>
          <w:p w:rsidR="00353C72" w:rsidRPr="00353C72" w:rsidRDefault="00353C72" w:rsidP="005D4E50">
            <w:pPr>
              <w:rPr>
                <w:lang w:val="fr-CA"/>
              </w:rPr>
            </w:pPr>
            <w:r w:rsidRPr="00353C72">
              <w:rPr>
                <w:lang w:val="fr-CA"/>
              </w:rPr>
              <w:t>(par. 1 à 2)</w:t>
            </w:r>
          </w:p>
        </w:tc>
        <w:tc>
          <w:tcPr>
            <w:tcW w:w="5958" w:type="dxa"/>
          </w:tcPr>
          <w:p w:rsidR="00353C72" w:rsidRPr="001E12E2" w:rsidRDefault="00353C72" w:rsidP="005D4E50">
            <w:r>
              <w:t xml:space="preserve">La </w:t>
            </w:r>
            <w:proofErr w:type="spellStart"/>
            <w:r>
              <w:t>Cour</w:t>
            </w:r>
            <w:proofErr w:type="spellEnd"/>
            <w:r>
              <w:t xml:space="preserve"> </w:t>
            </w:r>
          </w:p>
        </w:tc>
      </w:tr>
    </w:tbl>
    <w:p w:rsidR="00353C72" w:rsidRDefault="00353C72" w:rsidP="00353C72"/>
    <w:p w:rsidR="00353C72" w:rsidRDefault="00C16EFB" w:rsidP="00353C7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14.5pt;width:197.25pt;height:0;z-index:251660288;mso-position-horizontal:center;mso-position-horizontal-relative:margin" o:connectortype="straight">
            <w10:wrap anchorx="margin"/>
          </v:shape>
        </w:pict>
      </w:r>
    </w:p>
    <w:p w:rsidR="00353C72" w:rsidRDefault="00353C72">
      <w:pPr>
        <w:spacing w:after="200" w:line="276" w:lineRule="auto"/>
        <w:rPr>
          <w:rStyle w:val="SCCAppellantForIndexChar"/>
          <w:rFonts w:eastAsiaTheme="minorHAnsi"/>
          <w:lang w:val="en-US"/>
        </w:rPr>
      </w:pPr>
      <w:r>
        <w:rPr>
          <w:rStyle w:val="SCCAppellantForIndexChar"/>
          <w:rFonts w:eastAsiaTheme="minorHAnsi"/>
          <w:lang w:val="en-US"/>
        </w:rPr>
        <w:br w:type="page"/>
      </w:r>
    </w:p>
    <w:p w:rsidR="00353C72" w:rsidRPr="00A466D4" w:rsidRDefault="00353C72" w:rsidP="00353C72">
      <w:pPr>
        <w:spacing w:line="480" w:lineRule="auto"/>
        <w:jc w:val="both"/>
        <w:rPr>
          <w:rStyle w:val="SCCRespondentForRunningHeadChar"/>
          <w:rFonts w:eastAsiaTheme="minorHAnsi"/>
          <w:b/>
          <w:lang w:val="en-US"/>
        </w:rPr>
      </w:pPr>
      <w:r w:rsidRPr="00A466D4">
        <w:rPr>
          <w:rStyle w:val="SCCAppellantForIndexChar"/>
          <w:rFonts w:eastAsiaTheme="minorHAnsi"/>
          <w:b w:val="0"/>
          <w:lang w:val="en-US"/>
        </w:rPr>
        <w:lastRenderedPageBreak/>
        <w:t>R.</w:t>
      </w:r>
      <w:r w:rsidRPr="00A466D4">
        <w:rPr>
          <w:b/>
          <w:lang w:val="en-US"/>
        </w:rPr>
        <w:t xml:space="preserve"> </w:t>
      </w:r>
      <w:r w:rsidRPr="00A466D4">
        <w:rPr>
          <w:i/>
          <w:lang w:val="en-US"/>
        </w:rPr>
        <w:t>c.</w:t>
      </w:r>
      <w:r w:rsidRPr="00A466D4">
        <w:rPr>
          <w:rStyle w:val="SCCRespondentForIndexChar"/>
          <w:rFonts w:eastAsiaTheme="minorHAnsi"/>
          <w:b w:val="0"/>
          <w:lang w:val="en-US"/>
        </w:rPr>
        <w:t xml:space="preserve"> Allen</w:t>
      </w:r>
      <w:r w:rsidRPr="00A466D4">
        <w:rPr>
          <w:rStyle w:val="SCCRespondentForRunningHeadChar"/>
          <w:rFonts w:eastAsiaTheme="minorHAnsi"/>
          <w:b/>
          <w:lang w:val="en-US"/>
        </w:rPr>
        <w:t xml:space="preserve">, </w:t>
      </w:r>
      <w:r w:rsidRPr="00A466D4">
        <w:rPr>
          <w:rStyle w:val="SCCRespondentForIndexChar"/>
          <w:rFonts w:eastAsiaTheme="minorHAnsi"/>
          <w:b w:val="0"/>
          <w:lang w:val="en-US"/>
        </w:rPr>
        <w:t>2010 CSC 42, [2010] 2 R.C.S. 648</w:t>
      </w:r>
    </w:p>
    <w:p w:rsidR="00353C72" w:rsidRPr="00E80E12" w:rsidRDefault="00353C72" w:rsidP="00353C72">
      <w:pPr>
        <w:spacing w:line="480" w:lineRule="auto"/>
        <w:jc w:val="both"/>
        <w:rPr>
          <w:rStyle w:val="SCCRespondentForRunningHeadChar"/>
          <w:rFonts w:eastAsiaTheme="minorHAnsi"/>
          <w:lang w:val="en-US"/>
        </w:rPr>
      </w:pPr>
    </w:p>
    <w:p w:rsidR="00353C72" w:rsidRPr="00F902F2" w:rsidRDefault="00353C72" w:rsidP="00353C72">
      <w:pPr>
        <w:pStyle w:val="SCCLsocParty"/>
        <w:tabs>
          <w:tab w:val="right" w:pos="8280"/>
        </w:tabs>
        <w:spacing w:line="480" w:lineRule="auto"/>
        <w:jc w:val="left"/>
      </w:pPr>
      <w:r w:rsidRPr="00F902F2">
        <w:t>George William Allen</w:t>
      </w:r>
      <w:r w:rsidRPr="00F902F2">
        <w:tab/>
      </w:r>
      <w:r w:rsidRPr="00F902F2">
        <w:rPr>
          <w:b w:val="0"/>
          <w:i/>
        </w:rPr>
        <w:t>Appelant</w:t>
      </w:r>
      <w:r w:rsidRPr="00F902F2">
        <w:br/>
      </w:r>
    </w:p>
    <w:p w:rsidR="00353C72" w:rsidRPr="00F902F2" w:rsidRDefault="00353C72" w:rsidP="00353C72">
      <w:pPr>
        <w:pStyle w:val="SCCLsocVersus"/>
        <w:spacing w:line="480" w:lineRule="auto"/>
        <w:jc w:val="left"/>
      </w:pPr>
      <w:proofErr w:type="gramStart"/>
      <w:r w:rsidRPr="00F902F2">
        <w:t>c</w:t>
      </w:r>
      <w:proofErr w:type="gramEnd"/>
      <w:r w:rsidRPr="00F902F2">
        <w:t>.</w:t>
      </w:r>
      <w:r w:rsidRPr="00F902F2">
        <w:br/>
      </w:r>
    </w:p>
    <w:p w:rsidR="00353C72" w:rsidRPr="00683933" w:rsidRDefault="00353C72" w:rsidP="00353C72">
      <w:pPr>
        <w:pStyle w:val="SCCLsocParty"/>
        <w:tabs>
          <w:tab w:val="right" w:pos="8280"/>
        </w:tabs>
        <w:spacing w:line="480" w:lineRule="auto"/>
        <w:jc w:val="left"/>
      </w:pPr>
      <w:r w:rsidRPr="00683933">
        <w:t>Sa Majesté la Reine</w:t>
      </w:r>
      <w:r w:rsidRPr="00683933">
        <w:tab/>
      </w:r>
      <w:r w:rsidRPr="00683933">
        <w:rPr>
          <w:b w:val="0"/>
          <w:i/>
        </w:rPr>
        <w:t>Intimée</w:t>
      </w:r>
    </w:p>
    <w:p w:rsidR="00353C72" w:rsidRPr="00683933" w:rsidRDefault="00353C72" w:rsidP="00353C72">
      <w:pPr>
        <w:spacing w:line="480" w:lineRule="auto"/>
        <w:jc w:val="both"/>
      </w:pPr>
    </w:p>
    <w:p w:rsidR="00353C72" w:rsidRPr="00683933" w:rsidRDefault="00353C72" w:rsidP="00353C72">
      <w:pPr>
        <w:spacing w:line="480" w:lineRule="auto"/>
        <w:jc w:val="both"/>
        <w:rPr>
          <w:b/>
        </w:rPr>
      </w:pPr>
      <w:r w:rsidRPr="00683933">
        <w:rPr>
          <w:b/>
        </w:rPr>
        <w:t>Répertorié : </w:t>
      </w:r>
      <w:r w:rsidRPr="00683933">
        <w:rPr>
          <w:rStyle w:val="SCCAppellantForIndexChar"/>
          <w:rFonts w:eastAsiaTheme="minorHAnsi"/>
        </w:rPr>
        <w:t>R.</w:t>
      </w:r>
      <w:r w:rsidRPr="00683933">
        <w:rPr>
          <w:b/>
        </w:rPr>
        <w:t xml:space="preserve"> </w:t>
      </w:r>
      <w:r w:rsidRPr="00683933">
        <w:rPr>
          <w:b/>
          <w:i/>
        </w:rPr>
        <w:t>c.</w:t>
      </w:r>
      <w:r w:rsidRPr="00683933">
        <w:rPr>
          <w:b/>
        </w:rPr>
        <w:t xml:space="preserve"> </w:t>
      </w:r>
      <w:r w:rsidRPr="00683933">
        <w:rPr>
          <w:rStyle w:val="SCCRespondentForIndexChar"/>
          <w:rFonts w:eastAsiaTheme="minorHAnsi"/>
        </w:rPr>
        <w:t>Allen</w:t>
      </w:r>
    </w:p>
    <w:p w:rsidR="00353C72" w:rsidRPr="00683933" w:rsidRDefault="00353C72" w:rsidP="00353C72">
      <w:pPr>
        <w:spacing w:line="480" w:lineRule="auto"/>
        <w:jc w:val="both"/>
      </w:pPr>
    </w:p>
    <w:p w:rsidR="00353C72" w:rsidRPr="00683933" w:rsidRDefault="00353C72" w:rsidP="00353C72">
      <w:pPr>
        <w:pStyle w:val="SCCSystemYear"/>
        <w:spacing w:line="480" w:lineRule="auto"/>
        <w:jc w:val="both"/>
      </w:pPr>
      <w:r w:rsidRPr="00683933">
        <w:t>2010 CSC 42</w:t>
      </w:r>
    </w:p>
    <w:p w:rsidR="00353C72" w:rsidRPr="00683933" w:rsidRDefault="00353C72" w:rsidP="00353C72">
      <w:pPr>
        <w:spacing w:line="480" w:lineRule="auto"/>
        <w:jc w:val="both"/>
      </w:pPr>
    </w:p>
    <w:p w:rsidR="00353C72" w:rsidRPr="00683933" w:rsidRDefault="00353C72" w:rsidP="00353C72">
      <w:pPr>
        <w:spacing w:line="480" w:lineRule="auto"/>
        <w:jc w:val="both"/>
      </w:pPr>
      <w:r w:rsidRPr="00683933">
        <w:t>N</w:t>
      </w:r>
      <w:r w:rsidRPr="00683933">
        <w:rPr>
          <w:vertAlign w:val="superscript"/>
        </w:rPr>
        <w:t>o</w:t>
      </w:r>
      <w:r w:rsidRPr="00683933">
        <w:t xml:space="preserve"> du greffe : 33558.</w:t>
      </w:r>
    </w:p>
    <w:p w:rsidR="00353C72" w:rsidRPr="00683933" w:rsidRDefault="00353C72" w:rsidP="00353C72">
      <w:pPr>
        <w:spacing w:line="480" w:lineRule="auto"/>
        <w:jc w:val="both"/>
      </w:pPr>
    </w:p>
    <w:p w:rsidR="00353C72" w:rsidRPr="00683933" w:rsidRDefault="00353C72" w:rsidP="00353C72">
      <w:pPr>
        <w:spacing w:line="480" w:lineRule="auto"/>
        <w:jc w:val="both"/>
      </w:pPr>
      <w:r w:rsidRPr="00683933">
        <w:t>2010 : 8 octobre; 2010 : 27 octobre.</w:t>
      </w:r>
    </w:p>
    <w:p w:rsidR="00353C72" w:rsidRPr="00683933" w:rsidRDefault="00353C72" w:rsidP="00353C72">
      <w:pPr>
        <w:spacing w:line="480" w:lineRule="auto"/>
        <w:jc w:val="both"/>
      </w:pPr>
    </w:p>
    <w:p w:rsidR="00353C72" w:rsidRPr="00683933" w:rsidRDefault="00353C72" w:rsidP="00353C72">
      <w:pPr>
        <w:spacing w:line="480" w:lineRule="auto"/>
        <w:jc w:val="both"/>
      </w:pPr>
      <w:r w:rsidRPr="00683933">
        <w:t xml:space="preserve">Présents : Les juges </w:t>
      </w:r>
      <w:proofErr w:type="spellStart"/>
      <w:r w:rsidRPr="00683933">
        <w:t>Binnie</w:t>
      </w:r>
      <w:proofErr w:type="spellEnd"/>
      <w:r w:rsidRPr="00683933">
        <w:t xml:space="preserve">, </w:t>
      </w:r>
      <w:proofErr w:type="spellStart"/>
      <w:r w:rsidRPr="00683933">
        <w:t>LeBel</w:t>
      </w:r>
      <w:proofErr w:type="spellEnd"/>
      <w:r w:rsidRPr="00683933">
        <w:t xml:space="preserve">, Deschamps, Fish, Abella, Charron et </w:t>
      </w:r>
      <w:proofErr w:type="spellStart"/>
      <w:r w:rsidRPr="00683933">
        <w:t>Rothstein</w:t>
      </w:r>
      <w:proofErr w:type="spellEnd"/>
      <w:r w:rsidRPr="00683933">
        <w:t>.</w:t>
      </w:r>
    </w:p>
    <w:p w:rsidR="00353C72" w:rsidRPr="00683933" w:rsidRDefault="00353C72" w:rsidP="00353C72">
      <w:pPr>
        <w:spacing w:line="480" w:lineRule="auto"/>
        <w:jc w:val="both"/>
      </w:pPr>
    </w:p>
    <w:p w:rsidR="00353C72" w:rsidRPr="00683933" w:rsidRDefault="00353C72" w:rsidP="00353C72">
      <w:pPr>
        <w:pStyle w:val="SCCLowerCourtNameLowercase"/>
      </w:pPr>
      <w:r w:rsidRPr="00683933">
        <w:t>en appel de la cour d’appel de l’</w:t>
      </w:r>
      <w:proofErr w:type="spellStart"/>
      <w:r w:rsidRPr="00683933">
        <w:t>alberta</w:t>
      </w:r>
      <w:proofErr w:type="spellEnd"/>
    </w:p>
    <w:p w:rsidR="00353C72" w:rsidRPr="00683933" w:rsidRDefault="00353C72" w:rsidP="00353C72">
      <w:pPr>
        <w:pStyle w:val="SCCNormalDoubleSpacing"/>
      </w:pPr>
    </w:p>
    <w:p w:rsidR="00353C72" w:rsidRPr="00683933" w:rsidRDefault="00353C72" w:rsidP="00353C72">
      <w:pPr>
        <w:pStyle w:val="SCCNormalDoubleSpacing"/>
        <w:tabs>
          <w:tab w:val="left" w:pos="1170"/>
        </w:tabs>
        <w:rPr>
          <w:i/>
        </w:rPr>
      </w:pPr>
      <w:r w:rsidRPr="00683933">
        <w:tab/>
      </w:r>
      <w:r w:rsidRPr="00683933">
        <w:rPr>
          <w:i/>
        </w:rPr>
        <w:t xml:space="preserve">Droit criminel </w:t>
      </w:r>
      <w:r w:rsidRPr="00683933">
        <w:t>—</w:t>
      </w:r>
      <w:r w:rsidRPr="00683933">
        <w:rPr>
          <w:i/>
        </w:rPr>
        <w:t xml:space="preserve"> Procès </w:t>
      </w:r>
      <w:r w:rsidRPr="00683933">
        <w:t>—</w:t>
      </w:r>
      <w:r w:rsidRPr="00683933">
        <w:rPr>
          <w:i/>
        </w:rPr>
        <w:t xml:space="preserve"> Exposé au jury </w:t>
      </w:r>
      <w:r w:rsidRPr="00683933">
        <w:t>—</w:t>
      </w:r>
      <w:r w:rsidRPr="00683933">
        <w:rPr>
          <w:i/>
        </w:rPr>
        <w:t xml:space="preserve"> Caractère adéquat des directives du juge du procès </w:t>
      </w:r>
      <w:r w:rsidRPr="00683933">
        <w:t>—</w:t>
      </w:r>
      <w:r w:rsidRPr="00683933">
        <w:rPr>
          <w:i/>
        </w:rPr>
        <w:t xml:space="preserve"> Directives adéquates </w:t>
      </w:r>
      <w:r w:rsidRPr="00683933">
        <w:t>—</w:t>
      </w:r>
      <w:r w:rsidRPr="00683933">
        <w:rPr>
          <w:i/>
        </w:rPr>
        <w:t xml:space="preserve"> Exposé au jury équitable, mesuré et exact à l’égard des points relatifs au comportement postérieur à l’infraction.</w:t>
      </w:r>
    </w:p>
    <w:p w:rsidR="00353C72" w:rsidRPr="00683933" w:rsidRDefault="00353C72" w:rsidP="00353C72">
      <w:pPr>
        <w:pStyle w:val="SCCNormalDoubleSpacing"/>
        <w:tabs>
          <w:tab w:val="left" w:pos="1170"/>
        </w:tabs>
      </w:pPr>
    </w:p>
    <w:p w:rsidR="00353C72" w:rsidRPr="00683933" w:rsidRDefault="00353C72" w:rsidP="00353C72">
      <w:pPr>
        <w:pStyle w:val="SCCNormalDoubleSpacing"/>
        <w:tabs>
          <w:tab w:val="left" w:pos="1170"/>
        </w:tabs>
      </w:pPr>
      <w:r>
        <w:rPr>
          <w:i/>
        </w:rPr>
        <w:tab/>
      </w:r>
      <w:r w:rsidRPr="00683933">
        <w:rPr>
          <w:i/>
        </w:rPr>
        <w:t>Arrêt</w:t>
      </w:r>
      <w:r w:rsidRPr="00683933">
        <w:t> : Le pourvoi est rejeté.</w:t>
      </w:r>
    </w:p>
    <w:p w:rsidR="00353C72" w:rsidRPr="00683933" w:rsidRDefault="00353C72" w:rsidP="00353C72">
      <w:pPr>
        <w:pStyle w:val="SCCNormalDoubleSpacing"/>
        <w:tabs>
          <w:tab w:val="left" w:pos="1170"/>
        </w:tabs>
      </w:pPr>
    </w:p>
    <w:p w:rsidR="00353C72" w:rsidRPr="00683933" w:rsidRDefault="00353C72" w:rsidP="00353C72">
      <w:pPr>
        <w:pStyle w:val="SCCNormalDoubleSpacing"/>
        <w:tabs>
          <w:tab w:val="left" w:pos="1170"/>
        </w:tabs>
      </w:pPr>
      <w:r>
        <w:tab/>
      </w:r>
      <w:r w:rsidRPr="00683933">
        <w:t xml:space="preserve">POURVOI contre un arrêt de la Cour d’appel de l’Alberta (les juges Hunt et Watson et le juge </w:t>
      </w:r>
      <w:proofErr w:type="spellStart"/>
      <w:r w:rsidRPr="00683933">
        <w:t>Belzil</w:t>
      </w:r>
      <w:proofErr w:type="spellEnd"/>
      <w:r w:rsidRPr="00683933">
        <w:t xml:space="preserve"> (</w:t>
      </w:r>
      <w:r w:rsidRPr="00683933">
        <w:rPr>
          <w:i/>
        </w:rPr>
        <w:t>ad hoc</w:t>
      </w:r>
      <w:r w:rsidRPr="00683933">
        <w:t xml:space="preserve">)), 2009 ABCA 341, </w:t>
      </w:r>
      <w:r w:rsidRPr="00683933">
        <w:rPr>
          <w:szCs w:val="24"/>
        </w:rPr>
        <w:t>15 Alta</w:t>
      </w:r>
      <w:r>
        <w:rPr>
          <w:szCs w:val="24"/>
        </w:rPr>
        <w:t>.</w:t>
      </w:r>
      <w:r w:rsidRPr="00683933">
        <w:rPr>
          <w:szCs w:val="24"/>
        </w:rPr>
        <w:t xml:space="preserve"> L.R. (5th) 1, 464 A.R. 208, </w:t>
      </w:r>
      <w:r w:rsidR="00C16EFB" w:rsidRPr="00683933">
        <w:rPr>
          <w:szCs w:val="24"/>
        </w:rPr>
        <w:fldChar w:fldCharType="begin"/>
      </w:r>
      <w:r w:rsidRPr="00683933">
        <w:rPr>
          <w:szCs w:val="24"/>
        </w:rPr>
        <w:instrText xml:space="preserve"> SEQ CHAPTER \h \r 1</w:instrText>
      </w:r>
      <w:r w:rsidR="00C16EFB" w:rsidRPr="00683933">
        <w:rPr>
          <w:szCs w:val="24"/>
        </w:rPr>
        <w:fldChar w:fldCharType="end"/>
      </w:r>
      <w:r w:rsidRPr="00683933">
        <w:rPr>
          <w:szCs w:val="24"/>
        </w:rPr>
        <w:t xml:space="preserve">467 W.A.C. 208, 249 C.C.C. (3d) 296, 71 C.R. (6th) 226, [2010] 2 W.W.R. 63, </w:t>
      </w:r>
      <w:r w:rsidR="00C16EFB" w:rsidRPr="00683933">
        <w:rPr>
          <w:szCs w:val="24"/>
        </w:rPr>
        <w:fldChar w:fldCharType="begin"/>
      </w:r>
      <w:r w:rsidRPr="00683933">
        <w:rPr>
          <w:szCs w:val="24"/>
        </w:rPr>
        <w:instrText xml:space="preserve"> SEQ CHAPTER \h \r 1</w:instrText>
      </w:r>
      <w:r w:rsidR="00C16EFB" w:rsidRPr="00683933">
        <w:rPr>
          <w:szCs w:val="24"/>
        </w:rPr>
        <w:fldChar w:fldCharType="end"/>
      </w:r>
      <w:r w:rsidRPr="00683933">
        <w:rPr>
          <w:szCs w:val="24"/>
        </w:rPr>
        <w:t xml:space="preserve">[2009] A.J. No. 1116 (QL), 2009 </w:t>
      </w:r>
      <w:proofErr w:type="spellStart"/>
      <w:r w:rsidRPr="00683933">
        <w:rPr>
          <w:szCs w:val="24"/>
        </w:rPr>
        <w:t>CarswellAlta</w:t>
      </w:r>
      <w:proofErr w:type="spellEnd"/>
      <w:r w:rsidRPr="00683933">
        <w:rPr>
          <w:szCs w:val="24"/>
        </w:rPr>
        <w:t xml:space="preserve"> 1780, qui a confirmé la déclaration de culpabilité prononcée contre l’accusé.</w:t>
      </w:r>
      <w:r w:rsidR="00C16EFB" w:rsidRPr="00683933">
        <w:rPr>
          <w:szCs w:val="24"/>
          <w:shd w:val="clear" w:color="auto" w:fill="FFFF00"/>
        </w:rPr>
        <w:fldChar w:fldCharType="begin"/>
      </w:r>
      <w:r w:rsidRPr="00683933">
        <w:rPr>
          <w:szCs w:val="24"/>
          <w:shd w:val="clear" w:color="auto" w:fill="FFFF00"/>
        </w:rPr>
        <w:instrText xml:space="preserve"> SEQ CHAPTER \h \r 1</w:instrText>
      </w:r>
      <w:r w:rsidR="00C16EFB" w:rsidRPr="00683933">
        <w:rPr>
          <w:szCs w:val="24"/>
          <w:shd w:val="clear" w:color="auto" w:fill="FFFF00"/>
        </w:rPr>
        <w:fldChar w:fldCharType="end"/>
      </w:r>
      <w:r w:rsidRPr="00683933">
        <w:rPr>
          <w:szCs w:val="24"/>
        </w:rPr>
        <w:t xml:space="preserve">  Pourvoi rejeté.</w:t>
      </w:r>
      <w:r w:rsidRPr="00683933">
        <w:t xml:space="preserve"> </w:t>
      </w:r>
    </w:p>
    <w:p w:rsidR="00353C72" w:rsidRPr="00683933" w:rsidRDefault="00353C72" w:rsidP="00353C72">
      <w:pPr>
        <w:pStyle w:val="SCCNormalDoubleSpacing"/>
        <w:tabs>
          <w:tab w:val="left" w:pos="1170"/>
        </w:tabs>
      </w:pPr>
    </w:p>
    <w:p w:rsidR="00353C72" w:rsidRPr="00683933" w:rsidRDefault="00353C72" w:rsidP="00353C72">
      <w:pPr>
        <w:pStyle w:val="SCCNormalDoubleSpacing"/>
        <w:tabs>
          <w:tab w:val="left" w:pos="1170"/>
        </w:tabs>
      </w:pPr>
      <w:r w:rsidRPr="00683933">
        <w:rPr>
          <w:rStyle w:val="SCCCounselNameChar"/>
        </w:rPr>
        <w:tab/>
        <w:t xml:space="preserve">Hersh </w:t>
      </w:r>
      <w:proofErr w:type="spellStart"/>
      <w:r w:rsidRPr="00683933">
        <w:rPr>
          <w:rStyle w:val="SCCCounselNameChar"/>
        </w:rPr>
        <w:t>Wolch</w:t>
      </w:r>
      <w:proofErr w:type="spellEnd"/>
      <w:r w:rsidRPr="00683933">
        <w:rPr>
          <w:rStyle w:val="SCCCounselNameChar"/>
        </w:rPr>
        <w:t>, c.r.</w:t>
      </w:r>
      <w:r w:rsidRPr="00683933">
        <w:rPr>
          <w:rStyle w:val="SCCCounselPartyRoleChar"/>
        </w:rPr>
        <w:t>, pour l’appelant.</w:t>
      </w:r>
    </w:p>
    <w:p w:rsidR="00353C72" w:rsidRPr="00683933" w:rsidRDefault="00353C72" w:rsidP="00353C72">
      <w:pPr>
        <w:pStyle w:val="SCCNormalDoubleSpacing"/>
        <w:tabs>
          <w:tab w:val="left" w:pos="1170"/>
        </w:tabs>
      </w:pPr>
    </w:p>
    <w:p w:rsidR="00353C72" w:rsidRPr="00683933" w:rsidRDefault="00353C72" w:rsidP="00353C72">
      <w:pPr>
        <w:pStyle w:val="SCCNormalDoubleSpacing"/>
        <w:tabs>
          <w:tab w:val="left" w:pos="1170"/>
        </w:tabs>
      </w:pPr>
      <w:r w:rsidRPr="00683933">
        <w:rPr>
          <w:rStyle w:val="SCCCounselNameChar"/>
        </w:rPr>
        <w:tab/>
      </w:r>
      <w:r w:rsidRPr="00240447">
        <w:rPr>
          <w:rStyle w:val="SCCCounselNameChar"/>
        </w:rPr>
        <w:t>David C. Marriott</w:t>
      </w:r>
      <w:r w:rsidRPr="00240447">
        <w:rPr>
          <w:rStyle w:val="SCCCounselPartyRoleChar"/>
        </w:rPr>
        <w:t xml:space="preserve">, </w:t>
      </w:r>
      <w:proofErr w:type="gramStart"/>
      <w:r>
        <w:rPr>
          <w:rStyle w:val="SCCCounselPartyRoleChar"/>
          <w:i/>
        </w:rPr>
        <w:t>c</w:t>
      </w:r>
      <w:r w:rsidRPr="00240447">
        <w:rPr>
          <w:rStyle w:val="SCCCounselPartyRoleChar"/>
          <w:i/>
        </w:rPr>
        <w:t>.</w:t>
      </w:r>
      <w:r>
        <w:rPr>
          <w:rStyle w:val="SCCCounselPartyRoleChar"/>
          <w:i/>
        </w:rPr>
        <w:t>r</w:t>
      </w:r>
      <w:r w:rsidRPr="00240447">
        <w:rPr>
          <w:rStyle w:val="SCCCounselPartyRoleChar"/>
          <w:i/>
        </w:rPr>
        <w:t>.</w:t>
      </w:r>
      <w:r w:rsidRPr="00240447">
        <w:rPr>
          <w:rStyle w:val="SCCCounselPartyRoleChar"/>
        </w:rPr>
        <w:t>,</w:t>
      </w:r>
      <w:proofErr w:type="gramEnd"/>
      <w:r w:rsidRPr="00240447">
        <w:rPr>
          <w:rStyle w:val="SCCCounselPartyRoleChar"/>
        </w:rPr>
        <w:t xml:space="preserve"> </w:t>
      </w:r>
      <w:r w:rsidRPr="00683933">
        <w:rPr>
          <w:rStyle w:val="SCCCounselPartyRoleChar"/>
        </w:rPr>
        <w:t>pour l’intimée.</w:t>
      </w:r>
    </w:p>
    <w:p w:rsidR="00353C72" w:rsidRPr="00683933" w:rsidRDefault="00353C72" w:rsidP="00353C72">
      <w:pPr>
        <w:pStyle w:val="SCCNormalDoubleSpacing"/>
        <w:tabs>
          <w:tab w:val="left" w:pos="1170"/>
        </w:tabs>
      </w:pPr>
    </w:p>
    <w:p w:rsidR="00353C72" w:rsidRPr="00683933" w:rsidRDefault="00353C72" w:rsidP="00353C72">
      <w:pPr>
        <w:tabs>
          <w:tab w:val="left" w:pos="-1440"/>
          <w:tab w:val="left" w:pos="-720"/>
          <w:tab w:val="left" w:pos="1170"/>
        </w:tabs>
        <w:spacing w:after="480" w:line="480" w:lineRule="auto"/>
      </w:pPr>
      <w:r w:rsidRPr="00683933">
        <w:tab/>
      </w:r>
      <w:r>
        <w:t>Version française du jugement rendu par</w:t>
      </w:r>
    </w:p>
    <w:p w:rsidR="00353C72" w:rsidRPr="00683933" w:rsidRDefault="00353C72" w:rsidP="00353C72">
      <w:pPr>
        <w:pStyle w:val="ListParagraph"/>
        <w:numPr>
          <w:ilvl w:val="0"/>
          <w:numId w:val="1"/>
        </w:numPr>
        <w:tabs>
          <w:tab w:val="left" w:pos="1166"/>
        </w:tabs>
        <w:spacing w:after="480" w:line="480" w:lineRule="auto"/>
        <w:ind w:left="0" w:firstLine="0"/>
        <w:jc w:val="both"/>
      </w:pPr>
      <w:r w:rsidRPr="00683933">
        <w:rPr>
          <w:smallCaps/>
        </w:rPr>
        <w:t>La Cour</w:t>
      </w:r>
      <w:r w:rsidRPr="00683933">
        <w:t xml:space="preserve"> — À l’issue d’un procès devant juge et jury, George William Allen a été déclaré coupable de meurtre au premier degré relativement au décès de Garry Joseph McGrath.  Il a porté en appel cette déclaration de culpabilité, invoquant une erreur dans les directives au jury de la juge de première instance concernant la preuve de son comportement postérieur à l’infraction.  Plus précisément, l’appelant a soutenu devant la Cour d’appel de l’Alberta qu’il était légalement inadmissible et préjudiciable de dire aux jurés qu’ils pouvaient se demander si son comportement postérieur à l’infraction était compatible ou non avec l’existence d’un plan préexistant et l’intention de tuer M. McGrath.  Le juge Watson, à l’opinion duquel a souscrit le juge </w:t>
      </w:r>
      <w:proofErr w:type="spellStart"/>
      <w:r w:rsidRPr="00683933">
        <w:t>Belzil</w:t>
      </w:r>
      <w:proofErr w:type="spellEnd"/>
      <w:r w:rsidRPr="00683933">
        <w:t xml:space="preserve"> (</w:t>
      </w:r>
      <w:r w:rsidRPr="00683933">
        <w:rPr>
          <w:i/>
        </w:rPr>
        <w:t>ad hoc</w:t>
      </w:r>
      <w:r w:rsidRPr="00683933">
        <w:t xml:space="preserve">), a rejeté l’argument de l’appelant et confirmé la déclaration de culpabilité </w:t>
      </w:r>
      <w:r w:rsidRPr="00683933">
        <w:lastRenderedPageBreak/>
        <w:t>(2009 ABCA 341, 15 Alta. L.R. (5th) 1).  Selon la juge Hunt, dissidente, la juge de première instance n’avait pas suffisamment expliqué au jury que le comportement de l’appelant postérieur à l’infraction ne pouvait être relié que d’une manière limitée à la question de la préméditation et du propos délibéré.  M</w:t>
      </w:r>
      <w:r>
        <w:t xml:space="preserve">. </w:t>
      </w:r>
      <w:r w:rsidRPr="00683933">
        <w:t>Allen se pourvoit de plein droit devant la Cour.</w:t>
      </w:r>
    </w:p>
    <w:p w:rsidR="00353C72" w:rsidRPr="00683933" w:rsidRDefault="00353C72" w:rsidP="00353C72">
      <w:pPr>
        <w:pStyle w:val="ListParagraph"/>
        <w:numPr>
          <w:ilvl w:val="0"/>
          <w:numId w:val="1"/>
        </w:numPr>
        <w:tabs>
          <w:tab w:val="left" w:pos="1166"/>
        </w:tabs>
        <w:spacing w:after="480" w:line="480" w:lineRule="auto"/>
        <w:ind w:left="0" w:firstLine="0"/>
        <w:jc w:val="both"/>
      </w:pPr>
      <w:r w:rsidRPr="00683933">
        <w:t>Nous ne sommes pas convaincus que, considérées dans leur intégralité et dans le contexte des questions faisant l’objet du procès, les directives au jury renfermaient une telle erreur.  À l’instar de la majorité de la Cour d’appel, nous sommes d’avis que [</w:t>
      </w:r>
      <w:r w:rsidRPr="00683933">
        <w:rPr>
          <w:smallCaps/>
        </w:rPr>
        <w:t>traduction</w:t>
      </w:r>
      <w:r w:rsidRPr="00683933">
        <w:t>] « l’exposé [de la juge de première instance] au jury était équitable, mesuré et exact à l’égard des points contestés relatifs au comportement postérieur à l’infraction » (par. 93).  Le pourvoi est rejeté.</w:t>
      </w:r>
    </w:p>
    <w:p w:rsidR="00353C72" w:rsidRPr="00683933" w:rsidRDefault="00353C72" w:rsidP="00353C72">
      <w:pPr>
        <w:pStyle w:val="SCCNormalDoubleSpacing"/>
        <w:tabs>
          <w:tab w:val="left" w:pos="1170"/>
        </w:tabs>
      </w:pPr>
      <w:r w:rsidRPr="00683933">
        <w:tab/>
      </w:r>
      <w:r w:rsidRPr="00683933">
        <w:rPr>
          <w:i/>
        </w:rPr>
        <w:t>Pourvoi rejeté.</w:t>
      </w:r>
    </w:p>
    <w:p w:rsidR="00353C72" w:rsidRPr="00683933" w:rsidRDefault="00353C72" w:rsidP="00353C72">
      <w:pPr>
        <w:pStyle w:val="SCCNormalDoubleSpacing"/>
        <w:tabs>
          <w:tab w:val="left" w:pos="1170"/>
        </w:tabs>
      </w:pPr>
    </w:p>
    <w:p w:rsidR="00353C72" w:rsidRPr="00683933" w:rsidRDefault="00353C72" w:rsidP="00353C72">
      <w:pPr>
        <w:pStyle w:val="SCCLawFirm"/>
        <w:tabs>
          <w:tab w:val="left" w:pos="1170"/>
        </w:tabs>
      </w:pPr>
      <w:r w:rsidRPr="00683933">
        <w:tab/>
        <w:t>Procureurs de l’appelant : </w:t>
      </w:r>
      <w:proofErr w:type="spellStart"/>
      <w:r w:rsidRPr="00683933">
        <w:t>Wolch</w:t>
      </w:r>
      <w:proofErr w:type="spellEnd"/>
      <w:r w:rsidRPr="00683933">
        <w:t xml:space="preserve">, </w:t>
      </w:r>
      <w:proofErr w:type="spellStart"/>
      <w:r w:rsidRPr="00683933">
        <w:t>Hursh</w:t>
      </w:r>
      <w:proofErr w:type="spellEnd"/>
      <w:r w:rsidRPr="00683933">
        <w:t xml:space="preserve">, </w:t>
      </w:r>
      <w:proofErr w:type="spellStart"/>
      <w:r w:rsidRPr="00683933">
        <w:t>deWit</w:t>
      </w:r>
      <w:proofErr w:type="spellEnd"/>
      <w:r w:rsidRPr="00683933">
        <w:t xml:space="preserve">, </w:t>
      </w:r>
      <w:proofErr w:type="spellStart"/>
      <w:r w:rsidRPr="00683933">
        <w:t>Silverberg</w:t>
      </w:r>
      <w:proofErr w:type="spellEnd"/>
      <w:r w:rsidRPr="00683933">
        <w:t xml:space="preserve"> &amp; Watts, Calgary.</w:t>
      </w:r>
    </w:p>
    <w:p w:rsidR="00353C72" w:rsidRPr="00683933" w:rsidRDefault="00353C72" w:rsidP="00353C72">
      <w:pPr>
        <w:pStyle w:val="SCCLawFirm"/>
        <w:tabs>
          <w:tab w:val="left" w:pos="1170"/>
        </w:tabs>
      </w:pPr>
    </w:p>
    <w:p w:rsidR="00353C72" w:rsidRPr="00683933" w:rsidRDefault="00353C72" w:rsidP="00353C72">
      <w:pPr>
        <w:pStyle w:val="SCCLawFirm"/>
        <w:tabs>
          <w:tab w:val="left" w:pos="1170"/>
        </w:tabs>
      </w:pPr>
      <w:r w:rsidRPr="00683933">
        <w:tab/>
        <w:t>Procureur de l’intimée : Procureur général de l’Alberta, Edmonton.</w:t>
      </w:r>
    </w:p>
    <w:p w:rsidR="00353C72" w:rsidRPr="00683933" w:rsidRDefault="00353C72" w:rsidP="00353C72">
      <w:pPr>
        <w:pStyle w:val="SCCNormalDoubleSpacing"/>
      </w:pPr>
    </w:p>
    <w:p w:rsidR="00353C72" w:rsidRDefault="00353C72"/>
    <w:sectPr w:rsidR="00353C72" w:rsidSect="00E02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36BA0"/>
    <w:multiLevelType w:val="hybridMultilevel"/>
    <w:tmpl w:val="5742DC2C"/>
    <w:lvl w:ilvl="0" w:tplc="323471C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3C72"/>
    <w:rsid w:val="00353C72"/>
    <w:rsid w:val="00941636"/>
    <w:rsid w:val="00A466D4"/>
    <w:rsid w:val="00A7322D"/>
    <w:rsid w:val="00AD02DF"/>
    <w:rsid w:val="00C16EFB"/>
    <w:rsid w:val="00DF5DBE"/>
    <w:rsid w:val="00E02157"/>
    <w:rsid w:val="00F9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C7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C72"/>
    <w:pPr>
      <w:spacing w:after="0" w:line="240" w:lineRule="auto"/>
    </w:pPr>
    <w:rPr>
      <w:rFonts w:ascii="Times New Roman" w:hAnsi="Times New Roman"/>
      <w:sz w:val="24"/>
      <w:szCs w:val="24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CCLsocParty">
    <w:name w:val="SCC.Lsoc.Party"/>
    <w:basedOn w:val="Normal"/>
    <w:next w:val="Normal"/>
    <w:link w:val="SCCLsocPartyChar"/>
    <w:rsid w:val="00353C72"/>
    <w:pPr>
      <w:jc w:val="center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353C72"/>
    <w:rPr>
      <w:rFonts w:ascii="Times New Roman" w:hAnsi="Times New Roman"/>
      <w:b/>
      <w:sz w:val="24"/>
      <w:szCs w:val="24"/>
    </w:rPr>
  </w:style>
  <w:style w:type="paragraph" w:customStyle="1" w:styleId="SCCLsocVersus">
    <w:name w:val="SCC.Lsoc.Versus"/>
    <w:basedOn w:val="Normal"/>
    <w:next w:val="Normal"/>
    <w:link w:val="SCCLsocVersusChar"/>
    <w:rsid w:val="00353C72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353C72"/>
    <w:rPr>
      <w:rFonts w:ascii="Times New Roman" w:hAnsi="Times New Roman"/>
      <w:sz w:val="24"/>
      <w:szCs w:val="24"/>
    </w:rPr>
  </w:style>
  <w:style w:type="paragraph" w:customStyle="1" w:styleId="SCCLsocPartyRole">
    <w:name w:val="SCC.Lsoc.PartyRole"/>
    <w:basedOn w:val="Normal"/>
    <w:next w:val="Normal"/>
    <w:link w:val="SCCLsocPartyRoleChar"/>
    <w:rsid w:val="00353C72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353C72"/>
    <w:rPr>
      <w:rFonts w:ascii="Times New Roman" w:hAnsi="Times New Roman"/>
      <w:sz w:val="24"/>
      <w:szCs w:val="24"/>
    </w:rPr>
  </w:style>
  <w:style w:type="paragraph" w:customStyle="1" w:styleId="SCCLsocPrefix">
    <w:name w:val="SCC.Lsoc.Prefix"/>
    <w:basedOn w:val="Normal"/>
    <w:next w:val="Normal"/>
    <w:link w:val="SCCLsocPrefixChar"/>
    <w:rsid w:val="00353C72"/>
    <w:rPr>
      <w:b/>
      <w:smallCaps/>
    </w:rPr>
  </w:style>
  <w:style w:type="character" w:customStyle="1" w:styleId="SCCLsocPrefixChar">
    <w:name w:val="SCC.Lsoc.Prefix Char"/>
    <w:basedOn w:val="DefaultParagraphFont"/>
    <w:link w:val="SCCLsocPrefix"/>
    <w:rsid w:val="00353C72"/>
    <w:rPr>
      <w:rFonts w:ascii="Times New Roman" w:hAnsi="Times New Roman"/>
      <w:b/>
      <w:smallCaps/>
      <w:sz w:val="24"/>
      <w:szCs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353C72"/>
    <w:rPr>
      <w:rFonts w:eastAsia="Times New Roman" w:cs="Times New Roman"/>
      <w:b/>
      <w:szCs w:val="20"/>
      <w:lang w:eastAsia="en-CA"/>
    </w:rPr>
  </w:style>
  <w:style w:type="character" w:customStyle="1" w:styleId="SCCAppellantForIndexChar">
    <w:name w:val="SCC.AppellantForIndex Char"/>
    <w:basedOn w:val="DefaultParagraphFont"/>
    <w:link w:val="SCCAppellantForIndex"/>
    <w:rsid w:val="00353C72"/>
    <w:rPr>
      <w:rFonts w:ascii="Times New Roman" w:eastAsia="Times New Roman" w:hAnsi="Times New Roman" w:cs="Times New Roman"/>
      <w:b/>
      <w:sz w:val="24"/>
      <w:szCs w:val="20"/>
      <w:lang w:eastAsia="en-CA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353C72"/>
    <w:rPr>
      <w:rFonts w:eastAsia="Times New Roman" w:cs="Times New Roman"/>
      <w:b/>
      <w:szCs w:val="20"/>
      <w:lang w:eastAsia="en-CA"/>
    </w:rPr>
  </w:style>
  <w:style w:type="character" w:customStyle="1" w:styleId="SCCRespondentForIndexChar">
    <w:name w:val="SCC.RespondentForIndex Char"/>
    <w:basedOn w:val="DefaultParagraphFont"/>
    <w:link w:val="SCCRespondentForIndex"/>
    <w:rsid w:val="00353C72"/>
    <w:rPr>
      <w:rFonts w:ascii="Times New Roman" w:eastAsia="Times New Roman" w:hAnsi="Times New Roman" w:cs="Times New Roman"/>
      <w:b/>
      <w:sz w:val="24"/>
      <w:szCs w:val="20"/>
      <w:lang w:eastAsia="en-CA"/>
    </w:rPr>
  </w:style>
  <w:style w:type="paragraph" w:customStyle="1" w:styleId="SCCNormalDoubleSpacing">
    <w:name w:val="SCC.Normal.DoubleSpacing"/>
    <w:basedOn w:val="Normal"/>
    <w:link w:val="SCCNormalDoubleSpacingChar"/>
    <w:rsid w:val="00353C72"/>
    <w:pPr>
      <w:spacing w:line="480" w:lineRule="auto"/>
      <w:jc w:val="both"/>
    </w:pPr>
    <w:rPr>
      <w:rFonts w:eastAsia="Times New Roman" w:cs="Times New Roman"/>
      <w:szCs w:val="20"/>
      <w:lang w:eastAsia="en-CA"/>
    </w:rPr>
  </w:style>
  <w:style w:type="character" w:customStyle="1" w:styleId="SCCNormalDoubleSpacingChar">
    <w:name w:val="SCC.Normal.DoubleSpacing Char"/>
    <w:basedOn w:val="DefaultParagraphFont"/>
    <w:link w:val="SCCNormalDoubleSpacing"/>
    <w:rsid w:val="00353C72"/>
    <w:rPr>
      <w:rFonts w:ascii="Times New Roman" w:eastAsia="Times New Roman" w:hAnsi="Times New Roman" w:cs="Times New Roman"/>
      <w:sz w:val="24"/>
      <w:szCs w:val="20"/>
      <w:lang w:eastAsia="en-CA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353C72"/>
    <w:rPr>
      <w:rFonts w:eastAsia="Times New Roman" w:cs="Times New Roman"/>
      <w:smallCaps/>
      <w:szCs w:val="20"/>
      <w:lang w:eastAsia="en-CA"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353C72"/>
    <w:rPr>
      <w:rFonts w:ascii="Times New Roman" w:eastAsia="Times New Roman" w:hAnsi="Times New Roman" w:cs="Times New Roman"/>
      <w:smallCaps/>
      <w:sz w:val="24"/>
      <w:szCs w:val="20"/>
      <w:lang w:eastAsia="en-CA"/>
    </w:rPr>
  </w:style>
  <w:style w:type="paragraph" w:customStyle="1" w:styleId="SCCSystemYear">
    <w:name w:val="SCC.SystemYear"/>
    <w:basedOn w:val="Normal"/>
    <w:next w:val="Normal"/>
    <w:link w:val="SCCSystemYearChar"/>
    <w:rsid w:val="00353C72"/>
    <w:rPr>
      <w:rFonts w:eastAsia="Times New Roman" w:cs="Times New Roman"/>
      <w:b/>
      <w:szCs w:val="20"/>
      <w:lang w:eastAsia="en-CA"/>
    </w:rPr>
  </w:style>
  <w:style w:type="character" w:customStyle="1" w:styleId="SCCSystemYearChar">
    <w:name w:val="SCC.SystemYear Char"/>
    <w:basedOn w:val="DefaultParagraphFont"/>
    <w:link w:val="SCCSystemYear"/>
    <w:rsid w:val="00353C72"/>
    <w:rPr>
      <w:rFonts w:ascii="Times New Roman" w:eastAsia="Times New Roman" w:hAnsi="Times New Roman" w:cs="Times New Roman"/>
      <w:b/>
      <w:sz w:val="24"/>
      <w:szCs w:val="20"/>
      <w:lang w:eastAsia="en-CA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353C7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53C72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53C72"/>
    <w:rPr>
      <w:i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53C72"/>
    <w:rPr>
      <w:i/>
    </w:rPr>
  </w:style>
  <w:style w:type="character" w:customStyle="1" w:styleId="SCCLawFirmChar">
    <w:name w:val="SCC.LawFirm Char"/>
    <w:basedOn w:val="SCCNormalDoubleSpacingChar"/>
    <w:link w:val="SCCLawFirm"/>
    <w:rsid w:val="00353C72"/>
    <w:rPr>
      <w:i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353C72"/>
  </w:style>
  <w:style w:type="character" w:customStyle="1" w:styleId="SCCCounselPartyRoleChar">
    <w:name w:val="SCC.CounselPartyRole Char"/>
    <w:basedOn w:val="SCCNormalDoubleSpacingChar"/>
    <w:link w:val="SCCCounselPartyRole"/>
    <w:rsid w:val="00353C72"/>
  </w:style>
  <w:style w:type="paragraph" w:styleId="ListParagraph">
    <w:name w:val="List Paragraph"/>
    <w:basedOn w:val="Normal"/>
    <w:uiPriority w:val="34"/>
    <w:qFormat/>
    <w:rsid w:val="00353C72"/>
    <w:pPr>
      <w:ind w:left="720"/>
    </w:pPr>
    <w:rPr>
      <w:rFonts w:eastAsia="Times New Roman" w:cs="Times New Roman"/>
      <w:szCs w:val="20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524</Words>
  <Characters>2886</Characters>
  <Application>Microsoft Office Word</Application>
  <DocSecurity>0</DocSecurity>
  <Lines>24</Lines>
  <Paragraphs>6</Paragraphs>
  <ScaleCrop>false</ScaleCrop>
  <Company>CSC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</dc:creator>
  <cp:keywords/>
  <dc:description/>
  <cp:lastModifiedBy>SCC</cp:lastModifiedBy>
  <cp:revision>4</cp:revision>
  <cp:lastPrinted>2011-02-23T15:53:00Z</cp:lastPrinted>
  <dcterms:created xsi:type="dcterms:W3CDTF">2011-02-23T16:26:00Z</dcterms:created>
  <dcterms:modified xsi:type="dcterms:W3CDTF">2011-02-24T18:25:00Z</dcterms:modified>
</cp:coreProperties>
</file>