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11" w:rsidRDefault="00BB6E11" w:rsidP="00BB6E1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362570617" r:id="rId8"/>
        </w:object>
      </w:r>
      <w:r>
        <w:t xml:space="preserve"> </w:t>
      </w:r>
      <w:r>
        <w:ptab w:relativeTo="margin" w:alignment="right" w:leader="none"/>
      </w:r>
    </w:p>
    <w:p w:rsidR="00BB6E11" w:rsidRDefault="00BB6E11" w:rsidP="00BB6E11">
      <w:pPr>
        <w:pStyle w:val="Header"/>
      </w:pPr>
    </w:p>
    <w:p w:rsidR="00BB6E11" w:rsidRPr="001E12E2" w:rsidRDefault="00BB6E11" w:rsidP="00BB6E11">
      <w:pPr>
        <w:jc w:val="center"/>
        <w:rPr>
          <w:b/>
        </w:rPr>
      </w:pPr>
      <w:r w:rsidRPr="001E12E2">
        <w:rPr>
          <w:b/>
        </w:rPr>
        <w:t>COUR SUPRÊME DU CANADA</w:t>
      </w:r>
    </w:p>
    <w:p w:rsidR="00BB6E11" w:rsidRDefault="00BB6E1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B6E11" w:rsidRPr="001E12E2" w:rsidTr="00EB3E9F">
        <w:trPr>
          <w:cantSplit/>
        </w:trPr>
        <w:tc>
          <w:tcPr>
            <w:tcW w:w="6768" w:type="dxa"/>
          </w:tcPr>
          <w:p w:rsidR="00BB6E11" w:rsidRPr="001E12E2" w:rsidRDefault="00BB6E11" w:rsidP="00EB3E9F">
            <w:r>
              <w:rPr>
                <w:b/>
                <w:smallCaps/>
              </w:rPr>
              <w:t>Référence</w:t>
            </w:r>
            <w:r w:rsidRPr="001E12E2">
              <w:rPr>
                <w:b/>
                <w:smallCaps/>
              </w:rPr>
              <w:t xml:space="preserve"> </w:t>
            </w:r>
            <w:proofErr w:type="gramStart"/>
            <w:r w:rsidRPr="001E12E2">
              <w:t xml:space="preserve">: </w:t>
            </w:r>
            <w:r>
              <w:t xml:space="preserve"> </w:t>
            </w:r>
            <w:r w:rsidRPr="004E7A6A">
              <w:rPr>
                <w:rStyle w:val="SCCAppellantForIndexChar"/>
                <w:b w:val="0"/>
              </w:rPr>
              <w:t>R</w:t>
            </w:r>
            <w:proofErr w:type="gramEnd"/>
            <w:r w:rsidRPr="004E7A6A">
              <w:rPr>
                <w:rStyle w:val="SCCAppellantForIndexChar"/>
                <w:b w:val="0"/>
              </w:rPr>
              <w:t>.</w:t>
            </w:r>
            <w:r w:rsidRPr="004E7A6A">
              <w:rPr>
                <w:b/>
              </w:rPr>
              <w:t xml:space="preserve"> </w:t>
            </w:r>
            <w:r w:rsidRPr="004E7A6A">
              <w:rPr>
                <w:i/>
              </w:rPr>
              <w:t>c.</w:t>
            </w:r>
            <w:r w:rsidRPr="004E7A6A">
              <w:rPr>
                <w:b/>
              </w:rPr>
              <w:t xml:space="preserve"> </w:t>
            </w:r>
            <w:proofErr w:type="spellStart"/>
            <w:r w:rsidRPr="002738AC">
              <w:t>Imoro</w:t>
            </w:r>
            <w:proofErr w:type="spellEnd"/>
            <w:r>
              <w:rPr>
                <w:rStyle w:val="SCCRespondentForIndexChar"/>
                <w:b w:val="0"/>
              </w:rPr>
              <w:t>, 2010 CSC 50, [2010] 3 R.C.S. 62</w:t>
            </w:r>
          </w:p>
        </w:tc>
        <w:tc>
          <w:tcPr>
            <w:tcW w:w="2808" w:type="dxa"/>
          </w:tcPr>
          <w:p w:rsidR="00BB6E11" w:rsidRPr="001E12E2" w:rsidRDefault="00BB6E11" w:rsidP="00EB3E9F">
            <w:r w:rsidRPr="001E12E2">
              <w:rPr>
                <w:b/>
                <w:smallCaps/>
              </w:rPr>
              <w:t xml:space="preserve">Date </w:t>
            </w:r>
            <w:r w:rsidRPr="001E12E2">
              <w:t xml:space="preserve">: </w:t>
            </w:r>
            <w:r>
              <w:t>20101108</w:t>
            </w:r>
          </w:p>
          <w:p w:rsidR="00BB6E11" w:rsidRPr="001E12E2" w:rsidRDefault="00BB6E11" w:rsidP="00EB3E9F">
            <w:r w:rsidRPr="001E12E2">
              <w:rPr>
                <w:b/>
                <w:smallCaps/>
              </w:rPr>
              <w:t>Do</w:t>
            </w:r>
            <w:r>
              <w:rPr>
                <w:b/>
                <w:smallCaps/>
              </w:rPr>
              <w:t>ssier</w:t>
            </w:r>
            <w:r w:rsidRPr="001E12E2">
              <w:rPr>
                <w:b/>
                <w:smallCaps/>
              </w:rPr>
              <w:t xml:space="preserve"> </w:t>
            </w:r>
            <w:r w:rsidRPr="001E12E2">
              <w:t xml:space="preserve">: </w:t>
            </w:r>
            <w:r>
              <w:t>33649</w:t>
            </w:r>
          </w:p>
        </w:tc>
      </w:tr>
    </w:tbl>
    <w:p w:rsidR="00BB6E11" w:rsidRPr="001E12E2" w:rsidRDefault="00BB6E11" w:rsidP="00BB6E11"/>
    <w:p w:rsidR="00BB6E11" w:rsidRDefault="00BB6E11" w:rsidP="00BB6E11">
      <w:pPr>
        <w:pStyle w:val="SCCLsocPrefix"/>
      </w:pPr>
      <w:r>
        <w:t>Entre :</w:t>
      </w:r>
    </w:p>
    <w:p w:rsidR="00BB6E11" w:rsidRDefault="00BB6E11" w:rsidP="00BB6E11">
      <w:pPr>
        <w:pStyle w:val="SCCLsocParty"/>
        <w:jc w:val="center"/>
      </w:pPr>
      <w:proofErr w:type="spellStart"/>
      <w:r>
        <w:t>Aliu</w:t>
      </w:r>
      <w:proofErr w:type="spellEnd"/>
      <w:r>
        <w:t xml:space="preserve"> </w:t>
      </w:r>
      <w:proofErr w:type="spellStart"/>
      <w:r>
        <w:t>Imoro</w:t>
      </w:r>
      <w:proofErr w:type="spellEnd"/>
    </w:p>
    <w:p w:rsidR="00BB6E11" w:rsidRPr="00BB6E11" w:rsidRDefault="00BB6E11" w:rsidP="00BB6E11">
      <w:pPr>
        <w:pStyle w:val="SCCLsocPartyRole"/>
        <w:jc w:val="center"/>
        <w:rPr>
          <w:i w:val="0"/>
        </w:rPr>
      </w:pPr>
      <w:r w:rsidRPr="00BB6E11">
        <w:rPr>
          <w:i w:val="0"/>
        </w:rPr>
        <w:t>Appelant</w:t>
      </w:r>
    </w:p>
    <w:p w:rsidR="00BB6E11" w:rsidRDefault="00BB6E11" w:rsidP="00BB6E11">
      <w:pPr>
        <w:pStyle w:val="SCCLsocVersus"/>
        <w:jc w:val="center"/>
      </w:pPr>
      <w:proofErr w:type="gramStart"/>
      <w:r w:rsidRPr="00BB6E11">
        <w:rPr>
          <w:i w:val="0"/>
        </w:rPr>
        <w:t>et</w:t>
      </w:r>
      <w:proofErr w:type="gramEnd"/>
    </w:p>
    <w:p w:rsidR="00BB6E11" w:rsidRDefault="00BB6E11" w:rsidP="00BB6E11">
      <w:pPr>
        <w:pStyle w:val="SCCLsocParty"/>
        <w:jc w:val="center"/>
      </w:pPr>
      <w:r>
        <w:t>Sa Majesté la Reine</w:t>
      </w:r>
    </w:p>
    <w:p w:rsidR="00BB6E11" w:rsidRPr="00BB6E11" w:rsidRDefault="00BB6E11" w:rsidP="00BB6E11">
      <w:pPr>
        <w:pStyle w:val="SCCLsocPartyRole"/>
        <w:jc w:val="center"/>
        <w:rPr>
          <w:i w:val="0"/>
        </w:rPr>
      </w:pPr>
      <w:r w:rsidRPr="00BB6E11">
        <w:rPr>
          <w:i w:val="0"/>
        </w:rPr>
        <w:t>Intimée</w:t>
      </w:r>
    </w:p>
    <w:p w:rsidR="00BB6E11" w:rsidRDefault="00BB6E11" w:rsidP="00BB6E11">
      <w:pPr>
        <w:jc w:val="center"/>
      </w:pPr>
      <w:r>
        <w:t>-et-</w:t>
      </w:r>
    </w:p>
    <w:p w:rsidR="00BB6E11" w:rsidRPr="002738AC" w:rsidRDefault="00BB6E11" w:rsidP="00BB6E11">
      <w:pPr>
        <w:jc w:val="center"/>
        <w:rPr>
          <w:b/>
        </w:rPr>
      </w:pPr>
      <w:r w:rsidRPr="002738AC">
        <w:rPr>
          <w:b/>
        </w:rPr>
        <w:t>Procureur général de l’Ontario</w:t>
      </w:r>
    </w:p>
    <w:p w:rsidR="00BB6E11" w:rsidRPr="002738AC" w:rsidRDefault="00BB6E11" w:rsidP="00BB6E11">
      <w:pPr>
        <w:jc w:val="center"/>
      </w:pPr>
      <w:r>
        <w:t>Intervenant</w:t>
      </w:r>
    </w:p>
    <w:p w:rsidR="00BB6E11" w:rsidRDefault="00BB6E11" w:rsidP="00BB6E11"/>
    <w:p w:rsidR="00BB6E11" w:rsidRPr="001E12E2" w:rsidRDefault="00BB6E11" w:rsidP="00BB6E11">
      <w:pPr>
        <w:jc w:val="center"/>
        <w:rPr>
          <w:b/>
          <w:smallCaps/>
        </w:rPr>
      </w:pPr>
      <w:r>
        <w:rPr>
          <w:b/>
          <w:smallCaps/>
        </w:rPr>
        <w:t>Traduction française o</w:t>
      </w:r>
      <w:r w:rsidRPr="001E12E2">
        <w:rPr>
          <w:b/>
          <w:smallCaps/>
        </w:rPr>
        <w:t>ffici</w:t>
      </w:r>
      <w:r>
        <w:rPr>
          <w:b/>
          <w:smallCaps/>
        </w:rPr>
        <w:t>elle</w:t>
      </w:r>
    </w:p>
    <w:p w:rsidR="00BB6E11" w:rsidRPr="001E12E2" w:rsidRDefault="00BB6E11" w:rsidP="00BB6E11"/>
    <w:p w:rsidR="00BB6E11" w:rsidRPr="001E12E2" w:rsidRDefault="00BB6E11" w:rsidP="00BB6E11">
      <w:r w:rsidRPr="001E12E2">
        <w:rPr>
          <w:b/>
          <w:smallCaps/>
        </w:rPr>
        <w:t xml:space="preserve">Coram </w:t>
      </w:r>
      <w:r w:rsidRPr="001E12E2">
        <w:t xml:space="preserve">: </w:t>
      </w:r>
      <w:r>
        <w:t xml:space="preserve">Les juges </w:t>
      </w:r>
      <w:proofErr w:type="spellStart"/>
      <w:r>
        <w:t>LeBel</w:t>
      </w:r>
      <w:proofErr w:type="spellEnd"/>
      <w:r>
        <w:t xml:space="preserve">, Deschamps, Fish, Abella, Charron, </w:t>
      </w:r>
      <w:proofErr w:type="spellStart"/>
      <w:r>
        <w:t>Rothstein</w:t>
      </w:r>
      <w:proofErr w:type="spellEnd"/>
      <w:r>
        <w:t xml:space="preserve"> et Cromwell</w:t>
      </w:r>
    </w:p>
    <w:p w:rsidR="00BB6E11" w:rsidRPr="001E12E2" w:rsidRDefault="00BB6E11" w:rsidP="00BB6E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B6E11" w:rsidRPr="001E12E2" w:rsidTr="00EB3E9F">
        <w:trPr>
          <w:cantSplit/>
        </w:trPr>
        <w:tc>
          <w:tcPr>
            <w:tcW w:w="3618" w:type="dxa"/>
          </w:tcPr>
          <w:p w:rsidR="00BB6E11" w:rsidRDefault="00BB6E11" w:rsidP="00EB3E9F">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BB6E11" w:rsidRPr="001E12E2" w:rsidRDefault="00BB6E11" w:rsidP="00EB3E9F">
            <w:r>
              <w:t>(par. 1)</w:t>
            </w:r>
          </w:p>
        </w:tc>
        <w:tc>
          <w:tcPr>
            <w:tcW w:w="5958" w:type="dxa"/>
          </w:tcPr>
          <w:p w:rsidR="00BB6E11" w:rsidRDefault="00BB6E11" w:rsidP="00EB3E9F">
            <w:r>
              <w:t xml:space="preserve">Le juge </w:t>
            </w:r>
            <w:proofErr w:type="spellStart"/>
            <w:r>
              <w:t>LeBel</w:t>
            </w:r>
            <w:proofErr w:type="spellEnd"/>
            <w:r>
              <w:t xml:space="preserve"> (avec l’accord des juges Deschamps, Fish, Abella, Charron, </w:t>
            </w:r>
            <w:proofErr w:type="spellStart"/>
            <w:r>
              <w:t>Rothstein</w:t>
            </w:r>
            <w:proofErr w:type="spellEnd"/>
            <w:r>
              <w:t xml:space="preserve"> et Cromwell)</w:t>
            </w:r>
          </w:p>
          <w:p w:rsidR="00BB6E11" w:rsidRPr="001E12E2" w:rsidRDefault="00BB6E11" w:rsidP="00EB3E9F"/>
        </w:tc>
      </w:tr>
    </w:tbl>
    <w:p w:rsidR="00BB6E11" w:rsidRPr="001E12E2" w:rsidRDefault="00665F7C" w:rsidP="00BB6E11">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BB6E11" w:rsidRPr="00BB6E11" w:rsidRDefault="00BB6E11">
      <w:r w:rsidRPr="00BB6E11">
        <w:br w:type="page"/>
      </w:r>
    </w:p>
    <w:p w:rsidR="008322BD" w:rsidRPr="006F5432" w:rsidRDefault="006F5432" w:rsidP="00180D0C">
      <w:pPr>
        <w:tabs>
          <w:tab w:val="right" w:pos="8190"/>
        </w:tabs>
        <w:spacing w:line="480" w:lineRule="auto"/>
        <w:jc w:val="both"/>
        <w:rPr>
          <w:lang w:val="en-US"/>
        </w:rPr>
      </w:pPr>
      <w:r w:rsidRPr="006F5432">
        <w:rPr>
          <w:lang w:val="en-US"/>
        </w:rPr>
        <w:lastRenderedPageBreak/>
        <w:t xml:space="preserve">R. </w:t>
      </w:r>
      <w:r w:rsidRPr="006F5432">
        <w:rPr>
          <w:i/>
          <w:lang w:val="en-US"/>
        </w:rPr>
        <w:t>c.</w:t>
      </w:r>
      <w:r w:rsidRPr="006F5432">
        <w:rPr>
          <w:lang w:val="en-US"/>
        </w:rPr>
        <w:t xml:space="preserve"> </w:t>
      </w:r>
      <w:proofErr w:type="spellStart"/>
      <w:r w:rsidRPr="006F5432">
        <w:rPr>
          <w:rStyle w:val="SCCAppellantForIndexChar"/>
          <w:b w:val="0"/>
          <w:lang w:val="en-US"/>
        </w:rPr>
        <w:t>Imoro</w:t>
      </w:r>
      <w:proofErr w:type="spellEnd"/>
      <w:r w:rsidRPr="006F5432">
        <w:rPr>
          <w:rStyle w:val="SCCAppellantForRunningHeadChar"/>
          <w:lang w:val="en-US"/>
        </w:rPr>
        <w:t xml:space="preserve">, </w:t>
      </w:r>
      <w:r w:rsidRPr="006F5432">
        <w:rPr>
          <w:rStyle w:val="SCCRespondentForIndexChar"/>
          <w:b w:val="0"/>
          <w:lang w:val="en-US"/>
        </w:rPr>
        <w:t xml:space="preserve">2010 CSC </w:t>
      </w:r>
      <w:r>
        <w:rPr>
          <w:rStyle w:val="SCCRespondentForIndexChar"/>
          <w:b w:val="0"/>
          <w:lang w:val="en-US"/>
        </w:rPr>
        <w:t>50</w:t>
      </w:r>
      <w:r w:rsidRPr="006F5432">
        <w:rPr>
          <w:rStyle w:val="SCCRespondentForIndexChar"/>
          <w:b w:val="0"/>
          <w:lang w:val="en-US"/>
        </w:rPr>
        <w:t xml:space="preserve">, [2010] </w:t>
      </w:r>
      <w:r>
        <w:rPr>
          <w:rStyle w:val="SCCRespondentForIndexChar"/>
          <w:b w:val="0"/>
          <w:lang w:val="en-US"/>
        </w:rPr>
        <w:t>3</w:t>
      </w:r>
      <w:r w:rsidRPr="006F5432">
        <w:rPr>
          <w:rStyle w:val="SCCRespondentForIndexChar"/>
          <w:b w:val="0"/>
          <w:lang w:val="en-US"/>
        </w:rPr>
        <w:t xml:space="preserve"> R.C.S. 6</w:t>
      </w:r>
      <w:r>
        <w:rPr>
          <w:rStyle w:val="SCCRespondentForIndexChar"/>
          <w:b w:val="0"/>
          <w:lang w:val="en-US"/>
        </w:rPr>
        <w:t>2</w:t>
      </w:r>
    </w:p>
    <w:p w:rsidR="00766D14" w:rsidRPr="006F5432" w:rsidRDefault="00766D14" w:rsidP="00180D0C">
      <w:pPr>
        <w:spacing w:line="480" w:lineRule="auto"/>
        <w:jc w:val="both"/>
        <w:rPr>
          <w:lang w:val="en-US"/>
        </w:rPr>
      </w:pPr>
    </w:p>
    <w:p w:rsidR="00691E6E" w:rsidRPr="00040EC4" w:rsidRDefault="00487B2F" w:rsidP="00180D0C">
      <w:pPr>
        <w:pStyle w:val="SCCLsocParty"/>
        <w:tabs>
          <w:tab w:val="right" w:pos="8100"/>
        </w:tabs>
        <w:spacing w:line="480" w:lineRule="auto"/>
      </w:pPr>
      <w:proofErr w:type="spellStart"/>
      <w:r w:rsidRPr="00040EC4">
        <w:t>Aliu</w:t>
      </w:r>
      <w:proofErr w:type="spellEnd"/>
      <w:r w:rsidRPr="00040EC4">
        <w:t xml:space="preserve"> </w:t>
      </w:r>
      <w:proofErr w:type="spellStart"/>
      <w:r w:rsidRPr="00040EC4">
        <w:t>Imoro</w:t>
      </w:r>
      <w:proofErr w:type="spellEnd"/>
      <w:r w:rsidR="00180D0C" w:rsidRPr="00040EC4">
        <w:t xml:space="preserve"> </w:t>
      </w:r>
      <w:r w:rsidR="00180D0C" w:rsidRPr="00040EC4">
        <w:tab/>
      </w:r>
      <w:r w:rsidR="00180D0C" w:rsidRPr="00040EC4">
        <w:rPr>
          <w:b w:val="0"/>
          <w:i/>
        </w:rPr>
        <w:t>Appelant</w:t>
      </w:r>
    </w:p>
    <w:p w:rsidR="00180D0C" w:rsidRPr="00040EC4" w:rsidRDefault="00180D0C" w:rsidP="00180D0C">
      <w:pPr>
        <w:spacing w:line="480" w:lineRule="auto"/>
      </w:pPr>
    </w:p>
    <w:p w:rsidR="00691E6E" w:rsidRPr="00040EC4" w:rsidRDefault="00487B2F" w:rsidP="00180D0C">
      <w:pPr>
        <w:pStyle w:val="SCCLsocVersus"/>
        <w:spacing w:line="480" w:lineRule="auto"/>
      </w:pPr>
      <w:proofErr w:type="gramStart"/>
      <w:r w:rsidRPr="00040EC4">
        <w:t>c</w:t>
      </w:r>
      <w:proofErr w:type="gramEnd"/>
      <w:r w:rsidRPr="00040EC4">
        <w:t>.</w:t>
      </w:r>
    </w:p>
    <w:p w:rsidR="00180D0C" w:rsidRPr="00040EC4" w:rsidRDefault="00180D0C" w:rsidP="00180D0C">
      <w:pPr>
        <w:spacing w:line="480" w:lineRule="auto"/>
      </w:pPr>
    </w:p>
    <w:p w:rsidR="00691E6E" w:rsidRPr="00040EC4" w:rsidRDefault="00487B2F" w:rsidP="00180D0C">
      <w:pPr>
        <w:pStyle w:val="SCCLsocParty"/>
        <w:tabs>
          <w:tab w:val="right" w:pos="8190"/>
        </w:tabs>
        <w:spacing w:line="480" w:lineRule="auto"/>
      </w:pPr>
      <w:r w:rsidRPr="00040EC4">
        <w:t>Sa Majesté la Reine</w:t>
      </w:r>
      <w:r w:rsidR="00180D0C" w:rsidRPr="00040EC4">
        <w:t xml:space="preserve"> </w:t>
      </w:r>
      <w:r w:rsidR="00180D0C" w:rsidRPr="00040EC4">
        <w:tab/>
      </w:r>
      <w:r w:rsidR="00180D0C" w:rsidRPr="00040EC4">
        <w:rPr>
          <w:b w:val="0"/>
          <w:i/>
        </w:rPr>
        <w:t>Intimée</w:t>
      </w:r>
    </w:p>
    <w:p w:rsidR="00180D0C" w:rsidRPr="00040EC4" w:rsidRDefault="00180D0C" w:rsidP="00180D0C">
      <w:pPr>
        <w:pStyle w:val="SCCLsocOtherPartySeparator"/>
        <w:spacing w:line="480" w:lineRule="auto"/>
      </w:pPr>
    </w:p>
    <w:p w:rsidR="00691E6E" w:rsidRPr="00040EC4" w:rsidRDefault="00180D0C" w:rsidP="00180D0C">
      <w:pPr>
        <w:pStyle w:val="SCCLsocOtherPartySeparator"/>
        <w:spacing w:line="480" w:lineRule="auto"/>
      </w:pPr>
      <w:proofErr w:type="gramStart"/>
      <w:r w:rsidRPr="00040EC4">
        <w:t>e</w:t>
      </w:r>
      <w:r w:rsidR="00487B2F" w:rsidRPr="00040EC4">
        <w:t>t</w:t>
      </w:r>
      <w:proofErr w:type="gramEnd"/>
    </w:p>
    <w:p w:rsidR="00180D0C" w:rsidRPr="00040EC4" w:rsidRDefault="00180D0C" w:rsidP="00180D0C"/>
    <w:p w:rsidR="00691E6E" w:rsidRPr="00040EC4" w:rsidRDefault="00180D0C" w:rsidP="00180D0C">
      <w:pPr>
        <w:pStyle w:val="SCCLsocParty"/>
        <w:tabs>
          <w:tab w:val="right" w:pos="8190"/>
        </w:tabs>
        <w:spacing w:line="480" w:lineRule="auto"/>
      </w:pPr>
      <w:r w:rsidRPr="00040EC4">
        <w:t>Procureur général de l’</w:t>
      </w:r>
      <w:r w:rsidR="00487B2F" w:rsidRPr="00040EC4">
        <w:t>Ontario</w:t>
      </w:r>
      <w:r w:rsidRPr="00040EC4">
        <w:tab/>
      </w:r>
      <w:r w:rsidRPr="00040EC4">
        <w:rPr>
          <w:b w:val="0"/>
          <w:i/>
        </w:rPr>
        <w:t>Intervenant</w:t>
      </w:r>
    </w:p>
    <w:p w:rsidR="007834A8" w:rsidRPr="00040EC4" w:rsidRDefault="007834A8" w:rsidP="00487B2F">
      <w:pPr>
        <w:spacing w:line="480" w:lineRule="auto"/>
        <w:jc w:val="both"/>
      </w:pPr>
    </w:p>
    <w:p w:rsidR="00426659" w:rsidRPr="00040EC4" w:rsidRDefault="0043088E" w:rsidP="00487B2F">
      <w:pPr>
        <w:spacing w:line="480" w:lineRule="auto"/>
        <w:jc w:val="both"/>
        <w:rPr>
          <w:b/>
        </w:rPr>
      </w:pPr>
      <w:r w:rsidRPr="00040EC4">
        <w:rPr>
          <w:b/>
        </w:rPr>
        <w:t>Répertorié</w:t>
      </w:r>
      <w:r w:rsidR="00C67CA5" w:rsidRPr="00040EC4">
        <w:rPr>
          <w:b/>
        </w:rPr>
        <w:t> </w:t>
      </w:r>
      <w:r w:rsidR="00426659" w:rsidRPr="00040EC4">
        <w:rPr>
          <w:b/>
        </w:rPr>
        <w:t>:</w:t>
      </w:r>
      <w:r w:rsidR="00C67CA5" w:rsidRPr="00040EC4">
        <w:rPr>
          <w:b/>
        </w:rPr>
        <w:t> </w:t>
      </w:r>
      <w:r w:rsidR="00180D0C" w:rsidRPr="00040EC4">
        <w:rPr>
          <w:b/>
        </w:rPr>
        <w:t xml:space="preserve">R. </w:t>
      </w:r>
      <w:r w:rsidR="00180D0C" w:rsidRPr="00040EC4">
        <w:rPr>
          <w:b/>
          <w:i/>
        </w:rPr>
        <w:t>c.</w:t>
      </w:r>
      <w:r w:rsidR="00180D0C" w:rsidRPr="00040EC4">
        <w:rPr>
          <w:b/>
        </w:rPr>
        <w:t xml:space="preserve"> </w:t>
      </w:r>
      <w:proofErr w:type="spellStart"/>
      <w:r w:rsidRPr="00040EC4">
        <w:rPr>
          <w:rStyle w:val="SCCAppellantForIndexChar"/>
        </w:rPr>
        <w:t>Imoro</w:t>
      </w:r>
      <w:proofErr w:type="spellEnd"/>
    </w:p>
    <w:p w:rsidR="007834A8" w:rsidRPr="00040EC4" w:rsidRDefault="007834A8" w:rsidP="00487B2F">
      <w:pPr>
        <w:spacing w:line="480" w:lineRule="auto"/>
        <w:jc w:val="both"/>
      </w:pPr>
    </w:p>
    <w:p w:rsidR="00426659" w:rsidRPr="00040EC4" w:rsidRDefault="00F853FB" w:rsidP="00487B2F">
      <w:pPr>
        <w:pStyle w:val="SCCSystemYear"/>
        <w:spacing w:line="480" w:lineRule="auto"/>
        <w:jc w:val="both"/>
      </w:pPr>
      <w:r w:rsidRPr="00040EC4">
        <w:t>2010</w:t>
      </w:r>
      <w:r w:rsidR="00EE0FAF" w:rsidRPr="00040EC4">
        <w:t xml:space="preserve"> </w:t>
      </w:r>
      <w:r w:rsidR="00C71F58" w:rsidRPr="00040EC4">
        <w:t>C</w:t>
      </w:r>
      <w:r w:rsidR="00426659" w:rsidRPr="00040EC4">
        <w:t>SC </w:t>
      </w:r>
      <w:r w:rsidR="00180D0C" w:rsidRPr="00040EC4">
        <w:t>50</w:t>
      </w:r>
    </w:p>
    <w:p w:rsidR="007834A8" w:rsidRPr="00040EC4" w:rsidRDefault="007834A8" w:rsidP="00487B2F">
      <w:pPr>
        <w:spacing w:line="480" w:lineRule="auto"/>
        <w:jc w:val="both"/>
      </w:pPr>
    </w:p>
    <w:p w:rsidR="008322BD" w:rsidRPr="00040EC4" w:rsidRDefault="009B57B3" w:rsidP="00487B2F">
      <w:pPr>
        <w:spacing w:line="480" w:lineRule="auto"/>
        <w:jc w:val="both"/>
      </w:pPr>
      <w:r w:rsidRPr="00040EC4">
        <w:t>N</w:t>
      </w:r>
      <w:r w:rsidRPr="00040EC4">
        <w:rPr>
          <w:vertAlign w:val="superscript"/>
        </w:rPr>
        <w:t>o</w:t>
      </w:r>
      <w:r w:rsidR="0043088E" w:rsidRPr="00040EC4">
        <w:t xml:space="preserve"> du greffe</w:t>
      </w:r>
      <w:r w:rsidR="00C67CA5" w:rsidRPr="00040EC4">
        <w:t> </w:t>
      </w:r>
      <w:r w:rsidRPr="00040EC4">
        <w:t>:</w:t>
      </w:r>
      <w:r w:rsidR="00C67CA5" w:rsidRPr="00040EC4">
        <w:t> </w:t>
      </w:r>
      <w:r w:rsidRPr="00040EC4">
        <w:t>33649.</w:t>
      </w:r>
    </w:p>
    <w:p w:rsidR="007834A8" w:rsidRPr="00040EC4" w:rsidRDefault="007834A8" w:rsidP="00487B2F">
      <w:pPr>
        <w:spacing w:line="480" w:lineRule="auto"/>
        <w:jc w:val="both"/>
      </w:pPr>
    </w:p>
    <w:p w:rsidR="008322BD" w:rsidRPr="00040EC4" w:rsidRDefault="00F853FB" w:rsidP="00487B2F">
      <w:pPr>
        <w:spacing w:line="480" w:lineRule="auto"/>
        <w:jc w:val="both"/>
      </w:pPr>
      <w:r w:rsidRPr="00040EC4">
        <w:t>2010 : 8 novembre</w:t>
      </w:r>
      <w:r w:rsidR="009B57B3" w:rsidRPr="00040EC4">
        <w:t>.</w:t>
      </w:r>
    </w:p>
    <w:p w:rsidR="007834A8" w:rsidRPr="00040EC4" w:rsidRDefault="007834A8" w:rsidP="00487B2F">
      <w:pPr>
        <w:spacing w:line="480" w:lineRule="auto"/>
        <w:jc w:val="both"/>
      </w:pPr>
    </w:p>
    <w:p w:rsidR="008322BD" w:rsidRPr="00040EC4" w:rsidRDefault="009B57B3" w:rsidP="001B422B">
      <w:pPr>
        <w:jc w:val="both"/>
      </w:pPr>
      <w:r w:rsidRPr="00040EC4">
        <w:t>Pr</w:t>
      </w:r>
      <w:r w:rsidR="0043088E" w:rsidRPr="00040EC4">
        <w:t>é</w:t>
      </w:r>
      <w:r w:rsidRPr="00040EC4">
        <w:t>sent</w:t>
      </w:r>
      <w:r w:rsidR="008A6558" w:rsidRPr="00040EC4">
        <w:t>s</w:t>
      </w:r>
      <w:r w:rsidR="00C67CA5" w:rsidRPr="00040EC4">
        <w:t> </w:t>
      </w:r>
      <w:r w:rsidRPr="00040EC4">
        <w:t>:</w:t>
      </w:r>
      <w:r w:rsidR="00C67CA5" w:rsidRPr="00040EC4">
        <w:t> </w:t>
      </w:r>
      <w:r w:rsidR="00DD5C90" w:rsidRPr="00040EC4">
        <w:t xml:space="preserve">Les juges </w:t>
      </w:r>
      <w:r w:rsidRPr="00040EC4">
        <w:t>LeBel, Deschamps, Fish, Abella, Charron, Rothstein et Cromwell.</w:t>
      </w:r>
    </w:p>
    <w:p w:rsidR="00E97830" w:rsidRPr="00040EC4" w:rsidRDefault="00E97830" w:rsidP="00487B2F">
      <w:pPr>
        <w:spacing w:line="480" w:lineRule="auto"/>
        <w:jc w:val="both"/>
      </w:pPr>
    </w:p>
    <w:p w:rsidR="008322BD" w:rsidRPr="00040EC4" w:rsidRDefault="00AC7437" w:rsidP="00487B2F">
      <w:pPr>
        <w:pStyle w:val="SCCLowerCourtNameLowercase"/>
      </w:pPr>
      <w:r w:rsidRPr="00040EC4">
        <w:t>e</w:t>
      </w:r>
      <w:r w:rsidR="00855307" w:rsidRPr="00040EC4">
        <w:t>n</w:t>
      </w:r>
      <w:r w:rsidR="00224FC0" w:rsidRPr="00040EC4">
        <w:t xml:space="preserve"> </w:t>
      </w:r>
      <w:r w:rsidR="00855307" w:rsidRPr="00040EC4">
        <w:t>appel</w:t>
      </w:r>
      <w:r w:rsidR="00224FC0" w:rsidRPr="00040EC4">
        <w:t xml:space="preserve"> </w:t>
      </w:r>
      <w:r w:rsidR="00855307" w:rsidRPr="00040EC4">
        <w:t>de</w:t>
      </w:r>
      <w:r w:rsidR="0043088E" w:rsidRPr="00040EC4">
        <w:t xml:space="preserve"> </w:t>
      </w:r>
      <w:r w:rsidR="00855307" w:rsidRPr="00040EC4">
        <w:t>la</w:t>
      </w:r>
      <w:r w:rsidR="00224FC0" w:rsidRPr="00040EC4">
        <w:t xml:space="preserve"> </w:t>
      </w:r>
      <w:r w:rsidR="009B57B3" w:rsidRPr="00040EC4">
        <w:t>cour d’appel de l’</w:t>
      </w:r>
      <w:proofErr w:type="spellStart"/>
      <w:r w:rsidR="009B57B3" w:rsidRPr="00040EC4">
        <w:t>ontario</w:t>
      </w:r>
      <w:proofErr w:type="spellEnd"/>
    </w:p>
    <w:p w:rsidR="003A4C70" w:rsidRPr="00040EC4" w:rsidRDefault="003A4C70" w:rsidP="00D74F2E">
      <w:pPr>
        <w:pStyle w:val="SCCNormalDoubleSpacing"/>
      </w:pPr>
    </w:p>
    <w:p w:rsidR="008322BD" w:rsidRPr="00040EC4" w:rsidRDefault="009B57B3" w:rsidP="00D74F2E">
      <w:pPr>
        <w:pStyle w:val="SCCNormalDoubleSpacing"/>
        <w:rPr>
          <w:lang w:val="fr-FR"/>
        </w:rPr>
      </w:pPr>
      <w:r w:rsidRPr="00040EC4">
        <w:lastRenderedPageBreak/>
        <w:tab/>
      </w:r>
      <w:r w:rsidR="00D30B3C" w:rsidRPr="00040EC4">
        <w:rPr>
          <w:i/>
          <w:iCs/>
          <w:lang w:val="fr-FR"/>
        </w:rPr>
        <w:t xml:space="preserve">Droit criminel — Moyens de défense — </w:t>
      </w:r>
      <w:r w:rsidR="00F31FC2" w:rsidRPr="00040EC4">
        <w:rPr>
          <w:i/>
          <w:iCs/>
          <w:lang w:val="fr-FR"/>
        </w:rPr>
        <w:t>Provocation policière</w:t>
      </w:r>
      <w:r w:rsidR="00D30B3C" w:rsidRPr="00040EC4">
        <w:rPr>
          <w:i/>
          <w:iCs/>
          <w:lang w:val="fr-FR"/>
        </w:rPr>
        <w:t xml:space="preserve"> — </w:t>
      </w:r>
      <w:r w:rsidR="00F31FC2" w:rsidRPr="00040EC4">
        <w:rPr>
          <w:i/>
          <w:iCs/>
          <w:lang w:val="fr-FR"/>
        </w:rPr>
        <w:t>La conduite du policier ne constitue pas de la provocation policière</w:t>
      </w:r>
      <w:r w:rsidR="00D30B3C" w:rsidRPr="00040EC4">
        <w:rPr>
          <w:i/>
          <w:iCs/>
          <w:lang w:val="fr-FR"/>
        </w:rPr>
        <w:t>.</w:t>
      </w:r>
    </w:p>
    <w:p w:rsidR="007834A8" w:rsidRPr="00040EC4" w:rsidRDefault="007834A8" w:rsidP="00D74F2E">
      <w:pPr>
        <w:pStyle w:val="SCCNormalDoubleSpacing"/>
        <w:rPr>
          <w:lang w:val="fr-FR"/>
        </w:rPr>
      </w:pPr>
    </w:p>
    <w:p w:rsidR="00D5435D" w:rsidRPr="00040EC4" w:rsidRDefault="009B57B3" w:rsidP="00D74F2E">
      <w:pPr>
        <w:pStyle w:val="SCCNormalDoubleSpacing"/>
      </w:pPr>
      <w:r w:rsidRPr="00040EC4">
        <w:rPr>
          <w:lang w:val="fr-FR"/>
        </w:rPr>
        <w:tab/>
      </w:r>
      <w:r w:rsidRPr="00040EC4">
        <w:t>P</w:t>
      </w:r>
      <w:r w:rsidR="0043088E" w:rsidRPr="00040EC4">
        <w:t>OURVOI contre un arrêt de la</w:t>
      </w:r>
      <w:r w:rsidRPr="00040EC4">
        <w:t xml:space="preserve"> Cour d’appel de l’Ontario</w:t>
      </w:r>
      <w:r w:rsidR="008009F3" w:rsidRPr="00040EC4">
        <w:t xml:space="preserve"> (les juges </w:t>
      </w:r>
      <w:proofErr w:type="spellStart"/>
      <w:r w:rsidR="008009F3" w:rsidRPr="00040EC4">
        <w:t>Laskin</w:t>
      </w:r>
      <w:proofErr w:type="spellEnd"/>
      <w:r w:rsidR="008009F3" w:rsidRPr="00040EC4">
        <w:t>, Blair et Watt), 2010 ONCA 122, 264 O.A.C. 362</w:t>
      </w:r>
      <w:r w:rsidR="001B422B" w:rsidRPr="00040EC4">
        <w:t>, 251 C.C.C. (3d) 131,</w:t>
      </w:r>
      <w:r w:rsidR="008009F3" w:rsidRPr="00040EC4">
        <w:t xml:space="preserve"> 207 C.R.R. (</w:t>
      </w:r>
      <w:r w:rsidR="001B422B" w:rsidRPr="00040EC4">
        <w:t>2</w:t>
      </w:r>
      <w:r w:rsidR="008009F3" w:rsidRPr="00040EC4">
        <w:t>d) 1</w:t>
      </w:r>
      <w:r w:rsidR="001B422B" w:rsidRPr="00040EC4">
        <w:t>46</w:t>
      </w:r>
      <w:r w:rsidR="008009F3" w:rsidRPr="00040EC4">
        <w:t xml:space="preserve">, 72 C.R. (6th) 292, [2010] O.J. No. 586 (QL), 2010 </w:t>
      </w:r>
      <w:proofErr w:type="spellStart"/>
      <w:r w:rsidR="008009F3" w:rsidRPr="00040EC4">
        <w:t>CarswellOnt</w:t>
      </w:r>
      <w:proofErr w:type="spellEnd"/>
      <w:r w:rsidR="008009F3" w:rsidRPr="00040EC4">
        <w:t xml:space="preserve"> 771, </w:t>
      </w:r>
      <w:r w:rsidR="008009F3" w:rsidRPr="00040EC4">
        <w:rPr>
          <w:rFonts w:ascii="TmsRmn 12pt" w:hAnsi="TmsRmn 12pt"/>
          <w:spacing w:val="-3"/>
        </w:rPr>
        <w:t xml:space="preserve">qui a </w:t>
      </w:r>
      <w:r w:rsidR="00A72120" w:rsidRPr="00040EC4">
        <w:rPr>
          <w:rFonts w:ascii="TmsRmn 12pt" w:hAnsi="TmsRmn 12pt"/>
          <w:spacing w:val="-3"/>
        </w:rPr>
        <w:t>écarté</w:t>
      </w:r>
      <w:r w:rsidR="00322EAF" w:rsidRPr="00040EC4">
        <w:rPr>
          <w:rFonts w:ascii="TmsRmn 12pt" w:hAnsi="TmsRmn 12pt"/>
          <w:spacing w:val="-3"/>
        </w:rPr>
        <w:t xml:space="preserve"> les acq</w:t>
      </w:r>
      <w:r w:rsidR="00DD5C90" w:rsidRPr="00040EC4">
        <w:rPr>
          <w:rFonts w:ascii="TmsRmn 12pt" w:hAnsi="TmsRmn 12pt"/>
          <w:spacing w:val="-3"/>
        </w:rPr>
        <w:t xml:space="preserve">uittements prononcés en faveur </w:t>
      </w:r>
      <w:r w:rsidR="00F519B3" w:rsidRPr="00040EC4">
        <w:rPr>
          <w:rFonts w:ascii="TmsRmn 12pt" w:hAnsi="TmsRmn 12pt"/>
          <w:spacing w:val="-3"/>
        </w:rPr>
        <w:t>de l</w:t>
      </w:r>
      <w:r w:rsidR="00F519B3" w:rsidRPr="00040EC4">
        <w:rPr>
          <w:rFonts w:ascii="TmsRmn 12pt" w:hAnsi="TmsRmn 12pt" w:hint="eastAsia"/>
          <w:spacing w:val="-3"/>
        </w:rPr>
        <w:t>’</w:t>
      </w:r>
      <w:r w:rsidR="00F519B3" w:rsidRPr="00040EC4">
        <w:rPr>
          <w:rFonts w:ascii="TmsRmn 12pt" w:hAnsi="TmsRmn 12pt"/>
          <w:spacing w:val="-3"/>
        </w:rPr>
        <w:t>accusé et</w:t>
      </w:r>
      <w:r w:rsidR="00DD5C90" w:rsidRPr="00040EC4">
        <w:rPr>
          <w:rFonts w:ascii="TmsRmn 12pt" w:hAnsi="TmsRmn 12pt"/>
          <w:spacing w:val="-3"/>
        </w:rPr>
        <w:t xml:space="preserve"> leur a</w:t>
      </w:r>
      <w:r w:rsidR="00F519B3" w:rsidRPr="00040EC4">
        <w:rPr>
          <w:rFonts w:ascii="TmsRmn 12pt" w:hAnsi="TmsRmn 12pt"/>
          <w:spacing w:val="-3"/>
        </w:rPr>
        <w:t xml:space="preserve"> substitué des déclarations de culpabilité</w:t>
      </w:r>
      <w:r w:rsidR="00322EAF" w:rsidRPr="00040EC4">
        <w:rPr>
          <w:rFonts w:ascii="TmsRmn 12pt" w:hAnsi="TmsRmn 12pt"/>
          <w:spacing w:val="-3"/>
        </w:rPr>
        <w:t xml:space="preserve">. </w:t>
      </w:r>
      <w:r w:rsidR="001771C4" w:rsidRPr="00040EC4">
        <w:rPr>
          <w:rFonts w:ascii="TmsRmn 12pt" w:hAnsi="TmsRmn 12pt"/>
          <w:spacing w:val="-3"/>
        </w:rPr>
        <w:t>Pourvoi rejeté.</w:t>
      </w:r>
    </w:p>
    <w:p w:rsidR="00966913" w:rsidRPr="00040EC4" w:rsidRDefault="00966913" w:rsidP="00D74F2E">
      <w:pPr>
        <w:pStyle w:val="SCCNormalDoubleSpacing"/>
      </w:pPr>
    </w:p>
    <w:p w:rsidR="00691E6E" w:rsidRPr="00040EC4" w:rsidRDefault="00487B2F">
      <w:pPr>
        <w:pStyle w:val="SCCNormalDoubleSpacing"/>
      </w:pPr>
      <w:r w:rsidRPr="00040EC4">
        <w:rPr>
          <w:rStyle w:val="SCCCounselNameChar"/>
        </w:rPr>
        <w:tab/>
        <w:t>Benjamin Moss</w:t>
      </w:r>
      <w:r w:rsidR="00D11287" w:rsidRPr="00040EC4">
        <w:rPr>
          <w:rStyle w:val="SCCCounselPartyRoleChar"/>
        </w:rPr>
        <w:t>, pour l’</w:t>
      </w:r>
      <w:r w:rsidR="00885BD6" w:rsidRPr="00040EC4">
        <w:rPr>
          <w:rStyle w:val="SCCCounselPartyRoleChar"/>
        </w:rPr>
        <w:t>appelant</w:t>
      </w:r>
      <w:r w:rsidRPr="00040EC4">
        <w:rPr>
          <w:rStyle w:val="SCCCounselPartyRoleChar"/>
        </w:rPr>
        <w:t>.</w:t>
      </w:r>
    </w:p>
    <w:p w:rsidR="00691E6E" w:rsidRPr="00040EC4" w:rsidRDefault="00691E6E">
      <w:pPr>
        <w:pStyle w:val="SCCNormalDoubleSpacing"/>
      </w:pPr>
    </w:p>
    <w:p w:rsidR="00691E6E" w:rsidRPr="00040EC4" w:rsidRDefault="00487B2F">
      <w:pPr>
        <w:pStyle w:val="SCCNormalDoubleSpacing"/>
      </w:pPr>
      <w:r w:rsidRPr="00040EC4">
        <w:rPr>
          <w:rStyle w:val="SCCCounselNameChar"/>
        </w:rPr>
        <w:tab/>
        <w:t xml:space="preserve">Nicholas E. </w:t>
      </w:r>
      <w:proofErr w:type="spellStart"/>
      <w:r w:rsidRPr="00040EC4">
        <w:rPr>
          <w:rStyle w:val="SCCCounselNameChar"/>
        </w:rPr>
        <w:t>Devlin</w:t>
      </w:r>
      <w:proofErr w:type="spellEnd"/>
      <w:r w:rsidRPr="00040EC4">
        <w:rPr>
          <w:rStyle w:val="SCCCounselSeparatorChar"/>
        </w:rPr>
        <w:t xml:space="preserve"> et </w:t>
      </w:r>
      <w:r w:rsidRPr="00040EC4">
        <w:rPr>
          <w:rStyle w:val="SCCCounselNameChar"/>
        </w:rPr>
        <w:t xml:space="preserve">Lisa </w:t>
      </w:r>
      <w:proofErr w:type="spellStart"/>
      <w:r w:rsidRPr="00040EC4">
        <w:rPr>
          <w:rStyle w:val="SCCCounselNameChar"/>
        </w:rPr>
        <w:t>Csele</w:t>
      </w:r>
      <w:proofErr w:type="spellEnd"/>
      <w:r w:rsidR="00885BD6" w:rsidRPr="00040EC4">
        <w:rPr>
          <w:rStyle w:val="SCCCounselPartyRoleChar"/>
        </w:rPr>
        <w:t>, pour l’</w:t>
      </w:r>
      <w:r w:rsidRPr="00040EC4">
        <w:rPr>
          <w:rStyle w:val="SCCCounselPartyRoleChar"/>
        </w:rPr>
        <w:t>intimée.</w:t>
      </w:r>
    </w:p>
    <w:p w:rsidR="00691E6E" w:rsidRPr="00040EC4" w:rsidRDefault="00691E6E">
      <w:pPr>
        <w:pStyle w:val="SCCNormalDoubleSpacing"/>
      </w:pPr>
    </w:p>
    <w:p w:rsidR="00691E6E" w:rsidRPr="00040EC4" w:rsidRDefault="00487B2F">
      <w:pPr>
        <w:pStyle w:val="SCCNormalDoubleSpacing"/>
        <w:rPr>
          <w:rStyle w:val="SCCCounselPartyRoleChar"/>
        </w:rPr>
      </w:pPr>
      <w:r w:rsidRPr="00040EC4">
        <w:rPr>
          <w:rStyle w:val="SCCCounselNameChar"/>
        </w:rPr>
        <w:tab/>
      </w:r>
      <w:proofErr w:type="spellStart"/>
      <w:r w:rsidR="00322EAF" w:rsidRPr="00040EC4">
        <w:rPr>
          <w:rStyle w:val="SCCCounselNameChar"/>
        </w:rPr>
        <w:t>Leanne</w:t>
      </w:r>
      <w:proofErr w:type="spellEnd"/>
      <w:r w:rsidR="00322EAF" w:rsidRPr="00040EC4">
        <w:rPr>
          <w:rStyle w:val="SCCCounselNameChar"/>
        </w:rPr>
        <w:t xml:space="preserve"> </w:t>
      </w:r>
      <w:proofErr w:type="spellStart"/>
      <w:r w:rsidR="00322EAF" w:rsidRPr="00040EC4">
        <w:rPr>
          <w:rStyle w:val="SCCCounselNameChar"/>
        </w:rPr>
        <w:t>Salel</w:t>
      </w:r>
      <w:proofErr w:type="spellEnd"/>
      <w:r w:rsidR="00322EAF" w:rsidRPr="00040EC4">
        <w:rPr>
          <w:rStyle w:val="SCCCounselNameChar"/>
        </w:rPr>
        <w:t xml:space="preserve"> </w:t>
      </w:r>
      <w:r w:rsidR="00322EAF" w:rsidRPr="00040EC4">
        <w:rPr>
          <w:rStyle w:val="SCCCounselNameChar"/>
          <w:i w:val="0"/>
        </w:rPr>
        <w:t>et</w:t>
      </w:r>
      <w:r w:rsidR="00322EAF" w:rsidRPr="00040EC4">
        <w:rPr>
          <w:rStyle w:val="SCCCounselNameChar"/>
        </w:rPr>
        <w:t xml:space="preserve"> Robert W. Hubbard</w:t>
      </w:r>
      <w:r w:rsidR="00885BD6" w:rsidRPr="00040EC4">
        <w:rPr>
          <w:rStyle w:val="SCCCounselPartyRoleChar"/>
        </w:rPr>
        <w:t>, pour l’</w:t>
      </w:r>
      <w:r w:rsidRPr="00040EC4">
        <w:rPr>
          <w:rStyle w:val="SCCCounselPartyRoleChar"/>
        </w:rPr>
        <w:t>intervenant.</w:t>
      </w:r>
    </w:p>
    <w:p w:rsidR="00DE712C" w:rsidRPr="00040EC4" w:rsidRDefault="00DE712C">
      <w:pPr>
        <w:pStyle w:val="SCCNormalDoubleSpacing"/>
        <w:rPr>
          <w:rStyle w:val="SCCCounselPartyRoleChar"/>
        </w:rPr>
      </w:pPr>
    </w:p>
    <w:p w:rsidR="00DE712C" w:rsidRPr="00040EC4" w:rsidRDefault="00DE712C">
      <w:pPr>
        <w:pStyle w:val="SCCNormalDoubleSpacing"/>
      </w:pPr>
      <w:r w:rsidRPr="00040EC4">
        <w:rPr>
          <w:rStyle w:val="SCCCounselPartyRoleChar"/>
        </w:rPr>
        <w:tab/>
      </w:r>
      <w:r w:rsidRPr="00040EC4">
        <w:t>Version française du jugement de la Cour rendu oralement par</w:t>
      </w:r>
    </w:p>
    <w:p w:rsidR="00D11287" w:rsidRPr="00040EC4" w:rsidRDefault="00D11287" w:rsidP="00D11287">
      <w:pPr>
        <w:pStyle w:val="SCCNormalDoubleSpacing"/>
      </w:pPr>
    </w:p>
    <w:p w:rsidR="00D11287" w:rsidRPr="00040EC4" w:rsidRDefault="00D11287" w:rsidP="00D11287">
      <w:pPr>
        <w:pStyle w:val="SCCNormalDoubleSpacing"/>
        <w:numPr>
          <w:ilvl w:val="0"/>
          <w:numId w:val="1"/>
        </w:numPr>
        <w:tabs>
          <w:tab w:val="left" w:pos="1080"/>
        </w:tabs>
        <w:ind w:left="0" w:firstLine="0"/>
      </w:pPr>
      <w:r w:rsidRPr="00040EC4">
        <w:rPr>
          <w:smallCaps/>
        </w:rPr>
        <w:t>Le juge LeBel</w:t>
      </w:r>
      <w:r w:rsidRPr="00040EC4">
        <w:t xml:space="preserve"> — À l’instar de la Cour d’appel de l’Ontario, nous sommes tous d’avis qu’il n’y a pas eu de provocation policière.  Au vu des faits de l’espèce, la brève conversation que le policier a eue avec l’appelant près de l’appartement de ce dernier ne permettait pas de conclure à la provocati</w:t>
      </w:r>
      <w:r w:rsidR="00322EAF" w:rsidRPr="00040EC4">
        <w:t>on policière.  L’appelant a lui-</w:t>
      </w:r>
      <w:r w:rsidRPr="00040EC4">
        <w:t xml:space="preserve">même laissé le policier assister à la vente d’une substance illicite.  Il n’a pas été incité à commettre un acte criminel, car il s’adonnait en fait à ses activités </w:t>
      </w:r>
      <w:r w:rsidRPr="00040EC4">
        <w:lastRenderedPageBreak/>
        <w:t>criminelles.  Étant donné notre conclusion au sujet de la provocation policière, point n’est besoin de nous prononcer sur les questions de procédure soulevées par les parties devant les juridictions inférieures.  L’appel est rejeté.</w:t>
      </w:r>
    </w:p>
    <w:p w:rsidR="00D11287" w:rsidRPr="00040EC4" w:rsidRDefault="00D11287" w:rsidP="00D11287">
      <w:pPr>
        <w:pStyle w:val="SCCNormalDoubleSpacing"/>
      </w:pPr>
    </w:p>
    <w:p w:rsidR="0033393C" w:rsidRPr="00040EC4" w:rsidRDefault="0033393C" w:rsidP="0033393C">
      <w:pPr>
        <w:pStyle w:val="SCCNormalDoubleSpacing"/>
        <w:rPr>
          <w:i/>
        </w:rPr>
      </w:pPr>
      <w:r w:rsidRPr="00040EC4">
        <w:tab/>
      </w:r>
      <w:r w:rsidR="00885BD6" w:rsidRPr="00040EC4">
        <w:rPr>
          <w:i/>
        </w:rPr>
        <w:t>Jugement en conséquence.</w:t>
      </w:r>
    </w:p>
    <w:p w:rsidR="0033393C" w:rsidRPr="00040EC4" w:rsidRDefault="0033393C" w:rsidP="0033393C">
      <w:pPr>
        <w:pStyle w:val="SCCNormalDoubleSpacing"/>
      </w:pPr>
    </w:p>
    <w:p w:rsidR="00691E6E" w:rsidRPr="00040EC4" w:rsidRDefault="00344F7A">
      <w:pPr>
        <w:pStyle w:val="SCCLawFirm"/>
      </w:pPr>
      <w:r w:rsidRPr="00040EC4">
        <w:tab/>
        <w:t>Procureur de l’</w:t>
      </w:r>
      <w:r w:rsidR="00487B2F" w:rsidRPr="00040EC4">
        <w:t>appelant : Benjamin Moss, Toronto.</w:t>
      </w:r>
    </w:p>
    <w:p w:rsidR="00691E6E" w:rsidRPr="00040EC4" w:rsidRDefault="00691E6E">
      <w:pPr>
        <w:pStyle w:val="SCCLawFirm"/>
      </w:pPr>
    </w:p>
    <w:p w:rsidR="00691E6E" w:rsidRPr="00040EC4" w:rsidRDefault="00344F7A">
      <w:pPr>
        <w:pStyle w:val="SCCLawFirm"/>
      </w:pPr>
      <w:r w:rsidRPr="00040EC4">
        <w:tab/>
        <w:t>Procureur de l’</w:t>
      </w:r>
      <w:r w:rsidR="00487B2F" w:rsidRPr="00040EC4">
        <w:t xml:space="preserve">intimée : </w:t>
      </w:r>
      <w:r w:rsidR="004306C1" w:rsidRPr="00040EC4">
        <w:t xml:space="preserve">Service des poursuites pénales du </w:t>
      </w:r>
      <w:r w:rsidR="00487B2F" w:rsidRPr="00040EC4">
        <w:t>Canada, Toronto.</w:t>
      </w:r>
    </w:p>
    <w:p w:rsidR="00691E6E" w:rsidRPr="00040EC4" w:rsidRDefault="00691E6E">
      <w:pPr>
        <w:pStyle w:val="SCCLawFirm"/>
      </w:pPr>
    </w:p>
    <w:p w:rsidR="00691E6E" w:rsidRPr="00040EC4" w:rsidRDefault="00487B2F">
      <w:pPr>
        <w:pStyle w:val="SCCLawFirm"/>
      </w:pPr>
      <w:r w:rsidRPr="00040EC4">
        <w:tab/>
        <w:t>Procu</w:t>
      </w:r>
      <w:r w:rsidR="00344F7A" w:rsidRPr="00040EC4">
        <w:t>reur de l’</w:t>
      </w:r>
      <w:r w:rsidRPr="00040EC4">
        <w:t>intervenant</w:t>
      </w:r>
      <w:r w:rsidR="00322EAF" w:rsidRPr="00040EC4">
        <w:t> : Procureur général de l’</w:t>
      </w:r>
      <w:r w:rsidR="00DE712C" w:rsidRPr="00040EC4">
        <w:t>Ontario</w:t>
      </w:r>
      <w:r w:rsidRPr="00040EC4">
        <w:t>, Toronto.</w:t>
      </w:r>
    </w:p>
    <w:p w:rsidR="00691E6E" w:rsidRPr="00040EC4" w:rsidRDefault="00691E6E">
      <w:pPr>
        <w:pStyle w:val="SCCLawFirm"/>
      </w:pPr>
    </w:p>
    <w:sectPr w:rsidR="00691E6E" w:rsidRPr="00040EC4" w:rsidSect="00344F7A">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7A" w:rsidRDefault="00344F7A">
      <w:r>
        <w:separator/>
      </w:r>
    </w:p>
  </w:endnote>
  <w:endnote w:type="continuationSeparator" w:id="0">
    <w:p w:rsidR="00344F7A" w:rsidRDefault="00344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msRmn 12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7A" w:rsidRDefault="00344F7A">
      <w:r>
        <w:separator/>
      </w:r>
    </w:p>
  </w:footnote>
  <w:footnote w:type="continuationSeparator" w:id="0">
    <w:p w:rsidR="00344F7A" w:rsidRDefault="00344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719"/>
      <w:docPartObj>
        <w:docPartGallery w:val="Page Numbers (Top of Page)"/>
        <w:docPartUnique/>
      </w:docPartObj>
    </w:sdtPr>
    <w:sdtContent>
      <w:p w:rsidR="00344F7A" w:rsidRDefault="00344F7A">
        <w:pPr>
          <w:pStyle w:val="Header"/>
          <w:jc w:val="center"/>
        </w:pPr>
        <w:r>
          <w:t xml:space="preserve">- </w:t>
        </w:r>
        <w:fldSimple w:instr=" PAGE   \* MERGEFORMAT ">
          <w:r w:rsidR="00116597">
            <w:rPr>
              <w:noProof/>
            </w:rPr>
            <w:t>4</w:t>
          </w:r>
        </w:fldSimple>
        <w:r>
          <w:t xml:space="preserve"> -</w:t>
        </w:r>
      </w:p>
    </w:sdtContent>
  </w:sdt>
  <w:p w:rsidR="00344F7A" w:rsidRDefault="00344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3E23"/>
    <w:multiLevelType w:val="hybridMultilevel"/>
    <w:tmpl w:val="1416DA40"/>
    <w:lvl w:ilvl="0" w:tplc="F966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rsids>
    <w:rsidRoot w:val="0031414C"/>
    <w:rsid w:val="00025198"/>
    <w:rsid w:val="00040EC4"/>
    <w:rsid w:val="00055A36"/>
    <w:rsid w:val="000578A3"/>
    <w:rsid w:val="00064563"/>
    <w:rsid w:val="000648CC"/>
    <w:rsid w:val="000752E1"/>
    <w:rsid w:val="00094DE0"/>
    <w:rsid w:val="000A5321"/>
    <w:rsid w:val="000C59B8"/>
    <w:rsid w:val="000E25FE"/>
    <w:rsid w:val="00111DE2"/>
    <w:rsid w:val="00116597"/>
    <w:rsid w:val="00116B38"/>
    <w:rsid w:val="0013109F"/>
    <w:rsid w:val="00135406"/>
    <w:rsid w:val="00135972"/>
    <w:rsid w:val="00140667"/>
    <w:rsid w:val="001426A9"/>
    <w:rsid w:val="00146AF4"/>
    <w:rsid w:val="00154D7C"/>
    <w:rsid w:val="001570B0"/>
    <w:rsid w:val="00172A04"/>
    <w:rsid w:val="00175A97"/>
    <w:rsid w:val="001771C4"/>
    <w:rsid w:val="00180D0C"/>
    <w:rsid w:val="00185394"/>
    <w:rsid w:val="001A451D"/>
    <w:rsid w:val="001B33E0"/>
    <w:rsid w:val="001B422B"/>
    <w:rsid w:val="001B4573"/>
    <w:rsid w:val="001C0138"/>
    <w:rsid w:val="001C779F"/>
    <w:rsid w:val="001D2AC1"/>
    <w:rsid w:val="001F7673"/>
    <w:rsid w:val="0020112C"/>
    <w:rsid w:val="00220FC2"/>
    <w:rsid w:val="00224FC0"/>
    <w:rsid w:val="00225EA4"/>
    <w:rsid w:val="00226EAF"/>
    <w:rsid w:val="00231F3A"/>
    <w:rsid w:val="002406EE"/>
    <w:rsid w:val="00270B95"/>
    <w:rsid w:val="002745CC"/>
    <w:rsid w:val="002D39A4"/>
    <w:rsid w:val="002E6705"/>
    <w:rsid w:val="002F696C"/>
    <w:rsid w:val="0030329A"/>
    <w:rsid w:val="00307AFD"/>
    <w:rsid w:val="0031086F"/>
    <w:rsid w:val="00310E05"/>
    <w:rsid w:val="0031414C"/>
    <w:rsid w:val="00314E01"/>
    <w:rsid w:val="0032089D"/>
    <w:rsid w:val="00322EAF"/>
    <w:rsid w:val="0033393C"/>
    <w:rsid w:val="00344F7A"/>
    <w:rsid w:val="0034770C"/>
    <w:rsid w:val="0035259D"/>
    <w:rsid w:val="003866EC"/>
    <w:rsid w:val="00394476"/>
    <w:rsid w:val="003A48B3"/>
    <w:rsid w:val="003A4C70"/>
    <w:rsid w:val="003A4E15"/>
    <w:rsid w:val="003C799C"/>
    <w:rsid w:val="003E1C71"/>
    <w:rsid w:val="003F327B"/>
    <w:rsid w:val="004059A7"/>
    <w:rsid w:val="00406166"/>
    <w:rsid w:val="00411300"/>
    <w:rsid w:val="00426659"/>
    <w:rsid w:val="004306C1"/>
    <w:rsid w:val="0043088E"/>
    <w:rsid w:val="004439D8"/>
    <w:rsid w:val="00465132"/>
    <w:rsid w:val="00480BF0"/>
    <w:rsid w:val="00480C90"/>
    <w:rsid w:val="0048396F"/>
    <w:rsid w:val="00487B2F"/>
    <w:rsid w:val="00493C18"/>
    <w:rsid w:val="00494CDC"/>
    <w:rsid w:val="004A600C"/>
    <w:rsid w:val="004C478D"/>
    <w:rsid w:val="004E6A2C"/>
    <w:rsid w:val="00521AE8"/>
    <w:rsid w:val="00527180"/>
    <w:rsid w:val="00536719"/>
    <w:rsid w:val="005564A7"/>
    <w:rsid w:val="00573F20"/>
    <w:rsid w:val="005E4698"/>
    <w:rsid w:val="00625C35"/>
    <w:rsid w:val="00634E1B"/>
    <w:rsid w:val="00645057"/>
    <w:rsid w:val="00654858"/>
    <w:rsid w:val="0065517C"/>
    <w:rsid w:val="006565F4"/>
    <w:rsid w:val="00665F7C"/>
    <w:rsid w:val="00681AD1"/>
    <w:rsid w:val="00691E6E"/>
    <w:rsid w:val="006A56F1"/>
    <w:rsid w:val="006B5FF5"/>
    <w:rsid w:val="006C5661"/>
    <w:rsid w:val="006D4790"/>
    <w:rsid w:val="006F5432"/>
    <w:rsid w:val="00701759"/>
    <w:rsid w:val="00702C6F"/>
    <w:rsid w:val="00740E84"/>
    <w:rsid w:val="00747288"/>
    <w:rsid w:val="00747DD3"/>
    <w:rsid w:val="00752F4E"/>
    <w:rsid w:val="007549C8"/>
    <w:rsid w:val="00762D30"/>
    <w:rsid w:val="00763377"/>
    <w:rsid w:val="00766D14"/>
    <w:rsid w:val="00767A0F"/>
    <w:rsid w:val="007834A8"/>
    <w:rsid w:val="007A05F6"/>
    <w:rsid w:val="007B6F4A"/>
    <w:rsid w:val="007E1C47"/>
    <w:rsid w:val="007E337A"/>
    <w:rsid w:val="007E5C70"/>
    <w:rsid w:val="007F2FF5"/>
    <w:rsid w:val="008009F3"/>
    <w:rsid w:val="00810E89"/>
    <w:rsid w:val="00817190"/>
    <w:rsid w:val="008322BD"/>
    <w:rsid w:val="00855307"/>
    <w:rsid w:val="00862CF3"/>
    <w:rsid w:val="00864CF8"/>
    <w:rsid w:val="00874914"/>
    <w:rsid w:val="00885BD6"/>
    <w:rsid w:val="00892E1A"/>
    <w:rsid w:val="008958F5"/>
    <w:rsid w:val="008A1636"/>
    <w:rsid w:val="008A6558"/>
    <w:rsid w:val="008A727C"/>
    <w:rsid w:val="008C01DA"/>
    <w:rsid w:val="008F16D9"/>
    <w:rsid w:val="008F78E9"/>
    <w:rsid w:val="00902462"/>
    <w:rsid w:val="009403F3"/>
    <w:rsid w:val="00957FA2"/>
    <w:rsid w:val="00966913"/>
    <w:rsid w:val="00967374"/>
    <w:rsid w:val="0097543E"/>
    <w:rsid w:val="00983F3F"/>
    <w:rsid w:val="00985C69"/>
    <w:rsid w:val="0099079B"/>
    <w:rsid w:val="009B2F23"/>
    <w:rsid w:val="009B53E2"/>
    <w:rsid w:val="009B57B3"/>
    <w:rsid w:val="009D5AEB"/>
    <w:rsid w:val="009F383F"/>
    <w:rsid w:val="00A05F0E"/>
    <w:rsid w:val="00A21107"/>
    <w:rsid w:val="00A21B90"/>
    <w:rsid w:val="00A24E15"/>
    <w:rsid w:val="00A548CB"/>
    <w:rsid w:val="00A6242E"/>
    <w:rsid w:val="00A643E7"/>
    <w:rsid w:val="00A72120"/>
    <w:rsid w:val="00A73C38"/>
    <w:rsid w:val="00AC7437"/>
    <w:rsid w:val="00AC7A44"/>
    <w:rsid w:val="00AD7F3A"/>
    <w:rsid w:val="00AF03C5"/>
    <w:rsid w:val="00B000D8"/>
    <w:rsid w:val="00B00F75"/>
    <w:rsid w:val="00B145B6"/>
    <w:rsid w:val="00B50C81"/>
    <w:rsid w:val="00B557F8"/>
    <w:rsid w:val="00B64972"/>
    <w:rsid w:val="00B66DD8"/>
    <w:rsid w:val="00B8145D"/>
    <w:rsid w:val="00B815FC"/>
    <w:rsid w:val="00B93FBC"/>
    <w:rsid w:val="00BB6E11"/>
    <w:rsid w:val="00C02092"/>
    <w:rsid w:val="00C057F7"/>
    <w:rsid w:val="00C24C8C"/>
    <w:rsid w:val="00C24D91"/>
    <w:rsid w:val="00C52532"/>
    <w:rsid w:val="00C53F14"/>
    <w:rsid w:val="00C55C2E"/>
    <w:rsid w:val="00C600CF"/>
    <w:rsid w:val="00C6084F"/>
    <w:rsid w:val="00C62A66"/>
    <w:rsid w:val="00C62A6F"/>
    <w:rsid w:val="00C67CA5"/>
    <w:rsid w:val="00C71458"/>
    <w:rsid w:val="00C71F58"/>
    <w:rsid w:val="00C77613"/>
    <w:rsid w:val="00C828E7"/>
    <w:rsid w:val="00C921DD"/>
    <w:rsid w:val="00CA42E4"/>
    <w:rsid w:val="00CA4D82"/>
    <w:rsid w:val="00CA6391"/>
    <w:rsid w:val="00CB16ED"/>
    <w:rsid w:val="00CE3171"/>
    <w:rsid w:val="00CF1601"/>
    <w:rsid w:val="00D11287"/>
    <w:rsid w:val="00D30B3C"/>
    <w:rsid w:val="00D32086"/>
    <w:rsid w:val="00D37A3F"/>
    <w:rsid w:val="00D45FCF"/>
    <w:rsid w:val="00D4667A"/>
    <w:rsid w:val="00D510BB"/>
    <w:rsid w:val="00D5435D"/>
    <w:rsid w:val="00D74F2E"/>
    <w:rsid w:val="00D92EF8"/>
    <w:rsid w:val="00DA0590"/>
    <w:rsid w:val="00DC1788"/>
    <w:rsid w:val="00DD5C90"/>
    <w:rsid w:val="00DE712C"/>
    <w:rsid w:val="00DF0CA8"/>
    <w:rsid w:val="00DF49A7"/>
    <w:rsid w:val="00E01106"/>
    <w:rsid w:val="00E07EE2"/>
    <w:rsid w:val="00E24573"/>
    <w:rsid w:val="00E377A1"/>
    <w:rsid w:val="00E45109"/>
    <w:rsid w:val="00E5221C"/>
    <w:rsid w:val="00E54B02"/>
    <w:rsid w:val="00E97830"/>
    <w:rsid w:val="00EA03E5"/>
    <w:rsid w:val="00EE0FAF"/>
    <w:rsid w:val="00F00EB7"/>
    <w:rsid w:val="00F2258E"/>
    <w:rsid w:val="00F31FC2"/>
    <w:rsid w:val="00F33658"/>
    <w:rsid w:val="00F36AB6"/>
    <w:rsid w:val="00F409CE"/>
    <w:rsid w:val="00F519B3"/>
    <w:rsid w:val="00F84DF4"/>
    <w:rsid w:val="00F853FB"/>
    <w:rsid w:val="00F85C97"/>
    <w:rsid w:val="00FA2FE1"/>
    <w:rsid w:val="00FB7544"/>
    <w:rsid w:val="00FC606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table" w:styleId="TableGrid">
    <w:name w:val="Table Grid"/>
    <w:basedOn w:val="TableNormal"/>
    <w:uiPriority w:val="59"/>
    <w:rsid w:val="00BB6E1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BB6E11"/>
    <w:rPr>
      <w:rFonts w:eastAsiaTheme="minorHAnsi" w:cstheme="minorBidi"/>
      <w:b/>
      <w:smallCaps/>
      <w:szCs w:val="24"/>
      <w:lang w:eastAsia="en-US"/>
    </w:rPr>
  </w:style>
  <w:style w:type="character" w:customStyle="1" w:styleId="SCCLsocPrefixChar">
    <w:name w:val="SCC.Lsoc.Prefix Char"/>
    <w:basedOn w:val="DefaultParagraphFont"/>
    <w:link w:val="SCCLsocPrefix"/>
    <w:rsid w:val="00BB6E11"/>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2011-03-25T19:03:00Z</dcterms:created>
  <dcterms:modified xsi:type="dcterms:W3CDTF">2011-03-25T19:03:00Z</dcterms:modified>
</cp:coreProperties>
</file>