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67" w:rsidRPr="007210FA" w:rsidRDefault="00582A67" w:rsidP="00582A67">
      <w:pPr>
        <w:tabs>
          <w:tab w:val="center" w:pos="4680"/>
          <w:tab w:val="right" w:pos="9360"/>
        </w:tabs>
        <w:rPr>
          <w:rFonts w:eastAsiaTheme="minorHAnsi" w:cstheme="minorBidi"/>
          <w:szCs w:val="24"/>
          <w:lang w:eastAsia="en-US"/>
        </w:rPr>
      </w:pPr>
      <w:r w:rsidRPr="007210FA">
        <w:rPr>
          <w:rFonts w:eastAsiaTheme="minorHAnsi" w:cstheme="minorBidi"/>
          <w:szCs w:val="24"/>
          <w:lang w:eastAsia="en-US"/>
        </w:rPr>
        <w:ptab w:relativeTo="margin" w:alignment="center" w:leader="none"/>
      </w:r>
      <w:r w:rsidRPr="007210FA">
        <w:rPr>
          <w:rFonts w:eastAsiaTheme="minorHAnsi" w:cstheme="minorBidi"/>
          <w:szCs w:val="24"/>
          <w:lang w:eastAsia="en-US"/>
        </w:rPr>
        <w:t xml:space="preserve"> </w:t>
      </w:r>
      <w:r w:rsidRPr="007210F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62570653" r:id="rId9"/>
        </w:object>
      </w:r>
      <w:r w:rsidRPr="007210FA">
        <w:rPr>
          <w:rFonts w:eastAsiaTheme="minorHAnsi" w:cstheme="minorBidi"/>
          <w:szCs w:val="24"/>
          <w:lang w:eastAsia="en-US"/>
        </w:rPr>
        <w:t xml:space="preserve"> </w:t>
      </w:r>
      <w:r w:rsidRPr="007210FA">
        <w:rPr>
          <w:rFonts w:eastAsiaTheme="minorHAnsi" w:cstheme="minorBidi"/>
          <w:szCs w:val="24"/>
          <w:lang w:eastAsia="en-US"/>
        </w:rPr>
        <w:ptab w:relativeTo="margin" w:alignment="right" w:leader="none"/>
      </w:r>
    </w:p>
    <w:p w:rsidR="00582A67" w:rsidRPr="007210FA" w:rsidRDefault="00582A67" w:rsidP="00582A67">
      <w:pPr>
        <w:tabs>
          <w:tab w:val="center" w:pos="4680"/>
          <w:tab w:val="right" w:pos="9360"/>
        </w:tabs>
        <w:rPr>
          <w:rFonts w:eastAsiaTheme="minorHAnsi" w:cstheme="minorBidi"/>
          <w:szCs w:val="24"/>
          <w:lang w:eastAsia="en-US"/>
        </w:rPr>
      </w:pPr>
    </w:p>
    <w:p w:rsidR="00582A67" w:rsidRPr="007210FA" w:rsidRDefault="00582A67" w:rsidP="00582A67">
      <w:pPr>
        <w:jc w:val="center"/>
        <w:rPr>
          <w:rFonts w:eastAsiaTheme="minorHAnsi" w:cstheme="minorBidi"/>
          <w:b/>
          <w:szCs w:val="24"/>
          <w:lang w:eastAsia="en-US"/>
        </w:rPr>
      </w:pPr>
      <w:r w:rsidRPr="007210FA">
        <w:rPr>
          <w:rFonts w:eastAsiaTheme="minorHAnsi" w:cstheme="minorBidi"/>
          <w:b/>
          <w:szCs w:val="24"/>
          <w:lang w:eastAsia="en-US"/>
        </w:rPr>
        <w:t>COUR SUPRÊME DU CANADA</w:t>
      </w:r>
    </w:p>
    <w:p w:rsidR="00582A67" w:rsidRPr="007210FA" w:rsidRDefault="00582A67" w:rsidP="00582A67">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82A67" w:rsidRPr="007210FA" w:rsidTr="00EB3E9F">
        <w:trPr>
          <w:cantSplit/>
        </w:trPr>
        <w:tc>
          <w:tcPr>
            <w:tcW w:w="6768" w:type="dxa"/>
          </w:tcPr>
          <w:p w:rsidR="00582A67" w:rsidRPr="00582A67" w:rsidRDefault="00582A67" w:rsidP="00EB3E9F">
            <w:r w:rsidRPr="007210FA">
              <w:rPr>
                <w:b/>
                <w:smallCaps/>
              </w:rPr>
              <w:t xml:space="preserve">Référence </w:t>
            </w:r>
            <w:r w:rsidRPr="007210FA">
              <w:rPr>
                <w:b/>
              </w:rPr>
              <w:t>:</w:t>
            </w:r>
            <w:r w:rsidRPr="007210FA">
              <w:t xml:space="preserve"> R. </w:t>
            </w:r>
            <w:r w:rsidRPr="007210FA">
              <w:rPr>
                <w:i/>
              </w:rPr>
              <w:t>c.</w:t>
            </w:r>
            <w:r w:rsidRPr="007210FA">
              <w:t xml:space="preserve"> Lee, 2010 CSC 52</w:t>
            </w:r>
            <w:r w:rsidRPr="00582A67">
              <w:rPr>
                <w:rStyle w:val="SCCRespondentForIndexChar"/>
                <w:b w:val="0"/>
              </w:rPr>
              <w:t>, [2010] 3 R.C.S. 99</w:t>
            </w:r>
          </w:p>
        </w:tc>
        <w:tc>
          <w:tcPr>
            <w:tcW w:w="2808" w:type="dxa"/>
          </w:tcPr>
          <w:p w:rsidR="00582A67" w:rsidRPr="007210FA" w:rsidRDefault="00582A67" w:rsidP="00EB3E9F">
            <w:r w:rsidRPr="007210FA">
              <w:rPr>
                <w:b/>
                <w:smallCaps/>
              </w:rPr>
              <w:t xml:space="preserve">Date </w:t>
            </w:r>
            <w:r w:rsidRPr="007210FA">
              <w:t>: 20101112</w:t>
            </w:r>
          </w:p>
          <w:p w:rsidR="00582A67" w:rsidRPr="007210FA" w:rsidRDefault="00582A67" w:rsidP="00EB3E9F">
            <w:r w:rsidRPr="007210FA">
              <w:rPr>
                <w:b/>
                <w:smallCaps/>
              </w:rPr>
              <w:t xml:space="preserve">Dossier </w:t>
            </w:r>
            <w:r w:rsidRPr="007210FA">
              <w:t>: 33575</w:t>
            </w:r>
          </w:p>
        </w:tc>
      </w:tr>
    </w:tbl>
    <w:p w:rsidR="00582A67" w:rsidRPr="007210FA" w:rsidRDefault="00582A67" w:rsidP="00582A67">
      <w:pPr>
        <w:rPr>
          <w:rFonts w:eastAsiaTheme="minorHAnsi" w:cstheme="minorBidi"/>
          <w:szCs w:val="24"/>
          <w:lang w:eastAsia="en-US"/>
        </w:rPr>
      </w:pPr>
    </w:p>
    <w:p w:rsidR="00582A67" w:rsidRPr="007210FA" w:rsidRDefault="00582A67" w:rsidP="00582A67">
      <w:pPr>
        <w:rPr>
          <w:rFonts w:eastAsiaTheme="minorHAnsi" w:cstheme="minorBidi"/>
          <w:b/>
          <w:smallCaps/>
          <w:szCs w:val="24"/>
          <w:lang w:eastAsia="en-US"/>
        </w:rPr>
      </w:pPr>
      <w:r w:rsidRPr="007210FA">
        <w:rPr>
          <w:rFonts w:eastAsiaTheme="minorHAnsi" w:cstheme="minorBidi"/>
          <w:b/>
          <w:smallCaps/>
          <w:szCs w:val="24"/>
          <w:lang w:eastAsia="en-US"/>
        </w:rPr>
        <w:t>Entre :</w:t>
      </w:r>
    </w:p>
    <w:p w:rsidR="00582A67" w:rsidRPr="007210FA" w:rsidRDefault="00582A67" w:rsidP="00582A67">
      <w:pPr>
        <w:jc w:val="center"/>
        <w:rPr>
          <w:rFonts w:eastAsiaTheme="minorHAnsi" w:cstheme="minorBidi"/>
          <w:b/>
          <w:szCs w:val="24"/>
          <w:lang w:eastAsia="en-US"/>
        </w:rPr>
      </w:pPr>
      <w:r w:rsidRPr="007210FA">
        <w:rPr>
          <w:rFonts w:eastAsiaTheme="minorHAnsi" w:cstheme="minorBidi"/>
          <w:b/>
          <w:szCs w:val="24"/>
          <w:lang w:eastAsia="en-US"/>
        </w:rPr>
        <w:t>Christopher John Lee</w:t>
      </w:r>
    </w:p>
    <w:p w:rsidR="00582A67" w:rsidRPr="007210FA" w:rsidRDefault="00582A67" w:rsidP="00582A67">
      <w:pPr>
        <w:jc w:val="center"/>
        <w:rPr>
          <w:rFonts w:eastAsiaTheme="minorHAnsi" w:cstheme="minorBidi"/>
          <w:szCs w:val="24"/>
          <w:lang w:eastAsia="en-US"/>
        </w:rPr>
      </w:pPr>
      <w:r w:rsidRPr="007210FA">
        <w:rPr>
          <w:rFonts w:eastAsiaTheme="minorHAnsi" w:cstheme="minorBidi"/>
          <w:szCs w:val="24"/>
          <w:lang w:eastAsia="en-US"/>
        </w:rPr>
        <w:t>Appelant</w:t>
      </w:r>
    </w:p>
    <w:p w:rsidR="00582A67" w:rsidRPr="007210FA" w:rsidRDefault="00582A67" w:rsidP="00582A67">
      <w:pPr>
        <w:jc w:val="center"/>
        <w:rPr>
          <w:rFonts w:eastAsiaTheme="minorHAnsi" w:cstheme="minorBidi"/>
          <w:szCs w:val="24"/>
          <w:lang w:eastAsia="en-US"/>
        </w:rPr>
      </w:pPr>
      <w:proofErr w:type="gramStart"/>
      <w:r w:rsidRPr="007210FA">
        <w:rPr>
          <w:rFonts w:eastAsiaTheme="minorHAnsi" w:cstheme="minorBidi"/>
          <w:szCs w:val="24"/>
          <w:lang w:eastAsia="en-US"/>
        </w:rPr>
        <w:t>et</w:t>
      </w:r>
      <w:proofErr w:type="gramEnd"/>
    </w:p>
    <w:p w:rsidR="00582A67" w:rsidRPr="007210FA" w:rsidRDefault="00582A67" w:rsidP="00582A67">
      <w:pPr>
        <w:jc w:val="center"/>
        <w:rPr>
          <w:rFonts w:eastAsiaTheme="minorHAnsi" w:cstheme="minorBidi"/>
          <w:b/>
          <w:szCs w:val="24"/>
          <w:lang w:eastAsia="en-US"/>
        </w:rPr>
      </w:pPr>
      <w:r w:rsidRPr="007210FA">
        <w:rPr>
          <w:rFonts w:eastAsiaTheme="minorHAnsi" w:cstheme="minorBidi"/>
          <w:b/>
          <w:szCs w:val="24"/>
          <w:lang w:eastAsia="en-US"/>
        </w:rPr>
        <w:t>Sa Majesté la Reine</w:t>
      </w:r>
    </w:p>
    <w:p w:rsidR="00582A67" w:rsidRPr="007210FA" w:rsidRDefault="00582A67" w:rsidP="00582A67">
      <w:pPr>
        <w:jc w:val="center"/>
        <w:rPr>
          <w:rFonts w:eastAsiaTheme="minorHAnsi" w:cstheme="minorBidi"/>
          <w:szCs w:val="24"/>
          <w:lang w:eastAsia="en-US"/>
        </w:rPr>
      </w:pPr>
      <w:r w:rsidRPr="007210FA">
        <w:rPr>
          <w:rFonts w:eastAsiaTheme="minorHAnsi" w:cstheme="minorBidi"/>
          <w:szCs w:val="24"/>
          <w:lang w:eastAsia="en-US"/>
        </w:rPr>
        <w:t>Intimée</w:t>
      </w:r>
    </w:p>
    <w:p w:rsidR="00582A67" w:rsidRPr="007210FA" w:rsidRDefault="00582A67" w:rsidP="00582A67">
      <w:pPr>
        <w:rPr>
          <w:rFonts w:eastAsiaTheme="minorHAnsi" w:cstheme="minorBidi"/>
          <w:szCs w:val="24"/>
          <w:lang w:eastAsia="en-US"/>
        </w:rPr>
      </w:pPr>
    </w:p>
    <w:p w:rsidR="00582A67" w:rsidRPr="007210FA" w:rsidRDefault="00582A67" w:rsidP="00582A67">
      <w:pPr>
        <w:jc w:val="center"/>
        <w:rPr>
          <w:rFonts w:eastAsiaTheme="minorHAnsi" w:cstheme="minorBidi"/>
          <w:b/>
          <w:smallCaps/>
          <w:szCs w:val="24"/>
          <w:lang w:eastAsia="en-US"/>
        </w:rPr>
      </w:pPr>
      <w:r w:rsidRPr="007210FA">
        <w:rPr>
          <w:rFonts w:eastAsiaTheme="minorHAnsi" w:cstheme="minorBidi"/>
          <w:b/>
          <w:smallCaps/>
          <w:szCs w:val="24"/>
          <w:lang w:eastAsia="en-US"/>
        </w:rPr>
        <w:t>Traduction française officielle</w:t>
      </w:r>
    </w:p>
    <w:p w:rsidR="00582A67" w:rsidRPr="007210FA" w:rsidRDefault="00582A67" w:rsidP="00582A67">
      <w:pPr>
        <w:rPr>
          <w:rFonts w:eastAsiaTheme="minorHAnsi" w:cstheme="minorBidi"/>
          <w:szCs w:val="24"/>
          <w:lang w:eastAsia="en-US"/>
        </w:rPr>
      </w:pPr>
    </w:p>
    <w:p w:rsidR="00582A67" w:rsidRPr="007210FA" w:rsidRDefault="00582A67" w:rsidP="00582A67">
      <w:pPr>
        <w:rPr>
          <w:rFonts w:eastAsiaTheme="minorHAnsi" w:cstheme="minorBidi"/>
          <w:szCs w:val="24"/>
          <w:lang w:eastAsia="en-US"/>
        </w:rPr>
      </w:pPr>
      <w:r w:rsidRPr="007210FA">
        <w:rPr>
          <w:rFonts w:eastAsiaTheme="minorHAnsi" w:cstheme="minorBidi"/>
          <w:b/>
          <w:smallCaps/>
          <w:szCs w:val="24"/>
          <w:lang w:eastAsia="en-US"/>
        </w:rPr>
        <w:t xml:space="preserve">Coram </w:t>
      </w:r>
      <w:r w:rsidRPr="007210FA">
        <w:rPr>
          <w:rFonts w:eastAsiaTheme="minorHAnsi" w:cstheme="minorBidi"/>
          <w:b/>
          <w:szCs w:val="24"/>
          <w:lang w:eastAsia="en-US"/>
        </w:rPr>
        <w:t>:</w:t>
      </w:r>
      <w:r w:rsidRPr="007210FA">
        <w:rPr>
          <w:rFonts w:eastAsiaTheme="minorHAnsi" w:cstheme="minorBidi"/>
          <w:szCs w:val="24"/>
          <w:lang w:eastAsia="en-US"/>
        </w:rPr>
        <w:t xml:space="preserve"> Les juges </w:t>
      </w:r>
      <w:proofErr w:type="spellStart"/>
      <w:r w:rsidRPr="007210FA">
        <w:rPr>
          <w:rFonts w:eastAsiaTheme="minorHAnsi" w:cstheme="minorBidi"/>
          <w:szCs w:val="24"/>
          <w:lang w:eastAsia="en-US"/>
        </w:rPr>
        <w:t>Binnie</w:t>
      </w:r>
      <w:proofErr w:type="spellEnd"/>
      <w:r w:rsidRPr="007210FA">
        <w:rPr>
          <w:rFonts w:eastAsiaTheme="minorHAnsi" w:cstheme="minorBidi"/>
          <w:szCs w:val="24"/>
          <w:lang w:eastAsia="en-US"/>
        </w:rPr>
        <w:t xml:space="preserve">, </w:t>
      </w:r>
      <w:proofErr w:type="spellStart"/>
      <w:r w:rsidRPr="007210FA">
        <w:rPr>
          <w:rFonts w:eastAsiaTheme="minorHAnsi" w:cstheme="minorBidi"/>
          <w:szCs w:val="24"/>
          <w:lang w:eastAsia="en-US"/>
        </w:rPr>
        <w:t>LeBel</w:t>
      </w:r>
      <w:proofErr w:type="spellEnd"/>
      <w:r w:rsidRPr="007210FA">
        <w:rPr>
          <w:rFonts w:eastAsiaTheme="minorHAnsi" w:cstheme="minorBidi"/>
          <w:szCs w:val="24"/>
          <w:lang w:eastAsia="en-US"/>
        </w:rPr>
        <w:t>, Deschamps, Fish, Abella, Charron et Cromwell</w:t>
      </w:r>
    </w:p>
    <w:p w:rsidR="00582A67" w:rsidRPr="007210FA" w:rsidRDefault="00582A67" w:rsidP="00582A67">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82A67" w:rsidRPr="007210FA" w:rsidTr="00EB3E9F">
        <w:trPr>
          <w:cantSplit/>
        </w:trPr>
        <w:tc>
          <w:tcPr>
            <w:tcW w:w="3618" w:type="dxa"/>
          </w:tcPr>
          <w:p w:rsidR="00582A67" w:rsidRPr="007210FA" w:rsidRDefault="00582A67" w:rsidP="00EB3E9F">
            <w:r w:rsidRPr="007210FA">
              <w:rPr>
                <w:b/>
                <w:smallCaps/>
              </w:rPr>
              <w:t>Motifs de jugement</w:t>
            </w:r>
            <w:r w:rsidRPr="007210FA">
              <w:t xml:space="preserve"> </w:t>
            </w:r>
            <w:r w:rsidRPr="007210FA">
              <w:rPr>
                <w:b/>
              </w:rPr>
              <w:t>:</w:t>
            </w:r>
          </w:p>
          <w:p w:rsidR="00582A67" w:rsidRPr="007210FA" w:rsidRDefault="00582A67" w:rsidP="00EB3E9F">
            <w:r w:rsidRPr="007210FA">
              <w:t>(par. 1 à 8)</w:t>
            </w:r>
          </w:p>
        </w:tc>
        <w:tc>
          <w:tcPr>
            <w:tcW w:w="5958" w:type="dxa"/>
          </w:tcPr>
          <w:p w:rsidR="00582A67" w:rsidRPr="007210FA" w:rsidRDefault="00582A67" w:rsidP="00EB3E9F">
            <w:r w:rsidRPr="007210FA">
              <w:t>La Cour</w:t>
            </w:r>
          </w:p>
        </w:tc>
      </w:tr>
    </w:tbl>
    <w:p w:rsidR="00582A67" w:rsidRPr="007210FA" w:rsidRDefault="00582A67" w:rsidP="00582A67">
      <w:pPr>
        <w:rPr>
          <w:rFonts w:eastAsiaTheme="minorHAnsi" w:cstheme="minorBidi"/>
          <w:szCs w:val="24"/>
          <w:lang w:eastAsia="en-US"/>
        </w:rPr>
      </w:pPr>
    </w:p>
    <w:p w:rsidR="00582A67" w:rsidRPr="007210FA" w:rsidRDefault="00346A2C" w:rsidP="00582A67">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582A67" w:rsidRPr="007210FA" w:rsidRDefault="00582A67" w:rsidP="00582A67">
      <w:pPr>
        <w:spacing w:line="480" w:lineRule="auto"/>
        <w:jc w:val="both"/>
        <w:sectPr w:rsidR="00582A67" w:rsidRPr="007210FA"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pPr>
    </w:p>
    <w:p w:rsidR="00766D14" w:rsidRPr="008C5B4F" w:rsidRDefault="008C5B4F" w:rsidP="00730730">
      <w:pPr>
        <w:spacing w:line="480" w:lineRule="auto"/>
        <w:jc w:val="both"/>
        <w:rPr>
          <w:lang w:val="en-US"/>
        </w:rPr>
      </w:pPr>
      <w:r w:rsidRPr="008C5B4F">
        <w:rPr>
          <w:lang w:val="en-US"/>
        </w:rPr>
        <w:lastRenderedPageBreak/>
        <w:t xml:space="preserve">R. </w:t>
      </w:r>
      <w:r w:rsidRPr="008C5B4F">
        <w:rPr>
          <w:i/>
          <w:lang w:val="en-US"/>
        </w:rPr>
        <w:t>c</w:t>
      </w:r>
      <w:r w:rsidRPr="008C5B4F">
        <w:rPr>
          <w:lang w:val="en-US"/>
        </w:rPr>
        <w:t xml:space="preserve">. </w:t>
      </w:r>
      <w:r w:rsidRPr="008C5B4F">
        <w:rPr>
          <w:rStyle w:val="SCCAppellantForIndexChar"/>
          <w:b w:val="0"/>
          <w:lang w:val="en-US"/>
        </w:rPr>
        <w:t>Lee</w:t>
      </w:r>
      <w:r w:rsidRPr="008C5B4F">
        <w:rPr>
          <w:rStyle w:val="SCCRespondentForRunningHeadChar"/>
          <w:lang w:val="en-US"/>
        </w:rPr>
        <w:t xml:space="preserve">, </w:t>
      </w:r>
      <w:r w:rsidRPr="008C5B4F">
        <w:rPr>
          <w:rStyle w:val="SCCRespondentForIndexChar"/>
          <w:b w:val="0"/>
          <w:lang w:val="en-US"/>
        </w:rPr>
        <w:t xml:space="preserve">2010 CSC </w:t>
      </w:r>
      <w:r>
        <w:rPr>
          <w:rStyle w:val="SCCRespondentForIndexChar"/>
          <w:b w:val="0"/>
          <w:lang w:val="en-US"/>
        </w:rPr>
        <w:t>52, [2010] 3</w:t>
      </w:r>
      <w:r w:rsidRPr="008C5B4F">
        <w:rPr>
          <w:rStyle w:val="SCCRespondentForIndexChar"/>
          <w:b w:val="0"/>
          <w:lang w:val="en-US"/>
        </w:rPr>
        <w:t xml:space="preserve"> R.C.S. </w:t>
      </w:r>
      <w:r>
        <w:rPr>
          <w:rStyle w:val="SCCRespondentForIndexChar"/>
          <w:b w:val="0"/>
          <w:lang w:val="en-US"/>
        </w:rPr>
        <w:t>9</w:t>
      </w:r>
      <w:r w:rsidRPr="008C5B4F">
        <w:rPr>
          <w:rStyle w:val="SCCRespondentForIndexChar"/>
          <w:b w:val="0"/>
          <w:lang w:val="en-US"/>
        </w:rPr>
        <w:t>9</w:t>
      </w:r>
    </w:p>
    <w:p w:rsidR="007834A8" w:rsidRPr="008C5B4F" w:rsidRDefault="007834A8" w:rsidP="00730730">
      <w:pPr>
        <w:spacing w:line="480" w:lineRule="auto"/>
        <w:jc w:val="both"/>
        <w:rPr>
          <w:lang w:val="en-US"/>
        </w:rPr>
      </w:pPr>
    </w:p>
    <w:p w:rsidR="00D032A5" w:rsidRPr="00582A67" w:rsidRDefault="009E12FF" w:rsidP="00730730">
      <w:pPr>
        <w:pStyle w:val="SCCLsocParty"/>
        <w:tabs>
          <w:tab w:val="right" w:pos="8280"/>
        </w:tabs>
        <w:spacing w:line="480" w:lineRule="auto"/>
        <w:rPr>
          <w:b w:val="0"/>
          <w:i/>
          <w:lang w:val="en-CA"/>
        </w:rPr>
      </w:pPr>
      <w:r w:rsidRPr="00582A67">
        <w:rPr>
          <w:lang w:val="en-CA"/>
        </w:rPr>
        <w:t>Christopher John Lee</w:t>
      </w:r>
      <w:r w:rsidR="00D032A5" w:rsidRPr="00582A67">
        <w:rPr>
          <w:lang w:val="en-CA"/>
        </w:rPr>
        <w:tab/>
      </w:r>
      <w:proofErr w:type="spellStart"/>
      <w:r w:rsidRPr="00582A67">
        <w:rPr>
          <w:b w:val="0"/>
          <w:i/>
          <w:lang w:val="en-CA"/>
        </w:rPr>
        <w:t>Appelant</w:t>
      </w:r>
      <w:proofErr w:type="spellEnd"/>
    </w:p>
    <w:p w:rsidR="005D3B5B" w:rsidRPr="00582A67" w:rsidRDefault="005D3B5B" w:rsidP="00730730">
      <w:pPr>
        <w:pStyle w:val="SCCLsocParty"/>
        <w:tabs>
          <w:tab w:val="right" w:pos="8280"/>
        </w:tabs>
        <w:spacing w:line="480" w:lineRule="auto"/>
        <w:rPr>
          <w:lang w:val="en-CA"/>
        </w:rPr>
      </w:pPr>
    </w:p>
    <w:p w:rsidR="00D032A5" w:rsidRPr="00582A67" w:rsidRDefault="009E12FF" w:rsidP="00730730">
      <w:pPr>
        <w:pStyle w:val="SCCLsocVersus"/>
        <w:spacing w:line="480" w:lineRule="auto"/>
        <w:rPr>
          <w:lang w:val="en-CA"/>
        </w:rPr>
      </w:pPr>
      <w:proofErr w:type="gramStart"/>
      <w:r w:rsidRPr="00582A67">
        <w:rPr>
          <w:lang w:val="en-CA"/>
        </w:rPr>
        <w:t>c</w:t>
      </w:r>
      <w:proofErr w:type="gramEnd"/>
      <w:r w:rsidRPr="00582A67">
        <w:rPr>
          <w:lang w:val="en-CA"/>
        </w:rPr>
        <w:t>.</w:t>
      </w:r>
    </w:p>
    <w:p w:rsidR="005D3B5B" w:rsidRPr="00582A67" w:rsidRDefault="005D3B5B" w:rsidP="00730730">
      <w:pPr>
        <w:pStyle w:val="SCCLsocVersus"/>
        <w:spacing w:line="480" w:lineRule="auto"/>
        <w:rPr>
          <w:lang w:val="en-CA"/>
        </w:rPr>
      </w:pPr>
    </w:p>
    <w:p w:rsidR="005D3B5B" w:rsidRPr="001E08D2" w:rsidRDefault="009E12FF" w:rsidP="00730730">
      <w:pPr>
        <w:pStyle w:val="SCCLsocParty"/>
        <w:tabs>
          <w:tab w:val="right" w:pos="8280"/>
        </w:tabs>
        <w:spacing w:line="480" w:lineRule="auto"/>
      </w:pPr>
      <w:r w:rsidRPr="001E08D2">
        <w:t>Sa Majesté la Reine</w:t>
      </w:r>
      <w:r w:rsidR="00D032A5" w:rsidRPr="001E08D2">
        <w:tab/>
      </w:r>
      <w:r w:rsidR="00D032A5" w:rsidRPr="001E08D2">
        <w:rPr>
          <w:b w:val="0"/>
          <w:i/>
        </w:rPr>
        <w:t>Intimé</w:t>
      </w:r>
      <w:r w:rsidRPr="001E08D2">
        <w:rPr>
          <w:b w:val="0"/>
          <w:i/>
        </w:rPr>
        <w:t>e</w:t>
      </w:r>
    </w:p>
    <w:p w:rsidR="00766D14" w:rsidRPr="001E08D2" w:rsidRDefault="00766D14" w:rsidP="00730730">
      <w:pPr>
        <w:spacing w:line="480" w:lineRule="auto"/>
        <w:jc w:val="both"/>
      </w:pPr>
    </w:p>
    <w:p w:rsidR="00426659" w:rsidRPr="001E08D2" w:rsidRDefault="0043088E" w:rsidP="00730730">
      <w:pPr>
        <w:spacing w:line="480" w:lineRule="auto"/>
        <w:jc w:val="both"/>
        <w:rPr>
          <w:b/>
        </w:rPr>
      </w:pPr>
      <w:r w:rsidRPr="001E08D2">
        <w:rPr>
          <w:b/>
        </w:rPr>
        <w:t>Répertorié</w:t>
      </w:r>
      <w:r w:rsidR="00C67CA5" w:rsidRPr="001E08D2">
        <w:rPr>
          <w:b/>
        </w:rPr>
        <w:t> </w:t>
      </w:r>
      <w:r w:rsidR="00426659" w:rsidRPr="001E08D2">
        <w:rPr>
          <w:b/>
        </w:rPr>
        <w:t>:</w:t>
      </w:r>
      <w:r w:rsidR="00C67CA5" w:rsidRPr="001E08D2">
        <w:rPr>
          <w:b/>
        </w:rPr>
        <w:t> </w:t>
      </w:r>
      <w:r w:rsidR="00D032A5" w:rsidRPr="001E08D2">
        <w:rPr>
          <w:b/>
        </w:rPr>
        <w:t xml:space="preserve">R. </w:t>
      </w:r>
      <w:r w:rsidR="00D032A5" w:rsidRPr="001E08D2">
        <w:rPr>
          <w:b/>
          <w:i/>
        </w:rPr>
        <w:t>c</w:t>
      </w:r>
      <w:r w:rsidR="00D032A5" w:rsidRPr="001E08D2">
        <w:rPr>
          <w:b/>
        </w:rPr>
        <w:t xml:space="preserve">. </w:t>
      </w:r>
      <w:r w:rsidRPr="001E08D2">
        <w:rPr>
          <w:rStyle w:val="SCCAppellantForIndexChar"/>
        </w:rPr>
        <w:t>Le</w:t>
      </w:r>
      <w:r w:rsidR="00D032A5" w:rsidRPr="001E08D2">
        <w:rPr>
          <w:rStyle w:val="SCCAppellantForIndexChar"/>
        </w:rPr>
        <w:t>e</w:t>
      </w:r>
    </w:p>
    <w:p w:rsidR="00426659" w:rsidRPr="001E08D2" w:rsidRDefault="00426659" w:rsidP="00730730">
      <w:pPr>
        <w:spacing w:line="480" w:lineRule="auto"/>
        <w:jc w:val="both"/>
      </w:pPr>
    </w:p>
    <w:p w:rsidR="00426659" w:rsidRPr="001E08D2" w:rsidRDefault="00F853FB" w:rsidP="00730730">
      <w:pPr>
        <w:pStyle w:val="SCCSystemYear"/>
        <w:spacing w:line="480" w:lineRule="auto"/>
        <w:jc w:val="both"/>
      </w:pPr>
      <w:r w:rsidRPr="001E08D2">
        <w:t>2010</w:t>
      </w:r>
      <w:r w:rsidR="00FB79E6" w:rsidRPr="001E08D2">
        <w:t> </w:t>
      </w:r>
      <w:r w:rsidR="00C71F58" w:rsidRPr="001E08D2">
        <w:t>C</w:t>
      </w:r>
      <w:r w:rsidR="00C3282B" w:rsidRPr="001E08D2">
        <w:t>SC 5</w:t>
      </w:r>
      <w:r w:rsidR="00B805BA" w:rsidRPr="001E08D2">
        <w:t>2</w:t>
      </w:r>
    </w:p>
    <w:p w:rsidR="007834A8" w:rsidRPr="001E08D2" w:rsidRDefault="007834A8" w:rsidP="00730730">
      <w:pPr>
        <w:spacing w:line="480" w:lineRule="auto"/>
        <w:jc w:val="both"/>
      </w:pPr>
    </w:p>
    <w:p w:rsidR="008322BD" w:rsidRPr="001E08D2" w:rsidRDefault="009B57B3" w:rsidP="00730730">
      <w:pPr>
        <w:spacing w:line="480" w:lineRule="auto"/>
        <w:jc w:val="both"/>
      </w:pPr>
      <w:r w:rsidRPr="001E08D2">
        <w:t>N</w:t>
      </w:r>
      <w:r w:rsidRPr="001E08D2">
        <w:rPr>
          <w:vertAlign w:val="superscript"/>
        </w:rPr>
        <w:t>o</w:t>
      </w:r>
      <w:r w:rsidR="0043088E" w:rsidRPr="001E08D2">
        <w:t xml:space="preserve"> du greffe</w:t>
      </w:r>
      <w:r w:rsidR="00C67CA5" w:rsidRPr="001E08D2">
        <w:t> </w:t>
      </w:r>
      <w:r w:rsidRPr="001E08D2">
        <w:t>:</w:t>
      </w:r>
      <w:r w:rsidR="00C67CA5" w:rsidRPr="001E08D2">
        <w:t> </w:t>
      </w:r>
      <w:r w:rsidRPr="001E08D2">
        <w:t>33575.</w:t>
      </w:r>
    </w:p>
    <w:p w:rsidR="007834A8" w:rsidRPr="001E08D2" w:rsidRDefault="007834A8" w:rsidP="00730730">
      <w:pPr>
        <w:spacing w:line="480" w:lineRule="auto"/>
        <w:jc w:val="both"/>
      </w:pPr>
    </w:p>
    <w:p w:rsidR="008322BD" w:rsidRPr="001E08D2" w:rsidRDefault="00F853FB" w:rsidP="00730730">
      <w:pPr>
        <w:spacing w:line="480" w:lineRule="auto"/>
        <w:jc w:val="both"/>
      </w:pPr>
      <w:r w:rsidRPr="001E08D2">
        <w:t>2010</w:t>
      </w:r>
      <w:r w:rsidR="00FB79E6" w:rsidRPr="001E08D2">
        <w:t> </w:t>
      </w:r>
      <w:r w:rsidRPr="001E08D2">
        <w:t>:</w:t>
      </w:r>
      <w:r w:rsidR="00FB79E6" w:rsidRPr="001E08D2">
        <w:t> </w:t>
      </w:r>
      <w:r w:rsidRPr="001E08D2">
        <w:t>3</w:t>
      </w:r>
      <w:r w:rsidR="00FB79E6" w:rsidRPr="001E08D2">
        <w:t> </w:t>
      </w:r>
      <w:r w:rsidRPr="001E08D2">
        <w:t>novembre</w:t>
      </w:r>
      <w:r w:rsidR="00D032A5" w:rsidRPr="001E08D2">
        <w:t>; 2010 :</w:t>
      </w:r>
      <w:r w:rsidR="00FB79E6" w:rsidRPr="001E08D2">
        <w:t> </w:t>
      </w:r>
      <w:r w:rsidR="00C3282B" w:rsidRPr="001E08D2">
        <w:t>12</w:t>
      </w:r>
      <w:r w:rsidR="00FB79E6" w:rsidRPr="001E08D2">
        <w:t> </w:t>
      </w:r>
      <w:r w:rsidR="00D032A5" w:rsidRPr="001E08D2">
        <w:t>novembre</w:t>
      </w:r>
      <w:r w:rsidR="009B57B3" w:rsidRPr="001E08D2">
        <w:t>.</w:t>
      </w:r>
    </w:p>
    <w:p w:rsidR="007834A8" w:rsidRPr="001E08D2" w:rsidRDefault="007834A8" w:rsidP="00730730">
      <w:pPr>
        <w:spacing w:line="480" w:lineRule="auto"/>
        <w:jc w:val="both"/>
      </w:pPr>
    </w:p>
    <w:p w:rsidR="008322BD" w:rsidRPr="001E08D2" w:rsidRDefault="009B57B3" w:rsidP="00730730">
      <w:pPr>
        <w:spacing w:line="480" w:lineRule="auto"/>
        <w:jc w:val="both"/>
      </w:pPr>
      <w:r w:rsidRPr="001E08D2">
        <w:t>Pr</w:t>
      </w:r>
      <w:r w:rsidR="0043088E" w:rsidRPr="001E08D2">
        <w:t>é</w:t>
      </w:r>
      <w:r w:rsidRPr="001E08D2">
        <w:t>sent</w:t>
      </w:r>
      <w:r w:rsidR="008A6558" w:rsidRPr="001E08D2">
        <w:t>s</w:t>
      </w:r>
      <w:r w:rsidR="00C67CA5" w:rsidRPr="001E08D2">
        <w:t> </w:t>
      </w:r>
      <w:r w:rsidRPr="001E08D2">
        <w:t>:</w:t>
      </w:r>
      <w:r w:rsidR="00C67CA5" w:rsidRPr="001E08D2">
        <w:t> </w:t>
      </w:r>
      <w:r w:rsidR="00DE18E4" w:rsidRPr="001E08D2">
        <w:t xml:space="preserve">Les juges </w:t>
      </w:r>
      <w:proofErr w:type="spellStart"/>
      <w:r w:rsidRPr="001E08D2">
        <w:t>Binnie</w:t>
      </w:r>
      <w:proofErr w:type="spellEnd"/>
      <w:r w:rsidRPr="001E08D2">
        <w:t xml:space="preserve">, </w:t>
      </w:r>
      <w:proofErr w:type="spellStart"/>
      <w:r w:rsidRPr="001E08D2">
        <w:t>LeBel</w:t>
      </w:r>
      <w:proofErr w:type="spellEnd"/>
      <w:r w:rsidRPr="001E08D2">
        <w:t>, Deschamps, Fish, Abella, Charron et Cromwell.</w:t>
      </w:r>
    </w:p>
    <w:p w:rsidR="00E97830" w:rsidRPr="001E08D2" w:rsidRDefault="00E97830" w:rsidP="00730730">
      <w:pPr>
        <w:spacing w:line="480" w:lineRule="auto"/>
        <w:jc w:val="both"/>
      </w:pPr>
    </w:p>
    <w:p w:rsidR="008322BD" w:rsidRPr="001E08D2" w:rsidRDefault="00AC7437" w:rsidP="00FB79E6">
      <w:pPr>
        <w:pStyle w:val="SCCLowerCourtNameLowercase"/>
        <w:keepNext/>
      </w:pPr>
      <w:r w:rsidRPr="001E08D2">
        <w:t>e</w:t>
      </w:r>
      <w:r w:rsidR="00855307" w:rsidRPr="001E08D2">
        <w:t>n</w:t>
      </w:r>
      <w:r w:rsidR="00224FC0" w:rsidRPr="001E08D2">
        <w:t xml:space="preserve"> </w:t>
      </w:r>
      <w:r w:rsidR="00855307" w:rsidRPr="001E08D2">
        <w:t>appel</w:t>
      </w:r>
      <w:r w:rsidR="00224FC0" w:rsidRPr="001E08D2">
        <w:t xml:space="preserve"> </w:t>
      </w:r>
      <w:r w:rsidR="00855307" w:rsidRPr="001E08D2">
        <w:t>de</w:t>
      </w:r>
      <w:r w:rsidR="0043088E" w:rsidRPr="001E08D2">
        <w:t xml:space="preserve"> </w:t>
      </w:r>
      <w:r w:rsidR="00855307" w:rsidRPr="001E08D2">
        <w:t>la</w:t>
      </w:r>
      <w:r w:rsidR="00224FC0" w:rsidRPr="001E08D2">
        <w:t xml:space="preserve"> </w:t>
      </w:r>
      <w:r w:rsidR="00D5311B" w:rsidRPr="001E08D2">
        <w:t>cour d’</w:t>
      </w:r>
      <w:r w:rsidR="00D032A5" w:rsidRPr="001E08D2">
        <w:t>appel de l’</w:t>
      </w:r>
      <w:proofErr w:type="spellStart"/>
      <w:r w:rsidR="00D032A5" w:rsidRPr="001E08D2">
        <w:t>alberta</w:t>
      </w:r>
      <w:proofErr w:type="spellEnd"/>
    </w:p>
    <w:p w:rsidR="003A4C70" w:rsidRPr="001E08D2" w:rsidRDefault="003A4C70" w:rsidP="00730730">
      <w:pPr>
        <w:pStyle w:val="SCCNormalDoubleSpacing"/>
      </w:pPr>
    </w:p>
    <w:p w:rsidR="008322BD" w:rsidRPr="001E08D2" w:rsidRDefault="009B57B3" w:rsidP="00F62092">
      <w:pPr>
        <w:pStyle w:val="SCCNormalDoubleSpacing"/>
        <w:tabs>
          <w:tab w:val="left" w:pos="1170"/>
        </w:tabs>
        <w:rPr>
          <w:i/>
        </w:rPr>
      </w:pPr>
      <w:r w:rsidRPr="001E08D2">
        <w:tab/>
      </w:r>
      <w:r w:rsidR="00D829DF" w:rsidRPr="001E08D2">
        <w:rPr>
          <w:i/>
        </w:rPr>
        <w:t>Droit</w:t>
      </w:r>
      <w:r w:rsidR="00730730" w:rsidRPr="001E08D2">
        <w:rPr>
          <w:i/>
        </w:rPr>
        <w:t xml:space="preserve"> criminel ―</w:t>
      </w:r>
      <w:r w:rsidR="00D829DF" w:rsidRPr="001E08D2">
        <w:rPr>
          <w:i/>
        </w:rPr>
        <w:t xml:space="preserve"> Verdict raisonnable </w:t>
      </w:r>
      <w:r w:rsidR="00730730" w:rsidRPr="001E08D2">
        <w:rPr>
          <w:i/>
        </w:rPr>
        <w:t>―</w:t>
      </w:r>
      <w:r w:rsidR="004F6C00" w:rsidRPr="001E08D2">
        <w:rPr>
          <w:i/>
        </w:rPr>
        <w:t xml:space="preserve"> </w:t>
      </w:r>
      <w:r w:rsidR="00DE18E4" w:rsidRPr="001E08D2">
        <w:rPr>
          <w:i/>
        </w:rPr>
        <w:t>Accusé d</w:t>
      </w:r>
      <w:r w:rsidR="004F6C00" w:rsidRPr="001E08D2">
        <w:rPr>
          <w:i/>
        </w:rPr>
        <w:t>éclar</w:t>
      </w:r>
      <w:r w:rsidR="00DE18E4" w:rsidRPr="001E08D2">
        <w:rPr>
          <w:i/>
        </w:rPr>
        <w:t xml:space="preserve">é </w:t>
      </w:r>
      <w:r w:rsidR="004F6C00" w:rsidRPr="001E08D2">
        <w:rPr>
          <w:i/>
        </w:rPr>
        <w:t>c</w:t>
      </w:r>
      <w:r w:rsidR="00DE18E4" w:rsidRPr="001E08D2">
        <w:rPr>
          <w:i/>
        </w:rPr>
        <w:t>o</w:t>
      </w:r>
      <w:r w:rsidR="004F6C00" w:rsidRPr="001E08D2">
        <w:rPr>
          <w:i/>
        </w:rPr>
        <w:t>upab</w:t>
      </w:r>
      <w:r w:rsidR="00DE18E4" w:rsidRPr="001E08D2">
        <w:rPr>
          <w:i/>
        </w:rPr>
        <w:t>le d’</w:t>
      </w:r>
      <w:r w:rsidR="00D829DF" w:rsidRPr="001E08D2">
        <w:rPr>
          <w:i/>
        </w:rPr>
        <w:t xml:space="preserve">agression sexuelle armée et </w:t>
      </w:r>
      <w:r w:rsidR="00DE18E4" w:rsidRPr="001E08D2">
        <w:rPr>
          <w:i/>
        </w:rPr>
        <w:t xml:space="preserve">de </w:t>
      </w:r>
      <w:r w:rsidR="00D829DF" w:rsidRPr="001E08D2">
        <w:rPr>
          <w:i/>
        </w:rPr>
        <w:t xml:space="preserve">séquestration </w:t>
      </w:r>
      <w:r w:rsidR="00730730" w:rsidRPr="001E08D2">
        <w:rPr>
          <w:i/>
        </w:rPr>
        <w:t>―</w:t>
      </w:r>
      <w:r w:rsidR="004F6C00" w:rsidRPr="001E08D2">
        <w:rPr>
          <w:i/>
        </w:rPr>
        <w:t xml:space="preserve"> Y </w:t>
      </w:r>
      <w:proofErr w:type="spellStart"/>
      <w:r w:rsidR="004F6C00" w:rsidRPr="001E08D2">
        <w:rPr>
          <w:i/>
        </w:rPr>
        <w:t>a</w:t>
      </w:r>
      <w:r w:rsidR="00EB3BF1" w:rsidRPr="001E08D2">
        <w:rPr>
          <w:i/>
        </w:rPr>
        <w:noBreakHyphen/>
      </w:r>
      <w:r w:rsidR="004F6C00" w:rsidRPr="001E08D2">
        <w:rPr>
          <w:i/>
        </w:rPr>
        <w:t>t</w:t>
      </w:r>
      <w:r w:rsidR="00EB3BF1" w:rsidRPr="001E08D2">
        <w:rPr>
          <w:i/>
        </w:rPr>
        <w:noBreakHyphen/>
      </w:r>
      <w:r w:rsidR="004F6C00" w:rsidRPr="001E08D2">
        <w:rPr>
          <w:i/>
        </w:rPr>
        <w:t>il</w:t>
      </w:r>
      <w:proofErr w:type="spellEnd"/>
      <w:r w:rsidR="004F6C00" w:rsidRPr="001E08D2">
        <w:rPr>
          <w:i/>
        </w:rPr>
        <w:t xml:space="preserve"> eu application de la bonne </w:t>
      </w:r>
      <w:r w:rsidR="004F6C00" w:rsidRPr="001E08D2">
        <w:rPr>
          <w:i/>
        </w:rPr>
        <w:lastRenderedPageBreak/>
        <w:t xml:space="preserve">norme de contrôle? </w:t>
      </w:r>
      <w:r w:rsidR="00730730" w:rsidRPr="001E08D2">
        <w:rPr>
          <w:i/>
        </w:rPr>
        <w:t>―</w:t>
      </w:r>
      <w:r w:rsidR="004F6C00" w:rsidRPr="001E08D2">
        <w:rPr>
          <w:i/>
        </w:rPr>
        <w:t xml:space="preserve"> </w:t>
      </w:r>
      <w:r w:rsidR="00D829DF" w:rsidRPr="001E08D2">
        <w:rPr>
          <w:i/>
        </w:rPr>
        <w:t xml:space="preserve">La preuve </w:t>
      </w:r>
      <w:proofErr w:type="spellStart"/>
      <w:r w:rsidR="00D829DF" w:rsidRPr="001E08D2">
        <w:rPr>
          <w:i/>
        </w:rPr>
        <w:t>était</w:t>
      </w:r>
      <w:r w:rsidR="00EB3BF1" w:rsidRPr="001E08D2">
        <w:rPr>
          <w:i/>
        </w:rPr>
        <w:noBreakHyphen/>
      </w:r>
      <w:r w:rsidR="00D829DF" w:rsidRPr="001E08D2">
        <w:rPr>
          <w:i/>
        </w:rPr>
        <w:t>elle</w:t>
      </w:r>
      <w:proofErr w:type="spellEnd"/>
      <w:r w:rsidR="00D829DF" w:rsidRPr="001E08D2">
        <w:rPr>
          <w:i/>
        </w:rPr>
        <w:t xml:space="preserve"> recevable?</w:t>
      </w:r>
      <w:r w:rsidR="00730730" w:rsidRPr="001E08D2">
        <w:rPr>
          <w:i/>
        </w:rPr>
        <w:t xml:space="preserve"> ―</w:t>
      </w:r>
      <w:r w:rsidR="00D829DF" w:rsidRPr="001E08D2">
        <w:rPr>
          <w:i/>
        </w:rPr>
        <w:t xml:space="preserve"> Le critère d’appréciation du doute raisonnable </w:t>
      </w:r>
      <w:proofErr w:type="spellStart"/>
      <w:r w:rsidR="00D829DF" w:rsidRPr="001E08D2">
        <w:rPr>
          <w:i/>
        </w:rPr>
        <w:t>a</w:t>
      </w:r>
      <w:r w:rsidR="00EB3BF1" w:rsidRPr="001E08D2">
        <w:rPr>
          <w:i/>
        </w:rPr>
        <w:noBreakHyphen/>
      </w:r>
      <w:r w:rsidR="00D829DF" w:rsidRPr="001E08D2">
        <w:rPr>
          <w:i/>
        </w:rPr>
        <w:t>t</w:t>
      </w:r>
      <w:r w:rsidR="00EB3BF1" w:rsidRPr="001E08D2">
        <w:rPr>
          <w:i/>
        </w:rPr>
        <w:noBreakHyphen/>
      </w:r>
      <w:r w:rsidR="00D829DF" w:rsidRPr="001E08D2">
        <w:rPr>
          <w:i/>
        </w:rPr>
        <w:t>il</w:t>
      </w:r>
      <w:proofErr w:type="spellEnd"/>
      <w:r w:rsidR="00D829DF" w:rsidRPr="001E08D2">
        <w:rPr>
          <w:i/>
        </w:rPr>
        <w:t xml:space="preserve"> été appliqué correctement?</w:t>
      </w:r>
    </w:p>
    <w:p w:rsidR="00D829DF" w:rsidRPr="001E08D2" w:rsidRDefault="00D829DF" w:rsidP="00730730">
      <w:pPr>
        <w:pStyle w:val="SCCNormalDoubleSpacing"/>
      </w:pPr>
    </w:p>
    <w:p w:rsidR="008322BD" w:rsidRPr="001E08D2" w:rsidRDefault="00D829DF" w:rsidP="00F62092">
      <w:pPr>
        <w:pStyle w:val="SCCNormalDoubleSpacing"/>
        <w:tabs>
          <w:tab w:val="left" w:pos="1170"/>
        </w:tabs>
      </w:pPr>
      <w:r w:rsidRPr="001E08D2">
        <w:tab/>
      </w:r>
      <w:r w:rsidR="0043088E" w:rsidRPr="001E08D2">
        <w:rPr>
          <w:i/>
        </w:rPr>
        <w:t>Arrêt</w:t>
      </w:r>
      <w:r w:rsidR="00C41E1F" w:rsidRPr="001E08D2">
        <w:rPr>
          <w:i/>
        </w:rPr>
        <w:t> </w:t>
      </w:r>
      <w:r w:rsidR="009B57B3" w:rsidRPr="001E08D2">
        <w:rPr>
          <w:rStyle w:val="QuoteChar"/>
          <w:i w:val="0"/>
          <w:color w:val="auto"/>
          <w:lang w:val="fr-CA"/>
        </w:rPr>
        <w:t>:</w:t>
      </w:r>
      <w:r w:rsidR="00C41E1F" w:rsidRPr="001E08D2">
        <w:rPr>
          <w:rStyle w:val="QuoteChar"/>
          <w:i w:val="0"/>
          <w:color w:val="auto"/>
          <w:lang w:val="fr-CA"/>
        </w:rPr>
        <w:t> </w:t>
      </w:r>
      <w:r w:rsidR="0043088E" w:rsidRPr="001E08D2">
        <w:t>Le pourvoi est</w:t>
      </w:r>
      <w:r w:rsidR="00D032A5" w:rsidRPr="001E08D2">
        <w:t xml:space="preserve"> rejeté.</w:t>
      </w:r>
    </w:p>
    <w:p w:rsidR="007834A8" w:rsidRPr="001E08D2" w:rsidRDefault="007834A8" w:rsidP="00730730">
      <w:pPr>
        <w:pStyle w:val="SCCNormalDoubleSpacing"/>
      </w:pPr>
    </w:p>
    <w:p w:rsidR="006C5661" w:rsidRPr="001E08D2" w:rsidRDefault="009B57B3" w:rsidP="00F62092">
      <w:pPr>
        <w:pStyle w:val="SCCNormalDoubleSpacing"/>
        <w:tabs>
          <w:tab w:val="left" w:pos="1170"/>
        </w:tabs>
      </w:pPr>
      <w:r w:rsidRPr="001E08D2">
        <w:tab/>
      </w:r>
      <w:r w:rsidR="00D829DF" w:rsidRPr="001E08D2">
        <w:rPr>
          <w:szCs w:val="24"/>
        </w:rPr>
        <w:t>L</w:t>
      </w:r>
      <w:r w:rsidR="00D829DF" w:rsidRPr="001E08D2">
        <w:t>e verdict était l’un de ceux qu’un jury qui a reçu des directives appropriées et qui agit d’une manière judiciaire aurait pu raisonnablement rendre.</w:t>
      </w:r>
      <w:r w:rsidR="00B45B03" w:rsidRPr="001E08D2">
        <w:t xml:space="preserve"> </w:t>
      </w:r>
      <w:r w:rsidR="00C41E1F" w:rsidRPr="001E08D2">
        <w:t xml:space="preserve"> </w:t>
      </w:r>
      <w:r w:rsidR="00B45B03" w:rsidRPr="001E08D2">
        <w:t>Il n’y avait pas matière à réform</w:t>
      </w:r>
      <w:r w:rsidR="004F6C00" w:rsidRPr="001E08D2">
        <w:t>ation</w:t>
      </w:r>
      <w:r w:rsidR="00B45B03" w:rsidRPr="001E08D2">
        <w:t xml:space="preserve"> en appel </w:t>
      </w:r>
      <w:r w:rsidR="004F6C00" w:rsidRPr="001E08D2">
        <w:t xml:space="preserve">relativement à </w:t>
      </w:r>
      <w:r w:rsidR="00DE18E4" w:rsidRPr="001E08D2">
        <w:t>des</w:t>
      </w:r>
      <w:r w:rsidR="004F6C00" w:rsidRPr="001E08D2">
        <w:t xml:space="preserve"> question</w:t>
      </w:r>
      <w:r w:rsidR="00DE18E4" w:rsidRPr="001E08D2">
        <w:t>s</w:t>
      </w:r>
      <w:r w:rsidR="004F6C00" w:rsidRPr="001E08D2">
        <w:t xml:space="preserve"> de preuve, et la</w:t>
      </w:r>
      <w:r w:rsidR="00B45B03" w:rsidRPr="001E08D2">
        <w:t xml:space="preserve"> juge du procès n’</w:t>
      </w:r>
      <w:r w:rsidR="004F6C00" w:rsidRPr="001E08D2">
        <w:t>a</w:t>
      </w:r>
      <w:r w:rsidR="00B45B03" w:rsidRPr="001E08D2">
        <w:t xml:space="preserve"> pas appliqué erroné</w:t>
      </w:r>
      <w:r w:rsidR="00DE18E4" w:rsidRPr="001E08D2">
        <w:t>ment</w:t>
      </w:r>
      <w:r w:rsidR="00B45B03" w:rsidRPr="001E08D2">
        <w:t xml:space="preserve"> la norme du doute raisonnable à l’ensemble de la preuve.</w:t>
      </w:r>
    </w:p>
    <w:p w:rsidR="007834A8" w:rsidRPr="001E08D2" w:rsidRDefault="007834A8" w:rsidP="00730730">
      <w:pPr>
        <w:pStyle w:val="SCCNormalDoubleSpacing"/>
      </w:pPr>
    </w:p>
    <w:p w:rsidR="007E1C47" w:rsidRPr="001E08D2" w:rsidRDefault="0043088E" w:rsidP="00C41E1F">
      <w:pPr>
        <w:pStyle w:val="SCCNormalDoubleSpacing"/>
        <w:keepNext/>
        <w:rPr>
          <w:b/>
        </w:rPr>
      </w:pPr>
      <w:r w:rsidRPr="001E08D2">
        <w:rPr>
          <w:b/>
        </w:rPr>
        <w:t>Jurisprudence</w:t>
      </w:r>
    </w:p>
    <w:p w:rsidR="007834A8" w:rsidRPr="001E08D2" w:rsidRDefault="007834A8" w:rsidP="00C41E1F">
      <w:pPr>
        <w:pStyle w:val="SCCNormalDoubleSpacing"/>
        <w:keepNext/>
      </w:pPr>
    </w:p>
    <w:p w:rsidR="00A54CC1" w:rsidRPr="001E08D2" w:rsidRDefault="002E6705" w:rsidP="00F62092">
      <w:pPr>
        <w:pStyle w:val="SCCNormalDoubleSpacing"/>
        <w:tabs>
          <w:tab w:val="left" w:pos="1170"/>
        </w:tabs>
      </w:pPr>
      <w:r w:rsidRPr="001E08D2">
        <w:tab/>
      </w:r>
      <w:r w:rsidR="0043088E" w:rsidRPr="001E08D2">
        <w:rPr>
          <w:b/>
        </w:rPr>
        <w:t>Arrêts mentionnés</w:t>
      </w:r>
      <w:r w:rsidR="00F33658" w:rsidRPr="001E08D2">
        <w:rPr>
          <w:b/>
        </w:rPr>
        <w:t> </w:t>
      </w:r>
      <w:r w:rsidRPr="001E08D2">
        <w:rPr>
          <w:b/>
        </w:rPr>
        <w:t>:</w:t>
      </w:r>
      <w:r w:rsidR="00C41E1F" w:rsidRPr="001E08D2">
        <w:rPr>
          <w:b/>
        </w:rPr>
        <w:t> </w:t>
      </w:r>
      <w:r w:rsidR="00A54CC1" w:rsidRPr="001E08D2">
        <w:rPr>
          <w:i/>
        </w:rPr>
        <w:t>R. c. W. (D.)</w:t>
      </w:r>
      <w:r w:rsidR="00A54CC1" w:rsidRPr="001E08D2">
        <w:t>, [1991] 1 R.C.S. 742;</w:t>
      </w:r>
      <w:r w:rsidR="00C3282B" w:rsidRPr="001E08D2">
        <w:t xml:space="preserve"> </w:t>
      </w:r>
      <w:proofErr w:type="spellStart"/>
      <w:r w:rsidR="00C3282B" w:rsidRPr="001E08D2">
        <w:rPr>
          <w:i/>
        </w:rPr>
        <w:t>Corbett</w:t>
      </w:r>
      <w:proofErr w:type="spellEnd"/>
      <w:r w:rsidR="00C3282B" w:rsidRPr="001E08D2">
        <w:rPr>
          <w:i/>
        </w:rPr>
        <w:t xml:space="preserve"> c. La Reine</w:t>
      </w:r>
      <w:r w:rsidR="00C3282B" w:rsidRPr="001E08D2">
        <w:t>, [1975] 2 R.C.S. 275;</w:t>
      </w:r>
      <w:r w:rsidR="00A54CC1" w:rsidRPr="001E08D2">
        <w:t xml:space="preserve"> </w:t>
      </w:r>
      <w:r w:rsidR="00A54CC1" w:rsidRPr="001E08D2">
        <w:rPr>
          <w:i/>
        </w:rPr>
        <w:t xml:space="preserve">R. c. </w:t>
      </w:r>
      <w:proofErr w:type="spellStart"/>
      <w:r w:rsidR="00A54CC1" w:rsidRPr="001E08D2">
        <w:rPr>
          <w:i/>
        </w:rPr>
        <w:t>Biniaris</w:t>
      </w:r>
      <w:proofErr w:type="spellEnd"/>
      <w:r w:rsidR="00A54CC1" w:rsidRPr="001E08D2">
        <w:t>, 2000 CSC 15, [2000] 1 R.C.S. 381</w:t>
      </w:r>
      <w:r w:rsidR="00C3282B" w:rsidRPr="001E08D2">
        <w:t xml:space="preserve">; </w:t>
      </w:r>
      <w:r w:rsidR="00C3282B" w:rsidRPr="001E08D2">
        <w:rPr>
          <w:i/>
        </w:rPr>
        <w:t xml:space="preserve">R. c. </w:t>
      </w:r>
      <w:proofErr w:type="spellStart"/>
      <w:r w:rsidR="00C3282B" w:rsidRPr="001E08D2">
        <w:rPr>
          <w:i/>
        </w:rPr>
        <w:t>Lohrer</w:t>
      </w:r>
      <w:proofErr w:type="spellEnd"/>
      <w:r w:rsidR="00C3282B" w:rsidRPr="001E08D2">
        <w:t xml:space="preserve">, 2004 CSC 80, [2004] 3 R.C.S. 732; </w:t>
      </w:r>
      <w:r w:rsidR="00C3282B" w:rsidRPr="001E08D2">
        <w:rPr>
          <w:i/>
        </w:rPr>
        <w:t xml:space="preserve">R. c. </w:t>
      </w:r>
      <w:proofErr w:type="spellStart"/>
      <w:r w:rsidR="00C3282B" w:rsidRPr="001E08D2">
        <w:rPr>
          <w:i/>
        </w:rPr>
        <w:t>Yebes</w:t>
      </w:r>
      <w:proofErr w:type="spellEnd"/>
      <w:r w:rsidR="00C3282B" w:rsidRPr="001E08D2">
        <w:t xml:space="preserve">, [1987] 2 </w:t>
      </w:r>
      <w:r w:rsidR="003A2F19" w:rsidRPr="001E08D2">
        <w:t>R</w:t>
      </w:r>
      <w:r w:rsidR="00C3282B" w:rsidRPr="001E08D2">
        <w:t>.C.</w:t>
      </w:r>
      <w:r w:rsidR="003A2F19" w:rsidRPr="001E08D2">
        <w:t>S</w:t>
      </w:r>
      <w:r w:rsidR="00C3282B" w:rsidRPr="001E08D2">
        <w:t>. 168</w:t>
      </w:r>
      <w:r w:rsidR="00A54CC1" w:rsidRPr="001E08D2">
        <w:t xml:space="preserve">. </w:t>
      </w:r>
    </w:p>
    <w:p w:rsidR="00A8417D" w:rsidRPr="001E08D2" w:rsidRDefault="00A8417D" w:rsidP="00A8417D">
      <w:pPr>
        <w:pStyle w:val="SCCNormalDoubleSpacing"/>
      </w:pPr>
    </w:p>
    <w:p w:rsidR="00A8417D" w:rsidRPr="001E08D2" w:rsidRDefault="00A8417D" w:rsidP="00C41E1F">
      <w:pPr>
        <w:pStyle w:val="SCCNormalDoubleSpacing"/>
        <w:keepNext/>
        <w:rPr>
          <w:b/>
        </w:rPr>
      </w:pPr>
      <w:r w:rsidRPr="001E08D2">
        <w:rPr>
          <w:b/>
        </w:rPr>
        <w:t>Lois et règlements cités</w:t>
      </w:r>
    </w:p>
    <w:p w:rsidR="00A8417D" w:rsidRPr="001E08D2" w:rsidRDefault="00A8417D" w:rsidP="00C41E1F">
      <w:pPr>
        <w:pStyle w:val="SCCNormalDoubleSpacing"/>
        <w:keepNext/>
        <w:ind w:left="547" w:hanging="547"/>
      </w:pPr>
    </w:p>
    <w:p w:rsidR="000A5321" w:rsidRPr="001E08D2" w:rsidRDefault="00A8417D" w:rsidP="00730730">
      <w:pPr>
        <w:pStyle w:val="SCCNormalDoubleSpacing"/>
        <w:ind w:left="540" w:hanging="540"/>
      </w:pPr>
      <w:r w:rsidRPr="001E08D2">
        <w:rPr>
          <w:i/>
        </w:rPr>
        <w:t>Code criminel</w:t>
      </w:r>
      <w:r w:rsidR="00C41E1F" w:rsidRPr="001E08D2">
        <w:t>, L.R.C. 1985, c</w:t>
      </w:r>
      <w:r w:rsidR="00F62092">
        <w:t>h</w:t>
      </w:r>
      <w:r w:rsidR="00C41E1F" w:rsidRPr="001E08D2">
        <w:t>. </w:t>
      </w:r>
      <w:r w:rsidR="00EB3BF1" w:rsidRPr="001E08D2">
        <w:t>C</w:t>
      </w:r>
      <w:r w:rsidR="00EB3BF1" w:rsidRPr="001E08D2">
        <w:noBreakHyphen/>
      </w:r>
      <w:r w:rsidRPr="001E08D2">
        <w:t>46, art.</w:t>
      </w:r>
      <w:r w:rsidR="00C41E1F" w:rsidRPr="001E08D2">
        <w:t> </w:t>
      </w:r>
      <w:r w:rsidRPr="001E08D2">
        <w:t>691(1)</w:t>
      </w:r>
      <w:r w:rsidRPr="001E08D2">
        <w:rPr>
          <w:i/>
        </w:rPr>
        <w:t>a</w:t>
      </w:r>
      <w:r w:rsidRPr="001E08D2">
        <w:t>).</w:t>
      </w:r>
    </w:p>
    <w:p w:rsidR="00A8417D" w:rsidRPr="001E08D2" w:rsidRDefault="00A8417D" w:rsidP="00730730">
      <w:pPr>
        <w:pStyle w:val="SCCNormalDoubleSpacing"/>
        <w:ind w:left="540" w:hanging="540"/>
      </w:pPr>
    </w:p>
    <w:p w:rsidR="00D5435D" w:rsidRPr="001E08D2" w:rsidRDefault="00D032A5" w:rsidP="00F62092">
      <w:pPr>
        <w:pStyle w:val="SCCNormalDoubleSpacing"/>
        <w:tabs>
          <w:tab w:val="left" w:pos="1170"/>
        </w:tabs>
      </w:pPr>
      <w:r w:rsidRPr="001E08D2">
        <w:tab/>
      </w:r>
      <w:r w:rsidR="009B57B3" w:rsidRPr="001E08D2">
        <w:t>P</w:t>
      </w:r>
      <w:r w:rsidR="0043088E" w:rsidRPr="001E08D2">
        <w:t>OURVOI contre un arrêt de la</w:t>
      </w:r>
      <w:r w:rsidR="009B57B3" w:rsidRPr="001E08D2">
        <w:t xml:space="preserve"> </w:t>
      </w:r>
      <w:r w:rsidR="00A8417D" w:rsidRPr="001E08D2">
        <w:t>Cour d’</w:t>
      </w:r>
      <w:r w:rsidR="009B57B3" w:rsidRPr="001E08D2">
        <w:t>appel de l’Alberta (</w:t>
      </w:r>
      <w:r w:rsidRPr="001E08D2">
        <w:t xml:space="preserve">les juges </w:t>
      </w:r>
      <w:proofErr w:type="spellStart"/>
      <w:r w:rsidR="009E12FF" w:rsidRPr="001E08D2">
        <w:t>McFadyen</w:t>
      </w:r>
      <w:proofErr w:type="spellEnd"/>
      <w:r w:rsidR="009E12FF" w:rsidRPr="001E08D2">
        <w:t xml:space="preserve">, Berger et </w:t>
      </w:r>
      <w:proofErr w:type="spellStart"/>
      <w:r w:rsidR="009E12FF" w:rsidRPr="001E08D2">
        <w:t>Slatter</w:t>
      </w:r>
      <w:proofErr w:type="spellEnd"/>
      <w:r w:rsidR="009B57B3" w:rsidRPr="001E08D2">
        <w:t>)</w:t>
      </w:r>
      <w:r w:rsidR="00A54CC1" w:rsidRPr="001E08D2">
        <w:t xml:space="preserve">, 2010 ABCA 1, 23 Alta. L.R. (5th) 76, 251 C.C.C. (3d) </w:t>
      </w:r>
      <w:r w:rsidR="00A54CC1" w:rsidRPr="001E08D2">
        <w:lastRenderedPageBreak/>
        <w:t xml:space="preserve">346, 474 A.R. 203, </w:t>
      </w:r>
      <w:r w:rsidR="003E0F68">
        <w:t>479</w:t>
      </w:r>
      <w:r w:rsidR="00F62092">
        <w:t xml:space="preserve"> W.A.C. 203, </w:t>
      </w:r>
      <w:r w:rsidR="00A54CC1" w:rsidRPr="001E08D2">
        <w:t>[2010</w:t>
      </w:r>
      <w:r w:rsidR="00730730" w:rsidRPr="001E08D2">
        <w:t>] 7 W.W.R. 613, [2010] A.J. No. </w:t>
      </w:r>
      <w:r w:rsidR="00A54CC1" w:rsidRPr="001E08D2">
        <w:t xml:space="preserve">72 (QL), 2010 </w:t>
      </w:r>
      <w:proofErr w:type="spellStart"/>
      <w:r w:rsidR="00A54CC1" w:rsidRPr="001E08D2">
        <w:t>CarswellAlta</w:t>
      </w:r>
      <w:proofErr w:type="spellEnd"/>
      <w:r w:rsidR="00A54CC1" w:rsidRPr="001E08D2">
        <w:t xml:space="preserve"> 135, </w:t>
      </w:r>
      <w:r w:rsidR="00A8417D" w:rsidRPr="001E08D2">
        <w:t>qui a confirmé la déclaration de culpabilité de l’accusé</w:t>
      </w:r>
      <w:r w:rsidR="00A54CC1" w:rsidRPr="001E08D2">
        <w:t xml:space="preserve">.  </w:t>
      </w:r>
      <w:r w:rsidR="00274B3A" w:rsidRPr="001E08D2">
        <w:t>Pourvoi rejeté</w:t>
      </w:r>
      <w:r w:rsidR="00A54CC1" w:rsidRPr="001E08D2">
        <w:t>.</w:t>
      </w:r>
    </w:p>
    <w:p w:rsidR="00966913" w:rsidRPr="001E08D2" w:rsidRDefault="00966913" w:rsidP="00730730">
      <w:pPr>
        <w:pStyle w:val="SCCNormalDoubleSpacing"/>
      </w:pPr>
    </w:p>
    <w:p w:rsidR="005D3B5B" w:rsidRPr="001E08D2" w:rsidRDefault="009E12FF" w:rsidP="00F62092">
      <w:pPr>
        <w:pStyle w:val="SCCNormalDoubleSpacing"/>
        <w:tabs>
          <w:tab w:val="left" w:pos="1170"/>
        </w:tabs>
      </w:pPr>
      <w:r w:rsidRPr="001E08D2">
        <w:rPr>
          <w:rStyle w:val="SCCCounselNameChar"/>
        </w:rPr>
        <w:tab/>
        <w:t>Deborah</w:t>
      </w:r>
      <w:r w:rsidR="00730730" w:rsidRPr="001E08D2">
        <w:rPr>
          <w:rStyle w:val="SCCCounselNameChar"/>
        </w:rPr>
        <w:t> </w:t>
      </w:r>
      <w:r w:rsidRPr="001E08D2">
        <w:rPr>
          <w:rStyle w:val="SCCCounselNameChar"/>
        </w:rPr>
        <w:t xml:space="preserve">R. </w:t>
      </w:r>
      <w:proofErr w:type="spellStart"/>
      <w:r w:rsidRPr="001E08D2">
        <w:rPr>
          <w:rStyle w:val="SCCCounselNameChar"/>
        </w:rPr>
        <w:t>Hatch</w:t>
      </w:r>
      <w:proofErr w:type="spellEnd"/>
      <w:r w:rsidR="00D5311B" w:rsidRPr="001E08D2">
        <w:rPr>
          <w:rStyle w:val="SCCCounselPartyRoleChar"/>
        </w:rPr>
        <w:t>, pour l’</w:t>
      </w:r>
      <w:r w:rsidR="00D032A5" w:rsidRPr="001E08D2">
        <w:rPr>
          <w:rStyle w:val="SCCCounselPartyRoleChar"/>
        </w:rPr>
        <w:t>appelant</w:t>
      </w:r>
      <w:r w:rsidRPr="001E08D2">
        <w:rPr>
          <w:rStyle w:val="SCCCounselPartyRoleChar"/>
        </w:rPr>
        <w:t>.</w:t>
      </w:r>
    </w:p>
    <w:p w:rsidR="005D3B5B" w:rsidRPr="001E08D2" w:rsidRDefault="005D3B5B" w:rsidP="00730730">
      <w:pPr>
        <w:pStyle w:val="SCCNormalDoubleSpacing"/>
      </w:pPr>
    </w:p>
    <w:p w:rsidR="005D3B5B" w:rsidRPr="001E08D2" w:rsidRDefault="009E12FF" w:rsidP="00F62092">
      <w:pPr>
        <w:pStyle w:val="SCCNormalDoubleSpacing"/>
        <w:tabs>
          <w:tab w:val="left" w:pos="1170"/>
        </w:tabs>
      </w:pPr>
      <w:r w:rsidRPr="001E08D2">
        <w:rPr>
          <w:rStyle w:val="SCCCounselNameChar"/>
        </w:rPr>
        <w:tab/>
        <w:t>Troy</w:t>
      </w:r>
      <w:r w:rsidR="00C7231E" w:rsidRPr="001E08D2">
        <w:rPr>
          <w:rStyle w:val="SCCCounselNameChar"/>
        </w:rPr>
        <w:t> </w:t>
      </w:r>
      <w:r w:rsidR="00A8417D" w:rsidRPr="001E08D2">
        <w:rPr>
          <w:rStyle w:val="SCCCounselNameChar"/>
        </w:rPr>
        <w:t xml:space="preserve">L. </w:t>
      </w:r>
      <w:r w:rsidRPr="001E08D2">
        <w:rPr>
          <w:rStyle w:val="SCCCounselNameChar"/>
        </w:rPr>
        <w:t>Couillard</w:t>
      </w:r>
      <w:r w:rsidR="00D5311B" w:rsidRPr="001E08D2">
        <w:rPr>
          <w:rStyle w:val="SCCCounselPartyRoleChar"/>
        </w:rPr>
        <w:t>, pour l’</w:t>
      </w:r>
      <w:r w:rsidR="00D032A5" w:rsidRPr="001E08D2">
        <w:rPr>
          <w:rStyle w:val="SCCCounselPartyRoleChar"/>
        </w:rPr>
        <w:t>intimée</w:t>
      </w:r>
      <w:r w:rsidRPr="001E08D2">
        <w:rPr>
          <w:rStyle w:val="SCCCounselPartyRoleChar"/>
        </w:rPr>
        <w:t>.</w:t>
      </w:r>
    </w:p>
    <w:p w:rsidR="005D3B5B" w:rsidRPr="001E08D2" w:rsidRDefault="005D3B5B" w:rsidP="00730730">
      <w:pPr>
        <w:pStyle w:val="SCCNormalDoubleSpacing"/>
      </w:pPr>
    </w:p>
    <w:p w:rsidR="00EE6839" w:rsidRPr="001E08D2" w:rsidRDefault="00EE6839" w:rsidP="00EE6839">
      <w:pPr>
        <w:tabs>
          <w:tab w:val="left" w:pos="-1440"/>
          <w:tab w:val="left" w:pos="-720"/>
          <w:tab w:val="left" w:pos="1170"/>
        </w:tabs>
        <w:spacing w:after="480" w:line="480" w:lineRule="auto"/>
        <w:jc w:val="both"/>
      </w:pPr>
      <w:r w:rsidRPr="001E08D2">
        <w:tab/>
      </w:r>
      <w:r w:rsidR="00F62092">
        <w:t>Version française du jugement rendu par</w:t>
      </w:r>
    </w:p>
    <w:p w:rsidR="00EE6839" w:rsidRPr="001E08D2" w:rsidRDefault="00F62092" w:rsidP="00EE6839">
      <w:pPr>
        <w:pStyle w:val="ListParagraph"/>
        <w:numPr>
          <w:ilvl w:val="0"/>
          <w:numId w:val="1"/>
        </w:numPr>
        <w:tabs>
          <w:tab w:val="left" w:pos="1170"/>
        </w:tabs>
        <w:spacing w:after="480" w:line="480" w:lineRule="auto"/>
        <w:ind w:left="0" w:firstLine="0"/>
        <w:jc w:val="both"/>
        <w:rPr>
          <w:szCs w:val="24"/>
          <w:lang w:val="fr-CA"/>
        </w:rPr>
      </w:pPr>
      <w:r w:rsidRPr="00F62092">
        <w:rPr>
          <w:smallCaps/>
          <w:lang w:val="fr-CA"/>
        </w:rPr>
        <w:t>La Cour</w:t>
      </w:r>
      <w:r w:rsidRPr="00F62092">
        <w:rPr>
          <w:lang w:val="fr-CA"/>
        </w:rPr>
        <w:t xml:space="preserve"> — </w:t>
      </w:r>
      <w:r w:rsidR="00EE6839" w:rsidRPr="001E08D2">
        <w:rPr>
          <w:szCs w:val="24"/>
          <w:lang w:val="fr-CA"/>
        </w:rPr>
        <w:t>Sur le fondement de l’al. </w:t>
      </w:r>
      <w:r w:rsidR="00EE6839" w:rsidRPr="001E08D2">
        <w:rPr>
          <w:lang w:val="fr-CA"/>
        </w:rPr>
        <w:t>691(1)</w:t>
      </w:r>
      <w:r w:rsidR="00EE6839" w:rsidRPr="001E08D2">
        <w:rPr>
          <w:i/>
          <w:lang w:val="fr-CA"/>
        </w:rPr>
        <w:t>a</w:t>
      </w:r>
      <w:r w:rsidR="00EE6839" w:rsidRPr="00F62092">
        <w:rPr>
          <w:lang w:val="fr-CA"/>
        </w:rPr>
        <w:t>)</w:t>
      </w:r>
      <w:r w:rsidR="00EE6839" w:rsidRPr="001E08D2">
        <w:rPr>
          <w:lang w:val="fr-CA"/>
        </w:rPr>
        <w:t xml:space="preserve"> du </w:t>
      </w:r>
      <w:r w:rsidR="00EE6839" w:rsidRPr="001E08D2">
        <w:rPr>
          <w:i/>
          <w:lang w:val="fr-CA"/>
        </w:rPr>
        <w:t>Code criminel</w:t>
      </w:r>
      <w:r w:rsidR="00EE6839" w:rsidRPr="001E08D2">
        <w:rPr>
          <w:lang w:val="fr-CA"/>
        </w:rPr>
        <w:t>, L.R.C. 1985, ch. C</w:t>
      </w:r>
      <w:r w:rsidR="00EE6839" w:rsidRPr="001E08D2">
        <w:rPr>
          <w:lang w:val="fr-CA"/>
        </w:rPr>
        <w:noBreakHyphen/>
        <w:t>46, l</w:t>
      </w:r>
      <w:r w:rsidR="00EE6839" w:rsidRPr="001E08D2">
        <w:rPr>
          <w:szCs w:val="24"/>
          <w:lang w:val="fr-CA"/>
        </w:rPr>
        <w:t>’appelant interjette appel de plein droit de sa déclaration de culpabilité pour les accusations d’agression sexuelle armée et de séquestration.  Malgré son argumentation habile présentée pour le compte de l’appelant, M</w:t>
      </w:r>
      <w:r w:rsidR="00EE6839" w:rsidRPr="001E08D2">
        <w:rPr>
          <w:szCs w:val="24"/>
          <w:vertAlign w:val="superscript"/>
          <w:lang w:val="fr-CA"/>
        </w:rPr>
        <w:t>e</w:t>
      </w:r>
      <w:r w:rsidR="00EE6839" w:rsidRPr="001E08D2">
        <w:rPr>
          <w:szCs w:val="24"/>
          <w:lang w:val="fr-CA"/>
        </w:rPr>
        <w:t> </w:t>
      </w:r>
      <w:proofErr w:type="spellStart"/>
      <w:r w:rsidR="00EE6839" w:rsidRPr="001E08D2">
        <w:rPr>
          <w:szCs w:val="24"/>
          <w:lang w:val="fr-CA"/>
        </w:rPr>
        <w:t>Hatch</w:t>
      </w:r>
      <w:proofErr w:type="spellEnd"/>
      <w:r w:rsidR="00EE6839" w:rsidRPr="001E08D2">
        <w:rPr>
          <w:szCs w:val="24"/>
          <w:lang w:val="fr-CA"/>
        </w:rPr>
        <w:t xml:space="preserve"> ne nous convainc pas, et le pourvoi doit être rejeté.</w:t>
      </w:r>
    </w:p>
    <w:p w:rsidR="00EE6839" w:rsidRPr="001E08D2" w:rsidRDefault="00EE6839" w:rsidP="00EE6839">
      <w:pPr>
        <w:pStyle w:val="ListParagraph"/>
        <w:numPr>
          <w:ilvl w:val="0"/>
          <w:numId w:val="1"/>
        </w:numPr>
        <w:tabs>
          <w:tab w:val="left" w:pos="1170"/>
        </w:tabs>
        <w:spacing w:after="480" w:line="480" w:lineRule="auto"/>
        <w:ind w:left="0" w:firstLine="0"/>
        <w:jc w:val="both"/>
        <w:rPr>
          <w:szCs w:val="24"/>
          <w:lang w:val="fr-CA"/>
        </w:rPr>
      </w:pPr>
      <w:r w:rsidRPr="001E08D2">
        <w:rPr>
          <w:szCs w:val="24"/>
          <w:lang w:val="fr-CA"/>
        </w:rPr>
        <w:t>Les points de droit pour lesquels l’un des juges de la Cour d’appel de l’Alberta exprime sa dissidence et, par conséquent, les points en litige dans le présent pourvoi, sont les suivants :</w:t>
      </w:r>
    </w:p>
    <w:p w:rsidR="00EE6839" w:rsidRDefault="00F62092" w:rsidP="00F62092">
      <w:pPr>
        <w:pStyle w:val="ListParagraph"/>
        <w:spacing w:after="200" w:line="480" w:lineRule="auto"/>
        <w:ind w:hanging="720"/>
        <w:contextualSpacing/>
        <w:jc w:val="both"/>
        <w:rPr>
          <w:szCs w:val="24"/>
          <w:lang w:val="fr-CA"/>
        </w:rPr>
      </w:pPr>
      <w:r>
        <w:rPr>
          <w:szCs w:val="24"/>
          <w:lang w:val="fr-CA"/>
        </w:rPr>
        <w:t>1.</w:t>
      </w:r>
      <w:r>
        <w:rPr>
          <w:szCs w:val="24"/>
          <w:lang w:val="fr-CA"/>
        </w:rPr>
        <w:tab/>
      </w:r>
      <w:r w:rsidR="00EE6839" w:rsidRPr="001E08D2">
        <w:rPr>
          <w:szCs w:val="24"/>
          <w:lang w:val="fr-CA"/>
        </w:rPr>
        <w:t>les juges majoritaires de la Cour d’appel ont appliqué la mauvaise norme de contrôle;</w:t>
      </w:r>
    </w:p>
    <w:p w:rsidR="00F62092" w:rsidRPr="001E08D2" w:rsidRDefault="00F62092" w:rsidP="00F62092">
      <w:pPr>
        <w:pStyle w:val="ListParagraph"/>
        <w:spacing w:after="200" w:line="480" w:lineRule="auto"/>
        <w:ind w:hanging="720"/>
        <w:contextualSpacing/>
        <w:jc w:val="both"/>
        <w:rPr>
          <w:szCs w:val="24"/>
          <w:lang w:val="fr-CA"/>
        </w:rPr>
      </w:pPr>
    </w:p>
    <w:p w:rsidR="00EE6839" w:rsidRDefault="00F62092" w:rsidP="00F62092">
      <w:pPr>
        <w:spacing w:after="200" w:line="480" w:lineRule="auto"/>
        <w:ind w:left="720" w:hanging="720"/>
        <w:contextualSpacing/>
        <w:jc w:val="both"/>
        <w:rPr>
          <w:szCs w:val="24"/>
        </w:rPr>
      </w:pPr>
      <w:r>
        <w:rPr>
          <w:szCs w:val="24"/>
        </w:rPr>
        <w:lastRenderedPageBreak/>
        <w:t>2.</w:t>
      </w:r>
      <w:r>
        <w:rPr>
          <w:szCs w:val="24"/>
        </w:rPr>
        <w:tab/>
      </w:r>
      <w:r w:rsidR="00EE6839" w:rsidRPr="00F62092">
        <w:rPr>
          <w:szCs w:val="24"/>
        </w:rPr>
        <w:t>ils ont appliqué le mauvais critère pour apprécier la recevabilité de la preuve relative aux « enjambées caractéristiques d’une course »;</w:t>
      </w:r>
    </w:p>
    <w:p w:rsidR="00F62092" w:rsidRPr="00F62092" w:rsidRDefault="00F62092" w:rsidP="00F62092">
      <w:pPr>
        <w:spacing w:after="200" w:line="480" w:lineRule="auto"/>
        <w:ind w:left="720" w:hanging="720"/>
        <w:contextualSpacing/>
        <w:jc w:val="both"/>
        <w:rPr>
          <w:szCs w:val="24"/>
        </w:rPr>
      </w:pPr>
    </w:p>
    <w:p w:rsidR="00EE6839" w:rsidRPr="00F62092" w:rsidRDefault="00F62092" w:rsidP="00F62092">
      <w:pPr>
        <w:spacing w:after="720" w:line="480" w:lineRule="auto"/>
        <w:ind w:left="720" w:hanging="720"/>
        <w:jc w:val="both"/>
        <w:rPr>
          <w:szCs w:val="24"/>
        </w:rPr>
      </w:pPr>
      <w:r>
        <w:rPr>
          <w:szCs w:val="24"/>
        </w:rPr>
        <w:t>3.</w:t>
      </w:r>
      <w:r>
        <w:rPr>
          <w:szCs w:val="24"/>
        </w:rPr>
        <w:tab/>
      </w:r>
      <w:r w:rsidR="00EE6839" w:rsidRPr="00F62092">
        <w:rPr>
          <w:szCs w:val="24"/>
        </w:rPr>
        <w:t xml:space="preserve">ils ont eu tort de conclure que la juge du procès avait correctement appliqué le critère d’appréciation du doute raisonnable énoncé dans l’arrêt </w:t>
      </w:r>
      <w:r w:rsidR="00EE6839" w:rsidRPr="00F62092">
        <w:rPr>
          <w:i/>
          <w:szCs w:val="24"/>
        </w:rPr>
        <w:t>R. c. W. (D.)</w:t>
      </w:r>
      <w:r w:rsidR="00EE6839" w:rsidRPr="00F62092">
        <w:rPr>
          <w:szCs w:val="24"/>
        </w:rPr>
        <w:t>, [1991] 1 R.C.S. 742.</w:t>
      </w:r>
    </w:p>
    <w:p w:rsidR="00EE6839" w:rsidRPr="001E08D2" w:rsidRDefault="00EE6839" w:rsidP="00EE6839">
      <w:pPr>
        <w:pStyle w:val="ListParagraph"/>
        <w:numPr>
          <w:ilvl w:val="0"/>
          <w:numId w:val="1"/>
        </w:numPr>
        <w:tabs>
          <w:tab w:val="left" w:pos="1170"/>
        </w:tabs>
        <w:spacing w:after="480" w:line="480" w:lineRule="auto"/>
        <w:ind w:left="0" w:firstLine="0"/>
        <w:jc w:val="both"/>
        <w:rPr>
          <w:szCs w:val="24"/>
          <w:lang w:val="fr-CA"/>
        </w:rPr>
      </w:pPr>
      <w:r w:rsidRPr="001E08D2">
        <w:rPr>
          <w:szCs w:val="24"/>
          <w:lang w:val="fr-CA"/>
        </w:rPr>
        <w:t>Les faits sont essentiellement les suivants.  La plaignante, accompagnée d’un copain, a rencontré l’appelant, également flanqué d’un ami, aux petites heures du matin, à l’extérieur d’une boîte de nuit d’Edmonton.  Les choses se sont rapidement envenimées, au point où l’appelant a pris la plaignante et son compagnon en chasse.  Ce qui s’est ensuite produit a en grande partie été contesté au procès, mais il est établi que, peu après, la plaignante a finalement eu un rapport sexuel oral avec l’appelant derrière une école voisine.  Il est également avéré que peu de temps après, la plaignante s’est présentée à une résidence située non loin de là, qu’elle pleurait, qu’elle paraissait éperdue et qu’elle prétendait avoir été victime d’agression sexuelle.  Selon la version de la plaignante, l’appelant l’avait contrainte au rapport sexuel en la menaçant à la pointe d’un couteau.  Selon celle de l’appelant, après l’altercation initiale, leurs échanges étaient devenus plus amicaux et c’était de son plein gré que la plaignante l’avait accompagné pour se livrer à l’acte sexuel.  La seule véritable question à trancher au procès était celle du consentement de la plaignante.  Dès lors, l’issue du procès tenait à la crédibilité de la plaignante et à celle de l’appelant.</w:t>
      </w:r>
    </w:p>
    <w:p w:rsidR="00EE6839" w:rsidRPr="001E08D2" w:rsidRDefault="00EE6839" w:rsidP="00EE6839">
      <w:pPr>
        <w:pStyle w:val="ListParagraph"/>
        <w:numPr>
          <w:ilvl w:val="0"/>
          <w:numId w:val="1"/>
        </w:numPr>
        <w:tabs>
          <w:tab w:val="left" w:pos="1170"/>
        </w:tabs>
        <w:spacing w:after="480" w:line="480" w:lineRule="auto"/>
        <w:ind w:left="0" w:firstLine="0"/>
        <w:jc w:val="both"/>
        <w:rPr>
          <w:szCs w:val="24"/>
          <w:lang w:val="fr-CA"/>
        </w:rPr>
      </w:pPr>
      <w:r w:rsidRPr="001E08D2">
        <w:rPr>
          <w:szCs w:val="24"/>
          <w:lang w:val="fr-CA"/>
        </w:rPr>
        <w:lastRenderedPageBreak/>
        <w:t>La prétention voulant que les juges majoritaires de la Cour d’appel aient eu tort d’appliquer le critère du verdict déraisonnable établi dans l’arrêt</w:t>
      </w:r>
      <w:r w:rsidRPr="001E08D2">
        <w:rPr>
          <w:i/>
          <w:szCs w:val="24"/>
          <w:lang w:val="fr-CA"/>
        </w:rPr>
        <w:t xml:space="preserve"> </w:t>
      </w:r>
      <w:proofErr w:type="spellStart"/>
      <w:r w:rsidRPr="001E08D2">
        <w:rPr>
          <w:i/>
          <w:szCs w:val="24"/>
          <w:lang w:val="fr-CA"/>
        </w:rPr>
        <w:t>Corbett</w:t>
      </w:r>
      <w:proofErr w:type="spellEnd"/>
      <w:r w:rsidRPr="001E08D2">
        <w:rPr>
          <w:i/>
          <w:szCs w:val="24"/>
          <w:lang w:val="fr-CA"/>
        </w:rPr>
        <w:t xml:space="preserve"> c. La Reine</w:t>
      </w:r>
      <w:r w:rsidRPr="001E08D2">
        <w:rPr>
          <w:szCs w:val="24"/>
          <w:lang w:val="fr-CA"/>
        </w:rPr>
        <w:t>,</w:t>
      </w:r>
      <w:r w:rsidRPr="001E08D2">
        <w:rPr>
          <w:i/>
          <w:szCs w:val="24"/>
          <w:lang w:val="fr-CA"/>
        </w:rPr>
        <w:t xml:space="preserve"> </w:t>
      </w:r>
      <w:r w:rsidRPr="001E08D2">
        <w:rPr>
          <w:szCs w:val="24"/>
          <w:lang w:val="fr-CA"/>
        </w:rPr>
        <w:t>[1975] 2 R.C.S. 275, et confirmé plus récemment dans</w:t>
      </w:r>
      <w:r w:rsidRPr="001E08D2">
        <w:rPr>
          <w:i/>
          <w:szCs w:val="24"/>
          <w:lang w:val="fr-CA"/>
        </w:rPr>
        <w:t xml:space="preserve"> R. c. </w:t>
      </w:r>
      <w:proofErr w:type="spellStart"/>
      <w:r w:rsidRPr="001E08D2">
        <w:rPr>
          <w:i/>
          <w:szCs w:val="24"/>
          <w:lang w:val="fr-CA"/>
        </w:rPr>
        <w:t>Biniaris</w:t>
      </w:r>
      <w:proofErr w:type="spellEnd"/>
      <w:r w:rsidRPr="001E08D2">
        <w:rPr>
          <w:szCs w:val="24"/>
          <w:lang w:val="fr-CA"/>
        </w:rPr>
        <w:t>, 2000 CSC 15, [2000] 1 R.C.S. 381, au lieu de celui de la réformation en appel lorsqu’il y a eu interprétation erronée de la preuve comme dans l’affaire</w:t>
      </w:r>
      <w:r w:rsidRPr="001E08D2">
        <w:rPr>
          <w:i/>
          <w:szCs w:val="24"/>
          <w:lang w:val="fr-CA"/>
        </w:rPr>
        <w:t xml:space="preserve"> R. c. </w:t>
      </w:r>
      <w:proofErr w:type="spellStart"/>
      <w:r w:rsidRPr="001E08D2">
        <w:rPr>
          <w:i/>
          <w:szCs w:val="24"/>
          <w:lang w:val="fr-CA"/>
        </w:rPr>
        <w:t>Lohrer</w:t>
      </w:r>
      <w:proofErr w:type="spellEnd"/>
      <w:r w:rsidRPr="001E08D2">
        <w:rPr>
          <w:szCs w:val="24"/>
          <w:lang w:val="fr-CA"/>
        </w:rPr>
        <w:t>, 2004 CSC 80, [2004] 3 R.C.S.</w:t>
      </w:r>
      <w:r w:rsidR="00F62092">
        <w:rPr>
          <w:szCs w:val="24"/>
          <w:lang w:val="fr-CA"/>
        </w:rPr>
        <w:t xml:space="preserve"> </w:t>
      </w:r>
      <w:r w:rsidRPr="001E08D2">
        <w:rPr>
          <w:szCs w:val="24"/>
          <w:lang w:val="fr-CA"/>
        </w:rPr>
        <w:t>732, doit être rejetée.  À une légère exception près, ils ont estimé que les erreurs d’interprétation de la preuve alléguées par l’appelant constituaient simplement des interprétations différentes de la preuve par la juge.  Nous en convenons.  La conclusion des juges majoritaires, sauf pour ce qui concerne le débat périphérique sur la chronologie précise des événements, est étayée par une lecture attentive du dossier.  À notre avis, l’objet de ce débat est sans importance.  L</w:t>
      </w:r>
      <w:r w:rsidRPr="001E08D2">
        <w:rPr>
          <w:lang w:val="fr-CA"/>
        </w:rPr>
        <w:t>e verdict était l’un de ceux qu’un jury qui a reçu des directives appropriées et qui agit d’une manière judiciaire aurait pu raisonnablement rendre (</w:t>
      </w:r>
      <w:proofErr w:type="spellStart"/>
      <w:r w:rsidRPr="001E08D2">
        <w:rPr>
          <w:i/>
          <w:lang w:val="fr-CA"/>
        </w:rPr>
        <w:t>Corbett</w:t>
      </w:r>
      <w:proofErr w:type="spellEnd"/>
      <w:r w:rsidRPr="001E08D2">
        <w:rPr>
          <w:lang w:val="fr-CA"/>
        </w:rPr>
        <w:t xml:space="preserve">, p. 282; voir également </w:t>
      </w:r>
      <w:r w:rsidRPr="001E08D2">
        <w:rPr>
          <w:i/>
          <w:lang w:val="fr-CA"/>
        </w:rPr>
        <w:t xml:space="preserve">R. c. </w:t>
      </w:r>
      <w:proofErr w:type="spellStart"/>
      <w:r w:rsidRPr="001E08D2">
        <w:rPr>
          <w:i/>
          <w:lang w:val="fr-CA"/>
        </w:rPr>
        <w:t>Yebes</w:t>
      </w:r>
      <w:proofErr w:type="spellEnd"/>
      <w:r w:rsidRPr="001E08D2">
        <w:rPr>
          <w:lang w:val="fr-CA"/>
        </w:rPr>
        <w:t>, [1987] 2 R.C.S. 168, p. 185)</w:t>
      </w:r>
      <w:r w:rsidRPr="001E08D2">
        <w:rPr>
          <w:szCs w:val="24"/>
          <w:lang w:val="fr-CA"/>
        </w:rPr>
        <w:t>.</w:t>
      </w:r>
    </w:p>
    <w:p w:rsidR="00EE6839" w:rsidRPr="001E08D2" w:rsidRDefault="00EE6839" w:rsidP="00EE6839">
      <w:pPr>
        <w:pStyle w:val="ListParagraph"/>
        <w:numPr>
          <w:ilvl w:val="0"/>
          <w:numId w:val="1"/>
        </w:numPr>
        <w:tabs>
          <w:tab w:val="left" w:pos="1170"/>
        </w:tabs>
        <w:spacing w:after="480" w:line="480" w:lineRule="auto"/>
        <w:ind w:left="0" w:firstLine="0"/>
        <w:jc w:val="both"/>
        <w:rPr>
          <w:szCs w:val="24"/>
          <w:lang w:val="fr-CA"/>
        </w:rPr>
      </w:pPr>
      <w:r w:rsidRPr="001E08D2">
        <w:rPr>
          <w:szCs w:val="24"/>
          <w:lang w:val="fr-CA"/>
        </w:rPr>
        <w:t xml:space="preserve">Le deuxième point touche le témoignage d’un policier relatif à des empreintes de pieds dans la neige.  Le témoin, un maître de chien pisteur, a laissé entendre que les personnes qui les avaient faites </w:t>
      </w:r>
      <w:r w:rsidRPr="001E08D2">
        <w:rPr>
          <w:lang w:val="fr-CA"/>
        </w:rPr>
        <w:t xml:space="preserve">— l’appelant et la plaignante, </w:t>
      </w:r>
      <w:proofErr w:type="spellStart"/>
      <w:r w:rsidRPr="001E08D2">
        <w:rPr>
          <w:lang w:val="fr-CA"/>
        </w:rPr>
        <w:t>supposait</w:t>
      </w:r>
      <w:r w:rsidRPr="001E08D2">
        <w:rPr>
          <w:lang w:val="fr-CA"/>
        </w:rPr>
        <w:noBreakHyphen/>
        <w:t>il</w:t>
      </w:r>
      <w:proofErr w:type="spellEnd"/>
      <w:r w:rsidRPr="001E08D2">
        <w:rPr>
          <w:lang w:val="fr-CA"/>
        </w:rPr>
        <w:t xml:space="preserve"> — avaient couru.  L’agent de police a dit être compétent pour interpréter les empreintes, ce qui n’a pas été contesté par la défense.</w:t>
      </w:r>
    </w:p>
    <w:p w:rsidR="00EE6839" w:rsidRPr="001E08D2" w:rsidRDefault="00EE6839" w:rsidP="00EE6839">
      <w:pPr>
        <w:pStyle w:val="ListParagraph"/>
        <w:numPr>
          <w:ilvl w:val="0"/>
          <w:numId w:val="1"/>
        </w:numPr>
        <w:tabs>
          <w:tab w:val="left" w:pos="1170"/>
        </w:tabs>
        <w:spacing w:after="480" w:line="480" w:lineRule="auto"/>
        <w:ind w:left="0" w:firstLine="0"/>
        <w:jc w:val="both"/>
        <w:rPr>
          <w:szCs w:val="24"/>
          <w:lang w:val="fr-FR"/>
        </w:rPr>
      </w:pPr>
      <w:r w:rsidRPr="001E08D2">
        <w:rPr>
          <w:szCs w:val="24"/>
          <w:lang w:val="fr-CA"/>
        </w:rPr>
        <w:t xml:space="preserve">La juge du procès a conclu que la preuve matérielle contredisait la version de l’appelant, et il s’agit de l’un des douze motifs pour lesquels elle a dit ne </w:t>
      </w:r>
      <w:r w:rsidRPr="001E08D2">
        <w:rPr>
          <w:szCs w:val="24"/>
          <w:lang w:val="fr-CA"/>
        </w:rPr>
        <w:lastRenderedPageBreak/>
        <w:t>pas ajouter foi au témoignage de l’appelant ni avoir quelque doute quant à sa culpabilité.  On fait valoir que certains éléments de cette preuve</w:t>
      </w:r>
      <w:r w:rsidRPr="001E08D2">
        <w:rPr>
          <w:lang w:val="fr-CA"/>
        </w:rPr>
        <w:t xml:space="preserve"> échappaient aux limites établies d’un témoignage d’opinion.  Or, la défense ne s’est pas opposée à sa recevabilité au procès et elle s’en est en fait servie pour étayer le témoignage de l’appelant.  La juge du procès s’est seulement fondée sur le témoignage du policier selon lequel, au vu des empreintes observées dans la neige, [</w:t>
      </w:r>
      <w:r w:rsidRPr="001E08D2">
        <w:rPr>
          <w:smallCaps/>
          <w:lang w:val="fr-CA"/>
        </w:rPr>
        <w:t>traduction</w:t>
      </w:r>
      <w:r w:rsidRPr="001E08D2">
        <w:rPr>
          <w:lang w:val="fr-CA"/>
        </w:rPr>
        <w:t>] « on aurait dit qu’une personne avait couru pour échapper à d’autres » (</w:t>
      </w:r>
      <w:proofErr w:type="gramStart"/>
      <w:r w:rsidR="00F62092">
        <w:rPr>
          <w:lang w:val="fr-CA"/>
        </w:rPr>
        <w:t>d</w:t>
      </w:r>
      <w:r w:rsidRPr="001E08D2">
        <w:rPr>
          <w:lang w:val="fr-CA"/>
        </w:rPr>
        <w:t>.</w:t>
      </w:r>
      <w:r w:rsidR="00F62092">
        <w:rPr>
          <w:lang w:val="fr-CA"/>
        </w:rPr>
        <w:t>a</w:t>
      </w:r>
      <w:r w:rsidRPr="001E08D2">
        <w:rPr>
          <w:lang w:val="fr-CA"/>
        </w:rPr>
        <w:t>.,</w:t>
      </w:r>
      <w:proofErr w:type="gramEnd"/>
      <w:r w:rsidRPr="001E08D2">
        <w:rPr>
          <w:lang w:val="fr-CA"/>
        </w:rPr>
        <w:t xml:space="preserve"> p. 129).  Comme l’a dit l’avocat du ministère public en plaidoirie, même un enfant aurait pu arriver à cette conclusion en observant les traces trouvées dans la neige.  Avec égards, il n’y avait pas matière à intervention en appel pour ce motif.</w:t>
      </w:r>
    </w:p>
    <w:p w:rsidR="00EE6839" w:rsidRPr="001E08D2" w:rsidRDefault="00EE6839" w:rsidP="00EE6839">
      <w:pPr>
        <w:pStyle w:val="ListParagraph"/>
        <w:numPr>
          <w:ilvl w:val="0"/>
          <w:numId w:val="1"/>
        </w:numPr>
        <w:tabs>
          <w:tab w:val="left" w:pos="1170"/>
        </w:tabs>
        <w:spacing w:after="480" w:line="480" w:lineRule="auto"/>
        <w:ind w:left="0" w:firstLine="0"/>
        <w:jc w:val="both"/>
        <w:rPr>
          <w:szCs w:val="24"/>
          <w:lang w:val="fr-CA"/>
        </w:rPr>
      </w:pPr>
      <w:r w:rsidRPr="001E08D2">
        <w:rPr>
          <w:szCs w:val="24"/>
          <w:lang w:val="fr-CA"/>
        </w:rPr>
        <w:t xml:space="preserve">Pour ce qui est de l’application du principe dégagé dans l’arrêt </w:t>
      </w:r>
      <w:r w:rsidRPr="001E08D2">
        <w:rPr>
          <w:i/>
          <w:szCs w:val="24"/>
          <w:lang w:val="fr-CA"/>
        </w:rPr>
        <w:t>W.</w:t>
      </w:r>
      <w:r w:rsidR="00F62092">
        <w:rPr>
          <w:i/>
          <w:szCs w:val="24"/>
          <w:lang w:val="fr-CA"/>
        </w:rPr>
        <w:t xml:space="preserve"> </w:t>
      </w:r>
      <w:r w:rsidRPr="001E08D2">
        <w:rPr>
          <w:i/>
          <w:szCs w:val="24"/>
          <w:lang w:val="fr-CA"/>
        </w:rPr>
        <w:t>(D.)</w:t>
      </w:r>
      <w:r w:rsidRPr="001E08D2">
        <w:rPr>
          <w:szCs w:val="24"/>
          <w:lang w:val="fr-CA"/>
        </w:rPr>
        <w:t>, considérés globalement, les motifs de la juge du procès n’appuient pas la conclusion du juge dissident de la Cour d’appel voulant qu’elle ait appliqué de manière erronée la norme du doute raisonnable à l’ensemble de la preuve.</w:t>
      </w:r>
    </w:p>
    <w:p w:rsidR="00EE6839" w:rsidRPr="001E08D2" w:rsidRDefault="00EE6839" w:rsidP="00EE6839">
      <w:pPr>
        <w:pStyle w:val="ListParagraph"/>
        <w:numPr>
          <w:ilvl w:val="0"/>
          <w:numId w:val="1"/>
        </w:numPr>
        <w:tabs>
          <w:tab w:val="left" w:pos="1170"/>
        </w:tabs>
        <w:spacing w:after="480" w:line="480" w:lineRule="auto"/>
        <w:ind w:left="0" w:firstLine="0"/>
        <w:jc w:val="both"/>
        <w:rPr>
          <w:szCs w:val="24"/>
          <w:lang w:val="fr-CA"/>
        </w:rPr>
      </w:pPr>
      <w:r w:rsidRPr="001E08D2">
        <w:rPr>
          <w:szCs w:val="24"/>
          <w:lang w:val="fr-CA"/>
        </w:rPr>
        <w:t>Le pourvoi est rejeté.</w:t>
      </w:r>
    </w:p>
    <w:p w:rsidR="00EE6839" w:rsidRPr="001E08D2" w:rsidRDefault="00EE6839"/>
    <w:p w:rsidR="0033393C" w:rsidRPr="001E08D2" w:rsidRDefault="0033393C" w:rsidP="00EE6839">
      <w:pPr>
        <w:pStyle w:val="SCCNormalDoubleSpacing"/>
        <w:tabs>
          <w:tab w:val="left" w:pos="1170"/>
        </w:tabs>
      </w:pPr>
      <w:r w:rsidRPr="001E08D2">
        <w:tab/>
      </w:r>
      <w:r w:rsidR="00D032A5" w:rsidRPr="001E08D2">
        <w:rPr>
          <w:i/>
        </w:rPr>
        <w:t>Pourvoi rejeté.</w:t>
      </w:r>
    </w:p>
    <w:p w:rsidR="0033393C" w:rsidRPr="001E08D2" w:rsidRDefault="0033393C" w:rsidP="00730730">
      <w:pPr>
        <w:pStyle w:val="SCCNormalDoubleSpacing"/>
      </w:pPr>
    </w:p>
    <w:p w:rsidR="005D3B5B" w:rsidRPr="001E08D2" w:rsidRDefault="00D032A5" w:rsidP="00EE6839">
      <w:pPr>
        <w:pStyle w:val="SCCLawFirm"/>
        <w:tabs>
          <w:tab w:val="left" w:pos="1170"/>
        </w:tabs>
      </w:pPr>
      <w:r w:rsidRPr="001E08D2">
        <w:tab/>
        <w:t>Procureurs de l</w:t>
      </w:r>
      <w:r w:rsidR="00D5311B" w:rsidRPr="001E08D2">
        <w:t>’</w:t>
      </w:r>
      <w:r w:rsidRPr="001E08D2">
        <w:t>appelant</w:t>
      </w:r>
      <w:r w:rsidR="00730730" w:rsidRPr="001E08D2">
        <w:t> : </w:t>
      </w:r>
      <w:r w:rsidR="009E12FF" w:rsidRPr="001E08D2">
        <w:t>Gunn Law Group, Edmonton.</w:t>
      </w:r>
    </w:p>
    <w:p w:rsidR="005D3B5B" w:rsidRPr="001E08D2" w:rsidRDefault="005D3B5B" w:rsidP="00730730">
      <w:pPr>
        <w:pStyle w:val="SCCLawFirm"/>
      </w:pPr>
    </w:p>
    <w:p w:rsidR="005D3B5B" w:rsidRPr="001E08D2" w:rsidRDefault="009E12FF" w:rsidP="00EE6839">
      <w:pPr>
        <w:pStyle w:val="SCCLawFirm"/>
        <w:tabs>
          <w:tab w:val="left" w:pos="1170"/>
        </w:tabs>
      </w:pPr>
      <w:r w:rsidRPr="001E08D2">
        <w:tab/>
      </w:r>
      <w:r w:rsidR="00425AC3" w:rsidRPr="001E08D2">
        <w:t>Procureur</w:t>
      </w:r>
      <w:r w:rsidR="00D5311B" w:rsidRPr="001E08D2">
        <w:t xml:space="preserve"> de l’</w:t>
      </w:r>
      <w:r w:rsidR="00D032A5" w:rsidRPr="001E08D2">
        <w:t>intimée</w:t>
      </w:r>
      <w:r w:rsidR="00730730" w:rsidRPr="001E08D2">
        <w:t> : </w:t>
      </w:r>
      <w:r w:rsidR="00425AC3" w:rsidRPr="001E08D2">
        <w:t xml:space="preserve">Justice </w:t>
      </w:r>
      <w:r w:rsidRPr="001E08D2">
        <w:t>Alberta, Edmonton.</w:t>
      </w:r>
    </w:p>
    <w:sectPr w:rsidR="005D3B5B" w:rsidRPr="001E08D2" w:rsidSect="002C7C78">
      <w:headerReference w:type="even" r:id="rId16"/>
      <w:headerReference w:type="default" r:id="rId17"/>
      <w:footerReference w:type="even" r:id="rId18"/>
      <w:footerReference w:type="default" r:id="rId19"/>
      <w:headerReference w:type="first" r:id="rId20"/>
      <w:footerReference w:type="first" r:id="rId21"/>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827" w:rsidRDefault="00911827">
      <w:r>
        <w:separator/>
      </w:r>
    </w:p>
  </w:endnote>
  <w:endnote w:type="continuationSeparator" w:id="0">
    <w:p w:rsidR="00911827" w:rsidRDefault="00911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67" w:rsidRDefault="00582A67">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67" w:rsidRDefault="00582A6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67" w:rsidRDefault="00582A6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827" w:rsidRDefault="00911827">
    <w:pPr>
      <w:tabs>
        <w:tab w:val="left" w:pos="-1440"/>
        <w:tab w:val="left" w:pos="-720"/>
        <w:tab w:val="left" w:pos="0"/>
        <w:tab w:val="left" w:pos="1152"/>
        <w:tab w:val="left" w:pos="1570"/>
        <w:tab w:val="left" w:pos="1843"/>
        <w:tab w:val="left" w:pos="2261"/>
        <w:tab w:val="left" w:pos="648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827" w:rsidRDefault="00911827">
    <w:pPr>
      <w:tabs>
        <w:tab w:val="left" w:pos="-1440"/>
        <w:tab w:val="left" w:pos="-720"/>
        <w:tab w:val="left" w:pos="0"/>
        <w:tab w:val="left" w:pos="1152"/>
        <w:tab w:val="left" w:pos="1570"/>
        <w:tab w:val="left" w:pos="1843"/>
        <w:tab w:val="left" w:pos="2261"/>
        <w:tab w:val="left" w:pos="6480"/>
      </w:tabs>
      <w:spacing w:line="0" w:lineRule="atLea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78" w:rsidRDefault="002C7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827" w:rsidRDefault="00911827">
      <w:r>
        <w:separator/>
      </w:r>
    </w:p>
  </w:footnote>
  <w:footnote w:type="continuationSeparator" w:id="0">
    <w:p w:rsidR="00911827" w:rsidRDefault="00911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67" w:rsidRDefault="00582A67">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67" w:rsidRDefault="00582A67" w:rsidP="000C59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67" w:rsidRDefault="00582A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827" w:rsidRDefault="00911827">
    <w:pPr>
      <w:tabs>
        <w:tab w:val="left" w:pos="-1440"/>
        <w:tab w:val="left" w:pos="-720"/>
        <w:tab w:val="left" w:pos="0"/>
        <w:tab w:val="left" w:pos="1152"/>
        <w:tab w:val="left" w:pos="1570"/>
        <w:tab w:val="left" w:pos="1843"/>
        <w:tab w:val="left" w:pos="2261"/>
        <w:tab w:val="left" w:pos="648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827" w:rsidRDefault="00911827">
    <w:pPr>
      <w:pStyle w:val="Header"/>
      <w:jc w:val="center"/>
    </w:pPr>
    <w:r>
      <w:t xml:space="preserve">- </w:t>
    </w:r>
    <w:sdt>
      <w:sdtPr>
        <w:id w:val="4489881"/>
        <w:docPartObj>
          <w:docPartGallery w:val="Page Numbers (Top of Page)"/>
          <w:docPartUnique/>
        </w:docPartObj>
      </w:sdtPr>
      <w:sdtContent>
        <w:r w:rsidR="00346A2C">
          <w:fldChar w:fldCharType="begin"/>
        </w:r>
        <w:r w:rsidR="00D67343">
          <w:instrText xml:space="preserve"> PAGE   \* MERGEFORMAT </w:instrText>
        </w:r>
        <w:r w:rsidR="00346A2C">
          <w:fldChar w:fldCharType="separate"/>
        </w:r>
        <w:r w:rsidR="00716E08">
          <w:rPr>
            <w:noProof/>
          </w:rPr>
          <w:t>7</w:t>
        </w:r>
        <w:r w:rsidR="00346A2C">
          <w:fldChar w:fldCharType="end"/>
        </w:r>
        <w:r>
          <w:t xml:space="preserve"> -</w:t>
        </w:r>
      </w:sdtContent>
    </w:sdt>
  </w:p>
  <w:p w:rsidR="00911827" w:rsidRDefault="0091182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C78" w:rsidRDefault="002C7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B6F17"/>
    <w:multiLevelType w:val="hybridMultilevel"/>
    <w:tmpl w:val="C590B7A6"/>
    <w:lvl w:ilvl="0" w:tplc="01265C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rsids>
    <w:rsidRoot w:val="0031414C"/>
    <w:rsid w:val="00025198"/>
    <w:rsid w:val="00055A36"/>
    <w:rsid w:val="000578A3"/>
    <w:rsid w:val="00064563"/>
    <w:rsid w:val="000648CC"/>
    <w:rsid w:val="00094DE0"/>
    <w:rsid w:val="00097CBB"/>
    <w:rsid w:val="000A5321"/>
    <w:rsid w:val="000C59B8"/>
    <w:rsid w:val="000F7494"/>
    <w:rsid w:val="0010136C"/>
    <w:rsid w:val="0011161C"/>
    <w:rsid w:val="00111DE2"/>
    <w:rsid w:val="00116B38"/>
    <w:rsid w:val="0013109F"/>
    <w:rsid w:val="00135406"/>
    <w:rsid w:val="00135972"/>
    <w:rsid w:val="00140667"/>
    <w:rsid w:val="001426A9"/>
    <w:rsid w:val="00154D7C"/>
    <w:rsid w:val="001570B0"/>
    <w:rsid w:val="00172A04"/>
    <w:rsid w:val="00175A97"/>
    <w:rsid w:val="00185394"/>
    <w:rsid w:val="001A451D"/>
    <w:rsid w:val="001B33E0"/>
    <w:rsid w:val="001B4573"/>
    <w:rsid w:val="001C779F"/>
    <w:rsid w:val="001D2AC1"/>
    <w:rsid w:val="001E08D2"/>
    <w:rsid w:val="001F7673"/>
    <w:rsid w:val="0021159B"/>
    <w:rsid w:val="00220FC2"/>
    <w:rsid w:val="00224FC0"/>
    <w:rsid w:val="00225EA4"/>
    <w:rsid w:val="00226EAF"/>
    <w:rsid w:val="00231F3A"/>
    <w:rsid w:val="002406EE"/>
    <w:rsid w:val="002745CC"/>
    <w:rsid w:val="00274B3A"/>
    <w:rsid w:val="002C7C78"/>
    <w:rsid w:val="002D39A4"/>
    <w:rsid w:val="002E6705"/>
    <w:rsid w:val="002F696C"/>
    <w:rsid w:val="0030329A"/>
    <w:rsid w:val="00307AFD"/>
    <w:rsid w:val="0031086F"/>
    <w:rsid w:val="00310E05"/>
    <w:rsid w:val="0031414C"/>
    <w:rsid w:val="00314E01"/>
    <w:rsid w:val="0032089D"/>
    <w:rsid w:val="0033393C"/>
    <w:rsid w:val="00346A2C"/>
    <w:rsid w:val="0034770C"/>
    <w:rsid w:val="0035259D"/>
    <w:rsid w:val="003866EC"/>
    <w:rsid w:val="00394476"/>
    <w:rsid w:val="003A2F19"/>
    <w:rsid w:val="003A4C70"/>
    <w:rsid w:val="003A4E15"/>
    <w:rsid w:val="003C799C"/>
    <w:rsid w:val="003D785C"/>
    <w:rsid w:val="003E0F68"/>
    <w:rsid w:val="003E1C71"/>
    <w:rsid w:val="003F327B"/>
    <w:rsid w:val="003F707C"/>
    <w:rsid w:val="00404FE6"/>
    <w:rsid w:val="004059A7"/>
    <w:rsid w:val="00406166"/>
    <w:rsid w:val="00411300"/>
    <w:rsid w:val="00425AC3"/>
    <w:rsid w:val="00426659"/>
    <w:rsid w:val="0043088E"/>
    <w:rsid w:val="004346BD"/>
    <w:rsid w:val="004439D8"/>
    <w:rsid w:val="00465132"/>
    <w:rsid w:val="00480C90"/>
    <w:rsid w:val="0048396F"/>
    <w:rsid w:val="004909A7"/>
    <w:rsid w:val="00493C18"/>
    <w:rsid w:val="00494CDC"/>
    <w:rsid w:val="004A600C"/>
    <w:rsid w:val="004C478D"/>
    <w:rsid w:val="004E6A2C"/>
    <w:rsid w:val="004F6C00"/>
    <w:rsid w:val="00521AE8"/>
    <w:rsid w:val="00527180"/>
    <w:rsid w:val="005324C7"/>
    <w:rsid w:val="00536719"/>
    <w:rsid w:val="005564A7"/>
    <w:rsid w:val="00582A67"/>
    <w:rsid w:val="005D3B5B"/>
    <w:rsid w:val="005E4698"/>
    <w:rsid w:val="00625C35"/>
    <w:rsid w:val="00634E1B"/>
    <w:rsid w:val="00645057"/>
    <w:rsid w:val="00654858"/>
    <w:rsid w:val="006565F4"/>
    <w:rsid w:val="00681AD1"/>
    <w:rsid w:val="006A56F1"/>
    <w:rsid w:val="006B5FF5"/>
    <w:rsid w:val="006C5661"/>
    <w:rsid w:val="006D4790"/>
    <w:rsid w:val="00701759"/>
    <w:rsid w:val="00702C6F"/>
    <w:rsid w:val="00716E08"/>
    <w:rsid w:val="00730730"/>
    <w:rsid w:val="00747288"/>
    <w:rsid w:val="00747DD3"/>
    <w:rsid w:val="00752F4E"/>
    <w:rsid w:val="007549C8"/>
    <w:rsid w:val="00762D30"/>
    <w:rsid w:val="00763377"/>
    <w:rsid w:val="00766D12"/>
    <w:rsid w:val="00766D14"/>
    <w:rsid w:val="00767A0F"/>
    <w:rsid w:val="007834A8"/>
    <w:rsid w:val="007A05F6"/>
    <w:rsid w:val="007B6F4A"/>
    <w:rsid w:val="007E065E"/>
    <w:rsid w:val="007E1C47"/>
    <w:rsid w:val="007E337A"/>
    <w:rsid w:val="007E5C70"/>
    <w:rsid w:val="007F2FF5"/>
    <w:rsid w:val="007F3204"/>
    <w:rsid w:val="00817190"/>
    <w:rsid w:val="008322BD"/>
    <w:rsid w:val="00855307"/>
    <w:rsid w:val="00862CF3"/>
    <w:rsid w:val="00864CF8"/>
    <w:rsid w:val="00874914"/>
    <w:rsid w:val="00892E1A"/>
    <w:rsid w:val="00894A59"/>
    <w:rsid w:val="008958F5"/>
    <w:rsid w:val="008A6558"/>
    <w:rsid w:val="008A727C"/>
    <w:rsid w:val="008C01DA"/>
    <w:rsid w:val="008C5B4F"/>
    <w:rsid w:val="008F16D9"/>
    <w:rsid w:val="008F78E9"/>
    <w:rsid w:val="00902462"/>
    <w:rsid w:val="009039A9"/>
    <w:rsid w:val="00911827"/>
    <w:rsid w:val="009403F3"/>
    <w:rsid w:val="0094304A"/>
    <w:rsid w:val="00957FA2"/>
    <w:rsid w:val="00966913"/>
    <w:rsid w:val="00967374"/>
    <w:rsid w:val="0097543E"/>
    <w:rsid w:val="00983F3F"/>
    <w:rsid w:val="00985C69"/>
    <w:rsid w:val="0099079B"/>
    <w:rsid w:val="009B2F23"/>
    <w:rsid w:val="009B53E2"/>
    <w:rsid w:val="009B57B3"/>
    <w:rsid w:val="009D5AEB"/>
    <w:rsid w:val="009E12FF"/>
    <w:rsid w:val="009F383F"/>
    <w:rsid w:val="00A01D7E"/>
    <w:rsid w:val="00A05F0E"/>
    <w:rsid w:val="00A21107"/>
    <w:rsid w:val="00A21B90"/>
    <w:rsid w:val="00A24E15"/>
    <w:rsid w:val="00A548CB"/>
    <w:rsid w:val="00A54CC1"/>
    <w:rsid w:val="00A6242E"/>
    <w:rsid w:val="00A643E7"/>
    <w:rsid w:val="00A73C38"/>
    <w:rsid w:val="00A8417D"/>
    <w:rsid w:val="00AC7437"/>
    <w:rsid w:val="00AC7A44"/>
    <w:rsid w:val="00AF03C5"/>
    <w:rsid w:val="00B000D8"/>
    <w:rsid w:val="00B00F75"/>
    <w:rsid w:val="00B145B6"/>
    <w:rsid w:val="00B45B03"/>
    <w:rsid w:val="00B50C81"/>
    <w:rsid w:val="00B557F8"/>
    <w:rsid w:val="00B61F53"/>
    <w:rsid w:val="00B64972"/>
    <w:rsid w:val="00B66DD8"/>
    <w:rsid w:val="00B805BA"/>
    <w:rsid w:val="00B8145D"/>
    <w:rsid w:val="00B815FC"/>
    <w:rsid w:val="00B93FBC"/>
    <w:rsid w:val="00BB16D8"/>
    <w:rsid w:val="00C02092"/>
    <w:rsid w:val="00C057F7"/>
    <w:rsid w:val="00C24C8C"/>
    <w:rsid w:val="00C24D91"/>
    <w:rsid w:val="00C3282B"/>
    <w:rsid w:val="00C41E1F"/>
    <w:rsid w:val="00C52532"/>
    <w:rsid w:val="00C53F14"/>
    <w:rsid w:val="00C55C2E"/>
    <w:rsid w:val="00C600CF"/>
    <w:rsid w:val="00C6084F"/>
    <w:rsid w:val="00C62A66"/>
    <w:rsid w:val="00C62A6F"/>
    <w:rsid w:val="00C67CA5"/>
    <w:rsid w:val="00C71458"/>
    <w:rsid w:val="00C71F58"/>
    <w:rsid w:val="00C7231E"/>
    <w:rsid w:val="00C77613"/>
    <w:rsid w:val="00C828E7"/>
    <w:rsid w:val="00C921DD"/>
    <w:rsid w:val="00CA4D82"/>
    <w:rsid w:val="00CA6391"/>
    <w:rsid w:val="00CE3171"/>
    <w:rsid w:val="00CF1601"/>
    <w:rsid w:val="00D032A5"/>
    <w:rsid w:val="00D266CF"/>
    <w:rsid w:val="00D32086"/>
    <w:rsid w:val="00D37A3F"/>
    <w:rsid w:val="00D45FCF"/>
    <w:rsid w:val="00D4667A"/>
    <w:rsid w:val="00D510BB"/>
    <w:rsid w:val="00D5311B"/>
    <w:rsid w:val="00D5435D"/>
    <w:rsid w:val="00D67343"/>
    <w:rsid w:val="00D74F2E"/>
    <w:rsid w:val="00D829DF"/>
    <w:rsid w:val="00DA0590"/>
    <w:rsid w:val="00DC1788"/>
    <w:rsid w:val="00DE18E4"/>
    <w:rsid w:val="00DF0CA8"/>
    <w:rsid w:val="00DF49A7"/>
    <w:rsid w:val="00E01106"/>
    <w:rsid w:val="00E07EE2"/>
    <w:rsid w:val="00E24573"/>
    <w:rsid w:val="00E377A1"/>
    <w:rsid w:val="00E45109"/>
    <w:rsid w:val="00E54B02"/>
    <w:rsid w:val="00E93BAD"/>
    <w:rsid w:val="00E97830"/>
    <w:rsid w:val="00EA03E5"/>
    <w:rsid w:val="00EB3BF1"/>
    <w:rsid w:val="00EE0FAF"/>
    <w:rsid w:val="00EE6839"/>
    <w:rsid w:val="00F00EB7"/>
    <w:rsid w:val="00F2258E"/>
    <w:rsid w:val="00F33658"/>
    <w:rsid w:val="00F36AB6"/>
    <w:rsid w:val="00F409CE"/>
    <w:rsid w:val="00F62092"/>
    <w:rsid w:val="00F84DF4"/>
    <w:rsid w:val="00F853FB"/>
    <w:rsid w:val="00F85C97"/>
    <w:rsid w:val="00FA2FE1"/>
    <w:rsid w:val="00FB79E6"/>
    <w:rsid w:val="00FC606D"/>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ListParagraph">
    <w:name w:val="List Paragraph"/>
    <w:basedOn w:val="Normal"/>
    <w:uiPriority w:val="34"/>
    <w:qFormat/>
    <w:rsid w:val="00EE6839"/>
    <w:pPr>
      <w:ind w:left="720"/>
    </w:pPr>
    <w:rPr>
      <w:lang w:val="en-CA"/>
    </w:rPr>
  </w:style>
  <w:style w:type="paragraph" w:customStyle="1" w:styleId="SCCCoram">
    <w:name w:val="SCC.Coram"/>
    <w:basedOn w:val="Normal"/>
    <w:next w:val="Normal"/>
    <w:link w:val="SCCCoramChar"/>
    <w:rsid w:val="00EE6839"/>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EE6839"/>
    <w:rPr>
      <w:rFonts w:eastAsiaTheme="minorHAnsi" w:cstheme="minorBidi"/>
      <w:sz w:val="24"/>
      <w:szCs w:val="22"/>
      <w:lang w:eastAsia="en-US"/>
    </w:rPr>
  </w:style>
  <w:style w:type="table" w:styleId="TableGrid">
    <w:name w:val="Table Grid"/>
    <w:basedOn w:val="TableNormal"/>
    <w:uiPriority w:val="59"/>
    <w:rsid w:val="00EE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E028-40CA-4892-92AB-607155B1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1208</Words>
  <Characters>6132</Characters>
  <Application>Microsoft Office Word</Application>
  <DocSecurity>0</DocSecurity>
  <Lines>51</Lines>
  <Paragraphs>14</Paragraphs>
  <ScaleCrop>false</ScaleCrop>
  <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2011-03-25T19:04:00Z</dcterms:created>
  <dcterms:modified xsi:type="dcterms:W3CDTF">2011-03-25T19:04:00Z</dcterms:modified>
</cp:coreProperties>
</file>