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DAE" w:rsidRDefault="001F6DAE" w:rsidP="001F6DAE">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5pt;height:64.5pt" o:ole="">
            <v:imagedata r:id="rId8" o:title=""/>
          </v:shape>
          <o:OLEObject Type="Embed" ProgID="Presentations.Drawing.13" ShapeID="_x0000_i1025" DrawAspect="Content" ObjectID="_1729506911" r:id="rId9"/>
        </w:object>
      </w:r>
      <w:r>
        <w:t xml:space="preserve"> </w:t>
      </w:r>
      <w:r>
        <w:ptab w:relativeTo="margin" w:alignment="right" w:leader="none"/>
      </w:r>
    </w:p>
    <w:p w:rsidR="001F6DAE" w:rsidRDefault="001F6DAE" w:rsidP="001F6DAE">
      <w:pPr>
        <w:pStyle w:val="Header"/>
      </w:pPr>
    </w:p>
    <w:p w:rsidR="001F6DAE" w:rsidRPr="001E12E2" w:rsidRDefault="001F6DAE" w:rsidP="001F6DAE">
      <w:pPr>
        <w:jc w:val="center"/>
        <w:rPr>
          <w:b/>
        </w:rPr>
      </w:pPr>
      <w:r w:rsidRPr="001E12E2">
        <w:rPr>
          <w:b/>
        </w:rPr>
        <w:t>COUR SUPRÊME DU CANADA</w:t>
      </w:r>
    </w:p>
    <w:p w:rsidR="001F6DAE" w:rsidRDefault="001F6DAE" w:rsidP="001F6DAE"/>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1F6DAE" w:rsidRPr="001E12E2" w:rsidTr="00E30ABC">
        <w:trPr>
          <w:cantSplit/>
        </w:trPr>
        <w:tc>
          <w:tcPr>
            <w:tcW w:w="6768" w:type="dxa"/>
          </w:tcPr>
          <w:p w:rsidR="001F6DAE" w:rsidRPr="001E12E2" w:rsidRDefault="001F6DAE" w:rsidP="00E30ABC">
            <w:r>
              <w:rPr>
                <w:b/>
                <w:smallCaps/>
              </w:rPr>
              <w:t>Référence</w:t>
            </w:r>
            <w:r w:rsidRPr="001E12E2">
              <w:rPr>
                <w:b/>
                <w:smallCaps/>
              </w:rPr>
              <w:t xml:space="preserve"> </w:t>
            </w:r>
            <w:r w:rsidRPr="00C5199B">
              <w:rPr>
                <w:b/>
              </w:rPr>
              <w:t>:</w:t>
            </w:r>
            <w:r w:rsidRPr="001E12E2">
              <w:t xml:space="preserve"> </w:t>
            </w:r>
            <w:r w:rsidRPr="00C5199B">
              <w:rPr>
                <w:rStyle w:val="SCCAppellantForIndexChar"/>
                <w:b w:val="0"/>
              </w:rPr>
              <w:t>Century Services Inc</w:t>
            </w:r>
            <w:r w:rsidRPr="00C5199B">
              <w:rPr>
                <w:rStyle w:val="SCCAppellantForIndexChar"/>
              </w:rPr>
              <w:t>.</w:t>
            </w:r>
            <w:r w:rsidRPr="00C5199B">
              <w:t xml:space="preserve"> </w:t>
            </w:r>
            <w:r w:rsidRPr="00C5199B">
              <w:rPr>
                <w:i/>
              </w:rPr>
              <w:t>c.</w:t>
            </w:r>
            <w:r w:rsidRPr="00C5199B">
              <w:rPr>
                <w:b/>
              </w:rPr>
              <w:t xml:space="preserve"> </w:t>
            </w:r>
            <w:r w:rsidRPr="00C5199B">
              <w:rPr>
                <w:rStyle w:val="SCCRespondentForIndexChar"/>
                <w:b w:val="0"/>
              </w:rPr>
              <w:t>Canada (Procureur général)</w:t>
            </w:r>
            <w:r>
              <w:rPr>
                <w:rStyle w:val="SCCRespondentForIndexChar"/>
                <w:b w:val="0"/>
              </w:rPr>
              <w:t>, 2010 CSC 60</w:t>
            </w:r>
            <w:r w:rsidRPr="0036271A">
              <w:rPr>
                <w:rStyle w:val="SCCRespondentForIndexChar"/>
                <w:b w:val="0"/>
              </w:rPr>
              <w:t xml:space="preserve">, [2010] 3 R.C.S. </w:t>
            </w:r>
            <w:r>
              <w:rPr>
                <w:rStyle w:val="SCCRespondentForIndexChar"/>
                <w:b w:val="0"/>
              </w:rPr>
              <w:t>379</w:t>
            </w:r>
          </w:p>
        </w:tc>
        <w:tc>
          <w:tcPr>
            <w:tcW w:w="2808" w:type="dxa"/>
          </w:tcPr>
          <w:p w:rsidR="001F6DAE" w:rsidRPr="001E12E2" w:rsidRDefault="001F6DAE" w:rsidP="00E30ABC">
            <w:r w:rsidRPr="001E12E2">
              <w:rPr>
                <w:b/>
                <w:smallCaps/>
              </w:rPr>
              <w:t xml:space="preserve">Date </w:t>
            </w:r>
            <w:r w:rsidRPr="00C5199B">
              <w:rPr>
                <w:b/>
              </w:rPr>
              <w:t>:</w:t>
            </w:r>
            <w:r w:rsidRPr="001E12E2">
              <w:t xml:space="preserve"> </w:t>
            </w:r>
            <w:r>
              <w:t>20101216</w:t>
            </w:r>
          </w:p>
          <w:p w:rsidR="001F6DAE" w:rsidRPr="001E12E2" w:rsidRDefault="001F6DAE" w:rsidP="00E30ABC">
            <w:r w:rsidRPr="001E12E2">
              <w:rPr>
                <w:b/>
                <w:smallCaps/>
              </w:rPr>
              <w:t>Do</w:t>
            </w:r>
            <w:r>
              <w:rPr>
                <w:b/>
                <w:smallCaps/>
              </w:rPr>
              <w:t>ssier</w:t>
            </w:r>
            <w:r w:rsidRPr="001E12E2">
              <w:rPr>
                <w:b/>
                <w:smallCaps/>
              </w:rPr>
              <w:t xml:space="preserve"> </w:t>
            </w:r>
            <w:r w:rsidRPr="00C5199B">
              <w:rPr>
                <w:b/>
              </w:rPr>
              <w:t>:</w:t>
            </w:r>
            <w:r w:rsidRPr="001E12E2">
              <w:t xml:space="preserve"> </w:t>
            </w:r>
            <w:r>
              <w:t>33239</w:t>
            </w:r>
          </w:p>
        </w:tc>
      </w:tr>
    </w:tbl>
    <w:p w:rsidR="001F6DAE" w:rsidRPr="001E12E2" w:rsidRDefault="001F6DAE" w:rsidP="001F6DAE"/>
    <w:p w:rsidR="001F6DAE" w:rsidRDefault="001F6DAE" w:rsidP="001F6DAE">
      <w:pPr>
        <w:pStyle w:val="SCCLsocPrefix"/>
      </w:pPr>
      <w:r>
        <w:t>Entre</w:t>
      </w:r>
      <w:r w:rsidRPr="00C5199B">
        <w:t xml:space="preserve"> :</w:t>
      </w:r>
    </w:p>
    <w:p w:rsidR="001F6DAE" w:rsidRDefault="001F6DAE" w:rsidP="001F6DAE">
      <w:pPr>
        <w:pStyle w:val="SCCLsocParty"/>
        <w:jc w:val="center"/>
      </w:pPr>
      <w:r>
        <w:t>Century Services Inc.</w:t>
      </w:r>
    </w:p>
    <w:p w:rsidR="001F6DAE" w:rsidRPr="001F6DAE" w:rsidRDefault="001F6DAE" w:rsidP="001F6DAE">
      <w:pPr>
        <w:pStyle w:val="SCCLsocPartyRole"/>
        <w:jc w:val="center"/>
        <w:rPr>
          <w:i w:val="0"/>
        </w:rPr>
      </w:pPr>
      <w:r w:rsidRPr="001F6DAE">
        <w:rPr>
          <w:i w:val="0"/>
        </w:rPr>
        <w:t>Appelante</w:t>
      </w:r>
    </w:p>
    <w:p w:rsidR="001F6DAE" w:rsidRDefault="001F6DAE" w:rsidP="001F6DAE">
      <w:pPr>
        <w:pStyle w:val="SCCLsocVersus"/>
        <w:jc w:val="center"/>
      </w:pPr>
      <w:r w:rsidRPr="001F6DAE">
        <w:rPr>
          <w:i w:val="0"/>
        </w:rPr>
        <w:t>et</w:t>
      </w:r>
    </w:p>
    <w:p w:rsidR="001F6DAE" w:rsidRDefault="001F6DAE" w:rsidP="001F6DAE">
      <w:pPr>
        <w:pStyle w:val="SCCLsocParty"/>
        <w:jc w:val="center"/>
      </w:pPr>
      <w:r>
        <w:t>Procureur général du Canada au nom de</w:t>
      </w:r>
    </w:p>
    <w:p w:rsidR="001F6DAE" w:rsidRDefault="001F6DAE" w:rsidP="001F6DAE">
      <w:pPr>
        <w:pStyle w:val="SCCLsocParty"/>
        <w:jc w:val="center"/>
      </w:pPr>
      <w:r>
        <w:t>Sa Majesté la Reine du chef du Canada</w:t>
      </w:r>
    </w:p>
    <w:p w:rsidR="001F6DAE" w:rsidRPr="001F6DAE" w:rsidRDefault="001F6DAE" w:rsidP="001F6DAE">
      <w:pPr>
        <w:pStyle w:val="SCCLsocPartyRole"/>
        <w:jc w:val="center"/>
        <w:rPr>
          <w:i w:val="0"/>
        </w:rPr>
      </w:pPr>
      <w:r w:rsidRPr="001F6DAE">
        <w:rPr>
          <w:i w:val="0"/>
        </w:rPr>
        <w:t>Intimé</w:t>
      </w:r>
    </w:p>
    <w:p w:rsidR="001F6DAE" w:rsidRDefault="001F6DAE" w:rsidP="001F6DAE"/>
    <w:p w:rsidR="001F6DAE" w:rsidRPr="001E12E2" w:rsidRDefault="001F6DAE" w:rsidP="001F6DAE">
      <w:pPr>
        <w:jc w:val="center"/>
        <w:rPr>
          <w:b/>
          <w:smallCaps/>
        </w:rPr>
      </w:pPr>
      <w:r>
        <w:rPr>
          <w:b/>
          <w:smallCaps/>
        </w:rPr>
        <w:t>Traduction française o</w:t>
      </w:r>
      <w:r w:rsidRPr="001E12E2">
        <w:rPr>
          <w:b/>
          <w:smallCaps/>
        </w:rPr>
        <w:t>ffici</w:t>
      </w:r>
      <w:r>
        <w:rPr>
          <w:b/>
          <w:smallCaps/>
        </w:rPr>
        <w:t>elle</w:t>
      </w:r>
    </w:p>
    <w:p w:rsidR="001F6DAE" w:rsidRPr="001E12E2" w:rsidRDefault="001F6DAE" w:rsidP="001F6DAE"/>
    <w:p w:rsidR="001F6DAE" w:rsidRPr="001E12E2" w:rsidRDefault="001F6DAE" w:rsidP="001F6DAE">
      <w:r w:rsidRPr="001E12E2">
        <w:rPr>
          <w:b/>
          <w:smallCaps/>
        </w:rPr>
        <w:t xml:space="preserve">Coram </w:t>
      </w:r>
      <w:r w:rsidRPr="00C5199B">
        <w:rPr>
          <w:b/>
        </w:rPr>
        <w:t>:</w:t>
      </w:r>
      <w:r w:rsidRPr="001E12E2">
        <w:t xml:space="preserve"> </w:t>
      </w:r>
      <w:r>
        <w:t>La juge en chef McLachlin et les juges Binnie, LeBel, Deschamps, Fish, Abella, Charron, Rothstein et Cromwell</w:t>
      </w:r>
    </w:p>
    <w:p w:rsidR="001F6DAE" w:rsidRPr="001E12E2" w:rsidRDefault="001F6DAE" w:rsidP="001F6DA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1F6DAE" w:rsidRPr="001E12E2" w:rsidTr="00E30ABC">
        <w:trPr>
          <w:cantSplit/>
        </w:trPr>
        <w:tc>
          <w:tcPr>
            <w:tcW w:w="3618" w:type="dxa"/>
          </w:tcPr>
          <w:p w:rsidR="001F6DAE" w:rsidRDefault="001F6DAE" w:rsidP="00E30ABC">
            <w:r>
              <w:rPr>
                <w:b/>
                <w:smallCaps/>
              </w:rPr>
              <w:t>Motifs</w:t>
            </w:r>
            <w:r w:rsidRPr="001E12E2">
              <w:rPr>
                <w:b/>
                <w:smallCaps/>
              </w:rPr>
              <w:t xml:space="preserve"> </w:t>
            </w:r>
            <w:r>
              <w:rPr>
                <w:b/>
                <w:smallCaps/>
              </w:rPr>
              <w:t>de</w:t>
            </w:r>
            <w:r w:rsidRPr="001E12E2">
              <w:rPr>
                <w:b/>
                <w:smallCaps/>
              </w:rPr>
              <w:t xml:space="preserve"> </w:t>
            </w:r>
            <w:r>
              <w:rPr>
                <w:b/>
                <w:smallCaps/>
              </w:rPr>
              <w:t>j</w:t>
            </w:r>
            <w:r w:rsidRPr="001E12E2">
              <w:rPr>
                <w:b/>
                <w:smallCaps/>
              </w:rPr>
              <w:t>ug</w:t>
            </w:r>
            <w:r>
              <w:rPr>
                <w:b/>
                <w:smallCaps/>
              </w:rPr>
              <w:t>e</w:t>
            </w:r>
            <w:r w:rsidRPr="001E12E2">
              <w:rPr>
                <w:b/>
                <w:smallCaps/>
              </w:rPr>
              <w:t>ment</w:t>
            </w:r>
            <w:r w:rsidRPr="001E12E2">
              <w:t xml:space="preserve"> </w:t>
            </w:r>
            <w:r w:rsidRPr="00C5199B">
              <w:rPr>
                <w:b/>
              </w:rPr>
              <w:t>:</w:t>
            </w:r>
          </w:p>
          <w:p w:rsidR="001F6DAE" w:rsidRDefault="001F6DAE" w:rsidP="00E30ABC">
            <w:r>
              <w:t>(par. 1 à 89)</w:t>
            </w:r>
          </w:p>
          <w:p w:rsidR="001F6DAE" w:rsidRDefault="001F6DAE" w:rsidP="00E30ABC"/>
          <w:p w:rsidR="001F6DAE" w:rsidRDefault="001F6DAE" w:rsidP="00E30ABC"/>
          <w:p w:rsidR="001F6DAE" w:rsidRDefault="001F6DAE" w:rsidP="00E30ABC">
            <w:pPr>
              <w:rPr>
                <w:b/>
                <w:smallCaps/>
              </w:rPr>
            </w:pPr>
            <w:r w:rsidRPr="00C5199B">
              <w:rPr>
                <w:b/>
                <w:smallCaps/>
              </w:rPr>
              <w:t>Motifs concordants :</w:t>
            </w:r>
          </w:p>
          <w:p w:rsidR="001F6DAE" w:rsidRDefault="001F6DAE" w:rsidP="00E30ABC">
            <w:r>
              <w:t>(par. 90 à 113)</w:t>
            </w:r>
          </w:p>
          <w:p w:rsidR="001F6DAE" w:rsidRDefault="001F6DAE" w:rsidP="00E30ABC"/>
          <w:p w:rsidR="001F6DAE" w:rsidRDefault="001F6DAE" w:rsidP="00E30ABC">
            <w:pPr>
              <w:rPr>
                <w:b/>
                <w:smallCaps/>
              </w:rPr>
            </w:pPr>
            <w:r w:rsidRPr="00C5199B">
              <w:rPr>
                <w:b/>
                <w:smallCaps/>
              </w:rPr>
              <w:t>Motifs dissidents :</w:t>
            </w:r>
          </w:p>
          <w:p w:rsidR="001F6DAE" w:rsidRDefault="001F6DAE" w:rsidP="00E30ABC">
            <w:r>
              <w:t>(par. 114 à 136)</w:t>
            </w:r>
          </w:p>
          <w:p w:rsidR="001F6DAE" w:rsidRPr="00C5199B" w:rsidRDefault="001F6DAE" w:rsidP="00E30ABC">
            <w:pPr>
              <w:rPr>
                <w:b/>
                <w:smallCaps/>
              </w:rPr>
            </w:pPr>
          </w:p>
        </w:tc>
        <w:tc>
          <w:tcPr>
            <w:tcW w:w="5958" w:type="dxa"/>
          </w:tcPr>
          <w:p w:rsidR="001F6DAE" w:rsidRDefault="001F6DAE" w:rsidP="00E30ABC">
            <w:r>
              <w:t>La juge Deschamps (avec l’accord de la juge en chef McLachlin et des juges Binnie, LeBel, Charron, Rothstein et Cromwell)</w:t>
            </w:r>
          </w:p>
          <w:p w:rsidR="001F6DAE" w:rsidRDefault="001F6DAE" w:rsidP="00E30ABC"/>
          <w:p w:rsidR="001F6DAE" w:rsidRDefault="001F6DAE" w:rsidP="00E30ABC">
            <w:r>
              <w:t>Le juge Fish</w:t>
            </w:r>
          </w:p>
          <w:p w:rsidR="001F6DAE" w:rsidRDefault="001F6DAE" w:rsidP="00E30ABC"/>
          <w:p w:rsidR="001F6DAE" w:rsidRDefault="001F6DAE" w:rsidP="00E30ABC"/>
          <w:p w:rsidR="001F6DAE" w:rsidRPr="001E12E2" w:rsidRDefault="001F6DAE" w:rsidP="00E30ABC">
            <w:r>
              <w:t>La juge Abella</w:t>
            </w:r>
          </w:p>
        </w:tc>
      </w:tr>
    </w:tbl>
    <w:p w:rsidR="001F6DAE" w:rsidRPr="001E12E2" w:rsidRDefault="00A52E58" w:rsidP="001F6DAE">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1609725</wp:posOffset>
                </wp:positionH>
                <wp:positionV relativeFrom="paragraph">
                  <wp:posOffset>184150</wp:posOffset>
                </wp:positionV>
                <wp:extent cx="2505075" cy="0"/>
                <wp:effectExtent l="9525" t="10795" r="9525"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AED961"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1F6DAE" w:rsidRPr="00BB6E1C" w:rsidRDefault="001F6DAE" w:rsidP="001F6DAE">
      <w:pPr>
        <w:rPr>
          <w:rStyle w:val="SCCAppellantForRunningHeadChar"/>
        </w:rPr>
      </w:pPr>
    </w:p>
    <w:p w:rsidR="001F6DAE" w:rsidRDefault="001F6DAE">
      <w:pPr>
        <w:rPr>
          <w:rStyle w:val="SCCAppellantForIndexChar"/>
          <w:b w:val="0"/>
        </w:rPr>
      </w:pPr>
      <w:r>
        <w:rPr>
          <w:rStyle w:val="SCCAppellantForIndexChar"/>
          <w:b w:val="0"/>
        </w:rPr>
        <w:br w:type="page"/>
      </w:r>
    </w:p>
    <w:p w:rsidR="008322BD" w:rsidRPr="0036271A" w:rsidRDefault="0036271A" w:rsidP="008263C7">
      <w:pPr>
        <w:spacing w:line="480" w:lineRule="auto"/>
        <w:jc w:val="both"/>
      </w:pPr>
      <w:r w:rsidRPr="0036271A">
        <w:rPr>
          <w:rStyle w:val="SCCAppellantForIndexChar"/>
          <w:b w:val="0"/>
        </w:rPr>
        <w:lastRenderedPageBreak/>
        <w:t>Century Services Inc.</w:t>
      </w:r>
      <w:r w:rsidRPr="0036271A">
        <w:t xml:space="preserve"> </w:t>
      </w:r>
      <w:r w:rsidRPr="0036271A">
        <w:rPr>
          <w:i/>
        </w:rPr>
        <w:t>c.</w:t>
      </w:r>
      <w:r w:rsidRPr="0036271A">
        <w:t xml:space="preserve"> </w:t>
      </w:r>
      <w:r w:rsidRPr="0036271A">
        <w:rPr>
          <w:rStyle w:val="SCCRespondentForIndexChar"/>
          <w:b w:val="0"/>
        </w:rPr>
        <w:t>Canada (Procureur général)</w:t>
      </w:r>
      <w:r w:rsidRPr="0036271A">
        <w:rPr>
          <w:rStyle w:val="SCCRespondentForRunningHeadChar"/>
        </w:rPr>
        <w:t xml:space="preserve">, </w:t>
      </w:r>
      <w:r w:rsidRPr="0036271A">
        <w:rPr>
          <w:rStyle w:val="SCCRespondentForIndexChar"/>
          <w:b w:val="0"/>
        </w:rPr>
        <w:t xml:space="preserve">2010 CSC </w:t>
      </w:r>
      <w:r>
        <w:rPr>
          <w:rStyle w:val="SCCRespondentForIndexChar"/>
          <w:b w:val="0"/>
        </w:rPr>
        <w:t>6</w:t>
      </w:r>
      <w:r w:rsidRPr="0036271A">
        <w:rPr>
          <w:rStyle w:val="SCCRespondentForIndexChar"/>
          <w:b w:val="0"/>
        </w:rPr>
        <w:t xml:space="preserve">0, [2010] 3 R.C.S. </w:t>
      </w:r>
      <w:r>
        <w:rPr>
          <w:rStyle w:val="SCCRespondentForIndexChar"/>
          <w:b w:val="0"/>
        </w:rPr>
        <w:t>379</w:t>
      </w:r>
    </w:p>
    <w:p w:rsidR="00766D14" w:rsidRPr="0036271A" w:rsidRDefault="00766D14" w:rsidP="008263C7">
      <w:pPr>
        <w:spacing w:line="480" w:lineRule="auto"/>
        <w:jc w:val="both"/>
      </w:pPr>
    </w:p>
    <w:p w:rsidR="00603B64" w:rsidRPr="00393D65" w:rsidRDefault="00F96A7F" w:rsidP="002F6A24">
      <w:pPr>
        <w:pStyle w:val="SCCLsocParty"/>
        <w:tabs>
          <w:tab w:val="right" w:pos="8280"/>
        </w:tabs>
        <w:spacing w:line="480" w:lineRule="auto"/>
        <w:jc w:val="left"/>
        <w:rPr>
          <w:b w:val="0"/>
        </w:rPr>
      </w:pPr>
      <w:r w:rsidRPr="00393D65">
        <w:t>Century Services Inc.</w:t>
      </w:r>
      <w:r w:rsidR="00CE7A8B" w:rsidRPr="00393D65">
        <w:tab/>
      </w:r>
      <w:r w:rsidRPr="00393D65">
        <w:rPr>
          <w:b w:val="0"/>
          <w:i/>
        </w:rPr>
        <w:t>Appelant</w:t>
      </w:r>
      <w:r w:rsidR="00635060" w:rsidRPr="00393D65">
        <w:rPr>
          <w:b w:val="0"/>
          <w:i/>
        </w:rPr>
        <w:t>e</w:t>
      </w:r>
      <w:r w:rsidRPr="00393D65">
        <w:br/>
      </w:r>
    </w:p>
    <w:p w:rsidR="00603B64" w:rsidRPr="00393D65" w:rsidRDefault="00F96A7F" w:rsidP="008263C7">
      <w:pPr>
        <w:pStyle w:val="SCCLsocVersus"/>
        <w:spacing w:line="480" w:lineRule="auto"/>
      </w:pPr>
      <w:r w:rsidRPr="00393D65">
        <w:t>c.</w:t>
      </w:r>
      <w:r w:rsidRPr="00393D65">
        <w:br/>
      </w:r>
    </w:p>
    <w:p w:rsidR="00CE7A8B" w:rsidRPr="00393D65" w:rsidRDefault="00F96A7F" w:rsidP="008263C7">
      <w:pPr>
        <w:pStyle w:val="SCCLsocParty"/>
      </w:pPr>
      <w:r w:rsidRPr="00393D65">
        <w:t xml:space="preserve">Procureur général du Canada </w:t>
      </w:r>
    </w:p>
    <w:p w:rsidR="00603B64" w:rsidRPr="00393D65" w:rsidRDefault="00F96A7F" w:rsidP="002F6A24">
      <w:pPr>
        <w:pStyle w:val="SCCLsocParty"/>
        <w:tabs>
          <w:tab w:val="right" w:pos="8280"/>
        </w:tabs>
        <w:spacing w:after="720"/>
      </w:pPr>
      <w:r w:rsidRPr="00393D65">
        <w:t>au nom de Sa Majesté la Reine du chef du Canada</w:t>
      </w:r>
      <w:r w:rsidR="00CE7A8B" w:rsidRPr="00393D65">
        <w:tab/>
      </w:r>
      <w:r w:rsidRPr="00393D65">
        <w:rPr>
          <w:b w:val="0"/>
          <w:i/>
        </w:rPr>
        <w:t>Intimé</w:t>
      </w:r>
    </w:p>
    <w:p w:rsidR="00426659" w:rsidRPr="00393D65" w:rsidRDefault="0043088E" w:rsidP="008263C7">
      <w:pPr>
        <w:spacing w:line="480" w:lineRule="auto"/>
        <w:jc w:val="both"/>
        <w:rPr>
          <w:b/>
        </w:rPr>
      </w:pPr>
      <w:r w:rsidRPr="00393D65">
        <w:rPr>
          <w:b/>
        </w:rPr>
        <w:t>Répertorié</w:t>
      </w:r>
      <w:r w:rsidR="00C67CA5" w:rsidRPr="00393D65">
        <w:rPr>
          <w:b/>
        </w:rPr>
        <w:t> </w:t>
      </w:r>
      <w:r w:rsidR="00426659" w:rsidRPr="00393D65">
        <w:rPr>
          <w:b/>
        </w:rPr>
        <w:t>:</w:t>
      </w:r>
      <w:r w:rsidR="00C67CA5" w:rsidRPr="00393D65">
        <w:rPr>
          <w:b/>
        </w:rPr>
        <w:t> </w:t>
      </w:r>
      <w:r w:rsidRPr="00393D65">
        <w:rPr>
          <w:rStyle w:val="SCCAppellantForIndexChar"/>
        </w:rPr>
        <w:t>Century Services Inc.</w:t>
      </w:r>
      <w:r w:rsidR="00426659" w:rsidRPr="00393D65">
        <w:rPr>
          <w:b/>
        </w:rPr>
        <w:t xml:space="preserve"> </w:t>
      </w:r>
      <w:r w:rsidR="00645057" w:rsidRPr="00393D65">
        <w:rPr>
          <w:b/>
          <w:i/>
        </w:rPr>
        <w:t>c</w:t>
      </w:r>
      <w:r w:rsidR="00426659" w:rsidRPr="00393D65">
        <w:rPr>
          <w:b/>
          <w:i/>
        </w:rPr>
        <w:t>.</w:t>
      </w:r>
      <w:r w:rsidR="00426659" w:rsidRPr="00393D65">
        <w:rPr>
          <w:b/>
        </w:rPr>
        <w:t xml:space="preserve"> </w:t>
      </w:r>
      <w:r w:rsidRPr="00393D65">
        <w:rPr>
          <w:rStyle w:val="SCCRespondentForIndexChar"/>
        </w:rPr>
        <w:t xml:space="preserve">Canada </w:t>
      </w:r>
      <w:r w:rsidR="00801207" w:rsidRPr="00393D65">
        <w:rPr>
          <w:rStyle w:val="SCCRespondentForIndexChar"/>
        </w:rPr>
        <w:t>(Procureur général)</w:t>
      </w:r>
    </w:p>
    <w:p w:rsidR="00426659" w:rsidRPr="00393D65" w:rsidRDefault="00426659" w:rsidP="008263C7">
      <w:pPr>
        <w:spacing w:line="480" w:lineRule="auto"/>
        <w:jc w:val="both"/>
      </w:pPr>
    </w:p>
    <w:p w:rsidR="00426659" w:rsidRPr="00393D65" w:rsidRDefault="00F853FB" w:rsidP="008263C7">
      <w:pPr>
        <w:pStyle w:val="SCCSystemYear"/>
        <w:spacing w:line="480" w:lineRule="auto"/>
        <w:jc w:val="both"/>
      </w:pPr>
      <w:r w:rsidRPr="00393D65">
        <w:t>2010</w:t>
      </w:r>
      <w:r w:rsidR="00EE0FAF" w:rsidRPr="00393D65">
        <w:t xml:space="preserve"> </w:t>
      </w:r>
      <w:r w:rsidR="00C71F58" w:rsidRPr="00393D65">
        <w:t>C</w:t>
      </w:r>
      <w:r w:rsidR="00AD3024" w:rsidRPr="00393D65">
        <w:t>SC 60</w:t>
      </w:r>
    </w:p>
    <w:p w:rsidR="007834A8" w:rsidRPr="00393D65" w:rsidRDefault="007834A8" w:rsidP="008263C7">
      <w:pPr>
        <w:spacing w:line="480" w:lineRule="auto"/>
        <w:jc w:val="both"/>
      </w:pPr>
    </w:p>
    <w:p w:rsidR="008322BD" w:rsidRPr="00393D65" w:rsidRDefault="009B57B3" w:rsidP="008263C7">
      <w:pPr>
        <w:spacing w:line="480" w:lineRule="auto"/>
        <w:jc w:val="both"/>
      </w:pPr>
      <w:r w:rsidRPr="00393D65">
        <w:t>N</w:t>
      </w:r>
      <w:r w:rsidRPr="00393D65">
        <w:rPr>
          <w:vertAlign w:val="superscript"/>
        </w:rPr>
        <w:t>o</w:t>
      </w:r>
      <w:r w:rsidR="0043088E" w:rsidRPr="00393D65">
        <w:t xml:space="preserve"> du greffe</w:t>
      </w:r>
      <w:r w:rsidR="00C67CA5" w:rsidRPr="00393D65">
        <w:t> </w:t>
      </w:r>
      <w:r w:rsidRPr="00393D65">
        <w:t>:</w:t>
      </w:r>
      <w:r w:rsidR="00C67CA5" w:rsidRPr="00393D65">
        <w:t> </w:t>
      </w:r>
      <w:r w:rsidRPr="00393D65">
        <w:t>33239.</w:t>
      </w:r>
    </w:p>
    <w:p w:rsidR="007834A8" w:rsidRPr="00393D65" w:rsidRDefault="007834A8" w:rsidP="008263C7">
      <w:pPr>
        <w:spacing w:line="480" w:lineRule="auto"/>
        <w:jc w:val="both"/>
      </w:pPr>
    </w:p>
    <w:p w:rsidR="008322BD" w:rsidRPr="00393D65" w:rsidRDefault="00ED7B78" w:rsidP="008263C7">
      <w:pPr>
        <w:spacing w:line="480" w:lineRule="auto"/>
        <w:jc w:val="both"/>
      </w:pPr>
      <w:r w:rsidRPr="00393D65">
        <w:t>2010 </w:t>
      </w:r>
      <w:r w:rsidR="00F853FB" w:rsidRPr="00393D65">
        <w:t>:</w:t>
      </w:r>
      <w:r w:rsidRPr="00393D65">
        <w:t> 11 </w:t>
      </w:r>
      <w:r w:rsidR="00F853FB" w:rsidRPr="00393D65">
        <w:t>mai</w:t>
      </w:r>
      <w:r w:rsidR="00000CE0" w:rsidRPr="00393D65">
        <w:t>; 2010 : 16 </w:t>
      </w:r>
      <w:r w:rsidR="00AD3024" w:rsidRPr="00393D65">
        <w:t>décembre</w:t>
      </w:r>
      <w:r w:rsidR="009B57B3" w:rsidRPr="00393D65">
        <w:t>.</w:t>
      </w:r>
    </w:p>
    <w:p w:rsidR="007834A8" w:rsidRPr="00393D65" w:rsidRDefault="007834A8" w:rsidP="008263C7">
      <w:pPr>
        <w:spacing w:line="480" w:lineRule="auto"/>
        <w:jc w:val="both"/>
      </w:pPr>
    </w:p>
    <w:p w:rsidR="008322BD" w:rsidRPr="00393D65" w:rsidRDefault="009B57B3" w:rsidP="00E44D63">
      <w:pPr>
        <w:spacing w:after="720"/>
        <w:jc w:val="both"/>
      </w:pPr>
      <w:r w:rsidRPr="00393D65">
        <w:t>Pr</w:t>
      </w:r>
      <w:r w:rsidR="0043088E" w:rsidRPr="00393D65">
        <w:t>é</w:t>
      </w:r>
      <w:r w:rsidRPr="00393D65">
        <w:t>sent</w:t>
      </w:r>
      <w:r w:rsidR="008A6558" w:rsidRPr="00393D65">
        <w:t>s</w:t>
      </w:r>
      <w:r w:rsidR="00C67CA5" w:rsidRPr="00393D65">
        <w:t> </w:t>
      </w:r>
      <w:r w:rsidRPr="00393D65">
        <w:t>:</w:t>
      </w:r>
      <w:r w:rsidR="00C67CA5" w:rsidRPr="00393D65">
        <w:t> </w:t>
      </w:r>
      <w:r w:rsidRPr="00393D65">
        <w:t>La juge en chef McLachlin et les juges Binnie, LeBel, Deschamps, Fish, Abella, Charron, Rothstein et Cromwell.</w:t>
      </w:r>
    </w:p>
    <w:p w:rsidR="008322BD" w:rsidRPr="00393D65" w:rsidRDefault="00AC7437" w:rsidP="008263C7">
      <w:pPr>
        <w:pStyle w:val="SCCLowerCourtNameLowercase"/>
      </w:pPr>
      <w:r w:rsidRPr="00393D65">
        <w:t>e</w:t>
      </w:r>
      <w:r w:rsidR="00855307" w:rsidRPr="00393D65">
        <w:t>n</w:t>
      </w:r>
      <w:r w:rsidR="00224FC0" w:rsidRPr="00393D65">
        <w:t xml:space="preserve"> </w:t>
      </w:r>
      <w:r w:rsidR="00855307" w:rsidRPr="00393D65">
        <w:t>appel</w:t>
      </w:r>
      <w:r w:rsidR="00224FC0" w:rsidRPr="00393D65">
        <w:t xml:space="preserve"> </w:t>
      </w:r>
      <w:r w:rsidR="00855307" w:rsidRPr="00393D65">
        <w:t>de</w:t>
      </w:r>
      <w:r w:rsidR="0043088E" w:rsidRPr="00393D65">
        <w:t xml:space="preserve"> </w:t>
      </w:r>
      <w:r w:rsidR="00855307" w:rsidRPr="00393D65">
        <w:t>la</w:t>
      </w:r>
      <w:r w:rsidR="00224FC0" w:rsidRPr="00393D65">
        <w:t xml:space="preserve"> </w:t>
      </w:r>
      <w:r w:rsidR="009B57B3" w:rsidRPr="00393D65">
        <w:t>cour d</w:t>
      </w:r>
      <w:r w:rsidR="00C03762">
        <w:t>’</w:t>
      </w:r>
      <w:r w:rsidR="009B57B3" w:rsidRPr="00393D65">
        <w:t>appel de la colombie</w:t>
      </w:r>
      <w:r w:rsidR="00000CE0" w:rsidRPr="00393D65">
        <w:noBreakHyphen/>
      </w:r>
      <w:r w:rsidR="009B57B3" w:rsidRPr="00393D65">
        <w:t>britannique</w:t>
      </w:r>
    </w:p>
    <w:p w:rsidR="008A0D3C" w:rsidRPr="00393D65" w:rsidRDefault="008A0D3C" w:rsidP="008A0D3C">
      <w:pPr>
        <w:pStyle w:val="SCCNormalDoubleSpacing"/>
      </w:pPr>
    </w:p>
    <w:p w:rsidR="008A0D3C" w:rsidRPr="00393D65" w:rsidRDefault="008A0D3C" w:rsidP="008A0D3C">
      <w:pPr>
        <w:pStyle w:val="SCCNormalDoubleSpacing"/>
      </w:pPr>
      <w:r w:rsidRPr="00393D65">
        <w:lastRenderedPageBreak/>
        <w:tab/>
      </w:r>
      <w:r w:rsidRPr="00393D65">
        <w:rPr>
          <w:i/>
        </w:rPr>
        <w:t>Faillite et insolvabilité</w:t>
      </w:r>
      <w:r w:rsidRPr="00393D65">
        <w:rPr>
          <w:i/>
          <w:szCs w:val="24"/>
        </w:rPr>
        <w:t xml:space="preserve"> </w:t>
      </w:r>
      <w:r w:rsidRPr="00393D65">
        <w:rPr>
          <w:i/>
          <w:iCs/>
          <w:color w:val="000000"/>
          <w:szCs w:val="24"/>
        </w:rPr>
        <w:t xml:space="preserve">— </w:t>
      </w:r>
      <w:r w:rsidRPr="00393D65">
        <w:rPr>
          <w:i/>
          <w:szCs w:val="24"/>
        </w:rPr>
        <w:t xml:space="preserve">Priorités </w:t>
      </w:r>
      <w:r w:rsidRPr="00393D65">
        <w:rPr>
          <w:i/>
          <w:iCs/>
          <w:color w:val="000000"/>
          <w:szCs w:val="24"/>
        </w:rPr>
        <w:t xml:space="preserve">— Demande </w:t>
      </w:r>
      <w:r w:rsidR="00450604" w:rsidRPr="00393D65">
        <w:rPr>
          <w:i/>
          <w:iCs/>
          <w:color w:val="000000"/>
          <w:szCs w:val="24"/>
        </w:rPr>
        <w:t xml:space="preserve">de la Couronne </w:t>
      </w:r>
      <w:r w:rsidRPr="00393D65">
        <w:rPr>
          <w:i/>
          <w:iCs/>
          <w:color w:val="000000"/>
          <w:szCs w:val="24"/>
        </w:rPr>
        <w:t>à la société débitrice</w:t>
      </w:r>
      <w:r w:rsidR="00450604" w:rsidRPr="00393D65">
        <w:rPr>
          <w:i/>
          <w:iCs/>
          <w:color w:val="000000"/>
          <w:szCs w:val="24"/>
        </w:rPr>
        <w:t>,</w:t>
      </w:r>
      <w:r w:rsidRPr="00393D65">
        <w:rPr>
          <w:i/>
          <w:iCs/>
          <w:color w:val="000000"/>
          <w:szCs w:val="24"/>
        </w:rPr>
        <w:t xml:space="preserve"> la veille de la faillite</w:t>
      </w:r>
      <w:r w:rsidR="00450604" w:rsidRPr="00393D65">
        <w:rPr>
          <w:i/>
          <w:iCs/>
          <w:color w:val="000000"/>
          <w:szCs w:val="24"/>
        </w:rPr>
        <w:t>,</w:t>
      </w:r>
      <w:r w:rsidRPr="00393D65">
        <w:rPr>
          <w:i/>
          <w:iCs/>
          <w:color w:val="000000"/>
          <w:szCs w:val="24"/>
        </w:rPr>
        <w:t xml:space="preserve"> sollicitant le paiement au receveur général du Canada de la somme détenue en fiducie au titre de la TPS — La fiducie réputée établie par la Loi sur la taxe d</w:t>
      </w:r>
      <w:r w:rsidR="00C03762">
        <w:rPr>
          <w:i/>
          <w:iCs/>
          <w:color w:val="000000"/>
          <w:szCs w:val="24"/>
        </w:rPr>
        <w:t>’</w:t>
      </w:r>
      <w:r w:rsidRPr="00393D65">
        <w:rPr>
          <w:i/>
          <w:iCs/>
          <w:color w:val="000000"/>
          <w:szCs w:val="24"/>
        </w:rPr>
        <w:t>accise en faveur de la Couronne l</w:t>
      </w:r>
      <w:r w:rsidR="00C03762">
        <w:rPr>
          <w:i/>
          <w:iCs/>
          <w:color w:val="000000"/>
          <w:szCs w:val="24"/>
        </w:rPr>
        <w:t>’</w:t>
      </w:r>
      <w:r w:rsidRPr="00393D65">
        <w:rPr>
          <w:i/>
          <w:iCs/>
          <w:color w:val="000000"/>
          <w:szCs w:val="24"/>
        </w:rPr>
        <w:t>emporte</w:t>
      </w:r>
      <w:r w:rsidRPr="00393D65">
        <w:rPr>
          <w:i/>
          <w:iCs/>
          <w:color w:val="000000"/>
          <w:szCs w:val="24"/>
        </w:rPr>
        <w:noBreakHyphen/>
        <w:t>t</w:t>
      </w:r>
      <w:r w:rsidRPr="00393D65">
        <w:rPr>
          <w:i/>
          <w:iCs/>
          <w:color w:val="000000"/>
          <w:szCs w:val="24"/>
        </w:rPr>
        <w:noBreakHyphen/>
        <w:t>elle sur les dispositions de la Loi sur les arrangements avec les créanciers des compagnies censées neutraliser ces fiducies?</w:t>
      </w:r>
      <w:r w:rsidRPr="00393D65">
        <w:rPr>
          <w:i/>
          <w:szCs w:val="24"/>
        </w:rPr>
        <w:t xml:space="preserve"> </w:t>
      </w:r>
      <w:r w:rsidRPr="00393D65">
        <w:rPr>
          <w:i/>
          <w:iCs/>
          <w:color w:val="000000"/>
          <w:szCs w:val="24"/>
        </w:rPr>
        <w:t>—</w:t>
      </w:r>
      <w:r w:rsidRPr="00393D65">
        <w:rPr>
          <w:i/>
          <w:szCs w:val="24"/>
        </w:rPr>
        <w:t xml:space="preserve"> Loi sur les arrangements avec les créanciers des compagnies, L.R.C. 1985, ch. </w:t>
      </w:r>
      <w:r w:rsidRPr="00393D65">
        <w:rPr>
          <w:i/>
          <w:szCs w:val="24"/>
          <w:lang w:val="fr-FR"/>
        </w:rPr>
        <w:t>C</w:t>
      </w:r>
      <w:r w:rsidRPr="00393D65">
        <w:rPr>
          <w:i/>
          <w:szCs w:val="24"/>
          <w:lang w:val="fr-FR"/>
        </w:rPr>
        <w:noBreakHyphen/>
        <w:t>36, art. 18.3(</w:t>
      </w:r>
      <w:r w:rsidR="006F5C32" w:rsidRPr="00393D65">
        <w:rPr>
          <w:i/>
          <w:szCs w:val="24"/>
          <w:lang w:val="fr-FR"/>
        </w:rPr>
        <w:t>1</w:t>
      </w:r>
      <w:r w:rsidRPr="00393D65">
        <w:rPr>
          <w:i/>
          <w:szCs w:val="24"/>
          <w:lang w:val="fr-FR"/>
        </w:rPr>
        <w:t xml:space="preserve">) </w:t>
      </w:r>
      <w:r w:rsidRPr="00393D65">
        <w:rPr>
          <w:i/>
          <w:iCs/>
          <w:color w:val="000000"/>
          <w:szCs w:val="24"/>
          <w:lang w:val="fr-FR"/>
        </w:rPr>
        <w:t>—</w:t>
      </w:r>
      <w:r w:rsidRPr="00393D65">
        <w:rPr>
          <w:i/>
          <w:szCs w:val="24"/>
          <w:lang w:val="fr-FR"/>
        </w:rPr>
        <w:t xml:space="preserve"> Loi sur la taxe d</w:t>
      </w:r>
      <w:r w:rsidR="00C03762">
        <w:rPr>
          <w:i/>
          <w:szCs w:val="24"/>
          <w:lang w:val="fr-FR"/>
        </w:rPr>
        <w:t>’</w:t>
      </w:r>
      <w:r w:rsidRPr="00393D65">
        <w:rPr>
          <w:i/>
          <w:szCs w:val="24"/>
          <w:lang w:val="fr-FR"/>
        </w:rPr>
        <w:t>accise, L.R.C. 1985, ch. </w:t>
      </w:r>
      <w:r w:rsidRPr="00393D65">
        <w:rPr>
          <w:i/>
          <w:szCs w:val="24"/>
        </w:rPr>
        <w:t>E</w:t>
      </w:r>
      <w:r w:rsidRPr="00393D65">
        <w:rPr>
          <w:i/>
          <w:szCs w:val="24"/>
        </w:rPr>
        <w:noBreakHyphen/>
        <w:t>15, art. 222(3).</w:t>
      </w:r>
      <w:r w:rsidRPr="00393D65">
        <w:t xml:space="preserve"> </w:t>
      </w:r>
    </w:p>
    <w:p w:rsidR="008A0D3C" w:rsidRPr="00393D65" w:rsidRDefault="008A0D3C" w:rsidP="008A0D3C">
      <w:pPr>
        <w:tabs>
          <w:tab w:val="left" w:pos="720"/>
        </w:tabs>
        <w:spacing w:line="480" w:lineRule="auto"/>
        <w:jc w:val="both"/>
        <w:rPr>
          <w:i/>
          <w:iCs/>
          <w:color w:val="000000"/>
          <w:szCs w:val="24"/>
        </w:rPr>
      </w:pPr>
    </w:p>
    <w:p w:rsidR="008A0D3C" w:rsidRPr="00393D65" w:rsidRDefault="008A0D3C" w:rsidP="008A0D3C">
      <w:pPr>
        <w:tabs>
          <w:tab w:val="left" w:pos="720"/>
        </w:tabs>
        <w:spacing w:line="480" w:lineRule="auto"/>
        <w:jc w:val="both"/>
        <w:rPr>
          <w:i/>
          <w:szCs w:val="24"/>
        </w:rPr>
      </w:pPr>
      <w:r w:rsidRPr="00393D65">
        <w:rPr>
          <w:i/>
          <w:iCs/>
          <w:color w:val="000000"/>
          <w:szCs w:val="24"/>
          <w:lang w:val="fr-FR"/>
        </w:rPr>
        <w:tab/>
        <w:t>Faillite et insolvabilité — Procédure — Le juge en cabinet avait</w:t>
      </w:r>
      <w:r w:rsidRPr="00393D65">
        <w:rPr>
          <w:i/>
          <w:iCs/>
          <w:color w:val="000000"/>
          <w:szCs w:val="24"/>
          <w:lang w:val="fr-FR"/>
        </w:rPr>
        <w:noBreakHyphen/>
        <w:t>il le pouvoir, d</w:t>
      </w:r>
      <w:r w:rsidR="00C03762">
        <w:rPr>
          <w:i/>
          <w:iCs/>
          <w:color w:val="000000"/>
          <w:szCs w:val="24"/>
          <w:lang w:val="fr-FR"/>
        </w:rPr>
        <w:t>’</w:t>
      </w:r>
      <w:r w:rsidRPr="00393D65">
        <w:rPr>
          <w:i/>
          <w:iCs/>
          <w:color w:val="000000"/>
          <w:szCs w:val="24"/>
          <w:lang w:val="fr-FR"/>
        </w:rPr>
        <w:t>une part, de lever partiellement la suspension des procédures pour permettre à la compagnie débitrice de faire cession de ses biens en faillite et, d</w:t>
      </w:r>
      <w:r w:rsidR="00C03762">
        <w:rPr>
          <w:i/>
          <w:iCs/>
          <w:color w:val="000000"/>
          <w:szCs w:val="24"/>
          <w:lang w:val="fr-FR"/>
        </w:rPr>
        <w:t>’</w:t>
      </w:r>
      <w:r w:rsidRPr="00393D65">
        <w:rPr>
          <w:i/>
          <w:iCs/>
          <w:color w:val="000000"/>
          <w:szCs w:val="24"/>
          <w:lang w:val="fr-FR"/>
        </w:rPr>
        <w:t>autre part, de suspendre les mesures prises par la Couronne pour bénéficier de la fiducie réputée se rapportant à la TPS? — Loi sur les arrangements avec les créanciers des compagnies</w:t>
      </w:r>
      <w:r w:rsidR="00E44D63" w:rsidRPr="00393D65">
        <w:rPr>
          <w:szCs w:val="24"/>
          <w:lang w:val="fr-FR"/>
        </w:rPr>
        <w:t>,</w:t>
      </w:r>
      <w:r w:rsidRPr="00393D65">
        <w:rPr>
          <w:szCs w:val="24"/>
          <w:lang w:val="fr-FR"/>
        </w:rPr>
        <w:t xml:space="preserve"> </w:t>
      </w:r>
      <w:r w:rsidRPr="00393D65">
        <w:rPr>
          <w:i/>
          <w:szCs w:val="24"/>
          <w:lang w:val="fr-FR"/>
        </w:rPr>
        <w:t>L.R.C. 1985, ch. </w:t>
      </w:r>
      <w:r w:rsidRPr="00393D65">
        <w:rPr>
          <w:i/>
          <w:szCs w:val="24"/>
        </w:rPr>
        <w:t>C</w:t>
      </w:r>
      <w:r w:rsidRPr="00393D65">
        <w:rPr>
          <w:i/>
          <w:szCs w:val="24"/>
        </w:rPr>
        <w:noBreakHyphen/>
        <w:t>36, art. 11.</w:t>
      </w:r>
    </w:p>
    <w:p w:rsidR="008A0D3C" w:rsidRPr="00393D65" w:rsidRDefault="008A0D3C" w:rsidP="008A0D3C">
      <w:pPr>
        <w:tabs>
          <w:tab w:val="left" w:pos="990"/>
        </w:tabs>
        <w:spacing w:line="480" w:lineRule="auto"/>
        <w:rPr>
          <w:szCs w:val="24"/>
        </w:rPr>
      </w:pPr>
    </w:p>
    <w:p w:rsidR="008A0D3C" w:rsidRPr="00393D65" w:rsidRDefault="008A0D3C" w:rsidP="008A0D3C">
      <w:pPr>
        <w:pStyle w:val="SCCNormalDoubleSpacing"/>
      </w:pPr>
      <w:r w:rsidRPr="00393D65">
        <w:rPr>
          <w:i/>
          <w:szCs w:val="24"/>
        </w:rPr>
        <w:tab/>
      </w:r>
      <w:r w:rsidRPr="00393D65">
        <w:rPr>
          <w:i/>
          <w:szCs w:val="24"/>
          <w:lang w:val="fr-FR"/>
        </w:rPr>
        <w:t xml:space="preserve">Fiducies </w:t>
      </w:r>
      <w:r w:rsidRPr="00393D65">
        <w:rPr>
          <w:i/>
          <w:iCs/>
          <w:color w:val="000000"/>
          <w:szCs w:val="24"/>
          <w:lang w:val="fr-FR"/>
        </w:rPr>
        <w:t>— Fiducies expresses</w:t>
      </w:r>
      <w:r w:rsidRPr="00393D65">
        <w:rPr>
          <w:i/>
          <w:szCs w:val="24"/>
          <w:lang w:val="fr-FR"/>
        </w:rPr>
        <w:t xml:space="preserve"> </w:t>
      </w:r>
      <w:r w:rsidRPr="00393D65">
        <w:rPr>
          <w:i/>
          <w:iCs/>
          <w:color w:val="000000"/>
          <w:szCs w:val="24"/>
          <w:lang w:val="fr-FR"/>
        </w:rPr>
        <w:t>— Somme perçue au titre de la TPS mais non versée à la Couronne — Ordonnance du juge exigeant que la TPS soit détenue par le contrôleur dans son compte en fiducie — Le fait que le montant de TPS réclamé par la Couronne soit détenu séparément dans le compte du contrôleur a</w:t>
      </w:r>
      <w:r w:rsidRPr="00393D65">
        <w:rPr>
          <w:i/>
          <w:iCs/>
          <w:color w:val="000000"/>
          <w:szCs w:val="24"/>
          <w:lang w:val="fr-FR"/>
        </w:rPr>
        <w:noBreakHyphen/>
        <w:t>t</w:t>
      </w:r>
      <w:r w:rsidRPr="00393D65">
        <w:rPr>
          <w:i/>
          <w:iCs/>
          <w:color w:val="000000"/>
          <w:szCs w:val="24"/>
          <w:lang w:val="fr-FR"/>
        </w:rPr>
        <w:noBreakHyphen/>
        <w:t xml:space="preserve">il créé une fiducie expresse en faveur de la Couronne? </w:t>
      </w:r>
    </w:p>
    <w:p w:rsidR="008A0D3C" w:rsidRPr="00393D65" w:rsidRDefault="008A0D3C" w:rsidP="008A0D3C">
      <w:pPr>
        <w:pStyle w:val="SCCNormalDoubleSpacing"/>
      </w:pPr>
    </w:p>
    <w:p w:rsidR="008A0D3C" w:rsidRPr="00393D65" w:rsidRDefault="00C52C70" w:rsidP="00C52C70">
      <w:pPr>
        <w:tabs>
          <w:tab w:val="left" w:pos="1080"/>
        </w:tabs>
        <w:spacing w:line="480" w:lineRule="auto"/>
        <w:jc w:val="both"/>
        <w:rPr>
          <w:szCs w:val="24"/>
        </w:rPr>
      </w:pPr>
      <w:r w:rsidRPr="00393D65">
        <w:rPr>
          <w:lang w:val="fr-FR"/>
        </w:rPr>
        <w:lastRenderedPageBreak/>
        <w:tab/>
      </w:r>
      <w:r w:rsidR="008A0D3C" w:rsidRPr="00393D65">
        <w:rPr>
          <w:lang w:val="fr-FR"/>
        </w:rPr>
        <w:t>L</w:t>
      </w:r>
      <w:r w:rsidR="008A0D3C" w:rsidRPr="00393D65">
        <w:t xml:space="preserve">a compagnie débitrice a déposé une requête sous le régime de la </w:t>
      </w:r>
      <w:r w:rsidR="008A0D3C" w:rsidRPr="00393D65">
        <w:rPr>
          <w:i/>
        </w:rPr>
        <w:t xml:space="preserve">Loi sur les arrangements avec les créanciers des compagnies </w:t>
      </w:r>
      <w:r w:rsidR="008A0D3C" w:rsidRPr="00393D65">
        <w:t>(« </w:t>
      </w:r>
      <w:r w:rsidR="008A0D3C" w:rsidRPr="00393D65">
        <w:rPr>
          <w:i/>
        </w:rPr>
        <w:t>LACC </w:t>
      </w:r>
      <w:r w:rsidR="008A0D3C" w:rsidRPr="00393D65">
        <w:t>») et obtenu la suspension des procédures dans le but de réorganiser ses finances</w:t>
      </w:r>
      <w:r w:rsidR="008A0D3C" w:rsidRPr="00393D65">
        <w:rPr>
          <w:szCs w:val="24"/>
          <w:lang w:val="fr-FR"/>
        </w:rPr>
        <w:t xml:space="preserve">.  </w:t>
      </w:r>
      <w:r w:rsidR="008A0D3C" w:rsidRPr="00393D65">
        <w:t>Parmi les dettes de la compagnie débitrice au début de la réorganisation figurait une somme due à la Couronne, mais non versée encore, au titre de la taxe sur les produits et services (« </w:t>
      </w:r>
      <w:r w:rsidR="008A0D3C" w:rsidRPr="001074B7">
        <w:t>TPS</w:t>
      </w:r>
      <w:r w:rsidR="008A0D3C" w:rsidRPr="00393D65">
        <w:t> »).  Le paragraphe </w:t>
      </w:r>
      <w:r w:rsidR="008A0D3C" w:rsidRPr="00393D65">
        <w:rPr>
          <w:szCs w:val="24"/>
        </w:rPr>
        <w:t xml:space="preserve">222(3) de la </w:t>
      </w:r>
      <w:r w:rsidR="008A0D3C" w:rsidRPr="00393D65">
        <w:rPr>
          <w:i/>
          <w:szCs w:val="24"/>
        </w:rPr>
        <w:t>Loi sur la taxe d</w:t>
      </w:r>
      <w:r w:rsidR="00C03762">
        <w:rPr>
          <w:i/>
          <w:szCs w:val="24"/>
        </w:rPr>
        <w:t>’</w:t>
      </w:r>
      <w:r w:rsidR="008A0D3C" w:rsidRPr="00393D65">
        <w:rPr>
          <w:i/>
          <w:szCs w:val="24"/>
        </w:rPr>
        <w:t>accise</w:t>
      </w:r>
      <w:r w:rsidR="008A0D3C" w:rsidRPr="00393D65">
        <w:rPr>
          <w:szCs w:val="24"/>
        </w:rPr>
        <w:t xml:space="preserve"> (« </w:t>
      </w:r>
      <w:r w:rsidR="008A0D3C" w:rsidRPr="00393D65">
        <w:rPr>
          <w:i/>
          <w:szCs w:val="24"/>
        </w:rPr>
        <w:t>LTA </w:t>
      </w:r>
      <w:r w:rsidR="008A0D3C" w:rsidRPr="00393D65">
        <w:rPr>
          <w:szCs w:val="24"/>
        </w:rPr>
        <w:t xml:space="preserve">») </w:t>
      </w:r>
      <w:r w:rsidR="008A0D3C" w:rsidRPr="00393D65">
        <w:t>crée une fiducie réputée visant les sommes de TPS non versées.  Cette fiducie s</w:t>
      </w:r>
      <w:r w:rsidR="00C03762">
        <w:t>’</w:t>
      </w:r>
      <w:r w:rsidR="008A0D3C" w:rsidRPr="00393D65">
        <w:t xml:space="preserve">applique malgré tout autre texte législatif du Canada sauf la </w:t>
      </w:r>
      <w:r w:rsidR="008A0D3C" w:rsidRPr="00393D65">
        <w:rPr>
          <w:i/>
        </w:rPr>
        <w:t>Loi sur la faillite et l</w:t>
      </w:r>
      <w:r w:rsidR="00C03762">
        <w:rPr>
          <w:i/>
        </w:rPr>
        <w:t>’</w:t>
      </w:r>
      <w:r w:rsidR="008A0D3C" w:rsidRPr="00393D65">
        <w:rPr>
          <w:i/>
        </w:rPr>
        <w:t>insolvabilité</w:t>
      </w:r>
      <w:r w:rsidR="008A0D3C" w:rsidRPr="00393D65">
        <w:rPr>
          <w:szCs w:val="24"/>
        </w:rPr>
        <w:t xml:space="preserve"> (« </w:t>
      </w:r>
      <w:r w:rsidR="008A0D3C" w:rsidRPr="00393D65">
        <w:rPr>
          <w:i/>
          <w:szCs w:val="24"/>
        </w:rPr>
        <w:t>LFI</w:t>
      </w:r>
      <w:r w:rsidR="008A0D3C" w:rsidRPr="00393D65">
        <w:rPr>
          <w:szCs w:val="24"/>
        </w:rPr>
        <w:t xml:space="preserve"> »).  Toutefois, le par. 18.3(1) de la </w:t>
      </w:r>
      <w:r w:rsidR="008A0D3C" w:rsidRPr="00393D65">
        <w:rPr>
          <w:i/>
          <w:szCs w:val="24"/>
        </w:rPr>
        <w:t xml:space="preserve">LACC </w:t>
      </w:r>
      <w:r w:rsidR="001203AA" w:rsidRPr="00393D65">
        <w:rPr>
          <w:szCs w:val="24"/>
        </w:rPr>
        <w:t>prévo</w:t>
      </w:r>
      <w:r w:rsidR="008A0D3C" w:rsidRPr="00393D65">
        <w:rPr>
          <w:szCs w:val="24"/>
        </w:rPr>
        <w:t xml:space="preserve">yait que, </w:t>
      </w:r>
      <w:r w:rsidR="008A0D3C" w:rsidRPr="00393D65">
        <w:t>sous réserve de certaines exceptions, dont aucune ne concerne la TPS, les fiducies réputées établies par la loi en faveur de la Couronne</w:t>
      </w:r>
      <w:r w:rsidR="008A0D3C" w:rsidRPr="00393D65">
        <w:rPr>
          <w:szCs w:val="24"/>
        </w:rPr>
        <w:t xml:space="preserve"> </w:t>
      </w:r>
      <w:r w:rsidR="008A0D3C" w:rsidRPr="00393D65">
        <w:t>ne s</w:t>
      </w:r>
      <w:r w:rsidR="00C03762">
        <w:t>’</w:t>
      </w:r>
      <w:r w:rsidR="008A0D3C" w:rsidRPr="00393D65">
        <w:t>appliquaient pas sous son régime</w:t>
      </w:r>
      <w:r w:rsidR="008A0D3C" w:rsidRPr="00393D65">
        <w:rPr>
          <w:szCs w:val="24"/>
        </w:rPr>
        <w:t>.</w:t>
      </w:r>
    </w:p>
    <w:p w:rsidR="008A0D3C" w:rsidRPr="00393D65" w:rsidRDefault="008A0D3C" w:rsidP="008A0D3C">
      <w:pPr>
        <w:spacing w:line="480" w:lineRule="auto"/>
        <w:jc w:val="both"/>
        <w:rPr>
          <w:lang w:val="fr-FR"/>
        </w:rPr>
      </w:pPr>
    </w:p>
    <w:p w:rsidR="004372AC" w:rsidRPr="00393D65" w:rsidRDefault="00C52C70" w:rsidP="00C52C70">
      <w:pPr>
        <w:tabs>
          <w:tab w:val="left" w:pos="1080"/>
        </w:tabs>
        <w:spacing w:line="480" w:lineRule="auto"/>
        <w:jc w:val="both"/>
        <w:rPr>
          <w:szCs w:val="24"/>
          <w:lang w:val="fr-FR"/>
        </w:rPr>
      </w:pPr>
      <w:r w:rsidRPr="00393D65">
        <w:rPr>
          <w:lang w:val="fr-FR"/>
        </w:rPr>
        <w:tab/>
      </w:r>
      <w:r w:rsidR="000408D3" w:rsidRPr="00393D65">
        <w:rPr>
          <w:lang w:val="fr-FR"/>
        </w:rPr>
        <w:t xml:space="preserve">Le juge </w:t>
      </w:r>
      <w:r w:rsidR="005151AB" w:rsidRPr="00393D65">
        <w:rPr>
          <w:lang w:val="fr-FR"/>
        </w:rPr>
        <w:t xml:space="preserve">siégeant </w:t>
      </w:r>
      <w:r w:rsidR="000408D3" w:rsidRPr="00393D65">
        <w:rPr>
          <w:lang w:val="fr-FR"/>
        </w:rPr>
        <w:t>en</w:t>
      </w:r>
      <w:r w:rsidR="005151AB" w:rsidRPr="00393D65">
        <w:rPr>
          <w:lang w:val="fr-FR"/>
        </w:rPr>
        <w:t xml:space="preserve"> son </w:t>
      </w:r>
      <w:r w:rsidR="000408D3" w:rsidRPr="00393D65">
        <w:rPr>
          <w:lang w:val="fr-FR"/>
        </w:rPr>
        <w:t xml:space="preserve">cabinet </w:t>
      </w:r>
      <w:r w:rsidR="00341E00" w:rsidRPr="00393D65">
        <w:rPr>
          <w:lang w:val="fr-FR"/>
        </w:rPr>
        <w:t>chargé d</w:t>
      </w:r>
      <w:r w:rsidR="00C03762">
        <w:rPr>
          <w:lang w:val="fr-FR"/>
        </w:rPr>
        <w:t>’</w:t>
      </w:r>
      <w:r w:rsidR="00341E00" w:rsidRPr="00393D65">
        <w:rPr>
          <w:lang w:val="fr-FR"/>
        </w:rPr>
        <w:t xml:space="preserve">appliquer </w:t>
      </w:r>
      <w:r w:rsidR="000408D3" w:rsidRPr="00393D65">
        <w:rPr>
          <w:lang w:val="fr-FR"/>
        </w:rPr>
        <w:t xml:space="preserve">la </w:t>
      </w:r>
      <w:r w:rsidR="000408D3" w:rsidRPr="00393D65">
        <w:rPr>
          <w:i/>
          <w:lang w:val="fr-FR"/>
        </w:rPr>
        <w:t>LACC</w:t>
      </w:r>
      <w:r w:rsidR="000408D3" w:rsidRPr="00393D65">
        <w:rPr>
          <w:lang w:val="fr-FR"/>
        </w:rPr>
        <w:t xml:space="preserve"> a approuvé par ordonnance le paiement à Century Services, le principal créancier garanti du débiteur, d</w:t>
      </w:r>
      <w:r w:rsidR="00C03762">
        <w:rPr>
          <w:lang w:val="fr-FR"/>
        </w:rPr>
        <w:t>’</w:t>
      </w:r>
      <w:r w:rsidR="000408D3" w:rsidRPr="00393D65">
        <w:rPr>
          <w:lang w:val="fr-FR"/>
        </w:rPr>
        <w:t>une somme d</w:t>
      </w:r>
      <w:r w:rsidR="00C03762">
        <w:rPr>
          <w:lang w:val="fr-FR"/>
        </w:rPr>
        <w:t>’</w:t>
      </w:r>
      <w:r w:rsidR="00625240">
        <w:rPr>
          <w:lang w:val="fr-FR"/>
        </w:rPr>
        <w:t>au plus cinq</w:t>
      </w:r>
      <w:r w:rsidR="000408D3" w:rsidRPr="00393D65">
        <w:rPr>
          <w:lang w:val="fr-FR"/>
        </w:rPr>
        <w:t xml:space="preserve"> millions de dollars. </w:t>
      </w:r>
      <w:r w:rsidR="006D5F2A" w:rsidRPr="00393D65">
        <w:rPr>
          <w:lang w:val="fr-FR"/>
        </w:rPr>
        <w:t xml:space="preserve"> </w:t>
      </w:r>
      <w:r w:rsidR="001203AA" w:rsidRPr="00393D65">
        <w:rPr>
          <w:lang w:val="fr-FR"/>
        </w:rPr>
        <w:t xml:space="preserve">Toutefois, il a également </w:t>
      </w:r>
      <w:r w:rsidR="00767ACE" w:rsidRPr="00393D65">
        <w:rPr>
          <w:lang w:val="fr-FR"/>
        </w:rPr>
        <w:t xml:space="preserve">ordonné à la compagnie débitrice de retenir </w:t>
      </w:r>
      <w:r w:rsidR="009C0B7F" w:rsidRPr="00393D65">
        <w:rPr>
          <w:lang w:val="fr-FR"/>
        </w:rPr>
        <w:t xml:space="preserve">un montant égal aux sommes de TPS non versées et de le déposer </w:t>
      </w:r>
      <w:r w:rsidR="001F6894" w:rsidRPr="00393D65">
        <w:rPr>
          <w:lang w:val="fr-FR"/>
        </w:rPr>
        <w:t xml:space="preserve">séparément </w:t>
      </w:r>
      <w:r w:rsidR="009C0B7F" w:rsidRPr="00393D65">
        <w:rPr>
          <w:lang w:val="fr-FR"/>
        </w:rPr>
        <w:t>dans le compte en fiducie du contrôleur jusqu</w:t>
      </w:r>
      <w:r w:rsidR="00C03762">
        <w:rPr>
          <w:lang w:val="fr-FR"/>
        </w:rPr>
        <w:t>’</w:t>
      </w:r>
      <w:r w:rsidR="008A14B2" w:rsidRPr="00393D65">
        <w:rPr>
          <w:lang w:val="fr-FR"/>
        </w:rPr>
        <w:t>à l</w:t>
      </w:r>
      <w:r w:rsidR="00C03762">
        <w:rPr>
          <w:lang w:val="fr-FR"/>
        </w:rPr>
        <w:t>’</w:t>
      </w:r>
      <w:r w:rsidR="008A14B2" w:rsidRPr="00393D65">
        <w:rPr>
          <w:lang w:val="fr-FR"/>
        </w:rPr>
        <w:t>issue de la réorganisation</w:t>
      </w:r>
      <w:r w:rsidR="004372AC" w:rsidRPr="00393D65">
        <w:rPr>
          <w:szCs w:val="24"/>
          <w:lang w:val="fr-FR"/>
        </w:rPr>
        <w:t xml:space="preserve">. </w:t>
      </w:r>
      <w:r w:rsidR="008A14B2" w:rsidRPr="00393D65">
        <w:rPr>
          <w:szCs w:val="24"/>
          <w:lang w:val="fr-FR"/>
        </w:rPr>
        <w:t xml:space="preserve"> </w:t>
      </w:r>
      <w:r w:rsidR="009C0B7F" w:rsidRPr="00393D65">
        <w:t>Ayant conclu que la réorganisation n</w:t>
      </w:r>
      <w:r w:rsidR="00C03762">
        <w:t>’</w:t>
      </w:r>
      <w:r w:rsidR="009C0B7F" w:rsidRPr="00393D65">
        <w:t xml:space="preserve">était pas possible, la compagnie débitrice a demandé </w:t>
      </w:r>
      <w:r w:rsidR="006D5F2A" w:rsidRPr="00393D65">
        <w:t xml:space="preserve">au tribunal </w:t>
      </w:r>
      <w:r w:rsidR="009C0B7F" w:rsidRPr="00393D65">
        <w:t xml:space="preserve">de lever partiellement la suspension des procédures pour lui permettre de faire cession de ses biens en vertu de la </w:t>
      </w:r>
      <w:r w:rsidR="009C0B7F" w:rsidRPr="00393D65">
        <w:rPr>
          <w:i/>
        </w:rPr>
        <w:t>LFI</w:t>
      </w:r>
      <w:r w:rsidR="009C0B7F" w:rsidRPr="00393D65">
        <w:t xml:space="preserve">. </w:t>
      </w:r>
      <w:r w:rsidR="008A14B2" w:rsidRPr="00393D65">
        <w:t xml:space="preserve"> </w:t>
      </w:r>
      <w:r w:rsidR="006D5F2A" w:rsidRPr="00393D65">
        <w:t xml:space="preserve">La Couronne a demandé par requête le paiement immédiat au receveur général des sommes de TPS non versées. </w:t>
      </w:r>
      <w:r w:rsidR="008A14B2" w:rsidRPr="00393D65">
        <w:t xml:space="preserve"> </w:t>
      </w:r>
      <w:r w:rsidR="006D5F2A" w:rsidRPr="00393D65">
        <w:t xml:space="preserve">Le juge </w:t>
      </w:r>
      <w:r w:rsidR="005151AB" w:rsidRPr="00393D65">
        <w:rPr>
          <w:lang w:val="fr-FR"/>
        </w:rPr>
        <w:t>siégeant en son cabinet</w:t>
      </w:r>
      <w:r w:rsidR="005151AB" w:rsidRPr="00393D65">
        <w:t xml:space="preserve"> </w:t>
      </w:r>
      <w:r w:rsidR="006D5F2A" w:rsidRPr="00393D65">
        <w:t>a rejeté la requête</w:t>
      </w:r>
      <w:r w:rsidR="004372AC" w:rsidRPr="00393D65">
        <w:rPr>
          <w:szCs w:val="24"/>
        </w:rPr>
        <w:t xml:space="preserve"> </w:t>
      </w:r>
      <w:r w:rsidR="006D5F2A" w:rsidRPr="00393D65">
        <w:rPr>
          <w:szCs w:val="24"/>
        </w:rPr>
        <w:t>de la Couronne et autorisé la cession des biens</w:t>
      </w:r>
      <w:r w:rsidR="004372AC" w:rsidRPr="00393D65">
        <w:rPr>
          <w:szCs w:val="24"/>
          <w:lang w:val="fr-FR"/>
        </w:rPr>
        <w:t>.</w:t>
      </w:r>
      <w:r w:rsidR="008A14B2" w:rsidRPr="00393D65">
        <w:rPr>
          <w:szCs w:val="24"/>
          <w:lang w:val="fr-FR"/>
        </w:rPr>
        <w:t xml:space="preserve"> </w:t>
      </w:r>
      <w:r w:rsidR="004372AC" w:rsidRPr="00393D65">
        <w:rPr>
          <w:szCs w:val="24"/>
          <w:lang w:val="fr-FR"/>
        </w:rPr>
        <w:t xml:space="preserve"> </w:t>
      </w:r>
      <w:r w:rsidR="006D5F2A" w:rsidRPr="00393D65">
        <w:rPr>
          <w:szCs w:val="24"/>
          <w:lang w:val="fr-FR"/>
        </w:rPr>
        <w:t>La Cour d</w:t>
      </w:r>
      <w:r w:rsidR="00C03762">
        <w:rPr>
          <w:szCs w:val="24"/>
          <w:lang w:val="fr-FR"/>
        </w:rPr>
        <w:t>’</w:t>
      </w:r>
      <w:r w:rsidR="006D5F2A" w:rsidRPr="00393D65">
        <w:rPr>
          <w:szCs w:val="24"/>
          <w:lang w:val="fr-FR"/>
        </w:rPr>
        <w:t>appel a accueilli l</w:t>
      </w:r>
      <w:r w:rsidR="00C03762">
        <w:rPr>
          <w:szCs w:val="24"/>
          <w:lang w:val="fr-FR"/>
        </w:rPr>
        <w:t>’</w:t>
      </w:r>
      <w:r w:rsidR="006D5F2A" w:rsidRPr="00393D65">
        <w:rPr>
          <w:szCs w:val="24"/>
          <w:lang w:val="fr-FR"/>
        </w:rPr>
        <w:t xml:space="preserve">appel pour </w:t>
      </w:r>
      <w:r w:rsidR="006D5F2A" w:rsidRPr="00393D65">
        <w:rPr>
          <w:szCs w:val="24"/>
          <w:lang w:val="fr-FR"/>
        </w:rPr>
        <w:lastRenderedPageBreak/>
        <w:t xml:space="preserve">deux raisons. </w:t>
      </w:r>
      <w:r w:rsidR="008A14B2" w:rsidRPr="00393D65">
        <w:rPr>
          <w:szCs w:val="24"/>
          <w:lang w:val="fr-FR"/>
        </w:rPr>
        <w:t xml:space="preserve"> </w:t>
      </w:r>
      <w:r w:rsidR="006D5F2A" w:rsidRPr="00393D65">
        <w:rPr>
          <w:szCs w:val="24"/>
          <w:lang w:val="fr-FR"/>
        </w:rPr>
        <w:t xml:space="preserve">Premièrement, </w:t>
      </w:r>
      <w:r w:rsidR="006814D6" w:rsidRPr="00393D65">
        <w:rPr>
          <w:szCs w:val="24"/>
          <w:lang w:val="fr-FR"/>
        </w:rPr>
        <w:t xml:space="preserve">elle a conclu que, après que la tentative de réorganisation eut échoué, le juge </w:t>
      </w:r>
      <w:r w:rsidR="005151AB" w:rsidRPr="00393D65">
        <w:rPr>
          <w:lang w:val="fr-FR"/>
        </w:rPr>
        <w:t>siégeant en son cabinet</w:t>
      </w:r>
      <w:r w:rsidR="005151AB" w:rsidRPr="00393D65">
        <w:rPr>
          <w:szCs w:val="24"/>
          <w:lang w:val="fr-FR"/>
        </w:rPr>
        <w:t xml:space="preserve"> </w:t>
      </w:r>
      <w:r w:rsidR="006814D6" w:rsidRPr="00393D65">
        <w:rPr>
          <w:szCs w:val="24"/>
          <w:lang w:val="fr-FR"/>
        </w:rPr>
        <w:t xml:space="preserve">était tenu, en raison de la priorité établie par la </w:t>
      </w:r>
      <w:r w:rsidR="006814D6" w:rsidRPr="00393D65">
        <w:rPr>
          <w:i/>
          <w:szCs w:val="24"/>
          <w:lang w:val="fr-FR"/>
        </w:rPr>
        <w:t>LTA</w:t>
      </w:r>
      <w:r w:rsidR="006814D6" w:rsidRPr="00393D65">
        <w:rPr>
          <w:szCs w:val="24"/>
          <w:lang w:val="fr-FR"/>
        </w:rPr>
        <w:t xml:space="preserve">, </w:t>
      </w:r>
      <w:r w:rsidR="00900355" w:rsidRPr="00393D65">
        <w:rPr>
          <w:szCs w:val="24"/>
          <w:lang w:val="fr-FR"/>
        </w:rPr>
        <w:t>d</w:t>
      </w:r>
      <w:r w:rsidR="00C03762">
        <w:rPr>
          <w:szCs w:val="24"/>
          <w:lang w:val="fr-FR"/>
        </w:rPr>
        <w:t>’</w:t>
      </w:r>
      <w:r w:rsidR="00900355" w:rsidRPr="00393D65">
        <w:rPr>
          <w:szCs w:val="24"/>
          <w:lang w:val="fr-FR"/>
        </w:rPr>
        <w:t>autoriser le paiement à la Couronne des sommes qui lui étaient dues</w:t>
      </w:r>
      <w:r w:rsidR="00BB772B" w:rsidRPr="00393D65">
        <w:rPr>
          <w:szCs w:val="24"/>
          <w:lang w:val="fr-FR"/>
        </w:rPr>
        <w:t xml:space="preserve"> au titre de la TPS</w:t>
      </w:r>
      <w:r w:rsidR="00900355" w:rsidRPr="00393D65">
        <w:rPr>
          <w:szCs w:val="24"/>
          <w:lang w:val="fr-FR"/>
        </w:rPr>
        <w:t>, et</w:t>
      </w:r>
      <w:r w:rsidR="00130E37" w:rsidRPr="00393D65">
        <w:rPr>
          <w:szCs w:val="24"/>
          <w:lang w:val="fr-FR"/>
        </w:rPr>
        <w:t xml:space="preserve"> que</w:t>
      </w:r>
      <w:r w:rsidR="001203AA" w:rsidRPr="00393D65">
        <w:rPr>
          <w:szCs w:val="24"/>
          <w:lang w:val="fr-FR"/>
        </w:rPr>
        <w:t xml:space="preserve"> l</w:t>
      </w:r>
      <w:r w:rsidR="00C03762">
        <w:rPr>
          <w:szCs w:val="24"/>
          <w:lang w:val="fr-FR"/>
        </w:rPr>
        <w:t>’</w:t>
      </w:r>
      <w:r w:rsidR="001203AA" w:rsidRPr="00393D65">
        <w:rPr>
          <w:szCs w:val="24"/>
          <w:lang w:val="fr-FR"/>
        </w:rPr>
        <w:t>art. </w:t>
      </w:r>
      <w:r w:rsidR="00900355" w:rsidRPr="00393D65">
        <w:rPr>
          <w:szCs w:val="24"/>
          <w:lang w:val="fr-FR"/>
        </w:rPr>
        <w:t xml:space="preserve">11 de la </w:t>
      </w:r>
      <w:r w:rsidR="00900355" w:rsidRPr="00393D65">
        <w:rPr>
          <w:i/>
          <w:szCs w:val="24"/>
          <w:lang w:val="fr-FR"/>
        </w:rPr>
        <w:t>LACC</w:t>
      </w:r>
      <w:r w:rsidR="00900355" w:rsidRPr="00393D65">
        <w:rPr>
          <w:szCs w:val="24"/>
          <w:lang w:val="fr-FR"/>
        </w:rPr>
        <w:t xml:space="preserve"> ne lui conférait pas le pouvoir discrétionnaire de maintenir la suspensi</w:t>
      </w:r>
      <w:r w:rsidR="008A14B2" w:rsidRPr="00393D65">
        <w:rPr>
          <w:szCs w:val="24"/>
          <w:lang w:val="fr-FR"/>
        </w:rPr>
        <w:t>on de la demande de la Couronne</w:t>
      </w:r>
      <w:r w:rsidR="004372AC" w:rsidRPr="00393D65">
        <w:rPr>
          <w:szCs w:val="24"/>
          <w:lang w:val="fr-FR"/>
        </w:rPr>
        <w:t xml:space="preserve">. </w:t>
      </w:r>
      <w:r w:rsidR="001203AA" w:rsidRPr="00393D65">
        <w:rPr>
          <w:szCs w:val="24"/>
          <w:lang w:val="fr-FR"/>
        </w:rPr>
        <w:t xml:space="preserve"> </w:t>
      </w:r>
      <w:r w:rsidR="00900355" w:rsidRPr="00393D65">
        <w:rPr>
          <w:szCs w:val="24"/>
          <w:lang w:val="fr-FR"/>
        </w:rPr>
        <w:t xml:space="preserve">Deuxièmement, </w:t>
      </w:r>
      <w:r w:rsidR="0098517C" w:rsidRPr="00393D65">
        <w:rPr>
          <w:szCs w:val="24"/>
          <w:lang w:val="fr-FR"/>
        </w:rPr>
        <w:t>la Cour d</w:t>
      </w:r>
      <w:r w:rsidR="00C03762">
        <w:rPr>
          <w:szCs w:val="24"/>
          <w:lang w:val="fr-FR"/>
        </w:rPr>
        <w:t>’</w:t>
      </w:r>
      <w:r w:rsidR="0098517C" w:rsidRPr="00393D65">
        <w:rPr>
          <w:szCs w:val="24"/>
          <w:lang w:val="fr-FR"/>
        </w:rPr>
        <w:t xml:space="preserve">appel </w:t>
      </w:r>
      <w:r w:rsidR="0098517C" w:rsidRPr="00393D65">
        <w:t xml:space="preserve">a conclu que, en ordonnant la ségrégation des sommes de TPS dans le compte en fiducie du contrôleur, le juge </w:t>
      </w:r>
      <w:r w:rsidR="005151AB" w:rsidRPr="00393D65">
        <w:rPr>
          <w:lang w:val="fr-FR"/>
        </w:rPr>
        <w:t>siégeant en son cabinet</w:t>
      </w:r>
      <w:r w:rsidR="005151AB" w:rsidRPr="00393D65">
        <w:t xml:space="preserve"> </w:t>
      </w:r>
      <w:r w:rsidR="0098517C" w:rsidRPr="00393D65">
        <w:t>avait créé une fiducie expresse en faveur de la Couronne</w:t>
      </w:r>
      <w:r w:rsidR="004372AC" w:rsidRPr="00393D65">
        <w:rPr>
          <w:szCs w:val="24"/>
          <w:lang w:val="fr-FR"/>
        </w:rPr>
        <w:t>.</w:t>
      </w:r>
    </w:p>
    <w:p w:rsidR="004372AC" w:rsidRPr="00393D65" w:rsidRDefault="004372AC" w:rsidP="004372AC">
      <w:pPr>
        <w:spacing w:line="480" w:lineRule="auto"/>
        <w:jc w:val="both"/>
        <w:rPr>
          <w:szCs w:val="24"/>
          <w:lang w:val="fr-FR"/>
        </w:rPr>
      </w:pPr>
    </w:p>
    <w:p w:rsidR="004372AC" w:rsidRPr="00393D65" w:rsidRDefault="003F038A" w:rsidP="004372AC">
      <w:pPr>
        <w:spacing w:line="480" w:lineRule="auto"/>
        <w:jc w:val="both"/>
        <w:rPr>
          <w:szCs w:val="24"/>
          <w:lang w:val="fr-FR"/>
        </w:rPr>
      </w:pPr>
      <w:r w:rsidRPr="00393D65">
        <w:rPr>
          <w:i/>
          <w:szCs w:val="24"/>
          <w:lang w:val="fr-FR"/>
        </w:rPr>
        <w:tab/>
      </w:r>
      <w:r w:rsidR="004372AC" w:rsidRPr="00393D65">
        <w:rPr>
          <w:i/>
          <w:szCs w:val="24"/>
          <w:lang w:val="fr-FR"/>
        </w:rPr>
        <w:t xml:space="preserve">Arrêt </w:t>
      </w:r>
      <w:r w:rsidR="004372AC" w:rsidRPr="00393D65">
        <w:rPr>
          <w:szCs w:val="24"/>
          <w:lang w:val="fr-FR"/>
        </w:rPr>
        <w:t xml:space="preserve">(la juge Abella est dissidente) : Le pourvoi est accueilli. </w:t>
      </w:r>
    </w:p>
    <w:p w:rsidR="000C7B04" w:rsidRPr="00393D65" w:rsidRDefault="000C7B04" w:rsidP="00F03E74">
      <w:pPr>
        <w:pStyle w:val="SCCNormalDoubleSpacing"/>
        <w:rPr>
          <w:i/>
          <w:szCs w:val="24"/>
          <w:lang w:val="fr-FR"/>
        </w:rPr>
      </w:pPr>
    </w:p>
    <w:p w:rsidR="008322BD" w:rsidRPr="00393D65" w:rsidRDefault="003F038A" w:rsidP="00F03E74">
      <w:pPr>
        <w:pStyle w:val="SCCNormalDoubleSpacing"/>
        <w:rPr>
          <w:lang w:val="fr-FR"/>
        </w:rPr>
      </w:pPr>
      <w:r w:rsidRPr="00393D65">
        <w:rPr>
          <w:i/>
          <w:szCs w:val="24"/>
          <w:lang w:val="fr-FR"/>
        </w:rPr>
        <w:tab/>
      </w:r>
      <w:r w:rsidR="000C7B04" w:rsidRPr="00393D65">
        <w:rPr>
          <w:i/>
          <w:szCs w:val="24"/>
          <w:lang w:val="fr-FR"/>
        </w:rPr>
        <w:t xml:space="preserve">La </w:t>
      </w:r>
      <w:r w:rsidR="000C7B04" w:rsidRPr="00393D65">
        <w:rPr>
          <w:szCs w:val="24"/>
          <w:lang w:val="fr-FR"/>
        </w:rPr>
        <w:t xml:space="preserve">juge en chef McLachlin et les juges Binnie, LeBel, </w:t>
      </w:r>
      <w:r w:rsidR="000C7B04" w:rsidRPr="001074B7">
        <w:rPr>
          <w:szCs w:val="24"/>
          <w:lang w:val="fr-FR"/>
        </w:rPr>
        <w:t>Deschamps,</w:t>
      </w:r>
      <w:r w:rsidR="000C01A6" w:rsidRPr="00393D65">
        <w:rPr>
          <w:szCs w:val="24"/>
          <w:lang w:val="fr-FR"/>
        </w:rPr>
        <w:t xml:space="preserve"> Charron, Rothstein et Cromwell </w:t>
      </w:r>
      <w:r w:rsidR="000C7B04" w:rsidRPr="00393D65">
        <w:rPr>
          <w:szCs w:val="24"/>
          <w:lang w:val="fr-FR"/>
        </w:rPr>
        <w:t xml:space="preserve">: </w:t>
      </w:r>
      <w:r w:rsidR="00930FA3" w:rsidRPr="00393D65">
        <w:rPr>
          <w:szCs w:val="24"/>
          <w:lang w:val="fr-FR"/>
        </w:rPr>
        <w:t xml:space="preserve">Il est possible de résoudre le conflit apparent entre le par. 222(3) de la </w:t>
      </w:r>
      <w:r w:rsidR="00930FA3" w:rsidRPr="00393D65">
        <w:rPr>
          <w:i/>
          <w:szCs w:val="24"/>
          <w:lang w:val="fr-FR"/>
        </w:rPr>
        <w:t xml:space="preserve">LTA </w:t>
      </w:r>
      <w:r w:rsidR="00930FA3" w:rsidRPr="00393D65">
        <w:rPr>
          <w:szCs w:val="24"/>
          <w:lang w:val="fr-FR"/>
        </w:rPr>
        <w:t>et le par. </w:t>
      </w:r>
      <w:r w:rsidR="000C7B04" w:rsidRPr="00393D65">
        <w:rPr>
          <w:szCs w:val="24"/>
          <w:lang w:val="fr-FR"/>
        </w:rPr>
        <w:t xml:space="preserve">18.3(1) </w:t>
      </w:r>
      <w:r w:rsidR="00930FA3" w:rsidRPr="00393D65">
        <w:rPr>
          <w:szCs w:val="24"/>
          <w:lang w:val="fr-FR"/>
        </w:rPr>
        <w:t xml:space="preserve">de la </w:t>
      </w:r>
      <w:r w:rsidR="00930FA3" w:rsidRPr="00393D65">
        <w:rPr>
          <w:i/>
          <w:szCs w:val="24"/>
          <w:lang w:val="fr-FR"/>
        </w:rPr>
        <w:t xml:space="preserve">LACC </w:t>
      </w:r>
      <w:r w:rsidR="00930FA3" w:rsidRPr="00393D65">
        <w:rPr>
          <w:szCs w:val="24"/>
          <w:lang w:val="fr-FR"/>
        </w:rPr>
        <w:t>en les interprétant d</w:t>
      </w:r>
      <w:r w:rsidR="00C03762">
        <w:rPr>
          <w:szCs w:val="24"/>
          <w:lang w:val="fr-FR"/>
        </w:rPr>
        <w:t>’</w:t>
      </w:r>
      <w:r w:rsidR="00930FA3" w:rsidRPr="00393D65">
        <w:rPr>
          <w:szCs w:val="24"/>
          <w:lang w:val="fr-FR"/>
        </w:rPr>
        <w:t xml:space="preserve">une manière qui </w:t>
      </w:r>
      <w:r w:rsidR="008A14B2" w:rsidRPr="00393D65">
        <w:rPr>
          <w:szCs w:val="24"/>
          <w:lang w:val="fr-FR"/>
        </w:rPr>
        <w:t>tienne compte adéquatement de</w:t>
      </w:r>
      <w:r w:rsidR="00930FA3" w:rsidRPr="00393D65">
        <w:rPr>
          <w:szCs w:val="24"/>
          <w:lang w:val="fr-FR"/>
        </w:rPr>
        <w:t xml:space="preserve"> </w:t>
      </w:r>
      <w:r w:rsidR="00930FA3" w:rsidRPr="00393D65">
        <w:t>l</w:t>
      </w:r>
      <w:r w:rsidR="00C03762">
        <w:t>’</w:t>
      </w:r>
      <w:r w:rsidR="00930FA3" w:rsidRPr="00393D65">
        <w:t xml:space="preserve">historique de la </w:t>
      </w:r>
      <w:r w:rsidR="00930FA3" w:rsidRPr="00393D65">
        <w:rPr>
          <w:i/>
        </w:rPr>
        <w:t>LACC</w:t>
      </w:r>
      <w:r w:rsidR="00930FA3" w:rsidRPr="00393D65">
        <w:t xml:space="preserve">, </w:t>
      </w:r>
      <w:r w:rsidR="008A14B2" w:rsidRPr="00393D65">
        <w:t xml:space="preserve">de </w:t>
      </w:r>
      <w:r w:rsidR="00930FA3" w:rsidRPr="00393D65">
        <w:t>la fonction de cette loi parmi l</w:t>
      </w:r>
      <w:r w:rsidR="00C03762">
        <w:t>’</w:t>
      </w:r>
      <w:r w:rsidR="00930FA3" w:rsidRPr="00393D65">
        <w:t>ensemble des textes adoptés par le législateur fédéral en matière d</w:t>
      </w:r>
      <w:r w:rsidR="00C03762">
        <w:t>’</w:t>
      </w:r>
      <w:r w:rsidR="00930FA3" w:rsidRPr="00393D65">
        <w:t xml:space="preserve">insolvabilité et </w:t>
      </w:r>
      <w:r w:rsidR="00D70069" w:rsidRPr="00393D65">
        <w:t>d</w:t>
      </w:r>
      <w:r w:rsidR="00930FA3" w:rsidRPr="00393D65">
        <w:t>es principes d</w:t>
      </w:r>
      <w:r w:rsidR="00C03762">
        <w:t>’</w:t>
      </w:r>
      <w:r w:rsidR="00930FA3" w:rsidRPr="00393D65">
        <w:t xml:space="preserve">interprétation de la </w:t>
      </w:r>
      <w:r w:rsidR="00930FA3" w:rsidRPr="00393D65">
        <w:rPr>
          <w:i/>
        </w:rPr>
        <w:t>LACC</w:t>
      </w:r>
      <w:r w:rsidR="00D70069" w:rsidRPr="00393D65">
        <w:t xml:space="preserve"> reconnus dans la jurisprudence</w:t>
      </w:r>
      <w:r w:rsidR="000C7B04" w:rsidRPr="00393D65">
        <w:rPr>
          <w:szCs w:val="24"/>
          <w:lang w:val="fr-FR"/>
        </w:rPr>
        <w:t>.</w:t>
      </w:r>
      <w:r w:rsidR="00D70069" w:rsidRPr="00393D65">
        <w:rPr>
          <w:szCs w:val="24"/>
          <w:lang w:val="fr-FR"/>
        </w:rPr>
        <w:t xml:space="preserve"> </w:t>
      </w:r>
      <w:r w:rsidR="00930FA3" w:rsidRPr="00393D65">
        <w:rPr>
          <w:szCs w:val="24"/>
          <w:lang w:val="fr-FR"/>
        </w:rPr>
        <w:t xml:space="preserve"> </w:t>
      </w:r>
      <w:r w:rsidR="00762ED0" w:rsidRPr="00393D65">
        <w:rPr>
          <w:szCs w:val="24"/>
          <w:lang w:val="fr-FR"/>
        </w:rPr>
        <w:t>L</w:t>
      </w:r>
      <w:r w:rsidR="00C03762">
        <w:rPr>
          <w:szCs w:val="24"/>
          <w:lang w:val="fr-FR"/>
        </w:rPr>
        <w:t>’</w:t>
      </w:r>
      <w:r w:rsidR="00762ED0" w:rsidRPr="00393D65">
        <w:rPr>
          <w:szCs w:val="24"/>
          <w:lang w:val="fr-FR"/>
        </w:rPr>
        <w:t xml:space="preserve">historique de la </w:t>
      </w:r>
      <w:r w:rsidR="00762ED0" w:rsidRPr="00393D65">
        <w:rPr>
          <w:i/>
          <w:szCs w:val="24"/>
          <w:lang w:val="fr-FR"/>
        </w:rPr>
        <w:t>LACC</w:t>
      </w:r>
      <w:r w:rsidR="000C7B04" w:rsidRPr="00393D65">
        <w:rPr>
          <w:szCs w:val="24"/>
          <w:lang w:val="fr-FR"/>
        </w:rPr>
        <w:t xml:space="preserve"> </w:t>
      </w:r>
      <w:r w:rsidR="00D70069" w:rsidRPr="00393D65">
        <w:rPr>
          <w:szCs w:val="24"/>
          <w:lang w:val="fr-FR"/>
        </w:rPr>
        <w:t xml:space="preserve">permet de </w:t>
      </w:r>
      <w:r w:rsidR="00762ED0" w:rsidRPr="00393D65">
        <w:rPr>
          <w:szCs w:val="24"/>
          <w:lang w:val="fr-FR"/>
        </w:rPr>
        <w:t>distingue</w:t>
      </w:r>
      <w:r w:rsidR="00D70069" w:rsidRPr="00393D65">
        <w:rPr>
          <w:szCs w:val="24"/>
          <w:lang w:val="fr-FR"/>
        </w:rPr>
        <w:t>r</w:t>
      </w:r>
      <w:r w:rsidR="00762ED0" w:rsidRPr="00393D65">
        <w:rPr>
          <w:szCs w:val="24"/>
          <w:lang w:val="fr-FR"/>
        </w:rPr>
        <w:t xml:space="preserve"> celle</w:t>
      </w:r>
      <w:r w:rsidR="00000CE0" w:rsidRPr="00393D65">
        <w:rPr>
          <w:szCs w:val="24"/>
          <w:lang w:val="fr-FR"/>
        </w:rPr>
        <w:noBreakHyphen/>
      </w:r>
      <w:r w:rsidR="00762ED0" w:rsidRPr="00393D65">
        <w:rPr>
          <w:szCs w:val="24"/>
          <w:lang w:val="fr-FR"/>
        </w:rPr>
        <w:t xml:space="preserve">ci de la </w:t>
      </w:r>
      <w:r w:rsidR="00762ED0" w:rsidRPr="00393D65">
        <w:rPr>
          <w:i/>
          <w:szCs w:val="24"/>
          <w:lang w:val="fr-FR"/>
        </w:rPr>
        <w:t>LFI</w:t>
      </w:r>
      <w:r w:rsidR="00762ED0" w:rsidRPr="00393D65">
        <w:rPr>
          <w:szCs w:val="24"/>
          <w:lang w:val="fr-FR"/>
        </w:rPr>
        <w:t xml:space="preserve"> en ce sens que, </w:t>
      </w:r>
      <w:r w:rsidR="00D70069" w:rsidRPr="00393D65">
        <w:rPr>
          <w:szCs w:val="24"/>
          <w:lang w:val="fr-FR"/>
        </w:rPr>
        <w:t>bien que ces lois aie</w:t>
      </w:r>
      <w:r w:rsidR="00762ED0" w:rsidRPr="00393D65">
        <w:rPr>
          <w:szCs w:val="24"/>
          <w:lang w:val="fr-FR"/>
        </w:rPr>
        <w:t>nt pour objet d</w:t>
      </w:r>
      <w:r w:rsidR="00C03762">
        <w:rPr>
          <w:szCs w:val="24"/>
          <w:lang w:val="fr-FR"/>
        </w:rPr>
        <w:t>’</w:t>
      </w:r>
      <w:r w:rsidR="00762ED0" w:rsidRPr="00393D65">
        <w:rPr>
          <w:szCs w:val="24"/>
          <w:lang w:val="fr-FR"/>
        </w:rPr>
        <w:t xml:space="preserve">éviter les </w:t>
      </w:r>
      <w:r w:rsidR="00130E37" w:rsidRPr="00393D65">
        <w:rPr>
          <w:szCs w:val="24"/>
          <w:lang w:val="fr-FR"/>
        </w:rPr>
        <w:t>coûts sociaux et économiques lié</w:t>
      </w:r>
      <w:r w:rsidR="00762ED0" w:rsidRPr="00393D65">
        <w:rPr>
          <w:szCs w:val="24"/>
          <w:lang w:val="fr-FR"/>
        </w:rPr>
        <w:t>s à la liquidation de l</w:t>
      </w:r>
      <w:r w:rsidR="00C03762">
        <w:rPr>
          <w:szCs w:val="24"/>
          <w:lang w:val="fr-FR"/>
        </w:rPr>
        <w:t>’</w:t>
      </w:r>
      <w:r w:rsidR="00762ED0" w:rsidRPr="00393D65">
        <w:rPr>
          <w:szCs w:val="24"/>
          <w:lang w:val="fr-FR"/>
        </w:rPr>
        <w:t>actif d</w:t>
      </w:r>
      <w:r w:rsidR="00C03762">
        <w:rPr>
          <w:szCs w:val="24"/>
          <w:lang w:val="fr-FR"/>
        </w:rPr>
        <w:t>’</w:t>
      </w:r>
      <w:r w:rsidR="00762ED0" w:rsidRPr="00393D65">
        <w:rPr>
          <w:szCs w:val="24"/>
          <w:lang w:val="fr-FR"/>
        </w:rPr>
        <w:t xml:space="preserve">un débiteur, la </w:t>
      </w:r>
      <w:r w:rsidR="00762ED0" w:rsidRPr="00393D65">
        <w:rPr>
          <w:i/>
          <w:szCs w:val="24"/>
          <w:lang w:val="fr-FR"/>
        </w:rPr>
        <w:t>LACC</w:t>
      </w:r>
      <w:r w:rsidR="00762ED0" w:rsidRPr="00393D65">
        <w:rPr>
          <w:szCs w:val="24"/>
          <w:lang w:val="fr-FR"/>
        </w:rPr>
        <w:t xml:space="preserve"> offre plus de souplesse et accorde aux tribunaux un plus grand pouvoir discrétionnaire que le mécanisme fondé sur des règles de la </w:t>
      </w:r>
      <w:r w:rsidR="00762ED0" w:rsidRPr="00393D65">
        <w:rPr>
          <w:i/>
          <w:szCs w:val="24"/>
          <w:lang w:val="fr-FR"/>
        </w:rPr>
        <w:t>LFI</w:t>
      </w:r>
      <w:r w:rsidR="00762ED0" w:rsidRPr="00393D65">
        <w:rPr>
          <w:szCs w:val="24"/>
          <w:lang w:val="fr-FR"/>
        </w:rPr>
        <w:t xml:space="preserve">, ce qui rend la première mieux adaptée aux réorganisations </w:t>
      </w:r>
      <w:r w:rsidR="000C7B04" w:rsidRPr="00393D65">
        <w:rPr>
          <w:szCs w:val="24"/>
          <w:lang w:val="fr-FR"/>
        </w:rPr>
        <w:t>complex</w:t>
      </w:r>
      <w:r w:rsidR="00762ED0" w:rsidRPr="00393D65">
        <w:rPr>
          <w:szCs w:val="24"/>
          <w:lang w:val="fr-FR"/>
        </w:rPr>
        <w:t>es</w:t>
      </w:r>
      <w:r w:rsidR="00D70069" w:rsidRPr="00393D65">
        <w:rPr>
          <w:szCs w:val="24"/>
          <w:lang w:val="fr-FR"/>
        </w:rPr>
        <w:t xml:space="preserve">.  </w:t>
      </w:r>
      <w:r w:rsidR="00CC0DC9" w:rsidRPr="00393D65">
        <w:rPr>
          <w:lang w:val="fr-FR"/>
        </w:rPr>
        <w:t xml:space="preserve">Comme la </w:t>
      </w:r>
      <w:r w:rsidR="00CC0DC9" w:rsidRPr="00393D65">
        <w:rPr>
          <w:i/>
          <w:lang w:val="fr-FR"/>
        </w:rPr>
        <w:t xml:space="preserve">LACC </w:t>
      </w:r>
      <w:r w:rsidR="00CC0DC9" w:rsidRPr="00393D65">
        <w:rPr>
          <w:lang w:val="fr-FR"/>
        </w:rPr>
        <w:t>ne précise pas ce qui arrive en cas d</w:t>
      </w:r>
      <w:r w:rsidR="00C03762">
        <w:rPr>
          <w:lang w:val="fr-FR"/>
        </w:rPr>
        <w:t>’</w:t>
      </w:r>
      <w:r w:rsidR="00CC0DC9" w:rsidRPr="00393D65">
        <w:rPr>
          <w:lang w:val="fr-FR"/>
        </w:rPr>
        <w:t xml:space="preserve">échec de la </w:t>
      </w:r>
      <w:r w:rsidR="00CC0DC9" w:rsidRPr="00393D65">
        <w:rPr>
          <w:lang w:val="fr-FR"/>
        </w:rPr>
        <w:lastRenderedPageBreak/>
        <w:t xml:space="preserve">réorganisation, </w:t>
      </w:r>
      <w:r w:rsidR="00CC0DC9" w:rsidRPr="00393D65">
        <w:t xml:space="preserve">la </w:t>
      </w:r>
      <w:r w:rsidR="00CC0DC9" w:rsidRPr="00393D65">
        <w:rPr>
          <w:i/>
        </w:rPr>
        <w:t>LFI</w:t>
      </w:r>
      <w:r w:rsidR="00CC0DC9" w:rsidRPr="00393D65">
        <w:t xml:space="preserve"> fournit la norme de référence permettant aux créanciers de savoir s</w:t>
      </w:r>
      <w:r w:rsidR="00C03762">
        <w:t>’</w:t>
      </w:r>
      <w:r w:rsidR="00CC0DC9" w:rsidRPr="00393D65">
        <w:t>ils ont la priorité da</w:t>
      </w:r>
      <w:r w:rsidR="00D70069" w:rsidRPr="00393D65">
        <w:t>ns l</w:t>
      </w:r>
      <w:r w:rsidR="00C03762">
        <w:t>’</w:t>
      </w:r>
      <w:r w:rsidR="00D70069" w:rsidRPr="00393D65">
        <w:t>éventualité d</w:t>
      </w:r>
      <w:r w:rsidR="00C03762">
        <w:t>’</w:t>
      </w:r>
      <w:r w:rsidR="00D70069" w:rsidRPr="00393D65">
        <w:t>une faillite</w:t>
      </w:r>
      <w:r w:rsidR="000C7B04" w:rsidRPr="00393D65">
        <w:rPr>
          <w:szCs w:val="24"/>
          <w:lang w:val="fr-FR"/>
        </w:rPr>
        <w:t>.</w:t>
      </w:r>
      <w:r w:rsidR="00D70069" w:rsidRPr="00393D65">
        <w:rPr>
          <w:szCs w:val="24"/>
          <w:lang w:val="fr-FR"/>
        </w:rPr>
        <w:t xml:space="preserve"> </w:t>
      </w:r>
      <w:r w:rsidR="000C7B04" w:rsidRPr="00393D65">
        <w:rPr>
          <w:szCs w:val="24"/>
          <w:lang w:val="fr-FR"/>
        </w:rPr>
        <w:t xml:space="preserve"> </w:t>
      </w:r>
      <w:r w:rsidR="00CC0DC9" w:rsidRPr="00393D65">
        <w:rPr>
          <w:szCs w:val="24"/>
          <w:lang w:val="fr-FR"/>
        </w:rPr>
        <w:t>L</w:t>
      </w:r>
      <w:r w:rsidR="00CC0DC9" w:rsidRPr="00393D65">
        <w:rPr>
          <w:lang w:val="fr-FR"/>
        </w:rPr>
        <w:t xml:space="preserve">e travail de réforme législative contemporain a principalement visé à harmoniser les aspects communs à la </w:t>
      </w:r>
      <w:r w:rsidR="00CC0DC9" w:rsidRPr="00393D65">
        <w:rPr>
          <w:i/>
          <w:lang w:val="fr-FR"/>
        </w:rPr>
        <w:t>LACC</w:t>
      </w:r>
      <w:r w:rsidR="00CC0DC9" w:rsidRPr="00393D65">
        <w:rPr>
          <w:lang w:val="fr-FR"/>
        </w:rPr>
        <w:t xml:space="preserve"> et à la </w:t>
      </w:r>
      <w:r w:rsidR="00CC0DC9" w:rsidRPr="00393D65">
        <w:rPr>
          <w:i/>
          <w:lang w:val="fr-FR"/>
        </w:rPr>
        <w:t>LFI</w:t>
      </w:r>
      <w:r w:rsidR="000C7B04" w:rsidRPr="00393D65">
        <w:rPr>
          <w:szCs w:val="24"/>
          <w:lang w:val="fr-FR"/>
        </w:rPr>
        <w:t xml:space="preserve">, </w:t>
      </w:r>
      <w:r w:rsidR="00CC0DC9" w:rsidRPr="00393D65">
        <w:rPr>
          <w:szCs w:val="24"/>
          <w:lang w:val="fr-FR"/>
        </w:rPr>
        <w:t xml:space="preserve">et </w:t>
      </w:r>
      <w:r w:rsidR="00CC0DC9" w:rsidRPr="00393D65">
        <w:t>l</w:t>
      </w:r>
      <w:r w:rsidR="00C03762">
        <w:t>’</w:t>
      </w:r>
      <w:r w:rsidR="00CC0DC9" w:rsidRPr="00393D65">
        <w:t xml:space="preserve">une des caractéristiques importantes de cette réforme est la réduction des priorités </w:t>
      </w:r>
      <w:r w:rsidR="00D70069" w:rsidRPr="00393D65">
        <w:t>dont jouit</w:t>
      </w:r>
      <w:r w:rsidR="00CC0DC9" w:rsidRPr="00393D65">
        <w:t xml:space="preserve"> la Couronne</w:t>
      </w:r>
      <w:r w:rsidR="00D70069" w:rsidRPr="00393D65">
        <w:rPr>
          <w:szCs w:val="24"/>
        </w:rPr>
        <w:t xml:space="preserve">.  </w:t>
      </w:r>
      <w:r w:rsidR="008D5CA8" w:rsidRPr="00393D65">
        <w:rPr>
          <w:szCs w:val="24"/>
          <w:lang w:val="fr-FR"/>
        </w:rPr>
        <w:t>Par cons</w:t>
      </w:r>
      <w:r w:rsidR="000D5FAF" w:rsidRPr="00393D65">
        <w:rPr>
          <w:szCs w:val="24"/>
          <w:lang w:val="fr-FR"/>
        </w:rPr>
        <w:t>é</w:t>
      </w:r>
      <w:r w:rsidR="008D5CA8" w:rsidRPr="00393D65">
        <w:rPr>
          <w:szCs w:val="24"/>
          <w:lang w:val="fr-FR"/>
        </w:rPr>
        <w:t xml:space="preserve">quent, la </w:t>
      </w:r>
      <w:r w:rsidR="008D5CA8" w:rsidRPr="00393D65">
        <w:rPr>
          <w:i/>
          <w:szCs w:val="24"/>
          <w:lang w:val="fr-FR"/>
        </w:rPr>
        <w:t>LACC</w:t>
      </w:r>
      <w:r w:rsidR="008D5CA8" w:rsidRPr="00393D65">
        <w:rPr>
          <w:szCs w:val="24"/>
          <w:lang w:val="fr-FR"/>
        </w:rPr>
        <w:t xml:space="preserve"> et la </w:t>
      </w:r>
      <w:r w:rsidR="008D5CA8" w:rsidRPr="00393D65">
        <w:rPr>
          <w:i/>
          <w:szCs w:val="24"/>
          <w:lang w:val="fr-FR"/>
        </w:rPr>
        <w:t>LFI</w:t>
      </w:r>
      <w:r w:rsidR="008D5CA8" w:rsidRPr="00393D65">
        <w:rPr>
          <w:szCs w:val="24"/>
          <w:lang w:val="fr-FR"/>
        </w:rPr>
        <w:t xml:space="preserve"> contiennent toutes deux des dispositions </w:t>
      </w:r>
      <w:r w:rsidR="008D5CA8" w:rsidRPr="00393D65">
        <w:t xml:space="preserve">neutralisant les fiducies réputées </w:t>
      </w:r>
      <w:r w:rsidR="00507A74" w:rsidRPr="00393D65">
        <w:t>établies en vertu d</w:t>
      </w:r>
      <w:r w:rsidR="00C03762">
        <w:t>’</w:t>
      </w:r>
      <w:r w:rsidR="00507A74" w:rsidRPr="00393D65">
        <w:t xml:space="preserve">un texte législatif </w:t>
      </w:r>
      <w:r w:rsidR="008D5CA8" w:rsidRPr="00393D65">
        <w:t>en faveur de la Couronne</w:t>
      </w:r>
      <w:r w:rsidR="000C7B04" w:rsidRPr="00393D65">
        <w:rPr>
          <w:szCs w:val="24"/>
          <w:lang w:val="fr-FR"/>
        </w:rPr>
        <w:t xml:space="preserve">, </w:t>
      </w:r>
      <w:r w:rsidR="000D5FAF" w:rsidRPr="00393D65">
        <w:rPr>
          <w:szCs w:val="24"/>
          <w:lang w:val="fr-FR"/>
        </w:rPr>
        <w:t>et</w:t>
      </w:r>
      <w:r w:rsidR="00BB3C8B" w:rsidRPr="00393D65">
        <w:rPr>
          <w:szCs w:val="24"/>
          <w:lang w:val="fr-FR"/>
        </w:rPr>
        <w:t xml:space="preserve"> toutes deux</w:t>
      </w:r>
      <w:r w:rsidR="000D5FAF" w:rsidRPr="00393D65">
        <w:rPr>
          <w:szCs w:val="24"/>
          <w:lang w:val="fr-FR"/>
        </w:rPr>
        <w:t xml:space="preserve"> comportent des </w:t>
      </w:r>
      <w:r w:rsidR="000D5FAF" w:rsidRPr="00393D65">
        <w:t>exceptions expresses à la règle générale qui concernent les fiducies réputées établies à l</w:t>
      </w:r>
      <w:r w:rsidR="00C03762">
        <w:t>’</w:t>
      </w:r>
      <w:r w:rsidR="000D5FAF" w:rsidRPr="00393D65">
        <w:t xml:space="preserve">égard des retenues à la source. </w:t>
      </w:r>
      <w:r w:rsidR="00D70069" w:rsidRPr="00393D65">
        <w:t xml:space="preserve"> </w:t>
      </w:r>
      <w:r w:rsidR="00002EBC" w:rsidRPr="00393D65">
        <w:t>Par ailleurs, ces deux lois considèrent les autres créances de la Couronne c</w:t>
      </w:r>
      <w:r w:rsidR="00D70069" w:rsidRPr="00393D65">
        <w:t>omme des créances non garanties</w:t>
      </w:r>
      <w:r w:rsidR="000C7B04" w:rsidRPr="00393D65">
        <w:rPr>
          <w:szCs w:val="24"/>
        </w:rPr>
        <w:t xml:space="preserve">. </w:t>
      </w:r>
      <w:r w:rsidR="00D70069" w:rsidRPr="00393D65">
        <w:rPr>
          <w:szCs w:val="24"/>
        </w:rPr>
        <w:t xml:space="preserve"> </w:t>
      </w:r>
      <w:r w:rsidR="002154C8" w:rsidRPr="00393D65">
        <w:rPr>
          <w:szCs w:val="24"/>
        </w:rPr>
        <w:t xml:space="preserve">Ces lois </w:t>
      </w:r>
      <w:r w:rsidR="002154C8" w:rsidRPr="00393D65">
        <w:t>ne comportent pas de dispositions claires et expresses établissant une exception pour les créances relatives à la TPS</w:t>
      </w:r>
      <w:r w:rsidR="000C7B04" w:rsidRPr="00393D65">
        <w:rPr>
          <w:szCs w:val="24"/>
          <w:lang w:val="fr-FR"/>
        </w:rPr>
        <w:t>.</w:t>
      </w:r>
    </w:p>
    <w:p w:rsidR="007834A8" w:rsidRPr="00393D65" w:rsidRDefault="007834A8" w:rsidP="00D74F2E">
      <w:pPr>
        <w:pStyle w:val="SCCNormalDoubleSpacing"/>
        <w:rPr>
          <w:lang w:val="fr-FR"/>
        </w:rPr>
      </w:pPr>
    </w:p>
    <w:p w:rsidR="005518E4" w:rsidRPr="00393D65" w:rsidRDefault="00C52C70" w:rsidP="00C52C70">
      <w:pPr>
        <w:tabs>
          <w:tab w:val="left" w:pos="1080"/>
        </w:tabs>
        <w:spacing w:line="480" w:lineRule="auto"/>
        <w:jc w:val="both"/>
        <w:rPr>
          <w:szCs w:val="24"/>
          <w:lang w:val="fr-FR"/>
        </w:rPr>
      </w:pPr>
      <w:r w:rsidRPr="00393D65">
        <w:rPr>
          <w:szCs w:val="24"/>
          <w:lang w:val="fr-FR"/>
        </w:rPr>
        <w:tab/>
      </w:r>
      <w:r w:rsidR="005518E4" w:rsidRPr="00393D65">
        <w:rPr>
          <w:szCs w:val="24"/>
          <w:lang w:val="fr-FR"/>
        </w:rPr>
        <w:t xml:space="preserve">Les tribunaux </w:t>
      </w:r>
      <w:r w:rsidR="00D70069" w:rsidRPr="00393D65">
        <w:rPr>
          <w:szCs w:val="24"/>
          <w:lang w:val="fr-FR"/>
        </w:rPr>
        <w:t>appelé</w:t>
      </w:r>
      <w:r w:rsidR="001203AA" w:rsidRPr="00393D65">
        <w:rPr>
          <w:szCs w:val="24"/>
          <w:lang w:val="fr-FR"/>
        </w:rPr>
        <w:t>s</w:t>
      </w:r>
      <w:r w:rsidR="00D70069" w:rsidRPr="00393D65">
        <w:rPr>
          <w:szCs w:val="24"/>
          <w:lang w:val="fr-FR"/>
        </w:rPr>
        <w:t xml:space="preserve"> à résoudre le conflit apparent entre le par. 222(3) de la </w:t>
      </w:r>
      <w:r w:rsidR="00D70069" w:rsidRPr="00393D65">
        <w:rPr>
          <w:i/>
          <w:szCs w:val="24"/>
          <w:lang w:val="fr-FR"/>
        </w:rPr>
        <w:t>LTA</w:t>
      </w:r>
      <w:r w:rsidR="00D70069" w:rsidRPr="00393D65">
        <w:rPr>
          <w:szCs w:val="24"/>
          <w:lang w:val="fr-FR"/>
        </w:rPr>
        <w:t xml:space="preserve"> et le par. 18.3(1) de la </w:t>
      </w:r>
      <w:r w:rsidR="00D70069" w:rsidRPr="00393D65">
        <w:rPr>
          <w:i/>
          <w:szCs w:val="24"/>
          <w:lang w:val="fr-FR"/>
        </w:rPr>
        <w:t>LACC</w:t>
      </w:r>
      <w:r w:rsidR="00D70069" w:rsidRPr="00393D65">
        <w:rPr>
          <w:szCs w:val="24"/>
          <w:lang w:val="fr-FR"/>
        </w:rPr>
        <w:t xml:space="preserve"> </w:t>
      </w:r>
      <w:r w:rsidR="005518E4" w:rsidRPr="00393D65">
        <w:rPr>
          <w:szCs w:val="24"/>
          <w:lang w:val="fr-FR"/>
        </w:rPr>
        <w:t xml:space="preserve">ont </w:t>
      </w:r>
      <w:r w:rsidR="001203AA" w:rsidRPr="00393D65">
        <w:rPr>
          <w:szCs w:val="24"/>
          <w:lang w:val="fr-FR"/>
        </w:rPr>
        <w:t>été enclins</w:t>
      </w:r>
      <w:r w:rsidR="005518E4" w:rsidRPr="00393D65">
        <w:rPr>
          <w:szCs w:val="24"/>
          <w:lang w:val="fr-FR"/>
        </w:rPr>
        <w:t xml:space="preserve"> à appliquer</w:t>
      </w:r>
      <w:r w:rsidR="00D70069" w:rsidRPr="00393D65">
        <w:rPr>
          <w:szCs w:val="24"/>
          <w:lang w:val="fr-FR"/>
        </w:rPr>
        <w:t xml:space="preserve"> l</w:t>
      </w:r>
      <w:r w:rsidR="00C03762">
        <w:rPr>
          <w:szCs w:val="24"/>
          <w:lang w:val="fr-FR"/>
        </w:rPr>
        <w:t>’</w:t>
      </w:r>
      <w:r w:rsidR="00D70069" w:rsidRPr="00393D65">
        <w:rPr>
          <w:szCs w:val="24"/>
          <w:lang w:val="fr-FR"/>
        </w:rPr>
        <w:t xml:space="preserve">arrêt </w:t>
      </w:r>
      <w:r w:rsidR="005518E4" w:rsidRPr="00393D65">
        <w:rPr>
          <w:i/>
          <w:szCs w:val="24"/>
          <w:lang w:val="fr-FR"/>
        </w:rPr>
        <w:t>Ottawa Senators Hockey Club Corp.</w:t>
      </w:r>
      <w:r w:rsidR="001074B7">
        <w:rPr>
          <w:i/>
          <w:szCs w:val="24"/>
          <w:lang w:val="fr-FR"/>
        </w:rPr>
        <w:t xml:space="preserve"> </w:t>
      </w:r>
      <w:r w:rsidR="005518E4" w:rsidRPr="00393D65">
        <w:rPr>
          <w:i/>
          <w:szCs w:val="24"/>
          <w:lang w:val="fr-FR"/>
        </w:rPr>
        <w:t>(Re)</w:t>
      </w:r>
      <w:r w:rsidR="005518E4" w:rsidRPr="00393D65">
        <w:rPr>
          <w:szCs w:val="24"/>
          <w:lang w:val="fr-FR"/>
        </w:rPr>
        <w:t xml:space="preserve"> </w:t>
      </w:r>
      <w:r w:rsidR="00D70069" w:rsidRPr="00393D65">
        <w:rPr>
          <w:szCs w:val="24"/>
          <w:lang w:val="fr-FR"/>
        </w:rPr>
        <w:t xml:space="preserve">et à trancher </w:t>
      </w:r>
      <w:r w:rsidR="005518E4" w:rsidRPr="00393D65">
        <w:rPr>
          <w:szCs w:val="24"/>
          <w:lang w:val="fr-FR"/>
        </w:rPr>
        <w:t xml:space="preserve">en faveur de la </w:t>
      </w:r>
      <w:r w:rsidR="005518E4" w:rsidRPr="00393D65">
        <w:rPr>
          <w:i/>
          <w:szCs w:val="24"/>
          <w:lang w:val="fr-FR"/>
        </w:rPr>
        <w:t>LTA</w:t>
      </w:r>
      <w:r w:rsidR="005518E4" w:rsidRPr="00393D65">
        <w:rPr>
          <w:szCs w:val="24"/>
          <w:lang w:val="fr-FR"/>
        </w:rPr>
        <w:t xml:space="preserve">.  </w:t>
      </w:r>
      <w:r w:rsidR="00FA035F" w:rsidRPr="00393D65">
        <w:rPr>
          <w:szCs w:val="24"/>
          <w:lang w:val="fr-FR"/>
        </w:rPr>
        <w:t xml:space="preserve">Il ne convient pas </w:t>
      </w:r>
      <w:r w:rsidR="00D70069" w:rsidRPr="00393D65">
        <w:rPr>
          <w:szCs w:val="24"/>
          <w:lang w:val="fr-FR"/>
        </w:rPr>
        <w:t>de suivre cet arrêt</w:t>
      </w:r>
      <w:r w:rsidR="005518E4" w:rsidRPr="00393D65">
        <w:rPr>
          <w:szCs w:val="24"/>
          <w:lang w:val="fr-FR"/>
        </w:rPr>
        <w:t xml:space="preserve">. </w:t>
      </w:r>
      <w:r w:rsidR="00D70069" w:rsidRPr="00393D65">
        <w:rPr>
          <w:szCs w:val="24"/>
          <w:lang w:val="fr-FR"/>
        </w:rPr>
        <w:t xml:space="preserve"> </w:t>
      </w:r>
      <w:r w:rsidR="00FA035F" w:rsidRPr="00393D65">
        <w:rPr>
          <w:szCs w:val="24"/>
          <w:lang w:val="fr-FR"/>
        </w:rPr>
        <w:t>C</w:t>
      </w:r>
      <w:r w:rsidR="00C03762">
        <w:rPr>
          <w:szCs w:val="24"/>
          <w:lang w:val="fr-FR"/>
        </w:rPr>
        <w:t>’</w:t>
      </w:r>
      <w:r w:rsidR="00FA035F" w:rsidRPr="00393D65">
        <w:rPr>
          <w:szCs w:val="24"/>
          <w:lang w:val="fr-FR"/>
        </w:rPr>
        <w:t xml:space="preserve">est plutôt la </w:t>
      </w:r>
      <w:r w:rsidR="00FA035F" w:rsidRPr="00393D65">
        <w:rPr>
          <w:i/>
        </w:rPr>
        <w:t xml:space="preserve">LACC </w:t>
      </w:r>
      <w:r w:rsidR="00FA035F" w:rsidRPr="00393D65">
        <w:t>qui énonce la règle applicable</w:t>
      </w:r>
      <w:r w:rsidR="005518E4" w:rsidRPr="00393D65">
        <w:rPr>
          <w:szCs w:val="24"/>
          <w:lang w:val="fr-FR"/>
        </w:rPr>
        <w:t>.</w:t>
      </w:r>
      <w:r w:rsidR="00D70069" w:rsidRPr="00393D65">
        <w:rPr>
          <w:szCs w:val="24"/>
          <w:lang w:val="fr-FR"/>
        </w:rPr>
        <w:t xml:space="preserve"> </w:t>
      </w:r>
      <w:r w:rsidR="005518E4" w:rsidRPr="00393D65">
        <w:rPr>
          <w:szCs w:val="24"/>
          <w:lang w:val="fr-FR"/>
        </w:rPr>
        <w:t xml:space="preserve"> </w:t>
      </w:r>
      <w:r w:rsidR="00FA035F" w:rsidRPr="00393D65">
        <w:t xml:space="preserve">Le paragraphe 222(3) de la </w:t>
      </w:r>
      <w:r w:rsidR="00FA035F" w:rsidRPr="00393D65">
        <w:rPr>
          <w:i/>
        </w:rPr>
        <w:t>LTA</w:t>
      </w:r>
      <w:r w:rsidR="00FA035F" w:rsidRPr="00393D65">
        <w:t xml:space="preserve"> ne révèle aucune intention explicite du législateur d</w:t>
      </w:r>
      <w:r w:rsidR="00C03762">
        <w:t>’</w:t>
      </w:r>
      <w:r w:rsidR="00FA035F" w:rsidRPr="00393D65">
        <w:t>abroger l</w:t>
      </w:r>
      <w:r w:rsidR="00C03762">
        <w:t>’</w:t>
      </w:r>
      <w:r w:rsidR="00FA035F" w:rsidRPr="00393D65">
        <w:t xml:space="preserve">art. 18.3 de la </w:t>
      </w:r>
      <w:r w:rsidR="00FA035F" w:rsidRPr="00393D65">
        <w:rPr>
          <w:i/>
        </w:rPr>
        <w:t>LACC</w:t>
      </w:r>
      <w:r w:rsidR="005518E4" w:rsidRPr="00393D65">
        <w:rPr>
          <w:szCs w:val="24"/>
          <w:lang w:val="fr-FR"/>
        </w:rPr>
        <w:t>.</w:t>
      </w:r>
      <w:r w:rsidR="00D70069" w:rsidRPr="00393D65">
        <w:rPr>
          <w:szCs w:val="24"/>
          <w:lang w:val="fr-FR"/>
        </w:rPr>
        <w:t xml:space="preserve"> </w:t>
      </w:r>
      <w:r w:rsidR="005518E4" w:rsidRPr="00393D65">
        <w:rPr>
          <w:szCs w:val="24"/>
          <w:lang w:val="fr-FR"/>
        </w:rPr>
        <w:t xml:space="preserve"> </w:t>
      </w:r>
      <w:r w:rsidR="00FA035F" w:rsidRPr="00393D65">
        <w:t>Quand le législateur a voulu protéger certaines créances de la Couronne au moyen de fiducies réputées et voulu que celles</w:t>
      </w:r>
      <w:r w:rsidR="00FA035F" w:rsidRPr="00393D65">
        <w:noBreakHyphen/>
        <w:t>ci continuent de s</w:t>
      </w:r>
      <w:r w:rsidR="00C03762">
        <w:t>’</w:t>
      </w:r>
      <w:r w:rsidR="00FA035F" w:rsidRPr="00393D65">
        <w:t>appliquer en situation d</w:t>
      </w:r>
      <w:r w:rsidR="00C03762">
        <w:t>’</w:t>
      </w:r>
      <w:r w:rsidR="00FA035F" w:rsidRPr="00393D65">
        <w:t>insolvabilité, il l</w:t>
      </w:r>
      <w:r w:rsidR="00C03762">
        <w:t>’</w:t>
      </w:r>
      <w:r w:rsidR="00FA035F" w:rsidRPr="00393D65">
        <w:t xml:space="preserve">a indiqué de manière explicite et minutieuse. </w:t>
      </w:r>
      <w:r w:rsidR="00D70069" w:rsidRPr="00393D65">
        <w:t xml:space="preserve"> </w:t>
      </w:r>
      <w:r w:rsidR="00CA6DAE" w:rsidRPr="00393D65">
        <w:t>En revanche, il n</w:t>
      </w:r>
      <w:r w:rsidR="00C03762">
        <w:t>’</w:t>
      </w:r>
      <w:r w:rsidR="00CA6DAE" w:rsidRPr="00393D65">
        <w:t>existe aucune disposition législative expresse permettant de conclure que les créances relatives à la TPS bénéficient d</w:t>
      </w:r>
      <w:r w:rsidR="00C03762">
        <w:t>’</w:t>
      </w:r>
      <w:r w:rsidR="00CA6DAE" w:rsidRPr="00393D65">
        <w:t xml:space="preserve">un </w:t>
      </w:r>
      <w:r w:rsidR="00CA6DAE" w:rsidRPr="00393D65">
        <w:lastRenderedPageBreak/>
        <w:t xml:space="preserve">traitement préférentiel sous le régime de la </w:t>
      </w:r>
      <w:r w:rsidR="00CA6DAE" w:rsidRPr="00393D65">
        <w:rPr>
          <w:i/>
        </w:rPr>
        <w:t>LACC</w:t>
      </w:r>
      <w:r w:rsidR="00CA6DAE" w:rsidRPr="00393D65">
        <w:t xml:space="preserve"> ou de la </w:t>
      </w:r>
      <w:r w:rsidR="00CA6DAE" w:rsidRPr="00393D65">
        <w:rPr>
          <w:i/>
        </w:rPr>
        <w:t>LFI</w:t>
      </w:r>
      <w:r w:rsidR="005518E4" w:rsidRPr="00393D65">
        <w:rPr>
          <w:szCs w:val="24"/>
          <w:lang w:val="fr-FR"/>
        </w:rPr>
        <w:t xml:space="preserve">. </w:t>
      </w:r>
      <w:r w:rsidR="00D70069" w:rsidRPr="00393D65">
        <w:rPr>
          <w:szCs w:val="24"/>
          <w:lang w:val="fr-FR"/>
        </w:rPr>
        <w:t xml:space="preserve"> </w:t>
      </w:r>
      <w:r w:rsidR="00F609F8" w:rsidRPr="00393D65">
        <w:rPr>
          <w:szCs w:val="24"/>
          <w:lang w:val="fr-FR"/>
        </w:rPr>
        <w:t>I</w:t>
      </w:r>
      <w:r w:rsidR="00F609F8" w:rsidRPr="00393D65">
        <w:t>l semble découler de la logique</w:t>
      </w:r>
      <w:r w:rsidR="000C01A6" w:rsidRPr="00393D65">
        <w:t xml:space="preserve"> interne</w:t>
      </w:r>
      <w:r w:rsidR="00F609F8" w:rsidRPr="00393D65">
        <w:t xml:space="preserve"> de la </w:t>
      </w:r>
      <w:r w:rsidR="00F609F8" w:rsidRPr="00393D65">
        <w:rPr>
          <w:i/>
        </w:rPr>
        <w:t>LACC</w:t>
      </w:r>
      <w:r w:rsidR="00F609F8" w:rsidRPr="00393D65">
        <w:t xml:space="preserve"> que la fiducie réputée établie à l</w:t>
      </w:r>
      <w:r w:rsidR="00C03762">
        <w:t>’</w:t>
      </w:r>
      <w:r w:rsidR="00F609F8" w:rsidRPr="00393D65">
        <w:t>égard de la TPS est visée par la renonciati</w:t>
      </w:r>
      <w:r w:rsidR="00D70069" w:rsidRPr="00393D65">
        <w:t>on du législateur à sa priorité</w:t>
      </w:r>
      <w:r w:rsidR="005518E4" w:rsidRPr="00393D65">
        <w:rPr>
          <w:szCs w:val="24"/>
          <w:lang w:val="fr-FR"/>
        </w:rPr>
        <w:t>.</w:t>
      </w:r>
      <w:r w:rsidR="00AE6A6F" w:rsidRPr="00393D65">
        <w:rPr>
          <w:szCs w:val="24"/>
          <w:lang w:val="fr-FR"/>
        </w:rPr>
        <w:t xml:space="preserve"> </w:t>
      </w:r>
      <w:r w:rsidR="00F609F8" w:rsidRPr="00393D65">
        <w:rPr>
          <w:szCs w:val="24"/>
          <w:lang w:val="fr-FR"/>
        </w:rPr>
        <w:t xml:space="preserve"> I</w:t>
      </w:r>
      <w:r w:rsidR="00F609F8" w:rsidRPr="00393D65">
        <w:rPr>
          <w:lang w:val="fr-FR"/>
        </w:rPr>
        <w:t>l y aurait une étrange asymétrie si l</w:t>
      </w:r>
      <w:r w:rsidR="00C03762">
        <w:rPr>
          <w:lang w:val="fr-FR"/>
        </w:rPr>
        <w:t>’</w:t>
      </w:r>
      <w:r w:rsidR="00F609F8" w:rsidRPr="00393D65">
        <w:rPr>
          <w:lang w:val="fr-FR"/>
        </w:rPr>
        <w:t xml:space="preserve">on concluait que la </w:t>
      </w:r>
      <w:r w:rsidR="00F345A2" w:rsidRPr="00393D65">
        <w:rPr>
          <w:i/>
          <w:lang w:val="fr-FR"/>
        </w:rPr>
        <w:t>LACC</w:t>
      </w:r>
      <w:r w:rsidR="00F345A2" w:rsidRPr="00393D65">
        <w:rPr>
          <w:lang w:val="fr-FR"/>
        </w:rPr>
        <w:t xml:space="preserve"> ne trait</w:t>
      </w:r>
      <w:r w:rsidR="00D70069" w:rsidRPr="00393D65">
        <w:rPr>
          <w:lang w:val="fr-FR"/>
        </w:rPr>
        <w:t>e</w:t>
      </w:r>
      <w:r w:rsidR="00F345A2" w:rsidRPr="00393D65">
        <w:rPr>
          <w:lang w:val="fr-FR"/>
        </w:rPr>
        <w:t xml:space="preserve"> pas les fiducies réputées à l</w:t>
      </w:r>
      <w:r w:rsidR="00C03762">
        <w:rPr>
          <w:lang w:val="fr-FR"/>
        </w:rPr>
        <w:t>’</w:t>
      </w:r>
      <w:r w:rsidR="00F345A2" w:rsidRPr="00393D65">
        <w:rPr>
          <w:lang w:val="fr-FR"/>
        </w:rPr>
        <w:t xml:space="preserve">égard de la TPS de la même manière que la </w:t>
      </w:r>
      <w:r w:rsidR="00F345A2" w:rsidRPr="00393D65">
        <w:rPr>
          <w:i/>
          <w:lang w:val="fr-FR"/>
        </w:rPr>
        <w:t>LFI</w:t>
      </w:r>
      <w:r w:rsidR="00F345A2" w:rsidRPr="00393D65">
        <w:rPr>
          <w:lang w:val="fr-FR"/>
        </w:rPr>
        <w:t xml:space="preserve">, </w:t>
      </w:r>
      <w:r w:rsidR="00F609F8" w:rsidRPr="00393D65">
        <w:rPr>
          <w:szCs w:val="24"/>
          <w:lang w:val="fr-FR"/>
        </w:rPr>
        <w:t xml:space="preserve">car cela encouragerait les créanciers à recourir à la loi la plus favorable, </w:t>
      </w:r>
      <w:r w:rsidR="00F609F8" w:rsidRPr="00393D65">
        <w:t>minerait les objectifs réparateurs de</w:t>
      </w:r>
      <w:r w:rsidR="00D24777" w:rsidRPr="00393D65">
        <w:t xml:space="preserve"> la </w:t>
      </w:r>
      <w:r w:rsidR="00D24777" w:rsidRPr="00393D65">
        <w:rPr>
          <w:i/>
        </w:rPr>
        <w:t>LACC</w:t>
      </w:r>
      <w:r w:rsidR="00F609F8" w:rsidRPr="00393D65">
        <w:t xml:space="preserve"> et risquerait de favoriser les maux sociaux que </w:t>
      </w:r>
      <w:r w:rsidR="00FC7ACB" w:rsidRPr="00393D65">
        <w:t>l</w:t>
      </w:r>
      <w:r w:rsidR="00C03762">
        <w:t>’</w:t>
      </w:r>
      <w:r w:rsidR="00F609F8" w:rsidRPr="00393D65">
        <w:t>édiction</w:t>
      </w:r>
      <w:r w:rsidR="00737770" w:rsidRPr="00393D65">
        <w:t xml:space="preserve"> de ce texte législatif</w:t>
      </w:r>
      <w:r w:rsidR="00F609F8" w:rsidRPr="00393D65">
        <w:t xml:space="preserve"> visait justement à prévenir</w:t>
      </w:r>
      <w:r w:rsidR="005518E4" w:rsidRPr="00393D65">
        <w:rPr>
          <w:szCs w:val="24"/>
          <w:lang w:val="fr-FR"/>
        </w:rPr>
        <w:t>.</w:t>
      </w:r>
      <w:r w:rsidR="00D70069" w:rsidRPr="00393D65">
        <w:rPr>
          <w:szCs w:val="24"/>
          <w:lang w:val="fr-FR"/>
        </w:rPr>
        <w:t xml:space="preserve"> </w:t>
      </w:r>
      <w:r w:rsidR="005518E4" w:rsidRPr="00393D65">
        <w:rPr>
          <w:szCs w:val="24"/>
          <w:lang w:val="fr-FR"/>
        </w:rPr>
        <w:t xml:space="preserve"> </w:t>
      </w:r>
      <w:r w:rsidR="00F345A2" w:rsidRPr="00393D65">
        <w:rPr>
          <w:szCs w:val="24"/>
          <w:lang w:val="fr-FR"/>
        </w:rPr>
        <w:t>Le</w:t>
      </w:r>
      <w:r w:rsidR="00D70069" w:rsidRPr="00393D65">
        <w:rPr>
          <w:szCs w:val="24"/>
          <w:lang w:val="fr-FR"/>
        </w:rPr>
        <w:t xml:space="preserve"> paragraphe </w:t>
      </w:r>
      <w:r w:rsidR="00F345A2" w:rsidRPr="00393D65">
        <w:rPr>
          <w:szCs w:val="24"/>
          <w:lang w:val="fr-FR"/>
        </w:rPr>
        <w:t xml:space="preserve">222(3) de la </w:t>
      </w:r>
      <w:r w:rsidR="00F345A2" w:rsidRPr="00393D65">
        <w:rPr>
          <w:i/>
          <w:szCs w:val="24"/>
          <w:lang w:val="fr-FR"/>
        </w:rPr>
        <w:t>L</w:t>
      </w:r>
      <w:r w:rsidR="00625240">
        <w:rPr>
          <w:i/>
          <w:szCs w:val="24"/>
          <w:lang w:val="fr-FR"/>
        </w:rPr>
        <w:t>TA</w:t>
      </w:r>
      <w:r w:rsidR="00F345A2" w:rsidRPr="00393D65">
        <w:rPr>
          <w:szCs w:val="24"/>
          <w:lang w:val="fr-FR"/>
        </w:rPr>
        <w:t>, une disposition plus récente et générale que le par.</w:t>
      </w:r>
      <w:r w:rsidR="00D70069" w:rsidRPr="00393D65">
        <w:rPr>
          <w:szCs w:val="24"/>
          <w:lang w:val="fr-FR"/>
        </w:rPr>
        <w:t> </w:t>
      </w:r>
      <w:r w:rsidR="005518E4" w:rsidRPr="00393D65">
        <w:rPr>
          <w:szCs w:val="24"/>
          <w:lang w:val="fr-FR"/>
        </w:rPr>
        <w:t>18.3(1)</w:t>
      </w:r>
      <w:r w:rsidR="00F345A2" w:rsidRPr="00393D65">
        <w:rPr>
          <w:szCs w:val="24"/>
          <w:lang w:val="fr-FR"/>
        </w:rPr>
        <w:t xml:space="preserve"> de la </w:t>
      </w:r>
      <w:r w:rsidR="00F345A2" w:rsidRPr="00393D65">
        <w:rPr>
          <w:i/>
          <w:szCs w:val="24"/>
          <w:lang w:val="fr-FR"/>
        </w:rPr>
        <w:t>LACC</w:t>
      </w:r>
      <w:r w:rsidR="00F345A2" w:rsidRPr="00393D65">
        <w:rPr>
          <w:szCs w:val="24"/>
          <w:lang w:val="fr-FR"/>
        </w:rPr>
        <w:t>, n</w:t>
      </w:r>
      <w:r w:rsidR="00C03762">
        <w:rPr>
          <w:szCs w:val="24"/>
          <w:lang w:val="fr-FR"/>
        </w:rPr>
        <w:t>’</w:t>
      </w:r>
      <w:r w:rsidR="00F345A2" w:rsidRPr="00393D65">
        <w:rPr>
          <w:szCs w:val="24"/>
          <w:lang w:val="fr-FR"/>
        </w:rPr>
        <w:t>exige pas l</w:t>
      </w:r>
      <w:r w:rsidR="00C03762">
        <w:rPr>
          <w:szCs w:val="24"/>
          <w:lang w:val="fr-FR"/>
        </w:rPr>
        <w:t>’</w:t>
      </w:r>
      <w:r w:rsidR="00F345A2" w:rsidRPr="00393D65">
        <w:rPr>
          <w:szCs w:val="24"/>
          <w:lang w:val="fr-FR"/>
        </w:rPr>
        <w:t>application de la doctrine de l</w:t>
      </w:r>
      <w:r w:rsidR="00C03762">
        <w:rPr>
          <w:szCs w:val="24"/>
          <w:lang w:val="fr-FR"/>
        </w:rPr>
        <w:t>’</w:t>
      </w:r>
      <w:r w:rsidR="00F345A2" w:rsidRPr="00393D65">
        <w:rPr>
          <w:szCs w:val="24"/>
          <w:lang w:val="fr-FR"/>
        </w:rPr>
        <w:t>abrogation implicite dans les circonstances de la présente affaire</w:t>
      </w:r>
      <w:r w:rsidR="005518E4" w:rsidRPr="00393D65">
        <w:rPr>
          <w:szCs w:val="24"/>
          <w:lang w:val="fr-FR"/>
        </w:rPr>
        <w:t>.</w:t>
      </w:r>
      <w:r w:rsidR="00D70069" w:rsidRPr="00393D65">
        <w:rPr>
          <w:szCs w:val="24"/>
          <w:lang w:val="fr-FR"/>
        </w:rPr>
        <w:t xml:space="preserve"> </w:t>
      </w:r>
      <w:r w:rsidR="005518E4" w:rsidRPr="00393D65">
        <w:rPr>
          <w:szCs w:val="24"/>
          <w:lang w:val="fr-FR"/>
        </w:rPr>
        <w:t xml:space="preserve"> </w:t>
      </w:r>
      <w:r w:rsidR="00E738C3" w:rsidRPr="00393D65">
        <w:rPr>
          <w:szCs w:val="24"/>
          <w:lang w:val="fr-FR"/>
        </w:rPr>
        <w:t xml:space="preserve">En tout état de cause, </w:t>
      </w:r>
      <w:r w:rsidR="00E738C3" w:rsidRPr="00393D65">
        <w:t xml:space="preserve">par suite des modifications apportées récemment à la </w:t>
      </w:r>
      <w:r w:rsidR="00E738C3" w:rsidRPr="00393D65">
        <w:rPr>
          <w:i/>
        </w:rPr>
        <w:t>LACC</w:t>
      </w:r>
      <w:r w:rsidR="00D70069" w:rsidRPr="00393D65">
        <w:t xml:space="preserve"> en 2005</w:t>
      </w:r>
      <w:r w:rsidR="00E738C3" w:rsidRPr="00393D65">
        <w:t>, l</w:t>
      </w:r>
      <w:r w:rsidR="00C03762">
        <w:t>’</w:t>
      </w:r>
      <w:r w:rsidR="00E738C3" w:rsidRPr="00393D65">
        <w:t xml:space="preserve">art. 18.3 a été reformulé et renuméroté, ce qui en fait la disposition postérieure. </w:t>
      </w:r>
      <w:r w:rsidR="00D70069" w:rsidRPr="00393D65">
        <w:t xml:space="preserve"> </w:t>
      </w:r>
      <w:r w:rsidR="00E738C3" w:rsidRPr="00393D65">
        <w:t>Cette constatation confirme que c</w:t>
      </w:r>
      <w:r w:rsidR="00C03762">
        <w:t>’</w:t>
      </w:r>
      <w:r w:rsidR="00E738C3" w:rsidRPr="00393D65">
        <w:t xml:space="preserve">est dans la </w:t>
      </w:r>
      <w:r w:rsidR="00E738C3" w:rsidRPr="00393D65">
        <w:rPr>
          <w:i/>
        </w:rPr>
        <w:t>LACC</w:t>
      </w:r>
      <w:r w:rsidR="00E738C3" w:rsidRPr="00393D65">
        <w:t xml:space="preserve"> qu</w:t>
      </w:r>
      <w:r w:rsidR="00C03762">
        <w:t>’</w:t>
      </w:r>
      <w:r w:rsidR="00E738C3" w:rsidRPr="00393D65">
        <w:t>est exprimée l</w:t>
      </w:r>
      <w:r w:rsidR="00C03762">
        <w:t>’</w:t>
      </w:r>
      <w:r w:rsidR="00E738C3" w:rsidRPr="00393D65">
        <w:t xml:space="preserve">intention du législateur en ce qui a trait </w:t>
      </w:r>
      <w:r w:rsidR="007242E9" w:rsidRPr="00393D65">
        <w:t xml:space="preserve">aux </w:t>
      </w:r>
      <w:r w:rsidR="00E738C3" w:rsidRPr="00393D65">
        <w:t>fiducies réputées</w:t>
      </w:r>
      <w:r w:rsidR="007242E9" w:rsidRPr="00393D65">
        <w:t xml:space="preserve"> visant la TPS</w:t>
      </w:r>
      <w:r w:rsidR="005518E4" w:rsidRPr="00393D65">
        <w:rPr>
          <w:szCs w:val="24"/>
          <w:lang w:val="fr-FR"/>
        </w:rPr>
        <w:t>.</w:t>
      </w:r>
      <w:r w:rsidR="00D70069" w:rsidRPr="00393D65">
        <w:rPr>
          <w:szCs w:val="24"/>
          <w:lang w:val="fr-FR"/>
        </w:rPr>
        <w:t xml:space="preserve"> </w:t>
      </w:r>
      <w:r w:rsidR="005518E4" w:rsidRPr="00393D65">
        <w:rPr>
          <w:szCs w:val="24"/>
          <w:lang w:val="fr-FR"/>
        </w:rPr>
        <w:t xml:space="preserve"> </w:t>
      </w:r>
      <w:r w:rsidR="00E738C3" w:rsidRPr="00393D65">
        <w:rPr>
          <w:szCs w:val="24"/>
          <w:lang w:val="fr-FR"/>
        </w:rPr>
        <w:t>L</w:t>
      </w:r>
      <w:r w:rsidR="00E738C3" w:rsidRPr="00393D65">
        <w:t xml:space="preserve">e conflit entre la </w:t>
      </w:r>
      <w:r w:rsidR="00E738C3" w:rsidRPr="00393D65">
        <w:rPr>
          <w:i/>
        </w:rPr>
        <w:t>LTA</w:t>
      </w:r>
      <w:r w:rsidR="00E738C3" w:rsidRPr="00393D65">
        <w:t xml:space="preserve"> et la </w:t>
      </w:r>
      <w:r w:rsidR="00E738C3" w:rsidRPr="00393D65">
        <w:rPr>
          <w:i/>
        </w:rPr>
        <w:t>LACC</w:t>
      </w:r>
      <w:r w:rsidR="00E738C3" w:rsidRPr="00393D65">
        <w:t xml:space="preserve"> est plus apparent que réel</w:t>
      </w:r>
      <w:r w:rsidR="005518E4" w:rsidRPr="00393D65">
        <w:rPr>
          <w:szCs w:val="24"/>
          <w:lang w:val="fr-FR"/>
        </w:rPr>
        <w:t>.</w:t>
      </w:r>
    </w:p>
    <w:p w:rsidR="005518E4" w:rsidRPr="00393D65" w:rsidRDefault="005518E4" w:rsidP="00D74F2E">
      <w:pPr>
        <w:pStyle w:val="SCCNormalDoubleSpacing"/>
        <w:rPr>
          <w:lang w:val="fr-FR"/>
        </w:rPr>
      </w:pPr>
    </w:p>
    <w:p w:rsidR="007834A8" w:rsidRPr="00393D65" w:rsidRDefault="009B57B3" w:rsidP="00D74F2E">
      <w:pPr>
        <w:pStyle w:val="SCCNormalDoubleSpacing"/>
        <w:rPr>
          <w:lang w:val="fr-FR"/>
        </w:rPr>
      </w:pPr>
      <w:r w:rsidRPr="00393D65">
        <w:rPr>
          <w:lang w:val="fr-FR"/>
        </w:rPr>
        <w:tab/>
      </w:r>
      <w:r w:rsidR="00D26D9D" w:rsidRPr="00393D65">
        <w:t>L</w:t>
      </w:r>
      <w:r w:rsidR="00C03762">
        <w:t>’</w:t>
      </w:r>
      <w:r w:rsidR="00D26D9D" w:rsidRPr="00393D65">
        <w:t>exercice par les tribunaux de leurs pouvoirs discrétionnaires</w:t>
      </w:r>
      <w:r w:rsidR="00D26D9D" w:rsidRPr="00393D65">
        <w:rPr>
          <w:szCs w:val="24"/>
          <w:lang w:val="fr-FR"/>
        </w:rPr>
        <w:t xml:space="preserve"> a fait en sorte que la </w:t>
      </w:r>
      <w:r w:rsidR="00D26D9D" w:rsidRPr="00393D65">
        <w:rPr>
          <w:i/>
          <w:szCs w:val="24"/>
          <w:lang w:val="fr-FR"/>
        </w:rPr>
        <w:t>LACC</w:t>
      </w:r>
      <w:r w:rsidR="00D26D9D" w:rsidRPr="00393D65">
        <w:rPr>
          <w:szCs w:val="24"/>
          <w:lang w:val="fr-FR"/>
        </w:rPr>
        <w:t xml:space="preserve"> a évolué et s</w:t>
      </w:r>
      <w:r w:rsidR="00C03762">
        <w:rPr>
          <w:szCs w:val="24"/>
          <w:lang w:val="fr-FR"/>
        </w:rPr>
        <w:t>’</w:t>
      </w:r>
      <w:r w:rsidR="00D26D9D" w:rsidRPr="00393D65">
        <w:rPr>
          <w:szCs w:val="24"/>
          <w:lang w:val="fr-FR"/>
        </w:rPr>
        <w:t>est adaptée aux besoins commerciaux et sociaux contemporains</w:t>
      </w:r>
      <w:r w:rsidR="00D8206C" w:rsidRPr="00393D65">
        <w:rPr>
          <w:szCs w:val="24"/>
          <w:lang w:val="fr-FR"/>
        </w:rPr>
        <w:t xml:space="preserve">. </w:t>
      </w:r>
      <w:r w:rsidR="00D70069" w:rsidRPr="00393D65">
        <w:rPr>
          <w:szCs w:val="24"/>
          <w:lang w:val="fr-FR"/>
        </w:rPr>
        <w:t xml:space="preserve"> </w:t>
      </w:r>
      <w:r w:rsidR="00BC12BC" w:rsidRPr="00393D65">
        <w:rPr>
          <w:szCs w:val="24"/>
          <w:lang w:val="fr-FR"/>
        </w:rPr>
        <w:t>Comme les réorganisations</w:t>
      </w:r>
      <w:r w:rsidR="00D8206C" w:rsidRPr="00393D65">
        <w:rPr>
          <w:szCs w:val="24"/>
          <w:lang w:val="fr-FR"/>
        </w:rPr>
        <w:t xml:space="preserve"> </w:t>
      </w:r>
      <w:r w:rsidR="00BC12BC" w:rsidRPr="00393D65">
        <w:rPr>
          <w:szCs w:val="24"/>
          <w:lang w:val="fr-FR"/>
        </w:rPr>
        <w:t xml:space="preserve">deviennent </w:t>
      </w:r>
      <w:r w:rsidR="0025464E" w:rsidRPr="00393D65">
        <w:rPr>
          <w:szCs w:val="24"/>
          <w:lang w:val="fr-FR"/>
        </w:rPr>
        <w:t>très</w:t>
      </w:r>
      <w:r w:rsidR="00BC12BC" w:rsidRPr="00393D65">
        <w:rPr>
          <w:szCs w:val="24"/>
          <w:lang w:val="fr-FR"/>
        </w:rPr>
        <w:t xml:space="preserve"> complexes, l</w:t>
      </w:r>
      <w:r w:rsidR="00BC12BC" w:rsidRPr="00393D65">
        <w:t>es tribunaux chargés d</w:t>
      </w:r>
      <w:r w:rsidR="00C03762">
        <w:t>’</w:t>
      </w:r>
      <w:r w:rsidR="00BC12BC" w:rsidRPr="00393D65">
        <w:t xml:space="preserve">appliquer la </w:t>
      </w:r>
      <w:r w:rsidR="00BC12BC" w:rsidRPr="00393D65">
        <w:rPr>
          <w:i/>
        </w:rPr>
        <w:t>LACC</w:t>
      </w:r>
      <w:r w:rsidR="00BC12BC" w:rsidRPr="00393D65">
        <w:t xml:space="preserve"> ont été appelés à innover</w:t>
      </w:r>
      <w:r w:rsidR="00D8206C" w:rsidRPr="00393D65">
        <w:rPr>
          <w:szCs w:val="24"/>
          <w:lang w:val="fr-FR"/>
        </w:rPr>
        <w:t xml:space="preserve">. </w:t>
      </w:r>
      <w:r w:rsidR="0025464E" w:rsidRPr="00393D65">
        <w:rPr>
          <w:szCs w:val="24"/>
          <w:lang w:val="fr-FR"/>
        </w:rPr>
        <w:t xml:space="preserve"> </w:t>
      </w:r>
      <w:r w:rsidR="00335FC3" w:rsidRPr="00393D65">
        <w:rPr>
          <w:szCs w:val="24"/>
          <w:lang w:val="fr-FR"/>
        </w:rPr>
        <w:t>L</w:t>
      </w:r>
      <w:r w:rsidR="00335FC3" w:rsidRPr="00393D65">
        <w:t>es tribunaux doivent d</w:t>
      </w:r>
      <w:r w:rsidR="00C03762">
        <w:t>’</w:t>
      </w:r>
      <w:r w:rsidR="00335FC3" w:rsidRPr="00393D65">
        <w:t xml:space="preserve">abord </w:t>
      </w:r>
      <w:r w:rsidR="0025464E" w:rsidRPr="00393D65">
        <w:t>interpréter l</w:t>
      </w:r>
      <w:r w:rsidR="00335FC3" w:rsidRPr="00393D65">
        <w:t xml:space="preserve">es dispositions de la </w:t>
      </w:r>
      <w:r w:rsidR="00335FC3" w:rsidRPr="00393D65">
        <w:rPr>
          <w:i/>
        </w:rPr>
        <w:t>LACC</w:t>
      </w:r>
      <w:r w:rsidR="00335FC3" w:rsidRPr="00393D65">
        <w:t xml:space="preserve"> avant d</w:t>
      </w:r>
      <w:r w:rsidR="00C03762">
        <w:t>’</w:t>
      </w:r>
      <w:r w:rsidR="00335FC3" w:rsidRPr="00393D65">
        <w:t>invoquer leur compétence inhérente ou leur compétence en equity pour établir leur pouvoir de prendre des mesures dans le cadre d</w:t>
      </w:r>
      <w:r w:rsidR="00C03762">
        <w:t>’</w:t>
      </w:r>
      <w:r w:rsidR="00335FC3" w:rsidRPr="00393D65">
        <w:t xml:space="preserve">une procédure fondée sur la </w:t>
      </w:r>
      <w:r w:rsidR="00335FC3" w:rsidRPr="00393D65">
        <w:rPr>
          <w:i/>
        </w:rPr>
        <w:t>LACC</w:t>
      </w:r>
      <w:r w:rsidR="00D8206C" w:rsidRPr="00393D65">
        <w:rPr>
          <w:szCs w:val="24"/>
          <w:lang w:val="fr-FR"/>
        </w:rPr>
        <w:t>.</w:t>
      </w:r>
      <w:r w:rsidR="00335FC3" w:rsidRPr="00393D65">
        <w:rPr>
          <w:szCs w:val="24"/>
          <w:lang w:val="fr-FR"/>
        </w:rPr>
        <w:t xml:space="preserve"> </w:t>
      </w:r>
      <w:r w:rsidR="0025464E" w:rsidRPr="00393D65">
        <w:rPr>
          <w:szCs w:val="24"/>
          <w:lang w:val="fr-FR"/>
        </w:rPr>
        <w:t xml:space="preserve"> </w:t>
      </w:r>
      <w:r w:rsidR="00335FC3" w:rsidRPr="00393D65">
        <w:rPr>
          <w:szCs w:val="24"/>
          <w:lang w:val="fr-FR"/>
        </w:rPr>
        <w:t>À cet égard,</w:t>
      </w:r>
      <w:r w:rsidR="00D8206C" w:rsidRPr="00393D65">
        <w:rPr>
          <w:szCs w:val="24"/>
          <w:lang w:val="fr-FR"/>
        </w:rPr>
        <w:t xml:space="preserve"> </w:t>
      </w:r>
      <w:r w:rsidR="00335FC3" w:rsidRPr="00393D65">
        <w:t xml:space="preserve">il faut </w:t>
      </w:r>
      <w:r w:rsidR="00335FC3" w:rsidRPr="00393D65">
        <w:lastRenderedPageBreak/>
        <w:t xml:space="preserve">souligner que le texte de la </w:t>
      </w:r>
      <w:r w:rsidR="00335FC3" w:rsidRPr="00393D65">
        <w:rPr>
          <w:i/>
        </w:rPr>
        <w:t>LACC</w:t>
      </w:r>
      <w:r w:rsidR="00335FC3" w:rsidRPr="00393D65">
        <w:t xml:space="preserve"> peu</w:t>
      </w:r>
      <w:r w:rsidR="0025464E" w:rsidRPr="00393D65">
        <w:t>t être interprété très largement</w:t>
      </w:r>
      <w:r w:rsidR="00D8206C" w:rsidRPr="00393D65">
        <w:rPr>
          <w:szCs w:val="24"/>
          <w:lang w:val="fr-FR"/>
        </w:rPr>
        <w:t xml:space="preserve">. </w:t>
      </w:r>
      <w:r w:rsidR="0025464E" w:rsidRPr="00393D65">
        <w:rPr>
          <w:szCs w:val="24"/>
          <w:lang w:val="fr-FR"/>
        </w:rPr>
        <w:t xml:space="preserve"> </w:t>
      </w:r>
      <w:r w:rsidR="00BC28B0" w:rsidRPr="00393D65">
        <w:t>La possibilité pour le tribunal de rendre des ordonnances plus spécifiques n</w:t>
      </w:r>
      <w:r w:rsidR="00C03762">
        <w:t>’</w:t>
      </w:r>
      <w:r w:rsidR="00BC28B0" w:rsidRPr="00393D65">
        <w:t xml:space="preserve">a pas pour effet de restreindre la portée des termes généraux utilisés dans la </w:t>
      </w:r>
      <w:r w:rsidR="00BC28B0" w:rsidRPr="00393D65">
        <w:rPr>
          <w:i/>
        </w:rPr>
        <w:t>LACC</w:t>
      </w:r>
      <w:r w:rsidR="00D8206C" w:rsidRPr="00393D65">
        <w:rPr>
          <w:szCs w:val="24"/>
          <w:lang w:val="fr-FR"/>
        </w:rPr>
        <w:t>.</w:t>
      </w:r>
      <w:r w:rsidR="000201AC" w:rsidRPr="00393D65">
        <w:rPr>
          <w:szCs w:val="24"/>
          <w:lang w:val="fr-FR"/>
        </w:rPr>
        <w:t xml:space="preserve"> </w:t>
      </w:r>
      <w:r w:rsidR="00BC28B0" w:rsidRPr="00393D65">
        <w:rPr>
          <w:szCs w:val="24"/>
          <w:lang w:val="fr-FR"/>
        </w:rPr>
        <w:t xml:space="preserve"> L</w:t>
      </w:r>
      <w:r w:rsidR="00C03762">
        <w:t>’</w:t>
      </w:r>
      <w:r w:rsidR="00BC28B0" w:rsidRPr="00393D65">
        <w:t>opportunité, la bonne foi et la diligence sont des considérations de base que le tribunal devrait toujours garder à l</w:t>
      </w:r>
      <w:r w:rsidR="00C03762">
        <w:t>’</w:t>
      </w:r>
      <w:r w:rsidR="00BC28B0" w:rsidRPr="00393D65">
        <w:t>esprit lorsqu</w:t>
      </w:r>
      <w:r w:rsidR="00C03762">
        <w:t>’</w:t>
      </w:r>
      <w:r w:rsidR="00BC28B0" w:rsidRPr="00393D65">
        <w:t xml:space="preserve">il exerce les pouvoirs conférés par la </w:t>
      </w:r>
      <w:r w:rsidR="00BC28B0" w:rsidRPr="00393D65">
        <w:rPr>
          <w:i/>
        </w:rPr>
        <w:t>LACC</w:t>
      </w:r>
      <w:r w:rsidR="00BC28B0" w:rsidRPr="00393D65">
        <w:t>.</w:t>
      </w:r>
      <w:r w:rsidR="00D8206C" w:rsidRPr="00393D65">
        <w:rPr>
          <w:szCs w:val="24"/>
          <w:lang w:val="fr-FR"/>
        </w:rPr>
        <w:t xml:space="preserve"> </w:t>
      </w:r>
      <w:r w:rsidR="00AE6A6F" w:rsidRPr="00393D65">
        <w:rPr>
          <w:szCs w:val="24"/>
          <w:lang w:val="fr-FR"/>
        </w:rPr>
        <w:t xml:space="preserve"> </w:t>
      </w:r>
      <w:r w:rsidR="00BC28B0" w:rsidRPr="00393D65">
        <w:t>Il s</w:t>
      </w:r>
      <w:r w:rsidR="00C03762">
        <w:t>’</w:t>
      </w:r>
      <w:r w:rsidR="00BC28B0" w:rsidRPr="00393D65">
        <w:t>agit de savoir si l</w:t>
      </w:r>
      <w:r w:rsidR="00C03762">
        <w:t>’</w:t>
      </w:r>
      <w:r w:rsidR="00BC28B0" w:rsidRPr="00393D65">
        <w:t>ordonnance contribuera utilement à la réalisation de l</w:t>
      </w:r>
      <w:r w:rsidR="00C03762">
        <w:t>’</w:t>
      </w:r>
      <w:r w:rsidR="00BC28B0" w:rsidRPr="00393D65">
        <w:t>objectif d</w:t>
      </w:r>
      <w:r w:rsidR="00C03762">
        <w:t>’</w:t>
      </w:r>
      <w:r w:rsidR="00BC28B0" w:rsidRPr="00393D65">
        <w:t>éviter les pertes sociales et économiques résultant de la liquidation d</w:t>
      </w:r>
      <w:r w:rsidR="00C03762">
        <w:t>’</w:t>
      </w:r>
      <w:r w:rsidR="00BC28B0" w:rsidRPr="00393D65">
        <w:t xml:space="preserve">une compagnie insolvable. </w:t>
      </w:r>
      <w:r w:rsidR="000201AC" w:rsidRPr="00393D65">
        <w:t xml:space="preserve"> Ce critère</w:t>
      </w:r>
      <w:r w:rsidR="00BC28B0" w:rsidRPr="00393D65">
        <w:t xml:space="preserve"> s</w:t>
      </w:r>
      <w:r w:rsidR="00C03762">
        <w:t>’</w:t>
      </w:r>
      <w:r w:rsidR="00BC28B0" w:rsidRPr="00393D65">
        <w:t>applique non seulement à l</w:t>
      </w:r>
      <w:r w:rsidR="00C03762">
        <w:t>’</w:t>
      </w:r>
      <w:r w:rsidR="00BC28B0" w:rsidRPr="00393D65">
        <w:t>objectif de l</w:t>
      </w:r>
      <w:r w:rsidR="00C03762">
        <w:t>’</w:t>
      </w:r>
      <w:r w:rsidR="00BC28B0" w:rsidRPr="00393D65">
        <w:t>ordonnance,</w:t>
      </w:r>
      <w:r w:rsidR="000201AC" w:rsidRPr="00393D65">
        <w:t xml:space="preserve"> mais aussi aux moyens utilisés. </w:t>
      </w:r>
      <w:r w:rsidR="00D8206C" w:rsidRPr="00393D65">
        <w:rPr>
          <w:szCs w:val="24"/>
        </w:rPr>
        <w:t xml:space="preserve"> </w:t>
      </w:r>
      <w:r w:rsidR="009F051F" w:rsidRPr="00393D65">
        <w:rPr>
          <w:szCs w:val="24"/>
        </w:rPr>
        <w:t>En l</w:t>
      </w:r>
      <w:r w:rsidR="00C03762">
        <w:rPr>
          <w:szCs w:val="24"/>
        </w:rPr>
        <w:t>’</w:t>
      </w:r>
      <w:r w:rsidR="009F051F" w:rsidRPr="00393D65">
        <w:rPr>
          <w:szCs w:val="24"/>
        </w:rPr>
        <w:t>espèce, l</w:t>
      </w:r>
      <w:r w:rsidR="00C03762">
        <w:rPr>
          <w:szCs w:val="24"/>
        </w:rPr>
        <w:t>’</w:t>
      </w:r>
      <w:r w:rsidR="009F051F" w:rsidRPr="00393D65">
        <w:rPr>
          <w:szCs w:val="24"/>
        </w:rPr>
        <w:t xml:space="preserve">ordonnance du juge </w:t>
      </w:r>
      <w:r w:rsidR="005151AB" w:rsidRPr="00393D65">
        <w:rPr>
          <w:lang w:val="fr-FR"/>
        </w:rPr>
        <w:t>siégeant en son cabinet</w:t>
      </w:r>
      <w:r w:rsidR="005151AB" w:rsidRPr="00393D65">
        <w:rPr>
          <w:szCs w:val="24"/>
        </w:rPr>
        <w:t xml:space="preserve"> </w:t>
      </w:r>
      <w:r w:rsidR="000201AC" w:rsidRPr="00393D65">
        <w:rPr>
          <w:szCs w:val="24"/>
        </w:rPr>
        <w:t xml:space="preserve">qui a </w:t>
      </w:r>
      <w:r w:rsidR="009F051F" w:rsidRPr="00393D65">
        <w:rPr>
          <w:szCs w:val="24"/>
        </w:rPr>
        <w:t>suspend</w:t>
      </w:r>
      <w:r w:rsidR="000201AC" w:rsidRPr="00393D65">
        <w:rPr>
          <w:szCs w:val="24"/>
        </w:rPr>
        <w:t>u</w:t>
      </w:r>
      <w:r w:rsidR="009F051F" w:rsidRPr="00393D65">
        <w:rPr>
          <w:szCs w:val="24"/>
        </w:rPr>
        <w:t xml:space="preserve"> l</w:t>
      </w:r>
      <w:r w:rsidR="00C03762">
        <w:rPr>
          <w:szCs w:val="24"/>
        </w:rPr>
        <w:t>’</w:t>
      </w:r>
      <w:r w:rsidR="009F051F" w:rsidRPr="00393D65">
        <w:rPr>
          <w:szCs w:val="24"/>
        </w:rPr>
        <w:t>exécution des mesures de recouvrement de la Couronne à l</w:t>
      </w:r>
      <w:r w:rsidR="00C03762">
        <w:rPr>
          <w:szCs w:val="24"/>
        </w:rPr>
        <w:t>’</w:t>
      </w:r>
      <w:r w:rsidR="009F051F" w:rsidRPr="00393D65">
        <w:rPr>
          <w:szCs w:val="24"/>
        </w:rPr>
        <w:t xml:space="preserve">égard de la TPS contribuait à la </w:t>
      </w:r>
      <w:r w:rsidR="00CD0953" w:rsidRPr="00393D65">
        <w:rPr>
          <w:szCs w:val="24"/>
        </w:rPr>
        <w:t>réalis</w:t>
      </w:r>
      <w:r w:rsidR="009F051F" w:rsidRPr="00393D65">
        <w:rPr>
          <w:szCs w:val="24"/>
        </w:rPr>
        <w:t xml:space="preserve">ation des objectifs de la </w:t>
      </w:r>
      <w:r w:rsidR="009F051F" w:rsidRPr="00393D65">
        <w:rPr>
          <w:i/>
          <w:szCs w:val="24"/>
        </w:rPr>
        <w:t>LACC</w:t>
      </w:r>
      <w:r w:rsidR="000201AC" w:rsidRPr="00393D65">
        <w:rPr>
          <w:szCs w:val="24"/>
        </w:rPr>
        <w:t>,</w:t>
      </w:r>
      <w:r w:rsidR="009F051F" w:rsidRPr="00393D65">
        <w:rPr>
          <w:i/>
          <w:szCs w:val="24"/>
        </w:rPr>
        <w:t xml:space="preserve"> </w:t>
      </w:r>
      <w:r w:rsidR="009F051F" w:rsidRPr="00393D65">
        <w:rPr>
          <w:szCs w:val="24"/>
        </w:rPr>
        <w:t>parce qu</w:t>
      </w:r>
      <w:r w:rsidR="00C03762">
        <w:rPr>
          <w:szCs w:val="24"/>
        </w:rPr>
        <w:t>’</w:t>
      </w:r>
      <w:r w:rsidR="009F051F" w:rsidRPr="00393D65">
        <w:rPr>
          <w:szCs w:val="24"/>
        </w:rPr>
        <w:t>elle avait pour effet de dissuader les créanciers d</w:t>
      </w:r>
      <w:r w:rsidR="00C03762">
        <w:rPr>
          <w:szCs w:val="24"/>
        </w:rPr>
        <w:t>’</w:t>
      </w:r>
      <w:r w:rsidR="009F051F" w:rsidRPr="00393D65">
        <w:rPr>
          <w:szCs w:val="24"/>
        </w:rPr>
        <w:t xml:space="preserve">entraver une liquidation ordonnée et favorisait une transition harmonieuse entre la </w:t>
      </w:r>
      <w:r w:rsidR="009F051F" w:rsidRPr="00393D65">
        <w:rPr>
          <w:i/>
          <w:szCs w:val="24"/>
        </w:rPr>
        <w:t>LACC</w:t>
      </w:r>
      <w:r w:rsidR="009F051F" w:rsidRPr="00393D65">
        <w:rPr>
          <w:szCs w:val="24"/>
        </w:rPr>
        <w:t xml:space="preserve"> et la </w:t>
      </w:r>
      <w:r w:rsidR="009F051F" w:rsidRPr="00393D65">
        <w:rPr>
          <w:i/>
          <w:szCs w:val="24"/>
        </w:rPr>
        <w:t>LFI</w:t>
      </w:r>
      <w:r w:rsidR="00D8206C" w:rsidRPr="00393D65">
        <w:rPr>
          <w:szCs w:val="24"/>
        </w:rPr>
        <w:t xml:space="preserve">, </w:t>
      </w:r>
      <w:r w:rsidR="009F051F" w:rsidRPr="00393D65">
        <w:rPr>
          <w:szCs w:val="24"/>
        </w:rPr>
        <w:t>répondant ainsi à l</w:t>
      </w:r>
      <w:r w:rsidR="00C03762">
        <w:rPr>
          <w:szCs w:val="24"/>
        </w:rPr>
        <w:t>’</w:t>
      </w:r>
      <w:r w:rsidR="009F051F" w:rsidRPr="00393D65">
        <w:rPr>
          <w:szCs w:val="24"/>
        </w:rPr>
        <w:t xml:space="preserve">objectif </w:t>
      </w:r>
      <w:r w:rsidR="009F051F" w:rsidRPr="00393D65">
        <w:t>— commun aux deux lois — qui consi</w:t>
      </w:r>
      <w:r w:rsidR="000201AC" w:rsidRPr="00393D65">
        <w:t>ste à avoir une seule procédure</w:t>
      </w:r>
      <w:r w:rsidR="00D8206C" w:rsidRPr="00393D65">
        <w:rPr>
          <w:szCs w:val="24"/>
        </w:rPr>
        <w:t>.</w:t>
      </w:r>
      <w:r w:rsidR="000201AC" w:rsidRPr="00393D65">
        <w:rPr>
          <w:szCs w:val="24"/>
        </w:rPr>
        <w:t xml:space="preserve"> </w:t>
      </w:r>
      <w:r w:rsidR="00D8206C" w:rsidRPr="00393D65">
        <w:rPr>
          <w:szCs w:val="24"/>
        </w:rPr>
        <w:t xml:space="preserve"> </w:t>
      </w:r>
      <w:r w:rsidR="00201FC8" w:rsidRPr="00393D65">
        <w:t xml:space="preserve">Le passage de la </w:t>
      </w:r>
      <w:r w:rsidR="00201FC8" w:rsidRPr="00393D65">
        <w:rPr>
          <w:i/>
        </w:rPr>
        <w:t>LACC</w:t>
      </w:r>
      <w:r w:rsidR="00201FC8" w:rsidRPr="00393D65">
        <w:t xml:space="preserve"> à la </w:t>
      </w:r>
      <w:r w:rsidR="00201FC8" w:rsidRPr="00393D65">
        <w:rPr>
          <w:i/>
        </w:rPr>
        <w:t>LFI</w:t>
      </w:r>
      <w:r w:rsidR="00201FC8" w:rsidRPr="00393D65">
        <w:t xml:space="preserve"> peut exiger la levée partielle d</w:t>
      </w:r>
      <w:r w:rsidR="00C03762">
        <w:t>’</w:t>
      </w:r>
      <w:r w:rsidR="00201FC8" w:rsidRPr="00393D65">
        <w:t xml:space="preserve">une suspension de procédures ordonnée en vertu de la </w:t>
      </w:r>
      <w:r w:rsidR="00201FC8" w:rsidRPr="00393D65">
        <w:rPr>
          <w:i/>
        </w:rPr>
        <w:t>LACC</w:t>
      </w:r>
      <w:r w:rsidR="00201FC8" w:rsidRPr="00393D65">
        <w:t>, de façon à permettre l</w:t>
      </w:r>
      <w:r w:rsidR="00C03762">
        <w:t>’</w:t>
      </w:r>
      <w:r w:rsidR="00201FC8" w:rsidRPr="00393D65">
        <w:t xml:space="preserve">engagement des procédures fondées sur la </w:t>
      </w:r>
      <w:r w:rsidR="00201FC8" w:rsidRPr="00393D65">
        <w:rPr>
          <w:i/>
        </w:rPr>
        <w:t>LFI</w:t>
      </w:r>
      <w:r w:rsidR="00201FC8" w:rsidRPr="00393D65">
        <w:t xml:space="preserve">, mais </w:t>
      </w:r>
      <w:r w:rsidR="000201AC" w:rsidRPr="00393D65">
        <w:t>il n</w:t>
      </w:r>
      <w:r w:rsidR="00C03762">
        <w:t>’</w:t>
      </w:r>
      <w:r w:rsidR="000201AC" w:rsidRPr="00393D65">
        <w:t xml:space="preserve">existe aucun </w:t>
      </w:r>
      <w:r w:rsidR="00201FC8" w:rsidRPr="00393D65">
        <w:t>hiatus</w:t>
      </w:r>
      <w:r w:rsidR="0064024A" w:rsidRPr="00393D65">
        <w:t xml:space="preserve"> entre ces lois </w:t>
      </w:r>
      <w:r w:rsidR="000201AC" w:rsidRPr="00393D65">
        <w:t>étant donné</w:t>
      </w:r>
      <w:r w:rsidR="0064024A" w:rsidRPr="00393D65">
        <w:t xml:space="preserve"> qu</w:t>
      </w:r>
      <w:r w:rsidR="00C03762">
        <w:t>’</w:t>
      </w:r>
      <w:r w:rsidR="0064024A" w:rsidRPr="00393D65">
        <w:t>elles s</w:t>
      </w:r>
      <w:r w:rsidR="00C03762">
        <w:t>’</w:t>
      </w:r>
      <w:r w:rsidR="0064024A" w:rsidRPr="00393D65">
        <w:t xml:space="preserve">appliquent </w:t>
      </w:r>
      <w:r w:rsidR="000201AC" w:rsidRPr="00393D65">
        <w:t>de concert</w:t>
      </w:r>
      <w:r w:rsidR="0064024A" w:rsidRPr="00393D65">
        <w:t xml:space="preserve"> et que, dans les deux cas, les créanciers examinent le régime de dis</w:t>
      </w:r>
      <w:r w:rsidR="00CD0953" w:rsidRPr="00393D65">
        <w:t xml:space="preserve">tribution </w:t>
      </w:r>
      <w:r w:rsidR="0064024A" w:rsidRPr="00393D65">
        <w:t xml:space="preserve">prévu par la </w:t>
      </w:r>
      <w:r w:rsidR="0064024A" w:rsidRPr="00393D65">
        <w:rPr>
          <w:i/>
        </w:rPr>
        <w:t>LFI</w:t>
      </w:r>
      <w:r w:rsidR="0064024A" w:rsidRPr="00393D65">
        <w:t xml:space="preserve"> pour connaître la situation qui serait la leur en cas d</w:t>
      </w:r>
      <w:r w:rsidR="00C03762">
        <w:t>’</w:t>
      </w:r>
      <w:r w:rsidR="0064024A" w:rsidRPr="00393D65">
        <w:t xml:space="preserve">échec </w:t>
      </w:r>
      <w:r w:rsidR="00CD0953" w:rsidRPr="00393D65">
        <w:t>de la réorganisation</w:t>
      </w:r>
      <w:r w:rsidR="00D8206C" w:rsidRPr="00393D65">
        <w:rPr>
          <w:szCs w:val="24"/>
        </w:rPr>
        <w:t>.</w:t>
      </w:r>
      <w:r w:rsidR="000201AC" w:rsidRPr="00393D65">
        <w:rPr>
          <w:szCs w:val="24"/>
        </w:rPr>
        <w:t xml:space="preserve"> </w:t>
      </w:r>
      <w:r w:rsidR="00D8206C" w:rsidRPr="00393D65">
        <w:rPr>
          <w:szCs w:val="24"/>
        </w:rPr>
        <w:t xml:space="preserve"> </w:t>
      </w:r>
      <w:r w:rsidR="00CD0953" w:rsidRPr="00393D65">
        <w:rPr>
          <w:szCs w:val="24"/>
        </w:rPr>
        <w:t>L</w:t>
      </w:r>
      <w:r w:rsidR="00C03762">
        <w:t>’</w:t>
      </w:r>
      <w:r w:rsidR="00CD0953" w:rsidRPr="00393D65">
        <w:t xml:space="preserve">ampleur du pouvoir discrétionnaire conféré au tribunal par la </w:t>
      </w:r>
      <w:r w:rsidR="00CD0953" w:rsidRPr="00393D65">
        <w:rPr>
          <w:i/>
        </w:rPr>
        <w:t>LACC</w:t>
      </w:r>
      <w:r w:rsidR="00CD0953" w:rsidRPr="00393D65">
        <w:t xml:space="preserve"> suffit pour établir une passerelle vers une liquidation opérée sous le régime de la </w:t>
      </w:r>
      <w:r w:rsidR="00CD0953" w:rsidRPr="00393D65">
        <w:rPr>
          <w:i/>
        </w:rPr>
        <w:t>LFI</w:t>
      </w:r>
      <w:r w:rsidR="00D8206C" w:rsidRPr="00393D65">
        <w:rPr>
          <w:szCs w:val="24"/>
          <w:lang w:val="fr-FR"/>
        </w:rPr>
        <w:t xml:space="preserve">. </w:t>
      </w:r>
      <w:r w:rsidR="000201AC" w:rsidRPr="00393D65">
        <w:rPr>
          <w:szCs w:val="24"/>
          <w:lang w:val="fr-FR"/>
        </w:rPr>
        <w:t xml:space="preserve"> </w:t>
      </w:r>
      <w:r w:rsidR="002112C6" w:rsidRPr="00393D65">
        <w:rPr>
          <w:szCs w:val="24"/>
          <w:lang w:val="fr-FR"/>
        </w:rPr>
        <w:t>Le ju</w:t>
      </w:r>
      <w:r w:rsidR="00BB772B" w:rsidRPr="00393D65">
        <w:rPr>
          <w:szCs w:val="24"/>
          <w:lang w:val="fr-FR"/>
        </w:rPr>
        <w:t xml:space="preserve">ge </w:t>
      </w:r>
      <w:r w:rsidR="007242E9" w:rsidRPr="00393D65">
        <w:rPr>
          <w:szCs w:val="24"/>
          <w:lang w:val="fr-FR"/>
        </w:rPr>
        <w:t xml:space="preserve">siégeant </w:t>
      </w:r>
      <w:r w:rsidR="00BB772B" w:rsidRPr="00393D65">
        <w:rPr>
          <w:szCs w:val="24"/>
          <w:lang w:val="fr-FR"/>
        </w:rPr>
        <w:t xml:space="preserve">en </w:t>
      </w:r>
      <w:r w:rsidR="00C86D09" w:rsidRPr="00393D65">
        <w:rPr>
          <w:szCs w:val="24"/>
          <w:lang w:val="fr-FR"/>
        </w:rPr>
        <w:t xml:space="preserve">son </w:t>
      </w:r>
      <w:r w:rsidR="00BB772B" w:rsidRPr="00393D65">
        <w:rPr>
          <w:szCs w:val="24"/>
          <w:lang w:val="fr-FR"/>
        </w:rPr>
        <w:t>cabinet pouvait donc rendre</w:t>
      </w:r>
      <w:r w:rsidR="002112C6" w:rsidRPr="00393D65">
        <w:rPr>
          <w:szCs w:val="24"/>
          <w:lang w:val="fr-FR"/>
        </w:rPr>
        <w:t xml:space="preserve"> l</w:t>
      </w:r>
      <w:r w:rsidR="00C03762">
        <w:rPr>
          <w:szCs w:val="24"/>
          <w:lang w:val="fr-FR"/>
        </w:rPr>
        <w:t>’</w:t>
      </w:r>
      <w:r w:rsidR="002112C6" w:rsidRPr="00393D65">
        <w:rPr>
          <w:szCs w:val="24"/>
          <w:lang w:val="fr-FR"/>
        </w:rPr>
        <w:t>ordonnance qu</w:t>
      </w:r>
      <w:r w:rsidR="00C03762">
        <w:rPr>
          <w:szCs w:val="24"/>
          <w:lang w:val="fr-FR"/>
        </w:rPr>
        <w:t>’</w:t>
      </w:r>
      <w:r w:rsidR="002112C6" w:rsidRPr="00393D65">
        <w:rPr>
          <w:szCs w:val="24"/>
          <w:lang w:val="fr-FR"/>
        </w:rPr>
        <w:t>il a prononcée</w:t>
      </w:r>
      <w:r w:rsidR="00D8206C" w:rsidRPr="00393D65">
        <w:rPr>
          <w:szCs w:val="24"/>
          <w:lang w:val="fr-FR"/>
        </w:rPr>
        <w:t>.</w:t>
      </w:r>
    </w:p>
    <w:p w:rsidR="009A38ED" w:rsidRPr="00393D65" w:rsidRDefault="009A38ED" w:rsidP="00D74F2E">
      <w:pPr>
        <w:pStyle w:val="SCCNormalDoubleSpacing"/>
        <w:rPr>
          <w:lang w:val="fr-FR"/>
        </w:rPr>
      </w:pPr>
    </w:p>
    <w:p w:rsidR="009A38ED" w:rsidRPr="00393D65" w:rsidRDefault="00C52C70" w:rsidP="00C52C70">
      <w:pPr>
        <w:tabs>
          <w:tab w:val="left" w:pos="1080"/>
        </w:tabs>
        <w:spacing w:line="480" w:lineRule="auto"/>
        <w:jc w:val="both"/>
        <w:rPr>
          <w:szCs w:val="24"/>
          <w:lang w:val="fr-FR"/>
        </w:rPr>
      </w:pPr>
      <w:r w:rsidRPr="00393D65">
        <w:tab/>
      </w:r>
      <w:r w:rsidR="00CA0C84" w:rsidRPr="00393D65">
        <w:t>L</w:t>
      </w:r>
      <w:r w:rsidR="00C03762">
        <w:t>’</w:t>
      </w:r>
      <w:r w:rsidR="00CA0C84" w:rsidRPr="00393D65">
        <w:t xml:space="preserve">ordonnance du juge </w:t>
      </w:r>
      <w:r w:rsidR="00C86D09" w:rsidRPr="00393D65">
        <w:t xml:space="preserve">siégeant </w:t>
      </w:r>
      <w:r w:rsidR="00CA0C84" w:rsidRPr="00393D65">
        <w:t>en</w:t>
      </w:r>
      <w:r w:rsidR="00C86D09" w:rsidRPr="00393D65">
        <w:t xml:space="preserve"> son</w:t>
      </w:r>
      <w:r w:rsidR="00CA0C84" w:rsidRPr="00393D65">
        <w:t xml:space="preserve"> cabinet n</w:t>
      </w:r>
      <w:r w:rsidR="00C03762">
        <w:t>’</w:t>
      </w:r>
      <w:r w:rsidR="00CA0C84" w:rsidRPr="00393D65">
        <w:t xml:space="preserve">a pas </w:t>
      </w:r>
      <w:r w:rsidR="00191CBB" w:rsidRPr="00393D65">
        <w:t>créé de</w:t>
      </w:r>
      <w:r w:rsidR="00CA0C84" w:rsidRPr="00393D65">
        <w:t xml:space="preserve"> fiducie expresse en l</w:t>
      </w:r>
      <w:r w:rsidR="00C03762">
        <w:t>’</w:t>
      </w:r>
      <w:r w:rsidR="00CA0C84" w:rsidRPr="00393D65">
        <w:t>espèce, car aucune certitude d</w:t>
      </w:r>
      <w:r w:rsidR="00C03762">
        <w:t>’</w:t>
      </w:r>
      <w:r w:rsidR="00CA0C84" w:rsidRPr="00393D65">
        <w:t>objet ne pe</w:t>
      </w:r>
      <w:r w:rsidR="00191CBB" w:rsidRPr="00393D65">
        <w:t>ut être inférée de cette ordonnance</w:t>
      </w:r>
      <w:r w:rsidR="009A38ED" w:rsidRPr="00393D65">
        <w:rPr>
          <w:szCs w:val="24"/>
          <w:lang w:val="fr-FR"/>
        </w:rPr>
        <w:t>.</w:t>
      </w:r>
      <w:r w:rsidR="00191CBB" w:rsidRPr="00393D65">
        <w:rPr>
          <w:szCs w:val="24"/>
          <w:lang w:val="fr-FR"/>
        </w:rPr>
        <w:t xml:space="preserve"> </w:t>
      </w:r>
      <w:r w:rsidR="009A38ED" w:rsidRPr="00393D65">
        <w:rPr>
          <w:szCs w:val="24"/>
          <w:lang w:val="fr-FR"/>
        </w:rPr>
        <w:t xml:space="preserve"> </w:t>
      </w:r>
      <w:r w:rsidR="00CA0C84" w:rsidRPr="00393D65">
        <w:t>La création d</w:t>
      </w:r>
      <w:r w:rsidR="00C03762">
        <w:t>’</w:t>
      </w:r>
      <w:r w:rsidR="00CA0C84" w:rsidRPr="00393D65">
        <w:t>une fiducie expresse exige la présence de</w:t>
      </w:r>
      <w:r w:rsidR="00191CBB" w:rsidRPr="00393D65">
        <w:t xml:space="preserve"> certitudes quant à l</w:t>
      </w:r>
      <w:r w:rsidR="00C03762">
        <w:t>’</w:t>
      </w:r>
      <w:r w:rsidR="00CA0C84" w:rsidRPr="00393D65">
        <w:t xml:space="preserve">intention, </w:t>
      </w:r>
      <w:r w:rsidR="00191CBB" w:rsidRPr="00393D65">
        <w:t xml:space="preserve">à la </w:t>
      </w:r>
      <w:r w:rsidR="00CA0C84" w:rsidRPr="00393D65">
        <w:t xml:space="preserve">matière et </w:t>
      </w:r>
      <w:r w:rsidR="001203AA" w:rsidRPr="00393D65">
        <w:t>à</w:t>
      </w:r>
      <w:r w:rsidR="00191CBB" w:rsidRPr="00393D65">
        <w:t xml:space="preserve"> l</w:t>
      </w:r>
      <w:r w:rsidR="00C03762">
        <w:t>’</w:t>
      </w:r>
      <w:r w:rsidR="00191CBB" w:rsidRPr="00393D65">
        <w:t>objet</w:t>
      </w:r>
      <w:r w:rsidR="009A38ED" w:rsidRPr="00393D65">
        <w:rPr>
          <w:szCs w:val="24"/>
          <w:lang w:val="fr-FR"/>
        </w:rPr>
        <w:t>.</w:t>
      </w:r>
      <w:r w:rsidR="00191CBB" w:rsidRPr="00393D65">
        <w:rPr>
          <w:szCs w:val="24"/>
          <w:lang w:val="fr-FR"/>
        </w:rPr>
        <w:t xml:space="preserve"> </w:t>
      </w:r>
      <w:r w:rsidR="009A38ED" w:rsidRPr="00393D65">
        <w:rPr>
          <w:szCs w:val="24"/>
          <w:lang w:val="fr-FR"/>
        </w:rPr>
        <w:t xml:space="preserve"> </w:t>
      </w:r>
      <w:r w:rsidR="00191CBB" w:rsidRPr="00393D65">
        <w:t>Lorsque</w:t>
      </w:r>
      <w:r w:rsidR="00CA0C84" w:rsidRPr="00393D65">
        <w:t xml:space="preserve"> le juge </w:t>
      </w:r>
      <w:r w:rsidR="00ED059B" w:rsidRPr="00393D65">
        <w:rPr>
          <w:lang w:val="fr-FR"/>
        </w:rPr>
        <w:t>siégeant en son cabinet</w:t>
      </w:r>
      <w:r w:rsidR="00ED059B" w:rsidRPr="00393D65">
        <w:t xml:space="preserve"> </w:t>
      </w:r>
      <w:r w:rsidR="00CA0C84" w:rsidRPr="00393D65">
        <w:t xml:space="preserve">a accepté la proposition que les sommes soient détenues séparément dans le compte en fiducie du contrôleur, </w:t>
      </w:r>
      <w:r w:rsidR="00CA0C84" w:rsidRPr="00393D65">
        <w:rPr>
          <w:lang w:val="fr-FR"/>
        </w:rPr>
        <w:t>il n</w:t>
      </w:r>
      <w:r w:rsidR="00C03762">
        <w:rPr>
          <w:lang w:val="fr-FR"/>
        </w:rPr>
        <w:t>’</w:t>
      </w:r>
      <w:r w:rsidR="00CA0C84" w:rsidRPr="00393D65">
        <w:rPr>
          <w:lang w:val="fr-FR"/>
        </w:rPr>
        <w:t>existait aucune certitude que la Couronne serait le bénéficiaire ou l</w:t>
      </w:r>
      <w:r w:rsidR="00C03762">
        <w:rPr>
          <w:lang w:val="fr-FR"/>
        </w:rPr>
        <w:t>’</w:t>
      </w:r>
      <w:r w:rsidR="00CA0C84" w:rsidRPr="00393D65">
        <w:rPr>
          <w:lang w:val="fr-FR"/>
        </w:rPr>
        <w:t>objet de la fiducie</w:t>
      </w:r>
      <w:r w:rsidR="005638C9" w:rsidRPr="00393D65">
        <w:rPr>
          <w:lang w:val="fr-FR"/>
        </w:rPr>
        <w:t>, car i</w:t>
      </w:r>
      <w:r w:rsidR="005638C9" w:rsidRPr="00393D65">
        <w:t>l y avait un doute quant à la question de savoir qui au juste pourrait toucher l</w:t>
      </w:r>
      <w:r w:rsidR="00C03762">
        <w:t>’</w:t>
      </w:r>
      <w:r w:rsidR="005638C9" w:rsidRPr="00393D65">
        <w:t>argent en fin de compte</w:t>
      </w:r>
      <w:r w:rsidR="009A38ED" w:rsidRPr="00393D65">
        <w:rPr>
          <w:szCs w:val="24"/>
          <w:lang w:val="fr-FR"/>
        </w:rPr>
        <w:t>.</w:t>
      </w:r>
      <w:r w:rsidR="00191CBB" w:rsidRPr="00393D65">
        <w:rPr>
          <w:szCs w:val="24"/>
          <w:lang w:val="fr-FR"/>
        </w:rPr>
        <w:t xml:space="preserve"> </w:t>
      </w:r>
      <w:r w:rsidR="009A38ED" w:rsidRPr="00393D65">
        <w:rPr>
          <w:szCs w:val="24"/>
          <w:lang w:val="fr-FR"/>
        </w:rPr>
        <w:t xml:space="preserve"> </w:t>
      </w:r>
      <w:r w:rsidR="005638C9" w:rsidRPr="00393D65">
        <w:t>De toute façon, suivant l</w:t>
      </w:r>
      <w:r w:rsidR="00C03762">
        <w:t>’</w:t>
      </w:r>
      <w:r w:rsidR="005638C9" w:rsidRPr="00393D65">
        <w:t xml:space="preserve">interprétation du par. 18.3(1) de la </w:t>
      </w:r>
      <w:r w:rsidR="005638C9" w:rsidRPr="00393D65">
        <w:rPr>
          <w:i/>
        </w:rPr>
        <w:t xml:space="preserve">LACC </w:t>
      </w:r>
      <w:r w:rsidR="005638C9" w:rsidRPr="00393D65">
        <w:t>dégagée précédemment, aucun différend ne saurait même exister quant à l</w:t>
      </w:r>
      <w:r w:rsidR="00C03762">
        <w:t>’</w:t>
      </w:r>
      <w:r w:rsidR="005638C9" w:rsidRPr="00393D65">
        <w:t>argent, étant donné que la priorité accordée aux réclamations de la Couronne fondées sur la fiducie réputée visant la TPS ne s</w:t>
      </w:r>
      <w:r w:rsidR="00C03762">
        <w:t>’</w:t>
      </w:r>
      <w:r w:rsidR="005638C9" w:rsidRPr="00393D65">
        <w:t xml:space="preserve">applique pas sous le régime de la </w:t>
      </w:r>
      <w:r w:rsidR="005638C9" w:rsidRPr="00393D65">
        <w:rPr>
          <w:i/>
        </w:rPr>
        <w:t>LACC</w:t>
      </w:r>
      <w:r w:rsidR="005638C9" w:rsidRPr="00393D65">
        <w:t xml:space="preserve"> et que la Couronne est reléguée au rang de créancier non garanti à</w:t>
      </w:r>
      <w:r w:rsidR="00191CBB" w:rsidRPr="00393D65">
        <w:t xml:space="preserve"> l</w:t>
      </w:r>
      <w:r w:rsidR="00C03762">
        <w:t>’</w:t>
      </w:r>
      <w:r w:rsidR="00191CBB" w:rsidRPr="00393D65">
        <w:t>égard des sommes en question</w:t>
      </w:r>
      <w:r w:rsidR="009A38ED" w:rsidRPr="00393D65">
        <w:rPr>
          <w:szCs w:val="24"/>
          <w:lang w:val="fr-FR"/>
        </w:rPr>
        <w:t>.</w:t>
      </w:r>
    </w:p>
    <w:p w:rsidR="009A38ED" w:rsidRPr="00393D65" w:rsidRDefault="009A38ED" w:rsidP="009A38ED">
      <w:pPr>
        <w:tabs>
          <w:tab w:val="left" w:pos="990"/>
        </w:tabs>
        <w:spacing w:line="480" w:lineRule="auto"/>
        <w:jc w:val="both"/>
        <w:rPr>
          <w:szCs w:val="24"/>
          <w:lang w:val="fr-FR"/>
        </w:rPr>
      </w:pPr>
    </w:p>
    <w:p w:rsidR="00930696" w:rsidRPr="00393D65" w:rsidRDefault="00C52C70" w:rsidP="00C52C70">
      <w:pPr>
        <w:pStyle w:val="SCCNormalDoubleSpacing"/>
        <w:tabs>
          <w:tab w:val="left" w:pos="1080"/>
        </w:tabs>
        <w:rPr>
          <w:lang w:val="fr-FR"/>
        </w:rPr>
      </w:pPr>
      <w:r w:rsidRPr="00393D65">
        <w:rPr>
          <w:i/>
          <w:szCs w:val="24"/>
          <w:lang w:val="fr-FR"/>
        </w:rPr>
        <w:tab/>
      </w:r>
      <w:r w:rsidR="00CA0C84" w:rsidRPr="00393D65">
        <w:rPr>
          <w:i/>
          <w:szCs w:val="24"/>
          <w:lang w:val="fr-FR"/>
        </w:rPr>
        <w:t xml:space="preserve">Le </w:t>
      </w:r>
      <w:r w:rsidR="00CA0C84" w:rsidRPr="00393D65">
        <w:rPr>
          <w:szCs w:val="24"/>
          <w:lang w:val="fr-FR"/>
        </w:rPr>
        <w:t xml:space="preserve">juge </w:t>
      </w:r>
      <w:r w:rsidR="000D2CAA" w:rsidRPr="00393D65">
        <w:rPr>
          <w:szCs w:val="24"/>
          <w:lang w:val="fr-FR"/>
        </w:rPr>
        <w:t>Fish </w:t>
      </w:r>
      <w:r w:rsidR="00CA0C84" w:rsidRPr="00393D65">
        <w:rPr>
          <w:szCs w:val="24"/>
          <w:lang w:val="fr-FR"/>
        </w:rPr>
        <w:t xml:space="preserve">: </w:t>
      </w:r>
      <w:r w:rsidR="009F6D8D" w:rsidRPr="00393D65">
        <w:rPr>
          <w:lang w:val="fr-FR"/>
        </w:rPr>
        <w:t xml:space="preserve">Les sommes perçues par la débitrice </w:t>
      </w:r>
      <w:r w:rsidR="009F6D8D" w:rsidRPr="00393D65">
        <w:t>au titre de la TPS ne font l</w:t>
      </w:r>
      <w:r w:rsidR="00C03762">
        <w:t>’</w:t>
      </w:r>
      <w:r w:rsidR="009F6D8D" w:rsidRPr="00393D65">
        <w:t>objet d</w:t>
      </w:r>
      <w:r w:rsidR="00C03762">
        <w:t>’</w:t>
      </w:r>
      <w:r w:rsidR="009F6D8D" w:rsidRPr="00393D65">
        <w:t>aucune fiducie réputée ou priorité en faveur de la Couronne</w:t>
      </w:r>
      <w:r w:rsidR="009A38ED" w:rsidRPr="00393D65">
        <w:rPr>
          <w:lang w:val="fr-FR"/>
        </w:rPr>
        <w:t xml:space="preserve">. </w:t>
      </w:r>
      <w:r w:rsidR="000D2CAA" w:rsidRPr="00393D65">
        <w:rPr>
          <w:lang w:val="fr-FR"/>
        </w:rPr>
        <w:t xml:space="preserve"> </w:t>
      </w:r>
      <w:r w:rsidR="00912DAF" w:rsidRPr="00393D65">
        <w:t>Au cours des dernières années, le législateur fédéral a procédé à un examen approfondi du régime canadien d</w:t>
      </w:r>
      <w:r w:rsidR="00C03762">
        <w:t>’</w:t>
      </w:r>
      <w:r w:rsidR="00912DAF" w:rsidRPr="00393D65">
        <w:t>insolvabilité, mais il a refusé de modifier les dispositions qui sont en cause dans la présente affaire</w:t>
      </w:r>
      <w:r w:rsidR="00F908F5" w:rsidRPr="00393D65">
        <w:t xml:space="preserve">. </w:t>
      </w:r>
      <w:r w:rsidR="000D2CAA" w:rsidRPr="00393D65">
        <w:t xml:space="preserve"> </w:t>
      </w:r>
      <w:r w:rsidR="00F908F5" w:rsidRPr="00393D65">
        <w:t>Il s</w:t>
      </w:r>
      <w:r w:rsidR="00C03762">
        <w:t>’</w:t>
      </w:r>
      <w:r w:rsidR="00F908F5" w:rsidRPr="00393D65">
        <w:t>agit d</w:t>
      </w:r>
      <w:r w:rsidR="00C03762">
        <w:t>’</w:t>
      </w:r>
      <w:r w:rsidR="00F908F5" w:rsidRPr="00393D65">
        <w:t>un exercice délibéré du pouvoir discrétionnaire de légiférer</w:t>
      </w:r>
      <w:r w:rsidR="009A38ED" w:rsidRPr="00393D65">
        <w:t xml:space="preserve">. </w:t>
      </w:r>
      <w:r w:rsidR="000D2CAA" w:rsidRPr="00393D65">
        <w:t xml:space="preserve"> </w:t>
      </w:r>
      <w:r w:rsidR="00E10C91" w:rsidRPr="00393D65">
        <w:rPr>
          <w:lang w:val="fr-FR"/>
        </w:rPr>
        <w:t>Par contre, e</w:t>
      </w:r>
      <w:r w:rsidR="00E10C91" w:rsidRPr="00393D65">
        <w:t>n maintenant, malgré l</w:t>
      </w:r>
      <w:r w:rsidR="00C03762">
        <w:t>’</w:t>
      </w:r>
      <w:r w:rsidR="00E10C91" w:rsidRPr="00393D65">
        <w:t>existence des procédures d</w:t>
      </w:r>
      <w:r w:rsidR="00C03762">
        <w:t>’</w:t>
      </w:r>
      <w:r w:rsidR="00E10C91" w:rsidRPr="00393D65">
        <w:t xml:space="preserve">insolvabilité, la validité de fiducies réputées créées en vertu de la </w:t>
      </w:r>
      <w:r w:rsidR="00E10C91" w:rsidRPr="00393D65">
        <w:rPr>
          <w:i/>
        </w:rPr>
        <w:t>LTA</w:t>
      </w:r>
      <w:r w:rsidR="00E10C91" w:rsidRPr="00393D65">
        <w:t xml:space="preserve">, les tribunaux ont protégé indûment des droits de la Couronne que le Parlement avait </w:t>
      </w:r>
      <w:r w:rsidR="00E10C91" w:rsidRPr="00393D65">
        <w:lastRenderedPageBreak/>
        <w:t>lui</w:t>
      </w:r>
      <w:r w:rsidR="00E10C91" w:rsidRPr="00393D65">
        <w:noBreakHyphen/>
        <w:t>même choisi de subordonner à d</w:t>
      </w:r>
      <w:r w:rsidR="00C03762">
        <w:t>’</w:t>
      </w:r>
      <w:r w:rsidR="00E10C91" w:rsidRPr="00393D65">
        <w:t xml:space="preserve">autres créances prioritaires. </w:t>
      </w:r>
      <w:r w:rsidR="000D2CAA" w:rsidRPr="00393D65">
        <w:t xml:space="preserve"> </w:t>
      </w:r>
      <w:r w:rsidR="00E10C91" w:rsidRPr="00393D65">
        <w:t>Dans le contexte du régime canadien d</w:t>
      </w:r>
      <w:r w:rsidR="00C03762">
        <w:t>’</w:t>
      </w:r>
      <w:r w:rsidR="00E10C91" w:rsidRPr="00393D65">
        <w:t xml:space="preserve">insolvabilité, il existe une fiducie </w:t>
      </w:r>
      <w:r w:rsidR="000D2CAA" w:rsidRPr="00393D65">
        <w:t>réputée</w:t>
      </w:r>
      <w:r w:rsidR="00E10C91" w:rsidRPr="00393D65">
        <w:t xml:space="preserve"> uniquement lorsqu</w:t>
      </w:r>
      <w:r w:rsidR="00C03762">
        <w:t>’</w:t>
      </w:r>
      <w:r w:rsidR="00E10C91" w:rsidRPr="00393D65">
        <w:t xml:space="preserve">une disposition législative </w:t>
      </w:r>
      <w:r w:rsidR="00E10C91" w:rsidRPr="00F04D8E">
        <w:t>crée</w:t>
      </w:r>
      <w:r w:rsidR="00E10C91" w:rsidRPr="00393D65">
        <w:t xml:space="preserve"> la fiducie et qu</w:t>
      </w:r>
      <w:r w:rsidR="00C03762">
        <w:t>’</w:t>
      </w:r>
      <w:r w:rsidR="00E10C91" w:rsidRPr="00393D65">
        <w:t xml:space="preserve">une disposition de la </w:t>
      </w:r>
      <w:r w:rsidR="00E10C91" w:rsidRPr="00393D65">
        <w:rPr>
          <w:i/>
        </w:rPr>
        <w:t xml:space="preserve">LACC </w:t>
      </w:r>
      <w:r w:rsidR="00E10C91" w:rsidRPr="00393D65">
        <w:t xml:space="preserve">ou de la </w:t>
      </w:r>
      <w:r w:rsidR="00E10C91" w:rsidRPr="00393D65">
        <w:rPr>
          <w:i/>
        </w:rPr>
        <w:t xml:space="preserve">LFI </w:t>
      </w:r>
      <w:r w:rsidR="00E10C91" w:rsidRPr="00F04D8E">
        <w:t>confirme</w:t>
      </w:r>
      <w:r w:rsidR="00E10C91" w:rsidRPr="00393D65">
        <w:t xml:space="preserve"> explicitement l</w:t>
      </w:r>
      <w:r w:rsidR="00C03762">
        <w:t>’</w:t>
      </w:r>
      <w:r w:rsidR="00E10C91" w:rsidRPr="00393D65">
        <w:t>existence de la f</w:t>
      </w:r>
      <w:r w:rsidR="003F62F3" w:rsidRPr="00393D65">
        <w:t>iducie</w:t>
      </w:r>
      <w:r w:rsidR="009A38ED" w:rsidRPr="00393D65">
        <w:rPr>
          <w:lang w:val="fr-FR"/>
        </w:rPr>
        <w:t xml:space="preserve">. </w:t>
      </w:r>
      <w:r w:rsidR="000D2CAA" w:rsidRPr="00393D65">
        <w:rPr>
          <w:lang w:val="fr-FR"/>
        </w:rPr>
        <w:t xml:space="preserve"> </w:t>
      </w:r>
      <w:r w:rsidR="003F62F3" w:rsidRPr="00393D65">
        <w:rPr>
          <w:lang w:val="fr-FR"/>
        </w:rPr>
        <w:t xml:space="preserve">La </w:t>
      </w:r>
      <w:r w:rsidR="003F62F3" w:rsidRPr="00393D65">
        <w:rPr>
          <w:i/>
          <w:lang w:val="fr-FR"/>
        </w:rPr>
        <w:t>Loi de l</w:t>
      </w:r>
      <w:r w:rsidR="00C03762">
        <w:rPr>
          <w:i/>
          <w:lang w:val="fr-FR"/>
        </w:rPr>
        <w:t>’</w:t>
      </w:r>
      <w:r w:rsidR="003F62F3" w:rsidRPr="00393D65">
        <w:rPr>
          <w:i/>
          <w:lang w:val="fr-FR"/>
        </w:rPr>
        <w:t>impôt sur le revenu</w:t>
      </w:r>
      <w:r w:rsidR="009A38ED" w:rsidRPr="00393D65">
        <w:rPr>
          <w:lang w:val="fr-FR"/>
        </w:rPr>
        <w:t xml:space="preserve">, </w:t>
      </w:r>
      <w:r w:rsidR="003F62F3" w:rsidRPr="00393D65">
        <w:rPr>
          <w:lang w:val="fr-FR"/>
        </w:rPr>
        <w:t xml:space="preserve">le </w:t>
      </w:r>
      <w:r w:rsidR="003F62F3" w:rsidRPr="00393D65">
        <w:rPr>
          <w:i/>
          <w:lang w:val="fr-FR"/>
        </w:rPr>
        <w:t xml:space="preserve">Régime de pensions du </w:t>
      </w:r>
      <w:r w:rsidR="009A38ED" w:rsidRPr="00393D65">
        <w:rPr>
          <w:i/>
          <w:lang w:val="fr-FR"/>
        </w:rPr>
        <w:t xml:space="preserve">Canada </w:t>
      </w:r>
      <w:r w:rsidR="003F62F3" w:rsidRPr="00393D65">
        <w:rPr>
          <w:lang w:val="fr-FR"/>
        </w:rPr>
        <w:t xml:space="preserve">et la </w:t>
      </w:r>
      <w:r w:rsidR="003F62F3" w:rsidRPr="00393D65">
        <w:rPr>
          <w:i/>
          <w:lang w:val="fr-FR"/>
        </w:rPr>
        <w:t>Loi sur l</w:t>
      </w:r>
      <w:r w:rsidR="00C03762">
        <w:rPr>
          <w:i/>
          <w:lang w:val="fr-FR"/>
        </w:rPr>
        <w:t>’</w:t>
      </w:r>
      <w:r w:rsidR="003F62F3" w:rsidRPr="00393D65">
        <w:rPr>
          <w:i/>
          <w:lang w:val="fr-FR"/>
        </w:rPr>
        <w:t>assurance</w:t>
      </w:r>
      <w:r w:rsidR="00000CE0" w:rsidRPr="00393D65">
        <w:rPr>
          <w:i/>
          <w:lang w:val="fr-FR"/>
        </w:rPr>
        <w:noBreakHyphen/>
      </w:r>
      <w:r w:rsidR="003F62F3" w:rsidRPr="00393D65">
        <w:rPr>
          <w:i/>
          <w:lang w:val="fr-FR"/>
        </w:rPr>
        <w:t>emploi</w:t>
      </w:r>
      <w:r w:rsidR="003F62F3" w:rsidRPr="00393D65">
        <w:rPr>
          <w:lang w:val="fr-FR"/>
        </w:rPr>
        <w:t xml:space="preserve"> </w:t>
      </w:r>
      <w:r w:rsidR="003F62F3" w:rsidRPr="00393D65">
        <w:t xml:space="preserve">renferment toutes </w:t>
      </w:r>
      <w:r w:rsidR="00C86D09" w:rsidRPr="00393D65">
        <w:t>d</w:t>
      </w:r>
      <w:r w:rsidR="003F62F3" w:rsidRPr="00393D65">
        <w:t>e</w:t>
      </w:r>
      <w:r w:rsidR="00C86D09" w:rsidRPr="00393D65">
        <w:t>s</w:t>
      </w:r>
      <w:r w:rsidR="003F62F3" w:rsidRPr="00393D65">
        <w:t xml:space="preserve"> disposition</w:t>
      </w:r>
      <w:r w:rsidR="00C86D09" w:rsidRPr="00393D65">
        <w:t>s</w:t>
      </w:r>
      <w:r w:rsidR="003F62F3" w:rsidRPr="00393D65">
        <w:t xml:space="preserve"> relative</w:t>
      </w:r>
      <w:r w:rsidR="00C86D09" w:rsidRPr="00393D65">
        <w:t>s</w:t>
      </w:r>
      <w:r w:rsidR="003F62F3" w:rsidRPr="00393D65">
        <w:t xml:space="preserve"> aux fiducies réputées dont le libellé offre une ressemblance frappante avec celui de l</w:t>
      </w:r>
      <w:r w:rsidR="00C03762">
        <w:t>’</w:t>
      </w:r>
      <w:r w:rsidR="003F62F3" w:rsidRPr="00393D65">
        <w:t xml:space="preserve">art. 222 de la </w:t>
      </w:r>
      <w:r w:rsidR="003F62F3" w:rsidRPr="00393D65">
        <w:rPr>
          <w:i/>
        </w:rPr>
        <w:t>LTA</w:t>
      </w:r>
      <w:r w:rsidR="003F62F3" w:rsidRPr="00393D65">
        <w:t>, mais</w:t>
      </w:r>
      <w:r w:rsidR="00C81839" w:rsidRPr="00393D65">
        <w:t xml:space="preserve"> le maintien en vigueur des fiducies réputées créées en vertu de ces dispositions est confirmé à l</w:t>
      </w:r>
      <w:r w:rsidR="00C03762">
        <w:t>’</w:t>
      </w:r>
      <w:r w:rsidR="00C81839" w:rsidRPr="00393D65">
        <w:t xml:space="preserve">art. 37 de la </w:t>
      </w:r>
      <w:r w:rsidR="00C81839" w:rsidRPr="00393D65">
        <w:rPr>
          <w:i/>
        </w:rPr>
        <w:t>LACC</w:t>
      </w:r>
      <w:r w:rsidR="00C81839" w:rsidRPr="00393D65">
        <w:t xml:space="preserve"> et au par. 67(3) de la </w:t>
      </w:r>
      <w:r w:rsidR="00C81839" w:rsidRPr="00393D65">
        <w:rPr>
          <w:i/>
        </w:rPr>
        <w:t>LFI</w:t>
      </w:r>
      <w:r w:rsidR="00850B09" w:rsidRPr="00393D65">
        <w:t xml:space="preserve"> </w:t>
      </w:r>
      <w:r w:rsidR="00C81839" w:rsidRPr="00393D65">
        <w:rPr>
          <w:lang w:val="fr-FR"/>
        </w:rPr>
        <w:t>en termes clairs et explicites</w:t>
      </w:r>
      <w:r w:rsidR="00850B09" w:rsidRPr="00393D65">
        <w:rPr>
          <w:lang w:val="fr-FR"/>
        </w:rPr>
        <w:t>.</w:t>
      </w:r>
      <w:r w:rsidR="009A38ED" w:rsidRPr="00393D65">
        <w:rPr>
          <w:lang w:val="fr-FR"/>
        </w:rPr>
        <w:t xml:space="preserve">  </w:t>
      </w:r>
      <w:r w:rsidR="008260B1" w:rsidRPr="00393D65">
        <w:t xml:space="preserve">La situation est différente dans le cas de la fiducie réputée créée par la </w:t>
      </w:r>
      <w:r w:rsidR="008260B1" w:rsidRPr="00393D65">
        <w:rPr>
          <w:i/>
        </w:rPr>
        <w:t>LTA</w:t>
      </w:r>
      <w:r w:rsidR="009A38ED" w:rsidRPr="00393D65">
        <w:rPr>
          <w:lang w:val="fr-FR"/>
        </w:rPr>
        <w:t>.</w:t>
      </w:r>
      <w:r w:rsidR="008260B1" w:rsidRPr="00393D65">
        <w:rPr>
          <w:lang w:val="fr-FR"/>
        </w:rPr>
        <w:t xml:space="preserve"> </w:t>
      </w:r>
      <w:r w:rsidR="004E08C2" w:rsidRPr="00393D65">
        <w:rPr>
          <w:lang w:val="fr-FR"/>
        </w:rPr>
        <w:t xml:space="preserve"> </w:t>
      </w:r>
      <w:r w:rsidR="008260B1" w:rsidRPr="00393D65">
        <w:t>Bien que le législateur crée en faveur de la Couronne une fiducie réputée dans laquelle seront conservées les sommes recueillies au titre de la TPS mais non encore versées, et bien qu</w:t>
      </w:r>
      <w:r w:rsidR="00C03762">
        <w:t>’</w:t>
      </w:r>
      <w:r w:rsidR="008260B1" w:rsidRPr="00393D65">
        <w:t>il prétende maintenir cette fiducie en vigueur malgré les dispositions à l</w:t>
      </w:r>
      <w:r w:rsidR="00C03762">
        <w:t>’</w:t>
      </w:r>
      <w:r w:rsidR="008260B1" w:rsidRPr="00393D65">
        <w:t xml:space="preserve">effet contraire de toute loi fédérale ou provinciale, il ne </w:t>
      </w:r>
      <w:r w:rsidR="008260B1" w:rsidRPr="00765D02">
        <w:t>confirme</w:t>
      </w:r>
      <w:r w:rsidR="008260B1" w:rsidRPr="00393D65">
        <w:t xml:space="preserve"> pas l</w:t>
      </w:r>
      <w:r w:rsidR="00C03762">
        <w:t>’</w:t>
      </w:r>
      <w:r w:rsidR="008260B1" w:rsidRPr="00393D65">
        <w:t xml:space="preserve">existence de la fiducie dans la </w:t>
      </w:r>
      <w:r w:rsidR="008260B1" w:rsidRPr="00393D65">
        <w:rPr>
          <w:i/>
        </w:rPr>
        <w:t>LFI</w:t>
      </w:r>
      <w:r w:rsidR="008260B1" w:rsidRPr="00393D65">
        <w:t xml:space="preserve"> ou la </w:t>
      </w:r>
      <w:r w:rsidR="008260B1" w:rsidRPr="00393D65">
        <w:rPr>
          <w:i/>
        </w:rPr>
        <w:t>LACC</w:t>
      </w:r>
      <w:r w:rsidR="00C86D09" w:rsidRPr="00393D65">
        <w:rPr>
          <w:lang w:val="fr-FR"/>
        </w:rPr>
        <w:t xml:space="preserve">, ce qui témoigne de son </w:t>
      </w:r>
      <w:r w:rsidR="008260B1" w:rsidRPr="00393D65">
        <w:rPr>
          <w:lang w:val="fr-FR"/>
        </w:rPr>
        <w:t>intention de laisser la fiducie réputée devenir caduque au moment de l</w:t>
      </w:r>
      <w:r w:rsidR="00C03762">
        <w:rPr>
          <w:lang w:val="fr-FR"/>
        </w:rPr>
        <w:t>’</w:t>
      </w:r>
      <w:r w:rsidR="008260B1" w:rsidRPr="00393D65">
        <w:rPr>
          <w:lang w:val="fr-FR"/>
        </w:rPr>
        <w:t>introduction de la procédure d</w:t>
      </w:r>
      <w:r w:rsidR="00C03762">
        <w:rPr>
          <w:lang w:val="fr-FR"/>
        </w:rPr>
        <w:t>’</w:t>
      </w:r>
      <w:r w:rsidR="008260B1" w:rsidRPr="00393D65">
        <w:rPr>
          <w:lang w:val="fr-FR"/>
        </w:rPr>
        <w:t>insolvabilité.</w:t>
      </w:r>
    </w:p>
    <w:p w:rsidR="00FD4546" w:rsidRPr="00393D65" w:rsidRDefault="00FD4546" w:rsidP="001203AA">
      <w:pPr>
        <w:pStyle w:val="ListParagraph"/>
        <w:spacing w:line="480" w:lineRule="auto"/>
        <w:ind w:left="0"/>
        <w:jc w:val="both"/>
        <w:rPr>
          <w:i/>
          <w:lang w:val="fr-FR"/>
        </w:rPr>
      </w:pPr>
    </w:p>
    <w:p w:rsidR="00FD4546" w:rsidRDefault="00C52C70" w:rsidP="008B208E">
      <w:pPr>
        <w:pStyle w:val="SCCNormalDoubleSpacing"/>
      </w:pPr>
      <w:r w:rsidRPr="00393D65">
        <w:rPr>
          <w:i/>
          <w:lang w:val="fr-FR"/>
        </w:rPr>
        <w:tab/>
      </w:r>
      <w:r w:rsidR="00FD4546" w:rsidRPr="00393D65">
        <w:rPr>
          <w:i/>
          <w:lang w:val="fr-FR"/>
        </w:rPr>
        <w:t>La</w:t>
      </w:r>
      <w:r w:rsidR="00FD4546" w:rsidRPr="00393D65">
        <w:rPr>
          <w:lang w:val="fr-FR"/>
        </w:rPr>
        <w:t xml:space="preserve"> juge Abella (dissidente)</w:t>
      </w:r>
      <w:r w:rsidR="004E08C2" w:rsidRPr="00393D65">
        <w:rPr>
          <w:lang w:val="fr-FR"/>
        </w:rPr>
        <w:t> </w:t>
      </w:r>
      <w:r w:rsidR="00FD4546" w:rsidRPr="00393D65">
        <w:rPr>
          <w:szCs w:val="24"/>
          <w:lang w:val="fr-FR"/>
        </w:rPr>
        <w:t xml:space="preserve">: </w:t>
      </w:r>
      <w:r w:rsidR="006D13CE" w:rsidRPr="00393D65">
        <w:rPr>
          <w:rFonts w:eastAsiaTheme="minorHAnsi"/>
          <w:szCs w:val="24"/>
          <w:lang w:val="fr-FR" w:eastAsia="en-US"/>
        </w:rPr>
        <w:t>L</w:t>
      </w:r>
      <w:r w:rsidR="006D13CE" w:rsidRPr="00393D65">
        <w:t>e par</w:t>
      </w:r>
      <w:r w:rsidR="00765D02">
        <w:t>agraphe</w:t>
      </w:r>
      <w:r w:rsidR="006D13CE" w:rsidRPr="00393D65">
        <w:t xml:space="preserve"> 222(3) de la </w:t>
      </w:r>
      <w:r w:rsidR="006D13CE" w:rsidRPr="00393D65">
        <w:rPr>
          <w:i/>
        </w:rPr>
        <w:t>LTA</w:t>
      </w:r>
      <w:r w:rsidR="006D13CE" w:rsidRPr="00393D65">
        <w:t xml:space="preserve"> donne préséance, dans le cadre d</w:t>
      </w:r>
      <w:r w:rsidR="00C03762">
        <w:t>’</w:t>
      </w:r>
      <w:r w:rsidR="006D13CE" w:rsidRPr="00393D65">
        <w:t xml:space="preserve">une procédure relevant de la </w:t>
      </w:r>
      <w:r w:rsidR="006D13CE" w:rsidRPr="00393D65">
        <w:rPr>
          <w:i/>
        </w:rPr>
        <w:t>LACC</w:t>
      </w:r>
      <w:r w:rsidR="006D13CE" w:rsidRPr="00393D65">
        <w:t>, à la fiducie réputée qui est établie en faveur de la Couronne à l</w:t>
      </w:r>
      <w:r w:rsidR="00C03762">
        <w:t>’</w:t>
      </w:r>
      <w:r w:rsidR="006D13CE" w:rsidRPr="00393D65">
        <w:t>égard de la TPS non versée.</w:t>
      </w:r>
      <w:r w:rsidR="004E08C2" w:rsidRPr="00393D65">
        <w:t xml:space="preserve"> </w:t>
      </w:r>
      <w:r w:rsidR="006D13CE" w:rsidRPr="00393D65">
        <w:t xml:space="preserve"> Cette disposition définit sans équivoque sa portée dans des termes on ne peut plus clairs et n</w:t>
      </w:r>
      <w:r w:rsidR="00C03762">
        <w:t>’</w:t>
      </w:r>
      <w:r w:rsidR="006D13CE" w:rsidRPr="00393D65">
        <w:t xml:space="preserve">exclut que la </w:t>
      </w:r>
      <w:r w:rsidR="006D13CE" w:rsidRPr="00393D65">
        <w:rPr>
          <w:i/>
        </w:rPr>
        <w:t>LFI</w:t>
      </w:r>
      <w:r w:rsidR="006D13CE" w:rsidRPr="00393D65">
        <w:t xml:space="preserve"> de son champ d</w:t>
      </w:r>
      <w:r w:rsidR="00C03762">
        <w:t>’</w:t>
      </w:r>
      <w:r w:rsidR="006D13CE" w:rsidRPr="00393D65">
        <w:t xml:space="preserve">application. </w:t>
      </w:r>
      <w:r w:rsidR="004E08C2" w:rsidRPr="00393D65">
        <w:t xml:space="preserve"> </w:t>
      </w:r>
      <w:r w:rsidR="006D13CE" w:rsidRPr="00393D65">
        <w:rPr>
          <w:lang w:val="fr-FR"/>
        </w:rPr>
        <w:t>Les termes employés révèlent l</w:t>
      </w:r>
      <w:r w:rsidR="00C03762">
        <w:rPr>
          <w:lang w:val="fr-FR"/>
        </w:rPr>
        <w:t>’</w:t>
      </w:r>
      <w:r w:rsidR="006D13CE" w:rsidRPr="00393D65">
        <w:rPr>
          <w:lang w:val="fr-FR"/>
        </w:rPr>
        <w:t>intention claire du législateur</w:t>
      </w:r>
      <w:r w:rsidR="004E08C2" w:rsidRPr="00393D65">
        <w:rPr>
          <w:lang w:val="fr-FR"/>
        </w:rPr>
        <w:t xml:space="preserve"> que le par. </w:t>
      </w:r>
      <w:r w:rsidR="00FD4546" w:rsidRPr="00393D65">
        <w:t xml:space="preserve">222(3) </w:t>
      </w:r>
      <w:r w:rsidR="00ED73A5" w:rsidRPr="00393D65">
        <w:t>l</w:t>
      </w:r>
      <w:r w:rsidR="00C03762">
        <w:t>’</w:t>
      </w:r>
      <w:r w:rsidR="00ED73A5" w:rsidRPr="00393D65">
        <w:t xml:space="preserve">emporte en cas de conflit avec toute autre loi sauf la </w:t>
      </w:r>
      <w:r w:rsidR="00ED73A5" w:rsidRPr="00393D65">
        <w:rPr>
          <w:i/>
        </w:rPr>
        <w:lastRenderedPageBreak/>
        <w:t>LFI</w:t>
      </w:r>
      <w:r w:rsidR="00ED73A5" w:rsidRPr="00393D65">
        <w:t xml:space="preserve">. </w:t>
      </w:r>
      <w:r w:rsidR="004E08C2" w:rsidRPr="00393D65">
        <w:t xml:space="preserve"> </w:t>
      </w:r>
      <w:r w:rsidR="00ED73A5" w:rsidRPr="00393D65">
        <w:t xml:space="preserve">Cette opinion est confortée par le fait que des modifications ont été apportées à la </w:t>
      </w:r>
      <w:r w:rsidR="00ED73A5" w:rsidRPr="00393D65">
        <w:rPr>
          <w:i/>
        </w:rPr>
        <w:t>LACC</w:t>
      </w:r>
      <w:r w:rsidR="00ED73A5" w:rsidRPr="00393D65">
        <w:t xml:space="preserve"> après l</w:t>
      </w:r>
      <w:r w:rsidR="00C03762">
        <w:t>’</w:t>
      </w:r>
      <w:r w:rsidR="00ED73A5" w:rsidRPr="00393D65">
        <w:t>édiction du par. </w:t>
      </w:r>
      <w:r w:rsidR="00FD4546" w:rsidRPr="00393D65">
        <w:t>222(3)</w:t>
      </w:r>
      <w:r w:rsidR="004E08C2" w:rsidRPr="00393D65">
        <w:t xml:space="preserve"> et que</w:t>
      </w:r>
      <w:r w:rsidR="00ED73A5" w:rsidRPr="00393D65">
        <w:t>, malgré les demandes répé</w:t>
      </w:r>
      <w:r w:rsidR="004E08C2" w:rsidRPr="00393D65">
        <w:t>tées de divers groupes, le par. </w:t>
      </w:r>
      <w:r w:rsidR="00ED73A5" w:rsidRPr="00393D65">
        <w:t>18.3(1) n</w:t>
      </w:r>
      <w:r w:rsidR="00C03762">
        <w:t>’</w:t>
      </w:r>
      <w:r w:rsidR="00ED73A5" w:rsidRPr="00393D65">
        <w:t>a pas été modifié pour aligner l</w:t>
      </w:r>
      <w:r w:rsidR="00C03762">
        <w:t>’</w:t>
      </w:r>
      <w:r w:rsidR="00ED73A5" w:rsidRPr="00393D65">
        <w:t xml:space="preserve">ordre de priorité établi par la </w:t>
      </w:r>
      <w:r w:rsidR="00ED73A5" w:rsidRPr="00393D65">
        <w:rPr>
          <w:i/>
        </w:rPr>
        <w:t>LACC</w:t>
      </w:r>
      <w:r w:rsidR="00ED73A5" w:rsidRPr="00393D65">
        <w:t xml:space="preserve"> sur celui de la </w:t>
      </w:r>
      <w:r w:rsidR="00ED73A5" w:rsidRPr="00393D65">
        <w:rPr>
          <w:i/>
        </w:rPr>
        <w:t>LFI</w:t>
      </w:r>
      <w:r w:rsidR="00ED73A5" w:rsidRPr="00393D65">
        <w:t xml:space="preserve">. </w:t>
      </w:r>
      <w:r w:rsidR="00FD4546" w:rsidRPr="00393D65">
        <w:rPr>
          <w:lang w:val="fr-FR"/>
        </w:rPr>
        <w:t xml:space="preserve"> </w:t>
      </w:r>
      <w:r w:rsidR="005B2EF3" w:rsidRPr="00393D65">
        <w:rPr>
          <w:lang w:val="fr-FR"/>
        </w:rPr>
        <w:t xml:space="preserve">Cela indique que </w:t>
      </w:r>
      <w:r w:rsidR="005B2EF3" w:rsidRPr="00393D65">
        <w:t>le législateur a délibérément choisi de soustraire la fiducie réputée établie au par. 222(3) à l</w:t>
      </w:r>
      <w:r w:rsidR="00C03762">
        <w:t>’</w:t>
      </w:r>
      <w:r w:rsidR="005B2EF3" w:rsidRPr="00393D65">
        <w:t xml:space="preserve">application du par. 18.3(1) de la </w:t>
      </w:r>
      <w:r w:rsidR="005B2EF3" w:rsidRPr="00393D65">
        <w:rPr>
          <w:i/>
        </w:rPr>
        <w:t>LACC</w:t>
      </w:r>
      <w:r w:rsidR="005B2EF3" w:rsidRPr="00393D65">
        <w:t>.</w:t>
      </w:r>
      <w:r w:rsidR="007E3327" w:rsidRPr="00393D65">
        <w:t xml:space="preserve"> </w:t>
      </w:r>
    </w:p>
    <w:p w:rsidR="008B208E" w:rsidRPr="00393D65" w:rsidRDefault="008B208E" w:rsidP="008B208E">
      <w:pPr>
        <w:pStyle w:val="SCCNormalDoubleSpacing"/>
        <w:rPr>
          <w:lang w:val="fr-FR"/>
        </w:rPr>
      </w:pPr>
    </w:p>
    <w:p w:rsidR="007834A8" w:rsidRPr="00393D65" w:rsidRDefault="00FD4546" w:rsidP="00FD4546">
      <w:pPr>
        <w:pStyle w:val="SCCNormalDoubleSpacing"/>
        <w:rPr>
          <w:lang w:val="fr-FR"/>
        </w:rPr>
      </w:pPr>
      <w:r w:rsidRPr="00393D65">
        <w:rPr>
          <w:lang w:val="fr-FR"/>
        </w:rPr>
        <w:tab/>
      </w:r>
      <w:r w:rsidR="001E71F8" w:rsidRPr="00393D65">
        <w:rPr>
          <w:lang w:val="fr-FR"/>
        </w:rPr>
        <w:t>Cette conclusion est renforcée par l</w:t>
      </w:r>
      <w:r w:rsidR="00C03762">
        <w:rPr>
          <w:lang w:val="fr-FR"/>
        </w:rPr>
        <w:t>’</w:t>
      </w:r>
      <w:r w:rsidR="001E71F8" w:rsidRPr="00393D65">
        <w:rPr>
          <w:lang w:val="fr-FR"/>
        </w:rPr>
        <w:t>application d</w:t>
      </w:r>
      <w:r w:rsidR="00C03762">
        <w:rPr>
          <w:lang w:val="fr-FR"/>
        </w:rPr>
        <w:t>’</w:t>
      </w:r>
      <w:r w:rsidR="001E71F8" w:rsidRPr="00393D65">
        <w:rPr>
          <w:lang w:val="fr-FR"/>
        </w:rPr>
        <w:t>autres principes d</w:t>
      </w:r>
      <w:r w:rsidR="00C03762">
        <w:rPr>
          <w:lang w:val="fr-FR"/>
        </w:rPr>
        <w:t>’</w:t>
      </w:r>
      <w:r w:rsidR="001E71F8" w:rsidRPr="00393D65">
        <w:rPr>
          <w:lang w:val="fr-FR"/>
        </w:rPr>
        <w:t xml:space="preserve">interprétation. </w:t>
      </w:r>
      <w:r w:rsidRPr="00393D65">
        <w:rPr>
          <w:lang w:val="fr-FR"/>
        </w:rPr>
        <w:t xml:space="preserve"> </w:t>
      </w:r>
      <w:r w:rsidR="00EA5294" w:rsidRPr="00393D65">
        <w:rPr>
          <w:lang w:val="fr-FR"/>
        </w:rPr>
        <w:t>U</w:t>
      </w:r>
      <w:r w:rsidR="00EA5294" w:rsidRPr="00393D65">
        <w:t>ne disposition spécifique antérieure peut être supplantée par une loi ultérieure de portée générale si le législateur, par les mots qu</w:t>
      </w:r>
      <w:r w:rsidR="00C03762">
        <w:t>’</w:t>
      </w:r>
      <w:r w:rsidR="00EA5294" w:rsidRPr="00393D65">
        <w:t>il a employés, a exprimé l</w:t>
      </w:r>
      <w:r w:rsidR="00C03762">
        <w:t>’</w:t>
      </w:r>
      <w:r w:rsidR="00EA5294" w:rsidRPr="00393D65">
        <w:t xml:space="preserve">intention de faire prévaloir la loi générale. </w:t>
      </w:r>
      <w:r w:rsidRPr="00393D65">
        <w:rPr>
          <w:lang w:val="fr-FR"/>
        </w:rPr>
        <w:t xml:space="preserve"> </w:t>
      </w:r>
      <w:r w:rsidR="002F467C" w:rsidRPr="00393D65">
        <w:rPr>
          <w:lang w:val="fr-FR"/>
        </w:rPr>
        <w:t>L</w:t>
      </w:r>
      <w:r w:rsidR="002F467C" w:rsidRPr="00393D65">
        <w:t>e par</w:t>
      </w:r>
      <w:r w:rsidR="0009712D" w:rsidRPr="00393D65">
        <w:t>agraphe</w:t>
      </w:r>
      <w:r w:rsidR="002F467C" w:rsidRPr="00393D65">
        <w:t> 222(3) accomplit cela de par son libellé, lequel précise que la disposition l</w:t>
      </w:r>
      <w:r w:rsidR="00C03762">
        <w:t>’</w:t>
      </w:r>
      <w:r w:rsidR="002F467C" w:rsidRPr="00393D65">
        <w:t xml:space="preserve">emporte sur </w:t>
      </w:r>
      <w:r w:rsidR="002F467C" w:rsidRPr="00393D65">
        <w:rPr>
          <w:color w:val="000000"/>
        </w:rPr>
        <w:t xml:space="preserve">tout autre texte législatif fédéral, tout texte législatif provincial ou « toute autre règle de droit » </w:t>
      </w:r>
      <w:r w:rsidR="002F467C" w:rsidRPr="00C3539A">
        <w:rPr>
          <w:color w:val="000000"/>
        </w:rPr>
        <w:t>sauf la</w:t>
      </w:r>
      <w:r w:rsidR="002F467C" w:rsidRPr="00393D65">
        <w:rPr>
          <w:i/>
          <w:color w:val="000000"/>
        </w:rPr>
        <w:t xml:space="preserve"> LFI</w:t>
      </w:r>
      <w:r w:rsidR="002F467C" w:rsidRPr="00393D65">
        <w:t>.</w:t>
      </w:r>
      <w:r w:rsidRPr="00393D65">
        <w:rPr>
          <w:lang w:val="fr-FR"/>
        </w:rPr>
        <w:t xml:space="preserve"> </w:t>
      </w:r>
      <w:r w:rsidR="0009712D" w:rsidRPr="00393D65">
        <w:rPr>
          <w:lang w:val="fr-FR"/>
        </w:rPr>
        <w:t xml:space="preserve"> </w:t>
      </w:r>
      <w:r w:rsidR="002F467C" w:rsidRPr="00393D65">
        <w:rPr>
          <w:lang w:val="fr-FR"/>
        </w:rPr>
        <w:t xml:space="preserve">Le paragraphe 18.3(1) de la </w:t>
      </w:r>
      <w:r w:rsidR="002F467C" w:rsidRPr="00393D65">
        <w:rPr>
          <w:i/>
          <w:lang w:val="fr-FR"/>
        </w:rPr>
        <w:t>LACC</w:t>
      </w:r>
      <w:r w:rsidR="002F467C" w:rsidRPr="00393D65">
        <w:rPr>
          <w:lang w:val="fr-FR"/>
        </w:rPr>
        <w:t xml:space="preserve"> est par conséquent rendu inopérant aux fins d</w:t>
      </w:r>
      <w:r w:rsidR="00C03762">
        <w:rPr>
          <w:lang w:val="fr-FR"/>
        </w:rPr>
        <w:t>’</w:t>
      </w:r>
      <w:r w:rsidR="002F467C" w:rsidRPr="00393D65">
        <w:rPr>
          <w:lang w:val="fr-FR"/>
        </w:rPr>
        <w:t>application du par. 222(3)</w:t>
      </w:r>
      <w:r w:rsidR="00A046A5" w:rsidRPr="00393D65">
        <w:rPr>
          <w:lang w:val="fr-FR"/>
        </w:rPr>
        <w:t xml:space="preserve">. </w:t>
      </w:r>
      <w:r w:rsidR="0009712D" w:rsidRPr="00393D65">
        <w:rPr>
          <w:lang w:val="fr-FR"/>
        </w:rPr>
        <w:t xml:space="preserve"> </w:t>
      </w:r>
      <w:r w:rsidR="00326CFC" w:rsidRPr="00393D65">
        <w:rPr>
          <w:lang w:val="fr-FR"/>
        </w:rPr>
        <w:t>S</w:t>
      </w:r>
      <w:r w:rsidR="00B741F7" w:rsidRPr="00393D65">
        <w:rPr>
          <w:lang w:val="fr-FR"/>
        </w:rPr>
        <w:t>e</w:t>
      </w:r>
      <w:r w:rsidR="0009712D" w:rsidRPr="00393D65">
        <w:rPr>
          <w:lang w:val="fr-FR"/>
        </w:rPr>
        <w:t>lon l</w:t>
      </w:r>
      <w:r w:rsidR="00C03762">
        <w:rPr>
          <w:lang w:val="fr-FR"/>
        </w:rPr>
        <w:t>’</w:t>
      </w:r>
      <w:r w:rsidR="0009712D" w:rsidRPr="00393D65">
        <w:rPr>
          <w:lang w:val="fr-FR"/>
        </w:rPr>
        <w:t>al</w:t>
      </w:r>
      <w:r w:rsidR="00C3539A">
        <w:rPr>
          <w:lang w:val="fr-FR"/>
        </w:rPr>
        <w:t>inéa</w:t>
      </w:r>
      <w:r w:rsidR="0009712D" w:rsidRPr="00393D65">
        <w:rPr>
          <w:lang w:val="fr-FR"/>
        </w:rPr>
        <w:t> </w:t>
      </w:r>
      <w:r w:rsidRPr="00393D65">
        <w:rPr>
          <w:lang w:val="fr-FR"/>
        </w:rPr>
        <w:t>44</w:t>
      </w:r>
      <w:r w:rsidRPr="00393D65">
        <w:rPr>
          <w:i/>
          <w:lang w:val="fr-FR"/>
        </w:rPr>
        <w:t>f</w:t>
      </w:r>
      <w:r w:rsidRPr="00393D65">
        <w:rPr>
          <w:lang w:val="fr-FR"/>
        </w:rPr>
        <w:t xml:space="preserve">) </w:t>
      </w:r>
      <w:r w:rsidR="00326CFC" w:rsidRPr="00393D65">
        <w:rPr>
          <w:lang w:val="fr-FR"/>
        </w:rPr>
        <w:t xml:space="preserve">de la </w:t>
      </w:r>
      <w:r w:rsidR="00326CFC" w:rsidRPr="00393D65">
        <w:rPr>
          <w:i/>
          <w:lang w:val="fr-FR"/>
        </w:rPr>
        <w:t>Loi d</w:t>
      </w:r>
      <w:r w:rsidR="00C03762">
        <w:rPr>
          <w:i/>
          <w:lang w:val="fr-FR"/>
        </w:rPr>
        <w:t>’</w:t>
      </w:r>
      <w:r w:rsidR="00326CFC" w:rsidRPr="00393D65">
        <w:rPr>
          <w:i/>
          <w:lang w:val="fr-FR"/>
        </w:rPr>
        <w:t>interprétation</w:t>
      </w:r>
      <w:r w:rsidR="00326CFC" w:rsidRPr="00393D65">
        <w:rPr>
          <w:lang w:val="fr-FR"/>
        </w:rPr>
        <w:t xml:space="preserve">, </w:t>
      </w:r>
      <w:r w:rsidR="00326CFC" w:rsidRPr="00393D65">
        <w:t>le fait que le par. 18.3(1) soit devenu le par. 37(1) à</w:t>
      </w:r>
      <w:r w:rsidR="0009712D" w:rsidRPr="00393D65">
        <w:t xml:space="preserve"> la suite de l</w:t>
      </w:r>
      <w:r w:rsidR="00C03762">
        <w:t>’</w:t>
      </w:r>
      <w:r w:rsidR="0009712D" w:rsidRPr="00393D65">
        <w:t>édiction du par. </w:t>
      </w:r>
      <w:r w:rsidR="00326CFC" w:rsidRPr="00393D65">
        <w:t xml:space="preserve">222(3) de la </w:t>
      </w:r>
      <w:r w:rsidR="00326CFC" w:rsidRPr="00393D65">
        <w:rPr>
          <w:i/>
        </w:rPr>
        <w:t>LTA</w:t>
      </w:r>
      <w:r w:rsidR="00326CFC" w:rsidRPr="00393D65">
        <w:t xml:space="preserve"> n</w:t>
      </w:r>
      <w:r w:rsidR="00C03762">
        <w:t>’</w:t>
      </w:r>
      <w:r w:rsidR="00326CFC" w:rsidRPr="00393D65">
        <w:t>a aucune incidence sur l</w:t>
      </w:r>
      <w:r w:rsidR="00C03762">
        <w:t>’</w:t>
      </w:r>
      <w:r w:rsidR="00326CFC" w:rsidRPr="00393D65">
        <w:t>ordre chronologique du point de vue de l</w:t>
      </w:r>
      <w:r w:rsidR="00C03762">
        <w:t>’</w:t>
      </w:r>
      <w:r w:rsidR="00326CFC" w:rsidRPr="00393D65">
        <w:t xml:space="preserve">interprétation, et le par. 222(3) de la </w:t>
      </w:r>
      <w:r w:rsidR="00326CFC" w:rsidRPr="00393D65">
        <w:rPr>
          <w:i/>
        </w:rPr>
        <w:t xml:space="preserve">LTA </w:t>
      </w:r>
      <w:r w:rsidR="00326CFC" w:rsidRPr="00393D65">
        <w:t xml:space="preserve">demeure la disposition « postérieure ». </w:t>
      </w:r>
      <w:r w:rsidRPr="00393D65">
        <w:rPr>
          <w:color w:val="000000"/>
          <w:lang w:val="fr-FR"/>
        </w:rPr>
        <w:t xml:space="preserve"> </w:t>
      </w:r>
      <w:r w:rsidR="005151AB" w:rsidRPr="00393D65">
        <w:t>Il s</w:t>
      </w:r>
      <w:r w:rsidR="00C03762">
        <w:t>’</w:t>
      </w:r>
      <w:r w:rsidR="005151AB" w:rsidRPr="00393D65">
        <w:t>ensuit que la disposition créant une fiducie réputée que l</w:t>
      </w:r>
      <w:r w:rsidR="00C03762">
        <w:t>’</w:t>
      </w:r>
      <w:r w:rsidR="005151AB" w:rsidRPr="00393D65">
        <w:t xml:space="preserve">on trouve au par. 222(3) de la </w:t>
      </w:r>
      <w:r w:rsidR="005151AB" w:rsidRPr="00393D65">
        <w:rPr>
          <w:i/>
        </w:rPr>
        <w:t>LTA</w:t>
      </w:r>
      <w:r w:rsidR="005151AB" w:rsidRPr="00393D65">
        <w:t xml:space="preserve"> l</w:t>
      </w:r>
      <w:r w:rsidR="00C03762">
        <w:t>’</w:t>
      </w:r>
      <w:r w:rsidR="005151AB" w:rsidRPr="00393D65">
        <w:t>emporte sur le par. 18.3(1) dans le cadre d</w:t>
      </w:r>
      <w:r w:rsidR="00C03762">
        <w:t>’</w:t>
      </w:r>
      <w:r w:rsidR="005151AB" w:rsidRPr="00393D65">
        <w:t xml:space="preserve">une procédure fondée sur la </w:t>
      </w:r>
      <w:r w:rsidR="005151AB" w:rsidRPr="00393D65">
        <w:rPr>
          <w:i/>
        </w:rPr>
        <w:t>LACC</w:t>
      </w:r>
      <w:r w:rsidR="005151AB" w:rsidRPr="00393D65">
        <w:t xml:space="preserve">. </w:t>
      </w:r>
      <w:r w:rsidR="0009712D" w:rsidRPr="00393D65">
        <w:rPr>
          <w:lang w:val="fr-FR"/>
        </w:rPr>
        <w:t xml:space="preserve"> </w:t>
      </w:r>
      <w:r w:rsidR="005151AB" w:rsidRPr="00393D65">
        <w:t>Bien que l</w:t>
      </w:r>
      <w:r w:rsidR="00C03762">
        <w:t>’</w:t>
      </w:r>
      <w:r w:rsidR="005151AB" w:rsidRPr="00393D65">
        <w:t xml:space="preserve">art. 11 accorde au tribunal le pouvoir discrétionnaire de rendre des ordonnances malgré les dispositions de la </w:t>
      </w:r>
      <w:r w:rsidR="005151AB" w:rsidRPr="00393D65">
        <w:rPr>
          <w:i/>
        </w:rPr>
        <w:t xml:space="preserve">LFI </w:t>
      </w:r>
      <w:r w:rsidR="005151AB" w:rsidRPr="00393D65">
        <w:t xml:space="preserve">et de la </w:t>
      </w:r>
      <w:r w:rsidR="005151AB" w:rsidRPr="00393D65">
        <w:rPr>
          <w:i/>
          <w:color w:val="000000"/>
        </w:rPr>
        <w:t xml:space="preserve">Loi sur les </w:t>
      </w:r>
      <w:r w:rsidR="005151AB" w:rsidRPr="00393D65">
        <w:rPr>
          <w:i/>
        </w:rPr>
        <w:t>liquidations</w:t>
      </w:r>
      <w:r w:rsidR="005151AB" w:rsidRPr="00393D65">
        <w:rPr>
          <w:lang w:val="fr-FR"/>
        </w:rPr>
        <w:t>,</w:t>
      </w:r>
      <w:r w:rsidR="005151AB" w:rsidRPr="00393D65">
        <w:rPr>
          <w:color w:val="000000"/>
          <w:lang w:val="fr-FR"/>
        </w:rPr>
        <w:t xml:space="preserve"> </w:t>
      </w:r>
      <w:r w:rsidR="005151AB" w:rsidRPr="00393D65">
        <w:rPr>
          <w:lang w:val="fr-FR"/>
        </w:rPr>
        <w:t>ce pouvoir discrétionnaire demeure assujetti à l</w:t>
      </w:r>
      <w:r w:rsidR="00C03762">
        <w:rPr>
          <w:lang w:val="fr-FR"/>
        </w:rPr>
        <w:t>’</w:t>
      </w:r>
      <w:r w:rsidR="005151AB" w:rsidRPr="00393D65">
        <w:rPr>
          <w:lang w:val="fr-FR"/>
        </w:rPr>
        <w:t>application de toute autre loi fédérale</w:t>
      </w:r>
      <w:r w:rsidRPr="00393D65">
        <w:rPr>
          <w:lang w:val="fr-FR"/>
        </w:rPr>
        <w:t>.</w:t>
      </w:r>
      <w:r w:rsidR="0009712D" w:rsidRPr="00393D65">
        <w:rPr>
          <w:lang w:val="fr-FR"/>
        </w:rPr>
        <w:t xml:space="preserve"> </w:t>
      </w:r>
      <w:r w:rsidR="005151AB" w:rsidRPr="00393D65">
        <w:rPr>
          <w:lang w:val="fr-FR"/>
        </w:rPr>
        <w:t xml:space="preserve"> </w:t>
      </w:r>
      <w:r w:rsidR="005151AB" w:rsidRPr="00393D65">
        <w:lastRenderedPageBreak/>
        <w:t>L</w:t>
      </w:r>
      <w:r w:rsidR="00C03762">
        <w:t>’</w:t>
      </w:r>
      <w:r w:rsidR="005151AB" w:rsidRPr="00393D65">
        <w:t xml:space="preserve">exercice de ce pouvoir discrétionnaire est donc circonscrit par les limites imposées par toute loi </w:t>
      </w:r>
      <w:r w:rsidR="005151AB" w:rsidRPr="005424F4">
        <w:t>autre</w:t>
      </w:r>
      <w:r w:rsidR="005151AB" w:rsidRPr="00393D65">
        <w:t xml:space="preserve"> que la </w:t>
      </w:r>
      <w:r w:rsidR="005151AB" w:rsidRPr="00393D65">
        <w:rPr>
          <w:i/>
        </w:rPr>
        <w:t xml:space="preserve">LFI </w:t>
      </w:r>
      <w:r w:rsidR="005151AB" w:rsidRPr="00393D65">
        <w:t xml:space="preserve">et la </w:t>
      </w:r>
      <w:r w:rsidR="005151AB" w:rsidRPr="00393D65">
        <w:rPr>
          <w:i/>
          <w:color w:val="000000"/>
        </w:rPr>
        <w:t>Loi sur les liquidations</w:t>
      </w:r>
      <w:r w:rsidR="005151AB" w:rsidRPr="00393D65">
        <w:rPr>
          <w:color w:val="000000"/>
        </w:rPr>
        <w:t xml:space="preserve">, et donc par la </w:t>
      </w:r>
      <w:r w:rsidR="005151AB" w:rsidRPr="00393D65">
        <w:rPr>
          <w:i/>
        </w:rPr>
        <w:t>LTA</w:t>
      </w:r>
      <w:r w:rsidR="005151AB" w:rsidRPr="00393D65">
        <w:t>.</w:t>
      </w:r>
      <w:r w:rsidRPr="00393D65">
        <w:rPr>
          <w:lang w:val="fr-FR"/>
        </w:rPr>
        <w:t xml:space="preserve"> </w:t>
      </w:r>
      <w:r w:rsidR="00AE6A6F" w:rsidRPr="00393D65">
        <w:rPr>
          <w:lang w:val="fr-FR"/>
        </w:rPr>
        <w:t xml:space="preserve"> </w:t>
      </w:r>
      <w:r w:rsidR="005151AB" w:rsidRPr="00393D65">
        <w:t>En l</w:t>
      </w:r>
      <w:r w:rsidR="00C03762">
        <w:t>’</w:t>
      </w:r>
      <w:r w:rsidR="005151AB" w:rsidRPr="00393D65">
        <w:t xml:space="preserve">espèce, le juge siégeant en son cabinet était donc tenu de respecter le régime de priorités établi au par. 222(3) de la </w:t>
      </w:r>
      <w:r w:rsidR="005151AB" w:rsidRPr="00393D65">
        <w:rPr>
          <w:i/>
        </w:rPr>
        <w:t>LTA</w:t>
      </w:r>
      <w:r w:rsidR="005151AB" w:rsidRPr="00393D65">
        <w:t xml:space="preserve">. </w:t>
      </w:r>
      <w:r w:rsidR="00765D31" w:rsidRPr="00393D65">
        <w:t xml:space="preserve"> </w:t>
      </w:r>
      <w:r w:rsidR="005151AB" w:rsidRPr="00393D65">
        <w:t>Ni le par. 18.3(1)</w:t>
      </w:r>
      <w:r w:rsidR="00B741F7" w:rsidRPr="00393D65">
        <w:t>,</w:t>
      </w:r>
      <w:r w:rsidR="005151AB" w:rsidRPr="00393D65">
        <w:t xml:space="preserve"> ni l</w:t>
      </w:r>
      <w:r w:rsidR="00C03762">
        <w:t>’</w:t>
      </w:r>
      <w:r w:rsidR="005151AB" w:rsidRPr="00393D65">
        <w:t xml:space="preserve">art. 11 de la </w:t>
      </w:r>
      <w:r w:rsidR="005151AB" w:rsidRPr="00393D65">
        <w:rPr>
          <w:i/>
        </w:rPr>
        <w:t>LACC</w:t>
      </w:r>
      <w:r w:rsidR="005151AB" w:rsidRPr="00393D65">
        <w:t xml:space="preserve"> ne l</w:t>
      </w:r>
      <w:r w:rsidR="00C03762">
        <w:t>’</w:t>
      </w:r>
      <w:r w:rsidR="005151AB" w:rsidRPr="00393D65">
        <w:t xml:space="preserve">autorisaient à en faire abstraction. </w:t>
      </w:r>
      <w:r w:rsidR="00765D31" w:rsidRPr="00393D65">
        <w:t xml:space="preserve"> </w:t>
      </w:r>
      <w:r w:rsidR="005151AB" w:rsidRPr="00393D65">
        <w:t xml:space="preserve">Par conséquent, il ne pouvait pas refuser la demande présentée par la Couronne en vue de se faire payer la TPS dans le cadre de la procédure introduite en vertu de la </w:t>
      </w:r>
      <w:r w:rsidR="005151AB" w:rsidRPr="00393D65">
        <w:rPr>
          <w:i/>
        </w:rPr>
        <w:t>LACC</w:t>
      </w:r>
      <w:r w:rsidR="005151AB" w:rsidRPr="00393D65">
        <w:t>.</w:t>
      </w:r>
      <w:r w:rsidR="009B57B3" w:rsidRPr="00393D65">
        <w:rPr>
          <w:lang w:val="fr-FR"/>
        </w:rPr>
        <w:tab/>
      </w:r>
    </w:p>
    <w:p w:rsidR="005151AB" w:rsidRPr="00393D65" w:rsidRDefault="005151AB" w:rsidP="00000CE0">
      <w:pPr>
        <w:pStyle w:val="SCCNormalDoubleSpacing"/>
        <w:rPr>
          <w:b/>
        </w:rPr>
      </w:pPr>
    </w:p>
    <w:p w:rsidR="007834A8" w:rsidRPr="00393D65" w:rsidRDefault="0043088E" w:rsidP="00000CE0">
      <w:pPr>
        <w:pStyle w:val="SCCNormalDoubleSpacing"/>
        <w:keepNext/>
      </w:pPr>
      <w:r w:rsidRPr="00393D65">
        <w:rPr>
          <w:b/>
        </w:rPr>
        <w:t>Jurisprudence</w:t>
      </w:r>
    </w:p>
    <w:p w:rsidR="00561C0B" w:rsidRPr="00393D65" w:rsidRDefault="00561C0B" w:rsidP="00000CE0">
      <w:pPr>
        <w:keepNext/>
        <w:spacing w:line="480" w:lineRule="auto"/>
        <w:jc w:val="both"/>
      </w:pPr>
    </w:p>
    <w:p w:rsidR="00561C0B" w:rsidRPr="00393D65" w:rsidRDefault="00561C0B" w:rsidP="00000CE0">
      <w:pPr>
        <w:keepNext/>
        <w:spacing w:line="480" w:lineRule="auto"/>
        <w:jc w:val="both"/>
      </w:pPr>
      <w:r w:rsidRPr="00393D65">
        <w:t>Citée par la juge Deschamps</w:t>
      </w:r>
    </w:p>
    <w:p w:rsidR="00561C0B" w:rsidRPr="00393D65" w:rsidRDefault="00561C0B" w:rsidP="00000CE0">
      <w:pPr>
        <w:keepNext/>
        <w:spacing w:line="480" w:lineRule="auto"/>
        <w:jc w:val="both"/>
      </w:pPr>
    </w:p>
    <w:p w:rsidR="002E6705" w:rsidRPr="00393D65" w:rsidRDefault="002E6705" w:rsidP="00AF6753">
      <w:pPr>
        <w:spacing w:line="480" w:lineRule="auto"/>
        <w:jc w:val="both"/>
      </w:pPr>
      <w:r w:rsidRPr="00393D65">
        <w:tab/>
      </w:r>
      <w:r w:rsidR="003F038A" w:rsidRPr="00393D65">
        <w:rPr>
          <w:b/>
          <w:lang w:val="en-US"/>
        </w:rPr>
        <w:t>Arrêt</w:t>
      </w:r>
      <w:r w:rsidR="0043088E" w:rsidRPr="00393D65">
        <w:rPr>
          <w:b/>
          <w:lang w:val="en-US"/>
        </w:rPr>
        <w:t xml:space="preserve"> </w:t>
      </w:r>
      <w:r w:rsidR="003F038A" w:rsidRPr="00393D65">
        <w:rPr>
          <w:b/>
          <w:lang w:val="en-US"/>
        </w:rPr>
        <w:t>renversé</w:t>
      </w:r>
      <w:r w:rsidR="00F33658" w:rsidRPr="00393D65">
        <w:rPr>
          <w:b/>
          <w:lang w:val="en-US"/>
        </w:rPr>
        <w:t> </w:t>
      </w:r>
      <w:r w:rsidRPr="00393D65">
        <w:rPr>
          <w:b/>
          <w:lang w:val="en-US"/>
        </w:rPr>
        <w:t>:</w:t>
      </w:r>
      <w:r w:rsidR="00172A04" w:rsidRPr="00393D65">
        <w:rPr>
          <w:lang w:val="en-US"/>
        </w:rPr>
        <w:t xml:space="preserve"> </w:t>
      </w:r>
      <w:r w:rsidR="00AF6753" w:rsidRPr="00393D65">
        <w:rPr>
          <w:i/>
          <w:lang w:val="en-US"/>
        </w:rPr>
        <w:t xml:space="preserve">Ottawa Senators Hockey Club Corp. </w:t>
      </w:r>
      <w:r w:rsidR="00AF6753" w:rsidRPr="00393D65">
        <w:rPr>
          <w:i/>
          <w:lang w:val="fr-FR"/>
        </w:rPr>
        <w:t>(Re)</w:t>
      </w:r>
      <w:r w:rsidR="00AF6753" w:rsidRPr="00393D65">
        <w:rPr>
          <w:lang w:val="fr-FR"/>
        </w:rPr>
        <w:t xml:space="preserve"> (2005), 73 O.R. (3d) 737; </w:t>
      </w:r>
      <w:r w:rsidR="00CF36DC" w:rsidRPr="00393D65">
        <w:rPr>
          <w:b/>
          <w:lang w:val="fr-FR"/>
        </w:rPr>
        <w:t>distinction d</w:t>
      </w:r>
      <w:r w:rsidR="00C03762">
        <w:rPr>
          <w:b/>
          <w:lang w:val="fr-FR"/>
        </w:rPr>
        <w:t>’</w:t>
      </w:r>
      <w:r w:rsidR="00CF36DC" w:rsidRPr="00393D65">
        <w:rPr>
          <w:b/>
          <w:lang w:val="fr-FR"/>
        </w:rPr>
        <w:t>avec l</w:t>
      </w:r>
      <w:r w:rsidR="00C03762">
        <w:rPr>
          <w:b/>
          <w:lang w:val="fr-FR"/>
        </w:rPr>
        <w:t>’</w:t>
      </w:r>
      <w:r w:rsidR="00CF36DC" w:rsidRPr="00393D65">
        <w:rPr>
          <w:b/>
          <w:lang w:val="fr-FR"/>
        </w:rPr>
        <w:t xml:space="preserve">arrêt : </w:t>
      </w:r>
      <w:r w:rsidR="00CF36DC" w:rsidRPr="00393D65">
        <w:rPr>
          <w:i/>
          <w:lang w:val="fr-FR"/>
        </w:rPr>
        <w:t>Doré c. Verdun (Ville)</w:t>
      </w:r>
      <w:r w:rsidR="00CF36DC" w:rsidRPr="00393D65">
        <w:rPr>
          <w:lang w:val="fr-FR"/>
        </w:rPr>
        <w:t xml:space="preserve">, [1997] 2 R.C.S. 862; </w:t>
      </w:r>
      <w:r w:rsidR="00CF36DC" w:rsidRPr="00393D65">
        <w:rPr>
          <w:b/>
          <w:lang w:val="fr-FR"/>
        </w:rPr>
        <w:t xml:space="preserve">arrêts mentionnés : </w:t>
      </w:r>
      <w:r w:rsidR="00AF6753" w:rsidRPr="00393D65">
        <w:rPr>
          <w:i/>
          <w:lang w:val="fr-FR"/>
        </w:rPr>
        <w:t>Reference re Companies</w:t>
      </w:r>
      <w:r w:rsidR="00C03762">
        <w:rPr>
          <w:i/>
          <w:lang w:val="fr-FR"/>
        </w:rPr>
        <w:t>’</w:t>
      </w:r>
      <w:r w:rsidR="00AF6753" w:rsidRPr="00393D65">
        <w:rPr>
          <w:i/>
          <w:lang w:val="fr-FR"/>
        </w:rPr>
        <w:t xml:space="preserve"> Creditors Arrangement Act</w:t>
      </w:r>
      <w:r w:rsidR="00AF6753" w:rsidRPr="00393D65">
        <w:rPr>
          <w:lang w:val="fr-FR"/>
        </w:rPr>
        <w:t>, [1934] R.C.S. 659;</w:t>
      </w:r>
      <w:r w:rsidR="00F30919" w:rsidRPr="00393D65">
        <w:rPr>
          <w:lang w:val="fr-FR"/>
        </w:rPr>
        <w:t xml:space="preserve"> </w:t>
      </w:r>
      <w:r w:rsidR="00F30919" w:rsidRPr="00393D65">
        <w:rPr>
          <w:i/>
          <w:lang w:val="fr-FR"/>
        </w:rPr>
        <w:t>Québec (Revenu) c. Caisse populaire Desjardins de Montmagny</w:t>
      </w:r>
      <w:r w:rsidR="00F30919" w:rsidRPr="00393D65">
        <w:rPr>
          <w:lang w:val="fr-FR"/>
        </w:rPr>
        <w:t xml:space="preserve">, 2009 CSC 49, [2009] 3 R.C.S. 286; </w:t>
      </w:r>
      <w:r w:rsidR="00F30919" w:rsidRPr="00393D65">
        <w:rPr>
          <w:i/>
          <w:lang w:val="fr-FR"/>
        </w:rPr>
        <w:t>Sous</w:t>
      </w:r>
      <w:r w:rsidR="00000CE0" w:rsidRPr="00393D65">
        <w:rPr>
          <w:i/>
          <w:lang w:val="fr-FR"/>
        </w:rPr>
        <w:noBreakHyphen/>
      </w:r>
      <w:r w:rsidR="00F30919" w:rsidRPr="00393D65">
        <w:rPr>
          <w:i/>
          <w:lang w:val="fr-FR"/>
        </w:rPr>
        <w:t>ministre du Revenu c. Rainville</w:t>
      </w:r>
      <w:r w:rsidR="00F30919" w:rsidRPr="00393D65">
        <w:rPr>
          <w:lang w:val="fr-FR"/>
        </w:rPr>
        <w:t>, [1980] 1 R.C.S. 35;</w:t>
      </w:r>
      <w:r w:rsidR="00AF6753" w:rsidRPr="00393D65">
        <w:rPr>
          <w:lang w:val="fr-FR"/>
        </w:rPr>
        <w:t xml:space="preserve"> </w:t>
      </w:r>
      <w:r w:rsidR="00AF6753" w:rsidRPr="00393D65">
        <w:rPr>
          <w:i/>
          <w:lang w:val="fr-FR"/>
        </w:rPr>
        <w:t>Gauntlet Energy Corp., Re</w:t>
      </w:r>
      <w:r w:rsidR="00AF6753" w:rsidRPr="00393D65">
        <w:rPr>
          <w:lang w:val="fr-FR"/>
        </w:rPr>
        <w:t>, 2003 ABQB 894, 30 Alta. L.R. (4th) 192;</w:t>
      </w:r>
      <w:r w:rsidR="00906DFE" w:rsidRPr="00393D65">
        <w:rPr>
          <w:i/>
          <w:lang w:val="fr-FR"/>
        </w:rPr>
        <w:t xml:space="preserve"> Komunik Corp. (Arrangement relatif à)</w:t>
      </w:r>
      <w:r w:rsidR="00906DFE" w:rsidRPr="00393D65">
        <w:rPr>
          <w:lang w:val="fr-FR"/>
        </w:rPr>
        <w:t>, 2009 QCCS 6332 (CanLII)</w:t>
      </w:r>
      <w:r w:rsidR="003F038A" w:rsidRPr="00393D65">
        <w:rPr>
          <w:lang w:val="fr-FR"/>
        </w:rPr>
        <w:t>, autorisation d</w:t>
      </w:r>
      <w:r w:rsidR="00C03762">
        <w:rPr>
          <w:lang w:val="fr-FR"/>
        </w:rPr>
        <w:t>’</w:t>
      </w:r>
      <w:r w:rsidR="003F038A" w:rsidRPr="00393D65">
        <w:rPr>
          <w:lang w:val="fr-FR"/>
        </w:rPr>
        <w:t>appel ac</w:t>
      </w:r>
      <w:r w:rsidR="006A387F">
        <w:rPr>
          <w:lang w:val="fr-FR"/>
        </w:rPr>
        <w:t>cordée</w:t>
      </w:r>
      <w:r w:rsidR="003F038A" w:rsidRPr="00393D65">
        <w:rPr>
          <w:lang w:val="fr-FR"/>
        </w:rPr>
        <w:t>, 2010 QCCA 183 (CanLII)</w:t>
      </w:r>
      <w:r w:rsidR="00906DFE" w:rsidRPr="00393D65">
        <w:rPr>
          <w:lang w:val="fr-FR"/>
        </w:rPr>
        <w:t xml:space="preserve">; </w:t>
      </w:r>
      <w:r w:rsidR="00906DFE" w:rsidRPr="00393D65">
        <w:rPr>
          <w:i/>
          <w:lang w:val="fr-FR"/>
        </w:rPr>
        <w:t>Banque Royale du Canada c. Sparrow Electric Corp.</w:t>
      </w:r>
      <w:r w:rsidR="00906DFE" w:rsidRPr="00393D65">
        <w:rPr>
          <w:lang w:val="fr-FR"/>
        </w:rPr>
        <w:t xml:space="preserve">, [1997] 1 R.C.S. 411; </w:t>
      </w:r>
      <w:r w:rsidR="00906DFE" w:rsidRPr="00393D65">
        <w:rPr>
          <w:i/>
          <w:lang w:val="fr-FR"/>
        </w:rPr>
        <w:t>First Vancouver Finance c. M.R.N.</w:t>
      </w:r>
      <w:r w:rsidR="00906DFE" w:rsidRPr="00393D65">
        <w:rPr>
          <w:lang w:val="fr-FR"/>
        </w:rPr>
        <w:t xml:space="preserve">, 2002 CSC 49, [2002] 2 R.C.S. 720; </w:t>
      </w:r>
      <w:r w:rsidR="00906DFE" w:rsidRPr="00393D65">
        <w:rPr>
          <w:i/>
          <w:lang w:val="fr-FR"/>
        </w:rPr>
        <w:t>Solid Resources Ltd., Re</w:t>
      </w:r>
      <w:r w:rsidR="00906DFE" w:rsidRPr="00393D65">
        <w:rPr>
          <w:lang w:val="fr-FR"/>
        </w:rPr>
        <w:t xml:space="preserve"> (2002), 40 C.B.R. (4th) 219; </w:t>
      </w:r>
      <w:r w:rsidR="00AF6753" w:rsidRPr="00393D65">
        <w:rPr>
          <w:i/>
          <w:lang w:val="fr-FR"/>
        </w:rPr>
        <w:t xml:space="preserve">Metcalfe &amp; Mansfield Alternative Investments II Corp. </w:t>
      </w:r>
      <w:r w:rsidR="00AF6753" w:rsidRPr="00393D65">
        <w:rPr>
          <w:i/>
          <w:lang w:val="en-US"/>
        </w:rPr>
        <w:t>(Re)</w:t>
      </w:r>
      <w:r w:rsidR="00AF6753" w:rsidRPr="00393D65">
        <w:rPr>
          <w:lang w:val="en-US"/>
        </w:rPr>
        <w:t xml:space="preserve">, 2008 ONCA 587, 92 O.R. (3d) </w:t>
      </w:r>
      <w:r w:rsidR="00AF6753" w:rsidRPr="00393D65">
        <w:rPr>
          <w:lang w:val="en-US"/>
        </w:rPr>
        <w:lastRenderedPageBreak/>
        <w:t xml:space="preserve">513; </w:t>
      </w:r>
      <w:r w:rsidR="00AF6753" w:rsidRPr="00393D65">
        <w:rPr>
          <w:i/>
          <w:lang w:val="en-US"/>
        </w:rPr>
        <w:t>Dylex Ltd., Re</w:t>
      </w:r>
      <w:r w:rsidR="00AF6753" w:rsidRPr="00393D65">
        <w:rPr>
          <w:lang w:val="en-US"/>
        </w:rPr>
        <w:t xml:space="preserve"> (1995), 31 C.B.R. (3d) 106; </w:t>
      </w:r>
      <w:r w:rsidR="00AF6753" w:rsidRPr="00393D65">
        <w:rPr>
          <w:i/>
          <w:lang w:val="en-US"/>
        </w:rPr>
        <w:t>Elan Corp. c. Comiskey</w:t>
      </w:r>
      <w:r w:rsidR="00AF6753" w:rsidRPr="00393D65">
        <w:rPr>
          <w:lang w:val="en-US"/>
        </w:rPr>
        <w:t xml:space="preserve"> (1990), 41 O.A.C. 282;</w:t>
      </w:r>
      <w:r w:rsidR="00121806" w:rsidRPr="00393D65">
        <w:rPr>
          <w:lang w:val="en-US"/>
        </w:rPr>
        <w:t xml:space="preserve"> </w:t>
      </w:r>
      <w:r w:rsidR="00121806" w:rsidRPr="00393D65">
        <w:rPr>
          <w:i/>
          <w:lang w:val="en-US"/>
        </w:rPr>
        <w:t>Chef Ready Foods Ltd. v. Hongkong Bank of Can.</w:t>
      </w:r>
      <w:r w:rsidR="00121806" w:rsidRPr="00393D65">
        <w:rPr>
          <w:lang w:val="en-US"/>
        </w:rPr>
        <w:t xml:space="preserve"> (1990), 51 B.C.L.R. (2d) 84;</w:t>
      </w:r>
      <w:r w:rsidR="00AF6753" w:rsidRPr="00393D65">
        <w:rPr>
          <w:lang w:val="en-US"/>
        </w:rPr>
        <w:t xml:space="preserve"> </w:t>
      </w:r>
      <w:r w:rsidR="00AF6753" w:rsidRPr="00393D65">
        <w:rPr>
          <w:i/>
          <w:lang w:val="en-US"/>
        </w:rPr>
        <w:t>Pacific National Lease Holding Corp</w:t>
      </w:r>
      <w:r w:rsidR="005424F4">
        <w:rPr>
          <w:i/>
          <w:lang w:val="en-US"/>
        </w:rPr>
        <w:t>.</w:t>
      </w:r>
      <w:r w:rsidR="00AF6753" w:rsidRPr="00393D65">
        <w:rPr>
          <w:i/>
          <w:lang w:val="en-US"/>
        </w:rPr>
        <w:t>, Re</w:t>
      </w:r>
      <w:r w:rsidR="00AF6753" w:rsidRPr="00393D65">
        <w:rPr>
          <w:lang w:val="en-US"/>
        </w:rPr>
        <w:t xml:space="preserve"> (1992), 19 B.C.A</w:t>
      </w:r>
      <w:r w:rsidR="005424F4">
        <w:rPr>
          <w:lang w:val="en-US"/>
        </w:rPr>
        <w:t>.</w:t>
      </w:r>
      <w:r w:rsidR="00AF6753" w:rsidRPr="00393D65">
        <w:rPr>
          <w:lang w:val="en-US"/>
        </w:rPr>
        <w:t xml:space="preserve">C. 134; </w:t>
      </w:r>
      <w:r w:rsidR="00AF6753" w:rsidRPr="00393D65">
        <w:rPr>
          <w:i/>
          <w:lang w:val="en-US"/>
        </w:rPr>
        <w:t>Canadian Airlines Corp., Re</w:t>
      </w:r>
      <w:r w:rsidR="00AF6753" w:rsidRPr="00393D65">
        <w:rPr>
          <w:lang w:val="en-US"/>
        </w:rPr>
        <w:t xml:space="preserve">, 2000 ABQB 442, 84 Alta. L.R. (3d) 9; </w:t>
      </w:r>
      <w:r w:rsidR="00AF6753" w:rsidRPr="00393D65">
        <w:rPr>
          <w:i/>
          <w:lang w:val="en-US"/>
        </w:rPr>
        <w:t>Air Canada, Re</w:t>
      </w:r>
      <w:r w:rsidR="00AF6753" w:rsidRPr="00393D65">
        <w:rPr>
          <w:lang w:val="en-US"/>
        </w:rPr>
        <w:t xml:space="preserve"> (2003), 42 C.B.R. (4th) 173; </w:t>
      </w:r>
      <w:r w:rsidR="00AF6753" w:rsidRPr="00393D65">
        <w:rPr>
          <w:i/>
          <w:lang w:val="en-US"/>
        </w:rPr>
        <w:t>Air Canada, Re</w:t>
      </w:r>
      <w:r w:rsidR="00AF6753" w:rsidRPr="00393D65">
        <w:rPr>
          <w:lang w:val="en-US"/>
        </w:rPr>
        <w:t xml:space="preserve">, 2003 CanLII 49366; </w:t>
      </w:r>
      <w:r w:rsidR="003F038A" w:rsidRPr="00393D65">
        <w:rPr>
          <w:i/>
          <w:lang w:val="en-US"/>
        </w:rPr>
        <w:t>Canadian Red Cross Society/</w:t>
      </w:r>
      <w:r w:rsidR="00AF6753" w:rsidRPr="00393D65">
        <w:rPr>
          <w:i/>
          <w:lang w:val="en-US"/>
        </w:rPr>
        <w:t>Société Canadienne de la Croix Rouge, Re</w:t>
      </w:r>
      <w:r w:rsidR="00AF6753" w:rsidRPr="00393D65">
        <w:rPr>
          <w:lang w:val="en-US"/>
        </w:rPr>
        <w:t xml:space="preserve"> (2000), 19 C.B.R. (4th) 158; </w:t>
      </w:r>
      <w:r w:rsidR="00AF6753" w:rsidRPr="00393D65">
        <w:rPr>
          <w:i/>
          <w:lang w:val="en-US"/>
        </w:rPr>
        <w:t>Skydome Corp., Re</w:t>
      </w:r>
      <w:r w:rsidR="00AF6753" w:rsidRPr="00393D65">
        <w:rPr>
          <w:lang w:val="en-US"/>
        </w:rPr>
        <w:t xml:space="preserve"> (1998), 16 C.B.R. (4th) 118; </w:t>
      </w:r>
      <w:r w:rsidR="00AF6753" w:rsidRPr="00393D65">
        <w:rPr>
          <w:i/>
          <w:lang w:val="en-US"/>
        </w:rPr>
        <w:t>United Used Auto &amp; Truck Parts Ltd., Re</w:t>
      </w:r>
      <w:r w:rsidR="00AF6753" w:rsidRPr="00393D65">
        <w:rPr>
          <w:lang w:val="en-US"/>
        </w:rPr>
        <w:t xml:space="preserve">, 2000 BCCA 146, 135 B.C.A.C. 96, conf. (1999), 12 C.B.R. (4th) 144; </w:t>
      </w:r>
      <w:r w:rsidR="00AF6753" w:rsidRPr="00393D65">
        <w:rPr>
          <w:i/>
          <w:lang w:val="en-US"/>
        </w:rPr>
        <w:t>Skeena Cellulose Inc., Re</w:t>
      </w:r>
      <w:r w:rsidR="00AF6753" w:rsidRPr="00393D65">
        <w:rPr>
          <w:lang w:val="en-US"/>
        </w:rPr>
        <w:t xml:space="preserve">, 2003 BCCA 344, 13 B.C.L.R. (4th) 236; </w:t>
      </w:r>
      <w:r w:rsidR="00AF6753" w:rsidRPr="00393D65">
        <w:rPr>
          <w:i/>
          <w:lang w:val="en-US"/>
        </w:rPr>
        <w:t xml:space="preserve">Stelco Inc. </w:t>
      </w:r>
      <w:r w:rsidR="00C5116E" w:rsidRPr="00393D65">
        <w:rPr>
          <w:i/>
          <w:lang w:val="en-US"/>
        </w:rPr>
        <w:t>(</w:t>
      </w:r>
      <w:r w:rsidR="00AF6753" w:rsidRPr="00393D65">
        <w:rPr>
          <w:i/>
          <w:lang w:val="en-US"/>
        </w:rPr>
        <w:t>Re</w:t>
      </w:r>
      <w:r w:rsidR="00C5116E" w:rsidRPr="00393D65">
        <w:rPr>
          <w:i/>
          <w:lang w:val="en-US"/>
        </w:rPr>
        <w:t>)</w:t>
      </w:r>
      <w:r w:rsidR="00AF6753" w:rsidRPr="00393D65">
        <w:rPr>
          <w:lang w:val="en-US"/>
        </w:rPr>
        <w:t xml:space="preserve"> (2005), </w:t>
      </w:r>
      <w:r w:rsidR="00C5116E" w:rsidRPr="00393D65">
        <w:rPr>
          <w:lang w:val="en-US"/>
        </w:rPr>
        <w:t>75 O.R. (3d) 5</w:t>
      </w:r>
      <w:r w:rsidR="00AF6753" w:rsidRPr="00393D65">
        <w:rPr>
          <w:lang w:val="en-US"/>
        </w:rPr>
        <w:t xml:space="preserve">; </w:t>
      </w:r>
      <w:r w:rsidR="00AF6753" w:rsidRPr="00393D65">
        <w:rPr>
          <w:i/>
          <w:lang w:val="en-US"/>
        </w:rPr>
        <w:t>Philip</w:t>
      </w:r>
      <w:r w:rsidR="00C03762">
        <w:rPr>
          <w:i/>
          <w:lang w:val="en-US"/>
        </w:rPr>
        <w:t>’</w:t>
      </w:r>
      <w:r w:rsidR="00AF6753" w:rsidRPr="00393D65">
        <w:rPr>
          <w:i/>
          <w:lang w:val="en-US"/>
        </w:rPr>
        <w:t>s Manufacturing Ltd., Re</w:t>
      </w:r>
      <w:r w:rsidR="00AF6753" w:rsidRPr="00393D65">
        <w:rPr>
          <w:lang w:val="en-US"/>
        </w:rPr>
        <w:t xml:space="preserve"> (1992), 9 C.B.R. (3d) 25; </w:t>
      </w:r>
      <w:r w:rsidR="00AF6753" w:rsidRPr="00393D65">
        <w:rPr>
          <w:i/>
          <w:lang w:val="en-US"/>
        </w:rPr>
        <w:t xml:space="preserve">Ivaco Inc. </w:t>
      </w:r>
      <w:r w:rsidR="00AF6753" w:rsidRPr="00393D65">
        <w:rPr>
          <w:i/>
        </w:rPr>
        <w:t>(Re)</w:t>
      </w:r>
      <w:r w:rsidR="00906DFE" w:rsidRPr="00393D65">
        <w:t xml:space="preserve"> (2006), 83 O.R. (3d) 108</w:t>
      </w:r>
      <w:r w:rsidR="00AF6753" w:rsidRPr="00393D65">
        <w:t>.</w:t>
      </w:r>
    </w:p>
    <w:p w:rsidR="00561C0B" w:rsidRPr="00393D65" w:rsidRDefault="00561C0B" w:rsidP="00AF6753">
      <w:pPr>
        <w:spacing w:line="480" w:lineRule="auto"/>
        <w:jc w:val="both"/>
        <w:rPr>
          <w:b/>
        </w:rPr>
      </w:pPr>
    </w:p>
    <w:p w:rsidR="00561C0B" w:rsidRPr="00393D65" w:rsidRDefault="00561C0B" w:rsidP="00000CE0">
      <w:pPr>
        <w:pStyle w:val="SCCNormalDoubleSpacing"/>
        <w:keepNext/>
      </w:pPr>
      <w:r w:rsidRPr="00393D65">
        <w:t>Citée par le juge Fish</w:t>
      </w:r>
      <w:r w:rsidR="00CF36DC" w:rsidRPr="00393D65">
        <w:t xml:space="preserve"> </w:t>
      </w:r>
    </w:p>
    <w:p w:rsidR="00561C0B" w:rsidRPr="00393D65" w:rsidRDefault="00561C0B" w:rsidP="00000CE0">
      <w:pPr>
        <w:pStyle w:val="SCCNormalDoubleSpacing"/>
        <w:keepNext/>
      </w:pPr>
    </w:p>
    <w:p w:rsidR="00561C0B" w:rsidRPr="00393D65" w:rsidRDefault="00561C0B" w:rsidP="00561C0B">
      <w:pPr>
        <w:pStyle w:val="SCCNormalDoubleSpacing"/>
      </w:pPr>
      <w:r w:rsidRPr="00393D65">
        <w:tab/>
      </w:r>
      <w:r w:rsidRPr="00C03762">
        <w:rPr>
          <w:b/>
        </w:rPr>
        <w:t>Arrêt mentionné :</w:t>
      </w:r>
      <w:r w:rsidRPr="00C03762">
        <w:t xml:space="preserve"> </w:t>
      </w:r>
      <w:r w:rsidRPr="00C03762">
        <w:rPr>
          <w:i/>
        </w:rPr>
        <w:t xml:space="preserve">Ottawa Senators Hockey Club Corp. </w:t>
      </w:r>
      <w:r w:rsidRPr="00393D65">
        <w:rPr>
          <w:i/>
        </w:rPr>
        <w:t>(Re)</w:t>
      </w:r>
      <w:r w:rsidRPr="00393D65">
        <w:t xml:space="preserve"> (2005), 73 O.R. (3d) 737.</w:t>
      </w:r>
    </w:p>
    <w:p w:rsidR="00561C0B" w:rsidRPr="00393D65" w:rsidRDefault="00561C0B" w:rsidP="00561C0B">
      <w:pPr>
        <w:pStyle w:val="SCCNormalDoubleSpacing"/>
      </w:pPr>
    </w:p>
    <w:p w:rsidR="00561C0B" w:rsidRPr="00393D65" w:rsidRDefault="00561C0B" w:rsidP="00000CE0">
      <w:pPr>
        <w:pStyle w:val="SCCNormalDoubleSpacing"/>
        <w:keepNext/>
      </w:pPr>
      <w:r w:rsidRPr="00393D65">
        <w:t>Citée par la juge Abella</w:t>
      </w:r>
      <w:r w:rsidR="00FA69AB" w:rsidRPr="00393D65">
        <w:t xml:space="preserve"> (dissidente)</w:t>
      </w:r>
    </w:p>
    <w:p w:rsidR="00561C0B" w:rsidRPr="00393D65" w:rsidRDefault="00561C0B" w:rsidP="00000CE0">
      <w:pPr>
        <w:pStyle w:val="SCCNormalDoubleSpacing"/>
        <w:keepNext/>
      </w:pPr>
    </w:p>
    <w:p w:rsidR="00561C0B" w:rsidRPr="00393D65" w:rsidRDefault="00561C0B" w:rsidP="00561C0B">
      <w:pPr>
        <w:pStyle w:val="SCCNormalDoubleSpacing"/>
      </w:pPr>
      <w:r w:rsidRPr="00393D65">
        <w:tab/>
      </w:r>
      <w:r w:rsidRPr="00393D65">
        <w:rPr>
          <w:i/>
          <w:lang w:val="en-CA"/>
        </w:rPr>
        <w:t xml:space="preserve">Ottawa Senators Hockey Club Corp. </w:t>
      </w:r>
      <w:r w:rsidRPr="00393D65">
        <w:rPr>
          <w:i/>
        </w:rPr>
        <w:t>(Re)</w:t>
      </w:r>
      <w:r w:rsidRPr="00393D65">
        <w:t xml:space="preserve"> (2005), 73 O.R. (3d) 737; </w:t>
      </w:r>
      <w:r w:rsidRPr="00393D65">
        <w:rPr>
          <w:i/>
        </w:rPr>
        <w:t>Société Télé</w:t>
      </w:r>
      <w:r w:rsidR="00000CE0" w:rsidRPr="00393D65">
        <w:rPr>
          <w:i/>
        </w:rPr>
        <w:noBreakHyphen/>
      </w:r>
      <w:r w:rsidRPr="00393D65">
        <w:rPr>
          <w:i/>
        </w:rPr>
        <w:t>Mobile Co. c. Ontario</w:t>
      </w:r>
      <w:r w:rsidRPr="00393D65">
        <w:t xml:space="preserve">, 2008 CSC 12, [2008] 1 R.C.S. 305; </w:t>
      </w:r>
      <w:r w:rsidRPr="00393D65">
        <w:rPr>
          <w:i/>
        </w:rPr>
        <w:t>Doré c. Verdun (Ville)</w:t>
      </w:r>
      <w:r w:rsidR="003F038A" w:rsidRPr="00393D65">
        <w:t xml:space="preserve">, [1997] 2 R.C.S. 862; </w:t>
      </w:r>
      <w:r w:rsidR="003F038A" w:rsidRPr="00393D65">
        <w:rPr>
          <w:i/>
        </w:rPr>
        <w:t>Procureur général du Canada c. Commission des relations de travail dans la Fonction publique</w:t>
      </w:r>
      <w:r w:rsidR="004E487A" w:rsidRPr="00393D65">
        <w:t xml:space="preserve">, [1977] 2 C.F. </w:t>
      </w:r>
      <w:r w:rsidR="005424F4">
        <w:t>66</w:t>
      </w:r>
      <w:r w:rsidR="004E487A" w:rsidRPr="00393D65">
        <w:t>3.</w:t>
      </w:r>
    </w:p>
    <w:p w:rsidR="007834A8" w:rsidRPr="00393D65" w:rsidRDefault="007834A8" w:rsidP="00172A04">
      <w:pPr>
        <w:pStyle w:val="SCCNormalDoubleSpacing"/>
      </w:pPr>
    </w:p>
    <w:p w:rsidR="00231F3A" w:rsidRPr="00393D65" w:rsidRDefault="0043088E" w:rsidP="00000CE0">
      <w:pPr>
        <w:pStyle w:val="SCCNormalDoubleSpacing"/>
        <w:keepNext/>
        <w:rPr>
          <w:b/>
        </w:rPr>
      </w:pPr>
      <w:r w:rsidRPr="00393D65">
        <w:rPr>
          <w:b/>
        </w:rPr>
        <w:t>Lois</w:t>
      </w:r>
      <w:r w:rsidR="002E6705" w:rsidRPr="00393D65">
        <w:rPr>
          <w:b/>
        </w:rPr>
        <w:t xml:space="preserve"> </w:t>
      </w:r>
      <w:r w:rsidR="008A6558" w:rsidRPr="00393D65">
        <w:rPr>
          <w:b/>
        </w:rPr>
        <w:t>et</w:t>
      </w:r>
      <w:r w:rsidR="002E6705" w:rsidRPr="00393D65">
        <w:rPr>
          <w:b/>
        </w:rPr>
        <w:t xml:space="preserve"> </w:t>
      </w:r>
      <w:r w:rsidRPr="00393D65">
        <w:rPr>
          <w:b/>
        </w:rPr>
        <w:t>rè</w:t>
      </w:r>
      <w:r w:rsidR="002E6705" w:rsidRPr="00393D65">
        <w:rPr>
          <w:b/>
        </w:rPr>
        <w:t>gl</w:t>
      </w:r>
      <w:r w:rsidRPr="00393D65">
        <w:rPr>
          <w:b/>
        </w:rPr>
        <w:t>ements</w:t>
      </w:r>
      <w:r w:rsidR="002E6705" w:rsidRPr="00393D65">
        <w:rPr>
          <w:b/>
        </w:rPr>
        <w:t xml:space="preserve"> </w:t>
      </w:r>
      <w:r w:rsidRPr="00393D65">
        <w:rPr>
          <w:b/>
        </w:rPr>
        <w:t>c</w:t>
      </w:r>
      <w:r w:rsidR="002E6705" w:rsidRPr="00393D65">
        <w:rPr>
          <w:b/>
        </w:rPr>
        <w:t>it</w:t>
      </w:r>
      <w:r w:rsidRPr="00393D65">
        <w:rPr>
          <w:b/>
        </w:rPr>
        <w:t>és</w:t>
      </w:r>
    </w:p>
    <w:p w:rsidR="00000CE0" w:rsidRPr="00393D65" w:rsidRDefault="00000CE0" w:rsidP="00000CE0">
      <w:pPr>
        <w:pStyle w:val="SCCNormalDoubleSpacing"/>
        <w:keepNext/>
        <w:rPr>
          <w:b/>
        </w:rPr>
      </w:pPr>
    </w:p>
    <w:p w:rsidR="00561C0B" w:rsidRPr="00393D65" w:rsidRDefault="00561C0B" w:rsidP="00611EAC">
      <w:pPr>
        <w:pStyle w:val="SCCNormalDoubleSpacing"/>
        <w:spacing w:line="240" w:lineRule="auto"/>
        <w:ind w:left="540" w:hanging="540"/>
      </w:pPr>
      <w:r w:rsidRPr="00393D65">
        <w:rPr>
          <w:i/>
        </w:rPr>
        <w:t>Loi d</w:t>
      </w:r>
      <w:r w:rsidR="00C03762">
        <w:rPr>
          <w:i/>
        </w:rPr>
        <w:t>’</w:t>
      </w:r>
      <w:r w:rsidRPr="00393D65">
        <w:rPr>
          <w:i/>
        </w:rPr>
        <w:t>interprétation</w:t>
      </w:r>
      <w:r w:rsidR="008263C7" w:rsidRPr="00393D65">
        <w:t>, L.R.C. 1985, ch. I</w:t>
      </w:r>
      <w:r w:rsidR="00000CE0" w:rsidRPr="00393D65">
        <w:noBreakHyphen/>
      </w:r>
      <w:r w:rsidR="008263C7" w:rsidRPr="00393D65">
        <w:t>21, art. </w:t>
      </w:r>
      <w:r w:rsidR="004E487A" w:rsidRPr="00393D65">
        <w:t>2</w:t>
      </w:r>
      <w:r w:rsidR="00961B8C">
        <w:t xml:space="preserve"> « texte »</w:t>
      </w:r>
      <w:r w:rsidR="004E487A" w:rsidRPr="00393D65">
        <w:t xml:space="preserve">, </w:t>
      </w:r>
      <w:r w:rsidRPr="00393D65">
        <w:t>44</w:t>
      </w:r>
      <w:r w:rsidRPr="00393D65">
        <w:rPr>
          <w:i/>
        </w:rPr>
        <w:t>f</w:t>
      </w:r>
      <w:r w:rsidRPr="00393D65">
        <w:t>).</w:t>
      </w:r>
    </w:p>
    <w:p w:rsidR="00561C0B" w:rsidRPr="00393D65" w:rsidRDefault="00561C0B" w:rsidP="00611EAC">
      <w:pPr>
        <w:pStyle w:val="SCCNormalDoubleSpacing"/>
        <w:spacing w:line="240" w:lineRule="auto"/>
        <w:ind w:left="540" w:hanging="540"/>
      </w:pPr>
    </w:p>
    <w:p w:rsidR="00AA7E77" w:rsidRPr="00393D65" w:rsidRDefault="00AA7E77" w:rsidP="00AA7E77">
      <w:pPr>
        <w:pStyle w:val="SCCNormalDoubleSpacing"/>
        <w:spacing w:line="240" w:lineRule="auto"/>
        <w:ind w:left="540" w:hanging="540"/>
      </w:pPr>
      <w:r w:rsidRPr="00393D65">
        <w:rPr>
          <w:i/>
        </w:rPr>
        <w:t>Loi de l</w:t>
      </w:r>
      <w:r w:rsidR="00C03762">
        <w:rPr>
          <w:i/>
        </w:rPr>
        <w:t>’</w:t>
      </w:r>
      <w:r w:rsidRPr="00393D65">
        <w:rPr>
          <w:i/>
        </w:rPr>
        <w:t>impôt sur le revenu</w:t>
      </w:r>
      <w:r w:rsidRPr="00393D65">
        <w:t>, L.R.C. 1985, ch.</w:t>
      </w:r>
      <w:r w:rsidR="008263C7" w:rsidRPr="00393D65">
        <w:t> </w:t>
      </w:r>
      <w:r w:rsidRPr="00393D65">
        <w:t>1 (5</w:t>
      </w:r>
      <w:r w:rsidRPr="00393D65">
        <w:rPr>
          <w:vertAlign w:val="superscript"/>
        </w:rPr>
        <w:t>e</w:t>
      </w:r>
      <w:r w:rsidRPr="00393D65">
        <w:t xml:space="preserve"> suppl.), art.</w:t>
      </w:r>
      <w:r w:rsidR="008263C7" w:rsidRPr="00393D65">
        <w:t> </w:t>
      </w:r>
      <w:r w:rsidRPr="00393D65">
        <w:t>227(4), (4.1).</w:t>
      </w:r>
    </w:p>
    <w:p w:rsidR="00AA7E77" w:rsidRPr="00393D65" w:rsidRDefault="00AA7E77" w:rsidP="00AA7E77">
      <w:pPr>
        <w:pStyle w:val="SCCNormalDoubleSpacing"/>
        <w:spacing w:line="240" w:lineRule="auto"/>
        <w:ind w:left="540" w:hanging="540"/>
      </w:pPr>
    </w:p>
    <w:p w:rsidR="000C724E" w:rsidRPr="00393D65" w:rsidRDefault="000C724E" w:rsidP="00AA7E77">
      <w:pPr>
        <w:pStyle w:val="SCCNormalDoubleSpacing"/>
        <w:spacing w:line="240" w:lineRule="auto"/>
        <w:ind w:left="540" w:hanging="540"/>
      </w:pPr>
      <w:r w:rsidRPr="00393D65">
        <w:rPr>
          <w:i/>
        </w:rPr>
        <w:t>Loi édictant la Loi sur le Programme de protection des salariés et modifiant la Loi sur la faillite et l</w:t>
      </w:r>
      <w:r w:rsidR="00C03762">
        <w:rPr>
          <w:i/>
        </w:rPr>
        <w:t>’</w:t>
      </w:r>
      <w:r w:rsidRPr="00393D65">
        <w:rPr>
          <w:i/>
        </w:rPr>
        <w:t>insolvabilité, la Loi sur les arrangements avec les créanciers des compagnies et d</w:t>
      </w:r>
      <w:r w:rsidR="00C03762">
        <w:rPr>
          <w:i/>
        </w:rPr>
        <w:t>’</w:t>
      </w:r>
      <w:r w:rsidRPr="00393D65">
        <w:rPr>
          <w:i/>
        </w:rPr>
        <w:t>autres lois en conséquence</w:t>
      </w:r>
      <w:r w:rsidRPr="00393D65">
        <w:t>, L.C. 2005, ch. 47, art.</w:t>
      </w:r>
      <w:r w:rsidR="008263C7" w:rsidRPr="00393D65">
        <w:t> </w:t>
      </w:r>
      <w:r w:rsidR="004E487A" w:rsidRPr="00393D65">
        <w:t xml:space="preserve">69, </w:t>
      </w:r>
      <w:r w:rsidR="00C21252" w:rsidRPr="00393D65">
        <w:t>128, 131</w:t>
      </w:r>
      <w:r w:rsidRPr="00393D65">
        <w:t>.</w:t>
      </w:r>
      <w:r w:rsidR="004E487A" w:rsidRPr="00393D65">
        <w:t xml:space="preserve"> </w:t>
      </w:r>
    </w:p>
    <w:p w:rsidR="000C724E" w:rsidRPr="00393D65" w:rsidRDefault="000C724E" w:rsidP="00AA7E77">
      <w:pPr>
        <w:pStyle w:val="SCCNormalDoubleSpacing"/>
        <w:spacing w:line="240" w:lineRule="auto"/>
        <w:ind w:left="540" w:hanging="540"/>
      </w:pPr>
    </w:p>
    <w:p w:rsidR="00AA7E77" w:rsidRPr="00393D65" w:rsidRDefault="00AA7E77" w:rsidP="00AA7E77">
      <w:pPr>
        <w:pStyle w:val="SCCNormalDoubleSpacing"/>
        <w:spacing w:line="240" w:lineRule="auto"/>
        <w:ind w:left="540" w:hanging="540"/>
      </w:pPr>
      <w:r w:rsidRPr="00393D65">
        <w:rPr>
          <w:i/>
        </w:rPr>
        <w:t>Loi sur l</w:t>
      </w:r>
      <w:r w:rsidR="00C03762">
        <w:rPr>
          <w:i/>
        </w:rPr>
        <w:t>’</w:t>
      </w:r>
      <w:r w:rsidRPr="00393D65">
        <w:rPr>
          <w:i/>
        </w:rPr>
        <w:t>assurance</w:t>
      </w:r>
      <w:r w:rsidR="00000CE0" w:rsidRPr="00393D65">
        <w:rPr>
          <w:i/>
        </w:rPr>
        <w:noBreakHyphen/>
      </w:r>
      <w:r w:rsidRPr="00393D65">
        <w:rPr>
          <w:i/>
        </w:rPr>
        <w:t>emploi</w:t>
      </w:r>
      <w:r w:rsidRPr="00393D65">
        <w:t>, L.C. 1996, ch.</w:t>
      </w:r>
      <w:r w:rsidR="008263C7" w:rsidRPr="00393D65">
        <w:t> </w:t>
      </w:r>
      <w:r w:rsidRPr="00393D65">
        <w:t>23, art.</w:t>
      </w:r>
      <w:r w:rsidR="008263C7" w:rsidRPr="00393D65">
        <w:t> </w:t>
      </w:r>
      <w:r w:rsidRPr="00393D65">
        <w:t>86(2), (2.1).</w:t>
      </w:r>
    </w:p>
    <w:p w:rsidR="00AA7E77" w:rsidRPr="00393D65" w:rsidRDefault="00AA7E77" w:rsidP="00AA7E77">
      <w:pPr>
        <w:pStyle w:val="SCCNormalDoubleSpacing"/>
        <w:spacing w:line="240" w:lineRule="auto"/>
        <w:ind w:left="540" w:hanging="540"/>
      </w:pPr>
    </w:p>
    <w:p w:rsidR="00AA7E77" w:rsidRPr="00393D65" w:rsidRDefault="00AA7E77" w:rsidP="00AA7E77">
      <w:pPr>
        <w:pStyle w:val="SCCNormalDoubleSpacing"/>
        <w:spacing w:line="240" w:lineRule="auto"/>
        <w:ind w:left="540" w:hanging="540"/>
        <w:rPr>
          <w:lang w:val="en-US"/>
        </w:rPr>
      </w:pPr>
      <w:r w:rsidRPr="00393D65">
        <w:rPr>
          <w:i/>
        </w:rPr>
        <w:t>Loi sur la faillite et l</w:t>
      </w:r>
      <w:r w:rsidR="00C03762">
        <w:rPr>
          <w:i/>
        </w:rPr>
        <w:t>’</w:t>
      </w:r>
      <w:r w:rsidRPr="00393D65">
        <w:rPr>
          <w:i/>
        </w:rPr>
        <w:t>insolvabilité</w:t>
      </w:r>
      <w:r w:rsidRPr="00393D65">
        <w:t>, L.R.C. 1985, ch.</w:t>
      </w:r>
      <w:r w:rsidR="008263C7" w:rsidRPr="00393D65">
        <w:t> </w:t>
      </w:r>
      <w:r w:rsidRPr="00393D65">
        <w:rPr>
          <w:lang w:val="en-US"/>
        </w:rPr>
        <w:t>B</w:t>
      </w:r>
      <w:r w:rsidR="00000CE0" w:rsidRPr="00393D65">
        <w:rPr>
          <w:lang w:val="en-US"/>
        </w:rPr>
        <w:noBreakHyphen/>
      </w:r>
      <w:r w:rsidRPr="00393D65">
        <w:rPr>
          <w:lang w:val="en-US"/>
        </w:rPr>
        <w:t>3, art</w:t>
      </w:r>
      <w:r w:rsidR="008263C7" w:rsidRPr="00393D65">
        <w:rPr>
          <w:lang w:val="en-US"/>
        </w:rPr>
        <w:t>. </w:t>
      </w:r>
      <w:r w:rsidR="004E487A" w:rsidRPr="00393D65">
        <w:rPr>
          <w:lang w:val="en-US"/>
        </w:rPr>
        <w:t>67</w:t>
      </w:r>
      <w:r w:rsidRPr="00393D65">
        <w:rPr>
          <w:lang w:val="en-US"/>
        </w:rPr>
        <w:t>,</w:t>
      </w:r>
      <w:r w:rsidR="00961B8C">
        <w:rPr>
          <w:lang w:val="en-US"/>
        </w:rPr>
        <w:t xml:space="preserve"> 81.1, 81.2,</w:t>
      </w:r>
      <w:r w:rsidRPr="00393D65">
        <w:rPr>
          <w:lang w:val="en-US"/>
        </w:rPr>
        <w:t xml:space="preserve"> 86</w:t>
      </w:r>
      <w:r w:rsidR="004E487A" w:rsidRPr="00393D65">
        <w:rPr>
          <w:lang w:val="en-US"/>
        </w:rPr>
        <w:t xml:space="preserve"> [mod. </w:t>
      </w:r>
      <w:r w:rsidR="00961B8C">
        <w:rPr>
          <w:lang w:val="en-US"/>
        </w:rPr>
        <w:t>1992, ch. 27, art. 39; 1997, ch. 12,</w:t>
      </w:r>
      <w:r w:rsidR="00335EE5">
        <w:rPr>
          <w:lang w:val="en-US"/>
        </w:rPr>
        <w:t xml:space="preserve"> art. 73; 2000, ch. 30, art. 148;</w:t>
      </w:r>
      <w:r w:rsidR="00961B8C">
        <w:rPr>
          <w:lang w:val="en-US"/>
        </w:rPr>
        <w:t xml:space="preserve"> </w:t>
      </w:r>
      <w:r w:rsidR="004E487A" w:rsidRPr="00393D65">
        <w:rPr>
          <w:lang w:val="en-US"/>
        </w:rPr>
        <w:t>2005, ch. 47, art. 69</w:t>
      </w:r>
      <w:r w:rsidR="006708A9">
        <w:rPr>
          <w:lang w:val="en-US"/>
        </w:rPr>
        <w:t>;</w:t>
      </w:r>
      <w:r w:rsidR="00961B8C">
        <w:rPr>
          <w:lang w:val="en-US"/>
        </w:rPr>
        <w:t xml:space="preserve"> 2009, ch. 33, art. 25</w:t>
      </w:r>
      <w:r w:rsidR="004E487A" w:rsidRPr="00393D65">
        <w:rPr>
          <w:lang w:val="en-US"/>
        </w:rPr>
        <w:t>]</w:t>
      </w:r>
      <w:r w:rsidRPr="00393D65">
        <w:rPr>
          <w:lang w:val="en-US"/>
        </w:rPr>
        <w:t>.</w:t>
      </w:r>
    </w:p>
    <w:p w:rsidR="00AA7E77" w:rsidRPr="00393D65" w:rsidRDefault="00AA7E77" w:rsidP="00AA7E77">
      <w:pPr>
        <w:pStyle w:val="SCCNormalDoubleSpacing"/>
        <w:spacing w:line="240" w:lineRule="auto"/>
        <w:ind w:left="540" w:hanging="540"/>
        <w:rPr>
          <w:lang w:val="en-US"/>
        </w:rPr>
      </w:pPr>
    </w:p>
    <w:p w:rsidR="00AA7E77" w:rsidRDefault="00AA7E77" w:rsidP="00AA7E77">
      <w:pPr>
        <w:pStyle w:val="SCCNormalDoubleSpacing"/>
        <w:spacing w:line="240" w:lineRule="auto"/>
        <w:ind w:left="540" w:hanging="540"/>
      </w:pPr>
      <w:r w:rsidRPr="00393D65">
        <w:rPr>
          <w:i/>
        </w:rPr>
        <w:t>Loi sur la taxe d</w:t>
      </w:r>
      <w:r w:rsidR="00C03762">
        <w:rPr>
          <w:i/>
        </w:rPr>
        <w:t>’</w:t>
      </w:r>
      <w:r w:rsidRPr="00393D65">
        <w:rPr>
          <w:i/>
        </w:rPr>
        <w:t>accise</w:t>
      </w:r>
      <w:r w:rsidRPr="00393D65">
        <w:t>, L.R.C. 1985, ch</w:t>
      </w:r>
      <w:r w:rsidR="008263C7" w:rsidRPr="00393D65">
        <w:t>. </w:t>
      </w:r>
      <w:r w:rsidRPr="00393D65">
        <w:t>E</w:t>
      </w:r>
      <w:r w:rsidR="00000CE0" w:rsidRPr="00393D65">
        <w:noBreakHyphen/>
      </w:r>
      <w:r w:rsidRPr="00393D65">
        <w:t>15, art</w:t>
      </w:r>
      <w:r w:rsidR="008263C7" w:rsidRPr="00393D65">
        <w:t>. </w:t>
      </w:r>
      <w:r w:rsidRPr="00393D65">
        <w:t>222.</w:t>
      </w:r>
    </w:p>
    <w:p w:rsidR="00402BB2" w:rsidRPr="00393D65" w:rsidRDefault="00402BB2" w:rsidP="00AA7E77">
      <w:pPr>
        <w:pStyle w:val="SCCNormalDoubleSpacing"/>
        <w:spacing w:line="240" w:lineRule="auto"/>
        <w:ind w:left="540" w:hanging="540"/>
      </w:pPr>
    </w:p>
    <w:p w:rsidR="00AA7E77" w:rsidRPr="00CF54A9" w:rsidRDefault="00AA7E77" w:rsidP="00AA7E77">
      <w:pPr>
        <w:pStyle w:val="SCCNormalDoubleSpacing"/>
        <w:spacing w:line="240" w:lineRule="auto"/>
        <w:ind w:left="540" w:hanging="540"/>
        <w:rPr>
          <w:lang w:val="en-US"/>
        </w:rPr>
      </w:pPr>
      <w:r w:rsidRPr="00393D65">
        <w:rPr>
          <w:i/>
        </w:rPr>
        <w:t>Loi sur les arrangements avec les créanciers des compagnies</w:t>
      </w:r>
      <w:r w:rsidRPr="00393D65">
        <w:t>, L.R.C. 1985, ch.</w:t>
      </w:r>
      <w:r w:rsidR="008263C7" w:rsidRPr="00393D65">
        <w:t> </w:t>
      </w:r>
      <w:r w:rsidR="00765D31" w:rsidRPr="00CF54A9">
        <w:rPr>
          <w:lang w:val="en-US"/>
        </w:rPr>
        <w:t>C</w:t>
      </w:r>
      <w:r w:rsidR="00765D31" w:rsidRPr="00CF54A9">
        <w:rPr>
          <w:lang w:val="en-US"/>
        </w:rPr>
        <w:noBreakHyphen/>
      </w:r>
      <w:r w:rsidRPr="00CF54A9">
        <w:rPr>
          <w:lang w:val="en-US"/>
        </w:rPr>
        <w:t>36, art. 11</w:t>
      </w:r>
      <w:r w:rsidR="00CF54A9" w:rsidRPr="00CF54A9">
        <w:rPr>
          <w:lang w:val="en-US"/>
        </w:rPr>
        <w:t xml:space="preserve"> [mod. 2005, ch.</w:t>
      </w:r>
      <w:r w:rsidR="00CF54A9">
        <w:rPr>
          <w:lang w:val="en-US"/>
        </w:rPr>
        <w:t xml:space="preserve"> 47, art. 128], </w:t>
      </w:r>
      <w:r w:rsidR="00402BB2">
        <w:rPr>
          <w:lang w:val="en-US"/>
        </w:rPr>
        <w:t xml:space="preserve">11.02 [aj. </w:t>
      </w:r>
      <w:r w:rsidR="00402BB2" w:rsidRPr="00402BB2">
        <w:rPr>
          <w:i/>
          <w:lang w:val="en-US"/>
        </w:rPr>
        <w:t>idem</w:t>
      </w:r>
      <w:r w:rsidR="00402BB2">
        <w:rPr>
          <w:lang w:val="en-US"/>
        </w:rPr>
        <w:t xml:space="preserve">], </w:t>
      </w:r>
      <w:r w:rsidR="00CF54A9">
        <w:rPr>
          <w:lang w:val="en-US"/>
        </w:rPr>
        <w:t xml:space="preserve">11.09 [aj. </w:t>
      </w:r>
      <w:r w:rsidR="00CF54A9" w:rsidRPr="00CF54A9">
        <w:rPr>
          <w:i/>
          <w:lang w:val="en-US"/>
        </w:rPr>
        <w:t>idem</w:t>
      </w:r>
      <w:r w:rsidR="00CF54A9">
        <w:rPr>
          <w:lang w:val="en-US"/>
        </w:rPr>
        <w:t>]</w:t>
      </w:r>
      <w:r w:rsidRPr="00CF54A9">
        <w:rPr>
          <w:lang w:val="en-US"/>
        </w:rPr>
        <w:t>,</w:t>
      </w:r>
      <w:r w:rsidR="000C724E" w:rsidRPr="00CF54A9">
        <w:rPr>
          <w:lang w:val="en-US"/>
        </w:rPr>
        <w:t xml:space="preserve"> 11.4</w:t>
      </w:r>
      <w:r w:rsidR="00CF54A9">
        <w:rPr>
          <w:lang w:val="en-US"/>
        </w:rPr>
        <w:t xml:space="preserve"> [mod. </w:t>
      </w:r>
      <w:r w:rsidR="00CF54A9" w:rsidRPr="00CF54A9">
        <w:rPr>
          <w:i/>
          <w:lang w:val="en-US"/>
        </w:rPr>
        <w:t>idem</w:t>
      </w:r>
      <w:r w:rsidR="00CF54A9">
        <w:rPr>
          <w:lang w:val="en-US"/>
        </w:rPr>
        <w:t>]</w:t>
      </w:r>
      <w:r w:rsidR="000C724E" w:rsidRPr="00CF54A9">
        <w:rPr>
          <w:lang w:val="en-US"/>
        </w:rPr>
        <w:t>,</w:t>
      </w:r>
      <w:r w:rsidRPr="00CF54A9">
        <w:rPr>
          <w:lang w:val="en-US"/>
        </w:rPr>
        <w:t xml:space="preserve"> 18.3</w:t>
      </w:r>
      <w:r w:rsidR="00CF54A9">
        <w:rPr>
          <w:lang w:val="en-US"/>
        </w:rPr>
        <w:t xml:space="preserve"> [aj. 1997, ch. 12, art. 125; abr. 2005, ch. 47, art. 131]</w:t>
      </w:r>
      <w:r w:rsidRPr="00CF54A9">
        <w:rPr>
          <w:lang w:val="en-US"/>
        </w:rPr>
        <w:t>, 18.4</w:t>
      </w:r>
      <w:r w:rsidR="00CF54A9">
        <w:rPr>
          <w:lang w:val="en-US"/>
        </w:rPr>
        <w:t xml:space="preserve"> [</w:t>
      </w:r>
      <w:r w:rsidR="00CF54A9" w:rsidRPr="00CF54A9">
        <w:rPr>
          <w:i/>
          <w:lang w:val="en-US"/>
        </w:rPr>
        <w:t>idem</w:t>
      </w:r>
      <w:r w:rsidR="00CF54A9">
        <w:rPr>
          <w:lang w:val="en-US"/>
        </w:rPr>
        <w:t>]</w:t>
      </w:r>
      <w:r w:rsidRPr="00CF54A9">
        <w:rPr>
          <w:lang w:val="en-US"/>
        </w:rPr>
        <w:t xml:space="preserve">, </w:t>
      </w:r>
      <w:r w:rsidR="000C724E" w:rsidRPr="00CF54A9">
        <w:rPr>
          <w:lang w:val="en-US"/>
        </w:rPr>
        <w:t>20</w:t>
      </w:r>
      <w:r w:rsidR="004E487A" w:rsidRPr="00CF54A9">
        <w:rPr>
          <w:lang w:val="en-US"/>
        </w:rPr>
        <w:t xml:space="preserve"> [mod. 2005, ch. 47, art. 131]</w:t>
      </w:r>
      <w:r w:rsidR="000C724E" w:rsidRPr="00CF54A9">
        <w:rPr>
          <w:lang w:val="en-US"/>
        </w:rPr>
        <w:t xml:space="preserve">, </w:t>
      </w:r>
      <w:r w:rsidR="004E487A" w:rsidRPr="00CF54A9">
        <w:rPr>
          <w:lang w:val="en-US"/>
        </w:rPr>
        <w:t>21 [</w:t>
      </w:r>
      <w:r w:rsidR="00CF54A9">
        <w:rPr>
          <w:lang w:val="en-US"/>
        </w:rPr>
        <w:t>aj</w:t>
      </w:r>
      <w:r w:rsidR="004E487A" w:rsidRPr="00CF54A9">
        <w:rPr>
          <w:lang w:val="en-US"/>
        </w:rPr>
        <w:t>. 1997, ch. 12, art. 126</w:t>
      </w:r>
      <w:r w:rsidR="00CF54A9">
        <w:rPr>
          <w:lang w:val="en-US"/>
        </w:rPr>
        <w:t>; mod. 2005, ch. 47, art. 131], 37 [aj. 2005, ch. 47, art. 131]</w:t>
      </w:r>
      <w:r w:rsidR="004E487A" w:rsidRPr="00CF54A9">
        <w:rPr>
          <w:lang w:val="en-US"/>
        </w:rPr>
        <w:t>.</w:t>
      </w:r>
      <w:r w:rsidRPr="00CF54A9">
        <w:rPr>
          <w:lang w:val="en-US"/>
        </w:rPr>
        <w:t xml:space="preserve"> </w:t>
      </w:r>
    </w:p>
    <w:p w:rsidR="00402BB2" w:rsidRPr="0036271A" w:rsidRDefault="00402BB2" w:rsidP="00402BB2">
      <w:pPr>
        <w:pStyle w:val="SCCNormalDoubleSpacing"/>
        <w:spacing w:line="240" w:lineRule="auto"/>
        <w:ind w:left="540" w:hanging="540"/>
        <w:rPr>
          <w:lang w:val="en-US"/>
        </w:rPr>
      </w:pPr>
    </w:p>
    <w:p w:rsidR="00402BB2" w:rsidRPr="00393D65" w:rsidRDefault="00402BB2" w:rsidP="00402BB2">
      <w:pPr>
        <w:pStyle w:val="SCCNormalDoubleSpacing"/>
        <w:spacing w:line="240" w:lineRule="auto"/>
        <w:ind w:left="540" w:hanging="540"/>
      </w:pPr>
      <w:r w:rsidRPr="00393D65">
        <w:rPr>
          <w:i/>
        </w:rPr>
        <w:t>Loi sur les arrangements avec les créanciers des compagnies</w:t>
      </w:r>
      <w:r>
        <w:t>, S</w:t>
      </w:r>
      <w:r w:rsidRPr="00393D65">
        <w:t>.C. 1932</w:t>
      </w:r>
      <w:r w:rsidRPr="00393D65">
        <w:noBreakHyphen/>
        <w:t>33, ch. 36 [mod. 1952</w:t>
      </w:r>
      <w:r w:rsidRPr="00393D65">
        <w:noBreakHyphen/>
        <w:t>53, ch. 3].</w:t>
      </w:r>
    </w:p>
    <w:p w:rsidR="00402BB2" w:rsidRPr="00402BB2" w:rsidRDefault="00402BB2" w:rsidP="00AA7E77">
      <w:pPr>
        <w:pStyle w:val="SCCNormalDoubleSpacing"/>
        <w:spacing w:line="240" w:lineRule="auto"/>
        <w:ind w:left="540" w:hanging="540"/>
        <w:rPr>
          <w:i/>
        </w:rPr>
      </w:pPr>
    </w:p>
    <w:p w:rsidR="00AA7E77" w:rsidRPr="00402BB2" w:rsidRDefault="00AA7E77" w:rsidP="00AA7E77">
      <w:pPr>
        <w:pStyle w:val="SCCNormalDoubleSpacing"/>
        <w:spacing w:line="240" w:lineRule="auto"/>
        <w:ind w:left="540" w:hanging="540"/>
      </w:pPr>
      <w:r w:rsidRPr="00393D65">
        <w:rPr>
          <w:i/>
        </w:rPr>
        <w:t>Loi sur les liquidations</w:t>
      </w:r>
      <w:r w:rsidRPr="00393D65">
        <w:t>, L.R.C. 1985, ch.</w:t>
      </w:r>
      <w:r w:rsidR="008263C7" w:rsidRPr="00393D65">
        <w:t> </w:t>
      </w:r>
      <w:r w:rsidRPr="00402BB2">
        <w:t>W</w:t>
      </w:r>
      <w:r w:rsidR="00000CE0" w:rsidRPr="00402BB2">
        <w:noBreakHyphen/>
      </w:r>
      <w:r w:rsidRPr="00402BB2">
        <w:t>11.</w:t>
      </w:r>
    </w:p>
    <w:p w:rsidR="00AA7E77" w:rsidRPr="00961B8C" w:rsidRDefault="00AA7E77" w:rsidP="00AA7E77">
      <w:pPr>
        <w:pStyle w:val="SCCNormalDoubleSpacing"/>
        <w:spacing w:line="240" w:lineRule="auto"/>
        <w:ind w:left="540" w:hanging="540"/>
      </w:pPr>
    </w:p>
    <w:p w:rsidR="00AA7E77" w:rsidRPr="00961B8C" w:rsidRDefault="00AA7E77" w:rsidP="00AA7E77">
      <w:pPr>
        <w:pStyle w:val="SCCNormalDoubleSpacing"/>
        <w:spacing w:line="240" w:lineRule="auto"/>
        <w:ind w:left="540" w:hanging="540"/>
      </w:pPr>
      <w:r w:rsidRPr="00961B8C">
        <w:rPr>
          <w:i/>
        </w:rPr>
        <w:t>Régime de pensions du Canada</w:t>
      </w:r>
      <w:r w:rsidRPr="00961B8C">
        <w:t>, L.R.C. 1985, ch</w:t>
      </w:r>
      <w:r w:rsidR="008263C7" w:rsidRPr="00961B8C">
        <w:t>. </w:t>
      </w:r>
      <w:r w:rsidRPr="00961B8C">
        <w:t>C</w:t>
      </w:r>
      <w:r w:rsidR="00000CE0" w:rsidRPr="00961B8C">
        <w:noBreakHyphen/>
      </w:r>
      <w:r w:rsidRPr="00961B8C">
        <w:t>8, art</w:t>
      </w:r>
      <w:r w:rsidR="008263C7" w:rsidRPr="00961B8C">
        <w:t>. </w:t>
      </w:r>
      <w:r w:rsidR="004E487A" w:rsidRPr="00961B8C">
        <w:t>23</w:t>
      </w:r>
      <w:r w:rsidRPr="00961B8C">
        <w:t>.</w:t>
      </w:r>
    </w:p>
    <w:p w:rsidR="000A5321" w:rsidRPr="00961B8C" w:rsidRDefault="000A5321" w:rsidP="00D2650D">
      <w:pPr>
        <w:pStyle w:val="SCCNormalDoubleSpacing"/>
        <w:ind w:left="540" w:hanging="540"/>
      </w:pPr>
    </w:p>
    <w:p w:rsidR="002E6705" w:rsidRPr="00393D65" w:rsidRDefault="0043088E" w:rsidP="00000CE0">
      <w:pPr>
        <w:pStyle w:val="SCCNormalDoubleSpacing"/>
        <w:keepNext/>
        <w:rPr>
          <w:b/>
        </w:rPr>
      </w:pPr>
      <w:r w:rsidRPr="00393D65">
        <w:rPr>
          <w:b/>
        </w:rPr>
        <w:t>Doctrine</w:t>
      </w:r>
      <w:r w:rsidR="002E6705" w:rsidRPr="00393D65">
        <w:rPr>
          <w:b/>
        </w:rPr>
        <w:t xml:space="preserve"> </w:t>
      </w:r>
      <w:r w:rsidRPr="00393D65">
        <w:rPr>
          <w:b/>
        </w:rPr>
        <w:t>c</w:t>
      </w:r>
      <w:r w:rsidR="002E6705" w:rsidRPr="00393D65">
        <w:rPr>
          <w:b/>
        </w:rPr>
        <w:t>it</w:t>
      </w:r>
      <w:r w:rsidRPr="00393D65">
        <w:rPr>
          <w:b/>
        </w:rPr>
        <w:t>é</w:t>
      </w:r>
      <w:r w:rsidR="002E6705" w:rsidRPr="00393D65">
        <w:rPr>
          <w:b/>
        </w:rPr>
        <w:t>e</w:t>
      </w:r>
    </w:p>
    <w:p w:rsidR="00000CE0" w:rsidRPr="00393D65" w:rsidRDefault="00000CE0" w:rsidP="00000CE0">
      <w:pPr>
        <w:pStyle w:val="SCCNormalDoubleSpacing"/>
        <w:keepNext/>
        <w:rPr>
          <w:b/>
        </w:rPr>
      </w:pPr>
    </w:p>
    <w:p w:rsidR="000A5321" w:rsidRPr="00393D65" w:rsidRDefault="0083664A" w:rsidP="000A5321">
      <w:pPr>
        <w:pStyle w:val="SCCNormalDoubleSpacing"/>
        <w:spacing w:line="240" w:lineRule="auto"/>
        <w:ind w:left="540" w:hanging="540"/>
      </w:pPr>
      <w:r w:rsidRPr="00393D65">
        <w:t xml:space="preserve">Canada. </w:t>
      </w:r>
      <w:r w:rsidR="008263C7" w:rsidRPr="00393D65">
        <w:t xml:space="preserve"> </w:t>
      </w:r>
      <w:r w:rsidRPr="00393D65">
        <w:t xml:space="preserve">Chambre des communes. </w:t>
      </w:r>
      <w:r w:rsidR="00000CE0" w:rsidRPr="00393D65">
        <w:t xml:space="preserve"> </w:t>
      </w:r>
      <w:r w:rsidRPr="00393D65">
        <w:rPr>
          <w:i/>
        </w:rPr>
        <w:t>Procès</w:t>
      </w:r>
      <w:r w:rsidR="00000CE0" w:rsidRPr="00393D65">
        <w:rPr>
          <w:i/>
        </w:rPr>
        <w:noBreakHyphen/>
      </w:r>
      <w:r w:rsidRPr="00393D65">
        <w:rPr>
          <w:i/>
        </w:rPr>
        <w:t>verbaux et témoignages du Comité permanent des Consommateurs et Sociétés et Administration gouvernementale</w:t>
      </w:r>
      <w:r w:rsidRPr="00393D65">
        <w:t>, fascicule n</w:t>
      </w:r>
      <w:r w:rsidRPr="00393D65">
        <w:rPr>
          <w:vertAlign w:val="superscript"/>
        </w:rPr>
        <w:t>o</w:t>
      </w:r>
      <w:r w:rsidR="00000CE0" w:rsidRPr="00393D65">
        <w:t> </w:t>
      </w:r>
      <w:r w:rsidRPr="00393D65">
        <w:t xml:space="preserve">15, </w:t>
      </w:r>
      <w:r w:rsidR="00317060">
        <w:t>3</w:t>
      </w:r>
      <w:r w:rsidR="00317060" w:rsidRPr="00317060">
        <w:rPr>
          <w:vertAlign w:val="superscript"/>
        </w:rPr>
        <w:t>e</w:t>
      </w:r>
      <w:r w:rsidR="00317060">
        <w:t xml:space="preserve"> sess., 34</w:t>
      </w:r>
      <w:r w:rsidR="00317060" w:rsidRPr="00317060">
        <w:rPr>
          <w:vertAlign w:val="superscript"/>
        </w:rPr>
        <w:t>e</w:t>
      </w:r>
      <w:r w:rsidR="00317060">
        <w:t xml:space="preserve"> lég., </w:t>
      </w:r>
      <w:r w:rsidRPr="00393D65">
        <w:t>3</w:t>
      </w:r>
      <w:r w:rsidR="008263C7" w:rsidRPr="00393D65">
        <w:t> </w:t>
      </w:r>
      <w:r w:rsidRPr="00393D65">
        <w:t>octobre 1991, 15:15.</w:t>
      </w:r>
    </w:p>
    <w:p w:rsidR="00D652A1" w:rsidRPr="00393D65" w:rsidRDefault="00D652A1" w:rsidP="000A5321">
      <w:pPr>
        <w:pStyle w:val="SCCNormalDoubleSpacing"/>
        <w:spacing w:line="240" w:lineRule="auto"/>
        <w:ind w:left="540" w:hanging="540"/>
      </w:pPr>
    </w:p>
    <w:p w:rsidR="00D652A1" w:rsidRPr="00393D65" w:rsidRDefault="00D652A1" w:rsidP="000A5321">
      <w:pPr>
        <w:pStyle w:val="SCCNormalDoubleSpacing"/>
        <w:spacing w:line="240" w:lineRule="auto"/>
        <w:ind w:left="540" w:hanging="540"/>
      </w:pPr>
      <w:r w:rsidRPr="00393D65">
        <w:lastRenderedPageBreak/>
        <w:t xml:space="preserve">Canada. </w:t>
      </w:r>
      <w:r w:rsidR="008263C7" w:rsidRPr="00393D65">
        <w:t xml:space="preserve"> </w:t>
      </w:r>
      <w:r w:rsidRPr="00393D65">
        <w:t>Comité consultatif en matière de faillite et d</w:t>
      </w:r>
      <w:r w:rsidR="00C03762">
        <w:t>’</w:t>
      </w:r>
      <w:r w:rsidRPr="00393D65">
        <w:t xml:space="preserve">insolvabilité. </w:t>
      </w:r>
      <w:r w:rsidRPr="00393D65">
        <w:rPr>
          <w:i/>
        </w:rPr>
        <w:t>Propositions d</w:t>
      </w:r>
      <w:r w:rsidR="00C03762">
        <w:rPr>
          <w:i/>
        </w:rPr>
        <w:t>’</w:t>
      </w:r>
      <w:r w:rsidRPr="00393D65">
        <w:rPr>
          <w:i/>
        </w:rPr>
        <w:t>amendements à la Loi sur la faillite : Rapport du Comité consultatif en matière de faillite et d</w:t>
      </w:r>
      <w:r w:rsidR="00C03762">
        <w:rPr>
          <w:i/>
        </w:rPr>
        <w:t>’</w:t>
      </w:r>
      <w:r w:rsidRPr="00393D65">
        <w:rPr>
          <w:i/>
        </w:rPr>
        <w:t>insolvabilité</w:t>
      </w:r>
      <w:r w:rsidRPr="00393D65">
        <w:t>. Ottawa : Ministre des Approvisionnements et Services Canada, 198</w:t>
      </w:r>
      <w:r w:rsidR="006630B8" w:rsidRPr="00393D65">
        <w:t>6</w:t>
      </w:r>
      <w:r w:rsidR="00D81372" w:rsidRPr="00393D65">
        <w:t>.</w:t>
      </w:r>
    </w:p>
    <w:p w:rsidR="00D652A1" w:rsidRPr="00393D65" w:rsidRDefault="00D652A1" w:rsidP="000A5321">
      <w:pPr>
        <w:pStyle w:val="SCCNormalDoubleSpacing"/>
        <w:spacing w:line="240" w:lineRule="auto"/>
        <w:ind w:left="540" w:hanging="540"/>
      </w:pPr>
    </w:p>
    <w:p w:rsidR="00D652A1" w:rsidRPr="00393D65" w:rsidRDefault="00D652A1" w:rsidP="000A5321">
      <w:pPr>
        <w:pStyle w:val="SCCNormalDoubleSpacing"/>
        <w:spacing w:line="240" w:lineRule="auto"/>
        <w:ind w:left="540" w:hanging="540"/>
      </w:pPr>
      <w:r w:rsidRPr="00393D65">
        <w:t xml:space="preserve">Canada. </w:t>
      </w:r>
      <w:r w:rsidR="008263C7" w:rsidRPr="00393D65">
        <w:t xml:space="preserve"> </w:t>
      </w:r>
      <w:r w:rsidRPr="00393D65">
        <w:t>Comité d</w:t>
      </w:r>
      <w:r w:rsidR="00C03762">
        <w:t>’</w:t>
      </w:r>
      <w:r w:rsidRPr="00393D65">
        <w:t>étude sur la législation en matière de faillite et d</w:t>
      </w:r>
      <w:r w:rsidR="00C03762">
        <w:t>’</w:t>
      </w:r>
      <w:r w:rsidRPr="00393D65">
        <w:t xml:space="preserve">insolvabilité. </w:t>
      </w:r>
      <w:r w:rsidRPr="00393D65">
        <w:rPr>
          <w:i/>
        </w:rPr>
        <w:t>Faillite et Insolvabilité : Rapport du comité d</w:t>
      </w:r>
      <w:r w:rsidR="00C03762">
        <w:rPr>
          <w:i/>
        </w:rPr>
        <w:t>’</w:t>
      </w:r>
      <w:r w:rsidRPr="00393D65">
        <w:rPr>
          <w:i/>
        </w:rPr>
        <w:t>étude sur la législation en matière de faillite et d</w:t>
      </w:r>
      <w:r w:rsidR="00C03762">
        <w:rPr>
          <w:i/>
        </w:rPr>
        <w:t>’</w:t>
      </w:r>
      <w:r w:rsidRPr="00393D65">
        <w:rPr>
          <w:i/>
        </w:rPr>
        <w:t>insolvabilité</w:t>
      </w:r>
      <w:r w:rsidRPr="00393D65">
        <w:t>.</w:t>
      </w:r>
      <w:r w:rsidR="008263C7" w:rsidRPr="00393D65">
        <w:t xml:space="preserve"> </w:t>
      </w:r>
      <w:r w:rsidRPr="00393D65">
        <w:t xml:space="preserve"> Ottawa : Information Canada, 1970.</w:t>
      </w:r>
    </w:p>
    <w:p w:rsidR="00747378" w:rsidRPr="00393D65" w:rsidRDefault="00747378" w:rsidP="00747378">
      <w:pPr>
        <w:pStyle w:val="SCCNormalDoubleSpacing"/>
        <w:spacing w:line="240" w:lineRule="auto"/>
        <w:ind w:left="540" w:hanging="540"/>
      </w:pPr>
    </w:p>
    <w:p w:rsidR="00D845AB" w:rsidRPr="00393D65" w:rsidRDefault="00D845AB" w:rsidP="00D845AB">
      <w:pPr>
        <w:pStyle w:val="SCCNormalDoubleSpacing"/>
        <w:spacing w:line="240" w:lineRule="auto"/>
        <w:ind w:left="540" w:hanging="540"/>
      </w:pPr>
      <w:r w:rsidRPr="00393D65">
        <w:t xml:space="preserve">Canada. </w:t>
      </w:r>
      <w:r w:rsidR="008263C7" w:rsidRPr="00393D65">
        <w:t xml:space="preserve"> </w:t>
      </w:r>
      <w:r w:rsidRPr="00393D65">
        <w:t xml:space="preserve">Industrie Canada. </w:t>
      </w:r>
      <w:r w:rsidR="008263C7" w:rsidRPr="00393D65">
        <w:t xml:space="preserve"> </w:t>
      </w:r>
      <w:r w:rsidRPr="00393D65">
        <w:t>Direction générale des politiques</w:t>
      </w:r>
      <w:r w:rsidR="00000CE0" w:rsidRPr="00393D65">
        <w:noBreakHyphen/>
      </w:r>
      <w:r w:rsidRPr="00393D65">
        <w:t xml:space="preserve">cadres du marché. </w:t>
      </w:r>
      <w:r w:rsidRPr="00393D65">
        <w:rPr>
          <w:i/>
        </w:rPr>
        <w:t>Rapport sur la mise en application de la Loi sur la faillite et l</w:t>
      </w:r>
      <w:r w:rsidR="00C03762">
        <w:rPr>
          <w:i/>
        </w:rPr>
        <w:t>’</w:t>
      </w:r>
      <w:r w:rsidRPr="00393D65">
        <w:rPr>
          <w:i/>
        </w:rPr>
        <w:t>insolvabilité et de la Loi sur les arrangements avec les créanciers des compagnies</w:t>
      </w:r>
      <w:r w:rsidRPr="00393D65">
        <w:t xml:space="preserve">. </w:t>
      </w:r>
      <w:r w:rsidR="00000CE0" w:rsidRPr="00393D65">
        <w:t xml:space="preserve"> </w:t>
      </w:r>
      <w:r w:rsidRPr="00393D65">
        <w:t>Ottawa</w:t>
      </w:r>
      <w:r w:rsidR="00000CE0" w:rsidRPr="00393D65">
        <w:t> </w:t>
      </w:r>
      <w:r w:rsidRPr="00393D65">
        <w:t>: Direction des politiques du droit corporatif et de l</w:t>
      </w:r>
      <w:r w:rsidR="00C03762">
        <w:t>’</w:t>
      </w:r>
      <w:r w:rsidRPr="00393D65">
        <w:t>insolvabilité, 2002.</w:t>
      </w:r>
    </w:p>
    <w:p w:rsidR="00D845AB" w:rsidRPr="00393D65" w:rsidRDefault="00D845AB" w:rsidP="00747378">
      <w:pPr>
        <w:pStyle w:val="SCCNormalDoubleSpacing"/>
        <w:spacing w:line="240" w:lineRule="auto"/>
        <w:ind w:left="540" w:hanging="540"/>
      </w:pPr>
    </w:p>
    <w:p w:rsidR="00EA45F0" w:rsidRPr="00393D65" w:rsidRDefault="00EA45F0" w:rsidP="00747378">
      <w:pPr>
        <w:pStyle w:val="SCCNormalDoubleSpacing"/>
        <w:spacing w:line="240" w:lineRule="auto"/>
        <w:ind w:left="540" w:hanging="540"/>
      </w:pPr>
      <w:r w:rsidRPr="00393D65">
        <w:rPr>
          <w:color w:val="000000"/>
        </w:rPr>
        <w:t xml:space="preserve">Canada.  Sénat.  Comité sénatorial permanent des banques et du commerce. </w:t>
      </w:r>
      <w:r w:rsidRPr="00393D65">
        <w:rPr>
          <w:color w:val="000000"/>
          <w:sz w:val="26"/>
        </w:rPr>
        <w:t xml:space="preserve"> </w:t>
      </w:r>
      <w:r w:rsidRPr="00393D65">
        <w:rPr>
          <w:i/>
        </w:rPr>
        <w:t>Les débiteurs et les créanciers doivent se partager le fardeau : Examen de la Loi sur la faillite et l</w:t>
      </w:r>
      <w:r w:rsidR="00C03762">
        <w:rPr>
          <w:i/>
        </w:rPr>
        <w:t>’</w:t>
      </w:r>
      <w:r w:rsidRPr="00393D65">
        <w:rPr>
          <w:i/>
        </w:rPr>
        <w:t>insolvabilité et de la Loi sur les arrangements avec les créanciers des compagnies</w:t>
      </w:r>
      <w:r w:rsidRPr="00393D65">
        <w:t>.  Ottawa : 2003. </w:t>
      </w:r>
    </w:p>
    <w:p w:rsidR="00EA45F0" w:rsidRPr="00393D65" w:rsidRDefault="00EA45F0" w:rsidP="00747378">
      <w:pPr>
        <w:pStyle w:val="SCCNormalDoubleSpacing"/>
        <w:spacing w:line="240" w:lineRule="auto"/>
        <w:ind w:left="540" w:hanging="540"/>
      </w:pPr>
    </w:p>
    <w:p w:rsidR="00747378" w:rsidRPr="00393D65" w:rsidRDefault="00747378" w:rsidP="00747378">
      <w:pPr>
        <w:pStyle w:val="SCCNormalDoubleSpacing"/>
        <w:spacing w:line="240" w:lineRule="auto"/>
        <w:ind w:left="540" w:hanging="540"/>
      </w:pPr>
      <w:r w:rsidRPr="00393D65">
        <w:t>Canada.</w:t>
      </w:r>
      <w:r w:rsidR="008263C7" w:rsidRPr="00393D65">
        <w:t xml:space="preserve"> </w:t>
      </w:r>
      <w:r w:rsidRPr="00393D65">
        <w:t xml:space="preserve"> Sénat. </w:t>
      </w:r>
      <w:r w:rsidR="008263C7" w:rsidRPr="00393D65">
        <w:t xml:space="preserve"> </w:t>
      </w:r>
      <w:r w:rsidRPr="00393D65">
        <w:rPr>
          <w:i/>
        </w:rPr>
        <w:t>Débats du Sénat</w:t>
      </w:r>
      <w:r w:rsidR="008263C7" w:rsidRPr="00393D65">
        <w:t>, vol. </w:t>
      </w:r>
      <w:r w:rsidRPr="00393D65">
        <w:t>142, 1</w:t>
      </w:r>
      <w:r w:rsidR="00317060" w:rsidRPr="00317060">
        <w:rPr>
          <w:vertAlign w:val="superscript"/>
        </w:rPr>
        <w:t>r</w:t>
      </w:r>
      <w:r w:rsidRPr="00393D65">
        <w:rPr>
          <w:vertAlign w:val="superscript"/>
        </w:rPr>
        <w:t>e</w:t>
      </w:r>
      <w:r w:rsidRPr="00393D65">
        <w:t xml:space="preserve"> sess., 38</w:t>
      </w:r>
      <w:r w:rsidRPr="00393D65">
        <w:rPr>
          <w:vertAlign w:val="superscript"/>
        </w:rPr>
        <w:t>e</w:t>
      </w:r>
      <w:r w:rsidRPr="00393D65">
        <w:t xml:space="preserve"> lég., 23</w:t>
      </w:r>
      <w:r w:rsidR="008263C7" w:rsidRPr="00393D65">
        <w:t> </w:t>
      </w:r>
      <w:r w:rsidRPr="00393D65">
        <w:t>novembre</w:t>
      </w:r>
      <w:r w:rsidR="008263C7" w:rsidRPr="00393D65">
        <w:t xml:space="preserve"> 2005, p. </w:t>
      </w:r>
      <w:r w:rsidRPr="00393D65">
        <w:t>2147.</w:t>
      </w:r>
    </w:p>
    <w:p w:rsidR="00EA45F0" w:rsidRPr="00393D65" w:rsidRDefault="00EA45F0" w:rsidP="000A5321">
      <w:pPr>
        <w:pStyle w:val="SCCNormalDoubleSpacing"/>
        <w:spacing w:line="240" w:lineRule="auto"/>
        <w:ind w:left="540" w:hanging="540"/>
      </w:pPr>
    </w:p>
    <w:p w:rsidR="00557568" w:rsidRPr="00393D65" w:rsidRDefault="00284AE6" w:rsidP="00D476CC">
      <w:pPr>
        <w:pStyle w:val="SCCNormalDoubleSpacing"/>
        <w:spacing w:line="240" w:lineRule="auto"/>
        <w:ind w:left="540" w:hanging="540"/>
        <w:rPr>
          <w:lang w:val="en-US"/>
        </w:rPr>
      </w:pPr>
      <w:r w:rsidRPr="00393D65">
        <w:rPr>
          <w:lang w:val="en-US"/>
        </w:rPr>
        <w:t>Côté, Pierre</w:t>
      </w:r>
      <w:r w:rsidR="00000CE0" w:rsidRPr="00393D65">
        <w:rPr>
          <w:lang w:val="en-US"/>
        </w:rPr>
        <w:noBreakHyphen/>
      </w:r>
      <w:r w:rsidRPr="00393D65">
        <w:rPr>
          <w:lang w:val="en-US"/>
        </w:rPr>
        <w:t>André.</w:t>
      </w:r>
      <w:r w:rsidR="00000CE0" w:rsidRPr="00393D65">
        <w:rPr>
          <w:lang w:val="en-US"/>
        </w:rPr>
        <w:t xml:space="preserve"> </w:t>
      </w:r>
      <w:r w:rsidRPr="00393D65">
        <w:rPr>
          <w:lang w:val="en-US"/>
        </w:rPr>
        <w:t xml:space="preserve"> </w:t>
      </w:r>
      <w:r w:rsidR="00F34B14" w:rsidRPr="00393D65">
        <w:rPr>
          <w:i/>
          <w:lang w:val="en-US"/>
        </w:rPr>
        <w:t xml:space="preserve">The </w:t>
      </w:r>
      <w:r w:rsidRPr="00393D65">
        <w:rPr>
          <w:i/>
          <w:lang w:val="en-US"/>
        </w:rPr>
        <w:t>Interpr</w:t>
      </w:r>
      <w:r w:rsidR="00F34B14" w:rsidRPr="00393D65">
        <w:rPr>
          <w:i/>
          <w:lang w:val="en-US"/>
        </w:rPr>
        <w:t>e</w:t>
      </w:r>
      <w:r w:rsidRPr="00393D65">
        <w:rPr>
          <w:i/>
          <w:lang w:val="en-US"/>
        </w:rPr>
        <w:t xml:space="preserve">tation </w:t>
      </w:r>
      <w:r w:rsidR="00F34B14" w:rsidRPr="00393D65">
        <w:rPr>
          <w:i/>
          <w:lang w:val="en-US"/>
        </w:rPr>
        <w:t>of Legislation in Canada</w:t>
      </w:r>
      <w:r w:rsidRPr="00393D65">
        <w:rPr>
          <w:lang w:val="en-US"/>
        </w:rPr>
        <w:t>, 3</w:t>
      </w:r>
      <w:r w:rsidR="00F34B14" w:rsidRPr="00317060">
        <w:rPr>
          <w:lang w:val="en-US"/>
        </w:rPr>
        <w:t xml:space="preserve">rd </w:t>
      </w:r>
      <w:r w:rsidR="00F34B14" w:rsidRPr="00393D65">
        <w:rPr>
          <w:lang w:val="en-US"/>
        </w:rPr>
        <w:t>e</w:t>
      </w:r>
      <w:r w:rsidR="008263C7" w:rsidRPr="00393D65">
        <w:rPr>
          <w:lang w:val="en-US"/>
        </w:rPr>
        <w:t xml:space="preserve">d. </w:t>
      </w:r>
      <w:r w:rsidR="00F34B14" w:rsidRPr="00393D65">
        <w:rPr>
          <w:lang w:val="en-US"/>
        </w:rPr>
        <w:t>Scarborough, Ont.</w:t>
      </w:r>
      <w:r w:rsidR="008263C7" w:rsidRPr="00393D65">
        <w:rPr>
          <w:lang w:val="en-US"/>
        </w:rPr>
        <w:t> </w:t>
      </w:r>
      <w:r w:rsidRPr="00393D65">
        <w:rPr>
          <w:lang w:val="en-US"/>
        </w:rPr>
        <w:t xml:space="preserve">: </w:t>
      </w:r>
      <w:r w:rsidR="00F34B14" w:rsidRPr="00393D65">
        <w:rPr>
          <w:lang w:val="en-US"/>
        </w:rPr>
        <w:t>Carswell</w:t>
      </w:r>
      <w:r w:rsidRPr="00393D65">
        <w:rPr>
          <w:lang w:val="en-US"/>
        </w:rPr>
        <w:t xml:space="preserve">, </w:t>
      </w:r>
      <w:r w:rsidR="00F34B14" w:rsidRPr="00393D65">
        <w:rPr>
          <w:lang w:val="en-US"/>
        </w:rPr>
        <w:t>2000</w:t>
      </w:r>
      <w:r w:rsidRPr="00393D65">
        <w:rPr>
          <w:lang w:val="en-US"/>
        </w:rPr>
        <w:t>.</w:t>
      </w:r>
    </w:p>
    <w:p w:rsidR="00284AE6" w:rsidRPr="00393D65" w:rsidRDefault="00284AE6" w:rsidP="00D476CC">
      <w:pPr>
        <w:pStyle w:val="SCCNormalDoubleSpacing"/>
        <w:spacing w:line="240" w:lineRule="auto"/>
        <w:ind w:left="540" w:hanging="540"/>
        <w:rPr>
          <w:lang w:val="en-US"/>
        </w:rPr>
      </w:pPr>
    </w:p>
    <w:p w:rsidR="00D476CC" w:rsidRPr="00393D65" w:rsidRDefault="00D476CC" w:rsidP="00D476CC">
      <w:pPr>
        <w:pStyle w:val="SCCNormalDoubleSpacing"/>
        <w:spacing w:line="240" w:lineRule="auto"/>
        <w:ind w:left="540" w:hanging="540"/>
        <w:rPr>
          <w:lang w:val="fr-FR"/>
        </w:rPr>
      </w:pPr>
      <w:r w:rsidRPr="00393D65">
        <w:t>Côté, Pierre</w:t>
      </w:r>
      <w:r w:rsidR="00000CE0" w:rsidRPr="00393D65">
        <w:noBreakHyphen/>
      </w:r>
      <w:r w:rsidRPr="00393D65">
        <w:t xml:space="preserve">André, avec la collaboration de Stéphane Beaulac et Mathieu Devinat. </w:t>
      </w:r>
      <w:r w:rsidRPr="00393D65">
        <w:rPr>
          <w:i/>
          <w:lang w:val="fr-FR"/>
        </w:rPr>
        <w:t>Interprétation des lois</w:t>
      </w:r>
      <w:r w:rsidRPr="00393D65">
        <w:rPr>
          <w:lang w:val="fr-FR"/>
        </w:rPr>
        <w:t>, 4</w:t>
      </w:r>
      <w:r w:rsidRPr="00393D65">
        <w:rPr>
          <w:vertAlign w:val="superscript"/>
          <w:lang w:val="fr-FR"/>
        </w:rPr>
        <w:t>e</w:t>
      </w:r>
      <w:r w:rsidRPr="00393D65">
        <w:rPr>
          <w:lang w:val="fr-FR"/>
        </w:rPr>
        <w:t xml:space="preserve"> éd. Montréal</w:t>
      </w:r>
      <w:r w:rsidR="008263C7" w:rsidRPr="00393D65">
        <w:rPr>
          <w:lang w:val="fr-FR"/>
        </w:rPr>
        <w:t> </w:t>
      </w:r>
      <w:r w:rsidRPr="00393D65">
        <w:rPr>
          <w:lang w:val="fr-FR"/>
        </w:rPr>
        <w:t>: Thémis, 2009.</w:t>
      </w:r>
    </w:p>
    <w:p w:rsidR="00D652A1" w:rsidRPr="00C03762" w:rsidRDefault="00D652A1" w:rsidP="00D652A1">
      <w:pPr>
        <w:pStyle w:val="SCCNormalDoubleSpacing"/>
        <w:spacing w:line="240" w:lineRule="auto"/>
        <w:ind w:left="540" w:hanging="540"/>
      </w:pPr>
    </w:p>
    <w:p w:rsidR="00D652A1" w:rsidRPr="00A52E58" w:rsidRDefault="008263C7" w:rsidP="00D652A1">
      <w:pPr>
        <w:pStyle w:val="SCCNormalDoubleSpacing"/>
        <w:spacing w:line="240" w:lineRule="auto"/>
        <w:ind w:left="540" w:hanging="540"/>
        <w:rPr>
          <w:lang w:val="en-US"/>
        </w:rPr>
      </w:pPr>
      <w:r w:rsidRPr="00A52E58">
        <w:rPr>
          <w:lang w:val="en-US"/>
        </w:rPr>
        <w:t>Edwards, Stanley </w:t>
      </w:r>
      <w:r w:rsidR="00D652A1" w:rsidRPr="00A52E58">
        <w:rPr>
          <w:lang w:val="en-US"/>
        </w:rPr>
        <w:t xml:space="preserve">E. </w:t>
      </w:r>
      <w:r w:rsidR="0012493D" w:rsidRPr="00A52E58">
        <w:rPr>
          <w:lang w:val="en-US"/>
        </w:rPr>
        <w:t>«</w:t>
      </w:r>
      <w:r w:rsidRPr="00A52E58">
        <w:rPr>
          <w:lang w:val="en-US"/>
        </w:rPr>
        <w:t> </w:t>
      </w:r>
      <w:r w:rsidR="00D652A1" w:rsidRPr="00A52E58">
        <w:rPr>
          <w:lang w:val="en-US"/>
        </w:rPr>
        <w:t>Reorganizations Under the Companies</w:t>
      </w:r>
      <w:r w:rsidR="00C03762" w:rsidRPr="00A52E58">
        <w:rPr>
          <w:lang w:val="en-US"/>
        </w:rPr>
        <w:t>’</w:t>
      </w:r>
      <w:r w:rsidR="00D652A1" w:rsidRPr="00A52E58">
        <w:rPr>
          <w:lang w:val="en-US"/>
        </w:rPr>
        <w:t xml:space="preserve"> Creditors Arrangement Act</w:t>
      </w:r>
      <w:r w:rsidRPr="00A52E58">
        <w:rPr>
          <w:lang w:val="en-US"/>
        </w:rPr>
        <w:t> </w:t>
      </w:r>
      <w:r w:rsidR="0012493D" w:rsidRPr="00A52E58">
        <w:rPr>
          <w:lang w:val="en-US"/>
        </w:rPr>
        <w:t>»</w:t>
      </w:r>
      <w:r w:rsidR="00D652A1" w:rsidRPr="00A52E58">
        <w:rPr>
          <w:lang w:val="en-US"/>
        </w:rPr>
        <w:t xml:space="preserve"> (1947), 25 </w:t>
      </w:r>
      <w:r w:rsidR="004E487A" w:rsidRPr="00A52E58">
        <w:rPr>
          <w:i/>
          <w:lang w:val="en-US"/>
        </w:rPr>
        <w:t>R. du B. can.</w:t>
      </w:r>
      <w:r w:rsidR="00D652A1" w:rsidRPr="00A52E58">
        <w:rPr>
          <w:lang w:val="en-US"/>
        </w:rPr>
        <w:t xml:space="preserve"> 587.</w:t>
      </w:r>
    </w:p>
    <w:p w:rsidR="008502C9" w:rsidRPr="00A52E58" w:rsidRDefault="008502C9" w:rsidP="00D652A1">
      <w:pPr>
        <w:pStyle w:val="SCCNormalDoubleSpacing"/>
        <w:spacing w:line="240" w:lineRule="auto"/>
        <w:ind w:left="540" w:hanging="540"/>
        <w:rPr>
          <w:lang w:val="en-US"/>
        </w:rPr>
      </w:pPr>
    </w:p>
    <w:p w:rsidR="000C724E" w:rsidRPr="00961B8C" w:rsidRDefault="00474140" w:rsidP="000C724E">
      <w:pPr>
        <w:pStyle w:val="SCCNormalDoubleSpacing"/>
        <w:spacing w:line="240" w:lineRule="auto"/>
        <w:ind w:left="540" w:hanging="540"/>
        <w:rPr>
          <w:lang w:val="en-US"/>
        </w:rPr>
      </w:pPr>
      <w:r w:rsidRPr="00393D65">
        <w:t>Institut d</w:t>
      </w:r>
      <w:r w:rsidR="00C03762">
        <w:t>’</w:t>
      </w:r>
      <w:r w:rsidRPr="00393D65">
        <w:t>insolvabilité du Canada et Association canadienne des professionnels de l</w:t>
      </w:r>
      <w:r w:rsidR="00C03762">
        <w:t>’</w:t>
      </w:r>
      <w:r w:rsidRPr="00393D65">
        <w:t>insolvabilité et de la réorganisation</w:t>
      </w:r>
      <w:r w:rsidR="000C724E" w:rsidRPr="00393D65">
        <w:t xml:space="preserve">. </w:t>
      </w:r>
      <w:r w:rsidR="008263C7" w:rsidRPr="00393D65">
        <w:t xml:space="preserve"> </w:t>
      </w:r>
      <w:r w:rsidR="000C724E" w:rsidRPr="00393D65">
        <w:rPr>
          <w:lang w:val="en-CA"/>
        </w:rPr>
        <w:t xml:space="preserve">Joint Task Force on Business Insolvency Law Reform. </w:t>
      </w:r>
      <w:r w:rsidR="000C724E" w:rsidRPr="00961B8C">
        <w:rPr>
          <w:i/>
          <w:lang w:val="en-US"/>
        </w:rPr>
        <w:t>Report</w:t>
      </w:r>
      <w:r w:rsidR="00C03762" w:rsidRPr="00961B8C">
        <w:rPr>
          <w:i/>
          <w:lang w:val="en-US"/>
        </w:rPr>
        <w:t xml:space="preserve"> </w:t>
      </w:r>
      <w:r w:rsidR="000C724E" w:rsidRPr="00961B8C">
        <w:rPr>
          <w:lang w:val="en-US"/>
        </w:rPr>
        <w:t>(2002)</w:t>
      </w:r>
      <w:r w:rsidR="00C03762" w:rsidRPr="00961B8C">
        <w:rPr>
          <w:lang w:val="en-US"/>
        </w:rPr>
        <w:t xml:space="preserve"> (en ligne : http://www.cairp.ca/publications/submissions-to-government/law-reform/index.php)</w:t>
      </w:r>
      <w:r w:rsidR="000C724E" w:rsidRPr="00961B8C">
        <w:rPr>
          <w:lang w:val="en-US"/>
        </w:rPr>
        <w:t>.</w:t>
      </w:r>
    </w:p>
    <w:p w:rsidR="000C724E" w:rsidRPr="00961B8C" w:rsidRDefault="000C724E" w:rsidP="000C724E">
      <w:pPr>
        <w:pStyle w:val="SCCNormalDoubleSpacing"/>
        <w:spacing w:line="240" w:lineRule="auto"/>
        <w:ind w:left="540" w:hanging="540"/>
        <w:rPr>
          <w:lang w:val="en-US"/>
        </w:rPr>
      </w:pPr>
    </w:p>
    <w:p w:rsidR="000C724E" w:rsidRPr="00393D65" w:rsidRDefault="00AE1AA4" w:rsidP="000C724E">
      <w:pPr>
        <w:pStyle w:val="SCCNormalDoubleSpacing"/>
        <w:spacing w:line="240" w:lineRule="auto"/>
        <w:ind w:left="540" w:hanging="540"/>
        <w:rPr>
          <w:lang w:val="en-CA"/>
        </w:rPr>
      </w:pPr>
      <w:r w:rsidRPr="00393D65">
        <w:t>Institut d</w:t>
      </w:r>
      <w:r w:rsidR="00C03762">
        <w:t>’</w:t>
      </w:r>
      <w:r w:rsidRPr="00393D65">
        <w:t>insolvabilité du Canada et Association canadienne des professionnels de l</w:t>
      </w:r>
      <w:r w:rsidR="00C03762">
        <w:t>’</w:t>
      </w:r>
      <w:r w:rsidRPr="00393D65">
        <w:t xml:space="preserve">insolvabilité et de la réorganisation.  </w:t>
      </w:r>
      <w:r w:rsidR="000C724E" w:rsidRPr="00393D65">
        <w:rPr>
          <w:lang w:val="en-CA"/>
        </w:rPr>
        <w:t>Legislative Review Task Force (Commercial).</w:t>
      </w:r>
      <w:r w:rsidR="008263C7" w:rsidRPr="00393D65">
        <w:rPr>
          <w:lang w:val="en-CA"/>
        </w:rPr>
        <w:t xml:space="preserve"> </w:t>
      </w:r>
      <w:r w:rsidR="000C724E" w:rsidRPr="00393D65">
        <w:rPr>
          <w:lang w:val="en-CA"/>
        </w:rPr>
        <w:t xml:space="preserve"> </w:t>
      </w:r>
      <w:r w:rsidR="000C724E" w:rsidRPr="00393D65">
        <w:rPr>
          <w:i/>
          <w:lang w:val="en-CA"/>
        </w:rPr>
        <w:t>Report on the Commercial Provisions of Bill C</w:t>
      </w:r>
      <w:r w:rsidR="00000CE0" w:rsidRPr="00393D65">
        <w:rPr>
          <w:i/>
          <w:lang w:val="en-CA"/>
        </w:rPr>
        <w:noBreakHyphen/>
      </w:r>
      <w:r w:rsidR="000C724E" w:rsidRPr="00393D65">
        <w:rPr>
          <w:i/>
          <w:lang w:val="en-CA"/>
        </w:rPr>
        <w:t>55</w:t>
      </w:r>
      <w:r w:rsidR="000C724E" w:rsidRPr="00393D65">
        <w:rPr>
          <w:lang w:val="en-CA"/>
        </w:rPr>
        <w:t xml:space="preserve"> (2005).</w:t>
      </w:r>
    </w:p>
    <w:p w:rsidR="000C724E" w:rsidRPr="00393D65" w:rsidRDefault="000C724E" w:rsidP="00D652A1">
      <w:pPr>
        <w:pStyle w:val="SCCNormalDoubleSpacing"/>
        <w:spacing w:line="240" w:lineRule="auto"/>
        <w:ind w:left="540" w:hanging="540"/>
        <w:rPr>
          <w:lang w:val="en-CA"/>
        </w:rPr>
      </w:pPr>
    </w:p>
    <w:p w:rsidR="00D652A1" w:rsidRPr="00393D65" w:rsidRDefault="00D652A1" w:rsidP="00D652A1">
      <w:pPr>
        <w:pStyle w:val="SCCNormalDoubleSpacing"/>
        <w:spacing w:line="240" w:lineRule="auto"/>
        <w:ind w:left="540" w:hanging="540"/>
        <w:rPr>
          <w:lang w:val="en-US"/>
        </w:rPr>
      </w:pPr>
      <w:r w:rsidRPr="00393D65">
        <w:rPr>
          <w:lang w:val="en-US"/>
        </w:rPr>
        <w:t>Jackson, Georgina</w:t>
      </w:r>
      <w:r w:rsidR="008263C7" w:rsidRPr="00393D65">
        <w:rPr>
          <w:lang w:val="en-US"/>
        </w:rPr>
        <w:t> </w:t>
      </w:r>
      <w:r w:rsidRPr="00393D65">
        <w:rPr>
          <w:lang w:val="en-US"/>
        </w:rPr>
        <w:t xml:space="preserve">R. and Janis Sarra. </w:t>
      </w:r>
      <w:r w:rsidR="00000CE0" w:rsidRPr="00393D65">
        <w:rPr>
          <w:lang w:val="en-US"/>
        </w:rPr>
        <w:t xml:space="preserve"> </w:t>
      </w:r>
      <w:r w:rsidR="008263C7" w:rsidRPr="00393D65">
        <w:rPr>
          <w:lang w:val="en-US"/>
        </w:rPr>
        <w:t>« </w:t>
      </w:r>
      <w:r w:rsidRPr="00393D65">
        <w:rPr>
          <w:lang w:val="en-US"/>
        </w:rPr>
        <w:t>Selecting the Judicial Tool to get the Job Done</w:t>
      </w:r>
      <w:r w:rsidR="00D11FC4" w:rsidRPr="00393D65">
        <w:rPr>
          <w:lang w:val="en-US"/>
        </w:rPr>
        <w:t xml:space="preserve"> : </w:t>
      </w:r>
      <w:r w:rsidRPr="00393D65">
        <w:rPr>
          <w:lang w:val="en-US"/>
        </w:rPr>
        <w:t>An Examination of Statutory Interpretation, Discretionary Power and Inherent Jurisdiction in Insolvency Matters</w:t>
      </w:r>
      <w:r w:rsidR="008263C7" w:rsidRPr="00393D65">
        <w:rPr>
          <w:lang w:val="en-US"/>
        </w:rPr>
        <w:t> </w:t>
      </w:r>
      <w:r w:rsidR="0012493D" w:rsidRPr="00393D65">
        <w:rPr>
          <w:lang w:val="en-US"/>
        </w:rPr>
        <w:t>»</w:t>
      </w:r>
      <w:r w:rsidR="008263C7" w:rsidRPr="00393D65">
        <w:rPr>
          <w:lang w:val="en-US"/>
        </w:rPr>
        <w:t>, in Janis </w:t>
      </w:r>
      <w:r w:rsidRPr="00393D65">
        <w:rPr>
          <w:lang w:val="en-US"/>
        </w:rPr>
        <w:t xml:space="preserve">P. Sarra, ed., </w:t>
      </w:r>
      <w:r w:rsidRPr="00393D65">
        <w:rPr>
          <w:i/>
          <w:lang w:val="en-US"/>
        </w:rPr>
        <w:t>Annual Review of Insolvency Law 2007</w:t>
      </w:r>
      <w:r w:rsidRPr="00393D65">
        <w:rPr>
          <w:lang w:val="en-US"/>
        </w:rPr>
        <w:t xml:space="preserve">. </w:t>
      </w:r>
      <w:r w:rsidR="008263C7" w:rsidRPr="00393D65">
        <w:rPr>
          <w:lang w:val="en-US"/>
        </w:rPr>
        <w:t xml:space="preserve"> </w:t>
      </w:r>
      <w:r w:rsidRPr="00393D65">
        <w:rPr>
          <w:lang w:val="en-US"/>
        </w:rPr>
        <w:t>Toronto</w:t>
      </w:r>
      <w:r w:rsidR="00D11FC4" w:rsidRPr="00393D65">
        <w:rPr>
          <w:lang w:val="en-US"/>
        </w:rPr>
        <w:t xml:space="preserve"> : </w:t>
      </w:r>
      <w:r w:rsidRPr="00393D65">
        <w:rPr>
          <w:lang w:val="en-US"/>
        </w:rPr>
        <w:t>Thomson Carswell, 2008, 41.</w:t>
      </w:r>
    </w:p>
    <w:p w:rsidR="00D652A1" w:rsidRPr="00393D65" w:rsidRDefault="00D652A1" w:rsidP="00D652A1">
      <w:pPr>
        <w:pStyle w:val="SCCNormalDoubleSpacing"/>
        <w:spacing w:line="240" w:lineRule="auto"/>
        <w:ind w:left="540" w:hanging="540"/>
        <w:rPr>
          <w:lang w:val="en-US"/>
        </w:rPr>
      </w:pPr>
    </w:p>
    <w:p w:rsidR="00D652A1" w:rsidRPr="00393D65" w:rsidRDefault="008263C7" w:rsidP="00D652A1">
      <w:pPr>
        <w:pStyle w:val="SCCNormalDoubleSpacing"/>
        <w:spacing w:line="240" w:lineRule="auto"/>
        <w:ind w:left="540" w:hanging="540"/>
        <w:rPr>
          <w:lang w:val="en-US"/>
        </w:rPr>
      </w:pPr>
      <w:r w:rsidRPr="00393D65">
        <w:rPr>
          <w:lang w:val="en-US"/>
        </w:rPr>
        <w:t>Jones, Richard </w:t>
      </w:r>
      <w:r w:rsidR="0012493D" w:rsidRPr="00393D65">
        <w:rPr>
          <w:lang w:val="en-US"/>
        </w:rPr>
        <w:t>B.</w:t>
      </w:r>
      <w:r w:rsidRPr="00393D65">
        <w:rPr>
          <w:lang w:val="en-US"/>
        </w:rPr>
        <w:t xml:space="preserve">  « </w:t>
      </w:r>
      <w:r w:rsidR="00D652A1" w:rsidRPr="00393D65">
        <w:rPr>
          <w:lang w:val="en-US"/>
        </w:rPr>
        <w:t>The Evolution of Canadian Restructuring</w:t>
      </w:r>
      <w:r w:rsidR="00D11FC4" w:rsidRPr="00393D65">
        <w:rPr>
          <w:lang w:val="en-US"/>
        </w:rPr>
        <w:t xml:space="preserve"> : </w:t>
      </w:r>
      <w:r w:rsidR="00D652A1" w:rsidRPr="00393D65">
        <w:rPr>
          <w:lang w:val="en-US"/>
        </w:rPr>
        <w:t>Challenges for the Rule of Law</w:t>
      </w:r>
      <w:r w:rsidRPr="00393D65">
        <w:rPr>
          <w:lang w:val="en-US"/>
        </w:rPr>
        <w:t> </w:t>
      </w:r>
      <w:r w:rsidR="0012493D" w:rsidRPr="00393D65">
        <w:rPr>
          <w:lang w:val="en-US"/>
        </w:rPr>
        <w:t>»</w:t>
      </w:r>
      <w:r w:rsidR="00D652A1" w:rsidRPr="00393D65">
        <w:rPr>
          <w:lang w:val="en-US"/>
        </w:rPr>
        <w:t>, in Janis</w:t>
      </w:r>
      <w:r w:rsidRPr="00393D65">
        <w:rPr>
          <w:lang w:val="en-US"/>
        </w:rPr>
        <w:t> </w:t>
      </w:r>
      <w:r w:rsidR="00D652A1" w:rsidRPr="00393D65">
        <w:rPr>
          <w:lang w:val="en-US"/>
        </w:rPr>
        <w:t xml:space="preserve">P. Sarra, ed., </w:t>
      </w:r>
      <w:r w:rsidR="00D652A1" w:rsidRPr="00393D65">
        <w:rPr>
          <w:i/>
          <w:lang w:val="en-US"/>
        </w:rPr>
        <w:t>Annual Review of Insolvency Law 2005</w:t>
      </w:r>
      <w:r w:rsidR="00D652A1" w:rsidRPr="00393D65">
        <w:rPr>
          <w:lang w:val="en-US"/>
        </w:rPr>
        <w:t>. Toronto</w:t>
      </w:r>
      <w:r w:rsidR="00D11FC4" w:rsidRPr="00393D65">
        <w:rPr>
          <w:lang w:val="en-US"/>
        </w:rPr>
        <w:t xml:space="preserve"> : </w:t>
      </w:r>
      <w:r w:rsidR="00D652A1" w:rsidRPr="00393D65">
        <w:rPr>
          <w:lang w:val="en-US"/>
        </w:rPr>
        <w:t>Thomson Carswell, 2006, 481.</w:t>
      </w:r>
    </w:p>
    <w:p w:rsidR="00D652A1" w:rsidRPr="00393D65" w:rsidRDefault="00D652A1" w:rsidP="00D652A1">
      <w:pPr>
        <w:pStyle w:val="SCCNormalDoubleSpacing"/>
        <w:spacing w:line="240" w:lineRule="auto"/>
        <w:ind w:left="540" w:hanging="540"/>
        <w:rPr>
          <w:lang w:val="en-US"/>
        </w:rPr>
      </w:pPr>
    </w:p>
    <w:p w:rsidR="00D652A1" w:rsidRPr="00393D65" w:rsidRDefault="00D652A1" w:rsidP="00D652A1">
      <w:pPr>
        <w:pStyle w:val="SCCNormalDoubleSpacing"/>
        <w:spacing w:line="240" w:lineRule="auto"/>
        <w:ind w:left="540" w:hanging="540"/>
        <w:rPr>
          <w:lang w:val="en-US"/>
        </w:rPr>
      </w:pPr>
      <w:r w:rsidRPr="00393D65">
        <w:rPr>
          <w:lang w:val="en-US"/>
        </w:rPr>
        <w:t>Lamer, Francis</w:t>
      </w:r>
      <w:r w:rsidR="008263C7" w:rsidRPr="00393D65">
        <w:rPr>
          <w:lang w:val="en-US"/>
        </w:rPr>
        <w:t> </w:t>
      </w:r>
      <w:r w:rsidRPr="00393D65">
        <w:rPr>
          <w:lang w:val="en-US"/>
        </w:rPr>
        <w:t xml:space="preserve">L. </w:t>
      </w:r>
      <w:r w:rsidR="00000CE0" w:rsidRPr="00393D65">
        <w:rPr>
          <w:lang w:val="en-US"/>
        </w:rPr>
        <w:t xml:space="preserve"> </w:t>
      </w:r>
      <w:r w:rsidRPr="00393D65">
        <w:rPr>
          <w:i/>
          <w:lang w:val="en-US"/>
        </w:rPr>
        <w:t>Priority of Crown Claims in Insolvency</w:t>
      </w:r>
      <w:r w:rsidRPr="00393D65">
        <w:rPr>
          <w:lang w:val="en-US"/>
        </w:rPr>
        <w:t>.</w:t>
      </w:r>
      <w:r w:rsidR="008263C7" w:rsidRPr="00393D65">
        <w:rPr>
          <w:lang w:val="en-US"/>
        </w:rPr>
        <w:t xml:space="preserve"> </w:t>
      </w:r>
      <w:r w:rsidRPr="00393D65">
        <w:rPr>
          <w:lang w:val="en-US"/>
        </w:rPr>
        <w:t xml:space="preserve"> Toronto</w:t>
      </w:r>
      <w:r w:rsidR="00D11FC4" w:rsidRPr="00393D65">
        <w:rPr>
          <w:lang w:val="en-US"/>
        </w:rPr>
        <w:t xml:space="preserve"> : </w:t>
      </w:r>
      <w:r w:rsidR="00C03762">
        <w:rPr>
          <w:lang w:val="en-US"/>
        </w:rPr>
        <w:t>Carswell</w:t>
      </w:r>
      <w:r w:rsidRPr="00393D65">
        <w:rPr>
          <w:lang w:val="en-US"/>
        </w:rPr>
        <w:t>, 1996 (loose</w:t>
      </w:r>
      <w:r w:rsidR="008263C7" w:rsidRPr="00393D65">
        <w:rPr>
          <w:lang w:val="en-US"/>
        </w:rPr>
        <w:noBreakHyphen/>
      </w:r>
      <w:r w:rsidRPr="00393D65">
        <w:rPr>
          <w:lang w:val="en-US"/>
        </w:rPr>
        <w:t>leaf updated 2010, release 1).</w:t>
      </w:r>
    </w:p>
    <w:p w:rsidR="00D652A1" w:rsidRPr="00393D65" w:rsidRDefault="00D652A1" w:rsidP="00D652A1">
      <w:pPr>
        <w:pStyle w:val="SCCNormalDoubleSpacing"/>
        <w:spacing w:line="240" w:lineRule="auto"/>
        <w:ind w:left="540" w:hanging="540"/>
        <w:rPr>
          <w:lang w:val="en-US"/>
        </w:rPr>
      </w:pPr>
    </w:p>
    <w:p w:rsidR="00D652A1" w:rsidRPr="00393D65" w:rsidRDefault="0012493D" w:rsidP="00D652A1">
      <w:pPr>
        <w:pStyle w:val="SCCNormalDoubleSpacing"/>
        <w:spacing w:line="240" w:lineRule="auto"/>
        <w:ind w:left="540" w:hanging="540"/>
        <w:rPr>
          <w:lang w:val="en-US"/>
        </w:rPr>
      </w:pPr>
      <w:r w:rsidRPr="00393D65">
        <w:rPr>
          <w:lang w:val="en-US"/>
        </w:rPr>
        <w:t>Morgan, Barbara</w:t>
      </w:r>
      <w:r w:rsidR="008263C7" w:rsidRPr="00393D65">
        <w:rPr>
          <w:lang w:val="en-US"/>
        </w:rPr>
        <w:t xml:space="preserve"> K. </w:t>
      </w:r>
      <w:r w:rsidR="00000CE0" w:rsidRPr="00393D65">
        <w:rPr>
          <w:lang w:val="en-US"/>
        </w:rPr>
        <w:t xml:space="preserve"> </w:t>
      </w:r>
      <w:r w:rsidR="008263C7" w:rsidRPr="00393D65">
        <w:rPr>
          <w:lang w:val="en-US"/>
        </w:rPr>
        <w:t>« </w:t>
      </w:r>
      <w:r w:rsidR="00D652A1" w:rsidRPr="00393D65">
        <w:rPr>
          <w:lang w:val="en-US"/>
        </w:rPr>
        <w:t>Should the Sovereign be Paid First? A Comparative International Analysis of the Priority for Tax Claims in Bankruptcy</w:t>
      </w:r>
      <w:r w:rsidR="008263C7" w:rsidRPr="00393D65">
        <w:rPr>
          <w:lang w:val="en-US"/>
        </w:rPr>
        <w:t> </w:t>
      </w:r>
      <w:r w:rsidRPr="00393D65">
        <w:rPr>
          <w:lang w:val="en-US"/>
        </w:rPr>
        <w:t>»</w:t>
      </w:r>
      <w:r w:rsidR="00D652A1" w:rsidRPr="00393D65">
        <w:rPr>
          <w:lang w:val="en-US"/>
        </w:rPr>
        <w:t xml:space="preserve"> (2000), 74 </w:t>
      </w:r>
      <w:r w:rsidR="00D652A1" w:rsidRPr="00393D65">
        <w:rPr>
          <w:i/>
          <w:lang w:val="en-US"/>
        </w:rPr>
        <w:t>Am. Bank</w:t>
      </w:r>
      <w:r w:rsidR="00C03762">
        <w:rPr>
          <w:i/>
          <w:lang w:val="en-US"/>
        </w:rPr>
        <w:t>r</w:t>
      </w:r>
      <w:r w:rsidR="00D652A1" w:rsidRPr="00393D65">
        <w:rPr>
          <w:i/>
          <w:lang w:val="en-US"/>
        </w:rPr>
        <w:t>. L.J.</w:t>
      </w:r>
      <w:r w:rsidR="00D652A1" w:rsidRPr="00393D65">
        <w:rPr>
          <w:lang w:val="en-US"/>
        </w:rPr>
        <w:t xml:space="preserve"> 461.</w:t>
      </w:r>
    </w:p>
    <w:p w:rsidR="00D652A1" w:rsidRPr="00393D65" w:rsidRDefault="00D652A1" w:rsidP="00D652A1">
      <w:pPr>
        <w:pStyle w:val="SCCNormalDoubleSpacing"/>
        <w:spacing w:line="240" w:lineRule="auto"/>
        <w:ind w:left="540" w:hanging="540"/>
        <w:rPr>
          <w:lang w:val="en-US"/>
        </w:rPr>
      </w:pPr>
    </w:p>
    <w:p w:rsidR="00D652A1" w:rsidRPr="00393D65" w:rsidRDefault="00D652A1" w:rsidP="00D652A1">
      <w:pPr>
        <w:pStyle w:val="SCCNormalDoubleSpacing"/>
        <w:spacing w:line="240" w:lineRule="auto"/>
        <w:ind w:left="540" w:hanging="540"/>
        <w:rPr>
          <w:lang w:val="en-US"/>
        </w:rPr>
      </w:pPr>
      <w:r w:rsidRPr="00393D65">
        <w:rPr>
          <w:lang w:val="en-US"/>
        </w:rPr>
        <w:t xml:space="preserve">Sarra, Janis. </w:t>
      </w:r>
      <w:r w:rsidR="008263C7" w:rsidRPr="00393D65">
        <w:rPr>
          <w:lang w:val="en-US"/>
        </w:rPr>
        <w:t xml:space="preserve"> </w:t>
      </w:r>
      <w:r w:rsidRPr="00393D65">
        <w:rPr>
          <w:i/>
          <w:lang w:val="en-US"/>
        </w:rPr>
        <w:t>Creditor Rights and the Public Interest</w:t>
      </w:r>
      <w:r w:rsidR="00D11FC4" w:rsidRPr="00393D65">
        <w:rPr>
          <w:i/>
          <w:lang w:val="en-US"/>
        </w:rPr>
        <w:t xml:space="preserve"> : </w:t>
      </w:r>
      <w:r w:rsidRPr="00393D65">
        <w:rPr>
          <w:i/>
          <w:lang w:val="en-US"/>
        </w:rPr>
        <w:t>Restructuring Insolvent Corporations</w:t>
      </w:r>
      <w:r w:rsidRPr="00393D65">
        <w:rPr>
          <w:lang w:val="en-US"/>
        </w:rPr>
        <w:t xml:space="preserve">. </w:t>
      </w:r>
      <w:r w:rsidR="008263C7" w:rsidRPr="00393D65">
        <w:rPr>
          <w:lang w:val="en-US"/>
        </w:rPr>
        <w:t xml:space="preserve"> </w:t>
      </w:r>
      <w:r w:rsidRPr="00393D65">
        <w:rPr>
          <w:lang w:val="en-US"/>
        </w:rPr>
        <w:t>Toronto</w:t>
      </w:r>
      <w:r w:rsidR="00D11FC4" w:rsidRPr="00393D65">
        <w:rPr>
          <w:lang w:val="en-US"/>
        </w:rPr>
        <w:t xml:space="preserve"> : </w:t>
      </w:r>
      <w:r w:rsidRPr="00393D65">
        <w:rPr>
          <w:lang w:val="en-US"/>
        </w:rPr>
        <w:t>University of Toronto Press, 2003.</w:t>
      </w:r>
    </w:p>
    <w:p w:rsidR="00D652A1" w:rsidRPr="00393D65" w:rsidRDefault="00D652A1" w:rsidP="00D652A1">
      <w:pPr>
        <w:pStyle w:val="SCCNormalDoubleSpacing"/>
        <w:spacing w:line="240" w:lineRule="auto"/>
        <w:ind w:left="540" w:hanging="540"/>
        <w:rPr>
          <w:lang w:val="en-US"/>
        </w:rPr>
      </w:pPr>
    </w:p>
    <w:p w:rsidR="00D652A1" w:rsidRPr="00393D65" w:rsidRDefault="008263C7" w:rsidP="00D652A1">
      <w:pPr>
        <w:pStyle w:val="SCCNormalDoubleSpacing"/>
        <w:spacing w:line="240" w:lineRule="auto"/>
        <w:ind w:left="540" w:hanging="540"/>
        <w:rPr>
          <w:lang w:val="en-US"/>
        </w:rPr>
      </w:pPr>
      <w:r w:rsidRPr="00393D65">
        <w:rPr>
          <w:lang w:val="en-US"/>
        </w:rPr>
        <w:t>Sarra, Janis </w:t>
      </w:r>
      <w:r w:rsidR="00D652A1" w:rsidRPr="00393D65">
        <w:rPr>
          <w:lang w:val="en-US"/>
        </w:rPr>
        <w:t>P.</w:t>
      </w:r>
      <w:r w:rsidR="00000CE0" w:rsidRPr="00393D65">
        <w:rPr>
          <w:lang w:val="en-US"/>
        </w:rPr>
        <w:t xml:space="preserve"> </w:t>
      </w:r>
      <w:r w:rsidR="00D652A1" w:rsidRPr="00393D65">
        <w:rPr>
          <w:lang w:val="en-US"/>
        </w:rPr>
        <w:t xml:space="preserve"> </w:t>
      </w:r>
      <w:r w:rsidR="00D652A1" w:rsidRPr="00393D65">
        <w:rPr>
          <w:i/>
          <w:lang w:val="en-US"/>
        </w:rPr>
        <w:t>Rescue! The Companies</w:t>
      </w:r>
      <w:r w:rsidR="00C03762">
        <w:rPr>
          <w:i/>
          <w:lang w:val="en-US"/>
        </w:rPr>
        <w:t>’</w:t>
      </w:r>
      <w:r w:rsidR="00D652A1" w:rsidRPr="00393D65">
        <w:rPr>
          <w:i/>
          <w:lang w:val="en-US"/>
        </w:rPr>
        <w:t xml:space="preserve"> Creditors Arrangement Act</w:t>
      </w:r>
      <w:r w:rsidR="00D652A1" w:rsidRPr="00393D65">
        <w:rPr>
          <w:lang w:val="en-US"/>
        </w:rPr>
        <w:t xml:space="preserve">. </w:t>
      </w:r>
      <w:r w:rsidR="00000CE0" w:rsidRPr="00393D65">
        <w:rPr>
          <w:lang w:val="en-US"/>
        </w:rPr>
        <w:t xml:space="preserve"> </w:t>
      </w:r>
      <w:r w:rsidR="00D652A1" w:rsidRPr="00393D65">
        <w:rPr>
          <w:lang w:val="en-US"/>
        </w:rPr>
        <w:t>Toronto</w:t>
      </w:r>
      <w:r w:rsidR="00D11FC4" w:rsidRPr="00393D65">
        <w:rPr>
          <w:lang w:val="en-US"/>
        </w:rPr>
        <w:t xml:space="preserve"> : </w:t>
      </w:r>
      <w:r w:rsidR="00D652A1" w:rsidRPr="00393D65">
        <w:rPr>
          <w:lang w:val="en-US"/>
        </w:rPr>
        <w:t>Thomson Carswell, 2007.</w:t>
      </w:r>
    </w:p>
    <w:p w:rsidR="00D652A1" w:rsidRPr="00393D65" w:rsidRDefault="00D652A1" w:rsidP="00D652A1">
      <w:pPr>
        <w:pStyle w:val="SCCNormalDoubleSpacing"/>
        <w:spacing w:line="240" w:lineRule="auto"/>
        <w:ind w:left="540" w:hanging="540"/>
        <w:rPr>
          <w:lang w:val="en-US"/>
        </w:rPr>
      </w:pPr>
    </w:p>
    <w:p w:rsidR="00C806C5" w:rsidRPr="00393D65" w:rsidRDefault="00C806C5" w:rsidP="00C806C5">
      <w:pPr>
        <w:pStyle w:val="SCCNormalDoubleSpacing"/>
        <w:spacing w:line="240" w:lineRule="auto"/>
        <w:ind w:left="540" w:hanging="540"/>
        <w:rPr>
          <w:lang w:val="en-CA"/>
        </w:rPr>
      </w:pPr>
      <w:r w:rsidRPr="00393D65">
        <w:rPr>
          <w:lang w:val="en-CA"/>
        </w:rPr>
        <w:t>Sullivan, Ruth.</w:t>
      </w:r>
      <w:r w:rsidR="00000CE0" w:rsidRPr="00393D65">
        <w:rPr>
          <w:lang w:val="en-CA"/>
        </w:rPr>
        <w:t xml:space="preserve"> </w:t>
      </w:r>
      <w:r w:rsidRPr="00393D65">
        <w:rPr>
          <w:lang w:val="en-CA"/>
        </w:rPr>
        <w:t xml:space="preserve"> </w:t>
      </w:r>
      <w:r w:rsidRPr="00393D65">
        <w:rPr>
          <w:i/>
          <w:lang w:val="en-CA"/>
        </w:rPr>
        <w:t>Sullivan on the Construction of Statutes</w:t>
      </w:r>
      <w:r w:rsidRPr="00393D65">
        <w:rPr>
          <w:lang w:val="en-CA"/>
        </w:rPr>
        <w:t>, 5th ed. Markham</w:t>
      </w:r>
      <w:r w:rsidR="008263C7" w:rsidRPr="00393D65">
        <w:rPr>
          <w:lang w:val="en-CA"/>
        </w:rPr>
        <w:t>, Ont. </w:t>
      </w:r>
      <w:r w:rsidRPr="00393D65">
        <w:rPr>
          <w:lang w:val="en-CA"/>
        </w:rPr>
        <w:t>: LexisNexis, 2008.</w:t>
      </w:r>
    </w:p>
    <w:p w:rsidR="00C806C5" w:rsidRPr="00393D65" w:rsidRDefault="00C806C5" w:rsidP="00D652A1">
      <w:pPr>
        <w:pStyle w:val="SCCNormalDoubleSpacing"/>
        <w:spacing w:line="240" w:lineRule="auto"/>
        <w:ind w:left="540" w:hanging="540"/>
        <w:rPr>
          <w:lang w:val="en-US"/>
        </w:rPr>
      </w:pPr>
    </w:p>
    <w:p w:rsidR="00D652A1" w:rsidRPr="00393D65" w:rsidRDefault="008263C7" w:rsidP="00D652A1">
      <w:pPr>
        <w:pStyle w:val="SCCNormalDoubleSpacing"/>
        <w:spacing w:line="240" w:lineRule="auto"/>
        <w:ind w:left="540" w:hanging="540"/>
        <w:rPr>
          <w:lang w:val="en-US"/>
        </w:rPr>
      </w:pPr>
      <w:r w:rsidRPr="00393D65">
        <w:rPr>
          <w:lang w:val="en-US"/>
        </w:rPr>
        <w:t>Waters, Donovan </w:t>
      </w:r>
      <w:r w:rsidR="00D652A1" w:rsidRPr="00393D65">
        <w:rPr>
          <w:lang w:val="en-US"/>
        </w:rPr>
        <w:t>W.</w:t>
      </w:r>
      <w:r w:rsidRPr="00393D65">
        <w:rPr>
          <w:lang w:val="en-US"/>
        </w:rPr>
        <w:t> </w:t>
      </w:r>
      <w:r w:rsidR="00D652A1" w:rsidRPr="00393D65">
        <w:rPr>
          <w:lang w:val="en-US"/>
        </w:rPr>
        <w:t>M., Mark</w:t>
      </w:r>
      <w:r w:rsidRPr="00393D65">
        <w:rPr>
          <w:lang w:val="en-US"/>
        </w:rPr>
        <w:t> R. Gillen and Lionel </w:t>
      </w:r>
      <w:r w:rsidR="00D652A1" w:rsidRPr="00393D65">
        <w:rPr>
          <w:lang w:val="en-US"/>
        </w:rPr>
        <w:t>D. Smith, eds.</w:t>
      </w:r>
      <w:r w:rsidR="00000CE0" w:rsidRPr="00393D65">
        <w:rPr>
          <w:lang w:val="en-US"/>
        </w:rPr>
        <w:t xml:space="preserve"> </w:t>
      </w:r>
      <w:r w:rsidR="00D652A1" w:rsidRPr="00393D65">
        <w:rPr>
          <w:lang w:val="en-US"/>
        </w:rPr>
        <w:t xml:space="preserve"> </w:t>
      </w:r>
      <w:r w:rsidR="00D652A1" w:rsidRPr="00393D65">
        <w:rPr>
          <w:i/>
          <w:lang w:val="en-US"/>
        </w:rPr>
        <w:t>Waters</w:t>
      </w:r>
      <w:r w:rsidR="00C03762">
        <w:rPr>
          <w:i/>
          <w:lang w:val="en-US"/>
        </w:rPr>
        <w:t>’</w:t>
      </w:r>
      <w:r w:rsidR="00D652A1" w:rsidRPr="00393D65">
        <w:rPr>
          <w:i/>
          <w:lang w:val="en-US"/>
        </w:rPr>
        <w:t xml:space="preserve"> Law of Trusts in Canada</w:t>
      </w:r>
      <w:r w:rsidR="00D652A1" w:rsidRPr="00393D65">
        <w:rPr>
          <w:lang w:val="en-US"/>
        </w:rPr>
        <w:t>, 3rd ed. Toronto</w:t>
      </w:r>
      <w:r w:rsidR="00D11FC4" w:rsidRPr="00393D65">
        <w:rPr>
          <w:lang w:val="en-CA"/>
        </w:rPr>
        <w:t xml:space="preserve"> : </w:t>
      </w:r>
      <w:r w:rsidR="00D652A1" w:rsidRPr="00393D65">
        <w:rPr>
          <w:lang w:val="en-US"/>
        </w:rPr>
        <w:t>Thomson Carswell, 2005.</w:t>
      </w:r>
    </w:p>
    <w:p w:rsidR="00D652A1" w:rsidRPr="00393D65" w:rsidRDefault="00D652A1" w:rsidP="00D652A1">
      <w:pPr>
        <w:pStyle w:val="SCCNormalDoubleSpacing"/>
        <w:spacing w:line="240" w:lineRule="auto"/>
        <w:ind w:left="540" w:hanging="540"/>
        <w:rPr>
          <w:lang w:val="en-US"/>
        </w:rPr>
      </w:pPr>
    </w:p>
    <w:p w:rsidR="00D652A1" w:rsidRPr="00393D65" w:rsidRDefault="008263C7" w:rsidP="008263C7">
      <w:pPr>
        <w:pStyle w:val="SCCNormalDoubleSpacing"/>
        <w:spacing w:after="720" w:line="240" w:lineRule="auto"/>
        <w:ind w:left="547" w:hanging="547"/>
      </w:pPr>
      <w:r w:rsidRPr="00393D65">
        <w:rPr>
          <w:lang w:val="en-US"/>
        </w:rPr>
        <w:t>Wood, Roderick </w:t>
      </w:r>
      <w:r w:rsidR="00D652A1" w:rsidRPr="00393D65">
        <w:rPr>
          <w:lang w:val="en-US"/>
        </w:rPr>
        <w:t xml:space="preserve">J. </w:t>
      </w:r>
      <w:r w:rsidR="00D652A1" w:rsidRPr="00393D65">
        <w:rPr>
          <w:i/>
          <w:lang w:val="en-US"/>
        </w:rPr>
        <w:t>Bankruptcy and Insolvency Law</w:t>
      </w:r>
      <w:r w:rsidR="00D652A1" w:rsidRPr="00393D65">
        <w:rPr>
          <w:lang w:val="en-US"/>
        </w:rPr>
        <w:t xml:space="preserve">. </w:t>
      </w:r>
      <w:r w:rsidR="00000CE0" w:rsidRPr="00393D65">
        <w:rPr>
          <w:lang w:val="en-US"/>
        </w:rPr>
        <w:t xml:space="preserve"> </w:t>
      </w:r>
      <w:r w:rsidR="00D652A1" w:rsidRPr="00393D65">
        <w:t>Toronto</w:t>
      </w:r>
      <w:r w:rsidR="00D11FC4" w:rsidRPr="00393D65">
        <w:t xml:space="preserve"> : </w:t>
      </w:r>
      <w:r w:rsidR="00D652A1" w:rsidRPr="00393D65">
        <w:t>Irwin Law, 2009.</w:t>
      </w:r>
    </w:p>
    <w:p w:rsidR="00BE12D6" w:rsidRPr="00393D65" w:rsidRDefault="009B57B3" w:rsidP="00BE12D6">
      <w:pPr>
        <w:pStyle w:val="SCCNormalDoubleSpacing"/>
      </w:pPr>
      <w:r w:rsidRPr="00393D65">
        <w:tab/>
      </w:r>
      <w:r w:rsidRPr="00393D65">
        <w:rPr>
          <w:lang w:val="fr-FR"/>
        </w:rPr>
        <w:t>P</w:t>
      </w:r>
      <w:r w:rsidR="0043088E" w:rsidRPr="00393D65">
        <w:rPr>
          <w:lang w:val="fr-FR"/>
        </w:rPr>
        <w:t>OURVOI contre un arrêt de la</w:t>
      </w:r>
      <w:r w:rsidRPr="00393D65">
        <w:rPr>
          <w:lang w:val="fr-FR"/>
        </w:rPr>
        <w:t xml:space="preserve"> Cour d</w:t>
      </w:r>
      <w:r w:rsidR="00C03762">
        <w:rPr>
          <w:lang w:val="fr-FR"/>
        </w:rPr>
        <w:t>’</w:t>
      </w:r>
      <w:r w:rsidRPr="00393D65">
        <w:rPr>
          <w:lang w:val="fr-FR"/>
        </w:rPr>
        <w:t xml:space="preserve">appel de la </w:t>
      </w:r>
      <w:r w:rsidR="00801207" w:rsidRPr="00393D65">
        <w:rPr>
          <w:lang w:val="fr-FR"/>
        </w:rPr>
        <w:t>Colombie</w:t>
      </w:r>
      <w:r w:rsidR="00000CE0" w:rsidRPr="00393D65">
        <w:rPr>
          <w:lang w:val="fr-FR"/>
        </w:rPr>
        <w:noBreakHyphen/>
      </w:r>
      <w:r w:rsidR="00801207" w:rsidRPr="00393D65">
        <w:rPr>
          <w:lang w:val="fr-FR"/>
        </w:rPr>
        <w:t xml:space="preserve">Britannique (les juges Newbury, Tysoe et Smith), </w:t>
      </w:r>
      <w:r w:rsidR="00BE12D6" w:rsidRPr="00393D65">
        <w:rPr>
          <w:lang w:val="fr-FR"/>
        </w:rPr>
        <w:t xml:space="preserve">2009 BCCA 205, 98 B.C.L.R. (4th) 242, 270 B.C.A.C. 167, 454 W.A.C. 167, [2009] 12 W.W.R. 684, [2009] </w:t>
      </w:r>
      <w:r w:rsidR="00000CE0" w:rsidRPr="00393D65">
        <w:rPr>
          <w:lang w:val="fr-FR"/>
        </w:rPr>
        <w:t>G.S.T.C. 79, [2009] B.C.J. No. </w:t>
      </w:r>
      <w:r w:rsidR="00BE12D6" w:rsidRPr="00393D65">
        <w:rPr>
          <w:lang w:val="fr-FR"/>
        </w:rPr>
        <w:t xml:space="preserve">918 (QL), 2009 CarswellBC 1195, </w:t>
      </w:r>
      <w:r w:rsidR="00352B1A">
        <w:rPr>
          <w:lang w:val="fr-FR"/>
        </w:rPr>
        <w:t xml:space="preserve">qui a infirmé </w:t>
      </w:r>
      <w:r w:rsidR="00BE12D6" w:rsidRPr="00393D65">
        <w:rPr>
          <w:lang w:val="fr-FR"/>
        </w:rPr>
        <w:t>une décision du juge</w:t>
      </w:r>
      <w:r w:rsidR="00DD7E3E" w:rsidRPr="00393D65">
        <w:rPr>
          <w:lang w:val="fr-FR"/>
        </w:rPr>
        <w:t xml:space="preserve"> en chef</w:t>
      </w:r>
      <w:r w:rsidR="00BE12D6" w:rsidRPr="00393D65">
        <w:rPr>
          <w:lang w:val="fr-FR"/>
        </w:rPr>
        <w:t xml:space="preserve"> Brenner, 2008 BCSC 1805, [2008] </w:t>
      </w:r>
      <w:r w:rsidR="00000CE0" w:rsidRPr="00393D65">
        <w:rPr>
          <w:lang w:val="fr-FR"/>
        </w:rPr>
        <w:t>G.S.T.C. 221, [2008] B.C.J. No. </w:t>
      </w:r>
      <w:r w:rsidR="00BE12D6" w:rsidRPr="00393D65">
        <w:rPr>
          <w:lang w:val="fr-FR"/>
        </w:rPr>
        <w:t xml:space="preserve">2611 (QL), 2008 CarswellBC 2895, </w:t>
      </w:r>
      <w:r w:rsidR="009D7C9F" w:rsidRPr="00393D65">
        <w:rPr>
          <w:lang w:val="fr-FR"/>
        </w:rPr>
        <w:t xml:space="preserve">qui a rejeté </w:t>
      </w:r>
      <w:r w:rsidR="001203AA" w:rsidRPr="00393D65">
        <w:rPr>
          <w:lang w:val="fr-FR"/>
        </w:rPr>
        <w:t>la</w:t>
      </w:r>
      <w:r w:rsidR="009D7C9F" w:rsidRPr="00393D65">
        <w:rPr>
          <w:lang w:val="fr-FR"/>
        </w:rPr>
        <w:t xml:space="preserve"> demande </w:t>
      </w:r>
      <w:r w:rsidR="001203AA" w:rsidRPr="00393D65">
        <w:rPr>
          <w:lang w:val="fr-FR"/>
        </w:rPr>
        <w:t>de</w:t>
      </w:r>
      <w:r w:rsidR="009D7C9F" w:rsidRPr="00393D65">
        <w:rPr>
          <w:lang w:val="fr-FR"/>
        </w:rPr>
        <w:t xml:space="preserve"> la Couronne </w:t>
      </w:r>
      <w:r w:rsidR="001203AA" w:rsidRPr="00393D65">
        <w:rPr>
          <w:lang w:val="fr-FR"/>
        </w:rPr>
        <w:t xml:space="preserve">sollicitant le paiement de </w:t>
      </w:r>
      <w:r w:rsidR="009D7C9F" w:rsidRPr="00393D65">
        <w:rPr>
          <w:lang w:val="fr-FR"/>
        </w:rPr>
        <w:t>la TPS</w:t>
      </w:r>
      <w:r w:rsidR="00BE12D6" w:rsidRPr="00393D65">
        <w:rPr>
          <w:lang w:val="fr-FR"/>
        </w:rPr>
        <w:t>.</w:t>
      </w:r>
      <w:r w:rsidR="00FA69AB" w:rsidRPr="00393D65">
        <w:rPr>
          <w:lang w:val="fr-FR"/>
        </w:rPr>
        <w:t xml:space="preserve"> </w:t>
      </w:r>
      <w:r w:rsidR="001203AA" w:rsidRPr="00393D65">
        <w:rPr>
          <w:lang w:val="fr-FR"/>
        </w:rPr>
        <w:t xml:space="preserve"> </w:t>
      </w:r>
      <w:r w:rsidR="005E529C" w:rsidRPr="00393D65">
        <w:t>Pourvoi accueilli, la juge</w:t>
      </w:r>
      <w:r w:rsidR="00FA69AB" w:rsidRPr="00393D65">
        <w:t xml:space="preserve"> Abella</w:t>
      </w:r>
      <w:r w:rsidR="005E529C" w:rsidRPr="00393D65">
        <w:t xml:space="preserve"> est</w:t>
      </w:r>
      <w:r w:rsidR="00FA69AB" w:rsidRPr="00393D65">
        <w:t xml:space="preserve"> diss</w:t>
      </w:r>
      <w:r w:rsidR="005E529C" w:rsidRPr="00393D65">
        <w:t>id</w:t>
      </w:r>
      <w:r w:rsidR="00FA69AB" w:rsidRPr="00393D65">
        <w:t>ent</w:t>
      </w:r>
      <w:r w:rsidR="005E529C" w:rsidRPr="00393D65">
        <w:t>e</w:t>
      </w:r>
      <w:r w:rsidR="00FA69AB" w:rsidRPr="00393D65">
        <w:t>.</w:t>
      </w:r>
    </w:p>
    <w:p w:rsidR="00966913" w:rsidRPr="00393D65" w:rsidRDefault="00966913" w:rsidP="00D74F2E">
      <w:pPr>
        <w:pStyle w:val="SCCNormalDoubleSpacing"/>
      </w:pPr>
    </w:p>
    <w:p w:rsidR="00603B64" w:rsidRPr="00393D65" w:rsidRDefault="00F96A7F">
      <w:pPr>
        <w:pStyle w:val="SCCNormalDoubleSpacing"/>
      </w:pPr>
      <w:r w:rsidRPr="00393D65">
        <w:rPr>
          <w:rStyle w:val="SCCCounselNameChar"/>
        </w:rPr>
        <w:tab/>
        <w:t>Mary</w:t>
      </w:r>
      <w:r w:rsidR="003B1A13" w:rsidRPr="00393D65">
        <w:rPr>
          <w:rStyle w:val="SCCCounselNameChar"/>
        </w:rPr>
        <w:t> </w:t>
      </w:r>
      <w:r w:rsidRPr="00393D65">
        <w:rPr>
          <w:rStyle w:val="SCCCounselNameChar"/>
        </w:rPr>
        <w:t>I.</w:t>
      </w:r>
      <w:r w:rsidR="001203AA" w:rsidRPr="00393D65">
        <w:rPr>
          <w:rStyle w:val="SCCCounselNameChar"/>
        </w:rPr>
        <w:t> </w:t>
      </w:r>
      <w:r w:rsidRPr="00393D65">
        <w:rPr>
          <w:rStyle w:val="SCCCounselNameChar"/>
        </w:rPr>
        <w:t>A. Buttery</w:t>
      </w:r>
      <w:r w:rsidRPr="00393D65">
        <w:rPr>
          <w:rStyle w:val="SCCCounselSeparatorChar"/>
        </w:rPr>
        <w:t xml:space="preserve">, </w:t>
      </w:r>
      <w:r w:rsidRPr="00393D65">
        <w:rPr>
          <w:rStyle w:val="SCCCounselNameChar"/>
        </w:rPr>
        <w:t>Owen</w:t>
      </w:r>
      <w:r w:rsidR="003B1A13" w:rsidRPr="00393D65">
        <w:rPr>
          <w:rStyle w:val="SCCCounselNameChar"/>
        </w:rPr>
        <w:t> </w:t>
      </w:r>
      <w:r w:rsidRPr="00393D65">
        <w:rPr>
          <w:rStyle w:val="SCCCounselNameChar"/>
        </w:rPr>
        <w:t>J. James</w:t>
      </w:r>
      <w:r w:rsidRPr="00393D65">
        <w:rPr>
          <w:rStyle w:val="SCCCounselSeparatorChar"/>
        </w:rPr>
        <w:t xml:space="preserve"> et </w:t>
      </w:r>
      <w:r w:rsidRPr="00393D65">
        <w:rPr>
          <w:rStyle w:val="SCCCounselNameChar"/>
        </w:rPr>
        <w:t>Matthew</w:t>
      </w:r>
      <w:r w:rsidR="003B1A13" w:rsidRPr="00393D65">
        <w:rPr>
          <w:rStyle w:val="SCCCounselNameChar"/>
        </w:rPr>
        <w:t> </w:t>
      </w:r>
      <w:r w:rsidRPr="00393D65">
        <w:rPr>
          <w:rStyle w:val="SCCCounselNameChar"/>
        </w:rPr>
        <w:t>J.</w:t>
      </w:r>
      <w:r w:rsidR="003B1A13" w:rsidRPr="00393D65">
        <w:rPr>
          <w:rStyle w:val="SCCCounselNameChar"/>
        </w:rPr>
        <w:t> </w:t>
      </w:r>
      <w:r w:rsidRPr="00393D65">
        <w:rPr>
          <w:rStyle w:val="SCCCounselNameChar"/>
        </w:rPr>
        <w:t>G. Curtis</w:t>
      </w:r>
      <w:r w:rsidR="00801207" w:rsidRPr="00393D65">
        <w:rPr>
          <w:rStyle w:val="SCCCounselPartyRoleChar"/>
        </w:rPr>
        <w:t>, pour l</w:t>
      </w:r>
      <w:r w:rsidR="00C03762">
        <w:rPr>
          <w:rStyle w:val="SCCCounselPartyRoleChar"/>
        </w:rPr>
        <w:t>’</w:t>
      </w:r>
      <w:r w:rsidRPr="00393D65">
        <w:rPr>
          <w:rStyle w:val="SCCCounselPartyRoleChar"/>
        </w:rPr>
        <w:t>appelant</w:t>
      </w:r>
      <w:r w:rsidR="00E7796C" w:rsidRPr="00393D65">
        <w:rPr>
          <w:rStyle w:val="SCCCounselPartyRoleChar"/>
        </w:rPr>
        <w:t>e</w:t>
      </w:r>
      <w:r w:rsidRPr="00393D65">
        <w:rPr>
          <w:rStyle w:val="SCCCounselPartyRoleChar"/>
        </w:rPr>
        <w:t>.</w:t>
      </w:r>
    </w:p>
    <w:p w:rsidR="00603B64" w:rsidRPr="00393D65" w:rsidRDefault="00603B64">
      <w:pPr>
        <w:pStyle w:val="SCCNormalDoubleSpacing"/>
      </w:pPr>
    </w:p>
    <w:p w:rsidR="00603B64" w:rsidRPr="00393D65" w:rsidRDefault="00F96A7F">
      <w:pPr>
        <w:pStyle w:val="SCCNormalDoubleSpacing"/>
      </w:pPr>
      <w:r w:rsidRPr="00393D65">
        <w:rPr>
          <w:rStyle w:val="SCCCounselNameChar"/>
        </w:rPr>
        <w:tab/>
      </w:r>
      <w:r w:rsidR="00801207" w:rsidRPr="00393D65">
        <w:rPr>
          <w:rStyle w:val="SCCCounselNameChar"/>
        </w:rPr>
        <w:t>Gordon Bourgard</w:t>
      </w:r>
      <w:r w:rsidR="004E487A" w:rsidRPr="00393D65">
        <w:rPr>
          <w:rStyle w:val="SCCCounselNameChar"/>
          <w:i w:val="0"/>
        </w:rPr>
        <w:t>,</w:t>
      </w:r>
      <w:r w:rsidR="004E487A" w:rsidRPr="00393D65">
        <w:rPr>
          <w:rStyle w:val="SCCCounselNameChar"/>
        </w:rPr>
        <w:t xml:space="preserve"> David Jacyk</w:t>
      </w:r>
      <w:r w:rsidR="004E487A" w:rsidRPr="00393D65">
        <w:rPr>
          <w:rStyle w:val="SCCCounselSeparatorChar"/>
        </w:rPr>
        <w:t xml:space="preserve"> </w:t>
      </w:r>
      <w:r w:rsidRPr="00393D65">
        <w:rPr>
          <w:rStyle w:val="SCCCounselSeparatorChar"/>
        </w:rPr>
        <w:t>et</w:t>
      </w:r>
      <w:r w:rsidR="00801207" w:rsidRPr="00393D65">
        <w:rPr>
          <w:rStyle w:val="SCCCounselSeparatorChar"/>
        </w:rPr>
        <w:t xml:space="preserve"> </w:t>
      </w:r>
      <w:r w:rsidR="00801207" w:rsidRPr="00393D65">
        <w:rPr>
          <w:rStyle w:val="SCCCounselSeparatorChar"/>
          <w:i/>
        </w:rPr>
        <w:t>Michael</w:t>
      </w:r>
      <w:r w:rsidR="003B1A13" w:rsidRPr="00393D65">
        <w:rPr>
          <w:rStyle w:val="SCCCounselSeparatorChar"/>
          <w:i/>
        </w:rPr>
        <w:t> </w:t>
      </w:r>
      <w:r w:rsidR="00FE6EBD" w:rsidRPr="00393D65">
        <w:rPr>
          <w:rStyle w:val="SCCCounselSeparatorChar"/>
          <w:i/>
        </w:rPr>
        <w:t xml:space="preserve">J. </w:t>
      </w:r>
      <w:r w:rsidR="00801207" w:rsidRPr="00393D65">
        <w:rPr>
          <w:rStyle w:val="SCCCounselSeparatorChar"/>
          <w:i/>
        </w:rPr>
        <w:t>Lema</w:t>
      </w:r>
      <w:r w:rsidRPr="00393D65">
        <w:rPr>
          <w:rStyle w:val="SCCCounselPartyRoleChar"/>
        </w:rPr>
        <w:t>, pour l</w:t>
      </w:r>
      <w:r w:rsidR="00C03762">
        <w:rPr>
          <w:rStyle w:val="SCCCounselPartyRoleChar"/>
        </w:rPr>
        <w:t>’</w:t>
      </w:r>
      <w:r w:rsidRPr="00393D65">
        <w:rPr>
          <w:rStyle w:val="SCCCounselPartyRoleChar"/>
        </w:rPr>
        <w:t>intimé.</w:t>
      </w:r>
    </w:p>
    <w:p w:rsidR="00603B64" w:rsidRPr="00393D65" w:rsidRDefault="00603B64">
      <w:pPr>
        <w:pStyle w:val="SCCNormalDoubleSpacing"/>
      </w:pPr>
    </w:p>
    <w:p w:rsidR="00B20558" w:rsidRDefault="00B20558" w:rsidP="00E4121C">
      <w:pPr>
        <w:tabs>
          <w:tab w:val="left" w:pos="-1440"/>
          <w:tab w:val="left" w:pos="-720"/>
          <w:tab w:val="left" w:pos="1170"/>
        </w:tabs>
        <w:spacing w:after="480" w:line="480" w:lineRule="auto"/>
        <w:jc w:val="both"/>
        <w:outlineLvl w:val="0"/>
      </w:pPr>
      <w:r>
        <w:tab/>
      </w:r>
      <w:r w:rsidR="00E4121C" w:rsidRPr="00284778">
        <w:rPr>
          <w:szCs w:val="24"/>
        </w:rPr>
        <w:t xml:space="preserve">Version française du jugement </w:t>
      </w:r>
      <w:r w:rsidR="00E4121C">
        <w:rPr>
          <w:szCs w:val="24"/>
        </w:rPr>
        <w:t xml:space="preserve">de la juge en chef McLachlin et </w:t>
      </w:r>
      <w:r w:rsidR="00E4121C" w:rsidRPr="00284778">
        <w:rPr>
          <w:szCs w:val="24"/>
        </w:rPr>
        <w:t xml:space="preserve">des juges </w:t>
      </w:r>
      <w:r w:rsidR="00E4121C">
        <w:rPr>
          <w:szCs w:val="24"/>
        </w:rPr>
        <w:t>Binnie, LeBel, Deschamps, Charron, Rothstein</w:t>
      </w:r>
      <w:r w:rsidR="00E4121C" w:rsidRPr="00284778">
        <w:rPr>
          <w:szCs w:val="24"/>
        </w:rPr>
        <w:t xml:space="preserve"> et C</w:t>
      </w:r>
      <w:r w:rsidR="00E4121C">
        <w:rPr>
          <w:szCs w:val="24"/>
        </w:rPr>
        <w:t>romwell</w:t>
      </w:r>
      <w:r w:rsidR="00E4121C" w:rsidRPr="00284778">
        <w:rPr>
          <w:szCs w:val="24"/>
        </w:rPr>
        <w:t xml:space="preserve"> rendu pa</w:t>
      </w:r>
      <w:r w:rsidR="00E4121C">
        <w:rPr>
          <w:szCs w:val="24"/>
        </w:rPr>
        <w:t>r</w:t>
      </w:r>
    </w:p>
    <w:p w:rsidR="008C3D0D" w:rsidRPr="00393D65" w:rsidRDefault="00E4121C" w:rsidP="008C3D0D">
      <w:pPr>
        <w:pStyle w:val="ListParagraph"/>
        <w:numPr>
          <w:ilvl w:val="0"/>
          <w:numId w:val="5"/>
        </w:numPr>
        <w:tabs>
          <w:tab w:val="left" w:pos="1170"/>
        </w:tabs>
        <w:spacing w:after="480" w:line="480" w:lineRule="auto"/>
        <w:ind w:left="0" w:firstLine="0"/>
        <w:jc w:val="both"/>
        <w:rPr>
          <w:lang w:val="fr-CA"/>
        </w:rPr>
      </w:pPr>
      <w:r w:rsidRPr="00E4121C">
        <w:rPr>
          <w:smallCaps/>
          <w:lang w:val="fr-CA"/>
        </w:rPr>
        <w:t>La juge Deschamps</w:t>
      </w:r>
      <w:r w:rsidRPr="00E4121C">
        <w:rPr>
          <w:lang w:val="fr-CA"/>
        </w:rPr>
        <w:t xml:space="preserve"> — </w:t>
      </w:r>
      <w:r w:rsidR="008C3D0D" w:rsidRPr="00393D65">
        <w:rPr>
          <w:lang w:val="fr-CA"/>
        </w:rPr>
        <w:t>C</w:t>
      </w:r>
      <w:r w:rsidR="00C03762">
        <w:rPr>
          <w:lang w:val="fr-CA"/>
        </w:rPr>
        <w:t>’</w:t>
      </w:r>
      <w:r w:rsidR="008C3D0D" w:rsidRPr="00393D65">
        <w:rPr>
          <w:lang w:val="fr-CA"/>
        </w:rPr>
        <w:t xml:space="preserve">est la première fois que la Cour est appelée à interpréter directement les dispositions de la </w:t>
      </w:r>
      <w:r w:rsidR="008C3D0D" w:rsidRPr="00393D65">
        <w:rPr>
          <w:i/>
          <w:lang w:val="fr-CA"/>
        </w:rPr>
        <w:t>Loi sur les arrangements avec les créanciers des compagnies</w:t>
      </w:r>
      <w:r w:rsidR="008C3D0D" w:rsidRPr="00393D65">
        <w:rPr>
          <w:lang w:val="fr-CA"/>
        </w:rPr>
        <w:t>,</w:t>
      </w:r>
      <w:r w:rsidR="008C3D0D" w:rsidRPr="00393D65">
        <w:rPr>
          <w:i/>
          <w:lang w:val="fr-CA"/>
        </w:rPr>
        <w:t xml:space="preserve"> </w:t>
      </w:r>
      <w:r w:rsidR="008C3D0D" w:rsidRPr="00393D65">
        <w:rPr>
          <w:lang w:val="fr-CA"/>
        </w:rPr>
        <w:t>L.R.C. 1985, ch. C</w:t>
      </w:r>
      <w:r w:rsidR="008C3D0D" w:rsidRPr="00393D65">
        <w:rPr>
          <w:lang w:val="fr-CA"/>
        </w:rPr>
        <w:noBreakHyphen/>
        <w:t>36 (« </w:t>
      </w:r>
      <w:r w:rsidR="008C3D0D" w:rsidRPr="00393D65">
        <w:rPr>
          <w:i/>
          <w:lang w:val="fr-CA"/>
        </w:rPr>
        <w:t>LACC </w:t>
      </w:r>
      <w:r w:rsidR="008C3D0D" w:rsidRPr="00393D65">
        <w:rPr>
          <w:lang w:val="fr-CA"/>
        </w:rPr>
        <w:t>»).  À cet égard, deux questions sont soulevées.  La première requiert la conciliation d</w:t>
      </w:r>
      <w:r w:rsidR="00C03762">
        <w:rPr>
          <w:lang w:val="fr-CA"/>
        </w:rPr>
        <w:t>’</w:t>
      </w:r>
      <w:r w:rsidR="008C3D0D" w:rsidRPr="00393D65">
        <w:rPr>
          <w:lang w:val="fr-CA"/>
        </w:rPr>
        <w:t xml:space="preserve">une disposition de la </w:t>
      </w:r>
      <w:r w:rsidR="008C3D0D" w:rsidRPr="00393D65">
        <w:rPr>
          <w:i/>
          <w:lang w:val="fr-CA"/>
        </w:rPr>
        <w:t>LACC</w:t>
      </w:r>
      <w:r w:rsidR="008C3D0D" w:rsidRPr="00393D65">
        <w:rPr>
          <w:lang w:val="fr-CA"/>
        </w:rPr>
        <w:t xml:space="preserve"> et d</w:t>
      </w:r>
      <w:r w:rsidR="00C03762">
        <w:rPr>
          <w:lang w:val="fr-CA"/>
        </w:rPr>
        <w:t>’</w:t>
      </w:r>
      <w:r w:rsidR="008C3D0D" w:rsidRPr="00393D65">
        <w:rPr>
          <w:lang w:val="fr-CA"/>
        </w:rPr>
        <w:t xml:space="preserve">une disposition de la </w:t>
      </w:r>
      <w:r w:rsidR="008C3D0D" w:rsidRPr="00393D65">
        <w:rPr>
          <w:i/>
          <w:lang w:val="fr-CA"/>
        </w:rPr>
        <w:t>Loi sur la taxe d</w:t>
      </w:r>
      <w:r w:rsidR="00C03762">
        <w:rPr>
          <w:i/>
          <w:lang w:val="fr-CA"/>
        </w:rPr>
        <w:t>’</w:t>
      </w:r>
      <w:r w:rsidR="008C3D0D" w:rsidRPr="00393D65">
        <w:rPr>
          <w:i/>
          <w:lang w:val="fr-CA"/>
        </w:rPr>
        <w:t>accise</w:t>
      </w:r>
      <w:r w:rsidR="008C3D0D" w:rsidRPr="00393D65">
        <w:rPr>
          <w:lang w:val="fr-CA"/>
        </w:rPr>
        <w:t>, L.R.C. 1985, ch. E</w:t>
      </w:r>
      <w:r w:rsidR="008C3D0D" w:rsidRPr="00393D65">
        <w:rPr>
          <w:lang w:val="fr-CA"/>
        </w:rPr>
        <w:noBreakHyphen/>
        <w:t>15 (« </w:t>
      </w:r>
      <w:r w:rsidR="008C3D0D" w:rsidRPr="00393D65">
        <w:rPr>
          <w:i/>
          <w:lang w:val="fr-CA"/>
        </w:rPr>
        <w:t>LTA </w:t>
      </w:r>
      <w:r w:rsidR="008C3D0D" w:rsidRPr="00393D65">
        <w:rPr>
          <w:lang w:val="fr-CA"/>
        </w:rPr>
        <w:t>»), qui, selon des juridictions inférieures, sont en conflit l</w:t>
      </w:r>
      <w:r w:rsidR="00C03762">
        <w:rPr>
          <w:lang w:val="fr-CA"/>
        </w:rPr>
        <w:t>’</w:t>
      </w:r>
      <w:r w:rsidR="008C3D0D" w:rsidRPr="00393D65">
        <w:rPr>
          <w:lang w:val="fr-CA"/>
        </w:rPr>
        <w:t>une avec l</w:t>
      </w:r>
      <w:r w:rsidR="00C03762">
        <w:rPr>
          <w:lang w:val="fr-CA"/>
        </w:rPr>
        <w:t>’</w:t>
      </w:r>
      <w:r w:rsidR="008C3D0D" w:rsidRPr="00393D65">
        <w:rPr>
          <w:lang w:val="fr-CA"/>
        </w:rPr>
        <w:t>autre.  La deuxième concerne la portée du pouvoir discrétionnaire du tribunal qui surveille une réorganisation.  Les dispositions législatives pertinentes sont reproduites en annexe.  Pour ce qui est de la première question, après avoir examiné l</w:t>
      </w:r>
      <w:r w:rsidR="00C03762">
        <w:rPr>
          <w:lang w:val="fr-CA"/>
        </w:rPr>
        <w:t>’</w:t>
      </w:r>
      <w:r w:rsidR="008C3D0D" w:rsidRPr="00393D65">
        <w:rPr>
          <w:lang w:val="fr-CA"/>
        </w:rPr>
        <w:t>évolution des priorités de la Couronne en matière d</w:t>
      </w:r>
      <w:r w:rsidR="00C03762">
        <w:rPr>
          <w:lang w:val="fr-CA"/>
        </w:rPr>
        <w:t>’</w:t>
      </w:r>
      <w:r w:rsidR="008C3D0D" w:rsidRPr="00393D65">
        <w:rPr>
          <w:lang w:val="fr-CA"/>
        </w:rPr>
        <w:t>insolvabilité et le libellé des diverses lois qui établissent ces priorités, j</w:t>
      </w:r>
      <w:r w:rsidR="00C03762">
        <w:rPr>
          <w:lang w:val="fr-CA"/>
        </w:rPr>
        <w:t>’</w:t>
      </w:r>
      <w:r w:rsidR="008C3D0D" w:rsidRPr="00393D65">
        <w:rPr>
          <w:lang w:val="fr-CA"/>
        </w:rPr>
        <w:t>arrive à la conclusion que c</w:t>
      </w:r>
      <w:r w:rsidR="00C03762">
        <w:rPr>
          <w:lang w:val="fr-CA"/>
        </w:rPr>
        <w:t>’</w:t>
      </w:r>
      <w:r w:rsidR="008C3D0D" w:rsidRPr="00393D65">
        <w:rPr>
          <w:lang w:val="fr-CA"/>
        </w:rPr>
        <w:t xml:space="preserve">est la </w:t>
      </w:r>
      <w:r w:rsidR="008C3D0D" w:rsidRPr="00393D65">
        <w:rPr>
          <w:i/>
          <w:lang w:val="fr-CA"/>
        </w:rPr>
        <w:t>LACC</w:t>
      </w:r>
      <w:r w:rsidR="008C3D0D" w:rsidRPr="00393D65">
        <w:rPr>
          <w:lang w:val="fr-CA"/>
        </w:rPr>
        <w:t xml:space="preserve">, et non la </w:t>
      </w:r>
      <w:r w:rsidR="008C3D0D" w:rsidRPr="00393D65">
        <w:rPr>
          <w:i/>
          <w:lang w:val="fr-CA"/>
        </w:rPr>
        <w:t>LTA</w:t>
      </w:r>
      <w:r w:rsidR="008C3D0D" w:rsidRPr="00393D65">
        <w:rPr>
          <w:lang w:val="fr-CA"/>
        </w:rPr>
        <w:t>, qui énonce la règle applicable.  Pour ce qui est de la seconde question, je conclus qu</w:t>
      </w:r>
      <w:r w:rsidR="00C03762">
        <w:rPr>
          <w:lang w:val="fr-CA"/>
        </w:rPr>
        <w:t>’</w:t>
      </w:r>
      <w:r w:rsidR="008C3D0D" w:rsidRPr="00393D65">
        <w:rPr>
          <w:lang w:val="fr-CA"/>
        </w:rPr>
        <w:t xml:space="preserve">il faut interpréter les larges pouvoirs discrétionnaires conférés au juge en tenant compte de la nature réparatrice de la </w:t>
      </w:r>
      <w:r w:rsidR="008C3D0D" w:rsidRPr="00393D65">
        <w:rPr>
          <w:i/>
          <w:lang w:val="fr-CA"/>
        </w:rPr>
        <w:t xml:space="preserve">LACC </w:t>
      </w:r>
      <w:r w:rsidR="008C3D0D" w:rsidRPr="00393D65">
        <w:rPr>
          <w:lang w:val="fr-CA"/>
        </w:rPr>
        <w:t>et de la législation sur l</w:t>
      </w:r>
      <w:r w:rsidR="00C03762">
        <w:rPr>
          <w:lang w:val="fr-CA"/>
        </w:rPr>
        <w:t>’</w:t>
      </w:r>
      <w:r w:rsidR="008C3D0D" w:rsidRPr="00393D65">
        <w:rPr>
          <w:lang w:val="fr-CA"/>
        </w:rPr>
        <w:t xml:space="preserve">insolvabilité en général.  Par conséquent, le tribunal avait le pouvoir discrétionnaire de lever partiellement la suspension des procédures pour permettre au débiteur de faire cession de ses biens en </w:t>
      </w:r>
      <w:r w:rsidR="008C3D0D" w:rsidRPr="00393D65">
        <w:rPr>
          <w:lang w:val="fr-CA"/>
        </w:rPr>
        <w:lastRenderedPageBreak/>
        <w:t xml:space="preserve">vertu de la </w:t>
      </w:r>
      <w:r w:rsidR="008C3D0D" w:rsidRPr="00393D65">
        <w:rPr>
          <w:i/>
          <w:lang w:val="fr-CA"/>
        </w:rPr>
        <w:t>Loi sur la faillite et l</w:t>
      </w:r>
      <w:r w:rsidR="00C03762">
        <w:rPr>
          <w:i/>
          <w:lang w:val="fr-CA"/>
        </w:rPr>
        <w:t>’</w:t>
      </w:r>
      <w:r w:rsidR="008C3D0D" w:rsidRPr="00393D65">
        <w:rPr>
          <w:i/>
          <w:lang w:val="fr-CA"/>
        </w:rPr>
        <w:t>insolvabilité</w:t>
      </w:r>
      <w:r w:rsidR="008C3D0D" w:rsidRPr="00393D65">
        <w:rPr>
          <w:lang w:val="fr-CA"/>
        </w:rPr>
        <w:t>, L.R.C. 1985, ch. B</w:t>
      </w:r>
      <w:r w:rsidR="008C3D0D" w:rsidRPr="00393D65">
        <w:rPr>
          <w:lang w:val="fr-CA"/>
        </w:rPr>
        <w:noBreakHyphen/>
        <w:t>3 (« </w:t>
      </w:r>
      <w:r w:rsidR="008C3D0D" w:rsidRPr="00393D65">
        <w:rPr>
          <w:i/>
          <w:lang w:val="fr-CA"/>
        </w:rPr>
        <w:t>LFI </w:t>
      </w:r>
      <w:r w:rsidR="008C3D0D" w:rsidRPr="00393D65">
        <w:rPr>
          <w:lang w:val="fr-CA"/>
        </w:rPr>
        <w:t>»).  Je suis d</w:t>
      </w:r>
      <w:r w:rsidR="00C03762">
        <w:rPr>
          <w:lang w:val="fr-CA"/>
        </w:rPr>
        <w:t>’</w:t>
      </w:r>
      <w:r w:rsidR="008C3D0D" w:rsidRPr="00393D65">
        <w:rPr>
          <w:lang w:val="fr-CA"/>
        </w:rPr>
        <w:t>avis d</w:t>
      </w:r>
      <w:r w:rsidR="00C03762">
        <w:rPr>
          <w:lang w:val="fr-CA"/>
        </w:rPr>
        <w:t>’</w:t>
      </w:r>
      <w:r w:rsidR="008C3D0D" w:rsidRPr="00393D65">
        <w:rPr>
          <w:lang w:val="fr-CA"/>
        </w:rPr>
        <w:t xml:space="preserve">accueillir le pourvoi. </w:t>
      </w:r>
    </w:p>
    <w:p w:rsidR="008C3D0D" w:rsidRPr="00393D65" w:rsidRDefault="00EF386C" w:rsidP="00EF386C">
      <w:pPr>
        <w:pStyle w:val="SCCNormalDoubleSpacing"/>
        <w:tabs>
          <w:tab w:val="left" w:pos="540"/>
        </w:tabs>
        <w:spacing w:after="480"/>
        <w:rPr>
          <w:i/>
        </w:rPr>
      </w:pPr>
      <w:r>
        <w:t>1.</w:t>
      </w:r>
      <w:r>
        <w:tab/>
      </w:r>
      <w:r w:rsidR="008C3D0D" w:rsidRPr="00EF386C">
        <w:rPr>
          <w:u w:val="single"/>
        </w:rPr>
        <w:t>Faits et décisions des juridictions inférieures</w:t>
      </w:r>
    </w:p>
    <w:p w:rsidR="008C3D0D" w:rsidRPr="00393D65" w:rsidRDefault="008C3D0D" w:rsidP="008C3D0D">
      <w:pPr>
        <w:pStyle w:val="ListParagraph"/>
        <w:numPr>
          <w:ilvl w:val="0"/>
          <w:numId w:val="5"/>
        </w:numPr>
        <w:tabs>
          <w:tab w:val="left" w:pos="1170"/>
        </w:tabs>
        <w:spacing w:after="480" w:line="480" w:lineRule="auto"/>
        <w:ind w:left="0" w:firstLine="0"/>
        <w:jc w:val="both"/>
        <w:rPr>
          <w:lang w:val="fr-CA"/>
        </w:rPr>
      </w:pPr>
      <w:r w:rsidRPr="00393D65">
        <w:rPr>
          <w:lang w:val="fr-CA"/>
        </w:rPr>
        <w:t xml:space="preserve">Le 13 décembre 2007, Ted LeRoy Trucking Ltd.  (« LeRoy Trucking ») a déposé une requête sous le régime de la </w:t>
      </w:r>
      <w:r w:rsidRPr="00393D65">
        <w:rPr>
          <w:i/>
          <w:lang w:val="fr-CA"/>
        </w:rPr>
        <w:t>LACC</w:t>
      </w:r>
      <w:r w:rsidRPr="00393D65">
        <w:rPr>
          <w:lang w:val="fr-CA"/>
        </w:rPr>
        <w:t xml:space="preserve"> devant la Cour suprême de la Colombie</w:t>
      </w:r>
      <w:r w:rsidRPr="00393D65">
        <w:rPr>
          <w:lang w:val="fr-CA"/>
        </w:rPr>
        <w:noBreakHyphen/>
        <w:t>Britannique et obtenu la suspension des procédures dans le but de réorganiser ses finances.  L</w:t>
      </w:r>
      <w:r w:rsidR="00C03762">
        <w:rPr>
          <w:lang w:val="fr-CA"/>
        </w:rPr>
        <w:t>’</w:t>
      </w:r>
      <w:r w:rsidRPr="00393D65">
        <w:rPr>
          <w:lang w:val="fr-CA"/>
        </w:rPr>
        <w:t>entreprise a vendu certains éléments d</w:t>
      </w:r>
      <w:r w:rsidR="00C03762">
        <w:rPr>
          <w:lang w:val="fr-CA"/>
        </w:rPr>
        <w:t>’</w:t>
      </w:r>
      <w:r w:rsidRPr="00393D65">
        <w:rPr>
          <w:lang w:val="fr-CA"/>
        </w:rPr>
        <w:t>actif excédentaires, comme l</w:t>
      </w:r>
      <w:r w:rsidR="00C03762">
        <w:rPr>
          <w:lang w:val="fr-CA"/>
        </w:rPr>
        <w:t>’</w:t>
      </w:r>
      <w:r w:rsidRPr="00393D65">
        <w:rPr>
          <w:lang w:val="fr-CA"/>
        </w:rPr>
        <w:t>y autorisait l</w:t>
      </w:r>
      <w:r w:rsidR="00C03762">
        <w:rPr>
          <w:lang w:val="fr-CA"/>
        </w:rPr>
        <w:t>’</w:t>
      </w:r>
      <w:r w:rsidRPr="00393D65">
        <w:rPr>
          <w:lang w:val="fr-CA"/>
        </w:rPr>
        <w:t>ordonnance.</w:t>
      </w:r>
    </w:p>
    <w:p w:rsidR="008C3D0D" w:rsidRPr="00393D65" w:rsidRDefault="008C3D0D" w:rsidP="008C3D0D">
      <w:pPr>
        <w:pStyle w:val="ListParagraph"/>
        <w:numPr>
          <w:ilvl w:val="0"/>
          <w:numId w:val="5"/>
        </w:numPr>
        <w:tabs>
          <w:tab w:val="left" w:pos="1170"/>
        </w:tabs>
        <w:spacing w:after="480" w:line="480" w:lineRule="auto"/>
        <w:ind w:left="0" w:firstLine="0"/>
        <w:jc w:val="both"/>
        <w:rPr>
          <w:lang w:val="fr-CA"/>
        </w:rPr>
      </w:pPr>
      <w:r w:rsidRPr="00393D65">
        <w:rPr>
          <w:lang w:val="fr-CA"/>
        </w:rPr>
        <w:t>Parmi les dettes de LeRoy Trucking figurait une somme perçue par celle</w:t>
      </w:r>
      <w:r w:rsidRPr="00393D65">
        <w:rPr>
          <w:lang w:val="fr-CA"/>
        </w:rPr>
        <w:noBreakHyphen/>
        <w:t xml:space="preserve">ci au titre de la taxe sur les produits et services (« TPS ») mais non versée à la Couronne.  La </w:t>
      </w:r>
      <w:r w:rsidRPr="00393D65">
        <w:rPr>
          <w:i/>
          <w:lang w:val="fr-CA"/>
        </w:rPr>
        <w:t>LTA</w:t>
      </w:r>
      <w:r w:rsidRPr="00393D65">
        <w:rPr>
          <w:lang w:val="fr-CA"/>
        </w:rPr>
        <w:t xml:space="preserve"> crée en faveur de la Couronne une fiducie réputée visant les sommes perçues au titre de la TPS.  Cette fiducie réputée s</w:t>
      </w:r>
      <w:r w:rsidR="00C03762">
        <w:rPr>
          <w:lang w:val="fr-CA"/>
        </w:rPr>
        <w:t>’</w:t>
      </w:r>
      <w:r w:rsidRPr="00393D65">
        <w:rPr>
          <w:lang w:val="fr-CA"/>
        </w:rPr>
        <w:t xml:space="preserve">applique à tout bien ou toute recette détenue par la personne qui perçoit la TPS et à tout bien de cette personne détenu par un créancier garanti, et le produit découlant de ces biens doit être payé à la Couronne par priorité sur tout droit en garantie.  Aux termes de la </w:t>
      </w:r>
      <w:r w:rsidRPr="00393D65">
        <w:rPr>
          <w:i/>
          <w:lang w:val="fr-CA"/>
        </w:rPr>
        <w:t>LTA</w:t>
      </w:r>
      <w:r w:rsidRPr="00393D65">
        <w:rPr>
          <w:lang w:val="fr-CA"/>
        </w:rPr>
        <w:t>,</w:t>
      </w:r>
      <w:r w:rsidRPr="00393D65">
        <w:rPr>
          <w:i/>
          <w:lang w:val="fr-CA"/>
        </w:rPr>
        <w:t xml:space="preserve"> </w:t>
      </w:r>
      <w:r w:rsidRPr="00393D65">
        <w:rPr>
          <w:lang w:val="fr-CA"/>
        </w:rPr>
        <w:t>la fiducie réputée s</w:t>
      </w:r>
      <w:r w:rsidR="00C03762">
        <w:rPr>
          <w:lang w:val="fr-CA"/>
        </w:rPr>
        <w:t>’</w:t>
      </w:r>
      <w:r w:rsidRPr="00393D65">
        <w:rPr>
          <w:lang w:val="fr-CA"/>
        </w:rPr>
        <w:t xml:space="preserve">applique malgré tout autre texte législatif du Canada sauf la </w:t>
      </w:r>
      <w:r w:rsidRPr="00393D65">
        <w:rPr>
          <w:i/>
          <w:lang w:val="fr-CA"/>
        </w:rPr>
        <w:t>LFI</w:t>
      </w:r>
      <w:r w:rsidRPr="00393D65">
        <w:rPr>
          <w:lang w:val="fr-CA"/>
        </w:rPr>
        <w:t xml:space="preserve">.  Cependant, la </w:t>
      </w:r>
      <w:r w:rsidRPr="00393D65">
        <w:rPr>
          <w:i/>
          <w:lang w:val="fr-CA"/>
        </w:rPr>
        <w:t xml:space="preserve">LACC </w:t>
      </w:r>
      <w:r w:rsidRPr="00393D65">
        <w:rPr>
          <w:lang w:val="fr-CA"/>
        </w:rPr>
        <w:t>prévoit également que, sous réserve de certaines exceptions, dont aucune ne concerne la TPS, ne s</w:t>
      </w:r>
      <w:r w:rsidR="00C03762">
        <w:rPr>
          <w:lang w:val="fr-CA"/>
        </w:rPr>
        <w:t>’</w:t>
      </w:r>
      <w:r w:rsidRPr="00393D65">
        <w:rPr>
          <w:lang w:val="fr-CA"/>
        </w:rPr>
        <w:t xml:space="preserve">appliquent pas sous son régime les fiducies réputées qui existent en faveur de la Couronne.  Par conséquent, pour ce qui est de la TPS, la Couronne est un créancier non garanti dans le cadre de cette loi.  Néanmoins, </w:t>
      </w:r>
      <w:r w:rsidRPr="00393D65">
        <w:rPr>
          <w:lang w:val="fr-CA"/>
        </w:rPr>
        <w:lastRenderedPageBreak/>
        <w:t>à l</w:t>
      </w:r>
      <w:r w:rsidR="00C03762">
        <w:rPr>
          <w:lang w:val="fr-CA"/>
        </w:rPr>
        <w:t>’</w:t>
      </w:r>
      <w:r w:rsidRPr="00393D65">
        <w:rPr>
          <w:lang w:val="fr-CA"/>
        </w:rPr>
        <w:t xml:space="preserve">époque où LeRoy Trucking a débuté ses procédures en vertu de la </w:t>
      </w:r>
      <w:r w:rsidRPr="00393D65">
        <w:rPr>
          <w:i/>
          <w:lang w:val="fr-CA"/>
        </w:rPr>
        <w:t>LACC</w:t>
      </w:r>
      <w:r w:rsidRPr="00393D65">
        <w:rPr>
          <w:lang w:val="fr-CA"/>
        </w:rPr>
        <w:t xml:space="preserve">, la jurisprudence dominante indiquait que la </w:t>
      </w:r>
      <w:r w:rsidRPr="00393D65">
        <w:rPr>
          <w:i/>
          <w:lang w:val="fr-CA"/>
        </w:rPr>
        <w:t>LTA</w:t>
      </w:r>
      <w:r w:rsidRPr="00393D65">
        <w:rPr>
          <w:lang w:val="fr-CA"/>
        </w:rPr>
        <w:t xml:space="preserve"> l</w:t>
      </w:r>
      <w:r w:rsidR="00C03762">
        <w:rPr>
          <w:lang w:val="fr-CA"/>
        </w:rPr>
        <w:t>’</w:t>
      </w:r>
      <w:r w:rsidRPr="00393D65">
        <w:rPr>
          <w:lang w:val="fr-CA"/>
        </w:rPr>
        <w:t xml:space="preserve">emportait sur la </w:t>
      </w:r>
      <w:r w:rsidRPr="00393D65">
        <w:rPr>
          <w:i/>
          <w:lang w:val="fr-CA"/>
        </w:rPr>
        <w:t>LACC</w:t>
      </w:r>
      <w:r w:rsidRPr="00393D65">
        <w:rPr>
          <w:lang w:val="fr-CA"/>
        </w:rPr>
        <w:t>, la Couronne jouissant ainsi d</w:t>
      </w:r>
      <w:r w:rsidR="00C03762">
        <w:rPr>
          <w:lang w:val="fr-CA"/>
        </w:rPr>
        <w:t>’</w:t>
      </w:r>
      <w:r w:rsidRPr="00393D65">
        <w:rPr>
          <w:lang w:val="fr-CA"/>
        </w:rPr>
        <w:t>un droit prioritaire à l</w:t>
      </w:r>
      <w:r w:rsidR="00C03762">
        <w:rPr>
          <w:lang w:val="fr-CA"/>
        </w:rPr>
        <w:t>’</w:t>
      </w:r>
      <w:r w:rsidRPr="00393D65">
        <w:rPr>
          <w:lang w:val="fr-CA"/>
        </w:rPr>
        <w:t xml:space="preserve">égard des créances relatives à la TPS dans le cadre de la </w:t>
      </w:r>
      <w:r w:rsidRPr="00393D65">
        <w:rPr>
          <w:i/>
          <w:lang w:val="fr-CA"/>
        </w:rPr>
        <w:t>LACC</w:t>
      </w:r>
      <w:r w:rsidRPr="00393D65">
        <w:rPr>
          <w:lang w:val="fr-CA"/>
        </w:rPr>
        <w:t>, malgré le fait qu</w:t>
      </w:r>
      <w:r w:rsidR="00C03762">
        <w:rPr>
          <w:lang w:val="fr-CA"/>
        </w:rPr>
        <w:t>’</w:t>
      </w:r>
      <w:r w:rsidRPr="00393D65">
        <w:rPr>
          <w:lang w:val="fr-CA"/>
        </w:rPr>
        <w:t xml:space="preserve">elle aurait perdu cette priorité en vertu de la </w:t>
      </w:r>
      <w:r w:rsidRPr="00393D65">
        <w:rPr>
          <w:i/>
          <w:lang w:val="fr-CA"/>
        </w:rPr>
        <w:t>LFI</w:t>
      </w:r>
      <w:r w:rsidRPr="00393D65">
        <w:rPr>
          <w:lang w:val="fr-CA"/>
        </w:rPr>
        <w:t xml:space="preserve">.  La </w:t>
      </w:r>
      <w:r w:rsidRPr="00393D65">
        <w:rPr>
          <w:i/>
          <w:lang w:val="fr-CA"/>
        </w:rPr>
        <w:t>LACC</w:t>
      </w:r>
      <w:r w:rsidRPr="00393D65">
        <w:rPr>
          <w:lang w:val="fr-CA"/>
        </w:rPr>
        <w:t xml:space="preserve"> a fait l</w:t>
      </w:r>
      <w:r w:rsidR="00C03762">
        <w:rPr>
          <w:lang w:val="fr-CA"/>
        </w:rPr>
        <w:t>’</w:t>
      </w:r>
      <w:r w:rsidRPr="00393D65">
        <w:rPr>
          <w:lang w:val="fr-CA"/>
        </w:rPr>
        <w:t>objet de modifications substantielles en 2005, et certaines des dispositions en cause dans le présent pourvoi ont alors été renumérotées et reformulées (L.C. 2005, ch. 47).  Mais ces modifications ne sont entrées en vigueur que le 18 septembre 2009.  Je ne me reporterai aux dispositions modifiées que lorsqu</w:t>
      </w:r>
      <w:r w:rsidR="00C03762">
        <w:rPr>
          <w:lang w:val="fr-CA"/>
        </w:rPr>
        <w:t>’</w:t>
      </w:r>
      <w:r w:rsidRPr="00393D65">
        <w:rPr>
          <w:lang w:val="fr-CA"/>
        </w:rPr>
        <w:t>il sera utile de le faire.</w:t>
      </w:r>
    </w:p>
    <w:p w:rsidR="008C3D0D" w:rsidRPr="00393D65" w:rsidRDefault="008C3D0D" w:rsidP="008C3D0D">
      <w:pPr>
        <w:pStyle w:val="ListParagraph"/>
        <w:numPr>
          <w:ilvl w:val="0"/>
          <w:numId w:val="5"/>
        </w:numPr>
        <w:tabs>
          <w:tab w:val="left" w:pos="1170"/>
        </w:tabs>
        <w:spacing w:after="480" w:line="480" w:lineRule="auto"/>
        <w:ind w:left="0" w:firstLine="0"/>
        <w:jc w:val="both"/>
        <w:rPr>
          <w:lang w:val="fr-CA"/>
        </w:rPr>
      </w:pPr>
      <w:r w:rsidRPr="00393D65">
        <w:rPr>
          <w:lang w:val="fr-CA"/>
        </w:rPr>
        <w:t>Le 29 avril 2008, le juge en chef Brenner de la Cour suprême de la Colombie</w:t>
      </w:r>
      <w:r w:rsidRPr="00393D65">
        <w:rPr>
          <w:lang w:val="fr-CA"/>
        </w:rPr>
        <w:noBreakHyphen/>
        <w:t xml:space="preserve">Britannique, dans le contexte des procédures intentées en vertu de la </w:t>
      </w:r>
      <w:r w:rsidRPr="00393D65">
        <w:rPr>
          <w:i/>
          <w:lang w:val="fr-CA"/>
        </w:rPr>
        <w:t>LACC</w:t>
      </w:r>
      <w:r w:rsidRPr="00393D65">
        <w:rPr>
          <w:lang w:val="fr-CA"/>
        </w:rPr>
        <w:t>, a approuvé le paiement à Century Services, le principal créancier garanti du débiteur, d</w:t>
      </w:r>
      <w:r w:rsidR="00C03762">
        <w:rPr>
          <w:lang w:val="fr-CA"/>
        </w:rPr>
        <w:t>’</w:t>
      </w:r>
      <w:r w:rsidRPr="00393D65">
        <w:rPr>
          <w:lang w:val="fr-CA"/>
        </w:rPr>
        <w:t>une somme d</w:t>
      </w:r>
      <w:r w:rsidR="00C03762">
        <w:rPr>
          <w:lang w:val="fr-CA"/>
        </w:rPr>
        <w:t>’</w:t>
      </w:r>
      <w:r w:rsidR="00751605">
        <w:rPr>
          <w:lang w:val="fr-CA"/>
        </w:rPr>
        <w:t>au plus cinq</w:t>
      </w:r>
      <w:r w:rsidRPr="00393D65">
        <w:rPr>
          <w:lang w:val="fr-CA"/>
        </w:rPr>
        <w:t> millions de dollars, soit le produit de la vente d</w:t>
      </w:r>
      <w:r w:rsidR="00C03762">
        <w:rPr>
          <w:lang w:val="fr-CA"/>
        </w:rPr>
        <w:t>’</w:t>
      </w:r>
      <w:r w:rsidRPr="00393D65">
        <w:rPr>
          <w:lang w:val="fr-CA"/>
        </w:rPr>
        <w:t>éléments d</w:t>
      </w:r>
      <w:r w:rsidR="00C03762">
        <w:rPr>
          <w:lang w:val="fr-CA"/>
        </w:rPr>
        <w:t>’</w:t>
      </w:r>
      <w:r w:rsidRPr="00393D65">
        <w:rPr>
          <w:lang w:val="fr-CA"/>
        </w:rPr>
        <w:t>actif excédentaires.  LeRoy Trucking a proposé de retenir un montant égal aux sommes perçues au titre de la TPS mais non versées à la Couronne et de le déposer dans le compte en fiducie du contrôleur jusqu</w:t>
      </w:r>
      <w:r w:rsidR="00C03762">
        <w:rPr>
          <w:lang w:val="fr-CA"/>
        </w:rPr>
        <w:t>’</w:t>
      </w:r>
      <w:r w:rsidRPr="00393D65">
        <w:rPr>
          <w:lang w:val="fr-CA"/>
        </w:rPr>
        <w:t>à ce que l</w:t>
      </w:r>
      <w:r w:rsidR="00C03762">
        <w:rPr>
          <w:lang w:val="fr-CA"/>
        </w:rPr>
        <w:t>’</w:t>
      </w:r>
      <w:r w:rsidRPr="00393D65">
        <w:rPr>
          <w:lang w:val="fr-CA"/>
        </w:rPr>
        <w:t>issue de la réorganisation soit connue.  Afin de maintenir le statu quo, en raison du succès incertain de la réorganisation, le juge en chef Brenner a accepté la proposition et ordonné qu</w:t>
      </w:r>
      <w:r w:rsidR="00C03762">
        <w:rPr>
          <w:lang w:val="fr-CA"/>
        </w:rPr>
        <w:t>’</w:t>
      </w:r>
      <w:r w:rsidRPr="00393D65">
        <w:rPr>
          <w:lang w:val="fr-CA"/>
        </w:rPr>
        <w:t>une somme de 305 202,30 $ soit détenue par le contrôleur dans son compte en fiducie.</w:t>
      </w:r>
    </w:p>
    <w:p w:rsidR="008C3D0D" w:rsidRPr="00393D65" w:rsidRDefault="008C3D0D" w:rsidP="008C3D0D">
      <w:pPr>
        <w:pStyle w:val="ListParagraph"/>
        <w:numPr>
          <w:ilvl w:val="0"/>
          <w:numId w:val="5"/>
        </w:numPr>
        <w:tabs>
          <w:tab w:val="left" w:pos="1170"/>
        </w:tabs>
        <w:spacing w:after="480" w:line="480" w:lineRule="auto"/>
        <w:ind w:left="0" w:firstLine="0"/>
        <w:jc w:val="both"/>
        <w:rPr>
          <w:lang w:val="fr-CA"/>
        </w:rPr>
      </w:pPr>
      <w:r w:rsidRPr="00393D65">
        <w:rPr>
          <w:lang w:val="fr-CA"/>
        </w:rPr>
        <w:lastRenderedPageBreak/>
        <w:t>Le 3 septembre 2008, ayant conclu que la réorganisation n</w:t>
      </w:r>
      <w:r w:rsidR="00C03762">
        <w:rPr>
          <w:lang w:val="fr-CA"/>
        </w:rPr>
        <w:t>’</w:t>
      </w:r>
      <w:r w:rsidRPr="00393D65">
        <w:rPr>
          <w:lang w:val="fr-CA"/>
        </w:rPr>
        <w:t>était pas possible, LeRoy Trucking a demandé à la Cour suprême de la Colombie</w:t>
      </w:r>
      <w:r w:rsidRPr="00393D65">
        <w:rPr>
          <w:lang w:val="fr-CA"/>
        </w:rPr>
        <w:noBreakHyphen/>
        <w:t>Britannique l</w:t>
      </w:r>
      <w:r w:rsidR="00C03762">
        <w:rPr>
          <w:lang w:val="fr-CA"/>
        </w:rPr>
        <w:t>’</w:t>
      </w:r>
      <w:r w:rsidRPr="00393D65">
        <w:rPr>
          <w:lang w:val="fr-CA"/>
        </w:rPr>
        <w:t xml:space="preserve">autorisation de faire cession de ses biens en vertu de la </w:t>
      </w:r>
      <w:r w:rsidRPr="00393D65">
        <w:rPr>
          <w:i/>
          <w:lang w:val="fr-CA"/>
        </w:rPr>
        <w:t>LFI</w:t>
      </w:r>
      <w:r w:rsidRPr="00393D65">
        <w:rPr>
          <w:lang w:val="fr-CA"/>
        </w:rPr>
        <w:t>.  Pour sa part, la Couronne a demandé au tribunal d</w:t>
      </w:r>
      <w:r w:rsidR="00C03762">
        <w:rPr>
          <w:lang w:val="fr-CA"/>
        </w:rPr>
        <w:t>’</w:t>
      </w:r>
      <w:r w:rsidRPr="00393D65">
        <w:rPr>
          <w:lang w:val="fr-CA"/>
        </w:rPr>
        <w:t>ordonner le paiement au receveur général du Canada de la somme détenue par le contrôleur au titre de la TPS.  Le juge en chef Brenner a rejeté cette dernière demande.  Selon lui, comme la détention des fonds dans le compte en fiducie du contrôleur visait à [</w:t>
      </w:r>
      <w:r w:rsidRPr="00393D65">
        <w:rPr>
          <w:smallCaps/>
          <w:lang w:val="fr-CA"/>
        </w:rPr>
        <w:t>traduction</w:t>
      </w:r>
      <w:r w:rsidRPr="00393D65">
        <w:rPr>
          <w:lang w:val="fr-CA"/>
        </w:rPr>
        <w:t>] « faciliter le paiement final des sommes de TPS qui étaient dues avant que l</w:t>
      </w:r>
      <w:r w:rsidR="00C03762">
        <w:rPr>
          <w:lang w:val="fr-CA"/>
        </w:rPr>
        <w:t>’</w:t>
      </w:r>
      <w:r w:rsidRPr="00393D65">
        <w:rPr>
          <w:lang w:val="fr-CA"/>
        </w:rPr>
        <w:t>entreprise ne débute les procédures, mais seulement si un plan viable était proposé », l</w:t>
      </w:r>
      <w:r w:rsidR="00C03762">
        <w:rPr>
          <w:lang w:val="fr-CA"/>
        </w:rPr>
        <w:t>’</w:t>
      </w:r>
      <w:r w:rsidRPr="00393D65">
        <w:rPr>
          <w:lang w:val="fr-CA"/>
        </w:rPr>
        <w:t>impossibilité de procéder à une telle réorganisation, suivie d</w:t>
      </w:r>
      <w:r w:rsidR="00C03762">
        <w:rPr>
          <w:lang w:val="fr-CA"/>
        </w:rPr>
        <w:t>’</w:t>
      </w:r>
      <w:r w:rsidRPr="00393D65">
        <w:rPr>
          <w:lang w:val="fr-CA"/>
        </w:rPr>
        <w:t xml:space="preserve">une cession de biens, signifiait que la Couronne perdrait sa priorité sous le régime de la </w:t>
      </w:r>
      <w:r w:rsidRPr="00393D65">
        <w:rPr>
          <w:i/>
          <w:lang w:val="fr-CA"/>
        </w:rPr>
        <w:t>LFI</w:t>
      </w:r>
      <w:r w:rsidR="00751605">
        <w:rPr>
          <w:lang w:val="fr-CA"/>
        </w:rPr>
        <w:t xml:space="preserve"> (2008 BCSC 1805, [2008</w:t>
      </w:r>
      <w:r w:rsidRPr="00393D65">
        <w:rPr>
          <w:lang w:val="fr-CA"/>
        </w:rPr>
        <w:t>] G.S.T.C. 221).</w:t>
      </w:r>
    </w:p>
    <w:p w:rsidR="008C3D0D" w:rsidRPr="00393D65" w:rsidRDefault="008C3D0D" w:rsidP="008C3D0D">
      <w:pPr>
        <w:pStyle w:val="ListParagraph"/>
        <w:numPr>
          <w:ilvl w:val="0"/>
          <w:numId w:val="5"/>
        </w:numPr>
        <w:tabs>
          <w:tab w:val="left" w:pos="1170"/>
        </w:tabs>
        <w:spacing w:after="480" w:line="480" w:lineRule="auto"/>
        <w:ind w:left="0" w:firstLine="0"/>
        <w:jc w:val="both"/>
        <w:rPr>
          <w:lang w:val="fr-CA"/>
        </w:rPr>
      </w:pPr>
      <w:r w:rsidRPr="00393D65">
        <w:rPr>
          <w:lang w:val="fr-CA"/>
        </w:rPr>
        <w:t>La Cour d</w:t>
      </w:r>
      <w:r w:rsidR="00C03762">
        <w:rPr>
          <w:lang w:val="fr-CA"/>
        </w:rPr>
        <w:t>’</w:t>
      </w:r>
      <w:r w:rsidRPr="00393D65">
        <w:rPr>
          <w:lang w:val="fr-CA"/>
        </w:rPr>
        <w:t>appel de la Colombie</w:t>
      </w:r>
      <w:r w:rsidRPr="00393D65">
        <w:rPr>
          <w:lang w:val="fr-CA"/>
        </w:rPr>
        <w:noBreakHyphen/>
        <w:t>Britannique a accueilli l</w:t>
      </w:r>
      <w:r w:rsidR="00C03762">
        <w:rPr>
          <w:lang w:val="fr-CA"/>
        </w:rPr>
        <w:t>’</w:t>
      </w:r>
      <w:r w:rsidRPr="00393D65">
        <w:rPr>
          <w:lang w:val="fr-CA"/>
        </w:rPr>
        <w:t>appel interjeté par la Couronne (2009 BCCA 205, 270 B.C.A.C. 167).  Rédigeant l</w:t>
      </w:r>
      <w:r w:rsidR="00C03762">
        <w:rPr>
          <w:lang w:val="fr-CA"/>
        </w:rPr>
        <w:t>’</w:t>
      </w:r>
      <w:r w:rsidRPr="00393D65">
        <w:rPr>
          <w:lang w:val="fr-CA"/>
        </w:rPr>
        <w:t xml:space="preserve">arrêt unanime de la </w:t>
      </w:r>
      <w:r w:rsidR="00751605">
        <w:rPr>
          <w:lang w:val="fr-CA"/>
        </w:rPr>
        <w:t>c</w:t>
      </w:r>
      <w:r w:rsidRPr="00393D65">
        <w:rPr>
          <w:lang w:val="fr-CA"/>
        </w:rPr>
        <w:t>our, le juge Tysoe a invoqué deux raisons distinctes pour y faire droit.</w:t>
      </w:r>
    </w:p>
    <w:p w:rsidR="008C3D0D" w:rsidRPr="00393D65" w:rsidRDefault="008C3D0D" w:rsidP="008C3D0D">
      <w:pPr>
        <w:pStyle w:val="ListParagraph"/>
        <w:numPr>
          <w:ilvl w:val="0"/>
          <w:numId w:val="5"/>
        </w:numPr>
        <w:tabs>
          <w:tab w:val="left" w:pos="1170"/>
        </w:tabs>
        <w:spacing w:after="480" w:line="480" w:lineRule="auto"/>
        <w:ind w:left="0" w:firstLine="0"/>
        <w:jc w:val="both"/>
        <w:rPr>
          <w:lang w:val="fr-CA"/>
        </w:rPr>
      </w:pPr>
      <w:r w:rsidRPr="00393D65">
        <w:rPr>
          <w:lang w:val="fr-CA"/>
        </w:rPr>
        <w:t>Premièrement, le juge d</w:t>
      </w:r>
      <w:r w:rsidR="00C03762">
        <w:rPr>
          <w:lang w:val="fr-CA"/>
        </w:rPr>
        <w:t>’</w:t>
      </w:r>
      <w:r w:rsidRPr="00393D65">
        <w:rPr>
          <w:lang w:val="fr-CA"/>
        </w:rPr>
        <w:t>appel Tysoe a conclu que le pouvoir conféré au tribunal par l</w:t>
      </w:r>
      <w:r w:rsidR="00C03762">
        <w:rPr>
          <w:lang w:val="fr-CA"/>
        </w:rPr>
        <w:t>’</w:t>
      </w:r>
      <w:r w:rsidRPr="00393D65">
        <w:rPr>
          <w:lang w:val="fr-CA"/>
        </w:rPr>
        <w:t xml:space="preserve">art. 11 de la </w:t>
      </w:r>
      <w:r w:rsidRPr="00393D65">
        <w:rPr>
          <w:i/>
          <w:lang w:val="fr-CA"/>
        </w:rPr>
        <w:t>LACC</w:t>
      </w:r>
      <w:r w:rsidRPr="00393D65">
        <w:rPr>
          <w:lang w:val="fr-CA"/>
        </w:rPr>
        <w:t xml:space="preserve"> n</w:t>
      </w:r>
      <w:r w:rsidR="00C03762">
        <w:rPr>
          <w:lang w:val="fr-CA"/>
        </w:rPr>
        <w:t>’</w:t>
      </w:r>
      <w:r w:rsidRPr="00393D65">
        <w:rPr>
          <w:lang w:val="fr-CA"/>
        </w:rPr>
        <w:t>autorisait pas ce dernier à rejeter la demande de la Couronne sollicitant le paiement immédiat des sommes de TPS faisant l</w:t>
      </w:r>
      <w:r w:rsidR="00C03762">
        <w:rPr>
          <w:lang w:val="fr-CA"/>
        </w:rPr>
        <w:t>’</w:t>
      </w:r>
      <w:r w:rsidRPr="00393D65">
        <w:rPr>
          <w:lang w:val="fr-CA"/>
        </w:rPr>
        <w:t>objet de la fiducie réputée, après qu</w:t>
      </w:r>
      <w:r w:rsidR="00C03762">
        <w:rPr>
          <w:lang w:val="fr-CA"/>
        </w:rPr>
        <w:t>’</w:t>
      </w:r>
      <w:r w:rsidRPr="00393D65">
        <w:rPr>
          <w:lang w:val="fr-CA"/>
        </w:rPr>
        <w:t>il fut devenu clair que la tentative de réorganisation avait échoué et que la faillite était inévitable.  Comme la restructuration n</w:t>
      </w:r>
      <w:r w:rsidR="00C03762">
        <w:rPr>
          <w:lang w:val="fr-CA"/>
        </w:rPr>
        <w:t>’</w:t>
      </w:r>
      <w:r w:rsidRPr="00393D65">
        <w:rPr>
          <w:lang w:val="fr-CA"/>
        </w:rPr>
        <w:t xml:space="preserve">était plus une possibilité, il ne servait plus à rien, dans le cadre de la </w:t>
      </w:r>
      <w:r w:rsidRPr="00393D65">
        <w:rPr>
          <w:i/>
          <w:lang w:val="fr-CA"/>
        </w:rPr>
        <w:t>LACC</w:t>
      </w:r>
      <w:r w:rsidRPr="00393D65">
        <w:rPr>
          <w:lang w:val="fr-CA"/>
        </w:rPr>
        <w:t xml:space="preserve">, de suspendre le </w:t>
      </w:r>
      <w:r w:rsidRPr="00393D65">
        <w:rPr>
          <w:lang w:val="fr-CA"/>
        </w:rPr>
        <w:lastRenderedPageBreak/>
        <w:t xml:space="preserve">paiement à la Couronne des sommes de TPS et le tribunal était tenu, en raison de la priorité établie par la </w:t>
      </w:r>
      <w:r w:rsidRPr="00393D65">
        <w:rPr>
          <w:i/>
          <w:lang w:val="fr-CA"/>
        </w:rPr>
        <w:t>LTA</w:t>
      </w:r>
      <w:r w:rsidRPr="00393D65">
        <w:rPr>
          <w:lang w:val="fr-CA"/>
        </w:rPr>
        <w:t>, d</w:t>
      </w:r>
      <w:r w:rsidR="00C03762">
        <w:rPr>
          <w:lang w:val="fr-CA"/>
        </w:rPr>
        <w:t>’</w:t>
      </w:r>
      <w:r w:rsidRPr="00393D65">
        <w:rPr>
          <w:lang w:val="fr-CA"/>
        </w:rPr>
        <w:t>en autoriser le versement à la Couronne.  Ce faisant, le juge Tysoe a adopté le raisonnement énoncé dans l</w:t>
      </w:r>
      <w:r w:rsidR="00C03762">
        <w:rPr>
          <w:lang w:val="fr-CA"/>
        </w:rPr>
        <w:t>’</w:t>
      </w:r>
      <w:r w:rsidRPr="00393D65">
        <w:rPr>
          <w:lang w:val="fr-CA"/>
        </w:rPr>
        <w:t xml:space="preserve">arrêt </w:t>
      </w:r>
      <w:r w:rsidRPr="00393D65">
        <w:rPr>
          <w:i/>
          <w:lang w:val="fr-CA"/>
        </w:rPr>
        <w:t xml:space="preserve">Ottawa Senators Hockey Club Corp. (Re) </w:t>
      </w:r>
      <w:r w:rsidRPr="00393D65">
        <w:rPr>
          <w:lang w:val="fr-CA"/>
        </w:rPr>
        <w:t xml:space="preserve">(2005), 73 O.R. (3d) 737 (C.A.), suivant lequel la fiducie réputée que crée la </w:t>
      </w:r>
      <w:r w:rsidRPr="00393D65">
        <w:rPr>
          <w:i/>
          <w:lang w:val="fr-CA"/>
        </w:rPr>
        <w:t>LTA</w:t>
      </w:r>
      <w:r w:rsidRPr="00393D65">
        <w:rPr>
          <w:lang w:val="fr-CA"/>
        </w:rPr>
        <w:t xml:space="preserve"> à l</w:t>
      </w:r>
      <w:r w:rsidR="00C03762">
        <w:rPr>
          <w:lang w:val="fr-CA"/>
        </w:rPr>
        <w:t>’</w:t>
      </w:r>
      <w:r w:rsidRPr="00393D65">
        <w:rPr>
          <w:lang w:val="fr-CA"/>
        </w:rPr>
        <w:t xml:space="preserve">égard des sommes dues au titre de la TPS établissait la priorité de la Couronne sur les créanciers garantis dans le cadre de la </w:t>
      </w:r>
      <w:r w:rsidRPr="00393D65">
        <w:rPr>
          <w:i/>
          <w:lang w:val="fr-CA"/>
        </w:rPr>
        <w:t>LACC</w:t>
      </w:r>
      <w:r w:rsidRPr="00393D65">
        <w:rPr>
          <w:lang w:val="fr-CA"/>
        </w:rPr>
        <w:t>.</w:t>
      </w:r>
    </w:p>
    <w:p w:rsidR="008C3D0D" w:rsidRPr="00393D65" w:rsidRDefault="008C3D0D" w:rsidP="008C3D0D">
      <w:pPr>
        <w:pStyle w:val="ListParagraph"/>
        <w:numPr>
          <w:ilvl w:val="0"/>
          <w:numId w:val="5"/>
        </w:numPr>
        <w:tabs>
          <w:tab w:val="left" w:pos="1170"/>
        </w:tabs>
        <w:spacing w:after="480" w:line="480" w:lineRule="auto"/>
        <w:ind w:left="0" w:firstLine="0"/>
        <w:jc w:val="both"/>
        <w:rPr>
          <w:lang w:val="fr-CA"/>
        </w:rPr>
      </w:pPr>
      <w:r w:rsidRPr="00393D65">
        <w:rPr>
          <w:lang w:val="fr-CA"/>
        </w:rPr>
        <w:t>Deuxièmement, le juge Tysoe a conclu que, en ordonnant la ségrégation des sommes de TPS dans le compte en fiducie du contrôleur le 29 avril 2008, le tribunal avait créé une fiducie expresse en faveur de la Couronne, et que les sommes visées ne pouvaient être utilisé</w:t>
      </w:r>
      <w:r w:rsidR="00C4683A">
        <w:rPr>
          <w:lang w:val="fr-CA"/>
        </w:rPr>
        <w:t>e</w:t>
      </w:r>
      <w:r w:rsidRPr="00393D65">
        <w:rPr>
          <w:lang w:val="fr-CA"/>
        </w:rPr>
        <w:t>s à quelque autre fin que ce soit.  En conséquence, la Cour d</w:t>
      </w:r>
      <w:r w:rsidR="00C03762">
        <w:rPr>
          <w:lang w:val="fr-CA"/>
        </w:rPr>
        <w:t>’</w:t>
      </w:r>
      <w:r w:rsidRPr="00393D65">
        <w:rPr>
          <w:lang w:val="fr-CA"/>
        </w:rPr>
        <w:t>appel a ordonné que les sommes détenues par le contrôleur en fiducie pour la Couronne soient versé</w:t>
      </w:r>
      <w:r w:rsidR="00C4683A">
        <w:rPr>
          <w:lang w:val="fr-CA"/>
        </w:rPr>
        <w:t>e</w:t>
      </w:r>
      <w:r w:rsidRPr="00393D65">
        <w:rPr>
          <w:lang w:val="fr-CA"/>
        </w:rPr>
        <w:t>s au receveur général.</w:t>
      </w:r>
    </w:p>
    <w:p w:rsidR="008C3D0D" w:rsidRPr="00393D65" w:rsidRDefault="008C3D0D" w:rsidP="00986528">
      <w:pPr>
        <w:pStyle w:val="SCCNormalDoubleSpacing"/>
        <w:tabs>
          <w:tab w:val="left" w:pos="540"/>
        </w:tabs>
        <w:spacing w:after="480"/>
      </w:pPr>
      <w:r w:rsidRPr="00393D65">
        <w:t>2.</w:t>
      </w:r>
      <w:r w:rsidR="00986528">
        <w:tab/>
      </w:r>
      <w:r w:rsidRPr="00986528">
        <w:rPr>
          <w:u w:val="single"/>
        </w:rPr>
        <w:t>Questions en litige</w:t>
      </w:r>
    </w:p>
    <w:p w:rsidR="008C3D0D" w:rsidRPr="00393D65" w:rsidRDefault="008C3D0D" w:rsidP="008C3D0D">
      <w:pPr>
        <w:pStyle w:val="ListParagraph"/>
        <w:numPr>
          <w:ilvl w:val="0"/>
          <w:numId w:val="5"/>
        </w:numPr>
        <w:tabs>
          <w:tab w:val="left" w:pos="1170"/>
        </w:tabs>
        <w:spacing w:after="480" w:line="480" w:lineRule="auto"/>
        <w:ind w:left="0" w:firstLine="0"/>
        <w:jc w:val="both"/>
        <w:rPr>
          <w:lang w:val="fr-CA"/>
        </w:rPr>
      </w:pPr>
      <w:r w:rsidRPr="00393D65">
        <w:rPr>
          <w:lang w:val="fr-CA"/>
        </w:rPr>
        <w:t>Le pourvoi soulève trois grandes questions que j</w:t>
      </w:r>
      <w:r w:rsidR="00C03762">
        <w:rPr>
          <w:lang w:val="fr-CA"/>
        </w:rPr>
        <w:t>’</w:t>
      </w:r>
      <w:r w:rsidRPr="00393D65">
        <w:rPr>
          <w:lang w:val="fr-CA"/>
        </w:rPr>
        <w:t xml:space="preserve">examinerai à tour de rôle : </w:t>
      </w:r>
    </w:p>
    <w:p w:rsidR="008C3D0D" w:rsidRPr="00393D65" w:rsidRDefault="00E4121C" w:rsidP="00E4121C">
      <w:pPr>
        <w:pStyle w:val="Citation"/>
        <w:spacing w:after="240" w:line="480" w:lineRule="auto"/>
        <w:ind w:left="1170" w:hanging="1170"/>
        <w:rPr>
          <w:lang w:val="fr-CA"/>
        </w:rPr>
      </w:pPr>
      <w:r>
        <w:rPr>
          <w:lang w:val="fr-CA"/>
        </w:rPr>
        <w:t>(</w:t>
      </w:r>
      <w:r w:rsidR="008C3D0D" w:rsidRPr="00393D65">
        <w:rPr>
          <w:lang w:val="fr-CA"/>
        </w:rPr>
        <w:t>1)</w:t>
      </w:r>
      <w:r w:rsidR="0043089D">
        <w:rPr>
          <w:lang w:val="fr-CA"/>
        </w:rPr>
        <w:tab/>
      </w:r>
      <w:r>
        <w:rPr>
          <w:lang w:val="fr-CA"/>
        </w:rPr>
        <w:t>Le paragraphe</w:t>
      </w:r>
      <w:r w:rsidR="008C3D0D" w:rsidRPr="00393D65">
        <w:rPr>
          <w:lang w:val="fr-CA"/>
        </w:rPr>
        <w:t xml:space="preserve"> 222(3) de la </w:t>
      </w:r>
      <w:r w:rsidR="008C3D0D" w:rsidRPr="00393D65">
        <w:rPr>
          <w:i/>
          <w:lang w:val="fr-CA"/>
        </w:rPr>
        <w:t>LTA</w:t>
      </w:r>
      <w:r w:rsidR="008C3D0D" w:rsidRPr="00393D65">
        <w:rPr>
          <w:lang w:val="fr-CA"/>
        </w:rPr>
        <w:t xml:space="preserve"> l</w:t>
      </w:r>
      <w:r w:rsidR="00C03762">
        <w:rPr>
          <w:lang w:val="fr-CA"/>
        </w:rPr>
        <w:t>’</w:t>
      </w:r>
      <w:r w:rsidR="008C3D0D" w:rsidRPr="00393D65">
        <w:rPr>
          <w:lang w:val="fr-CA"/>
        </w:rPr>
        <w:t>emporte</w:t>
      </w:r>
      <w:r w:rsidR="008C3D0D" w:rsidRPr="00393D65">
        <w:rPr>
          <w:lang w:val="fr-CA"/>
        </w:rPr>
        <w:noBreakHyphen/>
        <w:t>t</w:t>
      </w:r>
      <w:r w:rsidR="008C3D0D" w:rsidRPr="00393D65">
        <w:rPr>
          <w:lang w:val="fr-CA"/>
        </w:rPr>
        <w:noBreakHyphen/>
        <w:t xml:space="preserve">il sur le par. 18.3(1) de la </w:t>
      </w:r>
      <w:r w:rsidR="008C3D0D" w:rsidRPr="00393D65">
        <w:rPr>
          <w:i/>
          <w:lang w:val="fr-CA"/>
        </w:rPr>
        <w:t xml:space="preserve">LACC </w:t>
      </w:r>
      <w:r w:rsidR="008C3D0D" w:rsidRPr="00393D65">
        <w:rPr>
          <w:lang w:val="fr-CA"/>
        </w:rPr>
        <w:t>et donne</w:t>
      </w:r>
      <w:r w:rsidR="008C3D0D" w:rsidRPr="00393D65">
        <w:rPr>
          <w:lang w:val="fr-CA"/>
        </w:rPr>
        <w:noBreakHyphen/>
        <w:t>t</w:t>
      </w:r>
      <w:r w:rsidR="008C3D0D" w:rsidRPr="00393D65">
        <w:rPr>
          <w:lang w:val="fr-CA"/>
        </w:rPr>
        <w:noBreakHyphen/>
        <w:t xml:space="preserve">il priorité à la fiducie réputée qui est établie par la </w:t>
      </w:r>
      <w:r w:rsidR="008C3D0D" w:rsidRPr="00393D65">
        <w:rPr>
          <w:i/>
          <w:lang w:val="fr-CA"/>
        </w:rPr>
        <w:t>LTA</w:t>
      </w:r>
      <w:r w:rsidR="008C3D0D" w:rsidRPr="00393D65">
        <w:rPr>
          <w:lang w:val="fr-CA"/>
        </w:rPr>
        <w:t xml:space="preserve"> en faveur de la Couronne pendant des procédures régies par la </w:t>
      </w:r>
      <w:r w:rsidR="008C3D0D" w:rsidRPr="00393D65">
        <w:rPr>
          <w:i/>
          <w:lang w:val="fr-CA"/>
        </w:rPr>
        <w:t>LACC</w:t>
      </w:r>
      <w:r w:rsidR="008C3D0D" w:rsidRPr="00393D65">
        <w:rPr>
          <w:lang w:val="fr-CA"/>
        </w:rPr>
        <w:t>, comme il a été décidé dans l</w:t>
      </w:r>
      <w:r w:rsidR="00C03762">
        <w:rPr>
          <w:lang w:val="fr-CA"/>
        </w:rPr>
        <w:t>’</w:t>
      </w:r>
      <w:r w:rsidR="008C3D0D" w:rsidRPr="00393D65">
        <w:rPr>
          <w:lang w:val="fr-CA"/>
        </w:rPr>
        <w:t xml:space="preserve">arrêt </w:t>
      </w:r>
      <w:r w:rsidR="008C3D0D" w:rsidRPr="00393D65">
        <w:rPr>
          <w:i/>
          <w:lang w:val="fr-CA"/>
        </w:rPr>
        <w:t>Ottawa Senators</w:t>
      </w:r>
      <w:r w:rsidR="008C3D0D" w:rsidRPr="00393D65">
        <w:rPr>
          <w:lang w:val="fr-CA"/>
        </w:rPr>
        <w:t>?</w:t>
      </w:r>
    </w:p>
    <w:p w:rsidR="008C3D0D" w:rsidRPr="00393D65" w:rsidRDefault="008C3D0D" w:rsidP="008C3D0D">
      <w:pPr>
        <w:pStyle w:val="Citation"/>
        <w:spacing w:after="240" w:line="480" w:lineRule="auto"/>
        <w:rPr>
          <w:lang w:val="fr-CA"/>
        </w:rPr>
      </w:pPr>
    </w:p>
    <w:p w:rsidR="008C3D0D" w:rsidRPr="00393D65" w:rsidRDefault="00E4121C" w:rsidP="00E4121C">
      <w:pPr>
        <w:pStyle w:val="Citation"/>
        <w:spacing w:after="0" w:line="480" w:lineRule="auto"/>
        <w:ind w:left="1170" w:hanging="1170"/>
        <w:contextualSpacing w:val="0"/>
        <w:rPr>
          <w:lang w:val="fr-CA"/>
        </w:rPr>
      </w:pPr>
      <w:r>
        <w:rPr>
          <w:lang w:val="fr-CA"/>
        </w:rPr>
        <w:t>(</w:t>
      </w:r>
      <w:r w:rsidR="008C3D0D" w:rsidRPr="00393D65">
        <w:rPr>
          <w:lang w:val="fr-CA"/>
        </w:rPr>
        <w:t>2)</w:t>
      </w:r>
      <w:r w:rsidR="0043089D">
        <w:rPr>
          <w:lang w:val="fr-CA"/>
        </w:rPr>
        <w:tab/>
      </w:r>
      <w:r w:rsidR="008C3D0D" w:rsidRPr="00393D65">
        <w:rPr>
          <w:lang w:val="fr-CA"/>
        </w:rPr>
        <w:t>Le tribunal a</w:t>
      </w:r>
      <w:r w:rsidR="008C3D0D" w:rsidRPr="00393D65">
        <w:rPr>
          <w:lang w:val="fr-CA"/>
        </w:rPr>
        <w:noBreakHyphen/>
        <w:t>t</w:t>
      </w:r>
      <w:r w:rsidR="008C3D0D" w:rsidRPr="00393D65">
        <w:rPr>
          <w:lang w:val="fr-CA"/>
        </w:rPr>
        <w:noBreakHyphen/>
        <w:t xml:space="preserve">il outrepassé les pouvoirs qui lui étaient conférés par la </w:t>
      </w:r>
      <w:r w:rsidR="008C3D0D" w:rsidRPr="00393D65">
        <w:rPr>
          <w:i/>
          <w:lang w:val="fr-CA"/>
        </w:rPr>
        <w:t xml:space="preserve">LACC </w:t>
      </w:r>
      <w:r w:rsidR="008C3D0D" w:rsidRPr="00393D65">
        <w:rPr>
          <w:lang w:val="fr-CA"/>
        </w:rPr>
        <w:t>en levant la suspension des procédures dans le but de permettre au débiteur de faire cession de ses biens?</w:t>
      </w:r>
    </w:p>
    <w:p w:rsidR="008C3D0D" w:rsidRPr="00393D65" w:rsidRDefault="008C3D0D" w:rsidP="008C3D0D">
      <w:pPr>
        <w:pStyle w:val="Citation"/>
        <w:spacing w:after="240" w:line="480" w:lineRule="auto"/>
        <w:rPr>
          <w:lang w:val="fr-CA"/>
        </w:rPr>
      </w:pPr>
    </w:p>
    <w:p w:rsidR="008C3D0D" w:rsidRPr="00393D65" w:rsidRDefault="00E4121C" w:rsidP="00E4121C">
      <w:pPr>
        <w:pStyle w:val="Citation"/>
        <w:spacing w:line="480" w:lineRule="auto"/>
        <w:ind w:left="1170" w:hanging="1170"/>
        <w:rPr>
          <w:lang w:val="fr-CA"/>
        </w:rPr>
      </w:pPr>
      <w:r>
        <w:rPr>
          <w:lang w:val="fr-CA"/>
        </w:rPr>
        <w:t>(</w:t>
      </w:r>
      <w:r w:rsidR="008C3D0D" w:rsidRPr="00393D65">
        <w:rPr>
          <w:lang w:val="fr-CA"/>
        </w:rPr>
        <w:t>3)</w:t>
      </w:r>
      <w:r w:rsidR="0043089D">
        <w:rPr>
          <w:lang w:val="fr-CA"/>
        </w:rPr>
        <w:tab/>
      </w:r>
      <w:r w:rsidR="008C3D0D" w:rsidRPr="00393D65">
        <w:rPr>
          <w:lang w:val="fr-CA"/>
        </w:rPr>
        <w:t>L</w:t>
      </w:r>
      <w:r w:rsidR="00C03762">
        <w:rPr>
          <w:lang w:val="fr-CA"/>
        </w:rPr>
        <w:t>’</w:t>
      </w:r>
      <w:r w:rsidR="008C3D0D" w:rsidRPr="00393D65">
        <w:rPr>
          <w:lang w:val="fr-CA"/>
        </w:rPr>
        <w:t>ordonnance du tribunal datée du 29 avril 2008 exigeant que le montant de TPS réclamé par la Couronne soit détenu séparément dans le compte en fiducie du contrôleur a</w:t>
      </w:r>
      <w:r w:rsidR="008C3D0D" w:rsidRPr="00393D65">
        <w:rPr>
          <w:lang w:val="fr-CA"/>
        </w:rPr>
        <w:noBreakHyphen/>
        <w:t>t</w:t>
      </w:r>
      <w:r w:rsidR="008C3D0D" w:rsidRPr="00393D65">
        <w:rPr>
          <w:lang w:val="fr-CA"/>
        </w:rPr>
        <w:noBreakHyphen/>
        <w:t>elle créé une fiducie expresse en faveur de la Couronne à l</w:t>
      </w:r>
      <w:r w:rsidR="00C03762">
        <w:rPr>
          <w:lang w:val="fr-CA"/>
        </w:rPr>
        <w:t>’</w:t>
      </w:r>
      <w:r w:rsidR="008C3D0D" w:rsidRPr="00393D65">
        <w:rPr>
          <w:lang w:val="fr-CA"/>
        </w:rPr>
        <w:t>égard des fonds en question?</w:t>
      </w:r>
    </w:p>
    <w:p w:rsidR="008C3D0D" w:rsidRPr="00393D65" w:rsidRDefault="0043089D" w:rsidP="0043089D">
      <w:pPr>
        <w:pStyle w:val="SCCNormalDoubleSpacing"/>
        <w:tabs>
          <w:tab w:val="left" w:pos="540"/>
        </w:tabs>
        <w:spacing w:after="480"/>
      </w:pPr>
      <w:r>
        <w:t>3.</w:t>
      </w:r>
      <w:r>
        <w:tab/>
      </w:r>
      <w:r w:rsidR="008C3D0D" w:rsidRPr="0043089D">
        <w:rPr>
          <w:u w:val="single"/>
        </w:rPr>
        <w:t>Analyse</w:t>
      </w:r>
    </w:p>
    <w:p w:rsidR="008C3D0D" w:rsidRPr="00393D65" w:rsidRDefault="008C3D0D" w:rsidP="008C3D0D">
      <w:pPr>
        <w:pStyle w:val="ListParagraph"/>
        <w:numPr>
          <w:ilvl w:val="0"/>
          <w:numId w:val="5"/>
        </w:numPr>
        <w:tabs>
          <w:tab w:val="left" w:pos="1170"/>
          <w:tab w:val="left" w:pos="1440"/>
        </w:tabs>
        <w:spacing w:after="480" w:line="480" w:lineRule="auto"/>
        <w:ind w:left="0" w:firstLine="0"/>
        <w:jc w:val="both"/>
        <w:rPr>
          <w:lang w:val="fr-CA"/>
        </w:rPr>
      </w:pPr>
      <w:r w:rsidRPr="00393D65">
        <w:rPr>
          <w:lang w:val="fr-CA"/>
        </w:rPr>
        <w:t>La première question porte sur les priorités de la Couronne dans le contexte de l</w:t>
      </w:r>
      <w:r w:rsidR="00C03762">
        <w:rPr>
          <w:lang w:val="fr-CA"/>
        </w:rPr>
        <w:t>’</w:t>
      </w:r>
      <w:r w:rsidRPr="00393D65">
        <w:rPr>
          <w:lang w:val="fr-CA"/>
        </w:rPr>
        <w:t xml:space="preserve">insolvabilité.  Comme nous le verrons, la </w:t>
      </w:r>
      <w:r w:rsidRPr="00393D65">
        <w:rPr>
          <w:i/>
          <w:lang w:val="fr-CA"/>
        </w:rPr>
        <w:t xml:space="preserve">LTA </w:t>
      </w:r>
      <w:r w:rsidRPr="00393D65">
        <w:rPr>
          <w:lang w:val="fr-CA"/>
        </w:rPr>
        <w:t>crée en faveur de la Couronne une fiducie réputée à l</w:t>
      </w:r>
      <w:r w:rsidR="00C03762">
        <w:rPr>
          <w:lang w:val="fr-CA"/>
        </w:rPr>
        <w:t>’</w:t>
      </w:r>
      <w:r w:rsidRPr="00393D65">
        <w:rPr>
          <w:lang w:val="fr-CA"/>
        </w:rPr>
        <w:t xml:space="preserve">égard de la TPS due par un débiteur « [m]algré [. . .] tout autre texte législatif fédéral (sauf la </w:t>
      </w:r>
      <w:r w:rsidRPr="00393D65">
        <w:rPr>
          <w:i/>
          <w:lang w:val="fr-CA"/>
        </w:rPr>
        <w:t>Loi sur la faillite et l</w:t>
      </w:r>
      <w:r w:rsidR="00C03762">
        <w:rPr>
          <w:i/>
          <w:lang w:val="fr-CA"/>
        </w:rPr>
        <w:t>’</w:t>
      </w:r>
      <w:r w:rsidRPr="00393D65">
        <w:rPr>
          <w:i/>
          <w:lang w:val="fr-CA"/>
        </w:rPr>
        <w:t>insolvabilité</w:t>
      </w:r>
      <w:r w:rsidRPr="00393D65">
        <w:rPr>
          <w:lang w:val="fr-CA"/>
        </w:rPr>
        <w:t xml:space="preserve">) » (par. 222(3)), alors que selon la disposition de la </w:t>
      </w:r>
      <w:r w:rsidRPr="00393D65">
        <w:rPr>
          <w:i/>
          <w:lang w:val="fr-CA"/>
        </w:rPr>
        <w:t>LACC</w:t>
      </w:r>
      <w:r w:rsidRPr="00393D65">
        <w:rPr>
          <w:lang w:val="fr-CA"/>
        </w:rPr>
        <w:t xml:space="preserve"> en vigueur à l</w:t>
      </w:r>
      <w:r w:rsidR="00C03762">
        <w:rPr>
          <w:lang w:val="fr-CA"/>
        </w:rPr>
        <w:t>’</w:t>
      </w:r>
      <w:r w:rsidRPr="00393D65">
        <w:rPr>
          <w:lang w:val="fr-CA"/>
        </w:rPr>
        <w:t>époque, « par dérogation à toute disposition législative fédérale ou provinciale ayant pour effet d</w:t>
      </w:r>
      <w:r w:rsidR="00C03762">
        <w:rPr>
          <w:lang w:val="fr-CA"/>
        </w:rPr>
        <w:t>’</w:t>
      </w:r>
      <w:r w:rsidRPr="00393D65">
        <w:rPr>
          <w:lang w:val="fr-CA"/>
        </w:rPr>
        <w:t>assimiler certains biens à des biens détenus en fiducie pour Sa Majesté, aucun des biens de la compagnie débitrice ne peut être considéré comme [tel] » (par. 18.3(1)).  Il est difficile d</w:t>
      </w:r>
      <w:r w:rsidR="00C03762">
        <w:rPr>
          <w:lang w:val="fr-CA"/>
        </w:rPr>
        <w:t>’</w:t>
      </w:r>
      <w:r w:rsidRPr="00393D65">
        <w:rPr>
          <w:lang w:val="fr-CA"/>
        </w:rPr>
        <w:t xml:space="preserve">imaginer deux dispositions législatives plus contradictoires en </w:t>
      </w:r>
      <w:r w:rsidRPr="00393D65">
        <w:rPr>
          <w:lang w:val="fr-CA"/>
        </w:rPr>
        <w:lastRenderedPageBreak/>
        <w:t>apparence.  Cependant, comme c</w:t>
      </w:r>
      <w:r w:rsidR="00C03762">
        <w:rPr>
          <w:lang w:val="fr-CA"/>
        </w:rPr>
        <w:t>’</w:t>
      </w:r>
      <w:r w:rsidRPr="00393D65">
        <w:rPr>
          <w:lang w:val="fr-CA"/>
        </w:rPr>
        <w:t>est souvent le cas, le conflit apparent peut être résolu au moyen des principes d</w:t>
      </w:r>
      <w:r w:rsidR="00C03762">
        <w:rPr>
          <w:lang w:val="fr-CA"/>
        </w:rPr>
        <w:t>’</w:t>
      </w:r>
      <w:r w:rsidRPr="00393D65">
        <w:rPr>
          <w:lang w:val="fr-CA"/>
        </w:rPr>
        <w:t xml:space="preserve">interprétation législative. </w:t>
      </w:r>
    </w:p>
    <w:p w:rsidR="008C3D0D" w:rsidRPr="00393D65" w:rsidRDefault="008C3D0D" w:rsidP="008C3D0D">
      <w:pPr>
        <w:pStyle w:val="ListParagraph"/>
        <w:numPr>
          <w:ilvl w:val="0"/>
          <w:numId w:val="5"/>
        </w:numPr>
        <w:tabs>
          <w:tab w:val="left" w:pos="1170"/>
        </w:tabs>
        <w:spacing w:after="480" w:line="480" w:lineRule="auto"/>
        <w:ind w:left="0" w:firstLine="0"/>
        <w:jc w:val="both"/>
        <w:rPr>
          <w:lang w:val="fr-CA"/>
        </w:rPr>
      </w:pPr>
      <w:r w:rsidRPr="00393D65">
        <w:rPr>
          <w:lang w:val="fr-CA"/>
        </w:rPr>
        <w:t>Pour interpréter correctement ces dispositions, il faut examiner l</w:t>
      </w:r>
      <w:r w:rsidR="00C03762">
        <w:rPr>
          <w:lang w:val="fr-CA"/>
        </w:rPr>
        <w:t>’</w:t>
      </w:r>
      <w:r w:rsidRPr="00393D65">
        <w:rPr>
          <w:lang w:val="fr-CA"/>
        </w:rPr>
        <w:t xml:space="preserve">historique de la </w:t>
      </w:r>
      <w:r w:rsidRPr="00393D65">
        <w:rPr>
          <w:i/>
          <w:lang w:val="fr-CA"/>
        </w:rPr>
        <w:t>LACC</w:t>
      </w:r>
      <w:r w:rsidRPr="00393D65">
        <w:rPr>
          <w:lang w:val="fr-CA"/>
        </w:rPr>
        <w:t>, la fonction de cette loi parmi l</w:t>
      </w:r>
      <w:r w:rsidR="00C03762">
        <w:rPr>
          <w:lang w:val="fr-CA"/>
        </w:rPr>
        <w:t>’</w:t>
      </w:r>
      <w:r w:rsidRPr="00393D65">
        <w:rPr>
          <w:lang w:val="fr-CA"/>
        </w:rPr>
        <w:t>ensemble des textes adoptés par le législateur fédéral en matière d</w:t>
      </w:r>
      <w:r w:rsidR="00C03762">
        <w:rPr>
          <w:lang w:val="fr-CA"/>
        </w:rPr>
        <w:t>’</w:t>
      </w:r>
      <w:r w:rsidRPr="00393D65">
        <w:rPr>
          <w:lang w:val="fr-CA"/>
        </w:rPr>
        <w:t>insolvabilité et les principes reconnus dans la jurisprudence.  Nous verrons que les priorités de la Couronne en matière d</w:t>
      </w:r>
      <w:r w:rsidR="00C03762">
        <w:rPr>
          <w:lang w:val="fr-CA"/>
        </w:rPr>
        <w:t>’</w:t>
      </w:r>
      <w:r w:rsidRPr="00393D65">
        <w:rPr>
          <w:lang w:val="fr-CA"/>
        </w:rPr>
        <w:t xml:space="preserve">insolvabilité ont été restreintes de façon appréciable.  La réponse à la deuxième question repose aussi sur le contexte de la </w:t>
      </w:r>
      <w:r w:rsidRPr="00393D65">
        <w:rPr>
          <w:i/>
          <w:lang w:val="fr-CA"/>
        </w:rPr>
        <w:t>LACC</w:t>
      </w:r>
      <w:r w:rsidRPr="00393D65">
        <w:rPr>
          <w:lang w:val="fr-CA"/>
        </w:rPr>
        <w:t>, mais l</w:t>
      </w:r>
      <w:r w:rsidR="00C03762">
        <w:rPr>
          <w:lang w:val="fr-CA"/>
        </w:rPr>
        <w:t>’</w:t>
      </w:r>
      <w:r w:rsidRPr="00393D65">
        <w:rPr>
          <w:lang w:val="fr-CA"/>
        </w:rPr>
        <w:t>objectif de cette loi et l</w:t>
      </w:r>
      <w:r w:rsidR="00C03762">
        <w:rPr>
          <w:lang w:val="fr-CA"/>
        </w:rPr>
        <w:t>’</w:t>
      </w:r>
      <w:r w:rsidRPr="00393D65">
        <w:rPr>
          <w:lang w:val="fr-CA"/>
        </w:rPr>
        <w:t>interprétation qu</w:t>
      </w:r>
      <w:r w:rsidR="00C03762">
        <w:rPr>
          <w:lang w:val="fr-CA"/>
        </w:rPr>
        <w:t>’</w:t>
      </w:r>
      <w:r w:rsidRPr="00393D65">
        <w:rPr>
          <w:lang w:val="fr-CA"/>
        </w:rPr>
        <w:t>en a donnée la jurisprudence jouent également un rôle essentiel.  Après avoir examiné les deux premières questions soulevées en l</w:t>
      </w:r>
      <w:r w:rsidR="00C03762">
        <w:rPr>
          <w:lang w:val="fr-CA"/>
        </w:rPr>
        <w:t>’</w:t>
      </w:r>
      <w:r w:rsidRPr="00393D65">
        <w:rPr>
          <w:lang w:val="fr-CA"/>
        </w:rPr>
        <w:t>espèce, j</w:t>
      </w:r>
      <w:r w:rsidR="00C03762">
        <w:rPr>
          <w:lang w:val="fr-CA"/>
        </w:rPr>
        <w:t>’</w:t>
      </w:r>
      <w:r w:rsidRPr="00393D65">
        <w:rPr>
          <w:lang w:val="fr-CA"/>
        </w:rPr>
        <w:t>aborderai la conclusion du juge Tysoe selon laquelle l</w:t>
      </w:r>
      <w:r w:rsidR="00C03762">
        <w:rPr>
          <w:lang w:val="fr-CA"/>
        </w:rPr>
        <w:t>’</w:t>
      </w:r>
      <w:r w:rsidRPr="00393D65">
        <w:rPr>
          <w:lang w:val="fr-CA"/>
        </w:rPr>
        <w:t>ordonnance rendue par le tribunal le 29 avril 2008 a eu pour effet de créer une fiducie expresse en faveur de la Couronne.</w:t>
      </w:r>
    </w:p>
    <w:p w:rsidR="008C3D0D" w:rsidRPr="00393D65" w:rsidRDefault="008C3D0D" w:rsidP="00225BF4">
      <w:pPr>
        <w:pStyle w:val="SCCNormalDoubleSpacing"/>
        <w:tabs>
          <w:tab w:val="left" w:pos="540"/>
        </w:tabs>
        <w:spacing w:after="480"/>
        <w:rPr>
          <w:u w:val="single"/>
        </w:rPr>
      </w:pPr>
      <w:r w:rsidRPr="00393D65">
        <w:t>3.1</w:t>
      </w:r>
      <w:r w:rsidR="00225BF4">
        <w:tab/>
      </w:r>
      <w:r w:rsidRPr="00225BF4">
        <w:rPr>
          <w:i/>
        </w:rPr>
        <w:t>Objectif et portée du droit relatif à l</w:t>
      </w:r>
      <w:r w:rsidR="00C03762">
        <w:rPr>
          <w:i/>
        </w:rPr>
        <w:t>’</w:t>
      </w:r>
      <w:r w:rsidRPr="00225BF4">
        <w:rPr>
          <w:i/>
        </w:rPr>
        <w:t>insolvabilité</w:t>
      </w:r>
    </w:p>
    <w:p w:rsidR="008C3D0D" w:rsidRPr="00393D65" w:rsidRDefault="008C3D0D" w:rsidP="008C3D0D">
      <w:pPr>
        <w:pStyle w:val="ListParagraph"/>
        <w:numPr>
          <w:ilvl w:val="0"/>
          <w:numId w:val="5"/>
        </w:numPr>
        <w:tabs>
          <w:tab w:val="left" w:pos="1170"/>
        </w:tabs>
        <w:spacing w:after="480" w:line="480" w:lineRule="auto"/>
        <w:ind w:left="0" w:firstLine="0"/>
        <w:jc w:val="both"/>
        <w:rPr>
          <w:lang w:val="fr-CA"/>
        </w:rPr>
      </w:pPr>
      <w:r w:rsidRPr="00393D65">
        <w:rPr>
          <w:lang w:val="fr-CA"/>
        </w:rPr>
        <w:t>L</w:t>
      </w:r>
      <w:r w:rsidR="00C03762">
        <w:rPr>
          <w:lang w:val="fr-CA"/>
        </w:rPr>
        <w:t>’</w:t>
      </w:r>
      <w:r w:rsidRPr="00393D65">
        <w:rPr>
          <w:lang w:val="fr-CA"/>
        </w:rPr>
        <w:t>insolvabilité est la situation de fait qui se présente quand un débiteur n</w:t>
      </w:r>
      <w:r w:rsidR="00C03762">
        <w:rPr>
          <w:lang w:val="fr-CA"/>
        </w:rPr>
        <w:t>’</w:t>
      </w:r>
      <w:r w:rsidRPr="00393D65">
        <w:rPr>
          <w:lang w:val="fr-CA"/>
        </w:rPr>
        <w:t xml:space="preserve">est pas en mesure de payer ses créanciers (voir, généralement, R. J. Wood, </w:t>
      </w:r>
      <w:r w:rsidRPr="00393D65">
        <w:rPr>
          <w:i/>
          <w:lang w:val="fr-CA"/>
        </w:rPr>
        <w:t>Bankruptcy and Insolvency Law</w:t>
      </w:r>
      <w:r w:rsidRPr="00393D65">
        <w:rPr>
          <w:lang w:val="fr-CA"/>
        </w:rPr>
        <w:t xml:space="preserve"> (2009), p. 16).  Certaines procédures judiciaires peuvent être intentées en cas d</w:t>
      </w:r>
      <w:r w:rsidR="00C03762">
        <w:rPr>
          <w:lang w:val="fr-CA"/>
        </w:rPr>
        <w:t>’</w:t>
      </w:r>
      <w:r w:rsidRPr="00393D65">
        <w:rPr>
          <w:lang w:val="fr-CA"/>
        </w:rPr>
        <w:t>insolvabilité.  Ainsi, le débiteur peut généralement obtenir une ordonnance judiciaire ayant pour effet de suspendre les mesures d</w:t>
      </w:r>
      <w:r w:rsidR="00C03762">
        <w:rPr>
          <w:lang w:val="fr-CA"/>
        </w:rPr>
        <w:t>’</w:t>
      </w:r>
      <w:r w:rsidRPr="00393D65">
        <w:rPr>
          <w:lang w:val="fr-CA"/>
        </w:rPr>
        <w:t xml:space="preserve">exécution de ses créanciers, puis tenter de conclure avec eux une transaction à caractère exécutoire contenant des conditions de paiement plus réalistes.  Ou alors, les </w:t>
      </w:r>
      <w:r w:rsidRPr="00393D65">
        <w:rPr>
          <w:lang w:val="fr-CA"/>
        </w:rPr>
        <w:lastRenderedPageBreak/>
        <w:t>biens du débiteur sont liquidés et ses dettes sont remboursées sur le produit de cette liquidation, selon les règles de priorité établies par la loi.  Dans le premier cas, on emploie habituellement les termes de réorganisation ou de restructuration, alors que dans le second, on parle de liquidation.</w:t>
      </w:r>
    </w:p>
    <w:p w:rsidR="008C3D0D" w:rsidRPr="00393D65" w:rsidRDefault="008C3D0D" w:rsidP="008C3D0D">
      <w:pPr>
        <w:pStyle w:val="ListParagraph"/>
        <w:numPr>
          <w:ilvl w:val="0"/>
          <w:numId w:val="5"/>
        </w:numPr>
        <w:tabs>
          <w:tab w:val="left" w:pos="1170"/>
        </w:tabs>
        <w:spacing w:after="480" w:line="480" w:lineRule="auto"/>
        <w:ind w:left="0" w:firstLine="0"/>
        <w:jc w:val="both"/>
        <w:rPr>
          <w:lang w:val="fr-CA"/>
        </w:rPr>
      </w:pPr>
      <w:r w:rsidRPr="00393D65">
        <w:rPr>
          <w:lang w:val="fr-CA"/>
        </w:rPr>
        <w:t>Le droit canadien en matière d</w:t>
      </w:r>
      <w:r w:rsidR="00C03762">
        <w:rPr>
          <w:lang w:val="fr-CA"/>
        </w:rPr>
        <w:t>’</w:t>
      </w:r>
      <w:r w:rsidRPr="00393D65">
        <w:rPr>
          <w:lang w:val="fr-CA"/>
        </w:rPr>
        <w:t>insolvabilité commerciale n</w:t>
      </w:r>
      <w:r w:rsidR="00C03762">
        <w:rPr>
          <w:lang w:val="fr-CA"/>
        </w:rPr>
        <w:t>’</w:t>
      </w:r>
      <w:r w:rsidRPr="00393D65">
        <w:rPr>
          <w:lang w:val="fr-CA"/>
        </w:rPr>
        <w:t>est pas codifié dans une seule loi exhaustive.  En effet, le législateur a plutôt adopté plusieurs lois sur l</w:t>
      </w:r>
      <w:r w:rsidR="00C03762">
        <w:rPr>
          <w:lang w:val="fr-CA"/>
        </w:rPr>
        <w:t>’</w:t>
      </w:r>
      <w:r w:rsidRPr="00393D65">
        <w:rPr>
          <w:lang w:val="fr-CA"/>
        </w:rPr>
        <w:t xml:space="preserve">insolvabilité, la principale étant la </w:t>
      </w:r>
      <w:r w:rsidRPr="00393D65">
        <w:rPr>
          <w:i/>
          <w:lang w:val="fr-CA"/>
        </w:rPr>
        <w:t>LFI</w:t>
      </w:r>
      <w:r w:rsidRPr="00393D65">
        <w:rPr>
          <w:lang w:val="fr-CA"/>
        </w:rPr>
        <w:t>.  Cette dernière établit un régime juridique autonome qui concerne à la fois la réorganisation et la liquidation.  Bien qu</w:t>
      </w:r>
      <w:r w:rsidR="00C03762">
        <w:rPr>
          <w:lang w:val="fr-CA"/>
        </w:rPr>
        <w:t>’</w:t>
      </w:r>
      <w:r w:rsidRPr="00393D65">
        <w:rPr>
          <w:lang w:val="fr-CA"/>
        </w:rPr>
        <w:t xml:space="preserve">il existe depuis longtemps des mesures législatives relatives à la faillite, la </w:t>
      </w:r>
      <w:r w:rsidRPr="00393D65">
        <w:rPr>
          <w:i/>
          <w:lang w:val="fr-CA"/>
        </w:rPr>
        <w:t>LFI</w:t>
      </w:r>
      <w:r w:rsidRPr="00393D65">
        <w:rPr>
          <w:lang w:val="fr-CA"/>
        </w:rPr>
        <w:t xml:space="preserve"> elle</w:t>
      </w:r>
      <w:r w:rsidRPr="00393D65">
        <w:rPr>
          <w:lang w:val="fr-CA"/>
        </w:rPr>
        <w:noBreakHyphen/>
        <w:t xml:space="preserve">même est une loi assez récente ― elle a été adoptée en 1992.  Ses procédures se caractérisent par une approche fondée sur des règles préétablies.  Les débiteurs insolvables ― personnes physiques ou personnes morales ― qui doivent 1 000 $ ou plus peuvent recourir à la </w:t>
      </w:r>
      <w:r w:rsidRPr="00393D65">
        <w:rPr>
          <w:i/>
          <w:lang w:val="fr-CA"/>
        </w:rPr>
        <w:t>LFI</w:t>
      </w:r>
      <w:r w:rsidRPr="00393D65">
        <w:rPr>
          <w:lang w:val="fr-CA"/>
        </w:rPr>
        <w:t>.  Celle</w:t>
      </w:r>
      <w:r w:rsidRPr="00393D65">
        <w:rPr>
          <w:lang w:val="fr-CA"/>
        </w:rPr>
        <w:noBreakHyphen/>
        <w:t xml:space="preserve">ci comporte des mécanismes permettant au débiteur de présenter à ses créanciers une proposition de rajustement des dettes.  Si la proposition est rejetée, la </w:t>
      </w:r>
      <w:r w:rsidRPr="00393D65">
        <w:rPr>
          <w:i/>
          <w:lang w:val="fr-CA"/>
        </w:rPr>
        <w:t>LFI</w:t>
      </w:r>
      <w:r w:rsidRPr="00393D65">
        <w:rPr>
          <w:lang w:val="fr-CA"/>
        </w:rPr>
        <w:t xml:space="preserve"> établit la démarche aboutissant à la faillite : les biens du débiteur sont liquidés et le produit de cette liquidation est versé aux créanciers conformément à la répartition prévue par la loi. </w:t>
      </w:r>
    </w:p>
    <w:p w:rsidR="008C3D0D" w:rsidRPr="00393D65" w:rsidRDefault="008C3D0D" w:rsidP="008C3D0D">
      <w:pPr>
        <w:pStyle w:val="ListParagraph"/>
        <w:numPr>
          <w:ilvl w:val="0"/>
          <w:numId w:val="5"/>
        </w:numPr>
        <w:tabs>
          <w:tab w:val="left" w:pos="1170"/>
        </w:tabs>
        <w:spacing w:after="480" w:line="480" w:lineRule="auto"/>
        <w:ind w:left="0" w:firstLine="0"/>
        <w:jc w:val="both"/>
        <w:rPr>
          <w:lang w:val="fr-CA"/>
        </w:rPr>
      </w:pPr>
      <w:r w:rsidRPr="00393D65">
        <w:rPr>
          <w:lang w:val="fr-CA"/>
        </w:rPr>
        <w:t xml:space="preserve">La possibilité de recourir à la </w:t>
      </w:r>
      <w:r w:rsidRPr="00393D65">
        <w:rPr>
          <w:i/>
          <w:lang w:val="fr-CA"/>
        </w:rPr>
        <w:t>LACC</w:t>
      </w:r>
      <w:r w:rsidRPr="00393D65">
        <w:rPr>
          <w:lang w:val="fr-CA"/>
        </w:rPr>
        <w:t xml:space="preserve"> est plus restreinte.  Le débiteur doit être une compagnie dont les dettes dépassent </w:t>
      </w:r>
      <w:r w:rsidR="00C4683A">
        <w:rPr>
          <w:lang w:val="fr-CA"/>
        </w:rPr>
        <w:t>cinq</w:t>
      </w:r>
      <w:r w:rsidRPr="00393D65">
        <w:rPr>
          <w:lang w:val="fr-CA"/>
        </w:rPr>
        <w:t xml:space="preserve"> millions de dollars.  Contrairement à la </w:t>
      </w:r>
      <w:r w:rsidRPr="00393D65">
        <w:rPr>
          <w:i/>
          <w:lang w:val="fr-CA"/>
        </w:rPr>
        <w:t>LFI</w:t>
      </w:r>
      <w:r w:rsidRPr="00393D65">
        <w:rPr>
          <w:lang w:val="fr-CA"/>
        </w:rPr>
        <w:t xml:space="preserve">, la </w:t>
      </w:r>
      <w:r w:rsidRPr="00393D65">
        <w:rPr>
          <w:i/>
          <w:lang w:val="fr-CA"/>
        </w:rPr>
        <w:t>LACC</w:t>
      </w:r>
      <w:r w:rsidRPr="00393D65">
        <w:rPr>
          <w:lang w:val="fr-CA"/>
        </w:rPr>
        <w:t xml:space="preserve"> ne contient aucune disposition relative à la liquidation de l</w:t>
      </w:r>
      <w:r w:rsidR="00C03762">
        <w:rPr>
          <w:lang w:val="fr-CA"/>
        </w:rPr>
        <w:t>’</w:t>
      </w:r>
      <w:r w:rsidRPr="00393D65">
        <w:rPr>
          <w:lang w:val="fr-CA"/>
        </w:rPr>
        <w:t>actif d</w:t>
      </w:r>
      <w:r w:rsidR="00C03762">
        <w:rPr>
          <w:lang w:val="fr-CA"/>
        </w:rPr>
        <w:t>’</w:t>
      </w:r>
      <w:r w:rsidRPr="00393D65">
        <w:rPr>
          <w:lang w:val="fr-CA"/>
        </w:rPr>
        <w:t>un débiteur en cas d</w:t>
      </w:r>
      <w:r w:rsidR="00C03762">
        <w:rPr>
          <w:lang w:val="fr-CA"/>
        </w:rPr>
        <w:t>’</w:t>
      </w:r>
      <w:r w:rsidRPr="00393D65">
        <w:rPr>
          <w:lang w:val="fr-CA"/>
        </w:rPr>
        <w:t xml:space="preserve">échec de la réorganisation.  Une procédure engagée sous le </w:t>
      </w:r>
      <w:r w:rsidRPr="00393D65">
        <w:rPr>
          <w:lang w:val="fr-CA"/>
        </w:rPr>
        <w:lastRenderedPageBreak/>
        <w:t xml:space="preserve">régime de la </w:t>
      </w:r>
      <w:r w:rsidRPr="00393D65">
        <w:rPr>
          <w:i/>
          <w:lang w:val="fr-CA"/>
        </w:rPr>
        <w:t>LACC</w:t>
      </w:r>
      <w:r w:rsidRPr="00393D65">
        <w:rPr>
          <w:lang w:val="fr-CA"/>
        </w:rPr>
        <w:t xml:space="preserve"> peut se terminer de trois façons différentes.  Le scénario idéal survient dans les cas où la suspension des recours donne au débiteur un répit lui permettant de rétablir sa solvabilité et où le processus régi par la </w:t>
      </w:r>
      <w:r w:rsidRPr="00393D65">
        <w:rPr>
          <w:i/>
          <w:lang w:val="fr-CA"/>
        </w:rPr>
        <w:t>LACC</w:t>
      </w:r>
      <w:r w:rsidRPr="00393D65">
        <w:rPr>
          <w:lang w:val="fr-CA"/>
        </w:rPr>
        <w:t xml:space="preserve"> prend fin sans qu</w:t>
      </w:r>
      <w:r w:rsidR="00C03762">
        <w:rPr>
          <w:lang w:val="fr-CA"/>
        </w:rPr>
        <w:t>’</w:t>
      </w:r>
      <w:r w:rsidRPr="00393D65">
        <w:rPr>
          <w:lang w:val="fr-CA"/>
        </w:rPr>
        <w:t>une réorganisation soit nécessaire.  Le deuxième scénario le plus souhaitable est le cas où la transaction ou l</w:t>
      </w:r>
      <w:r w:rsidR="00C03762">
        <w:rPr>
          <w:lang w:val="fr-CA"/>
        </w:rPr>
        <w:t>’</w:t>
      </w:r>
      <w:r w:rsidRPr="00393D65">
        <w:rPr>
          <w:lang w:val="fr-CA"/>
        </w:rPr>
        <w:t xml:space="preserve">arrangement proposé par le débiteur est accepté par ses créanciers et où la compagnie réorganisée poursuit ses activités au terme de la procédure engagée en vertu de la </w:t>
      </w:r>
      <w:r w:rsidRPr="00393D65">
        <w:rPr>
          <w:i/>
          <w:lang w:val="fr-CA"/>
        </w:rPr>
        <w:t>LACC</w:t>
      </w:r>
      <w:r w:rsidRPr="00393D65">
        <w:rPr>
          <w:lang w:val="fr-CA"/>
        </w:rPr>
        <w:t>.  Enfin, dans le dernier scénario, la transaction ou l</w:t>
      </w:r>
      <w:r w:rsidR="00C03762">
        <w:rPr>
          <w:lang w:val="fr-CA"/>
        </w:rPr>
        <w:t>’</w:t>
      </w:r>
      <w:r w:rsidRPr="00393D65">
        <w:rPr>
          <w:lang w:val="fr-CA"/>
        </w:rPr>
        <w:t xml:space="preserve">arrangement échoue et la compagnie ou ses créanciers cherchent habituellement à obtenir la liquidation des biens en vertu des dispositions applicables de la </w:t>
      </w:r>
      <w:r w:rsidRPr="00393D65">
        <w:rPr>
          <w:i/>
          <w:lang w:val="fr-CA"/>
        </w:rPr>
        <w:t>LFI</w:t>
      </w:r>
      <w:r w:rsidRPr="00393D65">
        <w:rPr>
          <w:lang w:val="fr-CA"/>
        </w:rPr>
        <w:t xml:space="preserve"> ou la mise sous séquestre du débiteur.  Comme nous le verrons, la principale différence entre les régimes de réorganisation prévus par la </w:t>
      </w:r>
      <w:r w:rsidRPr="00393D65">
        <w:rPr>
          <w:i/>
          <w:lang w:val="fr-CA"/>
        </w:rPr>
        <w:t>LFI</w:t>
      </w:r>
      <w:r w:rsidRPr="00393D65">
        <w:rPr>
          <w:lang w:val="fr-CA"/>
        </w:rPr>
        <w:t xml:space="preserve"> et la </w:t>
      </w:r>
      <w:r w:rsidRPr="00393D65">
        <w:rPr>
          <w:i/>
          <w:lang w:val="fr-CA"/>
        </w:rPr>
        <w:t>LACC</w:t>
      </w:r>
      <w:r w:rsidRPr="00393D65">
        <w:rPr>
          <w:lang w:val="fr-CA"/>
        </w:rPr>
        <w:t xml:space="preserve"> est que le second établit un mécanisme plus souple, dans lequel les tribunaux disposent d</w:t>
      </w:r>
      <w:r w:rsidR="00C03762">
        <w:rPr>
          <w:lang w:val="fr-CA"/>
        </w:rPr>
        <w:t>’</w:t>
      </w:r>
      <w:r w:rsidRPr="00393D65">
        <w:rPr>
          <w:lang w:val="fr-CA"/>
        </w:rPr>
        <w:t>un plus grand pouvoir discrétionnaire, ce qui rend le mécanisme mieux adapté aux réorganisations complexes.</w:t>
      </w:r>
    </w:p>
    <w:p w:rsidR="008C3D0D" w:rsidRPr="00393D65" w:rsidRDefault="008C3D0D" w:rsidP="008C3D0D">
      <w:pPr>
        <w:pStyle w:val="ListParagraph"/>
        <w:numPr>
          <w:ilvl w:val="0"/>
          <w:numId w:val="5"/>
        </w:numPr>
        <w:tabs>
          <w:tab w:val="left" w:pos="1170"/>
        </w:tabs>
        <w:spacing w:after="480" w:line="480" w:lineRule="auto"/>
        <w:ind w:left="0" w:firstLine="0"/>
        <w:jc w:val="both"/>
        <w:rPr>
          <w:lang w:val="fr-CA"/>
        </w:rPr>
      </w:pPr>
      <w:r w:rsidRPr="00393D65">
        <w:rPr>
          <w:lang w:val="fr-CA"/>
        </w:rPr>
        <w:t xml:space="preserve">Comme je vais le préciser davantage plus loin, la </w:t>
      </w:r>
      <w:r w:rsidRPr="00393D65">
        <w:rPr>
          <w:i/>
          <w:lang w:val="fr-CA"/>
        </w:rPr>
        <w:t>LACC</w:t>
      </w:r>
      <w:r w:rsidRPr="00393D65">
        <w:rPr>
          <w:lang w:val="fr-CA"/>
        </w:rPr>
        <w:t xml:space="preserve"> — la première loi canadienne régissant la réorganisation — a pour objectif de permettre au débiteur de continuer d</w:t>
      </w:r>
      <w:r w:rsidR="00C03762">
        <w:rPr>
          <w:lang w:val="fr-CA"/>
        </w:rPr>
        <w:t>’</w:t>
      </w:r>
      <w:r w:rsidRPr="00393D65">
        <w:rPr>
          <w:lang w:val="fr-CA"/>
        </w:rPr>
        <w:t>exercer ses activités et, dans les cas où cela est possible, d</w:t>
      </w:r>
      <w:r w:rsidR="00C03762">
        <w:rPr>
          <w:lang w:val="fr-CA"/>
        </w:rPr>
        <w:t>’</w:t>
      </w:r>
      <w:r w:rsidRPr="00393D65">
        <w:rPr>
          <w:lang w:val="fr-CA"/>
        </w:rPr>
        <w:t xml:space="preserve">éviter les coûts sociaux et économiques liés à la liquidation de son actif.  Les propositions faites aux créanciers en vertu de la </w:t>
      </w:r>
      <w:r w:rsidRPr="00393D65">
        <w:rPr>
          <w:i/>
          <w:lang w:val="fr-CA"/>
        </w:rPr>
        <w:t>LFI</w:t>
      </w:r>
      <w:r w:rsidRPr="00393D65">
        <w:rPr>
          <w:lang w:val="fr-CA"/>
        </w:rPr>
        <w:t xml:space="preserve"> répondent au même objectif, mais au moyen d</w:t>
      </w:r>
      <w:r w:rsidR="00C03762">
        <w:rPr>
          <w:lang w:val="fr-CA"/>
        </w:rPr>
        <w:t>’</w:t>
      </w:r>
      <w:r w:rsidRPr="00393D65">
        <w:rPr>
          <w:lang w:val="fr-CA"/>
        </w:rPr>
        <w:t>un mécanisme fondé sur des règles et offrant moins de souplesse.  Quand la réorganisation s</w:t>
      </w:r>
      <w:r w:rsidR="00C03762">
        <w:rPr>
          <w:lang w:val="fr-CA"/>
        </w:rPr>
        <w:t>’</w:t>
      </w:r>
      <w:r w:rsidRPr="00393D65">
        <w:rPr>
          <w:lang w:val="fr-CA"/>
        </w:rPr>
        <w:t xml:space="preserve">avère impossible, les dispositions de la </w:t>
      </w:r>
      <w:r w:rsidRPr="00393D65">
        <w:rPr>
          <w:i/>
          <w:lang w:val="fr-CA"/>
        </w:rPr>
        <w:t>LFI</w:t>
      </w:r>
      <w:r w:rsidRPr="00393D65">
        <w:rPr>
          <w:lang w:val="fr-CA"/>
        </w:rPr>
        <w:t xml:space="preserve"> peuvent être appliquées </w:t>
      </w:r>
      <w:r w:rsidRPr="00393D65">
        <w:rPr>
          <w:lang w:val="fr-CA"/>
        </w:rPr>
        <w:lastRenderedPageBreak/>
        <w:t>pour répartir de manière ordonnée les biens du débiteur entre les créanciers, en fonction des règles de priorité qui y sont établies.</w:t>
      </w:r>
    </w:p>
    <w:p w:rsidR="008C3D0D" w:rsidRPr="00393D65" w:rsidRDefault="008C3D0D" w:rsidP="008C3D0D">
      <w:pPr>
        <w:pStyle w:val="ListParagraph"/>
        <w:numPr>
          <w:ilvl w:val="0"/>
          <w:numId w:val="5"/>
        </w:numPr>
        <w:tabs>
          <w:tab w:val="left" w:pos="1170"/>
        </w:tabs>
        <w:spacing w:after="480" w:line="480" w:lineRule="auto"/>
        <w:ind w:left="0" w:firstLine="0"/>
        <w:jc w:val="both"/>
        <w:rPr>
          <w:lang w:val="fr-CA"/>
        </w:rPr>
      </w:pPr>
      <w:r w:rsidRPr="00393D65">
        <w:rPr>
          <w:lang w:val="fr-CA"/>
        </w:rPr>
        <w:t>Avant l</w:t>
      </w:r>
      <w:r w:rsidR="00C03762">
        <w:rPr>
          <w:lang w:val="fr-CA"/>
        </w:rPr>
        <w:t>’</w:t>
      </w:r>
      <w:r w:rsidRPr="00393D65">
        <w:rPr>
          <w:lang w:val="fr-CA"/>
        </w:rPr>
        <w:t xml:space="preserve">adoption de la </w:t>
      </w:r>
      <w:r w:rsidRPr="00393D65">
        <w:rPr>
          <w:i/>
          <w:lang w:val="fr-CA"/>
        </w:rPr>
        <w:t xml:space="preserve">LACC </w:t>
      </w:r>
      <w:r w:rsidRPr="00393D65">
        <w:rPr>
          <w:lang w:val="fr-CA"/>
        </w:rPr>
        <w:t>en 1933 (S.C. 1932</w:t>
      </w:r>
      <w:r w:rsidRPr="00393D65">
        <w:rPr>
          <w:lang w:val="fr-CA"/>
        </w:rPr>
        <w:noBreakHyphen/>
        <w:t>33, ch. 36)</w:t>
      </w:r>
      <w:r w:rsidR="00D248DB">
        <w:rPr>
          <w:lang w:val="fr-CA"/>
        </w:rPr>
        <w:t>,</w:t>
      </w:r>
      <w:r w:rsidRPr="00393D65">
        <w:rPr>
          <w:lang w:val="fr-CA"/>
        </w:rPr>
        <w:t xml:space="preserve"> la liquidation de la compagnie débitrice constituait la pratique la plus courante en vertu de la législation existante en matière d</w:t>
      </w:r>
      <w:r w:rsidR="00C03762">
        <w:rPr>
          <w:lang w:val="fr-CA"/>
        </w:rPr>
        <w:t>’</w:t>
      </w:r>
      <w:r w:rsidRPr="00393D65">
        <w:rPr>
          <w:lang w:val="fr-CA"/>
        </w:rPr>
        <w:t xml:space="preserve">insolvabilité commerciale (J. Sarra, </w:t>
      </w:r>
      <w:r w:rsidRPr="00393D65">
        <w:rPr>
          <w:i/>
          <w:lang w:val="fr-CA"/>
        </w:rPr>
        <w:t>Creditor Rights and the Public Interest</w:t>
      </w:r>
      <w:r w:rsidR="00D248DB">
        <w:rPr>
          <w:i/>
          <w:lang w:val="fr-CA"/>
        </w:rPr>
        <w:t xml:space="preserve"> </w:t>
      </w:r>
      <w:r w:rsidRPr="00393D65">
        <w:rPr>
          <w:i/>
          <w:lang w:val="fr-CA"/>
        </w:rPr>
        <w:t>: Restructuring Insolvent Corporations</w:t>
      </w:r>
      <w:r w:rsidRPr="00393D65">
        <w:rPr>
          <w:lang w:val="fr-CA"/>
        </w:rPr>
        <w:t xml:space="preserve"> (2003), p. </w:t>
      </w:r>
      <w:r w:rsidR="00C4683A">
        <w:rPr>
          <w:lang w:val="fr-CA"/>
        </w:rPr>
        <w:t>12).  Les ravages de la Grande D</w:t>
      </w:r>
      <w:r w:rsidRPr="00393D65">
        <w:rPr>
          <w:lang w:val="fr-CA"/>
        </w:rPr>
        <w:t>épression sur les entreprises canadiennes et l</w:t>
      </w:r>
      <w:r w:rsidR="00C03762">
        <w:rPr>
          <w:lang w:val="fr-CA"/>
        </w:rPr>
        <w:t>’</w:t>
      </w:r>
      <w:r w:rsidRPr="00393D65">
        <w:rPr>
          <w:lang w:val="fr-CA"/>
        </w:rPr>
        <w:t>absence d</w:t>
      </w:r>
      <w:r w:rsidR="00C03762">
        <w:rPr>
          <w:lang w:val="fr-CA"/>
        </w:rPr>
        <w:t>’</w:t>
      </w:r>
      <w:r w:rsidRPr="00393D65">
        <w:rPr>
          <w:lang w:val="fr-CA"/>
        </w:rPr>
        <w:t>un mécanisme efficace susceptible de permettre aux débiteurs et aux créanciers d</w:t>
      </w:r>
      <w:r w:rsidR="00C03762">
        <w:rPr>
          <w:lang w:val="fr-CA"/>
        </w:rPr>
        <w:t>’</w:t>
      </w:r>
      <w:r w:rsidRPr="00393D65">
        <w:rPr>
          <w:lang w:val="fr-CA"/>
        </w:rPr>
        <w:t>arriver à des compromis afin d</w:t>
      </w:r>
      <w:r w:rsidR="00C03762">
        <w:rPr>
          <w:lang w:val="fr-CA"/>
        </w:rPr>
        <w:t>’</w:t>
      </w:r>
      <w:r w:rsidRPr="00393D65">
        <w:rPr>
          <w:lang w:val="fr-CA"/>
        </w:rPr>
        <w:t xml:space="preserve">éviter la liquidation commandaient une solution législative.  La </w:t>
      </w:r>
      <w:r w:rsidRPr="00393D65">
        <w:rPr>
          <w:i/>
          <w:lang w:val="fr-CA"/>
        </w:rPr>
        <w:t>LACC</w:t>
      </w:r>
      <w:r w:rsidRPr="00393D65">
        <w:rPr>
          <w:lang w:val="fr-CA"/>
        </w:rPr>
        <w:t xml:space="preserve"> a innové en permettant au débiteur insolvable de tenter une réorganisation sous surveillance judiciaire, hors du cadre de la législation existante en matière d</w:t>
      </w:r>
      <w:r w:rsidR="00C03762">
        <w:rPr>
          <w:lang w:val="fr-CA"/>
        </w:rPr>
        <w:t>’</w:t>
      </w:r>
      <w:r w:rsidRPr="00393D65">
        <w:rPr>
          <w:lang w:val="fr-CA"/>
        </w:rPr>
        <w:t>insolvabilité qui, une fois entrée en jeu, aboutissait presque invariablement à la liquidation (</w:t>
      </w:r>
      <w:r w:rsidRPr="00393D65">
        <w:rPr>
          <w:i/>
          <w:lang w:val="fr-CA"/>
        </w:rPr>
        <w:t>Reference re Companies</w:t>
      </w:r>
      <w:r w:rsidR="00C03762">
        <w:rPr>
          <w:i/>
          <w:lang w:val="fr-CA"/>
        </w:rPr>
        <w:t>’</w:t>
      </w:r>
      <w:r w:rsidRPr="00393D65">
        <w:rPr>
          <w:i/>
          <w:lang w:val="fr-CA"/>
        </w:rPr>
        <w:t xml:space="preserve"> Creditors Arrangement Act</w:t>
      </w:r>
      <w:r w:rsidRPr="00393D65">
        <w:rPr>
          <w:lang w:val="fr-CA"/>
        </w:rPr>
        <w:t>, [1934] R.C.S. 659, p. 660</w:t>
      </w:r>
      <w:r w:rsidRPr="00393D65">
        <w:rPr>
          <w:lang w:val="fr-CA"/>
        </w:rPr>
        <w:noBreakHyphen/>
        <w:t xml:space="preserve">661; Sarra, </w:t>
      </w:r>
      <w:r w:rsidRPr="00393D65">
        <w:rPr>
          <w:i/>
          <w:lang w:val="fr-CA"/>
        </w:rPr>
        <w:t>Creditor Rights</w:t>
      </w:r>
      <w:r w:rsidRPr="00393D65">
        <w:rPr>
          <w:lang w:val="fr-CA"/>
        </w:rPr>
        <w:t>, p. 12</w:t>
      </w:r>
      <w:r w:rsidRPr="00393D65">
        <w:rPr>
          <w:lang w:val="fr-CA"/>
        </w:rPr>
        <w:noBreakHyphen/>
        <w:t>13).</w:t>
      </w:r>
    </w:p>
    <w:p w:rsidR="008C3D0D" w:rsidRPr="00393D65" w:rsidRDefault="008C3D0D" w:rsidP="008C3D0D">
      <w:pPr>
        <w:pStyle w:val="ListParagraph"/>
        <w:numPr>
          <w:ilvl w:val="0"/>
          <w:numId w:val="5"/>
        </w:numPr>
        <w:tabs>
          <w:tab w:val="left" w:pos="1170"/>
        </w:tabs>
        <w:spacing w:after="480" w:line="480" w:lineRule="auto"/>
        <w:ind w:left="0" w:firstLine="0"/>
        <w:jc w:val="both"/>
        <w:rPr>
          <w:lang w:val="fr-CA"/>
        </w:rPr>
      </w:pPr>
      <w:r w:rsidRPr="00393D65">
        <w:rPr>
          <w:lang w:val="fr-CA"/>
        </w:rPr>
        <w:t>Le législateur comprenait, lorsqu</w:t>
      </w:r>
      <w:r w:rsidR="00C03762">
        <w:rPr>
          <w:lang w:val="fr-CA"/>
        </w:rPr>
        <w:t>’</w:t>
      </w:r>
      <w:r w:rsidRPr="00393D65">
        <w:rPr>
          <w:lang w:val="fr-CA"/>
        </w:rPr>
        <w:t xml:space="preserve">il a adopté la </w:t>
      </w:r>
      <w:r w:rsidRPr="00393D65">
        <w:rPr>
          <w:i/>
          <w:lang w:val="fr-CA"/>
        </w:rPr>
        <w:t>LACC</w:t>
      </w:r>
      <w:r w:rsidRPr="00393D65">
        <w:rPr>
          <w:lang w:val="fr-CA"/>
        </w:rPr>
        <w:t>, que la liquidation d</w:t>
      </w:r>
      <w:r w:rsidR="00C03762">
        <w:rPr>
          <w:lang w:val="fr-CA"/>
        </w:rPr>
        <w:t>’</w:t>
      </w:r>
      <w:r w:rsidRPr="00393D65">
        <w:rPr>
          <w:lang w:val="fr-CA"/>
        </w:rPr>
        <w:t xml:space="preserve">une compagnie insolvable causait préjudice à la plupart des personnes touchées — notamment les créanciers et les employés — et que la meilleure solution consistait dans un arrangement permettant à la compagnie de survivre (Sarra, </w:t>
      </w:r>
      <w:r w:rsidRPr="00393D65">
        <w:rPr>
          <w:i/>
          <w:lang w:val="fr-CA"/>
        </w:rPr>
        <w:t>Creditor Rights</w:t>
      </w:r>
      <w:r w:rsidRPr="00393D65">
        <w:rPr>
          <w:lang w:val="fr-CA"/>
        </w:rPr>
        <w:t>, p. 13</w:t>
      </w:r>
      <w:r w:rsidRPr="00393D65">
        <w:rPr>
          <w:lang w:val="fr-CA"/>
        </w:rPr>
        <w:noBreakHyphen/>
        <w:t>15).</w:t>
      </w:r>
    </w:p>
    <w:p w:rsidR="008C3D0D" w:rsidRPr="00393D65" w:rsidRDefault="008C3D0D" w:rsidP="008C3D0D">
      <w:pPr>
        <w:pStyle w:val="ListParagraph"/>
        <w:numPr>
          <w:ilvl w:val="0"/>
          <w:numId w:val="5"/>
        </w:numPr>
        <w:tabs>
          <w:tab w:val="left" w:pos="1170"/>
        </w:tabs>
        <w:spacing w:after="480" w:line="480" w:lineRule="auto"/>
        <w:ind w:left="0" w:firstLine="0"/>
        <w:jc w:val="both"/>
        <w:rPr>
          <w:lang w:val="fr-CA"/>
        </w:rPr>
      </w:pPr>
      <w:r w:rsidRPr="00393D65">
        <w:rPr>
          <w:lang w:val="fr-CA"/>
        </w:rPr>
        <w:lastRenderedPageBreak/>
        <w:t xml:space="preserve">Les premières analyses et décisions judiciaires à cet égard ont également entériné les objectifs réparateurs de la </w:t>
      </w:r>
      <w:r w:rsidRPr="00393D65">
        <w:rPr>
          <w:i/>
          <w:lang w:val="fr-CA"/>
        </w:rPr>
        <w:t>LACC</w:t>
      </w:r>
      <w:r w:rsidRPr="00393D65">
        <w:rPr>
          <w:lang w:val="fr-CA"/>
        </w:rPr>
        <w:t>.  On y reconnaissait que la valeur de la compagnie demeurait plus grande lorsque celle</w:t>
      </w:r>
      <w:r w:rsidRPr="00393D65">
        <w:rPr>
          <w:lang w:val="fr-CA"/>
        </w:rPr>
        <w:noBreakHyphen/>
        <w:t>ci pouvait poursuivre ses activités, tout en soulignant les pertes intangibles découlant d</w:t>
      </w:r>
      <w:r w:rsidR="00C03762">
        <w:rPr>
          <w:lang w:val="fr-CA"/>
        </w:rPr>
        <w:t>’</w:t>
      </w:r>
      <w:r w:rsidRPr="00393D65">
        <w:rPr>
          <w:lang w:val="fr-CA"/>
        </w:rPr>
        <w:t>une liquidation, par exemple la disparition de la clientèle (S. E. Edwards, « Reorganization</w:t>
      </w:r>
      <w:r w:rsidR="00C66060">
        <w:rPr>
          <w:lang w:val="fr-CA"/>
        </w:rPr>
        <w:t>s</w:t>
      </w:r>
      <w:r w:rsidRPr="00393D65">
        <w:rPr>
          <w:lang w:val="fr-CA"/>
        </w:rPr>
        <w:t xml:space="preserve"> Under the Companies</w:t>
      </w:r>
      <w:r w:rsidR="00C03762">
        <w:rPr>
          <w:lang w:val="fr-CA"/>
        </w:rPr>
        <w:t>’</w:t>
      </w:r>
      <w:r w:rsidRPr="00393D65">
        <w:rPr>
          <w:lang w:val="fr-CA"/>
        </w:rPr>
        <w:t xml:space="preserve"> Creditors Arrangement Act » (1947),</w:t>
      </w:r>
      <w:r w:rsidR="00D248DB">
        <w:rPr>
          <w:lang w:val="fr-CA"/>
        </w:rPr>
        <w:t xml:space="preserve"> 25</w:t>
      </w:r>
      <w:r w:rsidRPr="00393D65">
        <w:rPr>
          <w:lang w:val="fr-CA"/>
        </w:rPr>
        <w:t xml:space="preserve"> </w:t>
      </w:r>
      <w:r w:rsidR="00D248DB" w:rsidRPr="00D248DB">
        <w:rPr>
          <w:i/>
          <w:lang w:val="fr-CA"/>
        </w:rPr>
        <w:t>R</w:t>
      </w:r>
      <w:r w:rsidR="00C4683A">
        <w:rPr>
          <w:i/>
          <w:lang w:val="fr-CA"/>
        </w:rPr>
        <w:t>.</w:t>
      </w:r>
      <w:r w:rsidR="00D248DB" w:rsidRPr="00D248DB">
        <w:rPr>
          <w:i/>
          <w:lang w:val="fr-CA"/>
        </w:rPr>
        <w:t xml:space="preserve"> du B. c</w:t>
      </w:r>
      <w:r w:rsidRPr="00393D65">
        <w:rPr>
          <w:i/>
          <w:lang w:val="fr-CA"/>
        </w:rPr>
        <w:t>an.</w:t>
      </w:r>
      <w:r w:rsidRPr="00393D65">
        <w:rPr>
          <w:lang w:val="fr-CA"/>
        </w:rPr>
        <w:t xml:space="preserve"> 587, p. 592).  La réorganisation sert l</w:t>
      </w:r>
      <w:r w:rsidR="00C03762">
        <w:rPr>
          <w:lang w:val="fr-CA"/>
        </w:rPr>
        <w:t>’</w:t>
      </w:r>
      <w:r w:rsidRPr="00393D65">
        <w:rPr>
          <w:lang w:val="fr-CA"/>
        </w:rPr>
        <w:t>intérêt public en permettant la survie de compagnies qui fournissent des biens ou des services essentiels à la santé de l</w:t>
      </w:r>
      <w:r w:rsidR="00C03762">
        <w:rPr>
          <w:lang w:val="fr-CA"/>
        </w:rPr>
        <w:t>’</w:t>
      </w:r>
      <w:r w:rsidRPr="00393D65">
        <w:rPr>
          <w:lang w:val="fr-CA"/>
        </w:rPr>
        <w:t>économie ou en préservant un grand nombre d</w:t>
      </w:r>
      <w:r w:rsidR="00C03762">
        <w:rPr>
          <w:lang w:val="fr-CA"/>
        </w:rPr>
        <w:t>’</w:t>
      </w:r>
      <w:r w:rsidRPr="00393D65">
        <w:rPr>
          <w:lang w:val="fr-CA"/>
        </w:rPr>
        <w:t>emplois (</w:t>
      </w:r>
      <w:r w:rsidRPr="00393D65">
        <w:rPr>
          <w:i/>
          <w:lang w:val="fr-CA"/>
        </w:rPr>
        <w:t>ibid.</w:t>
      </w:r>
      <w:r w:rsidRPr="00393D65">
        <w:rPr>
          <w:lang w:val="fr-CA"/>
        </w:rPr>
        <w:t>, p. 593).  Les effets de l</w:t>
      </w:r>
      <w:r w:rsidR="00C03762">
        <w:rPr>
          <w:lang w:val="fr-CA"/>
        </w:rPr>
        <w:t>’</w:t>
      </w:r>
      <w:r w:rsidRPr="00393D65">
        <w:rPr>
          <w:lang w:val="fr-CA"/>
        </w:rPr>
        <w:t>insolvabilité pouvaient même toucher d</w:t>
      </w:r>
      <w:r w:rsidR="00C03762">
        <w:rPr>
          <w:lang w:val="fr-CA"/>
        </w:rPr>
        <w:t>’</w:t>
      </w:r>
      <w:r w:rsidRPr="00393D65">
        <w:rPr>
          <w:lang w:val="fr-CA"/>
        </w:rPr>
        <w:t>autres intéressés que les seuls créanciers et employés.  Ces arguments se font entendre encore aujourd</w:t>
      </w:r>
      <w:r w:rsidR="00C03762">
        <w:rPr>
          <w:lang w:val="fr-CA"/>
        </w:rPr>
        <w:t>’</w:t>
      </w:r>
      <w:r w:rsidRPr="00393D65">
        <w:rPr>
          <w:lang w:val="fr-CA"/>
        </w:rPr>
        <w:t>hui sous une forme un peu différente, lorsqu</w:t>
      </w:r>
      <w:r w:rsidR="00C03762">
        <w:rPr>
          <w:lang w:val="fr-CA"/>
        </w:rPr>
        <w:t>’</w:t>
      </w:r>
      <w:r w:rsidRPr="00393D65">
        <w:rPr>
          <w:lang w:val="fr-CA"/>
        </w:rPr>
        <w:t>on justifie la réorganisation par la nécessité de remettre sur pied des compagnies qui constituent des volets essentiels d</w:t>
      </w:r>
      <w:r w:rsidR="00C03762">
        <w:rPr>
          <w:lang w:val="fr-CA"/>
        </w:rPr>
        <w:t>’</w:t>
      </w:r>
      <w:r w:rsidRPr="00393D65">
        <w:rPr>
          <w:lang w:val="fr-CA"/>
        </w:rPr>
        <w:t>un réseau complexe de rapports économiques interdépendants, dans le but d</w:t>
      </w:r>
      <w:r w:rsidR="00C03762">
        <w:rPr>
          <w:lang w:val="fr-CA"/>
        </w:rPr>
        <w:t>’</w:t>
      </w:r>
      <w:r w:rsidRPr="00393D65">
        <w:rPr>
          <w:lang w:val="fr-CA"/>
        </w:rPr>
        <w:t>éviter les effets négatifs de la liquidation.</w:t>
      </w:r>
    </w:p>
    <w:p w:rsidR="008C3D0D" w:rsidRPr="00393D65" w:rsidRDefault="008C3D0D" w:rsidP="008C3D0D">
      <w:pPr>
        <w:pStyle w:val="ListParagraph"/>
        <w:numPr>
          <w:ilvl w:val="0"/>
          <w:numId w:val="5"/>
        </w:numPr>
        <w:tabs>
          <w:tab w:val="left" w:pos="1170"/>
        </w:tabs>
        <w:spacing w:after="480" w:line="480" w:lineRule="auto"/>
        <w:ind w:left="0" w:firstLine="0"/>
        <w:jc w:val="both"/>
        <w:rPr>
          <w:lang w:val="fr-CA"/>
        </w:rPr>
      </w:pPr>
      <w:r w:rsidRPr="00393D65">
        <w:rPr>
          <w:lang w:val="fr-CA"/>
        </w:rPr>
        <w:t xml:space="preserve">La </w:t>
      </w:r>
      <w:r w:rsidRPr="00393D65">
        <w:rPr>
          <w:i/>
          <w:lang w:val="fr-CA"/>
        </w:rPr>
        <w:t>LACC</w:t>
      </w:r>
      <w:r w:rsidRPr="00393D65">
        <w:rPr>
          <w:lang w:val="fr-CA"/>
        </w:rPr>
        <w:t xml:space="preserve"> est tombée en désuétude au cours des décennies qui ont suivi, vraisemblablement parce que des modifications apportées en 1953 ont restreint son application aux compagnies émettant des obligations (S.C. 1952</w:t>
      </w:r>
      <w:r w:rsidRPr="00393D65">
        <w:rPr>
          <w:lang w:val="fr-CA"/>
        </w:rPr>
        <w:noBreakHyphen/>
        <w:t>53, ch. 3).  Pendant la récession du début des années 1980, obligés de s</w:t>
      </w:r>
      <w:r w:rsidR="00C03762">
        <w:rPr>
          <w:lang w:val="fr-CA"/>
        </w:rPr>
        <w:t>’</w:t>
      </w:r>
      <w:r w:rsidRPr="00393D65">
        <w:rPr>
          <w:lang w:val="fr-CA"/>
        </w:rPr>
        <w:t>adapter au nombre grandissant d</w:t>
      </w:r>
      <w:r w:rsidR="00C03762">
        <w:rPr>
          <w:lang w:val="fr-CA"/>
        </w:rPr>
        <w:t>’</w:t>
      </w:r>
      <w:r w:rsidRPr="00393D65">
        <w:rPr>
          <w:lang w:val="fr-CA"/>
        </w:rPr>
        <w:t>entreprises en difficulté, les avocats travaillant dans le domaine de l</w:t>
      </w:r>
      <w:r w:rsidR="00C03762">
        <w:rPr>
          <w:lang w:val="fr-CA"/>
        </w:rPr>
        <w:t>’</w:t>
      </w:r>
      <w:r w:rsidRPr="00393D65">
        <w:rPr>
          <w:lang w:val="fr-CA"/>
        </w:rPr>
        <w:t>insolvabilité ainsi que les tribunaux ont redécouvert cette loi et s</w:t>
      </w:r>
      <w:r w:rsidR="00C03762">
        <w:rPr>
          <w:lang w:val="fr-CA"/>
        </w:rPr>
        <w:t>’</w:t>
      </w:r>
      <w:r w:rsidRPr="00393D65">
        <w:rPr>
          <w:lang w:val="fr-CA"/>
        </w:rPr>
        <w:t>en sont servis pour relever les nouveaux défis de l</w:t>
      </w:r>
      <w:r w:rsidR="00C03762">
        <w:rPr>
          <w:lang w:val="fr-CA"/>
        </w:rPr>
        <w:t>’</w:t>
      </w:r>
      <w:r w:rsidRPr="00393D65">
        <w:rPr>
          <w:lang w:val="fr-CA"/>
        </w:rPr>
        <w:t>économie.  Les participants aux procédures en sont peu à peu venus à reconnaître et à apprécier la caractéristique propre de la loi : l</w:t>
      </w:r>
      <w:r w:rsidR="00C03762">
        <w:rPr>
          <w:lang w:val="fr-CA"/>
        </w:rPr>
        <w:t>’</w:t>
      </w:r>
      <w:r w:rsidRPr="00393D65">
        <w:rPr>
          <w:lang w:val="fr-CA"/>
        </w:rPr>
        <w:t xml:space="preserve">attribution, au </w:t>
      </w:r>
      <w:r w:rsidRPr="00393D65">
        <w:rPr>
          <w:lang w:val="fr-CA"/>
        </w:rPr>
        <w:lastRenderedPageBreak/>
        <w:t>tribunal chargé de surveiller le processus, d</w:t>
      </w:r>
      <w:r w:rsidR="00C03762">
        <w:rPr>
          <w:lang w:val="fr-CA"/>
        </w:rPr>
        <w:t>’</w:t>
      </w:r>
      <w:r w:rsidRPr="00393D65">
        <w:rPr>
          <w:lang w:val="fr-CA"/>
        </w:rPr>
        <w:t xml:space="preserve">une grande latitude lui permettant de rendre les ordonnances nécessaires pour faciliter la réorganisation du débiteur et réaliser les objectifs de la </w:t>
      </w:r>
      <w:r w:rsidRPr="00393D65">
        <w:rPr>
          <w:i/>
          <w:lang w:val="fr-CA"/>
        </w:rPr>
        <w:t>LACC</w:t>
      </w:r>
      <w:r w:rsidRPr="00393D65">
        <w:rPr>
          <w:lang w:val="fr-CA"/>
        </w:rPr>
        <w:t xml:space="preserve">.  Nous verrons plus loin comment les tribunaux ont utilisé de façon de plus en plus souple et créative les pouvoirs qui leur sont conférés par la </w:t>
      </w:r>
      <w:r w:rsidRPr="00393D65">
        <w:rPr>
          <w:i/>
          <w:lang w:val="fr-CA"/>
        </w:rPr>
        <w:t>LACC</w:t>
      </w:r>
      <w:r w:rsidRPr="00393D65">
        <w:rPr>
          <w:lang w:val="fr-CA"/>
        </w:rPr>
        <w:t>.</w:t>
      </w:r>
    </w:p>
    <w:p w:rsidR="008C3D0D" w:rsidRPr="00393D65" w:rsidRDefault="008C3D0D" w:rsidP="008C3D0D">
      <w:pPr>
        <w:pStyle w:val="ListParagraph"/>
        <w:numPr>
          <w:ilvl w:val="0"/>
          <w:numId w:val="5"/>
        </w:numPr>
        <w:tabs>
          <w:tab w:val="left" w:pos="1170"/>
        </w:tabs>
        <w:spacing w:after="480" w:line="480" w:lineRule="auto"/>
        <w:ind w:left="0" w:firstLine="0"/>
        <w:jc w:val="both"/>
        <w:rPr>
          <w:lang w:val="fr-CA"/>
        </w:rPr>
      </w:pPr>
      <w:r w:rsidRPr="00393D65">
        <w:rPr>
          <w:lang w:val="fr-CA"/>
        </w:rPr>
        <w:t>Ce ne sont pas seulement les tribunaux qui se sont employés à faire évoluer le droit de l</w:t>
      </w:r>
      <w:r w:rsidR="00C03762">
        <w:rPr>
          <w:lang w:val="fr-CA"/>
        </w:rPr>
        <w:t>’</w:t>
      </w:r>
      <w:r w:rsidRPr="00393D65">
        <w:rPr>
          <w:lang w:val="fr-CA"/>
        </w:rPr>
        <w:t>insolvabilité pendant cette période.  En 1970, un comité constitué par le gouvernement a mené une étude approfondie au terme de laquelle il a recommandé une réforme majeure, mais le législateur n</w:t>
      </w:r>
      <w:r w:rsidR="00C03762">
        <w:rPr>
          <w:lang w:val="fr-CA"/>
        </w:rPr>
        <w:t>’</w:t>
      </w:r>
      <w:r w:rsidRPr="00393D65">
        <w:rPr>
          <w:lang w:val="fr-CA"/>
        </w:rPr>
        <w:t>a rien fait (voir</w:t>
      </w:r>
      <w:r w:rsidRPr="00393D65">
        <w:rPr>
          <w:i/>
          <w:lang w:val="fr-CA"/>
        </w:rPr>
        <w:t xml:space="preserve"> Faillite et insolvabilité : </w:t>
      </w:r>
      <w:r w:rsidR="00D248DB">
        <w:rPr>
          <w:i/>
          <w:lang w:val="fr-CA"/>
        </w:rPr>
        <w:t>R</w:t>
      </w:r>
      <w:r w:rsidRPr="00393D65">
        <w:rPr>
          <w:i/>
          <w:lang w:val="fr-CA"/>
        </w:rPr>
        <w:t xml:space="preserve">apport du </w:t>
      </w:r>
      <w:r w:rsidR="00D248DB">
        <w:rPr>
          <w:i/>
          <w:lang w:val="fr-CA"/>
        </w:rPr>
        <w:t>c</w:t>
      </w:r>
      <w:r w:rsidRPr="00393D65">
        <w:rPr>
          <w:i/>
          <w:lang w:val="fr-CA"/>
        </w:rPr>
        <w:t>omité d</w:t>
      </w:r>
      <w:r w:rsidR="00C03762">
        <w:rPr>
          <w:i/>
          <w:lang w:val="fr-CA"/>
        </w:rPr>
        <w:t>’</w:t>
      </w:r>
      <w:r w:rsidRPr="00393D65">
        <w:rPr>
          <w:i/>
          <w:lang w:val="fr-CA"/>
        </w:rPr>
        <w:t>étude sur la législation en matière de faillite et d</w:t>
      </w:r>
      <w:r w:rsidR="00C03762">
        <w:rPr>
          <w:i/>
          <w:lang w:val="fr-CA"/>
        </w:rPr>
        <w:t>’</w:t>
      </w:r>
      <w:r w:rsidRPr="00393D65">
        <w:rPr>
          <w:i/>
          <w:lang w:val="fr-CA"/>
        </w:rPr>
        <w:t>insolvabilité</w:t>
      </w:r>
      <w:r w:rsidRPr="00393D65">
        <w:rPr>
          <w:lang w:val="fr-CA"/>
        </w:rPr>
        <w:t xml:space="preserve"> (1970)).  En 1986, un autre comité d</w:t>
      </w:r>
      <w:r w:rsidR="00C03762">
        <w:rPr>
          <w:lang w:val="fr-CA"/>
        </w:rPr>
        <w:t>’</w:t>
      </w:r>
      <w:r w:rsidRPr="00393D65">
        <w:rPr>
          <w:lang w:val="fr-CA"/>
        </w:rPr>
        <w:t>experts a formulé des recommandations de portée plus restreinte, qui ont finalement conduit à l</w:t>
      </w:r>
      <w:r w:rsidR="00C03762">
        <w:rPr>
          <w:lang w:val="fr-CA"/>
        </w:rPr>
        <w:t>’</w:t>
      </w:r>
      <w:r w:rsidRPr="00393D65">
        <w:rPr>
          <w:lang w:val="fr-CA"/>
        </w:rPr>
        <w:t xml:space="preserve">adoption de la </w:t>
      </w:r>
      <w:r w:rsidRPr="00393D65">
        <w:rPr>
          <w:i/>
          <w:lang w:val="fr-CA"/>
        </w:rPr>
        <w:t>Loi sur la faillite et l</w:t>
      </w:r>
      <w:r w:rsidR="00C03762">
        <w:rPr>
          <w:i/>
          <w:lang w:val="fr-CA"/>
        </w:rPr>
        <w:t>’</w:t>
      </w:r>
      <w:r w:rsidRPr="00393D65">
        <w:rPr>
          <w:i/>
          <w:lang w:val="fr-CA"/>
        </w:rPr>
        <w:t>insolvabilité</w:t>
      </w:r>
      <w:r w:rsidRPr="00393D65">
        <w:rPr>
          <w:lang w:val="fr-CA"/>
        </w:rPr>
        <w:t xml:space="preserve"> de 1992 (L.C. 1992, ch. 27) (voir </w:t>
      </w:r>
      <w:r w:rsidR="00D248DB">
        <w:rPr>
          <w:i/>
          <w:lang w:val="fr-CA"/>
        </w:rPr>
        <w:t>Propositions d’amendements</w:t>
      </w:r>
      <w:r w:rsidRPr="00393D65">
        <w:rPr>
          <w:i/>
          <w:lang w:val="fr-CA"/>
        </w:rPr>
        <w:t xml:space="preserve"> à la Loi sur la faillite : </w:t>
      </w:r>
      <w:r w:rsidR="00D248DB">
        <w:rPr>
          <w:i/>
          <w:lang w:val="fr-CA"/>
        </w:rPr>
        <w:t>R</w:t>
      </w:r>
      <w:r w:rsidRPr="00393D65">
        <w:rPr>
          <w:i/>
          <w:lang w:val="fr-CA"/>
        </w:rPr>
        <w:t xml:space="preserve">apport du </w:t>
      </w:r>
      <w:r w:rsidR="00D248DB">
        <w:rPr>
          <w:i/>
          <w:lang w:val="fr-CA"/>
        </w:rPr>
        <w:t>C</w:t>
      </w:r>
      <w:r w:rsidRPr="00393D65">
        <w:rPr>
          <w:i/>
          <w:lang w:val="fr-CA"/>
        </w:rPr>
        <w:t xml:space="preserve">omité consultatif </w:t>
      </w:r>
      <w:r w:rsidR="00D248DB">
        <w:rPr>
          <w:i/>
          <w:lang w:val="fr-CA"/>
        </w:rPr>
        <w:t xml:space="preserve">en matière </w:t>
      </w:r>
      <w:r w:rsidRPr="00393D65">
        <w:rPr>
          <w:i/>
          <w:lang w:val="fr-CA"/>
        </w:rPr>
        <w:t xml:space="preserve">de faillite et </w:t>
      </w:r>
      <w:r w:rsidR="00D248DB">
        <w:rPr>
          <w:i/>
          <w:lang w:val="fr-CA"/>
        </w:rPr>
        <w:t>d</w:t>
      </w:r>
      <w:r w:rsidR="00C03762">
        <w:rPr>
          <w:i/>
          <w:lang w:val="fr-CA"/>
        </w:rPr>
        <w:t>’</w:t>
      </w:r>
      <w:r w:rsidRPr="00393D65">
        <w:rPr>
          <w:i/>
          <w:lang w:val="fr-CA"/>
        </w:rPr>
        <w:t>insolvabilité</w:t>
      </w:r>
      <w:r w:rsidRPr="00393D65">
        <w:rPr>
          <w:lang w:val="fr-CA"/>
        </w:rPr>
        <w:t xml:space="preserve"> (1986)).  Des dispositions à caractère plus général concernant la réorganisation des débiteurs insolvables ont alors été ajoutées à la loi canadienne relative à la faillite.  Malgré l</w:t>
      </w:r>
      <w:r w:rsidR="00C03762">
        <w:rPr>
          <w:lang w:val="fr-CA"/>
        </w:rPr>
        <w:t>’</w:t>
      </w:r>
      <w:r w:rsidRPr="00393D65">
        <w:rPr>
          <w:lang w:val="fr-CA"/>
        </w:rPr>
        <w:t xml:space="preserve">absence de recommandations spécifiques au sujet de la </w:t>
      </w:r>
      <w:r w:rsidRPr="00393D65">
        <w:rPr>
          <w:i/>
          <w:lang w:val="fr-CA"/>
        </w:rPr>
        <w:t>LACC</w:t>
      </w:r>
      <w:r w:rsidRPr="00393D65">
        <w:rPr>
          <w:lang w:val="fr-CA"/>
        </w:rPr>
        <w:t xml:space="preserve"> dans les rapports de 1970 et 1986, le comité de la Chambre des communes qui s</w:t>
      </w:r>
      <w:r w:rsidR="00C03762">
        <w:rPr>
          <w:lang w:val="fr-CA"/>
        </w:rPr>
        <w:t>’</w:t>
      </w:r>
      <w:r w:rsidRPr="00393D65">
        <w:rPr>
          <w:lang w:val="fr-CA"/>
        </w:rPr>
        <w:t>est penché sur le projet de loi C</w:t>
      </w:r>
      <w:r w:rsidRPr="00393D65">
        <w:rPr>
          <w:lang w:val="fr-CA"/>
        </w:rPr>
        <w:noBreakHyphen/>
        <w:t>22 à l</w:t>
      </w:r>
      <w:r w:rsidR="00C03762">
        <w:rPr>
          <w:lang w:val="fr-CA"/>
        </w:rPr>
        <w:t>’</w:t>
      </w:r>
      <w:r w:rsidRPr="00393D65">
        <w:rPr>
          <w:lang w:val="fr-CA"/>
        </w:rPr>
        <w:t xml:space="preserve">origine de la </w:t>
      </w:r>
      <w:r w:rsidRPr="00393D65">
        <w:rPr>
          <w:i/>
          <w:lang w:val="fr-CA"/>
        </w:rPr>
        <w:t>LFI</w:t>
      </w:r>
      <w:r w:rsidRPr="00393D65">
        <w:rPr>
          <w:lang w:val="fr-CA"/>
        </w:rPr>
        <w:t xml:space="preserve"> a semblé accepter le témoignage d</w:t>
      </w:r>
      <w:r w:rsidR="00C03762">
        <w:rPr>
          <w:lang w:val="fr-CA"/>
        </w:rPr>
        <w:t>’</w:t>
      </w:r>
      <w:r w:rsidRPr="00393D65">
        <w:rPr>
          <w:lang w:val="fr-CA"/>
        </w:rPr>
        <w:t xml:space="preserve">un expert selon lequel le nouveau régime de réorganisation de la </w:t>
      </w:r>
      <w:r w:rsidRPr="00393D65">
        <w:rPr>
          <w:i/>
          <w:lang w:val="fr-CA"/>
        </w:rPr>
        <w:t>LFI</w:t>
      </w:r>
      <w:r w:rsidRPr="00393D65">
        <w:rPr>
          <w:lang w:val="fr-CA"/>
        </w:rPr>
        <w:t xml:space="preserve"> supplanterait rapidement la </w:t>
      </w:r>
      <w:r w:rsidRPr="00393D65">
        <w:rPr>
          <w:i/>
          <w:lang w:val="fr-CA"/>
        </w:rPr>
        <w:t>LACC</w:t>
      </w:r>
      <w:r w:rsidRPr="00393D65">
        <w:rPr>
          <w:lang w:val="fr-CA"/>
        </w:rPr>
        <w:t>, laquelle pourrait alors être abrogée et l</w:t>
      </w:r>
      <w:r w:rsidR="00C03762">
        <w:rPr>
          <w:lang w:val="fr-CA"/>
        </w:rPr>
        <w:t>’</w:t>
      </w:r>
      <w:r w:rsidRPr="00393D65">
        <w:rPr>
          <w:lang w:val="fr-CA"/>
        </w:rPr>
        <w:t xml:space="preserve">insolvabilité commerciale et la faillite seraient ainsi régies par un seul texte législatif </w:t>
      </w:r>
      <w:r w:rsidRPr="00393D65">
        <w:rPr>
          <w:lang w:val="fr-CA"/>
        </w:rPr>
        <w:lastRenderedPageBreak/>
        <w:t>(</w:t>
      </w:r>
      <w:r w:rsidRPr="00393D65">
        <w:rPr>
          <w:i/>
          <w:lang w:val="fr-CA"/>
        </w:rPr>
        <w:t>Procès</w:t>
      </w:r>
      <w:r w:rsidRPr="00393D65">
        <w:rPr>
          <w:i/>
          <w:lang w:val="fr-CA"/>
        </w:rPr>
        <w:noBreakHyphen/>
        <w:t>verbaux et témoignages du Comité permanent des Consommateurs et Sociétés et Administration gouvernementale</w:t>
      </w:r>
      <w:r w:rsidRPr="00393D65">
        <w:rPr>
          <w:lang w:val="fr-CA"/>
        </w:rPr>
        <w:t xml:space="preserve">, </w:t>
      </w:r>
      <w:r w:rsidR="00D248DB">
        <w:rPr>
          <w:lang w:val="fr-CA"/>
        </w:rPr>
        <w:t>f</w:t>
      </w:r>
      <w:r w:rsidRPr="00393D65">
        <w:rPr>
          <w:lang w:val="fr-CA"/>
        </w:rPr>
        <w:t xml:space="preserve">ascicule nº 15, </w:t>
      </w:r>
      <w:r w:rsidR="00D248DB">
        <w:rPr>
          <w:lang w:val="fr-CA"/>
        </w:rPr>
        <w:t>3</w:t>
      </w:r>
      <w:r w:rsidR="00D248DB" w:rsidRPr="00D248DB">
        <w:rPr>
          <w:vertAlign w:val="superscript"/>
          <w:lang w:val="fr-CA"/>
        </w:rPr>
        <w:t>e</w:t>
      </w:r>
      <w:r w:rsidR="00D248DB">
        <w:rPr>
          <w:lang w:val="fr-CA"/>
        </w:rPr>
        <w:t xml:space="preserve"> sess., 34</w:t>
      </w:r>
      <w:r w:rsidR="00D248DB" w:rsidRPr="00D248DB">
        <w:rPr>
          <w:vertAlign w:val="superscript"/>
          <w:lang w:val="fr-CA"/>
        </w:rPr>
        <w:t>e</w:t>
      </w:r>
      <w:r w:rsidR="00D248DB">
        <w:rPr>
          <w:lang w:val="fr-CA"/>
        </w:rPr>
        <w:t xml:space="preserve"> lég.,</w:t>
      </w:r>
      <w:r w:rsidR="00C4683A">
        <w:rPr>
          <w:lang w:val="fr-CA"/>
        </w:rPr>
        <w:t xml:space="preserve"> </w:t>
      </w:r>
      <w:r w:rsidR="00C4683A" w:rsidRPr="00393D65">
        <w:rPr>
          <w:lang w:val="fr-CA"/>
        </w:rPr>
        <w:t xml:space="preserve">3 octobre 1991, </w:t>
      </w:r>
      <w:r w:rsidRPr="00393D65">
        <w:rPr>
          <w:lang w:val="fr-CA"/>
        </w:rPr>
        <w:t>15:15</w:t>
      </w:r>
      <w:r w:rsidRPr="00393D65">
        <w:rPr>
          <w:lang w:val="fr-CA"/>
        </w:rPr>
        <w:noBreakHyphen/>
        <w:t>15:16).</w:t>
      </w:r>
    </w:p>
    <w:p w:rsidR="008C3D0D" w:rsidRPr="00393D65" w:rsidRDefault="008C3D0D" w:rsidP="008C3D0D">
      <w:pPr>
        <w:pStyle w:val="ListParagraph"/>
        <w:numPr>
          <w:ilvl w:val="0"/>
          <w:numId w:val="5"/>
        </w:numPr>
        <w:tabs>
          <w:tab w:val="left" w:pos="1170"/>
        </w:tabs>
        <w:spacing w:after="480" w:line="480" w:lineRule="auto"/>
        <w:ind w:left="0" w:firstLine="0"/>
        <w:jc w:val="both"/>
        <w:rPr>
          <w:lang w:val="fr-CA"/>
        </w:rPr>
      </w:pPr>
      <w:r w:rsidRPr="00393D65">
        <w:rPr>
          <w:lang w:val="fr-CA"/>
        </w:rPr>
        <w:t xml:space="preserve">En rétrospective, cette conclusion du comité de la Chambre des communes ne correspondait pas à la réalité.  Elle ne tenait pas compte de la nouvelle vitalité de la </w:t>
      </w:r>
      <w:r w:rsidRPr="00393D65">
        <w:rPr>
          <w:i/>
          <w:lang w:val="fr-CA"/>
        </w:rPr>
        <w:t>LACC</w:t>
      </w:r>
      <w:r w:rsidRPr="00393D65">
        <w:rPr>
          <w:lang w:val="fr-CA"/>
        </w:rPr>
        <w:t xml:space="preserve"> dans la pratique contemporaine, ni des avantages qu</w:t>
      </w:r>
      <w:r w:rsidR="00C03762">
        <w:rPr>
          <w:lang w:val="fr-CA"/>
        </w:rPr>
        <w:t>’</w:t>
      </w:r>
      <w:r w:rsidRPr="00393D65">
        <w:rPr>
          <w:lang w:val="fr-CA"/>
        </w:rPr>
        <w:t xml:space="preserve">offrait, en présence de réorganisations de plus en plus complexes, un processus souple de réorganisation sous surveillance judiciaire par rapport au régime plus rigide de la </w:t>
      </w:r>
      <w:r w:rsidRPr="00393D65">
        <w:rPr>
          <w:i/>
          <w:lang w:val="fr-CA"/>
        </w:rPr>
        <w:t>LFI</w:t>
      </w:r>
      <w:r w:rsidRPr="00393D65">
        <w:rPr>
          <w:lang w:val="fr-CA"/>
        </w:rPr>
        <w:t xml:space="preserve">, fondé sur des règles préétablies.  La « souplesse de la </w:t>
      </w:r>
      <w:r w:rsidRPr="00D248DB">
        <w:rPr>
          <w:lang w:val="fr-CA"/>
        </w:rPr>
        <w:t>LACC</w:t>
      </w:r>
      <w:r w:rsidRPr="00393D65">
        <w:rPr>
          <w:lang w:val="fr-CA"/>
        </w:rPr>
        <w:t xml:space="preserve"> </w:t>
      </w:r>
      <w:r w:rsidR="003D1D40">
        <w:rPr>
          <w:lang w:val="fr-CA"/>
        </w:rPr>
        <w:t xml:space="preserve">[était considérée comme offrant] </w:t>
      </w:r>
      <w:r w:rsidRPr="00393D65">
        <w:rPr>
          <w:lang w:val="fr-CA"/>
        </w:rPr>
        <w:t>de grands avantages car elle permet de prendre des décisions créatives et efficaces » (Industrie Canada,</w:t>
      </w:r>
      <w:r w:rsidRPr="00393D65">
        <w:rPr>
          <w:i/>
          <w:lang w:val="fr-CA"/>
        </w:rPr>
        <w:t xml:space="preserve"> </w:t>
      </w:r>
      <w:r w:rsidRPr="00393D65">
        <w:rPr>
          <w:lang w:val="fr-CA"/>
        </w:rPr>
        <w:t>Direction générale des politiques</w:t>
      </w:r>
      <w:r w:rsidRPr="00393D65">
        <w:rPr>
          <w:lang w:val="fr-CA"/>
        </w:rPr>
        <w:noBreakHyphen/>
        <w:t>cadres du marché,</w:t>
      </w:r>
      <w:r w:rsidRPr="00393D65">
        <w:rPr>
          <w:i/>
          <w:lang w:val="fr-CA"/>
        </w:rPr>
        <w:t xml:space="preserve"> Rapport sur la mise en application de la Loi sur la faillite et l</w:t>
      </w:r>
      <w:r w:rsidR="00C03762">
        <w:rPr>
          <w:i/>
          <w:lang w:val="fr-CA"/>
        </w:rPr>
        <w:t>’</w:t>
      </w:r>
      <w:r w:rsidRPr="00393D65">
        <w:rPr>
          <w:i/>
          <w:lang w:val="fr-CA"/>
        </w:rPr>
        <w:t xml:space="preserve">insolvabilité </w:t>
      </w:r>
      <w:r w:rsidRPr="00D248DB">
        <w:rPr>
          <w:i/>
          <w:lang w:val="fr-CA"/>
        </w:rPr>
        <w:t>et de la</w:t>
      </w:r>
      <w:r w:rsidRPr="00393D65">
        <w:rPr>
          <w:lang w:val="fr-CA"/>
        </w:rPr>
        <w:t xml:space="preserve"> </w:t>
      </w:r>
      <w:r w:rsidRPr="00393D65">
        <w:rPr>
          <w:i/>
          <w:lang w:val="fr-CA"/>
        </w:rPr>
        <w:t xml:space="preserve">Loi sur les arrangements avec les créanciers des compagnies </w:t>
      </w:r>
      <w:r w:rsidRPr="00393D65">
        <w:rPr>
          <w:lang w:val="fr-CA"/>
        </w:rPr>
        <w:t>(2002), p. </w:t>
      </w:r>
      <w:r w:rsidR="00D248DB">
        <w:rPr>
          <w:lang w:val="fr-CA"/>
        </w:rPr>
        <w:t>50</w:t>
      </w:r>
      <w:r w:rsidRPr="00393D65">
        <w:rPr>
          <w:lang w:val="fr-CA"/>
        </w:rPr>
        <w:t xml:space="preserve">).  Au cours des trois dernières décennies, la résurrection de la </w:t>
      </w:r>
      <w:r w:rsidRPr="00393D65">
        <w:rPr>
          <w:i/>
          <w:lang w:val="fr-CA"/>
        </w:rPr>
        <w:t>LACC</w:t>
      </w:r>
      <w:r w:rsidRPr="00393D65">
        <w:rPr>
          <w:lang w:val="fr-CA"/>
        </w:rPr>
        <w:t xml:space="preserve"> a donc été le moteur d</w:t>
      </w:r>
      <w:r w:rsidR="00C03762">
        <w:rPr>
          <w:lang w:val="fr-CA"/>
        </w:rPr>
        <w:t>’</w:t>
      </w:r>
      <w:r w:rsidRPr="00393D65">
        <w:rPr>
          <w:lang w:val="fr-CA"/>
        </w:rPr>
        <w:t>un processus grâce auquel, selon un auteur, [</w:t>
      </w:r>
      <w:r w:rsidRPr="00393D65">
        <w:rPr>
          <w:smallCaps/>
          <w:lang w:val="fr-CA"/>
        </w:rPr>
        <w:t>traduction</w:t>
      </w:r>
      <w:r w:rsidRPr="00393D65">
        <w:rPr>
          <w:lang w:val="fr-CA"/>
        </w:rPr>
        <w:t>] « le régime juridique canadien de restructuration en cas d</w:t>
      </w:r>
      <w:r w:rsidR="00C03762">
        <w:rPr>
          <w:lang w:val="fr-CA"/>
        </w:rPr>
        <w:t>’</w:t>
      </w:r>
      <w:r w:rsidRPr="00393D65">
        <w:rPr>
          <w:lang w:val="fr-CA"/>
        </w:rPr>
        <w:t>insolvabilité — qui était au départ un instrument plutôt rudimentaire — a évolué pour devenir un des systèmes les plus sophistiqués du monde développé » (R. B. Jones, « The Evolution of Canadian Restructuring</w:t>
      </w:r>
      <w:r w:rsidR="00D248DB">
        <w:rPr>
          <w:lang w:val="fr-CA"/>
        </w:rPr>
        <w:t xml:space="preserve"> </w:t>
      </w:r>
      <w:r w:rsidRPr="00393D65">
        <w:rPr>
          <w:lang w:val="fr-CA"/>
        </w:rPr>
        <w:t xml:space="preserve">: Challenges for the Rule of Law », dans J. P. Sarra, dir., </w:t>
      </w:r>
      <w:r w:rsidRPr="00393D65">
        <w:rPr>
          <w:i/>
          <w:lang w:val="fr-CA"/>
        </w:rPr>
        <w:t>Annual Review of Insolvency Law</w:t>
      </w:r>
      <w:r w:rsidRPr="00393D65">
        <w:rPr>
          <w:lang w:val="fr-CA"/>
        </w:rPr>
        <w:t xml:space="preserve"> </w:t>
      </w:r>
      <w:r w:rsidRPr="00393D65">
        <w:rPr>
          <w:i/>
          <w:lang w:val="fr-CA"/>
        </w:rPr>
        <w:t>2005</w:t>
      </w:r>
      <w:r w:rsidRPr="00393D65">
        <w:rPr>
          <w:lang w:val="fr-CA"/>
        </w:rPr>
        <w:t xml:space="preserve"> (2006), 481, p. 481).</w:t>
      </w:r>
    </w:p>
    <w:p w:rsidR="008C3D0D" w:rsidRPr="00393D65" w:rsidRDefault="008C3D0D" w:rsidP="008C3D0D">
      <w:pPr>
        <w:pStyle w:val="ListParagraph"/>
        <w:numPr>
          <w:ilvl w:val="0"/>
          <w:numId w:val="5"/>
        </w:numPr>
        <w:tabs>
          <w:tab w:val="left" w:pos="1170"/>
        </w:tabs>
        <w:spacing w:after="480" w:line="480" w:lineRule="auto"/>
        <w:ind w:left="0" w:firstLine="0"/>
        <w:jc w:val="both"/>
        <w:rPr>
          <w:lang w:val="fr-CA"/>
        </w:rPr>
      </w:pPr>
      <w:r w:rsidRPr="00393D65">
        <w:rPr>
          <w:lang w:val="fr-CA"/>
        </w:rPr>
        <w:lastRenderedPageBreak/>
        <w:t>Si les instances en matière d</w:t>
      </w:r>
      <w:r w:rsidR="00C03762">
        <w:rPr>
          <w:lang w:val="fr-CA"/>
        </w:rPr>
        <w:t>’</w:t>
      </w:r>
      <w:r w:rsidRPr="00393D65">
        <w:rPr>
          <w:lang w:val="fr-CA"/>
        </w:rPr>
        <w:t>insolvabilité peuvent être régies par des régimes législatifs différents, elles n</w:t>
      </w:r>
      <w:r w:rsidR="00C03762">
        <w:rPr>
          <w:lang w:val="fr-CA"/>
        </w:rPr>
        <w:t>’</w:t>
      </w:r>
      <w:r w:rsidRPr="00393D65">
        <w:rPr>
          <w:lang w:val="fr-CA"/>
        </w:rPr>
        <w:t>en présentent pas moins certains points communs, dont le plus frappant réside dans le modèle de la procédure unique.  Le professeur Wood a décrit ainsi la nature et l</w:t>
      </w:r>
      <w:r w:rsidR="00C03762">
        <w:rPr>
          <w:lang w:val="fr-CA"/>
        </w:rPr>
        <w:t>’</w:t>
      </w:r>
      <w:r w:rsidRPr="00393D65">
        <w:rPr>
          <w:lang w:val="fr-CA"/>
        </w:rPr>
        <w:t xml:space="preserve">objectif de ce modèle dans </w:t>
      </w:r>
      <w:r w:rsidRPr="00393D65">
        <w:rPr>
          <w:i/>
          <w:lang w:val="fr-CA"/>
        </w:rPr>
        <w:t>Bankruptcy and Insolvency Law</w:t>
      </w:r>
      <w:r w:rsidRPr="00393D65">
        <w:rPr>
          <w:lang w:val="fr-CA"/>
        </w:rPr>
        <w:t> :</w:t>
      </w:r>
    </w:p>
    <w:p w:rsidR="008C3D0D" w:rsidRPr="00393D65" w:rsidRDefault="008C3D0D" w:rsidP="008C3D0D">
      <w:pPr>
        <w:pStyle w:val="Citation"/>
        <w:rPr>
          <w:lang w:val="fr-CA"/>
        </w:rPr>
      </w:pPr>
      <w:r w:rsidRPr="00393D65">
        <w:rPr>
          <w:lang w:val="fr-CA"/>
        </w:rPr>
        <w:t>[</w:t>
      </w:r>
      <w:r w:rsidRPr="00393D65">
        <w:rPr>
          <w:smallCaps/>
          <w:lang w:val="fr-CA"/>
        </w:rPr>
        <w:t>traduction</w:t>
      </w:r>
      <w:r w:rsidRPr="00393D65">
        <w:rPr>
          <w:lang w:val="fr-CA"/>
        </w:rPr>
        <w:t>]</w:t>
      </w:r>
      <w:r w:rsidR="00D248DB">
        <w:rPr>
          <w:lang w:val="fr-CA"/>
        </w:rPr>
        <w:t xml:space="preserve">  </w:t>
      </w:r>
      <w:r w:rsidRPr="00393D65">
        <w:rPr>
          <w:lang w:val="fr-CA"/>
        </w:rPr>
        <w:t>Elles prévoient toutes une procédure collective qui remplace la procédure civile habituelle dont peuvent se prévaloir les créanciers pour faire valoir leurs droits.  Les recours des créanciers sont collectivisés afin d</w:t>
      </w:r>
      <w:r w:rsidR="00C03762">
        <w:rPr>
          <w:lang w:val="fr-CA"/>
        </w:rPr>
        <w:t>’</w:t>
      </w:r>
      <w:r w:rsidRPr="00393D65">
        <w:rPr>
          <w:lang w:val="fr-CA"/>
        </w:rPr>
        <w:t>éviter l</w:t>
      </w:r>
      <w:r w:rsidR="00C03762">
        <w:rPr>
          <w:lang w:val="fr-CA"/>
        </w:rPr>
        <w:t>’</w:t>
      </w:r>
      <w:r w:rsidRPr="00393D65">
        <w:rPr>
          <w:lang w:val="fr-CA"/>
        </w:rPr>
        <w:t>anarchie qui régnerait si ceux</w:t>
      </w:r>
      <w:r w:rsidRPr="00393D65">
        <w:rPr>
          <w:lang w:val="fr-CA"/>
        </w:rPr>
        <w:noBreakHyphen/>
        <w:t>ci pouvaient exercer leurs recours individuellement.  En l</w:t>
      </w:r>
      <w:r w:rsidR="00C03762">
        <w:rPr>
          <w:lang w:val="fr-CA"/>
        </w:rPr>
        <w:t>’</w:t>
      </w:r>
      <w:r w:rsidRPr="00393D65">
        <w:rPr>
          <w:lang w:val="fr-CA"/>
        </w:rPr>
        <w:t>absence d</w:t>
      </w:r>
      <w:r w:rsidR="00C03762">
        <w:rPr>
          <w:lang w:val="fr-CA"/>
        </w:rPr>
        <w:t>’</w:t>
      </w:r>
      <w:r w:rsidRPr="00393D65">
        <w:rPr>
          <w:lang w:val="fr-CA"/>
        </w:rPr>
        <w:t>un processus collectif, chaque créancier sait que faute d</w:t>
      </w:r>
      <w:r w:rsidR="00C03762">
        <w:rPr>
          <w:lang w:val="fr-CA"/>
        </w:rPr>
        <w:t>’</w:t>
      </w:r>
      <w:r w:rsidRPr="00393D65">
        <w:rPr>
          <w:lang w:val="fr-CA"/>
        </w:rPr>
        <w:t>agir de façon rapide et déterminée pour saisir les biens du débiteur, il sera devancé par les autres créanciers.  [p. 2</w:t>
      </w:r>
      <w:r w:rsidRPr="00393D65">
        <w:rPr>
          <w:lang w:val="fr-CA"/>
        </w:rPr>
        <w:noBreakHyphen/>
        <w:t>3]</w:t>
      </w:r>
    </w:p>
    <w:p w:rsidR="008C3D0D" w:rsidRPr="00393D65" w:rsidRDefault="008C3D0D" w:rsidP="00225BF4">
      <w:pPr>
        <w:pStyle w:val="SCCNormalDoubleSpacing"/>
        <w:spacing w:after="480"/>
      </w:pPr>
      <w:r w:rsidRPr="00393D65">
        <w:t>Le modèle de la procédure unique vise à faire échec à l</w:t>
      </w:r>
      <w:r w:rsidR="00C03762">
        <w:t>’</w:t>
      </w:r>
      <w:r w:rsidRPr="00393D65">
        <w:t>inefficacité et au chaos qui résulteraient de l</w:t>
      </w:r>
      <w:r w:rsidR="00C03762">
        <w:t>’</w:t>
      </w:r>
      <w:r w:rsidRPr="00393D65">
        <w:t>insolvabilité si chaque créancier engageait sa propre procédure dans le but de recouvrer sa créance.  La réunion — en une seule instance relevant d</w:t>
      </w:r>
      <w:r w:rsidR="00C03762">
        <w:t>’</w:t>
      </w:r>
      <w:r w:rsidRPr="00393D65">
        <w:t>un même tribunal — de toutes les actions possibles contre le débiteur a pour effet de faciliter la négociation avec les créanciers en les mettant tous sur le même pied.  Cela évite le risque de voir un créancier plus combatif obtenir le paiement de ses créances sur l</w:t>
      </w:r>
      <w:r w:rsidR="00C03762">
        <w:t>’</w:t>
      </w:r>
      <w:r w:rsidRPr="00393D65">
        <w:t>actif limité du débiteur pendant que les autres créanciers tentent d</w:t>
      </w:r>
      <w:r w:rsidR="00C03762">
        <w:t>’</w:t>
      </w:r>
      <w:r w:rsidRPr="00393D65">
        <w:t xml:space="preserve">arriver à une transaction.  La </w:t>
      </w:r>
      <w:r w:rsidRPr="00393D65">
        <w:rPr>
          <w:i/>
        </w:rPr>
        <w:t>LACC</w:t>
      </w:r>
      <w:r w:rsidRPr="00393D65">
        <w:t xml:space="preserve"> et la </w:t>
      </w:r>
      <w:r w:rsidRPr="00393D65">
        <w:rPr>
          <w:i/>
        </w:rPr>
        <w:t>LFI</w:t>
      </w:r>
      <w:r w:rsidRPr="00393D65">
        <w:t xml:space="preserve"> autorisent toutes deux pour cette raison le tribunal à ordonner la suspension de toutes les actions intentées contre le débiteur pendant qu</w:t>
      </w:r>
      <w:r w:rsidR="00C03762">
        <w:t>’</w:t>
      </w:r>
      <w:r w:rsidRPr="00393D65">
        <w:t>on cherche à conclure une transaction.</w:t>
      </w:r>
    </w:p>
    <w:p w:rsidR="008C3D0D" w:rsidRPr="00393D65" w:rsidRDefault="008C3D0D" w:rsidP="008C3D0D">
      <w:pPr>
        <w:pStyle w:val="ListParagraph"/>
        <w:numPr>
          <w:ilvl w:val="0"/>
          <w:numId w:val="5"/>
        </w:numPr>
        <w:tabs>
          <w:tab w:val="left" w:pos="1170"/>
        </w:tabs>
        <w:spacing w:after="480" w:line="480" w:lineRule="auto"/>
        <w:ind w:left="0" w:firstLine="0"/>
        <w:jc w:val="both"/>
        <w:rPr>
          <w:lang w:val="fr-CA"/>
        </w:rPr>
      </w:pPr>
      <w:r w:rsidRPr="00393D65">
        <w:rPr>
          <w:lang w:val="fr-CA"/>
        </w:rPr>
        <w:lastRenderedPageBreak/>
        <w:t xml:space="preserve">Un autre point de convergence entre la </w:t>
      </w:r>
      <w:r w:rsidRPr="00393D65">
        <w:rPr>
          <w:i/>
          <w:lang w:val="fr-CA"/>
        </w:rPr>
        <w:t>LACC</w:t>
      </w:r>
      <w:r w:rsidRPr="00393D65">
        <w:rPr>
          <w:lang w:val="fr-CA"/>
        </w:rPr>
        <w:t xml:space="preserve"> et la </w:t>
      </w:r>
      <w:r w:rsidRPr="00393D65">
        <w:rPr>
          <w:i/>
          <w:lang w:val="fr-CA"/>
        </w:rPr>
        <w:t>LFI</w:t>
      </w:r>
      <w:r w:rsidRPr="00393D65">
        <w:rPr>
          <w:lang w:val="fr-CA"/>
        </w:rPr>
        <w:t xml:space="preserve"> concerne les priorités.  Comme la </w:t>
      </w:r>
      <w:r w:rsidRPr="00393D65">
        <w:rPr>
          <w:i/>
          <w:lang w:val="fr-CA"/>
        </w:rPr>
        <w:t xml:space="preserve">LACC </w:t>
      </w:r>
      <w:r w:rsidRPr="00393D65">
        <w:rPr>
          <w:lang w:val="fr-CA"/>
        </w:rPr>
        <w:t>ne précise pas ce qui arrive en cas d</w:t>
      </w:r>
      <w:r w:rsidR="00C03762">
        <w:rPr>
          <w:lang w:val="fr-CA"/>
        </w:rPr>
        <w:t>’</w:t>
      </w:r>
      <w:r w:rsidRPr="00393D65">
        <w:rPr>
          <w:lang w:val="fr-CA"/>
        </w:rPr>
        <w:t xml:space="preserve">échec de la réorganisation, la </w:t>
      </w:r>
      <w:r w:rsidRPr="00393D65">
        <w:rPr>
          <w:i/>
          <w:lang w:val="fr-CA"/>
        </w:rPr>
        <w:t>LFI</w:t>
      </w:r>
      <w:r w:rsidRPr="00393D65">
        <w:rPr>
          <w:lang w:val="fr-CA"/>
        </w:rPr>
        <w:t xml:space="preserve"> fournit la norme de référence pour ce qui se produira dans une telle situation.  De plus, l</w:t>
      </w:r>
      <w:r w:rsidR="00C03762">
        <w:rPr>
          <w:lang w:val="fr-CA"/>
        </w:rPr>
        <w:t>’</w:t>
      </w:r>
      <w:r w:rsidRPr="00393D65">
        <w:rPr>
          <w:lang w:val="fr-CA"/>
        </w:rPr>
        <w:t>une des caractéristiques importantes de la réforme dont ces deux lois ont fait l</w:t>
      </w:r>
      <w:r w:rsidR="00C03762">
        <w:rPr>
          <w:lang w:val="fr-CA"/>
        </w:rPr>
        <w:t>’</w:t>
      </w:r>
      <w:r w:rsidRPr="00393D65">
        <w:rPr>
          <w:lang w:val="fr-CA"/>
        </w:rPr>
        <w:t>objet depuis 1992 est la réduction des priorités de la Couronne (L.C. 1992, ch. 27, art. 39; L.C. 1997, ch. 12, art. 73 et 125; L.C. 2000, ch. 30, art. 148; L.C. 2005, ch. 47, art. 69 et 131; L.C. 2009, ch. 33, art. 25; voir aussi </w:t>
      </w:r>
      <w:r w:rsidRPr="00393D65">
        <w:rPr>
          <w:i/>
          <w:lang w:val="fr-CA"/>
        </w:rPr>
        <w:t>Québec (Revenu) c. Caisse populaire Desjardins de Montmagny</w:t>
      </w:r>
      <w:r w:rsidRPr="00393D65">
        <w:rPr>
          <w:lang w:val="fr-CA"/>
        </w:rPr>
        <w:t xml:space="preserve">, 2009 CSC 49, [2009] 3 R.C.S. 286; </w:t>
      </w:r>
      <w:r w:rsidRPr="00393D65">
        <w:rPr>
          <w:i/>
          <w:lang w:val="fr-CA"/>
        </w:rPr>
        <w:t>Sous</w:t>
      </w:r>
      <w:r w:rsidRPr="00393D65">
        <w:rPr>
          <w:i/>
          <w:lang w:val="fr-CA"/>
        </w:rPr>
        <w:noBreakHyphen/>
        <w:t>ministre du Revenu c. Rainville</w:t>
      </w:r>
      <w:r w:rsidRPr="00393D65">
        <w:rPr>
          <w:lang w:val="fr-CA"/>
        </w:rPr>
        <w:t>, [1980] 1 R.C.S. 35;</w:t>
      </w:r>
      <w:r w:rsidRPr="00393D65">
        <w:rPr>
          <w:i/>
          <w:lang w:val="fr-CA"/>
        </w:rPr>
        <w:t xml:space="preserve"> Propositions d</w:t>
      </w:r>
      <w:r w:rsidR="00C03762">
        <w:rPr>
          <w:i/>
          <w:lang w:val="fr-CA"/>
        </w:rPr>
        <w:t>’</w:t>
      </w:r>
      <w:r w:rsidRPr="00393D65">
        <w:rPr>
          <w:i/>
          <w:lang w:val="fr-CA"/>
        </w:rPr>
        <w:t>amendements à la Loi sur la faillite</w:t>
      </w:r>
      <w:r w:rsidRPr="00393D65">
        <w:rPr>
          <w:lang w:val="fr-CA"/>
        </w:rPr>
        <w:t> </w:t>
      </w:r>
      <w:r w:rsidRPr="00495A42">
        <w:rPr>
          <w:i/>
          <w:lang w:val="fr-CA"/>
        </w:rPr>
        <w:t>:</w:t>
      </w:r>
      <w:r w:rsidRPr="00393D65">
        <w:rPr>
          <w:lang w:val="fr-CA"/>
        </w:rPr>
        <w:t xml:space="preserve"> </w:t>
      </w:r>
      <w:r w:rsidR="00D248DB" w:rsidRPr="00D248DB">
        <w:rPr>
          <w:i/>
          <w:lang w:val="fr-CA"/>
        </w:rPr>
        <w:t>R</w:t>
      </w:r>
      <w:r w:rsidRPr="00393D65">
        <w:rPr>
          <w:i/>
          <w:lang w:val="fr-CA"/>
        </w:rPr>
        <w:t>apport du Comité consultatif en matière de faillite et d</w:t>
      </w:r>
      <w:r w:rsidR="00C03762">
        <w:rPr>
          <w:i/>
          <w:lang w:val="fr-CA"/>
        </w:rPr>
        <w:t>’</w:t>
      </w:r>
      <w:r w:rsidRPr="00393D65">
        <w:rPr>
          <w:i/>
          <w:lang w:val="fr-CA"/>
        </w:rPr>
        <w:t>insolvabilité</w:t>
      </w:r>
      <w:r w:rsidRPr="00393D65">
        <w:rPr>
          <w:lang w:val="fr-CA"/>
        </w:rPr>
        <w:t>).</w:t>
      </w:r>
    </w:p>
    <w:p w:rsidR="008C3D0D" w:rsidRPr="00393D65" w:rsidRDefault="008C3D0D" w:rsidP="008C3D0D">
      <w:pPr>
        <w:pStyle w:val="ListParagraph"/>
        <w:numPr>
          <w:ilvl w:val="0"/>
          <w:numId w:val="5"/>
        </w:numPr>
        <w:tabs>
          <w:tab w:val="left" w:pos="1170"/>
        </w:tabs>
        <w:spacing w:after="480" w:line="480" w:lineRule="auto"/>
        <w:ind w:left="0" w:firstLine="0"/>
        <w:jc w:val="both"/>
        <w:rPr>
          <w:lang w:val="fr-CA"/>
        </w:rPr>
      </w:pPr>
      <w:r w:rsidRPr="00393D65">
        <w:rPr>
          <w:lang w:val="fr-CA"/>
        </w:rPr>
        <w:t xml:space="preserve">Comme les régimes de restructuration parallèles de la </w:t>
      </w:r>
      <w:r w:rsidRPr="00393D65">
        <w:rPr>
          <w:i/>
          <w:lang w:val="fr-CA"/>
        </w:rPr>
        <w:t>LACC</w:t>
      </w:r>
      <w:r w:rsidRPr="00393D65">
        <w:rPr>
          <w:lang w:val="fr-CA"/>
        </w:rPr>
        <w:t xml:space="preserve"> et de la </w:t>
      </w:r>
      <w:r w:rsidRPr="00393D65">
        <w:rPr>
          <w:i/>
          <w:lang w:val="fr-CA"/>
        </w:rPr>
        <w:t>LFI</w:t>
      </w:r>
      <w:r w:rsidRPr="00393D65">
        <w:rPr>
          <w:lang w:val="fr-CA"/>
        </w:rPr>
        <w:t xml:space="preserve"> constituent désormais une caractéristique reconnue dans le domaine du droit de l</w:t>
      </w:r>
      <w:r w:rsidR="00C03762">
        <w:rPr>
          <w:lang w:val="fr-CA"/>
        </w:rPr>
        <w:t>’</w:t>
      </w:r>
      <w:r w:rsidRPr="00393D65">
        <w:rPr>
          <w:lang w:val="fr-CA"/>
        </w:rPr>
        <w:t xml:space="preserve">insolvabilité, le travail de réforme législative contemporain a principalement visé à harmoniser, dans la mesure du possible, les aspects communs aux deux régimes et à privilégier la réorganisation plutôt que la liquidation (voir la </w:t>
      </w:r>
      <w:r w:rsidRPr="00393D65">
        <w:rPr>
          <w:i/>
          <w:lang w:val="fr-CA"/>
        </w:rPr>
        <w:t>Loi édictant la Loi sur le Programme de protection des salariés et modifiant la Loi sur la faillite et l</w:t>
      </w:r>
      <w:r w:rsidR="00C03762">
        <w:rPr>
          <w:i/>
          <w:lang w:val="fr-CA"/>
        </w:rPr>
        <w:t>’</w:t>
      </w:r>
      <w:r w:rsidRPr="00393D65">
        <w:rPr>
          <w:i/>
          <w:lang w:val="fr-CA"/>
        </w:rPr>
        <w:t>insolvabilité, la Loi sur les arrangements avec les créanciers des compagnies et d</w:t>
      </w:r>
      <w:r w:rsidR="00C03762">
        <w:rPr>
          <w:i/>
          <w:lang w:val="fr-CA"/>
        </w:rPr>
        <w:t>’</w:t>
      </w:r>
      <w:r w:rsidRPr="00393D65">
        <w:rPr>
          <w:i/>
          <w:lang w:val="fr-CA"/>
        </w:rPr>
        <w:t>autres lois en conséquence</w:t>
      </w:r>
      <w:r w:rsidRPr="00393D65">
        <w:rPr>
          <w:lang w:val="fr-CA"/>
        </w:rPr>
        <w:t xml:space="preserve">, L.C. 2005, ch. 47; </w:t>
      </w:r>
      <w:r w:rsidRPr="00393D65">
        <w:rPr>
          <w:i/>
          <w:lang w:val="fr-CA"/>
        </w:rPr>
        <w:t>Gauntlet Energy</w:t>
      </w:r>
      <w:r w:rsidR="00D248DB">
        <w:rPr>
          <w:i/>
          <w:lang w:val="fr-CA"/>
        </w:rPr>
        <w:t xml:space="preserve"> Corp.</w:t>
      </w:r>
      <w:r w:rsidRPr="00393D65">
        <w:rPr>
          <w:i/>
          <w:lang w:val="fr-CA"/>
        </w:rPr>
        <w:t>, Re</w:t>
      </w:r>
      <w:r w:rsidRPr="00393D65">
        <w:rPr>
          <w:lang w:val="fr-CA"/>
        </w:rPr>
        <w:t>, 2003 ABQB 894, 30 Alta L.R. (4th) 192, par. 19).</w:t>
      </w:r>
    </w:p>
    <w:p w:rsidR="008C3D0D" w:rsidRPr="00393D65" w:rsidRDefault="008C3D0D" w:rsidP="008C3D0D">
      <w:pPr>
        <w:pStyle w:val="ListParagraph"/>
        <w:numPr>
          <w:ilvl w:val="0"/>
          <w:numId w:val="5"/>
        </w:numPr>
        <w:tabs>
          <w:tab w:val="left" w:pos="1170"/>
        </w:tabs>
        <w:spacing w:after="480" w:line="480" w:lineRule="auto"/>
        <w:ind w:left="0" w:firstLine="0"/>
        <w:jc w:val="both"/>
        <w:rPr>
          <w:lang w:val="fr-CA"/>
        </w:rPr>
      </w:pPr>
      <w:r w:rsidRPr="00393D65">
        <w:rPr>
          <w:lang w:val="fr-CA"/>
        </w:rPr>
        <w:lastRenderedPageBreak/>
        <w:t>Ayant à l</w:t>
      </w:r>
      <w:r w:rsidR="00C03762">
        <w:rPr>
          <w:lang w:val="fr-CA"/>
        </w:rPr>
        <w:t>’</w:t>
      </w:r>
      <w:r w:rsidRPr="00393D65">
        <w:rPr>
          <w:lang w:val="fr-CA"/>
        </w:rPr>
        <w:t xml:space="preserve">esprit le contexte historique de la </w:t>
      </w:r>
      <w:r w:rsidRPr="00393D65">
        <w:rPr>
          <w:i/>
          <w:lang w:val="fr-CA"/>
        </w:rPr>
        <w:t>LACC</w:t>
      </w:r>
      <w:r w:rsidRPr="00393D65">
        <w:rPr>
          <w:lang w:val="fr-CA"/>
        </w:rPr>
        <w:t xml:space="preserve"> et de la </w:t>
      </w:r>
      <w:r w:rsidRPr="00393D65">
        <w:rPr>
          <w:i/>
          <w:lang w:val="fr-CA"/>
        </w:rPr>
        <w:t>LFI</w:t>
      </w:r>
      <w:r w:rsidRPr="00393D65">
        <w:rPr>
          <w:lang w:val="fr-CA"/>
        </w:rPr>
        <w:t>, je vais maintenant aborder la première question en litige.</w:t>
      </w:r>
    </w:p>
    <w:p w:rsidR="008C3D0D" w:rsidRPr="00393D65" w:rsidRDefault="008C3D0D" w:rsidP="00225BF4">
      <w:pPr>
        <w:pStyle w:val="SCCNormalDoubleSpacing"/>
        <w:tabs>
          <w:tab w:val="left" w:pos="540"/>
        </w:tabs>
        <w:spacing w:after="480"/>
      </w:pPr>
      <w:r w:rsidRPr="00393D65">
        <w:t>3.2</w:t>
      </w:r>
      <w:r w:rsidR="00225BF4">
        <w:tab/>
      </w:r>
      <w:r w:rsidRPr="00225BF4">
        <w:rPr>
          <w:i/>
        </w:rPr>
        <w:t>Fiducie réputée se rapportant à la TPS dans le cadre de la LACC</w:t>
      </w:r>
    </w:p>
    <w:p w:rsidR="008C3D0D" w:rsidRPr="00393D65" w:rsidRDefault="008C3D0D" w:rsidP="008C3D0D">
      <w:pPr>
        <w:pStyle w:val="ListParagraph"/>
        <w:numPr>
          <w:ilvl w:val="0"/>
          <w:numId w:val="5"/>
        </w:numPr>
        <w:tabs>
          <w:tab w:val="left" w:pos="1170"/>
        </w:tabs>
        <w:spacing w:after="480" w:line="480" w:lineRule="auto"/>
        <w:ind w:left="0" w:firstLine="0"/>
        <w:jc w:val="both"/>
        <w:rPr>
          <w:lang w:val="fr-CA"/>
        </w:rPr>
      </w:pPr>
      <w:r w:rsidRPr="00393D65">
        <w:rPr>
          <w:lang w:val="fr-CA"/>
        </w:rPr>
        <w:t>La Cour d</w:t>
      </w:r>
      <w:r w:rsidR="00C03762">
        <w:rPr>
          <w:lang w:val="fr-CA"/>
        </w:rPr>
        <w:t>’</w:t>
      </w:r>
      <w:r w:rsidRPr="00393D65">
        <w:rPr>
          <w:lang w:val="fr-CA"/>
        </w:rPr>
        <w:t xml:space="preserve">appel a estimé que la </w:t>
      </w:r>
      <w:r w:rsidRPr="00393D65">
        <w:rPr>
          <w:i/>
          <w:lang w:val="fr-CA"/>
        </w:rPr>
        <w:t>LTA</w:t>
      </w:r>
      <w:r w:rsidRPr="00393D65">
        <w:rPr>
          <w:lang w:val="fr-CA"/>
        </w:rPr>
        <w:t xml:space="preserve"> empêchait le tribunal de suspendre les mesures prises par la Couronne pour bénéficier de la fiducie réputée se rapportant à la TPS, lorsqu</w:t>
      </w:r>
      <w:r w:rsidR="00C03762">
        <w:rPr>
          <w:lang w:val="fr-CA"/>
        </w:rPr>
        <w:t>’</w:t>
      </w:r>
      <w:r w:rsidRPr="00393D65">
        <w:rPr>
          <w:lang w:val="fr-CA"/>
        </w:rPr>
        <w:t>il a partiellement levé la suspension des procédures engagées contre le débiteur afin de permettre à celui</w:t>
      </w:r>
      <w:r w:rsidRPr="00393D65">
        <w:rPr>
          <w:lang w:val="fr-CA"/>
        </w:rPr>
        <w:noBreakHyphen/>
        <w:t>ci de faire cession de ses biens.  Ce faisant, la cour a adopté un raisonnement qui s</w:t>
      </w:r>
      <w:r w:rsidR="00C03762">
        <w:rPr>
          <w:lang w:val="fr-CA"/>
        </w:rPr>
        <w:t>’</w:t>
      </w:r>
      <w:r w:rsidRPr="00393D65">
        <w:rPr>
          <w:lang w:val="fr-CA"/>
        </w:rPr>
        <w:t>insère dans un courant jurisprudentiel dominé par l</w:t>
      </w:r>
      <w:r w:rsidR="00C03762">
        <w:rPr>
          <w:lang w:val="fr-CA"/>
        </w:rPr>
        <w:t>’</w:t>
      </w:r>
      <w:r w:rsidRPr="00393D65">
        <w:rPr>
          <w:lang w:val="fr-CA"/>
        </w:rPr>
        <w:t xml:space="preserve">arrêt </w:t>
      </w:r>
      <w:r w:rsidRPr="00393D65">
        <w:rPr>
          <w:i/>
          <w:lang w:val="fr-CA"/>
        </w:rPr>
        <w:t>Ottawa Senators</w:t>
      </w:r>
      <w:r w:rsidRPr="00393D65">
        <w:rPr>
          <w:lang w:val="fr-CA"/>
        </w:rPr>
        <w:t>, suivant lequel il demeure possible de demander le bénéfice d</w:t>
      </w:r>
      <w:r w:rsidR="00C03762">
        <w:rPr>
          <w:lang w:val="fr-CA"/>
        </w:rPr>
        <w:t>’</w:t>
      </w:r>
      <w:r w:rsidRPr="00393D65">
        <w:rPr>
          <w:lang w:val="fr-CA"/>
        </w:rPr>
        <w:t xml:space="preserve">une fiducie réputée établie par la </w:t>
      </w:r>
      <w:r w:rsidRPr="00393D65">
        <w:rPr>
          <w:i/>
          <w:lang w:val="fr-CA"/>
        </w:rPr>
        <w:t>LTA</w:t>
      </w:r>
      <w:r w:rsidRPr="00393D65">
        <w:rPr>
          <w:lang w:val="fr-CA"/>
        </w:rPr>
        <w:t xml:space="preserve"> pendant une réorganisation opérée en vertu de la </w:t>
      </w:r>
      <w:r w:rsidRPr="00393D65">
        <w:rPr>
          <w:i/>
          <w:lang w:val="fr-CA"/>
        </w:rPr>
        <w:t>LACC</w:t>
      </w:r>
      <w:r w:rsidRPr="00393D65">
        <w:rPr>
          <w:lang w:val="fr-CA"/>
        </w:rPr>
        <w:t xml:space="preserve">, et ce, malgré les dispositions de la </w:t>
      </w:r>
      <w:r w:rsidRPr="00393D65">
        <w:rPr>
          <w:i/>
          <w:lang w:val="fr-CA"/>
        </w:rPr>
        <w:t>LACC</w:t>
      </w:r>
      <w:r w:rsidRPr="00393D65">
        <w:rPr>
          <w:lang w:val="fr-CA"/>
        </w:rPr>
        <w:t xml:space="preserve"> qui semblent dire le contraire.</w:t>
      </w:r>
    </w:p>
    <w:p w:rsidR="008C3D0D" w:rsidRPr="00393D65" w:rsidRDefault="008C3D0D" w:rsidP="008C3D0D">
      <w:pPr>
        <w:pStyle w:val="ListParagraph"/>
        <w:numPr>
          <w:ilvl w:val="0"/>
          <w:numId w:val="5"/>
        </w:numPr>
        <w:tabs>
          <w:tab w:val="left" w:pos="1170"/>
        </w:tabs>
        <w:spacing w:after="480" w:line="480" w:lineRule="auto"/>
        <w:ind w:left="0" w:firstLine="0"/>
        <w:jc w:val="both"/>
        <w:rPr>
          <w:lang w:val="fr-CA"/>
        </w:rPr>
      </w:pPr>
      <w:r w:rsidRPr="00393D65">
        <w:rPr>
          <w:lang w:val="fr-CA"/>
        </w:rPr>
        <w:t>S</w:t>
      </w:r>
      <w:r w:rsidR="00C03762">
        <w:rPr>
          <w:lang w:val="fr-CA"/>
        </w:rPr>
        <w:t>’</w:t>
      </w:r>
      <w:r w:rsidRPr="00393D65">
        <w:rPr>
          <w:lang w:val="fr-CA"/>
        </w:rPr>
        <w:t>appuyant largement sur l</w:t>
      </w:r>
      <w:r w:rsidR="00C03762">
        <w:rPr>
          <w:lang w:val="fr-CA"/>
        </w:rPr>
        <w:t>’</w:t>
      </w:r>
      <w:r w:rsidRPr="00393D65">
        <w:rPr>
          <w:lang w:val="fr-CA"/>
        </w:rPr>
        <w:t xml:space="preserve">arrêt </w:t>
      </w:r>
      <w:r w:rsidRPr="00393D65">
        <w:rPr>
          <w:i/>
          <w:lang w:val="fr-CA"/>
        </w:rPr>
        <w:t>Ottawa Senators</w:t>
      </w:r>
      <w:r w:rsidRPr="00393D65">
        <w:rPr>
          <w:lang w:val="fr-CA"/>
        </w:rPr>
        <w:t xml:space="preserve"> de la Cour d</w:t>
      </w:r>
      <w:r w:rsidR="00C03762">
        <w:rPr>
          <w:lang w:val="fr-CA"/>
        </w:rPr>
        <w:t>’</w:t>
      </w:r>
      <w:r w:rsidRPr="00393D65">
        <w:rPr>
          <w:lang w:val="fr-CA"/>
        </w:rPr>
        <w:t>appel de l</w:t>
      </w:r>
      <w:r w:rsidR="00C03762">
        <w:rPr>
          <w:lang w:val="fr-CA"/>
        </w:rPr>
        <w:t>’</w:t>
      </w:r>
      <w:r w:rsidRPr="00393D65">
        <w:rPr>
          <w:lang w:val="fr-CA"/>
        </w:rPr>
        <w:t xml:space="preserve">Ontario, la Couronne plaide que la disposition postérieure de la </w:t>
      </w:r>
      <w:r w:rsidRPr="00393D65">
        <w:rPr>
          <w:i/>
          <w:lang w:val="fr-CA"/>
        </w:rPr>
        <w:t>LTA</w:t>
      </w:r>
      <w:r w:rsidRPr="00393D65">
        <w:rPr>
          <w:lang w:val="fr-CA"/>
        </w:rPr>
        <w:t xml:space="preserve"> créant la fiducie réputée visant la TPS l</w:t>
      </w:r>
      <w:r w:rsidR="00C03762">
        <w:rPr>
          <w:lang w:val="fr-CA"/>
        </w:rPr>
        <w:t>’</w:t>
      </w:r>
      <w:r w:rsidRPr="00393D65">
        <w:rPr>
          <w:lang w:val="fr-CA"/>
        </w:rPr>
        <w:t xml:space="preserve">emporte sur la disposition de la </w:t>
      </w:r>
      <w:r w:rsidRPr="00393D65">
        <w:rPr>
          <w:i/>
          <w:lang w:val="fr-CA"/>
        </w:rPr>
        <w:t>LACC</w:t>
      </w:r>
      <w:r w:rsidRPr="00393D65">
        <w:rPr>
          <w:lang w:val="fr-CA"/>
        </w:rPr>
        <w:t xml:space="preserve"> censée neutraliser la plupart des fiducies réputées qui sont créées par des dispositions législatives.  Si la Cour d</w:t>
      </w:r>
      <w:r w:rsidR="00C03762">
        <w:rPr>
          <w:lang w:val="fr-CA"/>
        </w:rPr>
        <w:t>’</w:t>
      </w:r>
      <w:r w:rsidRPr="00393D65">
        <w:rPr>
          <w:lang w:val="fr-CA"/>
        </w:rPr>
        <w:t>appel a accepté ce raisonnement dans la présente affaire, les tribunaux provinciaux ne l</w:t>
      </w:r>
      <w:r w:rsidR="00C03762">
        <w:rPr>
          <w:lang w:val="fr-CA"/>
        </w:rPr>
        <w:t>’</w:t>
      </w:r>
      <w:r w:rsidRPr="00393D65">
        <w:rPr>
          <w:lang w:val="fr-CA"/>
        </w:rPr>
        <w:t xml:space="preserve">ont pas tous adopté (voir, p. ex., </w:t>
      </w:r>
      <w:r w:rsidRPr="00393D65">
        <w:rPr>
          <w:i/>
          <w:lang w:val="fr-CA"/>
        </w:rPr>
        <w:t>Komunik Corp. (Arrangement relatif à)</w:t>
      </w:r>
      <w:r w:rsidRPr="00393D65">
        <w:rPr>
          <w:lang w:val="fr-CA"/>
        </w:rPr>
        <w:t>, 2009 QCCS 6332 (CanLII), autorisation d</w:t>
      </w:r>
      <w:r w:rsidR="00C03762">
        <w:rPr>
          <w:lang w:val="fr-CA"/>
        </w:rPr>
        <w:t>’</w:t>
      </w:r>
      <w:r w:rsidRPr="00393D65">
        <w:rPr>
          <w:lang w:val="fr-CA"/>
        </w:rPr>
        <w:t xml:space="preserve">appel accordée, 2010 QCCA 183 (CanLII)).  Dans ses observations écrites adressées à la Cour, </w:t>
      </w:r>
      <w:r w:rsidRPr="00393D65">
        <w:rPr>
          <w:lang w:val="fr-CA"/>
        </w:rPr>
        <w:lastRenderedPageBreak/>
        <w:t>Century Services s</w:t>
      </w:r>
      <w:r w:rsidR="00C03762">
        <w:rPr>
          <w:lang w:val="fr-CA"/>
        </w:rPr>
        <w:t>’</w:t>
      </w:r>
      <w:r w:rsidRPr="00393D65">
        <w:rPr>
          <w:lang w:val="fr-CA"/>
        </w:rPr>
        <w:t>est fondée sur l</w:t>
      </w:r>
      <w:r w:rsidR="00C03762">
        <w:rPr>
          <w:lang w:val="fr-CA"/>
        </w:rPr>
        <w:t>’</w:t>
      </w:r>
      <w:r w:rsidRPr="00393D65">
        <w:rPr>
          <w:lang w:val="fr-CA"/>
        </w:rPr>
        <w:t xml:space="preserve">argument suivant lequel le tribunal pouvait, en vertu de la </w:t>
      </w:r>
      <w:r w:rsidRPr="00393D65">
        <w:rPr>
          <w:i/>
          <w:lang w:val="fr-CA"/>
        </w:rPr>
        <w:t>LACC</w:t>
      </w:r>
      <w:r w:rsidRPr="00393D65">
        <w:rPr>
          <w:lang w:val="fr-CA"/>
        </w:rPr>
        <w:t>, maintenir la suspension de la demande de la Couronne visant le paiement de la TPS non versée.  Au cours des plaidoiries, la question de savoir si l</w:t>
      </w:r>
      <w:r w:rsidR="00C03762">
        <w:rPr>
          <w:lang w:val="fr-CA"/>
        </w:rPr>
        <w:t>’</w:t>
      </w:r>
      <w:r w:rsidRPr="00393D65">
        <w:rPr>
          <w:lang w:val="fr-CA"/>
        </w:rPr>
        <w:t xml:space="preserve">arrêt </w:t>
      </w:r>
      <w:r w:rsidRPr="00393D65">
        <w:rPr>
          <w:i/>
          <w:lang w:val="fr-CA"/>
        </w:rPr>
        <w:t xml:space="preserve">Ottawa Senators </w:t>
      </w:r>
      <w:r w:rsidRPr="00393D65">
        <w:rPr>
          <w:lang w:val="fr-CA"/>
        </w:rPr>
        <w:t>était bien fondé a néanmoins été soulevée.  Après l</w:t>
      </w:r>
      <w:r w:rsidR="00C03762">
        <w:rPr>
          <w:lang w:val="fr-CA"/>
        </w:rPr>
        <w:t>’</w:t>
      </w:r>
      <w:r w:rsidRPr="00393D65">
        <w:rPr>
          <w:lang w:val="fr-CA"/>
        </w:rPr>
        <w:t>audience, la Cour a demandé aux parties de présenter des observations écrites supplémentaires à ce sujet.  Comme il ressort clairement des motifs de ma collègue la juge Abella, cette question a pris une grande importance devant notre Cour.  Dans ces circonstances, la Cour doit statuer sur le bien</w:t>
      </w:r>
      <w:r w:rsidRPr="00393D65">
        <w:rPr>
          <w:lang w:val="fr-CA"/>
        </w:rPr>
        <w:noBreakHyphen/>
        <w:t>fondé du raisonnement adopté dans l</w:t>
      </w:r>
      <w:r w:rsidR="00C03762">
        <w:rPr>
          <w:lang w:val="fr-CA"/>
        </w:rPr>
        <w:t>’</w:t>
      </w:r>
      <w:r w:rsidRPr="00393D65">
        <w:rPr>
          <w:lang w:val="fr-CA"/>
        </w:rPr>
        <w:t xml:space="preserve">arrêt </w:t>
      </w:r>
      <w:r w:rsidRPr="00393D65">
        <w:rPr>
          <w:i/>
          <w:lang w:val="fr-CA"/>
        </w:rPr>
        <w:t>Ottawa Senators.</w:t>
      </w:r>
      <w:r w:rsidRPr="00393D65">
        <w:rPr>
          <w:lang w:val="fr-CA"/>
        </w:rPr>
        <w:t xml:space="preserve"> </w:t>
      </w:r>
    </w:p>
    <w:p w:rsidR="008C3D0D" w:rsidRPr="00393D65" w:rsidRDefault="008C3D0D" w:rsidP="008C3D0D">
      <w:pPr>
        <w:pStyle w:val="ListParagraph"/>
        <w:numPr>
          <w:ilvl w:val="0"/>
          <w:numId w:val="5"/>
        </w:numPr>
        <w:tabs>
          <w:tab w:val="left" w:pos="1170"/>
        </w:tabs>
        <w:spacing w:after="480" w:line="480" w:lineRule="auto"/>
        <w:ind w:left="0" w:firstLine="0"/>
        <w:jc w:val="both"/>
        <w:rPr>
          <w:lang w:val="fr-CA"/>
        </w:rPr>
      </w:pPr>
      <w:r w:rsidRPr="00393D65">
        <w:rPr>
          <w:lang w:val="fr-CA"/>
        </w:rPr>
        <w:t>Le contexte général dans lequel s</w:t>
      </w:r>
      <w:r w:rsidR="00C03762">
        <w:rPr>
          <w:lang w:val="fr-CA"/>
        </w:rPr>
        <w:t>’</w:t>
      </w:r>
      <w:r w:rsidRPr="00393D65">
        <w:rPr>
          <w:lang w:val="fr-CA"/>
        </w:rPr>
        <w:t>inscrit cette question concerne l</w:t>
      </w:r>
      <w:r w:rsidR="00C03762">
        <w:rPr>
          <w:lang w:val="fr-CA"/>
        </w:rPr>
        <w:t>’</w:t>
      </w:r>
      <w:r w:rsidRPr="00393D65">
        <w:rPr>
          <w:lang w:val="fr-CA"/>
        </w:rPr>
        <w:t>évolution considérable, signalée plus haut, de la priorité dont jouit la Couronne en tant que créancier en cas d</w:t>
      </w:r>
      <w:r w:rsidR="00C03762">
        <w:rPr>
          <w:lang w:val="fr-CA"/>
        </w:rPr>
        <w:t>’</w:t>
      </w:r>
      <w:r w:rsidRPr="00393D65">
        <w:rPr>
          <w:lang w:val="fr-CA"/>
        </w:rPr>
        <w:t>insolvabilité.  Avant les années 1990, les créances de la Couronne bénéficiaient dans une large mesure d</w:t>
      </w:r>
      <w:r w:rsidR="00C03762">
        <w:rPr>
          <w:lang w:val="fr-CA"/>
        </w:rPr>
        <w:t>’</w:t>
      </w:r>
      <w:r w:rsidRPr="00393D65">
        <w:rPr>
          <w:lang w:val="fr-CA"/>
        </w:rPr>
        <w:t>une priorité en cas d</w:t>
      </w:r>
      <w:r w:rsidR="00C03762">
        <w:rPr>
          <w:lang w:val="fr-CA"/>
        </w:rPr>
        <w:t>’</w:t>
      </w:r>
      <w:r w:rsidRPr="00393D65">
        <w:rPr>
          <w:lang w:val="fr-CA"/>
        </w:rPr>
        <w:t>insolvabilité.  Cette situation avantageuse suscitait une grande controverse.   Les propositions de réforme du droit de l</w:t>
      </w:r>
      <w:r w:rsidR="00C03762">
        <w:rPr>
          <w:lang w:val="fr-CA"/>
        </w:rPr>
        <w:t>’</w:t>
      </w:r>
      <w:r w:rsidRPr="00393D65">
        <w:rPr>
          <w:lang w:val="fr-CA"/>
        </w:rPr>
        <w:t xml:space="preserve">insolvabilité de 1970 et de 1986 en témoignent </w:t>
      </w:r>
      <w:r w:rsidR="00D248DB">
        <w:rPr>
          <w:lang w:val="fr-CA"/>
        </w:rPr>
        <w:t>—</w:t>
      </w:r>
      <w:r w:rsidRPr="00393D65">
        <w:rPr>
          <w:lang w:val="fr-CA"/>
        </w:rPr>
        <w:t xml:space="preserve"> elles recommandaient que les créances de la Couronne ne fassent l</w:t>
      </w:r>
      <w:r w:rsidR="00C03762">
        <w:rPr>
          <w:lang w:val="fr-CA"/>
        </w:rPr>
        <w:t>’</w:t>
      </w:r>
      <w:r w:rsidRPr="00393D65">
        <w:rPr>
          <w:lang w:val="fr-CA"/>
        </w:rPr>
        <w:t>objet d</w:t>
      </w:r>
      <w:r w:rsidR="00C03762">
        <w:rPr>
          <w:lang w:val="fr-CA"/>
        </w:rPr>
        <w:t>’</w:t>
      </w:r>
      <w:r w:rsidRPr="00393D65">
        <w:rPr>
          <w:lang w:val="fr-CA"/>
        </w:rPr>
        <w:t xml:space="preserve">aucun traitement préférentiel.  Une question connexe se posait : celle de savoir si la Couronne était même assujettie à la </w:t>
      </w:r>
      <w:r w:rsidRPr="00393D65">
        <w:rPr>
          <w:i/>
          <w:lang w:val="fr-CA"/>
        </w:rPr>
        <w:t>LACC</w:t>
      </w:r>
      <w:r w:rsidRPr="00393D65">
        <w:rPr>
          <w:lang w:val="fr-CA"/>
        </w:rPr>
        <w:t xml:space="preserve">.  Les modifications apportées à la </w:t>
      </w:r>
      <w:r w:rsidRPr="00393D65">
        <w:rPr>
          <w:i/>
          <w:lang w:val="fr-CA"/>
        </w:rPr>
        <w:t>LACC</w:t>
      </w:r>
      <w:r w:rsidRPr="00393D65">
        <w:rPr>
          <w:lang w:val="fr-CA"/>
        </w:rPr>
        <w:t xml:space="preserve"> en 1997 ont confirmé qu</w:t>
      </w:r>
      <w:r w:rsidR="00C03762">
        <w:rPr>
          <w:lang w:val="fr-CA"/>
        </w:rPr>
        <w:t>’</w:t>
      </w:r>
      <w:r w:rsidRPr="00393D65">
        <w:rPr>
          <w:lang w:val="fr-CA"/>
        </w:rPr>
        <w:t>elle l</w:t>
      </w:r>
      <w:r w:rsidR="00C03762">
        <w:rPr>
          <w:lang w:val="fr-CA"/>
        </w:rPr>
        <w:t>’</w:t>
      </w:r>
      <w:r w:rsidRPr="00393D65">
        <w:rPr>
          <w:lang w:val="fr-CA"/>
        </w:rPr>
        <w:t xml:space="preserve">était bel et bien (voir </w:t>
      </w:r>
      <w:r w:rsidRPr="00393D65">
        <w:rPr>
          <w:i/>
          <w:lang w:val="fr-CA"/>
        </w:rPr>
        <w:t>LACC</w:t>
      </w:r>
      <w:r w:rsidRPr="00393D65">
        <w:rPr>
          <w:lang w:val="fr-CA"/>
        </w:rPr>
        <w:t xml:space="preserve">, art. 21, </w:t>
      </w:r>
      <w:r w:rsidR="00D248DB">
        <w:rPr>
          <w:lang w:val="fr-CA"/>
        </w:rPr>
        <w:t>ajouté</w:t>
      </w:r>
      <w:r w:rsidRPr="00393D65">
        <w:rPr>
          <w:lang w:val="fr-CA"/>
        </w:rPr>
        <w:t xml:space="preserve"> par L.C. 1997, ch. 12, art. 126).</w:t>
      </w:r>
    </w:p>
    <w:p w:rsidR="008C3D0D" w:rsidRPr="00393D65" w:rsidRDefault="008C3D0D" w:rsidP="008C3D0D">
      <w:pPr>
        <w:pStyle w:val="ListParagraph"/>
        <w:numPr>
          <w:ilvl w:val="0"/>
          <w:numId w:val="5"/>
        </w:numPr>
        <w:tabs>
          <w:tab w:val="left" w:pos="1170"/>
        </w:tabs>
        <w:spacing w:after="480" w:line="480" w:lineRule="auto"/>
        <w:ind w:left="0" w:firstLine="0"/>
        <w:jc w:val="both"/>
        <w:rPr>
          <w:lang w:val="fr-CA"/>
        </w:rPr>
      </w:pPr>
      <w:r w:rsidRPr="00393D65">
        <w:rPr>
          <w:lang w:val="fr-CA"/>
        </w:rPr>
        <w:lastRenderedPageBreak/>
        <w:t>Les revendications de priorité par l</w:t>
      </w:r>
      <w:r w:rsidR="00C03762">
        <w:rPr>
          <w:lang w:val="fr-CA"/>
        </w:rPr>
        <w:t>’</w:t>
      </w:r>
      <w:r w:rsidRPr="00393D65">
        <w:rPr>
          <w:lang w:val="fr-CA"/>
        </w:rPr>
        <w:t>État en cas d</w:t>
      </w:r>
      <w:r w:rsidR="00C03762">
        <w:rPr>
          <w:lang w:val="fr-CA"/>
        </w:rPr>
        <w:t>’</w:t>
      </w:r>
      <w:r w:rsidRPr="00393D65">
        <w:rPr>
          <w:lang w:val="fr-CA"/>
        </w:rPr>
        <w:t>insolvabilité sont abordées de différentes façons selon les pays.  Par exemple, en Allemagne et en Australie, l</w:t>
      </w:r>
      <w:r w:rsidR="00C03762">
        <w:rPr>
          <w:lang w:val="fr-CA"/>
        </w:rPr>
        <w:t>’</w:t>
      </w:r>
      <w:r w:rsidRPr="00393D65">
        <w:rPr>
          <w:lang w:val="fr-CA"/>
        </w:rPr>
        <w:t>État ne bénéficie d</w:t>
      </w:r>
      <w:r w:rsidR="00C03762">
        <w:rPr>
          <w:lang w:val="fr-CA"/>
        </w:rPr>
        <w:t>’</w:t>
      </w:r>
      <w:r w:rsidRPr="00393D65">
        <w:rPr>
          <w:lang w:val="fr-CA"/>
        </w:rPr>
        <w:t>aucune priorité, alors qu</w:t>
      </w:r>
      <w:r w:rsidR="00C03762">
        <w:rPr>
          <w:lang w:val="fr-CA"/>
        </w:rPr>
        <w:t>’</w:t>
      </w:r>
      <w:r w:rsidRPr="00393D65">
        <w:rPr>
          <w:lang w:val="fr-CA"/>
        </w:rPr>
        <w:t>aux États</w:t>
      </w:r>
      <w:r w:rsidRPr="00393D65">
        <w:rPr>
          <w:lang w:val="fr-CA"/>
        </w:rPr>
        <w:noBreakHyphen/>
        <w:t>Unis et en France il jouit au contraire d</w:t>
      </w:r>
      <w:r w:rsidR="00C03762">
        <w:rPr>
          <w:lang w:val="fr-CA"/>
        </w:rPr>
        <w:t>’</w:t>
      </w:r>
      <w:r w:rsidRPr="00393D65">
        <w:rPr>
          <w:lang w:val="fr-CA"/>
        </w:rPr>
        <w:t xml:space="preserve">une large priorité (voir B. K. Morgan, « Should the Sovereign be Paid First? </w:t>
      </w:r>
      <w:r w:rsidRPr="00393D65">
        <w:t>A Comparative International Analysis of the Priority for Tax Claims in Bankruptcy » (2000), 74</w:t>
      </w:r>
      <w:r w:rsidRPr="00393D65">
        <w:rPr>
          <w:i/>
        </w:rPr>
        <w:t xml:space="preserve"> Am. </w:t>
      </w:r>
      <w:r w:rsidRPr="00393D65">
        <w:rPr>
          <w:i/>
          <w:lang w:val="fr-CA"/>
        </w:rPr>
        <w:t>Bank</w:t>
      </w:r>
      <w:r w:rsidR="00D248DB">
        <w:rPr>
          <w:i/>
          <w:lang w:val="fr-CA"/>
        </w:rPr>
        <w:t>r</w:t>
      </w:r>
      <w:r w:rsidRPr="00393D65">
        <w:rPr>
          <w:i/>
          <w:lang w:val="fr-CA"/>
        </w:rPr>
        <w:t xml:space="preserve">. L.J. </w:t>
      </w:r>
      <w:r w:rsidRPr="00393D65">
        <w:rPr>
          <w:lang w:val="fr-CA"/>
        </w:rPr>
        <w:t>461, p. 500).  Le Canada a choisi une voie intermédiaire dans le cadre d</w:t>
      </w:r>
      <w:r w:rsidR="00C03762">
        <w:rPr>
          <w:lang w:val="fr-CA"/>
        </w:rPr>
        <w:t>’</w:t>
      </w:r>
      <w:r w:rsidRPr="00393D65">
        <w:rPr>
          <w:lang w:val="fr-CA"/>
        </w:rPr>
        <w:t>une réforme législative amorcée en 1992 : la Couronne a conservé sa priorité pour les sommes retenues à la source au titre de l</w:t>
      </w:r>
      <w:r w:rsidR="00C03762">
        <w:rPr>
          <w:lang w:val="fr-CA"/>
        </w:rPr>
        <w:t>’</w:t>
      </w:r>
      <w:r w:rsidRPr="00393D65">
        <w:rPr>
          <w:lang w:val="fr-CA"/>
        </w:rPr>
        <w:t>impôt sur le revenu et des cotisations à l</w:t>
      </w:r>
      <w:r w:rsidR="00C03762">
        <w:rPr>
          <w:lang w:val="fr-CA"/>
        </w:rPr>
        <w:t>’</w:t>
      </w:r>
      <w:r w:rsidRPr="00393D65">
        <w:rPr>
          <w:lang w:val="fr-CA"/>
        </w:rPr>
        <w:t>assurance</w:t>
      </w:r>
      <w:r w:rsidRPr="00393D65">
        <w:rPr>
          <w:lang w:val="fr-CA"/>
        </w:rPr>
        <w:noBreakHyphen/>
        <w:t>emploi (« AE ») et au Régime de pensions du Canada (« RPC »), mais elle est un créancier ordinaire non garanti pour la plupart des autres sommes qui lui sont dues.</w:t>
      </w:r>
    </w:p>
    <w:p w:rsidR="008C3D0D" w:rsidRPr="00393D65" w:rsidRDefault="008C3D0D" w:rsidP="008C3D0D">
      <w:pPr>
        <w:pStyle w:val="ListParagraph"/>
        <w:numPr>
          <w:ilvl w:val="0"/>
          <w:numId w:val="5"/>
        </w:numPr>
        <w:tabs>
          <w:tab w:val="left" w:pos="1170"/>
        </w:tabs>
        <w:spacing w:after="480" w:line="480" w:lineRule="auto"/>
        <w:ind w:left="0" w:firstLine="0"/>
        <w:jc w:val="both"/>
        <w:rPr>
          <w:lang w:val="fr-CA"/>
        </w:rPr>
      </w:pPr>
      <w:r w:rsidRPr="00393D65">
        <w:rPr>
          <w:lang w:val="fr-CA"/>
        </w:rPr>
        <w:t>Le législateur a fréquemment adopté des mécanismes visant à protéger les créances de la Couronne et à permettre leur exécution.  Les deux plus courants sont les fiducies présumées et les pouvoirs de saisie</w:t>
      </w:r>
      <w:r w:rsidRPr="00393D65">
        <w:rPr>
          <w:lang w:val="fr-CA"/>
        </w:rPr>
        <w:noBreakHyphen/>
        <w:t xml:space="preserve">arrêt (voir F. L. Lamer, </w:t>
      </w:r>
      <w:r w:rsidRPr="00393D65">
        <w:rPr>
          <w:i/>
          <w:lang w:val="fr-CA"/>
        </w:rPr>
        <w:t>Priority of Crown Claims in Insolvency</w:t>
      </w:r>
      <w:r w:rsidRPr="00393D65">
        <w:rPr>
          <w:lang w:val="fr-CA"/>
        </w:rPr>
        <w:t xml:space="preserve"> (feuilles mobiles), §2).</w:t>
      </w:r>
    </w:p>
    <w:p w:rsidR="008C3D0D" w:rsidRPr="00393D65" w:rsidRDefault="008C3D0D" w:rsidP="008C3D0D">
      <w:pPr>
        <w:pStyle w:val="ListParagraph"/>
        <w:numPr>
          <w:ilvl w:val="0"/>
          <w:numId w:val="5"/>
        </w:numPr>
        <w:tabs>
          <w:tab w:val="left" w:pos="1170"/>
        </w:tabs>
        <w:spacing w:after="480" w:line="480" w:lineRule="auto"/>
        <w:ind w:left="0" w:firstLine="0"/>
        <w:jc w:val="both"/>
        <w:rPr>
          <w:lang w:val="fr-CA"/>
        </w:rPr>
      </w:pPr>
      <w:r w:rsidRPr="00393D65">
        <w:rPr>
          <w:lang w:val="fr-CA"/>
        </w:rPr>
        <w:t xml:space="preserve">Pour ce qui est des sommes de TPS perçues, le législateur a établi une fiducie réputée.  La </w:t>
      </w:r>
      <w:r w:rsidRPr="00393D65">
        <w:rPr>
          <w:i/>
          <w:lang w:val="fr-CA"/>
        </w:rPr>
        <w:t xml:space="preserve">LTA </w:t>
      </w:r>
      <w:r w:rsidRPr="00393D65">
        <w:rPr>
          <w:lang w:val="fr-CA"/>
        </w:rPr>
        <w:t>précise que la personne qui perçoit une somme au titre de la TPS est réputée la détenir en fiducie pour la Couronne (par. 222(1)).  La fiducie réputée s</w:t>
      </w:r>
      <w:r w:rsidR="00C03762">
        <w:rPr>
          <w:lang w:val="fr-CA"/>
        </w:rPr>
        <w:t>’</w:t>
      </w:r>
      <w:r w:rsidRPr="00393D65">
        <w:rPr>
          <w:lang w:val="fr-CA"/>
        </w:rPr>
        <w:t>applique aux autres biens de la personne qui perçoit la taxe, pour une valeur égale à la somme réputée détenue en fiducie, si la somme en question n</w:t>
      </w:r>
      <w:r w:rsidR="00C03762">
        <w:rPr>
          <w:lang w:val="fr-CA"/>
        </w:rPr>
        <w:t>’</w:t>
      </w:r>
      <w:r w:rsidRPr="00393D65">
        <w:rPr>
          <w:lang w:val="fr-CA"/>
        </w:rPr>
        <w:t xml:space="preserve">a pas été versée en conformité avec la </w:t>
      </w:r>
      <w:r w:rsidRPr="00393D65">
        <w:rPr>
          <w:i/>
          <w:lang w:val="fr-CA"/>
        </w:rPr>
        <w:t>LTA</w:t>
      </w:r>
      <w:r w:rsidRPr="00393D65">
        <w:rPr>
          <w:lang w:val="fr-CA"/>
        </w:rPr>
        <w:t xml:space="preserve">.  La fiducie réputée vise également les biens </w:t>
      </w:r>
      <w:r w:rsidRPr="00393D65">
        <w:rPr>
          <w:lang w:val="fr-CA"/>
        </w:rPr>
        <w:lastRenderedPageBreak/>
        <w:t>détenus par un créancier garanti qui, si ce n</w:t>
      </w:r>
      <w:r w:rsidR="00C03762">
        <w:rPr>
          <w:lang w:val="fr-CA"/>
        </w:rPr>
        <w:t>’</w:t>
      </w:r>
      <w:r w:rsidRPr="00393D65">
        <w:rPr>
          <w:lang w:val="fr-CA"/>
        </w:rPr>
        <w:t>était de la sûreté, seraient les biens de la personne qui perçoit la taxe (par. 222(3)).</w:t>
      </w:r>
    </w:p>
    <w:p w:rsidR="008C3D0D" w:rsidRPr="00393D65" w:rsidRDefault="008C3D0D" w:rsidP="008C3D0D">
      <w:pPr>
        <w:pStyle w:val="ListParagraph"/>
        <w:numPr>
          <w:ilvl w:val="0"/>
          <w:numId w:val="5"/>
        </w:numPr>
        <w:tabs>
          <w:tab w:val="left" w:pos="1170"/>
        </w:tabs>
        <w:spacing w:after="480" w:line="480" w:lineRule="auto"/>
        <w:ind w:left="0" w:firstLine="0"/>
        <w:jc w:val="both"/>
        <w:rPr>
          <w:lang w:val="fr-CA"/>
        </w:rPr>
      </w:pPr>
      <w:r w:rsidRPr="00393D65">
        <w:rPr>
          <w:lang w:val="fr-CA"/>
        </w:rPr>
        <w:t>Utilisant pratiquement les mêmes termes, le législateur a créé de semblables fiducies réputées à l</w:t>
      </w:r>
      <w:r w:rsidR="00C03762">
        <w:rPr>
          <w:lang w:val="fr-CA"/>
        </w:rPr>
        <w:t>’</w:t>
      </w:r>
      <w:r w:rsidRPr="00393D65">
        <w:rPr>
          <w:lang w:val="fr-CA"/>
        </w:rPr>
        <w:t>égard des retenues à la source relatives à l</w:t>
      </w:r>
      <w:r w:rsidR="00C03762">
        <w:rPr>
          <w:lang w:val="fr-CA"/>
        </w:rPr>
        <w:t>’</w:t>
      </w:r>
      <w:r w:rsidRPr="00393D65">
        <w:rPr>
          <w:lang w:val="fr-CA"/>
        </w:rPr>
        <w:t>impôt sur le revenu et aux cotisations à l</w:t>
      </w:r>
      <w:r w:rsidR="00C03762">
        <w:rPr>
          <w:lang w:val="fr-CA"/>
        </w:rPr>
        <w:t>’</w:t>
      </w:r>
      <w:r w:rsidRPr="00393D65">
        <w:rPr>
          <w:lang w:val="fr-CA"/>
        </w:rPr>
        <w:t xml:space="preserve">AE et au RPC (voir par. 227(4) de la </w:t>
      </w:r>
      <w:r w:rsidRPr="00393D65">
        <w:rPr>
          <w:i/>
          <w:lang w:val="fr-CA"/>
        </w:rPr>
        <w:t>Loi de l</w:t>
      </w:r>
      <w:r w:rsidR="00C03762">
        <w:rPr>
          <w:i/>
          <w:lang w:val="fr-CA"/>
        </w:rPr>
        <w:t>’</w:t>
      </w:r>
      <w:r w:rsidRPr="00393D65">
        <w:rPr>
          <w:i/>
          <w:lang w:val="fr-CA"/>
        </w:rPr>
        <w:t>impôt sur le revenu</w:t>
      </w:r>
      <w:r w:rsidRPr="00393D65">
        <w:rPr>
          <w:lang w:val="fr-CA"/>
        </w:rPr>
        <w:t>, L.R.C. 1985, ch. 1 (5</w:t>
      </w:r>
      <w:r w:rsidRPr="00393D65">
        <w:rPr>
          <w:vertAlign w:val="superscript"/>
          <w:lang w:val="fr-CA"/>
        </w:rPr>
        <w:t>e</w:t>
      </w:r>
      <w:r w:rsidRPr="00393D65">
        <w:rPr>
          <w:lang w:val="fr-CA"/>
        </w:rPr>
        <w:t xml:space="preserve"> suppl.) (« </w:t>
      </w:r>
      <w:r w:rsidRPr="00393D65">
        <w:rPr>
          <w:i/>
          <w:lang w:val="fr-CA"/>
        </w:rPr>
        <w:t>LIR</w:t>
      </w:r>
      <w:r w:rsidRPr="00393D65">
        <w:rPr>
          <w:lang w:val="fr-CA"/>
        </w:rPr>
        <w:t xml:space="preserve"> »), par. 86(2) et (2.1) de la </w:t>
      </w:r>
      <w:r w:rsidRPr="00393D65">
        <w:rPr>
          <w:i/>
          <w:lang w:val="fr-CA"/>
        </w:rPr>
        <w:t>Loi sur l</w:t>
      </w:r>
      <w:r w:rsidR="00C03762">
        <w:rPr>
          <w:i/>
          <w:lang w:val="fr-CA"/>
        </w:rPr>
        <w:t>’</w:t>
      </w:r>
      <w:r w:rsidRPr="00393D65">
        <w:rPr>
          <w:i/>
          <w:lang w:val="fr-CA"/>
        </w:rPr>
        <w:t>assurance</w:t>
      </w:r>
      <w:r w:rsidRPr="00393D65">
        <w:rPr>
          <w:i/>
          <w:lang w:val="fr-CA"/>
        </w:rPr>
        <w:noBreakHyphen/>
        <w:t>emploi</w:t>
      </w:r>
      <w:r w:rsidRPr="00393D65">
        <w:rPr>
          <w:lang w:val="fr-CA"/>
        </w:rPr>
        <w:t xml:space="preserve">, L.C. 1996, ch. 23, et par. 23(3) et (4) du </w:t>
      </w:r>
      <w:r w:rsidRPr="00393D65">
        <w:rPr>
          <w:i/>
          <w:lang w:val="fr-CA"/>
        </w:rPr>
        <w:t>Régime de pensions du Canada</w:t>
      </w:r>
      <w:r w:rsidRPr="00393D65">
        <w:rPr>
          <w:lang w:val="fr-CA"/>
        </w:rPr>
        <w:t>, L.R.C. 1985, ch. C</w:t>
      </w:r>
      <w:r w:rsidRPr="00393D65">
        <w:rPr>
          <w:lang w:val="fr-CA"/>
        </w:rPr>
        <w:noBreakHyphen/>
        <w:t>8).  J</w:t>
      </w:r>
      <w:r w:rsidR="00C03762">
        <w:rPr>
          <w:lang w:val="fr-CA"/>
        </w:rPr>
        <w:t>’</w:t>
      </w:r>
      <w:r w:rsidRPr="00393D65">
        <w:rPr>
          <w:lang w:val="fr-CA"/>
        </w:rPr>
        <w:t>emploierai ci</w:t>
      </w:r>
      <w:r w:rsidRPr="00393D65">
        <w:rPr>
          <w:lang w:val="fr-CA"/>
        </w:rPr>
        <w:noBreakHyphen/>
        <w:t>après le terme « retenues à la source » pour désigner les retenues relatives à l</w:t>
      </w:r>
      <w:r w:rsidR="00C03762">
        <w:rPr>
          <w:lang w:val="fr-CA"/>
        </w:rPr>
        <w:t>’</w:t>
      </w:r>
      <w:r w:rsidRPr="00393D65">
        <w:rPr>
          <w:lang w:val="fr-CA"/>
        </w:rPr>
        <w:t>impôt sur le revenu et aux cotisations à l</w:t>
      </w:r>
      <w:r w:rsidR="00C03762">
        <w:rPr>
          <w:lang w:val="fr-CA"/>
        </w:rPr>
        <w:t>’</w:t>
      </w:r>
      <w:r w:rsidRPr="00393D65">
        <w:rPr>
          <w:lang w:val="fr-CA"/>
        </w:rPr>
        <w:t xml:space="preserve">AE et au RPC. </w:t>
      </w:r>
    </w:p>
    <w:p w:rsidR="008C3D0D" w:rsidRPr="00393D65" w:rsidRDefault="008C3D0D" w:rsidP="008C3D0D">
      <w:pPr>
        <w:pStyle w:val="ListParagraph"/>
        <w:numPr>
          <w:ilvl w:val="0"/>
          <w:numId w:val="5"/>
        </w:numPr>
        <w:tabs>
          <w:tab w:val="left" w:pos="1170"/>
        </w:tabs>
        <w:spacing w:after="480" w:line="480" w:lineRule="auto"/>
        <w:ind w:left="0" w:firstLine="0"/>
        <w:jc w:val="both"/>
        <w:rPr>
          <w:lang w:val="fr-CA"/>
        </w:rPr>
      </w:pPr>
      <w:r w:rsidRPr="00393D65">
        <w:rPr>
          <w:lang w:val="fr-CA"/>
        </w:rPr>
        <w:t xml:space="preserve">Dans </w:t>
      </w:r>
      <w:r w:rsidRPr="00393D65">
        <w:rPr>
          <w:i/>
          <w:lang w:val="fr-CA"/>
        </w:rPr>
        <w:t>Banque Royale du Canada c. Sparrow Electric Corp.</w:t>
      </w:r>
      <w:r w:rsidRPr="00393D65">
        <w:rPr>
          <w:lang w:val="fr-CA"/>
        </w:rPr>
        <w:t>, [1997] 1 R.C.S. 411, la Cour était saisie d</w:t>
      </w:r>
      <w:r w:rsidR="00C03762">
        <w:rPr>
          <w:lang w:val="fr-CA"/>
        </w:rPr>
        <w:t>’</w:t>
      </w:r>
      <w:r w:rsidRPr="00393D65">
        <w:rPr>
          <w:lang w:val="fr-CA"/>
        </w:rPr>
        <w:t>un litige portant sur la priorité de rang entre, d</w:t>
      </w:r>
      <w:r w:rsidR="00C03762">
        <w:rPr>
          <w:lang w:val="fr-CA"/>
        </w:rPr>
        <w:t>’</w:t>
      </w:r>
      <w:r w:rsidRPr="00393D65">
        <w:rPr>
          <w:lang w:val="fr-CA"/>
        </w:rPr>
        <w:t xml:space="preserve">une part, une fiducie réputée établie en vertu de la </w:t>
      </w:r>
      <w:r w:rsidRPr="00393D65">
        <w:rPr>
          <w:i/>
          <w:lang w:val="fr-CA"/>
        </w:rPr>
        <w:t xml:space="preserve">LIR </w:t>
      </w:r>
      <w:r w:rsidRPr="00393D65">
        <w:rPr>
          <w:lang w:val="fr-CA"/>
        </w:rPr>
        <w:t>à l</w:t>
      </w:r>
      <w:r w:rsidR="00C03762">
        <w:rPr>
          <w:lang w:val="fr-CA"/>
        </w:rPr>
        <w:t>’</w:t>
      </w:r>
      <w:r w:rsidRPr="00393D65">
        <w:rPr>
          <w:lang w:val="fr-CA"/>
        </w:rPr>
        <w:t>égard des retenues à la source, et, d</w:t>
      </w:r>
      <w:r w:rsidR="00C03762">
        <w:rPr>
          <w:lang w:val="fr-CA"/>
        </w:rPr>
        <w:t>’</w:t>
      </w:r>
      <w:r w:rsidRPr="00393D65">
        <w:rPr>
          <w:lang w:val="fr-CA"/>
        </w:rPr>
        <w:t xml:space="preserve">autre part, des sûretés constituées en vertu de la </w:t>
      </w:r>
      <w:r w:rsidRPr="00393D65">
        <w:rPr>
          <w:i/>
          <w:lang w:val="fr-CA"/>
        </w:rPr>
        <w:t>Loi sur les banques</w:t>
      </w:r>
      <w:r w:rsidRPr="00393D65">
        <w:rPr>
          <w:lang w:val="fr-CA"/>
        </w:rPr>
        <w:t>, L.C. 1991, ch. 46, et de la loi de l</w:t>
      </w:r>
      <w:r w:rsidR="00C03762">
        <w:rPr>
          <w:lang w:val="fr-CA"/>
        </w:rPr>
        <w:t>’</w:t>
      </w:r>
      <w:r w:rsidRPr="00393D65">
        <w:rPr>
          <w:lang w:val="fr-CA"/>
        </w:rPr>
        <w:t>Alberta intitulée</w:t>
      </w:r>
      <w:r w:rsidRPr="00393D65">
        <w:rPr>
          <w:i/>
          <w:lang w:val="fr-CA"/>
        </w:rPr>
        <w:t xml:space="preserve"> Personal Property Security Act</w:t>
      </w:r>
      <w:r w:rsidRPr="00393D65">
        <w:rPr>
          <w:lang w:val="fr-CA"/>
        </w:rPr>
        <w:t>, S.A. 1988, ch. P</w:t>
      </w:r>
      <w:r w:rsidRPr="00393D65">
        <w:rPr>
          <w:lang w:val="fr-CA"/>
        </w:rPr>
        <w:noBreakHyphen/>
        <w:t>4.05 (« </w:t>
      </w:r>
      <w:r w:rsidRPr="00393D65">
        <w:rPr>
          <w:i/>
          <w:lang w:val="fr-CA"/>
        </w:rPr>
        <w:t>PPSA »</w:t>
      </w:r>
      <w:r w:rsidRPr="00393D65">
        <w:rPr>
          <w:lang w:val="fr-CA"/>
        </w:rPr>
        <w:t>).  D</w:t>
      </w:r>
      <w:r w:rsidR="00C03762">
        <w:rPr>
          <w:lang w:val="fr-CA"/>
        </w:rPr>
        <w:t>’</w:t>
      </w:r>
      <w:r w:rsidRPr="00393D65">
        <w:rPr>
          <w:lang w:val="fr-CA"/>
        </w:rPr>
        <w:t xml:space="preserve">après les dispositions alors en vigueur, une fiducie réputée — établie en vertu de la </w:t>
      </w:r>
      <w:r w:rsidRPr="00393D65">
        <w:rPr>
          <w:i/>
          <w:lang w:val="fr-CA"/>
        </w:rPr>
        <w:t xml:space="preserve">LIR </w:t>
      </w:r>
      <w:r w:rsidRPr="00393D65">
        <w:rPr>
          <w:lang w:val="fr-CA"/>
        </w:rPr>
        <w:t>à l</w:t>
      </w:r>
      <w:r w:rsidR="00C03762">
        <w:rPr>
          <w:lang w:val="fr-CA"/>
        </w:rPr>
        <w:t>’</w:t>
      </w:r>
      <w:r w:rsidRPr="00393D65">
        <w:rPr>
          <w:lang w:val="fr-CA"/>
        </w:rPr>
        <w:t>égard des biens du débiteur pour une valeur égale à la somme due au titre de l</w:t>
      </w:r>
      <w:r w:rsidR="00C03762">
        <w:rPr>
          <w:lang w:val="fr-CA"/>
        </w:rPr>
        <w:t>’</w:t>
      </w:r>
      <w:r w:rsidRPr="00393D65">
        <w:rPr>
          <w:lang w:val="fr-CA"/>
        </w:rPr>
        <w:t>impôt sur le revenu — commençait à s</w:t>
      </w:r>
      <w:r w:rsidR="00C03762">
        <w:rPr>
          <w:lang w:val="fr-CA"/>
        </w:rPr>
        <w:t>’</w:t>
      </w:r>
      <w:r w:rsidRPr="00393D65">
        <w:rPr>
          <w:lang w:val="fr-CA"/>
        </w:rPr>
        <w:t xml:space="preserve">appliquer au moment de la liquidation, de la mise sous séquestre ou de la cession de biens.  Dans </w:t>
      </w:r>
      <w:r w:rsidRPr="00393D65">
        <w:rPr>
          <w:i/>
          <w:lang w:val="fr-CA"/>
        </w:rPr>
        <w:t>Sparrow Electric</w:t>
      </w:r>
      <w:r w:rsidRPr="0051517D">
        <w:rPr>
          <w:lang w:val="fr-CA"/>
        </w:rPr>
        <w:t>,</w:t>
      </w:r>
      <w:r w:rsidRPr="00393D65">
        <w:rPr>
          <w:lang w:val="fr-CA"/>
        </w:rPr>
        <w:t xml:space="preserve"> la Cour a conclu que la fiducie réputée de la </w:t>
      </w:r>
      <w:r w:rsidRPr="00393D65">
        <w:rPr>
          <w:i/>
          <w:lang w:val="fr-CA"/>
        </w:rPr>
        <w:t>LIR</w:t>
      </w:r>
      <w:r w:rsidRPr="00393D65">
        <w:rPr>
          <w:lang w:val="fr-CA"/>
        </w:rPr>
        <w:t xml:space="preserve"> ne pouvait pas l</w:t>
      </w:r>
      <w:r w:rsidR="00C03762">
        <w:rPr>
          <w:lang w:val="fr-CA"/>
        </w:rPr>
        <w:t>’</w:t>
      </w:r>
      <w:r w:rsidRPr="00393D65">
        <w:rPr>
          <w:lang w:val="fr-CA"/>
        </w:rPr>
        <w:t>emporter sur les sûretés, au motif que, comme celles</w:t>
      </w:r>
      <w:r w:rsidRPr="00393D65">
        <w:rPr>
          <w:lang w:val="fr-CA"/>
        </w:rPr>
        <w:noBreakHyphen/>
        <w:t xml:space="preserve">ci constituaient des privilèges fixes </w:t>
      </w:r>
      <w:r w:rsidRPr="00393D65">
        <w:rPr>
          <w:lang w:val="fr-CA"/>
        </w:rPr>
        <w:lastRenderedPageBreak/>
        <w:t>grevant les biens dès que le débiteur acquérait des droits sur eux, il n</w:t>
      </w:r>
      <w:r w:rsidR="00C03762">
        <w:rPr>
          <w:lang w:val="fr-CA"/>
        </w:rPr>
        <w:t>’</w:t>
      </w:r>
      <w:r w:rsidRPr="00393D65">
        <w:rPr>
          <w:lang w:val="fr-CA"/>
        </w:rPr>
        <w:t>existait pas de biens susceptibles d</w:t>
      </w:r>
      <w:r w:rsidR="00C03762">
        <w:rPr>
          <w:lang w:val="fr-CA"/>
        </w:rPr>
        <w:t>’</w:t>
      </w:r>
      <w:r w:rsidRPr="00393D65">
        <w:rPr>
          <w:lang w:val="fr-CA"/>
        </w:rPr>
        <w:t>être visés par la fiducie réputée de la</w:t>
      </w:r>
      <w:r w:rsidRPr="00393D65">
        <w:rPr>
          <w:i/>
          <w:lang w:val="fr-CA"/>
        </w:rPr>
        <w:t xml:space="preserve"> LIR</w:t>
      </w:r>
      <w:r w:rsidRPr="00393D65">
        <w:rPr>
          <w:lang w:val="fr-CA"/>
        </w:rPr>
        <w:t xml:space="preserve"> lorsqu</w:t>
      </w:r>
      <w:r w:rsidR="00C03762">
        <w:rPr>
          <w:lang w:val="fr-CA"/>
        </w:rPr>
        <w:t>’</w:t>
      </w:r>
      <w:r w:rsidRPr="00393D65">
        <w:rPr>
          <w:lang w:val="fr-CA"/>
        </w:rPr>
        <w:t xml:space="preserve">elle prenait naissance par la suite.  Ultérieurement, dans </w:t>
      </w:r>
      <w:r w:rsidRPr="00393D65">
        <w:rPr>
          <w:i/>
          <w:lang w:val="fr-CA"/>
        </w:rPr>
        <w:t>First Vancouver Finance c. M.R.N.</w:t>
      </w:r>
      <w:r w:rsidRPr="00393D65">
        <w:rPr>
          <w:lang w:val="fr-CA"/>
        </w:rPr>
        <w:t xml:space="preserve">, 2002 CSC 49, [2002] 2 R.C.S. 720, la Cour a souligné que le législateur était intervenu pour renforcer la fiducie réputée de la </w:t>
      </w:r>
      <w:r w:rsidRPr="00393D65">
        <w:rPr>
          <w:i/>
          <w:lang w:val="fr-CA"/>
        </w:rPr>
        <w:t>LIR</w:t>
      </w:r>
      <w:r w:rsidRPr="00393D65">
        <w:rPr>
          <w:lang w:val="fr-CA"/>
        </w:rPr>
        <w:t xml:space="preserve"> en précisant qu</w:t>
      </w:r>
      <w:r w:rsidR="00C03762">
        <w:rPr>
          <w:lang w:val="fr-CA"/>
        </w:rPr>
        <w:t>’</w:t>
      </w:r>
      <w:r w:rsidRPr="00393D65">
        <w:rPr>
          <w:lang w:val="fr-CA"/>
        </w:rPr>
        <w:t>elle est réputée s</w:t>
      </w:r>
      <w:r w:rsidR="00C03762">
        <w:rPr>
          <w:lang w:val="fr-CA"/>
        </w:rPr>
        <w:t>’</w:t>
      </w:r>
      <w:r w:rsidRPr="00393D65">
        <w:rPr>
          <w:lang w:val="fr-CA"/>
        </w:rPr>
        <w:t xml:space="preserve">appliquer dès le moment où les retenues ne sont pas versées à la Couronne conformément aux exigences de la </w:t>
      </w:r>
      <w:r w:rsidRPr="00393D65">
        <w:rPr>
          <w:i/>
          <w:lang w:val="fr-CA"/>
        </w:rPr>
        <w:t>LIR</w:t>
      </w:r>
      <w:r w:rsidRPr="00393D65">
        <w:rPr>
          <w:lang w:val="fr-CA"/>
        </w:rPr>
        <w:t>, et en donnant à la Couronne la priorité sur toute autre garantie (par. 27</w:t>
      </w:r>
      <w:r w:rsidRPr="00393D65">
        <w:rPr>
          <w:lang w:val="fr-CA"/>
        </w:rPr>
        <w:noBreakHyphen/>
        <w:t>29) (la « modification découlant de l</w:t>
      </w:r>
      <w:r w:rsidR="00C03762">
        <w:rPr>
          <w:lang w:val="fr-CA"/>
        </w:rPr>
        <w:t>’</w:t>
      </w:r>
      <w:r w:rsidRPr="00393D65">
        <w:rPr>
          <w:lang w:val="fr-CA"/>
        </w:rPr>
        <w:t xml:space="preserve">arrêt </w:t>
      </w:r>
      <w:r w:rsidRPr="00393D65">
        <w:rPr>
          <w:i/>
          <w:lang w:val="fr-CA"/>
        </w:rPr>
        <w:t>Sparrow Electric</w:t>
      </w:r>
      <w:r w:rsidRPr="00393D65">
        <w:rPr>
          <w:lang w:val="fr-CA"/>
        </w:rPr>
        <w:t> »).</w:t>
      </w:r>
    </w:p>
    <w:p w:rsidR="008C3D0D" w:rsidRPr="00393D65" w:rsidRDefault="008C3D0D" w:rsidP="008C3D0D">
      <w:pPr>
        <w:pStyle w:val="ListParagraph"/>
        <w:numPr>
          <w:ilvl w:val="0"/>
          <w:numId w:val="5"/>
        </w:numPr>
        <w:tabs>
          <w:tab w:val="left" w:pos="1170"/>
        </w:tabs>
        <w:spacing w:after="480" w:line="480" w:lineRule="auto"/>
        <w:ind w:left="0" w:firstLine="0"/>
        <w:jc w:val="both"/>
        <w:rPr>
          <w:lang w:val="fr-CA"/>
        </w:rPr>
      </w:pPr>
      <w:r w:rsidRPr="00393D65">
        <w:rPr>
          <w:lang w:val="fr-CA"/>
        </w:rPr>
        <w:t xml:space="preserve">Selon le texte modifié du par. 227(4.1) de la </w:t>
      </w:r>
      <w:r w:rsidRPr="00393D65">
        <w:rPr>
          <w:i/>
          <w:lang w:val="fr-CA"/>
        </w:rPr>
        <w:t>LIR</w:t>
      </w:r>
      <w:r w:rsidRPr="00393D65">
        <w:rPr>
          <w:lang w:val="fr-CA"/>
        </w:rPr>
        <w:t xml:space="preserve"> et celui des fiducies réputées correspondantes établies dans le </w:t>
      </w:r>
      <w:r w:rsidRPr="00393D65">
        <w:rPr>
          <w:i/>
          <w:lang w:val="fr-CA"/>
        </w:rPr>
        <w:t xml:space="preserve">Régime de pensions du Canada </w:t>
      </w:r>
      <w:r w:rsidRPr="00393D65">
        <w:rPr>
          <w:lang w:val="fr-CA"/>
        </w:rPr>
        <w:t xml:space="preserve">et la </w:t>
      </w:r>
      <w:r w:rsidRPr="00393D65">
        <w:rPr>
          <w:i/>
          <w:lang w:val="fr-CA"/>
        </w:rPr>
        <w:t>Loi sur l</w:t>
      </w:r>
      <w:r w:rsidR="00C03762">
        <w:rPr>
          <w:i/>
          <w:lang w:val="fr-CA"/>
        </w:rPr>
        <w:t>’</w:t>
      </w:r>
      <w:r w:rsidRPr="00393D65">
        <w:rPr>
          <w:i/>
          <w:lang w:val="fr-CA"/>
        </w:rPr>
        <w:t>assurance</w:t>
      </w:r>
      <w:r w:rsidRPr="00393D65">
        <w:rPr>
          <w:i/>
          <w:lang w:val="fr-CA"/>
        </w:rPr>
        <w:noBreakHyphen/>
        <w:t>emploi</w:t>
      </w:r>
      <w:r w:rsidRPr="00393D65">
        <w:rPr>
          <w:lang w:val="fr-CA"/>
        </w:rPr>
        <w:t xml:space="preserve"> à l</w:t>
      </w:r>
      <w:r w:rsidR="00C03762">
        <w:rPr>
          <w:lang w:val="fr-CA"/>
        </w:rPr>
        <w:t>’</w:t>
      </w:r>
      <w:r w:rsidRPr="00393D65">
        <w:rPr>
          <w:lang w:val="fr-CA"/>
        </w:rPr>
        <w:t>égard des retenues à la source, la fiducie réputée s</w:t>
      </w:r>
      <w:r w:rsidR="00C03762">
        <w:rPr>
          <w:lang w:val="fr-CA"/>
        </w:rPr>
        <w:t>’</w:t>
      </w:r>
      <w:r w:rsidRPr="00393D65">
        <w:rPr>
          <w:lang w:val="fr-CA"/>
        </w:rPr>
        <w:t xml:space="preserve">applique malgré tout autre texte législatif fédéral sauf les art. 81.1 et 81.2 de la </w:t>
      </w:r>
      <w:r w:rsidRPr="00393D65">
        <w:rPr>
          <w:i/>
          <w:lang w:val="fr-CA"/>
        </w:rPr>
        <w:t>LFI</w:t>
      </w:r>
      <w:r w:rsidRPr="00393D65">
        <w:rPr>
          <w:lang w:val="fr-CA"/>
        </w:rPr>
        <w:t xml:space="preserve">.  La fiducie réputée de la </w:t>
      </w:r>
      <w:r w:rsidRPr="00393D65">
        <w:rPr>
          <w:i/>
          <w:lang w:val="fr-CA"/>
        </w:rPr>
        <w:t>LTA</w:t>
      </w:r>
      <w:r w:rsidRPr="00393D65">
        <w:rPr>
          <w:lang w:val="fr-CA"/>
        </w:rPr>
        <w:t xml:space="preserve"> qui est en cause en l</w:t>
      </w:r>
      <w:r w:rsidR="00C03762">
        <w:rPr>
          <w:lang w:val="fr-CA"/>
        </w:rPr>
        <w:t>’</w:t>
      </w:r>
      <w:r w:rsidRPr="00393D65">
        <w:rPr>
          <w:lang w:val="fr-CA"/>
        </w:rPr>
        <w:t>espèce est formulée en des termes semblables sauf que la limite à son application vise la</w:t>
      </w:r>
      <w:r w:rsidRPr="00393D65">
        <w:rPr>
          <w:i/>
          <w:lang w:val="fr-CA"/>
        </w:rPr>
        <w:t xml:space="preserve"> LFI</w:t>
      </w:r>
      <w:r w:rsidRPr="00393D65">
        <w:rPr>
          <w:lang w:val="fr-CA"/>
        </w:rPr>
        <w:t xml:space="preserve"> dans son entier.  Voici le texte de la disposition pertinente :</w:t>
      </w:r>
    </w:p>
    <w:p w:rsidR="008C3D0D" w:rsidRPr="00393D65" w:rsidRDefault="008C3D0D" w:rsidP="00225BF4">
      <w:pPr>
        <w:pStyle w:val="Citation"/>
        <w:spacing w:after="0"/>
      </w:pPr>
      <w:r w:rsidRPr="00393D65">
        <w:tab/>
      </w:r>
      <w:r w:rsidRPr="00225BF4">
        <w:rPr>
          <w:b/>
        </w:rPr>
        <w:t>222.</w:t>
      </w:r>
      <w:r w:rsidRPr="00393D65">
        <w:t> . . .</w:t>
      </w:r>
    </w:p>
    <w:p w:rsidR="008C3D0D" w:rsidRPr="00393D65" w:rsidRDefault="008C3D0D" w:rsidP="008C3D0D">
      <w:pPr>
        <w:pStyle w:val="ListParagraph"/>
        <w:keepNext/>
        <w:tabs>
          <w:tab w:val="left" w:pos="1170"/>
        </w:tabs>
        <w:ind w:left="0"/>
        <w:jc w:val="both"/>
        <w:rPr>
          <w:lang w:val="fr-CA"/>
        </w:rPr>
      </w:pPr>
    </w:p>
    <w:p w:rsidR="008C3D0D" w:rsidRPr="00393D65" w:rsidRDefault="008C3D0D" w:rsidP="008C3D0D">
      <w:pPr>
        <w:pStyle w:val="ListParagraph"/>
        <w:keepNext/>
        <w:tabs>
          <w:tab w:val="left" w:pos="1170"/>
        </w:tabs>
        <w:ind w:left="0"/>
        <w:jc w:val="center"/>
        <w:rPr>
          <w:lang w:val="fr-CA"/>
        </w:rPr>
      </w:pPr>
      <w:r w:rsidRPr="00393D65">
        <w:rPr>
          <w:lang w:val="fr-CA"/>
        </w:rPr>
        <w:t>. . .</w:t>
      </w:r>
    </w:p>
    <w:p w:rsidR="008C3D0D" w:rsidRPr="00393D65" w:rsidRDefault="008C3D0D" w:rsidP="008C3D0D">
      <w:pPr>
        <w:pStyle w:val="ListParagraph"/>
        <w:tabs>
          <w:tab w:val="left" w:pos="1170"/>
        </w:tabs>
        <w:ind w:left="0"/>
        <w:jc w:val="both"/>
        <w:rPr>
          <w:lang w:val="fr-CA"/>
        </w:rPr>
      </w:pPr>
    </w:p>
    <w:p w:rsidR="008C3D0D" w:rsidRPr="00393D65" w:rsidRDefault="008C3D0D" w:rsidP="008C3D0D">
      <w:pPr>
        <w:pStyle w:val="Citation"/>
        <w:ind w:firstLine="274"/>
        <w:contextualSpacing w:val="0"/>
        <w:rPr>
          <w:lang w:val="fr-CA"/>
        </w:rPr>
      </w:pPr>
      <w:r w:rsidRPr="00393D65">
        <w:rPr>
          <w:lang w:val="fr-CA"/>
        </w:rPr>
        <w:t xml:space="preserve">(3)  Malgré les autres dispositions de la présente loi (sauf le paragraphe (4) du présent article), tout autre texte législatif fédéral (sauf la </w:t>
      </w:r>
      <w:r w:rsidRPr="00393D65">
        <w:rPr>
          <w:i/>
          <w:lang w:val="fr-CA"/>
        </w:rPr>
        <w:t>Loi sur la faillite et l</w:t>
      </w:r>
      <w:r w:rsidR="00C03762">
        <w:rPr>
          <w:i/>
          <w:lang w:val="fr-CA"/>
        </w:rPr>
        <w:t>’</w:t>
      </w:r>
      <w:r w:rsidRPr="00393D65">
        <w:rPr>
          <w:i/>
          <w:lang w:val="fr-CA"/>
        </w:rPr>
        <w:t>insolvabilité</w:t>
      </w:r>
      <w:r w:rsidRPr="00393D65">
        <w:rPr>
          <w:lang w:val="fr-CA"/>
        </w:rPr>
        <w:t>), tout texte législatif provincial ou toute autre règle de droit, lorsqu</w:t>
      </w:r>
      <w:r w:rsidR="00C03762">
        <w:rPr>
          <w:lang w:val="fr-CA"/>
        </w:rPr>
        <w:t>’</w:t>
      </w:r>
      <w:r w:rsidRPr="00393D65">
        <w:rPr>
          <w:lang w:val="fr-CA"/>
        </w:rPr>
        <w:t>un montant qu</w:t>
      </w:r>
      <w:r w:rsidR="00C03762">
        <w:rPr>
          <w:lang w:val="fr-CA"/>
        </w:rPr>
        <w:t>’</w:t>
      </w:r>
      <w:r w:rsidRPr="00393D65">
        <w:rPr>
          <w:lang w:val="fr-CA"/>
        </w:rPr>
        <w:t>une personne est réputée par le paragraphe (1) détenir en fiducie pour Sa Majesté du chef du Canada n</w:t>
      </w:r>
      <w:r w:rsidR="00C03762">
        <w:rPr>
          <w:lang w:val="fr-CA"/>
        </w:rPr>
        <w:t>’</w:t>
      </w:r>
      <w:r w:rsidRPr="00393D65">
        <w:rPr>
          <w:lang w:val="fr-CA"/>
        </w:rPr>
        <w:t>est pas versé au receveur général ni retiré selon les</w:t>
      </w:r>
      <w:r w:rsidR="00C4683A">
        <w:rPr>
          <w:lang w:val="fr-CA"/>
        </w:rPr>
        <w:t xml:space="preserve"> modalités et dans le délai</w:t>
      </w:r>
      <w:r w:rsidRPr="00393D65">
        <w:rPr>
          <w:lang w:val="fr-CA"/>
        </w:rPr>
        <w:t xml:space="preserve"> prévus par la présente partie, les biens de la personne — y </w:t>
      </w:r>
      <w:r w:rsidRPr="00393D65">
        <w:rPr>
          <w:lang w:val="fr-CA"/>
        </w:rPr>
        <w:lastRenderedPageBreak/>
        <w:t>compris les biens détenus par ses créanciers garantis qui, en l</w:t>
      </w:r>
      <w:r w:rsidR="00C03762">
        <w:rPr>
          <w:lang w:val="fr-CA"/>
        </w:rPr>
        <w:t>’</w:t>
      </w:r>
      <w:r w:rsidRPr="00393D65">
        <w:rPr>
          <w:lang w:val="fr-CA"/>
        </w:rPr>
        <w:t>absence du droit en garantie, seraient ses biens — d</w:t>
      </w:r>
      <w:r w:rsidR="00C03762">
        <w:rPr>
          <w:lang w:val="fr-CA"/>
        </w:rPr>
        <w:t>’</w:t>
      </w:r>
      <w:r w:rsidRPr="00393D65">
        <w:rPr>
          <w:lang w:val="fr-CA"/>
        </w:rPr>
        <w:t>une valeur égale à ce montant sont réputés . . .</w:t>
      </w:r>
    </w:p>
    <w:p w:rsidR="008C3D0D" w:rsidRPr="00393D65" w:rsidRDefault="008C3D0D" w:rsidP="008C3D0D">
      <w:pPr>
        <w:pStyle w:val="ListParagraph"/>
        <w:numPr>
          <w:ilvl w:val="0"/>
          <w:numId w:val="5"/>
        </w:numPr>
        <w:tabs>
          <w:tab w:val="left" w:pos="1170"/>
        </w:tabs>
        <w:spacing w:after="480" w:line="480" w:lineRule="auto"/>
        <w:ind w:left="0" w:firstLine="0"/>
        <w:jc w:val="both"/>
        <w:rPr>
          <w:lang w:val="fr-CA"/>
        </w:rPr>
      </w:pPr>
      <w:r w:rsidRPr="00393D65">
        <w:rPr>
          <w:lang w:val="fr-CA"/>
        </w:rPr>
        <w:t>La Couronne soutient que la modification découlant de l</w:t>
      </w:r>
      <w:r w:rsidR="00C03762">
        <w:rPr>
          <w:lang w:val="fr-CA"/>
        </w:rPr>
        <w:t>’</w:t>
      </w:r>
      <w:r w:rsidRPr="00393D65">
        <w:rPr>
          <w:lang w:val="fr-CA"/>
        </w:rPr>
        <w:t xml:space="preserve">arrêt </w:t>
      </w:r>
      <w:r w:rsidRPr="00393D65">
        <w:rPr>
          <w:i/>
          <w:lang w:val="fr-CA"/>
        </w:rPr>
        <w:t>Sparrow Electric</w:t>
      </w:r>
      <w:r w:rsidRPr="00393D65">
        <w:rPr>
          <w:lang w:val="fr-CA"/>
        </w:rPr>
        <w:t xml:space="preserve">, qui a été ajoutée à la </w:t>
      </w:r>
      <w:r w:rsidRPr="00393D65">
        <w:rPr>
          <w:i/>
          <w:lang w:val="fr-CA"/>
        </w:rPr>
        <w:t xml:space="preserve">LTA </w:t>
      </w:r>
      <w:r w:rsidRPr="00393D65">
        <w:rPr>
          <w:lang w:val="fr-CA"/>
        </w:rPr>
        <w:t xml:space="preserve">par le législateur en 2000, visait à maintenir la priorité de Sa Majesté sous le régime de la </w:t>
      </w:r>
      <w:r w:rsidRPr="00393D65">
        <w:rPr>
          <w:i/>
          <w:lang w:val="fr-CA"/>
        </w:rPr>
        <w:t>LACC</w:t>
      </w:r>
      <w:r w:rsidRPr="00393D65">
        <w:rPr>
          <w:lang w:val="fr-CA"/>
        </w:rPr>
        <w:t xml:space="preserve"> à l</w:t>
      </w:r>
      <w:r w:rsidR="00C03762">
        <w:rPr>
          <w:lang w:val="fr-CA"/>
        </w:rPr>
        <w:t>’</w:t>
      </w:r>
      <w:r w:rsidRPr="00393D65">
        <w:rPr>
          <w:lang w:val="fr-CA"/>
        </w:rPr>
        <w:t>égard du montant de TPS perçu, tout en reléguant celle</w:t>
      </w:r>
      <w:r w:rsidRPr="00393D65">
        <w:rPr>
          <w:lang w:val="fr-CA"/>
        </w:rPr>
        <w:noBreakHyphen/>
        <w:t>ci au rang de créancier non garanti à l</w:t>
      </w:r>
      <w:r w:rsidR="00C03762">
        <w:rPr>
          <w:lang w:val="fr-CA"/>
        </w:rPr>
        <w:t>’</w:t>
      </w:r>
      <w:r w:rsidRPr="00393D65">
        <w:rPr>
          <w:lang w:val="fr-CA"/>
        </w:rPr>
        <w:t xml:space="preserve">égard de ce montant sous le régime de la </w:t>
      </w:r>
      <w:r w:rsidRPr="00393D65">
        <w:rPr>
          <w:i/>
          <w:lang w:val="fr-CA"/>
        </w:rPr>
        <w:t>LFI</w:t>
      </w:r>
      <w:r w:rsidRPr="00393D65">
        <w:rPr>
          <w:lang w:val="fr-CA"/>
        </w:rPr>
        <w:t xml:space="preserve"> uniquement.  De l</w:t>
      </w:r>
      <w:r w:rsidR="00C03762">
        <w:rPr>
          <w:lang w:val="fr-CA"/>
        </w:rPr>
        <w:t>’</w:t>
      </w:r>
      <w:r w:rsidRPr="00393D65">
        <w:rPr>
          <w:lang w:val="fr-CA"/>
        </w:rPr>
        <w:t xml:space="preserve">avis de la Couronne, il en est ainsi parce que, selon la </w:t>
      </w:r>
      <w:r w:rsidRPr="00393D65">
        <w:rPr>
          <w:i/>
          <w:lang w:val="fr-CA"/>
        </w:rPr>
        <w:t>LTA</w:t>
      </w:r>
      <w:r w:rsidRPr="00393D65">
        <w:rPr>
          <w:lang w:val="fr-CA"/>
        </w:rPr>
        <w:t xml:space="preserve">, la fiducie réputée visant la TPS demeure en vigueur « malgré » tout autre texte législatif sauf la </w:t>
      </w:r>
      <w:r w:rsidRPr="00393D65">
        <w:rPr>
          <w:i/>
          <w:lang w:val="fr-CA"/>
        </w:rPr>
        <w:t>LFI</w:t>
      </w:r>
      <w:r w:rsidRPr="00393D65">
        <w:rPr>
          <w:lang w:val="fr-CA"/>
        </w:rPr>
        <w:t xml:space="preserve">. </w:t>
      </w:r>
    </w:p>
    <w:p w:rsidR="008C3D0D" w:rsidRPr="00393D65" w:rsidRDefault="008C3D0D" w:rsidP="008C3D0D">
      <w:pPr>
        <w:pStyle w:val="ListParagraph"/>
        <w:numPr>
          <w:ilvl w:val="0"/>
          <w:numId w:val="5"/>
        </w:numPr>
        <w:tabs>
          <w:tab w:val="left" w:pos="1170"/>
        </w:tabs>
        <w:spacing w:after="480" w:line="480" w:lineRule="auto"/>
        <w:ind w:left="0" w:firstLine="0"/>
        <w:jc w:val="both"/>
        <w:rPr>
          <w:lang w:val="fr-CA"/>
        </w:rPr>
      </w:pPr>
      <w:r w:rsidRPr="00393D65">
        <w:rPr>
          <w:lang w:val="fr-CA"/>
        </w:rPr>
        <w:t xml:space="preserve">Les termes utilisés dans la </w:t>
      </w:r>
      <w:r w:rsidRPr="00393D65">
        <w:rPr>
          <w:i/>
          <w:lang w:val="fr-CA"/>
        </w:rPr>
        <w:t>LTA</w:t>
      </w:r>
      <w:r w:rsidRPr="00393D65">
        <w:rPr>
          <w:lang w:val="fr-CA"/>
        </w:rPr>
        <w:t xml:space="preserve"> pour établir la fiducie réputée à l</w:t>
      </w:r>
      <w:r w:rsidR="00C03762">
        <w:rPr>
          <w:lang w:val="fr-CA"/>
        </w:rPr>
        <w:t>’</w:t>
      </w:r>
      <w:r w:rsidRPr="00393D65">
        <w:rPr>
          <w:lang w:val="fr-CA"/>
        </w:rPr>
        <w:t xml:space="preserve">égard de la TPS créent un conflit apparent avec la </w:t>
      </w:r>
      <w:r w:rsidRPr="00393D65">
        <w:rPr>
          <w:i/>
          <w:lang w:val="fr-CA"/>
        </w:rPr>
        <w:t>LACC</w:t>
      </w:r>
      <w:r w:rsidRPr="00393D65">
        <w:rPr>
          <w:lang w:val="fr-CA"/>
        </w:rPr>
        <w:t>, laquelle précise que, sous réserve de certaines exceptions, les biens qui sont réputés selon un texte législatif être détenus en fiducie pour la Couronne ne doivent pas être considérés comme tels.</w:t>
      </w:r>
    </w:p>
    <w:p w:rsidR="008C3D0D" w:rsidRPr="00393D65" w:rsidRDefault="008C3D0D" w:rsidP="008C3D0D">
      <w:pPr>
        <w:pStyle w:val="ListParagraph"/>
        <w:numPr>
          <w:ilvl w:val="0"/>
          <w:numId w:val="5"/>
        </w:numPr>
        <w:tabs>
          <w:tab w:val="left" w:pos="1170"/>
        </w:tabs>
        <w:spacing w:after="480" w:line="480" w:lineRule="auto"/>
        <w:ind w:left="0" w:firstLine="0"/>
        <w:jc w:val="both"/>
        <w:rPr>
          <w:lang w:val="fr-CA"/>
        </w:rPr>
      </w:pPr>
      <w:r w:rsidRPr="00393D65">
        <w:rPr>
          <w:lang w:val="fr-CA"/>
        </w:rPr>
        <w:t xml:space="preserve">Par une modification apportée à la </w:t>
      </w:r>
      <w:r w:rsidRPr="00393D65">
        <w:rPr>
          <w:i/>
          <w:lang w:val="fr-CA"/>
        </w:rPr>
        <w:t>LACC</w:t>
      </w:r>
      <w:r w:rsidRPr="00393D65">
        <w:rPr>
          <w:lang w:val="fr-CA"/>
        </w:rPr>
        <w:t xml:space="preserve"> en 1997 (L.C. 1997, ch. 12, art. 125), le législateur semble, sous réserve d</w:t>
      </w:r>
      <w:r w:rsidR="00C03762">
        <w:rPr>
          <w:lang w:val="fr-CA"/>
        </w:rPr>
        <w:t>’</w:t>
      </w:r>
      <w:r w:rsidRPr="00393D65">
        <w:rPr>
          <w:lang w:val="fr-CA"/>
        </w:rPr>
        <w:t>exceptions spécifiques, avoir neutralisé les fiducies réputées créées en faveur de la Couronne lorsque des procédures de réorganisation sont engagées sous le régime de cette loi.  La disposition pertinente, à l</w:t>
      </w:r>
      <w:r w:rsidR="00C03762">
        <w:rPr>
          <w:lang w:val="fr-CA"/>
        </w:rPr>
        <w:t>’</w:t>
      </w:r>
      <w:r w:rsidRPr="00393D65">
        <w:rPr>
          <w:lang w:val="fr-CA"/>
        </w:rPr>
        <w:t>époque le par. 18.3(1), était libellée ainsi :</w:t>
      </w:r>
    </w:p>
    <w:p w:rsidR="008C3D0D" w:rsidRPr="00393D65" w:rsidRDefault="008C3D0D" w:rsidP="008C3D0D">
      <w:pPr>
        <w:pStyle w:val="Citation"/>
        <w:ind w:firstLine="274"/>
        <w:contextualSpacing w:val="0"/>
        <w:rPr>
          <w:lang w:val="fr-CA"/>
        </w:rPr>
      </w:pPr>
      <w:r w:rsidRPr="00393D65">
        <w:rPr>
          <w:b/>
          <w:lang w:val="fr-CA"/>
        </w:rPr>
        <w:t>18.3 </w:t>
      </w:r>
      <w:r w:rsidRPr="00393D65">
        <w:rPr>
          <w:lang w:val="fr-CA"/>
        </w:rPr>
        <w:t>(1)  Sous réserve du paragraphe (2) et par dérogation à toute disposition législative fédérale ou provinciale ayant pour effet d</w:t>
      </w:r>
      <w:r w:rsidR="00C03762">
        <w:rPr>
          <w:lang w:val="fr-CA"/>
        </w:rPr>
        <w:t>’</w:t>
      </w:r>
      <w:r w:rsidRPr="00393D65">
        <w:rPr>
          <w:lang w:val="fr-CA"/>
        </w:rPr>
        <w:t xml:space="preserve">assimiler </w:t>
      </w:r>
      <w:r w:rsidRPr="00393D65">
        <w:rPr>
          <w:lang w:val="fr-CA"/>
        </w:rPr>
        <w:lastRenderedPageBreak/>
        <w:t>certains biens à des biens détenus en fiducie pour Sa Majesté, aucun des biens de la compagnie débitrice ne peut être considéré comme détenu en fiducie pour Sa Majesté si, en l</w:t>
      </w:r>
      <w:r w:rsidR="00C03762">
        <w:rPr>
          <w:lang w:val="fr-CA"/>
        </w:rPr>
        <w:t>’</w:t>
      </w:r>
      <w:r w:rsidRPr="00393D65">
        <w:rPr>
          <w:lang w:val="fr-CA"/>
        </w:rPr>
        <w:t>absence de la disposition législative en question, il ne le serait pas.</w:t>
      </w:r>
    </w:p>
    <w:p w:rsidR="008C3D0D" w:rsidRPr="00393D65" w:rsidRDefault="008C3D0D" w:rsidP="00225BF4">
      <w:pPr>
        <w:pStyle w:val="SCCNormalDoubleSpacing"/>
        <w:spacing w:after="480"/>
      </w:pPr>
      <w:r w:rsidRPr="00393D65">
        <w:t xml:space="preserve">Cette neutralisation des fiducies réputées a été maintenue dans des modifications apportées à la </w:t>
      </w:r>
      <w:r w:rsidRPr="00393D65">
        <w:rPr>
          <w:i/>
        </w:rPr>
        <w:t>LACC</w:t>
      </w:r>
      <w:r w:rsidRPr="00393D65">
        <w:t xml:space="preserve"> en 2005 (L.C. 2005, ch. 47), où le par. 18.3(1) a été reformulé et renuméroté, devenant le par. 37(1) :</w:t>
      </w:r>
    </w:p>
    <w:p w:rsidR="008C3D0D" w:rsidRPr="00393D65" w:rsidRDefault="008C3D0D" w:rsidP="008C3D0D">
      <w:pPr>
        <w:pStyle w:val="Citation"/>
        <w:ind w:left="1195" w:firstLine="245"/>
        <w:contextualSpacing w:val="0"/>
        <w:rPr>
          <w:lang w:val="fr-CA"/>
        </w:rPr>
      </w:pPr>
      <w:r w:rsidRPr="00393D65">
        <w:rPr>
          <w:b/>
          <w:lang w:val="fr-CA"/>
        </w:rPr>
        <w:t>37. </w:t>
      </w:r>
      <w:r w:rsidRPr="00393D65">
        <w:rPr>
          <w:lang w:val="fr-CA"/>
        </w:rPr>
        <w:t>(1)  Sous réserve du paragraphe (2) et par dérogation à toute disposition législative fédérale ou provinciale ayant pour effet d</w:t>
      </w:r>
      <w:r w:rsidR="00C03762">
        <w:rPr>
          <w:lang w:val="fr-CA"/>
        </w:rPr>
        <w:t>’</w:t>
      </w:r>
      <w:r w:rsidRPr="00393D65">
        <w:rPr>
          <w:lang w:val="fr-CA"/>
        </w:rPr>
        <w:t>assimiler certains biens à des biens détenus en fiducie pour Sa Majesté, aucun des biens de la compagnie débitrice ne peut être considéré comme tel par le seul effet d</w:t>
      </w:r>
      <w:r w:rsidR="00C03762">
        <w:rPr>
          <w:lang w:val="fr-CA"/>
        </w:rPr>
        <w:t>’</w:t>
      </w:r>
      <w:r w:rsidRPr="00393D65">
        <w:rPr>
          <w:lang w:val="fr-CA"/>
        </w:rPr>
        <w:t>une telle disposition.</w:t>
      </w:r>
    </w:p>
    <w:p w:rsidR="008C3D0D" w:rsidRPr="00393D65" w:rsidRDefault="008C3D0D" w:rsidP="008C3D0D">
      <w:pPr>
        <w:pStyle w:val="ListParagraph"/>
        <w:numPr>
          <w:ilvl w:val="0"/>
          <w:numId w:val="5"/>
        </w:numPr>
        <w:tabs>
          <w:tab w:val="left" w:pos="1152"/>
        </w:tabs>
        <w:spacing w:after="480" w:line="480" w:lineRule="auto"/>
        <w:ind w:left="0" w:firstLine="0"/>
        <w:jc w:val="both"/>
        <w:rPr>
          <w:lang w:val="fr-CA"/>
        </w:rPr>
      </w:pPr>
      <w:r w:rsidRPr="00393D65">
        <w:rPr>
          <w:lang w:val="fr-CA"/>
        </w:rPr>
        <w:t xml:space="preserve">La </w:t>
      </w:r>
      <w:r w:rsidRPr="00393D65">
        <w:rPr>
          <w:i/>
          <w:lang w:val="fr-CA"/>
        </w:rPr>
        <w:t>LFI</w:t>
      </w:r>
      <w:r w:rsidRPr="00393D65">
        <w:rPr>
          <w:lang w:val="fr-CA"/>
        </w:rPr>
        <w:t xml:space="preserve"> comporte une disposition analogue, qui ― sous réserve des mêmes exceptions spécifiques ― neutralise les fiducies réputées établies en vertu d</w:t>
      </w:r>
      <w:r w:rsidR="00C03762">
        <w:rPr>
          <w:lang w:val="fr-CA"/>
        </w:rPr>
        <w:t>’</w:t>
      </w:r>
      <w:r w:rsidRPr="00393D65">
        <w:rPr>
          <w:lang w:val="fr-CA"/>
        </w:rPr>
        <w:t>un texte législatif et fait en sorte que les biens du failli qui autrement seraient visés par une telle fiducie font partie de l</w:t>
      </w:r>
      <w:r w:rsidR="00C03762">
        <w:rPr>
          <w:lang w:val="fr-CA"/>
        </w:rPr>
        <w:t>’</w:t>
      </w:r>
      <w:r w:rsidRPr="00393D65">
        <w:rPr>
          <w:lang w:val="fr-CA"/>
        </w:rPr>
        <w:t xml:space="preserve">actif du débiteur et sont à la disposition des créanciers (L.C. 1992, ch. 27, art. 39; L.C. 1997, ch. 12, art. 73; </w:t>
      </w:r>
      <w:r w:rsidRPr="00393D65">
        <w:rPr>
          <w:i/>
          <w:lang w:val="fr-CA"/>
        </w:rPr>
        <w:t>LFI</w:t>
      </w:r>
      <w:r w:rsidRPr="00393D65">
        <w:rPr>
          <w:lang w:val="fr-CA"/>
        </w:rPr>
        <w:t xml:space="preserve">, par. 67(2)).  Il convient de souligner que, tant dans la </w:t>
      </w:r>
      <w:r w:rsidRPr="00393D65">
        <w:rPr>
          <w:i/>
          <w:lang w:val="fr-CA"/>
        </w:rPr>
        <w:t>LACC</w:t>
      </w:r>
      <w:r w:rsidRPr="00393D65">
        <w:rPr>
          <w:lang w:val="fr-CA"/>
        </w:rPr>
        <w:t xml:space="preserve"> que dans la </w:t>
      </w:r>
      <w:r w:rsidRPr="00393D65">
        <w:rPr>
          <w:i/>
          <w:lang w:val="fr-CA"/>
        </w:rPr>
        <w:t>LFI</w:t>
      </w:r>
      <w:r w:rsidRPr="00393D65">
        <w:rPr>
          <w:lang w:val="fr-CA"/>
        </w:rPr>
        <w:t>, les exceptions visent les retenues à la source (</w:t>
      </w:r>
      <w:r w:rsidRPr="00393D65">
        <w:rPr>
          <w:i/>
          <w:lang w:val="fr-CA"/>
        </w:rPr>
        <w:t>LACC</w:t>
      </w:r>
      <w:r w:rsidRPr="00393D65">
        <w:rPr>
          <w:lang w:val="fr-CA"/>
        </w:rPr>
        <w:t xml:space="preserve">, par. 18.3(2); </w:t>
      </w:r>
      <w:r w:rsidRPr="00393D65">
        <w:rPr>
          <w:i/>
          <w:lang w:val="fr-CA"/>
        </w:rPr>
        <w:t>LFI</w:t>
      </w:r>
      <w:r w:rsidRPr="00393D65">
        <w:rPr>
          <w:lang w:val="fr-CA"/>
        </w:rPr>
        <w:t xml:space="preserve">, par. 67(3)).  Voici la disposition pertinente de la </w:t>
      </w:r>
      <w:r w:rsidRPr="00393D65">
        <w:rPr>
          <w:i/>
          <w:lang w:val="fr-CA"/>
        </w:rPr>
        <w:t>LACC</w:t>
      </w:r>
      <w:r w:rsidRPr="00393D65">
        <w:rPr>
          <w:lang w:val="fr-CA"/>
        </w:rPr>
        <w:t> :</w:t>
      </w:r>
    </w:p>
    <w:p w:rsidR="008C3D0D" w:rsidRPr="0075185A" w:rsidRDefault="008C3D0D" w:rsidP="00E35F1A">
      <w:pPr>
        <w:pStyle w:val="Citation"/>
        <w:spacing w:after="0"/>
        <w:rPr>
          <w:lang w:val="fr-CA"/>
        </w:rPr>
      </w:pPr>
      <w:r w:rsidRPr="00393D65">
        <w:tab/>
      </w:r>
      <w:r w:rsidRPr="0075185A">
        <w:rPr>
          <w:b/>
          <w:lang w:val="fr-CA"/>
        </w:rPr>
        <w:t>18.3</w:t>
      </w:r>
      <w:r w:rsidRPr="0075185A">
        <w:rPr>
          <w:lang w:val="fr-CA"/>
        </w:rPr>
        <w:t> . . .</w:t>
      </w:r>
    </w:p>
    <w:p w:rsidR="008C3D0D" w:rsidRPr="00393D65" w:rsidRDefault="008C3D0D" w:rsidP="008C3D0D">
      <w:pPr>
        <w:pStyle w:val="ListParagraph"/>
        <w:keepNext/>
        <w:tabs>
          <w:tab w:val="left" w:pos="1152"/>
        </w:tabs>
        <w:ind w:left="0"/>
        <w:jc w:val="both"/>
        <w:rPr>
          <w:lang w:val="fr-CA"/>
        </w:rPr>
      </w:pPr>
    </w:p>
    <w:p w:rsidR="008C3D0D" w:rsidRPr="00393D65" w:rsidRDefault="008C3D0D" w:rsidP="008C3D0D">
      <w:pPr>
        <w:pStyle w:val="Citation"/>
        <w:ind w:left="1195" w:firstLine="245"/>
        <w:contextualSpacing w:val="0"/>
        <w:rPr>
          <w:lang w:val="fr-CA"/>
        </w:rPr>
      </w:pPr>
      <w:r w:rsidRPr="00393D65">
        <w:rPr>
          <w:lang w:val="fr-CA"/>
        </w:rPr>
        <w:t>(2)  Le paragraphe (1) ne s</w:t>
      </w:r>
      <w:r w:rsidR="00C03762">
        <w:rPr>
          <w:lang w:val="fr-CA"/>
        </w:rPr>
        <w:t>’</w:t>
      </w:r>
      <w:r w:rsidRPr="00393D65">
        <w:rPr>
          <w:lang w:val="fr-CA"/>
        </w:rPr>
        <w:t>applique pas à l</w:t>
      </w:r>
      <w:r w:rsidR="00C03762">
        <w:rPr>
          <w:lang w:val="fr-CA"/>
        </w:rPr>
        <w:t>’</w:t>
      </w:r>
      <w:r w:rsidRPr="00393D65">
        <w:rPr>
          <w:lang w:val="fr-CA"/>
        </w:rPr>
        <w:t xml:space="preserve">égard des montants réputés détenus en fiducie aux termes des paragraphes 227(4) ou (4.1) de la </w:t>
      </w:r>
      <w:r w:rsidRPr="00393D65">
        <w:rPr>
          <w:i/>
          <w:lang w:val="fr-CA"/>
        </w:rPr>
        <w:t>Loi de l</w:t>
      </w:r>
      <w:r w:rsidR="00C03762">
        <w:rPr>
          <w:i/>
          <w:lang w:val="fr-CA"/>
        </w:rPr>
        <w:t>’</w:t>
      </w:r>
      <w:r w:rsidRPr="00393D65">
        <w:rPr>
          <w:i/>
          <w:lang w:val="fr-CA"/>
        </w:rPr>
        <w:t>impôt sur le revenu</w:t>
      </w:r>
      <w:r w:rsidRPr="00393D65">
        <w:rPr>
          <w:lang w:val="fr-CA"/>
        </w:rPr>
        <w:t xml:space="preserve">, des paragraphes 23(3) ou (4) du </w:t>
      </w:r>
      <w:r w:rsidRPr="00393D65">
        <w:rPr>
          <w:i/>
          <w:lang w:val="fr-CA"/>
        </w:rPr>
        <w:t xml:space="preserve">Régime de </w:t>
      </w:r>
      <w:r w:rsidRPr="00393D65">
        <w:rPr>
          <w:i/>
          <w:lang w:val="fr-CA"/>
        </w:rPr>
        <w:lastRenderedPageBreak/>
        <w:t>pensions du Canada</w:t>
      </w:r>
      <w:r w:rsidRPr="00393D65">
        <w:rPr>
          <w:lang w:val="fr-CA"/>
        </w:rPr>
        <w:t xml:space="preserve"> ou des paragraphes 86(2) ou (2.1) de la </w:t>
      </w:r>
      <w:r w:rsidRPr="00393D65">
        <w:rPr>
          <w:i/>
          <w:lang w:val="fr-CA"/>
        </w:rPr>
        <w:t>Loi sur l</w:t>
      </w:r>
      <w:r w:rsidR="00C03762">
        <w:rPr>
          <w:i/>
          <w:lang w:val="fr-CA"/>
        </w:rPr>
        <w:t>’</w:t>
      </w:r>
      <w:r w:rsidRPr="00393D65">
        <w:rPr>
          <w:i/>
          <w:lang w:val="fr-CA"/>
        </w:rPr>
        <w:t>assurance</w:t>
      </w:r>
      <w:r w:rsidRPr="00393D65">
        <w:rPr>
          <w:i/>
          <w:lang w:val="fr-CA"/>
        </w:rPr>
        <w:noBreakHyphen/>
        <w:t>emploi</w:t>
      </w:r>
      <w:r w:rsidRPr="00393D65">
        <w:rPr>
          <w:lang w:val="fr-CA"/>
        </w:rPr>
        <w:t> . . .</w:t>
      </w:r>
    </w:p>
    <w:p w:rsidR="008C3D0D" w:rsidRPr="00393D65" w:rsidRDefault="008C3D0D" w:rsidP="00E35F1A">
      <w:pPr>
        <w:pStyle w:val="SCCNormalDoubleSpacing"/>
        <w:spacing w:after="480"/>
      </w:pPr>
      <w:r w:rsidRPr="00393D65">
        <w:t>Par conséquent, la fiducie réputée établie en faveur de la Couronne et la priorité dont celle</w:t>
      </w:r>
      <w:r w:rsidRPr="00393D65">
        <w:noBreakHyphen/>
        <w:t>ci jouit de ce fait sur les retenues à la source continuent de s</w:t>
      </w:r>
      <w:r w:rsidR="00C03762">
        <w:t>’</w:t>
      </w:r>
      <w:r w:rsidRPr="00393D65">
        <w:t xml:space="preserve">appliquer autant pendant la réorganisation que pendant la faillite. </w:t>
      </w:r>
    </w:p>
    <w:p w:rsidR="008C3D0D" w:rsidRPr="00393D65" w:rsidRDefault="008C3D0D" w:rsidP="008C3D0D">
      <w:pPr>
        <w:pStyle w:val="ListParagraph"/>
        <w:numPr>
          <w:ilvl w:val="0"/>
          <w:numId w:val="5"/>
        </w:numPr>
        <w:tabs>
          <w:tab w:val="left" w:pos="1170"/>
        </w:tabs>
        <w:spacing w:after="480" w:line="480" w:lineRule="auto"/>
        <w:ind w:left="0" w:firstLine="0"/>
        <w:jc w:val="both"/>
        <w:rPr>
          <w:lang w:val="fr-CA"/>
        </w:rPr>
      </w:pPr>
      <w:r w:rsidRPr="00393D65">
        <w:rPr>
          <w:lang w:val="fr-CA"/>
        </w:rPr>
        <w:t xml:space="preserve">Par ailleurs, les autres créances de la Couronne sont considérées par la </w:t>
      </w:r>
      <w:r w:rsidRPr="00393D65">
        <w:rPr>
          <w:i/>
          <w:lang w:val="fr-CA"/>
        </w:rPr>
        <w:t>LACC</w:t>
      </w:r>
      <w:r w:rsidRPr="00393D65">
        <w:rPr>
          <w:lang w:val="fr-CA"/>
        </w:rPr>
        <w:t xml:space="preserve"> et la </w:t>
      </w:r>
      <w:r w:rsidRPr="00393D65">
        <w:rPr>
          <w:i/>
          <w:lang w:val="fr-CA"/>
        </w:rPr>
        <w:t>LFI</w:t>
      </w:r>
      <w:r w:rsidRPr="00393D65">
        <w:rPr>
          <w:lang w:val="fr-CA"/>
        </w:rPr>
        <w:t xml:space="preserve"> comme des créances non garanties (</w:t>
      </w:r>
      <w:r w:rsidRPr="00393D65">
        <w:rPr>
          <w:i/>
          <w:lang w:val="fr-CA"/>
        </w:rPr>
        <w:t>LACC</w:t>
      </w:r>
      <w:r w:rsidRPr="00393D65">
        <w:rPr>
          <w:lang w:val="fr-CA"/>
        </w:rPr>
        <w:t xml:space="preserve">, par. 18.4(1); </w:t>
      </w:r>
      <w:r w:rsidRPr="00393D65">
        <w:rPr>
          <w:i/>
          <w:lang w:val="fr-CA"/>
        </w:rPr>
        <w:t>LFI</w:t>
      </w:r>
      <w:r w:rsidRPr="00393D65">
        <w:rPr>
          <w:lang w:val="fr-CA"/>
        </w:rPr>
        <w:t>, par. 86(1)).  Ces dispositions faisant de la Couronne un créancier non garanti comportent une exception expresse concernant les fiducies réputées établies par un texte législatif à l</w:t>
      </w:r>
      <w:r w:rsidR="00C03762">
        <w:rPr>
          <w:lang w:val="fr-CA"/>
        </w:rPr>
        <w:t>’</w:t>
      </w:r>
      <w:r w:rsidRPr="00393D65">
        <w:rPr>
          <w:lang w:val="fr-CA"/>
        </w:rPr>
        <w:t>égard des retenues à la source (</w:t>
      </w:r>
      <w:r w:rsidRPr="00393D65">
        <w:rPr>
          <w:i/>
          <w:lang w:val="fr-CA"/>
        </w:rPr>
        <w:t>LACC</w:t>
      </w:r>
      <w:r w:rsidRPr="00393D65">
        <w:rPr>
          <w:lang w:val="fr-CA"/>
        </w:rPr>
        <w:t>, par. 18.4(3);</w:t>
      </w:r>
      <w:r w:rsidRPr="00393D65">
        <w:rPr>
          <w:i/>
          <w:lang w:val="fr-CA"/>
        </w:rPr>
        <w:t xml:space="preserve"> LFI</w:t>
      </w:r>
      <w:r w:rsidRPr="00393D65">
        <w:rPr>
          <w:lang w:val="fr-CA"/>
        </w:rPr>
        <w:t xml:space="preserve">, par. 86(3)).  Voici la disposition de la </w:t>
      </w:r>
      <w:r w:rsidRPr="00393D65">
        <w:rPr>
          <w:i/>
          <w:lang w:val="fr-CA"/>
        </w:rPr>
        <w:t>LACC</w:t>
      </w:r>
      <w:r w:rsidRPr="00393D65">
        <w:rPr>
          <w:lang w:val="fr-CA"/>
        </w:rPr>
        <w:t> :</w:t>
      </w:r>
    </w:p>
    <w:p w:rsidR="008C3D0D" w:rsidRPr="00393D65" w:rsidRDefault="008C3D0D" w:rsidP="008C3D0D">
      <w:pPr>
        <w:pStyle w:val="Citation"/>
        <w:spacing w:after="240"/>
        <w:ind w:firstLine="274"/>
        <w:rPr>
          <w:lang w:val="fr-CA"/>
        </w:rPr>
      </w:pPr>
      <w:r w:rsidRPr="00393D65">
        <w:rPr>
          <w:b/>
          <w:lang w:val="fr-CA"/>
        </w:rPr>
        <w:t>18.4</w:t>
      </w:r>
      <w:r w:rsidRPr="00393D65">
        <w:rPr>
          <w:lang w:val="fr-CA"/>
        </w:rPr>
        <w:t> . . .</w:t>
      </w:r>
    </w:p>
    <w:p w:rsidR="008C3D0D" w:rsidRPr="00393D65" w:rsidRDefault="008C3D0D" w:rsidP="008C3D0D">
      <w:pPr>
        <w:pStyle w:val="Citation"/>
        <w:spacing w:after="240"/>
        <w:rPr>
          <w:b/>
          <w:lang w:val="fr-CA"/>
        </w:rPr>
      </w:pPr>
    </w:p>
    <w:p w:rsidR="008C3D0D" w:rsidRPr="00393D65" w:rsidRDefault="008C3D0D" w:rsidP="008C3D0D">
      <w:pPr>
        <w:pStyle w:val="Citation"/>
        <w:spacing w:after="240"/>
        <w:jc w:val="center"/>
        <w:rPr>
          <w:lang w:val="fr-CA"/>
        </w:rPr>
      </w:pPr>
      <w:r w:rsidRPr="00393D65">
        <w:rPr>
          <w:lang w:val="fr-CA"/>
        </w:rPr>
        <w:t>. . .</w:t>
      </w:r>
    </w:p>
    <w:p w:rsidR="008C3D0D" w:rsidRPr="00393D65" w:rsidRDefault="008C3D0D" w:rsidP="008C3D0D">
      <w:pPr>
        <w:pStyle w:val="Citation"/>
        <w:spacing w:after="240"/>
        <w:rPr>
          <w:b/>
          <w:lang w:val="fr-CA"/>
        </w:rPr>
      </w:pPr>
    </w:p>
    <w:p w:rsidR="008C3D0D" w:rsidRPr="00393D65" w:rsidRDefault="008C3D0D" w:rsidP="008C3D0D">
      <w:pPr>
        <w:pStyle w:val="Citation"/>
        <w:spacing w:after="240"/>
        <w:ind w:firstLine="274"/>
        <w:rPr>
          <w:lang w:val="fr-CA"/>
        </w:rPr>
      </w:pPr>
      <w:r w:rsidRPr="00393D65">
        <w:rPr>
          <w:lang w:val="fr-CA"/>
        </w:rPr>
        <w:t>(3)  Le paragraphe (1) [suivant lequel la Couronne a le rang de créancier non garanti] n</w:t>
      </w:r>
      <w:r w:rsidR="00C03762">
        <w:rPr>
          <w:lang w:val="fr-CA"/>
        </w:rPr>
        <w:t>’</w:t>
      </w:r>
      <w:r w:rsidRPr="00393D65">
        <w:rPr>
          <w:lang w:val="fr-CA"/>
        </w:rPr>
        <w:t>a pas pour effet de porter atteinte à l</w:t>
      </w:r>
      <w:r w:rsidR="00C03762">
        <w:rPr>
          <w:lang w:val="fr-CA"/>
        </w:rPr>
        <w:t>’</w:t>
      </w:r>
      <w:r w:rsidRPr="00393D65">
        <w:rPr>
          <w:lang w:val="fr-CA"/>
        </w:rPr>
        <w:t xml:space="preserve">application des dispositions suivantes : </w:t>
      </w:r>
    </w:p>
    <w:p w:rsidR="008C3D0D" w:rsidRPr="00393D65" w:rsidRDefault="008C3D0D" w:rsidP="008C3D0D">
      <w:pPr>
        <w:pStyle w:val="Citation"/>
        <w:spacing w:after="240"/>
        <w:rPr>
          <w:lang w:val="fr-CA"/>
        </w:rPr>
      </w:pPr>
    </w:p>
    <w:p w:rsidR="008C3D0D" w:rsidRPr="00393D65" w:rsidRDefault="008C3D0D" w:rsidP="008C3D0D">
      <w:pPr>
        <w:pStyle w:val="Citation"/>
        <w:spacing w:after="240"/>
        <w:ind w:left="1440"/>
        <w:rPr>
          <w:lang w:val="fr-CA"/>
        </w:rPr>
      </w:pPr>
      <w:r w:rsidRPr="00393D65">
        <w:rPr>
          <w:i/>
          <w:lang w:val="fr-CA"/>
        </w:rPr>
        <w:t>a</w:t>
      </w:r>
      <w:r w:rsidRPr="00393D65">
        <w:rPr>
          <w:lang w:val="fr-CA"/>
        </w:rPr>
        <w:t xml:space="preserve">)  les paragraphes 224(1.2) et (1.3) de la </w:t>
      </w:r>
      <w:r w:rsidRPr="00393D65">
        <w:rPr>
          <w:i/>
          <w:lang w:val="fr-CA"/>
        </w:rPr>
        <w:t>Loi de l</w:t>
      </w:r>
      <w:r w:rsidR="00C03762">
        <w:rPr>
          <w:i/>
          <w:lang w:val="fr-CA"/>
        </w:rPr>
        <w:t>’</w:t>
      </w:r>
      <w:r w:rsidRPr="00393D65">
        <w:rPr>
          <w:i/>
          <w:lang w:val="fr-CA"/>
        </w:rPr>
        <w:t>impôt sur le revenu</w:t>
      </w:r>
      <w:r w:rsidRPr="00393D65">
        <w:rPr>
          <w:lang w:val="fr-CA"/>
        </w:rPr>
        <w:t>;</w:t>
      </w:r>
    </w:p>
    <w:p w:rsidR="008C3D0D" w:rsidRPr="00393D65" w:rsidRDefault="008C3D0D" w:rsidP="008C3D0D">
      <w:pPr>
        <w:pStyle w:val="Citation"/>
        <w:spacing w:after="240"/>
        <w:ind w:left="1170"/>
        <w:rPr>
          <w:lang w:val="fr-CA"/>
        </w:rPr>
      </w:pPr>
    </w:p>
    <w:p w:rsidR="008C3D0D" w:rsidRPr="00393D65" w:rsidRDefault="008C3D0D" w:rsidP="008C3D0D">
      <w:pPr>
        <w:pStyle w:val="Citation"/>
        <w:ind w:left="1440"/>
        <w:rPr>
          <w:lang w:val="fr-CA"/>
        </w:rPr>
      </w:pPr>
      <w:r w:rsidRPr="00393D65">
        <w:rPr>
          <w:i/>
          <w:lang w:val="fr-CA"/>
        </w:rPr>
        <w:t>b</w:t>
      </w:r>
      <w:r w:rsidRPr="00393D65">
        <w:rPr>
          <w:lang w:val="fr-CA"/>
        </w:rPr>
        <w:t xml:space="preserve">)  toute disposition du </w:t>
      </w:r>
      <w:r w:rsidRPr="00393D65">
        <w:rPr>
          <w:i/>
          <w:lang w:val="fr-CA"/>
        </w:rPr>
        <w:t>Régime de pensions du Canada</w:t>
      </w:r>
      <w:r w:rsidRPr="00393D65">
        <w:rPr>
          <w:lang w:val="fr-CA"/>
        </w:rPr>
        <w:t xml:space="preserve"> ou de la </w:t>
      </w:r>
      <w:r w:rsidRPr="00393D65">
        <w:rPr>
          <w:i/>
          <w:lang w:val="fr-CA"/>
        </w:rPr>
        <w:t>Loi sur l</w:t>
      </w:r>
      <w:r w:rsidR="00C03762">
        <w:rPr>
          <w:i/>
          <w:lang w:val="fr-CA"/>
        </w:rPr>
        <w:t>’</w:t>
      </w:r>
      <w:r w:rsidRPr="00393D65">
        <w:rPr>
          <w:i/>
          <w:lang w:val="fr-CA"/>
        </w:rPr>
        <w:t>assurance</w:t>
      </w:r>
      <w:r w:rsidRPr="00393D65">
        <w:rPr>
          <w:i/>
          <w:lang w:val="fr-CA"/>
        </w:rPr>
        <w:noBreakHyphen/>
        <w:t xml:space="preserve">emploi </w:t>
      </w:r>
      <w:r w:rsidRPr="00393D65">
        <w:rPr>
          <w:lang w:val="fr-CA"/>
        </w:rPr>
        <w:t>qui renvoie au paragraphe 224(1.2) de la</w:t>
      </w:r>
      <w:r w:rsidRPr="00393D65">
        <w:rPr>
          <w:i/>
          <w:lang w:val="fr-CA"/>
        </w:rPr>
        <w:t xml:space="preserve"> Loi de l</w:t>
      </w:r>
      <w:r w:rsidR="00C03762">
        <w:rPr>
          <w:i/>
          <w:lang w:val="fr-CA"/>
        </w:rPr>
        <w:t>’</w:t>
      </w:r>
      <w:r w:rsidRPr="00393D65">
        <w:rPr>
          <w:i/>
          <w:lang w:val="fr-CA"/>
        </w:rPr>
        <w:t>impôt sur le revenu</w:t>
      </w:r>
      <w:r w:rsidRPr="00393D65">
        <w:rPr>
          <w:lang w:val="fr-CA"/>
        </w:rPr>
        <w:t xml:space="preserve"> et qui prévoit la perception d</w:t>
      </w:r>
      <w:r w:rsidR="00C03762">
        <w:rPr>
          <w:lang w:val="fr-CA"/>
        </w:rPr>
        <w:t>’</w:t>
      </w:r>
      <w:r w:rsidRPr="00393D65">
        <w:rPr>
          <w:lang w:val="fr-CA"/>
        </w:rPr>
        <w:t>une cotisation . . .</w:t>
      </w:r>
    </w:p>
    <w:p w:rsidR="008C3D0D" w:rsidRPr="00393D65" w:rsidRDefault="008C3D0D" w:rsidP="008F1520">
      <w:pPr>
        <w:pStyle w:val="SCCNormalDoubleSpacing"/>
        <w:spacing w:after="480"/>
      </w:pPr>
      <w:r w:rsidRPr="00393D65">
        <w:lastRenderedPageBreak/>
        <w:t xml:space="preserve">Par conséquent, non seulement la </w:t>
      </w:r>
      <w:r w:rsidRPr="00393D65">
        <w:rPr>
          <w:i/>
        </w:rPr>
        <w:t>LACC</w:t>
      </w:r>
      <w:r w:rsidRPr="00393D65">
        <w:t xml:space="preserve"> précise que les créances de la Couronne ne bénéficient pas d</w:t>
      </w:r>
      <w:r w:rsidR="00C03762">
        <w:t>’</w:t>
      </w:r>
      <w:r w:rsidRPr="00393D65">
        <w:t>une priorité par rapport à celles des autres créanciers (par. 18.3(1)), mais les exceptions à cette règle (maintien de la priorité de la Couronne dans le cas des retenues à la source) sont mentionnées à plusieurs reprises dans la Loi.</w:t>
      </w:r>
    </w:p>
    <w:p w:rsidR="008C3D0D" w:rsidRPr="00393D65" w:rsidRDefault="008C3D0D" w:rsidP="008C3D0D">
      <w:pPr>
        <w:pStyle w:val="ListParagraph"/>
        <w:numPr>
          <w:ilvl w:val="0"/>
          <w:numId w:val="5"/>
        </w:numPr>
        <w:tabs>
          <w:tab w:val="left" w:pos="1170"/>
        </w:tabs>
        <w:spacing w:after="480" w:line="480" w:lineRule="auto"/>
        <w:ind w:left="0" w:firstLine="0"/>
        <w:jc w:val="both"/>
        <w:rPr>
          <w:lang w:val="fr-CA"/>
        </w:rPr>
      </w:pPr>
      <w:r w:rsidRPr="00393D65">
        <w:rPr>
          <w:lang w:val="fr-CA"/>
        </w:rPr>
        <w:t>Le conflit apparent qui existe dans la présente affaire fait qu</w:t>
      </w:r>
      <w:r w:rsidR="00C03762">
        <w:rPr>
          <w:lang w:val="fr-CA"/>
        </w:rPr>
        <w:t>’</w:t>
      </w:r>
      <w:r w:rsidRPr="00393D65">
        <w:rPr>
          <w:lang w:val="fr-CA"/>
        </w:rPr>
        <w:t xml:space="preserve">on doit se demander si la règle de la </w:t>
      </w:r>
      <w:r w:rsidRPr="00393D65">
        <w:rPr>
          <w:i/>
          <w:lang w:val="fr-CA"/>
        </w:rPr>
        <w:t>LTA</w:t>
      </w:r>
      <w:r w:rsidRPr="00393D65">
        <w:rPr>
          <w:lang w:val="fr-CA"/>
        </w:rPr>
        <w:t xml:space="preserve"> adoptée en 2000, selon laquelle les fiducies réputées visant la TPS s</w:t>
      </w:r>
      <w:r w:rsidR="00C03762">
        <w:rPr>
          <w:lang w:val="fr-CA"/>
        </w:rPr>
        <w:t>’</w:t>
      </w:r>
      <w:r w:rsidRPr="00393D65">
        <w:rPr>
          <w:lang w:val="fr-CA"/>
        </w:rPr>
        <w:t xml:space="preserve">appliquent malgré tout autre texte législatif fédéral sauf la </w:t>
      </w:r>
      <w:r w:rsidRPr="00393D65">
        <w:rPr>
          <w:i/>
          <w:lang w:val="fr-CA"/>
        </w:rPr>
        <w:t>LFI</w:t>
      </w:r>
      <w:r w:rsidRPr="00393D65">
        <w:rPr>
          <w:lang w:val="fr-CA"/>
        </w:rPr>
        <w:t>, l</w:t>
      </w:r>
      <w:r w:rsidR="00C03762">
        <w:rPr>
          <w:lang w:val="fr-CA"/>
        </w:rPr>
        <w:t>’</w:t>
      </w:r>
      <w:r w:rsidRPr="00393D65">
        <w:rPr>
          <w:lang w:val="fr-CA"/>
        </w:rPr>
        <w:t xml:space="preserve">emporte sur la règle énoncée dans la </w:t>
      </w:r>
      <w:r w:rsidRPr="00393D65">
        <w:rPr>
          <w:i/>
          <w:lang w:val="fr-CA"/>
        </w:rPr>
        <w:t>LACC</w:t>
      </w:r>
      <w:r w:rsidRPr="00393D65">
        <w:rPr>
          <w:lang w:val="fr-CA"/>
        </w:rPr>
        <w:t xml:space="preserve"> — qui a d</w:t>
      </w:r>
      <w:r w:rsidR="00C03762">
        <w:rPr>
          <w:lang w:val="fr-CA"/>
        </w:rPr>
        <w:t>’</w:t>
      </w:r>
      <w:r w:rsidRPr="00393D65">
        <w:rPr>
          <w:lang w:val="fr-CA"/>
        </w:rPr>
        <w:t>abord été édictée en 1997 à l</w:t>
      </w:r>
      <w:r w:rsidR="00C03762">
        <w:rPr>
          <w:lang w:val="fr-CA"/>
        </w:rPr>
        <w:t>’</w:t>
      </w:r>
      <w:r w:rsidRPr="00393D65">
        <w:rPr>
          <w:lang w:val="fr-CA"/>
        </w:rPr>
        <w:t xml:space="preserve">art. 18.3 — suivant laquelle, sous réserve de certaines exceptions explicites, les fiducies réputées établies par une disposition législative sont sans effet dans le cadre de la </w:t>
      </w:r>
      <w:r w:rsidRPr="00393D65">
        <w:rPr>
          <w:i/>
          <w:lang w:val="fr-CA"/>
        </w:rPr>
        <w:t>LACC</w:t>
      </w:r>
      <w:r w:rsidRPr="00393D65">
        <w:rPr>
          <w:lang w:val="fr-CA"/>
        </w:rPr>
        <w:t>.  Avec égards pour l</w:t>
      </w:r>
      <w:r w:rsidR="00C03762">
        <w:rPr>
          <w:lang w:val="fr-CA"/>
        </w:rPr>
        <w:t>’</w:t>
      </w:r>
      <w:r w:rsidRPr="00393D65">
        <w:rPr>
          <w:lang w:val="fr-CA"/>
        </w:rPr>
        <w:t>opinion contraire exprimée par mon collègue le juge Fish, je ne crois pas qu</w:t>
      </w:r>
      <w:r w:rsidR="00C03762">
        <w:rPr>
          <w:lang w:val="fr-CA"/>
        </w:rPr>
        <w:t>’</w:t>
      </w:r>
      <w:r w:rsidRPr="00393D65">
        <w:rPr>
          <w:lang w:val="fr-CA"/>
        </w:rPr>
        <w:t>on puisse résoudre ce conflit apparent en niant son existence et en créant une règle qui exige à la fois une disposition législative établissant la fiducie présumée et une autre la confirmant.  Une telle règle est inconnue en droit.  Les tribunaux doivent reconnaître les conflits, apparents ou réels, et les résoudre lorsque la chose est possible.</w:t>
      </w:r>
    </w:p>
    <w:p w:rsidR="008C3D0D" w:rsidRPr="00393D65" w:rsidRDefault="008C3D0D" w:rsidP="008C3D0D">
      <w:pPr>
        <w:pStyle w:val="ListParagraph"/>
        <w:numPr>
          <w:ilvl w:val="0"/>
          <w:numId w:val="5"/>
        </w:numPr>
        <w:tabs>
          <w:tab w:val="left" w:pos="1170"/>
        </w:tabs>
        <w:spacing w:after="480" w:line="480" w:lineRule="auto"/>
        <w:ind w:left="0" w:firstLine="0"/>
        <w:jc w:val="both"/>
        <w:rPr>
          <w:lang w:val="fr-CA"/>
        </w:rPr>
      </w:pPr>
      <w:r w:rsidRPr="00393D65">
        <w:rPr>
          <w:lang w:val="fr-CA"/>
        </w:rPr>
        <w:t xml:space="preserve">Un courant jurisprudentiel pancanadien a résolu le conflit apparent en faveur de la </w:t>
      </w:r>
      <w:r w:rsidRPr="00393D65">
        <w:rPr>
          <w:i/>
          <w:lang w:val="fr-CA"/>
        </w:rPr>
        <w:t>LTA</w:t>
      </w:r>
      <w:r w:rsidRPr="00393D65">
        <w:rPr>
          <w:lang w:val="fr-CA"/>
        </w:rPr>
        <w:t>, confirmant ainsi la validité des fiducies réputées à l</w:t>
      </w:r>
      <w:r w:rsidR="00C03762">
        <w:rPr>
          <w:lang w:val="fr-CA"/>
        </w:rPr>
        <w:t>’</w:t>
      </w:r>
      <w:r w:rsidRPr="00393D65">
        <w:rPr>
          <w:lang w:val="fr-CA"/>
        </w:rPr>
        <w:t xml:space="preserve">égard de la TPS dans le cadre de la </w:t>
      </w:r>
      <w:r w:rsidRPr="00393D65">
        <w:rPr>
          <w:i/>
          <w:lang w:val="fr-CA"/>
        </w:rPr>
        <w:t>LACC</w:t>
      </w:r>
      <w:r w:rsidRPr="00393D65">
        <w:rPr>
          <w:lang w:val="fr-CA"/>
        </w:rPr>
        <w:t>.  Dans l</w:t>
      </w:r>
      <w:r w:rsidR="00C03762">
        <w:rPr>
          <w:lang w:val="fr-CA"/>
        </w:rPr>
        <w:t>’</w:t>
      </w:r>
      <w:r w:rsidRPr="00393D65">
        <w:rPr>
          <w:lang w:val="fr-CA"/>
        </w:rPr>
        <w:t xml:space="preserve">arrêt déterminant à ce sujet, </w:t>
      </w:r>
      <w:r w:rsidRPr="00393D65">
        <w:rPr>
          <w:i/>
          <w:lang w:val="fr-CA"/>
        </w:rPr>
        <w:t>Ottawa Senators</w:t>
      </w:r>
      <w:r w:rsidRPr="00393D65">
        <w:rPr>
          <w:lang w:val="fr-CA"/>
        </w:rPr>
        <w:t>, la Cour d</w:t>
      </w:r>
      <w:r w:rsidR="00C03762">
        <w:rPr>
          <w:lang w:val="fr-CA"/>
        </w:rPr>
        <w:t>’</w:t>
      </w:r>
      <w:r w:rsidRPr="00393D65">
        <w:rPr>
          <w:lang w:val="fr-CA"/>
        </w:rPr>
        <w:t>appel de l</w:t>
      </w:r>
      <w:r w:rsidR="00C03762">
        <w:rPr>
          <w:lang w:val="fr-CA"/>
        </w:rPr>
        <w:t>’</w:t>
      </w:r>
      <w:r w:rsidRPr="00393D65">
        <w:rPr>
          <w:lang w:val="fr-CA"/>
        </w:rPr>
        <w:t>Ontario a invoqué la doctrine de l</w:t>
      </w:r>
      <w:r w:rsidR="00C03762">
        <w:rPr>
          <w:lang w:val="fr-CA"/>
        </w:rPr>
        <w:t>’</w:t>
      </w:r>
      <w:r w:rsidRPr="00393D65">
        <w:rPr>
          <w:lang w:val="fr-CA"/>
        </w:rPr>
        <w:t xml:space="preserve">abrogation implicite et conclu </w:t>
      </w:r>
      <w:r w:rsidRPr="00393D65">
        <w:rPr>
          <w:lang w:val="fr-CA"/>
        </w:rPr>
        <w:lastRenderedPageBreak/>
        <w:t xml:space="preserve">que la disposition postérieure de la </w:t>
      </w:r>
      <w:r w:rsidRPr="00393D65">
        <w:rPr>
          <w:i/>
          <w:lang w:val="fr-CA"/>
        </w:rPr>
        <w:t>LTA</w:t>
      </w:r>
      <w:r w:rsidRPr="00393D65">
        <w:rPr>
          <w:lang w:val="fr-CA"/>
        </w:rPr>
        <w:t xml:space="preserve"> devait avoir préséance sur la </w:t>
      </w:r>
      <w:r w:rsidRPr="00393D65">
        <w:rPr>
          <w:i/>
          <w:lang w:val="fr-CA"/>
        </w:rPr>
        <w:t>LACC</w:t>
      </w:r>
      <w:r w:rsidRPr="00393D65">
        <w:rPr>
          <w:lang w:val="fr-CA"/>
        </w:rPr>
        <w:t xml:space="preserve"> (voir aussi</w:t>
      </w:r>
      <w:r w:rsidRPr="00393D65">
        <w:rPr>
          <w:i/>
          <w:lang w:val="fr-CA"/>
        </w:rPr>
        <w:t xml:space="preserve"> Solid Resources Ltd., Re</w:t>
      </w:r>
      <w:r w:rsidRPr="00393D65">
        <w:rPr>
          <w:lang w:val="fr-CA"/>
        </w:rPr>
        <w:t xml:space="preserve"> (2002), 40 C.B.R. (4th) 219 (B.R. Alb.); </w:t>
      </w:r>
      <w:r w:rsidRPr="00393D65">
        <w:rPr>
          <w:i/>
          <w:lang w:val="fr-CA"/>
        </w:rPr>
        <w:t>Gauntlet</w:t>
      </w:r>
      <w:r w:rsidRPr="00393D65">
        <w:rPr>
          <w:lang w:val="fr-CA"/>
        </w:rPr>
        <w:t>).</w:t>
      </w:r>
    </w:p>
    <w:p w:rsidR="008C3D0D" w:rsidRPr="00393D65" w:rsidRDefault="008C3D0D" w:rsidP="008C3D0D">
      <w:pPr>
        <w:pStyle w:val="ListParagraph"/>
        <w:numPr>
          <w:ilvl w:val="0"/>
          <w:numId w:val="5"/>
        </w:numPr>
        <w:tabs>
          <w:tab w:val="left" w:pos="1170"/>
        </w:tabs>
        <w:spacing w:after="480" w:line="480" w:lineRule="auto"/>
        <w:ind w:left="0" w:firstLine="0"/>
        <w:jc w:val="both"/>
        <w:rPr>
          <w:lang w:val="fr-CA"/>
        </w:rPr>
      </w:pPr>
      <w:r w:rsidRPr="00393D65">
        <w:rPr>
          <w:lang w:val="fr-CA"/>
        </w:rPr>
        <w:t xml:space="preserve">Dans </w:t>
      </w:r>
      <w:r w:rsidRPr="00393D65">
        <w:rPr>
          <w:i/>
          <w:lang w:val="fr-CA"/>
        </w:rPr>
        <w:t>Ottawa Senator</w:t>
      </w:r>
      <w:r w:rsidRPr="00C4683A">
        <w:rPr>
          <w:i/>
          <w:lang w:val="fr-CA"/>
        </w:rPr>
        <w:t>s</w:t>
      </w:r>
      <w:r w:rsidRPr="00393D65">
        <w:rPr>
          <w:lang w:val="fr-CA"/>
        </w:rPr>
        <w:t>, la Cour d</w:t>
      </w:r>
      <w:r w:rsidR="00C03762">
        <w:rPr>
          <w:lang w:val="fr-CA"/>
        </w:rPr>
        <w:t>’</w:t>
      </w:r>
      <w:r w:rsidRPr="00393D65">
        <w:rPr>
          <w:lang w:val="fr-CA"/>
        </w:rPr>
        <w:t>appel de l</w:t>
      </w:r>
      <w:r w:rsidR="00C03762">
        <w:rPr>
          <w:lang w:val="fr-CA"/>
        </w:rPr>
        <w:t>’</w:t>
      </w:r>
      <w:r w:rsidRPr="00393D65">
        <w:rPr>
          <w:lang w:val="fr-CA"/>
        </w:rPr>
        <w:t>Ontario a fondé sa conclusion sur deux considérations.  Premièrement, elle était convaincue qu</w:t>
      </w:r>
      <w:r w:rsidR="00C03762">
        <w:rPr>
          <w:lang w:val="fr-CA"/>
        </w:rPr>
        <w:t>’</w:t>
      </w:r>
      <w:r w:rsidRPr="00393D65">
        <w:rPr>
          <w:lang w:val="fr-CA"/>
        </w:rPr>
        <w:t xml:space="preserve">en mentionnant explicitement la </w:t>
      </w:r>
      <w:r w:rsidRPr="00393D65">
        <w:rPr>
          <w:i/>
          <w:lang w:val="fr-CA"/>
        </w:rPr>
        <w:t>LFI</w:t>
      </w:r>
      <w:r w:rsidRPr="00393D65">
        <w:rPr>
          <w:lang w:val="fr-CA"/>
        </w:rPr>
        <w:t xml:space="preserve"> — mais pas la </w:t>
      </w:r>
      <w:r w:rsidRPr="00393D65">
        <w:rPr>
          <w:i/>
          <w:lang w:val="fr-CA"/>
        </w:rPr>
        <w:t xml:space="preserve">LACC </w:t>
      </w:r>
      <w:r w:rsidRPr="00393D65">
        <w:rPr>
          <w:lang w:val="fr-CA"/>
        </w:rPr>
        <w:t xml:space="preserve">— au par. 222(3) de la </w:t>
      </w:r>
      <w:r w:rsidRPr="00393D65">
        <w:rPr>
          <w:i/>
          <w:lang w:val="fr-CA"/>
        </w:rPr>
        <w:t>LTA</w:t>
      </w:r>
      <w:r w:rsidRPr="00393D65">
        <w:rPr>
          <w:lang w:val="fr-CA"/>
        </w:rPr>
        <w:t xml:space="preserve">, le législateur a fait un choix délibéré.  Je cite le juge MacPherson : </w:t>
      </w:r>
    </w:p>
    <w:p w:rsidR="008C3D0D" w:rsidRPr="00393D65" w:rsidRDefault="008C3D0D" w:rsidP="008C3D0D">
      <w:pPr>
        <w:pStyle w:val="Citation"/>
        <w:rPr>
          <w:lang w:val="fr-CA"/>
        </w:rPr>
      </w:pPr>
      <w:r w:rsidRPr="00393D65">
        <w:rPr>
          <w:lang w:val="fr-CA"/>
        </w:rPr>
        <w:t>[</w:t>
      </w:r>
      <w:r w:rsidRPr="00393D65">
        <w:rPr>
          <w:smallCaps/>
          <w:lang w:val="fr-CA"/>
        </w:rPr>
        <w:t>traduction</w:t>
      </w:r>
      <w:r w:rsidRPr="00393D65">
        <w:rPr>
          <w:lang w:val="fr-CA"/>
        </w:rPr>
        <w:t>]</w:t>
      </w:r>
      <w:r w:rsidR="0051517D">
        <w:rPr>
          <w:lang w:val="fr-CA"/>
        </w:rPr>
        <w:t xml:space="preserve">  </w:t>
      </w:r>
      <w:r w:rsidRPr="00393D65">
        <w:rPr>
          <w:lang w:val="fr-CA"/>
        </w:rPr>
        <w:t xml:space="preserve">La </w:t>
      </w:r>
      <w:r w:rsidRPr="00393D65">
        <w:rPr>
          <w:i/>
          <w:lang w:val="fr-CA"/>
        </w:rPr>
        <w:t xml:space="preserve">LFI </w:t>
      </w:r>
      <w:r w:rsidRPr="00393D65">
        <w:rPr>
          <w:lang w:val="fr-CA"/>
        </w:rPr>
        <w:t xml:space="preserve">et la </w:t>
      </w:r>
      <w:r w:rsidRPr="00393D65">
        <w:rPr>
          <w:i/>
          <w:lang w:val="fr-CA"/>
        </w:rPr>
        <w:t>LACC</w:t>
      </w:r>
      <w:r w:rsidRPr="00393D65">
        <w:rPr>
          <w:lang w:val="fr-CA"/>
        </w:rPr>
        <w:t xml:space="preserve"> sont des lois fédérales étroitement liées entre elles.  Je ne puis concevoir que le législateur ait pu mentionner expressément la </w:t>
      </w:r>
      <w:r w:rsidRPr="00393D65">
        <w:rPr>
          <w:i/>
          <w:lang w:val="fr-CA"/>
        </w:rPr>
        <w:t>LFI</w:t>
      </w:r>
      <w:r w:rsidRPr="00393D65">
        <w:rPr>
          <w:lang w:val="fr-CA"/>
        </w:rPr>
        <w:t xml:space="preserve"> à titre d</w:t>
      </w:r>
      <w:r w:rsidR="00C03762">
        <w:rPr>
          <w:lang w:val="fr-CA"/>
        </w:rPr>
        <w:t>’</w:t>
      </w:r>
      <w:r w:rsidRPr="00393D65">
        <w:rPr>
          <w:lang w:val="fr-CA"/>
        </w:rPr>
        <w:t xml:space="preserve">exception, mais ait involontairement omis de considérer la </w:t>
      </w:r>
      <w:r w:rsidRPr="00393D65">
        <w:rPr>
          <w:i/>
          <w:lang w:val="fr-CA"/>
        </w:rPr>
        <w:t xml:space="preserve">LACC </w:t>
      </w:r>
      <w:r w:rsidRPr="00393D65">
        <w:rPr>
          <w:lang w:val="fr-CA"/>
        </w:rPr>
        <w:t xml:space="preserve">comme une deuxième exception possible.  À mon avis, le fait que la </w:t>
      </w:r>
      <w:r w:rsidRPr="00393D65">
        <w:rPr>
          <w:i/>
          <w:lang w:val="fr-CA"/>
        </w:rPr>
        <w:t>LACC</w:t>
      </w:r>
      <w:r w:rsidRPr="00393D65">
        <w:rPr>
          <w:lang w:val="fr-CA"/>
        </w:rPr>
        <w:t xml:space="preserve"> ne soit pas mentionnée au par. 222(3) de la </w:t>
      </w:r>
      <w:r w:rsidRPr="00393D65">
        <w:rPr>
          <w:i/>
          <w:lang w:val="fr-CA"/>
        </w:rPr>
        <w:t>LTA</w:t>
      </w:r>
      <w:r w:rsidRPr="00393D65">
        <w:rPr>
          <w:lang w:val="fr-CA"/>
        </w:rPr>
        <w:t xml:space="preserve"> était presque assurément une omission mûrement réfléchie de la part du législateur.  [par. 43]</w:t>
      </w:r>
    </w:p>
    <w:p w:rsidR="008C3D0D" w:rsidRPr="00393D65" w:rsidRDefault="008C3D0D" w:rsidP="008C3D0D">
      <w:pPr>
        <w:pStyle w:val="ListParagraph"/>
        <w:numPr>
          <w:ilvl w:val="0"/>
          <w:numId w:val="5"/>
        </w:numPr>
        <w:tabs>
          <w:tab w:val="left" w:pos="1170"/>
        </w:tabs>
        <w:spacing w:after="480" w:line="480" w:lineRule="auto"/>
        <w:ind w:left="0" w:firstLine="0"/>
        <w:jc w:val="both"/>
        <w:rPr>
          <w:lang w:val="fr-CA"/>
        </w:rPr>
      </w:pPr>
      <w:r w:rsidRPr="00393D65">
        <w:rPr>
          <w:lang w:val="fr-CA"/>
        </w:rPr>
        <w:t>Deuxièmement, la Cour d</w:t>
      </w:r>
      <w:r w:rsidR="00C03762">
        <w:rPr>
          <w:lang w:val="fr-CA"/>
        </w:rPr>
        <w:t>’</w:t>
      </w:r>
      <w:r w:rsidRPr="00393D65">
        <w:rPr>
          <w:lang w:val="fr-CA"/>
        </w:rPr>
        <w:t>appel de l</w:t>
      </w:r>
      <w:r w:rsidR="00C03762">
        <w:rPr>
          <w:lang w:val="fr-CA"/>
        </w:rPr>
        <w:t>’</w:t>
      </w:r>
      <w:r w:rsidRPr="00393D65">
        <w:rPr>
          <w:lang w:val="fr-CA"/>
        </w:rPr>
        <w:t xml:space="preserve">Ontario a comparé le conflit entre la </w:t>
      </w:r>
      <w:r w:rsidRPr="00393D65">
        <w:rPr>
          <w:i/>
          <w:lang w:val="fr-CA"/>
        </w:rPr>
        <w:t>LTA</w:t>
      </w:r>
      <w:r w:rsidRPr="00393D65">
        <w:rPr>
          <w:lang w:val="fr-CA"/>
        </w:rPr>
        <w:t xml:space="preserve"> et la </w:t>
      </w:r>
      <w:r w:rsidRPr="00393D65">
        <w:rPr>
          <w:i/>
          <w:lang w:val="fr-CA"/>
        </w:rPr>
        <w:t>LACC</w:t>
      </w:r>
      <w:r w:rsidRPr="00393D65">
        <w:rPr>
          <w:lang w:val="fr-CA"/>
        </w:rPr>
        <w:t xml:space="preserve"> à celui dont a été saisie la Cour dans </w:t>
      </w:r>
      <w:r w:rsidRPr="00393D65">
        <w:rPr>
          <w:i/>
          <w:lang w:val="fr-CA"/>
        </w:rPr>
        <w:t>Doré c. Verdun (</w:t>
      </w:r>
      <w:r w:rsidR="0051517D">
        <w:rPr>
          <w:i/>
          <w:lang w:val="fr-CA"/>
        </w:rPr>
        <w:t>Ville</w:t>
      </w:r>
      <w:r w:rsidRPr="00393D65">
        <w:rPr>
          <w:i/>
          <w:lang w:val="fr-CA"/>
        </w:rPr>
        <w:t>)</w:t>
      </w:r>
      <w:r w:rsidRPr="00393D65">
        <w:rPr>
          <w:lang w:val="fr-CA"/>
        </w:rPr>
        <w:t>, [1997] 2 R.C.S. 862, et les a jugés [</w:t>
      </w:r>
      <w:r w:rsidRPr="00393D65">
        <w:rPr>
          <w:smallCaps/>
          <w:lang w:val="fr-CA"/>
        </w:rPr>
        <w:t>traduction</w:t>
      </w:r>
      <w:r w:rsidRPr="00393D65">
        <w:rPr>
          <w:lang w:val="fr-CA"/>
        </w:rPr>
        <w:t>] « identiques » (par. 46).  Elle s</w:t>
      </w:r>
      <w:r w:rsidR="00C03762">
        <w:rPr>
          <w:lang w:val="fr-CA"/>
        </w:rPr>
        <w:t>’</w:t>
      </w:r>
      <w:r w:rsidRPr="00393D65">
        <w:rPr>
          <w:lang w:val="fr-CA"/>
        </w:rPr>
        <w:t>estimait donc tenue de suivre l</w:t>
      </w:r>
      <w:r w:rsidR="00C03762">
        <w:rPr>
          <w:lang w:val="fr-CA"/>
        </w:rPr>
        <w:t>’</w:t>
      </w:r>
      <w:r w:rsidRPr="00393D65">
        <w:rPr>
          <w:lang w:val="fr-CA"/>
        </w:rPr>
        <w:t xml:space="preserve">arrêt </w:t>
      </w:r>
      <w:r w:rsidRPr="00393D65">
        <w:rPr>
          <w:i/>
          <w:lang w:val="fr-CA"/>
        </w:rPr>
        <w:t>Doré</w:t>
      </w:r>
      <w:r w:rsidRPr="00393D65">
        <w:rPr>
          <w:lang w:val="fr-CA"/>
        </w:rPr>
        <w:t xml:space="preserve"> (par. 49).  Dans cet arrêt, la Cour a conclu qu</w:t>
      </w:r>
      <w:r w:rsidR="00C03762">
        <w:rPr>
          <w:lang w:val="fr-CA"/>
        </w:rPr>
        <w:t>’</w:t>
      </w:r>
      <w:r w:rsidRPr="00393D65">
        <w:rPr>
          <w:lang w:val="fr-CA"/>
        </w:rPr>
        <w:t>une disposition d</w:t>
      </w:r>
      <w:r w:rsidR="00C03762">
        <w:rPr>
          <w:lang w:val="fr-CA"/>
        </w:rPr>
        <w:t>’</w:t>
      </w:r>
      <w:r w:rsidRPr="00393D65">
        <w:rPr>
          <w:lang w:val="fr-CA"/>
        </w:rPr>
        <w:t xml:space="preserve">une loi de nature plus générale et récemment adoptée établissant un délai de prescription — le </w:t>
      </w:r>
      <w:r w:rsidRPr="00393D65">
        <w:rPr>
          <w:i/>
          <w:lang w:val="fr-CA"/>
        </w:rPr>
        <w:t>Code civil du Québec</w:t>
      </w:r>
      <w:r w:rsidRPr="00393D65">
        <w:rPr>
          <w:lang w:val="fr-CA"/>
        </w:rPr>
        <w:t>, L.Q. 1991, ch. 64 (« </w:t>
      </w:r>
      <w:r w:rsidRPr="00393D65">
        <w:rPr>
          <w:i/>
          <w:lang w:val="fr-CA"/>
        </w:rPr>
        <w:t>C.c.Q.</w:t>
      </w:r>
      <w:r w:rsidRPr="00393D65">
        <w:rPr>
          <w:lang w:val="fr-CA"/>
        </w:rPr>
        <w:t> ») —</w:t>
      </w:r>
      <w:r w:rsidR="00C4683A">
        <w:rPr>
          <w:lang w:val="fr-CA"/>
        </w:rPr>
        <w:t xml:space="preserve"> </w:t>
      </w:r>
      <w:r w:rsidRPr="00393D65">
        <w:rPr>
          <w:lang w:val="fr-CA"/>
        </w:rPr>
        <w:t>avait eu pour effet d</w:t>
      </w:r>
      <w:r w:rsidR="00C03762">
        <w:rPr>
          <w:lang w:val="fr-CA"/>
        </w:rPr>
        <w:t>’</w:t>
      </w:r>
      <w:r w:rsidRPr="00393D65">
        <w:rPr>
          <w:lang w:val="fr-CA"/>
        </w:rPr>
        <w:t>abroger une disposition plus spécifique d</w:t>
      </w:r>
      <w:r w:rsidR="00C03762">
        <w:rPr>
          <w:lang w:val="fr-CA"/>
        </w:rPr>
        <w:t>’</w:t>
      </w:r>
      <w:r w:rsidRPr="00393D65">
        <w:rPr>
          <w:lang w:val="fr-CA"/>
        </w:rPr>
        <w:t xml:space="preserve">un texte de loi antérieur, la </w:t>
      </w:r>
      <w:r w:rsidRPr="00393D65">
        <w:rPr>
          <w:i/>
          <w:lang w:val="fr-CA"/>
        </w:rPr>
        <w:t xml:space="preserve">Loi sur les cités et villes </w:t>
      </w:r>
      <w:r w:rsidRPr="00393D65">
        <w:rPr>
          <w:lang w:val="fr-CA"/>
        </w:rPr>
        <w:t>du Québec, L.R.Q., ch. C</w:t>
      </w:r>
      <w:r w:rsidRPr="00393D65">
        <w:rPr>
          <w:lang w:val="fr-CA"/>
        </w:rPr>
        <w:noBreakHyphen/>
        <w:t>19, avec laquelle elle entrait en conflit.  Par analogie, la Cour d</w:t>
      </w:r>
      <w:r w:rsidR="00C03762">
        <w:rPr>
          <w:lang w:val="fr-CA"/>
        </w:rPr>
        <w:t>’</w:t>
      </w:r>
      <w:r w:rsidRPr="00393D65">
        <w:rPr>
          <w:lang w:val="fr-CA"/>
        </w:rPr>
        <w:t>appel de l</w:t>
      </w:r>
      <w:r w:rsidR="00C03762">
        <w:rPr>
          <w:lang w:val="fr-CA"/>
        </w:rPr>
        <w:t>’</w:t>
      </w:r>
      <w:r w:rsidRPr="00393D65">
        <w:rPr>
          <w:lang w:val="fr-CA"/>
        </w:rPr>
        <w:t xml:space="preserve">Ontario a conclu que le par. 222(3) de la </w:t>
      </w:r>
      <w:r w:rsidRPr="00393D65">
        <w:rPr>
          <w:i/>
          <w:lang w:val="fr-CA"/>
        </w:rPr>
        <w:t>LTA</w:t>
      </w:r>
      <w:r w:rsidRPr="00393D65">
        <w:rPr>
          <w:lang w:val="fr-CA"/>
        </w:rPr>
        <w:t xml:space="preserve">, une disposition plus récente et plus générale, abrogeait </w:t>
      </w:r>
      <w:r w:rsidRPr="00393D65">
        <w:rPr>
          <w:lang w:val="fr-CA"/>
        </w:rPr>
        <w:lastRenderedPageBreak/>
        <w:t xml:space="preserve">implicitement la disposition antérieure plus spécifique, à savoir le par. 18.3(1) de la </w:t>
      </w:r>
      <w:r w:rsidRPr="00393D65">
        <w:rPr>
          <w:i/>
          <w:lang w:val="fr-CA"/>
        </w:rPr>
        <w:t xml:space="preserve">LACC </w:t>
      </w:r>
      <w:r w:rsidRPr="00393D65">
        <w:rPr>
          <w:lang w:val="fr-CA"/>
        </w:rPr>
        <w:t>(par. 47</w:t>
      </w:r>
      <w:r w:rsidRPr="00393D65">
        <w:rPr>
          <w:lang w:val="fr-CA"/>
        </w:rPr>
        <w:noBreakHyphen/>
        <w:t>49).</w:t>
      </w:r>
    </w:p>
    <w:p w:rsidR="008C3D0D" w:rsidRPr="00393D65" w:rsidRDefault="008C3D0D" w:rsidP="008C3D0D">
      <w:pPr>
        <w:pStyle w:val="ListParagraph"/>
        <w:numPr>
          <w:ilvl w:val="0"/>
          <w:numId w:val="5"/>
        </w:numPr>
        <w:tabs>
          <w:tab w:val="left" w:pos="1170"/>
        </w:tabs>
        <w:spacing w:after="480" w:line="480" w:lineRule="auto"/>
        <w:ind w:left="0" w:firstLine="0"/>
        <w:jc w:val="both"/>
        <w:rPr>
          <w:lang w:val="fr-CA"/>
        </w:rPr>
      </w:pPr>
      <w:r w:rsidRPr="00393D65">
        <w:rPr>
          <w:lang w:val="fr-CA"/>
        </w:rPr>
        <w:t>En examinant la question dans tout son contexte, je suis amenée à conclure, pour plusieurs raisons, que ni le raisonnement ni le résultat de l</w:t>
      </w:r>
      <w:r w:rsidR="00C03762">
        <w:rPr>
          <w:lang w:val="fr-CA"/>
        </w:rPr>
        <w:t>’</w:t>
      </w:r>
      <w:r w:rsidRPr="00393D65">
        <w:rPr>
          <w:lang w:val="fr-CA"/>
        </w:rPr>
        <w:t xml:space="preserve">arrêt </w:t>
      </w:r>
      <w:r w:rsidRPr="00393D65">
        <w:rPr>
          <w:i/>
          <w:lang w:val="fr-CA"/>
        </w:rPr>
        <w:t>Ottawa</w:t>
      </w:r>
      <w:r w:rsidRPr="00393D65">
        <w:rPr>
          <w:lang w:val="fr-CA"/>
        </w:rPr>
        <w:t xml:space="preserve"> </w:t>
      </w:r>
      <w:r w:rsidRPr="00393D65">
        <w:rPr>
          <w:i/>
          <w:lang w:val="fr-CA"/>
        </w:rPr>
        <w:t>Senators</w:t>
      </w:r>
      <w:r w:rsidRPr="00393D65">
        <w:rPr>
          <w:lang w:val="fr-CA"/>
        </w:rPr>
        <w:t xml:space="preserve"> ne peuvent être adoptés.  Bien qu</w:t>
      </w:r>
      <w:r w:rsidR="00C03762">
        <w:rPr>
          <w:lang w:val="fr-CA"/>
        </w:rPr>
        <w:t>’</w:t>
      </w:r>
      <w:r w:rsidRPr="00393D65">
        <w:rPr>
          <w:lang w:val="fr-CA"/>
        </w:rPr>
        <w:t>il puisse exister un conflit entre le libellé des textes de loi, une analyse téléologique et contextuelle visant à déterminer la véritable intention du législateur conduit à la conclusion que ce dernier ne saurait avoir eu l</w:t>
      </w:r>
      <w:r w:rsidR="00C03762">
        <w:rPr>
          <w:lang w:val="fr-CA"/>
        </w:rPr>
        <w:t>’</w:t>
      </w:r>
      <w:r w:rsidRPr="00393D65">
        <w:rPr>
          <w:lang w:val="fr-CA"/>
        </w:rPr>
        <w:t xml:space="preserve">intention de redonner la priorité, dans le cadre de la </w:t>
      </w:r>
      <w:r w:rsidRPr="00393D65">
        <w:rPr>
          <w:i/>
          <w:lang w:val="fr-CA"/>
        </w:rPr>
        <w:t>LACC</w:t>
      </w:r>
      <w:r w:rsidRPr="00393D65">
        <w:rPr>
          <w:lang w:val="fr-CA"/>
        </w:rPr>
        <w:t>, à la fiducie réputée de la Couronne à l</w:t>
      </w:r>
      <w:r w:rsidR="00C03762">
        <w:rPr>
          <w:lang w:val="fr-CA"/>
        </w:rPr>
        <w:t>’</w:t>
      </w:r>
      <w:r w:rsidRPr="00393D65">
        <w:rPr>
          <w:lang w:val="fr-CA"/>
        </w:rPr>
        <w:t xml:space="preserve">égard de ses créances relatives à la TPS quand il a apporté à la </w:t>
      </w:r>
      <w:r w:rsidRPr="00393D65">
        <w:rPr>
          <w:i/>
          <w:lang w:val="fr-CA"/>
        </w:rPr>
        <w:t>LTA</w:t>
      </w:r>
      <w:r w:rsidRPr="00393D65">
        <w:rPr>
          <w:lang w:val="fr-CA"/>
        </w:rPr>
        <w:t>, en 2000, la modification découlant de l</w:t>
      </w:r>
      <w:r w:rsidR="00C03762">
        <w:rPr>
          <w:lang w:val="fr-CA"/>
        </w:rPr>
        <w:t>’</w:t>
      </w:r>
      <w:r w:rsidRPr="00393D65">
        <w:rPr>
          <w:lang w:val="fr-CA"/>
        </w:rPr>
        <w:t xml:space="preserve">arrêt </w:t>
      </w:r>
      <w:r w:rsidRPr="00393D65">
        <w:rPr>
          <w:i/>
          <w:lang w:val="fr-CA"/>
        </w:rPr>
        <w:t>Sparrow Electric</w:t>
      </w:r>
      <w:r w:rsidRPr="00393D65">
        <w:rPr>
          <w:lang w:val="fr-CA"/>
        </w:rPr>
        <w:t>.</w:t>
      </w:r>
    </w:p>
    <w:p w:rsidR="008C3D0D" w:rsidRPr="00393D65" w:rsidRDefault="008C3D0D" w:rsidP="008C3D0D">
      <w:pPr>
        <w:pStyle w:val="ListParagraph"/>
        <w:numPr>
          <w:ilvl w:val="0"/>
          <w:numId w:val="5"/>
        </w:numPr>
        <w:tabs>
          <w:tab w:val="left" w:pos="1170"/>
        </w:tabs>
        <w:spacing w:after="480" w:line="480" w:lineRule="auto"/>
        <w:ind w:left="0" w:firstLine="0"/>
        <w:jc w:val="both"/>
        <w:rPr>
          <w:lang w:val="fr-CA"/>
        </w:rPr>
      </w:pPr>
      <w:r w:rsidRPr="00393D65">
        <w:rPr>
          <w:lang w:val="fr-CA"/>
        </w:rPr>
        <w:t>Je rappelle d</w:t>
      </w:r>
      <w:r w:rsidR="00C03762">
        <w:rPr>
          <w:lang w:val="fr-CA"/>
        </w:rPr>
        <w:t>’</w:t>
      </w:r>
      <w:r w:rsidRPr="00393D65">
        <w:rPr>
          <w:lang w:val="fr-CA"/>
        </w:rPr>
        <w:t>abord que le législateur a manifesté sa volonté de mettre un terme à la priorité accordée aux créances de la Couronne dans le cadre du droit de l</w:t>
      </w:r>
      <w:r w:rsidR="00C03762">
        <w:rPr>
          <w:lang w:val="fr-CA"/>
        </w:rPr>
        <w:t>’</w:t>
      </w:r>
      <w:r w:rsidRPr="00393D65">
        <w:rPr>
          <w:lang w:val="fr-CA"/>
        </w:rPr>
        <w:t xml:space="preserve">insolvabilité.  Selon le par. 18.3(1) de la </w:t>
      </w:r>
      <w:r w:rsidRPr="00393D65">
        <w:rPr>
          <w:i/>
          <w:lang w:val="fr-CA"/>
        </w:rPr>
        <w:t>LACC</w:t>
      </w:r>
      <w:r w:rsidRPr="00393D65">
        <w:rPr>
          <w:lang w:val="fr-CA"/>
        </w:rPr>
        <w:t xml:space="preserve"> (sous réserve des exceptions prévues au par. 18.3(2)), les fiducies réputées de la Couronne n</w:t>
      </w:r>
      <w:r w:rsidR="00C03762">
        <w:rPr>
          <w:lang w:val="fr-CA"/>
        </w:rPr>
        <w:t>’</w:t>
      </w:r>
      <w:r w:rsidRPr="00393D65">
        <w:rPr>
          <w:lang w:val="fr-CA"/>
        </w:rPr>
        <w:t>ont aucun effet sous le régime de cette loi.  Quand le législateur a voulu protéger certaines créances de la Couronne au moyen de fiducies réputées et voulu que celles</w:t>
      </w:r>
      <w:r w:rsidRPr="00393D65">
        <w:rPr>
          <w:lang w:val="fr-CA"/>
        </w:rPr>
        <w:noBreakHyphen/>
        <w:t>ci continuent de s</w:t>
      </w:r>
      <w:r w:rsidR="00C03762">
        <w:rPr>
          <w:lang w:val="fr-CA"/>
        </w:rPr>
        <w:t>’</w:t>
      </w:r>
      <w:r w:rsidRPr="00393D65">
        <w:rPr>
          <w:lang w:val="fr-CA"/>
        </w:rPr>
        <w:t>appliquer en situation d</w:t>
      </w:r>
      <w:r w:rsidR="00C03762">
        <w:rPr>
          <w:lang w:val="fr-CA"/>
        </w:rPr>
        <w:t>’</w:t>
      </w:r>
      <w:r w:rsidRPr="00393D65">
        <w:rPr>
          <w:lang w:val="fr-CA"/>
        </w:rPr>
        <w:t>insolvabilité, il l</w:t>
      </w:r>
      <w:r w:rsidR="00C03762">
        <w:rPr>
          <w:lang w:val="fr-CA"/>
        </w:rPr>
        <w:t>’</w:t>
      </w:r>
      <w:r w:rsidRPr="00393D65">
        <w:rPr>
          <w:lang w:val="fr-CA"/>
        </w:rPr>
        <w:t xml:space="preserve">a indiqué de manière explicite et minutieuse.  Par exemple, le par. 18.3(2) de la </w:t>
      </w:r>
      <w:r w:rsidRPr="00393D65">
        <w:rPr>
          <w:i/>
          <w:lang w:val="fr-CA"/>
        </w:rPr>
        <w:t>LACC</w:t>
      </w:r>
      <w:r w:rsidRPr="00393D65">
        <w:rPr>
          <w:lang w:val="fr-CA"/>
        </w:rPr>
        <w:t xml:space="preserve"> et le par. 67(3) de la </w:t>
      </w:r>
      <w:r w:rsidRPr="00393D65">
        <w:rPr>
          <w:i/>
          <w:lang w:val="fr-CA"/>
        </w:rPr>
        <w:t>LFI</w:t>
      </w:r>
      <w:r w:rsidRPr="00393D65">
        <w:rPr>
          <w:lang w:val="fr-CA"/>
        </w:rPr>
        <w:t xml:space="preserve"> énoncent expressément que les fiducies réputées visant les retenues à la source continuent de produire leurs effets en cas d</w:t>
      </w:r>
      <w:r w:rsidR="00C03762">
        <w:rPr>
          <w:lang w:val="fr-CA"/>
        </w:rPr>
        <w:t>’</w:t>
      </w:r>
      <w:r w:rsidRPr="00393D65">
        <w:rPr>
          <w:lang w:val="fr-CA"/>
        </w:rPr>
        <w:t>insolvabilité.  Le législateur a donc clairement établi des exceptions à la règle générale selon laquelle les fiducies réputées n</w:t>
      </w:r>
      <w:r w:rsidR="00C03762">
        <w:rPr>
          <w:lang w:val="fr-CA"/>
        </w:rPr>
        <w:t>’</w:t>
      </w:r>
      <w:r w:rsidRPr="00393D65">
        <w:rPr>
          <w:lang w:val="fr-CA"/>
        </w:rPr>
        <w:t>ont plus d</w:t>
      </w:r>
      <w:r w:rsidR="00C03762">
        <w:rPr>
          <w:lang w:val="fr-CA"/>
        </w:rPr>
        <w:t>’</w:t>
      </w:r>
      <w:r w:rsidRPr="00393D65">
        <w:rPr>
          <w:lang w:val="fr-CA"/>
        </w:rPr>
        <w:t xml:space="preserve">effet dans un </w:t>
      </w:r>
      <w:r w:rsidRPr="00393D65">
        <w:rPr>
          <w:lang w:val="fr-CA"/>
        </w:rPr>
        <w:lastRenderedPageBreak/>
        <w:t>contexte d</w:t>
      </w:r>
      <w:r w:rsidR="00C03762">
        <w:rPr>
          <w:lang w:val="fr-CA"/>
        </w:rPr>
        <w:t>’</w:t>
      </w:r>
      <w:r w:rsidRPr="00393D65">
        <w:rPr>
          <w:lang w:val="fr-CA"/>
        </w:rPr>
        <w:t xml:space="preserve">insolvabilité.  La </w:t>
      </w:r>
      <w:r w:rsidRPr="00393D65">
        <w:rPr>
          <w:i/>
          <w:lang w:val="fr-CA"/>
        </w:rPr>
        <w:t>LACC</w:t>
      </w:r>
      <w:r w:rsidRPr="00393D65">
        <w:rPr>
          <w:lang w:val="fr-CA"/>
        </w:rPr>
        <w:t xml:space="preserve"> et la </w:t>
      </w:r>
      <w:r w:rsidRPr="00393D65">
        <w:rPr>
          <w:i/>
          <w:lang w:val="fr-CA"/>
        </w:rPr>
        <w:t>LFI</w:t>
      </w:r>
      <w:r w:rsidRPr="00393D65">
        <w:rPr>
          <w:lang w:val="fr-CA"/>
        </w:rPr>
        <w:t xml:space="preserve"> sont en harmonie : elles préservent les fiducies réputées et établissent la priorité de la Couronne seulement à l</w:t>
      </w:r>
      <w:r w:rsidR="00C03762">
        <w:rPr>
          <w:lang w:val="fr-CA"/>
        </w:rPr>
        <w:t>’</w:t>
      </w:r>
      <w:r w:rsidRPr="00393D65">
        <w:rPr>
          <w:lang w:val="fr-CA"/>
        </w:rPr>
        <w:t>égard des retenues à la source.  En revanche, il n</w:t>
      </w:r>
      <w:r w:rsidR="00C03762">
        <w:rPr>
          <w:lang w:val="fr-CA"/>
        </w:rPr>
        <w:t>’</w:t>
      </w:r>
      <w:r w:rsidRPr="00393D65">
        <w:rPr>
          <w:lang w:val="fr-CA"/>
        </w:rPr>
        <w:t>existe aucune disposition législative expresse permettant de conclure que les créances relatives à la TPS bénéficient d</w:t>
      </w:r>
      <w:r w:rsidR="00C03762">
        <w:rPr>
          <w:lang w:val="fr-CA"/>
        </w:rPr>
        <w:t>’</w:t>
      </w:r>
      <w:r w:rsidRPr="00393D65">
        <w:rPr>
          <w:lang w:val="fr-CA"/>
        </w:rPr>
        <w:t xml:space="preserve">un traitement préférentiel sous le régime de la </w:t>
      </w:r>
      <w:r w:rsidRPr="00393D65">
        <w:rPr>
          <w:i/>
          <w:lang w:val="fr-CA"/>
        </w:rPr>
        <w:t>LACC</w:t>
      </w:r>
      <w:r w:rsidRPr="00393D65">
        <w:rPr>
          <w:lang w:val="fr-CA"/>
        </w:rPr>
        <w:t xml:space="preserve"> ou de la </w:t>
      </w:r>
      <w:r w:rsidRPr="00393D65">
        <w:rPr>
          <w:i/>
          <w:lang w:val="fr-CA"/>
        </w:rPr>
        <w:t>LFI</w:t>
      </w:r>
      <w:r w:rsidRPr="00393D65">
        <w:rPr>
          <w:lang w:val="fr-CA"/>
        </w:rPr>
        <w:t>.  Alors que les retenues à la source font l</w:t>
      </w:r>
      <w:r w:rsidR="00C03762">
        <w:rPr>
          <w:lang w:val="fr-CA"/>
        </w:rPr>
        <w:t>’</w:t>
      </w:r>
      <w:r w:rsidRPr="00393D65">
        <w:rPr>
          <w:lang w:val="fr-CA"/>
        </w:rPr>
        <w:t>objet de dispositions explicites dans ces deux lois concernant l</w:t>
      </w:r>
      <w:r w:rsidR="00C03762">
        <w:rPr>
          <w:lang w:val="fr-CA"/>
        </w:rPr>
        <w:t>’</w:t>
      </w:r>
      <w:r w:rsidRPr="00393D65">
        <w:rPr>
          <w:lang w:val="fr-CA"/>
        </w:rPr>
        <w:t>insolvabilité, celles</w:t>
      </w:r>
      <w:r w:rsidRPr="00393D65">
        <w:rPr>
          <w:lang w:val="fr-CA"/>
        </w:rPr>
        <w:noBreakHyphen/>
        <w:t xml:space="preserve">ci ne comportent pas de dispositions claires et expresses analogues établissant une exception pour les créances relatives à la TPS. </w:t>
      </w:r>
    </w:p>
    <w:p w:rsidR="008C3D0D" w:rsidRPr="00393D65" w:rsidRDefault="008C3D0D" w:rsidP="008C3D0D">
      <w:pPr>
        <w:pStyle w:val="ListParagraph"/>
        <w:numPr>
          <w:ilvl w:val="0"/>
          <w:numId w:val="5"/>
        </w:numPr>
        <w:tabs>
          <w:tab w:val="left" w:pos="1170"/>
        </w:tabs>
        <w:spacing w:after="480" w:line="480" w:lineRule="auto"/>
        <w:ind w:left="0" w:firstLine="0"/>
        <w:jc w:val="both"/>
        <w:rPr>
          <w:lang w:val="fr-CA"/>
        </w:rPr>
      </w:pPr>
      <w:r w:rsidRPr="00393D65">
        <w:rPr>
          <w:lang w:val="fr-CA"/>
        </w:rPr>
        <w:t xml:space="preserve">La logique interne de la </w:t>
      </w:r>
      <w:r w:rsidRPr="00393D65">
        <w:rPr>
          <w:i/>
          <w:lang w:val="fr-CA"/>
        </w:rPr>
        <w:t>LACC</w:t>
      </w:r>
      <w:r w:rsidRPr="00393D65">
        <w:rPr>
          <w:lang w:val="fr-CA"/>
        </w:rPr>
        <w:t xml:space="preserve"> va également à l</w:t>
      </w:r>
      <w:r w:rsidR="00C03762">
        <w:rPr>
          <w:lang w:val="fr-CA"/>
        </w:rPr>
        <w:t>’</w:t>
      </w:r>
      <w:r w:rsidRPr="00393D65">
        <w:rPr>
          <w:lang w:val="fr-CA"/>
        </w:rPr>
        <w:t xml:space="preserve">encontre du maintien de la fiducie réputée établie dans la </w:t>
      </w:r>
      <w:r w:rsidRPr="00393D65">
        <w:rPr>
          <w:i/>
          <w:lang w:val="fr-CA"/>
        </w:rPr>
        <w:t>LTA</w:t>
      </w:r>
      <w:r w:rsidRPr="00393D65">
        <w:rPr>
          <w:lang w:val="fr-CA"/>
        </w:rPr>
        <w:t xml:space="preserve"> à l</w:t>
      </w:r>
      <w:r w:rsidR="00C03762">
        <w:rPr>
          <w:lang w:val="fr-CA"/>
        </w:rPr>
        <w:t>’</w:t>
      </w:r>
      <w:r w:rsidRPr="00393D65">
        <w:rPr>
          <w:lang w:val="fr-CA"/>
        </w:rPr>
        <w:t xml:space="preserve">égard de la TPS.  En effet, la </w:t>
      </w:r>
      <w:r w:rsidRPr="00393D65">
        <w:rPr>
          <w:i/>
          <w:lang w:val="fr-CA"/>
        </w:rPr>
        <w:t>LACC</w:t>
      </w:r>
      <w:r w:rsidRPr="00393D65">
        <w:rPr>
          <w:lang w:val="fr-CA"/>
        </w:rPr>
        <w:t xml:space="preserve"> impose certaines limites à la suspension par les tribunaux des droits de la Couronne à l</w:t>
      </w:r>
      <w:r w:rsidR="00C03762">
        <w:rPr>
          <w:lang w:val="fr-CA"/>
        </w:rPr>
        <w:t>’</w:t>
      </w:r>
      <w:r w:rsidRPr="00393D65">
        <w:rPr>
          <w:lang w:val="fr-CA"/>
        </w:rPr>
        <w:t xml:space="preserve">égard des retenues à la source, mais elle ne fait pas mention de la </w:t>
      </w:r>
      <w:r w:rsidRPr="00393D65">
        <w:rPr>
          <w:i/>
          <w:lang w:val="fr-CA"/>
        </w:rPr>
        <w:t>LTA</w:t>
      </w:r>
      <w:r w:rsidRPr="00393D65">
        <w:rPr>
          <w:lang w:val="fr-CA"/>
        </w:rPr>
        <w:t xml:space="preserve"> (art. 11.4).  Comme les fiducies réputées visant les retenues à la source sont explicitement protégées par la </w:t>
      </w:r>
      <w:r w:rsidRPr="00393D65">
        <w:rPr>
          <w:i/>
          <w:lang w:val="fr-CA"/>
        </w:rPr>
        <w:t>LACC</w:t>
      </w:r>
      <w:r w:rsidRPr="00393D65">
        <w:rPr>
          <w:lang w:val="fr-CA"/>
        </w:rPr>
        <w:t>, il serait incohérent d</w:t>
      </w:r>
      <w:r w:rsidR="00C03762">
        <w:rPr>
          <w:lang w:val="fr-CA"/>
        </w:rPr>
        <w:t>’</w:t>
      </w:r>
      <w:r w:rsidRPr="00393D65">
        <w:rPr>
          <w:lang w:val="fr-CA"/>
        </w:rPr>
        <w:t xml:space="preserve">accorder une meilleure protection à la fiducie réputée établie par la </w:t>
      </w:r>
      <w:r w:rsidRPr="00393D65">
        <w:rPr>
          <w:i/>
          <w:lang w:val="fr-CA"/>
        </w:rPr>
        <w:t>LTA</w:t>
      </w:r>
      <w:r w:rsidRPr="00393D65">
        <w:rPr>
          <w:lang w:val="fr-CA"/>
        </w:rPr>
        <w:t xml:space="preserve"> en l</w:t>
      </w:r>
      <w:r w:rsidR="00C03762">
        <w:rPr>
          <w:lang w:val="fr-CA"/>
        </w:rPr>
        <w:t>’</w:t>
      </w:r>
      <w:r w:rsidRPr="00393D65">
        <w:rPr>
          <w:lang w:val="fr-CA"/>
        </w:rPr>
        <w:t xml:space="preserve">absence de dispositions explicites en ce sens dans la </w:t>
      </w:r>
      <w:r w:rsidRPr="00393D65">
        <w:rPr>
          <w:i/>
          <w:lang w:val="fr-CA"/>
        </w:rPr>
        <w:t>LACC</w:t>
      </w:r>
      <w:r w:rsidRPr="00393D65">
        <w:rPr>
          <w:lang w:val="fr-CA"/>
        </w:rPr>
        <w:t xml:space="preserve">.  Par conséquent, il semble découler de la logique de la </w:t>
      </w:r>
      <w:r w:rsidRPr="00393D65">
        <w:rPr>
          <w:i/>
          <w:lang w:val="fr-CA"/>
        </w:rPr>
        <w:t>LACC</w:t>
      </w:r>
      <w:r w:rsidRPr="00393D65">
        <w:rPr>
          <w:lang w:val="fr-CA"/>
        </w:rPr>
        <w:t xml:space="preserve"> que la fiducie réputée établie par la </w:t>
      </w:r>
      <w:r w:rsidRPr="00393D65">
        <w:rPr>
          <w:i/>
          <w:lang w:val="fr-CA"/>
        </w:rPr>
        <w:t>LTA</w:t>
      </w:r>
      <w:r w:rsidRPr="00393D65">
        <w:rPr>
          <w:lang w:val="fr-CA"/>
        </w:rPr>
        <w:t xml:space="preserve"> est visée par la renonciation du législateur à sa priorité (art. 18.4).</w:t>
      </w:r>
    </w:p>
    <w:p w:rsidR="008C3D0D" w:rsidRPr="00393D65" w:rsidRDefault="008C3D0D" w:rsidP="008C3D0D">
      <w:pPr>
        <w:pStyle w:val="ListParagraph"/>
        <w:numPr>
          <w:ilvl w:val="0"/>
          <w:numId w:val="5"/>
        </w:numPr>
        <w:tabs>
          <w:tab w:val="left" w:pos="1170"/>
        </w:tabs>
        <w:spacing w:after="480" w:line="480" w:lineRule="auto"/>
        <w:ind w:left="0" w:firstLine="0"/>
        <w:jc w:val="both"/>
        <w:rPr>
          <w:lang w:val="fr-CA"/>
        </w:rPr>
      </w:pPr>
      <w:r w:rsidRPr="00393D65">
        <w:rPr>
          <w:lang w:val="fr-CA"/>
        </w:rPr>
        <w:t>De plus, il y aurait une étrange asymétrie si l</w:t>
      </w:r>
      <w:r w:rsidR="00C03762">
        <w:rPr>
          <w:lang w:val="fr-CA"/>
        </w:rPr>
        <w:t>’</w:t>
      </w:r>
      <w:r w:rsidRPr="00393D65">
        <w:rPr>
          <w:lang w:val="fr-CA"/>
        </w:rPr>
        <w:t xml:space="preserve">interprétation faisant primer la </w:t>
      </w:r>
      <w:r w:rsidRPr="00393D65">
        <w:rPr>
          <w:i/>
          <w:lang w:val="fr-CA"/>
        </w:rPr>
        <w:t>LTA</w:t>
      </w:r>
      <w:r w:rsidRPr="00393D65">
        <w:rPr>
          <w:lang w:val="fr-CA"/>
        </w:rPr>
        <w:t xml:space="preserve"> sur la </w:t>
      </w:r>
      <w:r w:rsidRPr="00393D65">
        <w:rPr>
          <w:i/>
          <w:lang w:val="fr-CA"/>
        </w:rPr>
        <w:t>LACC</w:t>
      </w:r>
      <w:r w:rsidRPr="00393D65">
        <w:rPr>
          <w:lang w:val="fr-CA"/>
        </w:rPr>
        <w:t xml:space="preserve"> préconisée par la Couronne était retenue en l</w:t>
      </w:r>
      <w:r w:rsidR="00C03762">
        <w:rPr>
          <w:lang w:val="fr-CA"/>
        </w:rPr>
        <w:t>’</w:t>
      </w:r>
      <w:r w:rsidRPr="00393D65">
        <w:rPr>
          <w:lang w:val="fr-CA"/>
        </w:rPr>
        <w:t xml:space="preserve">espèce : les créances de la Couronne relatives à la TPS conserveraient leur priorité de rang pendant les procédures fondées sur la </w:t>
      </w:r>
      <w:r w:rsidRPr="00393D65">
        <w:rPr>
          <w:i/>
          <w:lang w:val="fr-CA"/>
        </w:rPr>
        <w:t>LACC</w:t>
      </w:r>
      <w:r w:rsidRPr="00393D65">
        <w:rPr>
          <w:lang w:val="fr-CA"/>
        </w:rPr>
        <w:t xml:space="preserve">, mais pas en cas de faillite.  Comme </w:t>
      </w:r>
      <w:r w:rsidRPr="00393D65">
        <w:rPr>
          <w:lang w:val="fr-CA"/>
        </w:rPr>
        <w:lastRenderedPageBreak/>
        <w:t>certains tribunaux l</w:t>
      </w:r>
      <w:r w:rsidR="00C03762">
        <w:rPr>
          <w:lang w:val="fr-CA"/>
        </w:rPr>
        <w:t>’</w:t>
      </w:r>
      <w:r w:rsidRPr="00393D65">
        <w:rPr>
          <w:lang w:val="fr-CA"/>
        </w:rPr>
        <w:t>ont bien vu, cela ne pourrait qu</w:t>
      </w:r>
      <w:r w:rsidR="00C03762">
        <w:rPr>
          <w:lang w:val="fr-CA"/>
        </w:rPr>
        <w:t>’</w:t>
      </w:r>
      <w:r w:rsidRPr="00393D65">
        <w:rPr>
          <w:lang w:val="fr-CA"/>
        </w:rPr>
        <w:t>encourager les créanciers à recourir à la loi la plus favorable dans les cas où, comme en l</w:t>
      </w:r>
      <w:r w:rsidR="00C03762">
        <w:rPr>
          <w:lang w:val="fr-CA"/>
        </w:rPr>
        <w:t>’</w:t>
      </w:r>
      <w:r w:rsidRPr="00393D65">
        <w:rPr>
          <w:lang w:val="fr-CA"/>
        </w:rPr>
        <w:t>espèce, l</w:t>
      </w:r>
      <w:r w:rsidR="00C03762">
        <w:rPr>
          <w:lang w:val="fr-CA"/>
        </w:rPr>
        <w:t>’</w:t>
      </w:r>
      <w:r w:rsidRPr="00393D65">
        <w:rPr>
          <w:lang w:val="fr-CA"/>
        </w:rPr>
        <w:t>actif du débiteur n</w:t>
      </w:r>
      <w:r w:rsidR="00C03762">
        <w:rPr>
          <w:lang w:val="fr-CA"/>
        </w:rPr>
        <w:t>’</w:t>
      </w:r>
      <w:r w:rsidRPr="00393D65">
        <w:rPr>
          <w:lang w:val="fr-CA"/>
        </w:rPr>
        <w:t>est pas suffisant pour permettre à la fois le paiement des créanciers garantis et le paiement des créances de la Couronne (</w:t>
      </w:r>
      <w:r w:rsidRPr="00393D65">
        <w:rPr>
          <w:i/>
          <w:lang w:val="fr-CA"/>
        </w:rPr>
        <w:t>Gauntlet</w:t>
      </w:r>
      <w:r w:rsidRPr="00393D65">
        <w:rPr>
          <w:lang w:val="fr-CA"/>
        </w:rPr>
        <w:t xml:space="preserve">, par. 21).  Or, si les réclamations des créanciers étaient mieux protégées par la liquidation sous le régime de la </w:t>
      </w:r>
      <w:r w:rsidRPr="00393D65">
        <w:rPr>
          <w:i/>
          <w:lang w:val="fr-CA"/>
        </w:rPr>
        <w:t>LFI</w:t>
      </w:r>
      <w:r w:rsidRPr="00393D65">
        <w:rPr>
          <w:lang w:val="fr-CA"/>
        </w:rPr>
        <w:t xml:space="preserve">, les créanciers seraient très fortement incités à éviter les procédures prévues par la </w:t>
      </w:r>
      <w:r w:rsidRPr="00393D65">
        <w:rPr>
          <w:i/>
          <w:lang w:val="fr-CA"/>
        </w:rPr>
        <w:t>LACC</w:t>
      </w:r>
      <w:r w:rsidRPr="00393D65">
        <w:rPr>
          <w:lang w:val="fr-CA"/>
        </w:rPr>
        <w:t xml:space="preserve"> et les risques d</w:t>
      </w:r>
      <w:r w:rsidR="00C03762">
        <w:rPr>
          <w:lang w:val="fr-CA"/>
        </w:rPr>
        <w:t>’</w:t>
      </w:r>
      <w:r w:rsidRPr="00393D65">
        <w:rPr>
          <w:lang w:val="fr-CA"/>
        </w:rPr>
        <w:t>échec d</w:t>
      </w:r>
      <w:r w:rsidR="00C03762">
        <w:rPr>
          <w:lang w:val="fr-CA"/>
        </w:rPr>
        <w:t>’</w:t>
      </w:r>
      <w:r w:rsidRPr="00393D65">
        <w:rPr>
          <w:lang w:val="fr-CA"/>
        </w:rPr>
        <w:t>une réorganisation.  Le fait de donner à un acteur clé de telles raisons de s</w:t>
      </w:r>
      <w:r w:rsidR="00C03762">
        <w:rPr>
          <w:lang w:val="fr-CA"/>
        </w:rPr>
        <w:t>’</w:t>
      </w:r>
      <w:r w:rsidRPr="00393D65">
        <w:rPr>
          <w:lang w:val="fr-CA"/>
        </w:rPr>
        <w:t xml:space="preserve">opposer aux procédures de réorganisation fondées sur la </w:t>
      </w:r>
      <w:r w:rsidRPr="00393D65">
        <w:rPr>
          <w:i/>
          <w:lang w:val="fr-CA"/>
        </w:rPr>
        <w:t>LACC</w:t>
      </w:r>
      <w:r w:rsidRPr="00393D65">
        <w:rPr>
          <w:lang w:val="fr-CA"/>
        </w:rPr>
        <w:t xml:space="preserve"> dans toute situation d</w:t>
      </w:r>
      <w:r w:rsidR="00C03762">
        <w:rPr>
          <w:lang w:val="fr-CA"/>
        </w:rPr>
        <w:t>’</w:t>
      </w:r>
      <w:r w:rsidRPr="00393D65">
        <w:rPr>
          <w:lang w:val="fr-CA"/>
        </w:rPr>
        <w:t>insolvabilité ne peut que miner les objectifs réparateurs de ce texte législatif et risque au contraire de favoriser les maux sociaux que son édiction visait justement à prévenir.</w:t>
      </w:r>
    </w:p>
    <w:p w:rsidR="008C3D0D" w:rsidRPr="00393D65" w:rsidRDefault="008C3D0D" w:rsidP="008C3D0D">
      <w:pPr>
        <w:pStyle w:val="ListParagraph"/>
        <w:numPr>
          <w:ilvl w:val="0"/>
          <w:numId w:val="5"/>
        </w:numPr>
        <w:tabs>
          <w:tab w:val="left" w:pos="1170"/>
        </w:tabs>
        <w:spacing w:after="480" w:line="480" w:lineRule="auto"/>
        <w:ind w:left="0" w:firstLine="0"/>
        <w:jc w:val="both"/>
        <w:rPr>
          <w:lang w:val="fr-CA"/>
        </w:rPr>
      </w:pPr>
      <w:r w:rsidRPr="00393D65">
        <w:rPr>
          <w:lang w:val="fr-CA"/>
        </w:rPr>
        <w:t>Peut</w:t>
      </w:r>
      <w:r w:rsidRPr="00393D65">
        <w:rPr>
          <w:lang w:val="fr-CA"/>
        </w:rPr>
        <w:noBreakHyphen/>
        <w:t>être l</w:t>
      </w:r>
      <w:r w:rsidR="00C03762">
        <w:rPr>
          <w:lang w:val="fr-CA"/>
        </w:rPr>
        <w:t>’</w:t>
      </w:r>
      <w:r w:rsidRPr="00393D65">
        <w:rPr>
          <w:lang w:val="fr-CA"/>
        </w:rPr>
        <w:t>effet de l</w:t>
      </w:r>
      <w:r w:rsidR="00C03762">
        <w:rPr>
          <w:lang w:val="fr-CA"/>
        </w:rPr>
        <w:t>’</w:t>
      </w:r>
      <w:r w:rsidRPr="00393D65">
        <w:rPr>
          <w:lang w:val="fr-CA"/>
        </w:rPr>
        <w:t xml:space="preserve">arrêt </w:t>
      </w:r>
      <w:r w:rsidRPr="00393D65">
        <w:rPr>
          <w:i/>
          <w:lang w:val="fr-CA"/>
        </w:rPr>
        <w:t>Ottawa Senators</w:t>
      </w:r>
      <w:r w:rsidRPr="00393D65">
        <w:rPr>
          <w:lang w:val="fr-CA"/>
        </w:rPr>
        <w:t xml:space="preserve"> est</w:t>
      </w:r>
      <w:r w:rsidRPr="00393D65">
        <w:rPr>
          <w:lang w:val="fr-CA"/>
        </w:rPr>
        <w:noBreakHyphen/>
        <w:t xml:space="preserve">il atténué si la restructuration est tentée en vertu de la </w:t>
      </w:r>
      <w:r w:rsidRPr="00393D65">
        <w:rPr>
          <w:i/>
          <w:lang w:val="fr-CA"/>
        </w:rPr>
        <w:t>LFI</w:t>
      </w:r>
      <w:r w:rsidRPr="00393D65">
        <w:rPr>
          <w:lang w:val="fr-CA"/>
        </w:rPr>
        <w:t xml:space="preserve"> au lieu de la </w:t>
      </w:r>
      <w:r w:rsidRPr="00393D65">
        <w:rPr>
          <w:i/>
          <w:lang w:val="fr-CA"/>
        </w:rPr>
        <w:t>LACC</w:t>
      </w:r>
      <w:r w:rsidRPr="00393D65">
        <w:rPr>
          <w:lang w:val="fr-CA"/>
        </w:rPr>
        <w:t>, mais il subsiste néanmoins.  Si l</w:t>
      </w:r>
      <w:r w:rsidR="00C03762">
        <w:rPr>
          <w:lang w:val="fr-CA"/>
        </w:rPr>
        <w:t>’</w:t>
      </w:r>
      <w:r w:rsidRPr="00393D65">
        <w:rPr>
          <w:lang w:val="fr-CA"/>
        </w:rPr>
        <w:t xml:space="preserve">on suivait cet arrêt, la priorité de la créance de la Couronne relative à la TPS différerait selon le régime — </w:t>
      </w:r>
      <w:r w:rsidRPr="00393D65">
        <w:rPr>
          <w:i/>
          <w:lang w:val="fr-CA"/>
        </w:rPr>
        <w:t>LACC</w:t>
      </w:r>
      <w:r w:rsidRPr="00393D65">
        <w:rPr>
          <w:lang w:val="fr-CA"/>
        </w:rPr>
        <w:t xml:space="preserve"> ou </w:t>
      </w:r>
      <w:r w:rsidRPr="00393D65">
        <w:rPr>
          <w:i/>
          <w:lang w:val="fr-CA"/>
        </w:rPr>
        <w:t>LFI</w:t>
      </w:r>
      <w:r w:rsidRPr="00393D65">
        <w:rPr>
          <w:lang w:val="fr-CA"/>
        </w:rPr>
        <w:t xml:space="preserve"> — sous lequel la restructuration a lieu.  L</w:t>
      </w:r>
      <w:r w:rsidR="00C03762">
        <w:rPr>
          <w:lang w:val="fr-CA"/>
        </w:rPr>
        <w:t>’</w:t>
      </w:r>
      <w:r w:rsidRPr="00393D65">
        <w:rPr>
          <w:lang w:val="fr-CA"/>
        </w:rPr>
        <w:t xml:space="preserve">anomalie de ce résultat ressort clairement du fait que les compagnies seraient ainsi privées de la possibilité de se restructurer sous le régime plus souple et mieux adapté de la </w:t>
      </w:r>
      <w:r w:rsidRPr="00393D65">
        <w:rPr>
          <w:i/>
          <w:lang w:val="fr-CA"/>
        </w:rPr>
        <w:t>LACC</w:t>
      </w:r>
      <w:r w:rsidRPr="00393D65">
        <w:rPr>
          <w:lang w:val="fr-CA"/>
        </w:rPr>
        <w:t>, régime privilégié en cas de réorganisations complexes.</w:t>
      </w:r>
    </w:p>
    <w:p w:rsidR="008C3D0D" w:rsidRPr="00393D65" w:rsidRDefault="008C3D0D" w:rsidP="008C3D0D">
      <w:pPr>
        <w:pStyle w:val="ListParagraph"/>
        <w:numPr>
          <w:ilvl w:val="0"/>
          <w:numId w:val="5"/>
        </w:numPr>
        <w:tabs>
          <w:tab w:val="left" w:pos="1170"/>
        </w:tabs>
        <w:spacing w:after="480" w:line="480" w:lineRule="auto"/>
        <w:ind w:left="0" w:firstLine="0"/>
        <w:jc w:val="both"/>
        <w:rPr>
          <w:lang w:val="fr-CA"/>
        </w:rPr>
      </w:pPr>
      <w:r w:rsidRPr="00393D65">
        <w:rPr>
          <w:lang w:val="fr-CA"/>
        </w:rPr>
        <w:t xml:space="preserve">Les indications selon lesquelles le législateur voulait que les créances relatives à la TPS soient traitées différemment dans les cas de réorganisations et de faillites sont rares, voire inexistantes.  Le paragraphe 222(3) de la </w:t>
      </w:r>
      <w:r w:rsidRPr="00393D65">
        <w:rPr>
          <w:i/>
          <w:lang w:val="fr-CA"/>
        </w:rPr>
        <w:t>LTA</w:t>
      </w:r>
      <w:r w:rsidRPr="00393D65">
        <w:rPr>
          <w:lang w:val="fr-CA"/>
        </w:rPr>
        <w:t xml:space="preserve"> a été adopté </w:t>
      </w:r>
      <w:r w:rsidRPr="00393D65">
        <w:rPr>
          <w:lang w:val="fr-CA"/>
        </w:rPr>
        <w:lastRenderedPageBreak/>
        <w:t>dans le cadre d</w:t>
      </w:r>
      <w:r w:rsidR="00C03762">
        <w:rPr>
          <w:lang w:val="fr-CA"/>
        </w:rPr>
        <w:t>’</w:t>
      </w:r>
      <w:r w:rsidRPr="00393D65">
        <w:rPr>
          <w:lang w:val="fr-CA"/>
        </w:rPr>
        <w:t>un projet de loi d</w:t>
      </w:r>
      <w:r w:rsidR="00C03762">
        <w:rPr>
          <w:lang w:val="fr-CA"/>
        </w:rPr>
        <w:t>’</w:t>
      </w:r>
      <w:r w:rsidRPr="00393D65">
        <w:rPr>
          <w:lang w:val="fr-CA"/>
        </w:rPr>
        <w:t>exécution du budget de nature générale en 2000.  Le sommaire accompagnant ce projet de loi n</w:t>
      </w:r>
      <w:r w:rsidR="00C03762">
        <w:rPr>
          <w:lang w:val="fr-CA"/>
        </w:rPr>
        <w:t>’</w:t>
      </w:r>
      <w:r w:rsidRPr="00393D65">
        <w:rPr>
          <w:lang w:val="fr-CA"/>
        </w:rPr>
        <w:t xml:space="preserve">indique pas que, dans le cadre de la </w:t>
      </w:r>
      <w:r w:rsidRPr="00393D65">
        <w:rPr>
          <w:i/>
          <w:lang w:val="fr-CA"/>
        </w:rPr>
        <w:t>LACC</w:t>
      </w:r>
      <w:r w:rsidRPr="00393D65">
        <w:rPr>
          <w:lang w:val="fr-CA"/>
        </w:rPr>
        <w:t>, le législateur entendait élever la priorité de la créance de la Couronne à l</w:t>
      </w:r>
      <w:r w:rsidR="00C03762">
        <w:rPr>
          <w:lang w:val="fr-CA"/>
        </w:rPr>
        <w:t>’</w:t>
      </w:r>
      <w:r w:rsidRPr="00393D65">
        <w:rPr>
          <w:lang w:val="fr-CA"/>
        </w:rPr>
        <w:t>égard de la TPS au même rang que les créances relatives aux retenues à la source ou encore à un rang supérieur à celles</w:t>
      </w:r>
      <w:r w:rsidRPr="00393D65">
        <w:rPr>
          <w:lang w:val="fr-CA"/>
        </w:rPr>
        <w:noBreakHyphen/>
        <w:t>ci.  En fait, le sommaire mentionne simplement, en ce qui concerne les fiducies réputées, que les modifications apportées aux dispositions existantes visent à « faire en sorte que les cotisations à l</w:t>
      </w:r>
      <w:r w:rsidR="00C03762">
        <w:rPr>
          <w:lang w:val="fr-CA"/>
        </w:rPr>
        <w:t>’</w:t>
      </w:r>
      <w:r w:rsidRPr="00393D65">
        <w:rPr>
          <w:lang w:val="fr-CA"/>
        </w:rPr>
        <w:t>assurance</w:t>
      </w:r>
      <w:r w:rsidRPr="00393D65">
        <w:rPr>
          <w:lang w:val="fr-CA"/>
        </w:rPr>
        <w:noBreakHyphen/>
        <w:t>emploi et au Régime de pensions du Canada qu</w:t>
      </w:r>
      <w:r w:rsidR="00C03762">
        <w:rPr>
          <w:lang w:val="fr-CA"/>
        </w:rPr>
        <w:t>’</w:t>
      </w:r>
      <w:r w:rsidRPr="00393D65">
        <w:rPr>
          <w:lang w:val="fr-CA"/>
        </w:rPr>
        <w:t>un employeur est tenu de verser soient pleinement recouvrables par la Couronne en cas de faillite de l</w:t>
      </w:r>
      <w:r w:rsidR="00C03762">
        <w:rPr>
          <w:lang w:val="fr-CA"/>
        </w:rPr>
        <w:t>’</w:t>
      </w:r>
      <w:r w:rsidR="00592DE5">
        <w:rPr>
          <w:lang w:val="fr-CA"/>
        </w:rPr>
        <w:t>employeur » (Sommaire de la</w:t>
      </w:r>
      <w:r w:rsidRPr="00393D65">
        <w:rPr>
          <w:lang w:val="fr-CA"/>
        </w:rPr>
        <w:t xml:space="preserve"> L.C. 2000, ch. 30, p. 4a).  Le libellé de la disposition créant une fiducie réputée à l</w:t>
      </w:r>
      <w:r w:rsidR="00C03762">
        <w:rPr>
          <w:lang w:val="fr-CA"/>
        </w:rPr>
        <w:t>’</w:t>
      </w:r>
      <w:r w:rsidRPr="00393D65">
        <w:rPr>
          <w:lang w:val="fr-CA"/>
        </w:rPr>
        <w:t xml:space="preserve">égard de la TPS ressemble à celui des dispositions créant de telles fiducies relatives aux retenues à la source et il comporte la même formule dérogatoire et la même mention de la </w:t>
      </w:r>
      <w:r w:rsidRPr="00393D65">
        <w:rPr>
          <w:i/>
          <w:lang w:val="fr-CA"/>
        </w:rPr>
        <w:t>LFI</w:t>
      </w:r>
      <w:r w:rsidRPr="00393D65">
        <w:rPr>
          <w:lang w:val="fr-CA"/>
        </w:rPr>
        <w:t xml:space="preserve">.  Cependant, comme il a été souligné précédemment, le législateur a expressément précisé que seules les fiducies réputées visant les retenues à la source demeurent en vigueur.  Une exception concernant la </w:t>
      </w:r>
      <w:r w:rsidRPr="00393D65">
        <w:rPr>
          <w:i/>
          <w:lang w:val="fr-CA"/>
        </w:rPr>
        <w:t>LFI</w:t>
      </w:r>
      <w:r w:rsidRPr="00393D65">
        <w:rPr>
          <w:lang w:val="fr-CA"/>
        </w:rPr>
        <w:t xml:space="preserve"> dans la disposition créant les fiducies réputées à l</w:t>
      </w:r>
      <w:r w:rsidR="00C03762">
        <w:rPr>
          <w:lang w:val="fr-CA"/>
        </w:rPr>
        <w:t>’</w:t>
      </w:r>
      <w:r w:rsidRPr="00393D65">
        <w:rPr>
          <w:lang w:val="fr-CA"/>
        </w:rPr>
        <w:t xml:space="preserve">égard des retenues à la source est sans grande conséquence, car le texte explicite de la </w:t>
      </w:r>
      <w:r w:rsidRPr="00393D65">
        <w:rPr>
          <w:i/>
          <w:lang w:val="fr-CA"/>
        </w:rPr>
        <w:t>LFI</w:t>
      </w:r>
      <w:r w:rsidRPr="00393D65">
        <w:rPr>
          <w:lang w:val="fr-CA"/>
        </w:rPr>
        <w:t xml:space="preserve"> elle</w:t>
      </w:r>
      <w:r w:rsidRPr="00393D65">
        <w:rPr>
          <w:lang w:val="fr-CA"/>
        </w:rPr>
        <w:noBreakHyphen/>
        <w:t xml:space="preserve">même (et celui de la </w:t>
      </w:r>
      <w:r w:rsidRPr="00393D65">
        <w:rPr>
          <w:i/>
          <w:lang w:val="fr-CA"/>
        </w:rPr>
        <w:t>LACC</w:t>
      </w:r>
      <w:r w:rsidRPr="00393D65">
        <w:rPr>
          <w:lang w:val="fr-CA"/>
        </w:rPr>
        <w:t xml:space="preserve">) établit ces fiducies et maintient leur effet.  Il convient toutefois de souligner que ni la </w:t>
      </w:r>
      <w:r w:rsidRPr="00393D65">
        <w:rPr>
          <w:i/>
          <w:lang w:val="fr-CA"/>
        </w:rPr>
        <w:t>LFI</w:t>
      </w:r>
      <w:r w:rsidRPr="00393D65">
        <w:rPr>
          <w:lang w:val="fr-CA"/>
        </w:rPr>
        <w:t xml:space="preserve"> ni la </w:t>
      </w:r>
      <w:r w:rsidRPr="00393D65">
        <w:rPr>
          <w:i/>
          <w:lang w:val="fr-CA"/>
        </w:rPr>
        <w:t>LACC</w:t>
      </w:r>
      <w:r w:rsidRPr="00393D65">
        <w:rPr>
          <w:lang w:val="fr-CA"/>
        </w:rPr>
        <w:t xml:space="preserve"> ne comportent de disposition équivalente assurant le maintien en vigueur des fiducies réputées visant la TPS.</w:t>
      </w:r>
    </w:p>
    <w:p w:rsidR="008C3D0D" w:rsidRPr="00393D65" w:rsidRDefault="008C3D0D" w:rsidP="008C3D0D">
      <w:pPr>
        <w:pStyle w:val="ListParagraph"/>
        <w:numPr>
          <w:ilvl w:val="0"/>
          <w:numId w:val="5"/>
        </w:numPr>
        <w:tabs>
          <w:tab w:val="left" w:pos="1170"/>
        </w:tabs>
        <w:spacing w:after="480" w:line="480" w:lineRule="auto"/>
        <w:ind w:left="0" w:firstLine="0"/>
        <w:jc w:val="both"/>
        <w:rPr>
          <w:lang w:val="fr-CA"/>
        </w:rPr>
      </w:pPr>
      <w:r w:rsidRPr="00393D65">
        <w:rPr>
          <w:lang w:val="fr-CA"/>
        </w:rPr>
        <w:t>Il semble plus probable qu</w:t>
      </w:r>
      <w:r w:rsidR="00C03762">
        <w:rPr>
          <w:lang w:val="fr-CA"/>
        </w:rPr>
        <w:t>’</w:t>
      </w:r>
      <w:r w:rsidRPr="00393D65">
        <w:rPr>
          <w:lang w:val="fr-CA"/>
        </w:rPr>
        <w:t xml:space="preserve">en adoptant, pour créer dans la </w:t>
      </w:r>
      <w:r w:rsidRPr="00393D65">
        <w:rPr>
          <w:i/>
          <w:lang w:val="fr-CA"/>
        </w:rPr>
        <w:t>LTA</w:t>
      </w:r>
      <w:r w:rsidRPr="00393D65">
        <w:rPr>
          <w:lang w:val="fr-CA"/>
        </w:rPr>
        <w:t xml:space="preserve"> les fiducies réputées visant la TPS, le même libellé que celui utilisé pour les fiducies </w:t>
      </w:r>
      <w:r w:rsidRPr="00393D65">
        <w:rPr>
          <w:lang w:val="fr-CA"/>
        </w:rPr>
        <w:lastRenderedPageBreak/>
        <w:t>réputées visant les retenues à la source, et en omettant d</w:t>
      </w:r>
      <w:r w:rsidR="00C03762">
        <w:rPr>
          <w:lang w:val="fr-CA"/>
        </w:rPr>
        <w:t>’</w:t>
      </w:r>
      <w:r w:rsidRPr="00393D65">
        <w:rPr>
          <w:lang w:val="fr-CA"/>
        </w:rPr>
        <w:t xml:space="preserve">inclure au par. 222(3) de la </w:t>
      </w:r>
      <w:r w:rsidRPr="00393D65">
        <w:rPr>
          <w:i/>
          <w:lang w:val="fr-CA"/>
        </w:rPr>
        <w:t>LTA</w:t>
      </w:r>
      <w:r w:rsidRPr="00393D65">
        <w:rPr>
          <w:lang w:val="fr-CA"/>
        </w:rPr>
        <w:t xml:space="preserve"> une exception à l</w:t>
      </w:r>
      <w:r w:rsidR="00C03762">
        <w:rPr>
          <w:lang w:val="fr-CA"/>
        </w:rPr>
        <w:t>’</w:t>
      </w:r>
      <w:r w:rsidRPr="00393D65">
        <w:rPr>
          <w:lang w:val="fr-CA"/>
        </w:rPr>
        <w:t xml:space="preserve">égard de la </w:t>
      </w:r>
      <w:r w:rsidRPr="00393D65">
        <w:rPr>
          <w:i/>
          <w:lang w:val="fr-CA"/>
        </w:rPr>
        <w:t>LACC</w:t>
      </w:r>
      <w:r w:rsidRPr="00393D65">
        <w:rPr>
          <w:lang w:val="fr-CA"/>
        </w:rPr>
        <w:t xml:space="preserve"> en plus de celle établie pour la </w:t>
      </w:r>
      <w:r w:rsidRPr="00393D65">
        <w:rPr>
          <w:i/>
          <w:lang w:val="fr-CA"/>
        </w:rPr>
        <w:t>LFI</w:t>
      </w:r>
      <w:r w:rsidRPr="00393D65">
        <w:rPr>
          <w:lang w:val="fr-CA"/>
        </w:rPr>
        <w:t>, le législateur ait par inadvertance commis une anomalie rédactionnelle.  En raison d</w:t>
      </w:r>
      <w:r w:rsidR="00C03762">
        <w:rPr>
          <w:lang w:val="fr-CA"/>
        </w:rPr>
        <w:t>’</w:t>
      </w:r>
      <w:r w:rsidRPr="00393D65">
        <w:rPr>
          <w:lang w:val="fr-CA"/>
        </w:rPr>
        <w:t xml:space="preserve">une lacune législative dans la </w:t>
      </w:r>
      <w:r w:rsidRPr="00393D65">
        <w:rPr>
          <w:i/>
          <w:lang w:val="fr-CA"/>
        </w:rPr>
        <w:t>LTA</w:t>
      </w:r>
      <w:r w:rsidRPr="00393D65">
        <w:rPr>
          <w:lang w:val="fr-CA"/>
        </w:rPr>
        <w:t xml:space="preserve">, il serait possible de considérer que la fiducie réputée visant la TPS continue de produire ses effets dans le cadre de la </w:t>
      </w:r>
      <w:r w:rsidRPr="00393D65">
        <w:rPr>
          <w:i/>
          <w:lang w:val="fr-CA"/>
        </w:rPr>
        <w:t>LACC</w:t>
      </w:r>
      <w:r w:rsidRPr="00393D65">
        <w:rPr>
          <w:lang w:val="fr-CA"/>
        </w:rPr>
        <w:t xml:space="preserve">, tout en cessant de le faire dans le cas de la </w:t>
      </w:r>
      <w:r w:rsidRPr="00393D65">
        <w:rPr>
          <w:i/>
          <w:lang w:val="fr-CA"/>
        </w:rPr>
        <w:t>LFI</w:t>
      </w:r>
      <w:r w:rsidRPr="00393D65">
        <w:rPr>
          <w:lang w:val="fr-CA"/>
        </w:rPr>
        <w:t xml:space="preserve">, ce qui entraînerait un conflit apparent avec le libellé de la </w:t>
      </w:r>
      <w:r w:rsidRPr="00393D65">
        <w:rPr>
          <w:i/>
          <w:lang w:val="fr-CA"/>
        </w:rPr>
        <w:t>LACC</w:t>
      </w:r>
      <w:r w:rsidRPr="00393D65">
        <w:rPr>
          <w:lang w:val="fr-CA"/>
        </w:rPr>
        <w:t>.  Il faut cependant voir ce conflit comme il est : un conflit apparent seulement, que l</w:t>
      </w:r>
      <w:r w:rsidR="00C03762">
        <w:rPr>
          <w:lang w:val="fr-CA"/>
        </w:rPr>
        <w:t>’</w:t>
      </w:r>
      <w:r w:rsidRPr="00393D65">
        <w:rPr>
          <w:lang w:val="fr-CA"/>
        </w:rPr>
        <w:t>on peut résoudre en considérant l</w:t>
      </w:r>
      <w:r w:rsidR="00C03762">
        <w:rPr>
          <w:lang w:val="fr-CA"/>
        </w:rPr>
        <w:t>’</w:t>
      </w:r>
      <w:r w:rsidRPr="00393D65">
        <w:rPr>
          <w:lang w:val="fr-CA"/>
        </w:rPr>
        <w:t>approche générale adoptée envers les créances prioritaires de la Couronne et en donnant préséance au texte de l</w:t>
      </w:r>
      <w:r w:rsidR="00C03762">
        <w:rPr>
          <w:lang w:val="fr-CA"/>
        </w:rPr>
        <w:t>’</w:t>
      </w:r>
      <w:r w:rsidRPr="00393D65">
        <w:rPr>
          <w:lang w:val="fr-CA"/>
        </w:rPr>
        <w:t xml:space="preserve">art. 18.3 de la </w:t>
      </w:r>
      <w:r w:rsidRPr="00393D65">
        <w:rPr>
          <w:i/>
          <w:lang w:val="fr-CA"/>
        </w:rPr>
        <w:t>LACC</w:t>
      </w:r>
      <w:r w:rsidRPr="00393D65">
        <w:rPr>
          <w:lang w:val="fr-CA"/>
        </w:rPr>
        <w:t xml:space="preserve"> d</w:t>
      </w:r>
      <w:r w:rsidR="00C03762">
        <w:rPr>
          <w:lang w:val="fr-CA"/>
        </w:rPr>
        <w:t>’</w:t>
      </w:r>
      <w:r w:rsidRPr="00393D65">
        <w:rPr>
          <w:lang w:val="fr-CA"/>
        </w:rPr>
        <w:t xml:space="preserve">une manière qui ne produit pas un résultat insolite. </w:t>
      </w:r>
    </w:p>
    <w:p w:rsidR="008C3D0D" w:rsidRPr="00393D65" w:rsidRDefault="008C3D0D" w:rsidP="008C3D0D">
      <w:pPr>
        <w:pStyle w:val="ListParagraph"/>
        <w:numPr>
          <w:ilvl w:val="0"/>
          <w:numId w:val="5"/>
        </w:numPr>
        <w:tabs>
          <w:tab w:val="left" w:pos="1170"/>
        </w:tabs>
        <w:spacing w:after="480" w:line="480" w:lineRule="auto"/>
        <w:ind w:left="0" w:firstLine="0"/>
        <w:jc w:val="both"/>
        <w:rPr>
          <w:lang w:val="fr-CA"/>
        </w:rPr>
      </w:pPr>
      <w:r w:rsidRPr="00393D65">
        <w:rPr>
          <w:lang w:val="fr-CA"/>
        </w:rPr>
        <w:t xml:space="preserve">Le paragraphe 222(3) de la </w:t>
      </w:r>
      <w:r w:rsidRPr="00393D65">
        <w:rPr>
          <w:i/>
          <w:lang w:val="fr-CA"/>
        </w:rPr>
        <w:t>LTA</w:t>
      </w:r>
      <w:r w:rsidRPr="00393D65">
        <w:rPr>
          <w:lang w:val="fr-CA"/>
        </w:rPr>
        <w:t xml:space="preserve"> ne révèle aucune intention explicite du législateur d</w:t>
      </w:r>
      <w:r w:rsidR="00C03762">
        <w:rPr>
          <w:lang w:val="fr-CA"/>
        </w:rPr>
        <w:t>’</w:t>
      </w:r>
      <w:r w:rsidRPr="00393D65">
        <w:rPr>
          <w:lang w:val="fr-CA"/>
        </w:rPr>
        <w:t>abroger l</w:t>
      </w:r>
      <w:r w:rsidR="00C03762">
        <w:rPr>
          <w:lang w:val="fr-CA"/>
        </w:rPr>
        <w:t>’</w:t>
      </w:r>
      <w:r w:rsidRPr="00393D65">
        <w:rPr>
          <w:lang w:val="fr-CA"/>
        </w:rPr>
        <w:t xml:space="preserve">art. 18.3 de la </w:t>
      </w:r>
      <w:r w:rsidRPr="00393D65">
        <w:rPr>
          <w:i/>
          <w:lang w:val="fr-CA"/>
        </w:rPr>
        <w:t>LACC</w:t>
      </w:r>
      <w:r w:rsidRPr="00393D65">
        <w:rPr>
          <w:lang w:val="fr-CA"/>
        </w:rPr>
        <w:t>.  Il crée simplement un conflit apparent qui doit être résolu par voie d</w:t>
      </w:r>
      <w:r w:rsidR="00C03762">
        <w:rPr>
          <w:lang w:val="fr-CA"/>
        </w:rPr>
        <w:t>’</w:t>
      </w:r>
      <w:r w:rsidRPr="00393D65">
        <w:rPr>
          <w:lang w:val="fr-CA"/>
        </w:rPr>
        <w:t>interprétation législative.  L</w:t>
      </w:r>
      <w:r w:rsidR="00C03762">
        <w:rPr>
          <w:lang w:val="fr-CA"/>
        </w:rPr>
        <w:t>’</w:t>
      </w:r>
      <w:r w:rsidRPr="00393D65">
        <w:rPr>
          <w:lang w:val="fr-CA"/>
        </w:rPr>
        <w:t>intention du législateur était donc loin d</w:t>
      </w:r>
      <w:r w:rsidR="00C03762">
        <w:rPr>
          <w:lang w:val="fr-CA"/>
        </w:rPr>
        <w:t>’</w:t>
      </w:r>
      <w:r w:rsidRPr="00393D65">
        <w:rPr>
          <w:lang w:val="fr-CA"/>
        </w:rPr>
        <w:t>être dépourvue d</w:t>
      </w:r>
      <w:r w:rsidR="00C03762">
        <w:rPr>
          <w:lang w:val="fr-CA"/>
        </w:rPr>
        <w:t>’</w:t>
      </w:r>
      <w:r w:rsidRPr="00393D65">
        <w:rPr>
          <w:lang w:val="fr-CA"/>
        </w:rPr>
        <w:t xml:space="preserve">ambiguïté quand il a adopté le par. 222(3) de la </w:t>
      </w:r>
      <w:r w:rsidRPr="00393D65">
        <w:rPr>
          <w:i/>
          <w:lang w:val="fr-CA"/>
        </w:rPr>
        <w:t>LTA</w:t>
      </w:r>
      <w:r w:rsidRPr="00393D65">
        <w:rPr>
          <w:lang w:val="fr-CA"/>
        </w:rPr>
        <w:t>.  S</w:t>
      </w:r>
      <w:r w:rsidR="00C03762">
        <w:rPr>
          <w:lang w:val="fr-CA"/>
        </w:rPr>
        <w:t>’</w:t>
      </w:r>
      <w:r w:rsidRPr="00393D65">
        <w:rPr>
          <w:lang w:val="fr-CA"/>
        </w:rPr>
        <w:t xml:space="preserve">il avait voulu donner priorité aux créances de la Couronne relatives à la TPS dans le cadre de la </w:t>
      </w:r>
      <w:r w:rsidRPr="00393D65">
        <w:rPr>
          <w:i/>
          <w:lang w:val="fr-CA"/>
        </w:rPr>
        <w:t>LACC</w:t>
      </w:r>
      <w:r w:rsidRPr="00393D65">
        <w:rPr>
          <w:lang w:val="fr-CA"/>
        </w:rPr>
        <w:t>, il aurait pu le faire de manière aussi explicite qu</w:t>
      </w:r>
      <w:r w:rsidR="00C03762">
        <w:rPr>
          <w:lang w:val="fr-CA"/>
        </w:rPr>
        <w:t>’</w:t>
      </w:r>
      <w:r w:rsidRPr="00393D65">
        <w:rPr>
          <w:lang w:val="fr-CA"/>
        </w:rPr>
        <w:t>il l</w:t>
      </w:r>
      <w:r w:rsidR="00C03762">
        <w:rPr>
          <w:lang w:val="fr-CA"/>
        </w:rPr>
        <w:t>’</w:t>
      </w:r>
      <w:r w:rsidRPr="00393D65">
        <w:rPr>
          <w:lang w:val="fr-CA"/>
        </w:rPr>
        <w:t xml:space="preserve">a fait pour les retenues à la source.  Or, au lieu de cela, on se trouve réduit à inférer du texte du par. 222(3) de la </w:t>
      </w:r>
      <w:r w:rsidRPr="00393D65">
        <w:rPr>
          <w:i/>
          <w:lang w:val="fr-CA"/>
        </w:rPr>
        <w:t>LTA</w:t>
      </w:r>
      <w:r w:rsidRPr="00393D65">
        <w:rPr>
          <w:lang w:val="fr-CA"/>
        </w:rPr>
        <w:t xml:space="preserve"> que le législateur entendait que la fiducie réputée visant la TPS produise ses effets dans les procédures fondées sur la </w:t>
      </w:r>
      <w:r w:rsidRPr="00393D65">
        <w:rPr>
          <w:i/>
          <w:lang w:val="fr-CA"/>
        </w:rPr>
        <w:t>LACC</w:t>
      </w:r>
      <w:r w:rsidRPr="00393D65">
        <w:rPr>
          <w:lang w:val="fr-CA"/>
        </w:rPr>
        <w:t>.</w:t>
      </w:r>
    </w:p>
    <w:p w:rsidR="008C3D0D" w:rsidRPr="00393D65" w:rsidRDefault="008C3D0D" w:rsidP="008C3D0D">
      <w:pPr>
        <w:pStyle w:val="ListParagraph"/>
        <w:numPr>
          <w:ilvl w:val="0"/>
          <w:numId w:val="5"/>
        </w:numPr>
        <w:tabs>
          <w:tab w:val="left" w:pos="1170"/>
        </w:tabs>
        <w:spacing w:after="480" w:line="480" w:lineRule="auto"/>
        <w:ind w:left="0" w:firstLine="0"/>
        <w:jc w:val="both"/>
        <w:rPr>
          <w:lang w:val="fr-CA"/>
        </w:rPr>
      </w:pPr>
      <w:r w:rsidRPr="00393D65">
        <w:rPr>
          <w:lang w:val="fr-CA"/>
        </w:rPr>
        <w:t xml:space="preserve">Je ne suis pas convaincue que le raisonnement adopté dans </w:t>
      </w:r>
      <w:r w:rsidRPr="00393D65">
        <w:rPr>
          <w:i/>
          <w:lang w:val="fr-CA"/>
        </w:rPr>
        <w:t>Doré</w:t>
      </w:r>
      <w:r w:rsidRPr="00393D65">
        <w:rPr>
          <w:lang w:val="fr-CA"/>
        </w:rPr>
        <w:t xml:space="preserve"> exige l</w:t>
      </w:r>
      <w:r w:rsidR="00C03762">
        <w:rPr>
          <w:lang w:val="fr-CA"/>
        </w:rPr>
        <w:t>’</w:t>
      </w:r>
      <w:r w:rsidRPr="00393D65">
        <w:rPr>
          <w:lang w:val="fr-CA"/>
        </w:rPr>
        <w:t>application de la doctrine de l</w:t>
      </w:r>
      <w:r w:rsidR="00C03762">
        <w:rPr>
          <w:lang w:val="fr-CA"/>
        </w:rPr>
        <w:t>’</w:t>
      </w:r>
      <w:r w:rsidRPr="00393D65">
        <w:rPr>
          <w:lang w:val="fr-CA"/>
        </w:rPr>
        <w:t xml:space="preserve">abrogation implicite dans les circonstances de la </w:t>
      </w:r>
      <w:r w:rsidRPr="00393D65">
        <w:rPr>
          <w:lang w:val="fr-CA"/>
        </w:rPr>
        <w:lastRenderedPageBreak/>
        <w:t xml:space="preserve">présente affaire.  La question principale dans </w:t>
      </w:r>
      <w:r w:rsidRPr="00393D65">
        <w:rPr>
          <w:i/>
          <w:lang w:val="fr-CA"/>
        </w:rPr>
        <w:t>Doré</w:t>
      </w:r>
      <w:r w:rsidRPr="00393D65">
        <w:rPr>
          <w:lang w:val="fr-CA"/>
        </w:rPr>
        <w:t xml:space="preserve"> était celle de l</w:t>
      </w:r>
      <w:r w:rsidR="00C03762">
        <w:rPr>
          <w:lang w:val="fr-CA"/>
        </w:rPr>
        <w:t>’</w:t>
      </w:r>
      <w:r w:rsidRPr="00393D65">
        <w:rPr>
          <w:lang w:val="fr-CA"/>
        </w:rPr>
        <w:t>impact de l</w:t>
      </w:r>
      <w:r w:rsidR="00C03762">
        <w:rPr>
          <w:lang w:val="fr-CA"/>
        </w:rPr>
        <w:t>’</w:t>
      </w:r>
      <w:r w:rsidRPr="00393D65">
        <w:rPr>
          <w:lang w:val="fr-CA"/>
        </w:rPr>
        <w:t xml:space="preserve">adoption du </w:t>
      </w:r>
      <w:r w:rsidRPr="00393D65">
        <w:rPr>
          <w:i/>
          <w:lang w:val="fr-CA"/>
        </w:rPr>
        <w:t xml:space="preserve">C.c.Q. </w:t>
      </w:r>
      <w:r w:rsidRPr="00393D65">
        <w:rPr>
          <w:lang w:val="fr-CA"/>
        </w:rPr>
        <w:t>sur les règles de droit administratif relatives aux municipalités.  Bien que le juge Gonthier ait conclu, dans cet arrêt, que le délai de prescription établi à l</w:t>
      </w:r>
      <w:r w:rsidR="00C03762">
        <w:rPr>
          <w:lang w:val="fr-CA"/>
        </w:rPr>
        <w:t>’</w:t>
      </w:r>
      <w:r w:rsidRPr="00393D65">
        <w:rPr>
          <w:lang w:val="fr-CA"/>
        </w:rPr>
        <w:t xml:space="preserve">art. 2930 du </w:t>
      </w:r>
      <w:r w:rsidRPr="00393D65">
        <w:rPr>
          <w:i/>
          <w:lang w:val="fr-CA"/>
        </w:rPr>
        <w:t>C.c.Q.</w:t>
      </w:r>
      <w:r w:rsidRPr="00393D65">
        <w:rPr>
          <w:lang w:val="fr-CA"/>
        </w:rPr>
        <w:t xml:space="preserve"> avait eu pour effet d</w:t>
      </w:r>
      <w:r w:rsidR="00C03762">
        <w:rPr>
          <w:lang w:val="fr-CA"/>
        </w:rPr>
        <w:t>’</w:t>
      </w:r>
      <w:r w:rsidRPr="00393D65">
        <w:rPr>
          <w:lang w:val="fr-CA"/>
        </w:rPr>
        <w:t xml:space="preserve">abroger implicitement une disposition de la </w:t>
      </w:r>
      <w:r w:rsidRPr="00393D65">
        <w:rPr>
          <w:i/>
          <w:lang w:val="fr-CA"/>
        </w:rPr>
        <w:t>Loi sur les cités et villes</w:t>
      </w:r>
      <w:r w:rsidRPr="00393D65">
        <w:rPr>
          <w:lang w:val="fr-CA"/>
        </w:rPr>
        <w:t xml:space="preserve"> portant sur la prescription, sa conclusion n</w:t>
      </w:r>
      <w:r w:rsidR="00C03762">
        <w:rPr>
          <w:lang w:val="fr-CA"/>
        </w:rPr>
        <w:t>’</w:t>
      </w:r>
      <w:r w:rsidRPr="00393D65">
        <w:rPr>
          <w:lang w:val="fr-CA"/>
        </w:rPr>
        <w:t>était pas fondée seulement sur une analyse textuelle.  Il a en effet procédé à une analyse contextuelle approfondie des deux textes, y compris de l</w:t>
      </w:r>
      <w:r w:rsidR="00C03762">
        <w:rPr>
          <w:lang w:val="fr-CA"/>
        </w:rPr>
        <w:t>’</w:t>
      </w:r>
      <w:r w:rsidRPr="00393D65">
        <w:rPr>
          <w:lang w:val="fr-CA"/>
        </w:rPr>
        <w:t>historique législatif pertinent (par. 31</w:t>
      </w:r>
      <w:r w:rsidRPr="00393D65">
        <w:rPr>
          <w:lang w:val="fr-CA"/>
        </w:rPr>
        <w:noBreakHyphen/>
        <w:t xml:space="preserve">41).  Par conséquent, les circonstances du cas dont était saisie la Cour dans </w:t>
      </w:r>
      <w:r w:rsidRPr="00393D65">
        <w:rPr>
          <w:i/>
          <w:lang w:val="fr-CA"/>
        </w:rPr>
        <w:t>Doré</w:t>
      </w:r>
      <w:r w:rsidRPr="00393D65">
        <w:rPr>
          <w:lang w:val="fr-CA"/>
        </w:rPr>
        <w:t xml:space="preserve"> sont loin d</w:t>
      </w:r>
      <w:r w:rsidR="00C03762">
        <w:rPr>
          <w:lang w:val="fr-CA"/>
        </w:rPr>
        <w:t>’</w:t>
      </w:r>
      <w:r w:rsidRPr="00393D65">
        <w:rPr>
          <w:lang w:val="fr-CA"/>
        </w:rPr>
        <w:t>être « identiques » à celles du présent pourvoi, tant sur le plan du texte que sur celui du contexte et de l</w:t>
      </w:r>
      <w:r w:rsidR="00C03762">
        <w:rPr>
          <w:lang w:val="fr-CA"/>
        </w:rPr>
        <w:t>’</w:t>
      </w:r>
      <w:r w:rsidRPr="00393D65">
        <w:rPr>
          <w:lang w:val="fr-CA"/>
        </w:rPr>
        <w:t>historique législatif.  On ne peut donc pas dire que l</w:t>
      </w:r>
      <w:r w:rsidR="00C03762">
        <w:rPr>
          <w:lang w:val="fr-CA"/>
        </w:rPr>
        <w:t>’</w:t>
      </w:r>
      <w:r w:rsidRPr="00393D65">
        <w:rPr>
          <w:lang w:val="fr-CA"/>
        </w:rPr>
        <w:t xml:space="preserve">arrêt </w:t>
      </w:r>
      <w:r w:rsidRPr="00393D65">
        <w:rPr>
          <w:i/>
          <w:lang w:val="fr-CA"/>
        </w:rPr>
        <w:t>Doré</w:t>
      </w:r>
      <w:r w:rsidRPr="00393D65">
        <w:rPr>
          <w:lang w:val="fr-CA"/>
        </w:rPr>
        <w:t xml:space="preserve"> commande l</w:t>
      </w:r>
      <w:r w:rsidR="00C03762">
        <w:rPr>
          <w:lang w:val="fr-CA"/>
        </w:rPr>
        <w:t>’</w:t>
      </w:r>
      <w:r w:rsidRPr="00393D65">
        <w:rPr>
          <w:lang w:val="fr-CA"/>
        </w:rPr>
        <w:t>application automatique d</w:t>
      </w:r>
      <w:r w:rsidR="00C03762">
        <w:rPr>
          <w:lang w:val="fr-CA"/>
        </w:rPr>
        <w:t>’</w:t>
      </w:r>
      <w:r w:rsidRPr="00393D65">
        <w:rPr>
          <w:lang w:val="fr-CA"/>
        </w:rPr>
        <w:t>une règle d</w:t>
      </w:r>
      <w:r w:rsidR="00C03762">
        <w:rPr>
          <w:lang w:val="fr-CA"/>
        </w:rPr>
        <w:t>’</w:t>
      </w:r>
      <w:r w:rsidRPr="00393D65">
        <w:rPr>
          <w:lang w:val="fr-CA"/>
        </w:rPr>
        <w:t xml:space="preserve">abrogation implicite. </w:t>
      </w:r>
    </w:p>
    <w:p w:rsidR="008C3D0D" w:rsidRPr="00393D65" w:rsidRDefault="008C3D0D" w:rsidP="008C3D0D">
      <w:pPr>
        <w:pStyle w:val="ListParagraph"/>
        <w:numPr>
          <w:ilvl w:val="0"/>
          <w:numId w:val="5"/>
        </w:numPr>
        <w:tabs>
          <w:tab w:val="left" w:pos="1170"/>
        </w:tabs>
        <w:spacing w:after="480" w:line="480" w:lineRule="auto"/>
        <w:ind w:left="0" w:firstLine="0"/>
        <w:jc w:val="both"/>
        <w:rPr>
          <w:lang w:val="fr-CA"/>
        </w:rPr>
      </w:pPr>
      <w:r w:rsidRPr="00393D65">
        <w:rPr>
          <w:lang w:val="fr-CA"/>
        </w:rPr>
        <w:t>Un bon indice de l</w:t>
      </w:r>
      <w:r w:rsidR="00C03762">
        <w:rPr>
          <w:lang w:val="fr-CA"/>
        </w:rPr>
        <w:t>’</w:t>
      </w:r>
      <w:r w:rsidRPr="00393D65">
        <w:rPr>
          <w:lang w:val="fr-CA"/>
        </w:rPr>
        <w:t>intention générale du législateur peut être tiré du fait qu</w:t>
      </w:r>
      <w:r w:rsidR="00C03762">
        <w:rPr>
          <w:lang w:val="fr-CA"/>
        </w:rPr>
        <w:t>’</w:t>
      </w:r>
      <w:r w:rsidRPr="00393D65">
        <w:rPr>
          <w:lang w:val="fr-CA"/>
        </w:rPr>
        <w:t>il n</w:t>
      </w:r>
      <w:r w:rsidR="00C03762">
        <w:rPr>
          <w:lang w:val="fr-CA"/>
        </w:rPr>
        <w:t>’</w:t>
      </w:r>
      <w:r w:rsidRPr="00393D65">
        <w:rPr>
          <w:lang w:val="fr-CA"/>
        </w:rPr>
        <w:t xml:space="preserve">a pas, dans les modifications subséquentes, écarté la règle énoncée dans la </w:t>
      </w:r>
      <w:r w:rsidRPr="00393D65">
        <w:rPr>
          <w:i/>
          <w:lang w:val="fr-CA"/>
        </w:rPr>
        <w:t>LACC</w:t>
      </w:r>
      <w:r w:rsidRPr="00393D65">
        <w:rPr>
          <w:lang w:val="fr-CA"/>
        </w:rPr>
        <w:t>.  D</w:t>
      </w:r>
      <w:r w:rsidR="00C03762">
        <w:rPr>
          <w:lang w:val="fr-CA"/>
        </w:rPr>
        <w:t>’</w:t>
      </w:r>
      <w:r w:rsidRPr="00393D65">
        <w:rPr>
          <w:lang w:val="fr-CA"/>
        </w:rPr>
        <w:t>ailleurs, par suite des modifications apportées à cette loi en 2005, la règle figurant initialement à l</w:t>
      </w:r>
      <w:r w:rsidR="00C03762">
        <w:rPr>
          <w:lang w:val="fr-CA"/>
        </w:rPr>
        <w:t>’</w:t>
      </w:r>
      <w:r w:rsidRPr="00393D65">
        <w:rPr>
          <w:lang w:val="fr-CA"/>
        </w:rPr>
        <w:t>art. 18.3 a, comme nous l</w:t>
      </w:r>
      <w:r w:rsidR="00C03762">
        <w:rPr>
          <w:lang w:val="fr-CA"/>
        </w:rPr>
        <w:t>’</w:t>
      </w:r>
      <w:r w:rsidRPr="00393D65">
        <w:rPr>
          <w:lang w:val="fr-CA"/>
        </w:rPr>
        <w:t>avons vu plus tôt, été reprise sous une formulation différente à l</w:t>
      </w:r>
      <w:r w:rsidR="00C03762">
        <w:rPr>
          <w:lang w:val="fr-CA"/>
        </w:rPr>
        <w:t>’</w:t>
      </w:r>
      <w:r w:rsidRPr="00393D65">
        <w:rPr>
          <w:lang w:val="fr-CA"/>
        </w:rPr>
        <w:t>art. 37.  Par conséquent, dans la mesure où l</w:t>
      </w:r>
      <w:r w:rsidR="00C03762">
        <w:rPr>
          <w:lang w:val="fr-CA"/>
        </w:rPr>
        <w:t>’</w:t>
      </w:r>
      <w:r w:rsidRPr="00393D65">
        <w:rPr>
          <w:lang w:val="fr-CA"/>
        </w:rPr>
        <w:t xml:space="preserve">interprétation selon laquelle la fiducie réputée visant la TPS demeurerait en vigueur dans le contexte de procédures en vertu de la </w:t>
      </w:r>
      <w:r w:rsidRPr="00393D65">
        <w:rPr>
          <w:i/>
          <w:lang w:val="fr-CA"/>
        </w:rPr>
        <w:t>LACC</w:t>
      </w:r>
      <w:r w:rsidRPr="00393D65">
        <w:rPr>
          <w:lang w:val="fr-CA"/>
        </w:rPr>
        <w:t xml:space="preserve"> repose sur le fait que le par. 222(3) de la </w:t>
      </w:r>
      <w:r w:rsidRPr="00393D65">
        <w:rPr>
          <w:i/>
          <w:lang w:val="fr-CA"/>
        </w:rPr>
        <w:t>LTA</w:t>
      </w:r>
      <w:r w:rsidRPr="00393D65">
        <w:rPr>
          <w:lang w:val="fr-CA"/>
        </w:rPr>
        <w:t xml:space="preserve"> constitue la disposition postérieure et a eu pour effet d</w:t>
      </w:r>
      <w:r w:rsidR="00C03762">
        <w:rPr>
          <w:lang w:val="fr-CA"/>
        </w:rPr>
        <w:t>’</w:t>
      </w:r>
      <w:r w:rsidRPr="00393D65">
        <w:rPr>
          <w:lang w:val="fr-CA"/>
        </w:rPr>
        <w:t xml:space="preserve">abroger implicitement le par. 18.3(1) de la </w:t>
      </w:r>
      <w:r w:rsidRPr="00393D65">
        <w:rPr>
          <w:i/>
          <w:lang w:val="fr-CA"/>
        </w:rPr>
        <w:t>LACC</w:t>
      </w:r>
      <w:r w:rsidRPr="00393D65">
        <w:rPr>
          <w:lang w:val="fr-CA"/>
        </w:rPr>
        <w:t xml:space="preserve">, nous revenons au point de départ.  Comme le législateur a reformulé et renuméroté la disposition de la </w:t>
      </w:r>
      <w:r w:rsidRPr="00393D65">
        <w:rPr>
          <w:i/>
          <w:lang w:val="fr-CA"/>
        </w:rPr>
        <w:t>LACC</w:t>
      </w:r>
      <w:r w:rsidRPr="00393D65">
        <w:rPr>
          <w:lang w:val="fr-CA"/>
        </w:rPr>
        <w:t xml:space="preserve"> précisant que, sous </w:t>
      </w:r>
      <w:r w:rsidRPr="00393D65">
        <w:rPr>
          <w:lang w:val="fr-CA"/>
        </w:rPr>
        <w:lastRenderedPageBreak/>
        <w:t>réserve des exceptions relatives aux retenues à la source, les fiducies réputées ne survivent pas à l</w:t>
      </w:r>
      <w:r w:rsidR="00C03762">
        <w:rPr>
          <w:lang w:val="fr-CA"/>
        </w:rPr>
        <w:t>’</w:t>
      </w:r>
      <w:r w:rsidRPr="00393D65">
        <w:rPr>
          <w:lang w:val="fr-CA"/>
        </w:rPr>
        <w:t xml:space="preserve">engagement de procédures fondées sur la </w:t>
      </w:r>
      <w:r w:rsidRPr="00393D65">
        <w:rPr>
          <w:i/>
          <w:lang w:val="fr-CA"/>
        </w:rPr>
        <w:t>LACC</w:t>
      </w:r>
      <w:r w:rsidRPr="00393D65">
        <w:rPr>
          <w:lang w:val="fr-CA"/>
        </w:rPr>
        <w:t>, c</w:t>
      </w:r>
      <w:r w:rsidR="00C03762">
        <w:rPr>
          <w:lang w:val="fr-CA"/>
        </w:rPr>
        <w:t>’</w:t>
      </w:r>
      <w:r w:rsidRPr="00393D65">
        <w:rPr>
          <w:lang w:val="fr-CA"/>
        </w:rPr>
        <w:t>est cette loi qui se trouve maintenant à être le texte postérieur.  Cette constatation confirme que c</w:t>
      </w:r>
      <w:r w:rsidR="00C03762">
        <w:rPr>
          <w:lang w:val="fr-CA"/>
        </w:rPr>
        <w:t>’</w:t>
      </w:r>
      <w:r w:rsidRPr="00393D65">
        <w:rPr>
          <w:lang w:val="fr-CA"/>
        </w:rPr>
        <w:t xml:space="preserve">est dans la </w:t>
      </w:r>
      <w:r w:rsidRPr="00393D65">
        <w:rPr>
          <w:i/>
          <w:lang w:val="fr-CA"/>
        </w:rPr>
        <w:t>LACC</w:t>
      </w:r>
      <w:r w:rsidRPr="00393D65">
        <w:rPr>
          <w:lang w:val="fr-CA"/>
        </w:rPr>
        <w:t xml:space="preserve"> qu</w:t>
      </w:r>
      <w:r w:rsidR="00C03762">
        <w:rPr>
          <w:lang w:val="fr-CA"/>
        </w:rPr>
        <w:t>’</w:t>
      </w:r>
      <w:r w:rsidRPr="00393D65">
        <w:rPr>
          <w:lang w:val="fr-CA"/>
        </w:rPr>
        <w:t>est exprimée l</w:t>
      </w:r>
      <w:r w:rsidR="00C03762">
        <w:rPr>
          <w:lang w:val="fr-CA"/>
        </w:rPr>
        <w:t>’</w:t>
      </w:r>
      <w:r w:rsidRPr="00393D65">
        <w:rPr>
          <w:lang w:val="fr-CA"/>
        </w:rPr>
        <w:t xml:space="preserve">intention du législateur en ce qui a trait </w:t>
      </w:r>
      <w:r w:rsidR="00C4683A">
        <w:rPr>
          <w:lang w:val="fr-CA"/>
        </w:rPr>
        <w:t xml:space="preserve">aux </w:t>
      </w:r>
      <w:r w:rsidRPr="00393D65">
        <w:rPr>
          <w:lang w:val="fr-CA"/>
        </w:rPr>
        <w:t>fiducies réputées</w:t>
      </w:r>
      <w:r w:rsidR="00C4683A">
        <w:rPr>
          <w:lang w:val="fr-CA"/>
        </w:rPr>
        <w:t xml:space="preserve"> visant la TPS</w:t>
      </w:r>
      <w:r w:rsidRPr="00393D65">
        <w:rPr>
          <w:lang w:val="fr-CA"/>
        </w:rPr>
        <w:t>.</w:t>
      </w:r>
    </w:p>
    <w:p w:rsidR="008C3D0D" w:rsidRPr="00393D65" w:rsidRDefault="008C3D0D" w:rsidP="008C3D0D">
      <w:pPr>
        <w:pStyle w:val="ListParagraph"/>
        <w:numPr>
          <w:ilvl w:val="0"/>
          <w:numId w:val="5"/>
        </w:numPr>
        <w:tabs>
          <w:tab w:val="left" w:pos="1170"/>
        </w:tabs>
        <w:spacing w:after="480" w:line="480" w:lineRule="auto"/>
        <w:ind w:left="0" w:firstLine="0"/>
        <w:jc w:val="both"/>
        <w:rPr>
          <w:lang w:val="fr-CA"/>
        </w:rPr>
      </w:pPr>
      <w:r w:rsidRPr="00393D65">
        <w:rPr>
          <w:lang w:val="fr-CA"/>
        </w:rPr>
        <w:t>Je ne suis pas d</w:t>
      </w:r>
      <w:r w:rsidR="00C03762">
        <w:rPr>
          <w:lang w:val="fr-CA"/>
        </w:rPr>
        <w:t>’</w:t>
      </w:r>
      <w:r w:rsidRPr="00393D65">
        <w:rPr>
          <w:lang w:val="fr-CA"/>
        </w:rPr>
        <w:t>accord avec ma collègue la juge Abella pour dire que l</w:t>
      </w:r>
      <w:r w:rsidR="00C03762">
        <w:rPr>
          <w:lang w:val="fr-CA"/>
        </w:rPr>
        <w:t>’</w:t>
      </w:r>
      <w:r w:rsidRPr="00393D65">
        <w:rPr>
          <w:lang w:val="fr-CA"/>
        </w:rPr>
        <w:t>al. 44</w:t>
      </w:r>
      <w:r w:rsidRPr="00393D65">
        <w:rPr>
          <w:i/>
          <w:lang w:val="fr-CA"/>
        </w:rPr>
        <w:t>f</w:t>
      </w:r>
      <w:r w:rsidRPr="00393D65">
        <w:rPr>
          <w:lang w:val="fr-CA"/>
        </w:rPr>
        <w:t xml:space="preserve">) de la </w:t>
      </w:r>
      <w:r w:rsidRPr="00393D65">
        <w:rPr>
          <w:i/>
          <w:lang w:val="fr-CA"/>
        </w:rPr>
        <w:t>Loi d</w:t>
      </w:r>
      <w:r w:rsidR="00C03762">
        <w:rPr>
          <w:i/>
          <w:lang w:val="fr-CA"/>
        </w:rPr>
        <w:t>’</w:t>
      </w:r>
      <w:r w:rsidRPr="00393D65">
        <w:rPr>
          <w:i/>
          <w:lang w:val="fr-CA"/>
        </w:rPr>
        <w:t>interprétation</w:t>
      </w:r>
      <w:r w:rsidRPr="00393D65">
        <w:rPr>
          <w:lang w:val="fr-CA"/>
        </w:rPr>
        <w:t>, L.R.C. 1985, ch. I</w:t>
      </w:r>
      <w:r w:rsidRPr="00393D65">
        <w:rPr>
          <w:lang w:val="fr-CA"/>
        </w:rPr>
        <w:noBreakHyphen/>
        <w:t>21, permet d</w:t>
      </w:r>
      <w:r w:rsidR="00C03762">
        <w:rPr>
          <w:lang w:val="fr-CA"/>
        </w:rPr>
        <w:t>’</w:t>
      </w:r>
      <w:r w:rsidRPr="00393D65">
        <w:rPr>
          <w:lang w:val="fr-CA"/>
        </w:rPr>
        <w:t>interpréter les modifications de 2005 comme n</w:t>
      </w:r>
      <w:r w:rsidR="00C03762">
        <w:rPr>
          <w:lang w:val="fr-CA"/>
        </w:rPr>
        <w:t>’</w:t>
      </w:r>
      <w:r w:rsidRPr="00393D65">
        <w:rPr>
          <w:lang w:val="fr-CA"/>
        </w:rPr>
        <w:t xml:space="preserve">ayant aucun effet.  La nouvelle loi peut difficilement être considérée comme une simple refonte de la loi antérieure.  De fait, la </w:t>
      </w:r>
      <w:r w:rsidRPr="00393D65">
        <w:rPr>
          <w:i/>
          <w:lang w:val="fr-CA"/>
        </w:rPr>
        <w:t>LACC</w:t>
      </w:r>
      <w:r w:rsidRPr="00393D65">
        <w:rPr>
          <w:lang w:val="fr-CA"/>
        </w:rPr>
        <w:t xml:space="preserve"> a fait l</w:t>
      </w:r>
      <w:r w:rsidR="00C03762">
        <w:rPr>
          <w:lang w:val="fr-CA"/>
        </w:rPr>
        <w:t>’</w:t>
      </w:r>
      <w:r w:rsidRPr="00393D65">
        <w:rPr>
          <w:lang w:val="fr-CA"/>
        </w:rPr>
        <w:t>objet d</w:t>
      </w:r>
      <w:r w:rsidR="00C03762">
        <w:rPr>
          <w:lang w:val="fr-CA"/>
        </w:rPr>
        <w:t>’</w:t>
      </w:r>
      <w:r w:rsidRPr="00393D65">
        <w:rPr>
          <w:lang w:val="fr-CA"/>
        </w:rPr>
        <w:t>un examen approfondi en 2005.  En particulier, conformément à son objectif qui consiste à faire concorder l</w:t>
      </w:r>
      <w:r w:rsidR="00C03762">
        <w:rPr>
          <w:lang w:val="fr-CA"/>
        </w:rPr>
        <w:t>’</w:t>
      </w:r>
      <w:r w:rsidRPr="00393D65">
        <w:rPr>
          <w:lang w:val="fr-CA"/>
        </w:rPr>
        <w:t xml:space="preserve">approche de la </w:t>
      </w:r>
      <w:r w:rsidRPr="00393D65">
        <w:rPr>
          <w:i/>
          <w:lang w:val="fr-CA"/>
        </w:rPr>
        <w:t>LFI</w:t>
      </w:r>
      <w:r w:rsidRPr="00393D65">
        <w:rPr>
          <w:lang w:val="fr-CA"/>
        </w:rPr>
        <w:t xml:space="preserve"> et celle de la </w:t>
      </w:r>
      <w:r w:rsidRPr="00393D65">
        <w:rPr>
          <w:i/>
          <w:lang w:val="fr-CA"/>
        </w:rPr>
        <w:t>LACC</w:t>
      </w:r>
      <w:r w:rsidRPr="00393D65">
        <w:rPr>
          <w:lang w:val="fr-CA"/>
        </w:rPr>
        <w:t xml:space="preserve"> à l</w:t>
      </w:r>
      <w:r w:rsidR="00C03762">
        <w:rPr>
          <w:lang w:val="fr-CA"/>
        </w:rPr>
        <w:t>’</w:t>
      </w:r>
      <w:r w:rsidRPr="00393D65">
        <w:rPr>
          <w:lang w:val="fr-CA"/>
        </w:rPr>
        <w:t>égard de l</w:t>
      </w:r>
      <w:r w:rsidR="00C03762">
        <w:rPr>
          <w:lang w:val="fr-CA"/>
        </w:rPr>
        <w:t>’</w:t>
      </w:r>
      <w:r w:rsidRPr="00393D65">
        <w:rPr>
          <w:lang w:val="fr-CA"/>
        </w:rPr>
        <w:t>insolvabilité, le législateur a apporté aux deux textes des modifications allant dans le même sens en ce qui concerne les propositions présentées par les entreprises.  De plus, de nouvelles dispositions ont été ajoutées au sujet des contrats, des conventions collectives, du financement temporaire et des accords de gouvernance.  Des clarifications ont aussi été apportées quant à la nomination et au rôle du contrôleur.  Il convient par ailleurs de souligner les limites imposées par l</w:t>
      </w:r>
      <w:r w:rsidR="00C03762">
        <w:rPr>
          <w:lang w:val="fr-CA"/>
        </w:rPr>
        <w:t>’</w:t>
      </w:r>
      <w:r w:rsidRPr="00393D65">
        <w:rPr>
          <w:lang w:val="fr-CA"/>
        </w:rPr>
        <w:t xml:space="preserve">art. 11.09 de la </w:t>
      </w:r>
      <w:r w:rsidRPr="00393D65">
        <w:rPr>
          <w:i/>
          <w:lang w:val="fr-CA"/>
        </w:rPr>
        <w:t>LACC</w:t>
      </w:r>
      <w:r w:rsidRPr="00393D65">
        <w:rPr>
          <w:lang w:val="fr-CA"/>
        </w:rPr>
        <w:t xml:space="preserve"> au pouvoir discrétionnaire du tribunal d</w:t>
      </w:r>
      <w:r w:rsidR="00C03762">
        <w:rPr>
          <w:lang w:val="fr-CA"/>
        </w:rPr>
        <w:t>’</w:t>
      </w:r>
      <w:r w:rsidRPr="00393D65">
        <w:rPr>
          <w:lang w:val="fr-CA"/>
        </w:rPr>
        <w:t>ordonner la suspension de l</w:t>
      </w:r>
      <w:r w:rsidR="00C03762">
        <w:rPr>
          <w:lang w:val="fr-CA"/>
        </w:rPr>
        <w:t>’</w:t>
      </w:r>
      <w:r w:rsidRPr="00393D65">
        <w:rPr>
          <w:lang w:val="fr-CA"/>
        </w:rPr>
        <w:t>effet des fiducies réputées créées en faveur de la Couronne relativement aux retenues à la source, limites qui étaient auparavant énoncées à l</w:t>
      </w:r>
      <w:r w:rsidR="00C03762">
        <w:rPr>
          <w:lang w:val="fr-CA"/>
        </w:rPr>
        <w:t>’</w:t>
      </w:r>
      <w:r w:rsidRPr="00393D65">
        <w:rPr>
          <w:lang w:val="fr-CA"/>
        </w:rPr>
        <w:t>art. 11.4.  Il n</w:t>
      </w:r>
      <w:r w:rsidR="00C03762">
        <w:rPr>
          <w:lang w:val="fr-CA"/>
        </w:rPr>
        <w:t>’</w:t>
      </w:r>
      <w:r w:rsidRPr="00393D65">
        <w:rPr>
          <w:lang w:val="fr-CA"/>
        </w:rPr>
        <w:t>est fait aucune mention des fiducies réputées visant la TPS (voir le Sommaire de la L.C. 2005, ch. 47).  Dans le cadre de cet examen, le législateur est allé jusqu</w:t>
      </w:r>
      <w:r w:rsidR="00C03762">
        <w:rPr>
          <w:lang w:val="fr-CA"/>
        </w:rPr>
        <w:t>’</w:t>
      </w:r>
      <w:r w:rsidRPr="00393D65">
        <w:rPr>
          <w:lang w:val="fr-CA"/>
        </w:rPr>
        <w:t xml:space="preserve">à se pencher sur les termes mêmes </w:t>
      </w:r>
      <w:r w:rsidRPr="00393D65">
        <w:rPr>
          <w:lang w:val="fr-CA"/>
        </w:rPr>
        <w:lastRenderedPageBreak/>
        <w:t>utilisés dans la loi pour écarter l</w:t>
      </w:r>
      <w:r w:rsidR="00C03762">
        <w:rPr>
          <w:lang w:val="fr-CA"/>
        </w:rPr>
        <w:t>’</w:t>
      </w:r>
      <w:r w:rsidRPr="00393D65">
        <w:rPr>
          <w:lang w:val="fr-CA"/>
        </w:rPr>
        <w:t>application des fiducies réputées.  Les commentaires cités par ma collègue ne font que souligner l</w:t>
      </w:r>
      <w:r w:rsidR="00C03762">
        <w:rPr>
          <w:lang w:val="fr-CA"/>
        </w:rPr>
        <w:t>’</w:t>
      </w:r>
      <w:r w:rsidRPr="00393D65">
        <w:rPr>
          <w:lang w:val="fr-CA"/>
        </w:rPr>
        <w:t xml:space="preserve">intention manifeste du législateur de maintenir sa politique générale suivant laquelle seules les fiducies réputées visant les retenues à la source survivent en cas de procédures fondées sur la </w:t>
      </w:r>
      <w:r w:rsidRPr="00393D65">
        <w:rPr>
          <w:i/>
          <w:lang w:val="fr-CA"/>
        </w:rPr>
        <w:t>LACC</w:t>
      </w:r>
      <w:r w:rsidRPr="00393D65">
        <w:rPr>
          <w:lang w:val="fr-CA"/>
        </w:rPr>
        <w:t>.</w:t>
      </w:r>
    </w:p>
    <w:p w:rsidR="008C3D0D" w:rsidRPr="00393D65" w:rsidRDefault="008C3D0D" w:rsidP="008C3D0D">
      <w:pPr>
        <w:pStyle w:val="ListParagraph"/>
        <w:numPr>
          <w:ilvl w:val="0"/>
          <w:numId w:val="5"/>
        </w:numPr>
        <w:tabs>
          <w:tab w:val="left" w:pos="1170"/>
        </w:tabs>
        <w:spacing w:after="480" w:line="480" w:lineRule="auto"/>
        <w:ind w:left="0" w:firstLine="0"/>
        <w:jc w:val="both"/>
        <w:rPr>
          <w:lang w:val="fr-CA"/>
        </w:rPr>
      </w:pPr>
      <w:r w:rsidRPr="00393D65">
        <w:rPr>
          <w:lang w:val="fr-CA"/>
        </w:rPr>
        <w:t>En l</w:t>
      </w:r>
      <w:r w:rsidR="00C03762">
        <w:rPr>
          <w:lang w:val="fr-CA"/>
        </w:rPr>
        <w:t>’</w:t>
      </w:r>
      <w:r w:rsidRPr="00393D65">
        <w:rPr>
          <w:lang w:val="fr-CA"/>
        </w:rPr>
        <w:t>espèce, le contexte législatif aide à déterminer l</w:t>
      </w:r>
      <w:r w:rsidR="00C03762">
        <w:rPr>
          <w:lang w:val="fr-CA"/>
        </w:rPr>
        <w:t>’</w:t>
      </w:r>
      <w:r w:rsidRPr="00393D65">
        <w:rPr>
          <w:lang w:val="fr-CA"/>
        </w:rPr>
        <w:t xml:space="preserve">intention du législateur et conforte la conclusion selon laquelle le par. 222(3) de la </w:t>
      </w:r>
      <w:r w:rsidRPr="00393D65">
        <w:rPr>
          <w:i/>
          <w:lang w:val="fr-CA"/>
        </w:rPr>
        <w:t>LTA</w:t>
      </w:r>
      <w:r w:rsidRPr="00393D65">
        <w:rPr>
          <w:lang w:val="fr-CA"/>
        </w:rPr>
        <w:t xml:space="preserve"> ne visait pas à restreindre la portée de la disposition de la </w:t>
      </w:r>
      <w:r w:rsidRPr="00393D65">
        <w:rPr>
          <w:i/>
          <w:lang w:val="fr-CA"/>
        </w:rPr>
        <w:t>LACC</w:t>
      </w:r>
      <w:r w:rsidRPr="00393D65">
        <w:rPr>
          <w:lang w:val="fr-CA"/>
        </w:rPr>
        <w:t xml:space="preserve"> écartant l</w:t>
      </w:r>
      <w:r w:rsidR="00C03762">
        <w:rPr>
          <w:lang w:val="fr-CA"/>
        </w:rPr>
        <w:t>’</w:t>
      </w:r>
      <w:r w:rsidRPr="00393D65">
        <w:rPr>
          <w:lang w:val="fr-CA"/>
        </w:rPr>
        <w:t xml:space="preserve">application des fiducies réputées.  Eu égard au contexte dans son ensemble, le conflit entre la </w:t>
      </w:r>
      <w:r w:rsidRPr="00393D65">
        <w:rPr>
          <w:i/>
          <w:lang w:val="fr-CA"/>
        </w:rPr>
        <w:t>LTA</w:t>
      </w:r>
      <w:r w:rsidRPr="00393D65">
        <w:rPr>
          <w:lang w:val="fr-CA"/>
        </w:rPr>
        <w:t xml:space="preserve"> et la </w:t>
      </w:r>
      <w:r w:rsidRPr="00393D65">
        <w:rPr>
          <w:i/>
          <w:lang w:val="fr-CA"/>
        </w:rPr>
        <w:t>LACC</w:t>
      </w:r>
      <w:r w:rsidRPr="00393D65">
        <w:rPr>
          <w:lang w:val="fr-CA"/>
        </w:rPr>
        <w:t xml:space="preserve"> est plus apparent que réel.  Je n</w:t>
      </w:r>
      <w:r w:rsidR="00C03762">
        <w:rPr>
          <w:lang w:val="fr-CA"/>
        </w:rPr>
        <w:t>’</w:t>
      </w:r>
      <w:r w:rsidRPr="00393D65">
        <w:rPr>
          <w:lang w:val="fr-CA"/>
        </w:rPr>
        <w:t>adopterais donc pas le raisonnement de l</w:t>
      </w:r>
      <w:r w:rsidR="00C03762">
        <w:rPr>
          <w:lang w:val="fr-CA"/>
        </w:rPr>
        <w:t>’</w:t>
      </w:r>
      <w:r w:rsidRPr="00393D65">
        <w:rPr>
          <w:lang w:val="fr-CA"/>
        </w:rPr>
        <w:t xml:space="preserve">arrêt </w:t>
      </w:r>
      <w:r w:rsidRPr="00393D65">
        <w:rPr>
          <w:i/>
          <w:lang w:val="fr-CA"/>
        </w:rPr>
        <w:t>Ottawa Senators</w:t>
      </w:r>
      <w:r w:rsidR="00C4683A">
        <w:rPr>
          <w:lang w:val="fr-CA"/>
        </w:rPr>
        <w:t xml:space="preserve"> et je confirmerais que l’art. </w:t>
      </w:r>
      <w:r w:rsidRPr="00393D65">
        <w:rPr>
          <w:lang w:val="fr-CA"/>
        </w:rPr>
        <w:t xml:space="preserve">18.3 de la </w:t>
      </w:r>
      <w:r w:rsidRPr="00393D65">
        <w:rPr>
          <w:i/>
          <w:lang w:val="fr-CA"/>
        </w:rPr>
        <w:t>LACC</w:t>
      </w:r>
      <w:r w:rsidRPr="00393D65">
        <w:rPr>
          <w:lang w:val="fr-CA"/>
        </w:rPr>
        <w:t xml:space="preserve"> a continué de produire ses effets.</w:t>
      </w:r>
    </w:p>
    <w:p w:rsidR="008C3D0D" w:rsidRPr="00393D65" w:rsidRDefault="008C3D0D" w:rsidP="008C3D0D">
      <w:pPr>
        <w:pStyle w:val="ListParagraph"/>
        <w:numPr>
          <w:ilvl w:val="0"/>
          <w:numId w:val="5"/>
        </w:numPr>
        <w:tabs>
          <w:tab w:val="left" w:pos="1170"/>
        </w:tabs>
        <w:spacing w:after="480" w:line="480" w:lineRule="auto"/>
        <w:ind w:left="0" w:firstLine="0"/>
        <w:jc w:val="both"/>
        <w:rPr>
          <w:lang w:val="fr-CA"/>
        </w:rPr>
      </w:pPr>
      <w:r w:rsidRPr="00393D65">
        <w:rPr>
          <w:lang w:val="fr-CA"/>
        </w:rPr>
        <w:t>Ma conclusion est renforcée par l</w:t>
      </w:r>
      <w:r w:rsidR="00C03762">
        <w:rPr>
          <w:lang w:val="fr-CA"/>
        </w:rPr>
        <w:t>’</w:t>
      </w:r>
      <w:r w:rsidRPr="00393D65">
        <w:rPr>
          <w:lang w:val="fr-CA"/>
        </w:rPr>
        <w:t xml:space="preserve">objectif de la </w:t>
      </w:r>
      <w:r w:rsidRPr="00393D65">
        <w:rPr>
          <w:i/>
          <w:lang w:val="fr-CA"/>
        </w:rPr>
        <w:t>LACC</w:t>
      </w:r>
      <w:r w:rsidRPr="00393D65">
        <w:rPr>
          <w:lang w:val="fr-CA"/>
        </w:rPr>
        <w:t xml:space="preserve"> en tant que composante du régime réparateur instauré la législation canadienne en matière d</w:t>
      </w:r>
      <w:r w:rsidR="00C03762">
        <w:rPr>
          <w:lang w:val="fr-CA"/>
        </w:rPr>
        <w:t>’</w:t>
      </w:r>
      <w:r w:rsidRPr="00393D65">
        <w:rPr>
          <w:lang w:val="fr-CA"/>
        </w:rPr>
        <w:t>insolvabilité.  Comme cet aspect est particulièrement pertinent à propos de la deuxième question, je vais maintenant examiner la façon dont les tribunaux ont interprété l</w:t>
      </w:r>
      <w:r w:rsidR="00C03762">
        <w:rPr>
          <w:lang w:val="fr-CA"/>
        </w:rPr>
        <w:t>’</w:t>
      </w:r>
      <w:r w:rsidRPr="00393D65">
        <w:rPr>
          <w:lang w:val="fr-CA"/>
        </w:rPr>
        <w:t>étendue des pouvoirs discrétionnaires dont ils disposent lorsqu</w:t>
      </w:r>
      <w:r w:rsidR="00C03762">
        <w:rPr>
          <w:lang w:val="fr-CA"/>
        </w:rPr>
        <w:t>’</w:t>
      </w:r>
      <w:r w:rsidRPr="00393D65">
        <w:rPr>
          <w:lang w:val="fr-CA"/>
        </w:rPr>
        <w:t xml:space="preserve">ils surveillent une réorganisation fondée sur la </w:t>
      </w:r>
      <w:r w:rsidRPr="00393D65">
        <w:rPr>
          <w:i/>
          <w:lang w:val="fr-CA"/>
        </w:rPr>
        <w:t>LACC</w:t>
      </w:r>
      <w:r w:rsidRPr="00393D65">
        <w:rPr>
          <w:lang w:val="fr-CA"/>
        </w:rPr>
        <w:t>, ainsi que la façon dont le législateur a dans une large mesure entériné cette interprétation.  L</w:t>
      </w:r>
      <w:r w:rsidR="00C03762">
        <w:rPr>
          <w:lang w:val="fr-CA"/>
        </w:rPr>
        <w:t>’</w:t>
      </w:r>
      <w:r w:rsidRPr="00393D65">
        <w:rPr>
          <w:lang w:val="fr-CA"/>
        </w:rPr>
        <w:t xml:space="preserve">interprétation de la </w:t>
      </w:r>
      <w:r w:rsidRPr="00393D65">
        <w:rPr>
          <w:i/>
          <w:lang w:val="fr-CA"/>
        </w:rPr>
        <w:t>LACC</w:t>
      </w:r>
      <w:r w:rsidRPr="00393D65">
        <w:rPr>
          <w:lang w:val="fr-CA"/>
        </w:rPr>
        <w:t xml:space="preserve"> par les tribunaux aide en fait à comprendre comment celle</w:t>
      </w:r>
      <w:r w:rsidRPr="00393D65">
        <w:rPr>
          <w:lang w:val="fr-CA"/>
        </w:rPr>
        <w:noBreakHyphen/>
        <w:t>ci en est venue à jouer un rôle si important dans le droit canadien de l</w:t>
      </w:r>
      <w:r w:rsidR="00C03762">
        <w:rPr>
          <w:lang w:val="fr-CA"/>
        </w:rPr>
        <w:t>’</w:t>
      </w:r>
      <w:r w:rsidRPr="00393D65">
        <w:rPr>
          <w:lang w:val="fr-CA"/>
        </w:rPr>
        <w:t xml:space="preserve">insolvabilité. </w:t>
      </w:r>
    </w:p>
    <w:p w:rsidR="008C3D0D" w:rsidRPr="00393D65" w:rsidRDefault="008C3D0D" w:rsidP="00C64555">
      <w:pPr>
        <w:pStyle w:val="SCCNormalDoubleSpacing"/>
        <w:tabs>
          <w:tab w:val="left" w:pos="720"/>
        </w:tabs>
        <w:spacing w:after="480" w:line="240" w:lineRule="auto"/>
        <w:ind w:left="720" w:hanging="720"/>
        <w:rPr>
          <w:u w:val="single"/>
        </w:rPr>
      </w:pPr>
      <w:r w:rsidRPr="00393D65">
        <w:lastRenderedPageBreak/>
        <w:t>3.3</w:t>
      </w:r>
      <w:r w:rsidRPr="00393D65">
        <w:tab/>
      </w:r>
      <w:r w:rsidRPr="00C64555">
        <w:rPr>
          <w:i/>
        </w:rPr>
        <w:t>Pouvoirs discrétionnaires du tribunal chargé de surveiller une réorganisation fondée sur la LACC</w:t>
      </w:r>
    </w:p>
    <w:p w:rsidR="008C3D0D" w:rsidRPr="00393D65" w:rsidRDefault="008C3D0D" w:rsidP="008C3D0D">
      <w:pPr>
        <w:pStyle w:val="ListParagraph"/>
        <w:numPr>
          <w:ilvl w:val="0"/>
          <w:numId w:val="5"/>
        </w:numPr>
        <w:tabs>
          <w:tab w:val="left" w:pos="1170"/>
        </w:tabs>
        <w:spacing w:after="480" w:line="480" w:lineRule="auto"/>
        <w:ind w:left="0" w:firstLine="0"/>
        <w:jc w:val="both"/>
        <w:rPr>
          <w:lang w:val="fr-CA"/>
        </w:rPr>
      </w:pPr>
      <w:r w:rsidRPr="00393D65">
        <w:rPr>
          <w:lang w:val="fr-CA"/>
        </w:rPr>
        <w:t>Les tribunaux font souvent remarquer que [</w:t>
      </w:r>
      <w:r w:rsidRPr="00393D65">
        <w:rPr>
          <w:smallCaps/>
          <w:lang w:val="fr-CA"/>
        </w:rPr>
        <w:t>traduction</w:t>
      </w:r>
      <w:r w:rsidRPr="00393D65">
        <w:rPr>
          <w:lang w:val="fr-CA"/>
        </w:rPr>
        <w:t>] « </w:t>
      </w:r>
      <w:r w:rsidR="00CC168C">
        <w:rPr>
          <w:lang w:val="fr-CA"/>
        </w:rPr>
        <w:t>[</w:t>
      </w:r>
      <w:r w:rsidRPr="00393D65">
        <w:rPr>
          <w:lang w:val="fr-CA"/>
        </w:rPr>
        <w:t>l</w:t>
      </w:r>
      <w:r w:rsidR="00CC168C">
        <w:rPr>
          <w:lang w:val="fr-CA"/>
        </w:rPr>
        <w:t>]</w:t>
      </w:r>
      <w:r w:rsidRPr="00393D65">
        <w:rPr>
          <w:lang w:val="fr-CA"/>
        </w:rPr>
        <w:t xml:space="preserve">a </w:t>
      </w:r>
      <w:r w:rsidRPr="00393D65">
        <w:rPr>
          <w:i/>
          <w:lang w:val="fr-CA"/>
        </w:rPr>
        <w:t>LACC</w:t>
      </w:r>
      <w:r w:rsidRPr="00393D65">
        <w:rPr>
          <w:lang w:val="fr-CA"/>
        </w:rPr>
        <w:t xml:space="preserve"> est par nature schématique » et ne « contient pas un code complet énonçant tout ce qui est permis et tout ce qui est interdit » (</w:t>
      </w:r>
      <w:r w:rsidRPr="00393D65">
        <w:rPr>
          <w:i/>
          <w:lang w:val="fr-CA"/>
        </w:rPr>
        <w:t>Metcalfe &amp; Mansfield Alternative Investments II Corp. (Re)</w:t>
      </w:r>
      <w:r w:rsidRPr="00393D65">
        <w:rPr>
          <w:lang w:val="fr-CA"/>
        </w:rPr>
        <w:t>, 2008 ONCA 587, 92 O.R. (3d) 513, par. 44, le juge Blair).  Par conséquent, [</w:t>
      </w:r>
      <w:r w:rsidRPr="00393D65">
        <w:rPr>
          <w:smallCaps/>
          <w:lang w:val="fr-CA"/>
        </w:rPr>
        <w:t>traduction</w:t>
      </w:r>
      <w:r w:rsidRPr="00393D65">
        <w:rPr>
          <w:lang w:val="fr-CA"/>
        </w:rPr>
        <w:t>] « [l]</w:t>
      </w:r>
      <w:r w:rsidR="00C03762">
        <w:rPr>
          <w:lang w:val="fr-CA"/>
        </w:rPr>
        <w:t>’</w:t>
      </w:r>
      <w:r w:rsidRPr="00393D65">
        <w:rPr>
          <w:lang w:val="fr-CA"/>
        </w:rPr>
        <w:t xml:space="preserve">histoire du droit relatif à la </w:t>
      </w:r>
      <w:r w:rsidRPr="00CC168C">
        <w:rPr>
          <w:lang w:val="fr-CA"/>
        </w:rPr>
        <w:t>LACC</w:t>
      </w:r>
      <w:r w:rsidRPr="00393D65">
        <w:rPr>
          <w:lang w:val="fr-CA"/>
        </w:rPr>
        <w:t xml:space="preserve"> correspond à l</w:t>
      </w:r>
      <w:r w:rsidR="00C03762">
        <w:rPr>
          <w:lang w:val="fr-CA"/>
        </w:rPr>
        <w:t>’</w:t>
      </w:r>
      <w:r w:rsidRPr="00393D65">
        <w:rPr>
          <w:lang w:val="fr-CA"/>
        </w:rPr>
        <w:t>évolution de ce droit au fil de son interprétation par les tribunaux » (</w:t>
      </w:r>
      <w:r w:rsidRPr="00393D65">
        <w:rPr>
          <w:i/>
          <w:lang w:val="fr-CA"/>
        </w:rPr>
        <w:t>Dylex Ltd., Re</w:t>
      </w:r>
      <w:r w:rsidRPr="00393D65">
        <w:rPr>
          <w:lang w:val="fr-CA"/>
        </w:rPr>
        <w:t xml:space="preserve"> (1995), 31 C.B.R. (3d) 106 (C. Ont. (Div. gén.)), par. 10, le juge Farley).</w:t>
      </w:r>
    </w:p>
    <w:p w:rsidR="008C3D0D" w:rsidRPr="00393D65" w:rsidRDefault="008C3D0D" w:rsidP="008C3D0D">
      <w:pPr>
        <w:pStyle w:val="ListParagraph"/>
        <w:numPr>
          <w:ilvl w:val="0"/>
          <w:numId w:val="5"/>
        </w:numPr>
        <w:tabs>
          <w:tab w:val="left" w:pos="1170"/>
        </w:tabs>
        <w:spacing w:after="480" w:line="480" w:lineRule="auto"/>
        <w:ind w:left="0" w:firstLine="0"/>
        <w:jc w:val="both"/>
        <w:rPr>
          <w:lang w:val="fr-CA"/>
        </w:rPr>
      </w:pPr>
      <w:r w:rsidRPr="00393D65">
        <w:rPr>
          <w:lang w:val="fr-CA"/>
        </w:rPr>
        <w:t xml:space="preserve">Les décisions prises en vertu de la </w:t>
      </w:r>
      <w:r w:rsidRPr="00393D65">
        <w:rPr>
          <w:i/>
          <w:lang w:val="fr-CA"/>
        </w:rPr>
        <w:t>LACC</w:t>
      </w:r>
      <w:r w:rsidRPr="00393D65">
        <w:rPr>
          <w:lang w:val="fr-CA"/>
        </w:rPr>
        <w:t xml:space="preserve"> découlent souvent de l</w:t>
      </w:r>
      <w:r w:rsidR="00C03762">
        <w:rPr>
          <w:lang w:val="fr-CA"/>
        </w:rPr>
        <w:t>’</w:t>
      </w:r>
      <w:r w:rsidRPr="00393D65">
        <w:rPr>
          <w:lang w:val="fr-CA"/>
        </w:rPr>
        <w:t>exercice discrétionnaire de certains pouvoirs.  C</w:t>
      </w:r>
      <w:r w:rsidR="00C03762">
        <w:rPr>
          <w:lang w:val="fr-CA"/>
        </w:rPr>
        <w:t>’</w:t>
      </w:r>
      <w:r w:rsidRPr="00393D65">
        <w:rPr>
          <w:lang w:val="fr-CA"/>
        </w:rPr>
        <w:t>est principalement au fil de l</w:t>
      </w:r>
      <w:r w:rsidR="00C03762">
        <w:rPr>
          <w:lang w:val="fr-CA"/>
        </w:rPr>
        <w:t>’</w:t>
      </w:r>
      <w:r w:rsidRPr="00393D65">
        <w:rPr>
          <w:lang w:val="fr-CA"/>
        </w:rPr>
        <w:t>exercice par les juridictions commerciales de leurs pouvoirs discrétionnaires, et ce, dans des conditions décrites avec justesse par un praticien comme constituant [</w:t>
      </w:r>
      <w:r w:rsidRPr="00393D65">
        <w:rPr>
          <w:smallCaps/>
          <w:lang w:val="fr-CA"/>
        </w:rPr>
        <w:t>traduction</w:t>
      </w:r>
      <w:r w:rsidRPr="00393D65">
        <w:rPr>
          <w:lang w:val="fr-CA"/>
        </w:rPr>
        <w:t>] « </w:t>
      </w:r>
      <w:r w:rsidR="00A52E58">
        <w:rPr>
          <w:lang w:val="fr-CA"/>
        </w:rPr>
        <w:t>le foyer</w:t>
      </w:r>
      <w:bookmarkStart w:id="0" w:name="_GoBack"/>
      <w:bookmarkEnd w:id="0"/>
      <w:r w:rsidRPr="00393D65">
        <w:rPr>
          <w:lang w:val="fr-CA"/>
        </w:rPr>
        <w:t xml:space="preserve"> du contentieux en temps réel », que la </w:t>
      </w:r>
      <w:r w:rsidRPr="00393D65">
        <w:rPr>
          <w:i/>
          <w:lang w:val="fr-CA"/>
        </w:rPr>
        <w:t>LACC</w:t>
      </w:r>
      <w:r w:rsidRPr="00393D65">
        <w:rPr>
          <w:lang w:val="fr-CA"/>
        </w:rPr>
        <w:t xml:space="preserve"> a évolué de façon graduelle et s</w:t>
      </w:r>
      <w:r w:rsidR="00C03762">
        <w:rPr>
          <w:lang w:val="fr-CA"/>
        </w:rPr>
        <w:t>’</w:t>
      </w:r>
      <w:r w:rsidRPr="00393D65">
        <w:rPr>
          <w:lang w:val="fr-CA"/>
        </w:rPr>
        <w:t>est adaptée aux besoins commerciaux et sociaux contemporains (voir Jones, p. 484).</w:t>
      </w:r>
    </w:p>
    <w:p w:rsidR="008C3D0D" w:rsidRPr="00393D65" w:rsidRDefault="008C3D0D" w:rsidP="008C3D0D">
      <w:pPr>
        <w:pStyle w:val="ListParagraph"/>
        <w:numPr>
          <w:ilvl w:val="0"/>
          <w:numId w:val="5"/>
        </w:numPr>
        <w:tabs>
          <w:tab w:val="left" w:pos="1170"/>
        </w:tabs>
        <w:spacing w:after="480" w:line="480" w:lineRule="auto"/>
        <w:ind w:left="0" w:firstLine="0"/>
        <w:jc w:val="both"/>
        <w:rPr>
          <w:lang w:val="fr-CA"/>
        </w:rPr>
      </w:pPr>
      <w:r w:rsidRPr="00393D65">
        <w:rPr>
          <w:lang w:val="fr-CA"/>
        </w:rPr>
        <w:t>L</w:t>
      </w:r>
      <w:r w:rsidR="00C03762">
        <w:rPr>
          <w:lang w:val="fr-CA"/>
        </w:rPr>
        <w:t>’</w:t>
      </w:r>
      <w:r w:rsidRPr="00393D65">
        <w:rPr>
          <w:lang w:val="fr-CA"/>
        </w:rPr>
        <w:t xml:space="preserve">exercice par les tribunaux de leurs pouvoirs discrétionnaires doit évidemment tendre à la réalisation des objectifs de la </w:t>
      </w:r>
      <w:r w:rsidRPr="00393D65">
        <w:rPr>
          <w:i/>
          <w:lang w:val="fr-CA"/>
        </w:rPr>
        <w:t>LACC</w:t>
      </w:r>
      <w:r w:rsidRPr="00393D65">
        <w:rPr>
          <w:lang w:val="fr-CA"/>
        </w:rPr>
        <w:t>.  Le caractère réparateur dont j</w:t>
      </w:r>
      <w:r w:rsidR="00C03762">
        <w:rPr>
          <w:lang w:val="fr-CA"/>
        </w:rPr>
        <w:t>’</w:t>
      </w:r>
      <w:r w:rsidRPr="00393D65">
        <w:rPr>
          <w:lang w:val="fr-CA"/>
        </w:rPr>
        <w:t>ai fait état dans mon aperçu historique de la Loi a à maintes reprises été reconnu dans la jurisprudence.  Voici l</w:t>
      </w:r>
      <w:r w:rsidR="00C03762">
        <w:rPr>
          <w:lang w:val="fr-CA"/>
        </w:rPr>
        <w:t>’</w:t>
      </w:r>
      <w:r w:rsidRPr="00393D65">
        <w:rPr>
          <w:lang w:val="fr-CA"/>
        </w:rPr>
        <w:t>un des premiers exemples :</w:t>
      </w:r>
    </w:p>
    <w:p w:rsidR="008C3D0D" w:rsidRPr="00393D65" w:rsidRDefault="008C3D0D" w:rsidP="008C3D0D">
      <w:pPr>
        <w:pStyle w:val="Citation"/>
        <w:ind w:firstLine="274"/>
        <w:rPr>
          <w:lang w:val="fr-CA"/>
        </w:rPr>
      </w:pPr>
      <w:r w:rsidRPr="00393D65">
        <w:rPr>
          <w:lang w:val="fr-CA"/>
        </w:rPr>
        <w:t>[</w:t>
      </w:r>
      <w:r w:rsidRPr="00393D65">
        <w:rPr>
          <w:smallCaps/>
          <w:lang w:val="fr-CA"/>
        </w:rPr>
        <w:t>traduction</w:t>
      </w:r>
      <w:r w:rsidRPr="00393D65">
        <w:rPr>
          <w:lang w:val="fr-CA"/>
        </w:rPr>
        <w:t>]</w:t>
      </w:r>
      <w:r w:rsidR="00CC168C">
        <w:rPr>
          <w:lang w:val="fr-CA"/>
        </w:rPr>
        <w:t xml:space="preserve">  </w:t>
      </w:r>
      <w:r w:rsidRPr="00393D65">
        <w:rPr>
          <w:lang w:val="fr-CA"/>
        </w:rPr>
        <w:t>La loi est réparatrice au sens le plus pur du terme, en ce qu</w:t>
      </w:r>
      <w:r w:rsidR="00C03762">
        <w:rPr>
          <w:lang w:val="fr-CA"/>
        </w:rPr>
        <w:t>’</w:t>
      </w:r>
      <w:r w:rsidRPr="00393D65">
        <w:rPr>
          <w:lang w:val="fr-CA"/>
        </w:rPr>
        <w:t>elle fournit un moyen d</w:t>
      </w:r>
      <w:r w:rsidR="00C03762">
        <w:rPr>
          <w:lang w:val="fr-CA"/>
        </w:rPr>
        <w:t>’</w:t>
      </w:r>
      <w:r w:rsidRPr="00393D65">
        <w:rPr>
          <w:lang w:val="fr-CA"/>
        </w:rPr>
        <w:t xml:space="preserve">éviter les effets dévastateurs, — tant sur le </w:t>
      </w:r>
      <w:r w:rsidRPr="00393D65">
        <w:rPr>
          <w:lang w:val="fr-CA"/>
        </w:rPr>
        <w:lastRenderedPageBreak/>
        <w:t>plan social qu</w:t>
      </w:r>
      <w:r w:rsidR="00C03762">
        <w:rPr>
          <w:lang w:val="fr-CA"/>
        </w:rPr>
        <w:t>’</w:t>
      </w:r>
      <w:r w:rsidRPr="00393D65">
        <w:rPr>
          <w:lang w:val="fr-CA"/>
        </w:rPr>
        <w:t>économique — de la faillite ou de l</w:t>
      </w:r>
      <w:r w:rsidR="00C03762">
        <w:rPr>
          <w:lang w:val="fr-CA"/>
        </w:rPr>
        <w:t>’</w:t>
      </w:r>
      <w:r w:rsidRPr="00393D65">
        <w:rPr>
          <w:lang w:val="fr-CA"/>
        </w:rPr>
        <w:t>arrêt des activités d</w:t>
      </w:r>
      <w:r w:rsidR="00C03762">
        <w:rPr>
          <w:lang w:val="fr-CA"/>
        </w:rPr>
        <w:t>’</w:t>
      </w:r>
      <w:r w:rsidRPr="00393D65">
        <w:rPr>
          <w:lang w:val="fr-CA"/>
        </w:rPr>
        <w:t>une entreprise, à l</w:t>
      </w:r>
      <w:r w:rsidR="00C03762">
        <w:rPr>
          <w:lang w:val="fr-CA"/>
        </w:rPr>
        <w:t>’</w:t>
      </w:r>
      <w:r w:rsidRPr="00393D65">
        <w:rPr>
          <w:lang w:val="fr-CA"/>
        </w:rPr>
        <w:t>init</w:t>
      </w:r>
      <w:r w:rsidR="00C4683A">
        <w:rPr>
          <w:lang w:val="fr-CA"/>
        </w:rPr>
        <w:t>i</w:t>
      </w:r>
      <w:r w:rsidRPr="00393D65">
        <w:rPr>
          <w:lang w:val="fr-CA"/>
        </w:rPr>
        <w:t xml:space="preserve">ation des créanciers, pendant que des efforts sont déployés, sous la surveillance du tribunal, en vue de réorganiser la situation financière de la compagnie débitrice. </w:t>
      </w:r>
    </w:p>
    <w:p w:rsidR="008C3D0D" w:rsidRPr="00393D65" w:rsidRDefault="008C3D0D" w:rsidP="008C3D0D">
      <w:pPr>
        <w:pStyle w:val="Citation"/>
        <w:rPr>
          <w:lang w:val="fr-CA"/>
        </w:rPr>
      </w:pPr>
    </w:p>
    <w:p w:rsidR="008C3D0D" w:rsidRPr="00393D65" w:rsidRDefault="008C3D0D" w:rsidP="008C3D0D">
      <w:pPr>
        <w:pStyle w:val="Citation"/>
        <w:rPr>
          <w:lang w:val="fr-CA"/>
        </w:rPr>
      </w:pPr>
      <w:r w:rsidRPr="00393D65">
        <w:rPr>
          <w:lang w:val="fr-CA"/>
        </w:rPr>
        <w:t>(</w:t>
      </w:r>
      <w:r w:rsidRPr="00393D65">
        <w:rPr>
          <w:i/>
          <w:lang w:val="fr-CA"/>
        </w:rPr>
        <w:t>Elan Corp. c. Comiskey</w:t>
      </w:r>
      <w:r w:rsidRPr="00393D65">
        <w:rPr>
          <w:lang w:val="fr-CA"/>
        </w:rPr>
        <w:t xml:space="preserve"> (1990), 41 O.A.C. 282, par. 57, le juge Doherty, dissident)</w:t>
      </w:r>
    </w:p>
    <w:p w:rsidR="008C3D0D" w:rsidRPr="00393D65" w:rsidRDefault="008C3D0D" w:rsidP="008C3D0D">
      <w:pPr>
        <w:pStyle w:val="ListParagraph"/>
        <w:numPr>
          <w:ilvl w:val="0"/>
          <w:numId w:val="5"/>
        </w:numPr>
        <w:tabs>
          <w:tab w:val="left" w:pos="1170"/>
        </w:tabs>
        <w:spacing w:after="480" w:line="480" w:lineRule="auto"/>
        <w:ind w:left="0" w:firstLine="0"/>
        <w:jc w:val="both"/>
        <w:rPr>
          <w:lang w:val="fr-CA"/>
        </w:rPr>
      </w:pPr>
      <w:r w:rsidRPr="00393D65">
        <w:rPr>
          <w:lang w:val="fr-CA"/>
        </w:rPr>
        <w:t xml:space="preserve">Le processus décisionnel des tribunaux sous le régime de la </w:t>
      </w:r>
      <w:r w:rsidRPr="00393D65">
        <w:rPr>
          <w:i/>
          <w:lang w:val="fr-CA"/>
        </w:rPr>
        <w:t>LACC</w:t>
      </w:r>
      <w:r w:rsidRPr="00393D65">
        <w:rPr>
          <w:lang w:val="fr-CA"/>
        </w:rPr>
        <w:t xml:space="preserve"> comporte plusieurs aspects.  Le tribunal doit d</w:t>
      </w:r>
      <w:r w:rsidR="00C03762">
        <w:rPr>
          <w:lang w:val="fr-CA"/>
        </w:rPr>
        <w:t>’</w:t>
      </w:r>
      <w:r w:rsidRPr="00393D65">
        <w:rPr>
          <w:lang w:val="fr-CA"/>
        </w:rPr>
        <w:t>abord créer les conditions propres à permettre au débiteur de tenter une réorganisation.  Il peut à cette fin suspendre les mesures d</w:t>
      </w:r>
      <w:r w:rsidR="00C03762">
        <w:rPr>
          <w:lang w:val="fr-CA"/>
        </w:rPr>
        <w:t>’</w:t>
      </w:r>
      <w:r w:rsidRPr="00393D65">
        <w:rPr>
          <w:lang w:val="fr-CA"/>
        </w:rPr>
        <w:t>exécution prises par les créanciers afin que le débiteur puisse continuer d</w:t>
      </w:r>
      <w:r w:rsidR="00C03762">
        <w:rPr>
          <w:lang w:val="fr-CA"/>
        </w:rPr>
        <w:t>’</w:t>
      </w:r>
      <w:r w:rsidRPr="00393D65">
        <w:rPr>
          <w:lang w:val="fr-CA"/>
        </w:rPr>
        <w:t>exploiter son entreprise, préserver le statu quo pendant que le débiteur prépare la transaction ou l</w:t>
      </w:r>
      <w:r w:rsidR="00C03762">
        <w:rPr>
          <w:lang w:val="fr-CA"/>
        </w:rPr>
        <w:t>’</w:t>
      </w:r>
      <w:r w:rsidRPr="00393D65">
        <w:rPr>
          <w:lang w:val="fr-CA"/>
        </w:rPr>
        <w:t>arrangement qu</w:t>
      </w:r>
      <w:r w:rsidR="00C03762">
        <w:rPr>
          <w:lang w:val="fr-CA"/>
        </w:rPr>
        <w:t>’</w:t>
      </w:r>
      <w:r w:rsidRPr="00393D65">
        <w:rPr>
          <w:lang w:val="fr-CA"/>
        </w:rPr>
        <w:t>il présentera aux créanciers et surveiller le processus et le mener jusqu</w:t>
      </w:r>
      <w:r w:rsidR="00C03762">
        <w:rPr>
          <w:lang w:val="fr-CA"/>
        </w:rPr>
        <w:t>’</w:t>
      </w:r>
      <w:r w:rsidRPr="00393D65">
        <w:rPr>
          <w:lang w:val="fr-CA"/>
        </w:rPr>
        <w:t>au point où il sera possible de dire s</w:t>
      </w:r>
      <w:r w:rsidR="00C03762">
        <w:rPr>
          <w:lang w:val="fr-CA"/>
        </w:rPr>
        <w:t>’</w:t>
      </w:r>
      <w:r w:rsidRPr="00393D65">
        <w:rPr>
          <w:lang w:val="fr-CA"/>
        </w:rPr>
        <w:t xml:space="preserve">il aboutira (voir, p. ex., </w:t>
      </w:r>
      <w:r w:rsidRPr="00393D65">
        <w:rPr>
          <w:i/>
          <w:color w:val="000000"/>
          <w:lang w:val="fr-CA"/>
        </w:rPr>
        <w:t>Chef Ready Foods Ltd. c. Hongkong Bank of Can.</w:t>
      </w:r>
      <w:r w:rsidRPr="00393D65">
        <w:rPr>
          <w:color w:val="000000"/>
          <w:lang w:val="fr-CA"/>
        </w:rPr>
        <w:t xml:space="preserve"> </w:t>
      </w:r>
      <w:r w:rsidRPr="00393D65">
        <w:rPr>
          <w:color w:val="000000"/>
        </w:rPr>
        <w:t>(1990), 51 B.C.L.R. (2d) 84 (C.A.), p. 88</w:t>
      </w:r>
      <w:r w:rsidRPr="00393D65">
        <w:rPr>
          <w:color w:val="000000"/>
        </w:rPr>
        <w:noBreakHyphen/>
        <w:t>89;</w:t>
      </w:r>
      <w:r w:rsidRPr="00393D65">
        <w:t xml:space="preserve"> </w:t>
      </w:r>
      <w:r w:rsidRPr="00A405F4">
        <w:rPr>
          <w:i/>
        </w:rPr>
        <w:t>Pacific National Lease Holding Corp., Re</w:t>
      </w:r>
      <w:r w:rsidRPr="00393D65">
        <w:rPr>
          <w:i/>
        </w:rPr>
        <w:t xml:space="preserve"> </w:t>
      </w:r>
      <w:r w:rsidRPr="00393D65">
        <w:t xml:space="preserve">(1992), 19 B.C.A.C. 134, par. 27).  </w:t>
      </w:r>
      <w:r w:rsidRPr="00393D65">
        <w:rPr>
          <w:lang w:val="fr-CA"/>
        </w:rPr>
        <w:t xml:space="preserve">Ce faisant, le tribunal doit souvent déterminer les divers intérêts en jeu dans la réorganisation, lesquels peuvent fort bien ne pas se limiter aux seuls intérêts du débiteur et des créanciers, mais englober aussi ceux des employés, des administrateurs, des actionnaires et même de tiers qui font affaire avec la compagnie insolvable (voir, p. ex., </w:t>
      </w:r>
      <w:r w:rsidRPr="00393D65">
        <w:rPr>
          <w:i/>
          <w:lang w:val="fr-CA"/>
        </w:rPr>
        <w:t>Canadian Airlines Corp., Re</w:t>
      </w:r>
      <w:r w:rsidRPr="00393D65">
        <w:rPr>
          <w:lang w:val="fr-CA"/>
        </w:rPr>
        <w:t>, 2000 ABQB 442, 84 Alta. L.R. (3d) 9, par. 144, la juge Paperny (</w:t>
      </w:r>
      <w:r w:rsidR="003C3E47">
        <w:rPr>
          <w:lang w:val="fr-CA"/>
        </w:rPr>
        <w:t>maintenant juge de la Cour d’appel</w:t>
      </w:r>
      <w:r w:rsidRPr="00393D65">
        <w:rPr>
          <w:lang w:val="fr-CA"/>
        </w:rPr>
        <w:t xml:space="preserve">); </w:t>
      </w:r>
      <w:r w:rsidRPr="00393D65">
        <w:rPr>
          <w:i/>
          <w:lang w:val="fr-CA"/>
        </w:rPr>
        <w:t>Air Canada, Re</w:t>
      </w:r>
      <w:r w:rsidRPr="00393D65">
        <w:rPr>
          <w:lang w:val="fr-CA"/>
        </w:rPr>
        <w:t xml:space="preserve"> (2003),</w:t>
      </w:r>
      <w:r w:rsidRPr="00393D65">
        <w:rPr>
          <w:i/>
          <w:lang w:val="fr-CA"/>
        </w:rPr>
        <w:t xml:space="preserve"> </w:t>
      </w:r>
      <w:r w:rsidRPr="00393D65">
        <w:rPr>
          <w:lang w:val="fr-CA"/>
        </w:rPr>
        <w:t xml:space="preserve">42 C.B.R. (4th) 173 (C.S.J. Ont.), par. 3; </w:t>
      </w:r>
      <w:r w:rsidRPr="00393D65">
        <w:rPr>
          <w:i/>
          <w:lang w:val="fr-CA"/>
        </w:rPr>
        <w:t>Air Canada</w:t>
      </w:r>
      <w:r w:rsidRPr="00C4683A">
        <w:rPr>
          <w:i/>
          <w:lang w:val="fr-CA"/>
        </w:rPr>
        <w:t>,</w:t>
      </w:r>
      <w:r w:rsidRPr="00393D65">
        <w:rPr>
          <w:lang w:val="fr-CA"/>
        </w:rPr>
        <w:t xml:space="preserve"> </w:t>
      </w:r>
      <w:r w:rsidRPr="00393D65">
        <w:rPr>
          <w:i/>
          <w:lang w:val="fr-CA"/>
        </w:rPr>
        <w:t>Re</w:t>
      </w:r>
      <w:r w:rsidRPr="00393D65">
        <w:rPr>
          <w:lang w:val="fr-CA"/>
        </w:rPr>
        <w:t>,</w:t>
      </w:r>
      <w:r w:rsidRPr="00393D65">
        <w:rPr>
          <w:i/>
          <w:lang w:val="fr-CA"/>
        </w:rPr>
        <w:t xml:space="preserve"> </w:t>
      </w:r>
      <w:r w:rsidRPr="00393D65">
        <w:rPr>
          <w:lang w:val="fr-CA"/>
        </w:rPr>
        <w:t xml:space="preserve">2003 CanLII 49366 (C.S.J. Ont.), par. 13, le juge Farley; Sarra, </w:t>
      </w:r>
      <w:r w:rsidRPr="00393D65">
        <w:rPr>
          <w:i/>
          <w:lang w:val="fr-CA"/>
        </w:rPr>
        <w:t>Creditor Rights</w:t>
      </w:r>
      <w:r w:rsidRPr="00393D65">
        <w:rPr>
          <w:lang w:val="fr-CA"/>
        </w:rPr>
        <w:t>, p. 181</w:t>
      </w:r>
      <w:r w:rsidRPr="00393D65">
        <w:rPr>
          <w:lang w:val="fr-CA"/>
        </w:rPr>
        <w:noBreakHyphen/>
        <w:t>192 et 217</w:t>
      </w:r>
      <w:r w:rsidRPr="00393D65">
        <w:rPr>
          <w:lang w:val="fr-CA"/>
        </w:rPr>
        <w:noBreakHyphen/>
        <w:t>226).  En outre, les tribunaux doivent reconnaître que, à l</w:t>
      </w:r>
      <w:r w:rsidR="00C03762">
        <w:rPr>
          <w:lang w:val="fr-CA"/>
        </w:rPr>
        <w:t>’</w:t>
      </w:r>
      <w:r w:rsidRPr="00393D65">
        <w:rPr>
          <w:lang w:val="fr-CA"/>
        </w:rPr>
        <w:t xml:space="preserve">occasion, certains </w:t>
      </w:r>
      <w:r w:rsidRPr="00393D65">
        <w:rPr>
          <w:lang w:val="fr-CA"/>
        </w:rPr>
        <w:lastRenderedPageBreak/>
        <w:t>aspects de la réorganisation concernent l</w:t>
      </w:r>
      <w:r w:rsidR="00C03762">
        <w:rPr>
          <w:lang w:val="fr-CA"/>
        </w:rPr>
        <w:t>’</w:t>
      </w:r>
      <w:r w:rsidRPr="00393D65">
        <w:rPr>
          <w:lang w:val="fr-CA"/>
        </w:rPr>
        <w:t>intérêt public et qu</w:t>
      </w:r>
      <w:r w:rsidR="00C03762">
        <w:rPr>
          <w:lang w:val="fr-CA"/>
        </w:rPr>
        <w:t>’</w:t>
      </w:r>
      <w:r w:rsidRPr="00393D65">
        <w:rPr>
          <w:lang w:val="fr-CA"/>
        </w:rPr>
        <w:t>il pourrait s</w:t>
      </w:r>
      <w:r w:rsidR="00C03762">
        <w:rPr>
          <w:lang w:val="fr-CA"/>
        </w:rPr>
        <w:t>’</w:t>
      </w:r>
      <w:r w:rsidRPr="00393D65">
        <w:rPr>
          <w:lang w:val="fr-CA"/>
        </w:rPr>
        <w:t>agir d</w:t>
      </w:r>
      <w:r w:rsidR="00C03762">
        <w:rPr>
          <w:lang w:val="fr-CA"/>
        </w:rPr>
        <w:t>’</w:t>
      </w:r>
      <w:r w:rsidRPr="00393D65">
        <w:rPr>
          <w:lang w:val="fr-CA"/>
        </w:rPr>
        <w:t>un facteur devant être pris en compte afin de décider s</w:t>
      </w:r>
      <w:r w:rsidR="00C03762">
        <w:rPr>
          <w:lang w:val="fr-CA"/>
        </w:rPr>
        <w:t>’</w:t>
      </w:r>
      <w:r w:rsidRPr="00393D65">
        <w:rPr>
          <w:lang w:val="fr-CA"/>
        </w:rPr>
        <w:t>il y a lieu d</w:t>
      </w:r>
      <w:r w:rsidR="00C03762">
        <w:rPr>
          <w:lang w:val="fr-CA"/>
        </w:rPr>
        <w:t>’</w:t>
      </w:r>
      <w:r w:rsidRPr="00393D65">
        <w:rPr>
          <w:lang w:val="fr-CA"/>
        </w:rPr>
        <w:t xml:space="preserve">autoriser une mesure donnée (voir, p. ex., </w:t>
      </w:r>
      <w:r w:rsidRPr="00393D65">
        <w:rPr>
          <w:i/>
          <w:lang w:val="fr-CA"/>
        </w:rPr>
        <w:t>Canadian Red Cross Society/Société Canadienne de la Croix Rouge, Re</w:t>
      </w:r>
      <w:r w:rsidRPr="00393D65">
        <w:rPr>
          <w:lang w:val="fr-CA"/>
        </w:rPr>
        <w:t xml:space="preserve"> (2000), 19 C.B.R. (4th) 158 (C.S.J. Ont.), par. 2, le juge Blair (maintenant juge </w:t>
      </w:r>
      <w:r w:rsidR="003C3E47">
        <w:rPr>
          <w:lang w:val="fr-CA"/>
        </w:rPr>
        <w:t>de</w:t>
      </w:r>
      <w:r w:rsidRPr="00393D65">
        <w:rPr>
          <w:lang w:val="fr-CA"/>
        </w:rPr>
        <w:t xml:space="preserve"> la Cour d</w:t>
      </w:r>
      <w:r w:rsidR="00C03762">
        <w:rPr>
          <w:lang w:val="fr-CA"/>
        </w:rPr>
        <w:t>’</w:t>
      </w:r>
      <w:r w:rsidRPr="00393D65">
        <w:rPr>
          <w:lang w:val="fr-CA"/>
        </w:rPr>
        <w:t xml:space="preserve">appel); Sarra, </w:t>
      </w:r>
      <w:r w:rsidRPr="00393D65">
        <w:rPr>
          <w:i/>
          <w:lang w:val="fr-CA"/>
        </w:rPr>
        <w:t>Creditor Rights</w:t>
      </w:r>
      <w:r w:rsidRPr="00393D65">
        <w:rPr>
          <w:lang w:val="fr-CA"/>
        </w:rPr>
        <w:t>, p. 195</w:t>
      </w:r>
      <w:r w:rsidRPr="00393D65">
        <w:rPr>
          <w:lang w:val="fr-CA"/>
        </w:rPr>
        <w:noBreakHyphen/>
        <w:t>214).</w:t>
      </w:r>
    </w:p>
    <w:p w:rsidR="008C3D0D" w:rsidRPr="00393D65" w:rsidRDefault="008C3D0D" w:rsidP="008C3D0D">
      <w:pPr>
        <w:pStyle w:val="ListParagraph"/>
        <w:numPr>
          <w:ilvl w:val="0"/>
          <w:numId w:val="5"/>
        </w:numPr>
        <w:tabs>
          <w:tab w:val="left" w:pos="1170"/>
        </w:tabs>
        <w:spacing w:after="480" w:line="480" w:lineRule="auto"/>
        <w:ind w:left="0" w:firstLine="0"/>
        <w:jc w:val="both"/>
        <w:rPr>
          <w:lang w:val="fr-CA"/>
        </w:rPr>
      </w:pPr>
      <w:r w:rsidRPr="00393D65">
        <w:rPr>
          <w:lang w:val="fr-CA"/>
        </w:rPr>
        <w:t>Quand de grandes entreprises éprouvent des difficultés, les réorganisations deviennent très complexes.  Les tribunaux chargés d</w:t>
      </w:r>
      <w:r w:rsidR="00C03762">
        <w:rPr>
          <w:lang w:val="fr-CA"/>
        </w:rPr>
        <w:t>’</w:t>
      </w:r>
      <w:r w:rsidRPr="00393D65">
        <w:rPr>
          <w:lang w:val="fr-CA"/>
        </w:rPr>
        <w:t xml:space="preserve">appliquer la </w:t>
      </w:r>
      <w:r w:rsidRPr="00393D65">
        <w:rPr>
          <w:i/>
          <w:lang w:val="fr-CA"/>
        </w:rPr>
        <w:t>LACC</w:t>
      </w:r>
      <w:r w:rsidRPr="00393D65">
        <w:rPr>
          <w:lang w:val="fr-CA"/>
        </w:rPr>
        <w:t xml:space="preserve"> ont ainsi été appelés à innover dans l</w:t>
      </w:r>
      <w:r w:rsidR="00C03762">
        <w:rPr>
          <w:lang w:val="fr-CA"/>
        </w:rPr>
        <w:t>’</w:t>
      </w:r>
      <w:r w:rsidRPr="00393D65">
        <w:rPr>
          <w:lang w:val="fr-CA"/>
        </w:rPr>
        <w:t xml:space="preserve">exercice de leur compétence et ne se sont pas limités à suspendre les procédures engagées contre le débiteur afin de lui permettre de procéder à une réorganisation.  On leur a demandé de sanctionner des mesures non expressément prévues par la </w:t>
      </w:r>
      <w:r w:rsidRPr="00393D65">
        <w:rPr>
          <w:i/>
          <w:lang w:val="fr-CA"/>
        </w:rPr>
        <w:t>LACC</w:t>
      </w:r>
      <w:r w:rsidRPr="00393D65">
        <w:rPr>
          <w:lang w:val="fr-CA"/>
        </w:rPr>
        <w:t xml:space="preserve">.  Sans dresser la liste complète des diverses mesures qui ont été prises par des tribunaux en vertu de la </w:t>
      </w:r>
      <w:r w:rsidRPr="00393D65">
        <w:rPr>
          <w:i/>
          <w:lang w:val="fr-CA"/>
        </w:rPr>
        <w:t>LACC</w:t>
      </w:r>
      <w:r w:rsidRPr="00393D65">
        <w:rPr>
          <w:lang w:val="fr-CA"/>
        </w:rPr>
        <w:t>, il est néanmoins utile d</w:t>
      </w:r>
      <w:r w:rsidR="00C03762">
        <w:rPr>
          <w:lang w:val="fr-CA"/>
        </w:rPr>
        <w:t>’</w:t>
      </w:r>
      <w:r w:rsidRPr="00393D65">
        <w:rPr>
          <w:lang w:val="fr-CA"/>
        </w:rPr>
        <w:t>en donner brièvement quelques exemples, pour bien illustrer la marge de manœuvre que la loi accorde à ceux</w:t>
      </w:r>
      <w:r w:rsidRPr="00393D65">
        <w:rPr>
          <w:lang w:val="fr-CA"/>
        </w:rPr>
        <w:noBreakHyphen/>
        <w:t xml:space="preserve">ci. </w:t>
      </w:r>
    </w:p>
    <w:p w:rsidR="008C3D0D" w:rsidRPr="00393D65" w:rsidRDefault="008C3D0D" w:rsidP="008C3D0D">
      <w:pPr>
        <w:pStyle w:val="ListParagraph"/>
        <w:numPr>
          <w:ilvl w:val="0"/>
          <w:numId w:val="5"/>
        </w:numPr>
        <w:tabs>
          <w:tab w:val="left" w:pos="1170"/>
        </w:tabs>
        <w:spacing w:after="480" w:line="480" w:lineRule="auto"/>
        <w:ind w:left="0" w:firstLine="0"/>
        <w:jc w:val="both"/>
        <w:rPr>
          <w:lang w:val="fr-CA"/>
        </w:rPr>
      </w:pPr>
      <w:r w:rsidRPr="00393D65">
        <w:rPr>
          <w:lang w:val="fr-CA"/>
        </w:rPr>
        <w:t>L</w:t>
      </w:r>
      <w:r w:rsidR="00C03762">
        <w:rPr>
          <w:lang w:val="fr-CA"/>
        </w:rPr>
        <w:t>’</w:t>
      </w:r>
      <w:r w:rsidRPr="00393D65">
        <w:rPr>
          <w:lang w:val="fr-CA"/>
        </w:rPr>
        <w:t xml:space="preserve">utilisation la plus créative des pouvoirs conférés par la </w:t>
      </w:r>
      <w:r w:rsidRPr="00393D65">
        <w:rPr>
          <w:i/>
          <w:lang w:val="fr-CA"/>
        </w:rPr>
        <w:t>LACC</w:t>
      </w:r>
      <w:r w:rsidRPr="00393D65">
        <w:rPr>
          <w:lang w:val="fr-CA"/>
        </w:rPr>
        <w:t xml:space="preserve"> est sans doute le fait que les tribunaux se montrent de plus en plus disposés à autoriser, après le dépôt des procédures, la constitution de sûretés pour financer le débiteur demeuré en possession des biens ou encore la constitution de charges super</w:t>
      </w:r>
      <w:r w:rsidRPr="00393D65">
        <w:rPr>
          <w:lang w:val="fr-CA"/>
        </w:rPr>
        <w:noBreakHyphen/>
        <w:t>prioritaires grevant l</w:t>
      </w:r>
      <w:r w:rsidR="00C03762">
        <w:rPr>
          <w:lang w:val="fr-CA"/>
        </w:rPr>
        <w:t>’</w:t>
      </w:r>
      <w:r w:rsidRPr="00393D65">
        <w:rPr>
          <w:lang w:val="fr-CA"/>
        </w:rPr>
        <w:t>actif du débiteur lorsque cela est nécessaire pour que ce dernier puisse continuer d</w:t>
      </w:r>
      <w:r w:rsidR="00C03762">
        <w:rPr>
          <w:lang w:val="fr-CA"/>
        </w:rPr>
        <w:t>’</w:t>
      </w:r>
      <w:r w:rsidRPr="00393D65">
        <w:rPr>
          <w:lang w:val="fr-CA"/>
        </w:rPr>
        <w:t xml:space="preserve">exploiter son entreprise pendant la réorganisation (voir, p. ex., </w:t>
      </w:r>
      <w:r w:rsidRPr="00393D65">
        <w:rPr>
          <w:i/>
          <w:lang w:val="fr-CA"/>
        </w:rPr>
        <w:t>Skydome Corp.</w:t>
      </w:r>
      <w:r w:rsidRPr="00043E3E">
        <w:rPr>
          <w:i/>
          <w:lang w:val="fr-CA"/>
        </w:rPr>
        <w:t xml:space="preserve">, </w:t>
      </w:r>
      <w:r w:rsidRPr="00393D65">
        <w:rPr>
          <w:i/>
          <w:lang w:val="fr-CA"/>
        </w:rPr>
        <w:t>Re</w:t>
      </w:r>
      <w:r w:rsidRPr="00393D65">
        <w:rPr>
          <w:lang w:val="fr-CA"/>
        </w:rPr>
        <w:t xml:space="preserve"> (1998), 16 C.B.R. (4th) 118 (C. Ont. </w:t>
      </w:r>
      <w:r w:rsidRPr="00393D65">
        <w:rPr>
          <w:lang w:val="en-US"/>
        </w:rPr>
        <w:t xml:space="preserve">(Div. gén.)); </w:t>
      </w:r>
      <w:r w:rsidRPr="00393D65">
        <w:rPr>
          <w:i/>
          <w:lang w:val="en-US"/>
        </w:rPr>
        <w:t xml:space="preserve">United Used Auto &amp; Truck Parts </w:t>
      </w:r>
      <w:r w:rsidRPr="00393D65">
        <w:rPr>
          <w:i/>
          <w:lang w:val="en-US"/>
        </w:rPr>
        <w:lastRenderedPageBreak/>
        <w:t>Ltd., Re</w:t>
      </w:r>
      <w:r w:rsidRPr="00393D65">
        <w:rPr>
          <w:lang w:val="en-US"/>
        </w:rPr>
        <w:t xml:space="preserve">, 2000 BCCA 146, 135 B.C.A.C. 96, conf. </w:t>
      </w:r>
      <w:r w:rsidRPr="00393D65">
        <w:rPr>
          <w:lang w:val="fr-CA"/>
        </w:rPr>
        <w:t>(1999), 12 C.B.R. (4th) 144 (C.S.); et, d</w:t>
      </w:r>
      <w:r w:rsidR="00C03762">
        <w:rPr>
          <w:lang w:val="fr-CA"/>
        </w:rPr>
        <w:t>’</w:t>
      </w:r>
      <w:r w:rsidRPr="00393D65">
        <w:rPr>
          <w:lang w:val="fr-CA"/>
        </w:rPr>
        <w:t xml:space="preserve">une manière générale, J. P. Sarra, </w:t>
      </w:r>
      <w:r w:rsidRPr="00393D65">
        <w:rPr>
          <w:i/>
          <w:lang w:val="fr-CA"/>
        </w:rPr>
        <w:t>Rescue! The Companies</w:t>
      </w:r>
      <w:r w:rsidR="00C03762">
        <w:rPr>
          <w:i/>
          <w:lang w:val="fr-CA"/>
        </w:rPr>
        <w:t>’</w:t>
      </w:r>
      <w:r w:rsidRPr="00393D65">
        <w:rPr>
          <w:i/>
          <w:lang w:val="fr-CA"/>
        </w:rPr>
        <w:t xml:space="preserve"> Creditors Arrangement Act</w:t>
      </w:r>
      <w:r w:rsidRPr="00393D65">
        <w:rPr>
          <w:lang w:val="fr-CA"/>
        </w:rPr>
        <w:t xml:space="preserve"> (2007), p. 93</w:t>
      </w:r>
      <w:r w:rsidRPr="00393D65">
        <w:rPr>
          <w:lang w:val="fr-CA"/>
        </w:rPr>
        <w:noBreakHyphen/>
        <w:t xml:space="preserve">115).  La </w:t>
      </w:r>
      <w:r w:rsidRPr="00393D65">
        <w:rPr>
          <w:i/>
          <w:lang w:val="fr-CA"/>
        </w:rPr>
        <w:t>LACC</w:t>
      </w:r>
      <w:r w:rsidRPr="00393D65">
        <w:rPr>
          <w:lang w:val="fr-CA"/>
        </w:rPr>
        <w:t xml:space="preserve"> a aussi été utilisée pour libérer des tiers des actions susceptibles d</w:t>
      </w:r>
      <w:r w:rsidR="00C03762">
        <w:rPr>
          <w:lang w:val="fr-CA"/>
        </w:rPr>
        <w:t>’</w:t>
      </w:r>
      <w:r w:rsidRPr="00393D65">
        <w:rPr>
          <w:lang w:val="fr-CA"/>
        </w:rPr>
        <w:t>être intentées contre eux, dans le cadre de l</w:t>
      </w:r>
      <w:r w:rsidR="00C03762">
        <w:rPr>
          <w:lang w:val="fr-CA"/>
        </w:rPr>
        <w:t>’</w:t>
      </w:r>
      <w:r w:rsidRPr="00393D65">
        <w:rPr>
          <w:lang w:val="fr-CA"/>
        </w:rPr>
        <w:t>approbation d</w:t>
      </w:r>
      <w:r w:rsidR="00C03762">
        <w:rPr>
          <w:lang w:val="fr-CA"/>
        </w:rPr>
        <w:t>’</w:t>
      </w:r>
      <w:r w:rsidRPr="00393D65">
        <w:rPr>
          <w:lang w:val="fr-CA"/>
        </w:rPr>
        <w:t>un plan global d</w:t>
      </w:r>
      <w:r w:rsidR="00C03762">
        <w:rPr>
          <w:lang w:val="fr-CA"/>
        </w:rPr>
        <w:t>’</w:t>
      </w:r>
      <w:r w:rsidRPr="00393D65">
        <w:rPr>
          <w:lang w:val="fr-CA"/>
        </w:rPr>
        <w:t xml:space="preserve">arrangement et de transaction, malgré les objections de certains créanciers dissidents (voir </w:t>
      </w:r>
      <w:r w:rsidRPr="00393D65">
        <w:rPr>
          <w:i/>
          <w:lang w:val="fr-CA"/>
        </w:rPr>
        <w:t>Metcalfe &amp; Mansfield</w:t>
      </w:r>
      <w:r w:rsidRPr="00393D65">
        <w:rPr>
          <w:lang w:val="fr-CA"/>
        </w:rPr>
        <w:t>).  Au départ, la nomination d</w:t>
      </w:r>
      <w:r w:rsidR="00C03762">
        <w:rPr>
          <w:lang w:val="fr-CA"/>
        </w:rPr>
        <w:t>’</w:t>
      </w:r>
      <w:r w:rsidRPr="00393D65">
        <w:rPr>
          <w:lang w:val="fr-CA"/>
        </w:rPr>
        <w:t xml:space="preserve">un contrôleur chargé de surveiller la réorganisation était elle aussi une mesure prise en vertu du pouvoir de surveillance conféré par la </w:t>
      </w:r>
      <w:r w:rsidRPr="00393D65">
        <w:rPr>
          <w:i/>
          <w:lang w:val="fr-CA"/>
        </w:rPr>
        <w:t>LACC</w:t>
      </w:r>
      <w:r w:rsidRPr="00393D65">
        <w:rPr>
          <w:lang w:val="fr-CA"/>
        </w:rPr>
        <w:t>, mais le législateur est intervenu et a modifié la loi pour rendre cette mesure obligatoire.</w:t>
      </w:r>
    </w:p>
    <w:p w:rsidR="008C3D0D" w:rsidRPr="00393D65" w:rsidRDefault="008C3D0D" w:rsidP="008C3D0D">
      <w:pPr>
        <w:pStyle w:val="ListParagraph"/>
        <w:numPr>
          <w:ilvl w:val="0"/>
          <w:numId w:val="5"/>
        </w:numPr>
        <w:tabs>
          <w:tab w:val="left" w:pos="1170"/>
        </w:tabs>
        <w:spacing w:after="480" w:line="480" w:lineRule="auto"/>
        <w:ind w:left="0" w:firstLine="0"/>
        <w:jc w:val="both"/>
        <w:rPr>
          <w:lang w:val="fr-CA"/>
        </w:rPr>
      </w:pPr>
      <w:r w:rsidRPr="00393D65">
        <w:rPr>
          <w:lang w:val="fr-CA"/>
        </w:rPr>
        <w:t>L</w:t>
      </w:r>
      <w:r w:rsidR="00C03762">
        <w:rPr>
          <w:lang w:val="fr-CA"/>
        </w:rPr>
        <w:t>’</w:t>
      </w:r>
      <w:r w:rsidRPr="00393D65">
        <w:rPr>
          <w:lang w:val="fr-CA"/>
        </w:rPr>
        <w:t>esprit d</w:t>
      </w:r>
      <w:r w:rsidR="00C03762">
        <w:rPr>
          <w:lang w:val="fr-CA"/>
        </w:rPr>
        <w:t>’</w:t>
      </w:r>
      <w:r w:rsidRPr="00393D65">
        <w:rPr>
          <w:lang w:val="fr-CA"/>
        </w:rPr>
        <w:t xml:space="preserve">innovation dont ont fait montre les tribunaux pendant des procédures fondées sur la </w:t>
      </w:r>
      <w:r w:rsidRPr="00393D65">
        <w:rPr>
          <w:i/>
          <w:lang w:val="fr-CA"/>
        </w:rPr>
        <w:t>LACC</w:t>
      </w:r>
      <w:r w:rsidRPr="00393D65">
        <w:rPr>
          <w:lang w:val="fr-CA"/>
        </w:rPr>
        <w:t xml:space="preserve"> n</w:t>
      </w:r>
      <w:r w:rsidR="00C03762">
        <w:rPr>
          <w:lang w:val="fr-CA"/>
        </w:rPr>
        <w:t>’</w:t>
      </w:r>
      <w:r w:rsidRPr="00393D65">
        <w:rPr>
          <w:lang w:val="fr-CA"/>
        </w:rPr>
        <w:t>a toutefois pas été sans susciter de controverses.  Au moins deux des questions que soulève leur approche sont directement pertinentes en l</w:t>
      </w:r>
      <w:r w:rsidR="00C03762">
        <w:rPr>
          <w:lang w:val="fr-CA"/>
        </w:rPr>
        <w:t>’</w:t>
      </w:r>
      <w:r w:rsidRPr="00393D65">
        <w:rPr>
          <w:lang w:val="fr-CA"/>
        </w:rPr>
        <w:t xml:space="preserve">espèce : (1) Quelles sont les sources des pouvoirs dont dispose le tribunal pendant les procédures fondées sur la </w:t>
      </w:r>
      <w:r w:rsidRPr="00393D65">
        <w:rPr>
          <w:i/>
          <w:lang w:val="fr-CA"/>
        </w:rPr>
        <w:t>LACC</w:t>
      </w:r>
      <w:r w:rsidRPr="00393D65">
        <w:rPr>
          <w:lang w:val="fr-CA"/>
        </w:rPr>
        <w:t>? (2) Quelles sont les limites de ces pouvoirs?</w:t>
      </w:r>
    </w:p>
    <w:p w:rsidR="008C3D0D" w:rsidRPr="00393D65" w:rsidRDefault="008C3D0D" w:rsidP="008C3D0D">
      <w:pPr>
        <w:pStyle w:val="ListParagraph"/>
        <w:numPr>
          <w:ilvl w:val="0"/>
          <w:numId w:val="5"/>
        </w:numPr>
        <w:tabs>
          <w:tab w:val="left" w:pos="1170"/>
        </w:tabs>
        <w:spacing w:after="480" w:line="480" w:lineRule="auto"/>
        <w:ind w:left="0" w:firstLine="0"/>
        <w:jc w:val="both"/>
        <w:rPr>
          <w:lang w:val="fr-CA"/>
        </w:rPr>
      </w:pPr>
      <w:r w:rsidRPr="00393D65">
        <w:rPr>
          <w:lang w:val="fr-CA"/>
        </w:rPr>
        <w:t>La première question porte sur la frontière entre les pouvoirs d</w:t>
      </w:r>
      <w:r w:rsidR="00C03762">
        <w:rPr>
          <w:lang w:val="fr-CA"/>
        </w:rPr>
        <w:t>’</w:t>
      </w:r>
      <w:r w:rsidRPr="00393D65">
        <w:rPr>
          <w:lang w:val="fr-CA"/>
        </w:rPr>
        <w:t xml:space="preserve">origine législative dont dispose le tribunal en vertu de la </w:t>
      </w:r>
      <w:r w:rsidRPr="00393D65">
        <w:rPr>
          <w:i/>
          <w:lang w:val="fr-CA"/>
        </w:rPr>
        <w:t>LACC</w:t>
      </w:r>
      <w:r w:rsidRPr="00393D65">
        <w:rPr>
          <w:lang w:val="fr-CA"/>
        </w:rPr>
        <w:t xml:space="preserve"> et les pouvoirs résiduels dont jouit un tribunal en raison de sa compétence inhérente et de sa compétence en equity, lorsqu</w:t>
      </w:r>
      <w:r w:rsidR="00C03762">
        <w:rPr>
          <w:lang w:val="fr-CA"/>
        </w:rPr>
        <w:t>’</w:t>
      </w:r>
      <w:r w:rsidRPr="00393D65">
        <w:rPr>
          <w:lang w:val="fr-CA"/>
        </w:rPr>
        <w:t>il est question de surveiller une réorganisation.  Pour justifier certaines mesures autorisées à l</w:t>
      </w:r>
      <w:r w:rsidR="00C03762">
        <w:rPr>
          <w:lang w:val="fr-CA"/>
        </w:rPr>
        <w:t>’</w:t>
      </w:r>
      <w:r w:rsidRPr="00393D65">
        <w:rPr>
          <w:lang w:val="fr-CA"/>
        </w:rPr>
        <w:t xml:space="preserve">occasion de procédures engagées sous le régime de la </w:t>
      </w:r>
      <w:r w:rsidRPr="00393D65">
        <w:rPr>
          <w:i/>
          <w:lang w:val="fr-CA"/>
        </w:rPr>
        <w:t>LACC</w:t>
      </w:r>
      <w:r w:rsidRPr="00393D65">
        <w:rPr>
          <w:lang w:val="fr-CA"/>
        </w:rPr>
        <w:t xml:space="preserve">, les tribunaux ont parfois prétendu se fonder sur leur compétence en equity dans le but </w:t>
      </w:r>
      <w:r w:rsidRPr="00393D65">
        <w:rPr>
          <w:lang w:val="fr-CA"/>
        </w:rPr>
        <w:lastRenderedPageBreak/>
        <w:t>de réaliser les objectifs de la Loi ou sur leur compétence inhérente afin de combler les lacunes de celle</w:t>
      </w:r>
      <w:r w:rsidRPr="00393D65">
        <w:rPr>
          <w:lang w:val="fr-CA"/>
        </w:rPr>
        <w:noBreakHyphen/>
        <w:t>ci.  Or, dans de récentes décisions, des cours d</w:t>
      </w:r>
      <w:r w:rsidR="00C03762">
        <w:rPr>
          <w:lang w:val="fr-CA"/>
        </w:rPr>
        <w:t>’</w:t>
      </w:r>
      <w:r w:rsidRPr="00393D65">
        <w:rPr>
          <w:lang w:val="fr-CA"/>
        </w:rPr>
        <w:t>appel ont déconseillé aux tribunaux d</w:t>
      </w:r>
      <w:r w:rsidR="00C03762">
        <w:rPr>
          <w:lang w:val="fr-CA"/>
        </w:rPr>
        <w:t>’</w:t>
      </w:r>
      <w:r w:rsidRPr="00393D65">
        <w:rPr>
          <w:lang w:val="fr-CA"/>
        </w:rPr>
        <w:t>invoquer leur compétence inhérente, concluant qu</w:t>
      </w:r>
      <w:r w:rsidR="00C03762">
        <w:rPr>
          <w:lang w:val="fr-CA"/>
        </w:rPr>
        <w:t>’</w:t>
      </w:r>
      <w:r w:rsidRPr="00393D65">
        <w:rPr>
          <w:lang w:val="fr-CA"/>
        </w:rPr>
        <w:t>il est plus juste de dire que, dans la plupart des cas, les tribunaux ne font simplement qu</w:t>
      </w:r>
      <w:r w:rsidR="00C03762">
        <w:rPr>
          <w:lang w:val="fr-CA"/>
        </w:rPr>
        <w:t>’</w:t>
      </w:r>
      <w:r w:rsidRPr="00393D65">
        <w:rPr>
          <w:lang w:val="fr-CA"/>
        </w:rPr>
        <w:t xml:space="preserve">interpréter les pouvoirs se trouvant dans la </w:t>
      </w:r>
      <w:r w:rsidRPr="00393D65">
        <w:rPr>
          <w:i/>
          <w:lang w:val="fr-CA"/>
        </w:rPr>
        <w:t>LACC</w:t>
      </w:r>
      <w:r w:rsidRPr="00393D65">
        <w:rPr>
          <w:lang w:val="fr-CA"/>
        </w:rPr>
        <w:t xml:space="preserve"> elle</w:t>
      </w:r>
      <w:r w:rsidRPr="00393D65">
        <w:rPr>
          <w:lang w:val="fr-CA"/>
        </w:rPr>
        <w:noBreakHyphen/>
        <w:t xml:space="preserve">même (voir, p. ex., </w:t>
      </w:r>
      <w:r w:rsidRPr="00393D65">
        <w:rPr>
          <w:i/>
          <w:lang w:val="fr-CA"/>
        </w:rPr>
        <w:t>Skeena Cellulose Inc., Re</w:t>
      </w:r>
      <w:r w:rsidRPr="00393D65">
        <w:rPr>
          <w:lang w:val="fr-CA"/>
        </w:rPr>
        <w:t>, 2003 BCCA 344, 13 B.C.L.R. (4th) 236, par. 45</w:t>
      </w:r>
      <w:r w:rsidRPr="00393D65">
        <w:rPr>
          <w:lang w:val="fr-CA"/>
        </w:rPr>
        <w:noBreakHyphen/>
        <w:t xml:space="preserve">47, la juge Newbury; </w:t>
      </w:r>
      <w:r w:rsidRPr="00393D65">
        <w:rPr>
          <w:i/>
          <w:lang w:val="fr-CA"/>
        </w:rPr>
        <w:t>Stelco Inc. (Re)</w:t>
      </w:r>
      <w:r w:rsidRPr="00393D65">
        <w:rPr>
          <w:lang w:val="fr-CA"/>
        </w:rPr>
        <w:t xml:space="preserve"> (2005), 75 O.R. (3d) 5 (C.A.), par. 31</w:t>
      </w:r>
      <w:r w:rsidRPr="00393D65">
        <w:rPr>
          <w:lang w:val="fr-CA"/>
        </w:rPr>
        <w:noBreakHyphen/>
        <w:t>33, le juge Blair).</w:t>
      </w:r>
    </w:p>
    <w:p w:rsidR="008C3D0D" w:rsidRPr="00393D65" w:rsidRDefault="008C3D0D" w:rsidP="008C3D0D">
      <w:pPr>
        <w:pStyle w:val="ListParagraph"/>
        <w:numPr>
          <w:ilvl w:val="0"/>
          <w:numId w:val="5"/>
        </w:numPr>
        <w:tabs>
          <w:tab w:val="left" w:pos="1170"/>
        </w:tabs>
        <w:spacing w:after="480" w:line="480" w:lineRule="auto"/>
        <w:ind w:left="0" w:firstLine="0"/>
        <w:jc w:val="both"/>
        <w:rPr>
          <w:lang w:val="fr-CA"/>
        </w:rPr>
      </w:pPr>
      <w:r w:rsidRPr="00393D65">
        <w:rPr>
          <w:lang w:val="fr-CA"/>
        </w:rPr>
        <w:t>Je suis d</w:t>
      </w:r>
      <w:r w:rsidR="00C03762">
        <w:rPr>
          <w:lang w:val="fr-CA"/>
        </w:rPr>
        <w:t>’</w:t>
      </w:r>
      <w:r w:rsidRPr="00393D65">
        <w:rPr>
          <w:lang w:val="fr-CA"/>
        </w:rPr>
        <w:t>accord avec la juge Georgina R. Jackson et la professeure Janis Sarra pour dire que la méthode la plus appropriée est une approche hiérarchisée.  Suivant cette approche, les tribunaux procédèrent d</w:t>
      </w:r>
      <w:r w:rsidR="00C03762">
        <w:rPr>
          <w:lang w:val="fr-CA"/>
        </w:rPr>
        <w:t>’</w:t>
      </w:r>
      <w:r w:rsidRPr="00393D65">
        <w:rPr>
          <w:lang w:val="fr-CA"/>
        </w:rPr>
        <w:t xml:space="preserve">abord à une interprétation des dispositions de la </w:t>
      </w:r>
      <w:r w:rsidRPr="00393D65">
        <w:rPr>
          <w:i/>
          <w:lang w:val="fr-CA"/>
        </w:rPr>
        <w:t>LACC</w:t>
      </w:r>
      <w:r w:rsidRPr="00393D65">
        <w:rPr>
          <w:lang w:val="fr-CA"/>
        </w:rPr>
        <w:t xml:space="preserve"> avant d</w:t>
      </w:r>
      <w:r w:rsidR="00C03762">
        <w:rPr>
          <w:lang w:val="fr-CA"/>
        </w:rPr>
        <w:t>’</w:t>
      </w:r>
      <w:r w:rsidRPr="00393D65">
        <w:rPr>
          <w:lang w:val="fr-CA"/>
        </w:rPr>
        <w:t>invoquer leur compétence inhérente ou leur compétence en equity pour justifier des mesures prises dans le cadre d</w:t>
      </w:r>
      <w:r w:rsidR="00C03762">
        <w:rPr>
          <w:lang w:val="fr-CA"/>
        </w:rPr>
        <w:t>’</w:t>
      </w:r>
      <w:r w:rsidRPr="00393D65">
        <w:rPr>
          <w:lang w:val="fr-CA"/>
        </w:rPr>
        <w:t xml:space="preserve">une procédure fondée sur la </w:t>
      </w:r>
      <w:r w:rsidRPr="00393D65">
        <w:rPr>
          <w:i/>
          <w:lang w:val="fr-CA"/>
        </w:rPr>
        <w:t>LACC</w:t>
      </w:r>
      <w:r w:rsidRPr="00393D65">
        <w:rPr>
          <w:lang w:val="fr-CA"/>
        </w:rPr>
        <w:t xml:space="preserve"> (voir G. R. Jackson et J. Sarra, « Selecting the Judicial Tool to get the Job Done </w:t>
      </w:r>
      <w:r w:rsidR="00B051D6" w:rsidRPr="00B051D6">
        <w:rPr>
          <w:lang w:val="fr-CA"/>
        </w:rPr>
        <w:t>: An Examination of Statutory Interpretation, Discretionary Power and Inherent Jurisdiction in Insolvency Matters</w:t>
      </w:r>
      <w:r w:rsidR="00B051D6">
        <w:rPr>
          <w:lang w:val="fr-CA"/>
        </w:rPr>
        <w:t xml:space="preserve"> </w:t>
      </w:r>
      <w:r w:rsidRPr="00393D65">
        <w:rPr>
          <w:lang w:val="fr-CA"/>
        </w:rPr>
        <w:t xml:space="preserve">», dans J. P. Sarra, dir., </w:t>
      </w:r>
      <w:r w:rsidRPr="00393D65">
        <w:rPr>
          <w:i/>
          <w:lang w:val="fr-CA"/>
        </w:rPr>
        <w:t>Annual Review of Insolvency Law</w:t>
      </w:r>
      <w:r w:rsidRPr="00393D65">
        <w:rPr>
          <w:lang w:val="fr-CA"/>
        </w:rPr>
        <w:t xml:space="preserve"> </w:t>
      </w:r>
      <w:r w:rsidRPr="00393D65">
        <w:rPr>
          <w:i/>
          <w:lang w:val="fr-CA"/>
        </w:rPr>
        <w:t>2007</w:t>
      </w:r>
      <w:r w:rsidRPr="00393D65">
        <w:rPr>
          <w:lang w:val="fr-CA"/>
        </w:rPr>
        <w:t xml:space="preserve"> (2008), 41, p. 42).  Selon ces auteures, pourvu qu</w:t>
      </w:r>
      <w:r w:rsidR="00C03762">
        <w:rPr>
          <w:lang w:val="fr-CA"/>
        </w:rPr>
        <w:t>’</w:t>
      </w:r>
      <w:r w:rsidRPr="00393D65">
        <w:rPr>
          <w:lang w:val="fr-CA"/>
        </w:rPr>
        <w:t>on lui donne l</w:t>
      </w:r>
      <w:r w:rsidR="00C03762">
        <w:rPr>
          <w:lang w:val="fr-CA"/>
        </w:rPr>
        <w:t>’</w:t>
      </w:r>
      <w:r w:rsidRPr="00393D65">
        <w:rPr>
          <w:lang w:val="fr-CA"/>
        </w:rPr>
        <w:t>interprétation téléologique et large qui s</w:t>
      </w:r>
      <w:r w:rsidR="00C03762">
        <w:rPr>
          <w:lang w:val="fr-CA"/>
        </w:rPr>
        <w:t>’</w:t>
      </w:r>
      <w:r w:rsidRPr="00393D65">
        <w:rPr>
          <w:lang w:val="fr-CA"/>
        </w:rPr>
        <w:t xml:space="preserve">impose, la </w:t>
      </w:r>
      <w:r w:rsidRPr="00393D65">
        <w:rPr>
          <w:i/>
          <w:lang w:val="fr-CA"/>
        </w:rPr>
        <w:t xml:space="preserve">LACC </w:t>
      </w:r>
      <w:r w:rsidRPr="00393D65">
        <w:rPr>
          <w:lang w:val="fr-CA"/>
        </w:rPr>
        <w:t>permettra dans la plupart des cas de justifier les mesures nécessaires à la réalisation de ses objectifs (p. 94).</w:t>
      </w:r>
    </w:p>
    <w:p w:rsidR="008C3D0D" w:rsidRPr="00393D65" w:rsidRDefault="008C3D0D" w:rsidP="008C3D0D">
      <w:pPr>
        <w:pStyle w:val="ListParagraph"/>
        <w:numPr>
          <w:ilvl w:val="0"/>
          <w:numId w:val="5"/>
        </w:numPr>
        <w:tabs>
          <w:tab w:val="left" w:pos="1170"/>
        </w:tabs>
        <w:spacing w:after="480" w:line="480" w:lineRule="auto"/>
        <w:ind w:left="0" w:firstLine="0"/>
        <w:jc w:val="both"/>
        <w:rPr>
          <w:lang w:val="fr-CA"/>
        </w:rPr>
      </w:pPr>
      <w:r w:rsidRPr="00393D65">
        <w:rPr>
          <w:lang w:val="fr-CA"/>
        </w:rPr>
        <w:t>L</w:t>
      </w:r>
      <w:r w:rsidR="00C03762">
        <w:rPr>
          <w:lang w:val="fr-CA"/>
        </w:rPr>
        <w:t>’</w:t>
      </w:r>
      <w:r w:rsidRPr="00393D65">
        <w:rPr>
          <w:lang w:val="fr-CA"/>
        </w:rPr>
        <w:t xml:space="preserve">examen des parties pertinentes de la </w:t>
      </w:r>
      <w:r w:rsidRPr="00393D65">
        <w:rPr>
          <w:i/>
          <w:lang w:val="fr-CA"/>
        </w:rPr>
        <w:t>LACC</w:t>
      </w:r>
      <w:r w:rsidRPr="00393D65">
        <w:rPr>
          <w:lang w:val="fr-CA"/>
        </w:rPr>
        <w:t xml:space="preserve"> et de l</w:t>
      </w:r>
      <w:r w:rsidR="00C03762">
        <w:rPr>
          <w:lang w:val="fr-CA"/>
        </w:rPr>
        <w:t>’</w:t>
      </w:r>
      <w:r w:rsidRPr="00393D65">
        <w:rPr>
          <w:lang w:val="fr-CA"/>
        </w:rPr>
        <w:t xml:space="preserve">évolution récente de la législation me font adhérer à ce point de vue jurisprudentiel et doctrinal : dans la </w:t>
      </w:r>
      <w:r w:rsidRPr="00393D65">
        <w:rPr>
          <w:lang w:val="fr-CA"/>
        </w:rPr>
        <w:lastRenderedPageBreak/>
        <w:t xml:space="preserve">plupart des cas, la décision de rendre une ordonnance durant une procédure fondée sur la </w:t>
      </w:r>
      <w:r w:rsidRPr="00393D65">
        <w:rPr>
          <w:i/>
          <w:lang w:val="fr-CA"/>
        </w:rPr>
        <w:t>LACC</w:t>
      </w:r>
      <w:r w:rsidRPr="00393D65">
        <w:rPr>
          <w:lang w:val="fr-CA"/>
        </w:rPr>
        <w:t xml:space="preserve"> relève de l</w:t>
      </w:r>
      <w:r w:rsidR="00C03762">
        <w:rPr>
          <w:lang w:val="fr-CA"/>
        </w:rPr>
        <w:t>’</w:t>
      </w:r>
      <w:r w:rsidRPr="00393D65">
        <w:rPr>
          <w:lang w:val="fr-CA"/>
        </w:rPr>
        <w:t>interprétation législative.  D</w:t>
      </w:r>
      <w:r w:rsidR="00C03762">
        <w:rPr>
          <w:lang w:val="fr-CA"/>
        </w:rPr>
        <w:t>’</w:t>
      </w:r>
      <w:r w:rsidRPr="00393D65">
        <w:rPr>
          <w:lang w:val="fr-CA"/>
        </w:rPr>
        <w:t>ailleurs, à cet égard, il faut souligner d</w:t>
      </w:r>
      <w:r w:rsidR="00C03762">
        <w:rPr>
          <w:lang w:val="fr-CA"/>
        </w:rPr>
        <w:t>’</w:t>
      </w:r>
      <w:r w:rsidRPr="00393D65">
        <w:rPr>
          <w:lang w:val="fr-CA"/>
        </w:rPr>
        <w:t>une façon particulière que le texte de loi dont il est question en l</w:t>
      </w:r>
      <w:r w:rsidR="00C03762">
        <w:rPr>
          <w:lang w:val="fr-CA"/>
        </w:rPr>
        <w:t>’</w:t>
      </w:r>
      <w:r w:rsidRPr="00393D65">
        <w:rPr>
          <w:lang w:val="fr-CA"/>
        </w:rPr>
        <w:t>espèce peut être interprété très largement.</w:t>
      </w:r>
    </w:p>
    <w:p w:rsidR="008C3D0D" w:rsidRPr="00393D65" w:rsidRDefault="008C3D0D" w:rsidP="008C3D0D">
      <w:pPr>
        <w:pStyle w:val="ListParagraph"/>
        <w:numPr>
          <w:ilvl w:val="0"/>
          <w:numId w:val="5"/>
        </w:numPr>
        <w:tabs>
          <w:tab w:val="left" w:pos="1170"/>
        </w:tabs>
        <w:spacing w:after="480" w:line="480" w:lineRule="auto"/>
        <w:ind w:left="0" w:firstLine="0"/>
        <w:jc w:val="both"/>
        <w:rPr>
          <w:lang w:val="fr-CA"/>
        </w:rPr>
      </w:pPr>
      <w:r w:rsidRPr="00393D65">
        <w:rPr>
          <w:lang w:val="fr-CA"/>
        </w:rPr>
        <w:t xml:space="preserve">En vertu du pouvoir conféré initialement par la </w:t>
      </w:r>
      <w:r w:rsidRPr="00393D65">
        <w:rPr>
          <w:i/>
          <w:lang w:val="fr-CA"/>
        </w:rPr>
        <w:t>LACC</w:t>
      </w:r>
      <w:r w:rsidRPr="00393D65">
        <w:rPr>
          <w:lang w:val="fr-CA"/>
        </w:rPr>
        <w:t>, le tribunal pouvait, « chaque fois qu</w:t>
      </w:r>
      <w:r w:rsidR="00C03762">
        <w:rPr>
          <w:lang w:val="fr-CA"/>
        </w:rPr>
        <w:t>’</w:t>
      </w:r>
      <w:r w:rsidRPr="00393D65">
        <w:rPr>
          <w:lang w:val="fr-CA"/>
        </w:rPr>
        <w:t>une demande [était] faite sous le régime de la présente loi à l</w:t>
      </w:r>
      <w:r w:rsidR="00C03762">
        <w:rPr>
          <w:lang w:val="fr-CA"/>
        </w:rPr>
        <w:t>’</w:t>
      </w:r>
      <w:r w:rsidRPr="00393D65">
        <w:rPr>
          <w:lang w:val="fr-CA"/>
        </w:rPr>
        <w:t>égard d</w:t>
      </w:r>
      <w:r w:rsidR="00C03762">
        <w:rPr>
          <w:lang w:val="fr-CA"/>
        </w:rPr>
        <w:t>’</w:t>
      </w:r>
      <w:r w:rsidRPr="00393D65">
        <w:rPr>
          <w:lang w:val="fr-CA"/>
        </w:rPr>
        <w:t>une compagnie, [. . .] sur demande d</w:t>
      </w:r>
      <w:r w:rsidR="00C03762">
        <w:rPr>
          <w:lang w:val="fr-CA"/>
        </w:rPr>
        <w:t>’</w:t>
      </w:r>
      <w:r w:rsidRPr="00393D65">
        <w:rPr>
          <w:lang w:val="fr-CA"/>
        </w:rPr>
        <w:t>un intéressé, [. . .] sous réserve des autres dispositions de la présente loi [. . .] rendre l</w:t>
      </w:r>
      <w:r w:rsidR="00C03762">
        <w:rPr>
          <w:lang w:val="fr-CA"/>
        </w:rPr>
        <w:t>’</w:t>
      </w:r>
      <w:r w:rsidRPr="00393D65">
        <w:rPr>
          <w:lang w:val="fr-CA"/>
        </w:rPr>
        <w:t>ordonnance prévue au présent article » (</w:t>
      </w:r>
      <w:r w:rsidRPr="00393D65">
        <w:rPr>
          <w:i/>
          <w:lang w:val="fr-CA"/>
        </w:rPr>
        <w:t>LACC</w:t>
      </w:r>
      <w:r w:rsidRPr="00393D65">
        <w:rPr>
          <w:lang w:val="fr-CA"/>
        </w:rPr>
        <w:t>, par. 11(1)).  Cette formulation claire était très générale.</w:t>
      </w:r>
    </w:p>
    <w:p w:rsidR="008C3D0D" w:rsidRPr="00393D65" w:rsidRDefault="008C3D0D" w:rsidP="008C3D0D">
      <w:pPr>
        <w:pStyle w:val="ListParagraph"/>
        <w:numPr>
          <w:ilvl w:val="0"/>
          <w:numId w:val="5"/>
        </w:numPr>
        <w:tabs>
          <w:tab w:val="left" w:pos="1170"/>
        </w:tabs>
        <w:spacing w:after="480" w:line="480" w:lineRule="auto"/>
        <w:ind w:left="0" w:firstLine="0"/>
        <w:jc w:val="both"/>
        <w:rPr>
          <w:lang w:val="fr-CA"/>
        </w:rPr>
      </w:pPr>
      <w:r w:rsidRPr="00393D65">
        <w:rPr>
          <w:lang w:val="fr-CA"/>
        </w:rPr>
        <w:t>Bien que ces dispositions ne soient pas strictement applicables en l</w:t>
      </w:r>
      <w:r w:rsidR="00C03762">
        <w:rPr>
          <w:lang w:val="fr-CA"/>
        </w:rPr>
        <w:t>’</w:t>
      </w:r>
      <w:r w:rsidRPr="00393D65">
        <w:rPr>
          <w:lang w:val="fr-CA"/>
        </w:rPr>
        <w:t xml:space="preserve">espèce, je signale à ce propos que le législateur a, dans des modifications récentes, apporté au texte du par. 11(1) un changement qui rend plus explicite le pouvoir discrétionnaire conféré au tribunal par la </w:t>
      </w:r>
      <w:r w:rsidRPr="00393D65">
        <w:rPr>
          <w:i/>
          <w:lang w:val="fr-CA"/>
        </w:rPr>
        <w:t>LACC</w:t>
      </w:r>
      <w:r w:rsidRPr="00393D65">
        <w:rPr>
          <w:lang w:val="fr-CA"/>
        </w:rPr>
        <w:t>.  Ainsi, aux termes de l</w:t>
      </w:r>
      <w:r w:rsidR="00C03762">
        <w:rPr>
          <w:lang w:val="fr-CA"/>
        </w:rPr>
        <w:t>’</w:t>
      </w:r>
      <w:r w:rsidRPr="00393D65">
        <w:rPr>
          <w:lang w:val="fr-CA"/>
        </w:rPr>
        <w:t xml:space="preserve">art. 11 actuel de la </w:t>
      </w:r>
      <w:r w:rsidRPr="00393D65">
        <w:rPr>
          <w:i/>
          <w:lang w:val="fr-CA"/>
        </w:rPr>
        <w:t>LACC</w:t>
      </w:r>
      <w:r w:rsidRPr="00393D65">
        <w:rPr>
          <w:lang w:val="fr-CA"/>
        </w:rPr>
        <w:t xml:space="preserve">, le tribunal peut « rendre [. . .] sous réserve des restrictions prévues par la présente loi [. . .] </w:t>
      </w:r>
      <w:r w:rsidRPr="00F94EB8">
        <w:rPr>
          <w:lang w:val="fr-CA"/>
        </w:rPr>
        <w:t>toute</w:t>
      </w:r>
      <w:r w:rsidRPr="00F94EB8">
        <w:rPr>
          <w:i/>
          <w:lang w:val="fr-CA"/>
        </w:rPr>
        <w:t xml:space="preserve"> </w:t>
      </w:r>
      <w:r w:rsidRPr="00F94EB8">
        <w:rPr>
          <w:lang w:val="fr-CA"/>
        </w:rPr>
        <w:t>ordonnance qu</w:t>
      </w:r>
      <w:r w:rsidR="00C03762" w:rsidRPr="00F94EB8">
        <w:rPr>
          <w:lang w:val="fr-CA"/>
        </w:rPr>
        <w:t>’</w:t>
      </w:r>
      <w:r w:rsidRPr="00F94EB8">
        <w:rPr>
          <w:lang w:val="fr-CA"/>
        </w:rPr>
        <w:t>il estime indiquée</w:t>
      </w:r>
      <w:r w:rsidRPr="00393D65">
        <w:rPr>
          <w:lang w:val="fr-CA"/>
        </w:rPr>
        <w:t> » (L.C. 2005, ch. 47, art. 128).  Le législateur semble ainsi avoir jugé opportun de sanctionner l</w:t>
      </w:r>
      <w:r w:rsidR="00C03762">
        <w:rPr>
          <w:lang w:val="fr-CA"/>
        </w:rPr>
        <w:t>’</w:t>
      </w:r>
      <w:r w:rsidRPr="00393D65">
        <w:rPr>
          <w:lang w:val="fr-CA"/>
        </w:rPr>
        <w:t xml:space="preserve">interprétation large du pouvoir conféré par la </w:t>
      </w:r>
      <w:r w:rsidRPr="00393D65">
        <w:rPr>
          <w:i/>
          <w:lang w:val="fr-CA"/>
        </w:rPr>
        <w:t>LACC</w:t>
      </w:r>
      <w:r w:rsidRPr="00393D65">
        <w:rPr>
          <w:lang w:val="fr-CA"/>
        </w:rPr>
        <w:t xml:space="preserve"> qui a été élaborée par la jurisprudence.</w:t>
      </w:r>
    </w:p>
    <w:p w:rsidR="008C3D0D" w:rsidRPr="00393D65" w:rsidRDefault="008C3D0D" w:rsidP="008C3D0D">
      <w:pPr>
        <w:pStyle w:val="ListParagraph"/>
        <w:numPr>
          <w:ilvl w:val="0"/>
          <w:numId w:val="5"/>
        </w:numPr>
        <w:tabs>
          <w:tab w:val="left" w:pos="1170"/>
        </w:tabs>
        <w:spacing w:after="480" w:line="480" w:lineRule="auto"/>
        <w:ind w:left="0" w:firstLine="0"/>
        <w:jc w:val="both"/>
        <w:rPr>
          <w:lang w:val="fr-CA"/>
        </w:rPr>
      </w:pPr>
      <w:r w:rsidRPr="00393D65">
        <w:rPr>
          <w:lang w:val="fr-CA"/>
        </w:rPr>
        <w:t xml:space="preserve">De plus, la </w:t>
      </w:r>
      <w:r w:rsidRPr="00393D65">
        <w:rPr>
          <w:i/>
          <w:lang w:val="fr-CA"/>
        </w:rPr>
        <w:t>LACC</w:t>
      </w:r>
      <w:r w:rsidRPr="00393D65">
        <w:rPr>
          <w:lang w:val="fr-CA"/>
        </w:rPr>
        <w:t xml:space="preserve"> prévoit explicitement certaines ordonnances.  Tant à la suite d</w:t>
      </w:r>
      <w:r w:rsidR="00C03762">
        <w:rPr>
          <w:lang w:val="fr-CA"/>
        </w:rPr>
        <w:t>’</w:t>
      </w:r>
      <w:r w:rsidRPr="00393D65">
        <w:rPr>
          <w:lang w:val="fr-CA"/>
        </w:rPr>
        <w:t>une demande initiale que d</w:t>
      </w:r>
      <w:r w:rsidR="00C03762">
        <w:rPr>
          <w:lang w:val="fr-CA"/>
        </w:rPr>
        <w:t>’</w:t>
      </w:r>
      <w:r w:rsidRPr="00393D65">
        <w:rPr>
          <w:lang w:val="fr-CA"/>
        </w:rPr>
        <w:t xml:space="preserve">une demande subséquente, le tribunal peut, par </w:t>
      </w:r>
      <w:r w:rsidRPr="00393D65">
        <w:rPr>
          <w:lang w:val="fr-CA"/>
        </w:rPr>
        <w:lastRenderedPageBreak/>
        <w:t>ordonnance, suspendre ou interdire toute procédure contre le débiteur, ou surseoir à sa continuation.  Il incombe à la personne qui demande une telle ordonnance de convaincre le tribunal qu</w:t>
      </w:r>
      <w:r w:rsidR="00C03762">
        <w:rPr>
          <w:lang w:val="fr-CA"/>
        </w:rPr>
        <w:t>’</w:t>
      </w:r>
      <w:r w:rsidRPr="00393D65">
        <w:rPr>
          <w:lang w:val="fr-CA"/>
        </w:rPr>
        <w:t>elle est indiquée et qu</w:t>
      </w:r>
      <w:r w:rsidR="00C03762">
        <w:rPr>
          <w:lang w:val="fr-CA"/>
        </w:rPr>
        <w:t>’</w:t>
      </w:r>
      <w:r w:rsidRPr="00393D65">
        <w:rPr>
          <w:lang w:val="fr-CA"/>
        </w:rPr>
        <w:t>il a agi et continue d</w:t>
      </w:r>
      <w:r w:rsidR="00C03762">
        <w:rPr>
          <w:lang w:val="fr-CA"/>
        </w:rPr>
        <w:t>’</w:t>
      </w:r>
      <w:r w:rsidRPr="00393D65">
        <w:rPr>
          <w:lang w:val="fr-CA"/>
        </w:rPr>
        <w:t>agir de bonne foi et avec la diligence voulue (</w:t>
      </w:r>
      <w:r w:rsidRPr="00393D65">
        <w:rPr>
          <w:i/>
          <w:lang w:val="fr-CA"/>
        </w:rPr>
        <w:t>LACC</w:t>
      </w:r>
      <w:r w:rsidRPr="00393D65">
        <w:rPr>
          <w:lang w:val="fr-CA"/>
        </w:rPr>
        <w:t>, par. 11(3), (4) et (6)).</w:t>
      </w:r>
    </w:p>
    <w:p w:rsidR="008C3D0D" w:rsidRPr="00393D65" w:rsidRDefault="008C3D0D" w:rsidP="008C3D0D">
      <w:pPr>
        <w:pStyle w:val="ListParagraph"/>
        <w:numPr>
          <w:ilvl w:val="0"/>
          <w:numId w:val="5"/>
        </w:numPr>
        <w:tabs>
          <w:tab w:val="left" w:pos="1170"/>
        </w:tabs>
        <w:spacing w:after="480" w:line="480" w:lineRule="auto"/>
        <w:ind w:left="0" w:firstLine="0"/>
        <w:jc w:val="both"/>
        <w:rPr>
          <w:lang w:val="fr-CA"/>
        </w:rPr>
      </w:pPr>
      <w:r w:rsidRPr="00393D65">
        <w:rPr>
          <w:lang w:val="fr-CA"/>
        </w:rPr>
        <w:t xml:space="preserve">La possibilité </w:t>
      </w:r>
      <w:r w:rsidR="00C4683A">
        <w:rPr>
          <w:lang w:val="fr-CA"/>
        </w:rPr>
        <w:t xml:space="preserve">pour le tribunal de rendre des </w:t>
      </w:r>
      <w:r w:rsidRPr="00393D65">
        <w:rPr>
          <w:lang w:val="fr-CA"/>
        </w:rPr>
        <w:t>ordonnances plus spécifiques n</w:t>
      </w:r>
      <w:r w:rsidR="00C03762">
        <w:rPr>
          <w:lang w:val="fr-CA"/>
        </w:rPr>
        <w:t>’</w:t>
      </w:r>
      <w:r w:rsidRPr="00393D65">
        <w:rPr>
          <w:lang w:val="fr-CA"/>
        </w:rPr>
        <w:t xml:space="preserve">a pas pour effet de restreindre la portée des termes généraux utilisés dans la </w:t>
      </w:r>
      <w:r w:rsidRPr="00393D65">
        <w:rPr>
          <w:i/>
          <w:lang w:val="fr-CA"/>
        </w:rPr>
        <w:t>LACC</w:t>
      </w:r>
      <w:r w:rsidRPr="00393D65">
        <w:rPr>
          <w:lang w:val="fr-CA"/>
        </w:rPr>
        <w:t>.  Toutefois, l</w:t>
      </w:r>
      <w:r w:rsidR="00C03762">
        <w:rPr>
          <w:lang w:val="fr-CA"/>
        </w:rPr>
        <w:t>’</w:t>
      </w:r>
      <w:r w:rsidRPr="00393D65">
        <w:rPr>
          <w:lang w:val="fr-CA"/>
        </w:rPr>
        <w:t>opportunité, la bonne foi et la diligence sont des considérations de base que le tribunal devrait toujours garder à l</w:t>
      </w:r>
      <w:r w:rsidR="00C03762">
        <w:rPr>
          <w:lang w:val="fr-CA"/>
        </w:rPr>
        <w:t>’</w:t>
      </w:r>
      <w:r w:rsidRPr="00393D65">
        <w:rPr>
          <w:lang w:val="fr-CA"/>
        </w:rPr>
        <w:t>esprit lorsqu</w:t>
      </w:r>
      <w:r w:rsidR="00C03762">
        <w:rPr>
          <w:lang w:val="fr-CA"/>
        </w:rPr>
        <w:t>’</w:t>
      </w:r>
      <w:r w:rsidRPr="00393D65">
        <w:rPr>
          <w:lang w:val="fr-CA"/>
        </w:rPr>
        <w:t xml:space="preserve">il exerce les pouvoirs conférés par la </w:t>
      </w:r>
      <w:r w:rsidRPr="00393D65">
        <w:rPr>
          <w:i/>
          <w:lang w:val="fr-CA"/>
        </w:rPr>
        <w:t>LACC</w:t>
      </w:r>
      <w:r w:rsidRPr="00393D65">
        <w:rPr>
          <w:lang w:val="fr-CA"/>
        </w:rPr>
        <w:t xml:space="preserve">.  Sous le régime de la </w:t>
      </w:r>
      <w:r w:rsidRPr="00393D65">
        <w:rPr>
          <w:i/>
          <w:lang w:val="fr-CA"/>
        </w:rPr>
        <w:t>LACC</w:t>
      </w:r>
      <w:r w:rsidRPr="00393D65">
        <w:rPr>
          <w:lang w:val="fr-CA"/>
        </w:rPr>
        <w:t>, le tribunal évalue l</w:t>
      </w:r>
      <w:r w:rsidR="00C03762">
        <w:rPr>
          <w:lang w:val="fr-CA"/>
        </w:rPr>
        <w:t>’</w:t>
      </w:r>
      <w:r w:rsidRPr="00393D65">
        <w:rPr>
          <w:lang w:val="fr-CA"/>
        </w:rPr>
        <w:t>opportunité de l</w:t>
      </w:r>
      <w:r w:rsidR="00C03762">
        <w:rPr>
          <w:lang w:val="fr-CA"/>
        </w:rPr>
        <w:t>’</w:t>
      </w:r>
      <w:r w:rsidRPr="00393D65">
        <w:rPr>
          <w:lang w:val="fr-CA"/>
        </w:rPr>
        <w:t>ordonnance demandée en déterminant si elle favorisera la réalisation des objectifs de politique générale qui sous</w:t>
      </w:r>
      <w:r w:rsidRPr="00393D65">
        <w:rPr>
          <w:lang w:val="fr-CA"/>
        </w:rPr>
        <w:noBreakHyphen/>
        <w:t>tendent la Loi.  Il s</w:t>
      </w:r>
      <w:r w:rsidR="00C03762">
        <w:rPr>
          <w:lang w:val="fr-CA"/>
        </w:rPr>
        <w:t>’</w:t>
      </w:r>
      <w:r w:rsidRPr="00393D65">
        <w:rPr>
          <w:lang w:val="fr-CA"/>
        </w:rPr>
        <w:t>agit donc de savoir si cette ordonnance contribuera utilement à la réalisation de l</w:t>
      </w:r>
      <w:r w:rsidR="00C03762">
        <w:rPr>
          <w:lang w:val="fr-CA"/>
        </w:rPr>
        <w:t>’</w:t>
      </w:r>
      <w:r w:rsidRPr="00393D65">
        <w:rPr>
          <w:lang w:val="fr-CA"/>
        </w:rPr>
        <w:t xml:space="preserve">objectif réparateur de la </w:t>
      </w:r>
      <w:r w:rsidRPr="00393D65">
        <w:rPr>
          <w:i/>
          <w:lang w:val="fr-CA"/>
        </w:rPr>
        <w:t>LACC</w:t>
      </w:r>
      <w:r w:rsidRPr="00393D65">
        <w:rPr>
          <w:lang w:val="fr-CA"/>
        </w:rPr>
        <w:t xml:space="preserve"> — à savoir éviter les pertes sociales et économiques résultant de la liquidation d</w:t>
      </w:r>
      <w:r w:rsidR="00C03762">
        <w:rPr>
          <w:lang w:val="fr-CA"/>
        </w:rPr>
        <w:t>’</w:t>
      </w:r>
      <w:r w:rsidRPr="00393D65">
        <w:rPr>
          <w:lang w:val="fr-CA"/>
        </w:rPr>
        <w:t>une compagnie insolvable.  J</w:t>
      </w:r>
      <w:r w:rsidR="00C03762">
        <w:rPr>
          <w:lang w:val="fr-CA"/>
        </w:rPr>
        <w:t>’</w:t>
      </w:r>
      <w:r w:rsidRPr="00393D65">
        <w:rPr>
          <w:lang w:val="fr-CA"/>
        </w:rPr>
        <w:t>ajouterais que le critère de l</w:t>
      </w:r>
      <w:r w:rsidR="00C03762">
        <w:rPr>
          <w:lang w:val="fr-CA"/>
        </w:rPr>
        <w:t>’</w:t>
      </w:r>
      <w:r w:rsidRPr="00393D65">
        <w:rPr>
          <w:lang w:val="fr-CA"/>
        </w:rPr>
        <w:t>opportunité s</w:t>
      </w:r>
      <w:r w:rsidR="00C03762">
        <w:rPr>
          <w:lang w:val="fr-CA"/>
        </w:rPr>
        <w:t>’</w:t>
      </w:r>
      <w:r w:rsidRPr="00393D65">
        <w:rPr>
          <w:lang w:val="fr-CA"/>
        </w:rPr>
        <w:t>applique non seulement à l</w:t>
      </w:r>
      <w:r w:rsidR="00C03762">
        <w:rPr>
          <w:lang w:val="fr-CA"/>
        </w:rPr>
        <w:t>’</w:t>
      </w:r>
      <w:r w:rsidRPr="00393D65">
        <w:rPr>
          <w:lang w:val="fr-CA"/>
        </w:rPr>
        <w:t>objectif de l</w:t>
      </w:r>
      <w:r w:rsidR="00C03762">
        <w:rPr>
          <w:lang w:val="fr-CA"/>
        </w:rPr>
        <w:t>’</w:t>
      </w:r>
      <w:r w:rsidRPr="00393D65">
        <w:rPr>
          <w:lang w:val="fr-CA"/>
        </w:rPr>
        <w:t>ordonnance, mais aussi aux moyens utilisés.  Les tribunaux doivent se rappeler que les chances de succès d</w:t>
      </w:r>
      <w:r w:rsidR="00C03762">
        <w:rPr>
          <w:lang w:val="fr-CA"/>
        </w:rPr>
        <w:t>’</w:t>
      </w:r>
      <w:r w:rsidRPr="00393D65">
        <w:rPr>
          <w:lang w:val="fr-CA"/>
        </w:rPr>
        <w:t>une réorganisation sont meilleures lorsque les participants arrivent à s</w:t>
      </w:r>
      <w:r w:rsidR="00C03762">
        <w:rPr>
          <w:lang w:val="fr-CA"/>
        </w:rPr>
        <w:t>’</w:t>
      </w:r>
      <w:r w:rsidRPr="00393D65">
        <w:rPr>
          <w:lang w:val="fr-CA"/>
        </w:rPr>
        <w:t xml:space="preserve">entendre et que tous les intéressés sont traités de la façon la plus avantageuse et juste possible dans les circonstances. </w:t>
      </w:r>
    </w:p>
    <w:p w:rsidR="008C3D0D" w:rsidRPr="00393D65" w:rsidRDefault="008C3D0D" w:rsidP="008C3D0D">
      <w:pPr>
        <w:pStyle w:val="ListParagraph"/>
        <w:numPr>
          <w:ilvl w:val="0"/>
          <w:numId w:val="5"/>
        </w:numPr>
        <w:tabs>
          <w:tab w:val="left" w:pos="1170"/>
        </w:tabs>
        <w:spacing w:after="480" w:line="480" w:lineRule="auto"/>
        <w:ind w:left="0" w:firstLine="0"/>
        <w:jc w:val="both"/>
        <w:rPr>
          <w:lang w:val="fr-CA"/>
        </w:rPr>
      </w:pPr>
      <w:r w:rsidRPr="00393D65">
        <w:rPr>
          <w:lang w:val="fr-CA"/>
        </w:rPr>
        <w:t>Il est bien établi qu</w:t>
      </w:r>
      <w:r w:rsidR="00C03762">
        <w:rPr>
          <w:lang w:val="fr-CA"/>
        </w:rPr>
        <w:t>’</w:t>
      </w:r>
      <w:r w:rsidRPr="00393D65">
        <w:rPr>
          <w:lang w:val="fr-CA"/>
        </w:rPr>
        <w:t xml:space="preserve">il est possible de mettre fin aux efforts déployés pour procéder à une réorganisation fondée sur la </w:t>
      </w:r>
      <w:r w:rsidRPr="00393D65">
        <w:rPr>
          <w:i/>
          <w:lang w:val="fr-CA"/>
        </w:rPr>
        <w:t>LACC</w:t>
      </w:r>
      <w:r w:rsidRPr="00393D65">
        <w:rPr>
          <w:lang w:val="fr-CA"/>
        </w:rPr>
        <w:t xml:space="preserve"> et de lever la suspension des procédures contre le débiteur si la réorganisation est [</w:t>
      </w:r>
      <w:r w:rsidRPr="00393D65">
        <w:rPr>
          <w:smallCaps/>
          <w:lang w:val="fr-CA"/>
        </w:rPr>
        <w:t>traduction</w:t>
      </w:r>
      <w:r w:rsidRPr="00393D65">
        <w:rPr>
          <w:lang w:val="fr-CA"/>
        </w:rPr>
        <w:t xml:space="preserve">] « vouée à </w:t>
      </w:r>
      <w:r w:rsidRPr="00393D65">
        <w:rPr>
          <w:lang w:val="fr-CA"/>
        </w:rPr>
        <w:lastRenderedPageBreak/>
        <w:t>l</w:t>
      </w:r>
      <w:r w:rsidR="00C03762">
        <w:rPr>
          <w:lang w:val="fr-CA"/>
        </w:rPr>
        <w:t>’</w:t>
      </w:r>
      <w:r w:rsidRPr="00393D65">
        <w:rPr>
          <w:lang w:val="fr-CA"/>
        </w:rPr>
        <w:t xml:space="preserve">échec » (voir </w:t>
      </w:r>
      <w:r w:rsidRPr="00393D65">
        <w:rPr>
          <w:i/>
          <w:lang w:val="fr-CA"/>
        </w:rPr>
        <w:t>Chef Ready</w:t>
      </w:r>
      <w:r w:rsidRPr="00393D65">
        <w:rPr>
          <w:lang w:val="fr-CA"/>
        </w:rPr>
        <w:t xml:space="preserve">, p. 88; </w:t>
      </w:r>
      <w:r w:rsidRPr="00393D65">
        <w:rPr>
          <w:i/>
          <w:lang w:val="fr-CA"/>
        </w:rPr>
        <w:t>Philip</w:t>
      </w:r>
      <w:r w:rsidR="00C03762">
        <w:rPr>
          <w:i/>
          <w:lang w:val="fr-CA"/>
        </w:rPr>
        <w:t>’</w:t>
      </w:r>
      <w:r w:rsidRPr="00393D65">
        <w:rPr>
          <w:i/>
          <w:lang w:val="fr-CA"/>
        </w:rPr>
        <w:t>s Manufacturing Ltd., Re</w:t>
      </w:r>
      <w:r w:rsidRPr="00393D65">
        <w:rPr>
          <w:lang w:val="fr-CA"/>
        </w:rPr>
        <w:t xml:space="preserve"> (1992), 9 C.B.R. (3d) 25 (C.A.C.</w:t>
      </w:r>
      <w:r w:rsidRPr="00393D65">
        <w:rPr>
          <w:lang w:val="fr-CA"/>
        </w:rPr>
        <w:noBreakHyphen/>
        <w:t>B.), par. 6</w:t>
      </w:r>
      <w:r w:rsidRPr="00393D65">
        <w:rPr>
          <w:lang w:val="fr-CA"/>
        </w:rPr>
        <w:noBreakHyphen/>
        <w:t>7).  Cependant, quand l</w:t>
      </w:r>
      <w:r w:rsidR="00C03762">
        <w:rPr>
          <w:lang w:val="fr-CA"/>
        </w:rPr>
        <w:t>’</w:t>
      </w:r>
      <w:r w:rsidRPr="00393D65">
        <w:rPr>
          <w:lang w:val="fr-CA"/>
        </w:rPr>
        <w:t xml:space="preserve">ordonnance demandée contribue vraiment à la réalisation des objectifs de la </w:t>
      </w:r>
      <w:r w:rsidRPr="00393D65">
        <w:rPr>
          <w:i/>
          <w:lang w:val="fr-CA"/>
        </w:rPr>
        <w:t>LACC</w:t>
      </w:r>
      <w:r w:rsidRPr="00393D65">
        <w:rPr>
          <w:lang w:val="fr-CA"/>
        </w:rPr>
        <w:t>, le pouvoir discrétionnaire dont dispose le tribunal en vertu de cette loi l</w:t>
      </w:r>
      <w:r w:rsidR="00C03762">
        <w:rPr>
          <w:lang w:val="fr-CA"/>
        </w:rPr>
        <w:t>’</w:t>
      </w:r>
      <w:r w:rsidRPr="00393D65">
        <w:rPr>
          <w:lang w:val="fr-CA"/>
        </w:rPr>
        <w:t>habilite à rendre à cette ordonnance.</w:t>
      </w:r>
    </w:p>
    <w:p w:rsidR="008C3D0D" w:rsidRPr="00393D65" w:rsidRDefault="008C3D0D" w:rsidP="008C3D0D">
      <w:pPr>
        <w:pStyle w:val="ListParagraph"/>
        <w:numPr>
          <w:ilvl w:val="0"/>
          <w:numId w:val="5"/>
        </w:numPr>
        <w:tabs>
          <w:tab w:val="left" w:pos="1170"/>
        </w:tabs>
        <w:spacing w:after="480" w:line="480" w:lineRule="auto"/>
        <w:ind w:left="0" w:firstLine="0"/>
        <w:jc w:val="both"/>
        <w:rPr>
          <w:lang w:val="fr-CA"/>
        </w:rPr>
      </w:pPr>
      <w:r w:rsidRPr="00393D65">
        <w:rPr>
          <w:lang w:val="fr-CA"/>
        </w:rPr>
        <w:t>L</w:t>
      </w:r>
      <w:r w:rsidR="00C03762">
        <w:rPr>
          <w:lang w:val="fr-CA"/>
        </w:rPr>
        <w:t>’</w:t>
      </w:r>
      <w:r w:rsidRPr="00393D65">
        <w:rPr>
          <w:lang w:val="fr-CA"/>
        </w:rPr>
        <w:t xml:space="preserve">analyse qui précède est utile pour répondre à la question de savoir si le tribunal avait, en vertu de la </w:t>
      </w:r>
      <w:r w:rsidRPr="00393D65">
        <w:rPr>
          <w:i/>
          <w:lang w:val="fr-CA"/>
        </w:rPr>
        <w:t>LACC</w:t>
      </w:r>
      <w:r w:rsidRPr="00393D65">
        <w:rPr>
          <w:lang w:val="fr-CA"/>
        </w:rPr>
        <w:t>, le pouvoir de maintenir la suspension des procédures à l</w:t>
      </w:r>
      <w:r w:rsidR="00C03762">
        <w:rPr>
          <w:lang w:val="fr-CA"/>
        </w:rPr>
        <w:t>’</w:t>
      </w:r>
      <w:r w:rsidRPr="00393D65">
        <w:rPr>
          <w:lang w:val="fr-CA"/>
        </w:rPr>
        <w:t>encontre de la Couronne, une fois qu</w:t>
      </w:r>
      <w:r w:rsidR="00C03762">
        <w:rPr>
          <w:lang w:val="fr-CA"/>
        </w:rPr>
        <w:t>’</w:t>
      </w:r>
      <w:r w:rsidRPr="00393D65">
        <w:rPr>
          <w:lang w:val="fr-CA"/>
        </w:rPr>
        <w:t xml:space="preserve">il est devenu évident que la réorganisation échouerait et que la faillite était inévitable.  </w:t>
      </w:r>
    </w:p>
    <w:p w:rsidR="008C3D0D" w:rsidRPr="00393D65" w:rsidRDefault="008C3D0D" w:rsidP="008C3D0D">
      <w:pPr>
        <w:pStyle w:val="ListParagraph"/>
        <w:numPr>
          <w:ilvl w:val="0"/>
          <w:numId w:val="5"/>
        </w:numPr>
        <w:tabs>
          <w:tab w:val="left" w:pos="1170"/>
        </w:tabs>
        <w:spacing w:after="480" w:line="480" w:lineRule="auto"/>
        <w:ind w:left="0" w:firstLine="0"/>
        <w:jc w:val="both"/>
        <w:rPr>
          <w:lang w:val="fr-CA"/>
        </w:rPr>
      </w:pPr>
      <w:r w:rsidRPr="00393D65">
        <w:rPr>
          <w:lang w:val="fr-CA"/>
        </w:rPr>
        <w:t>En Cour d</w:t>
      </w:r>
      <w:r w:rsidR="00C03762">
        <w:rPr>
          <w:lang w:val="fr-CA"/>
        </w:rPr>
        <w:t>’</w:t>
      </w:r>
      <w:r w:rsidRPr="00393D65">
        <w:rPr>
          <w:lang w:val="fr-CA"/>
        </w:rPr>
        <w:t xml:space="preserve">appel, le juge Tysoe a conclu que la </w:t>
      </w:r>
      <w:r w:rsidRPr="00393D65">
        <w:rPr>
          <w:i/>
          <w:lang w:val="fr-CA"/>
        </w:rPr>
        <w:t>LACC</w:t>
      </w:r>
      <w:r w:rsidRPr="00393D65">
        <w:rPr>
          <w:lang w:val="fr-CA"/>
        </w:rPr>
        <w:t xml:space="preserve"> n</w:t>
      </w:r>
      <w:r w:rsidR="00C03762">
        <w:rPr>
          <w:lang w:val="fr-CA"/>
        </w:rPr>
        <w:t>’</w:t>
      </w:r>
      <w:r w:rsidRPr="00393D65">
        <w:rPr>
          <w:lang w:val="fr-CA"/>
        </w:rPr>
        <w:t>habilitait pas le tribunal à maintenir la suspension des mesures d</w:t>
      </w:r>
      <w:r w:rsidR="00C03762">
        <w:rPr>
          <w:lang w:val="fr-CA"/>
        </w:rPr>
        <w:t>’</w:t>
      </w:r>
      <w:r w:rsidRPr="00393D65">
        <w:rPr>
          <w:lang w:val="fr-CA"/>
        </w:rPr>
        <w:t>exécution de la Couronne à l</w:t>
      </w:r>
      <w:r w:rsidR="00C03762">
        <w:rPr>
          <w:lang w:val="fr-CA"/>
        </w:rPr>
        <w:t>’</w:t>
      </w:r>
      <w:r w:rsidRPr="00393D65">
        <w:rPr>
          <w:lang w:val="fr-CA"/>
        </w:rPr>
        <w:t>égard de la fiducie réputée visant la TPS après l</w:t>
      </w:r>
      <w:r w:rsidR="00C03762">
        <w:rPr>
          <w:lang w:val="fr-CA"/>
        </w:rPr>
        <w:t>’</w:t>
      </w:r>
      <w:r w:rsidRPr="00393D65">
        <w:rPr>
          <w:lang w:val="fr-CA"/>
        </w:rPr>
        <w:t>arrêt des efforts de réorganisation.  Selon l</w:t>
      </w:r>
      <w:r w:rsidR="00C03762">
        <w:rPr>
          <w:lang w:val="fr-CA"/>
        </w:rPr>
        <w:t>’</w:t>
      </w:r>
      <w:r w:rsidRPr="00393D65">
        <w:rPr>
          <w:lang w:val="fr-CA"/>
        </w:rPr>
        <w:t>appelante, en tirant cette conclusion, le juge Tysoe a omis de tenir compte de l</w:t>
      </w:r>
      <w:r w:rsidR="00C03762">
        <w:rPr>
          <w:lang w:val="fr-CA"/>
        </w:rPr>
        <w:t>’</w:t>
      </w:r>
      <w:r w:rsidRPr="00393D65">
        <w:rPr>
          <w:lang w:val="fr-CA"/>
        </w:rPr>
        <w:t xml:space="preserve">objectif fondamental de la </w:t>
      </w:r>
      <w:r w:rsidRPr="00393D65">
        <w:rPr>
          <w:i/>
          <w:lang w:val="fr-CA"/>
        </w:rPr>
        <w:t>LACC</w:t>
      </w:r>
      <w:r w:rsidRPr="00393D65">
        <w:rPr>
          <w:lang w:val="fr-CA"/>
        </w:rPr>
        <w:t xml:space="preserve"> et n</w:t>
      </w:r>
      <w:r w:rsidR="00C03762">
        <w:rPr>
          <w:lang w:val="fr-CA"/>
        </w:rPr>
        <w:t>’</w:t>
      </w:r>
      <w:r w:rsidRPr="00393D65">
        <w:rPr>
          <w:lang w:val="fr-CA"/>
        </w:rPr>
        <w:t>a pas donné à ce texte l</w:t>
      </w:r>
      <w:r w:rsidR="00C03762">
        <w:rPr>
          <w:lang w:val="fr-CA"/>
        </w:rPr>
        <w:t>’</w:t>
      </w:r>
      <w:r w:rsidRPr="00393D65">
        <w:rPr>
          <w:lang w:val="fr-CA"/>
        </w:rPr>
        <w:t>interprétation téléologique et large qu</w:t>
      </w:r>
      <w:r w:rsidR="00C03762">
        <w:rPr>
          <w:lang w:val="fr-CA"/>
        </w:rPr>
        <w:t>’</w:t>
      </w:r>
      <w:r w:rsidRPr="00393D65">
        <w:rPr>
          <w:lang w:val="fr-CA"/>
        </w:rPr>
        <w:t>il convient de lui donner et qui autorise le prononcé d</w:t>
      </w:r>
      <w:r w:rsidR="00C03762">
        <w:rPr>
          <w:lang w:val="fr-CA"/>
        </w:rPr>
        <w:t>’</w:t>
      </w:r>
      <w:r w:rsidRPr="00393D65">
        <w:rPr>
          <w:lang w:val="fr-CA"/>
        </w:rPr>
        <w:t xml:space="preserve">une telle ordonnance.  La Couronne soutient que le juge Tysoe a conclu à bon droit que les termes impératifs de la </w:t>
      </w:r>
      <w:r w:rsidRPr="00393D65">
        <w:rPr>
          <w:i/>
          <w:lang w:val="fr-CA"/>
        </w:rPr>
        <w:t>LTA</w:t>
      </w:r>
      <w:r w:rsidRPr="00393D65">
        <w:rPr>
          <w:lang w:val="fr-CA"/>
        </w:rPr>
        <w:t xml:space="preserve"> ne laissaient au tribunal d</w:t>
      </w:r>
      <w:r w:rsidR="00C03762">
        <w:rPr>
          <w:lang w:val="fr-CA"/>
        </w:rPr>
        <w:t>’</w:t>
      </w:r>
      <w:r w:rsidRPr="00393D65">
        <w:rPr>
          <w:lang w:val="fr-CA"/>
        </w:rPr>
        <w:t>autre choix que d</w:t>
      </w:r>
      <w:r w:rsidR="00C03762">
        <w:rPr>
          <w:lang w:val="fr-CA"/>
        </w:rPr>
        <w:t>’</w:t>
      </w:r>
      <w:r w:rsidRPr="00393D65">
        <w:rPr>
          <w:lang w:val="fr-CA"/>
        </w:rPr>
        <w:t>autoriser les mesures d</w:t>
      </w:r>
      <w:r w:rsidR="00C03762">
        <w:rPr>
          <w:lang w:val="fr-CA"/>
        </w:rPr>
        <w:t>’</w:t>
      </w:r>
      <w:r w:rsidRPr="00393D65">
        <w:rPr>
          <w:lang w:val="fr-CA"/>
        </w:rPr>
        <w:t>exécution à l</w:t>
      </w:r>
      <w:r w:rsidR="00C03762">
        <w:rPr>
          <w:lang w:val="fr-CA"/>
        </w:rPr>
        <w:t>’</w:t>
      </w:r>
      <w:r w:rsidRPr="00393D65">
        <w:rPr>
          <w:lang w:val="fr-CA"/>
        </w:rPr>
        <w:t>endroit de la fiducie réputée visant la TPS lorsqu</w:t>
      </w:r>
      <w:r w:rsidR="00C03762">
        <w:rPr>
          <w:lang w:val="fr-CA"/>
        </w:rPr>
        <w:t>’</w:t>
      </w:r>
      <w:r w:rsidRPr="00393D65">
        <w:rPr>
          <w:lang w:val="fr-CA"/>
        </w:rPr>
        <w:t xml:space="preserve">il a levé la suspension de procédures qui avait été ordonnée en application de la </w:t>
      </w:r>
      <w:r w:rsidRPr="00393D65">
        <w:rPr>
          <w:i/>
          <w:lang w:val="fr-CA"/>
        </w:rPr>
        <w:t>LACC</w:t>
      </w:r>
      <w:r w:rsidRPr="00393D65">
        <w:rPr>
          <w:lang w:val="fr-CA"/>
        </w:rPr>
        <w:t xml:space="preserve"> afin de permettre au débiteur de faire cession de ses biens en vertu de la </w:t>
      </w:r>
      <w:r w:rsidRPr="00393D65">
        <w:rPr>
          <w:i/>
          <w:lang w:val="fr-CA"/>
        </w:rPr>
        <w:t>LFI</w:t>
      </w:r>
      <w:r w:rsidRPr="00393D65">
        <w:rPr>
          <w:lang w:val="fr-CA"/>
        </w:rPr>
        <w:t>.  J</w:t>
      </w:r>
      <w:r w:rsidR="00C03762">
        <w:rPr>
          <w:lang w:val="fr-CA"/>
        </w:rPr>
        <w:t>’</w:t>
      </w:r>
      <w:r w:rsidRPr="00393D65">
        <w:rPr>
          <w:lang w:val="fr-CA"/>
        </w:rPr>
        <w:t xml:space="preserve">ai déjà traité de la question de savoir si la </w:t>
      </w:r>
      <w:r w:rsidRPr="00393D65">
        <w:rPr>
          <w:i/>
          <w:lang w:val="fr-CA"/>
        </w:rPr>
        <w:t>LTA</w:t>
      </w:r>
      <w:r w:rsidRPr="00393D65">
        <w:rPr>
          <w:lang w:val="fr-CA"/>
        </w:rPr>
        <w:t xml:space="preserve"> a un effet contraignant dans une procédure fondée </w:t>
      </w:r>
      <w:r w:rsidRPr="00393D65">
        <w:rPr>
          <w:lang w:val="fr-CA"/>
        </w:rPr>
        <w:lastRenderedPageBreak/>
        <w:t xml:space="preserve">sur la </w:t>
      </w:r>
      <w:r w:rsidRPr="00393D65">
        <w:rPr>
          <w:i/>
          <w:lang w:val="fr-CA"/>
        </w:rPr>
        <w:t>LACC</w:t>
      </w:r>
      <w:r w:rsidRPr="00393D65">
        <w:rPr>
          <w:lang w:val="fr-CA"/>
        </w:rPr>
        <w:t>.  Je vais maintenant traiter de la question de savoir si l</w:t>
      </w:r>
      <w:r w:rsidR="00C03762">
        <w:rPr>
          <w:lang w:val="fr-CA"/>
        </w:rPr>
        <w:t>’</w:t>
      </w:r>
      <w:r w:rsidRPr="00393D65">
        <w:rPr>
          <w:lang w:val="fr-CA"/>
        </w:rPr>
        <w:t xml:space="preserve">ordonnance était autorisée par la </w:t>
      </w:r>
      <w:r w:rsidRPr="00393D65">
        <w:rPr>
          <w:i/>
          <w:lang w:val="fr-CA"/>
        </w:rPr>
        <w:t>LACC</w:t>
      </w:r>
      <w:r w:rsidRPr="00393D65">
        <w:rPr>
          <w:lang w:val="fr-CA"/>
        </w:rPr>
        <w:t xml:space="preserve">. </w:t>
      </w:r>
    </w:p>
    <w:p w:rsidR="008C3D0D" w:rsidRPr="00393D65" w:rsidRDefault="008C3D0D" w:rsidP="008C3D0D">
      <w:pPr>
        <w:pStyle w:val="ListParagraph"/>
        <w:numPr>
          <w:ilvl w:val="0"/>
          <w:numId w:val="5"/>
        </w:numPr>
        <w:tabs>
          <w:tab w:val="left" w:pos="1170"/>
        </w:tabs>
        <w:spacing w:after="480" w:line="480" w:lineRule="auto"/>
        <w:ind w:left="0" w:firstLine="0"/>
        <w:jc w:val="both"/>
        <w:rPr>
          <w:lang w:val="fr-CA"/>
        </w:rPr>
      </w:pPr>
      <w:r w:rsidRPr="00393D65">
        <w:rPr>
          <w:lang w:val="fr-CA"/>
        </w:rPr>
        <w:t>Il n</w:t>
      </w:r>
      <w:r w:rsidR="00C03762">
        <w:rPr>
          <w:lang w:val="fr-CA"/>
        </w:rPr>
        <w:t>’</w:t>
      </w:r>
      <w:r w:rsidRPr="00393D65">
        <w:rPr>
          <w:lang w:val="fr-CA"/>
        </w:rPr>
        <w:t xml:space="preserve">est pas contesté que la </w:t>
      </w:r>
      <w:r w:rsidRPr="00393D65">
        <w:rPr>
          <w:i/>
          <w:lang w:val="fr-CA"/>
        </w:rPr>
        <w:t>LACC</w:t>
      </w:r>
      <w:r w:rsidRPr="00393D65">
        <w:rPr>
          <w:lang w:val="fr-CA"/>
        </w:rPr>
        <w:t xml:space="preserve"> n</w:t>
      </w:r>
      <w:r w:rsidR="00C03762">
        <w:rPr>
          <w:lang w:val="fr-CA"/>
        </w:rPr>
        <w:t>’</w:t>
      </w:r>
      <w:r w:rsidRPr="00393D65">
        <w:rPr>
          <w:lang w:val="fr-CA"/>
        </w:rPr>
        <w:t>assujettit les procédures engagées sous son régime à aucune limite temporelle explicite qui interdirait au tribunal d</w:t>
      </w:r>
      <w:r w:rsidR="00C03762">
        <w:rPr>
          <w:lang w:val="fr-CA"/>
        </w:rPr>
        <w:t>’</w:t>
      </w:r>
      <w:r w:rsidRPr="00393D65">
        <w:rPr>
          <w:lang w:val="fr-CA"/>
        </w:rPr>
        <w:t xml:space="preserve">ordonner le maintien de la suspension des procédures engagées par la Couronne pour recouvrer la TPS, tout en levant temporairement la suspension générale des procédures prononcée pour permettre au débiteur de faire cession de ses biens. </w:t>
      </w:r>
    </w:p>
    <w:p w:rsidR="008C3D0D" w:rsidRPr="00393D65" w:rsidRDefault="008C3D0D" w:rsidP="008C3D0D">
      <w:pPr>
        <w:pStyle w:val="ListParagraph"/>
        <w:numPr>
          <w:ilvl w:val="0"/>
          <w:numId w:val="5"/>
        </w:numPr>
        <w:tabs>
          <w:tab w:val="left" w:pos="1170"/>
        </w:tabs>
        <w:spacing w:after="480" w:line="480" w:lineRule="auto"/>
        <w:ind w:left="0" w:firstLine="0"/>
        <w:jc w:val="both"/>
        <w:rPr>
          <w:lang w:val="fr-CA"/>
        </w:rPr>
      </w:pPr>
      <w:r w:rsidRPr="00393D65">
        <w:rPr>
          <w:lang w:val="fr-CA"/>
        </w:rPr>
        <w:t>Il reste à se demander si l</w:t>
      </w:r>
      <w:r w:rsidR="00C03762">
        <w:rPr>
          <w:lang w:val="fr-CA"/>
        </w:rPr>
        <w:t>’</w:t>
      </w:r>
      <w:r w:rsidRPr="00393D65">
        <w:rPr>
          <w:lang w:val="fr-CA"/>
        </w:rPr>
        <w:t>ordonnance contribuait à la réalisation de l</w:t>
      </w:r>
      <w:r w:rsidR="00C03762">
        <w:rPr>
          <w:lang w:val="fr-CA"/>
        </w:rPr>
        <w:t>’</w:t>
      </w:r>
      <w:r w:rsidRPr="00393D65">
        <w:rPr>
          <w:lang w:val="fr-CA"/>
        </w:rPr>
        <w:t xml:space="preserve">objectif fondamental de la </w:t>
      </w:r>
      <w:r w:rsidRPr="00393D65">
        <w:rPr>
          <w:i/>
          <w:lang w:val="fr-CA"/>
        </w:rPr>
        <w:t>LACC</w:t>
      </w:r>
      <w:r w:rsidRPr="00393D65">
        <w:rPr>
          <w:lang w:val="fr-CA"/>
        </w:rPr>
        <w:t>.  La Cour d</w:t>
      </w:r>
      <w:r w:rsidR="00C03762">
        <w:rPr>
          <w:lang w:val="fr-CA"/>
        </w:rPr>
        <w:t>’</w:t>
      </w:r>
      <w:r w:rsidRPr="00393D65">
        <w:rPr>
          <w:lang w:val="fr-CA"/>
        </w:rPr>
        <w:t xml:space="preserve">appel a conclu que non, parce que les efforts de réorganisation avaient pris fin et que, par conséquent, la </w:t>
      </w:r>
      <w:r w:rsidRPr="00393D65">
        <w:rPr>
          <w:i/>
          <w:lang w:val="fr-CA"/>
        </w:rPr>
        <w:t>LACC</w:t>
      </w:r>
      <w:r w:rsidRPr="00393D65">
        <w:rPr>
          <w:lang w:val="fr-CA"/>
        </w:rPr>
        <w:t xml:space="preserve"> n</w:t>
      </w:r>
      <w:r w:rsidR="00C03762">
        <w:rPr>
          <w:lang w:val="fr-CA"/>
        </w:rPr>
        <w:t>’</w:t>
      </w:r>
      <w:r w:rsidRPr="00393D65">
        <w:rPr>
          <w:lang w:val="fr-CA"/>
        </w:rPr>
        <w:t>était plus d</w:t>
      </w:r>
      <w:r w:rsidR="00C03762">
        <w:rPr>
          <w:lang w:val="fr-CA"/>
        </w:rPr>
        <w:t>’</w:t>
      </w:r>
      <w:r w:rsidRPr="00393D65">
        <w:rPr>
          <w:lang w:val="fr-CA"/>
        </w:rPr>
        <w:t>aucune utilité.  Je ne partage pas cette conclusion.</w:t>
      </w:r>
    </w:p>
    <w:p w:rsidR="008C3D0D" w:rsidRPr="00393D65" w:rsidRDefault="008C3D0D" w:rsidP="008C3D0D">
      <w:pPr>
        <w:pStyle w:val="ListParagraph"/>
        <w:numPr>
          <w:ilvl w:val="0"/>
          <w:numId w:val="5"/>
        </w:numPr>
        <w:tabs>
          <w:tab w:val="left" w:pos="1170"/>
        </w:tabs>
        <w:spacing w:after="480" w:line="480" w:lineRule="auto"/>
        <w:ind w:left="0" w:firstLine="0"/>
        <w:jc w:val="both"/>
        <w:rPr>
          <w:lang w:val="fr-CA"/>
        </w:rPr>
      </w:pPr>
      <w:r w:rsidRPr="00393D65">
        <w:rPr>
          <w:lang w:val="fr-CA"/>
        </w:rPr>
        <w:t xml:space="preserve">Il ne fait aucun doute que si la réorganisation avait été entreprise sous le régime de la </w:t>
      </w:r>
      <w:r w:rsidRPr="00393D65">
        <w:rPr>
          <w:i/>
          <w:lang w:val="fr-CA"/>
        </w:rPr>
        <w:t>LFI</w:t>
      </w:r>
      <w:r w:rsidRPr="00393D65">
        <w:rPr>
          <w:lang w:val="fr-CA"/>
        </w:rPr>
        <w:t xml:space="preserve"> plutôt qu</w:t>
      </w:r>
      <w:r w:rsidR="00C03762">
        <w:rPr>
          <w:lang w:val="fr-CA"/>
        </w:rPr>
        <w:t>’</w:t>
      </w:r>
      <w:r w:rsidRPr="00393D65">
        <w:rPr>
          <w:lang w:val="fr-CA"/>
        </w:rPr>
        <w:t xml:space="preserve">en vertu de la </w:t>
      </w:r>
      <w:r w:rsidRPr="00393D65">
        <w:rPr>
          <w:i/>
          <w:lang w:val="fr-CA"/>
        </w:rPr>
        <w:t>LACC</w:t>
      </w:r>
      <w:r w:rsidRPr="00393D65">
        <w:rPr>
          <w:lang w:val="fr-CA"/>
        </w:rPr>
        <w:t>, la Couronne aurait perdu la priorité que lui confère la fiducie réputée visant la TPS.  De même, la Couronne ne conteste pas que</w:t>
      </w:r>
      <w:r w:rsidR="00C4683A">
        <w:rPr>
          <w:lang w:val="fr-CA"/>
        </w:rPr>
        <w:t>,</w:t>
      </w:r>
      <w:r w:rsidRPr="00393D65">
        <w:rPr>
          <w:lang w:val="fr-CA"/>
        </w:rPr>
        <w:t xml:space="preserve"> selon le plan de répartition prévu par la </w:t>
      </w:r>
      <w:r w:rsidRPr="00393D65">
        <w:rPr>
          <w:i/>
          <w:lang w:val="fr-CA"/>
        </w:rPr>
        <w:t>LFI</w:t>
      </w:r>
      <w:r w:rsidRPr="00393D65">
        <w:rPr>
          <w:lang w:val="fr-CA"/>
        </w:rPr>
        <w:t xml:space="preserve"> en cas de faillite, cette fiducie réputée cesse de produire ses effets.  Par conséquent, après l</w:t>
      </w:r>
      <w:r w:rsidR="00C03762">
        <w:rPr>
          <w:lang w:val="fr-CA"/>
        </w:rPr>
        <w:t>’</w:t>
      </w:r>
      <w:r w:rsidRPr="00393D65">
        <w:rPr>
          <w:lang w:val="fr-CA"/>
        </w:rPr>
        <w:t xml:space="preserve">échec de la réorganisation tentée sous le régime de la </w:t>
      </w:r>
      <w:r w:rsidRPr="00393D65">
        <w:rPr>
          <w:i/>
          <w:lang w:val="fr-CA"/>
        </w:rPr>
        <w:t>LACC</w:t>
      </w:r>
      <w:r w:rsidRPr="00393D65">
        <w:rPr>
          <w:lang w:val="fr-CA"/>
        </w:rPr>
        <w:t xml:space="preserve">, les créanciers auraient eu toutes les raisons de solliciter la  mise en faillite immédiate du débiteur et la répartition de ses biens en vertu de la </w:t>
      </w:r>
      <w:r w:rsidRPr="00393D65">
        <w:rPr>
          <w:i/>
          <w:lang w:val="fr-CA"/>
        </w:rPr>
        <w:t>LFI</w:t>
      </w:r>
      <w:r w:rsidRPr="00393D65">
        <w:rPr>
          <w:lang w:val="fr-CA"/>
        </w:rPr>
        <w:t>.  Pour pouvoir conclure que le pouvoir discrétionnaire dont dispose le tribunal ne l</w:t>
      </w:r>
      <w:r w:rsidR="00C03762">
        <w:rPr>
          <w:lang w:val="fr-CA"/>
        </w:rPr>
        <w:t>’</w:t>
      </w:r>
      <w:r w:rsidRPr="00393D65">
        <w:rPr>
          <w:lang w:val="fr-CA"/>
        </w:rPr>
        <w:t xml:space="preserve">autorise pas à lever partiellement la suspension des procédures </w:t>
      </w:r>
      <w:r w:rsidRPr="00393D65">
        <w:rPr>
          <w:lang w:val="fr-CA"/>
        </w:rPr>
        <w:lastRenderedPageBreak/>
        <w:t>afin de permettre la cession des biens, il faudrait présumer l</w:t>
      </w:r>
      <w:r w:rsidR="00C03762">
        <w:rPr>
          <w:lang w:val="fr-CA"/>
        </w:rPr>
        <w:t>’</w:t>
      </w:r>
      <w:r w:rsidRPr="00393D65">
        <w:rPr>
          <w:lang w:val="fr-CA"/>
        </w:rPr>
        <w:t>existence d</w:t>
      </w:r>
      <w:r w:rsidR="00C03762">
        <w:rPr>
          <w:lang w:val="fr-CA"/>
        </w:rPr>
        <w:t>’</w:t>
      </w:r>
      <w:r w:rsidRPr="00393D65">
        <w:rPr>
          <w:lang w:val="fr-CA"/>
        </w:rPr>
        <w:t xml:space="preserve">un hiatus entre la procédure fondée sur la </w:t>
      </w:r>
      <w:r w:rsidRPr="00393D65">
        <w:rPr>
          <w:i/>
          <w:lang w:val="fr-CA"/>
        </w:rPr>
        <w:t>LACC</w:t>
      </w:r>
      <w:r w:rsidRPr="00393D65">
        <w:rPr>
          <w:lang w:val="fr-CA"/>
        </w:rPr>
        <w:t xml:space="preserve"> et celle fondée sur la </w:t>
      </w:r>
      <w:r w:rsidRPr="00393D65">
        <w:rPr>
          <w:i/>
          <w:lang w:val="fr-CA"/>
        </w:rPr>
        <w:t>LFI</w:t>
      </w:r>
      <w:r w:rsidRPr="00393D65">
        <w:rPr>
          <w:lang w:val="fr-CA"/>
        </w:rPr>
        <w:t>.  L</w:t>
      </w:r>
      <w:r w:rsidR="00C03762">
        <w:rPr>
          <w:lang w:val="fr-CA"/>
        </w:rPr>
        <w:t>’</w:t>
      </w:r>
      <w:r w:rsidRPr="00393D65">
        <w:rPr>
          <w:lang w:val="fr-CA"/>
        </w:rPr>
        <w:t>ordonnance du juge en chef Brenner suspendant l</w:t>
      </w:r>
      <w:r w:rsidR="00C03762">
        <w:rPr>
          <w:lang w:val="fr-CA"/>
        </w:rPr>
        <w:t>’</w:t>
      </w:r>
      <w:r w:rsidRPr="00393D65">
        <w:rPr>
          <w:lang w:val="fr-CA"/>
        </w:rPr>
        <w:t>exécution des mesures de recouvrement de la Couronne à l</w:t>
      </w:r>
      <w:r w:rsidR="00C03762">
        <w:rPr>
          <w:lang w:val="fr-CA"/>
        </w:rPr>
        <w:t>’</w:t>
      </w:r>
      <w:r w:rsidRPr="00393D65">
        <w:rPr>
          <w:lang w:val="fr-CA"/>
        </w:rPr>
        <w:t xml:space="preserve">égard de la TPS faisait en sorte que les créanciers ne soient pas désavantagés par la tentative de réorganisation fondée sur la </w:t>
      </w:r>
      <w:r w:rsidRPr="00393D65">
        <w:rPr>
          <w:i/>
          <w:lang w:val="fr-CA"/>
        </w:rPr>
        <w:t>LACC</w:t>
      </w:r>
      <w:r w:rsidRPr="00393D65">
        <w:rPr>
          <w:lang w:val="fr-CA"/>
        </w:rPr>
        <w:t>.  Cette ordonnance avait pour effet de dissuader les créanciers d</w:t>
      </w:r>
      <w:r w:rsidR="00C03762">
        <w:rPr>
          <w:lang w:val="fr-CA"/>
        </w:rPr>
        <w:t>’</w:t>
      </w:r>
      <w:r w:rsidRPr="00393D65">
        <w:rPr>
          <w:lang w:val="fr-CA"/>
        </w:rPr>
        <w:t xml:space="preserve">entraver une liquidation ordonnée et, de ce fait, elle contribuait à la réalisation des objectifs de la </w:t>
      </w:r>
      <w:r w:rsidRPr="00393D65">
        <w:rPr>
          <w:i/>
          <w:lang w:val="fr-CA"/>
        </w:rPr>
        <w:t>LACC</w:t>
      </w:r>
      <w:r w:rsidRPr="00393D65">
        <w:rPr>
          <w:lang w:val="fr-CA"/>
        </w:rPr>
        <w:t>, dans la mesure où elle établi</w:t>
      </w:r>
      <w:r w:rsidR="00C4683A">
        <w:rPr>
          <w:lang w:val="fr-CA"/>
        </w:rPr>
        <w:t>t</w:t>
      </w:r>
      <w:r w:rsidRPr="00393D65">
        <w:rPr>
          <w:lang w:val="fr-CA"/>
        </w:rPr>
        <w:t xml:space="preserve"> une passerelle entre les procédures régies par la </w:t>
      </w:r>
      <w:r w:rsidRPr="00393D65">
        <w:rPr>
          <w:i/>
          <w:lang w:val="fr-CA"/>
        </w:rPr>
        <w:t>LACC</w:t>
      </w:r>
      <w:r w:rsidRPr="00393D65">
        <w:rPr>
          <w:lang w:val="fr-CA"/>
        </w:rPr>
        <w:t xml:space="preserve"> d</w:t>
      </w:r>
      <w:r w:rsidR="00C03762">
        <w:rPr>
          <w:lang w:val="fr-CA"/>
        </w:rPr>
        <w:t>’</w:t>
      </w:r>
      <w:r w:rsidRPr="00393D65">
        <w:rPr>
          <w:lang w:val="fr-CA"/>
        </w:rPr>
        <w:t xml:space="preserve">une part et celles régies par la </w:t>
      </w:r>
      <w:r w:rsidRPr="00393D65">
        <w:rPr>
          <w:i/>
          <w:lang w:val="fr-CA"/>
        </w:rPr>
        <w:t>LFI</w:t>
      </w:r>
      <w:r w:rsidRPr="00393D65">
        <w:rPr>
          <w:lang w:val="fr-CA"/>
        </w:rPr>
        <w:t xml:space="preserve"> d</w:t>
      </w:r>
      <w:r w:rsidR="00C03762">
        <w:rPr>
          <w:lang w:val="fr-CA"/>
        </w:rPr>
        <w:t>’</w:t>
      </w:r>
      <w:r w:rsidRPr="00393D65">
        <w:rPr>
          <w:lang w:val="fr-CA"/>
        </w:rPr>
        <w:t>autre part.  Cette interprétation du pouvoir discrétionnaire du tribunal se trouve renforcée par l</w:t>
      </w:r>
      <w:r w:rsidR="00C03762">
        <w:rPr>
          <w:lang w:val="fr-CA"/>
        </w:rPr>
        <w:t>’</w:t>
      </w:r>
      <w:r w:rsidRPr="00393D65">
        <w:rPr>
          <w:lang w:val="fr-CA"/>
        </w:rPr>
        <w:t xml:space="preserve">art. 20 de la </w:t>
      </w:r>
      <w:r w:rsidRPr="00393D65">
        <w:rPr>
          <w:i/>
          <w:lang w:val="fr-CA"/>
        </w:rPr>
        <w:t>LACC</w:t>
      </w:r>
      <w:r w:rsidRPr="00393D65">
        <w:rPr>
          <w:lang w:val="fr-CA"/>
        </w:rPr>
        <w:t>, qui précise que les dispositions de la Loi « peuvent être appliquées conjointement avec celles de toute loi fédérale</w:t>
      </w:r>
      <w:r w:rsidR="0026679E">
        <w:rPr>
          <w:lang w:val="fr-CA"/>
        </w:rPr>
        <w:t xml:space="preserve"> [. . .] </w:t>
      </w:r>
      <w:r w:rsidRPr="00393D65">
        <w:rPr>
          <w:lang w:val="fr-CA"/>
        </w:rPr>
        <w:t>autorisant ou prévoyant l</w:t>
      </w:r>
      <w:r w:rsidR="00C03762">
        <w:rPr>
          <w:lang w:val="fr-CA"/>
        </w:rPr>
        <w:t>’</w:t>
      </w:r>
      <w:r w:rsidRPr="00393D65">
        <w:rPr>
          <w:lang w:val="fr-CA"/>
        </w:rPr>
        <w:t>homologation de transactions ou arrangements entre une compagnie et ses actionnaires ou une catégorie de ces derniers »</w:t>
      </w:r>
      <w:r w:rsidR="00C4683A">
        <w:rPr>
          <w:lang w:val="fr-CA"/>
        </w:rPr>
        <w:t xml:space="preserve">, par exemple la </w:t>
      </w:r>
      <w:r w:rsidR="00C4683A" w:rsidRPr="00C4683A">
        <w:rPr>
          <w:i/>
          <w:lang w:val="fr-CA"/>
        </w:rPr>
        <w:t>LFI</w:t>
      </w:r>
      <w:r w:rsidRPr="00393D65">
        <w:rPr>
          <w:lang w:val="fr-CA"/>
        </w:rPr>
        <w:t>.  L</w:t>
      </w:r>
      <w:r w:rsidR="00C03762">
        <w:rPr>
          <w:lang w:val="fr-CA"/>
        </w:rPr>
        <w:t>’</w:t>
      </w:r>
      <w:r w:rsidRPr="00393D65">
        <w:rPr>
          <w:lang w:val="fr-CA"/>
        </w:rPr>
        <w:t xml:space="preserve">article 20 indique clairement que le législateur entend voir la </w:t>
      </w:r>
      <w:r w:rsidRPr="00393D65">
        <w:rPr>
          <w:i/>
          <w:lang w:val="fr-CA"/>
        </w:rPr>
        <w:t>LACC</w:t>
      </w:r>
      <w:r w:rsidRPr="00393D65">
        <w:rPr>
          <w:lang w:val="fr-CA"/>
        </w:rPr>
        <w:t xml:space="preserve"> être appliquée </w:t>
      </w:r>
      <w:r w:rsidRPr="00393D65">
        <w:rPr>
          <w:i/>
          <w:lang w:val="fr-CA"/>
        </w:rPr>
        <w:t>de concert</w:t>
      </w:r>
      <w:r w:rsidRPr="00393D65">
        <w:rPr>
          <w:lang w:val="fr-CA"/>
        </w:rPr>
        <w:t xml:space="preserve"> avec les autres lois concernant l</w:t>
      </w:r>
      <w:r w:rsidR="00C03762">
        <w:rPr>
          <w:lang w:val="fr-CA"/>
        </w:rPr>
        <w:t>’</w:t>
      </w:r>
      <w:r w:rsidRPr="00393D65">
        <w:rPr>
          <w:lang w:val="fr-CA"/>
        </w:rPr>
        <w:t xml:space="preserve">insolvabilité, telle la </w:t>
      </w:r>
      <w:r w:rsidRPr="00393D65">
        <w:rPr>
          <w:i/>
          <w:lang w:val="fr-CA"/>
        </w:rPr>
        <w:t>LFI</w:t>
      </w:r>
      <w:r w:rsidRPr="00393D65">
        <w:rPr>
          <w:lang w:val="fr-CA"/>
        </w:rPr>
        <w:t>.</w:t>
      </w:r>
    </w:p>
    <w:p w:rsidR="008C3D0D" w:rsidRPr="00393D65" w:rsidRDefault="008C3D0D" w:rsidP="008C3D0D">
      <w:pPr>
        <w:pStyle w:val="ListParagraph"/>
        <w:numPr>
          <w:ilvl w:val="0"/>
          <w:numId w:val="5"/>
        </w:numPr>
        <w:tabs>
          <w:tab w:val="left" w:pos="1170"/>
        </w:tabs>
        <w:spacing w:after="480" w:line="480" w:lineRule="auto"/>
        <w:ind w:left="0" w:firstLine="0"/>
        <w:jc w:val="both"/>
        <w:rPr>
          <w:lang w:val="fr-CA"/>
        </w:rPr>
      </w:pPr>
      <w:r w:rsidRPr="00393D65">
        <w:rPr>
          <w:lang w:val="fr-CA"/>
        </w:rPr>
        <w:t xml:space="preserve">La </w:t>
      </w:r>
      <w:r w:rsidRPr="00393D65">
        <w:rPr>
          <w:i/>
          <w:lang w:val="fr-CA"/>
        </w:rPr>
        <w:t>LACC</w:t>
      </w:r>
      <w:r w:rsidRPr="00393D65">
        <w:rPr>
          <w:lang w:val="fr-CA"/>
        </w:rPr>
        <w:t xml:space="preserve"> établit les conditions qui permettent de préserver le statu quo pendant qu</w:t>
      </w:r>
      <w:r w:rsidR="00C03762">
        <w:rPr>
          <w:lang w:val="fr-CA"/>
        </w:rPr>
        <w:t>’</w:t>
      </w:r>
      <w:r w:rsidRPr="00393D65">
        <w:rPr>
          <w:lang w:val="fr-CA"/>
        </w:rPr>
        <w:t>on tente de trouver un terrain d</w:t>
      </w:r>
      <w:r w:rsidR="00C03762">
        <w:rPr>
          <w:lang w:val="fr-CA"/>
        </w:rPr>
        <w:t>’</w:t>
      </w:r>
      <w:r w:rsidRPr="00393D65">
        <w:rPr>
          <w:lang w:val="fr-CA"/>
        </w:rPr>
        <w:t>entente entre les intéressés en vue d</w:t>
      </w:r>
      <w:r w:rsidR="00C03762">
        <w:rPr>
          <w:lang w:val="fr-CA"/>
        </w:rPr>
        <w:t>’</w:t>
      </w:r>
      <w:r w:rsidRPr="00393D65">
        <w:rPr>
          <w:lang w:val="fr-CA"/>
        </w:rPr>
        <w:t>une réorganisation qui soit juste pour tout le monde.  Étant donné que, souvent, la seule autre solution est la faillite, les participants évaluent l</w:t>
      </w:r>
      <w:r w:rsidR="00C03762">
        <w:rPr>
          <w:lang w:val="fr-CA"/>
        </w:rPr>
        <w:t>’</w:t>
      </w:r>
      <w:r w:rsidRPr="00393D65">
        <w:rPr>
          <w:lang w:val="fr-CA"/>
        </w:rPr>
        <w:t>impact d</w:t>
      </w:r>
      <w:r w:rsidR="00C03762">
        <w:rPr>
          <w:lang w:val="fr-CA"/>
        </w:rPr>
        <w:t>’</w:t>
      </w:r>
      <w:r w:rsidRPr="00393D65">
        <w:rPr>
          <w:lang w:val="fr-CA"/>
        </w:rPr>
        <w:t>une réorganisation en regard de la situation qui serait la leur en cas de liquidation.  En l</w:t>
      </w:r>
      <w:r w:rsidR="00C03762">
        <w:rPr>
          <w:lang w:val="fr-CA"/>
        </w:rPr>
        <w:t>’</w:t>
      </w:r>
      <w:r w:rsidRPr="00393D65">
        <w:rPr>
          <w:lang w:val="fr-CA"/>
        </w:rPr>
        <w:t>espèce, l</w:t>
      </w:r>
      <w:r w:rsidR="00C03762">
        <w:rPr>
          <w:lang w:val="fr-CA"/>
        </w:rPr>
        <w:t>’</w:t>
      </w:r>
      <w:r w:rsidRPr="00393D65">
        <w:rPr>
          <w:lang w:val="fr-CA"/>
        </w:rPr>
        <w:t xml:space="preserve">ordonnance favorisait une transition harmonieuse entre la réorganisation et la </w:t>
      </w:r>
      <w:r w:rsidRPr="00393D65">
        <w:rPr>
          <w:lang w:val="fr-CA"/>
        </w:rPr>
        <w:lastRenderedPageBreak/>
        <w:t>liquidation, tout en répondant à l</w:t>
      </w:r>
      <w:r w:rsidR="00C03762">
        <w:rPr>
          <w:lang w:val="fr-CA"/>
        </w:rPr>
        <w:t>’</w:t>
      </w:r>
      <w:r w:rsidRPr="00393D65">
        <w:rPr>
          <w:lang w:val="fr-CA"/>
        </w:rPr>
        <w:t>objectif — commun aux deux lois — qui consiste à avoir une seule procédure collective.</w:t>
      </w:r>
    </w:p>
    <w:p w:rsidR="008C3D0D" w:rsidRPr="00393D65" w:rsidRDefault="008C3D0D" w:rsidP="008C3D0D">
      <w:pPr>
        <w:pStyle w:val="ListParagraph"/>
        <w:numPr>
          <w:ilvl w:val="0"/>
          <w:numId w:val="5"/>
        </w:numPr>
        <w:tabs>
          <w:tab w:val="left" w:pos="1170"/>
        </w:tabs>
        <w:spacing w:after="480" w:line="480" w:lineRule="auto"/>
        <w:ind w:left="0" w:firstLine="0"/>
        <w:jc w:val="both"/>
        <w:rPr>
          <w:lang w:val="fr-CA"/>
        </w:rPr>
      </w:pPr>
      <w:r w:rsidRPr="00393D65">
        <w:rPr>
          <w:lang w:val="fr-CA"/>
        </w:rPr>
        <w:t>À mon avis, le juge d</w:t>
      </w:r>
      <w:r w:rsidR="00C03762">
        <w:rPr>
          <w:lang w:val="fr-CA"/>
        </w:rPr>
        <w:t>’</w:t>
      </w:r>
      <w:r w:rsidRPr="00393D65">
        <w:rPr>
          <w:lang w:val="fr-CA"/>
        </w:rPr>
        <w:t xml:space="preserve">appel Tysoe a donc commis une erreur en considérant la </w:t>
      </w:r>
      <w:r w:rsidRPr="00393D65">
        <w:rPr>
          <w:i/>
          <w:lang w:val="fr-CA"/>
        </w:rPr>
        <w:t>LACC</w:t>
      </w:r>
      <w:r w:rsidRPr="00393D65">
        <w:rPr>
          <w:lang w:val="fr-CA"/>
        </w:rPr>
        <w:t xml:space="preserve"> et la </w:t>
      </w:r>
      <w:r w:rsidRPr="00393D65">
        <w:rPr>
          <w:i/>
          <w:lang w:val="fr-CA"/>
        </w:rPr>
        <w:t>LFI</w:t>
      </w:r>
      <w:r w:rsidRPr="00393D65">
        <w:rPr>
          <w:lang w:val="fr-CA"/>
        </w:rPr>
        <w:t xml:space="preserve"> comme des régimes distincts, séparés par un hiatus temporel, plutôt que comme deux lois faisant partie d</w:t>
      </w:r>
      <w:r w:rsidR="00C03762">
        <w:rPr>
          <w:lang w:val="fr-CA"/>
        </w:rPr>
        <w:t>’</w:t>
      </w:r>
      <w:r w:rsidRPr="00393D65">
        <w:rPr>
          <w:lang w:val="fr-CA"/>
        </w:rPr>
        <w:t>un ensemble intégré de règles du droit de l</w:t>
      </w:r>
      <w:r w:rsidR="00C03762">
        <w:rPr>
          <w:lang w:val="fr-CA"/>
        </w:rPr>
        <w:t>’</w:t>
      </w:r>
      <w:r w:rsidRPr="00393D65">
        <w:rPr>
          <w:lang w:val="fr-CA"/>
        </w:rPr>
        <w:t xml:space="preserve">insolvabilité.  La décision du législateur de conserver deux régimes législatifs en matière de réorganisation, la </w:t>
      </w:r>
      <w:r w:rsidRPr="00393D65">
        <w:rPr>
          <w:i/>
          <w:lang w:val="fr-CA"/>
        </w:rPr>
        <w:t>LFI</w:t>
      </w:r>
      <w:r w:rsidRPr="00393D65">
        <w:rPr>
          <w:lang w:val="fr-CA"/>
        </w:rPr>
        <w:t xml:space="preserve"> et la </w:t>
      </w:r>
      <w:r w:rsidRPr="00393D65">
        <w:rPr>
          <w:i/>
          <w:lang w:val="fr-CA"/>
        </w:rPr>
        <w:t>LACC</w:t>
      </w:r>
      <w:r w:rsidRPr="00393D65">
        <w:rPr>
          <w:lang w:val="fr-CA"/>
        </w:rPr>
        <w:t>, reflète le fait bien réel que des réorganisations de complexité différente requièrent des mécanismes légaux différents.  En revanche, un seul régime législatif est jugé nécessaire pour la liquidation de l</w:t>
      </w:r>
      <w:r w:rsidR="00C03762">
        <w:rPr>
          <w:lang w:val="fr-CA"/>
        </w:rPr>
        <w:t>’</w:t>
      </w:r>
      <w:r w:rsidRPr="00393D65">
        <w:rPr>
          <w:lang w:val="fr-CA"/>
        </w:rPr>
        <w:t>actif d</w:t>
      </w:r>
      <w:r w:rsidR="00C03762">
        <w:rPr>
          <w:lang w:val="fr-CA"/>
        </w:rPr>
        <w:t>’</w:t>
      </w:r>
      <w:r w:rsidRPr="00393D65">
        <w:rPr>
          <w:lang w:val="fr-CA"/>
        </w:rPr>
        <w:t xml:space="preserve">un débiteur en faillite.  Le passage de la </w:t>
      </w:r>
      <w:r w:rsidRPr="00393D65">
        <w:rPr>
          <w:i/>
          <w:lang w:val="fr-CA"/>
        </w:rPr>
        <w:t>LACC</w:t>
      </w:r>
      <w:r w:rsidRPr="00393D65">
        <w:rPr>
          <w:lang w:val="fr-CA"/>
        </w:rPr>
        <w:t xml:space="preserve"> à la </w:t>
      </w:r>
      <w:r w:rsidRPr="00393D65">
        <w:rPr>
          <w:i/>
          <w:lang w:val="fr-CA"/>
        </w:rPr>
        <w:t>LFI</w:t>
      </w:r>
      <w:r w:rsidRPr="00393D65">
        <w:rPr>
          <w:lang w:val="fr-CA"/>
        </w:rPr>
        <w:t xml:space="preserve"> peut exiger la levée partielle d</w:t>
      </w:r>
      <w:r w:rsidR="00C03762">
        <w:rPr>
          <w:lang w:val="fr-CA"/>
        </w:rPr>
        <w:t>’</w:t>
      </w:r>
      <w:r w:rsidRPr="00393D65">
        <w:rPr>
          <w:lang w:val="fr-CA"/>
        </w:rPr>
        <w:t xml:space="preserve">une suspension de procédures ordonnée en vertu de la </w:t>
      </w:r>
      <w:r w:rsidRPr="00393D65">
        <w:rPr>
          <w:i/>
          <w:lang w:val="fr-CA"/>
        </w:rPr>
        <w:t>LACC</w:t>
      </w:r>
      <w:r w:rsidRPr="00393D65">
        <w:rPr>
          <w:lang w:val="fr-CA"/>
        </w:rPr>
        <w:t>, de façon à permettre l</w:t>
      </w:r>
      <w:r w:rsidR="00C03762">
        <w:rPr>
          <w:lang w:val="fr-CA"/>
        </w:rPr>
        <w:t>’</w:t>
      </w:r>
      <w:r w:rsidRPr="00393D65">
        <w:rPr>
          <w:lang w:val="fr-CA"/>
        </w:rPr>
        <w:t xml:space="preserve">engagement des procédures fondées sur la </w:t>
      </w:r>
      <w:r w:rsidRPr="00393D65">
        <w:rPr>
          <w:i/>
          <w:lang w:val="fr-CA"/>
        </w:rPr>
        <w:t>LFI</w:t>
      </w:r>
      <w:r w:rsidRPr="00393D65">
        <w:rPr>
          <w:lang w:val="fr-CA"/>
        </w:rPr>
        <w:t>.  Toutefois, comme l</w:t>
      </w:r>
      <w:r w:rsidR="00C03762">
        <w:rPr>
          <w:lang w:val="fr-CA"/>
        </w:rPr>
        <w:t>’</w:t>
      </w:r>
      <w:r w:rsidRPr="00393D65">
        <w:rPr>
          <w:lang w:val="fr-CA"/>
        </w:rPr>
        <w:t>a signalé le juge Laskin de la Cour d</w:t>
      </w:r>
      <w:r w:rsidR="00C03762">
        <w:rPr>
          <w:lang w:val="fr-CA"/>
        </w:rPr>
        <w:t>’</w:t>
      </w:r>
      <w:r w:rsidRPr="00393D65">
        <w:rPr>
          <w:lang w:val="fr-CA"/>
        </w:rPr>
        <w:t>appel de l</w:t>
      </w:r>
      <w:r w:rsidR="00C03762">
        <w:rPr>
          <w:lang w:val="fr-CA"/>
        </w:rPr>
        <w:t>’</w:t>
      </w:r>
      <w:r w:rsidRPr="00393D65">
        <w:rPr>
          <w:lang w:val="fr-CA"/>
        </w:rPr>
        <w:t>Ontario dans un litige semblable opposant des créanciers garantis et le Surintendant des services financiers de l</w:t>
      </w:r>
      <w:r w:rsidR="00C03762">
        <w:rPr>
          <w:lang w:val="fr-CA"/>
        </w:rPr>
        <w:t>’</w:t>
      </w:r>
      <w:r w:rsidRPr="00393D65">
        <w:rPr>
          <w:lang w:val="fr-CA"/>
        </w:rPr>
        <w:t>Ontario qui invoquait le bénéfice d</w:t>
      </w:r>
      <w:r w:rsidR="00C03762">
        <w:rPr>
          <w:lang w:val="fr-CA"/>
        </w:rPr>
        <w:t>’</w:t>
      </w:r>
      <w:r w:rsidRPr="00393D65">
        <w:rPr>
          <w:lang w:val="fr-CA"/>
        </w:rPr>
        <w:t>une fiducie réputée, [</w:t>
      </w:r>
      <w:r w:rsidRPr="00393D65">
        <w:rPr>
          <w:smallCaps/>
          <w:lang w:val="fr-CA"/>
        </w:rPr>
        <w:t>traduction</w:t>
      </w:r>
      <w:r w:rsidRPr="00393D65">
        <w:rPr>
          <w:lang w:val="fr-CA"/>
        </w:rPr>
        <w:t>] « </w:t>
      </w:r>
      <w:r w:rsidR="002422AB">
        <w:rPr>
          <w:lang w:val="fr-CA"/>
        </w:rPr>
        <w:t>[</w:t>
      </w:r>
      <w:r w:rsidRPr="00393D65">
        <w:rPr>
          <w:lang w:val="fr-CA"/>
        </w:rPr>
        <w:t>l</w:t>
      </w:r>
      <w:r w:rsidR="002422AB">
        <w:rPr>
          <w:lang w:val="fr-CA"/>
        </w:rPr>
        <w:t>]</w:t>
      </w:r>
      <w:r w:rsidRPr="00393D65">
        <w:rPr>
          <w:lang w:val="fr-CA"/>
        </w:rPr>
        <w:t>es deux lois sont liées » et il n</w:t>
      </w:r>
      <w:r w:rsidR="00C03762">
        <w:rPr>
          <w:lang w:val="fr-CA"/>
        </w:rPr>
        <w:t>’</w:t>
      </w:r>
      <w:r w:rsidRPr="00393D65">
        <w:rPr>
          <w:lang w:val="fr-CA"/>
        </w:rPr>
        <w:t>existe entre elles aucun « hiatus » qui permettrait d</w:t>
      </w:r>
      <w:r w:rsidR="00C03762">
        <w:rPr>
          <w:lang w:val="fr-CA"/>
        </w:rPr>
        <w:t>’</w:t>
      </w:r>
      <w:r w:rsidRPr="00393D65">
        <w:rPr>
          <w:lang w:val="fr-CA"/>
        </w:rPr>
        <w:t>obtenir l</w:t>
      </w:r>
      <w:r w:rsidR="00C03762">
        <w:rPr>
          <w:lang w:val="fr-CA"/>
        </w:rPr>
        <w:t>’</w:t>
      </w:r>
      <w:r w:rsidRPr="00393D65">
        <w:rPr>
          <w:lang w:val="fr-CA"/>
        </w:rPr>
        <w:t>exécution, à l</w:t>
      </w:r>
      <w:r w:rsidR="00C03762">
        <w:rPr>
          <w:lang w:val="fr-CA"/>
        </w:rPr>
        <w:t>’</w:t>
      </w:r>
      <w:r w:rsidRPr="00393D65">
        <w:rPr>
          <w:lang w:val="fr-CA"/>
        </w:rPr>
        <w:t xml:space="preserve">issue de procédures engagées sous le régime de la </w:t>
      </w:r>
      <w:r w:rsidRPr="00393D65">
        <w:rPr>
          <w:i/>
          <w:lang w:val="fr-CA"/>
        </w:rPr>
        <w:t>LACC</w:t>
      </w:r>
      <w:r w:rsidRPr="00393D65">
        <w:rPr>
          <w:lang w:val="fr-CA"/>
        </w:rPr>
        <w:t>, de droits de propriété qui seraient perdus en cas de faillite (</w:t>
      </w:r>
      <w:r w:rsidRPr="00393D65">
        <w:rPr>
          <w:i/>
          <w:lang w:val="fr-CA"/>
        </w:rPr>
        <w:t>Ivaco</w:t>
      </w:r>
      <w:r w:rsidRPr="00393D65">
        <w:rPr>
          <w:lang w:val="fr-CA"/>
        </w:rPr>
        <w:t xml:space="preserve"> </w:t>
      </w:r>
      <w:r w:rsidRPr="00393D65">
        <w:rPr>
          <w:i/>
          <w:lang w:val="fr-CA"/>
        </w:rPr>
        <w:t>Inc. (Re)</w:t>
      </w:r>
      <w:r w:rsidRPr="00393D65">
        <w:rPr>
          <w:lang w:val="fr-CA"/>
        </w:rPr>
        <w:t xml:space="preserve"> (2006), 83 O.R. (3d) 108, par. 62</w:t>
      </w:r>
      <w:r w:rsidRPr="00393D65">
        <w:rPr>
          <w:lang w:val="fr-CA"/>
        </w:rPr>
        <w:noBreakHyphen/>
        <w:t>63).</w:t>
      </w:r>
    </w:p>
    <w:p w:rsidR="008C3D0D" w:rsidRPr="00393D65" w:rsidRDefault="008C3D0D" w:rsidP="008C3D0D">
      <w:pPr>
        <w:pStyle w:val="ListParagraph"/>
        <w:numPr>
          <w:ilvl w:val="0"/>
          <w:numId w:val="5"/>
        </w:numPr>
        <w:tabs>
          <w:tab w:val="left" w:pos="1170"/>
        </w:tabs>
        <w:spacing w:after="480" w:line="480" w:lineRule="auto"/>
        <w:ind w:left="0" w:firstLine="0"/>
        <w:jc w:val="both"/>
        <w:rPr>
          <w:lang w:val="fr-CA"/>
        </w:rPr>
      </w:pPr>
      <w:r w:rsidRPr="00393D65">
        <w:rPr>
          <w:lang w:val="fr-CA"/>
        </w:rPr>
        <w:t>La priorité accordée aux réclamations de la Couronne fondées sur une fiducie réputée visant des retenues à la source n</w:t>
      </w:r>
      <w:r w:rsidR="00C03762">
        <w:rPr>
          <w:lang w:val="fr-CA"/>
        </w:rPr>
        <w:t>’</w:t>
      </w:r>
      <w:r w:rsidRPr="00393D65">
        <w:rPr>
          <w:lang w:val="fr-CA"/>
        </w:rPr>
        <w:t xml:space="preserve">affaiblit en rien cette conclusion.  </w:t>
      </w:r>
      <w:r w:rsidRPr="00393D65">
        <w:rPr>
          <w:lang w:val="fr-CA"/>
        </w:rPr>
        <w:lastRenderedPageBreak/>
        <w:t xml:space="preserve">Comme ces fiducies réputées survivent tant sous le régime de la </w:t>
      </w:r>
      <w:r w:rsidRPr="00393D65">
        <w:rPr>
          <w:i/>
          <w:lang w:val="fr-CA"/>
        </w:rPr>
        <w:t>LACC</w:t>
      </w:r>
      <w:r w:rsidRPr="00393D65">
        <w:rPr>
          <w:lang w:val="fr-CA"/>
        </w:rPr>
        <w:t xml:space="preserve"> que sous celui de la </w:t>
      </w:r>
      <w:r w:rsidRPr="00710DE4">
        <w:rPr>
          <w:i/>
          <w:lang w:val="fr-CA"/>
        </w:rPr>
        <w:t>LFI</w:t>
      </w:r>
      <w:r w:rsidRPr="00393D65">
        <w:rPr>
          <w:lang w:val="fr-CA"/>
        </w:rPr>
        <w:t>, ce facteur n</w:t>
      </w:r>
      <w:r w:rsidR="00C03762">
        <w:rPr>
          <w:lang w:val="fr-CA"/>
        </w:rPr>
        <w:t>’</w:t>
      </w:r>
      <w:r w:rsidRPr="00393D65">
        <w:rPr>
          <w:lang w:val="fr-CA"/>
        </w:rPr>
        <w:t>a aucune incidence sur l</w:t>
      </w:r>
      <w:r w:rsidR="00C03762">
        <w:rPr>
          <w:lang w:val="fr-CA"/>
        </w:rPr>
        <w:t>’</w:t>
      </w:r>
      <w:r w:rsidRPr="00393D65">
        <w:rPr>
          <w:lang w:val="fr-CA"/>
        </w:rPr>
        <w:t>intérêt que pourraient avoir les créanciers à préférer une loi plutôt que l</w:t>
      </w:r>
      <w:r w:rsidR="00C03762">
        <w:rPr>
          <w:lang w:val="fr-CA"/>
        </w:rPr>
        <w:t>’</w:t>
      </w:r>
      <w:r w:rsidRPr="00393D65">
        <w:rPr>
          <w:lang w:val="fr-CA"/>
        </w:rPr>
        <w:t>autre.  S</w:t>
      </w:r>
      <w:r w:rsidR="00C03762">
        <w:rPr>
          <w:lang w:val="fr-CA"/>
        </w:rPr>
        <w:t>’</w:t>
      </w:r>
      <w:r w:rsidRPr="00393D65">
        <w:rPr>
          <w:lang w:val="fr-CA"/>
        </w:rPr>
        <w:t xml:space="preserve">il est vrai que le tribunal agissant en vertu de la </w:t>
      </w:r>
      <w:r w:rsidRPr="00393D65">
        <w:rPr>
          <w:i/>
          <w:lang w:val="fr-CA"/>
        </w:rPr>
        <w:t>LACC</w:t>
      </w:r>
      <w:r w:rsidRPr="00393D65">
        <w:rPr>
          <w:lang w:val="fr-CA"/>
        </w:rPr>
        <w:t xml:space="preserve"> dispose d</w:t>
      </w:r>
      <w:r w:rsidR="00C03762">
        <w:rPr>
          <w:lang w:val="fr-CA"/>
        </w:rPr>
        <w:t>’</w:t>
      </w:r>
      <w:r w:rsidRPr="00393D65">
        <w:rPr>
          <w:lang w:val="fr-CA"/>
        </w:rPr>
        <w:t>une grande latitude pour suspendre les réclamations fondée sur des fiducies réputées visant des retenues à la source, cette latitude n</w:t>
      </w:r>
      <w:r w:rsidR="00C03762">
        <w:rPr>
          <w:lang w:val="fr-CA"/>
        </w:rPr>
        <w:t>’</w:t>
      </w:r>
      <w:r w:rsidRPr="00393D65">
        <w:rPr>
          <w:lang w:val="fr-CA"/>
        </w:rPr>
        <w:t>en demeure pas moins soumise à des limitations particulières, applicables uniquement à ces fiducies réputées (</w:t>
      </w:r>
      <w:r w:rsidRPr="00393D65">
        <w:rPr>
          <w:i/>
          <w:lang w:val="fr-CA"/>
        </w:rPr>
        <w:t>LACC</w:t>
      </w:r>
      <w:r w:rsidRPr="00393D65">
        <w:rPr>
          <w:lang w:val="fr-CA"/>
        </w:rPr>
        <w:t xml:space="preserve">, art. 11.4).  Par conséquent, si la réorganisation tentée sous le régime de la </w:t>
      </w:r>
      <w:r w:rsidRPr="00393D65">
        <w:rPr>
          <w:i/>
          <w:lang w:val="fr-CA"/>
        </w:rPr>
        <w:t>LACC</w:t>
      </w:r>
      <w:r w:rsidRPr="00393D65">
        <w:rPr>
          <w:lang w:val="fr-CA"/>
        </w:rPr>
        <w:t xml:space="preserve"> échoue (p</w:t>
      </w:r>
      <w:r w:rsidR="00882EF3">
        <w:rPr>
          <w:lang w:val="fr-CA"/>
        </w:rPr>
        <w:t>.</w:t>
      </w:r>
      <w:r w:rsidRPr="00393D65">
        <w:rPr>
          <w:lang w:val="fr-CA"/>
        </w:rPr>
        <w:t xml:space="preserve"> ex</w:t>
      </w:r>
      <w:r w:rsidR="00882EF3">
        <w:rPr>
          <w:lang w:val="fr-CA"/>
        </w:rPr>
        <w:t>.</w:t>
      </w:r>
      <w:r w:rsidRPr="00393D65">
        <w:rPr>
          <w:lang w:val="fr-CA"/>
        </w:rPr>
        <w:t xml:space="preserve"> parce que le tribunal ou les créanciers refusent une proposition de réorganisation), la Couronne peut immédiatement présenter sa réclamation à l</w:t>
      </w:r>
      <w:r w:rsidR="00C03762">
        <w:rPr>
          <w:lang w:val="fr-CA"/>
        </w:rPr>
        <w:t>’</w:t>
      </w:r>
      <w:r w:rsidRPr="00393D65">
        <w:rPr>
          <w:lang w:val="fr-CA"/>
        </w:rPr>
        <w:t xml:space="preserve">égard des retenues à la source non versées.  Mais il ne faut pas en conclure que cela compromet le passage harmonieux au régime de faillite ou crée le moindre « hiatus » entre la </w:t>
      </w:r>
      <w:r w:rsidRPr="00393D65">
        <w:rPr>
          <w:i/>
          <w:lang w:val="fr-CA"/>
        </w:rPr>
        <w:t>LACC</w:t>
      </w:r>
      <w:r w:rsidRPr="00393D65">
        <w:rPr>
          <w:lang w:val="fr-CA"/>
        </w:rPr>
        <w:t xml:space="preserve"> et la </w:t>
      </w:r>
      <w:r w:rsidRPr="00393D65">
        <w:rPr>
          <w:i/>
          <w:lang w:val="fr-CA"/>
        </w:rPr>
        <w:t>LFI</w:t>
      </w:r>
      <w:r w:rsidRPr="00393D65">
        <w:rPr>
          <w:lang w:val="fr-CA"/>
        </w:rPr>
        <w:t>, car le fait est que, peu importe la loi en vertu de laquelle la réorganisation a été amorcée, les réclamations des créanciers auraient dans les deux cas été subordonnées à la priorité de la fiducie réputée de la Couronne à l</w:t>
      </w:r>
      <w:r w:rsidR="00C03762">
        <w:rPr>
          <w:lang w:val="fr-CA"/>
        </w:rPr>
        <w:t>’</w:t>
      </w:r>
      <w:r w:rsidRPr="00393D65">
        <w:rPr>
          <w:lang w:val="fr-CA"/>
        </w:rPr>
        <w:t>égard des retenues à la source.</w:t>
      </w:r>
    </w:p>
    <w:p w:rsidR="008C3D0D" w:rsidRPr="00393D65" w:rsidRDefault="008C3D0D" w:rsidP="008C3D0D">
      <w:pPr>
        <w:pStyle w:val="ListParagraph"/>
        <w:numPr>
          <w:ilvl w:val="0"/>
          <w:numId w:val="5"/>
        </w:numPr>
        <w:tabs>
          <w:tab w:val="left" w:pos="1170"/>
        </w:tabs>
        <w:spacing w:after="480" w:line="480" w:lineRule="auto"/>
        <w:ind w:left="0" w:firstLine="0"/>
        <w:jc w:val="both"/>
        <w:rPr>
          <w:lang w:val="fr-CA"/>
        </w:rPr>
      </w:pPr>
      <w:r w:rsidRPr="00393D65">
        <w:rPr>
          <w:lang w:val="fr-CA"/>
        </w:rPr>
        <w:t>Abstraction faite des fiducies réputées visant les retenues à la source, c</w:t>
      </w:r>
      <w:r w:rsidR="00C03762">
        <w:rPr>
          <w:lang w:val="fr-CA"/>
        </w:rPr>
        <w:t>’</w:t>
      </w:r>
      <w:r w:rsidRPr="00393D65">
        <w:rPr>
          <w:lang w:val="fr-CA"/>
        </w:rPr>
        <w:t xml:space="preserve">est le mécanisme complet et exhaustif prévu par la </w:t>
      </w:r>
      <w:r w:rsidRPr="00393D65">
        <w:rPr>
          <w:i/>
          <w:lang w:val="fr-CA"/>
        </w:rPr>
        <w:t>LFI</w:t>
      </w:r>
      <w:r w:rsidRPr="00393D65">
        <w:rPr>
          <w:lang w:val="fr-CA"/>
        </w:rPr>
        <w:t xml:space="preserve"> qui doit régir la répartition des biens du débiteur une fois que la liquidation est devenue inévitable.  De fait, une transition ordonnée aux procédures de liquidation est obligatoire sous le régime de la </w:t>
      </w:r>
      <w:r w:rsidRPr="00393D65">
        <w:rPr>
          <w:i/>
          <w:lang w:val="fr-CA"/>
        </w:rPr>
        <w:t>LFI</w:t>
      </w:r>
      <w:r w:rsidRPr="00393D65">
        <w:rPr>
          <w:lang w:val="fr-CA"/>
        </w:rPr>
        <w:t xml:space="preserve"> lorsqu</w:t>
      </w:r>
      <w:r w:rsidR="00C03762">
        <w:rPr>
          <w:lang w:val="fr-CA"/>
        </w:rPr>
        <w:t>’</w:t>
      </w:r>
      <w:r w:rsidRPr="00393D65">
        <w:rPr>
          <w:lang w:val="fr-CA"/>
        </w:rPr>
        <w:t xml:space="preserve">une proposition est rejetée par les créanciers.  La </w:t>
      </w:r>
      <w:r w:rsidRPr="00393D65">
        <w:rPr>
          <w:i/>
          <w:lang w:val="fr-CA"/>
        </w:rPr>
        <w:t>LACC</w:t>
      </w:r>
      <w:r w:rsidRPr="00393D65">
        <w:rPr>
          <w:lang w:val="fr-CA"/>
        </w:rPr>
        <w:t xml:space="preserve"> est muette à l</w:t>
      </w:r>
      <w:r w:rsidR="00C03762">
        <w:rPr>
          <w:lang w:val="fr-CA"/>
        </w:rPr>
        <w:t>’</w:t>
      </w:r>
      <w:r w:rsidRPr="00393D65">
        <w:rPr>
          <w:lang w:val="fr-CA"/>
        </w:rPr>
        <w:t>égard de cette transition, mais l</w:t>
      </w:r>
      <w:r w:rsidR="00C03762">
        <w:rPr>
          <w:lang w:val="fr-CA"/>
        </w:rPr>
        <w:t>’</w:t>
      </w:r>
      <w:r w:rsidRPr="00393D65">
        <w:rPr>
          <w:lang w:val="fr-CA"/>
        </w:rPr>
        <w:t>ampleur du pouvoir discrétionnaire conféré au tribunal par cette loi est suffisant</w:t>
      </w:r>
      <w:r w:rsidR="00882EF3">
        <w:rPr>
          <w:lang w:val="fr-CA"/>
        </w:rPr>
        <w:t>e</w:t>
      </w:r>
      <w:r w:rsidRPr="00393D65">
        <w:rPr>
          <w:lang w:val="fr-CA"/>
        </w:rPr>
        <w:t xml:space="preserve"> pour établir une passerelle vers une liquidation </w:t>
      </w:r>
      <w:r w:rsidRPr="00393D65">
        <w:rPr>
          <w:lang w:val="fr-CA"/>
        </w:rPr>
        <w:lastRenderedPageBreak/>
        <w:t xml:space="preserve">opérée sous le régime de la </w:t>
      </w:r>
      <w:r w:rsidRPr="00393D65">
        <w:rPr>
          <w:i/>
          <w:lang w:val="fr-CA"/>
        </w:rPr>
        <w:t>LFI</w:t>
      </w:r>
      <w:r w:rsidRPr="00393D65">
        <w:rPr>
          <w:lang w:val="fr-CA"/>
        </w:rPr>
        <w:t xml:space="preserve">.  Ce faisant, le tribunal doit veiller à ne pas perturber le plan de répartition établi par la </w:t>
      </w:r>
      <w:r w:rsidRPr="00393D65">
        <w:rPr>
          <w:i/>
          <w:lang w:val="fr-CA"/>
        </w:rPr>
        <w:t>LFI</w:t>
      </w:r>
      <w:r w:rsidRPr="00393D65">
        <w:rPr>
          <w:lang w:val="fr-CA"/>
        </w:rPr>
        <w:t xml:space="preserve">.  La transition au régime de liquidation nécessite la levée partielle de la suspension des procédures ordonnée en vertu de la </w:t>
      </w:r>
      <w:r w:rsidRPr="00393D65">
        <w:rPr>
          <w:i/>
          <w:lang w:val="fr-CA"/>
        </w:rPr>
        <w:t>LACC</w:t>
      </w:r>
      <w:r w:rsidRPr="00393D65">
        <w:rPr>
          <w:lang w:val="fr-CA"/>
        </w:rPr>
        <w:t>, afin de permettre l</w:t>
      </w:r>
      <w:r w:rsidR="00C03762">
        <w:rPr>
          <w:lang w:val="fr-CA"/>
        </w:rPr>
        <w:t>’</w:t>
      </w:r>
      <w:r w:rsidRPr="00393D65">
        <w:rPr>
          <w:lang w:val="fr-CA"/>
        </w:rPr>
        <w:t xml:space="preserve">introduction de procédures en vertu de la </w:t>
      </w:r>
      <w:r w:rsidRPr="00393D65">
        <w:rPr>
          <w:i/>
          <w:lang w:val="fr-CA"/>
        </w:rPr>
        <w:t>LFI</w:t>
      </w:r>
      <w:r w:rsidRPr="00393D65">
        <w:rPr>
          <w:lang w:val="fr-CA"/>
        </w:rPr>
        <w:t>.  Il ne faudrait pas que cette indispensable levée partielle de la suspension des procédures provoque une ruée des créanciers vers le palais de justice pour l</w:t>
      </w:r>
      <w:r w:rsidR="00C03762">
        <w:rPr>
          <w:lang w:val="fr-CA"/>
        </w:rPr>
        <w:t>’</w:t>
      </w:r>
      <w:r w:rsidRPr="00393D65">
        <w:rPr>
          <w:lang w:val="fr-CA"/>
        </w:rPr>
        <w:t>obtention d</w:t>
      </w:r>
      <w:r w:rsidR="00C03762">
        <w:rPr>
          <w:lang w:val="fr-CA"/>
        </w:rPr>
        <w:t>’</w:t>
      </w:r>
      <w:r w:rsidRPr="00393D65">
        <w:rPr>
          <w:lang w:val="fr-CA"/>
        </w:rPr>
        <w:t xml:space="preserve">une priorité inexistante sous le régime de la </w:t>
      </w:r>
      <w:r w:rsidRPr="00393D65">
        <w:rPr>
          <w:i/>
          <w:lang w:val="fr-CA"/>
        </w:rPr>
        <w:t>LFI</w:t>
      </w:r>
      <w:r w:rsidRPr="00393D65">
        <w:rPr>
          <w:lang w:val="fr-CA"/>
        </w:rPr>
        <w:t>.</w:t>
      </w:r>
    </w:p>
    <w:p w:rsidR="008C3D0D" w:rsidRPr="00393D65" w:rsidRDefault="008C3D0D" w:rsidP="008C3D0D">
      <w:pPr>
        <w:pStyle w:val="ListParagraph"/>
        <w:numPr>
          <w:ilvl w:val="0"/>
          <w:numId w:val="5"/>
        </w:numPr>
        <w:tabs>
          <w:tab w:val="left" w:pos="1170"/>
        </w:tabs>
        <w:spacing w:after="480" w:line="480" w:lineRule="auto"/>
        <w:ind w:left="0" w:firstLine="0"/>
        <w:jc w:val="both"/>
        <w:rPr>
          <w:lang w:val="fr-CA"/>
        </w:rPr>
      </w:pPr>
      <w:r w:rsidRPr="00393D65">
        <w:rPr>
          <w:lang w:val="fr-CA"/>
        </w:rPr>
        <w:t xml:space="preserve">Je conclus donc que le juge en chef Brenner avait, en vertu de la </w:t>
      </w:r>
      <w:r w:rsidRPr="00393D65">
        <w:rPr>
          <w:i/>
          <w:lang w:val="fr-CA"/>
        </w:rPr>
        <w:t>LACC</w:t>
      </w:r>
      <w:r w:rsidRPr="00393D65">
        <w:rPr>
          <w:lang w:val="fr-CA"/>
        </w:rPr>
        <w:t>, le pouvoir de lever la suspension des procédures afin de permettre la transition au régime de liquidation.</w:t>
      </w:r>
    </w:p>
    <w:p w:rsidR="008C3D0D" w:rsidRPr="00393D65" w:rsidRDefault="008C3D0D" w:rsidP="00BE5A04">
      <w:pPr>
        <w:pStyle w:val="SCCNormalDoubleSpacing"/>
        <w:tabs>
          <w:tab w:val="left" w:pos="540"/>
        </w:tabs>
        <w:spacing w:after="480"/>
      </w:pPr>
      <w:r w:rsidRPr="00393D65">
        <w:t>3.4</w:t>
      </w:r>
      <w:r w:rsidR="00BE5A04">
        <w:tab/>
      </w:r>
      <w:r w:rsidRPr="00BE5A04">
        <w:rPr>
          <w:i/>
        </w:rPr>
        <w:t>Fiducie expresse</w:t>
      </w:r>
    </w:p>
    <w:p w:rsidR="008C3D0D" w:rsidRPr="00393D65" w:rsidRDefault="008C3D0D" w:rsidP="008C3D0D">
      <w:pPr>
        <w:pStyle w:val="ListParagraph"/>
        <w:numPr>
          <w:ilvl w:val="0"/>
          <w:numId w:val="5"/>
        </w:numPr>
        <w:tabs>
          <w:tab w:val="left" w:pos="1170"/>
        </w:tabs>
        <w:spacing w:after="480" w:line="480" w:lineRule="auto"/>
        <w:ind w:left="0" w:firstLine="0"/>
        <w:jc w:val="both"/>
        <w:rPr>
          <w:lang w:val="fr-CA"/>
        </w:rPr>
      </w:pPr>
      <w:r w:rsidRPr="00393D65">
        <w:rPr>
          <w:lang w:val="fr-CA"/>
        </w:rPr>
        <w:t>La dernière question à trancher en l</w:t>
      </w:r>
      <w:r w:rsidR="00C03762">
        <w:rPr>
          <w:lang w:val="fr-CA"/>
        </w:rPr>
        <w:t>’</w:t>
      </w:r>
      <w:r w:rsidRPr="00393D65">
        <w:rPr>
          <w:lang w:val="fr-CA"/>
        </w:rPr>
        <w:t>espèce est celle de savoir si le juge en chef Brenner a créé une fiducie expresse en faveur de la Couronne quand il a ordonné, le 29 avril 2008, que le produit de la vente des biens de LeRoy Trucking ― jusqu</w:t>
      </w:r>
      <w:r w:rsidR="00C03762">
        <w:rPr>
          <w:lang w:val="fr-CA"/>
        </w:rPr>
        <w:t>’</w:t>
      </w:r>
      <w:r w:rsidRPr="00393D65">
        <w:rPr>
          <w:lang w:val="fr-CA"/>
        </w:rPr>
        <w:t>à concurrence des sommes de TPS non remises ― soit détenu dans le compte en fiducie du contrôleur jusqu</w:t>
      </w:r>
      <w:r w:rsidR="00C03762">
        <w:rPr>
          <w:lang w:val="fr-CA"/>
        </w:rPr>
        <w:t>’</w:t>
      </w:r>
      <w:r w:rsidRPr="00393D65">
        <w:rPr>
          <w:lang w:val="fr-CA"/>
        </w:rPr>
        <w:t>à ce que l</w:t>
      </w:r>
      <w:r w:rsidR="00C03762">
        <w:rPr>
          <w:lang w:val="fr-CA"/>
        </w:rPr>
        <w:t>’</w:t>
      </w:r>
      <w:r w:rsidRPr="00393D65">
        <w:rPr>
          <w:lang w:val="fr-CA"/>
        </w:rPr>
        <w:t>issue de la réorganisation soit connue.  Un autre motif invoqué par le juge Tysoe de la Cour d</w:t>
      </w:r>
      <w:r w:rsidR="00C03762">
        <w:rPr>
          <w:lang w:val="fr-CA"/>
        </w:rPr>
        <w:t>’</w:t>
      </w:r>
      <w:r w:rsidRPr="00393D65">
        <w:rPr>
          <w:lang w:val="fr-CA"/>
        </w:rPr>
        <w:t>appel pour accueillir l</w:t>
      </w:r>
      <w:r w:rsidR="00C03762">
        <w:rPr>
          <w:lang w:val="fr-CA"/>
        </w:rPr>
        <w:t>’</w:t>
      </w:r>
      <w:r w:rsidRPr="00393D65">
        <w:rPr>
          <w:lang w:val="fr-CA"/>
        </w:rPr>
        <w:t>appel interjeté par la Couronne était que, selon lui, celle</w:t>
      </w:r>
      <w:r w:rsidRPr="00393D65">
        <w:rPr>
          <w:lang w:val="fr-CA"/>
        </w:rPr>
        <w:noBreakHyphen/>
        <w:t>ci était effectivement la bénéficiaire d</w:t>
      </w:r>
      <w:r w:rsidR="00C03762">
        <w:rPr>
          <w:lang w:val="fr-CA"/>
        </w:rPr>
        <w:t>’</w:t>
      </w:r>
      <w:r w:rsidRPr="00393D65">
        <w:rPr>
          <w:lang w:val="fr-CA"/>
        </w:rPr>
        <w:t>une fiducie expresse.  Je ne peux souscrire à cette conclusion.</w:t>
      </w:r>
    </w:p>
    <w:p w:rsidR="008C3D0D" w:rsidRPr="00393D65" w:rsidRDefault="008C3D0D" w:rsidP="008C3D0D">
      <w:pPr>
        <w:pStyle w:val="ListParagraph"/>
        <w:numPr>
          <w:ilvl w:val="0"/>
          <w:numId w:val="5"/>
        </w:numPr>
        <w:tabs>
          <w:tab w:val="left" w:pos="1170"/>
        </w:tabs>
        <w:spacing w:after="480" w:line="480" w:lineRule="auto"/>
        <w:ind w:left="0" w:firstLine="0"/>
        <w:jc w:val="both"/>
        <w:rPr>
          <w:lang w:val="fr-CA"/>
        </w:rPr>
      </w:pPr>
      <w:r w:rsidRPr="00393D65">
        <w:rPr>
          <w:lang w:val="fr-CA"/>
        </w:rPr>
        <w:lastRenderedPageBreak/>
        <w:t>La création d</w:t>
      </w:r>
      <w:r w:rsidR="00C03762">
        <w:rPr>
          <w:lang w:val="fr-CA"/>
        </w:rPr>
        <w:t>’</w:t>
      </w:r>
      <w:r w:rsidRPr="00393D65">
        <w:rPr>
          <w:lang w:val="fr-CA"/>
        </w:rPr>
        <w:t>une fiducie expresse exige la présence de trois certitudes : certitude d</w:t>
      </w:r>
      <w:r w:rsidR="00C03762">
        <w:rPr>
          <w:lang w:val="fr-CA"/>
        </w:rPr>
        <w:t>’</w:t>
      </w:r>
      <w:r w:rsidRPr="00393D65">
        <w:rPr>
          <w:lang w:val="fr-CA"/>
        </w:rPr>
        <w:t>intention, certitude de matière et certitude d</w:t>
      </w:r>
      <w:r w:rsidR="00C03762">
        <w:rPr>
          <w:lang w:val="fr-CA"/>
        </w:rPr>
        <w:t>’</w:t>
      </w:r>
      <w:r w:rsidRPr="00393D65">
        <w:rPr>
          <w:lang w:val="fr-CA"/>
        </w:rPr>
        <w:t>objet.  Les fiducies expresses ou « fiducies au sens strict » découlent des actes et des intentions du constituant et se distinguent des autres fiducies découlant de l</w:t>
      </w:r>
      <w:r w:rsidR="00C03762">
        <w:rPr>
          <w:lang w:val="fr-CA"/>
        </w:rPr>
        <w:t>’</w:t>
      </w:r>
      <w:r w:rsidRPr="00393D65">
        <w:rPr>
          <w:lang w:val="fr-CA"/>
        </w:rPr>
        <w:t xml:space="preserve">effet de la loi (voir D. W. M. Waters, M. R. Gillen et L. D. Smith, dir., </w:t>
      </w:r>
      <w:r w:rsidRPr="00393D65">
        <w:rPr>
          <w:i/>
          <w:lang w:val="fr-CA"/>
        </w:rPr>
        <w:t>Waters</w:t>
      </w:r>
      <w:r w:rsidR="00C03762">
        <w:rPr>
          <w:i/>
          <w:lang w:val="fr-CA"/>
        </w:rPr>
        <w:t>’</w:t>
      </w:r>
      <w:r w:rsidRPr="00393D65">
        <w:rPr>
          <w:i/>
          <w:lang w:val="fr-CA"/>
        </w:rPr>
        <w:t xml:space="preserve"> Law of Trusts in Canada</w:t>
      </w:r>
      <w:r w:rsidRPr="00393D65">
        <w:rPr>
          <w:lang w:val="fr-CA"/>
        </w:rPr>
        <w:t xml:space="preserve"> (3</w:t>
      </w:r>
      <w:r w:rsidRPr="00393D65">
        <w:rPr>
          <w:vertAlign w:val="superscript"/>
          <w:lang w:val="fr-CA"/>
        </w:rPr>
        <w:t>e</w:t>
      </w:r>
      <w:r w:rsidRPr="00393D65">
        <w:rPr>
          <w:lang w:val="fr-CA"/>
        </w:rPr>
        <w:t xml:space="preserve"> éd. 2005), p. 28</w:t>
      </w:r>
      <w:r w:rsidRPr="00393D65">
        <w:rPr>
          <w:lang w:val="fr-CA"/>
        </w:rPr>
        <w:noBreakHyphen/>
        <w:t>29, particulièrement la note en bas de page 42).</w:t>
      </w:r>
    </w:p>
    <w:p w:rsidR="008C3D0D" w:rsidRPr="00393D65" w:rsidRDefault="008C3D0D" w:rsidP="008C3D0D">
      <w:pPr>
        <w:pStyle w:val="ListParagraph"/>
        <w:numPr>
          <w:ilvl w:val="0"/>
          <w:numId w:val="5"/>
        </w:numPr>
        <w:tabs>
          <w:tab w:val="left" w:pos="1170"/>
        </w:tabs>
        <w:spacing w:after="480" w:line="480" w:lineRule="auto"/>
        <w:ind w:left="0" w:firstLine="0"/>
        <w:jc w:val="both"/>
        <w:rPr>
          <w:lang w:val="fr-CA"/>
        </w:rPr>
      </w:pPr>
      <w:r w:rsidRPr="00393D65">
        <w:rPr>
          <w:lang w:val="fr-CA"/>
        </w:rPr>
        <w:t>En l</w:t>
      </w:r>
      <w:r w:rsidR="00C03762">
        <w:rPr>
          <w:lang w:val="fr-CA"/>
        </w:rPr>
        <w:t>’</w:t>
      </w:r>
      <w:r w:rsidRPr="00393D65">
        <w:rPr>
          <w:lang w:val="fr-CA"/>
        </w:rPr>
        <w:t>espèce, il n</w:t>
      </w:r>
      <w:r w:rsidR="00C03762">
        <w:rPr>
          <w:lang w:val="fr-CA"/>
        </w:rPr>
        <w:t>’</w:t>
      </w:r>
      <w:r w:rsidRPr="00393D65">
        <w:rPr>
          <w:lang w:val="fr-CA"/>
        </w:rPr>
        <w:t>existe aucune certitude d</w:t>
      </w:r>
      <w:r w:rsidR="00C03762">
        <w:rPr>
          <w:lang w:val="fr-CA"/>
        </w:rPr>
        <w:t>’</w:t>
      </w:r>
      <w:r w:rsidRPr="00393D65">
        <w:rPr>
          <w:lang w:val="fr-CA"/>
        </w:rPr>
        <w:t>objet (c</w:t>
      </w:r>
      <w:r w:rsidR="00882EF3">
        <w:rPr>
          <w:lang w:val="fr-CA"/>
        </w:rPr>
        <w:t>.</w:t>
      </w:r>
      <w:r w:rsidRPr="00393D65">
        <w:rPr>
          <w:lang w:val="fr-CA"/>
        </w:rPr>
        <w:noBreakHyphen/>
        <w:t>à</w:t>
      </w:r>
      <w:r w:rsidRPr="00393D65">
        <w:rPr>
          <w:lang w:val="fr-CA"/>
        </w:rPr>
        <w:noBreakHyphen/>
        <w:t>d</w:t>
      </w:r>
      <w:r w:rsidR="00882EF3">
        <w:rPr>
          <w:lang w:val="fr-CA"/>
        </w:rPr>
        <w:t>.</w:t>
      </w:r>
      <w:r w:rsidRPr="00393D65">
        <w:rPr>
          <w:lang w:val="fr-CA"/>
        </w:rPr>
        <w:t xml:space="preserve"> relative au bénéficiaire) pouvant être inférée de l</w:t>
      </w:r>
      <w:r w:rsidR="00C03762">
        <w:rPr>
          <w:lang w:val="fr-CA"/>
        </w:rPr>
        <w:t>’</w:t>
      </w:r>
      <w:r w:rsidRPr="00393D65">
        <w:rPr>
          <w:lang w:val="fr-CA"/>
        </w:rPr>
        <w:t>ordonnance prononcée le 29 avril 2008 par le tribunal et suffisante pour donner naissance à une fiducie expresse.</w:t>
      </w:r>
    </w:p>
    <w:p w:rsidR="008C3D0D" w:rsidRPr="00393D65" w:rsidRDefault="008C3D0D" w:rsidP="008C3D0D">
      <w:pPr>
        <w:pStyle w:val="ListParagraph"/>
        <w:numPr>
          <w:ilvl w:val="0"/>
          <w:numId w:val="5"/>
        </w:numPr>
        <w:tabs>
          <w:tab w:val="left" w:pos="1170"/>
        </w:tabs>
        <w:spacing w:after="480" w:line="480" w:lineRule="auto"/>
        <w:ind w:left="0" w:firstLine="0"/>
        <w:jc w:val="both"/>
        <w:rPr>
          <w:lang w:val="fr-CA"/>
        </w:rPr>
      </w:pPr>
      <w:r w:rsidRPr="00393D65">
        <w:rPr>
          <w:lang w:val="fr-CA"/>
        </w:rPr>
        <w:t>Au moment où l</w:t>
      </w:r>
      <w:r w:rsidR="00C03762">
        <w:rPr>
          <w:lang w:val="fr-CA"/>
        </w:rPr>
        <w:t>’</w:t>
      </w:r>
      <w:r w:rsidRPr="00393D65">
        <w:rPr>
          <w:lang w:val="fr-CA"/>
        </w:rPr>
        <w:t>ordonnance a été rendue, il y avait un différend entre Century Services et la Couronne au sujet d</w:t>
      </w:r>
      <w:r w:rsidR="00C03762">
        <w:rPr>
          <w:lang w:val="fr-CA"/>
        </w:rPr>
        <w:t>’</w:t>
      </w:r>
      <w:r w:rsidRPr="00393D65">
        <w:rPr>
          <w:lang w:val="fr-CA"/>
        </w:rPr>
        <w:t>une partie du produit de la vente des biens du débiteur.  La solution retenue par le tribunal a consisté à accepter, selon la proposition de LeRoy Trucking, que la somme en question soit détenue séparément jusqu</w:t>
      </w:r>
      <w:r w:rsidR="00C03762">
        <w:rPr>
          <w:lang w:val="fr-CA"/>
        </w:rPr>
        <w:t>’</w:t>
      </w:r>
      <w:r w:rsidRPr="00393D65">
        <w:rPr>
          <w:lang w:val="fr-CA"/>
        </w:rPr>
        <w:t>à ce que le différend puisse être réglé.  Par conséquent, il n</w:t>
      </w:r>
      <w:r w:rsidR="00C03762">
        <w:rPr>
          <w:lang w:val="fr-CA"/>
        </w:rPr>
        <w:t>’</w:t>
      </w:r>
      <w:r w:rsidRPr="00393D65">
        <w:rPr>
          <w:lang w:val="fr-CA"/>
        </w:rPr>
        <w:t>existait aucune certitude que la Couronne serait véritablement le bénéficiaire ou l</w:t>
      </w:r>
      <w:r w:rsidR="00C03762">
        <w:rPr>
          <w:lang w:val="fr-CA"/>
        </w:rPr>
        <w:t>’</w:t>
      </w:r>
      <w:r w:rsidRPr="00393D65">
        <w:rPr>
          <w:lang w:val="fr-CA"/>
        </w:rPr>
        <w:t xml:space="preserve">objet de la fiducie. </w:t>
      </w:r>
    </w:p>
    <w:p w:rsidR="008C3D0D" w:rsidRPr="00393D65" w:rsidRDefault="008C3D0D" w:rsidP="008C3D0D">
      <w:pPr>
        <w:pStyle w:val="ListParagraph"/>
        <w:numPr>
          <w:ilvl w:val="0"/>
          <w:numId w:val="5"/>
        </w:numPr>
        <w:tabs>
          <w:tab w:val="left" w:pos="1170"/>
        </w:tabs>
        <w:spacing w:after="480" w:line="480" w:lineRule="auto"/>
        <w:ind w:left="0" w:firstLine="0"/>
        <w:jc w:val="both"/>
        <w:rPr>
          <w:lang w:val="fr-CA"/>
        </w:rPr>
      </w:pPr>
      <w:r w:rsidRPr="00393D65">
        <w:rPr>
          <w:lang w:val="fr-CA"/>
        </w:rPr>
        <w:t>Le fait que le compte choisi pour conserver séparément la somme en question était le compte en fiducie du contrôleur n</w:t>
      </w:r>
      <w:r w:rsidR="00C03762">
        <w:rPr>
          <w:lang w:val="fr-CA"/>
        </w:rPr>
        <w:t>’</w:t>
      </w:r>
      <w:r w:rsidRPr="00393D65">
        <w:rPr>
          <w:lang w:val="fr-CA"/>
        </w:rPr>
        <w:t>a pas à lui seul un effet tel qu</w:t>
      </w:r>
      <w:r w:rsidR="00C03762">
        <w:rPr>
          <w:lang w:val="fr-CA"/>
        </w:rPr>
        <w:t>’</w:t>
      </w:r>
      <w:r w:rsidRPr="00393D65">
        <w:rPr>
          <w:lang w:val="fr-CA"/>
        </w:rPr>
        <w:t>il suppléerait à l</w:t>
      </w:r>
      <w:r w:rsidR="00C03762">
        <w:rPr>
          <w:lang w:val="fr-CA"/>
        </w:rPr>
        <w:t>’</w:t>
      </w:r>
      <w:r w:rsidRPr="00393D65">
        <w:rPr>
          <w:lang w:val="fr-CA"/>
        </w:rPr>
        <w:t>absence d</w:t>
      </w:r>
      <w:r w:rsidR="00C03762">
        <w:rPr>
          <w:lang w:val="fr-CA"/>
        </w:rPr>
        <w:t>’</w:t>
      </w:r>
      <w:r w:rsidRPr="00393D65">
        <w:rPr>
          <w:lang w:val="fr-CA"/>
        </w:rPr>
        <w:t>un bénéficiaire certain.  De toute façon, suivant l</w:t>
      </w:r>
      <w:r w:rsidR="00C03762">
        <w:rPr>
          <w:lang w:val="fr-CA"/>
        </w:rPr>
        <w:t>’</w:t>
      </w:r>
      <w:r w:rsidRPr="00393D65">
        <w:rPr>
          <w:lang w:val="fr-CA"/>
        </w:rPr>
        <w:t xml:space="preserve">interprétation du par. 18.3(1) de la </w:t>
      </w:r>
      <w:r w:rsidRPr="00393D65">
        <w:rPr>
          <w:i/>
          <w:lang w:val="fr-CA"/>
        </w:rPr>
        <w:t xml:space="preserve">LACC </w:t>
      </w:r>
      <w:r w:rsidRPr="00393D65">
        <w:rPr>
          <w:lang w:val="fr-CA"/>
        </w:rPr>
        <w:t xml:space="preserve">dégagée précédemment, aucun différend ne saurait même exister quant à la priorité de rang, étant donné que la priorité </w:t>
      </w:r>
      <w:r w:rsidRPr="00393D65">
        <w:rPr>
          <w:lang w:val="fr-CA"/>
        </w:rPr>
        <w:lastRenderedPageBreak/>
        <w:t>accordée aux réclamations de la Couronne fondées sur la fiducie réputée visant la TPS ne s</w:t>
      </w:r>
      <w:r w:rsidR="00C03762">
        <w:rPr>
          <w:lang w:val="fr-CA"/>
        </w:rPr>
        <w:t>’</w:t>
      </w:r>
      <w:r w:rsidRPr="00393D65">
        <w:rPr>
          <w:lang w:val="fr-CA"/>
        </w:rPr>
        <w:t xml:space="preserve">applique pas sous le régime de la </w:t>
      </w:r>
      <w:r w:rsidRPr="00393D65">
        <w:rPr>
          <w:i/>
          <w:lang w:val="fr-CA"/>
        </w:rPr>
        <w:t>LACC</w:t>
      </w:r>
      <w:r w:rsidRPr="00393D65">
        <w:rPr>
          <w:lang w:val="fr-CA"/>
        </w:rPr>
        <w:t xml:space="preserve"> et que la Couronne est reléguée au rang de créancier non garanti à l</w:t>
      </w:r>
      <w:r w:rsidR="00C03762">
        <w:rPr>
          <w:lang w:val="fr-CA"/>
        </w:rPr>
        <w:t>’</w:t>
      </w:r>
      <w:r w:rsidRPr="00393D65">
        <w:rPr>
          <w:lang w:val="fr-CA"/>
        </w:rPr>
        <w:t>égard des sommes en question.  Cependant, il se peut fort bien que le juge en chef Brenner ait estimé que, conformément à l</w:t>
      </w:r>
      <w:r w:rsidR="00C03762">
        <w:rPr>
          <w:lang w:val="fr-CA"/>
        </w:rPr>
        <w:t>’</w:t>
      </w:r>
      <w:r w:rsidRPr="00393D65">
        <w:rPr>
          <w:lang w:val="fr-CA"/>
        </w:rPr>
        <w:t xml:space="preserve">arrêt </w:t>
      </w:r>
      <w:r w:rsidRPr="00393D65">
        <w:rPr>
          <w:i/>
          <w:lang w:val="fr-CA"/>
        </w:rPr>
        <w:t>Ottawa Senators</w:t>
      </w:r>
      <w:r w:rsidRPr="00393D65">
        <w:rPr>
          <w:lang w:val="fr-CA"/>
        </w:rPr>
        <w:t>, la créance de la Couronne à l</w:t>
      </w:r>
      <w:r w:rsidR="00C03762">
        <w:rPr>
          <w:lang w:val="fr-CA"/>
        </w:rPr>
        <w:t>’</w:t>
      </w:r>
      <w:r w:rsidRPr="00393D65">
        <w:rPr>
          <w:lang w:val="fr-CA"/>
        </w:rPr>
        <w:t xml:space="preserve">égard de la TPS demeurerait effective si la réorganisation aboutissait, ce qui ne serait pas le cas si le passage au processus de liquidation régi par la </w:t>
      </w:r>
      <w:r w:rsidRPr="00393D65">
        <w:rPr>
          <w:i/>
          <w:lang w:val="fr-CA"/>
        </w:rPr>
        <w:t>LFI</w:t>
      </w:r>
      <w:r w:rsidRPr="00393D65">
        <w:rPr>
          <w:lang w:val="fr-CA"/>
        </w:rPr>
        <w:t xml:space="preserve"> était autorisé.  Une somme équivalente à cette créance serait ainsi mise de côté jusqu</w:t>
      </w:r>
      <w:r w:rsidR="00C03762">
        <w:rPr>
          <w:lang w:val="fr-CA"/>
        </w:rPr>
        <w:t>’</w:t>
      </w:r>
      <w:r w:rsidRPr="00393D65">
        <w:rPr>
          <w:lang w:val="fr-CA"/>
        </w:rPr>
        <w:t>à ce que le résultat de la réorganisation soit connu.</w:t>
      </w:r>
    </w:p>
    <w:p w:rsidR="008C3D0D" w:rsidRPr="00393D65" w:rsidRDefault="008C3D0D" w:rsidP="008C3D0D">
      <w:pPr>
        <w:pStyle w:val="ListParagraph"/>
        <w:numPr>
          <w:ilvl w:val="0"/>
          <w:numId w:val="5"/>
        </w:numPr>
        <w:tabs>
          <w:tab w:val="left" w:pos="1170"/>
        </w:tabs>
        <w:spacing w:after="480" w:line="480" w:lineRule="auto"/>
        <w:ind w:left="0" w:firstLine="0"/>
        <w:jc w:val="both"/>
        <w:rPr>
          <w:lang w:val="fr-CA"/>
        </w:rPr>
      </w:pPr>
      <w:r w:rsidRPr="00393D65">
        <w:rPr>
          <w:lang w:val="fr-CA"/>
        </w:rPr>
        <w:t>Par conséquent, l</w:t>
      </w:r>
      <w:r w:rsidR="00C03762">
        <w:rPr>
          <w:lang w:val="fr-CA"/>
        </w:rPr>
        <w:t>’</w:t>
      </w:r>
      <w:r w:rsidRPr="00393D65">
        <w:rPr>
          <w:lang w:val="fr-CA"/>
        </w:rPr>
        <w:t>incertitude entourant l</w:t>
      </w:r>
      <w:r w:rsidR="00C03762">
        <w:rPr>
          <w:lang w:val="fr-CA"/>
        </w:rPr>
        <w:t>’</w:t>
      </w:r>
      <w:r w:rsidRPr="00393D65">
        <w:rPr>
          <w:lang w:val="fr-CA"/>
        </w:rPr>
        <w:t xml:space="preserve">issue de la restructuration tentée sous le régime de la </w:t>
      </w:r>
      <w:r w:rsidRPr="00393D65">
        <w:rPr>
          <w:i/>
          <w:lang w:val="fr-CA"/>
        </w:rPr>
        <w:t>LACC</w:t>
      </w:r>
      <w:r w:rsidRPr="00393D65">
        <w:rPr>
          <w:lang w:val="fr-CA"/>
        </w:rPr>
        <w:t xml:space="preserve"> exclut l</w:t>
      </w:r>
      <w:r w:rsidR="00C03762">
        <w:rPr>
          <w:lang w:val="fr-CA"/>
        </w:rPr>
        <w:t>’</w:t>
      </w:r>
      <w:r w:rsidRPr="00393D65">
        <w:rPr>
          <w:lang w:val="fr-CA"/>
        </w:rPr>
        <w:t>existence d</w:t>
      </w:r>
      <w:r w:rsidR="00C03762">
        <w:rPr>
          <w:lang w:val="fr-CA"/>
        </w:rPr>
        <w:t>’</w:t>
      </w:r>
      <w:r w:rsidRPr="00393D65">
        <w:rPr>
          <w:lang w:val="fr-CA"/>
        </w:rPr>
        <w:t>une certitude permettant de conférer de manière permanente à la Couronne un intérêt bénéficiaire sur la somme en question.  Cela ressort clairement des motifs exposés de vive voix par le juge en chef Brenner le 2</w:t>
      </w:r>
      <w:r w:rsidR="00882EF3">
        <w:rPr>
          <w:lang w:val="fr-CA"/>
        </w:rPr>
        <w:t>9</w:t>
      </w:r>
      <w:r w:rsidRPr="00393D65">
        <w:rPr>
          <w:lang w:val="fr-CA"/>
        </w:rPr>
        <w:t> avril 2008, lorsqu</w:t>
      </w:r>
      <w:r w:rsidR="00C03762">
        <w:rPr>
          <w:lang w:val="fr-CA"/>
        </w:rPr>
        <w:t>’</w:t>
      </w:r>
      <w:r w:rsidRPr="00393D65">
        <w:rPr>
          <w:lang w:val="fr-CA"/>
        </w:rPr>
        <w:t>il a dit : [</w:t>
      </w:r>
      <w:r w:rsidRPr="00393D65">
        <w:rPr>
          <w:smallCaps/>
          <w:lang w:val="fr-CA"/>
        </w:rPr>
        <w:t>traduction</w:t>
      </w:r>
      <w:r w:rsidRPr="00393D65">
        <w:rPr>
          <w:lang w:val="fr-CA"/>
        </w:rPr>
        <w:t xml:space="preserve">] « Comme il est notoire que [des procédures fondées sur la </w:t>
      </w:r>
      <w:r w:rsidRPr="00393D65">
        <w:rPr>
          <w:i/>
          <w:lang w:val="fr-CA"/>
        </w:rPr>
        <w:t>LACC</w:t>
      </w:r>
      <w:r w:rsidRPr="00393D65">
        <w:rPr>
          <w:lang w:val="fr-CA"/>
        </w:rPr>
        <w:t>] peuvent échouer et que cela entraîne des faillites, le maintien du statu quo en l</w:t>
      </w:r>
      <w:r w:rsidR="00C03762">
        <w:rPr>
          <w:lang w:val="fr-CA"/>
        </w:rPr>
        <w:t>’</w:t>
      </w:r>
      <w:r w:rsidRPr="00393D65">
        <w:rPr>
          <w:lang w:val="fr-CA"/>
        </w:rPr>
        <w:t>espèce me semble militer en faveur de l</w:t>
      </w:r>
      <w:r w:rsidR="00C03762">
        <w:rPr>
          <w:lang w:val="fr-CA"/>
        </w:rPr>
        <w:t>’</w:t>
      </w:r>
      <w:r w:rsidRPr="00393D65">
        <w:rPr>
          <w:lang w:val="fr-CA"/>
        </w:rPr>
        <w:t>acceptation de la proposition d</w:t>
      </w:r>
      <w:r w:rsidR="00C03762">
        <w:rPr>
          <w:lang w:val="fr-CA"/>
        </w:rPr>
        <w:t>’</w:t>
      </w:r>
      <w:r w:rsidRPr="00393D65">
        <w:rPr>
          <w:lang w:val="fr-CA"/>
        </w:rPr>
        <w:t>ordonner au contrôleur de détenir ces fonds en fiducie. »  Il y avait donc manifestement un doute quant à la question de savoir qui au juste pourrait toucher l</w:t>
      </w:r>
      <w:r w:rsidR="00C03762">
        <w:rPr>
          <w:lang w:val="fr-CA"/>
        </w:rPr>
        <w:t>’</w:t>
      </w:r>
      <w:r w:rsidRPr="00393D65">
        <w:rPr>
          <w:lang w:val="fr-CA"/>
        </w:rPr>
        <w:t>argent en fin de compte.  L</w:t>
      </w:r>
      <w:r w:rsidR="00C03762">
        <w:rPr>
          <w:lang w:val="fr-CA"/>
        </w:rPr>
        <w:t>’</w:t>
      </w:r>
      <w:r w:rsidRPr="00393D65">
        <w:rPr>
          <w:lang w:val="fr-CA"/>
        </w:rPr>
        <w:t>ordonnance ultérieure du juge en chef Brenner ― dans laquelle ce dernier a rejeté, le 3 septembre 2008, la demande de la Couronne sollicitant le bénéfice de la fiducie présumée après qu</w:t>
      </w:r>
      <w:r w:rsidR="00C03762">
        <w:rPr>
          <w:lang w:val="fr-CA"/>
        </w:rPr>
        <w:t>’</w:t>
      </w:r>
      <w:r w:rsidRPr="00393D65">
        <w:rPr>
          <w:lang w:val="fr-CA"/>
        </w:rPr>
        <w:t>il fut devenu évident que la faillite était inévitable ― confirme l</w:t>
      </w:r>
      <w:r w:rsidR="00C03762">
        <w:rPr>
          <w:lang w:val="fr-CA"/>
        </w:rPr>
        <w:t>’</w:t>
      </w:r>
      <w:r w:rsidRPr="00393D65">
        <w:rPr>
          <w:lang w:val="fr-CA"/>
        </w:rPr>
        <w:t>absence du bénéficiaire certain sans lequel il ne saurait y avoir de fiducie expresse.</w:t>
      </w:r>
    </w:p>
    <w:p w:rsidR="008C3D0D" w:rsidRPr="00393D65" w:rsidRDefault="008C3D0D" w:rsidP="00F21EF0">
      <w:pPr>
        <w:pStyle w:val="SCCNormalDoubleSpacing"/>
        <w:tabs>
          <w:tab w:val="left" w:pos="540"/>
        </w:tabs>
        <w:spacing w:after="480"/>
      </w:pPr>
      <w:r w:rsidRPr="00393D65">
        <w:lastRenderedPageBreak/>
        <w:t>4.</w:t>
      </w:r>
      <w:r w:rsidR="00F21EF0">
        <w:tab/>
      </w:r>
      <w:r w:rsidRPr="00F21EF0">
        <w:rPr>
          <w:u w:val="single"/>
        </w:rPr>
        <w:t>Conclusion</w:t>
      </w:r>
    </w:p>
    <w:p w:rsidR="008C3D0D" w:rsidRPr="00393D65" w:rsidRDefault="008C3D0D" w:rsidP="008C3D0D">
      <w:pPr>
        <w:pStyle w:val="ListParagraph"/>
        <w:numPr>
          <w:ilvl w:val="0"/>
          <w:numId w:val="5"/>
        </w:numPr>
        <w:tabs>
          <w:tab w:val="left" w:pos="1170"/>
        </w:tabs>
        <w:spacing w:after="480" w:line="480" w:lineRule="auto"/>
        <w:ind w:left="0" w:firstLine="0"/>
        <w:jc w:val="both"/>
        <w:rPr>
          <w:lang w:val="fr-CA"/>
        </w:rPr>
      </w:pPr>
      <w:r w:rsidRPr="00393D65">
        <w:rPr>
          <w:lang w:val="fr-CA"/>
        </w:rPr>
        <w:t xml:space="preserve">Je conclus que le juge en chef Brenner avait, en vertu de la </w:t>
      </w:r>
      <w:r w:rsidRPr="00393D65">
        <w:rPr>
          <w:i/>
          <w:lang w:val="fr-CA"/>
        </w:rPr>
        <w:t>LACC</w:t>
      </w:r>
      <w:r w:rsidRPr="00393D65">
        <w:rPr>
          <w:lang w:val="fr-CA"/>
        </w:rPr>
        <w:t xml:space="preserve">, le pouvoir discrétionnaire de maintenir la suspension de la demande de la Couronne sollicitant le bénéfice de la fiducie réputée visant la TPS, tout en levant par ailleurs la suspension des procédures de manière à permettre à LeRoy Trucking de faire cession de ses biens.  Ma conclusion selon laquelle le par. 18.3(1) de la </w:t>
      </w:r>
      <w:r w:rsidRPr="00393D65">
        <w:rPr>
          <w:i/>
          <w:lang w:val="fr-CA"/>
        </w:rPr>
        <w:t xml:space="preserve">LACC </w:t>
      </w:r>
      <w:r w:rsidRPr="00393D65">
        <w:rPr>
          <w:lang w:val="fr-CA"/>
        </w:rPr>
        <w:t>neutralisait la fiducie réputée visant la TPS pendant la durée des procédures fondées sur cette loi confirme que les pouvoirs discrétionnaires exercés par le tribunal en vertu de l</w:t>
      </w:r>
      <w:r w:rsidR="00C03762">
        <w:rPr>
          <w:lang w:val="fr-CA"/>
        </w:rPr>
        <w:t>’</w:t>
      </w:r>
      <w:r w:rsidRPr="00393D65">
        <w:rPr>
          <w:lang w:val="fr-CA"/>
        </w:rPr>
        <w:t>art. 11 n</w:t>
      </w:r>
      <w:r w:rsidR="00C03762">
        <w:rPr>
          <w:lang w:val="fr-CA"/>
        </w:rPr>
        <w:t>’</w:t>
      </w:r>
      <w:r w:rsidRPr="00393D65">
        <w:rPr>
          <w:lang w:val="fr-CA"/>
        </w:rPr>
        <w:t>étaient pas limités par la priorité invoquée par la Couronne au titre de la TPS, puisqu</w:t>
      </w:r>
      <w:r w:rsidR="00C03762">
        <w:rPr>
          <w:lang w:val="fr-CA"/>
        </w:rPr>
        <w:t>’</w:t>
      </w:r>
      <w:r w:rsidRPr="00393D65">
        <w:rPr>
          <w:lang w:val="fr-CA"/>
        </w:rPr>
        <w:t>il n</w:t>
      </w:r>
      <w:r w:rsidR="00C03762">
        <w:rPr>
          <w:lang w:val="fr-CA"/>
        </w:rPr>
        <w:t>’</w:t>
      </w:r>
      <w:r w:rsidRPr="00393D65">
        <w:rPr>
          <w:lang w:val="fr-CA"/>
        </w:rPr>
        <w:t xml:space="preserve">existe aucune priorité de la sorte sous le régime de la </w:t>
      </w:r>
      <w:r w:rsidRPr="00393D65">
        <w:rPr>
          <w:i/>
          <w:lang w:val="fr-CA"/>
        </w:rPr>
        <w:t>LACC</w:t>
      </w:r>
      <w:r w:rsidRPr="00393D65">
        <w:rPr>
          <w:lang w:val="fr-CA"/>
        </w:rPr>
        <w:t>.</w:t>
      </w:r>
    </w:p>
    <w:p w:rsidR="008C3D0D" w:rsidRDefault="008C3D0D" w:rsidP="008C3D0D">
      <w:pPr>
        <w:pStyle w:val="ListParagraph"/>
        <w:numPr>
          <w:ilvl w:val="0"/>
          <w:numId w:val="5"/>
        </w:numPr>
        <w:tabs>
          <w:tab w:val="left" w:pos="1170"/>
        </w:tabs>
        <w:spacing w:after="480" w:line="480" w:lineRule="auto"/>
        <w:ind w:left="0" w:firstLine="0"/>
        <w:jc w:val="both"/>
        <w:rPr>
          <w:lang w:val="fr-CA" w:eastAsia="fr-CA"/>
        </w:rPr>
      </w:pPr>
      <w:r w:rsidRPr="00393D65">
        <w:rPr>
          <w:lang w:val="fr-CA"/>
        </w:rPr>
        <w:t>Pour ces motifs, je suis d</w:t>
      </w:r>
      <w:r w:rsidR="00C03762">
        <w:rPr>
          <w:lang w:val="fr-CA"/>
        </w:rPr>
        <w:t>’</w:t>
      </w:r>
      <w:r w:rsidRPr="00393D65">
        <w:rPr>
          <w:lang w:val="fr-CA"/>
        </w:rPr>
        <w:t>avis d</w:t>
      </w:r>
      <w:r w:rsidR="00C03762">
        <w:rPr>
          <w:lang w:val="fr-CA"/>
        </w:rPr>
        <w:t>’</w:t>
      </w:r>
      <w:r w:rsidRPr="00393D65">
        <w:rPr>
          <w:lang w:val="fr-CA"/>
        </w:rPr>
        <w:t>accueillir le pourvoi et de déclarer que la somme de 305 202,30 $ perçue par LeRoy Trucking au titre de la TPS mais non encore versée au receveur général du Canada ne fait l</w:t>
      </w:r>
      <w:r w:rsidR="00C03762">
        <w:rPr>
          <w:lang w:val="fr-CA"/>
        </w:rPr>
        <w:t>’</w:t>
      </w:r>
      <w:r w:rsidRPr="00393D65">
        <w:rPr>
          <w:lang w:val="fr-CA"/>
        </w:rPr>
        <w:t>objet d</w:t>
      </w:r>
      <w:r w:rsidR="00C03762">
        <w:rPr>
          <w:lang w:val="fr-CA"/>
        </w:rPr>
        <w:t>’</w:t>
      </w:r>
      <w:r w:rsidRPr="00393D65">
        <w:rPr>
          <w:lang w:val="fr-CA"/>
        </w:rPr>
        <w:t>aucune fiducie réputée ou priorité en faveur de la Couronne.  Cette somme ne fait pas non plus l</w:t>
      </w:r>
      <w:r w:rsidR="00C03762">
        <w:rPr>
          <w:lang w:val="fr-CA"/>
        </w:rPr>
        <w:t>’</w:t>
      </w:r>
      <w:r w:rsidRPr="00393D65">
        <w:rPr>
          <w:lang w:val="fr-CA"/>
        </w:rPr>
        <w:t>objet d</w:t>
      </w:r>
      <w:r w:rsidR="00C03762">
        <w:rPr>
          <w:lang w:val="fr-CA"/>
        </w:rPr>
        <w:t>’</w:t>
      </w:r>
      <w:r w:rsidRPr="00393D65">
        <w:rPr>
          <w:lang w:val="fr-CA"/>
        </w:rPr>
        <w:t>une fiducie expresse.  Les dépens sont accordés à l</w:t>
      </w:r>
      <w:r w:rsidR="00C03762">
        <w:rPr>
          <w:lang w:val="fr-CA"/>
        </w:rPr>
        <w:t>’</w:t>
      </w:r>
      <w:r w:rsidRPr="00393D65">
        <w:rPr>
          <w:lang w:val="fr-CA"/>
        </w:rPr>
        <w:t>égard du présent pourvoi et de l</w:t>
      </w:r>
      <w:r w:rsidR="00C03762">
        <w:rPr>
          <w:lang w:val="fr-CA"/>
        </w:rPr>
        <w:t>’</w:t>
      </w:r>
      <w:r w:rsidRPr="00393D65">
        <w:rPr>
          <w:lang w:val="fr-CA"/>
        </w:rPr>
        <w:t>appel interjeté devant la juridiction inférieure.</w:t>
      </w:r>
    </w:p>
    <w:p w:rsidR="00710DE4" w:rsidRDefault="00710DE4" w:rsidP="00710DE4">
      <w:pPr>
        <w:tabs>
          <w:tab w:val="left" w:pos="-1440"/>
          <w:tab w:val="left" w:pos="-720"/>
          <w:tab w:val="left" w:pos="1170"/>
        </w:tabs>
        <w:spacing w:after="480" w:line="480" w:lineRule="auto"/>
        <w:jc w:val="both"/>
      </w:pPr>
      <w:r>
        <w:rPr>
          <w:szCs w:val="24"/>
        </w:rPr>
        <w:tab/>
      </w:r>
      <w:r w:rsidRPr="00284778">
        <w:rPr>
          <w:szCs w:val="24"/>
        </w:rPr>
        <w:t>Version française des motifs rendus par</w:t>
      </w:r>
    </w:p>
    <w:p w:rsidR="008C3D0D" w:rsidRPr="00393D65" w:rsidRDefault="008C3D0D" w:rsidP="00710DE4">
      <w:pPr>
        <w:tabs>
          <w:tab w:val="left" w:pos="-1440"/>
          <w:tab w:val="left" w:pos="-720"/>
          <w:tab w:val="left" w:pos="1170"/>
        </w:tabs>
        <w:spacing w:line="480" w:lineRule="auto"/>
        <w:jc w:val="both"/>
      </w:pPr>
      <w:r w:rsidRPr="00393D65">
        <w:tab/>
      </w:r>
      <w:r w:rsidRPr="00393D65">
        <w:rPr>
          <w:smallCaps/>
        </w:rPr>
        <w:t>Le juge</w:t>
      </w:r>
      <w:r w:rsidRPr="00393D65">
        <w:t xml:space="preserve"> </w:t>
      </w:r>
      <w:r w:rsidRPr="00393D65">
        <w:rPr>
          <w:smallCaps/>
        </w:rPr>
        <w:t>Fish</w:t>
      </w:r>
      <w:r w:rsidRPr="00393D65">
        <w:t xml:space="preserve"> — </w:t>
      </w:r>
    </w:p>
    <w:p w:rsidR="008C3D0D" w:rsidRPr="00393D65" w:rsidRDefault="008C3D0D" w:rsidP="008C3D0D">
      <w:pPr>
        <w:tabs>
          <w:tab w:val="left" w:pos="-1440"/>
          <w:tab w:val="left" w:pos="-720"/>
          <w:tab w:val="left" w:pos="1080"/>
        </w:tabs>
        <w:spacing w:line="480" w:lineRule="auto"/>
        <w:jc w:val="both"/>
      </w:pPr>
    </w:p>
    <w:p w:rsidR="008C3D0D" w:rsidRPr="00393D65" w:rsidRDefault="008C3D0D" w:rsidP="008C3D0D">
      <w:pPr>
        <w:keepNext/>
        <w:tabs>
          <w:tab w:val="left" w:pos="-1440"/>
          <w:tab w:val="left" w:pos="-720"/>
          <w:tab w:val="left" w:pos="1080"/>
        </w:tabs>
        <w:spacing w:line="480" w:lineRule="auto"/>
        <w:jc w:val="center"/>
      </w:pPr>
      <w:r w:rsidRPr="00393D65">
        <w:lastRenderedPageBreak/>
        <w:t>I</w:t>
      </w:r>
    </w:p>
    <w:p w:rsidR="008C3D0D" w:rsidRPr="00393D65" w:rsidRDefault="008C3D0D" w:rsidP="008C3D0D">
      <w:pPr>
        <w:keepNext/>
        <w:tabs>
          <w:tab w:val="left" w:pos="-1440"/>
          <w:tab w:val="left" w:pos="-720"/>
          <w:tab w:val="left" w:pos="1080"/>
        </w:tabs>
        <w:spacing w:line="480" w:lineRule="auto"/>
        <w:jc w:val="both"/>
      </w:pPr>
    </w:p>
    <w:p w:rsidR="008C3D0D" w:rsidRPr="00393D65" w:rsidRDefault="008C3D0D" w:rsidP="008C3D0D">
      <w:pPr>
        <w:pStyle w:val="ListParagraph"/>
        <w:keepNext/>
        <w:numPr>
          <w:ilvl w:val="0"/>
          <w:numId w:val="33"/>
        </w:numPr>
        <w:tabs>
          <w:tab w:val="left" w:pos="1170"/>
        </w:tabs>
        <w:spacing w:line="480" w:lineRule="auto"/>
        <w:ind w:left="0" w:firstLine="0"/>
        <w:jc w:val="both"/>
        <w:rPr>
          <w:lang w:val="fr-CA"/>
        </w:rPr>
      </w:pPr>
      <w:r w:rsidRPr="00393D65">
        <w:rPr>
          <w:lang w:val="fr-CA"/>
        </w:rPr>
        <w:t>Je souscris dans l</w:t>
      </w:r>
      <w:r w:rsidR="00C03762">
        <w:rPr>
          <w:lang w:val="fr-CA"/>
        </w:rPr>
        <w:t>’</w:t>
      </w:r>
      <w:r w:rsidRPr="00393D65">
        <w:rPr>
          <w:lang w:val="fr-CA"/>
        </w:rPr>
        <w:t xml:space="preserve">ensemble aux motifs de la juge Deschamps et je disposerais du pourvoi comme elle le propose. </w:t>
      </w:r>
    </w:p>
    <w:p w:rsidR="008C3D0D" w:rsidRPr="00393D65" w:rsidRDefault="008C3D0D" w:rsidP="008C3D0D">
      <w:pPr>
        <w:pStyle w:val="ListParagraph"/>
        <w:tabs>
          <w:tab w:val="left" w:pos="1170"/>
        </w:tabs>
        <w:spacing w:line="480" w:lineRule="auto"/>
        <w:ind w:left="0"/>
        <w:jc w:val="both"/>
        <w:rPr>
          <w:lang w:val="fr-CA"/>
        </w:rPr>
      </w:pPr>
    </w:p>
    <w:p w:rsidR="008C3D0D" w:rsidRPr="00393D65" w:rsidRDefault="008C3D0D" w:rsidP="008C3D0D">
      <w:pPr>
        <w:pStyle w:val="ListParagraph"/>
        <w:numPr>
          <w:ilvl w:val="0"/>
          <w:numId w:val="33"/>
        </w:numPr>
        <w:tabs>
          <w:tab w:val="left" w:pos="1170"/>
        </w:tabs>
        <w:spacing w:line="480" w:lineRule="auto"/>
        <w:ind w:left="0" w:firstLine="0"/>
        <w:jc w:val="both"/>
        <w:rPr>
          <w:lang w:val="fr-CA"/>
        </w:rPr>
      </w:pPr>
      <w:r w:rsidRPr="00393D65">
        <w:rPr>
          <w:lang w:val="fr-CA"/>
        </w:rPr>
        <w:t>Plus particulièrement, je me rallie à son interprétation de la portée du pouvoir discrétionnaire conféré au juge par l</w:t>
      </w:r>
      <w:r w:rsidR="00C03762">
        <w:rPr>
          <w:lang w:val="fr-CA"/>
        </w:rPr>
        <w:t>’</w:t>
      </w:r>
      <w:r w:rsidRPr="00393D65">
        <w:rPr>
          <w:lang w:val="fr-CA"/>
        </w:rPr>
        <w:t xml:space="preserve">art. 11 de la </w:t>
      </w:r>
      <w:r w:rsidRPr="00710DE4">
        <w:rPr>
          <w:i/>
          <w:lang w:val="fr-CA"/>
        </w:rPr>
        <w:t>L</w:t>
      </w:r>
      <w:r w:rsidRPr="00393D65">
        <w:rPr>
          <w:i/>
          <w:lang w:val="fr-CA"/>
        </w:rPr>
        <w:t>oi sur les arrangements avec les créanciers des compagnies</w:t>
      </w:r>
      <w:r w:rsidRPr="00393D65">
        <w:rPr>
          <w:lang w:val="fr-CA"/>
        </w:rPr>
        <w:t>, L.R.C. 1985, ch. C</w:t>
      </w:r>
      <w:r w:rsidRPr="00393D65">
        <w:rPr>
          <w:lang w:val="fr-CA"/>
        </w:rPr>
        <w:noBreakHyphen/>
        <w:t>36 (« </w:t>
      </w:r>
      <w:r w:rsidRPr="00393D65">
        <w:rPr>
          <w:i/>
          <w:lang w:val="fr-CA"/>
        </w:rPr>
        <w:t>LACC </w:t>
      </w:r>
      <w:r w:rsidRPr="00393D65">
        <w:rPr>
          <w:lang w:val="fr-CA"/>
        </w:rPr>
        <w:t>»).  Je partage en outre sa conclusion suivant laquelle le juge en chef Brenner n</w:t>
      </w:r>
      <w:r w:rsidR="00C03762">
        <w:rPr>
          <w:lang w:val="fr-CA"/>
        </w:rPr>
        <w:t>’</w:t>
      </w:r>
      <w:r w:rsidRPr="00393D65">
        <w:rPr>
          <w:lang w:val="fr-CA"/>
        </w:rPr>
        <w:t>a pas créé de fiducie expresse en faveur de la Couronne en ordonnant que les sommes recueillies au titre de la TPS soient détenues séparément dans le compte en fiducie du contrôleur (2008 BCSC 1805, [2008] G.S.T.C. 221).</w:t>
      </w:r>
    </w:p>
    <w:p w:rsidR="008C3D0D" w:rsidRPr="00393D65" w:rsidRDefault="008C3D0D" w:rsidP="008C3D0D">
      <w:pPr>
        <w:pStyle w:val="ListParagraph"/>
        <w:tabs>
          <w:tab w:val="left" w:pos="1170"/>
        </w:tabs>
        <w:spacing w:line="480" w:lineRule="auto"/>
        <w:ind w:left="0"/>
        <w:jc w:val="both"/>
        <w:rPr>
          <w:lang w:val="fr-CA"/>
        </w:rPr>
      </w:pPr>
    </w:p>
    <w:p w:rsidR="008C3D0D" w:rsidRPr="00393D65" w:rsidRDefault="008C3D0D" w:rsidP="008C3D0D">
      <w:pPr>
        <w:pStyle w:val="ListParagraph"/>
        <w:numPr>
          <w:ilvl w:val="0"/>
          <w:numId w:val="33"/>
        </w:numPr>
        <w:tabs>
          <w:tab w:val="left" w:pos="1170"/>
        </w:tabs>
        <w:spacing w:line="480" w:lineRule="auto"/>
        <w:ind w:left="0" w:firstLine="0"/>
        <w:jc w:val="both"/>
        <w:rPr>
          <w:lang w:val="fr-CA"/>
        </w:rPr>
      </w:pPr>
      <w:r w:rsidRPr="00393D65">
        <w:rPr>
          <w:lang w:val="fr-CA"/>
        </w:rPr>
        <w:t>J</w:t>
      </w:r>
      <w:r w:rsidR="00C03762">
        <w:rPr>
          <w:lang w:val="fr-CA"/>
        </w:rPr>
        <w:t>’</w:t>
      </w:r>
      <w:r w:rsidRPr="00393D65">
        <w:rPr>
          <w:lang w:val="fr-CA"/>
        </w:rPr>
        <w:t>estime néanmoins devoir ajouter de brefs motifs qui me sont propres au sujet de l</w:t>
      </w:r>
      <w:r w:rsidR="00C03762">
        <w:rPr>
          <w:lang w:val="fr-CA"/>
        </w:rPr>
        <w:t>’</w:t>
      </w:r>
      <w:r w:rsidRPr="00393D65">
        <w:rPr>
          <w:lang w:val="fr-CA"/>
        </w:rPr>
        <w:t xml:space="preserve">interaction entre la </w:t>
      </w:r>
      <w:r w:rsidRPr="00393D65">
        <w:rPr>
          <w:i/>
          <w:lang w:val="fr-CA"/>
        </w:rPr>
        <w:t>LACC</w:t>
      </w:r>
      <w:r w:rsidRPr="00393D65">
        <w:rPr>
          <w:lang w:val="fr-CA"/>
        </w:rPr>
        <w:t xml:space="preserve"> et la </w:t>
      </w:r>
      <w:r w:rsidRPr="00393D65">
        <w:rPr>
          <w:i/>
          <w:lang w:val="fr-CA"/>
        </w:rPr>
        <w:t>Loi sur la taxe d</w:t>
      </w:r>
      <w:r w:rsidR="00C03762">
        <w:rPr>
          <w:i/>
          <w:lang w:val="fr-CA"/>
        </w:rPr>
        <w:t>’</w:t>
      </w:r>
      <w:r w:rsidRPr="00393D65">
        <w:rPr>
          <w:i/>
          <w:lang w:val="fr-CA"/>
        </w:rPr>
        <w:t>accise</w:t>
      </w:r>
      <w:r w:rsidRPr="00393D65">
        <w:rPr>
          <w:lang w:val="fr-CA"/>
        </w:rPr>
        <w:t>, L.R.C. 1985, ch. E</w:t>
      </w:r>
      <w:r w:rsidRPr="00393D65">
        <w:rPr>
          <w:lang w:val="fr-CA"/>
        </w:rPr>
        <w:noBreakHyphen/>
        <w:t>15 (« </w:t>
      </w:r>
      <w:r w:rsidRPr="00393D65">
        <w:rPr>
          <w:i/>
          <w:lang w:val="fr-CA"/>
        </w:rPr>
        <w:t>LTA</w:t>
      </w:r>
      <w:r w:rsidRPr="00393D65">
        <w:rPr>
          <w:lang w:val="fr-CA"/>
        </w:rPr>
        <w:t> »).</w:t>
      </w:r>
    </w:p>
    <w:p w:rsidR="008C3D0D" w:rsidRPr="00393D65" w:rsidRDefault="008C3D0D" w:rsidP="008C3D0D">
      <w:pPr>
        <w:pStyle w:val="ListParagraph"/>
        <w:tabs>
          <w:tab w:val="left" w:pos="1170"/>
        </w:tabs>
        <w:spacing w:line="480" w:lineRule="auto"/>
        <w:ind w:left="0"/>
        <w:jc w:val="both"/>
        <w:rPr>
          <w:lang w:val="fr-CA"/>
        </w:rPr>
      </w:pPr>
    </w:p>
    <w:p w:rsidR="008C3D0D" w:rsidRPr="00393D65" w:rsidRDefault="008C3D0D" w:rsidP="008C3D0D">
      <w:pPr>
        <w:pStyle w:val="ListParagraph"/>
        <w:numPr>
          <w:ilvl w:val="0"/>
          <w:numId w:val="33"/>
        </w:numPr>
        <w:tabs>
          <w:tab w:val="left" w:pos="1170"/>
        </w:tabs>
        <w:spacing w:line="480" w:lineRule="auto"/>
        <w:ind w:left="0" w:firstLine="0"/>
        <w:jc w:val="both"/>
        <w:rPr>
          <w:lang w:val="fr-CA"/>
        </w:rPr>
      </w:pPr>
      <w:r w:rsidRPr="00393D65">
        <w:rPr>
          <w:lang w:val="fr-CA"/>
        </w:rPr>
        <w:t>En maintenant, malgré l</w:t>
      </w:r>
      <w:r w:rsidR="00C03762">
        <w:rPr>
          <w:lang w:val="fr-CA"/>
        </w:rPr>
        <w:t>’</w:t>
      </w:r>
      <w:r w:rsidRPr="00393D65">
        <w:rPr>
          <w:lang w:val="fr-CA"/>
        </w:rPr>
        <w:t>existence des procédures d</w:t>
      </w:r>
      <w:r w:rsidR="00C03762">
        <w:rPr>
          <w:lang w:val="fr-CA"/>
        </w:rPr>
        <w:t>’</w:t>
      </w:r>
      <w:r w:rsidRPr="00393D65">
        <w:rPr>
          <w:lang w:val="fr-CA"/>
        </w:rPr>
        <w:t xml:space="preserve">insolvabilité, la validité de fiducies réputées créées en vertu de la </w:t>
      </w:r>
      <w:r w:rsidRPr="00393D65">
        <w:rPr>
          <w:i/>
          <w:lang w:val="fr-CA"/>
        </w:rPr>
        <w:t>LTA</w:t>
      </w:r>
      <w:r w:rsidRPr="00393D65">
        <w:rPr>
          <w:lang w:val="fr-CA"/>
        </w:rPr>
        <w:t>, l</w:t>
      </w:r>
      <w:r w:rsidR="00C03762">
        <w:rPr>
          <w:lang w:val="fr-CA"/>
        </w:rPr>
        <w:t>’</w:t>
      </w:r>
      <w:r w:rsidRPr="00393D65">
        <w:rPr>
          <w:lang w:val="fr-CA"/>
        </w:rPr>
        <w:t xml:space="preserve">arrêt </w:t>
      </w:r>
      <w:r w:rsidRPr="00393D65">
        <w:rPr>
          <w:i/>
          <w:lang w:val="fr-CA"/>
        </w:rPr>
        <w:t>Ottawa Senators</w:t>
      </w:r>
      <w:r w:rsidRPr="00393D65">
        <w:rPr>
          <w:lang w:val="fr-CA"/>
        </w:rPr>
        <w:t xml:space="preserve"> </w:t>
      </w:r>
      <w:r w:rsidRPr="00393D65">
        <w:rPr>
          <w:i/>
          <w:lang w:val="fr-CA"/>
        </w:rPr>
        <w:t xml:space="preserve">Hockey Club Corp. (Re) </w:t>
      </w:r>
      <w:r w:rsidRPr="00393D65">
        <w:rPr>
          <w:lang w:val="fr-CA"/>
        </w:rPr>
        <w:t>(2005), 73 O.R. (3d) 737 (C.A.), et les décisions rendues dans sa foulée ont eu pour effet de protéger indûment des droits de la Couronne que le Parlement avait lui</w:t>
      </w:r>
      <w:r w:rsidRPr="00393D65">
        <w:rPr>
          <w:lang w:val="fr-CA"/>
        </w:rPr>
        <w:noBreakHyphen/>
        <w:t>même choisi de subordonner à d</w:t>
      </w:r>
      <w:r w:rsidR="00C03762">
        <w:rPr>
          <w:lang w:val="fr-CA"/>
        </w:rPr>
        <w:t>’</w:t>
      </w:r>
      <w:r w:rsidRPr="00393D65">
        <w:rPr>
          <w:lang w:val="fr-CA"/>
        </w:rPr>
        <w:t>autres créances prioritaires. À mon avis, il convient en l</w:t>
      </w:r>
      <w:r w:rsidR="00C03762">
        <w:rPr>
          <w:lang w:val="fr-CA"/>
        </w:rPr>
        <w:t>’</w:t>
      </w:r>
      <w:r w:rsidRPr="00393D65">
        <w:rPr>
          <w:lang w:val="fr-CA"/>
        </w:rPr>
        <w:t xml:space="preserve">espèce de rompre nettement avec ce courant jurisprudentiel. </w:t>
      </w:r>
    </w:p>
    <w:p w:rsidR="008C3D0D" w:rsidRPr="00393D65" w:rsidRDefault="008C3D0D" w:rsidP="008C3D0D">
      <w:pPr>
        <w:pStyle w:val="ListParagraph"/>
        <w:tabs>
          <w:tab w:val="left" w:pos="1170"/>
        </w:tabs>
        <w:spacing w:line="480" w:lineRule="auto"/>
        <w:ind w:left="0"/>
        <w:jc w:val="both"/>
        <w:rPr>
          <w:lang w:val="fr-CA"/>
        </w:rPr>
      </w:pPr>
    </w:p>
    <w:p w:rsidR="008C3D0D" w:rsidRPr="00393D65" w:rsidRDefault="008C3D0D" w:rsidP="008C3D0D">
      <w:pPr>
        <w:pStyle w:val="ListParagraph"/>
        <w:numPr>
          <w:ilvl w:val="0"/>
          <w:numId w:val="33"/>
        </w:numPr>
        <w:tabs>
          <w:tab w:val="left" w:pos="1170"/>
        </w:tabs>
        <w:spacing w:line="480" w:lineRule="auto"/>
        <w:ind w:left="0" w:firstLine="0"/>
        <w:jc w:val="both"/>
        <w:rPr>
          <w:lang w:val="fr-CA"/>
        </w:rPr>
      </w:pPr>
      <w:r w:rsidRPr="00393D65">
        <w:rPr>
          <w:lang w:val="fr-CA"/>
        </w:rPr>
        <w:t>La juge Deschamps expose d</w:t>
      </w:r>
      <w:r w:rsidR="00C03762">
        <w:rPr>
          <w:lang w:val="fr-CA"/>
        </w:rPr>
        <w:t>’</w:t>
      </w:r>
      <w:r w:rsidRPr="00393D65">
        <w:rPr>
          <w:lang w:val="fr-CA"/>
        </w:rPr>
        <w:t>importantes raisons d</w:t>
      </w:r>
      <w:r w:rsidR="00C03762">
        <w:rPr>
          <w:lang w:val="fr-CA"/>
        </w:rPr>
        <w:t>’</w:t>
      </w:r>
      <w:r w:rsidRPr="00393D65">
        <w:rPr>
          <w:lang w:val="fr-CA"/>
        </w:rPr>
        <w:t>ordre historique et d</w:t>
      </w:r>
      <w:r w:rsidR="00C03762">
        <w:rPr>
          <w:lang w:val="fr-CA"/>
        </w:rPr>
        <w:t>’</w:t>
      </w:r>
      <w:r w:rsidRPr="00393D65">
        <w:rPr>
          <w:lang w:val="fr-CA"/>
        </w:rPr>
        <w:t>intérêt général à l</w:t>
      </w:r>
      <w:r w:rsidR="00C03762">
        <w:rPr>
          <w:lang w:val="fr-CA"/>
        </w:rPr>
        <w:t>’</w:t>
      </w:r>
      <w:r w:rsidRPr="00393D65">
        <w:rPr>
          <w:lang w:val="fr-CA"/>
        </w:rPr>
        <w:t>appui de cette position et je n</w:t>
      </w:r>
      <w:r w:rsidR="00C03762">
        <w:rPr>
          <w:lang w:val="fr-CA"/>
        </w:rPr>
        <w:t>’</w:t>
      </w:r>
      <w:r w:rsidRPr="00393D65">
        <w:rPr>
          <w:lang w:val="fr-CA"/>
        </w:rPr>
        <w:t>ai rien à ajouter à cet égard.  Je tiens toutefois à expliquer pourquoi une analyse comparative de certaines dispositions législatives connexes vient renforcer la conclusion à laquelle ma collègue et moi-même en arrivons.</w:t>
      </w:r>
    </w:p>
    <w:p w:rsidR="008C3D0D" w:rsidRPr="00393D65" w:rsidRDefault="008C3D0D" w:rsidP="008C3D0D">
      <w:pPr>
        <w:pStyle w:val="ListParagraph"/>
        <w:tabs>
          <w:tab w:val="left" w:pos="1170"/>
        </w:tabs>
        <w:spacing w:line="480" w:lineRule="auto"/>
        <w:ind w:left="0"/>
        <w:jc w:val="both"/>
        <w:rPr>
          <w:lang w:val="fr-CA"/>
        </w:rPr>
      </w:pPr>
    </w:p>
    <w:p w:rsidR="008C3D0D" w:rsidRPr="00393D65" w:rsidRDefault="008C3D0D" w:rsidP="008C3D0D">
      <w:pPr>
        <w:pStyle w:val="ListParagraph"/>
        <w:numPr>
          <w:ilvl w:val="0"/>
          <w:numId w:val="33"/>
        </w:numPr>
        <w:tabs>
          <w:tab w:val="left" w:pos="1170"/>
        </w:tabs>
        <w:spacing w:line="480" w:lineRule="auto"/>
        <w:ind w:left="0" w:firstLine="0"/>
        <w:jc w:val="both"/>
        <w:rPr>
          <w:lang w:val="fr-CA"/>
        </w:rPr>
      </w:pPr>
      <w:r w:rsidRPr="00393D65">
        <w:rPr>
          <w:lang w:val="fr-CA"/>
        </w:rPr>
        <w:t>Au cours des dernières années, le législateur fédéral a procédé à un examen approfondi du régime canadien d</w:t>
      </w:r>
      <w:r w:rsidR="00C03762">
        <w:rPr>
          <w:lang w:val="fr-CA"/>
        </w:rPr>
        <w:t>’</w:t>
      </w:r>
      <w:r w:rsidRPr="00393D65">
        <w:rPr>
          <w:lang w:val="fr-CA"/>
        </w:rPr>
        <w:t>insolvabilité.  Il a refusé de modifier les dispositions qui sont en cause dans la présente affaire.  Il ne nous appartient pas de nous interroger sur les raisons de ce choix. Nous devons plutôt considérer la décision du législateur de maintenir en vigueur les dispositions en question comme un exercice délibéré du pouvoir discrétionnaire de légiférer, pouvoir qui est exclusivement le sien.  Avec égards, je rejette le point de vue suivant lequel nous devrions plutôt qualifier l</w:t>
      </w:r>
      <w:r w:rsidR="00C03762">
        <w:rPr>
          <w:lang w:val="fr-CA"/>
        </w:rPr>
        <w:t>’</w:t>
      </w:r>
      <w:r w:rsidRPr="00393D65">
        <w:rPr>
          <w:lang w:val="fr-CA"/>
        </w:rPr>
        <w:t xml:space="preserve">apparente contradiction entre le par. 18.3(1) (maintenant </w:t>
      </w:r>
      <w:r w:rsidR="00710DE4">
        <w:rPr>
          <w:lang w:val="fr-CA"/>
        </w:rPr>
        <w:t xml:space="preserve">le par. </w:t>
      </w:r>
      <w:r w:rsidRPr="00393D65">
        <w:rPr>
          <w:lang w:val="fr-CA"/>
        </w:rPr>
        <w:t xml:space="preserve">37(1)) de la </w:t>
      </w:r>
      <w:r w:rsidRPr="00393D65">
        <w:rPr>
          <w:i/>
          <w:lang w:val="fr-CA"/>
        </w:rPr>
        <w:t xml:space="preserve">LACC </w:t>
      </w:r>
      <w:r w:rsidRPr="00393D65">
        <w:rPr>
          <w:lang w:val="fr-CA"/>
        </w:rPr>
        <w:t>et l</w:t>
      </w:r>
      <w:r w:rsidR="00C03762">
        <w:rPr>
          <w:lang w:val="fr-CA"/>
        </w:rPr>
        <w:t>’</w:t>
      </w:r>
      <w:r w:rsidRPr="00393D65">
        <w:rPr>
          <w:lang w:val="fr-CA"/>
        </w:rPr>
        <w:t xml:space="preserve">art. 222 de la </w:t>
      </w:r>
      <w:r w:rsidRPr="00393D65">
        <w:rPr>
          <w:i/>
          <w:lang w:val="fr-CA"/>
        </w:rPr>
        <w:t>LTA</w:t>
      </w:r>
      <w:r w:rsidRPr="00393D65">
        <w:rPr>
          <w:lang w:val="fr-CA"/>
        </w:rPr>
        <w:t xml:space="preserve"> d</w:t>
      </w:r>
      <w:r w:rsidR="00C03762">
        <w:rPr>
          <w:lang w:val="fr-CA"/>
        </w:rPr>
        <w:t>’</w:t>
      </w:r>
      <w:r w:rsidRPr="00393D65">
        <w:rPr>
          <w:lang w:val="fr-CA"/>
        </w:rPr>
        <w:t>anomalie rédactionnelle ou de lacune législative susceptible d</w:t>
      </w:r>
      <w:r w:rsidR="00C03762">
        <w:rPr>
          <w:lang w:val="fr-CA"/>
        </w:rPr>
        <w:t>’</w:t>
      </w:r>
      <w:r w:rsidRPr="00393D65">
        <w:rPr>
          <w:lang w:val="fr-CA"/>
        </w:rPr>
        <w:t>être corrigée par un tribunal.</w:t>
      </w:r>
    </w:p>
    <w:p w:rsidR="008C3D0D" w:rsidRPr="00393D65" w:rsidRDefault="008C3D0D" w:rsidP="008C3D0D">
      <w:pPr>
        <w:pStyle w:val="ListParagraph"/>
        <w:spacing w:line="480" w:lineRule="auto"/>
        <w:ind w:left="0"/>
        <w:rPr>
          <w:lang w:val="fr-CA"/>
        </w:rPr>
      </w:pPr>
    </w:p>
    <w:p w:rsidR="008C3D0D" w:rsidRPr="00393D65" w:rsidRDefault="008C3D0D" w:rsidP="008C3D0D">
      <w:pPr>
        <w:keepNext/>
        <w:tabs>
          <w:tab w:val="left" w:pos="1170"/>
        </w:tabs>
        <w:spacing w:line="480" w:lineRule="auto"/>
        <w:jc w:val="center"/>
      </w:pPr>
      <w:r w:rsidRPr="00393D65">
        <w:t>II</w:t>
      </w:r>
    </w:p>
    <w:p w:rsidR="008C3D0D" w:rsidRPr="00393D65" w:rsidRDefault="008C3D0D" w:rsidP="008C3D0D">
      <w:pPr>
        <w:tabs>
          <w:tab w:val="left" w:pos="1170"/>
        </w:tabs>
        <w:spacing w:line="480" w:lineRule="auto"/>
        <w:rPr>
          <w:b/>
        </w:rPr>
      </w:pPr>
    </w:p>
    <w:p w:rsidR="008C3D0D" w:rsidRPr="00393D65" w:rsidRDefault="008C3D0D" w:rsidP="008C3D0D">
      <w:pPr>
        <w:pStyle w:val="ListParagraph"/>
        <w:numPr>
          <w:ilvl w:val="0"/>
          <w:numId w:val="33"/>
        </w:numPr>
        <w:tabs>
          <w:tab w:val="left" w:pos="1170"/>
        </w:tabs>
        <w:spacing w:line="480" w:lineRule="auto"/>
        <w:ind w:left="0" w:firstLine="0"/>
        <w:jc w:val="both"/>
        <w:rPr>
          <w:lang w:val="fr-CA"/>
        </w:rPr>
      </w:pPr>
      <w:r w:rsidRPr="00393D65">
        <w:rPr>
          <w:lang w:val="fr-CA"/>
        </w:rPr>
        <w:t>Dans le contexte du régime canadien d</w:t>
      </w:r>
      <w:r w:rsidR="00C03762">
        <w:rPr>
          <w:lang w:val="fr-CA"/>
        </w:rPr>
        <w:t>’</w:t>
      </w:r>
      <w:r w:rsidRPr="00393D65">
        <w:rPr>
          <w:lang w:val="fr-CA"/>
        </w:rPr>
        <w:t>insolvabilité, on conclut à l</w:t>
      </w:r>
      <w:r w:rsidR="00C03762">
        <w:rPr>
          <w:lang w:val="fr-CA"/>
        </w:rPr>
        <w:t>’</w:t>
      </w:r>
      <w:r w:rsidRPr="00393D65">
        <w:rPr>
          <w:lang w:val="fr-CA"/>
        </w:rPr>
        <w:t>existence d</w:t>
      </w:r>
      <w:r w:rsidR="00C03762">
        <w:rPr>
          <w:lang w:val="fr-CA"/>
        </w:rPr>
        <w:t>’</w:t>
      </w:r>
      <w:r w:rsidRPr="00393D65">
        <w:rPr>
          <w:lang w:val="fr-CA"/>
        </w:rPr>
        <w:t xml:space="preserve">une fiducie réputée uniquement lorsque deux éléments complémentaires sont réunis : en premier lieu, une disposition législative qui </w:t>
      </w:r>
      <w:r w:rsidRPr="00393D65">
        <w:rPr>
          <w:i/>
          <w:lang w:val="fr-CA"/>
        </w:rPr>
        <w:t>crée</w:t>
      </w:r>
      <w:r w:rsidRPr="00393D65">
        <w:rPr>
          <w:lang w:val="fr-CA"/>
        </w:rPr>
        <w:t xml:space="preserve"> la fiducie et, en </w:t>
      </w:r>
      <w:r w:rsidRPr="00393D65">
        <w:rPr>
          <w:lang w:val="fr-CA"/>
        </w:rPr>
        <w:lastRenderedPageBreak/>
        <w:t xml:space="preserve">second lieu, une disposition de la </w:t>
      </w:r>
      <w:r w:rsidRPr="00393D65">
        <w:rPr>
          <w:i/>
          <w:lang w:val="fr-CA"/>
        </w:rPr>
        <w:t xml:space="preserve">LACC </w:t>
      </w:r>
      <w:r w:rsidRPr="00393D65">
        <w:rPr>
          <w:lang w:val="fr-CA"/>
        </w:rPr>
        <w:t xml:space="preserve">ou de la </w:t>
      </w:r>
      <w:r w:rsidRPr="00393D65">
        <w:rPr>
          <w:i/>
          <w:lang w:val="fr-CA"/>
        </w:rPr>
        <w:t>Loi sur la faillite et l</w:t>
      </w:r>
      <w:r w:rsidR="00C03762">
        <w:rPr>
          <w:i/>
          <w:lang w:val="fr-CA"/>
        </w:rPr>
        <w:t>’</w:t>
      </w:r>
      <w:r w:rsidRPr="00393D65">
        <w:rPr>
          <w:i/>
          <w:lang w:val="fr-CA"/>
        </w:rPr>
        <w:t>insolvabilité</w:t>
      </w:r>
      <w:r w:rsidR="00280B30">
        <w:rPr>
          <w:lang w:val="fr-CA"/>
        </w:rPr>
        <w:t>, L.R.C. 1985, ch. B</w:t>
      </w:r>
      <w:r w:rsidRPr="00393D65">
        <w:rPr>
          <w:lang w:val="fr-CA"/>
        </w:rPr>
        <w:noBreakHyphen/>
        <w:t>3 (« </w:t>
      </w:r>
      <w:r w:rsidRPr="00393D65">
        <w:rPr>
          <w:i/>
          <w:lang w:val="fr-CA"/>
        </w:rPr>
        <w:t>LFI </w:t>
      </w:r>
      <w:r w:rsidRPr="00393D65">
        <w:rPr>
          <w:lang w:val="fr-CA"/>
        </w:rPr>
        <w:t xml:space="preserve">») qui </w:t>
      </w:r>
      <w:r w:rsidRPr="00393D65">
        <w:rPr>
          <w:i/>
          <w:lang w:val="fr-CA"/>
        </w:rPr>
        <w:t>confirme</w:t>
      </w:r>
      <w:r w:rsidRPr="00393D65">
        <w:rPr>
          <w:lang w:val="fr-CA"/>
        </w:rPr>
        <w:t xml:space="preserve"> l</w:t>
      </w:r>
      <w:r w:rsidR="00C03762">
        <w:rPr>
          <w:lang w:val="fr-CA"/>
        </w:rPr>
        <w:t>’</w:t>
      </w:r>
      <w:r w:rsidRPr="00393D65">
        <w:rPr>
          <w:lang w:val="fr-CA"/>
        </w:rPr>
        <w:t>existence de la fiducie ou la maintient explicitement en vigueur.</w:t>
      </w:r>
    </w:p>
    <w:p w:rsidR="008C3D0D" w:rsidRPr="00393D65" w:rsidRDefault="008C3D0D" w:rsidP="008C3D0D">
      <w:pPr>
        <w:pStyle w:val="ListParagraph"/>
        <w:tabs>
          <w:tab w:val="left" w:pos="1170"/>
        </w:tabs>
        <w:spacing w:line="480" w:lineRule="auto"/>
        <w:ind w:left="0"/>
        <w:jc w:val="both"/>
        <w:rPr>
          <w:lang w:val="fr-CA"/>
        </w:rPr>
      </w:pPr>
    </w:p>
    <w:p w:rsidR="008C3D0D" w:rsidRPr="00393D65" w:rsidRDefault="008C3D0D" w:rsidP="008C3D0D">
      <w:pPr>
        <w:pStyle w:val="ListParagraph"/>
        <w:numPr>
          <w:ilvl w:val="0"/>
          <w:numId w:val="33"/>
        </w:numPr>
        <w:tabs>
          <w:tab w:val="left" w:pos="1170"/>
        </w:tabs>
        <w:spacing w:line="480" w:lineRule="auto"/>
        <w:ind w:left="0" w:firstLine="0"/>
        <w:jc w:val="both"/>
        <w:rPr>
          <w:lang w:val="fr-CA"/>
        </w:rPr>
      </w:pPr>
      <w:r w:rsidRPr="00393D65">
        <w:rPr>
          <w:lang w:val="fr-CA"/>
        </w:rPr>
        <w:t>Cette interprétation se retrouve dans trois lois fédérales, qui renferment toutes une disposition relative aux fiducies réputées dont le libellé offre une ressemblance frappante avec celui de l</w:t>
      </w:r>
      <w:r w:rsidR="00C03762">
        <w:rPr>
          <w:lang w:val="fr-CA"/>
        </w:rPr>
        <w:t>’</w:t>
      </w:r>
      <w:r w:rsidRPr="00393D65">
        <w:rPr>
          <w:lang w:val="fr-CA"/>
        </w:rPr>
        <w:t xml:space="preserve">art. 222 de la </w:t>
      </w:r>
      <w:r w:rsidRPr="00393D65">
        <w:rPr>
          <w:i/>
          <w:lang w:val="fr-CA"/>
        </w:rPr>
        <w:t>LTA</w:t>
      </w:r>
      <w:r w:rsidRPr="00393D65">
        <w:rPr>
          <w:lang w:val="fr-CA"/>
        </w:rPr>
        <w:t>.</w:t>
      </w:r>
    </w:p>
    <w:p w:rsidR="008C3D0D" w:rsidRPr="00393D65" w:rsidRDefault="008C3D0D" w:rsidP="008C3D0D">
      <w:pPr>
        <w:pStyle w:val="ListParagraph"/>
        <w:tabs>
          <w:tab w:val="left" w:pos="1170"/>
        </w:tabs>
        <w:spacing w:line="480" w:lineRule="auto"/>
        <w:ind w:left="0"/>
        <w:jc w:val="both"/>
        <w:rPr>
          <w:lang w:val="fr-CA"/>
        </w:rPr>
      </w:pPr>
    </w:p>
    <w:p w:rsidR="008C3D0D" w:rsidRPr="00393D65" w:rsidRDefault="008C3D0D" w:rsidP="008C3D0D">
      <w:pPr>
        <w:pStyle w:val="ListParagraph"/>
        <w:numPr>
          <w:ilvl w:val="0"/>
          <w:numId w:val="33"/>
        </w:numPr>
        <w:tabs>
          <w:tab w:val="left" w:pos="1170"/>
        </w:tabs>
        <w:spacing w:after="480" w:line="480" w:lineRule="auto"/>
        <w:ind w:left="0" w:firstLine="0"/>
        <w:jc w:val="both"/>
        <w:rPr>
          <w:lang w:val="fr-CA"/>
        </w:rPr>
      </w:pPr>
      <w:r w:rsidRPr="00393D65">
        <w:rPr>
          <w:lang w:val="fr-CA"/>
        </w:rPr>
        <w:t xml:space="preserve">La première est la </w:t>
      </w:r>
      <w:r w:rsidRPr="00393D65">
        <w:rPr>
          <w:i/>
          <w:lang w:val="fr-CA"/>
        </w:rPr>
        <w:t>Loi de l</w:t>
      </w:r>
      <w:r w:rsidR="00C03762">
        <w:rPr>
          <w:i/>
          <w:lang w:val="fr-CA"/>
        </w:rPr>
        <w:t>’</w:t>
      </w:r>
      <w:r w:rsidRPr="00393D65">
        <w:rPr>
          <w:i/>
          <w:lang w:val="fr-CA"/>
        </w:rPr>
        <w:t>impôt sur le revenu</w:t>
      </w:r>
      <w:r w:rsidRPr="00393D65">
        <w:rPr>
          <w:lang w:val="fr-CA"/>
        </w:rPr>
        <w:t>, L.R.C. 1985, ch. 1 (5</w:t>
      </w:r>
      <w:r w:rsidRPr="00393D65">
        <w:rPr>
          <w:vertAlign w:val="superscript"/>
          <w:lang w:val="fr-CA"/>
        </w:rPr>
        <w:t>e</w:t>
      </w:r>
      <w:r w:rsidRPr="00393D65">
        <w:rPr>
          <w:lang w:val="fr-CA"/>
        </w:rPr>
        <w:t xml:space="preserve"> suppl.) (« </w:t>
      </w:r>
      <w:r w:rsidRPr="00882EF3">
        <w:rPr>
          <w:i/>
          <w:lang w:val="fr-CA"/>
        </w:rPr>
        <w:t>LIR</w:t>
      </w:r>
      <w:r w:rsidRPr="00393D65">
        <w:rPr>
          <w:lang w:val="fr-CA"/>
        </w:rPr>
        <w:t xml:space="preserve"> »), dont le par. 227(4) </w:t>
      </w:r>
      <w:r w:rsidRPr="00393D65">
        <w:rPr>
          <w:i/>
          <w:lang w:val="fr-CA"/>
        </w:rPr>
        <w:t xml:space="preserve">crée </w:t>
      </w:r>
      <w:r w:rsidRPr="00393D65">
        <w:rPr>
          <w:lang w:val="fr-CA"/>
        </w:rPr>
        <w:t>une fiducie réputée :</w:t>
      </w:r>
    </w:p>
    <w:p w:rsidR="008C3D0D" w:rsidRPr="0075185A" w:rsidRDefault="008C3D0D" w:rsidP="00F21EF0">
      <w:pPr>
        <w:pStyle w:val="Citation"/>
        <w:rPr>
          <w:lang w:val="fr-CA"/>
        </w:rPr>
      </w:pPr>
      <w:r w:rsidRPr="00C03762">
        <w:rPr>
          <w:lang w:val="fr-CA"/>
        </w:rPr>
        <w:tab/>
      </w:r>
      <w:r w:rsidRPr="00F21EF0">
        <w:rPr>
          <w:lang w:val="fr-CA"/>
        </w:rPr>
        <w:t xml:space="preserve">(4)  Toute personne qui déduit ou retient un montant en vertu de la présente loi </w:t>
      </w:r>
      <w:r w:rsidRPr="00F21EF0">
        <w:rPr>
          <w:u w:val="single"/>
          <w:lang w:val="fr-CA"/>
        </w:rPr>
        <w:t>est réputée</w:t>
      </w:r>
      <w:r w:rsidRPr="00F21EF0">
        <w:rPr>
          <w:lang w:val="fr-CA"/>
        </w:rPr>
        <w:t xml:space="preserve">, malgré toute autre garantie au sens du paragraphe 224(1.3) le concernant, </w:t>
      </w:r>
      <w:r w:rsidRPr="00F21EF0">
        <w:rPr>
          <w:u w:val="single"/>
          <w:lang w:val="fr-CA"/>
        </w:rPr>
        <w:t>le détenir en fiducie pour Sa Majesté, séparé</w:t>
      </w:r>
      <w:r w:rsidRPr="00F21EF0">
        <w:rPr>
          <w:lang w:val="fr-CA"/>
        </w:rPr>
        <w:t xml:space="preserve"> de ses propres biens et des biens détenus par son créancier garanti au sens de ce paragraphe qui, en l</w:t>
      </w:r>
      <w:r w:rsidR="00C03762">
        <w:rPr>
          <w:lang w:val="fr-CA"/>
        </w:rPr>
        <w:t>’</w:t>
      </w:r>
      <w:r w:rsidRPr="00F21EF0">
        <w:rPr>
          <w:lang w:val="fr-CA"/>
        </w:rPr>
        <w:t xml:space="preserve">absence de la garantie, seraient ceux de la personne, et </w:t>
      </w:r>
      <w:r w:rsidRPr="00F21EF0">
        <w:rPr>
          <w:u w:val="single"/>
          <w:lang w:val="fr-CA"/>
        </w:rPr>
        <w:t>en vue de le verser à Sa Majesté selon les modalités et dans le délai prévus par la présente loi</w:t>
      </w:r>
      <w:r w:rsidRPr="00F21EF0">
        <w:rPr>
          <w:lang w:val="fr-CA"/>
        </w:rPr>
        <w:t xml:space="preserve">.  </w:t>
      </w:r>
      <w:r w:rsidRPr="0075185A">
        <w:rPr>
          <w:lang w:val="fr-CA"/>
        </w:rPr>
        <w:t>[Dans la présente citation et dans celles qui suivent, les soulignements sont évidemment de moi.]</w:t>
      </w:r>
    </w:p>
    <w:p w:rsidR="008C3D0D" w:rsidRPr="00393D65" w:rsidRDefault="008C3D0D" w:rsidP="008C3D0D">
      <w:pPr>
        <w:pStyle w:val="ListParagraph"/>
        <w:numPr>
          <w:ilvl w:val="0"/>
          <w:numId w:val="33"/>
        </w:numPr>
        <w:tabs>
          <w:tab w:val="left" w:pos="1170"/>
        </w:tabs>
        <w:spacing w:after="480" w:line="480" w:lineRule="auto"/>
        <w:ind w:left="0" w:firstLine="0"/>
        <w:jc w:val="both"/>
        <w:rPr>
          <w:lang w:val="fr-CA"/>
        </w:rPr>
      </w:pPr>
      <w:r w:rsidRPr="00393D65">
        <w:rPr>
          <w:lang w:val="fr-CA"/>
        </w:rPr>
        <w:t>Dans le paragraphe suivant, le législateur prend la peine de bien préciser que toute disposition législative fédérale ou provinciale à l</w:t>
      </w:r>
      <w:r w:rsidR="00C03762">
        <w:rPr>
          <w:lang w:val="fr-CA"/>
        </w:rPr>
        <w:t>’</w:t>
      </w:r>
      <w:r w:rsidRPr="00393D65">
        <w:rPr>
          <w:lang w:val="fr-CA"/>
        </w:rPr>
        <w:t>effet contraire n</w:t>
      </w:r>
      <w:r w:rsidR="00C03762">
        <w:rPr>
          <w:lang w:val="fr-CA"/>
        </w:rPr>
        <w:t>’</w:t>
      </w:r>
      <w:r w:rsidRPr="00393D65">
        <w:rPr>
          <w:lang w:val="fr-CA"/>
        </w:rPr>
        <w:t>a aucune incidence sur la fiducie ainsi constituée :</w:t>
      </w:r>
    </w:p>
    <w:p w:rsidR="008C3D0D" w:rsidRPr="00393D65" w:rsidRDefault="008C3D0D" w:rsidP="007D1920">
      <w:pPr>
        <w:pStyle w:val="secsubsec"/>
        <w:shd w:val="clear" w:color="auto" w:fill="FFFFFF"/>
        <w:tabs>
          <w:tab w:val="left" w:pos="1440"/>
        </w:tabs>
        <w:ind w:left="1170" w:firstLine="0"/>
        <w:jc w:val="both"/>
        <w:rPr>
          <w:rFonts w:ascii="Times New Roman" w:hAnsi="Times New Roman"/>
        </w:rPr>
      </w:pPr>
      <w:r w:rsidRPr="00393D65">
        <w:rPr>
          <w:rFonts w:ascii="Times New Roman" w:hAnsi="Times New Roman"/>
        </w:rPr>
        <w:tab/>
        <w:t>(4.1)  </w:t>
      </w:r>
      <w:r w:rsidRPr="00393D65">
        <w:rPr>
          <w:rFonts w:ascii="Times New Roman" w:hAnsi="Times New Roman"/>
          <w:u w:val="single"/>
        </w:rPr>
        <w:t>Malgré</w:t>
      </w:r>
      <w:r w:rsidRPr="00393D65">
        <w:rPr>
          <w:rFonts w:ascii="Times New Roman" w:hAnsi="Times New Roman"/>
        </w:rPr>
        <w:t xml:space="preserve"> les autres dispositions de la présente loi, la </w:t>
      </w:r>
      <w:r w:rsidRPr="00393D65">
        <w:rPr>
          <w:rFonts w:ascii="Times New Roman" w:hAnsi="Times New Roman"/>
          <w:i/>
          <w:u w:val="single"/>
        </w:rPr>
        <w:t>Loi sur la faillite et l</w:t>
      </w:r>
      <w:r w:rsidR="00C03762">
        <w:rPr>
          <w:rFonts w:ascii="Times New Roman" w:hAnsi="Times New Roman"/>
          <w:i/>
          <w:u w:val="single"/>
        </w:rPr>
        <w:t>’</w:t>
      </w:r>
      <w:r w:rsidRPr="00393D65">
        <w:rPr>
          <w:rFonts w:ascii="Times New Roman" w:hAnsi="Times New Roman"/>
          <w:i/>
          <w:u w:val="single"/>
        </w:rPr>
        <w:t>insolvabilité</w:t>
      </w:r>
      <w:r w:rsidRPr="00280B30">
        <w:rPr>
          <w:rFonts w:ascii="Times New Roman" w:hAnsi="Times New Roman"/>
        </w:rPr>
        <w:t xml:space="preserve"> </w:t>
      </w:r>
      <w:r w:rsidRPr="00393D65">
        <w:rPr>
          <w:rFonts w:ascii="Times New Roman" w:hAnsi="Times New Roman"/>
        </w:rPr>
        <w:t xml:space="preserve">(sauf ses articles 81.1 et 81.2), </w:t>
      </w:r>
      <w:r w:rsidRPr="00393D65">
        <w:rPr>
          <w:rFonts w:ascii="Times New Roman" w:hAnsi="Times New Roman"/>
          <w:u w:val="single"/>
        </w:rPr>
        <w:t>tout autre texte législatif fédéral</w:t>
      </w:r>
      <w:r w:rsidRPr="00393D65">
        <w:rPr>
          <w:rFonts w:ascii="Times New Roman" w:hAnsi="Times New Roman"/>
        </w:rPr>
        <w:t xml:space="preserve"> ou provincial ou toute règle de droit, </w:t>
      </w:r>
      <w:r w:rsidRPr="00393D65">
        <w:rPr>
          <w:rFonts w:ascii="Times New Roman" w:hAnsi="Times New Roman"/>
          <w:u w:val="single"/>
        </w:rPr>
        <w:t>en cas de non</w:t>
      </w:r>
      <w:r w:rsidRPr="00393D65">
        <w:rPr>
          <w:rFonts w:ascii="Times New Roman" w:hAnsi="Times New Roman"/>
          <w:u w:val="single"/>
        </w:rPr>
        <w:noBreakHyphen/>
        <w:t>versement à Sa Majesté</w:t>
      </w:r>
      <w:r w:rsidRPr="00393D65">
        <w:rPr>
          <w:rFonts w:ascii="Times New Roman" w:hAnsi="Times New Roman"/>
        </w:rPr>
        <w:t xml:space="preserve">, selon les modalités et dans le délai prévus par la présente loi, </w:t>
      </w:r>
      <w:r w:rsidRPr="00393D65">
        <w:rPr>
          <w:rFonts w:ascii="Times New Roman" w:hAnsi="Times New Roman"/>
          <w:u w:val="single"/>
        </w:rPr>
        <w:t>d</w:t>
      </w:r>
      <w:r w:rsidR="00C03762">
        <w:rPr>
          <w:rFonts w:ascii="Times New Roman" w:hAnsi="Times New Roman"/>
          <w:u w:val="single"/>
        </w:rPr>
        <w:t>’</w:t>
      </w:r>
      <w:r w:rsidRPr="00393D65">
        <w:rPr>
          <w:rFonts w:ascii="Times New Roman" w:hAnsi="Times New Roman"/>
          <w:u w:val="single"/>
        </w:rPr>
        <w:t>un montant qu</w:t>
      </w:r>
      <w:r w:rsidR="00C03762">
        <w:rPr>
          <w:rFonts w:ascii="Times New Roman" w:hAnsi="Times New Roman"/>
          <w:u w:val="single"/>
        </w:rPr>
        <w:t>’</w:t>
      </w:r>
      <w:r w:rsidRPr="00393D65">
        <w:rPr>
          <w:rFonts w:ascii="Times New Roman" w:hAnsi="Times New Roman"/>
          <w:u w:val="single"/>
        </w:rPr>
        <w:t xml:space="preserve">une personne est réputée par le </w:t>
      </w:r>
      <w:r w:rsidRPr="00393D65">
        <w:rPr>
          <w:rFonts w:ascii="Times New Roman" w:hAnsi="Times New Roman"/>
          <w:u w:val="single"/>
        </w:rPr>
        <w:lastRenderedPageBreak/>
        <w:t>paragraphe (4) détenir en fiducie</w:t>
      </w:r>
      <w:r w:rsidRPr="00393D65">
        <w:rPr>
          <w:rFonts w:ascii="Times New Roman" w:hAnsi="Times New Roman"/>
        </w:rPr>
        <w:t xml:space="preserve"> pour Sa Majesté, </w:t>
      </w:r>
      <w:r w:rsidRPr="00393D65">
        <w:rPr>
          <w:rFonts w:ascii="Times New Roman" w:hAnsi="Times New Roman"/>
          <w:u w:val="single"/>
        </w:rPr>
        <w:t>les biens de la personne</w:t>
      </w:r>
      <w:r w:rsidRPr="00393D65">
        <w:rPr>
          <w:rFonts w:ascii="Times New Roman" w:hAnsi="Times New Roman"/>
        </w:rPr>
        <w:t xml:space="preserve"> [. . .] d</w:t>
      </w:r>
      <w:r w:rsidR="00C03762">
        <w:rPr>
          <w:rFonts w:ascii="Times New Roman" w:hAnsi="Times New Roman"/>
        </w:rPr>
        <w:t>’</w:t>
      </w:r>
      <w:r w:rsidRPr="00393D65">
        <w:rPr>
          <w:rFonts w:ascii="Times New Roman" w:hAnsi="Times New Roman"/>
        </w:rPr>
        <w:t xml:space="preserve">une valeur égale à ce montant </w:t>
      </w:r>
      <w:r w:rsidRPr="00393D65">
        <w:rPr>
          <w:rFonts w:ascii="Times New Roman" w:hAnsi="Times New Roman"/>
          <w:u w:val="single"/>
        </w:rPr>
        <w:t>sont réputés</w:t>
      </w:r>
      <w:r w:rsidRPr="00393D65">
        <w:rPr>
          <w:rFonts w:ascii="Times New Roman" w:hAnsi="Times New Roman"/>
        </w:rPr>
        <w:t xml:space="preserve"> :</w:t>
      </w:r>
    </w:p>
    <w:p w:rsidR="008C3D0D" w:rsidRPr="00393D65" w:rsidRDefault="008C3D0D" w:rsidP="008C3D0D">
      <w:pPr>
        <w:pStyle w:val="secsubsec"/>
        <w:shd w:val="clear" w:color="auto" w:fill="FFFFFF"/>
        <w:tabs>
          <w:tab w:val="left" w:pos="1620"/>
        </w:tabs>
        <w:ind w:left="1170" w:firstLine="0"/>
        <w:jc w:val="both"/>
        <w:rPr>
          <w:rFonts w:ascii="Times New Roman" w:hAnsi="Times New Roman"/>
        </w:rPr>
      </w:pPr>
    </w:p>
    <w:p w:rsidR="008C3D0D" w:rsidRPr="00393D65" w:rsidRDefault="008C3D0D" w:rsidP="00280B30">
      <w:pPr>
        <w:shd w:val="clear" w:color="auto" w:fill="FFFFFF"/>
        <w:ind w:left="1440"/>
        <w:jc w:val="both"/>
        <w:rPr>
          <w:color w:val="000000"/>
        </w:rPr>
      </w:pPr>
      <w:r w:rsidRPr="00393D65">
        <w:rPr>
          <w:i/>
          <w:color w:val="000000"/>
        </w:rPr>
        <w:t>a</w:t>
      </w:r>
      <w:r w:rsidRPr="00393D65">
        <w:rPr>
          <w:color w:val="000000"/>
        </w:rPr>
        <w:t>)  </w:t>
      </w:r>
      <w:r w:rsidRPr="00393D65">
        <w:rPr>
          <w:color w:val="000000"/>
          <w:u w:val="single"/>
        </w:rPr>
        <w:t>être détenus en fiducie pour Sa Majesté</w:t>
      </w:r>
      <w:r w:rsidRPr="00393D65">
        <w:rPr>
          <w:color w:val="000000"/>
        </w:rPr>
        <w:t>, à compter du moment où le montant est déduit ou retenu, séparés des propres biens de la personne, qu</w:t>
      </w:r>
      <w:r w:rsidR="00C03762">
        <w:rPr>
          <w:color w:val="000000"/>
        </w:rPr>
        <w:t>’</w:t>
      </w:r>
      <w:r w:rsidRPr="00393D65">
        <w:rPr>
          <w:color w:val="000000"/>
        </w:rPr>
        <w:t xml:space="preserve">ils soient ou non assujettis à une telle garantie; </w:t>
      </w:r>
    </w:p>
    <w:p w:rsidR="008C3D0D" w:rsidRPr="00393D65" w:rsidRDefault="008C3D0D" w:rsidP="008C3D0D">
      <w:pPr>
        <w:pStyle w:val="ListParagraph"/>
        <w:tabs>
          <w:tab w:val="left" w:pos="1170"/>
        </w:tabs>
        <w:ind w:left="1166"/>
        <w:jc w:val="both"/>
        <w:rPr>
          <w:lang w:val="fr-CA"/>
        </w:rPr>
      </w:pPr>
    </w:p>
    <w:p w:rsidR="008C3D0D" w:rsidRPr="00393D65" w:rsidRDefault="008C3D0D" w:rsidP="008C3D0D">
      <w:pPr>
        <w:pStyle w:val="ListParagraph"/>
        <w:tabs>
          <w:tab w:val="left" w:pos="1170"/>
        </w:tabs>
        <w:ind w:left="1166"/>
        <w:jc w:val="center"/>
        <w:rPr>
          <w:lang w:val="fr-CA"/>
        </w:rPr>
      </w:pPr>
      <w:r w:rsidRPr="00393D65">
        <w:rPr>
          <w:lang w:val="fr-CA"/>
        </w:rPr>
        <w:t>. . .</w:t>
      </w:r>
    </w:p>
    <w:p w:rsidR="008C3D0D" w:rsidRPr="00393D65" w:rsidRDefault="008C3D0D" w:rsidP="008C3D0D">
      <w:pPr>
        <w:pStyle w:val="ListParagraph"/>
        <w:tabs>
          <w:tab w:val="left" w:pos="1170"/>
        </w:tabs>
        <w:ind w:left="1166"/>
        <w:jc w:val="both"/>
        <w:rPr>
          <w:lang w:val="fr-CA"/>
        </w:rPr>
      </w:pPr>
    </w:p>
    <w:p w:rsidR="008C3D0D" w:rsidRPr="0075185A" w:rsidRDefault="008C3D0D" w:rsidP="00F21EF0">
      <w:pPr>
        <w:pStyle w:val="Citation"/>
        <w:rPr>
          <w:rFonts w:ascii="Verdana" w:hAnsi="Verdana"/>
          <w:sz w:val="21"/>
          <w:lang w:val="fr-CA"/>
        </w:rPr>
      </w:pPr>
      <w:r w:rsidRPr="0075185A">
        <w:rPr>
          <w:lang w:val="fr-CA"/>
        </w:rPr>
        <w:t>. . . et le produit découlant de ces biens est payé au receveur général par priorité sur une telle garantie</w:t>
      </w:r>
      <w:r w:rsidRPr="0075185A">
        <w:rPr>
          <w:rFonts w:ascii="Verdana" w:hAnsi="Verdana"/>
          <w:sz w:val="21"/>
          <w:lang w:val="fr-CA"/>
        </w:rPr>
        <w:t>.</w:t>
      </w:r>
    </w:p>
    <w:p w:rsidR="008C3D0D" w:rsidRPr="00393D65" w:rsidRDefault="008C3D0D" w:rsidP="008C3D0D">
      <w:pPr>
        <w:pStyle w:val="ListParagraph"/>
        <w:numPr>
          <w:ilvl w:val="0"/>
          <w:numId w:val="33"/>
        </w:numPr>
        <w:tabs>
          <w:tab w:val="left" w:pos="1170"/>
        </w:tabs>
        <w:spacing w:after="480" w:line="480" w:lineRule="auto"/>
        <w:ind w:left="0" w:firstLine="0"/>
        <w:jc w:val="both"/>
        <w:rPr>
          <w:lang w:val="fr-CA"/>
        </w:rPr>
      </w:pPr>
      <w:r w:rsidRPr="00393D65">
        <w:rPr>
          <w:lang w:val="fr-CA"/>
        </w:rPr>
        <w:t xml:space="preserve">Le maintien en vigueur de cette fiducie réputée est expressément </w:t>
      </w:r>
      <w:r w:rsidRPr="00393D65">
        <w:rPr>
          <w:i/>
          <w:lang w:val="fr-CA"/>
        </w:rPr>
        <w:t>confirmé</w:t>
      </w:r>
      <w:r w:rsidRPr="00393D65">
        <w:rPr>
          <w:lang w:val="fr-CA"/>
        </w:rPr>
        <w:t xml:space="preserve"> à l</w:t>
      </w:r>
      <w:r w:rsidR="00C03762">
        <w:rPr>
          <w:lang w:val="fr-CA"/>
        </w:rPr>
        <w:t>’</w:t>
      </w:r>
      <w:r w:rsidRPr="00393D65">
        <w:rPr>
          <w:lang w:val="fr-CA"/>
        </w:rPr>
        <w:t xml:space="preserve">art. 18.3 de la </w:t>
      </w:r>
      <w:r w:rsidRPr="00393D65">
        <w:rPr>
          <w:i/>
          <w:lang w:val="fr-CA"/>
        </w:rPr>
        <w:t>LACC</w:t>
      </w:r>
      <w:r w:rsidRPr="00393D65">
        <w:rPr>
          <w:lang w:val="fr-CA"/>
        </w:rPr>
        <w:t xml:space="preserve"> : </w:t>
      </w:r>
    </w:p>
    <w:p w:rsidR="008C3D0D" w:rsidRPr="0075185A" w:rsidRDefault="008C3D0D" w:rsidP="00F21EF0">
      <w:pPr>
        <w:pStyle w:val="Citation"/>
        <w:spacing w:after="0"/>
        <w:rPr>
          <w:lang w:val="fr-CA"/>
        </w:rPr>
      </w:pPr>
      <w:r w:rsidRPr="0075185A">
        <w:rPr>
          <w:lang w:val="fr-CA"/>
        </w:rPr>
        <w:tab/>
      </w:r>
      <w:r w:rsidRPr="0075185A">
        <w:rPr>
          <w:b/>
          <w:lang w:val="fr-CA"/>
        </w:rPr>
        <w:t>18.3</w:t>
      </w:r>
      <w:r w:rsidRPr="0075185A">
        <w:rPr>
          <w:b/>
          <w:lang w:val="fr-CA"/>
        </w:rPr>
        <w:tab/>
      </w:r>
      <w:r w:rsidRPr="0075185A">
        <w:rPr>
          <w:lang w:val="fr-CA"/>
        </w:rPr>
        <w:t>(1)  </w:t>
      </w:r>
      <w:r w:rsidRPr="0075185A">
        <w:rPr>
          <w:u w:val="single"/>
          <w:lang w:val="fr-CA"/>
        </w:rPr>
        <w:t>Sous réserve du paragraphe (2)</w:t>
      </w:r>
      <w:r w:rsidRPr="0075185A">
        <w:rPr>
          <w:lang w:val="fr-CA"/>
        </w:rPr>
        <w:t xml:space="preserve"> et par dérogation à toute disposition législative fédérale ou provinciale ayant pour effet d</w:t>
      </w:r>
      <w:r w:rsidR="00C03762">
        <w:rPr>
          <w:lang w:val="fr-CA"/>
        </w:rPr>
        <w:t>’</w:t>
      </w:r>
      <w:r w:rsidRPr="0075185A">
        <w:rPr>
          <w:lang w:val="fr-CA"/>
        </w:rPr>
        <w:t xml:space="preserve">assimiler certains biens à des biens détenus en fiducie pour Sa Majesté, aucun des biens de la compagnie débitrice ne peut être considéré </w:t>
      </w:r>
      <w:r w:rsidR="0063236B">
        <w:rPr>
          <w:lang w:val="fr-CA"/>
        </w:rPr>
        <w:t>comme détenu en fiducie pour Sa Majesté si, en l’absence de la disposition législative en question, il ne le serait pas</w:t>
      </w:r>
      <w:r w:rsidRPr="0075185A">
        <w:rPr>
          <w:lang w:val="fr-CA"/>
        </w:rPr>
        <w:t xml:space="preserve">. </w:t>
      </w:r>
    </w:p>
    <w:p w:rsidR="008C3D0D" w:rsidRPr="00393D65" w:rsidRDefault="008C3D0D" w:rsidP="008C3D0D">
      <w:pPr>
        <w:tabs>
          <w:tab w:val="left" w:pos="1170"/>
        </w:tabs>
        <w:ind w:left="1166"/>
        <w:jc w:val="both"/>
      </w:pPr>
    </w:p>
    <w:p w:rsidR="008C3D0D" w:rsidRPr="00393D65" w:rsidRDefault="008C3D0D" w:rsidP="001C6EF3">
      <w:pPr>
        <w:tabs>
          <w:tab w:val="left" w:pos="1170"/>
          <w:tab w:val="left" w:pos="1440"/>
        </w:tabs>
        <w:spacing w:after="720"/>
        <w:ind w:left="1166"/>
        <w:jc w:val="both"/>
      </w:pPr>
      <w:r w:rsidRPr="00393D65">
        <w:tab/>
      </w:r>
      <w:r w:rsidRPr="00393D65">
        <w:tab/>
        <w:t>(2)</w:t>
      </w:r>
      <w:r w:rsidR="0063236B">
        <w:t xml:space="preserve"> </w:t>
      </w:r>
      <w:r w:rsidRPr="00393D65">
        <w:t> </w:t>
      </w:r>
      <w:r w:rsidRPr="00393D65">
        <w:rPr>
          <w:color w:val="000000"/>
          <w:u w:val="single"/>
        </w:rPr>
        <w:t>Le paragraphe (1) ne s</w:t>
      </w:r>
      <w:r w:rsidR="00C03762">
        <w:rPr>
          <w:color w:val="000000"/>
          <w:u w:val="single"/>
        </w:rPr>
        <w:t>’</w:t>
      </w:r>
      <w:r w:rsidRPr="00393D65">
        <w:rPr>
          <w:color w:val="000000"/>
          <w:u w:val="single"/>
        </w:rPr>
        <w:t>applique pas à l</w:t>
      </w:r>
      <w:r w:rsidR="00C03762">
        <w:rPr>
          <w:color w:val="000000"/>
          <w:u w:val="single"/>
        </w:rPr>
        <w:t>’</w:t>
      </w:r>
      <w:r w:rsidRPr="00393D65">
        <w:rPr>
          <w:color w:val="000000"/>
          <w:u w:val="single"/>
        </w:rPr>
        <w:t>égard des</w:t>
      </w:r>
      <w:r w:rsidR="00882EF3">
        <w:rPr>
          <w:color w:val="000000"/>
          <w:u w:val="single"/>
        </w:rPr>
        <w:t xml:space="preserve"> montants réputé</w:t>
      </w:r>
      <w:r w:rsidRPr="00393D65">
        <w:rPr>
          <w:color w:val="000000"/>
          <w:u w:val="single"/>
        </w:rPr>
        <w:t xml:space="preserve">s détenus en fiducie aux termes des paragraphes 227(4) ou (4.1) de la </w:t>
      </w:r>
      <w:r w:rsidRPr="00393D65">
        <w:rPr>
          <w:i/>
          <w:color w:val="000000"/>
          <w:u w:val="single"/>
        </w:rPr>
        <w:t>Loi de l</w:t>
      </w:r>
      <w:r w:rsidR="00C03762">
        <w:rPr>
          <w:i/>
          <w:color w:val="000000"/>
          <w:u w:val="single"/>
        </w:rPr>
        <w:t>’</w:t>
      </w:r>
      <w:r w:rsidRPr="00393D65">
        <w:rPr>
          <w:i/>
          <w:color w:val="000000"/>
          <w:u w:val="single"/>
        </w:rPr>
        <w:t>impôt sur le revenu</w:t>
      </w:r>
      <w:r w:rsidRPr="00393D65">
        <w:rPr>
          <w:color w:val="000000"/>
        </w:rPr>
        <w:t xml:space="preserve">, des paragraphes 23(3) ou (4) du </w:t>
      </w:r>
      <w:r w:rsidRPr="00393D65">
        <w:rPr>
          <w:i/>
          <w:color w:val="000000"/>
        </w:rPr>
        <w:t>Régime de pensions du Canada</w:t>
      </w:r>
      <w:r w:rsidRPr="00393D65">
        <w:rPr>
          <w:color w:val="000000"/>
        </w:rPr>
        <w:t xml:space="preserve"> ou des paragraphes 86(2) ou (2.1) de la </w:t>
      </w:r>
      <w:r w:rsidRPr="00393D65">
        <w:rPr>
          <w:i/>
          <w:color w:val="000000"/>
        </w:rPr>
        <w:t>Loi sur l</w:t>
      </w:r>
      <w:r w:rsidR="00C03762">
        <w:rPr>
          <w:i/>
          <w:color w:val="000000"/>
        </w:rPr>
        <w:t>’</w:t>
      </w:r>
      <w:r w:rsidRPr="00393D65">
        <w:rPr>
          <w:i/>
          <w:color w:val="000000"/>
        </w:rPr>
        <w:t>assurance</w:t>
      </w:r>
      <w:r w:rsidRPr="00393D65">
        <w:rPr>
          <w:i/>
          <w:color w:val="000000"/>
        </w:rPr>
        <w:noBreakHyphen/>
        <w:t xml:space="preserve">emploi </w:t>
      </w:r>
      <w:r w:rsidRPr="00393D65">
        <w:rPr>
          <w:color w:val="000000"/>
        </w:rPr>
        <w:t>. . .</w:t>
      </w:r>
    </w:p>
    <w:p w:rsidR="008C3D0D" w:rsidRPr="00393D65" w:rsidRDefault="008C3D0D" w:rsidP="008C3D0D">
      <w:pPr>
        <w:pStyle w:val="ListParagraph"/>
        <w:numPr>
          <w:ilvl w:val="0"/>
          <w:numId w:val="33"/>
        </w:numPr>
        <w:tabs>
          <w:tab w:val="left" w:pos="1170"/>
        </w:tabs>
        <w:spacing w:after="480" w:line="480" w:lineRule="auto"/>
        <w:ind w:left="0" w:firstLine="0"/>
        <w:jc w:val="both"/>
        <w:rPr>
          <w:lang w:val="fr-CA"/>
        </w:rPr>
      </w:pPr>
      <w:r w:rsidRPr="00393D65">
        <w:rPr>
          <w:lang w:val="fr-CA"/>
        </w:rPr>
        <w:t>L</w:t>
      </w:r>
      <w:r w:rsidR="00C03762">
        <w:rPr>
          <w:lang w:val="fr-CA"/>
        </w:rPr>
        <w:t>’</w:t>
      </w:r>
      <w:r w:rsidRPr="00393D65">
        <w:rPr>
          <w:lang w:val="fr-CA"/>
        </w:rPr>
        <w:t xml:space="preserve">application de la fiducie réputée prévue par la </w:t>
      </w:r>
      <w:r w:rsidRPr="00393D65">
        <w:rPr>
          <w:i/>
          <w:lang w:val="fr-CA"/>
        </w:rPr>
        <w:t>LIR</w:t>
      </w:r>
      <w:r w:rsidRPr="00393D65">
        <w:rPr>
          <w:lang w:val="fr-CA"/>
        </w:rPr>
        <w:t xml:space="preserve"> est également confirmée par l</w:t>
      </w:r>
      <w:r w:rsidR="00C03762">
        <w:rPr>
          <w:lang w:val="fr-CA"/>
        </w:rPr>
        <w:t>’</w:t>
      </w:r>
      <w:r w:rsidRPr="00393D65">
        <w:rPr>
          <w:lang w:val="fr-CA"/>
        </w:rPr>
        <w:t xml:space="preserve">art. 67 de la </w:t>
      </w:r>
      <w:r w:rsidRPr="00393D65">
        <w:rPr>
          <w:i/>
          <w:lang w:val="fr-CA"/>
        </w:rPr>
        <w:t>LFI</w:t>
      </w:r>
      <w:r w:rsidRPr="00393D65">
        <w:rPr>
          <w:lang w:val="fr-CA"/>
        </w:rPr>
        <w:t xml:space="preserve"> : </w:t>
      </w:r>
    </w:p>
    <w:p w:rsidR="008C3D0D" w:rsidRPr="00F21EF0" w:rsidRDefault="008C3D0D" w:rsidP="00F21EF0">
      <w:pPr>
        <w:pStyle w:val="Citation"/>
        <w:spacing w:after="0"/>
        <w:rPr>
          <w:lang w:val="fr-CA"/>
        </w:rPr>
      </w:pPr>
      <w:r w:rsidRPr="0075185A">
        <w:rPr>
          <w:lang w:val="fr-CA"/>
        </w:rPr>
        <w:tab/>
      </w:r>
      <w:r w:rsidRPr="00F21EF0">
        <w:rPr>
          <w:lang w:val="fr-CA"/>
        </w:rPr>
        <w:t>(2)  </w:t>
      </w:r>
      <w:r w:rsidRPr="00F21EF0">
        <w:rPr>
          <w:u w:val="single"/>
          <w:lang w:val="fr-CA"/>
        </w:rPr>
        <w:t>Sous réserve du paragraphe (3)</w:t>
      </w:r>
      <w:r w:rsidRPr="00F21EF0">
        <w:rPr>
          <w:lang w:val="fr-CA"/>
        </w:rPr>
        <w:t xml:space="preserve"> et par dérogation à toute disposition législative fédérale ou provinciale ayant pour effet d</w:t>
      </w:r>
      <w:r w:rsidR="00C03762">
        <w:rPr>
          <w:lang w:val="fr-CA"/>
        </w:rPr>
        <w:t>’</w:t>
      </w:r>
      <w:r w:rsidRPr="00F21EF0">
        <w:rPr>
          <w:lang w:val="fr-CA"/>
        </w:rPr>
        <w:t>assimiler certains biens à des biens détenus en fiducie pour Sa Majesté, aucun des biens du failli ne peut, pour l</w:t>
      </w:r>
      <w:r w:rsidR="00C03762">
        <w:rPr>
          <w:lang w:val="fr-CA"/>
        </w:rPr>
        <w:t>’</w:t>
      </w:r>
      <w:r w:rsidRPr="00F21EF0">
        <w:rPr>
          <w:lang w:val="fr-CA"/>
        </w:rPr>
        <w:t>application de l</w:t>
      </w:r>
      <w:r w:rsidR="00C03762">
        <w:rPr>
          <w:lang w:val="fr-CA"/>
        </w:rPr>
        <w:t>’</w:t>
      </w:r>
      <w:r w:rsidRPr="00F21EF0">
        <w:rPr>
          <w:lang w:val="fr-CA"/>
        </w:rPr>
        <w:t>alinéa (1)</w:t>
      </w:r>
      <w:r w:rsidR="000E71B6" w:rsidRPr="000E71B6">
        <w:rPr>
          <w:i/>
          <w:lang w:val="fr-CA"/>
        </w:rPr>
        <w:t>a</w:t>
      </w:r>
      <w:r w:rsidRPr="00F21EF0">
        <w:rPr>
          <w:lang w:val="fr-CA"/>
        </w:rPr>
        <w:t xml:space="preserve">), être considéré </w:t>
      </w:r>
      <w:r w:rsidRPr="00F21EF0">
        <w:rPr>
          <w:lang w:val="fr-CA"/>
        </w:rPr>
        <w:lastRenderedPageBreak/>
        <w:t>comme détenu en fiducie pour Sa Majesté si, en l</w:t>
      </w:r>
      <w:r w:rsidR="00C03762">
        <w:rPr>
          <w:lang w:val="fr-CA"/>
        </w:rPr>
        <w:t>’</w:t>
      </w:r>
      <w:r w:rsidRPr="00F21EF0">
        <w:rPr>
          <w:lang w:val="fr-CA"/>
        </w:rPr>
        <w:t>absence de la disposition législative en question, il ne le serait pas.</w:t>
      </w:r>
    </w:p>
    <w:p w:rsidR="008C3D0D" w:rsidRPr="00393D65" w:rsidRDefault="008C3D0D" w:rsidP="008C3D0D">
      <w:pPr>
        <w:pStyle w:val="ListParagraph"/>
        <w:tabs>
          <w:tab w:val="left" w:pos="1170"/>
        </w:tabs>
        <w:ind w:left="1166"/>
        <w:jc w:val="both"/>
        <w:rPr>
          <w:lang w:val="fr-CA"/>
        </w:rPr>
      </w:pPr>
    </w:p>
    <w:p w:rsidR="008C3D0D" w:rsidRPr="0063236B" w:rsidRDefault="008C3D0D" w:rsidP="0063236B">
      <w:pPr>
        <w:pStyle w:val="Citation"/>
        <w:rPr>
          <w:lang w:val="fr-CA"/>
        </w:rPr>
      </w:pPr>
      <w:r w:rsidRPr="00961B8C">
        <w:rPr>
          <w:lang w:val="fr-CA"/>
        </w:rPr>
        <w:tab/>
      </w:r>
      <w:r w:rsidR="0063236B" w:rsidRPr="0063236B">
        <w:rPr>
          <w:lang w:val="fr-CA"/>
        </w:rPr>
        <w:t>(</w:t>
      </w:r>
      <w:r w:rsidR="0063236B">
        <w:rPr>
          <w:lang w:val="fr-CA"/>
        </w:rPr>
        <w:t xml:space="preserve">3) </w:t>
      </w:r>
      <w:r w:rsidRPr="0063236B">
        <w:rPr>
          <w:lang w:val="fr-CA"/>
        </w:rPr>
        <w:t> </w:t>
      </w:r>
      <w:r w:rsidRPr="00882EF3">
        <w:rPr>
          <w:u w:val="single"/>
          <w:lang w:val="fr-CA"/>
        </w:rPr>
        <w:t>Le paragraphe (2) ne s</w:t>
      </w:r>
      <w:r w:rsidR="00C03762" w:rsidRPr="00882EF3">
        <w:rPr>
          <w:u w:val="single"/>
          <w:lang w:val="fr-CA"/>
        </w:rPr>
        <w:t>’</w:t>
      </w:r>
      <w:r w:rsidRPr="00882EF3">
        <w:rPr>
          <w:u w:val="single"/>
          <w:lang w:val="fr-CA"/>
        </w:rPr>
        <w:t>applique pas à l</w:t>
      </w:r>
      <w:r w:rsidR="00C03762" w:rsidRPr="00882EF3">
        <w:rPr>
          <w:u w:val="single"/>
          <w:lang w:val="fr-CA"/>
        </w:rPr>
        <w:t>’</w:t>
      </w:r>
      <w:r w:rsidRPr="00882EF3">
        <w:rPr>
          <w:u w:val="single"/>
          <w:lang w:val="fr-CA"/>
        </w:rPr>
        <w:t xml:space="preserve">égard des montants réputés détenus en fiducie aux termes des paragraphes 227(4) ou (4.1) de la </w:t>
      </w:r>
      <w:r w:rsidRPr="00882EF3">
        <w:rPr>
          <w:i/>
          <w:u w:val="single"/>
          <w:lang w:val="fr-CA"/>
        </w:rPr>
        <w:t>Loi de l</w:t>
      </w:r>
      <w:r w:rsidR="00C03762" w:rsidRPr="00882EF3">
        <w:rPr>
          <w:i/>
          <w:u w:val="single"/>
          <w:lang w:val="fr-CA"/>
        </w:rPr>
        <w:t>’</w:t>
      </w:r>
      <w:r w:rsidRPr="00882EF3">
        <w:rPr>
          <w:i/>
          <w:u w:val="single"/>
          <w:lang w:val="fr-CA"/>
        </w:rPr>
        <w:t>impôt sur le revenu</w:t>
      </w:r>
      <w:r w:rsidRPr="0063236B">
        <w:rPr>
          <w:lang w:val="fr-CA"/>
        </w:rPr>
        <w:t xml:space="preserve">, des paragraphes 23(3) ou (4) du </w:t>
      </w:r>
      <w:r w:rsidRPr="0063236B">
        <w:rPr>
          <w:i/>
          <w:lang w:val="fr-CA"/>
        </w:rPr>
        <w:t>Régime de pensions du Canada</w:t>
      </w:r>
      <w:r w:rsidRPr="0063236B">
        <w:rPr>
          <w:lang w:val="fr-CA"/>
        </w:rPr>
        <w:t xml:space="preserve"> ou des paragraphes 86(2) ou (2.1) de la </w:t>
      </w:r>
      <w:r w:rsidRPr="0063236B">
        <w:rPr>
          <w:i/>
          <w:lang w:val="fr-CA"/>
        </w:rPr>
        <w:t>Loi sur l</w:t>
      </w:r>
      <w:r w:rsidR="00C03762" w:rsidRPr="0063236B">
        <w:rPr>
          <w:i/>
          <w:lang w:val="fr-CA"/>
        </w:rPr>
        <w:t>’</w:t>
      </w:r>
      <w:r w:rsidRPr="0063236B">
        <w:rPr>
          <w:i/>
          <w:lang w:val="fr-CA"/>
        </w:rPr>
        <w:t>assurance</w:t>
      </w:r>
      <w:r w:rsidRPr="0063236B">
        <w:rPr>
          <w:i/>
          <w:lang w:val="fr-CA"/>
        </w:rPr>
        <w:noBreakHyphen/>
        <w:t>emploi</w:t>
      </w:r>
      <w:r w:rsidRPr="0063236B">
        <w:rPr>
          <w:lang w:val="fr-CA"/>
        </w:rPr>
        <w:t xml:space="preserve"> . . .</w:t>
      </w:r>
    </w:p>
    <w:p w:rsidR="008C3D0D" w:rsidRPr="00393D65" w:rsidRDefault="008C3D0D" w:rsidP="008C3D0D">
      <w:pPr>
        <w:pStyle w:val="ListParagraph"/>
        <w:numPr>
          <w:ilvl w:val="0"/>
          <w:numId w:val="33"/>
        </w:numPr>
        <w:tabs>
          <w:tab w:val="left" w:pos="1170"/>
        </w:tabs>
        <w:spacing w:line="480" w:lineRule="auto"/>
        <w:ind w:left="0" w:firstLine="0"/>
        <w:jc w:val="both"/>
        <w:rPr>
          <w:lang w:val="fr-CA"/>
        </w:rPr>
      </w:pPr>
      <w:r w:rsidRPr="00393D65">
        <w:rPr>
          <w:lang w:val="fr-CA"/>
        </w:rPr>
        <w:t xml:space="preserve">Par conséquent, le législateur a </w:t>
      </w:r>
      <w:r w:rsidRPr="00393D65">
        <w:rPr>
          <w:i/>
          <w:lang w:val="fr-CA"/>
        </w:rPr>
        <w:t>créé</w:t>
      </w:r>
      <w:r w:rsidRPr="00393D65">
        <w:rPr>
          <w:lang w:val="fr-CA"/>
        </w:rPr>
        <w:t xml:space="preserve">, puis </w:t>
      </w:r>
      <w:r w:rsidRPr="00393D65">
        <w:rPr>
          <w:i/>
          <w:lang w:val="fr-CA"/>
        </w:rPr>
        <w:t xml:space="preserve">confirmé le maintien en vigueur </w:t>
      </w:r>
      <w:r w:rsidRPr="00393D65">
        <w:rPr>
          <w:lang w:val="fr-CA"/>
        </w:rPr>
        <w:t xml:space="preserve">de la fiducie réputée établie par la </w:t>
      </w:r>
      <w:r w:rsidRPr="00393D65">
        <w:rPr>
          <w:i/>
          <w:lang w:val="fr-CA"/>
        </w:rPr>
        <w:t>LIR</w:t>
      </w:r>
      <w:r w:rsidRPr="00393D65">
        <w:rPr>
          <w:lang w:val="fr-CA"/>
        </w:rPr>
        <w:t xml:space="preserve"> en faveur de Sa Majesté </w:t>
      </w:r>
      <w:r w:rsidRPr="00393D65">
        <w:rPr>
          <w:i/>
          <w:lang w:val="fr-CA"/>
        </w:rPr>
        <w:t>tant</w:t>
      </w:r>
      <w:r w:rsidRPr="00393D65">
        <w:rPr>
          <w:lang w:val="fr-CA"/>
        </w:rPr>
        <w:t xml:space="preserve"> sous le régime de la </w:t>
      </w:r>
      <w:r w:rsidRPr="00393D65">
        <w:rPr>
          <w:i/>
          <w:lang w:val="fr-CA"/>
        </w:rPr>
        <w:t>LACC que</w:t>
      </w:r>
      <w:r w:rsidRPr="00393D65">
        <w:rPr>
          <w:lang w:val="fr-CA"/>
        </w:rPr>
        <w:t xml:space="preserve"> sous celui de la </w:t>
      </w:r>
      <w:r w:rsidRPr="00393D65">
        <w:rPr>
          <w:i/>
          <w:lang w:val="fr-CA"/>
        </w:rPr>
        <w:t>LFI</w:t>
      </w:r>
      <w:r w:rsidRPr="00393D65">
        <w:rPr>
          <w:lang w:val="fr-CA"/>
        </w:rPr>
        <w:t>.</w:t>
      </w:r>
    </w:p>
    <w:p w:rsidR="008C3D0D" w:rsidRPr="00393D65" w:rsidRDefault="008C3D0D" w:rsidP="008C3D0D">
      <w:pPr>
        <w:pStyle w:val="ListParagraph"/>
        <w:tabs>
          <w:tab w:val="left" w:pos="1170"/>
        </w:tabs>
        <w:spacing w:line="480" w:lineRule="auto"/>
        <w:ind w:left="0"/>
        <w:jc w:val="both"/>
        <w:rPr>
          <w:lang w:val="fr-CA"/>
        </w:rPr>
      </w:pPr>
    </w:p>
    <w:p w:rsidR="008C3D0D" w:rsidRPr="00393D65" w:rsidRDefault="008C3D0D" w:rsidP="008C3D0D">
      <w:pPr>
        <w:pStyle w:val="ListParagraph"/>
        <w:numPr>
          <w:ilvl w:val="0"/>
          <w:numId w:val="33"/>
        </w:numPr>
        <w:tabs>
          <w:tab w:val="left" w:pos="1170"/>
        </w:tabs>
        <w:spacing w:line="480" w:lineRule="auto"/>
        <w:ind w:left="0" w:firstLine="0"/>
        <w:jc w:val="both"/>
        <w:rPr>
          <w:lang w:val="fr-CA"/>
        </w:rPr>
      </w:pPr>
      <w:r w:rsidRPr="00393D65">
        <w:rPr>
          <w:lang w:val="fr-CA"/>
        </w:rPr>
        <w:t>La deuxième loi fédérale où l</w:t>
      </w:r>
      <w:r w:rsidR="00C03762">
        <w:rPr>
          <w:lang w:val="fr-CA"/>
        </w:rPr>
        <w:t>’</w:t>
      </w:r>
      <w:r w:rsidRPr="00393D65">
        <w:rPr>
          <w:lang w:val="fr-CA"/>
        </w:rPr>
        <w:t xml:space="preserve">on retrouve ce mécanisme est le </w:t>
      </w:r>
      <w:r w:rsidRPr="00393D65">
        <w:rPr>
          <w:i/>
          <w:lang w:val="fr-CA"/>
        </w:rPr>
        <w:t>Régime de pensions du Canada</w:t>
      </w:r>
      <w:r w:rsidRPr="00393D65">
        <w:rPr>
          <w:lang w:val="fr-CA"/>
        </w:rPr>
        <w:t>, L.R.C. 1985, ch. C</w:t>
      </w:r>
      <w:r w:rsidRPr="00393D65">
        <w:rPr>
          <w:lang w:val="fr-CA"/>
        </w:rPr>
        <w:noBreakHyphen/>
        <w:t>8 (« </w:t>
      </w:r>
      <w:r w:rsidRPr="00393D65">
        <w:rPr>
          <w:i/>
          <w:lang w:val="fr-CA"/>
        </w:rPr>
        <w:t>RP</w:t>
      </w:r>
      <w:r w:rsidR="00882EF3">
        <w:rPr>
          <w:i/>
          <w:lang w:val="fr-CA"/>
        </w:rPr>
        <w:t>C</w:t>
      </w:r>
      <w:r w:rsidRPr="00393D65">
        <w:rPr>
          <w:i/>
          <w:lang w:val="fr-CA"/>
        </w:rPr>
        <w:t> </w:t>
      </w:r>
      <w:r w:rsidRPr="00393D65">
        <w:rPr>
          <w:lang w:val="fr-CA"/>
        </w:rPr>
        <w:t>»).  À l</w:t>
      </w:r>
      <w:r w:rsidR="00C03762">
        <w:rPr>
          <w:lang w:val="fr-CA"/>
        </w:rPr>
        <w:t>’</w:t>
      </w:r>
      <w:r w:rsidRPr="00393D65">
        <w:rPr>
          <w:lang w:val="fr-CA"/>
        </w:rPr>
        <w:t>article 23, le législateur crée une fiducie réputée en faveur de la Couronne et précise qu</w:t>
      </w:r>
      <w:r w:rsidR="00C03762">
        <w:rPr>
          <w:lang w:val="fr-CA"/>
        </w:rPr>
        <w:t>’</w:t>
      </w:r>
      <w:r w:rsidRPr="00393D65">
        <w:rPr>
          <w:lang w:val="fr-CA"/>
        </w:rPr>
        <w:t xml:space="preserve">elle existe malgré les dispositions contraires de toute autre loi fédérale.  Enfin, la </w:t>
      </w:r>
      <w:r w:rsidRPr="00393D65">
        <w:rPr>
          <w:i/>
          <w:lang w:val="fr-CA"/>
        </w:rPr>
        <w:t>Loi sur l</w:t>
      </w:r>
      <w:r w:rsidR="00C03762">
        <w:rPr>
          <w:i/>
          <w:lang w:val="fr-CA"/>
        </w:rPr>
        <w:t>’</w:t>
      </w:r>
      <w:r w:rsidRPr="00393D65">
        <w:rPr>
          <w:i/>
          <w:lang w:val="fr-CA"/>
        </w:rPr>
        <w:t>assurance</w:t>
      </w:r>
      <w:r w:rsidRPr="00393D65">
        <w:rPr>
          <w:i/>
          <w:lang w:val="fr-CA"/>
        </w:rPr>
        <w:noBreakHyphen/>
        <w:t>emploi</w:t>
      </w:r>
      <w:r w:rsidRPr="00393D65">
        <w:rPr>
          <w:lang w:val="fr-CA"/>
        </w:rPr>
        <w:t>, L.C. 1996, ch. 23 (« </w:t>
      </w:r>
      <w:r w:rsidRPr="00393D65">
        <w:rPr>
          <w:i/>
          <w:lang w:val="fr-CA"/>
        </w:rPr>
        <w:t>LAE </w:t>
      </w:r>
      <w:r w:rsidRPr="00393D65">
        <w:rPr>
          <w:lang w:val="fr-CA"/>
        </w:rPr>
        <w:t>»), crée dans des termes quasi identiques, une fiducie réputée en faveur de la Couronne : voir les par. 86(2) et (2.1).</w:t>
      </w:r>
    </w:p>
    <w:p w:rsidR="008C3D0D" w:rsidRPr="00393D65" w:rsidRDefault="008C3D0D" w:rsidP="008C3D0D">
      <w:pPr>
        <w:pStyle w:val="ListParagraph"/>
        <w:tabs>
          <w:tab w:val="left" w:pos="1170"/>
        </w:tabs>
        <w:spacing w:line="480" w:lineRule="auto"/>
        <w:ind w:left="0"/>
        <w:jc w:val="both"/>
        <w:rPr>
          <w:lang w:val="fr-CA"/>
        </w:rPr>
      </w:pPr>
    </w:p>
    <w:p w:rsidR="008C3D0D" w:rsidRPr="00393D65" w:rsidRDefault="008C3D0D" w:rsidP="008C3D0D">
      <w:pPr>
        <w:pStyle w:val="ListParagraph"/>
        <w:numPr>
          <w:ilvl w:val="0"/>
          <w:numId w:val="33"/>
        </w:numPr>
        <w:tabs>
          <w:tab w:val="left" w:pos="1170"/>
        </w:tabs>
        <w:spacing w:line="480" w:lineRule="auto"/>
        <w:ind w:left="0" w:firstLine="0"/>
        <w:jc w:val="both"/>
        <w:rPr>
          <w:lang w:val="fr-CA"/>
        </w:rPr>
      </w:pPr>
      <w:r w:rsidRPr="00393D65">
        <w:rPr>
          <w:lang w:val="fr-CA"/>
        </w:rPr>
        <w:t>Comme nous l</w:t>
      </w:r>
      <w:r w:rsidR="00C03762">
        <w:rPr>
          <w:lang w:val="fr-CA"/>
        </w:rPr>
        <w:t>’</w:t>
      </w:r>
      <w:r w:rsidRPr="00393D65">
        <w:rPr>
          <w:lang w:val="fr-CA"/>
        </w:rPr>
        <w:t>avons vu, le maintien en vigueur des fiducies réputées créées en vertu de ces dispositions</w:t>
      </w:r>
      <w:r w:rsidR="00882EF3">
        <w:rPr>
          <w:lang w:val="fr-CA"/>
        </w:rPr>
        <w:t xml:space="preserve"> de la </w:t>
      </w:r>
      <w:r w:rsidR="00882EF3" w:rsidRPr="00882EF3">
        <w:rPr>
          <w:i/>
          <w:lang w:val="fr-CA"/>
        </w:rPr>
        <w:t>LIR</w:t>
      </w:r>
      <w:r w:rsidR="00882EF3">
        <w:rPr>
          <w:lang w:val="fr-CA"/>
        </w:rPr>
        <w:t>,</w:t>
      </w:r>
      <w:r w:rsidRPr="00393D65">
        <w:rPr>
          <w:lang w:val="fr-CA"/>
        </w:rPr>
        <w:t xml:space="preserve"> du </w:t>
      </w:r>
      <w:r w:rsidRPr="00393D65">
        <w:rPr>
          <w:i/>
          <w:lang w:val="fr-CA"/>
        </w:rPr>
        <w:t>RPC</w:t>
      </w:r>
      <w:r w:rsidRPr="00393D65">
        <w:rPr>
          <w:lang w:val="fr-CA"/>
        </w:rPr>
        <w:t xml:space="preserve"> et de la </w:t>
      </w:r>
      <w:r w:rsidRPr="00393D65">
        <w:rPr>
          <w:i/>
          <w:lang w:val="fr-CA"/>
        </w:rPr>
        <w:t>LAE</w:t>
      </w:r>
      <w:r w:rsidRPr="00393D65">
        <w:rPr>
          <w:lang w:val="fr-CA"/>
        </w:rPr>
        <w:t xml:space="preserve"> est confirmé au par. 18.3(2) de la </w:t>
      </w:r>
      <w:r w:rsidRPr="00393D65">
        <w:rPr>
          <w:i/>
          <w:lang w:val="fr-CA"/>
        </w:rPr>
        <w:t>LACC</w:t>
      </w:r>
      <w:r w:rsidRPr="00393D65">
        <w:rPr>
          <w:lang w:val="fr-CA"/>
        </w:rPr>
        <w:t xml:space="preserve"> et au par. 67(3) de la </w:t>
      </w:r>
      <w:r w:rsidRPr="00393D65">
        <w:rPr>
          <w:i/>
          <w:lang w:val="fr-CA"/>
        </w:rPr>
        <w:t>LFI</w:t>
      </w:r>
      <w:r w:rsidRPr="00393D65">
        <w:rPr>
          <w:lang w:val="fr-CA"/>
        </w:rPr>
        <w:t>. Dans les trois cas, le législateur a exprimé en termes clairs et explicites sa volonté de voir la fiducie réputée établie en faveur de la Couronne produire ses effets pendant le déroulement de la procédure d</w:t>
      </w:r>
      <w:r w:rsidR="00C03762">
        <w:rPr>
          <w:lang w:val="fr-CA"/>
        </w:rPr>
        <w:t>’</w:t>
      </w:r>
      <w:r w:rsidRPr="00393D65">
        <w:rPr>
          <w:lang w:val="fr-CA"/>
        </w:rPr>
        <w:t>insolvabilité.</w:t>
      </w:r>
    </w:p>
    <w:p w:rsidR="008C3D0D" w:rsidRPr="00393D65" w:rsidRDefault="008C3D0D" w:rsidP="008C3D0D">
      <w:pPr>
        <w:pStyle w:val="ListParagraph"/>
        <w:tabs>
          <w:tab w:val="left" w:pos="1170"/>
        </w:tabs>
        <w:spacing w:line="480" w:lineRule="auto"/>
        <w:ind w:left="0"/>
        <w:jc w:val="both"/>
        <w:rPr>
          <w:lang w:val="fr-CA"/>
        </w:rPr>
      </w:pPr>
    </w:p>
    <w:p w:rsidR="008C3D0D" w:rsidRPr="00393D65" w:rsidRDefault="008C3D0D" w:rsidP="008C3D0D">
      <w:pPr>
        <w:pStyle w:val="ListParagraph"/>
        <w:numPr>
          <w:ilvl w:val="0"/>
          <w:numId w:val="33"/>
        </w:numPr>
        <w:tabs>
          <w:tab w:val="left" w:pos="1170"/>
        </w:tabs>
        <w:spacing w:line="480" w:lineRule="auto"/>
        <w:ind w:left="0" w:firstLine="0"/>
        <w:jc w:val="both"/>
        <w:rPr>
          <w:lang w:val="fr-CA"/>
        </w:rPr>
      </w:pPr>
      <w:r w:rsidRPr="00393D65">
        <w:rPr>
          <w:lang w:val="fr-CA"/>
        </w:rPr>
        <w:t xml:space="preserve">La situation est différente dans le cas de la fiducie réputée créée par la </w:t>
      </w:r>
      <w:r w:rsidRPr="00393D65">
        <w:rPr>
          <w:i/>
          <w:lang w:val="fr-CA"/>
        </w:rPr>
        <w:t>LTA</w:t>
      </w:r>
      <w:r w:rsidRPr="00393D65">
        <w:rPr>
          <w:lang w:val="fr-CA"/>
        </w:rPr>
        <w:t>.  Bien que le législateur crée en faveur de la Couronne une fiducie réputée dans laquelle seront conservées les sommes recueillies au titre de la TPS mais non encore versées, et bien qu</w:t>
      </w:r>
      <w:r w:rsidR="00C03762">
        <w:rPr>
          <w:lang w:val="fr-CA"/>
        </w:rPr>
        <w:t>’</w:t>
      </w:r>
      <w:r w:rsidRPr="00393D65">
        <w:rPr>
          <w:lang w:val="fr-CA"/>
        </w:rPr>
        <w:t>il prétende maintenir cette fiducie en vigueur malgré les dispositions à l</w:t>
      </w:r>
      <w:r w:rsidR="00C03762">
        <w:rPr>
          <w:lang w:val="fr-CA"/>
        </w:rPr>
        <w:t>’</w:t>
      </w:r>
      <w:r w:rsidRPr="00393D65">
        <w:rPr>
          <w:lang w:val="fr-CA"/>
        </w:rPr>
        <w:t xml:space="preserve">effet contraire de toute loi fédérale ou provinciale, il ne </w:t>
      </w:r>
      <w:r w:rsidRPr="00393D65">
        <w:rPr>
          <w:i/>
          <w:lang w:val="fr-CA"/>
        </w:rPr>
        <w:t>confirme</w:t>
      </w:r>
      <w:r w:rsidRPr="00393D65">
        <w:rPr>
          <w:lang w:val="fr-CA"/>
        </w:rPr>
        <w:t xml:space="preserve"> pas l</w:t>
      </w:r>
      <w:r w:rsidR="00C03762">
        <w:rPr>
          <w:lang w:val="fr-CA"/>
        </w:rPr>
        <w:t>’</w:t>
      </w:r>
      <w:r w:rsidRPr="00393D65">
        <w:rPr>
          <w:lang w:val="fr-CA"/>
        </w:rPr>
        <w:t>existence de la fiducie ― ni ne prévoit expressément le maintien en vigueur de celle</w:t>
      </w:r>
      <w:r w:rsidRPr="00393D65">
        <w:rPr>
          <w:lang w:val="fr-CA"/>
        </w:rPr>
        <w:noBreakHyphen/>
        <w:t xml:space="preserve">ci ― dans la </w:t>
      </w:r>
      <w:r w:rsidRPr="00393D65">
        <w:rPr>
          <w:i/>
          <w:lang w:val="fr-CA"/>
        </w:rPr>
        <w:t xml:space="preserve">LFI </w:t>
      </w:r>
      <w:r w:rsidRPr="00393D65">
        <w:rPr>
          <w:lang w:val="fr-CA"/>
        </w:rPr>
        <w:t xml:space="preserve">ou dans la </w:t>
      </w:r>
      <w:r w:rsidRPr="00393D65">
        <w:rPr>
          <w:i/>
          <w:lang w:val="fr-CA"/>
        </w:rPr>
        <w:t>LACC</w:t>
      </w:r>
      <w:r w:rsidRPr="00393D65">
        <w:rPr>
          <w:lang w:val="fr-CA"/>
        </w:rPr>
        <w:t>.  Le second des deux éléments obligatoires que j</w:t>
      </w:r>
      <w:r w:rsidR="00C03762">
        <w:rPr>
          <w:lang w:val="fr-CA"/>
        </w:rPr>
        <w:t>’</w:t>
      </w:r>
      <w:r w:rsidRPr="00393D65">
        <w:rPr>
          <w:lang w:val="fr-CA"/>
        </w:rPr>
        <w:t>ai mentionnés fait donc défaut, ce qui témoigne de l</w:t>
      </w:r>
      <w:r w:rsidR="00C03762">
        <w:rPr>
          <w:lang w:val="fr-CA"/>
        </w:rPr>
        <w:t>’</w:t>
      </w:r>
      <w:r w:rsidRPr="00393D65">
        <w:rPr>
          <w:lang w:val="fr-CA"/>
        </w:rPr>
        <w:t>intention du législateur de laisser la fiducie réputée devenir caduque au moment de l</w:t>
      </w:r>
      <w:r w:rsidR="00C03762">
        <w:rPr>
          <w:lang w:val="fr-CA"/>
        </w:rPr>
        <w:t>’</w:t>
      </w:r>
      <w:r w:rsidRPr="00393D65">
        <w:rPr>
          <w:lang w:val="fr-CA"/>
        </w:rPr>
        <w:t>introduction de la procédure d</w:t>
      </w:r>
      <w:r w:rsidR="00C03762">
        <w:rPr>
          <w:lang w:val="fr-CA"/>
        </w:rPr>
        <w:t>’</w:t>
      </w:r>
      <w:r w:rsidRPr="00393D65">
        <w:rPr>
          <w:lang w:val="fr-CA"/>
        </w:rPr>
        <w:t>insolvabilité.</w:t>
      </w:r>
    </w:p>
    <w:p w:rsidR="008C3D0D" w:rsidRPr="00393D65" w:rsidRDefault="008C3D0D" w:rsidP="008C3D0D">
      <w:pPr>
        <w:pStyle w:val="ListParagraph"/>
        <w:tabs>
          <w:tab w:val="left" w:pos="1170"/>
        </w:tabs>
        <w:spacing w:line="480" w:lineRule="auto"/>
        <w:ind w:left="0"/>
        <w:jc w:val="both"/>
        <w:rPr>
          <w:lang w:val="fr-CA"/>
        </w:rPr>
      </w:pPr>
    </w:p>
    <w:p w:rsidR="008C3D0D" w:rsidRPr="00393D65" w:rsidRDefault="008C3D0D" w:rsidP="008C3D0D">
      <w:pPr>
        <w:pStyle w:val="ListParagraph"/>
        <w:numPr>
          <w:ilvl w:val="0"/>
          <w:numId w:val="33"/>
        </w:numPr>
        <w:tabs>
          <w:tab w:val="left" w:pos="1170"/>
        </w:tabs>
        <w:spacing w:after="480" w:line="480" w:lineRule="auto"/>
        <w:ind w:left="0" w:firstLine="0"/>
        <w:jc w:val="both"/>
        <w:rPr>
          <w:lang w:val="fr-CA"/>
        </w:rPr>
      </w:pPr>
      <w:r w:rsidRPr="00393D65">
        <w:rPr>
          <w:lang w:val="fr-CA"/>
        </w:rPr>
        <w:t xml:space="preserve">Le texte des dispositions en cause de la </w:t>
      </w:r>
      <w:r w:rsidRPr="00393D65">
        <w:rPr>
          <w:i/>
          <w:lang w:val="fr-CA"/>
        </w:rPr>
        <w:t>LTA</w:t>
      </w:r>
      <w:r w:rsidRPr="00393D65">
        <w:rPr>
          <w:lang w:val="fr-CA"/>
        </w:rPr>
        <w:t xml:space="preserve"> est substantiellement identique à celui des dispositions de la </w:t>
      </w:r>
      <w:r w:rsidRPr="00393D65">
        <w:rPr>
          <w:i/>
          <w:lang w:val="fr-CA"/>
        </w:rPr>
        <w:t>LIR</w:t>
      </w:r>
      <w:r w:rsidRPr="00393D65">
        <w:rPr>
          <w:lang w:val="fr-CA"/>
        </w:rPr>
        <w:t xml:space="preserve">, du </w:t>
      </w:r>
      <w:r w:rsidRPr="00393D65">
        <w:rPr>
          <w:i/>
          <w:lang w:val="fr-CA"/>
        </w:rPr>
        <w:t>RPC</w:t>
      </w:r>
      <w:r w:rsidRPr="00393D65">
        <w:rPr>
          <w:lang w:val="fr-CA"/>
        </w:rPr>
        <w:t xml:space="preserve"> et de la </w:t>
      </w:r>
      <w:r w:rsidRPr="00393D65">
        <w:rPr>
          <w:i/>
          <w:lang w:val="fr-CA"/>
        </w:rPr>
        <w:t>LAE</w:t>
      </w:r>
      <w:r w:rsidRPr="00393D65">
        <w:rPr>
          <w:lang w:val="fr-CA"/>
        </w:rPr>
        <w:t xml:space="preserve"> : </w:t>
      </w:r>
    </w:p>
    <w:p w:rsidR="008C3D0D" w:rsidRPr="0075185A" w:rsidRDefault="00D76D87" w:rsidP="00D76D87">
      <w:pPr>
        <w:pStyle w:val="Citation"/>
        <w:tabs>
          <w:tab w:val="left" w:pos="1620"/>
        </w:tabs>
        <w:spacing w:after="0"/>
        <w:rPr>
          <w:lang w:val="fr-CA"/>
        </w:rPr>
      </w:pPr>
      <w:r>
        <w:rPr>
          <w:b/>
          <w:lang w:val="fr-CA"/>
        </w:rPr>
        <w:tab/>
      </w:r>
      <w:r w:rsidR="008C3D0D" w:rsidRPr="0075185A">
        <w:rPr>
          <w:b/>
          <w:lang w:val="fr-CA"/>
        </w:rPr>
        <w:t>222.</w:t>
      </w:r>
      <w:r w:rsidR="008C3D0D" w:rsidRPr="0075185A">
        <w:rPr>
          <w:lang w:val="fr-CA"/>
        </w:rPr>
        <w:t xml:space="preserve"> (1)  La personne qui perçoit un montant au titre de la taxe prévue à la section II </w:t>
      </w:r>
      <w:r w:rsidR="008C3D0D" w:rsidRPr="0075185A">
        <w:rPr>
          <w:u w:val="single"/>
          <w:lang w:val="fr-CA"/>
        </w:rPr>
        <w:t>est réputée</w:t>
      </w:r>
      <w:r w:rsidR="008C3D0D" w:rsidRPr="0075185A">
        <w:rPr>
          <w:lang w:val="fr-CA"/>
        </w:rPr>
        <w:t xml:space="preserve">, à toutes fins utiles et malgré tout droit en garantie le concernant, </w:t>
      </w:r>
      <w:r w:rsidR="008C3D0D" w:rsidRPr="0075185A">
        <w:rPr>
          <w:u w:val="single"/>
          <w:lang w:val="fr-CA"/>
        </w:rPr>
        <w:t>le détenir en fiducie pour Sa Majesté du chef du Canada, séparé</w:t>
      </w:r>
      <w:r w:rsidR="008C3D0D" w:rsidRPr="0075185A">
        <w:rPr>
          <w:lang w:val="fr-CA"/>
        </w:rPr>
        <w:t xml:space="preserve"> de ses propres biens et des biens détenus par ses créanciers garantis qui, en l</w:t>
      </w:r>
      <w:r w:rsidR="00C03762">
        <w:rPr>
          <w:lang w:val="fr-CA"/>
        </w:rPr>
        <w:t>’</w:t>
      </w:r>
      <w:r w:rsidR="008C3D0D" w:rsidRPr="0075185A">
        <w:rPr>
          <w:lang w:val="fr-CA"/>
        </w:rPr>
        <w:t>absence du droit en garantie, seraient ceux de la personne, jusqu</w:t>
      </w:r>
      <w:r w:rsidR="00C03762">
        <w:rPr>
          <w:lang w:val="fr-CA"/>
        </w:rPr>
        <w:t>’</w:t>
      </w:r>
      <w:r w:rsidR="008C3D0D" w:rsidRPr="0075185A">
        <w:rPr>
          <w:lang w:val="fr-CA"/>
        </w:rPr>
        <w:t>à ce qu</w:t>
      </w:r>
      <w:r w:rsidR="00C03762">
        <w:rPr>
          <w:lang w:val="fr-CA"/>
        </w:rPr>
        <w:t>’</w:t>
      </w:r>
      <w:r w:rsidR="008C3D0D" w:rsidRPr="0075185A">
        <w:rPr>
          <w:lang w:val="fr-CA"/>
        </w:rPr>
        <w:t xml:space="preserve">il soit versé au receveur général ou retiré en application du paragraphe (2). </w:t>
      </w:r>
    </w:p>
    <w:p w:rsidR="008C3D0D" w:rsidRPr="00393D65" w:rsidRDefault="008C3D0D" w:rsidP="008C3D0D">
      <w:pPr>
        <w:pStyle w:val="ListParagraph"/>
        <w:tabs>
          <w:tab w:val="left" w:pos="1170"/>
        </w:tabs>
        <w:ind w:left="1166"/>
        <w:jc w:val="both"/>
        <w:rPr>
          <w:lang w:val="fr-CA"/>
        </w:rPr>
      </w:pPr>
    </w:p>
    <w:p w:rsidR="008C3D0D" w:rsidRPr="00393D65" w:rsidRDefault="008C3D0D" w:rsidP="008C3D0D">
      <w:pPr>
        <w:pStyle w:val="ListParagraph"/>
        <w:tabs>
          <w:tab w:val="left" w:pos="1170"/>
        </w:tabs>
        <w:ind w:left="1166"/>
        <w:jc w:val="center"/>
        <w:rPr>
          <w:lang w:val="fr-CA"/>
        </w:rPr>
      </w:pPr>
      <w:r w:rsidRPr="00393D65">
        <w:rPr>
          <w:lang w:val="fr-CA"/>
        </w:rPr>
        <w:t>. . .</w:t>
      </w:r>
    </w:p>
    <w:p w:rsidR="008C3D0D" w:rsidRPr="00393D65" w:rsidRDefault="008C3D0D" w:rsidP="008C3D0D">
      <w:pPr>
        <w:pStyle w:val="secsubsec"/>
        <w:shd w:val="clear" w:color="auto" w:fill="FFFFFF"/>
        <w:tabs>
          <w:tab w:val="left" w:pos="1620"/>
        </w:tabs>
        <w:ind w:left="1166" w:firstLine="0"/>
        <w:jc w:val="both"/>
        <w:rPr>
          <w:rFonts w:ascii="Times New Roman" w:hAnsi="Times New Roman"/>
          <w:color w:val="000000"/>
        </w:rPr>
      </w:pPr>
      <w:r w:rsidRPr="00393D65">
        <w:rPr>
          <w:rFonts w:ascii="Times New Roman" w:hAnsi="Times New Roman"/>
        </w:rPr>
        <w:tab/>
        <w:t>(3)  </w:t>
      </w:r>
      <w:r w:rsidRPr="00393D65">
        <w:rPr>
          <w:rFonts w:ascii="Times New Roman" w:hAnsi="Times New Roman"/>
          <w:color w:val="000000"/>
          <w:u w:val="single"/>
        </w:rPr>
        <w:t>Malgré</w:t>
      </w:r>
      <w:r w:rsidRPr="00393D65">
        <w:rPr>
          <w:rFonts w:ascii="Times New Roman" w:hAnsi="Times New Roman"/>
          <w:color w:val="000000"/>
        </w:rPr>
        <w:t xml:space="preserve"> les autres dispositions de la présente loi (sauf le paragraphe (4) du présent article), </w:t>
      </w:r>
      <w:r w:rsidRPr="00393D65">
        <w:rPr>
          <w:rFonts w:ascii="Times New Roman" w:hAnsi="Times New Roman"/>
          <w:color w:val="000000"/>
          <w:u w:val="single"/>
        </w:rPr>
        <w:t xml:space="preserve">tout autre texte législatif fédéral (sauf la </w:t>
      </w:r>
      <w:r w:rsidRPr="00393D65">
        <w:rPr>
          <w:rFonts w:ascii="Times New Roman" w:hAnsi="Times New Roman"/>
          <w:i/>
          <w:color w:val="000000"/>
          <w:u w:val="single"/>
        </w:rPr>
        <w:t>Loi sur la faillite et l</w:t>
      </w:r>
      <w:r w:rsidR="00C03762">
        <w:rPr>
          <w:rFonts w:ascii="Times New Roman" w:hAnsi="Times New Roman"/>
          <w:i/>
          <w:color w:val="000000"/>
          <w:u w:val="single"/>
        </w:rPr>
        <w:t>’</w:t>
      </w:r>
      <w:r w:rsidRPr="00393D65">
        <w:rPr>
          <w:rFonts w:ascii="Times New Roman" w:hAnsi="Times New Roman"/>
          <w:i/>
          <w:color w:val="000000"/>
          <w:u w:val="single"/>
        </w:rPr>
        <w:t>insolvabilité</w:t>
      </w:r>
      <w:r w:rsidRPr="00393D65">
        <w:rPr>
          <w:rFonts w:ascii="Times New Roman" w:hAnsi="Times New Roman"/>
          <w:color w:val="000000"/>
          <w:u w:val="single"/>
        </w:rPr>
        <w:t>)</w:t>
      </w:r>
      <w:r w:rsidRPr="00393D65">
        <w:rPr>
          <w:rFonts w:ascii="Times New Roman" w:hAnsi="Times New Roman"/>
          <w:color w:val="000000"/>
        </w:rPr>
        <w:t xml:space="preserve">, tout texte législatif provincial ou toute autre règle de droit, </w:t>
      </w:r>
      <w:r w:rsidRPr="00393D65">
        <w:rPr>
          <w:rFonts w:ascii="Times New Roman" w:hAnsi="Times New Roman"/>
          <w:color w:val="000000"/>
          <w:u w:val="single"/>
        </w:rPr>
        <w:t>lorsqu</w:t>
      </w:r>
      <w:r w:rsidR="00C03762">
        <w:rPr>
          <w:rFonts w:ascii="Times New Roman" w:hAnsi="Times New Roman"/>
          <w:color w:val="000000"/>
          <w:u w:val="single"/>
        </w:rPr>
        <w:t>’</w:t>
      </w:r>
      <w:r w:rsidRPr="00393D65">
        <w:rPr>
          <w:rFonts w:ascii="Times New Roman" w:hAnsi="Times New Roman"/>
          <w:color w:val="000000"/>
          <w:u w:val="single"/>
        </w:rPr>
        <w:t>un montant qu</w:t>
      </w:r>
      <w:r w:rsidR="00C03762">
        <w:rPr>
          <w:rFonts w:ascii="Times New Roman" w:hAnsi="Times New Roman"/>
          <w:color w:val="000000"/>
          <w:u w:val="single"/>
        </w:rPr>
        <w:t>’</w:t>
      </w:r>
      <w:r w:rsidRPr="00393D65">
        <w:rPr>
          <w:rFonts w:ascii="Times New Roman" w:hAnsi="Times New Roman"/>
          <w:color w:val="000000"/>
          <w:u w:val="single"/>
        </w:rPr>
        <w:t>une personne est réputée</w:t>
      </w:r>
      <w:r w:rsidRPr="00393D65">
        <w:rPr>
          <w:rFonts w:ascii="Times New Roman" w:hAnsi="Times New Roman"/>
          <w:color w:val="000000"/>
        </w:rPr>
        <w:t xml:space="preserve"> par le paragraphe (1) </w:t>
      </w:r>
      <w:r w:rsidRPr="00393D65">
        <w:rPr>
          <w:rFonts w:ascii="Times New Roman" w:hAnsi="Times New Roman"/>
          <w:color w:val="000000"/>
          <w:u w:val="single"/>
        </w:rPr>
        <w:t xml:space="preserve">détenir en fiducie pour Sa Majesté du chef du </w:t>
      </w:r>
      <w:r w:rsidRPr="00393D65">
        <w:rPr>
          <w:rFonts w:ascii="Times New Roman" w:hAnsi="Times New Roman"/>
          <w:color w:val="000000"/>
          <w:u w:val="single"/>
        </w:rPr>
        <w:lastRenderedPageBreak/>
        <w:t>Canada n</w:t>
      </w:r>
      <w:r w:rsidR="00C03762">
        <w:rPr>
          <w:rFonts w:ascii="Times New Roman" w:hAnsi="Times New Roman"/>
          <w:color w:val="000000"/>
          <w:u w:val="single"/>
        </w:rPr>
        <w:t>’</w:t>
      </w:r>
      <w:r w:rsidRPr="00393D65">
        <w:rPr>
          <w:rFonts w:ascii="Times New Roman" w:hAnsi="Times New Roman"/>
          <w:color w:val="000000"/>
          <w:u w:val="single"/>
        </w:rPr>
        <w:t>est pas versé</w:t>
      </w:r>
      <w:r w:rsidRPr="00393D65">
        <w:rPr>
          <w:rFonts w:ascii="Times New Roman" w:hAnsi="Times New Roman"/>
          <w:color w:val="000000"/>
        </w:rPr>
        <w:t xml:space="preserve"> au receveur général ni retiré selon les modalités et dans le délai prévus par la présente partie, </w:t>
      </w:r>
      <w:r w:rsidRPr="00393D65">
        <w:rPr>
          <w:rFonts w:ascii="Times New Roman" w:hAnsi="Times New Roman"/>
          <w:color w:val="000000"/>
          <w:u w:val="single"/>
        </w:rPr>
        <w:t>les biens de la personne</w:t>
      </w:r>
      <w:r w:rsidRPr="00393D65">
        <w:rPr>
          <w:rFonts w:ascii="Times New Roman" w:hAnsi="Times New Roman"/>
          <w:color w:val="000000"/>
        </w:rPr>
        <w:t xml:space="preserve"> — y compris les biens détenus par ses créanciers garantis qui, en l</w:t>
      </w:r>
      <w:r w:rsidR="00C03762">
        <w:rPr>
          <w:rFonts w:ascii="Times New Roman" w:hAnsi="Times New Roman"/>
          <w:color w:val="000000"/>
        </w:rPr>
        <w:t>’</w:t>
      </w:r>
      <w:r w:rsidRPr="00393D65">
        <w:rPr>
          <w:rFonts w:ascii="Times New Roman" w:hAnsi="Times New Roman"/>
          <w:color w:val="000000"/>
        </w:rPr>
        <w:t xml:space="preserve">absence du droit en garantie, seraient ses biens — </w:t>
      </w:r>
      <w:r w:rsidRPr="00393D65">
        <w:rPr>
          <w:rFonts w:ascii="Times New Roman" w:hAnsi="Times New Roman"/>
          <w:color w:val="000000"/>
          <w:u w:val="single"/>
        </w:rPr>
        <w:t>d</w:t>
      </w:r>
      <w:r w:rsidR="00C03762">
        <w:rPr>
          <w:rFonts w:ascii="Times New Roman" w:hAnsi="Times New Roman"/>
          <w:color w:val="000000"/>
          <w:u w:val="single"/>
        </w:rPr>
        <w:t>’</w:t>
      </w:r>
      <w:r w:rsidRPr="00393D65">
        <w:rPr>
          <w:rFonts w:ascii="Times New Roman" w:hAnsi="Times New Roman"/>
          <w:color w:val="000000"/>
          <w:u w:val="single"/>
        </w:rPr>
        <w:t>une valeur égale à ce montant sont réputés</w:t>
      </w:r>
      <w:r w:rsidRPr="00393D65">
        <w:rPr>
          <w:rFonts w:ascii="Times New Roman" w:hAnsi="Times New Roman"/>
          <w:color w:val="000000"/>
        </w:rPr>
        <w:t> :</w:t>
      </w:r>
    </w:p>
    <w:p w:rsidR="008C3D0D" w:rsidRPr="00393D65" w:rsidRDefault="008C3D0D" w:rsidP="00882EF3">
      <w:pPr>
        <w:pStyle w:val="secsubsec"/>
        <w:shd w:val="clear" w:color="auto" w:fill="FFFFFF"/>
        <w:ind w:left="1530" w:firstLine="0"/>
        <w:jc w:val="both"/>
        <w:rPr>
          <w:rFonts w:ascii="Times New Roman" w:hAnsi="Times New Roman"/>
          <w:color w:val="000000"/>
        </w:rPr>
      </w:pPr>
    </w:p>
    <w:p w:rsidR="008C3D0D" w:rsidRPr="00393D65" w:rsidRDefault="008C3D0D" w:rsidP="00882EF3">
      <w:pPr>
        <w:shd w:val="clear" w:color="auto" w:fill="FFFFFF"/>
        <w:ind w:left="1620"/>
        <w:jc w:val="both"/>
        <w:rPr>
          <w:color w:val="000000"/>
        </w:rPr>
      </w:pPr>
      <w:r w:rsidRPr="00393D65">
        <w:rPr>
          <w:i/>
          <w:color w:val="000000"/>
        </w:rPr>
        <w:t>a</w:t>
      </w:r>
      <w:r w:rsidRPr="00393D65">
        <w:rPr>
          <w:color w:val="000000"/>
        </w:rPr>
        <w:t>)  </w:t>
      </w:r>
      <w:r w:rsidRPr="00393D65">
        <w:rPr>
          <w:color w:val="000000"/>
          <w:u w:val="single"/>
        </w:rPr>
        <w:t>être détenus en fiducie pour Sa Majesté du chef du Canada</w:t>
      </w:r>
      <w:r w:rsidRPr="00393D65">
        <w:rPr>
          <w:color w:val="000000"/>
        </w:rPr>
        <w:t>, à compter du moment où le montant est perçu par la personne, séparés des propres biens de la personne, qu</w:t>
      </w:r>
      <w:r w:rsidR="00C03762">
        <w:rPr>
          <w:color w:val="000000"/>
        </w:rPr>
        <w:t>’</w:t>
      </w:r>
      <w:r w:rsidRPr="00393D65">
        <w:rPr>
          <w:color w:val="000000"/>
        </w:rPr>
        <w:t>ils soient ou non assujettis à un droit en garantie;</w:t>
      </w:r>
    </w:p>
    <w:p w:rsidR="008C3D0D" w:rsidRPr="00393D65" w:rsidRDefault="008C3D0D" w:rsidP="008C3D0D">
      <w:pPr>
        <w:shd w:val="clear" w:color="auto" w:fill="FFFFFF"/>
        <w:ind w:left="1166"/>
        <w:jc w:val="both"/>
        <w:rPr>
          <w:color w:val="000000"/>
        </w:rPr>
      </w:pPr>
    </w:p>
    <w:p w:rsidR="008C3D0D" w:rsidRPr="00393D65" w:rsidRDefault="008C3D0D" w:rsidP="008C3D0D">
      <w:pPr>
        <w:shd w:val="clear" w:color="auto" w:fill="FFFFFF"/>
        <w:ind w:left="1166"/>
        <w:jc w:val="center"/>
        <w:rPr>
          <w:color w:val="000000"/>
        </w:rPr>
      </w:pPr>
      <w:r w:rsidRPr="00393D65">
        <w:rPr>
          <w:color w:val="000000"/>
        </w:rPr>
        <w:t>. . .</w:t>
      </w:r>
    </w:p>
    <w:p w:rsidR="008C3D0D" w:rsidRPr="00393D65" w:rsidRDefault="008C3D0D" w:rsidP="008C3D0D">
      <w:pPr>
        <w:shd w:val="clear" w:color="auto" w:fill="FFFFFF"/>
        <w:ind w:left="1166"/>
        <w:jc w:val="both"/>
        <w:rPr>
          <w:color w:val="000000"/>
        </w:rPr>
      </w:pPr>
    </w:p>
    <w:p w:rsidR="008C3D0D" w:rsidRPr="00393D65" w:rsidRDefault="008C3D0D" w:rsidP="008C3D0D">
      <w:pPr>
        <w:shd w:val="clear" w:color="auto" w:fill="FFFFFF"/>
        <w:spacing w:after="720"/>
        <w:ind w:left="1166"/>
        <w:jc w:val="both"/>
        <w:rPr>
          <w:color w:val="000000"/>
        </w:rPr>
      </w:pPr>
      <w:r w:rsidRPr="00393D65">
        <w:rPr>
          <w:color w:val="000000"/>
        </w:rPr>
        <w:t>. . . et le produit découlant de ces biens est payé au receveur général par priorité sur tout droit en garantie.</w:t>
      </w:r>
    </w:p>
    <w:p w:rsidR="008C3D0D" w:rsidRPr="00393D65" w:rsidRDefault="008C3D0D" w:rsidP="008C3D0D">
      <w:pPr>
        <w:pStyle w:val="ListParagraph"/>
        <w:numPr>
          <w:ilvl w:val="0"/>
          <w:numId w:val="33"/>
        </w:numPr>
        <w:tabs>
          <w:tab w:val="left" w:pos="1170"/>
        </w:tabs>
        <w:spacing w:line="480" w:lineRule="auto"/>
        <w:ind w:left="0" w:firstLine="0"/>
        <w:jc w:val="both"/>
        <w:rPr>
          <w:lang w:val="fr-CA"/>
        </w:rPr>
      </w:pPr>
      <w:r w:rsidRPr="00393D65">
        <w:rPr>
          <w:lang w:val="fr-CA"/>
        </w:rPr>
        <w:t xml:space="preserve">Pourtant, aucune disposition de la </w:t>
      </w:r>
      <w:r w:rsidRPr="00393D65">
        <w:rPr>
          <w:i/>
          <w:lang w:val="fr-CA"/>
        </w:rPr>
        <w:t>LACC</w:t>
      </w:r>
      <w:r w:rsidRPr="00393D65">
        <w:rPr>
          <w:lang w:val="fr-CA"/>
        </w:rPr>
        <w:t xml:space="preserve"> ne prévoit le maintien en vigueur de la fiducie réputée une fois que la </w:t>
      </w:r>
      <w:r w:rsidRPr="00393D65">
        <w:rPr>
          <w:i/>
          <w:lang w:val="fr-CA"/>
        </w:rPr>
        <w:t>LACC</w:t>
      </w:r>
      <w:r w:rsidRPr="00393D65">
        <w:rPr>
          <w:lang w:val="fr-CA"/>
        </w:rPr>
        <w:t xml:space="preserve"> entre en jeu.</w:t>
      </w:r>
    </w:p>
    <w:p w:rsidR="008C3D0D" w:rsidRPr="00393D65" w:rsidRDefault="008C3D0D" w:rsidP="008C3D0D">
      <w:pPr>
        <w:pStyle w:val="ListParagraph"/>
        <w:tabs>
          <w:tab w:val="left" w:pos="1170"/>
        </w:tabs>
        <w:spacing w:line="480" w:lineRule="auto"/>
        <w:ind w:left="0"/>
        <w:jc w:val="both"/>
        <w:rPr>
          <w:lang w:val="fr-CA"/>
        </w:rPr>
      </w:pPr>
    </w:p>
    <w:p w:rsidR="008C3D0D" w:rsidRPr="00393D65" w:rsidRDefault="008C3D0D" w:rsidP="008C3D0D">
      <w:pPr>
        <w:pStyle w:val="ListParagraph"/>
        <w:numPr>
          <w:ilvl w:val="0"/>
          <w:numId w:val="33"/>
        </w:numPr>
        <w:tabs>
          <w:tab w:val="left" w:pos="1170"/>
        </w:tabs>
        <w:spacing w:line="480" w:lineRule="auto"/>
        <w:ind w:left="0" w:firstLine="0"/>
        <w:jc w:val="both"/>
        <w:rPr>
          <w:lang w:val="fr-CA"/>
        </w:rPr>
      </w:pPr>
      <w:r w:rsidRPr="00393D65">
        <w:rPr>
          <w:lang w:val="fr-CA"/>
        </w:rPr>
        <w:t xml:space="preserve">En résumé, le législateur a imposé </w:t>
      </w:r>
      <w:r w:rsidRPr="00393D65">
        <w:rPr>
          <w:i/>
          <w:lang w:val="fr-CA"/>
        </w:rPr>
        <w:t xml:space="preserve">deux </w:t>
      </w:r>
      <w:r w:rsidRPr="00393D65">
        <w:rPr>
          <w:lang w:val="fr-CA"/>
        </w:rPr>
        <w:t xml:space="preserve">conditions explicites ― ou « composantes de base » ― devant être réunies pour que survivent, sous le régime de la </w:t>
      </w:r>
      <w:r w:rsidRPr="00393D65">
        <w:rPr>
          <w:i/>
          <w:lang w:val="fr-CA"/>
        </w:rPr>
        <w:t>LACC</w:t>
      </w:r>
      <w:r w:rsidRPr="00393D65">
        <w:rPr>
          <w:lang w:val="fr-CA"/>
        </w:rPr>
        <w:t xml:space="preserve">, les fiducies réputées qui ont été établies par la </w:t>
      </w:r>
      <w:r w:rsidRPr="00393D65">
        <w:rPr>
          <w:i/>
          <w:lang w:val="fr-CA"/>
        </w:rPr>
        <w:t>LIR</w:t>
      </w:r>
      <w:r w:rsidRPr="00393D65">
        <w:rPr>
          <w:lang w:val="fr-CA"/>
        </w:rPr>
        <w:t xml:space="preserve">, le </w:t>
      </w:r>
      <w:r w:rsidRPr="00393D65">
        <w:rPr>
          <w:i/>
          <w:lang w:val="fr-CA"/>
        </w:rPr>
        <w:t>RPC</w:t>
      </w:r>
      <w:r w:rsidRPr="00393D65">
        <w:rPr>
          <w:lang w:val="fr-CA"/>
        </w:rPr>
        <w:t xml:space="preserve"> et la </w:t>
      </w:r>
      <w:r w:rsidRPr="00393D65">
        <w:rPr>
          <w:i/>
          <w:lang w:val="fr-CA"/>
        </w:rPr>
        <w:t>LAE</w:t>
      </w:r>
      <w:r w:rsidRPr="00393D65">
        <w:rPr>
          <w:lang w:val="fr-CA"/>
        </w:rPr>
        <w:t>.  S</w:t>
      </w:r>
      <w:r w:rsidR="00C03762">
        <w:rPr>
          <w:lang w:val="fr-CA"/>
        </w:rPr>
        <w:t>’</w:t>
      </w:r>
      <w:r w:rsidRPr="00393D65">
        <w:rPr>
          <w:lang w:val="fr-CA"/>
        </w:rPr>
        <w:t xml:space="preserve">il avait voulu préserver de la même façon, sous le régime de la </w:t>
      </w:r>
      <w:r w:rsidRPr="00393D65">
        <w:rPr>
          <w:i/>
          <w:lang w:val="fr-CA"/>
        </w:rPr>
        <w:t>LACC</w:t>
      </w:r>
      <w:r w:rsidRPr="00393D65">
        <w:rPr>
          <w:lang w:val="fr-CA"/>
        </w:rPr>
        <w:t xml:space="preserve">, les fiducies réputées qui sont établies par la </w:t>
      </w:r>
      <w:r w:rsidRPr="00393D65">
        <w:rPr>
          <w:i/>
          <w:lang w:val="fr-CA"/>
        </w:rPr>
        <w:t>LTA</w:t>
      </w:r>
      <w:r w:rsidRPr="00393D65">
        <w:rPr>
          <w:lang w:val="fr-CA"/>
        </w:rPr>
        <w:t xml:space="preserve">, il aurait inséré dans la </w:t>
      </w:r>
      <w:r w:rsidRPr="00393D65">
        <w:rPr>
          <w:i/>
          <w:lang w:val="fr-CA"/>
        </w:rPr>
        <w:t>LACC</w:t>
      </w:r>
      <w:r w:rsidRPr="00393D65">
        <w:rPr>
          <w:lang w:val="fr-CA"/>
        </w:rPr>
        <w:t xml:space="preserve"> le type de disposition confirmatoire qui maintient explicitement en vigueur d</w:t>
      </w:r>
      <w:r w:rsidR="00C03762">
        <w:rPr>
          <w:lang w:val="fr-CA"/>
        </w:rPr>
        <w:t>’</w:t>
      </w:r>
      <w:r w:rsidRPr="00393D65">
        <w:rPr>
          <w:lang w:val="fr-CA"/>
        </w:rPr>
        <w:t xml:space="preserve">autres fiducies réputées. </w:t>
      </w:r>
    </w:p>
    <w:p w:rsidR="008C3D0D" w:rsidRPr="00393D65" w:rsidRDefault="008C3D0D" w:rsidP="008C3D0D">
      <w:pPr>
        <w:pStyle w:val="ListParagraph"/>
        <w:tabs>
          <w:tab w:val="left" w:pos="1170"/>
        </w:tabs>
        <w:spacing w:line="480" w:lineRule="auto"/>
        <w:ind w:left="0"/>
        <w:jc w:val="both"/>
        <w:rPr>
          <w:lang w:val="fr-CA"/>
        </w:rPr>
      </w:pPr>
    </w:p>
    <w:p w:rsidR="008C3D0D" w:rsidRPr="00393D65" w:rsidRDefault="008C3D0D" w:rsidP="008C3D0D">
      <w:pPr>
        <w:pStyle w:val="ListParagraph"/>
        <w:numPr>
          <w:ilvl w:val="0"/>
          <w:numId w:val="33"/>
        </w:numPr>
        <w:tabs>
          <w:tab w:val="left" w:pos="1170"/>
        </w:tabs>
        <w:spacing w:line="480" w:lineRule="auto"/>
        <w:ind w:left="0" w:firstLine="0"/>
        <w:jc w:val="both"/>
        <w:rPr>
          <w:lang w:val="fr-CA"/>
        </w:rPr>
      </w:pPr>
      <w:r w:rsidRPr="00393D65">
        <w:rPr>
          <w:lang w:val="fr-CA"/>
        </w:rPr>
        <w:t>Avec égards pour l</w:t>
      </w:r>
      <w:r w:rsidR="00C03762">
        <w:rPr>
          <w:lang w:val="fr-CA"/>
        </w:rPr>
        <w:t>’</w:t>
      </w:r>
      <w:r w:rsidRPr="00393D65">
        <w:rPr>
          <w:lang w:val="fr-CA"/>
        </w:rPr>
        <w:t>opinion contraire exprimée par le juge Tysoe de la Cour d</w:t>
      </w:r>
      <w:r w:rsidR="00C03762">
        <w:rPr>
          <w:lang w:val="fr-CA"/>
        </w:rPr>
        <w:t>’</w:t>
      </w:r>
      <w:r w:rsidRPr="00393D65">
        <w:rPr>
          <w:lang w:val="fr-CA"/>
        </w:rPr>
        <w:t>appel, je ne trouve pas [</w:t>
      </w:r>
      <w:r w:rsidRPr="00393D65">
        <w:rPr>
          <w:smallCaps/>
          <w:lang w:val="fr-CA"/>
        </w:rPr>
        <w:t>traduction</w:t>
      </w:r>
      <w:r w:rsidRPr="00393D65">
        <w:rPr>
          <w:lang w:val="fr-CA"/>
        </w:rPr>
        <w:t>] « inconcevable que le législateur, lorsqu</w:t>
      </w:r>
      <w:r w:rsidR="00C03762">
        <w:rPr>
          <w:lang w:val="fr-CA"/>
        </w:rPr>
        <w:t>’</w:t>
      </w:r>
      <w:r w:rsidRPr="00393D65">
        <w:rPr>
          <w:lang w:val="fr-CA"/>
        </w:rPr>
        <w:t xml:space="preserve">il a adopté la version actuelle du par. 222(3) de la </w:t>
      </w:r>
      <w:r w:rsidRPr="00393D65">
        <w:rPr>
          <w:i/>
          <w:lang w:val="fr-CA"/>
        </w:rPr>
        <w:t>LTA</w:t>
      </w:r>
      <w:r w:rsidRPr="00393D65">
        <w:rPr>
          <w:lang w:val="fr-CA"/>
        </w:rPr>
        <w:t xml:space="preserve">, ait désigné </w:t>
      </w:r>
      <w:r w:rsidRPr="00393D65">
        <w:rPr>
          <w:lang w:val="fr-CA"/>
        </w:rPr>
        <w:lastRenderedPageBreak/>
        <w:t xml:space="preserve">expressément la </w:t>
      </w:r>
      <w:r w:rsidRPr="00393D65">
        <w:rPr>
          <w:i/>
          <w:lang w:val="fr-CA"/>
        </w:rPr>
        <w:t>LFI</w:t>
      </w:r>
      <w:r w:rsidRPr="00393D65">
        <w:rPr>
          <w:lang w:val="fr-CA"/>
        </w:rPr>
        <w:t xml:space="preserve"> comme une exception sans envisager que la </w:t>
      </w:r>
      <w:r w:rsidRPr="00393D65">
        <w:rPr>
          <w:i/>
          <w:lang w:val="fr-CA"/>
        </w:rPr>
        <w:t>LACC</w:t>
      </w:r>
      <w:r w:rsidRPr="00393D65">
        <w:rPr>
          <w:lang w:val="fr-CA"/>
        </w:rPr>
        <w:t xml:space="preserve"> puisse constituer une deuxième exception » (2009 BCCA 205, 98 B.C.L.R. (4th) 242, par. 37).  </w:t>
      </w:r>
      <w:r w:rsidRPr="00393D65">
        <w:rPr>
          <w:i/>
          <w:lang w:val="fr-CA"/>
        </w:rPr>
        <w:t>Toutes</w:t>
      </w:r>
      <w:r w:rsidRPr="00393D65">
        <w:rPr>
          <w:lang w:val="fr-CA"/>
        </w:rPr>
        <w:t xml:space="preserve"> les dispositions établissant des fiducies réputées qui sont reproduites ci-dessus font explicitement mention de la </w:t>
      </w:r>
      <w:r w:rsidRPr="00393D65">
        <w:rPr>
          <w:i/>
          <w:lang w:val="fr-CA"/>
        </w:rPr>
        <w:t>LFI</w:t>
      </w:r>
      <w:r w:rsidRPr="00393D65">
        <w:rPr>
          <w:lang w:val="fr-CA"/>
        </w:rPr>
        <w:t>.  L</w:t>
      </w:r>
      <w:r w:rsidR="00C03762">
        <w:rPr>
          <w:lang w:val="fr-CA"/>
        </w:rPr>
        <w:t>’</w:t>
      </w:r>
      <w:r w:rsidRPr="00393D65">
        <w:rPr>
          <w:lang w:val="fr-CA"/>
        </w:rPr>
        <w:t xml:space="preserve">article 222 de la </w:t>
      </w:r>
      <w:r w:rsidRPr="00393D65">
        <w:rPr>
          <w:i/>
          <w:lang w:val="fr-CA"/>
        </w:rPr>
        <w:t xml:space="preserve">LTA </w:t>
      </w:r>
      <w:r w:rsidRPr="00393D65">
        <w:rPr>
          <w:lang w:val="fr-CA"/>
        </w:rPr>
        <w:t>ne rompt pas avec ce modèle. Compte tenu du libellé presque identique des quatre dispositions établissant une fiducie réputée, il aurait d</w:t>
      </w:r>
      <w:r w:rsidR="00C03762">
        <w:rPr>
          <w:lang w:val="fr-CA"/>
        </w:rPr>
        <w:t>’</w:t>
      </w:r>
      <w:r w:rsidRPr="00393D65">
        <w:rPr>
          <w:lang w:val="fr-CA"/>
        </w:rPr>
        <w:t xml:space="preserve">ailleurs été étonnant que le législateur ne fasse aucune mention de la </w:t>
      </w:r>
      <w:r w:rsidRPr="00393D65">
        <w:rPr>
          <w:i/>
          <w:lang w:val="fr-CA"/>
        </w:rPr>
        <w:t>LFI</w:t>
      </w:r>
      <w:r w:rsidRPr="00393D65">
        <w:rPr>
          <w:lang w:val="fr-CA"/>
        </w:rPr>
        <w:t xml:space="preserve"> dans la </w:t>
      </w:r>
      <w:r w:rsidRPr="00393D65">
        <w:rPr>
          <w:i/>
          <w:lang w:val="fr-CA"/>
        </w:rPr>
        <w:t>LTA</w:t>
      </w:r>
      <w:r w:rsidRPr="00393D65">
        <w:rPr>
          <w:lang w:val="fr-CA"/>
        </w:rPr>
        <w:t xml:space="preserve">. </w:t>
      </w:r>
    </w:p>
    <w:p w:rsidR="008C3D0D" w:rsidRPr="00393D65" w:rsidRDefault="008C3D0D" w:rsidP="008C3D0D">
      <w:pPr>
        <w:pStyle w:val="ListParagraph"/>
        <w:tabs>
          <w:tab w:val="left" w:pos="1170"/>
        </w:tabs>
        <w:spacing w:line="480" w:lineRule="auto"/>
        <w:ind w:left="0"/>
        <w:jc w:val="both"/>
        <w:rPr>
          <w:lang w:val="fr-CA"/>
        </w:rPr>
      </w:pPr>
    </w:p>
    <w:p w:rsidR="008C3D0D" w:rsidRPr="00393D65" w:rsidRDefault="008C3D0D" w:rsidP="008C3D0D">
      <w:pPr>
        <w:pStyle w:val="ListParagraph"/>
        <w:numPr>
          <w:ilvl w:val="0"/>
          <w:numId w:val="33"/>
        </w:numPr>
        <w:tabs>
          <w:tab w:val="left" w:pos="1170"/>
        </w:tabs>
        <w:spacing w:line="480" w:lineRule="auto"/>
        <w:ind w:left="0" w:firstLine="0"/>
        <w:jc w:val="both"/>
        <w:rPr>
          <w:lang w:val="fr-CA"/>
        </w:rPr>
      </w:pPr>
      <w:r w:rsidRPr="00393D65">
        <w:rPr>
          <w:lang w:val="fr-CA"/>
        </w:rPr>
        <w:t>L</w:t>
      </w:r>
      <w:r w:rsidR="00C03762">
        <w:rPr>
          <w:lang w:val="fr-CA"/>
        </w:rPr>
        <w:t>’</w:t>
      </w:r>
      <w:r w:rsidRPr="00393D65">
        <w:rPr>
          <w:lang w:val="fr-CA"/>
        </w:rPr>
        <w:t>intention du législateur était manifestement de rendre inopérantes les fiducies réputées visant la TPS dès l</w:t>
      </w:r>
      <w:r w:rsidR="00C03762">
        <w:rPr>
          <w:lang w:val="fr-CA"/>
        </w:rPr>
        <w:t>’</w:t>
      </w:r>
      <w:r w:rsidRPr="00393D65">
        <w:rPr>
          <w:lang w:val="fr-CA"/>
        </w:rPr>
        <w:t>introduction d</w:t>
      </w:r>
      <w:r w:rsidR="00C03762">
        <w:rPr>
          <w:lang w:val="fr-CA"/>
        </w:rPr>
        <w:t>’</w:t>
      </w:r>
      <w:r w:rsidRPr="00393D65">
        <w:rPr>
          <w:lang w:val="fr-CA"/>
        </w:rPr>
        <w:t>une procédure d</w:t>
      </w:r>
      <w:r w:rsidR="00C03762">
        <w:rPr>
          <w:lang w:val="fr-CA"/>
        </w:rPr>
        <w:t>’</w:t>
      </w:r>
      <w:r w:rsidRPr="00393D65">
        <w:rPr>
          <w:lang w:val="fr-CA"/>
        </w:rPr>
        <w:t>insolvabilité.  Par conséquent, l</w:t>
      </w:r>
      <w:r w:rsidR="00C03762">
        <w:rPr>
          <w:lang w:val="fr-CA"/>
        </w:rPr>
        <w:t>’</w:t>
      </w:r>
      <w:r w:rsidRPr="00393D65">
        <w:rPr>
          <w:lang w:val="fr-CA"/>
        </w:rPr>
        <w:t xml:space="preserve">art. 222 mentionne la </w:t>
      </w:r>
      <w:r w:rsidRPr="00393D65">
        <w:rPr>
          <w:i/>
          <w:lang w:val="fr-CA"/>
        </w:rPr>
        <w:t xml:space="preserve">LFI </w:t>
      </w:r>
      <w:r w:rsidRPr="00393D65">
        <w:rPr>
          <w:lang w:val="fr-CA"/>
        </w:rPr>
        <w:t>de manière à l</w:t>
      </w:r>
      <w:r w:rsidR="00C03762">
        <w:rPr>
          <w:lang w:val="fr-CA"/>
        </w:rPr>
        <w:t>’</w:t>
      </w:r>
      <w:r w:rsidRPr="00393D65">
        <w:rPr>
          <w:i/>
          <w:lang w:val="fr-CA"/>
        </w:rPr>
        <w:t xml:space="preserve">exclure </w:t>
      </w:r>
      <w:r w:rsidRPr="00393D65">
        <w:rPr>
          <w:lang w:val="fr-CA"/>
        </w:rPr>
        <w:t>de son champ d</w:t>
      </w:r>
      <w:r w:rsidR="00C03762">
        <w:rPr>
          <w:lang w:val="fr-CA"/>
        </w:rPr>
        <w:t>’</w:t>
      </w:r>
      <w:r w:rsidRPr="00393D65">
        <w:rPr>
          <w:lang w:val="fr-CA"/>
        </w:rPr>
        <w:t>application ― et non de l</w:t>
      </w:r>
      <w:r w:rsidR="00C03762">
        <w:rPr>
          <w:lang w:val="fr-CA"/>
        </w:rPr>
        <w:t>’</w:t>
      </w:r>
      <w:r w:rsidRPr="00393D65">
        <w:rPr>
          <w:lang w:val="fr-CA"/>
        </w:rPr>
        <w:t xml:space="preserve">y </w:t>
      </w:r>
      <w:r w:rsidRPr="00393D65">
        <w:rPr>
          <w:i/>
          <w:lang w:val="fr-CA"/>
        </w:rPr>
        <w:t>inclure</w:t>
      </w:r>
      <w:r w:rsidRPr="00393D65">
        <w:rPr>
          <w:lang w:val="fr-CA"/>
        </w:rPr>
        <w:t xml:space="preserve">, comme le font la </w:t>
      </w:r>
      <w:r w:rsidRPr="00393D65">
        <w:rPr>
          <w:i/>
          <w:lang w:val="fr-CA"/>
        </w:rPr>
        <w:t>LIR</w:t>
      </w:r>
      <w:r w:rsidRPr="00393D65">
        <w:rPr>
          <w:lang w:val="fr-CA"/>
        </w:rPr>
        <w:t xml:space="preserve">, le </w:t>
      </w:r>
      <w:r w:rsidRPr="00393D65">
        <w:rPr>
          <w:i/>
          <w:lang w:val="fr-CA"/>
        </w:rPr>
        <w:t>RPC</w:t>
      </w:r>
      <w:r w:rsidRPr="00393D65">
        <w:rPr>
          <w:lang w:val="fr-CA"/>
        </w:rPr>
        <w:t xml:space="preserve"> et la </w:t>
      </w:r>
      <w:r w:rsidRPr="00393D65">
        <w:rPr>
          <w:i/>
          <w:lang w:val="fr-CA"/>
        </w:rPr>
        <w:t>LAE</w:t>
      </w:r>
      <w:r w:rsidRPr="00393D65">
        <w:rPr>
          <w:lang w:val="fr-CA"/>
        </w:rPr>
        <w:t>.</w:t>
      </w:r>
    </w:p>
    <w:p w:rsidR="008C3D0D" w:rsidRPr="00393D65" w:rsidRDefault="008C3D0D" w:rsidP="008C3D0D">
      <w:pPr>
        <w:pStyle w:val="ListParagraph"/>
        <w:tabs>
          <w:tab w:val="left" w:pos="1170"/>
        </w:tabs>
        <w:spacing w:line="480" w:lineRule="auto"/>
        <w:ind w:left="0"/>
        <w:jc w:val="both"/>
        <w:rPr>
          <w:lang w:val="fr-CA"/>
        </w:rPr>
      </w:pPr>
    </w:p>
    <w:p w:rsidR="008C3D0D" w:rsidRPr="00393D65" w:rsidRDefault="008C3D0D" w:rsidP="008C3D0D">
      <w:pPr>
        <w:pStyle w:val="ListParagraph"/>
        <w:numPr>
          <w:ilvl w:val="0"/>
          <w:numId w:val="33"/>
        </w:numPr>
        <w:tabs>
          <w:tab w:val="left" w:pos="1170"/>
        </w:tabs>
        <w:spacing w:line="480" w:lineRule="auto"/>
        <w:ind w:left="0" w:firstLine="0"/>
        <w:jc w:val="both"/>
        <w:rPr>
          <w:lang w:val="fr-CA"/>
        </w:rPr>
      </w:pPr>
      <w:r w:rsidRPr="00393D65">
        <w:rPr>
          <w:lang w:val="fr-CA"/>
        </w:rPr>
        <w:t>En revanche, je constate qu</w:t>
      </w:r>
      <w:r w:rsidR="00C03762">
        <w:rPr>
          <w:lang w:val="fr-CA"/>
        </w:rPr>
        <w:t>’</w:t>
      </w:r>
      <w:r w:rsidRPr="00393D65">
        <w:rPr>
          <w:i/>
          <w:lang w:val="fr-CA"/>
        </w:rPr>
        <w:t>aucune</w:t>
      </w:r>
      <w:r w:rsidRPr="00393D65">
        <w:rPr>
          <w:lang w:val="fr-CA"/>
        </w:rPr>
        <w:t xml:space="preserve"> de ces lois ne mentionne expressément la </w:t>
      </w:r>
      <w:r w:rsidRPr="00393D65">
        <w:rPr>
          <w:i/>
          <w:lang w:val="fr-CA"/>
        </w:rPr>
        <w:t>LACC</w:t>
      </w:r>
      <w:r w:rsidRPr="00393D65">
        <w:rPr>
          <w:lang w:val="fr-CA"/>
        </w:rPr>
        <w:t xml:space="preserve">.  La mention explicite de la </w:t>
      </w:r>
      <w:r w:rsidRPr="00393D65">
        <w:rPr>
          <w:i/>
          <w:lang w:val="fr-CA"/>
        </w:rPr>
        <w:t>LFI</w:t>
      </w:r>
      <w:r w:rsidRPr="00393D65">
        <w:rPr>
          <w:lang w:val="fr-CA"/>
        </w:rPr>
        <w:t xml:space="preserve"> dans ces textes n</w:t>
      </w:r>
      <w:r w:rsidR="00C03762">
        <w:rPr>
          <w:lang w:val="fr-CA"/>
        </w:rPr>
        <w:t>’</w:t>
      </w:r>
      <w:r w:rsidRPr="00393D65">
        <w:rPr>
          <w:lang w:val="fr-CA"/>
        </w:rPr>
        <w:t xml:space="preserve">a aucune incidence sur leur interaction avec la </w:t>
      </w:r>
      <w:r w:rsidRPr="00393D65">
        <w:rPr>
          <w:i/>
          <w:lang w:val="fr-CA"/>
        </w:rPr>
        <w:t>LACC</w:t>
      </w:r>
      <w:r w:rsidRPr="00393D65">
        <w:rPr>
          <w:lang w:val="fr-CA"/>
        </w:rPr>
        <w:t>.  Là encore, ce sont les dispositions confirmatoires que l</w:t>
      </w:r>
      <w:r w:rsidR="00C03762">
        <w:rPr>
          <w:lang w:val="fr-CA"/>
        </w:rPr>
        <w:t>’</w:t>
      </w:r>
      <w:r w:rsidRPr="00393D65">
        <w:rPr>
          <w:lang w:val="fr-CA"/>
        </w:rPr>
        <w:t xml:space="preserve">on trouve </w:t>
      </w:r>
      <w:r w:rsidRPr="00393D65">
        <w:rPr>
          <w:i/>
          <w:lang w:val="fr-CA"/>
        </w:rPr>
        <w:t>dans les lois sur l</w:t>
      </w:r>
      <w:r w:rsidR="00C03762">
        <w:rPr>
          <w:i/>
          <w:lang w:val="fr-CA"/>
        </w:rPr>
        <w:t>’</w:t>
      </w:r>
      <w:r w:rsidRPr="00393D65">
        <w:rPr>
          <w:i/>
          <w:lang w:val="fr-CA"/>
        </w:rPr>
        <w:t>insolvabilité</w:t>
      </w:r>
      <w:r w:rsidRPr="00393D65">
        <w:rPr>
          <w:lang w:val="fr-CA"/>
        </w:rPr>
        <w:t xml:space="preserve"> qui déterminent si une fiducie réputée continuera d</w:t>
      </w:r>
      <w:r w:rsidR="00C03762">
        <w:rPr>
          <w:lang w:val="fr-CA"/>
        </w:rPr>
        <w:t>’</w:t>
      </w:r>
      <w:r w:rsidRPr="00393D65">
        <w:rPr>
          <w:lang w:val="fr-CA"/>
        </w:rPr>
        <w:t>exister durant une procédure d</w:t>
      </w:r>
      <w:r w:rsidR="00C03762">
        <w:rPr>
          <w:lang w:val="fr-CA"/>
        </w:rPr>
        <w:t>’</w:t>
      </w:r>
      <w:r w:rsidRPr="00393D65">
        <w:rPr>
          <w:lang w:val="fr-CA"/>
        </w:rPr>
        <w:t xml:space="preserve">insolvabilité. </w:t>
      </w:r>
    </w:p>
    <w:p w:rsidR="008C3D0D" w:rsidRPr="00393D65" w:rsidRDefault="008C3D0D" w:rsidP="008C3D0D">
      <w:pPr>
        <w:pStyle w:val="ListParagraph"/>
        <w:tabs>
          <w:tab w:val="left" w:pos="1170"/>
        </w:tabs>
        <w:spacing w:line="480" w:lineRule="auto"/>
        <w:ind w:left="0"/>
        <w:jc w:val="both"/>
        <w:rPr>
          <w:lang w:val="fr-CA"/>
        </w:rPr>
      </w:pPr>
    </w:p>
    <w:p w:rsidR="008C3D0D" w:rsidRPr="00393D65" w:rsidRDefault="008C3D0D" w:rsidP="00490440">
      <w:pPr>
        <w:pStyle w:val="ListParagraph"/>
        <w:numPr>
          <w:ilvl w:val="0"/>
          <w:numId w:val="33"/>
        </w:numPr>
        <w:tabs>
          <w:tab w:val="left" w:pos="1170"/>
        </w:tabs>
        <w:spacing w:after="480" w:line="480" w:lineRule="auto"/>
        <w:ind w:left="0" w:firstLine="0"/>
        <w:jc w:val="both"/>
        <w:rPr>
          <w:lang w:val="fr-CA"/>
        </w:rPr>
      </w:pPr>
      <w:r w:rsidRPr="00393D65">
        <w:rPr>
          <w:lang w:val="fr-CA"/>
        </w:rPr>
        <w:t>Enfin, j</w:t>
      </w:r>
      <w:r w:rsidR="00C03762">
        <w:rPr>
          <w:lang w:val="fr-CA"/>
        </w:rPr>
        <w:t>’</w:t>
      </w:r>
      <w:r w:rsidRPr="00393D65">
        <w:rPr>
          <w:lang w:val="fr-CA"/>
        </w:rPr>
        <w:t>estime que les juges siégeant en leur cabinet ne devraient pas, comme cela s</w:t>
      </w:r>
      <w:r w:rsidR="00C03762">
        <w:rPr>
          <w:lang w:val="fr-CA"/>
        </w:rPr>
        <w:t>’</w:t>
      </w:r>
      <w:r w:rsidRPr="00393D65">
        <w:rPr>
          <w:lang w:val="fr-CA"/>
        </w:rPr>
        <w:t>est produit en l</w:t>
      </w:r>
      <w:r w:rsidR="00C03762">
        <w:rPr>
          <w:lang w:val="fr-CA"/>
        </w:rPr>
        <w:t>’</w:t>
      </w:r>
      <w:r w:rsidRPr="00393D65">
        <w:rPr>
          <w:lang w:val="fr-CA"/>
        </w:rPr>
        <w:t>espèce, ordonner que les sommes perçues au titre de la TPS soient détenues séparément dans le compte en fiducie du contrôleur pendant le déroulement d</w:t>
      </w:r>
      <w:r w:rsidR="00C03762">
        <w:rPr>
          <w:lang w:val="fr-CA"/>
        </w:rPr>
        <w:t>’</w:t>
      </w:r>
      <w:r w:rsidRPr="00393D65">
        <w:rPr>
          <w:lang w:val="fr-CA"/>
        </w:rPr>
        <w:t xml:space="preserve">une procédure fondée sur la </w:t>
      </w:r>
      <w:r w:rsidRPr="00393D65">
        <w:rPr>
          <w:i/>
          <w:lang w:val="fr-CA"/>
        </w:rPr>
        <w:t>LACC</w:t>
      </w:r>
      <w:r w:rsidRPr="00393D65">
        <w:rPr>
          <w:lang w:val="fr-CA"/>
        </w:rPr>
        <w:t xml:space="preserve">.  Il résulte du raisonnement de la </w:t>
      </w:r>
      <w:r w:rsidRPr="00393D65">
        <w:rPr>
          <w:lang w:val="fr-CA"/>
        </w:rPr>
        <w:lastRenderedPageBreak/>
        <w:t xml:space="preserve">juge Deschamps que les réclamations de TPS deviennent des créances non garanties sous le régime de la </w:t>
      </w:r>
      <w:r w:rsidRPr="00393D65">
        <w:rPr>
          <w:i/>
          <w:lang w:val="fr-CA"/>
        </w:rPr>
        <w:t>LACC</w:t>
      </w:r>
      <w:r w:rsidRPr="00393D65">
        <w:rPr>
          <w:lang w:val="fr-CA"/>
        </w:rPr>
        <w:t>.  Le législateur a délibérément décidé de supprimer certaines superpriorités accordées à la Couronne pendant l</w:t>
      </w:r>
      <w:r w:rsidR="00C03762">
        <w:rPr>
          <w:lang w:val="fr-CA"/>
        </w:rPr>
        <w:t>’</w:t>
      </w:r>
      <w:r w:rsidRPr="00393D65">
        <w:rPr>
          <w:lang w:val="fr-CA"/>
        </w:rPr>
        <w:t>insolvabilité; nous sommes en présence de l</w:t>
      </w:r>
      <w:r w:rsidR="00C03762">
        <w:rPr>
          <w:lang w:val="fr-CA"/>
        </w:rPr>
        <w:t>’</w:t>
      </w:r>
      <w:r w:rsidRPr="00393D65">
        <w:rPr>
          <w:lang w:val="fr-CA"/>
        </w:rPr>
        <w:t>un de ces cas.</w:t>
      </w:r>
    </w:p>
    <w:p w:rsidR="008C3D0D" w:rsidRPr="00393D65" w:rsidRDefault="008C3D0D" w:rsidP="00490440">
      <w:pPr>
        <w:pStyle w:val="SCCNormalDoubleSpacing"/>
        <w:spacing w:after="480"/>
        <w:jc w:val="center"/>
      </w:pPr>
      <w:r w:rsidRPr="00393D65">
        <w:t>III</w:t>
      </w:r>
    </w:p>
    <w:p w:rsidR="008C3D0D" w:rsidRPr="00393D65" w:rsidRDefault="008C3D0D" w:rsidP="00490440">
      <w:pPr>
        <w:pStyle w:val="ListParagraph"/>
        <w:numPr>
          <w:ilvl w:val="0"/>
          <w:numId w:val="33"/>
        </w:numPr>
        <w:tabs>
          <w:tab w:val="left" w:pos="1170"/>
        </w:tabs>
        <w:spacing w:after="480" w:line="480" w:lineRule="auto"/>
        <w:ind w:left="0" w:firstLine="0"/>
        <w:jc w:val="both"/>
        <w:rPr>
          <w:lang w:val="fr-CA"/>
        </w:rPr>
      </w:pPr>
      <w:r w:rsidRPr="00393D65">
        <w:rPr>
          <w:lang w:val="fr-CA"/>
        </w:rPr>
        <w:t>Pour les motifs qui précèdent, je suis d</w:t>
      </w:r>
      <w:r w:rsidR="00C03762">
        <w:rPr>
          <w:lang w:val="fr-CA"/>
        </w:rPr>
        <w:t>’</w:t>
      </w:r>
      <w:r w:rsidRPr="00393D65">
        <w:rPr>
          <w:lang w:val="fr-CA"/>
        </w:rPr>
        <w:t>avis, à l</w:t>
      </w:r>
      <w:r w:rsidR="00C03762">
        <w:rPr>
          <w:lang w:val="fr-CA"/>
        </w:rPr>
        <w:t>’</w:t>
      </w:r>
      <w:r w:rsidRPr="00393D65">
        <w:rPr>
          <w:lang w:val="fr-CA"/>
        </w:rPr>
        <w:t>instar de la juge Deschamps, d</w:t>
      </w:r>
      <w:r w:rsidR="00C03762">
        <w:rPr>
          <w:lang w:val="fr-CA"/>
        </w:rPr>
        <w:t>’</w:t>
      </w:r>
      <w:r w:rsidRPr="00393D65">
        <w:rPr>
          <w:lang w:val="fr-CA"/>
        </w:rPr>
        <w:t>accueillir le pourvoi avec dépens devant notre Cour et devant les juridictions inférieures, et d</w:t>
      </w:r>
      <w:r w:rsidR="00C03762">
        <w:rPr>
          <w:lang w:val="fr-CA"/>
        </w:rPr>
        <w:t>’</w:t>
      </w:r>
      <w:r w:rsidRPr="00393D65">
        <w:rPr>
          <w:lang w:val="fr-CA"/>
        </w:rPr>
        <w:t>ordonner que la somme de 305 202</w:t>
      </w:r>
      <w:r w:rsidR="00882EF3">
        <w:rPr>
          <w:lang w:val="fr-CA"/>
        </w:rPr>
        <w:t>,30 $ ― qui a été perçue par LeR</w:t>
      </w:r>
      <w:r w:rsidRPr="00393D65">
        <w:rPr>
          <w:lang w:val="fr-CA"/>
        </w:rPr>
        <w:t>oy Trucking au titre de la TPS mais n</w:t>
      </w:r>
      <w:r w:rsidR="00C03762">
        <w:rPr>
          <w:lang w:val="fr-CA"/>
        </w:rPr>
        <w:t>’</w:t>
      </w:r>
      <w:r w:rsidRPr="00393D65">
        <w:rPr>
          <w:lang w:val="fr-CA"/>
        </w:rPr>
        <w:t>a pas encore été versée au receveur général du Canada ― ne fasse l</w:t>
      </w:r>
      <w:r w:rsidR="00C03762">
        <w:rPr>
          <w:lang w:val="fr-CA"/>
        </w:rPr>
        <w:t>’</w:t>
      </w:r>
      <w:r w:rsidRPr="00393D65">
        <w:rPr>
          <w:lang w:val="fr-CA"/>
        </w:rPr>
        <w:t>objet d</w:t>
      </w:r>
      <w:r w:rsidR="00C03762">
        <w:rPr>
          <w:lang w:val="fr-CA"/>
        </w:rPr>
        <w:t>’</w:t>
      </w:r>
      <w:r w:rsidRPr="00393D65">
        <w:rPr>
          <w:lang w:val="fr-CA"/>
        </w:rPr>
        <w:t xml:space="preserve">aucune fiducie réputée ou priorité en faveur de la Couronne. </w:t>
      </w:r>
    </w:p>
    <w:p w:rsidR="00490440" w:rsidRDefault="00490440" w:rsidP="00490440">
      <w:pPr>
        <w:spacing w:after="480"/>
        <w:ind w:left="720"/>
      </w:pPr>
      <w:r w:rsidRPr="00284778">
        <w:rPr>
          <w:szCs w:val="24"/>
        </w:rPr>
        <w:t>Version française des motifs rendus par</w:t>
      </w:r>
    </w:p>
    <w:p w:rsidR="008C3D0D" w:rsidRPr="00393D65" w:rsidRDefault="00490440" w:rsidP="00562BD7">
      <w:pPr>
        <w:pStyle w:val="ListParagraph"/>
        <w:numPr>
          <w:ilvl w:val="0"/>
          <w:numId w:val="34"/>
        </w:numPr>
        <w:tabs>
          <w:tab w:val="left" w:pos="1170"/>
        </w:tabs>
        <w:spacing w:after="480" w:line="480" w:lineRule="auto"/>
        <w:ind w:left="0" w:firstLine="0"/>
        <w:jc w:val="both"/>
        <w:rPr>
          <w:lang w:val="fr-CA"/>
        </w:rPr>
      </w:pPr>
      <w:r w:rsidRPr="00490440">
        <w:rPr>
          <w:smallCaps/>
          <w:lang w:val="fr-CA"/>
        </w:rPr>
        <w:t>La juge Abella</w:t>
      </w:r>
      <w:r w:rsidRPr="00490440">
        <w:rPr>
          <w:lang w:val="fr-CA"/>
        </w:rPr>
        <w:t xml:space="preserve"> (</w:t>
      </w:r>
      <w:r>
        <w:rPr>
          <w:lang w:val="fr-CA"/>
        </w:rPr>
        <w:t xml:space="preserve">dissidente) </w:t>
      </w:r>
      <w:r w:rsidRPr="00490440">
        <w:rPr>
          <w:lang w:val="fr-CA"/>
        </w:rPr>
        <w:t xml:space="preserve">— </w:t>
      </w:r>
      <w:r w:rsidR="008C3D0D" w:rsidRPr="00393D65">
        <w:rPr>
          <w:lang w:val="fr-CA"/>
        </w:rPr>
        <w:t>La question qui est au cœur du présent pourvoi est celle de savoir si l</w:t>
      </w:r>
      <w:r w:rsidR="00C03762">
        <w:rPr>
          <w:lang w:val="fr-CA"/>
        </w:rPr>
        <w:t>’</w:t>
      </w:r>
      <w:r w:rsidR="008C3D0D" w:rsidRPr="00393D65">
        <w:rPr>
          <w:lang w:val="fr-CA"/>
        </w:rPr>
        <w:t xml:space="preserve">art. 222 de la </w:t>
      </w:r>
      <w:r w:rsidR="008C3D0D" w:rsidRPr="00393D65">
        <w:rPr>
          <w:i/>
          <w:lang w:val="fr-CA"/>
        </w:rPr>
        <w:t>Loi sur la taxe d</w:t>
      </w:r>
      <w:r w:rsidR="00C03762">
        <w:rPr>
          <w:i/>
          <w:lang w:val="fr-CA"/>
        </w:rPr>
        <w:t>’</w:t>
      </w:r>
      <w:r w:rsidR="008C3D0D" w:rsidRPr="00393D65">
        <w:rPr>
          <w:i/>
          <w:lang w:val="fr-CA"/>
        </w:rPr>
        <w:t>accise</w:t>
      </w:r>
      <w:r w:rsidR="008C3D0D" w:rsidRPr="00393D65">
        <w:rPr>
          <w:lang w:val="fr-CA"/>
        </w:rPr>
        <w:t>, L.R.C. 1985, ch. E</w:t>
      </w:r>
      <w:r w:rsidR="008C3D0D" w:rsidRPr="00393D65">
        <w:rPr>
          <w:lang w:val="fr-CA"/>
        </w:rPr>
        <w:noBreakHyphen/>
        <w:t>15 (« </w:t>
      </w:r>
      <w:r w:rsidR="008C3D0D" w:rsidRPr="00393D65">
        <w:rPr>
          <w:i/>
          <w:lang w:val="fr-CA"/>
        </w:rPr>
        <w:t>LTA</w:t>
      </w:r>
      <w:r w:rsidR="008C3D0D" w:rsidRPr="00393D65">
        <w:rPr>
          <w:lang w:val="fr-CA"/>
        </w:rPr>
        <w:t> »), et plus particulièrement le par. 222(3), donnent préséance, dans le cadre d</w:t>
      </w:r>
      <w:r w:rsidR="00C03762">
        <w:rPr>
          <w:lang w:val="fr-CA"/>
        </w:rPr>
        <w:t>’</w:t>
      </w:r>
      <w:r w:rsidR="008C3D0D" w:rsidRPr="00393D65">
        <w:rPr>
          <w:lang w:val="fr-CA"/>
        </w:rPr>
        <w:t xml:space="preserve">une procédure relevant de la </w:t>
      </w:r>
      <w:r w:rsidR="008C3D0D" w:rsidRPr="00393D65">
        <w:rPr>
          <w:i/>
          <w:lang w:val="fr-CA"/>
        </w:rPr>
        <w:t>Loi sur les arrangements avec les créanciers des compagnies</w:t>
      </w:r>
      <w:r w:rsidR="008C3D0D" w:rsidRPr="00393D65">
        <w:rPr>
          <w:lang w:val="fr-CA"/>
        </w:rPr>
        <w:t>, L.R.C. 1985, ch. C</w:t>
      </w:r>
      <w:r w:rsidR="008C3D0D" w:rsidRPr="00393D65">
        <w:rPr>
          <w:lang w:val="fr-CA"/>
        </w:rPr>
        <w:noBreakHyphen/>
        <w:t>36 (« </w:t>
      </w:r>
      <w:r w:rsidR="008C3D0D" w:rsidRPr="00393D65">
        <w:rPr>
          <w:i/>
          <w:lang w:val="fr-CA"/>
        </w:rPr>
        <w:t>LACC </w:t>
      </w:r>
      <w:r w:rsidR="008C3D0D" w:rsidRPr="00393D65">
        <w:rPr>
          <w:lang w:val="fr-CA"/>
        </w:rPr>
        <w:t>»), à la fiducie réputée qui est établie en faveur de la Couronne à l</w:t>
      </w:r>
      <w:r w:rsidR="00C03762">
        <w:rPr>
          <w:lang w:val="fr-CA"/>
        </w:rPr>
        <w:t>’</w:t>
      </w:r>
      <w:r w:rsidR="008C3D0D" w:rsidRPr="00393D65">
        <w:rPr>
          <w:lang w:val="fr-CA"/>
        </w:rPr>
        <w:t>égard de la TPS non versée.  À l</w:t>
      </w:r>
      <w:r w:rsidR="00C03762">
        <w:rPr>
          <w:lang w:val="fr-CA"/>
        </w:rPr>
        <w:t>’</w:t>
      </w:r>
      <w:r w:rsidR="008C3D0D" w:rsidRPr="00393D65">
        <w:rPr>
          <w:lang w:val="fr-CA"/>
        </w:rPr>
        <w:t>instar du juge Tysoe de la Cour d</w:t>
      </w:r>
      <w:r w:rsidR="00C03762">
        <w:rPr>
          <w:lang w:val="fr-CA"/>
        </w:rPr>
        <w:t>’</w:t>
      </w:r>
      <w:r w:rsidR="008C3D0D" w:rsidRPr="00393D65">
        <w:rPr>
          <w:lang w:val="fr-CA"/>
        </w:rPr>
        <w:t>appel, j</w:t>
      </w:r>
      <w:r w:rsidR="00C03762">
        <w:rPr>
          <w:lang w:val="fr-CA"/>
        </w:rPr>
        <w:t>’</w:t>
      </w:r>
      <w:r w:rsidR="008C3D0D" w:rsidRPr="00393D65">
        <w:rPr>
          <w:lang w:val="fr-CA"/>
        </w:rPr>
        <w:t>estime que tel est le cas.  Il s</w:t>
      </w:r>
      <w:r w:rsidR="00C03762">
        <w:rPr>
          <w:lang w:val="fr-CA"/>
        </w:rPr>
        <w:t>’</w:t>
      </w:r>
      <w:r w:rsidR="008C3D0D" w:rsidRPr="00393D65">
        <w:rPr>
          <w:lang w:val="fr-CA"/>
        </w:rPr>
        <w:t xml:space="preserve">ensuit, à mon avis, que le pouvoir </w:t>
      </w:r>
      <w:r w:rsidR="008C3D0D" w:rsidRPr="00393D65">
        <w:rPr>
          <w:lang w:val="fr-CA"/>
        </w:rPr>
        <w:lastRenderedPageBreak/>
        <w:t>discrétionnaire conféré au tribunal par l</w:t>
      </w:r>
      <w:r w:rsidR="00C03762">
        <w:rPr>
          <w:lang w:val="fr-CA"/>
        </w:rPr>
        <w:t>’</w:t>
      </w:r>
      <w:r w:rsidR="008C3D0D" w:rsidRPr="00393D65">
        <w:rPr>
          <w:lang w:val="fr-CA"/>
        </w:rPr>
        <w:t xml:space="preserve">art. 11 de la </w:t>
      </w:r>
      <w:r w:rsidR="008C3D0D" w:rsidRPr="00393D65">
        <w:rPr>
          <w:i/>
          <w:lang w:val="fr-CA"/>
        </w:rPr>
        <w:t>LACC</w:t>
      </w:r>
      <w:r w:rsidR="008C3D0D" w:rsidRPr="00393D65">
        <w:rPr>
          <w:lang w:val="fr-CA"/>
        </w:rPr>
        <w:t xml:space="preserve"> est circonscrit en conséquence.</w:t>
      </w:r>
    </w:p>
    <w:p w:rsidR="008C3D0D" w:rsidRPr="00393D65" w:rsidRDefault="008C3D0D" w:rsidP="00562BD7">
      <w:pPr>
        <w:pStyle w:val="ListParagraph"/>
        <w:numPr>
          <w:ilvl w:val="0"/>
          <w:numId w:val="34"/>
        </w:numPr>
        <w:tabs>
          <w:tab w:val="left" w:pos="1170"/>
        </w:tabs>
        <w:spacing w:after="480" w:line="480" w:lineRule="auto"/>
        <w:ind w:left="0" w:firstLine="0"/>
        <w:jc w:val="both"/>
        <w:rPr>
          <w:lang w:val="fr-CA"/>
        </w:rPr>
      </w:pPr>
      <w:r w:rsidRPr="00393D65">
        <w:rPr>
          <w:lang w:val="fr-CA"/>
        </w:rPr>
        <w:t>L</w:t>
      </w:r>
      <w:r w:rsidR="00C03762">
        <w:rPr>
          <w:lang w:val="fr-CA"/>
        </w:rPr>
        <w:t>’</w:t>
      </w:r>
      <w:r w:rsidRPr="00393D65">
        <w:rPr>
          <w:lang w:val="fr-CA"/>
        </w:rPr>
        <w:t>article 11</w:t>
      </w:r>
      <w:r w:rsidRPr="00393D65">
        <w:rPr>
          <w:rStyle w:val="FootnoteReference"/>
        </w:rPr>
        <w:footnoteReference w:id="1"/>
      </w:r>
      <w:r w:rsidRPr="00393D65">
        <w:rPr>
          <w:lang w:val="fr-CA"/>
        </w:rPr>
        <w:t xml:space="preserve"> de la </w:t>
      </w:r>
      <w:r w:rsidRPr="00393D65">
        <w:rPr>
          <w:i/>
          <w:lang w:val="fr-CA"/>
        </w:rPr>
        <w:t>LACC</w:t>
      </w:r>
      <w:r w:rsidRPr="00393D65">
        <w:rPr>
          <w:lang w:val="fr-CA"/>
        </w:rPr>
        <w:t xml:space="preserve"> disposait :</w:t>
      </w:r>
    </w:p>
    <w:p w:rsidR="008C3D0D" w:rsidRPr="00393D65" w:rsidRDefault="008C3D0D" w:rsidP="008C3D0D">
      <w:pPr>
        <w:pStyle w:val="Citation1"/>
        <w:tabs>
          <w:tab w:val="left" w:pos="1620"/>
        </w:tabs>
        <w:rPr>
          <w:color w:val="000000"/>
          <w:lang w:val="fr-CA"/>
        </w:rPr>
      </w:pPr>
      <w:r w:rsidRPr="00393D65">
        <w:rPr>
          <w:lang w:val="fr-CA"/>
        </w:rPr>
        <w:tab/>
      </w:r>
      <w:r w:rsidRPr="00393D65">
        <w:rPr>
          <w:b/>
          <w:lang w:val="fr-CA"/>
        </w:rPr>
        <w:t>11.</w:t>
      </w:r>
      <w:r w:rsidRPr="00393D65">
        <w:rPr>
          <w:lang w:val="fr-CA"/>
        </w:rPr>
        <w:t> (1)  </w:t>
      </w:r>
      <w:r w:rsidRPr="00393D65">
        <w:rPr>
          <w:color w:val="000000"/>
          <w:lang w:val="fr-CA"/>
        </w:rPr>
        <w:t xml:space="preserve">Malgré toute disposition de la </w:t>
      </w:r>
      <w:r w:rsidRPr="00393D65">
        <w:rPr>
          <w:i/>
          <w:color w:val="000000"/>
          <w:lang w:val="fr-CA"/>
        </w:rPr>
        <w:t>Loi sur la faillite et l</w:t>
      </w:r>
      <w:r w:rsidR="00C03762">
        <w:rPr>
          <w:i/>
          <w:color w:val="000000"/>
          <w:lang w:val="fr-CA"/>
        </w:rPr>
        <w:t>’</w:t>
      </w:r>
      <w:r w:rsidRPr="00393D65">
        <w:rPr>
          <w:i/>
          <w:color w:val="000000"/>
          <w:lang w:val="fr-CA"/>
        </w:rPr>
        <w:t>insolvabilité</w:t>
      </w:r>
      <w:r w:rsidRPr="00393D65">
        <w:rPr>
          <w:color w:val="000000"/>
          <w:lang w:val="fr-CA"/>
        </w:rPr>
        <w:t xml:space="preserve"> ou de la </w:t>
      </w:r>
      <w:r w:rsidRPr="00393D65">
        <w:rPr>
          <w:i/>
          <w:color w:val="000000"/>
          <w:lang w:val="fr-CA"/>
        </w:rPr>
        <w:t>Loi sur les liquidations</w:t>
      </w:r>
      <w:r w:rsidRPr="00393D65">
        <w:rPr>
          <w:color w:val="000000"/>
          <w:lang w:val="fr-CA"/>
        </w:rPr>
        <w:t>, chaque fois qu</w:t>
      </w:r>
      <w:r w:rsidR="00C03762">
        <w:rPr>
          <w:color w:val="000000"/>
          <w:lang w:val="fr-CA"/>
        </w:rPr>
        <w:t>’</w:t>
      </w:r>
      <w:r w:rsidRPr="00393D65">
        <w:rPr>
          <w:color w:val="000000"/>
          <w:lang w:val="fr-CA"/>
        </w:rPr>
        <w:t>une demande est faite sous le régime de la présente loi à l</w:t>
      </w:r>
      <w:r w:rsidR="00C03762">
        <w:rPr>
          <w:color w:val="000000"/>
          <w:lang w:val="fr-CA"/>
        </w:rPr>
        <w:t>’</w:t>
      </w:r>
      <w:r w:rsidRPr="00393D65">
        <w:rPr>
          <w:color w:val="000000"/>
          <w:lang w:val="fr-CA"/>
        </w:rPr>
        <w:t>égard d</w:t>
      </w:r>
      <w:r w:rsidR="00C03762">
        <w:rPr>
          <w:color w:val="000000"/>
          <w:lang w:val="fr-CA"/>
        </w:rPr>
        <w:t>’</w:t>
      </w:r>
      <w:r w:rsidRPr="00393D65">
        <w:rPr>
          <w:color w:val="000000"/>
          <w:lang w:val="fr-CA"/>
        </w:rPr>
        <w:t>une compagnie, le tribunal, sur demande d</w:t>
      </w:r>
      <w:r w:rsidR="00C03762">
        <w:rPr>
          <w:color w:val="000000"/>
          <w:lang w:val="fr-CA"/>
        </w:rPr>
        <w:t>’</w:t>
      </w:r>
      <w:r w:rsidRPr="00393D65">
        <w:rPr>
          <w:color w:val="000000"/>
          <w:lang w:val="fr-CA"/>
        </w:rPr>
        <w:t>un intéressé, peut, sous réserve des autres dispositions de la présente loi et avec ou sans avis, rendre l</w:t>
      </w:r>
      <w:r w:rsidR="00C03762">
        <w:rPr>
          <w:color w:val="000000"/>
          <w:lang w:val="fr-CA"/>
        </w:rPr>
        <w:t>’</w:t>
      </w:r>
      <w:r w:rsidRPr="00393D65">
        <w:rPr>
          <w:color w:val="000000"/>
          <w:lang w:val="fr-CA"/>
        </w:rPr>
        <w:t>ordonnance prévue au présent article.</w:t>
      </w:r>
    </w:p>
    <w:p w:rsidR="008C3D0D" w:rsidRPr="00393D65" w:rsidRDefault="008C3D0D" w:rsidP="008C3D0D">
      <w:pPr>
        <w:pStyle w:val="Citation1"/>
        <w:tabs>
          <w:tab w:val="left" w:pos="1620"/>
        </w:tabs>
        <w:spacing w:line="480" w:lineRule="auto"/>
        <w:ind w:left="0"/>
        <w:rPr>
          <w:lang w:val="fr-CA"/>
        </w:rPr>
      </w:pPr>
      <w:r w:rsidRPr="00393D65">
        <w:rPr>
          <w:lang w:val="fr-CA"/>
        </w:rPr>
        <w:t>Pour être en mesure de déterminer la portée du pouvoir discrétionnaire conféré au tribunal par l</w:t>
      </w:r>
      <w:r w:rsidR="00C03762">
        <w:rPr>
          <w:lang w:val="fr-CA"/>
        </w:rPr>
        <w:t>’</w:t>
      </w:r>
      <w:r w:rsidRPr="00393D65">
        <w:rPr>
          <w:lang w:val="fr-CA"/>
        </w:rPr>
        <w:t>art. 11, il est nécessaire de trancher d</w:t>
      </w:r>
      <w:r w:rsidR="00C03762">
        <w:rPr>
          <w:lang w:val="fr-CA"/>
        </w:rPr>
        <w:t>’</w:t>
      </w:r>
      <w:r w:rsidRPr="00393D65">
        <w:rPr>
          <w:lang w:val="fr-CA"/>
        </w:rPr>
        <w:t xml:space="preserve">abord la question de la priorité.  Le paragraphe 222(3), la disposition de la </w:t>
      </w:r>
      <w:r w:rsidRPr="00393D65">
        <w:rPr>
          <w:i/>
          <w:lang w:val="fr-CA"/>
        </w:rPr>
        <w:t xml:space="preserve">LTA </w:t>
      </w:r>
      <w:r w:rsidRPr="00393D65">
        <w:rPr>
          <w:lang w:val="fr-CA"/>
        </w:rPr>
        <w:t>en cause en l</w:t>
      </w:r>
      <w:r w:rsidR="00C03762">
        <w:rPr>
          <w:lang w:val="fr-CA"/>
        </w:rPr>
        <w:t>’</w:t>
      </w:r>
      <w:r w:rsidRPr="00393D65">
        <w:rPr>
          <w:lang w:val="fr-CA"/>
        </w:rPr>
        <w:t>espèce, prévoit ce qui suit :</w:t>
      </w:r>
    </w:p>
    <w:p w:rsidR="008C3D0D" w:rsidRPr="00393D65" w:rsidRDefault="008C3D0D" w:rsidP="008C3D0D">
      <w:pPr>
        <w:shd w:val="clear" w:color="auto" w:fill="FFFFFF"/>
        <w:tabs>
          <w:tab w:val="left" w:pos="1620"/>
        </w:tabs>
        <w:ind w:left="1170"/>
        <w:jc w:val="both"/>
      </w:pPr>
      <w:r w:rsidRPr="00393D65">
        <w:tab/>
        <w:t>(3)  </w:t>
      </w:r>
      <w:r w:rsidRPr="00393D65">
        <w:rPr>
          <w:u w:val="single"/>
        </w:rPr>
        <w:t xml:space="preserve">Malgré les autres dispositions de la présente loi (sauf le paragraphe (4) du présent article), tout autre texte législatif fédéral (sauf la </w:t>
      </w:r>
      <w:r w:rsidRPr="00393D65">
        <w:rPr>
          <w:i/>
          <w:u w:val="single"/>
        </w:rPr>
        <w:t>Loi sur la faillite et l</w:t>
      </w:r>
      <w:r w:rsidR="00C03762">
        <w:rPr>
          <w:i/>
          <w:u w:val="single"/>
        </w:rPr>
        <w:t>’</w:t>
      </w:r>
      <w:r w:rsidRPr="00393D65">
        <w:rPr>
          <w:i/>
          <w:u w:val="single"/>
        </w:rPr>
        <w:t>insolvabilité</w:t>
      </w:r>
      <w:r w:rsidRPr="00393D65">
        <w:rPr>
          <w:u w:val="single"/>
        </w:rPr>
        <w:t>), tout texte législatif provincial ou toute autre règle de droit</w:t>
      </w:r>
      <w:r w:rsidRPr="00393D65">
        <w:t>, lorsqu</w:t>
      </w:r>
      <w:r w:rsidR="00C03762">
        <w:t>’</w:t>
      </w:r>
      <w:r w:rsidRPr="00393D65">
        <w:t>un montant qu</w:t>
      </w:r>
      <w:r w:rsidR="00C03762">
        <w:t>’</w:t>
      </w:r>
      <w:r w:rsidRPr="00393D65">
        <w:t>une personne est réputée par le paragraphe (1) détenir en fiducie pour Sa Majesté du chef du Canada n</w:t>
      </w:r>
      <w:r w:rsidR="00C03762">
        <w:t>’</w:t>
      </w:r>
      <w:r w:rsidRPr="00393D65">
        <w:t>est pas versé au receveur général ni retiré selon les modalités et dans le délai prévus par la présente partie, les biens de la personne — y compris les biens détenus par ses créanciers garantis qui, en l</w:t>
      </w:r>
      <w:r w:rsidR="00C03762">
        <w:t>’</w:t>
      </w:r>
      <w:r w:rsidRPr="00393D65">
        <w:t xml:space="preserve">absence du </w:t>
      </w:r>
      <w:r w:rsidRPr="00393D65">
        <w:lastRenderedPageBreak/>
        <w:t>droit en garantie, seraient ses biens — d</w:t>
      </w:r>
      <w:r w:rsidR="00C03762">
        <w:t>’</w:t>
      </w:r>
      <w:r w:rsidRPr="00393D65">
        <w:t>une valeur égale à ce montant sont réputés :</w:t>
      </w:r>
    </w:p>
    <w:p w:rsidR="008C3D0D" w:rsidRPr="00393D65" w:rsidRDefault="008C3D0D" w:rsidP="008C3D0D">
      <w:pPr>
        <w:shd w:val="clear" w:color="auto" w:fill="FFFFFF"/>
        <w:tabs>
          <w:tab w:val="left" w:pos="1620"/>
        </w:tabs>
        <w:ind w:left="1260"/>
        <w:jc w:val="both"/>
      </w:pPr>
    </w:p>
    <w:p w:rsidR="008C3D0D" w:rsidRPr="00393D65" w:rsidRDefault="008C3D0D" w:rsidP="008C3D0D">
      <w:pPr>
        <w:shd w:val="clear" w:color="auto" w:fill="FFFFFF"/>
        <w:ind w:left="1620" w:hanging="450"/>
        <w:jc w:val="both"/>
      </w:pPr>
      <w:r w:rsidRPr="00393D65">
        <w:rPr>
          <w:i/>
        </w:rPr>
        <w:tab/>
        <w:t>a</w:t>
      </w:r>
      <w:r w:rsidRPr="00393D65">
        <w:t>)  être détenus en fiducie pour Sa Majesté du chef du Canada, à compter du moment où le montant est perçu par la personne, séparés des propres biens de la personne, qu</w:t>
      </w:r>
      <w:r w:rsidR="00C03762">
        <w:t>’</w:t>
      </w:r>
      <w:r w:rsidRPr="00393D65">
        <w:t>ils soient ou non assujettis à un droit en garantie;</w:t>
      </w:r>
    </w:p>
    <w:p w:rsidR="008C3D0D" w:rsidRPr="00393D65" w:rsidRDefault="008C3D0D" w:rsidP="008C3D0D">
      <w:pPr>
        <w:shd w:val="clear" w:color="auto" w:fill="FFFFFF"/>
        <w:tabs>
          <w:tab w:val="left" w:pos="1620"/>
        </w:tabs>
        <w:ind w:left="1260"/>
        <w:jc w:val="both"/>
      </w:pPr>
    </w:p>
    <w:p w:rsidR="008C3D0D" w:rsidRPr="00393D65" w:rsidRDefault="008C3D0D" w:rsidP="008C3D0D">
      <w:pPr>
        <w:shd w:val="clear" w:color="auto" w:fill="FFFFFF"/>
        <w:ind w:left="1620" w:hanging="450"/>
        <w:jc w:val="both"/>
      </w:pPr>
      <w:r w:rsidRPr="00393D65">
        <w:rPr>
          <w:i/>
        </w:rPr>
        <w:tab/>
        <w:t>b</w:t>
      </w:r>
      <w:r w:rsidRPr="00393D65">
        <w:t>)  ne pas faire partie du patrimoine ou des biens de la personne à compter du moment où le montant est perçu, que ces biens aient été ou non tenus séparés de ses propres biens ou de son patrimoine et qu</w:t>
      </w:r>
      <w:r w:rsidR="00C03762">
        <w:t>’</w:t>
      </w:r>
      <w:r w:rsidRPr="00393D65">
        <w:t>ils soient ou non assujettis à un droit en garantie.</w:t>
      </w:r>
    </w:p>
    <w:p w:rsidR="008C3D0D" w:rsidRPr="00393D65" w:rsidRDefault="008C3D0D" w:rsidP="008C3D0D">
      <w:pPr>
        <w:shd w:val="clear" w:color="auto" w:fill="FFFFFF"/>
        <w:ind w:left="1170"/>
        <w:rPr>
          <w:rFonts w:ascii="Verdana" w:hAnsi="Verdana"/>
          <w:sz w:val="21"/>
        </w:rPr>
      </w:pPr>
    </w:p>
    <w:p w:rsidR="008C3D0D" w:rsidRPr="00393D65" w:rsidRDefault="008C3D0D" w:rsidP="008C3D0D">
      <w:pPr>
        <w:shd w:val="clear" w:color="auto" w:fill="FFFFFF"/>
        <w:spacing w:after="720"/>
        <w:ind w:left="1170"/>
        <w:jc w:val="both"/>
      </w:pPr>
      <w:r w:rsidRPr="00393D65">
        <w:t>Ces biens sont des biens dans lesquels Sa Majesté du chef du Canada a un droit de bénéficiaire malgré tout autre droit en garantie sur ces biens ou sur le produit en découlant, et le produit découlant de ces biens est payé au receveur général par priorité sur tout droit en garantie.</w:t>
      </w:r>
    </w:p>
    <w:p w:rsidR="008C3D0D" w:rsidRPr="00393D65" w:rsidRDefault="008C3D0D" w:rsidP="00562BD7">
      <w:pPr>
        <w:pStyle w:val="ListParagraph"/>
        <w:numPr>
          <w:ilvl w:val="0"/>
          <w:numId w:val="34"/>
        </w:numPr>
        <w:tabs>
          <w:tab w:val="left" w:pos="1170"/>
        </w:tabs>
        <w:spacing w:after="480" w:line="480" w:lineRule="auto"/>
        <w:ind w:left="0" w:firstLine="0"/>
        <w:jc w:val="both"/>
        <w:rPr>
          <w:lang w:val="fr-CA"/>
        </w:rPr>
      </w:pPr>
      <w:r w:rsidRPr="00393D65">
        <w:rPr>
          <w:lang w:val="fr-CA"/>
        </w:rPr>
        <w:t xml:space="preserve">Selon Century Services, la disposition dérogatoire générale de la </w:t>
      </w:r>
      <w:r w:rsidRPr="00393D65">
        <w:rPr>
          <w:i/>
          <w:lang w:val="fr-CA"/>
        </w:rPr>
        <w:t>LACC</w:t>
      </w:r>
      <w:r w:rsidRPr="00393D65">
        <w:rPr>
          <w:lang w:val="fr-CA"/>
        </w:rPr>
        <w:t>, le par. 18.3(1), l</w:t>
      </w:r>
      <w:r w:rsidR="00C03762">
        <w:rPr>
          <w:lang w:val="fr-CA"/>
        </w:rPr>
        <w:t>’</w:t>
      </w:r>
      <w:r w:rsidRPr="00393D65">
        <w:rPr>
          <w:lang w:val="fr-CA"/>
        </w:rPr>
        <w:t>emportait, et les dispositions déterminatives à l</w:t>
      </w:r>
      <w:r w:rsidR="00C03762">
        <w:rPr>
          <w:lang w:val="fr-CA"/>
        </w:rPr>
        <w:t>’</w:t>
      </w:r>
      <w:r w:rsidRPr="00393D65">
        <w:rPr>
          <w:lang w:val="fr-CA"/>
        </w:rPr>
        <w:t xml:space="preserve">art. 222 de la </w:t>
      </w:r>
      <w:r w:rsidRPr="00393D65">
        <w:rPr>
          <w:i/>
          <w:lang w:val="fr-CA"/>
        </w:rPr>
        <w:t>LTA</w:t>
      </w:r>
      <w:r w:rsidRPr="00393D65">
        <w:rPr>
          <w:lang w:val="fr-CA"/>
        </w:rPr>
        <w:t xml:space="preserve"> étaient par conséquent inapplicables dans le cadre d</w:t>
      </w:r>
      <w:r w:rsidR="00C03762">
        <w:rPr>
          <w:lang w:val="fr-CA"/>
        </w:rPr>
        <w:t>’</w:t>
      </w:r>
      <w:r w:rsidRPr="00393D65">
        <w:rPr>
          <w:lang w:val="fr-CA"/>
        </w:rPr>
        <w:t xml:space="preserve">une procédure fondée sur la </w:t>
      </w:r>
      <w:r w:rsidRPr="00393D65">
        <w:rPr>
          <w:i/>
          <w:lang w:val="fr-CA"/>
        </w:rPr>
        <w:t>LACC</w:t>
      </w:r>
      <w:r w:rsidRPr="00393D65">
        <w:rPr>
          <w:lang w:val="fr-CA"/>
        </w:rPr>
        <w:t>.  Le paragraphe 18.3(1) dispose :</w:t>
      </w:r>
    </w:p>
    <w:p w:rsidR="008C3D0D" w:rsidRPr="0075185A" w:rsidRDefault="008C3D0D" w:rsidP="00B279CB">
      <w:pPr>
        <w:pStyle w:val="Citation"/>
        <w:rPr>
          <w:lang w:val="fr-CA"/>
        </w:rPr>
      </w:pPr>
      <w:r w:rsidRPr="0075185A">
        <w:rPr>
          <w:b/>
          <w:lang w:val="fr-CA"/>
        </w:rPr>
        <w:tab/>
        <w:t>18.3 </w:t>
      </w:r>
      <w:r w:rsidR="00490440">
        <w:rPr>
          <w:lang w:val="fr-CA"/>
        </w:rPr>
        <w:t>(1) </w:t>
      </w:r>
      <w:r w:rsidRPr="0075185A">
        <w:rPr>
          <w:lang w:val="fr-CA"/>
        </w:rPr>
        <w:t xml:space="preserve">. . . </w:t>
      </w:r>
      <w:r w:rsidRPr="00EF2EA0">
        <w:rPr>
          <w:u w:val="single"/>
          <w:lang w:val="fr-CA"/>
        </w:rPr>
        <w:t>[P]ar dérogation à toute disposition législative fédérale ou provinciale ayant pour effet d</w:t>
      </w:r>
      <w:r w:rsidR="00C03762" w:rsidRPr="00EF2EA0">
        <w:rPr>
          <w:u w:val="single"/>
          <w:lang w:val="fr-CA"/>
        </w:rPr>
        <w:t>’</w:t>
      </w:r>
      <w:r w:rsidRPr="00EF2EA0">
        <w:rPr>
          <w:u w:val="single"/>
          <w:lang w:val="fr-CA"/>
        </w:rPr>
        <w:t>assimiler certains biens à des biens détenus en fiducie pour Sa Majesté</w:t>
      </w:r>
      <w:r w:rsidRPr="0075185A">
        <w:rPr>
          <w:lang w:val="fr-CA"/>
        </w:rPr>
        <w:t>, aucun des biens de la compagnie débitrice ne peut être considéré comme détenu en fiducie pour Sa Majesté si, en l</w:t>
      </w:r>
      <w:r w:rsidR="00C03762">
        <w:rPr>
          <w:lang w:val="fr-CA"/>
        </w:rPr>
        <w:t>’</w:t>
      </w:r>
      <w:r w:rsidRPr="0075185A">
        <w:rPr>
          <w:lang w:val="fr-CA"/>
        </w:rPr>
        <w:t>absence de la disposition législative en question, il ne le serait pas.</w:t>
      </w:r>
    </w:p>
    <w:p w:rsidR="008C3D0D" w:rsidRPr="00393D65" w:rsidRDefault="008C3D0D" w:rsidP="00562BD7">
      <w:pPr>
        <w:pStyle w:val="ListParagraph"/>
        <w:numPr>
          <w:ilvl w:val="0"/>
          <w:numId w:val="34"/>
        </w:numPr>
        <w:tabs>
          <w:tab w:val="left" w:pos="1170"/>
        </w:tabs>
        <w:spacing w:after="480" w:line="480" w:lineRule="auto"/>
        <w:ind w:left="0" w:firstLine="0"/>
        <w:jc w:val="both"/>
        <w:rPr>
          <w:lang w:val="fr-CA"/>
        </w:rPr>
      </w:pPr>
      <w:r w:rsidRPr="00393D65">
        <w:rPr>
          <w:lang w:val="fr-CA"/>
        </w:rPr>
        <w:t>Ainsi que l</w:t>
      </w:r>
      <w:r w:rsidR="00C03762">
        <w:rPr>
          <w:lang w:val="fr-CA"/>
        </w:rPr>
        <w:t>’</w:t>
      </w:r>
      <w:r w:rsidRPr="00393D65">
        <w:rPr>
          <w:lang w:val="fr-CA"/>
        </w:rPr>
        <w:t>a fait observer le juge d</w:t>
      </w:r>
      <w:r w:rsidR="00C03762">
        <w:rPr>
          <w:lang w:val="fr-CA"/>
        </w:rPr>
        <w:t>’</w:t>
      </w:r>
      <w:r w:rsidRPr="00393D65">
        <w:rPr>
          <w:lang w:val="fr-CA"/>
        </w:rPr>
        <w:t>appel MacPherson, dans l</w:t>
      </w:r>
      <w:r w:rsidR="00C03762">
        <w:rPr>
          <w:lang w:val="fr-CA"/>
        </w:rPr>
        <w:t>’</w:t>
      </w:r>
      <w:r w:rsidRPr="00393D65">
        <w:rPr>
          <w:lang w:val="fr-CA"/>
        </w:rPr>
        <w:t xml:space="preserve">arrêt </w:t>
      </w:r>
      <w:r w:rsidRPr="00393D65">
        <w:rPr>
          <w:i/>
          <w:lang w:val="fr-CA"/>
        </w:rPr>
        <w:t xml:space="preserve">Ottawa Senators Hockey Club Corp. (Re) </w:t>
      </w:r>
      <w:r w:rsidRPr="00393D65">
        <w:rPr>
          <w:lang w:val="fr-CA"/>
        </w:rPr>
        <w:t xml:space="preserve">(2005), 73 O.R. (3d) 737 (C.A.), le par. 222(3) de la </w:t>
      </w:r>
      <w:r w:rsidRPr="00393D65">
        <w:rPr>
          <w:i/>
          <w:lang w:val="fr-CA"/>
        </w:rPr>
        <w:t>LTA</w:t>
      </w:r>
      <w:r w:rsidRPr="00393D65">
        <w:rPr>
          <w:lang w:val="fr-CA"/>
        </w:rPr>
        <w:t xml:space="preserve"> [</w:t>
      </w:r>
      <w:r w:rsidRPr="00393D65">
        <w:rPr>
          <w:smallCaps/>
          <w:lang w:val="fr-CA"/>
        </w:rPr>
        <w:t>traduction</w:t>
      </w:r>
      <w:r w:rsidRPr="00393D65">
        <w:rPr>
          <w:lang w:val="fr-CA"/>
        </w:rPr>
        <w:t xml:space="preserve">] « entre nettement en conflit » avec le par. 18.3(1) de la </w:t>
      </w:r>
      <w:r w:rsidRPr="00393D65">
        <w:rPr>
          <w:i/>
          <w:lang w:val="fr-CA"/>
        </w:rPr>
        <w:t xml:space="preserve">LACC </w:t>
      </w:r>
      <w:r w:rsidRPr="00393D65">
        <w:rPr>
          <w:lang w:val="fr-CA"/>
        </w:rPr>
        <w:t xml:space="preserve">(par. 31).  Essentiellement, la résolution du conflit entre ces </w:t>
      </w:r>
      <w:r w:rsidRPr="00393D65">
        <w:rPr>
          <w:lang w:val="fr-CA"/>
        </w:rPr>
        <w:lastRenderedPageBreak/>
        <w:t>deux dispositions requiert à mon sens une opération relativement simple d</w:t>
      </w:r>
      <w:r w:rsidR="00C03762">
        <w:rPr>
          <w:lang w:val="fr-CA"/>
        </w:rPr>
        <w:t>’</w:t>
      </w:r>
      <w:r w:rsidRPr="00393D65">
        <w:rPr>
          <w:lang w:val="fr-CA"/>
        </w:rPr>
        <w:t>interprétation des lois : Est</w:t>
      </w:r>
      <w:r w:rsidRPr="00393D65">
        <w:rPr>
          <w:lang w:val="fr-CA"/>
        </w:rPr>
        <w:noBreakHyphen/>
        <w:t>ce que les termes employés révèlent une intention claire du législateur?  À mon avis, c</w:t>
      </w:r>
      <w:r w:rsidR="00C03762">
        <w:rPr>
          <w:lang w:val="fr-CA"/>
        </w:rPr>
        <w:t>’</w:t>
      </w:r>
      <w:r w:rsidRPr="00393D65">
        <w:rPr>
          <w:lang w:val="fr-CA"/>
        </w:rPr>
        <w:t xml:space="preserve">est le cas.  Le texte de la disposition créant une fiducie réputée, soit le par. 222(3) de la </w:t>
      </w:r>
      <w:r w:rsidRPr="00393D65">
        <w:rPr>
          <w:i/>
          <w:lang w:val="fr-CA"/>
        </w:rPr>
        <w:t>LTA</w:t>
      </w:r>
      <w:r w:rsidRPr="00393D65">
        <w:rPr>
          <w:lang w:val="fr-CA"/>
        </w:rPr>
        <w:t>, précise sans ambiguïté que cette disposition s</w:t>
      </w:r>
      <w:r w:rsidR="00C03762">
        <w:rPr>
          <w:lang w:val="fr-CA"/>
        </w:rPr>
        <w:t>’</w:t>
      </w:r>
      <w:r w:rsidRPr="00393D65">
        <w:rPr>
          <w:lang w:val="fr-CA"/>
        </w:rPr>
        <w:t xml:space="preserve">applique malgré toute autre règle de droit sauf la </w:t>
      </w:r>
      <w:r w:rsidRPr="00393D65">
        <w:rPr>
          <w:i/>
          <w:lang w:val="fr-CA"/>
        </w:rPr>
        <w:t>Loi sur la faillite et l</w:t>
      </w:r>
      <w:r w:rsidR="00C03762">
        <w:rPr>
          <w:i/>
          <w:lang w:val="fr-CA"/>
        </w:rPr>
        <w:t>’</w:t>
      </w:r>
      <w:r w:rsidRPr="00393D65">
        <w:rPr>
          <w:i/>
          <w:lang w:val="fr-CA"/>
        </w:rPr>
        <w:t>insolvabilité</w:t>
      </w:r>
      <w:r w:rsidRPr="00393D65">
        <w:rPr>
          <w:lang w:val="fr-CA"/>
        </w:rPr>
        <w:t>, L.R.C. 1985, ch. B</w:t>
      </w:r>
      <w:r w:rsidRPr="00393D65">
        <w:rPr>
          <w:lang w:val="fr-CA"/>
        </w:rPr>
        <w:noBreakHyphen/>
        <w:t>3 (« </w:t>
      </w:r>
      <w:r w:rsidRPr="00393D65">
        <w:rPr>
          <w:i/>
          <w:lang w:val="fr-CA"/>
        </w:rPr>
        <w:t>LFI </w:t>
      </w:r>
      <w:r w:rsidRPr="00393D65">
        <w:rPr>
          <w:lang w:val="fr-CA"/>
        </w:rPr>
        <w:t>»)</w:t>
      </w:r>
      <w:r w:rsidRPr="00393D65">
        <w:rPr>
          <w:i/>
          <w:lang w:val="fr-CA"/>
        </w:rPr>
        <w:t xml:space="preserve">. </w:t>
      </w:r>
    </w:p>
    <w:p w:rsidR="008C3D0D" w:rsidRPr="00393D65" w:rsidRDefault="008C3D0D" w:rsidP="00562BD7">
      <w:pPr>
        <w:pStyle w:val="ListParagraph"/>
        <w:numPr>
          <w:ilvl w:val="0"/>
          <w:numId w:val="34"/>
        </w:numPr>
        <w:tabs>
          <w:tab w:val="left" w:pos="1170"/>
        </w:tabs>
        <w:spacing w:after="480" w:line="480" w:lineRule="auto"/>
        <w:ind w:left="0" w:firstLine="0"/>
        <w:jc w:val="both"/>
        <w:rPr>
          <w:lang w:val="fr-CA"/>
        </w:rPr>
      </w:pPr>
      <w:r w:rsidRPr="00393D65">
        <w:rPr>
          <w:lang w:val="fr-CA"/>
        </w:rPr>
        <w:t>En excluant explicitement une seule loi du champ d</w:t>
      </w:r>
      <w:r w:rsidR="00C03762">
        <w:rPr>
          <w:lang w:val="fr-CA"/>
        </w:rPr>
        <w:t>’</w:t>
      </w:r>
      <w:r w:rsidRPr="00393D65">
        <w:rPr>
          <w:lang w:val="fr-CA"/>
        </w:rPr>
        <w:t>application du par. 222(3) et en déclarant de façon non équivoque qu</w:t>
      </w:r>
      <w:r w:rsidR="00C03762">
        <w:rPr>
          <w:lang w:val="fr-CA"/>
        </w:rPr>
        <w:t>’</w:t>
      </w:r>
      <w:r w:rsidRPr="00393D65">
        <w:rPr>
          <w:lang w:val="fr-CA"/>
        </w:rPr>
        <w:t>il s</w:t>
      </w:r>
      <w:r w:rsidR="00C03762">
        <w:rPr>
          <w:lang w:val="fr-CA"/>
        </w:rPr>
        <w:t>’</w:t>
      </w:r>
      <w:r w:rsidRPr="00393D65">
        <w:rPr>
          <w:lang w:val="fr-CA"/>
        </w:rPr>
        <w:t xml:space="preserve">applique malgré </w:t>
      </w:r>
      <w:r w:rsidRPr="00393D65">
        <w:rPr>
          <w:color w:val="000000"/>
          <w:lang w:val="fr-CA"/>
        </w:rPr>
        <w:t xml:space="preserve">toute autre loi ou règle de droit au Canada </w:t>
      </w:r>
      <w:r w:rsidRPr="00393D65">
        <w:rPr>
          <w:i/>
          <w:lang w:val="fr-CA"/>
        </w:rPr>
        <w:t>sauf</w:t>
      </w:r>
      <w:r w:rsidRPr="00393D65">
        <w:rPr>
          <w:lang w:val="fr-CA"/>
        </w:rPr>
        <w:t xml:space="preserve"> la </w:t>
      </w:r>
      <w:r w:rsidRPr="00393D65">
        <w:rPr>
          <w:i/>
          <w:lang w:val="fr-CA"/>
        </w:rPr>
        <w:t>LFI</w:t>
      </w:r>
      <w:r w:rsidRPr="00393D65">
        <w:rPr>
          <w:lang w:val="fr-CA"/>
        </w:rPr>
        <w:t>, le législateur a défini la portée de cette disposition dans des termes on ne peut plus clairs.  Je souscris sans réserve aux propos suivants du juge d</w:t>
      </w:r>
      <w:r w:rsidR="00C03762">
        <w:rPr>
          <w:lang w:val="fr-CA"/>
        </w:rPr>
        <w:t>’</w:t>
      </w:r>
      <w:r w:rsidRPr="00393D65">
        <w:rPr>
          <w:lang w:val="fr-CA"/>
        </w:rPr>
        <w:t>appel MacPherson dans l</w:t>
      </w:r>
      <w:r w:rsidR="00C03762">
        <w:rPr>
          <w:lang w:val="fr-CA"/>
        </w:rPr>
        <w:t>’</w:t>
      </w:r>
      <w:r w:rsidRPr="00393D65">
        <w:rPr>
          <w:lang w:val="fr-CA"/>
        </w:rPr>
        <w:t xml:space="preserve">arrêt </w:t>
      </w:r>
      <w:r w:rsidRPr="00393D65">
        <w:rPr>
          <w:i/>
          <w:lang w:val="fr-CA"/>
        </w:rPr>
        <w:t>Ottawa Senators</w:t>
      </w:r>
      <w:r w:rsidRPr="00393D65">
        <w:rPr>
          <w:lang w:val="fr-CA"/>
        </w:rPr>
        <w:t> :</w:t>
      </w:r>
    </w:p>
    <w:p w:rsidR="008C3D0D" w:rsidRPr="00393D65" w:rsidRDefault="008C3D0D" w:rsidP="001070B6">
      <w:pPr>
        <w:pStyle w:val="Citation1"/>
        <w:ind w:firstLine="274"/>
        <w:rPr>
          <w:lang w:val="fr-CA"/>
        </w:rPr>
      </w:pPr>
      <w:r w:rsidRPr="00393D65">
        <w:rPr>
          <w:smallCaps/>
          <w:lang w:val="fr-CA"/>
        </w:rPr>
        <w:t>[traduction]</w:t>
      </w:r>
      <w:r w:rsidR="00F8444E">
        <w:rPr>
          <w:smallCaps/>
          <w:lang w:val="fr-CA"/>
        </w:rPr>
        <w:t xml:space="preserve"> </w:t>
      </w:r>
      <w:r w:rsidRPr="00393D65">
        <w:rPr>
          <w:lang w:val="fr-CA"/>
        </w:rPr>
        <w:t>L</w:t>
      </w:r>
      <w:r w:rsidR="00C03762">
        <w:rPr>
          <w:lang w:val="fr-CA"/>
        </w:rPr>
        <w:t>’</w:t>
      </w:r>
      <w:r w:rsidRPr="00393D65">
        <w:rPr>
          <w:lang w:val="fr-CA"/>
        </w:rPr>
        <w:t>intention du législateur au par</w:t>
      </w:r>
      <w:r w:rsidR="00F8444E">
        <w:rPr>
          <w:lang w:val="fr-CA"/>
        </w:rPr>
        <w:t>.</w:t>
      </w:r>
      <w:r w:rsidRPr="00393D65">
        <w:rPr>
          <w:lang w:val="fr-CA"/>
        </w:rPr>
        <w:t xml:space="preserve"> 222(3) de la </w:t>
      </w:r>
      <w:r w:rsidRPr="00393D65">
        <w:rPr>
          <w:i/>
          <w:lang w:val="fr-CA"/>
        </w:rPr>
        <w:t xml:space="preserve">LTA </w:t>
      </w:r>
      <w:r w:rsidRPr="00393D65">
        <w:rPr>
          <w:lang w:val="fr-CA"/>
        </w:rPr>
        <w:t>est claire.  En cas de conflit avec « </w:t>
      </w:r>
      <w:r w:rsidRPr="00393D65">
        <w:rPr>
          <w:color w:val="000000"/>
          <w:lang w:val="fr-CA"/>
        </w:rPr>
        <w:t xml:space="preserve">tout autre texte législatif fédéral </w:t>
      </w:r>
      <w:r w:rsidRPr="00393D65">
        <w:rPr>
          <w:lang w:val="fr-CA"/>
        </w:rPr>
        <w:t xml:space="preserve">(sauf la </w:t>
      </w:r>
      <w:r w:rsidRPr="00393D65">
        <w:rPr>
          <w:i/>
          <w:lang w:val="fr-CA"/>
        </w:rPr>
        <w:t>Loi sur la faillite et l</w:t>
      </w:r>
      <w:r w:rsidR="00C03762">
        <w:rPr>
          <w:i/>
          <w:lang w:val="fr-CA"/>
        </w:rPr>
        <w:t>’</w:t>
      </w:r>
      <w:r w:rsidRPr="00393D65">
        <w:rPr>
          <w:i/>
          <w:lang w:val="fr-CA"/>
        </w:rPr>
        <w:t>insolvabilité</w:t>
      </w:r>
      <w:r w:rsidRPr="00393D65">
        <w:rPr>
          <w:lang w:val="fr-CA"/>
        </w:rPr>
        <w:t>) », c</w:t>
      </w:r>
      <w:r w:rsidR="00C03762">
        <w:rPr>
          <w:lang w:val="fr-CA"/>
        </w:rPr>
        <w:t>’</w:t>
      </w:r>
      <w:r w:rsidRPr="00393D65">
        <w:rPr>
          <w:lang w:val="fr-CA"/>
        </w:rPr>
        <w:t>est le par. 222(3) qui l</w:t>
      </w:r>
      <w:r w:rsidR="00C03762">
        <w:rPr>
          <w:lang w:val="fr-CA"/>
        </w:rPr>
        <w:t>’</w:t>
      </w:r>
      <w:r w:rsidRPr="00393D65">
        <w:rPr>
          <w:lang w:val="fr-CA"/>
        </w:rPr>
        <w:t>emporte.  En employant ces mots, le législateur fédéral a fait deux choses : il a décidé que le par. 222(3) devait l</w:t>
      </w:r>
      <w:r w:rsidR="00C03762">
        <w:rPr>
          <w:lang w:val="fr-CA"/>
        </w:rPr>
        <w:t>’</w:t>
      </w:r>
      <w:r w:rsidRPr="00393D65">
        <w:rPr>
          <w:lang w:val="fr-CA"/>
        </w:rPr>
        <w:t xml:space="preserve">emporter sur tout autre texte législatif fédéral et, fait important, il a abordé la question des exceptions à cette préséance en en mentionnant une seule, la </w:t>
      </w:r>
      <w:r w:rsidRPr="00393D65">
        <w:rPr>
          <w:i/>
          <w:lang w:val="fr-CA"/>
        </w:rPr>
        <w:t>Loi sur la faillite et l</w:t>
      </w:r>
      <w:r w:rsidR="00C03762">
        <w:rPr>
          <w:i/>
          <w:lang w:val="fr-CA"/>
        </w:rPr>
        <w:t>’</w:t>
      </w:r>
      <w:r w:rsidRPr="00393D65">
        <w:rPr>
          <w:i/>
          <w:lang w:val="fr-CA"/>
        </w:rPr>
        <w:t xml:space="preserve">insolvabilité </w:t>
      </w:r>
      <w:r w:rsidRPr="00393D65">
        <w:rPr>
          <w:lang w:val="fr-CA"/>
        </w:rPr>
        <w:t xml:space="preserve">[. . .] La </w:t>
      </w:r>
      <w:r w:rsidRPr="00393D65">
        <w:rPr>
          <w:i/>
          <w:lang w:val="fr-CA"/>
        </w:rPr>
        <w:t xml:space="preserve">LFI </w:t>
      </w:r>
      <w:r w:rsidRPr="00393D65">
        <w:rPr>
          <w:lang w:val="fr-CA"/>
        </w:rPr>
        <w:t xml:space="preserve">et la </w:t>
      </w:r>
      <w:r w:rsidRPr="00393D65">
        <w:rPr>
          <w:i/>
          <w:lang w:val="fr-CA"/>
        </w:rPr>
        <w:t>LACC</w:t>
      </w:r>
      <w:r w:rsidRPr="00393D65">
        <w:rPr>
          <w:lang w:val="fr-CA"/>
        </w:rPr>
        <w:t xml:space="preserve"> sont des lois fédérales étroitement liées entre elles.  Je ne puis concevoir que le législateur ait pu mentionner expressément la </w:t>
      </w:r>
      <w:r w:rsidRPr="00393D65">
        <w:rPr>
          <w:i/>
          <w:lang w:val="fr-CA"/>
        </w:rPr>
        <w:t>LFI</w:t>
      </w:r>
      <w:r w:rsidRPr="00393D65">
        <w:rPr>
          <w:lang w:val="fr-CA"/>
        </w:rPr>
        <w:t xml:space="preserve"> à titre d</w:t>
      </w:r>
      <w:r w:rsidR="00C03762">
        <w:rPr>
          <w:lang w:val="fr-CA"/>
        </w:rPr>
        <w:t>’</w:t>
      </w:r>
      <w:r w:rsidRPr="00393D65">
        <w:rPr>
          <w:lang w:val="fr-CA"/>
        </w:rPr>
        <w:t xml:space="preserve">exception, mais ait involontairement omis de considérer la </w:t>
      </w:r>
      <w:r w:rsidRPr="00393D65">
        <w:rPr>
          <w:i/>
          <w:lang w:val="fr-CA"/>
        </w:rPr>
        <w:t xml:space="preserve">LACC </w:t>
      </w:r>
      <w:r w:rsidRPr="00393D65">
        <w:rPr>
          <w:lang w:val="fr-CA"/>
        </w:rPr>
        <w:t xml:space="preserve">comme une deuxième exception possible.  À mon avis, le fait que la </w:t>
      </w:r>
      <w:r w:rsidRPr="00393D65">
        <w:rPr>
          <w:i/>
          <w:lang w:val="fr-CA"/>
        </w:rPr>
        <w:t>LACC</w:t>
      </w:r>
      <w:r w:rsidRPr="00393D65">
        <w:rPr>
          <w:lang w:val="fr-CA"/>
        </w:rPr>
        <w:t xml:space="preserve"> ne soit pas mentionnée au par. 222(3) de la </w:t>
      </w:r>
      <w:r w:rsidRPr="00393D65">
        <w:rPr>
          <w:i/>
          <w:lang w:val="fr-CA"/>
        </w:rPr>
        <w:t>LTA</w:t>
      </w:r>
      <w:r w:rsidRPr="00393D65">
        <w:rPr>
          <w:lang w:val="fr-CA"/>
        </w:rPr>
        <w:t xml:space="preserve"> était presque assurément une omission mûrement réfléchie de la part du législateur.  [par. 43] </w:t>
      </w:r>
    </w:p>
    <w:p w:rsidR="008C3D0D" w:rsidRPr="00393D65" w:rsidRDefault="008C3D0D" w:rsidP="00562BD7">
      <w:pPr>
        <w:pStyle w:val="ListParagraph"/>
        <w:numPr>
          <w:ilvl w:val="0"/>
          <w:numId w:val="34"/>
        </w:numPr>
        <w:tabs>
          <w:tab w:val="left" w:pos="1170"/>
        </w:tabs>
        <w:spacing w:after="480" w:line="480" w:lineRule="auto"/>
        <w:ind w:left="0" w:firstLine="0"/>
        <w:jc w:val="both"/>
        <w:rPr>
          <w:lang w:val="fr-CA"/>
        </w:rPr>
      </w:pPr>
      <w:r w:rsidRPr="00393D65">
        <w:rPr>
          <w:lang w:val="fr-CA"/>
        </w:rPr>
        <w:t>L</w:t>
      </w:r>
      <w:r w:rsidR="00C03762">
        <w:rPr>
          <w:lang w:val="fr-CA"/>
        </w:rPr>
        <w:t>’</w:t>
      </w:r>
      <w:r w:rsidRPr="00393D65">
        <w:rPr>
          <w:lang w:val="fr-CA"/>
        </w:rPr>
        <w:t>opinion du juge d</w:t>
      </w:r>
      <w:r w:rsidR="00C03762">
        <w:rPr>
          <w:lang w:val="fr-CA"/>
        </w:rPr>
        <w:t>’</w:t>
      </w:r>
      <w:r w:rsidRPr="00393D65">
        <w:rPr>
          <w:lang w:val="fr-CA"/>
        </w:rPr>
        <w:t xml:space="preserve">appel MacPherson suivant laquelle le fait que la </w:t>
      </w:r>
      <w:r w:rsidRPr="00393D65">
        <w:rPr>
          <w:i/>
          <w:lang w:val="fr-CA"/>
        </w:rPr>
        <w:t>LACC</w:t>
      </w:r>
      <w:r w:rsidRPr="00393D65">
        <w:rPr>
          <w:lang w:val="fr-CA"/>
        </w:rPr>
        <w:t xml:space="preserve"> n</w:t>
      </w:r>
      <w:r w:rsidR="00C03762">
        <w:rPr>
          <w:lang w:val="fr-CA"/>
        </w:rPr>
        <w:t>’</w:t>
      </w:r>
      <w:r w:rsidRPr="00393D65">
        <w:rPr>
          <w:lang w:val="fr-CA"/>
        </w:rPr>
        <w:t>ait pas été soustraite à l</w:t>
      </w:r>
      <w:r w:rsidR="00C03762">
        <w:rPr>
          <w:lang w:val="fr-CA"/>
        </w:rPr>
        <w:t>’</w:t>
      </w:r>
      <w:r w:rsidRPr="00393D65">
        <w:rPr>
          <w:lang w:val="fr-CA"/>
        </w:rPr>
        <w:t xml:space="preserve">application de la </w:t>
      </w:r>
      <w:r w:rsidRPr="00393D65">
        <w:rPr>
          <w:i/>
          <w:lang w:val="fr-CA"/>
        </w:rPr>
        <w:t xml:space="preserve">LTA </w:t>
      </w:r>
      <w:r w:rsidRPr="00393D65">
        <w:rPr>
          <w:lang w:val="fr-CA"/>
        </w:rPr>
        <w:t>témoigne d</w:t>
      </w:r>
      <w:r w:rsidR="00C03762">
        <w:rPr>
          <w:lang w:val="fr-CA"/>
        </w:rPr>
        <w:t>’</w:t>
      </w:r>
      <w:r w:rsidRPr="00393D65">
        <w:rPr>
          <w:lang w:val="fr-CA"/>
        </w:rPr>
        <w:t xml:space="preserve">une intention </w:t>
      </w:r>
      <w:r w:rsidRPr="00393D65">
        <w:rPr>
          <w:lang w:val="fr-CA"/>
        </w:rPr>
        <w:lastRenderedPageBreak/>
        <w:t xml:space="preserve">claire du législateur est confortée par la façon dont la </w:t>
      </w:r>
      <w:r w:rsidRPr="00393D65">
        <w:rPr>
          <w:i/>
          <w:lang w:val="fr-CA"/>
        </w:rPr>
        <w:t xml:space="preserve">LACC </w:t>
      </w:r>
      <w:r w:rsidRPr="00393D65">
        <w:rPr>
          <w:lang w:val="fr-CA"/>
        </w:rPr>
        <w:t>a par la suite été modifiée après l</w:t>
      </w:r>
      <w:r w:rsidR="00C03762">
        <w:rPr>
          <w:lang w:val="fr-CA"/>
        </w:rPr>
        <w:t>’</w:t>
      </w:r>
      <w:r w:rsidRPr="00393D65">
        <w:rPr>
          <w:lang w:val="fr-CA"/>
        </w:rPr>
        <w:t xml:space="preserve">édiction du par. 18.3(1) en 1997.  En 2000, lorsque le par. 222(3) de la </w:t>
      </w:r>
      <w:r w:rsidRPr="00393D65">
        <w:rPr>
          <w:i/>
          <w:lang w:val="fr-CA"/>
        </w:rPr>
        <w:t>LTA</w:t>
      </w:r>
      <w:r w:rsidRPr="00393D65">
        <w:rPr>
          <w:lang w:val="fr-CA"/>
        </w:rPr>
        <w:t xml:space="preserve"> est entré en vigueur, des modifications ont également été apportées à la </w:t>
      </w:r>
      <w:r w:rsidRPr="00393D65">
        <w:rPr>
          <w:i/>
          <w:lang w:val="fr-CA"/>
        </w:rPr>
        <w:t>LACC</w:t>
      </w:r>
      <w:r w:rsidRPr="00393D65">
        <w:rPr>
          <w:lang w:val="fr-CA"/>
        </w:rPr>
        <w:t>, mais le par. 18.3(1) de cette loi n</w:t>
      </w:r>
      <w:r w:rsidR="00C03762">
        <w:rPr>
          <w:lang w:val="fr-CA"/>
        </w:rPr>
        <w:t>’</w:t>
      </w:r>
      <w:r w:rsidRPr="00393D65">
        <w:rPr>
          <w:lang w:val="fr-CA"/>
        </w:rPr>
        <w:t>a pas été modifié.</w:t>
      </w:r>
    </w:p>
    <w:p w:rsidR="008C3D0D" w:rsidRPr="00393D65" w:rsidRDefault="008C3D0D" w:rsidP="00562BD7">
      <w:pPr>
        <w:pStyle w:val="ListParagraph"/>
        <w:numPr>
          <w:ilvl w:val="0"/>
          <w:numId w:val="34"/>
        </w:numPr>
        <w:tabs>
          <w:tab w:val="left" w:pos="1170"/>
        </w:tabs>
        <w:spacing w:after="480" w:line="480" w:lineRule="auto"/>
        <w:ind w:left="0" w:firstLine="0"/>
        <w:jc w:val="both"/>
        <w:rPr>
          <w:lang w:val="fr-CA"/>
        </w:rPr>
      </w:pPr>
      <w:r w:rsidRPr="00393D65">
        <w:rPr>
          <w:lang w:val="fr-CA"/>
        </w:rPr>
        <w:t>L</w:t>
      </w:r>
      <w:r w:rsidR="00C03762">
        <w:rPr>
          <w:lang w:val="fr-CA"/>
        </w:rPr>
        <w:t>’</w:t>
      </w:r>
      <w:r w:rsidRPr="00393D65">
        <w:rPr>
          <w:lang w:val="fr-CA"/>
        </w:rPr>
        <w:t>absence de modification du par. 18.3(1) vaut d</w:t>
      </w:r>
      <w:r w:rsidR="00C03762">
        <w:rPr>
          <w:lang w:val="fr-CA"/>
        </w:rPr>
        <w:t>’</w:t>
      </w:r>
      <w:r w:rsidRPr="00393D65">
        <w:rPr>
          <w:lang w:val="fr-CA"/>
        </w:rPr>
        <w:t>être soulignée, car elle a eu pour effet de maintenir le statu quo législatif, malgré les demandes répétées de divers groupes qui souhaitaient que cette disposition soit modifiée pour aligner l</w:t>
      </w:r>
      <w:r w:rsidR="00C03762">
        <w:rPr>
          <w:lang w:val="fr-CA"/>
        </w:rPr>
        <w:t>’</w:t>
      </w:r>
      <w:r w:rsidRPr="00393D65">
        <w:rPr>
          <w:lang w:val="fr-CA"/>
        </w:rPr>
        <w:t xml:space="preserve">ordre de priorité établi par la </w:t>
      </w:r>
      <w:r w:rsidRPr="00393D65">
        <w:rPr>
          <w:i/>
          <w:lang w:val="fr-CA"/>
        </w:rPr>
        <w:t>LACC</w:t>
      </w:r>
      <w:r w:rsidRPr="00393D65">
        <w:rPr>
          <w:lang w:val="fr-CA"/>
        </w:rPr>
        <w:t xml:space="preserve"> sur celui de la </w:t>
      </w:r>
      <w:r w:rsidRPr="00393D65">
        <w:rPr>
          <w:i/>
          <w:lang w:val="fr-CA"/>
        </w:rPr>
        <w:t>LFI</w:t>
      </w:r>
      <w:r w:rsidRPr="00393D65">
        <w:rPr>
          <w:lang w:val="fr-CA"/>
        </w:rPr>
        <w:t>.  En 2002, par exemple, lorsque Industrie Canada a procédé à l</w:t>
      </w:r>
      <w:r w:rsidR="00C03762">
        <w:rPr>
          <w:lang w:val="fr-CA"/>
        </w:rPr>
        <w:t>’</w:t>
      </w:r>
      <w:r w:rsidRPr="00393D65">
        <w:rPr>
          <w:lang w:val="fr-CA"/>
        </w:rPr>
        <w:t xml:space="preserve">examen de la </w:t>
      </w:r>
      <w:r w:rsidRPr="00393D65">
        <w:rPr>
          <w:i/>
          <w:lang w:val="fr-CA"/>
        </w:rPr>
        <w:t>LFI</w:t>
      </w:r>
      <w:r w:rsidRPr="00393D65">
        <w:rPr>
          <w:lang w:val="fr-CA"/>
        </w:rPr>
        <w:t xml:space="preserve"> et de la </w:t>
      </w:r>
      <w:r w:rsidRPr="00393D65">
        <w:rPr>
          <w:i/>
          <w:lang w:val="fr-CA"/>
        </w:rPr>
        <w:t>LACC</w:t>
      </w:r>
      <w:r w:rsidRPr="00393D65">
        <w:rPr>
          <w:lang w:val="fr-CA"/>
        </w:rPr>
        <w:t>, l</w:t>
      </w:r>
      <w:r w:rsidR="00C03762">
        <w:rPr>
          <w:lang w:val="fr-CA"/>
        </w:rPr>
        <w:t>’</w:t>
      </w:r>
      <w:r w:rsidRPr="00393D65">
        <w:rPr>
          <w:lang w:val="fr-CA"/>
        </w:rPr>
        <w:t>Institut d</w:t>
      </w:r>
      <w:r w:rsidR="00C03762">
        <w:rPr>
          <w:lang w:val="fr-CA"/>
        </w:rPr>
        <w:t>’</w:t>
      </w:r>
      <w:r w:rsidRPr="00393D65">
        <w:rPr>
          <w:lang w:val="fr-CA"/>
        </w:rPr>
        <w:t>insolvabilité du Canada et l</w:t>
      </w:r>
      <w:r w:rsidR="00C03762">
        <w:rPr>
          <w:lang w:val="fr-CA"/>
        </w:rPr>
        <w:t>’</w:t>
      </w:r>
      <w:r w:rsidRPr="00393D65">
        <w:rPr>
          <w:lang w:val="fr-CA"/>
        </w:rPr>
        <w:t>Association canadienne des professionnels de l</w:t>
      </w:r>
      <w:r w:rsidR="00C03762">
        <w:rPr>
          <w:lang w:val="fr-CA"/>
        </w:rPr>
        <w:t>’</w:t>
      </w:r>
      <w:r w:rsidRPr="00393D65">
        <w:rPr>
          <w:lang w:val="fr-CA"/>
        </w:rPr>
        <w:t xml:space="preserve">insolvabilité et de la réorganisation ont recommandé que les règles de la </w:t>
      </w:r>
      <w:r w:rsidRPr="00393D65">
        <w:rPr>
          <w:i/>
          <w:lang w:val="fr-CA"/>
        </w:rPr>
        <w:t>LFI</w:t>
      </w:r>
      <w:r w:rsidRPr="00393D65">
        <w:rPr>
          <w:lang w:val="fr-CA"/>
        </w:rPr>
        <w:t xml:space="preserve"> en matière de priorité soient étendues à la </w:t>
      </w:r>
      <w:r w:rsidRPr="00393D65">
        <w:rPr>
          <w:i/>
          <w:lang w:val="fr-CA"/>
        </w:rPr>
        <w:t xml:space="preserve">LACC </w:t>
      </w:r>
      <w:r w:rsidRPr="00393D65">
        <w:rPr>
          <w:lang w:val="fr-CA"/>
        </w:rPr>
        <w:t>(</w:t>
      </w:r>
      <w:r w:rsidRPr="001070B6">
        <w:rPr>
          <w:lang w:val="fr-CA"/>
        </w:rPr>
        <w:t>Joint Task Force on Business Insolvency Law Reform,</w:t>
      </w:r>
      <w:r w:rsidRPr="00393D65">
        <w:rPr>
          <w:i/>
          <w:lang w:val="fr-CA"/>
        </w:rPr>
        <w:t xml:space="preserve"> Report</w:t>
      </w:r>
      <w:r w:rsidRPr="00393D65">
        <w:rPr>
          <w:lang w:val="fr-CA"/>
        </w:rPr>
        <w:t xml:space="preserve"> (15 mars 2002), </w:t>
      </w:r>
      <w:r w:rsidR="00EF2EA0">
        <w:rPr>
          <w:lang w:val="fr-CA"/>
        </w:rPr>
        <w:t>ann</w:t>
      </w:r>
      <w:r w:rsidRPr="001070B6">
        <w:rPr>
          <w:lang w:val="fr-CA"/>
        </w:rPr>
        <w:t>. B</w:t>
      </w:r>
      <w:r w:rsidRPr="00393D65">
        <w:rPr>
          <w:lang w:val="fr-CA"/>
        </w:rPr>
        <w:t xml:space="preserve">, proposition 71).  Ces recommandations ont été reprises en 2003 par le </w:t>
      </w:r>
      <w:r w:rsidRPr="00393D65">
        <w:rPr>
          <w:color w:val="000000"/>
          <w:lang w:val="fr-CA"/>
        </w:rPr>
        <w:t>Comité sénatorial permanent des banques et du commerce</w:t>
      </w:r>
      <w:r w:rsidRPr="00393D65">
        <w:rPr>
          <w:color w:val="000000"/>
          <w:sz w:val="26"/>
          <w:lang w:val="fr-CA"/>
        </w:rPr>
        <w:t xml:space="preserve"> </w:t>
      </w:r>
      <w:r w:rsidRPr="00393D65">
        <w:rPr>
          <w:lang w:val="fr-CA"/>
        </w:rPr>
        <w:t xml:space="preserve">dans son rapport intitulé </w:t>
      </w:r>
      <w:r w:rsidRPr="001070B6">
        <w:rPr>
          <w:i/>
          <w:lang w:val="fr-CA"/>
        </w:rPr>
        <w:t xml:space="preserve">Les débiteurs et les créanciers doivent se partager le fardeau : Examen de la </w:t>
      </w:r>
      <w:r w:rsidRPr="00393D65">
        <w:rPr>
          <w:i/>
          <w:lang w:val="fr-CA"/>
        </w:rPr>
        <w:t>Loi sur la faillite et l</w:t>
      </w:r>
      <w:r w:rsidR="00C03762">
        <w:rPr>
          <w:i/>
          <w:lang w:val="fr-CA"/>
        </w:rPr>
        <w:t>’</w:t>
      </w:r>
      <w:r w:rsidRPr="00393D65">
        <w:rPr>
          <w:i/>
          <w:lang w:val="fr-CA"/>
        </w:rPr>
        <w:t>insolvabilité</w:t>
      </w:r>
      <w:r w:rsidRPr="00393D65">
        <w:rPr>
          <w:lang w:val="fr-CA"/>
        </w:rPr>
        <w:t xml:space="preserve"> </w:t>
      </w:r>
      <w:r w:rsidRPr="004613F5">
        <w:rPr>
          <w:i/>
          <w:lang w:val="fr-CA"/>
        </w:rPr>
        <w:t xml:space="preserve">et de la </w:t>
      </w:r>
      <w:r w:rsidRPr="00393D65">
        <w:rPr>
          <w:i/>
          <w:lang w:val="fr-CA"/>
        </w:rPr>
        <w:t>Loi sur les arrangements avec les créanciers des compagnies</w:t>
      </w:r>
      <w:r w:rsidRPr="00393D65">
        <w:rPr>
          <w:lang w:val="fr-CA"/>
        </w:rPr>
        <w:t>, ainsi qu</w:t>
      </w:r>
      <w:r w:rsidR="00C03762">
        <w:rPr>
          <w:lang w:val="fr-CA"/>
        </w:rPr>
        <w:t>’</w:t>
      </w:r>
      <w:r w:rsidRPr="00393D65">
        <w:rPr>
          <w:lang w:val="fr-CA"/>
        </w:rPr>
        <w:t xml:space="preserve">en 2005 par le </w:t>
      </w:r>
      <w:r w:rsidRPr="001070B6">
        <w:rPr>
          <w:lang w:val="fr-CA"/>
        </w:rPr>
        <w:t>Legislative Review Task Force (Commercial)</w:t>
      </w:r>
      <w:r w:rsidRPr="00393D65">
        <w:rPr>
          <w:lang w:val="fr-CA"/>
        </w:rPr>
        <w:t xml:space="preserve"> de l</w:t>
      </w:r>
      <w:r w:rsidR="00C03762">
        <w:rPr>
          <w:lang w:val="fr-CA"/>
        </w:rPr>
        <w:t>’</w:t>
      </w:r>
      <w:r w:rsidRPr="00393D65">
        <w:rPr>
          <w:lang w:val="fr-CA"/>
        </w:rPr>
        <w:t>Institut d</w:t>
      </w:r>
      <w:r w:rsidR="00C03762">
        <w:rPr>
          <w:lang w:val="fr-CA"/>
        </w:rPr>
        <w:t>’</w:t>
      </w:r>
      <w:r w:rsidRPr="00393D65">
        <w:rPr>
          <w:lang w:val="fr-CA"/>
        </w:rPr>
        <w:t>insolvabilité du Canada et de l</w:t>
      </w:r>
      <w:r w:rsidR="00C03762">
        <w:rPr>
          <w:lang w:val="fr-CA"/>
        </w:rPr>
        <w:t>’</w:t>
      </w:r>
      <w:r w:rsidRPr="00393D65">
        <w:rPr>
          <w:lang w:val="fr-CA"/>
        </w:rPr>
        <w:t>Association canadienne des professionnels de l</w:t>
      </w:r>
      <w:r w:rsidR="00C03762">
        <w:rPr>
          <w:lang w:val="fr-CA"/>
        </w:rPr>
        <w:t>’</w:t>
      </w:r>
      <w:r w:rsidRPr="00393D65">
        <w:rPr>
          <w:lang w:val="fr-CA"/>
        </w:rPr>
        <w:t xml:space="preserve">insolvabilité et de la réorganisation dans son </w:t>
      </w:r>
      <w:r w:rsidRPr="00393D65">
        <w:rPr>
          <w:i/>
          <w:lang w:val="fr-CA"/>
        </w:rPr>
        <w:t>Report</w:t>
      </w:r>
      <w:r w:rsidRPr="00393D65">
        <w:rPr>
          <w:lang w:val="fr-CA"/>
        </w:rPr>
        <w:t xml:space="preserve"> </w:t>
      </w:r>
      <w:r w:rsidRPr="00393D65">
        <w:rPr>
          <w:i/>
          <w:lang w:val="fr-CA"/>
        </w:rPr>
        <w:t>on the Commercial Provisions of  Bill C</w:t>
      </w:r>
      <w:r w:rsidRPr="00393D65">
        <w:rPr>
          <w:i/>
          <w:lang w:val="fr-CA"/>
        </w:rPr>
        <w:noBreakHyphen/>
        <w:t>55</w:t>
      </w:r>
      <w:r w:rsidRPr="00393D65">
        <w:rPr>
          <w:lang w:val="fr-CA"/>
        </w:rPr>
        <w:t>, et en 2007 par l</w:t>
      </w:r>
      <w:r w:rsidR="00C03762">
        <w:rPr>
          <w:lang w:val="fr-CA"/>
        </w:rPr>
        <w:t>’</w:t>
      </w:r>
      <w:r w:rsidRPr="00393D65">
        <w:rPr>
          <w:lang w:val="fr-CA"/>
        </w:rPr>
        <w:t>Institut d</w:t>
      </w:r>
      <w:r w:rsidR="00C03762">
        <w:rPr>
          <w:lang w:val="fr-CA"/>
        </w:rPr>
        <w:t>’</w:t>
      </w:r>
      <w:r w:rsidRPr="00393D65">
        <w:rPr>
          <w:lang w:val="fr-CA"/>
        </w:rPr>
        <w:t xml:space="preserve">insolvabilité du Canada dans un mémoire soumis au </w:t>
      </w:r>
      <w:r w:rsidRPr="00393D65">
        <w:rPr>
          <w:color w:val="000000"/>
          <w:lang w:val="fr-CA"/>
        </w:rPr>
        <w:t xml:space="preserve">Comité </w:t>
      </w:r>
      <w:r w:rsidRPr="00393D65">
        <w:rPr>
          <w:color w:val="000000"/>
          <w:lang w:val="fr-CA"/>
        </w:rPr>
        <w:lastRenderedPageBreak/>
        <w:t>sénatorial permanent des banques et du commerce</w:t>
      </w:r>
      <w:r w:rsidRPr="00393D65">
        <w:rPr>
          <w:color w:val="000000"/>
          <w:sz w:val="26"/>
          <w:lang w:val="fr-CA"/>
        </w:rPr>
        <w:t xml:space="preserve"> </w:t>
      </w:r>
      <w:r w:rsidRPr="00393D65">
        <w:rPr>
          <w:lang w:val="fr-CA"/>
        </w:rPr>
        <w:t>au sujet de réformes alors envisagées.</w:t>
      </w:r>
    </w:p>
    <w:p w:rsidR="008C3D0D" w:rsidRPr="00393D65" w:rsidRDefault="008C3D0D" w:rsidP="00562BD7">
      <w:pPr>
        <w:pStyle w:val="ListParagraph"/>
        <w:numPr>
          <w:ilvl w:val="0"/>
          <w:numId w:val="34"/>
        </w:numPr>
        <w:tabs>
          <w:tab w:val="left" w:pos="1170"/>
        </w:tabs>
        <w:spacing w:after="480" w:line="480" w:lineRule="auto"/>
        <w:ind w:left="0" w:firstLine="0"/>
        <w:jc w:val="both"/>
        <w:rPr>
          <w:lang w:val="fr-CA"/>
        </w:rPr>
      </w:pPr>
      <w:r w:rsidRPr="00393D65">
        <w:rPr>
          <w:lang w:val="fr-CA"/>
        </w:rPr>
        <w:t xml:space="preserve">La </w:t>
      </w:r>
      <w:r w:rsidRPr="00393D65">
        <w:rPr>
          <w:i/>
          <w:lang w:val="fr-CA"/>
        </w:rPr>
        <w:t xml:space="preserve">LFI </w:t>
      </w:r>
      <w:r w:rsidRPr="00393D65">
        <w:rPr>
          <w:lang w:val="fr-CA"/>
        </w:rPr>
        <w:t>demeure néanmoins la seule loi soustraite à l</w:t>
      </w:r>
      <w:r w:rsidR="00C03762">
        <w:rPr>
          <w:lang w:val="fr-CA"/>
        </w:rPr>
        <w:t>’</w:t>
      </w:r>
      <w:r w:rsidRPr="00393D65">
        <w:rPr>
          <w:lang w:val="fr-CA"/>
        </w:rPr>
        <w:t xml:space="preserve">application du par. 222(3) de la </w:t>
      </w:r>
      <w:r w:rsidRPr="00393D65">
        <w:rPr>
          <w:i/>
          <w:lang w:val="fr-CA"/>
        </w:rPr>
        <w:t>LTA</w:t>
      </w:r>
      <w:r w:rsidRPr="00393D65">
        <w:rPr>
          <w:lang w:val="fr-CA"/>
        </w:rPr>
        <w:t>. Même à la suite de l</w:t>
      </w:r>
      <w:r w:rsidR="00C03762">
        <w:rPr>
          <w:lang w:val="fr-CA"/>
        </w:rPr>
        <w:t>’</w:t>
      </w:r>
      <w:r w:rsidRPr="00393D65">
        <w:rPr>
          <w:lang w:val="fr-CA"/>
        </w:rPr>
        <w:t>arrêt rendu en 2005 dans l</w:t>
      </w:r>
      <w:r w:rsidR="00C03762">
        <w:rPr>
          <w:lang w:val="fr-CA"/>
        </w:rPr>
        <w:t>’</w:t>
      </w:r>
      <w:r w:rsidRPr="00393D65">
        <w:rPr>
          <w:lang w:val="fr-CA"/>
        </w:rPr>
        <w:t xml:space="preserve">affaire </w:t>
      </w:r>
      <w:r w:rsidRPr="00393D65">
        <w:rPr>
          <w:i/>
          <w:lang w:val="fr-CA"/>
        </w:rPr>
        <w:t>Ottawa Senators</w:t>
      </w:r>
      <w:r w:rsidRPr="00393D65">
        <w:rPr>
          <w:lang w:val="fr-CA"/>
        </w:rPr>
        <w:t xml:space="preserve">, qui a confirmé que la </w:t>
      </w:r>
      <w:r w:rsidRPr="00393D65">
        <w:rPr>
          <w:i/>
          <w:lang w:val="fr-CA"/>
        </w:rPr>
        <w:t xml:space="preserve">LTA </w:t>
      </w:r>
      <w:r w:rsidRPr="00393D65">
        <w:rPr>
          <w:lang w:val="fr-CA"/>
        </w:rPr>
        <w:t>l</w:t>
      </w:r>
      <w:r w:rsidR="00C03762">
        <w:rPr>
          <w:lang w:val="fr-CA"/>
        </w:rPr>
        <w:t>’</w:t>
      </w:r>
      <w:r w:rsidRPr="00393D65">
        <w:rPr>
          <w:lang w:val="fr-CA"/>
        </w:rPr>
        <w:t xml:space="preserve">emportait sur la </w:t>
      </w:r>
      <w:r w:rsidRPr="00393D65">
        <w:rPr>
          <w:i/>
          <w:lang w:val="fr-CA"/>
        </w:rPr>
        <w:t>LACC</w:t>
      </w:r>
      <w:r w:rsidRPr="00393D65">
        <w:rPr>
          <w:lang w:val="fr-CA"/>
        </w:rPr>
        <w:t>, le législateur n</w:t>
      </w:r>
      <w:r w:rsidR="00C03762">
        <w:rPr>
          <w:lang w:val="fr-CA"/>
        </w:rPr>
        <w:t>’</w:t>
      </w:r>
      <w:r w:rsidRPr="00393D65">
        <w:rPr>
          <w:lang w:val="fr-CA"/>
        </w:rPr>
        <w:t>est pas intervenu.  Cette absence de réaction de sa part me paraît tout aussi pertinente en l</w:t>
      </w:r>
      <w:r w:rsidR="00C03762">
        <w:rPr>
          <w:lang w:val="fr-CA"/>
        </w:rPr>
        <w:t>’</w:t>
      </w:r>
      <w:r w:rsidRPr="00393D65">
        <w:rPr>
          <w:lang w:val="fr-CA"/>
        </w:rPr>
        <w:t>espèce que dans l</w:t>
      </w:r>
      <w:r w:rsidR="00C03762">
        <w:rPr>
          <w:lang w:val="fr-CA"/>
        </w:rPr>
        <w:t>’</w:t>
      </w:r>
      <w:r w:rsidRPr="00393D65">
        <w:rPr>
          <w:lang w:val="fr-CA"/>
        </w:rPr>
        <w:t xml:space="preserve">arrêt </w:t>
      </w:r>
      <w:r w:rsidRPr="00393D65">
        <w:rPr>
          <w:i/>
          <w:lang w:val="fr-CA"/>
        </w:rPr>
        <w:t>Société Télé</w:t>
      </w:r>
      <w:r w:rsidRPr="00393D65">
        <w:rPr>
          <w:i/>
          <w:lang w:val="fr-CA"/>
        </w:rPr>
        <w:noBreakHyphen/>
        <w:t>Mobile c. Ontario</w:t>
      </w:r>
      <w:r w:rsidRPr="00393D65">
        <w:rPr>
          <w:lang w:val="fr-CA"/>
        </w:rPr>
        <w:t>, 2008 CSC 12, [2008] 1 R.C.S. 305, où la Cour a déclaré ceci :</w:t>
      </w:r>
    </w:p>
    <w:p w:rsidR="008C3D0D" w:rsidRPr="00393D65" w:rsidRDefault="008C3D0D" w:rsidP="008C3D0D">
      <w:pPr>
        <w:pStyle w:val="Citation1"/>
        <w:tabs>
          <w:tab w:val="left" w:pos="1620"/>
        </w:tabs>
        <w:rPr>
          <w:lang w:val="fr-CA"/>
        </w:rPr>
      </w:pPr>
      <w:r w:rsidRPr="00393D65">
        <w:rPr>
          <w:lang w:val="fr-CA"/>
        </w:rPr>
        <w:tab/>
        <w:t>Le silence du législateur n</w:t>
      </w:r>
      <w:r w:rsidR="00C03762">
        <w:rPr>
          <w:lang w:val="fr-CA"/>
        </w:rPr>
        <w:t>’</w:t>
      </w:r>
      <w:r w:rsidRPr="00393D65">
        <w:rPr>
          <w:lang w:val="fr-CA"/>
        </w:rPr>
        <w:t>est pas nécessairement déterminant quant à son intention, mais en l</w:t>
      </w:r>
      <w:r w:rsidR="00C03762">
        <w:rPr>
          <w:lang w:val="fr-CA"/>
        </w:rPr>
        <w:t>’</w:t>
      </w:r>
      <w:r w:rsidRPr="00393D65">
        <w:rPr>
          <w:lang w:val="fr-CA"/>
        </w:rPr>
        <w:t>espèce, il répond à la demande pressante de Telus et des autres entreprises et organisations intéressées que la loi prévoie expressément la possibilité d</w:t>
      </w:r>
      <w:r w:rsidR="00C03762">
        <w:rPr>
          <w:lang w:val="fr-CA"/>
        </w:rPr>
        <w:t>’</w:t>
      </w:r>
      <w:r w:rsidRPr="00393D65">
        <w:rPr>
          <w:lang w:val="fr-CA"/>
        </w:rPr>
        <w:t xml:space="preserve">un remboursement des frais raisonnables engagés pour communiquer des éléments de preuve conformément à une ordonnance.  </w:t>
      </w:r>
      <w:r w:rsidRPr="00393D65">
        <w:rPr>
          <w:rStyle w:val="c03"/>
          <w:color w:val="auto"/>
          <w:lang w:val="fr-CA"/>
        </w:rPr>
        <w:t>L</w:t>
      </w:r>
      <w:r w:rsidR="00C03762">
        <w:rPr>
          <w:rStyle w:val="c03"/>
          <w:color w:val="auto"/>
          <w:lang w:val="fr-CA"/>
        </w:rPr>
        <w:t>’</w:t>
      </w:r>
      <w:r w:rsidRPr="00393D65">
        <w:rPr>
          <w:rStyle w:val="c03"/>
          <w:color w:val="auto"/>
          <w:lang w:val="fr-CA"/>
        </w:rPr>
        <w:t>historique</w:t>
      </w:r>
      <w:r w:rsidRPr="00393D65">
        <w:rPr>
          <w:rStyle w:val="c03"/>
          <w:lang w:val="fr-CA"/>
        </w:rPr>
        <w:t xml:space="preserve"> </w:t>
      </w:r>
      <w:r w:rsidRPr="00393D65">
        <w:rPr>
          <w:rStyle w:val="c03"/>
          <w:color w:val="auto"/>
          <w:lang w:val="fr-CA"/>
        </w:rPr>
        <w:t>législatif confirme selon moi que le législateur n</w:t>
      </w:r>
      <w:r w:rsidR="00C03762">
        <w:rPr>
          <w:rStyle w:val="c03"/>
          <w:color w:val="auto"/>
          <w:lang w:val="fr-CA"/>
        </w:rPr>
        <w:t>’</w:t>
      </w:r>
      <w:r w:rsidRPr="00393D65">
        <w:rPr>
          <w:rStyle w:val="c03"/>
          <w:color w:val="auto"/>
          <w:lang w:val="fr-CA"/>
        </w:rPr>
        <w:t>a pas voulu qu</w:t>
      </w:r>
      <w:r w:rsidR="00C03762">
        <w:rPr>
          <w:rStyle w:val="c03"/>
          <w:color w:val="auto"/>
          <w:lang w:val="fr-CA"/>
        </w:rPr>
        <w:t>’</w:t>
      </w:r>
      <w:r w:rsidRPr="00393D65">
        <w:rPr>
          <w:rStyle w:val="c03"/>
          <w:color w:val="auto"/>
          <w:lang w:val="fr-CA"/>
        </w:rPr>
        <w:t>une indemnité soit versée pour l</w:t>
      </w:r>
      <w:r w:rsidR="00C03762">
        <w:rPr>
          <w:rStyle w:val="c03"/>
          <w:color w:val="auto"/>
          <w:lang w:val="fr-CA"/>
        </w:rPr>
        <w:t>’</w:t>
      </w:r>
      <w:r w:rsidRPr="00393D65">
        <w:rPr>
          <w:rStyle w:val="c03"/>
          <w:color w:val="auto"/>
          <w:lang w:val="fr-CA"/>
        </w:rPr>
        <w:t>obtempération à une ordonnance de communication.  [</w:t>
      </w:r>
      <w:r w:rsidRPr="00393D65">
        <w:rPr>
          <w:lang w:val="fr-CA"/>
        </w:rPr>
        <w:t>par. 42]</w:t>
      </w:r>
    </w:p>
    <w:p w:rsidR="008C3D0D" w:rsidRPr="00393D65" w:rsidRDefault="008C3D0D" w:rsidP="00562BD7">
      <w:pPr>
        <w:pStyle w:val="ListParagraph"/>
        <w:numPr>
          <w:ilvl w:val="0"/>
          <w:numId w:val="34"/>
        </w:numPr>
        <w:tabs>
          <w:tab w:val="left" w:pos="1170"/>
        </w:tabs>
        <w:spacing w:after="480" w:line="480" w:lineRule="auto"/>
        <w:ind w:left="0" w:firstLine="0"/>
        <w:jc w:val="both"/>
        <w:rPr>
          <w:lang w:val="fr-CA"/>
        </w:rPr>
      </w:pPr>
      <w:r w:rsidRPr="00393D65">
        <w:rPr>
          <w:lang w:val="fr-CA"/>
        </w:rPr>
        <w:t>Tout ce qui précède permet clairement d</w:t>
      </w:r>
      <w:r w:rsidR="00C03762">
        <w:rPr>
          <w:lang w:val="fr-CA"/>
        </w:rPr>
        <w:t>’</w:t>
      </w:r>
      <w:r w:rsidRPr="00393D65">
        <w:rPr>
          <w:lang w:val="fr-CA"/>
        </w:rPr>
        <w:t>inférer que le législateur a délibérément choisi de soustraire la fiducie réputée établie au par. 222(3) à l</w:t>
      </w:r>
      <w:r w:rsidR="00C03762">
        <w:rPr>
          <w:lang w:val="fr-CA"/>
        </w:rPr>
        <w:t>’</w:t>
      </w:r>
      <w:r w:rsidRPr="00393D65">
        <w:rPr>
          <w:lang w:val="fr-CA"/>
        </w:rPr>
        <w:t xml:space="preserve">application du par. 18.3(1) de la </w:t>
      </w:r>
      <w:r w:rsidRPr="00393D65">
        <w:rPr>
          <w:i/>
          <w:lang w:val="fr-CA"/>
        </w:rPr>
        <w:t>LACC</w:t>
      </w:r>
      <w:r w:rsidRPr="00393D65">
        <w:rPr>
          <w:lang w:val="fr-CA"/>
        </w:rPr>
        <w:t>.</w:t>
      </w:r>
    </w:p>
    <w:p w:rsidR="008C3D0D" w:rsidRPr="00393D65" w:rsidRDefault="008C3D0D" w:rsidP="00562BD7">
      <w:pPr>
        <w:pStyle w:val="ListParagraph"/>
        <w:numPr>
          <w:ilvl w:val="0"/>
          <w:numId w:val="34"/>
        </w:numPr>
        <w:tabs>
          <w:tab w:val="left" w:pos="1170"/>
        </w:tabs>
        <w:spacing w:after="480" w:line="480" w:lineRule="auto"/>
        <w:ind w:left="0" w:firstLine="0"/>
        <w:jc w:val="both"/>
        <w:rPr>
          <w:lang w:val="fr-CA"/>
        </w:rPr>
      </w:pPr>
      <w:r w:rsidRPr="00393D65">
        <w:rPr>
          <w:lang w:val="fr-CA"/>
        </w:rPr>
        <w:t>Je ne vois pas non plus de « considération de politique générale » qui justifierait d</w:t>
      </w:r>
      <w:r w:rsidR="00C03762">
        <w:rPr>
          <w:lang w:val="fr-CA"/>
        </w:rPr>
        <w:t>’</w:t>
      </w:r>
      <w:r w:rsidRPr="00393D65">
        <w:rPr>
          <w:lang w:val="fr-CA"/>
        </w:rPr>
        <w:t>aller à l</w:t>
      </w:r>
      <w:r w:rsidR="00C03762">
        <w:rPr>
          <w:lang w:val="fr-CA"/>
        </w:rPr>
        <w:t>’</w:t>
      </w:r>
      <w:r w:rsidRPr="00393D65">
        <w:rPr>
          <w:lang w:val="fr-CA"/>
        </w:rPr>
        <w:t>encontre, par voie d</w:t>
      </w:r>
      <w:r w:rsidR="00C03762">
        <w:rPr>
          <w:lang w:val="fr-CA"/>
        </w:rPr>
        <w:t>’</w:t>
      </w:r>
      <w:r w:rsidRPr="00393D65">
        <w:rPr>
          <w:lang w:val="fr-CA"/>
        </w:rPr>
        <w:t>interprétation législative, de l</w:t>
      </w:r>
      <w:r w:rsidR="00C03762">
        <w:rPr>
          <w:lang w:val="fr-CA"/>
        </w:rPr>
        <w:t>’</w:t>
      </w:r>
      <w:r w:rsidRPr="00393D65">
        <w:rPr>
          <w:lang w:val="fr-CA"/>
        </w:rPr>
        <w:t>intention aussi clairement exprimée par le législateur.  Je ne saurais expliquer mieux que ne l</w:t>
      </w:r>
      <w:r w:rsidR="00C03762">
        <w:rPr>
          <w:lang w:val="fr-CA"/>
        </w:rPr>
        <w:t>’</w:t>
      </w:r>
      <w:r w:rsidRPr="00393D65">
        <w:rPr>
          <w:lang w:val="fr-CA"/>
        </w:rPr>
        <w:t>a fait le juge d</w:t>
      </w:r>
      <w:r w:rsidR="00C03762">
        <w:rPr>
          <w:lang w:val="fr-CA"/>
        </w:rPr>
        <w:t>’</w:t>
      </w:r>
      <w:r w:rsidRPr="00393D65">
        <w:rPr>
          <w:lang w:val="fr-CA"/>
        </w:rPr>
        <w:t>appel Tysoe les raisons pour lesquelles l</w:t>
      </w:r>
      <w:r w:rsidR="00C03762">
        <w:rPr>
          <w:lang w:val="fr-CA"/>
        </w:rPr>
        <w:t>’</w:t>
      </w:r>
      <w:r w:rsidRPr="00393D65">
        <w:rPr>
          <w:lang w:val="fr-CA"/>
        </w:rPr>
        <w:t xml:space="preserve">argument invoquant des </w:t>
      </w:r>
      <w:r w:rsidRPr="00393D65">
        <w:rPr>
          <w:lang w:val="fr-CA"/>
        </w:rPr>
        <w:lastRenderedPageBreak/>
        <w:t>considérations de politique générale ne peut, selon moi, être retenu en l</w:t>
      </w:r>
      <w:r w:rsidR="00C03762">
        <w:rPr>
          <w:lang w:val="fr-CA"/>
        </w:rPr>
        <w:t>’</w:t>
      </w:r>
      <w:r w:rsidRPr="00393D65">
        <w:rPr>
          <w:lang w:val="fr-CA"/>
        </w:rPr>
        <w:t>espèce.  Je vais donc reprendre à mon compte ses propos à ce sujet :</w:t>
      </w:r>
    </w:p>
    <w:p w:rsidR="008C3D0D" w:rsidRPr="00393D65" w:rsidRDefault="008C3D0D" w:rsidP="00E70833">
      <w:pPr>
        <w:pStyle w:val="Citation1"/>
        <w:ind w:firstLine="274"/>
        <w:rPr>
          <w:lang w:val="fr-CA"/>
        </w:rPr>
      </w:pPr>
      <w:r w:rsidRPr="00393D65">
        <w:rPr>
          <w:smallCaps/>
          <w:lang w:val="fr-CA"/>
        </w:rPr>
        <w:t>[traduction]</w:t>
      </w:r>
      <w:r w:rsidR="000279AD">
        <w:rPr>
          <w:smallCaps/>
          <w:lang w:val="fr-CA"/>
        </w:rPr>
        <w:t xml:space="preserve"> </w:t>
      </w:r>
      <w:r w:rsidRPr="00393D65">
        <w:rPr>
          <w:lang w:val="fr-CA"/>
        </w:rPr>
        <w:t>Je ne conteste pas qu</w:t>
      </w:r>
      <w:r w:rsidR="00C03762">
        <w:rPr>
          <w:lang w:val="fr-CA"/>
        </w:rPr>
        <w:t>’</w:t>
      </w:r>
      <w:r w:rsidRPr="00393D65">
        <w:rPr>
          <w:lang w:val="fr-CA"/>
        </w:rPr>
        <w:t>il existe des raisons de politique générale valables qui justifient d</w:t>
      </w:r>
      <w:r w:rsidR="00C03762">
        <w:rPr>
          <w:lang w:val="fr-CA"/>
        </w:rPr>
        <w:t>’</w:t>
      </w:r>
      <w:r w:rsidRPr="00393D65">
        <w:rPr>
          <w:lang w:val="fr-CA"/>
        </w:rPr>
        <w:t>inciter les entreprises insolvables à tenter de se restructurer de façon à pouvoir continuer à exercer leurs activités avec le moins de perturbations possibles pour leurs employés et pour les autres intéressés.  Les tribunaux peuvent légitimement tenir compte de telles considérations de politique générale, mais seulement si elles ont trait à une question que le législateur n</w:t>
      </w:r>
      <w:r w:rsidR="00C03762">
        <w:rPr>
          <w:lang w:val="fr-CA"/>
        </w:rPr>
        <w:t>’</w:t>
      </w:r>
      <w:r w:rsidRPr="00393D65">
        <w:rPr>
          <w:lang w:val="fr-CA"/>
        </w:rPr>
        <w:t>a pas examinée.  Or, dans le cas qui nous occupe, il y a lieu de présumer que le législateur a tenu compte de considérations de politique générale lorsqu</w:t>
      </w:r>
      <w:r w:rsidR="00C03762">
        <w:rPr>
          <w:lang w:val="fr-CA"/>
        </w:rPr>
        <w:t>’</w:t>
      </w:r>
      <w:r w:rsidRPr="00393D65">
        <w:rPr>
          <w:lang w:val="fr-CA"/>
        </w:rPr>
        <w:t xml:space="preserve">il a adopté les modifications susmentionnées à la </w:t>
      </w:r>
      <w:r w:rsidRPr="00393D65">
        <w:rPr>
          <w:i/>
          <w:lang w:val="fr-CA"/>
        </w:rPr>
        <w:t>LACC</w:t>
      </w:r>
      <w:r w:rsidRPr="00393D65">
        <w:rPr>
          <w:lang w:val="fr-CA"/>
        </w:rPr>
        <w:t xml:space="preserve"> et à la </w:t>
      </w:r>
      <w:r w:rsidRPr="00393D65">
        <w:rPr>
          <w:i/>
          <w:lang w:val="fr-CA"/>
        </w:rPr>
        <w:t>LTA</w:t>
      </w:r>
      <w:r w:rsidRPr="00393D65">
        <w:rPr>
          <w:lang w:val="fr-CA"/>
        </w:rPr>
        <w:t>.  Comme le juge MacPherson le fait observer au par. 43 de l</w:t>
      </w:r>
      <w:r w:rsidR="00C03762">
        <w:rPr>
          <w:lang w:val="fr-CA"/>
        </w:rPr>
        <w:t>’</w:t>
      </w:r>
      <w:r w:rsidRPr="00393D65">
        <w:rPr>
          <w:lang w:val="fr-CA"/>
        </w:rPr>
        <w:t xml:space="preserve">arrêt </w:t>
      </w:r>
      <w:r w:rsidRPr="00393D65">
        <w:rPr>
          <w:i/>
          <w:lang w:val="fr-CA"/>
        </w:rPr>
        <w:t>Ottawa Senators</w:t>
      </w:r>
      <w:r w:rsidRPr="00393D65">
        <w:rPr>
          <w:lang w:val="fr-CA"/>
        </w:rPr>
        <w:t>, il est inconcevable que le législateur, lorsqu</w:t>
      </w:r>
      <w:r w:rsidR="00C03762">
        <w:rPr>
          <w:lang w:val="fr-CA"/>
        </w:rPr>
        <w:t>’</w:t>
      </w:r>
      <w:r w:rsidRPr="00393D65">
        <w:rPr>
          <w:lang w:val="fr-CA"/>
        </w:rPr>
        <w:t xml:space="preserve">il a adopté la version actuelle du par. 222(3) de la </w:t>
      </w:r>
      <w:r w:rsidRPr="00393D65">
        <w:rPr>
          <w:i/>
          <w:lang w:val="fr-CA"/>
        </w:rPr>
        <w:t>LTA</w:t>
      </w:r>
      <w:r w:rsidRPr="00393D65">
        <w:rPr>
          <w:lang w:val="fr-CA"/>
        </w:rPr>
        <w:t xml:space="preserve">, ait désigné expressément la </w:t>
      </w:r>
      <w:r w:rsidRPr="00393D65">
        <w:rPr>
          <w:i/>
          <w:lang w:val="fr-CA"/>
        </w:rPr>
        <w:t>LFI</w:t>
      </w:r>
      <w:r w:rsidRPr="00393D65">
        <w:rPr>
          <w:lang w:val="fr-CA"/>
        </w:rPr>
        <w:t xml:space="preserve"> comme une exception sans envisager que la </w:t>
      </w:r>
      <w:r w:rsidRPr="00393D65">
        <w:rPr>
          <w:i/>
          <w:lang w:val="fr-CA"/>
        </w:rPr>
        <w:t>LACC</w:t>
      </w:r>
      <w:r w:rsidRPr="00393D65">
        <w:rPr>
          <w:lang w:val="fr-CA"/>
        </w:rPr>
        <w:t xml:space="preserve"> puisse constituer une deuxième exception. Je signale par ailleurs que les modifications apportées en 1992 à la </w:t>
      </w:r>
      <w:r w:rsidRPr="00393D65">
        <w:rPr>
          <w:i/>
          <w:lang w:val="fr-CA"/>
        </w:rPr>
        <w:t>LFI</w:t>
      </w:r>
      <w:r w:rsidRPr="00393D65">
        <w:rPr>
          <w:lang w:val="fr-CA"/>
        </w:rPr>
        <w:t xml:space="preserve"> ont permis de rendre les propositions concordataires opposables aux créanciers garantis et que, malgré la plus grande souplesse de la </w:t>
      </w:r>
      <w:r w:rsidRPr="00393D65">
        <w:rPr>
          <w:i/>
          <w:lang w:val="fr-CA"/>
        </w:rPr>
        <w:t>LACC</w:t>
      </w:r>
      <w:r w:rsidRPr="00393D65">
        <w:rPr>
          <w:lang w:val="fr-CA"/>
        </w:rPr>
        <w:t xml:space="preserve">, il est possible pour une compagnie insolvable de se restructurer sous le régime de la </w:t>
      </w:r>
      <w:r w:rsidRPr="00393D65">
        <w:rPr>
          <w:i/>
          <w:lang w:val="fr-CA"/>
        </w:rPr>
        <w:t>LFI</w:t>
      </w:r>
      <w:r w:rsidRPr="00393D65">
        <w:rPr>
          <w:lang w:val="fr-CA"/>
        </w:rPr>
        <w:t>.  [par. 37]</w:t>
      </w:r>
    </w:p>
    <w:p w:rsidR="008C3D0D" w:rsidRPr="00393D65" w:rsidRDefault="008C3D0D" w:rsidP="00562BD7">
      <w:pPr>
        <w:pStyle w:val="ListParagraph"/>
        <w:numPr>
          <w:ilvl w:val="0"/>
          <w:numId w:val="34"/>
        </w:numPr>
        <w:tabs>
          <w:tab w:val="left" w:pos="1170"/>
        </w:tabs>
        <w:spacing w:after="480" w:line="480" w:lineRule="auto"/>
        <w:ind w:left="0" w:firstLine="0"/>
        <w:jc w:val="both"/>
        <w:rPr>
          <w:lang w:val="fr-CA"/>
        </w:rPr>
      </w:pPr>
      <w:r w:rsidRPr="00393D65">
        <w:rPr>
          <w:lang w:val="fr-CA"/>
        </w:rPr>
        <w:t>Bien que je sois d</w:t>
      </w:r>
      <w:r w:rsidR="00C03762">
        <w:rPr>
          <w:lang w:val="fr-CA"/>
        </w:rPr>
        <w:t>’</w:t>
      </w:r>
      <w:r w:rsidRPr="00393D65">
        <w:rPr>
          <w:lang w:val="fr-CA"/>
        </w:rPr>
        <w:t>avis que la clarté des termes employés au par. 222(3) tranche la question, j</w:t>
      </w:r>
      <w:r w:rsidR="00C03762">
        <w:rPr>
          <w:lang w:val="fr-CA"/>
        </w:rPr>
        <w:t>’</w:t>
      </w:r>
      <w:r w:rsidRPr="00393D65">
        <w:rPr>
          <w:lang w:val="fr-CA"/>
        </w:rPr>
        <w:t>estime également que cette conclusion est même renforcée par l</w:t>
      </w:r>
      <w:r w:rsidR="00C03762">
        <w:rPr>
          <w:lang w:val="fr-CA"/>
        </w:rPr>
        <w:t>’</w:t>
      </w:r>
      <w:r w:rsidRPr="00393D65">
        <w:rPr>
          <w:lang w:val="fr-CA"/>
        </w:rPr>
        <w:t>application d</w:t>
      </w:r>
      <w:r w:rsidR="00C03762">
        <w:rPr>
          <w:lang w:val="fr-CA"/>
        </w:rPr>
        <w:t>’</w:t>
      </w:r>
      <w:r w:rsidRPr="00393D65">
        <w:rPr>
          <w:lang w:val="fr-CA"/>
        </w:rPr>
        <w:t>autres principes d</w:t>
      </w:r>
      <w:r w:rsidR="00C03762">
        <w:rPr>
          <w:lang w:val="fr-CA"/>
        </w:rPr>
        <w:t>’</w:t>
      </w:r>
      <w:r w:rsidRPr="00393D65">
        <w:rPr>
          <w:lang w:val="fr-CA"/>
        </w:rPr>
        <w:t>interprétation.  Dans leurs observations, les parties indiquent que les principes suivants étaient, selon elles, particulièrement pertinents : la Couronne a invoqué le principe voulant que la loi « postérieure » l</w:t>
      </w:r>
      <w:r w:rsidR="00C03762">
        <w:rPr>
          <w:lang w:val="fr-CA"/>
        </w:rPr>
        <w:t>’</w:t>
      </w:r>
      <w:r w:rsidRPr="00393D65">
        <w:rPr>
          <w:lang w:val="fr-CA"/>
        </w:rPr>
        <w:t>emporte; Century Services a fondé son argumentation sur le principe de la préséance de la loi spécifique sur la loi générale (</w:t>
      </w:r>
      <w:r w:rsidRPr="00393D65">
        <w:rPr>
          <w:i/>
          <w:lang w:val="fr-CA"/>
        </w:rPr>
        <w:t>generalia specialibus non derogant</w:t>
      </w:r>
      <w:r w:rsidRPr="00393D65">
        <w:rPr>
          <w:lang w:val="fr-CA"/>
        </w:rPr>
        <w:t xml:space="preserve">). </w:t>
      </w:r>
    </w:p>
    <w:p w:rsidR="008C3D0D" w:rsidRPr="00393D65" w:rsidRDefault="008C3D0D" w:rsidP="00562BD7">
      <w:pPr>
        <w:pStyle w:val="ListParagraph"/>
        <w:numPr>
          <w:ilvl w:val="0"/>
          <w:numId w:val="34"/>
        </w:numPr>
        <w:tabs>
          <w:tab w:val="left" w:pos="1170"/>
        </w:tabs>
        <w:spacing w:after="480" w:line="480" w:lineRule="auto"/>
        <w:ind w:left="0" w:firstLine="0"/>
        <w:jc w:val="both"/>
        <w:rPr>
          <w:lang w:val="fr-CA"/>
        </w:rPr>
      </w:pPr>
      <w:r w:rsidRPr="00393D65">
        <w:rPr>
          <w:lang w:val="fr-CA"/>
        </w:rPr>
        <w:lastRenderedPageBreak/>
        <w:t>Le principe de la préséance de la « loi postérieure » accorde la priorité à la loi la plus récente, au motif que le législateur est présumé connaître le contenu des lois alors en vigueur.  Si, dans la loi nouvelle, le législateur adopte une règle inconciliable avec une règle préexistante, on conclura qu</w:t>
      </w:r>
      <w:r w:rsidR="00C03762">
        <w:rPr>
          <w:lang w:val="fr-CA"/>
        </w:rPr>
        <w:t>’</w:t>
      </w:r>
      <w:r w:rsidRPr="00393D65">
        <w:rPr>
          <w:lang w:val="fr-CA"/>
        </w:rPr>
        <w:t>il a entendu déroger à celle</w:t>
      </w:r>
      <w:r w:rsidRPr="00393D65">
        <w:rPr>
          <w:lang w:val="fr-CA"/>
        </w:rPr>
        <w:noBreakHyphen/>
        <w:t xml:space="preserve">ci </w:t>
      </w:r>
      <w:r w:rsidRPr="00393D65">
        <w:rPr>
          <w:color w:val="000000"/>
          <w:lang w:val="fr-CA"/>
        </w:rPr>
        <w:t xml:space="preserve">(Ruth Sullivan, </w:t>
      </w:r>
      <w:r w:rsidRPr="00393D65">
        <w:rPr>
          <w:i/>
          <w:color w:val="000000"/>
          <w:lang w:val="fr-CA"/>
        </w:rPr>
        <w:t>Sullivan on the Construction of Statutes</w:t>
      </w:r>
      <w:r w:rsidRPr="00393D65">
        <w:rPr>
          <w:color w:val="000000"/>
          <w:lang w:val="fr-CA"/>
        </w:rPr>
        <w:t xml:space="preserve"> (5</w:t>
      </w:r>
      <w:r w:rsidRPr="00393D65">
        <w:rPr>
          <w:color w:val="000000"/>
          <w:vertAlign w:val="superscript"/>
          <w:lang w:val="fr-CA"/>
        </w:rPr>
        <w:t>e</w:t>
      </w:r>
      <w:r w:rsidRPr="00393D65">
        <w:rPr>
          <w:color w:val="000000"/>
          <w:lang w:val="fr-CA"/>
        </w:rPr>
        <w:t> éd. 2008), p. 346</w:t>
      </w:r>
      <w:r w:rsidRPr="00393D65">
        <w:rPr>
          <w:color w:val="000000"/>
          <w:lang w:val="fr-CA"/>
        </w:rPr>
        <w:noBreakHyphen/>
        <w:t>347; Pierre</w:t>
      </w:r>
      <w:r w:rsidRPr="00393D65">
        <w:rPr>
          <w:color w:val="000000"/>
          <w:lang w:val="fr-CA"/>
        </w:rPr>
        <w:noBreakHyphen/>
        <w:t xml:space="preserve">André Côté, </w:t>
      </w:r>
      <w:r w:rsidRPr="00393D65">
        <w:rPr>
          <w:i/>
          <w:color w:val="000000"/>
          <w:lang w:val="fr-CA"/>
        </w:rPr>
        <w:t>The Interpretation of Legislation in Canada</w:t>
      </w:r>
      <w:r w:rsidRPr="00393D65">
        <w:rPr>
          <w:color w:val="000000"/>
          <w:lang w:val="fr-CA"/>
        </w:rPr>
        <w:t xml:space="preserve"> (3</w:t>
      </w:r>
      <w:r w:rsidRPr="00393D65">
        <w:rPr>
          <w:color w:val="000000"/>
          <w:vertAlign w:val="superscript"/>
          <w:lang w:val="fr-CA"/>
        </w:rPr>
        <w:t>e</w:t>
      </w:r>
      <w:r w:rsidRPr="00393D65">
        <w:rPr>
          <w:color w:val="000000"/>
          <w:lang w:val="fr-CA"/>
        </w:rPr>
        <w:t> éd. 2000), p. 358).</w:t>
      </w:r>
    </w:p>
    <w:p w:rsidR="008C3D0D" w:rsidRPr="00393D65" w:rsidRDefault="008C3D0D" w:rsidP="00562BD7">
      <w:pPr>
        <w:pStyle w:val="ListParagraph"/>
        <w:numPr>
          <w:ilvl w:val="0"/>
          <w:numId w:val="34"/>
        </w:numPr>
        <w:tabs>
          <w:tab w:val="left" w:pos="1170"/>
        </w:tabs>
        <w:spacing w:after="480" w:line="480" w:lineRule="auto"/>
        <w:ind w:left="0" w:firstLine="0"/>
        <w:jc w:val="both"/>
        <w:rPr>
          <w:lang w:val="fr-CA"/>
        </w:rPr>
      </w:pPr>
      <w:r w:rsidRPr="00393D65">
        <w:rPr>
          <w:lang w:val="fr-CA"/>
        </w:rPr>
        <w:t>L</w:t>
      </w:r>
      <w:r w:rsidR="00C03762">
        <w:rPr>
          <w:lang w:val="fr-CA"/>
        </w:rPr>
        <w:t>’</w:t>
      </w:r>
      <w:r w:rsidRPr="00393D65">
        <w:rPr>
          <w:lang w:val="fr-CA"/>
        </w:rPr>
        <w:t xml:space="preserve">exception à cette supplantation présumée des dispositions législatives préexistantes incompatibles réside dans le principe exprimé par la maxime </w:t>
      </w:r>
      <w:r w:rsidRPr="00393D65">
        <w:rPr>
          <w:i/>
          <w:lang w:val="fr-CA"/>
        </w:rPr>
        <w:t>generalia specialibus non derogant</w:t>
      </w:r>
      <w:r w:rsidRPr="00393D65">
        <w:rPr>
          <w:lang w:val="fr-CA"/>
        </w:rPr>
        <w:t>  selon laquelle une disposition générale plus récente n</w:t>
      </w:r>
      <w:r w:rsidR="00C03762">
        <w:rPr>
          <w:lang w:val="fr-CA"/>
        </w:rPr>
        <w:t>’</w:t>
      </w:r>
      <w:r w:rsidRPr="00393D65">
        <w:rPr>
          <w:lang w:val="fr-CA"/>
        </w:rPr>
        <w:t xml:space="preserve">est pas réputée déroger à une loi spéciale antérieure </w:t>
      </w:r>
      <w:r w:rsidRPr="00393D65">
        <w:rPr>
          <w:color w:val="000000"/>
          <w:lang w:val="fr-CA"/>
        </w:rPr>
        <w:t>(Côté, p. 359</w:t>
      </w:r>
      <w:r w:rsidRPr="00393D65">
        <w:rPr>
          <w:lang w:val="fr-CA"/>
        </w:rPr>
        <w:t>).  Comme dans le jeu des poupées russes, cette exception comporte elle</w:t>
      </w:r>
      <w:r w:rsidRPr="00393D65">
        <w:rPr>
          <w:lang w:val="fr-CA"/>
        </w:rPr>
        <w:noBreakHyphen/>
        <w:t>même une exception.  En effet, une disposition spécifique antérieure peut dans les faits être « supplantée » par une loi ultérieure de portée générale si le législateur, par les mots qu</w:t>
      </w:r>
      <w:r w:rsidR="00C03762">
        <w:rPr>
          <w:lang w:val="fr-CA"/>
        </w:rPr>
        <w:t>’</w:t>
      </w:r>
      <w:r w:rsidRPr="00393D65">
        <w:rPr>
          <w:lang w:val="fr-CA"/>
        </w:rPr>
        <w:t>il a employés, a exprimé l</w:t>
      </w:r>
      <w:r w:rsidR="00C03762">
        <w:rPr>
          <w:lang w:val="fr-CA"/>
        </w:rPr>
        <w:t>’</w:t>
      </w:r>
      <w:r w:rsidRPr="00393D65">
        <w:rPr>
          <w:lang w:val="fr-CA"/>
        </w:rPr>
        <w:t>intention de faire prévaloir la loi générale (</w:t>
      </w:r>
      <w:r w:rsidRPr="00393D65">
        <w:rPr>
          <w:i/>
          <w:lang w:val="fr-CA"/>
        </w:rPr>
        <w:t>Doré c. Verdun (Ville)</w:t>
      </w:r>
      <w:r w:rsidRPr="00393D65">
        <w:rPr>
          <w:lang w:val="fr-CA"/>
        </w:rPr>
        <w:t xml:space="preserve">, [1997] 2 R.C.S. 862). </w:t>
      </w:r>
    </w:p>
    <w:p w:rsidR="008C3D0D" w:rsidRPr="00393D65" w:rsidRDefault="008C3D0D" w:rsidP="00562BD7">
      <w:pPr>
        <w:pStyle w:val="ListParagraph"/>
        <w:numPr>
          <w:ilvl w:val="0"/>
          <w:numId w:val="34"/>
        </w:numPr>
        <w:tabs>
          <w:tab w:val="left" w:pos="1170"/>
        </w:tabs>
        <w:spacing w:after="480" w:line="480" w:lineRule="auto"/>
        <w:ind w:left="0" w:firstLine="0"/>
        <w:jc w:val="both"/>
        <w:rPr>
          <w:lang w:val="fr-CA"/>
        </w:rPr>
      </w:pPr>
      <w:r w:rsidRPr="00393D65">
        <w:rPr>
          <w:lang w:val="fr-CA"/>
        </w:rPr>
        <w:t>Ces principes d</w:t>
      </w:r>
      <w:r w:rsidR="00C03762">
        <w:rPr>
          <w:lang w:val="fr-CA"/>
        </w:rPr>
        <w:t>’</w:t>
      </w:r>
      <w:r w:rsidRPr="00393D65">
        <w:rPr>
          <w:lang w:val="fr-CA"/>
        </w:rPr>
        <w:t>interprétation visent principalement à faciliter la détermination de l</w:t>
      </w:r>
      <w:r w:rsidR="00C03762">
        <w:rPr>
          <w:lang w:val="fr-CA"/>
        </w:rPr>
        <w:t>’</w:t>
      </w:r>
      <w:r w:rsidRPr="00393D65">
        <w:rPr>
          <w:lang w:val="fr-CA"/>
        </w:rPr>
        <w:t>intention du législateur, comme l</w:t>
      </w:r>
      <w:r w:rsidR="00C03762">
        <w:rPr>
          <w:lang w:val="fr-CA"/>
        </w:rPr>
        <w:t>’</w:t>
      </w:r>
      <w:r w:rsidRPr="00393D65">
        <w:rPr>
          <w:lang w:val="fr-CA"/>
        </w:rPr>
        <w:t>a confirmé le juge d</w:t>
      </w:r>
      <w:r w:rsidR="00C03762">
        <w:rPr>
          <w:lang w:val="fr-CA"/>
        </w:rPr>
        <w:t>’</w:t>
      </w:r>
      <w:r w:rsidRPr="00393D65">
        <w:rPr>
          <w:lang w:val="fr-CA"/>
        </w:rPr>
        <w:t>appel MacPherson dans l</w:t>
      </w:r>
      <w:r w:rsidR="00C03762">
        <w:rPr>
          <w:lang w:val="fr-CA"/>
        </w:rPr>
        <w:t>’</w:t>
      </w:r>
      <w:r w:rsidRPr="00393D65">
        <w:rPr>
          <w:lang w:val="fr-CA"/>
        </w:rPr>
        <w:t xml:space="preserve">arrêt </w:t>
      </w:r>
      <w:r w:rsidRPr="00393D65">
        <w:rPr>
          <w:i/>
          <w:lang w:val="fr-CA"/>
        </w:rPr>
        <w:t>Ottawa Senators</w:t>
      </w:r>
      <w:r w:rsidRPr="00393D65">
        <w:rPr>
          <w:lang w:val="fr-CA"/>
        </w:rPr>
        <w:t>, au par. 42 :</w:t>
      </w:r>
    </w:p>
    <w:p w:rsidR="008C3D0D" w:rsidRPr="00393D65" w:rsidRDefault="008C3D0D" w:rsidP="004613F5">
      <w:pPr>
        <w:pStyle w:val="Citation1"/>
        <w:keepNext/>
        <w:spacing w:after="0"/>
        <w:ind w:firstLine="274"/>
        <w:rPr>
          <w:lang w:val="fr-CA"/>
        </w:rPr>
      </w:pPr>
      <w:r w:rsidRPr="00393D65">
        <w:rPr>
          <w:lang w:val="fr-CA"/>
        </w:rPr>
        <w:t>[</w:t>
      </w:r>
      <w:r w:rsidRPr="00393D65">
        <w:rPr>
          <w:smallCaps/>
          <w:lang w:val="fr-CA"/>
        </w:rPr>
        <w:t>traduction</w:t>
      </w:r>
      <w:r w:rsidRPr="00393D65">
        <w:rPr>
          <w:lang w:val="fr-CA"/>
        </w:rPr>
        <w:t>]</w:t>
      </w:r>
      <w:r w:rsidR="00E70833">
        <w:rPr>
          <w:lang w:val="fr-CA"/>
        </w:rPr>
        <w:t xml:space="preserve"> . . . e</w:t>
      </w:r>
      <w:r w:rsidRPr="00393D65">
        <w:rPr>
          <w:lang w:val="fr-CA"/>
        </w:rPr>
        <w:t>n matière d</w:t>
      </w:r>
      <w:r w:rsidR="00C03762">
        <w:rPr>
          <w:lang w:val="fr-CA"/>
        </w:rPr>
        <w:t>’</w:t>
      </w:r>
      <w:r w:rsidRPr="00393D65">
        <w:rPr>
          <w:lang w:val="fr-CA"/>
        </w:rPr>
        <w:t xml:space="preserve">interprétation des lois, la règle cardinale est la suivante : les dispositions législatives doivent être </w:t>
      </w:r>
      <w:r w:rsidRPr="00393D65">
        <w:rPr>
          <w:lang w:val="fr-CA"/>
        </w:rPr>
        <w:lastRenderedPageBreak/>
        <w:t>interprétées de manière à donner effet à l</w:t>
      </w:r>
      <w:r w:rsidR="00C03762">
        <w:rPr>
          <w:lang w:val="fr-CA"/>
        </w:rPr>
        <w:t>’</w:t>
      </w:r>
      <w:r w:rsidRPr="00393D65">
        <w:rPr>
          <w:lang w:val="fr-CA"/>
        </w:rPr>
        <w:t>intention du législateur lorsqu</w:t>
      </w:r>
      <w:r w:rsidR="00C03762">
        <w:rPr>
          <w:lang w:val="fr-CA"/>
        </w:rPr>
        <w:t>’</w:t>
      </w:r>
      <w:r w:rsidRPr="00393D65">
        <w:rPr>
          <w:lang w:val="fr-CA"/>
        </w:rPr>
        <w:t>il a adopté la loi.  Cette règle fondamentale l</w:t>
      </w:r>
      <w:r w:rsidR="00C03762">
        <w:rPr>
          <w:lang w:val="fr-CA"/>
        </w:rPr>
        <w:t>’</w:t>
      </w:r>
      <w:r w:rsidRPr="00393D65">
        <w:rPr>
          <w:lang w:val="fr-CA"/>
        </w:rPr>
        <w:t>emporte sur toutes les maximes, outils ou canons d</w:t>
      </w:r>
      <w:r w:rsidR="00C03762">
        <w:rPr>
          <w:lang w:val="fr-CA"/>
        </w:rPr>
        <w:t>’</w:t>
      </w:r>
      <w:r w:rsidRPr="00393D65">
        <w:rPr>
          <w:lang w:val="fr-CA"/>
        </w:rPr>
        <w:t>interprétation législative, y compris la maxime suivant laquelle le particulier l</w:t>
      </w:r>
      <w:r w:rsidR="00C03762">
        <w:rPr>
          <w:lang w:val="fr-CA"/>
        </w:rPr>
        <w:t>’</w:t>
      </w:r>
      <w:r w:rsidRPr="00393D65">
        <w:rPr>
          <w:lang w:val="fr-CA"/>
        </w:rPr>
        <w:t>emporte sur le général (</w:t>
      </w:r>
      <w:r w:rsidRPr="00393D65">
        <w:rPr>
          <w:i/>
          <w:lang w:val="fr-CA"/>
        </w:rPr>
        <w:t>generalia specialibus non derogant</w:t>
      </w:r>
      <w:r w:rsidRPr="004613F5">
        <w:rPr>
          <w:lang w:val="fr-CA"/>
        </w:rPr>
        <w:t>)</w:t>
      </w:r>
      <w:r w:rsidRPr="00393D65">
        <w:rPr>
          <w:lang w:val="fr-CA"/>
        </w:rPr>
        <w:t>.  Comme l</w:t>
      </w:r>
      <w:r w:rsidR="00C03762">
        <w:rPr>
          <w:lang w:val="fr-CA"/>
        </w:rPr>
        <w:t>’</w:t>
      </w:r>
      <w:r w:rsidRPr="00393D65">
        <w:rPr>
          <w:lang w:val="fr-CA"/>
        </w:rPr>
        <w:t>a expliqué le juge Hudson dans l</w:t>
      </w:r>
      <w:r w:rsidR="00C03762">
        <w:rPr>
          <w:lang w:val="fr-CA"/>
        </w:rPr>
        <w:t>’</w:t>
      </w:r>
      <w:r w:rsidRPr="00393D65">
        <w:rPr>
          <w:lang w:val="fr-CA"/>
        </w:rPr>
        <w:t xml:space="preserve">arrêt </w:t>
      </w:r>
      <w:r w:rsidRPr="00393D65">
        <w:rPr>
          <w:i/>
          <w:lang w:val="fr-CA"/>
        </w:rPr>
        <w:t>Canada c. Williams</w:t>
      </w:r>
      <w:r w:rsidRPr="00393D65">
        <w:rPr>
          <w:lang w:val="fr-CA"/>
        </w:rPr>
        <w:t xml:space="preserve">, [1944] </w:t>
      </w:r>
      <w:r w:rsidR="00E70833">
        <w:rPr>
          <w:lang w:val="fr-CA"/>
        </w:rPr>
        <w:t>R.C.S. 226</w:t>
      </w:r>
      <w:r w:rsidR="004613F5">
        <w:rPr>
          <w:lang w:val="fr-CA"/>
        </w:rPr>
        <w:t>,</w:t>
      </w:r>
      <w:r w:rsidR="00E70833">
        <w:rPr>
          <w:lang w:val="fr-CA"/>
        </w:rPr>
        <w:t xml:space="preserve"> [. . .] à la p. 239 </w:t>
      </w:r>
      <w:r w:rsidRPr="00393D65">
        <w:rPr>
          <w:lang w:val="fr-CA"/>
        </w:rPr>
        <w:t>. . .</w:t>
      </w:r>
      <w:r w:rsidR="00E70833">
        <w:rPr>
          <w:lang w:val="fr-CA"/>
        </w:rPr>
        <w:t xml:space="preserve"> </w:t>
      </w:r>
      <w:r w:rsidRPr="00393D65">
        <w:rPr>
          <w:lang w:val="fr-CA"/>
        </w:rPr>
        <w:t>:</w:t>
      </w:r>
    </w:p>
    <w:p w:rsidR="008C3D0D" w:rsidRPr="00393D65" w:rsidRDefault="008C3D0D" w:rsidP="008C3D0D">
      <w:pPr>
        <w:pStyle w:val="Citation1"/>
        <w:spacing w:after="0"/>
        <w:rPr>
          <w:lang w:val="fr-CA"/>
        </w:rPr>
      </w:pPr>
    </w:p>
    <w:p w:rsidR="008C3D0D" w:rsidRPr="00393D65" w:rsidRDefault="008C3D0D" w:rsidP="008C3D0D">
      <w:pPr>
        <w:pStyle w:val="Citation1"/>
        <w:ind w:left="1440"/>
        <w:rPr>
          <w:lang w:val="fr-CA"/>
        </w:rPr>
      </w:pPr>
      <w:r w:rsidRPr="00393D65">
        <w:rPr>
          <w:lang w:val="fr-CA"/>
        </w:rPr>
        <w:t xml:space="preserve">On invoque la maxime </w:t>
      </w:r>
      <w:r w:rsidRPr="00393D65">
        <w:rPr>
          <w:i/>
          <w:lang w:val="fr-CA"/>
        </w:rPr>
        <w:t>generalia specialibus non derogant</w:t>
      </w:r>
      <w:r w:rsidRPr="00393D65">
        <w:rPr>
          <w:lang w:val="fr-CA"/>
        </w:rPr>
        <w:t xml:space="preserve"> comme une règle qui devrait trancher la question.  Or cette maxime, qui n</w:t>
      </w:r>
      <w:r w:rsidR="00C03762">
        <w:rPr>
          <w:lang w:val="fr-CA"/>
        </w:rPr>
        <w:t>’</w:t>
      </w:r>
      <w:r w:rsidRPr="00393D65">
        <w:rPr>
          <w:lang w:val="fr-CA"/>
        </w:rPr>
        <w:t>est pas une règle de droit mais un principe d</w:t>
      </w:r>
      <w:r w:rsidR="00C03762">
        <w:rPr>
          <w:lang w:val="fr-CA"/>
        </w:rPr>
        <w:t>’</w:t>
      </w:r>
      <w:r w:rsidRPr="00393D65">
        <w:rPr>
          <w:lang w:val="fr-CA"/>
        </w:rPr>
        <w:t>interprétation, cède le pas devant l</w:t>
      </w:r>
      <w:r w:rsidR="00C03762">
        <w:rPr>
          <w:lang w:val="fr-CA"/>
        </w:rPr>
        <w:t>’</w:t>
      </w:r>
      <w:r w:rsidRPr="00393D65">
        <w:rPr>
          <w:lang w:val="fr-CA"/>
        </w:rPr>
        <w:t>intention du législateur, s</w:t>
      </w:r>
      <w:r w:rsidR="00C03762">
        <w:rPr>
          <w:lang w:val="fr-CA"/>
        </w:rPr>
        <w:t>’</w:t>
      </w:r>
      <w:r w:rsidRPr="00393D65">
        <w:rPr>
          <w:lang w:val="fr-CA"/>
        </w:rPr>
        <w:t>il est raisonnablement possible de la dégager de l</w:t>
      </w:r>
      <w:r w:rsidR="00C03762">
        <w:rPr>
          <w:lang w:val="fr-CA"/>
        </w:rPr>
        <w:t>’</w:t>
      </w:r>
      <w:r w:rsidRPr="00393D65">
        <w:rPr>
          <w:lang w:val="fr-CA"/>
        </w:rPr>
        <w:t>ensemble des dispositions législatives pertinentes.</w:t>
      </w:r>
    </w:p>
    <w:p w:rsidR="008C3D0D" w:rsidRPr="00393D65" w:rsidRDefault="008C3D0D" w:rsidP="009623E0">
      <w:pPr>
        <w:pStyle w:val="SCCNormalDoubleSpacing"/>
        <w:spacing w:after="480"/>
      </w:pPr>
      <w:r w:rsidRPr="00393D65">
        <w:t>(Voir aussi Côté, p. 358, et Pierre</w:t>
      </w:r>
      <w:r w:rsidRPr="00393D65">
        <w:noBreakHyphen/>
        <w:t xml:space="preserve">André Côté, avec la collaboration de S. Beaulac et M. Devinat, </w:t>
      </w:r>
      <w:r w:rsidRPr="00393D65">
        <w:rPr>
          <w:i/>
        </w:rPr>
        <w:t>Interprétation des lois</w:t>
      </w:r>
      <w:r w:rsidRPr="00393D65">
        <w:t xml:space="preserve"> (4</w:t>
      </w:r>
      <w:r w:rsidRPr="00393D65">
        <w:rPr>
          <w:vertAlign w:val="superscript"/>
        </w:rPr>
        <w:t>e</w:t>
      </w:r>
      <w:r w:rsidRPr="00393D65">
        <w:t xml:space="preserve"> éd. 2009), par. 1335.)</w:t>
      </w:r>
    </w:p>
    <w:p w:rsidR="008C3D0D" w:rsidRPr="00393D65" w:rsidRDefault="008C3D0D" w:rsidP="00562BD7">
      <w:pPr>
        <w:pStyle w:val="ListParagraph"/>
        <w:numPr>
          <w:ilvl w:val="0"/>
          <w:numId w:val="34"/>
        </w:numPr>
        <w:tabs>
          <w:tab w:val="left" w:pos="1170"/>
        </w:tabs>
        <w:spacing w:after="480" w:line="480" w:lineRule="auto"/>
        <w:ind w:left="0" w:firstLine="0"/>
        <w:jc w:val="both"/>
        <w:rPr>
          <w:lang w:val="fr-CA"/>
        </w:rPr>
      </w:pPr>
      <w:r w:rsidRPr="00393D65">
        <w:rPr>
          <w:lang w:val="fr-CA"/>
        </w:rPr>
        <w:t>J</w:t>
      </w:r>
      <w:r w:rsidR="00C03762">
        <w:rPr>
          <w:lang w:val="fr-CA"/>
        </w:rPr>
        <w:t>’</w:t>
      </w:r>
      <w:r w:rsidRPr="00393D65">
        <w:rPr>
          <w:lang w:val="fr-CA"/>
        </w:rPr>
        <w:t>accepte l</w:t>
      </w:r>
      <w:r w:rsidR="00C03762">
        <w:rPr>
          <w:lang w:val="fr-CA"/>
        </w:rPr>
        <w:t>’</w:t>
      </w:r>
      <w:r w:rsidRPr="00393D65">
        <w:rPr>
          <w:lang w:val="fr-CA"/>
        </w:rPr>
        <w:t>argument de la Couronne suivant lequel le principe de la loi « postérieure » est déterminant en l</w:t>
      </w:r>
      <w:r w:rsidR="00C03762">
        <w:rPr>
          <w:lang w:val="fr-CA"/>
        </w:rPr>
        <w:t>’</w:t>
      </w:r>
      <w:r w:rsidRPr="00393D65">
        <w:rPr>
          <w:lang w:val="fr-CA"/>
        </w:rPr>
        <w:t xml:space="preserve">espèce.  Comme le par. 222(3) de la </w:t>
      </w:r>
      <w:r w:rsidRPr="00393D65">
        <w:rPr>
          <w:i/>
          <w:lang w:val="fr-CA"/>
        </w:rPr>
        <w:t>LTA</w:t>
      </w:r>
      <w:r w:rsidRPr="00393D65">
        <w:rPr>
          <w:lang w:val="fr-CA"/>
        </w:rPr>
        <w:t xml:space="preserve"> a été édicté en 2000 et que le par. 18.3(1) de la </w:t>
      </w:r>
      <w:r w:rsidRPr="00393D65">
        <w:rPr>
          <w:i/>
          <w:lang w:val="fr-CA"/>
        </w:rPr>
        <w:t xml:space="preserve">LACC </w:t>
      </w:r>
      <w:r w:rsidRPr="00393D65">
        <w:rPr>
          <w:lang w:val="fr-CA"/>
        </w:rPr>
        <w:t xml:space="preserve">a été adopté en 1997, le par. 222(3) est, de toute évidence, la disposition postérieure.  Cette victoire chronologique peut être neutralisée si, comme le soutient Century Services, on démontre que la disposition la plus récente, le par. 222(3) de la </w:t>
      </w:r>
      <w:r w:rsidRPr="00393D65">
        <w:rPr>
          <w:i/>
          <w:lang w:val="fr-CA"/>
        </w:rPr>
        <w:t>LTA</w:t>
      </w:r>
      <w:r w:rsidRPr="00393D65">
        <w:rPr>
          <w:lang w:val="fr-CA"/>
        </w:rPr>
        <w:t>, est une disposition générale, auquel cas c</w:t>
      </w:r>
      <w:r w:rsidR="00C03762">
        <w:rPr>
          <w:lang w:val="fr-CA"/>
        </w:rPr>
        <w:t>’</w:t>
      </w:r>
      <w:r w:rsidRPr="00393D65">
        <w:rPr>
          <w:lang w:val="fr-CA"/>
        </w:rPr>
        <w:t>est la disposition particulière antérieure, le par. 18.3(1), qui l</w:t>
      </w:r>
      <w:r w:rsidR="00C03762">
        <w:rPr>
          <w:lang w:val="fr-CA"/>
        </w:rPr>
        <w:t>’</w:t>
      </w:r>
      <w:r w:rsidRPr="00393D65">
        <w:rPr>
          <w:lang w:val="fr-CA"/>
        </w:rPr>
        <w:t>emporte (</w:t>
      </w:r>
      <w:r w:rsidRPr="00393D65">
        <w:rPr>
          <w:i/>
          <w:lang w:val="fr-CA"/>
        </w:rPr>
        <w:t>generalia specialibus non derogant</w:t>
      </w:r>
      <w:r w:rsidRPr="00393D65">
        <w:rPr>
          <w:lang w:val="fr-CA"/>
        </w:rPr>
        <w:t>).  Mais, comme nous l</w:t>
      </w:r>
      <w:r w:rsidR="00C03762">
        <w:rPr>
          <w:lang w:val="fr-CA"/>
        </w:rPr>
        <w:t>’</w:t>
      </w:r>
      <w:r w:rsidRPr="00393D65">
        <w:rPr>
          <w:lang w:val="fr-CA"/>
        </w:rPr>
        <w:t>avons vu, la disposition particulière antérieure n</w:t>
      </w:r>
      <w:r w:rsidR="00C03762">
        <w:rPr>
          <w:lang w:val="fr-CA"/>
        </w:rPr>
        <w:t>’</w:t>
      </w:r>
      <w:r w:rsidRPr="00393D65">
        <w:rPr>
          <w:lang w:val="fr-CA"/>
        </w:rPr>
        <w:t>a pas préséance si la disposition générale ultérieure paraît la « supplanter ».  C</w:t>
      </w:r>
      <w:r w:rsidR="00C03762">
        <w:rPr>
          <w:lang w:val="fr-CA"/>
        </w:rPr>
        <w:t>’</w:t>
      </w:r>
      <w:r w:rsidRPr="00393D65">
        <w:rPr>
          <w:lang w:val="fr-CA"/>
        </w:rPr>
        <w:t>est précisément, à mon sens, ce qu</w:t>
      </w:r>
      <w:r w:rsidR="00C03762">
        <w:rPr>
          <w:lang w:val="fr-CA"/>
        </w:rPr>
        <w:t>’</w:t>
      </w:r>
      <w:r w:rsidRPr="00393D65">
        <w:rPr>
          <w:lang w:val="fr-CA"/>
        </w:rPr>
        <w:t>accomplit le par. 222(3) de par son libellé, lequel précise que la disposition l</w:t>
      </w:r>
      <w:r w:rsidR="00C03762">
        <w:rPr>
          <w:lang w:val="fr-CA"/>
        </w:rPr>
        <w:t>’</w:t>
      </w:r>
      <w:r w:rsidRPr="00393D65">
        <w:rPr>
          <w:lang w:val="fr-CA"/>
        </w:rPr>
        <w:t xml:space="preserve">emporte sur </w:t>
      </w:r>
      <w:r w:rsidRPr="00393D65">
        <w:rPr>
          <w:color w:val="000000"/>
          <w:lang w:val="fr-CA"/>
        </w:rPr>
        <w:t xml:space="preserve">tout autre texte législatif fédéral, tout texte législatif provincial ou « toute autre règle de droit » </w:t>
      </w:r>
      <w:r w:rsidRPr="00393D65">
        <w:rPr>
          <w:i/>
          <w:color w:val="000000"/>
          <w:lang w:val="fr-CA"/>
        </w:rPr>
        <w:t>sauf la LFI</w:t>
      </w:r>
      <w:r w:rsidRPr="00393D65">
        <w:rPr>
          <w:lang w:val="fr-CA"/>
        </w:rPr>
        <w:t xml:space="preserve">.  Le </w:t>
      </w:r>
      <w:r w:rsidRPr="00393D65">
        <w:rPr>
          <w:lang w:val="fr-CA"/>
        </w:rPr>
        <w:lastRenderedPageBreak/>
        <w:t xml:space="preserve">paragraphe 18.3(1) de la </w:t>
      </w:r>
      <w:r w:rsidRPr="00393D65">
        <w:rPr>
          <w:i/>
          <w:lang w:val="fr-CA"/>
        </w:rPr>
        <w:t>LACC</w:t>
      </w:r>
      <w:r w:rsidRPr="00393D65">
        <w:rPr>
          <w:lang w:val="fr-CA"/>
        </w:rPr>
        <w:t xml:space="preserve"> est par conséquent rendu inopérant aux fins d</w:t>
      </w:r>
      <w:r w:rsidR="00C03762">
        <w:rPr>
          <w:lang w:val="fr-CA"/>
        </w:rPr>
        <w:t>’</w:t>
      </w:r>
      <w:r w:rsidRPr="00393D65">
        <w:rPr>
          <w:lang w:val="fr-CA"/>
        </w:rPr>
        <w:t>application du par. 222(3).</w:t>
      </w:r>
    </w:p>
    <w:p w:rsidR="008C3D0D" w:rsidRPr="00393D65" w:rsidRDefault="008C3D0D" w:rsidP="004613F5">
      <w:pPr>
        <w:pStyle w:val="ListParagraph"/>
        <w:numPr>
          <w:ilvl w:val="0"/>
          <w:numId w:val="34"/>
        </w:numPr>
        <w:tabs>
          <w:tab w:val="left" w:pos="180"/>
          <w:tab w:val="left" w:pos="1170"/>
        </w:tabs>
        <w:spacing w:after="480" w:line="480" w:lineRule="auto"/>
        <w:ind w:left="0" w:firstLine="0"/>
        <w:jc w:val="both"/>
        <w:rPr>
          <w:lang w:val="fr-CA"/>
        </w:rPr>
      </w:pPr>
      <w:r w:rsidRPr="00393D65">
        <w:rPr>
          <w:lang w:val="fr-CA"/>
        </w:rPr>
        <w:t xml:space="preserve">Il est vrai que, lorsque la </w:t>
      </w:r>
      <w:r w:rsidRPr="00393D65">
        <w:rPr>
          <w:i/>
          <w:lang w:val="fr-CA"/>
        </w:rPr>
        <w:t>LACC</w:t>
      </w:r>
      <w:r w:rsidRPr="00393D65">
        <w:rPr>
          <w:lang w:val="fr-CA"/>
        </w:rPr>
        <w:t xml:space="preserve"> a été modifiée en 2005</w:t>
      </w:r>
      <w:r w:rsidRPr="00393D65">
        <w:rPr>
          <w:rStyle w:val="FootnoteReference"/>
          <w:color w:val="000000"/>
        </w:rPr>
        <w:footnoteReference w:id="2"/>
      </w:r>
      <w:r w:rsidRPr="00393D65">
        <w:rPr>
          <w:lang w:val="fr-CA"/>
        </w:rPr>
        <w:t>, le par. 18.3(1) a été remplacé par le par. 37(1) (L.C. 2005, ch. 47, art. 131).  Selon la juge Deschamps, le par. 37(1) est devenu, de ce fait, la disposition « postérieure ».  Avec égards pour l</w:t>
      </w:r>
      <w:r w:rsidR="00C03762">
        <w:rPr>
          <w:lang w:val="fr-CA"/>
        </w:rPr>
        <w:t>’</w:t>
      </w:r>
      <w:r w:rsidRPr="00393D65">
        <w:rPr>
          <w:lang w:val="fr-CA"/>
        </w:rPr>
        <w:t>opinion exprimée par ma collègue, cette observation est réfutée par l</w:t>
      </w:r>
      <w:r w:rsidR="00C03762">
        <w:rPr>
          <w:lang w:val="fr-CA"/>
        </w:rPr>
        <w:t>’</w:t>
      </w:r>
      <w:r w:rsidRPr="00393D65">
        <w:rPr>
          <w:lang w:val="fr-CA"/>
        </w:rPr>
        <w:t>al</w:t>
      </w:r>
      <w:r w:rsidR="00E70833">
        <w:rPr>
          <w:lang w:val="fr-CA"/>
        </w:rPr>
        <w:t>.</w:t>
      </w:r>
      <w:r w:rsidRPr="00393D65">
        <w:rPr>
          <w:lang w:val="fr-CA"/>
        </w:rPr>
        <w:t> 44</w:t>
      </w:r>
      <w:r w:rsidRPr="00393D65">
        <w:rPr>
          <w:i/>
          <w:lang w:val="fr-CA"/>
        </w:rPr>
        <w:t>f</w:t>
      </w:r>
      <w:r w:rsidRPr="00393D65">
        <w:rPr>
          <w:lang w:val="fr-CA"/>
        </w:rPr>
        <w:t xml:space="preserve">) de la </w:t>
      </w:r>
      <w:r w:rsidRPr="00393D65">
        <w:rPr>
          <w:i/>
          <w:lang w:val="fr-CA"/>
        </w:rPr>
        <w:t>Loi d</w:t>
      </w:r>
      <w:r w:rsidR="00C03762">
        <w:rPr>
          <w:i/>
          <w:lang w:val="fr-CA"/>
        </w:rPr>
        <w:t>’</w:t>
      </w:r>
      <w:r w:rsidRPr="00393D65">
        <w:rPr>
          <w:i/>
          <w:lang w:val="fr-CA"/>
        </w:rPr>
        <w:t>interprétation</w:t>
      </w:r>
      <w:r w:rsidRPr="00393D65">
        <w:rPr>
          <w:lang w:val="fr-CA"/>
        </w:rPr>
        <w:t>, L.R.C. 1985, ch. I</w:t>
      </w:r>
      <w:r w:rsidRPr="00393D65">
        <w:rPr>
          <w:lang w:val="fr-CA"/>
        </w:rPr>
        <w:noBreakHyphen/>
        <w:t>21, qui décrit expressément l</w:t>
      </w:r>
      <w:r w:rsidR="00C03762">
        <w:rPr>
          <w:lang w:val="fr-CA"/>
        </w:rPr>
        <w:t>’</w:t>
      </w:r>
      <w:r w:rsidRPr="00393D65">
        <w:rPr>
          <w:lang w:val="fr-CA"/>
        </w:rPr>
        <w:t>effet (inexistant) qu</w:t>
      </w:r>
      <w:r w:rsidR="00C03762">
        <w:rPr>
          <w:lang w:val="fr-CA"/>
        </w:rPr>
        <w:t>’</w:t>
      </w:r>
      <w:r w:rsidRPr="00393D65">
        <w:rPr>
          <w:lang w:val="fr-CA"/>
        </w:rPr>
        <w:t>a le remplacement — sans modifications notables sur le fond — d</w:t>
      </w:r>
      <w:r w:rsidR="00C03762">
        <w:rPr>
          <w:lang w:val="fr-CA"/>
        </w:rPr>
        <w:t>’</w:t>
      </w:r>
      <w:r w:rsidRPr="00393D65">
        <w:rPr>
          <w:lang w:val="fr-CA"/>
        </w:rPr>
        <w:t xml:space="preserve">un texte antérieur qui a été abrogé (voir </w:t>
      </w:r>
      <w:r w:rsidRPr="00393D65">
        <w:rPr>
          <w:i/>
          <w:color w:val="000000"/>
          <w:lang w:val="fr-CA"/>
        </w:rPr>
        <w:t>Procureur général</w:t>
      </w:r>
      <w:r w:rsidR="00E70833">
        <w:rPr>
          <w:i/>
          <w:color w:val="000000"/>
          <w:lang w:val="fr-CA"/>
        </w:rPr>
        <w:t xml:space="preserve"> du Canada</w:t>
      </w:r>
      <w:r w:rsidRPr="00393D65">
        <w:rPr>
          <w:i/>
          <w:color w:val="000000"/>
          <w:lang w:val="fr-CA"/>
        </w:rPr>
        <w:t xml:space="preserve"> c. Commission des relations de travail dans la Fonction publique</w:t>
      </w:r>
      <w:r w:rsidRPr="00393D65">
        <w:rPr>
          <w:color w:val="000000"/>
          <w:lang w:val="fr-CA"/>
        </w:rPr>
        <w:t>, [1977] 2 C.F. 663, qui portait sur la disposition qui a précédé l</w:t>
      </w:r>
      <w:r w:rsidR="00C03762">
        <w:rPr>
          <w:color w:val="000000"/>
          <w:lang w:val="fr-CA"/>
        </w:rPr>
        <w:t>’</w:t>
      </w:r>
      <w:r w:rsidRPr="00393D65">
        <w:rPr>
          <w:color w:val="000000"/>
          <w:lang w:val="fr-CA"/>
        </w:rPr>
        <w:t>al. 44</w:t>
      </w:r>
      <w:r w:rsidRPr="00393D65">
        <w:rPr>
          <w:i/>
          <w:color w:val="000000"/>
          <w:lang w:val="fr-CA"/>
        </w:rPr>
        <w:t>f</w:t>
      </w:r>
      <w:r w:rsidRPr="00393D65">
        <w:rPr>
          <w:color w:val="000000"/>
          <w:lang w:val="fr-CA"/>
        </w:rPr>
        <w:t>)).  Cet alinéa précise que le nouveau texte ne doit pas être considéré de « droit nouveau », sauf dans la mesure où il diffère au fond du texte abrogé :</w:t>
      </w:r>
    </w:p>
    <w:p w:rsidR="008C3D0D" w:rsidRPr="0075185A" w:rsidRDefault="008C3D0D" w:rsidP="00DE1396">
      <w:pPr>
        <w:pStyle w:val="Citation"/>
        <w:spacing w:after="0"/>
        <w:ind w:firstLine="274"/>
        <w:rPr>
          <w:lang w:val="fr-CA"/>
        </w:rPr>
      </w:pPr>
      <w:r w:rsidRPr="0075185A">
        <w:rPr>
          <w:b/>
          <w:lang w:val="fr-CA"/>
        </w:rPr>
        <w:t>44.</w:t>
      </w:r>
      <w:r w:rsidRPr="0075185A">
        <w:rPr>
          <w:lang w:val="fr-CA"/>
        </w:rPr>
        <w:t>  En cas d</w:t>
      </w:r>
      <w:r w:rsidR="00C03762">
        <w:rPr>
          <w:lang w:val="fr-CA"/>
        </w:rPr>
        <w:t>’</w:t>
      </w:r>
      <w:r w:rsidRPr="0075185A">
        <w:rPr>
          <w:lang w:val="fr-CA"/>
        </w:rPr>
        <w:t>abrogation et de remplacement, les règles suivantes s</w:t>
      </w:r>
      <w:r w:rsidR="00C03762">
        <w:rPr>
          <w:lang w:val="fr-CA"/>
        </w:rPr>
        <w:t>’</w:t>
      </w:r>
      <w:r w:rsidRPr="0075185A">
        <w:rPr>
          <w:lang w:val="fr-CA"/>
        </w:rPr>
        <w:t>appliquent :</w:t>
      </w:r>
    </w:p>
    <w:p w:rsidR="008C3D0D" w:rsidRPr="00393D65" w:rsidRDefault="008C3D0D" w:rsidP="008C3D0D">
      <w:pPr>
        <w:pStyle w:val="ListParagraph"/>
        <w:shd w:val="clear" w:color="auto" w:fill="FFFFFF"/>
        <w:spacing w:before="168"/>
        <w:ind w:left="0" w:firstLine="1530"/>
        <w:jc w:val="center"/>
        <w:rPr>
          <w:color w:val="000000"/>
          <w:lang w:val="fr-FR"/>
        </w:rPr>
      </w:pPr>
      <w:r w:rsidRPr="00393D65">
        <w:rPr>
          <w:color w:val="000000"/>
          <w:lang w:val="fr-FR"/>
        </w:rPr>
        <w:t>. . .</w:t>
      </w:r>
    </w:p>
    <w:p w:rsidR="008C3D0D" w:rsidRPr="0075185A" w:rsidRDefault="008C3D0D" w:rsidP="004613F5">
      <w:pPr>
        <w:pStyle w:val="Citation"/>
        <w:ind w:left="1440"/>
        <w:rPr>
          <w:lang w:val="fr-CA"/>
        </w:rPr>
      </w:pPr>
      <w:r w:rsidRPr="0075185A">
        <w:rPr>
          <w:i/>
          <w:lang w:val="fr-CA"/>
        </w:rPr>
        <w:t>f</w:t>
      </w:r>
      <w:r w:rsidRPr="0075185A">
        <w:rPr>
          <w:lang w:val="fr-CA"/>
        </w:rPr>
        <w:t>)  </w:t>
      </w:r>
      <w:r w:rsidRPr="0075185A">
        <w:rPr>
          <w:u w:val="single"/>
          <w:lang w:val="fr-CA"/>
        </w:rPr>
        <w:t>sauf dans la mesure où les deux textes diffèrent au fond, le nouveau texte n</w:t>
      </w:r>
      <w:r w:rsidR="00C03762">
        <w:rPr>
          <w:u w:val="single"/>
          <w:lang w:val="fr-CA"/>
        </w:rPr>
        <w:t>’</w:t>
      </w:r>
      <w:r w:rsidRPr="0075185A">
        <w:rPr>
          <w:u w:val="single"/>
          <w:lang w:val="fr-CA"/>
        </w:rPr>
        <w:t>est pas réputé de droit nouveau</w:t>
      </w:r>
      <w:r w:rsidRPr="0075185A">
        <w:rPr>
          <w:lang w:val="fr-CA"/>
        </w:rPr>
        <w:t>, sa teneur étant censée constituer une refonte et une clarification des règles de droit du texte antérieur</w:t>
      </w:r>
      <w:r w:rsidR="00E70833">
        <w:rPr>
          <w:lang w:val="fr-CA"/>
        </w:rPr>
        <w:t>;</w:t>
      </w:r>
    </w:p>
    <w:p w:rsidR="008C3D0D" w:rsidRPr="00393D65" w:rsidRDefault="008C3D0D" w:rsidP="009623E0">
      <w:pPr>
        <w:pStyle w:val="SCCNormalDoubleSpacing"/>
        <w:spacing w:after="480"/>
        <w:rPr>
          <w:lang w:val="fr-FR"/>
        </w:rPr>
      </w:pPr>
      <w:r w:rsidRPr="00393D65">
        <w:rPr>
          <w:lang w:val="fr-FR"/>
        </w:rPr>
        <w:t>Le mot « texte » est défini ainsi à l</w:t>
      </w:r>
      <w:r w:rsidR="00C03762">
        <w:rPr>
          <w:lang w:val="fr-FR"/>
        </w:rPr>
        <w:t>’</w:t>
      </w:r>
      <w:r w:rsidRPr="00393D65">
        <w:rPr>
          <w:lang w:val="fr-FR"/>
        </w:rPr>
        <w:t xml:space="preserve">art. 2 de la </w:t>
      </w:r>
      <w:r w:rsidRPr="00393D65">
        <w:rPr>
          <w:i/>
          <w:lang w:val="fr-FR"/>
        </w:rPr>
        <w:t>Loi d</w:t>
      </w:r>
      <w:r w:rsidR="00C03762">
        <w:rPr>
          <w:i/>
          <w:lang w:val="fr-FR"/>
        </w:rPr>
        <w:t>’</w:t>
      </w:r>
      <w:r w:rsidRPr="00393D65">
        <w:rPr>
          <w:i/>
          <w:lang w:val="fr-FR"/>
        </w:rPr>
        <w:t>interprétation</w:t>
      </w:r>
      <w:r w:rsidRPr="00393D65">
        <w:rPr>
          <w:lang w:val="fr-FR"/>
        </w:rPr>
        <w:t xml:space="preserve"> : « Tout ou </w:t>
      </w:r>
      <w:r w:rsidRPr="00393D65">
        <w:rPr>
          <w:u w:val="single"/>
          <w:lang w:val="fr-FR"/>
        </w:rPr>
        <w:t>partie d</w:t>
      </w:r>
      <w:r w:rsidR="00C03762">
        <w:rPr>
          <w:u w:val="single"/>
          <w:lang w:val="fr-FR"/>
        </w:rPr>
        <w:t>’</w:t>
      </w:r>
      <w:r w:rsidRPr="00393D65">
        <w:rPr>
          <w:u w:val="single"/>
          <w:lang w:val="fr-FR"/>
        </w:rPr>
        <w:t>une loi ou d</w:t>
      </w:r>
      <w:r w:rsidR="00C03762">
        <w:rPr>
          <w:u w:val="single"/>
          <w:lang w:val="fr-FR"/>
        </w:rPr>
        <w:t>’</w:t>
      </w:r>
      <w:r w:rsidRPr="00393D65">
        <w:rPr>
          <w:u w:val="single"/>
          <w:lang w:val="fr-FR"/>
        </w:rPr>
        <w:t>un règlement</w:t>
      </w:r>
      <w:r w:rsidR="004613F5" w:rsidRPr="001B5C86">
        <w:rPr>
          <w:lang w:val="fr-FR"/>
        </w:rPr>
        <w:t>.</w:t>
      </w:r>
      <w:r w:rsidRPr="00393D65">
        <w:rPr>
          <w:lang w:val="fr-FR"/>
        </w:rPr>
        <w:t> »</w:t>
      </w:r>
    </w:p>
    <w:p w:rsidR="008C3D0D" w:rsidRPr="00393D65" w:rsidRDefault="008C3D0D" w:rsidP="00562BD7">
      <w:pPr>
        <w:pStyle w:val="ListParagraph"/>
        <w:numPr>
          <w:ilvl w:val="0"/>
          <w:numId w:val="34"/>
        </w:numPr>
        <w:tabs>
          <w:tab w:val="left" w:pos="1170"/>
        </w:tabs>
        <w:spacing w:after="480" w:line="480" w:lineRule="auto"/>
        <w:ind w:left="0" w:firstLine="0"/>
        <w:jc w:val="both"/>
        <w:rPr>
          <w:lang w:val="fr-CA"/>
        </w:rPr>
      </w:pPr>
      <w:r w:rsidRPr="00393D65">
        <w:rPr>
          <w:lang w:val="fr-FR"/>
        </w:rPr>
        <w:lastRenderedPageBreak/>
        <w:t xml:space="preserve">Le paragraphe 37(1) de la </w:t>
      </w:r>
      <w:r w:rsidRPr="00393D65">
        <w:rPr>
          <w:i/>
          <w:lang w:val="fr-FR"/>
        </w:rPr>
        <w:t>LACC</w:t>
      </w:r>
      <w:r w:rsidRPr="00393D65">
        <w:rPr>
          <w:lang w:val="fr-FR"/>
        </w:rPr>
        <w:t xml:space="preserve"> actuelle est pratiquement identique quant au fond au </w:t>
      </w:r>
      <w:r w:rsidRPr="00393D65">
        <w:rPr>
          <w:lang w:val="fr-CA"/>
        </w:rPr>
        <w:t>par. 18.3(1).  Pour faciliter la comparaison de ces deux dispositions, je les ai reproduites ci</w:t>
      </w:r>
      <w:r w:rsidRPr="00393D65">
        <w:rPr>
          <w:lang w:val="fr-CA"/>
        </w:rPr>
        <w:noBreakHyphen/>
        <w:t xml:space="preserve">après : </w:t>
      </w:r>
    </w:p>
    <w:p w:rsidR="008C3D0D" w:rsidRDefault="008C3D0D" w:rsidP="009623E0">
      <w:pPr>
        <w:pStyle w:val="Citation"/>
        <w:rPr>
          <w:lang w:val="fr-CA"/>
        </w:rPr>
      </w:pPr>
      <w:r w:rsidRPr="00393D65">
        <w:rPr>
          <w:rStyle w:val="noarticlepara1"/>
          <w:color w:val="000000"/>
          <w:lang w:val="fr-CA"/>
        </w:rPr>
        <w:tab/>
        <w:t>37.</w:t>
      </w:r>
      <w:r w:rsidRPr="009623E0">
        <w:rPr>
          <w:lang w:val="fr-CA"/>
        </w:rPr>
        <w:t> (1)  Sous réserve du paragraphe (2) et par dérogation à toute disposition législative fédérale ou provinciale ayant pour effet d</w:t>
      </w:r>
      <w:r w:rsidR="00C03762">
        <w:rPr>
          <w:lang w:val="fr-CA"/>
        </w:rPr>
        <w:t>’</w:t>
      </w:r>
      <w:r w:rsidRPr="009623E0">
        <w:rPr>
          <w:lang w:val="fr-CA"/>
        </w:rPr>
        <w:t>assimiler certains biens à des biens détenus en fiducie pour Sa Majesté, aucun des biens de la compagnie débitrice ne peut être considéré comme tel par le seul effet d</w:t>
      </w:r>
      <w:r w:rsidR="00C03762">
        <w:rPr>
          <w:lang w:val="fr-CA"/>
        </w:rPr>
        <w:t>’</w:t>
      </w:r>
      <w:r w:rsidRPr="009623E0">
        <w:rPr>
          <w:lang w:val="fr-CA"/>
        </w:rPr>
        <w:t>une telle disposition.</w:t>
      </w:r>
    </w:p>
    <w:p w:rsidR="009623E0" w:rsidRPr="009623E0" w:rsidRDefault="009623E0" w:rsidP="009623E0">
      <w:pPr>
        <w:pStyle w:val="Citation"/>
        <w:rPr>
          <w:lang w:val="fr-CA"/>
        </w:rPr>
      </w:pPr>
    </w:p>
    <w:p w:rsidR="008C3D0D" w:rsidRPr="009623E0" w:rsidRDefault="008C3D0D" w:rsidP="009623E0">
      <w:pPr>
        <w:pStyle w:val="Citation"/>
        <w:rPr>
          <w:lang w:val="fr-CA"/>
        </w:rPr>
      </w:pPr>
      <w:r w:rsidRPr="0075185A">
        <w:rPr>
          <w:b/>
          <w:lang w:val="fr-CA"/>
        </w:rPr>
        <w:tab/>
      </w:r>
      <w:r w:rsidRPr="009623E0">
        <w:rPr>
          <w:b/>
          <w:lang w:val="fr-CA"/>
        </w:rPr>
        <w:t>18.3</w:t>
      </w:r>
      <w:bookmarkStart w:id="1" w:name="anchorse_18_3_ss__1_"/>
      <w:bookmarkEnd w:id="1"/>
      <w:r w:rsidRPr="009623E0">
        <w:rPr>
          <w:b/>
          <w:lang w:val="fr-CA"/>
        </w:rPr>
        <w:t> </w:t>
      </w:r>
      <w:r w:rsidRPr="009623E0">
        <w:rPr>
          <w:lang w:val="fr-CA"/>
        </w:rPr>
        <w:t>(1)  Sous réserve du paragraphe (2) et par dérogation à toute disposition législative fédérale ou provinciale ayant pour effet d</w:t>
      </w:r>
      <w:r w:rsidR="00C03762">
        <w:rPr>
          <w:lang w:val="fr-CA"/>
        </w:rPr>
        <w:t>’</w:t>
      </w:r>
      <w:r w:rsidRPr="009623E0">
        <w:rPr>
          <w:lang w:val="fr-CA"/>
        </w:rPr>
        <w:t>assimiler certains biens à des biens détenus en fiducie pour Sa Majesté, aucun des biens de la compagnie débitrice ne peut être considéré comme détenu en fiducie pour Sa Majesté si, en l</w:t>
      </w:r>
      <w:r w:rsidR="00C03762">
        <w:rPr>
          <w:lang w:val="fr-CA"/>
        </w:rPr>
        <w:t>’</w:t>
      </w:r>
      <w:r w:rsidRPr="009623E0">
        <w:rPr>
          <w:lang w:val="fr-CA"/>
        </w:rPr>
        <w:t xml:space="preserve">absence de la disposition législative en question, il ne le serait pas. </w:t>
      </w:r>
    </w:p>
    <w:p w:rsidR="008C3D0D" w:rsidRPr="00393D65" w:rsidRDefault="008C3D0D" w:rsidP="00562BD7">
      <w:pPr>
        <w:pStyle w:val="ListParagraph"/>
        <w:numPr>
          <w:ilvl w:val="0"/>
          <w:numId w:val="34"/>
        </w:numPr>
        <w:tabs>
          <w:tab w:val="left" w:pos="1170"/>
        </w:tabs>
        <w:spacing w:after="480" w:line="480" w:lineRule="auto"/>
        <w:ind w:left="180" w:firstLine="0"/>
        <w:jc w:val="both"/>
        <w:rPr>
          <w:lang w:val="fr-CA"/>
        </w:rPr>
      </w:pPr>
      <w:r w:rsidRPr="00393D65">
        <w:rPr>
          <w:color w:val="000000"/>
          <w:lang w:val="fr-CA"/>
        </w:rPr>
        <w:t>L</w:t>
      </w:r>
      <w:r w:rsidR="00C03762">
        <w:rPr>
          <w:color w:val="000000"/>
          <w:lang w:val="fr-CA"/>
        </w:rPr>
        <w:t>’</w:t>
      </w:r>
      <w:r w:rsidRPr="00393D65">
        <w:rPr>
          <w:color w:val="000000"/>
          <w:lang w:val="fr-CA"/>
        </w:rPr>
        <w:t>application de l</w:t>
      </w:r>
      <w:r w:rsidR="00C03762">
        <w:rPr>
          <w:color w:val="000000"/>
          <w:lang w:val="fr-CA"/>
        </w:rPr>
        <w:t>’</w:t>
      </w:r>
      <w:r w:rsidRPr="00393D65">
        <w:rPr>
          <w:color w:val="000000"/>
          <w:lang w:val="fr-CA"/>
        </w:rPr>
        <w:t>al. 44</w:t>
      </w:r>
      <w:r w:rsidRPr="00393D65">
        <w:rPr>
          <w:i/>
          <w:color w:val="000000"/>
          <w:lang w:val="fr-CA"/>
        </w:rPr>
        <w:t>f</w:t>
      </w:r>
      <w:r w:rsidRPr="00393D65">
        <w:rPr>
          <w:color w:val="000000"/>
          <w:lang w:val="fr-CA"/>
        </w:rPr>
        <w:t xml:space="preserve">) de la </w:t>
      </w:r>
      <w:r w:rsidRPr="00393D65">
        <w:rPr>
          <w:i/>
          <w:color w:val="000000"/>
          <w:lang w:val="fr-CA"/>
        </w:rPr>
        <w:t>Loi d</w:t>
      </w:r>
      <w:r w:rsidR="00C03762">
        <w:rPr>
          <w:i/>
          <w:color w:val="000000"/>
          <w:lang w:val="fr-CA"/>
        </w:rPr>
        <w:t>’</w:t>
      </w:r>
      <w:r w:rsidRPr="00393D65">
        <w:rPr>
          <w:i/>
          <w:color w:val="000000"/>
          <w:lang w:val="fr-CA"/>
        </w:rPr>
        <w:t>interprétation</w:t>
      </w:r>
      <w:r w:rsidRPr="00393D65">
        <w:rPr>
          <w:color w:val="000000"/>
          <w:lang w:val="fr-CA"/>
        </w:rPr>
        <w:t xml:space="preserve"> vient tout simplement confirmer l</w:t>
      </w:r>
      <w:r w:rsidR="00C03762">
        <w:rPr>
          <w:color w:val="000000"/>
          <w:lang w:val="fr-CA"/>
        </w:rPr>
        <w:t>’</w:t>
      </w:r>
      <w:r w:rsidRPr="00393D65">
        <w:rPr>
          <w:color w:val="000000"/>
          <w:lang w:val="fr-CA"/>
        </w:rPr>
        <w:t>intention clairement exprimée par le législateur, qu</w:t>
      </w:r>
      <w:r w:rsidR="00C03762">
        <w:rPr>
          <w:color w:val="000000"/>
          <w:lang w:val="fr-CA"/>
        </w:rPr>
        <w:t>’</w:t>
      </w:r>
      <w:r w:rsidRPr="00393D65">
        <w:rPr>
          <w:color w:val="000000"/>
          <w:lang w:val="fr-CA"/>
        </w:rPr>
        <w:t>a indiquée Industrie Canada dans l</w:t>
      </w:r>
      <w:r w:rsidR="00C03762">
        <w:rPr>
          <w:color w:val="000000"/>
          <w:lang w:val="fr-CA"/>
        </w:rPr>
        <w:t>’</w:t>
      </w:r>
      <w:r w:rsidRPr="00393D65">
        <w:rPr>
          <w:color w:val="000000"/>
          <w:lang w:val="fr-CA"/>
        </w:rPr>
        <w:t xml:space="preserve">analyse </w:t>
      </w:r>
      <w:r w:rsidRPr="00393D65">
        <w:rPr>
          <w:lang w:val="fr-CA"/>
        </w:rPr>
        <w:t>du Projet de loi C</w:t>
      </w:r>
      <w:r w:rsidRPr="00393D65">
        <w:rPr>
          <w:lang w:val="fr-CA"/>
        </w:rPr>
        <w:noBreakHyphen/>
        <w:t>55, où le par. 37(1) était qualifié de « modification d</w:t>
      </w:r>
      <w:r w:rsidR="00C03762">
        <w:rPr>
          <w:lang w:val="fr-CA"/>
        </w:rPr>
        <w:t>’</w:t>
      </w:r>
      <w:r w:rsidRPr="00393D65">
        <w:rPr>
          <w:lang w:val="fr-CA"/>
        </w:rPr>
        <w:t>ordre technique concernant le réaménagement des dispositions de la présente loi ».  Par ailleurs, durant la deuxième lecture du projet de loi au Sénat, l</w:t>
      </w:r>
      <w:r w:rsidR="00C03762">
        <w:rPr>
          <w:lang w:val="fr-CA"/>
        </w:rPr>
        <w:t>’</w:t>
      </w:r>
      <w:r w:rsidRPr="00393D65">
        <w:rPr>
          <w:lang w:val="fr-CA"/>
        </w:rPr>
        <w:t>honorable Bill Rompkey, qui était alors leader adjoint du gouvernement au Sénat, a confirmé que le par. 37(1) représentait seulement une modification d</w:t>
      </w:r>
      <w:r w:rsidR="00C03762">
        <w:rPr>
          <w:lang w:val="fr-CA"/>
        </w:rPr>
        <w:t>’</w:t>
      </w:r>
      <w:r w:rsidRPr="00393D65">
        <w:rPr>
          <w:lang w:val="fr-CA"/>
        </w:rPr>
        <w:t>ordre technique :</w:t>
      </w:r>
    </w:p>
    <w:p w:rsidR="008C3D0D" w:rsidRPr="00393D65" w:rsidRDefault="008C3D0D" w:rsidP="008C3D0D">
      <w:pPr>
        <w:pStyle w:val="Citation1"/>
        <w:spacing w:after="240"/>
        <w:ind w:firstLine="274"/>
        <w:rPr>
          <w:color w:val="000000"/>
          <w:lang w:val="fr-CA"/>
        </w:rPr>
      </w:pPr>
      <w:r w:rsidRPr="00393D65">
        <w:rPr>
          <w:color w:val="000000"/>
          <w:lang w:val="fr-CA"/>
        </w:rPr>
        <w:t>Sur une note administrative, je signale que, dans le cas du traitement de fiducies présumées aux fins d</w:t>
      </w:r>
      <w:r w:rsidR="00C03762">
        <w:rPr>
          <w:color w:val="000000"/>
          <w:lang w:val="fr-CA"/>
        </w:rPr>
        <w:t>’</w:t>
      </w:r>
      <w:r w:rsidRPr="00393D65">
        <w:rPr>
          <w:color w:val="000000"/>
          <w:lang w:val="fr-CA"/>
        </w:rPr>
        <w:t>impôt, le projet de loi ne modifie aucunement l</w:t>
      </w:r>
      <w:r w:rsidR="00C03762">
        <w:rPr>
          <w:color w:val="000000"/>
          <w:lang w:val="fr-CA"/>
        </w:rPr>
        <w:t>’</w:t>
      </w:r>
      <w:r w:rsidRPr="00393D65">
        <w:rPr>
          <w:color w:val="000000"/>
          <w:lang w:val="fr-CA"/>
        </w:rPr>
        <w:t>intention qui sous</w:t>
      </w:r>
      <w:r w:rsidRPr="00393D65">
        <w:rPr>
          <w:color w:val="000000"/>
          <w:lang w:val="fr-CA"/>
        </w:rPr>
        <w:noBreakHyphen/>
        <w:t>tend la politique, alors que dans le cas d</w:t>
      </w:r>
      <w:r w:rsidR="00C03762">
        <w:rPr>
          <w:color w:val="000000"/>
          <w:lang w:val="fr-CA"/>
        </w:rPr>
        <w:t>’</w:t>
      </w:r>
      <w:r w:rsidRPr="00393D65">
        <w:rPr>
          <w:color w:val="000000"/>
          <w:lang w:val="fr-CA"/>
        </w:rPr>
        <w:t xml:space="preserve">une restructuration aux termes de la LACC, des articles de la loi ont été </w:t>
      </w:r>
      <w:r w:rsidRPr="00393D65">
        <w:rPr>
          <w:color w:val="000000"/>
          <w:lang w:val="fr-CA"/>
        </w:rPr>
        <w:lastRenderedPageBreak/>
        <w:t>abrogés et remplacés par des versions portant de nouveaux numéros lors de la mise à jour exhaustive de la LACC.</w:t>
      </w:r>
    </w:p>
    <w:p w:rsidR="008C3D0D" w:rsidRPr="00393D65" w:rsidRDefault="008C3D0D" w:rsidP="008C3D0D">
      <w:pPr>
        <w:pStyle w:val="Citation1"/>
        <w:rPr>
          <w:lang w:val="fr-CA"/>
        </w:rPr>
      </w:pPr>
      <w:r w:rsidRPr="00393D65">
        <w:rPr>
          <w:lang w:val="fr-CA"/>
        </w:rPr>
        <w:t>(</w:t>
      </w:r>
      <w:r w:rsidRPr="00393D65">
        <w:rPr>
          <w:i/>
          <w:lang w:val="fr-CA"/>
        </w:rPr>
        <w:t>Débats du  Sénat</w:t>
      </w:r>
      <w:r w:rsidRPr="00393D65">
        <w:rPr>
          <w:lang w:val="fr-CA"/>
        </w:rPr>
        <w:t>, vol. 142, 1</w:t>
      </w:r>
      <w:r w:rsidRPr="00393D65">
        <w:rPr>
          <w:vertAlign w:val="superscript"/>
          <w:lang w:val="fr-CA"/>
        </w:rPr>
        <w:t>re</w:t>
      </w:r>
      <w:r w:rsidRPr="00393D65">
        <w:rPr>
          <w:lang w:val="fr-CA"/>
        </w:rPr>
        <w:t xml:space="preserve"> </w:t>
      </w:r>
      <w:r w:rsidR="00E70833">
        <w:rPr>
          <w:lang w:val="fr-CA"/>
        </w:rPr>
        <w:t>s</w:t>
      </w:r>
      <w:r w:rsidRPr="00393D65">
        <w:rPr>
          <w:lang w:val="fr-CA"/>
        </w:rPr>
        <w:t>ess</w:t>
      </w:r>
      <w:r w:rsidR="00E70833">
        <w:rPr>
          <w:lang w:val="fr-CA"/>
        </w:rPr>
        <w:t>.</w:t>
      </w:r>
      <w:r w:rsidRPr="00393D65">
        <w:rPr>
          <w:lang w:val="fr-CA"/>
        </w:rPr>
        <w:t>, 38</w:t>
      </w:r>
      <w:r w:rsidRPr="00393D65">
        <w:rPr>
          <w:vertAlign w:val="superscript"/>
          <w:lang w:val="fr-CA"/>
        </w:rPr>
        <w:t>e</w:t>
      </w:r>
      <w:r w:rsidRPr="00393D65">
        <w:rPr>
          <w:lang w:val="fr-CA"/>
        </w:rPr>
        <w:t xml:space="preserve"> </w:t>
      </w:r>
      <w:r w:rsidR="00E70833">
        <w:rPr>
          <w:lang w:val="fr-CA"/>
        </w:rPr>
        <w:t>l</w:t>
      </w:r>
      <w:r w:rsidRPr="00393D65">
        <w:rPr>
          <w:lang w:val="fr-CA"/>
        </w:rPr>
        <w:t>ég., 23 novembre 2005, p. 2147)</w:t>
      </w:r>
    </w:p>
    <w:p w:rsidR="008C3D0D" w:rsidRPr="00393D65" w:rsidRDefault="008C3D0D" w:rsidP="00562BD7">
      <w:pPr>
        <w:pStyle w:val="ListParagraph"/>
        <w:numPr>
          <w:ilvl w:val="0"/>
          <w:numId w:val="34"/>
        </w:numPr>
        <w:tabs>
          <w:tab w:val="left" w:pos="1170"/>
        </w:tabs>
        <w:spacing w:after="480" w:line="480" w:lineRule="auto"/>
        <w:ind w:left="0" w:firstLine="0"/>
        <w:jc w:val="both"/>
        <w:rPr>
          <w:lang w:val="fr-CA"/>
        </w:rPr>
      </w:pPr>
      <w:r w:rsidRPr="00393D65">
        <w:rPr>
          <w:lang w:val="fr-CA"/>
        </w:rPr>
        <w:t>Si le par. 18.3(1) avait fait l</w:t>
      </w:r>
      <w:r w:rsidR="00C03762">
        <w:rPr>
          <w:lang w:val="fr-CA"/>
        </w:rPr>
        <w:t>’</w:t>
      </w:r>
      <w:r w:rsidRPr="00393D65">
        <w:rPr>
          <w:lang w:val="fr-CA"/>
        </w:rPr>
        <w:t>objet de modifications notables sur le fond lorsqu</w:t>
      </w:r>
      <w:r w:rsidR="00C03762">
        <w:rPr>
          <w:lang w:val="fr-CA"/>
        </w:rPr>
        <w:t>’</w:t>
      </w:r>
      <w:r w:rsidRPr="00393D65">
        <w:rPr>
          <w:lang w:val="fr-CA"/>
        </w:rPr>
        <w:t>il a été remplacé par le par. 37(1), je me rangerais à l</w:t>
      </w:r>
      <w:r w:rsidR="00C03762">
        <w:rPr>
          <w:lang w:val="fr-CA"/>
        </w:rPr>
        <w:t>’</w:t>
      </w:r>
      <w:r w:rsidRPr="00393D65">
        <w:rPr>
          <w:lang w:val="fr-CA"/>
        </w:rPr>
        <w:t>avis de la juge Deschamps qu</w:t>
      </w:r>
      <w:r w:rsidR="00C03762">
        <w:rPr>
          <w:lang w:val="fr-CA"/>
        </w:rPr>
        <w:t>’</w:t>
      </w:r>
      <w:r w:rsidRPr="00393D65">
        <w:rPr>
          <w:lang w:val="fr-CA"/>
        </w:rPr>
        <w:t>il doit être considéré comme un texte de droit nouveau.  Mais comme les par. 18.3(1) et 37(1) ne diffèrent pas sur le fond, le fait que le par. 18.3(1) soit devenu le par. 37(1) n</w:t>
      </w:r>
      <w:r w:rsidR="00C03762">
        <w:rPr>
          <w:lang w:val="fr-CA"/>
        </w:rPr>
        <w:t>’</w:t>
      </w:r>
      <w:r w:rsidRPr="00393D65">
        <w:rPr>
          <w:lang w:val="fr-CA"/>
        </w:rPr>
        <w:t>a aucune incidence sur l</w:t>
      </w:r>
      <w:r w:rsidR="00C03762">
        <w:rPr>
          <w:lang w:val="fr-CA"/>
        </w:rPr>
        <w:t>’</w:t>
      </w:r>
      <w:r w:rsidRPr="00393D65">
        <w:rPr>
          <w:lang w:val="fr-CA"/>
        </w:rPr>
        <w:t>ordre chronologique du point de vue de l</w:t>
      </w:r>
      <w:r w:rsidR="00C03762">
        <w:rPr>
          <w:lang w:val="fr-CA"/>
        </w:rPr>
        <w:t>’</w:t>
      </w:r>
      <w:r w:rsidRPr="00393D65">
        <w:rPr>
          <w:lang w:val="fr-CA"/>
        </w:rPr>
        <w:t xml:space="preserve">interprétation, et le par. 222(3) de la </w:t>
      </w:r>
      <w:r w:rsidRPr="00393D65">
        <w:rPr>
          <w:i/>
          <w:lang w:val="fr-CA"/>
        </w:rPr>
        <w:t xml:space="preserve">LTA </w:t>
      </w:r>
      <w:r w:rsidRPr="00393D65">
        <w:rPr>
          <w:lang w:val="fr-CA"/>
        </w:rPr>
        <w:t>demeure la disposition « postérieure »</w:t>
      </w:r>
      <w:r w:rsidRPr="00393D65">
        <w:rPr>
          <w:color w:val="000000"/>
          <w:lang w:val="fr-CA"/>
        </w:rPr>
        <w:t xml:space="preserve"> (Sullivan, p. 347).</w:t>
      </w:r>
    </w:p>
    <w:p w:rsidR="008C3D0D" w:rsidRPr="00393D65" w:rsidRDefault="008C3D0D" w:rsidP="00562BD7">
      <w:pPr>
        <w:pStyle w:val="ListParagraph"/>
        <w:numPr>
          <w:ilvl w:val="0"/>
          <w:numId w:val="34"/>
        </w:numPr>
        <w:tabs>
          <w:tab w:val="left" w:pos="1170"/>
        </w:tabs>
        <w:spacing w:after="480" w:line="480" w:lineRule="auto"/>
        <w:ind w:left="0" w:firstLine="0"/>
        <w:jc w:val="both"/>
        <w:rPr>
          <w:lang w:val="fr-CA"/>
        </w:rPr>
      </w:pPr>
      <w:r w:rsidRPr="00393D65">
        <w:rPr>
          <w:lang w:val="fr-CA"/>
        </w:rPr>
        <w:t>Il s</w:t>
      </w:r>
      <w:r w:rsidR="00C03762">
        <w:rPr>
          <w:lang w:val="fr-CA"/>
        </w:rPr>
        <w:t>’</w:t>
      </w:r>
      <w:r w:rsidRPr="00393D65">
        <w:rPr>
          <w:lang w:val="fr-CA"/>
        </w:rPr>
        <w:t>ensuit que la disposition créant une fiducie réputée que l</w:t>
      </w:r>
      <w:r w:rsidR="00C03762">
        <w:rPr>
          <w:lang w:val="fr-CA"/>
        </w:rPr>
        <w:t>’</w:t>
      </w:r>
      <w:r w:rsidRPr="00393D65">
        <w:rPr>
          <w:lang w:val="fr-CA"/>
        </w:rPr>
        <w:t xml:space="preserve">on trouve au par. 222(3) de la </w:t>
      </w:r>
      <w:r w:rsidRPr="00393D65">
        <w:rPr>
          <w:i/>
          <w:lang w:val="fr-CA"/>
        </w:rPr>
        <w:t>LTA</w:t>
      </w:r>
      <w:r w:rsidRPr="00393D65">
        <w:rPr>
          <w:lang w:val="fr-CA"/>
        </w:rPr>
        <w:t xml:space="preserve"> l</w:t>
      </w:r>
      <w:r w:rsidR="00C03762">
        <w:rPr>
          <w:lang w:val="fr-CA"/>
        </w:rPr>
        <w:t>’</w:t>
      </w:r>
      <w:r w:rsidRPr="00393D65">
        <w:rPr>
          <w:lang w:val="fr-CA"/>
        </w:rPr>
        <w:t>emporte sur le par. 18.3(1) dans le cadre d</w:t>
      </w:r>
      <w:r w:rsidR="00C03762">
        <w:rPr>
          <w:lang w:val="fr-CA"/>
        </w:rPr>
        <w:t>’</w:t>
      </w:r>
      <w:r w:rsidRPr="00393D65">
        <w:rPr>
          <w:lang w:val="fr-CA"/>
        </w:rPr>
        <w:t xml:space="preserve">une procédure fondée sur la </w:t>
      </w:r>
      <w:r w:rsidRPr="00393D65">
        <w:rPr>
          <w:i/>
          <w:lang w:val="fr-CA"/>
        </w:rPr>
        <w:t>LACC</w:t>
      </w:r>
      <w:r w:rsidRPr="00393D65">
        <w:rPr>
          <w:lang w:val="fr-CA"/>
        </w:rPr>
        <w:t>.  La question qui se pose alors est celle de savoir quelle est l</w:t>
      </w:r>
      <w:r w:rsidR="00C03762">
        <w:rPr>
          <w:lang w:val="fr-CA"/>
        </w:rPr>
        <w:t>’</w:t>
      </w:r>
      <w:r w:rsidRPr="00393D65">
        <w:rPr>
          <w:lang w:val="fr-CA"/>
        </w:rPr>
        <w:t>incidence de cette préséance sur le pouvoir discrétionnaire conféré au tribunal par l</w:t>
      </w:r>
      <w:r w:rsidR="00C03762">
        <w:rPr>
          <w:lang w:val="fr-CA"/>
        </w:rPr>
        <w:t>’</w:t>
      </w:r>
      <w:r w:rsidRPr="00393D65">
        <w:rPr>
          <w:lang w:val="fr-CA"/>
        </w:rPr>
        <w:t xml:space="preserve">art. 11 de la </w:t>
      </w:r>
      <w:r w:rsidRPr="00393D65">
        <w:rPr>
          <w:i/>
          <w:lang w:val="fr-CA"/>
        </w:rPr>
        <w:t>LACC</w:t>
      </w:r>
      <w:r w:rsidRPr="00393D65">
        <w:rPr>
          <w:lang w:val="fr-CA"/>
        </w:rPr>
        <w:t>.</w:t>
      </w:r>
    </w:p>
    <w:p w:rsidR="008C3D0D" w:rsidRPr="00393D65" w:rsidRDefault="008C3D0D" w:rsidP="00562BD7">
      <w:pPr>
        <w:pStyle w:val="ListParagraph"/>
        <w:numPr>
          <w:ilvl w:val="0"/>
          <w:numId w:val="34"/>
        </w:numPr>
        <w:tabs>
          <w:tab w:val="left" w:pos="1170"/>
        </w:tabs>
        <w:spacing w:after="480" w:line="480" w:lineRule="auto"/>
        <w:ind w:left="0" w:firstLine="0"/>
        <w:jc w:val="both"/>
        <w:rPr>
          <w:lang w:val="fr-CA"/>
        </w:rPr>
      </w:pPr>
      <w:r w:rsidRPr="00393D65">
        <w:rPr>
          <w:lang w:val="fr-CA"/>
        </w:rPr>
        <w:t>Bien que l</w:t>
      </w:r>
      <w:r w:rsidR="00C03762">
        <w:rPr>
          <w:lang w:val="fr-CA"/>
        </w:rPr>
        <w:t>’</w:t>
      </w:r>
      <w:r w:rsidRPr="00393D65">
        <w:rPr>
          <w:lang w:val="fr-CA"/>
        </w:rPr>
        <w:t xml:space="preserve">art. 11 accorde au tribunal le pouvoir discrétionnaire de rendre des ordonnances malgré les dispositions de la </w:t>
      </w:r>
      <w:r w:rsidRPr="00393D65">
        <w:rPr>
          <w:i/>
          <w:lang w:val="fr-CA"/>
        </w:rPr>
        <w:t xml:space="preserve">LFI </w:t>
      </w:r>
      <w:r w:rsidRPr="00393D65">
        <w:rPr>
          <w:lang w:val="fr-CA"/>
        </w:rPr>
        <w:t xml:space="preserve">et de la </w:t>
      </w:r>
      <w:r w:rsidRPr="00393D65">
        <w:rPr>
          <w:i/>
          <w:color w:val="000000"/>
          <w:lang w:val="fr-CA"/>
        </w:rPr>
        <w:t>Loi sur les liquidations</w:t>
      </w:r>
      <w:r w:rsidRPr="00393D65">
        <w:rPr>
          <w:color w:val="000000"/>
          <w:lang w:val="fr-CA"/>
        </w:rPr>
        <w:t>,</w:t>
      </w:r>
      <w:r w:rsidRPr="00393D65">
        <w:rPr>
          <w:color w:val="FF0000"/>
          <w:lang w:val="fr-CA"/>
        </w:rPr>
        <w:t xml:space="preserve"> </w:t>
      </w:r>
      <w:r w:rsidRPr="00393D65">
        <w:rPr>
          <w:lang w:val="fr-CA"/>
        </w:rPr>
        <w:t>L.R.C. 1985, ch. W</w:t>
      </w:r>
      <w:r w:rsidRPr="00393D65">
        <w:rPr>
          <w:lang w:val="fr-CA"/>
        </w:rPr>
        <w:noBreakHyphen/>
        <w:t>11, ce pouvoir discrétionnaire demeure assujetti à l</w:t>
      </w:r>
      <w:r w:rsidR="00C03762">
        <w:rPr>
          <w:lang w:val="fr-CA"/>
        </w:rPr>
        <w:t>’</w:t>
      </w:r>
      <w:r w:rsidRPr="00393D65">
        <w:rPr>
          <w:lang w:val="fr-CA"/>
        </w:rPr>
        <w:t>application de toute autre loi fédérale.  L</w:t>
      </w:r>
      <w:r w:rsidR="00C03762">
        <w:rPr>
          <w:lang w:val="fr-CA"/>
        </w:rPr>
        <w:t>’</w:t>
      </w:r>
      <w:r w:rsidRPr="00393D65">
        <w:rPr>
          <w:lang w:val="fr-CA"/>
        </w:rPr>
        <w:t xml:space="preserve">exercice de ce pouvoir discrétionnaire est donc circonscrit par les limites imposées par toute loi </w:t>
      </w:r>
      <w:r w:rsidRPr="00393D65">
        <w:rPr>
          <w:i/>
          <w:lang w:val="fr-CA"/>
        </w:rPr>
        <w:t>autre</w:t>
      </w:r>
      <w:r w:rsidRPr="00393D65">
        <w:rPr>
          <w:lang w:val="fr-CA"/>
        </w:rPr>
        <w:t xml:space="preserve"> que la </w:t>
      </w:r>
      <w:r w:rsidRPr="00393D65">
        <w:rPr>
          <w:i/>
          <w:lang w:val="fr-CA"/>
        </w:rPr>
        <w:t xml:space="preserve">LFI </w:t>
      </w:r>
      <w:r w:rsidRPr="00393D65">
        <w:rPr>
          <w:lang w:val="fr-CA"/>
        </w:rPr>
        <w:t xml:space="preserve">et la </w:t>
      </w:r>
      <w:r w:rsidRPr="00393D65">
        <w:rPr>
          <w:i/>
          <w:color w:val="000000"/>
          <w:lang w:val="fr-CA"/>
        </w:rPr>
        <w:t xml:space="preserve">Loi sur les </w:t>
      </w:r>
      <w:r w:rsidRPr="00393D65">
        <w:rPr>
          <w:i/>
          <w:color w:val="000000"/>
          <w:lang w:val="fr-CA"/>
        </w:rPr>
        <w:lastRenderedPageBreak/>
        <w:t>liquidations</w:t>
      </w:r>
      <w:r w:rsidRPr="00393D65">
        <w:rPr>
          <w:color w:val="000000"/>
          <w:lang w:val="fr-CA"/>
        </w:rPr>
        <w:t xml:space="preserve">, et donc par la </w:t>
      </w:r>
      <w:r w:rsidRPr="00393D65">
        <w:rPr>
          <w:i/>
          <w:lang w:val="fr-CA"/>
        </w:rPr>
        <w:t>LTA</w:t>
      </w:r>
      <w:r w:rsidRPr="00393D65">
        <w:rPr>
          <w:lang w:val="fr-CA"/>
        </w:rPr>
        <w:t>.  En l</w:t>
      </w:r>
      <w:r w:rsidR="00C03762">
        <w:rPr>
          <w:lang w:val="fr-CA"/>
        </w:rPr>
        <w:t>’</w:t>
      </w:r>
      <w:r w:rsidRPr="00393D65">
        <w:rPr>
          <w:lang w:val="fr-CA"/>
        </w:rPr>
        <w:t xml:space="preserve">espèce, le juge siégeant en son cabinet était donc tenu de respecter le régime de priorités établi au par. 222(3) de la </w:t>
      </w:r>
      <w:r w:rsidRPr="00393D65">
        <w:rPr>
          <w:i/>
          <w:lang w:val="fr-CA"/>
        </w:rPr>
        <w:t>LTA</w:t>
      </w:r>
      <w:r w:rsidRPr="00393D65">
        <w:rPr>
          <w:lang w:val="fr-CA"/>
        </w:rPr>
        <w:t>.  Ni le par. 18.3(1) ni l</w:t>
      </w:r>
      <w:r w:rsidR="00C03762">
        <w:rPr>
          <w:lang w:val="fr-CA"/>
        </w:rPr>
        <w:t>’</w:t>
      </w:r>
      <w:r w:rsidRPr="00393D65">
        <w:rPr>
          <w:lang w:val="fr-CA"/>
        </w:rPr>
        <w:t xml:space="preserve">art. 11 de la </w:t>
      </w:r>
      <w:r w:rsidRPr="00393D65">
        <w:rPr>
          <w:i/>
          <w:lang w:val="fr-CA"/>
        </w:rPr>
        <w:t>LACC</w:t>
      </w:r>
      <w:r w:rsidRPr="00393D65">
        <w:rPr>
          <w:lang w:val="fr-CA"/>
        </w:rPr>
        <w:t xml:space="preserve"> ne l</w:t>
      </w:r>
      <w:r w:rsidR="00C03762">
        <w:rPr>
          <w:lang w:val="fr-CA"/>
        </w:rPr>
        <w:t>’</w:t>
      </w:r>
      <w:r w:rsidRPr="00393D65">
        <w:rPr>
          <w:lang w:val="fr-CA"/>
        </w:rPr>
        <w:t xml:space="preserve">autorisaient à en faire abstraction.  Par conséquent, il ne pouvait pas refuser la demande présentée par la Couronne en vue de se faire payer la TPS dans le cadre de la procédure introduite en vertu de la </w:t>
      </w:r>
      <w:r w:rsidRPr="00393D65">
        <w:rPr>
          <w:i/>
          <w:lang w:val="fr-CA"/>
        </w:rPr>
        <w:t>LACC</w:t>
      </w:r>
      <w:r w:rsidRPr="00393D65">
        <w:rPr>
          <w:lang w:val="fr-CA"/>
        </w:rPr>
        <w:t>.</w:t>
      </w:r>
    </w:p>
    <w:p w:rsidR="008C3D0D" w:rsidRPr="00393D65" w:rsidRDefault="008C3D0D" w:rsidP="00562BD7">
      <w:pPr>
        <w:pStyle w:val="ListParagraph"/>
        <w:numPr>
          <w:ilvl w:val="0"/>
          <w:numId w:val="34"/>
        </w:numPr>
        <w:tabs>
          <w:tab w:val="left" w:pos="1170"/>
        </w:tabs>
        <w:spacing w:after="480" w:line="480" w:lineRule="auto"/>
        <w:ind w:left="0" w:firstLine="0"/>
        <w:jc w:val="both"/>
        <w:rPr>
          <w:lang w:val="fr-CA"/>
        </w:rPr>
      </w:pPr>
      <w:r w:rsidRPr="00393D65">
        <w:rPr>
          <w:lang w:val="fr-CA"/>
        </w:rPr>
        <w:t>Vu cette conclusion, il n</w:t>
      </w:r>
      <w:r w:rsidR="00C03762">
        <w:rPr>
          <w:lang w:val="fr-CA"/>
        </w:rPr>
        <w:t>’</w:t>
      </w:r>
      <w:r w:rsidRPr="00393D65">
        <w:rPr>
          <w:lang w:val="fr-CA"/>
        </w:rPr>
        <w:t>est pas nécessaire d</w:t>
      </w:r>
      <w:r w:rsidR="00C03762">
        <w:rPr>
          <w:lang w:val="fr-CA"/>
        </w:rPr>
        <w:t>’</w:t>
      </w:r>
      <w:r w:rsidRPr="00393D65">
        <w:rPr>
          <w:lang w:val="fr-CA"/>
        </w:rPr>
        <w:t>examiner la question de savoir s</w:t>
      </w:r>
      <w:r w:rsidR="00C03762">
        <w:rPr>
          <w:lang w:val="fr-CA"/>
        </w:rPr>
        <w:t>’</w:t>
      </w:r>
      <w:r w:rsidRPr="00393D65">
        <w:rPr>
          <w:lang w:val="fr-CA"/>
        </w:rPr>
        <w:t>il existait une fiducie expresse en l</w:t>
      </w:r>
      <w:r w:rsidR="00C03762">
        <w:rPr>
          <w:lang w:val="fr-CA"/>
        </w:rPr>
        <w:t>’</w:t>
      </w:r>
      <w:r w:rsidRPr="00393D65">
        <w:rPr>
          <w:lang w:val="fr-CA"/>
        </w:rPr>
        <w:t>espèce.</w:t>
      </w:r>
    </w:p>
    <w:p w:rsidR="008C3D0D" w:rsidRPr="00393D65" w:rsidRDefault="008C3D0D" w:rsidP="00562BD7">
      <w:pPr>
        <w:pStyle w:val="ListParagraph"/>
        <w:numPr>
          <w:ilvl w:val="0"/>
          <w:numId w:val="34"/>
        </w:numPr>
        <w:tabs>
          <w:tab w:val="left" w:pos="1170"/>
        </w:tabs>
        <w:spacing w:after="480" w:line="480" w:lineRule="auto"/>
        <w:ind w:left="0" w:firstLine="0"/>
        <w:jc w:val="both"/>
        <w:rPr>
          <w:lang w:val="fr-CA"/>
        </w:rPr>
      </w:pPr>
      <w:r w:rsidRPr="00393D65">
        <w:rPr>
          <w:lang w:val="fr-CA"/>
        </w:rPr>
        <w:t>Je rejetterais le présent pourvoi.</w:t>
      </w:r>
    </w:p>
    <w:p w:rsidR="008C3D0D" w:rsidRPr="00393D65" w:rsidRDefault="008C3D0D" w:rsidP="008C3D0D">
      <w:pPr>
        <w:pStyle w:val="Citation"/>
        <w:spacing w:after="240"/>
        <w:ind w:left="0"/>
        <w:contextualSpacing w:val="0"/>
        <w:jc w:val="center"/>
        <w:rPr>
          <w:b/>
          <w:lang w:val="fr-CA"/>
        </w:rPr>
      </w:pPr>
      <w:r w:rsidRPr="00393D65">
        <w:rPr>
          <w:b/>
          <w:lang w:val="fr-CA"/>
        </w:rPr>
        <w:t>ANNEXE</w:t>
      </w:r>
    </w:p>
    <w:p w:rsidR="008C3D0D" w:rsidRPr="00393D65" w:rsidRDefault="008C3D0D" w:rsidP="008C3D0D">
      <w:pPr>
        <w:pStyle w:val="Citation"/>
        <w:spacing w:after="240"/>
        <w:ind w:left="0"/>
        <w:rPr>
          <w:lang w:val="fr-CA"/>
        </w:rPr>
      </w:pPr>
      <w:r w:rsidRPr="00393D65">
        <w:rPr>
          <w:i/>
          <w:lang w:val="fr-CA"/>
        </w:rPr>
        <w:t>Loi sur les arrangements avec les créanciers des compagnies</w:t>
      </w:r>
      <w:r w:rsidRPr="00393D65">
        <w:rPr>
          <w:lang w:val="fr-CA"/>
        </w:rPr>
        <w:t>, L.R.C. 1985, ch. C-36 (en date du 13 décembre 2007)</w:t>
      </w:r>
    </w:p>
    <w:p w:rsidR="008C3D0D" w:rsidRPr="00393D65" w:rsidRDefault="008C3D0D" w:rsidP="008C3D0D">
      <w:pPr>
        <w:pStyle w:val="Citation"/>
        <w:spacing w:after="240"/>
        <w:ind w:left="0"/>
        <w:rPr>
          <w:lang w:val="fr-CA"/>
        </w:rPr>
      </w:pPr>
    </w:p>
    <w:p w:rsidR="008C3D0D" w:rsidRPr="00393D65" w:rsidRDefault="008C3D0D" w:rsidP="008C3D0D">
      <w:pPr>
        <w:pStyle w:val="Citation"/>
        <w:spacing w:after="240"/>
        <w:ind w:left="0"/>
        <w:rPr>
          <w:lang w:val="fr-CA"/>
        </w:rPr>
      </w:pPr>
    </w:p>
    <w:p w:rsidR="008C3D0D" w:rsidRPr="00393D65" w:rsidRDefault="008C3D0D" w:rsidP="008C3D0D">
      <w:pPr>
        <w:pStyle w:val="Citation"/>
        <w:spacing w:after="240"/>
        <w:ind w:left="0"/>
        <w:rPr>
          <w:lang w:val="fr-CA"/>
        </w:rPr>
      </w:pPr>
      <w:r w:rsidRPr="00393D65">
        <w:rPr>
          <w:lang w:val="fr-CA"/>
        </w:rPr>
        <w:tab/>
      </w:r>
      <w:r w:rsidRPr="00393D65">
        <w:rPr>
          <w:b/>
          <w:lang w:val="fr-CA"/>
        </w:rPr>
        <w:t>11.</w:t>
      </w:r>
      <w:r w:rsidRPr="00393D65">
        <w:rPr>
          <w:lang w:val="fr-CA"/>
        </w:rPr>
        <w:t xml:space="preserve"> (1)  [Pouvoir du tribunal] Malgré toute disposition de la </w:t>
      </w:r>
      <w:r w:rsidRPr="00393D65">
        <w:rPr>
          <w:i/>
          <w:lang w:val="fr-CA"/>
        </w:rPr>
        <w:t>Loi sur la faillite et l</w:t>
      </w:r>
      <w:r w:rsidR="00C03762">
        <w:rPr>
          <w:i/>
          <w:lang w:val="fr-CA"/>
        </w:rPr>
        <w:t>’</w:t>
      </w:r>
      <w:r w:rsidRPr="00393D65">
        <w:rPr>
          <w:i/>
          <w:lang w:val="fr-CA"/>
        </w:rPr>
        <w:t>insolvabilité</w:t>
      </w:r>
      <w:r w:rsidRPr="00393D65">
        <w:rPr>
          <w:lang w:val="fr-CA"/>
        </w:rPr>
        <w:t xml:space="preserve"> ou de la </w:t>
      </w:r>
      <w:r w:rsidRPr="00393D65">
        <w:rPr>
          <w:i/>
          <w:lang w:val="fr-CA"/>
        </w:rPr>
        <w:t>Loi sur les liquidations</w:t>
      </w:r>
      <w:r w:rsidRPr="00393D65">
        <w:rPr>
          <w:lang w:val="fr-CA"/>
        </w:rPr>
        <w:t>, chaque fois qu</w:t>
      </w:r>
      <w:r w:rsidR="00C03762">
        <w:rPr>
          <w:lang w:val="fr-CA"/>
        </w:rPr>
        <w:t>’</w:t>
      </w:r>
      <w:r w:rsidRPr="00393D65">
        <w:rPr>
          <w:lang w:val="fr-CA"/>
        </w:rPr>
        <w:t>une demande est faite sous le régime de la présente loi à l</w:t>
      </w:r>
      <w:r w:rsidR="00C03762">
        <w:rPr>
          <w:lang w:val="fr-CA"/>
        </w:rPr>
        <w:t>’</w:t>
      </w:r>
      <w:r w:rsidRPr="00393D65">
        <w:rPr>
          <w:lang w:val="fr-CA"/>
        </w:rPr>
        <w:t>égard d</w:t>
      </w:r>
      <w:r w:rsidR="00C03762">
        <w:rPr>
          <w:lang w:val="fr-CA"/>
        </w:rPr>
        <w:t>’</w:t>
      </w:r>
      <w:r w:rsidRPr="00393D65">
        <w:rPr>
          <w:lang w:val="fr-CA"/>
        </w:rPr>
        <w:t>une compagnie, le tribunal, sur demande d</w:t>
      </w:r>
      <w:r w:rsidR="00C03762">
        <w:rPr>
          <w:lang w:val="fr-CA"/>
        </w:rPr>
        <w:t>’</w:t>
      </w:r>
      <w:r w:rsidRPr="00393D65">
        <w:rPr>
          <w:lang w:val="fr-CA"/>
        </w:rPr>
        <w:t>un intéressé, peut, sous réserve des autres dispositions de la présente loi et avec ou sans avis, rendre l</w:t>
      </w:r>
      <w:r w:rsidR="00C03762">
        <w:rPr>
          <w:lang w:val="fr-CA"/>
        </w:rPr>
        <w:t>’</w:t>
      </w:r>
      <w:r w:rsidRPr="00393D65">
        <w:rPr>
          <w:lang w:val="fr-CA"/>
        </w:rPr>
        <w:t>ordonnance prévue au présent article.</w:t>
      </w:r>
    </w:p>
    <w:p w:rsidR="008C3D0D" w:rsidRPr="00393D65" w:rsidRDefault="008C3D0D" w:rsidP="008C3D0D">
      <w:pPr>
        <w:pStyle w:val="Citation"/>
        <w:spacing w:after="240"/>
        <w:ind w:left="0"/>
        <w:rPr>
          <w:lang w:val="fr-CA"/>
        </w:rPr>
      </w:pPr>
    </w:p>
    <w:p w:rsidR="008C3D0D" w:rsidRPr="00393D65" w:rsidRDefault="008C3D0D" w:rsidP="008C3D0D">
      <w:pPr>
        <w:pStyle w:val="Citation"/>
        <w:spacing w:after="240"/>
        <w:ind w:left="0"/>
        <w:jc w:val="center"/>
        <w:rPr>
          <w:lang w:val="fr-CA"/>
        </w:rPr>
      </w:pPr>
      <w:r w:rsidRPr="00393D65">
        <w:rPr>
          <w:lang w:val="fr-CA"/>
        </w:rPr>
        <w:t>. . .</w:t>
      </w:r>
    </w:p>
    <w:p w:rsidR="008C3D0D" w:rsidRPr="00393D65" w:rsidRDefault="008C3D0D" w:rsidP="008C3D0D">
      <w:pPr>
        <w:pStyle w:val="Citation"/>
        <w:spacing w:after="240"/>
        <w:ind w:left="0"/>
        <w:rPr>
          <w:lang w:val="fr-CA"/>
        </w:rPr>
      </w:pPr>
    </w:p>
    <w:p w:rsidR="008C3D0D" w:rsidRPr="00393D65" w:rsidRDefault="008C3D0D" w:rsidP="008C3D0D">
      <w:pPr>
        <w:pStyle w:val="Citation"/>
        <w:ind w:left="0"/>
        <w:rPr>
          <w:lang w:val="fr-CA"/>
        </w:rPr>
      </w:pPr>
      <w:r w:rsidRPr="00393D65">
        <w:rPr>
          <w:lang w:val="fr-CA"/>
        </w:rPr>
        <w:tab/>
        <w:t>(3)  [Demande initiale — ordonnances] Dans le cas d</w:t>
      </w:r>
      <w:r w:rsidR="00C03762">
        <w:rPr>
          <w:lang w:val="fr-CA"/>
        </w:rPr>
        <w:t>’</w:t>
      </w:r>
      <w:r w:rsidRPr="00393D65">
        <w:rPr>
          <w:lang w:val="fr-CA"/>
        </w:rPr>
        <w:t>une demande initiale visant une compagnie, le tribunal peut, par ordonnance, aux conditions qu</w:t>
      </w:r>
      <w:r w:rsidR="00C03762">
        <w:rPr>
          <w:lang w:val="fr-CA"/>
        </w:rPr>
        <w:t>’</w:t>
      </w:r>
      <w:r w:rsidRPr="00393D65">
        <w:rPr>
          <w:lang w:val="fr-CA"/>
        </w:rPr>
        <w:t>il peut imposer et pour une période maximale de trente jours :</w:t>
      </w:r>
    </w:p>
    <w:p w:rsidR="008C3D0D" w:rsidRPr="00393D65" w:rsidRDefault="008C3D0D" w:rsidP="008C3D0D">
      <w:pPr>
        <w:pStyle w:val="Citation"/>
        <w:spacing w:after="240"/>
        <w:ind w:left="0"/>
        <w:rPr>
          <w:lang w:val="fr-CA"/>
        </w:rPr>
      </w:pPr>
    </w:p>
    <w:p w:rsidR="008C3D0D" w:rsidRPr="00393D65" w:rsidRDefault="008C3D0D" w:rsidP="008C3D0D">
      <w:pPr>
        <w:pStyle w:val="Citation"/>
        <w:spacing w:after="240"/>
        <w:ind w:left="720"/>
        <w:rPr>
          <w:lang w:val="fr-CA"/>
        </w:rPr>
      </w:pPr>
      <w:r w:rsidRPr="00393D65">
        <w:rPr>
          <w:i/>
          <w:lang w:val="fr-CA"/>
        </w:rPr>
        <w:t>a</w:t>
      </w:r>
      <w:r w:rsidRPr="00393D65">
        <w:rPr>
          <w:lang w:val="fr-CA"/>
        </w:rPr>
        <w:t>)  suspendre, jusqu</w:t>
      </w:r>
      <w:r w:rsidR="00C03762">
        <w:rPr>
          <w:lang w:val="fr-CA"/>
        </w:rPr>
        <w:t>’</w:t>
      </w:r>
      <w:r w:rsidRPr="00393D65">
        <w:rPr>
          <w:lang w:val="fr-CA"/>
        </w:rPr>
        <w:t>à ce qu</w:t>
      </w:r>
      <w:r w:rsidR="00C03762">
        <w:rPr>
          <w:lang w:val="fr-CA"/>
        </w:rPr>
        <w:t>’</w:t>
      </w:r>
      <w:r w:rsidRPr="00393D65">
        <w:rPr>
          <w:lang w:val="fr-CA"/>
        </w:rPr>
        <w:t>il rende une nouvelle ordonnance à l</w:t>
      </w:r>
      <w:r w:rsidR="00C03762">
        <w:rPr>
          <w:lang w:val="fr-CA"/>
        </w:rPr>
        <w:t>’</w:t>
      </w:r>
      <w:r w:rsidRPr="00393D65">
        <w:rPr>
          <w:lang w:val="fr-CA"/>
        </w:rPr>
        <w:t>effet contraire, les procédures intentées contre la compagnie au titre des lois mentionnées au paragraphe (1), ou qui pourraient l</w:t>
      </w:r>
      <w:r w:rsidR="00C03762">
        <w:rPr>
          <w:lang w:val="fr-CA"/>
        </w:rPr>
        <w:t>’</w:t>
      </w:r>
      <w:r w:rsidRPr="00393D65">
        <w:rPr>
          <w:lang w:val="fr-CA"/>
        </w:rPr>
        <w:t>être;</w:t>
      </w:r>
    </w:p>
    <w:p w:rsidR="008C3D0D" w:rsidRPr="00393D65" w:rsidRDefault="008C3D0D" w:rsidP="008C3D0D">
      <w:pPr>
        <w:pStyle w:val="Citation"/>
        <w:spacing w:after="240"/>
        <w:ind w:left="0"/>
        <w:rPr>
          <w:lang w:val="fr-CA"/>
        </w:rPr>
      </w:pPr>
    </w:p>
    <w:p w:rsidR="008C3D0D" w:rsidRPr="00393D65" w:rsidRDefault="008C3D0D" w:rsidP="008C3D0D">
      <w:pPr>
        <w:pStyle w:val="Citation"/>
        <w:ind w:left="720"/>
        <w:rPr>
          <w:lang w:val="fr-CA"/>
        </w:rPr>
      </w:pPr>
      <w:r w:rsidRPr="00393D65">
        <w:rPr>
          <w:i/>
          <w:lang w:val="fr-CA"/>
        </w:rPr>
        <w:t>b</w:t>
      </w:r>
      <w:r w:rsidRPr="00393D65">
        <w:rPr>
          <w:lang w:val="fr-CA"/>
        </w:rPr>
        <w:t>)  surseoir, jusqu</w:t>
      </w:r>
      <w:r w:rsidR="00C03762">
        <w:rPr>
          <w:lang w:val="fr-CA"/>
        </w:rPr>
        <w:t>’</w:t>
      </w:r>
      <w:r w:rsidRPr="00393D65">
        <w:rPr>
          <w:lang w:val="fr-CA"/>
        </w:rPr>
        <w:t>à ce qu</w:t>
      </w:r>
      <w:r w:rsidR="00C03762">
        <w:rPr>
          <w:lang w:val="fr-CA"/>
        </w:rPr>
        <w:t>’</w:t>
      </w:r>
      <w:r w:rsidRPr="00393D65">
        <w:rPr>
          <w:lang w:val="fr-CA"/>
        </w:rPr>
        <w:t>il rende une nouvelle ordonnance à l</w:t>
      </w:r>
      <w:r w:rsidR="00C03762">
        <w:rPr>
          <w:lang w:val="fr-CA"/>
        </w:rPr>
        <w:t>’</w:t>
      </w:r>
      <w:r w:rsidRPr="00393D65">
        <w:rPr>
          <w:lang w:val="fr-CA"/>
        </w:rPr>
        <w:t>effet contraire, au cours de toute action, poursuite ou autre procédure contre la compagnie;</w:t>
      </w:r>
    </w:p>
    <w:p w:rsidR="008C3D0D" w:rsidRPr="00393D65" w:rsidRDefault="008C3D0D" w:rsidP="008C3D0D">
      <w:pPr>
        <w:pStyle w:val="Citation"/>
        <w:ind w:left="0"/>
        <w:rPr>
          <w:lang w:val="fr-CA"/>
        </w:rPr>
      </w:pPr>
    </w:p>
    <w:p w:rsidR="008C3D0D" w:rsidRPr="00393D65" w:rsidRDefault="008C3D0D" w:rsidP="008C3D0D">
      <w:pPr>
        <w:pStyle w:val="Citation"/>
        <w:spacing w:after="240"/>
        <w:ind w:left="720"/>
        <w:rPr>
          <w:lang w:val="fr-CA"/>
        </w:rPr>
      </w:pPr>
      <w:r w:rsidRPr="00393D65">
        <w:rPr>
          <w:i/>
          <w:lang w:val="fr-CA"/>
        </w:rPr>
        <w:t>c</w:t>
      </w:r>
      <w:r w:rsidRPr="00393D65">
        <w:rPr>
          <w:lang w:val="fr-CA"/>
        </w:rPr>
        <w:t>)  interdire, jusqu</w:t>
      </w:r>
      <w:r w:rsidR="00C03762">
        <w:rPr>
          <w:lang w:val="fr-CA"/>
        </w:rPr>
        <w:t>’</w:t>
      </w:r>
      <w:r w:rsidRPr="00393D65">
        <w:rPr>
          <w:lang w:val="fr-CA"/>
        </w:rPr>
        <w:t>à ce qu</w:t>
      </w:r>
      <w:r w:rsidR="00C03762">
        <w:rPr>
          <w:lang w:val="fr-CA"/>
        </w:rPr>
        <w:t>’</w:t>
      </w:r>
      <w:r w:rsidRPr="00393D65">
        <w:rPr>
          <w:lang w:val="fr-CA"/>
        </w:rPr>
        <w:t>il rende une nouvelle ordonnance à l</w:t>
      </w:r>
      <w:r w:rsidR="00C03762">
        <w:rPr>
          <w:lang w:val="fr-CA"/>
        </w:rPr>
        <w:t>’</w:t>
      </w:r>
      <w:r w:rsidRPr="00393D65">
        <w:rPr>
          <w:lang w:val="fr-CA"/>
        </w:rPr>
        <w:t>effet contraire, d</w:t>
      </w:r>
      <w:r w:rsidR="00C03762">
        <w:rPr>
          <w:lang w:val="fr-CA"/>
        </w:rPr>
        <w:t>’</w:t>
      </w:r>
      <w:r w:rsidRPr="00393D65">
        <w:rPr>
          <w:lang w:val="fr-CA"/>
        </w:rPr>
        <w:t>intenter ou de continuer toute action, poursuite ou autre procédure contre la compagnie.</w:t>
      </w:r>
    </w:p>
    <w:p w:rsidR="008C3D0D" w:rsidRPr="00393D65" w:rsidRDefault="008C3D0D" w:rsidP="008C3D0D">
      <w:pPr>
        <w:pStyle w:val="Citation"/>
        <w:spacing w:after="240"/>
        <w:ind w:left="0"/>
        <w:rPr>
          <w:lang w:val="fr-CA"/>
        </w:rPr>
      </w:pPr>
    </w:p>
    <w:p w:rsidR="008C3D0D" w:rsidRPr="00393D65" w:rsidRDefault="008C3D0D" w:rsidP="008C3D0D">
      <w:pPr>
        <w:pStyle w:val="Citation"/>
        <w:spacing w:after="240"/>
        <w:ind w:left="0"/>
        <w:rPr>
          <w:lang w:val="fr-CA"/>
        </w:rPr>
      </w:pPr>
    </w:p>
    <w:p w:rsidR="008C3D0D" w:rsidRPr="00393D65" w:rsidRDefault="008C3D0D" w:rsidP="008C3D0D">
      <w:pPr>
        <w:pStyle w:val="Citation"/>
        <w:spacing w:after="240"/>
        <w:ind w:left="0"/>
        <w:rPr>
          <w:lang w:val="fr-CA"/>
        </w:rPr>
      </w:pPr>
      <w:r w:rsidRPr="00393D65">
        <w:rPr>
          <w:lang w:val="fr-CA"/>
        </w:rPr>
        <w:tab/>
        <w:t>(4)  [Autres demandes — ordonnances] Dans le cas d</w:t>
      </w:r>
      <w:r w:rsidR="00C03762">
        <w:rPr>
          <w:lang w:val="fr-CA"/>
        </w:rPr>
        <w:t>’</w:t>
      </w:r>
      <w:r w:rsidRPr="00393D65">
        <w:rPr>
          <w:lang w:val="fr-CA"/>
        </w:rPr>
        <w:t>une demande, autre qu</w:t>
      </w:r>
      <w:r w:rsidR="00C03762">
        <w:rPr>
          <w:lang w:val="fr-CA"/>
        </w:rPr>
        <w:t>’</w:t>
      </w:r>
      <w:r w:rsidRPr="00393D65">
        <w:rPr>
          <w:lang w:val="fr-CA"/>
        </w:rPr>
        <w:t>une demande initiale, visant une compagnie, le tribunal peut, par ordonnance, aux conditions qu</w:t>
      </w:r>
      <w:r w:rsidR="00C03762">
        <w:rPr>
          <w:lang w:val="fr-CA"/>
        </w:rPr>
        <w:t>’</w:t>
      </w:r>
      <w:r w:rsidRPr="00393D65">
        <w:rPr>
          <w:lang w:val="fr-CA"/>
        </w:rPr>
        <w:t>il peut imposer et pour la période qu</w:t>
      </w:r>
      <w:r w:rsidR="00C03762">
        <w:rPr>
          <w:lang w:val="fr-CA"/>
        </w:rPr>
        <w:t>’</w:t>
      </w:r>
      <w:r w:rsidRPr="00393D65">
        <w:rPr>
          <w:lang w:val="fr-CA"/>
        </w:rPr>
        <w:t>il estime indiquée :</w:t>
      </w:r>
    </w:p>
    <w:p w:rsidR="008C3D0D" w:rsidRPr="00393D65" w:rsidRDefault="008C3D0D" w:rsidP="008C3D0D">
      <w:pPr>
        <w:pStyle w:val="Citation"/>
        <w:spacing w:after="240"/>
        <w:rPr>
          <w:lang w:val="fr-CA"/>
        </w:rPr>
      </w:pPr>
    </w:p>
    <w:p w:rsidR="008C3D0D" w:rsidRPr="00393D65" w:rsidRDefault="008C3D0D" w:rsidP="008C3D0D">
      <w:pPr>
        <w:pStyle w:val="Citation"/>
        <w:spacing w:after="240"/>
        <w:ind w:left="720"/>
        <w:rPr>
          <w:lang w:val="fr-CA"/>
        </w:rPr>
      </w:pPr>
      <w:r w:rsidRPr="00393D65">
        <w:rPr>
          <w:i/>
          <w:lang w:val="fr-CA"/>
        </w:rPr>
        <w:t>a</w:t>
      </w:r>
      <w:r w:rsidRPr="00393D65">
        <w:rPr>
          <w:lang w:val="fr-CA"/>
        </w:rPr>
        <w:t>)  suspendre, jusqu</w:t>
      </w:r>
      <w:r w:rsidR="00C03762">
        <w:rPr>
          <w:lang w:val="fr-CA"/>
        </w:rPr>
        <w:t>’</w:t>
      </w:r>
      <w:r w:rsidRPr="00393D65">
        <w:rPr>
          <w:lang w:val="fr-CA"/>
        </w:rPr>
        <w:t>à ce qu</w:t>
      </w:r>
      <w:r w:rsidR="00C03762">
        <w:rPr>
          <w:lang w:val="fr-CA"/>
        </w:rPr>
        <w:t>’</w:t>
      </w:r>
      <w:r w:rsidRPr="00393D65">
        <w:rPr>
          <w:lang w:val="fr-CA"/>
        </w:rPr>
        <w:t>il rende une nouvelle ordonnance à l</w:t>
      </w:r>
      <w:r w:rsidR="00C03762">
        <w:rPr>
          <w:lang w:val="fr-CA"/>
        </w:rPr>
        <w:t>’</w:t>
      </w:r>
      <w:r w:rsidRPr="00393D65">
        <w:rPr>
          <w:lang w:val="fr-CA"/>
        </w:rPr>
        <w:t>effet contraire, les procédures intentées contre la compagnie au titre des lois mentionnées au paragraphe (1), ou qui pourraient l</w:t>
      </w:r>
      <w:r w:rsidR="00C03762">
        <w:rPr>
          <w:lang w:val="fr-CA"/>
        </w:rPr>
        <w:t>’</w:t>
      </w:r>
      <w:r w:rsidRPr="00393D65">
        <w:rPr>
          <w:lang w:val="fr-CA"/>
        </w:rPr>
        <w:t>être;</w:t>
      </w:r>
    </w:p>
    <w:p w:rsidR="008C3D0D" w:rsidRPr="00393D65" w:rsidRDefault="008C3D0D" w:rsidP="008C3D0D">
      <w:pPr>
        <w:pStyle w:val="Citation"/>
        <w:spacing w:after="240"/>
        <w:ind w:left="720"/>
        <w:rPr>
          <w:lang w:val="fr-CA"/>
        </w:rPr>
      </w:pPr>
    </w:p>
    <w:p w:rsidR="008C3D0D" w:rsidRPr="00393D65" w:rsidRDefault="008C3D0D" w:rsidP="008C3D0D">
      <w:pPr>
        <w:pStyle w:val="Citation"/>
        <w:spacing w:after="240"/>
        <w:ind w:left="720"/>
        <w:rPr>
          <w:lang w:val="fr-CA"/>
        </w:rPr>
      </w:pPr>
      <w:r w:rsidRPr="00393D65">
        <w:rPr>
          <w:i/>
          <w:lang w:val="fr-CA"/>
        </w:rPr>
        <w:t>b</w:t>
      </w:r>
      <w:r w:rsidRPr="00393D65">
        <w:rPr>
          <w:lang w:val="fr-CA"/>
        </w:rPr>
        <w:t>)  surseoir, jusqu</w:t>
      </w:r>
      <w:r w:rsidR="00C03762">
        <w:rPr>
          <w:lang w:val="fr-CA"/>
        </w:rPr>
        <w:t>’</w:t>
      </w:r>
      <w:r w:rsidRPr="00393D65">
        <w:rPr>
          <w:lang w:val="fr-CA"/>
        </w:rPr>
        <w:t>à ce qu</w:t>
      </w:r>
      <w:r w:rsidR="00C03762">
        <w:rPr>
          <w:lang w:val="fr-CA"/>
        </w:rPr>
        <w:t>’</w:t>
      </w:r>
      <w:r w:rsidRPr="00393D65">
        <w:rPr>
          <w:lang w:val="fr-CA"/>
        </w:rPr>
        <w:t>il rende une nouvelle ordonnance à l</w:t>
      </w:r>
      <w:r w:rsidR="00C03762">
        <w:rPr>
          <w:lang w:val="fr-CA"/>
        </w:rPr>
        <w:t>’</w:t>
      </w:r>
      <w:r w:rsidRPr="00393D65">
        <w:rPr>
          <w:lang w:val="fr-CA"/>
        </w:rPr>
        <w:t>effet contraire, au cours de toute action, poursuite ou autre procédure contre la compagnie;</w:t>
      </w:r>
    </w:p>
    <w:p w:rsidR="008C3D0D" w:rsidRPr="00393D65" w:rsidRDefault="008C3D0D" w:rsidP="008C3D0D">
      <w:pPr>
        <w:pStyle w:val="Citation"/>
        <w:spacing w:after="240"/>
        <w:ind w:left="720"/>
        <w:rPr>
          <w:lang w:val="fr-CA"/>
        </w:rPr>
      </w:pPr>
    </w:p>
    <w:p w:rsidR="008C3D0D" w:rsidRPr="00393D65" w:rsidRDefault="008C3D0D" w:rsidP="008C3D0D">
      <w:pPr>
        <w:pStyle w:val="Citation"/>
        <w:spacing w:after="240"/>
        <w:ind w:left="720"/>
        <w:rPr>
          <w:lang w:val="fr-CA"/>
        </w:rPr>
      </w:pPr>
      <w:r w:rsidRPr="00393D65">
        <w:rPr>
          <w:i/>
          <w:lang w:val="fr-CA"/>
        </w:rPr>
        <w:t>c</w:t>
      </w:r>
      <w:r w:rsidRPr="00393D65">
        <w:rPr>
          <w:lang w:val="fr-CA"/>
        </w:rPr>
        <w:t>)  interdire, jusqu</w:t>
      </w:r>
      <w:r w:rsidR="00C03762">
        <w:rPr>
          <w:lang w:val="fr-CA"/>
        </w:rPr>
        <w:t>’</w:t>
      </w:r>
      <w:r w:rsidRPr="00393D65">
        <w:rPr>
          <w:lang w:val="fr-CA"/>
        </w:rPr>
        <w:t>à ce qu</w:t>
      </w:r>
      <w:r w:rsidR="00C03762">
        <w:rPr>
          <w:lang w:val="fr-CA"/>
        </w:rPr>
        <w:t>’</w:t>
      </w:r>
      <w:r w:rsidRPr="00393D65">
        <w:rPr>
          <w:lang w:val="fr-CA"/>
        </w:rPr>
        <w:t>il rende une nouvelle ordonnance à l</w:t>
      </w:r>
      <w:r w:rsidR="00C03762">
        <w:rPr>
          <w:lang w:val="fr-CA"/>
        </w:rPr>
        <w:t>’</w:t>
      </w:r>
      <w:r w:rsidRPr="00393D65">
        <w:rPr>
          <w:lang w:val="fr-CA"/>
        </w:rPr>
        <w:t>effet contraire, d</w:t>
      </w:r>
      <w:r w:rsidR="00C03762">
        <w:rPr>
          <w:lang w:val="fr-CA"/>
        </w:rPr>
        <w:t>’</w:t>
      </w:r>
      <w:r w:rsidRPr="00393D65">
        <w:rPr>
          <w:lang w:val="fr-CA"/>
        </w:rPr>
        <w:t>intenter ou de continuer toute action, poursuite ou autre procédure contre la compagnie.</w:t>
      </w:r>
    </w:p>
    <w:p w:rsidR="008C3D0D" w:rsidRPr="00393D65" w:rsidRDefault="008C3D0D" w:rsidP="008C3D0D">
      <w:pPr>
        <w:pStyle w:val="Citation"/>
        <w:spacing w:after="240"/>
        <w:ind w:left="0"/>
        <w:rPr>
          <w:lang w:val="fr-CA"/>
        </w:rPr>
      </w:pPr>
    </w:p>
    <w:p w:rsidR="008C3D0D" w:rsidRPr="00393D65" w:rsidRDefault="008C3D0D" w:rsidP="008C3D0D">
      <w:pPr>
        <w:pStyle w:val="Citation"/>
        <w:spacing w:after="240"/>
        <w:ind w:left="0"/>
        <w:rPr>
          <w:lang w:val="fr-CA"/>
        </w:rPr>
      </w:pPr>
    </w:p>
    <w:p w:rsidR="008C3D0D" w:rsidRPr="00393D65" w:rsidRDefault="008C3D0D" w:rsidP="008C3D0D">
      <w:pPr>
        <w:pStyle w:val="Citation"/>
        <w:spacing w:after="240"/>
        <w:ind w:left="0"/>
        <w:jc w:val="center"/>
        <w:rPr>
          <w:lang w:val="fr-CA"/>
        </w:rPr>
      </w:pPr>
      <w:r w:rsidRPr="00393D65">
        <w:rPr>
          <w:lang w:val="fr-CA"/>
        </w:rPr>
        <w:t>. . .</w:t>
      </w:r>
    </w:p>
    <w:p w:rsidR="008C3D0D" w:rsidRPr="00393D65" w:rsidRDefault="008C3D0D" w:rsidP="008C3D0D">
      <w:pPr>
        <w:pStyle w:val="Citation"/>
        <w:spacing w:after="240"/>
        <w:ind w:left="0"/>
        <w:jc w:val="left"/>
        <w:rPr>
          <w:lang w:val="fr-CA"/>
        </w:rPr>
      </w:pPr>
    </w:p>
    <w:p w:rsidR="008C3D0D" w:rsidRPr="00393D65" w:rsidRDefault="008C3D0D" w:rsidP="008C3D0D">
      <w:pPr>
        <w:pStyle w:val="Citation"/>
        <w:spacing w:after="240"/>
        <w:ind w:left="0"/>
        <w:rPr>
          <w:lang w:val="fr-CA"/>
        </w:rPr>
      </w:pPr>
      <w:r w:rsidRPr="00393D65">
        <w:rPr>
          <w:lang w:val="fr-CA"/>
        </w:rPr>
        <w:tab/>
        <w:t>(6)  [Preuve] Le tribunal ne rend l</w:t>
      </w:r>
      <w:r w:rsidR="00C03762">
        <w:rPr>
          <w:lang w:val="fr-CA"/>
        </w:rPr>
        <w:t>’</w:t>
      </w:r>
      <w:r w:rsidRPr="00393D65">
        <w:rPr>
          <w:lang w:val="fr-CA"/>
        </w:rPr>
        <w:t>ordonnance visée aux paragraphes (3) ou (4) que si :</w:t>
      </w:r>
    </w:p>
    <w:p w:rsidR="008C3D0D" w:rsidRPr="00393D65" w:rsidRDefault="008C3D0D" w:rsidP="008C3D0D">
      <w:pPr>
        <w:pStyle w:val="Citation"/>
        <w:spacing w:after="240"/>
        <w:rPr>
          <w:lang w:val="fr-CA"/>
        </w:rPr>
      </w:pPr>
    </w:p>
    <w:p w:rsidR="008C3D0D" w:rsidRPr="00393D65" w:rsidRDefault="008C3D0D" w:rsidP="008C3D0D">
      <w:pPr>
        <w:pStyle w:val="Citation"/>
        <w:spacing w:after="240"/>
        <w:ind w:left="720"/>
        <w:rPr>
          <w:lang w:val="fr-CA"/>
        </w:rPr>
      </w:pPr>
      <w:r w:rsidRPr="00393D65">
        <w:rPr>
          <w:i/>
          <w:lang w:val="fr-CA"/>
        </w:rPr>
        <w:t>a</w:t>
      </w:r>
      <w:r w:rsidRPr="00393D65">
        <w:rPr>
          <w:lang w:val="fr-CA"/>
        </w:rPr>
        <w:t>)  le demandeur le convainc qu</w:t>
      </w:r>
      <w:r w:rsidR="00C03762">
        <w:rPr>
          <w:lang w:val="fr-CA"/>
        </w:rPr>
        <w:t>’</w:t>
      </w:r>
      <w:r w:rsidRPr="00393D65">
        <w:rPr>
          <w:lang w:val="fr-CA"/>
        </w:rPr>
        <w:t>il serait indiqué de rendre une telle ordonnance;</w:t>
      </w:r>
    </w:p>
    <w:p w:rsidR="008C3D0D" w:rsidRPr="00393D65" w:rsidRDefault="008C3D0D" w:rsidP="008C3D0D">
      <w:pPr>
        <w:pStyle w:val="Citation"/>
        <w:spacing w:after="240"/>
        <w:ind w:left="720"/>
        <w:rPr>
          <w:lang w:val="fr-CA"/>
        </w:rPr>
      </w:pPr>
    </w:p>
    <w:p w:rsidR="008C3D0D" w:rsidRPr="00393D65" w:rsidRDefault="008C3D0D" w:rsidP="008C3D0D">
      <w:pPr>
        <w:pStyle w:val="Citation"/>
        <w:ind w:left="720"/>
        <w:contextualSpacing w:val="0"/>
        <w:rPr>
          <w:lang w:val="fr-CA"/>
        </w:rPr>
      </w:pPr>
      <w:r w:rsidRPr="00393D65">
        <w:rPr>
          <w:i/>
          <w:lang w:val="fr-CA"/>
        </w:rPr>
        <w:t>b</w:t>
      </w:r>
      <w:r w:rsidRPr="00393D65">
        <w:rPr>
          <w:lang w:val="fr-CA"/>
        </w:rPr>
        <w:t>)  dans le cas de l</w:t>
      </w:r>
      <w:r w:rsidR="00C03762">
        <w:rPr>
          <w:lang w:val="fr-CA"/>
        </w:rPr>
        <w:t>’</w:t>
      </w:r>
      <w:r w:rsidRPr="00393D65">
        <w:rPr>
          <w:lang w:val="fr-CA"/>
        </w:rPr>
        <w:t>ordonnance visée au paragraphe (4), le demandeur le convainc en outre qu</w:t>
      </w:r>
      <w:r w:rsidR="00C03762">
        <w:rPr>
          <w:lang w:val="fr-CA"/>
        </w:rPr>
        <w:t>’</w:t>
      </w:r>
      <w:r w:rsidRPr="00393D65">
        <w:rPr>
          <w:lang w:val="fr-CA"/>
        </w:rPr>
        <w:t>il a agi — et continue d</w:t>
      </w:r>
      <w:r w:rsidR="00C03762">
        <w:rPr>
          <w:lang w:val="fr-CA"/>
        </w:rPr>
        <w:t>’</w:t>
      </w:r>
      <w:r w:rsidRPr="00393D65">
        <w:rPr>
          <w:lang w:val="fr-CA"/>
        </w:rPr>
        <w:t>agir — de bonne foi et avec toute la diligence voulue.</w:t>
      </w:r>
    </w:p>
    <w:p w:rsidR="008C3D0D" w:rsidRPr="00393D65" w:rsidRDefault="008C3D0D" w:rsidP="008C3D0D">
      <w:pPr>
        <w:pStyle w:val="Citation"/>
        <w:ind w:left="0"/>
        <w:rPr>
          <w:lang w:val="fr-CA"/>
        </w:rPr>
      </w:pPr>
      <w:r w:rsidRPr="00393D65">
        <w:rPr>
          <w:b/>
          <w:lang w:val="fr-CA"/>
        </w:rPr>
        <w:tab/>
        <w:t>11.4</w:t>
      </w:r>
      <w:r w:rsidRPr="00393D65">
        <w:rPr>
          <w:lang w:val="fr-CA"/>
        </w:rPr>
        <w:t> (1)  [Suspension des procédures] Le tribunal peut ordonner :</w:t>
      </w:r>
    </w:p>
    <w:p w:rsidR="008C3D0D" w:rsidRPr="00393D65" w:rsidRDefault="008C3D0D" w:rsidP="008C3D0D">
      <w:pPr>
        <w:pStyle w:val="Citation"/>
        <w:ind w:left="0"/>
        <w:rPr>
          <w:lang w:val="fr-CA"/>
        </w:rPr>
      </w:pPr>
    </w:p>
    <w:p w:rsidR="008C3D0D" w:rsidRPr="00393D65" w:rsidRDefault="008C3D0D" w:rsidP="008C3D0D">
      <w:pPr>
        <w:pStyle w:val="Citation"/>
        <w:ind w:left="720"/>
        <w:rPr>
          <w:lang w:val="fr-CA"/>
        </w:rPr>
      </w:pPr>
      <w:r w:rsidRPr="00393D65">
        <w:rPr>
          <w:i/>
          <w:lang w:val="fr-CA"/>
        </w:rPr>
        <w:t>a</w:t>
      </w:r>
      <w:r w:rsidRPr="00393D65">
        <w:rPr>
          <w:lang w:val="fr-CA"/>
        </w:rPr>
        <w:t>)  la suspension de l</w:t>
      </w:r>
      <w:r w:rsidR="00C03762">
        <w:rPr>
          <w:lang w:val="fr-CA"/>
        </w:rPr>
        <w:t>’</w:t>
      </w:r>
      <w:r w:rsidRPr="00393D65">
        <w:rPr>
          <w:lang w:val="fr-CA"/>
        </w:rPr>
        <w:t xml:space="preserve">exercice par Sa Majesté du chef du Canada des droits que lui confère le paragraphe 224(1.2) de la </w:t>
      </w:r>
      <w:r w:rsidRPr="00393D65">
        <w:rPr>
          <w:i/>
          <w:lang w:val="fr-CA"/>
        </w:rPr>
        <w:t>Loi de l</w:t>
      </w:r>
      <w:r w:rsidR="00C03762">
        <w:rPr>
          <w:i/>
          <w:lang w:val="fr-CA"/>
        </w:rPr>
        <w:t>’</w:t>
      </w:r>
      <w:r w:rsidRPr="00393D65">
        <w:rPr>
          <w:i/>
          <w:lang w:val="fr-CA"/>
        </w:rPr>
        <w:t>impôt sur le revenu</w:t>
      </w:r>
      <w:r w:rsidRPr="00393D65">
        <w:rPr>
          <w:lang w:val="fr-CA"/>
        </w:rPr>
        <w:t xml:space="preserve"> ou toute disposition du </w:t>
      </w:r>
      <w:r w:rsidRPr="00393D65">
        <w:rPr>
          <w:i/>
          <w:lang w:val="fr-CA"/>
        </w:rPr>
        <w:t>Régime de pensions du Canada</w:t>
      </w:r>
      <w:r w:rsidRPr="00393D65">
        <w:rPr>
          <w:lang w:val="fr-CA"/>
        </w:rPr>
        <w:t xml:space="preserve"> ou de la </w:t>
      </w:r>
      <w:r w:rsidRPr="00393D65">
        <w:rPr>
          <w:i/>
          <w:lang w:val="fr-CA"/>
        </w:rPr>
        <w:t>Loi sur l</w:t>
      </w:r>
      <w:r w:rsidR="00C03762">
        <w:rPr>
          <w:i/>
          <w:lang w:val="fr-CA"/>
        </w:rPr>
        <w:t>’</w:t>
      </w:r>
      <w:r w:rsidRPr="00393D65">
        <w:rPr>
          <w:i/>
          <w:lang w:val="fr-CA"/>
        </w:rPr>
        <w:t>assurance</w:t>
      </w:r>
      <w:r w:rsidRPr="00393D65">
        <w:rPr>
          <w:i/>
          <w:lang w:val="fr-CA"/>
        </w:rPr>
        <w:noBreakHyphen/>
        <w:t>emploi</w:t>
      </w:r>
      <w:r w:rsidRPr="00393D65">
        <w:rPr>
          <w:lang w:val="fr-CA"/>
        </w:rPr>
        <w:t xml:space="preserve"> qui renvoie à ce paragraphe et qui prévoit la perception d</w:t>
      </w:r>
      <w:r w:rsidR="00C03762">
        <w:rPr>
          <w:lang w:val="fr-CA"/>
        </w:rPr>
        <w:t>’</w:t>
      </w:r>
      <w:r w:rsidRPr="00393D65">
        <w:rPr>
          <w:lang w:val="fr-CA"/>
        </w:rPr>
        <w:t xml:space="preserve">une cotisation, au sens du </w:t>
      </w:r>
      <w:r w:rsidRPr="00393D65">
        <w:rPr>
          <w:i/>
          <w:lang w:val="fr-CA"/>
        </w:rPr>
        <w:t>Régime de pensions du Canada</w:t>
      </w:r>
      <w:r w:rsidRPr="00393D65">
        <w:rPr>
          <w:lang w:val="fr-CA"/>
        </w:rPr>
        <w:t>, ou d</w:t>
      </w:r>
      <w:r w:rsidR="00C03762">
        <w:rPr>
          <w:lang w:val="fr-CA"/>
        </w:rPr>
        <w:t>’</w:t>
      </w:r>
      <w:r w:rsidRPr="00393D65">
        <w:rPr>
          <w:lang w:val="fr-CA"/>
        </w:rPr>
        <w:t>une cotisation ouvrière ou d</w:t>
      </w:r>
      <w:r w:rsidR="00C03762">
        <w:rPr>
          <w:lang w:val="fr-CA"/>
        </w:rPr>
        <w:t>’</w:t>
      </w:r>
      <w:r w:rsidRPr="00393D65">
        <w:rPr>
          <w:lang w:val="fr-CA"/>
        </w:rPr>
        <w:t xml:space="preserve">une cotisation patronale, au sens de la </w:t>
      </w:r>
      <w:r w:rsidRPr="00393D65">
        <w:rPr>
          <w:i/>
          <w:lang w:val="fr-CA"/>
        </w:rPr>
        <w:t>Loi sur l</w:t>
      </w:r>
      <w:r w:rsidR="00C03762">
        <w:rPr>
          <w:i/>
          <w:lang w:val="fr-CA"/>
        </w:rPr>
        <w:t>’</w:t>
      </w:r>
      <w:r w:rsidRPr="00393D65">
        <w:rPr>
          <w:i/>
          <w:lang w:val="fr-CA"/>
        </w:rPr>
        <w:t>assurance</w:t>
      </w:r>
      <w:r w:rsidRPr="00393D65">
        <w:rPr>
          <w:i/>
          <w:lang w:val="fr-CA"/>
        </w:rPr>
        <w:noBreakHyphen/>
        <w:t>emploi</w:t>
      </w:r>
      <w:r w:rsidRPr="00393D65">
        <w:rPr>
          <w:lang w:val="fr-CA"/>
        </w:rPr>
        <w:t xml:space="preserve">, et des intérêts, pénalités ou autres montants y afférents, à </w:t>
      </w:r>
      <w:r w:rsidRPr="00393D65">
        <w:rPr>
          <w:lang w:val="fr-CA"/>
        </w:rPr>
        <w:lastRenderedPageBreak/>
        <w:t>l</w:t>
      </w:r>
      <w:r w:rsidR="00C03762">
        <w:rPr>
          <w:lang w:val="fr-CA"/>
        </w:rPr>
        <w:t>’</w:t>
      </w:r>
      <w:r w:rsidRPr="00393D65">
        <w:rPr>
          <w:lang w:val="fr-CA"/>
        </w:rPr>
        <w:t>égard d</w:t>
      </w:r>
      <w:r w:rsidR="00C03762">
        <w:rPr>
          <w:lang w:val="fr-CA"/>
        </w:rPr>
        <w:t>’</w:t>
      </w:r>
      <w:r w:rsidRPr="00393D65">
        <w:rPr>
          <w:lang w:val="fr-CA"/>
        </w:rPr>
        <w:t>une compagnie lorsque celle</w:t>
      </w:r>
      <w:r w:rsidRPr="00393D65">
        <w:rPr>
          <w:lang w:val="fr-CA"/>
        </w:rPr>
        <w:noBreakHyphen/>
        <w:t>ci est un débiteur fiscal visé à ce paragraphe ou à cette disposition, pour une période se terminant au plus tard :</w:t>
      </w:r>
    </w:p>
    <w:p w:rsidR="008C3D0D" w:rsidRPr="00393D65" w:rsidRDefault="008C3D0D" w:rsidP="008C3D0D">
      <w:pPr>
        <w:pStyle w:val="Citation"/>
        <w:ind w:left="720"/>
        <w:rPr>
          <w:lang w:val="fr-CA"/>
        </w:rPr>
      </w:pPr>
    </w:p>
    <w:p w:rsidR="008C3D0D" w:rsidRPr="00393D65" w:rsidRDefault="008C3D0D" w:rsidP="008C3D0D">
      <w:pPr>
        <w:pStyle w:val="Citation"/>
        <w:ind w:left="1440"/>
        <w:rPr>
          <w:lang w:val="fr-CA"/>
        </w:rPr>
      </w:pPr>
      <w:r w:rsidRPr="00393D65">
        <w:rPr>
          <w:lang w:val="fr-CA"/>
        </w:rPr>
        <w:t>(i)  à l</w:t>
      </w:r>
      <w:r w:rsidR="00C03762">
        <w:rPr>
          <w:lang w:val="fr-CA"/>
        </w:rPr>
        <w:t>’</w:t>
      </w:r>
      <w:r w:rsidRPr="00393D65">
        <w:rPr>
          <w:lang w:val="fr-CA"/>
        </w:rPr>
        <w:t>expiration de l</w:t>
      </w:r>
      <w:r w:rsidR="00C03762">
        <w:rPr>
          <w:lang w:val="fr-CA"/>
        </w:rPr>
        <w:t>’</w:t>
      </w:r>
      <w:r w:rsidRPr="00393D65">
        <w:rPr>
          <w:lang w:val="fr-CA"/>
        </w:rPr>
        <w:t>ordonnance rendue en application de l</w:t>
      </w:r>
      <w:r w:rsidR="00C03762">
        <w:rPr>
          <w:lang w:val="fr-CA"/>
        </w:rPr>
        <w:t>’</w:t>
      </w:r>
      <w:r w:rsidRPr="00393D65">
        <w:rPr>
          <w:lang w:val="fr-CA"/>
        </w:rPr>
        <w:t>article 11,</w:t>
      </w:r>
    </w:p>
    <w:p w:rsidR="008C3D0D" w:rsidRPr="00393D65" w:rsidRDefault="008C3D0D" w:rsidP="008C3D0D">
      <w:pPr>
        <w:pStyle w:val="Citation"/>
        <w:ind w:left="1440"/>
        <w:rPr>
          <w:lang w:val="fr-CA"/>
        </w:rPr>
      </w:pPr>
    </w:p>
    <w:p w:rsidR="008C3D0D" w:rsidRPr="00393D65" w:rsidRDefault="008C3D0D" w:rsidP="008C3D0D">
      <w:pPr>
        <w:pStyle w:val="Citation"/>
        <w:ind w:left="1440"/>
        <w:rPr>
          <w:lang w:val="fr-CA"/>
        </w:rPr>
      </w:pPr>
      <w:r w:rsidRPr="00393D65">
        <w:rPr>
          <w:lang w:val="fr-CA"/>
        </w:rPr>
        <w:t>(ii)  au moment du rejet, par le tribunal ou les créanciers, de la transaction proposée,</w:t>
      </w:r>
    </w:p>
    <w:p w:rsidR="008C3D0D" w:rsidRPr="00393D65" w:rsidRDefault="008C3D0D" w:rsidP="008C3D0D">
      <w:pPr>
        <w:pStyle w:val="Citation"/>
        <w:ind w:left="1440"/>
        <w:rPr>
          <w:lang w:val="fr-CA"/>
        </w:rPr>
      </w:pPr>
    </w:p>
    <w:p w:rsidR="008C3D0D" w:rsidRPr="00393D65" w:rsidRDefault="008C3D0D" w:rsidP="008C3D0D">
      <w:pPr>
        <w:pStyle w:val="Citation"/>
        <w:ind w:left="1440"/>
        <w:rPr>
          <w:lang w:val="fr-CA"/>
        </w:rPr>
      </w:pPr>
      <w:r w:rsidRPr="00393D65">
        <w:rPr>
          <w:lang w:val="fr-CA"/>
        </w:rPr>
        <w:t>(iii)  six mois après que le tribunal a homologué la transaction ou l</w:t>
      </w:r>
      <w:r w:rsidR="00C03762">
        <w:rPr>
          <w:lang w:val="fr-CA"/>
        </w:rPr>
        <w:t>’</w:t>
      </w:r>
      <w:r w:rsidRPr="00393D65">
        <w:rPr>
          <w:lang w:val="fr-CA"/>
        </w:rPr>
        <w:t>arrangement,</w:t>
      </w:r>
    </w:p>
    <w:p w:rsidR="008C3D0D" w:rsidRPr="00393D65" w:rsidRDefault="008C3D0D" w:rsidP="008C3D0D">
      <w:pPr>
        <w:pStyle w:val="Citation"/>
        <w:ind w:left="1440"/>
        <w:rPr>
          <w:lang w:val="fr-CA"/>
        </w:rPr>
      </w:pPr>
    </w:p>
    <w:p w:rsidR="008C3D0D" w:rsidRPr="00393D65" w:rsidRDefault="008C3D0D" w:rsidP="008C3D0D">
      <w:pPr>
        <w:pStyle w:val="Citation"/>
        <w:ind w:left="1440"/>
        <w:rPr>
          <w:lang w:val="fr-CA"/>
        </w:rPr>
      </w:pPr>
      <w:r w:rsidRPr="00393D65">
        <w:rPr>
          <w:lang w:val="fr-CA"/>
        </w:rPr>
        <w:t>(iv)  au moment de tout défaut d</w:t>
      </w:r>
      <w:r w:rsidR="00C03762">
        <w:rPr>
          <w:lang w:val="fr-CA"/>
        </w:rPr>
        <w:t>’</w:t>
      </w:r>
      <w:r w:rsidRPr="00393D65">
        <w:rPr>
          <w:lang w:val="fr-CA"/>
        </w:rPr>
        <w:t>exécution de la transaction ou de l</w:t>
      </w:r>
      <w:r w:rsidR="00C03762">
        <w:rPr>
          <w:lang w:val="fr-CA"/>
        </w:rPr>
        <w:t>’</w:t>
      </w:r>
      <w:r w:rsidRPr="00393D65">
        <w:rPr>
          <w:lang w:val="fr-CA"/>
        </w:rPr>
        <w:t>arrangement,</w:t>
      </w:r>
    </w:p>
    <w:p w:rsidR="008C3D0D" w:rsidRPr="00393D65" w:rsidRDefault="008C3D0D" w:rsidP="008C3D0D">
      <w:pPr>
        <w:pStyle w:val="Citation"/>
        <w:ind w:left="1440"/>
        <w:rPr>
          <w:lang w:val="fr-CA"/>
        </w:rPr>
      </w:pPr>
    </w:p>
    <w:p w:rsidR="008C3D0D" w:rsidRPr="00393D65" w:rsidRDefault="008C3D0D" w:rsidP="008C3D0D">
      <w:pPr>
        <w:pStyle w:val="Citation"/>
        <w:ind w:left="1440"/>
        <w:rPr>
          <w:lang w:val="fr-CA"/>
        </w:rPr>
      </w:pPr>
      <w:r w:rsidRPr="00393D65">
        <w:rPr>
          <w:lang w:val="fr-CA"/>
        </w:rPr>
        <w:t>(v)  au moment de l</w:t>
      </w:r>
      <w:r w:rsidR="00C03762">
        <w:rPr>
          <w:lang w:val="fr-CA"/>
        </w:rPr>
        <w:t>’</w:t>
      </w:r>
      <w:r w:rsidRPr="00393D65">
        <w:rPr>
          <w:lang w:val="fr-CA"/>
        </w:rPr>
        <w:t>exécution intégrale de la transaction ou de l</w:t>
      </w:r>
      <w:r w:rsidR="00C03762">
        <w:rPr>
          <w:lang w:val="fr-CA"/>
        </w:rPr>
        <w:t>’</w:t>
      </w:r>
      <w:r w:rsidRPr="00393D65">
        <w:rPr>
          <w:lang w:val="fr-CA"/>
        </w:rPr>
        <w:t>arrangement;</w:t>
      </w:r>
    </w:p>
    <w:p w:rsidR="008C3D0D" w:rsidRPr="00393D65" w:rsidRDefault="008C3D0D" w:rsidP="008C3D0D">
      <w:pPr>
        <w:pStyle w:val="Citation"/>
        <w:ind w:left="720"/>
        <w:rPr>
          <w:lang w:val="fr-CA"/>
        </w:rPr>
      </w:pPr>
    </w:p>
    <w:p w:rsidR="008C3D0D" w:rsidRPr="00393D65" w:rsidRDefault="008C3D0D" w:rsidP="008C3D0D">
      <w:pPr>
        <w:pStyle w:val="Citation"/>
        <w:ind w:left="720"/>
        <w:rPr>
          <w:lang w:val="fr-CA"/>
        </w:rPr>
      </w:pPr>
      <w:r w:rsidRPr="00393D65">
        <w:rPr>
          <w:i/>
          <w:lang w:val="fr-CA"/>
        </w:rPr>
        <w:t>b</w:t>
      </w:r>
      <w:r w:rsidRPr="00393D65">
        <w:rPr>
          <w:lang w:val="fr-CA"/>
        </w:rPr>
        <w:t>)  la suspension de l</w:t>
      </w:r>
      <w:r w:rsidR="00C03762">
        <w:rPr>
          <w:lang w:val="fr-CA"/>
        </w:rPr>
        <w:t>’</w:t>
      </w:r>
      <w:r w:rsidRPr="00393D65">
        <w:rPr>
          <w:lang w:val="fr-CA"/>
        </w:rPr>
        <w:t>exercice par Sa Majesté du chef d</w:t>
      </w:r>
      <w:r w:rsidR="00C03762">
        <w:rPr>
          <w:lang w:val="fr-CA"/>
        </w:rPr>
        <w:t>’</w:t>
      </w:r>
      <w:r w:rsidRPr="00393D65">
        <w:rPr>
          <w:lang w:val="fr-CA"/>
        </w:rPr>
        <w:t>une province, pour une période se terminant au plus tard au moment visé à celui des sous</w:t>
      </w:r>
      <w:r w:rsidRPr="00393D65">
        <w:rPr>
          <w:lang w:val="fr-CA"/>
        </w:rPr>
        <w:noBreakHyphen/>
        <w:t xml:space="preserve">alinéas </w:t>
      </w:r>
      <w:r w:rsidRPr="00393D65">
        <w:rPr>
          <w:i/>
          <w:lang w:val="fr-CA"/>
        </w:rPr>
        <w:t>a</w:t>
      </w:r>
      <w:r w:rsidRPr="00393D65">
        <w:rPr>
          <w:lang w:val="fr-CA"/>
        </w:rPr>
        <w:t>)(i) à (v) qui, le cas échéant, est applicable, des droits que lui confère toute disposition législative de cette province à l</w:t>
      </w:r>
      <w:r w:rsidR="00C03762">
        <w:rPr>
          <w:lang w:val="fr-CA"/>
        </w:rPr>
        <w:t>’</w:t>
      </w:r>
      <w:r w:rsidRPr="00393D65">
        <w:rPr>
          <w:lang w:val="fr-CA"/>
        </w:rPr>
        <w:t>égard d</w:t>
      </w:r>
      <w:r w:rsidR="00C03762">
        <w:rPr>
          <w:lang w:val="fr-CA"/>
        </w:rPr>
        <w:t>’</w:t>
      </w:r>
      <w:r w:rsidRPr="00393D65">
        <w:rPr>
          <w:lang w:val="fr-CA"/>
        </w:rPr>
        <w:t>une compagnie, lorsque celle</w:t>
      </w:r>
      <w:r w:rsidRPr="00393D65">
        <w:rPr>
          <w:lang w:val="fr-CA"/>
        </w:rPr>
        <w:noBreakHyphen/>
        <w:t>ci est un débiteur visé par la loi provinciale et qu</w:t>
      </w:r>
      <w:r w:rsidR="00C03762">
        <w:rPr>
          <w:lang w:val="fr-CA"/>
        </w:rPr>
        <w:t>’</w:t>
      </w:r>
      <w:r w:rsidRPr="00393D65">
        <w:rPr>
          <w:lang w:val="fr-CA"/>
        </w:rPr>
        <w:t>il s</w:t>
      </w:r>
      <w:r w:rsidR="00C03762">
        <w:rPr>
          <w:lang w:val="fr-CA"/>
        </w:rPr>
        <w:t>’</w:t>
      </w:r>
      <w:r w:rsidRPr="00393D65">
        <w:rPr>
          <w:lang w:val="fr-CA"/>
        </w:rPr>
        <w:t>agit d</w:t>
      </w:r>
      <w:r w:rsidR="00C03762">
        <w:rPr>
          <w:lang w:val="fr-CA"/>
        </w:rPr>
        <w:t>’</w:t>
      </w:r>
      <w:r w:rsidRPr="00393D65">
        <w:rPr>
          <w:lang w:val="fr-CA"/>
        </w:rPr>
        <w:t>une disposition dont l</w:t>
      </w:r>
      <w:r w:rsidR="00C03762">
        <w:rPr>
          <w:lang w:val="fr-CA"/>
        </w:rPr>
        <w:t>’</w:t>
      </w:r>
      <w:r w:rsidRPr="00393D65">
        <w:rPr>
          <w:lang w:val="fr-CA"/>
        </w:rPr>
        <w:t xml:space="preserve">objet est semblable à celui du paragraphe 224(1.2) de la </w:t>
      </w:r>
      <w:r w:rsidRPr="00393D65">
        <w:rPr>
          <w:i/>
          <w:lang w:val="fr-CA"/>
        </w:rPr>
        <w:t>Loi de l</w:t>
      </w:r>
      <w:r w:rsidR="00C03762">
        <w:rPr>
          <w:i/>
          <w:lang w:val="fr-CA"/>
        </w:rPr>
        <w:t>’</w:t>
      </w:r>
      <w:r w:rsidRPr="00393D65">
        <w:rPr>
          <w:i/>
          <w:lang w:val="fr-CA"/>
        </w:rPr>
        <w:t>impôt sur le revenu</w:t>
      </w:r>
      <w:r w:rsidRPr="00393D65">
        <w:rPr>
          <w:lang w:val="fr-CA"/>
        </w:rPr>
        <w:t>, ou qui renvoie à ce paragraphe, dans la mesure où elle prévoit la perception d</w:t>
      </w:r>
      <w:r w:rsidR="00C03762">
        <w:rPr>
          <w:lang w:val="fr-CA"/>
        </w:rPr>
        <w:t>’</w:t>
      </w:r>
      <w:r w:rsidRPr="00393D65">
        <w:rPr>
          <w:lang w:val="fr-CA"/>
        </w:rPr>
        <w:t>une somme, et des intérêts, pénalités ou autres montants y afférents, qui :</w:t>
      </w:r>
    </w:p>
    <w:p w:rsidR="008C3D0D" w:rsidRPr="00393D65" w:rsidRDefault="008C3D0D" w:rsidP="008C3D0D">
      <w:pPr>
        <w:pStyle w:val="Citation"/>
        <w:ind w:left="720"/>
        <w:rPr>
          <w:lang w:val="fr-CA"/>
        </w:rPr>
      </w:pPr>
    </w:p>
    <w:p w:rsidR="008C3D0D" w:rsidRPr="00393D65" w:rsidRDefault="008C3D0D" w:rsidP="008C3D0D">
      <w:pPr>
        <w:pStyle w:val="Citation"/>
        <w:ind w:left="1440"/>
        <w:rPr>
          <w:lang w:val="fr-CA"/>
        </w:rPr>
      </w:pPr>
      <w:r w:rsidRPr="00393D65">
        <w:rPr>
          <w:lang w:val="fr-CA"/>
        </w:rPr>
        <w:t>(i)  soit a été retenue par une personne sur un paiement effectué à une autre personne, ou déduite d</w:t>
      </w:r>
      <w:r w:rsidR="00C03762">
        <w:rPr>
          <w:lang w:val="fr-CA"/>
        </w:rPr>
        <w:t>’</w:t>
      </w:r>
      <w:r w:rsidRPr="00393D65">
        <w:rPr>
          <w:lang w:val="fr-CA"/>
        </w:rPr>
        <w:t>un tel paiement, et se rapporte à un impôt semblable, de par sa nature, à l</w:t>
      </w:r>
      <w:r w:rsidR="00C03762">
        <w:rPr>
          <w:lang w:val="fr-CA"/>
        </w:rPr>
        <w:t>’</w:t>
      </w:r>
      <w:r w:rsidRPr="00393D65">
        <w:rPr>
          <w:lang w:val="fr-CA"/>
        </w:rPr>
        <w:t xml:space="preserve">impôt sur le revenu auquel les particuliers sont assujettis en vertu de la </w:t>
      </w:r>
      <w:r w:rsidRPr="00393D65">
        <w:rPr>
          <w:i/>
          <w:lang w:val="fr-CA"/>
        </w:rPr>
        <w:t>Loi de l</w:t>
      </w:r>
      <w:r w:rsidR="00C03762">
        <w:rPr>
          <w:i/>
          <w:lang w:val="fr-CA"/>
        </w:rPr>
        <w:t>’</w:t>
      </w:r>
      <w:r w:rsidRPr="00393D65">
        <w:rPr>
          <w:i/>
          <w:lang w:val="fr-CA"/>
        </w:rPr>
        <w:t>impôt sur le revenu</w:t>
      </w:r>
      <w:r w:rsidRPr="00393D65">
        <w:rPr>
          <w:lang w:val="fr-CA"/>
        </w:rPr>
        <w:t>,</w:t>
      </w:r>
    </w:p>
    <w:p w:rsidR="008C3D0D" w:rsidRPr="00393D65" w:rsidRDefault="008C3D0D" w:rsidP="008C3D0D">
      <w:pPr>
        <w:pStyle w:val="Citation"/>
        <w:ind w:left="2606"/>
        <w:rPr>
          <w:lang w:val="fr-CA"/>
        </w:rPr>
      </w:pPr>
    </w:p>
    <w:p w:rsidR="008C3D0D" w:rsidRPr="00393D65" w:rsidRDefault="008C3D0D" w:rsidP="008C3D0D">
      <w:pPr>
        <w:pStyle w:val="Citation"/>
        <w:ind w:left="1440"/>
        <w:contextualSpacing w:val="0"/>
        <w:rPr>
          <w:lang w:val="fr-CA"/>
        </w:rPr>
      </w:pPr>
      <w:r w:rsidRPr="00393D65">
        <w:rPr>
          <w:lang w:val="fr-CA"/>
        </w:rPr>
        <w:t>(ii)  soit est de même nature qu</w:t>
      </w:r>
      <w:r w:rsidR="00C03762">
        <w:rPr>
          <w:lang w:val="fr-CA"/>
        </w:rPr>
        <w:t>’</w:t>
      </w:r>
      <w:r w:rsidRPr="00393D65">
        <w:rPr>
          <w:lang w:val="fr-CA"/>
        </w:rPr>
        <w:t xml:space="preserve">une cotisation prévue par le </w:t>
      </w:r>
      <w:r w:rsidRPr="00393D65">
        <w:rPr>
          <w:i/>
          <w:lang w:val="fr-CA"/>
        </w:rPr>
        <w:t>Régime de pensions du Canada</w:t>
      </w:r>
      <w:r w:rsidRPr="00393D65">
        <w:rPr>
          <w:lang w:val="fr-CA"/>
        </w:rPr>
        <w:t>, si la province est « une province instituant un régime général de pensions » au sens du paragraphe 3(1) de cette loi et si la loi provinciale institue un « régime provincial de pensions » au sens de ce paragraphe.</w:t>
      </w:r>
    </w:p>
    <w:p w:rsidR="008C3D0D" w:rsidRPr="00393D65" w:rsidRDefault="008C3D0D" w:rsidP="008C3D0D">
      <w:pPr>
        <w:pStyle w:val="Citation"/>
        <w:ind w:left="0"/>
        <w:rPr>
          <w:lang w:val="fr-CA"/>
        </w:rPr>
      </w:pPr>
      <w:r w:rsidRPr="00393D65">
        <w:rPr>
          <w:lang w:val="fr-CA"/>
        </w:rPr>
        <w:tab/>
        <w:t>(2)  [Cessation] L</w:t>
      </w:r>
      <w:r w:rsidR="00C03762">
        <w:rPr>
          <w:lang w:val="fr-CA"/>
        </w:rPr>
        <w:t>’</w:t>
      </w:r>
      <w:r w:rsidRPr="00393D65">
        <w:rPr>
          <w:lang w:val="fr-CA"/>
        </w:rPr>
        <w:t>ordonnance cesse d</w:t>
      </w:r>
      <w:r w:rsidR="00C03762">
        <w:rPr>
          <w:lang w:val="fr-CA"/>
        </w:rPr>
        <w:t>’</w:t>
      </w:r>
      <w:r w:rsidRPr="00393D65">
        <w:rPr>
          <w:lang w:val="fr-CA"/>
        </w:rPr>
        <w:t>être en vigueur dans les cas suivants :</w:t>
      </w:r>
    </w:p>
    <w:p w:rsidR="008C3D0D" w:rsidRPr="00393D65" w:rsidRDefault="008C3D0D" w:rsidP="008C3D0D">
      <w:pPr>
        <w:pStyle w:val="Citation"/>
        <w:rPr>
          <w:lang w:val="fr-CA"/>
        </w:rPr>
      </w:pPr>
    </w:p>
    <w:p w:rsidR="008C3D0D" w:rsidRPr="00393D65" w:rsidRDefault="008C3D0D" w:rsidP="008C3D0D">
      <w:pPr>
        <w:pStyle w:val="Citation"/>
        <w:ind w:left="720"/>
        <w:rPr>
          <w:lang w:val="fr-CA"/>
        </w:rPr>
      </w:pPr>
      <w:r w:rsidRPr="00393D65">
        <w:rPr>
          <w:i/>
          <w:lang w:val="fr-CA"/>
        </w:rPr>
        <w:t>a</w:t>
      </w:r>
      <w:r w:rsidRPr="00393D65">
        <w:rPr>
          <w:lang w:val="fr-CA"/>
        </w:rPr>
        <w:t>)  la compagnie manque à ses obligations de paiement pour un montant qui devient dû à Sa Majesté après l</w:t>
      </w:r>
      <w:r w:rsidR="00C03762">
        <w:rPr>
          <w:lang w:val="fr-CA"/>
        </w:rPr>
        <w:t>’</w:t>
      </w:r>
      <w:r w:rsidRPr="00393D65">
        <w:rPr>
          <w:lang w:val="fr-CA"/>
        </w:rPr>
        <w:t>ordonnance et qui pourrait faire l</w:t>
      </w:r>
      <w:r w:rsidR="00C03762">
        <w:rPr>
          <w:lang w:val="fr-CA"/>
        </w:rPr>
        <w:t>’</w:t>
      </w:r>
      <w:r w:rsidRPr="00393D65">
        <w:rPr>
          <w:lang w:val="fr-CA"/>
        </w:rPr>
        <w:t>objet d</w:t>
      </w:r>
      <w:r w:rsidR="00C03762">
        <w:rPr>
          <w:lang w:val="fr-CA"/>
        </w:rPr>
        <w:t>’</w:t>
      </w:r>
      <w:r w:rsidRPr="00393D65">
        <w:rPr>
          <w:lang w:val="fr-CA"/>
        </w:rPr>
        <w:t>une demande aux termes d</w:t>
      </w:r>
      <w:r w:rsidR="00C03762">
        <w:rPr>
          <w:lang w:val="fr-CA"/>
        </w:rPr>
        <w:t>’</w:t>
      </w:r>
      <w:r w:rsidRPr="00393D65">
        <w:rPr>
          <w:lang w:val="fr-CA"/>
        </w:rPr>
        <w:t>une des dispositions suivantes :</w:t>
      </w:r>
    </w:p>
    <w:p w:rsidR="008C3D0D" w:rsidRPr="00393D65" w:rsidRDefault="008C3D0D" w:rsidP="008C3D0D">
      <w:pPr>
        <w:pStyle w:val="Citation"/>
        <w:ind w:left="720"/>
        <w:rPr>
          <w:lang w:val="fr-CA"/>
        </w:rPr>
      </w:pPr>
    </w:p>
    <w:p w:rsidR="008C3D0D" w:rsidRPr="00393D65" w:rsidRDefault="008C3D0D" w:rsidP="008C3D0D">
      <w:pPr>
        <w:pStyle w:val="Citation"/>
        <w:ind w:left="1440"/>
        <w:rPr>
          <w:lang w:val="fr-CA"/>
        </w:rPr>
      </w:pPr>
      <w:r w:rsidRPr="00393D65">
        <w:rPr>
          <w:lang w:val="fr-CA"/>
        </w:rPr>
        <w:t xml:space="preserve">(i)  le paragraphe 224(1.2) de la </w:t>
      </w:r>
      <w:r w:rsidRPr="00393D65">
        <w:rPr>
          <w:i/>
          <w:lang w:val="fr-CA"/>
        </w:rPr>
        <w:t>Loi de l</w:t>
      </w:r>
      <w:r w:rsidR="00C03762">
        <w:rPr>
          <w:i/>
          <w:lang w:val="fr-CA"/>
        </w:rPr>
        <w:t>’</w:t>
      </w:r>
      <w:r w:rsidRPr="00393D65">
        <w:rPr>
          <w:i/>
          <w:lang w:val="fr-CA"/>
        </w:rPr>
        <w:t>impôt sur le revenu</w:t>
      </w:r>
      <w:r w:rsidRPr="00393D65">
        <w:rPr>
          <w:lang w:val="fr-CA"/>
        </w:rPr>
        <w:t>,</w:t>
      </w:r>
    </w:p>
    <w:p w:rsidR="008C3D0D" w:rsidRPr="00393D65" w:rsidRDefault="008C3D0D" w:rsidP="008C3D0D">
      <w:pPr>
        <w:pStyle w:val="Citation"/>
        <w:ind w:left="1440"/>
        <w:rPr>
          <w:lang w:val="fr-CA"/>
        </w:rPr>
      </w:pPr>
    </w:p>
    <w:p w:rsidR="008C3D0D" w:rsidRPr="00393D65" w:rsidRDefault="008C3D0D" w:rsidP="008C3D0D">
      <w:pPr>
        <w:pStyle w:val="Citation"/>
        <w:ind w:left="1440"/>
        <w:rPr>
          <w:lang w:val="fr-CA"/>
        </w:rPr>
      </w:pPr>
      <w:r w:rsidRPr="00393D65">
        <w:rPr>
          <w:lang w:val="fr-CA"/>
        </w:rPr>
        <w:t xml:space="preserve">(ii)  toute disposition du </w:t>
      </w:r>
      <w:r w:rsidRPr="00393D65">
        <w:rPr>
          <w:i/>
          <w:lang w:val="fr-CA"/>
        </w:rPr>
        <w:t>Régime de pensions du Canada</w:t>
      </w:r>
      <w:r w:rsidRPr="00393D65">
        <w:rPr>
          <w:lang w:val="fr-CA"/>
        </w:rPr>
        <w:t xml:space="preserve"> ou de la </w:t>
      </w:r>
      <w:r w:rsidRPr="00393D65">
        <w:rPr>
          <w:i/>
          <w:lang w:val="fr-CA"/>
        </w:rPr>
        <w:t>Loi sur l</w:t>
      </w:r>
      <w:r w:rsidR="00C03762">
        <w:rPr>
          <w:i/>
          <w:lang w:val="fr-CA"/>
        </w:rPr>
        <w:t>’</w:t>
      </w:r>
      <w:r w:rsidRPr="00393D65">
        <w:rPr>
          <w:i/>
          <w:lang w:val="fr-CA"/>
        </w:rPr>
        <w:t>assurance</w:t>
      </w:r>
      <w:r w:rsidRPr="00393D65">
        <w:rPr>
          <w:i/>
          <w:lang w:val="fr-CA"/>
        </w:rPr>
        <w:noBreakHyphen/>
        <w:t>emploi</w:t>
      </w:r>
      <w:r w:rsidRPr="00393D65">
        <w:rPr>
          <w:lang w:val="fr-CA"/>
        </w:rPr>
        <w:t xml:space="preserve"> qui renvoie au paragraphe 224(1.2) de la </w:t>
      </w:r>
      <w:r w:rsidRPr="00393D65">
        <w:rPr>
          <w:i/>
          <w:lang w:val="fr-CA"/>
        </w:rPr>
        <w:t>Loi de l</w:t>
      </w:r>
      <w:r w:rsidR="00C03762">
        <w:rPr>
          <w:i/>
          <w:lang w:val="fr-CA"/>
        </w:rPr>
        <w:t>’</w:t>
      </w:r>
      <w:r w:rsidRPr="00393D65">
        <w:rPr>
          <w:i/>
          <w:lang w:val="fr-CA"/>
        </w:rPr>
        <w:t>impôt sur le revenu</w:t>
      </w:r>
      <w:r w:rsidRPr="00393D65">
        <w:rPr>
          <w:lang w:val="fr-CA"/>
        </w:rPr>
        <w:t xml:space="preserve"> et qui prévoit la perception d</w:t>
      </w:r>
      <w:r w:rsidR="00C03762">
        <w:rPr>
          <w:lang w:val="fr-CA"/>
        </w:rPr>
        <w:t>’</w:t>
      </w:r>
      <w:r w:rsidRPr="00393D65">
        <w:rPr>
          <w:lang w:val="fr-CA"/>
        </w:rPr>
        <w:t xml:space="preserve">une cotisation, au sens du </w:t>
      </w:r>
      <w:r w:rsidRPr="00393D65">
        <w:rPr>
          <w:i/>
          <w:lang w:val="fr-CA"/>
        </w:rPr>
        <w:t>Régime de pensions du Canada</w:t>
      </w:r>
      <w:r w:rsidRPr="00393D65">
        <w:rPr>
          <w:lang w:val="fr-CA"/>
        </w:rPr>
        <w:t>, ou d</w:t>
      </w:r>
      <w:r w:rsidR="00C03762">
        <w:rPr>
          <w:lang w:val="fr-CA"/>
        </w:rPr>
        <w:t>’</w:t>
      </w:r>
      <w:r w:rsidRPr="00393D65">
        <w:rPr>
          <w:lang w:val="fr-CA"/>
        </w:rPr>
        <w:t>une cotisation ouvrière ou d</w:t>
      </w:r>
      <w:r w:rsidR="00C03762">
        <w:rPr>
          <w:lang w:val="fr-CA"/>
        </w:rPr>
        <w:t>’</w:t>
      </w:r>
      <w:r w:rsidRPr="00393D65">
        <w:rPr>
          <w:lang w:val="fr-CA"/>
        </w:rPr>
        <w:t xml:space="preserve">une cotisation patronale, au sens de la </w:t>
      </w:r>
      <w:r w:rsidRPr="00393D65">
        <w:rPr>
          <w:i/>
          <w:lang w:val="fr-CA"/>
        </w:rPr>
        <w:t>Loi sur l</w:t>
      </w:r>
      <w:r w:rsidR="00C03762">
        <w:rPr>
          <w:i/>
          <w:lang w:val="fr-CA"/>
        </w:rPr>
        <w:t>’</w:t>
      </w:r>
      <w:r w:rsidRPr="00393D65">
        <w:rPr>
          <w:i/>
          <w:lang w:val="fr-CA"/>
        </w:rPr>
        <w:t>assurance</w:t>
      </w:r>
      <w:r w:rsidRPr="00393D65">
        <w:rPr>
          <w:i/>
          <w:lang w:val="fr-CA"/>
        </w:rPr>
        <w:noBreakHyphen/>
        <w:t>emploi</w:t>
      </w:r>
      <w:r w:rsidRPr="00393D65">
        <w:rPr>
          <w:lang w:val="fr-CA"/>
        </w:rPr>
        <w:t>, et des intérêts, pénalités ou autres montants y afférents,</w:t>
      </w:r>
    </w:p>
    <w:p w:rsidR="008C3D0D" w:rsidRPr="00393D65" w:rsidRDefault="008C3D0D" w:rsidP="008C3D0D">
      <w:pPr>
        <w:pStyle w:val="Citation"/>
        <w:ind w:left="1440"/>
        <w:rPr>
          <w:lang w:val="fr-CA"/>
        </w:rPr>
      </w:pPr>
    </w:p>
    <w:p w:rsidR="008C3D0D" w:rsidRPr="00393D65" w:rsidRDefault="008C3D0D" w:rsidP="008C3D0D">
      <w:pPr>
        <w:pStyle w:val="Citation"/>
        <w:ind w:left="1440"/>
        <w:rPr>
          <w:lang w:val="fr-CA"/>
        </w:rPr>
      </w:pPr>
      <w:r w:rsidRPr="00393D65">
        <w:rPr>
          <w:lang w:val="fr-CA"/>
        </w:rPr>
        <w:t>(iii)  toute disposition législative provinciale dont l</w:t>
      </w:r>
      <w:r w:rsidR="00C03762">
        <w:rPr>
          <w:lang w:val="fr-CA"/>
        </w:rPr>
        <w:t>’</w:t>
      </w:r>
      <w:r w:rsidRPr="00393D65">
        <w:rPr>
          <w:lang w:val="fr-CA"/>
        </w:rPr>
        <w:t xml:space="preserve">objet est semblable à celui du paragraphe 224(1.2) de la </w:t>
      </w:r>
      <w:r w:rsidRPr="00393D65">
        <w:rPr>
          <w:i/>
          <w:lang w:val="fr-CA"/>
        </w:rPr>
        <w:t>Loi de l</w:t>
      </w:r>
      <w:r w:rsidR="00C03762">
        <w:rPr>
          <w:i/>
          <w:lang w:val="fr-CA"/>
        </w:rPr>
        <w:t>’</w:t>
      </w:r>
      <w:r w:rsidRPr="00393D65">
        <w:rPr>
          <w:i/>
          <w:lang w:val="fr-CA"/>
        </w:rPr>
        <w:t>impôt sur le revenu</w:t>
      </w:r>
      <w:r w:rsidRPr="00393D65">
        <w:rPr>
          <w:lang w:val="fr-CA"/>
        </w:rPr>
        <w:t>, ou qui renvoie à ce paragraphe, dans la mesure où elle prévoit la perception d</w:t>
      </w:r>
      <w:r w:rsidR="00C03762">
        <w:rPr>
          <w:lang w:val="fr-CA"/>
        </w:rPr>
        <w:t>’</w:t>
      </w:r>
      <w:r w:rsidRPr="00393D65">
        <w:rPr>
          <w:lang w:val="fr-CA"/>
        </w:rPr>
        <w:t>une somme, et des intérêts, pénalités ou autres montants y afférents, qui :</w:t>
      </w:r>
    </w:p>
    <w:p w:rsidR="008C3D0D" w:rsidRPr="00393D65" w:rsidRDefault="008C3D0D" w:rsidP="008C3D0D">
      <w:pPr>
        <w:pStyle w:val="Citation"/>
        <w:ind w:left="1440"/>
        <w:rPr>
          <w:lang w:val="fr-CA"/>
        </w:rPr>
      </w:pPr>
    </w:p>
    <w:p w:rsidR="008C3D0D" w:rsidRPr="00393D65" w:rsidRDefault="008C3D0D" w:rsidP="008C3D0D">
      <w:pPr>
        <w:pStyle w:val="Citation"/>
        <w:ind w:left="2160"/>
        <w:rPr>
          <w:lang w:val="fr-CA"/>
        </w:rPr>
      </w:pPr>
      <w:r w:rsidRPr="00393D65">
        <w:rPr>
          <w:lang w:val="fr-CA"/>
        </w:rPr>
        <w:t>(A)  soit a été retenue par une personne sur un paiement effectué à une autre personne, ou déduite d</w:t>
      </w:r>
      <w:r w:rsidR="00C03762">
        <w:rPr>
          <w:lang w:val="fr-CA"/>
        </w:rPr>
        <w:t>’</w:t>
      </w:r>
      <w:r w:rsidRPr="00393D65">
        <w:rPr>
          <w:lang w:val="fr-CA"/>
        </w:rPr>
        <w:t>un tel paiement, et se rapporte à un impôt semblable, de par sa nature, à l</w:t>
      </w:r>
      <w:r w:rsidR="00C03762">
        <w:rPr>
          <w:lang w:val="fr-CA"/>
        </w:rPr>
        <w:t>’</w:t>
      </w:r>
      <w:r w:rsidRPr="00393D65">
        <w:rPr>
          <w:lang w:val="fr-CA"/>
        </w:rPr>
        <w:t xml:space="preserve">impôt sur le revenu auquel les particuliers sont assujettis en vertu de la </w:t>
      </w:r>
      <w:r w:rsidRPr="00393D65">
        <w:rPr>
          <w:i/>
          <w:lang w:val="fr-CA"/>
        </w:rPr>
        <w:t>Loi de l</w:t>
      </w:r>
      <w:r w:rsidR="00C03762">
        <w:rPr>
          <w:i/>
          <w:lang w:val="fr-CA"/>
        </w:rPr>
        <w:t>’</w:t>
      </w:r>
      <w:r w:rsidRPr="00393D65">
        <w:rPr>
          <w:i/>
          <w:lang w:val="fr-CA"/>
        </w:rPr>
        <w:t>impôt sur le revenu</w:t>
      </w:r>
      <w:r w:rsidRPr="00393D65">
        <w:rPr>
          <w:lang w:val="fr-CA"/>
        </w:rPr>
        <w:t>,</w:t>
      </w:r>
    </w:p>
    <w:p w:rsidR="008C3D0D" w:rsidRPr="00393D65" w:rsidRDefault="008C3D0D" w:rsidP="008C3D0D">
      <w:pPr>
        <w:pStyle w:val="Citation"/>
        <w:rPr>
          <w:lang w:val="fr-CA"/>
        </w:rPr>
      </w:pPr>
    </w:p>
    <w:p w:rsidR="008C3D0D" w:rsidRPr="00393D65" w:rsidRDefault="008C3D0D" w:rsidP="008C3D0D">
      <w:pPr>
        <w:pStyle w:val="Citation"/>
        <w:ind w:left="2160"/>
        <w:rPr>
          <w:lang w:val="fr-CA"/>
        </w:rPr>
      </w:pPr>
      <w:r w:rsidRPr="00393D65">
        <w:rPr>
          <w:lang w:val="fr-CA"/>
        </w:rPr>
        <w:t>(B)  soit est de même nature qu</w:t>
      </w:r>
      <w:r w:rsidR="00C03762">
        <w:rPr>
          <w:lang w:val="fr-CA"/>
        </w:rPr>
        <w:t>’</w:t>
      </w:r>
      <w:r w:rsidRPr="00393D65">
        <w:rPr>
          <w:lang w:val="fr-CA"/>
        </w:rPr>
        <w:t xml:space="preserve">une cotisation prévue par le </w:t>
      </w:r>
      <w:r w:rsidRPr="00393D65">
        <w:rPr>
          <w:i/>
          <w:lang w:val="fr-CA"/>
        </w:rPr>
        <w:t>Régime de pensions du Canada</w:t>
      </w:r>
      <w:r w:rsidRPr="00393D65">
        <w:rPr>
          <w:lang w:val="fr-CA"/>
        </w:rPr>
        <w:t>, si la province est « une province instituant un régime général de pensions » au sens du paragraphe 3(1) de cette loi et si la loi provinciale institue un « régime provincial de pensions » au sens de ce paragraphe;</w:t>
      </w:r>
    </w:p>
    <w:p w:rsidR="008C3D0D" w:rsidRPr="00393D65" w:rsidRDefault="008C3D0D" w:rsidP="008C3D0D">
      <w:pPr>
        <w:pStyle w:val="Citation"/>
        <w:rPr>
          <w:lang w:val="fr-CA"/>
        </w:rPr>
      </w:pPr>
    </w:p>
    <w:p w:rsidR="008C3D0D" w:rsidRPr="00393D65" w:rsidRDefault="008C3D0D" w:rsidP="008C3D0D">
      <w:pPr>
        <w:pStyle w:val="Citation"/>
        <w:ind w:left="720"/>
        <w:rPr>
          <w:lang w:val="fr-CA"/>
        </w:rPr>
      </w:pPr>
      <w:r w:rsidRPr="00393D65">
        <w:rPr>
          <w:i/>
          <w:lang w:val="fr-CA"/>
        </w:rPr>
        <w:t>b</w:t>
      </w:r>
      <w:r w:rsidRPr="00393D65">
        <w:rPr>
          <w:lang w:val="fr-CA"/>
        </w:rPr>
        <w:t>)  un autre créancier a ou acquiert le droit de réaliser sa garantie sur un bien qui pourrait être réclamé par Sa Majesté dans l</w:t>
      </w:r>
      <w:r w:rsidR="00C03762">
        <w:rPr>
          <w:lang w:val="fr-CA"/>
        </w:rPr>
        <w:t>’</w:t>
      </w:r>
      <w:r w:rsidRPr="00393D65">
        <w:rPr>
          <w:lang w:val="fr-CA"/>
        </w:rPr>
        <w:t>exercice des droits que lui confère l</w:t>
      </w:r>
      <w:r w:rsidR="00C03762">
        <w:rPr>
          <w:lang w:val="fr-CA"/>
        </w:rPr>
        <w:t>’</w:t>
      </w:r>
      <w:r w:rsidRPr="00393D65">
        <w:rPr>
          <w:lang w:val="fr-CA"/>
        </w:rPr>
        <w:t>une des dispositions suivantes :</w:t>
      </w:r>
    </w:p>
    <w:p w:rsidR="008C3D0D" w:rsidRPr="00393D65" w:rsidRDefault="008C3D0D" w:rsidP="008C3D0D">
      <w:pPr>
        <w:pStyle w:val="Citation"/>
        <w:ind w:left="720"/>
        <w:rPr>
          <w:lang w:val="fr-CA"/>
        </w:rPr>
      </w:pPr>
    </w:p>
    <w:p w:rsidR="008C3D0D" w:rsidRPr="00393D65" w:rsidRDefault="008C3D0D" w:rsidP="008C3D0D">
      <w:pPr>
        <w:pStyle w:val="Citation"/>
        <w:ind w:left="1440"/>
        <w:rPr>
          <w:lang w:val="fr-CA"/>
        </w:rPr>
      </w:pPr>
      <w:r w:rsidRPr="00393D65">
        <w:rPr>
          <w:lang w:val="fr-CA"/>
        </w:rPr>
        <w:t xml:space="preserve">(i)  le paragraphe 224(1.2) de la </w:t>
      </w:r>
      <w:r w:rsidRPr="00393D65">
        <w:rPr>
          <w:i/>
          <w:lang w:val="fr-CA"/>
        </w:rPr>
        <w:t>Loi de l</w:t>
      </w:r>
      <w:r w:rsidR="00C03762">
        <w:rPr>
          <w:i/>
          <w:lang w:val="fr-CA"/>
        </w:rPr>
        <w:t>’</w:t>
      </w:r>
      <w:r w:rsidRPr="00393D65">
        <w:rPr>
          <w:i/>
          <w:lang w:val="fr-CA"/>
        </w:rPr>
        <w:t>impôt sur le revenu</w:t>
      </w:r>
      <w:r w:rsidRPr="00393D65">
        <w:rPr>
          <w:lang w:val="fr-CA"/>
        </w:rPr>
        <w:t>,</w:t>
      </w:r>
    </w:p>
    <w:p w:rsidR="008C3D0D" w:rsidRPr="00393D65" w:rsidRDefault="008C3D0D" w:rsidP="008C3D0D">
      <w:pPr>
        <w:pStyle w:val="Citation"/>
        <w:ind w:left="1440"/>
        <w:rPr>
          <w:lang w:val="fr-CA"/>
        </w:rPr>
      </w:pPr>
    </w:p>
    <w:p w:rsidR="008C3D0D" w:rsidRPr="00393D65" w:rsidRDefault="008C3D0D" w:rsidP="008C3D0D">
      <w:pPr>
        <w:pStyle w:val="Citation"/>
        <w:ind w:left="1440"/>
        <w:rPr>
          <w:lang w:val="fr-CA"/>
        </w:rPr>
      </w:pPr>
      <w:r w:rsidRPr="00393D65">
        <w:rPr>
          <w:lang w:val="fr-CA"/>
        </w:rPr>
        <w:t xml:space="preserve">(ii)  toute disposition du </w:t>
      </w:r>
      <w:r w:rsidRPr="00393D65">
        <w:rPr>
          <w:i/>
          <w:lang w:val="fr-CA"/>
        </w:rPr>
        <w:t>Régime de pensions du Canada</w:t>
      </w:r>
      <w:r w:rsidRPr="00393D65">
        <w:rPr>
          <w:lang w:val="fr-CA"/>
        </w:rPr>
        <w:t xml:space="preserve"> ou de la </w:t>
      </w:r>
      <w:r w:rsidRPr="00393D65">
        <w:rPr>
          <w:i/>
          <w:lang w:val="fr-CA"/>
        </w:rPr>
        <w:t>Loi sur l</w:t>
      </w:r>
      <w:r w:rsidR="00C03762">
        <w:rPr>
          <w:i/>
          <w:lang w:val="fr-CA"/>
        </w:rPr>
        <w:t>’</w:t>
      </w:r>
      <w:r w:rsidRPr="00393D65">
        <w:rPr>
          <w:i/>
          <w:lang w:val="fr-CA"/>
        </w:rPr>
        <w:t>assurance</w:t>
      </w:r>
      <w:r w:rsidRPr="00393D65">
        <w:rPr>
          <w:i/>
          <w:lang w:val="fr-CA"/>
        </w:rPr>
        <w:noBreakHyphen/>
        <w:t>emploi</w:t>
      </w:r>
      <w:r w:rsidRPr="00393D65">
        <w:rPr>
          <w:lang w:val="fr-CA"/>
        </w:rPr>
        <w:t xml:space="preserve"> qui renvoie au paragraphe 224(1.2) de la </w:t>
      </w:r>
      <w:r w:rsidRPr="00393D65">
        <w:rPr>
          <w:i/>
          <w:lang w:val="fr-CA"/>
        </w:rPr>
        <w:t>Loi de l</w:t>
      </w:r>
      <w:r w:rsidR="00C03762">
        <w:rPr>
          <w:i/>
          <w:lang w:val="fr-CA"/>
        </w:rPr>
        <w:t>’</w:t>
      </w:r>
      <w:r w:rsidRPr="00393D65">
        <w:rPr>
          <w:i/>
          <w:lang w:val="fr-CA"/>
        </w:rPr>
        <w:t>impôt sur le revenu</w:t>
      </w:r>
      <w:r w:rsidRPr="00393D65">
        <w:rPr>
          <w:lang w:val="fr-CA"/>
        </w:rPr>
        <w:t xml:space="preserve"> et qui prévoit la perception d</w:t>
      </w:r>
      <w:r w:rsidR="00C03762">
        <w:rPr>
          <w:lang w:val="fr-CA"/>
        </w:rPr>
        <w:t>’</w:t>
      </w:r>
      <w:r w:rsidRPr="00393D65">
        <w:rPr>
          <w:lang w:val="fr-CA"/>
        </w:rPr>
        <w:t xml:space="preserve">une cotisation, au sens du </w:t>
      </w:r>
      <w:r w:rsidRPr="00393D65">
        <w:rPr>
          <w:i/>
          <w:lang w:val="fr-CA"/>
        </w:rPr>
        <w:t>Régime de pensions du Canada</w:t>
      </w:r>
      <w:r w:rsidRPr="00393D65">
        <w:rPr>
          <w:lang w:val="fr-CA"/>
        </w:rPr>
        <w:t>, ou d</w:t>
      </w:r>
      <w:r w:rsidR="00C03762">
        <w:rPr>
          <w:lang w:val="fr-CA"/>
        </w:rPr>
        <w:t>’</w:t>
      </w:r>
      <w:r w:rsidRPr="00393D65">
        <w:rPr>
          <w:lang w:val="fr-CA"/>
        </w:rPr>
        <w:t>une cotisation ouvrière ou d</w:t>
      </w:r>
      <w:r w:rsidR="00C03762">
        <w:rPr>
          <w:lang w:val="fr-CA"/>
        </w:rPr>
        <w:t>’</w:t>
      </w:r>
      <w:r w:rsidRPr="00393D65">
        <w:rPr>
          <w:lang w:val="fr-CA"/>
        </w:rPr>
        <w:t xml:space="preserve">une cotisation patronale, au sens de la </w:t>
      </w:r>
      <w:r w:rsidRPr="00393D65">
        <w:rPr>
          <w:i/>
          <w:lang w:val="fr-CA"/>
        </w:rPr>
        <w:t>Loi sur l</w:t>
      </w:r>
      <w:r w:rsidR="00C03762">
        <w:rPr>
          <w:i/>
          <w:lang w:val="fr-CA"/>
        </w:rPr>
        <w:t>’</w:t>
      </w:r>
      <w:r w:rsidRPr="00393D65">
        <w:rPr>
          <w:i/>
          <w:lang w:val="fr-CA"/>
        </w:rPr>
        <w:t>assurance</w:t>
      </w:r>
      <w:r w:rsidRPr="00393D65">
        <w:rPr>
          <w:i/>
          <w:lang w:val="fr-CA"/>
        </w:rPr>
        <w:noBreakHyphen/>
        <w:t>emploi</w:t>
      </w:r>
      <w:r w:rsidRPr="00393D65">
        <w:rPr>
          <w:lang w:val="fr-CA"/>
        </w:rPr>
        <w:t>, et des intérêts, pénalités ou autres montants y afférents,</w:t>
      </w:r>
    </w:p>
    <w:p w:rsidR="008C3D0D" w:rsidRPr="00393D65" w:rsidRDefault="008C3D0D" w:rsidP="008C3D0D">
      <w:pPr>
        <w:pStyle w:val="Citation"/>
        <w:ind w:left="1440"/>
        <w:rPr>
          <w:lang w:val="fr-CA"/>
        </w:rPr>
      </w:pPr>
    </w:p>
    <w:p w:rsidR="008C3D0D" w:rsidRPr="00393D65" w:rsidRDefault="008C3D0D" w:rsidP="008C3D0D">
      <w:pPr>
        <w:pStyle w:val="Citation"/>
        <w:ind w:left="1440"/>
        <w:rPr>
          <w:lang w:val="fr-CA"/>
        </w:rPr>
      </w:pPr>
      <w:r w:rsidRPr="00393D65">
        <w:rPr>
          <w:lang w:val="fr-CA"/>
        </w:rPr>
        <w:t>(iii)  toute disposition législative provinciale dont l</w:t>
      </w:r>
      <w:r w:rsidR="00C03762">
        <w:rPr>
          <w:lang w:val="fr-CA"/>
        </w:rPr>
        <w:t>’</w:t>
      </w:r>
      <w:r w:rsidRPr="00393D65">
        <w:rPr>
          <w:lang w:val="fr-CA"/>
        </w:rPr>
        <w:t xml:space="preserve">objet est semblable à celui du paragraphe 224(1.2) de la </w:t>
      </w:r>
      <w:r w:rsidRPr="00393D65">
        <w:rPr>
          <w:i/>
          <w:lang w:val="fr-CA"/>
        </w:rPr>
        <w:t>Loi de l</w:t>
      </w:r>
      <w:r w:rsidR="00C03762">
        <w:rPr>
          <w:i/>
          <w:lang w:val="fr-CA"/>
        </w:rPr>
        <w:t>’</w:t>
      </w:r>
      <w:r w:rsidRPr="00393D65">
        <w:rPr>
          <w:i/>
          <w:lang w:val="fr-CA"/>
        </w:rPr>
        <w:t>impôt sur le revenu</w:t>
      </w:r>
      <w:r w:rsidRPr="00393D65">
        <w:rPr>
          <w:lang w:val="fr-CA"/>
        </w:rPr>
        <w:t xml:space="preserve">, ou </w:t>
      </w:r>
      <w:r w:rsidRPr="00393D65">
        <w:rPr>
          <w:lang w:val="fr-CA"/>
        </w:rPr>
        <w:lastRenderedPageBreak/>
        <w:t>qui renvoie à ce paragraphe, dans la mesure où elle prévoit la perception d</w:t>
      </w:r>
      <w:r w:rsidR="00C03762">
        <w:rPr>
          <w:lang w:val="fr-CA"/>
        </w:rPr>
        <w:t>’</w:t>
      </w:r>
      <w:r w:rsidRPr="00393D65">
        <w:rPr>
          <w:lang w:val="fr-CA"/>
        </w:rPr>
        <w:t>une somme, et des intérêts, pénalités ou autres montants y afférents, qui :</w:t>
      </w:r>
    </w:p>
    <w:p w:rsidR="008C3D0D" w:rsidRPr="00393D65" w:rsidRDefault="008C3D0D" w:rsidP="008C3D0D">
      <w:pPr>
        <w:pStyle w:val="Citation"/>
        <w:ind w:left="1440"/>
        <w:rPr>
          <w:lang w:val="fr-CA"/>
        </w:rPr>
      </w:pPr>
    </w:p>
    <w:p w:rsidR="008C3D0D" w:rsidRPr="00393D65" w:rsidRDefault="008C3D0D" w:rsidP="008C3D0D">
      <w:pPr>
        <w:pStyle w:val="Citation"/>
        <w:ind w:left="2160"/>
        <w:rPr>
          <w:lang w:val="fr-CA"/>
        </w:rPr>
      </w:pPr>
      <w:r w:rsidRPr="00393D65">
        <w:rPr>
          <w:lang w:val="fr-CA"/>
        </w:rPr>
        <w:t>(A)  soit a été retenue par une personne sur un paiement effectué à une autre personne, ou déduite d</w:t>
      </w:r>
      <w:r w:rsidR="00C03762">
        <w:rPr>
          <w:lang w:val="fr-CA"/>
        </w:rPr>
        <w:t>’</w:t>
      </w:r>
      <w:r w:rsidRPr="00393D65">
        <w:rPr>
          <w:lang w:val="fr-CA"/>
        </w:rPr>
        <w:t>un tel paiement, et se rapporte à un impôt semblable, de par sa nature, à l</w:t>
      </w:r>
      <w:r w:rsidR="00C03762">
        <w:rPr>
          <w:lang w:val="fr-CA"/>
        </w:rPr>
        <w:t>’</w:t>
      </w:r>
      <w:r w:rsidRPr="00393D65">
        <w:rPr>
          <w:lang w:val="fr-CA"/>
        </w:rPr>
        <w:t xml:space="preserve">impôt sur le revenu auquel les particuliers sont assujettis en vertu de la </w:t>
      </w:r>
      <w:r w:rsidRPr="00393D65">
        <w:rPr>
          <w:i/>
          <w:lang w:val="fr-CA"/>
        </w:rPr>
        <w:t>Loi de l</w:t>
      </w:r>
      <w:r w:rsidR="00C03762">
        <w:rPr>
          <w:i/>
          <w:lang w:val="fr-CA"/>
        </w:rPr>
        <w:t>’</w:t>
      </w:r>
      <w:r w:rsidRPr="00393D65">
        <w:rPr>
          <w:i/>
          <w:lang w:val="fr-CA"/>
        </w:rPr>
        <w:t>impôt sur le revenu</w:t>
      </w:r>
      <w:r w:rsidRPr="00393D65">
        <w:rPr>
          <w:lang w:val="fr-CA"/>
        </w:rPr>
        <w:t>,</w:t>
      </w:r>
    </w:p>
    <w:p w:rsidR="008C3D0D" w:rsidRPr="00393D65" w:rsidRDefault="008C3D0D" w:rsidP="008C3D0D">
      <w:pPr>
        <w:pStyle w:val="Citation"/>
        <w:rPr>
          <w:lang w:val="fr-CA"/>
        </w:rPr>
      </w:pPr>
    </w:p>
    <w:p w:rsidR="008C3D0D" w:rsidRPr="00393D65" w:rsidRDefault="008C3D0D" w:rsidP="008C3D0D">
      <w:pPr>
        <w:pStyle w:val="Citation"/>
        <w:ind w:left="2160"/>
        <w:rPr>
          <w:lang w:val="fr-CA"/>
        </w:rPr>
      </w:pPr>
      <w:r w:rsidRPr="00393D65">
        <w:rPr>
          <w:lang w:val="fr-CA"/>
        </w:rPr>
        <w:t>(B)  soit est de même nature qu</w:t>
      </w:r>
      <w:r w:rsidR="00C03762">
        <w:rPr>
          <w:lang w:val="fr-CA"/>
        </w:rPr>
        <w:t>’</w:t>
      </w:r>
      <w:r w:rsidRPr="00393D65">
        <w:rPr>
          <w:lang w:val="fr-CA"/>
        </w:rPr>
        <w:t xml:space="preserve">une cotisation prévue par le </w:t>
      </w:r>
      <w:r w:rsidRPr="00393D65">
        <w:rPr>
          <w:i/>
          <w:lang w:val="fr-CA"/>
        </w:rPr>
        <w:t>Régime de pensions du Canada</w:t>
      </w:r>
      <w:r w:rsidRPr="00393D65">
        <w:rPr>
          <w:lang w:val="fr-CA"/>
        </w:rPr>
        <w:t>, si la province est « une province instituant un régime général de pensions » au sens du paragraphe 3(1) de cette loi et si la loi provinciale institue un « régime provincial de pensions » au sens de ce paragraphe.</w:t>
      </w:r>
    </w:p>
    <w:p w:rsidR="008C3D0D" w:rsidRPr="00393D65" w:rsidRDefault="008C3D0D" w:rsidP="008C3D0D">
      <w:pPr>
        <w:pStyle w:val="Citation"/>
        <w:ind w:left="0"/>
        <w:rPr>
          <w:lang w:val="fr-CA"/>
        </w:rPr>
      </w:pPr>
    </w:p>
    <w:p w:rsidR="008C3D0D" w:rsidRPr="00393D65" w:rsidRDefault="008C3D0D" w:rsidP="008C3D0D">
      <w:pPr>
        <w:pStyle w:val="Citation"/>
        <w:ind w:left="0"/>
        <w:rPr>
          <w:lang w:val="fr-CA"/>
        </w:rPr>
      </w:pPr>
    </w:p>
    <w:p w:rsidR="008C3D0D" w:rsidRPr="00393D65" w:rsidRDefault="008C3D0D" w:rsidP="008C3D0D">
      <w:pPr>
        <w:pStyle w:val="Citation"/>
        <w:ind w:left="0"/>
        <w:rPr>
          <w:lang w:val="fr-CA"/>
        </w:rPr>
      </w:pPr>
      <w:r w:rsidRPr="00393D65">
        <w:rPr>
          <w:lang w:val="fr-CA"/>
        </w:rPr>
        <w:tab/>
        <w:t>(3)  [Effet] Les ordonnances du tribunal, autres que celles rendues au titre du paragraphe (1), n</w:t>
      </w:r>
      <w:r w:rsidR="00C03762">
        <w:rPr>
          <w:lang w:val="fr-CA"/>
        </w:rPr>
        <w:t>’</w:t>
      </w:r>
      <w:r w:rsidRPr="00393D65">
        <w:rPr>
          <w:lang w:val="fr-CA"/>
        </w:rPr>
        <w:t>ont pas pour effet de porter atteinte à l</w:t>
      </w:r>
      <w:r w:rsidR="00C03762">
        <w:rPr>
          <w:lang w:val="fr-CA"/>
        </w:rPr>
        <w:t>’</w:t>
      </w:r>
      <w:r w:rsidRPr="00393D65">
        <w:rPr>
          <w:lang w:val="fr-CA"/>
        </w:rPr>
        <w:t>application des dispositions suivantes :</w:t>
      </w:r>
    </w:p>
    <w:p w:rsidR="008C3D0D" w:rsidRPr="00393D65" w:rsidRDefault="008C3D0D" w:rsidP="008C3D0D">
      <w:pPr>
        <w:pStyle w:val="Citation"/>
        <w:rPr>
          <w:lang w:val="fr-CA"/>
        </w:rPr>
      </w:pPr>
    </w:p>
    <w:p w:rsidR="008C3D0D" w:rsidRPr="00393D65" w:rsidRDefault="008C3D0D" w:rsidP="008C3D0D">
      <w:pPr>
        <w:pStyle w:val="Citation"/>
        <w:ind w:left="720"/>
        <w:rPr>
          <w:lang w:val="fr-CA"/>
        </w:rPr>
      </w:pPr>
      <w:r w:rsidRPr="00393D65">
        <w:rPr>
          <w:i/>
          <w:lang w:val="fr-CA"/>
        </w:rPr>
        <w:t>a</w:t>
      </w:r>
      <w:r w:rsidRPr="00393D65">
        <w:rPr>
          <w:lang w:val="fr-CA"/>
        </w:rPr>
        <w:t xml:space="preserve">)  les paragraphes 224(1.2) et (1.3) de la </w:t>
      </w:r>
      <w:r w:rsidRPr="00393D65">
        <w:rPr>
          <w:i/>
          <w:lang w:val="fr-CA"/>
        </w:rPr>
        <w:t>Loi de l</w:t>
      </w:r>
      <w:r w:rsidR="00C03762">
        <w:rPr>
          <w:i/>
          <w:lang w:val="fr-CA"/>
        </w:rPr>
        <w:t>’</w:t>
      </w:r>
      <w:r w:rsidRPr="00393D65">
        <w:rPr>
          <w:i/>
          <w:lang w:val="fr-CA"/>
        </w:rPr>
        <w:t>impôt sur le revenu</w:t>
      </w:r>
      <w:r w:rsidRPr="00393D65">
        <w:rPr>
          <w:lang w:val="fr-CA"/>
        </w:rPr>
        <w:t>;</w:t>
      </w:r>
    </w:p>
    <w:p w:rsidR="008C3D0D" w:rsidRPr="00393D65" w:rsidRDefault="008C3D0D" w:rsidP="008C3D0D">
      <w:pPr>
        <w:pStyle w:val="Citation"/>
        <w:rPr>
          <w:lang w:val="fr-CA"/>
        </w:rPr>
      </w:pPr>
    </w:p>
    <w:p w:rsidR="008C3D0D" w:rsidRPr="00393D65" w:rsidRDefault="008C3D0D" w:rsidP="008C3D0D">
      <w:pPr>
        <w:pStyle w:val="Citation"/>
        <w:ind w:left="720"/>
        <w:rPr>
          <w:lang w:val="fr-CA"/>
        </w:rPr>
      </w:pPr>
      <w:r w:rsidRPr="00393D65">
        <w:rPr>
          <w:i/>
          <w:lang w:val="fr-CA"/>
        </w:rPr>
        <w:t>b</w:t>
      </w:r>
      <w:r w:rsidRPr="00393D65">
        <w:rPr>
          <w:lang w:val="fr-CA"/>
        </w:rPr>
        <w:t xml:space="preserve">)  toute disposition du </w:t>
      </w:r>
      <w:r w:rsidRPr="00393D65">
        <w:rPr>
          <w:i/>
          <w:lang w:val="fr-CA"/>
        </w:rPr>
        <w:t>Régime de pensions du Canada</w:t>
      </w:r>
      <w:r w:rsidRPr="00393D65">
        <w:rPr>
          <w:lang w:val="fr-CA"/>
        </w:rPr>
        <w:t xml:space="preserve"> ou de la </w:t>
      </w:r>
      <w:r w:rsidRPr="00393D65">
        <w:rPr>
          <w:i/>
          <w:lang w:val="fr-CA"/>
        </w:rPr>
        <w:t>Loi sur l</w:t>
      </w:r>
      <w:r w:rsidR="00C03762">
        <w:rPr>
          <w:i/>
          <w:lang w:val="fr-CA"/>
        </w:rPr>
        <w:t>’</w:t>
      </w:r>
      <w:r w:rsidRPr="00393D65">
        <w:rPr>
          <w:i/>
          <w:lang w:val="fr-CA"/>
        </w:rPr>
        <w:t>assurance</w:t>
      </w:r>
      <w:r w:rsidRPr="00393D65">
        <w:rPr>
          <w:i/>
          <w:lang w:val="fr-CA"/>
        </w:rPr>
        <w:noBreakHyphen/>
        <w:t>emploi</w:t>
      </w:r>
      <w:r w:rsidRPr="00393D65">
        <w:rPr>
          <w:lang w:val="fr-CA"/>
        </w:rPr>
        <w:t xml:space="preserve"> qui renvoie au paragraphe 224(1.2) de la </w:t>
      </w:r>
      <w:r w:rsidRPr="00393D65">
        <w:rPr>
          <w:i/>
          <w:lang w:val="fr-CA"/>
        </w:rPr>
        <w:t>Loi de l</w:t>
      </w:r>
      <w:r w:rsidR="00C03762">
        <w:rPr>
          <w:i/>
          <w:lang w:val="fr-CA"/>
        </w:rPr>
        <w:t>’</w:t>
      </w:r>
      <w:r w:rsidRPr="00393D65">
        <w:rPr>
          <w:i/>
          <w:lang w:val="fr-CA"/>
        </w:rPr>
        <w:t>impôt sur le revenu</w:t>
      </w:r>
      <w:r w:rsidRPr="00393D65">
        <w:rPr>
          <w:lang w:val="fr-CA"/>
        </w:rPr>
        <w:t xml:space="preserve"> et qui prévoit la perception d</w:t>
      </w:r>
      <w:r w:rsidR="00C03762">
        <w:rPr>
          <w:lang w:val="fr-CA"/>
        </w:rPr>
        <w:t>’</w:t>
      </w:r>
      <w:r w:rsidRPr="00393D65">
        <w:rPr>
          <w:lang w:val="fr-CA"/>
        </w:rPr>
        <w:t xml:space="preserve">une cotisation, au sens du </w:t>
      </w:r>
      <w:r w:rsidRPr="00393D65">
        <w:rPr>
          <w:i/>
          <w:lang w:val="fr-CA"/>
        </w:rPr>
        <w:t>Régime de pensions du Canada</w:t>
      </w:r>
      <w:r w:rsidRPr="00393D65">
        <w:rPr>
          <w:lang w:val="fr-CA"/>
        </w:rPr>
        <w:t>, ou d</w:t>
      </w:r>
      <w:r w:rsidR="00C03762">
        <w:rPr>
          <w:lang w:val="fr-CA"/>
        </w:rPr>
        <w:t>’</w:t>
      </w:r>
      <w:r w:rsidRPr="00393D65">
        <w:rPr>
          <w:lang w:val="fr-CA"/>
        </w:rPr>
        <w:t>une cotisation ouvrière ou d</w:t>
      </w:r>
      <w:r w:rsidR="00C03762">
        <w:rPr>
          <w:lang w:val="fr-CA"/>
        </w:rPr>
        <w:t>’</w:t>
      </w:r>
      <w:r w:rsidRPr="00393D65">
        <w:rPr>
          <w:lang w:val="fr-CA"/>
        </w:rPr>
        <w:t xml:space="preserve">une cotisation patronale, au sens de la </w:t>
      </w:r>
      <w:r w:rsidRPr="00393D65">
        <w:rPr>
          <w:i/>
          <w:lang w:val="fr-CA"/>
        </w:rPr>
        <w:t>Loi sur l</w:t>
      </w:r>
      <w:r w:rsidR="00C03762">
        <w:rPr>
          <w:i/>
          <w:lang w:val="fr-CA"/>
        </w:rPr>
        <w:t>’</w:t>
      </w:r>
      <w:r w:rsidRPr="00393D65">
        <w:rPr>
          <w:i/>
          <w:lang w:val="fr-CA"/>
        </w:rPr>
        <w:t>assurance</w:t>
      </w:r>
      <w:r w:rsidRPr="00393D65">
        <w:rPr>
          <w:i/>
          <w:lang w:val="fr-CA"/>
        </w:rPr>
        <w:noBreakHyphen/>
        <w:t>emploi</w:t>
      </w:r>
      <w:r w:rsidRPr="00393D65">
        <w:rPr>
          <w:lang w:val="fr-CA"/>
        </w:rPr>
        <w:t>, et des intérêts, pénalités ou autres montants y afférents;</w:t>
      </w:r>
    </w:p>
    <w:p w:rsidR="008C3D0D" w:rsidRPr="00393D65" w:rsidRDefault="008C3D0D" w:rsidP="008C3D0D">
      <w:pPr>
        <w:pStyle w:val="Citation"/>
        <w:ind w:left="720"/>
        <w:rPr>
          <w:lang w:val="fr-CA"/>
        </w:rPr>
      </w:pPr>
    </w:p>
    <w:p w:rsidR="008C3D0D" w:rsidRPr="00393D65" w:rsidRDefault="008C3D0D" w:rsidP="008C3D0D">
      <w:pPr>
        <w:pStyle w:val="Citation"/>
        <w:ind w:left="720"/>
        <w:rPr>
          <w:lang w:val="fr-CA"/>
        </w:rPr>
      </w:pPr>
      <w:r w:rsidRPr="00393D65">
        <w:rPr>
          <w:i/>
          <w:lang w:val="fr-CA"/>
        </w:rPr>
        <w:t>c</w:t>
      </w:r>
      <w:r w:rsidRPr="00393D65">
        <w:rPr>
          <w:lang w:val="fr-CA"/>
        </w:rPr>
        <w:t>) toute disposition législative provinciale dont l</w:t>
      </w:r>
      <w:r w:rsidR="00C03762">
        <w:rPr>
          <w:lang w:val="fr-CA"/>
        </w:rPr>
        <w:t>’</w:t>
      </w:r>
      <w:r w:rsidRPr="00393D65">
        <w:rPr>
          <w:lang w:val="fr-CA"/>
        </w:rPr>
        <w:t xml:space="preserve">objet est semblable à celui du paragraphe 224(1.2) de la </w:t>
      </w:r>
      <w:r w:rsidRPr="00393D65">
        <w:rPr>
          <w:i/>
          <w:lang w:val="fr-CA"/>
        </w:rPr>
        <w:t>Loi de l</w:t>
      </w:r>
      <w:r w:rsidR="00C03762">
        <w:rPr>
          <w:i/>
          <w:lang w:val="fr-CA"/>
        </w:rPr>
        <w:t>’</w:t>
      </w:r>
      <w:r w:rsidRPr="00393D65">
        <w:rPr>
          <w:i/>
          <w:lang w:val="fr-CA"/>
        </w:rPr>
        <w:t>impôt sur le revenu</w:t>
      </w:r>
      <w:r w:rsidRPr="00393D65">
        <w:rPr>
          <w:lang w:val="fr-CA"/>
        </w:rPr>
        <w:t>, ou qui renvoie à ce paragraphe, dans la mesure où elle prévoit la perception d</w:t>
      </w:r>
      <w:r w:rsidR="00C03762">
        <w:rPr>
          <w:lang w:val="fr-CA"/>
        </w:rPr>
        <w:t>’</w:t>
      </w:r>
      <w:r w:rsidRPr="00393D65">
        <w:rPr>
          <w:lang w:val="fr-CA"/>
        </w:rPr>
        <w:t>une somme, et des intérêts, pénalités ou autres montants y afférents, qui :</w:t>
      </w:r>
    </w:p>
    <w:p w:rsidR="008C3D0D" w:rsidRPr="00393D65" w:rsidRDefault="008C3D0D" w:rsidP="008C3D0D">
      <w:pPr>
        <w:pStyle w:val="Citation"/>
        <w:ind w:left="720"/>
        <w:rPr>
          <w:lang w:val="fr-CA"/>
        </w:rPr>
      </w:pPr>
    </w:p>
    <w:p w:rsidR="008C3D0D" w:rsidRPr="00393D65" w:rsidRDefault="008C3D0D" w:rsidP="008C3D0D">
      <w:pPr>
        <w:pStyle w:val="Citation"/>
        <w:ind w:left="1440"/>
        <w:rPr>
          <w:lang w:val="fr-CA"/>
        </w:rPr>
      </w:pPr>
      <w:r w:rsidRPr="00393D65">
        <w:rPr>
          <w:lang w:val="fr-CA"/>
        </w:rPr>
        <w:t>(i)  soit a été retenue par une personne sur un paiement effectué à une autre personne, ou déduite d</w:t>
      </w:r>
      <w:r w:rsidR="00C03762">
        <w:rPr>
          <w:lang w:val="fr-CA"/>
        </w:rPr>
        <w:t>’</w:t>
      </w:r>
      <w:r w:rsidRPr="00393D65">
        <w:rPr>
          <w:lang w:val="fr-CA"/>
        </w:rPr>
        <w:t>un tel paiement, et se rapporte à un impôt semblable, de par sa nature, à l</w:t>
      </w:r>
      <w:r w:rsidR="00C03762">
        <w:rPr>
          <w:lang w:val="fr-CA"/>
        </w:rPr>
        <w:t>’</w:t>
      </w:r>
      <w:r w:rsidRPr="00393D65">
        <w:rPr>
          <w:lang w:val="fr-CA"/>
        </w:rPr>
        <w:t xml:space="preserve">impôt sur le revenu auquel les particuliers sont assujettis en vertu de la </w:t>
      </w:r>
      <w:r w:rsidRPr="00393D65">
        <w:rPr>
          <w:i/>
          <w:lang w:val="fr-CA"/>
        </w:rPr>
        <w:t>Loi de l</w:t>
      </w:r>
      <w:r w:rsidR="00C03762">
        <w:rPr>
          <w:i/>
          <w:lang w:val="fr-CA"/>
        </w:rPr>
        <w:t>’</w:t>
      </w:r>
      <w:r w:rsidRPr="00393D65">
        <w:rPr>
          <w:i/>
          <w:lang w:val="fr-CA"/>
        </w:rPr>
        <w:t>impôt sur le revenu</w:t>
      </w:r>
      <w:r w:rsidRPr="00393D65">
        <w:rPr>
          <w:lang w:val="fr-CA"/>
        </w:rPr>
        <w:t>,</w:t>
      </w:r>
    </w:p>
    <w:p w:rsidR="008C3D0D" w:rsidRPr="00393D65" w:rsidRDefault="008C3D0D" w:rsidP="008C3D0D">
      <w:pPr>
        <w:pStyle w:val="Citation"/>
        <w:rPr>
          <w:lang w:val="fr-CA"/>
        </w:rPr>
      </w:pPr>
    </w:p>
    <w:p w:rsidR="008C3D0D" w:rsidRPr="00393D65" w:rsidRDefault="008C3D0D" w:rsidP="008C3D0D">
      <w:pPr>
        <w:pStyle w:val="Citation"/>
        <w:ind w:left="1440"/>
        <w:rPr>
          <w:lang w:val="fr-CA"/>
        </w:rPr>
      </w:pPr>
      <w:r w:rsidRPr="00393D65">
        <w:rPr>
          <w:lang w:val="fr-CA"/>
        </w:rPr>
        <w:t>(ii)  soit est de même nature qu</w:t>
      </w:r>
      <w:r w:rsidR="00C03762">
        <w:rPr>
          <w:lang w:val="fr-CA"/>
        </w:rPr>
        <w:t>’</w:t>
      </w:r>
      <w:r w:rsidRPr="00393D65">
        <w:rPr>
          <w:lang w:val="fr-CA"/>
        </w:rPr>
        <w:t xml:space="preserve">une cotisation prévue par le </w:t>
      </w:r>
      <w:r w:rsidRPr="00393D65">
        <w:rPr>
          <w:i/>
          <w:lang w:val="fr-CA"/>
        </w:rPr>
        <w:t>Régime de pensions du Canada</w:t>
      </w:r>
      <w:r w:rsidRPr="00393D65">
        <w:rPr>
          <w:lang w:val="fr-CA"/>
        </w:rPr>
        <w:t>, si la province est « une province instituant un régime général de pensions » au sens du paragraphe 3(1) de cette loi et si la loi provinciale institue un « régime provincial de pensions » au sens de ce paragraphe.</w:t>
      </w:r>
    </w:p>
    <w:p w:rsidR="008C3D0D" w:rsidRPr="00393D65" w:rsidRDefault="008C3D0D" w:rsidP="008C3D0D">
      <w:pPr>
        <w:pStyle w:val="Citation"/>
        <w:rPr>
          <w:lang w:val="fr-CA"/>
        </w:rPr>
      </w:pPr>
    </w:p>
    <w:p w:rsidR="008C3D0D" w:rsidRPr="00393D65" w:rsidRDefault="008C3D0D" w:rsidP="008C3D0D">
      <w:pPr>
        <w:pStyle w:val="Citation"/>
        <w:ind w:left="0"/>
        <w:rPr>
          <w:lang w:val="fr-CA"/>
        </w:rPr>
      </w:pPr>
      <w:r w:rsidRPr="00393D65">
        <w:rPr>
          <w:lang w:val="fr-CA"/>
        </w:rPr>
        <w:t>Pour l</w:t>
      </w:r>
      <w:r w:rsidR="00C03762">
        <w:rPr>
          <w:lang w:val="fr-CA"/>
        </w:rPr>
        <w:t>’</w:t>
      </w:r>
      <w:r w:rsidRPr="00393D65">
        <w:rPr>
          <w:lang w:val="fr-CA"/>
        </w:rPr>
        <w:t>application de l</w:t>
      </w:r>
      <w:r w:rsidR="00C03762">
        <w:rPr>
          <w:lang w:val="fr-CA"/>
        </w:rPr>
        <w:t>’</w:t>
      </w:r>
      <w:r w:rsidRPr="00393D65">
        <w:rPr>
          <w:lang w:val="fr-CA"/>
        </w:rPr>
        <w:t>alinéa </w:t>
      </w:r>
      <w:r w:rsidRPr="00393D65">
        <w:rPr>
          <w:i/>
          <w:lang w:val="fr-CA"/>
        </w:rPr>
        <w:t>c</w:t>
      </w:r>
      <w:r w:rsidRPr="00393D65">
        <w:rPr>
          <w:lang w:val="fr-CA"/>
        </w:rPr>
        <w:t>), la disposition législative provinciale en question est réputée avoir, à l</w:t>
      </w:r>
      <w:r w:rsidR="00C03762">
        <w:rPr>
          <w:lang w:val="fr-CA"/>
        </w:rPr>
        <w:t>’</w:t>
      </w:r>
      <w:r w:rsidRPr="00393D65">
        <w:rPr>
          <w:lang w:val="fr-CA"/>
        </w:rPr>
        <w:t xml:space="preserve">encontre de tout créancier et malgré tout texte législatif fédéral ou provincial et toute règle de droit, la même portée et le même effet que le paragraphe 224(1.2) de la </w:t>
      </w:r>
      <w:r w:rsidRPr="00393D65">
        <w:rPr>
          <w:i/>
          <w:lang w:val="fr-CA"/>
        </w:rPr>
        <w:t>Loi de l</w:t>
      </w:r>
      <w:r w:rsidR="00C03762">
        <w:rPr>
          <w:i/>
          <w:lang w:val="fr-CA"/>
        </w:rPr>
        <w:t>’</w:t>
      </w:r>
      <w:r w:rsidRPr="00393D65">
        <w:rPr>
          <w:i/>
          <w:lang w:val="fr-CA"/>
        </w:rPr>
        <w:t>impôt sur le revenu</w:t>
      </w:r>
      <w:r w:rsidRPr="00393D65">
        <w:rPr>
          <w:lang w:val="fr-CA"/>
        </w:rPr>
        <w:t xml:space="preserve"> quant à la somme visée au sous</w:t>
      </w:r>
      <w:r w:rsidRPr="00393D65">
        <w:rPr>
          <w:lang w:val="fr-CA"/>
        </w:rPr>
        <w:noBreakHyphen/>
        <w:t>alinéa </w:t>
      </w:r>
      <w:r w:rsidRPr="00393D65">
        <w:rPr>
          <w:i/>
          <w:lang w:val="fr-CA"/>
        </w:rPr>
        <w:t>c</w:t>
      </w:r>
      <w:r w:rsidRPr="00393D65">
        <w:rPr>
          <w:lang w:val="fr-CA"/>
        </w:rPr>
        <w:t xml:space="preserve">)(i), ou que le paragraphe 23(2) du </w:t>
      </w:r>
      <w:r w:rsidRPr="00393D65">
        <w:rPr>
          <w:i/>
          <w:lang w:val="fr-CA"/>
        </w:rPr>
        <w:t>Régime de pensions du Canada</w:t>
      </w:r>
      <w:r w:rsidRPr="00393D65">
        <w:rPr>
          <w:lang w:val="fr-CA"/>
        </w:rPr>
        <w:t xml:space="preserve"> quant à la somme visée au sous</w:t>
      </w:r>
      <w:r w:rsidRPr="00393D65">
        <w:rPr>
          <w:lang w:val="fr-CA"/>
        </w:rPr>
        <w:noBreakHyphen/>
        <w:t>alinéa </w:t>
      </w:r>
      <w:r w:rsidRPr="00393D65">
        <w:rPr>
          <w:i/>
          <w:lang w:val="fr-CA"/>
        </w:rPr>
        <w:t>c</w:t>
      </w:r>
      <w:r w:rsidRPr="00393D65">
        <w:rPr>
          <w:lang w:val="fr-CA"/>
        </w:rPr>
        <w:t>)(ii), et quant aux intérêts, pénalités ou autres montants y afférents, quelle que soit la garantie dont bénéficie le créancier.</w:t>
      </w:r>
    </w:p>
    <w:p w:rsidR="008C3D0D" w:rsidRPr="00393D65" w:rsidRDefault="008C3D0D" w:rsidP="008C3D0D">
      <w:pPr>
        <w:pStyle w:val="Citation"/>
        <w:ind w:left="0"/>
        <w:rPr>
          <w:lang w:val="fr-CA"/>
        </w:rPr>
      </w:pPr>
    </w:p>
    <w:p w:rsidR="008C3D0D" w:rsidRPr="00393D65" w:rsidRDefault="008C3D0D" w:rsidP="008C3D0D">
      <w:pPr>
        <w:pStyle w:val="Citation"/>
        <w:ind w:left="0"/>
        <w:rPr>
          <w:lang w:val="fr-CA"/>
        </w:rPr>
      </w:pPr>
    </w:p>
    <w:p w:rsidR="008C3D0D" w:rsidRPr="00393D65" w:rsidRDefault="008C3D0D" w:rsidP="008C3D0D">
      <w:pPr>
        <w:pStyle w:val="Citation"/>
        <w:ind w:left="0"/>
        <w:rPr>
          <w:lang w:val="fr-CA"/>
        </w:rPr>
      </w:pPr>
      <w:r w:rsidRPr="00393D65">
        <w:rPr>
          <w:b/>
          <w:lang w:val="fr-CA"/>
        </w:rPr>
        <w:tab/>
        <w:t>18.3</w:t>
      </w:r>
      <w:r w:rsidRPr="00393D65">
        <w:rPr>
          <w:lang w:val="fr-CA"/>
        </w:rPr>
        <w:t> (1)  [Fiducies présumées] Sous réserve du paragraphe (2) et par dérogation à toute disposition législative fédérale ou provinciale ayant pour effet d</w:t>
      </w:r>
      <w:r w:rsidR="00C03762">
        <w:rPr>
          <w:lang w:val="fr-CA"/>
        </w:rPr>
        <w:t>’</w:t>
      </w:r>
      <w:r w:rsidRPr="00393D65">
        <w:rPr>
          <w:lang w:val="fr-CA"/>
        </w:rPr>
        <w:t>assimiler certains biens à des biens détenus en fiducie pour Sa Majesté, aucun des biens de la compagnie débitrice ne peut être considéré comme détenu en fiducie pour Sa Majesté si, en l</w:t>
      </w:r>
      <w:r w:rsidR="00C03762">
        <w:rPr>
          <w:lang w:val="fr-CA"/>
        </w:rPr>
        <w:t>’</w:t>
      </w:r>
      <w:r w:rsidRPr="00393D65">
        <w:rPr>
          <w:lang w:val="fr-CA"/>
        </w:rPr>
        <w:t>absence de la disposition législative en question, il ne le serait pas.</w:t>
      </w:r>
    </w:p>
    <w:p w:rsidR="008C3D0D" w:rsidRPr="00393D65" w:rsidRDefault="008C3D0D" w:rsidP="008C3D0D">
      <w:pPr>
        <w:pStyle w:val="Citation"/>
        <w:ind w:left="0"/>
        <w:rPr>
          <w:lang w:val="fr-CA"/>
        </w:rPr>
      </w:pPr>
    </w:p>
    <w:p w:rsidR="008C3D0D" w:rsidRPr="00393D65" w:rsidRDefault="008C3D0D" w:rsidP="008C3D0D">
      <w:pPr>
        <w:pStyle w:val="Citation"/>
        <w:ind w:left="0"/>
        <w:rPr>
          <w:lang w:val="fr-CA"/>
        </w:rPr>
      </w:pPr>
      <w:r w:rsidRPr="00393D65">
        <w:rPr>
          <w:lang w:val="fr-CA"/>
        </w:rPr>
        <w:tab/>
        <w:t>(2) [Exceptions] Le paragraphe (1) ne s</w:t>
      </w:r>
      <w:r w:rsidR="00C03762">
        <w:rPr>
          <w:lang w:val="fr-CA"/>
        </w:rPr>
        <w:t>’</w:t>
      </w:r>
      <w:r w:rsidRPr="00393D65">
        <w:rPr>
          <w:lang w:val="fr-CA"/>
        </w:rPr>
        <w:t>applique pas à l</w:t>
      </w:r>
      <w:r w:rsidR="00C03762">
        <w:rPr>
          <w:lang w:val="fr-CA"/>
        </w:rPr>
        <w:t>’</w:t>
      </w:r>
      <w:r w:rsidRPr="00393D65">
        <w:rPr>
          <w:lang w:val="fr-CA"/>
        </w:rPr>
        <w:t xml:space="preserve">égard des montants réputés détenus en fiducie aux termes des paragraphes 227(4) ou (4.1) de la </w:t>
      </w:r>
      <w:r w:rsidRPr="00393D65">
        <w:rPr>
          <w:i/>
          <w:lang w:val="fr-CA"/>
        </w:rPr>
        <w:t>Loi de l</w:t>
      </w:r>
      <w:r w:rsidR="00C03762">
        <w:rPr>
          <w:i/>
          <w:lang w:val="fr-CA"/>
        </w:rPr>
        <w:t>’</w:t>
      </w:r>
      <w:r w:rsidRPr="00393D65">
        <w:rPr>
          <w:i/>
          <w:lang w:val="fr-CA"/>
        </w:rPr>
        <w:t>impôt sur le revenu</w:t>
      </w:r>
      <w:r w:rsidRPr="00393D65">
        <w:rPr>
          <w:lang w:val="fr-CA"/>
        </w:rPr>
        <w:t xml:space="preserve">, des paragraphes 23(3) ou (4) du </w:t>
      </w:r>
      <w:r w:rsidRPr="00393D65">
        <w:rPr>
          <w:i/>
          <w:lang w:val="fr-CA"/>
        </w:rPr>
        <w:t>Régime de pensions du Canada</w:t>
      </w:r>
      <w:r w:rsidRPr="00393D65">
        <w:rPr>
          <w:lang w:val="fr-CA"/>
        </w:rPr>
        <w:t xml:space="preserve"> ou des paragraphes 86(2) ou (2.1) de la </w:t>
      </w:r>
      <w:r w:rsidRPr="00393D65">
        <w:rPr>
          <w:i/>
          <w:lang w:val="fr-CA"/>
        </w:rPr>
        <w:t>Loi sur l</w:t>
      </w:r>
      <w:r w:rsidR="00C03762">
        <w:rPr>
          <w:i/>
          <w:lang w:val="fr-CA"/>
        </w:rPr>
        <w:t>’</w:t>
      </w:r>
      <w:r w:rsidRPr="00393D65">
        <w:rPr>
          <w:i/>
          <w:lang w:val="fr-CA"/>
        </w:rPr>
        <w:t>assurance</w:t>
      </w:r>
      <w:r w:rsidRPr="00393D65">
        <w:rPr>
          <w:i/>
          <w:lang w:val="fr-CA"/>
        </w:rPr>
        <w:noBreakHyphen/>
        <w:t>emploi</w:t>
      </w:r>
      <w:r w:rsidRPr="00393D65">
        <w:rPr>
          <w:lang w:val="fr-CA"/>
        </w:rPr>
        <w:t xml:space="preserve"> (chacun étant appelé « disposition fédérale » au présent paragraphe) ou à l</w:t>
      </w:r>
      <w:r w:rsidR="00C03762">
        <w:rPr>
          <w:lang w:val="fr-CA"/>
        </w:rPr>
        <w:t>’</w:t>
      </w:r>
      <w:r w:rsidRPr="00393D65">
        <w:rPr>
          <w:lang w:val="fr-CA"/>
        </w:rPr>
        <w:t>égard des montants réputés détenus en fiducie aux termes de toute loi d</w:t>
      </w:r>
      <w:r w:rsidR="00C03762">
        <w:rPr>
          <w:lang w:val="fr-CA"/>
        </w:rPr>
        <w:t>’</w:t>
      </w:r>
      <w:r w:rsidRPr="00393D65">
        <w:rPr>
          <w:lang w:val="fr-CA"/>
        </w:rPr>
        <w:t>une province créant une fiducie présumée dans le seul but d</w:t>
      </w:r>
      <w:r w:rsidR="00C03762">
        <w:rPr>
          <w:lang w:val="fr-CA"/>
        </w:rPr>
        <w:t>’</w:t>
      </w:r>
      <w:r w:rsidRPr="00393D65">
        <w:rPr>
          <w:lang w:val="fr-CA"/>
        </w:rPr>
        <w:t>assurer à Sa Majesté du chef de cette province la remise de sommes déduites ou retenues aux termes d</w:t>
      </w:r>
      <w:r w:rsidR="00C03762">
        <w:rPr>
          <w:lang w:val="fr-CA"/>
        </w:rPr>
        <w:t>’</w:t>
      </w:r>
      <w:r w:rsidRPr="00393D65">
        <w:rPr>
          <w:lang w:val="fr-CA"/>
        </w:rPr>
        <w:t>une loi de cette province, dans la mesure où, dans ce dernier cas, se réalise l</w:t>
      </w:r>
      <w:r w:rsidR="00C03762">
        <w:rPr>
          <w:lang w:val="fr-CA"/>
        </w:rPr>
        <w:t>’</w:t>
      </w:r>
      <w:r w:rsidRPr="00393D65">
        <w:rPr>
          <w:lang w:val="fr-CA"/>
        </w:rPr>
        <w:t>une des conditions suivantes :</w:t>
      </w:r>
    </w:p>
    <w:p w:rsidR="008C3D0D" w:rsidRPr="00393D65" w:rsidRDefault="008C3D0D" w:rsidP="008C3D0D">
      <w:pPr>
        <w:pStyle w:val="Citation"/>
        <w:rPr>
          <w:lang w:val="fr-CA"/>
        </w:rPr>
      </w:pPr>
    </w:p>
    <w:p w:rsidR="008C3D0D" w:rsidRPr="00393D65" w:rsidRDefault="008C3D0D" w:rsidP="008C3D0D">
      <w:pPr>
        <w:pStyle w:val="Citation"/>
        <w:ind w:left="720"/>
        <w:rPr>
          <w:lang w:val="fr-CA"/>
        </w:rPr>
      </w:pPr>
      <w:r w:rsidRPr="00393D65">
        <w:rPr>
          <w:i/>
          <w:lang w:val="fr-CA"/>
        </w:rPr>
        <w:t>a</w:t>
      </w:r>
      <w:r w:rsidRPr="00393D65">
        <w:rPr>
          <w:lang w:val="fr-CA"/>
        </w:rPr>
        <w:t xml:space="preserve">)  la loi de cette province prévoit un impôt semblable, de par sa nature, à celui prévu par la </w:t>
      </w:r>
      <w:r w:rsidRPr="00393D65">
        <w:rPr>
          <w:i/>
          <w:lang w:val="fr-CA"/>
        </w:rPr>
        <w:t>Loi de l</w:t>
      </w:r>
      <w:r w:rsidR="00C03762">
        <w:rPr>
          <w:i/>
          <w:lang w:val="fr-CA"/>
        </w:rPr>
        <w:t>’</w:t>
      </w:r>
      <w:r w:rsidRPr="00393D65">
        <w:rPr>
          <w:i/>
          <w:lang w:val="fr-CA"/>
        </w:rPr>
        <w:t>impôt sur le revenu</w:t>
      </w:r>
      <w:r w:rsidRPr="00393D65">
        <w:rPr>
          <w:lang w:val="fr-CA"/>
        </w:rPr>
        <w:t xml:space="preserve">, et les sommes déduites ou retenues aux termes de la loi de cette province sont de même nature que celles visées aux paragraphes 227(4) ou (4.1) de la </w:t>
      </w:r>
      <w:r w:rsidRPr="00393D65">
        <w:rPr>
          <w:i/>
          <w:lang w:val="fr-CA"/>
        </w:rPr>
        <w:t>Loi de l</w:t>
      </w:r>
      <w:r w:rsidR="00C03762">
        <w:rPr>
          <w:i/>
          <w:lang w:val="fr-CA"/>
        </w:rPr>
        <w:t>’</w:t>
      </w:r>
      <w:r w:rsidRPr="00393D65">
        <w:rPr>
          <w:i/>
          <w:lang w:val="fr-CA"/>
        </w:rPr>
        <w:t>impôt sur le revenu</w:t>
      </w:r>
      <w:r w:rsidRPr="00393D65">
        <w:rPr>
          <w:lang w:val="fr-CA"/>
        </w:rPr>
        <w:t>;</w:t>
      </w:r>
    </w:p>
    <w:p w:rsidR="008C3D0D" w:rsidRPr="00393D65" w:rsidRDefault="008C3D0D" w:rsidP="008C3D0D">
      <w:pPr>
        <w:pStyle w:val="Citation"/>
        <w:rPr>
          <w:lang w:val="fr-CA"/>
        </w:rPr>
      </w:pPr>
    </w:p>
    <w:p w:rsidR="008C3D0D" w:rsidRPr="00393D65" w:rsidRDefault="008C3D0D" w:rsidP="008C3D0D">
      <w:pPr>
        <w:pStyle w:val="Citation"/>
        <w:ind w:left="720"/>
        <w:rPr>
          <w:lang w:val="fr-CA"/>
        </w:rPr>
      </w:pPr>
      <w:r w:rsidRPr="00393D65">
        <w:rPr>
          <w:i/>
          <w:lang w:val="fr-CA"/>
        </w:rPr>
        <w:t>b</w:t>
      </w:r>
      <w:r w:rsidRPr="00393D65">
        <w:rPr>
          <w:lang w:val="fr-CA"/>
        </w:rPr>
        <w:t xml:space="preserve">)  cette province est « une province instituant un régime général de pensions » au sens du paragraphe 3(1) du </w:t>
      </w:r>
      <w:r w:rsidRPr="00393D65">
        <w:rPr>
          <w:i/>
          <w:lang w:val="fr-CA"/>
        </w:rPr>
        <w:t>Régime de pensions du Canada</w:t>
      </w:r>
      <w:r w:rsidRPr="00393D65">
        <w:rPr>
          <w:lang w:val="fr-CA"/>
        </w:rPr>
        <w:t xml:space="preserve">, la loi de cette province institue un « régime provincial de pensions » au sens de ce paragraphe, et les sommes déduites ou retenues aux termes de la loi de cette province sont de même nature que celles visées aux paragraphes 23(3) ou (4) du </w:t>
      </w:r>
      <w:r w:rsidRPr="00393D65">
        <w:rPr>
          <w:i/>
          <w:lang w:val="fr-CA"/>
        </w:rPr>
        <w:t>Régime de pensions du Canada</w:t>
      </w:r>
      <w:r w:rsidRPr="00393D65">
        <w:rPr>
          <w:lang w:val="fr-CA"/>
        </w:rPr>
        <w:t>.</w:t>
      </w:r>
    </w:p>
    <w:p w:rsidR="008C3D0D" w:rsidRPr="00393D65" w:rsidRDefault="008C3D0D" w:rsidP="008C3D0D">
      <w:pPr>
        <w:pStyle w:val="Citation"/>
        <w:rPr>
          <w:lang w:val="fr-CA"/>
        </w:rPr>
      </w:pPr>
    </w:p>
    <w:p w:rsidR="008C3D0D" w:rsidRPr="00393D65" w:rsidRDefault="008C3D0D" w:rsidP="008C3D0D">
      <w:pPr>
        <w:pStyle w:val="Citation"/>
        <w:ind w:left="0"/>
        <w:rPr>
          <w:lang w:val="fr-CA"/>
        </w:rPr>
      </w:pPr>
      <w:r w:rsidRPr="00393D65">
        <w:rPr>
          <w:lang w:val="fr-CA"/>
        </w:rPr>
        <w:t>Pour l</w:t>
      </w:r>
      <w:r w:rsidR="00C03762">
        <w:rPr>
          <w:lang w:val="fr-CA"/>
        </w:rPr>
        <w:t>’</w:t>
      </w:r>
      <w:r w:rsidRPr="00393D65">
        <w:rPr>
          <w:lang w:val="fr-CA"/>
        </w:rPr>
        <w:t>application du présent paragraphe, toute disposition de la loi provinciale qui crée une fiducie présumée est réputée avoir, à l</w:t>
      </w:r>
      <w:r w:rsidR="00C03762">
        <w:rPr>
          <w:lang w:val="fr-CA"/>
        </w:rPr>
        <w:t>’</w:t>
      </w:r>
      <w:r w:rsidRPr="00393D65">
        <w:rPr>
          <w:lang w:val="fr-CA"/>
        </w:rPr>
        <w:t>encontre de tout créancier du failli et malgré tout texte législatif fédéral ou provincial et toute règle de droit, la même portée et le même effet que la disposition fédérale correspondante, quelle que soit la garantie dont bénéficie le créancier.</w:t>
      </w:r>
    </w:p>
    <w:p w:rsidR="008C3D0D" w:rsidRPr="00393D65" w:rsidRDefault="008C3D0D" w:rsidP="008C3D0D">
      <w:pPr>
        <w:pStyle w:val="Citation"/>
        <w:ind w:left="0"/>
        <w:rPr>
          <w:lang w:val="fr-CA"/>
        </w:rPr>
      </w:pPr>
    </w:p>
    <w:p w:rsidR="008C3D0D" w:rsidRPr="00393D65" w:rsidRDefault="008C3D0D" w:rsidP="008C3D0D">
      <w:pPr>
        <w:pStyle w:val="Citation"/>
        <w:ind w:left="0"/>
        <w:rPr>
          <w:lang w:val="fr-CA"/>
        </w:rPr>
      </w:pPr>
    </w:p>
    <w:p w:rsidR="008C3D0D" w:rsidRPr="00393D65" w:rsidRDefault="008C3D0D" w:rsidP="008C3D0D">
      <w:pPr>
        <w:pStyle w:val="Citation"/>
        <w:ind w:left="0"/>
        <w:rPr>
          <w:lang w:val="fr-CA"/>
        </w:rPr>
      </w:pPr>
      <w:r w:rsidRPr="00393D65">
        <w:rPr>
          <w:b/>
          <w:lang w:val="fr-CA"/>
        </w:rPr>
        <w:lastRenderedPageBreak/>
        <w:tab/>
        <w:t>18.4</w:t>
      </w:r>
      <w:r w:rsidRPr="00393D65">
        <w:rPr>
          <w:lang w:val="fr-CA"/>
        </w:rPr>
        <w:t> (1)  [Réclamations de la Couronne] Dans le cadre de procédures intentées sous le régime de la présente loi, toutes les réclamations de Sa Majesté du chef du Canada ou d</w:t>
      </w:r>
      <w:r w:rsidR="00C03762">
        <w:rPr>
          <w:lang w:val="fr-CA"/>
        </w:rPr>
        <w:t>’</w:t>
      </w:r>
      <w:r w:rsidRPr="00393D65">
        <w:rPr>
          <w:lang w:val="fr-CA"/>
        </w:rPr>
        <w:t>une province ou d</w:t>
      </w:r>
      <w:r w:rsidR="00C03762">
        <w:rPr>
          <w:lang w:val="fr-CA"/>
        </w:rPr>
        <w:t>’</w:t>
      </w:r>
      <w:r w:rsidRPr="00393D65">
        <w:rPr>
          <w:lang w:val="fr-CA"/>
        </w:rPr>
        <w:t>un organisme compétent au titre d</w:t>
      </w:r>
      <w:r w:rsidR="00C03762">
        <w:rPr>
          <w:lang w:val="fr-CA"/>
        </w:rPr>
        <w:t>’</w:t>
      </w:r>
      <w:r w:rsidRPr="00393D65">
        <w:rPr>
          <w:lang w:val="fr-CA"/>
        </w:rPr>
        <w:t>une loi sur les accidents du travail, y compris les réclamations garanties, prennent rang comme réclamations non garanties.</w:t>
      </w:r>
    </w:p>
    <w:p w:rsidR="008C3D0D" w:rsidRPr="00393D65" w:rsidRDefault="008C3D0D" w:rsidP="008C3D0D">
      <w:pPr>
        <w:pStyle w:val="Citation"/>
        <w:rPr>
          <w:lang w:val="fr-CA"/>
        </w:rPr>
      </w:pPr>
    </w:p>
    <w:p w:rsidR="008C3D0D" w:rsidRPr="00393D65" w:rsidRDefault="008C3D0D" w:rsidP="008C3D0D">
      <w:pPr>
        <w:pStyle w:val="Citation"/>
        <w:jc w:val="center"/>
        <w:rPr>
          <w:lang w:val="fr-CA"/>
        </w:rPr>
      </w:pPr>
      <w:r w:rsidRPr="00393D65">
        <w:rPr>
          <w:lang w:val="fr-CA"/>
        </w:rPr>
        <w:t>. . .</w:t>
      </w:r>
    </w:p>
    <w:p w:rsidR="008C3D0D" w:rsidRPr="00393D65" w:rsidRDefault="008C3D0D" w:rsidP="008C3D0D">
      <w:pPr>
        <w:pStyle w:val="Citation"/>
        <w:rPr>
          <w:lang w:val="fr-CA"/>
        </w:rPr>
      </w:pPr>
    </w:p>
    <w:p w:rsidR="008C3D0D" w:rsidRPr="00393D65" w:rsidRDefault="008C3D0D" w:rsidP="008C3D0D">
      <w:pPr>
        <w:pStyle w:val="Citation"/>
        <w:ind w:left="0"/>
        <w:rPr>
          <w:lang w:val="fr-CA"/>
        </w:rPr>
      </w:pPr>
      <w:r w:rsidRPr="00393D65">
        <w:rPr>
          <w:lang w:val="fr-CA"/>
        </w:rPr>
        <w:tab/>
        <w:t>(3)  [Effet] Le paragraphe (1) n</w:t>
      </w:r>
      <w:r w:rsidR="00C03762">
        <w:rPr>
          <w:lang w:val="fr-CA"/>
        </w:rPr>
        <w:t>’</w:t>
      </w:r>
      <w:r w:rsidRPr="00393D65">
        <w:rPr>
          <w:lang w:val="fr-CA"/>
        </w:rPr>
        <w:t>a pas pour effet de porter atteinte à l</w:t>
      </w:r>
      <w:r w:rsidR="00C03762">
        <w:rPr>
          <w:lang w:val="fr-CA"/>
        </w:rPr>
        <w:t>’</w:t>
      </w:r>
      <w:r w:rsidRPr="00393D65">
        <w:rPr>
          <w:lang w:val="fr-CA"/>
        </w:rPr>
        <w:t>application des dispositions suivantes :</w:t>
      </w:r>
    </w:p>
    <w:p w:rsidR="008C3D0D" w:rsidRPr="00393D65" w:rsidRDefault="008C3D0D" w:rsidP="008C3D0D">
      <w:pPr>
        <w:pStyle w:val="Citation"/>
        <w:rPr>
          <w:lang w:val="fr-CA"/>
        </w:rPr>
      </w:pPr>
    </w:p>
    <w:p w:rsidR="008C3D0D" w:rsidRPr="00393D65" w:rsidRDefault="008C3D0D" w:rsidP="008C3D0D">
      <w:pPr>
        <w:pStyle w:val="Citation"/>
        <w:ind w:left="720"/>
        <w:rPr>
          <w:lang w:val="fr-CA"/>
        </w:rPr>
      </w:pPr>
      <w:r w:rsidRPr="00393D65">
        <w:rPr>
          <w:i/>
          <w:lang w:val="fr-CA"/>
        </w:rPr>
        <w:t>a</w:t>
      </w:r>
      <w:r w:rsidRPr="00393D65">
        <w:rPr>
          <w:lang w:val="fr-CA"/>
        </w:rPr>
        <w:t xml:space="preserve">)  les paragraphes 224(1.2) et (1.3) de la </w:t>
      </w:r>
      <w:r w:rsidRPr="00393D65">
        <w:rPr>
          <w:i/>
          <w:lang w:val="fr-CA"/>
        </w:rPr>
        <w:t>Loi de l</w:t>
      </w:r>
      <w:r w:rsidR="00C03762">
        <w:rPr>
          <w:i/>
          <w:lang w:val="fr-CA"/>
        </w:rPr>
        <w:t>’</w:t>
      </w:r>
      <w:r w:rsidRPr="00393D65">
        <w:rPr>
          <w:i/>
          <w:lang w:val="fr-CA"/>
        </w:rPr>
        <w:t>impôt sur le revenu</w:t>
      </w:r>
      <w:r w:rsidRPr="00393D65">
        <w:rPr>
          <w:lang w:val="fr-CA"/>
        </w:rPr>
        <w:t>;</w:t>
      </w:r>
    </w:p>
    <w:p w:rsidR="008C3D0D" w:rsidRPr="00393D65" w:rsidRDefault="008C3D0D" w:rsidP="008C3D0D">
      <w:pPr>
        <w:pStyle w:val="Citation"/>
        <w:rPr>
          <w:lang w:val="fr-CA"/>
        </w:rPr>
      </w:pPr>
    </w:p>
    <w:p w:rsidR="008C3D0D" w:rsidRPr="00393D65" w:rsidRDefault="008C3D0D" w:rsidP="008C3D0D">
      <w:pPr>
        <w:pStyle w:val="Citation"/>
        <w:ind w:left="720"/>
        <w:rPr>
          <w:lang w:val="fr-CA"/>
        </w:rPr>
      </w:pPr>
      <w:r w:rsidRPr="00393D65">
        <w:rPr>
          <w:i/>
          <w:lang w:val="fr-CA"/>
        </w:rPr>
        <w:t>b</w:t>
      </w:r>
      <w:r w:rsidRPr="00393D65">
        <w:rPr>
          <w:lang w:val="fr-CA"/>
        </w:rPr>
        <w:t xml:space="preserve">)  toute disposition du </w:t>
      </w:r>
      <w:r w:rsidRPr="00393D65">
        <w:rPr>
          <w:i/>
          <w:lang w:val="fr-CA"/>
        </w:rPr>
        <w:t>Régime de pensions du Canada</w:t>
      </w:r>
      <w:r w:rsidRPr="00393D65">
        <w:rPr>
          <w:lang w:val="fr-CA"/>
        </w:rPr>
        <w:t xml:space="preserve"> ou de la </w:t>
      </w:r>
      <w:r w:rsidRPr="00393D65">
        <w:rPr>
          <w:i/>
          <w:lang w:val="fr-CA"/>
        </w:rPr>
        <w:t>Loi sur l</w:t>
      </w:r>
      <w:r w:rsidR="00C03762">
        <w:rPr>
          <w:i/>
          <w:lang w:val="fr-CA"/>
        </w:rPr>
        <w:t>’</w:t>
      </w:r>
      <w:r w:rsidRPr="00393D65">
        <w:rPr>
          <w:i/>
          <w:lang w:val="fr-CA"/>
        </w:rPr>
        <w:t>assurance</w:t>
      </w:r>
      <w:r w:rsidRPr="00393D65">
        <w:rPr>
          <w:i/>
          <w:lang w:val="fr-CA"/>
        </w:rPr>
        <w:noBreakHyphen/>
        <w:t>emploi</w:t>
      </w:r>
      <w:r w:rsidRPr="00393D65">
        <w:rPr>
          <w:lang w:val="fr-CA"/>
        </w:rPr>
        <w:t xml:space="preserve"> qui renvoie au paragraphe 224(1.2) de la </w:t>
      </w:r>
      <w:r w:rsidRPr="00393D65">
        <w:rPr>
          <w:i/>
          <w:lang w:val="fr-CA"/>
        </w:rPr>
        <w:t>Loi de l</w:t>
      </w:r>
      <w:r w:rsidR="00C03762">
        <w:rPr>
          <w:i/>
          <w:lang w:val="fr-CA"/>
        </w:rPr>
        <w:t>’</w:t>
      </w:r>
      <w:r w:rsidRPr="00393D65">
        <w:rPr>
          <w:i/>
          <w:lang w:val="fr-CA"/>
        </w:rPr>
        <w:t>impôt sur le revenu</w:t>
      </w:r>
      <w:r w:rsidRPr="00393D65">
        <w:rPr>
          <w:lang w:val="fr-CA"/>
        </w:rPr>
        <w:t xml:space="preserve"> et qui prévoit la perception d</w:t>
      </w:r>
      <w:r w:rsidR="00C03762">
        <w:rPr>
          <w:lang w:val="fr-CA"/>
        </w:rPr>
        <w:t>’</w:t>
      </w:r>
      <w:r w:rsidRPr="00393D65">
        <w:rPr>
          <w:lang w:val="fr-CA"/>
        </w:rPr>
        <w:t xml:space="preserve">une cotisation, au sens du </w:t>
      </w:r>
      <w:r w:rsidRPr="00393D65">
        <w:rPr>
          <w:i/>
          <w:lang w:val="fr-CA"/>
        </w:rPr>
        <w:t>Régime de pensions du Canada</w:t>
      </w:r>
      <w:r w:rsidRPr="00393D65">
        <w:rPr>
          <w:lang w:val="fr-CA"/>
        </w:rPr>
        <w:t>, ou d</w:t>
      </w:r>
      <w:r w:rsidR="00C03762">
        <w:rPr>
          <w:lang w:val="fr-CA"/>
        </w:rPr>
        <w:t>’</w:t>
      </w:r>
      <w:r w:rsidRPr="00393D65">
        <w:rPr>
          <w:lang w:val="fr-CA"/>
        </w:rPr>
        <w:t>une cotisation ouvrière ou d</w:t>
      </w:r>
      <w:r w:rsidR="00C03762">
        <w:rPr>
          <w:lang w:val="fr-CA"/>
        </w:rPr>
        <w:t>’</w:t>
      </w:r>
      <w:r w:rsidRPr="00393D65">
        <w:rPr>
          <w:lang w:val="fr-CA"/>
        </w:rPr>
        <w:t xml:space="preserve">une cotisation patronale, au sens de la </w:t>
      </w:r>
      <w:r w:rsidRPr="00393D65">
        <w:rPr>
          <w:i/>
          <w:lang w:val="fr-CA"/>
        </w:rPr>
        <w:t>Loi sur l</w:t>
      </w:r>
      <w:r w:rsidR="00C03762">
        <w:rPr>
          <w:i/>
          <w:lang w:val="fr-CA"/>
        </w:rPr>
        <w:t>’</w:t>
      </w:r>
      <w:r w:rsidRPr="00393D65">
        <w:rPr>
          <w:i/>
          <w:lang w:val="fr-CA"/>
        </w:rPr>
        <w:t>assurance</w:t>
      </w:r>
      <w:r w:rsidRPr="00393D65">
        <w:rPr>
          <w:i/>
          <w:lang w:val="fr-CA"/>
        </w:rPr>
        <w:noBreakHyphen/>
        <w:t>emploi</w:t>
      </w:r>
      <w:r w:rsidRPr="00393D65">
        <w:rPr>
          <w:lang w:val="fr-CA"/>
        </w:rPr>
        <w:t>, et des intérêts, pénalités ou autres montants y afférents;</w:t>
      </w:r>
    </w:p>
    <w:p w:rsidR="008C3D0D" w:rsidRPr="00393D65" w:rsidRDefault="008C3D0D" w:rsidP="008C3D0D">
      <w:pPr>
        <w:pStyle w:val="Citation"/>
        <w:rPr>
          <w:lang w:val="fr-CA"/>
        </w:rPr>
      </w:pPr>
    </w:p>
    <w:p w:rsidR="008C3D0D" w:rsidRPr="00393D65" w:rsidRDefault="008C3D0D" w:rsidP="008C3D0D">
      <w:pPr>
        <w:pStyle w:val="Citation"/>
        <w:ind w:left="720"/>
        <w:rPr>
          <w:lang w:val="fr-CA"/>
        </w:rPr>
      </w:pPr>
      <w:r w:rsidRPr="00393D65">
        <w:rPr>
          <w:i/>
          <w:lang w:val="fr-CA"/>
        </w:rPr>
        <w:t>c</w:t>
      </w:r>
      <w:r w:rsidRPr="00393D65">
        <w:rPr>
          <w:lang w:val="fr-CA"/>
        </w:rPr>
        <w:t>)  toute disposition législative provinciale dont l</w:t>
      </w:r>
      <w:r w:rsidR="00C03762">
        <w:rPr>
          <w:lang w:val="fr-CA"/>
        </w:rPr>
        <w:t>’</w:t>
      </w:r>
      <w:r w:rsidRPr="00393D65">
        <w:rPr>
          <w:lang w:val="fr-CA"/>
        </w:rPr>
        <w:t xml:space="preserve">objet est semblable à celui du paragraphe 224(1.2) de la </w:t>
      </w:r>
      <w:r w:rsidRPr="00393D65">
        <w:rPr>
          <w:i/>
          <w:lang w:val="fr-CA"/>
        </w:rPr>
        <w:t>Loi de l</w:t>
      </w:r>
      <w:r w:rsidR="00C03762">
        <w:rPr>
          <w:i/>
          <w:lang w:val="fr-CA"/>
        </w:rPr>
        <w:t>’</w:t>
      </w:r>
      <w:r w:rsidRPr="00393D65">
        <w:rPr>
          <w:i/>
          <w:lang w:val="fr-CA"/>
        </w:rPr>
        <w:t>impôt sur le revenu</w:t>
      </w:r>
      <w:r w:rsidRPr="00393D65">
        <w:rPr>
          <w:lang w:val="fr-CA"/>
        </w:rPr>
        <w:t>, ou qui renvoie à ce paragraphe, dans la mesure où elle prévoit la perception d</w:t>
      </w:r>
      <w:r w:rsidR="00C03762">
        <w:rPr>
          <w:lang w:val="fr-CA"/>
        </w:rPr>
        <w:t>’</w:t>
      </w:r>
      <w:r w:rsidRPr="00393D65">
        <w:rPr>
          <w:lang w:val="fr-CA"/>
        </w:rPr>
        <w:t>une somme, et des intérêts, pénalités ou autres montants y afférents, qui :</w:t>
      </w:r>
    </w:p>
    <w:p w:rsidR="008C3D0D" w:rsidRPr="00393D65" w:rsidRDefault="008C3D0D" w:rsidP="008C3D0D">
      <w:pPr>
        <w:pStyle w:val="Citation"/>
        <w:ind w:left="720"/>
        <w:rPr>
          <w:lang w:val="fr-CA"/>
        </w:rPr>
      </w:pPr>
    </w:p>
    <w:p w:rsidR="008C3D0D" w:rsidRPr="00393D65" w:rsidRDefault="008C3D0D" w:rsidP="008C3D0D">
      <w:pPr>
        <w:pStyle w:val="Citation"/>
        <w:ind w:left="1440"/>
        <w:rPr>
          <w:lang w:val="fr-CA"/>
        </w:rPr>
      </w:pPr>
      <w:r w:rsidRPr="00393D65">
        <w:rPr>
          <w:lang w:val="fr-CA"/>
        </w:rPr>
        <w:t>(i)  soit a été retenue par une personne sur un paiement effectué à une autre personne, ou déduite d</w:t>
      </w:r>
      <w:r w:rsidR="00C03762">
        <w:rPr>
          <w:lang w:val="fr-CA"/>
        </w:rPr>
        <w:t>’</w:t>
      </w:r>
      <w:r w:rsidRPr="00393D65">
        <w:rPr>
          <w:lang w:val="fr-CA"/>
        </w:rPr>
        <w:t>un tel paiement, et se rapporte à un impôt semblable, de par sa nature, à l</w:t>
      </w:r>
      <w:r w:rsidR="00C03762">
        <w:rPr>
          <w:lang w:val="fr-CA"/>
        </w:rPr>
        <w:t>’</w:t>
      </w:r>
      <w:r w:rsidRPr="00393D65">
        <w:rPr>
          <w:lang w:val="fr-CA"/>
        </w:rPr>
        <w:t xml:space="preserve">impôt sur le revenu auquel les particuliers sont assujettis en vertu de la </w:t>
      </w:r>
      <w:r w:rsidRPr="00393D65">
        <w:rPr>
          <w:i/>
          <w:lang w:val="fr-CA"/>
        </w:rPr>
        <w:t>Loi de l</w:t>
      </w:r>
      <w:r w:rsidR="00C03762">
        <w:rPr>
          <w:i/>
          <w:lang w:val="fr-CA"/>
        </w:rPr>
        <w:t>’</w:t>
      </w:r>
      <w:r w:rsidRPr="00393D65">
        <w:rPr>
          <w:i/>
          <w:lang w:val="fr-CA"/>
        </w:rPr>
        <w:t>impôt sur le revenu</w:t>
      </w:r>
      <w:r w:rsidRPr="00393D65">
        <w:rPr>
          <w:lang w:val="fr-CA"/>
        </w:rPr>
        <w:t>,</w:t>
      </w:r>
    </w:p>
    <w:p w:rsidR="008C3D0D" w:rsidRPr="00393D65" w:rsidRDefault="008C3D0D" w:rsidP="008C3D0D">
      <w:pPr>
        <w:pStyle w:val="Citation"/>
        <w:rPr>
          <w:lang w:val="fr-CA"/>
        </w:rPr>
      </w:pPr>
    </w:p>
    <w:p w:rsidR="008C3D0D" w:rsidRPr="00393D65" w:rsidRDefault="008C3D0D" w:rsidP="008C3D0D">
      <w:pPr>
        <w:pStyle w:val="Citation"/>
        <w:ind w:left="1440"/>
        <w:rPr>
          <w:lang w:val="fr-CA"/>
        </w:rPr>
      </w:pPr>
      <w:r w:rsidRPr="00393D65">
        <w:rPr>
          <w:lang w:val="fr-CA"/>
        </w:rPr>
        <w:t>(ii)  soit est de même nature qu</w:t>
      </w:r>
      <w:r w:rsidR="00C03762">
        <w:rPr>
          <w:lang w:val="fr-CA"/>
        </w:rPr>
        <w:t>’</w:t>
      </w:r>
      <w:r w:rsidRPr="00393D65">
        <w:rPr>
          <w:lang w:val="fr-CA"/>
        </w:rPr>
        <w:t xml:space="preserve">une cotisation prévue par le </w:t>
      </w:r>
      <w:r w:rsidRPr="00393D65">
        <w:rPr>
          <w:i/>
          <w:lang w:val="fr-CA"/>
        </w:rPr>
        <w:t>Régime de pensions du Canada</w:t>
      </w:r>
      <w:r w:rsidRPr="00393D65">
        <w:rPr>
          <w:lang w:val="fr-CA"/>
        </w:rPr>
        <w:t>, si la province est « une province instituant un régime général de pensions » au sens du paragraphe 3(1) de cette loi et si la loi provinciale institue un « régime provincial de pensions » au sens de ce paragraphe.</w:t>
      </w:r>
    </w:p>
    <w:p w:rsidR="008C3D0D" w:rsidRPr="00393D65" w:rsidRDefault="008C3D0D" w:rsidP="008C3D0D">
      <w:pPr>
        <w:pStyle w:val="Citation"/>
        <w:rPr>
          <w:lang w:val="fr-CA"/>
        </w:rPr>
      </w:pPr>
    </w:p>
    <w:p w:rsidR="008C3D0D" w:rsidRPr="00393D65" w:rsidRDefault="008C3D0D" w:rsidP="008C3D0D">
      <w:pPr>
        <w:pStyle w:val="Citation"/>
        <w:ind w:left="0"/>
        <w:rPr>
          <w:lang w:val="fr-CA"/>
        </w:rPr>
      </w:pPr>
      <w:r w:rsidRPr="00393D65">
        <w:rPr>
          <w:lang w:val="fr-CA"/>
        </w:rPr>
        <w:t>Pour l</w:t>
      </w:r>
      <w:r w:rsidR="00C03762">
        <w:rPr>
          <w:lang w:val="fr-CA"/>
        </w:rPr>
        <w:t>’</w:t>
      </w:r>
      <w:r w:rsidRPr="00393D65">
        <w:rPr>
          <w:lang w:val="fr-CA"/>
        </w:rPr>
        <w:t>application de l</w:t>
      </w:r>
      <w:r w:rsidR="00C03762">
        <w:rPr>
          <w:lang w:val="fr-CA"/>
        </w:rPr>
        <w:t>’</w:t>
      </w:r>
      <w:r w:rsidRPr="00393D65">
        <w:rPr>
          <w:lang w:val="fr-CA"/>
        </w:rPr>
        <w:t>alinéa </w:t>
      </w:r>
      <w:r w:rsidRPr="00393D65">
        <w:rPr>
          <w:i/>
          <w:lang w:val="fr-CA"/>
        </w:rPr>
        <w:t>c</w:t>
      </w:r>
      <w:r w:rsidRPr="00393D65">
        <w:rPr>
          <w:lang w:val="fr-CA"/>
        </w:rPr>
        <w:t>), la disposition législative provinciale en question est réputée avoir, à l</w:t>
      </w:r>
      <w:r w:rsidR="00C03762">
        <w:rPr>
          <w:lang w:val="fr-CA"/>
        </w:rPr>
        <w:t>’</w:t>
      </w:r>
      <w:r w:rsidRPr="00393D65">
        <w:rPr>
          <w:lang w:val="fr-CA"/>
        </w:rPr>
        <w:t xml:space="preserve">encontre de tout créancier et malgré tout texte législatif fédéral ou provincial et toute règle de droit, la même portée et le même effet que le paragraphe 224(1.2) de la </w:t>
      </w:r>
      <w:r w:rsidRPr="00393D65">
        <w:rPr>
          <w:i/>
          <w:lang w:val="fr-CA"/>
        </w:rPr>
        <w:t>Loi de l</w:t>
      </w:r>
      <w:r w:rsidR="00C03762">
        <w:rPr>
          <w:i/>
          <w:lang w:val="fr-CA"/>
        </w:rPr>
        <w:t>’</w:t>
      </w:r>
      <w:r w:rsidRPr="00393D65">
        <w:rPr>
          <w:i/>
          <w:lang w:val="fr-CA"/>
        </w:rPr>
        <w:t>impôt sur le revenu</w:t>
      </w:r>
      <w:r w:rsidRPr="00393D65">
        <w:rPr>
          <w:lang w:val="fr-CA"/>
        </w:rPr>
        <w:t xml:space="preserve"> quant à la somme visée au sous</w:t>
      </w:r>
      <w:r w:rsidRPr="00393D65">
        <w:rPr>
          <w:lang w:val="fr-CA"/>
        </w:rPr>
        <w:noBreakHyphen/>
        <w:t>alinéa </w:t>
      </w:r>
      <w:r w:rsidRPr="00393D65">
        <w:rPr>
          <w:i/>
          <w:lang w:val="fr-CA"/>
        </w:rPr>
        <w:t>c</w:t>
      </w:r>
      <w:r w:rsidRPr="00393D65">
        <w:rPr>
          <w:lang w:val="fr-CA"/>
        </w:rPr>
        <w:t xml:space="preserve">)(i), ou que le paragraphe 23(2) du </w:t>
      </w:r>
      <w:r w:rsidRPr="00393D65">
        <w:rPr>
          <w:i/>
          <w:lang w:val="fr-CA"/>
        </w:rPr>
        <w:t>Régime de pensions du Canada</w:t>
      </w:r>
      <w:r w:rsidRPr="00393D65">
        <w:rPr>
          <w:lang w:val="fr-CA"/>
        </w:rPr>
        <w:t xml:space="preserve"> quant à la somme visée au sous</w:t>
      </w:r>
      <w:r w:rsidRPr="00393D65">
        <w:rPr>
          <w:lang w:val="fr-CA"/>
        </w:rPr>
        <w:noBreakHyphen/>
        <w:t>alinéa </w:t>
      </w:r>
      <w:r w:rsidRPr="00393D65">
        <w:rPr>
          <w:i/>
          <w:lang w:val="fr-CA"/>
        </w:rPr>
        <w:t>c</w:t>
      </w:r>
      <w:r w:rsidRPr="00393D65">
        <w:rPr>
          <w:lang w:val="fr-CA"/>
        </w:rPr>
        <w:t>)(ii), et quant aux intérêts, pénalités ou autres montants y afférents, quelle que soit la garantie dont bénéficie le créancier.</w:t>
      </w:r>
    </w:p>
    <w:p w:rsidR="008C3D0D" w:rsidRPr="00393D65" w:rsidRDefault="008C3D0D" w:rsidP="008C3D0D">
      <w:pPr>
        <w:pStyle w:val="Citation"/>
        <w:ind w:left="0"/>
        <w:rPr>
          <w:lang w:val="fr-CA"/>
        </w:rPr>
      </w:pPr>
    </w:p>
    <w:p w:rsidR="008C3D0D" w:rsidRPr="00393D65" w:rsidRDefault="008C3D0D" w:rsidP="008C3D0D">
      <w:pPr>
        <w:pStyle w:val="Citation"/>
        <w:ind w:left="0"/>
        <w:rPr>
          <w:lang w:val="fr-CA"/>
        </w:rPr>
      </w:pPr>
    </w:p>
    <w:p w:rsidR="008C3D0D" w:rsidRPr="00393D65" w:rsidRDefault="008C3D0D" w:rsidP="008C3D0D">
      <w:pPr>
        <w:pStyle w:val="Citation"/>
        <w:ind w:left="0"/>
        <w:rPr>
          <w:lang w:val="fr-CA"/>
        </w:rPr>
      </w:pPr>
      <w:r w:rsidRPr="00393D65">
        <w:rPr>
          <w:b/>
          <w:lang w:val="fr-CA"/>
        </w:rPr>
        <w:lastRenderedPageBreak/>
        <w:tab/>
        <w:t>20.</w:t>
      </w:r>
      <w:r w:rsidRPr="00393D65">
        <w:rPr>
          <w:lang w:val="fr-CA"/>
        </w:rPr>
        <w:t>  [La loi peut être appliquée conjointement avec d</w:t>
      </w:r>
      <w:r w:rsidR="00C03762">
        <w:rPr>
          <w:lang w:val="fr-CA"/>
        </w:rPr>
        <w:t>’</w:t>
      </w:r>
      <w:r w:rsidRPr="00393D65">
        <w:rPr>
          <w:lang w:val="fr-CA"/>
        </w:rPr>
        <w:t>autres lois] Les dispositions de la présente loi peuvent être appliquées conjointement avec celles de toute loi fédérale ou provinciale, autorisant ou prévoyant l</w:t>
      </w:r>
      <w:r w:rsidR="00C03762">
        <w:rPr>
          <w:lang w:val="fr-CA"/>
        </w:rPr>
        <w:t>’</w:t>
      </w:r>
      <w:r w:rsidRPr="00393D65">
        <w:rPr>
          <w:lang w:val="fr-CA"/>
        </w:rPr>
        <w:t>homologation de transactions ou arrangements entre une compagnie et ses actionnaires ou une catégorie de ces derniers.</w:t>
      </w:r>
    </w:p>
    <w:p w:rsidR="008C3D0D" w:rsidRPr="00393D65" w:rsidRDefault="008C3D0D" w:rsidP="008C3D0D">
      <w:pPr>
        <w:pStyle w:val="Citation"/>
        <w:ind w:left="0"/>
        <w:rPr>
          <w:lang w:val="fr-CA"/>
        </w:rPr>
      </w:pPr>
    </w:p>
    <w:p w:rsidR="008C3D0D" w:rsidRPr="00393D65" w:rsidRDefault="008C3D0D" w:rsidP="008C3D0D">
      <w:pPr>
        <w:pStyle w:val="Citation"/>
        <w:ind w:left="0"/>
        <w:rPr>
          <w:lang w:val="fr-CA"/>
        </w:rPr>
      </w:pPr>
    </w:p>
    <w:p w:rsidR="008C3D0D" w:rsidRPr="00393D65" w:rsidRDefault="008C3D0D" w:rsidP="008C3D0D">
      <w:pPr>
        <w:pStyle w:val="Citation"/>
        <w:ind w:left="0"/>
        <w:rPr>
          <w:lang w:val="fr-CA"/>
        </w:rPr>
      </w:pPr>
      <w:r w:rsidRPr="00393D65">
        <w:rPr>
          <w:i/>
          <w:lang w:val="fr-CA"/>
        </w:rPr>
        <w:t>Loi sur les arrangements avec les créanciers des compagnies</w:t>
      </w:r>
      <w:r w:rsidRPr="00393D65">
        <w:rPr>
          <w:lang w:val="fr-CA"/>
        </w:rPr>
        <w:t>, L.R.C. 1985, ch. C</w:t>
      </w:r>
      <w:r w:rsidRPr="00393D65">
        <w:rPr>
          <w:lang w:val="fr-CA"/>
        </w:rPr>
        <w:noBreakHyphen/>
        <w:t xml:space="preserve">36 </w:t>
      </w:r>
    </w:p>
    <w:p w:rsidR="008C3D0D" w:rsidRPr="00393D65" w:rsidRDefault="008C3D0D" w:rsidP="008C3D0D">
      <w:pPr>
        <w:pStyle w:val="Citation"/>
        <w:ind w:left="0"/>
        <w:rPr>
          <w:lang w:val="fr-CA"/>
        </w:rPr>
      </w:pPr>
      <w:r w:rsidRPr="00393D65">
        <w:rPr>
          <w:lang w:val="fr-CA"/>
        </w:rPr>
        <w:t>(en date du 18 septembre 2009)</w:t>
      </w:r>
    </w:p>
    <w:p w:rsidR="008C3D0D" w:rsidRPr="00393D65" w:rsidRDefault="008C3D0D" w:rsidP="008C3D0D">
      <w:pPr>
        <w:pStyle w:val="Citation"/>
        <w:ind w:left="0"/>
        <w:rPr>
          <w:lang w:val="fr-CA"/>
        </w:rPr>
      </w:pPr>
    </w:p>
    <w:p w:rsidR="008C3D0D" w:rsidRPr="00393D65" w:rsidRDefault="008C3D0D" w:rsidP="008C3D0D">
      <w:pPr>
        <w:pStyle w:val="Citation"/>
        <w:ind w:left="0"/>
        <w:rPr>
          <w:lang w:val="fr-CA"/>
        </w:rPr>
      </w:pPr>
    </w:p>
    <w:p w:rsidR="008C3D0D" w:rsidRPr="00393D65" w:rsidRDefault="008C3D0D" w:rsidP="008C3D0D">
      <w:pPr>
        <w:pStyle w:val="Citation"/>
        <w:ind w:left="0"/>
        <w:rPr>
          <w:lang w:val="fr-CA"/>
        </w:rPr>
      </w:pPr>
      <w:r w:rsidRPr="00393D65">
        <w:rPr>
          <w:b/>
          <w:lang w:val="fr-CA"/>
        </w:rPr>
        <w:tab/>
        <w:t>11.</w:t>
      </w:r>
      <w:r w:rsidRPr="00393D65">
        <w:rPr>
          <w:lang w:val="fr-CA"/>
        </w:rPr>
        <w:t xml:space="preserve">  [Pouvoir général du tribunal] Malgré toute disposition de la </w:t>
      </w:r>
      <w:r w:rsidRPr="00393D65">
        <w:rPr>
          <w:i/>
          <w:lang w:val="fr-CA"/>
        </w:rPr>
        <w:t>Loi sur la faillite et l</w:t>
      </w:r>
      <w:r w:rsidR="00C03762">
        <w:rPr>
          <w:i/>
          <w:lang w:val="fr-CA"/>
        </w:rPr>
        <w:t>’</w:t>
      </w:r>
      <w:r w:rsidRPr="00393D65">
        <w:rPr>
          <w:i/>
          <w:lang w:val="fr-CA"/>
        </w:rPr>
        <w:t>insolvabilité</w:t>
      </w:r>
      <w:r w:rsidRPr="00393D65">
        <w:rPr>
          <w:lang w:val="fr-CA"/>
        </w:rPr>
        <w:t xml:space="preserve"> ou de la </w:t>
      </w:r>
      <w:r w:rsidRPr="00393D65">
        <w:rPr>
          <w:i/>
          <w:lang w:val="fr-CA"/>
        </w:rPr>
        <w:t>Loi sur les liquidations et les restructurations</w:t>
      </w:r>
      <w:r w:rsidRPr="00393D65">
        <w:rPr>
          <w:lang w:val="fr-CA"/>
        </w:rPr>
        <w:t>, le tribunal peut, dans le cas de toute demande sous le régime de la présente loi à l</w:t>
      </w:r>
      <w:r w:rsidR="00C03762">
        <w:rPr>
          <w:lang w:val="fr-CA"/>
        </w:rPr>
        <w:t>’</w:t>
      </w:r>
      <w:r w:rsidRPr="00393D65">
        <w:rPr>
          <w:lang w:val="fr-CA"/>
        </w:rPr>
        <w:t>égard d</w:t>
      </w:r>
      <w:r w:rsidR="00C03762">
        <w:rPr>
          <w:lang w:val="fr-CA"/>
        </w:rPr>
        <w:t>’</w:t>
      </w:r>
      <w:r w:rsidRPr="00393D65">
        <w:rPr>
          <w:lang w:val="fr-CA"/>
        </w:rPr>
        <w:t>une compagnie débitrice, rendre, sur demande d</w:t>
      </w:r>
      <w:r w:rsidR="00C03762">
        <w:rPr>
          <w:lang w:val="fr-CA"/>
        </w:rPr>
        <w:t>’</w:t>
      </w:r>
      <w:r w:rsidRPr="00393D65">
        <w:rPr>
          <w:lang w:val="fr-CA"/>
        </w:rPr>
        <w:t>un intéressé, mais sous réserve des restrictions prévues par la présente loi et avec ou sans avis, toute ordonnance qu</w:t>
      </w:r>
      <w:r w:rsidR="00C03762">
        <w:rPr>
          <w:lang w:val="fr-CA"/>
        </w:rPr>
        <w:t>’</w:t>
      </w:r>
      <w:r w:rsidRPr="00393D65">
        <w:rPr>
          <w:lang w:val="fr-CA"/>
        </w:rPr>
        <w:t>il estime indiquée.</w:t>
      </w:r>
    </w:p>
    <w:p w:rsidR="008C3D0D" w:rsidRPr="00393D65" w:rsidRDefault="008C3D0D" w:rsidP="008C3D0D">
      <w:pPr>
        <w:pStyle w:val="Citation"/>
        <w:ind w:left="0"/>
        <w:rPr>
          <w:lang w:val="fr-CA"/>
        </w:rPr>
      </w:pPr>
    </w:p>
    <w:p w:rsidR="008C3D0D" w:rsidRPr="00393D65" w:rsidRDefault="008C3D0D" w:rsidP="008C3D0D">
      <w:pPr>
        <w:pStyle w:val="Citation"/>
        <w:ind w:left="0"/>
        <w:rPr>
          <w:lang w:val="fr-CA"/>
        </w:rPr>
      </w:pPr>
    </w:p>
    <w:p w:rsidR="008C3D0D" w:rsidRPr="00393D65" w:rsidRDefault="008C3D0D" w:rsidP="008C3D0D">
      <w:pPr>
        <w:pStyle w:val="Citation"/>
        <w:ind w:left="0"/>
        <w:rPr>
          <w:lang w:val="fr-CA"/>
        </w:rPr>
      </w:pPr>
      <w:r w:rsidRPr="00393D65">
        <w:rPr>
          <w:lang w:val="fr-CA"/>
        </w:rPr>
        <w:tab/>
      </w:r>
      <w:r w:rsidRPr="00393D65">
        <w:rPr>
          <w:b/>
          <w:lang w:val="fr-CA"/>
        </w:rPr>
        <w:t>11.02 </w:t>
      </w:r>
      <w:r w:rsidRPr="00393D65">
        <w:rPr>
          <w:lang w:val="fr-CA"/>
        </w:rPr>
        <w:t>(1)  [Suspension : demande initiale] Dans le cas d</w:t>
      </w:r>
      <w:r w:rsidR="00C03762">
        <w:rPr>
          <w:lang w:val="fr-CA"/>
        </w:rPr>
        <w:t>’</w:t>
      </w:r>
      <w:r w:rsidRPr="00393D65">
        <w:rPr>
          <w:lang w:val="fr-CA"/>
        </w:rPr>
        <w:t>une demande initiale visant une compagnie débitrice, le tribunal peut, par ordonnance, aux conditions qu</w:t>
      </w:r>
      <w:r w:rsidR="00C03762">
        <w:rPr>
          <w:lang w:val="fr-CA"/>
        </w:rPr>
        <w:t>’</w:t>
      </w:r>
      <w:r w:rsidRPr="00393D65">
        <w:rPr>
          <w:lang w:val="fr-CA"/>
        </w:rPr>
        <w:t>il peut imposer et pour la période maximale de trente jours qu</w:t>
      </w:r>
      <w:r w:rsidR="00C03762">
        <w:rPr>
          <w:lang w:val="fr-CA"/>
        </w:rPr>
        <w:t>’</w:t>
      </w:r>
      <w:r w:rsidRPr="00393D65">
        <w:rPr>
          <w:lang w:val="fr-CA"/>
        </w:rPr>
        <w:t>il estime nécessaire :</w:t>
      </w:r>
    </w:p>
    <w:p w:rsidR="008C3D0D" w:rsidRPr="00393D65" w:rsidRDefault="008C3D0D" w:rsidP="008C3D0D">
      <w:pPr>
        <w:pStyle w:val="Citation"/>
        <w:ind w:left="0"/>
        <w:rPr>
          <w:lang w:val="fr-CA"/>
        </w:rPr>
      </w:pPr>
    </w:p>
    <w:p w:rsidR="008C3D0D" w:rsidRPr="00393D65" w:rsidRDefault="008C3D0D" w:rsidP="008C3D0D">
      <w:pPr>
        <w:pStyle w:val="Citation"/>
        <w:ind w:left="720"/>
        <w:rPr>
          <w:lang w:val="fr-CA"/>
        </w:rPr>
      </w:pPr>
      <w:r w:rsidRPr="00393D65">
        <w:rPr>
          <w:i/>
          <w:lang w:val="fr-CA"/>
        </w:rPr>
        <w:t>a</w:t>
      </w:r>
      <w:r w:rsidRPr="00393D65">
        <w:rPr>
          <w:lang w:val="fr-CA"/>
        </w:rPr>
        <w:t>)  suspendre, jusqu</w:t>
      </w:r>
      <w:r w:rsidR="00C03762">
        <w:rPr>
          <w:lang w:val="fr-CA"/>
        </w:rPr>
        <w:t>’</w:t>
      </w:r>
      <w:r w:rsidRPr="00393D65">
        <w:rPr>
          <w:lang w:val="fr-CA"/>
        </w:rPr>
        <w:t xml:space="preserve">à nouvel ordre, toute procédure qui est ou pourrait être intentée contre la compagnie sous le régime de la </w:t>
      </w:r>
      <w:r w:rsidRPr="00393D65">
        <w:rPr>
          <w:i/>
          <w:lang w:val="fr-CA"/>
        </w:rPr>
        <w:t>Loi sur la faillite et l</w:t>
      </w:r>
      <w:r w:rsidR="00C03762">
        <w:rPr>
          <w:i/>
          <w:lang w:val="fr-CA"/>
        </w:rPr>
        <w:t>’</w:t>
      </w:r>
      <w:r w:rsidRPr="00393D65">
        <w:rPr>
          <w:i/>
          <w:lang w:val="fr-CA"/>
        </w:rPr>
        <w:t>insolvabilité</w:t>
      </w:r>
      <w:r w:rsidRPr="00393D65">
        <w:rPr>
          <w:lang w:val="fr-CA"/>
        </w:rPr>
        <w:t xml:space="preserve"> ou de la </w:t>
      </w:r>
      <w:r w:rsidRPr="00393D65">
        <w:rPr>
          <w:i/>
          <w:lang w:val="fr-CA"/>
        </w:rPr>
        <w:t>Loi sur les liquidations et les restructurations</w:t>
      </w:r>
      <w:r w:rsidRPr="00393D65">
        <w:rPr>
          <w:lang w:val="fr-CA"/>
        </w:rPr>
        <w:t>;</w:t>
      </w:r>
    </w:p>
    <w:p w:rsidR="008C3D0D" w:rsidRPr="00393D65" w:rsidRDefault="008C3D0D" w:rsidP="008C3D0D">
      <w:pPr>
        <w:pStyle w:val="Citation"/>
        <w:ind w:left="720"/>
        <w:rPr>
          <w:lang w:val="fr-CA"/>
        </w:rPr>
      </w:pPr>
    </w:p>
    <w:p w:rsidR="008C3D0D" w:rsidRPr="00393D65" w:rsidRDefault="008C3D0D" w:rsidP="008C3D0D">
      <w:pPr>
        <w:pStyle w:val="Citation"/>
        <w:ind w:left="720"/>
        <w:rPr>
          <w:lang w:val="fr-CA"/>
        </w:rPr>
      </w:pPr>
      <w:r w:rsidRPr="00393D65">
        <w:rPr>
          <w:i/>
          <w:lang w:val="fr-CA"/>
        </w:rPr>
        <w:t>b</w:t>
      </w:r>
      <w:r w:rsidRPr="00393D65">
        <w:rPr>
          <w:lang w:val="fr-CA"/>
        </w:rPr>
        <w:t>)   surseoir, jusqu</w:t>
      </w:r>
      <w:r w:rsidR="00C03762">
        <w:rPr>
          <w:lang w:val="fr-CA"/>
        </w:rPr>
        <w:t>’</w:t>
      </w:r>
      <w:r w:rsidRPr="00393D65">
        <w:rPr>
          <w:lang w:val="fr-CA"/>
        </w:rPr>
        <w:t>à nouvel ordre, à la continuation de toute action, poursuite ou autre procédure contre la compagnie;</w:t>
      </w:r>
    </w:p>
    <w:p w:rsidR="008C3D0D" w:rsidRPr="00393D65" w:rsidRDefault="008C3D0D" w:rsidP="008C3D0D">
      <w:pPr>
        <w:pStyle w:val="Citation"/>
        <w:ind w:left="720"/>
        <w:rPr>
          <w:lang w:val="fr-CA"/>
        </w:rPr>
      </w:pPr>
    </w:p>
    <w:p w:rsidR="008C3D0D" w:rsidRPr="00393D65" w:rsidRDefault="008C3D0D" w:rsidP="008C3D0D">
      <w:pPr>
        <w:pStyle w:val="Citation"/>
        <w:ind w:left="720"/>
        <w:rPr>
          <w:lang w:val="fr-CA"/>
        </w:rPr>
      </w:pPr>
      <w:r w:rsidRPr="00393D65">
        <w:rPr>
          <w:i/>
          <w:lang w:val="fr-CA"/>
        </w:rPr>
        <w:t>c</w:t>
      </w:r>
      <w:r w:rsidRPr="00393D65">
        <w:rPr>
          <w:lang w:val="fr-CA"/>
        </w:rPr>
        <w:t>)  interdire, jusqu</w:t>
      </w:r>
      <w:r w:rsidR="00C03762">
        <w:rPr>
          <w:lang w:val="fr-CA"/>
        </w:rPr>
        <w:t>’</w:t>
      </w:r>
      <w:r w:rsidRPr="00393D65">
        <w:rPr>
          <w:lang w:val="fr-CA"/>
        </w:rPr>
        <w:t>à nouvel ordre, l</w:t>
      </w:r>
      <w:r w:rsidR="00C03762">
        <w:rPr>
          <w:lang w:val="fr-CA"/>
        </w:rPr>
        <w:t>’</w:t>
      </w:r>
      <w:r w:rsidRPr="00393D65">
        <w:rPr>
          <w:lang w:val="fr-CA"/>
        </w:rPr>
        <w:t>introduction de toute action, poursuite ou autre procédure contre la compagnie.</w:t>
      </w:r>
    </w:p>
    <w:p w:rsidR="008C3D0D" w:rsidRPr="00393D65" w:rsidRDefault="008C3D0D" w:rsidP="008C3D0D">
      <w:pPr>
        <w:pStyle w:val="Citation"/>
        <w:ind w:left="0"/>
        <w:rPr>
          <w:lang w:val="fr-CA"/>
        </w:rPr>
      </w:pPr>
    </w:p>
    <w:p w:rsidR="008C3D0D" w:rsidRPr="00393D65" w:rsidRDefault="008C3D0D" w:rsidP="008C3D0D">
      <w:pPr>
        <w:pStyle w:val="Citation"/>
        <w:ind w:left="0"/>
        <w:rPr>
          <w:lang w:val="fr-CA"/>
        </w:rPr>
      </w:pPr>
      <w:r w:rsidRPr="00393D65">
        <w:rPr>
          <w:lang w:val="fr-CA"/>
        </w:rPr>
        <w:tab/>
        <w:t>(2)  [Suspension : demandes autres qu</w:t>
      </w:r>
      <w:r w:rsidR="00C03762">
        <w:rPr>
          <w:lang w:val="fr-CA"/>
        </w:rPr>
        <w:t>’</w:t>
      </w:r>
      <w:r w:rsidRPr="00393D65">
        <w:rPr>
          <w:lang w:val="fr-CA"/>
        </w:rPr>
        <w:t>initiales] Dans le cas d</w:t>
      </w:r>
      <w:r w:rsidR="00C03762">
        <w:rPr>
          <w:lang w:val="fr-CA"/>
        </w:rPr>
        <w:t>’</w:t>
      </w:r>
      <w:r w:rsidRPr="00393D65">
        <w:rPr>
          <w:lang w:val="fr-CA"/>
        </w:rPr>
        <w:t>une demande, autre qu</w:t>
      </w:r>
      <w:r w:rsidR="00C03762">
        <w:rPr>
          <w:lang w:val="fr-CA"/>
        </w:rPr>
        <w:t>’</w:t>
      </w:r>
      <w:r w:rsidRPr="00393D65">
        <w:rPr>
          <w:lang w:val="fr-CA"/>
        </w:rPr>
        <w:t>une demande initiale, visant une compagnie débitrice, le tribunal peut, par ordonnance, aux conditions qu</w:t>
      </w:r>
      <w:r w:rsidR="00C03762">
        <w:rPr>
          <w:lang w:val="fr-CA"/>
        </w:rPr>
        <w:t>’</w:t>
      </w:r>
      <w:r w:rsidRPr="00393D65">
        <w:rPr>
          <w:lang w:val="fr-CA"/>
        </w:rPr>
        <w:t>il peut imposer et pour la période qu</w:t>
      </w:r>
      <w:r w:rsidR="00C03762">
        <w:rPr>
          <w:lang w:val="fr-CA"/>
        </w:rPr>
        <w:t>’</w:t>
      </w:r>
      <w:r w:rsidRPr="00393D65">
        <w:rPr>
          <w:lang w:val="fr-CA"/>
        </w:rPr>
        <w:t>il estime nécessaire :</w:t>
      </w:r>
    </w:p>
    <w:p w:rsidR="008C3D0D" w:rsidRPr="00393D65" w:rsidRDefault="008C3D0D" w:rsidP="008C3D0D">
      <w:pPr>
        <w:pStyle w:val="Citation"/>
        <w:ind w:left="720"/>
        <w:rPr>
          <w:lang w:val="fr-CA"/>
        </w:rPr>
      </w:pPr>
    </w:p>
    <w:p w:rsidR="008C3D0D" w:rsidRPr="00393D65" w:rsidRDefault="008C3D0D" w:rsidP="008C3D0D">
      <w:pPr>
        <w:pStyle w:val="Citation"/>
        <w:ind w:left="720"/>
        <w:rPr>
          <w:lang w:val="fr-CA"/>
        </w:rPr>
      </w:pPr>
      <w:r w:rsidRPr="00623D8E">
        <w:rPr>
          <w:i/>
          <w:lang w:val="fr-CA"/>
        </w:rPr>
        <w:t>a</w:t>
      </w:r>
      <w:r w:rsidRPr="00393D65">
        <w:rPr>
          <w:lang w:val="fr-CA"/>
        </w:rPr>
        <w:t>)  suspendre, jusqu</w:t>
      </w:r>
      <w:r w:rsidR="00C03762">
        <w:rPr>
          <w:lang w:val="fr-CA"/>
        </w:rPr>
        <w:t>’</w:t>
      </w:r>
      <w:r w:rsidRPr="00393D65">
        <w:rPr>
          <w:lang w:val="fr-CA"/>
        </w:rPr>
        <w:t>à nouvel ordre, toute procédure qui est ou pourrait être intentée contre la compagnie sous le régime des lois mentionnées à l</w:t>
      </w:r>
      <w:r w:rsidR="00C03762">
        <w:rPr>
          <w:lang w:val="fr-CA"/>
        </w:rPr>
        <w:t>’</w:t>
      </w:r>
      <w:r w:rsidRPr="00393D65">
        <w:rPr>
          <w:lang w:val="fr-CA"/>
        </w:rPr>
        <w:t>alinéa (1)</w:t>
      </w:r>
      <w:r w:rsidRPr="00393D65">
        <w:rPr>
          <w:i/>
          <w:lang w:val="fr-CA"/>
        </w:rPr>
        <w:t>a</w:t>
      </w:r>
      <w:r w:rsidRPr="00393D65">
        <w:rPr>
          <w:lang w:val="fr-CA"/>
        </w:rPr>
        <w:t>);</w:t>
      </w:r>
    </w:p>
    <w:p w:rsidR="008C3D0D" w:rsidRPr="00393D65" w:rsidRDefault="008C3D0D" w:rsidP="008C3D0D">
      <w:pPr>
        <w:pStyle w:val="Citation"/>
        <w:ind w:left="720"/>
        <w:rPr>
          <w:lang w:val="fr-CA"/>
        </w:rPr>
      </w:pPr>
    </w:p>
    <w:p w:rsidR="008C3D0D" w:rsidRPr="00393D65" w:rsidRDefault="008C3D0D" w:rsidP="008C3D0D">
      <w:pPr>
        <w:pStyle w:val="Citation"/>
        <w:ind w:left="720"/>
        <w:rPr>
          <w:lang w:val="fr-CA"/>
        </w:rPr>
      </w:pPr>
      <w:r w:rsidRPr="00623D8E">
        <w:rPr>
          <w:i/>
          <w:lang w:val="fr-CA"/>
        </w:rPr>
        <w:t>b</w:t>
      </w:r>
      <w:r w:rsidRPr="00393D65">
        <w:rPr>
          <w:lang w:val="fr-CA"/>
        </w:rPr>
        <w:t>)  surseoir, jusqu</w:t>
      </w:r>
      <w:r w:rsidR="00C03762">
        <w:rPr>
          <w:lang w:val="fr-CA"/>
        </w:rPr>
        <w:t>’</w:t>
      </w:r>
      <w:r w:rsidRPr="00393D65">
        <w:rPr>
          <w:lang w:val="fr-CA"/>
        </w:rPr>
        <w:t>à nouvel ordre, à la continuation de toute action, poursuite ou autre procédure contre la compagnie;</w:t>
      </w:r>
    </w:p>
    <w:p w:rsidR="008C3D0D" w:rsidRPr="00393D65" w:rsidRDefault="008C3D0D" w:rsidP="008C3D0D">
      <w:pPr>
        <w:pStyle w:val="Citation"/>
        <w:ind w:left="720"/>
        <w:rPr>
          <w:lang w:val="fr-CA"/>
        </w:rPr>
      </w:pPr>
    </w:p>
    <w:p w:rsidR="008C3D0D" w:rsidRPr="00393D65" w:rsidRDefault="008C3D0D" w:rsidP="008C3D0D">
      <w:pPr>
        <w:pStyle w:val="Citation"/>
        <w:ind w:left="720"/>
        <w:rPr>
          <w:lang w:val="fr-CA"/>
        </w:rPr>
      </w:pPr>
      <w:r w:rsidRPr="00623D8E">
        <w:rPr>
          <w:i/>
          <w:lang w:val="fr-CA"/>
        </w:rPr>
        <w:lastRenderedPageBreak/>
        <w:t>c</w:t>
      </w:r>
      <w:r w:rsidRPr="00393D65">
        <w:rPr>
          <w:lang w:val="fr-CA"/>
        </w:rPr>
        <w:t>)  interdire, jusqu</w:t>
      </w:r>
      <w:r w:rsidR="00C03762">
        <w:rPr>
          <w:lang w:val="fr-CA"/>
        </w:rPr>
        <w:t>’</w:t>
      </w:r>
      <w:r w:rsidRPr="00393D65">
        <w:rPr>
          <w:lang w:val="fr-CA"/>
        </w:rPr>
        <w:t>à nouvel ordre, l</w:t>
      </w:r>
      <w:r w:rsidR="00C03762">
        <w:rPr>
          <w:lang w:val="fr-CA"/>
        </w:rPr>
        <w:t>’</w:t>
      </w:r>
      <w:r w:rsidRPr="00393D65">
        <w:rPr>
          <w:lang w:val="fr-CA"/>
        </w:rPr>
        <w:t>introduction de toute action, poursuite ou autre procédure contre la compagnie.</w:t>
      </w:r>
    </w:p>
    <w:p w:rsidR="008C3D0D" w:rsidRPr="00393D65" w:rsidRDefault="008C3D0D" w:rsidP="008C3D0D">
      <w:pPr>
        <w:pStyle w:val="Citation"/>
        <w:ind w:left="0"/>
        <w:rPr>
          <w:lang w:val="fr-CA"/>
        </w:rPr>
      </w:pPr>
    </w:p>
    <w:p w:rsidR="008C3D0D" w:rsidRPr="00393D65" w:rsidRDefault="008C3D0D" w:rsidP="008C3D0D">
      <w:pPr>
        <w:pStyle w:val="Citation"/>
        <w:ind w:left="0"/>
        <w:rPr>
          <w:lang w:val="fr-CA"/>
        </w:rPr>
      </w:pPr>
      <w:r w:rsidRPr="00393D65">
        <w:rPr>
          <w:lang w:val="fr-CA"/>
        </w:rPr>
        <w:tab/>
        <w:t>(3)  [Preuve] Le tribunal ne rend l</w:t>
      </w:r>
      <w:r w:rsidR="00C03762">
        <w:rPr>
          <w:lang w:val="fr-CA"/>
        </w:rPr>
        <w:t>’</w:t>
      </w:r>
      <w:r w:rsidRPr="00393D65">
        <w:rPr>
          <w:lang w:val="fr-CA"/>
        </w:rPr>
        <w:t>ordonnance que si :</w:t>
      </w:r>
    </w:p>
    <w:p w:rsidR="008C3D0D" w:rsidRPr="00393D65" w:rsidRDefault="008C3D0D" w:rsidP="008C3D0D">
      <w:pPr>
        <w:pStyle w:val="Citation"/>
        <w:ind w:left="720"/>
        <w:rPr>
          <w:lang w:val="fr-CA"/>
        </w:rPr>
      </w:pPr>
    </w:p>
    <w:p w:rsidR="008C3D0D" w:rsidRPr="00393D65" w:rsidRDefault="008C3D0D" w:rsidP="008C3D0D">
      <w:pPr>
        <w:pStyle w:val="Citation"/>
        <w:ind w:left="720"/>
        <w:rPr>
          <w:lang w:val="fr-CA"/>
        </w:rPr>
      </w:pPr>
      <w:r w:rsidRPr="00393D65">
        <w:rPr>
          <w:i/>
          <w:lang w:val="fr-CA"/>
        </w:rPr>
        <w:t>a</w:t>
      </w:r>
      <w:r w:rsidRPr="00393D65">
        <w:rPr>
          <w:lang w:val="fr-CA"/>
        </w:rPr>
        <w:t>)  le demandeur le convainc que la mesure est opportune;</w:t>
      </w:r>
    </w:p>
    <w:p w:rsidR="008C3D0D" w:rsidRPr="00393D65" w:rsidRDefault="008C3D0D" w:rsidP="008C3D0D">
      <w:pPr>
        <w:pStyle w:val="Citation"/>
        <w:ind w:left="720"/>
        <w:rPr>
          <w:lang w:val="fr-CA"/>
        </w:rPr>
      </w:pPr>
    </w:p>
    <w:p w:rsidR="008C3D0D" w:rsidRPr="00393D65" w:rsidRDefault="008C3D0D" w:rsidP="008C3D0D">
      <w:pPr>
        <w:pStyle w:val="Citation"/>
        <w:ind w:left="720"/>
        <w:rPr>
          <w:lang w:val="fr-CA"/>
        </w:rPr>
      </w:pPr>
      <w:r w:rsidRPr="00393D65">
        <w:rPr>
          <w:i/>
          <w:lang w:val="fr-CA"/>
        </w:rPr>
        <w:t>b</w:t>
      </w:r>
      <w:r w:rsidRPr="00393D65">
        <w:rPr>
          <w:lang w:val="fr-CA"/>
        </w:rPr>
        <w:t>)  dans le cas de l</w:t>
      </w:r>
      <w:r w:rsidR="00C03762">
        <w:rPr>
          <w:lang w:val="fr-CA"/>
        </w:rPr>
        <w:t>’</w:t>
      </w:r>
      <w:r w:rsidRPr="00393D65">
        <w:rPr>
          <w:lang w:val="fr-CA"/>
        </w:rPr>
        <w:t>ordonnance visée au paragraphe  (2), le demandeur le convainc en outre qu</w:t>
      </w:r>
      <w:r w:rsidR="00C03762">
        <w:rPr>
          <w:lang w:val="fr-CA"/>
        </w:rPr>
        <w:t>’</w:t>
      </w:r>
      <w:r w:rsidRPr="00393D65">
        <w:rPr>
          <w:lang w:val="fr-CA"/>
        </w:rPr>
        <w:t>il a agi et continue d</w:t>
      </w:r>
      <w:r w:rsidR="00C03762">
        <w:rPr>
          <w:lang w:val="fr-CA"/>
        </w:rPr>
        <w:t>’</w:t>
      </w:r>
      <w:r w:rsidRPr="00393D65">
        <w:rPr>
          <w:lang w:val="fr-CA"/>
        </w:rPr>
        <w:t>agir de bonne foi et avec la diligence voulue.</w:t>
      </w:r>
    </w:p>
    <w:p w:rsidR="008C3D0D" w:rsidRPr="00393D65" w:rsidRDefault="008C3D0D" w:rsidP="008C3D0D">
      <w:pPr>
        <w:pStyle w:val="Citation"/>
        <w:ind w:left="0"/>
        <w:rPr>
          <w:lang w:val="fr-CA"/>
        </w:rPr>
      </w:pPr>
    </w:p>
    <w:p w:rsidR="008C3D0D" w:rsidRPr="00393D65" w:rsidRDefault="008C3D0D" w:rsidP="008C3D0D">
      <w:pPr>
        <w:pStyle w:val="Citation"/>
        <w:ind w:left="0"/>
        <w:jc w:val="center"/>
        <w:rPr>
          <w:lang w:val="fr-CA"/>
        </w:rPr>
      </w:pPr>
      <w:r w:rsidRPr="00393D65">
        <w:rPr>
          <w:lang w:val="fr-CA"/>
        </w:rPr>
        <w:t>. . .</w:t>
      </w:r>
    </w:p>
    <w:p w:rsidR="008C3D0D" w:rsidRPr="00393D65" w:rsidRDefault="008C3D0D" w:rsidP="008C3D0D">
      <w:pPr>
        <w:pStyle w:val="Citation"/>
        <w:ind w:left="0"/>
        <w:rPr>
          <w:lang w:val="fr-CA"/>
        </w:rPr>
      </w:pPr>
    </w:p>
    <w:p w:rsidR="008C3D0D" w:rsidRPr="00393D65" w:rsidRDefault="008C3D0D" w:rsidP="008C3D0D">
      <w:pPr>
        <w:pStyle w:val="Citation"/>
        <w:ind w:left="0"/>
        <w:rPr>
          <w:lang w:val="fr-CA"/>
        </w:rPr>
      </w:pPr>
      <w:r w:rsidRPr="00393D65">
        <w:rPr>
          <w:b/>
          <w:lang w:val="fr-CA"/>
        </w:rPr>
        <w:tab/>
        <w:t>11.09</w:t>
      </w:r>
      <w:r w:rsidRPr="00393D65">
        <w:rPr>
          <w:lang w:val="fr-CA"/>
        </w:rPr>
        <w:t> (1)  [Suspension des procédures : Sa Majesté] L</w:t>
      </w:r>
      <w:r w:rsidR="00C03762">
        <w:rPr>
          <w:lang w:val="fr-CA"/>
        </w:rPr>
        <w:t>’</w:t>
      </w:r>
      <w:r w:rsidRPr="00393D65">
        <w:rPr>
          <w:lang w:val="fr-CA"/>
        </w:rPr>
        <w:t>ordonnance prévue à l</w:t>
      </w:r>
      <w:r w:rsidR="00C03762">
        <w:rPr>
          <w:lang w:val="fr-CA"/>
        </w:rPr>
        <w:t>’</w:t>
      </w:r>
      <w:r w:rsidRPr="00393D65">
        <w:rPr>
          <w:lang w:val="fr-CA"/>
        </w:rPr>
        <w:t>article 11.02 peut avoir pour effet de suspendre :</w:t>
      </w:r>
    </w:p>
    <w:p w:rsidR="008C3D0D" w:rsidRPr="00393D65" w:rsidRDefault="008C3D0D" w:rsidP="008C3D0D">
      <w:pPr>
        <w:pStyle w:val="Citation"/>
        <w:ind w:left="0"/>
        <w:rPr>
          <w:lang w:val="fr-CA"/>
        </w:rPr>
      </w:pPr>
    </w:p>
    <w:p w:rsidR="008C3D0D" w:rsidRPr="00393D65" w:rsidRDefault="008C3D0D" w:rsidP="008C3D0D">
      <w:pPr>
        <w:pStyle w:val="Citation"/>
        <w:ind w:left="720"/>
        <w:rPr>
          <w:lang w:val="fr-CA"/>
        </w:rPr>
      </w:pPr>
      <w:r w:rsidRPr="00393D65">
        <w:rPr>
          <w:i/>
          <w:lang w:val="fr-CA"/>
        </w:rPr>
        <w:t>a</w:t>
      </w:r>
      <w:r w:rsidRPr="00393D65">
        <w:rPr>
          <w:lang w:val="fr-CA"/>
        </w:rPr>
        <w:t>)  l</w:t>
      </w:r>
      <w:r w:rsidR="00C03762">
        <w:rPr>
          <w:lang w:val="fr-CA"/>
        </w:rPr>
        <w:t>’</w:t>
      </w:r>
      <w:r w:rsidRPr="00393D65">
        <w:rPr>
          <w:lang w:val="fr-CA"/>
        </w:rPr>
        <w:t xml:space="preserve">exercice par Sa Majesté du chef du Canada des droits que lui confère le paragraphe 224(1.2) de la </w:t>
      </w:r>
      <w:r w:rsidRPr="00393D65">
        <w:rPr>
          <w:i/>
          <w:lang w:val="fr-CA"/>
        </w:rPr>
        <w:t>Loi de l</w:t>
      </w:r>
      <w:r w:rsidR="00C03762">
        <w:rPr>
          <w:i/>
          <w:lang w:val="fr-CA"/>
        </w:rPr>
        <w:t>’</w:t>
      </w:r>
      <w:r w:rsidRPr="00393D65">
        <w:rPr>
          <w:i/>
          <w:lang w:val="fr-CA"/>
        </w:rPr>
        <w:t>impôt sur le revenu</w:t>
      </w:r>
      <w:r w:rsidRPr="00393D65">
        <w:rPr>
          <w:lang w:val="fr-CA"/>
        </w:rPr>
        <w:t xml:space="preserve"> ou toute disposition du </w:t>
      </w:r>
      <w:r w:rsidRPr="00393D65">
        <w:rPr>
          <w:i/>
          <w:lang w:val="fr-CA"/>
        </w:rPr>
        <w:t>Régime de pensions du Canada</w:t>
      </w:r>
      <w:r w:rsidRPr="00393D65">
        <w:rPr>
          <w:lang w:val="fr-CA"/>
        </w:rPr>
        <w:t xml:space="preserve"> ou de la </w:t>
      </w:r>
      <w:r w:rsidRPr="00393D65">
        <w:rPr>
          <w:i/>
          <w:lang w:val="fr-CA"/>
        </w:rPr>
        <w:t>Loi sur l</w:t>
      </w:r>
      <w:r w:rsidR="00C03762">
        <w:rPr>
          <w:i/>
          <w:lang w:val="fr-CA"/>
        </w:rPr>
        <w:t>’</w:t>
      </w:r>
      <w:r w:rsidRPr="00393D65">
        <w:rPr>
          <w:i/>
          <w:lang w:val="fr-CA"/>
        </w:rPr>
        <w:t>assurance</w:t>
      </w:r>
      <w:r w:rsidRPr="00393D65">
        <w:rPr>
          <w:i/>
          <w:lang w:val="fr-CA"/>
        </w:rPr>
        <w:noBreakHyphen/>
        <w:t>emploi</w:t>
      </w:r>
      <w:r w:rsidRPr="00393D65">
        <w:rPr>
          <w:lang w:val="fr-CA"/>
        </w:rPr>
        <w:t xml:space="preserve"> qui renvoie à ce paragraphe et qui prévoit la perception d</w:t>
      </w:r>
      <w:r w:rsidR="00C03762">
        <w:rPr>
          <w:lang w:val="fr-CA"/>
        </w:rPr>
        <w:t>’</w:t>
      </w:r>
      <w:r w:rsidRPr="00393D65">
        <w:rPr>
          <w:lang w:val="fr-CA"/>
        </w:rPr>
        <w:t xml:space="preserve">une cotisation, au sens du </w:t>
      </w:r>
      <w:r w:rsidRPr="00393D65">
        <w:rPr>
          <w:i/>
          <w:lang w:val="fr-CA"/>
        </w:rPr>
        <w:t>Régime de pensions du Canada</w:t>
      </w:r>
      <w:r w:rsidRPr="00393D65">
        <w:rPr>
          <w:lang w:val="fr-CA"/>
        </w:rPr>
        <w:t>, ou d</w:t>
      </w:r>
      <w:r w:rsidR="00C03762">
        <w:rPr>
          <w:lang w:val="fr-CA"/>
        </w:rPr>
        <w:t>’</w:t>
      </w:r>
      <w:r w:rsidRPr="00393D65">
        <w:rPr>
          <w:lang w:val="fr-CA"/>
        </w:rPr>
        <w:t>une cotisation ouvrière ou d</w:t>
      </w:r>
      <w:r w:rsidR="00C03762">
        <w:rPr>
          <w:lang w:val="fr-CA"/>
        </w:rPr>
        <w:t>’</w:t>
      </w:r>
      <w:r w:rsidRPr="00393D65">
        <w:rPr>
          <w:lang w:val="fr-CA"/>
        </w:rPr>
        <w:t xml:space="preserve">une cotisation patronale, au sens de la </w:t>
      </w:r>
      <w:r w:rsidRPr="00393D65">
        <w:rPr>
          <w:i/>
          <w:lang w:val="fr-CA"/>
        </w:rPr>
        <w:t>Loi sur l</w:t>
      </w:r>
      <w:r w:rsidR="00C03762">
        <w:rPr>
          <w:i/>
          <w:lang w:val="fr-CA"/>
        </w:rPr>
        <w:t>’</w:t>
      </w:r>
      <w:r w:rsidRPr="00393D65">
        <w:rPr>
          <w:i/>
          <w:lang w:val="fr-CA"/>
        </w:rPr>
        <w:t>assurance</w:t>
      </w:r>
      <w:r w:rsidRPr="00393D65">
        <w:rPr>
          <w:i/>
          <w:lang w:val="fr-CA"/>
        </w:rPr>
        <w:noBreakHyphen/>
        <w:t>emploi</w:t>
      </w:r>
      <w:r w:rsidRPr="00393D65">
        <w:rPr>
          <w:lang w:val="fr-CA"/>
        </w:rPr>
        <w:t>, ainsi que des intérêts, pénalités et autres charges afférents, à l</w:t>
      </w:r>
      <w:r w:rsidR="00C03762">
        <w:rPr>
          <w:lang w:val="fr-CA"/>
        </w:rPr>
        <w:t>’</w:t>
      </w:r>
      <w:r w:rsidRPr="00393D65">
        <w:rPr>
          <w:lang w:val="fr-CA"/>
        </w:rPr>
        <w:t>égard d</w:t>
      </w:r>
      <w:r w:rsidR="00C03762">
        <w:rPr>
          <w:lang w:val="fr-CA"/>
        </w:rPr>
        <w:t>’</w:t>
      </w:r>
      <w:r w:rsidRPr="00393D65">
        <w:rPr>
          <w:lang w:val="fr-CA"/>
        </w:rPr>
        <w:t>une compagnie qui est un débiteur fiscal visé à ce paragraphe ou à cette disposition, pour la période se terminant au plus tard :</w:t>
      </w:r>
    </w:p>
    <w:p w:rsidR="008C3D0D" w:rsidRPr="00393D65" w:rsidRDefault="008C3D0D" w:rsidP="008C3D0D">
      <w:pPr>
        <w:pStyle w:val="Citation"/>
        <w:ind w:left="720"/>
        <w:rPr>
          <w:lang w:val="fr-CA"/>
        </w:rPr>
      </w:pPr>
    </w:p>
    <w:p w:rsidR="008C3D0D" w:rsidRPr="00393D65" w:rsidRDefault="008C3D0D" w:rsidP="008C3D0D">
      <w:pPr>
        <w:pStyle w:val="Citation"/>
        <w:ind w:left="1440"/>
        <w:rPr>
          <w:lang w:val="fr-CA"/>
        </w:rPr>
      </w:pPr>
      <w:r w:rsidRPr="00393D65">
        <w:rPr>
          <w:lang w:val="fr-CA"/>
        </w:rPr>
        <w:t>(i)  à l</w:t>
      </w:r>
      <w:r w:rsidR="00C03762">
        <w:rPr>
          <w:lang w:val="fr-CA"/>
        </w:rPr>
        <w:t>’</w:t>
      </w:r>
      <w:r w:rsidRPr="00393D65">
        <w:rPr>
          <w:lang w:val="fr-CA"/>
        </w:rPr>
        <w:t>expiration de l</w:t>
      </w:r>
      <w:r w:rsidR="00C03762">
        <w:rPr>
          <w:lang w:val="fr-CA"/>
        </w:rPr>
        <w:t>’</w:t>
      </w:r>
      <w:r w:rsidRPr="00393D65">
        <w:rPr>
          <w:lang w:val="fr-CA"/>
        </w:rPr>
        <w:t>ordonnance,</w:t>
      </w:r>
    </w:p>
    <w:p w:rsidR="008C3D0D" w:rsidRPr="00393D65" w:rsidRDefault="008C3D0D" w:rsidP="008C3D0D">
      <w:pPr>
        <w:pStyle w:val="Citation"/>
        <w:ind w:left="1440"/>
        <w:rPr>
          <w:lang w:val="fr-CA"/>
        </w:rPr>
      </w:pPr>
    </w:p>
    <w:p w:rsidR="008C3D0D" w:rsidRPr="00393D65" w:rsidRDefault="008C3D0D" w:rsidP="008C3D0D">
      <w:pPr>
        <w:pStyle w:val="Citation"/>
        <w:ind w:left="1440"/>
        <w:rPr>
          <w:lang w:val="fr-CA"/>
        </w:rPr>
      </w:pPr>
      <w:r w:rsidRPr="00393D65">
        <w:rPr>
          <w:lang w:val="fr-CA"/>
        </w:rPr>
        <w:t>(ii)  au moment du rejet, par le tribunal ou les créanciers, de la transaction proposée,</w:t>
      </w:r>
    </w:p>
    <w:p w:rsidR="008C3D0D" w:rsidRPr="00393D65" w:rsidRDefault="008C3D0D" w:rsidP="008C3D0D">
      <w:pPr>
        <w:pStyle w:val="Citation"/>
        <w:ind w:left="1440"/>
        <w:rPr>
          <w:lang w:val="fr-CA"/>
        </w:rPr>
      </w:pPr>
    </w:p>
    <w:p w:rsidR="008C3D0D" w:rsidRPr="00393D65" w:rsidRDefault="008C3D0D" w:rsidP="008C3D0D">
      <w:pPr>
        <w:pStyle w:val="Citation"/>
        <w:ind w:left="1440"/>
        <w:rPr>
          <w:lang w:val="fr-CA"/>
        </w:rPr>
      </w:pPr>
      <w:r w:rsidRPr="00393D65">
        <w:rPr>
          <w:lang w:val="fr-CA"/>
        </w:rPr>
        <w:t>(iii)  six mois après que le tribunal a homologué la transaction ou l</w:t>
      </w:r>
      <w:r w:rsidR="00C03762">
        <w:rPr>
          <w:lang w:val="fr-CA"/>
        </w:rPr>
        <w:t>’</w:t>
      </w:r>
      <w:r w:rsidRPr="00393D65">
        <w:rPr>
          <w:lang w:val="fr-CA"/>
        </w:rPr>
        <w:t>arrangement,</w:t>
      </w:r>
    </w:p>
    <w:p w:rsidR="008C3D0D" w:rsidRPr="00393D65" w:rsidRDefault="008C3D0D" w:rsidP="008C3D0D">
      <w:pPr>
        <w:pStyle w:val="Citation"/>
        <w:ind w:left="1440"/>
        <w:rPr>
          <w:lang w:val="fr-CA"/>
        </w:rPr>
      </w:pPr>
    </w:p>
    <w:p w:rsidR="008C3D0D" w:rsidRPr="00393D65" w:rsidRDefault="008C3D0D" w:rsidP="008C3D0D">
      <w:pPr>
        <w:pStyle w:val="Citation"/>
        <w:ind w:left="1440"/>
        <w:rPr>
          <w:lang w:val="fr-CA"/>
        </w:rPr>
      </w:pPr>
      <w:r w:rsidRPr="00393D65">
        <w:rPr>
          <w:lang w:val="fr-CA"/>
        </w:rPr>
        <w:t>(iv)  au moment de tout défaut d</w:t>
      </w:r>
      <w:r w:rsidR="00C03762">
        <w:rPr>
          <w:lang w:val="fr-CA"/>
        </w:rPr>
        <w:t>’</w:t>
      </w:r>
      <w:r w:rsidRPr="00393D65">
        <w:rPr>
          <w:lang w:val="fr-CA"/>
        </w:rPr>
        <w:t>exécution de la transaction ou de l</w:t>
      </w:r>
      <w:r w:rsidR="00C03762">
        <w:rPr>
          <w:lang w:val="fr-CA"/>
        </w:rPr>
        <w:t>’</w:t>
      </w:r>
      <w:r w:rsidRPr="00393D65">
        <w:rPr>
          <w:lang w:val="fr-CA"/>
        </w:rPr>
        <w:t>arrangement,</w:t>
      </w:r>
    </w:p>
    <w:p w:rsidR="008C3D0D" w:rsidRPr="00393D65" w:rsidRDefault="008C3D0D" w:rsidP="008C3D0D">
      <w:pPr>
        <w:pStyle w:val="Citation"/>
        <w:ind w:left="1440"/>
        <w:rPr>
          <w:lang w:val="fr-CA"/>
        </w:rPr>
      </w:pPr>
    </w:p>
    <w:p w:rsidR="008C3D0D" w:rsidRPr="00393D65" w:rsidRDefault="008C3D0D" w:rsidP="008C3D0D">
      <w:pPr>
        <w:pStyle w:val="Citation"/>
        <w:ind w:left="1440"/>
        <w:rPr>
          <w:lang w:val="fr-CA"/>
        </w:rPr>
      </w:pPr>
      <w:r w:rsidRPr="00393D65">
        <w:rPr>
          <w:lang w:val="fr-CA"/>
        </w:rPr>
        <w:t>(v)  au moment de l</w:t>
      </w:r>
      <w:r w:rsidR="00C03762">
        <w:rPr>
          <w:lang w:val="fr-CA"/>
        </w:rPr>
        <w:t>’</w:t>
      </w:r>
      <w:r w:rsidRPr="00393D65">
        <w:rPr>
          <w:lang w:val="fr-CA"/>
        </w:rPr>
        <w:t>exécution intégrale de la transaction ou de l</w:t>
      </w:r>
      <w:r w:rsidR="00C03762">
        <w:rPr>
          <w:lang w:val="fr-CA"/>
        </w:rPr>
        <w:t>’</w:t>
      </w:r>
      <w:r w:rsidRPr="00393D65">
        <w:rPr>
          <w:lang w:val="fr-CA"/>
        </w:rPr>
        <w:t>arrangement;</w:t>
      </w:r>
    </w:p>
    <w:p w:rsidR="008C3D0D" w:rsidRPr="00393D65" w:rsidRDefault="008C3D0D" w:rsidP="008C3D0D">
      <w:pPr>
        <w:pStyle w:val="Citation"/>
        <w:ind w:left="720"/>
        <w:rPr>
          <w:lang w:val="fr-CA"/>
        </w:rPr>
      </w:pPr>
    </w:p>
    <w:p w:rsidR="008C3D0D" w:rsidRPr="00393D65" w:rsidRDefault="008C3D0D" w:rsidP="008C3D0D">
      <w:pPr>
        <w:pStyle w:val="Citation"/>
        <w:ind w:left="720"/>
        <w:rPr>
          <w:lang w:val="fr-CA"/>
        </w:rPr>
      </w:pPr>
      <w:r w:rsidRPr="00393D65">
        <w:rPr>
          <w:i/>
          <w:lang w:val="fr-CA"/>
        </w:rPr>
        <w:t>b</w:t>
      </w:r>
      <w:r w:rsidRPr="00393D65">
        <w:rPr>
          <w:lang w:val="fr-CA"/>
        </w:rPr>
        <w:t>)  l</w:t>
      </w:r>
      <w:r w:rsidR="00C03762">
        <w:rPr>
          <w:lang w:val="fr-CA"/>
        </w:rPr>
        <w:t>’</w:t>
      </w:r>
      <w:r w:rsidRPr="00393D65">
        <w:rPr>
          <w:lang w:val="fr-CA"/>
        </w:rPr>
        <w:t>exercice par Sa Majesté du chef d</w:t>
      </w:r>
      <w:r w:rsidR="00C03762">
        <w:rPr>
          <w:lang w:val="fr-CA"/>
        </w:rPr>
        <w:t>’</w:t>
      </w:r>
      <w:r w:rsidRPr="00393D65">
        <w:rPr>
          <w:lang w:val="fr-CA"/>
        </w:rPr>
        <w:t>une province, pour la période que le tribunal estime indiquée et se terminant au plus tard au moment visé à celui des sous</w:t>
      </w:r>
      <w:r w:rsidRPr="00393D65">
        <w:rPr>
          <w:lang w:val="fr-CA"/>
        </w:rPr>
        <w:noBreakHyphen/>
        <w:t>alinéas </w:t>
      </w:r>
      <w:r w:rsidRPr="00393D65">
        <w:rPr>
          <w:i/>
          <w:lang w:val="fr-CA"/>
        </w:rPr>
        <w:t>a</w:t>
      </w:r>
      <w:r w:rsidRPr="00393D65">
        <w:rPr>
          <w:lang w:val="fr-CA"/>
        </w:rPr>
        <w:t>)(i) à (v) qui, le cas échéant, est applicable, des droits que lui confère toute disposition législative de cette province à l</w:t>
      </w:r>
      <w:r w:rsidR="00C03762">
        <w:rPr>
          <w:lang w:val="fr-CA"/>
        </w:rPr>
        <w:t>’</w:t>
      </w:r>
      <w:r w:rsidRPr="00393D65">
        <w:rPr>
          <w:lang w:val="fr-CA"/>
        </w:rPr>
        <w:t>égard d</w:t>
      </w:r>
      <w:r w:rsidR="00C03762">
        <w:rPr>
          <w:lang w:val="fr-CA"/>
        </w:rPr>
        <w:t>’</w:t>
      </w:r>
      <w:r w:rsidRPr="00393D65">
        <w:rPr>
          <w:lang w:val="fr-CA"/>
        </w:rPr>
        <w:t>une compagnie qui est un débiteur visé par la loi provinciale, s</w:t>
      </w:r>
      <w:r w:rsidR="00C03762">
        <w:rPr>
          <w:lang w:val="fr-CA"/>
        </w:rPr>
        <w:t>’</w:t>
      </w:r>
      <w:r w:rsidRPr="00393D65">
        <w:rPr>
          <w:lang w:val="fr-CA"/>
        </w:rPr>
        <w:t>il s</w:t>
      </w:r>
      <w:r w:rsidR="00C03762">
        <w:rPr>
          <w:lang w:val="fr-CA"/>
        </w:rPr>
        <w:t>’</w:t>
      </w:r>
      <w:r w:rsidRPr="00393D65">
        <w:rPr>
          <w:lang w:val="fr-CA"/>
        </w:rPr>
        <w:t>agit d</w:t>
      </w:r>
      <w:r w:rsidR="00C03762">
        <w:rPr>
          <w:lang w:val="fr-CA"/>
        </w:rPr>
        <w:t>’</w:t>
      </w:r>
      <w:r w:rsidRPr="00393D65">
        <w:rPr>
          <w:lang w:val="fr-CA"/>
        </w:rPr>
        <w:t xml:space="preserve">une </w:t>
      </w:r>
      <w:r w:rsidRPr="00393D65">
        <w:rPr>
          <w:lang w:val="fr-CA"/>
        </w:rPr>
        <w:lastRenderedPageBreak/>
        <w:t>disposition dont l</w:t>
      </w:r>
      <w:r w:rsidR="00C03762">
        <w:rPr>
          <w:lang w:val="fr-CA"/>
        </w:rPr>
        <w:t>’</w:t>
      </w:r>
      <w:r w:rsidRPr="00393D65">
        <w:rPr>
          <w:lang w:val="fr-CA"/>
        </w:rPr>
        <w:t xml:space="preserve">objet est semblable à celui du paragraphe 224(1.2) de la </w:t>
      </w:r>
      <w:r w:rsidRPr="00393D65">
        <w:rPr>
          <w:i/>
          <w:lang w:val="fr-CA"/>
        </w:rPr>
        <w:t>Loi de l</w:t>
      </w:r>
      <w:r w:rsidR="00C03762">
        <w:rPr>
          <w:i/>
          <w:lang w:val="fr-CA"/>
        </w:rPr>
        <w:t>’</w:t>
      </w:r>
      <w:r w:rsidRPr="00393D65">
        <w:rPr>
          <w:i/>
          <w:lang w:val="fr-CA"/>
        </w:rPr>
        <w:t>impôt sur le revenu</w:t>
      </w:r>
      <w:r w:rsidRPr="00393D65">
        <w:rPr>
          <w:lang w:val="fr-CA"/>
        </w:rPr>
        <w:t>, ou qui renvoie à ce paragraphe, et qui prévoit la perception d</w:t>
      </w:r>
      <w:r w:rsidR="00C03762">
        <w:rPr>
          <w:lang w:val="fr-CA"/>
        </w:rPr>
        <w:t>’</w:t>
      </w:r>
      <w:r w:rsidRPr="00393D65">
        <w:rPr>
          <w:lang w:val="fr-CA"/>
        </w:rPr>
        <w:t>une somme, ainsi que des intérêts, pénalités et autres charges afférents, laquelle :</w:t>
      </w:r>
    </w:p>
    <w:p w:rsidR="008C3D0D" w:rsidRPr="00393D65" w:rsidRDefault="008C3D0D" w:rsidP="008C3D0D">
      <w:pPr>
        <w:pStyle w:val="Citation"/>
        <w:ind w:left="720"/>
        <w:rPr>
          <w:lang w:val="fr-CA"/>
        </w:rPr>
      </w:pPr>
    </w:p>
    <w:p w:rsidR="008C3D0D" w:rsidRPr="00393D65" w:rsidRDefault="008C3D0D" w:rsidP="008C3D0D">
      <w:pPr>
        <w:pStyle w:val="Citation"/>
        <w:ind w:left="1440"/>
        <w:rPr>
          <w:lang w:val="fr-CA"/>
        </w:rPr>
      </w:pPr>
      <w:r w:rsidRPr="00393D65">
        <w:rPr>
          <w:lang w:val="fr-CA"/>
        </w:rPr>
        <w:t>(i)  soit a été retenue par une personne sur un paiement effectué à une autre personne, ou déduite d</w:t>
      </w:r>
      <w:r w:rsidR="00C03762">
        <w:rPr>
          <w:lang w:val="fr-CA"/>
        </w:rPr>
        <w:t>’</w:t>
      </w:r>
      <w:r w:rsidRPr="00393D65">
        <w:rPr>
          <w:lang w:val="fr-CA"/>
        </w:rPr>
        <w:t>un tel paiement, et se rapporte à un impôt semblable, de par sa nature, à l</w:t>
      </w:r>
      <w:r w:rsidR="00C03762">
        <w:rPr>
          <w:lang w:val="fr-CA"/>
        </w:rPr>
        <w:t>’</w:t>
      </w:r>
      <w:r w:rsidRPr="00393D65">
        <w:rPr>
          <w:lang w:val="fr-CA"/>
        </w:rPr>
        <w:t xml:space="preserve">impôt sur le revenu auquel les particuliers sont assujettis en vertu de la </w:t>
      </w:r>
      <w:r w:rsidRPr="00393D65">
        <w:rPr>
          <w:i/>
          <w:lang w:val="fr-CA"/>
        </w:rPr>
        <w:t>Loi de l</w:t>
      </w:r>
      <w:r w:rsidR="00C03762">
        <w:rPr>
          <w:i/>
          <w:lang w:val="fr-CA"/>
        </w:rPr>
        <w:t>’</w:t>
      </w:r>
      <w:r w:rsidRPr="00393D65">
        <w:rPr>
          <w:i/>
          <w:lang w:val="fr-CA"/>
        </w:rPr>
        <w:t>impôt sur le revenu</w:t>
      </w:r>
      <w:r w:rsidRPr="00393D65">
        <w:rPr>
          <w:lang w:val="fr-CA"/>
        </w:rPr>
        <w:t>,</w:t>
      </w:r>
    </w:p>
    <w:p w:rsidR="008C3D0D" w:rsidRPr="00393D65" w:rsidRDefault="008C3D0D" w:rsidP="008C3D0D">
      <w:pPr>
        <w:pStyle w:val="Citation"/>
        <w:ind w:left="1440"/>
        <w:rPr>
          <w:lang w:val="fr-CA"/>
        </w:rPr>
      </w:pPr>
    </w:p>
    <w:p w:rsidR="008C3D0D" w:rsidRPr="00393D65" w:rsidRDefault="008C3D0D" w:rsidP="008C3D0D">
      <w:pPr>
        <w:pStyle w:val="Citation"/>
        <w:ind w:left="1440"/>
        <w:rPr>
          <w:lang w:val="fr-CA"/>
        </w:rPr>
      </w:pPr>
      <w:r w:rsidRPr="00393D65">
        <w:rPr>
          <w:lang w:val="fr-CA"/>
        </w:rPr>
        <w:t>(ii)  soit est de même nature qu</w:t>
      </w:r>
      <w:r w:rsidR="00C03762">
        <w:rPr>
          <w:lang w:val="fr-CA"/>
        </w:rPr>
        <w:t>’</w:t>
      </w:r>
      <w:r w:rsidRPr="00393D65">
        <w:rPr>
          <w:lang w:val="fr-CA"/>
        </w:rPr>
        <w:t xml:space="preserve">une cotisation prévue par le </w:t>
      </w:r>
      <w:r w:rsidRPr="00393D65">
        <w:rPr>
          <w:i/>
          <w:lang w:val="fr-CA"/>
        </w:rPr>
        <w:t>Régime de pensions du Canada</w:t>
      </w:r>
      <w:r w:rsidRPr="00393D65">
        <w:rPr>
          <w:lang w:val="fr-CA"/>
        </w:rPr>
        <w:t>, si la province est une province instituant un régime général de pensions au sens du paragraphe 3(1) de cette loi et si la loi provinciale institue un régime provincial de pensions au sens de ce paragraphe.</w:t>
      </w:r>
    </w:p>
    <w:p w:rsidR="008C3D0D" w:rsidRPr="00393D65" w:rsidRDefault="008C3D0D" w:rsidP="008C3D0D">
      <w:pPr>
        <w:pStyle w:val="Citation"/>
        <w:ind w:left="0"/>
        <w:rPr>
          <w:lang w:val="fr-CA"/>
        </w:rPr>
      </w:pPr>
    </w:p>
    <w:p w:rsidR="008C3D0D" w:rsidRPr="00393D65" w:rsidRDefault="008C3D0D" w:rsidP="008C3D0D">
      <w:pPr>
        <w:pStyle w:val="Citation"/>
        <w:ind w:left="0"/>
        <w:rPr>
          <w:lang w:val="fr-CA"/>
        </w:rPr>
      </w:pPr>
      <w:r w:rsidRPr="00393D65">
        <w:rPr>
          <w:lang w:val="fr-CA"/>
        </w:rPr>
        <w:tab/>
        <w:t>(2)  [Cessation d</w:t>
      </w:r>
      <w:r w:rsidR="00C03762">
        <w:rPr>
          <w:lang w:val="fr-CA"/>
        </w:rPr>
        <w:t>’</w:t>
      </w:r>
      <w:r w:rsidRPr="00393D65">
        <w:rPr>
          <w:lang w:val="fr-CA"/>
        </w:rPr>
        <w:t>effet] Les passages de l</w:t>
      </w:r>
      <w:r w:rsidR="00C03762">
        <w:rPr>
          <w:lang w:val="fr-CA"/>
        </w:rPr>
        <w:t>’</w:t>
      </w:r>
      <w:r w:rsidRPr="00393D65">
        <w:rPr>
          <w:lang w:val="fr-CA"/>
        </w:rPr>
        <w:t>ordonnance qui suspendent l</w:t>
      </w:r>
      <w:r w:rsidR="00C03762">
        <w:rPr>
          <w:lang w:val="fr-CA"/>
        </w:rPr>
        <w:t>’</w:t>
      </w:r>
      <w:r w:rsidRPr="00393D65">
        <w:rPr>
          <w:lang w:val="fr-CA"/>
        </w:rPr>
        <w:t>exercice des droits de Sa Majesté visés aux alinéas (1)</w:t>
      </w:r>
      <w:r w:rsidRPr="00393D65">
        <w:rPr>
          <w:i/>
          <w:lang w:val="fr-CA"/>
        </w:rPr>
        <w:t>a</w:t>
      </w:r>
      <w:r w:rsidRPr="00393D65">
        <w:rPr>
          <w:lang w:val="fr-CA"/>
        </w:rPr>
        <w:t xml:space="preserve">) ou </w:t>
      </w:r>
      <w:r w:rsidRPr="00393D65">
        <w:rPr>
          <w:i/>
          <w:lang w:val="fr-CA"/>
        </w:rPr>
        <w:t>b</w:t>
      </w:r>
      <w:r w:rsidRPr="00393D65">
        <w:rPr>
          <w:lang w:val="fr-CA"/>
        </w:rPr>
        <w:t>) cessent d</w:t>
      </w:r>
      <w:r w:rsidR="00C03762">
        <w:rPr>
          <w:lang w:val="fr-CA"/>
        </w:rPr>
        <w:t>’</w:t>
      </w:r>
      <w:r w:rsidRPr="00393D65">
        <w:rPr>
          <w:lang w:val="fr-CA"/>
        </w:rPr>
        <w:t>avoir effet dans les cas suivants :</w:t>
      </w:r>
    </w:p>
    <w:p w:rsidR="008C3D0D" w:rsidRPr="00393D65" w:rsidRDefault="008C3D0D" w:rsidP="008C3D0D">
      <w:pPr>
        <w:pStyle w:val="Citation"/>
        <w:rPr>
          <w:lang w:val="fr-CA"/>
        </w:rPr>
      </w:pPr>
    </w:p>
    <w:p w:rsidR="008C3D0D" w:rsidRPr="00393D65" w:rsidRDefault="008C3D0D" w:rsidP="008C3D0D">
      <w:pPr>
        <w:pStyle w:val="Citation"/>
        <w:ind w:left="720"/>
        <w:rPr>
          <w:lang w:val="fr-CA"/>
        </w:rPr>
      </w:pPr>
      <w:r w:rsidRPr="00393D65">
        <w:rPr>
          <w:i/>
          <w:lang w:val="fr-CA"/>
        </w:rPr>
        <w:t>a</w:t>
      </w:r>
      <w:r w:rsidRPr="00393D65">
        <w:rPr>
          <w:lang w:val="fr-CA"/>
        </w:rPr>
        <w:t>)  la compagnie manque à ses obligations de paiement à l</w:t>
      </w:r>
      <w:r w:rsidR="00C03762">
        <w:rPr>
          <w:lang w:val="fr-CA"/>
        </w:rPr>
        <w:t>’</w:t>
      </w:r>
      <w:r w:rsidRPr="00393D65">
        <w:rPr>
          <w:lang w:val="fr-CA"/>
        </w:rPr>
        <w:t>égard de toute somme qui devient due à Sa Majesté après le prononcé de l</w:t>
      </w:r>
      <w:r w:rsidR="00C03762">
        <w:rPr>
          <w:lang w:val="fr-CA"/>
        </w:rPr>
        <w:t>’</w:t>
      </w:r>
      <w:r w:rsidRPr="00393D65">
        <w:rPr>
          <w:lang w:val="fr-CA"/>
        </w:rPr>
        <w:t>ordonnance et qui pourrait faire l</w:t>
      </w:r>
      <w:r w:rsidR="00C03762">
        <w:rPr>
          <w:lang w:val="fr-CA"/>
        </w:rPr>
        <w:t>’</w:t>
      </w:r>
      <w:r w:rsidRPr="00393D65">
        <w:rPr>
          <w:lang w:val="fr-CA"/>
        </w:rPr>
        <w:t>objet d</w:t>
      </w:r>
      <w:r w:rsidR="00C03762">
        <w:rPr>
          <w:lang w:val="fr-CA"/>
        </w:rPr>
        <w:t>’</w:t>
      </w:r>
      <w:r w:rsidRPr="00393D65">
        <w:rPr>
          <w:lang w:val="fr-CA"/>
        </w:rPr>
        <w:t>une demande aux termes d</w:t>
      </w:r>
      <w:r w:rsidR="00C03762">
        <w:rPr>
          <w:lang w:val="fr-CA"/>
        </w:rPr>
        <w:t>’</w:t>
      </w:r>
      <w:r w:rsidRPr="00393D65">
        <w:rPr>
          <w:lang w:val="fr-CA"/>
        </w:rPr>
        <w:t>une des dispositions suivantes :</w:t>
      </w:r>
    </w:p>
    <w:p w:rsidR="008C3D0D" w:rsidRPr="00393D65" w:rsidRDefault="008C3D0D" w:rsidP="008C3D0D">
      <w:pPr>
        <w:pStyle w:val="Citation"/>
        <w:ind w:left="720"/>
        <w:rPr>
          <w:lang w:val="fr-CA"/>
        </w:rPr>
      </w:pPr>
    </w:p>
    <w:p w:rsidR="008C3D0D" w:rsidRPr="00393D65" w:rsidRDefault="008C3D0D" w:rsidP="008C3D0D">
      <w:pPr>
        <w:pStyle w:val="Citation"/>
        <w:ind w:left="1440"/>
        <w:rPr>
          <w:lang w:val="fr-CA"/>
        </w:rPr>
      </w:pPr>
      <w:r w:rsidRPr="00393D65">
        <w:rPr>
          <w:lang w:val="fr-CA"/>
        </w:rPr>
        <w:t xml:space="preserve">(i)  le paragraphe 224(1.2) de la </w:t>
      </w:r>
      <w:r w:rsidRPr="00393D65">
        <w:rPr>
          <w:i/>
          <w:lang w:val="fr-CA"/>
        </w:rPr>
        <w:t>Loi de l</w:t>
      </w:r>
      <w:r w:rsidR="00C03762">
        <w:rPr>
          <w:i/>
          <w:lang w:val="fr-CA"/>
        </w:rPr>
        <w:t>’</w:t>
      </w:r>
      <w:r w:rsidRPr="00393D65">
        <w:rPr>
          <w:i/>
          <w:lang w:val="fr-CA"/>
        </w:rPr>
        <w:t>impôt sur le revenu</w:t>
      </w:r>
      <w:r w:rsidRPr="00393D65">
        <w:rPr>
          <w:lang w:val="fr-CA"/>
        </w:rPr>
        <w:t>,</w:t>
      </w:r>
    </w:p>
    <w:p w:rsidR="008C3D0D" w:rsidRPr="00393D65" w:rsidRDefault="008C3D0D" w:rsidP="008C3D0D">
      <w:pPr>
        <w:pStyle w:val="Citation"/>
        <w:ind w:left="1440"/>
        <w:rPr>
          <w:lang w:val="fr-CA"/>
        </w:rPr>
      </w:pPr>
    </w:p>
    <w:p w:rsidR="008C3D0D" w:rsidRPr="00393D65" w:rsidRDefault="008C3D0D" w:rsidP="008C3D0D">
      <w:pPr>
        <w:pStyle w:val="Citation"/>
        <w:ind w:left="1440"/>
        <w:rPr>
          <w:lang w:val="fr-CA"/>
        </w:rPr>
      </w:pPr>
      <w:r w:rsidRPr="00393D65">
        <w:rPr>
          <w:lang w:val="fr-CA"/>
        </w:rPr>
        <w:t xml:space="preserve">(ii)  toute disposition du </w:t>
      </w:r>
      <w:r w:rsidRPr="00393D65">
        <w:rPr>
          <w:i/>
          <w:lang w:val="fr-CA"/>
        </w:rPr>
        <w:t>Régime de pensions du Canada</w:t>
      </w:r>
      <w:r w:rsidRPr="00393D65">
        <w:rPr>
          <w:lang w:val="fr-CA"/>
        </w:rPr>
        <w:t xml:space="preserve"> ou de la </w:t>
      </w:r>
      <w:r w:rsidRPr="00393D65">
        <w:rPr>
          <w:i/>
          <w:lang w:val="fr-CA"/>
        </w:rPr>
        <w:t>Loi sur l</w:t>
      </w:r>
      <w:r w:rsidR="00C03762">
        <w:rPr>
          <w:i/>
          <w:lang w:val="fr-CA"/>
        </w:rPr>
        <w:t>’</w:t>
      </w:r>
      <w:r w:rsidRPr="00393D65">
        <w:rPr>
          <w:i/>
          <w:lang w:val="fr-CA"/>
        </w:rPr>
        <w:t>assurance</w:t>
      </w:r>
      <w:r w:rsidRPr="00393D65">
        <w:rPr>
          <w:i/>
          <w:lang w:val="fr-CA"/>
        </w:rPr>
        <w:noBreakHyphen/>
        <w:t>emploi</w:t>
      </w:r>
      <w:r w:rsidRPr="00393D65">
        <w:rPr>
          <w:lang w:val="fr-CA"/>
        </w:rPr>
        <w:t xml:space="preserve"> qui renvoie au paragraphe 224(1.2) de la </w:t>
      </w:r>
      <w:r w:rsidRPr="00393D65">
        <w:rPr>
          <w:i/>
          <w:lang w:val="fr-CA"/>
        </w:rPr>
        <w:t>Loi de l</w:t>
      </w:r>
      <w:r w:rsidR="00C03762">
        <w:rPr>
          <w:i/>
          <w:lang w:val="fr-CA"/>
        </w:rPr>
        <w:t>’</w:t>
      </w:r>
      <w:r w:rsidRPr="00393D65">
        <w:rPr>
          <w:i/>
          <w:lang w:val="fr-CA"/>
        </w:rPr>
        <w:t>impôt sur le revenu</w:t>
      </w:r>
      <w:r w:rsidRPr="00393D65">
        <w:rPr>
          <w:lang w:val="fr-CA"/>
        </w:rPr>
        <w:t xml:space="preserve"> et qui prévoit la perception d</w:t>
      </w:r>
      <w:r w:rsidR="00C03762">
        <w:rPr>
          <w:lang w:val="fr-CA"/>
        </w:rPr>
        <w:t>’</w:t>
      </w:r>
      <w:r w:rsidRPr="00393D65">
        <w:rPr>
          <w:lang w:val="fr-CA"/>
        </w:rPr>
        <w:t xml:space="preserve">une cotisation, au sens du </w:t>
      </w:r>
      <w:r w:rsidRPr="00393D65">
        <w:rPr>
          <w:i/>
          <w:lang w:val="fr-CA"/>
        </w:rPr>
        <w:t>Régime de pensions du Canada</w:t>
      </w:r>
      <w:r w:rsidRPr="00393D65">
        <w:rPr>
          <w:lang w:val="fr-CA"/>
        </w:rPr>
        <w:t>, ou d</w:t>
      </w:r>
      <w:r w:rsidR="00C03762">
        <w:rPr>
          <w:lang w:val="fr-CA"/>
        </w:rPr>
        <w:t>’</w:t>
      </w:r>
      <w:r w:rsidRPr="00393D65">
        <w:rPr>
          <w:lang w:val="fr-CA"/>
        </w:rPr>
        <w:t>une cotisation ouvrière ou d</w:t>
      </w:r>
      <w:r w:rsidR="00C03762">
        <w:rPr>
          <w:lang w:val="fr-CA"/>
        </w:rPr>
        <w:t>’</w:t>
      </w:r>
      <w:r w:rsidRPr="00393D65">
        <w:rPr>
          <w:lang w:val="fr-CA"/>
        </w:rPr>
        <w:t xml:space="preserve">une cotisation patronale, au sens de la </w:t>
      </w:r>
      <w:r w:rsidRPr="00393D65">
        <w:rPr>
          <w:i/>
          <w:lang w:val="fr-CA"/>
        </w:rPr>
        <w:t>Loi sur l</w:t>
      </w:r>
      <w:r w:rsidR="00C03762">
        <w:rPr>
          <w:i/>
          <w:lang w:val="fr-CA"/>
        </w:rPr>
        <w:t>’</w:t>
      </w:r>
      <w:r w:rsidRPr="00393D65">
        <w:rPr>
          <w:i/>
          <w:lang w:val="fr-CA"/>
        </w:rPr>
        <w:t>assurance</w:t>
      </w:r>
      <w:r w:rsidRPr="00393D65">
        <w:rPr>
          <w:i/>
          <w:lang w:val="fr-CA"/>
        </w:rPr>
        <w:noBreakHyphen/>
        <w:t>emploi</w:t>
      </w:r>
      <w:r w:rsidRPr="00393D65">
        <w:rPr>
          <w:lang w:val="fr-CA"/>
        </w:rPr>
        <w:t>, ainsi que des intérêts, pénalités et autres charges afférents,</w:t>
      </w:r>
    </w:p>
    <w:p w:rsidR="008C3D0D" w:rsidRPr="00393D65" w:rsidRDefault="008C3D0D" w:rsidP="008C3D0D">
      <w:pPr>
        <w:pStyle w:val="Citation"/>
        <w:ind w:left="1440"/>
        <w:rPr>
          <w:lang w:val="fr-CA"/>
        </w:rPr>
      </w:pPr>
    </w:p>
    <w:p w:rsidR="008C3D0D" w:rsidRPr="00393D65" w:rsidRDefault="008C3D0D" w:rsidP="008C3D0D">
      <w:pPr>
        <w:pStyle w:val="Citation"/>
        <w:ind w:left="1440"/>
        <w:rPr>
          <w:lang w:val="fr-CA"/>
        </w:rPr>
      </w:pPr>
      <w:r w:rsidRPr="00393D65">
        <w:rPr>
          <w:lang w:val="fr-CA"/>
        </w:rPr>
        <w:t>(iii)  toute disposition législative provinciale dont l</w:t>
      </w:r>
      <w:r w:rsidR="00C03762">
        <w:rPr>
          <w:lang w:val="fr-CA"/>
        </w:rPr>
        <w:t>’</w:t>
      </w:r>
      <w:r w:rsidRPr="00393D65">
        <w:rPr>
          <w:lang w:val="fr-CA"/>
        </w:rPr>
        <w:t xml:space="preserve">objet est semblable à celui du paragraphe 224(1.2) de la </w:t>
      </w:r>
      <w:r w:rsidRPr="00393D65">
        <w:rPr>
          <w:i/>
          <w:lang w:val="fr-CA"/>
        </w:rPr>
        <w:t>Loi de l</w:t>
      </w:r>
      <w:r w:rsidR="00C03762">
        <w:rPr>
          <w:i/>
          <w:lang w:val="fr-CA"/>
        </w:rPr>
        <w:t>’</w:t>
      </w:r>
      <w:r w:rsidRPr="00393D65">
        <w:rPr>
          <w:i/>
          <w:lang w:val="fr-CA"/>
        </w:rPr>
        <w:t>impôt sur le revenu</w:t>
      </w:r>
      <w:r w:rsidRPr="00393D65">
        <w:rPr>
          <w:lang w:val="fr-CA"/>
        </w:rPr>
        <w:t>, ou qui renvoie à ce paragraphe, et qui prévoit la perception d</w:t>
      </w:r>
      <w:r w:rsidR="00C03762">
        <w:rPr>
          <w:lang w:val="fr-CA"/>
        </w:rPr>
        <w:t>’</w:t>
      </w:r>
      <w:r w:rsidRPr="00393D65">
        <w:rPr>
          <w:lang w:val="fr-CA"/>
        </w:rPr>
        <w:t>une somme, ainsi que des intérêts, pénalités et autres charges afférents, laquelle :</w:t>
      </w:r>
    </w:p>
    <w:p w:rsidR="008C3D0D" w:rsidRPr="00393D65" w:rsidRDefault="008C3D0D" w:rsidP="008C3D0D">
      <w:pPr>
        <w:pStyle w:val="Citation"/>
        <w:ind w:left="2160"/>
        <w:rPr>
          <w:lang w:val="fr-CA"/>
        </w:rPr>
      </w:pPr>
    </w:p>
    <w:p w:rsidR="008C3D0D" w:rsidRPr="00393D65" w:rsidRDefault="008C3D0D" w:rsidP="008C3D0D">
      <w:pPr>
        <w:pStyle w:val="Citation"/>
        <w:ind w:left="2160"/>
        <w:rPr>
          <w:lang w:val="fr-CA"/>
        </w:rPr>
      </w:pPr>
      <w:r w:rsidRPr="00393D65">
        <w:rPr>
          <w:lang w:val="fr-CA"/>
        </w:rPr>
        <w:t>(A)  soit a été retenue par une personne sur un paiement effectué à une autre personne, ou déduite d</w:t>
      </w:r>
      <w:r w:rsidR="00C03762">
        <w:rPr>
          <w:lang w:val="fr-CA"/>
        </w:rPr>
        <w:t>’</w:t>
      </w:r>
      <w:r w:rsidRPr="00393D65">
        <w:rPr>
          <w:lang w:val="fr-CA"/>
        </w:rPr>
        <w:t>un tel paiement, et se rapporte à un impôt semblable, de par sa nature, à l</w:t>
      </w:r>
      <w:r w:rsidR="00C03762">
        <w:rPr>
          <w:lang w:val="fr-CA"/>
        </w:rPr>
        <w:t>’</w:t>
      </w:r>
      <w:r w:rsidRPr="00393D65">
        <w:rPr>
          <w:lang w:val="fr-CA"/>
        </w:rPr>
        <w:t xml:space="preserve">impôt sur le revenu auquel les particuliers sont assujettis en vertu de la </w:t>
      </w:r>
      <w:r w:rsidRPr="00393D65">
        <w:rPr>
          <w:i/>
          <w:lang w:val="fr-CA"/>
        </w:rPr>
        <w:t>Loi de l</w:t>
      </w:r>
      <w:r w:rsidR="00C03762">
        <w:rPr>
          <w:i/>
          <w:lang w:val="fr-CA"/>
        </w:rPr>
        <w:t>’</w:t>
      </w:r>
      <w:r w:rsidRPr="00393D65">
        <w:rPr>
          <w:i/>
          <w:lang w:val="fr-CA"/>
        </w:rPr>
        <w:t>impôt sur le revenu</w:t>
      </w:r>
      <w:r w:rsidRPr="00393D65">
        <w:rPr>
          <w:lang w:val="fr-CA"/>
        </w:rPr>
        <w:t>,</w:t>
      </w:r>
    </w:p>
    <w:p w:rsidR="008C3D0D" w:rsidRPr="00393D65" w:rsidRDefault="008C3D0D" w:rsidP="008C3D0D">
      <w:pPr>
        <w:pStyle w:val="Citation"/>
        <w:ind w:left="2160"/>
        <w:rPr>
          <w:lang w:val="fr-CA"/>
        </w:rPr>
      </w:pPr>
    </w:p>
    <w:p w:rsidR="008C3D0D" w:rsidRPr="00393D65" w:rsidRDefault="008C3D0D" w:rsidP="008C3D0D">
      <w:pPr>
        <w:pStyle w:val="Citation"/>
        <w:ind w:left="2160"/>
        <w:rPr>
          <w:lang w:val="fr-CA"/>
        </w:rPr>
      </w:pPr>
      <w:r w:rsidRPr="00393D65">
        <w:rPr>
          <w:lang w:val="fr-CA"/>
        </w:rPr>
        <w:t>(B)  soit est de même nature qu</w:t>
      </w:r>
      <w:r w:rsidR="00C03762">
        <w:rPr>
          <w:lang w:val="fr-CA"/>
        </w:rPr>
        <w:t>’</w:t>
      </w:r>
      <w:r w:rsidRPr="00393D65">
        <w:rPr>
          <w:lang w:val="fr-CA"/>
        </w:rPr>
        <w:t xml:space="preserve">une cotisation prévue par le </w:t>
      </w:r>
      <w:r w:rsidRPr="00393D65">
        <w:rPr>
          <w:i/>
          <w:lang w:val="fr-CA"/>
        </w:rPr>
        <w:t>Régime de pensions du Canada</w:t>
      </w:r>
      <w:r w:rsidRPr="00393D65">
        <w:rPr>
          <w:lang w:val="fr-CA"/>
        </w:rPr>
        <w:t>, si la province est une province instituant un régime général de pensions au sens du paragraphe 3(1) de cette loi et si la loi provinciale institue un régime provincial de pensions au sens de ce paragraphe;</w:t>
      </w:r>
    </w:p>
    <w:p w:rsidR="008C3D0D" w:rsidRPr="00393D65" w:rsidRDefault="008C3D0D" w:rsidP="008C3D0D">
      <w:pPr>
        <w:pStyle w:val="Citation"/>
        <w:ind w:left="720"/>
        <w:rPr>
          <w:lang w:val="fr-CA"/>
        </w:rPr>
      </w:pPr>
    </w:p>
    <w:p w:rsidR="008C3D0D" w:rsidRPr="00393D65" w:rsidRDefault="008C3D0D" w:rsidP="008C3D0D">
      <w:pPr>
        <w:pStyle w:val="Citation"/>
        <w:ind w:left="720"/>
        <w:rPr>
          <w:lang w:val="fr-CA"/>
        </w:rPr>
      </w:pPr>
      <w:r w:rsidRPr="00393D65">
        <w:rPr>
          <w:i/>
          <w:lang w:val="fr-CA"/>
        </w:rPr>
        <w:t>b</w:t>
      </w:r>
      <w:r w:rsidRPr="00393D65">
        <w:rPr>
          <w:lang w:val="fr-CA"/>
        </w:rPr>
        <w:t>)  un autre créancier a ou acquiert le droit de réaliser sa garantie sur un bien qui pourrait être réclamé par Sa Majesté dans l</w:t>
      </w:r>
      <w:r w:rsidR="00C03762">
        <w:rPr>
          <w:lang w:val="fr-CA"/>
        </w:rPr>
        <w:t>’</w:t>
      </w:r>
      <w:r w:rsidRPr="00393D65">
        <w:rPr>
          <w:lang w:val="fr-CA"/>
        </w:rPr>
        <w:t>exercice des droits que lui confère l</w:t>
      </w:r>
      <w:r w:rsidR="00C03762">
        <w:rPr>
          <w:lang w:val="fr-CA"/>
        </w:rPr>
        <w:t>’</w:t>
      </w:r>
      <w:r w:rsidRPr="00393D65">
        <w:rPr>
          <w:lang w:val="fr-CA"/>
        </w:rPr>
        <w:t>une des dispositions suivantes :</w:t>
      </w:r>
    </w:p>
    <w:p w:rsidR="008C3D0D" w:rsidRPr="00393D65" w:rsidRDefault="008C3D0D" w:rsidP="008C3D0D">
      <w:pPr>
        <w:pStyle w:val="Citation"/>
        <w:ind w:left="720"/>
        <w:rPr>
          <w:lang w:val="fr-CA"/>
        </w:rPr>
      </w:pPr>
    </w:p>
    <w:p w:rsidR="008C3D0D" w:rsidRPr="00393D65" w:rsidRDefault="008C3D0D" w:rsidP="008C3D0D">
      <w:pPr>
        <w:pStyle w:val="Citation"/>
        <w:ind w:left="1440"/>
        <w:rPr>
          <w:lang w:val="fr-CA"/>
        </w:rPr>
      </w:pPr>
      <w:r w:rsidRPr="00393D65">
        <w:rPr>
          <w:lang w:val="fr-CA"/>
        </w:rPr>
        <w:t xml:space="preserve">(i)  le paragraphe 224(1.2) de la </w:t>
      </w:r>
      <w:r w:rsidRPr="00393D65">
        <w:rPr>
          <w:i/>
          <w:lang w:val="fr-CA"/>
        </w:rPr>
        <w:t>Loi de l</w:t>
      </w:r>
      <w:r w:rsidR="00C03762">
        <w:rPr>
          <w:i/>
          <w:lang w:val="fr-CA"/>
        </w:rPr>
        <w:t>’</w:t>
      </w:r>
      <w:r w:rsidRPr="00393D65">
        <w:rPr>
          <w:i/>
          <w:lang w:val="fr-CA"/>
        </w:rPr>
        <w:t>impôt sur le revenu</w:t>
      </w:r>
      <w:r w:rsidRPr="00393D65">
        <w:rPr>
          <w:lang w:val="fr-CA"/>
        </w:rPr>
        <w:t>,</w:t>
      </w:r>
    </w:p>
    <w:p w:rsidR="008C3D0D" w:rsidRPr="00393D65" w:rsidRDefault="008C3D0D" w:rsidP="008C3D0D">
      <w:pPr>
        <w:pStyle w:val="Citation"/>
        <w:ind w:left="1440"/>
        <w:rPr>
          <w:lang w:val="fr-CA"/>
        </w:rPr>
      </w:pPr>
    </w:p>
    <w:p w:rsidR="008C3D0D" w:rsidRPr="00393D65" w:rsidRDefault="008C3D0D" w:rsidP="008C3D0D">
      <w:pPr>
        <w:pStyle w:val="Citation"/>
        <w:ind w:left="1440"/>
        <w:rPr>
          <w:lang w:val="fr-CA"/>
        </w:rPr>
      </w:pPr>
      <w:r w:rsidRPr="00393D65">
        <w:rPr>
          <w:lang w:val="fr-CA"/>
        </w:rPr>
        <w:t xml:space="preserve">(ii)  toute disposition du </w:t>
      </w:r>
      <w:r w:rsidRPr="00393D65">
        <w:rPr>
          <w:i/>
          <w:lang w:val="fr-CA"/>
        </w:rPr>
        <w:t>Régime de pensions du Canada</w:t>
      </w:r>
      <w:r w:rsidRPr="00393D65">
        <w:rPr>
          <w:lang w:val="fr-CA"/>
        </w:rPr>
        <w:t xml:space="preserve"> ou de la </w:t>
      </w:r>
      <w:r w:rsidRPr="00393D65">
        <w:rPr>
          <w:i/>
          <w:lang w:val="fr-CA"/>
        </w:rPr>
        <w:t>Loi sur l</w:t>
      </w:r>
      <w:r w:rsidR="00C03762">
        <w:rPr>
          <w:i/>
          <w:lang w:val="fr-CA"/>
        </w:rPr>
        <w:t>’</w:t>
      </w:r>
      <w:r w:rsidRPr="00393D65">
        <w:rPr>
          <w:i/>
          <w:lang w:val="fr-CA"/>
        </w:rPr>
        <w:t>assurance</w:t>
      </w:r>
      <w:r w:rsidRPr="00393D65">
        <w:rPr>
          <w:i/>
          <w:lang w:val="fr-CA"/>
        </w:rPr>
        <w:noBreakHyphen/>
        <w:t>emploi</w:t>
      </w:r>
      <w:r w:rsidRPr="00393D65">
        <w:rPr>
          <w:lang w:val="fr-CA"/>
        </w:rPr>
        <w:t xml:space="preserve"> qui renvoie au paragraphe 224(1.2) de la </w:t>
      </w:r>
      <w:r w:rsidRPr="00393D65">
        <w:rPr>
          <w:i/>
          <w:lang w:val="fr-CA"/>
        </w:rPr>
        <w:t>Loi de l</w:t>
      </w:r>
      <w:r w:rsidR="00C03762">
        <w:rPr>
          <w:i/>
          <w:lang w:val="fr-CA"/>
        </w:rPr>
        <w:t>’</w:t>
      </w:r>
      <w:r w:rsidRPr="00393D65">
        <w:rPr>
          <w:i/>
          <w:lang w:val="fr-CA"/>
        </w:rPr>
        <w:t>impôt sur le revenu</w:t>
      </w:r>
      <w:r w:rsidRPr="00393D65">
        <w:rPr>
          <w:lang w:val="fr-CA"/>
        </w:rPr>
        <w:t xml:space="preserve"> et qui prévoit la perception d</w:t>
      </w:r>
      <w:r w:rsidR="00C03762">
        <w:rPr>
          <w:lang w:val="fr-CA"/>
        </w:rPr>
        <w:t>’</w:t>
      </w:r>
      <w:r w:rsidRPr="00393D65">
        <w:rPr>
          <w:lang w:val="fr-CA"/>
        </w:rPr>
        <w:t xml:space="preserve">une cotisation, au sens du </w:t>
      </w:r>
      <w:r w:rsidRPr="00393D65">
        <w:rPr>
          <w:i/>
          <w:lang w:val="fr-CA"/>
        </w:rPr>
        <w:t>Régime de pensions du Canada</w:t>
      </w:r>
      <w:r w:rsidRPr="00393D65">
        <w:rPr>
          <w:lang w:val="fr-CA"/>
        </w:rPr>
        <w:t>, ou d</w:t>
      </w:r>
      <w:r w:rsidR="00C03762">
        <w:rPr>
          <w:lang w:val="fr-CA"/>
        </w:rPr>
        <w:t>’</w:t>
      </w:r>
      <w:r w:rsidRPr="00393D65">
        <w:rPr>
          <w:lang w:val="fr-CA"/>
        </w:rPr>
        <w:t>une cotisation ouvrière ou d</w:t>
      </w:r>
      <w:r w:rsidR="00C03762">
        <w:rPr>
          <w:lang w:val="fr-CA"/>
        </w:rPr>
        <w:t>’</w:t>
      </w:r>
      <w:r w:rsidRPr="00393D65">
        <w:rPr>
          <w:lang w:val="fr-CA"/>
        </w:rPr>
        <w:t xml:space="preserve">une cotisation patronale, au sens de la </w:t>
      </w:r>
      <w:r w:rsidRPr="00393D65">
        <w:rPr>
          <w:i/>
          <w:lang w:val="fr-CA"/>
        </w:rPr>
        <w:t>Loi sur l</w:t>
      </w:r>
      <w:r w:rsidR="00C03762">
        <w:rPr>
          <w:i/>
          <w:lang w:val="fr-CA"/>
        </w:rPr>
        <w:t>’</w:t>
      </w:r>
      <w:r w:rsidRPr="00393D65">
        <w:rPr>
          <w:i/>
          <w:lang w:val="fr-CA"/>
        </w:rPr>
        <w:t>assurance</w:t>
      </w:r>
      <w:r w:rsidRPr="00393D65">
        <w:rPr>
          <w:i/>
          <w:lang w:val="fr-CA"/>
        </w:rPr>
        <w:noBreakHyphen/>
        <w:t>emploi</w:t>
      </w:r>
      <w:r w:rsidRPr="00393D65">
        <w:rPr>
          <w:lang w:val="fr-CA"/>
        </w:rPr>
        <w:t>, ainsi que des intérêts, pénalités et autres charges afférents,</w:t>
      </w:r>
    </w:p>
    <w:p w:rsidR="008C3D0D" w:rsidRPr="00393D65" w:rsidRDefault="008C3D0D" w:rsidP="008C3D0D">
      <w:pPr>
        <w:pStyle w:val="Citation"/>
        <w:ind w:left="1440"/>
        <w:rPr>
          <w:lang w:val="fr-CA"/>
        </w:rPr>
      </w:pPr>
    </w:p>
    <w:p w:rsidR="008C3D0D" w:rsidRPr="00393D65" w:rsidRDefault="008C3D0D" w:rsidP="008C3D0D">
      <w:pPr>
        <w:pStyle w:val="Citation"/>
        <w:ind w:left="1440"/>
        <w:rPr>
          <w:lang w:val="fr-CA"/>
        </w:rPr>
      </w:pPr>
      <w:r w:rsidRPr="00393D65">
        <w:rPr>
          <w:lang w:val="fr-CA"/>
        </w:rPr>
        <w:t>(iii)  toute disposition législative provinciale dont l</w:t>
      </w:r>
      <w:r w:rsidR="00C03762">
        <w:rPr>
          <w:lang w:val="fr-CA"/>
        </w:rPr>
        <w:t>’</w:t>
      </w:r>
      <w:r w:rsidRPr="00393D65">
        <w:rPr>
          <w:lang w:val="fr-CA"/>
        </w:rPr>
        <w:t xml:space="preserve">objet est semblable à celui du paragraphe  224(1.2) de la </w:t>
      </w:r>
      <w:r w:rsidRPr="00393D65">
        <w:rPr>
          <w:i/>
          <w:lang w:val="fr-CA"/>
        </w:rPr>
        <w:t>Loi de l</w:t>
      </w:r>
      <w:r w:rsidR="00C03762">
        <w:rPr>
          <w:i/>
          <w:lang w:val="fr-CA"/>
        </w:rPr>
        <w:t>’</w:t>
      </w:r>
      <w:r w:rsidRPr="00393D65">
        <w:rPr>
          <w:i/>
          <w:lang w:val="fr-CA"/>
        </w:rPr>
        <w:t>impôt sur le revenu</w:t>
      </w:r>
      <w:r w:rsidRPr="00393D65">
        <w:rPr>
          <w:lang w:val="fr-CA"/>
        </w:rPr>
        <w:t>, ou qui renvoie à ce paragraphe, et qui prévoit la perception d</w:t>
      </w:r>
      <w:r w:rsidR="00C03762">
        <w:rPr>
          <w:lang w:val="fr-CA"/>
        </w:rPr>
        <w:t>’</w:t>
      </w:r>
      <w:r w:rsidRPr="00393D65">
        <w:rPr>
          <w:lang w:val="fr-CA"/>
        </w:rPr>
        <w:t>une somme, ainsi que des intérêts, pénalités et autres charges afférents, laquelle :</w:t>
      </w:r>
    </w:p>
    <w:p w:rsidR="008C3D0D" w:rsidRPr="00393D65" w:rsidRDefault="008C3D0D" w:rsidP="008C3D0D">
      <w:pPr>
        <w:pStyle w:val="Citation"/>
        <w:ind w:left="1440"/>
        <w:rPr>
          <w:lang w:val="fr-CA"/>
        </w:rPr>
      </w:pPr>
    </w:p>
    <w:p w:rsidR="008C3D0D" w:rsidRPr="00393D65" w:rsidRDefault="008C3D0D" w:rsidP="008C3D0D">
      <w:pPr>
        <w:pStyle w:val="Citation"/>
        <w:ind w:left="2160"/>
        <w:rPr>
          <w:lang w:val="fr-CA"/>
        </w:rPr>
      </w:pPr>
      <w:r w:rsidRPr="00393D65">
        <w:rPr>
          <w:lang w:val="fr-CA"/>
        </w:rPr>
        <w:t>(A)  soit a été retenue par une personne sur un paiement effectué à une autre personne, ou déduite d</w:t>
      </w:r>
      <w:r w:rsidR="00C03762">
        <w:rPr>
          <w:lang w:val="fr-CA"/>
        </w:rPr>
        <w:t>’</w:t>
      </w:r>
      <w:r w:rsidRPr="00393D65">
        <w:rPr>
          <w:lang w:val="fr-CA"/>
        </w:rPr>
        <w:t>un tel paiement, et se rapporte à un impôt semblable, de par sa nature, à l</w:t>
      </w:r>
      <w:r w:rsidR="00C03762">
        <w:rPr>
          <w:lang w:val="fr-CA"/>
        </w:rPr>
        <w:t>’</w:t>
      </w:r>
      <w:r w:rsidRPr="00393D65">
        <w:rPr>
          <w:lang w:val="fr-CA"/>
        </w:rPr>
        <w:t xml:space="preserve">impôt sur le revenu auquel les particuliers sont assujettis en vertu de la </w:t>
      </w:r>
      <w:r w:rsidRPr="00393D65">
        <w:rPr>
          <w:i/>
          <w:lang w:val="fr-CA"/>
        </w:rPr>
        <w:t>Loi de l</w:t>
      </w:r>
      <w:r w:rsidR="00C03762">
        <w:rPr>
          <w:i/>
          <w:lang w:val="fr-CA"/>
        </w:rPr>
        <w:t>’</w:t>
      </w:r>
      <w:r w:rsidRPr="00393D65">
        <w:rPr>
          <w:i/>
          <w:lang w:val="fr-CA"/>
        </w:rPr>
        <w:t>impôt sur le revenu</w:t>
      </w:r>
      <w:r w:rsidRPr="00393D65">
        <w:rPr>
          <w:lang w:val="fr-CA"/>
        </w:rPr>
        <w:t>,</w:t>
      </w:r>
    </w:p>
    <w:p w:rsidR="008C3D0D" w:rsidRPr="00393D65" w:rsidRDefault="008C3D0D" w:rsidP="008C3D0D">
      <w:pPr>
        <w:pStyle w:val="Citation"/>
        <w:ind w:left="2160"/>
        <w:rPr>
          <w:lang w:val="fr-CA"/>
        </w:rPr>
      </w:pPr>
    </w:p>
    <w:p w:rsidR="008C3D0D" w:rsidRPr="00393D65" w:rsidRDefault="008C3D0D" w:rsidP="008C3D0D">
      <w:pPr>
        <w:pStyle w:val="Citation"/>
        <w:ind w:left="2160"/>
        <w:rPr>
          <w:lang w:val="fr-CA"/>
        </w:rPr>
      </w:pPr>
      <w:r w:rsidRPr="00393D65">
        <w:rPr>
          <w:lang w:val="fr-CA"/>
        </w:rPr>
        <w:t>(B)  soit est de même nature qu</w:t>
      </w:r>
      <w:r w:rsidR="00C03762">
        <w:rPr>
          <w:lang w:val="fr-CA"/>
        </w:rPr>
        <w:t>’</w:t>
      </w:r>
      <w:r w:rsidRPr="00393D65">
        <w:rPr>
          <w:lang w:val="fr-CA"/>
        </w:rPr>
        <w:t xml:space="preserve">une cotisation prévue par le </w:t>
      </w:r>
      <w:r w:rsidRPr="00393D65">
        <w:rPr>
          <w:i/>
          <w:lang w:val="fr-CA"/>
        </w:rPr>
        <w:t>Régime de pensions du Canada</w:t>
      </w:r>
      <w:r w:rsidRPr="00393D65">
        <w:rPr>
          <w:lang w:val="fr-CA"/>
        </w:rPr>
        <w:t>, si la province est une province instituant un régime général de pensions au sens du paragraphe 3(1) de cette loi et si la loi provinciale institue un régime provincial de pensions au sens de ce paragraphe.</w:t>
      </w:r>
    </w:p>
    <w:p w:rsidR="008C3D0D" w:rsidRPr="00393D65" w:rsidRDefault="008C3D0D" w:rsidP="008C3D0D">
      <w:pPr>
        <w:pStyle w:val="Citation"/>
        <w:ind w:left="0"/>
        <w:rPr>
          <w:lang w:val="fr-CA"/>
        </w:rPr>
      </w:pPr>
    </w:p>
    <w:p w:rsidR="008C3D0D" w:rsidRPr="00393D65" w:rsidRDefault="008C3D0D" w:rsidP="008C3D0D">
      <w:pPr>
        <w:pStyle w:val="Citation"/>
        <w:ind w:left="0"/>
        <w:rPr>
          <w:lang w:val="fr-CA"/>
        </w:rPr>
      </w:pPr>
      <w:r w:rsidRPr="00393D65">
        <w:rPr>
          <w:lang w:val="fr-CA"/>
        </w:rPr>
        <w:tab/>
        <w:t>(3)  [Effet] L</w:t>
      </w:r>
      <w:r w:rsidR="00C03762">
        <w:rPr>
          <w:lang w:val="fr-CA"/>
        </w:rPr>
        <w:t>’</w:t>
      </w:r>
      <w:r w:rsidRPr="00393D65">
        <w:rPr>
          <w:lang w:val="fr-CA"/>
        </w:rPr>
        <w:t>ordonnance prévue à l</w:t>
      </w:r>
      <w:r w:rsidR="00C03762">
        <w:rPr>
          <w:lang w:val="fr-CA"/>
        </w:rPr>
        <w:t>’</w:t>
      </w:r>
      <w:r w:rsidRPr="00393D65">
        <w:rPr>
          <w:lang w:val="fr-CA"/>
        </w:rPr>
        <w:t>article 11.02, à l</w:t>
      </w:r>
      <w:r w:rsidR="00C03762">
        <w:rPr>
          <w:lang w:val="fr-CA"/>
        </w:rPr>
        <w:t>’</w:t>
      </w:r>
      <w:r w:rsidRPr="00393D65">
        <w:rPr>
          <w:lang w:val="fr-CA"/>
        </w:rPr>
        <w:t>exception des passages de celle</w:t>
      </w:r>
      <w:r w:rsidRPr="00393D65">
        <w:rPr>
          <w:lang w:val="fr-CA"/>
        </w:rPr>
        <w:noBreakHyphen/>
        <w:t>ci qui suspendent l</w:t>
      </w:r>
      <w:r w:rsidR="00C03762">
        <w:rPr>
          <w:lang w:val="fr-CA"/>
        </w:rPr>
        <w:t>’</w:t>
      </w:r>
      <w:r w:rsidRPr="00393D65">
        <w:rPr>
          <w:lang w:val="fr-CA"/>
        </w:rPr>
        <w:t>exercice des droits de Sa Majesté visés aux alinéas (1)</w:t>
      </w:r>
      <w:r w:rsidRPr="00393D65">
        <w:rPr>
          <w:i/>
          <w:lang w:val="fr-CA"/>
        </w:rPr>
        <w:t>a</w:t>
      </w:r>
      <w:r w:rsidRPr="00393D65">
        <w:rPr>
          <w:lang w:val="fr-CA"/>
        </w:rPr>
        <w:t xml:space="preserve">) ou </w:t>
      </w:r>
      <w:r w:rsidRPr="00393D65">
        <w:rPr>
          <w:i/>
          <w:lang w:val="fr-CA"/>
        </w:rPr>
        <w:t>b</w:t>
      </w:r>
      <w:r w:rsidRPr="00393D65">
        <w:rPr>
          <w:lang w:val="fr-CA"/>
        </w:rPr>
        <w:t>), n</w:t>
      </w:r>
      <w:r w:rsidR="00C03762">
        <w:rPr>
          <w:lang w:val="fr-CA"/>
        </w:rPr>
        <w:t>’</w:t>
      </w:r>
      <w:r w:rsidRPr="00393D65">
        <w:rPr>
          <w:lang w:val="fr-CA"/>
        </w:rPr>
        <w:t>a pas pour effet de porter atteinte à l</w:t>
      </w:r>
      <w:r w:rsidR="00C03762">
        <w:rPr>
          <w:lang w:val="fr-CA"/>
        </w:rPr>
        <w:t>’</w:t>
      </w:r>
      <w:r w:rsidRPr="00393D65">
        <w:rPr>
          <w:lang w:val="fr-CA"/>
        </w:rPr>
        <w:t>application des dispositions suivantes :</w:t>
      </w:r>
    </w:p>
    <w:p w:rsidR="008C3D0D" w:rsidRPr="00393D65" w:rsidRDefault="008C3D0D" w:rsidP="008C3D0D">
      <w:pPr>
        <w:pStyle w:val="Citation"/>
        <w:ind w:left="720"/>
        <w:rPr>
          <w:lang w:val="fr-CA"/>
        </w:rPr>
      </w:pPr>
    </w:p>
    <w:p w:rsidR="008C3D0D" w:rsidRPr="00393D65" w:rsidRDefault="008C3D0D" w:rsidP="008C3D0D">
      <w:pPr>
        <w:pStyle w:val="Citation"/>
        <w:ind w:left="720"/>
        <w:rPr>
          <w:lang w:val="fr-CA"/>
        </w:rPr>
      </w:pPr>
      <w:r w:rsidRPr="00393D65">
        <w:rPr>
          <w:i/>
          <w:lang w:val="fr-CA"/>
        </w:rPr>
        <w:t>a</w:t>
      </w:r>
      <w:r w:rsidRPr="00393D65">
        <w:rPr>
          <w:lang w:val="fr-CA"/>
        </w:rPr>
        <w:t xml:space="preserve">)  les paragraphes 224(1.2) et (1.3) de la </w:t>
      </w:r>
      <w:r w:rsidRPr="00393D65">
        <w:rPr>
          <w:i/>
          <w:lang w:val="fr-CA"/>
        </w:rPr>
        <w:t>Loi de l</w:t>
      </w:r>
      <w:r w:rsidR="00C03762">
        <w:rPr>
          <w:i/>
          <w:lang w:val="fr-CA"/>
        </w:rPr>
        <w:t>’</w:t>
      </w:r>
      <w:r w:rsidRPr="00393D65">
        <w:rPr>
          <w:i/>
          <w:lang w:val="fr-CA"/>
        </w:rPr>
        <w:t>impôt sur le revenu</w:t>
      </w:r>
      <w:r w:rsidRPr="00393D65">
        <w:rPr>
          <w:lang w:val="fr-CA"/>
        </w:rPr>
        <w:t>;</w:t>
      </w:r>
    </w:p>
    <w:p w:rsidR="008C3D0D" w:rsidRPr="00393D65" w:rsidRDefault="008C3D0D" w:rsidP="008C3D0D">
      <w:pPr>
        <w:pStyle w:val="Citation"/>
        <w:ind w:left="720"/>
        <w:rPr>
          <w:lang w:val="fr-CA"/>
        </w:rPr>
      </w:pPr>
    </w:p>
    <w:p w:rsidR="008C3D0D" w:rsidRPr="00393D65" w:rsidRDefault="008C3D0D" w:rsidP="008C3D0D">
      <w:pPr>
        <w:pStyle w:val="Citation"/>
        <w:ind w:left="720"/>
        <w:rPr>
          <w:lang w:val="fr-CA"/>
        </w:rPr>
      </w:pPr>
      <w:r w:rsidRPr="00393D65">
        <w:rPr>
          <w:i/>
          <w:lang w:val="fr-CA"/>
        </w:rPr>
        <w:lastRenderedPageBreak/>
        <w:t>b</w:t>
      </w:r>
      <w:r w:rsidRPr="00393D65">
        <w:rPr>
          <w:lang w:val="fr-CA"/>
        </w:rPr>
        <w:t xml:space="preserve">)  toute disposition du </w:t>
      </w:r>
      <w:r w:rsidRPr="00393D65">
        <w:rPr>
          <w:i/>
          <w:lang w:val="fr-CA"/>
        </w:rPr>
        <w:t>Régime de pensions du Canada</w:t>
      </w:r>
      <w:r w:rsidRPr="00393D65">
        <w:rPr>
          <w:lang w:val="fr-CA"/>
        </w:rPr>
        <w:t xml:space="preserve"> ou de la </w:t>
      </w:r>
      <w:r w:rsidRPr="00393D65">
        <w:rPr>
          <w:i/>
          <w:lang w:val="fr-CA"/>
        </w:rPr>
        <w:t>Loi sur l</w:t>
      </w:r>
      <w:r w:rsidR="00C03762">
        <w:rPr>
          <w:i/>
          <w:lang w:val="fr-CA"/>
        </w:rPr>
        <w:t>’</w:t>
      </w:r>
      <w:r w:rsidRPr="00393D65">
        <w:rPr>
          <w:i/>
          <w:lang w:val="fr-CA"/>
        </w:rPr>
        <w:t>assurance</w:t>
      </w:r>
      <w:r w:rsidRPr="00393D65">
        <w:rPr>
          <w:i/>
          <w:lang w:val="fr-CA"/>
        </w:rPr>
        <w:noBreakHyphen/>
        <w:t>emploi</w:t>
      </w:r>
      <w:r w:rsidRPr="00393D65">
        <w:rPr>
          <w:lang w:val="fr-CA"/>
        </w:rPr>
        <w:t xml:space="preserve"> qui renvoie au paragraphe 224(1.2) de la </w:t>
      </w:r>
      <w:r w:rsidRPr="00393D65">
        <w:rPr>
          <w:i/>
          <w:lang w:val="fr-CA"/>
        </w:rPr>
        <w:t>Loi de l</w:t>
      </w:r>
      <w:r w:rsidR="00C03762">
        <w:rPr>
          <w:i/>
          <w:lang w:val="fr-CA"/>
        </w:rPr>
        <w:t>’</w:t>
      </w:r>
      <w:r w:rsidRPr="00393D65">
        <w:rPr>
          <w:i/>
          <w:lang w:val="fr-CA"/>
        </w:rPr>
        <w:t>impôt sur le revenu</w:t>
      </w:r>
      <w:r w:rsidRPr="00393D65">
        <w:rPr>
          <w:lang w:val="fr-CA"/>
        </w:rPr>
        <w:t xml:space="preserve"> et qui prévoit la perception d</w:t>
      </w:r>
      <w:r w:rsidR="00C03762">
        <w:rPr>
          <w:lang w:val="fr-CA"/>
        </w:rPr>
        <w:t>’</w:t>
      </w:r>
      <w:r w:rsidRPr="00393D65">
        <w:rPr>
          <w:lang w:val="fr-CA"/>
        </w:rPr>
        <w:t xml:space="preserve">une cotisation, au sens du </w:t>
      </w:r>
      <w:r w:rsidRPr="00393D65">
        <w:rPr>
          <w:i/>
          <w:lang w:val="fr-CA"/>
        </w:rPr>
        <w:t>Régime de pensions du Canada</w:t>
      </w:r>
      <w:r w:rsidRPr="00393D65">
        <w:rPr>
          <w:lang w:val="fr-CA"/>
        </w:rPr>
        <w:t>, ou d</w:t>
      </w:r>
      <w:r w:rsidR="00C03762">
        <w:rPr>
          <w:lang w:val="fr-CA"/>
        </w:rPr>
        <w:t>’</w:t>
      </w:r>
      <w:r w:rsidRPr="00393D65">
        <w:rPr>
          <w:lang w:val="fr-CA"/>
        </w:rPr>
        <w:t>une cotisation ouvrière ou d</w:t>
      </w:r>
      <w:r w:rsidR="00C03762">
        <w:rPr>
          <w:lang w:val="fr-CA"/>
        </w:rPr>
        <w:t>’</w:t>
      </w:r>
      <w:r w:rsidRPr="00393D65">
        <w:rPr>
          <w:lang w:val="fr-CA"/>
        </w:rPr>
        <w:t xml:space="preserve">une cotisation patronale, au sens de la </w:t>
      </w:r>
      <w:r w:rsidRPr="00393D65">
        <w:rPr>
          <w:i/>
          <w:lang w:val="fr-CA"/>
        </w:rPr>
        <w:t>Loi sur l</w:t>
      </w:r>
      <w:r w:rsidR="00C03762">
        <w:rPr>
          <w:i/>
          <w:lang w:val="fr-CA"/>
        </w:rPr>
        <w:t>’</w:t>
      </w:r>
      <w:r w:rsidRPr="00393D65">
        <w:rPr>
          <w:i/>
          <w:lang w:val="fr-CA"/>
        </w:rPr>
        <w:t>assurance</w:t>
      </w:r>
      <w:r w:rsidRPr="00393D65">
        <w:rPr>
          <w:i/>
          <w:lang w:val="fr-CA"/>
        </w:rPr>
        <w:noBreakHyphen/>
        <w:t>emploi</w:t>
      </w:r>
      <w:r w:rsidRPr="00393D65">
        <w:rPr>
          <w:lang w:val="fr-CA"/>
        </w:rPr>
        <w:t>, ainsi que des intérêts, pénalités et autres charges afférents;</w:t>
      </w:r>
    </w:p>
    <w:p w:rsidR="008C3D0D" w:rsidRPr="00393D65" w:rsidRDefault="008C3D0D" w:rsidP="008C3D0D">
      <w:pPr>
        <w:pStyle w:val="Citation"/>
        <w:ind w:left="720"/>
        <w:rPr>
          <w:lang w:val="fr-CA"/>
        </w:rPr>
      </w:pPr>
    </w:p>
    <w:p w:rsidR="008C3D0D" w:rsidRPr="00393D65" w:rsidRDefault="008C3D0D" w:rsidP="008C3D0D">
      <w:pPr>
        <w:pStyle w:val="Citation"/>
        <w:ind w:left="720"/>
        <w:rPr>
          <w:lang w:val="fr-CA"/>
        </w:rPr>
      </w:pPr>
      <w:r w:rsidRPr="00393D65">
        <w:rPr>
          <w:i/>
          <w:lang w:val="fr-CA"/>
        </w:rPr>
        <w:t>c</w:t>
      </w:r>
      <w:r w:rsidRPr="00393D65">
        <w:rPr>
          <w:lang w:val="fr-CA"/>
        </w:rPr>
        <w:t>)  toute disposition législative provinciale dont l</w:t>
      </w:r>
      <w:r w:rsidR="00C03762">
        <w:rPr>
          <w:lang w:val="fr-CA"/>
        </w:rPr>
        <w:t>’</w:t>
      </w:r>
      <w:r w:rsidRPr="00393D65">
        <w:rPr>
          <w:lang w:val="fr-CA"/>
        </w:rPr>
        <w:t xml:space="preserve">objet est semblable à celui du paragraphe 224(1.2) de la </w:t>
      </w:r>
      <w:r w:rsidRPr="00393D65">
        <w:rPr>
          <w:i/>
          <w:lang w:val="fr-CA"/>
        </w:rPr>
        <w:t>Loi de l</w:t>
      </w:r>
      <w:r w:rsidR="00C03762">
        <w:rPr>
          <w:i/>
          <w:lang w:val="fr-CA"/>
        </w:rPr>
        <w:t>’</w:t>
      </w:r>
      <w:r w:rsidRPr="00393D65">
        <w:rPr>
          <w:i/>
          <w:lang w:val="fr-CA"/>
        </w:rPr>
        <w:t>impôt sur le revenu</w:t>
      </w:r>
      <w:r w:rsidRPr="00393D65">
        <w:rPr>
          <w:lang w:val="fr-CA"/>
        </w:rPr>
        <w:t>, ou qui renvoie à ce paragraphe, et qui prévoit la perception d</w:t>
      </w:r>
      <w:r w:rsidR="00C03762">
        <w:rPr>
          <w:lang w:val="fr-CA"/>
        </w:rPr>
        <w:t>’</w:t>
      </w:r>
      <w:r w:rsidRPr="00393D65">
        <w:rPr>
          <w:lang w:val="fr-CA"/>
        </w:rPr>
        <w:t>une somme, ainsi que des intérêts, pénalités et autres charges afférents, laquelle :</w:t>
      </w:r>
    </w:p>
    <w:p w:rsidR="008C3D0D" w:rsidRPr="00393D65" w:rsidRDefault="008C3D0D" w:rsidP="008C3D0D">
      <w:pPr>
        <w:pStyle w:val="Citation"/>
        <w:ind w:left="720"/>
        <w:rPr>
          <w:lang w:val="fr-CA"/>
        </w:rPr>
      </w:pPr>
    </w:p>
    <w:p w:rsidR="008C3D0D" w:rsidRPr="00393D65" w:rsidRDefault="008C3D0D" w:rsidP="008C3D0D">
      <w:pPr>
        <w:pStyle w:val="Citation"/>
        <w:ind w:left="1440"/>
        <w:rPr>
          <w:lang w:val="fr-CA"/>
        </w:rPr>
      </w:pPr>
      <w:r w:rsidRPr="00393D65">
        <w:rPr>
          <w:lang w:val="fr-CA"/>
        </w:rPr>
        <w:t>(i)  soit a été retenue par une personne sur un paiement effectué à une autre personne, ou déduite d</w:t>
      </w:r>
      <w:r w:rsidR="00C03762">
        <w:rPr>
          <w:lang w:val="fr-CA"/>
        </w:rPr>
        <w:t>’</w:t>
      </w:r>
      <w:r w:rsidRPr="00393D65">
        <w:rPr>
          <w:lang w:val="fr-CA"/>
        </w:rPr>
        <w:t>un tel paiement, et se rapporte à un impôt semblable, de par sa nature, à l</w:t>
      </w:r>
      <w:r w:rsidR="00C03762">
        <w:rPr>
          <w:lang w:val="fr-CA"/>
        </w:rPr>
        <w:t>’</w:t>
      </w:r>
      <w:r w:rsidRPr="00393D65">
        <w:rPr>
          <w:lang w:val="fr-CA"/>
        </w:rPr>
        <w:t xml:space="preserve">impôt sur le revenu auquel les particuliers sont assujettis en vertu de la </w:t>
      </w:r>
      <w:r w:rsidRPr="00393D65">
        <w:rPr>
          <w:i/>
          <w:lang w:val="fr-CA"/>
        </w:rPr>
        <w:t>Loi de l</w:t>
      </w:r>
      <w:r w:rsidR="00C03762">
        <w:rPr>
          <w:i/>
          <w:lang w:val="fr-CA"/>
        </w:rPr>
        <w:t>’</w:t>
      </w:r>
      <w:r w:rsidRPr="00393D65">
        <w:rPr>
          <w:i/>
          <w:lang w:val="fr-CA"/>
        </w:rPr>
        <w:t>impôt sur le revenu</w:t>
      </w:r>
      <w:r w:rsidRPr="00393D65">
        <w:rPr>
          <w:lang w:val="fr-CA"/>
        </w:rPr>
        <w:t>,</w:t>
      </w:r>
    </w:p>
    <w:p w:rsidR="008C3D0D" w:rsidRPr="00393D65" w:rsidRDefault="008C3D0D" w:rsidP="008C3D0D">
      <w:pPr>
        <w:pStyle w:val="Citation"/>
        <w:ind w:left="1440"/>
        <w:rPr>
          <w:lang w:val="fr-CA"/>
        </w:rPr>
      </w:pPr>
    </w:p>
    <w:p w:rsidR="008C3D0D" w:rsidRPr="00393D65" w:rsidRDefault="008C3D0D" w:rsidP="008C3D0D">
      <w:pPr>
        <w:pStyle w:val="Citation"/>
        <w:ind w:left="1440"/>
        <w:rPr>
          <w:lang w:val="fr-CA"/>
        </w:rPr>
      </w:pPr>
      <w:r w:rsidRPr="00393D65">
        <w:rPr>
          <w:lang w:val="fr-CA"/>
        </w:rPr>
        <w:t>(ii)  soit est de même nature qu</w:t>
      </w:r>
      <w:r w:rsidR="00C03762">
        <w:rPr>
          <w:lang w:val="fr-CA"/>
        </w:rPr>
        <w:t>’</w:t>
      </w:r>
      <w:r w:rsidRPr="00393D65">
        <w:rPr>
          <w:lang w:val="fr-CA"/>
        </w:rPr>
        <w:t xml:space="preserve">une cotisation prévue par le </w:t>
      </w:r>
      <w:r w:rsidRPr="00393D65">
        <w:rPr>
          <w:i/>
          <w:lang w:val="fr-CA"/>
        </w:rPr>
        <w:t>Régime de pensions du Canada</w:t>
      </w:r>
      <w:r w:rsidRPr="00393D65">
        <w:rPr>
          <w:lang w:val="fr-CA"/>
        </w:rPr>
        <w:t>, si la province est une province instituant un régime général de pensions au sens du paragraphe 3(1) de cette loi et si la loi provinciale institue un régime provincial de pensions au sens de ce paragraphe.</w:t>
      </w:r>
    </w:p>
    <w:p w:rsidR="008C3D0D" w:rsidRPr="00393D65" w:rsidRDefault="008C3D0D" w:rsidP="008C3D0D">
      <w:pPr>
        <w:pStyle w:val="Citation"/>
        <w:ind w:left="0"/>
        <w:rPr>
          <w:lang w:val="fr-CA"/>
        </w:rPr>
      </w:pPr>
    </w:p>
    <w:p w:rsidR="008C3D0D" w:rsidRPr="00393D65" w:rsidRDefault="008C3D0D" w:rsidP="008C3D0D">
      <w:pPr>
        <w:pStyle w:val="Citation"/>
        <w:ind w:left="0"/>
        <w:rPr>
          <w:lang w:val="fr-CA"/>
        </w:rPr>
      </w:pPr>
      <w:r w:rsidRPr="00393D65">
        <w:rPr>
          <w:lang w:val="fr-CA"/>
        </w:rPr>
        <w:t>Pour l</w:t>
      </w:r>
      <w:r w:rsidR="00C03762">
        <w:rPr>
          <w:lang w:val="fr-CA"/>
        </w:rPr>
        <w:t>’</w:t>
      </w:r>
      <w:r w:rsidRPr="00393D65">
        <w:rPr>
          <w:lang w:val="fr-CA"/>
        </w:rPr>
        <w:t>application de l</w:t>
      </w:r>
      <w:r w:rsidR="00C03762">
        <w:rPr>
          <w:lang w:val="fr-CA"/>
        </w:rPr>
        <w:t>’</w:t>
      </w:r>
      <w:r w:rsidRPr="00393D65">
        <w:rPr>
          <w:lang w:val="fr-CA"/>
        </w:rPr>
        <w:t>alinéa </w:t>
      </w:r>
      <w:r w:rsidRPr="00393D65">
        <w:rPr>
          <w:i/>
          <w:lang w:val="fr-CA"/>
        </w:rPr>
        <w:t>c</w:t>
      </w:r>
      <w:r w:rsidRPr="00393D65">
        <w:rPr>
          <w:lang w:val="fr-CA"/>
        </w:rPr>
        <w:t>), la disposition législative provinciale en question est réputée avoir, à l</w:t>
      </w:r>
      <w:r w:rsidR="00C03762">
        <w:rPr>
          <w:lang w:val="fr-CA"/>
        </w:rPr>
        <w:t>’</w:t>
      </w:r>
      <w:r w:rsidRPr="00393D65">
        <w:rPr>
          <w:lang w:val="fr-CA"/>
        </w:rPr>
        <w:t xml:space="preserve">encontre de tout créancier et malgré tout texte législatif fédéral ou provincial et toute autre règle de droit, la même portée et le même effet que le paragraphe 224(1.2) de la </w:t>
      </w:r>
      <w:r w:rsidRPr="00393D65">
        <w:rPr>
          <w:i/>
          <w:lang w:val="fr-CA"/>
        </w:rPr>
        <w:t>Loi de l</w:t>
      </w:r>
      <w:r w:rsidR="00C03762">
        <w:rPr>
          <w:i/>
          <w:lang w:val="fr-CA"/>
        </w:rPr>
        <w:t>’</w:t>
      </w:r>
      <w:r w:rsidRPr="00393D65">
        <w:rPr>
          <w:i/>
          <w:lang w:val="fr-CA"/>
        </w:rPr>
        <w:t>impôt sur le revenu</w:t>
      </w:r>
      <w:r w:rsidRPr="00393D65">
        <w:rPr>
          <w:lang w:val="fr-CA"/>
        </w:rPr>
        <w:t xml:space="preserve"> quant à la somme visée au sous</w:t>
      </w:r>
      <w:r w:rsidRPr="00393D65">
        <w:rPr>
          <w:lang w:val="fr-CA"/>
        </w:rPr>
        <w:noBreakHyphen/>
        <w:t>alinéa </w:t>
      </w:r>
      <w:r w:rsidRPr="00393D65">
        <w:rPr>
          <w:i/>
          <w:lang w:val="fr-CA"/>
        </w:rPr>
        <w:t>c</w:t>
      </w:r>
      <w:r w:rsidRPr="00393D65">
        <w:rPr>
          <w:lang w:val="fr-CA"/>
        </w:rPr>
        <w:t xml:space="preserve">)(i), ou que le paragraphe 23(2) du </w:t>
      </w:r>
      <w:r w:rsidRPr="00393D65">
        <w:rPr>
          <w:i/>
          <w:lang w:val="fr-CA"/>
        </w:rPr>
        <w:t>Régime de pensions du Canada</w:t>
      </w:r>
      <w:r w:rsidRPr="00393D65">
        <w:rPr>
          <w:lang w:val="fr-CA"/>
        </w:rPr>
        <w:t xml:space="preserve"> quant à la somme visée au sous</w:t>
      </w:r>
      <w:r w:rsidRPr="00393D65">
        <w:rPr>
          <w:lang w:val="fr-CA"/>
        </w:rPr>
        <w:noBreakHyphen/>
        <w:t>alinéa </w:t>
      </w:r>
      <w:r w:rsidRPr="00393D65">
        <w:rPr>
          <w:i/>
          <w:lang w:val="fr-CA"/>
        </w:rPr>
        <w:t>c</w:t>
      </w:r>
      <w:r w:rsidRPr="00393D65">
        <w:rPr>
          <w:lang w:val="fr-CA"/>
        </w:rPr>
        <w:t>)(ii), et quant aux intérêts, pénalités et autres charges afférents, quelle que soit la garantie dont bénéficie le créancier.</w:t>
      </w:r>
    </w:p>
    <w:p w:rsidR="008C3D0D" w:rsidRPr="00393D65" w:rsidRDefault="008C3D0D" w:rsidP="008C3D0D">
      <w:pPr>
        <w:pStyle w:val="Citation"/>
        <w:ind w:left="0"/>
        <w:rPr>
          <w:lang w:val="fr-CA"/>
        </w:rPr>
      </w:pPr>
    </w:p>
    <w:p w:rsidR="008C3D0D" w:rsidRPr="00393D65" w:rsidRDefault="008C3D0D" w:rsidP="008C3D0D">
      <w:pPr>
        <w:pStyle w:val="Citation"/>
        <w:ind w:left="0"/>
        <w:rPr>
          <w:lang w:val="fr-CA"/>
        </w:rPr>
      </w:pPr>
    </w:p>
    <w:p w:rsidR="008C3D0D" w:rsidRPr="00393D65" w:rsidRDefault="008C3D0D" w:rsidP="008C3D0D">
      <w:pPr>
        <w:pStyle w:val="Citation"/>
        <w:ind w:left="0"/>
        <w:rPr>
          <w:lang w:val="fr-CA"/>
        </w:rPr>
      </w:pPr>
      <w:r w:rsidRPr="00393D65">
        <w:rPr>
          <w:b/>
          <w:lang w:val="fr-CA"/>
        </w:rPr>
        <w:tab/>
        <w:t>37. </w:t>
      </w:r>
      <w:r w:rsidRPr="00393D65">
        <w:rPr>
          <w:lang w:val="fr-CA"/>
        </w:rPr>
        <w:t>(1)  [Fiducies présumées] Sous réserve du paragraphe (2) et par dérogation à toute disposition législative fédérale ou provinciale ayant pour effet d</w:t>
      </w:r>
      <w:r w:rsidR="00C03762">
        <w:rPr>
          <w:lang w:val="fr-CA"/>
        </w:rPr>
        <w:t>’</w:t>
      </w:r>
      <w:r w:rsidRPr="00393D65">
        <w:rPr>
          <w:lang w:val="fr-CA"/>
        </w:rPr>
        <w:t>assimiler certains biens à des biens détenus en fiducie pour Sa Majesté, aucun des biens de la compagnie débitrice ne peut être considéré comme tel par le seul effet d</w:t>
      </w:r>
      <w:r w:rsidR="00C03762">
        <w:rPr>
          <w:lang w:val="fr-CA"/>
        </w:rPr>
        <w:t>’</w:t>
      </w:r>
      <w:r w:rsidRPr="00393D65">
        <w:rPr>
          <w:lang w:val="fr-CA"/>
        </w:rPr>
        <w:t>une telle disposition.</w:t>
      </w:r>
    </w:p>
    <w:p w:rsidR="008C3D0D" w:rsidRPr="00393D65" w:rsidRDefault="008C3D0D" w:rsidP="008C3D0D">
      <w:pPr>
        <w:pStyle w:val="Citation"/>
        <w:ind w:left="0"/>
        <w:rPr>
          <w:lang w:val="fr-CA"/>
        </w:rPr>
      </w:pPr>
    </w:p>
    <w:p w:rsidR="008C3D0D" w:rsidRPr="00393D65" w:rsidRDefault="008C3D0D" w:rsidP="008C3D0D">
      <w:pPr>
        <w:pStyle w:val="Citation"/>
        <w:ind w:left="0"/>
        <w:rPr>
          <w:lang w:val="fr-CA"/>
        </w:rPr>
      </w:pPr>
      <w:r w:rsidRPr="00393D65">
        <w:rPr>
          <w:lang w:val="fr-CA"/>
        </w:rPr>
        <w:tab/>
        <w:t>(2)  [Exceptions] Le paragraphe (1) ne s</w:t>
      </w:r>
      <w:r w:rsidR="00C03762">
        <w:rPr>
          <w:lang w:val="fr-CA"/>
        </w:rPr>
        <w:t>’</w:t>
      </w:r>
      <w:r w:rsidRPr="00393D65">
        <w:rPr>
          <w:lang w:val="fr-CA"/>
        </w:rPr>
        <w:t>applique pas à l</w:t>
      </w:r>
      <w:r w:rsidR="00C03762">
        <w:rPr>
          <w:lang w:val="fr-CA"/>
        </w:rPr>
        <w:t>’</w:t>
      </w:r>
      <w:r w:rsidRPr="00393D65">
        <w:rPr>
          <w:lang w:val="fr-CA"/>
        </w:rPr>
        <w:t xml:space="preserve">égard des sommes réputées détenues en fiducie aux termes des paragraphes 227(4) ou (4.1) de la </w:t>
      </w:r>
      <w:r w:rsidRPr="00393D65">
        <w:rPr>
          <w:i/>
          <w:lang w:val="fr-CA"/>
        </w:rPr>
        <w:t>Loi de l</w:t>
      </w:r>
      <w:r w:rsidR="00C03762">
        <w:rPr>
          <w:i/>
          <w:lang w:val="fr-CA"/>
        </w:rPr>
        <w:t>’</w:t>
      </w:r>
      <w:r w:rsidRPr="00393D65">
        <w:rPr>
          <w:i/>
          <w:lang w:val="fr-CA"/>
        </w:rPr>
        <w:t>impôt sur le revenu</w:t>
      </w:r>
      <w:r w:rsidRPr="00393D65">
        <w:rPr>
          <w:lang w:val="fr-CA"/>
        </w:rPr>
        <w:t xml:space="preserve">, des paragraphes 23(3) ou (4) du </w:t>
      </w:r>
      <w:r w:rsidRPr="00393D65">
        <w:rPr>
          <w:i/>
          <w:lang w:val="fr-CA"/>
        </w:rPr>
        <w:t>Régime de pensions du Canada</w:t>
      </w:r>
      <w:r w:rsidRPr="00393D65">
        <w:rPr>
          <w:lang w:val="fr-CA"/>
        </w:rPr>
        <w:t xml:space="preserve"> ou des paragraphes 86(2) ou (2.1) de la </w:t>
      </w:r>
      <w:r w:rsidRPr="00393D65">
        <w:rPr>
          <w:i/>
          <w:lang w:val="fr-CA"/>
        </w:rPr>
        <w:t>Loi sur l</w:t>
      </w:r>
      <w:r w:rsidR="00C03762">
        <w:rPr>
          <w:i/>
          <w:lang w:val="fr-CA"/>
        </w:rPr>
        <w:t>’</w:t>
      </w:r>
      <w:r w:rsidRPr="00393D65">
        <w:rPr>
          <w:i/>
          <w:lang w:val="fr-CA"/>
        </w:rPr>
        <w:t>assurance</w:t>
      </w:r>
      <w:r w:rsidRPr="00393D65">
        <w:rPr>
          <w:i/>
          <w:lang w:val="fr-CA"/>
        </w:rPr>
        <w:noBreakHyphen/>
        <w:t>emploi</w:t>
      </w:r>
      <w:r w:rsidRPr="00393D65">
        <w:rPr>
          <w:lang w:val="fr-CA"/>
        </w:rPr>
        <w:t xml:space="preserve"> (chacun étant appelé « disposition fédérale » au présent paragraphe) ou à l</w:t>
      </w:r>
      <w:r w:rsidR="00C03762">
        <w:rPr>
          <w:lang w:val="fr-CA"/>
        </w:rPr>
        <w:t>’</w:t>
      </w:r>
      <w:r w:rsidRPr="00393D65">
        <w:rPr>
          <w:lang w:val="fr-CA"/>
        </w:rPr>
        <w:t>égard des sommes réputées détenues en fiducie aux termes de toute loi d</w:t>
      </w:r>
      <w:r w:rsidR="00C03762">
        <w:rPr>
          <w:lang w:val="fr-CA"/>
        </w:rPr>
        <w:t>’</w:t>
      </w:r>
      <w:r w:rsidRPr="00393D65">
        <w:rPr>
          <w:lang w:val="fr-CA"/>
        </w:rPr>
        <w:t>une province créant une fiducie présumée dans le seul but d</w:t>
      </w:r>
      <w:r w:rsidR="00C03762">
        <w:rPr>
          <w:lang w:val="fr-CA"/>
        </w:rPr>
        <w:t>’</w:t>
      </w:r>
      <w:r w:rsidRPr="00393D65">
        <w:rPr>
          <w:lang w:val="fr-CA"/>
        </w:rPr>
        <w:t xml:space="preserve">assurer à Sa Majesté du chef de cette province la remise </w:t>
      </w:r>
      <w:r w:rsidRPr="00393D65">
        <w:rPr>
          <w:lang w:val="fr-CA"/>
        </w:rPr>
        <w:lastRenderedPageBreak/>
        <w:t>de sommes déduites ou retenues aux termes d</w:t>
      </w:r>
      <w:r w:rsidR="00C03762">
        <w:rPr>
          <w:lang w:val="fr-CA"/>
        </w:rPr>
        <w:t>’</w:t>
      </w:r>
      <w:r w:rsidRPr="00393D65">
        <w:rPr>
          <w:lang w:val="fr-CA"/>
        </w:rPr>
        <w:t>une loi de cette province, si, dans ce dernier cas, se réalise l</w:t>
      </w:r>
      <w:r w:rsidR="00C03762">
        <w:rPr>
          <w:lang w:val="fr-CA"/>
        </w:rPr>
        <w:t>’</w:t>
      </w:r>
      <w:r w:rsidRPr="00393D65">
        <w:rPr>
          <w:lang w:val="fr-CA"/>
        </w:rPr>
        <w:t>une des conditions suivantes :</w:t>
      </w:r>
    </w:p>
    <w:p w:rsidR="008C3D0D" w:rsidRPr="00393D65" w:rsidRDefault="008C3D0D" w:rsidP="008C3D0D">
      <w:pPr>
        <w:pStyle w:val="Citation"/>
        <w:ind w:left="0"/>
        <w:rPr>
          <w:lang w:val="fr-CA"/>
        </w:rPr>
      </w:pPr>
    </w:p>
    <w:p w:rsidR="008C3D0D" w:rsidRPr="00393D65" w:rsidRDefault="008C3D0D" w:rsidP="008C3D0D">
      <w:pPr>
        <w:pStyle w:val="Citation"/>
        <w:ind w:left="720"/>
        <w:rPr>
          <w:lang w:val="fr-CA"/>
        </w:rPr>
      </w:pPr>
      <w:r w:rsidRPr="00393D65">
        <w:rPr>
          <w:i/>
          <w:lang w:val="fr-CA"/>
        </w:rPr>
        <w:t>a</w:t>
      </w:r>
      <w:r w:rsidRPr="00393D65">
        <w:rPr>
          <w:lang w:val="fr-CA"/>
        </w:rPr>
        <w:t xml:space="preserve">)  la loi de cette province prévoit un impôt semblable, de par sa nature, à celui prévu par la </w:t>
      </w:r>
      <w:r w:rsidRPr="00393D65">
        <w:rPr>
          <w:i/>
          <w:lang w:val="fr-CA"/>
        </w:rPr>
        <w:t>Loi de l</w:t>
      </w:r>
      <w:r w:rsidR="00C03762">
        <w:rPr>
          <w:i/>
          <w:lang w:val="fr-CA"/>
        </w:rPr>
        <w:t>’</w:t>
      </w:r>
      <w:r w:rsidRPr="00393D65">
        <w:rPr>
          <w:i/>
          <w:lang w:val="fr-CA"/>
        </w:rPr>
        <w:t>impôt sur le revenu</w:t>
      </w:r>
      <w:r w:rsidRPr="00393D65">
        <w:rPr>
          <w:lang w:val="fr-CA"/>
        </w:rPr>
        <w:t xml:space="preserve">, et les sommes déduites ou retenues au titre de cette loi provinciale sont de même nature que celles visées aux paragraphes 227(4) ou (4.1) de la </w:t>
      </w:r>
      <w:r w:rsidRPr="00393D65">
        <w:rPr>
          <w:i/>
          <w:lang w:val="fr-CA"/>
        </w:rPr>
        <w:t>Loi de l</w:t>
      </w:r>
      <w:r w:rsidR="00C03762">
        <w:rPr>
          <w:i/>
          <w:lang w:val="fr-CA"/>
        </w:rPr>
        <w:t>’</w:t>
      </w:r>
      <w:r w:rsidRPr="00393D65">
        <w:rPr>
          <w:i/>
          <w:lang w:val="fr-CA"/>
        </w:rPr>
        <w:t>impôt sur le revenu</w:t>
      </w:r>
      <w:r w:rsidRPr="00393D65">
        <w:rPr>
          <w:lang w:val="fr-CA"/>
        </w:rPr>
        <w:t>;</w:t>
      </w:r>
    </w:p>
    <w:p w:rsidR="008C3D0D" w:rsidRPr="00393D65" w:rsidRDefault="008C3D0D" w:rsidP="008C3D0D">
      <w:pPr>
        <w:pStyle w:val="Citation"/>
        <w:ind w:left="720"/>
        <w:rPr>
          <w:lang w:val="fr-CA"/>
        </w:rPr>
      </w:pPr>
    </w:p>
    <w:p w:rsidR="008C3D0D" w:rsidRPr="00393D65" w:rsidRDefault="008C3D0D" w:rsidP="008C3D0D">
      <w:pPr>
        <w:pStyle w:val="Citation"/>
        <w:ind w:left="720"/>
        <w:rPr>
          <w:lang w:val="fr-CA"/>
        </w:rPr>
      </w:pPr>
      <w:r w:rsidRPr="00393D65">
        <w:rPr>
          <w:i/>
          <w:lang w:val="fr-CA"/>
        </w:rPr>
        <w:t>b</w:t>
      </w:r>
      <w:r w:rsidRPr="00393D65">
        <w:rPr>
          <w:lang w:val="fr-CA"/>
        </w:rPr>
        <w:t xml:space="preserve">)  cette province est une province instituant un régime général de pensions au sens du paragraphe 3(1) du </w:t>
      </w:r>
      <w:r w:rsidRPr="00393D65">
        <w:rPr>
          <w:i/>
          <w:lang w:val="fr-CA"/>
        </w:rPr>
        <w:t>Régime de pensions du Canada</w:t>
      </w:r>
      <w:r w:rsidRPr="00393D65">
        <w:rPr>
          <w:lang w:val="fr-CA"/>
        </w:rPr>
        <w:t xml:space="preserve">, la loi de cette province institue un régime provincial de pensions au sens de ce paragraphe, et les sommes déduites ou retenues au titre de cette loi provinciale sont de même nature que celles visées aux paragraphes 23(3) ou (4) du </w:t>
      </w:r>
      <w:r w:rsidRPr="00393D65">
        <w:rPr>
          <w:i/>
          <w:lang w:val="fr-CA"/>
        </w:rPr>
        <w:t>Régime de pensions du Canada</w:t>
      </w:r>
      <w:r w:rsidRPr="00393D65">
        <w:rPr>
          <w:lang w:val="fr-CA"/>
        </w:rPr>
        <w:t>.</w:t>
      </w:r>
    </w:p>
    <w:p w:rsidR="008C3D0D" w:rsidRPr="00393D65" w:rsidRDefault="008C3D0D" w:rsidP="008C3D0D">
      <w:pPr>
        <w:pStyle w:val="Citation"/>
        <w:ind w:left="720"/>
        <w:rPr>
          <w:lang w:val="fr-CA"/>
        </w:rPr>
      </w:pPr>
    </w:p>
    <w:p w:rsidR="008C3D0D" w:rsidRPr="00393D65" w:rsidRDefault="008C3D0D" w:rsidP="008C3D0D">
      <w:pPr>
        <w:pStyle w:val="Citation"/>
        <w:ind w:left="0"/>
        <w:rPr>
          <w:lang w:val="fr-CA"/>
        </w:rPr>
      </w:pPr>
      <w:r w:rsidRPr="00393D65">
        <w:rPr>
          <w:lang w:val="fr-CA"/>
        </w:rPr>
        <w:t>Pour l</w:t>
      </w:r>
      <w:r w:rsidR="00C03762">
        <w:rPr>
          <w:lang w:val="fr-CA"/>
        </w:rPr>
        <w:t>’</w:t>
      </w:r>
      <w:r w:rsidRPr="00393D65">
        <w:rPr>
          <w:lang w:val="fr-CA"/>
        </w:rPr>
        <w:t>application du présent paragraphe, toute disposition de la loi provinciale qui crée une fiducie présumée est réputée avoir, à l</w:t>
      </w:r>
      <w:r w:rsidR="00C03762">
        <w:rPr>
          <w:lang w:val="fr-CA"/>
        </w:rPr>
        <w:t>’</w:t>
      </w:r>
      <w:r w:rsidRPr="00393D65">
        <w:rPr>
          <w:lang w:val="fr-CA"/>
        </w:rPr>
        <w:t>encontre de tout créancier de la compagnie et malgré tout texte législatif fédéral ou provincial et toute règle de droit, la même portée et le même effet que la disposition fédérale correspondante, quelle que soit la garantie dont bénéficie le créancier.</w:t>
      </w:r>
    </w:p>
    <w:p w:rsidR="008C3D0D" w:rsidRPr="00393D65" w:rsidRDefault="008C3D0D" w:rsidP="008C3D0D">
      <w:pPr>
        <w:pStyle w:val="Citation"/>
        <w:ind w:left="0"/>
        <w:rPr>
          <w:lang w:val="fr-CA"/>
        </w:rPr>
      </w:pPr>
    </w:p>
    <w:p w:rsidR="008C3D0D" w:rsidRPr="00393D65" w:rsidRDefault="008C3D0D" w:rsidP="008C3D0D">
      <w:pPr>
        <w:pStyle w:val="Citation"/>
        <w:ind w:left="0"/>
        <w:rPr>
          <w:lang w:val="fr-CA"/>
        </w:rPr>
      </w:pPr>
    </w:p>
    <w:p w:rsidR="008C3D0D" w:rsidRPr="00393D65" w:rsidRDefault="008C3D0D" w:rsidP="008C3D0D">
      <w:pPr>
        <w:pStyle w:val="Citation"/>
        <w:ind w:left="0"/>
        <w:rPr>
          <w:lang w:val="fr-CA"/>
        </w:rPr>
      </w:pPr>
      <w:r w:rsidRPr="00393D65">
        <w:rPr>
          <w:i/>
          <w:lang w:val="fr-CA"/>
        </w:rPr>
        <w:t>Loi sur la taxe d</w:t>
      </w:r>
      <w:r w:rsidR="00C03762">
        <w:rPr>
          <w:i/>
          <w:lang w:val="fr-CA"/>
        </w:rPr>
        <w:t>’</w:t>
      </w:r>
      <w:r w:rsidRPr="00393D65">
        <w:rPr>
          <w:i/>
          <w:lang w:val="fr-CA"/>
        </w:rPr>
        <w:t>accise</w:t>
      </w:r>
      <w:r w:rsidRPr="00393D65">
        <w:rPr>
          <w:lang w:val="fr-CA"/>
        </w:rPr>
        <w:t>, L.R.C. 1985, ch. E</w:t>
      </w:r>
      <w:r w:rsidRPr="00393D65">
        <w:rPr>
          <w:lang w:val="fr-CA"/>
        </w:rPr>
        <w:noBreakHyphen/>
        <w:t>15 (en date du 13 décembre 2007)</w:t>
      </w:r>
    </w:p>
    <w:p w:rsidR="008C3D0D" w:rsidRPr="00393D65" w:rsidRDefault="008C3D0D" w:rsidP="008C3D0D">
      <w:pPr>
        <w:pStyle w:val="Citation"/>
        <w:ind w:left="0"/>
        <w:rPr>
          <w:lang w:val="fr-CA"/>
        </w:rPr>
      </w:pPr>
    </w:p>
    <w:p w:rsidR="008C3D0D" w:rsidRPr="00393D65" w:rsidRDefault="008C3D0D" w:rsidP="008C3D0D">
      <w:pPr>
        <w:pStyle w:val="Citation"/>
        <w:ind w:left="0"/>
        <w:rPr>
          <w:lang w:val="fr-CA"/>
        </w:rPr>
      </w:pPr>
    </w:p>
    <w:p w:rsidR="008C3D0D" w:rsidRPr="00393D65" w:rsidRDefault="008C3D0D" w:rsidP="008C3D0D">
      <w:pPr>
        <w:pStyle w:val="Citation"/>
        <w:ind w:left="0"/>
        <w:rPr>
          <w:lang w:val="fr-CA"/>
        </w:rPr>
      </w:pPr>
      <w:r w:rsidRPr="00393D65">
        <w:rPr>
          <w:b/>
          <w:lang w:val="fr-CA"/>
        </w:rPr>
        <w:tab/>
        <w:t>222. </w:t>
      </w:r>
      <w:r w:rsidRPr="00393D65">
        <w:rPr>
          <w:lang w:val="fr-CA"/>
        </w:rPr>
        <w:t>(1)  [Montants perçus détenus en fiducie] La personne qui perçoit un montant au titre de la taxe prévue à la section II est réputée, à toutes fins utiles et malgré tout droit en garantie le concernant, le détenir en fiducie pour Sa Majesté du chef du Canada, séparé de ses propres biens et des biens détenus par ses créanciers garantis qui, en l</w:t>
      </w:r>
      <w:r w:rsidR="00C03762">
        <w:rPr>
          <w:lang w:val="fr-CA"/>
        </w:rPr>
        <w:t>’</w:t>
      </w:r>
      <w:r w:rsidRPr="00393D65">
        <w:rPr>
          <w:lang w:val="fr-CA"/>
        </w:rPr>
        <w:t>absence du droit en garantie, seraient ceux de la personne, jusqu</w:t>
      </w:r>
      <w:r w:rsidR="00C03762">
        <w:rPr>
          <w:lang w:val="fr-CA"/>
        </w:rPr>
        <w:t>’</w:t>
      </w:r>
      <w:r w:rsidRPr="00393D65">
        <w:rPr>
          <w:lang w:val="fr-CA"/>
        </w:rPr>
        <w:t>à ce qu</w:t>
      </w:r>
      <w:r w:rsidR="00C03762">
        <w:rPr>
          <w:lang w:val="fr-CA"/>
        </w:rPr>
        <w:t>’</w:t>
      </w:r>
      <w:r w:rsidRPr="00393D65">
        <w:rPr>
          <w:lang w:val="fr-CA"/>
        </w:rPr>
        <w:t>il soit versé au receveur général ou retiré en application du paragraphe (2).</w:t>
      </w:r>
    </w:p>
    <w:p w:rsidR="008C3D0D" w:rsidRPr="00393D65" w:rsidRDefault="008C3D0D" w:rsidP="008C3D0D">
      <w:pPr>
        <w:pStyle w:val="Citation"/>
        <w:ind w:left="0"/>
        <w:rPr>
          <w:lang w:val="fr-CA"/>
        </w:rPr>
      </w:pPr>
    </w:p>
    <w:p w:rsidR="008C3D0D" w:rsidRPr="00393D65" w:rsidRDefault="008C3D0D" w:rsidP="008C3D0D">
      <w:pPr>
        <w:pStyle w:val="Citation"/>
        <w:ind w:left="0"/>
        <w:rPr>
          <w:lang w:val="fr-CA"/>
        </w:rPr>
      </w:pPr>
      <w:r w:rsidRPr="00393D65">
        <w:rPr>
          <w:lang w:val="fr-CA"/>
        </w:rPr>
        <w:tab/>
        <w:t>(1.1)  [Montants perçus avant la faillite] Le paragraphe (1) ne s</w:t>
      </w:r>
      <w:r w:rsidR="00C03762">
        <w:rPr>
          <w:lang w:val="fr-CA"/>
        </w:rPr>
        <w:t>’</w:t>
      </w:r>
      <w:r w:rsidRPr="00393D65">
        <w:rPr>
          <w:lang w:val="fr-CA"/>
        </w:rPr>
        <w:t>applique pas, à compter du moment de la faillite d</w:t>
      </w:r>
      <w:r w:rsidR="00C03762">
        <w:rPr>
          <w:lang w:val="fr-CA"/>
        </w:rPr>
        <w:t>’</w:t>
      </w:r>
      <w:r w:rsidRPr="00393D65">
        <w:rPr>
          <w:lang w:val="fr-CA"/>
        </w:rPr>
        <w:t xml:space="preserve">un failli, au sens de la </w:t>
      </w:r>
      <w:r w:rsidRPr="00393D65">
        <w:rPr>
          <w:i/>
          <w:lang w:val="fr-CA"/>
        </w:rPr>
        <w:t>Loi sur la faillite et l</w:t>
      </w:r>
      <w:r w:rsidR="00C03762">
        <w:rPr>
          <w:i/>
          <w:lang w:val="fr-CA"/>
        </w:rPr>
        <w:t>’</w:t>
      </w:r>
      <w:r w:rsidRPr="00393D65">
        <w:rPr>
          <w:i/>
          <w:lang w:val="fr-CA"/>
        </w:rPr>
        <w:t>insolvabilité</w:t>
      </w:r>
      <w:r w:rsidRPr="00393D65">
        <w:rPr>
          <w:lang w:val="fr-CA"/>
        </w:rPr>
        <w:t>, aux montants perçus ou devenus percevables par lui avant la faillite au titre de la taxe prévue à la section II.</w:t>
      </w:r>
    </w:p>
    <w:p w:rsidR="008C3D0D" w:rsidRPr="00393D65" w:rsidRDefault="008C3D0D" w:rsidP="008C3D0D">
      <w:pPr>
        <w:pStyle w:val="Citation"/>
        <w:ind w:left="0"/>
        <w:rPr>
          <w:lang w:val="fr-CA"/>
        </w:rPr>
      </w:pPr>
    </w:p>
    <w:p w:rsidR="008C3D0D" w:rsidRPr="00393D65" w:rsidRDefault="008C3D0D" w:rsidP="008C3D0D">
      <w:pPr>
        <w:pStyle w:val="Citation"/>
        <w:ind w:left="0"/>
        <w:jc w:val="center"/>
        <w:rPr>
          <w:lang w:val="fr-CA"/>
        </w:rPr>
      </w:pPr>
      <w:r w:rsidRPr="00393D65">
        <w:rPr>
          <w:lang w:val="fr-CA"/>
        </w:rPr>
        <w:t>. . .</w:t>
      </w:r>
    </w:p>
    <w:p w:rsidR="008C3D0D" w:rsidRPr="00393D65" w:rsidRDefault="008C3D0D" w:rsidP="008C3D0D">
      <w:pPr>
        <w:pStyle w:val="Citation"/>
        <w:ind w:left="0"/>
        <w:rPr>
          <w:lang w:val="fr-CA"/>
        </w:rPr>
      </w:pPr>
    </w:p>
    <w:p w:rsidR="008C3D0D" w:rsidRPr="00393D65" w:rsidRDefault="008C3D0D" w:rsidP="008C3D0D">
      <w:pPr>
        <w:pStyle w:val="Citation"/>
        <w:ind w:left="0"/>
        <w:rPr>
          <w:lang w:val="fr-CA"/>
        </w:rPr>
      </w:pPr>
      <w:r w:rsidRPr="00393D65">
        <w:rPr>
          <w:lang w:val="fr-CA"/>
        </w:rPr>
        <w:tab/>
        <w:t>(3)  [Non</w:t>
      </w:r>
      <w:r w:rsidRPr="00393D65">
        <w:rPr>
          <w:lang w:val="fr-CA"/>
        </w:rPr>
        <w:noBreakHyphen/>
        <w:t>versement ou non</w:t>
      </w:r>
      <w:r w:rsidRPr="00393D65">
        <w:rPr>
          <w:lang w:val="fr-CA"/>
        </w:rPr>
        <w:noBreakHyphen/>
        <w:t xml:space="preserve">retrait] Malgré les autres dispositions de la présente loi (sauf le paragraphe (4) du présent article), tout autre texte législatif fédéral (sauf la </w:t>
      </w:r>
      <w:r w:rsidRPr="00393D65">
        <w:rPr>
          <w:i/>
          <w:lang w:val="fr-CA"/>
        </w:rPr>
        <w:t>Loi sur la faillite et l</w:t>
      </w:r>
      <w:r w:rsidR="00C03762">
        <w:rPr>
          <w:i/>
          <w:lang w:val="fr-CA"/>
        </w:rPr>
        <w:t>’</w:t>
      </w:r>
      <w:r w:rsidRPr="00393D65">
        <w:rPr>
          <w:i/>
          <w:lang w:val="fr-CA"/>
        </w:rPr>
        <w:t>insolvabilité</w:t>
      </w:r>
      <w:r w:rsidRPr="00393D65">
        <w:rPr>
          <w:lang w:val="fr-CA"/>
        </w:rPr>
        <w:t>), tout texte législatif provincial ou toute autre règle de droit, lorsqu</w:t>
      </w:r>
      <w:r w:rsidR="00C03762">
        <w:rPr>
          <w:lang w:val="fr-CA"/>
        </w:rPr>
        <w:t>’</w:t>
      </w:r>
      <w:r w:rsidRPr="00393D65">
        <w:rPr>
          <w:lang w:val="fr-CA"/>
        </w:rPr>
        <w:t>un montant qu</w:t>
      </w:r>
      <w:r w:rsidR="00C03762">
        <w:rPr>
          <w:lang w:val="fr-CA"/>
        </w:rPr>
        <w:t>’</w:t>
      </w:r>
      <w:r w:rsidRPr="00393D65">
        <w:rPr>
          <w:lang w:val="fr-CA"/>
        </w:rPr>
        <w:t>une personne est réputée par le paragraphe (1) détenir en fiducie pour Sa Majesté du chef du Canada n</w:t>
      </w:r>
      <w:r w:rsidR="00C03762">
        <w:rPr>
          <w:lang w:val="fr-CA"/>
        </w:rPr>
        <w:t>’</w:t>
      </w:r>
      <w:r w:rsidRPr="00393D65">
        <w:rPr>
          <w:lang w:val="fr-CA"/>
        </w:rPr>
        <w:t xml:space="preserve">est pas versé au receveur général ni retiré selon les modalités et dans le délai prévus par la présente </w:t>
      </w:r>
      <w:r w:rsidRPr="00393D65">
        <w:rPr>
          <w:lang w:val="fr-CA"/>
        </w:rPr>
        <w:lastRenderedPageBreak/>
        <w:t>partie, les biens de la personne — y compris les biens détenus par ses créanciers garantis qui, en l</w:t>
      </w:r>
      <w:r w:rsidR="00C03762">
        <w:rPr>
          <w:lang w:val="fr-CA"/>
        </w:rPr>
        <w:t>’</w:t>
      </w:r>
      <w:r w:rsidRPr="00393D65">
        <w:rPr>
          <w:lang w:val="fr-CA"/>
        </w:rPr>
        <w:t>absence du droit en garantie, seraient ses biens — d</w:t>
      </w:r>
      <w:r w:rsidR="00C03762">
        <w:rPr>
          <w:lang w:val="fr-CA"/>
        </w:rPr>
        <w:t>’</w:t>
      </w:r>
      <w:r w:rsidRPr="00393D65">
        <w:rPr>
          <w:lang w:val="fr-CA"/>
        </w:rPr>
        <w:t>une valeur égale à ce montant sont réputés :</w:t>
      </w:r>
    </w:p>
    <w:p w:rsidR="008C3D0D" w:rsidRPr="00393D65" w:rsidRDefault="008C3D0D" w:rsidP="008C3D0D">
      <w:pPr>
        <w:pStyle w:val="Citation"/>
        <w:rPr>
          <w:lang w:val="fr-CA"/>
        </w:rPr>
      </w:pPr>
    </w:p>
    <w:p w:rsidR="008C3D0D" w:rsidRPr="00393D65" w:rsidRDefault="008C3D0D" w:rsidP="008C3D0D">
      <w:pPr>
        <w:pStyle w:val="Citation"/>
        <w:ind w:left="720"/>
        <w:rPr>
          <w:lang w:val="fr-CA"/>
        </w:rPr>
      </w:pPr>
      <w:r w:rsidRPr="00393D65">
        <w:rPr>
          <w:i/>
          <w:lang w:val="fr-CA"/>
        </w:rPr>
        <w:t>a</w:t>
      </w:r>
      <w:r w:rsidRPr="00393D65">
        <w:rPr>
          <w:lang w:val="fr-CA"/>
        </w:rPr>
        <w:t>)  être détenus en fiducie pour Sa Majesté du chef du Canada, à compter du moment où le montant est perçu par la personne, séparés des propres biens de la personne, qu</w:t>
      </w:r>
      <w:r w:rsidR="00C03762">
        <w:rPr>
          <w:lang w:val="fr-CA"/>
        </w:rPr>
        <w:t>’</w:t>
      </w:r>
      <w:r w:rsidRPr="00393D65">
        <w:rPr>
          <w:lang w:val="fr-CA"/>
        </w:rPr>
        <w:t>ils soient ou non assujettis à un droit en garantie;</w:t>
      </w:r>
    </w:p>
    <w:p w:rsidR="008C3D0D" w:rsidRPr="00393D65" w:rsidRDefault="008C3D0D" w:rsidP="008C3D0D">
      <w:pPr>
        <w:pStyle w:val="Citation"/>
        <w:rPr>
          <w:lang w:val="fr-CA"/>
        </w:rPr>
      </w:pPr>
    </w:p>
    <w:p w:rsidR="008C3D0D" w:rsidRPr="00393D65" w:rsidRDefault="008C3D0D" w:rsidP="008C3D0D">
      <w:pPr>
        <w:pStyle w:val="Citation"/>
        <w:ind w:left="720"/>
        <w:rPr>
          <w:lang w:val="fr-CA"/>
        </w:rPr>
      </w:pPr>
      <w:r w:rsidRPr="00393D65">
        <w:rPr>
          <w:i/>
          <w:lang w:val="fr-CA"/>
        </w:rPr>
        <w:t>b</w:t>
      </w:r>
      <w:r w:rsidRPr="00393D65">
        <w:rPr>
          <w:lang w:val="fr-CA"/>
        </w:rPr>
        <w:t>)  ne pas faire partie du patrimoine ou des biens de la personne à compter du moment où le montant est perçu, que ces biens aient été ou non tenus séparés de ses propres biens ou de son patrimoine et qu</w:t>
      </w:r>
      <w:r w:rsidR="00C03762">
        <w:rPr>
          <w:lang w:val="fr-CA"/>
        </w:rPr>
        <w:t>’</w:t>
      </w:r>
      <w:r w:rsidRPr="00393D65">
        <w:rPr>
          <w:lang w:val="fr-CA"/>
        </w:rPr>
        <w:t>ils soient ou non assujettis à un droit en garantie.</w:t>
      </w:r>
      <w:r w:rsidRPr="00393D65">
        <w:rPr>
          <w:lang w:val="fr-CA"/>
        </w:rPr>
        <w:cr/>
      </w:r>
    </w:p>
    <w:p w:rsidR="008C3D0D" w:rsidRPr="00393D65" w:rsidRDefault="008C3D0D" w:rsidP="008C3D0D">
      <w:pPr>
        <w:pStyle w:val="Citation"/>
        <w:ind w:left="0"/>
        <w:rPr>
          <w:lang w:val="fr-CA"/>
        </w:rPr>
      </w:pPr>
      <w:r w:rsidRPr="00393D65">
        <w:rPr>
          <w:lang w:val="fr-CA"/>
        </w:rPr>
        <w:t>Ces biens sont des biens dans lesquels Sa Majesté du chef du Canada a un droit de bénéficiaire malgré tout autre droit en garantie sur ces biens ou sur le produit en découlant, et le produit découlant de ces biens est payé au receveur général par priorité sur tout droit en garantie.</w:t>
      </w:r>
    </w:p>
    <w:p w:rsidR="008C3D0D" w:rsidRDefault="008C3D0D" w:rsidP="008C3D0D">
      <w:pPr>
        <w:pStyle w:val="Citation"/>
        <w:ind w:left="0"/>
        <w:rPr>
          <w:lang w:val="fr-CA"/>
        </w:rPr>
      </w:pPr>
    </w:p>
    <w:p w:rsidR="004613F5" w:rsidRPr="00393D65" w:rsidRDefault="004613F5" w:rsidP="008C3D0D">
      <w:pPr>
        <w:pStyle w:val="Citation"/>
        <w:ind w:left="0"/>
        <w:rPr>
          <w:lang w:val="fr-CA"/>
        </w:rPr>
      </w:pPr>
    </w:p>
    <w:p w:rsidR="008C3D0D" w:rsidRPr="00393D65" w:rsidRDefault="008C3D0D" w:rsidP="008C3D0D">
      <w:pPr>
        <w:pStyle w:val="Citation"/>
        <w:ind w:left="0"/>
        <w:rPr>
          <w:lang w:val="fr-CA"/>
        </w:rPr>
      </w:pPr>
      <w:r w:rsidRPr="00393D65">
        <w:rPr>
          <w:i/>
          <w:lang w:val="fr-CA"/>
        </w:rPr>
        <w:t>Loi sur la faillite et l</w:t>
      </w:r>
      <w:r w:rsidR="00C03762">
        <w:rPr>
          <w:i/>
          <w:lang w:val="fr-CA"/>
        </w:rPr>
        <w:t>’</w:t>
      </w:r>
      <w:r w:rsidRPr="00393D65">
        <w:rPr>
          <w:i/>
          <w:lang w:val="fr-CA"/>
        </w:rPr>
        <w:t>insolvabilité</w:t>
      </w:r>
      <w:r w:rsidRPr="00393D65">
        <w:rPr>
          <w:lang w:val="fr-CA"/>
        </w:rPr>
        <w:t>, L.R.C. 1985, ch. B</w:t>
      </w:r>
      <w:r w:rsidRPr="00393D65">
        <w:rPr>
          <w:lang w:val="fr-CA"/>
        </w:rPr>
        <w:noBreakHyphen/>
        <w:t>3 (en date du 13 décembre 2007)</w:t>
      </w:r>
    </w:p>
    <w:p w:rsidR="008C3D0D" w:rsidRPr="00393D65" w:rsidRDefault="008C3D0D" w:rsidP="008C3D0D">
      <w:pPr>
        <w:pStyle w:val="Citation"/>
        <w:ind w:left="0"/>
        <w:rPr>
          <w:lang w:val="fr-CA"/>
        </w:rPr>
      </w:pPr>
    </w:p>
    <w:p w:rsidR="008C3D0D" w:rsidRPr="00393D65" w:rsidRDefault="008C3D0D" w:rsidP="008C3D0D">
      <w:pPr>
        <w:pStyle w:val="Citation"/>
        <w:ind w:left="0"/>
        <w:rPr>
          <w:lang w:val="fr-CA"/>
        </w:rPr>
      </w:pPr>
    </w:p>
    <w:p w:rsidR="008C3D0D" w:rsidRPr="00393D65" w:rsidRDefault="008C3D0D" w:rsidP="008C3D0D">
      <w:pPr>
        <w:pStyle w:val="Citation"/>
        <w:ind w:left="0"/>
        <w:rPr>
          <w:lang w:val="fr-CA"/>
        </w:rPr>
      </w:pPr>
      <w:r w:rsidRPr="00393D65">
        <w:rPr>
          <w:b/>
          <w:lang w:val="fr-CA"/>
        </w:rPr>
        <w:tab/>
        <w:t>67. </w:t>
      </w:r>
      <w:r w:rsidRPr="00393D65">
        <w:rPr>
          <w:lang w:val="fr-CA"/>
        </w:rPr>
        <w:t>(1)  [Biens du failli] Les biens d</w:t>
      </w:r>
      <w:r w:rsidR="00C03762">
        <w:rPr>
          <w:lang w:val="fr-CA"/>
        </w:rPr>
        <w:t>’</w:t>
      </w:r>
      <w:r w:rsidRPr="00393D65">
        <w:rPr>
          <w:lang w:val="fr-CA"/>
        </w:rPr>
        <w:t>un failli, constituant le patrimoine attribué à ses créanciers, ne comprennent pas les biens suivants :</w:t>
      </w:r>
    </w:p>
    <w:p w:rsidR="008C3D0D" w:rsidRPr="00393D65" w:rsidRDefault="008C3D0D" w:rsidP="008C3D0D">
      <w:pPr>
        <w:pStyle w:val="Citation"/>
        <w:ind w:left="0"/>
        <w:rPr>
          <w:lang w:val="fr-CA"/>
        </w:rPr>
      </w:pPr>
    </w:p>
    <w:p w:rsidR="008C3D0D" w:rsidRPr="00393D65" w:rsidRDefault="008C3D0D" w:rsidP="008C3D0D">
      <w:pPr>
        <w:pStyle w:val="Citation"/>
        <w:ind w:left="720"/>
        <w:rPr>
          <w:lang w:val="fr-CA"/>
        </w:rPr>
      </w:pPr>
      <w:r w:rsidRPr="00393D65">
        <w:rPr>
          <w:i/>
          <w:lang w:val="fr-CA"/>
        </w:rPr>
        <w:t>a</w:t>
      </w:r>
      <w:r w:rsidRPr="00393D65">
        <w:rPr>
          <w:lang w:val="fr-CA"/>
        </w:rPr>
        <w:t>)  les biens détenus par le failli en fiducie pour toute autre personne;</w:t>
      </w:r>
    </w:p>
    <w:p w:rsidR="008C3D0D" w:rsidRPr="00393D65" w:rsidRDefault="008C3D0D" w:rsidP="008C3D0D">
      <w:pPr>
        <w:pStyle w:val="Citation"/>
        <w:ind w:left="720"/>
        <w:rPr>
          <w:lang w:val="fr-CA"/>
        </w:rPr>
      </w:pPr>
    </w:p>
    <w:p w:rsidR="008C3D0D" w:rsidRPr="00393D65" w:rsidRDefault="008C3D0D" w:rsidP="008C3D0D">
      <w:pPr>
        <w:pStyle w:val="Citation"/>
        <w:ind w:left="720"/>
        <w:rPr>
          <w:lang w:val="fr-CA"/>
        </w:rPr>
      </w:pPr>
      <w:r w:rsidRPr="00393D65">
        <w:rPr>
          <w:i/>
          <w:lang w:val="fr-CA"/>
        </w:rPr>
        <w:t>b</w:t>
      </w:r>
      <w:r w:rsidRPr="00393D65">
        <w:rPr>
          <w:lang w:val="fr-CA"/>
        </w:rPr>
        <w:t>)  les biens qui, à l</w:t>
      </w:r>
      <w:r w:rsidR="00C03762">
        <w:rPr>
          <w:lang w:val="fr-CA"/>
        </w:rPr>
        <w:t>’</w:t>
      </w:r>
      <w:r w:rsidRPr="00393D65">
        <w:rPr>
          <w:lang w:val="fr-CA"/>
        </w:rPr>
        <w:t>encontre du failli, sont exempts d</w:t>
      </w:r>
      <w:r w:rsidR="00C03762">
        <w:rPr>
          <w:lang w:val="fr-CA"/>
        </w:rPr>
        <w:t>’</w:t>
      </w:r>
      <w:r w:rsidRPr="00393D65">
        <w:rPr>
          <w:lang w:val="fr-CA"/>
        </w:rPr>
        <w:t>exécution ou de saisie sous le régime des lois applicables dans la province dans laquelle sont situés ces biens et où réside le failli;</w:t>
      </w:r>
    </w:p>
    <w:p w:rsidR="008C3D0D" w:rsidRPr="00393D65" w:rsidRDefault="008C3D0D" w:rsidP="008C3D0D">
      <w:pPr>
        <w:pStyle w:val="Citation"/>
        <w:ind w:left="720"/>
        <w:rPr>
          <w:lang w:val="fr-CA"/>
        </w:rPr>
      </w:pPr>
    </w:p>
    <w:p w:rsidR="008C3D0D" w:rsidRPr="00393D65" w:rsidRDefault="008C3D0D" w:rsidP="008C3D0D">
      <w:pPr>
        <w:pStyle w:val="Citation"/>
        <w:ind w:left="720"/>
        <w:rPr>
          <w:lang w:val="fr-CA"/>
        </w:rPr>
      </w:pPr>
      <w:r w:rsidRPr="00393D65">
        <w:rPr>
          <w:i/>
          <w:lang w:val="fr-CA"/>
        </w:rPr>
        <w:t>b.</w:t>
      </w:r>
      <w:r w:rsidRPr="004613F5">
        <w:rPr>
          <w:lang w:val="fr-CA"/>
        </w:rPr>
        <w:t>1</w:t>
      </w:r>
      <w:r w:rsidRPr="00393D65">
        <w:rPr>
          <w:lang w:val="fr-CA"/>
        </w:rPr>
        <w:t>)  dans les circonstances prescrites, les paiements au titre de crédits de la taxe sur les produits et services et les paiements prescrits qui sont faits à des personnes physiques relativement à leurs besoins essentiels et qui ne sont pas visés aux alinéas </w:t>
      </w:r>
      <w:r w:rsidRPr="00393D65">
        <w:rPr>
          <w:i/>
          <w:lang w:val="fr-CA"/>
        </w:rPr>
        <w:t>a</w:t>
      </w:r>
      <w:r w:rsidRPr="00393D65">
        <w:rPr>
          <w:lang w:val="fr-CA"/>
        </w:rPr>
        <w:t xml:space="preserve">) et </w:t>
      </w:r>
      <w:r w:rsidRPr="00393D65">
        <w:rPr>
          <w:i/>
          <w:lang w:val="fr-CA"/>
        </w:rPr>
        <w:t>b</w:t>
      </w:r>
      <w:r w:rsidRPr="00393D65">
        <w:rPr>
          <w:lang w:val="fr-CA"/>
        </w:rPr>
        <w:t>),</w:t>
      </w:r>
    </w:p>
    <w:p w:rsidR="008C3D0D" w:rsidRPr="00393D65" w:rsidRDefault="008C3D0D" w:rsidP="008C3D0D">
      <w:pPr>
        <w:pStyle w:val="Citation"/>
        <w:ind w:left="720"/>
        <w:rPr>
          <w:lang w:val="fr-CA"/>
        </w:rPr>
      </w:pPr>
    </w:p>
    <w:p w:rsidR="008C3D0D" w:rsidRPr="00393D65" w:rsidRDefault="008C3D0D" w:rsidP="008C3D0D">
      <w:pPr>
        <w:pStyle w:val="Citation"/>
        <w:ind w:left="0"/>
        <w:rPr>
          <w:lang w:val="fr-CA"/>
        </w:rPr>
      </w:pPr>
      <w:r w:rsidRPr="00393D65">
        <w:rPr>
          <w:lang w:val="fr-CA"/>
        </w:rPr>
        <w:t>mais ils comprennent :</w:t>
      </w:r>
    </w:p>
    <w:p w:rsidR="008C3D0D" w:rsidRPr="00393D65" w:rsidRDefault="008C3D0D" w:rsidP="008C3D0D">
      <w:pPr>
        <w:pStyle w:val="Citation"/>
        <w:ind w:left="0"/>
        <w:rPr>
          <w:lang w:val="fr-CA"/>
        </w:rPr>
      </w:pPr>
    </w:p>
    <w:p w:rsidR="008C3D0D" w:rsidRPr="00393D65" w:rsidRDefault="008C3D0D" w:rsidP="008C3D0D">
      <w:pPr>
        <w:pStyle w:val="Citation"/>
        <w:ind w:left="720"/>
        <w:rPr>
          <w:lang w:val="fr-CA"/>
        </w:rPr>
      </w:pPr>
      <w:r w:rsidRPr="00393D65">
        <w:rPr>
          <w:i/>
          <w:lang w:val="fr-CA"/>
        </w:rPr>
        <w:t>c</w:t>
      </w:r>
      <w:r w:rsidRPr="00393D65">
        <w:rPr>
          <w:lang w:val="fr-CA"/>
        </w:rPr>
        <w:t>)  tous les biens, où qu</w:t>
      </w:r>
      <w:r w:rsidR="00C03762">
        <w:rPr>
          <w:lang w:val="fr-CA"/>
        </w:rPr>
        <w:t>’</w:t>
      </w:r>
      <w:r w:rsidRPr="00393D65">
        <w:rPr>
          <w:lang w:val="fr-CA"/>
        </w:rPr>
        <w:t>ils soient situés, qui appartiennent au failli à la date de la faillite, ou qu</w:t>
      </w:r>
      <w:r w:rsidR="00C03762">
        <w:rPr>
          <w:lang w:val="fr-CA"/>
        </w:rPr>
        <w:t>’</w:t>
      </w:r>
      <w:r w:rsidRPr="00393D65">
        <w:rPr>
          <w:lang w:val="fr-CA"/>
        </w:rPr>
        <w:t>il peut acquérir ou qui peuvent lui être dévolus avant sa libération;</w:t>
      </w:r>
    </w:p>
    <w:p w:rsidR="008C3D0D" w:rsidRPr="00393D65" w:rsidRDefault="008C3D0D" w:rsidP="008C3D0D">
      <w:pPr>
        <w:pStyle w:val="Citation"/>
        <w:rPr>
          <w:lang w:val="fr-CA"/>
        </w:rPr>
      </w:pPr>
    </w:p>
    <w:p w:rsidR="008C3D0D" w:rsidRPr="00393D65" w:rsidRDefault="008C3D0D" w:rsidP="008C3D0D">
      <w:pPr>
        <w:pStyle w:val="Citation"/>
        <w:ind w:left="720"/>
        <w:rPr>
          <w:lang w:val="fr-CA"/>
        </w:rPr>
      </w:pPr>
      <w:r w:rsidRPr="00393D65">
        <w:rPr>
          <w:i/>
          <w:lang w:val="fr-CA"/>
        </w:rPr>
        <w:t>d</w:t>
      </w:r>
      <w:r w:rsidRPr="00393D65">
        <w:rPr>
          <w:lang w:val="fr-CA"/>
        </w:rPr>
        <w:t>)  les pouvoirs sur des biens ou à leur égard, qui auraient pu être exercés par le failli pour son propre bénéfice.</w:t>
      </w:r>
    </w:p>
    <w:p w:rsidR="008C3D0D" w:rsidRPr="00393D65" w:rsidRDefault="008C3D0D" w:rsidP="008C3D0D">
      <w:pPr>
        <w:pStyle w:val="Citation"/>
        <w:ind w:left="0"/>
        <w:rPr>
          <w:lang w:val="fr-CA"/>
        </w:rPr>
      </w:pPr>
    </w:p>
    <w:p w:rsidR="008C3D0D" w:rsidRPr="00393D65" w:rsidRDefault="008C3D0D" w:rsidP="008C3D0D">
      <w:pPr>
        <w:pStyle w:val="Citation"/>
        <w:ind w:left="0"/>
        <w:rPr>
          <w:lang w:val="fr-CA"/>
        </w:rPr>
      </w:pPr>
      <w:r w:rsidRPr="00393D65">
        <w:rPr>
          <w:lang w:val="fr-CA"/>
        </w:rPr>
        <w:tab/>
        <w:t>(2)  [Fiducies présumées] Sous réserve du paragraphe (3) et par dérogation à toute disposition législative fédérale ou provinciale ayant pour effet d</w:t>
      </w:r>
      <w:r w:rsidR="00C03762">
        <w:rPr>
          <w:lang w:val="fr-CA"/>
        </w:rPr>
        <w:t>’</w:t>
      </w:r>
      <w:r w:rsidRPr="00393D65">
        <w:rPr>
          <w:lang w:val="fr-CA"/>
        </w:rPr>
        <w:t>assimiler certains biens à des biens détenus en fiducie pour Sa Majesté, aucun des biens du failli ne peut, pour l</w:t>
      </w:r>
      <w:r w:rsidR="00C03762">
        <w:rPr>
          <w:lang w:val="fr-CA"/>
        </w:rPr>
        <w:t>’</w:t>
      </w:r>
      <w:r w:rsidRPr="00393D65">
        <w:rPr>
          <w:lang w:val="fr-CA"/>
        </w:rPr>
        <w:t>application de l</w:t>
      </w:r>
      <w:r w:rsidR="00C03762">
        <w:rPr>
          <w:lang w:val="fr-CA"/>
        </w:rPr>
        <w:t>’</w:t>
      </w:r>
      <w:r w:rsidRPr="00393D65">
        <w:rPr>
          <w:lang w:val="fr-CA"/>
        </w:rPr>
        <w:t>alinéa (1)</w:t>
      </w:r>
      <w:r w:rsidRPr="00393D65">
        <w:rPr>
          <w:i/>
          <w:lang w:val="fr-CA"/>
        </w:rPr>
        <w:t>a</w:t>
      </w:r>
      <w:r w:rsidRPr="00393D65">
        <w:rPr>
          <w:lang w:val="fr-CA"/>
        </w:rPr>
        <w:t>), être considéré comme détenu en fiducie pour Sa Majesté si, en l</w:t>
      </w:r>
      <w:r w:rsidR="00C03762">
        <w:rPr>
          <w:lang w:val="fr-CA"/>
        </w:rPr>
        <w:t>’</w:t>
      </w:r>
      <w:r w:rsidRPr="00393D65">
        <w:rPr>
          <w:lang w:val="fr-CA"/>
        </w:rPr>
        <w:t>absence de la disposition législative en question, il ne le serait pas.</w:t>
      </w:r>
    </w:p>
    <w:p w:rsidR="008C3D0D" w:rsidRPr="00393D65" w:rsidRDefault="008C3D0D" w:rsidP="008C3D0D">
      <w:pPr>
        <w:pStyle w:val="Citation"/>
        <w:ind w:left="0"/>
        <w:rPr>
          <w:lang w:val="fr-CA"/>
        </w:rPr>
      </w:pPr>
    </w:p>
    <w:p w:rsidR="008C3D0D" w:rsidRPr="00393D65" w:rsidRDefault="008C3D0D" w:rsidP="008C3D0D">
      <w:pPr>
        <w:pStyle w:val="Citation"/>
        <w:ind w:left="0"/>
        <w:rPr>
          <w:lang w:val="fr-CA"/>
        </w:rPr>
      </w:pPr>
      <w:r w:rsidRPr="00393D65">
        <w:rPr>
          <w:lang w:val="fr-CA"/>
        </w:rPr>
        <w:tab/>
        <w:t>(3)  [Exceptions] Le paragraphe (2) ne s</w:t>
      </w:r>
      <w:r w:rsidR="00C03762">
        <w:rPr>
          <w:lang w:val="fr-CA"/>
        </w:rPr>
        <w:t>’</w:t>
      </w:r>
      <w:r w:rsidRPr="00393D65">
        <w:rPr>
          <w:lang w:val="fr-CA"/>
        </w:rPr>
        <w:t>applique pas à l</w:t>
      </w:r>
      <w:r w:rsidR="00C03762">
        <w:rPr>
          <w:lang w:val="fr-CA"/>
        </w:rPr>
        <w:t>’</w:t>
      </w:r>
      <w:r w:rsidRPr="00393D65">
        <w:rPr>
          <w:lang w:val="fr-CA"/>
        </w:rPr>
        <w:t xml:space="preserve">égard des montants réputés détenus en fiducie aux termes des paragraphes 227(4) ou (4.1) de la </w:t>
      </w:r>
      <w:r w:rsidRPr="00393D65">
        <w:rPr>
          <w:i/>
          <w:lang w:val="fr-CA"/>
        </w:rPr>
        <w:t>Loi de l</w:t>
      </w:r>
      <w:r w:rsidR="00C03762">
        <w:rPr>
          <w:i/>
          <w:lang w:val="fr-CA"/>
        </w:rPr>
        <w:t>’</w:t>
      </w:r>
      <w:r w:rsidRPr="00393D65">
        <w:rPr>
          <w:i/>
          <w:lang w:val="fr-CA"/>
        </w:rPr>
        <w:t>impôt sur le revenu</w:t>
      </w:r>
      <w:r w:rsidRPr="00393D65">
        <w:rPr>
          <w:lang w:val="fr-CA"/>
        </w:rPr>
        <w:t xml:space="preserve">, des paragraphes 23(3) ou (4) du </w:t>
      </w:r>
      <w:r w:rsidRPr="00393D65">
        <w:rPr>
          <w:i/>
          <w:lang w:val="fr-CA"/>
        </w:rPr>
        <w:t>Régime de pensions du Canada</w:t>
      </w:r>
      <w:r w:rsidRPr="00393D65">
        <w:rPr>
          <w:lang w:val="fr-CA"/>
        </w:rPr>
        <w:t xml:space="preserve"> ou des paragraphes 86(2) ou (2.1) de la </w:t>
      </w:r>
      <w:r w:rsidRPr="00393D65">
        <w:rPr>
          <w:i/>
          <w:lang w:val="fr-CA"/>
        </w:rPr>
        <w:t>Loi sur l</w:t>
      </w:r>
      <w:r w:rsidR="00C03762">
        <w:rPr>
          <w:i/>
          <w:lang w:val="fr-CA"/>
        </w:rPr>
        <w:t>’</w:t>
      </w:r>
      <w:r w:rsidRPr="00393D65">
        <w:rPr>
          <w:i/>
          <w:lang w:val="fr-CA"/>
        </w:rPr>
        <w:t>assurance</w:t>
      </w:r>
      <w:r w:rsidRPr="00393D65">
        <w:rPr>
          <w:i/>
          <w:lang w:val="fr-CA"/>
        </w:rPr>
        <w:noBreakHyphen/>
        <w:t>emploi</w:t>
      </w:r>
      <w:r w:rsidRPr="00393D65">
        <w:rPr>
          <w:lang w:val="fr-CA"/>
        </w:rPr>
        <w:t xml:space="preserve"> (chacun étant appelé « disposition fédérale » au présent paragraphe) ou à l</w:t>
      </w:r>
      <w:r w:rsidR="00C03762">
        <w:rPr>
          <w:lang w:val="fr-CA"/>
        </w:rPr>
        <w:t>’</w:t>
      </w:r>
      <w:r w:rsidRPr="00393D65">
        <w:rPr>
          <w:lang w:val="fr-CA"/>
        </w:rPr>
        <w:t>égard des montants réputés détenus en fiducie aux termes de toute loi d</w:t>
      </w:r>
      <w:r w:rsidR="00C03762">
        <w:rPr>
          <w:lang w:val="fr-CA"/>
        </w:rPr>
        <w:t>’</w:t>
      </w:r>
      <w:r w:rsidRPr="00393D65">
        <w:rPr>
          <w:lang w:val="fr-CA"/>
        </w:rPr>
        <w:t>une province créant une fiducie présumée dans le seul but d</w:t>
      </w:r>
      <w:r w:rsidR="00C03762">
        <w:rPr>
          <w:lang w:val="fr-CA"/>
        </w:rPr>
        <w:t>’</w:t>
      </w:r>
      <w:r w:rsidRPr="00393D65">
        <w:rPr>
          <w:lang w:val="fr-CA"/>
        </w:rPr>
        <w:t>assurer à Sa Majesté du chef de cette province la remise de sommes déduites ou retenues aux termes d</w:t>
      </w:r>
      <w:r w:rsidR="00C03762">
        <w:rPr>
          <w:lang w:val="fr-CA"/>
        </w:rPr>
        <w:t>’</w:t>
      </w:r>
      <w:r w:rsidRPr="00393D65">
        <w:rPr>
          <w:lang w:val="fr-CA"/>
        </w:rPr>
        <w:t>une loi de cette province, dans la mesure où, dans ce dernier cas, se réalise l</w:t>
      </w:r>
      <w:r w:rsidR="00C03762">
        <w:rPr>
          <w:lang w:val="fr-CA"/>
        </w:rPr>
        <w:t>’</w:t>
      </w:r>
      <w:r w:rsidRPr="00393D65">
        <w:rPr>
          <w:lang w:val="fr-CA"/>
        </w:rPr>
        <w:t>une des conditions suivantes :</w:t>
      </w:r>
    </w:p>
    <w:p w:rsidR="008C3D0D" w:rsidRPr="00393D65" w:rsidRDefault="008C3D0D" w:rsidP="008C3D0D">
      <w:pPr>
        <w:pStyle w:val="Citation"/>
        <w:rPr>
          <w:lang w:val="fr-CA"/>
        </w:rPr>
      </w:pPr>
    </w:p>
    <w:p w:rsidR="008C3D0D" w:rsidRPr="00393D65" w:rsidRDefault="008C3D0D" w:rsidP="008C3D0D">
      <w:pPr>
        <w:pStyle w:val="Citation"/>
        <w:ind w:left="720"/>
        <w:rPr>
          <w:lang w:val="fr-CA"/>
        </w:rPr>
      </w:pPr>
      <w:r w:rsidRPr="00393D65">
        <w:rPr>
          <w:i/>
          <w:lang w:val="fr-CA"/>
        </w:rPr>
        <w:t>a</w:t>
      </w:r>
      <w:r w:rsidRPr="00393D65">
        <w:rPr>
          <w:lang w:val="fr-CA"/>
        </w:rPr>
        <w:t xml:space="preserve">)  la loi de cette province prévoit un impôt semblable, de par sa nature, à celui prévu par la </w:t>
      </w:r>
      <w:r w:rsidRPr="00393D65">
        <w:rPr>
          <w:i/>
          <w:lang w:val="fr-CA"/>
        </w:rPr>
        <w:t>Loi de l</w:t>
      </w:r>
      <w:r w:rsidR="00C03762">
        <w:rPr>
          <w:i/>
          <w:lang w:val="fr-CA"/>
        </w:rPr>
        <w:t>’</w:t>
      </w:r>
      <w:r w:rsidRPr="00393D65">
        <w:rPr>
          <w:i/>
          <w:lang w:val="fr-CA"/>
        </w:rPr>
        <w:t>impôt sur le revenu</w:t>
      </w:r>
      <w:r w:rsidRPr="00393D65">
        <w:rPr>
          <w:lang w:val="fr-CA"/>
        </w:rPr>
        <w:t xml:space="preserve">, et les sommes déduites ou retenues aux termes de la loi de cette province sont de même nature que celles visées aux paragraphes 227(4) ou (4.1) de la </w:t>
      </w:r>
      <w:r w:rsidRPr="00393D65">
        <w:rPr>
          <w:i/>
          <w:lang w:val="fr-CA"/>
        </w:rPr>
        <w:t>Loi de l</w:t>
      </w:r>
      <w:r w:rsidR="00C03762">
        <w:rPr>
          <w:i/>
          <w:lang w:val="fr-CA"/>
        </w:rPr>
        <w:t>’</w:t>
      </w:r>
      <w:r w:rsidRPr="00393D65">
        <w:rPr>
          <w:i/>
          <w:lang w:val="fr-CA"/>
        </w:rPr>
        <w:t>impôt sur le revenu</w:t>
      </w:r>
      <w:r w:rsidRPr="00393D65">
        <w:rPr>
          <w:lang w:val="fr-CA"/>
        </w:rPr>
        <w:t>;</w:t>
      </w:r>
    </w:p>
    <w:p w:rsidR="008C3D0D" w:rsidRPr="00393D65" w:rsidRDefault="008C3D0D" w:rsidP="008C3D0D">
      <w:pPr>
        <w:pStyle w:val="Citation"/>
        <w:ind w:left="720"/>
        <w:rPr>
          <w:lang w:val="fr-CA"/>
        </w:rPr>
      </w:pPr>
    </w:p>
    <w:p w:rsidR="008C3D0D" w:rsidRPr="00393D65" w:rsidRDefault="008C3D0D" w:rsidP="008C3D0D">
      <w:pPr>
        <w:pStyle w:val="Citation"/>
        <w:ind w:left="720"/>
        <w:rPr>
          <w:lang w:val="fr-CA"/>
        </w:rPr>
      </w:pPr>
      <w:r w:rsidRPr="00393D65">
        <w:rPr>
          <w:i/>
          <w:lang w:val="fr-CA"/>
        </w:rPr>
        <w:t>b</w:t>
      </w:r>
      <w:r w:rsidRPr="00393D65">
        <w:rPr>
          <w:lang w:val="fr-CA"/>
        </w:rPr>
        <w:t xml:space="preserve">)  cette province est « une province instituant un régime général de pensions » au sens du paragraphe 3(1) du </w:t>
      </w:r>
      <w:r w:rsidRPr="00393D65">
        <w:rPr>
          <w:i/>
          <w:lang w:val="fr-CA"/>
        </w:rPr>
        <w:t>Régime de pensions du Canada</w:t>
      </w:r>
      <w:r w:rsidRPr="00393D65">
        <w:rPr>
          <w:lang w:val="fr-CA"/>
        </w:rPr>
        <w:t xml:space="preserve">, la loi de cette province institue un « régime provincial de pensions » au sens de ce paragraphe, et les sommes déduites ou retenues aux termes de la loi de cette province sont de même nature que celles visées aux paragraphes 23(3) ou (4) du </w:t>
      </w:r>
      <w:r w:rsidRPr="00393D65">
        <w:rPr>
          <w:i/>
          <w:lang w:val="fr-CA"/>
        </w:rPr>
        <w:t>Régime de pensions du Canada</w:t>
      </w:r>
      <w:r w:rsidRPr="00393D65">
        <w:rPr>
          <w:lang w:val="fr-CA"/>
        </w:rPr>
        <w:t>.</w:t>
      </w:r>
    </w:p>
    <w:p w:rsidR="008C3D0D" w:rsidRPr="00393D65" w:rsidRDefault="008C3D0D" w:rsidP="008C3D0D">
      <w:pPr>
        <w:pStyle w:val="Citation"/>
        <w:ind w:left="0"/>
        <w:rPr>
          <w:lang w:val="fr-CA"/>
        </w:rPr>
      </w:pPr>
    </w:p>
    <w:p w:rsidR="008C3D0D" w:rsidRPr="00393D65" w:rsidRDefault="008C3D0D" w:rsidP="008C3D0D">
      <w:pPr>
        <w:pStyle w:val="Citation"/>
        <w:ind w:left="0"/>
        <w:rPr>
          <w:lang w:val="fr-CA"/>
        </w:rPr>
      </w:pPr>
      <w:r w:rsidRPr="00393D65">
        <w:rPr>
          <w:lang w:val="fr-CA"/>
        </w:rPr>
        <w:t>Pour l</w:t>
      </w:r>
      <w:r w:rsidR="00C03762">
        <w:rPr>
          <w:lang w:val="fr-CA"/>
        </w:rPr>
        <w:t>’</w:t>
      </w:r>
      <w:r w:rsidRPr="00393D65">
        <w:rPr>
          <w:lang w:val="fr-CA"/>
        </w:rPr>
        <w:t>application du présent paragraphe, toute disposition de la loi provinciale qui crée une fiducie présumée est réputée avoir, à l</w:t>
      </w:r>
      <w:r w:rsidR="00C03762">
        <w:rPr>
          <w:lang w:val="fr-CA"/>
        </w:rPr>
        <w:t>’</w:t>
      </w:r>
      <w:r w:rsidRPr="00393D65">
        <w:rPr>
          <w:lang w:val="fr-CA"/>
        </w:rPr>
        <w:t>encontre de tout créancier du failli et malgré tout texte législatif fédéral ou provincial et toute règle de droit, la même portée et le même effet que la disposition fédérale correspondante, quelle que soit la garantie dont bénéficie le créancier.</w:t>
      </w:r>
    </w:p>
    <w:p w:rsidR="008C3D0D" w:rsidRPr="00393D65" w:rsidRDefault="008C3D0D" w:rsidP="008C3D0D">
      <w:pPr>
        <w:pStyle w:val="Citation"/>
        <w:ind w:left="0"/>
        <w:rPr>
          <w:lang w:val="fr-CA"/>
        </w:rPr>
      </w:pPr>
    </w:p>
    <w:p w:rsidR="008C3D0D" w:rsidRPr="00393D65" w:rsidRDefault="008C3D0D" w:rsidP="008C3D0D">
      <w:pPr>
        <w:pStyle w:val="Citation"/>
        <w:ind w:left="0"/>
        <w:rPr>
          <w:lang w:val="fr-CA"/>
        </w:rPr>
      </w:pPr>
    </w:p>
    <w:p w:rsidR="008C3D0D" w:rsidRPr="00393D65" w:rsidRDefault="008C3D0D" w:rsidP="008C3D0D">
      <w:pPr>
        <w:pStyle w:val="Citation"/>
        <w:ind w:left="0"/>
        <w:rPr>
          <w:lang w:val="fr-CA"/>
        </w:rPr>
      </w:pPr>
      <w:r w:rsidRPr="00393D65">
        <w:rPr>
          <w:lang w:val="fr-CA"/>
        </w:rPr>
        <w:tab/>
      </w:r>
      <w:r w:rsidRPr="00393D65">
        <w:rPr>
          <w:b/>
          <w:lang w:val="fr-CA"/>
        </w:rPr>
        <w:t>86.</w:t>
      </w:r>
      <w:r w:rsidRPr="00393D65">
        <w:rPr>
          <w:lang w:val="fr-CA"/>
        </w:rPr>
        <w:t> (1)  [Réclamations de la Couronne] Dans le cadre d</w:t>
      </w:r>
      <w:r w:rsidR="00C03762">
        <w:rPr>
          <w:lang w:val="fr-CA"/>
        </w:rPr>
        <w:t>’</w:t>
      </w:r>
      <w:r w:rsidRPr="00393D65">
        <w:rPr>
          <w:lang w:val="fr-CA"/>
        </w:rPr>
        <w:t>une faillite ou d</w:t>
      </w:r>
      <w:r w:rsidR="00C03762">
        <w:rPr>
          <w:lang w:val="fr-CA"/>
        </w:rPr>
        <w:t>’</w:t>
      </w:r>
      <w:r w:rsidRPr="00393D65">
        <w:rPr>
          <w:lang w:val="fr-CA"/>
        </w:rPr>
        <w:t>une proposition, les réclamations prouvables — y compris les réclamations garanties — de Sa Majesté du chef du Canada ou d</w:t>
      </w:r>
      <w:r w:rsidR="00C03762">
        <w:rPr>
          <w:lang w:val="fr-CA"/>
        </w:rPr>
        <w:t>’</w:t>
      </w:r>
      <w:r w:rsidRPr="00393D65">
        <w:rPr>
          <w:lang w:val="fr-CA"/>
        </w:rPr>
        <w:t>une province ou d</w:t>
      </w:r>
      <w:r w:rsidR="00C03762">
        <w:rPr>
          <w:lang w:val="fr-CA"/>
        </w:rPr>
        <w:t>’</w:t>
      </w:r>
      <w:r w:rsidRPr="00393D65">
        <w:rPr>
          <w:lang w:val="fr-CA"/>
        </w:rPr>
        <w:t>un organisme compétent au titre d</w:t>
      </w:r>
      <w:r w:rsidR="00C03762">
        <w:rPr>
          <w:lang w:val="fr-CA"/>
        </w:rPr>
        <w:t>’</w:t>
      </w:r>
      <w:r w:rsidRPr="00393D65">
        <w:rPr>
          <w:lang w:val="fr-CA"/>
        </w:rPr>
        <w:t>une loi sur les accidents du travail prennent rang comme réclamations non garanties.</w:t>
      </w:r>
    </w:p>
    <w:p w:rsidR="008C3D0D" w:rsidRPr="00393D65" w:rsidRDefault="008C3D0D" w:rsidP="008C3D0D">
      <w:pPr>
        <w:pStyle w:val="Citation"/>
        <w:ind w:left="0"/>
        <w:rPr>
          <w:lang w:val="fr-CA"/>
        </w:rPr>
      </w:pPr>
    </w:p>
    <w:p w:rsidR="008C3D0D" w:rsidRPr="00393D65" w:rsidRDefault="008C3D0D" w:rsidP="008C3D0D">
      <w:pPr>
        <w:pStyle w:val="Citation"/>
        <w:ind w:left="0"/>
        <w:jc w:val="center"/>
        <w:rPr>
          <w:lang w:val="fr-CA"/>
        </w:rPr>
      </w:pPr>
      <w:r w:rsidRPr="00393D65">
        <w:rPr>
          <w:lang w:val="fr-CA"/>
        </w:rPr>
        <w:t>. . .</w:t>
      </w:r>
    </w:p>
    <w:p w:rsidR="008C3D0D" w:rsidRPr="00393D65" w:rsidRDefault="008C3D0D" w:rsidP="008C3D0D">
      <w:pPr>
        <w:pStyle w:val="Citation"/>
        <w:ind w:left="0"/>
        <w:rPr>
          <w:lang w:val="fr-CA"/>
        </w:rPr>
      </w:pPr>
    </w:p>
    <w:p w:rsidR="008C3D0D" w:rsidRPr="00393D65" w:rsidRDefault="008C3D0D" w:rsidP="008C3D0D">
      <w:pPr>
        <w:pStyle w:val="Citation"/>
        <w:ind w:left="0"/>
        <w:rPr>
          <w:lang w:val="fr-CA"/>
        </w:rPr>
      </w:pPr>
      <w:r w:rsidRPr="00393D65">
        <w:rPr>
          <w:lang w:val="fr-CA"/>
        </w:rPr>
        <w:lastRenderedPageBreak/>
        <w:tab/>
        <w:t>(3)  [Effet] Le paragraphe (1) n</w:t>
      </w:r>
      <w:r w:rsidR="00C03762">
        <w:rPr>
          <w:lang w:val="fr-CA"/>
        </w:rPr>
        <w:t>’</w:t>
      </w:r>
      <w:r w:rsidRPr="00393D65">
        <w:rPr>
          <w:lang w:val="fr-CA"/>
        </w:rPr>
        <w:t>a pas pour effet de porter atteinte à l</w:t>
      </w:r>
      <w:r w:rsidR="00C03762">
        <w:rPr>
          <w:lang w:val="fr-CA"/>
        </w:rPr>
        <w:t>’</w:t>
      </w:r>
      <w:r w:rsidRPr="00393D65">
        <w:rPr>
          <w:lang w:val="fr-CA"/>
        </w:rPr>
        <w:t>application des dispositions suivantes :</w:t>
      </w:r>
    </w:p>
    <w:p w:rsidR="008C3D0D" w:rsidRPr="00393D65" w:rsidRDefault="008C3D0D" w:rsidP="008C3D0D">
      <w:pPr>
        <w:pStyle w:val="Citation"/>
        <w:ind w:left="720"/>
        <w:rPr>
          <w:lang w:val="fr-CA"/>
        </w:rPr>
      </w:pPr>
    </w:p>
    <w:p w:rsidR="008C3D0D" w:rsidRPr="00393D65" w:rsidRDefault="008C3D0D" w:rsidP="008C3D0D">
      <w:pPr>
        <w:pStyle w:val="Citation"/>
        <w:ind w:left="720"/>
        <w:rPr>
          <w:lang w:val="fr-CA"/>
        </w:rPr>
      </w:pPr>
      <w:r w:rsidRPr="00393D65">
        <w:rPr>
          <w:i/>
          <w:lang w:val="fr-CA"/>
        </w:rPr>
        <w:t>a</w:t>
      </w:r>
      <w:r w:rsidRPr="00393D65">
        <w:rPr>
          <w:lang w:val="fr-CA"/>
        </w:rPr>
        <w:t xml:space="preserve">)  les paragraphes 224(1.2) et (1.3) de la </w:t>
      </w:r>
      <w:r w:rsidRPr="00393D65">
        <w:rPr>
          <w:i/>
          <w:lang w:val="fr-CA"/>
        </w:rPr>
        <w:t>Loi de l</w:t>
      </w:r>
      <w:r w:rsidR="00C03762">
        <w:rPr>
          <w:i/>
          <w:lang w:val="fr-CA"/>
        </w:rPr>
        <w:t>’</w:t>
      </w:r>
      <w:r w:rsidRPr="00393D65">
        <w:rPr>
          <w:i/>
          <w:lang w:val="fr-CA"/>
        </w:rPr>
        <w:t>impôt sur le revenu</w:t>
      </w:r>
      <w:r w:rsidRPr="00393D65">
        <w:rPr>
          <w:lang w:val="fr-CA"/>
        </w:rPr>
        <w:t>;</w:t>
      </w:r>
    </w:p>
    <w:p w:rsidR="008C3D0D" w:rsidRPr="00393D65" w:rsidRDefault="008C3D0D" w:rsidP="008C3D0D">
      <w:pPr>
        <w:pStyle w:val="Citation"/>
        <w:ind w:left="720"/>
        <w:rPr>
          <w:lang w:val="fr-CA"/>
        </w:rPr>
      </w:pPr>
    </w:p>
    <w:p w:rsidR="008C3D0D" w:rsidRPr="00393D65" w:rsidRDefault="008C3D0D" w:rsidP="008C3D0D">
      <w:pPr>
        <w:pStyle w:val="Citation"/>
        <w:ind w:left="720"/>
        <w:rPr>
          <w:lang w:val="fr-CA"/>
        </w:rPr>
      </w:pPr>
      <w:r w:rsidRPr="00393D65">
        <w:rPr>
          <w:i/>
          <w:lang w:val="fr-CA"/>
        </w:rPr>
        <w:t>b</w:t>
      </w:r>
      <w:r w:rsidRPr="00393D65">
        <w:rPr>
          <w:lang w:val="fr-CA"/>
        </w:rPr>
        <w:t xml:space="preserve">)  toute disposition du </w:t>
      </w:r>
      <w:r w:rsidRPr="00393D65">
        <w:rPr>
          <w:i/>
          <w:lang w:val="fr-CA"/>
        </w:rPr>
        <w:t>Régime de pensions du Canada</w:t>
      </w:r>
      <w:r w:rsidRPr="00393D65">
        <w:rPr>
          <w:lang w:val="fr-CA"/>
        </w:rPr>
        <w:t xml:space="preserve"> ou de la </w:t>
      </w:r>
      <w:r w:rsidRPr="00393D65">
        <w:rPr>
          <w:i/>
          <w:lang w:val="fr-CA"/>
        </w:rPr>
        <w:t>Loi sur l</w:t>
      </w:r>
      <w:r w:rsidR="00C03762">
        <w:rPr>
          <w:i/>
          <w:lang w:val="fr-CA"/>
        </w:rPr>
        <w:t>’</w:t>
      </w:r>
      <w:r w:rsidRPr="00393D65">
        <w:rPr>
          <w:i/>
          <w:lang w:val="fr-CA"/>
        </w:rPr>
        <w:t>assurance</w:t>
      </w:r>
      <w:r w:rsidRPr="00393D65">
        <w:rPr>
          <w:i/>
          <w:lang w:val="fr-CA"/>
        </w:rPr>
        <w:noBreakHyphen/>
        <w:t>emploi</w:t>
      </w:r>
      <w:r w:rsidRPr="00393D65">
        <w:rPr>
          <w:lang w:val="fr-CA"/>
        </w:rPr>
        <w:t xml:space="preserve"> qui renvoie au paragraphe 224(1.2) de la </w:t>
      </w:r>
      <w:r w:rsidRPr="00393D65">
        <w:rPr>
          <w:i/>
          <w:lang w:val="fr-CA"/>
        </w:rPr>
        <w:t>Loi de l</w:t>
      </w:r>
      <w:r w:rsidR="00C03762">
        <w:rPr>
          <w:i/>
          <w:lang w:val="fr-CA"/>
        </w:rPr>
        <w:t>’</w:t>
      </w:r>
      <w:r w:rsidRPr="00393D65">
        <w:rPr>
          <w:i/>
          <w:lang w:val="fr-CA"/>
        </w:rPr>
        <w:t>impôt sur le revenu</w:t>
      </w:r>
      <w:r w:rsidRPr="00393D65">
        <w:rPr>
          <w:lang w:val="fr-CA"/>
        </w:rPr>
        <w:t xml:space="preserve"> et qui prévoit la perception d</w:t>
      </w:r>
      <w:r w:rsidR="00C03762">
        <w:rPr>
          <w:lang w:val="fr-CA"/>
        </w:rPr>
        <w:t>’</w:t>
      </w:r>
      <w:r w:rsidRPr="00393D65">
        <w:rPr>
          <w:lang w:val="fr-CA"/>
        </w:rPr>
        <w:t xml:space="preserve">une cotisation, au sens du </w:t>
      </w:r>
      <w:r w:rsidRPr="00393D65">
        <w:rPr>
          <w:i/>
          <w:lang w:val="fr-CA"/>
        </w:rPr>
        <w:t>Régime de pensions du Canada</w:t>
      </w:r>
      <w:r w:rsidRPr="00393D65">
        <w:rPr>
          <w:lang w:val="fr-CA"/>
        </w:rPr>
        <w:t>, ou d</w:t>
      </w:r>
      <w:r w:rsidR="00C03762">
        <w:rPr>
          <w:lang w:val="fr-CA"/>
        </w:rPr>
        <w:t>’</w:t>
      </w:r>
      <w:r w:rsidRPr="00393D65">
        <w:rPr>
          <w:lang w:val="fr-CA"/>
        </w:rPr>
        <w:t>une cotisation ouvrière ou d</w:t>
      </w:r>
      <w:r w:rsidR="00C03762">
        <w:rPr>
          <w:lang w:val="fr-CA"/>
        </w:rPr>
        <w:t>’</w:t>
      </w:r>
      <w:r w:rsidRPr="00393D65">
        <w:rPr>
          <w:lang w:val="fr-CA"/>
        </w:rPr>
        <w:t xml:space="preserve">une cotisation patronale, au sens de la </w:t>
      </w:r>
      <w:r w:rsidRPr="00393D65">
        <w:rPr>
          <w:i/>
          <w:lang w:val="fr-CA"/>
        </w:rPr>
        <w:t>Loi sur l</w:t>
      </w:r>
      <w:r w:rsidR="00C03762">
        <w:rPr>
          <w:i/>
          <w:lang w:val="fr-CA"/>
        </w:rPr>
        <w:t>’</w:t>
      </w:r>
      <w:r w:rsidRPr="00393D65">
        <w:rPr>
          <w:i/>
          <w:lang w:val="fr-CA"/>
        </w:rPr>
        <w:t>assurance</w:t>
      </w:r>
      <w:r w:rsidRPr="00393D65">
        <w:rPr>
          <w:i/>
          <w:lang w:val="fr-CA"/>
        </w:rPr>
        <w:noBreakHyphen/>
        <w:t>emploi</w:t>
      </w:r>
      <w:r w:rsidRPr="00393D65">
        <w:rPr>
          <w:lang w:val="fr-CA"/>
        </w:rPr>
        <w:t>, et des intérêts, pénalités ou autres montants y afférents;</w:t>
      </w:r>
    </w:p>
    <w:p w:rsidR="008C3D0D" w:rsidRPr="00393D65" w:rsidRDefault="008C3D0D" w:rsidP="008C3D0D">
      <w:pPr>
        <w:pStyle w:val="Citation"/>
        <w:ind w:left="720"/>
        <w:rPr>
          <w:lang w:val="fr-CA"/>
        </w:rPr>
      </w:pPr>
    </w:p>
    <w:p w:rsidR="008C3D0D" w:rsidRPr="00393D65" w:rsidRDefault="008C3D0D" w:rsidP="008C3D0D">
      <w:pPr>
        <w:pStyle w:val="Citation"/>
        <w:ind w:left="720"/>
        <w:rPr>
          <w:lang w:val="fr-CA"/>
        </w:rPr>
      </w:pPr>
      <w:r w:rsidRPr="00393D65">
        <w:rPr>
          <w:i/>
          <w:lang w:val="fr-CA"/>
        </w:rPr>
        <w:t>c</w:t>
      </w:r>
      <w:r w:rsidRPr="00393D65">
        <w:rPr>
          <w:lang w:val="fr-CA"/>
        </w:rPr>
        <w:t>)  toute disposition législative provinciale dont l</w:t>
      </w:r>
      <w:r w:rsidR="00C03762">
        <w:rPr>
          <w:lang w:val="fr-CA"/>
        </w:rPr>
        <w:t>’</w:t>
      </w:r>
      <w:r w:rsidRPr="00393D65">
        <w:rPr>
          <w:lang w:val="fr-CA"/>
        </w:rPr>
        <w:t xml:space="preserve">objet est semblable à celui du paragraphe 224(1.2) de la </w:t>
      </w:r>
      <w:r w:rsidRPr="00393D65">
        <w:rPr>
          <w:i/>
          <w:lang w:val="fr-CA"/>
        </w:rPr>
        <w:t>Loi de l</w:t>
      </w:r>
      <w:r w:rsidR="00C03762">
        <w:rPr>
          <w:i/>
          <w:lang w:val="fr-CA"/>
        </w:rPr>
        <w:t>’</w:t>
      </w:r>
      <w:r w:rsidRPr="00393D65">
        <w:rPr>
          <w:i/>
          <w:lang w:val="fr-CA"/>
        </w:rPr>
        <w:t>impôt sur le revenu</w:t>
      </w:r>
      <w:r w:rsidRPr="00393D65">
        <w:rPr>
          <w:lang w:val="fr-CA"/>
        </w:rPr>
        <w:t>, ou qui renvoie à ce paragraphe, dans la mesure où elle prévoit la perception d</w:t>
      </w:r>
      <w:r w:rsidR="00C03762">
        <w:rPr>
          <w:lang w:val="fr-CA"/>
        </w:rPr>
        <w:t>’</w:t>
      </w:r>
      <w:r w:rsidRPr="00393D65">
        <w:rPr>
          <w:lang w:val="fr-CA"/>
        </w:rPr>
        <w:t>une somme, et des intérêts, pénalités ou autres montants y afférents, qui :</w:t>
      </w:r>
    </w:p>
    <w:p w:rsidR="008C3D0D" w:rsidRPr="00393D65" w:rsidRDefault="008C3D0D" w:rsidP="008C3D0D">
      <w:pPr>
        <w:pStyle w:val="Citation"/>
        <w:ind w:left="720"/>
        <w:rPr>
          <w:lang w:val="fr-CA"/>
        </w:rPr>
      </w:pPr>
    </w:p>
    <w:p w:rsidR="008C3D0D" w:rsidRPr="00393D65" w:rsidRDefault="008C3D0D" w:rsidP="008C3D0D">
      <w:pPr>
        <w:pStyle w:val="Citation"/>
        <w:ind w:left="1440"/>
        <w:rPr>
          <w:lang w:val="fr-CA"/>
        </w:rPr>
      </w:pPr>
      <w:r w:rsidRPr="00393D65">
        <w:rPr>
          <w:lang w:val="fr-CA"/>
        </w:rPr>
        <w:t>(i)  soit a été retenue par une personne sur un paiement effectué à une autre personne, ou déduite d</w:t>
      </w:r>
      <w:r w:rsidR="00C03762">
        <w:rPr>
          <w:lang w:val="fr-CA"/>
        </w:rPr>
        <w:t>’</w:t>
      </w:r>
      <w:r w:rsidRPr="00393D65">
        <w:rPr>
          <w:lang w:val="fr-CA"/>
        </w:rPr>
        <w:t>un tel paiement, et se rapporte à un impôt semblable, de par sa nature, à l</w:t>
      </w:r>
      <w:r w:rsidR="00C03762">
        <w:rPr>
          <w:lang w:val="fr-CA"/>
        </w:rPr>
        <w:t>’</w:t>
      </w:r>
      <w:r w:rsidRPr="00393D65">
        <w:rPr>
          <w:lang w:val="fr-CA"/>
        </w:rPr>
        <w:t xml:space="preserve">impôt sur le revenu auquel les particuliers sont assujettis en vertu de la </w:t>
      </w:r>
      <w:r w:rsidRPr="00393D65">
        <w:rPr>
          <w:i/>
          <w:lang w:val="fr-CA"/>
        </w:rPr>
        <w:t>Loi de l</w:t>
      </w:r>
      <w:r w:rsidR="00C03762">
        <w:rPr>
          <w:i/>
          <w:lang w:val="fr-CA"/>
        </w:rPr>
        <w:t>’</w:t>
      </w:r>
      <w:r w:rsidRPr="00393D65">
        <w:rPr>
          <w:i/>
          <w:lang w:val="fr-CA"/>
        </w:rPr>
        <w:t>impôt sur le revenu</w:t>
      </w:r>
      <w:r w:rsidRPr="00393D65">
        <w:rPr>
          <w:lang w:val="fr-CA"/>
        </w:rPr>
        <w:t>,</w:t>
      </w:r>
    </w:p>
    <w:p w:rsidR="008C3D0D" w:rsidRPr="00393D65" w:rsidRDefault="008C3D0D" w:rsidP="008C3D0D">
      <w:pPr>
        <w:pStyle w:val="Citation"/>
        <w:ind w:left="1440"/>
        <w:rPr>
          <w:lang w:val="fr-CA"/>
        </w:rPr>
      </w:pPr>
    </w:p>
    <w:p w:rsidR="008C3D0D" w:rsidRPr="00393D65" w:rsidRDefault="008C3D0D" w:rsidP="008C3D0D">
      <w:pPr>
        <w:pStyle w:val="Citation"/>
        <w:ind w:left="1440"/>
        <w:rPr>
          <w:lang w:val="fr-CA"/>
        </w:rPr>
      </w:pPr>
      <w:r w:rsidRPr="00393D65">
        <w:rPr>
          <w:lang w:val="fr-CA"/>
        </w:rPr>
        <w:t>(ii)  soit est de même nature qu</w:t>
      </w:r>
      <w:r w:rsidR="00C03762">
        <w:rPr>
          <w:lang w:val="fr-CA"/>
        </w:rPr>
        <w:t>’</w:t>
      </w:r>
      <w:r w:rsidRPr="00393D65">
        <w:rPr>
          <w:lang w:val="fr-CA"/>
        </w:rPr>
        <w:t xml:space="preserve">une cotisation prévue par le </w:t>
      </w:r>
      <w:r w:rsidRPr="00393D65">
        <w:rPr>
          <w:i/>
          <w:lang w:val="fr-CA"/>
        </w:rPr>
        <w:t>Régime de pensions du Canada</w:t>
      </w:r>
      <w:r w:rsidRPr="00393D65">
        <w:rPr>
          <w:lang w:val="fr-CA"/>
        </w:rPr>
        <w:t>, si la province est « une province instituant un régime général de pensions » au sens du paragraphe 3(1) de cette loi et si la loi provinciale institue un « régime provincial de pensions » au sens de ce paragraphe.</w:t>
      </w:r>
    </w:p>
    <w:p w:rsidR="008C3D0D" w:rsidRPr="00393D65" w:rsidRDefault="008C3D0D" w:rsidP="008C3D0D">
      <w:pPr>
        <w:pStyle w:val="Citation"/>
        <w:ind w:left="0"/>
        <w:rPr>
          <w:lang w:val="fr-CA"/>
        </w:rPr>
      </w:pPr>
    </w:p>
    <w:p w:rsidR="008C3D0D" w:rsidRPr="00393D65" w:rsidRDefault="008C3D0D" w:rsidP="008C3D0D">
      <w:pPr>
        <w:pStyle w:val="Citation"/>
        <w:ind w:left="0"/>
        <w:rPr>
          <w:lang w:val="fr-CA"/>
        </w:rPr>
      </w:pPr>
      <w:r w:rsidRPr="00393D65">
        <w:rPr>
          <w:lang w:val="fr-CA"/>
        </w:rPr>
        <w:t>Pour l</w:t>
      </w:r>
      <w:r w:rsidR="00C03762">
        <w:rPr>
          <w:lang w:val="fr-CA"/>
        </w:rPr>
        <w:t>’</w:t>
      </w:r>
      <w:r w:rsidRPr="00393D65">
        <w:rPr>
          <w:lang w:val="fr-CA"/>
        </w:rPr>
        <w:t>application de l</w:t>
      </w:r>
      <w:r w:rsidR="00C03762">
        <w:rPr>
          <w:lang w:val="fr-CA"/>
        </w:rPr>
        <w:t>’</w:t>
      </w:r>
      <w:r w:rsidRPr="00393D65">
        <w:rPr>
          <w:lang w:val="fr-CA"/>
        </w:rPr>
        <w:t>alinéa </w:t>
      </w:r>
      <w:r w:rsidRPr="00393D65">
        <w:rPr>
          <w:i/>
          <w:lang w:val="fr-CA"/>
        </w:rPr>
        <w:t>c</w:t>
      </w:r>
      <w:r w:rsidRPr="00393D65">
        <w:rPr>
          <w:lang w:val="fr-CA"/>
        </w:rPr>
        <w:t>), la disposition législative provinciale en question est réputée avoir, à l</w:t>
      </w:r>
      <w:r w:rsidR="00C03762">
        <w:rPr>
          <w:lang w:val="fr-CA"/>
        </w:rPr>
        <w:t>’</w:t>
      </w:r>
      <w:r w:rsidRPr="00393D65">
        <w:rPr>
          <w:lang w:val="fr-CA"/>
        </w:rPr>
        <w:t xml:space="preserve">encontre de tout créancier et malgré tout texte législatif fédéral ou provincial et toute règle de droit, la même portée et le même effet que le paragraphe 224(1.2) de la </w:t>
      </w:r>
      <w:r w:rsidRPr="00393D65">
        <w:rPr>
          <w:i/>
          <w:lang w:val="fr-CA"/>
        </w:rPr>
        <w:t>Loi de l</w:t>
      </w:r>
      <w:r w:rsidR="00C03762">
        <w:rPr>
          <w:i/>
          <w:lang w:val="fr-CA"/>
        </w:rPr>
        <w:t>’</w:t>
      </w:r>
      <w:r w:rsidRPr="00393D65">
        <w:rPr>
          <w:i/>
          <w:lang w:val="fr-CA"/>
        </w:rPr>
        <w:t>impôt sur le revenu</w:t>
      </w:r>
      <w:r w:rsidRPr="00393D65">
        <w:rPr>
          <w:lang w:val="fr-CA"/>
        </w:rPr>
        <w:t xml:space="preserve"> quant à la somme visée au sous</w:t>
      </w:r>
      <w:r w:rsidRPr="00393D65">
        <w:rPr>
          <w:lang w:val="fr-CA"/>
        </w:rPr>
        <w:noBreakHyphen/>
        <w:t>alinéa </w:t>
      </w:r>
      <w:r w:rsidRPr="00393D65">
        <w:rPr>
          <w:i/>
          <w:lang w:val="fr-CA"/>
        </w:rPr>
        <w:t>c</w:t>
      </w:r>
      <w:r w:rsidRPr="00393D65">
        <w:rPr>
          <w:lang w:val="fr-CA"/>
        </w:rPr>
        <w:t xml:space="preserve">)(i), ou que le paragraphe 23(2) du </w:t>
      </w:r>
      <w:r w:rsidRPr="00393D65">
        <w:rPr>
          <w:i/>
          <w:lang w:val="fr-CA"/>
        </w:rPr>
        <w:t>Régime de pensions du Canada</w:t>
      </w:r>
      <w:r w:rsidRPr="00393D65">
        <w:rPr>
          <w:lang w:val="fr-CA"/>
        </w:rPr>
        <w:t xml:space="preserve"> quant à la somme visée au sous</w:t>
      </w:r>
      <w:r w:rsidRPr="00393D65">
        <w:rPr>
          <w:lang w:val="fr-CA"/>
        </w:rPr>
        <w:noBreakHyphen/>
        <w:t>alinéa </w:t>
      </w:r>
      <w:r w:rsidRPr="00393D65">
        <w:rPr>
          <w:i/>
          <w:lang w:val="fr-CA"/>
        </w:rPr>
        <w:t>c</w:t>
      </w:r>
      <w:r w:rsidRPr="00393D65">
        <w:rPr>
          <w:lang w:val="fr-CA"/>
        </w:rPr>
        <w:t>)(ii), et quant aux intérêts, pénalités ou autres montants y afférents, quelle que soit la garantie dont bénéficie le créancier.</w:t>
      </w:r>
    </w:p>
    <w:p w:rsidR="008C3D0D" w:rsidRPr="00393D65" w:rsidRDefault="008C3D0D" w:rsidP="008C3D0D">
      <w:pPr>
        <w:pStyle w:val="ListParagraph"/>
        <w:tabs>
          <w:tab w:val="left" w:pos="1170"/>
        </w:tabs>
        <w:spacing w:after="480" w:line="480" w:lineRule="auto"/>
        <w:ind w:left="0"/>
        <w:jc w:val="both"/>
        <w:rPr>
          <w:lang w:val="fr-CA" w:eastAsia="fr-CA"/>
        </w:rPr>
      </w:pPr>
    </w:p>
    <w:p w:rsidR="008C3D0D" w:rsidRPr="00393D65" w:rsidRDefault="008C3D0D">
      <w:r w:rsidRPr="00393D65">
        <w:br w:type="page"/>
      </w:r>
    </w:p>
    <w:p w:rsidR="0033393C" w:rsidRPr="00393D65" w:rsidRDefault="0033393C" w:rsidP="0033393C">
      <w:pPr>
        <w:pStyle w:val="SCCNormalDoubleSpacing"/>
      </w:pPr>
    </w:p>
    <w:p w:rsidR="0033393C" w:rsidRPr="00393D65" w:rsidRDefault="00712162" w:rsidP="0033393C">
      <w:pPr>
        <w:pStyle w:val="SCCNormalDoubleSpacing"/>
        <w:rPr>
          <w:i/>
        </w:rPr>
      </w:pPr>
      <w:r w:rsidRPr="00393D65">
        <w:rPr>
          <w:i/>
        </w:rPr>
        <w:tab/>
        <w:t>Pourvoi accueilli</w:t>
      </w:r>
      <w:r w:rsidR="0024652B" w:rsidRPr="00393D65">
        <w:rPr>
          <w:i/>
        </w:rPr>
        <w:t xml:space="preserve"> avec dépens</w:t>
      </w:r>
      <w:r w:rsidRPr="00393D65">
        <w:rPr>
          <w:i/>
        </w:rPr>
        <w:t xml:space="preserve">, la juge </w:t>
      </w:r>
      <w:r w:rsidRPr="00393D65">
        <w:rPr>
          <w:smallCaps/>
        </w:rPr>
        <w:t>Abella</w:t>
      </w:r>
      <w:r w:rsidRPr="00393D65">
        <w:rPr>
          <w:i/>
        </w:rPr>
        <w:t xml:space="preserve"> est dissidente.</w:t>
      </w:r>
    </w:p>
    <w:p w:rsidR="0033393C" w:rsidRPr="00393D65" w:rsidRDefault="0033393C" w:rsidP="0033393C">
      <w:pPr>
        <w:pStyle w:val="SCCNormalDoubleSpacing"/>
      </w:pPr>
    </w:p>
    <w:p w:rsidR="00801207" w:rsidRPr="00393D65" w:rsidRDefault="00801207" w:rsidP="00801207">
      <w:pPr>
        <w:pStyle w:val="SCCLawFirm"/>
      </w:pPr>
      <w:r w:rsidRPr="00393D65">
        <w:tab/>
        <w:t>Procureurs de l</w:t>
      </w:r>
      <w:r w:rsidR="00C03762">
        <w:t>’</w:t>
      </w:r>
      <w:r w:rsidRPr="00393D65">
        <w:t>appelant</w:t>
      </w:r>
      <w:r w:rsidR="00B741F7" w:rsidRPr="00393D65">
        <w:t>e</w:t>
      </w:r>
      <w:r w:rsidRPr="00393D65">
        <w:t> :</w:t>
      </w:r>
      <w:r w:rsidR="003B1A13" w:rsidRPr="00393D65">
        <w:t> </w:t>
      </w:r>
      <w:r w:rsidRPr="00393D65">
        <w:t>Fraser Milner Casgrain, Vancouver.</w:t>
      </w:r>
    </w:p>
    <w:p w:rsidR="00801207" w:rsidRPr="00393D65" w:rsidRDefault="00801207" w:rsidP="00801207">
      <w:pPr>
        <w:pStyle w:val="SCCLawFirm"/>
      </w:pPr>
    </w:p>
    <w:p w:rsidR="00801207" w:rsidRPr="00393D65" w:rsidRDefault="003B1A13" w:rsidP="00801207">
      <w:pPr>
        <w:pStyle w:val="SCCLawFirm"/>
      </w:pPr>
      <w:r w:rsidRPr="00393D65">
        <w:tab/>
        <w:t>Procureur de l</w:t>
      </w:r>
      <w:r w:rsidR="00C03762">
        <w:t>’</w:t>
      </w:r>
      <w:r w:rsidRPr="00393D65">
        <w:t>intimé : </w:t>
      </w:r>
      <w:r w:rsidR="00E70833">
        <w:t>Procureur général du Canada</w:t>
      </w:r>
      <w:r w:rsidR="00801207" w:rsidRPr="00393D65">
        <w:t xml:space="preserve">, </w:t>
      </w:r>
      <w:r w:rsidR="00E70833">
        <w:t>Vancouver</w:t>
      </w:r>
      <w:r w:rsidR="00801207" w:rsidRPr="00393D65">
        <w:t>.</w:t>
      </w:r>
    </w:p>
    <w:p w:rsidR="008C3D0D" w:rsidRPr="00393D65" w:rsidRDefault="008C3D0D">
      <w:pPr>
        <w:rPr>
          <w:i/>
        </w:rPr>
      </w:pPr>
    </w:p>
    <w:sectPr w:rsidR="008C3D0D" w:rsidRPr="00393D65" w:rsidSect="006A387F">
      <w:headerReference w:type="even" r:id="rId10"/>
      <w:headerReference w:type="default" r:id="rId11"/>
      <w:footerReference w:type="even" r:id="rId12"/>
      <w:footerReference w:type="default" r:id="rId13"/>
      <w:pgSz w:w="12240" w:h="15840"/>
      <w:pgMar w:top="1267" w:right="2160" w:bottom="720" w:left="1800" w:header="180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D02" w:rsidRDefault="00BE2D02">
      <w:r>
        <w:separator/>
      </w:r>
    </w:p>
  </w:endnote>
  <w:endnote w:type="continuationSeparator" w:id="0">
    <w:p w:rsidR="00BE2D02" w:rsidRDefault="00BE2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D02" w:rsidRDefault="00BE2D02">
    <w:pPr>
      <w:tabs>
        <w:tab w:val="left" w:pos="-1440"/>
        <w:tab w:val="left" w:pos="-720"/>
        <w:tab w:val="left" w:pos="0"/>
        <w:tab w:val="left" w:pos="1152"/>
        <w:tab w:val="left" w:pos="1570"/>
        <w:tab w:val="left" w:pos="1843"/>
        <w:tab w:val="left" w:pos="2261"/>
        <w:tab w:val="left" w:pos="64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D02" w:rsidRDefault="00BE2D02">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D02" w:rsidRDefault="00BE2D02">
      <w:r>
        <w:separator/>
      </w:r>
    </w:p>
  </w:footnote>
  <w:footnote w:type="continuationSeparator" w:id="0">
    <w:p w:rsidR="00BE2D02" w:rsidRDefault="00BE2D02">
      <w:r>
        <w:continuationSeparator/>
      </w:r>
    </w:p>
  </w:footnote>
  <w:footnote w:id="1">
    <w:p w:rsidR="00BE2D02" w:rsidRDefault="00BE2D02" w:rsidP="00EF2EA0">
      <w:pPr>
        <w:pStyle w:val="FootnoteText"/>
        <w:ind w:left="990" w:hanging="270"/>
        <w:rPr>
          <w:lang w:val="fr-CA"/>
        </w:rPr>
      </w:pPr>
      <w:r>
        <w:rPr>
          <w:rStyle w:val="FootnoteReference"/>
        </w:rPr>
        <w:footnoteRef/>
      </w:r>
      <w:r>
        <w:rPr>
          <w:lang w:val="fr-CA"/>
        </w:rPr>
        <w:t xml:space="preserve"> </w:t>
      </w:r>
      <w:r>
        <w:rPr>
          <w:lang w:val="fr-CA"/>
        </w:rPr>
        <w:tab/>
        <w:t>L’article </w:t>
      </w:r>
      <w:r w:rsidRPr="00926153">
        <w:rPr>
          <w:lang w:val="fr-CA"/>
        </w:rPr>
        <w:t>11 a été modifié et le texte modifié</w:t>
      </w:r>
      <w:r>
        <w:rPr>
          <w:lang w:val="fr-CA"/>
        </w:rPr>
        <w:t xml:space="preserve">, qui est entré en vigueur le 18 septembre 2009, est rédigé ainsi : </w:t>
      </w:r>
    </w:p>
    <w:p w:rsidR="00BE2D02" w:rsidRDefault="00BE2D02" w:rsidP="00EF2EA0">
      <w:pPr>
        <w:pStyle w:val="FootnoteText"/>
        <w:ind w:left="360"/>
        <w:rPr>
          <w:lang w:val="fr-CA"/>
        </w:rPr>
      </w:pPr>
    </w:p>
    <w:p w:rsidR="00BE2D02" w:rsidRPr="00902EDD" w:rsidRDefault="00BE2D02" w:rsidP="00BE2D02">
      <w:pPr>
        <w:pStyle w:val="FootnoteText"/>
        <w:ind w:left="1080" w:firstLine="180"/>
        <w:jc w:val="both"/>
        <w:rPr>
          <w:lang w:val="fr-CA"/>
        </w:rPr>
      </w:pPr>
      <w:r w:rsidRPr="00902EDD">
        <w:rPr>
          <w:b/>
          <w:bCs/>
          <w:lang w:val="fr-CA"/>
        </w:rPr>
        <w:t>11.</w:t>
      </w:r>
      <w:r w:rsidRPr="00902EDD">
        <w:rPr>
          <w:lang w:val="fr-CA"/>
        </w:rPr>
        <w:t xml:space="preserve"> Malgré toute disposition de la </w:t>
      </w:r>
      <w:r w:rsidRPr="00902EDD">
        <w:rPr>
          <w:i/>
          <w:iCs/>
          <w:lang w:val="fr-CA"/>
        </w:rPr>
        <w:t>Loi sur la faillite et l’insolvabilité</w:t>
      </w:r>
      <w:r w:rsidRPr="00902EDD">
        <w:rPr>
          <w:lang w:val="fr-CA"/>
        </w:rPr>
        <w:t xml:space="preserve"> ou de la </w:t>
      </w:r>
      <w:r w:rsidRPr="00902EDD">
        <w:rPr>
          <w:i/>
          <w:iCs/>
          <w:lang w:val="fr-CA"/>
        </w:rPr>
        <w:t>Loi sur les liquidations et les restructurations</w:t>
      </w:r>
      <w:r w:rsidRPr="00902EDD">
        <w:rPr>
          <w:lang w:val="fr-CA"/>
        </w:rPr>
        <w:t>, le tribunal peut, dans le cas de toute demande sous le régime de la présente loi à l’égard d’une compagnie débitrice, rendre, sur demande d’un intéressé, mais sous réserve des restrictions prévues par la présente loi et avec ou sans avis, toute ordonnance qu’il estime indiquée.</w:t>
      </w:r>
    </w:p>
  </w:footnote>
  <w:footnote w:id="2">
    <w:p w:rsidR="00BE2D02" w:rsidRPr="006C0432" w:rsidRDefault="00BE2D02" w:rsidP="004613F5">
      <w:pPr>
        <w:pStyle w:val="FootnoteText"/>
        <w:tabs>
          <w:tab w:val="left" w:pos="270"/>
        </w:tabs>
        <w:rPr>
          <w:lang w:val="fr-CA"/>
        </w:rPr>
      </w:pPr>
      <w:r>
        <w:rPr>
          <w:rStyle w:val="FootnoteReference"/>
        </w:rPr>
        <w:footnoteRef/>
      </w:r>
      <w:r w:rsidRPr="006C0432">
        <w:rPr>
          <w:lang w:val="fr-CA"/>
        </w:rPr>
        <w:t xml:space="preserve"> </w:t>
      </w:r>
      <w:r>
        <w:rPr>
          <w:lang w:val="fr-CA"/>
        </w:rPr>
        <w:tab/>
        <w:t>L</w:t>
      </w:r>
      <w:r w:rsidRPr="006C0432">
        <w:rPr>
          <w:lang w:val="fr-CA"/>
        </w:rPr>
        <w:t>es modifications ne so</w:t>
      </w:r>
      <w:r>
        <w:rPr>
          <w:lang w:val="fr-CA"/>
        </w:rPr>
        <w:t>nt entrées en vigueur que le 18 </w:t>
      </w:r>
      <w:r w:rsidRPr="006C0432">
        <w:rPr>
          <w:lang w:val="fr-CA"/>
        </w:rPr>
        <w:t>septembre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D02" w:rsidRDefault="00BE2D02">
    <w:pPr>
      <w:tabs>
        <w:tab w:val="left" w:pos="-1440"/>
        <w:tab w:val="left" w:pos="-720"/>
        <w:tab w:val="left" w:pos="0"/>
        <w:tab w:val="left" w:pos="1152"/>
        <w:tab w:val="left" w:pos="1570"/>
        <w:tab w:val="left" w:pos="1843"/>
        <w:tab w:val="left" w:pos="2261"/>
        <w:tab w:val="left" w:pos="64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42672"/>
      <w:docPartObj>
        <w:docPartGallery w:val="Page Numbers (Top of Page)"/>
        <w:docPartUnique/>
      </w:docPartObj>
    </w:sdtPr>
    <w:sdtEndPr/>
    <w:sdtContent>
      <w:p w:rsidR="00BE2D02" w:rsidRDefault="00BE2D02">
        <w:pPr>
          <w:pStyle w:val="Header"/>
          <w:jc w:val="center"/>
        </w:pPr>
        <w:r>
          <w:t xml:space="preserve">- </w:t>
        </w:r>
        <w:r w:rsidR="00A52E58">
          <w:rPr>
            <w:noProof/>
          </w:rPr>
          <w:fldChar w:fldCharType="begin"/>
        </w:r>
        <w:r w:rsidR="00A52E58">
          <w:rPr>
            <w:noProof/>
          </w:rPr>
          <w:instrText xml:space="preserve"> PAGE   \* MERGEFORMAT </w:instrText>
        </w:r>
        <w:r w:rsidR="00A52E58">
          <w:rPr>
            <w:noProof/>
          </w:rPr>
          <w:fldChar w:fldCharType="separate"/>
        </w:r>
        <w:r w:rsidR="00A52E58">
          <w:rPr>
            <w:noProof/>
          </w:rPr>
          <w:t>52</w:t>
        </w:r>
        <w:r w:rsidR="00A52E58">
          <w:rPr>
            <w:noProof/>
          </w:rPr>
          <w:fldChar w:fldCharType="end"/>
        </w:r>
        <w:r>
          <w:t xml:space="preserve"> -</w:t>
        </w:r>
      </w:p>
    </w:sdtContent>
  </w:sdt>
  <w:p w:rsidR="00BE2D02" w:rsidRDefault="00BE2D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D6C288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69CB0C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42A46F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3DE747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65093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F24D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18D9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82B1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7A0BF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83015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96857"/>
    <w:multiLevelType w:val="hybridMultilevel"/>
    <w:tmpl w:val="FD322FEC"/>
    <w:lvl w:ilvl="0" w:tplc="30D26F8A">
      <w:start w:val="1"/>
      <w:numFmt w:val="lowerLetter"/>
      <w:lvlText w:val="%1)"/>
      <w:lvlJc w:val="left"/>
      <w:pPr>
        <w:tabs>
          <w:tab w:val="num" w:pos="720"/>
        </w:tabs>
        <w:ind w:left="720" w:hanging="360"/>
      </w:pPr>
      <w:rPr>
        <w:rFonts w:cs="Times New Roman" w:hint="default"/>
        <w:i/>
      </w:rPr>
    </w:lvl>
    <w:lvl w:ilvl="1" w:tplc="6EE0E96A" w:tentative="1">
      <w:start w:val="1"/>
      <w:numFmt w:val="lowerLetter"/>
      <w:lvlText w:val="%2."/>
      <w:lvlJc w:val="left"/>
      <w:pPr>
        <w:tabs>
          <w:tab w:val="num" w:pos="1440"/>
        </w:tabs>
        <w:ind w:left="1440" w:hanging="360"/>
      </w:pPr>
      <w:rPr>
        <w:rFonts w:cs="Times New Roman"/>
      </w:rPr>
    </w:lvl>
    <w:lvl w:ilvl="2" w:tplc="2416A446" w:tentative="1">
      <w:start w:val="1"/>
      <w:numFmt w:val="lowerRoman"/>
      <w:lvlText w:val="%3."/>
      <w:lvlJc w:val="right"/>
      <w:pPr>
        <w:tabs>
          <w:tab w:val="num" w:pos="2160"/>
        </w:tabs>
        <w:ind w:left="2160" w:hanging="180"/>
      </w:pPr>
      <w:rPr>
        <w:rFonts w:cs="Times New Roman"/>
      </w:rPr>
    </w:lvl>
    <w:lvl w:ilvl="3" w:tplc="B3F8B34A" w:tentative="1">
      <w:start w:val="1"/>
      <w:numFmt w:val="decimal"/>
      <w:lvlText w:val="%4."/>
      <w:lvlJc w:val="left"/>
      <w:pPr>
        <w:tabs>
          <w:tab w:val="num" w:pos="2880"/>
        </w:tabs>
        <w:ind w:left="2880" w:hanging="360"/>
      </w:pPr>
      <w:rPr>
        <w:rFonts w:cs="Times New Roman"/>
      </w:rPr>
    </w:lvl>
    <w:lvl w:ilvl="4" w:tplc="B0E27D4E" w:tentative="1">
      <w:start w:val="1"/>
      <w:numFmt w:val="lowerLetter"/>
      <w:lvlText w:val="%5."/>
      <w:lvlJc w:val="left"/>
      <w:pPr>
        <w:tabs>
          <w:tab w:val="num" w:pos="3600"/>
        </w:tabs>
        <w:ind w:left="3600" w:hanging="360"/>
      </w:pPr>
      <w:rPr>
        <w:rFonts w:cs="Times New Roman"/>
      </w:rPr>
    </w:lvl>
    <w:lvl w:ilvl="5" w:tplc="98906740" w:tentative="1">
      <w:start w:val="1"/>
      <w:numFmt w:val="lowerRoman"/>
      <w:lvlText w:val="%6."/>
      <w:lvlJc w:val="right"/>
      <w:pPr>
        <w:tabs>
          <w:tab w:val="num" w:pos="4320"/>
        </w:tabs>
        <w:ind w:left="4320" w:hanging="180"/>
      </w:pPr>
      <w:rPr>
        <w:rFonts w:cs="Times New Roman"/>
      </w:rPr>
    </w:lvl>
    <w:lvl w:ilvl="6" w:tplc="6A78F220" w:tentative="1">
      <w:start w:val="1"/>
      <w:numFmt w:val="decimal"/>
      <w:lvlText w:val="%7."/>
      <w:lvlJc w:val="left"/>
      <w:pPr>
        <w:tabs>
          <w:tab w:val="num" w:pos="5040"/>
        </w:tabs>
        <w:ind w:left="5040" w:hanging="360"/>
      </w:pPr>
      <w:rPr>
        <w:rFonts w:cs="Times New Roman"/>
      </w:rPr>
    </w:lvl>
    <w:lvl w:ilvl="7" w:tplc="5142A5C8" w:tentative="1">
      <w:start w:val="1"/>
      <w:numFmt w:val="lowerLetter"/>
      <w:lvlText w:val="%8."/>
      <w:lvlJc w:val="left"/>
      <w:pPr>
        <w:tabs>
          <w:tab w:val="num" w:pos="5760"/>
        </w:tabs>
        <w:ind w:left="5760" w:hanging="360"/>
      </w:pPr>
      <w:rPr>
        <w:rFonts w:cs="Times New Roman"/>
      </w:rPr>
    </w:lvl>
    <w:lvl w:ilvl="8" w:tplc="6D70CDC6" w:tentative="1">
      <w:start w:val="1"/>
      <w:numFmt w:val="lowerRoman"/>
      <w:lvlText w:val="%9."/>
      <w:lvlJc w:val="right"/>
      <w:pPr>
        <w:tabs>
          <w:tab w:val="num" w:pos="6480"/>
        </w:tabs>
        <w:ind w:left="6480" w:hanging="180"/>
      </w:pPr>
      <w:rPr>
        <w:rFonts w:cs="Times New Roman"/>
      </w:rPr>
    </w:lvl>
  </w:abstractNum>
  <w:abstractNum w:abstractNumId="11" w15:restartNumberingAfterBreak="0">
    <w:nsid w:val="0C6F2675"/>
    <w:multiLevelType w:val="multilevel"/>
    <w:tmpl w:val="858A8528"/>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1BA42284"/>
    <w:multiLevelType w:val="hybridMultilevel"/>
    <w:tmpl w:val="4C0A7EDA"/>
    <w:lvl w:ilvl="0" w:tplc="C0306800">
      <w:start w:val="1"/>
      <w:numFmt w:val="lowerLetter"/>
      <w:lvlText w:val="%1)"/>
      <w:lvlJc w:val="left"/>
      <w:pPr>
        <w:tabs>
          <w:tab w:val="num" w:pos="720"/>
        </w:tabs>
        <w:ind w:left="720" w:hanging="360"/>
      </w:pPr>
      <w:rPr>
        <w:rFonts w:cs="Times New Roman" w:hint="default"/>
        <w:i/>
      </w:rPr>
    </w:lvl>
    <w:lvl w:ilvl="1" w:tplc="32C4D1C6" w:tentative="1">
      <w:start w:val="1"/>
      <w:numFmt w:val="lowerLetter"/>
      <w:lvlText w:val="%2."/>
      <w:lvlJc w:val="left"/>
      <w:pPr>
        <w:tabs>
          <w:tab w:val="num" w:pos="1440"/>
        </w:tabs>
        <w:ind w:left="1440" w:hanging="360"/>
      </w:pPr>
      <w:rPr>
        <w:rFonts w:cs="Times New Roman"/>
      </w:rPr>
    </w:lvl>
    <w:lvl w:ilvl="2" w:tplc="1326FB36" w:tentative="1">
      <w:start w:val="1"/>
      <w:numFmt w:val="lowerRoman"/>
      <w:lvlText w:val="%3."/>
      <w:lvlJc w:val="right"/>
      <w:pPr>
        <w:tabs>
          <w:tab w:val="num" w:pos="2160"/>
        </w:tabs>
        <w:ind w:left="2160" w:hanging="180"/>
      </w:pPr>
      <w:rPr>
        <w:rFonts w:cs="Times New Roman"/>
      </w:rPr>
    </w:lvl>
    <w:lvl w:ilvl="3" w:tplc="CC58DE4A" w:tentative="1">
      <w:start w:val="1"/>
      <w:numFmt w:val="decimal"/>
      <w:lvlText w:val="%4."/>
      <w:lvlJc w:val="left"/>
      <w:pPr>
        <w:tabs>
          <w:tab w:val="num" w:pos="2880"/>
        </w:tabs>
        <w:ind w:left="2880" w:hanging="360"/>
      </w:pPr>
      <w:rPr>
        <w:rFonts w:cs="Times New Roman"/>
      </w:rPr>
    </w:lvl>
    <w:lvl w:ilvl="4" w:tplc="5838C720" w:tentative="1">
      <w:start w:val="1"/>
      <w:numFmt w:val="lowerLetter"/>
      <w:lvlText w:val="%5."/>
      <w:lvlJc w:val="left"/>
      <w:pPr>
        <w:tabs>
          <w:tab w:val="num" w:pos="3600"/>
        </w:tabs>
        <w:ind w:left="3600" w:hanging="360"/>
      </w:pPr>
      <w:rPr>
        <w:rFonts w:cs="Times New Roman"/>
      </w:rPr>
    </w:lvl>
    <w:lvl w:ilvl="5" w:tplc="C7EE74D0" w:tentative="1">
      <w:start w:val="1"/>
      <w:numFmt w:val="lowerRoman"/>
      <w:lvlText w:val="%6."/>
      <w:lvlJc w:val="right"/>
      <w:pPr>
        <w:tabs>
          <w:tab w:val="num" w:pos="4320"/>
        </w:tabs>
        <w:ind w:left="4320" w:hanging="180"/>
      </w:pPr>
      <w:rPr>
        <w:rFonts w:cs="Times New Roman"/>
      </w:rPr>
    </w:lvl>
    <w:lvl w:ilvl="6" w:tplc="DD6AAB00" w:tentative="1">
      <w:start w:val="1"/>
      <w:numFmt w:val="decimal"/>
      <w:lvlText w:val="%7."/>
      <w:lvlJc w:val="left"/>
      <w:pPr>
        <w:tabs>
          <w:tab w:val="num" w:pos="5040"/>
        </w:tabs>
        <w:ind w:left="5040" w:hanging="360"/>
      </w:pPr>
      <w:rPr>
        <w:rFonts w:cs="Times New Roman"/>
      </w:rPr>
    </w:lvl>
    <w:lvl w:ilvl="7" w:tplc="C4E8829C" w:tentative="1">
      <w:start w:val="1"/>
      <w:numFmt w:val="lowerLetter"/>
      <w:lvlText w:val="%8."/>
      <w:lvlJc w:val="left"/>
      <w:pPr>
        <w:tabs>
          <w:tab w:val="num" w:pos="5760"/>
        </w:tabs>
        <w:ind w:left="5760" w:hanging="360"/>
      </w:pPr>
      <w:rPr>
        <w:rFonts w:cs="Times New Roman"/>
      </w:rPr>
    </w:lvl>
    <w:lvl w:ilvl="8" w:tplc="43C694BA" w:tentative="1">
      <w:start w:val="1"/>
      <w:numFmt w:val="lowerRoman"/>
      <w:lvlText w:val="%9."/>
      <w:lvlJc w:val="right"/>
      <w:pPr>
        <w:tabs>
          <w:tab w:val="num" w:pos="6480"/>
        </w:tabs>
        <w:ind w:left="6480" w:hanging="180"/>
      </w:pPr>
      <w:rPr>
        <w:rFonts w:cs="Times New Roman"/>
      </w:rPr>
    </w:lvl>
  </w:abstractNum>
  <w:abstractNum w:abstractNumId="13" w15:restartNumberingAfterBreak="0">
    <w:nsid w:val="1FAF31A9"/>
    <w:multiLevelType w:val="hybridMultilevel"/>
    <w:tmpl w:val="9F5C0154"/>
    <w:lvl w:ilvl="0" w:tplc="48520770">
      <w:start w:val="1"/>
      <w:numFmt w:val="decimal"/>
      <w:lvlText w:val="%1."/>
      <w:lvlJc w:val="left"/>
      <w:pPr>
        <w:ind w:left="720" w:hanging="360"/>
      </w:pPr>
      <w:rPr>
        <w:rFonts w:cs="Times New Roman"/>
      </w:rPr>
    </w:lvl>
    <w:lvl w:ilvl="1" w:tplc="B68CA024" w:tentative="1">
      <w:start w:val="1"/>
      <w:numFmt w:val="lowerLetter"/>
      <w:lvlText w:val="%2."/>
      <w:lvlJc w:val="left"/>
      <w:pPr>
        <w:ind w:left="1440" w:hanging="360"/>
      </w:pPr>
      <w:rPr>
        <w:rFonts w:cs="Times New Roman"/>
      </w:rPr>
    </w:lvl>
    <w:lvl w:ilvl="2" w:tplc="0C764808" w:tentative="1">
      <w:start w:val="1"/>
      <w:numFmt w:val="lowerRoman"/>
      <w:lvlText w:val="%3."/>
      <w:lvlJc w:val="right"/>
      <w:pPr>
        <w:ind w:left="2160" w:hanging="180"/>
      </w:pPr>
      <w:rPr>
        <w:rFonts w:cs="Times New Roman"/>
      </w:rPr>
    </w:lvl>
    <w:lvl w:ilvl="3" w:tplc="B36CD8CC" w:tentative="1">
      <w:start w:val="1"/>
      <w:numFmt w:val="decimal"/>
      <w:lvlText w:val="%4."/>
      <w:lvlJc w:val="left"/>
      <w:pPr>
        <w:ind w:left="2880" w:hanging="360"/>
      </w:pPr>
      <w:rPr>
        <w:rFonts w:cs="Times New Roman"/>
      </w:rPr>
    </w:lvl>
    <w:lvl w:ilvl="4" w:tplc="99782596" w:tentative="1">
      <w:start w:val="1"/>
      <w:numFmt w:val="lowerLetter"/>
      <w:lvlText w:val="%5."/>
      <w:lvlJc w:val="left"/>
      <w:pPr>
        <w:ind w:left="3600" w:hanging="360"/>
      </w:pPr>
      <w:rPr>
        <w:rFonts w:cs="Times New Roman"/>
      </w:rPr>
    </w:lvl>
    <w:lvl w:ilvl="5" w:tplc="59C08384" w:tentative="1">
      <w:start w:val="1"/>
      <w:numFmt w:val="lowerRoman"/>
      <w:lvlText w:val="%6."/>
      <w:lvlJc w:val="right"/>
      <w:pPr>
        <w:ind w:left="4320" w:hanging="180"/>
      </w:pPr>
      <w:rPr>
        <w:rFonts w:cs="Times New Roman"/>
      </w:rPr>
    </w:lvl>
    <w:lvl w:ilvl="6" w:tplc="D99E0484" w:tentative="1">
      <w:start w:val="1"/>
      <w:numFmt w:val="decimal"/>
      <w:lvlText w:val="%7."/>
      <w:lvlJc w:val="left"/>
      <w:pPr>
        <w:ind w:left="5040" w:hanging="360"/>
      </w:pPr>
      <w:rPr>
        <w:rFonts w:cs="Times New Roman"/>
      </w:rPr>
    </w:lvl>
    <w:lvl w:ilvl="7" w:tplc="80DAB55C" w:tentative="1">
      <w:start w:val="1"/>
      <w:numFmt w:val="lowerLetter"/>
      <w:lvlText w:val="%8."/>
      <w:lvlJc w:val="left"/>
      <w:pPr>
        <w:ind w:left="5760" w:hanging="360"/>
      </w:pPr>
      <w:rPr>
        <w:rFonts w:cs="Times New Roman"/>
      </w:rPr>
    </w:lvl>
    <w:lvl w:ilvl="8" w:tplc="0862E100" w:tentative="1">
      <w:start w:val="1"/>
      <w:numFmt w:val="lowerRoman"/>
      <w:lvlText w:val="%9."/>
      <w:lvlJc w:val="right"/>
      <w:pPr>
        <w:ind w:left="6480" w:hanging="180"/>
      </w:pPr>
      <w:rPr>
        <w:rFonts w:cs="Times New Roman"/>
      </w:rPr>
    </w:lvl>
  </w:abstractNum>
  <w:abstractNum w:abstractNumId="14" w15:restartNumberingAfterBreak="0">
    <w:nsid w:val="248F2852"/>
    <w:multiLevelType w:val="hybridMultilevel"/>
    <w:tmpl w:val="DEDEAFD2"/>
    <w:lvl w:ilvl="0" w:tplc="5742DF9C">
      <w:start w:val="1"/>
      <w:numFmt w:val="lowerLetter"/>
      <w:lvlText w:val="%1)"/>
      <w:lvlJc w:val="left"/>
      <w:pPr>
        <w:ind w:left="1526" w:hanging="360"/>
      </w:pPr>
      <w:rPr>
        <w:rFonts w:hint="default"/>
        <w:i/>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5" w15:restartNumberingAfterBreak="0">
    <w:nsid w:val="25961ECF"/>
    <w:multiLevelType w:val="multilevel"/>
    <w:tmpl w:val="20061184"/>
    <w:lvl w:ilvl="0">
      <w:start w:val="1"/>
      <w:numFmt w:val="decimal"/>
      <w:lvlText w:val="[%1]"/>
      <w:lvlJc w:val="left"/>
      <w:pPr>
        <w:ind w:left="720" w:hanging="360"/>
      </w:pPr>
      <w:rPr>
        <w:rFonts w:cs="Times New Roman" w:hint="default"/>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27C204B2"/>
    <w:multiLevelType w:val="hybridMultilevel"/>
    <w:tmpl w:val="6FB60C98"/>
    <w:lvl w:ilvl="0" w:tplc="0B8A21FA">
      <w:start w:val="1"/>
      <w:numFmt w:val="lowerRoman"/>
      <w:lvlText w:val="(%1)"/>
      <w:lvlJc w:val="left"/>
      <w:pPr>
        <w:tabs>
          <w:tab w:val="num" w:pos="1440"/>
        </w:tabs>
        <w:ind w:left="1440" w:hanging="720"/>
      </w:pPr>
      <w:rPr>
        <w:rFonts w:cs="Times New Roman" w:hint="default"/>
      </w:rPr>
    </w:lvl>
    <w:lvl w:ilvl="1" w:tplc="D79E6754" w:tentative="1">
      <w:start w:val="1"/>
      <w:numFmt w:val="lowerLetter"/>
      <w:lvlText w:val="%2."/>
      <w:lvlJc w:val="left"/>
      <w:pPr>
        <w:tabs>
          <w:tab w:val="num" w:pos="1800"/>
        </w:tabs>
        <w:ind w:left="1800" w:hanging="360"/>
      </w:pPr>
      <w:rPr>
        <w:rFonts w:cs="Times New Roman"/>
      </w:rPr>
    </w:lvl>
    <w:lvl w:ilvl="2" w:tplc="73B09EC0" w:tentative="1">
      <w:start w:val="1"/>
      <w:numFmt w:val="lowerRoman"/>
      <w:lvlText w:val="%3."/>
      <w:lvlJc w:val="right"/>
      <w:pPr>
        <w:tabs>
          <w:tab w:val="num" w:pos="2520"/>
        </w:tabs>
        <w:ind w:left="2520" w:hanging="180"/>
      </w:pPr>
      <w:rPr>
        <w:rFonts w:cs="Times New Roman"/>
      </w:rPr>
    </w:lvl>
    <w:lvl w:ilvl="3" w:tplc="D1982DA4" w:tentative="1">
      <w:start w:val="1"/>
      <w:numFmt w:val="decimal"/>
      <w:lvlText w:val="%4."/>
      <w:lvlJc w:val="left"/>
      <w:pPr>
        <w:tabs>
          <w:tab w:val="num" w:pos="3240"/>
        </w:tabs>
        <w:ind w:left="3240" w:hanging="360"/>
      </w:pPr>
      <w:rPr>
        <w:rFonts w:cs="Times New Roman"/>
      </w:rPr>
    </w:lvl>
    <w:lvl w:ilvl="4" w:tplc="443C27AC" w:tentative="1">
      <w:start w:val="1"/>
      <w:numFmt w:val="lowerLetter"/>
      <w:lvlText w:val="%5."/>
      <w:lvlJc w:val="left"/>
      <w:pPr>
        <w:tabs>
          <w:tab w:val="num" w:pos="3960"/>
        </w:tabs>
        <w:ind w:left="3960" w:hanging="360"/>
      </w:pPr>
      <w:rPr>
        <w:rFonts w:cs="Times New Roman"/>
      </w:rPr>
    </w:lvl>
    <w:lvl w:ilvl="5" w:tplc="767868F4" w:tentative="1">
      <w:start w:val="1"/>
      <w:numFmt w:val="lowerRoman"/>
      <w:lvlText w:val="%6."/>
      <w:lvlJc w:val="right"/>
      <w:pPr>
        <w:tabs>
          <w:tab w:val="num" w:pos="4680"/>
        </w:tabs>
        <w:ind w:left="4680" w:hanging="180"/>
      </w:pPr>
      <w:rPr>
        <w:rFonts w:cs="Times New Roman"/>
      </w:rPr>
    </w:lvl>
    <w:lvl w:ilvl="6" w:tplc="D9EE3FA4" w:tentative="1">
      <w:start w:val="1"/>
      <w:numFmt w:val="decimal"/>
      <w:lvlText w:val="%7."/>
      <w:lvlJc w:val="left"/>
      <w:pPr>
        <w:tabs>
          <w:tab w:val="num" w:pos="5400"/>
        </w:tabs>
        <w:ind w:left="5400" w:hanging="360"/>
      </w:pPr>
      <w:rPr>
        <w:rFonts w:cs="Times New Roman"/>
      </w:rPr>
    </w:lvl>
    <w:lvl w:ilvl="7" w:tplc="FB84B148" w:tentative="1">
      <w:start w:val="1"/>
      <w:numFmt w:val="lowerLetter"/>
      <w:lvlText w:val="%8."/>
      <w:lvlJc w:val="left"/>
      <w:pPr>
        <w:tabs>
          <w:tab w:val="num" w:pos="6120"/>
        </w:tabs>
        <w:ind w:left="6120" w:hanging="360"/>
      </w:pPr>
      <w:rPr>
        <w:rFonts w:cs="Times New Roman"/>
      </w:rPr>
    </w:lvl>
    <w:lvl w:ilvl="8" w:tplc="C980B43A" w:tentative="1">
      <w:start w:val="1"/>
      <w:numFmt w:val="lowerRoman"/>
      <w:lvlText w:val="%9."/>
      <w:lvlJc w:val="right"/>
      <w:pPr>
        <w:tabs>
          <w:tab w:val="num" w:pos="6840"/>
        </w:tabs>
        <w:ind w:left="6840" w:hanging="180"/>
      </w:pPr>
      <w:rPr>
        <w:rFonts w:cs="Times New Roman"/>
      </w:rPr>
    </w:lvl>
  </w:abstractNum>
  <w:abstractNum w:abstractNumId="17" w15:restartNumberingAfterBreak="0">
    <w:nsid w:val="316E0CD9"/>
    <w:multiLevelType w:val="multilevel"/>
    <w:tmpl w:val="20061184"/>
    <w:lvl w:ilvl="0">
      <w:start w:val="1"/>
      <w:numFmt w:val="decimal"/>
      <w:lvlText w:val="[%1]"/>
      <w:lvlJc w:val="left"/>
      <w:pPr>
        <w:ind w:left="720" w:hanging="360"/>
      </w:pPr>
      <w:rPr>
        <w:rFonts w:cs="Times New Roman" w:hint="default"/>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31710885"/>
    <w:multiLevelType w:val="hybridMultilevel"/>
    <w:tmpl w:val="C30A014A"/>
    <w:lvl w:ilvl="0" w:tplc="0E5C4444">
      <w:start w:val="1"/>
      <w:numFmt w:val="lowerLetter"/>
      <w:lvlText w:val="%1)"/>
      <w:lvlJc w:val="left"/>
      <w:pPr>
        <w:tabs>
          <w:tab w:val="num" w:pos="720"/>
        </w:tabs>
        <w:ind w:left="720" w:hanging="360"/>
      </w:pPr>
      <w:rPr>
        <w:rFonts w:cs="Times New Roman" w:hint="default"/>
        <w:i/>
      </w:rPr>
    </w:lvl>
    <w:lvl w:ilvl="1" w:tplc="79FC5594" w:tentative="1">
      <w:start w:val="1"/>
      <w:numFmt w:val="lowerLetter"/>
      <w:lvlText w:val="%2."/>
      <w:lvlJc w:val="left"/>
      <w:pPr>
        <w:tabs>
          <w:tab w:val="num" w:pos="1440"/>
        </w:tabs>
        <w:ind w:left="1440" w:hanging="360"/>
      </w:pPr>
      <w:rPr>
        <w:rFonts w:cs="Times New Roman"/>
      </w:rPr>
    </w:lvl>
    <w:lvl w:ilvl="2" w:tplc="748A45C4" w:tentative="1">
      <w:start w:val="1"/>
      <w:numFmt w:val="lowerRoman"/>
      <w:lvlText w:val="%3."/>
      <w:lvlJc w:val="right"/>
      <w:pPr>
        <w:tabs>
          <w:tab w:val="num" w:pos="2160"/>
        </w:tabs>
        <w:ind w:left="2160" w:hanging="180"/>
      </w:pPr>
      <w:rPr>
        <w:rFonts w:cs="Times New Roman"/>
      </w:rPr>
    </w:lvl>
    <w:lvl w:ilvl="3" w:tplc="F92A8130" w:tentative="1">
      <w:start w:val="1"/>
      <w:numFmt w:val="decimal"/>
      <w:lvlText w:val="%4."/>
      <w:lvlJc w:val="left"/>
      <w:pPr>
        <w:tabs>
          <w:tab w:val="num" w:pos="2880"/>
        </w:tabs>
        <w:ind w:left="2880" w:hanging="360"/>
      </w:pPr>
      <w:rPr>
        <w:rFonts w:cs="Times New Roman"/>
      </w:rPr>
    </w:lvl>
    <w:lvl w:ilvl="4" w:tplc="A13E647E" w:tentative="1">
      <w:start w:val="1"/>
      <w:numFmt w:val="lowerLetter"/>
      <w:lvlText w:val="%5."/>
      <w:lvlJc w:val="left"/>
      <w:pPr>
        <w:tabs>
          <w:tab w:val="num" w:pos="3600"/>
        </w:tabs>
        <w:ind w:left="3600" w:hanging="360"/>
      </w:pPr>
      <w:rPr>
        <w:rFonts w:cs="Times New Roman"/>
      </w:rPr>
    </w:lvl>
    <w:lvl w:ilvl="5" w:tplc="B00647B2" w:tentative="1">
      <w:start w:val="1"/>
      <w:numFmt w:val="lowerRoman"/>
      <w:lvlText w:val="%6."/>
      <w:lvlJc w:val="right"/>
      <w:pPr>
        <w:tabs>
          <w:tab w:val="num" w:pos="4320"/>
        </w:tabs>
        <w:ind w:left="4320" w:hanging="180"/>
      </w:pPr>
      <w:rPr>
        <w:rFonts w:cs="Times New Roman"/>
      </w:rPr>
    </w:lvl>
    <w:lvl w:ilvl="6" w:tplc="CDEA2564" w:tentative="1">
      <w:start w:val="1"/>
      <w:numFmt w:val="decimal"/>
      <w:lvlText w:val="%7."/>
      <w:lvlJc w:val="left"/>
      <w:pPr>
        <w:tabs>
          <w:tab w:val="num" w:pos="5040"/>
        </w:tabs>
        <w:ind w:left="5040" w:hanging="360"/>
      </w:pPr>
      <w:rPr>
        <w:rFonts w:cs="Times New Roman"/>
      </w:rPr>
    </w:lvl>
    <w:lvl w:ilvl="7" w:tplc="D28251AC" w:tentative="1">
      <w:start w:val="1"/>
      <w:numFmt w:val="lowerLetter"/>
      <w:lvlText w:val="%8."/>
      <w:lvlJc w:val="left"/>
      <w:pPr>
        <w:tabs>
          <w:tab w:val="num" w:pos="5760"/>
        </w:tabs>
        <w:ind w:left="5760" w:hanging="360"/>
      </w:pPr>
      <w:rPr>
        <w:rFonts w:cs="Times New Roman"/>
      </w:rPr>
    </w:lvl>
    <w:lvl w:ilvl="8" w:tplc="8256C4F0" w:tentative="1">
      <w:start w:val="1"/>
      <w:numFmt w:val="lowerRoman"/>
      <w:lvlText w:val="%9."/>
      <w:lvlJc w:val="right"/>
      <w:pPr>
        <w:tabs>
          <w:tab w:val="num" w:pos="6480"/>
        </w:tabs>
        <w:ind w:left="6480" w:hanging="180"/>
      </w:pPr>
      <w:rPr>
        <w:rFonts w:cs="Times New Roman"/>
      </w:rPr>
    </w:lvl>
  </w:abstractNum>
  <w:abstractNum w:abstractNumId="19" w15:restartNumberingAfterBreak="0">
    <w:nsid w:val="326172C0"/>
    <w:multiLevelType w:val="multilevel"/>
    <w:tmpl w:val="20061184"/>
    <w:lvl w:ilvl="0">
      <w:start w:val="1"/>
      <w:numFmt w:val="decimal"/>
      <w:lvlText w:val="[%1]"/>
      <w:lvlJc w:val="left"/>
      <w:pPr>
        <w:ind w:left="720" w:hanging="360"/>
      </w:pPr>
      <w:rPr>
        <w:rFonts w:cs="Times New Roman" w:hint="default"/>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3D97778A"/>
    <w:multiLevelType w:val="hybridMultilevel"/>
    <w:tmpl w:val="F2A40DBE"/>
    <w:lvl w:ilvl="0" w:tplc="53B6BF1A">
      <w:start w:val="1"/>
      <w:numFmt w:val="decimal"/>
      <w:lvlText w:val="%1)"/>
      <w:lvlJc w:val="left"/>
      <w:pPr>
        <w:ind w:left="1526" w:hanging="360"/>
      </w:pPr>
      <w:rPr>
        <w:rFonts w:hint="default"/>
      </w:rPr>
    </w:lvl>
    <w:lvl w:ilvl="1" w:tplc="0C0C0019" w:tentative="1">
      <w:start w:val="1"/>
      <w:numFmt w:val="lowerLetter"/>
      <w:lvlText w:val="%2."/>
      <w:lvlJc w:val="left"/>
      <w:pPr>
        <w:ind w:left="2246" w:hanging="360"/>
      </w:pPr>
    </w:lvl>
    <w:lvl w:ilvl="2" w:tplc="0C0C001B" w:tentative="1">
      <w:start w:val="1"/>
      <w:numFmt w:val="lowerRoman"/>
      <w:lvlText w:val="%3."/>
      <w:lvlJc w:val="right"/>
      <w:pPr>
        <w:ind w:left="2966" w:hanging="180"/>
      </w:pPr>
    </w:lvl>
    <w:lvl w:ilvl="3" w:tplc="0C0C000F" w:tentative="1">
      <w:start w:val="1"/>
      <w:numFmt w:val="decimal"/>
      <w:lvlText w:val="%4."/>
      <w:lvlJc w:val="left"/>
      <w:pPr>
        <w:ind w:left="3686" w:hanging="360"/>
      </w:pPr>
    </w:lvl>
    <w:lvl w:ilvl="4" w:tplc="0C0C0019" w:tentative="1">
      <w:start w:val="1"/>
      <w:numFmt w:val="lowerLetter"/>
      <w:lvlText w:val="%5."/>
      <w:lvlJc w:val="left"/>
      <w:pPr>
        <w:ind w:left="4406" w:hanging="360"/>
      </w:pPr>
    </w:lvl>
    <w:lvl w:ilvl="5" w:tplc="0C0C001B" w:tentative="1">
      <w:start w:val="1"/>
      <w:numFmt w:val="lowerRoman"/>
      <w:lvlText w:val="%6."/>
      <w:lvlJc w:val="right"/>
      <w:pPr>
        <w:ind w:left="5126" w:hanging="180"/>
      </w:pPr>
    </w:lvl>
    <w:lvl w:ilvl="6" w:tplc="0C0C000F" w:tentative="1">
      <w:start w:val="1"/>
      <w:numFmt w:val="decimal"/>
      <w:lvlText w:val="%7."/>
      <w:lvlJc w:val="left"/>
      <w:pPr>
        <w:ind w:left="5846" w:hanging="360"/>
      </w:pPr>
    </w:lvl>
    <w:lvl w:ilvl="7" w:tplc="0C0C0019" w:tentative="1">
      <w:start w:val="1"/>
      <w:numFmt w:val="lowerLetter"/>
      <w:lvlText w:val="%8."/>
      <w:lvlJc w:val="left"/>
      <w:pPr>
        <w:ind w:left="6566" w:hanging="360"/>
      </w:pPr>
    </w:lvl>
    <w:lvl w:ilvl="8" w:tplc="0C0C001B" w:tentative="1">
      <w:start w:val="1"/>
      <w:numFmt w:val="lowerRoman"/>
      <w:lvlText w:val="%9."/>
      <w:lvlJc w:val="right"/>
      <w:pPr>
        <w:ind w:left="7286" w:hanging="180"/>
      </w:pPr>
    </w:lvl>
  </w:abstractNum>
  <w:abstractNum w:abstractNumId="21" w15:restartNumberingAfterBreak="0">
    <w:nsid w:val="42353077"/>
    <w:multiLevelType w:val="hybridMultilevel"/>
    <w:tmpl w:val="54304AEC"/>
    <w:lvl w:ilvl="0" w:tplc="4628BE9C">
      <w:start w:val="1"/>
      <w:numFmt w:val="lowerRoman"/>
      <w:lvlText w:val="(%1)"/>
      <w:lvlJc w:val="left"/>
      <w:pPr>
        <w:tabs>
          <w:tab w:val="num" w:pos="1440"/>
        </w:tabs>
        <w:ind w:left="1440" w:hanging="720"/>
      </w:pPr>
      <w:rPr>
        <w:rFonts w:cs="Times New Roman" w:hint="default"/>
      </w:rPr>
    </w:lvl>
    <w:lvl w:ilvl="1" w:tplc="164EF4E6" w:tentative="1">
      <w:start w:val="1"/>
      <w:numFmt w:val="lowerLetter"/>
      <w:lvlText w:val="%2."/>
      <w:lvlJc w:val="left"/>
      <w:pPr>
        <w:tabs>
          <w:tab w:val="num" w:pos="1800"/>
        </w:tabs>
        <w:ind w:left="1800" w:hanging="360"/>
      </w:pPr>
      <w:rPr>
        <w:rFonts w:cs="Times New Roman"/>
      </w:rPr>
    </w:lvl>
    <w:lvl w:ilvl="2" w:tplc="E4204A64" w:tentative="1">
      <w:start w:val="1"/>
      <w:numFmt w:val="lowerRoman"/>
      <w:lvlText w:val="%3."/>
      <w:lvlJc w:val="right"/>
      <w:pPr>
        <w:tabs>
          <w:tab w:val="num" w:pos="2520"/>
        </w:tabs>
        <w:ind w:left="2520" w:hanging="180"/>
      </w:pPr>
      <w:rPr>
        <w:rFonts w:cs="Times New Roman"/>
      </w:rPr>
    </w:lvl>
    <w:lvl w:ilvl="3" w:tplc="6354142E" w:tentative="1">
      <w:start w:val="1"/>
      <w:numFmt w:val="decimal"/>
      <w:lvlText w:val="%4."/>
      <w:lvlJc w:val="left"/>
      <w:pPr>
        <w:tabs>
          <w:tab w:val="num" w:pos="3240"/>
        </w:tabs>
        <w:ind w:left="3240" w:hanging="360"/>
      </w:pPr>
      <w:rPr>
        <w:rFonts w:cs="Times New Roman"/>
      </w:rPr>
    </w:lvl>
    <w:lvl w:ilvl="4" w:tplc="A984B6F2" w:tentative="1">
      <w:start w:val="1"/>
      <w:numFmt w:val="lowerLetter"/>
      <w:lvlText w:val="%5."/>
      <w:lvlJc w:val="left"/>
      <w:pPr>
        <w:tabs>
          <w:tab w:val="num" w:pos="3960"/>
        </w:tabs>
        <w:ind w:left="3960" w:hanging="360"/>
      </w:pPr>
      <w:rPr>
        <w:rFonts w:cs="Times New Roman"/>
      </w:rPr>
    </w:lvl>
    <w:lvl w:ilvl="5" w:tplc="0BBC9306" w:tentative="1">
      <w:start w:val="1"/>
      <w:numFmt w:val="lowerRoman"/>
      <w:lvlText w:val="%6."/>
      <w:lvlJc w:val="right"/>
      <w:pPr>
        <w:tabs>
          <w:tab w:val="num" w:pos="4680"/>
        </w:tabs>
        <w:ind w:left="4680" w:hanging="180"/>
      </w:pPr>
      <w:rPr>
        <w:rFonts w:cs="Times New Roman"/>
      </w:rPr>
    </w:lvl>
    <w:lvl w:ilvl="6" w:tplc="FA7AC61C" w:tentative="1">
      <w:start w:val="1"/>
      <w:numFmt w:val="decimal"/>
      <w:lvlText w:val="%7."/>
      <w:lvlJc w:val="left"/>
      <w:pPr>
        <w:tabs>
          <w:tab w:val="num" w:pos="5400"/>
        </w:tabs>
        <w:ind w:left="5400" w:hanging="360"/>
      </w:pPr>
      <w:rPr>
        <w:rFonts w:cs="Times New Roman"/>
      </w:rPr>
    </w:lvl>
    <w:lvl w:ilvl="7" w:tplc="D90E7C96" w:tentative="1">
      <w:start w:val="1"/>
      <w:numFmt w:val="lowerLetter"/>
      <w:lvlText w:val="%8."/>
      <w:lvlJc w:val="left"/>
      <w:pPr>
        <w:tabs>
          <w:tab w:val="num" w:pos="6120"/>
        </w:tabs>
        <w:ind w:left="6120" w:hanging="360"/>
      </w:pPr>
      <w:rPr>
        <w:rFonts w:cs="Times New Roman"/>
      </w:rPr>
    </w:lvl>
    <w:lvl w:ilvl="8" w:tplc="2CCC16DC" w:tentative="1">
      <w:start w:val="1"/>
      <w:numFmt w:val="lowerRoman"/>
      <w:lvlText w:val="%9."/>
      <w:lvlJc w:val="right"/>
      <w:pPr>
        <w:tabs>
          <w:tab w:val="num" w:pos="6840"/>
        </w:tabs>
        <w:ind w:left="6840" w:hanging="180"/>
      </w:pPr>
      <w:rPr>
        <w:rFonts w:cs="Times New Roman"/>
      </w:rPr>
    </w:lvl>
  </w:abstractNum>
  <w:abstractNum w:abstractNumId="22" w15:restartNumberingAfterBreak="0">
    <w:nsid w:val="44B05510"/>
    <w:multiLevelType w:val="hybridMultilevel"/>
    <w:tmpl w:val="A5BA8336"/>
    <w:lvl w:ilvl="0" w:tplc="D276895E">
      <w:start w:val="1"/>
      <w:numFmt w:val="lowerLetter"/>
      <w:lvlText w:val="%1)"/>
      <w:lvlJc w:val="left"/>
      <w:pPr>
        <w:tabs>
          <w:tab w:val="num" w:pos="720"/>
        </w:tabs>
        <w:ind w:left="720" w:hanging="360"/>
      </w:pPr>
      <w:rPr>
        <w:rFonts w:cs="Times New Roman" w:hint="default"/>
        <w:i/>
      </w:rPr>
    </w:lvl>
    <w:lvl w:ilvl="1" w:tplc="5008D5BA" w:tentative="1">
      <w:start w:val="1"/>
      <w:numFmt w:val="lowerLetter"/>
      <w:lvlText w:val="%2."/>
      <w:lvlJc w:val="left"/>
      <w:pPr>
        <w:tabs>
          <w:tab w:val="num" w:pos="1440"/>
        </w:tabs>
        <w:ind w:left="1440" w:hanging="360"/>
      </w:pPr>
      <w:rPr>
        <w:rFonts w:cs="Times New Roman"/>
      </w:rPr>
    </w:lvl>
    <w:lvl w:ilvl="2" w:tplc="EDDC990C" w:tentative="1">
      <w:start w:val="1"/>
      <w:numFmt w:val="lowerRoman"/>
      <w:lvlText w:val="%3."/>
      <w:lvlJc w:val="right"/>
      <w:pPr>
        <w:tabs>
          <w:tab w:val="num" w:pos="2160"/>
        </w:tabs>
        <w:ind w:left="2160" w:hanging="180"/>
      </w:pPr>
      <w:rPr>
        <w:rFonts w:cs="Times New Roman"/>
      </w:rPr>
    </w:lvl>
    <w:lvl w:ilvl="3" w:tplc="D94A6798" w:tentative="1">
      <w:start w:val="1"/>
      <w:numFmt w:val="decimal"/>
      <w:lvlText w:val="%4."/>
      <w:lvlJc w:val="left"/>
      <w:pPr>
        <w:tabs>
          <w:tab w:val="num" w:pos="2880"/>
        </w:tabs>
        <w:ind w:left="2880" w:hanging="360"/>
      </w:pPr>
      <w:rPr>
        <w:rFonts w:cs="Times New Roman"/>
      </w:rPr>
    </w:lvl>
    <w:lvl w:ilvl="4" w:tplc="CCD8F272" w:tentative="1">
      <w:start w:val="1"/>
      <w:numFmt w:val="lowerLetter"/>
      <w:lvlText w:val="%5."/>
      <w:lvlJc w:val="left"/>
      <w:pPr>
        <w:tabs>
          <w:tab w:val="num" w:pos="3600"/>
        </w:tabs>
        <w:ind w:left="3600" w:hanging="360"/>
      </w:pPr>
      <w:rPr>
        <w:rFonts w:cs="Times New Roman"/>
      </w:rPr>
    </w:lvl>
    <w:lvl w:ilvl="5" w:tplc="BBB24E92" w:tentative="1">
      <w:start w:val="1"/>
      <w:numFmt w:val="lowerRoman"/>
      <w:lvlText w:val="%6."/>
      <w:lvlJc w:val="right"/>
      <w:pPr>
        <w:tabs>
          <w:tab w:val="num" w:pos="4320"/>
        </w:tabs>
        <w:ind w:left="4320" w:hanging="180"/>
      </w:pPr>
      <w:rPr>
        <w:rFonts w:cs="Times New Roman"/>
      </w:rPr>
    </w:lvl>
    <w:lvl w:ilvl="6" w:tplc="9A181366" w:tentative="1">
      <w:start w:val="1"/>
      <w:numFmt w:val="decimal"/>
      <w:lvlText w:val="%7."/>
      <w:lvlJc w:val="left"/>
      <w:pPr>
        <w:tabs>
          <w:tab w:val="num" w:pos="5040"/>
        </w:tabs>
        <w:ind w:left="5040" w:hanging="360"/>
      </w:pPr>
      <w:rPr>
        <w:rFonts w:cs="Times New Roman"/>
      </w:rPr>
    </w:lvl>
    <w:lvl w:ilvl="7" w:tplc="799277F8" w:tentative="1">
      <w:start w:val="1"/>
      <w:numFmt w:val="lowerLetter"/>
      <w:lvlText w:val="%8."/>
      <w:lvlJc w:val="left"/>
      <w:pPr>
        <w:tabs>
          <w:tab w:val="num" w:pos="5760"/>
        </w:tabs>
        <w:ind w:left="5760" w:hanging="360"/>
      </w:pPr>
      <w:rPr>
        <w:rFonts w:cs="Times New Roman"/>
      </w:rPr>
    </w:lvl>
    <w:lvl w:ilvl="8" w:tplc="D1F4FC20" w:tentative="1">
      <w:start w:val="1"/>
      <w:numFmt w:val="lowerRoman"/>
      <w:lvlText w:val="%9."/>
      <w:lvlJc w:val="right"/>
      <w:pPr>
        <w:tabs>
          <w:tab w:val="num" w:pos="6480"/>
        </w:tabs>
        <w:ind w:left="6480" w:hanging="180"/>
      </w:pPr>
      <w:rPr>
        <w:rFonts w:cs="Times New Roman"/>
      </w:rPr>
    </w:lvl>
  </w:abstractNum>
  <w:abstractNum w:abstractNumId="23" w15:restartNumberingAfterBreak="0">
    <w:nsid w:val="4C035C40"/>
    <w:multiLevelType w:val="hybridMultilevel"/>
    <w:tmpl w:val="02E69B28"/>
    <w:lvl w:ilvl="0" w:tplc="8968CC32">
      <w:numFmt w:val="bullet"/>
      <w:lvlText w:val="-"/>
      <w:lvlJc w:val="left"/>
      <w:pPr>
        <w:ind w:left="2868" w:hanging="360"/>
      </w:pPr>
      <w:rPr>
        <w:rFonts w:ascii="Times New Roman" w:eastAsia="Times New Roman" w:hAnsi="Times New Roman" w:hint="default"/>
      </w:rPr>
    </w:lvl>
    <w:lvl w:ilvl="1" w:tplc="458C8C3A" w:tentative="1">
      <w:start w:val="1"/>
      <w:numFmt w:val="bullet"/>
      <w:lvlText w:val="o"/>
      <w:lvlJc w:val="left"/>
      <w:pPr>
        <w:ind w:left="3588" w:hanging="360"/>
      </w:pPr>
      <w:rPr>
        <w:rFonts w:ascii="Courier New" w:hAnsi="Courier New" w:hint="default"/>
      </w:rPr>
    </w:lvl>
    <w:lvl w:ilvl="2" w:tplc="F6FCD522" w:tentative="1">
      <w:start w:val="1"/>
      <w:numFmt w:val="bullet"/>
      <w:lvlText w:val=""/>
      <w:lvlJc w:val="left"/>
      <w:pPr>
        <w:ind w:left="4308" w:hanging="360"/>
      </w:pPr>
      <w:rPr>
        <w:rFonts w:ascii="Wingdings" w:hAnsi="Wingdings" w:hint="default"/>
      </w:rPr>
    </w:lvl>
    <w:lvl w:ilvl="3" w:tplc="04EA081E" w:tentative="1">
      <w:start w:val="1"/>
      <w:numFmt w:val="bullet"/>
      <w:lvlText w:val=""/>
      <w:lvlJc w:val="left"/>
      <w:pPr>
        <w:ind w:left="5028" w:hanging="360"/>
      </w:pPr>
      <w:rPr>
        <w:rFonts w:ascii="Symbol" w:hAnsi="Symbol" w:hint="default"/>
      </w:rPr>
    </w:lvl>
    <w:lvl w:ilvl="4" w:tplc="E73C7994" w:tentative="1">
      <w:start w:val="1"/>
      <w:numFmt w:val="bullet"/>
      <w:lvlText w:val="o"/>
      <w:lvlJc w:val="left"/>
      <w:pPr>
        <w:ind w:left="5748" w:hanging="360"/>
      </w:pPr>
      <w:rPr>
        <w:rFonts w:ascii="Courier New" w:hAnsi="Courier New" w:hint="default"/>
      </w:rPr>
    </w:lvl>
    <w:lvl w:ilvl="5" w:tplc="92CE713A" w:tentative="1">
      <w:start w:val="1"/>
      <w:numFmt w:val="bullet"/>
      <w:lvlText w:val=""/>
      <w:lvlJc w:val="left"/>
      <w:pPr>
        <w:ind w:left="6468" w:hanging="360"/>
      </w:pPr>
      <w:rPr>
        <w:rFonts w:ascii="Wingdings" w:hAnsi="Wingdings" w:hint="default"/>
      </w:rPr>
    </w:lvl>
    <w:lvl w:ilvl="6" w:tplc="1CDEB34E" w:tentative="1">
      <w:start w:val="1"/>
      <w:numFmt w:val="bullet"/>
      <w:lvlText w:val=""/>
      <w:lvlJc w:val="left"/>
      <w:pPr>
        <w:ind w:left="7188" w:hanging="360"/>
      </w:pPr>
      <w:rPr>
        <w:rFonts w:ascii="Symbol" w:hAnsi="Symbol" w:hint="default"/>
      </w:rPr>
    </w:lvl>
    <w:lvl w:ilvl="7" w:tplc="436AC63C" w:tentative="1">
      <w:start w:val="1"/>
      <w:numFmt w:val="bullet"/>
      <w:lvlText w:val="o"/>
      <w:lvlJc w:val="left"/>
      <w:pPr>
        <w:ind w:left="7908" w:hanging="360"/>
      </w:pPr>
      <w:rPr>
        <w:rFonts w:ascii="Courier New" w:hAnsi="Courier New" w:hint="default"/>
      </w:rPr>
    </w:lvl>
    <w:lvl w:ilvl="8" w:tplc="885CCED8" w:tentative="1">
      <w:start w:val="1"/>
      <w:numFmt w:val="bullet"/>
      <w:lvlText w:val=""/>
      <w:lvlJc w:val="left"/>
      <w:pPr>
        <w:ind w:left="8628" w:hanging="360"/>
      </w:pPr>
      <w:rPr>
        <w:rFonts w:ascii="Wingdings" w:hAnsi="Wingdings" w:hint="default"/>
      </w:rPr>
    </w:lvl>
  </w:abstractNum>
  <w:abstractNum w:abstractNumId="24" w15:restartNumberingAfterBreak="0">
    <w:nsid w:val="4CE36BA0"/>
    <w:multiLevelType w:val="hybridMultilevel"/>
    <w:tmpl w:val="20061184"/>
    <w:lvl w:ilvl="0" w:tplc="01E2B074">
      <w:start w:val="1"/>
      <w:numFmt w:val="decimal"/>
      <w:lvlText w:val="[%1]"/>
      <w:lvlJc w:val="left"/>
      <w:pPr>
        <w:ind w:left="720" w:hanging="360"/>
      </w:pPr>
      <w:rPr>
        <w:rFonts w:cs="Times New Roman" w:hint="default"/>
        <w:i w:val="0"/>
      </w:rPr>
    </w:lvl>
    <w:lvl w:ilvl="1" w:tplc="02B4026C" w:tentative="1">
      <w:start w:val="1"/>
      <w:numFmt w:val="lowerLetter"/>
      <w:lvlText w:val="%2."/>
      <w:lvlJc w:val="left"/>
      <w:pPr>
        <w:ind w:left="1440" w:hanging="360"/>
      </w:pPr>
      <w:rPr>
        <w:rFonts w:cs="Times New Roman"/>
      </w:rPr>
    </w:lvl>
    <w:lvl w:ilvl="2" w:tplc="3BBC23B6" w:tentative="1">
      <w:start w:val="1"/>
      <w:numFmt w:val="lowerRoman"/>
      <w:lvlText w:val="%3."/>
      <w:lvlJc w:val="right"/>
      <w:pPr>
        <w:ind w:left="2160" w:hanging="180"/>
      </w:pPr>
      <w:rPr>
        <w:rFonts w:cs="Times New Roman"/>
      </w:rPr>
    </w:lvl>
    <w:lvl w:ilvl="3" w:tplc="41A6FA4C" w:tentative="1">
      <w:start w:val="1"/>
      <w:numFmt w:val="decimal"/>
      <w:lvlText w:val="%4."/>
      <w:lvlJc w:val="left"/>
      <w:pPr>
        <w:ind w:left="2880" w:hanging="360"/>
      </w:pPr>
      <w:rPr>
        <w:rFonts w:cs="Times New Roman"/>
      </w:rPr>
    </w:lvl>
    <w:lvl w:ilvl="4" w:tplc="EB9C41DA" w:tentative="1">
      <w:start w:val="1"/>
      <w:numFmt w:val="lowerLetter"/>
      <w:lvlText w:val="%5."/>
      <w:lvlJc w:val="left"/>
      <w:pPr>
        <w:ind w:left="3600" w:hanging="360"/>
      </w:pPr>
      <w:rPr>
        <w:rFonts w:cs="Times New Roman"/>
      </w:rPr>
    </w:lvl>
    <w:lvl w:ilvl="5" w:tplc="A06E4D06" w:tentative="1">
      <w:start w:val="1"/>
      <w:numFmt w:val="lowerRoman"/>
      <w:lvlText w:val="%6."/>
      <w:lvlJc w:val="right"/>
      <w:pPr>
        <w:ind w:left="4320" w:hanging="180"/>
      </w:pPr>
      <w:rPr>
        <w:rFonts w:cs="Times New Roman"/>
      </w:rPr>
    </w:lvl>
    <w:lvl w:ilvl="6" w:tplc="5FF00610" w:tentative="1">
      <w:start w:val="1"/>
      <w:numFmt w:val="decimal"/>
      <w:lvlText w:val="%7."/>
      <w:lvlJc w:val="left"/>
      <w:pPr>
        <w:ind w:left="5040" w:hanging="360"/>
      </w:pPr>
      <w:rPr>
        <w:rFonts w:cs="Times New Roman"/>
      </w:rPr>
    </w:lvl>
    <w:lvl w:ilvl="7" w:tplc="08FAD766" w:tentative="1">
      <w:start w:val="1"/>
      <w:numFmt w:val="lowerLetter"/>
      <w:lvlText w:val="%8."/>
      <w:lvlJc w:val="left"/>
      <w:pPr>
        <w:ind w:left="5760" w:hanging="360"/>
      </w:pPr>
      <w:rPr>
        <w:rFonts w:cs="Times New Roman"/>
      </w:rPr>
    </w:lvl>
    <w:lvl w:ilvl="8" w:tplc="0444236A" w:tentative="1">
      <w:start w:val="1"/>
      <w:numFmt w:val="lowerRoman"/>
      <w:lvlText w:val="%9."/>
      <w:lvlJc w:val="right"/>
      <w:pPr>
        <w:ind w:left="6480" w:hanging="180"/>
      </w:pPr>
      <w:rPr>
        <w:rFonts w:cs="Times New Roman"/>
      </w:rPr>
    </w:lvl>
  </w:abstractNum>
  <w:abstractNum w:abstractNumId="25" w15:restartNumberingAfterBreak="0">
    <w:nsid w:val="500C186A"/>
    <w:multiLevelType w:val="hybridMultilevel"/>
    <w:tmpl w:val="87C647AA"/>
    <w:lvl w:ilvl="0" w:tplc="A2D0A31A">
      <w:start w:val="1"/>
      <w:numFmt w:val="upperLetter"/>
      <w:lvlText w:val="(%1)"/>
      <w:lvlJc w:val="left"/>
      <w:pPr>
        <w:tabs>
          <w:tab w:val="num" w:pos="1815"/>
        </w:tabs>
        <w:ind w:left="1815" w:hanging="375"/>
      </w:pPr>
      <w:rPr>
        <w:rFonts w:cs="Times New Roman" w:hint="default"/>
      </w:rPr>
    </w:lvl>
    <w:lvl w:ilvl="1" w:tplc="849482C6" w:tentative="1">
      <w:start w:val="1"/>
      <w:numFmt w:val="lowerLetter"/>
      <w:lvlText w:val="%2."/>
      <w:lvlJc w:val="left"/>
      <w:pPr>
        <w:tabs>
          <w:tab w:val="num" w:pos="2520"/>
        </w:tabs>
        <w:ind w:left="2520" w:hanging="360"/>
      </w:pPr>
      <w:rPr>
        <w:rFonts w:cs="Times New Roman"/>
      </w:rPr>
    </w:lvl>
    <w:lvl w:ilvl="2" w:tplc="7BD073C4" w:tentative="1">
      <w:start w:val="1"/>
      <w:numFmt w:val="lowerRoman"/>
      <w:lvlText w:val="%3."/>
      <w:lvlJc w:val="right"/>
      <w:pPr>
        <w:tabs>
          <w:tab w:val="num" w:pos="3240"/>
        </w:tabs>
        <w:ind w:left="3240" w:hanging="180"/>
      </w:pPr>
      <w:rPr>
        <w:rFonts w:cs="Times New Roman"/>
      </w:rPr>
    </w:lvl>
    <w:lvl w:ilvl="3" w:tplc="C07CCD04" w:tentative="1">
      <w:start w:val="1"/>
      <w:numFmt w:val="decimal"/>
      <w:lvlText w:val="%4."/>
      <w:lvlJc w:val="left"/>
      <w:pPr>
        <w:tabs>
          <w:tab w:val="num" w:pos="3960"/>
        </w:tabs>
        <w:ind w:left="3960" w:hanging="360"/>
      </w:pPr>
      <w:rPr>
        <w:rFonts w:cs="Times New Roman"/>
      </w:rPr>
    </w:lvl>
    <w:lvl w:ilvl="4" w:tplc="9A7E7582" w:tentative="1">
      <w:start w:val="1"/>
      <w:numFmt w:val="lowerLetter"/>
      <w:lvlText w:val="%5."/>
      <w:lvlJc w:val="left"/>
      <w:pPr>
        <w:tabs>
          <w:tab w:val="num" w:pos="4680"/>
        </w:tabs>
        <w:ind w:left="4680" w:hanging="360"/>
      </w:pPr>
      <w:rPr>
        <w:rFonts w:cs="Times New Roman"/>
      </w:rPr>
    </w:lvl>
    <w:lvl w:ilvl="5" w:tplc="8500D12C" w:tentative="1">
      <w:start w:val="1"/>
      <w:numFmt w:val="lowerRoman"/>
      <w:lvlText w:val="%6."/>
      <w:lvlJc w:val="right"/>
      <w:pPr>
        <w:tabs>
          <w:tab w:val="num" w:pos="5400"/>
        </w:tabs>
        <w:ind w:left="5400" w:hanging="180"/>
      </w:pPr>
      <w:rPr>
        <w:rFonts w:cs="Times New Roman"/>
      </w:rPr>
    </w:lvl>
    <w:lvl w:ilvl="6" w:tplc="21D2B624" w:tentative="1">
      <w:start w:val="1"/>
      <w:numFmt w:val="decimal"/>
      <w:lvlText w:val="%7."/>
      <w:lvlJc w:val="left"/>
      <w:pPr>
        <w:tabs>
          <w:tab w:val="num" w:pos="6120"/>
        </w:tabs>
        <w:ind w:left="6120" w:hanging="360"/>
      </w:pPr>
      <w:rPr>
        <w:rFonts w:cs="Times New Roman"/>
      </w:rPr>
    </w:lvl>
    <w:lvl w:ilvl="7" w:tplc="11FC44FE" w:tentative="1">
      <w:start w:val="1"/>
      <w:numFmt w:val="lowerLetter"/>
      <w:lvlText w:val="%8."/>
      <w:lvlJc w:val="left"/>
      <w:pPr>
        <w:tabs>
          <w:tab w:val="num" w:pos="6840"/>
        </w:tabs>
        <w:ind w:left="6840" w:hanging="360"/>
      </w:pPr>
      <w:rPr>
        <w:rFonts w:cs="Times New Roman"/>
      </w:rPr>
    </w:lvl>
    <w:lvl w:ilvl="8" w:tplc="40AEC408" w:tentative="1">
      <w:start w:val="1"/>
      <w:numFmt w:val="lowerRoman"/>
      <w:lvlText w:val="%9."/>
      <w:lvlJc w:val="right"/>
      <w:pPr>
        <w:tabs>
          <w:tab w:val="num" w:pos="7560"/>
        </w:tabs>
        <w:ind w:left="7560" w:hanging="180"/>
      </w:pPr>
      <w:rPr>
        <w:rFonts w:cs="Times New Roman"/>
      </w:rPr>
    </w:lvl>
  </w:abstractNum>
  <w:abstractNum w:abstractNumId="26" w15:restartNumberingAfterBreak="0">
    <w:nsid w:val="59196738"/>
    <w:multiLevelType w:val="hybridMultilevel"/>
    <w:tmpl w:val="58449D48"/>
    <w:lvl w:ilvl="0" w:tplc="A472527C">
      <w:start w:val="114"/>
      <w:numFmt w:val="decimal"/>
      <w:lvlText w:val="[%1]"/>
      <w:lvlJc w:val="left"/>
      <w:pPr>
        <w:ind w:left="720" w:hanging="360"/>
      </w:pPr>
      <w:rPr>
        <w:rFonts w:cs="Times New Roman"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B30004F"/>
    <w:multiLevelType w:val="hybridMultilevel"/>
    <w:tmpl w:val="5BC28A0C"/>
    <w:lvl w:ilvl="0" w:tplc="F356E99A">
      <w:start w:val="1"/>
      <w:numFmt w:val="lowerRoman"/>
      <w:lvlText w:val="(%1)"/>
      <w:lvlJc w:val="left"/>
      <w:pPr>
        <w:tabs>
          <w:tab w:val="num" w:pos="1800"/>
        </w:tabs>
        <w:ind w:left="1800" w:hanging="720"/>
      </w:pPr>
      <w:rPr>
        <w:rFonts w:cs="Times New Roman" w:hint="default"/>
      </w:rPr>
    </w:lvl>
    <w:lvl w:ilvl="1" w:tplc="65086C4A" w:tentative="1">
      <w:start w:val="1"/>
      <w:numFmt w:val="lowerLetter"/>
      <w:lvlText w:val="%2."/>
      <w:lvlJc w:val="left"/>
      <w:pPr>
        <w:tabs>
          <w:tab w:val="num" w:pos="2160"/>
        </w:tabs>
        <w:ind w:left="2160" w:hanging="360"/>
      </w:pPr>
      <w:rPr>
        <w:rFonts w:cs="Times New Roman"/>
      </w:rPr>
    </w:lvl>
    <w:lvl w:ilvl="2" w:tplc="C4E2C19E" w:tentative="1">
      <w:start w:val="1"/>
      <w:numFmt w:val="lowerRoman"/>
      <w:lvlText w:val="%3."/>
      <w:lvlJc w:val="right"/>
      <w:pPr>
        <w:tabs>
          <w:tab w:val="num" w:pos="2880"/>
        </w:tabs>
        <w:ind w:left="2880" w:hanging="180"/>
      </w:pPr>
      <w:rPr>
        <w:rFonts w:cs="Times New Roman"/>
      </w:rPr>
    </w:lvl>
    <w:lvl w:ilvl="3" w:tplc="3DE85FDA" w:tentative="1">
      <w:start w:val="1"/>
      <w:numFmt w:val="decimal"/>
      <w:lvlText w:val="%4."/>
      <w:lvlJc w:val="left"/>
      <w:pPr>
        <w:tabs>
          <w:tab w:val="num" w:pos="3600"/>
        </w:tabs>
        <w:ind w:left="3600" w:hanging="360"/>
      </w:pPr>
      <w:rPr>
        <w:rFonts w:cs="Times New Roman"/>
      </w:rPr>
    </w:lvl>
    <w:lvl w:ilvl="4" w:tplc="A2005E6E" w:tentative="1">
      <w:start w:val="1"/>
      <w:numFmt w:val="lowerLetter"/>
      <w:lvlText w:val="%5."/>
      <w:lvlJc w:val="left"/>
      <w:pPr>
        <w:tabs>
          <w:tab w:val="num" w:pos="4320"/>
        </w:tabs>
        <w:ind w:left="4320" w:hanging="360"/>
      </w:pPr>
      <w:rPr>
        <w:rFonts w:cs="Times New Roman"/>
      </w:rPr>
    </w:lvl>
    <w:lvl w:ilvl="5" w:tplc="03647452" w:tentative="1">
      <w:start w:val="1"/>
      <w:numFmt w:val="lowerRoman"/>
      <w:lvlText w:val="%6."/>
      <w:lvlJc w:val="right"/>
      <w:pPr>
        <w:tabs>
          <w:tab w:val="num" w:pos="5040"/>
        </w:tabs>
        <w:ind w:left="5040" w:hanging="180"/>
      </w:pPr>
      <w:rPr>
        <w:rFonts w:cs="Times New Roman"/>
      </w:rPr>
    </w:lvl>
    <w:lvl w:ilvl="6" w:tplc="D5FA6F7C" w:tentative="1">
      <w:start w:val="1"/>
      <w:numFmt w:val="decimal"/>
      <w:lvlText w:val="%7."/>
      <w:lvlJc w:val="left"/>
      <w:pPr>
        <w:tabs>
          <w:tab w:val="num" w:pos="5760"/>
        </w:tabs>
        <w:ind w:left="5760" w:hanging="360"/>
      </w:pPr>
      <w:rPr>
        <w:rFonts w:cs="Times New Roman"/>
      </w:rPr>
    </w:lvl>
    <w:lvl w:ilvl="7" w:tplc="801C392E" w:tentative="1">
      <w:start w:val="1"/>
      <w:numFmt w:val="lowerLetter"/>
      <w:lvlText w:val="%8."/>
      <w:lvlJc w:val="left"/>
      <w:pPr>
        <w:tabs>
          <w:tab w:val="num" w:pos="6480"/>
        </w:tabs>
        <w:ind w:left="6480" w:hanging="360"/>
      </w:pPr>
      <w:rPr>
        <w:rFonts w:cs="Times New Roman"/>
      </w:rPr>
    </w:lvl>
    <w:lvl w:ilvl="8" w:tplc="F90ABCB6" w:tentative="1">
      <w:start w:val="1"/>
      <w:numFmt w:val="lowerRoman"/>
      <w:lvlText w:val="%9."/>
      <w:lvlJc w:val="right"/>
      <w:pPr>
        <w:tabs>
          <w:tab w:val="num" w:pos="7200"/>
        </w:tabs>
        <w:ind w:left="7200" w:hanging="180"/>
      </w:pPr>
      <w:rPr>
        <w:rFonts w:cs="Times New Roman"/>
      </w:rPr>
    </w:lvl>
  </w:abstractNum>
  <w:abstractNum w:abstractNumId="28" w15:restartNumberingAfterBreak="0">
    <w:nsid w:val="6489384E"/>
    <w:multiLevelType w:val="hybridMultilevel"/>
    <w:tmpl w:val="D9A64A54"/>
    <w:lvl w:ilvl="0" w:tplc="960CEB8C">
      <w:start w:val="1"/>
      <w:numFmt w:val="decimal"/>
      <w:lvlText w:val="(%1)"/>
      <w:lvlJc w:val="left"/>
      <w:pPr>
        <w:ind w:left="1850" w:hanging="408"/>
      </w:pPr>
      <w:rPr>
        <w:rFonts w:hint="default"/>
      </w:rPr>
    </w:lvl>
    <w:lvl w:ilvl="1" w:tplc="0C0C0019" w:tentative="1">
      <w:start w:val="1"/>
      <w:numFmt w:val="lowerLetter"/>
      <w:lvlText w:val="%2."/>
      <w:lvlJc w:val="left"/>
      <w:pPr>
        <w:ind w:left="2522" w:hanging="360"/>
      </w:pPr>
    </w:lvl>
    <w:lvl w:ilvl="2" w:tplc="0C0C001B" w:tentative="1">
      <w:start w:val="1"/>
      <w:numFmt w:val="lowerRoman"/>
      <w:lvlText w:val="%3."/>
      <w:lvlJc w:val="right"/>
      <w:pPr>
        <w:ind w:left="3242" w:hanging="180"/>
      </w:pPr>
    </w:lvl>
    <w:lvl w:ilvl="3" w:tplc="0C0C000F" w:tentative="1">
      <w:start w:val="1"/>
      <w:numFmt w:val="decimal"/>
      <w:lvlText w:val="%4."/>
      <w:lvlJc w:val="left"/>
      <w:pPr>
        <w:ind w:left="3962" w:hanging="360"/>
      </w:pPr>
    </w:lvl>
    <w:lvl w:ilvl="4" w:tplc="0C0C0019" w:tentative="1">
      <w:start w:val="1"/>
      <w:numFmt w:val="lowerLetter"/>
      <w:lvlText w:val="%5."/>
      <w:lvlJc w:val="left"/>
      <w:pPr>
        <w:ind w:left="4682" w:hanging="360"/>
      </w:pPr>
    </w:lvl>
    <w:lvl w:ilvl="5" w:tplc="0C0C001B" w:tentative="1">
      <w:start w:val="1"/>
      <w:numFmt w:val="lowerRoman"/>
      <w:lvlText w:val="%6."/>
      <w:lvlJc w:val="right"/>
      <w:pPr>
        <w:ind w:left="5402" w:hanging="180"/>
      </w:pPr>
    </w:lvl>
    <w:lvl w:ilvl="6" w:tplc="0C0C000F" w:tentative="1">
      <w:start w:val="1"/>
      <w:numFmt w:val="decimal"/>
      <w:lvlText w:val="%7."/>
      <w:lvlJc w:val="left"/>
      <w:pPr>
        <w:ind w:left="6122" w:hanging="360"/>
      </w:pPr>
    </w:lvl>
    <w:lvl w:ilvl="7" w:tplc="0C0C0019" w:tentative="1">
      <w:start w:val="1"/>
      <w:numFmt w:val="lowerLetter"/>
      <w:lvlText w:val="%8."/>
      <w:lvlJc w:val="left"/>
      <w:pPr>
        <w:ind w:left="6842" w:hanging="360"/>
      </w:pPr>
    </w:lvl>
    <w:lvl w:ilvl="8" w:tplc="0C0C001B" w:tentative="1">
      <w:start w:val="1"/>
      <w:numFmt w:val="lowerRoman"/>
      <w:lvlText w:val="%9."/>
      <w:lvlJc w:val="right"/>
      <w:pPr>
        <w:ind w:left="7562" w:hanging="180"/>
      </w:pPr>
    </w:lvl>
  </w:abstractNum>
  <w:abstractNum w:abstractNumId="29" w15:restartNumberingAfterBreak="0">
    <w:nsid w:val="655E1740"/>
    <w:multiLevelType w:val="hybridMultilevel"/>
    <w:tmpl w:val="535EC1AC"/>
    <w:lvl w:ilvl="0" w:tplc="48CC0B96">
      <w:start w:val="1"/>
      <w:numFmt w:val="decimal"/>
      <w:lvlText w:val="%1."/>
      <w:lvlJc w:val="left"/>
      <w:pPr>
        <w:ind w:left="720" w:hanging="360"/>
      </w:pPr>
      <w:rPr>
        <w:rFonts w:cs="Times New Roman"/>
      </w:rPr>
    </w:lvl>
    <w:lvl w:ilvl="1" w:tplc="D67AC0CA">
      <w:start w:val="1"/>
      <w:numFmt w:val="lowerLetter"/>
      <w:lvlText w:val="%2."/>
      <w:lvlJc w:val="left"/>
      <w:pPr>
        <w:ind w:left="1440" w:hanging="360"/>
      </w:pPr>
      <w:rPr>
        <w:rFonts w:cs="Times New Roman"/>
      </w:rPr>
    </w:lvl>
    <w:lvl w:ilvl="2" w:tplc="A38A837C">
      <w:start w:val="1"/>
      <w:numFmt w:val="lowerRoman"/>
      <w:lvlText w:val="%3."/>
      <w:lvlJc w:val="right"/>
      <w:pPr>
        <w:ind w:left="2160" w:hanging="180"/>
      </w:pPr>
      <w:rPr>
        <w:rFonts w:cs="Times New Roman"/>
      </w:rPr>
    </w:lvl>
    <w:lvl w:ilvl="3" w:tplc="C0F86706" w:tentative="1">
      <w:start w:val="1"/>
      <w:numFmt w:val="decimal"/>
      <w:lvlText w:val="%4."/>
      <w:lvlJc w:val="left"/>
      <w:pPr>
        <w:ind w:left="2880" w:hanging="360"/>
      </w:pPr>
      <w:rPr>
        <w:rFonts w:cs="Times New Roman"/>
      </w:rPr>
    </w:lvl>
    <w:lvl w:ilvl="4" w:tplc="C9960BBA" w:tentative="1">
      <w:start w:val="1"/>
      <w:numFmt w:val="lowerLetter"/>
      <w:lvlText w:val="%5."/>
      <w:lvlJc w:val="left"/>
      <w:pPr>
        <w:ind w:left="3600" w:hanging="360"/>
      </w:pPr>
      <w:rPr>
        <w:rFonts w:cs="Times New Roman"/>
      </w:rPr>
    </w:lvl>
    <w:lvl w:ilvl="5" w:tplc="2068AF0A" w:tentative="1">
      <w:start w:val="1"/>
      <w:numFmt w:val="lowerRoman"/>
      <w:lvlText w:val="%6."/>
      <w:lvlJc w:val="right"/>
      <w:pPr>
        <w:ind w:left="4320" w:hanging="180"/>
      </w:pPr>
      <w:rPr>
        <w:rFonts w:cs="Times New Roman"/>
      </w:rPr>
    </w:lvl>
    <w:lvl w:ilvl="6" w:tplc="B4AEF2A4" w:tentative="1">
      <w:start w:val="1"/>
      <w:numFmt w:val="decimal"/>
      <w:lvlText w:val="%7."/>
      <w:lvlJc w:val="left"/>
      <w:pPr>
        <w:ind w:left="5040" w:hanging="360"/>
      </w:pPr>
      <w:rPr>
        <w:rFonts w:cs="Times New Roman"/>
      </w:rPr>
    </w:lvl>
    <w:lvl w:ilvl="7" w:tplc="24E844B8" w:tentative="1">
      <w:start w:val="1"/>
      <w:numFmt w:val="lowerLetter"/>
      <w:lvlText w:val="%8."/>
      <w:lvlJc w:val="left"/>
      <w:pPr>
        <w:ind w:left="5760" w:hanging="360"/>
      </w:pPr>
      <w:rPr>
        <w:rFonts w:cs="Times New Roman"/>
      </w:rPr>
    </w:lvl>
    <w:lvl w:ilvl="8" w:tplc="B998B4D0" w:tentative="1">
      <w:start w:val="1"/>
      <w:numFmt w:val="lowerRoman"/>
      <w:lvlText w:val="%9."/>
      <w:lvlJc w:val="right"/>
      <w:pPr>
        <w:ind w:left="6480" w:hanging="180"/>
      </w:pPr>
      <w:rPr>
        <w:rFonts w:cs="Times New Roman"/>
      </w:rPr>
    </w:lvl>
  </w:abstractNum>
  <w:abstractNum w:abstractNumId="30" w15:restartNumberingAfterBreak="0">
    <w:nsid w:val="67C53CE7"/>
    <w:multiLevelType w:val="multilevel"/>
    <w:tmpl w:val="20061184"/>
    <w:lvl w:ilvl="0">
      <w:start w:val="1"/>
      <w:numFmt w:val="decimal"/>
      <w:lvlText w:val="[%1]"/>
      <w:lvlJc w:val="left"/>
      <w:pPr>
        <w:ind w:left="720" w:hanging="360"/>
      </w:pPr>
      <w:rPr>
        <w:rFonts w:cs="Times New Roman" w:hint="default"/>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6A6F6357"/>
    <w:multiLevelType w:val="hybridMultilevel"/>
    <w:tmpl w:val="EDB83F6C"/>
    <w:lvl w:ilvl="0" w:tplc="35A2DEB6">
      <w:start w:val="9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C87ECA"/>
    <w:multiLevelType w:val="hybridMultilevel"/>
    <w:tmpl w:val="C4EAF022"/>
    <w:lvl w:ilvl="0" w:tplc="A05A2EAA">
      <w:start w:val="1"/>
      <w:numFmt w:val="lowerLetter"/>
      <w:lvlText w:val="%1)"/>
      <w:lvlJc w:val="left"/>
      <w:pPr>
        <w:tabs>
          <w:tab w:val="num" w:pos="720"/>
        </w:tabs>
        <w:ind w:left="720" w:hanging="360"/>
      </w:pPr>
      <w:rPr>
        <w:rFonts w:cs="Times New Roman" w:hint="default"/>
        <w:i/>
      </w:rPr>
    </w:lvl>
    <w:lvl w:ilvl="1" w:tplc="76C4C04A" w:tentative="1">
      <w:start w:val="1"/>
      <w:numFmt w:val="lowerLetter"/>
      <w:lvlText w:val="%2."/>
      <w:lvlJc w:val="left"/>
      <w:pPr>
        <w:tabs>
          <w:tab w:val="num" w:pos="1440"/>
        </w:tabs>
        <w:ind w:left="1440" w:hanging="360"/>
      </w:pPr>
      <w:rPr>
        <w:rFonts w:cs="Times New Roman"/>
      </w:rPr>
    </w:lvl>
    <w:lvl w:ilvl="2" w:tplc="693478E0" w:tentative="1">
      <w:start w:val="1"/>
      <w:numFmt w:val="lowerRoman"/>
      <w:lvlText w:val="%3."/>
      <w:lvlJc w:val="right"/>
      <w:pPr>
        <w:tabs>
          <w:tab w:val="num" w:pos="2160"/>
        </w:tabs>
        <w:ind w:left="2160" w:hanging="180"/>
      </w:pPr>
      <w:rPr>
        <w:rFonts w:cs="Times New Roman"/>
      </w:rPr>
    </w:lvl>
    <w:lvl w:ilvl="3" w:tplc="BD6A415C" w:tentative="1">
      <w:start w:val="1"/>
      <w:numFmt w:val="decimal"/>
      <w:lvlText w:val="%4."/>
      <w:lvlJc w:val="left"/>
      <w:pPr>
        <w:tabs>
          <w:tab w:val="num" w:pos="2880"/>
        </w:tabs>
        <w:ind w:left="2880" w:hanging="360"/>
      </w:pPr>
      <w:rPr>
        <w:rFonts w:cs="Times New Roman"/>
      </w:rPr>
    </w:lvl>
    <w:lvl w:ilvl="4" w:tplc="FC222624" w:tentative="1">
      <w:start w:val="1"/>
      <w:numFmt w:val="lowerLetter"/>
      <w:lvlText w:val="%5."/>
      <w:lvlJc w:val="left"/>
      <w:pPr>
        <w:tabs>
          <w:tab w:val="num" w:pos="3600"/>
        </w:tabs>
        <w:ind w:left="3600" w:hanging="360"/>
      </w:pPr>
      <w:rPr>
        <w:rFonts w:cs="Times New Roman"/>
      </w:rPr>
    </w:lvl>
    <w:lvl w:ilvl="5" w:tplc="A6E4247A" w:tentative="1">
      <w:start w:val="1"/>
      <w:numFmt w:val="lowerRoman"/>
      <w:lvlText w:val="%6."/>
      <w:lvlJc w:val="right"/>
      <w:pPr>
        <w:tabs>
          <w:tab w:val="num" w:pos="4320"/>
        </w:tabs>
        <w:ind w:left="4320" w:hanging="180"/>
      </w:pPr>
      <w:rPr>
        <w:rFonts w:cs="Times New Roman"/>
      </w:rPr>
    </w:lvl>
    <w:lvl w:ilvl="6" w:tplc="BF0824E8" w:tentative="1">
      <w:start w:val="1"/>
      <w:numFmt w:val="decimal"/>
      <w:lvlText w:val="%7."/>
      <w:lvlJc w:val="left"/>
      <w:pPr>
        <w:tabs>
          <w:tab w:val="num" w:pos="5040"/>
        </w:tabs>
        <w:ind w:left="5040" w:hanging="360"/>
      </w:pPr>
      <w:rPr>
        <w:rFonts w:cs="Times New Roman"/>
      </w:rPr>
    </w:lvl>
    <w:lvl w:ilvl="7" w:tplc="1C2C3986" w:tentative="1">
      <w:start w:val="1"/>
      <w:numFmt w:val="lowerLetter"/>
      <w:lvlText w:val="%8."/>
      <w:lvlJc w:val="left"/>
      <w:pPr>
        <w:tabs>
          <w:tab w:val="num" w:pos="5760"/>
        </w:tabs>
        <w:ind w:left="5760" w:hanging="360"/>
      </w:pPr>
      <w:rPr>
        <w:rFonts w:cs="Times New Roman"/>
      </w:rPr>
    </w:lvl>
    <w:lvl w:ilvl="8" w:tplc="2A488B1E" w:tentative="1">
      <w:start w:val="1"/>
      <w:numFmt w:val="lowerRoman"/>
      <w:lvlText w:val="%9."/>
      <w:lvlJc w:val="right"/>
      <w:pPr>
        <w:tabs>
          <w:tab w:val="num" w:pos="6480"/>
        </w:tabs>
        <w:ind w:left="6480" w:hanging="180"/>
      </w:pPr>
      <w:rPr>
        <w:rFonts w:cs="Times New Roman"/>
      </w:rPr>
    </w:lvl>
  </w:abstractNum>
  <w:abstractNum w:abstractNumId="33" w15:restartNumberingAfterBreak="0">
    <w:nsid w:val="7F6D4EBD"/>
    <w:multiLevelType w:val="hybridMultilevel"/>
    <w:tmpl w:val="01964C16"/>
    <w:lvl w:ilvl="0" w:tplc="27A6847A">
      <w:start w:val="1"/>
      <w:numFmt w:val="lowerLetter"/>
      <w:lvlText w:val="%1)"/>
      <w:lvlJc w:val="left"/>
      <w:pPr>
        <w:tabs>
          <w:tab w:val="num" w:pos="720"/>
        </w:tabs>
        <w:ind w:left="720" w:hanging="360"/>
      </w:pPr>
      <w:rPr>
        <w:rFonts w:cs="Times New Roman" w:hint="default"/>
        <w:i/>
      </w:rPr>
    </w:lvl>
    <w:lvl w:ilvl="1" w:tplc="AC2A5EB6">
      <w:start w:val="1"/>
      <w:numFmt w:val="lowerRoman"/>
      <w:lvlText w:val="(%2)"/>
      <w:lvlJc w:val="left"/>
      <w:pPr>
        <w:tabs>
          <w:tab w:val="num" w:pos="1800"/>
        </w:tabs>
        <w:ind w:left="1800" w:hanging="720"/>
      </w:pPr>
      <w:rPr>
        <w:rFonts w:cs="Times New Roman" w:hint="default"/>
      </w:rPr>
    </w:lvl>
    <w:lvl w:ilvl="2" w:tplc="092296E8" w:tentative="1">
      <w:start w:val="1"/>
      <w:numFmt w:val="lowerRoman"/>
      <w:lvlText w:val="%3."/>
      <w:lvlJc w:val="right"/>
      <w:pPr>
        <w:tabs>
          <w:tab w:val="num" w:pos="2160"/>
        </w:tabs>
        <w:ind w:left="2160" w:hanging="180"/>
      </w:pPr>
      <w:rPr>
        <w:rFonts w:cs="Times New Roman"/>
      </w:rPr>
    </w:lvl>
    <w:lvl w:ilvl="3" w:tplc="EB5CBF4A" w:tentative="1">
      <w:start w:val="1"/>
      <w:numFmt w:val="decimal"/>
      <w:lvlText w:val="%4."/>
      <w:lvlJc w:val="left"/>
      <w:pPr>
        <w:tabs>
          <w:tab w:val="num" w:pos="2880"/>
        </w:tabs>
        <w:ind w:left="2880" w:hanging="360"/>
      </w:pPr>
      <w:rPr>
        <w:rFonts w:cs="Times New Roman"/>
      </w:rPr>
    </w:lvl>
    <w:lvl w:ilvl="4" w:tplc="0D0A7F58" w:tentative="1">
      <w:start w:val="1"/>
      <w:numFmt w:val="lowerLetter"/>
      <w:lvlText w:val="%5."/>
      <w:lvlJc w:val="left"/>
      <w:pPr>
        <w:tabs>
          <w:tab w:val="num" w:pos="3600"/>
        </w:tabs>
        <w:ind w:left="3600" w:hanging="360"/>
      </w:pPr>
      <w:rPr>
        <w:rFonts w:cs="Times New Roman"/>
      </w:rPr>
    </w:lvl>
    <w:lvl w:ilvl="5" w:tplc="CECCFA82" w:tentative="1">
      <w:start w:val="1"/>
      <w:numFmt w:val="lowerRoman"/>
      <w:lvlText w:val="%6."/>
      <w:lvlJc w:val="right"/>
      <w:pPr>
        <w:tabs>
          <w:tab w:val="num" w:pos="4320"/>
        </w:tabs>
        <w:ind w:left="4320" w:hanging="180"/>
      </w:pPr>
      <w:rPr>
        <w:rFonts w:cs="Times New Roman"/>
      </w:rPr>
    </w:lvl>
    <w:lvl w:ilvl="6" w:tplc="0BC0485A" w:tentative="1">
      <w:start w:val="1"/>
      <w:numFmt w:val="decimal"/>
      <w:lvlText w:val="%7."/>
      <w:lvlJc w:val="left"/>
      <w:pPr>
        <w:tabs>
          <w:tab w:val="num" w:pos="5040"/>
        </w:tabs>
        <w:ind w:left="5040" w:hanging="360"/>
      </w:pPr>
      <w:rPr>
        <w:rFonts w:cs="Times New Roman"/>
      </w:rPr>
    </w:lvl>
    <w:lvl w:ilvl="7" w:tplc="2A8A6EC2" w:tentative="1">
      <w:start w:val="1"/>
      <w:numFmt w:val="lowerLetter"/>
      <w:lvlText w:val="%8."/>
      <w:lvlJc w:val="left"/>
      <w:pPr>
        <w:tabs>
          <w:tab w:val="num" w:pos="5760"/>
        </w:tabs>
        <w:ind w:left="5760" w:hanging="360"/>
      </w:pPr>
      <w:rPr>
        <w:rFonts w:cs="Times New Roman"/>
      </w:rPr>
    </w:lvl>
    <w:lvl w:ilvl="8" w:tplc="A7D66C16" w:tentative="1">
      <w:start w:val="1"/>
      <w:numFmt w:val="lowerRoman"/>
      <w:lvlText w:val="%9."/>
      <w:lvlJc w:val="right"/>
      <w:pPr>
        <w:tabs>
          <w:tab w:val="num" w:pos="6480"/>
        </w:tabs>
        <w:ind w:left="6480" w:hanging="180"/>
      </w:pPr>
      <w:rPr>
        <w:rFonts w:cs="Times New Roman"/>
      </w:rPr>
    </w:lvl>
  </w:abstractNum>
  <w:num w:numId="1">
    <w:abstractNumId w:val="29"/>
  </w:num>
  <w:num w:numId="2">
    <w:abstractNumId w:val="13"/>
  </w:num>
  <w:num w:numId="3">
    <w:abstractNumId w:val="11"/>
  </w:num>
  <w:num w:numId="4">
    <w:abstractNumId w:val="23"/>
  </w:num>
  <w:num w:numId="5">
    <w:abstractNumId w:val="24"/>
  </w:num>
  <w:num w:numId="6">
    <w:abstractNumId w:val="19"/>
  </w:num>
  <w:num w:numId="7">
    <w:abstractNumId w:val="17"/>
  </w:num>
  <w:num w:numId="8">
    <w:abstractNumId w:val="30"/>
  </w:num>
  <w:num w:numId="9">
    <w:abstractNumId w:val="15"/>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0"/>
  </w:num>
  <w:num w:numId="21">
    <w:abstractNumId w:val="32"/>
  </w:num>
  <w:num w:numId="22">
    <w:abstractNumId w:val="33"/>
  </w:num>
  <w:num w:numId="23">
    <w:abstractNumId w:val="18"/>
  </w:num>
  <w:num w:numId="24">
    <w:abstractNumId w:val="27"/>
  </w:num>
  <w:num w:numId="25">
    <w:abstractNumId w:val="16"/>
  </w:num>
  <w:num w:numId="26">
    <w:abstractNumId w:val="21"/>
  </w:num>
  <w:num w:numId="27">
    <w:abstractNumId w:val="25"/>
  </w:num>
  <w:num w:numId="28">
    <w:abstractNumId w:val="12"/>
  </w:num>
  <w:num w:numId="29">
    <w:abstractNumId w:val="22"/>
  </w:num>
  <w:num w:numId="30">
    <w:abstractNumId w:val="20"/>
  </w:num>
  <w:num w:numId="31">
    <w:abstractNumId w:val="14"/>
  </w:num>
  <w:num w:numId="32">
    <w:abstractNumId w:val="28"/>
  </w:num>
  <w:num w:numId="33">
    <w:abstractNumId w:val="31"/>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CE0"/>
    <w:rsid w:val="00002EBC"/>
    <w:rsid w:val="00017642"/>
    <w:rsid w:val="000201AC"/>
    <w:rsid w:val="00025198"/>
    <w:rsid w:val="000251FB"/>
    <w:rsid w:val="000279AD"/>
    <w:rsid w:val="000408D3"/>
    <w:rsid w:val="00043E3E"/>
    <w:rsid w:val="00055A36"/>
    <w:rsid w:val="000578A3"/>
    <w:rsid w:val="00064563"/>
    <w:rsid w:val="000648CC"/>
    <w:rsid w:val="000922AE"/>
    <w:rsid w:val="00094DE0"/>
    <w:rsid w:val="0009712D"/>
    <w:rsid w:val="000A5321"/>
    <w:rsid w:val="000B1C56"/>
    <w:rsid w:val="000B67C4"/>
    <w:rsid w:val="000C01A6"/>
    <w:rsid w:val="000C59B8"/>
    <w:rsid w:val="000C6F78"/>
    <w:rsid w:val="000C724E"/>
    <w:rsid w:val="000C7B04"/>
    <w:rsid w:val="000D2CAA"/>
    <w:rsid w:val="000D5FAF"/>
    <w:rsid w:val="000E71B6"/>
    <w:rsid w:val="00106835"/>
    <w:rsid w:val="001070B6"/>
    <w:rsid w:val="001074B7"/>
    <w:rsid w:val="00111DE2"/>
    <w:rsid w:val="00116B38"/>
    <w:rsid w:val="00116B56"/>
    <w:rsid w:val="001203AA"/>
    <w:rsid w:val="00121806"/>
    <w:rsid w:val="0012493D"/>
    <w:rsid w:val="00130E37"/>
    <w:rsid w:val="0013109F"/>
    <w:rsid w:val="00135406"/>
    <w:rsid w:val="00135972"/>
    <w:rsid w:val="00140667"/>
    <w:rsid w:val="001426A9"/>
    <w:rsid w:val="00154D7C"/>
    <w:rsid w:val="001570B0"/>
    <w:rsid w:val="001615CA"/>
    <w:rsid w:val="00162043"/>
    <w:rsid w:val="00172A04"/>
    <w:rsid w:val="00175A97"/>
    <w:rsid w:val="001815DD"/>
    <w:rsid w:val="00185394"/>
    <w:rsid w:val="00191CBB"/>
    <w:rsid w:val="001A451D"/>
    <w:rsid w:val="001B33E0"/>
    <w:rsid w:val="001B4573"/>
    <w:rsid w:val="001B577C"/>
    <w:rsid w:val="001B5C86"/>
    <w:rsid w:val="001C6EF3"/>
    <w:rsid w:val="001C779F"/>
    <w:rsid w:val="001D2AC1"/>
    <w:rsid w:val="001E71F8"/>
    <w:rsid w:val="001F6894"/>
    <w:rsid w:val="001F6DAE"/>
    <w:rsid w:val="001F7673"/>
    <w:rsid w:val="00201FC8"/>
    <w:rsid w:val="002112C6"/>
    <w:rsid w:val="002154C8"/>
    <w:rsid w:val="00220FC2"/>
    <w:rsid w:val="00221197"/>
    <w:rsid w:val="00222A7D"/>
    <w:rsid w:val="00224FC0"/>
    <w:rsid w:val="0022542B"/>
    <w:rsid w:val="00225BF4"/>
    <w:rsid w:val="00225EA4"/>
    <w:rsid w:val="00226EAF"/>
    <w:rsid w:val="00231F3A"/>
    <w:rsid w:val="002406EE"/>
    <w:rsid w:val="002422AB"/>
    <w:rsid w:val="0024652B"/>
    <w:rsid w:val="0025464E"/>
    <w:rsid w:val="002640F3"/>
    <w:rsid w:val="0026465F"/>
    <w:rsid w:val="0026679E"/>
    <w:rsid w:val="002745CC"/>
    <w:rsid w:val="00280B30"/>
    <w:rsid w:val="00284AE6"/>
    <w:rsid w:val="002D39A4"/>
    <w:rsid w:val="002E5769"/>
    <w:rsid w:val="002E6705"/>
    <w:rsid w:val="002F467C"/>
    <w:rsid w:val="002F696C"/>
    <w:rsid w:val="002F6A24"/>
    <w:rsid w:val="0030329A"/>
    <w:rsid w:val="00307AFD"/>
    <w:rsid w:val="0031086F"/>
    <w:rsid w:val="00310E05"/>
    <w:rsid w:val="00313A2E"/>
    <w:rsid w:val="0031414C"/>
    <w:rsid w:val="00314E01"/>
    <w:rsid w:val="00317060"/>
    <w:rsid w:val="0032089D"/>
    <w:rsid w:val="00326CFC"/>
    <w:rsid w:val="00330CC5"/>
    <w:rsid w:val="0033393C"/>
    <w:rsid w:val="00335EE5"/>
    <w:rsid w:val="00335FC3"/>
    <w:rsid w:val="00341E00"/>
    <w:rsid w:val="0034770C"/>
    <w:rsid w:val="0035259D"/>
    <w:rsid w:val="00352B1A"/>
    <w:rsid w:val="0036271A"/>
    <w:rsid w:val="003866EC"/>
    <w:rsid w:val="00393D65"/>
    <w:rsid w:val="00394476"/>
    <w:rsid w:val="003A31AC"/>
    <w:rsid w:val="003A4C70"/>
    <w:rsid w:val="003A4E15"/>
    <w:rsid w:val="003B1A13"/>
    <w:rsid w:val="003B3F05"/>
    <w:rsid w:val="003C3E47"/>
    <w:rsid w:val="003C799C"/>
    <w:rsid w:val="003D1D40"/>
    <w:rsid w:val="003D3590"/>
    <w:rsid w:val="003E1C71"/>
    <w:rsid w:val="003F038A"/>
    <w:rsid w:val="003F327B"/>
    <w:rsid w:val="003F62F3"/>
    <w:rsid w:val="00402BB2"/>
    <w:rsid w:val="004059A7"/>
    <w:rsid w:val="00406166"/>
    <w:rsid w:val="00411300"/>
    <w:rsid w:val="00426659"/>
    <w:rsid w:val="0043088E"/>
    <w:rsid w:val="0043089D"/>
    <w:rsid w:val="00436FA5"/>
    <w:rsid w:val="004372AC"/>
    <w:rsid w:val="004439D8"/>
    <w:rsid w:val="00450604"/>
    <w:rsid w:val="004613F5"/>
    <w:rsid w:val="00465132"/>
    <w:rsid w:val="00474140"/>
    <w:rsid w:val="00477356"/>
    <w:rsid w:val="004808AE"/>
    <w:rsid w:val="00480C90"/>
    <w:rsid w:val="0048396F"/>
    <w:rsid w:val="00486BE2"/>
    <w:rsid w:val="00490440"/>
    <w:rsid w:val="00493C18"/>
    <w:rsid w:val="00494CDC"/>
    <w:rsid w:val="00495A42"/>
    <w:rsid w:val="004A209B"/>
    <w:rsid w:val="004A600C"/>
    <w:rsid w:val="004B6837"/>
    <w:rsid w:val="004C478D"/>
    <w:rsid w:val="004C771E"/>
    <w:rsid w:val="004D3A41"/>
    <w:rsid w:val="004E08C2"/>
    <w:rsid w:val="004E487A"/>
    <w:rsid w:val="004E6A2C"/>
    <w:rsid w:val="00507A74"/>
    <w:rsid w:val="0051517D"/>
    <w:rsid w:val="005151AB"/>
    <w:rsid w:val="00521AE8"/>
    <w:rsid w:val="00527180"/>
    <w:rsid w:val="00536719"/>
    <w:rsid w:val="005424F4"/>
    <w:rsid w:val="005518E4"/>
    <w:rsid w:val="0055286C"/>
    <w:rsid w:val="005564A7"/>
    <w:rsid w:val="00557568"/>
    <w:rsid w:val="00561C0B"/>
    <w:rsid w:val="00562BD7"/>
    <w:rsid w:val="005638C9"/>
    <w:rsid w:val="00575224"/>
    <w:rsid w:val="005801D6"/>
    <w:rsid w:val="00586CA4"/>
    <w:rsid w:val="0059042F"/>
    <w:rsid w:val="00592DE5"/>
    <w:rsid w:val="005B2EF3"/>
    <w:rsid w:val="005D5A74"/>
    <w:rsid w:val="005D7F84"/>
    <w:rsid w:val="005E4698"/>
    <w:rsid w:val="005E529C"/>
    <w:rsid w:val="00603B64"/>
    <w:rsid w:val="00611EAC"/>
    <w:rsid w:val="006175A3"/>
    <w:rsid w:val="00623D8E"/>
    <w:rsid w:val="00625240"/>
    <w:rsid w:val="00625C35"/>
    <w:rsid w:val="0063236B"/>
    <w:rsid w:val="00634E1B"/>
    <w:rsid w:val="00635060"/>
    <w:rsid w:val="0064024A"/>
    <w:rsid w:val="00645057"/>
    <w:rsid w:val="00654858"/>
    <w:rsid w:val="006565F4"/>
    <w:rsid w:val="006630B8"/>
    <w:rsid w:val="006708A9"/>
    <w:rsid w:val="006814D6"/>
    <w:rsid w:val="00681AD1"/>
    <w:rsid w:val="006A387F"/>
    <w:rsid w:val="006A56F1"/>
    <w:rsid w:val="006B5FF5"/>
    <w:rsid w:val="006C340B"/>
    <w:rsid w:val="006C5661"/>
    <w:rsid w:val="006D13CE"/>
    <w:rsid w:val="006D4790"/>
    <w:rsid w:val="006D5522"/>
    <w:rsid w:val="006D5F2A"/>
    <w:rsid w:val="006F0BFF"/>
    <w:rsid w:val="006F5C32"/>
    <w:rsid w:val="00701759"/>
    <w:rsid w:val="00702C6F"/>
    <w:rsid w:val="00710DE4"/>
    <w:rsid w:val="00712162"/>
    <w:rsid w:val="00714C88"/>
    <w:rsid w:val="00721317"/>
    <w:rsid w:val="007242E9"/>
    <w:rsid w:val="00737770"/>
    <w:rsid w:val="00740E27"/>
    <w:rsid w:val="00747288"/>
    <w:rsid w:val="00747378"/>
    <w:rsid w:val="00747DD3"/>
    <w:rsid w:val="00751605"/>
    <w:rsid w:val="0075185A"/>
    <w:rsid w:val="00752F4E"/>
    <w:rsid w:val="007549C8"/>
    <w:rsid w:val="00762D30"/>
    <w:rsid w:val="00762ED0"/>
    <w:rsid w:val="00763377"/>
    <w:rsid w:val="00765D02"/>
    <w:rsid w:val="00765D31"/>
    <w:rsid w:val="00766D14"/>
    <w:rsid w:val="00767A0F"/>
    <w:rsid w:val="00767ACE"/>
    <w:rsid w:val="007834A8"/>
    <w:rsid w:val="00785F9B"/>
    <w:rsid w:val="007A05F6"/>
    <w:rsid w:val="007B160E"/>
    <w:rsid w:val="007B6F4A"/>
    <w:rsid w:val="007D1920"/>
    <w:rsid w:val="007D215C"/>
    <w:rsid w:val="007E1C47"/>
    <w:rsid w:val="007E3327"/>
    <w:rsid w:val="007E337A"/>
    <w:rsid w:val="007E5C70"/>
    <w:rsid w:val="007F2FF5"/>
    <w:rsid w:val="00801207"/>
    <w:rsid w:val="00817190"/>
    <w:rsid w:val="0081764F"/>
    <w:rsid w:val="008260B1"/>
    <w:rsid w:val="008263C7"/>
    <w:rsid w:val="008322BD"/>
    <w:rsid w:val="0083664A"/>
    <w:rsid w:val="008502C9"/>
    <w:rsid w:val="00850B09"/>
    <w:rsid w:val="00855307"/>
    <w:rsid w:val="00862CF3"/>
    <w:rsid w:val="00864CF8"/>
    <w:rsid w:val="00874914"/>
    <w:rsid w:val="00882EF3"/>
    <w:rsid w:val="00892E1A"/>
    <w:rsid w:val="008958F5"/>
    <w:rsid w:val="00896BBA"/>
    <w:rsid w:val="008A0D3C"/>
    <w:rsid w:val="008A14B2"/>
    <w:rsid w:val="008A6558"/>
    <w:rsid w:val="008A727C"/>
    <w:rsid w:val="008B1442"/>
    <w:rsid w:val="008B208E"/>
    <w:rsid w:val="008C01DA"/>
    <w:rsid w:val="008C3D0D"/>
    <w:rsid w:val="008D5CA8"/>
    <w:rsid w:val="008F1520"/>
    <w:rsid w:val="008F16D9"/>
    <w:rsid w:val="008F78E9"/>
    <w:rsid w:val="00900355"/>
    <w:rsid w:val="00902462"/>
    <w:rsid w:val="00906DFE"/>
    <w:rsid w:val="00912DAF"/>
    <w:rsid w:val="00930696"/>
    <w:rsid w:val="00930FA3"/>
    <w:rsid w:val="009403F3"/>
    <w:rsid w:val="00957FA2"/>
    <w:rsid w:val="00961B8C"/>
    <w:rsid w:val="009623E0"/>
    <w:rsid w:val="00966913"/>
    <w:rsid w:val="00967374"/>
    <w:rsid w:val="009732E6"/>
    <w:rsid w:val="0097543E"/>
    <w:rsid w:val="009837CC"/>
    <w:rsid w:val="00983F3F"/>
    <w:rsid w:val="0098517C"/>
    <w:rsid w:val="00985C69"/>
    <w:rsid w:val="00986528"/>
    <w:rsid w:val="0099079B"/>
    <w:rsid w:val="009A38ED"/>
    <w:rsid w:val="009A504D"/>
    <w:rsid w:val="009B2F23"/>
    <w:rsid w:val="009B53E2"/>
    <w:rsid w:val="009B57B3"/>
    <w:rsid w:val="009C0B7F"/>
    <w:rsid w:val="009D5AEB"/>
    <w:rsid w:val="009D7658"/>
    <w:rsid w:val="009D7C9F"/>
    <w:rsid w:val="009F051F"/>
    <w:rsid w:val="009F383F"/>
    <w:rsid w:val="009F6D8D"/>
    <w:rsid w:val="00A003E4"/>
    <w:rsid w:val="00A046A5"/>
    <w:rsid w:val="00A05F0E"/>
    <w:rsid w:val="00A21107"/>
    <w:rsid w:val="00A21B90"/>
    <w:rsid w:val="00A24E15"/>
    <w:rsid w:val="00A3020A"/>
    <w:rsid w:val="00A405F4"/>
    <w:rsid w:val="00A522B4"/>
    <w:rsid w:val="00A52E58"/>
    <w:rsid w:val="00A53311"/>
    <w:rsid w:val="00A548CB"/>
    <w:rsid w:val="00A6242E"/>
    <w:rsid w:val="00A643E7"/>
    <w:rsid w:val="00A64C33"/>
    <w:rsid w:val="00A6639B"/>
    <w:rsid w:val="00A73C38"/>
    <w:rsid w:val="00AA7E77"/>
    <w:rsid w:val="00AC7437"/>
    <w:rsid w:val="00AC7A44"/>
    <w:rsid w:val="00AD3024"/>
    <w:rsid w:val="00AE1AA4"/>
    <w:rsid w:val="00AE4D6D"/>
    <w:rsid w:val="00AE6A6F"/>
    <w:rsid w:val="00AF03C5"/>
    <w:rsid w:val="00AF6753"/>
    <w:rsid w:val="00B000D8"/>
    <w:rsid w:val="00B00F75"/>
    <w:rsid w:val="00B051D6"/>
    <w:rsid w:val="00B13FB6"/>
    <w:rsid w:val="00B145B6"/>
    <w:rsid w:val="00B20558"/>
    <w:rsid w:val="00B209C9"/>
    <w:rsid w:val="00B229F0"/>
    <w:rsid w:val="00B279CB"/>
    <w:rsid w:val="00B46F57"/>
    <w:rsid w:val="00B50C81"/>
    <w:rsid w:val="00B557F8"/>
    <w:rsid w:val="00B64972"/>
    <w:rsid w:val="00B66DD8"/>
    <w:rsid w:val="00B741F7"/>
    <w:rsid w:val="00B8145D"/>
    <w:rsid w:val="00B815FC"/>
    <w:rsid w:val="00B93FBC"/>
    <w:rsid w:val="00BA36A1"/>
    <w:rsid w:val="00BB3C8B"/>
    <w:rsid w:val="00BB772B"/>
    <w:rsid w:val="00BC12BC"/>
    <w:rsid w:val="00BC28B0"/>
    <w:rsid w:val="00BD3F2E"/>
    <w:rsid w:val="00BE12D6"/>
    <w:rsid w:val="00BE2D02"/>
    <w:rsid w:val="00BE5A04"/>
    <w:rsid w:val="00C02092"/>
    <w:rsid w:val="00C03762"/>
    <w:rsid w:val="00C057F7"/>
    <w:rsid w:val="00C21252"/>
    <w:rsid w:val="00C24C8C"/>
    <w:rsid w:val="00C24D91"/>
    <w:rsid w:val="00C3539A"/>
    <w:rsid w:val="00C36204"/>
    <w:rsid w:val="00C4683A"/>
    <w:rsid w:val="00C5116E"/>
    <w:rsid w:val="00C52532"/>
    <w:rsid w:val="00C52C70"/>
    <w:rsid w:val="00C53F14"/>
    <w:rsid w:val="00C55C2E"/>
    <w:rsid w:val="00C600CF"/>
    <w:rsid w:val="00C6084F"/>
    <w:rsid w:val="00C621FF"/>
    <w:rsid w:val="00C62A66"/>
    <w:rsid w:val="00C62A6F"/>
    <w:rsid w:val="00C64555"/>
    <w:rsid w:val="00C66060"/>
    <w:rsid w:val="00C67CA5"/>
    <w:rsid w:val="00C71458"/>
    <w:rsid w:val="00C71F58"/>
    <w:rsid w:val="00C77613"/>
    <w:rsid w:val="00C806C5"/>
    <w:rsid w:val="00C81839"/>
    <w:rsid w:val="00C828E7"/>
    <w:rsid w:val="00C86D09"/>
    <w:rsid w:val="00C921DD"/>
    <w:rsid w:val="00CA0C84"/>
    <w:rsid w:val="00CA4D82"/>
    <w:rsid w:val="00CA6391"/>
    <w:rsid w:val="00CA6DAE"/>
    <w:rsid w:val="00CC0DC9"/>
    <w:rsid w:val="00CC168C"/>
    <w:rsid w:val="00CC7387"/>
    <w:rsid w:val="00CC7560"/>
    <w:rsid w:val="00CD0953"/>
    <w:rsid w:val="00CE3171"/>
    <w:rsid w:val="00CE7A8B"/>
    <w:rsid w:val="00CF1601"/>
    <w:rsid w:val="00CF36DC"/>
    <w:rsid w:val="00CF54A9"/>
    <w:rsid w:val="00D001CF"/>
    <w:rsid w:val="00D11FC4"/>
    <w:rsid w:val="00D24777"/>
    <w:rsid w:val="00D248DB"/>
    <w:rsid w:val="00D253CA"/>
    <w:rsid w:val="00D2650D"/>
    <w:rsid w:val="00D26D9D"/>
    <w:rsid w:val="00D32086"/>
    <w:rsid w:val="00D37A3F"/>
    <w:rsid w:val="00D45FCF"/>
    <w:rsid w:val="00D4667A"/>
    <w:rsid w:val="00D476CC"/>
    <w:rsid w:val="00D510BB"/>
    <w:rsid w:val="00D5435D"/>
    <w:rsid w:val="00D652A1"/>
    <w:rsid w:val="00D70069"/>
    <w:rsid w:val="00D74F2E"/>
    <w:rsid w:val="00D76D87"/>
    <w:rsid w:val="00D81372"/>
    <w:rsid w:val="00D8206C"/>
    <w:rsid w:val="00D845AB"/>
    <w:rsid w:val="00D93F1C"/>
    <w:rsid w:val="00DA0590"/>
    <w:rsid w:val="00DB7E33"/>
    <w:rsid w:val="00DC1788"/>
    <w:rsid w:val="00DD7E3E"/>
    <w:rsid w:val="00DE1396"/>
    <w:rsid w:val="00DF0CA8"/>
    <w:rsid w:val="00DF49A7"/>
    <w:rsid w:val="00E01106"/>
    <w:rsid w:val="00E05C64"/>
    <w:rsid w:val="00E07EE2"/>
    <w:rsid w:val="00E10C91"/>
    <w:rsid w:val="00E24573"/>
    <w:rsid w:val="00E3423C"/>
    <w:rsid w:val="00E35F1A"/>
    <w:rsid w:val="00E377A1"/>
    <w:rsid w:val="00E4121C"/>
    <w:rsid w:val="00E44D63"/>
    <w:rsid w:val="00E45109"/>
    <w:rsid w:val="00E453DA"/>
    <w:rsid w:val="00E54B02"/>
    <w:rsid w:val="00E55C02"/>
    <w:rsid w:val="00E70833"/>
    <w:rsid w:val="00E738C3"/>
    <w:rsid w:val="00E7796C"/>
    <w:rsid w:val="00E97830"/>
    <w:rsid w:val="00EA03E5"/>
    <w:rsid w:val="00EA45F0"/>
    <w:rsid w:val="00EA5294"/>
    <w:rsid w:val="00EC0F48"/>
    <w:rsid w:val="00EC1037"/>
    <w:rsid w:val="00ED059B"/>
    <w:rsid w:val="00ED4729"/>
    <w:rsid w:val="00ED73A5"/>
    <w:rsid w:val="00ED7B78"/>
    <w:rsid w:val="00EE0FAF"/>
    <w:rsid w:val="00EF2EA0"/>
    <w:rsid w:val="00EF386C"/>
    <w:rsid w:val="00EF6ADF"/>
    <w:rsid w:val="00F00EB7"/>
    <w:rsid w:val="00F03E74"/>
    <w:rsid w:val="00F04D8E"/>
    <w:rsid w:val="00F21EF0"/>
    <w:rsid w:val="00F2258E"/>
    <w:rsid w:val="00F30919"/>
    <w:rsid w:val="00F33658"/>
    <w:rsid w:val="00F345A2"/>
    <w:rsid w:val="00F34B14"/>
    <w:rsid w:val="00F36AB6"/>
    <w:rsid w:val="00F409CE"/>
    <w:rsid w:val="00F609F8"/>
    <w:rsid w:val="00F64706"/>
    <w:rsid w:val="00F8444E"/>
    <w:rsid w:val="00F84DF4"/>
    <w:rsid w:val="00F853FB"/>
    <w:rsid w:val="00F85C97"/>
    <w:rsid w:val="00F908F5"/>
    <w:rsid w:val="00F94EB8"/>
    <w:rsid w:val="00F96A7F"/>
    <w:rsid w:val="00FA035F"/>
    <w:rsid w:val="00FA2FE1"/>
    <w:rsid w:val="00FA69AB"/>
    <w:rsid w:val="00FC606D"/>
    <w:rsid w:val="00FC7ACB"/>
    <w:rsid w:val="00FD068D"/>
    <w:rsid w:val="00FD1FCD"/>
    <w:rsid w:val="00FD3815"/>
    <w:rsid w:val="00FD4546"/>
    <w:rsid w:val="00FD4F28"/>
    <w:rsid w:val="00FE6784"/>
    <w:rsid w:val="00FE6EBD"/>
    <w:rsid w:val="00FF66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F0E"/>
    <w:rPr>
      <w:sz w:val="24"/>
      <w:lang w:val="fr-CA"/>
    </w:rPr>
  </w:style>
  <w:style w:type="paragraph" w:styleId="Heading1">
    <w:name w:val="heading 1"/>
    <w:basedOn w:val="Normal"/>
    <w:next w:val="Normal"/>
    <w:link w:val="Heading1Char"/>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2,3,A"/>
    <w:basedOn w:val="Normal"/>
    <w:rsid w:val="00493C18"/>
    <w:pPr>
      <w:widowControl w:val="0"/>
    </w:pPr>
  </w:style>
  <w:style w:type="paragraph" w:customStyle="1" w:styleId="SCCNormalDoubleSpacing">
    <w:name w:val="SCC.Normal.DoubleSpacing"/>
    <w:basedOn w:val="Normal"/>
    <w:link w:val="SCCNormalDoubleSpacingChar"/>
    <w:rsid w:val="003866EC"/>
    <w:pPr>
      <w:spacing w:line="480" w:lineRule="auto"/>
      <w:jc w:val="both"/>
    </w:pPr>
  </w:style>
  <w:style w:type="character" w:customStyle="1" w:styleId="SCCNormalDoubleSpacingChar">
    <w:name w:val="SCC.Normal.DoubleSpacing Char"/>
    <w:basedOn w:val="DefaultParagraphFont"/>
    <w:link w:val="SCCNormalDoubleSpacing"/>
    <w:rsid w:val="003866EC"/>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semiHidden/>
    <w:rsid w:val="00CE3171"/>
    <w:rPr>
      <w:color w:val="808080"/>
    </w:rPr>
  </w:style>
  <w:style w:type="paragraph" w:styleId="BalloonText">
    <w:name w:val="Balloon Text"/>
    <w:basedOn w:val="Normal"/>
    <w:link w:val="BalloonTextChar"/>
    <w:semiHidden/>
    <w:unhideWhenUsed/>
    <w:rsid w:val="00CE3171"/>
    <w:rPr>
      <w:rFonts w:ascii="Tahoma" w:hAnsi="Tahoma" w:cs="Tahoma"/>
      <w:sz w:val="16"/>
      <w:szCs w:val="16"/>
    </w:rPr>
  </w:style>
  <w:style w:type="character" w:customStyle="1" w:styleId="BalloonTextChar">
    <w:name w:val="Balloon Text Char"/>
    <w:basedOn w:val="DefaultParagraphFont"/>
    <w:link w:val="BalloonText"/>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semiHidden/>
    <w:unhideWhenUsed/>
    <w:rsid w:val="000C59B8"/>
    <w:pPr>
      <w:tabs>
        <w:tab w:val="center" w:pos="4680"/>
        <w:tab w:val="right" w:pos="9360"/>
      </w:tabs>
    </w:pPr>
  </w:style>
  <w:style w:type="character" w:customStyle="1" w:styleId="FooterChar">
    <w:name w:val="Footer Char"/>
    <w:basedOn w:val="DefaultParagraphFont"/>
    <w:link w:val="Footer"/>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sz w:val="24"/>
      <w:lang w:val="fr-CA"/>
    </w:rPr>
  </w:style>
  <w:style w:type="paragraph" w:customStyle="1" w:styleId="SCCCounselPartyRole">
    <w:name w:val="SCC.CounselPartyRole"/>
    <w:basedOn w:val="SCCNormalDoubleSpacing"/>
    <w:next w:val="SCCNormalDoubleSpacing"/>
    <w:link w:val="SCCCounselPartyRoleChar"/>
    <w:rsid w:val="004439D8"/>
  </w:style>
  <w:style w:type="character" w:customStyle="1" w:styleId="SCCCounselPartyRoleChar">
    <w:name w:val="SCC.CounselPartyRole Char"/>
    <w:basedOn w:val="SCCNormalDoubleSpacingChar"/>
    <w:link w:val="SCCCounselPartyRole"/>
    <w:rsid w:val="004439D8"/>
    <w:rPr>
      <w:sz w:val="24"/>
      <w:lang w:val="fr-CA"/>
    </w:rPr>
  </w:style>
  <w:style w:type="paragraph" w:styleId="ListParagraph">
    <w:name w:val="List Paragraph"/>
    <w:basedOn w:val="Normal"/>
    <w:uiPriority w:val="34"/>
    <w:qFormat/>
    <w:rsid w:val="00FD4546"/>
    <w:pPr>
      <w:ind w:left="720"/>
    </w:pPr>
    <w:rPr>
      <w:lang w:val="en-CA"/>
    </w:rPr>
  </w:style>
  <w:style w:type="paragraph" w:styleId="NoSpacing">
    <w:name w:val="No Spacing"/>
    <w:qFormat/>
    <w:rsid w:val="008C3D0D"/>
    <w:rPr>
      <w:sz w:val="24"/>
    </w:rPr>
  </w:style>
  <w:style w:type="paragraph" w:customStyle="1" w:styleId="SCCLsocOtherPartyRoleSeparator">
    <w:name w:val="SCC.Lsoc.OtherPartyRoleSeparator"/>
    <w:basedOn w:val="Normal"/>
    <w:next w:val="Normal"/>
    <w:rsid w:val="008C3D0D"/>
    <w:pPr>
      <w:spacing w:after="480"/>
    </w:pPr>
    <w:rPr>
      <w:szCs w:val="22"/>
      <w:lang w:val="en-CA" w:eastAsia="en-US"/>
    </w:rPr>
  </w:style>
  <w:style w:type="paragraph" w:customStyle="1" w:styleId="SCCCoram">
    <w:name w:val="SCC.Coram"/>
    <w:basedOn w:val="Normal"/>
    <w:next w:val="Normal"/>
    <w:rsid w:val="008C3D0D"/>
    <w:pPr>
      <w:pBdr>
        <w:bottom w:val="single" w:sz="4" w:space="1" w:color="auto"/>
      </w:pBdr>
    </w:pPr>
    <w:rPr>
      <w:szCs w:val="22"/>
      <w:lang w:val="en-CA" w:eastAsia="en-US"/>
    </w:rPr>
  </w:style>
  <w:style w:type="character" w:customStyle="1" w:styleId="SCCCoramChar">
    <w:name w:val="SCC.Coram Char"/>
    <w:basedOn w:val="DefaultParagraphFont"/>
    <w:locked/>
    <w:rsid w:val="008C3D0D"/>
    <w:rPr>
      <w:rFonts w:eastAsia="Times New Roman" w:cs="Times New Roman"/>
      <w:noProof w:val="0"/>
      <w:sz w:val="22"/>
      <w:szCs w:val="22"/>
      <w:lang w:eastAsia="en-US"/>
    </w:rPr>
  </w:style>
  <w:style w:type="character" w:customStyle="1" w:styleId="SCCLsocOtherPartyRoleSeparatorChar">
    <w:name w:val="SCC.Lsoc.OtherPartyRoleSeparator Char"/>
    <w:basedOn w:val="DefaultParagraphFont"/>
    <w:locked/>
    <w:rsid w:val="008C3D0D"/>
    <w:rPr>
      <w:rFonts w:eastAsia="Times New Roman" w:cs="Times New Roman"/>
      <w:noProof w:val="0"/>
      <w:sz w:val="22"/>
      <w:szCs w:val="22"/>
      <w:lang w:eastAsia="en-US"/>
    </w:rPr>
  </w:style>
  <w:style w:type="character" w:customStyle="1" w:styleId="SCCBanSummaryChar">
    <w:name w:val="SCC.BanSummary Char"/>
    <w:basedOn w:val="DefaultParagraphFont"/>
    <w:locked/>
    <w:rsid w:val="008C3D0D"/>
    <w:rPr>
      <w:rFonts w:eastAsia="Times New Roman" w:cs="Times New Roman"/>
      <w:b/>
      <w:sz w:val="24"/>
      <w:szCs w:val="24"/>
    </w:rPr>
  </w:style>
  <w:style w:type="paragraph" w:styleId="DocumentMap">
    <w:name w:val="Document Map"/>
    <w:basedOn w:val="Normal"/>
    <w:link w:val="DocumentMapChar"/>
    <w:semiHidden/>
    <w:rsid w:val="008C3D0D"/>
    <w:pPr>
      <w:shd w:val="clear" w:color="auto" w:fill="000080"/>
    </w:pPr>
    <w:rPr>
      <w:rFonts w:ascii="Tahoma" w:hAnsi="Tahoma"/>
      <w:lang w:val="en-CA"/>
    </w:rPr>
  </w:style>
  <w:style w:type="character" w:customStyle="1" w:styleId="DocumentMapChar">
    <w:name w:val="Document Map Char"/>
    <w:basedOn w:val="DefaultParagraphFont"/>
    <w:link w:val="DocumentMap"/>
    <w:semiHidden/>
    <w:rsid w:val="008C3D0D"/>
    <w:rPr>
      <w:rFonts w:ascii="Tahoma" w:hAnsi="Tahoma"/>
      <w:sz w:val="24"/>
      <w:shd w:val="clear" w:color="auto" w:fill="000080"/>
    </w:rPr>
  </w:style>
  <w:style w:type="paragraph" w:customStyle="1" w:styleId="Citation">
    <w:name w:val="Citation"/>
    <w:basedOn w:val="Normal"/>
    <w:qFormat/>
    <w:rsid w:val="008C3D0D"/>
    <w:pPr>
      <w:spacing w:after="720"/>
      <w:ind w:left="1166"/>
      <w:contextualSpacing/>
      <w:jc w:val="both"/>
    </w:pPr>
    <w:rPr>
      <w:lang w:val="en-CA"/>
    </w:rPr>
  </w:style>
  <w:style w:type="character" w:customStyle="1" w:styleId="indentlabel1">
    <w:name w:val="indentlabel1"/>
    <w:basedOn w:val="DefaultParagraphFont"/>
    <w:rsid w:val="008C3D0D"/>
    <w:rPr>
      <w:rFonts w:ascii="Verdana" w:hAnsi="Verdana"/>
    </w:rPr>
  </w:style>
  <w:style w:type="paragraph" w:customStyle="1" w:styleId="secsubsec">
    <w:name w:val="secsubsec"/>
    <w:basedOn w:val="Normal"/>
    <w:rsid w:val="008C3D0D"/>
    <w:pPr>
      <w:spacing w:before="168"/>
      <w:ind w:firstLine="336"/>
    </w:pPr>
    <w:rPr>
      <w:rFonts w:ascii="Verdana" w:hAnsi="Verdana"/>
      <w:lang w:eastAsia="en-US"/>
    </w:rPr>
  </w:style>
  <w:style w:type="character" w:customStyle="1" w:styleId="italic1">
    <w:name w:val="italic1"/>
    <w:basedOn w:val="DefaultParagraphFont"/>
    <w:rsid w:val="008C3D0D"/>
    <w:rPr>
      <w:rFonts w:ascii="Verdana" w:hAnsi="Verdana"/>
      <w:i/>
    </w:rPr>
  </w:style>
  <w:style w:type="paragraph" w:customStyle="1" w:styleId="Citation1">
    <w:name w:val="Citation1"/>
    <w:basedOn w:val="Normal"/>
    <w:rsid w:val="008C3D0D"/>
    <w:pPr>
      <w:spacing w:after="720"/>
      <w:ind w:left="1166"/>
      <w:jc w:val="both"/>
    </w:pPr>
    <w:rPr>
      <w:lang w:val="en-CA" w:eastAsia="fr-FR"/>
    </w:rPr>
  </w:style>
  <w:style w:type="character" w:customStyle="1" w:styleId="c03">
    <w:name w:val="c03"/>
    <w:basedOn w:val="DefaultParagraphFont"/>
    <w:rsid w:val="008C3D0D"/>
    <w:rPr>
      <w:color w:val="800000"/>
    </w:rPr>
  </w:style>
  <w:style w:type="character" w:customStyle="1" w:styleId="noarticlepara1">
    <w:name w:val="no_article_para1"/>
    <w:basedOn w:val="DefaultParagraphFont"/>
    <w:rsid w:val="008C3D0D"/>
    <w:rPr>
      <w:b/>
    </w:rPr>
  </w:style>
  <w:style w:type="paragraph" w:styleId="FootnoteText">
    <w:name w:val="footnote text"/>
    <w:basedOn w:val="Normal"/>
    <w:link w:val="FootnoteTextChar"/>
    <w:uiPriority w:val="99"/>
    <w:semiHidden/>
    <w:unhideWhenUsed/>
    <w:rsid w:val="008C3D0D"/>
    <w:rPr>
      <w:sz w:val="20"/>
      <w:lang w:val="en-CA"/>
    </w:rPr>
  </w:style>
  <w:style w:type="character" w:customStyle="1" w:styleId="FootnoteTextChar">
    <w:name w:val="Footnote Text Char"/>
    <w:basedOn w:val="DefaultParagraphFont"/>
    <w:link w:val="FootnoteText"/>
    <w:uiPriority w:val="99"/>
    <w:semiHidden/>
    <w:rsid w:val="008C3D0D"/>
  </w:style>
  <w:style w:type="character" w:styleId="FootnoteReference">
    <w:name w:val="footnote reference"/>
    <w:basedOn w:val="DefaultParagraphFont"/>
    <w:uiPriority w:val="99"/>
    <w:semiHidden/>
    <w:unhideWhenUsed/>
    <w:rsid w:val="008C3D0D"/>
    <w:rPr>
      <w:vertAlign w:val="superscript"/>
    </w:rPr>
  </w:style>
  <w:style w:type="table" w:styleId="TableGrid">
    <w:name w:val="Table Grid"/>
    <w:basedOn w:val="TableNormal"/>
    <w:uiPriority w:val="59"/>
    <w:rsid w:val="001F6DAE"/>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CCLsocPrefix">
    <w:name w:val="SCC.Lsoc.Prefix"/>
    <w:basedOn w:val="Normal"/>
    <w:next w:val="Normal"/>
    <w:link w:val="SCCLsocPrefixChar"/>
    <w:rsid w:val="001F6DAE"/>
    <w:rPr>
      <w:rFonts w:eastAsiaTheme="minorHAnsi" w:cstheme="minorBidi"/>
      <w:b/>
      <w:smallCaps/>
      <w:szCs w:val="24"/>
      <w:lang w:eastAsia="en-US"/>
    </w:rPr>
  </w:style>
  <w:style w:type="character" w:customStyle="1" w:styleId="SCCLsocPrefixChar">
    <w:name w:val="SCC.Lsoc.Prefix Char"/>
    <w:basedOn w:val="DefaultParagraphFont"/>
    <w:link w:val="SCCLsocPrefix"/>
    <w:rsid w:val="001F6DAE"/>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E3E30-EAA3-46C4-9D91-AB0768F41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102</Pages>
  <Words>25870</Words>
  <Characters>147465</Characters>
  <Application>Microsoft Office Word</Application>
  <DocSecurity>0</DocSecurity>
  <Lines>1228</Lines>
  <Paragraphs>345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2022-11-09T18:49:00Z</dcterms:created>
  <dcterms:modified xsi:type="dcterms:W3CDTF">2022-11-09T18:49:00Z</dcterms:modified>
</cp:coreProperties>
</file>