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DE" w:rsidRPr="00C420E6" w:rsidRDefault="001236DE" w:rsidP="001236DE">
      <w:pPr>
        <w:tabs>
          <w:tab w:val="center" w:pos="4680"/>
          <w:tab w:val="right" w:pos="9360"/>
        </w:tabs>
        <w:rPr>
          <w:rFonts w:eastAsiaTheme="minorHAnsi" w:cstheme="minorBidi"/>
          <w:szCs w:val="24"/>
          <w:lang w:eastAsia="en-US"/>
        </w:rPr>
      </w:pPr>
      <w:r w:rsidRPr="00C420E6">
        <w:rPr>
          <w:rFonts w:eastAsiaTheme="minorHAnsi" w:cstheme="minorBidi"/>
          <w:szCs w:val="24"/>
          <w:lang w:eastAsia="en-US"/>
        </w:rPr>
        <w:ptab w:relativeTo="margin" w:alignment="center" w:leader="none"/>
      </w:r>
      <w:r w:rsidRPr="00C420E6">
        <w:rPr>
          <w:rFonts w:eastAsiaTheme="minorHAnsi" w:cstheme="minorBidi"/>
          <w:szCs w:val="24"/>
          <w:lang w:eastAsia="en-US"/>
        </w:rPr>
        <w:t xml:space="preserve"> </w:t>
      </w:r>
      <w:r w:rsidRPr="00C420E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68958370" r:id="rId8"/>
        </w:object>
      </w:r>
      <w:r w:rsidRPr="00C420E6">
        <w:rPr>
          <w:rFonts w:eastAsiaTheme="minorHAnsi" w:cstheme="minorBidi"/>
          <w:szCs w:val="24"/>
          <w:lang w:eastAsia="en-US"/>
        </w:rPr>
        <w:t xml:space="preserve"> </w:t>
      </w:r>
      <w:r w:rsidRPr="00C420E6">
        <w:rPr>
          <w:rFonts w:eastAsiaTheme="minorHAnsi" w:cstheme="minorBidi"/>
          <w:szCs w:val="24"/>
          <w:lang w:eastAsia="en-US"/>
        </w:rPr>
        <w:ptab w:relativeTo="margin" w:alignment="right" w:leader="none"/>
      </w:r>
    </w:p>
    <w:p w:rsidR="001236DE" w:rsidRPr="00C420E6" w:rsidRDefault="001236DE" w:rsidP="001236DE">
      <w:pPr>
        <w:tabs>
          <w:tab w:val="center" w:pos="4680"/>
          <w:tab w:val="right" w:pos="9360"/>
        </w:tabs>
        <w:rPr>
          <w:rFonts w:eastAsiaTheme="minorHAnsi" w:cstheme="minorBidi"/>
          <w:szCs w:val="24"/>
          <w:lang w:eastAsia="en-US"/>
        </w:rPr>
      </w:pPr>
    </w:p>
    <w:p w:rsidR="001236DE" w:rsidRPr="00C420E6" w:rsidRDefault="001236DE" w:rsidP="001236DE">
      <w:pPr>
        <w:jc w:val="center"/>
        <w:rPr>
          <w:rFonts w:eastAsiaTheme="minorHAnsi" w:cstheme="minorBidi"/>
          <w:b/>
          <w:szCs w:val="24"/>
          <w:lang w:eastAsia="en-US"/>
        </w:rPr>
      </w:pPr>
      <w:r w:rsidRPr="00C420E6">
        <w:rPr>
          <w:rFonts w:eastAsiaTheme="minorHAnsi" w:cstheme="minorBidi"/>
          <w:b/>
          <w:szCs w:val="24"/>
          <w:lang w:eastAsia="en-US"/>
        </w:rPr>
        <w:t>COUR SUPRÊME DU CANADA</w:t>
      </w:r>
    </w:p>
    <w:p w:rsidR="001236DE" w:rsidRPr="00C420E6" w:rsidRDefault="001236DE" w:rsidP="001236DE">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236DE" w:rsidRPr="00C420E6" w:rsidTr="00BA475A">
        <w:trPr>
          <w:cantSplit/>
        </w:trPr>
        <w:tc>
          <w:tcPr>
            <w:tcW w:w="6768" w:type="dxa"/>
          </w:tcPr>
          <w:p w:rsidR="001236DE" w:rsidRPr="001236DE" w:rsidRDefault="001236DE" w:rsidP="00BA475A">
            <w:pPr>
              <w:rPr>
                <w:lang w:val="fr-CA"/>
              </w:rPr>
            </w:pPr>
            <w:r w:rsidRPr="001236DE">
              <w:rPr>
                <w:b/>
                <w:smallCaps/>
                <w:lang w:val="fr-CA"/>
              </w:rPr>
              <w:t>Référence :</w:t>
            </w:r>
            <w:r w:rsidRPr="001236DE">
              <w:rPr>
                <w:lang w:val="fr-CA"/>
              </w:rPr>
              <w:t xml:space="preserve"> Nu-</w:t>
            </w:r>
            <w:proofErr w:type="spellStart"/>
            <w:r w:rsidRPr="001236DE">
              <w:rPr>
                <w:lang w:val="fr-CA"/>
              </w:rPr>
              <w:t>Pharm</w:t>
            </w:r>
            <w:proofErr w:type="spellEnd"/>
            <w:r w:rsidRPr="001236DE">
              <w:rPr>
                <w:lang w:val="fr-CA"/>
              </w:rPr>
              <w:t xml:space="preserve"> Inc. </w:t>
            </w:r>
            <w:r w:rsidRPr="001236DE">
              <w:rPr>
                <w:i/>
                <w:lang w:val="fr-CA"/>
              </w:rPr>
              <w:t>c.</w:t>
            </w:r>
            <w:r w:rsidRPr="001236DE">
              <w:rPr>
                <w:lang w:val="fr-CA"/>
              </w:rPr>
              <w:t xml:space="preserve"> Canada (Procureur général),</w:t>
            </w:r>
          </w:p>
          <w:p w:rsidR="001236DE" w:rsidRPr="00C420E6" w:rsidRDefault="001236DE" w:rsidP="00BA475A">
            <w:r w:rsidRPr="0047101E">
              <w:rPr>
                <w:rStyle w:val="SCCRespondentForIndexChar"/>
                <w:b w:val="0"/>
                <w:lang w:val="fr-CA"/>
              </w:rPr>
              <w:t xml:space="preserve">2010 </w:t>
            </w:r>
            <w:r>
              <w:rPr>
                <w:rStyle w:val="SCCRespondentForIndexChar"/>
                <w:b w:val="0"/>
                <w:lang w:val="fr-CA"/>
              </w:rPr>
              <w:t>C</w:t>
            </w:r>
            <w:r w:rsidRPr="0047101E">
              <w:rPr>
                <w:rStyle w:val="SCCRespondentForIndexChar"/>
                <w:b w:val="0"/>
                <w:lang w:val="fr-CA"/>
              </w:rPr>
              <w:t>SC 6</w:t>
            </w:r>
            <w:r>
              <w:rPr>
                <w:rStyle w:val="SCCRespondentForIndexChar"/>
                <w:b w:val="0"/>
                <w:lang w:val="fr-CA"/>
              </w:rPr>
              <w:t>5</w:t>
            </w:r>
            <w:r w:rsidRPr="0047101E">
              <w:rPr>
                <w:rStyle w:val="SCCRespondentForIndexChar"/>
                <w:b w:val="0"/>
                <w:lang w:val="fr-CA"/>
              </w:rPr>
              <w:t xml:space="preserve">, [2010] 3 </w:t>
            </w:r>
            <w:r>
              <w:rPr>
                <w:rStyle w:val="SCCRespondentForIndexChar"/>
                <w:b w:val="0"/>
                <w:lang w:val="fr-CA"/>
              </w:rPr>
              <w:t>R.C.</w:t>
            </w:r>
            <w:r w:rsidRPr="0047101E">
              <w:rPr>
                <w:rStyle w:val="SCCRespondentForIndexChar"/>
                <w:b w:val="0"/>
                <w:lang w:val="fr-CA"/>
              </w:rPr>
              <w:t>S. 6</w:t>
            </w:r>
            <w:r>
              <w:rPr>
                <w:rStyle w:val="SCCRespondentForIndexChar"/>
                <w:b w:val="0"/>
                <w:lang w:val="fr-CA"/>
              </w:rPr>
              <w:t>48</w:t>
            </w:r>
          </w:p>
        </w:tc>
        <w:tc>
          <w:tcPr>
            <w:tcW w:w="2808" w:type="dxa"/>
          </w:tcPr>
          <w:p w:rsidR="001236DE" w:rsidRPr="00C420E6" w:rsidRDefault="001236DE" w:rsidP="00BA475A">
            <w:r w:rsidRPr="00C420E6">
              <w:rPr>
                <w:b/>
                <w:smallCaps/>
              </w:rPr>
              <w:t>Date :</w:t>
            </w:r>
            <w:r w:rsidRPr="00C420E6">
              <w:t xml:space="preserve"> 20101223</w:t>
            </w:r>
          </w:p>
          <w:p w:rsidR="001236DE" w:rsidRPr="00C420E6" w:rsidRDefault="001236DE" w:rsidP="00BA475A">
            <w:r w:rsidRPr="00C420E6">
              <w:rPr>
                <w:b/>
                <w:smallCaps/>
              </w:rPr>
              <w:t>Dossier :</w:t>
            </w:r>
            <w:r w:rsidRPr="00C420E6">
              <w:t xml:space="preserve"> 32830</w:t>
            </w:r>
          </w:p>
        </w:tc>
      </w:tr>
    </w:tbl>
    <w:p w:rsidR="001236DE" w:rsidRPr="00C420E6" w:rsidRDefault="001236DE" w:rsidP="001236DE">
      <w:pPr>
        <w:rPr>
          <w:rFonts w:eastAsiaTheme="minorHAnsi" w:cstheme="minorBidi"/>
          <w:szCs w:val="24"/>
          <w:lang w:eastAsia="en-US"/>
        </w:rPr>
      </w:pPr>
    </w:p>
    <w:p w:rsidR="001236DE" w:rsidRPr="00C420E6" w:rsidRDefault="001236DE" w:rsidP="001236DE">
      <w:pPr>
        <w:rPr>
          <w:rFonts w:eastAsiaTheme="minorHAnsi" w:cstheme="minorBidi"/>
          <w:b/>
          <w:smallCaps/>
          <w:szCs w:val="24"/>
          <w:lang w:eastAsia="en-US"/>
        </w:rPr>
      </w:pPr>
      <w:proofErr w:type="gramStart"/>
      <w:r w:rsidRPr="00C420E6">
        <w:rPr>
          <w:rFonts w:eastAsiaTheme="minorHAnsi" w:cstheme="minorBidi"/>
          <w:b/>
          <w:smallCaps/>
          <w:szCs w:val="24"/>
          <w:lang w:eastAsia="en-US"/>
        </w:rPr>
        <w:t>Entre :</w:t>
      </w:r>
      <w:proofErr w:type="gramEnd"/>
    </w:p>
    <w:p w:rsidR="001236DE" w:rsidRPr="00C420E6" w:rsidRDefault="001236DE" w:rsidP="001236DE">
      <w:pPr>
        <w:jc w:val="center"/>
        <w:rPr>
          <w:rFonts w:eastAsiaTheme="minorHAnsi" w:cstheme="minorBidi"/>
          <w:b/>
          <w:szCs w:val="24"/>
          <w:lang w:eastAsia="en-US"/>
        </w:rPr>
      </w:pPr>
      <w:r w:rsidRPr="00C420E6">
        <w:rPr>
          <w:rFonts w:eastAsiaTheme="minorHAnsi" w:cstheme="minorBidi"/>
          <w:b/>
          <w:szCs w:val="24"/>
          <w:lang w:eastAsia="en-US"/>
        </w:rPr>
        <w:t>Nu-</w:t>
      </w:r>
      <w:proofErr w:type="spellStart"/>
      <w:r w:rsidRPr="00C420E6">
        <w:rPr>
          <w:rFonts w:eastAsiaTheme="minorHAnsi" w:cstheme="minorBidi"/>
          <w:b/>
          <w:szCs w:val="24"/>
          <w:lang w:eastAsia="en-US"/>
        </w:rPr>
        <w:t>Pharm</w:t>
      </w:r>
      <w:proofErr w:type="spellEnd"/>
      <w:r w:rsidRPr="00C420E6">
        <w:rPr>
          <w:rFonts w:eastAsiaTheme="minorHAnsi" w:cstheme="minorBidi"/>
          <w:b/>
          <w:szCs w:val="24"/>
          <w:lang w:eastAsia="en-US"/>
        </w:rPr>
        <w:t xml:space="preserve"> Inc.</w:t>
      </w:r>
    </w:p>
    <w:p w:rsidR="001236DE" w:rsidRPr="00C420E6" w:rsidRDefault="001236DE" w:rsidP="001236DE">
      <w:pPr>
        <w:jc w:val="center"/>
        <w:rPr>
          <w:rFonts w:eastAsiaTheme="minorHAnsi" w:cstheme="minorBidi"/>
          <w:szCs w:val="24"/>
          <w:lang w:eastAsia="en-US"/>
        </w:rPr>
      </w:pPr>
      <w:proofErr w:type="spellStart"/>
      <w:r w:rsidRPr="00C420E6">
        <w:rPr>
          <w:rFonts w:eastAsiaTheme="minorHAnsi" w:cstheme="minorBidi"/>
          <w:szCs w:val="24"/>
          <w:lang w:eastAsia="en-US"/>
        </w:rPr>
        <w:t>Appelante</w:t>
      </w:r>
      <w:proofErr w:type="spellEnd"/>
    </w:p>
    <w:p w:rsidR="001236DE" w:rsidRPr="00C420E6" w:rsidRDefault="001236DE" w:rsidP="001236DE">
      <w:pPr>
        <w:jc w:val="center"/>
        <w:rPr>
          <w:rFonts w:eastAsiaTheme="minorHAnsi" w:cstheme="minorBidi"/>
          <w:szCs w:val="24"/>
          <w:lang w:eastAsia="en-US"/>
        </w:rPr>
      </w:pPr>
      <w:proofErr w:type="gramStart"/>
      <w:r w:rsidRPr="00C420E6">
        <w:rPr>
          <w:rFonts w:eastAsiaTheme="minorHAnsi" w:cstheme="minorBidi"/>
          <w:szCs w:val="24"/>
          <w:lang w:eastAsia="en-US"/>
        </w:rPr>
        <w:t>et</w:t>
      </w:r>
      <w:proofErr w:type="gramEnd"/>
    </w:p>
    <w:p w:rsidR="001236DE" w:rsidRPr="001236DE" w:rsidRDefault="001236DE" w:rsidP="001236DE">
      <w:pPr>
        <w:jc w:val="center"/>
        <w:rPr>
          <w:rFonts w:eastAsiaTheme="minorHAnsi" w:cstheme="minorBidi"/>
          <w:b/>
          <w:szCs w:val="24"/>
          <w:lang w:val="fr-CA" w:eastAsia="en-US"/>
        </w:rPr>
      </w:pPr>
      <w:r w:rsidRPr="001236DE">
        <w:rPr>
          <w:rFonts w:eastAsiaTheme="minorHAnsi" w:cstheme="minorBidi"/>
          <w:b/>
          <w:szCs w:val="24"/>
          <w:lang w:val="fr-CA" w:eastAsia="en-US"/>
        </w:rPr>
        <w:t>Sa Majesté la Reine du chef du Canada,</w:t>
      </w:r>
    </w:p>
    <w:p w:rsidR="001236DE" w:rsidRPr="001236DE" w:rsidRDefault="001236DE" w:rsidP="001236DE">
      <w:pPr>
        <w:jc w:val="center"/>
        <w:rPr>
          <w:rFonts w:eastAsiaTheme="minorHAnsi" w:cstheme="minorBidi"/>
          <w:b/>
          <w:szCs w:val="24"/>
          <w:lang w:val="fr-CA" w:eastAsia="en-US"/>
        </w:rPr>
      </w:pPr>
      <w:proofErr w:type="gramStart"/>
      <w:r w:rsidRPr="001236DE">
        <w:rPr>
          <w:rFonts w:eastAsiaTheme="minorHAnsi" w:cstheme="minorBidi"/>
          <w:b/>
          <w:szCs w:val="24"/>
          <w:lang w:val="fr-CA" w:eastAsia="en-US"/>
        </w:rPr>
        <w:t>procureur</w:t>
      </w:r>
      <w:proofErr w:type="gramEnd"/>
      <w:r w:rsidRPr="001236DE">
        <w:rPr>
          <w:rFonts w:eastAsiaTheme="minorHAnsi" w:cstheme="minorBidi"/>
          <w:b/>
          <w:szCs w:val="24"/>
          <w:lang w:val="fr-CA" w:eastAsia="en-US"/>
        </w:rPr>
        <w:t xml:space="preserve"> général du Canada et directeur-général de la</w:t>
      </w:r>
    </w:p>
    <w:p w:rsidR="001236DE" w:rsidRPr="001236DE" w:rsidRDefault="001236DE" w:rsidP="001236DE">
      <w:pPr>
        <w:jc w:val="center"/>
        <w:rPr>
          <w:rFonts w:eastAsiaTheme="minorHAnsi" w:cstheme="minorBidi"/>
          <w:b/>
          <w:szCs w:val="24"/>
          <w:lang w:val="fr-CA" w:eastAsia="en-US"/>
        </w:rPr>
      </w:pPr>
      <w:r w:rsidRPr="001236DE">
        <w:rPr>
          <w:rFonts w:eastAsiaTheme="minorHAnsi" w:cstheme="minorBidi"/>
          <w:b/>
          <w:szCs w:val="24"/>
          <w:lang w:val="fr-CA" w:eastAsia="en-US"/>
        </w:rPr>
        <w:t>Direction des produits thérapeutiques de Santé Canada</w:t>
      </w:r>
    </w:p>
    <w:p w:rsidR="001236DE" w:rsidRPr="001236DE" w:rsidRDefault="001236DE" w:rsidP="001236DE">
      <w:pPr>
        <w:jc w:val="center"/>
        <w:rPr>
          <w:rFonts w:eastAsiaTheme="minorHAnsi" w:cstheme="minorBidi"/>
          <w:szCs w:val="24"/>
          <w:lang w:val="fr-CA" w:eastAsia="en-US"/>
        </w:rPr>
      </w:pPr>
      <w:r w:rsidRPr="001236DE">
        <w:rPr>
          <w:rFonts w:eastAsiaTheme="minorHAnsi" w:cstheme="minorBidi"/>
          <w:szCs w:val="24"/>
          <w:lang w:val="fr-CA" w:eastAsia="en-US"/>
        </w:rPr>
        <w:t>Intimés</w:t>
      </w:r>
    </w:p>
    <w:p w:rsidR="001236DE" w:rsidRPr="001236DE" w:rsidRDefault="001236DE" w:rsidP="001236DE">
      <w:pPr>
        <w:jc w:val="center"/>
        <w:rPr>
          <w:rFonts w:eastAsiaTheme="minorHAnsi" w:cstheme="minorBidi"/>
          <w:szCs w:val="24"/>
          <w:lang w:val="fr-CA" w:eastAsia="en-US"/>
        </w:rPr>
      </w:pPr>
    </w:p>
    <w:p w:rsidR="001236DE" w:rsidRPr="001236DE" w:rsidRDefault="001236DE" w:rsidP="001236DE">
      <w:pPr>
        <w:rPr>
          <w:rFonts w:eastAsiaTheme="minorHAnsi" w:cstheme="minorBidi"/>
          <w:szCs w:val="24"/>
          <w:lang w:val="fr-CA" w:eastAsia="en-US"/>
        </w:rPr>
      </w:pPr>
    </w:p>
    <w:p w:rsidR="001236DE" w:rsidRPr="001236DE" w:rsidRDefault="001236DE" w:rsidP="001236DE">
      <w:pPr>
        <w:jc w:val="center"/>
        <w:rPr>
          <w:rFonts w:eastAsiaTheme="minorHAnsi" w:cstheme="minorBidi"/>
          <w:b/>
          <w:smallCaps/>
          <w:szCs w:val="24"/>
          <w:lang w:val="fr-CA" w:eastAsia="en-US"/>
        </w:rPr>
      </w:pPr>
      <w:r w:rsidRPr="001236DE">
        <w:rPr>
          <w:rFonts w:eastAsiaTheme="minorHAnsi" w:cstheme="minorBidi"/>
          <w:b/>
          <w:smallCaps/>
          <w:szCs w:val="24"/>
          <w:lang w:val="fr-CA" w:eastAsia="en-US"/>
        </w:rPr>
        <w:t>Traduction française officielle</w:t>
      </w:r>
    </w:p>
    <w:p w:rsidR="001236DE" w:rsidRPr="001236DE" w:rsidRDefault="001236DE" w:rsidP="001236DE">
      <w:pPr>
        <w:rPr>
          <w:rFonts w:eastAsiaTheme="minorHAnsi" w:cstheme="minorBidi"/>
          <w:szCs w:val="24"/>
          <w:lang w:val="fr-CA" w:eastAsia="en-US"/>
        </w:rPr>
      </w:pPr>
    </w:p>
    <w:p w:rsidR="001236DE" w:rsidRPr="001236DE" w:rsidRDefault="001236DE" w:rsidP="001236DE">
      <w:pPr>
        <w:rPr>
          <w:rFonts w:eastAsiaTheme="minorHAnsi" w:cstheme="minorBidi"/>
          <w:szCs w:val="24"/>
          <w:lang w:val="fr-CA" w:eastAsia="en-US"/>
        </w:rPr>
      </w:pPr>
      <w:r w:rsidRPr="001236DE">
        <w:rPr>
          <w:rFonts w:eastAsiaTheme="minorHAnsi" w:cstheme="minorBidi"/>
          <w:b/>
          <w:smallCaps/>
          <w:szCs w:val="24"/>
          <w:lang w:val="fr-CA" w:eastAsia="en-US"/>
        </w:rPr>
        <w:t>Coram :</w:t>
      </w:r>
      <w:r w:rsidRPr="001236DE">
        <w:rPr>
          <w:rFonts w:eastAsiaTheme="minorHAnsi" w:cstheme="minorBidi"/>
          <w:szCs w:val="24"/>
          <w:lang w:val="fr-CA" w:eastAsia="en-US"/>
        </w:rPr>
        <w:t xml:space="preserve"> Les juges </w:t>
      </w:r>
      <w:proofErr w:type="spellStart"/>
      <w:r w:rsidRPr="001236DE">
        <w:rPr>
          <w:rFonts w:eastAsiaTheme="minorHAnsi" w:cstheme="minorBidi"/>
          <w:szCs w:val="24"/>
          <w:lang w:val="fr-CA" w:eastAsia="en-US"/>
        </w:rPr>
        <w:t>Binnie</w:t>
      </w:r>
      <w:proofErr w:type="spellEnd"/>
      <w:r w:rsidRPr="001236DE">
        <w:rPr>
          <w:rFonts w:eastAsiaTheme="minorHAnsi" w:cstheme="minorBidi"/>
          <w:szCs w:val="24"/>
          <w:lang w:val="fr-CA" w:eastAsia="en-US"/>
        </w:rPr>
        <w:t xml:space="preserve">, </w:t>
      </w:r>
      <w:proofErr w:type="spellStart"/>
      <w:r w:rsidRPr="001236DE">
        <w:rPr>
          <w:rFonts w:eastAsiaTheme="minorHAnsi" w:cstheme="minorBidi"/>
          <w:szCs w:val="24"/>
          <w:lang w:val="fr-CA" w:eastAsia="en-US"/>
        </w:rPr>
        <w:t>LeBel</w:t>
      </w:r>
      <w:proofErr w:type="spellEnd"/>
      <w:r w:rsidRPr="001236DE">
        <w:rPr>
          <w:rFonts w:eastAsiaTheme="minorHAnsi" w:cstheme="minorBidi"/>
          <w:szCs w:val="24"/>
          <w:lang w:val="fr-CA" w:eastAsia="en-US"/>
        </w:rPr>
        <w:t xml:space="preserve">, Deschamps, Abella, Charron, </w:t>
      </w:r>
      <w:proofErr w:type="spellStart"/>
      <w:r w:rsidRPr="001236DE">
        <w:rPr>
          <w:rFonts w:eastAsiaTheme="minorHAnsi" w:cstheme="minorBidi"/>
          <w:szCs w:val="24"/>
          <w:lang w:val="fr-CA" w:eastAsia="en-US"/>
        </w:rPr>
        <w:t>Rothstein</w:t>
      </w:r>
      <w:proofErr w:type="spellEnd"/>
      <w:r w:rsidRPr="001236DE">
        <w:rPr>
          <w:rFonts w:eastAsiaTheme="minorHAnsi" w:cstheme="minorBidi"/>
          <w:szCs w:val="24"/>
          <w:lang w:val="fr-CA" w:eastAsia="en-US"/>
        </w:rPr>
        <w:t xml:space="preserve"> et Cromwell</w:t>
      </w:r>
    </w:p>
    <w:p w:rsidR="001236DE" w:rsidRPr="001236DE" w:rsidRDefault="001236DE" w:rsidP="001236DE">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236DE" w:rsidRPr="001236DE" w:rsidTr="00BA475A">
        <w:trPr>
          <w:cantSplit/>
        </w:trPr>
        <w:tc>
          <w:tcPr>
            <w:tcW w:w="3618" w:type="dxa"/>
          </w:tcPr>
          <w:p w:rsidR="001236DE" w:rsidRPr="001236DE" w:rsidRDefault="001236DE" w:rsidP="00BA475A">
            <w:pPr>
              <w:rPr>
                <w:b/>
                <w:smallCaps/>
                <w:lang w:val="fr-CA"/>
              </w:rPr>
            </w:pPr>
            <w:r w:rsidRPr="001236DE">
              <w:rPr>
                <w:b/>
                <w:smallCaps/>
                <w:lang w:val="fr-CA"/>
              </w:rPr>
              <w:t>Motifs de jugement :</w:t>
            </w:r>
          </w:p>
          <w:p w:rsidR="001236DE" w:rsidRPr="001236DE" w:rsidRDefault="001236DE" w:rsidP="00BA475A">
            <w:pPr>
              <w:rPr>
                <w:lang w:val="fr-CA"/>
              </w:rPr>
            </w:pPr>
            <w:r w:rsidRPr="001236DE">
              <w:rPr>
                <w:lang w:val="fr-CA"/>
              </w:rPr>
              <w:t>(par. 1 à 21)</w:t>
            </w:r>
          </w:p>
        </w:tc>
        <w:tc>
          <w:tcPr>
            <w:tcW w:w="5958" w:type="dxa"/>
          </w:tcPr>
          <w:p w:rsidR="001236DE" w:rsidRPr="001236DE" w:rsidRDefault="001236DE" w:rsidP="00BA475A">
            <w:pPr>
              <w:rPr>
                <w:lang w:val="fr-CA"/>
              </w:rPr>
            </w:pPr>
            <w:r w:rsidRPr="001236DE">
              <w:rPr>
                <w:lang w:val="fr-CA"/>
              </w:rPr>
              <w:t xml:space="preserve">Le juge </w:t>
            </w:r>
            <w:proofErr w:type="spellStart"/>
            <w:r w:rsidRPr="001236DE">
              <w:rPr>
                <w:lang w:val="fr-CA"/>
              </w:rPr>
              <w:t>Rothstein</w:t>
            </w:r>
            <w:proofErr w:type="spellEnd"/>
            <w:r w:rsidRPr="001236DE">
              <w:rPr>
                <w:lang w:val="fr-CA"/>
              </w:rPr>
              <w:t xml:space="preserve"> (avec l’accord des juges </w:t>
            </w:r>
            <w:proofErr w:type="spellStart"/>
            <w:r w:rsidRPr="001236DE">
              <w:rPr>
                <w:lang w:val="fr-CA"/>
              </w:rPr>
              <w:t>Binnie</w:t>
            </w:r>
            <w:proofErr w:type="spellEnd"/>
            <w:r w:rsidRPr="001236DE">
              <w:rPr>
                <w:lang w:val="fr-CA"/>
              </w:rPr>
              <w:t xml:space="preserve">, </w:t>
            </w:r>
            <w:proofErr w:type="spellStart"/>
            <w:r w:rsidRPr="001236DE">
              <w:rPr>
                <w:lang w:val="fr-CA"/>
              </w:rPr>
              <w:t>LeBel</w:t>
            </w:r>
            <w:proofErr w:type="spellEnd"/>
            <w:r w:rsidRPr="001236DE">
              <w:rPr>
                <w:lang w:val="fr-CA"/>
              </w:rPr>
              <w:t>, Deschamps, Abella, Charron et Cromwell)</w:t>
            </w:r>
          </w:p>
        </w:tc>
      </w:tr>
    </w:tbl>
    <w:p w:rsidR="001236DE" w:rsidRPr="001236DE" w:rsidRDefault="001236DE" w:rsidP="001236DE">
      <w:pPr>
        <w:rPr>
          <w:rFonts w:eastAsiaTheme="minorHAnsi" w:cstheme="minorBidi"/>
          <w:szCs w:val="24"/>
          <w:lang w:val="fr-CA" w:eastAsia="en-US"/>
        </w:rPr>
      </w:pPr>
    </w:p>
    <w:p w:rsidR="001236DE" w:rsidRPr="001236DE" w:rsidRDefault="001236DE" w:rsidP="001236DE">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236DE" w:rsidRPr="001236DE" w:rsidRDefault="001236DE" w:rsidP="001236DE">
      <w:pPr>
        <w:rPr>
          <w:rStyle w:val="SCCAppellantForRunningHeadChar"/>
          <w:lang w:val="fr-CA"/>
        </w:rPr>
      </w:pPr>
      <w:r w:rsidRPr="001236DE">
        <w:rPr>
          <w:rStyle w:val="SCCAppellantForRunningHeadChar"/>
          <w:lang w:val="fr-CA"/>
        </w:rPr>
        <w:br w:type="page"/>
      </w:r>
    </w:p>
    <w:p w:rsidR="008322BD" w:rsidRPr="0047101E" w:rsidRDefault="0047101E" w:rsidP="00D25E6A">
      <w:pPr>
        <w:spacing w:line="480" w:lineRule="auto"/>
        <w:jc w:val="both"/>
        <w:rPr>
          <w:rStyle w:val="SCCRespondentForRunningHeadChar"/>
          <w:lang w:val="fr-CA"/>
        </w:rPr>
      </w:pPr>
      <w:r w:rsidRPr="0047101E">
        <w:rPr>
          <w:rStyle w:val="SCCAppellantForIndexChar"/>
          <w:b w:val="0"/>
          <w:lang w:val="fr-CA"/>
        </w:rPr>
        <w:lastRenderedPageBreak/>
        <w:t>Nu-</w:t>
      </w:r>
      <w:proofErr w:type="spellStart"/>
      <w:r w:rsidRPr="0047101E">
        <w:rPr>
          <w:rStyle w:val="SCCAppellantForIndexChar"/>
          <w:b w:val="0"/>
          <w:lang w:val="fr-CA"/>
        </w:rPr>
        <w:t>Pharm</w:t>
      </w:r>
      <w:proofErr w:type="spellEnd"/>
      <w:r w:rsidRPr="0047101E">
        <w:rPr>
          <w:rStyle w:val="SCCAppellantForIndexChar"/>
          <w:b w:val="0"/>
          <w:lang w:val="fr-CA"/>
        </w:rPr>
        <w:t xml:space="preserve"> Inc</w:t>
      </w:r>
      <w:r w:rsidRPr="0047101E">
        <w:rPr>
          <w:rStyle w:val="SCCAppellantForIndexChar"/>
          <w:lang w:val="fr-CA"/>
        </w:rPr>
        <w:t>.</w:t>
      </w:r>
      <w:r w:rsidRPr="0047101E">
        <w:rPr>
          <w:lang w:val="fr-CA"/>
        </w:rPr>
        <w:t xml:space="preserve"> </w:t>
      </w:r>
      <w:r w:rsidRPr="0047101E">
        <w:rPr>
          <w:i/>
          <w:lang w:val="fr-CA"/>
        </w:rPr>
        <w:t>c.</w:t>
      </w:r>
      <w:r w:rsidRPr="0047101E">
        <w:rPr>
          <w:b/>
          <w:lang w:val="fr-CA"/>
        </w:rPr>
        <w:t xml:space="preserve"> </w:t>
      </w:r>
      <w:r w:rsidRPr="0047101E">
        <w:rPr>
          <w:lang w:val="fr-CA"/>
        </w:rPr>
        <w:t>Canada (Procureur général)</w:t>
      </w:r>
      <w:r w:rsidRPr="0047101E">
        <w:rPr>
          <w:rStyle w:val="SCCRespondentForRunningHeadChar"/>
          <w:lang w:val="fr-CA"/>
        </w:rPr>
        <w:t xml:space="preserve">, </w:t>
      </w:r>
      <w:r w:rsidRPr="0047101E">
        <w:rPr>
          <w:rStyle w:val="SCCRespondentForIndexChar"/>
          <w:b w:val="0"/>
          <w:lang w:val="fr-CA"/>
        </w:rPr>
        <w:t xml:space="preserve">2010 </w:t>
      </w:r>
      <w:r w:rsidR="00280344">
        <w:rPr>
          <w:rStyle w:val="SCCRespondentForIndexChar"/>
          <w:b w:val="0"/>
          <w:lang w:val="fr-CA"/>
        </w:rPr>
        <w:t>C</w:t>
      </w:r>
      <w:r w:rsidRPr="0047101E">
        <w:rPr>
          <w:rStyle w:val="SCCRespondentForIndexChar"/>
          <w:b w:val="0"/>
          <w:lang w:val="fr-CA"/>
        </w:rPr>
        <w:t>SC 6</w:t>
      </w:r>
      <w:r>
        <w:rPr>
          <w:rStyle w:val="SCCRespondentForIndexChar"/>
          <w:b w:val="0"/>
          <w:lang w:val="fr-CA"/>
        </w:rPr>
        <w:t>5</w:t>
      </w:r>
      <w:r w:rsidRPr="0047101E">
        <w:rPr>
          <w:rStyle w:val="SCCRespondentForIndexChar"/>
          <w:b w:val="0"/>
          <w:lang w:val="fr-CA"/>
        </w:rPr>
        <w:t xml:space="preserve">, [2010] 3 </w:t>
      </w:r>
      <w:r w:rsidR="00280344">
        <w:rPr>
          <w:rStyle w:val="SCCRespondentForIndexChar"/>
          <w:b w:val="0"/>
          <w:lang w:val="fr-CA"/>
        </w:rPr>
        <w:t>R.C.</w:t>
      </w:r>
      <w:r w:rsidRPr="0047101E">
        <w:rPr>
          <w:rStyle w:val="SCCRespondentForIndexChar"/>
          <w:b w:val="0"/>
          <w:lang w:val="fr-CA"/>
        </w:rPr>
        <w:t>S. 6</w:t>
      </w:r>
      <w:r>
        <w:rPr>
          <w:rStyle w:val="SCCRespondentForIndexChar"/>
          <w:b w:val="0"/>
          <w:lang w:val="fr-CA"/>
        </w:rPr>
        <w:t>48</w:t>
      </w:r>
    </w:p>
    <w:p w:rsidR="00E30549" w:rsidRPr="0047101E" w:rsidRDefault="00E30549" w:rsidP="00D25E6A">
      <w:pPr>
        <w:spacing w:line="480" w:lineRule="auto"/>
        <w:jc w:val="both"/>
        <w:rPr>
          <w:rStyle w:val="SCCRespondentForRunningHeadChar"/>
          <w:lang w:val="fr-CA"/>
        </w:rPr>
      </w:pPr>
    </w:p>
    <w:p w:rsidR="00F84AEB" w:rsidRPr="00626FC3" w:rsidRDefault="00626FC3" w:rsidP="00BE4A5A">
      <w:pPr>
        <w:pStyle w:val="SCCLsocParty"/>
        <w:tabs>
          <w:tab w:val="right" w:pos="8280"/>
        </w:tabs>
        <w:spacing w:after="0" w:line="480" w:lineRule="auto"/>
        <w:rPr>
          <w:b/>
          <w:lang w:val="fr-CA"/>
        </w:rPr>
      </w:pPr>
      <w:r w:rsidRPr="0028615A">
        <w:rPr>
          <w:b/>
          <w:lang w:val="fr-CA"/>
        </w:rPr>
        <w:t>Nu-</w:t>
      </w:r>
      <w:proofErr w:type="spellStart"/>
      <w:r w:rsidR="0090486E" w:rsidRPr="0028615A">
        <w:rPr>
          <w:b/>
          <w:lang w:val="fr-CA"/>
        </w:rPr>
        <w:t>Pharm</w:t>
      </w:r>
      <w:proofErr w:type="spellEnd"/>
      <w:r w:rsidR="0090486E" w:rsidRPr="0028615A">
        <w:rPr>
          <w:b/>
          <w:lang w:val="fr-CA"/>
        </w:rPr>
        <w:t xml:space="preserve"> Inc.</w:t>
      </w:r>
      <w:r w:rsidR="00E30549" w:rsidRPr="0028615A">
        <w:rPr>
          <w:lang w:val="fr-CA"/>
        </w:rPr>
        <w:tab/>
      </w:r>
      <w:r w:rsidR="0090486E" w:rsidRPr="00626FC3">
        <w:rPr>
          <w:i/>
          <w:lang w:val="fr-CA"/>
        </w:rPr>
        <w:t>Appelant</w:t>
      </w:r>
      <w:r w:rsidR="00E30549" w:rsidRPr="00626FC3">
        <w:rPr>
          <w:i/>
          <w:lang w:val="fr-CA"/>
        </w:rPr>
        <w:t>e</w:t>
      </w:r>
      <w:r w:rsidR="0090486E" w:rsidRPr="00626FC3">
        <w:rPr>
          <w:lang w:val="fr-CA"/>
        </w:rPr>
        <w:br/>
      </w:r>
    </w:p>
    <w:p w:rsidR="00F84AEB" w:rsidRPr="00626FC3" w:rsidRDefault="0090486E" w:rsidP="00BE4A5A">
      <w:pPr>
        <w:pStyle w:val="SCCLsocVersus"/>
        <w:spacing w:after="0" w:line="480" w:lineRule="auto"/>
        <w:rPr>
          <w:i/>
          <w:lang w:val="fr-CA"/>
        </w:rPr>
      </w:pPr>
      <w:proofErr w:type="gramStart"/>
      <w:r w:rsidRPr="00626FC3">
        <w:rPr>
          <w:i/>
          <w:lang w:val="fr-CA"/>
        </w:rPr>
        <w:t>c</w:t>
      </w:r>
      <w:proofErr w:type="gramEnd"/>
      <w:r w:rsidRPr="00626FC3">
        <w:rPr>
          <w:i/>
          <w:lang w:val="fr-CA"/>
        </w:rPr>
        <w:t>.</w:t>
      </w:r>
      <w:r w:rsidRPr="00626FC3">
        <w:rPr>
          <w:i/>
          <w:lang w:val="fr-CA"/>
        </w:rPr>
        <w:br/>
      </w:r>
    </w:p>
    <w:p w:rsidR="007D5A82" w:rsidRPr="00626FC3" w:rsidRDefault="0090486E" w:rsidP="00BE4A5A">
      <w:pPr>
        <w:pStyle w:val="SCCLsocParty"/>
        <w:spacing w:after="0"/>
        <w:rPr>
          <w:b/>
          <w:lang w:val="fr-CA"/>
        </w:rPr>
      </w:pPr>
      <w:r w:rsidRPr="00626FC3">
        <w:rPr>
          <w:b/>
          <w:lang w:val="fr-CA"/>
        </w:rPr>
        <w:t xml:space="preserve">Sa Majesté la Reine du chef du Canada, </w:t>
      </w:r>
      <w:r w:rsidR="00E30549" w:rsidRPr="00626FC3">
        <w:rPr>
          <w:b/>
          <w:lang w:val="fr-CA"/>
        </w:rPr>
        <w:t>p</w:t>
      </w:r>
      <w:r w:rsidRPr="00626FC3">
        <w:rPr>
          <w:b/>
          <w:lang w:val="fr-CA"/>
        </w:rPr>
        <w:t xml:space="preserve">rocureur </w:t>
      </w:r>
    </w:p>
    <w:p w:rsidR="007D5A82" w:rsidRPr="00BE4A5A" w:rsidRDefault="0090486E" w:rsidP="00BE4A5A">
      <w:pPr>
        <w:pStyle w:val="SCCLsocParty"/>
        <w:spacing w:after="0"/>
        <w:rPr>
          <w:b/>
          <w:lang w:val="fr-CA"/>
        </w:rPr>
      </w:pPr>
      <w:proofErr w:type="gramStart"/>
      <w:r w:rsidRPr="00BE4A5A">
        <w:rPr>
          <w:b/>
          <w:lang w:val="fr-CA"/>
        </w:rPr>
        <w:t>général</w:t>
      </w:r>
      <w:proofErr w:type="gramEnd"/>
      <w:r w:rsidRPr="00BE4A5A">
        <w:rPr>
          <w:b/>
          <w:lang w:val="fr-CA"/>
        </w:rPr>
        <w:t xml:space="preserve"> du Canada et directeur</w:t>
      </w:r>
      <w:r w:rsidR="00880F9B" w:rsidRPr="00BE4A5A">
        <w:rPr>
          <w:b/>
          <w:lang w:val="fr-CA"/>
        </w:rPr>
        <w:t xml:space="preserve"> </w:t>
      </w:r>
      <w:r w:rsidRPr="00BE4A5A">
        <w:rPr>
          <w:b/>
          <w:lang w:val="fr-CA"/>
        </w:rPr>
        <w:t xml:space="preserve">général de la Direction </w:t>
      </w:r>
    </w:p>
    <w:p w:rsidR="007834A8" w:rsidRPr="00BE4A5A" w:rsidRDefault="0090486E" w:rsidP="00BE4A5A">
      <w:pPr>
        <w:pStyle w:val="SCCLsocParty"/>
        <w:tabs>
          <w:tab w:val="right" w:pos="8280"/>
        </w:tabs>
        <w:spacing w:after="720"/>
        <w:rPr>
          <w:b/>
          <w:i/>
          <w:lang w:val="fr-CA"/>
        </w:rPr>
      </w:pPr>
      <w:proofErr w:type="gramStart"/>
      <w:r w:rsidRPr="00BE4A5A">
        <w:rPr>
          <w:b/>
          <w:lang w:val="fr-CA"/>
        </w:rPr>
        <w:t>des</w:t>
      </w:r>
      <w:proofErr w:type="gramEnd"/>
      <w:r w:rsidRPr="00BE4A5A">
        <w:rPr>
          <w:b/>
          <w:lang w:val="fr-CA"/>
        </w:rPr>
        <w:t xml:space="preserve"> produits thérapeutiq</w:t>
      </w:r>
      <w:r w:rsidR="007D5A82" w:rsidRPr="00BE4A5A">
        <w:rPr>
          <w:b/>
          <w:lang w:val="fr-CA"/>
        </w:rPr>
        <w:t>u</w:t>
      </w:r>
      <w:r w:rsidRPr="00BE4A5A">
        <w:rPr>
          <w:b/>
          <w:lang w:val="fr-CA"/>
        </w:rPr>
        <w:t>es de Santé Canada</w:t>
      </w:r>
      <w:r w:rsidR="007D5A82" w:rsidRPr="00BE4A5A">
        <w:rPr>
          <w:lang w:val="fr-CA"/>
        </w:rPr>
        <w:tab/>
      </w:r>
      <w:r w:rsidRPr="00BE4A5A">
        <w:rPr>
          <w:i/>
          <w:lang w:val="fr-CA"/>
        </w:rPr>
        <w:t>Intimé</w:t>
      </w:r>
      <w:r w:rsidR="007D5A82" w:rsidRPr="00BE4A5A">
        <w:rPr>
          <w:i/>
          <w:lang w:val="fr-CA"/>
        </w:rPr>
        <w:t>s</w:t>
      </w:r>
    </w:p>
    <w:p w:rsidR="00426659" w:rsidRPr="00626FC3" w:rsidRDefault="0043088E" w:rsidP="00D25E6A">
      <w:pPr>
        <w:spacing w:line="480" w:lineRule="auto"/>
        <w:jc w:val="both"/>
        <w:rPr>
          <w:b/>
          <w:lang w:val="fr-CA"/>
        </w:rPr>
      </w:pPr>
      <w:r w:rsidRPr="00626FC3">
        <w:rPr>
          <w:b/>
          <w:lang w:val="fr-CA"/>
        </w:rPr>
        <w:t>Répertorié</w:t>
      </w:r>
      <w:r w:rsidR="00C67CA5" w:rsidRPr="00626FC3">
        <w:rPr>
          <w:b/>
          <w:lang w:val="fr-CA"/>
        </w:rPr>
        <w:t> </w:t>
      </w:r>
      <w:r w:rsidR="00426659" w:rsidRPr="00626FC3">
        <w:rPr>
          <w:b/>
          <w:lang w:val="fr-CA"/>
        </w:rPr>
        <w:t>:</w:t>
      </w:r>
      <w:r w:rsidR="00C67CA5" w:rsidRPr="00626FC3">
        <w:rPr>
          <w:b/>
          <w:lang w:val="fr-CA"/>
        </w:rPr>
        <w:t> </w:t>
      </w:r>
      <w:r w:rsidRPr="00626FC3">
        <w:rPr>
          <w:rStyle w:val="SCCAppellantForIndexChar"/>
          <w:lang w:val="fr-CA"/>
        </w:rPr>
        <w:t>Nu</w:t>
      </w:r>
      <w:r w:rsidR="00626FC3">
        <w:rPr>
          <w:rStyle w:val="SCCAppellantForIndexChar"/>
          <w:lang w:val="fr-CA"/>
        </w:rPr>
        <w:t>-</w:t>
      </w:r>
      <w:proofErr w:type="spellStart"/>
      <w:r w:rsidRPr="00626FC3">
        <w:rPr>
          <w:rStyle w:val="SCCAppellantForIndexChar"/>
          <w:lang w:val="fr-CA"/>
        </w:rPr>
        <w:t>Pharm</w:t>
      </w:r>
      <w:proofErr w:type="spellEnd"/>
      <w:r w:rsidRPr="00626FC3">
        <w:rPr>
          <w:rStyle w:val="SCCAppellantForIndexChar"/>
          <w:lang w:val="fr-CA"/>
        </w:rPr>
        <w:t xml:space="preserve"> Inc.</w:t>
      </w:r>
      <w:r w:rsidR="00426659" w:rsidRPr="00626FC3">
        <w:rPr>
          <w:b/>
          <w:lang w:val="fr-CA"/>
        </w:rPr>
        <w:t xml:space="preserve"> </w:t>
      </w:r>
      <w:r w:rsidR="00645057" w:rsidRPr="00626FC3">
        <w:rPr>
          <w:b/>
          <w:i/>
          <w:lang w:val="fr-CA"/>
        </w:rPr>
        <w:t>c</w:t>
      </w:r>
      <w:r w:rsidR="00426659" w:rsidRPr="00626FC3">
        <w:rPr>
          <w:b/>
          <w:i/>
          <w:lang w:val="fr-CA"/>
        </w:rPr>
        <w:t>.</w:t>
      </w:r>
      <w:r w:rsidR="00426659" w:rsidRPr="00626FC3">
        <w:rPr>
          <w:b/>
          <w:lang w:val="fr-CA"/>
        </w:rPr>
        <w:t xml:space="preserve"> </w:t>
      </w:r>
      <w:r w:rsidR="007D5A82" w:rsidRPr="00626FC3">
        <w:rPr>
          <w:b/>
          <w:lang w:val="fr-CA"/>
        </w:rPr>
        <w:t>Canada</w:t>
      </w:r>
      <w:r w:rsidR="002B4BF0" w:rsidRPr="00626FC3">
        <w:rPr>
          <w:b/>
          <w:lang w:val="fr-CA"/>
        </w:rPr>
        <w:t xml:space="preserve"> (Procureur général)</w:t>
      </w:r>
    </w:p>
    <w:p w:rsidR="00426659" w:rsidRPr="00626FC3" w:rsidRDefault="00426659" w:rsidP="00D25E6A">
      <w:pPr>
        <w:spacing w:line="480" w:lineRule="auto"/>
        <w:jc w:val="both"/>
        <w:rPr>
          <w:lang w:val="fr-CA"/>
        </w:rPr>
      </w:pPr>
    </w:p>
    <w:p w:rsidR="00426659" w:rsidRPr="00626FC3" w:rsidRDefault="00F853FB" w:rsidP="00D25E6A">
      <w:pPr>
        <w:pStyle w:val="SCCSystemYear"/>
        <w:spacing w:line="480" w:lineRule="auto"/>
        <w:jc w:val="both"/>
        <w:rPr>
          <w:lang w:val="fr-CA"/>
        </w:rPr>
      </w:pPr>
      <w:r w:rsidRPr="00626FC3">
        <w:rPr>
          <w:lang w:val="fr-CA"/>
        </w:rPr>
        <w:t>2010</w:t>
      </w:r>
      <w:r w:rsidR="00005D9F" w:rsidRPr="00626FC3">
        <w:rPr>
          <w:lang w:val="fr-CA"/>
        </w:rPr>
        <w:t> </w:t>
      </w:r>
      <w:r w:rsidR="00C71F58" w:rsidRPr="00626FC3">
        <w:rPr>
          <w:lang w:val="fr-CA"/>
        </w:rPr>
        <w:t>C</w:t>
      </w:r>
      <w:r w:rsidR="00426659" w:rsidRPr="00626FC3">
        <w:rPr>
          <w:lang w:val="fr-CA"/>
        </w:rPr>
        <w:t>SC </w:t>
      </w:r>
      <w:r w:rsidR="002F059B" w:rsidRPr="00626FC3">
        <w:rPr>
          <w:lang w:val="fr-CA"/>
        </w:rPr>
        <w:t>65</w:t>
      </w:r>
    </w:p>
    <w:p w:rsidR="00426659" w:rsidRPr="00626FC3" w:rsidRDefault="00426659" w:rsidP="00D25E6A">
      <w:pPr>
        <w:spacing w:line="480" w:lineRule="auto"/>
        <w:jc w:val="both"/>
        <w:rPr>
          <w:lang w:val="fr-CA"/>
        </w:rPr>
      </w:pPr>
    </w:p>
    <w:p w:rsidR="008322BD" w:rsidRPr="00626FC3" w:rsidRDefault="009B57B3" w:rsidP="00D25E6A">
      <w:pPr>
        <w:spacing w:line="480" w:lineRule="auto"/>
        <w:jc w:val="both"/>
        <w:rPr>
          <w:lang w:val="fr-CA"/>
        </w:rPr>
      </w:pPr>
      <w:r w:rsidRPr="00626FC3">
        <w:rPr>
          <w:lang w:val="fr-CA"/>
        </w:rPr>
        <w:t>N</w:t>
      </w:r>
      <w:r w:rsidRPr="00626FC3">
        <w:rPr>
          <w:vertAlign w:val="superscript"/>
          <w:lang w:val="fr-CA"/>
        </w:rPr>
        <w:t>o</w:t>
      </w:r>
      <w:r w:rsidR="0043088E" w:rsidRPr="00626FC3">
        <w:rPr>
          <w:lang w:val="fr-CA"/>
        </w:rPr>
        <w:t xml:space="preserve"> du greffe</w:t>
      </w:r>
      <w:r w:rsidR="00C67CA5" w:rsidRPr="00626FC3">
        <w:rPr>
          <w:lang w:val="fr-CA"/>
        </w:rPr>
        <w:t> </w:t>
      </w:r>
      <w:r w:rsidRPr="00626FC3">
        <w:rPr>
          <w:lang w:val="fr-CA"/>
        </w:rPr>
        <w:t>:</w:t>
      </w:r>
      <w:r w:rsidR="00C67CA5" w:rsidRPr="00626FC3">
        <w:rPr>
          <w:lang w:val="fr-CA"/>
        </w:rPr>
        <w:t> </w:t>
      </w:r>
      <w:r w:rsidRPr="00626FC3">
        <w:rPr>
          <w:lang w:val="fr-CA"/>
        </w:rPr>
        <w:t>32830.</w:t>
      </w:r>
    </w:p>
    <w:p w:rsidR="00E97830" w:rsidRPr="00626FC3" w:rsidRDefault="00E97830" w:rsidP="00D25E6A">
      <w:pPr>
        <w:spacing w:line="480" w:lineRule="auto"/>
        <w:jc w:val="both"/>
        <w:rPr>
          <w:lang w:val="fr-CA"/>
        </w:rPr>
      </w:pPr>
    </w:p>
    <w:p w:rsidR="008322BD" w:rsidRPr="00626FC3" w:rsidRDefault="002F059B" w:rsidP="00D25E6A">
      <w:pPr>
        <w:spacing w:line="480" w:lineRule="auto"/>
        <w:jc w:val="both"/>
        <w:rPr>
          <w:lang w:val="fr-CA"/>
        </w:rPr>
      </w:pPr>
      <w:r w:rsidRPr="00626FC3">
        <w:rPr>
          <w:lang w:val="fr-CA"/>
        </w:rPr>
        <w:t>2010 </w:t>
      </w:r>
      <w:r w:rsidR="00005D9F" w:rsidRPr="00626FC3">
        <w:rPr>
          <w:lang w:val="fr-CA"/>
        </w:rPr>
        <w:t>: </w:t>
      </w:r>
      <w:r w:rsidR="00F853FB" w:rsidRPr="00626FC3">
        <w:rPr>
          <w:lang w:val="fr-CA"/>
        </w:rPr>
        <w:t>20</w:t>
      </w:r>
      <w:r w:rsidRPr="00626FC3">
        <w:rPr>
          <w:lang w:val="fr-CA"/>
        </w:rPr>
        <w:t>, 21</w:t>
      </w:r>
      <w:r w:rsidR="00C3516A" w:rsidRPr="00626FC3">
        <w:rPr>
          <w:lang w:val="fr-CA"/>
        </w:rPr>
        <w:t> </w:t>
      </w:r>
      <w:r w:rsidR="00F853FB" w:rsidRPr="00626FC3">
        <w:rPr>
          <w:lang w:val="fr-CA"/>
        </w:rPr>
        <w:t>janvier</w:t>
      </w:r>
      <w:r w:rsidR="009B57B3" w:rsidRPr="00626FC3">
        <w:rPr>
          <w:lang w:val="fr-CA"/>
        </w:rPr>
        <w:t xml:space="preserve">; </w:t>
      </w:r>
      <w:r w:rsidRPr="00626FC3">
        <w:rPr>
          <w:lang w:val="fr-CA"/>
        </w:rPr>
        <w:t>2010 :</w:t>
      </w:r>
      <w:r w:rsidR="00005D9F" w:rsidRPr="00626FC3">
        <w:rPr>
          <w:lang w:val="fr-CA"/>
        </w:rPr>
        <w:t> </w:t>
      </w:r>
      <w:r w:rsidR="00C3516A" w:rsidRPr="00626FC3">
        <w:rPr>
          <w:lang w:val="fr-CA"/>
        </w:rPr>
        <w:t>23 </w:t>
      </w:r>
      <w:r w:rsidRPr="00626FC3">
        <w:rPr>
          <w:lang w:val="fr-CA"/>
        </w:rPr>
        <w:t>décembre</w:t>
      </w:r>
      <w:r w:rsidR="009B57B3" w:rsidRPr="00626FC3">
        <w:rPr>
          <w:lang w:val="fr-CA"/>
        </w:rPr>
        <w:t>.</w:t>
      </w:r>
    </w:p>
    <w:p w:rsidR="00E97830" w:rsidRPr="00626FC3" w:rsidRDefault="00E97830" w:rsidP="00D25E6A">
      <w:pPr>
        <w:spacing w:line="480" w:lineRule="auto"/>
        <w:jc w:val="both"/>
        <w:rPr>
          <w:lang w:val="fr-CA"/>
        </w:rPr>
      </w:pPr>
    </w:p>
    <w:p w:rsidR="00E97830" w:rsidRPr="00626FC3" w:rsidRDefault="009B57B3" w:rsidP="00682E5C">
      <w:pPr>
        <w:jc w:val="both"/>
        <w:rPr>
          <w:lang w:val="fr-CA"/>
        </w:rPr>
      </w:pPr>
      <w:r w:rsidRPr="00626FC3">
        <w:rPr>
          <w:lang w:val="fr-CA"/>
        </w:rPr>
        <w:t>Pr</w:t>
      </w:r>
      <w:r w:rsidR="0043088E" w:rsidRPr="00626FC3">
        <w:rPr>
          <w:lang w:val="fr-CA"/>
        </w:rPr>
        <w:t>é</w:t>
      </w:r>
      <w:r w:rsidRPr="00626FC3">
        <w:rPr>
          <w:lang w:val="fr-CA"/>
        </w:rPr>
        <w:t>sent</w:t>
      </w:r>
      <w:r w:rsidR="008A6558" w:rsidRPr="00626FC3">
        <w:rPr>
          <w:lang w:val="fr-CA"/>
        </w:rPr>
        <w:t>s</w:t>
      </w:r>
      <w:r w:rsidR="00C67CA5" w:rsidRPr="00626FC3">
        <w:rPr>
          <w:lang w:val="fr-CA"/>
        </w:rPr>
        <w:t> </w:t>
      </w:r>
      <w:r w:rsidRPr="00626FC3">
        <w:rPr>
          <w:lang w:val="fr-CA"/>
        </w:rPr>
        <w:t>:</w:t>
      </w:r>
      <w:r w:rsidR="00C67CA5" w:rsidRPr="00626FC3">
        <w:rPr>
          <w:lang w:val="fr-CA"/>
        </w:rPr>
        <w:t> </w:t>
      </w:r>
      <w:r w:rsidR="00880F9B" w:rsidRPr="00626FC3">
        <w:rPr>
          <w:lang w:val="fr-CA"/>
        </w:rPr>
        <w:t xml:space="preserve">Les juges </w:t>
      </w:r>
      <w:proofErr w:type="spellStart"/>
      <w:r w:rsidRPr="00626FC3">
        <w:rPr>
          <w:lang w:val="fr-CA"/>
        </w:rPr>
        <w:t>Binnie</w:t>
      </w:r>
      <w:proofErr w:type="spellEnd"/>
      <w:r w:rsidRPr="00626FC3">
        <w:rPr>
          <w:lang w:val="fr-CA"/>
        </w:rPr>
        <w:t xml:space="preserve">, </w:t>
      </w:r>
      <w:proofErr w:type="spellStart"/>
      <w:r w:rsidRPr="00626FC3">
        <w:rPr>
          <w:lang w:val="fr-CA"/>
        </w:rPr>
        <w:t>LeBel</w:t>
      </w:r>
      <w:proofErr w:type="spellEnd"/>
      <w:r w:rsidRPr="00626FC3">
        <w:rPr>
          <w:lang w:val="fr-CA"/>
        </w:rPr>
        <w:t xml:space="preserve">, Deschamps, Abella, Charron, </w:t>
      </w:r>
      <w:proofErr w:type="spellStart"/>
      <w:r w:rsidRPr="00626FC3">
        <w:rPr>
          <w:lang w:val="fr-CA"/>
        </w:rPr>
        <w:t>Rothstein</w:t>
      </w:r>
      <w:proofErr w:type="spellEnd"/>
      <w:r w:rsidRPr="00626FC3">
        <w:rPr>
          <w:lang w:val="fr-CA"/>
        </w:rPr>
        <w:t xml:space="preserve"> et Cromwell.</w:t>
      </w:r>
    </w:p>
    <w:p w:rsidR="008759A3" w:rsidRPr="00626FC3" w:rsidRDefault="008759A3" w:rsidP="00C3516A">
      <w:pPr>
        <w:spacing w:line="480" w:lineRule="auto"/>
        <w:jc w:val="both"/>
        <w:rPr>
          <w:lang w:val="fr-CA"/>
        </w:rPr>
      </w:pPr>
    </w:p>
    <w:p w:rsidR="008322BD" w:rsidRPr="00626FC3" w:rsidRDefault="00AC7437" w:rsidP="00D25E6A">
      <w:pPr>
        <w:pStyle w:val="SCCLowerCourtNameLowercase"/>
        <w:rPr>
          <w:lang w:val="fr-CA"/>
        </w:rPr>
      </w:pPr>
      <w:r w:rsidRPr="00626FC3">
        <w:rPr>
          <w:lang w:val="fr-CA"/>
        </w:rPr>
        <w:t>e</w:t>
      </w:r>
      <w:r w:rsidR="00855307" w:rsidRPr="00626FC3">
        <w:rPr>
          <w:lang w:val="fr-CA"/>
        </w:rPr>
        <w:t>n</w:t>
      </w:r>
      <w:r w:rsidR="00224FC0" w:rsidRPr="00626FC3">
        <w:rPr>
          <w:lang w:val="fr-CA"/>
        </w:rPr>
        <w:t xml:space="preserve"> </w:t>
      </w:r>
      <w:r w:rsidR="00855307" w:rsidRPr="00626FC3">
        <w:rPr>
          <w:lang w:val="fr-CA"/>
        </w:rPr>
        <w:t>appel</w:t>
      </w:r>
      <w:r w:rsidR="00224FC0" w:rsidRPr="00626FC3">
        <w:rPr>
          <w:lang w:val="fr-CA"/>
        </w:rPr>
        <w:t xml:space="preserve"> </w:t>
      </w:r>
      <w:r w:rsidR="00855307" w:rsidRPr="00626FC3">
        <w:rPr>
          <w:lang w:val="fr-CA"/>
        </w:rPr>
        <w:t>de</w:t>
      </w:r>
      <w:r w:rsidR="0043088E" w:rsidRPr="00626FC3">
        <w:rPr>
          <w:lang w:val="fr-CA"/>
        </w:rPr>
        <w:t xml:space="preserve"> </w:t>
      </w:r>
      <w:r w:rsidR="00855307" w:rsidRPr="00626FC3">
        <w:rPr>
          <w:lang w:val="fr-CA"/>
        </w:rPr>
        <w:t>la</w:t>
      </w:r>
      <w:r w:rsidR="00224FC0" w:rsidRPr="00626FC3">
        <w:rPr>
          <w:lang w:val="fr-CA"/>
        </w:rPr>
        <w:t xml:space="preserve"> </w:t>
      </w:r>
      <w:r w:rsidR="009B57B3" w:rsidRPr="00626FC3">
        <w:rPr>
          <w:lang w:val="fr-CA"/>
        </w:rPr>
        <w:t>cour d’appel fédérale</w:t>
      </w:r>
    </w:p>
    <w:p w:rsidR="003A4C70" w:rsidRPr="00626FC3" w:rsidRDefault="003A4C70" w:rsidP="00682E5C">
      <w:pPr>
        <w:pStyle w:val="SCCNormalDoubleSpacing"/>
        <w:tabs>
          <w:tab w:val="left" w:pos="1170"/>
        </w:tabs>
        <w:rPr>
          <w:lang w:val="fr-CA"/>
        </w:rPr>
      </w:pPr>
    </w:p>
    <w:p w:rsidR="008322BD" w:rsidRPr="00626FC3" w:rsidRDefault="009B57B3" w:rsidP="00682E5C">
      <w:pPr>
        <w:pStyle w:val="SCCNormalDoubleSpacing"/>
        <w:tabs>
          <w:tab w:val="left" w:pos="1170"/>
        </w:tabs>
        <w:rPr>
          <w:lang w:val="fr-CA"/>
        </w:rPr>
      </w:pPr>
      <w:r w:rsidRPr="00626FC3">
        <w:rPr>
          <w:lang w:val="fr-CA"/>
        </w:rPr>
        <w:tab/>
      </w:r>
      <w:r w:rsidR="007A4BBF" w:rsidRPr="00626FC3">
        <w:rPr>
          <w:i/>
          <w:lang w:val="fr-CA"/>
        </w:rPr>
        <w:t xml:space="preserve">Tribunaux </w:t>
      </w:r>
      <w:r w:rsidR="00682E5C" w:rsidRPr="00626FC3">
        <w:rPr>
          <w:i/>
          <w:lang w:val="fr-CA"/>
        </w:rPr>
        <w:t>―</w:t>
      </w:r>
      <w:r w:rsidR="007A4BBF" w:rsidRPr="00626FC3">
        <w:rPr>
          <w:i/>
          <w:lang w:val="fr-CA"/>
        </w:rPr>
        <w:t xml:space="preserve"> Cour fédérale </w:t>
      </w:r>
      <w:r w:rsidR="00682E5C" w:rsidRPr="00626FC3">
        <w:rPr>
          <w:i/>
          <w:lang w:val="fr-CA"/>
        </w:rPr>
        <w:t>―</w:t>
      </w:r>
      <w:r w:rsidR="007A4BBF" w:rsidRPr="00626FC3">
        <w:rPr>
          <w:i/>
          <w:lang w:val="fr-CA"/>
        </w:rPr>
        <w:t xml:space="preserve"> Procédure </w:t>
      </w:r>
      <w:r w:rsidR="00682E5C" w:rsidRPr="00626FC3">
        <w:rPr>
          <w:i/>
          <w:lang w:val="fr-CA"/>
        </w:rPr>
        <w:t>―</w:t>
      </w:r>
      <w:r w:rsidR="007A4BBF" w:rsidRPr="00626FC3">
        <w:rPr>
          <w:i/>
          <w:lang w:val="fr-CA"/>
        </w:rPr>
        <w:t xml:space="preserve"> Action en dommages</w:t>
      </w:r>
      <w:r w:rsidR="00626FC3">
        <w:rPr>
          <w:i/>
          <w:lang w:val="fr-CA"/>
        </w:rPr>
        <w:t>-</w:t>
      </w:r>
      <w:r w:rsidR="007A4BBF" w:rsidRPr="00626FC3">
        <w:rPr>
          <w:i/>
          <w:lang w:val="fr-CA"/>
        </w:rPr>
        <w:t xml:space="preserve">intérêts intentée contre la Couronne fédérale devant la Cour fédérale pour plusieurs </w:t>
      </w:r>
      <w:r w:rsidR="007A4BBF" w:rsidRPr="00626FC3">
        <w:rPr>
          <w:i/>
          <w:lang w:val="fr-CA"/>
        </w:rPr>
        <w:lastRenderedPageBreak/>
        <w:t xml:space="preserve">délits découlant de décisions d’interdire la vente d’un médicament </w:t>
      </w:r>
      <w:r w:rsidR="00682E5C" w:rsidRPr="00626FC3">
        <w:rPr>
          <w:i/>
          <w:lang w:val="fr-CA"/>
        </w:rPr>
        <w:t>―</w:t>
      </w:r>
      <w:r w:rsidR="007A4BBF" w:rsidRPr="00626FC3">
        <w:rPr>
          <w:i/>
          <w:lang w:val="fr-CA"/>
        </w:rPr>
        <w:t xml:space="preserve"> Demanderesse </w:t>
      </w:r>
      <w:r w:rsidR="002F059B" w:rsidRPr="00626FC3">
        <w:rPr>
          <w:i/>
          <w:lang w:val="fr-CA"/>
        </w:rPr>
        <w:t xml:space="preserve">ne </w:t>
      </w:r>
      <w:r w:rsidR="00C637AA" w:rsidRPr="00626FC3">
        <w:rPr>
          <w:i/>
          <w:lang w:val="fr-CA"/>
        </w:rPr>
        <w:t>demand</w:t>
      </w:r>
      <w:r w:rsidR="002F059B" w:rsidRPr="00626FC3">
        <w:rPr>
          <w:i/>
          <w:lang w:val="fr-CA"/>
        </w:rPr>
        <w:t>ant</w:t>
      </w:r>
      <w:r w:rsidR="007A4BBF" w:rsidRPr="00626FC3">
        <w:rPr>
          <w:i/>
          <w:lang w:val="fr-CA"/>
        </w:rPr>
        <w:t xml:space="preserve"> pas le contrôle judiciaire des décisions </w:t>
      </w:r>
      <w:r w:rsidR="00682E5C" w:rsidRPr="00626FC3">
        <w:rPr>
          <w:i/>
          <w:lang w:val="fr-CA"/>
        </w:rPr>
        <w:t>―</w:t>
      </w:r>
      <w:r w:rsidR="007A4BBF" w:rsidRPr="00626FC3">
        <w:rPr>
          <w:i/>
          <w:lang w:val="fr-CA"/>
        </w:rPr>
        <w:t xml:space="preserve"> </w:t>
      </w:r>
      <w:r w:rsidR="00C60F5A" w:rsidRPr="00626FC3">
        <w:rPr>
          <w:i/>
          <w:lang w:val="fr-CA"/>
        </w:rPr>
        <w:t>La demanderesse peut</w:t>
      </w:r>
      <w:r w:rsidR="00626FC3">
        <w:rPr>
          <w:i/>
          <w:lang w:val="fr-CA"/>
        </w:rPr>
        <w:t>-</w:t>
      </w:r>
      <w:r w:rsidR="00C60F5A" w:rsidRPr="00626FC3">
        <w:rPr>
          <w:i/>
          <w:lang w:val="fr-CA"/>
        </w:rPr>
        <w:t>elle engager une action en dommages</w:t>
      </w:r>
      <w:r w:rsidR="00626FC3">
        <w:rPr>
          <w:i/>
          <w:lang w:val="fr-CA"/>
        </w:rPr>
        <w:t>-</w:t>
      </w:r>
      <w:r w:rsidR="00C60F5A" w:rsidRPr="00626FC3">
        <w:rPr>
          <w:i/>
          <w:lang w:val="fr-CA"/>
        </w:rPr>
        <w:t>intérêts sans procéder d’abord par voie de contrôle judiciaire?</w:t>
      </w:r>
      <w:r w:rsidR="007A4BBF" w:rsidRPr="00626FC3">
        <w:rPr>
          <w:i/>
          <w:lang w:val="fr-CA"/>
        </w:rPr>
        <w:t xml:space="preserve"> </w:t>
      </w:r>
      <w:r w:rsidR="00682E5C" w:rsidRPr="00626FC3">
        <w:rPr>
          <w:i/>
          <w:lang w:val="fr-CA"/>
        </w:rPr>
        <w:t>―</w:t>
      </w:r>
      <w:r w:rsidR="007A4BBF" w:rsidRPr="00626FC3">
        <w:rPr>
          <w:i/>
          <w:lang w:val="fr-CA"/>
        </w:rPr>
        <w:t xml:space="preserve"> </w:t>
      </w:r>
      <w:r w:rsidR="00C60F5A" w:rsidRPr="00626FC3">
        <w:rPr>
          <w:i/>
          <w:lang w:val="fr-CA"/>
        </w:rPr>
        <w:t>Loi sur les Cours fédérales</w:t>
      </w:r>
      <w:r w:rsidR="007A4BBF" w:rsidRPr="00626FC3">
        <w:rPr>
          <w:i/>
          <w:lang w:val="fr-CA"/>
        </w:rPr>
        <w:t>,</w:t>
      </w:r>
      <w:r w:rsidR="00C60F5A" w:rsidRPr="00626FC3">
        <w:rPr>
          <w:i/>
          <w:lang w:val="fr-CA"/>
        </w:rPr>
        <w:t xml:space="preserve"> L.R.C. </w:t>
      </w:r>
      <w:r w:rsidR="007A4BBF" w:rsidRPr="00626FC3">
        <w:rPr>
          <w:i/>
          <w:lang w:val="fr-CA"/>
        </w:rPr>
        <w:t>1985, c</w:t>
      </w:r>
      <w:r w:rsidR="00C60F5A" w:rsidRPr="00626FC3">
        <w:rPr>
          <w:i/>
          <w:lang w:val="fr-CA"/>
        </w:rPr>
        <w:t>h</w:t>
      </w:r>
      <w:r w:rsidR="00682E5C" w:rsidRPr="00626FC3">
        <w:rPr>
          <w:i/>
          <w:lang w:val="fr-CA"/>
        </w:rPr>
        <w:t>.</w:t>
      </w:r>
      <w:r w:rsidR="00626FC3">
        <w:rPr>
          <w:i/>
          <w:lang w:val="fr-CA"/>
        </w:rPr>
        <w:t xml:space="preserve"> </w:t>
      </w:r>
      <w:r w:rsidR="007A4BBF" w:rsidRPr="00626FC3">
        <w:rPr>
          <w:i/>
          <w:lang w:val="fr-CA"/>
        </w:rPr>
        <w:t>F</w:t>
      </w:r>
      <w:r w:rsidR="00D13D35" w:rsidRPr="00626FC3">
        <w:rPr>
          <w:i/>
          <w:lang w:val="fr-CA"/>
        </w:rPr>
        <w:noBreakHyphen/>
      </w:r>
      <w:r w:rsidR="007A4BBF" w:rsidRPr="00626FC3">
        <w:rPr>
          <w:i/>
          <w:lang w:val="fr-CA"/>
        </w:rPr>
        <w:t xml:space="preserve">7, </w:t>
      </w:r>
      <w:r w:rsidR="00C60F5A" w:rsidRPr="00626FC3">
        <w:rPr>
          <w:i/>
          <w:lang w:val="fr-CA"/>
        </w:rPr>
        <w:t>art</w:t>
      </w:r>
      <w:r w:rsidR="00682E5C" w:rsidRPr="00626FC3">
        <w:rPr>
          <w:i/>
          <w:lang w:val="fr-CA"/>
        </w:rPr>
        <w:t>.</w:t>
      </w:r>
      <w:r w:rsidR="00626FC3">
        <w:rPr>
          <w:i/>
          <w:lang w:val="fr-CA"/>
        </w:rPr>
        <w:t xml:space="preserve"> </w:t>
      </w:r>
      <w:r w:rsidR="007A4BBF" w:rsidRPr="00626FC3">
        <w:rPr>
          <w:i/>
          <w:lang w:val="fr-CA"/>
        </w:rPr>
        <w:t>17</w:t>
      </w:r>
      <w:r w:rsidR="00626FC3">
        <w:rPr>
          <w:i/>
          <w:lang w:val="fr-CA"/>
        </w:rPr>
        <w:t>,</w:t>
      </w:r>
      <w:r w:rsidR="007A4BBF" w:rsidRPr="00626FC3">
        <w:rPr>
          <w:i/>
          <w:lang w:val="fr-CA"/>
        </w:rPr>
        <w:t xml:space="preserve"> 18.</w:t>
      </w:r>
    </w:p>
    <w:p w:rsidR="007834A8" w:rsidRPr="00626FC3" w:rsidRDefault="007834A8" w:rsidP="00682E5C">
      <w:pPr>
        <w:pStyle w:val="SCCNormalDoubleSpacing"/>
        <w:tabs>
          <w:tab w:val="left" w:pos="1170"/>
        </w:tabs>
        <w:rPr>
          <w:lang w:val="fr-CA"/>
        </w:rPr>
      </w:pPr>
    </w:p>
    <w:p w:rsidR="003656B3" w:rsidRPr="003C399D" w:rsidRDefault="009B57B3" w:rsidP="00682E5C">
      <w:pPr>
        <w:pStyle w:val="SCCNormalDoubleSpacing"/>
        <w:tabs>
          <w:tab w:val="left" w:pos="1170"/>
        </w:tabs>
        <w:rPr>
          <w:lang w:val="fr-FR"/>
        </w:rPr>
      </w:pPr>
      <w:r w:rsidRPr="00626FC3">
        <w:rPr>
          <w:lang w:val="fr-CA"/>
        </w:rPr>
        <w:tab/>
      </w:r>
      <w:r w:rsidR="003656B3" w:rsidRPr="00F75CF7">
        <w:rPr>
          <w:lang w:val="fr-FR"/>
        </w:rPr>
        <w:t xml:space="preserve">En 1997, Santé </w:t>
      </w:r>
      <w:r w:rsidR="002F059B">
        <w:rPr>
          <w:lang w:val="fr-FR"/>
        </w:rPr>
        <w:t>Canada a refusé à N</w:t>
      </w:r>
      <w:r w:rsidR="003656B3" w:rsidRPr="00F75CF7">
        <w:rPr>
          <w:lang w:val="fr-FR"/>
        </w:rPr>
        <w:t xml:space="preserve"> </w:t>
      </w:r>
      <w:r w:rsidR="00F75CF7" w:rsidRPr="00F75CF7">
        <w:rPr>
          <w:lang w:val="fr-FR"/>
        </w:rPr>
        <w:t xml:space="preserve">l’autorisation de vendre son médicament, le </w:t>
      </w:r>
      <w:r w:rsidR="003656B3" w:rsidRPr="00F75CF7">
        <w:rPr>
          <w:lang w:val="fr-FR"/>
        </w:rPr>
        <w:t>Nu</w:t>
      </w:r>
      <w:r w:rsidR="00626FC3">
        <w:rPr>
          <w:lang w:val="fr-FR"/>
        </w:rPr>
        <w:t>-</w:t>
      </w:r>
      <w:proofErr w:type="spellStart"/>
      <w:r w:rsidR="003656B3" w:rsidRPr="00F75CF7">
        <w:rPr>
          <w:lang w:val="fr-FR"/>
        </w:rPr>
        <w:t>Enalapril</w:t>
      </w:r>
      <w:proofErr w:type="spellEnd"/>
      <w:r w:rsidR="00F75CF7">
        <w:rPr>
          <w:lang w:val="fr-FR"/>
        </w:rPr>
        <w:t xml:space="preserve">, au </w:t>
      </w:r>
      <w:r w:rsidR="003656B3" w:rsidRPr="00F75CF7">
        <w:rPr>
          <w:lang w:val="fr-FR"/>
        </w:rPr>
        <w:t xml:space="preserve">Canada. </w:t>
      </w:r>
      <w:r w:rsidR="002F059B">
        <w:rPr>
          <w:lang w:val="fr-FR"/>
        </w:rPr>
        <w:t xml:space="preserve"> Cette</w:t>
      </w:r>
      <w:r w:rsidR="00E52565" w:rsidRPr="00E52565">
        <w:rPr>
          <w:lang w:val="fr-FR"/>
        </w:rPr>
        <w:t xml:space="preserve"> décision a été annulée à l’issue d’une p</w:t>
      </w:r>
      <w:r w:rsidR="00B13E07">
        <w:rPr>
          <w:lang w:val="fr-FR"/>
        </w:rPr>
        <w:t>rocédure de contrôle judiciaire</w:t>
      </w:r>
      <w:r w:rsidR="00E52565" w:rsidRPr="00E52565">
        <w:rPr>
          <w:lang w:val="fr-FR"/>
        </w:rPr>
        <w:t xml:space="preserve"> e</w:t>
      </w:r>
      <w:r w:rsidR="00E52565">
        <w:rPr>
          <w:lang w:val="fr-FR"/>
        </w:rPr>
        <w:t xml:space="preserve">t Santé </w:t>
      </w:r>
      <w:r w:rsidR="003656B3" w:rsidRPr="00E52565">
        <w:rPr>
          <w:lang w:val="fr-FR"/>
        </w:rPr>
        <w:t xml:space="preserve">Canada </w:t>
      </w:r>
      <w:r w:rsidR="00E52565">
        <w:rPr>
          <w:lang w:val="fr-FR"/>
        </w:rPr>
        <w:t>a délivré</w:t>
      </w:r>
      <w:r w:rsidR="003656B3" w:rsidRPr="00E52565">
        <w:rPr>
          <w:lang w:val="fr-FR"/>
        </w:rPr>
        <w:t xml:space="preserve"> </w:t>
      </w:r>
      <w:r w:rsidR="00E52565">
        <w:rPr>
          <w:lang w:val="fr-FR"/>
        </w:rPr>
        <w:t>un avis de conformité</w:t>
      </w:r>
      <w:r w:rsidR="003656B3" w:rsidRPr="00E52565">
        <w:rPr>
          <w:lang w:val="fr-FR"/>
        </w:rPr>
        <w:t>,</w:t>
      </w:r>
      <w:r w:rsidR="00E52565">
        <w:rPr>
          <w:lang w:val="fr-FR"/>
        </w:rPr>
        <w:t xml:space="preserve"> mais cette décision a </w:t>
      </w:r>
      <w:r w:rsidR="00453C3A">
        <w:rPr>
          <w:lang w:val="fr-FR"/>
        </w:rPr>
        <w:t>elle aussi été annulée</w:t>
      </w:r>
      <w:r w:rsidR="00F57BD8">
        <w:rPr>
          <w:lang w:val="fr-FR"/>
        </w:rPr>
        <w:t xml:space="preserve"> à la suite d’un</w:t>
      </w:r>
      <w:r w:rsidR="00453C3A">
        <w:rPr>
          <w:lang w:val="fr-FR"/>
        </w:rPr>
        <w:t>e demande de</w:t>
      </w:r>
      <w:r w:rsidR="008B224D">
        <w:rPr>
          <w:lang w:val="fr-FR"/>
        </w:rPr>
        <w:t xml:space="preserve"> </w:t>
      </w:r>
      <w:r w:rsidR="00F57BD8">
        <w:rPr>
          <w:lang w:val="fr-FR"/>
        </w:rPr>
        <w:t xml:space="preserve">contrôle judiciaire. </w:t>
      </w:r>
      <w:r w:rsidR="003656B3" w:rsidRPr="00F57BD8">
        <w:rPr>
          <w:lang w:val="fr-FR"/>
        </w:rPr>
        <w:t xml:space="preserve"> </w:t>
      </w:r>
      <w:r w:rsidR="00F57BD8" w:rsidRPr="00F57BD8">
        <w:rPr>
          <w:lang w:val="fr-FR"/>
        </w:rPr>
        <w:t xml:space="preserve">N ne pouvait donc plus vendre et </w:t>
      </w:r>
      <w:r w:rsidR="00453C3A">
        <w:rPr>
          <w:lang w:val="fr-FR"/>
        </w:rPr>
        <w:t>commercialiser</w:t>
      </w:r>
      <w:r w:rsidR="00F57BD8">
        <w:rPr>
          <w:lang w:val="fr-FR"/>
        </w:rPr>
        <w:t xml:space="preserve"> le médicament</w:t>
      </w:r>
      <w:r w:rsidR="003656B3" w:rsidRPr="00F57BD8">
        <w:rPr>
          <w:lang w:val="fr-FR"/>
        </w:rPr>
        <w:t xml:space="preserve">. </w:t>
      </w:r>
      <w:r w:rsidR="00F57BD8" w:rsidRPr="00F57BD8">
        <w:rPr>
          <w:lang w:val="fr-FR"/>
        </w:rPr>
        <w:t xml:space="preserve"> E</w:t>
      </w:r>
      <w:r w:rsidR="003656B3" w:rsidRPr="00F57BD8">
        <w:rPr>
          <w:lang w:val="fr-FR"/>
        </w:rPr>
        <w:t xml:space="preserve">n 2001, N </w:t>
      </w:r>
      <w:r w:rsidR="00F57BD8" w:rsidRPr="00626FC3">
        <w:rPr>
          <w:lang w:val="fr-CA"/>
        </w:rPr>
        <w:t xml:space="preserve">a introduit une demande de contrôle judiciaire, alléguant que Santé Canada agissait illégalement en l’obligeant à obtenir un avis de conformité et en interdisant la vente du médicament, mais elle </w:t>
      </w:r>
      <w:r w:rsidR="00F57BD8" w:rsidRPr="00F57BD8">
        <w:rPr>
          <w:lang w:val="fr-FR"/>
        </w:rPr>
        <w:t>s’est plus tard désistée de cette demande.</w:t>
      </w:r>
      <w:r w:rsidR="00F57BD8">
        <w:rPr>
          <w:lang w:val="fr-FR"/>
        </w:rPr>
        <w:t xml:space="preserve"> </w:t>
      </w:r>
      <w:r w:rsidR="003633F7" w:rsidRPr="003633F7">
        <w:rPr>
          <w:lang w:val="fr-FR"/>
        </w:rPr>
        <w:t xml:space="preserve"> En 2002, N a déposé une déclaration à la Cour fédérale contre la Couronne, sollicitant une</w:t>
      </w:r>
      <w:r w:rsidR="00453C3A">
        <w:rPr>
          <w:lang w:val="fr-FR"/>
        </w:rPr>
        <w:t xml:space="preserve"> </w:t>
      </w:r>
      <w:r w:rsidR="003633F7" w:rsidRPr="003633F7">
        <w:rPr>
          <w:lang w:val="fr-FR"/>
        </w:rPr>
        <w:t>injo</w:t>
      </w:r>
      <w:r w:rsidR="003633F7">
        <w:rPr>
          <w:lang w:val="fr-FR"/>
        </w:rPr>
        <w:t>nction</w:t>
      </w:r>
      <w:r w:rsidR="00453C3A">
        <w:rPr>
          <w:lang w:val="fr-FR"/>
        </w:rPr>
        <w:t>, une ordonnance de faire</w:t>
      </w:r>
      <w:r w:rsidR="00B8228D">
        <w:rPr>
          <w:lang w:val="fr-FR"/>
        </w:rPr>
        <w:t xml:space="preserve"> et des dommages</w:t>
      </w:r>
      <w:r w:rsidR="00626FC3">
        <w:rPr>
          <w:lang w:val="fr-FR"/>
        </w:rPr>
        <w:t>-</w:t>
      </w:r>
      <w:r w:rsidR="00B8228D">
        <w:rPr>
          <w:lang w:val="fr-FR"/>
        </w:rPr>
        <w:t xml:space="preserve">intérêts </w:t>
      </w:r>
      <w:r w:rsidR="003C399D">
        <w:rPr>
          <w:lang w:val="fr-FR"/>
        </w:rPr>
        <w:t xml:space="preserve">pour différents délits. </w:t>
      </w:r>
      <w:r w:rsidR="003656B3" w:rsidRPr="003C399D">
        <w:rPr>
          <w:lang w:val="fr-FR"/>
        </w:rPr>
        <w:t xml:space="preserve"> </w:t>
      </w:r>
      <w:r w:rsidR="003C399D" w:rsidRPr="003C399D">
        <w:rPr>
          <w:lang w:val="fr-FR"/>
        </w:rPr>
        <w:t>La Couronne a déposé avec succès une requête en jugement sommaire rejetant l’action</w:t>
      </w:r>
      <w:r w:rsidR="003656B3" w:rsidRPr="003C399D">
        <w:rPr>
          <w:lang w:val="fr-FR"/>
        </w:rPr>
        <w:t xml:space="preserve"> </w:t>
      </w:r>
      <w:r w:rsidR="003C399D" w:rsidRPr="003C399D">
        <w:rPr>
          <w:lang w:val="fr-FR"/>
        </w:rPr>
        <w:t>au motif que</w:t>
      </w:r>
      <w:r w:rsidR="003656B3" w:rsidRPr="003C399D">
        <w:rPr>
          <w:lang w:val="fr-FR"/>
        </w:rPr>
        <w:t xml:space="preserve">, </w:t>
      </w:r>
      <w:r w:rsidR="004E3BEB">
        <w:rPr>
          <w:lang w:val="fr-FR"/>
        </w:rPr>
        <w:t>compte tenu de</w:t>
      </w:r>
      <w:r w:rsidR="004E3BEB" w:rsidRPr="00626FC3">
        <w:rPr>
          <w:szCs w:val="24"/>
          <w:lang w:val="fr-CA"/>
        </w:rPr>
        <w:t xml:space="preserve"> l’arrêt</w:t>
      </w:r>
      <w:r w:rsidR="004E3BEB" w:rsidRPr="003C399D">
        <w:rPr>
          <w:lang w:val="fr-FR"/>
        </w:rPr>
        <w:t xml:space="preserve"> </w:t>
      </w:r>
      <w:r w:rsidR="004E3BEB" w:rsidRPr="003C399D">
        <w:rPr>
          <w:i/>
          <w:lang w:val="fr-FR"/>
        </w:rPr>
        <w:t>Canada c. Grenier</w:t>
      </w:r>
      <w:r w:rsidR="004E3BEB" w:rsidRPr="003C399D">
        <w:rPr>
          <w:lang w:val="fr-FR"/>
        </w:rPr>
        <w:t>, 2005 CAF 348, [2006] 2 R.C.F. 287</w:t>
      </w:r>
      <w:r w:rsidR="004E3BEB">
        <w:rPr>
          <w:lang w:val="fr-FR"/>
        </w:rPr>
        <w:t xml:space="preserve">, </w:t>
      </w:r>
      <w:r w:rsidR="00626FC3">
        <w:rPr>
          <w:szCs w:val="24"/>
          <w:lang w:val="fr-CA"/>
        </w:rPr>
        <w:t xml:space="preserve">la Cour </w:t>
      </w:r>
      <w:r w:rsidR="004E3BEB" w:rsidRPr="00626FC3">
        <w:rPr>
          <w:szCs w:val="24"/>
          <w:lang w:val="fr-CA"/>
        </w:rPr>
        <w:t>fédérale n’était pas compétente pour connaître de l’affaire sans que</w:t>
      </w:r>
      <w:r w:rsidR="004E3BEB" w:rsidRPr="003C399D">
        <w:rPr>
          <w:lang w:val="fr-FR"/>
        </w:rPr>
        <w:t xml:space="preserve"> </w:t>
      </w:r>
      <w:r w:rsidR="004E3BEB">
        <w:rPr>
          <w:lang w:val="fr-FR"/>
        </w:rPr>
        <w:t>les décisions de Santé Canada soient annulées au préalable par voie de contrôle judiciaire.</w:t>
      </w:r>
    </w:p>
    <w:p w:rsidR="003656B3" w:rsidRPr="003C399D" w:rsidRDefault="003656B3" w:rsidP="00682E5C">
      <w:pPr>
        <w:pStyle w:val="SCCNormalDoubleSpacing"/>
        <w:tabs>
          <w:tab w:val="left" w:pos="1170"/>
        </w:tabs>
        <w:rPr>
          <w:lang w:val="fr-FR"/>
        </w:rPr>
      </w:pPr>
    </w:p>
    <w:p w:rsidR="003656B3" w:rsidRPr="003656B3" w:rsidRDefault="003656B3" w:rsidP="00682E5C">
      <w:pPr>
        <w:pStyle w:val="SCCNormalDoubleSpacing"/>
        <w:tabs>
          <w:tab w:val="left" w:pos="1170"/>
        </w:tabs>
        <w:rPr>
          <w:lang w:val="fr-FR"/>
        </w:rPr>
      </w:pPr>
      <w:r w:rsidRPr="003C399D">
        <w:rPr>
          <w:lang w:val="fr-FR"/>
        </w:rPr>
        <w:tab/>
      </w:r>
      <w:r w:rsidR="00133F57">
        <w:rPr>
          <w:i/>
          <w:lang w:val="fr-FR"/>
        </w:rPr>
        <w:t>Arrêt </w:t>
      </w:r>
      <w:r w:rsidRPr="003656B3">
        <w:rPr>
          <w:rStyle w:val="QuoteChar"/>
          <w:i w:val="0"/>
          <w:color w:val="auto"/>
          <w:lang w:val="fr-FR"/>
        </w:rPr>
        <w:t>:</w:t>
      </w:r>
      <w:r w:rsidRPr="003656B3">
        <w:rPr>
          <w:lang w:val="fr-FR"/>
        </w:rPr>
        <w:t xml:space="preserve"> Le pourvoi est accueilli.</w:t>
      </w:r>
    </w:p>
    <w:p w:rsidR="007834A8" w:rsidRPr="00626FC3" w:rsidRDefault="007834A8" w:rsidP="00682E5C">
      <w:pPr>
        <w:pStyle w:val="SCCNormalDoubleSpacing"/>
        <w:tabs>
          <w:tab w:val="left" w:pos="1170"/>
        </w:tabs>
        <w:rPr>
          <w:lang w:val="fr-CA"/>
        </w:rPr>
      </w:pPr>
    </w:p>
    <w:p w:rsidR="006C5661" w:rsidRPr="00BC4B41" w:rsidRDefault="009B57B3" w:rsidP="00682E5C">
      <w:pPr>
        <w:pStyle w:val="SCCNormalDoubleSpacing"/>
        <w:tabs>
          <w:tab w:val="left" w:pos="1170"/>
        </w:tabs>
        <w:rPr>
          <w:lang w:val="fr-FR"/>
        </w:rPr>
      </w:pPr>
      <w:r w:rsidRPr="00626FC3">
        <w:rPr>
          <w:lang w:val="fr-CA"/>
        </w:rPr>
        <w:lastRenderedPageBreak/>
        <w:tab/>
      </w:r>
      <w:r w:rsidR="00F7714A" w:rsidRPr="00626FC3">
        <w:rPr>
          <w:lang w:val="fr-CA"/>
        </w:rPr>
        <w:t xml:space="preserve">Pour les motifs </w:t>
      </w:r>
      <w:r w:rsidR="00A01D58" w:rsidRPr="00626FC3">
        <w:rPr>
          <w:lang w:val="fr-CA"/>
        </w:rPr>
        <w:t xml:space="preserve">fournis dans </w:t>
      </w:r>
      <w:r w:rsidR="00A01D58" w:rsidRPr="00626FC3">
        <w:rPr>
          <w:i/>
          <w:lang w:val="fr-CA"/>
        </w:rPr>
        <w:t xml:space="preserve">Canada (Procureur général) c. </w:t>
      </w:r>
      <w:proofErr w:type="spellStart"/>
      <w:r w:rsidR="00A01D58" w:rsidRPr="00626FC3">
        <w:rPr>
          <w:i/>
          <w:lang w:val="fr-CA"/>
        </w:rPr>
        <w:t>TeleZone</w:t>
      </w:r>
      <w:proofErr w:type="spellEnd"/>
      <w:r w:rsidR="00626FC3">
        <w:rPr>
          <w:i/>
          <w:lang w:val="fr-CA"/>
        </w:rPr>
        <w:t xml:space="preserve"> Inc.</w:t>
      </w:r>
      <w:r w:rsidR="00A01D58" w:rsidRPr="00626FC3">
        <w:rPr>
          <w:lang w:val="fr-CA"/>
        </w:rPr>
        <w:t xml:space="preserve">, 2010 CSC </w:t>
      </w:r>
      <w:r w:rsidR="004E3BEB" w:rsidRPr="00626FC3">
        <w:rPr>
          <w:lang w:val="fr-CA"/>
        </w:rPr>
        <w:t>62</w:t>
      </w:r>
      <w:r w:rsidR="00A01D58" w:rsidRPr="00626FC3">
        <w:rPr>
          <w:lang w:val="fr-CA"/>
        </w:rPr>
        <w:t>,</w:t>
      </w:r>
      <w:r w:rsidR="00FC3CD0">
        <w:rPr>
          <w:lang w:val="fr-CA"/>
        </w:rPr>
        <w:t xml:space="preserve"> [2010] 3 R.C.S. 585</w:t>
      </w:r>
      <w:r w:rsidR="00626FC3">
        <w:rPr>
          <w:lang w:val="fr-CA"/>
        </w:rPr>
        <w:t>,</w:t>
      </w:r>
      <w:r w:rsidR="00A01D58" w:rsidRPr="00626FC3">
        <w:rPr>
          <w:lang w:val="fr-CA"/>
        </w:rPr>
        <w:t xml:space="preserve"> la Cour fédérale aurait dû statuer sur l’action en dommages</w:t>
      </w:r>
      <w:r w:rsidR="00626FC3">
        <w:rPr>
          <w:lang w:val="fr-CA"/>
        </w:rPr>
        <w:t>-</w:t>
      </w:r>
      <w:r w:rsidR="00A01D58" w:rsidRPr="00626FC3">
        <w:rPr>
          <w:lang w:val="fr-CA"/>
        </w:rPr>
        <w:t xml:space="preserve">intérêts de N, sans exiger que cette dernière ait d’abord gain de cause en contrôle judiciaire. </w:t>
      </w:r>
      <w:r w:rsidR="00F4222A">
        <w:rPr>
          <w:szCs w:val="24"/>
        </w:rPr>
        <w:fldChar w:fldCharType="begin"/>
      </w:r>
      <w:r w:rsidR="00F7714A" w:rsidRPr="00626FC3">
        <w:rPr>
          <w:szCs w:val="24"/>
          <w:lang w:val="fr-CA"/>
        </w:rPr>
        <w:instrText xml:space="preserve"> SEQ CHAPTER \h \r 1</w:instrText>
      </w:r>
      <w:r w:rsidR="00F4222A">
        <w:rPr>
          <w:szCs w:val="24"/>
        </w:rPr>
        <w:fldChar w:fldCharType="end"/>
      </w:r>
      <w:r w:rsidR="00F7714A" w:rsidRPr="007675AA">
        <w:rPr>
          <w:szCs w:val="24"/>
          <w:lang w:val="fr-FR"/>
        </w:rPr>
        <w:t xml:space="preserve"> </w:t>
      </w:r>
      <w:r w:rsidR="00626FC3">
        <w:rPr>
          <w:lang w:val="fr-CA"/>
        </w:rPr>
        <w:t xml:space="preserve">L’article </w:t>
      </w:r>
      <w:r w:rsidR="007675AA" w:rsidRPr="00626FC3">
        <w:rPr>
          <w:lang w:val="fr-CA"/>
        </w:rPr>
        <w:t xml:space="preserve">17 de la </w:t>
      </w:r>
      <w:r w:rsidR="007675AA" w:rsidRPr="00626FC3">
        <w:rPr>
          <w:i/>
          <w:lang w:val="fr-CA"/>
        </w:rPr>
        <w:t xml:space="preserve">Loi sur les Cours fédérales </w:t>
      </w:r>
      <w:r w:rsidR="007675AA" w:rsidRPr="00626FC3">
        <w:rPr>
          <w:lang w:val="fr-CA"/>
        </w:rPr>
        <w:t>confère à la Cour fédérale compétence concurrente dans les cas de demande de réparation contre la Couronne</w:t>
      </w:r>
      <w:r w:rsidR="009370C1" w:rsidRPr="00626FC3">
        <w:rPr>
          <w:lang w:val="fr-CA"/>
        </w:rPr>
        <w:t>.</w:t>
      </w:r>
      <w:r w:rsidR="007675AA" w:rsidRPr="007675AA">
        <w:rPr>
          <w:szCs w:val="24"/>
          <w:lang w:val="fr-FR"/>
        </w:rPr>
        <w:t xml:space="preserve"> </w:t>
      </w:r>
      <w:r w:rsidR="004E3BEB">
        <w:rPr>
          <w:szCs w:val="24"/>
          <w:lang w:val="fr-FR"/>
        </w:rPr>
        <w:t xml:space="preserve"> </w:t>
      </w:r>
      <w:r w:rsidR="00C3516A" w:rsidRPr="00626FC3">
        <w:rPr>
          <w:lang w:val="fr-CA"/>
        </w:rPr>
        <w:t>L’</w:t>
      </w:r>
      <w:r w:rsidR="00682E5C" w:rsidRPr="00626FC3">
        <w:rPr>
          <w:lang w:val="fr-CA"/>
        </w:rPr>
        <w:t>article</w:t>
      </w:r>
      <w:r w:rsidR="00626FC3">
        <w:rPr>
          <w:lang w:val="fr-CA"/>
        </w:rPr>
        <w:t xml:space="preserve"> </w:t>
      </w:r>
      <w:r w:rsidR="00BC4B41" w:rsidRPr="00626FC3">
        <w:rPr>
          <w:lang w:val="fr-CA"/>
        </w:rPr>
        <w:t xml:space="preserve">18 de la Loi n’amoindrit pas cette compétence concurrente. </w:t>
      </w:r>
      <w:r w:rsidR="00F7714A" w:rsidRPr="00BC4B41">
        <w:rPr>
          <w:szCs w:val="24"/>
          <w:lang w:val="fr-FR"/>
        </w:rPr>
        <w:t xml:space="preserve"> </w:t>
      </w:r>
      <w:r w:rsidR="00C3516A" w:rsidRPr="00626FC3">
        <w:rPr>
          <w:lang w:val="fr-CA"/>
        </w:rPr>
        <w:t>Ni l’</w:t>
      </w:r>
      <w:r w:rsidR="00DC6EBA">
        <w:rPr>
          <w:lang w:val="fr-CA"/>
        </w:rPr>
        <w:t>article</w:t>
      </w:r>
      <w:r w:rsidR="00626FC3">
        <w:rPr>
          <w:lang w:val="fr-CA"/>
        </w:rPr>
        <w:t xml:space="preserve"> </w:t>
      </w:r>
      <w:r w:rsidR="00682E5C" w:rsidRPr="00626FC3">
        <w:rPr>
          <w:lang w:val="fr-CA"/>
        </w:rPr>
        <w:t>17, ni l</w:t>
      </w:r>
      <w:r w:rsidR="00626FC3">
        <w:rPr>
          <w:lang w:val="fr-CA"/>
        </w:rPr>
        <w:t>’</w:t>
      </w:r>
      <w:r w:rsidR="00682E5C" w:rsidRPr="00626FC3">
        <w:rPr>
          <w:lang w:val="fr-CA"/>
        </w:rPr>
        <w:t>art.</w:t>
      </w:r>
      <w:r w:rsidR="00626FC3">
        <w:rPr>
          <w:lang w:val="fr-CA"/>
        </w:rPr>
        <w:t xml:space="preserve"> </w:t>
      </w:r>
      <w:r w:rsidR="00FE294A">
        <w:rPr>
          <w:lang w:val="fr-CA"/>
        </w:rPr>
        <w:t>18 n’</w:t>
      </w:r>
      <w:r w:rsidR="00BC4B41" w:rsidRPr="00626FC3">
        <w:rPr>
          <w:lang w:val="fr-CA"/>
        </w:rPr>
        <w:t xml:space="preserve">exigent que le demandeur ait gain de cause en contrôle judiciaire avant de pouvoir intenter </w:t>
      </w:r>
      <w:r w:rsidR="008B224D" w:rsidRPr="00626FC3">
        <w:rPr>
          <w:lang w:val="fr-CA"/>
        </w:rPr>
        <w:t>une</w:t>
      </w:r>
      <w:r w:rsidR="00BC4B41" w:rsidRPr="00626FC3">
        <w:rPr>
          <w:lang w:val="fr-CA"/>
        </w:rPr>
        <w:t xml:space="preserve"> action en dommages</w:t>
      </w:r>
      <w:r w:rsidR="00626FC3">
        <w:rPr>
          <w:lang w:val="fr-CA"/>
        </w:rPr>
        <w:t>-</w:t>
      </w:r>
      <w:r w:rsidR="00BC4B41" w:rsidRPr="00626FC3">
        <w:rPr>
          <w:lang w:val="fr-CA"/>
        </w:rPr>
        <w:t xml:space="preserve">intérêts contre la Couronne. </w:t>
      </w:r>
      <w:r w:rsidR="00F4222A">
        <w:rPr>
          <w:szCs w:val="24"/>
        </w:rPr>
        <w:fldChar w:fldCharType="begin"/>
      </w:r>
      <w:r w:rsidR="00F7714A" w:rsidRPr="00BC4B41">
        <w:rPr>
          <w:szCs w:val="24"/>
          <w:lang w:val="fr-FR"/>
        </w:rPr>
        <w:instrText xml:space="preserve"> SEQ CHAPTER \h \r 1</w:instrText>
      </w:r>
      <w:r w:rsidR="00F4222A">
        <w:rPr>
          <w:szCs w:val="24"/>
        </w:rPr>
        <w:fldChar w:fldCharType="end"/>
      </w:r>
      <w:r w:rsidR="00F7714A" w:rsidRPr="00626FC3">
        <w:rPr>
          <w:szCs w:val="24"/>
          <w:lang w:val="fr-CA"/>
        </w:rPr>
        <w:t xml:space="preserve"> </w:t>
      </w:r>
      <w:r w:rsidR="00BC4B41" w:rsidRPr="00626FC3">
        <w:rPr>
          <w:lang w:val="fr-CA"/>
        </w:rPr>
        <w:t xml:space="preserve">N est maintenant autorisée à distribuer le médicament dans tout le pays et, </w:t>
      </w:r>
      <w:r w:rsidR="00F15916" w:rsidRPr="00626FC3">
        <w:rPr>
          <w:lang w:val="fr-CA"/>
        </w:rPr>
        <w:t xml:space="preserve">depuis </w:t>
      </w:r>
      <w:r w:rsidR="008B224D" w:rsidRPr="00626FC3">
        <w:rPr>
          <w:lang w:val="fr-CA"/>
        </w:rPr>
        <w:t xml:space="preserve">qu’elle s’est désistée </w:t>
      </w:r>
      <w:r w:rsidR="00BC4B41" w:rsidRPr="00626FC3">
        <w:rPr>
          <w:lang w:val="fr-CA"/>
        </w:rPr>
        <w:t xml:space="preserve">des </w:t>
      </w:r>
      <w:r w:rsidR="00F4222A">
        <w:rPr>
          <w:szCs w:val="24"/>
        </w:rPr>
        <w:fldChar w:fldCharType="begin"/>
      </w:r>
      <w:r w:rsidR="00F7714A" w:rsidRPr="00626FC3">
        <w:rPr>
          <w:szCs w:val="24"/>
          <w:lang w:val="fr-CA"/>
        </w:rPr>
        <w:instrText xml:space="preserve"> SEQ CHAPTER \h \r 1</w:instrText>
      </w:r>
      <w:r w:rsidR="00F4222A">
        <w:rPr>
          <w:szCs w:val="24"/>
        </w:rPr>
        <w:fldChar w:fldCharType="end"/>
      </w:r>
      <w:r w:rsidR="00BC4B41" w:rsidRPr="00626FC3">
        <w:rPr>
          <w:lang w:val="fr-CA"/>
        </w:rPr>
        <w:t xml:space="preserve">demandes d’injonction et de jugement déclaratoire, il ne lui sert à rien de présenter une demande de contrôle judiciaire. </w:t>
      </w:r>
      <w:r w:rsidR="00682E5C" w:rsidRPr="00626FC3">
        <w:rPr>
          <w:lang w:val="fr-CA"/>
        </w:rPr>
        <w:t xml:space="preserve"> </w:t>
      </w:r>
      <w:r w:rsidR="004E3BEB">
        <w:rPr>
          <w:szCs w:val="24"/>
          <w:lang w:val="fr-FR"/>
        </w:rPr>
        <w:t>Le bien</w:t>
      </w:r>
      <w:r w:rsidR="00626FC3">
        <w:rPr>
          <w:szCs w:val="24"/>
          <w:lang w:val="fr-FR"/>
        </w:rPr>
        <w:t>-</w:t>
      </w:r>
      <w:r w:rsidR="004E3BEB">
        <w:rPr>
          <w:szCs w:val="24"/>
          <w:lang w:val="fr-FR"/>
        </w:rPr>
        <w:t>fondé de la défense de</w:t>
      </w:r>
      <w:r w:rsidR="00BC4B41" w:rsidRPr="00D66E9E">
        <w:rPr>
          <w:szCs w:val="24"/>
          <w:lang w:val="fr-FR"/>
        </w:rPr>
        <w:t xml:space="preserve"> pouvoir d’origine législative </w:t>
      </w:r>
      <w:r w:rsidR="00BC4B41">
        <w:rPr>
          <w:szCs w:val="24"/>
          <w:lang w:val="fr-FR"/>
        </w:rPr>
        <w:t>pourra</w:t>
      </w:r>
      <w:r w:rsidR="00133F57">
        <w:rPr>
          <w:szCs w:val="24"/>
          <w:lang w:val="fr-FR"/>
        </w:rPr>
        <w:t>, le cas échéant,</w:t>
      </w:r>
      <w:r w:rsidR="00BC4B41">
        <w:rPr>
          <w:szCs w:val="24"/>
          <w:lang w:val="fr-FR"/>
        </w:rPr>
        <w:t xml:space="preserve"> être examiné lors du procès.</w:t>
      </w:r>
      <w:r w:rsidR="00F7714A" w:rsidRPr="00BC4B41">
        <w:rPr>
          <w:lang w:val="fr-FR"/>
        </w:rPr>
        <w:t xml:space="preserve"> </w:t>
      </w:r>
    </w:p>
    <w:p w:rsidR="007834A8" w:rsidRPr="00BC4B41" w:rsidRDefault="007834A8" w:rsidP="00682E5C">
      <w:pPr>
        <w:pStyle w:val="SCCNormalDoubleSpacing"/>
        <w:tabs>
          <w:tab w:val="left" w:pos="1170"/>
        </w:tabs>
        <w:rPr>
          <w:lang w:val="fr-FR"/>
        </w:rPr>
      </w:pPr>
    </w:p>
    <w:p w:rsidR="007E1C47" w:rsidRPr="00626FC3" w:rsidRDefault="0043088E" w:rsidP="00682E5C">
      <w:pPr>
        <w:pStyle w:val="SCCNormalDoubleSpacing"/>
        <w:keepNext/>
        <w:tabs>
          <w:tab w:val="left" w:pos="1170"/>
        </w:tabs>
        <w:rPr>
          <w:b/>
          <w:lang w:val="fr-CA"/>
        </w:rPr>
      </w:pPr>
      <w:r w:rsidRPr="00626FC3">
        <w:rPr>
          <w:b/>
          <w:lang w:val="fr-CA"/>
        </w:rPr>
        <w:t>Jurisprudence</w:t>
      </w:r>
    </w:p>
    <w:p w:rsidR="007834A8" w:rsidRPr="00626FC3" w:rsidRDefault="007834A8" w:rsidP="00682E5C">
      <w:pPr>
        <w:pStyle w:val="SCCNormalDoubleSpacing"/>
        <w:keepNext/>
        <w:tabs>
          <w:tab w:val="left" w:pos="1170"/>
        </w:tabs>
        <w:rPr>
          <w:lang w:val="fr-CA"/>
        </w:rPr>
      </w:pPr>
    </w:p>
    <w:p w:rsidR="002E6705" w:rsidRPr="00BE4A5A" w:rsidRDefault="002E6705" w:rsidP="00682E5C">
      <w:pPr>
        <w:pStyle w:val="SCCNormalDoubleSpacing"/>
        <w:tabs>
          <w:tab w:val="left" w:pos="1170"/>
        </w:tabs>
        <w:rPr>
          <w:b/>
          <w:lang w:val="fr-CA"/>
        </w:rPr>
      </w:pPr>
      <w:r w:rsidRPr="00626FC3">
        <w:rPr>
          <w:lang w:val="fr-CA"/>
        </w:rPr>
        <w:tab/>
      </w:r>
      <w:r w:rsidR="00133F57" w:rsidRPr="00BE4A5A">
        <w:rPr>
          <w:b/>
          <w:lang w:val="fr-CA"/>
        </w:rPr>
        <w:t>Arrêt</w:t>
      </w:r>
      <w:r w:rsidR="0043088E" w:rsidRPr="00BE4A5A">
        <w:rPr>
          <w:b/>
          <w:lang w:val="fr-CA"/>
        </w:rPr>
        <w:t xml:space="preserve"> </w:t>
      </w:r>
      <w:r w:rsidR="00133F57" w:rsidRPr="00BE4A5A">
        <w:rPr>
          <w:b/>
          <w:lang w:val="fr-CA"/>
        </w:rPr>
        <w:t xml:space="preserve">appliqué : </w:t>
      </w:r>
      <w:r w:rsidR="00133F57" w:rsidRPr="00BE4A5A">
        <w:rPr>
          <w:i/>
          <w:szCs w:val="24"/>
          <w:lang w:val="fr-CA"/>
        </w:rPr>
        <w:t xml:space="preserve">Canada (Procureur général) c. </w:t>
      </w:r>
      <w:proofErr w:type="spellStart"/>
      <w:r w:rsidR="00133F57" w:rsidRPr="00BE4A5A">
        <w:rPr>
          <w:i/>
          <w:szCs w:val="24"/>
          <w:lang w:val="fr-CA"/>
        </w:rPr>
        <w:t>TeleZone</w:t>
      </w:r>
      <w:proofErr w:type="spellEnd"/>
      <w:r w:rsidR="00133F57" w:rsidRPr="00BE4A5A">
        <w:rPr>
          <w:i/>
          <w:szCs w:val="24"/>
          <w:lang w:val="fr-CA"/>
        </w:rPr>
        <w:t xml:space="preserve"> Inc.</w:t>
      </w:r>
      <w:r w:rsidR="00133F57" w:rsidRPr="00BE4A5A">
        <w:rPr>
          <w:szCs w:val="24"/>
          <w:lang w:val="fr-CA"/>
        </w:rPr>
        <w:t>, 2010 CSC 62</w:t>
      </w:r>
      <w:r w:rsidR="00626FC3">
        <w:rPr>
          <w:szCs w:val="24"/>
          <w:lang w:val="fr-CA"/>
        </w:rPr>
        <w:t xml:space="preserve">, [2010] 3 R.C.S. </w:t>
      </w:r>
      <w:r w:rsidR="00FC3CD0">
        <w:rPr>
          <w:szCs w:val="24"/>
          <w:lang w:val="fr-CA"/>
        </w:rPr>
        <w:t>585</w:t>
      </w:r>
      <w:r w:rsidR="00133F57" w:rsidRPr="00BE4A5A">
        <w:rPr>
          <w:szCs w:val="24"/>
          <w:lang w:val="fr-CA"/>
        </w:rPr>
        <w:t>;</w:t>
      </w:r>
      <w:r w:rsidR="00133F57" w:rsidRPr="00BE4A5A">
        <w:rPr>
          <w:b/>
          <w:lang w:val="fr-CA"/>
        </w:rPr>
        <w:t xml:space="preserve"> </w:t>
      </w:r>
      <w:r w:rsidR="00B61684" w:rsidRPr="00BE4A5A">
        <w:rPr>
          <w:b/>
          <w:lang w:val="fr-CA"/>
        </w:rPr>
        <w:t xml:space="preserve">arrêt </w:t>
      </w:r>
      <w:r w:rsidR="00B74601" w:rsidRPr="00BE4A5A">
        <w:rPr>
          <w:b/>
          <w:lang w:val="fr-CA"/>
        </w:rPr>
        <w:t>renversé</w:t>
      </w:r>
      <w:r w:rsidR="00B61684" w:rsidRPr="00BE4A5A">
        <w:rPr>
          <w:b/>
          <w:lang w:val="fr-CA"/>
        </w:rPr>
        <w:t xml:space="preserve"> : </w:t>
      </w:r>
      <w:r w:rsidR="00B61684" w:rsidRPr="003C399D">
        <w:rPr>
          <w:i/>
          <w:lang w:val="fr-FR"/>
        </w:rPr>
        <w:t>Canada c. Grenier</w:t>
      </w:r>
      <w:r w:rsidR="00B61684" w:rsidRPr="003C399D">
        <w:rPr>
          <w:lang w:val="fr-FR"/>
        </w:rPr>
        <w:t>, 2005 CAF 348, [2006] 2 R.C.F. 287</w:t>
      </w:r>
      <w:r w:rsidR="00B61684">
        <w:rPr>
          <w:lang w:val="fr-FR"/>
        </w:rPr>
        <w:t xml:space="preserve">; </w:t>
      </w:r>
      <w:r w:rsidR="00133F57" w:rsidRPr="00BE4A5A">
        <w:rPr>
          <w:b/>
          <w:lang w:val="fr-CA"/>
        </w:rPr>
        <w:t xml:space="preserve">arrêts </w:t>
      </w:r>
      <w:r w:rsidR="0043088E" w:rsidRPr="00BE4A5A">
        <w:rPr>
          <w:b/>
          <w:lang w:val="fr-CA"/>
        </w:rPr>
        <w:t>mentionnés</w:t>
      </w:r>
      <w:r w:rsidR="00F33658" w:rsidRPr="00BE4A5A">
        <w:rPr>
          <w:b/>
          <w:lang w:val="fr-CA"/>
        </w:rPr>
        <w:t> </w:t>
      </w:r>
      <w:r w:rsidRPr="00BE4A5A">
        <w:rPr>
          <w:b/>
          <w:lang w:val="fr-CA"/>
        </w:rPr>
        <w:t>:</w:t>
      </w:r>
      <w:r w:rsidR="00172A04" w:rsidRPr="00BE4A5A">
        <w:rPr>
          <w:lang w:val="fr-CA"/>
        </w:rPr>
        <w:t xml:space="preserve"> </w:t>
      </w:r>
      <w:r w:rsidR="00F4222A">
        <w:rPr>
          <w:szCs w:val="24"/>
        </w:rPr>
        <w:fldChar w:fldCharType="begin"/>
      </w:r>
      <w:r w:rsidR="00CB1EC2" w:rsidRPr="00BE4A5A">
        <w:rPr>
          <w:szCs w:val="24"/>
          <w:lang w:val="fr-CA"/>
        </w:rPr>
        <w:instrText xml:space="preserve"> SEQ CHAPTER \h \r 1</w:instrText>
      </w:r>
      <w:r w:rsidR="00F4222A">
        <w:rPr>
          <w:szCs w:val="24"/>
        </w:rPr>
        <w:fldChar w:fldCharType="end"/>
      </w:r>
      <w:r w:rsidR="00CB1EC2" w:rsidRPr="00BE4A5A">
        <w:rPr>
          <w:i/>
          <w:iCs/>
          <w:szCs w:val="24"/>
          <w:lang w:val="fr-CA"/>
        </w:rPr>
        <w:t>Nu</w:t>
      </w:r>
      <w:r w:rsidR="00626FC3">
        <w:rPr>
          <w:i/>
          <w:iCs/>
          <w:szCs w:val="24"/>
          <w:lang w:val="fr-CA"/>
        </w:rPr>
        <w:t>-</w:t>
      </w:r>
      <w:proofErr w:type="spellStart"/>
      <w:r w:rsidR="00CB1EC2" w:rsidRPr="00BE4A5A">
        <w:rPr>
          <w:i/>
          <w:iCs/>
          <w:szCs w:val="24"/>
          <w:lang w:val="fr-CA"/>
        </w:rPr>
        <w:t>Pharm</w:t>
      </w:r>
      <w:proofErr w:type="spellEnd"/>
      <w:r w:rsidR="00CB1EC2" w:rsidRPr="00BE4A5A">
        <w:rPr>
          <w:i/>
          <w:iCs/>
          <w:szCs w:val="24"/>
          <w:lang w:val="fr-CA"/>
        </w:rPr>
        <w:t xml:space="preserve"> Inc. c. Canada (Procureur général)</w:t>
      </w:r>
      <w:r w:rsidR="00847EDD" w:rsidRPr="00BE4A5A">
        <w:rPr>
          <w:szCs w:val="24"/>
          <w:lang w:val="fr-CA"/>
        </w:rPr>
        <w:t>, [1999] 1 </w:t>
      </w:r>
      <w:r w:rsidR="00CB1EC2" w:rsidRPr="00BE4A5A">
        <w:rPr>
          <w:szCs w:val="24"/>
          <w:lang w:val="fr-CA"/>
        </w:rPr>
        <w:t>C.F. 620</w:t>
      </w:r>
      <w:r w:rsidR="00165361" w:rsidRPr="00BE4A5A">
        <w:rPr>
          <w:szCs w:val="24"/>
          <w:lang w:val="fr-CA"/>
        </w:rPr>
        <w:t xml:space="preserve">; </w:t>
      </w:r>
      <w:proofErr w:type="spellStart"/>
      <w:r w:rsidR="00165361" w:rsidRPr="00BE4A5A">
        <w:rPr>
          <w:i/>
          <w:iCs/>
          <w:szCs w:val="24"/>
          <w:lang w:val="fr-CA"/>
        </w:rPr>
        <w:t>Merck</w:t>
      </w:r>
      <w:proofErr w:type="spellEnd"/>
      <w:r w:rsidR="00165361" w:rsidRPr="00BE4A5A">
        <w:rPr>
          <w:i/>
          <w:iCs/>
          <w:szCs w:val="24"/>
          <w:lang w:val="fr-CA"/>
        </w:rPr>
        <w:t xml:space="preserve"> &amp; Co. c. Canada (Procureur général)</w:t>
      </w:r>
      <w:r w:rsidR="00626FC3">
        <w:rPr>
          <w:szCs w:val="24"/>
          <w:lang w:val="fr-CA"/>
        </w:rPr>
        <w:t xml:space="preserve">, </w:t>
      </w:r>
      <w:r w:rsidR="00847EDD" w:rsidRPr="00BE4A5A">
        <w:rPr>
          <w:szCs w:val="24"/>
          <w:lang w:val="fr-CA"/>
        </w:rPr>
        <w:t>1999 </w:t>
      </w:r>
      <w:proofErr w:type="spellStart"/>
      <w:r w:rsidR="00626FC3">
        <w:rPr>
          <w:szCs w:val="24"/>
          <w:lang w:val="fr-CA"/>
        </w:rPr>
        <w:t>CanLII</w:t>
      </w:r>
      <w:proofErr w:type="spellEnd"/>
      <w:r w:rsidR="00626FC3">
        <w:rPr>
          <w:szCs w:val="24"/>
          <w:lang w:val="fr-CA"/>
        </w:rPr>
        <w:t xml:space="preserve"> 9090</w:t>
      </w:r>
      <w:r w:rsidR="007F729B" w:rsidRPr="00BE4A5A">
        <w:rPr>
          <w:szCs w:val="24"/>
          <w:lang w:val="fr-CA"/>
        </w:rPr>
        <w:t xml:space="preserve">, </w:t>
      </w:r>
      <w:proofErr w:type="spellStart"/>
      <w:r w:rsidR="007F729B" w:rsidRPr="00BE4A5A">
        <w:rPr>
          <w:szCs w:val="24"/>
          <w:lang w:val="fr-CA"/>
        </w:rPr>
        <w:t>conf</w:t>
      </w:r>
      <w:proofErr w:type="spellEnd"/>
      <w:r w:rsidR="007F729B" w:rsidRPr="00BE4A5A">
        <w:rPr>
          <w:szCs w:val="24"/>
          <w:lang w:val="fr-CA"/>
        </w:rPr>
        <w:t xml:space="preserve">. </w:t>
      </w:r>
      <w:proofErr w:type="gramStart"/>
      <w:r w:rsidR="007F729B" w:rsidRPr="00BE4A5A">
        <w:rPr>
          <w:szCs w:val="24"/>
          <w:lang w:val="fr-CA"/>
        </w:rPr>
        <w:t>par</w:t>
      </w:r>
      <w:proofErr w:type="gramEnd"/>
      <w:r w:rsidR="007F729B" w:rsidRPr="00BE4A5A">
        <w:rPr>
          <w:szCs w:val="24"/>
          <w:lang w:val="fr-CA"/>
        </w:rPr>
        <w:t xml:space="preserve"> </w:t>
      </w:r>
      <w:r w:rsidR="00133F57" w:rsidRPr="00BE4A5A">
        <w:rPr>
          <w:szCs w:val="24"/>
          <w:lang w:val="fr-CA"/>
        </w:rPr>
        <w:t>2000</w:t>
      </w:r>
      <w:r w:rsidR="00626FC3">
        <w:rPr>
          <w:szCs w:val="24"/>
          <w:lang w:val="fr-CA"/>
        </w:rPr>
        <w:t xml:space="preserve"> </w:t>
      </w:r>
      <w:proofErr w:type="spellStart"/>
      <w:r w:rsidR="00626FC3">
        <w:rPr>
          <w:szCs w:val="24"/>
          <w:lang w:val="fr-CA"/>
        </w:rPr>
        <w:t>CanLII</w:t>
      </w:r>
      <w:proofErr w:type="spellEnd"/>
      <w:r w:rsidR="00626FC3">
        <w:rPr>
          <w:szCs w:val="24"/>
          <w:lang w:val="fr-CA"/>
        </w:rPr>
        <w:t xml:space="preserve"> 15094</w:t>
      </w:r>
      <w:r w:rsidR="00F4222A">
        <w:rPr>
          <w:szCs w:val="24"/>
        </w:rPr>
        <w:fldChar w:fldCharType="begin"/>
      </w:r>
      <w:r w:rsidR="007F729B" w:rsidRPr="00BE4A5A">
        <w:rPr>
          <w:szCs w:val="24"/>
          <w:lang w:val="fr-CA"/>
        </w:rPr>
        <w:instrText xml:space="preserve"> SEQ CHAPTER \h \r 1</w:instrText>
      </w:r>
      <w:r w:rsidR="00F4222A">
        <w:rPr>
          <w:szCs w:val="24"/>
        </w:rPr>
        <w:fldChar w:fldCharType="end"/>
      </w:r>
      <w:r w:rsidR="00682E5C" w:rsidRPr="00BE4A5A">
        <w:rPr>
          <w:szCs w:val="24"/>
          <w:lang w:val="fr-CA"/>
        </w:rPr>
        <w:t xml:space="preserve">, </w:t>
      </w:r>
      <w:r w:rsidR="00FE294A">
        <w:rPr>
          <w:szCs w:val="24"/>
          <w:lang w:val="fr-CA"/>
        </w:rPr>
        <w:t>autorisation d’appel</w:t>
      </w:r>
      <w:r w:rsidR="00F71F7D" w:rsidRPr="00BE4A5A">
        <w:rPr>
          <w:szCs w:val="24"/>
          <w:lang w:val="fr-CA"/>
        </w:rPr>
        <w:t xml:space="preserve"> refusée</w:t>
      </w:r>
      <w:r w:rsidR="007F729B" w:rsidRPr="00BE4A5A">
        <w:rPr>
          <w:szCs w:val="24"/>
          <w:lang w:val="fr-CA"/>
        </w:rPr>
        <w:t xml:space="preserve">, [2000] 1 </w:t>
      </w:r>
      <w:r w:rsidR="00F71F7D" w:rsidRPr="00BE4A5A">
        <w:rPr>
          <w:szCs w:val="24"/>
          <w:lang w:val="fr-CA"/>
        </w:rPr>
        <w:t>R.C.</w:t>
      </w:r>
      <w:r w:rsidR="007F729B" w:rsidRPr="00BE4A5A">
        <w:rPr>
          <w:szCs w:val="24"/>
          <w:lang w:val="fr-CA"/>
        </w:rPr>
        <w:t>S. xvii</w:t>
      </w:r>
      <w:r w:rsidR="00F4222A">
        <w:rPr>
          <w:szCs w:val="24"/>
        </w:rPr>
        <w:fldChar w:fldCharType="begin"/>
      </w:r>
      <w:r w:rsidR="00310B22" w:rsidRPr="00BE4A5A">
        <w:rPr>
          <w:szCs w:val="24"/>
          <w:lang w:val="fr-CA"/>
        </w:rPr>
        <w:instrText xml:space="preserve"> SEQ CHAPTER \h \r 1</w:instrText>
      </w:r>
      <w:r w:rsidR="00F4222A">
        <w:rPr>
          <w:szCs w:val="24"/>
        </w:rPr>
        <w:fldChar w:fldCharType="end"/>
      </w:r>
      <w:r w:rsidR="00CB1EC2" w:rsidRPr="00BE4A5A">
        <w:rPr>
          <w:szCs w:val="24"/>
          <w:lang w:val="fr-CA"/>
        </w:rPr>
        <w:t>.</w:t>
      </w:r>
    </w:p>
    <w:p w:rsidR="007834A8" w:rsidRPr="00BE4A5A" w:rsidRDefault="007834A8" w:rsidP="00D25E6A">
      <w:pPr>
        <w:pStyle w:val="SCCNormalDoubleSpacing"/>
        <w:rPr>
          <w:lang w:val="fr-CA"/>
        </w:rPr>
      </w:pPr>
    </w:p>
    <w:p w:rsidR="00231F3A" w:rsidRPr="00626FC3" w:rsidRDefault="0043088E" w:rsidP="00682E5C">
      <w:pPr>
        <w:pStyle w:val="SCCNormalDoubleSpacing"/>
        <w:keepNext/>
        <w:rPr>
          <w:b/>
          <w:lang w:val="fr-CA"/>
        </w:rPr>
      </w:pPr>
      <w:r w:rsidRPr="00626FC3">
        <w:rPr>
          <w:b/>
          <w:lang w:val="fr-CA"/>
        </w:rPr>
        <w:lastRenderedPageBreak/>
        <w:t>Lois</w:t>
      </w:r>
      <w:r w:rsidR="002E6705" w:rsidRPr="00626FC3">
        <w:rPr>
          <w:b/>
          <w:lang w:val="fr-CA"/>
        </w:rPr>
        <w:t xml:space="preserve"> </w:t>
      </w:r>
      <w:r w:rsidR="008A6558" w:rsidRPr="00626FC3">
        <w:rPr>
          <w:b/>
          <w:lang w:val="fr-CA"/>
        </w:rPr>
        <w:t>et</w:t>
      </w:r>
      <w:r w:rsidR="002E6705" w:rsidRPr="00626FC3">
        <w:rPr>
          <w:b/>
          <w:lang w:val="fr-CA"/>
        </w:rPr>
        <w:t xml:space="preserve"> </w:t>
      </w:r>
      <w:r w:rsidRPr="00626FC3">
        <w:rPr>
          <w:b/>
          <w:lang w:val="fr-CA"/>
        </w:rPr>
        <w:t>rè</w:t>
      </w:r>
      <w:r w:rsidR="002E6705" w:rsidRPr="00626FC3">
        <w:rPr>
          <w:b/>
          <w:lang w:val="fr-CA"/>
        </w:rPr>
        <w:t>gl</w:t>
      </w:r>
      <w:r w:rsidRPr="00626FC3">
        <w:rPr>
          <w:b/>
          <w:lang w:val="fr-CA"/>
        </w:rPr>
        <w:t>ements</w:t>
      </w:r>
      <w:r w:rsidR="002E6705" w:rsidRPr="00626FC3">
        <w:rPr>
          <w:b/>
          <w:lang w:val="fr-CA"/>
        </w:rPr>
        <w:t xml:space="preserve"> </w:t>
      </w:r>
      <w:r w:rsidRPr="00626FC3">
        <w:rPr>
          <w:b/>
          <w:lang w:val="fr-CA"/>
        </w:rPr>
        <w:t>c</w:t>
      </w:r>
      <w:r w:rsidR="002E6705" w:rsidRPr="00626FC3">
        <w:rPr>
          <w:b/>
          <w:lang w:val="fr-CA"/>
        </w:rPr>
        <w:t>it</w:t>
      </w:r>
      <w:r w:rsidRPr="00626FC3">
        <w:rPr>
          <w:b/>
          <w:lang w:val="fr-CA"/>
        </w:rPr>
        <w:t>és</w:t>
      </w:r>
    </w:p>
    <w:p w:rsidR="000A5321" w:rsidRPr="00626FC3" w:rsidRDefault="000A5321" w:rsidP="00682E5C">
      <w:pPr>
        <w:pStyle w:val="SCCNormalDoubleSpacing"/>
        <w:keepNext/>
        <w:ind w:left="540" w:hanging="540"/>
        <w:rPr>
          <w:lang w:val="fr-CA"/>
        </w:rPr>
      </w:pPr>
    </w:p>
    <w:p w:rsidR="00811FD6" w:rsidRPr="00626FC3" w:rsidRDefault="00811FD6" w:rsidP="00D25E6A">
      <w:pPr>
        <w:ind w:left="540" w:hanging="540"/>
        <w:rPr>
          <w:lang w:val="fr-CA"/>
        </w:rPr>
      </w:pPr>
      <w:r w:rsidRPr="00626FC3">
        <w:rPr>
          <w:i/>
          <w:iCs/>
          <w:color w:val="3A3A3A"/>
          <w:szCs w:val="24"/>
          <w:lang w:val="fr-CA" w:eastAsia="en-US"/>
        </w:rPr>
        <w:t>Loi</w:t>
      </w:r>
      <w:r w:rsidRPr="00626FC3">
        <w:rPr>
          <w:szCs w:val="24"/>
          <w:lang w:val="fr-CA"/>
        </w:rPr>
        <w:t xml:space="preserve"> </w:t>
      </w:r>
      <w:r w:rsidR="00F4222A">
        <w:rPr>
          <w:szCs w:val="24"/>
        </w:rPr>
        <w:fldChar w:fldCharType="begin"/>
      </w:r>
      <w:r w:rsidRPr="00626FC3">
        <w:rPr>
          <w:szCs w:val="24"/>
          <w:lang w:val="fr-CA"/>
        </w:rPr>
        <w:instrText xml:space="preserve"> SEQ CHAPTER \h \r 1</w:instrText>
      </w:r>
      <w:r w:rsidR="00F4222A">
        <w:rPr>
          <w:szCs w:val="24"/>
        </w:rPr>
        <w:fldChar w:fldCharType="end"/>
      </w:r>
      <w:r w:rsidR="00F4222A">
        <w:rPr>
          <w:szCs w:val="24"/>
        </w:rPr>
        <w:fldChar w:fldCharType="begin"/>
      </w:r>
      <w:r w:rsidRPr="00626FC3">
        <w:rPr>
          <w:szCs w:val="24"/>
          <w:lang w:val="fr-CA"/>
        </w:rPr>
        <w:instrText xml:space="preserve"> SEQ CHAPTER \h \r 1</w:instrText>
      </w:r>
      <w:r w:rsidR="00F4222A">
        <w:rPr>
          <w:szCs w:val="24"/>
        </w:rPr>
        <w:fldChar w:fldCharType="end"/>
      </w:r>
      <w:r w:rsidRPr="00626FC3">
        <w:rPr>
          <w:i/>
          <w:iCs/>
          <w:szCs w:val="24"/>
          <w:lang w:val="fr-CA"/>
        </w:rPr>
        <w:t>sur les Cours fédérales</w:t>
      </w:r>
      <w:r w:rsidRPr="00626FC3">
        <w:rPr>
          <w:szCs w:val="24"/>
          <w:lang w:val="fr-CA"/>
        </w:rPr>
        <w:t>, L.R.C. 1985, ch.</w:t>
      </w:r>
      <w:r w:rsidR="00682E5C" w:rsidRPr="00626FC3">
        <w:rPr>
          <w:szCs w:val="24"/>
          <w:lang w:val="fr-CA"/>
        </w:rPr>
        <w:t> </w:t>
      </w:r>
      <w:r w:rsidR="009F496A" w:rsidRPr="00626FC3">
        <w:rPr>
          <w:szCs w:val="24"/>
          <w:lang w:val="fr-CA"/>
        </w:rPr>
        <w:t>F</w:t>
      </w:r>
      <w:r w:rsidR="009F496A" w:rsidRPr="00626FC3">
        <w:rPr>
          <w:szCs w:val="24"/>
          <w:lang w:val="fr-CA"/>
        </w:rPr>
        <w:noBreakHyphen/>
      </w:r>
      <w:r w:rsidRPr="00626FC3">
        <w:rPr>
          <w:szCs w:val="24"/>
          <w:lang w:val="fr-CA"/>
        </w:rPr>
        <w:t xml:space="preserve">7, </w:t>
      </w:r>
      <w:r w:rsidR="009F496A" w:rsidRPr="00626FC3">
        <w:rPr>
          <w:szCs w:val="24"/>
          <w:lang w:val="fr-CA"/>
        </w:rPr>
        <w:t>art. </w:t>
      </w:r>
      <w:r w:rsidRPr="00626FC3">
        <w:rPr>
          <w:szCs w:val="24"/>
          <w:lang w:val="fr-CA"/>
        </w:rPr>
        <w:t>17, 18.</w:t>
      </w:r>
    </w:p>
    <w:p w:rsidR="004A415C" w:rsidRPr="00626FC3" w:rsidRDefault="00F4222A" w:rsidP="00D25E6A">
      <w:pPr>
        <w:pStyle w:val="SCCNormalDoubleSpacing"/>
        <w:spacing w:line="240" w:lineRule="auto"/>
        <w:ind w:left="540" w:hanging="540"/>
        <w:rPr>
          <w:szCs w:val="24"/>
          <w:lang w:val="fr-CA"/>
        </w:rPr>
      </w:pPr>
      <w:r>
        <w:rPr>
          <w:szCs w:val="24"/>
        </w:rPr>
        <w:fldChar w:fldCharType="begin"/>
      </w:r>
      <w:r w:rsidR="004A415C" w:rsidRPr="00626FC3">
        <w:rPr>
          <w:szCs w:val="24"/>
          <w:lang w:val="fr-CA"/>
        </w:rPr>
        <w:instrText xml:space="preserve"> SEQ CHAPTER \h \r 1</w:instrText>
      </w:r>
      <w:r>
        <w:rPr>
          <w:szCs w:val="24"/>
        </w:rPr>
        <w:fldChar w:fldCharType="end"/>
      </w:r>
    </w:p>
    <w:p w:rsidR="004A415C" w:rsidRPr="00626FC3" w:rsidRDefault="004A415C" w:rsidP="00D25E6A">
      <w:pPr>
        <w:pStyle w:val="SCCNormalDoubleSpacing"/>
        <w:spacing w:line="240" w:lineRule="auto"/>
        <w:ind w:left="540" w:hanging="540"/>
        <w:rPr>
          <w:lang w:val="fr-CA"/>
        </w:rPr>
      </w:pPr>
      <w:r w:rsidRPr="00626FC3">
        <w:rPr>
          <w:i/>
          <w:iCs/>
          <w:szCs w:val="24"/>
          <w:lang w:val="fr-CA"/>
        </w:rPr>
        <w:t>Règlement sur les aliments et drogues</w:t>
      </w:r>
      <w:r w:rsidR="009F496A" w:rsidRPr="00626FC3">
        <w:rPr>
          <w:szCs w:val="24"/>
          <w:lang w:val="fr-CA"/>
        </w:rPr>
        <w:t>, C.R.C., ch. </w:t>
      </w:r>
      <w:r w:rsidRPr="00626FC3">
        <w:rPr>
          <w:szCs w:val="24"/>
          <w:lang w:val="fr-CA"/>
        </w:rPr>
        <w:t>870</w:t>
      </w:r>
      <w:r w:rsidR="009F496A" w:rsidRPr="00626FC3">
        <w:rPr>
          <w:szCs w:val="24"/>
          <w:lang w:val="fr-CA"/>
        </w:rPr>
        <w:t>, art. </w:t>
      </w:r>
      <w:r w:rsidR="00B71BF6" w:rsidRPr="00626FC3">
        <w:rPr>
          <w:szCs w:val="24"/>
          <w:lang w:val="fr-CA"/>
        </w:rPr>
        <w:t xml:space="preserve">C.08.001, </w:t>
      </w:r>
      <w:r w:rsidR="00314AEC" w:rsidRPr="00626FC3">
        <w:rPr>
          <w:szCs w:val="24"/>
          <w:lang w:val="fr-CA"/>
        </w:rPr>
        <w:t>C.08.002(1)</w:t>
      </w:r>
      <w:r w:rsidRPr="00626FC3">
        <w:rPr>
          <w:szCs w:val="24"/>
          <w:lang w:val="fr-CA"/>
        </w:rPr>
        <w:t>.</w:t>
      </w:r>
    </w:p>
    <w:p w:rsidR="00362768" w:rsidRPr="00626FC3" w:rsidRDefault="00362768" w:rsidP="00D25E6A">
      <w:pPr>
        <w:pStyle w:val="SCCNormalDoubleSpacing"/>
        <w:spacing w:line="240" w:lineRule="auto"/>
        <w:ind w:left="540" w:hanging="540"/>
        <w:rPr>
          <w:lang w:val="fr-CA"/>
        </w:rPr>
      </w:pPr>
    </w:p>
    <w:p w:rsidR="00362768" w:rsidRPr="00626FC3" w:rsidRDefault="00F4222A" w:rsidP="00D25E6A">
      <w:pPr>
        <w:pStyle w:val="SCCNormalDoubleSpacing"/>
        <w:spacing w:line="240" w:lineRule="auto"/>
        <w:rPr>
          <w:szCs w:val="24"/>
          <w:lang w:val="fr-CA"/>
        </w:rPr>
      </w:pPr>
      <w:r>
        <w:rPr>
          <w:szCs w:val="24"/>
        </w:rPr>
        <w:fldChar w:fldCharType="begin"/>
      </w:r>
      <w:r w:rsidR="00362768" w:rsidRPr="00626FC3">
        <w:rPr>
          <w:szCs w:val="24"/>
          <w:lang w:val="fr-CA"/>
        </w:rPr>
        <w:instrText xml:space="preserve"> SEQ CHAPTER \h \r 1</w:instrText>
      </w:r>
      <w:r>
        <w:rPr>
          <w:szCs w:val="24"/>
        </w:rPr>
        <w:fldChar w:fldCharType="end"/>
      </w:r>
      <w:r w:rsidR="00362768" w:rsidRPr="00626FC3">
        <w:rPr>
          <w:i/>
          <w:iCs/>
          <w:szCs w:val="24"/>
          <w:lang w:val="fr-CA"/>
        </w:rPr>
        <w:t>Règlement sur les médicaments brevetés (avis de conformité)</w:t>
      </w:r>
      <w:r w:rsidR="00362768" w:rsidRPr="00626FC3">
        <w:rPr>
          <w:color w:val="3A3A3A"/>
          <w:lang w:val="fr-CA"/>
        </w:rPr>
        <w:t>, DORS/</w:t>
      </w:r>
      <w:r w:rsidR="009F496A" w:rsidRPr="00626FC3">
        <w:rPr>
          <w:szCs w:val="24"/>
          <w:lang w:val="fr-CA"/>
        </w:rPr>
        <w:t>93</w:t>
      </w:r>
      <w:r w:rsidR="009F496A" w:rsidRPr="00626FC3">
        <w:rPr>
          <w:szCs w:val="24"/>
          <w:lang w:val="fr-CA"/>
        </w:rPr>
        <w:noBreakHyphen/>
      </w:r>
      <w:r w:rsidR="00362768" w:rsidRPr="00626FC3">
        <w:rPr>
          <w:szCs w:val="24"/>
          <w:lang w:val="fr-CA"/>
        </w:rPr>
        <w:t>133.</w:t>
      </w:r>
    </w:p>
    <w:p w:rsidR="009F496A" w:rsidRPr="00626FC3" w:rsidRDefault="009F496A" w:rsidP="00D25E6A">
      <w:pPr>
        <w:pStyle w:val="SCCNormalDoubleSpacing"/>
        <w:spacing w:line="240" w:lineRule="auto"/>
        <w:rPr>
          <w:szCs w:val="24"/>
          <w:lang w:val="fr-CA"/>
        </w:rPr>
      </w:pPr>
    </w:p>
    <w:p w:rsidR="000A5321" w:rsidRPr="00626FC3" w:rsidRDefault="000A5321" w:rsidP="00D25E6A">
      <w:pPr>
        <w:pStyle w:val="SCCNormalDoubleSpacing"/>
        <w:rPr>
          <w:lang w:val="fr-CA"/>
        </w:rPr>
      </w:pPr>
    </w:p>
    <w:p w:rsidR="00E236CE" w:rsidRPr="00626FC3" w:rsidRDefault="00E236CE" w:rsidP="009F496A">
      <w:pPr>
        <w:tabs>
          <w:tab w:val="left" w:pos="1170"/>
        </w:tabs>
        <w:spacing w:line="480" w:lineRule="auto"/>
        <w:jc w:val="both"/>
        <w:rPr>
          <w:szCs w:val="24"/>
          <w:lang w:val="fr-CA"/>
        </w:rPr>
      </w:pPr>
      <w:r w:rsidRPr="00626FC3">
        <w:rPr>
          <w:lang w:val="fr-CA"/>
        </w:rPr>
        <w:tab/>
      </w:r>
      <w:r w:rsidR="009B57B3" w:rsidRPr="00626FC3">
        <w:rPr>
          <w:lang w:val="fr-CA"/>
        </w:rPr>
        <w:t>P</w:t>
      </w:r>
      <w:r w:rsidR="0043088E" w:rsidRPr="00626FC3">
        <w:rPr>
          <w:lang w:val="fr-CA"/>
        </w:rPr>
        <w:t>OURVOI contre un arrêt de la</w:t>
      </w:r>
      <w:r w:rsidR="009B57B3" w:rsidRPr="00626FC3">
        <w:rPr>
          <w:lang w:val="fr-CA"/>
        </w:rPr>
        <w:t xml:space="preserve"> Cour d’appel fédérale</w:t>
      </w:r>
      <w:r w:rsidRPr="00626FC3">
        <w:rPr>
          <w:lang w:val="fr-CA"/>
        </w:rPr>
        <w:t xml:space="preserve"> (les juges </w:t>
      </w:r>
      <w:r w:rsidR="00F4222A">
        <w:rPr>
          <w:szCs w:val="24"/>
        </w:rPr>
        <w:fldChar w:fldCharType="begin"/>
      </w:r>
      <w:r w:rsidRPr="00626FC3">
        <w:rPr>
          <w:szCs w:val="24"/>
          <w:lang w:val="fr-CA"/>
        </w:rPr>
        <w:instrText xml:space="preserve"> SEQ CHAPTER \h \r 1</w:instrText>
      </w:r>
      <w:r w:rsidR="00F4222A">
        <w:rPr>
          <w:szCs w:val="24"/>
        </w:rPr>
        <w:fldChar w:fldCharType="end"/>
      </w:r>
      <w:r w:rsidRPr="00626FC3">
        <w:rPr>
          <w:szCs w:val="24"/>
          <w:lang w:val="fr-CA"/>
        </w:rPr>
        <w:t xml:space="preserve">Linden, Nadon et </w:t>
      </w:r>
      <w:proofErr w:type="spellStart"/>
      <w:r w:rsidRPr="00626FC3">
        <w:rPr>
          <w:szCs w:val="24"/>
          <w:lang w:val="fr-CA"/>
        </w:rPr>
        <w:t>Sexton</w:t>
      </w:r>
      <w:proofErr w:type="spellEnd"/>
      <w:r w:rsidRPr="00626FC3">
        <w:rPr>
          <w:lang w:val="fr-CA"/>
        </w:rPr>
        <w:t xml:space="preserve">), </w:t>
      </w:r>
      <w:r w:rsidR="00F4222A">
        <w:rPr>
          <w:szCs w:val="24"/>
        </w:rPr>
        <w:fldChar w:fldCharType="begin"/>
      </w:r>
      <w:r w:rsidRPr="00626FC3">
        <w:rPr>
          <w:szCs w:val="24"/>
          <w:lang w:val="fr-CA"/>
        </w:rPr>
        <w:instrText xml:space="preserve"> SEQ CHAPTER \h \r 1</w:instrText>
      </w:r>
      <w:r w:rsidR="00F4222A">
        <w:rPr>
          <w:szCs w:val="24"/>
        </w:rPr>
        <w:fldChar w:fldCharType="end"/>
      </w:r>
      <w:r w:rsidRPr="00626FC3">
        <w:rPr>
          <w:szCs w:val="24"/>
          <w:lang w:val="fr-CA"/>
        </w:rPr>
        <w:t>2008 CAF 227, 387 N.R. 3</w:t>
      </w:r>
      <w:r w:rsidR="00882005">
        <w:rPr>
          <w:szCs w:val="24"/>
          <w:lang w:val="fr-CA"/>
        </w:rPr>
        <w:t xml:space="preserve">00, 67 C.P.R. (4th) 175, [2008] </w:t>
      </w:r>
      <w:r w:rsidRPr="00626FC3">
        <w:rPr>
          <w:szCs w:val="24"/>
          <w:lang w:val="fr-CA"/>
        </w:rPr>
        <w:t>A.C.</w:t>
      </w:r>
      <w:r w:rsidR="00882005">
        <w:rPr>
          <w:szCs w:val="24"/>
          <w:lang w:val="fr-CA"/>
        </w:rPr>
        <w:t xml:space="preserve">F. </w:t>
      </w:r>
      <w:r w:rsidRPr="00626FC3">
        <w:rPr>
          <w:szCs w:val="24"/>
          <w:lang w:val="fr-CA"/>
        </w:rPr>
        <w:t>n</w:t>
      </w:r>
      <w:r w:rsidRPr="00626FC3">
        <w:rPr>
          <w:szCs w:val="24"/>
          <w:vertAlign w:val="superscript"/>
          <w:lang w:val="fr-CA"/>
        </w:rPr>
        <w:t>o</w:t>
      </w:r>
      <w:r w:rsidR="00882005">
        <w:rPr>
          <w:szCs w:val="24"/>
          <w:lang w:val="fr-CA"/>
        </w:rPr>
        <w:t xml:space="preserve"> </w:t>
      </w:r>
      <w:r w:rsidRPr="00626FC3">
        <w:rPr>
          <w:szCs w:val="24"/>
          <w:lang w:val="fr-CA"/>
        </w:rPr>
        <w:t xml:space="preserve">1054 (QL), 2008 </w:t>
      </w:r>
      <w:proofErr w:type="spellStart"/>
      <w:r w:rsidRPr="00626FC3">
        <w:rPr>
          <w:szCs w:val="24"/>
          <w:lang w:val="fr-CA"/>
        </w:rPr>
        <w:t>CarswellNat</w:t>
      </w:r>
      <w:proofErr w:type="spellEnd"/>
      <w:r w:rsidR="006C50AA" w:rsidRPr="00626FC3">
        <w:rPr>
          <w:szCs w:val="24"/>
          <w:lang w:val="fr-CA"/>
        </w:rPr>
        <w:t xml:space="preserve"> </w:t>
      </w:r>
      <w:r w:rsidR="001C6DB4" w:rsidRPr="00626FC3">
        <w:rPr>
          <w:szCs w:val="24"/>
          <w:lang w:val="fr-CA"/>
        </w:rPr>
        <w:t>4244</w:t>
      </w:r>
      <w:r w:rsidR="006C50AA" w:rsidRPr="00626FC3">
        <w:rPr>
          <w:szCs w:val="24"/>
          <w:lang w:val="fr-CA"/>
        </w:rPr>
        <w:t>,</w:t>
      </w:r>
      <w:r w:rsidR="006C50AA" w:rsidRPr="00626FC3">
        <w:rPr>
          <w:rFonts w:ascii="Verdana" w:hAnsi="Verdana"/>
          <w:color w:val="000000"/>
          <w:sz w:val="19"/>
          <w:szCs w:val="19"/>
          <w:lang w:val="fr-CA"/>
        </w:rPr>
        <w:t xml:space="preserve"> </w:t>
      </w:r>
      <w:r w:rsidRPr="00626FC3">
        <w:rPr>
          <w:szCs w:val="24"/>
          <w:lang w:val="fr-CA"/>
        </w:rPr>
        <w:t xml:space="preserve">qui a confirmé une décision du juge </w:t>
      </w:r>
      <w:proofErr w:type="spellStart"/>
      <w:r w:rsidRPr="00626FC3">
        <w:rPr>
          <w:szCs w:val="24"/>
          <w:lang w:val="fr-CA"/>
        </w:rPr>
        <w:t>Hugessen</w:t>
      </w:r>
      <w:proofErr w:type="spellEnd"/>
      <w:r w:rsidRPr="00626FC3">
        <w:rPr>
          <w:szCs w:val="24"/>
          <w:lang w:val="fr-CA"/>
        </w:rPr>
        <w:t xml:space="preserve">, 2007 CF 977, </w:t>
      </w:r>
      <w:r w:rsidR="00F4222A">
        <w:rPr>
          <w:szCs w:val="24"/>
        </w:rPr>
        <w:fldChar w:fldCharType="begin"/>
      </w:r>
      <w:r w:rsidRPr="00626FC3">
        <w:rPr>
          <w:szCs w:val="24"/>
          <w:lang w:val="fr-CA"/>
        </w:rPr>
        <w:instrText xml:space="preserve"> SEQ CHAPTER \h \r 1</w:instrText>
      </w:r>
      <w:r w:rsidR="00F4222A">
        <w:rPr>
          <w:szCs w:val="24"/>
        </w:rPr>
        <w:fldChar w:fldCharType="end"/>
      </w:r>
      <w:r w:rsidRPr="00626FC3">
        <w:rPr>
          <w:szCs w:val="24"/>
          <w:lang w:val="fr-CA"/>
        </w:rPr>
        <w:t>[2007] A.C.F. n</w:t>
      </w:r>
      <w:r w:rsidRPr="00626FC3">
        <w:rPr>
          <w:szCs w:val="24"/>
          <w:vertAlign w:val="superscript"/>
          <w:lang w:val="fr-CA"/>
        </w:rPr>
        <w:t>o</w:t>
      </w:r>
      <w:r w:rsidR="00882005">
        <w:rPr>
          <w:szCs w:val="24"/>
          <w:lang w:val="fr-CA"/>
        </w:rPr>
        <w:t xml:space="preserve"> </w:t>
      </w:r>
      <w:r w:rsidRPr="00626FC3">
        <w:rPr>
          <w:szCs w:val="24"/>
          <w:lang w:val="fr-CA"/>
        </w:rPr>
        <w:t xml:space="preserve">1273 (QL), 2007 </w:t>
      </w:r>
      <w:proofErr w:type="spellStart"/>
      <w:r w:rsidRPr="00626FC3">
        <w:rPr>
          <w:szCs w:val="24"/>
          <w:lang w:val="fr-CA"/>
        </w:rPr>
        <w:t>CarswellNat</w:t>
      </w:r>
      <w:proofErr w:type="spellEnd"/>
      <w:r w:rsidRPr="00626FC3">
        <w:rPr>
          <w:szCs w:val="24"/>
          <w:lang w:val="fr-CA"/>
        </w:rPr>
        <w:t xml:space="preserve"> </w:t>
      </w:r>
      <w:r w:rsidR="001C6DB4" w:rsidRPr="00626FC3">
        <w:rPr>
          <w:szCs w:val="24"/>
          <w:lang w:val="fr-CA"/>
        </w:rPr>
        <w:t>4293</w:t>
      </w:r>
      <w:r w:rsidRPr="00626FC3">
        <w:rPr>
          <w:szCs w:val="24"/>
          <w:lang w:val="fr-CA"/>
        </w:rPr>
        <w:t>.</w:t>
      </w:r>
      <w:r w:rsidR="00251EB0" w:rsidRPr="00626FC3">
        <w:rPr>
          <w:szCs w:val="24"/>
          <w:lang w:val="fr-CA"/>
        </w:rPr>
        <w:t xml:space="preserve">  Pourvoi accueilli.</w:t>
      </w:r>
    </w:p>
    <w:p w:rsidR="00966913" w:rsidRPr="00626FC3" w:rsidRDefault="00966913" w:rsidP="009F496A">
      <w:pPr>
        <w:pStyle w:val="SCCNormalDoubleSpacing"/>
        <w:tabs>
          <w:tab w:val="left" w:pos="1170"/>
        </w:tabs>
        <w:rPr>
          <w:lang w:val="fr-CA"/>
        </w:rPr>
      </w:pPr>
    </w:p>
    <w:p w:rsidR="00F84AEB" w:rsidRPr="00626FC3" w:rsidRDefault="0090486E" w:rsidP="009F496A">
      <w:pPr>
        <w:pStyle w:val="SCCNormalDoubleSpacing"/>
        <w:tabs>
          <w:tab w:val="left" w:pos="1170"/>
        </w:tabs>
        <w:rPr>
          <w:lang w:val="fr-CA"/>
        </w:rPr>
      </w:pPr>
      <w:r w:rsidRPr="00626FC3">
        <w:rPr>
          <w:rStyle w:val="SCCCounselNameChar"/>
          <w:lang w:val="fr-CA"/>
        </w:rPr>
        <w:tab/>
        <w:t xml:space="preserve">Andrew </w:t>
      </w:r>
      <w:proofErr w:type="spellStart"/>
      <w:r w:rsidRPr="00626FC3">
        <w:rPr>
          <w:rStyle w:val="SCCCounselNameChar"/>
          <w:lang w:val="fr-CA"/>
        </w:rPr>
        <w:t>Brodkin</w:t>
      </w:r>
      <w:proofErr w:type="spellEnd"/>
      <w:r w:rsidRPr="00626FC3">
        <w:rPr>
          <w:rStyle w:val="SCCCounselSeparatorChar"/>
          <w:lang w:val="fr-CA"/>
        </w:rPr>
        <w:t xml:space="preserve"> et </w:t>
      </w:r>
      <w:r w:rsidRPr="00626FC3">
        <w:rPr>
          <w:rStyle w:val="SCCCounselNameChar"/>
          <w:lang w:val="fr-CA"/>
        </w:rPr>
        <w:t>Cynthia</w:t>
      </w:r>
      <w:r w:rsidR="009F496A" w:rsidRPr="00626FC3">
        <w:rPr>
          <w:rStyle w:val="SCCCounselNameChar"/>
          <w:lang w:val="fr-CA"/>
        </w:rPr>
        <w:t> </w:t>
      </w:r>
      <w:r w:rsidRPr="00626FC3">
        <w:rPr>
          <w:rStyle w:val="SCCCounselNameChar"/>
          <w:lang w:val="fr-CA"/>
        </w:rPr>
        <w:t>L. Tape</w:t>
      </w:r>
      <w:r>
        <w:rPr>
          <w:rStyle w:val="SCCCounselPartyRoleChar"/>
        </w:rPr>
        <w:t>, pour l</w:t>
      </w:r>
      <w:r w:rsidR="006C50AA">
        <w:rPr>
          <w:rStyle w:val="SCCCounselPartyRoleChar"/>
        </w:rPr>
        <w:t>’</w:t>
      </w:r>
      <w:r>
        <w:rPr>
          <w:rStyle w:val="SCCCounselPartyRoleChar"/>
        </w:rPr>
        <w:t>appelante.</w:t>
      </w:r>
    </w:p>
    <w:p w:rsidR="00F84AEB" w:rsidRPr="00626FC3" w:rsidRDefault="00F84AEB" w:rsidP="009F496A">
      <w:pPr>
        <w:pStyle w:val="SCCNormalDoubleSpacing"/>
        <w:tabs>
          <w:tab w:val="left" w:pos="1170"/>
        </w:tabs>
        <w:rPr>
          <w:lang w:val="fr-CA"/>
        </w:rPr>
      </w:pPr>
    </w:p>
    <w:p w:rsidR="00F84AEB" w:rsidRDefault="009F496A" w:rsidP="009F496A">
      <w:pPr>
        <w:pStyle w:val="SCCNormalDoubleSpacing"/>
        <w:tabs>
          <w:tab w:val="left" w:pos="1170"/>
        </w:tabs>
        <w:rPr>
          <w:rStyle w:val="SCCCounselPartyRoleChar"/>
        </w:rPr>
      </w:pPr>
      <w:r w:rsidRPr="00626FC3">
        <w:rPr>
          <w:rStyle w:val="SCCCounselNameChar"/>
          <w:lang w:val="fr-CA"/>
        </w:rPr>
        <w:tab/>
        <w:t>Christopher </w:t>
      </w:r>
      <w:r w:rsidR="0090486E" w:rsidRPr="00626FC3">
        <w:rPr>
          <w:rStyle w:val="SCCCounselNameChar"/>
          <w:lang w:val="fr-CA"/>
        </w:rPr>
        <w:t xml:space="preserve">M. </w:t>
      </w:r>
      <w:proofErr w:type="spellStart"/>
      <w:r w:rsidR="0090486E" w:rsidRPr="00626FC3">
        <w:rPr>
          <w:rStyle w:val="SCCCounselNameChar"/>
          <w:lang w:val="fr-CA"/>
        </w:rPr>
        <w:t>Rupar</w:t>
      </w:r>
      <w:proofErr w:type="spellEnd"/>
      <w:r w:rsidR="0090486E" w:rsidRPr="00626FC3">
        <w:rPr>
          <w:rStyle w:val="SCCCounselSeparatorChar"/>
          <w:lang w:val="fr-CA"/>
        </w:rPr>
        <w:t xml:space="preserve">, </w:t>
      </w:r>
      <w:r w:rsidR="0090486E" w:rsidRPr="00626FC3">
        <w:rPr>
          <w:rStyle w:val="SCCCounselNameChar"/>
          <w:lang w:val="fr-CA"/>
        </w:rPr>
        <w:t xml:space="preserve">Alain </w:t>
      </w:r>
      <w:proofErr w:type="spellStart"/>
      <w:r w:rsidR="0090486E" w:rsidRPr="00626FC3">
        <w:rPr>
          <w:rStyle w:val="SCCCounselNameChar"/>
          <w:lang w:val="fr-CA"/>
        </w:rPr>
        <w:t>Préfontaine</w:t>
      </w:r>
      <w:proofErr w:type="spellEnd"/>
      <w:r w:rsidR="0090486E" w:rsidRPr="00626FC3">
        <w:rPr>
          <w:rStyle w:val="SCCCounselSeparatorChar"/>
          <w:lang w:val="fr-CA"/>
        </w:rPr>
        <w:t xml:space="preserve"> et </w:t>
      </w:r>
      <w:r w:rsidR="0090486E" w:rsidRPr="00626FC3">
        <w:rPr>
          <w:rStyle w:val="SCCCounselNameChar"/>
          <w:lang w:val="fr-CA"/>
        </w:rPr>
        <w:t xml:space="preserve">Bernard </w:t>
      </w:r>
      <w:proofErr w:type="spellStart"/>
      <w:r w:rsidR="0090486E" w:rsidRPr="00626FC3">
        <w:rPr>
          <w:rStyle w:val="SCCCounselNameChar"/>
          <w:lang w:val="fr-CA"/>
        </w:rPr>
        <w:t>Letarte</w:t>
      </w:r>
      <w:proofErr w:type="spellEnd"/>
      <w:r w:rsidR="0090486E">
        <w:rPr>
          <w:rStyle w:val="SCCCounselPartyRoleChar"/>
        </w:rPr>
        <w:t>, pour l</w:t>
      </w:r>
      <w:r w:rsidR="00251EB0">
        <w:rPr>
          <w:rStyle w:val="SCCCounselPartyRoleChar"/>
        </w:rPr>
        <w:t xml:space="preserve">es </w:t>
      </w:r>
      <w:r w:rsidR="0090486E">
        <w:rPr>
          <w:rStyle w:val="SCCCounselPartyRoleChar"/>
        </w:rPr>
        <w:t>intimé</w:t>
      </w:r>
      <w:r w:rsidR="00251EB0">
        <w:rPr>
          <w:rStyle w:val="SCCCounselPartyRoleChar"/>
        </w:rPr>
        <w:t>s</w:t>
      </w:r>
      <w:r w:rsidR="0090486E">
        <w:rPr>
          <w:rStyle w:val="SCCCounselPartyRoleChar"/>
        </w:rPr>
        <w:t>.</w:t>
      </w:r>
    </w:p>
    <w:p w:rsidR="0033353E" w:rsidRDefault="0033353E" w:rsidP="009F496A">
      <w:pPr>
        <w:pStyle w:val="SCCNormalDoubleSpacing"/>
        <w:tabs>
          <w:tab w:val="left" w:pos="1170"/>
        </w:tabs>
        <w:rPr>
          <w:rStyle w:val="SCCCounselPartyRoleChar"/>
        </w:rPr>
      </w:pPr>
    </w:p>
    <w:p w:rsidR="0033353E" w:rsidRDefault="0033353E" w:rsidP="009F496A">
      <w:pPr>
        <w:pStyle w:val="SCCNormalDoubleSpacing"/>
        <w:tabs>
          <w:tab w:val="left" w:pos="1170"/>
        </w:tabs>
        <w:rPr>
          <w:rStyle w:val="SCCCounselPartyRoleChar"/>
        </w:rPr>
      </w:pPr>
      <w:r>
        <w:rPr>
          <w:rStyle w:val="SCCCounselPartyRoleChar"/>
        </w:rPr>
        <w:tab/>
        <w:t>Version française du jugement de la Cour rendu par</w:t>
      </w:r>
    </w:p>
    <w:p w:rsidR="0033353E" w:rsidRPr="00626FC3" w:rsidRDefault="0033353E" w:rsidP="009F496A">
      <w:pPr>
        <w:pStyle w:val="SCCNormalDoubleSpacing"/>
        <w:tabs>
          <w:tab w:val="left" w:pos="1170"/>
        </w:tabs>
        <w:rPr>
          <w:lang w:val="fr-CA"/>
        </w:rPr>
      </w:pPr>
    </w:p>
    <w:p w:rsidR="00926C38" w:rsidRPr="00BE4A5A" w:rsidRDefault="0033353E" w:rsidP="001D3D64">
      <w:pPr>
        <w:pStyle w:val="ReasonsNumbering-AltN"/>
        <w:rPr>
          <w:lang w:val="fr-CA"/>
        </w:rPr>
      </w:pPr>
      <w:r w:rsidRPr="0033353E">
        <w:rPr>
          <w:smallCaps/>
          <w:lang w:val="fr-CA"/>
        </w:rPr>
        <w:t xml:space="preserve">Le juge </w:t>
      </w:r>
      <w:proofErr w:type="spellStart"/>
      <w:r w:rsidRPr="0033353E">
        <w:rPr>
          <w:smallCaps/>
          <w:lang w:val="fr-CA"/>
        </w:rPr>
        <w:t>Rothstein</w:t>
      </w:r>
      <w:proofErr w:type="spellEnd"/>
      <w:r w:rsidRPr="0033353E">
        <w:rPr>
          <w:lang w:val="fr-CA"/>
        </w:rPr>
        <w:t xml:space="preserve"> — </w:t>
      </w:r>
      <w:r w:rsidR="00926C38" w:rsidRPr="00BE4A5A">
        <w:rPr>
          <w:lang w:val="fr-CA"/>
        </w:rPr>
        <w:t>La question en litige dans le présent appel est de savoir si un dema</w:t>
      </w:r>
      <w:r w:rsidR="00882005">
        <w:rPr>
          <w:lang w:val="fr-CA"/>
        </w:rPr>
        <w:t>ndeur, qui réclame des dommages-</w:t>
      </w:r>
      <w:r w:rsidR="00926C38" w:rsidRPr="00BE4A5A">
        <w:rPr>
          <w:lang w:val="fr-CA"/>
        </w:rPr>
        <w:t>intérêts en raison de la décision de Santé Canada d’interdire la vente d’un médicament, doit d’abord faire annuler cette décision par voie de contrôle judiciaire devant la Cour fédérale.</w:t>
      </w:r>
    </w:p>
    <w:p w:rsidR="00926C38" w:rsidRPr="0033353E" w:rsidRDefault="0033353E" w:rsidP="00713495">
      <w:pPr>
        <w:tabs>
          <w:tab w:val="left" w:pos="540"/>
        </w:tabs>
        <w:spacing w:after="720"/>
        <w:ind w:left="540" w:hanging="540"/>
      </w:pPr>
      <w:r w:rsidRPr="0033353E">
        <w:lastRenderedPageBreak/>
        <w:t>I.</w:t>
      </w:r>
      <w:r w:rsidRPr="0033353E">
        <w:tab/>
      </w:r>
      <w:proofErr w:type="spellStart"/>
      <w:r w:rsidR="00926C38" w:rsidRPr="00FC3CD0">
        <w:rPr>
          <w:u w:val="single"/>
        </w:rPr>
        <w:t>Faits</w:t>
      </w:r>
      <w:proofErr w:type="spellEnd"/>
    </w:p>
    <w:p w:rsidR="00926C38" w:rsidRPr="00626FC3" w:rsidRDefault="0033353E" w:rsidP="001D3D64">
      <w:pPr>
        <w:pStyle w:val="ReasonsNumbering-AltN"/>
        <w:rPr>
          <w:lang w:val="fr-CA"/>
        </w:rPr>
      </w:pPr>
      <w:r>
        <w:rPr>
          <w:lang w:val="fr-CA"/>
        </w:rPr>
        <w:t>Nu-</w:t>
      </w:r>
      <w:proofErr w:type="spellStart"/>
      <w:r w:rsidR="00926C38" w:rsidRPr="00BE4A5A">
        <w:rPr>
          <w:lang w:val="fr-CA"/>
        </w:rPr>
        <w:t>Pharm</w:t>
      </w:r>
      <w:proofErr w:type="spellEnd"/>
      <w:r w:rsidR="00926C38" w:rsidRPr="00BE4A5A">
        <w:rPr>
          <w:lang w:val="fr-CA"/>
        </w:rPr>
        <w:t xml:space="preserve"> est une société qui fabrique et distribue des médicaments génériques.  </w:t>
      </w:r>
      <w:r w:rsidR="00926C38" w:rsidRPr="00626FC3">
        <w:rPr>
          <w:lang w:val="fr-CA"/>
        </w:rPr>
        <w:t>Elle fabrique le « </w:t>
      </w:r>
      <w:proofErr w:type="spellStart"/>
      <w:r w:rsidR="00926C38" w:rsidRPr="00626FC3">
        <w:rPr>
          <w:lang w:val="fr-CA"/>
        </w:rPr>
        <w:t>Nu</w:t>
      </w:r>
      <w:r w:rsidR="00926C38" w:rsidRPr="00626FC3">
        <w:rPr>
          <w:lang w:val="fr-CA"/>
        </w:rPr>
        <w:noBreakHyphen/>
        <w:t>Enalapril</w:t>
      </w:r>
      <w:proofErr w:type="spellEnd"/>
      <w:r w:rsidR="00926C38" w:rsidRPr="00626FC3">
        <w:rPr>
          <w:lang w:val="fr-CA"/>
        </w:rPr>
        <w:t xml:space="preserve"> », un médicament cardiovasculaire qui combat l’hypertension.  En 1997, </w:t>
      </w:r>
      <w:proofErr w:type="spellStart"/>
      <w:r w:rsidR="00926C38" w:rsidRPr="00626FC3">
        <w:rPr>
          <w:lang w:val="fr-CA"/>
        </w:rPr>
        <w:t>Nu</w:t>
      </w:r>
      <w:r w:rsidR="00926C38" w:rsidRPr="00626FC3">
        <w:rPr>
          <w:lang w:val="fr-CA"/>
        </w:rPr>
        <w:noBreakHyphen/>
        <w:t>Pharm</w:t>
      </w:r>
      <w:proofErr w:type="spellEnd"/>
      <w:r w:rsidR="00926C38" w:rsidRPr="00626FC3">
        <w:rPr>
          <w:lang w:val="fr-CA"/>
        </w:rPr>
        <w:t xml:space="preserve"> a déposé une présentation abrégée de drogue nouvelle à Santé Canada afin d’obtenir l’autorisation de vendre le </w:t>
      </w:r>
      <w:proofErr w:type="spellStart"/>
      <w:r w:rsidR="00926C38" w:rsidRPr="00626FC3">
        <w:rPr>
          <w:lang w:val="fr-CA"/>
        </w:rPr>
        <w:t>Nu</w:t>
      </w:r>
      <w:r w:rsidR="00926C38" w:rsidRPr="00626FC3">
        <w:rPr>
          <w:lang w:val="fr-CA"/>
        </w:rPr>
        <w:noBreakHyphen/>
        <w:t>Enalapril</w:t>
      </w:r>
      <w:proofErr w:type="spellEnd"/>
      <w:r w:rsidR="00926C38" w:rsidRPr="00626FC3">
        <w:rPr>
          <w:lang w:val="fr-CA"/>
        </w:rPr>
        <w:t xml:space="preserve"> au Canada.  Dans la présentation, </w:t>
      </w:r>
      <w:proofErr w:type="spellStart"/>
      <w:r w:rsidR="00926C38" w:rsidRPr="00626FC3">
        <w:rPr>
          <w:lang w:val="fr-CA"/>
        </w:rPr>
        <w:t>Nu</w:t>
      </w:r>
      <w:r w:rsidR="00926C38" w:rsidRPr="00626FC3">
        <w:rPr>
          <w:lang w:val="fr-CA"/>
        </w:rPr>
        <w:noBreakHyphen/>
        <w:t>Pharm</w:t>
      </w:r>
      <w:proofErr w:type="spellEnd"/>
      <w:r w:rsidR="00926C38" w:rsidRPr="00626FC3">
        <w:rPr>
          <w:lang w:val="fr-CA"/>
        </w:rPr>
        <w:t xml:space="preserve"> a comparé le </w:t>
      </w:r>
      <w:proofErr w:type="spellStart"/>
      <w:r w:rsidR="00926C38" w:rsidRPr="00626FC3">
        <w:rPr>
          <w:lang w:val="fr-CA"/>
        </w:rPr>
        <w:t>Nu</w:t>
      </w:r>
      <w:r w:rsidR="00926C38" w:rsidRPr="00626FC3">
        <w:rPr>
          <w:lang w:val="fr-CA"/>
        </w:rPr>
        <w:noBreakHyphen/>
        <w:t>Enalapril</w:t>
      </w:r>
      <w:proofErr w:type="spellEnd"/>
      <w:r w:rsidR="00926C38" w:rsidRPr="00626FC3">
        <w:rPr>
          <w:lang w:val="fr-CA"/>
        </w:rPr>
        <w:t xml:space="preserve"> et la version générique d’un médicament fabriqué par </w:t>
      </w:r>
      <w:proofErr w:type="spellStart"/>
      <w:r w:rsidR="00926C38" w:rsidRPr="00626FC3">
        <w:rPr>
          <w:lang w:val="fr-CA"/>
        </w:rPr>
        <w:t>Merck</w:t>
      </w:r>
      <w:proofErr w:type="spellEnd"/>
      <w:r w:rsidR="00926C38" w:rsidRPr="00626FC3">
        <w:rPr>
          <w:lang w:val="fr-CA"/>
        </w:rPr>
        <w:t xml:space="preserve"> and Co.  Santé Canada a refusé la présentation abrégée de d</w:t>
      </w:r>
      <w:r w:rsidR="00882005">
        <w:rPr>
          <w:lang w:val="fr-CA"/>
        </w:rPr>
        <w:t>rogue nouvelle, parce que celle-</w:t>
      </w:r>
      <w:r w:rsidR="00926C38" w:rsidRPr="00626FC3">
        <w:rPr>
          <w:lang w:val="fr-CA"/>
        </w:rPr>
        <w:t xml:space="preserve">ci ne faisait pas mention d’un produit de référence canadien valide, comme l’exige le </w:t>
      </w:r>
      <w:r w:rsidR="00926C38" w:rsidRPr="00626FC3">
        <w:rPr>
          <w:i/>
          <w:lang w:val="fr-CA"/>
        </w:rPr>
        <w:t>Règlement sur les aliments et drogues</w:t>
      </w:r>
      <w:r w:rsidR="007E76B9">
        <w:rPr>
          <w:lang w:val="fr-CA"/>
        </w:rPr>
        <w:t xml:space="preserve">, </w:t>
      </w:r>
      <w:r w:rsidR="00926C38" w:rsidRPr="00626FC3">
        <w:rPr>
          <w:lang w:val="fr-CA"/>
        </w:rPr>
        <w:t>C.R.C., ch.</w:t>
      </w:r>
      <w:r w:rsidR="007E76B9">
        <w:rPr>
          <w:lang w:val="fr-CA"/>
        </w:rPr>
        <w:t xml:space="preserve"> </w:t>
      </w:r>
      <w:r w:rsidR="00926C38" w:rsidRPr="00626FC3">
        <w:rPr>
          <w:lang w:val="fr-CA"/>
        </w:rPr>
        <w:t>870.  La Cour fédérale a annulé la décision de Santé Canada à l’issue d’une procédure de contrôle judiciaire (</w:t>
      </w:r>
      <w:r w:rsidR="00926C38" w:rsidRPr="00626FC3">
        <w:rPr>
          <w:i/>
          <w:lang w:val="fr-CA"/>
        </w:rPr>
        <w:t>Nu</w:t>
      </w:r>
      <w:r w:rsidR="007E76B9">
        <w:rPr>
          <w:i/>
          <w:lang w:val="fr-CA"/>
        </w:rPr>
        <w:t>-</w:t>
      </w:r>
      <w:proofErr w:type="spellStart"/>
      <w:r w:rsidR="00926C38" w:rsidRPr="00626FC3">
        <w:rPr>
          <w:i/>
          <w:lang w:val="fr-CA"/>
        </w:rPr>
        <w:t>Pharm</w:t>
      </w:r>
      <w:proofErr w:type="spellEnd"/>
      <w:r w:rsidR="00926C38" w:rsidRPr="00626FC3">
        <w:rPr>
          <w:i/>
          <w:lang w:val="fr-CA"/>
        </w:rPr>
        <w:t xml:space="preserve"> Inc. c. Canada (Procureur général)</w:t>
      </w:r>
      <w:r w:rsidR="00926C38" w:rsidRPr="00626FC3">
        <w:rPr>
          <w:lang w:val="fr-CA"/>
        </w:rPr>
        <w:t>, [1999] 1 C.F. 620).</w:t>
      </w:r>
    </w:p>
    <w:p w:rsidR="00926C38" w:rsidRPr="00626FC3" w:rsidRDefault="00926C38" w:rsidP="001D3D64">
      <w:pPr>
        <w:pStyle w:val="ReasonsNumbering-AltN"/>
        <w:rPr>
          <w:lang w:val="fr-CA"/>
        </w:rPr>
      </w:pPr>
      <w:r w:rsidRPr="00626FC3">
        <w:rPr>
          <w:lang w:val="fr-CA"/>
        </w:rPr>
        <w:t>Santé Canada a donc examiné la présentation abrégée de drogue nouvelle et délivré un avis de conformité pour le Nu</w:t>
      </w:r>
      <w:r w:rsidR="007E76B9">
        <w:rPr>
          <w:lang w:val="fr-CA"/>
        </w:rPr>
        <w:t>-</w:t>
      </w:r>
      <w:proofErr w:type="spellStart"/>
      <w:r w:rsidRPr="00626FC3">
        <w:rPr>
          <w:lang w:val="fr-CA"/>
        </w:rPr>
        <w:t>Enalapril</w:t>
      </w:r>
      <w:proofErr w:type="spellEnd"/>
      <w:r w:rsidRPr="00626FC3">
        <w:rPr>
          <w:lang w:val="fr-CA"/>
        </w:rPr>
        <w:t>, une condition à respecter pour annoncer et vendre le médicament (</w:t>
      </w:r>
      <w:r w:rsidRPr="00626FC3">
        <w:rPr>
          <w:i/>
          <w:lang w:val="fr-CA"/>
        </w:rPr>
        <w:t>Règlement sur les aliments et drogues</w:t>
      </w:r>
      <w:r w:rsidRPr="00626FC3">
        <w:rPr>
          <w:lang w:val="fr-CA"/>
        </w:rPr>
        <w:t>, al. C.08.002(1)</w:t>
      </w:r>
      <w:r w:rsidRPr="00626FC3">
        <w:rPr>
          <w:i/>
          <w:lang w:val="fr-CA"/>
        </w:rPr>
        <w:t>b</w:t>
      </w:r>
      <w:r w:rsidRPr="00626FC3">
        <w:rPr>
          <w:lang w:val="fr-CA"/>
        </w:rPr>
        <w:t xml:space="preserve">)).  </w:t>
      </w:r>
      <w:proofErr w:type="spellStart"/>
      <w:r w:rsidRPr="00626FC3">
        <w:rPr>
          <w:lang w:val="fr-CA"/>
        </w:rPr>
        <w:t>Merck</w:t>
      </w:r>
      <w:proofErr w:type="spellEnd"/>
      <w:r w:rsidRPr="00626FC3">
        <w:rPr>
          <w:lang w:val="fr-CA"/>
        </w:rPr>
        <w:t xml:space="preserve"> a demandé le contrôle judiciaire de la décision accordant l’avis de conform</w:t>
      </w:r>
      <w:r w:rsidR="007E76B9">
        <w:rPr>
          <w:lang w:val="fr-CA"/>
        </w:rPr>
        <w:t>ité, car Nu-</w:t>
      </w:r>
      <w:proofErr w:type="spellStart"/>
      <w:r w:rsidRPr="00626FC3">
        <w:rPr>
          <w:lang w:val="fr-CA"/>
        </w:rPr>
        <w:t>Pharm</w:t>
      </w:r>
      <w:proofErr w:type="spellEnd"/>
      <w:r w:rsidRPr="00626FC3">
        <w:rPr>
          <w:lang w:val="fr-CA"/>
        </w:rPr>
        <w:t xml:space="preserve"> avait comparé son produit à la version générique du médicament de </w:t>
      </w:r>
      <w:proofErr w:type="spellStart"/>
      <w:r w:rsidRPr="00626FC3">
        <w:rPr>
          <w:lang w:val="fr-CA"/>
        </w:rPr>
        <w:t>Merck</w:t>
      </w:r>
      <w:proofErr w:type="spellEnd"/>
      <w:r w:rsidRPr="00626FC3">
        <w:rPr>
          <w:lang w:val="fr-CA"/>
        </w:rPr>
        <w:t xml:space="preserve">, et non à sa version brevetée, le </w:t>
      </w:r>
      <w:proofErr w:type="spellStart"/>
      <w:r w:rsidRPr="00626FC3">
        <w:rPr>
          <w:lang w:val="fr-CA"/>
        </w:rPr>
        <w:t>V</w:t>
      </w:r>
      <w:r w:rsidR="007E76B9">
        <w:rPr>
          <w:lang w:val="fr-CA"/>
        </w:rPr>
        <w:t>asotec</w:t>
      </w:r>
      <w:proofErr w:type="spellEnd"/>
      <w:r w:rsidRPr="00626FC3">
        <w:rPr>
          <w:lang w:val="fr-CA"/>
        </w:rPr>
        <w:t xml:space="preserve">.  La Cour fédérale a accueilli la demande de contrôle judiciaire, au motif que cette décision était contraire au </w:t>
      </w:r>
      <w:r w:rsidRPr="00626FC3">
        <w:rPr>
          <w:i/>
          <w:lang w:val="fr-CA"/>
        </w:rPr>
        <w:t>Règlement sur</w:t>
      </w:r>
      <w:r w:rsidRPr="00626FC3">
        <w:rPr>
          <w:lang w:val="fr-CA"/>
        </w:rPr>
        <w:t xml:space="preserve"> </w:t>
      </w:r>
      <w:r w:rsidRPr="00626FC3">
        <w:rPr>
          <w:i/>
          <w:lang w:val="fr-CA"/>
        </w:rPr>
        <w:t>les médicaments brevetés (avis de conformité)</w:t>
      </w:r>
      <w:r w:rsidRPr="00626FC3">
        <w:rPr>
          <w:lang w:val="fr-CA"/>
        </w:rPr>
        <w:t>, DORS/93</w:t>
      </w:r>
      <w:r w:rsidRPr="00626FC3">
        <w:rPr>
          <w:lang w:val="fr-CA"/>
        </w:rPr>
        <w:noBreakHyphen/>
        <w:t>133 (</w:t>
      </w:r>
      <w:proofErr w:type="spellStart"/>
      <w:r w:rsidRPr="00626FC3">
        <w:rPr>
          <w:i/>
          <w:lang w:val="fr-CA"/>
        </w:rPr>
        <w:t>Merck</w:t>
      </w:r>
      <w:proofErr w:type="spellEnd"/>
      <w:r w:rsidRPr="00626FC3">
        <w:rPr>
          <w:i/>
          <w:lang w:val="fr-CA"/>
        </w:rPr>
        <w:t xml:space="preserve"> &amp; Co. c. Canada (Procureur général)</w:t>
      </w:r>
      <w:r w:rsidR="007E76B9">
        <w:rPr>
          <w:lang w:val="fr-CA"/>
        </w:rPr>
        <w:t xml:space="preserve">, </w:t>
      </w:r>
      <w:r w:rsidRPr="00626FC3">
        <w:rPr>
          <w:lang w:val="fr-CA"/>
        </w:rPr>
        <w:t xml:space="preserve">1999 </w:t>
      </w:r>
      <w:proofErr w:type="spellStart"/>
      <w:r w:rsidR="007E76B9">
        <w:rPr>
          <w:lang w:val="fr-CA"/>
        </w:rPr>
        <w:t>CanLII</w:t>
      </w:r>
      <w:proofErr w:type="spellEnd"/>
      <w:r w:rsidR="007E76B9">
        <w:rPr>
          <w:lang w:val="fr-CA"/>
        </w:rPr>
        <w:t xml:space="preserve"> 9090</w:t>
      </w:r>
      <w:r w:rsidRPr="00626FC3">
        <w:rPr>
          <w:szCs w:val="24"/>
          <w:lang w:val="fr-CA"/>
        </w:rPr>
        <w:t>)</w:t>
      </w:r>
      <w:r w:rsidRPr="00626FC3">
        <w:rPr>
          <w:lang w:val="fr-CA"/>
        </w:rPr>
        <w:t xml:space="preserve">.  La </w:t>
      </w:r>
      <w:r w:rsidRPr="00626FC3">
        <w:rPr>
          <w:lang w:val="fr-CA"/>
        </w:rPr>
        <w:lastRenderedPageBreak/>
        <w:t>Cour d’appel fédérale a confirmé cette décision (</w:t>
      </w:r>
      <w:proofErr w:type="spellStart"/>
      <w:r w:rsidRPr="00626FC3">
        <w:rPr>
          <w:i/>
          <w:lang w:val="fr-CA"/>
        </w:rPr>
        <w:t>Merck</w:t>
      </w:r>
      <w:proofErr w:type="spellEnd"/>
      <w:r w:rsidRPr="00626FC3">
        <w:rPr>
          <w:i/>
          <w:lang w:val="fr-CA"/>
        </w:rPr>
        <w:t xml:space="preserve"> &amp; Co. c. </w:t>
      </w:r>
      <w:r w:rsidR="007E76B9">
        <w:rPr>
          <w:i/>
          <w:lang w:val="fr-CA"/>
        </w:rPr>
        <w:t>Canada (Procureur général)</w:t>
      </w:r>
      <w:r w:rsidRPr="00626FC3">
        <w:rPr>
          <w:lang w:val="fr-CA"/>
        </w:rPr>
        <w:t>, 2000</w:t>
      </w:r>
      <w:r w:rsidR="007E76B9">
        <w:rPr>
          <w:lang w:val="fr-CA"/>
        </w:rPr>
        <w:t xml:space="preserve"> </w:t>
      </w:r>
      <w:proofErr w:type="spellStart"/>
      <w:r w:rsidR="007E76B9">
        <w:rPr>
          <w:lang w:val="fr-CA"/>
        </w:rPr>
        <w:t>CanLII</w:t>
      </w:r>
      <w:proofErr w:type="spellEnd"/>
      <w:r w:rsidR="007E76B9">
        <w:rPr>
          <w:lang w:val="fr-CA"/>
        </w:rPr>
        <w:t xml:space="preserve"> 15094</w:t>
      </w:r>
      <w:r w:rsidRPr="00626FC3">
        <w:rPr>
          <w:lang w:val="fr-CA"/>
        </w:rPr>
        <w:t xml:space="preserve">).  La Cour a rejeté la demande d’autorisation d’appel de </w:t>
      </w:r>
      <w:proofErr w:type="spellStart"/>
      <w:r w:rsidRPr="00626FC3">
        <w:rPr>
          <w:lang w:val="fr-CA"/>
        </w:rPr>
        <w:t>Nu</w:t>
      </w:r>
      <w:r w:rsidRPr="00626FC3">
        <w:rPr>
          <w:lang w:val="fr-CA"/>
        </w:rPr>
        <w:noBreakHyphen/>
        <w:t>Pharm</w:t>
      </w:r>
      <w:proofErr w:type="spellEnd"/>
      <w:r w:rsidRPr="00626FC3">
        <w:rPr>
          <w:lang w:val="fr-CA"/>
        </w:rPr>
        <w:t xml:space="preserve"> ([2000] 1 R.C.S. xvii).</w:t>
      </w:r>
    </w:p>
    <w:p w:rsidR="00926C38" w:rsidRPr="00626FC3" w:rsidRDefault="00926C38" w:rsidP="001D3D64">
      <w:pPr>
        <w:pStyle w:val="ReasonsNumbering-AltN"/>
        <w:rPr>
          <w:lang w:val="fr-CA"/>
        </w:rPr>
      </w:pPr>
      <w:r w:rsidRPr="00626FC3">
        <w:rPr>
          <w:lang w:val="fr-CA"/>
        </w:rPr>
        <w:t xml:space="preserve">Par suite des décisions susmentionnées, </w:t>
      </w:r>
      <w:proofErr w:type="spellStart"/>
      <w:r w:rsidRPr="00626FC3">
        <w:rPr>
          <w:lang w:val="fr-CA"/>
        </w:rPr>
        <w:t>Nu</w:t>
      </w:r>
      <w:r w:rsidRPr="00626FC3">
        <w:rPr>
          <w:lang w:val="fr-CA"/>
        </w:rPr>
        <w:noBreakHyphen/>
        <w:t>Pharm</w:t>
      </w:r>
      <w:proofErr w:type="spellEnd"/>
      <w:r w:rsidRPr="00626FC3">
        <w:rPr>
          <w:lang w:val="fr-CA"/>
        </w:rPr>
        <w:t xml:space="preserve"> ne disposait plus d’un avis de conformité lui permettant de mettre en marché le </w:t>
      </w:r>
      <w:proofErr w:type="spellStart"/>
      <w:r w:rsidRPr="00626FC3">
        <w:rPr>
          <w:lang w:val="fr-CA"/>
        </w:rPr>
        <w:t>Nu</w:t>
      </w:r>
      <w:r w:rsidRPr="00626FC3">
        <w:rPr>
          <w:lang w:val="fr-CA"/>
        </w:rPr>
        <w:noBreakHyphen/>
        <w:t>Enalapril</w:t>
      </w:r>
      <w:proofErr w:type="spellEnd"/>
      <w:r w:rsidRPr="00626FC3">
        <w:rPr>
          <w:lang w:val="fr-CA"/>
        </w:rPr>
        <w:t>.  Le directeur général de la Direction des produits thérapeutiques de Santé Canada a avisé les responsables provinciaux des programmes d’assurance médicaments et des registres des pharmaciens qu’il était désormais interdit de vendre et d’annoncer le Nu-</w:t>
      </w:r>
      <w:proofErr w:type="spellStart"/>
      <w:r w:rsidRPr="00626FC3">
        <w:rPr>
          <w:lang w:val="fr-CA"/>
        </w:rPr>
        <w:t>Enalapril</w:t>
      </w:r>
      <w:proofErr w:type="spellEnd"/>
      <w:r w:rsidRPr="00626FC3">
        <w:rPr>
          <w:lang w:val="fr-CA"/>
        </w:rPr>
        <w:t>.</w:t>
      </w:r>
    </w:p>
    <w:p w:rsidR="00926C38" w:rsidRPr="00626FC3" w:rsidRDefault="00926C38" w:rsidP="00926C38">
      <w:pPr>
        <w:pStyle w:val="Citation1"/>
        <w:ind w:left="0"/>
        <w:contextualSpacing w:val="0"/>
        <w:rPr>
          <w:lang w:val="fr-CA"/>
        </w:rPr>
      </w:pPr>
      <w:r w:rsidRPr="00626FC3">
        <w:rPr>
          <w:lang w:val="fr-CA"/>
        </w:rPr>
        <w:t>1.  Lettre du 22</w:t>
      </w:r>
      <w:r w:rsidR="00882005">
        <w:rPr>
          <w:lang w:val="fr-CA"/>
        </w:rPr>
        <w:t xml:space="preserve"> </w:t>
      </w:r>
      <w:r w:rsidRPr="00626FC3">
        <w:rPr>
          <w:lang w:val="fr-CA"/>
        </w:rPr>
        <w:t>mars 2000 :</w:t>
      </w:r>
    </w:p>
    <w:p w:rsidR="00926C38" w:rsidRPr="00626FC3" w:rsidRDefault="00926C38" w:rsidP="007E76B9">
      <w:pPr>
        <w:pStyle w:val="Citation1"/>
        <w:spacing w:after="240"/>
        <w:ind w:firstLine="274"/>
        <w:rPr>
          <w:lang w:val="fr-CA"/>
        </w:rPr>
      </w:pPr>
      <w:r w:rsidRPr="00626FC3">
        <w:rPr>
          <w:lang w:val="fr-CA"/>
        </w:rPr>
        <w:tab/>
      </w:r>
      <w:r w:rsidR="007E76B9" w:rsidRPr="00626FC3">
        <w:rPr>
          <w:lang w:val="fr-CA"/>
        </w:rPr>
        <w:t>[</w:t>
      </w:r>
      <w:r w:rsidR="007E76B9" w:rsidRPr="00626FC3">
        <w:rPr>
          <w:smallCaps/>
          <w:lang w:val="fr-CA"/>
        </w:rPr>
        <w:t>traduction</w:t>
      </w:r>
      <w:r w:rsidR="007E76B9" w:rsidRPr="00626FC3">
        <w:rPr>
          <w:lang w:val="fr-CA"/>
        </w:rPr>
        <w:t>]</w:t>
      </w:r>
      <w:r w:rsidR="007E76B9">
        <w:rPr>
          <w:lang w:val="fr-CA"/>
        </w:rPr>
        <w:t xml:space="preserve"> Un jugement récent de la Cour d’</w:t>
      </w:r>
      <w:r w:rsidRPr="00626FC3">
        <w:rPr>
          <w:lang w:val="fr-CA"/>
        </w:rPr>
        <w:t>appel fé</w:t>
      </w:r>
      <w:r w:rsidR="007E76B9">
        <w:rPr>
          <w:lang w:val="fr-CA"/>
        </w:rPr>
        <w:t>dérale a modifié le statut de l’</w:t>
      </w:r>
      <w:r w:rsidRPr="00626FC3">
        <w:rPr>
          <w:lang w:val="fr-CA"/>
        </w:rPr>
        <w:t>avis de conformité délivré le 25 février 199</w:t>
      </w:r>
      <w:r w:rsidR="007E76B9">
        <w:rPr>
          <w:lang w:val="fr-CA"/>
        </w:rPr>
        <w:t>9 relativement aux comprimés Nu-</w:t>
      </w:r>
      <w:proofErr w:type="spellStart"/>
      <w:r w:rsidRPr="00626FC3">
        <w:rPr>
          <w:lang w:val="fr-CA"/>
        </w:rPr>
        <w:t>Enalapril</w:t>
      </w:r>
      <w:proofErr w:type="spellEnd"/>
      <w:r w:rsidRPr="00626FC3">
        <w:rPr>
          <w:lang w:val="fr-CA"/>
        </w:rPr>
        <w:t xml:space="preserve"> de 2,5, 5, 10 et 20 mg.</w:t>
      </w:r>
    </w:p>
    <w:p w:rsidR="00926C38" w:rsidRPr="00626FC3" w:rsidRDefault="00926C38" w:rsidP="00926C38">
      <w:pPr>
        <w:pStyle w:val="Citation1"/>
        <w:spacing w:after="240"/>
        <w:ind w:firstLine="274"/>
        <w:rPr>
          <w:lang w:val="fr-CA"/>
        </w:rPr>
      </w:pPr>
    </w:p>
    <w:p w:rsidR="00926C38" w:rsidRPr="00626FC3" w:rsidRDefault="00926C38" w:rsidP="00926C38">
      <w:pPr>
        <w:pStyle w:val="Citation1"/>
        <w:spacing w:after="240"/>
        <w:ind w:firstLine="274"/>
        <w:rPr>
          <w:lang w:val="fr-CA"/>
        </w:rPr>
      </w:pPr>
      <w:r w:rsidRPr="00626FC3">
        <w:rPr>
          <w:lang w:val="fr-CA"/>
        </w:rPr>
        <w:tab/>
        <w:t>Le 13</w:t>
      </w:r>
      <w:r w:rsidR="001A5915">
        <w:rPr>
          <w:lang w:val="fr-CA"/>
        </w:rPr>
        <w:t xml:space="preserve"> </w:t>
      </w:r>
      <w:r w:rsidRPr="00626FC3">
        <w:rPr>
          <w:lang w:val="fr-CA"/>
        </w:rPr>
        <w:t>mars 2000, dans le dossier portant le numéro de greffe A</w:t>
      </w:r>
      <w:r w:rsidR="007E76B9">
        <w:rPr>
          <w:lang w:val="fr-CA"/>
        </w:rPr>
        <w:t>-</w:t>
      </w:r>
      <w:r w:rsidRPr="00626FC3">
        <w:rPr>
          <w:lang w:val="fr-CA"/>
        </w:rPr>
        <w:t>804-99, la Cour a rejeté l</w:t>
      </w:r>
      <w:r w:rsidR="007E76B9">
        <w:rPr>
          <w:lang w:val="fr-CA"/>
        </w:rPr>
        <w:t>’</w:t>
      </w:r>
      <w:r w:rsidRPr="00626FC3">
        <w:rPr>
          <w:lang w:val="fr-CA"/>
        </w:rPr>
        <w:t>appel interjeté par Nu-</w:t>
      </w:r>
      <w:proofErr w:type="spellStart"/>
      <w:r w:rsidRPr="00626FC3">
        <w:rPr>
          <w:lang w:val="fr-CA"/>
        </w:rPr>
        <w:t>Pharm</w:t>
      </w:r>
      <w:proofErr w:type="spellEnd"/>
      <w:r w:rsidRPr="00626FC3">
        <w:rPr>
          <w:lang w:val="fr-CA"/>
        </w:rPr>
        <w:t xml:space="preserve"> à l</w:t>
      </w:r>
      <w:r w:rsidR="007E76B9">
        <w:rPr>
          <w:lang w:val="fr-CA"/>
        </w:rPr>
        <w:t>’</w:t>
      </w:r>
      <w:r w:rsidRPr="00626FC3">
        <w:rPr>
          <w:lang w:val="fr-CA"/>
        </w:rPr>
        <w:t>encontre de la décision rendue par la Section de première instance dans le dossier portant le numéro de greffe T</w:t>
      </w:r>
      <w:r w:rsidR="007E76B9">
        <w:rPr>
          <w:lang w:val="fr-CA"/>
        </w:rPr>
        <w:t>-</w:t>
      </w:r>
      <w:r w:rsidRPr="00626FC3">
        <w:rPr>
          <w:lang w:val="fr-CA"/>
        </w:rPr>
        <w:t>398-99.</w:t>
      </w:r>
    </w:p>
    <w:p w:rsidR="00926C38" w:rsidRPr="00626FC3" w:rsidRDefault="00926C38" w:rsidP="00926C38">
      <w:pPr>
        <w:pStyle w:val="Citation1"/>
        <w:spacing w:after="240"/>
        <w:ind w:firstLine="274"/>
        <w:rPr>
          <w:lang w:val="fr-CA"/>
        </w:rPr>
      </w:pPr>
    </w:p>
    <w:p w:rsidR="00926C38" w:rsidRPr="00626FC3" w:rsidRDefault="00926C38" w:rsidP="00926C38">
      <w:pPr>
        <w:pStyle w:val="Citation1"/>
        <w:spacing w:after="240"/>
        <w:ind w:firstLine="274"/>
        <w:contextualSpacing w:val="0"/>
        <w:rPr>
          <w:lang w:val="fr-CA"/>
        </w:rPr>
      </w:pPr>
      <w:r w:rsidRPr="00626FC3">
        <w:rPr>
          <w:lang w:val="fr-CA"/>
        </w:rPr>
        <w:tab/>
        <w:t>En a</w:t>
      </w:r>
      <w:r w:rsidR="001A5915">
        <w:rPr>
          <w:lang w:val="fr-CA"/>
        </w:rPr>
        <w:t>pplication de cette décision, l’</w:t>
      </w:r>
      <w:r w:rsidRPr="00626FC3">
        <w:rPr>
          <w:lang w:val="fr-CA"/>
        </w:rPr>
        <w:t>avis de conformité concernant le Nu-</w:t>
      </w:r>
      <w:proofErr w:type="spellStart"/>
      <w:r w:rsidR="001A5915">
        <w:rPr>
          <w:lang w:val="fr-CA"/>
        </w:rPr>
        <w:t>Enalapril</w:t>
      </w:r>
      <w:proofErr w:type="spellEnd"/>
      <w:r w:rsidR="001A5915">
        <w:rPr>
          <w:lang w:val="fr-CA"/>
        </w:rPr>
        <w:t xml:space="preserve"> n’</w:t>
      </w:r>
      <w:r w:rsidRPr="00626FC3">
        <w:rPr>
          <w:lang w:val="fr-CA"/>
        </w:rPr>
        <w:t>est plus valide.  Par conséquent, les produits Nu-</w:t>
      </w:r>
      <w:proofErr w:type="spellStart"/>
      <w:r w:rsidRPr="00626FC3">
        <w:rPr>
          <w:lang w:val="fr-CA"/>
        </w:rPr>
        <w:t>Enalapril</w:t>
      </w:r>
      <w:proofErr w:type="spellEnd"/>
      <w:r w:rsidRPr="00626FC3">
        <w:rPr>
          <w:lang w:val="fr-CA"/>
        </w:rPr>
        <w:t xml:space="preserve"> ne peuvent plus être vend</w:t>
      </w:r>
      <w:r w:rsidR="001A5915">
        <w:rPr>
          <w:lang w:val="fr-CA"/>
        </w:rPr>
        <w:t>us ou annoncés conformément à l’</w:t>
      </w:r>
      <w:r w:rsidRPr="00626FC3">
        <w:rPr>
          <w:lang w:val="fr-CA"/>
        </w:rPr>
        <w:t>avis de conformité délivré le 25 février 1999, sous réserve d'un examen judiciaire ultérieur de la décision.</w:t>
      </w:r>
    </w:p>
    <w:p w:rsidR="00926C38" w:rsidRPr="00626FC3" w:rsidRDefault="00926C38" w:rsidP="00926C38">
      <w:pPr>
        <w:pStyle w:val="Citation1"/>
        <w:keepNext/>
        <w:spacing w:after="240"/>
        <w:ind w:left="0"/>
        <w:contextualSpacing w:val="0"/>
        <w:rPr>
          <w:lang w:val="fr-CA"/>
        </w:rPr>
      </w:pPr>
      <w:r w:rsidRPr="00626FC3">
        <w:rPr>
          <w:lang w:val="fr-CA"/>
        </w:rPr>
        <w:t>2.  Lettre du 31 mars 2000 :</w:t>
      </w:r>
    </w:p>
    <w:p w:rsidR="00926C38" w:rsidRPr="00626FC3" w:rsidRDefault="00926C38" w:rsidP="00926C38">
      <w:pPr>
        <w:pStyle w:val="Citation1"/>
        <w:keepNext/>
        <w:spacing w:after="0"/>
        <w:contextualSpacing w:val="0"/>
        <w:rPr>
          <w:lang w:val="fr-CA"/>
        </w:rPr>
      </w:pPr>
    </w:p>
    <w:p w:rsidR="00926C38" w:rsidRPr="00626FC3" w:rsidRDefault="001A5915" w:rsidP="001A5915">
      <w:pPr>
        <w:pStyle w:val="Citation1"/>
        <w:spacing w:after="240"/>
        <w:ind w:firstLine="274"/>
        <w:contextualSpacing w:val="0"/>
        <w:rPr>
          <w:lang w:val="fr-CA"/>
        </w:rPr>
      </w:pPr>
      <w:r>
        <w:rPr>
          <w:lang w:val="fr-CA"/>
        </w:rPr>
        <w:tab/>
      </w:r>
      <w:r w:rsidRPr="00626FC3">
        <w:rPr>
          <w:lang w:val="fr-CA"/>
        </w:rPr>
        <w:t>[</w:t>
      </w:r>
      <w:r w:rsidRPr="00626FC3">
        <w:rPr>
          <w:smallCaps/>
          <w:lang w:val="fr-CA"/>
        </w:rPr>
        <w:t>traduction</w:t>
      </w:r>
      <w:r w:rsidRPr="00626FC3">
        <w:rPr>
          <w:lang w:val="fr-CA"/>
        </w:rPr>
        <w:t>]</w:t>
      </w:r>
      <w:r>
        <w:rPr>
          <w:lang w:val="fr-CA"/>
        </w:rPr>
        <w:t xml:space="preserve"> À moins d’</w:t>
      </w:r>
      <w:r w:rsidR="00926C38" w:rsidRPr="00626FC3">
        <w:rPr>
          <w:lang w:val="fr-CA"/>
        </w:rPr>
        <w:t>une ordon</w:t>
      </w:r>
      <w:r>
        <w:rPr>
          <w:lang w:val="fr-CA"/>
        </w:rPr>
        <w:t>nance judiciaire ultérieure à l’</w:t>
      </w:r>
      <w:r w:rsidR="00926C38" w:rsidRPr="00626FC3">
        <w:rPr>
          <w:lang w:val="fr-CA"/>
        </w:rPr>
        <w:t>effet contraire, l</w:t>
      </w:r>
      <w:r>
        <w:rPr>
          <w:lang w:val="fr-CA"/>
        </w:rPr>
        <w:t>’</w:t>
      </w:r>
      <w:r w:rsidR="00926C38" w:rsidRPr="00626FC3">
        <w:rPr>
          <w:lang w:val="fr-CA"/>
        </w:rPr>
        <w:t>avis de conformité concernant le Nu</w:t>
      </w:r>
      <w:r>
        <w:rPr>
          <w:lang w:val="fr-CA"/>
        </w:rPr>
        <w:t>-</w:t>
      </w:r>
      <w:proofErr w:type="spellStart"/>
      <w:r w:rsidR="00926C38" w:rsidRPr="00626FC3">
        <w:rPr>
          <w:lang w:val="fr-CA"/>
        </w:rPr>
        <w:t>Enalapril</w:t>
      </w:r>
      <w:proofErr w:type="spellEnd"/>
      <w:r w:rsidR="00926C38" w:rsidRPr="00626FC3">
        <w:rPr>
          <w:lang w:val="fr-CA"/>
        </w:rPr>
        <w:t xml:space="preserve"> est </w:t>
      </w:r>
      <w:r w:rsidR="00926C38" w:rsidRPr="00626FC3">
        <w:rPr>
          <w:lang w:val="fr-CA"/>
        </w:rPr>
        <w:lastRenderedPageBreak/>
        <w:t>invalide depuis le jugement prononcé par la Cour d'appel fédérale le 13 mars</w:t>
      </w:r>
      <w:r w:rsidR="00713495">
        <w:rPr>
          <w:lang w:val="fr-CA"/>
        </w:rPr>
        <w:t xml:space="preserve"> 2000. Désormais, la vente du Nu-</w:t>
      </w:r>
      <w:proofErr w:type="spellStart"/>
      <w:r w:rsidR="00926C38" w:rsidRPr="00626FC3">
        <w:rPr>
          <w:lang w:val="fr-CA"/>
        </w:rPr>
        <w:t>E</w:t>
      </w:r>
      <w:r w:rsidR="00713495">
        <w:rPr>
          <w:lang w:val="fr-CA"/>
        </w:rPr>
        <w:t>nalapril</w:t>
      </w:r>
      <w:proofErr w:type="spellEnd"/>
      <w:r w:rsidR="00926C38" w:rsidRPr="00626FC3">
        <w:rPr>
          <w:lang w:val="fr-CA"/>
        </w:rPr>
        <w:t xml:space="preserve"> ou la publicité relative à ce médicame</w:t>
      </w:r>
      <w:r w:rsidR="00713495">
        <w:rPr>
          <w:lang w:val="fr-CA"/>
        </w:rPr>
        <w:t>nt constitue une violation de l’</w:t>
      </w:r>
      <w:r w:rsidR="00926C38" w:rsidRPr="00626FC3">
        <w:rPr>
          <w:lang w:val="fr-CA"/>
        </w:rPr>
        <w:t>article</w:t>
      </w:r>
      <w:r w:rsidR="00713495">
        <w:rPr>
          <w:lang w:val="fr-CA"/>
        </w:rPr>
        <w:t xml:space="preserve"> </w:t>
      </w:r>
      <w:r w:rsidR="00926C38" w:rsidRPr="00626FC3">
        <w:rPr>
          <w:lang w:val="fr-CA"/>
        </w:rPr>
        <w:t xml:space="preserve">C.08.002 du </w:t>
      </w:r>
      <w:r w:rsidR="00926C38" w:rsidRPr="00626FC3">
        <w:rPr>
          <w:i/>
          <w:lang w:val="fr-CA"/>
        </w:rPr>
        <w:t>Règlement sur les aliments et drogues</w:t>
      </w:r>
      <w:r w:rsidR="00926C38" w:rsidRPr="00626FC3">
        <w:rPr>
          <w:lang w:val="fr-CA"/>
        </w:rPr>
        <w:t xml:space="preserve">. </w:t>
      </w:r>
      <w:r w:rsidR="00713495">
        <w:rPr>
          <w:lang w:val="fr-CA"/>
        </w:rPr>
        <w:t xml:space="preserve"> Cela vise la distribution et l’</w:t>
      </w:r>
      <w:r w:rsidR="00926C38" w:rsidRPr="00626FC3">
        <w:rPr>
          <w:lang w:val="fr-CA"/>
        </w:rPr>
        <w:t>exécution des ordonnances en utilisant les stoc</w:t>
      </w:r>
      <w:r w:rsidR="00713495">
        <w:rPr>
          <w:lang w:val="fr-CA"/>
        </w:rPr>
        <w:t>ks de médicaments achetés de Nu-</w:t>
      </w:r>
      <w:proofErr w:type="spellStart"/>
      <w:r w:rsidR="00926C38" w:rsidRPr="00626FC3">
        <w:rPr>
          <w:lang w:val="fr-CA"/>
        </w:rPr>
        <w:t>Pharm</w:t>
      </w:r>
      <w:proofErr w:type="spellEnd"/>
      <w:r w:rsidR="00926C38" w:rsidRPr="00626FC3">
        <w:rPr>
          <w:lang w:val="fr-CA"/>
        </w:rPr>
        <w:t xml:space="preserve"> avant le jugement.</w:t>
      </w:r>
    </w:p>
    <w:p w:rsidR="00926C38" w:rsidRPr="00626FC3" w:rsidRDefault="00926C38" w:rsidP="00926C38">
      <w:pPr>
        <w:pStyle w:val="Citation1"/>
        <w:rPr>
          <w:lang w:val="fr-CA"/>
        </w:rPr>
      </w:pPr>
    </w:p>
    <w:p w:rsidR="00926C38" w:rsidRPr="00626FC3" w:rsidRDefault="00926C38" w:rsidP="00926C38">
      <w:pPr>
        <w:pStyle w:val="Citation1"/>
        <w:rPr>
          <w:lang w:val="fr-CA"/>
        </w:rPr>
      </w:pPr>
      <w:r w:rsidRPr="00626FC3">
        <w:rPr>
          <w:lang w:val="fr-CA"/>
        </w:rPr>
        <w:tab/>
        <w:t xml:space="preserve">La DPT a fait le point sur cette interprétation avec </w:t>
      </w:r>
      <w:proofErr w:type="spellStart"/>
      <w:r w:rsidRPr="00626FC3">
        <w:rPr>
          <w:lang w:val="fr-CA"/>
        </w:rPr>
        <w:t>Nu</w:t>
      </w:r>
      <w:r w:rsidRPr="00626FC3">
        <w:rPr>
          <w:lang w:val="fr-CA"/>
        </w:rPr>
        <w:noBreakHyphen/>
        <w:t>Pharm</w:t>
      </w:r>
      <w:proofErr w:type="spellEnd"/>
      <w:r w:rsidRPr="00626FC3">
        <w:rPr>
          <w:lang w:val="fr-CA"/>
        </w:rPr>
        <w:t>.</w:t>
      </w:r>
    </w:p>
    <w:p w:rsidR="00926C38" w:rsidRPr="00626FC3" w:rsidRDefault="00926C38" w:rsidP="001D3D64">
      <w:pPr>
        <w:pStyle w:val="ReasonsNumbering-AltN"/>
        <w:rPr>
          <w:lang w:val="fr-CA"/>
        </w:rPr>
      </w:pPr>
      <w:proofErr w:type="spellStart"/>
      <w:r w:rsidRPr="00626FC3">
        <w:rPr>
          <w:lang w:val="fr-CA"/>
        </w:rPr>
        <w:t>Nu</w:t>
      </w:r>
      <w:r w:rsidRPr="00626FC3">
        <w:rPr>
          <w:lang w:val="fr-CA"/>
        </w:rPr>
        <w:noBreakHyphen/>
        <w:t>Pharm</w:t>
      </w:r>
      <w:proofErr w:type="spellEnd"/>
      <w:r w:rsidRPr="00626FC3">
        <w:rPr>
          <w:lang w:val="fr-CA"/>
        </w:rPr>
        <w:t xml:space="preserve"> a écrit au directeur général pour l’aviser qu’elle était en désaccord avec la position de Santé Canada et les affirmations faites dans les lettres.  </w:t>
      </w:r>
      <w:proofErr w:type="spellStart"/>
      <w:r w:rsidRPr="00626FC3">
        <w:rPr>
          <w:lang w:val="fr-CA"/>
        </w:rPr>
        <w:t>Nu</w:t>
      </w:r>
      <w:r w:rsidRPr="00626FC3">
        <w:rPr>
          <w:lang w:val="fr-CA"/>
        </w:rPr>
        <w:noBreakHyphen/>
        <w:t>Pharm</w:t>
      </w:r>
      <w:proofErr w:type="spellEnd"/>
      <w:r w:rsidRPr="00626FC3">
        <w:rPr>
          <w:lang w:val="fr-CA"/>
        </w:rPr>
        <w:t xml:space="preserve"> a fait valoir que le </w:t>
      </w:r>
      <w:proofErr w:type="spellStart"/>
      <w:r w:rsidRPr="00626FC3">
        <w:rPr>
          <w:lang w:val="fr-CA"/>
        </w:rPr>
        <w:t>Nu</w:t>
      </w:r>
      <w:r w:rsidRPr="00626FC3">
        <w:rPr>
          <w:lang w:val="fr-CA"/>
        </w:rPr>
        <w:noBreakHyphen/>
        <w:t>Enalapril</w:t>
      </w:r>
      <w:proofErr w:type="spellEnd"/>
      <w:r w:rsidRPr="00626FC3">
        <w:rPr>
          <w:lang w:val="fr-CA"/>
        </w:rPr>
        <w:t xml:space="preserve"> n’était pas une drogue nouvelle au sens du Règlement.  Il n’était donc pas nécessaire d’obtenir un avis de conformité pour vendre légalement ce médicament.  Dans une autre lettre adressée au directeur général, </w:t>
      </w:r>
      <w:proofErr w:type="spellStart"/>
      <w:r w:rsidRPr="00626FC3">
        <w:rPr>
          <w:lang w:val="fr-CA"/>
        </w:rPr>
        <w:t>Nu</w:t>
      </w:r>
      <w:r w:rsidRPr="00626FC3">
        <w:rPr>
          <w:lang w:val="fr-CA"/>
        </w:rPr>
        <w:noBreakHyphen/>
        <w:t>Pharm</w:t>
      </w:r>
      <w:proofErr w:type="spellEnd"/>
      <w:r w:rsidRPr="00626FC3">
        <w:rPr>
          <w:lang w:val="fr-CA"/>
        </w:rPr>
        <w:t xml:space="preserve"> a souligné que, selon la politique officielle de la Direction des produits thérapeutiques, un médicament contenant une substance médicinale n’est plus considéré comme une drogue « nouvelle » sept ans après la date initiale de la mise en marché de cette substance.  </w:t>
      </w:r>
      <w:proofErr w:type="spellStart"/>
      <w:r w:rsidRPr="00626FC3">
        <w:rPr>
          <w:lang w:val="fr-CA"/>
        </w:rPr>
        <w:t>Nu</w:t>
      </w:r>
      <w:r w:rsidRPr="00626FC3">
        <w:rPr>
          <w:lang w:val="fr-CA"/>
        </w:rPr>
        <w:noBreakHyphen/>
        <w:t>Pharm</w:t>
      </w:r>
      <w:proofErr w:type="spellEnd"/>
      <w:r w:rsidRPr="00626FC3">
        <w:rPr>
          <w:lang w:val="fr-CA"/>
        </w:rPr>
        <w:t xml:space="preserve"> a demandé au directeur général de souscrire à sa position que le </w:t>
      </w:r>
      <w:proofErr w:type="spellStart"/>
      <w:r w:rsidRPr="00626FC3">
        <w:rPr>
          <w:lang w:val="fr-CA"/>
        </w:rPr>
        <w:t>Nu</w:t>
      </w:r>
      <w:r w:rsidRPr="00626FC3">
        <w:rPr>
          <w:lang w:val="fr-CA"/>
        </w:rPr>
        <w:noBreakHyphen/>
        <w:t>Enalapril</w:t>
      </w:r>
      <w:proofErr w:type="spellEnd"/>
      <w:r w:rsidRPr="00626FC3">
        <w:rPr>
          <w:lang w:val="fr-CA"/>
        </w:rPr>
        <w:t xml:space="preserve"> n’était pas une « drogue nouvelle », et de lever l’interdiction de vendre et de commercialiser ce médicament.</w:t>
      </w:r>
    </w:p>
    <w:p w:rsidR="00926C38" w:rsidRPr="00626FC3" w:rsidRDefault="00926C38" w:rsidP="001D3D64">
      <w:pPr>
        <w:pStyle w:val="ReasonsNumbering-AltN"/>
        <w:rPr>
          <w:lang w:val="fr-CA"/>
        </w:rPr>
      </w:pPr>
      <w:r w:rsidRPr="00626FC3">
        <w:rPr>
          <w:lang w:val="fr-CA"/>
        </w:rPr>
        <w:t xml:space="preserve">Le directeur général a répondu aux lettres de </w:t>
      </w:r>
      <w:proofErr w:type="spellStart"/>
      <w:r w:rsidRPr="00626FC3">
        <w:rPr>
          <w:lang w:val="fr-CA"/>
        </w:rPr>
        <w:t>Nu</w:t>
      </w:r>
      <w:r w:rsidRPr="00626FC3">
        <w:rPr>
          <w:lang w:val="fr-CA"/>
        </w:rPr>
        <w:noBreakHyphen/>
        <w:t>Pharm</w:t>
      </w:r>
      <w:proofErr w:type="spellEnd"/>
      <w:r w:rsidRPr="00626FC3">
        <w:rPr>
          <w:lang w:val="fr-CA"/>
        </w:rPr>
        <w:t xml:space="preserve"> et lui a indiqué qu’il ne partageait pas son opinion sur la nécessité d’obtenir un avis de conformité pour commercialiser le </w:t>
      </w:r>
      <w:proofErr w:type="spellStart"/>
      <w:r w:rsidRPr="00626FC3">
        <w:rPr>
          <w:lang w:val="fr-CA"/>
        </w:rPr>
        <w:t>Nu</w:t>
      </w:r>
      <w:r w:rsidRPr="00626FC3">
        <w:rPr>
          <w:lang w:val="fr-CA"/>
        </w:rPr>
        <w:noBreakHyphen/>
        <w:t>Enalapril</w:t>
      </w:r>
      <w:proofErr w:type="spellEnd"/>
      <w:r w:rsidRPr="00626FC3">
        <w:rPr>
          <w:lang w:val="fr-CA"/>
        </w:rPr>
        <w:t xml:space="preserve">.  </w:t>
      </w:r>
      <w:proofErr w:type="spellStart"/>
      <w:r w:rsidRPr="00626FC3">
        <w:rPr>
          <w:lang w:val="fr-CA"/>
        </w:rPr>
        <w:t>Nu</w:t>
      </w:r>
      <w:r w:rsidRPr="00626FC3">
        <w:rPr>
          <w:lang w:val="fr-CA"/>
        </w:rPr>
        <w:noBreakHyphen/>
        <w:t>Pharm</w:t>
      </w:r>
      <w:proofErr w:type="spellEnd"/>
      <w:r w:rsidRPr="00626FC3">
        <w:rPr>
          <w:lang w:val="fr-CA"/>
        </w:rPr>
        <w:t xml:space="preserve"> et le directeur général ont échangé plusieurs autres lettres au cours des mois qui ont suivi, mais aucune des parties n’a changé d’avis sur cette question.</w:t>
      </w:r>
    </w:p>
    <w:p w:rsidR="00926C38" w:rsidRPr="007D564A" w:rsidRDefault="00926C38" w:rsidP="001D3D64">
      <w:pPr>
        <w:pStyle w:val="ReasonsNumbering-AltN"/>
        <w:rPr>
          <w:lang w:val="fr-CA"/>
        </w:rPr>
      </w:pPr>
      <w:r w:rsidRPr="00626FC3">
        <w:rPr>
          <w:lang w:val="fr-CA"/>
        </w:rPr>
        <w:lastRenderedPageBreak/>
        <w:t>Le 22</w:t>
      </w:r>
      <w:r w:rsidR="007D564A">
        <w:rPr>
          <w:lang w:val="fr-CA"/>
        </w:rPr>
        <w:t xml:space="preserve"> </w:t>
      </w:r>
      <w:r w:rsidRPr="00626FC3">
        <w:rPr>
          <w:lang w:val="fr-CA"/>
        </w:rPr>
        <w:t xml:space="preserve">février 2001, </w:t>
      </w:r>
      <w:proofErr w:type="spellStart"/>
      <w:r w:rsidRPr="00626FC3">
        <w:rPr>
          <w:lang w:val="fr-CA"/>
        </w:rPr>
        <w:t>Nu</w:t>
      </w:r>
      <w:r w:rsidRPr="00626FC3">
        <w:rPr>
          <w:lang w:val="fr-CA"/>
        </w:rPr>
        <w:noBreakHyphen/>
        <w:t>Pharm</w:t>
      </w:r>
      <w:proofErr w:type="spellEnd"/>
      <w:r w:rsidRPr="00626FC3">
        <w:rPr>
          <w:lang w:val="fr-CA"/>
        </w:rPr>
        <w:t xml:space="preserve"> a introduit une demande de contrôle judiciaire, alléguant que le directeur général agissait illégalement en l’obligeant à obtenir un avis de conformité et en interdisant la vente du </w:t>
      </w:r>
      <w:proofErr w:type="spellStart"/>
      <w:r w:rsidRPr="00626FC3">
        <w:rPr>
          <w:lang w:val="fr-CA"/>
        </w:rPr>
        <w:t>Nu</w:t>
      </w:r>
      <w:r w:rsidRPr="00626FC3">
        <w:rPr>
          <w:lang w:val="fr-CA"/>
        </w:rPr>
        <w:noBreakHyphen/>
        <w:t>Enalapril</w:t>
      </w:r>
      <w:proofErr w:type="spellEnd"/>
      <w:r w:rsidRPr="00626FC3">
        <w:rPr>
          <w:lang w:val="fr-CA"/>
        </w:rPr>
        <w:t xml:space="preserve">.  </w:t>
      </w:r>
      <w:proofErr w:type="spellStart"/>
      <w:r w:rsidRPr="007D564A">
        <w:rPr>
          <w:lang w:val="fr-CA"/>
        </w:rPr>
        <w:t>Nu</w:t>
      </w:r>
      <w:r w:rsidRPr="007D564A">
        <w:rPr>
          <w:lang w:val="fr-CA"/>
        </w:rPr>
        <w:noBreakHyphen/>
        <w:t>Pharm</w:t>
      </w:r>
      <w:proofErr w:type="spellEnd"/>
      <w:r w:rsidRPr="007D564A">
        <w:rPr>
          <w:lang w:val="fr-CA"/>
        </w:rPr>
        <w:t xml:space="preserve"> s’est plus tard désistée de cette demande.</w:t>
      </w:r>
    </w:p>
    <w:p w:rsidR="00926C38" w:rsidRDefault="00926C38" w:rsidP="001D3D64">
      <w:pPr>
        <w:pStyle w:val="ReasonsNumbering-AltN"/>
      </w:pPr>
      <w:r w:rsidRPr="00626FC3">
        <w:rPr>
          <w:lang w:val="fr-CA"/>
        </w:rPr>
        <w:t xml:space="preserve">Le 12 février 2002, </w:t>
      </w:r>
      <w:proofErr w:type="spellStart"/>
      <w:r w:rsidRPr="00626FC3">
        <w:rPr>
          <w:lang w:val="fr-CA"/>
        </w:rPr>
        <w:t>Nu</w:t>
      </w:r>
      <w:r w:rsidRPr="00626FC3">
        <w:rPr>
          <w:lang w:val="fr-CA"/>
        </w:rPr>
        <w:noBreakHyphen/>
        <w:t>Pharm</w:t>
      </w:r>
      <w:proofErr w:type="spellEnd"/>
      <w:r w:rsidRPr="00626FC3">
        <w:rPr>
          <w:lang w:val="fr-CA"/>
        </w:rPr>
        <w:t xml:space="preserve"> a intenté une action devant la Cour fédérale contre Sa Majesté la Reine, le procureur général du Canada et le directeur général (collectivement la « Couronne »).  </w:t>
      </w:r>
      <w:proofErr w:type="spellStart"/>
      <w:r>
        <w:t>Dans</w:t>
      </w:r>
      <w:proofErr w:type="spellEnd"/>
      <w:r>
        <w:t xml:space="preserve"> </w:t>
      </w:r>
      <w:proofErr w:type="spellStart"/>
      <w:r>
        <w:t>sa</w:t>
      </w:r>
      <w:proofErr w:type="spellEnd"/>
      <w:r>
        <w:t xml:space="preserve"> </w:t>
      </w:r>
      <w:proofErr w:type="spellStart"/>
      <w:r>
        <w:t>déclaration</w:t>
      </w:r>
      <w:proofErr w:type="spellEnd"/>
      <w:r>
        <w:t xml:space="preserve"> </w:t>
      </w:r>
      <w:proofErr w:type="spellStart"/>
      <w:r>
        <w:t>initiale</w:t>
      </w:r>
      <w:proofErr w:type="spellEnd"/>
      <w:r>
        <w:t xml:space="preserve">, </w:t>
      </w:r>
      <w:proofErr w:type="spellStart"/>
      <w:r>
        <w:t>elle</w:t>
      </w:r>
      <w:proofErr w:type="spellEnd"/>
      <w:r>
        <w:t xml:space="preserve"> </w:t>
      </w:r>
      <w:proofErr w:type="spellStart"/>
      <w:r>
        <w:t>sollicitait</w:t>
      </w:r>
      <w:proofErr w:type="spellEnd"/>
      <w:r>
        <w:t> :</w:t>
      </w:r>
    </w:p>
    <w:p w:rsidR="00926C38" w:rsidRPr="001D3D64" w:rsidRDefault="001D3D64" w:rsidP="001D3D64">
      <w:pPr>
        <w:pStyle w:val="SCCNormalDoubleSpacing"/>
        <w:tabs>
          <w:tab w:val="left" w:pos="1170"/>
        </w:tabs>
        <w:spacing w:after="480"/>
        <w:ind w:left="1166" w:hanging="1166"/>
        <w:rPr>
          <w:lang w:val="fr-CA"/>
        </w:rPr>
      </w:pPr>
      <w:r w:rsidRPr="001D3D64">
        <w:rPr>
          <w:lang w:val="fr-CA"/>
        </w:rPr>
        <w:t>•</w:t>
      </w:r>
      <w:r w:rsidRPr="001D3D64">
        <w:rPr>
          <w:lang w:val="fr-CA"/>
        </w:rPr>
        <w:tab/>
      </w:r>
      <w:r w:rsidR="00926C38" w:rsidRPr="001D3D64">
        <w:rPr>
          <w:lang w:val="fr-CA"/>
        </w:rPr>
        <w:t xml:space="preserve">une ordonnance interdisant au directeur général de publier d’autres déclarations selon lesquelles la vente du </w:t>
      </w:r>
      <w:proofErr w:type="spellStart"/>
      <w:r w:rsidR="00926C38" w:rsidRPr="001D3D64">
        <w:rPr>
          <w:lang w:val="fr-CA"/>
        </w:rPr>
        <w:t>Nu</w:t>
      </w:r>
      <w:r w:rsidR="00926C38" w:rsidRPr="001D3D64">
        <w:rPr>
          <w:lang w:val="fr-CA"/>
        </w:rPr>
        <w:noBreakHyphen/>
        <w:t>Enalapril</w:t>
      </w:r>
      <w:proofErr w:type="spellEnd"/>
      <w:r w:rsidR="00926C38" w:rsidRPr="001D3D64">
        <w:rPr>
          <w:lang w:val="fr-CA"/>
        </w:rPr>
        <w:t xml:space="preserve"> est illégale;</w:t>
      </w:r>
    </w:p>
    <w:p w:rsidR="00926C38" w:rsidRPr="001D3D64" w:rsidRDefault="001D3D64" w:rsidP="001D3D64">
      <w:pPr>
        <w:pStyle w:val="SCCNormalDoubleSpacing"/>
        <w:tabs>
          <w:tab w:val="left" w:pos="1170"/>
        </w:tabs>
        <w:spacing w:after="480"/>
        <w:ind w:left="1166" w:hanging="1166"/>
        <w:rPr>
          <w:lang w:val="fr-CA"/>
        </w:rPr>
      </w:pPr>
      <w:r>
        <w:rPr>
          <w:lang w:val="fr-CA"/>
        </w:rPr>
        <w:t>•</w:t>
      </w:r>
      <w:r>
        <w:rPr>
          <w:lang w:val="fr-CA"/>
        </w:rPr>
        <w:tab/>
      </w:r>
      <w:r w:rsidR="00926C38" w:rsidRPr="001D3D64">
        <w:rPr>
          <w:lang w:val="fr-CA"/>
        </w:rPr>
        <w:t>une ordonnance enjoignant au directeur général de retirer les déclarations antérieures en ce sens;</w:t>
      </w:r>
    </w:p>
    <w:p w:rsidR="00926C38" w:rsidRPr="001D3D64" w:rsidRDefault="001D3D64" w:rsidP="001D3D64">
      <w:pPr>
        <w:pStyle w:val="SCCNormalDoubleSpacing"/>
        <w:tabs>
          <w:tab w:val="left" w:pos="1170"/>
        </w:tabs>
        <w:spacing w:after="480"/>
        <w:ind w:left="1166" w:hanging="1166"/>
        <w:rPr>
          <w:lang w:val="fr-CA"/>
        </w:rPr>
      </w:pPr>
      <w:r>
        <w:rPr>
          <w:lang w:val="fr-CA"/>
        </w:rPr>
        <w:t>•</w:t>
      </w:r>
      <w:r>
        <w:rPr>
          <w:lang w:val="fr-CA"/>
        </w:rPr>
        <w:tab/>
      </w:r>
      <w:r w:rsidR="00713495">
        <w:rPr>
          <w:lang w:val="fr-CA"/>
        </w:rPr>
        <w:t>des dommages-</w:t>
      </w:r>
      <w:r w:rsidR="00926C38" w:rsidRPr="001D3D64">
        <w:rPr>
          <w:lang w:val="fr-CA"/>
        </w:rPr>
        <w:t xml:space="preserve">intérêts pour faute dans l’exercice d’une charge publique, abus de pouvoir, atteinte illégale aux intérêts économiques de </w:t>
      </w:r>
      <w:proofErr w:type="spellStart"/>
      <w:r w:rsidR="00926C38" w:rsidRPr="001D3D64">
        <w:rPr>
          <w:lang w:val="fr-CA"/>
        </w:rPr>
        <w:t>Nu</w:t>
      </w:r>
      <w:r w:rsidR="00926C38" w:rsidRPr="001D3D64">
        <w:rPr>
          <w:lang w:val="fr-CA"/>
        </w:rPr>
        <w:noBreakHyphen/>
        <w:t>Pharm</w:t>
      </w:r>
      <w:proofErr w:type="spellEnd"/>
      <w:r w:rsidR="00926C38" w:rsidRPr="001D3D64">
        <w:rPr>
          <w:lang w:val="fr-CA"/>
        </w:rPr>
        <w:t xml:space="preserve"> et négligence grave ou, subsidiairement, négligence.</w:t>
      </w:r>
    </w:p>
    <w:p w:rsidR="00926C38" w:rsidRPr="001D3D64" w:rsidRDefault="00926C38" w:rsidP="001D3D64">
      <w:pPr>
        <w:pStyle w:val="SCCNormalDoubleSpacing"/>
        <w:spacing w:after="480"/>
        <w:rPr>
          <w:lang w:val="fr-CA"/>
        </w:rPr>
      </w:pPr>
      <w:proofErr w:type="spellStart"/>
      <w:r w:rsidRPr="001D3D64">
        <w:rPr>
          <w:lang w:val="fr-CA"/>
        </w:rPr>
        <w:t>Nu</w:t>
      </w:r>
      <w:r w:rsidRPr="001D3D64">
        <w:rPr>
          <w:lang w:val="fr-CA"/>
        </w:rPr>
        <w:noBreakHyphen/>
        <w:t>Pharm</w:t>
      </w:r>
      <w:proofErr w:type="spellEnd"/>
      <w:r w:rsidRPr="001D3D64">
        <w:rPr>
          <w:lang w:val="fr-CA"/>
        </w:rPr>
        <w:t xml:space="preserve"> a intenté cette action pour limiter ses pertes financières attribuables à l’interdiction de commercialiser son produit.</w:t>
      </w:r>
    </w:p>
    <w:p w:rsidR="00926C38" w:rsidRPr="00626FC3" w:rsidRDefault="00926C38" w:rsidP="001D3D64">
      <w:pPr>
        <w:pStyle w:val="ReasonsNumbering-AltN"/>
        <w:rPr>
          <w:lang w:val="fr-CA"/>
        </w:rPr>
      </w:pPr>
      <w:r w:rsidRPr="00BE4A5A">
        <w:rPr>
          <w:lang w:val="fr-CA"/>
        </w:rPr>
        <w:lastRenderedPageBreak/>
        <w:t xml:space="preserve">Durant l’instance, </w:t>
      </w:r>
      <w:proofErr w:type="spellStart"/>
      <w:r w:rsidRPr="00BE4A5A">
        <w:rPr>
          <w:lang w:val="fr-CA"/>
        </w:rPr>
        <w:t>Nu</w:t>
      </w:r>
      <w:r w:rsidRPr="00BE4A5A">
        <w:rPr>
          <w:lang w:val="fr-CA"/>
        </w:rPr>
        <w:noBreakHyphen/>
        <w:t>Pharm</w:t>
      </w:r>
      <w:proofErr w:type="spellEnd"/>
      <w:r w:rsidRPr="00BE4A5A">
        <w:rPr>
          <w:lang w:val="fr-CA"/>
        </w:rPr>
        <w:t xml:space="preserve"> a obtenu l’autorisation de commercialiser le </w:t>
      </w:r>
      <w:proofErr w:type="spellStart"/>
      <w:r w:rsidRPr="00BE4A5A">
        <w:rPr>
          <w:lang w:val="fr-CA"/>
        </w:rPr>
        <w:t>Nu</w:t>
      </w:r>
      <w:r w:rsidRPr="00BE4A5A">
        <w:rPr>
          <w:lang w:val="fr-CA"/>
        </w:rPr>
        <w:noBreakHyphen/>
        <w:t>Enalapril</w:t>
      </w:r>
      <w:proofErr w:type="spellEnd"/>
      <w:r w:rsidRPr="00BE4A5A">
        <w:rPr>
          <w:lang w:val="fr-CA"/>
        </w:rPr>
        <w:t xml:space="preserve"> au Canada.  L’injonction et l’ordonnance de faire que </w:t>
      </w:r>
      <w:proofErr w:type="spellStart"/>
      <w:r w:rsidRPr="00BE4A5A">
        <w:rPr>
          <w:lang w:val="fr-CA"/>
        </w:rPr>
        <w:t>Nu</w:t>
      </w:r>
      <w:r w:rsidRPr="00BE4A5A">
        <w:rPr>
          <w:lang w:val="fr-CA"/>
        </w:rPr>
        <w:noBreakHyphen/>
        <w:t>Pharm</w:t>
      </w:r>
      <w:proofErr w:type="spellEnd"/>
      <w:r w:rsidRPr="00BE4A5A">
        <w:rPr>
          <w:lang w:val="fr-CA"/>
        </w:rPr>
        <w:t xml:space="preserve"> sollicitait sont donc caduques, et </w:t>
      </w:r>
      <w:proofErr w:type="spellStart"/>
      <w:r w:rsidRPr="00BE4A5A">
        <w:rPr>
          <w:lang w:val="fr-CA"/>
        </w:rPr>
        <w:t>Nu</w:t>
      </w:r>
      <w:r w:rsidRPr="00BE4A5A">
        <w:rPr>
          <w:lang w:val="fr-CA"/>
        </w:rPr>
        <w:noBreakHyphen/>
        <w:t>Pharm</w:t>
      </w:r>
      <w:proofErr w:type="spellEnd"/>
      <w:r w:rsidRPr="00BE4A5A">
        <w:rPr>
          <w:lang w:val="fr-CA"/>
        </w:rPr>
        <w:t xml:space="preserve"> ne demande plus ces réparations.  </w:t>
      </w:r>
      <w:r w:rsidRPr="00626FC3">
        <w:rPr>
          <w:lang w:val="fr-CA"/>
        </w:rPr>
        <w:t xml:space="preserve">De l’action intentée par </w:t>
      </w:r>
      <w:proofErr w:type="spellStart"/>
      <w:r w:rsidRPr="00626FC3">
        <w:rPr>
          <w:lang w:val="fr-CA"/>
        </w:rPr>
        <w:t>Nu</w:t>
      </w:r>
      <w:r w:rsidRPr="00626FC3">
        <w:rPr>
          <w:lang w:val="fr-CA"/>
        </w:rPr>
        <w:noBreakHyphen/>
        <w:t>Pharm</w:t>
      </w:r>
      <w:proofErr w:type="spellEnd"/>
      <w:r w:rsidRPr="00626FC3">
        <w:rPr>
          <w:lang w:val="fr-CA"/>
        </w:rPr>
        <w:t xml:space="preserve"> contre la Couronne fédérale, seule demeure la réclamation pour les dommages subis entre la première lettre du directeur général et le moment où </w:t>
      </w:r>
      <w:proofErr w:type="spellStart"/>
      <w:r w:rsidRPr="00626FC3">
        <w:rPr>
          <w:lang w:val="fr-CA"/>
        </w:rPr>
        <w:t>Nu</w:t>
      </w:r>
      <w:r w:rsidRPr="00626FC3">
        <w:rPr>
          <w:lang w:val="fr-CA"/>
        </w:rPr>
        <w:noBreakHyphen/>
        <w:t>Pharm</w:t>
      </w:r>
      <w:proofErr w:type="spellEnd"/>
      <w:r w:rsidRPr="00626FC3">
        <w:rPr>
          <w:lang w:val="fr-CA"/>
        </w:rPr>
        <w:t xml:space="preserve"> a pu commercialiser son produit (soit approximativement de mars 2000 à octobre 2006).</w:t>
      </w:r>
    </w:p>
    <w:p w:rsidR="00926C38" w:rsidRPr="00713495" w:rsidRDefault="00926C38" w:rsidP="001D3D64">
      <w:pPr>
        <w:pStyle w:val="ReasonsNumbering-AltN"/>
        <w:rPr>
          <w:lang w:val="fr-CA"/>
        </w:rPr>
      </w:pPr>
      <w:r w:rsidRPr="00BE4A5A">
        <w:rPr>
          <w:lang w:val="fr-CA"/>
        </w:rPr>
        <w:t>Le 13</w:t>
      </w:r>
      <w:r w:rsidR="00713495">
        <w:rPr>
          <w:lang w:val="fr-CA"/>
        </w:rPr>
        <w:t xml:space="preserve"> </w:t>
      </w:r>
      <w:r w:rsidRPr="00BE4A5A">
        <w:rPr>
          <w:lang w:val="fr-CA"/>
        </w:rPr>
        <w:t>avril 2007, la Couronne a déposé un avis de requête en jugement sommaire au motif que [</w:t>
      </w:r>
      <w:r w:rsidRPr="00BE4A5A">
        <w:rPr>
          <w:smallCaps/>
          <w:lang w:val="fr-CA"/>
        </w:rPr>
        <w:t>traduction</w:t>
      </w:r>
      <w:r w:rsidRPr="00BE4A5A">
        <w:rPr>
          <w:lang w:val="fr-CA"/>
        </w:rPr>
        <w:t>] « </w:t>
      </w:r>
      <w:proofErr w:type="spellStart"/>
      <w:r w:rsidRPr="00BE4A5A">
        <w:rPr>
          <w:lang w:val="fr-CA"/>
        </w:rPr>
        <w:t>Nu</w:t>
      </w:r>
      <w:r w:rsidRPr="00BE4A5A">
        <w:rPr>
          <w:lang w:val="fr-CA"/>
        </w:rPr>
        <w:noBreakHyphen/>
        <w:t>Pharm</w:t>
      </w:r>
      <w:proofErr w:type="spellEnd"/>
      <w:r w:rsidRPr="00BE4A5A">
        <w:rPr>
          <w:lang w:val="fr-CA"/>
        </w:rPr>
        <w:t xml:space="preserve"> n’a pas le</w:t>
      </w:r>
      <w:r w:rsidR="007D564A">
        <w:rPr>
          <w:lang w:val="fr-CA"/>
        </w:rPr>
        <w:t xml:space="preserve"> droit de demander des dommages-</w:t>
      </w:r>
      <w:r w:rsidRPr="00BE4A5A">
        <w:rPr>
          <w:lang w:val="fr-CA"/>
        </w:rPr>
        <w:t>intérêts dans une action découlant des décisions du directeur général sans demander au préalable l’annulation de la décision par vo</w:t>
      </w:r>
      <w:r w:rsidR="00713495">
        <w:rPr>
          <w:lang w:val="fr-CA"/>
        </w:rPr>
        <w:t>ie de contrôle judiciaire » (</w:t>
      </w:r>
      <w:proofErr w:type="gramStart"/>
      <w:r w:rsidR="00713495">
        <w:rPr>
          <w:lang w:val="fr-CA"/>
        </w:rPr>
        <w:t>d.i</w:t>
      </w:r>
      <w:r w:rsidRPr="00BE4A5A">
        <w:rPr>
          <w:lang w:val="fr-CA"/>
        </w:rPr>
        <w:t>.,</w:t>
      </w:r>
      <w:proofErr w:type="gramEnd"/>
      <w:r w:rsidRPr="00BE4A5A">
        <w:rPr>
          <w:lang w:val="fr-CA"/>
        </w:rPr>
        <w:t xml:space="preserve"> vol.</w:t>
      </w:r>
      <w:r w:rsidR="00713495">
        <w:rPr>
          <w:lang w:val="fr-CA"/>
        </w:rPr>
        <w:t xml:space="preserve"> </w:t>
      </w:r>
      <w:r w:rsidRPr="00713495">
        <w:rPr>
          <w:lang w:val="fr-CA"/>
        </w:rPr>
        <w:t>I, p.</w:t>
      </w:r>
      <w:r w:rsidR="00713495">
        <w:rPr>
          <w:lang w:val="fr-CA"/>
        </w:rPr>
        <w:t xml:space="preserve"> </w:t>
      </w:r>
      <w:r w:rsidRPr="00713495">
        <w:rPr>
          <w:lang w:val="fr-CA"/>
        </w:rPr>
        <w:t>41).</w:t>
      </w:r>
    </w:p>
    <w:p w:rsidR="00926C38" w:rsidRPr="00713495" w:rsidRDefault="00926C38" w:rsidP="00713495">
      <w:pPr>
        <w:tabs>
          <w:tab w:val="left" w:pos="540"/>
        </w:tabs>
        <w:spacing w:after="720"/>
        <w:ind w:left="540" w:hanging="540"/>
        <w:rPr>
          <w:lang w:val="fr-CA"/>
        </w:rPr>
      </w:pPr>
      <w:r w:rsidRPr="00713495">
        <w:rPr>
          <w:lang w:val="fr-CA"/>
        </w:rPr>
        <w:t>II.</w:t>
      </w:r>
      <w:r w:rsidR="00713495" w:rsidRPr="00713495">
        <w:rPr>
          <w:lang w:val="fr-CA"/>
        </w:rPr>
        <w:tab/>
      </w:r>
      <w:r w:rsidRPr="00713495">
        <w:rPr>
          <w:u w:val="single"/>
          <w:lang w:val="fr-CA"/>
        </w:rPr>
        <w:t>Décisions des juridictions inférieures</w:t>
      </w:r>
    </w:p>
    <w:p w:rsidR="00926C38" w:rsidRPr="00713495" w:rsidRDefault="00713495" w:rsidP="00713495">
      <w:pPr>
        <w:tabs>
          <w:tab w:val="left" w:pos="540"/>
        </w:tabs>
        <w:spacing w:after="720"/>
        <w:ind w:left="540" w:hanging="540"/>
        <w:rPr>
          <w:lang w:val="fr-CA"/>
        </w:rPr>
      </w:pPr>
      <w:r w:rsidRPr="00402F26">
        <w:rPr>
          <w:lang w:val="fr-CA"/>
        </w:rPr>
        <w:t>A.</w:t>
      </w:r>
      <w:r>
        <w:rPr>
          <w:i/>
          <w:lang w:val="fr-CA"/>
        </w:rPr>
        <w:tab/>
      </w:r>
      <w:r w:rsidR="00926C38" w:rsidRPr="00713495">
        <w:rPr>
          <w:i/>
          <w:lang w:val="fr-CA"/>
        </w:rPr>
        <w:t>Cour fédérale, 2007 CF 977 (</w:t>
      </w:r>
      <w:proofErr w:type="spellStart"/>
      <w:r w:rsidR="00926C38" w:rsidRPr="00713495">
        <w:rPr>
          <w:i/>
          <w:lang w:val="fr-CA"/>
        </w:rPr>
        <w:t>CanLII</w:t>
      </w:r>
      <w:proofErr w:type="spellEnd"/>
      <w:r w:rsidR="00926C38" w:rsidRPr="00713495">
        <w:rPr>
          <w:i/>
          <w:lang w:val="fr-CA"/>
        </w:rPr>
        <w:t>)</w:t>
      </w:r>
    </w:p>
    <w:p w:rsidR="00926C38" w:rsidRPr="00D06A0F" w:rsidRDefault="00926C38" w:rsidP="001D3D64">
      <w:pPr>
        <w:pStyle w:val="ReasonsNumbering-AltN"/>
        <w:rPr>
          <w:lang w:val="fr-CA"/>
        </w:rPr>
      </w:pPr>
      <w:r w:rsidRPr="00BE4A5A">
        <w:rPr>
          <w:lang w:val="fr-CA"/>
        </w:rPr>
        <w:t xml:space="preserve">Se fondant sur </w:t>
      </w:r>
      <w:r w:rsidR="00D06A0F" w:rsidRPr="00BE4A5A">
        <w:rPr>
          <w:i/>
          <w:lang w:val="fr-CA"/>
        </w:rPr>
        <w:t>Canada</w:t>
      </w:r>
      <w:r w:rsidR="00D06A0F" w:rsidRPr="00BE4A5A">
        <w:rPr>
          <w:lang w:val="fr-CA"/>
        </w:rPr>
        <w:t xml:space="preserve"> </w:t>
      </w:r>
      <w:r w:rsidRPr="00BE4A5A">
        <w:rPr>
          <w:i/>
          <w:lang w:val="fr-CA"/>
        </w:rPr>
        <w:t>c.</w:t>
      </w:r>
      <w:r w:rsidR="00D06A0F">
        <w:rPr>
          <w:i/>
          <w:lang w:val="fr-CA"/>
        </w:rPr>
        <w:t xml:space="preserve"> Grenier</w:t>
      </w:r>
      <w:r w:rsidRPr="00D06A0F">
        <w:rPr>
          <w:lang w:val="fr-CA"/>
        </w:rPr>
        <w:t xml:space="preserve">, </w:t>
      </w:r>
      <w:r w:rsidRPr="00BE4A5A">
        <w:rPr>
          <w:lang w:val="fr-CA"/>
        </w:rPr>
        <w:t xml:space="preserve">2005 CAF 348, [2006] 2 R.C.F. 287, le juge </w:t>
      </w:r>
      <w:proofErr w:type="spellStart"/>
      <w:r w:rsidRPr="00BE4A5A">
        <w:rPr>
          <w:lang w:val="fr-CA"/>
        </w:rPr>
        <w:t>Hugessen</w:t>
      </w:r>
      <w:proofErr w:type="spellEnd"/>
      <w:r w:rsidRPr="00BE4A5A">
        <w:rPr>
          <w:lang w:val="fr-CA"/>
        </w:rPr>
        <w:t xml:space="preserve"> a accueilli la requête en jugement sommaire de la Couronne. </w:t>
      </w:r>
      <w:r w:rsidRPr="00D06A0F">
        <w:rPr>
          <w:lang w:val="fr-CA"/>
        </w:rPr>
        <w:t>Il a conclu que</w:t>
      </w:r>
    </w:p>
    <w:p w:rsidR="00926C38" w:rsidRPr="00713495" w:rsidRDefault="00D06A0F" w:rsidP="00926C38">
      <w:pPr>
        <w:pStyle w:val="Citation1"/>
        <w:keepNext/>
        <w:contextualSpacing w:val="0"/>
        <w:rPr>
          <w:lang w:val="fr-CA"/>
        </w:rPr>
      </w:pPr>
      <w:proofErr w:type="gramStart"/>
      <w:r>
        <w:rPr>
          <w:lang w:val="fr-CA"/>
        </w:rPr>
        <w:t>l</w:t>
      </w:r>
      <w:r w:rsidR="00FE294A">
        <w:rPr>
          <w:lang w:val="fr-CA"/>
        </w:rPr>
        <w:t>’</w:t>
      </w:r>
      <w:r w:rsidR="00926C38" w:rsidRPr="001D3D64">
        <w:rPr>
          <w:lang w:val="fr-CA"/>
        </w:rPr>
        <w:t>obtention</w:t>
      </w:r>
      <w:proofErr w:type="gramEnd"/>
      <w:r w:rsidR="00926C38" w:rsidRPr="001D3D64">
        <w:rPr>
          <w:lang w:val="fr-CA"/>
        </w:rPr>
        <w:t xml:space="preserve"> des dommages-intérêts réclamés à l</w:t>
      </w:r>
      <w:r w:rsidR="00713495">
        <w:rPr>
          <w:lang w:val="fr-CA"/>
        </w:rPr>
        <w:t>’</w:t>
      </w:r>
      <w:r w:rsidR="00926C38" w:rsidRPr="001D3D64">
        <w:rPr>
          <w:lang w:val="fr-CA"/>
        </w:rPr>
        <w:t xml:space="preserve">alinéa 1c) de la déclaration modifiée repose entièrement sur la démonstration par la </w:t>
      </w:r>
      <w:r w:rsidR="00713495">
        <w:rPr>
          <w:lang w:val="fr-CA"/>
        </w:rPr>
        <w:lastRenderedPageBreak/>
        <w:t>demanderesse de l’</w:t>
      </w:r>
      <w:r w:rsidR="00926C38" w:rsidRPr="001D3D64">
        <w:rPr>
          <w:lang w:val="fr-CA"/>
        </w:rPr>
        <w:t xml:space="preserve">illégalité des décisions du directeur général [. . .] </w:t>
      </w:r>
      <w:r w:rsidR="00713495">
        <w:rPr>
          <w:lang w:val="fr-CA"/>
        </w:rPr>
        <w:t>L’</w:t>
      </w:r>
      <w:r w:rsidR="00926C38" w:rsidRPr="00626FC3">
        <w:rPr>
          <w:lang w:val="fr-CA"/>
        </w:rPr>
        <w:t>allégation de négligence, grave</w:t>
      </w:r>
      <w:r w:rsidR="00713495">
        <w:rPr>
          <w:lang w:val="fr-CA"/>
        </w:rPr>
        <w:t xml:space="preserve"> ou non, qui est ajoutée dans l’</w:t>
      </w:r>
      <w:r w:rsidR="00926C38" w:rsidRPr="00626FC3">
        <w:rPr>
          <w:lang w:val="fr-CA"/>
        </w:rPr>
        <w:t>action ne peut être dissociée de l</w:t>
      </w:r>
      <w:r w:rsidR="00713495">
        <w:rPr>
          <w:lang w:val="fr-CA"/>
        </w:rPr>
        <w:t>’</w:t>
      </w:r>
      <w:r w:rsidR="00926C38" w:rsidRPr="00626FC3">
        <w:rPr>
          <w:lang w:val="fr-CA"/>
        </w:rPr>
        <w:t xml:space="preserve">allégation selon laquelle le directeur général a agi de façon illégale.  </w:t>
      </w:r>
      <w:r w:rsidR="007D564A">
        <w:rPr>
          <w:lang w:val="fr-CA"/>
        </w:rPr>
        <w:t>[</w:t>
      </w:r>
      <w:proofErr w:type="gramStart"/>
      <w:r w:rsidR="007D564A">
        <w:rPr>
          <w:lang w:val="fr-CA"/>
        </w:rPr>
        <w:t>par</w:t>
      </w:r>
      <w:proofErr w:type="gramEnd"/>
      <w:r w:rsidR="007D564A">
        <w:rPr>
          <w:lang w:val="fr-CA"/>
        </w:rPr>
        <w:t xml:space="preserve">. </w:t>
      </w:r>
      <w:r w:rsidR="00926C38" w:rsidRPr="00713495">
        <w:rPr>
          <w:lang w:val="fr-CA"/>
        </w:rPr>
        <w:t>16]</w:t>
      </w:r>
    </w:p>
    <w:p w:rsidR="00926C38" w:rsidRDefault="00926C38" w:rsidP="001D3D64">
      <w:pPr>
        <w:pStyle w:val="ReasonsNumbering-AltN"/>
      </w:pPr>
      <w:r w:rsidRPr="00626FC3">
        <w:rPr>
          <w:lang w:val="fr-CA"/>
        </w:rPr>
        <w:t xml:space="preserve">Ayant décidé que l’action de </w:t>
      </w:r>
      <w:proofErr w:type="spellStart"/>
      <w:r w:rsidRPr="00626FC3">
        <w:rPr>
          <w:lang w:val="fr-CA"/>
        </w:rPr>
        <w:t>Nu</w:t>
      </w:r>
      <w:r w:rsidRPr="00626FC3">
        <w:rPr>
          <w:lang w:val="fr-CA"/>
        </w:rPr>
        <w:noBreakHyphen/>
        <w:t>Pharm</w:t>
      </w:r>
      <w:proofErr w:type="spellEnd"/>
      <w:r w:rsidRPr="00626FC3">
        <w:rPr>
          <w:lang w:val="fr-CA"/>
        </w:rPr>
        <w:t xml:space="preserve"> </w:t>
      </w:r>
      <w:r w:rsidR="007D564A">
        <w:rPr>
          <w:lang w:val="fr-CA"/>
        </w:rPr>
        <w:t>« souffrait d’</w:t>
      </w:r>
      <w:r w:rsidRPr="00626FC3">
        <w:rPr>
          <w:lang w:val="fr-CA"/>
        </w:rPr>
        <w:t>un défaut fatal, à savoir la non-poursuite de sa demande de contrôle judiciaire » (par.</w:t>
      </w:r>
      <w:r w:rsidR="007D564A">
        <w:rPr>
          <w:lang w:val="fr-CA"/>
        </w:rPr>
        <w:t xml:space="preserve"> </w:t>
      </w:r>
      <w:r w:rsidRPr="00626FC3">
        <w:rPr>
          <w:lang w:val="fr-CA"/>
        </w:rPr>
        <w:t xml:space="preserve">17), le juge </w:t>
      </w:r>
      <w:proofErr w:type="spellStart"/>
      <w:r w:rsidRPr="00626FC3">
        <w:rPr>
          <w:lang w:val="fr-CA"/>
        </w:rPr>
        <w:t>Hugessen</w:t>
      </w:r>
      <w:proofErr w:type="spellEnd"/>
      <w:r w:rsidRPr="00626FC3">
        <w:rPr>
          <w:lang w:val="fr-CA"/>
        </w:rPr>
        <w:t xml:space="preserve"> a examiné la possibilité d’accorder d’autres mesures de redressement.  Il a sursis temporairement à l’exécution de son jugement afin de permettre à </w:t>
      </w:r>
      <w:proofErr w:type="spellStart"/>
      <w:r w:rsidRPr="00626FC3">
        <w:rPr>
          <w:lang w:val="fr-CA"/>
        </w:rPr>
        <w:t>Nu</w:t>
      </w:r>
      <w:r w:rsidRPr="00626FC3">
        <w:rPr>
          <w:lang w:val="fr-CA"/>
        </w:rPr>
        <w:noBreakHyphen/>
        <w:t>Pharm</w:t>
      </w:r>
      <w:proofErr w:type="spellEnd"/>
      <w:r w:rsidRPr="00626FC3">
        <w:rPr>
          <w:lang w:val="fr-CA"/>
        </w:rPr>
        <w:t xml:space="preserve"> de demander une prorogation de délai pour déposer une demande de contrôle judiciaire et d’exercer ce recours.  La décision du juge </w:t>
      </w:r>
      <w:proofErr w:type="spellStart"/>
      <w:r w:rsidRPr="00626FC3">
        <w:rPr>
          <w:lang w:val="fr-CA"/>
        </w:rPr>
        <w:t>Hugessen</w:t>
      </w:r>
      <w:proofErr w:type="spellEnd"/>
      <w:r w:rsidRPr="00626FC3">
        <w:rPr>
          <w:lang w:val="fr-CA"/>
        </w:rPr>
        <w:t xml:space="preserve"> pourrait être annulée si </w:t>
      </w:r>
      <w:proofErr w:type="spellStart"/>
      <w:r w:rsidRPr="00626FC3">
        <w:rPr>
          <w:lang w:val="fr-CA"/>
        </w:rPr>
        <w:t>Nu</w:t>
      </w:r>
      <w:r w:rsidRPr="00626FC3">
        <w:rPr>
          <w:lang w:val="fr-CA"/>
        </w:rPr>
        <w:noBreakHyphen/>
        <w:t>Pharm</w:t>
      </w:r>
      <w:proofErr w:type="spellEnd"/>
      <w:r w:rsidRPr="00626FC3">
        <w:rPr>
          <w:lang w:val="fr-CA"/>
        </w:rPr>
        <w:t xml:space="preserve"> avait gain de cause en contrôle judiciaire.  </w:t>
      </w:r>
      <w:r>
        <w:t xml:space="preserve">Si </w:t>
      </w:r>
      <w:proofErr w:type="spellStart"/>
      <w:r>
        <w:t>cette</w:t>
      </w:r>
      <w:proofErr w:type="spellEnd"/>
      <w:r>
        <w:t xml:space="preserve"> </w:t>
      </w:r>
      <w:proofErr w:type="spellStart"/>
      <w:r>
        <w:t>dernière</w:t>
      </w:r>
      <w:proofErr w:type="spellEnd"/>
      <w:r>
        <w:t xml:space="preserve"> </w:t>
      </w:r>
      <w:proofErr w:type="spellStart"/>
      <w:r>
        <w:t>était</w:t>
      </w:r>
      <w:proofErr w:type="spellEnd"/>
      <w:r>
        <w:t xml:space="preserve"> </w:t>
      </w:r>
      <w:proofErr w:type="spellStart"/>
      <w:r>
        <w:t>déboutée</w:t>
      </w:r>
      <w:proofErr w:type="spellEnd"/>
      <w:r>
        <w:t xml:space="preserve">, le </w:t>
      </w:r>
      <w:proofErr w:type="spellStart"/>
      <w:r>
        <w:t>jugement</w:t>
      </w:r>
      <w:proofErr w:type="spellEnd"/>
      <w:r>
        <w:t xml:space="preserve"> </w:t>
      </w:r>
      <w:proofErr w:type="spellStart"/>
      <w:r>
        <w:t>deviendrait</w:t>
      </w:r>
      <w:proofErr w:type="spellEnd"/>
      <w:r>
        <w:t xml:space="preserve"> permanent.</w:t>
      </w:r>
    </w:p>
    <w:p w:rsidR="00926C38" w:rsidRPr="00626FC3" w:rsidRDefault="00713495" w:rsidP="00713495">
      <w:pPr>
        <w:tabs>
          <w:tab w:val="left" w:pos="540"/>
        </w:tabs>
        <w:spacing w:after="720"/>
        <w:ind w:left="540" w:hanging="540"/>
        <w:rPr>
          <w:lang w:val="fr-CA"/>
        </w:rPr>
      </w:pPr>
      <w:r>
        <w:rPr>
          <w:lang w:val="fr-CA"/>
        </w:rPr>
        <w:t>B.</w:t>
      </w:r>
      <w:r>
        <w:rPr>
          <w:lang w:val="fr-CA"/>
        </w:rPr>
        <w:tab/>
      </w:r>
      <w:r w:rsidR="00926C38" w:rsidRPr="00626FC3">
        <w:rPr>
          <w:i/>
          <w:lang w:val="fr-CA"/>
        </w:rPr>
        <w:t>Cour d’appel fédérale, 2008 CAF 227, 387 N.R. 300</w:t>
      </w:r>
    </w:p>
    <w:p w:rsidR="00926C38" w:rsidRPr="00626FC3" w:rsidRDefault="00926C38" w:rsidP="001D3D64">
      <w:pPr>
        <w:pStyle w:val="ReasonsNumbering-AltN"/>
        <w:numPr>
          <w:ilvl w:val="0"/>
          <w:numId w:val="0"/>
        </w:numPr>
        <w:rPr>
          <w:lang w:val="fr-CA"/>
        </w:rPr>
      </w:pPr>
      <w:r w:rsidRPr="0094157B">
        <w:rPr>
          <w:lang w:val="fr-FR"/>
        </w:rPr>
        <w:t>[13]</w:t>
      </w:r>
      <w:r w:rsidRPr="0094157B">
        <w:rPr>
          <w:lang w:val="fr-FR"/>
        </w:rPr>
        <w:tab/>
      </w:r>
      <w:r w:rsidRPr="001D3D64">
        <w:rPr>
          <w:lang w:val="fr-CA"/>
        </w:rPr>
        <w:t xml:space="preserve">La Cour d’appel </w:t>
      </w:r>
      <w:proofErr w:type="gramStart"/>
      <w:r w:rsidRPr="001D3D64">
        <w:rPr>
          <w:lang w:val="fr-CA"/>
        </w:rPr>
        <w:t>fédérale</w:t>
      </w:r>
      <w:proofErr w:type="gramEnd"/>
      <w:r w:rsidRPr="001D3D64">
        <w:rPr>
          <w:lang w:val="fr-CA"/>
        </w:rPr>
        <w:t xml:space="preserve"> a rejeté l’appel de </w:t>
      </w:r>
      <w:proofErr w:type="spellStart"/>
      <w:r w:rsidRPr="001D3D64">
        <w:rPr>
          <w:lang w:val="fr-CA"/>
        </w:rPr>
        <w:t>Nu</w:t>
      </w:r>
      <w:r w:rsidRPr="001D3D64">
        <w:rPr>
          <w:lang w:val="fr-CA"/>
        </w:rPr>
        <w:noBreakHyphen/>
        <w:t>Pharm</w:t>
      </w:r>
      <w:proofErr w:type="spellEnd"/>
      <w:r w:rsidRPr="001D3D64">
        <w:rPr>
          <w:lang w:val="fr-CA"/>
        </w:rPr>
        <w:t xml:space="preserve">, encore une fois sur la base de </w:t>
      </w:r>
      <w:r w:rsidRPr="001D3D64">
        <w:rPr>
          <w:i/>
          <w:lang w:val="fr-CA"/>
        </w:rPr>
        <w:t>Grenier</w:t>
      </w:r>
      <w:r w:rsidRPr="001D3D64">
        <w:rPr>
          <w:lang w:val="fr-CA"/>
        </w:rPr>
        <w:t xml:space="preserve">.  </w:t>
      </w:r>
      <w:r w:rsidRPr="00BE4A5A">
        <w:rPr>
          <w:lang w:val="fr-CA"/>
        </w:rPr>
        <w:t xml:space="preserve">S’exprimant au nom de la Cour d’appel à l’unanimité, le juge Nadon a conclu que l’action de </w:t>
      </w:r>
      <w:proofErr w:type="spellStart"/>
      <w:r w:rsidRPr="00BE4A5A">
        <w:rPr>
          <w:lang w:val="fr-CA"/>
        </w:rPr>
        <w:t>Nu</w:t>
      </w:r>
      <w:r w:rsidRPr="00BE4A5A">
        <w:rPr>
          <w:lang w:val="fr-CA"/>
        </w:rPr>
        <w:noBreakHyphen/>
        <w:t>Pharm</w:t>
      </w:r>
      <w:proofErr w:type="spellEnd"/>
      <w:r w:rsidRPr="00BE4A5A">
        <w:rPr>
          <w:lang w:val="fr-CA"/>
        </w:rPr>
        <w:t xml:space="preserve"> constituait une contestation indirecte des décisions du directeur général.  </w:t>
      </w:r>
      <w:r w:rsidRPr="00626FC3">
        <w:rPr>
          <w:lang w:val="fr-CA"/>
        </w:rPr>
        <w:t xml:space="preserve">Comme l’a conclu la Cour d’appel dans </w:t>
      </w:r>
      <w:r w:rsidRPr="00626FC3">
        <w:rPr>
          <w:i/>
          <w:lang w:val="fr-CA"/>
        </w:rPr>
        <w:t>Grenier</w:t>
      </w:r>
      <w:r w:rsidRPr="00626FC3">
        <w:rPr>
          <w:lang w:val="fr-CA"/>
        </w:rPr>
        <w:t xml:space="preserve">, ces décisions ne peuvent être contestées que par voie de contrôle judiciaire. </w:t>
      </w:r>
    </w:p>
    <w:p w:rsidR="00926C38" w:rsidRPr="001D3D64" w:rsidRDefault="00926C38" w:rsidP="00713495">
      <w:pPr>
        <w:tabs>
          <w:tab w:val="left" w:pos="540"/>
        </w:tabs>
        <w:spacing w:after="720"/>
        <w:ind w:left="540" w:hanging="540"/>
        <w:rPr>
          <w:lang w:val="fr-CA"/>
        </w:rPr>
      </w:pPr>
      <w:r w:rsidRPr="001D3D64">
        <w:rPr>
          <w:lang w:val="fr-CA"/>
        </w:rPr>
        <w:t>III.</w:t>
      </w:r>
      <w:r w:rsidR="00713495">
        <w:rPr>
          <w:lang w:val="fr-CA"/>
        </w:rPr>
        <w:tab/>
      </w:r>
      <w:r w:rsidRPr="001D3D64">
        <w:rPr>
          <w:u w:val="single"/>
          <w:lang w:val="fr-CA"/>
        </w:rPr>
        <w:t>Dispositions pertinentes</w:t>
      </w:r>
    </w:p>
    <w:p w:rsidR="00926C38" w:rsidRPr="001D3D64" w:rsidRDefault="00926C38" w:rsidP="001D3D64">
      <w:pPr>
        <w:pStyle w:val="ReasonsNumbering-AltN"/>
        <w:numPr>
          <w:ilvl w:val="0"/>
          <w:numId w:val="0"/>
        </w:numPr>
        <w:rPr>
          <w:lang w:val="fr-CA"/>
        </w:rPr>
      </w:pPr>
      <w:r w:rsidRPr="001D3D64">
        <w:rPr>
          <w:lang w:val="fr-CA"/>
        </w:rPr>
        <w:t>[14]</w:t>
      </w:r>
      <w:r w:rsidRPr="001D3D64">
        <w:rPr>
          <w:lang w:val="fr-CA"/>
        </w:rPr>
        <w:tab/>
      </w:r>
      <w:r w:rsidRPr="001D3D64">
        <w:rPr>
          <w:i/>
          <w:lang w:val="fr-CA"/>
        </w:rPr>
        <w:t>Règlement sur les aliments et drogues</w:t>
      </w:r>
      <w:r w:rsidR="00713495">
        <w:rPr>
          <w:lang w:val="fr-CA"/>
        </w:rPr>
        <w:t>, C.R.C., ch.-</w:t>
      </w:r>
      <w:r w:rsidRPr="001D3D64">
        <w:rPr>
          <w:lang w:val="fr-CA"/>
        </w:rPr>
        <w:t>870</w:t>
      </w:r>
    </w:p>
    <w:p w:rsidR="00926C38" w:rsidRPr="00626FC3" w:rsidRDefault="00713495" w:rsidP="00713495">
      <w:pPr>
        <w:pStyle w:val="Citation"/>
        <w:tabs>
          <w:tab w:val="left" w:pos="1620"/>
        </w:tabs>
        <w:spacing w:after="360"/>
        <w:ind w:firstLine="4"/>
        <w:contextualSpacing w:val="0"/>
        <w:rPr>
          <w:lang w:val="fr-CA"/>
        </w:rPr>
      </w:pPr>
      <w:r>
        <w:rPr>
          <w:b/>
          <w:lang w:val="fr-CA"/>
        </w:rPr>
        <w:lastRenderedPageBreak/>
        <w:tab/>
      </w:r>
      <w:r w:rsidR="00926C38" w:rsidRPr="00626FC3">
        <w:rPr>
          <w:b/>
          <w:lang w:val="fr-CA"/>
        </w:rPr>
        <w:t>C.08.001.</w:t>
      </w:r>
      <w:r w:rsidR="00926C38" w:rsidRPr="00626FC3">
        <w:rPr>
          <w:lang w:val="fr-CA"/>
        </w:rPr>
        <w:t xml:space="preserve"> Pour l’application de la Loi et du présent titre, « drogue nouvelle » désigne :</w:t>
      </w:r>
    </w:p>
    <w:p w:rsidR="00926C38" w:rsidRDefault="00713495" w:rsidP="007D564A">
      <w:pPr>
        <w:pStyle w:val="Citation1"/>
        <w:tabs>
          <w:tab w:val="left" w:pos="1620"/>
          <w:tab w:val="left" w:pos="2070"/>
          <w:tab w:val="left" w:pos="2520"/>
        </w:tabs>
        <w:spacing w:after="0"/>
        <w:ind w:left="1620" w:hanging="450"/>
        <w:contextualSpacing w:val="0"/>
        <w:rPr>
          <w:lang w:val="fr-CA"/>
        </w:rPr>
      </w:pPr>
      <w:r>
        <w:rPr>
          <w:i/>
          <w:lang w:val="fr-CA"/>
        </w:rPr>
        <w:tab/>
      </w:r>
      <w:r w:rsidR="00926C38" w:rsidRPr="00626FC3">
        <w:rPr>
          <w:i/>
          <w:lang w:val="fr-CA"/>
        </w:rPr>
        <w:t>a</w:t>
      </w:r>
      <w:r>
        <w:rPr>
          <w:lang w:val="fr-CA"/>
        </w:rPr>
        <w:t>)</w:t>
      </w:r>
      <w:r>
        <w:rPr>
          <w:lang w:val="fr-CA"/>
        </w:rPr>
        <w:tab/>
      </w:r>
      <w:r w:rsidR="00926C38" w:rsidRPr="00626FC3">
        <w:rPr>
          <w:lang w:val="fr-CA"/>
        </w:rPr>
        <w:t>une drogue qui est constituée d’une substance ou renferme une substance, sous forme d’ingrédient actif ou inerte, de véhicule, d’enrobage, d’excipient, de solvant ou de tout autre constituant, laquelle substance n’a pas été vendue comme drogue au Canada pendant assez longtemps et en quantité suffisante pour établir, au Canada, l’innocuité et l’efficacité de ladite substance employée comme drogue;</w:t>
      </w:r>
    </w:p>
    <w:p w:rsidR="0028615A" w:rsidRDefault="0028615A" w:rsidP="007D564A">
      <w:pPr>
        <w:pStyle w:val="Citation1"/>
        <w:tabs>
          <w:tab w:val="left" w:pos="1620"/>
          <w:tab w:val="left" w:pos="2070"/>
          <w:tab w:val="left" w:pos="2520"/>
        </w:tabs>
        <w:spacing w:after="0"/>
        <w:ind w:left="1620" w:hanging="450"/>
        <w:contextualSpacing w:val="0"/>
        <w:rPr>
          <w:lang w:val="fr-CA"/>
        </w:rPr>
      </w:pPr>
    </w:p>
    <w:p w:rsidR="00926C38" w:rsidRDefault="00713495" w:rsidP="007D564A">
      <w:pPr>
        <w:pStyle w:val="Citation1"/>
        <w:tabs>
          <w:tab w:val="left" w:pos="1620"/>
          <w:tab w:val="left" w:pos="2070"/>
          <w:tab w:val="left" w:pos="2520"/>
        </w:tabs>
        <w:spacing w:after="0"/>
        <w:ind w:left="1620" w:hanging="450"/>
        <w:contextualSpacing w:val="0"/>
        <w:rPr>
          <w:lang w:val="fr-CA"/>
        </w:rPr>
      </w:pPr>
      <w:r>
        <w:rPr>
          <w:i/>
          <w:lang w:val="fr-CA"/>
        </w:rPr>
        <w:tab/>
      </w:r>
      <w:r w:rsidR="00926C38" w:rsidRPr="00626FC3">
        <w:rPr>
          <w:i/>
          <w:lang w:val="fr-CA"/>
        </w:rPr>
        <w:t>b</w:t>
      </w:r>
      <w:r w:rsidR="00926C38" w:rsidRPr="00626FC3">
        <w:rPr>
          <w:lang w:val="fr-CA"/>
        </w:rPr>
        <w:t>)</w:t>
      </w:r>
      <w:r>
        <w:rPr>
          <w:lang w:val="fr-CA"/>
        </w:rPr>
        <w:tab/>
      </w:r>
      <w:r w:rsidR="00926C38" w:rsidRPr="00626FC3">
        <w:rPr>
          <w:lang w:val="fr-CA"/>
        </w:rPr>
        <w:t>une drogue qui entre dans une association de deux drogues ou plus, avec ou sans autre ingrédient, qui n’a pas été vendue dans cette association particulière, ou dans les proportions de ladite association pour ces drogues particulières, pendant assez longtemps et en quantité suffisante pour établir, au Canada, l’innocuité et l’efficacité de cette association ou de ces proportions employées comme drogue; ou</w:t>
      </w:r>
    </w:p>
    <w:p w:rsidR="007D564A" w:rsidRPr="00626FC3" w:rsidRDefault="007D564A" w:rsidP="007D564A">
      <w:pPr>
        <w:pStyle w:val="Citation1"/>
        <w:tabs>
          <w:tab w:val="left" w:pos="1620"/>
          <w:tab w:val="left" w:pos="2070"/>
          <w:tab w:val="left" w:pos="2520"/>
        </w:tabs>
        <w:spacing w:after="0"/>
        <w:ind w:left="1620" w:hanging="450"/>
        <w:contextualSpacing w:val="0"/>
        <w:rPr>
          <w:lang w:val="fr-CA"/>
        </w:rPr>
      </w:pPr>
    </w:p>
    <w:p w:rsidR="00926C38" w:rsidRDefault="00713495" w:rsidP="007D564A">
      <w:pPr>
        <w:pStyle w:val="Citation1"/>
        <w:tabs>
          <w:tab w:val="left" w:pos="1620"/>
          <w:tab w:val="left" w:pos="2070"/>
          <w:tab w:val="left" w:pos="2520"/>
        </w:tabs>
        <w:spacing w:after="0"/>
        <w:ind w:left="1620" w:hanging="450"/>
        <w:contextualSpacing w:val="0"/>
        <w:rPr>
          <w:lang w:val="fr-CA"/>
        </w:rPr>
      </w:pPr>
      <w:r>
        <w:rPr>
          <w:i/>
          <w:lang w:val="fr-CA"/>
        </w:rPr>
        <w:tab/>
      </w:r>
      <w:r w:rsidR="00926C38" w:rsidRPr="00626FC3">
        <w:rPr>
          <w:i/>
          <w:lang w:val="fr-CA"/>
        </w:rPr>
        <w:t>c</w:t>
      </w:r>
      <w:r w:rsidR="00926C38" w:rsidRPr="00626FC3">
        <w:rPr>
          <w:lang w:val="fr-CA"/>
        </w:rPr>
        <w:t>)</w:t>
      </w:r>
      <w:r>
        <w:rPr>
          <w:lang w:val="fr-CA"/>
        </w:rPr>
        <w:tab/>
      </w:r>
      <w:r w:rsidR="00926C38" w:rsidRPr="00626FC3">
        <w:rPr>
          <w:lang w:val="fr-CA"/>
        </w:rPr>
        <w:t>une drogue pour laquelle le fabricant prescrit, recommande, propose ou déclare un usage comme drogue ou un mode d’emploi comme drogue, y compris la posologie, la voie d’administration et la durée d’action, et qui n’a pas été vendue pour cet usage ou selon ce mode d’emploi au Canada pendant assez longtemps et en quantité suffisante pour établir, au Canada, l’innocuité et l’efficacité de cet usage ou de ce mode d’emploi pour ladite drogue.</w:t>
      </w:r>
    </w:p>
    <w:p w:rsidR="007D564A" w:rsidRDefault="007D564A" w:rsidP="007D564A">
      <w:pPr>
        <w:pStyle w:val="Citation1"/>
        <w:tabs>
          <w:tab w:val="left" w:pos="1620"/>
          <w:tab w:val="left" w:pos="2070"/>
          <w:tab w:val="left" w:pos="2520"/>
        </w:tabs>
        <w:spacing w:after="0"/>
        <w:ind w:left="1620" w:hanging="450"/>
        <w:contextualSpacing w:val="0"/>
        <w:rPr>
          <w:lang w:val="fr-CA"/>
        </w:rPr>
      </w:pPr>
    </w:p>
    <w:p w:rsidR="0028615A" w:rsidRPr="007D564A" w:rsidRDefault="0028615A" w:rsidP="0028615A">
      <w:pPr>
        <w:pStyle w:val="Citation"/>
        <w:tabs>
          <w:tab w:val="left" w:pos="1620"/>
        </w:tabs>
        <w:spacing w:after="360"/>
        <w:ind w:left="1620" w:hanging="454"/>
        <w:contextualSpacing w:val="0"/>
        <w:jc w:val="center"/>
        <w:rPr>
          <w:lang w:val="fr-CA"/>
        </w:rPr>
      </w:pPr>
      <w:r>
        <w:rPr>
          <w:lang w:val="fr-CA"/>
        </w:rPr>
        <w:t>. . .</w:t>
      </w:r>
    </w:p>
    <w:p w:rsidR="0028615A" w:rsidRPr="00626FC3" w:rsidRDefault="0028615A" w:rsidP="007D564A">
      <w:pPr>
        <w:pStyle w:val="Citation1"/>
        <w:tabs>
          <w:tab w:val="left" w:pos="1620"/>
          <w:tab w:val="left" w:pos="2070"/>
          <w:tab w:val="left" w:pos="2520"/>
        </w:tabs>
        <w:spacing w:after="0"/>
        <w:ind w:left="1620" w:hanging="450"/>
        <w:contextualSpacing w:val="0"/>
        <w:rPr>
          <w:lang w:val="fr-CA"/>
        </w:rPr>
      </w:pPr>
    </w:p>
    <w:p w:rsidR="00926C38" w:rsidRPr="00626FC3" w:rsidRDefault="00713495" w:rsidP="00713495">
      <w:pPr>
        <w:pStyle w:val="Citation"/>
        <w:tabs>
          <w:tab w:val="left" w:pos="1620"/>
        </w:tabs>
        <w:spacing w:after="360"/>
        <w:ind w:firstLine="4"/>
        <w:contextualSpacing w:val="0"/>
        <w:rPr>
          <w:lang w:val="fr-CA"/>
        </w:rPr>
      </w:pPr>
      <w:r>
        <w:rPr>
          <w:b/>
          <w:lang w:val="fr-CA"/>
        </w:rPr>
        <w:tab/>
      </w:r>
      <w:r w:rsidR="00926C38" w:rsidRPr="00626FC3">
        <w:rPr>
          <w:b/>
          <w:lang w:val="fr-CA"/>
        </w:rPr>
        <w:t>C.08.002.</w:t>
      </w:r>
      <w:r>
        <w:rPr>
          <w:lang w:val="fr-CA"/>
        </w:rPr>
        <w:t> (1) </w:t>
      </w:r>
      <w:r w:rsidR="00926C38" w:rsidRPr="00626FC3">
        <w:rPr>
          <w:lang w:val="fr-CA"/>
        </w:rPr>
        <w:t>Il est interdit de vendre ou d’annoncer une drogue nouvelle, à moins que les conditions suivantes ne soient réunies :</w:t>
      </w:r>
    </w:p>
    <w:p w:rsidR="00926C38" w:rsidRDefault="00713495" w:rsidP="007D564A">
      <w:pPr>
        <w:pStyle w:val="Citation1"/>
        <w:tabs>
          <w:tab w:val="left" w:pos="1620"/>
          <w:tab w:val="left" w:pos="2070"/>
          <w:tab w:val="left" w:pos="2520"/>
        </w:tabs>
        <w:spacing w:after="0"/>
        <w:ind w:left="1620" w:hanging="450"/>
        <w:contextualSpacing w:val="0"/>
        <w:rPr>
          <w:lang w:val="fr-CA"/>
        </w:rPr>
      </w:pPr>
      <w:r>
        <w:rPr>
          <w:i/>
          <w:lang w:val="fr-CA"/>
        </w:rPr>
        <w:tab/>
      </w:r>
      <w:r w:rsidR="00926C38" w:rsidRPr="00626FC3">
        <w:rPr>
          <w:i/>
          <w:lang w:val="fr-CA"/>
        </w:rPr>
        <w:t>a</w:t>
      </w:r>
      <w:r w:rsidR="00926C38" w:rsidRPr="00626FC3">
        <w:rPr>
          <w:lang w:val="fr-CA"/>
        </w:rPr>
        <w:t>)</w:t>
      </w:r>
      <w:r>
        <w:rPr>
          <w:lang w:val="fr-CA"/>
        </w:rPr>
        <w:tab/>
      </w:r>
      <w:r w:rsidR="00926C38" w:rsidRPr="00626FC3">
        <w:rPr>
          <w:lang w:val="fr-CA"/>
        </w:rPr>
        <w:t>le fabricant de la drogue nouvelle a, relativement à celle</w:t>
      </w:r>
      <w:r>
        <w:rPr>
          <w:lang w:val="fr-CA"/>
        </w:rPr>
        <w:t>-</w:t>
      </w:r>
      <w:r w:rsidR="00926C38" w:rsidRPr="00626FC3">
        <w:rPr>
          <w:lang w:val="fr-CA"/>
        </w:rPr>
        <w:t>ci, déposé auprès du ministre une présentation de drogue nouvelle ou une présentation abrég</w:t>
      </w:r>
      <w:r>
        <w:rPr>
          <w:lang w:val="fr-CA"/>
        </w:rPr>
        <w:t>ée de drogue nouvelle que celui-</w:t>
      </w:r>
      <w:r w:rsidR="00926C38" w:rsidRPr="00626FC3">
        <w:rPr>
          <w:lang w:val="fr-CA"/>
        </w:rPr>
        <w:t>ci juge acceptable;</w:t>
      </w:r>
    </w:p>
    <w:p w:rsidR="007D564A" w:rsidRPr="00626FC3" w:rsidRDefault="007D564A" w:rsidP="007D564A">
      <w:pPr>
        <w:pStyle w:val="Citation1"/>
        <w:tabs>
          <w:tab w:val="left" w:pos="1620"/>
          <w:tab w:val="left" w:pos="2070"/>
          <w:tab w:val="left" w:pos="2520"/>
        </w:tabs>
        <w:spacing w:after="0"/>
        <w:ind w:left="1620" w:hanging="450"/>
        <w:contextualSpacing w:val="0"/>
        <w:rPr>
          <w:lang w:val="fr-CA"/>
        </w:rPr>
      </w:pPr>
    </w:p>
    <w:p w:rsidR="00926C38" w:rsidRDefault="00713495" w:rsidP="007D564A">
      <w:pPr>
        <w:pStyle w:val="Citation1"/>
        <w:tabs>
          <w:tab w:val="left" w:pos="1620"/>
          <w:tab w:val="left" w:pos="2070"/>
          <w:tab w:val="left" w:pos="2520"/>
        </w:tabs>
        <w:spacing w:after="0"/>
        <w:ind w:left="1620" w:hanging="450"/>
        <w:contextualSpacing w:val="0"/>
        <w:rPr>
          <w:lang w:val="fr-CA"/>
        </w:rPr>
      </w:pPr>
      <w:r>
        <w:rPr>
          <w:i/>
          <w:lang w:val="fr-CA"/>
        </w:rPr>
        <w:tab/>
      </w:r>
      <w:r w:rsidR="00926C38" w:rsidRPr="00626FC3">
        <w:rPr>
          <w:i/>
          <w:lang w:val="fr-CA"/>
        </w:rPr>
        <w:t>b</w:t>
      </w:r>
      <w:r w:rsidR="00926C38" w:rsidRPr="00626FC3">
        <w:rPr>
          <w:lang w:val="fr-CA"/>
        </w:rPr>
        <w:t>)</w:t>
      </w:r>
      <w:r>
        <w:rPr>
          <w:lang w:val="fr-CA"/>
        </w:rPr>
        <w:tab/>
      </w:r>
      <w:r w:rsidR="00926C38" w:rsidRPr="00626FC3">
        <w:rPr>
          <w:lang w:val="fr-CA"/>
        </w:rPr>
        <w:t>le mini</w:t>
      </w:r>
      <w:r w:rsidR="007D564A">
        <w:rPr>
          <w:lang w:val="fr-CA"/>
        </w:rPr>
        <w:t xml:space="preserve">stre a, aux termes de l’article </w:t>
      </w:r>
      <w:r w:rsidR="00926C38" w:rsidRPr="00626FC3">
        <w:rPr>
          <w:lang w:val="fr-CA"/>
        </w:rPr>
        <w:t>C.08.004, délivré au fabricant de la drogue nouvelle un avis de conformité relativement à la présentation de drogue nouvelle ou à la présentation abrégée de drogue nouvelle;</w:t>
      </w:r>
    </w:p>
    <w:p w:rsidR="007D564A" w:rsidRPr="00626FC3" w:rsidRDefault="007D564A" w:rsidP="007D564A">
      <w:pPr>
        <w:pStyle w:val="Citation1"/>
        <w:tabs>
          <w:tab w:val="left" w:pos="1620"/>
          <w:tab w:val="left" w:pos="2070"/>
          <w:tab w:val="left" w:pos="2520"/>
        </w:tabs>
        <w:spacing w:after="0"/>
        <w:ind w:left="1620" w:hanging="450"/>
        <w:contextualSpacing w:val="0"/>
        <w:rPr>
          <w:lang w:val="fr-CA"/>
        </w:rPr>
      </w:pPr>
    </w:p>
    <w:p w:rsidR="00926C38" w:rsidRDefault="00713495" w:rsidP="007D564A">
      <w:pPr>
        <w:pStyle w:val="Citation1"/>
        <w:tabs>
          <w:tab w:val="left" w:pos="1620"/>
          <w:tab w:val="left" w:pos="2070"/>
          <w:tab w:val="left" w:pos="2520"/>
        </w:tabs>
        <w:spacing w:after="0"/>
        <w:ind w:left="1620" w:hanging="450"/>
        <w:contextualSpacing w:val="0"/>
        <w:rPr>
          <w:lang w:val="fr-CA"/>
        </w:rPr>
      </w:pPr>
      <w:r>
        <w:rPr>
          <w:i/>
          <w:lang w:val="fr-CA"/>
        </w:rPr>
        <w:lastRenderedPageBreak/>
        <w:tab/>
      </w:r>
      <w:r w:rsidR="00926C38" w:rsidRPr="00626FC3">
        <w:rPr>
          <w:i/>
          <w:lang w:val="fr-CA"/>
        </w:rPr>
        <w:t>c</w:t>
      </w:r>
      <w:r w:rsidR="00926C38" w:rsidRPr="00626FC3">
        <w:rPr>
          <w:lang w:val="fr-CA"/>
        </w:rPr>
        <w:t>)</w:t>
      </w:r>
      <w:r>
        <w:rPr>
          <w:lang w:val="fr-CA"/>
        </w:rPr>
        <w:tab/>
      </w:r>
      <w:r w:rsidR="00926C38" w:rsidRPr="00626FC3">
        <w:rPr>
          <w:lang w:val="fr-CA"/>
        </w:rPr>
        <w:t>l’avis de conformité relatif à la présentation n’a pas été s</w:t>
      </w:r>
      <w:r w:rsidR="007D564A">
        <w:rPr>
          <w:lang w:val="fr-CA"/>
        </w:rPr>
        <w:t xml:space="preserve">uspendu aux termes de l’article </w:t>
      </w:r>
      <w:r w:rsidR="00926C38" w:rsidRPr="00626FC3">
        <w:rPr>
          <w:lang w:val="fr-CA"/>
        </w:rPr>
        <w:t>C.08.006;</w:t>
      </w:r>
    </w:p>
    <w:p w:rsidR="007D564A" w:rsidRPr="00626FC3" w:rsidRDefault="007D564A" w:rsidP="007D564A">
      <w:pPr>
        <w:pStyle w:val="Citation1"/>
        <w:tabs>
          <w:tab w:val="left" w:pos="1620"/>
          <w:tab w:val="left" w:pos="2070"/>
          <w:tab w:val="left" w:pos="2520"/>
        </w:tabs>
        <w:spacing w:after="0"/>
        <w:ind w:left="1620" w:hanging="450"/>
        <w:contextualSpacing w:val="0"/>
        <w:rPr>
          <w:lang w:val="fr-CA"/>
        </w:rPr>
      </w:pPr>
    </w:p>
    <w:p w:rsidR="00926C38" w:rsidRDefault="00713495" w:rsidP="007D564A">
      <w:pPr>
        <w:pStyle w:val="Citation1"/>
        <w:tabs>
          <w:tab w:val="left" w:pos="1620"/>
          <w:tab w:val="left" w:pos="2070"/>
          <w:tab w:val="left" w:pos="2520"/>
        </w:tabs>
        <w:spacing w:after="0"/>
        <w:ind w:left="1620" w:hanging="450"/>
        <w:contextualSpacing w:val="0"/>
        <w:rPr>
          <w:lang w:val="fr-CA"/>
        </w:rPr>
      </w:pPr>
      <w:r>
        <w:rPr>
          <w:i/>
          <w:lang w:val="fr-CA"/>
        </w:rPr>
        <w:tab/>
      </w:r>
      <w:r w:rsidR="00926C38" w:rsidRPr="00626FC3">
        <w:rPr>
          <w:i/>
          <w:lang w:val="fr-CA"/>
        </w:rPr>
        <w:t>d</w:t>
      </w:r>
      <w:r w:rsidR="00926C38" w:rsidRPr="00626FC3">
        <w:rPr>
          <w:lang w:val="fr-CA"/>
        </w:rPr>
        <w:t>)</w:t>
      </w:r>
      <w:r>
        <w:rPr>
          <w:lang w:val="fr-CA"/>
        </w:rPr>
        <w:tab/>
      </w:r>
      <w:r w:rsidR="00926C38" w:rsidRPr="00626FC3">
        <w:rPr>
          <w:lang w:val="fr-CA"/>
        </w:rPr>
        <w:t>le fabricant de la drogue nouvelle a présenté au ministre, sous leur forme définitive, des échantillons des étiquettes — y compris toute notice jointe à l’emballage, tout dépliant et toute fiche sur le produit — destinées à être utilisées pour la drogue nouvelle, ainsi qu’une déclaration indiquant la date à laquelle il est prévu de commencer à utiliser ces étiquettes.</w:t>
      </w:r>
    </w:p>
    <w:p w:rsidR="007D564A" w:rsidRPr="00626FC3" w:rsidRDefault="007D564A" w:rsidP="007D564A">
      <w:pPr>
        <w:pStyle w:val="Citation1"/>
        <w:tabs>
          <w:tab w:val="left" w:pos="1620"/>
          <w:tab w:val="left" w:pos="2070"/>
          <w:tab w:val="left" w:pos="2520"/>
        </w:tabs>
        <w:spacing w:after="0" w:line="480" w:lineRule="auto"/>
        <w:ind w:left="1620" w:hanging="450"/>
        <w:contextualSpacing w:val="0"/>
        <w:rPr>
          <w:lang w:val="fr-CA"/>
        </w:rPr>
      </w:pPr>
    </w:p>
    <w:p w:rsidR="00926C38" w:rsidRPr="00626FC3" w:rsidRDefault="00926C38" w:rsidP="00713495">
      <w:pPr>
        <w:tabs>
          <w:tab w:val="left" w:pos="540"/>
        </w:tabs>
        <w:spacing w:after="720"/>
        <w:ind w:left="540" w:hanging="540"/>
        <w:rPr>
          <w:lang w:val="fr-CA"/>
        </w:rPr>
      </w:pPr>
      <w:r w:rsidRPr="00626FC3">
        <w:rPr>
          <w:lang w:val="fr-CA"/>
        </w:rPr>
        <w:t>IV</w:t>
      </w:r>
      <w:r w:rsidRPr="00713495">
        <w:rPr>
          <w:lang w:val="fr-CA"/>
        </w:rPr>
        <w:t>.</w:t>
      </w:r>
      <w:r w:rsidR="00713495" w:rsidRPr="00713495">
        <w:rPr>
          <w:lang w:val="fr-CA"/>
        </w:rPr>
        <w:tab/>
      </w:r>
      <w:r w:rsidRPr="00626FC3">
        <w:rPr>
          <w:u w:val="single"/>
          <w:lang w:val="fr-CA"/>
        </w:rPr>
        <w:t>Analyse</w:t>
      </w:r>
    </w:p>
    <w:p w:rsidR="00926C38" w:rsidRPr="001D3D64" w:rsidRDefault="00926C38" w:rsidP="001D3D64">
      <w:pPr>
        <w:pStyle w:val="ReasonsNumbering-AltN"/>
        <w:numPr>
          <w:ilvl w:val="0"/>
          <w:numId w:val="0"/>
        </w:numPr>
        <w:rPr>
          <w:lang w:val="fr-CA"/>
        </w:rPr>
      </w:pPr>
      <w:r w:rsidRPr="001D3D64">
        <w:rPr>
          <w:lang w:val="fr-CA"/>
        </w:rPr>
        <w:t>[15]</w:t>
      </w:r>
      <w:r w:rsidRPr="001D3D64">
        <w:rPr>
          <w:lang w:val="fr-CA"/>
        </w:rPr>
        <w:tab/>
        <w:t>La Couronne plaide que les décisions du directeur général constituent des décisions d’un office fédéral et que, pour cette raison, leur légalité ne peut être contestée que par voie de contrôle judiciaire devant la Cour fédérale.</w:t>
      </w:r>
    </w:p>
    <w:p w:rsidR="00926C38" w:rsidRPr="001D3D64" w:rsidRDefault="00926C38" w:rsidP="001D3D64">
      <w:pPr>
        <w:pStyle w:val="ReasonsNumbering-AltN"/>
        <w:numPr>
          <w:ilvl w:val="0"/>
          <w:numId w:val="0"/>
        </w:numPr>
        <w:rPr>
          <w:lang w:val="fr-CA"/>
        </w:rPr>
      </w:pPr>
      <w:r w:rsidRPr="001D3D64">
        <w:rPr>
          <w:lang w:val="fr-CA"/>
        </w:rPr>
        <w:t>[16]</w:t>
      </w:r>
      <w:r w:rsidRPr="001D3D64">
        <w:rPr>
          <w:lang w:val="fr-CA"/>
        </w:rPr>
        <w:tab/>
        <w:t xml:space="preserve">Pour les motifs exposés par le juge </w:t>
      </w:r>
      <w:proofErr w:type="spellStart"/>
      <w:r w:rsidRPr="001D3D64">
        <w:rPr>
          <w:lang w:val="fr-CA"/>
        </w:rPr>
        <w:t>Binnie</w:t>
      </w:r>
      <w:proofErr w:type="spellEnd"/>
      <w:r w:rsidRPr="001D3D64">
        <w:rPr>
          <w:lang w:val="fr-CA"/>
        </w:rPr>
        <w:t xml:space="preserve"> dans l’affaire connexe </w:t>
      </w:r>
      <w:r w:rsidRPr="001D3D64">
        <w:rPr>
          <w:i/>
          <w:lang w:val="fr-CA"/>
        </w:rPr>
        <w:t>Canada (Procureur</w:t>
      </w:r>
      <w:r w:rsidRPr="00D06A0F">
        <w:rPr>
          <w:i/>
          <w:lang w:val="fr-CA"/>
        </w:rPr>
        <w:t xml:space="preserve"> général</w:t>
      </w:r>
      <w:r w:rsidRPr="001D3D64">
        <w:rPr>
          <w:i/>
          <w:lang w:val="fr-CA"/>
        </w:rPr>
        <w:t xml:space="preserve">) c. </w:t>
      </w:r>
      <w:proofErr w:type="spellStart"/>
      <w:r w:rsidRPr="001D3D64">
        <w:rPr>
          <w:i/>
          <w:lang w:val="fr-CA"/>
        </w:rPr>
        <w:t>TeleZone</w:t>
      </w:r>
      <w:proofErr w:type="spellEnd"/>
      <w:r w:rsidRPr="001D3D64">
        <w:rPr>
          <w:i/>
          <w:lang w:val="fr-CA"/>
        </w:rPr>
        <w:t xml:space="preserve"> Inc.</w:t>
      </w:r>
      <w:r w:rsidRPr="001D3D64">
        <w:rPr>
          <w:lang w:val="fr-CA"/>
        </w:rPr>
        <w:t>, 2010 CSC 62,</w:t>
      </w:r>
      <w:r w:rsidR="007D564A">
        <w:rPr>
          <w:lang w:val="fr-CA"/>
        </w:rPr>
        <w:t xml:space="preserve"> [2010] 3 R.C.S. </w:t>
      </w:r>
      <w:r w:rsidR="00D06A0F">
        <w:rPr>
          <w:lang w:val="fr-CA"/>
        </w:rPr>
        <w:t>585</w:t>
      </w:r>
      <w:r w:rsidR="007D564A">
        <w:rPr>
          <w:lang w:val="fr-CA"/>
        </w:rPr>
        <w:t>,</w:t>
      </w:r>
      <w:r w:rsidRPr="001D3D64">
        <w:rPr>
          <w:lang w:val="fr-CA"/>
        </w:rPr>
        <w:t xml:space="preserve"> l’argument de la Couronne ne peut être retenu.</w:t>
      </w:r>
    </w:p>
    <w:p w:rsidR="00926C38" w:rsidRPr="00BE4A5A" w:rsidRDefault="00926C38" w:rsidP="001D3D64">
      <w:pPr>
        <w:pStyle w:val="ReasonsNumbering-AltN"/>
        <w:numPr>
          <w:ilvl w:val="0"/>
          <w:numId w:val="0"/>
        </w:numPr>
        <w:rPr>
          <w:lang w:val="fr-CA"/>
        </w:rPr>
      </w:pPr>
      <w:r w:rsidRPr="001D3D64">
        <w:rPr>
          <w:lang w:val="fr-CA"/>
        </w:rPr>
        <w:t>[17]</w:t>
      </w:r>
      <w:r w:rsidRPr="001D3D64">
        <w:rPr>
          <w:lang w:val="fr-CA"/>
        </w:rPr>
        <w:tab/>
        <w:t xml:space="preserve">Contrairement à </w:t>
      </w:r>
      <w:proofErr w:type="spellStart"/>
      <w:r w:rsidRPr="001D3D64">
        <w:rPr>
          <w:i/>
          <w:lang w:val="fr-CA"/>
        </w:rPr>
        <w:t>TeleZone</w:t>
      </w:r>
      <w:proofErr w:type="spellEnd"/>
      <w:r w:rsidRPr="001D3D64">
        <w:rPr>
          <w:lang w:val="fr-CA"/>
        </w:rPr>
        <w:t xml:space="preserve">, le présent pourvoi ne soulève pas la question de la compétence de la Cour fédérale.  </w:t>
      </w:r>
      <w:proofErr w:type="spellStart"/>
      <w:r w:rsidRPr="00BE4A5A">
        <w:rPr>
          <w:lang w:val="fr-CA"/>
        </w:rPr>
        <w:t>Nu</w:t>
      </w:r>
      <w:r w:rsidRPr="00BE4A5A">
        <w:rPr>
          <w:lang w:val="fr-CA"/>
        </w:rPr>
        <w:noBreakHyphen/>
        <w:t>Pharm</w:t>
      </w:r>
      <w:proofErr w:type="spellEnd"/>
      <w:r w:rsidRPr="00BE4A5A">
        <w:rPr>
          <w:lang w:val="fr-CA"/>
        </w:rPr>
        <w:t xml:space="preserve"> a intenté son action en Cour fédérale.  Cependant, il est question en l’espèce du choix de la procédure à suivre </w:t>
      </w:r>
      <w:r w:rsidR="000535CD">
        <w:rPr>
          <w:rFonts w:cs="Times New Roman"/>
          <w:lang w:val="fr-CA"/>
        </w:rPr>
        <w:t>—</w:t>
      </w:r>
      <w:r w:rsidRPr="00BE4A5A">
        <w:rPr>
          <w:lang w:val="fr-CA"/>
        </w:rPr>
        <w:t xml:space="preserve"> une action ou une demande de contrôle judiciaire.  L’article 17 de la </w:t>
      </w:r>
      <w:r w:rsidRPr="00BE4A5A">
        <w:rPr>
          <w:i/>
          <w:lang w:val="fr-CA"/>
        </w:rPr>
        <w:t>Loi sur les Cours fédérales</w:t>
      </w:r>
      <w:r w:rsidRPr="00BE4A5A">
        <w:rPr>
          <w:lang w:val="fr-CA"/>
        </w:rPr>
        <w:t>, L.R.C.</w:t>
      </w:r>
      <w:r w:rsidR="007D564A">
        <w:rPr>
          <w:lang w:val="fr-CA"/>
        </w:rPr>
        <w:t xml:space="preserve"> 1985,</w:t>
      </w:r>
      <w:r w:rsidRPr="00BE4A5A">
        <w:rPr>
          <w:lang w:val="fr-CA"/>
        </w:rPr>
        <w:t xml:space="preserve"> ch.</w:t>
      </w:r>
      <w:r w:rsidR="00713495">
        <w:rPr>
          <w:lang w:val="fr-CA"/>
        </w:rPr>
        <w:t xml:space="preserve"> </w:t>
      </w:r>
      <w:r w:rsidRPr="00BE4A5A">
        <w:rPr>
          <w:lang w:val="fr-CA"/>
        </w:rPr>
        <w:t>F-7, confère à la Cour fédérale compétence concurrente dans les cas de demande de réparation contre la Couronne</w:t>
      </w:r>
      <w:r w:rsidRPr="00BE4A5A">
        <w:rPr>
          <w:i/>
          <w:lang w:val="fr-CA"/>
        </w:rPr>
        <w:t xml:space="preserve">.  </w:t>
      </w:r>
      <w:r w:rsidR="007D564A">
        <w:rPr>
          <w:lang w:val="fr-CA"/>
        </w:rPr>
        <w:t>L’</w:t>
      </w:r>
      <w:r w:rsidRPr="00BE4A5A">
        <w:rPr>
          <w:lang w:val="fr-CA"/>
        </w:rPr>
        <w:t xml:space="preserve">article 18 de la </w:t>
      </w:r>
      <w:r w:rsidRPr="007D564A">
        <w:rPr>
          <w:i/>
          <w:lang w:val="fr-CA"/>
        </w:rPr>
        <w:t>Loi</w:t>
      </w:r>
      <w:r w:rsidR="007D564A">
        <w:rPr>
          <w:i/>
          <w:lang w:val="fr-CA"/>
        </w:rPr>
        <w:t xml:space="preserve"> sur les Cours fédérales</w:t>
      </w:r>
      <w:r w:rsidRPr="00BE4A5A">
        <w:rPr>
          <w:lang w:val="fr-CA"/>
        </w:rPr>
        <w:t xml:space="preserve"> n’amoindrit pas cet</w:t>
      </w:r>
      <w:r w:rsidR="007D564A">
        <w:rPr>
          <w:lang w:val="fr-CA"/>
        </w:rPr>
        <w:t xml:space="preserve">te compétence concurrente. Ni l’art. 17, ni </w:t>
      </w:r>
      <w:r w:rsidR="00FE294A">
        <w:rPr>
          <w:lang w:val="fr-CA"/>
        </w:rPr>
        <w:lastRenderedPageBreak/>
        <w:t>l’</w:t>
      </w:r>
      <w:r w:rsidR="007D564A">
        <w:rPr>
          <w:lang w:val="fr-CA"/>
        </w:rPr>
        <w:t>art. 18 n’</w:t>
      </w:r>
      <w:r w:rsidRPr="00BE4A5A">
        <w:rPr>
          <w:lang w:val="fr-CA"/>
        </w:rPr>
        <w:t>exigent que Nu-</w:t>
      </w:r>
      <w:proofErr w:type="spellStart"/>
      <w:r w:rsidRPr="00BE4A5A">
        <w:rPr>
          <w:lang w:val="fr-CA"/>
        </w:rPr>
        <w:t>Pharm</w:t>
      </w:r>
      <w:proofErr w:type="spellEnd"/>
      <w:r w:rsidRPr="00BE4A5A">
        <w:rPr>
          <w:lang w:val="fr-CA"/>
        </w:rPr>
        <w:t xml:space="preserve"> ait gain de cause en contrôle judiciaire avant de pouvoir intenter son action en dommages-intérêts contre la Couronne.</w:t>
      </w:r>
    </w:p>
    <w:p w:rsidR="00926C38" w:rsidRPr="00BE4A5A" w:rsidRDefault="00926C38" w:rsidP="001D3D64">
      <w:pPr>
        <w:pStyle w:val="ReasonsNumbering-AltN"/>
        <w:numPr>
          <w:ilvl w:val="0"/>
          <w:numId w:val="0"/>
        </w:numPr>
        <w:rPr>
          <w:lang w:val="fr-CA"/>
        </w:rPr>
      </w:pPr>
      <w:r w:rsidRPr="006E2555">
        <w:rPr>
          <w:lang w:val="fr-FR"/>
        </w:rPr>
        <w:t>[18]</w:t>
      </w:r>
      <w:r w:rsidRPr="006E2555">
        <w:rPr>
          <w:lang w:val="fr-FR"/>
        </w:rPr>
        <w:tab/>
      </w:r>
      <w:proofErr w:type="spellStart"/>
      <w:r w:rsidRPr="001D3D64">
        <w:rPr>
          <w:lang w:val="fr-CA"/>
        </w:rPr>
        <w:t>Nu</w:t>
      </w:r>
      <w:r w:rsidRPr="001D3D64">
        <w:rPr>
          <w:lang w:val="fr-CA"/>
        </w:rPr>
        <w:noBreakHyphen/>
        <w:t>Pharm</w:t>
      </w:r>
      <w:proofErr w:type="spellEnd"/>
      <w:r w:rsidRPr="001D3D64">
        <w:rPr>
          <w:lang w:val="fr-CA"/>
        </w:rPr>
        <w:t xml:space="preserve"> est maintenant autorisée à distribuer le </w:t>
      </w:r>
      <w:proofErr w:type="spellStart"/>
      <w:r w:rsidRPr="001D3D64">
        <w:rPr>
          <w:lang w:val="fr-CA"/>
        </w:rPr>
        <w:t>Nu</w:t>
      </w:r>
      <w:r w:rsidRPr="001D3D64">
        <w:rPr>
          <w:lang w:val="fr-CA"/>
        </w:rPr>
        <w:noBreakHyphen/>
        <w:t>Enalapril</w:t>
      </w:r>
      <w:proofErr w:type="spellEnd"/>
      <w:r w:rsidRPr="001D3D64">
        <w:rPr>
          <w:lang w:val="fr-CA"/>
        </w:rPr>
        <w:t xml:space="preserve"> dans tout le pays.  </w:t>
      </w:r>
      <w:r w:rsidRPr="00BE4A5A">
        <w:rPr>
          <w:lang w:val="fr-CA"/>
        </w:rPr>
        <w:t xml:space="preserve">Comme </w:t>
      </w:r>
      <w:proofErr w:type="spellStart"/>
      <w:r w:rsidRPr="00BE4A5A">
        <w:rPr>
          <w:lang w:val="fr-CA"/>
        </w:rPr>
        <w:t>Nu</w:t>
      </w:r>
      <w:r w:rsidRPr="00BE4A5A">
        <w:rPr>
          <w:lang w:val="fr-CA"/>
        </w:rPr>
        <w:noBreakHyphen/>
        <w:t>Pharm</w:t>
      </w:r>
      <w:proofErr w:type="spellEnd"/>
      <w:r w:rsidRPr="00BE4A5A">
        <w:rPr>
          <w:lang w:val="fr-CA"/>
        </w:rPr>
        <w:t xml:space="preserve"> l’a reconnu en se désistant de ses demandes d’injonction et de jugement déclaratoire, il ne lui sert à rien dans les faits de présenter une demande de contrôle judiciaire.  Elle réclame maintenant des dommages-intérêts pour ses pertes qu’elle attribue à la conduite intentionnelle ou négligente du directeur général.  Elle présente une demande en responsabilité délictuelle.</w:t>
      </w:r>
    </w:p>
    <w:p w:rsidR="00926C38" w:rsidRPr="00626FC3" w:rsidRDefault="00926C38" w:rsidP="001D3D64">
      <w:pPr>
        <w:pStyle w:val="ReasonsNumbering-AltN"/>
        <w:numPr>
          <w:ilvl w:val="0"/>
          <w:numId w:val="0"/>
        </w:numPr>
        <w:rPr>
          <w:lang w:val="fr-CA"/>
        </w:rPr>
      </w:pPr>
      <w:r w:rsidRPr="001D3D64">
        <w:rPr>
          <w:lang w:val="fr-CA"/>
        </w:rPr>
        <w:t>[19]</w:t>
      </w:r>
      <w:r w:rsidRPr="001D3D64">
        <w:rPr>
          <w:lang w:val="fr-CA"/>
        </w:rPr>
        <w:tab/>
        <w:t xml:space="preserve">Certes, le directeur général a pris ses décisions en vertu de la législation fédérale.  </w:t>
      </w:r>
      <w:r w:rsidRPr="00BE4A5A">
        <w:rPr>
          <w:lang w:val="fr-CA"/>
        </w:rPr>
        <w:t xml:space="preserve">On s’attend donc à ce que la Couronne invoque, sur le fond, le moyen de défense de pouvoir d’origine législative.  </w:t>
      </w:r>
      <w:r w:rsidRPr="00626FC3">
        <w:rPr>
          <w:lang w:val="fr-CA"/>
        </w:rPr>
        <w:t>Cette question devra toutefois être tranchée lors du procès.</w:t>
      </w:r>
    </w:p>
    <w:p w:rsidR="00926C38" w:rsidRPr="001D3D64" w:rsidRDefault="00926C38" w:rsidP="001D3D64">
      <w:pPr>
        <w:pStyle w:val="ReasonsNumbering-AltN"/>
        <w:numPr>
          <w:ilvl w:val="0"/>
          <w:numId w:val="0"/>
        </w:numPr>
        <w:rPr>
          <w:lang w:val="fr-CA"/>
        </w:rPr>
      </w:pPr>
      <w:r w:rsidRPr="001D3D64">
        <w:rPr>
          <w:lang w:val="fr-CA"/>
        </w:rPr>
        <w:t>[20]</w:t>
      </w:r>
      <w:r w:rsidRPr="001D3D64">
        <w:rPr>
          <w:lang w:val="fr-CA"/>
        </w:rPr>
        <w:tab/>
        <w:t xml:space="preserve">Pour les motifs fournis dans </w:t>
      </w:r>
      <w:proofErr w:type="spellStart"/>
      <w:r w:rsidRPr="001D3D64">
        <w:rPr>
          <w:i/>
          <w:lang w:val="fr-CA"/>
        </w:rPr>
        <w:t>TeleZone</w:t>
      </w:r>
      <w:proofErr w:type="spellEnd"/>
      <w:r w:rsidRPr="001D3D64">
        <w:rPr>
          <w:lang w:val="fr-CA"/>
        </w:rPr>
        <w:t>, la Cour fédérale aurait dû statuer sur l’action en dommages</w:t>
      </w:r>
      <w:r w:rsidR="00713495">
        <w:rPr>
          <w:lang w:val="fr-CA"/>
        </w:rPr>
        <w:t>-</w:t>
      </w:r>
      <w:r w:rsidRPr="001D3D64">
        <w:rPr>
          <w:lang w:val="fr-CA"/>
        </w:rPr>
        <w:t xml:space="preserve">intérêts de </w:t>
      </w:r>
      <w:proofErr w:type="spellStart"/>
      <w:r w:rsidRPr="001D3D64">
        <w:rPr>
          <w:lang w:val="fr-CA"/>
        </w:rPr>
        <w:t>Nu</w:t>
      </w:r>
      <w:r w:rsidRPr="001D3D64">
        <w:rPr>
          <w:lang w:val="fr-CA"/>
        </w:rPr>
        <w:noBreakHyphen/>
        <w:t>Pharm</w:t>
      </w:r>
      <w:proofErr w:type="spellEnd"/>
      <w:r w:rsidRPr="001D3D64">
        <w:rPr>
          <w:lang w:val="fr-CA"/>
        </w:rPr>
        <w:t>, sans exiger que cette dernière ait d’abord gain de cause en contrôle judiciaire.</w:t>
      </w:r>
    </w:p>
    <w:p w:rsidR="00926C38" w:rsidRPr="00626FC3" w:rsidRDefault="00713495" w:rsidP="00713495">
      <w:pPr>
        <w:tabs>
          <w:tab w:val="left" w:pos="540"/>
        </w:tabs>
        <w:spacing w:after="720"/>
        <w:ind w:left="540" w:hanging="540"/>
        <w:rPr>
          <w:lang w:val="fr-CA"/>
        </w:rPr>
      </w:pPr>
      <w:r>
        <w:rPr>
          <w:lang w:val="fr-CA"/>
        </w:rPr>
        <w:t>V.</w:t>
      </w:r>
      <w:r>
        <w:rPr>
          <w:lang w:val="fr-CA"/>
        </w:rPr>
        <w:tab/>
      </w:r>
      <w:r w:rsidR="00926C38" w:rsidRPr="00626FC3">
        <w:rPr>
          <w:u w:val="single"/>
          <w:lang w:val="fr-CA"/>
        </w:rPr>
        <w:t>Conclusion</w:t>
      </w:r>
    </w:p>
    <w:p w:rsidR="00926C38" w:rsidRPr="001D3D64" w:rsidRDefault="00926C38" w:rsidP="001D3D64">
      <w:pPr>
        <w:pStyle w:val="ReasonsNumbering-AltN"/>
        <w:numPr>
          <w:ilvl w:val="0"/>
          <w:numId w:val="0"/>
        </w:numPr>
        <w:rPr>
          <w:lang w:val="fr-CA"/>
        </w:rPr>
      </w:pPr>
      <w:r w:rsidRPr="009B321F">
        <w:rPr>
          <w:lang w:val="fr-FR"/>
        </w:rPr>
        <w:t>[21]</w:t>
      </w:r>
      <w:r>
        <w:rPr>
          <w:lang w:val="fr-FR"/>
        </w:rPr>
        <w:tab/>
      </w:r>
      <w:r w:rsidRPr="001D3D64">
        <w:rPr>
          <w:lang w:val="fr-CA"/>
        </w:rPr>
        <w:t>Je suis d’avis d’accueillir l’appel avec dépens devant toutes les cours.</w:t>
      </w:r>
    </w:p>
    <w:p w:rsidR="0033393C" w:rsidRPr="00626FC3" w:rsidRDefault="0033393C" w:rsidP="009F496A">
      <w:pPr>
        <w:pStyle w:val="SCCNormalDoubleSpacing"/>
        <w:tabs>
          <w:tab w:val="left" w:pos="1170"/>
        </w:tabs>
        <w:rPr>
          <w:lang w:val="fr-CA"/>
        </w:rPr>
      </w:pPr>
      <w:r w:rsidRPr="001D3D64">
        <w:rPr>
          <w:lang w:val="fr-CA"/>
        </w:rPr>
        <w:lastRenderedPageBreak/>
        <w:tab/>
      </w:r>
      <w:r w:rsidR="00251EB0" w:rsidRPr="00626FC3">
        <w:rPr>
          <w:i/>
          <w:lang w:val="fr-CA"/>
        </w:rPr>
        <w:t>Pourvoi accueilli avec dépens.</w:t>
      </w:r>
    </w:p>
    <w:p w:rsidR="00251EB0" w:rsidRPr="00626FC3" w:rsidRDefault="00251EB0" w:rsidP="009F496A">
      <w:pPr>
        <w:pStyle w:val="SCCLawFirm"/>
        <w:tabs>
          <w:tab w:val="left" w:pos="1170"/>
        </w:tabs>
        <w:rPr>
          <w:lang w:val="fr-CA"/>
        </w:rPr>
      </w:pPr>
    </w:p>
    <w:p w:rsidR="00251EB0" w:rsidRPr="00626FC3" w:rsidRDefault="009F496A" w:rsidP="009F496A">
      <w:pPr>
        <w:pStyle w:val="SCCLawFirm"/>
        <w:tabs>
          <w:tab w:val="left" w:pos="1170"/>
        </w:tabs>
        <w:rPr>
          <w:lang w:val="fr-CA"/>
        </w:rPr>
      </w:pPr>
      <w:r w:rsidRPr="00626FC3">
        <w:rPr>
          <w:lang w:val="fr-CA"/>
        </w:rPr>
        <w:tab/>
        <w:t>Procureurs de l’appelante : </w:t>
      </w:r>
      <w:proofErr w:type="spellStart"/>
      <w:r w:rsidR="00251EB0" w:rsidRPr="00626FC3">
        <w:rPr>
          <w:lang w:val="fr-CA"/>
        </w:rPr>
        <w:t>Goodmans</w:t>
      </w:r>
      <w:proofErr w:type="spellEnd"/>
      <w:r w:rsidR="00251EB0" w:rsidRPr="00626FC3">
        <w:rPr>
          <w:lang w:val="fr-CA"/>
        </w:rPr>
        <w:t>, Toronto.</w:t>
      </w:r>
    </w:p>
    <w:p w:rsidR="00251EB0" w:rsidRPr="00626FC3" w:rsidRDefault="00251EB0" w:rsidP="009F496A">
      <w:pPr>
        <w:pStyle w:val="SCCLawFirm"/>
        <w:tabs>
          <w:tab w:val="left" w:pos="1170"/>
        </w:tabs>
        <w:rPr>
          <w:lang w:val="fr-CA"/>
        </w:rPr>
      </w:pPr>
    </w:p>
    <w:p w:rsidR="00251EB0" w:rsidRPr="00626FC3" w:rsidRDefault="00251EB0" w:rsidP="009F496A">
      <w:pPr>
        <w:pStyle w:val="SCCLawFirm"/>
        <w:tabs>
          <w:tab w:val="left" w:pos="1170"/>
        </w:tabs>
        <w:rPr>
          <w:lang w:val="fr-CA"/>
        </w:rPr>
      </w:pPr>
      <w:r w:rsidRPr="00626FC3">
        <w:rPr>
          <w:lang w:val="fr-CA"/>
        </w:rPr>
        <w:tab/>
        <w:t xml:space="preserve">Procureur des </w:t>
      </w:r>
      <w:r w:rsidR="009F496A" w:rsidRPr="00626FC3">
        <w:rPr>
          <w:lang w:val="fr-CA"/>
        </w:rPr>
        <w:t>intimés : </w:t>
      </w:r>
      <w:r w:rsidRPr="00626FC3">
        <w:rPr>
          <w:lang w:val="fr-CA"/>
        </w:rPr>
        <w:t>Procureur général du Canada, Ottawa.</w:t>
      </w:r>
    </w:p>
    <w:sectPr w:rsidR="00251EB0" w:rsidRPr="00626FC3" w:rsidSect="00DC6EBA">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EA0" w:rsidRDefault="00092EA0">
      <w:r>
        <w:separator/>
      </w:r>
    </w:p>
  </w:endnote>
  <w:endnote w:type="continuationSeparator" w:id="0">
    <w:p w:rsidR="00092EA0" w:rsidRDefault="00092E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A0" w:rsidRDefault="00092EA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A0" w:rsidRDefault="00092EA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EA0" w:rsidRDefault="00092EA0">
      <w:r>
        <w:separator/>
      </w:r>
    </w:p>
  </w:footnote>
  <w:footnote w:type="continuationSeparator" w:id="0">
    <w:p w:rsidR="00092EA0" w:rsidRDefault="00092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A0" w:rsidRDefault="00092EA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A0" w:rsidRDefault="00092EA0">
    <w:pPr>
      <w:pStyle w:val="Header"/>
      <w:jc w:val="center"/>
    </w:pPr>
    <w:r>
      <w:t xml:space="preserve">- </w:t>
    </w:r>
    <w:sdt>
      <w:sdtPr>
        <w:id w:val="4489881"/>
        <w:docPartObj>
          <w:docPartGallery w:val="Page Numbers (Top of Page)"/>
          <w:docPartUnique/>
        </w:docPartObj>
      </w:sdtPr>
      <w:sdtContent>
        <w:fldSimple w:instr=" PAGE   \* MERGEFORMAT ">
          <w:r w:rsidR="0079169F">
            <w:rPr>
              <w:noProof/>
            </w:rPr>
            <w:t>2</w:t>
          </w:r>
        </w:fldSimple>
        <w:r>
          <w:t xml:space="preserve"> -</w:t>
        </w:r>
      </w:sdtContent>
    </w:sdt>
  </w:p>
  <w:p w:rsidR="00092EA0" w:rsidRDefault="00092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682A61"/>
    <w:multiLevelType w:val="hybridMultilevel"/>
    <w:tmpl w:val="03F66B9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E446A09"/>
    <w:multiLevelType w:val="hybridMultilevel"/>
    <w:tmpl w:val="8A649A34"/>
    <w:lvl w:ilvl="0" w:tplc="3AB81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50DD9"/>
    <w:multiLevelType w:val="hybridMultilevel"/>
    <w:tmpl w:val="D632E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12"/>
  </w:num>
  <w:num w:numId="5">
    <w:abstractNumId w:val="10"/>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rsids>
    <w:rsidRoot w:val="0031414C"/>
    <w:rsid w:val="00005D9F"/>
    <w:rsid w:val="00025198"/>
    <w:rsid w:val="000535CD"/>
    <w:rsid w:val="00055A36"/>
    <w:rsid w:val="000578A3"/>
    <w:rsid w:val="00060075"/>
    <w:rsid w:val="00064563"/>
    <w:rsid w:val="000648CC"/>
    <w:rsid w:val="00092EA0"/>
    <w:rsid w:val="00094DE0"/>
    <w:rsid w:val="000A5321"/>
    <w:rsid w:val="000B4150"/>
    <w:rsid w:val="000C59B8"/>
    <w:rsid w:val="00103CBA"/>
    <w:rsid w:val="00111DE2"/>
    <w:rsid w:val="0011475C"/>
    <w:rsid w:val="00116B38"/>
    <w:rsid w:val="001236DE"/>
    <w:rsid w:val="0013109F"/>
    <w:rsid w:val="00133F57"/>
    <w:rsid w:val="00135406"/>
    <w:rsid w:val="00135972"/>
    <w:rsid w:val="00140667"/>
    <w:rsid w:val="001426A9"/>
    <w:rsid w:val="00154D7C"/>
    <w:rsid w:val="001570B0"/>
    <w:rsid w:val="00165361"/>
    <w:rsid w:val="00172A04"/>
    <w:rsid w:val="00175A97"/>
    <w:rsid w:val="00185394"/>
    <w:rsid w:val="001A451D"/>
    <w:rsid w:val="001A5915"/>
    <w:rsid w:val="001B33E0"/>
    <w:rsid w:val="001B4573"/>
    <w:rsid w:val="001C6DB4"/>
    <w:rsid w:val="001C779F"/>
    <w:rsid w:val="001D2AC1"/>
    <w:rsid w:val="001D3D64"/>
    <w:rsid w:val="001F7673"/>
    <w:rsid w:val="00220FC2"/>
    <w:rsid w:val="00224FC0"/>
    <w:rsid w:val="00225EA4"/>
    <w:rsid w:val="00226EAF"/>
    <w:rsid w:val="00231F3A"/>
    <w:rsid w:val="002406EE"/>
    <w:rsid w:val="00251EB0"/>
    <w:rsid w:val="002745CC"/>
    <w:rsid w:val="00280344"/>
    <w:rsid w:val="0028615A"/>
    <w:rsid w:val="002909D1"/>
    <w:rsid w:val="002B4BF0"/>
    <w:rsid w:val="002D39A4"/>
    <w:rsid w:val="002E6705"/>
    <w:rsid w:val="002F059B"/>
    <w:rsid w:val="002F696C"/>
    <w:rsid w:val="0030329A"/>
    <w:rsid w:val="00307AFD"/>
    <w:rsid w:val="0031086F"/>
    <w:rsid w:val="00310B22"/>
    <w:rsid w:val="00310E05"/>
    <w:rsid w:val="00313FD4"/>
    <w:rsid w:val="0031414C"/>
    <w:rsid w:val="00314AEC"/>
    <w:rsid w:val="00314E01"/>
    <w:rsid w:val="0032089D"/>
    <w:rsid w:val="003319F1"/>
    <w:rsid w:val="0033353E"/>
    <w:rsid w:val="0033393C"/>
    <w:rsid w:val="0034770C"/>
    <w:rsid w:val="0035259D"/>
    <w:rsid w:val="00362768"/>
    <w:rsid w:val="003633F7"/>
    <w:rsid w:val="003656B3"/>
    <w:rsid w:val="003866EC"/>
    <w:rsid w:val="00394476"/>
    <w:rsid w:val="00395442"/>
    <w:rsid w:val="003A21C0"/>
    <w:rsid w:val="003A28B3"/>
    <w:rsid w:val="003A4242"/>
    <w:rsid w:val="003A4C70"/>
    <w:rsid w:val="003A4E15"/>
    <w:rsid w:val="003C399D"/>
    <w:rsid w:val="003C7154"/>
    <w:rsid w:val="003C799C"/>
    <w:rsid w:val="003E1C71"/>
    <w:rsid w:val="003F327B"/>
    <w:rsid w:val="00402F26"/>
    <w:rsid w:val="004059A7"/>
    <w:rsid w:val="00406166"/>
    <w:rsid w:val="00411300"/>
    <w:rsid w:val="004160FC"/>
    <w:rsid w:val="00426659"/>
    <w:rsid w:val="0043088E"/>
    <w:rsid w:val="004439D8"/>
    <w:rsid w:val="00453C3A"/>
    <w:rsid w:val="004551C5"/>
    <w:rsid w:val="00465132"/>
    <w:rsid w:val="0047101E"/>
    <w:rsid w:val="004740E1"/>
    <w:rsid w:val="00480C90"/>
    <w:rsid w:val="0048396F"/>
    <w:rsid w:val="00493C18"/>
    <w:rsid w:val="00494CDC"/>
    <w:rsid w:val="004A415C"/>
    <w:rsid w:val="004A600C"/>
    <w:rsid w:val="004C478D"/>
    <w:rsid w:val="004E3BEB"/>
    <w:rsid w:val="004E6A2C"/>
    <w:rsid w:val="00521AE8"/>
    <w:rsid w:val="00527180"/>
    <w:rsid w:val="005333E8"/>
    <w:rsid w:val="00536719"/>
    <w:rsid w:val="00541122"/>
    <w:rsid w:val="005505B1"/>
    <w:rsid w:val="005564A7"/>
    <w:rsid w:val="005C4781"/>
    <w:rsid w:val="005E1C63"/>
    <w:rsid w:val="005E4698"/>
    <w:rsid w:val="00625C35"/>
    <w:rsid w:val="00626FC3"/>
    <w:rsid w:val="00634E1B"/>
    <w:rsid w:val="00645057"/>
    <w:rsid w:val="00654858"/>
    <w:rsid w:val="006565F4"/>
    <w:rsid w:val="00656D9E"/>
    <w:rsid w:val="00681AD1"/>
    <w:rsid w:val="00682E5C"/>
    <w:rsid w:val="006903FA"/>
    <w:rsid w:val="006A56F1"/>
    <w:rsid w:val="006B5FF5"/>
    <w:rsid w:val="006C50AA"/>
    <w:rsid w:val="006C5661"/>
    <w:rsid w:val="006D08A5"/>
    <w:rsid w:val="006D38F7"/>
    <w:rsid w:val="006D4790"/>
    <w:rsid w:val="00701759"/>
    <w:rsid w:val="00702C6F"/>
    <w:rsid w:val="00713495"/>
    <w:rsid w:val="00726E0B"/>
    <w:rsid w:val="00734EBD"/>
    <w:rsid w:val="007469F8"/>
    <w:rsid w:val="00747288"/>
    <w:rsid w:val="00747DD3"/>
    <w:rsid w:val="00752F4E"/>
    <w:rsid w:val="007549C8"/>
    <w:rsid w:val="00762D30"/>
    <w:rsid w:val="00763377"/>
    <w:rsid w:val="007664E3"/>
    <w:rsid w:val="00766D14"/>
    <w:rsid w:val="007675AA"/>
    <w:rsid w:val="00767A0F"/>
    <w:rsid w:val="0077141C"/>
    <w:rsid w:val="007834A8"/>
    <w:rsid w:val="00785020"/>
    <w:rsid w:val="0079169F"/>
    <w:rsid w:val="007A05F6"/>
    <w:rsid w:val="007A4BBF"/>
    <w:rsid w:val="007B6F4A"/>
    <w:rsid w:val="007D4A12"/>
    <w:rsid w:val="007D564A"/>
    <w:rsid w:val="007D5A82"/>
    <w:rsid w:val="007E1C47"/>
    <w:rsid w:val="007E337A"/>
    <w:rsid w:val="007E5C70"/>
    <w:rsid w:val="007E76B9"/>
    <w:rsid w:val="007F2FF5"/>
    <w:rsid w:val="007F729B"/>
    <w:rsid w:val="00811FD6"/>
    <w:rsid w:val="00817190"/>
    <w:rsid w:val="008322BD"/>
    <w:rsid w:val="00847EDD"/>
    <w:rsid w:val="00853E0E"/>
    <w:rsid w:val="00855307"/>
    <w:rsid w:val="00862CF3"/>
    <w:rsid w:val="00864CF8"/>
    <w:rsid w:val="00874914"/>
    <w:rsid w:val="008759A3"/>
    <w:rsid w:val="00880F9B"/>
    <w:rsid w:val="00882005"/>
    <w:rsid w:val="00892E1A"/>
    <w:rsid w:val="008958F5"/>
    <w:rsid w:val="008A6558"/>
    <w:rsid w:val="008A727C"/>
    <w:rsid w:val="008B224D"/>
    <w:rsid w:val="008C01DA"/>
    <w:rsid w:val="008F16D9"/>
    <w:rsid w:val="008F78E9"/>
    <w:rsid w:val="00902462"/>
    <w:rsid w:val="00902B1C"/>
    <w:rsid w:val="0090486E"/>
    <w:rsid w:val="00920702"/>
    <w:rsid w:val="00926C38"/>
    <w:rsid w:val="009370C1"/>
    <w:rsid w:val="009403F3"/>
    <w:rsid w:val="009471D6"/>
    <w:rsid w:val="00957FA2"/>
    <w:rsid w:val="00966913"/>
    <w:rsid w:val="00967374"/>
    <w:rsid w:val="0097543E"/>
    <w:rsid w:val="00983F3F"/>
    <w:rsid w:val="00985C69"/>
    <w:rsid w:val="0099079B"/>
    <w:rsid w:val="009A090F"/>
    <w:rsid w:val="009B2F23"/>
    <w:rsid w:val="009B53E2"/>
    <w:rsid w:val="009B57B3"/>
    <w:rsid w:val="009D5AEB"/>
    <w:rsid w:val="009F383F"/>
    <w:rsid w:val="009F496A"/>
    <w:rsid w:val="00A01D58"/>
    <w:rsid w:val="00A05F0E"/>
    <w:rsid w:val="00A21107"/>
    <w:rsid w:val="00A21B90"/>
    <w:rsid w:val="00A24E15"/>
    <w:rsid w:val="00A548CB"/>
    <w:rsid w:val="00A6242E"/>
    <w:rsid w:val="00A643E7"/>
    <w:rsid w:val="00A73C38"/>
    <w:rsid w:val="00AC7437"/>
    <w:rsid w:val="00AC7A44"/>
    <w:rsid w:val="00AF03C5"/>
    <w:rsid w:val="00B000D8"/>
    <w:rsid w:val="00B00F75"/>
    <w:rsid w:val="00B13E07"/>
    <w:rsid w:val="00B145B6"/>
    <w:rsid w:val="00B23811"/>
    <w:rsid w:val="00B4108D"/>
    <w:rsid w:val="00B50C81"/>
    <w:rsid w:val="00B54BD7"/>
    <w:rsid w:val="00B557F8"/>
    <w:rsid w:val="00B61684"/>
    <w:rsid w:val="00B64972"/>
    <w:rsid w:val="00B66DD8"/>
    <w:rsid w:val="00B71BF6"/>
    <w:rsid w:val="00B74601"/>
    <w:rsid w:val="00B8145D"/>
    <w:rsid w:val="00B815FC"/>
    <w:rsid w:val="00B8228D"/>
    <w:rsid w:val="00B8749C"/>
    <w:rsid w:val="00B93FBC"/>
    <w:rsid w:val="00BC4B41"/>
    <w:rsid w:val="00BE0913"/>
    <w:rsid w:val="00BE4A5A"/>
    <w:rsid w:val="00BE7CF4"/>
    <w:rsid w:val="00BF4752"/>
    <w:rsid w:val="00C02092"/>
    <w:rsid w:val="00C057F7"/>
    <w:rsid w:val="00C24C8C"/>
    <w:rsid w:val="00C24D91"/>
    <w:rsid w:val="00C3516A"/>
    <w:rsid w:val="00C52532"/>
    <w:rsid w:val="00C53F14"/>
    <w:rsid w:val="00C55C2E"/>
    <w:rsid w:val="00C600CF"/>
    <w:rsid w:val="00C6084F"/>
    <w:rsid w:val="00C60F5A"/>
    <w:rsid w:val="00C6279F"/>
    <w:rsid w:val="00C62A66"/>
    <w:rsid w:val="00C62A6F"/>
    <w:rsid w:val="00C637AA"/>
    <w:rsid w:val="00C67CA5"/>
    <w:rsid w:val="00C71458"/>
    <w:rsid w:val="00C71F58"/>
    <w:rsid w:val="00C77613"/>
    <w:rsid w:val="00C828E7"/>
    <w:rsid w:val="00C87314"/>
    <w:rsid w:val="00C921DD"/>
    <w:rsid w:val="00CA4D82"/>
    <w:rsid w:val="00CA6391"/>
    <w:rsid w:val="00CB1EC2"/>
    <w:rsid w:val="00CE010D"/>
    <w:rsid w:val="00CE3171"/>
    <w:rsid w:val="00CF1601"/>
    <w:rsid w:val="00D06A0F"/>
    <w:rsid w:val="00D13D35"/>
    <w:rsid w:val="00D25E6A"/>
    <w:rsid w:val="00D32086"/>
    <w:rsid w:val="00D37A3F"/>
    <w:rsid w:val="00D45FCF"/>
    <w:rsid w:val="00D4667A"/>
    <w:rsid w:val="00D46F83"/>
    <w:rsid w:val="00D510BB"/>
    <w:rsid w:val="00D5435D"/>
    <w:rsid w:val="00D74F2E"/>
    <w:rsid w:val="00DA0590"/>
    <w:rsid w:val="00DC1788"/>
    <w:rsid w:val="00DC478D"/>
    <w:rsid w:val="00DC6EBA"/>
    <w:rsid w:val="00DF0CA8"/>
    <w:rsid w:val="00DF49A7"/>
    <w:rsid w:val="00E01106"/>
    <w:rsid w:val="00E01170"/>
    <w:rsid w:val="00E07EE2"/>
    <w:rsid w:val="00E17390"/>
    <w:rsid w:val="00E17A88"/>
    <w:rsid w:val="00E236CE"/>
    <w:rsid w:val="00E24573"/>
    <w:rsid w:val="00E30549"/>
    <w:rsid w:val="00E377A1"/>
    <w:rsid w:val="00E45109"/>
    <w:rsid w:val="00E52565"/>
    <w:rsid w:val="00E54B02"/>
    <w:rsid w:val="00E56963"/>
    <w:rsid w:val="00E6089F"/>
    <w:rsid w:val="00E9747A"/>
    <w:rsid w:val="00E97830"/>
    <w:rsid w:val="00EA03E5"/>
    <w:rsid w:val="00EA38FE"/>
    <w:rsid w:val="00EC0797"/>
    <w:rsid w:val="00EE0FAF"/>
    <w:rsid w:val="00F00EB7"/>
    <w:rsid w:val="00F15916"/>
    <w:rsid w:val="00F17DF0"/>
    <w:rsid w:val="00F2258E"/>
    <w:rsid w:val="00F33658"/>
    <w:rsid w:val="00F36AB6"/>
    <w:rsid w:val="00F409CE"/>
    <w:rsid w:val="00F4222A"/>
    <w:rsid w:val="00F57BD8"/>
    <w:rsid w:val="00F71F7D"/>
    <w:rsid w:val="00F75CF7"/>
    <w:rsid w:val="00F7714A"/>
    <w:rsid w:val="00F84AEB"/>
    <w:rsid w:val="00F84DF4"/>
    <w:rsid w:val="00F853FB"/>
    <w:rsid w:val="00F85C97"/>
    <w:rsid w:val="00FA2FE1"/>
    <w:rsid w:val="00FC3CD0"/>
    <w:rsid w:val="00FC606D"/>
    <w:rsid w:val="00FD068D"/>
    <w:rsid w:val="00FD4F28"/>
    <w:rsid w:val="00FE294A"/>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5A"/>
    <w:rPr>
      <w:sz w:val="24"/>
    </w:rPr>
  </w:style>
  <w:style w:type="paragraph" w:styleId="Heading1">
    <w:name w:val="heading 1"/>
    <w:next w:val="ReasonsNumbering-AltN"/>
    <w:link w:val="Heading1Char"/>
    <w:uiPriority w:val="2"/>
    <w:qFormat/>
    <w:rsid w:val="00BE4A5A"/>
    <w:pPr>
      <w:keepNext/>
      <w:keepLines/>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BE4A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4A5A"/>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BE4A5A"/>
    <w:rPr>
      <w:color w:val="808080"/>
    </w:rPr>
  </w:style>
  <w:style w:type="paragraph" w:styleId="BalloonText">
    <w:name w:val="Balloon Text"/>
    <w:basedOn w:val="Normal"/>
    <w:link w:val="BalloonTextChar"/>
    <w:uiPriority w:val="99"/>
    <w:semiHidden/>
    <w:unhideWhenUsed/>
    <w:rsid w:val="00BE4A5A"/>
    <w:rPr>
      <w:rFonts w:cs="Tahoma"/>
      <w:sz w:val="28"/>
      <w:szCs w:val="16"/>
    </w:rPr>
  </w:style>
  <w:style w:type="character" w:customStyle="1" w:styleId="BalloonTextChar">
    <w:name w:val="Balloon Text Char"/>
    <w:basedOn w:val="DefaultParagraphFont"/>
    <w:link w:val="BalloonText"/>
    <w:uiPriority w:val="99"/>
    <w:semiHidden/>
    <w:rsid w:val="00BE4A5A"/>
    <w:rPr>
      <w:rFonts w:cs="Tahoma"/>
      <w:sz w:val="28"/>
      <w:szCs w:val="16"/>
    </w:rPr>
  </w:style>
  <w:style w:type="paragraph" w:styleId="Header">
    <w:name w:val="header"/>
    <w:basedOn w:val="Normal"/>
    <w:link w:val="HeaderChar"/>
    <w:uiPriority w:val="99"/>
    <w:unhideWhenUsed/>
    <w:rsid w:val="00BE4A5A"/>
    <w:pPr>
      <w:tabs>
        <w:tab w:val="center" w:pos="4680"/>
        <w:tab w:val="right" w:pos="9360"/>
      </w:tabs>
    </w:pPr>
  </w:style>
  <w:style w:type="character" w:customStyle="1" w:styleId="HeaderChar">
    <w:name w:val="Header Char"/>
    <w:basedOn w:val="DefaultParagraphFont"/>
    <w:link w:val="Header"/>
    <w:uiPriority w:val="99"/>
    <w:rsid w:val="00BE4A5A"/>
    <w:rPr>
      <w:sz w:val="24"/>
    </w:rPr>
  </w:style>
  <w:style w:type="paragraph" w:styleId="Footer">
    <w:name w:val="footer"/>
    <w:basedOn w:val="Normal"/>
    <w:link w:val="FooterChar"/>
    <w:uiPriority w:val="99"/>
    <w:semiHidden/>
    <w:unhideWhenUsed/>
    <w:rsid w:val="00BE4A5A"/>
    <w:pPr>
      <w:tabs>
        <w:tab w:val="center" w:pos="4680"/>
        <w:tab w:val="right" w:pos="9360"/>
      </w:tabs>
    </w:pPr>
  </w:style>
  <w:style w:type="character" w:customStyle="1" w:styleId="FooterChar">
    <w:name w:val="Footer Char"/>
    <w:basedOn w:val="DefaultParagraphFont"/>
    <w:link w:val="Footer"/>
    <w:uiPriority w:val="99"/>
    <w:semiHidden/>
    <w:rsid w:val="00BE4A5A"/>
    <w:rPr>
      <w:sz w:val="24"/>
    </w:rPr>
  </w:style>
  <w:style w:type="paragraph" w:customStyle="1" w:styleId="SCCLsocParty">
    <w:name w:val="SCC.Lsoc.Party"/>
    <w:basedOn w:val="Normal"/>
    <w:next w:val="Normal"/>
    <w:link w:val="SCCLsocPartyChar"/>
    <w:rsid w:val="00BE4A5A"/>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BE4A5A"/>
    <w:rPr>
      <w:rFonts w:eastAsiaTheme="minorHAnsi" w:cstheme="minorBidi"/>
      <w:sz w:val="24"/>
      <w:szCs w:val="22"/>
      <w:lang w:eastAsia="en-US"/>
    </w:rPr>
  </w:style>
  <w:style w:type="paragraph" w:customStyle="1" w:styleId="SCCLsocVersus">
    <w:name w:val="SCC.Lsoc.Versus"/>
    <w:basedOn w:val="Normal"/>
    <w:next w:val="Normal"/>
    <w:link w:val="SCCLsocVersusChar"/>
    <w:rsid w:val="00BE4A5A"/>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BE4A5A"/>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BE4A5A"/>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BE4A5A"/>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BE4A5A"/>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BE4A5A"/>
    <w:rPr>
      <w:rFonts w:eastAsiaTheme="minorHAnsi" w:cstheme="minorBidi"/>
      <w:sz w:val="24"/>
      <w:szCs w:val="22"/>
      <w:lang w:eastAsia="en-US"/>
    </w:rPr>
  </w:style>
  <w:style w:type="character" w:customStyle="1" w:styleId="Heading1Char">
    <w:name w:val="Heading 1 Char"/>
    <w:basedOn w:val="DefaultParagraphFont"/>
    <w:link w:val="Heading1"/>
    <w:uiPriority w:val="2"/>
    <w:rsid w:val="00BE4A5A"/>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BE4A5A"/>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926C38"/>
    <w:pPr>
      <w:ind w:left="720"/>
    </w:pPr>
  </w:style>
  <w:style w:type="paragraph" w:customStyle="1" w:styleId="SCCCoram">
    <w:name w:val="SCC.Coram"/>
    <w:basedOn w:val="Normal"/>
    <w:next w:val="Normal"/>
    <w:link w:val="SCCCoramChar"/>
    <w:rsid w:val="00BE4A5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E4A5A"/>
    <w:rPr>
      <w:rFonts w:eastAsiaTheme="minorHAnsi" w:cstheme="minorBidi"/>
      <w:sz w:val="24"/>
      <w:szCs w:val="22"/>
      <w:lang w:eastAsia="en-US"/>
    </w:rPr>
  </w:style>
  <w:style w:type="table" w:styleId="TableGrid">
    <w:name w:val="Table Grid"/>
    <w:basedOn w:val="TableNormal"/>
    <w:uiPriority w:val="59"/>
    <w:rsid w:val="00BE4A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926C38"/>
    <w:pPr>
      <w:spacing w:after="720"/>
      <w:ind w:left="1166"/>
      <w:contextualSpacing/>
      <w:jc w:val="both"/>
    </w:pPr>
  </w:style>
  <w:style w:type="paragraph" w:customStyle="1" w:styleId="ContinueReasonsNo-AltP">
    <w:name w:val="Continue Reasons No # - Alt P"/>
    <w:next w:val="ReasonsNumbering-AltN"/>
    <w:uiPriority w:val="1"/>
    <w:qFormat/>
    <w:rsid w:val="00BE4A5A"/>
    <w:pPr>
      <w:spacing w:before="480" w:after="480" w:line="480" w:lineRule="auto"/>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BE4A5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E4A5A"/>
    <w:rPr>
      <w:rFonts w:eastAsiaTheme="minorHAnsi" w:cstheme="minorBidi"/>
      <w:sz w:val="24"/>
      <w:szCs w:val="22"/>
      <w:lang w:eastAsia="en-US"/>
    </w:rPr>
  </w:style>
  <w:style w:type="character" w:customStyle="1" w:styleId="SCCBanSummaryChar">
    <w:name w:val="SCC.BanSummary Char"/>
    <w:basedOn w:val="DefaultParagraphFont"/>
    <w:link w:val="SCCBanSummary"/>
    <w:rsid w:val="00BE4A5A"/>
    <w:rPr>
      <w:rFonts w:eastAsiaTheme="minorEastAsia"/>
      <w:b/>
      <w:sz w:val="24"/>
      <w:szCs w:val="24"/>
    </w:rPr>
  </w:style>
  <w:style w:type="paragraph" w:customStyle="1" w:styleId="ReasonsNumbering-AltN">
    <w:name w:val="Reasons Numbering - Alt N"/>
    <w:qFormat/>
    <w:rsid w:val="00BE4A5A"/>
    <w:pPr>
      <w:numPr>
        <w:numId w:val="7"/>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BE4A5A"/>
    <w:pPr>
      <w:spacing w:after="720"/>
      <w:ind w:left="1166"/>
      <w:contextualSpacing/>
      <w:jc w:val="both"/>
    </w:pPr>
    <w:rPr>
      <w:sz w:val="24"/>
    </w:rPr>
  </w:style>
  <w:style w:type="character" w:styleId="CommentReference">
    <w:name w:val="annotation reference"/>
    <w:basedOn w:val="DefaultParagraphFont"/>
    <w:uiPriority w:val="99"/>
    <w:semiHidden/>
    <w:unhideWhenUsed/>
    <w:rsid w:val="00BE4A5A"/>
    <w:rPr>
      <w:sz w:val="16"/>
      <w:szCs w:val="16"/>
    </w:rPr>
  </w:style>
  <w:style w:type="paragraph" w:styleId="CommentText">
    <w:name w:val="annotation text"/>
    <w:basedOn w:val="Normal"/>
    <w:link w:val="CommentTextChar"/>
    <w:uiPriority w:val="99"/>
    <w:semiHidden/>
    <w:unhideWhenUsed/>
    <w:rsid w:val="00BE4A5A"/>
    <w:rPr>
      <w:sz w:val="20"/>
    </w:rPr>
  </w:style>
  <w:style w:type="character" w:customStyle="1" w:styleId="CommentTextChar">
    <w:name w:val="Comment Text Char"/>
    <w:basedOn w:val="DefaultParagraphFont"/>
    <w:link w:val="CommentText"/>
    <w:uiPriority w:val="99"/>
    <w:semiHidden/>
    <w:rsid w:val="00BE4A5A"/>
  </w:style>
  <w:style w:type="paragraph" w:styleId="CommentSubject">
    <w:name w:val="annotation subject"/>
    <w:basedOn w:val="CommentText"/>
    <w:next w:val="CommentText"/>
    <w:link w:val="CommentSubjectChar"/>
    <w:uiPriority w:val="99"/>
    <w:semiHidden/>
    <w:unhideWhenUsed/>
    <w:rsid w:val="00BE4A5A"/>
    <w:rPr>
      <w:b/>
      <w:bCs/>
    </w:rPr>
  </w:style>
  <w:style w:type="character" w:customStyle="1" w:styleId="CommentSubjectChar">
    <w:name w:val="Comment Subject Char"/>
    <w:basedOn w:val="CommentTextChar"/>
    <w:link w:val="CommentSubject"/>
    <w:uiPriority w:val="99"/>
    <w:semiHidden/>
    <w:rsid w:val="00BE4A5A"/>
    <w:rPr>
      <w:b/>
      <w:bCs/>
    </w:rPr>
  </w:style>
  <w:style w:type="paragraph" w:customStyle="1" w:styleId="Citation">
    <w:name w:val="Citation"/>
    <w:basedOn w:val="Normal"/>
    <w:qFormat/>
    <w:rsid w:val="00713495"/>
    <w:pPr>
      <w:spacing w:after="720"/>
      <w:ind w:left="1166"/>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15</Pages>
  <Words>2911</Words>
  <Characters>16011</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2011-02-25T20:23:00Z</dcterms:created>
  <dcterms:modified xsi:type="dcterms:W3CDTF">2011-06-07T17:25:00Z</dcterms:modified>
</cp:coreProperties>
</file>