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FA" w:rsidRPr="00517698" w:rsidRDefault="00FF32FA" w:rsidP="00FF32FA">
      <w:pPr>
        <w:tabs>
          <w:tab w:val="center" w:pos="4680"/>
          <w:tab w:val="right" w:pos="9360"/>
        </w:tabs>
        <w:rPr>
          <w:rFonts w:eastAsiaTheme="minorHAnsi" w:cstheme="minorBidi"/>
          <w:szCs w:val="24"/>
          <w:lang w:eastAsia="en-US"/>
        </w:rPr>
      </w:pPr>
      <w:r w:rsidRPr="00517698">
        <w:rPr>
          <w:rFonts w:eastAsiaTheme="minorHAnsi" w:cstheme="minorBidi"/>
          <w:szCs w:val="24"/>
          <w:lang w:eastAsia="en-US"/>
        </w:rPr>
        <w:ptab w:relativeTo="margin" w:alignment="center" w:leader="none"/>
      </w:r>
      <w:r w:rsidRPr="00517698">
        <w:rPr>
          <w:rFonts w:eastAsiaTheme="minorHAnsi" w:cstheme="minorBidi"/>
          <w:szCs w:val="24"/>
          <w:lang w:eastAsia="en-US"/>
        </w:rPr>
        <w:t xml:space="preserve"> </w:t>
      </w:r>
      <w:r w:rsidRPr="0051769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68957425" r:id="rId9"/>
        </w:object>
      </w:r>
      <w:r w:rsidRPr="00517698">
        <w:rPr>
          <w:rFonts w:eastAsiaTheme="minorHAnsi" w:cstheme="minorBidi"/>
          <w:szCs w:val="24"/>
          <w:lang w:eastAsia="en-US"/>
        </w:rPr>
        <w:t xml:space="preserve"> </w:t>
      </w:r>
      <w:r w:rsidRPr="00517698">
        <w:rPr>
          <w:rFonts w:eastAsiaTheme="minorHAnsi" w:cstheme="minorBidi"/>
          <w:szCs w:val="24"/>
          <w:lang w:eastAsia="en-US"/>
        </w:rPr>
        <w:ptab w:relativeTo="margin" w:alignment="right" w:leader="none"/>
      </w:r>
    </w:p>
    <w:p w:rsidR="00FF32FA" w:rsidRPr="00517698" w:rsidRDefault="00FF32FA" w:rsidP="00FF32FA">
      <w:pPr>
        <w:tabs>
          <w:tab w:val="center" w:pos="4680"/>
          <w:tab w:val="right" w:pos="9360"/>
        </w:tabs>
        <w:rPr>
          <w:rFonts w:eastAsiaTheme="minorHAnsi" w:cstheme="minorBidi"/>
          <w:szCs w:val="24"/>
          <w:lang w:eastAsia="en-US"/>
        </w:rPr>
      </w:pPr>
    </w:p>
    <w:p w:rsidR="00FF32FA" w:rsidRPr="00517698" w:rsidRDefault="00FF32FA" w:rsidP="00FF32FA">
      <w:pPr>
        <w:jc w:val="center"/>
        <w:rPr>
          <w:rFonts w:eastAsiaTheme="minorHAnsi" w:cstheme="minorBidi"/>
          <w:b/>
          <w:szCs w:val="24"/>
          <w:lang w:eastAsia="en-US"/>
        </w:rPr>
      </w:pPr>
      <w:r w:rsidRPr="00517698">
        <w:rPr>
          <w:rFonts w:eastAsiaTheme="minorHAnsi" w:cstheme="minorBidi"/>
          <w:b/>
          <w:szCs w:val="24"/>
          <w:lang w:eastAsia="en-US"/>
        </w:rPr>
        <w:t>COUR SUPRÊME DU CANADA</w:t>
      </w:r>
    </w:p>
    <w:p w:rsidR="00FF32FA" w:rsidRPr="00517698" w:rsidRDefault="00FF32FA" w:rsidP="00FF32FA">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F32FA" w:rsidRPr="00517698" w:rsidTr="00BA475A">
        <w:trPr>
          <w:cantSplit/>
        </w:trPr>
        <w:tc>
          <w:tcPr>
            <w:tcW w:w="6768" w:type="dxa"/>
          </w:tcPr>
          <w:p w:rsidR="00FF32FA" w:rsidRPr="00FF32FA" w:rsidRDefault="00FF32FA" w:rsidP="00BA475A">
            <w:pPr>
              <w:rPr>
                <w:lang w:val="fr-CA"/>
              </w:rPr>
            </w:pPr>
            <w:r w:rsidRPr="00FF32FA">
              <w:rPr>
                <w:b/>
                <w:smallCaps/>
                <w:lang w:val="fr-CA"/>
              </w:rPr>
              <w:t>Référence :</w:t>
            </w:r>
            <w:r w:rsidRPr="00FF32FA">
              <w:rPr>
                <w:lang w:val="fr-CA"/>
              </w:rPr>
              <w:t xml:space="preserve"> Agence canadienne d’inspection des aliments </w:t>
            </w:r>
            <w:r w:rsidRPr="00FF32FA">
              <w:rPr>
                <w:i/>
                <w:lang w:val="fr-CA"/>
              </w:rPr>
              <w:t>c.</w:t>
            </w:r>
            <w:r w:rsidRPr="00FF32FA">
              <w:rPr>
                <w:lang w:val="fr-CA"/>
              </w:rPr>
              <w:t xml:space="preserve"> Institut professionnel de la fonction publique du Canada,</w:t>
            </w:r>
          </w:p>
          <w:p w:rsidR="00FF32FA" w:rsidRPr="00517698" w:rsidRDefault="00FF32FA" w:rsidP="00BA475A">
            <w:pPr>
              <w:rPr>
                <w:b/>
              </w:rPr>
            </w:pPr>
            <w:r w:rsidRPr="0038663C">
              <w:rPr>
                <w:rStyle w:val="SCCRespondentForIndexChar"/>
                <w:b w:val="0"/>
                <w:lang w:val="fr-CA"/>
              </w:rPr>
              <w:t xml:space="preserve">2010 </w:t>
            </w:r>
            <w:r>
              <w:rPr>
                <w:rStyle w:val="SCCRespondentForIndexChar"/>
                <w:b w:val="0"/>
                <w:lang w:val="fr-CA"/>
              </w:rPr>
              <w:t>C</w:t>
            </w:r>
            <w:r w:rsidRPr="0038663C">
              <w:rPr>
                <w:rStyle w:val="SCCRespondentForIndexChar"/>
                <w:b w:val="0"/>
                <w:lang w:val="fr-CA"/>
              </w:rPr>
              <w:t>SC 6</w:t>
            </w:r>
            <w:r>
              <w:rPr>
                <w:rStyle w:val="SCCRespondentForIndexChar"/>
                <w:b w:val="0"/>
                <w:lang w:val="fr-CA"/>
              </w:rPr>
              <w:t>6</w:t>
            </w:r>
            <w:r w:rsidRPr="0038663C">
              <w:rPr>
                <w:rStyle w:val="SCCRespondentForIndexChar"/>
                <w:b w:val="0"/>
                <w:lang w:val="fr-CA"/>
              </w:rPr>
              <w:t xml:space="preserve">, [2010] 3 </w:t>
            </w:r>
            <w:r>
              <w:rPr>
                <w:rStyle w:val="SCCRespondentForIndexChar"/>
                <w:b w:val="0"/>
                <w:lang w:val="fr-CA"/>
              </w:rPr>
              <w:t>R.C.</w:t>
            </w:r>
            <w:r w:rsidRPr="0038663C">
              <w:rPr>
                <w:rStyle w:val="SCCRespondentForIndexChar"/>
                <w:b w:val="0"/>
                <w:lang w:val="fr-CA"/>
              </w:rPr>
              <w:t>S. 6</w:t>
            </w:r>
            <w:r>
              <w:rPr>
                <w:rStyle w:val="SCCRespondentForIndexChar"/>
                <w:b w:val="0"/>
                <w:lang w:val="fr-CA"/>
              </w:rPr>
              <w:t>57</w:t>
            </w:r>
          </w:p>
        </w:tc>
        <w:tc>
          <w:tcPr>
            <w:tcW w:w="2808" w:type="dxa"/>
          </w:tcPr>
          <w:p w:rsidR="00FF32FA" w:rsidRPr="00517698" w:rsidRDefault="00FF32FA" w:rsidP="00BA475A">
            <w:r w:rsidRPr="00517698">
              <w:rPr>
                <w:b/>
                <w:smallCaps/>
              </w:rPr>
              <w:t>Date :</w:t>
            </w:r>
            <w:r w:rsidRPr="00517698">
              <w:t xml:space="preserve"> 20101223</w:t>
            </w:r>
          </w:p>
          <w:p w:rsidR="00FF32FA" w:rsidRPr="00517698" w:rsidRDefault="00FF32FA" w:rsidP="00BA475A">
            <w:r w:rsidRPr="00517698">
              <w:rPr>
                <w:b/>
                <w:smallCaps/>
              </w:rPr>
              <w:t>Dossier :</w:t>
            </w:r>
            <w:r w:rsidRPr="00517698">
              <w:t xml:space="preserve"> 32880</w:t>
            </w:r>
          </w:p>
        </w:tc>
      </w:tr>
    </w:tbl>
    <w:p w:rsidR="00FF32FA" w:rsidRPr="00517698" w:rsidRDefault="00FF32FA" w:rsidP="00FF32FA">
      <w:pPr>
        <w:rPr>
          <w:rFonts w:eastAsiaTheme="minorHAnsi" w:cstheme="minorBidi"/>
          <w:szCs w:val="24"/>
          <w:lang w:eastAsia="en-US"/>
        </w:rPr>
      </w:pPr>
    </w:p>
    <w:p w:rsidR="00FF32FA" w:rsidRPr="00517698" w:rsidRDefault="00FF32FA" w:rsidP="00FF32FA">
      <w:pPr>
        <w:rPr>
          <w:rFonts w:eastAsiaTheme="minorHAnsi" w:cstheme="minorBidi"/>
          <w:b/>
          <w:smallCaps/>
          <w:szCs w:val="24"/>
          <w:lang w:eastAsia="en-US"/>
        </w:rPr>
      </w:pPr>
      <w:proofErr w:type="gramStart"/>
      <w:r w:rsidRPr="00517698">
        <w:rPr>
          <w:rFonts w:eastAsiaTheme="minorHAnsi" w:cstheme="minorBidi"/>
          <w:b/>
          <w:smallCaps/>
          <w:szCs w:val="24"/>
          <w:lang w:eastAsia="en-US"/>
        </w:rPr>
        <w:t>Entre :</w:t>
      </w:r>
      <w:proofErr w:type="gramEnd"/>
    </w:p>
    <w:p w:rsidR="00FF32FA" w:rsidRPr="00517698" w:rsidRDefault="00FF32FA" w:rsidP="00FF32FA">
      <w:pPr>
        <w:jc w:val="center"/>
        <w:rPr>
          <w:rFonts w:eastAsiaTheme="minorHAnsi" w:cstheme="minorBidi"/>
          <w:b/>
          <w:szCs w:val="24"/>
          <w:lang w:eastAsia="en-US"/>
        </w:rPr>
      </w:pPr>
      <w:proofErr w:type="spellStart"/>
      <w:r w:rsidRPr="00517698">
        <w:rPr>
          <w:rFonts w:eastAsiaTheme="minorHAnsi" w:cstheme="minorBidi"/>
          <w:b/>
          <w:szCs w:val="24"/>
          <w:lang w:eastAsia="en-US"/>
        </w:rPr>
        <w:t>Agence</w:t>
      </w:r>
      <w:proofErr w:type="spellEnd"/>
      <w:r w:rsidRPr="00517698">
        <w:rPr>
          <w:rFonts w:eastAsiaTheme="minorHAnsi" w:cstheme="minorBidi"/>
          <w:b/>
          <w:szCs w:val="24"/>
          <w:lang w:eastAsia="en-US"/>
        </w:rPr>
        <w:t xml:space="preserve"> </w:t>
      </w:r>
      <w:proofErr w:type="spellStart"/>
      <w:r w:rsidRPr="00517698">
        <w:rPr>
          <w:rFonts w:eastAsiaTheme="minorHAnsi" w:cstheme="minorBidi"/>
          <w:b/>
          <w:szCs w:val="24"/>
          <w:lang w:eastAsia="en-US"/>
        </w:rPr>
        <w:t>canadienne</w:t>
      </w:r>
      <w:proofErr w:type="spellEnd"/>
      <w:r w:rsidRPr="00517698">
        <w:rPr>
          <w:rFonts w:eastAsiaTheme="minorHAnsi" w:cstheme="minorBidi"/>
          <w:b/>
          <w:szCs w:val="24"/>
          <w:lang w:eastAsia="en-US"/>
        </w:rPr>
        <w:t xml:space="preserve"> </w:t>
      </w:r>
      <w:proofErr w:type="spellStart"/>
      <w:r w:rsidRPr="00517698">
        <w:rPr>
          <w:rFonts w:eastAsiaTheme="minorHAnsi" w:cstheme="minorBidi"/>
          <w:b/>
          <w:szCs w:val="24"/>
          <w:lang w:eastAsia="en-US"/>
        </w:rPr>
        <w:t>d’inspection</w:t>
      </w:r>
      <w:proofErr w:type="spellEnd"/>
      <w:r w:rsidRPr="00517698">
        <w:rPr>
          <w:rFonts w:eastAsiaTheme="minorHAnsi" w:cstheme="minorBidi"/>
          <w:b/>
          <w:szCs w:val="24"/>
          <w:lang w:eastAsia="en-US"/>
        </w:rPr>
        <w:t xml:space="preserve"> des aliments</w:t>
      </w:r>
    </w:p>
    <w:p w:rsidR="00FF32FA" w:rsidRPr="00517698" w:rsidRDefault="00FF32FA" w:rsidP="00FF32FA">
      <w:pPr>
        <w:jc w:val="center"/>
        <w:rPr>
          <w:rFonts w:eastAsiaTheme="minorHAnsi" w:cstheme="minorBidi"/>
          <w:szCs w:val="24"/>
          <w:lang w:eastAsia="en-US"/>
        </w:rPr>
      </w:pPr>
      <w:proofErr w:type="spellStart"/>
      <w:r w:rsidRPr="00517698">
        <w:rPr>
          <w:rFonts w:eastAsiaTheme="minorHAnsi" w:cstheme="minorBidi"/>
          <w:szCs w:val="24"/>
          <w:lang w:eastAsia="en-US"/>
        </w:rPr>
        <w:t>Appelante</w:t>
      </w:r>
      <w:proofErr w:type="spellEnd"/>
    </w:p>
    <w:p w:rsidR="00FF32FA" w:rsidRPr="00517698" w:rsidRDefault="00FF32FA" w:rsidP="00FF32FA">
      <w:pPr>
        <w:jc w:val="center"/>
        <w:rPr>
          <w:rFonts w:eastAsiaTheme="minorHAnsi" w:cstheme="minorBidi"/>
          <w:szCs w:val="24"/>
          <w:lang w:eastAsia="en-US"/>
        </w:rPr>
      </w:pPr>
      <w:proofErr w:type="gramStart"/>
      <w:r w:rsidRPr="00517698">
        <w:rPr>
          <w:rFonts w:eastAsiaTheme="minorHAnsi" w:cstheme="minorBidi"/>
          <w:szCs w:val="24"/>
          <w:lang w:eastAsia="en-US"/>
        </w:rPr>
        <w:t>et</w:t>
      </w:r>
      <w:proofErr w:type="gramEnd"/>
    </w:p>
    <w:p w:rsidR="00FF32FA" w:rsidRPr="00FF32FA" w:rsidRDefault="00FF32FA" w:rsidP="00FF32FA">
      <w:pPr>
        <w:jc w:val="center"/>
        <w:rPr>
          <w:rFonts w:eastAsiaTheme="minorHAnsi" w:cstheme="minorBidi"/>
          <w:b/>
          <w:szCs w:val="24"/>
          <w:lang w:val="fr-CA" w:eastAsia="en-US"/>
        </w:rPr>
      </w:pPr>
      <w:r w:rsidRPr="00FF32FA">
        <w:rPr>
          <w:rFonts w:eastAsiaTheme="minorHAnsi" w:cstheme="minorBidi"/>
          <w:b/>
          <w:szCs w:val="24"/>
          <w:lang w:val="fr-CA" w:eastAsia="en-US"/>
        </w:rPr>
        <w:t>Institut professionnel de la fonction publique du Canada,</w:t>
      </w:r>
    </w:p>
    <w:p w:rsidR="00FF32FA" w:rsidRPr="00FF32FA" w:rsidRDefault="00FF32FA" w:rsidP="00FF32FA">
      <w:pPr>
        <w:jc w:val="center"/>
        <w:rPr>
          <w:rFonts w:eastAsiaTheme="minorHAnsi" w:cstheme="minorBidi"/>
          <w:b/>
          <w:szCs w:val="24"/>
          <w:lang w:val="fr-CA" w:eastAsia="en-US"/>
        </w:rPr>
      </w:pPr>
      <w:r w:rsidRPr="00FF32FA">
        <w:rPr>
          <w:rFonts w:eastAsiaTheme="minorHAnsi" w:cstheme="minorBidi"/>
          <w:b/>
          <w:szCs w:val="24"/>
          <w:lang w:val="fr-CA" w:eastAsia="en-US"/>
        </w:rPr>
        <w:t xml:space="preserve">Dany Beauregard, Gaston </w:t>
      </w:r>
      <w:proofErr w:type="spellStart"/>
      <w:r w:rsidRPr="00FF32FA">
        <w:rPr>
          <w:rFonts w:eastAsiaTheme="minorHAnsi" w:cstheme="minorBidi"/>
          <w:b/>
          <w:szCs w:val="24"/>
          <w:lang w:val="fr-CA" w:eastAsia="en-US"/>
        </w:rPr>
        <w:t>Duchemin</w:t>
      </w:r>
      <w:proofErr w:type="spellEnd"/>
      <w:r w:rsidRPr="00FF32FA">
        <w:rPr>
          <w:rFonts w:eastAsiaTheme="minorHAnsi" w:cstheme="minorBidi"/>
          <w:b/>
          <w:szCs w:val="24"/>
          <w:lang w:val="fr-CA" w:eastAsia="en-US"/>
        </w:rPr>
        <w:t xml:space="preserve">, Jacques </w:t>
      </w:r>
      <w:proofErr w:type="spellStart"/>
      <w:r w:rsidRPr="00FF32FA">
        <w:rPr>
          <w:rFonts w:eastAsiaTheme="minorHAnsi" w:cstheme="minorBidi"/>
          <w:b/>
          <w:szCs w:val="24"/>
          <w:lang w:val="fr-CA" w:eastAsia="en-US"/>
        </w:rPr>
        <w:t>Vézina</w:t>
      </w:r>
      <w:proofErr w:type="spellEnd"/>
      <w:r w:rsidRPr="00FF32FA">
        <w:rPr>
          <w:rFonts w:eastAsiaTheme="minorHAnsi" w:cstheme="minorBidi"/>
          <w:b/>
          <w:szCs w:val="24"/>
          <w:lang w:val="fr-CA" w:eastAsia="en-US"/>
        </w:rPr>
        <w:t>,</w:t>
      </w:r>
    </w:p>
    <w:p w:rsidR="00FF32FA" w:rsidRPr="00FF32FA" w:rsidRDefault="00FF32FA" w:rsidP="00FF32FA">
      <w:pPr>
        <w:jc w:val="center"/>
        <w:rPr>
          <w:rFonts w:eastAsiaTheme="minorHAnsi" w:cstheme="minorBidi"/>
          <w:b/>
          <w:szCs w:val="24"/>
          <w:lang w:val="fr-CA" w:eastAsia="en-US"/>
        </w:rPr>
      </w:pPr>
      <w:r w:rsidRPr="00FF32FA">
        <w:rPr>
          <w:rFonts w:eastAsiaTheme="minorHAnsi" w:cstheme="minorBidi"/>
          <w:b/>
          <w:szCs w:val="24"/>
          <w:lang w:val="fr-CA" w:eastAsia="en-US"/>
        </w:rPr>
        <w:t xml:space="preserve">Normand </w:t>
      </w:r>
      <w:proofErr w:type="spellStart"/>
      <w:r w:rsidRPr="00FF32FA">
        <w:rPr>
          <w:rFonts w:eastAsiaTheme="minorHAnsi" w:cstheme="minorBidi"/>
          <w:b/>
          <w:szCs w:val="24"/>
          <w:lang w:val="fr-CA" w:eastAsia="en-US"/>
        </w:rPr>
        <w:t>Bélair</w:t>
      </w:r>
      <w:proofErr w:type="spellEnd"/>
      <w:r w:rsidRPr="00FF32FA">
        <w:rPr>
          <w:rFonts w:eastAsiaTheme="minorHAnsi" w:cstheme="minorBidi"/>
          <w:b/>
          <w:szCs w:val="24"/>
          <w:lang w:val="fr-CA" w:eastAsia="en-US"/>
        </w:rPr>
        <w:t xml:space="preserve">, </w:t>
      </w:r>
      <w:proofErr w:type="spellStart"/>
      <w:r w:rsidRPr="00FF32FA">
        <w:rPr>
          <w:rFonts w:eastAsiaTheme="minorHAnsi" w:cstheme="minorBidi"/>
          <w:b/>
          <w:szCs w:val="24"/>
          <w:lang w:val="fr-CA" w:eastAsia="en-US"/>
        </w:rPr>
        <w:t>Lyn</w:t>
      </w:r>
      <w:proofErr w:type="spellEnd"/>
      <w:r w:rsidRPr="00FF32FA">
        <w:rPr>
          <w:rFonts w:eastAsiaTheme="minorHAnsi" w:cstheme="minorBidi"/>
          <w:b/>
          <w:szCs w:val="24"/>
          <w:lang w:val="fr-CA" w:eastAsia="en-US"/>
        </w:rPr>
        <w:t xml:space="preserve"> Couture, Jacques Guy,</w:t>
      </w:r>
    </w:p>
    <w:p w:rsidR="00FF32FA" w:rsidRPr="00FF32FA" w:rsidRDefault="00FF32FA" w:rsidP="00FF32FA">
      <w:pPr>
        <w:jc w:val="center"/>
        <w:rPr>
          <w:rFonts w:eastAsiaTheme="minorHAnsi" w:cstheme="minorBidi"/>
          <w:b/>
          <w:szCs w:val="24"/>
          <w:lang w:val="fr-CA" w:eastAsia="en-US"/>
        </w:rPr>
      </w:pPr>
      <w:r w:rsidRPr="00FF32FA">
        <w:rPr>
          <w:rFonts w:eastAsiaTheme="minorHAnsi" w:cstheme="minorBidi"/>
          <w:b/>
          <w:szCs w:val="24"/>
          <w:lang w:val="fr-CA" w:eastAsia="en-US"/>
        </w:rPr>
        <w:t xml:space="preserve">Sonja </w:t>
      </w:r>
      <w:proofErr w:type="spellStart"/>
      <w:r w:rsidRPr="00FF32FA">
        <w:rPr>
          <w:rFonts w:eastAsiaTheme="minorHAnsi" w:cstheme="minorBidi"/>
          <w:b/>
          <w:szCs w:val="24"/>
          <w:lang w:val="fr-CA" w:eastAsia="en-US"/>
        </w:rPr>
        <w:t>Laurendeau</w:t>
      </w:r>
      <w:proofErr w:type="spellEnd"/>
      <w:r w:rsidRPr="00FF32FA">
        <w:rPr>
          <w:rFonts w:eastAsiaTheme="minorHAnsi" w:cstheme="minorBidi"/>
          <w:b/>
          <w:szCs w:val="24"/>
          <w:lang w:val="fr-CA" w:eastAsia="en-US"/>
        </w:rPr>
        <w:t xml:space="preserve">, Guy </w:t>
      </w:r>
      <w:proofErr w:type="spellStart"/>
      <w:r w:rsidRPr="00FF32FA">
        <w:rPr>
          <w:rFonts w:eastAsiaTheme="minorHAnsi" w:cstheme="minorBidi"/>
          <w:b/>
          <w:szCs w:val="24"/>
          <w:lang w:val="fr-CA" w:eastAsia="en-US"/>
        </w:rPr>
        <w:t>Boulard</w:t>
      </w:r>
      <w:proofErr w:type="spellEnd"/>
      <w:r w:rsidRPr="00FF32FA">
        <w:rPr>
          <w:rFonts w:eastAsiaTheme="minorHAnsi" w:cstheme="minorBidi"/>
          <w:b/>
          <w:szCs w:val="24"/>
          <w:lang w:val="fr-CA" w:eastAsia="en-US"/>
        </w:rPr>
        <w:t xml:space="preserve">, </w:t>
      </w:r>
      <w:proofErr w:type="spellStart"/>
      <w:r w:rsidRPr="00FF32FA">
        <w:rPr>
          <w:rFonts w:eastAsiaTheme="minorHAnsi" w:cstheme="minorBidi"/>
          <w:b/>
          <w:szCs w:val="24"/>
          <w:lang w:val="fr-CA" w:eastAsia="en-US"/>
        </w:rPr>
        <w:t>Stéphano</w:t>
      </w:r>
      <w:proofErr w:type="spellEnd"/>
      <w:r w:rsidRPr="00FF32FA">
        <w:rPr>
          <w:rFonts w:eastAsiaTheme="minorHAnsi" w:cstheme="minorBidi"/>
          <w:b/>
          <w:szCs w:val="24"/>
          <w:lang w:val="fr-CA" w:eastAsia="en-US"/>
        </w:rPr>
        <w:t xml:space="preserve"> Cagna,</w:t>
      </w:r>
    </w:p>
    <w:p w:rsidR="00FF32FA" w:rsidRPr="00FF32FA" w:rsidRDefault="00FF32FA" w:rsidP="00FF32FA">
      <w:pPr>
        <w:jc w:val="center"/>
        <w:rPr>
          <w:rFonts w:eastAsiaTheme="minorHAnsi" w:cstheme="minorBidi"/>
          <w:b/>
          <w:szCs w:val="24"/>
          <w:lang w:val="fr-CA" w:eastAsia="en-US"/>
        </w:rPr>
      </w:pPr>
      <w:r w:rsidRPr="00FF32FA">
        <w:rPr>
          <w:rFonts w:eastAsiaTheme="minorHAnsi" w:cstheme="minorBidi"/>
          <w:b/>
          <w:szCs w:val="24"/>
          <w:lang w:val="fr-CA" w:eastAsia="en-US"/>
        </w:rPr>
        <w:t>Mona Gauthier, Michel Marcoux, Patrick Poulin,</w:t>
      </w:r>
    </w:p>
    <w:p w:rsidR="00FF32FA" w:rsidRPr="00FF32FA" w:rsidRDefault="00FF32FA" w:rsidP="00FF32FA">
      <w:pPr>
        <w:jc w:val="center"/>
        <w:rPr>
          <w:rFonts w:eastAsiaTheme="minorHAnsi" w:cstheme="minorBidi"/>
          <w:b/>
          <w:szCs w:val="24"/>
          <w:lang w:val="fr-CA" w:eastAsia="en-US"/>
        </w:rPr>
      </w:pPr>
      <w:r w:rsidRPr="00FF32FA">
        <w:rPr>
          <w:rFonts w:eastAsiaTheme="minorHAnsi" w:cstheme="minorBidi"/>
          <w:b/>
          <w:szCs w:val="24"/>
          <w:lang w:val="fr-CA" w:eastAsia="en-US"/>
        </w:rPr>
        <w:t xml:space="preserve">François Saulnier, </w:t>
      </w:r>
      <w:proofErr w:type="spellStart"/>
      <w:r w:rsidRPr="00FF32FA">
        <w:rPr>
          <w:rFonts w:eastAsiaTheme="minorHAnsi" w:cstheme="minorBidi"/>
          <w:b/>
          <w:szCs w:val="24"/>
          <w:lang w:val="fr-CA" w:eastAsia="en-US"/>
        </w:rPr>
        <w:t>Madjib</w:t>
      </w:r>
      <w:proofErr w:type="spellEnd"/>
      <w:r w:rsidRPr="00FF32FA">
        <w:rPr>
          <w:rFonts w:eastAsiaTheme="minorHAnsi" w:cstheme="minorBidi"/>
          <w:b/>
          <w:szCs w:val="24"/>
          <w:lang w:val="fr-CA" w:eastAsia="en-US"/>
        </w:rPr>
        <w:t xml:space="preserve"> </w:t>
      </w:r>
      <w:proofErr w:type="spellStart"/>
      <w:r w:rsidRPr="00FF32FA">
        <w:rPr>
          <w:rFonts w:eastAsiaTheme="minorHAnsi" w:cstheme="minorBidi"/>
          <w:b/>
          <w:szCs w:val="24"/>
          <w:lang w:val="fr-CA" w:eastAsia="en-US"/>
        </w:rPr>
        <w:t>Boussouira</w:t>
      </w:r>
      <w:proofErr w:type="spellEnd"/>
      <w:r w:rsidRPr="00FF32FA">
        <w:rPr>
          <w:rFonts w:eastAsiaTheme="minorHAnsi" w:cstheme="minorBidi"/>
          <w:b/>
          <w:szCs w:val="24"/>
          <w:lang w:val="fr-CA" w:eastAsia="en-US"/>
        </w:rPr>
        <w:t xml:space="preserve">, Nicole </w:t>
      </w:r>
      <w:proofErr w:type="spellStart"/>
      <w:r w:rsidRPr="00FF32FA">
        <w:rPr>
          <w:rFonts w:eastAsiaTheme="minorHAnsi" w:cstheme="minorBidi"/>
          <w:b/>
          <w:szCs w:val="24"/>
          <w:lang w:val="fr-CA" w:eastAsia="en-US"/>
        </w:rPr>
        <w:t>Loranger</w:t>
      </w:r>
      <w:proofErr w:type="spellEnd"/>
      <w:r w:rsidRPr="00FF32FA">
        <w:rPr>
          <w:rFonts w:eastAsiaTheme="minorHAnsi" w:cstheme="minorBidi"/>
          <w:b/>
          <w:szCs w:val="24"/>
          <w:lang w:val="fr-CA" w:eastAsia="en-US"/>
        </w:rPr>
        <w:t>,</w:t>
      </w:r>
    </w:p>
    <w:p w:rsidR="00FF32FA" w:rsidRPr="00FF32FA" w:rsidRDefault="00FF32FA" w:rsidP="00FF32FA">
      <w:pPr>
        <w:jc w:val="center"/>
        <w:rPr>
          <w:rFonts w:eastAsiaTheme="minorHAnsi" w:cstheme="minorBidi"/>
          <w:b/>
          <w:szCs w:val="24"/>
          <w:lang w:val="fr-CA" w:eastAsia="en-US"/>
        </w:rPr>
      </w:pPr>
      <w:r w:rsidRPr="00FF32FA">
        <w:rPr>
          <w:rFonts w:eastAsiaTheme="minorHAnsi" w:cstheme="minorBidi"/>
          <w:b/>
          <w:szCs w:val="24"/>
          <w:lang w:val="fr-CA" w:eastAsia="en-US"/>
        </w:rPr>
        <w:t xml:space="preserve">France Sylvestre, Peter </w:t>
      </w:r>
      <w:proofErr w:type="spellStart"/>
      <w:r w:rsidRPr="00FF32FA">
        <w:rPr>
          <w:rFonts w:eastAsiaTheme="minorHAnsi" w:cstheme="minorBidi"/>
          <w:b/>
          <w:szCs w:val="24"/>
          <w:lang w:val="fr-CA" w:eastAsia="en-US"/>
        </w:rPr>
        <w:t>O’Donnell</w:t>
      </w:r>
      <w:proofErr w:type="spellEnd"/>
      <w:r w:rsidRPr="00FF32FA">
        <w:rPr>
          <w:rFonts w:eastAsiaTheme="minorHAnsi" w:cstheme="minorBidi"/>
          <w:b/>
          <w:szCs w:val="24"/>
          <w:lang w:val="fr-CA" w:eastAsia="en-US"/>
        </w:rPr>
        <w:t>, Johanne Marcotte,</w:t>
      </w:r>
    </w:p>
    <w:p w:rsidR="00FF32FA" w:rsidRPr="00FF32FA" w:rsidRDefault="00FF32FA" w:rsidP="00FF32FA">
      <w:pPr>
        <w:jc w:val="center"/>
        <w:rPr>
          <w:rFonts w:eastAsiaTheme="minorHAnsi" w:cstheme="minorBidi"/>
          <w:b/>
          <w:szCs w:val="24"/>
          <w:lang w:val="fr-CA" w:eastAsia="en-US"/>
        </w:rPr>
      </w:pPr>
      <w:r w:rsidRPr="00FF32FA">
        <w:rPr>
          <w:rFonts w:eastAsiaTheme="minorHAnsi" w:cstheme="minorBidi"/>
          <w:b/>
          <w:szCs w:val="24"/>
          <w:lang w:val="fr-CA" w:eastAsia="en-US"/>
        </w:rPr>
        <w:t xml:space="preserve">Pierre Rousselle, Ginette </w:t>
      </w:r>
      <w:proofErr w:type="spellStart"/>
      <w:r w:rsidRPr="00FF32FA">
        <w:rPr>
          <w:rFonts w:eastAsiaTheme="minorHAnsi" w:cstheme="minorBidi"/>
          <w:b/>
          <w:szCs w:val="24"/>
          <w:lang w:val="fr-CA" w:eastAsia="en-US"/>
        </w:rPr>
        <w:t>Caissie</w:t>
      </w:r>
      <w:proofErr w:type="spellEnd"/>
      <w:r w:rsidRPr="00FF32FA">
        <w:rPr>
          <w:rFonts w:eastAsiaTheme="minorHAnsi" w:cstheme="minorBidi"/>
          <w:b/>
          <w:szCs w:val="24"/>
          <w:lang w:val="fr-CA" w:eastAsia="en-US"/>
        </w:rPr>
        <w:t xml:space="preserve">, Corine </w:t>
      </w:r>
      <w:proofErr w:type="spellStart"/>
      <w:r w:rsidRPr="00FF32FA">
        <w:rPr>
          <w:rFonts w:eastAsiaTheme="minorHAnsi" w:cstheme="minorBidi"/>
          <w:b/>
          <w:szCs w:val="24"/>
          <w:lang w:val="fr-CA" w:eastAsia="en-US"/>
        </w:rPr>
        <w:t>Petitclerc</w:t>
      </w:r>
      <w:proofErr w:type="spellEnd"/>
      <w:r w:rsidRPr="00FF32FA">
        <w:rPr>
          <w:rFonts w:eastAsiaTheme="minorHAnsi" w:cstheme="minorBidi"/>
          <w:b/>
          <w:szCs w:val="24"/>
          <w:lang w:val="fr-CA" w:eastAsia="en-US"/>
        </w:rPr>
        <w:t>,</w:t>
      </w:r>
    </w:p>
    <w:p w:rsidR="00FF32FA" w:rsidRPr="00FF32FA" w:rsidRDefault="00FF32FA" w:rsidP="00FF32FA">
      <w:pPr>
        <w:jc w:val="center"/>
        <w:rPr>
          <w:rFonts w:eastAsiaTheme="minorHAnsi" w:cstheme="minorBidi"/>
          <w:b/>
          <w:szCs w:val="24"/>
          <w:lang w:val="fr-CA" w:eastAsia="en-US"/>
        </w:rPr>
      </w:pPr>
      <w:r w:rsidRPr="00FF32FA">
        <w:rPr>
          <w:rFonts w:eastAsiaTheme="minorHAnsi" w:cstheme="minorBidi"/>
          <w:b/>
          <w:szCs w:val="24"/>
          <w:lang w:val="fr-CA" w:eastAsia="en-US"/>
        </w:rPr>
        <w:t xml:space="preserve">Patrice Cossette, Brigitte </w:t>
      </w:r>
      <w:proofErr w:type="spellStart"/>
      <w:r w:rsidRPr="00FF32FA">
        <w:rPr>
          <w:rFonts w:eastAsiaTheme="minorHAnsi" w:cstheme="minorBidi"/>
          <w:b/>
          <w:szCs w:val="24"/>
          <w:lang w:val="fr-CA" w:eastAsia="en-US"/>
        </w:rPr>
        <w:t>Flibotte</w:t>
      </w:r>
      <w:proofErr w:type="spellEnd"/>
      <w:r w:rsidRPr="00FF32FA">
        <w:rPr>
          <w:rFonts w:eastAsiaTheme="minorHAnsi" w:cstheme="minorBidi"/>
          <w:b/>
          <w:szCs w:val="24"/>
          <w:lang w:val="fr-CA" w:eastAsia="en-US"/>
        </w:rPr>
        <w:t xml:space="preserve">, </w:t>
      </w:r>
      <w:proofErr w:type="spellStart"/>
      <w:r w:rsidRPr="00FF32FA">
        <w:rPr>
          <w:rFonts w:eastAsiaTheme="minorHAnsi" w:cstheme="minorBidi"/>
          <w:b/>
          <w:szCs w:val="24"/>
          <w:lang w:val="fr-CA" w:eastAsia="en-US"/>
        </w:rPr>
        <w:t>Réjean</w:t>
      </w:r>
      <w:proofErr w:type="spellEnd"/>
      <w:r w:rsidRPr="00FF32FA">
        <w:rPr>
          <w:rFonts w:eastAsiaTheme="minorHAnsi" w:cstheme="minorBidi"/>
          <w:b/>
          <w:szCs w:val="24"/>
          <w:lang w:val="fr-CA" w:eastAsia="en-US"/>
        </w:rPr>
        <w:t xml:space="preserve"> Germain,</w:t>
      </w:r>
    </w:p>
    <w:p w:rsidR="00FF32FA" w:rsidRPr="00FF32FA" w:rsidRDefault="00FF32FA" w:rsidP="00FF32FA">
      <w:pPr>
        <w:jc w:val="center"/>
        <w:rPr>
          <w:rFonts w:eastAsiaTheme="minorHAnsi" w:cstheme="minorBidi"/>
          <w:b/>
          <w:szCs w:val="24"/>
          <w:lang w:val="fr-CA" w:eastAsia="en-US"/>
        </w:rPr>
      </w:pPr>
      <w:r w:rsidRPr="00FF32FA">
        <w:rPr>
          <w:rFonts w:eastAsiaTheme="minorHAnsi" w:cstheme="minorBidi"/>
          <w:b/>
          <w:szCs w:val="24"/>
          <w:lang w:val="fr-CA" w:eastAsia="en-US"/>
        </w:rPr>
        <w:t>Sonia Poisson, Pierre Parrot, Daniel Colas, Martin Rodrigue,</w:t>
      </w:r>
    </w:p>
    <w:p w:rsidR="00FF32FA" w:rsidRPr="00FF32FA" w:rsidRDefault="00FF32FA" w:rsidP="00FF32FA">
      <w:pPr>
        <w:jc w:val="center"/>
        <w:rPr>
          <w:rFonts w:eastAsiaTheme="minorHAnsi" w:cstheme="minorBidi"/>
          <w:b/>
          <w:szCs w:val="24"/>
          <w:lang w:val="fr-CA" w:eastAsia="en-US"/>
        </w:rPr>
      </w:pPr>
      <w:r w:rsidRPr="00FF32FA">
        <w:rPr>
          <w:rFonts w:eastAsiaTheme="minorHAnsi" w:cstheme="minorBidi"/>
          <w:b/>
          <w:szCs w:val="24"/>
          <w:lang w:val="fr-CA" w:eastAsia="en-US"/>
        </w:rPr>
        <w:t xml:space="preserve">Jeanne Dufour, Louis Fortin, Marcel Gourde, </w:t>
      </w:r>
      <w:proofErr w:type="spellStart"/>
      <w:r w:rsidRPr="00FF32FA">
        <w:rPr>
          <w:rFonts w:eastAsiaTheme="minorHAnsi" w:cstheme="minorBidi"/>
          <w:b/>
          <w:szCs w:val="24"/>
          <w:lang w:val="fr-CA" w:eastAsia="en-US"/>
        </w:rPr>
        <w:t>Olymel</w:t>
      </w:r>
      <w:proofErr w:type="spellEnd"/>
      <w:r w:rsidRPr="00FF32FA">
        <w:rPr>
          <w:rFonts w:eastAsiaTheme="minorHAnsi" w:cstheme="minorBidi"/>
          <w:b/>
          <w:szCs w:val="24"/>
          <w:lang w:val="fr-CA" w:eastAsia="en-US"/>
        </w:rPr>
        <w:t xml:space="preserve"> S.E.C.,</w:t>
      </w:r>
    </w:p>
    <w:p w:rsidR="00FF32FA" w:rsidRPr="00FF32FA" w:rsidRDefault="00FF32FA" w:rsidP="00FF32FA">
      <w:pPr>
        <w:jc w:val="center"/>
        <w:rPr>
          <w:rFonts w:eastAsiaTheme="minorHAnsi" w:cstheme="minorBidi"/>
          <w:b/>
          <w:szCs w:val="24"/>
          <w:lang w:val="fr-CA" w:eastAsia="en-US"/>
        </w:rPr>
      </w:pPr>
      <w:proofErr w:type="spellStart"/>
      <w:r w:rsidRPr="00FF32FA">
        <w:rPr>
          <w:rFonts w:eastAsiaTheme="minorHAnsi" w:cstheme="minorBidi"/>
          <w:b/>
          <w:szCs w:val="24"/>
          <w:lang w:val="fr-CA" w:eastAsia="en-US"/>
        </w:rPr>
        <w:t>Exceldor</w:t>
      </w:r>
      <w:proofErr w:type="spellEnd"/>
      <w:r w:rsidRPr="00FF32FA">
        <w:rPr>
          <w:rFonts w:eastAsiaTheme="minorHAnsi" w:cstheme="minorBidi"/>
          <w:b/>
          <w:szCs w:val="24"/>
          <w:lang w:val="fr-CA" w:eastAsia="en-US"/>
        </w:rPr>
        <w:t xml:space="preserve"> coopérative avicole et </w:t>
      </w:r>
      <w:proofErr w:type="spellStart"/>
      <w:r w:rsidRPr="00FF32FA">
        <w:rPr>
          <w:rFonts w:eastAsiaTheme="minorHAnsi" w:cstheme="minorBidi"/>
          <w:b/>
          <w:szCs w:val="24"/>
          <w:lang w:val="fr-CA" w:eastAsia="en-US"/>
        </w:rPr>
        <w:t>Supraliment</w:t>
      </w:r>
      <w:proofErr w:type="spellEnd"/>
      <w:r w:rsidRPr="00FF32FA">
        <w:rPr>
          <w:rFonts w:eastAsiaTheme="minorHAnsi" w:cstheme="minorBidi"/>
          <w:b/>
          <w:szCs w:val="24"/>
          <w:lang w:val="fr-CA" w:eastAsia="en-US"/>
        </w:rPr>
        <w:t xml:space="preserve"> S.E.C.</w:t>
      </w:r>
    </w:p>
    <w:p w:rsidR="00FF32FA" w:rsidRPr="00FF32FA" w:rsidRDefault="00FF32FA" w:rsidP="00FF32FA">
      <w:pPr>
        <w:jc w:val="center"/>
        <w:rPr>
          <w:rFonts w:eastAsiaTheme="minorHAnsi" w:cstheme="minorBidi"/>
          <w:szCs w:val="24"/>
          <w:lang w:val="fr-CA" w:eastAsia="en-US"/>
        </w:rPr>
      </w:pPr>
      <w:r w:rsidRPr="00FF32FA">
        <w:rPr>
          <w:rFonts w:eastAsiaTheme="minorHAnsi" w:cstheme="minorBidi"/>
          <w:szCs w:val="24"/>
          <w:lang w:val="fr-CA" w:eastAsia="en-US"/>
        </w:rPr>
        <w:t>Intimés</w:t>
      </w:r>
      <w:r w:rsidRPr="00FF32FA">
        <w:rPr>
          <w:rFonts w:eastAsiaTheme="minorHAnsi" w:cstheme="minorBidi"/>
          <w:szCs w:val="24"/>
          <w:lang w:val="fr-CA" w:eastAsia="en-US"/>
        </w:rPr>
        <w:br/>
      </w:r>
    </w:p>
    <w:p w:rsidR="00FF32FA" w:rsidRPr="00FF32FA" w:rsidRDefault="00FF32FA" w:rsidP="00FF32FA">
      <w:pPr>
        <w:rPr>
          <w:rFonts w:eastAsiaTheme="minorHAnsi" w:cstheme="minorBidi"/>
          <w:szCs w:val="24"/>
          <w:lang w:val="fr-CA" w:eastAsia="en-US"/>
        </w:rPr>
      </w:pPr>
    </w:p>
    <w:p w:rsidR="00FF32FA" w:rsidRPr="00FF32FA" w:rsidRDefault="00FF32FA" w:rsidP="00FF32FA">
      <w:pPr>
        <w:jc w:val="center"/>
        <w:rPr>
          <w:rFonts w:eastAsiaTheme="minorHAnsi" w:cstheme="minorBidi"/>
          <w:b/>
          <w:smallCaps/>
          <w:szCs w:val="24"/>
          <w:lang w:val="fr-CA" w:eastAsia="en-US"/>
        </w:rPr>
      </w:pPr>
      <w:r w:rsidRPr="00FF32FA">
        <w:rPr>
          <w:rFonts w:eastAsiaTheme="minorHAnsi" w:cstheme="minorBidi"/>
          <w:b/>
          <w:smallCaps/>
          <w:szCs w:val="24"/>
          <w:lang w:val="fr-CA" w:eastAsia="en-US"/>
        </w:rPr>
        <w:t>Traduction française officielle</w:t>
      </w:r>
    </w:p>
    <w:p w:rsidR="00FF32FA" w:rsidRPr="00FF32FA" w:rsidRDefault="00FF32FA" w:rsidP="00FF32FA">
      <w:pPr>
        <w:rPr>
          <w:rFonts w:eastAsiaTheme="minorHAnsi" w:cstheme="minorBidi"/>
          <w:szCs w:val="24"/>
          <w:lang w:val="fr-CA" w:eastAsia="en-US"/>
        </w:rPr>
      </w:pPr>
    </w:p>
    <w:p w:rsidR="00FF32FA" w:rsidRPr="00FF32FA" w:rsidRDefault="00FF32FA" w:rsidP="00FF32FA">
      <w:pPr>
        <w:rPr>
          <w:rFonts w:eastAsiaTheme="minorHAnsi" w:cstheme="minorBidi"/>
          <w:szCs w:val="24"/>
          <w:lang w:val="fr-CA" w:eastAsia="en-US"/>
        </w:rPr>
      </w:pPr>
      <w:r w:rsidRPr="00FF32FA">
        <w:rPr>
          <w:rFonts w:eastAsiaTheme="minorHAnsi" w:cstheme="minorBidi"/>
          <w:b/>
          <w:smallCaps/>
          <w:szCs w:val="24"/>
          <w:lang w:val="fr-CA" w:eastAsia="en-US"/>
        </w:rPr>
        <w:t>Coram :</w:t>
      </w:r>
      <w:r w:rsidRPr="00FF32FA">
        <w:rPr>
          <w:rFonts w:eastAsiaTheme="minorHAnsi" w:cstheme="minorBidi"/>
          <w:szCs w:val="24"/>
          <w:lang w:val="fr-CA" w:eastAsia="en-US"/>
        </w:rPr>
        <w:t xml:space="preserve"> Les juges </w:t>
      </w:r>
      <w:proofErr w:type="spellStart"/>
      <w:r w:rsidRPr="00FF32FA">
        <w:rPr>
          <w:rFonts w:eastAsiaTheme="minorHAnsi" w:cstheme="minorBidi"/>
          <w:szCs w:val="24"/>
          <w:lang w:val="fr-CA" w:eastAsia="en-US"/>
        </w:rPr>
        <w:t>Binnie</w:t>
      </w:r>
      <w:proofErr w:type="spellEnd"/>
      <w:r w:rsidRPr="00FF32FA">
        <w:rPr>
          <w:rFonts w:eastAsiaTheme="minorHAnsi" w:cstheme="minorBidi"/>
          <w:szCs w:val="24"/>
          <w:lang w:val="fr-CA" w:eastAsia="en-US"/>
        </w:rPr>
        <w:t xml:space="preserve">, </w:t>
      </w:r>
      <w:proofErr w:type="spellStart"/>
      <w:r w:rsidRPr="00FF32FA">
        <w:rPr>
          <w:rFonts w:eastAsiaTheme="minorHAnsi" w:cstheme="minorBidi"/>
          <w:szCs w:val="24"/>
          <w:lang w:val="fr-CA" w:eastAsia="en-US"/>
        </w:rPr>
        <w:t>LeBel</w:t>
      </w:r>
      <w:proofErr w:type="spellEnd"/>
      <w:r w:rsidRPr="00FF32FA">
        <w:rPr>
          <w:rFonts w:eastAsiaTheme="minorHAnsi" w:cstheme="minorBidi"/>
          <w:szCs w:val="24"/>
          <w:lang w:val="fr-CA" w:eastAsia="en-US"/>
        </w:rPr>
        <w:t xml:space="preserve">, Deschamps, Abella, Charron, </w:t>
      </w:r>
      <w:proofErr w:type="spellStart"/>
      <w:r w:rsidRPr="00FF32FA">
        <w:rPr>
          <w:rFonts w:eastAsiaTheme="minorHAnsi" w:cstheme="minorBidi"/>
          <w:szCs w:val="24"/>
          <w:lang w:val="fr-CA" w:eastAsia="en-US"/>
        </w:rPr>
        <w:t>Rothstein</w:t>
      </w:r>
      <w:proofErr w:type="spellEnd"/>
      <w:r w:rsidRPr="00FF32FA">
        <w:rPr>
          <w:rFonts w:eastAsiaTheme="minorHAnsi" w:cstheme="minorBidi"/>
          <w:szCs w:val="24"/>
          <w:lang w:val="fr-CA" w:eastAsia="en-US"/>
        </w:rPr>
        <w:t xml:space="preserve"> et Cromwell</w:t>
      </w:r>
    </w:p>
    <w:p w:rsidR="00FF32FA" w:rsidRPr="00FF32FA" w:rsidRDefault="00FF32FA" w:rsidP="00FF32FA">
      <w:pPr>
        <w:rPr>
          <w:rFonts w:eastAsiaTheme="minorHAnsi"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F32FA" w:rsidRPr="00FF32FA" w:rsidTr="00BA475A">
        <w:trPr>
          <w:cantSplit/>
        </w:trPr>
        <w:tc>
          <w:tcPr>
            <w:tcW w:w="3618" w:type="dxa"/>
          </w:tcPr>
          <w:p w:rsidR="00FF32FA" w:rsidRPr="00FF32FA" w:rsidRDefault="00FF32FA" w:rsidP="00BA475A">
            <w:pPr>
              <w:rPr>
                <w:b/>
                <w:smallCaps/>
                <w:lang w:val="fr-CA"/>
              </w:rPr>
            </w:pPr>
            <w:r w:rsidRPr="00FF32FA">
              <w:rPr>
                <w:b/>
                <w:smallCaps/>
                <w:lang w:val="fr-CA"/>
              </w:rPr>
              <w:t>Motifs de jugement :</w:t>
            </w:r>
          </w:p>
          <w:p w:rsidR="00FF32FA" w:rsidRPr="00FF32FA" w:rsidRDefault="00FF32FA" w:rsidP="00BA475A">
            <w:pPr>
              <w:rPr>
                <w:lang w:val="fr-CA"/>
              </w:rPr>
            </w:pPr>
            <w:r w:rsidRPr="00FF32FA">
              <w:rPr>
                <w:lang w:val="fr-CA"/>
              </w:rPr>
              <w:t>(par. 1 à 29)</w:t>
            </w:r>
          </w:p>
        </w:tc>
        <w:tc>
          <w:tcPr>
            <w:tcW w:w="5958" w:type="dxa"/>
          </w:tcPr>
          <w:p w:rsidR="00FF32FA" w:rsidRPr="00FF32FA" w:rsidRDefault="00FF32FA" w:rsidP="00BA475A">
            <w:pPr>
              <w:rPr>
                <w:lang w:val="fr-CA"/>
              </w:rPr>
            </w:pPr>
            <w:r w:rsidRPr="00FF32FA">
              <w:rPr>
                <w:lang w:val="fr-CA"/>
              </w:rPr>
              <w:t xml:space="preserve">Le juge </w:t>
            </w:r>
            <w:proofErr w:type="spellStart"/>
            <w:r w:rsidRPr="00FF32FA">
              <w:rPr>
                <w:lang w:val="fr-CA"/>
              </w:rPr>
              <w:t>LeBel</w:t>
            </w:r>
            <w:proofErr w:type="spellEnd"/>
            <w:r w:rsidRPr="00FF32FA">
              <w:rPr>
                <w:lang w:val="fr-CA"/>
              </w:rPr>
              <w:t xml:space="preserve"> (avec l’accord des juges </w:t>
            </w:r>
            <w:proofErr w:type="spellStart"/>
            <w:r w:rsidRPr="00FF32FA">
              <w:rPr>
                <w:lang w:val="fr-CA"/>
              </w:rPr>
              <w:t>Binnie</w:t>
            </w:r>
            <w:proofErr w:type="spellEnd"/>
            <w:r w:rsidRPr="00FF32FA">
              <w:rPr>
                <w:lang w:val="fr-CA"/>
              </w:rPr>
              <w:t xml:space="preserve">, Deschamps, Abella, Charron, </w:t>
            </w:r>
            <w:proofErr w:type="spellStart"/>
            <w:r w:rsidRPr="00FF32FA">
              <w:rPr>
                <w:lang w:val="fr-CA"/>
              </w:rPr>
              <w:t>Rothstein</w:t>
            </w:r>
            <w:proofErr w:type="spellEnd"/>
            <w:r w:rsidRPr="00FF32FA">
              <w:rPr>
                <w:lang w:val="fr-CA"/>
              </w:rPr>
              <w:t xml:space="preserve"> et Cromwell)</w:t>
            </w:r>
          </w:p>
        </w:tc>
      </w:tr>
    </w:tbl>
    <w:p w:rsidR="00FF32FA" w:rsidRPr="00FF32FA" w:rsidRDefault="00FF32FA" w:rsidP="00FF32FA">
      <w:pPr>
        <w:rPr>
          <w:rFonts w:eastAsiaTheme="minorHAnsi" w:cstheme="minorBidi"/>
          <w:szCs w:val="24"/>
          <w:lang w:val="fr-CA" w:eastAsia="en-US"/>
        </w:rPr>
      </w:pPr>
    </w:p>
    <w:p w:rsidR="00FF32FA" w:rsidRPr="00FF32FA" w:rsidRDefault="00FF32FA" w:rsidP="00FF32FA">
      <w:pPr>
        <w:rPr>
          <w:rFonts w:eastAsiaTheme="minorHAnsi" w:cstheme="minorBidi"/>
          <w:szCs w:val="24"/>
          <w:lang w:val="fr-CA"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FF32FA" w:rsidRPr="00FF32FA" w:rsidRDefault="00FF32FA" w:rsidP="00FF32FA">
      <w:pPr>
        <w:rPr>
          <w:rStyle w:val="SCCAppellantForRunningHeadChar"/>
          <w:lang w:val="fr-CA"/>
        </w:rPr>
      </w:pPr>
      <w:r w:rsidRPr="00FF32FA">
        <w:rPr>
          <w:rStyle w:val="SCCAppellantForRunningHeadChar"/>
          <w:lang w:val="fr-CA"/>
        </w:rPr>
        <w:br w:type="page"/>
      </w:r>
    </w:p>
    <w:p w:rsidR="008322BD" w:rsidRPr="00B81AF6" w:rsidRDefault="0038663C" w:rsidP="000B0ABA">
      <w:pPr>
        <w:spacing w:line="480" w:lineRule="auto"/>
        <w:jc w:val="both"/>
        <w:rPr>
          <w:lang w:val="fr-CA"/>
        </w:rPr>
      </w:pPr>
      <w:r w:rsidRPr="0038663C">
        <w:rPr>
          <w:rStyle w:val="SCCAppellantForIndexChar"/>
          <w:b w:val="0"/>
          <w:lang w:val="fr-CA"/>
        </w:rPr>
        <w:lastRenderedPageBreak/>
        <w:t>Agence canadienne d’inspection des aliments</w:t>
      </w:r>
      <w:r w:rsidRPr="0038663C">
        <w:rPr>
          <w:lang w:val="fr-CA"/>
        </w:rPr>
        <w:t xml:space="preserve"> </w:t>
      </w:r>
      <w:r w:rsidRPr="0038663C">
        <w:rPr>
          <w:i/>
          <w:lang w:val="fr-CA"/>
        </w:rPr>
        <w:t>c.</w:t>
      </w:r>
      <w:r w:rsidRPr="0038663C">
        <w:rPr>
          <w:lang w:val="fr-CA"/>
        </w:rPr>
        <w:t xml:space="preserve"> </w:t>
      </w:r>
      <w:r w:rsidRPr="0038663C">
        <w:rPr>
          <w:rStyle w:val="SCCRespondentForIndexChar"/>
          <w:b w:val="0"/>
          <w:lang w:val="fr-CA"/>
        </w:rPr>
        <w:t>Institut professionnel de la fonction publique du Canada</w:t>
      </w:r>
      <w:r>
        <w:rPr>
          <w:rStyle w:val="SCCRespondentForRunningHeadChar"/>
          <w:lang w:val="fr-CA"/>
        </w:rPr>
        <w:t xml:space="preserve">, </w:t>
      </w:r>
      <w:r w:rsidRPr="0038663C">
        <w:rPr>
          <w:rStyle w:val="SCCRespondentForIndexChar"/>
          <w:b w:val="0"/>
          <w:lang w:val="fr-CA"/>
        </w:rPr>
        <w:t xml:space="preserve">2010 </w:t>
      </w:r>
      <w:r w:rsidR="00DE0AFA">
        <w:rPr>
          <w:rStyle w:val="SCCRespondentForIndexChar"/>
          <w:b w:val="0"/>
          <w:lang w:val="fr-CA"/>
        </w:rPr>
        <w:t>C</w:t>
      </w:r>
      <w:r w:rsidRPr="0038663C">
        <w:rPr>
          <w:rStyle w:val="SCCRespondentForIndexChar"/>
          <w:b w:val="0"/>
          <w:lang w:val="fr-CA"/>
        </w:rPr>
        <w:t>SC 6</w:t>
      </w:r>
      <w:r>
        <w:rPr>
          <w:rStyle w:val="SCCRespondentForIndexChar"/>
          <w:b w:val="0"/>
          <w:lang w:val="fr-CA"/>
        </w:rPr>
        <w:t>6</w:t>
      </w:r>
      <w:r w:rsidRPr="0038663C">
        <w:rPr>
          <w:rStyle w:val="SCCRespondentForIndexChar"/>
          <w:b w:val="0"/>
          <w:lang w:val="fr-CA"/>
        </w:rPr>
        <w:t xml:space="preserve">, [2010] 3 </w:t>
      </w:r>
      <w:r w:rsidR="00DE0AFA">
        <w:rPr>
          <w:rStyle w:val="SCCRespondentForIndexChar"/>
          <w:b w:val="0"/>
          <w:lang w:val="fr-CA"/>
        </w:rPr>
        <w:t>R.C.</w:t>
      </w:r>
      <w:r w:rsidRPr="0038663C">
        <w:rPr>
          <w:rStyle w:val="SCCRespondentForIndexChar"/>
          <w:b w:val="0"/>
          <w:lang w:val="fr-CA"/>
        </w:rPr>
        <w:t>S. 6</w:t>
      </w:r>
      <w:r>
        <w:rPr>
          <w:rStyle w:val="SCCRespondentForIndexChar"/>
          <w:b w:val="0"/>
          <w:lang w:val="fr-CA"/>
        </w:rPr>
        <w:t>57</w:t>
      </w:r>
    </w:p>
    <w:p w:rsidR="007834A8" w:rsidRPr="00B81AF6" w:rsidRDefault="007834A8" w:rsidP="000B0ABA">
      <w:pPr>
        <w:spacing w:line="480" w:lineRule="auto"/>
        <w:jc w:val="both"/>
        <w:rPr>
          <w:lang w:val="fr-CA"/>
        </w:rPr>
      </w:pPr>
    </w:p>
    <w:p w:rsidR="00DE6E1F" w:rsidRPr="001C32F1" w:rsidRDefault="003B5C82" w:rsidP="00B81AF6">
      <w:pPr>
        <w:pStyle w:val="SCCLsocParty"/>
        <w:tabs>
          <w:tab w:val="right" w:pos="8280"/>
        </w:tabs>
        <w:spacing w:after="0" w:line="480" w:lineRule="auto"/>
        <w:rPr>
          <w:lang w:val="fr-CA"/>
        </w:rPr>
      </w:pPr>
      <w:r w:rsidRPr="001C32F1">
        <w:rPr>
          <w:b/>
          <w:lang w:val="fr-CA"/>
        </w:rPr>
        <w:t>Agence canadienne d</w:t>
      </w:r>
      <w:r w:rsidR="009D7F3C" w:rsidRPr="001C32F1">
        <w:rPr>
          <w:b/>
          <w:lang w:val="fr-CA"/>
        </w:rPr>
        <w:t>’</w:t>
      </w:r>
      <w:r w:rsidR="00A32ADE" w:rsidRPr="001C32F1">
        <w:rPr>
          <w:b/>
          <w:lang w:val="fr-CA"/>
        </w:rPr>
        <w:t>inspection des aliments</w:t>
      </w:r>
      <w:r w:rsidR="00DE6E1F" w:rsidRPr="001C32F1">
        <w:rPr>
          <w:lang w:val="fr-CA"/>
        </w:rPr>
        <w:tab/>
      </w:r>
      <w:r w:rsidR="00DE6E1F" w:rsidRPr="001C32F1">
        <w:rPr>
          <w:i/>
          <w:lang w:val="fr-CA"/>
        </w:rPr>
        <w:t>Appelante</w:t>
      </w:r>
    </w:p>
    <w:p w:rsidR="006A5C80" w:rsidRPr="001C32F1" w:rsidRDefault="006A5C80" w:rsidP="0047190C">
      <w:pPr>
        <w:pStyle w:val="SCCLsocParty"/>
        <w:tabs>
          <w:tab w:val="right" w:pos="8280"/>
        </w:tabs>
        <w:spacing w:after="0" w:line="480" w:lineRule="auto"/>
        <w:rPr>
          <w:b/>
          <w:lang w:val="fr-CA"/>
        </w:rPr>
      </w:pPr>
    </w:p>
    <w:p w:rsidR="006A5C80" w:rsidRPr="00B81AF6" w:rsidRDefault="00A32ADE" w:rsidP="00B81AF6">
      <w:pPr>
        <w:pStyle w:val="SCCLsocVersus"/>
        <w:spacing w:after="0" w:line="480" w:lineRule="auto"/>
        <w:rPr>
          <w:i/>
          <w:lang w:val="fr-CA"/>
        </w:rPr>
      </w:pPr>
      <w:proofErr w:type="gramStart"/>
      <w:r w:rsidRPr="00B81AF6">
        <w:rPr>
          <w:i/>
          <w:lang w:val="fr-CA"/>
        </w:rPr>
        <w:t>c</w:t>
      </w:r>
      <w:proofErr w:type="gramEnd"/>
      <w:r w:rsidRPr="00B81AF6">
        <w:rPr>
          <w:i/>
          <w:lang w:val="fr-CA"/>
        </w:rPr>
        <w:t>.</w:t>
      </w:r>
      <w:r w:rsidRPr="00B81AF6">
        <w:rPr>
          <w:i/>
          <w:lang w:val="fr-CA"/>
        </w:rPr>
        <w:br/>
      </w:r>
    </w:p>
    <w:p w:rsidR="006A5C80" w:rsidRPr="001C32F1" w:rsidRDefault="00A32ADE" w:rsidP="001C32F1">
      <w:pPr>
        <w:pStyle w:val="SCCLsocParty"/>
        <w:spacing w:after="0"/>
        <w:rPr>
          <w:b/>
          <w:lang w:val="fr-CA"/>
        </w:rPr>
      </w:pPr>
      <w:r w:rsidRPr="001C32F1">
        <w:rPr>
          <w:b/>
          <w:lang w:val="fr-CA"/>
        </w:rPr>
        <w:t xml:space="preserve">Institut professionnel de la fonction publique du Canada, </w:t>
      </w:r>
    </w:p>
    <w:p w:rsidR="00DE6E1F" w:rsidRPr="001C32F1" w:rsidRDefault="00A32ADE" w:rsidP="001C32F1">
      <w:pPr>
        <w:pStyle w:val="SCCLsocParty"/>
        <w:spacing w:after="0"/>
        <w:rPr>
          <w:b/>
          <w:lang w:val="fr-CA"/>
        </w:rPr>
      </w:pPr>
      <w:r w:rsidRPr="001C32F1">
        <w:rPr>
          <w:b/>
          <w:lang w:val="fr-CA"/>
        </w:rPr>
        <w:t xml:space="preserve">Dany Beauregard, Gaston </w:t>
      </w:r>
      <w:proofErr w:type="spellStart"/>
      <w:r w:rsidRPr="001C32F1">
        <w:rPr>
          <w:b/>
          <w:lang w:val="fr-CA"/>
        </w:rPr>
        <w:t>Duchemin</w:t>
      </w:r>
      <w:proofErr w:type="spellEnd"/>
      <w:r w:rsidRPr="001C32F1">
        <w:rPr>
          <w:b/>
          <w:lang w:val="fr-CA"/>
        </w:rPr>
        <w:t xml:space="preserve">, Jacques </w:t>
      </w:r>
      <w:proofErr w:type="spellStart"/>
      <w:r w:rsidRPr="001C32F1">
        <w:rPr>
          <w:b/>
          <w:lang w:val="fr-CA"/>
        </w:rPr>
        <w:t>Vézina</w:t>
      </w:r>
      <w:proofErr w:type="spellEnd"/>
      <w:r w:rsidRPr="001C32F1">
        <w:rPr>
          <w:b/>
          <w:lang w:val="fr-CA"/>
        </w:rPr>
        <w:t xml:space="preserve">, </w:t>
      </w:r>
    </w:p>
    <w:p w:rsidR="00DE6E1F" w:rsidRPr="001C32F1" w:rsidRDefault="00A32ADE" w:rsidP="001C32F1">
      <w:pPr>
        <w:pStyle w:val="SCCLsocParty"/>
        <w:spacing w:after="0"/>
        <w:rPr>
          <w:b/>
          <w:lang w:val="fr-CA"/>
        </w:rPr>
      </w:pPr>
      <w:r w:rsidRPr="001C32F1">
        <w:rPr>
          <w:b/>
          <w:lang w:val="fr-CA"/>
        </w:rPr>
        <w:t xml:space="preserve">Normand </w:t>
      </w:r>
      <w:proofErr w:type="spellStart"/>
      <w:r w:rsidRPr="001C32F1">
        <w:rPr>
          <w:b/>
          <w:lang w:val="fr-CA"/>
        </w:rPr>
        <w:t>Bélair</w:t>
      </w:r>
      <w:proofErr w:type="spellEnd"/>
      <w:r w:rsidRPr="001C32F1">
        <w:rPr>
          <w:b/>
          <w:lang w:val="fr-CA"/>
        </w:rPr>
        <w:t xml:space="preserve">, </w:t>
      </w:r>
      <w:proofErr w:type="spellStart"/>
      <w:r w:rsidRPr="001C32F1">
        <w:rPr>
          <w:b/>
          <w:lang w:val="fr-CA"/>
        </w:rPr>
        <w:t>Lyn</w:t>
      </w:r>
      <w:proofErr w:type="spellEnd"/>
      <w:r w:rsidRPr="001C32F1">
        <w:rPr>
          <w:b/>
          <w:lang w:val="fr-CA"/>
        </w:rPr>
        <w:t xml:space="preserve"> Couture, Jacques Guy, </w:t>
      </w:r>
    </w:p>
    <w:p w:rsidR="00DE6E1F" w:rsidRPr="001C32F1" w:rsidRDefault="00A32ADE" w:rsidP="001C32F1">
      <w:pPr>
        <w:pStyle w:val="SCCLsocParty"/>
        <w:spacing w:after="0"/>
        <w:rPr>
          <w:b/>
          <w:lang w:val="fr-CA"/>
        </w:rPr>
      </w:pPr>
      <w:r w:rsidRPr="001C32F1">
        <w:rPr>
          <w:b/>
          <w:lang w:val="fr-CA"/>
        </w:rPr>
        <w:t xml:space="preserve">Sonja </w:t>
      </w:r>
      <w:proofErr w:type="spellStart"/>
      <w:r w:rsidRPr="001C32F1">
        <w:rPr>
          <w:b/>
          <w:lang w:val="fr-CA"/>
        </w:rPr>
        <w:t>Laurendeau</w:t>
      </w:r>
      <w:proofErr w:type="spellEnd"/>
      <w:r w:rsidRPr="001C32F1">
        <w:rPr>
          <w:b/>
          <w:lang w:val="fr-CA"/>
        </w:rPr>
        <w:t xml:space="preserve">, Guy </w:t>
      </w:r>
      <w:proofErr w:type="spellStart"/>
      <w:r w:rsidRPr="001C32F1">
        <w:rPr>
          <w:b/>
          <w:lang w:val="fr-CA"/>
        </w:rPr>
        <w:t>Boulard</w:t>
      </w:r>
      <w:proofErr w:type="spellEnd"/>
      <w:r w:rsidRPr="001C32F1">
        <w:rPr>
          <w:b/>
          <w:lang w:val="fr-CA"/>
        </w:rPr>
        <w:t xml:space="preserve">, </w:t>
      </w:r>
      <w:proofErr w:type="spellStart"/>
      <w:r w:rsidRPr="001C32F1">
        <w:rPr>
          <w:b/>
          <w:lang w:val="fr-CA"/>
        </w:rPr>
        <w:t>Stéphano</w:t>
      </w:r>
      <w:proofErr w:type="spellEnd"/>
      <w:r w:rsidRPr="001C32F1">
        <w:rPr>
          <w:b/>
          <w:lang w:val="fr-CA"/>
        </w:rPr>
        <w:t xml:space="preserve"> Cagna, </w:t>
      </w:r>
    </w:p>
    <w:p w:rsidR="00DE6E1F" w:rsidRPr="001C32F1" w:rsidRDefault="00A32ADE" w:rsidP="001C32F1">
      <w:pPr>
        <w:pStyle w:val="SCCLsocParty"/>
        <w:spacing w:after="0"/>
        <w:rPr>
          <w:b/>
          <w:lang w:val="fr-CA"/>
        </w:rPr>
      </w:pPr>
      <w:r w:rsidRPr="001C32F1">
        <w:rPr>
          <w:b/>
          <w:lang w:val="fr-CA"/>
        </w:rPr>
        <w:t xml:space="preserve">Mona Gauthier, Michel Marcoux, Patrick Poulin, </w:t>
      </w:r>
    </w:p>
    <w:p w:rsidR="00DE6E1F" w:rsidRPr="001C32F1" w:rsidRDefault="00A32ADE" w:rsidP="001C32F1">
      <w:pPr>
        <w:pStyle w:val="SCCLsocParty"/>
        <w:spacing w:after="0"/>
        <w:rPr>
          <w:b/>
          <w:lang w:val="fr-CA"/>
        </w:rPr>
      </w:pPr>
      <w:r w:rsidRPr="001C32F1">
        <w:rPr>
          <w:b/>
          <w:lang w:val="fr-CA"/>
        </w:rPr>
        <w:t>François Saulnier, Madji</w:t>
      </w:r>
      <w:r w:rsidR="00442374">
        <w:rPr>
          <w:b/>
          <w:lang w:val="fr-CA"/>
        </w:rPr>
        <w:t>d</w:t>
      </w:r>
      <w:r w:rsidRPr="001C32F1">
        <w:rPr>
          <w:b/>
          <w:lang w:val="fr-CA"/>
        </w:rPr>
        <w:t xml:space="preserve"> </w:t>
      </w:r>
      <w:proofErr w:type="spellStart"/>
      <w:r w:rsidRPr="001C32F1">
        <w:rPr>
          <w:b/>
          <w:lang w:val="fr-CA"/>
        </w:rPr>
        <w:t>Boussouira</w:t>
      </w:r>
      <w:proofErr w:type="spellEnd"/>
      <w:r w:rsidRPr="001C32F1">
        <w:rPr>
          <w:b/>
          <w:lang w:val="fr-CA"/>
        </w:rPr>
        <w:t xml:space="preserve">, Nicole </w:t>
      </w:r>
      <w:proofErr w:type="spellStart"/>
      <w:r w:rsidRPr="001C32F1">
        <w:rPr>
          <w:b/>
          <w:lang w:val="fr-CA"/>
        </w:rPr>
        <w:t>Loranger</w:t>
      </w:r>
      <w:proofErr w:type="spellEnd"/>
      <w:r w:rsidRPr="001C32F1">
        <w:rPr>
          <w:b/>
          <w:lang w:val="fr-CA"/>
        </w:rPr>
        <w:t xml:space="preserve">, </w:t>
      </w:r>
    </w:p>
    <w:p w:rsidR="00DE6E1F" w:rsidRPr="001C32F1" w:rsidRDefault="00A32ADE" w:rsidP="001C32F1">
      <w:pPr>
        <w:pStyle w:val="SCCLsocParty"/>
        <w:spacing w:after="0"/>
        <w:rPr>
          <w:b/>
          <w:lang w:val="fr-CA"/>
        </w:rPr>
      </w:pPr>
      <w:r w:rsidRPr="001C32F1">
        <w:rPr>
          <w:b/>
          <w:lang w:val="fr-CA"/>
        </w:rPr>
        <w:t>France Sylvestre,</w:t>
      </w:r>
      <w:r w:rsidR="00DE6E1F" w:rsidRPr="001C32F1">
        <w:rPr>
          <w:b/>
          <w:lang w:val="fr-CA"/>
        </w:rPr>
        <w:t xml:space="preserve"> </w:t>
      </w:r>
      <w:r w:rsidR="002C6CDE" w:rsidRPr="001C32F1">
        <w:rPr>
          <w:b/>
          <w:lang w:val="fr-CA"/>
        </w:rPr>
        <w:t xml:space="preserve">Peter </w:t>
      </w:r>
      <w:proofErr w:type="spellStart"/>
      <w:r w:rsidR="002C6CDE" w:rsidRPr="001C32F1">
        <w:rPr>
          <w:b/>
          <w:lang w:val="fr-CA"/>
        </w:rPr>
        <w:t>O’</w:t>
      </w:r>
      <w:r w:rsidRPr="001C32F1">
        <w:rPr>
          <w:b/>
          <w:lang w:val="fr-CA"/>
        </w:rPr>
        <w:t>Donnell</w:t>
      </w:r>
      <w:proofErr w:type="spellEnd"/>
      <w:r w:rsidRPr="001C32F1">
        <w:rPr>
          <w:b/>
          <w:lang w:val="fr-CA"/>
        </w:rPr>
        <w:t xml:space="preserve">, Johanne Marcotte, </w:t>
      </w:r>
    </w:p>
    <w:p w:rsidR="00DE6E1F" w:rsidRPr="001C32F1" w:rsidRDefault="00A32ADE" w:rsidP="001C32F1">
      <w:pPr>
        <w:pStyle w:val="SCCLsocParty"/>
        <w:spacing w:after="0"/>
        <w:rPr>
          <w:b/>
          <w:lang w:val="fr-CA"/>
        </w:rPr>
      </w:pPr>
      <w:r w:rsidRPr="001C32F1">
        <w:rPr>
          <w:b/>
          <w:lang w:val="fr-CA"/>
        </w:rPr>
        <w:t xml:space="preserve">Pierre Rousselle, Ginette Caissie, Corine Petitclerc, </w:t>
      </w:r>
    </w:p>
    <w:p w:rsidR="00DE6E1F" w:rsidRPr="001C32F1" w:rsidRDefault="00A32ADE" w:rsidP="001C32F1">
      <w:pPr>
        <w:pStyle w:val="SCCLsocParty"/>
        <w:spacing w:after="0"/>
        <w:rPr>
          <w:b/>
          <w:lang w:val="fr-CA"/>
        </w:rPr>
      </w:pPr>
      <w:r w:rsidRPr="001C32F1">
        <w:rPr>
          <w:b/>
          <w:lang w:val="fr-CA"/>
        </w:rPr>
        <w:t xml:space="preserve">Patrice Cossette, Brigitte Flibotte, Réjean Germain, </w:t>
      </w:r>
    </w:p>
    <w:p w:rsidR="00DE6E1F" w:rsidRPr="001C32F1" w:rsidRDefault="00A32ADE" w:rsidP="001C32F1">
      <w:pPr>
        <w:pStyle w:val="SCCLsocParty"/>
        <w:spacing w:after="0"/>
        <w:rPr>
          <w:b/>
          <w:lang w:val="fr-CA"/>
        </w:rPr>
      </w:pPr>
      <w:r w:rsidRPr="001C32F1">
        <w:rPr>
          <w:b/>
          <w:lang w:val="fr-CA"/>
        </w:rPr>
        <w:t xml:space="preserve">Sonia Poisson, Pierre Parrot, Daniel Colas, Martin Rodrigue, </w:t>
      </w:r>
    </w:p>
    <w:p w:rsidR="002C6CDE" w:rsidRPr="001C32F1" w:rsidRDefault="00A32ADE" w:rsidP="001C32F1">
      <w:pPr>
        <w:pStyle w:val="SCCLsocParty"/>
        <w:spacing w:after="0"/>
        <w:rPr>
          <w:b/>
          <w:lang w:val="fr-CA"/>
        </w:rPr>
      </w:pPr>
      <w:r w:rsidRPr="001C32F1">
        <w:rPr>
          <w:b/>
          <w:lang w:val="fr-CA"/>
        </w:rPr>
        <w:t>Jeanne Dufou</w:t>
      </w:r>
      <w:r w:rsidR="00DE6E1F" w:rsidRPr="001C32F1">
        <w:rPr>
          <w:b/>
          <w:lang w:val="fr-CA"/>
        </w:rPr>
        <w:t>r, Louis Fortin, Marcel Gourde,</w:t>
      </w:r>
      <w:r w:rsidR="002C6CDE" w:rsidRPr="001C32F1">
        <w:rPr>
          <w:b/>
          <w:lang w:val="fr-CA"/>
        </w:rPr>
        <w:t xml:space="preserve"> </w:t>
      </w:r>
      <w:r w:rsidRPr="001C32F1">
        <w:rPr>
          <w:b/>
          <w:lang w:val="fr-CA"/>
        </w:rPr>
        <w:t xml:space="preserve">Olymel S.E.C., </w:t>
      </w:r>
    </w:p>
    <w:p w:rsidR="00766D14" w:rsidRPr="001C32F1" w:rsidRDefault="00A32ADE" w:rsidP="001C32F1">
      <w:pPr>
        <w:pStyle w:val="SCCLsocParty"/>
        <w:tabs>
          <w:tab w:val="right" w:pos="8280"/>
        </w:tabs>
        <w:spacing w:after="720"/>
        <w:rPr>
          <w:b/>
          <w:i/>
          <w:lang w:val="fr-CA"/>
        </w:rPr>
      </w:pPr>
      <w:proofErr w:type="spellStart"/>
      <w:r w:rsidRPr="001C32F1">
        <w:rPr>
          <w:b/>
          <w:lang w:val="fr-CA"/>
        </w:rPr>
        <w:t>Exceldor</w:t>
      </w:r>
      <w:proofErr w:type="spellEnd"/>
      <w:r w:rsidRPr="001C32F1">
        <w:rPr>
          <w:b/>
          <w:lang w:val="fr-CA"/>
        </w:rPr>
        <w:t xml:space="preserve"> coopérative avicole et </w:t>
      </w:r>
      <w:proofErr w:type="spellStart"/>
      <w:r w:rsidRPr="001C32F1">
        <w:rPr>
          <w:b/>
          <w:lang w:val="fr-CA"/>
        </w:rPr>
        <w:t>Supraliment</w:t>
      </w:r>
      <w:proofErr w:type="spellEnd"/>
      <w:r w:rsidRPr="001C32F1">
        <w:rPr>
          <w:b/>
          <w:lang w:val="fr-CA"/>
        </w:rPr>
        <w:t xml:space="preserve"> S.E.C.</w:t>
      </w:r>
      <w:r w:rsidR="00DE6E1F" w:rsidRPr="001C32F1">
        <w:rPr>
          <w:lang w:val="fr-CA"/>
        </w:rPr>
        <w:t xml:space="preserve"> </w:t>
      </w:r>
      <w:r w:rsidR="00DE6E1F" w:rsidRPr="001C32F1">
        <w:rPr>
          <w:lang w:val="fr-CA"/>
        </w:rPr>
        <w:tab/>
      </w:r>
      <w:r w:rsidR="00DE6E1F" w:rsidRPr="001C32F1">
        <w:rPr>
          <w:i/>
          <w:lang w:val="fr-CA"/>
        </w:rPr>
        <w:t>Intimé</w:t>
      </w:r>
      <w:r w:rsidRPr="001C32F1">
        <w:rPr>
          <w:i/>
          <w:lang w:val="fr-CA"/>
        </w:rPr>
        <w:t>s</w:t>
      </w:r>
    </w:p>
    <w:p w:rsidR="00426659" w:rsidRPr="001C32F1" w:rsidRDefault="0043088E" w:rsidP="00423527">
      <w:pPr>
        <w:spacing w:after="720"/>
        <w:jc w:val="both"/>
        <w:rPr>
          <w:rStyle w:val="SCCRespondentForIndexChar"/>
          <w:lang w:val="fr-CA"/>
        </w:rPr>
      </w:pPr>
      <w:r w:rsidRPr="001C32F1">
        <w:rPr>
          <w:b/>
          <w:lang w:val="fr-CA"/>
        </w:rPr>
        <w:t>Répertorié</w:t>
      </w:r>
      <w:r w:rsidR="00C67CA5" w:rsidRPr="001C32F1">
        <w:rPr>
          <w:b/>
          <w:lang w:val="fr-CA"/>
        </w:rPr>
        <w:t> </w:t>
      </w:r>
      <w:r w:rsidR="00426659" w:rsidRPr="001C32F1">
        <w:rPr>
          <w:b/>
          <w:lang w:val="fr-CA"/>
        </w:rPr>
        <w:t>:</w:t>
      </w:r>
      <w:r w:rsidR="00C67CA5" w:rsidRPr="001C32F1">
        <w:rPr>
          <w:b/>
          <w:lang w:val="fr-CA"/>
        </w:rPr>
        <w:t> </w:t>
      </w:r>
      <w:r w:rsidRPr="001C32F1">
        <w:rPr>
          <w:rStyle w:val="SCCAppellantForIndexChar"/>
          <w:lang w:val="fr-CA"/>
        </w:rPr>
        <w:t>Agence canadienne d</w:t>
      </w:r>
      <w:r w:rsidR="009D7F3C" w:rsidRPr="001C32F1">
        <w:rPr>
          <w:rStyle w:val="SCCAppellantForIndexChar"/>
          <w:lang w:val="fr-CA"/>
        </w:rPr>
        <w:t>’</w:t>
      </w:r>
      <w:r w:rsidRPr="001C32F1">
        <w:rPr>
          <w:rStyle w:val="SCCAppellantForIndexChar"/>
          <w:lang w:val="fr-CA"/>
        </w:rPr>
        <w:t>in</w:t>
      </w:r>
      <w:r w:rsidR="00DE6E1F" w:rsidRPr="001C32F1">
        <w:rPr>
          <w:rStyle w:val="SCCAppellantForIndexChar"/>
          <w:lang w:val="fr-CA"/>
        </w:rPr>
        <w:t>spection des aliments</w:t>
      </w:r>
      <w:r w:rsidR="00426659" w:rsidRPr="001C32F1">
        <w:rPr>
          <w:b/>
          <w:lang w:val="fr-CA"/>
        </w:rPr>
        <w:t xml:space="preserve"> </w:t>
      </w:r>
      <w:r w:rsidR="00645057" w:rsidRPr="001C32F1">
        <w:rPr>
          <w:b/>
          <w:i/>
          <w:lang w:val="fr-CA"/>
        </w:rPr>
        <w:t>c</w:t>
      </w:r>
      <w:r w:rsidR="00426659" w:rsidRPr="001C32F1">
        <w:rPr>
          <w:b/>
          <w:i/>
          <w:lang w:val="fr-CA"/>
        </w:rPr>
        <w:t>.</w:t>
      </w:r>
      <w:r w:rsidR="00426659" w:rsidRPr="001C32F1">
        <w:rPr>
          <w:b/>
          <w:lang w:val="fr-CA"/>
        </w:rPr>
        <w:t xml:space="preserve"> </w:t>
      </w:r>
      <w:r w:rsidRPr="001C32F1">
        <w:rPr>
          <w:rStyle w:val="SCCRespondentForIndexChar"/>
          <w:lang w:val="fr-CA"/>
        </w:rPr>
        <w:t>Institut profession</w:t>
      </w:r>
      <w:r w:rsidR="00DE6E1F" w:rsidRPr="001C32F1">
        <w:rPr>
          <w:rStyle w:val="SCCRespondentForIndexChar"/>
          <w:lang w:val="fr-CA"/>
        </w:rPr>
        <w:t>nel de la fonction publique du Canada</w:t>
      </w:r>
    </w:p>
    <w:p w:rsidR="00426659" w:rsidRPr="001C32F1" w:rsidRDefault="00F853FB" w:rsidP="000B0ABA">
      <w:pPr>
        <w:pStyle w:val="SCCSystemYear"/>
        <w:spacing w:line="480" w:lineRule="auto"/>
        <w:jc w:val="both"/>
        <w:rPr>
          <w:lang w:val="fr-CA"/>
        </w:rPr>
      </w:pPr>
      <w:r w:rsidRPr="001C32F1">
        <w:rPr>
          <w:lang w:val="fr-CA"/>
        </w:rPr>
        <w:t>2010</w:t>
      </w:r>
      <w:r w:rsidR="00423527" w:rsidRPr="001C32F1">
        <w:rPr>
          <w:lang w:val="fr-CA"/>
        </w:rPr>
        <w:t> </w:t>
      </w:r>
      <w:r w:rsidR="00C71F58" w:rsidRPr="001C32F1">
        <w:rPr>
          <w:lang w:val="fr-CA"/>
        </w:rPr>
        <w:t>C</w:t>
      </w:r>
      <w:r w:rsidR="00426659" w:rsidRPr="001C32F1">
        <w:rPr>
          <w:lang w:val="fr-CA"/>
        </w:rPr>
        <w:t>SC </w:t>
      </w:r>
      <w:r w:rsidR="00173D22" w:rsidRPr="001C32F1">
        <w:rPr>
          <w:lang w:val="fr-CA"/>
        </w:rPr>
        <w:t>66</w:t>
      </w:r>
    </w:p>
    <w:p w:rsidR="00426659" w:rsidRPr="001C32F1" w:rsidRDefault="00426659" w:rsidP="000B0ABA">
      <w:pPr>
        <w:spacing w:line="480" w:lineRule="auto"/>
        <w:jc w:val="both"/>
        <w:rPr>
          <w:lang w:val="fr-CA"/>
        </w:rPr>
      </w:pPr>
    </w:p>
    <w:p w:rsidR="008322BD" w:rsidRPr="001C32F1" w:rsidRDefault="009B57B3" w:rsidP="000B0ABA">
      <w:pPr>
        <w:spacing w:line="480" w:lineRule="auto"/>
        <w:jc w:val="both"/>
        <w:rPr>
          <w:lang w:val="fr-CA"/>
        </w:rPr>
      </w:pPr>
      <w:r w:rsidRPr="001C32F1">
        <w:rPr>
          <w:lang w:val="fr-CA"/>
        </w:rPr>
        <w:t>N</w:t>
      </w:r>
      <w:r w:rsidRPr="001C32F1">
        <w:rPr>
          <w:vertAlign w:val="superscript"/>
          <w:lang w:val="fr-CA"/>
        </w:rPr>
        <w:t>o</w:t>
      </w:r>
      <w:r w:rsidR="0043088E" w:rsidRPr="001C32F1">
        <w:rPr>
          <w:lang w:val="fr-CA"/>
        </w:rPr>
        <w:t xml:space="preserve"> du greffe</w:t>
      </w:r>
      <w:r w:rsidR="00C67CA5" w:rsidRPr="001C32F1">
        <w:rPr>
          <w:lang w:val="fr-CA"/>
        </w:rPr>
        <w:t> </w:t>
      </w:r>
      <w:r w:rsidRPr="001C32F1">
        <w:rPr>
          <w:lang w:val="fr-CA"/>
        </w:rPr>
        <w:t>:</w:t>
      </w:r>
      <w:r w:rsidR="00E01DC2" w:rsidRPr="001C32F1">
        <w:rPr>
          <w:lang w:val="fr-CA"/>
        </w:rPr>
        <w:t xml:space="preserve"> </w:t>
      </w:r>
      <w:r w:rsidRPr="001C32F1">
        <w:rPr>
          <w:lang w:val="fr-CA"/>
        </w:rPr>
        <w:t>32880.</w:t>
      </w:r>
    </w:p>
    <w:p w:rsidR="00E97830" w:rsidRPr="001C32F1" w:rsidRDefault="00E97830" w:rsidP="000B0ABA">
      <w:pPr>
        <w:spacing w:line="480" w:lineRule="auto"/>
        <w:jc w:val="both"/>
        <w:rPr>
          <w:lang w:val="fr-CA"/>
        </w:rPr>
      </w:pPr>
    </w:p>
    <w:p w:rsidR="008322BD" w:rsidRPr="001C32F1" w:rsidRDefault="000B0ABA" w:rsidP="000B0ABA">
      <w:pPr>
        <w:spacing w:line="480" w:lineRule="auto"/>
        <w:jc w:val="both"/>
        <w:rPr>
          <w:lang w:val="fr-CA"/>
        </w:rPr>
      </w:pPr>
      <w:r w:rsidRPr="001C32F1">
        <w:rPr>
          <w:lang w:val="fr-CA"/>
        </w:rPr>
        <w:t>2010 : 20</w:t>
      </w:r>
      <w:r w:rsidR="008954DC">
        <w:rPr>
          <w:lang w:val="fr-CA"/>
        </w:rPr>
        <w:t>, 21</w:t>
      </w:r>
      <w:r w:rsidRPr="001C32F1">
        <w:rPr>
          <w:lang w:val="fr-CA"/>
        </w:rPr>
        <w:t> </w:t>
      </w:r>
      <w:r w:rsidR="00F853FB" w:rsidRPr="001C32F1">
        <w:rPr>
          <w:lang w:val="fr-CA"/>
        </w:rPr>
        <w:t>janvier</w:t>
      </w:r>
      <w:r w:rsidRPr="001C32F1">
        <w:rPr>
          <w:lang w:val="fr-CA"/>
        </w:rPr>
        <w:t>; 2010 : </w:t>
      </w:r>
      <w:r w:rsidR="003B5C82" w:rsidRPr="001C32F1">
        <w:rPr>
          <w:lang w:val="fr-CA"/>
        </w:rPr>
        <w:t>23</w:t>
      </w:r>
      <w:r w:rsidRPr="001C32F1">
        <w:rPr>
          <w:lang w:val="fr-CA"/>
        </w:rPr>
        <w:t> </w:t>
      </w:r>
      <w:r w:rsidR="003B5C82" w:rsidRPr="001C32F1">
        <w:rPr>
          <w:lang w:val="fr-CA"/>
        </w:rPr>
        <w:t>d</w:t>
      </w:r>
      <w:r w:rsidR="002C6CDE" w:rsidRPr="001C32F1">
        <w:rPr>
          <w:lang w:val="fr-CA"/>
        </w:rPr>
        <w:t>écembre</w:t>
      </w:r>
      <w:r w:rsidR="00DE6E1F" w:rsidRPr="001C32F1">
        <w:rPr>
          <w:lang w:val="fr-CA"/>
        </w:rPr>
        <w:t>.</w:t>
      </w:r>
    </w:p>
    <w:p w:rsidR="00E97830" w:rsidRPr="001C32F1" w:rsidRDefault="00E97830" w:rsidP="000B0ABA">
      <w:pPr>
        <w:spacing w:line="480" w:lineRule="auto"/>
        <w:jc w:val="both"/>
        <w:rPr>
          <w:lang w:val="fr-CA"/>
        </w:rPr>
      </w:pPr>
    </w:p>
    <w:p w:rsidR="008322BD" w:rsidRPr="001C32F1" w:rsidRDefault="009B57B3" w:rsidP="00423527">
      <w:pPr>
        <w:spacing w:after="720"/>
        <w:jc w:val="both"/>
        <w:rPr>
          <w:lang w:val="fr-CA"/>
        </w:rPr>
      </w:pPr>
      <w:r w:rsidRPr="001C32F1">
        <w:rPr>
          <w:lang w:val="fr-CA"/>
        </w:rPr>
        <w:lastRenderedPageBreak/>
        <w:t>Pr</w:t>
      </w:r>
      <w:r w:rsidR="0043088E" w:rsidRPr="001C32F1">
        <w:rPr>
          <w:lang w:val="fr-CA"/>
        </w:rPr>
        <w:t>é</w:t>
      </w:r>
      <w:r w:rsidRPr="001C32F1">
        <w:rPr>
          <w:lang w:val="fr-CA"/>
        </w:rPr>
        <w:t>sent</w:t>
      </w:r>
      <w:r w:rsidR="008A6558" w:rsidRPr="001C32F1">
        <w:rPr>
          <w:lang w:val="fr-CA"/>
        </w:rPr>
        <w:t>s</w:t>
      </w:r>
      <w:r w:rsidR="00C67CA5" w:rsidRPr="001C32F1">
        <w:rPr>
          <w:lang w:val="fr-CA"/>
        </w:rPr>
        <w:t> </w:t>
      </w:r>
      <w:r w:rsidRPr="001C32F1">
        <w:rPr>
          <w:lang w:val="fr-CA"/>
        </w:rPr>
        <w:t>:</w:t>
      </w:r>
      <w:r w:rsidR="00423527" w:rsidRPr="001C32F1">
        <w:rPr>
          <w:lang w:val="fr-CA"/>
        </w:rPr>
        <w:t> </w:t>
      </w:r>
      <w:r w:rsidR="003B5C82" w:rsidRPr="001C32F1">
        <w:rPr>
          <w:lang w:val="fr-CA"/>
        </w:rPr>
        <w:t xml:space="preserve">Les juges </w:t>
      </w:r>
      <w:proofErr w:type="spellStart"/>
      <w:r w:rsidRPr="001C32F1">
        <w:rPr>
          <w:lang w:val="fr-CA"/>
        </w:rPr>
        <w:t>Binnie</w:t>
      </w:r>
      <w:proofErr w:type="spellEnd"/>
      <w:r w:rsidRPr="001C32F1">
        <w:rPr>
          <w:lang w:val="fr-CA"/>
        </w:rPr>
        <w:t xml:space="preserve">, </w:t>
      </w:r>
      <w:proofErr w:type="spellStart"/>
      <w:r w:rsidRPr="001C32F1">
        <w:rPr>
          <w:lang w:val="fr-CA"/>
        </w:rPr>
        <w:t>LeBel</w:t>
      </w:r>
      <w:proofErr w:type="spellEnd"/>
      <w:r w:rsidRPr="001C32F1">
        <w:rPr>
          <w:lang w:val="fr-CA"/>
        </w:rPr>
        <w:t xml:space="preserve">, Deschamps, Abella, Charron, </w:t>
      </w:r>
      <w:proofErr w:type="spellStart"/>
      <w:r w:rsidRPr="001C32F1">
        <w:rPr>
          <w:lang w:val="fr-CA"/>
        </w:rPr>
        <w:t>Rothstein</w:t>
      </w:r>
      <w:proofErr w:type="spellEnd"/>
      <w:r w:rsidRPr="001C32F1">
        <w:rPr>
          <w:lang w:val="fr-CA"/>
        </w:rPr>
        <w:t xml:space="preserve"> et Cromwell.</w:t>
      </w:r>
    </w:p>
    <w:p w:rsidR="008322BD" w:rsidRPr="001C32F1" w:rsidRDefault="00AC7437" w:rsidP="000B0ABA">
      <w:pPr>
        <w:pStyle w:val="SCCLowerCourtNameLowercase"/>
        <w:rPr>
          <w:lang w:val="fr-CA"/>
        </w:rPr>
      </w:pPr>
      <w:r w:rsidRPr="001C32F1">
        <w:rPr>
          <w:lang w:val="fr-CA"/>
        </w:rPr>
        <w:t>e</w:t>
      </w:r>
      <w:r w:rsidR="00855307" w:rsidRPr="001C32F1">
        <w:rPr>
          <w:lang w:val="fr-CA"/>
        </w:rPr>
        <w:t>n</w:t>
      </w:r>
      <w:r w:rsidR="00224FC0" w:rsidRPr="001C32F1">
        <w:rPr>
          <w:lang w:val="fr-CA"/>
        </w:rPr>
        <w:t xml:space="preserve"> </w:t>
      </w:r>
      <w:r w:rsidR="00855307" w:rsidRPr="001C32F1">
        <w:rPr>
          <w:lang w:val="fr-CA"/>
        </w:rPr>
        <w:t>appel</w:t>
      </w:r>
      <w:r w:rsidR="00224FC0" w:rsidRPr="001C32F1">
        <w:rPr>
          <w:lang w:val="fr-CA"/>
        </w:rPr>
        <w:t xml:space="preserve"> </w:t>
      </w:r>
      <w:r w:rsidR="00855307" w:rsidRPr="001C32F1">
        <w:rPr>
          <w:lang w:val="fr-CA"/>
        </w:rPr>
        <w:t>de</w:t>
      </w:r>
      <w:r w:rsidR="0043088E" w:rsidRPr="001C32F1">
        <w:rPr>
          <w:lang w:val="fr-CA"/>
        </w:rPr>
        <w:t xml:space="preserve"> </w:t>
      </w:r>
      <w:r w:rsidR="00855307" w:rsidRPr="001C32F1">
        <w:rPr>
          <w:lang w:val="fr-CA"/>
        </w:rPr>
        <w:t>la</w:t>
      </w:r>
      <w:r w:rsidR="00224FC0" w:rsidRPr="001C32F1">
        <w:rPr>
          <w:lang w:val="fr-CA"/>
        </w:rPr>
        <w:t xml:space="preserve"> </w:t>
      </w:r>
      <w:r w:rsidR="009B57B3" w:rsidRPr="001C32F1">
        <w:rPr>
          <w:lang w:val="fr-CA"/>
        </w:rPr>
        <w:t xml:space="preserve">cour d’appel du </w:t>
      </w:r>
      <w:proofErr w:type="spellStart"/>
      <w:r w:rsidR="009B57B3" w:rsidRPr="001C32F1">
        <w:rPr>
          <w:lang w:val="fr-CA"/>
        </w:rPr>
        <w:t>québec</w:t>
      </w:r>
      <w:proofErr w:type="spellEnd"/>
      <w:r w:rsidR="009B57B3" w:rsidRPr="001C32F1">
        <w:rPr>
          <w:lang w:val="fr-CA"/>
        </w:rPr>
        <w:t xml:space="preserve"> </w:t>
      </w:r>
    </w:p>
    <w:p w:rsidR="003A4C70" w:rsidRPr="001C32F1" w:rsidRDefault="003A4C70" w:rsidP="00D74F2E">
      <w:pPr>
        <w:pStyle w:val="SCCNormalDoubleSpacing"/>
        <w:rPr>
          <w:lang w:val="fr-CA"/>
        </w:rPr>
      </w:pPr>
    </w:p>
    <w:p w:rsidR="002679BC" w:rsidRPr="001C32F1" w:rsidRDefault="009B57B3" w:rsidP="000B0ABA">
      <w:pPr>
        <w:pStyle w:val="SCCNormalDoubleSpacing"/>
        <w:tabs>
          <w:tab w:val="left" w:pos="1170"/>
        </w:tabs>
        <w:rPr>
          <w:i/>
          <w:lang w:val="fr-CA"/>
        </w:rPr>
      </w:pPr>
      <w:r w:rsidRPr="001C32F1">
        <w:rPr>
          <w:lang w:val="fr-CA"/>
        </w:rPr>
        <w:tab/>
      </w:r>
      <w:r w:rsidR="003B5C82" w:rsidRPr="001C32F1">
        <w:rPr>
          <w:i/>
          <w:lang w:val="fr-CA"/>
        </w:rPr>
        <w:t>Tribunaux</w:t>
      </w:r>
      <w:r w:rsidR="002679BC" w:rsidRPr="001C32F1">
        <w:rPr>
          <w:i/>
          <w:lang w:val="fr-CA"/>
        </w:rPr>
        <w:t xml:space="preserve"> — </w:t>
      </w:r>
      <w:r w:rsidR="003B5C82" w:rsidRPr="001C32F1">
        <w:rPr>
          <w:i/>
          <w:lang w:val="fr-CA"/>
        </w:rPr>
        <w:t>Compétence</w:t>
      </w:r>
      <w:r w:rsidR="002679BC" w:rsidRPr="001C32F1">
        <w:rPr>
          <w:i/>
          <w:lang w:val="fr-CA"/>
        </w:rPr>
        <w:t xml:space="preserve"> — </w:t>
      </w:r>
      <w:r w:rsidR="003B5C82" w:rsidRPr="001C32F1">
        <w:rPr>
          <w:i/>
          <w:lang w:val="fr-CA"/>
        </w:rPr>
        <w:t>C</w:t>
      </w:r>
      <w:r w:rsidR="002679BC" w:rsidRPr="001C32F1">
        <w:rPr>
          <w:i/>
          <w:lang w:val="fr-CA"/>
        </w:rPr>
        <w:t>ours</w:t>
      </w:r>
      <w:r w:rsidR="003B5C82" w:rsidRPr="001C32F1">
        <w:rPr>
          <w:i/>
          <w:lang w:val="fr-CA"/>
        </w:rPr>
        <w:t xml:space="preserve"> supérieures provinciales</w:t>
      </w:r>
      <w:r w:rsidR="002679BC" w:rsidRPr="001C32F1">
        <w:rPr>
          <w:i/>
          <w:lang w:val="fr-CA"/>
        </w:rPr>
        <w:t xml:space="preserve"> — Action </w:t>
      </w:r>
      <w:r w:rsidR="00AB008E" w:rsidRPr="001C32F1">
        <w:rPr>
          <w:i/>
          <w:lang w:val="fr-CA"/>
        </w:rPr>
        <w:t>en responsabilité civile intentée contre des préposés de l’État et un syndicat devant la Cour supérieure du Québec</w:t>
      </w:r>
      <w:r w:rsidR="002679BC" w:rsidRPr="001C32F1">
        <w:rPr>
          <w:i/>
          <w:lang w:val="fr-CA"/>
        </w:rPr>
        <w:t xml:space="preserve"> — </w:t>
      </w:r>
      <w:r w:rsidR="00AB008E" w:rsidRPr="001C32F1">
        <w:rPr>
          <w:i/>
          <w:lang w:val="fr-CA"/>
        </w:rPr>
        <w:t>Exercice par les défendeurs d</w:t>
      </w:r>
      <w:r w:rsidR="009862A9" w:rsidRPr="001C32F1">
        <w:rPr>
          <w:i/>
          <w:lang w:val="fr-CA"/>
        </w:rPr>
        <w:t>e</w:t>
      </w:r>
      <w:r w:rsidR="00AB008E" w:rsidRPr="001C32F1">
        <w:rPr>
          <w:i/>
          <w:lang w:val="fr-CA"/>
        </w:rPr>
        <w:t xml:space="preserve"> recours en garantie contre une agence fédéral</w:t>
      </w:r>
      <w:r w:rsidR="0043246D" w:rsidRPr="001C32F1">
        <w:rPr>
          <w:i/>
          <w:lang w:val="fr-CA"/>
        </w:rPr>
        <w:t>e</w:t>
      </w:r>
      <w:r w:rsidR="002679BC" w:rsidRPr="001C32F1">
        <w:rPr>
          <w:i/>
          <w:lang w:val="fr-CA"/>
        </w:rPr>
        <w:t xml:space="preserve"> — </w:t>
      </w:r>
      <w:r w:rsidR="00AB008E" w:rsidRPr="001C32F1">
        <w:rPr>
          <w:i/>
          <w:lang w:val="fr-CA"/>
        </w:rPr>
        <w:t xml:space="preserve">Les défendeurs </w:t>
      </w:r>
      <w:r w:rsidR="00E6015A" w:rsidRPr="001C32F1">
        <w:rPr>
          <w:i/>
          <w:lang w:val="fr-CA"/>
        </w:rPr>
        <w:t>peuvent</w:t>
      </w:r>
      <w:r w:rsidR="00D530B4">
        <w:rPr>
          <w:i/>
          <w:lang w:val="fr-CA"/>
        </w:rPr>
        <w:t>-</w:t>
      </w:r>
      <w:r w:rsidR="00E6015A" w:rsidRPr="001C32F1">
        <w:rPr>
          <w:i/>
          <w:lang w:val="fr-CA"/>
        </w:rPr>
        <w:t xml:space="preserve">ils exercer un recours en garantie devant la Cour supérieure du Québec sans </w:t>
      </w:r>
      <w:r w:rsidR="0043246D" w:rsidRPr="001C32F1">
        <w:rPr>
          <w:i/>
          <w:lang w:val="fr-CA"/>
        </w:rPr>
        <w:t xml:space="preserve">procéder d’abord par voie de contrôle judiciaire en </w:t>
      </w:r>
      <w:r w:rsidR="00E6015A" w:rsidRPr="001C32F1">
        <w:rPr>
          <w:i/>
          <w:lang w:val="fr-CA"/>
        </w:rPr>
        <w:t>Cour fédérale</w:t>
      </w:r>
      <w:r w:rsidR="0043246D" w:rsidRPr="001C32F1">
        <w:rPr>
          <w:i/>
          <w:lang w:val="fr-CA"/>
        </w:rPr>
        <w:t>?</w:t>
      </w:r>
    </w:p>
    <w:p w:rsidR="002679BC" w:rsidRPr="001C32F1" w:rsidRDefault="002679BC" w:rsidP="000B0ABA">
      <w:pPr>
        <w:pStyle w:val="SCCNormalDoubleSpacing"/>
        <w:tabs>
          <w:tab w:val="left" w:pos="1170"/>
        </w:tabs>
        <w:rPr>
          <w:i/>
          <w:lang w:val="fr-CA"/>
        </w:rPr>
      </w:pPr>
    </w:p>
    <w:p w:rsidR="008322BD" w:rsidRPr="0089439F" w:rsidRDefault="002679BC" w:rsidP="000B0ABA">
      <w:pPr>
        <w:pStyle w:val="SCCNormalDoubleSpacing"/>
        <w:tabs>
          <w:tab w:val="left" w:pos="1170"/>
        </w:tabs>
        <w:rPr>
          <w:lang w:val="fr-FR"/>
        </w:rPr>
      </w:pPr>
      <w:r w:rsidRPr="001C32F1">
        <w:rPr>
          <w:i/>
          <w:lang w:val="fr-CA"/>
        </w:rPr>
        <w:tab/>
      </w:r>
      <w:r w:rsidR="006D5762" w:rsidRPr="001C32F1">
        <w:rPr>
          <w:i/>
          <w:lang w:val="fr-CA"/>
        </w:rPr>
        <w:t>Droit de la Couronne</w:t>
      </w:r>
      <w:r w:rsidRPr="001C32F1">
        <w:rPr>
          <w:i/>
          <w:lang w:val="fr-CA"/>
        </w:rPr>
        <w:t xml:space="preserve"> — </w:t>
      </w:r>
      <w:r w:rsidR="006D5762" w:rsidRPr="001C32F1">
        <w:rPr>
          <w:i/>
          <w:lang w:val="fr-CA"/>
        </w:rPr>
        <w:t>Responsabilité de la Couronne</w:t>
      </w:r>
      <w:r w:rsidRPr="001C32F1">
        <w:rPr>
          <w:i/>
          <w:lang w:val="fr-CA"/>
        </w:rPr>
        <w:t xml:space="preserve"> — </w:t>
      </w:r>
      <w:r w:rsidR="006D5762" w:rsidRPr="001C32F1">
        <w:rPr>
          <w:i/>
          <w:lang w:val="fr-CA"/>
        </w:rPr>
        <w:t>Responsabilité civile</w:t>
      </w:r>
      <w:r w:rsidRPr="001C32F1">
        <w:rPr>
          <w:i/>
          <w:lang w:val="fr-CA"/>
        </w:rPr>
        <w:t xml:space="preserve"> — Action</w:t>
      </w:r>
      <w:r w:rsidR="006D5762" w:rsidRPr="001C32F1">
        <w:rPr>
          <w:i/>
          <w:lang w:val="fr-CA"/>
        </w:rPr>
        <w:t xml:space="preserve"> en responsabilité civile</w:t>
      </w:r>
      <w:r w:rsidR="00FA5B06" w:rsidRPr="001C32F1">
        <w:rPr>
          <w:i/>
          <w:lang w:val="fr-CA"/>
        </w:rPr>
        <w:t xml:space="preserve"> intentée contre des préposés de l’État et un syndicat devant la Cour supérieure du Québec</w:t>
      </w:r>
      <w:r w:rsidRPr="001C32F1">
        <w:rPr>
          <w:i/>
          <w:lang w:val="fr-CA"/>
        </w:rPr>
        <w:t xml:space="preserve"> — </w:t>
      </w:r>
      <w:r w:rsidR="00FA5B06" w:rsidRPr="001C32F1">
        <w:rPr>
          <w:i/>
          <w:lang w:val="fr-CA"/>
        </w:rPr>
        <w:t>Exercice par les défendeurs d</w:t>
      </w:r>
      <w:r w:rsidR="009862A9" w:rsidRPr="001C32F1">
        <w:rPr>
          <w:i/>
          <w:lang w:val="fr-CA"/>
        </w:rPr>
        <w:t>e</w:t>
      </w:r>
      <w:r w:rsidR="00FA5B06" w:rsidRPr="001C32F1">
        <w:rPr>
          <w:i/>
          <w:lang w:val="fr-CA"/>
        </w:rPr>
        <w:t xml:space="preserve"> recours en garantie contre une agence fédérale </w:t>
      </w:r>
      <w:r w:rsidR="00AB3E30" w:rsidRPr="001C32F1">
        <w:rPr>
          <w:i/>
          <w:lang w:val="fr-CA"/>
        </w:rPr>
        <w:t>au motif que</w:t>
      </w:r>
      <w:r w:rsidR="00861889" w:rsidRPr="001C32F1">
        <w:rPr>
          <w:i/>
          <w:lang w:val="fr-CA"/>
        </w:rPr>
        <w:t xml:space="preserve"> le préjudice découlerait de</w:t>
      </w:r>
      <w:r w:rsidR="00AB3E30" w:rsidRPr="001C32F1">
        <w:rPr>
          <w:i/>
          <w:lang w:val="fr-CA"/>
        </w:rPr>
        <w:t xml:space="preserve"> la décision de l’agence </w:t>
      </w:r>
      <w:r w:rsidRPr="0089439F">
        <w:rPr>
          <w:i/>
          <w:lang w:val="fr-FR"/>
        </w:rPr>
        <w:t xml:space="preserve">— </w:t>
      </w:r>
      <w:r w:rsidR="00224278" w:rsidRPr="0089439F">
        <w:rPr>
          <w:i/>
          <w:lang w:val="fr-FR"/>
        </w:rPr>
        <w:t xml:space="preserve">La décision </w:t>
      </w:r>
      <w:r w:rsidR="00393E7B" w:rsidRPr="0089439F">
        <w:rPr>
          <w:i/>
          <w:lang w:val="fr-FR"/>
        </w:rPr>
        <w:t xml:space="preserve">légale et valide </w:t>
      </w:r>
      <w:r w:rsidR="00224278" w:rsidRPr="0089439F">
        <w:rPr>
          <w:i/>
          <w:lang w:val="fr-FR"/>
        </w:rPr>
        <w:t>d’une agence fédérale peut</w:t>
      </w:r>
      <w:r w:rsidR="00D530B4">
        <w:rPr>
          <w:i/>
          <w:lang w:val="fr-FR"/>
        </w:rPr>
        <w:t>-</w:t>
      </w:r>
      <w:r w:rsidR="00224278" w:rsidRPr="0089439F">
        <w:rPr>
          <w:i/>
          <w:lang w:val="fr-FR"/>
        </w:rPr>
        <w:t>elle</w:t>
      </w:r>
      <w:r w:rsidR="00393E7B" w:rsidRPr="0089439F">
        <w:rPr>
          <w:i/>
          <w:lang w:val="fr-FR"/>
        </w:rPr>
        <w:t xml:space="preserve"> néanmoins</w:t>
      </w:r>
      <w:r w:rsidR="00224278" w:rsidRPr="0089439F">
        <w:rPr>
          <w:i/>
          <w:lang w:val="fr-FR"/>
        </w:rPr>
        <w:t xml:space="preserve"> constituer une faute au Québec?</w:t>
      </w:r>
      <w:r w:rsidRPr="0089439F">
        <w:rPr>
          <w:i/>
          <w:lang w:val="fr-FR"/>
        </w:rPr>
        <w:t xml:space="preserve"> — </w:t>
      </w:r>
      <w:r w:rsidR="00224278" w:rsidRPr="0089439F">
        <w:rPr>
          <w:i/>
          <w:lang w:val="fr-FR"/>
        </w:rPr>
        <w:t xml:space="preserve">Loi sur la responsabilité civile </w:t>
      </w:r>
      <w:r w:rsidR="00F043CB" w:rsidRPr="0089439F">
        <w:rPr>
          <w:i/>
          <w:lang w:val="fr-FR"/>
        </w:rPr>
        <w:t>de l’État et le contentieux administratif</w:t>
      </w:r>
      <w:r w:rsidRPr="0089439F">
        <w:rPr>
          <w:i/>
          <w:lang w:val="fr-FR"/>
        </w:rPr>
        <w:t xml:space="preserve">, </w:t>
      </w:r>
      <w:r w:rsidR="00F043CB" w:rsidRPr="0089439F">
        <w:rPr>
          <w:i/>
          <w:lang w:val="fr-FR"/>
        </w:rPr>
        <w:t xml:space="preserve">L.R.C. </w:t>
      </w:r>
      <w:r w:rsidRPr="0089439F">
        <w:rPr>
          <w:i/>
          <w:lang w:val="fr-FR"/>
        </w:rPr>
        <w:t>1985, c</w:t>
      </w:r>
      <w:r w:rsidR="00F043CB" w:rsidRPr="0089439F">
        <w:rPr>
          <w:i/>
          <w:lang w:val="fr-FR"/>
        </w:rPr>
        <w:t>h</w:t>
      </w:r>
      <w:r w:rsidR="00D530B4">
        <w:rPr>
          <w:i/>
          <w:lang w:val="fr-FR"/>
        </w:rPr>
        <w:t xml:space="preserve">. </w:t>
      </w:r>
      <w:r w:rsidRPr="0089439F">
        <w:rPr>
          <w:i/>
          <w:lang w:val="fr-FR"/>
        </w:rPr>
        <w:t>C</w:t>
      </w:r>
      <w:r w:rsidR="009C794D" w:rsidRPr="0089439F">
        <w:rPr>
          <w:i/>
          <w:lang w:val="fr-FR"/>
        </w:rPr>
        <w:noBreakHyphen/>
      </w:r>
      <w:r w:rsidRPr="0089439F">
        <w:rPr>
          <w:i/>
          <w:lang w:val="fr-FR"/>
        </w:rPr>
        <w:t xml:space="preserve">50, </w:t>
      </w:r>
      <w:r w:rsidR="00F043CB" w:rsidRPr="0089439F">
        <w:rPr>
          <w:i/>
          <w:lang w:val="fr-FR"/>
        </w:rPr>
        <w:t>art</w:t>
      </w:r>
      <w:r w:rsidR="00D530B4">
        <w:rPr>
          <w:i/>
          <w:lang w:val="fr-FR"/>
        </w:rPr>
        <w:t xml:space="preserve">. </w:t>
      </w:r>
      <w:r w:rsidRPr="0089439F">
        <w:rPr>
          <w:i/>
          <w:lang w:val="fr-FR"/>
        </w:rPr>
        <w:t>2, 3; C</w:t>
      </w:r>
      <w:r w:rsidR="00F043CB" w:rsidRPr="0089439F">
        <w:rPr>
          <w:i/>
          <w:lang w:val="fr-FR"/>
        </w:rPr>
        <w:t xml:space="preserve">ode civil du </w:t>
      </w:r>
      <w:r w:rsidRPr="0089439F">
        <w:rPr>
          <w:i/>
          <w:lang w:val="fr-FR"/>
        </w:rPr>
        <w:t xml:space="preserve">Québec, </w:t>
      </w:r>
      <w:r w:rsidR="00F043CB" w:rsidRPr="0089439F">
        <w:rPr>
          <w:i/>
          <w:lang w:val="fr-FR"/>
        </w:rPr>
        <w:t xml:space="preserve">L.R.Q., </w:t>
      </w:r>
      <w:r w:rsidRPr="0089439F">
        <w:rPr>
          <w:i/>
          <w:lang w:val="fr-FR"/>
        </w:rPr>
        <w:t>c</w:t>
      </w:r>
      <w:r w:rsidR="009D7F3C" w:rsidRPr="0089439F">
        <w:rPr>
          <w:i/>
          <w:lang w:val="fr-FR"/>
        </w:rPr>
        <w:t>h</w:t>
      </w:r>
      <w:r w:rsidR="00D530B4">
        <w:rPr>
          <w:i/>
          <w:lang w:val="fr-FR"/>
        </w:rPr>
        <w:t xml:space="preserve">. </w:t>
      </w:r>
      <w:r w:rsidR="000B0ABA" w:rsidRPr="0089439F">
        <w:rPr>
          <w:i/>
          <w:lang w:val="fr-FR"/>
        </w:rPr>
        <w:t>C</w:t>
      </w:r>
      <w:r w:rsidR="009C794D" w:rsidRPr="0089439F">
        <w:rPr>
          <w:i/>
          <w:lang w:val="fr-FR"/>
        </w:rPr>
        <w:noBreakHyphen/>
      </w:r>
      <w:r w:rsidR="00D530B4">
        <w:rPr>
          <w:i/>
          <w:lang w:val="fr-FR"/>
        </w:rPr>
        <w:t xml:space="preserve">1991, art. </w:t>
      </w:r>
      <w:r w:rsidRPr="0089439F">
        <w:rPr>
          <w:i/>
          <w:lang w:val="fr-FR"/>
        </w:rPr>
        <w:t>1376, 1457.</w:t>
      </w:r>
      <w:r w:rsidRPr="0089439F">
        <w:rPr>
          <w:lang w:val="fr-FR"/>
        </w:rPr>
        <w:t xml:space="preserve"> </w:t>
      </w:r>
    </w:p>
    <w:p w:rsidR="007834A8" w:rsidRPr="0089439F" w:rsidRDefault="007834A8" w:rsidP="000B0ABA">
      <w:pPr>
        <w:pStyle w:val="SCCNormalDoubleSpacing"/>
        <w:tabs>
          <w:tab w:val="left" w:pos="1170"/>
        </w:tabs>
        <w:rPr>
          <w:lang w:val="fr-FR"/>
        </w:rPr>
      </w:pPr>
    </w:p>
    <w:p w:rsidR="004418AB" w:rsidRPr="0089439F" w:rsidRDefault="009B57B3" w:rsidP="000B0ABA">
      <w:pPr>
        <w:pStyle w:val="SCCNormalDoubleSpacing"/>
        <w:tabs>
          <w:tab w:val="left" w:pos="1170"/>
        </w:tabs>
        <w:rPr>
          <w:lang w:val="fr-FR"/>
        </w:rPr>
      </w:pPr>
      <w:r w:rsidRPr="0089439F">
        <w:rPr>
          <w:lang w:val="fr-FR"/>
        </w:rPr>
        <w:tab/>
      </w:r>
      <w:r w:rsidR="00824DE2" w:rsidRPr="0089439F">
        <w:rPr>
          <w:lang w:val="fr-FR"/>
        </w:rPr>
        <w:t>E</w:t>
      </w:r>
      <w:r w:rsidR="004418AB" w:rsidRPr="0089439F">
        <w:rPr>
          <w:lang w:val="fr-FR"/>
        </w:rPr>
        <w:t xml:space="preserve">n 2001, </w:t>
      </w:r>
      <w:r w:rsidR="00F93ECD" w:rsidRPr="0089439F">
        <w:rPr>
          <w:lang w:val="fr-FR"/>
        </w:rPr>
        <w:t>des vétérinaires</w:t>
      </w:r>
      <w:r w:rsidR="004418AB" w:rsidRPr="0089439F">
        <w:rPr>
          <w:lang w:val="fr-FR"/>
        </w:rPr>
        <w:t xml:space="preserve"> </w:t>
      </w:r>
      <w:r w:rsidR="00F93ECD" w:rsidRPr="0089439F">
        <w:rPr>
          <w:lang w:val="fr-FR"/>
        </w:rPr>
        <w:t>chargés d’inspecter des abattoirs</w:t>
      </w:r>
      <w:r w:rsidR="004418AB" w:rsidRPr="0089439F">
        <w:rPr>
          <w:lang w:val="fr-FR"/>
        </w:rPr>
        <w:t xml:space="preserve"> </w:t>
      </w:r>
      <w:r w:rsidR="00F93ECD" w:rsidRPr="0089439F">
        <w:rPr>
          <w:lang w:val="fr-FR"/>
        </w:rPr>
        <w:t xml:space="preserve">au Québec </w:t>
      </w:r>
      <w:r w:rsidR="00F93ECD" w:rsidRPr="001C32F1">
        <w:rPr>
          <w:lang w:val="fr-CA"/>
        </w:rPr>
        <w:t xml:space="preserve">étaient </w:t>
      </w:r>
      <w:r w:rsidR="00393E7B" w:rsidRPr="001C32F1">
        <w:rPr>
          <w:lang w:val="fr-CA"/>
        </w:rPr>
        <w:t>engagés dans</w:t>
      </w:r>
      <w:r w:rsidR="00F93ECD" w:rsidRPr="001C32F1">
        <w:rPr>
          <w:lang w:val="fr-CA"/>
        </w:rPr>
        <w:t xml:space="preserve"> un conflit de travail avec l’Agence canadienne d’inspection des </w:t>
      </w:r>
      <w:r w:rsidR="00F93ECD" w:rsidRPr="001C32F1">
        <w:rPr>
          <w:lang w:val="fr-CA"/>
        </w:rPr>
        <w:lastRenderedPageBreak/>
        <w:t>aliments (</w:t>
      </w:r>
      <w:r w:rsidR="00420CA3" w:rsidRPr="001C32F1">
        <w:rPr>
          <w:lang w:val="fr-CA"/>
        </w:rPr>
        <w:t>« ACIA </w:t>
      </w:r>
      <w:r w:rsidR="00F93ECD" w:rsidRPr="001C32F1">
        <w:rPr>
          <w:lang w:val="fr-CA"/>
        </w:rPr>
        <w:t xml:space="preserve">»). </w:t>
      </w:r>
      <w:r w:rsidR="000B0ABA" w:rsidRPr="001C32F1">
        <w:rPr>
          <w:lang w:val="fr-CA"/>
        </w:rPr>
        <w:t xml:space="preserve"> </w:t>
      </w:r>
      <w:r w:rsidR="00F93ECD" w:rsidRPr="0089439F">
        <w:rPr>
          <w:lang w:val="fr-FR"/>
        </w:rPr>
        <w:t>Ils ne se sont pas p</w:t>
      </w:r>
      <w:r w:rsidR="00D530B4">
        <w:rPr>
          <w:lang w:val="fr-FR"/>
        </w:rPr>
        <w:t xml:space="preserve">résentés au travail en décembre </w:t>
      </w:r>
      <w:r w:rsidR="004418AB" w:rsidRPr="0089439F">
        <w:rPr>
          <w:lang w:val="fr-FR"/>
        </w:rPr>
        <w:t xml:space="preserve">2001. </w:t>
      </w:r>
      <w:r w:rsidR="00393E7B" w:rsidRPr="0089439F">
        <w:rPr>
          <w:lang w:val="fr-FR"/>
        </w:rPr>
        <w:t xml:space="preserve"> </w:t>
      </w:r>
      <w:r w:rsidR="004E5DEB" w:rsidRPr="0089439F">
        <w:rPr>
          <w:lang w:val="fr-FR"/>
        </w:rPr>
        <w:t>L’ACIA</w:t>
      </w:r>
      <w:r w:rsidR="00861889" w:rsidRPr="0089439F">
        <w:rPr>
          <w:lang w:val="fr-FR"/>
        </w:rPr>
        <w:t xml:space="preserve"> a communiqué par la suite une note de service selon laquelle, puisque les vétérinaires n’étaient pas disponibles pour mener des inspections pendant la période pertinente, la viande et les produits de viande </w:t>
      </w:r>
      <w:r w:rsidR="0083045E" w:rsidRPr="001C32F1">
        <w:rPr>
          <w:lang w:val="fr-CA"/>
        </w:rPr>
        <w:t xml:space="preserve">ne satisfaisaient pas aux exigences du </w:t>
      </w:r>
      <w:r w:rsidR="0083045E" w:rsidRPr="001C32F1">
        <w:rPr>
          <w:i/>
          <w:lang w:val="fr-CA"/>
        </w:rPr>
        <w:t>Règlement</w:t>
      </w:r>
      <w:r w:rsidR="0083045E" w:rsidRPr="001C32F1">
        <w:rPr>
          <w:lang w:val="fr-CA"/>
        </w:rPr>
        <w:t xml:space="preserve"> </w:t>
      </w:r>
      <w:r w:rsidR="0083045E" w:rsidRPr="001C32F1">
        <w:rPr>
          <w:i/>
          <w:lang w:val="fr-CA"/>
        </w:rPr>
        <w:t>de 1990 sur l’inspection des viandes</w:t>
      </w:r>
      <w:r w:rsidR="00393E7B" w:rsidRPr="001C32F1">
        <w:rPr>
          <w:lang w:val="fr-CA"/>
        </w:rPr>
        <w:t xml:space="preserve"> et devaient être détruits ou traités</w:t>
      </w:r>
      <w:r w:rsidR="0083045E" w:rsidRPr="001C32F1">
        <w:rPr>
          <w:lang w:val="fr-CA"/>
        </w:rPr>
        <w:t xml:space="preserve"> comme des matières non comestibles.</w:t>
      </w:r>
      <w:r w:rsidR="004418AB" w:rsidRPr="0089439F">
        <w:rPr>
          <w:lang w:val="fr-FR"/>
        </w:rPr>
        <w:t xml:space="preserve"> </w:t>
      </w:r>
      <w:r w:rsidR="001031A4" w:rsidRPr="0089439F">
        <w:rPr>
          <w:lang w:val="fr-FR"/>
        </w:rPr>
        <w:t xml:space="preserve"> Les</w:t>
      </w:r>
      <w:r w:rsidR="0083045E" w:rsidRPr="0089439F">
        <w:rPr>
          <w:lang w:val="fr-FR"/>
        </w:rPr>
        <w:t xml:space="preserve"> exploitants d’abattoirs </w:t>
      </w:r>
      <w:r w:rsidR="001031A4" w:rsidRPr="0089439F">
        <w:rPr>
          <w:lang w:val="fr-FR"/>
        </w:rPr>
        <w:t xml:space="preserve">n’ont pas présenté de demande de contrôle judiciaire, mais </w:t>
      </w:r>
      <w:r w:rsidR="0083045E" w:rsidRPr="0089439F">
        <w:rPr>
          <w:lang w:val="fr-FR"/>
        </w:rPr>
        <w:t>ont intenté une action</w:t>
      </w:r>
      <w:r w:rsidR="00371778" w:rsidRPr="0089439F">
        <w:rPr>
          <w:lang w:val="fr-FR"/>
        </w:rPr>
        <w:t xml:space="preserve"> </w:t>
      </w:r>
      <w:r w:rsidR="00371778" w:rsidRPr="001C32F1">
        <w:rPr>
          <w:lang w:val="fr-CA"/>
        </w:rPr>
        <w:t>devant la Cour supérieure du Québec en vue d’obtenir des vétérinaires et de leur représentant, l’Institut professionnel de la fonction publique du Canada (« Institut »)</w:t>
      </w:r>
      <w:r w:rsidR="0096190C" w:rsidRPr="001C32F1">
        <w:rPr>
          <w:lang w:val="fr-CA"/>
        </w:rPr>
        <w:t>,</w:t>
      </w:r>
      <w:r w:rsidR="00371778" w:rsidRPr="001C32F1">
        <w:rPr>
          <w:lang w:val="fr-CA"/>
        </w:rPr>
        <w:t xml:space="preserve"> des dommages</w:t>
      </w:r>
      <w:r w:rsidR="008954DC">
        <w:rPr>
          <w:lang w:val="fr-CA"/>
        </w:rPr>
        <w:t>-</w:t>
      </w:r>
      <w:r w:rsidR="00371778" w:rsidRPr="001C32F1">
        <w:rPr>
          <w:lang w:val="fr-CA"/>
        </w:rPr>
        <w:t>intérêts de près de 1,8 million de dollars.</w:t>
      </w:r>
      <w:r w:rsidR="0083045E" w:rsidRPr="0089439F">
        <w:rPr>
          <w:lang w:val="fr-FR"/>
        </w:rPr>
        <w:t xml:space="preserve"> </w:t>
      </w:r>
      <w:r w:rsidR="001031A4" w:rsidRPr="0089439F">
        <w:rPr>
          <w:lang w:val="fr-FR"/>
        </w:rPr>
        <w:t xml:space="preserve"> En</w:t>
      </w:r>
      <w:r w:rsidR="00371778" w:rsidRPr="0089439F">
        <w:rPr>
          <w:lang w:val="fr-FR"/>
        </w:rPr>
        <w:t xml:space="preserve"> défense, l’Institut et les vétérinaires ont soutenu que le préjudice, s’il en est, découlait de la décision et des mesures prises par l’ACIA</w:t>
      </w:r>
      <w:r w:rsidR="004418AB" w:rsidRPr="0089439F">
        <w:rPr>
          <w:lang w:val="fr-FR"/>
        </w:rPr>
        <w:t xml:space="preserve">. </w:t>
      </w:r>
      <w:r w:rsidR="001031A4" w:rsidRPr="0089439F">
        <w:rPr>
          <w:lang w:val="fr-FR"/>
        </w:rPr>
        <w:t xml:space="preserve"> </w:t>
      </w:r>
      <w:r w:rsidR="00371778" w:rsidRPr="0089439F">
        <w:rPr>
          <w:lang w:val="fr-FR"/>
        </w:rPr>
        <w:t xml:space="preserve">Ils ont </w:t>
      </w:r>
      <w:r w:rsidR="003605D4" w:rsidRPr="0089439F">
        <w:rPr>
          <w:lang w:val="fr-FR"/>
        </w:rPr>
        <w:t>exercé chacun un recours en garantie contre l’ACIA</w:t>
      </w:r>
      <w:r w:rsidR="004418AB" w:rsidRPr="0089439F">
        <w:rPr>
          <w:lang w:val="fr-FR"/>
        </w:rPr>
        <w:t xml:space="preserve">, </w:t>
      </w:r>
      <w:r w:rsidR="003605D4" w:rsidRPr="0089439F">
        <w:rPr>
          <w:lang w:val="fr-FR"/>
        </w:rPr>
        <w:t>mais cell</w:t>
      </w:r>
      <w:r w:rsidR="008954DC">
        <w:rPr>
          <w:lang w:val="fr-FR"/>
        </w:rPr>
        <w:t>e-</w:t>
      </w:r>
      <w:r w:rsidR="003605D4" w:rsidRPr="0089439F">
        <w:rPr>
          <w:lang w:val="fr-FR"/>
        </w:rPr>
        <w:t>ci a présenté des requêtes en irrecevabilité des recours en garantie au motif que</w:t>
      </w:r>
      <w:r w:rsidR="004418AB" w:rsidRPr="0089439F">
        <w:rPr>
          <w:lang w:val="fr-FR"/>
        </w:rPr>
        <w:t xml:space="preserve"> </w:t>
      </w:r>
      <w:r w:rsidR="003605D4" w:rsidRPr="0089439F">
        <w:rPr>
          <w:lang w:val="fr-FR"/>
        </w:rPr>
        <w:t>sa note de service était une décision d’un office fédéral</w:t>
      </w:r>
      <w:r w:rsidR="00CC3936" w:rsidRPr="0089439F">
        <w:rPr>
          <w:lang w:val="fr-FR"/>
        </w:rPr>
        <w:t xml:space="preserve"> </w:t>
      </w:r>
      <w:r w:rsidR="00CC3936" w:rsidRPr="001C32F1">
        <w:rPr>
          <w:lang w:val="fr-CA"/>
        </w:rPr>
        <w:t>à l’égard de laquelle la Cour supérieure ne pouvait pas avoir compétence sans que la décision ne soit au préalable annulée par la Cour fédérale à l’issue d’une procédure de contrôle judiciaire.</w:t>
      </w:r>
      <w:r w:rsidR="004418AB" w:rsidRPr="0089439F">
        <w:rPr>
          <w:lang w:val="fr-FR"/>
        </w:rPr>
        <w:t xml:space="preserve"> </w:t>
      </w:r>
      <w:r w:rsidR="001031A4" w:rsidRPr="0089439F">
        <w:rPr>
          <w:lang w:val="fr-FR"/>
        </w:rPr>
        <w:t xml:space="preserve"> </w:t>
      </w:r>
      <w:r w:rsidR="000540F7" w:rsidRPr="0089439F">
        <w:rPr>
          <w:lang w:val="fr-FR"/>
        </w:rPr>
        <w:t>La Cour supérieure a rejeté les requêtes, et la Cour d’appel a confirmé cette décision.</w:t>
      </w:r>
      <w:r w:rsidR="001031A4" w:rsidRPr="0089439F">
        <w:rPr>
          <w:lang w:val="fr-FR"/>
        </w:rPr>
        <w:t xml:space="preserve"> </w:t>
      </w:r>
      <w:r w:rsidR="004418AB" w:rsidRPr="0089439F">
        <w:rPr>
          <w:lang w:val="fr-FR"/>
        </w:rPr>
        <w:t xml:space="preserve"> </w:t>
      </w:r>
      <w:r w:rsidR="004619B4" w:rsidRPr="0089439F">
        <w:rPr>
          <w:lang w:val="fr-FR"/>
        </w:rPr>
        <w:t xml:space="preserve">Selon </w:t>
      </w:r>
      <w:r w:rsidR="001031A4" w:rsidRPr="0089439F">
        <w:rPr>
          <w:lang w:val="fr-FR"/>
        </w:rPr>
        <w:t>celle</w:t>
      </w:r>
      <w:r w:rsidR="008954DC">
        <w:rPr>
          <w:lang w:val="fr-FR"/>
        </w:rPr>
        <w:t>-</w:t>
      </w:r>
      <w:r w:rsidR="001031A4" w:rsidRPr="0089439F">
        <w:rPr>
          <w:lang w:val="fr-FR"/>
        </w:rPr>
        <w:t>ci</w:t>
      </w:r>
      <w:r w:rsidR="004619B4" w:rsidRPr="0089439F">
        <w:rPr>
          <w:lang w:val="fr-FR"/>
        </w:rPr>
        <w:t>, l</w:t>
      </w:r>
      <w:r w:rsidR="004619B4" w:rsidRPr="001C32F1">
        <w:rPr>
          <w:lang w:val="fr-CA"/>
        </w:rPr>
        <w:t>es recours en garantie considérés dans leur ensemble et la nature des conclusions précises recherchées montrent que l’Institut et les vétérinaires voulaient obtenir une réparation sous la forme de dommages</w:t>
      </w:r>
      <w:r w:rsidR="008954DC">
        <w:rPr>
          <w:lang w:val="fr-CA"/>
        </w:rPr>
        <w:t>-</w:t>
      </w:r>
      <w:r w:rsidR="004619B4" w:rsidRPr="001C32F1">
        <w:rPr>
          <w:lang w:val="fr-CA"/>
        </w:rPr>
        <w:t>intérêts et qu’ils ne contestaient pas, du moins à ce stade, la validité de la décision prise par l’A</w:t>
      </w:r>
      <w:r w:rsidR="0096190C" w:rsidRPr="001C32F1">
        <w:rPr>
          <w:lang w:val="fr-CA"/>
        </w:rPr>
        <w:t>CIA</w:t>
      </w:r>
      <w:r w:rsidR="004619B4" w:rsidRPr="001C32F1">
        <w:rPr>
          <w:lang w:val="fr-CA"/>
        </w:rPr>
        <w:t xml:space="preserve">. </w:t>
      </w:r>
      <w:r w:rsidR="001031A4" w:rsidRPr="0089439F">
        <w:rPr>
          <w:lang w:val="fr-FR"/>
        </w:rPr>
        <w:t xml:space="preserve"> </w:t>
      </w:r>
      <w:r w:rsidR="004619B4" w:rsidRPr="0089439F">
        <w:rPr>
          <w:lang w:val="fr-FR"/>
        </w:rPr>
        <w:t xml:space="preserve">Les juridictions inférieures </w:t>
      </w:r>
      <w:r w:rsidR="001031A4" w:rsidRPr="0089439F">
        <w:rPr>
          <w:lang w:val="fr-FR"/>
        </w:rPr>
        <w:t>étaient aussi d’avis</w:t>
      </w:r>
      <w:r w:rsidR="004619B4" w:rsidRPr="0089439F">
        <w:rPr>
          <w:lang w:val="fr-FR"/>
        </w:rPr>
        <w:t xml:space="preserve"> qu’</w:t>
      </w:r>
      <w:r w:rsidR="004619B4" w:rsidRPr="001C32F1">
        <w:rPr>
          <w:lang w:val="fr-CA"/>
        </w:rPr>
        <w:t>une décision de l’ACIA pourrait, même en étant valide, constituer une faute en droit civil québécois.</w:t>
      </w:r>
    </w:p>
    <w:p w:rsidR="004418AB" w:rsidRPr="0089439F" w:rsidRDefault="004418AB" w:rsidP="000B0ABA">
      <w:pPr>
        <w:pStyle w:val="SCCNormalDoubleSpacing"/>
        <w:tabs>
          <w:tab w:val="left" w:pos="1170"/>
        </w:tabs>
        <w:rPr>
          <w:lang w:val="fr-FR"/>
        </w:rPr>
      </w:pPr>
    </w:p>
    <w:p w:rsidR="008322BD" w:rsidRPr="0089439F" w:rsidRDefault="004418AB" w:rsidP="000B0ABA">
      <w:pPr>
        <w:pStyle w:val="SCCNormalDoubleSpacing"/>
        <w:tabs>
          <w:tab w:val="left" w:pos="1170"/>
        </w:tabs>
        <w:rPr>
          <w:lang w:val="fr-FR"/>
        </w:rPr>
      </w:pPr>
      <w:r w:rsidRPr="0089439F">
        <w:rPr>
          <w:lang w:val="fr-FR"/>
        </w:rPr>
        <w:tab/>
      </w:r>
      <w:r w:rsidR="00420CA3" w:rsidRPr="0089439F">
        <w:rPr>
          <w:i/>
          <w:lang w:val="fr-FR"/>
        </w:rPr>
        <w:t>Arrêt </w:t>
      </w:r>
      <w:r w:rsidR="00420CA3" w:rsidRPr="0089439F">
        <w:rPr>
          <w:rStyle w:val="QuoteChar"/>
          <w:i w:val="0"/>
          <w:color w:val="auto"/>
          <w:lang w:val="fr-FR"/>
        </w:rPr>
        <w:t xml:space="preserve">: </w:t>
      </w:r>
      <w:r w:rsidR="00824DE2" w:rsidRPr="0089439F">
        <w:rPr>
          <w:lang w:val="fr-FR"/>
        </w:rPr>
        <w:t xml:space="preserve">Le pourvoi est rejeté. </w:t>
      </w:r>
    </w:p>
    <w:p w:rsidR="007834A8" w:rsidRPr="0089439F" w:rsidRDefault="007834A8" w:rsidP="000B0ABA">
      <w:pPr>
        <w:pStyle w:val="SCCNormalDoubleSpacing"/>
        <w:tabs>
          <w:tab w:val="left" w:pos="1170"/>
        </w:tabs>
        <w:rPr>
          <w:lang w:val="fr-FR"/>
        </w:rPr>
      </w:pPr>
    </w:p>
    <w:p w:rsidR="008322BD" w:rsidRPr="0089439F" w:rsidRDefault="004418F4" w:rsidP="000B0ABA">
      <w:pPr>
        <w:pStyle w:val="SCCNormalDoubleSpacing"/>
        <w:tabs>
          <w:tab w:val="left" w:pos="1170"/>
        </w:tabs>
        <w:ind w:firstLine="720"/>
        <w:rPr>
          <w:lang w:val="fr-FR"/>
        </w:rPr>
      </w:pPr>
      <w:r w:rsidRPr="0089439F">
        <w:rPr>
          <w:lang w:val="fr-FR"/>
        </w:rPr>
        <w:t xml:space="preserve">Pour les motifs exposés dans </w:t>
      </w:r>
      <w:r w:rsidRPr="0089439F">
        <w:rPr>
          <w:i/>
          <w:lang w:val="fr-FR"/>
        </w:rPr>
        <w:t xml:space="preserve">Canada (Procureur général) c. </w:t>
      </w:r>
      <w:proofErr w:type="spellStart"/>
      <w:r w:rsidRPr="0089439F">
        <w:rPr>
          <w:i/>
          <w:lang w:val="fr-FR"/>
        </w:rPr>
        <w:t>TeleZone</w:t>
      </w:r>
      <w:proofErr w:type="spellEnd"/>
      <w:r w:rsidRPr="0089439F">
        <w:rPr>
          <w:i/>
          <w:lang w:val="fr-FR"/>
        </w:rPr>
        <w:t xml:space="preserve"> Inc.</w:t>
      </w:r>
      <w:r w:rsidRPr="0089439F">
        <w:rPr>
          <w:lang w:val="fr-FR"/>
        </w:rPr>
        <w:t xml:space="preserve">, 2010 CSC </w:t>
      </w:r>
      <w:r w:rsidR="00D9604D" w:rsidRPr="0089439F">
        <w:rPr>
          <w:lang w:val="fr-FR"/>
        </w:rPr>
        <w:t>62</w:t>
      </w:r>
      <w:r w:rsidRPr="0089439F">
        <w:rPr>
          <w:lang w:val="fr-FR"/>
        </w:rPr>
        <w:t>,</w:t>
      </w:r>
      <w:r w:rsidR="008954DC">
        <w:rPr>
          <w:lang w:val="fr-FR"/>
        </w:rPr>
        <w:t xml:space="preserve"> [2010] 3 R.C.S. </w:t>
      </w:r>
      <w:r w:rsidR="00442374">
        <w:rPr>
          <w:lang w:val="fr-FR"/>
        </w:rPr>
        <w:t>585</w:t>
      </w:r>
      <w:r w:rsidR="008954DC">
        <w:rPr>
          <w:lang w:val="fr-FR"/>
        </w:rPr>
        <w:t>,</w:t>
      </w:r>
      <w:r w:rsidRPr="0089439F">
        <w:rPr>
          <w:lang w:val="fr-FR"/>
        </w:rPr>
        <w:t xml:space="preserve"> il n’est pas nécessaire </w:t>
      </w:r>
      <w:r w:rsidR="004933CC" w:rsidRPr="0089439F">
        <w:rPr>
          <w:lang w:val="fr-FR"/>
        </w:rPr>
        <w:t>de contester avec succès la décision administrative d’un office fédéral par voie de contrôle judiciaire en Cour fédérale avant d’intenter une action en dommages</w:t>
      </w:r>
      <w:r w:rsidR="008954DC">
        <w:rPr>
          <w:lang w:val="fr-FR"/>
        </w:rPr>
        <w:t>-</w:t>
      </w:r>
      <w:r w:rsidR="004933CC" w:rsidRPr="0089439F">
        <w:rPr>
          <w:lang w:val="fr-FR"/>
        </w:rPr>
        <w:t xml:space="preserve">intérêts à l’égard de cette décision. </w:t>
      </w:r>
      <w:r w:rsidRPr="0089439F">
        <w:rPr>
          <w:lang w:val="fr-FR"/>
        </w:rPr>
        <w:t xml:space="preserve"> </w:t>
      </w:r>
      <w:r w:rsidR="004933CC" w:rsidRPr="001C32F1">
        <w:rPr>
          <w:lang w:val="fr-CA"/>
        </w:rPr>
        <w:t xml:space="preserve">Le principe énoncé dans </w:t>
      </w:r>
      <w:r w:rsidR="004933CC" w:rsidRPr="001C32F1">
        <w:rPr>
          <w:i/>
          <w:iCs/>
          <w:lang w:val="fr-CA"/>
        </w:rPr>
        <w:t>Canada c. Grenier</w:t>
      </w:r>
      <w:r w:rsidR="004933CC" w:rsidRPr="001C32F1">
        <w:rPr>
          <w:lang w:val="fr-CA"/>
        </w:rPr>
        <w:t>, 2005 CAF 348, [2006] 2 R.C.F. 287, selon lequel le seul recours possible par suite d’un préjudice découlant d’un acte d’un organisme administratif fédéral est une demande de contrôle judiciaire présentée à la Cour fédérale, ne devrait plus être considéré comme mettant l’État fédéral à l’abri de toute responsabilité civile pour les dommages causés par ses mandataires.</w:t>
      </w:r>
      <w:r w:rsidR="004933CC" w:rsidRPr="0089439F">
        <w:rPr>
          <w:lang w:val="fr-FR"/>
        </w:rPr>
        <w:t xml:space="preserve"> </w:t>
      </w:r>
      <w:r w:rsidRPr="0089439F">
        <w:rPr>
          <w:lang w:val="fr-FR"/>
        </w:rPr>
        <w:t xml:space="preserve"> </w:t>
      </w:r>
      <w:r w:rsidR="004933CC" w:rsidRPr="0089439F">
        <w:rPr>
          <w:lang w:val="fr-FR"/>
        </w:rPr>
        <w:t xml:space="preserve">Au Québec, vu l’effet combiné de la </w:t>
      </w:r>
      <w:r w:rsidR="004933CC" w:rsidRPr="0089439F">
        <w:rPr>
          <w:i/>
          <w:iCs/>
          <w:lang w:val="fr-FR"/>
        </w:rPr>
        <w:t xml:space="preserve">Loi sur la responsabilité civile de l’État et le contentieux administratif </w:t>
      </w:r>
      <w:r w:rsidR="004933CC" w:rsidRPr="0089439F">
        <w:rPr>
          <w:lang w:val="fr-FR"/>
        </w:rPr>
        <w:t xml:space="preserve">et du </w:t>
      </w:r>
      <w:r w:rsidR="004933CC" w:rsidRPr="0089439F">
        <w:rPr>
          <w:i/>
          <w:iCs/>
          <w:lang w:val="fr-FR"/>
        </w:rPr>
        <w:t>Code civil du Québec</w:t>
      </w:r>
      <w:r w:rsidR="004933CC" w:rsidRPr="0089439F">
        <w:rPr>
          <w:iCs/>
          <w:lang w:val="fr-FR"/>
        </w:rPr>
        <w:t xml:space="preserve">, </w:t>
      </w:r>
      <w:r w:rsidR="004933CC" w:rsidRPr="0089439F">
        <w:rPr>
          <w:lang w:val="fr-FR"/>
        </w:rPr>
        <w:t>l’État fédéral est assujetti aux règles de responsabilité civile établies à l’art</w:t>
      </w:r>
      <w:r w:rsidR="00442374">
        <w:rPr>
          <w:lang w:val="fr-FR"/>
        </w:rPr>
        <w:t>.</w:t>
      </w:r>
      <w:r w:rsidR="004933CC" w:rsidRPr="0089439F">
        <w:rPr>
          <w:lang w:val="fr-FR"/>
        </w:rPr>
        <w:t xml:space="preserve"> 1457 </w:t>
      </w:r>
      <w:proofErr w:type="spellStart"/>
      <w:r w:rsidR="004933CC" w:rsidRPr="0089439F">
        <w:rPr>
          <w:i/>
          <w:iCs/>
          <w:lang w:val="fr-FR"/>
        </w:rPr>
        <w:t>C.</w:t>
      </w:r>
      <w:r w:rsidR="00173D22" w:rsidRPr="0089439F">
        <w:rPr>
          <w:i/>
          <w:iCs/>
          <w:lang w:val="fr-FR"/>
        </w:rPr>
        <w:t>c</w:t>
      </w:r>
      <w:r w:rsidR="004933CC" w:rsidRPr="0089439F">
        <w:rPr>
          <w:i/>
          <w:iCs/>
          <w:lang w:val="fr-FR"/>
        </w:rPr>
        <w:t>.Q</w:t>
      </w:r>
      <w:proofErr w:type="spellEnd"/>
      <w:r w:rsidR="004933CC" w:rsidRPr="0089439F">
        <w:rPr>
          <w:lang w:val="fr-FR"/>
        </w:rPr>
        <w:t xml:space="preserve">. </w:t>
      </w:r>
      <w:r w:rsidRPr="0089439F">
        <w:rPr>
          <w:lang w:val="fr-FR"/>
        </w:rPr>
        <w:t xml:space="preserve"> </w:t>
      </w:r>
      <w:r w:rsidR="00D9604D" w:rsidRPr="001C32F1">
        <w:rPr>
          <w:lang w:val="fr-CA"/>
        </w:rPr>
        <w:t>L’assujettissement de l’État fédéral aux règles de responsabilité civile extracontractuelle du Québec, dans le cas de dommages prétendument causés par la faute de ses mandataires, ne l’empêche pas d’invoquer son immunité</w:t>
      </w:r>
      <w:r w:rsidR="00CB0B50" w:rsidRPr="001C32F1">
        <w:rPr>
          <w:lang w:val="fr-CA"/>
        </w:rPr>
        <w:t xml:space="preserve">, mais il vaut mieux examiner ces arguments lors de l’instruction sur le fond. </w:t>
      </w:r>
      <w:r w:rsidR="00D9604D" w:rsidRPr="001C32F1">
        <w:rPr>
          <w:lang w:val="fr-CA"/>
        </w:rPr>
        <w:t xml:space="preserve"> </w:t>
      </w:r>
      <w:r w:rsidR="00CB0B50" w:rsidRPr="0089439F">
        <w:rPr>
          <w:lang w:val="fr-FR"/>
        </w:rPr>
        <w:t>En l’espèce</w:t>
      </w:r>
      <w:r w:rsidRPr="0089439F">
        <w:rPr>
          <w:lang w:val="fr-FR"/>
        </w:rPr>
        <w:t xml:space="preserve">, </w:t>
      </w:r>
      <w:r w:rsidR="00CB0B50" w:rsidRPr="0089439F">
        <w:rPr>
          <w:lang w:val="fr-FR"/>
        </w:rPr>
        <w:t>la Cour supérieure</w:t>
      </w:r>
      <w:r w:rsidRPr="0089439F">
        <w:rPr>
          <w:lang w:val="fr-FR"/>
        </w:rPr>
        <w:t xml:space="preserve"> </w:t>
      </w:r>
      <w:r w:rsidR="00831D92" w:rsidRPr="0089439F">
        <w:rPr>
          <w:lang w:val="fr-FR"/>
        </w:rPr>
        <w:t xml:space="preserve">a </w:t>
      </w:r>
      <w:r w:rsidR="00831D92" w:rsidRPr="001C32F1">
        <w:rPr>
          <w:lang w:val="fr-CA"/>
        </w:rPr>
        <w:t>compétence sur les parties et sur l’objet du litige.</w:t>
      </w:r>
      <w:r w:rsidR="00D9604D" w:rsidRPr="001C32F1">
        <w:rPr>
          <w:lang w:val="fr-CA"/>
        </w:rPr>
        <w:t xml:space="preserve"> </w:t>
      </w:r>
      <w:r w:rsidRPr="0089439F">
        <w:rPr>
          <w:lang w:val="fr-FR"/>
        </w:rPr>
        <w:t xml:space="preserve"> </w:t>
      </w:r>
      <w:r w:rsidR="00831D92" w:rsidRPr="0089439F">
        <w:rPr>
          <w:lang w:val="fr-FR"/>
        </w:rPr>
        <w:t>O</w:t>
      </w:r>
      <w:r w:rsidR="00831D92" w:rsidRPr="001C32F1">
        <w:rPr>
          <w:lang w:val="fr-CA"/>
        </w:rPr>
        <w:t>n ne pouvait pas considérer les recours en garantie comme une contestation de la légalité et de la validité de la décision de l’A</w:t>
      </w:r>
      <w:r w:rsidR="00266186" w:rsidRPr="001C32F1">
        <w:rPr>
          <w:lang w:val="fr-CA"/>
        </w:rPr>
        <w:t>CIA</w:t>
      </w:r>
      <w:r w:rsidR="00831D92" w:rsidRPr="001C32F1">
        <w:rPr>
          <w:lang w:val="fr-CA"/>
        </w:rPr>
        <w:t xml:space="preserve"> </w:t>
      </w:r>
      <w:r w:rsidR="00D9604D" w:rsidRPr="001C32F1">
        <w:rPr>
          <w:lang w:val="fr-CA"/>
        </w:rPr>
        <w:t xml:space="preserve">engagée </w:t>
      </w:r>
      <w:r w:rsidR="00831D92" w:rsidRPr="001C32F1">
        <w:rPr>
          <w:lang w:val="fr-CA"/>
        </w:rPr>
        <w:t>sous le couvert d’une action en dommages</w:t>
      </w:r>
      <w:r w:rsidR="008954DC">
        <w:rPr>
          <w:lang w:val="fr-CA"/>
        </w:rPr>
        <w:t>-</w:t>
      </w:r>
      <w:r w:rsidR="00831D92" w:rsidRPr="001C32F1">
        <w:rPr>
          <w:lang w:val="fr-CA"/>
        </w:rPr>
        <w:t>intérêts</w:t>
      </w:r>
      <w:r w:rsidRPr="0089439F">
        <w:rPr>
          <w:lang w:val="fr-FR"/>
        </w:rPr>
        <w:t>.</w:t>
      </w:r>
    </w:p>
    <w:p w:rsidR="007834A8" w:rsidRPr="0089439F" w:rsidRDefault="007834A8" w:rsidP="000B0ABA">
      <w:pPr>
        <w:pStyle w:val="SCCNormalDoubleSpacing"/>
        <w:tabs>
          <w:tab w:val="left" w:pos="1170"/>
        </w:tabs>
        <w:rPr>
          <w:lang w:val="fr-FR"/>
        </w:rPr>
      </w:pPr>
    </w:p>
    <w:p w:rsidR="007E1C47" w:rsidRPr="0089439F" w:rsidRDefault="0043088E" w:rsidP="000B0ABA">
      <w:pPr>
        <w:pStyle w:val="SCCNormalDoubleSpacing"/>
        <w:keepNext/>
        <w:tabs>
          <w:tab w:val="left" w:pos="1170"/>
        </w:tabs>
        <w:rPr>
          <w:b/>
          <w:lang w:val="fr-FR"/>
        </w:rPr>
      </w:pPr>
      <w:r w:rsidRPr="0089439F">
        <w:rPr>
          <w:b/>
          <w:lang w:val="fr-FR"/>
        </w:rPr>
        <w:lastRenderedPageBreak/>
        <w:t>Jurisprudence</w:t>
      </w:r>
    </w:p>
    <w:p w:rsidR="007834A8" w:rsidRPr="0089439F" w:rsidRDefault="007834A8" w:rsidP="000B0ABA">
      <w:pPr>
        <w:pStyle w:val="SCCNormalDoubleSpacing"/>
        <w:keepNext/>
        <w:tabs>
          <w:tab w:val="left" w:pos="1170"/>
        </w:tabs>
        <w:rPr>
          <w:lang w:val="fr-FR"/>
        </w:rPr>
      </w:pPr>
    </w:p>
    <w:p w:rsidR="002E6705" w:rsidRPr="001C32F1" w:rsidRDefault="002E6705" w:rsidP="000B0ABA">
      <w:pPr>
        <w:pStyle w:val="SCCNormalDoubleSpacing"/>
        <w:tabs>
          <w:tab w:val="left" w:pos="1170"/>
        </w:tabs>
        <w:rPr>
          <w:b/>
        </w:rPr>
      </w:pPr>
      <w:r w:rsidRPr="0089439F">
        <w:rPr>
          <w:lang w:val="fr-FR"/>
        </w:rPr>
        <w:tab/>
      </w:r>
      <w:r w:rsidR="00173D22" w:rsidRPr="001C32F1">
        <w:rPr>
          <w:b/>
          <w:lang w:val="fr-CA"/>
        </w:rPr>
        <w:t>A</w:t>
      </w:r>
      <w:r w:rsidR="00173D22" w:rsidRPr="001C32F1">
        <w:rPr>
          <w:b/>
          <w:szCs w:val="24"/>
          <w:lang w:val="fr-CA"/>
        </w:rPr>
        <w:t>rrêt appliqué </w:t>
      </w:r>
      <w:r w:rsidR="00173D22" w:rsidRPr="001C32F1">
        <w:rPr>
          <w:b/>
          <w:lang w:val="fr-CA"/>
        </w:rPr>
        <w:t>:</w:t>
      </w:r>
      <w:r w:rsidR="00E01DC2" w:rsidRPr="001C32F1">
        <w:rPr>
          <w:lang w:val="fr-CA"/>
        </w:rPr>
        <w:t xml:space="preserve"> </w:t>
      </w:r>
      <w:r w:rsidR="00173D22" w:rsidRPr="001C32F1">
        <w:rPr>
          <w:i/>
          <w:lang w:val="fr-CA"/>
        </w:rPr>
        <w:t>Canada (Procureur général) c.</w:t>
      </w:r>
      <w:r w:rsidR="00173D22" w:rsidRPr="001C32F1">
        <w:rPr>
          <w:lang w:val="fr-CA"/>
        </w:rPr>
        <w:t xml:space="preserve"> </w:t>
      </w:r>
      <w:r w:rsidR="007048E2" w:rsidRPr="0089439F">
        <w:rPr>
          <w:szCs w:val="24"/>
        </w:rPr>
        <w:fldChar w:fldCharType="begin"/>
      </w:r>
      <w:r w:rsidR="00173D22" w:rsidRPr="001C32F1">
        <w:rPr>
          <w:szCs w:val="24"/>
          <w:lang w:val="fr-CA"/>
        </w:rPr>
        <w:instrText xml:space="preserve"> SEQ CHAPTER \h \r 1</w:instrText>
      </w:r>
      <w:r w:rsidR="007048E2" w:rsidRPr="0089439F">
        <w:rPr>
          <w:szCs w:val="24"/>
        </w:rPr>
        <w:fldChar w:fldCharType="end"/>
      </w:r>
      <w:proofErr w:type="spellStart"/>
      <w:r w:rsidR="00173D22" w:rsidRPr="0089439F">
        <w:rPr>
          <w:i/>
          <w:iCs/>
          <w:szCs w:val="24"/>
        </w:rPr>
        <w:t>TeleZone</w:t>
      </w:r>
      <w:proofErr w:type="spellEnd"/>
      <w:r w:rsidR="00442374">
        <w:rPr>
          <w:i/>
          <w:iCs/>
          <w:szCs w:val="24"/>
        </w:rPr>
        <w:t xml:space="preserve"> Inc.</w:t>
      </w:r>
      <w:r w:rsidR="00173D22" w:rsidRPr="0089439F">
        <w:rPr>
          <w:iCs/>
          <w:szCs w:val="24"/>
        </w:rPr>
        <w:t>, 2010 CSC 62</w:t>
      </w:r>
      <w:r w:rsidR="008954DC">
        <w:rPr>
          <w:iCs/>
          <w:szCs w:val="24"/>
        </w:rPr>
        <w:t xml:space="preserve">, [2010] 3 R.C.S. </w:t>
      </w:r>
      <w:r w:rsidR="00442374">
        <w:rPr>
          <w:iCs/>
          <w:szCs w:val="24"/>
        </w:rPr>
        <w:t>585</w:t>
      </w:r>
      <w:r w:rsidR="00173D22" w:rsidRPr="0089439F">
        <w:rPr>
          <w:iCs/>
          <w:szCs w:val="24"/>
        </w:rPr>
        <w:t xml:space="preserve">; </w:t>
      </w:r>
      <w:proofErr w:type="spellStart"/>
      <w:r w:rsidR="00DB5BBD">
        <w:rPr>
          <w:b/>
        </w:rPr>
        <w:t>arrêt</w:t>
      </w:r>
      <w:proofErr w:type="spellEnd"/>
      <w:r w:rsidR="00DB5BBD">
        <w:rPr>
          <w:b/>
        </w:rPr>
        <w:t xml:space="preserve"> </w:t>
      </w:r>
      <w:proofErr w:type="spellStart"/>
      <w:r w:rsidR="005F2592">
        <w:rPr>
          <w:b/>
        </w:rPr>
        <w:t>renversé</w:t>
      </w:r>
      <w:proofErr w:type="spellEnd"/>
      <w:r w:rsidR="00DB5BBD">
        <w:rPr>
          <w:b/>
        </w:rPr>
        <w:t xml:space="preserve"> : </w:t>
      </w:r>
      <w:r w:rsidR="00DB5BBD" w:rsidRPr="001C32F1">
        <w:rPr>
          <w:i/>
        </w:rPr>
        <w:t>Canada c. Grenier</w:t>
      </w:r>
      <w:r w:rsidR="00DB5BBD" w:rsidRPr="001C32F1">
        <w:t xml:space="preserve">, 2005 CAF 348, [2006] 2 R.C.F. 287; </w:t>
      </w:r>
      <w:proofErr w:type="spellStart"/>
      <w:r w:rsidR="00173D22" w:rsidRPr="0089439F">
        <w:rPr>
          <w:b/>
        </w:rPr>
        <w:t>arrêt</w:t>
      </w:r>
      <w:proofErr w:type="spellEnd"/>
      <w:r w:rsidR="00173D22" w:rsidRPr="0089439F">
        <w:rPr>
          <w:b/>
        </w:rPr>
        <w:t xml:space="preserve"> </w:t>
      </w:r>
      <w:proofErr w:type="spellStart"/>
      <w:r w:rsidR="00173D22" w:rsidRPr="0089439F">
        <w:rPr>
          <w:b/>
          <w:szCs w:val="24"/>
        </w:rPr>
        <w:t>approuvé</w:t>
      </w:r>
      <w:proofErr w:type="spellEnd"/>
      <w:r w:rsidR="00173D22" w:rsidRPr="0089439F">
        <w:rPr>
          <w:b/>
          <w:szCs w:val="24"/>
        </w:rPr>
        <w:t> </w:t>
      </w:r>
      <w:r w:rsidR="00173D22" w:rsidRPr="001C32F1">
        <w:rPr>
          <w:b/>
        </w:rPr>
        <w:t>:</w:t>
      </w:r>
      <w:r w:rsidR="00E01DC2" w:rsidRPr="001C32F1">
        <w:t xml:space="preserve"> </w:t>
      </w:r>
      <w:proofErr w:type="spellStart"/>
      <w:r w:rsidR="00173D22" w:rsidRPr="001C32F1">
        <w:rPr>
          <w:i/>
        </w:rPr>
        <w:t>Montambault</w:t>
      </w:r>
      <w:proofErr w:type="spellEnd"/>
      <w:r w:rsidR="00173D22" w:rsidRPr="001C32F1">
        <w:rPr>
          <w:i/>
        </w:rPr>
        <w:t xml:space="preserve"> c. </w:t>
      </w:r>
      <w:proofErr w:type="spellStart"/>
      <w:r w:rsidR="00173D22" w:rsidRPr="001C32F1">
        <w:rPr>
          <w:i/>
        </w:rPr>
        <w:t>Hôpital</w:t>
      </w:r>
      <w:proofErr w:type="spellEnd"/>
      <w:r w:rsidR="00173D22" w:rsidRPr="001C32F1">
        <w:rPr>
          <w:i/>
        </w:rPr>
        <w:t xml:space="preserve"> </w:t>
      </w:r>
      <w:proofErr w:type="spellStart"/>
      <w:r w:rsidR="00173D22" w:rsidRPr="001C32F1">
        <w:rPr>
          <w:i/>
        </w:rPr>
        <w:t>Maisonneuve</w:t>
      </w:r>
      <w:proofErr w:type="spellEnd"/>
      <w:r w:rsidR="008954DC">
        <w:rPr>
          <w:i/>
        </w:rPr>
        <w:t>-</w:t>
      </w:r>
      <w:r w:rsidR="00173D22" w:rsidRPr="001C32F1">
        <w:rPr>
          <w:i/>
        </w:rPr>
        <w:t>Rosemont</w:t>
      </w:r>
      <w:r w:rsidR="00173D22" w:rsidRPr="001C32F1">
        <w:t xml:space="preserve">, [2001] R.J.Q. 893; </w:t>
      </w:r>
      <w:proofErr w:type="spellStart"/>
      <w:r w:rsidR="00173D22" w:rsidRPr="001C32F1">
        <w:rPr>
          <w:b/>
        </w:rPr>
        <w:t>a</w:t>
      </w:r>
      <w:r w:rsidR="0043088E" w:rsidRPr="001C32F1">
        <w:rPr>
          <w:b/>
        </w:rPr>
        <w:t>rrêts</w:t>
      </w:r>
      <w:proofErr w:type="spellEnd"/>
      <w:r w:rsidR="0043088E" w:rsidRPr="001C32F1">
        <w:rPr>
          <w:b/>
        </w:rPr>
        <w:t xml:space="preserve"> </w:t>
      </w:r>
      <w:proofErr w:type="spellStart"/>
      <w:r w:rsidR="0043088E" w:rsidRPr="001C32F1">
        <w:rPr>
          <w:b/>
        </w:rPr>
        <w:t>mentionnés</w:t>
      </w:r>
      <w:proofErr w:type="spellEnd"/>
      <w:r w:rsidR="00F33658" w:rsidRPr="001C32F1">
        <w:rPr>
          <w:b/>
        </w:rPr>
        <w:t> </w:t>
      </w:r>
      <w:r w:rsidRPr="001C32F1">
        <w:rPr>
          <w:b/>
        </w:rPr>
        <w:t>:</w:t>
      </w:r>
      <w:r w:rsidR="000B0ABA" w:rsidRPr="001C32F1">
        <w:t> </w:t>
      </w:r>
      <w:proofErr w:type="spellStart"/>
      <w:r w:rsidR="00DE6E1F" w:rsidRPr="001C32F1">
        <w:rPr>
          <w:i/>
          <w:iCs/>
          <w:szCs w:val="24"/>
        </w:rPr>
        <w:t>Welbridge</w:t>
      </w:r>
      <w:proofErr w:type="spellEnd"/>
      <w:r w:rsidR="00DE6E1F" w:rsidRPr="001C32F1">
        <w:rPr>
          <w:i/>
          <w:iCs/>
          <w:szCs w:val="24"/>
        </w:rPr>
        <w:t xml:space="preserve"> Holdings Ltd. c. Greater Winnipeg</w:t>
      </w:r>
      <w:r w:rsidR="00DE6E1F" w:rsidRPr="001C32F1">
        <w:rPr>
          <w:szCs w:val="24"/>
        </w:rPr>
        <w:t xml:space="preserve">, [1971] R.C.S. 957; </w:t>
      </w:r>
      <w:r w:rsidR="002C6CDE" w:rsidRPr="001C32F1">
        <w:rPr>
          <w:bCs/>
          <w:i/>
          <w:color w:val="000000"/>
          <w:szCs w:val="24"/>
        </w:rPr>
        <w:t>Prud’</w:t>
      </w:r>
      <w:r w:rsidR="00DE6E1F" w:rsidRPr="001C32F1">
        <w:rPr>
          <w:bCs/>
          <w:i/>
          <w:color w:val="000000"/>
          <w:szCs w:val="24"/>
        </w:rPr>
        <w:t>homme c</w:t>
      </w:r>
      <w:r w:rsidR="002C6CDE" w:rsidRPr="001C32F1">
        <w:rPr>
          <w:bCs/>
          <w:i/>
          <w:color w:val="000000"/>
          <w:szCs w:val="24"/>
        </w:rPr>
        <w:t>. Prud’</w:t>
      </w:r>
      <w:r w:rsidR="00DE6E1F" w:rsidRPr="001C32F1">
        <w:rPr>
          <w:bCs/>
          <w:i/>
          <w:color w:val="000000"/>
          <w:szCs w:val="24"/>
        </w:rPr>
        <w:t>homme</w:t>
      </w:r>
      <w:r w:rsidR="00DE6E1F" w:rsidRPr="001C32F1">
        <w:rPr>
          <w:bCs/>
          <w:color w:val="000000"/>
          <w:szCs w:val="24"/>
        </w:rPr>
        <w:t>, 2002 CSC 85, [2002] 4 R.C.S. 663</w:t>
      </w:r>
      <w:r w:rsidR="00173D22" w:rsidRPr="001C32F1">
        <w:rPr>
          <w:bCs/>
          <w:color w:val="000000"/>
          <w:szCs w:val="24"/>
        </w:rPr>
        <w:t>.</w:t>
      </w:r>
    </w:p>
    <w:p w:rsidR="007834A8" w:rsidRPr="001C32F1" w:rsidRDefault="007834A8" w:rsidP="00172A04">
      <w:pPr>
        <w:pStyle w:val="SCCNormalDoubleSpacing"/>
      </w:pPr>
    </w:p>
    <w:p w:rsidR="00231F3A" w:rsidRPr="001C32F1" w:rsidRDefault="0043088E" w:rsidP="000B0ABA">
      <w:pPr>
        <w:pStyle w:val="SCCNormalDoubleSpacing"/>
        <w:keepNext/>
        <w:rPr>
          <w:b/>
          <w:lang w:val="fr-CA"/>
        </w:rPr>
      </w:pPr>
      <w:r w:rsidRPr="001C32F1">
        <w:rPr>
          <w:b/>
          <w:lang w:val="fr-CA"/>
        </w:rPr>
        <w:t>Lois</w:t>
      </w:r>
      <w:r w:rsidR="002E6705" w:rsidRPr="001C32F1">
        <w:rPr>
          <w:b/>
          <w:lang w:val="fr-CA"/>
        </w:rPr>
        <w:t xml:space="preserve"> </w:t>
      </w:r>
      <w:r w:rsidR="008A6558" w:rsidRPr="001C32F1">
        <w:rPr>
          <w:b/>
          <w:lang w:val="fr-CA"/>
        </w:rPr>
        <w:t>et</w:t>
      </w:r>
      <w:r w:rsidR="002E6705" w:rsidRPr="001C32F1">
        <w:rPr>
          <w:b/>
          <w:lang w:val="fr-CA"/>
        </w:rPr>
        <w:t xml:space="preserve"> </w:t>
      </w:r>
      <w:r w:rsidRPr="001C32F1">
        <w:rPr>
          <w:b/>
          <w:lang w:val="fr-CA"/>
        </w:rPr>
        <w:t>rè</w:t>
      </w:r>
      <w:r w:rsidR="002E6705" w:rsidRPr="001C32F1">
        <w:rPr>
          <w:b/>
          <w:lang w:val="fr-CA"/>
        </w:rPr>
        <w:t>gl</w:t>
      </w:r>
      <w:r w:rsidRPr="001C32F1">
        <w:rPr>
          <w:b/>
          <w:lang w:val="fr-CA"/>
        </w:rPr>
        <w:t>ements</w:t>
      </w:r>
      <w:r w:rsidR="002E6705" w:rsidRPr="001C32F1">
        <w:rPr>
          <w:b/>
          <w:lang w:val="fr-CA"/>
        </w:rPr>
        <w:t xml:space="preserve"> </w:t>
      </w:r>
      <w:r w:rsidRPr="001C32F1">
        <w:rPr>
          <w:b/>
          <w:lang w:val="fr-CA"/>
        </w:rPr>
        <w:t>c</w:t>
      </w:r>
      <w:r w:rsidR="002E6705" w:rsidRPr="001C32F1">
        <w:rPr>
          <w:b/>
          <w:lang w:val="fr-CA"/>
        </w:rPr>
        <w:t>it</w:t>
      </w:r>
      <w:r w:rsidRPr="001C32F1">
        <w:rPr>
          <w:b/>
          <w:lang w:val="fr-CA"/>
        </w:rPr>
        <w:t>és</w:t>
      </w:r>
    </w:p>
    <w:p w:rsidR="000A5321" w:rsidRPr="001C32F1" w:rsidRDefault="000A5321" w:rsidP="0076681E">
      <w:pPr>
        <w:pStyle w:val="SCCNormalDoubleSpacing"/>
        <w:keepNext/>
        <w:rPr>
          <w:lang w:val="fr-CA"/>
        </w:rPr>
      </w:pPr>
    </w:p>
    <w:p w:rsidR="00DE6E1F" w:rsidRPr="001C32F1" w:rsidRDefault="00DE6E1F" w:rsidP="00DE6E1F">
      <w:pPr>
        <w:pStyle w:val="SCCNormalDoubleSpacing"/>
        <w:spacing w:line="240" w:lineRule="auto"/>
        <w:ind w:left="540" w:hanging="540"/>
        <w:rPr>
          <w:lang w:val="fr-CA"/>
        </w:rPr>
      </w:pPr>
      <w:r w:rsidRPr="001C32F1">
        <w:rPr>
          <w:i/>
          <w:lang w:val="fr-CA"/>
        </w:rPr>
        <w:t>C</w:t>
      </w:r>
      <w:r w:rsidR="00886E9C" w:rsidRPr="001C32F1">
        <w:rPr>
          <w:i/>
          <w:lang w:val="fr-CA"/>
        </w:rPr>
        <w:t>ode c</w:t>
      </w:r>
      <w:r w:rsidRPr="001C32F1">
        <w:rPr>
          <w:i/>
          <w:lang w:val="fr-CA"/>
        </w:rPr>
        <w:t>ivil</w:t>
      </w:r>
      <w:r w:rsidR="00886E9C" w:rsidRPr="001C32F1">
        <w:rPr>
          <w:i/>
          <w:lang w:val="fr-CA"/>
        </w:rPr>
        <w:t xml:space="preserve"> du </w:t>
      </w:r>
      <w:r w:rsidRPr="001C32F1">
        <w:rPr>
          <w:i/>
          <w:lang w:val="fr-CA"/>
        </w:rPr>
        <w:t>Québec</w:t>
      </w:r>
      <w:r w:rsidRPr="001C32F1">
        <w:rPr>
          <w:lang w:val="fr-CA"/>
        </w:rPr>
        <w:t>,</w:t>
      </w:r>
      <w:r w:rsidRPr="001C32F1">
        <w:rPr>
          <w:i/>
          <w:lang w:val="fr-CA"/>
        </w:rPr>
        <w:t xml:space="preserve"> </w:t>
      </w:r>
      <w:r w:rsidR="00886E9C" w:rsidRPr="001C32F1">
        <w:rPr>
          <w:lang w:val="fr-CA"/>
        </w:rPr>
        <w:t>L.</w:t>
      </w:r>
      <w:r w:rsidR="009D7F3C" w:rsidRPr="001C32F1">
        <w:rPr>
          <w:lang w:val="fr-CA"/>
        </w:rPr>
        <w:t>R.</w:t>
      </w:r>
      <w:r w:rsidRPr="001C32F1">
        <w:rPr>
          <w:lang w:val="fr-CA"/>
        </w:rPr>
        <w:t>Q.</w:t>
      </w:r>
      <w:r w:rsidR="009D7F3C" w:rsidRPr="001C32F1">
        <w:rPr>
          <w:lang w:val="fr-CA"/>
        </w:rPr>
        <w:t>,</w:t>
      </w:r>
      <w:r w:rsidRPr="001C32F1">
        <w:rPr>
          <w:lang w:val="fr-CA"/>
        </w:rPr>
        <w:t xml:space="preserve"> c</w:t>
      </w:r>
      <w:r w:rsidR="009D7F3C" w:rsidRPr="001C32F1">
        <w:rPr>
          <w:lang w:val="fr-CA"/>
        </w:rPr>
        <w:t>h</w:t>
      </w:r>
      <w:r w:rsidR="000B0ABA" w:rsidRPr="001C32F1">
        <w:rPr>
          <w:lang w:val="fr-CA"/>
        </w:rPr>
        <w:t>.</w:t>
      </w:r>
      <w:r w:rsidR="00D530B4">
        <w:rPr>
          <w:lang w:val="fr-CA"/>
        </w:rPr>
        <w:t xml:space="preserve"> </w:t>
      </w:r>
      <w:r w:rsidR="009D7F3C" w:rsidRPr="001C32F1">
        <w:rPr>
          <w:lang w:val="fr-CA"/>
        </w:rPr>
        <w:t>C</w:t>
      </w:r>
      <w:r w:rsidR="009C794D" w:rsidRPr="001C32F1">
        <w:rPr>
          <w:lang w:val="fr-CA"/>
        </w:rPr>
        <w:noBreakHyphen/>
      </w:r>
      <w:r w:rsidR="009D7F3C" w:rsidRPr="001C32F1">
        <w:rPr>
          <w:lang w:val="fr-CA"/>
        </w:rPr>
        <w:t>1991</w:t>
      </w:r>
      <w:r w:rsidR="000B0ABA" w:rsidRPr="001C32F1">
        <w:rPr>
          <w:lang w:val="fr-CA"/>
        </w:rPr>
        <w:t>, art.</w:t>
      </w:r>
      <w:r w:rsidR="00D530B4">
        <w:rPr>
          <w:lang w:val="fr-CA"/>
        </w:rPr>
        <w:t xml:space="preserve"> </w:t>
      </w:r>
      <w:r w:rsidRPr="001C32F1">
        <w:rPr>
          <w:lang w:val="fr-CA"/>
        </w:rPr>
        <w:t>1376, 1457.</w:t>
      </w:r>
    </w:p>
    <w:p w:rsidR="00DE6E1F" w:rsidRPr="001C32F1" w:rsidRDefault="00DE6E1F" w:rsidP="00DE6E1F">
      <w:pPr>
        <w:pStyle w:val="SCCNormalDoubleSpacing"/>
        <w:spacing w:line="240" w:lineRule="auto"/>
        <w:ind w:left="540" w:hanging="540"/>
        <w:rPr>
          <w:lang w:val="fr-CA"/>
        </w:rPr>
      </w:pPr>
    </w:p>
    <w:p w:rsidR="00DE6E1F" w:rsidRPr="001C32F1" w:rsidRDefault="00DE6E1F" w:rsidP="00DE6E1F">
      <w:pPr>
        <w:pStyle w:val="SCCNormalDoubleSpacing"/>
        <w:spacing w:line="240" w:lineRule="auto"/>
        <w:ind w:left="540" w:hanging="540"/>
        <w:rPr>
          <w:lang w:val="fr-CA"/>
        </w:rPr>
      </w:pPr>
      <w:r w:rsidRPr="001C32F1">
        <w:rPr>
          <w:i/>
          <w:lang w:val="fr-CA"/>
        </w:rPr>
        <w:t xml:space="preserve">Code </w:t>
      </w:r>
      <w:r w:rsidR="00886E9C" w:rsidRPr="001C32F1">
        <w:rPr>
          <w:i/>
          <w:lang w:val="fr-CA"/>
        </w:rPr>
        <w:t>de proc</w:t>
      </w:r>
      <w:r w:rsidR="00A86FBB" w:rsidRPr="001C32F1">
        <w:rPr>
          <w:i/>
          <w:lang w:val="fr-CA"/>
        </w:rPr>
        <w:t>é</w:t>
      </w:r>
      <w:r w:rsidR="00886E9C" w:rsidRPr="001C32F1">
        <w:rPr>
          <w:i/>
          <w:lang w:val="fr-CA"/>
        </w:rPr>
        <w:t>dure civile</w:t>
      </w:r>
      <w:r w:rsidRPr="001C32F1">
        <w:rPr>
          <w:lang w:val="fr-CA"/>
        </w:rPr>
        <w:t xml:space="preserve">, </w:t>
      </w:r>
      <w:r w:rsidR="00886E9C" w:rsidRPr="001C32F1">
        <w:rPr>
          <w:lang w:val="fr-CA"/>
        </w:rPr>
        <w:t>L.R.</w:t>
      </w:r>
      <w:r w:rsidRPr="001C32F1">
        <w:rPr>
          <w:lang w:val="fr-CA"/>
        </w:rPr>
        <w:t>Q., c</w:t>
      </w:r>
      <w:r w:rsidR="009D7F3C" w:rsidRPr="001C32F1">
        <w:rPr>
          <w:lang w:val="fr-CA"/>
        </w:rPr>
        <w:t>h</w:t>
      </w:r>
      <w:r w:rsidR="00D530B4">
        <w:rPr>
          <w:lang w:val="fr-CA"/>
        </w:rPr>
        <w:t xml:space="preserve">. </w:t>
      </w:r>
      <w:r w:rsidR="00886E9C" w:rsidRPr="001C32F1">
        <w:rPr>
          <w:lang w:val="fr-CA"/>
        </w:rPr>
        <w:t>C</w:t>
      </w:r>
      <w:r w:rsidR="009C794D" w:rsidRPr="001C32F1">
        <w:rPr>
          <w:lang w:val="fr-CA"/>
        </w:rPr>
        <w:noBreakHyphen/>
      </w:r>
      <w:r w:rsidR="00886E9C" w:rsidRPr="001C32F1">
        <w:rPr>
          <w:lang w:val="fr-CA"/>
        </w:rPr>
        <w:t>25, art</w:t>
      </w:r>
      <w:r w:rsidR="00D530B4">
        <w:rPr>
          <w:lang w:val="fr-CA"/>
        </w:rPr>
        <w:t xml:space="preserve">. </w:t>
      </w:r>
      <w:r w:rsidRPr="001C32F1">
        <w:rPr>
          <w:lang w:val="fr-CA"/>
        </w:rPr>
        <w:t>216.</w:t>
      </w:r>
    </w:p>
    <w:p w:rsidR="00DE6E1F" w:rsidRPr="001C32F1" w:rsidRDefault="00DE6E1F" w:rsidP="00DE6E1F">
      <w:pPr>
        <w:pStyle w:val="SCCNormalDoubleSpacing"/>
        <w:spacing w:line="240" w:lineRule="auto"/>
        <w:ind w:left="540" w:hanging="540"/>
        <w:rPr>
          <w:lang w:val="fr-CA"/>
        </w:rPr>
      </w:pPr>
    </w:p>
    <w:p w:rsidR="009D7F3C" w:rsidRPr="001C32F1" w:rsidRDefault="009D7F3C" w:rsidP="009D7F3C">
      <w:pPr>
        <w:pStyle w:val="SCCNormalDoubleSpacing"/>
        <w:spacing w:line="240" w:lineRule="auto"/>
        <w:ind w:left="540" w:hanging="540"/>
        <w:rPr>
          <w:lang w:val="fr-CA"/>
        </w:rPr>
      </w:pPr>
      <w:r w:rsidRPr="001C32F1">
        <w:rPr>
          <w:i/>
          <w:lang w:val="fr-CA"/>
        </w:rPr>
        <w:t>Loi sur l’Agence canadienne d’inspection des aliments</w:t>
      </w:r>
      <w:r w:rsidRPr="001C32F1">
        <w:rPr>
          <w:lang w:val="fr-CA"/>
        </w:rPr>
        <w:t>, L.C. 1997, ch</w:t>
      </w:r>
      <w:r w:rsidR="000B0ABA" w:rsidRPr="001C32F1">
        <w:rPr>
          <w:lang w:val="fr-CA"/>
        </w:rPr>
        <w:t>.</w:t>
      </w:r>
      <w:r w:rsidR="00D530B4">
        <w:rPr>
          <w:lang w:val="fr-CA"/>
        </w:rPr>
        <w:t xml:space="preserve"> </w:t>
      </w:r>
      <w:r w:rsidRPr="001C32F1">
        <w:rPr>
          <w:lang w:val="fr-CA"/>
        </w:rPr>
        <w:t>6, art.</w:t>
      </w:r>
      <w:r w:rsidR="00D530B4">
        <w:rPr>
          <w:lang w:val="fr-CA"/>
        </w:rPr>
        <w:t xml:space="preserve"> </w:t>
      </w:r>
      <w:r w:rsidRPr="001C32F1">
        <w:rPr>
          <w:lang w:val="fr-CA"/>
        </w:rPr>
        <w:t>12, 13, 15.</w:t>
      </w:r>
    </w:p>
    <w:p w:rsidR="009D7F3C" w:rsidRPr="001C32F1" w:rsidRDefault="009D7F3C" w:rsidP="009D7F3C">
      <w:pPr>
        <w:pStyle w:val="SCCNormalDoubleSpacing"/>
        <w:spacing w:line="240" w:lineRule="auto"/>
        <w:ind w:left="540" w:hanging="540"/>
        <w:rPr>
          <w:lang w:val="fr-CA"/>
        </w:rPr>
      </w:pPr>
    </w:p>
    <w:p w:rsidR="00DE6E1F" w:rsidRPr="001C32F1" w:rsidRDefault="00886E9C" w:rsidP="00DE6E1F">
      <w:pPr>
        <w:pStyle w:val="SCCNormalDoubleSpacing"/>
        <w:spacing w:line="240" w:lineRule="auto"/>
        <w:ind w:left="540" w:hanging="540"/>
        <w:rPr>
          <w:lang w:val="fr-CA"/>
        </w:rPr>
      </w:pPr>
      <w:r w:rsidRPr="001C32F1">
        <w:rPr>
          <w:i/>
          <w:lang w:val="fr-CA"/>
        </w:rPr>
        <w:t>Loi sur la responsabilité civile de l’État et le contentieux administratif</w:t>
      </w:r>
      <w:r w:rsidR="00DE6E1F" w:rsidRPr="001C32F1">
        <w:rPr>
          <w:lang w:val="fr-CA"/>
        </w:rPr>
        <w:t xml:space="preserve">, </w:t>
      </w:r>
      <w:r w:rsidRPr="001C32F1">
        <w:rPr>
          <w:lang w:val="fr-CA"/>
        </w:rPr>
        <w:t>L.</w:t>
      </w:r>
      <w:r w:rsidR="00DE6E1F" w:rsidRPr="001C32F1">
        <w:rPr>
          <w:lang w:val="fr-CA"/>
        </w:rPr>
        <w:t>R.C. 1985, c</w:t>
      </w:r>
      <w:r w:rsidR="00D530B4">
        <w:rPr>
          <w:lang w:val="fr-CA"/>
        </w:rPr>
        <w:t xml:space="preserve">h. </w:t>
      </w:r>
      <w:r w:rsidRPr="001C32F1">
        <w:rPr>
          <w:lang w:val="fr-CA"/>
        </w:rPr>
        <w:t>C</w:t>
      </w:r>
      <w:r w:rsidR="009C794D" w:rsidRPr="001C32F1">
        <w:rPr>
          <w:lang w:val="fr-CA"/>
        </w:rPr>
        <w:noBreakHyphen/>
      </w:r>
      <w:r w:rsidRPr="001C32F1">
        <w:rPr>
          <w:lang w:val="fr-CA"/>
        </w:rPr>
        <w:t>50, art</w:t>
      </w:r>
      <w:r w:rsidR="00D530B4">
        <w:rPr>
          <w:lang w:val="fr-CA"/>
        </w:rPr>
        <w:t xml:space="preserve">. </w:t>
      </w:r>
      <w:r w:rsidR="00DE6E1F" w:rsidRPr="001C32F1">
        <w:rPr>
          <w:lang w:val="fr-CA"/>
        </w:rPr>
        <w:t>2</w:t>
      </w:r>
      <w:r w:rsidR="00442374">
        <w:rPr>
          <w:lang w:val="fr-CA"/>
        </w:rPr>
        <w:t xml:space="preserve"> «</w:t>
      </w:r>
      <w:r w:rsidR="00927A64">
        <w:rPr>
          <w:lang w:val="fr-CA"/>
        </w:rPr>
        <w:t xml:space="preserve"> </w:t>
      </w:r>
      <w:r w:rsidR="00442374">
        <w:rPr>
          <w:lang w:val="fr-CA"/>
        </w:rPr>
        <w:t>responsabilité</w:t>
      </w:r>
      <w:r w:rsidR="00927A64">
        <w:rPr>
          <w:lang w:val="fr-CA"/>
        </w:rPr>
        <w:t xml:space="preserve"> </w:t>
      </w:r>
      <w:r w:rsidR="00442374">
        <w:rPr>
          <w:lang w:val="fr-CA"/>
        </w:rPr>
        <w:t>»</w:t>
      </w:r>
      <w:r w:rsidR="00DE6E1F" w:rsidRPr="001C32F1">
        <w:rPr>
          <w:lang w:val="fr-CA"/>
        </w:rPr>
        <w:t xml:space="preserve">, 3, 10. </w:t>
      </w:r>
    </w:p>
    <w:p w:rsidR="00DE6E1F" w:rsidRPr="001C32F1" w:rsidRDefault="00DE6E1F" w:rsidP="00DE6E1F">
      <w:pPr>
        <w:pStyle w:val="SCCNormalDoubleSpacing"/>
        <w:spacing w:line="240" w:lineRule="auto"/>
        <w:ind w:left="540" w:hanging="540"/>
        <w:rPr>
          <w:lang w:val="fr-CA"/>
        </w:rPr>
      </w:pPr>
    </w:p>
    <w:p w:rsidR="00DE6E1F" w:rsidRPr="001C32F1" w:rsidRDefault="002F2173" w:rsidP="00DE6E1F">
      <w:pPr>
        <w:pStyle w:val="SCCNormalDoubleSpacing"/>
        <w:spacing w:line="240" w:lineRule="auto"/>
        <w:ind w:left="540" w:hanging="540"/>
        <w:rPr>
          <w:lang w:val="fr-CA"/>
        </w:rPr>
      </w:pPr>
      <w:r w:rsidRPr="001C32F1">
        <w:rPr>
          <w:i/>
          <w:lang w:val="fr-CA"/>
        </w:rPr>
        <w:t>Loi sur les C</w:t>
      </w:r>
      <w:r w:rsidR="00886E9C" w:rsidRPr="001C32F1">
        <w:rPr>
          <w:i/>
          <w:lang w:val="fr-CA"/>
        </w:rPr>
        <w:t>ours fédérales</w:t>
      </w:r>
      <w:r w:rsidR="00DE6E1F" w:rsidRPr="001C32F1">
        <w:rPr>
          <w:lang w:val="fr-CA"/>
        </w:rPr>
        <w:t xml:space="preserve">, </w:t>
      </w:r>
      <w:r w:rsidRPr="001C32F1">
        <w:rPr>
          <w:lang w:val="fr-CA"/>
        </w:rPr>
        <w:t>L.</w:t>
      </w:r>
      <w:r w:rsidR="00DE6E1F" w:rsidRPr="001C32F1">
        <w:rPr>
          <w:lang w:val="fr-CA"/>
        </w:rPr>
        <w:t>R.C. 1985, c</w:t>
      </w:r>
      <w:r w:rsidRPr="001C32F1">
        <w:rPr>
          <w:lang w:val="fr-CA"/>
        </w:rPr>
        <w:t>h.</w:t>
      </w:r>
      <w:r w:rsidR="00D530B4">
        <w:rPr>
          <w:lang w:val="fr-CA"/>
        </w:rPr>
        <w:t xml:space="preserve"> </w:t>
      </w:r>
      <w:r w:rsidRPr="001C32F1">
        <w:rPr>
          <w:lang w:val="fr-CA"/>
        </w:rPr>
        <w:t>F</w:t>
      </w:r>
      <w:r w:rsidR="009C794D" w:rsidRPr="001C32F1">
        <w:rPr>
          <w:lang w:val="fr-CA"/>
        </w:rPr>
        <w:noBreakHyphen/>
      </w:r>
      <w:r w:rsidRPr="001C32F1">
        <w:rPr>
          <w:lang w:val="fr-CA"/>
        </w:rPr>
        <w:t>7, art</w:t>
      </w:r>
      <w:r w:rsidR="000B0ABA" w:rsidRPr="001C32F1">
        <w:rPr>
          <w:lang w:val="fr-CA"/>
        </w:rPr>
        <w:t>.</w:t>
      </w:r>
      <w:r w:rsidR="00D530B4">
        <w:rPr>
          <w:lang w:val="fr-CA"/>
        </w:rPr>
        <w:t xml:space="preserve"> </w:t>
      </w:r>
      <w:r w:rsidR="00DE6E1F" w:rsidRPr="001C32F1">
        <w:rPr>
          <w:lang w:val="fr-CA"/>
        </w:rPr>
        <w:t xml:space="preserve">18. </w:t>
      </w:r>
    </w:p>
    <w:p w:rsidR="00DE6E1F" w:rsidRPr="001C32F1" w:rsidRDefault="00DE6E1F" w:rsidP="00DE6E1F">
      <w:pPr>
        <w:pStyle w:val="SCCNormalDoubleSpacing"/>
        <w:spacing w:line="240" w:lineRule="auto"/>
        <w:ind w:left="540" w:hanging="540"/>
        <w:rPr>
          <w:lang w:val="fr-CA"/>
        </w:rPr>
      </w:pPr>
    </w:p>
    <w:p w:rsidR="000A5321" w:rsidRPr="001C32F1" w:rsidRDefault="002F2173" w:rsidP="00423527">
      <w:pPr>
        <w:pStyle w:val="SCCNormalDoubleSpacing"/>
        <w:spacing w:after="720" w:line="240" w:lineRule="auto"/>
        <w:ind w:left="547" w:hanging="547"/>
        <w:rPr>
          <w:lang w:val="fr-CA"/>
        </w:rPr>
      </w:pPr>
      <w:r w:rsidRPr="001C32F1">
        <w:rPr>
          <w:i/>
          <w:lang w:val="fr-CA"/>
        </w:rPr>
        <w:t xml:space="preserve">Règlement de </w:t>
      </w:r>
      <w:r w:rsidR="00DE6E1F" w:rsidRPr="001C32F1">
        <w:rPr>
          <w:i/>
          <w:lang w:val="fr-CA"/>
        </w:rPr>
        <w:t>1990</w:t>
      </w:r>
      <w:r w:rsidRPr="001C32F1">
        <w:rPr>
          <w:i/>
          <w:lang w:val="fr-CA"/>
        </w:rPr>
        <w:t xml:space="preserve"> sur l’inspection des viandes</w:t>
      </w:r>
      <w:r w:rsidR="00DE6E1F" w:rsidRPr="001C32F1">
        <w:rPr>
          <w:lang w:val="fr-CA"/>
        </w:rPr>
        <w:t xml:space="preserve">, </w:t>
      </w:r>
      <w:r w:rsidRPr="001C32F1">
        <w:rPr>
          <w:lang w:val="fr-CA"/>
        </w:rPr>
        <w:t>DORS/</w:t>
      </w:r>
      <w:r w:rsidR="00DE6E1F" w:rsidRPr="001C32F1">
        <w:rPr>
          <w:lang w:val="fr-CA"/>
        </w:rPr>
        <w:t>90</w:t>
      </w:r>
      <w:r w:rsidR="009C794D" w:rsidRPr="001C32F1">
        <w:rPr>
          <w:lang w:val="fr-CA"/>
        </w:rPr>
        <w:noBreakHyphen/>
      </w:r>
      <w:r w:rsidR="00DE6E1F" w:rsidRPr="001C32F1">
        <w:rPr>
          <w:lang w:val="fr-CA"/>
        </w:rPr>
        <w:t>288.</w:t>
      </w:r>
    </w:p>
    <w:p w:rsidR="002F2173" w:rsidRPr="001C32F1" w:rsidRDefault="002F2173" w:rsidP="000B0ABA">
      <w:pPr>
        <w:pStyle w:val="SCCNormalDoubleSpacing"/>
        <w:tabs>
          <w:tab w:val="left" w:pos="1170"/>
        </w:tabs>
        <w:rPr>
          <w:lang w:val="fr-CA"/>
        </w:rPr>
      </w:pPr>
      <w:r w:rsidRPr="001C32F1">
        <w:rPr>
          <w:lang w:val="fr-CA"/>
        </w:rPr>
        <w:tab/>
      </w:r>
      <w:r w:rsidR="009B57B3" w:rsidRPr="001C32F1">
        <w:rPr>
          <w:lang w:val="fr-CA"/>
        </w:rPr>
        <w:t>P</w:t>
      </w:r>
      <w:r w:rsidR="0043088E" w:rsidRPr="001C32F1">
        <w:rPr>
          <w:lang w:val="fr-CA"/>
        </w:rPr>
        <w:t>OURVOI contre un arrêt de la</w:t>
      </w:r>
      <w:r w:rsidR="009B57B3" w:rsidRPr="001C32F1">
        <w:rPr>
          <w:lang w:val="fr-CA"/>
        </w:rPr>
        <w:t xml:space="preserve"> Cour d’appel du Québec </w:t>
      </w:r>
      <w:r w:rsidRPr="001C32F1">
        <w:rPr>
          <w:lang w:val="fr-CA"/>
        </w:rPr>
        <w:t xml:space="preserve">(les juges Rochette, Pelletier et </w:t>
      </w:r>
      <w:proofErr w:type="spellStart"/>
      <w:r w:rsidRPr="001C32F1">
        <w:rPr>
          <w:lang w:val="fr-CA"/>
        </w:rPr>
        <w:t>Vézina</w:t>
      </w:r>
      <w:proofErr w:type="spellEnd"/>
      <w:r w:rsidRPr="001C32F1">
        <w:rPr>
          <w:lang w:val="fr-CA"/>
        </w:rPr>
        <w:t xml:space="preserve">), 2008 QCCA 1726, [2008] R.J.Q. 2093, 80 </w:t>
      </w:r>
      <w:proofErr w:type="spellStart"/>
      <w:r w:rsidRPr="001C32F1">
        <w:rPr>
          <w:lang w:val="fr-CA"/>
        </w:rPr>
        <w:t>Admin</w:t>
      </w:r>
      <w:proofErr w:type="spellEnd"/>
      <w:r w:rsidRPr="001C32F1">
        <w:rPr>
          <w:lang w:val="fr-CA"/>
        </w:rPr>
        <w:t>. L.R. (4th) 43, [2008] J.Q. n</w:t>
      </w:r>
      <w:r w:rsidRPr="001C32F1">
        <w:rPr>
          <w:vertAlign w:val="superscript"/>
          <w:lang w:val="fr-CA"/>
        </w:rPr>
        <w:t>o</w:t>
      </w:r>
      <w:r w:rsidR="00D530B4">
        <w:rPr>
          <w:lang w:val="fr-CA"/>
        </w:rPr>
        <w:t xml:space="preserve"> </w:t>
      </w:r>
      <w:r w:rsidRPr="001C32F1">
        <w:rPr>
          <w:lang w:val="fr-CA"/>
        </w:rPr>
        <w:t xml:space="preserve">8906 (QL), 2008 </w:t>
      </w:r>
      <w:proofErr w:type="spellStart"/>
      <w:r w:rsidRPr="001C32F1">
        <w:rPr>
          <w:lang w:val="fr-CA"/>
        </w:rPr>
        <w:t>CarswellQue</w:t>
      </w:r>
      <w:proofErr w:type="spellEnd"/>
      <w:r w:rsidRPr="001C32F1">
        <w:rPr>
          <w:lang w:val="fr-CA"/>
        </w:rPr>
        <w:t xml:space="preserve"> </w:t>
      </w:r>
      <w:r w:rsidR="00114D74" w:rsidRPr="001C32F1">
        <w:rPr>
          <w:lang w:val="fr-CA"/>
        </w:rPr>
        <w:t>8810</w:t>
      </w:r>
      <w:r w:rsidRPr="001C32F1">
        <w:rPr>
          <w:lang w:val="fr-CA"/>
        </w:rPr>
        <w:t xml:space="preserve">, </w:t>
      </w:r>
      <w:r w:rsidR="00CF6845" w:rsidRPr="001C32F1">
        <w:rPr>
          <w:lang w:val="fr-CA"/>
        </w:rPr>
        <w:t xml:space="preserve">qui a </w:t>
      </w:r>
      <w:r w:rsidR="0014485C" w:rsidRPr="001C32F1">
        <w:rPr>
          <w:lang w:val="fr-CA"/>
        </w:rPr>
        <w:t xml:space="preserve">confirmé </w:t>
      </w:r>
      <w:r w:rsidR="009D7F3C" w:rsidRPr="001C32F1">
        <w:rPr>
          <w:lang w:val="fr-CA"/>
        </w:rPr>
        <w:t>une</w:t>
      </w:r>
      <w:r w:rsidR="0014485C" w:rsidRPr="001C32F1">
        <w:rPr>
          <w:lang w:val="fr-CA"/>
        </w:rPr>
        <w:t xml:space="preserve"> </w:t>
      </w:r>
      <w:r w:rsidR="0014485C" w:rsidRPr="001C32F1">
        <w:rPr>
          <w:lang w:val="fr-CA"/>
        </w:rPr>
        <w:lastRenderedPageBreak/>
        <w:t>d</w:t>
      </w:r>
      <w:r w:rsidR="00A86FBB" w:rsidRPr="001C32F1">
        <w:rPr>
          <w:lang w:val="fr-CA"/>
        </w:rPr>
        <w:t>é</w:t>
      </w:r>
      <w:r w:rsidR="0014485C" w:rsidRPr="001C32F1">
        <w:rPr>
          <w:lang w:val="fr-CA"/>
        </w:rPr>
        <w:t xml:space="preserve">cision du juge </w:t>
      </w:r>
      <w:proofErr w:type="spellStart"/>
      <w:r w:rsidR="007F0A76" w:rsidRPr="001C32F1">
        <w:rPr>
          <w:lang w:val="fr-CA"/>
        </w:rPr>
        <w:t>Barakett</w:t>
      </w:r>
      <w:proofErr w:type="spellEnd"/>
      <w:r w:rsidRPr="001C32F1">
        <w:rPr>
          <w:lang w:val="fr-CA"/>
        </w:rPr>
        <w:t>, 2007 QCCS 1791, [2007] J.Q. n</w:t>
      </w:r>
      <w:r w:rsidRPr="001C32F1">
        <w:rPr>
          <w:vertAlign w:val="superscript"/>
          <w:lang w:val="fr-CA"/>
        </w:rPr>
        <w:t>o</w:t>
      </w:r>
      <w:r w:rsidR="00D530B4">
        <w:rPr>
          <w:vertAlign w:val="superscript"/>
          <w:lang w:val="fr-CA"/>
        </w:rPr>
        <w:t xml:space="preserve"> </w:t>
      </w:r>
      <w:r w:rsidRPr="001C32F1">
        <w:rPr>
          <w:lang w:val="fr-CA"/>
        </w:rPr>
        <w:t xml:space="preserve">3353 (QL), 2007 </w:t>
      </w:r>
      <w:proofErr w:type="spellStart"/>
      <w:r w:rsidRPr="001C32F1">
        <w:rPr>
          <w:lang w:val="fr-CA"/>
        </w:rPr>
        <w:t>CarswellQue</w:t>
      </w:r>
      <w:proofErr w:type="spellEnd"/>
      <w:r w:rsidRPr="001C32F1">
        <w:rPr>
          <w:lang w:val="fr-CA"/>
        </w:rPr>
        <w:t xml:space="preserve"> 3131.  </w:t>
      </w:r>
      <w:r w:rsidR="0014485C" w:rsidRPr="001C32F1">
        <w:rPr>
          <w:lang w:val="fr-CA"/>
        </w:rPr>
        <w:t xml:space="preserve">Pourvoi </w:t>
      </w:r>
      <w:r w:rsidR="00BA393F" w:rsidRPr="001C32F1">
        <w:rPr>
          <w:lang w:val="fr-CA"/>
        </w:rPr>
        <w:t>re</w:t>
      </w:r>
      <w:r w:rsidR="00CD114A" w:rsidRPr="001C32F1">
        <w:rPr>
          <w:lang w:val="fr-CA"/>
        </w:rPr>
        <w:t>jeté</w:t>
      </w:r>
      <w:r w:rsidRPr="001C32F1">
        <w:rPr>
          <w:lang w:val="fr-CA"/>
        </w:rPr>
        <w:t xml:space="preserve">. </w:t>
      </w:r>
    </w:p>
    <w:p w:rsidR="00966913" w:rsidRPr="001C32F1" w:rsidRDefault="00966913" w:rsidP="000B0ABA">
      <w:pPr>
        <w:pStyle w:val="SCCNormalDoubleSpacing"/>
        <w:tabs>
          <w:tab w:val="left" w:pos="1170"/>
        </w:tabs>
        <w:rPr>
          <w:lang w:val="fr-CA"/>
        </w:rPr>
      </w:pPr>
    </w:p>
    <w:p w:rsidR="006A5C80" w:rsidRPr="001C32F1" w:rsidRDefault="00A32ADE" w:rsidP="000B0ABA">
      <w:pPr>
        <w:pStyle w:val="SCCNormalDoubleSpacing"/>
        <w:tabs>
          <w:tab w:val="left" w:pos="1170"/>
        </w:tabs>
        <w:rPr>
          <w:lang w:val="fr-CA"/>
        </w:rPr>
      </w:pPr>
      <w:r w:rsidRPr="001C32F1">
        <w:rPr>
          <w:rStyle w:val="SCCCounselNameChar"/>
          <w:lang w:val="fr-CA"/>
        </w:rPr>
        <w:tab/>
      </w:r>
      <w:r w:rsidR="000B0ABA" w:rsidRPr="001C32F1">
        <w:rPr>
          <w:rStyle w:val="SCCCounselNameChar"/>
          <w:lang w:val="fr-CA"/>
        </w:rPr>
        <w:t>Christopher</w:t>
      </w:r>
      <w:r w:rsidR="00D530B4">
        <w:rPr>
          <w:rStyle w:val="SCCCounselNameChar"/>
          <w:lang w:val="fr-CA"/>
        </w:rPr>
        <w:t xml:space="preserve"> </w:t>
      </w:r>
      <w:r w:rsidR="00FF646C" w:rsidRPr="001C32F1">
        <w:rPr>
          <w:rStyle w:val="SCCCounselNameChar"/>
          <w:lang w:val="fr-CA"/>
        </w:rPr>
        <w:t xml:space="preserve">M. </w:t>
      </w:r>
      <w:proofErr w:type="spellStart"/>
      <w:r w:rsidR="00FF646C" w:rsidRPr="001C32F1">
        <w:rPr>
          <w:rStyle w:val="SCCCounselNameChar"/>
          <w:lang w:val="fr-CA"/>
        </w:rPr>
        <w:t>Rupar</w:t>
      </w:r>
      <w:proofErr w:type="spellEnd"/>
      <w:r w:rsidR="00FF646C" w:rsidRPr="001C32F1">
        <w:rPr>
          <w:rStyle w:val="SCCCounselNameChar"/>
          <w:i w:val="0"/>
          <w:lang w:val="fr-CA"/>
        </w:rPr>
        <w:t>,</w:t>
      </w:r>
      <w:r w:rsidR="00FF646C" w:rsidRPr="001C32F1">
        <w:rPr>
          <w:rStyle w:val="SCCCounselNameChar"/>
          <w:lang w:val="fr-CA"/>
        </w:rPr>
        <w:t xml:space="preserve"> </w:t>
      </w:r>
      <w:r w:rsidRPr="001C32F1">
        <w:rPr>
          <w:rStyle w:val="SCCCounselNameChar"/>
          <w:lang w:val="fr-CA"/>
        </w:rPr>
        <w:t xml:space="preserve">Alain </w:t>
      </w:r>
      <w:proofErr w:type="spellStart"/>
      <w:r w:rsidRPr="001C32F1">
        <w:rPr>
          <w:rStyle w:val="SCCCounselNameChar"/>
          <w:lang w:val="fr-CA"/>
        </w:rPr>
        <w:t>Préfontaine</w:t>
      </w:r>
      <w:proofErr w:type="spellEnd"/>
      <w:r w:rsidRPr="001C32F1">
        <w:rPr>
          <w:rStyle w:val="SCCCounselSeparatorChar"/>
          <w:lang w:val="fr-CA"/>
        </w:rPr>
        <w:t xml:space="preserve"> et </w:t>
      </w:r>
      <w:r w:rsidRPr="001C32F1">
        <w:rPr>
          <w:rStyle w:val="SCCCounselNameChar"/>
          <w:lang w:val="fr-CA"/>
        </w:rPr>
        <w:t xml:space="preserve">Bernard </w:t>
      </w:r>
      <w:proofErr w:type="spellStart"/>
      <w:r w:rsidRPr="001C32F1">
        <w:rPr>
          <w:rStyle w:val="SCCCounselNameChar"/>
          <w:lang w:val="fr-CA"/>
        </w:rPr>
        <w:t>Letarte</w:t>
      </w:r>
      <w:proofErr w:type="spellEnd"/>
      <w:r w:rsidR="009D7F3C" w:rsidRPr="0089439F">
        <w:rPr>
          <w:rStyle w:val="SCCCounselPartyRoleChar"/>
        </w:rPr>
        <w:t>, pour l’</w:t>
      </w:r>
      <w:r w:rsidR="00FF646C" w:rsidRPr="0089439F">
        <w:rPr>
          <w:rStyle w:val="SCCCounselPartyRoleChar"/>
        </w:rPr>
        <w:t>appelante</w:t>
      </w:r>
      <w:r w:rsidRPr="0089439F">
        <w:rPr>
          <w:rStyle w:val="SCCCounselPartyRoleChar"/>
        </w:rPr>
        <w:t>.</w:t>
      </w:r>
    </w:p>
    <w:p w:rsidR="006A5C80" w:rsidRPr="001C32F1" w:rsidRDefault="006A5C80" w:rsidP="000B0ABA">
      <w:pPr>
        <w:pStyle w:val="SCCNormalDoubleSpacing"/>
        <w:tabs>
          <w:tab w:val="left" w:pos="1170"/>
        </w:tabs>
        <w:rPr>
          <w:lang w:val="fr-CA"/>
        </w:rPr>
      </w:pPr>
    </w:p>
    <w:p w:rsidR="006A5C80" w:rsidRPr="001C32F1" w:rsidRDefault="00A32ADE" w:rsidP="000B0ABA">
      <w:pPr>
        <w:pStyle w:val="SCCNormalDoubleSpacing"/>
        <w:tabs>
          <w:tab w:val="left" w:pos="1170"/>
        </w:tabs>
        <w:rPr>
          <w:lang w:val="fr-CA"/>
        </w:rPr>
      </w:pPr>
      <w:r w:rsidRPr="001C32F1">
        <w:rPr>
          <w:rStyle w:val="SCCCounselNameChar"/>
          <w:lang w:val="fr-CA"/>
        </w:rPr>
        <w:tab/>
        <w:t>Pierre Labelle</w:t>
      </w:r>
      <w:r w:rsidR="00DD47D8" w:rsidRPr="0089439F">
        <w:rPr>
          <w:rStyle w:val="SCCCounselPartyRoleChar"/>
        </w:rPr>
        <w:t>, pour l’</w:t>
      </w:r>
      <w:r w:rsidR="00FF646C" w:rsidRPr="0089439F">
        <w:rPr>
          <w:rStyle w:val="SCCCounselPartyRoleChar"/>
        </w:rPr>
        <w:t>intimé</w:t>
      </w:r>
      <w:r w:rsidR="00FB50E6" w:rsidRPr="0089439F">
        <w:rPr>
          <w:rStyle w:val="SCCCounselPartyRoleChar"/>
        </w:rPr>
        <w:t xml:space="preserve"> </w:t>
      </w:r>
      <w:r w:rsidR="002D2D3F" w:rsidRPr="0089439F">
        <w:rPr>
          <w:rStyle w:val="SCCCounselPartyRoleChar"/>
        </w:rPr>
        <w:t>l’</w:t>
      </w:r>
      <w:r w:rsidR="00FB50E6" w:rsidRPr="0089439F">
        <w:rPr>
          <w:rStyle w:val="SCCCounselPartyRoleChar"/>
        </w:rPr>
        <w:t>Institut professionnel de la fonction publique du Canada</w:t>
      </w:r>
      <w:r w:rsidRPr="0089439F">
        <w:rPr>
          <w:rStyle w:val="SCCCounselPartyRoleChar"/>
        </w:rPr>
        <w:t>.</w:t>
      </w:r>
    </w:p>
    <w:p w:rsidR="006A5C80" w:rsidRPr="001C32F1" w:rsidRDefault="006A5C80" w:rsidP="000B0ABA">
      <w:pPr>
        <w:pStyle w:val="SCCNormalDoubleSpacing"/>
        <w:tabs>
          <w:tab w:val="left" w:pos="1170"/>
        </w:tabs>
        <w:rPr>
          <w:lang w:val="fr-CA"/>
        </w:rPr>
      </w:pPr>
    </w:p>
    <w:p w:rsidR="006A5C80" w:rsidRPr="001C32F1" w:rsidRDefault="00A32ADE" w:rsidP="000B0ABA">
      <w:pPr>
        <w:pStyle w:val="SCCNormalDoubleSpacing"/>
        <w:tabs>
          <w:tab w:val="left" w:pos="1170"/>
        </w:tabs>
        <w:rPr>
          <w:lang w:val="fr-CA"/>
        </w:rPr>
      </w:pPr>
      <w:r w:rsidRPr="001C32F1">
        <w:rPr>
          <w:rStyle w:val="SCCCounselNameChar"/>
          <w:lang w:val="fr-CA"/>
        </w:rPr>
        <w:tab/>
        <w:t>Philippe Ferland</w:t>
      </w:r>
      <w:r w:rsidRPr="001C32F1">
        <w:rPr>
          <w:rStyle w:val="SCCCounselSeparatorChar"/>
          <w:lang w:val="fr-CA"/>
        </w:rPr>
        <w:t xml:space="preserve"> et </w:t>
      </w:r>
      <w:r w:rsidRPr="001C32F1">
        <w:rPr>
          <w:rStyle w:val="SCCCounselNameChar"/>
          <w:lang w:val="fr-CA"/>
        </w:rPr>
        <w:t xml:space="preserve">France </w:t>
      </w:r>
      <w:proofErr w:type="spellStart"/>
      <w:r w:rsidRPr="001C32F1">
        <w:rPr>
          <w:rStyle w:val="SCCCounselNameChar"/>
          <w:lang w:val="fr-CA"/>
        </w:rPr>
        <w:t>Brosseau</w:t>
      </w:r>
      <w:proofErr w:type="spellEnd"/>
      <w:r w:rsidR="00DD47D8" w:rsidRPr="0089439F">
        <w:rPr>
          <w:rStyle w:val="SCCCounselPartyRoleChar"/>
        </w:rPr>
        <w:t>, pour les intimés Dany Beauregard et autres</w:t>
      </w:r>
      <w:r w:rsidRPr="0089439F">
        <w:rPr>
          <w:rStyle w:val="SCCCounselPartyRoleChar"/>
        </w:rPr>
        <w:t>.</w:t>
      </w:r>
    </w:p>
    <w:p w:rsidR="006A5C80" w:rsidRPr="001C32F1" w:rsidRDefault="006A5C80" w:rsidP="000B0ABA">
      <w:pPr>
        <w:pStyle w:val="SCCNormalDoubleSpacing"/>
        <w:tabs>
          <w:tab w:val="left" w:pos="1170"/>
        </w:tabs>
        <w:rPr>
          <w:lang w:val="fr-CA"/>
        </w:rPr>
      </w:pPr>
    </w:p>
    <w:p w:rsidR="006A5C80" w:rsidRPr="001C32F1" w:rsidRDefault="00A32ADE" w:rsidP="000B0ABA">
      <w:pPr>
        <w:pStyle w:val="SCCNormalDoubleSpacing"/>
        <w:tabs>
          <w:tab w:val="left" w:pos="1170"/>
        </w:tabs>
        <w:rPr>
          <w:lang w:val="fr-CA"/>
        </w:rPr>
      </w:pPr>
      <w:r w:rsidRPr="001C32F1">
        <w:rPr>
          <w:rStyle w:val="SCCCounselNameChar"/>
          <w:lang w:val="fr-CA"/>
        </w:rPr>
        <w:tab/>
        <w:t xml:space="preserve">Louis </w:t>
      </w:r>
      <w:proofErr w:type="spellStart"/>
      <w:r w:rsidRPr="001C32F1">
        <w:rPr>
          <w:rStyle w:val="SCCCounselNameChar"/>
          <w:lang w:val="fr-CA"/>
        </w:rPr>
        <w:t>Huot</w:t>
      </w:r>
      <w:proofErr w:type="spellEnd"/>
      <w:r w:rsidRPr="0089439F">
        <w:rPr>
          <w:rStyle w:val="SCCCounselPartyRoleChar"/>
        </w:rPr>
        <w:t>, pour l</w:t>
      </w:r>
      <w:r w:rsidR="00DD47D8" w:rsidRPr="0089439F">
        <w:rPr>
          <w:rStyle w:val="SCCCounselPartyRoleChar"/>
        </w:rPr>
        <w:t xml:space="preserve">es </w:t>
      </w:r>
      <w:r w:rsidRPr="0089439F">
        <w:rPr>
          <w:rStyle w:val="SCCCounselPartyRoleChar"/>
        </w:rPr>
        <w:t>intimé</w:t>
      </w:r>
      <w:r w:rsidR="003E1635" w:rsidRPr="0089439F">
        <w:rPr>
          <w:rStyle w:val="SCCCounselPartyRoleChar"/>
        </w:rPr>
        <w:t>e</w:t>
      </w:r>
      <w:r w:rsidR="00F01EC6" w:rsidRPr="0089439F">
        <w:rPr>
          <w:rStyle w:val="SCCCounselPartyRoleChar"/>
        </w:rPr>
        <w:t xml:space="preserve">s </w:t>
      </w:r>
      <w:proofErr w:type="spellStart"/>
      <w:r w:rsidR="00F01EC6" w:rsidRPr="0089439F">
        <w:rPr>
          <w:rStyle w:val="SCCCounselPartyRoleChar"/>
        </w:rPr>
        <w:t>Olymel</w:t>
      </w:r>
      <w:proofErr w:type="spellEnd"/>
      <w:r w:rsidR="00F01EC6" w:rsidRPr="0089439F">
        <w:rPr>
          <w:rStyle w:val="SCCCounselPartyRoleChar"/>
        </w:rPr>
        <w:t xml:space="preserve"> S.E.C., </w:t>
      </w:r>
      <w:proofErr w:type="spellStart"/>
      <w:r w:rsidR="00F01EC6" w:rsidRPr="0089439F">
        <w:rPr>
          <w:rStyle w:val="SCCCounselPartyRoleChar"/>
        </w:rPr>
        <w:t>Exceldor</w:t>
      </w:r>
      <w:proofErr w:type="spellEnd"/>
      <w:r w:rsidR="00F01EC6" w:rsidRPr="0089439F">
        <w:rPr>
          <w:rStyle w:val="SCCCounselPartyRoleChar"/>
        </w:rPr>
        <w:t xml:space="preserve"> coopé</w:t>
      </w:r>
      <w:r w:rsidR="00DD47D8" w:rsidRPr="0089439F">
        <w:rPr>
          <w:rStyle w:val="SCCCounselPartyRoleChar"/>
        </w:rPr>
        <w:t>rative</w:t>
      </w:r>
      <w:r w:rsidR="00F01EC6" w:rsidRPr="0089439F">
        <w:rPr>
          <w:rStyle w:val="SCCCounselPartyRoleChar"/>
        </w:rPr>
        <w:t xml:space="preserve"> avicole</w:t>
      </w:r>
      <w:r w:rsidR="00DD47D8" w:rsidRPr="0089439F">
        <w:rPr>
          <w:rStyle w:val="SCCCounselPartyRoleChar"/>
        </w:rPr>
        <w:t xml:space="preserve"> et </w:t>
      </w:r>
      <w:proofErr w:type="spellStart"/>
      <w:r w:rsidR="00DD47D8" w:rsidRPr="0089439F">
        <w:rPr>
          <w:rStyle w:val="SCCCounselPartyRoleChar"/>
        </w:rPr>
        <w:t>Supraliment</w:t>
      </w:r>
      <w:proofErr w:type="spellEnd"/>
      <w:r w:rsidR="00DD47D8" w:rsidRPr="0089439F">
        <w:rPr>
          <w:rStyle w:val="SCCCounselPartyRoleChar"/>
        </w:rPr>
        <w:t xml:space="preserve"> S.E.C.</w:t>
      </w:r>
    </w:p>
    <w:p w:rsidR="007A3768" w:rsidRDefault="007A3768" w:rsidP="008954DC">
      <w:pPr>
        <w:spacing w:line="480" w:lineRule="auto"/>
        <w:rPr>
          <w:lang w:val="fr-CA"/>
        </w:rPr>
      </w:pPr>
    </w:p>
    <w:p w:rsidR="007A3768" w:rsidRDefault="008954DC" w:rsidP="008954DC">
      <w:pPr>
        <w:spacing w:line="480" w:lineRule="auto"/>
        <w:rPr>
          <w:lang w:val="fr-CA"/>
        </w:rPr>
      </w:pPr>
      <w:r>
        <w:rPr>
          <w:lang w:val="fr-CA"/>
        </w:rPr>
        <w:tab/>
        <w:t>Version française du jugement de la Cour rendu par</w:t>
      </w:r>
    </w:p>
    <w:p w:rsidR="008954DC" w:rsidRPr="008954DC" w:rsidRDefault="008954DC" w:rsidP="008954DC">
      <w:pPr>
        <w:spacing w:line="480" w:lineRule="auto"/>
        <w:rPr>
          <w:lang w:val="fr-CA"/>
        </w:rPr>
      </w:pPr>
    </w:p>
    <w:p w:rsidR="007A3768" w:rsidRPr="00A95869" w:rsidRDefault="008954DC" w:rsidP="0076681E">
      <w:pPr>
        <w:pStyle w:val="ReasonsNumbering-AltN"/>
        <w:rPr>
          <w:lang w:val="fr-CA"/>
        </w:rPr>
      </w:pPr>
      <w:r w:rsidRPr="008954DC">
        <w:rPr>
          <w:smallCaps/>
          <w:lang w:val="fr-CA"/>
        </w:rPr>
        <w:t xml:space="preserve">Le juge </w:t>
      </w:r>
      <w:proofErr w:type="spellStart"/>
      <w:r w:rsidRPr="008954DC">
        <w:rPr>
          <w:smallCaps/>
          <w:lang w:val="fr-CA"/>
        </w:rPr>
        <w:t>LeBel</w:t>
      </w:r>
      <w:proofErr w:type="spellEnd"/>
      <w:r w:rsidRPr="008954DC">
        <w:rPr>
          <w:lang w:val="fr-CA"/>
        </w:rPr>
        <w:t xml:space="preserve"> — </w:t>
      </w:r>
      <w:r w:rsidR="007A3768" w:rsidRPr="00A95869">
        <w:rPr>
          <w:lang w:val="fr-CA"/>
        </w:rPr>
        <w:t xml:space="preserve">La principale question à trancher dans le présent pourvoi est de savoir si trois producteurs de viande, qui souhaitent poursuivre l’Institut professionnel de la fonction publique du Canada (« Institut ») et des vétérinaires au service de l’appelante, l’Agence canadienne d’inspection des aliments (« Agence »), pour avoir perturbé la commercialisation de leur viande, doivent d’abord présenter à la Cour fédérale une demande de contrôle judiciaire de la décision </w:t>
      </w:r>
      <w:r w:rsidR="007A3768" w:rsidRPr="00A95869">
        <w:rPr>
          <w:lang w:val="fr-CA"/>
        </w:rPr>
        <w:lastRenderedPageBreak/>
        <w:t>de l’Agence d’interdire la distribution de la viande en question.  Le pourvoi soulève une autre question importante : celle de déterminer si la décision d’un organisme administratif fédéral qui n’a pas été jugée illégale ou invalide dans le cadre d’une procédure de contrôle judiciaire peut servir de fondement à une conclusion de responsabilité civile en droit civil québécois.</w:t>
      </w:r>
    </w:p>
    <w:p w:rsidR="007A3768" w:rsidRPr="00A95869" w:rsidRDefault="007A3768" w:rsidP="0076681E">
      <w:pPr>
        <w:pStyle w:val="ReasonsNumbering-AltN"/>
        <w:rPr>
          <w:lang w:val="fr-CA"/>
        </w:rPr>
      </w:pPr>
      <w:r w:rsidRPr="00A95869">
        <w:rPr>
          <w:lang w:val="fr-CA"/>
        </w:rPr>
        <w:t xml:space="preserve">Comme dans le pourvoi connexe </w:t>
      </w:r>
      <w:r w:rsidRPr="00A95869">
        <w:rPr>
          <w:i/>
          <w:iCs/>
          <w:lang w:val="fr-CA"/>
        </w:rPr>
        <w:t xml:space="preserve">Canada (Procureur général) c. </w:t>
      </w:r>
      <w:proofErr w:type="spellStart"/>
      <w:r w:rsidRPr="00A95869">
        <w:rPr>
          <w:i/>
          <w:iCs/>
          <w:lang w:val="fr-CA"/>
        </w:rPr>
        <w:t>TeleZone</w:t>
      </w:r>
      <w:proofErr w:type="spellEnd"/>
      <w:r w:rsidR="008954DC">
        <w:rPr>
          <w:i/>
          <w:iCs/>
          <w:lang w:val="fr-CA"/>
        </w:rPr>
        <w:t xml:space="preserve"> </w:t>
      </w:r>
      <w:r w:rsidRPr="00A95869">
        <w:rPr>
          <w:i/>
          <w:iCs/>
          <w:lang w:val="fr-CA"/>
        </w:rPr>
        <w:t>Inc.</w:t>
      </w:r>
      <w:r w:rsidRPr="00A95869">
        <w:rPr>
          <w:lang w:val="fr-CA"/>
        </w:rPr>
        <w:t>, 2010 CSC 62,</w:t>
      </w:r>
      <w:r w:rsidR="008954DC">
        <w:rPr>
          <w:lang w:val="fr-CA"/>
        </w:rPr>
        <w:t xml:space="preserve"> [2010] 3 R.C.S. </w:t>
      </w:r>
      <w:r w:rsidR="00442374">
        <w:rPr>
          <w:lang w:val="fr-CA"/>
        </w:rPr>
        <w:t>585</w:t>
      </w:r>
      <w:r w:rsidR="008954DC">
        <w:rPr>
          <w:lang w:val="fr-CA"/>
        </w:rPr>
        <w:t>,</w:t>
      </w:r>
      <w:r w:rsidRPr="00A95869">
        <w:rPr>
          <w:lang w:val="fr-CA"/>
        </w:rPr>
        <w:t xml:space="preserve"> l’appelante qualifie l’action en dommages</w:t>
      </w:r>
      <w:r w:rsidR="008954DC">
        <w:rPr>
          <w:lang w:val="fr-CA"/>
        </w:rPr>
        <w:t>-</w:t>
      </w:r>
      <w:r w:rsidRPr="00A95869">
        <w:rPr>
          <w:lang w:val="fr-CA"/>
        </w:rPr>
        <w:t xml:space="preserve">intérêts de contestation indirecte de la décision administrative d’un organisme fédéral.  Pour les motifs exposés par le juge </w:t>
      </w:r>
      <w:proofErr w:type="spellStart"/>
      <w:r w:rsidRPr="00A95869">
        <w:rPr>
          <w:lang w:val="fr-CA"/>
        </w:rPr>
        <w:t>Binnie</w:t>
      </w:r>
      <w:proofErr w:type="spellEnd"/>
      <w:r w:rsidRPr="00A95869">
        <w:rPr>
          <w:lang w:val="fr-CA"/>
        </w:rPr>
        <w:t xml:space="preserve"> dans </w:t>
      </w:r>
      <w:proofErr w:type="spellStart"/>
      <w:r w:rsidRPr="00A95869">
        <w:rPr>
          <w:i/>
          <w:iCs/>
          <w:lang w:val="fr-CA"/>
        </w:rPr>
        <w:t>TeleZone</w:t>
      </w:r>
      <w:proofErr w:type="spellEnd"/>
      <w:r w:rsidRPr="00A95869">
        <w:rPr>
          <w:lang w:val="fr-CA"/>
        </w:rPr>
        <w:t>, et pour les motifs additionnels énoncés ci</w:t>
      </w:r>
      <w:r w:rsidR="008954DC">
        <w:rPr>
          <w:lang w:val="fr-CA"/>
        </w:rPr>
        <w:t>-</w:t>
      </w:r>
      <w:r w:rsidRPr="00A95869">
        <w:rPr>
          <w:lang w:val="fr-CA"/>
        </w:rPr>
        <w:t>après au sujet de la responsabilité civile extracontractuelle de l’État fédéral dans la province de Québec, l’objection à la compétence de la Cour supérieure du Québec doit être rejetée.  Je suis donc d’avis de rejeter l’appel.</w:t>
      </w:r>
    </w:p>
    <w:p w:rsidR="007A3768" w:rsidRPr="008954DC" w:rsidRDefault="008954DC" w:rsidP="008954DC">
      <w:pPr>
        <w:tabs>
          <w:tab w:val="left" w:pos="720"/>
        </w:tabs>
        <w:spacing w:after="480"/>
        <w:ind w:left="720" w:hanging="720"/>
        <w:rPr>
          <w:u w:val="single"/>
        </w:rPr>
      </w:pPr>
      <w:r w:rsidRPr="008954DC">
        <w:t>I.</w:t>
      </w:r>
      <w:r w:rsidRPr="008954DC">
        <w:tab/>
      </w:r>
      <w:proofErr w:type="spellStart"/>
      <w:r w:rsidR="007A3768" w:rsidRPr="008954DC">
        <w:rPr>
          <w:u w:val="single"/>
        </w:rPr>
        <w:t>Faits</w:t>
      </w:r>
      <w:proofErr w:type="spellEnd"/>
    </w:p>
    <w:p w:rsidR="007A3768" w:rsidRPr="00A95869" w:rsidRDefault="007A3768" w:rsidP="0076681E">
      <w:pPr>
        <w:pStyle w:val="ReasonsNumbering-AltN"/>
        <w:rPr>
          <w:caps/>
          <w:u w:val="single"/>
          <w:lang w:val="fr-CA"/>
        </w:rPr>
      </w:pPr>
      <w:r w:rsidRPr="00A95869">
        <w:rPr>
          <w:lang w:val="fr-CA"/>
        </w:rPr>
        <w:t xml:space="preserve">Les intimées Olymel S.E.C. et </w:t>
      </w:r>
      <w:proofErr w:type="spellStart"/>
      <w:r w:rsidRPr="00A95869">
        <w:rPr>
          <w:lang w:val="fr-CA"/>
        </w:rPr>
        <w:t>Exceldor</w:t>
      </w:r>
      <w:proofErr w:type="spellEnd"/>
      <w:r w:rsidRPr="00A95869">
        <w:rPr>
          <w:lang w:val="fr-CA"/>
        </w:rPr>
        <w:t xml:space="preserve"> coopérative avicole et le prédécesseur de l’intimée </w:t>
      </w:r>
      <w:proofErr w:type="spellStart"/>
      <w:r w:rsidRPr="00A95869">
        <w:rPr>
          <w:lang w:val="fr-CA"/>
        </w:rPr>
        <w:t>Supraliment</w:t>
      </w:r>
      <w:proofErr w:type="spellEnd"/>
      <w:r w:rsidRPr="00A95869">
        <w:rPr>
          <w:lang w:val="fr-CA"/>
        </w:rPr>
        <w:t xml:space="preserve"> S.E.C. exploitaient des abattoirs de porcs et de volailles au Québec (ces trois intimés seront appelés collectivement les « exploitants d’abattoirs »).  Dans chaque abattoir, les vétérinaires au service de l’Agence étaient chargés d’autoriser l’abattage des animaux et de procéder à des inspections avant et après leur mort.  Les vétérinaires étaient représentés par l’Institut, leur agent </w:t>
      </w:r>
      <w:r w:rsidRPr="00A95869">
        <w:rPr>
          <w:lang w:val="fr-CA"/>
        </w:rPr>
        <w:lastRenderedPageBreak/>
        <w:t>négociateur, et tant les vétérinaires que l’Institut sont parties au pourvoi en qualité d’intimés.</w:t>
      </w:r>
    </w:p>
    <w:p w:rsidR="007A3768" w:rsidRPr="00A95869" w:rsidRDefault="007A3768" w:rsidP="0076681E">
      <w:pPr>
        <w:pStyle w:val="ReasonsNumbering-AltN"/>
        <w:rPr>
          <w:caps/>
          <w:u w:val="single"/>
          <w:lang w:val="fr-CA"/>
        </w:rPr>
      </w:pPr>
      <w:r w:rsidRPr="00A95869">
        <w:rPr>
          <w:lang w:val="fr-CA"/>
        </w:rPr>
        <w:t>En décembre 2001, les vétérinaires étaient engagés dans un conflit de travail avec l’Agence et ils se trouvaient sans convention collective depuis plus d’un an.  Le 17 décembre 2001, les vétérinaires ne se sont pas présentés au travail.</w:t>
      </w:r>
    </w:p>
    <w:p w:rsidR="007A3768" w:rsidRPr="00A95869" w:rsidRDefault="007A3768" w:rsidP="0076681E">
      <w:pPr>
        <w:pStyle w:val="ReasonsNumbering-AltN"/>
        <w:rPr>
          <w:caps/>
          <w:u w:val="single"/>
          <w:lang w:val="fr-CA"/>
        </w:rPr>
      </w:pPr>
      <w:r w:rsidRPr="00A95869">
        <w:rPr>
          <w:lang w:val="fr-CA"/>
        </w:rPr>
        <w:t xml:space="preserve">Quatre jours plus tard, la Cour fédérale a rendu une injonction interlocutoire enjoignant à l’Institut de ne plus provoquer de moyens de pression ayant pour effet d’empêcher les vétérinaires de faire les inspections requises par le </w:t>
      </w:r>
      <w:r w:rsidRPr="00A95869">
        <w:rPr>
          <w:i/>
          <w:iCs/>
          <w:lang w:val="fr-CA"/>
        </w:rPr>
        <w:t>Règlement de 1990 sur l’inspection des viandes</w:t>
      </w:r>
      <w:r w:rsidRPr="00A95869">
        <w:rPr>
          <w:lang w:val="fr-CA"/>
        </w:rPr>
        <w:t>, DORS/90</w:t>
      </w:r>
      <w:r w:rsidRPr="00A95869">
        <w:rPr>
          <w:lang w:val="fr-CA"/>
        </w:rPr>
        <w:noBreakHyphen/>
        <w:t>288 (« Règlement »)</w:t>
      </w:r>
      <w:r w:rsidR="00442374">
        <w:rPr>
          <w:lang w:val="fr-CA"/>
        </w:rPr>
        <w:t>,</w:t>
      </w:r>
      <w:r w:rsidRPr="00A95869">
        <w:rPr>
          <w:lang w:val="fr-CA"/>
        </w:rPr>
        <w:t xml:space="preserve"> dans les abattoirs auxquels ils étaient affectés ou de nuire à ces inspections.  Cette injonction interlocutoire n’a pas été portée en appel.  Le 30 janvier 2002, la Commission des relations de travail dans la fonction publique du Canada a conclu que le refus des vétérinaires de se présenter au travail équivalait à une grève illégale.</w:t>
      </w:r>
    </w:p>
    <w:p w:rsidR="007A3768" w:rsidRPr="00A95869" w:rsidRDefault="00D530B4" w:rsidP="0076681E">
      <w:pPr>
        <w:pStyle w:val="ReasonsNumbering-AltN"/>
        <w:rPr>
          <w:caps/>
          <w:u w:val="single"/>
          <w:lang w:val="fr-CA"/>
        </w:rPr>
      </w:pPr>
      <w:r>
        <w:rPr>
          <w:lang w:val="fr-CA"/>
        </w:rPr>
        <w:t xml:space="preserve">Le 7 </w:t>
      </w:r>
      <w:r w:rsidR="007A3768" w:rsidRPr="00A95869">
        <w:rPr>
          <w:lang w:val="fr-CA"/>
        </w:rPr>
        <w:t xml:space="preserve">février 2002, le directeur </w:t>
      </w:r>
      <w:r w:rsidR="000D43DC">
        <w:rPr>
          <w:lang w:val="fr-CA"/>
        </w:rPr>
        <w:t>exécutif</w:t>
      </w:r>
      <w:r w:rsidR="007A3768" w:rsidRPr="00A95869">
        <w:rPr>
          <w:lang w:val="fr-CA"/>
        </w:rPr>
        <w:t xml:space="preserve"> de l’Agence au Québec a communiqué une note de service relative à la distribution pour consommation humaine, sur </w:t>
      </w:r>
      <w:proofErr w:type="gramStart"/>
      <w:r w:rsidR="007A3768" w:rsidRPr="00A95869">
        <w:rPr>
          <w:lang w:val="fr-CA"/>
        </w:rPr>
        <w:t>les marchés national</w:t>
      </w:r>
      <w:proofErr w:type="gramEnd"/>
      <w:r w:rsidR="007A3768" w:rsidRPr="00A95869">
        <w:rPr>
          <w:lang w:val="fr-CA"/>
        </w:rPr>
        <w:t xml:space="preserve"> et international, de la viande et des produits de viande issus des animaux qui avaient été abattus durant l’arrêt de travail.  Selon lui, comme les vétérinaires n’étaient pas disponibles pour mener des inspections aux abattoirs pendant la période pertinente, la viande et les produits de viande ne </w:t>
      </w:r>
      <w:r w:rsidR="007A3768" w:rsidRPr="00A95869">
        <w:rPr>
          <w:lang w:val="fr-CA"/>
        </w:rPr>
        <w:lastRenderedPageBreak/>
        <w:t>satisfaisaient pas aux exigences du Règlement.  Il fallait donc détruire cette viande et ces produits de viande ou les traiter comme des matières non comestibles.</w:t>
      </w:r>
    </w:p>
    <w:p w:rsidR="007A3768" w:rsidRPr="00A95869" w:rsidRDefault="007A3768" w:rsidP="0076681E">
      <w:pPr>
        <w:pStyle w:val="ReasonsNumbering-AltN"/>
        <w:rPr>
          <w:lang w:val="fr-CA"/>
        </w:rPr>
      </w:pPr>
      <w:r w:rsidRPr="00A95869">
        <w:rPr>
          <w:lang w:val="fr-CA"/>
        </w:rPr>
        <w:t>Les exploitants d’abattoirs n’ont pas sollicité le contrôle judiciaire de la note de service de l’Agence.  Ils ont plutôt intenté une action devant la Cour supérieure du Québec, le 10</w:t>
      </w:r>
      <w:r w:rsidR="00D530B4">
        <w:rPr>
          <w:lang w:val="fr-CA"/>
        </w:rPr>
        <w:t xml:space="preserve"> </w:t>
      </w:r>
      <w:r w:rsidRPr="00A95869">
        <w:rPr>
          <w:lang w:val="fr-CA"/>
        </w:rPr>
        <w:t>décembre 2004, en vue d’obtenir de l’Institut e</w:t>
      </w:r>
      <w:r w:rsidR="00D530B4">
        <w:rPr>
          <w:lang w:val="fr-CA"/>
        </w:rPr>
        <w:t>t des vétérinaires des dommages-</w:t>
      </w:r>
      <w:r w:rsidRPr="00A95869">
        <w:rPr>
          <w:lang w:val="fr-CA"/>
        </w:rPr>
        <w:t>intérêts de près de 1,8</w:t>
      </w:r>
      <w:r w:rsidR="00D530B4">
        <w:rPr>
          <w:lang w:val="fr-CA"/>
        </w:rPr>
        <w:t xml:space="preserve"> </w:t>
      </w:r>
      <w:r w:rsidRPr="00A95869">
        <w:rPr>
          <w:lang w:val="fr-CA"/>
        </w:rPr>
        <w:t>million de dollars.  Dans leur requête introductive d’instance, les exploitants d’abattoirs ont allégué que les vétérinaires « savaient ou devaient savoir » que les actes illégaux qu’ils ont commis le 17 décembre 2001 avec l’encouragement de l’Institut « aurai[</w:t>
      </w:r>
      <w:proofErr w:type="spellStart"/>
      <w:r w:rsidRPr="00A95869">
        <w:rPr>
          <w:lang w:val="fr-CA"/>
        </w:rPr>
        <w:t>ent</w:t>
      </w:r>
      <w:proofErr w:type="spellEnd"/>
      <w:r w:rsidRPr="00A95869">
        <w:rPr>
          <w:lang w:val="fr-CA"/>
        </w:rPr>
        <w:t xml:space="preserve">] pour effet immédiat d’arrêter l’abattage et de faire en sorte que, après de longues heures, les animaux meurent de soif, de faim ou d’asphyxie dans les cageots des camions d’approvisionnement où ils étaient retenus ».  Selon les exploitants d’abattoirs, la viande qui </w:t>
      </w:r>
      <w:r w:rsidR="00D530B4">
        <w:rPr>
          <w:lang w:val="fr-CA"/>
        </w:rPr>
        <w:t xml:space="preserve">n’avait pas été inspectée le 17 </w:t>
      </w:r>
      <w:r w:rsidRPr="00A95869">
        <w:rPr>
          <w:lang w:val="fr-CA"/>
        </w:rPr>
        <w:t xml:space="preserve">décembre 2001 ne pouvait pas être distribuée aux fins de consommation humaine.  De plus, leurs horaires de livraison et d’abattage ont été perturbés pendant plusieurs semaines et cette situation a eu une incidence sur la commercialisation de leur viande. </w:t>
      </w:r>
    </w:p>
    <w:p w:rsidR="007A3768" w:rsidRPr="00A95869" w:rsidRDefault="007A3768" w:rsidP="0076681E">
      <w:pPr>
        <w:pStyle w:val="ReasonsNumbering-AltN"/>
        <w:rPr>
          <w:lang w:val="fr-CA"/>
        </w:rPr>
      </w:pPr>
      <w:r w:rsidRPr="00A95869">
        <w:rPr>
          <w:lang w:val="fr-CA"/>
        </w:rPr>
        <w:t>Dans leurs défenses, l’Institut et les vétérinaires ont plaidé l’absence de lien de causalité entre l’arrêt de travail des vétérinaires et le préjudice allégué.  Ce préjudice, s’il en est, découlait non pas de l’arrêt de travail, mais des décisions de l’Agence de ne pas effectuer l’abattage des an</w:t>
      </w:r>
      <w:r w:rsidR="00D530B4">
        <w:rPr>
          <w:lang w:val="fr-CA"/>
        </w:rPr>
        <w:t xml:space="preserve">imaux ou de l’interrompre le 17 </w:t>
      </w:r>
      <w:r w:rsidRPr="00A95869">
        <w:rPr>
          <w:lang w:val="fr-CA"/>
        </w:rPr>
        <w:t xml:space="preserve">décembre 2001, et d’ordonner ensuite la destruction des animaux abattus.  Avant de </w:t>
      </w:r>
      <w:r w:rsidRPr="00A95869">
        <w:rPr>
          <w:lang w:val="fr-CA"/>
        </w:rPr>
        <w:lastRenderedPageBreak/>
        <w:t>déposer leurs défenses, l’Institut et les vétérinaires ont exercé chacun un recours en  garantie contre l’Agence, pour les m</w:t>
      </w:r>
      <w:r w:rsidR="002660E3">
        <w:rPr>
          <w:lang w:val="fr-CA"/>
        </w:rPr>
        <w:t xml:space="preserve">êmes motifs, en vertu de l’art. </w:t>
      </w:r>
      <w:r w:rsidRPr="00A95869">
        <w:rPr>
          <w:lang w:val="fr-CA"/>
        </w:rPr>
        <w:t xml:space="preserve">216 du </w:t>
      </w:r>
      <w:r w:rsidRPr="00A95869">
        <w:rPr>
          <w:i/>
          <w:iCs/>
          <w:lang w:val="fr-CA"/>
        </w:rPr>
        <w:t xml:space="preserve">Code de procédure civile </w:t>
      </w:r>
      <w:r w:rsidRPr="00A95869">
        <w:rPr>
          <w:iCs/>
          <w:lang w:val="fr-CA"/>
        </w:rPr>
        <w:t>du Québec, L.R.Q</w:t>
      </w:r>
      <w:r w:rsidR="000D43DC">
        <w:rPr>
          <w:lang w:val="fr-CA"/>
        </w:rPr>
        <w:t>., c</w:t>
      </w:r>
      <w:r w:rsidR="00D530B4">
        <w:rPr>
          <w:lang w:val="fr-CA"/>
        </w:rPr>
        <w:t>h</w:t>
      </w:r>
      <w:r w:rsidR="000D43DC">
        <w:rPr>
          <w:lang w:val="fr-CA"/>
        </w:rPr>
        <w:t xml:space="preserve">. </w:t>
      </w:r>
      <w:r w:rsidRPr="00A95869">
        <w:rPr>
          <w:lang w:val="fr-CA"/>
        </w:rPr>
        <w:t>C</w:t>
      </w:r>
      <w:r w:rsidRPr="00A95869">
        <w:rPr>
          <w:lang w:val="fr-CA"/>
        </w:rPr>
        <w:noBreakHyphen/>
        <w:t>25.</w:t>
      </w:r>
    </w:p>
    <w:p w:rsidR="007A3768" w:rsidRPr="00A95869" w:rsidRDefault="007A3768" w:rsidP="0076681E">
      <w:pPr>
        <w:pStyle w:val="ReasonsNumbering-AltN"/>
        <w:rPr>
          <w:lang w:val="fr-CA"/>
        </w:rPr>
      </w:pPr>
      <w:r w:rsidRPr="00A95869">
        <w:rPr>
          <w:lang w:val="fr-CA"/>
        </w:rPr>
        <w:t>En réponse, l’Agence a présenté des requêtes en irrecevabilité des recours en garantie. Selon elle, la note de service du 7</w:t>
      </w:r>
      <w:r w:rsidR="00D530B4">
        <w:rPr>
          <w:lang w:val="fr-CA"/>
        </w:rPr>
        <w:t xml:space="preserve"> </w:t>
      </w:r>
      <w:r w:rsidRPr="00A95869">
        <w:rPr>
          <w:lang w:val="fr-CA"/>
        </w:rPr>
        <w:t>février 2002 était une décision d’un office fédéral à l’égard de laquelle la Cour supérieure ne pouvait pas avoir compétence sans que la décision ne soit au préalable annulée par la Cour fédérale à l’issue d’une procédure de contrôle judiciaire.  L’Agence a ajouté que les recours en garantie équivalaient à un appel déguisé de l’injonction interlocutoire prono</w:t>
      </w:r>
      <w:r w:rsidR="00D530B4">
        <w:rPr>
          <w:lang w:val="fr-CA"/>
        </w:rPr>
        <w:t xml:space="preserve">ncée par la Cour fédérale le 21 </w:t>
      </w:r>
      <w:r w:rsidRPr="00A95869">
        <w:rPr>
          <w:lang w:val="fr-CA"/>
        </w:rPr>
        <w:t>décembre 2001, qui était chose jugée, et que les recours constituaient donc un abus de procédure.  L’Agence a ajouté qu’elle n’était pas le commettant des vétérinaires, mais un mandataire de l’État fédéral, et qu’elle n’était donc pas responsable de leurs actes.  Enfin, l’Agence a soutenu que les faits allégués par l’Institut et les vétérinaires à l’appui de leurs recours en garantie ne pourraient étayer une conclusion de responsabilité extracontractuelle, en l’absence de tout rapport juridique entre eux et l’Agence.</w:t>
      </w:r>
    </w:p>
    <w:p w:rsidR="007A3768" w:rsidRPr="00A95869" w:rsidRDefault="007A3768" w:rsidP="0076681E">
      <w:pPr>
        <w:pStyle w:val="ReasonsNumbering-AltN"/>
        <w:rPr>
          <w:lang w:val="fr-CA"/>
        </w:rPr>
      </w:pPr>
      <w:r w:rsidRPr="00A95869">
        <w:rPr>
          <w:lang w:val="fr-CA"/>
        </w:rPr>
        <w:t xml:space="preserve">Les exploitants d’abattoirs n’ont présenté que de brèves observations </w:t>
      </w:r>
      <w:r w:rsidRPr="00A95869">
        <w:rPr>
          <w:lang w:val="fr-FR"/>
        </w:rPr>
        <w:t>— en première instance, en appel et devant notre Cour —</w:t>
      </w:r>
      <w:r w:rsidRPr="00A95869">
        <w:rPr>
          <w:lang w:val="fr-CA"/>
        </w:rPr>
        <w:t xml:space="preserve"> pour clarifier certains faits.  Ils ont prétendu que la décision contestée de l’Agence était légale et rendue conformément à la législation existante afin de protéger la santé publique et de maintenir la confiance du public à l’égard de la salubrité des aliments et du régime </w:t>
      </w:r>
      <w:r w:rsidRPr="00A95869">
        <w:rPr>
          <w:lang w:val="fr-CA"/>
        </w:rPr>
        <w:lastRenderedPageBreak/>
        <w:t>d’abattage des animaux au Canada.  Si l’Institut ou les vétérinaires étaient d’avis que la décision de l’Agence était erronée, ils auraient dû en demander le contrôle judiciaire, ce qu’ils n’ont pas fait.</w:t>
      </w:r>
    </w:p>
    <w:p w:rsidR="007A3768" w:rsidRPr="001C32F1" w:rsidRDefault="007A3768" w:rsidP="008954DC">
      <w:pPr>
        <w:tabs>
          <w:tab w:val="left" w:pos="720"/>
        </w:tabs>
        <w:spacing w:after="480"/>
        <w:ind w:left="720" w:hanging="720"/>
        <w:rPr>
          <w:caps/>
          <w:u w:val="single"/>
          <w:lang w:val="fr-CA"/>
        </w:rPr>
      </w:pPr>
      <w:r w:rsidRPr="001C32F1">
        <w:rPr>
          <w:caps/>
          <w:lang w:val="fr-CA"/>
        </w:rPr>
        <w:t>II</w:t>
      </w:r>
      <w:r w:rsidRPr="008954DC">
        <w:rPr>
          <w:lang w:val="fr-CA"/>
        </w:rPr>
        <w:t>.</w:t>
      </w:r>
      <w:r w:rsidR="008954DC" w:rsidRPr="008954DC">
        <w:rPr>
          <w:lang w:val="fr-CA"/>
        </w:rPr>
        <w:tab/>
      </w:r>
      <w:r w:rsidRPr="001C32F1">
        <w:rPr>
          <w:u w:val="single"/>
          <w:lang w:val="fr-CA"/>
        </w:rPr>
        <w:t>Historique judiciaire</w:t>
      </w:r>
      <w:r w:rsidRPr="001C32F1">
        <w:rPr>
          <w:caps/>
          <w:u w:val="single"/>
          <w:lang w:val="fr-CA"/>
        </w:rPr>
        <w:t xml:space="preserve"> </w:t>
      </w:r>
    </w:p>
    <w:p w:rsidR="007A3768" w:rsidRPr="008954DC" w:rsidRDefault="008954DC" w:rsidP="008954DC">
      <w:pPr>
        <w:tabs>
          <w:tab w:val="left" w:pos="720"/>
        </w:tabs>
        <w:spacing w:after="480"/>
        <w:ind w:left="720" w:hanging="720"/>
        <w:rPr>
          <w:i/>
          <w:iCs/>
          <w:lang w:val="fr-CA"/>
        </w:rPr>
      </w:pPr>
      <w:r w:rsidRPr="008954DC">
        <w:rPr>
          <w:iCs/>
          <w:lang w:val="fr-CA"/>
        </w:rPr>
        <w:t>A</w:t>
      </w:r>
      <w:r w:rsidRPr="008954DC">
        <w:rPr>
          <w:iCs/>
          <w:caps/>
          <w:lang w:val="fr-CA"/>
        </w:rPr>
        <w:t>.</w:t>
      </w:r>
      <w:r>
        <w:rPr>
          <w:i/>
          <w:iCs/>
          <w:lang w:val="fr-CA"/>
        </w:rPr>
        <w:tab/>
      </w:r>
      <w:r w:rsidR="007A3768" w:rsidRPr="008954DC">
        <w:rPr>
          <w:i/>
          <w:iCs/>
          <w:lang w:val="fr-CA"/>
        </w:rPr>
        <w:t xml:space="preserve">Cour supérieure du Québec (le juge </w:t>
      </w:r>
      <w:proofErr w:type="spellStart"/>
      <w:r w:rsidR="007A3768" w:rsidRPr="008954DC">
        <w:rPr>
          <w:i/>
          <w:iCs/>
          <w:lang w:val="fr-CA"/>
        </w:rPr>
        <w:t>Barakett</w:t>
      </w:r>
      <w:proofErr w:type="spellEnd"/>
      <w:r w:rsidR="007A3768" w:rsidRPr="008954DC">
        <w:rPr>
          <w:i/>
          <w:iCs/>
          <w:lang w:val="fr-CA"/>
        </w:rPr>
        <w:t>), 2007 QCCS 1791 (</w:t>
      </w:r>
      <w:proofErr w:type="spellStart"/>
      <w:r w:rsidR="007A3768" w:rsidRPr="008954DC">
        <w:rPr>
          <w:i/>
          <w:iCs/>
          <w:lang w:val="fr-CA"/>
        </w:rPr>
        <w:t>CanLII</w:t>
      </w:r>
      <w:proofErr w:type="spellEnd"/>
      <w:r w:rsidR="007A3768" w:rsidRPr="008954DC">
        <w:rPr>
          <w:i/>
          <w:iCs/>
          <w:lang w:val="fr-CA"/>
        </w:rPr>
        <w:t>)</w:t>
      </w:r>
    </w:p>
    <w:p w:rsidR="007A3768" w:rsidRPr="00A95869" w:rsidRDefault="007A3768" w:rsidP="0076681E">
      <w:pPr>
        <w:pStyle w:val="ReasonsNumbering-AltN"/>
        <w:rPr>
          <w:lang w:val="fr-CA"/>
        </w:rPr>
      </w:pPr>
      <w:r w:rsidRPr="00A95869">
        <w:rPr>
          <w:lang w:val="fr-CA"/>
        </w:rPr>
        <w:t xml:space="preserve">Le juge </w:t>
      </w:r>
      <w:proofErr w:type="spellStart"/>
      <w:r w:rsidRPr="00A95869">
        <w:rPr>
          <w:lang w:val="fr-CA"/>
        </w:rPr>
        <w:t>Barakett</w:t>
      </w:r>
      <w:proofErr w:type="spellEnd"/>
      <w:r w:rsidRPr="00A95869">
        <w:rPr>
          <w:lang w:val="fr-CA"/>
        </w:rPr>
        <w:t xml:space="preserve"> a rejeté les requêtes en irrecevabilité des recours en garantie présentées par l’Agence.  Selon lui, pour l’application de l’art</w:t>
      </w:r>
      <w:r w:rsidR="000D43DC">
        <w:rPr>
          <w:lang w:val="fr-CA"/>
        </w:rPr>
        <w:t xml:space="preserve">. </w:t>
      </w:r>
      <w:r w:rsidRPr="00A95869">
        <w:rPr>
          <w:lang w:val="fr-CA"/>
        </w:rPr>
        <w:t xml:space="preserve">216 du </w:t>
      </w:r>
      <w:r w:rsidRPr="00A95869">
        <w:rPr>
          <w:i/>
          <w:iCs/>
          <w:lang w:val="fr-CA"/>
        </w:rPr>
        <w:t xml:space="preserve">Code de procédure civile </w:t>
      </w:r>
      <w:r w:rsidRPr="00A95869">
        <w:rPr>
          <w:lang w:val="fr-CA"/>
        </w:rPr>
        <w:t>du Québec, un recours en garantie exige un rapport juridique entre le demandeur et le tiers et un lien assez étroit, entre le recours en garantie et l’instance principale, pour que les deux recours ne puissent être jugés par des tribunaux différents sans risque de jugements contradictoires.  Le juge de première instance a conclu que l’existence d’un tel rapport juridique entre l’Institut, les vétérinaires et l’Agence avait été établie.  L’Agence, par sa faute, avait contribué au préjudice allégué par les exploitants d’abattoirs et en était donc, à première vue, solidairement responsable avec l’Institut et les vétérinaires.  De plus, les recours en garantie et l’action principale étaient liés puisqu’ils mettaient en cause les mêmes faits et qu’il y aurait un risque de jugements contradictoires si les demandes étaient instruites séparément.  Le juge de première instance a aussi conclu que, quoi qu’il en soit, la présence de l’Agence s’imposait pour permettre une solution complète</w:t>
      </w:r>
      <w:r w:rsidR="000D43DC">
        <w:rPr>
          <w:lang w:val="fr-CA"/>
        </w:rPr>
        <w:t xml:space="preserve"> du litige au sens de l’art. </w:t>
      </w:r>
      <w:r w:rsidRPr="00A95869">
        <w:rPr>
          <w:lang w:val="fr-CA"/>
        </w:rPr>
        <w:t>216.</w:t>
      </w:r>
    </w:p>
    <w:p w:rsidR="007A3768" w:rsidRPr="00A95869" w:rsidRDefault="007A3768" w:rsidP="0076681E">
      <w:pPr>
        <w:pStyle w:val="ReasonsNumbering-AltN"/>
        <w:rPr>
          <w:lang w:val="fr-CA"/>
        </w:rPr>
      </w:pPr>
      <w:r w:rsidRPr="00A95869">
        <w:rPr>
          <w:lang w:val="fr-CA"/>
        </w:rPr>
        <w:lastRenderedPageBreak/>
        <w:t>Le jug</w:t>
      </w:r>
      <w:r w:rsidRPr="001C32F1">
        <w:rPr>
          <w:lang w:val="fr-CA"/>
        </w:rPr>
        <w:t>e</w:t>
      </w:r>
      <w:r w:rsidRPr="00A95869">
        <w:rPr>
          <w:lang w:val="fr-CA"/>
        </w:rPr>
        <w:t xml:space="preserve"> </w:t>
      </w:r>
      <w:proofErr w:type="spellStart"/>
      <w:r w:rsidRPr="00A95869">
        <w:rPr>
          <w:lang w:val="fr-CA"/>
        </w:rPr>
        <w:t>Barakett</w:t>
      </w:r>
      <w:proofErr w:type="spellEnd"/>
      <w:r w:rsidRPr="00A95869">
        <w:rPr>
          <w:lang w:val="fr-CA"/>
        </w:rPr>
        <w:t xml:space="preserve"> a rejeté l’argument de l’Agence qu’en raison de la présomption de légalité et de validité applicable aux décisions administratives d’un office fédéral, hormis les cas d’annulation par la Cour fédérale à l’issue d’une procédure de contrôle judiciaire, ces décisions ne peuvent pas servir de fondement à la responsabilité civile de l’État fédéral.  Il a fait remarquer que, malgré son caractère légal et valide, la décision d’un office fédéral peut constituer une faute civile et servir de fondement à une action en </w:t>
      </w:r>
      <w:proofErr w:type="spellStart"/>
      <w:r w:rsidRPr="00A95869">
        <w:rPr>
          <w:lang w:val="fr-CA"/>
        </w:rPr>
        <w:t>dommages</w:t>
      </w:r>
      <w:r w:rsidRPr="00A95869">
        <w:rPr>
          <w:lang w:val="fr-CA"/>
        </w:rPr>
        <w:noBreakHyphen/>
        <w:t>intérêts</w:t>
      </w:r>
      <w:proofErr w:type="spellEnd"/>
      <w:r w:rsidRPr="00A95869">
        <w:rPr>
          <w:lang w:val="fr-CA"/>
        </w:rPr>
        <w:t xml:space="preserve"> intentée devant la Cour supérieure.</w:t>
      </w:r>
    </w:p>
    <w:p w:rsidR="007A3768" w:rsidRPr="00A95869" w:rsidRDefault="007A3768" w:rsidP="0076681E">
      <w:pPr>
        <w:pStyle w:val="ReasonsNumbering-AltN"/>
        <w:rPr>
          <w:iCs/>
          <w:lang w:val="fr-CA"/>
        </w:rPr>
      </w:pPr>
      <w:r w:rsidRPr="00A95869">
        <w:rPr>
          <w:lang w:val="fr-CA"/>
        </w:rPr>
        <w:t xml:space="preserve">Enfin, le juge </w:t>
      </w:r>
      <w:proofErr w:type="spellStart"/>
      <w:r w:rsidRPr="00A95869">
        <w:rPr>
          <w:lang w:val="fr-CA"/>
        </w:rPr>
        <w:t>Barakett</w:t>
      </w:r>
      <w:proofErr w:type="spellEnd"/>
      <w:r w:rsidRPr="00A95869">
        <w:rPr>
          <w:lang w:val="fr-CA"/>
        </w:rPr>
        <w:t xml:space="preserve"> a conclu que l’Agence avait agi à titre de commettant des vétérinaires et que, de toute façon, une conclusion contraire ne justifierait pas à elle seule le rejet des recours en garantie à ce stade préliminai</w:t>
      </w:r>
      <w:r w:rsidR="000D43DC">
        <w:rPr>
          <w:lang w:val="fr-CA"/>
        </w:rPr>
        <w:t xml:space="preserve">re.  Se fondant sur </w:t>
      </w:r>
      <w:proofErr w:type="gramStart"/>
      <w:r w:rsidR="000D43DC">
        <w:rPr>
          <w:lang w:val="fr-CA"/>
        </w:rPr>
        <w:t>les art</w:t>
      </w:r>
      <w:proofErr w:type="gramEnd"/>
      <w:r w:rsidR="000D43DC">
        <w:rPr>
          <w:lang w:val="fr-CA"/>
        </w:rPr>
        <w:t xml:space="preserve">. </w:t>
      </w:r>
      <w:r w:rsidRPr="00A95869">
        <w:rPr>
          <w:lang w:val="fr-CA"/>
        </w:rPr>
        <w:t xml:space="preserve">12 et 13 de la </w:t>
      </w:r>
      <w:r w:rsidRPr="00A95869">
        <w:rPr>
          <w:i/>
          <w:iCs/>
          <w:lang w:val="fr-CA"/>
        </w:rPr>
        <w:t>Loi sur l’Agence canadienne d’inspection des aliments</w:t>
      </w:r>
      <w:r w:rsidR="002660E3">
        <w:rPr>
          <w:lang w:val="fr-CA"/>
        </w:rPr>
        <w:t xml:space="preserve">, L.C. 1997, ch. </w:t>
      </w:r>
      <w:r w:rsidRPr="00A95869">
        <w:rPr>
          <w:lang w:val="fr-CA"/>
        </w:rPr>
        <w:t xml:space="preserve">6, le juge </w:t>
      </w:r>
      <w:proofErr w:type="spellStart"/>
      <w:r w:rsidRPr="00A95869">
        <w:rPr>
          <w:lang w:val="fr-CA"/>
        </w:rPr>
        <w:t>Barakett</w:t>
      </w:r>
      <w:proofErr w:type="spellEnd"/>
      <w:r w:rsidRPr="00A95869">
        <w:rPr>
          <w:lang w:val="fr-CA"/>
        </w:rPr>
        <w:t xml:space="preserve"> a conclu que l’Agence avait exercé de fait le rôle de commettant à l’égard de ses employés.  Il estimait aussi que la </w:t>
      </w:r>
      <w:r w:rsidRPr="00A95869">
        <w:rPr>
          <w:i/>
          <w:iCs/>
          <w:lang w:val="fr-CA"/>
        </w:rPr>
        <w:t>Loi sur la responsabilité civile de l’État et le contentieux administratif</w:t>
      </w:r>
      <w:r w:rsidRPr="00A95869">
        <w:rPr>
          <w:lang w:val="fr-CA"/>
        </w:rPr>
        <w:t>, L.R.C. 1985, ch.</w:t>
      </w:r>
      <w:r w:rsidR="000D43DC">
        <w:rPr>
          <w:lang w:val="fr-CA"/>
        </w:rPr>
        <w:t xml:space="preserve"> </w:t>
      </w:r>
      <w:r w:rsidRPr="00A95869">
        <w:rPr>
          <w:lang w:val="fr-CA"/>
        </w:rPr>
        <w:t>C</w:t>
      </w:r>
      <w:r w:rsidRPr="00A95869">
        <w:rPr>
          <w:lang w:val="fr-CA"/>
        </w:rPr>
        <w:noBreakHyphen/>
        <w:t>50, et l’art</w:t>
      </w:r>
      <w:r w:rsidR="000D43DC">
        <w:rPr>
          <w:lang w:val="fr-CA"/>
        </w:rPr>
        <w:t>.</w:t>
      </w:r>
      <w:r w:rsidRPr="00A95869">
        <w:rPr>
          <w:lang w:val="fr-CA"/>
        </w:rPr>
        <w:t xml:space="preserve"> 15 de la </w:t>
      </w:r>
      <w:r w:rsidRPr="00A95869">
        <w:rPr>
          <w:i/>
          <w:iCs/>
          <w:lang w:val="fr-CA"/>
        </w:rPr>
        <w:t>Loi sur l’Agence canadienne d’inspection des aliments</w:t>
      </w:r>
      <w:r w:rsidRPr="00A95869">
        <w:rPr>
          <w:lang w:val="fr-CA"/>
        </w:rPr>
        <w:t xml:space="preserve"> appuyaient l’opinion selon laquelle l’Agence pouvait être poursuivie devant les tribunaux sous son propre nom.</w:t>
      </w:r>
    </w:p>
    <w:p w:rsidR="007A3768" w:rsidRPr="00A95869" w:rsidRDefault="007A3768" w:rsidP="008954DC">
      <w:pPr>
        <w:tabs>
          <w:tab w:val="left" w:pos="720"/>
        </w:tabs>
        <w:spacing w:after="480"/>
        <w:ind w:left="720" w:hanging="720"/>
        <w:rPr>
          <w:lang w:val="fr-CA"/>
        </w:rPr>
      </w:pPr>
      <w:r w:rsidRPr="00A95869">
        <w:rPr>
          <w:lang w:val="fr-CA"/>
        </w:rPr>
        <w:t>B</w:t>
      </w:r>
      <w:r w:rsidRPr="008954DC">
        <w:rPr>
          <w:i/>
          <w:iCs/>
          <w:lang w:val="fr-CA"/>
        </w:rPr>
        <w:t>.</w:t>
      </w:r>
      <w:r w:rsidR="008954DC">
        <w:rPr>
          <w:i/>
          <w:iCs/>
          <w:lang w:val="fr-CA"/>
        </w:rPr>
        <w:tab/>
      </w:r>
      <w:r w:rsidRPr="00445494">
        <w:rPr>
          <w:i/>
          <w:lang w:val="fr-CA"/>
        </w:rPr>
        <w:t xml:space="preserve">Cour d’appel du Québec (les juges Rochette, Pelletier et </w:t>
      </w:r>
      <w:proofErr w:type="spellStart"/>
      <w:r w:rsidRPr="00445494">
        <w:rPr>
          <w:i/>
          <w:lang w:val="fr-CA"/>
        </w:rPr>
        <w:t>Vézina</w:t>
      </w:r>
      <w:proofErr w:type="spellEnd"/>
      <w:r w:rsidRPr="00445494">
        <w:rPr>
          <w:i/>
          <w:lang w:val="fr-CA"/>
        </w:rPr>
        <w:t>), 2008 QCCA 1726 (</w:t>
      </w:r>
      <w:proofErr w:type="spellStart"/>
      <w:r w:rsidRPr="00445494">
        <w:rPr>
          <w:i/>
          <w:lang w:val="fr-CA"/>
        </w:rPr>
        <w:t>CanLII</w:t>
      </w:r>
      <w:proofErr w:type="spellEnd"/>
      <w:r w:rsidRPr="00445494">
        <w:rPr>
          <w:i/>
          <w:lang w:val="fr-CA"/>
        </w:rPr>
        <w:t>)</w:t>
      </w:r>
    </w:p>
    <w:p w:rsidR="007A3768" w:rsidRPr="00A95869" w:rsidRDefault="007A3768" w:rsidP="0076681E">
      <w:pPr>
        <w:pStyle w:val="ReasonsNumbering-AltN"/>
        <w:rPr>
          <w:lang w:val="fr-CA"/>
        </w:rPr>
      </w:pPr>
      <w:r w:rsidRPr="00A95869">
        <w:rPr>
          <w:lang w:val="fr-CA"/>
        </w:rPr>
        <w:t xml:space="preserve">Dans un arrêt unanime de la Cour d’appel, le juge Rochette a confirmé le jugement sur les requêtes.  Il a rejeté l’argument de l’Agence portant que le juge de </w:t>
      </w:r>
      <w:r w:rsidRPr="00A95869">
        <w:rPr>
          <w:lang w:val="fr-CA"/>
        </w:rPr>
        <w:lastRenderedPageBreak/>
        <w:t xml:space="preserve">première instance avait commis une erreur en laissant au juge chargé d’instruire l’affaire sur le fond le soin de trancher la question de la compétence de la Cour supérieure.  Selon lui, le juge </w:t>
      </w:r>
      <w:proofErr w:type="spellStart"/>
      <w:r w:rsidRPr="00A95869">
        <w:rPr>
          <w:lang w:val="fr-CA"/>
        </w:rPr>
        <w:t>Barakett</w:t>
      </w:r>
      <w:proofErr w:type="spellEnd"/>
      <w:r w:rsidRPr="00A95869">
        <w:rPr>
          <w:lang w:val="fr-CA"/>
        </w:rPr>
        <w:t xml:space="preserve"> a en fait conclu que la Cour supérieure avait compétence à ce stade préliminaire.</w:t>
      </w:r>
    </w:p>
    <w:p w:rsidR="007A3768" w:rsidRPr="00A95869" w:rsidRDefault="007A3768" w:rsidP="0076681E">
      <w:pPr>
        <w:pStyle w:val="ReasonsNumbering-AltN"/>
        <w:rPr>
          <w:lang w:val="fr-CA"/>
        </w:rPr>
      </w:pPr>
      <w:r w:rsidRPr="00A95869">
        <w:rPr>
          <w:lang w:val="fr-CA"/>
        </w:rPr>
        <w:t>Le juge Rochette a fait remarquer que le juge de première instance avait signalé à juste titre que l’Institut et les vétérinaires contestaient la décision et les mesures prises par l’Agence non pas parce qu’elles étaient illégales ou qu’elles outrepassaient sa compétence, mais parce qu’elles étaient « injustifiées, excessives et fautives » (par. 29).  Les recours en garantie considérés dans leur ensemble et la nature des conclusions précises recherchées montrent que l’Institut et les vétérinaires voulaient obtenir une réparation sous la forme de dommages</w:t>
      </w:r>
      <w:r w:rsidR="002660E3">
        <w:rPr>
          <w:lang w:val="fr-CA"/>
        </w:rPr>
        <w:t>-</w:t>
      </w:r>
      <w:r w:rsidRPr="00A95869">
        <w:rPr>
          <w:lang w:val="fr-CA"/>
        </w:rPr>
        <w:t>intérêts et qu’ils ne contestaient pas, du moins à ce stade, la validité de la décision prise par l’Agence.</w:t>
      </w:r>
    </w:p>
    <w:p w:rsidR="007A3768" w:rsidRPr="00A95869" w:rsidRDefault="007A3768" w:rsidP="0076681E">
      <w:pPr>
        <w:pStyle w:val="ReasonsNumbering-AltN"/>
        <w:rPr>
          <w:lang w:val="fr-CA"/>
        </w:rPr>
      </w:pPr>
      <w:r w:rsidRPr="00A95869">
        <w:rPr>
          <w:lang w:val="fr-CA"/>
        </w:rPr>
        <w:t xml:space="preserve">Le juge Rochette partageait aussi l’opinion du juge de première instance selon laquelle une décision de l’Agence pourrait, même en étant valide, constituer une faute en droit civil québécois.  La responsabilité civile d’un organisme fédéral peut être engagée même si la mesure qu’il a prise est légale.  En fait, l’Agence réclamait une immunité quasi absolue </w:t>
      </w:r>
      <w:r w:rsidRPr="00A95869">
        <w:rPr>
          <w:lang w:val="fr-FR"/>
        </w:rPr>
        <w:t>— susceptible d’être invoquée même au stade d’une requête en irrecevabilité —</w:t>
      </w:r>
      <w:r w:rsidRPr="00A95869">
        <w:rPr>
          <w:lang w:val="fr-CA"/>
        </w:rPr>
        <w:t xml:space="preserve"> contre toute poursuite à l’égard d’une décision prétendument fautive de sa part à moins qu’une cour compétente n’ait annulé cette décision.  Le juge Rochette a aussi rejeté l’argument de l’Agence selon lequel les recours en garantie constituaient une contestation indirecte de sa décision.  La légalité </w:t>
      </w:r>
      <w:r w:rsidRPr="00A95869">
        <w:rPr>
          <w:lang w:val="fr-CA"/>
        </w:rPr>
        <w:lastRenderedPageBreak/>
        <w:t xml:space="preserve">de la décision et des mesures prises par l’Agence n’était pas contestée en Cour supérieure.  L’Agence ne faisait pas valoir que la loi </w:t>
      </w:r>
      <w:proofErr w:type="gramStart"/>
      <w:r w:rsidRPr="00A95869">
        <w:rPr>
          <w:lang w:val="fr-CA"/>
        </w:rPr>
        <w:t>prévoyait</w:t>
      </w:r>
      <w:proofErr w:type="gramEnd"/>
      <w:r w:rsidRPr="00A95869">
        <w:rPr>
          <w:lang w:val="fr-CA"/>
        </w:rPr>
        <w:t xml:space="preserve"> une procédure d’appel dont l’Institut et les vétérinaires ne s’étaient pas prévalus.  De plus, si elle était retenue, l’approche proposée par l’Agence entraînerait le rejet d’innombrables instances introduites pour réc</w:t>
      </w:r>
      <w:r w:rsidR="000D43DC">
        <w:rPr>
          <w:lang w:val="fr-CA"/>
        </w:rPr>
        <w:t>lamer des dommages-</w:t>
      </w:r>
      <w:r w:rsidRPr="00A95869">
        <w:rPr>
          <w:lang w:val="fr-CA"/>
        </w:rPr>
        <w:t>intérêts découlant de décisions administratives fautives, mais qui ne peuvent être qualifiées de déraisonnables.  Elle minerait aussi la compétence concurrente que la Cour supérieure partage avec la Cour fédérale en la matière.  De même, les recours de l’Institut et des vétérinaires ne pouvaient pas être considérés comme une contestation indirecte de l’injonction interlocutoire de la Cour fédérale enjoignant aux vétérinaires de retourner au travail.</w:t>
      </w:r>
    </w:p>
    <w:p w:rsidR="007A3768" w:rsidRPr="00A95869" w:rsidRDefault="007A3768" w:rsidP="0076681E">
      <w:pPr>
        <w:pStyle w:val="ReasonsNumbering-AltN"/>
        <w:rPr>
          <w:lang w:val="fr-CA"/>
        </w:rPr>
      </w:pPr>
      <w:r w:rsidRPr="00A95869">
        <w:rPr>
          <w:lang w:val="fr-CA"/>
        </w:rPr>
        <w:t xml:space="preserve">Enfin, le juge Rochette a étudié les commentaires du juge de première instance selon lesquels la présence de l’Agence était nécessaire pour permettre une solution complète du litige.  À son avis, même s’il est vrai que le critère de la « présence nécessaire » s’applique à la mise en cause forcée d’un nouveau défendeur, plutôt qu’à un recours en garantie, ces remarques incidentes n’ont pas affecté la validité des autres conclusions du juge </w:t>
      </w:r>
      <w:proofErr w:type="spellStart"/>
      <w:r w:rsidRPr="00A95869">
        <w:rPr>
          <w:lang w:val="fr-CA"/>
        </w:rPr>
        <w:t>Barakett</w:t>
      </w:r>
      <w:proofErr w:type="spellEnd"/>
      <w:r w:rsidRPr="00A95869">
        <w:rPr>
          <w:lang w:val="fr-CA"/>
        </w:rPr>
        <w:t>.</w:t>
      </w:r>
    </w:p>
    <w:p w:rsidR="007A3768" w:rsidRPr="00A95869" w:rsidRDefault="007A3768" w:rsidP="000D43DC">
      <w:pPr>
        <w:tabs>
          <w:tab w:val="left" w:pos="720"/>
        </w:tabs>
        <w:spacing w:after="480" w:line="480" w:lineRule="auto"/>
        <w:ind w:left="720" w:hanging="720"/>
        <w:rPr>
          <w:u w:val="single"/>
        </w:rPr>
      </w:pPr>
      <w:r w:rsidRPr="00A95869">
        <w:t>III</w:t>
      </w:r>
      <w:r w:rsidRPr="008954DC">
        <w:rPr>
          <w:i/>
          <w:lang w:val="fr-CA"/>
        </w:rPr>
        <w:t>.</w:t>
      </w:r>
      <w:r w:rsidR="008954DC">
        <w:rPr>
          <w:i/>
          <w:lang w:val="fr-CA"/>
        </w:rPr>
        <w:tab/>
      </w:r>
      <w:r w:rsidRPr="00A95869">
        <w:rPr>
          <w:u w:val="single"/>
        </w:rPr>
        <w:t xml:space="preserve">Dispositions </w:t>
      </w:r>
      <w:proofErr w:type="spellStart"/>
      <w:r w:rsidRPr="00A95869">
        <w:rPr>
          <w:u w:val="single"/>
        </w:rPr>
        <w:t>législatives</w:t>
      </w:r>
      <w:proofErr w:type="spellEnd"/>
      <w:r w:rsidRPr="00A95869">
        <w:rPr>
          <w:u w:val="single"/>
        </w:rPr>
        <w:t xml:space="preserve"> </w:t>
      </w:r>
      <w:proofErr w:type="spellStart"/>
      <w:r w:rsidRPr="00A95869">
        <w:rPr>
          <w:u w:val="single"/>
        </w:rPr>
        <w:t>pertinentes</w:t>
      </w:r>
      <w:proofErr w:type="spellEnd"/>
      <w:r w:rsidRPr="00A95869">
        <w:rPr>
          <w:u w:val="single"/>
        </w:rPr>
        <w:t xml:space="preserve"> </w:t>
      </w:r>
    </w:p>
    <w:p w:rsidR="002660E3" w:rsidRPr="0076681E" w:rsidRDefault="007A3768" w:rsidP="0076681E">
      <w:pPr>
        <w:pStyle w:val="ReasonsNumbering-AltN"/>
        <w:rPr>
          <w:lang w:val="fr-CA"/>
        </w:rPr>
      </w:pPr>
      <w:r w:rsidRPr="00A95869">
        <w:rPr>
          <w:i/>
          <w:iCs/>
          <w:lang w:val="fr-CA"/>
        </w:rPr>
        <w:t xml:space="preserve">Loi sur </w:t>
      </w:r>
      <w:r w:rsidRPr="00112C08">
        <w:rPr>
          <w:i/>
          <w:lang w:val="fr-CA"/>
        </w:rPr>
        <w:t>l’Agence</w:t>
      </w:r>
      <w:r w:rsidRPr="00A95869">
        <w:rPr>
          <w:i/>
          <w:iCs/>
          <w:lang w:val="fr-CA"/>
        </w:rPr>
        <w:t xml:space="preserve"> canadienne d’inspection des aliments</w:t>
      </w:r>
      <w:r w:rsidRPr="000D43DC">
        <w:rPr>
          <w:iCs/>
          <w:lang w:val="fr-CA"/>
        </w:rPr>
        <w:t xml:space="preserve">, </w:t>
      </w:r>
      <w:r w:rsidRPr="00A95869">
        <w:rPr>
          <w:lang w:val="fr-CA"/>
        </w:rPr>
        <w:t>L.C</w:t>
      </w:r>
      <w:r w:rsidR="000D43DC">
        <w:rPr>
          <w:lang w:val="fr-CA"/>
        </w:rPr>
        <w:t>.</w:t>
      </w:r>
      <w:r w:rsidRPr="00A95869">
        <w:rPr>
          <w:lang w:val="fr-CA"/>
        </w:rPr>
        <w:t xml:space="preserve"> 1997, ch. 6</w:t>
      </w:r>
    </w:p>
    <w:p w:rsidR="0076681E" w:rsidRPr="001C32F1" w:rsidRDefault="000A66DE" w:rsidP="000A66DE">
      <w:pPr>
        <w:pStyle w:val="Citation"/>
        <w:tabs>
          <w:tab w:val="left" w:pos="1800"/>
          <w:tab w:val="left" w:pos="2340"/>
        </w:tabs>
        <w:spacing w:after="0"/>
        <w:contextualSpacing w:val="0"/>
        <w:rPr>
          <w:color w:val="000000"/>
          <w:lang w:val="fr-CA" w:eastAsia="en-US"/>
        </w:rPr>
      </w:pPr>
      <w:r>
        <w:rPr>
          <w:b/>
          <w:color w:val="000000"/>
          <w:lang w:val="fr-CA" w:eastAsia="en-US"/>
        </w:rPr>
        <w:tab/>
      </w:r>
      <w:r w:rsidR="0076681E" w:rsidRPr="001C32F1">
        <w:rPr>
          <w:b/>
          <w:color w:val="000000"/>
          <w:lang w:val="fr-CA" w:eastAsia="en-US"/>
        </w:rPr>
        <w:t>12.</w:t>
      </w:r>
      <w:r w:rsidR="0076681E">
        <w:rPr>
          <w:color w:val="000000"/>
          <w:lang w:val="fr-CA" w:eastAsia="en-US"/>
        </w:rPr>
        <w:tab/>
      </w:r>
      <w:r w:rsidR="0076681E" w:rsidRPr="001C32F1">
        <w:rPr>
          <w:color w:val="000000"/>
          <w:lang w:val="fr-CA" w:eastAsia="en-US"/>
        </w:rPr>
        <w:t xml:space="preserve">L’Agence est un organisme distinct au sens de la </w:t>
      </w:r>
      <w:r w:rsidR="0076681E" w:rsidRPr="001C32F1">
        <w:rPr>
          <w:i/>
          <w:color w:val="000000"/>
          <w:lang w:val="fr-CA" w:eastAsia="en-US"/>
        </w:rPr>
        <w:t>Loi sur les relations de travail dans la fonction publique</w:t>
      </w:r>
      <w:r w:rsidR="0076681E" w:rsidRPr="001C32F1">
        <w:rPr>
          <w:color w:val="000000"/>
          <w:lang w:val="fr-CA" w:eastAsia="en-US"/>
        </w:rPr>
        <w:t>.</w:t>
      </w:r>
    </w:p>
    <w:p w:rsidR="0076681E" w:rsidRPr="001C32F1" w:rsidRDefault="000A66DE" w:rsidP="000A66DE">
      <w:pPr>
        <w:pStyle w:val="Citation"/>
        <w:tabs>
          <w:tab w:val="left" w:pos="1620"/>
          <w:tab w:val="left" w:pos="2520"/>
        </w:tabs>
        <w:spacing w:after="0"/>
        <w:contextualSpacing w:val="0"/>
        <w:rPr>
          <w:color w:val="000000"/>
          <w:lang w:val="fr-CA" w:eastAsia="en-US"/>
        </w:rPr>
      </w:pPr>
      <w:r>
        <w:rPr>
          <w:b/>
          <w:color w:val="000000"/>
          <w:lang w:val="fr-CA" w:eastAsia="en-US"/>
        </w:rPr>
        <w:lastRenderedPageBreak/>
        <w:tab/>
      </w:r>
      <w:r w:rsidR="0076681E" w:rsidRPr="001C32F1">
        <w:rPr>
          <w:b/>
          <w:color w:val="000000"/>
          <w:lang w:val="fr-CA" w:eastAsia="en-US"/>
        </w:rPr>
        <w:t>13.</w:t>
      </w:r>
      <w:r w:rsidR="0076681E" w:rsidRPr="001C32F1">
        <w:rPr>
          <w:color w:val="000000"/>
          <w:lang w:val="fr-CA" w:eastAsia="en-US"/>
        </w:rPr>
        <w:t> (1)</w:t>
      </w:r>
      <w:r w:rsidR="0076681E">
        <w:rPr>
          <w:color w:val="000000"/>
          <w:lang w:val="fr-CA" w:eastAsia="en-US"/>
        </w:rPr>
        <w:tab/>
      </w:r>
      <w:r w:rsidR="0076681E" w:rsidRPr="001C32F1">
        <w:rPr>
          <w:color w:val="000000"/>
          <w:lang w:val="fr-CA" w:eastAsia="en-US"/>
        </w:rPr>
        <w:t xml:space="preserve">Le président nomme les employés de l’Agence. </w:t>
      </w:r>
    </w:p>
    <w:p w:rsidR="0076681E" w:rsidRPr="001C32F1" w:rsidRDefault="0076681E" w:rsidP="00D530B4">
      <w:pPr>
        <w:ind w:firstLine="315"/>
        <w:jc w:val="both"/>
        <w:rPr>
          <w:color w:val="000000"/>
          <w:lang w:val="fr-CA" w:eastAsia="en-US"/>
        </w:rPr>
      </w:pPr>
    </w:p>
    <w:p w:rsidR="0076681E" w:rsidRDefault="000A66DE" w:rsidP="000A66DE">
      <w:pPr>
        <w:pStyle w:val="Citation"/>
        <w:tabs>
          <w:tab w:val="left" w:pos="1620"/>
          <w:tab w:val="left" w:pos="2160"/>
        </w:tabs>
        <w:spacing w:after="0"/>
        <w:ind w:left="1170" w:hanging="4"/>
        <w:contextualSpacing w:val="0"/>
        <w:rPr>
          <w:color w:val="000000"/>
          <w:lang w:val="fr-CA" w:eastAsia="en-US"/>
        </w:rPr>
      </w:pPr>
      <w:r>
        <w:rPr>
          <w:color w:val="000000"/>
          <w:lang w:val="fr-CA" w:eastAsia="en-US"/>
        </w:rPr>
        <w:tab/>
      </w:r>
      <w:r>
        <w:rPr>
          <w:color w:val="000000"/>
          <w:lang w:val="fr-CA" w:eastAsia="en-US"/>
        </w:rPr>
        <w:tab/>
      </w:r>
      <w:r w:rsidR="0076681E">
        <w:rPr>
          <w:color w:val="000000"/>
          <w:lang w:val="fr-CA" w:eastAsia="en-US"/>
        </w:rPr>
        <w:t>(2)</w:t>
      </w:r>
      <w:r w:rsidR="0076681E">
        <w:rPr>
          <w:color w:val="000000"/>
          <w:lang w:val="fr-CA" w:eastAsia="en-US"/>
        </w:rPr>
        <w:tab/>
      </w:r>
      <w:r w:rsidR="0076681E" w:rsidRPr="001C32F1">
        <w:rPr>
          <w:color w:val="000000"/>
          <w:lang w:val="fr-CA" w:eastAsia="en-US"/>
        </w:rPr>
        <w:t>Le président fixe les conditions d’emploi des employés de l’Agence et leur assigne leurs fonctions.</w:t>
      </w:r>
    </w:p>
    <w:p w:rsidR="000A66DE" w:rsidRPr="001C32F1" w:rsidRDefault="000A66DE" w:rsidP="000A66DE">
      <w:pPr>
        <w:pStyle w:val="Citation"/>
        <w:tabs>
          <w:tab w:val="left" w:pos="1620"/>
          <w:tab w:val="left" w:pos="2160"/>
        </w:tabs>
        <w:spacing w:after="0"/>
        <w:ind w:left="1170" w:hanging="4"/>
        <w:contextualSpacing w:val="0"/>
        <w:rPr>
          <w:color w:val="000000"/>
          <w:lang w:val="fr-CA" w:eastAsia="en-US"/>
        </w:rPr>
      </w:pPr>
    </w:p>
    <w:p w:rsidR="0076681E" w:rsidRDefault="000A66DE" w:rsidP="000A66DE">
      <w:pPr>
        <w:pStyle w:val="Citation"/>
        <w:tabs>
          <w:tab w:val="left" w:pos="1620"/>
          <w:tab w:val="left" w:pos="2160"/>
        </w:tabs>
        <w:spacing w:after="0"/>
        <w:ind w:left="1170" w:hanging="4"/>
        <w:contextualSpacing w:val="0"/>
        <w:rPr>
          <w:color w:val="000000"/>
          <w:lang w:val="fr-CA" w:eastAsia="en-US"/>
        </w:rPr>
      </w:pPr>
      <w:r>
        <w:rPr>
          <w:color w:val="000000"/>
          <w:lang w:val="fr-CA" w:eastAsia="en-US"/>
        </w:rPr>
        <w:tab/>
      </w:r>
      <w:r>
        <w:rPr>
          <w:color w:val="000000"/>
          <w:lang w:val="fr-CA" w:eastAsia="en-US"/>
        </w:rPr>
        <w:tab/>
      </w:r>
      <w:r w:rsidR="0076681E">
        <w:rPr>
          <w:color w:val="000000"/>
          <w:lang w:val="fr-CA" w:eastAsia="en-US"/>
        </w:rPr>
        <w:t>(3)</w:t>
      </w:r>
      <w:r w:rsidR="0076681E">
        <w:rPr>
          <w:color w:val="000000"/>
          <w:lang w:val="fr-CA" w:eastAsia="en-US"/>
        </w:rPr>
        <w:tab/>
      </w:r>
      <w:r w:rsidR="0076681E" w:rsidRPr="001C32F1">
        <w:rPr>
          <w:color w:val="000000"/>
          <w:lang w:val="fr-CA" w:eastAsia="en-US"/>
        </w:rPr>
        <w:t xml:space="preserve">Le président peut, aux fins qu’il précise, désigner, individuellement ou par catégorie, les inspecteurs </w:t>
      </w:r>
      <w:r w:rsidR="0076681E" w:rsidRPr="00A95869">
        <w:rPr>
          <w:color w:val="000000"/>
          <w:sz w:val="21"/>
          <w:szCs w:val="21"/>
          <w:lang w:val="fr-FR"/>
        </w:rPr>
        <w:t>—</w:t>
      </w:r>
      <w:r w:rsidR="0076681E" w:rsidRPr="001C32F1">
        <w:rPr>
          <w:color w:val="000000"/>
          <w:lang w:val="fr-CA" w:eastAsia="en-US"/>
        </w:rPr>
        <w:t xml:space="preserve"> vétérinaires ou non </w:t>
      </w:r>
      <w:r w:rsidR="0076681E" w:rsidRPr="00A95869">
        <w:rPr>
          <w:color w:val="000000"/>
          <w:sz w:val="21"/>
          <w:szCs w:val="21"/>
          <w:lang w:val="fr-FR"/>
        </w:rPr>
        <w:t>—</w:t>
      </w:r>
      <w:r w:rsidR="0076681E" w:rsidRPr="001C32F1">
        <w:rPr>
          <w:color w:val="000000"/>
          <w:lang w:val="fr-CA" w:eastAsia="en-US"/>
        </w:rPr>
        <w:t>, analystes, classificateurs ou autres agents d’exécution pour l’application ou le contrôle d’application des lois ou dispositions dont l’Agence est chargée aux termes de l’article 11.</w:t>
      </w:r>
    </w:p>
    <w:p w:rsidR="000A66DE" w:rsidRPr="001C32F1" w:rsidRDefault="000A66DE" w:rsidP="000A66DE">
      <w:pPr>
        <w:pStyle w:val="Citation"/>
        <w:tabs>
          <w:tab w:val="left" w:pos="1620"/>
          <w:tab w:val="left" w:pos="2160"/>
        </w:tabs>
        <w:spacing w:after="0"/>
        <w:ind w:left="1170" w:hanging="4"/>
        <w:contextualSpacing w:val="0"/>
        <w:rPr>
          <w:color w:val="000000"/>
          <w:lang w:val="fr-CA" w:eastAsia="en-US"/>
        </w:rPr>
      </w:pPr>
    </w:p>
    <w:p w:rsidR="0076681E" w:rsidRDefault="000A66DE" w:rsidP="000A66DE">
      <w:pPr>
        <w:pStyle w:val="Citation"/>
        <w:tabs>
          <w:tab w:val="left" w:pos="1620"/>
          <w:tab w:val="left" w:pos="2160"/>
        </w:tabs>
        <w:spacing w:after="0"/>
        <w:ind w:left="1170" w:hanging="4"/>
        <w:contextualSpacing w:val="0"/>
        <w:rPr>
          <w:color w:val="000000"/>
          <w:lang w:val="fr-CA" w:eastAsia="en-US"/>
        </w:rPr>
      </w:pPr>
      <w:r>
        <w:rPr>
          <w:b/>
          <w:color w:val="000000"/>
          <w:lang w:val="fr-CA" w:eastAsia="en-US"/>
        </w:rPr>
        <w:tab/>
      </w:r>
      <w:r>
        <w:rPr>
          <w:b/>
          <w:color w:val="000000"/>
          <w:lang w:val="fr-CA" w:eastAsia="en-US"/>
        </w:rPr>
        <w:tab/>
      </w:r>
      <w:r w:rsidR="0076681E">
        <w:rPr>
          <w:b/>
          <w:color w:val="000000"/>
          <w:lang w:val="fr-CA" w:eastAsia="en-US"/>
        </w:rPr>
        <w:t>15.</w:t>
      </w:r>
      <w:r w:rsidR="0076681E">
        <w:rPr>
          <w:b/>
          <w:color w:val="000000"/>
          <w:lang w:val="fr-CA" w:eastAsia="en-US"/>
        </w:rPr>
        <w:tab/>
      </w:r>
      <w:r w:rsidR="0076681E" w:rsidRPr="001C32F1">
        <w:rPr>
          <w:color w:val="000000"/>
          <w:lang w:val="fr-CA" w:eastAsia="en-US"/>
        </w:rPr>
        <w:t>À l’égard des droits et obligations qu’elle assume sous le nom de Sa Majesté du chef du Canada ou sous le sien, l’Agence peut ester en justice sous son propre nom devant tout tribunal qui serait compétent si elle n’avait pas la qualité de mandataire de Sa Majesté.</w:t>
      </w:r>
    </w:p>
    <w:p w:rsidR="0076681E" w:rsidRPr="001C32F1" w:rsidRDefault="0076681E" w:rsidP="00D530B4">
      <w:pPr>
        <w:spacing w:before="100" w:beforeAutospacing="1" w:after="100" w:afterAutospacing="1"/>
        <w:ind w:firstLine="315"/>
        <w:jc w:val="both"/>
        <w:rPr>
          <w:color w:val="000000"/>
          <w:lang w:val="fr-CA" w:eastAsia="en-US"/>
        </w:rPr>
      </w:pPr>
    </w:p>
    <w:p w:rsidR="007A3768" w:rsidRPr="00A95869" w:rsidRDefault="007A3768" w:rsidP="00445494">
      <w:pPr>
        <w:spacing w:after="720"/>
        <w:rPr>
          <w:lang w:val="fr-CA"/>
        </w:rPr>
      </w:pPr>
      <w:r w:rsidRPr="00445494">
        <w:rPr>
          <w:i/>
          <w:lang w:val="fr-CA"/>
        </w:rPr>
        <w:t>Loi sur la responsabilité civile de l’État et le contentieux administratif</w:t>
      </w:r>
      <w:r w:rsidRPr="00A95869">
        <w:rPr>
          <w:lang w:val="fr-CA"/>
        </w:rPr>
        <w:t>, L.R.C. 1985, c</w:t>
      </w:r>
      <w:r>
        <w:rPr>
          <w:lang w:val="fr-CA"/>
        </w:rPr>
        <w:t>h</w:t>
      </w:r>
      <w:r w:rsidR="00192F0C">
        <w:rPr>
          <w:lang w:val="fr-CA"/>
        </w:rPr>
        <w:t xml:space="preserve">. </w:t>
      </w:r>
      <w:r w:rsidRPr="00A95869">
        <w:rPr>
          <w:lang w:val="fr-CA"/>
        </w:rPr>
        <w:t>C</w:t>
      </w:r>
      <w:r w:rsidRPr="00A95869">
        <w:rPr>
          <w:lang w:val="fr-CA"/>
        </w:rPr>
        <w:noBreakHyphen/>
        <w:t>50</w:t>
      </w:r>
    </w:p>
    <w:p w:rsidR="0076681E" w:rsidRPr="00A95869" w:rsidRDefault="000A66DE" w:rsidP="000A66DE">
      <w:pPr>
        <w:pStyle w:val="Citation"/>
        <w:tabs>
          <w:tab w:val="left" w:pos="1620"/>
          <w:tab w:val="left" w:pos="2160"/>
        </w:tabs>
        <w:spacing w:after="0"/>
        <w:ind w:left="1170" w:hanging="4"/>
        <w:contextualSpacing w:val="0"/>
        <w:rPr>
          <w:color w:val="000000"/>
          <w:lang w:val="fr-CA"/>
        </w:rPr>
      </w:pPr>
      <w:r>
        <w:rPr>
          <w:b/>
          <w:bCs/>
          <w:lang w:val="fr-CA"/>
        </w:rPr>
        <w:tab/>
      </w:r>
      <w:r>
        <w:rPr>
          <w:b/>
          <w:bCs/>
          <w:lang w:val="fr-CA"/>
        </w:rPr>
        <w:tab/>
      </w:r>
      <w:r w:rsidR="0076681E" w:rsidRPr="00A95869">
        <w:rPr>
          <w:b/>
          <w:bCs/>
          <w:lang w:val="fr-CA"/>
        </w:rPr>
        <w:t>2.</w:t>
      </w:r>
      <w:r w:rsidR="0076681E">
        <w:rPr>
          <w:b/>
          <w:bCs/>
          <w:lang w:val="fr-CA"/>
        </w:rPr>
        <w:tab/>
      </w:r>
      <w:r w:rsidR="0076681E" w:rsidRPr="00A95869">
        <w:rPr>
          <w:color w:val="000000"/>
          <w:lang w:val="fr-CA"/>
        </w:rPr>
        <w:t>Les définitions qui suivent s’appliquent à la présente loi.</w:t>
      </w:r>
    </w:p>
    <w:p w:rsidR="0076681E" w:rsidRDefault="0076681E" w:rsidP="0076681E">
      <w:pPr>
        <w:jc w:val="both"/>
        <w:rPr>
          <w:color w:val="000000"/>
          <w:lang w:val="fr-CA" w:eastAsia="en-US"/>
        </w:rPr>
      </w:pPr>
    </w:p>
    <w:p w:rsidR="0076681E" w:rsidRDefault="00163A36" w:rsidP="000A66DE">
      <w:pPr>
        <w:pStyle w:val="Citation"/>
        <w:tabs>
          <w:tab w:val="left" w:pos="1620"/>
          <w:tab w:val="left" w:pos="2160"/>
        </w:tabs>
        <w:spacing w:after="0"/>
        <w:ind w:left="1170" w:hanging="4"/>
        <w:contextualSpacing w:val="0"/>
        <w:rPr>
          <w:color w:val="000000"/>
          <w:lang w:val="fr-CA" w:eastAsia="en-US"/>
        </w:rPr>
      </w:pPr>
      <w:r>
        <w:rPr>
          <w:color w:val="000000"/>
          <w:lang w:val="fr-CA" w:eastAsia="en-US"/>
        </w:rPr>
        <w:tab/>
      </w:r>
      <w:r w:rsidR="0076681E" w:rsidRPr="001C32F1">
        <w:rPr>
          <w:color w:val="000000"/>
          <w:lang w:val="fr-CA" w:eastAsia="en-US"/>
        </w:rPr>
        <w:t>« </w:t>
      </w:r>
      <w:proofErr w:type="gramStart"/>
      <w:r w:rsidR="0076681E" w:rsidRPr="001C32F1">
        <w:rPr>
          <w:color w:val="000000"/>
          <w:lang w:val="fr-CA" w:eastAsia="en-US"/>
        </w:rPr>
        <w:t>responsabilité</w:t>
      </w:r>
      <w:proofErr w:type="gramEnd"/>
      <w:r w:rsidR="0076681E" w:rsidRPr="001C32F1">
        <w:rPr>
          <w:color w:val="000000"/>
          <w:lang w:val="fr-CA" w:eastAsia="en-US"/>
        </w:rPr>
        <w:t> » Pour l’application de la partie 1 :</w:t>
      </w:r>
    </w:p>
    <w:p w:rsidR="00442374" w:rsidRDefault="00442374" w:rsidP="000A66DE">
      <w:pPr>
        <w:pStyle w:val="Citation"/>
        <w:tabs>
          <w:tab w:val="left" w:pos="1620"/>
          <w:tab w:val="left" w:pos="2160"/>
        </w:tabs>
        <w:spacing w:after="0"/>
        <w:ind w:left="1170" w:hanging="4"/>
        <w:contextualSpacing w:val="0"/>
        <w:rPr>
          <w:color w:val="000000"/>
          <w:lang w:val="fr-CA" w:eastAsia="en-US"/>
        </w:rPr>
      </w:pPr>
    </w:p>
    <w:p w:rsidR="00442374" w:rsidRDefault="00442374" w:rsidP="00442374">
      <w:pPr>
        <w:pStyle w:val="Citation"/>
        <w:tabs>
          <w:tab w:val="left" w:pos="1620"/>
          <w:tab w:val="left" w:pos="2160"/>
        </w:tabs>
        <w:spacing w:after="0"/>
        <w:ind w:left="1170" w:hanging="4"/>
        <w:contextualSpacing w:val="0"/>
        <w:jc w:val="center"/>
        <w:rPr>
          <w:color w:val="000000"/>
          <w:lang w:val="fr-CA" w:eastAsia="en-US"/>
        </w:rPr>
      </w:pPr>
      <w:r>
        <w:rPr>
          <w:color w:val="000000"/>
          <w:lang w:val="fr-CA" w:eastAsia="en-US"/>
        </w:rPr>
        <w:t>. . .</w:t>
      </w:r>
    </w:p>
    <w:p w:rsidR="000A66DE" w:rsidRPr="001C32F1" w:rsidRDefault="000A66DE" w:rsidP="000A66DE">
      <w:pPr>
        <w:pStyle w:val="Citation"/>
        <w:tabs>
          <w:tab w:val="left" w:pos="1620"/>
          <w:tab w:val="left" w:pos="2160"/>
        </w:tabs>
        <w:spacing w:after="0"/>
        <w:ind w:left="1170" w:hanging="4"/>
        <w:contextualSpacing w:val="0"/>
        <w:rPr>
          <w:color w:val="000000"/>
          <w:lang w:val="fr-CA" w:eastAsia="en-US"/>
        </w:rPr>
      </w:pPr>
    </w:p>
    <w:p w:rsidR="0076681E" w:rsidRDefault="000A66DE" w:rsidP="000A66DE">
      <w:pPr>
        <w:pStyle w:val="Citation"/>
        <w:tabs>
          <w:tab w:val="left" w:pos="1620"/>
          <w:tab w:val="left" w:pos="2160"/>
        </w:tabs>
        <w:spacing w:after="0"/>
        <w:ind w:left="1620" w:hanging="454"/>
        <w:contextualSpacing w:val="0"/>
        <w:rPr>
          <w:color w:val="000000"/>
          <w:lang w:val="fr-CA"/>
        </w:rPr>
      </w:pPr>
      <w:r>
        <w:rPr>
          <w:i/>
          <w:color w:val="000000"/>
          <w:lang w:val="fr-CA"/>
        </w:rPr>
        <w:tab/>
      </w:r>
      <w:r w:rsidR="0076681E" w:rsidRPr="00A95869">
        <w:rPr>
          <w:i/>
          <w:color w:val="000000"/>
          <w:lang w:val="fr-CA"/>
        </w:rPr>
        <w:t>a</w:t>
      </w:r>
      <w:r w:rsidR="0076681E">
        <w:rPr>
          <w:color w:val="000000"/>
          <w:lang w:val="fr-CA"/>
        </w:rPr>
        <w:t>)</w:t>
      </w:r>
      <w:r w:rsidR="0076681E">
        <w:rPr>
          <w:color w:val="000000"/>
          <w:lang w:val="fr-CA"/>
        </w:rPr>
        <w:tab/>
      </w:r>
      <w:r w:rsidR="0076681E" w:rsidRPr="00A95869">
        <w:rPr>
          <w:color w:val="000000"/>
          <w:lang w:val="fr-CA"/>
        </w:rPr>
        <w:t>dans la province de Québec, la responsabilité civile extracontractuelle;</w:t>
      </w:r>
    </w:p>
    <w:p w:rsidR="000A66DE" w:rsidRPr="00A95869" w:rsidRDefault="000A66DE" w:rsidP="000A66DE">
      <w:pPr>
        <w:pStyle w:val="Citation"/>
        <w:tabs>
          <w:tab w:val="left" w:pos="1620"/>
          <w:tab w:val="left" w:pos="2160"/>
        </w:tabs>
        <w:spacing w:after="0"/>
        <w:ind w:left="1620" w:hanging="454"/>
        <w:contextualSpacing w:val="0"/>
        <w:rPr>
          <w:color w:val="000000"/>
          <w:lang w:val="fr-CA"/>
        </w:rPr>
      </w:pPr>
    </w:p>
    <w:p w:rsidR="0076681E" w:rsidRPr="00A95869" w:rsidRDefault="000A66DE" w:rsidP="000A66DE">
      <w:pPr>
        <w:pStyle w:val="Citation"/>
        <w:tabs>
          <w:tab w:val="left" w:pos="1620"/>
          <w:tab w:val="left" w:pos="2160"/>
        </w:tabs>
        <w:spacing w:after="0"/>
        <w:ind w:left="1620" w:hanging="454"/>
        <w:contextualSpacing w:val="0"/>
        <w:rPr>
          <w:color w:val="000000"/>
          <w:lang w:val="fr-CA"/>
        </w:rPr>
      </w:pPr>
      <w:r>
        <w:rPr>
          <w:i/>
          <w:color w:val="000000"/>
          <w:lang w:val="fr-CA"/>
        </w:rPr>
        <w:tab/>
      </w:r>
      <w:r w:rsidR="0076681E" w:rsidRPr="00A95869">
        <w:rPr>
          <w:i/>
          <w:color w:val="000000"/>
          <w:lang w:val="fr-CA"/>
        </w:rPr>
        <w:t>b</w:t>
      </w:r>
      <w:r w:rsidR="0076681E">
        <w:rPr>
          <w:color w:val="000000"/>
          <w:lang w:val="fr-CA"/>
        </w:rPr>
        <w:t>)</w:t>
      </w:r>
      <w:r w:rsidR="0076681E">
        <w:rPr>
          <w:color w:val="000000"/>
          <w:lang w:val="fr-CA"/>
        </w:rPr>
        <w:tab/>
      </w:r>
      <w:r w:rsidR="0076681E" w:rsidRPr="00A95869">
        <w:rPr>
          <w:color w:val="000000"/>
          <w:lang w:val="fr-CA"/>
        </w:rPr>
        <w:t>dans les autres provinces, la responsabilité délictuelle.</w:t>
      </w:r>
    </w:p>
    <w:p w:rsidR="0076681E" w:rsidRPr="0076681E" w:rsidRDefault="0076681E" w:rsidP="0076681E">
      <w:pPr>
        <w:pStyle w:val="subparagraph"/>
        <w:ind w:left="0"/>
        <w:jc w:val="both"/>
        <w:rPr>
          <w:rFonts w:ascii="Times New Roman" w:hAnsi="Times New Roman" w:cs="Times New Roman"/>
          <w:color w:val="000000"/>
          <w:lang w:val="fr-CA"/>
        </w:rPr>
      </w:pPr>
    </w:p>
    <w:p w:rsidR="0076681E" w:rsidRDefault="000A66DE" w:rsidP="000A66DE">
      <w:pPr>
        <w:pStyle w:val="Citation"/>
        <w:tabs>
          <w:tab w:val="left" w:pos="1620"/>
          <w:tab w:val="left" w:pos="2160"/>
        </w:tabs>
        <w:spacing w:after="0"/>
        <w:ind w:left="1170" w:hanging="4"/>
        <w:contextualSpacing w:val="0"/>
        <w:rPr>
          <w:color w:val="000000"/>
          <w:lang w:val="fr-CA"/>
        </w:rPr>
      </w:pPr>
      <w:r>
        <w:rPr>
          <w:b/>
          <w:color w:val="000000"/>
          <w:lang w:val="fr-CA"/>
        </w:rPr>
        <w:tab/>
      </w:r>
      <w:r>
        <w:rPr>
          <w:b/>
          <w:color w:val="000000"/>
          <w:lang w:val="fr-CA"/>
        </w:rPr>
        <w:tab/>
      </w:r>
      <w:r w:rsidR="0076681E" w:rsidRPr="00A95869">
        <w:rPr>
          <w:b/>
          <w:color w:val="000000"/>
          <w:lang w:val="fr-CA"/>
        </w:rPr>
        <w:t>3.</w:t>
      </w:r>
      <w:r w:rsidR="0076681E">
        <w:rPr>
          <w:color w:val="000000"/>
          <w:lang w:val="fr-CA"/>
        </w:rPr>
        <w:tab/>
      </w:r>
      <w:r w:rsidR="0076681E" w:rsidRPr="00A95869">
        <w:rPr>
          <w:color w:val="000000"/>
          <w:lang w:val="fr-CA"/>
        </w:rPr>
        <w:t xml:space="preserve">En matière de responsabilité, l’État est assimilé à une personne </w:t>
      </w:r>
      <w:r w:rsidR="0076681E" w:rsidRPr="00A95869">
        <w:rPr>
          <w:color w:val="000000"/>
          <w:lang w:val="fr-CA" w:eastAsia="en-US"/>
        </w:rPr>
        <w:t>pour</w:t>
      </w:r>
      <w:r w:rsidR="0076681E" w:rsidRPr="00A95869">
        <w:rPr>
          <w:color w:val="000000"/>
          <w:lang w:val="fr-CA"/>
        </w:rPr>
        <w:t> :</w:t>
      </w:r>
    </w:p>
    <w:p w:rsidR="000A66DE" w:rsidRPr="00A95869" w:rsidRDefault="000A66DE" w:rsidP="000A66DE">
      <w:pPr>
        <w:pStyle w:val="Citation"/>
        <w:tabs>
          <w:tab w:val="left" w:pos="1620"/>
          <w:tab w:val="left" w:pos="2160"/>
        </w:tabs>
        <w:spacing w:after="0"/>
        <w:ind w:left="1170" w:hanging="4"/>
        <w:contextualSpacing w:val="0"/>
        <w:rPr>
          <w:color w:val="000000"/>
          <w:lang w:val="fr-CA"/>
        </w:rPr>
      </w:pPr>
    </w:p>
    <w:p w:rsidR="0076681E" w:rsidRDefault="000A66DE" w:rsidP="000A66DE">
      <w:pPr>
        <w:pStyle w:val="Citation"/>
        <w:tabs>
          <w:tab w:val="left" w:pos="1620"/>
          <w:tab w:val="left" w:pos="2160"/>
        </w:tabs>
        <w:spacing w:after="0"/>
        <w:ind w:left="1170" w:hanging="4"/>
        <w:contextualSpacing w:val="0"/>
        <w:rPr>
          <w:color w:val="000000"/>
          <w:lang w:val="fr-CA"/>
        </w:rPr>
      </w:pPr>
      <w:r>
        <w:rPr>
          <w:i/>
          <w:color w:val="000000"/>
          <w:lang w:val="fr-CA"/>
        </w:rPr>
        <w:tab/>
      </w:r>
      <w:r>
        <w:rPr>
          <w:i/>
          <w:color w:val="000000"/>
          <w:lang w:val="fr-CA"/>
        </w:rPr>
        <w:tab/>
      </w:r>
      <w:r w:rsidR="0076681E" w:rsidRPr="00A95869">
        <w:rPr>
          <w:i/>
          <w:color w:val="000000"/>
          <w:lang w:val="fr-CA"/>
        </w:rPr>
        <w:t>a</w:t>
      </w:r>
      <w:r w:rsidR="0076681E">
        <w:rPr>
          <w:color w:val="000000"/>
          <w:lang w:val="fr-CA"/>
        </w:rPr>
        <w:t>)</w:t>
      </w:r>
      <w:r w:rsidR="0076681E">
        <w:rPr>
          <w:color w:val="000000"/>
          <w:lang w:val="fr-CA"/>
        </w:rPr>
        <w:tab/>
      </w:r>
      <w:r w:rsidR="0076681E" w:rsidRPr="00A95869">
        <w:rPr>
          <w:color w:val="000000"/>
          <w:lang w:val="fr-CA"/>
        </w:rPr>
        <w:t>dans la province de Québec :</w:t>
      </w:r>
    </w:p>
    <w:p w:rsidR="000A66DE" w:rsidRPr="00A95869" w:rsidRDefault="000A66DE" w:rsidP="000A66DE">
      <w:pPr>
        <w:pStyle w:val="Citation"/>
        <w:tabs>
          <w:tab w:val="left" w:pos="1620"/>
          <w:tab w:val="left" w:pos="2160"/>
        </w:tabs>
        <w:spacing w:after="0"/>
        <w:ind w:left="1170" w:hanging="4"/>
        <w:contextualSpacing w:val="0"/>
        <w:rPr>
          <w:color w:val="000000"/>
          <w:lang w:val="fr-CA"/>
        </w:rPr>
      </w:pPr>
    </w:p>
    <w:p w:rsidR="0076681E" w:rsidRPr="000A66DE" w:rsidRDefault="000A66DE" w:rsidP="00163A36">
      <w:pPr>
        <w:pStyle w:val="Citation"/>
        <w:tabs>
          <w:tab w:val="left" w:pos="2160"/>
          <w:tab w:val="left" w:pos="2700"/>
        </w:tabs>
        <w:spacing w:after="0"/>
        <w:ind w:left="2160" w:hanging="990"/>
        <w:contextualSpacing w:val="0"/>
        <w:rPr>
          <w:color w:val="000000"/>
          <w:lang w:val="fr-CA"/>
        </w:rPr>
      </w:pPr>
      <w:r>
        <w:rPr>
          <w:color w:val="000000"/>
          <w:lang w:val="fr-CA"/>
        </w:rPr>
        <w:tab/>
      </w:r>
      <w:r w:rsidRPr="000A66DE">
        <w:rPr>
          <w:color w:val="000000"/>
          <w:lang w:val="fr-CA"/>
        </w:rPr>
        <w:t>(i)</w:t>
      </w:r>
      <w:r w:rsidRPr="000A66DE">
        <w:rPr>
          <w:color w:val="000000"/>
          <w:lang w:val="fr-CA"/>
        </w:rPr>
        <w:tab/>
      </w:r>
      <w:r w:rsidR="0076681E" w:rsidRPr="000A66DE">
        <w:rPr>
          <w:color w:val="000000"/>
          <w:lang w:val="fr-CA"/>
        </w:rPr>
        <w:t>le dommage causé par la faute de ses préposés,</w:t>
      </w:r>
    </w:p>
    <w:p w:rsidR="000A66DE" w:rsidRDefault="000A66DE" w:rsidP="000A66DE">
      <w:pPr>
        <w:pStyle w:val="Citation"/>
        <w:tabs>
          <w:tab w:val="left" w:pos="1620"/>
          <w:tab w:val="left" w:pos="2160"/>
        </w:tabs>
        <w:spacing w:after="0"/>
        <w:ind w:left="1170" w:hanging="4"/>
        <w:contextualSpacing w:val="0"/>
        <w:rPr>
          <w:color w:val="000000"/>
          <w:lang w:val="fr-CA"/>
        </w:rPr>
      </w:pPr>
    </w:p>
    <w:p w:rsidR="0076681E" w:rsidRPr="00A95869" w:rsidRDefault="00163A36" w:rsidP="00163A36">
      <w:pPr>
        <w:pStyle w:val="Citation"/>
        <w:tabs>
          <w:tab w:val="left" w:pos="2160"/>
          <w:tab w:val="left" w:pos="2700"/>
        </w:tabs>
        <w:spacing w:after="0"/>
        <w:ind w:left="2160" w:hanging="990"/>
        <w:contextualSpacing w:val="0"/>
        <w:rPr>
          <w:color w:val="000000"/>
          <w:lang w:val="fr-CA"/>
        </w:rPr>
      </w:pPr>
      <w:r>
        <w:rPr>
          <w:color w:val="000000"/>
          <w:lang w:val="fr-CA"/>
        </w:rPr>
        <w:tab/>
      </w:r>
      <w:r w:rsidR="0076681E" w:rsidRPr="00A95869">
        <w:rPr>
          <w:color w:val="000000"/>
          <w:lang w:val="fr-CA"/>
        </w:rPr>
        <w:t>(ii)</w:t>
      </w:r>
      <w:r w:rsidR="0076681E">
        <w:rPr>
          <w:color w:val="000000"/>
          <w:lang w:val="fr-CA"/>
        </w:rPr>
        <w:tab/>
      </w:r>
      <w:r w:rsidR="0076681E" w:rsidRPr="00A95869">
        <w:rPr>
          <w:color w:val="000000"/>
          <w:lang w:val="fr-CA"/>
        </w:rPr>
        <w:t>le dommage causé par le fait des biens qu’il a sous sa garde ou dont il est propriétaire ou par sa faute à l’un ou l’autre de ces titres;</w:t>
      </w:r>
    </w:p>
    <w:p w:rsidR="0076681E" w:rsidRPr="00A95869" w:rsidRDefault="0076681E" w:rsidP="0076681E">
      <w:pPr>
        <w:pStyle w:val="subparagraph"/>
        <w:ind w:left="0" w:firstLine="286"/>
        <w:jc w:val="both"/>
        <w:rPr>
          <w:rFonts w:ascii="Times New Roman" w:hAnsi="Times New Roman" w:cs="Times New Roman"/>
          <w:color w:val="000000"/>
          <w:lang w:val="fr-CA"/>
        </w:rPr>
      </w:pPr>
    </w:p>
    <w:p w:rsidR="0076681E" w:rsidRPr="00A95869" w:rsidRDefault="00112C08" w:rsidP="00112C08">
      <w:pPr>
        <w:pStyle w:val="Citation"/>
        <w:tabs>
          <w:tab w:val="left" w:pos="1620"/>
          <w:tab w:val="left" w:pos="2160"/>
        </w:tabs>
        <w:spacing w:after="0"/>
        <w:ind w:left="1170" w:hanging="4"/>
        <w:contextualSpacing w:val="0"/>
        <w:rPr>
          <w:color w:val="000000"/>
          <w:lang w:val="fr-CA"/>
        </w:rPr>
      </w:pPr>
      <w:r>
        <w:rPr>
          <w:i/>
          <w:color w:val="000000"/>
          <w:lang w:val="fr-CA"/>
        </w:rPr>
        <w:tab/>
      </w:r>
      <w:r>
        <w:rPr>
          <w:i/>
          <w:color w:val="000000"/>
          <w:lang w:val="fr-CA"/>
        </w:rPr>
        <w:tab/>
      </w:r>
      <w:r w:rsidR="0076681E" w:rsidRPr="00A95869">
        <w:rPr>
          <w:i/>
          <w:color w:val="000000"/>
          <w:lang w:val="fr-CA"/>
        </w:rPr>
        <w:t>b</w:t>
      </w:r>
      <w:r w:rsidR="0076681E">
        <w:rPr>
          <w:color w:val="000000"/>
          <w:lang w:val="fr-CA"/>
        </w:rPr>
        <w:t>)</w:t>
      </w:r>
      <w:r w:rsidR="0076681E">
        <w:rPr>
          <w:color w:val="000000"/>
          <w:lang w:val="fr-CA"/>
        </w:rPr>
        <w:tab/>
      </w:r>
      <w:r w:rsidR="0076681E" w:rsidRPr="00A95869">
        <w:rPr>
          <w:color w:val="000000"/>
          <w:lang w:val="fr-CA"/>
        </w:rPr>
        <w:t>dans les autres provinces :</w:t>
      </w:r>
    </w:p>
    <w:p w:rsidR="0076681E" w:rsidRPr="00A95869" w:rsidRDefault="0076681E" w:rsidP="0076681E">
      <w:pPr>
        <w:pStyle w:val="subparagraph"/>
        <w:spacing w:before="0"/>
        <w:jc w:val="both"/>
        <w:rPr>
          <w:rFonts w:ascii="Times New Roman" w:hAnsi="Times New Roman" w:cs="Times New Roman"/>
          <w:color w:val="000000"/>
          <w:lang w:val="fr-CA"/>
        </w:rPr>
      </w:pPr>
    </w:p>
    <w:p w:rsidR="0076681E" w:rsidRPr="00A95869" w:rsidRDefault="00112C08" w:rsidP="00163A36">
      <w:pPr>
        <w:pStyle w:val="Citation"/>
        <w:tabs>
          <w:tab w:val="left" w:pos="2160"/>
          <w:tab w:val="left" w:pos="2700"/>
        </w:tabs>
        <w:spacing w:after="0"/>
        <w:ind w:left="2160" w:hanging="990"/>
        <w:contextualSpacing w:val="0"/>
        <w:rPr>
          <w:color w:val="000000"/>
          <w:lang w:val="fr-CA"/>
        </w:rPr>
      </w:pPr>
      <w:r>
        <w:rPr>
          <w:color w:val="000000"/>
          <w:lang w:val="fr-CA"/>
        </w:rPr>
        <w:tab/>
      </w:r>
      <w:r w:rsidR="0076681E" w:rsidRPr="00A95869">
        <w:rPr>
          <w:color w:val="000000"/>
          <w:lang w:val="fr-CA"/>
        </w:rPr>
        <w:t>(i)</w:t>
      </w:r>
      <w:r w:rsidR="0076681E">
        <w:rPr>
          <w:color w:val="000000"/>
          <w:lang w:val="fr-CA"/>
        </w:rPr>
        <w:tab/>
      </w:r>
      <w:r w:rsidR="0076681E" w:rsidRPr="00A95869">
        <w:rPr>
          <w:color w:val="000000"/>
          <w:lang w:val="fr-CA"/>
        </w:rPr>
        <w:t>les délits civils commis par ses préposés,</w:t>
      </w:r>
    </w:p>
    <w:p w:rsidR="0076681E" w:rsidRPr="00A95869" w:rsidRDefault="0076681E" w:rsidP="0076681E">
      <w:pPr>
        <w:pStyle w:val="subparagraph"/>
        <w:ind w:left="0" w:firstLine="286"/>
        <w:jc w:val="both"/>
        <w:rPr>
          <w:rFonts w:ascii="Times New Roman" w:hAnsi="Times New Roman" w:cs="Times New Roman"/>
          <w:color w:val="000000"/>
          <w:lang w:val="fr-CA"/>
        </w:rPr>
      </w:pPr>
    </w:p>
    <w:p w:rsidR="0076681E" w:rsidRPr="00A95869" w:rsidRDefault="00112C08" w:rsidP="00163A36">
      <w:pPr>
        <w:pStyle w:val="Citation"/>
        <w:tabs>
          <w:tab w:val="left" w:pos="2160"/>
          <w:tab w:val="left" w:pos="2700"/>
        </w:tabs>
        <w:spacing w:after="0"/>
        <w:ind w:left="2160" w:hanging="990"/>
        <w:contextualSpacing w:val="0"/>
        <w:rPr>
          <w:color w:val="000000"/>
          <w:lang w:val="fr-CA"/>
        </w:rPr>
      </w:pPr>
      <w:r>
        <w:rPr>
          <w:color w:val="000000"/>
          <w:lang w:val="fr-CA"/>
        </w:rPr>
        <w:tab/>
      </w:r>
      <w:r w:rsidR="0076681E">
        <w:rPr>
          <w:color w:val="000000"/>
          <w:lang w:val="fr-CA"/>
        </w:rPr>
        <w:t>(ii)</w:t>
      </w:r>
      <w:r w:rsidR="0076681E">
        <w:rPr>
          <w:color w:val="000000"/>
          <w:lang w:val="fr-CA"/>
        </w:rPr>
        <w:tab/>
      </w:r>
      <w:r w:rsidR="0076681E" w:rsidRPr="00A95869">
        <w:rPr>
          <w:color w:val="000000"/>
          <w:lang w:val="fr-CA"/>
        </w:rPr>
        <w:t>les manquements aux obligations liées à la propriété, à l’occupation, à la possession ou à la garde de biens.</w:t>
      </w:r>
    </w:p>
    <w:p w:rsidR="0076681E" w:rsidRPr="0076681E" w:rsidRDefault="0076681E" w:rsidP="0076681E">
      <w:pPr>
        <w:pStyle w:val="subparagraph"/>
        <w:ind w:left="720"/>
        <w:jc w:val="both"/>
        <w:rPr>
          <w:rFonts w:ascii="Times New Roman" w:hAnsi="Times New Roman" w:cs="Times New Roman"/>
          <w:color w:val="000000"/>
          <w:lang w:val="fr-CA"/>
        </w:rPr>
      </w:pPr>
    </w:p>
    <w:p w:rsidR="0076681E" w:rsidRDefault="00112C08" w:rsidP="00112C08">
      <w:pPr>
        <w:pStyle w:val="Citation"/>
        <w:tabs>
          <w:tab w:val="left" w:pos="1620"/>
          <w:tab w:val="left" w:pos="2160"/>
        </w:tabs>
        <w:spacing w:after="0"/>
        <w:ind w:left="1170" w:hanging="4"/>
        <w:contextualSpacing w:val="0"/>
        <w:rPr>
          <w:color w:val="000000"/>
          <w:lang w:val="fr-CA" w:eastAsia="en-US"/>
        </w:rPr>
      </w:pPr>
      <w:r>
        <w:rPr>
          <w:b/>
          <w:color w:val="000000"/>
          <w:lang w:val="fr-CA" w:eastAsia="en-US"/>
        </w:rPr>
        <w:tab/>
      </w:r>
      <w:r>
        <w:rPr>
          <w:b/>
          <w:color w:val="000000"/>
          <w:lang w:val="fr-CA" w:eastAsia="en-US"/>
        </w:rPr>
        <w:tab/>
      </w:r>
      <w:r w:rsidR="0076681E" w:rsidRPr="001C32F1">
        <w:rPr>
          <w:b/>
          <w:color w:val="000000"/>
          <w:lang w:val="fr-CA" w:eastAsia="en-US"/>
        </w:rPr>
        <w:t>10.</w:t>
      </w:r>
      <w:r w:rsidR="0076681E">
        <w:rPr>
          <w:b/>
          <w:color w:val="000000"/>
          <w:lang w:val="fr-CA" w:eastAsia="en-US"/>
        </w:rPr>
        <w:tab/>
      </w:r>
      <w:r w:rsidR="0076681E" w:rsidRPr="001C32F1">
        <w:rPr>
          <w:color w:val="000000"/>
          <w:lang w:val="fr-CA" w:eastAsia="en-US"/>
        </w:rPr>
        <w:t>L’État ne peut être pours</w:t>
      </w:r>
      <w:r w:rsidR="00522E69">
        <w:rPr>
          <w:color w:val="000000"/>
          <w:lang w:val="fr-CA" w:eastAsia="en-US"/>
        </w:rPr>
        <w:t>uivi, sur le fondement des sous-</w:t>
      </w:r>
      <w:r w:rsidR="0076681E" w:rsidRPr="001C32F1">
        <w:rPr>
          <w:color w:val="000000"/>
          <w:lang w:val="fr-CA" w:eastAsia="en-US"/>
        </w:rPr>
        <w:t>alinéas 3</w:t>
      </w:r>
      <w:r w:rsidR="0076681E" w:rsidRPr="001C32F1">
        <w:rPr>
          <w:i/>
          <w:iCs/>
          <w:lang w:val="fr-CA" w:eastAsia="en-US"/>
        </w:rPr>
        <w:t>a</w:t>
      </w:r>
      <w:r w:rsidR="0076681E" w:rsidRPr="001C32F1">
        <w:rPr>
          <w:color w:val="000000"/>
          <w:lang w:val="fr-CA" w:eastAsia="en-US"/>
        </w:rPr>
        <w:t xml:space="preserve">)(i) ou </w:t>
      </w:r>
      <w:r w:rsidR="0076681E" w:rsidRPr="001C32F1">
        <w:rPr>
          <w:i/>
          <w:iCs/>
          <w:lang w:val="fr-CA" w:eastAsia="en-US"/>
        </w:rPr>
        <w:t>b</w:t>
      </w:r>
      <w:r w:rsidR="0076681E" w:rsidRPr="001C32F1">
        <w:rPr>
          <w:color w:val="000000"/>
          <w:lang w:val="fr-CA" w:eastAsia="en-US"/>
        </w:rPr>
        <w:t>)(i), pour les actes ou omissions de ses préposés que lorsqu’il y a lieu en l’occurrence, compte non tenu de la présente loi, à une action en responsabilité contre leur auteur, ses représentants personnels ou sa succession.</w:t>
      </w:r>
    </w:p>
    <w:p w:rsidR="00112C08" w:rsidRPr="001C32F1" w:rsidRDefault="00112C08" w:rsidP="00112C08">
      <w:pPr>
        <w:pStyle w:val="Citation"/>
        <w:tabs>
          <w:tab w:val="left" w:pos="1620"/>
          <w:tab w:val="left" w:pos="2160"/>
        </w:tabs>
        <w:spacing w:after="0" w:line="480" w:lineRule="auto"/>
        <w:ind w:left="1170" w:hanging="4"/>
        <w:contextualSpacing w:val="0"/>
        <w:rPr>
          <w:b/>
          <w:bCs/>
          <w:lang w:val="fr-CA" w:eastAsia="en-US"/>
        </w:rPr>
      </w:pPr>
    </w:p>
    <w:p w:rsidR="007A3768" w:rsidRPr="00A95869" w:rsidRDefault="007A3768" w:rsidP="00445494">
      <w:pPr>
        <w:spacing w:after="720"/>
        <w:rPr>
          <w:lang w:val="fr-CA"/>
        </w:rPr>
      </w:pPr>
      <w:r w:rsidRPr="00445494">
        <w:rPr>
          <w:i/>
          <w:lang w:val="fr-CA"/>
        </w:rPr>
        <w:t>Code civil du Québec</w:t>
      </w:r>
      <w:r w:rsidRPr="00126096">
        <w:rPr>
          <w:lang w:val="fr-CA"/>
        </w:rPr>
        <w:t>,</w:t>
      </w:r>
      <w:r w:rsidRPr="00A95869">
        <w:rPr>
          <w:lang w:val="fr-CA"/>
        </w:rPr>
        <w:t xml:space="preserve"> L.R.Q., c</w:t>
      </w:r>
      <w:r>
        <w:rPr>
          <w:lang w:val="fr-CA"/>
        </w:rPr>
        <w:t>h</w:t>
      </w:r>
      <w:r w:rsidRPr="00A95869">
        <w:rPr>
          <w:lang w:val="fr-CA"/>
        </w:rPr>
        <w:t>. C</w:t>
      </w:r>
      <w:r w:rsidRPr="00A95869">
        <w:rPr>
          <w:lang w:val="fr-CA"/>
        </w:rPr>
        <w:noBreakHyphen/>
        <w:t>1991</w:t>
      </w:r>
    </w:p>
    <w:p w:rsidR="0076681E" w:rsidRPr="001C32F1" w:rsidRDefault="0076681E" w:rsidP="00112C08">
      <w:pPr>
        <w:pStyle w:val="Citation"/>
        <w:tabs>
          <w:tab w:val="left" w:pos="1620"/>
          <w:tab w:val="left" w:pos="1980"/>
        </w:tabs>
        <w:spacing w:after="0"/>
        <w:ind w:left="1170" w:hanging="4"/>
        <w:contextualSpacing w:val="0"/>
        <w:rPr>
          <w:color w:val="000000"/>
          <w:lang w:val="fr-CA" w:eastAsia="en-US"/>
        </w:rPr>
      </w:pPr>
      <w:bookmarkStart w:id="0" w:name="sec1376para1"/>
      <w:bookmarkStart w:id="1" w:name="sec1376"/>
      <w:bookmarkStart w:id="2" w:name="s1376"/>
      <w:bookmarkEnd w:id="0"/>
      <w:bookmarkEnd w:id="1"/>
      <w:bookmarkEnd w:id="2"/>
      <w:r w:rsidRPr="001C32F1">
        <w:rPr>
          <w:b/>
          <w:lang w:val="fr-CA" w:eastAsia="en-US"/>
        </w:rPr>
        <w:t>1376.</w:t>
      </w:r>
      <w:r>
        <w:rPr>
          <w:color w:val="000000"/>
          <w:lang w:val="fr-CA" w:eastAsia="en-US"/>
        </w:rPr>
        <w:tab/>
      </w:r>
      <w:r w:rsidRPr="001C32F1">
        <w:rPr>
          <w:color w:val="000000"/>
          <w:lang w:val="fr-CA" w:eastAsia="en-US"/>
        </w:rPr>
        <w:t>Les règles du présent livre s'appliquent à l'État, ainsi qu'à ses organismes et à toute autre personne morale de droit public, sous réserve des autres règles de droit qui leur sont applicables.</w:t>
      </w:r>
    </w:p>
    <w:p w:rsidR="0076681E" w:rsidRPr="0076681E" w:rsidRDefault="0076681E" w:rsidP="00D530B4">
      <w:pPr>
        <w:jc w:val="both"/>
        <w:rPr>
          <w:color w:val="000000"/>
          <w:lang w:val="fr-CA" w:eastAsia="en-US"/>
        </w:rPr>
      </w:pPr>
    </w:p>
    <w:p w:rsidR="0076681E" w:rsidRPr="0076681E" w:rsidRDefault="0076681E" w:rsidP="00D530B4">
      <w:pPr>
        <w:jc w:val="both"/>
        <w:rPr>
          <w:color w:val="000000"/>
          <w:lang w:val="fr-CA" w:eastAsia="en-US"/>
        </w:rPr>
      </w:pPr>
    </w:p>
    <w:p w:rsidR="0076681E" w:rsidRPr="001C32F1" w:rsidRDefault="0076681E" w:rsidP="00112C08">
      <w:pPr>
        <w:pStyle w:val="Citation"/>
        <w:tabs>
          <w:tab w:val="left" w:pos="1620"/>
          <w:tab w:val="left" w:pos="1980"/>
        </w:tabs>
        <w:spacing w:after="0"/>
        <w:ind w:left="1170" w:hanging="4"/>
        <w:contextualSpacing w:val="0"/>
        <w:rPr>
          <w:color w:val="000000"/>
          <w:lang w:val="fr-CA" w:eastAsia="en-US"/>
        </w:rPr>
      </w:pPr>
      <w:r w:rsidRPr="001C32F1">
        <w:rPr>
          <w:b/>
          <w:color w:val="000000"/>
          <w:lang w:val="fr-CA" w:eastAsia="en-US"/>
        </w:rPr>
        <w:t>145</w:t>
      </w:r>
      <w:r>
        <w:rPr>
          <w:b/>
          <w:color w:val="000000"/>
          <w:lang w:val="fr-CA" w:eastAsia="en-US"/>
        </w:rPr>
        <w:t>7.</w:t>
      </w:r>
      <w:r>
        <w:rPr>
          <w:b/>
          <w:color w:val="000000"/>
          <w:lang w:val="fr-CA" w:eastAsia="en-US"/>
        </w:rPr>
        <w:tab/>
      </w:r>
      <w:r w:rsidRPr="001C32F1">
        <w:rPr>
          <w:color w:val="000000"/>
          <w:lang w:val="fr-CA" w:eastAsia="en-US"/>
        </w:rPr>
        <w:t>Toute personne a le devoir de respecter les règles de conduite qui, suivant les circonstances, les usages ou la loi, s'imposent à elle, de manière à ne pas causer de préjudice à autrui.</w:t>
      </w:r>
    </w:p>
    <w:p w:rsidR="0076681E" w:rsidRDefault="0076681E" w:rsidP="00112C08">
      <w:pPr>
        <w:pStyle w:val="Citation"/>
        <w:tabs>
          <w:tab w:val="left" w:pos="1620"/>
          <w:tab w:val="left" w:pos="2160"/>
        </w:tabs>
        <w:spacing w:after="0"/>
        <w:ind w:left="1170" w:hanging="4"/>
        <w:contextualSpacing w:val="0"/>
        <w:rPr>
          <w:color w:val="000000"/>
          <w:lang w:val="fr-CA" w:eastAsia="en-US"/>
        </w:rPr>
      </w:pPr>
      <w:r w:rsidRPr="001C32F1">
        <w:rPr>
          <w:color w:val="000000"/>
          <w:lang w:val="fr-CA" w:eastAsia="en-US"/>
        </w:rPr>
        <w:br/>
        <w:t>Elle est, lorsqu'elle est douée de raison et qu'elle manque à ce devoir, responsable du préjudice qu'elle cause par cette faute à autrui et tenue de réparer ce préjudice, qu'il soit corporel, moral ou matériel.</w:t>
      </w:r>
    </w:p>
    <w:p w:rsidR="0076681E" w:rsidRPr="001C32F1" w:rsidRDefault="0076681E" w:rsidP="00D530B4">
      <w:pPr>
        <w:jc w:val="both"/>
        <w:rPr>
          <w:color w:val="000000"/>
          <w:lang w:val="fr-CA" w:eastAsia="en-US"/>
        </w:rPr>
      </w:pPr>
    </w:p>
    <w:p w:rsidR="0076681E" w:rsidRDefault="0076681E" w:rsidP="00112C08">
      <w:pPr>
        <w:pStyle w:val="Citation"/>
        <w:tabs>
          <w:tab w:val="left" w:pos="1620"/>
          <w:tab w:val="left" w:pos="2160"/>
        </w:tabs>
        <w:spacing w:after="0"/>
        <w:ind w:left="1170" w:hanging="4"/>
        <w:contextualSpacing w:val="0"/>
        <w:rPr>
          <w:color w:val="000000"/>
          <w:lang w:val="fr-CA" w:eastAsia="en-US"/>
        </w:rPr>
      </w:pPr>
      <w:r w:rsidRPr="001C32F1">
        <w:rPr>
          <w:color w:val="000000"/>
          <w:lang w:val="fr-CA" w:eastAsia="en-US"/>
        </w:rPr>
        <w:t>Elle est aussi tenue, en certains cas, de réparer le préjudice causé à autrui par le fait ou la faute d'une autre personne ou par le fait des biens qu'elle a sous sa garde.</w:t>
      </w:r>
    </w:p>
    <w:p w:rsidR="00112C08" w:rsidRPr="001C32F1" w:rsidRDefault="00112C08" w:rsidP="00112C08">
      <w:pPr>
        <w:pStyle w:val="Citation"/>
        <w:tabs>
          <w:tab w:val="left" w:pos="1620"/>
          <w:tab w:val="left" w:pos="2160"/>
        </w:tabs>
        <w:spacing w:after="0" w:line="480" w:lineRule="auto"/>
        <w:ind w:left="1170" w:hanging="4"/>
        <w:contextualSpacing w:val="0"/>
        <w:rPr>
          <w:color w:val="000000"/>
          <w:lang w:val="fr-CA" w:eastAsia="en-US"/>
        </w:rPr>
      </w:pPr>
    </w:p>
    <w:p w:rsidR="007A3768" w:rsidRPr="00A95869" w:rsidRDefault="007A3768" w:rsidP="00445494">
      <w:pPr>
        <w:spacing w:after="720"/>
        <w:rPr>
          <w:lang w:val="fr-CA"/>
        </w:rPr>
      </w:pPr>
      <w:r w:rsidRPr="00445494">
        <w:rPr>
          <w:i/>
          <w:lang w:val="fr-CA"/>
        </w:rPr>
        <w:t>Code de procédure civile</w:t>
      </w:r>
      <w:r w:rsidRPr="002E0A63">
        <w:rPr>
          <w:lang w:val="fr-CA"/>
        </w:rPr>
        <w:t>,</w:t>
      </w:r>
      <w:r w:rsidRPr="00A95869">
        <w:rPr>
          <w:lang w:val="fr-CA"/>
        </w:rPr>
        <w:t xml:space="preserve"> </w:t>
      </w:r>
      <w:r w:rsidRPr="00A95869">
        <w:rPr>
          <w:rStyle w:val="reference1"/>
          <w:color w:val="000000"/>
          <w:lang w:val="fr-CA"/>
        </w:rPr>
        <w:t>L.R.Q., c</w:t>
      </w:r>
      <w:r>
        <w:rPr>
          <w:rStyle w:val="reference1"/>
          <w:color w:val="000000"/>
          <w:lang w:val="fr-CA"/>
        </w:rPr>
        <w:t>h</w:t>
      </w:r>
      <w:r w:rsidRPr="00A95869">
        <w:rPr>
          <w:rStyle w:val="reference1"/>
          <w:color w:val="000000"/>
          <w:lang w:val="fr-CA"/>
        </w:rPr>
        <w:t>. C</w:t>
      </w:r>
      <w:r w:rsidRPr="00A95869">
        <w:rPr>
          <w:rStyle w:val="reference1"/>
          <w:color w:val="000000"/>
          <w:lang w:val="fr-CA"/>
        </w:rPr>
        <w:noBreakHyphen/>
        <w:t>25</w:t>
      </w:r>
    </w:p>
    <w:p w:rsidR="0076681E" w:rsidRDefault="0076681E" w:rsidP="00112C08">
      <w:pPr>
        <w:pStyle w:val="Citation"/>
        <w:tabs>
          <w:tab w:val="left" w:pos="1980"/>
        </w:tabs>
        <w:spacing w:after="0"/>
        <w:ind w:left="1170" w:hanging="4"/>
        <w:contextualSpacing w:val="0"/>
        <w:rPr>
          <w:color w:val="000000"/>
          <w:lang w:val="fr-FR" w:eastAsia="en-US"/>
        </w:rPr>
      </w:pPr>
      <w:bookmarkStart w:id="3" w:name="D_216_Y"/>
      <w:bookmarkStart w:id="4" w:name="s216"/>
      <w:bookmarkEnd w:id="3"/>
      <w:bookmarkEnd w:id="4"/>
      <w:r w:rsidRPr="00A95869">
        <w:rPr>
          <w:b/>
          <w:color w:val="000000"/>
          <w:lang w:val="fr-FR" w:eastAsia="en-US"/>
        </w:rPr>
        <w:t>216.</w:t>
      </w:r>
      <w:r>
        <w:rPr>
          <w:color w:val="000000"/>
          <w:lang w:val="fr-FR" w:eastAsia="en-US"/>
        </w:rPr>
        <w:tab/>
      </w:r>
      <w:r w:rsidRPr="00A95869">
        <w:rPr>
          <w:color w:val="000000"/>
          <w:lang w:val="fr-FR" w:eastAsia="en-US"/>
        </w:rPr>
        <w:t>Toute partie engagée dans un procès peut y appeler un tiers dont la présence est nécessaire pour permettre une solution complète du litige, ou contre qui elle prétend exercer un recours en garantie.</w:t>
      </w:r>
    </w:p>
    <w:p w:rsidR="00112C08" w:rsidRPr="00A95869" w:rsidRDefault="00112C08" w:rsidP="00112C08">
      <w:pPr>
        <w:pStyle w:val="Citation"/>
        <w:tabs>
          <w:tab w:val="left" w:pos="1620"/>
          <w:tab w:val="left" w:pos="2160"/>
        </w:tabs>
        <w:spacing w:after="0" w:line="480" w:lineRule="auto"/>
        <w:ind w:left="1170" w:hanging="4"/>
        <w:contextualSpacing w:val="0"/>
        <w:rPr>
          <w:color w:val="000000"/>
          <w:lang w:val="fr-FR" w:eastAsia="en-US"/>
        </w:rPr>
      </w:pPr>
    </w:p>
    <w:p w:rsidR="007A3768" w:rsidRPr="001C32F1" w:rsidRDefault="007A3768" w:rsidP="008954DC">
      <w:pPr>
        <w:tabs>
          <w:tab w:val="left" w:pos="720"/>
        </w:tabs>
        <w:spacing w:after="480"/>
        <w:ind w:left="720" w:hanging="720"/>
        <w:rPr>
          <w:u w:val="single"/>
          <w:lang w:val="fr-CA"/>
        </w:rPr>
      </w:pPr>
      <w:r w:rsidRPr="001C32F1">
        <w:rPr>
          <w:lang w:val="fr-CA"/>
        </w:rPr>
        <w:t>IV</w:t>
      </w:r>
      <w:r w:rsidRPr="000D43DC">
        <w:rPr>
          <w:lang w:val="fr-CA"/>
        </w:rPr>
        <w:t>.</w:t>
      </w:r>
      <w:r w:rsidR="008954DC" w:rsidRPr="000D43DC">
        <w:rPr>
          <w:lang w:val="fr-CA"/>
        </w:rPr>
        <w:tab/>
      </w:r>
      <w:r w:rsidRPr="001C32F1">
        <w:rPr>
          <w:u w:val="single"/>
          <w:lang w:val="fr-CA"/>
        </w:rPr>
        <w:t>Analyse</w:t>
      </w:r>
    </w:p>
    <w:p w:rsidR="007A3768" w:rsidRPr="000D43DC" w:rsidRDefault="000D43DC" w:rsidP="000D43DC">
      <w:pPr>
        <w:tabs>
          <w:tab w:val="left" w:pos="720"/>
        </w:tabs>
        <w:spacing w:after="480"/>
        <w:ind w:left="720" w:hanging="720"/>
        <w:rPr>
          <w:i/>
          <w:iCs/>
          <w:lang w:val="fr-CA"/>
        </w:rPr>
      </w:pPr>
      <w:r w:rsidRPr="000D43DC">
        <w:rPr>
          <w:iCs/>
          <w:lang w:val="fr-CA"/>
        </w:rPr>
        <w:t>A.</w:t>
      </w:r>
      <w:r>
        <w:rPr>
          <w:i/>
          <w:iCs/>
          <w:lang w:val="fr-CA"/>
        </w:rPr>
        <w:tab/>
      </w:r>
      <w:r w:rsidR="007A3768" w:rsidRPr="000D43DC">
        <w:rPr>
          <w:i/>
          <w:iCs/>
          <w:lang w:val="fr-CA"/>
        </w:rPr>
        <w:t>Compétence de la Cour supérieure du Québec</w:t>
      </w:r>
    </w:p>
    <w:p w:rsidR="007A3768" w:rsidRPr="00A95869" w:rsidRDefault="007A3768" w:rsidP="0076681E">
      <w:pPr>
        <w:pStyle w:val="ReasonsNumbering-AltN"/>
        <w:rPr>
          <w:u w:val="single"/>
          <w:lang w:val="fr-CA"/>
        </w:rPr>
      </w:pPr>
      <w:r w:rsidRPr="00A95869">
        <w:rPr>
          <w:lang w:val="fr-CA"/>
        </w:rPr>
        <w:t xml:space="preserve">L’Agence soutient que la Cour d’appel n’a pas tenu compte du fond de l’affaire dont elle était saisie.  En effet, plutôt que d’examiner les faits à l’origine de l’affaire, elle aurait simplement accepté les observations de l’Institut et des vétérinaires selon lesquelles leurs recours en garantie ne visaient ni la légalité, ni la validité de la décision de l’Agence, mais concernaient plutôt leur opinion que cette décision était « injustifié[e], </w:t>
      </w:r>
      <w:proofErr w:type="spellStart"/>
      <w:r w:rsidRPr="00A95869">
        <w:rPr>
          <w:lang w:val="fr-CA"/>
        </w:rPr>
        <w:t>excessiv</w:t>
      </w:r>
      <w:proofErr w:type="spellEnd"/>
      <w:r w:rsidRPr="00A95869">
        <w:rPr>
          <w:lang w:val="fr-CA"/>
        </w:rPr>
        <w:t xml:space="preserve">[e] et </w:t>
      </w:r>
      <w:proofErr w:type="spellStart"/>
      <w:r w:rsidRPr="00A95869">
        <w:rPr>
          <w:lang w:val="fr-CA"/>
        </w:rPr>
        <w:t>fautiv</w:t>
      </w:r>
      <w:proofErr w:type="spellEnd"/>
      <w:r w:rsidRPr="00A95869">
        <w:rPr>
          <w:lang w:val="fr-CA"/>
        </w:rPr>
        <w:t>[e] ».  D’après l’Agence, l’Institut et les vétérinaires voulaient essentiellement contester la légalité et la validité de sa décision en procédant à un contrôle judiciaire devant la Cour supérieure, sous le c</w:t>
      </w:r>
      <w:r w:rsidR="000D43DC">
        <w:rPr>
          <w:lang w:val="fr-CA"/>
        </w:rPr>
        <w:t>ouvert d’une action en dommages-</w:t>
      </w:r>
      <w:r w:rsidRPr="00A95869">
        <w:rPr>
          <w:lang w:val="fr-CA"/>
        </w:rPr>
        <w:t>intérêts.</w:t>
      </w:r>
    </w:p>
    <w:p w:rsidR="007A3768" w:rsidRPr="00A95869" w:rsidRDefault="007A3768" w:rsidP="0076681E">
      <w:pPr>
        <w:pStyle w:val="ReasonsNumbering-AltN"/>
        <w:rPr>
          <w:u w:val="single"/>
          <w:lang w:val="fr-CA"/>
        </w:rPr>
      </w:pPr>
      <w:r w:rsidRPr="00A95869">
        <w:rPr>
          <w:lang w:val="fr-CA"/>
        </w:rPr>
        <w:t>Selon l’Agence, la Cour d’appel a aussi oublié que, en droit administratif fédéral, l’examen de la légalité ou de la validité de la décision d’un office fédéral relève de la compétence exclusive de la Cour fédérale en vertu de l’art</w:t>
      </w:r>
      <w:r w:rsidR="001C6FB7">
        <w:rPr>
          <w:lang w:val="fr-CA"/>
        </w:rPr>
        <w:t xml:space="preserve">. </w:t>
      </w:r>
      <w:r w:rsidRPr="00A95869">
        <w:rPr>
          <w:lang w:val="fr-CA"/>
        </w:rPr>
        <w:t xml:space="preserve">18 de la </w:t>
      </w:r>
      <w:r w:rsidRPr="00A95869">
        <w:rPr>
          <w:i/>
          <w:lang w:val="fr-CA"/>
        </w:rPr>
        <w:t>Loi sur les Cours fédérales</w:t>
      </w:r>
      <w:r w:rsidRPr="00A95869">
        <w:rPr>
          <w:lang w:val="fr-CA"/>
        </w:rPr>
        <w:t>, L.R.C. 1985, ch.</w:t>
      </w:r>
      <w:r w:rsidR="001C6FB7">
        <w:rPr>
          <w:lang w:val="fr-CA"/>
        </w:rPr>
        <w:t xml:space="preserve"> </w:t>
      </w:r>
      <w:r w:rsidRPr="00A95869">
        <w:rPr>
          <w:lang w:val="fr-CA"/>
        </w:rPr>
        <w:t>F</w:t>
      </w:r>
      <w:r w:rsidRPr="00A95869">
        <w:rPr>
          <w:lang w:val="fr-CA"/>
        </w:rPr>
        <w:noBreakHyphen/>
        <w:t xml:space="preserve">7.  L’Agence plaide que, selon une bonne interprétation de l’arrêt </w:t>
      </w:r>
      <w:r w:rsidR="007048E2" w:rsidRPr="00A95869">
        <w:rPr>
          <w:lang w:val="fr-CA"/>
        </w:rPr>
        <w:fldChar w:fldCharType="begin"/>
      </w:r>
      <w:r w:rsidRPr="00A95869">
        <w:rPr>
          <w:lang w:val="fr-CA"/>
        </w:rPr>
        <w:instrText xml:space="preserve"> SEQ CHAPTER \h \r 1</w:instrText>
      </w:r>
      <w:r w:rsidR="007048E2" w:rsidRPr="00A95869">
        <w:rPr>
          <w:lang w:val="fr-CA"/>
        </w:rPr>
        <w:fldChar w:fldCharType="end"/>
      </w:r>
      <w:proofErr w:type="spellStart"/>
      <w:r w:rsidRPr="00A95869">
        <w:rPr>
          <w:i/>
          <w:iCs/>
          <w:lang w:val="fr-CA"/>
        </w:rPr>
        <w:t>Welbridge</w:t>
      </w:r>
      <w:proofErr w:type="spellEnd"/>
      <w:r w:rsidRPr="00A95869">
        <w:rPr>
          <w:i/>
          <w:iCs/>
          <w:lang w:val="fr-CA"/>
        </w:rPr>
        <w:t xml:space="preserve"> Holdings Ltd. c. </w:t>
      </w:r>
      <w:proofErr w:type="spellStart"/>
      <w:r w:rsidRPr="00A95869">
        <w:rPr>
          <w:i/>
          <w:iCs/>
          <w:lang w:val="fr-CA"/>
        </w:rPr>
        <w:t>Greater</w:t>
      </w:r>
      <w:proofErr w:type="spellEnd"/>
      <w:r w:rsidRPr="00A95869">
        <w:rPr>
          <w:i/>
          <w:iCs/>
          <w:lang w:val="fr-CA"/>
        </w:rPr>
        <w:t xml:space="preserve"> Winnipeg</w:t>
      </w:r>
      <w:r w:rsidRPr="00A95869">
        <w:rPr>
          <w:lang w:val="fr-CA"/>
        </w:rPr>
        <w:t xml:space="preserve">, [1971] R.C.S. 957, une décision de l’administration publique, même si elle est illégale en droit administratif, ne constitue pas nécessairement une faute ouvrant droit à un recours civil.  Toujours selon l’Agence, l’arrêt </w:t>
      </w:r>
      <w:proofErr w:type="spellStart"/>
      <w:r w:rsidRPr="00A95869">
        <w:rPr>
          <w:i/>
          <w:iCs/>
          <w:lang w:val="fr-CA"/>
        </w:rPr>
        <w:t>Welbridge</w:t>
      </w:r>
      <w:proofErr w:type="spellEnd"/>
      <w:r w:rsidRPr="00A95869">
        <w:rPr>
          <w:lang w:val="fr-CA"/>
        </w:rPr>
        <w:t xml:space="preserve"> confirme qu’avant de plaider l’illégalité d’une décision administrative, une partie doit d’abord la contester par voie </w:t>
      </w:r>
      <w:r w:rsidRPr="00A95869">
        <w:rPr>
          <w:lang w:val="fr-CA"/>
        </w:rPr>
        <w:lastRenderedPageBreak/>
        <w:t>de contrôle judiciaire et ne peut pas l’attaquer indirectement en e</w:t>
      </w:r>
      <w:r w:rsidR="000D43DC">
        <w:rPr>
          <w:lang w:val="fr-CA"/>
        </w:rPr>
        <w:t>ngageant une action en dommages-</w:t>
      </w:r>
      <w:r w:rsidRPr="00A95869">
        <w:rPr>
          <w:lang w:val="fr-CA"/>
        </w:rPr>
        <w:t>intérêts fondée sur les conséquences de cette décision.</w:t>
      </w:r>
    </w:p>
    <w:p w:rsidR="007A3768" w:rsidRPr="00A95869" w:rsidRDefault="007A3768" w:rsidP="0076681E">
      <w:pPr>
        <w:pStyle w:val="ReasonsNumbering-AltN"/>
        <w:rPr>
          <w:u w:val="single"/>
          <w:lang w:val="fr-CA"/>
        </w:rPr>
      </w:pPr>
      <w:r w:rsidRPr="00A95869">
        <w:rPr>
          <w:lang w:val="fr-CA"/>
        </w:rPr>
        <w:t xml:space="preserve">Pour les motifs exposés dans l’arrêt connexe </w:t>
      </w:r>
      <w:proofErr w:type="spellStart"/>
      <w:r w:rsidRPr="00A95869">
        <w:rPr>
          <w:i/>
          <w:iCs/>
          <w:lang w:val="fr-CA"/>
        </w:rPr>
        <w:t>TeleZone</w:t>
      </w:r>
      <w:proofErr w:type="spellEnd"/>
      <w:r w:rsidRPr="00A95869">
        <w:rPr>
          <w:lang w:val="fr-CA"/>
        </w:rPr>
        <w:t xml:space="preserve">, ces arguments doivent être rejetés.  Dans </w:t>
      </w:r>
      <w:proofErr w:type="spellStart"/>
      <w:r w:rsidRPr="00A95869">
        <w:rPr>
          <w:i/>
          <w:iCs/>
          <w:lang w:val="fr-CA"/>
        </w:rPr>
        <w:t>TeleZone</w:t>
      </w:r>
      <w:proofErr w:type="spellEnd"/>
      <w:r w:rsidRPr="00A95869">
        <w:rPr>
          <w:lang w:val="fr-CA"/>
        </w:rPr>
        <w:t xml:space="preserve">, le juge </w:t>
      </w:r>
      <w:proofErr w:type="spellStart"/>
      <w:proofErr w:type="gramStart"/>
      <w:r w:rsidRPr="00A95869">
        <w:rPr>
          <w:lang w:val="fr-CA"/>
        </w:rPr>
        <w:t>Binnie</w:t>
      </w:r>
      <w:proofErr w:type="spellEnd"/>
      <w:r w:rsidRPr="00A95869">
        <w:rPr>
          <w:lang w:val="fr-CA"/>
        </w:rPr>
        <w:t xml:space="preserve"> conclut</w:t>
      </w:r>
      <w:proofErr w:type="gramEnd"/>
      <w:r w:rsidRPr="00A95869">
        <w:rPr>
          <w:lang w:val="fr-CA"/>
        </w:rPr>
        <w:t xml:space="preserve"> que l’a</w:t>
      </w:r>
      <w:r w:rsidR="001C6FB7">
        <w:rPr>
          <w:lang w:val="fr-CA"/>
        </w:rPr>
        <w:t>rt.</w:t>
      </w:r>
      <w:r w:rsidR="00E55DD4">
        <w:rPr>
          <w:lang w:val="fr-CA"/>
        </w:rPr>
        <w:t xml:space="preserve"> </w:t>
      </w:r>
      <w:r w:rsidRPr="00A95869">
        <w:rPr>
          <w:lang w:val="fr-CA"/>
        </w:rPr>
        <w:t xml:space="preserve">18 de la </w:t>
      </w:r>
      <w:r w:rsidRPr="00A95869">
        <w:rPr>
          <w:i/>
          <w:lang w:val="fr-CA"/>
        </w:rPr>
        <w:t>Loi sur les Cours fédérales</w:t>
      </w:r>
      <w:r w:rsidRPr="00A95869">
        <w:rPr>
          <w:lang w:val="fr-CA"/>
        </w:rPr>
        <w:t>, qui confère à la Cour fédérale le pouvoir exclusif d’instruire et de trancher les demandes de contrôle judiciaire des décisions de l’État fédéral et de ses mandataires, n’exclut pas la compétence des cours supérieures provinciales de connaître des recours de droit privé intentés contre l’État fédéral.  Il n’est pas nécessaire de contester avec succès la décision administrative d’un office fédéral par voie de contrôle judiciaire avant d’intenter une action en domm</w:t>
      </w:r>
      <w:r w:rsidR="000D43DC">
        <w:rPr>
          <w:lang w:val="fr-CA"/>
        </w:rPr>
        <w:t>ages-</w:t>
      </w:r>
      <w:r w:rsidRPr="00A95869">
        <w:rPr>
          <w:lang w:val="fr-CA"/>
        </w:rPr>
        <w:t xml:space="preserve">intérêts à l’égard de cette décision.  Le principe énoncé par la Cour d’appel fédérale dans </w:t>
      </w:r>
      <w:r w:rsidRPr="00A95869">
        <w:rPr>
          <w:i/>
          <w:iCs/>
          <w:lang w:val="fr-CA"/>
        </w:rPr>
        <w:t>Canada c. Grenier</w:t>
      </w:r>
      <w:r w:rsidRPr="00A95869">
        <w:rPr>
          <w:lang w:val="fr-CA"/>
        </w:rPr>
        <w:t>, 2005 CAF 348, [2006] 2 R.C.F. 287, selon lequel le seul recours possible par suite d’un préjudice découlant d’un acte d’un organisme administratif fédéral est une demande de contrôle judiciaire présentée à la Cour fédérale, ne devrait plus être considéré comme mettant l’État fédéral à l’abri de toute responsabilité civile pour les dommages causés par ses mandataires.</w:t>
      </w:r>
    </w:p>
    <w:p w:rsidR="007A3768" w:rsidRPr="00A95869" w:rsidRDefault="007A3768" w:rsidP="0076681E">
      <w:pPr>
        <w:pStyle w:val="ReasonsNumbering-AltN"/>
        <w:rPr>
          <w:lang w:val="fr-CA"/>
        </w:rPr>
      </w:pPr>
      <w:r w:rsidRPr="00A95869">
        <w:rPr>
          <w:lang w:val="fr-CA"/>
        </w:rPr>
        <w:t xml:space="preserve">Il ne s’agit pas ici d’un cas où les tribunaux d’instance inférieure se sont fondés sur la qualification juridique du litige par les parties plutôt que sur le fond du litige.  Comme l’a décidé le juge </w:t>
      </w:r>
      <w:proofErr w:type="spellStart"/>
      <w:r w:rsidRPr="00A95869">
        <w:rPr>
          <w:lang w:val="fr-CA"/>
        </w:rPr>
        <w:t>Barakett</w:t>
      </w:r>
      <w:proofErr w:type="spellEnd"/>
      <w:r w:rsidRPr="00A95869">
        <w:rPr>
          <w:lang w:val="fr-CA"/>
        </w:rPr>
        <w:t xml:space="preserve">, l’Agence, l’Institut et les vétérinaires étaient, à première vue, responsables au civil du préjudice que les exploitants d’abattoirs prétendaient avoir subi.  Le juge de première instance a aussi conclu </w:t>
      </w:r>
      <w:r w:rsidRPr="00A95869">
        <w:rPr>
          <w:lang w:val="fr-FR"/>
        </w:rPr>
        <w:t>—</w:t>
      </w:r>
      <w:r w:rsidRPr="00A95869">
        <w:rPr>
          <w:lang w:val="fr-CA"/>
        </w:rPr>
        <w:t xml:space="preserve"> et </w:t>
      </w:r>
      <w:r w:rsidRPr="00A95869">
        <w:rPr>
          <w:lang w:val="fr-CA"/>
        </w:rPr>
        <w:lastRenderedPageBreak/>
        <w:t>la Cour</w:t>
      </w:r>
      <w:r w:rsidR="00E55DD4">
        <w:rPr>
          <w:lang w:val="fr-CA"/>
        </w:rPr>
        <w:t xml:space="preserve"> </w:t>
      </w:r>
      <w:r w:rsidRPr="00A95869">
        <w:rPr>
          <w:lang w:val="fr-CA"/>
        </w:rPr>
        <w:t xml:space="preserve">d’appel lui a donné raison </w:t>
      </w:r>
      <w:r w:rsidRPr="00A95869">
        <w:rPr>
          <w:lang w:val="fr-FR"/>
        </w:rPr>
        <w:t>—</w:t>
      </w:r>
      <w:r w:rsidRPr="00A95869">
        <w:rPr>
          <w:lang w:val="fr-CA"/>
        </w:rPr>
        <w:t xml:space="preserve"> qu’en exerçant des recours en garantie contre l’Agence, l’Institut et les vétérinaires ne contestaient pas la validité et la légalité de la décision de l’Agence, mais alléguaient qu’elle était « injustifié[e], </w:t>
      </w:r>
      <w:proofErr w:type="spellStart"/>
      <w:r w:rsidRPr="00A95869">
        <w:rPr>
          <w:lang w:val="fr-CA"/>
        </w:rPr>
        <w:t>excessiv</w:t>
      </w:r>
      <w:proofErr w:type="spellEnd"/>
      <w:r w:rsidRPr="00A95869">
        <w:rPr>
          <w:lang w:val="fr-FR"/>
        </w:rPr>
        <w:t>[e</w:t>
      </w:r>
      <w:r w:rsidRPr="00A95869">
        <w:rPr>
          <w:lang w:val="fr-CA"/>
        </w:rPr>
        <w:t xml:space="preserve">] et </w:t>
      </w:r>
      <w:proofErr w:type="spellStart"/>
      <w:r w:rsidRPr="00A95869">
        <w:rPr>
          <w:lang w:val="fr-CA"/>
        </w:rPr>
        <w:t>fautiv</w:t>
      </w:r>
      <w:proofErr w:type="spellEnd"/>
      <w:r w:rsidRPr="00A95869">
        <w:rPr>
          <w:lang w:val="fr-CA"/>
        </w:rPr>
        <w:t>[e] ».  Les faits à l’origine de ces instances devant les tribunaux inférieurs étayaient suffisamment une conclusion en ce sens.  Par conséquent, on ne pouvait pas considérer les recours en garantie comme une contestation de la légalité et de la validité de la décision de l’Agence engagée sous le couvert d’une action en dommages</w:t>
      </w:r>
      <w:r w:rsidR="000D43DC">
        <w:rPr>
          <w:lang w:val="fr-CA"/>
        </w:rPr>
        <w:t>-</w:t>
      </w:r>
      <w:r w:rsidRPr="00A95869">
        <w:rPr>
          <w:lang w:val="fr-CA"/>
        </w:rPr>
        <w:t>intérêts.</w:t>
      </w:r>
    </w:p>
    <w:p w:rsidR="007A3768" w:rsidRPr="001C32F1" w:rsidRDefault="007A3768" w:rsidP="00522E69">
      <w:pPr>
        <w:tabs>
          <w:tab w:val="left" w:pos="720"/>
        </w:tabs>
        <w:spacing w:after="480"/>
        <w:ind w:left="720" w:hanging="720"/>
        <w:rPr>
          <w:i/>
          <w:iCs/>
          <w:lang w:val="fr-CA"/>
        </w:rPr>
      </w:pPr>
      <w:r w:rsidRPr="001C32F1">
        <w:rPr>
          <w:iCs/>
          <w:lang w:val="fr-CA"/>
        </w:rPr>
        <w:t>B</w:t>
      </w:r>
      <w:r w:rsidRPr="000D43DC">
        <w:rPr>
          <w:i/>
          <w:iCs/>
          <w:lang w:val="fr-CA"/>
        </w:rPr>
        <w:t>.</w:t>
      </w:r>
      <w:r w:rsidR="000D43DC">
        <w:rPr>
          <w:i/>
          <w:iCs/>
          <w:lang w:val="fr-CA"/>
        </w:rPr>
        <w:tab/>
      </w:r>
      <w:r w:rsidRPr="001C32F1">
        <w:rPr>
          <w:i/>
          <w:iCs/>
          <w:lang w:val="fr-CA"/>
        </w:rPr>
        <w:t>Responsabilité de l’État fédéral en droit civil québécois</w:t>
      </w:r>
    </w:p>
    <w:p w:rsidR="007A3768" w:rsidRPr="00A95869" w:rsidRDefault="007A3768" w:rsidP="0076681E">
      <w:pPr>
        <w:pStyle w:val="ReasonsNumbering-AltN"/>
        <w:rPr>
          <w:lang w:val="fr-CA"/>
        </w:rPr>
      </w:pPr>
      <w:r w:rsidRPr="00A95869">
        <w:rPr>
          <w:lang w:val="fr-CA"/>
        </w:rPr>
        <w:t>L’Agence soutient également que l’illégalité ou l’invalidité d’une mesure de l’administration fédérale ne peut servir de fon</w:t>
      </w:r>
      <w:r w:rsidR="000D43DC">
        <w:rPr>
          <w:lang w:val="fr-CA"/>
        </w:rPr>
        <w:t>dement à une action en dommages-</w:t>
      </w:r>
      <w:r w:rsidRPr="00A95869">
        <w:rPr>
          <w:lang w:val="fr-CA"/>
        </w:rPr>
        <w:t xml:space="preserve">intérêts en droit civil québécois.  Elle plaide que, tant que la Cour fédérale n’a pas annulé la décision de l’Agence à l’issue d’une procédure de contrôle judiciaire, cette décision demeure légale et valide.  Ainsi, les recours en garantie de l’Institut et </w:t>
      </w:r>
      <w:proofErr w:type="gramStart"/>
      <w:r w:rsidRPr="00A95869">
        <w:rPr>
          <w:lang w:val="fr-CA"/>
        </w:rPr>
        <w:t>des vétérinaires équivalent</w:t>
      </w:r>
      <w:proofErr w:type="gramEnd"/>
      <w:r w:rsidRPr="00A95869">
        <w:rPr>
          <w:lang w:val="fr-CA"/>
        </w:rPr>
        <w:t xml:space="preserve"> à une contestation indirecte de la légalité et de la validité de cette décision.</w:t>
      </w:r>
    </w:p>
    <w:p w:rsidR="007A3768" w:rsidRPr="00A95869" w:rsidRDefault="007A3768" w:rsidP="0076681E">
      <w:pPr>
        <w:pStyle w:val="ReasonsNumbering-AltN"/>
        <w:rPr>
          <w:lang w:val="fr-CA"/>
        </w:rPr>
      </w:pPr>
      <w:r w:rsidRPr="00A95869">
        <w:rPr>
          <w:lang w:val="fr-CA"/>
        </w:rPr>
        <w:t>Comme l’a fait remarquer la Cour d’appel, cette position, si elle était acceptée, accorderait à l’Agence une immunité quasi absolue con</w:t>
      </w:r>
      <w:r w:rsidR="000D43DC">
        <w:rPr>
          <w:lang w:val="fr-CA"/>
        </w:rPr>
        <w:t>tre toute poursuite en dommages-</w:t>
      </w:r>
      <w:r w:rsidRPr="00A95869">
        <w:rPr>
          <w:lang w:val="fr-CA"/>
        </w:rPr>
        <w:t xml:space="preserve">intérêts </w:t>
      </w:r>
      <w:r w:rsidRPr="00A95869">
        <w:rPr>
          <w:lang w:val="fr-FR"/>
        </w:rPr>
        <w:t>— une immunité susceptible d’être invoquée même au stade préliminaire de la requête en irrecevabilité — à moins que sa décision ne soit annulée</w:t>
      </w:r>
      <w:r w:rsidRPr="00A95869">
        <w:rPr>
          <w:lang w:val="fr-CA"/>
        </w:rPr>
        <w:t xml:space="preserve"> par la cour compétente</w:t>
      </w:r>
      <w:r w:rsidRPr="00A95869">
        <w:rPr>
          <w:lang w:val="fr-FR"/>
        </w:rPr>
        <w:t xml:space="preserve"> </w:t>
      </w:r>
      <w:r w:rsidRPr="00A95869">
        <w:rPr>
          <w:lang w:val="fr-CA"/>
        </w:rPr>
        <w:t xml:space="preserve">dans le cadre d’une procédure de contrôle judiciaire.  Outre le </w:t>
      </w:r>
      <w:r w:rsidRPr="00A95869">
        <w:rPr>
          <w:lang w:val="fr-CA"/>
        </w:rPr>
        <w:lastRenderedPageBreak/>
        <w:t xml:space="preserve">fait qu’elle est incompatible avec l’arrêt </w:t>
      </w:r>
      <w:proofErr w:type="spellStart"/>
      <w:r w:rsidRPr="00A95869">
        <w:rPr>
          <w:i/>
          <w:iCs/>
          <w:lang w:val="fr-CA"/>
        </w:rPr>
        <w:t>TeleZone</w:t>
      </w:r>
      <w:proofErr w:type="spellEnd"/>
      <w:r w:rsidRPr="00A95869">
        <w:rPr>
          <w:lang w:val="fr-CA"/>
        </w:rPr>
        <w:t>, la position de l’Agence n’est pas conforme au droit applicable à la responsabilité civile de l’État fédéral dans la province de Québec.</w:t>
      </w:r>
    </w:p>
    <w:p w:rsidR="007A3768" w:rsidRPr="00A95869" w:rsidRDefault="007A3768" w:rsidP="0076681E">
      <w:pPr>
        <w:pStyle w:val="ReasonsNumbering-AltN"/>
        <w:rPr>
          <w:lang w:val="fr-CA"/>
        </w:rPr>
      </w:pPr>
      <w:r w:rsidRPr="00A95869">
        <w:rPr>
          <w:lang w:val="fr-CA"/>
        </w:rPr>
        <w:t xml:space="preserve">La responsabilité civile de l’État fédéral pour les actes fautifs de ses mandataires est régie par le droit du ressort où ces actes ont été commis.  Au Québec, vu l’effet combiné de la </w:t>
      </w:r>
      <w:r w:rsidRPr="00E55DD4">
        <w:rPr>
          <w:i/>
          <w:lang w:val="fr-CA"/>
        </w:rPr>
        <w:t>Loi</w:t>
      </w:r>
      <w:r w:rsidRPr="00A95869">
        <w:rPr>
          <w:i/>
          <w:iCs/>
          <w:lang w:val="fr-CA"/>
        </w:rPr>
        <w:t xml:space="preserve"> sur la responsabilité civile de l’État et le contentieux administratif </w:t>
      </w:r>
      <w:r w:rsidRPr="00A95869">
        <w:rPr>
          <w:lang w:val="fr-CA"/>
        </w:rPr>
        <w:t xml:space="preserve">et des dispositions applicables du </w:t>
      </w:r>
      <w:r w:rsidRPr="00A95869">
        <w:rPr>
          <w:i/>
          <w:iCs/>
          <w:lang w:val="fr-CA"/>
        </w:rPr>
        <w:t>Code civil du Québec</w:t>
      </w:r>
      <w:r w:rsidRPr="00A95869">
        <w:rPr>
          <w:iCs/>
          <w:lang w:val="fr-CA"/>
        </w:rPr>
        <w:t xml:space="preserve">, </w:t>
      </w:r>
      <w:r w:rsidRPr="00A95869">
        <w:rPr>
          <w:lang w:val="fr-CA"/>
        </w:rPr>
        <w:t>l’État fédéral est assujetti aux règles de responsabilité civile établies à l’art</w:t>
      </w:r>
      <w:r w:rsidR="001C6FB7">
        <w:rPr>
          <w:lang w:val="fr-CA"/>
        </w:rPr>
        <w:t xml:space="preserve">. </w:t>
      </w:r>
      <w:r w:rsidRPr="00A95869">
        <w:rPr>
          <w:lang w:val="fr-CA"/>
        </w:rPr>
        <w:t xml:space="preserve">1457 </w:t>
      </w:r>
      <w:proofErr w:type="spellStart"/>
      <w:r w:rsidRPr="00A95869">
        <w:rPr>
          <w:i/>
          <w:iCs/>
          <w:lang w:val="fr-CA"/>
        </w:rPr>
        <w:t>C.</w:t>
      </w:r>
      <w:r w:rsidR="001C6FB7">
        <w:rPr>
          <w:i/>
          <w:iCs/>
          <w:lang w:val="fr-CA"/>
        </w:rPr>
        <w:t>c</w:t>
      </w:r>
      <w:r w:rsidRPr="00A95869">
        <w:rPr>
          <w:i/>
          <w:iCs/>
          <w:lang w:val="fr-CA"/>
        </w:rPr>
        <w:t>.Q</w:t>
      </w:r>
      <w:proofErr w:type="spellEnd"/>
      <w:r w:rsidRPr="00A95869">
        <w:rPr>
          <w:lang w:val="fr-CA"/>
        </w:rPr>
        <w:t>.</w:t>
      </w:r>
    </w:p>
    <w:p w:rsidR="007A3768" w:rsidRPr="00A95869" w:rsidRDefault="00522E69" w:rsidP="0076681E">
      <w:pPr>
        <w:pStyle w:val="ReasonsNumbering-AltN"/>
        <w:rPr>
          <w:lang w:val="fr-CA"/>
        </w:rPr>
      </w:pPr>
      <w:r>
        <w:rPr>
          <w:lang w:val="fr-CA"/>
        </w:rPr>
        <w:t xml:space="preserve">D’après l’article </w:t>
      </w:r>
      <w:r w:rsidR="007A3768" w:rsidRPr="00A95869">
        <w:rPr>
          <w:lang w:val="fr-CA"/>
        </w:rPr>
        <w:t xml:space="preserve">3 de la </w:t>
      </w:r>
      <w:r w:rsidR="007A3768" w:rsidRPr="00A95869">
        <w:rPr>
          <w:i/>
          <w:iCs/>
          <w:lang w:val="fr-CA"/>
        </w:rPr>
        <w:t>Loi sur la responsabilité civile de l’État et le contentieux administratif</w:t>
      </w:r>
      <w:r w:rsidR="007A3768" w:rsidRPr="00A95869">
        <w:rPr>
          <w:iCs/>
          <w:lang w:val="fr-CA"/>
        </w:rPr>
        <w:t xml:space="preserve">, </w:t>
      </w:r>
      <w:r w:rsidR="007A3768" w:rsidRPr="00A95869">
        <w:rPr>
          <w:lang w:val="fr-CA"/>
        </w:rPr>
        <w:t>au Québec, en matière de responsabilité, l’État est assimilé à une personne pour la réparation du préjudice causé par la faute de ses préposés.  Aux termes de l’art</w:t>
      </w:r>
      <w:r w:rsidR="001C6FB7">
        <w:rPr>
          <w:lang w:val="fr-CA"/>
        </w:rPr>
        <w:t xml:space="preserve">. </w:t>
      </w:r>
      <w:r w:rsidR="007A3768" w:rsidRPr="00A95869">
        <w:rPr>
          <w:lang w:val="fr-CA"/>
        </w:rPr>
        <w:t xml:space="preserve">2 de cette loi, la « responsabilité » s’entend de la « responsabilité civile extracontractuelle » </w:t>
      </w:r>
      <w:r w:rsidR="007A3768" w:rsidRPr="00A95869">
        <w:rPr>
          <w:color w:val="000000"/>
          <w:lang w:val="fr-CA"/>
        </w:rPr>
        <w:t>au Québec et de la « responsabilité délictuelle » dans les provinces de</w:t>
      </w:r>
      <w:r w:rsidR="007A3768" w:rsidRPr="00A95869">
        <w:rPr>
          <w:lang w:val="fr-CA"/>
        </w:rPr>
        <w:t xml:space="preserve"> </w:t>
      </w:r>
      <w:proofErr w:type="spellStart"/>
      <w:r w:rsidR="007A3768" w:rsidRPr="00A95869">
        <w:rPr>
          <w:lang w:val="fr-CA"/>
        </w:rPr>
        <w:t>common</w:t>
      </w:r>
      <w:proofErr w:type="spellEnd"/>
      <w:r w:rsidR="007A3768" w:rsidRPr="00A95869">
        <w:rPr>
          <w:lang w:val="fr-CA"/>
        </w:rPr>
        <w:t xml:space="preserve"> </w:t>
      </w:r>
      <w:proofErr w:type="spellStart"/>
      <w:r w:rsidR="007A3768" w:rsidRPr="00A95869">
        <w:rPr>
          <w:lang w:val="fr-CA"/>
        </w:rPr>
        <w:t>law</w:t>
      </w:r>
      <w:proofErr w:type="spellEnd"/>
      <w:r w:rsidR="007A3768" w:rsidRPr="00A95869">
        <w:rPr>
          <w:lang w:val="fr-CA"/>
        </w:rPr>
        <w:t>.  Conformément à l’art</w:t>
      </w:r>
      <w:r w:rsidR="001C6FB7">
        <w:rPr>
          <w:lang w:val="fr-CA"/>
        </w:rPr>
        <w:t xml:space="preserve">. </w:t>
      </w:r>
      <w:r w:rsidR="007A3768" w:rsidRPr="00A95869">
        <w:rPr>
          <w:lang w:val="fr-CA"/>
        </w:rPr>
        <w:t xml:space="preserve">1376 </w:t>
      </w:r>
      <w:r w:rsidR="007A3768" w:rsidRPr="00A95869">
        <w:rPr>
          <w:i/>
          <w:iCs/>
          <w:lang w:val="fr-CA"/>
        </w:rPr>
        <w:t>C.</w:t>
      </w:r>
      <w:r w:rsidR="001C6FB7">
        <w:rPr>
          <w:i/>
          <w:iCs/>
          <w:lang w:val="fr-CA"/>
        </w:rPr>
        <w:t>c</w:t>
      </w:r>
      <w:r w:rsidR="007A3768" w:rsidRPr="00A95869">
        <w:rPr>
          <w:i/>
          <w:iCs/>
          <w:lang w:val="fr-CA"/>
        </w:rPr>
        <w:t>.Q</w:t>
      </w:r>
      <w:r w:rsidR="007A3768" w:rsidRPr="00A95869">
        <w:rPr>
          <w:iCs/>
          <w:lang w:val="fr-CA"/>
        </w:rPr>
        <w:t xml:space="preserve">., les règles québécoises </w:t>
      </w:r>
      <w:r w:rsidR="007A3768" w:rsidRPr="00A95869">
        <w:rPr>
          <w:lang w:val="fr-CA"/>
        </w:rPr>
        <w:t>de responsabilité civile s’appliquent aux fautes de l’administration publique, à moins qu’une partie ne puisse démontrer que d’autres règles de droit, comme celles du droit public, priment les règles du droit civil (</w:t>
      </w:r>
      <w:r w:rsidR="007A3768" w:rsidRPr="00A95869">
        <w:rPr>
          <w:i/>
          <w:iCs/>
          <w:color w:val="000000"/>
          <w:lang w:val="fr-CA"/>
        </w:rPr>
        <w:t>Prud'homme c. Prud'homme</w:t>
      </w:r>
      <w:r w:rsidR="00E55DD4">
        <w:rPr>
          <w:color w:val="000000"/>
          <w:lang w:val="fr-CA"/>
        </w:rPr>
        <w:t xml:space="preserve">, 2002 CSC 85, [2002] </w:t>
      </w:r>
      <w:r w:rsidR="007A3768" w:rsidRPr="00A95869">
        <w:rPr>
          <w:color w:val="000000"/>
          <w:lang w:val="fr-CA"/>
        </w:rPr>
        <w:t>4</w:t>
      </w:r>
      <w:r w:rsidR="00E55DD4">
        <w:rPr>
          <w:color w:val="000000"/>
          <w:lang w:val="fr-CA"/>
        </w:rPr>
        <w:t xml:space="preserve"> </w:t>
      </w:r>
      <w:r w:rsidR="007A3768" w:rsidRPr="00A95869">
        <w:rPr>
          <w:color w:val="000000"/>
          <w:lang w:val="fr-CA"/>
        </w:rPr>
        <w:t>R.C.S. 663,</w:t>
      </w:r>
      <w:r w:rsidR="007A3768" w:rsidRPr="00A95869">
        <w:rPr>
          <w:lang w:val="fr-CA"/>
        </w:rPr>
        <w:t xml:space="preserve"> par.</w:t>
      </w:r>
      <w:r w:rsidR="00E55DD4">
        <w:rPr>
          <w:lang w:val="fr-CA"/>
        </w:rPr>
        <w:t xml:space="preserve"> </w:t>
      </w:r>
      <w:r w:rsidR="007A3768" w:rsidRPr="00A95869">
        <w:rPr>
          <w:lang w:val="fr-CA"/>
        </w:rPr>
        <w:t>31).  Par conséquent, la Cour supérieure du Québec a, en règle générale, compétence sur les parties et sur l’objet du litige dans le domaine de la responsabilité civile.</w:t>
      </w:r>
    </w:p>
    <w:p w:rsidR="007A3768" w:rsidRPr="00A95869" w:rsidRDefault="007A3768" w:rsidP="0076681E">
      <w:pPr>
        <w:pStyle w:val="ReasonsNumbering-AltN"/>
        <w:rPr>
          <w:lang w:val="fr-CA"/>
        </w:rPr>
      </w:pPr>
      <w:r w:rsidRPr="00A95869">
        <w:rPr>
          <w:lang w:val="fr-CA"/>
        </w:rPr>
        <w:lastRenderedPageBreak/>
        <w:t>Toutefois, l’assujettissement de l’État fédéral aux règles de responsabilité civile extracontractuelle du Québec, dans le cas de dommages prétendument causés par la faute de ses mandataires, ne l’empêche pas d’invoquer son immunité.  Par exemple, l’État fédéral peut toujours arguer qu’une décision en particulier a été prise par ses mandataires dans l’exercice d’une fonction politique, et non d’une fonction opérationnelle, ce qui, en temps normal, n’engage pas sa responsabilité.  Cependant, il est préférable d’examiner ces arguments lors de l’instruction sur le fond, plutôt que dans le cadre d’une requête en irrecevabilité au début de l’instance.</w:t>
      </w:r>
    </w:p>
    <w:p w:rsidR="007A3768" w:rsidRPr="00A95869" w:rsidRDefault="007A3768" w:rsidP="0076681E">
      <w:pPr>
        <w:pStyle w:val="ReasonsNumbering-AltN"/>
        <w:rPr>
          <w:lang w:val="fr-CA"/>
        </w:rPr>
      </w:pPr>
      <w:r w:rsidRPr="00A95869">
        <w:rPr>
          <w:lang w:val="fr-CA"/>
        </w:rPr>
        <w:t xml:space="preserve">La Cour d’appel s’est fondée sur l’approche adoptée dans </w:t>
      </w:r>
      <w:proofErr w:type="spellStart"/>
      <w:r w:rsidRPr="00A95869">
        <w:rPr>
          <w:i/>
          <w:iCs/>
          <w:lang w:val="fr-CA"/>
        </w:rPr>
        <w:t>Montambault</w:t>
      </w:r>
      <w:proofErr w:type="spellEnd"/>
      <w:r w:rsidRPr="00A95869">
        <w:rPr>
          <w:i/>
          <w:iCs/>
          <w:lang w:val="fr-CA"/>
        </w:rPr>
        <w:t xml:space="preserve"> c. Hôpital Maisonneuve</w:t>
      </w:r>
      <w:r w:rsidR="000D43DC">
        <w:rPr>
          <w:i/>
          <w:iCs/>
          <w:lang w:val="fr-CA"/>
        </w:rPr>
        <w:t>-</w:t>
      </w:r>
      <w:proofErr w:type="spellStart"/>
      <w:r w:rsidRPr="00A95869">
        <w:rPr>
          <w:i/>
          <w:iCs/>
          <w:lang w:val="fr-CA"/>
        </w:rPr>
        <w:t>Rosemont</w:t>
      </w:r>
      <w:proofErr w:type="spellEnd"/>
      <w:r w:rsidRPr="00A95869">
        <w:rPr>
          <w:lang w:val="fr-CA"/>
        </w:rPr>
        <w:t xml:space="preserve">, [2001] R.J.Q. 893 (C.A.).  Dans </w:t>
      </w:r>
      <w:proofErr w:type="spellStart"/>
      <w:r w:rsidRPr="00A95869">
        <w:rPr>
          <w:i/>
          <w:iCs/>
          <w:lang w:val="fr-CA"/>
        </w:rPr>
        <w:t>Montambault</w:t>
      </w:r>
      <w:proofErr w:type="spellEnd"/>
      <w:r w:rsidRPr="00A95869">
        <w:rPr>
          <w:lang w:val="fr-CA"/>
        </w:rPr>
        <w:t xml:space="preserve">, la juge Deschamps, maintenant juge de notre Cour, a conclu que la question de savoir si un organisme public peut invoquer son immunité contre toute responsabilité civile découlant d’une décision administrative requiert une étude poussée du dossier, y compris des questions de fait, qui ne peut être complétée, étayée et débattue que lors de l’audience au fond.  L’arrêt </w:t>
      </w:r>
      <w:proofErr w:type="spellStart"/>
      <w:r w:rsidRPr="00A95869">
        <w:rPr>
          <w:i/>
          <w:iCs/>
          <w:lang w:val="fr-CA"/>
        </w:rPr>
        <w:t>Montambault</w:t>
      </w:r>
      <w:proofErr w:type="spellEnd"/>
      <w:r w:rsidRPr="00A95869">
        <w:rPr>
          <w:lang w:val="fr-CA"/>
        </w:rPr>
        <w:t xml:space="preserve"> établit une méthode judicieuse pour décider si des organismes publics sont à l’abri de la responsabilité civile au Québec.  L’Agence conserve la faculté de présenter d’autres observations à ce sujet au procès.</w:t>
      </w:r>
    </w:p>
    <w:p w:rsidR="007A3768" w:rsidRPr="00A95869" w:rsidRDefault="007A3768" w:rsidP="000D43DC">
      <w:pPr>
        <w:tabs>
          <w:tab w:val="left" w:pos="720"/>
        </w:tabs>
        <w:spacing w:after="480"/>
        <w:ind w:left="720" w:hanging="720"/>
        <w:rPr>
          <w:u w:val="single"/>
        </w:rPr>
      </w:pPr>
      <w:r w:rsidRPr="00A95869">
        <w:t>V</w:t>
      </w:r>
      <w:r w:rsidRPr="000D43DC">
        <w:rPr>
          <w:i/>
          <w:iCs/>
          <w:lang w:val="fr-CA"/>
        </w:rPr>
        <w:t>.</w:t>
      </w:r>
      <w:r w:rsidR="000D43DC">
        <w:rPr>
          <w:i/>
          <w:iCs/>
          <w:lang w:val="fr-CA"/>
        </w:rPr>
        <w:tab/>
      </w:r>
      <w:r w:rsidRPr="00A95869">
        <w:rPr>
          <w:u w:val="single"/>
        </w:rPr>
        <w:t>Conclusion</w:t>
      </w:r>
    </w:p>
    <w:p w:rsidR="007A3768" w:rsidRPr="00A95869" w:rsidRDefault="007A3768" w:rsidP="0076681E">
      <w:pPr>
        <w:pStyle w:val="ReasonsNumbering-AltN"/>
        <w:rPr>
          <w:u w:val="single"/>
          <w:lang w:val="fr-CA"/>
        </w:rPr>
      </w:pPr>
      <w:r w:rsidRPr="00A95869">
        <w:rPr>
          <w:lang w:val="fr-CA"/>
        </w:rPr>
        <w:t xml:space="preserve">La Cour supérieure du Québec a compétence sur les parties et sur l’objet du litige.  Je suis donc d’avis de rejeter le présent pourvoi avec dépens en faveur de </w:t>
      </w:r>
      <w:r w:rsidRPr="00A95869">
        <w:rPr>
          <w:lang w:val="fr-CA"/>
        </w:rPr>
        <w:lastRenderedPageBreak/>
        <w:t>l’Institut et des vétérinaires.  Les exploitants d’abattoirs ne demandent pas les dépens afférents au présent pourvoi.</w:t>
      </w:r>
    </w:p>
    <w:p w:rsidR="0033393C" w:rsidRPr="001C32F1" w:rsidRDefault="0033393C" w:rsidP="000B0ABA">
      <w:pPr>
        <w:pStyle w:val="SCCNormalDoubleSpacing"/>
        <w:tabs>
          <w:tab w:val="left" w:pos="1170"/>
        </w:tabs>
        <w:rPr>
          <w:lang w:val="fr-CA"/>
        </w:rPr>
      </w:pPr>
      <w:r w:rsidRPr="001C32F1">
        <w:rPr>
          <w:lang w:val="fr-CA"/>
        </w:rPr>
        <w:tab/>
      </w:r>
      <w:r w:rsidR="003E1635" w:rsidRPr="001C32F1">
        <w:rPr>
          <w:i/>
          <w:lang w:val="fr-CA"/>
        </w:rPr>
        <w:t xml:space="preserve">Pourvoi </w:t>
      </w:r>
      <w:r w:rsidR="00BA393F" w:rsidRPr="001C32F1">
        <w:rPr>
          <w:i/>
          <w:lang w:val="fr-CA"/>
        </w:rPr>
        <w:t>re</w:t>
      </w:r>
      <w:r w:rsidR="00E30693" w:rsidRPr="001C32F1">
        <w:rPr>
          <w:i/>
          <w:lang w:val="fr-CA"/>
        </w:rPr>
        <w:t>jeté</w:t>
      </w:r>
      <w:r w:rsidR="003E1635" w:rsidRPr="001C32F1">
        <w:rPr>
          <w:lang w:val="fr-CA"/>
        </w:rPr>
        <w:t>.</w:t>
      </w:r>
    </w:p>
    <w:p w:rsidR="003E1635" w:rsidRPr="001C32F1" w:rsidRDefault="003E1635" w:rsidP="000B0ABA">
      <w:pPr>
        <w:pStyle w:val="SCCLawFirm"/>
        <w:tabs>
          <w:tab w:val="left" w:pos="1170"/>
        </w:tabs>
        <w:rPr>
          <w:lang w:val="fr-CA"/>
        </w:rPr>
      </w:pPr>
    </w:p>
    <w:p w:rsidR="003E1635" w:rsidRPr="001C32F1" w:rsidRDefault="003E1635" w:rsidP="000B0ABA">
      <w:pPr>
        <w:pStyle w:val="SCCLawFirm"/>
        <w:tabs>
          <w:tab w:val="left" w:pos="1170"/>
        </w:tabs>
        <w:rPr>
          <w:lang w:val="fr-CA"/>
        </w:rPr>
      </w:pPr>
      <w:r w:rsidRPr="001C32F1">
        <w:rPr>
          <w:lang w:val="fr-CA"/>
        </w:rPr>
        <w:tab/>
        <w:t>Procureur de l</w:t>
      </w:r>
      <w:r w:rsidR="009D7F3C" w:rsidRPr="001C32F1">
        <w:rPr>
          <w:lang w:val="fr-CA"/>
        </w:rPr>
        <w:t>’</w:t>
      </w:r>
      <w:r w:rsidR="000B0ABA" w:rsidRPr="001C32F1">
        <w:rPr>
          <w:lang w:val="fr-CA"/>
        </w:rPr>
        <w:t>appelant</w:t>
      </w:r>
      <w:r w:rsidR="00C047C9">
        <w:rPr>
          <w:lang w:val="fr-CA"/>
        </w:rPr>
        <w:t>e</w:t>
      </w:r>
      <w:r w:rsidR="000B0ABA" w:rsidRPr="001C32F1">
        <w:rPr>
          <w:lang w:val="fr-CA"/>
        </w:rPr>
        <w:t> : </w:t>
      </w:r>
      <w:r w:rsidRPr="001C32F1">
        <w:rPr>
          <w:lang w:val="fr-CA"/>
        </w:rPr>
        <w:t>Ministère de la Justice, Ottawa.</w:t>
      </w:r>
    </w:p>
    <w:p w:rsidR="003E1635" w:rsidRPr="001C32F1" w:rsidRDefault="003E1635" w:rsidP="000B0ABA">
      <w:pPr>
        <w:pStyle w:val="SCCLawFirm"/>
        <w:tabs>
          <w:tab w:val="left" w:pos="1170"/>
        </w:tabs>
        <w:rPr>
          <w:lang w:val="fr-CA"/>
        </w:rPr>
      </w:pPr>
    </w:p>
    <w:p w:rsidR="003E1635" w:rsidRPr="001C32F1" w:rsidRDefault="003E1635" w:rsidP="000B0ABA">
      <w:pPr>
        <w:pStyle w:val="SCCLawFirm"/>
        <w:tabs>
          <w:tab w:val="left" w:pos="1170"/>
        </w:tabs>
        <w:rPr>
          <w:lang w:val="fr-CA"/>
        </w:rPr>
      </w:pPr>
      <w:r w:rsidRPr="001C32F1">
        <w:rPr>
          <w:lang w:val="fr-CA"/>
        </w:rPr>
        <w:tab/>
        <w:t>Procureurs de l</w:t>
      </w:r>
      <w:r w:rsidR="009D7F3C" w:rsidRPr="001C32F1">
        <w:rPr>
          <w:lang w:val="fr-CA"/>
        </w:rPr>
        <w:t>’</w:t>
      </w:r>
      <w:r w:rsidRPr="001C32F1">
        <w:rPr>
          <w:lang w:val="fr-CA"/>
        </w:rPr>
        <w:t>intimé l’Institut professionnel de l</w:t>
      </w:r>
      <w:r w:rsidR="000B0ABA" w:rsidRPr="001C32F1">
        <w:rPr>
          <w:lang w:val="fr-CA"/>
        </w:rPr>
        <w:t>a fonction publique du Canada : </w:t>
      </w:r>
      <w:r w:rsidRPr="001C32F1">
        <w:rPr>
          <w:lang w:val="fr-CA"/>
        </w:rPr>
        <w:t xml:space="preserve">De </w:t>
      </w:r>
      <w:proofErr w:type="spellStart"/>
      <w:r w:rsidRPr="001C32F1">
        <w:rPr>
          <w:lang w:val="fr-CA"/>
        </w:rPr>
        <w:t>Grandpré</w:t>
      </w:r>
      <w:proofErr w:type="spellEnd"/>
      <w:r w:rsidRPr="001C32F1">
        <w:rPr>
          <w:lang w:val="fr-CA"/>
        </w:rPr>
        <w:t xml:space="preserve"> </w:t>
      </w:r>
      <w:proofErr w:type="spellStart"/>
      <w:r w:rsidRPr="001C32F1">
        <w:rPr>
          <w:lang w:val="fr-CA"/>
        </w:rPr>
        <w:t>Chait</w:t>
      </w:r>
      <w:proofErr w:type="spellEnd"/>
      <w:r w:rsidRPr="001C32F1">
        <w:rPr>
          <w:lang w:val="fr-CA"/>
        </w:rPr>
        <w:t>, Montréal.</w:t>
      </w:r>
    </w:p>
    <w:p w:rsidR="003E1635" w:rsidRPr="001C32F1" w:rsidRDefault="003E1635" w:rsidP="000B0ABA">
      <w:pPr>
        <w:pStyle w:val="SCCLawFirm"/>
        <w:tabs>
          <w:tab w:val="left" w:pos="1170"/>
        </w:tabs>
        <w:rPr>
          <w:lang w:val="fr-CA"/>
        </w:rPr>
      </w:pPr>
    </w:p>
    <w:p w:rsidR="003E1635" w:rsidRPr="001C32F1" w:rsidRDefault="003E1635" w:rsidP="000B0ABA">
      <w:pPr>
        <w:pStyle w:val="SCCLawFirm"/>
        <w:tabs>
          <w:tab w:val="left" w:pos="1170"/>
        </w:tabs>
        <w:rPr>
          <w:lang w:val="fr-CA"/>
        </w:rPr>
      </w:pPr>
      <w:r w:rsidRPr="001C32F1">
        <w:rPr>
          <w:lang w:val="fr-CA"/>
        </w:rPr>
        <w:tab/>
        <w:t>Procureurs des inti</w:t>
      </w:r>
      <w:r w:rsidR="000B0ABA" w:rsidRPr="001C32F1">
        <w:rPr>
          <w:lang w:val="fr-CA"/>
        </w:rPr>
        <w:t>més Dany Beauregard et autres : </w:t>
      </w:r>
      <w:proofErr w:type="spellStart"/>
      <w:r w:rsidRPr="001C32F1">
        <w:rPr>
          <w:lang w:val="fr-CA"/>
        </w:rPr>
        <w:t>Béland</w:t>
      </w:r>
      <w:proofErr w:type="spellEnd"/>
      <w:r w:rsidRPr="001C32F1">
        <w:rPr>
          <w:lang w:val="fr-CA"/>
        </w:rPr>
        <w:t xml:space="preserve">, Ferland, </w:t>
      </w:r>
      <w:proofErr w:type="spellStart"/>
      <w:r w:rsidRPr="001C32F1">
        <w:rPr>
          <w:lang w:val="fr-CA"/>
        </w:rPr>
        <w:t>Brosseau</w:t>
      </w:r>
      <w:proofErr w:type="spellEnd"/>
      <w:r w:rsidRPr="001C32F1">
        <w:rPr>
          <w:lang w:val="fr-CA"/>
        </w:rPr>
        <w:t>, Montréal.</w:t>
      </w:r>
    </w:p>
    <w:p w:rsidR="003E1635" w:rsidRPr="001C32F1" w:rsidRDefault="003E1635" w:rsidP="000B0ABA">
      <w:pPr>
        <w:pStyle w:val="SCCLawFirm"/>
        <w:tabs>
          <w:tab w:val="left" w:pos="1170"/>
        </w:tabs>
        <w:rPr>
          <w:lang w:val="fr-CA"/>
        </w:rPr>
      </w:pPr>
    </w:p>
    <w:p w:rsidR="003E1635" w:rsidRPr="001C32F1" w:rsidRDefault="003E1635" w:rsidP="000B0ABA">
      <w:pPr>
        <w:pStyle w:val="SCCLawFirm"/>
        <w:tabs>
          <w:tab w:val="left" w:pos="1170"/>
        </w:tabs>
        <w:rPr>
          <w:lang w:val="fr-CA"/>
        </w:rPr>
      </w:pPr>
      <w:r w:rsidRPr="001C32F1">
        <w:rPr>
          <w:lang w:val="fr-CA"/>
        </w:rPr>
        <w:tab/>
        <w:t xml:space="preserve">Procureurs des intimées </w:t>
      </w:r>
      <w:proofErr w:type="spellStart"/>
      <w:r w:rsidRPr="001C32F1">
        <w:rPr>
          <w:lang w:val="fr-CA"/>
        </w:rPr>
        <w:t>Olymel</w:t>
      </w:r>
      <w:proofErr w:type="spellEnd"/>
      <w:r w:rsidRPr="001C32F1">
        <w:rPr>
          <w:lang w:val="fr-CA"/>
        </w:rPr>
        <w:t xml:space="preserve"> S.E.C., </w:t>
      </w:r>
      <w:proofErr w:type="spellStart"/>
      <w:r w:rsidRPr="001C32F1">
        <w:rPr>
          <w:lang w:val="fr-CA"/>
        </w:rPr>
        <w:t>Exceldor</w:t>
      </w:r>
      <w:proofErr w:type="spellEnd"/>
      <w:r w:rsidRPr="001C32F1">
        <w:rPr>
          <w:lang w:val="fr-CA"/>
        </w:rPr>
        <w:t xml:space="preserve"> coopérative avicole</w:t>
      </w:r>
      <w:r w:rsidR="000B0ABA" w:rsidRPr="001C32F1">
        <w:rPr>
          <w:lang w:val="fr-CA"/>
        </w:rPr>
        <w:t xml:space="preserve"> et </w:t>
      </w:r>
      <w:proofErr w:type="spellStart"/>
      <w:r w:rsidR="000B0ABA" w:rsidRPr="001C32F1">
        <w:rPr>
          <w:lang w:val="fr-CA"/>
        </w:rPr>
        <w:t>Supraliment</w:t>
      </w:r>
      <w:proofErr w:type="spellEnd"/>
      <w:r w:rsidR="000B0ABA" w:rsidRPr="001C32F1">
        <w:rPr>
          <w:lang w:val="fr-CA"/>
        </w:rPr>
        <w:t xml:space="preserve"> S.E.C. : </w:t>
      </w:r>
      <w:r w:rsidRPr="001C32F1">
        <w:rPr>
          <w:lang w:val="fr-CA"/>
        </w:rPr>
        <w:t xml:space="preserve">Stein </w:t>
      </w:r>
      <w:proofErr w:type="spellStart"/>
      <w:r w:rsidRPr="001C32F1">
        <w:rPr>
          <w:lang w:val="fr-CA"/>
        </w:rPr>
        <w:t>Monast</w:t>
      </w:r>
      <w:proofErr w:type="spellEnd"/>
      <w:r w:rsidRPr="001C32F1">
        <w:rPr>
          <w:lang w:val="fr-CA"/>
        </w:rPr>
        <w:t>, Québec.</w:t>
      </w:r>
    </w:p>
    <w:p w:rsidR="007A3768" w:rsidRPr="001C32F1" w:rsidRDefault="007A3768" w:rsidP="007A3768">
      <w:pPr>
        <w:pStyle w:val="SCCNormalDoubleSpacing"/>
        <w:rPr>
          <w:lang w:val="fr-CA"/>
        </w:rPr>
      </w:pPr>
    </w:p>
    <w:sectPr w:rsidR="007A3768" w:rsidRPr="001C32F1" w:rsidSect="001D40AA">
      <w:headerReference w:type="even" r:id="rId10"/>
      <w:headerReference w:type="default" r:id="rId11"/>
      <w:footerReference w:type="even" r:id="rId12"/>
      <w:footerReference w:type="default" r:id="rId13"/>
      <w:headerReference w:type="first" r:id="rId14"/>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374" w:rsidRDefault="00442374">
      <w:r>
        <w:separator/>
      </w:r>
    </w:p>
  </w:endnote>
  <w:endnote w:type="continuationSeparator" w:id="0">
    <w:p w:rsidR="00442374" w:rsidRDefault="00442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74" w:rsidRDefault="00442374">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74" w:rsidRDefault="00442374">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374" w:rsidRDefault="00442374">
      <w:r>
        <w:separator/>
      </w:r>
    </w:p>
  </w:footnote>
  <w:footnote w:type="continuationSeparator" w:id="0">
    <w:p w:rsidR="00442374" w:rsidRDefault="00442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74" w:rsidRDefault="00442374">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74" w:rsidRDefault="00442374">
    <w:pPr>
      <w:pStyle w:val="Header"/>
      <w:jc w:val="center"/>
    </w:pPr>
    <w:r>
      <w:t xml:space="preserve">- </w:t>
    </w:r>
    <w:sdt>
      <w:sdtPr>
        <w:id w:val="4489881"/>
        <w:docPartObj>
          <w:docPartGallery w:val="Page Numbers (Top of Page)"/>
          <w:docPartUnique/>
        </w:docPartObj>
      </w:sdtPr>
      <w:sdtContent>
        <w:fldSimple w:instr=" PAGE   \* MERGEFORMAT ">
          <w:r w:rsidR="009B7A0E">
            <w:rPr>
              <w:noProof/>
            </w:rPr>
            <w:t>18</w:t>
          </w:r>
        </w:fldSimple>
        <w:r>
          <w:t xml:space="preserve"> -</w:t>
        </w:r>
      </w:sdtContent>
    </w:sdt>
  </w:p>
  <w:p w:rsidR="00442374" w:rsidRDefault="004423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74" w:rsidRDefault="00442374">
    <w:pPr>
      <w:pStyle w:val="Header"/>
      <w:jc w:val="center"/>
    </w:pPr>
  </w:p>
  <w:p w:rsidR="00442374" w:rsidRDefault="004423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1983841"/>
    <w:multiLevelType w:val="hybridMultilevel"/>
    <w:tmpl w:val="9C20124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B23FB"/>
    <w:multiLevelType w:val="hybridMultilevel"/>
    <w:tmpl w:val="1F90492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5317EF5"/>
    <w:multiLevelType w:val="hybridMultilevel"/>
    <w:tmpl w:val="81C279AA"/>
    <w:lvl w:ilvl="0" w:tplc="B9744C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69339D6"/>
    <w:multiLevelType w:val="hybridMultilevel"/>
    <w:tmpl w:val="B1F227D0"/>
    <w:lvl w:ilvl="0" w:tplc="43BAA350">
      <w:start w:val="1"/>
      <w:numFmt w:val="lowerRoman"/>
      <w:lvlText w:val="(%1)"/>
      <w:lvlJc w:val="left"/>
      <w:pPr>
        <w:ind w:left="1350" w:hanging="720"/>
      </w:pPr>
      <w:rPr>
        <w:rFonts w:hint="default"/>
      </w:rPr>
    </w:lvl>
    <w:lvl w:ilvl="1" w:tplc="0C0C0019" w:tentative="1">
      <w:start w:val="1"/>
      <w:numFmt w:val="lowerLetter"/>
      <w:lvlText w:val="%2."/>
      <w:lvlJc w:val="left"/>
      <w:pPr>
        <w:ind w:left="1710" w:hanging="360"/>
      </w:pPr>
    </w:lvl>
    <w:lvl w:ilvl="2" w:tplc="0C0C001B" w:tentative="1">
      <w:start w:val="1"/>
      <w:numFmt w:val="lowerRoman"/>
      <w:lvlText w:val="%3."/>
      <w:lvlJc w:val="right"/>
      <w:pPr>
        <w:ind w:left="2430" w:hanging="180"/>
      </w:pPr>
    </w:lvl>
    <w:lvl w:ilvl="3" w:tplc="0C0C000F" w:tentative="1">
      <w:start w:val="1"/>
      <w:numFmt w:val="decimal"/>
      <w:lvlText w:val="%4."/>
      <w:lvlJc w:val="left"/>
      <w:pPr>
        <w:ind w:left="3150" w:hanging="360"/>
      </w:pPr>
    </w:lvl>
    <w:lvl w:ilvl="4" w:tplc="0C0C0019" w:tentative="1">
      <w:start w:val="1"/>
      <w:numFmt w:val="lowerLetter"/>
      <w:lvlText w:val="%5."/>
      <w:lvlJc w:val="left"/>
      <w:pPr>
        <w:ind w:left="3870" w:hanging="360"/>
      </w:pPr>
    </w:lvl>
    <w:lvl w:ilvl="5" w:tplc="0C0C001B" w:tentative="1">
      <w:start w:val="1"/>
      <w:numFmt w:val="lowerRoman"/>
      <w:lvlText w:val="%6."/>
      <w:lvlJc w:val="right"/>
      <w:pPr>
        <w:ind w:left="4590" w:hanging="180"/>
      </w:pPr>
    </w:lvl>
    <w:lvl w:ilvl="6" w:tplc="0C0C000F" w:tentative="1">
      <w:start w:val="1"/>
      <w:numFmt w:val="decimal"/>
      <w:lvlText w:val="%7."/>
      <w:lvlJc w:val="left"/>
      <w:pPr>
        <w:ind w:left="5310" w:hanging="360"/>
      </w:pPr>
    </w:lvl>
    <w:lvl w:ilvl="7" w:tplc="0C0C0019" w:tentative="1">
      <w:start w:val="1"/>
      <w:numFmt w:val="lowerLetter"/>
      <w:lvlText w:val="%8."/>
      <w:lvlJc w:val="left"/>
      <w:pPr>
        <w:ind w:left="6030" w:hanging="360"/>
      </w:pPr>
    </w:lvl>
    <w:lvl w:ilvl="8" w:tplc="0C0C001B" w:tentative="1">
      <w:start w:val="1"/>
      <w:numFmt w:val="lowerRoman"/>
      <w:lvlText w:val="%9."/>
      <w:lvlJc w:val="right"/>
      <w:pPr>
        <w:ind w:left="6750" w:hanging="180"/>
      </w:pPr>
    </w:lvl>
  </w:abstractNum>
  <w:num w:numId="1">
    <w:abstractNumId w:val="19"/>
  </w:num>
  <w:num w:numId="2">
    <w:abstractNumId w:val="14"/>
  </w:num>
  <w:num w:numId="3">
    <w:abstractNumId w:val="18"/>
  </w:num>
  <w:num w:numId="4">
    <w:abstractNumId w:val="13"/>
  </w:num>
  <w:num w:numId="5">
    <w:abstractNumId w:val="10"/>
  </w:num>
  <w:num w:numId="6">
    <w:abstractNumId w:val="1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num>
  <w:num w:numId="20">
    <w:abstractNumId w:val="11"/>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rsids>
    <w:rsidRoot w:val="0031414C"/>
    <w:rsid w:val="00025198"/>
    <w:rsid w:val="0003213B"/>
    <w:rsid w:val="000540F7"/>
    <w:rsid w:val="00055A36"/>
    <w:rsid w:val="000578A3"/>
    <w:rsid w:val="00064563"/>
    <w:rsid w:val="000648CC"/>
    <w:rsid w:val="00086737"/>
    <w:rsid w:val="00094DE0"/>
    <w:rsid w:val="000A5321"/>
    <w:rsid w:val="000A66DE"/>
    <w:rsid w:val="000B0ABA"/>
    <w:rsid w:val="000C59B8"/>
    <w:rsid w:val="000D43DC"/>
    <w:rsid w:val="00101C75"/>
    <w:rsid w:val="001031A4"/>
    <w:rsid w:val="00111660"/>
    <w:rsid w:val="00111DE2"/>
    <w:rsid w:val="00112C08"/>
    <w:rsid w:val="00114D74"/>
    <w:rsid w:val="00116B38"/>
    <w:rsid w:val="0013109F"/>
    <w:rsid w:val="00135406"/>
    <w:rsid w:val="00135972"/>
    <w:rsid w:val="00140667"/>
    <w:rsid w:val="001426A9"/>
    <w:rsid w:val="0014485C"/>
    <w:rsid w:val="00154D7C"/>
    <w:rsid w:val="001570B0"/>
    <w:rsid w:val="00163A36"/>
    <w:rsid w:val="00172A04"/>
    <w:rsid w:val="00173D22"/>
    <w:rsid w:val="00175A97"/>
    <w:rsid w:val="00185394"/>
    <w:rsid w:val="00192F0C"/>
    <w:rsid w:val="001A451D"/>
    <w:rsid w:val="001B33E0"/>
    <w:rsid w:val="001B4573"/>
    <w:rsid w:val="001C32F1"/>
    <w:rsid w:val="001C6FB7"/>
    <w:rsid w:val="001C779F"/>
    <w:rsid w:val="001D2AC1"/>
    <w:rsid w:val="001D40AA"/>
    <w:rsid w:val="001F7673"/>
    <w:rsid w:val="00220FC2"/>
    <w:rsid w:val="00224278"/>
    <w:rsid w:val="00224FC0"/>
    <w:rsid w:val="00225EA4"/>
    <w:rsid w:val="00226EAF"/>
    <w:rsid w:val="00231F3A"/>
    <w:rsid w:val="002406EE"/>
    <w:rsid w:val="002660E3"/>
    <w:rsid w:val="00266186"/>
    <w:rsid w:val="002679BC"/>
    <w:rsid w:val="002745CC"/>
    <w:rsid w:val="002C6CDE"/>
    <w:rsid w:val="002D2D3F"/>
    <w:rsid w:val="002D39A4"/>
    <w:rsid w:val="002E6705"/>
    <w:rsid w:val="002F2173"/>
    <w:rsid w:val="002F696C"/>
    <w:rsid w:val="0030329A"/>
    <w:rsid w:val="00307AFD"/>
    <w:rsid w:val="0031086F"/>
    <w:rsid w:val="00310E05"/>
    <w:rsid w:val="0031414C"/>
    <w:rsid w:val="00314E01"/>
    <w:rsid w:val="0032089D"/>
    <w:rsid w:val="0033393C"/>
    <w:rsid w:val="0034770C"/>
    <w:rsid w:val="0035259D"/>
    <w:rsid w:val="00357A1A"/>
    <w:rsid w:val="003605D4"/>
    <w:rsid w:val="00371778"/>
    <w:rsid w:val="0038663C"/>
    <w:rsid w:val="003866EC"/>
    <w:rsid w:val="00393E7B"/>
    <w:rsid w:val="00394476"/>
    <w:rsid w:val="003A4C70"/>
    <w:rsid w:val="003A4E15"/>
    <w:rsid w:val="003B5C82"/>
    <w:rsid w:val="003C799C"/>
    <w:rsid w:val="003E1635"/>
    <w:rsid w:val="003E1C71"/>
    <w:rsid w:val="003F327B"/>
    <w:rsid w:val="004059A7"/>
    <w:rsid w:val="00406166"/>
    <w:rsid w:val="00411300"/>
    <w:rsid w:val="00420CA3"/>
    <w:rsid w:val="00423527"/>
    <w:rsid w:val="00426659"/>
    <w:rsid w:val="0043088E"/>
    <w:rsid w:val="0043246D"/>
    <w:rsid w:val="004418AB"/>
    <w:rsid w:val="004418F4"/>
    <w:rsid w:val="00442374"/>
    <w:rsid w:val="004439D8"/>
    <w:rsid w:val="00445494"/>
    <w:rsid w:val="004619B4"/>
    <w:rsid w:val="00465132"/>
    <w:rsid w:val="0047190C"/>
    <w:rsid w:val="00480C90"/>
    <w:rsid w:val="0048396F"/>
    <w:rsid w:val="004933CC"/>
    <w:rsid w:val="00493C18"/>
    <w:rsid w:val="00494CDC"/>
    <w:rsid w:val="004A600C"/>
    <w:rsid w:val="004B56D5"/>
    <w:rsid w:val="004C478D"/>
    <w:rsid w:val="004E5DEB"/>
    <w:rsid w:val="004E6A2C"/>
    <w:rsid w:val="00521AE8"/>
    <w:rsid w:val="00522E69"/>
    <w:rsid w:val="00527180"/>
    <w:rsid w:val="00536719"/>
    <w:rsid w:val="005564A7"/>
    <w:rsid w:val="005B0916"/>
    <w:rsid w:val="005B3F51"/>
    <w:rsid w:val="005E4698"/>
    <w:rsid w:val="005F2592"/>
    <w:rsid w:val="00625C35"/>
    <w:rsid w:val="006269CC"/>
    <w:rsid w:val="00634E1B"/>
    <w:rsid w:val="00645057"/>
    <w:rsid w:val="00654858"/>
    <w:rsid w:val="006565F4"/>
    <w:rsid w:val="00681AD1"/>
    <w:rsid w:val="006A56F1"/>
    <w:rsid w:val="006A5C80"/>
    <w:rsid w:val="006B5FF5"/>
    <w:rsid w:val="006C5661"/>
    <w:rsid w:val="006D4790"/>
    <w:rsid w:val="006D5762"/>
    <w:rsid w:val="006E263B"/>
    <w:rsid w:val="00701759"/>
    <w:rsid w:val="00702C6F"/>
    <w:rsid w:val="007048E2"/>
    <w:rsid w:val="00747288"/>
    <w:rsid w:val="00747DD3"/>
    <w:rsid w:val="00752F4E"/>
    <w:rsid w:val="0075314F"/>
    <w:rsid w:val="007549C8"/>
    <w:rsid w:val="00762D30"/>
    <w:rsid w:val="00763377"/>
    <w:rsid w:val="0076681E"/>
    <w:rsid w:val="00766D14"/>
    <w:rsid w:val="00767A0F"/>
    <w:rsid w:val="007834A8"/>
    <w:rsid w:val="007A05F6"/>
    <w:rsid w:val="007A3768"/>
    <w:rsid w:val="007B6F4A"/>
    <w:rsid w:val="007E1C47"/>
    <w:rsid w:val="007E337A"/>
    <w:rsid w:val="007E5C70"/>
    <w:rsid w:val="007F0A76"/>
    <w:rsid w:val="007F2FF5"/>
    <w:rsid w:val="00817190"/>
    <w:rsid w:val="00824DE2"/>
    <w:rsid w:val="0083045E"/>
    <w:rsid w:val="00831D92"/>
    <w:rsid w:val="008322BD"/>
    <w:rsid w:val="00832348"/>
    <w:rsid w:val="00835ED8"/>
    <w:rsid w:val="008449E8"/>
    <w:rsid w:val="00855307"/>
    <w:rsid w:val="00861889"/>
    <w:rsid w:val="00862CF3"/>
    <w:rsid w:val="00864CF8"/>
    <w:rsid w:val="008703E4"/>
    <w:rsid w:val="00874914"/>
    <w:rsid w:val="00886E9C"/>
    <w:rsid w:val="00892E1A"/>
    <w:rsid w:val="0089439F"/>
    <w:rsid w:val="008954DC"/>
    <w:rsid w:val="008958F5"/>
    <w:rsid w:val="008A6558"/>
    <w:rsid w:val="008A727C"/>
    <w:rsid w:val="008C01DA"/>
    <w:rsid w:val="008F16D9"/>
    <w:rsid w:val="008F78E9"/>
    <w:rsid w:val="00902462"/>
    <w:rsid w:val="00927A64"/>
    <w:rsid w:val="009403F3"/>
    <w:rsid w:val="00952F4B"/>
    <w:rsid w:val="00957FA2"/>
    <w:rsid w:val="0096190C"/>
    <w:rsid w:val="00966913"/>
    <w:rsid w:val="00967374"/>
    <w:rsid w:val="0097543E"/>
    <w:rsid w:val="00983F3F"/>
    <w:rsid w:val="00985C69"/>
    <w:rsid w:val="009862A9"/>
    <w:rsid w:val="0099079B"/>
    <w:rsid w:val="009B2F23"/>
    <w:rsid w:val="009B53E2"/>
    <w:rsid w:val="009B57B3"/>
    <w:rsid w:val="009B7A0E"/>
    <w:rsid w:val="009C5D98"/>
    <w:rsid w:val="009C794D"/>
    <w:rsid w:val="009D5AEB"/>
    <w:rsid w:val="009D7F3C"/>
    <w:rsid w:val="009F383F"/>
    <w:rsid w:val="00A05F0E"/>
    <w:rsid w:val="00A21107"/>
    <w:rsid w:val="00A21B90"/>
    <w:rsid w:val="00A24E15"/>
    <w:rsid w:val="00A26FC0"/>
    <w:rsid w:val="00A32ADE"/>
    <w:rsid w:val="00A548CB"/>
    <w:rsid w:val="00A6242E"/>
    <w:rsid w:val="00A643E7"/>
    <w:rsid w:val="00A73870"/>
    <w:rsid w:val="00A73C38"/>
    <w:rsid w:val="00A85B0F"/>
    <w:rsid w:val="00A86FBB"/>
    <w:rsid w:val="00A95806"/>
    <w:rsid w:val="00AA3C5E"/>
    <w:rsid w:val="00AB008E"/>
    <w:rsid w:val="00AB3E30"/>
    <w:rsid w:val="00AC1011"/>
    <w:rsid w:val="00AC7437"/>
    <w:rsid w:val="00AC7A44"/>
    <w:rsid w:val="00AD237E"/>
    <w:rsid w:val="00AD41FB"/>
    <w:rsid w:val="00AE4117"/>
    <w:rsid w:val="00AE5A9A"/>
    <w:rsid w:val="00AF03C5"/>
    <w:rsid w:val="00B000D8"/>
    <w:rsid w:val="00B00F75"/>
    <w:rsid w:val="00B07008"/>
    <w:rsid w:val="00B145B6"/>
    <w:rsid w:val="00B45CEF"/>
    <w:rsid w:val="00B50C81"/>
    <w:rsid w:val="00B557F8"/>
    <w:rsid w:val="00B6398B"/>
    <w:rsid w:val="00B64972"/>
    <w:rsid w:val="00B66DD8"/>
    <w:rsid w:val="00B8145D"/>
    <w:rsid w:val="00B815FC"/>
    <w:rsid w:val="00B81AF6"/>
    <w:rsid w:val="00B93FBC"/>
    <w:rsid w:val="00BA393F"/>
    <w:rsid w:val="00BA4E08"/>
    <w:rsid w:val="00BD24FD"/>
    <w:rsid w:val="00C02092"/>
    <w:rsid w:val="00C047C9"/>
    <w:rsid w:val="00C057F7"/>
    <w:rsid w:val="00C24C8C"/>
    <w:rsid w:val="00C24D91"/>
    <w:rsid w:val="00C45362"/>
    <w:rsid w:val="00C52532"/>
    <w:rsid w:val="00C53F14"/>
    <w:rsid w:val="00C55C2E"/>
    <w:rsid w:val="00C600CF"/>
    <w:rsid w:val="00C6084F"/>
    <w:rsid w:val="00C62A66"/>
    <w:rsid w:val="00C62A6F"/>
    <w:rsid w:val="00C67CA5"/>
    <w:rsid w:val="00C71458"/>
    <w:rsid w:val="00C71F58"/>
    <w:rsid w:val="00C77613"/>
    <w:rsid w:val="00C828E7"/>
    <w:rsid w:val="00C82F58"/>
    <w:rsid w:val="00C921DD"/>
    <w:rsid w:val="00C93A12"/>
    <w:rsid w:val="00CA4D82"/>
    <w:rsid w:val="00CA6391"/>
    <w:rsid w:val="00CB0B50"/>
    <w:rsid w:val="00CC3936"/>
    <w:rsid w:val="00CD114A"/>
    <w:rsid w:val="00CE3171"/>
    <w:rsid w:val="00CF1601"/>
    <w:rsid w:val="00CF6845"/>
    <w:rsid w:val="00D02965"/>
    <w:rsid w:val="00D32086"/>
    <w:rsid w:val="00D37A3F"/>
    <w:rsid w:val="00D45FCF"/>
    <w:rsid w:val="00D4667A"/>
    <w:rsid w:val="00D510BB"/>
    <w:rsid w:val="00D530B4"/>
    <w:rsid w:val="00D5435D"/>
    <w:rsid w:val="00D74F2E"/>
    <w:rsid w:val="00D9604D"/>
    <w:rsid w:val="00DA0590"/>
    <w:rsid w:val="00DB5BBD"/>
    <w:rsid w:val="00DC1788"/>
    <w:rsid w:val="00DD47D8"/>
    <w:rsid w:val="00DE0AFA"/>
    <w:rsid w:val="00DE6E1F"/>
    <w:rsid w:val="00DE6E61"/>
    <w:rsid w:val="00DF0CA8"/>
    <w:rsid w:val="00DF49A7"/>
    <w:rsid w:val="00E01106"/>
    <w:rsid w:val="00E01DC2"/>
    <w:rsid w:val="00E07EE2"/>
    <w:rsid w:val="00E24573"/>
    <w:rsid w:val="00E30693"/>
    <w:rsid w:val="00E377A1"/>
    <w:rsid w:val="00E45109"/>
    <w:rsid w:val="00E54B02"/>
    <w:rsid w:val="00E55DD4"/>
    <w:rsid w:val="00E6015A"/>
    <w:rsid w:val="00E97830"/>
    <w:rsid w:val="00EA03E5"/>
    <w:rsid w:val="00EB5167"/>
    <w:rsid w:val="00EE0FAF"/>
    <w:rsid w:val="00F00EB7"/>
    <w:rsid w:val="00F01EC6"/>
    <w:rsid w:val="00F043CB"/>
    <w:rsid w:val="00F2258E"/>
    <w:rsid w:val="00F33658"/>
    <w:rsid w:val="00F36AB6"/>
    <w:rsid w:val="00F409CE"/>
    <w:rsid w:val="00F53862"/>
    <w:rsid w:val="00F84DF4"/>
    <w:rsid w:val="00F853FB"/>
    <w:rsid w:val="00F85C97"/>
    <w:rsid w:val="00F93ECD"/>
    <w:rsid w:val="00FA1A25"/>
    <w:rsid w:val="00FA2FE1"/>
    <w:rsid w:val="00FA5B06"/>
    <w:rsid w:val="00FB50E6"/>
    <w:rsid w:val="00FC606D"/>
    <w:rsid w:val="00FD068D"/>
    <w:rsid w:val="00FD4F28"/>
    <w:rsid w:val="00FE6784"/>
    <w:rsid w:val="00FF32FA"/>
    <w:rsid w:val="00FF64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64"/>
    <w:rPr>
      <w:sz w:val="24"/>
    </w:rPr>
  </w:style>
  <w:style w:type="paragraph" w:styleId="Heading1">
    <w:name w:val="heading 1"/>
    <w:next w:val="ReasonsNumbering-AltN"/>
    <w:link w:val="Heading1Char"/>
    <w:uiPriority w:val="2"/>
    <w:qFormat/>
    <w:rsid w:val="00927A64"/>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unhideWhenUsed/>
    <w:rsid w:val="00927A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A64"/>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uiPriority w:val="99"/>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99"/>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rsid w:val="00927A64"/>
    <w:rPr>
      <w:color w:val="808080"/>
    </w:rPr>
  </w:style>
  <w:style w:type="paragraph" w:styleId="BalloonText">
    <w:name w:val="Balloon Text"/>
    <w:basedOn w:val="Normal"/>
    <w:link w:val="BalloonTextChar"/>
    <w:uiPriority w:val="99"/>
    <w:unhideWhenUsed/>
    <w:rsid w:val="00927A64"/>
    <w:rPr>
      <w:rFonts w:cs="Tahoma"/>
      <w:sz w:val="28"/>
      <w:szCs w:val="16"/>
    </w:rPr>
  </w:style>
  <w:style w:type="character" w:customStyle="1" w:styleId="BalloonTextChar">
    <w:name w:val="Balloon Text Char"/>
    <w:basedOn w:val="DefaultParagraphFont"/>
    <w:link w:val="BalloonText"/>
    <w:uiPriority w:val="99"/>
    <w:rsid w:val="00927A64"/>
    <w:rPr>
      <w:rFonts w:cs="Tahoma"/>
      <w:sz w:val="28"/>
      <w:szCs w:val="16"/>
    </w:rPr>
  </w:style>
  <w:style w:type="paragraph" w:styleId="Header">
    <w:name w:val="header"/>
    <w:basedOn w:val="Normal"/>
    <w:link w:val="HeaderChar"/>
    <w:uiPriority w:val="99"/>
    <w:unhideWhenUsed/>
    <w:rsid w:val="00927A64"/>
    <w:pPr>
      <w:tabs>
        <w:tab w:val="center" w:pos="4680"/>
        <w:tab w:val="right" w:pos="9360"/>
      </w:tabs>
    </w:pPr>
  </w:style>
  <w:style w:type="character" w:customStyle="1" w:styleId="HeaderChar">
    <w:name w:val="Header Char"/>
    <w:basedOn w:val="DefaultParagraphFont"/>
    <w:link w:val="Header"/>
    <w:uiPriority w:val="99"/>
    <w:rsid w:val="00927A64"/>
    <w:rPr>
      <w:sz w:val="24"/>
    </w:rPr>
  </w:style>
  <w:style w:type="paragraph" w:styleId="Footer">
    <w:name w:val="footer"/>
    <w:basedOn w:val="Normal"/>
    <w:link w:val="FooterChar"/>
    <w:uiPriority w:val="99"/>
    <w:unhideWhenUsed/>
    <w:rsid w:val="00927A64"/>
    <w:pPr>
      <w:tabs>
        <w:tab w:val="center" w:pos="4680"/>
        <w:tab w:val="right" w:pos="9360"/>
      </w:tabs>
    </w:pPr>
  </w:style>
  <w:style w:type="character" w:customStyle="1" w:styleId="FooterChar">
    <w:name w:val="Footer Char"/>
    <w:basedOn w:val="DefaultParagraphFont"/>
    <w:link w:val="Footer"/>
    <w:uiPriority w:val="99"/>
    <w:rsid w:val="00927A64"/>
    <w:rPr>
      <w:sz w:val="24"/>
    </w:rPr>
  </w:style>
  <w:style w:type="paragraph" w:customStyle="1" w:styleId="SCCLsocParty">
    <w:name w:val="SCC.Lsoc.Party"/>
    <w:basedOn w:val="Normal"/>
    <w:next w:val="Normal"/>
    <w:link w:val="SCCLsocPartyChar"/>
    <w:rsid w:val="00927A64"/>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927A64"/>
    <w:rPr>
      <w:rFonts w:eastAsiaTheme="minorHAnsi" w:cstheme="minorBidi"/>
      <w:sz w:val="24"/>
      <w:szCs w:val="22"/>
      <w:lang w:eastAsia="en-US"/>
    </w:rPr>
  </w:style>
  <w:style w:type="paragraph" w:customStyle="1" w:styleId="SCCLsocVersus">
    <w:name w:val="SCC.Lsoc.Versus"/>
    <w:basedOn w:val="Normal"/>
    <w:next w:val="Normal"/>
    <w:link w:val="SCCLsocVersusChar"/>
    <w:rsid w:val="00927A64"/>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927A64"/>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927A64"/>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927A64"/>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927A64"/>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927A64"/>
    <w:rPr>
      <w:rFonts w:eastAsiaTheme="minorHAnsi" w:cstheme="minorBidi"/>
      <w:sz w:val="24"/>
      <w:szCs w:val="22"/>
      <w:lang w:eastAsia="en-US"/>
    </w:rPr>
  </w:style>
  <w:style w:type="character" w:customStyle="1" w:styleId="Heading1Char">
    <w:name w:val="Heading 1 Char"/>
    <w:basedOn w:val="DefaultParagraphFont"/>
    <w:link w:val="Heading1"/>
    <w:uiPriority w:val="2"/>
    <w:rsid w:val="00927A64"/>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927A64"/>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99"/>
    <w:qFormat/>
    <w:rsid w:val="007A3768"/>
    <w:pPr>
      <w:spacing w:before="168"/>
      <w:ind w:left="720"/>
    </w:pPr>
    <w:rPr>
      <w:szCs w:val="24"/>
    </w:rPr>
  </w:style>
  <w:style w:type="paragraph" w:styleId="NoSpacing">
    <w:name w:val="No Spacing"/>
    <w:uiPriority w:val="99"/>
    <w:qFormat/>
    <w:rsid w:val="007A3768"/>
    <w:pPr>
      <w:spacing w:before="168"/>
      <w:ind w:left="331"/>
    </w:pPr>
    <w:rPr>
      <w:sz w:val="24"/>
      <w:szCs w:val="24"/>
    </w:rPr>
  </w:style>
  <w:style w:type="paragraph" w:customStyle="1" w:styleId="SCCLsocOtherPartyRoleSeparator">
    <w:name w:val="SCC.Lsoc.OtherPartyRoleSeparator"/>
    <w:basedOn w:val="Normal"/>
    <w:next w:val="Normal"/>
    <w:link w:val="SCCLsocOtherPartyRoleSeparatorChar"/>
    <w:rsid w:val="00927A64"/>
    <w:pPr>
      <w:spacing w:after="480"/>
    </w:pPr>
    <w:rPr>
      <w:rFonts w:eastAsiaTheme="minorHAnsi" w:cstheme="minorBidi"/>
      <w:szCs w:val="22"/>
      <w:lang w:eastAsia="en-US"/>
    </w:rPr>
  </w:style>
  <w:style w:type="paragraph" w:customStyle="1" w:styleId="SCCCoram">
    <w:name w:val="SCC.Coram"/>
    <w:basedOn w:val="Normal"/>
    <w:next w:val="Normal"/>
    <w:link w:val="SCCCoramChar"/>
    <w:rsid w:val="00927A6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27A6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27A64"/>
    <w:rPr>
      <w:rFonts w:eastAsiaTheme="minorHAnsi" w:cstheme="minorBidi"/>
      <w:sz w:val="24"/>
      <w:szCs w:val="22"/>
      <w:lang w:eastAsia="en-US"/>
    </w:rPr>
  </w:style>
  <w:style w:type="character" w:customStyle="1" w:styleId="SCCBanSummaryChar">
    <w:name w:val="SCC.BanSummary Char"/>
    <w:basedOn w:val="DefaultParagraphFont"/>
    <w:link w:val="SCCBanSummary"/>
    <w:rsid w:val="00927A64"/>
    <w:rPr>
      <w:rFonts w:eastAsiaTheme="minorEastAsia"/>
      <w:b/>
      <w:sz w:val="24"/>
      <w:szCs w:val="24"/>
    </w:rPr>
  </w:style>
  <w:style w:type="paragraph" w:customStyle="1" w:styleId="Memo3">
    <w:name w:val="Memo[3]"/>
    <w:uiPriority w:val="99"/>
    <w:rsid w:val="007A3768"/>
    <w:pPr>
      <w:autoSpaceDE w:val="0"/>
      <w:autoSpaceDN w:val="0"/>
      <w:adjustRightInd w:val="0"/>
      <w:spacing w:before="168"/>
      <w:ind w:left="1440"/>
    </w:pPr>
    <w:rPr>
      <w:b/>
      <w:bCs/>
      <w:sz w:val="24"/>
      <w:szCs w:val="24"/>
    </w:rPr>
  </w:style>
  <w:style w:type="character" w:customStyle="1" w:styleId="nobold1">
    <w:name w:val="nobold1"/>
    <w:basedOn w:val="DefaultParagraphFont"/>
    <w:uiPriority w:val="99"/>
    <w:rsid w:val="007A3768"/>
    <w:rPr>
      <w:rFonts w:ascii="Times New Roman" w:hAnsi="Times New Roman" w:cs="Times New Roman"/>
      <w:b/>
      <w:bCs/>
      <w:sz w:val="36"/>
      <w:szCs w:val="36"/>
    </w:rPr>
  </w:style>
  <w:style w:type="character" w:customStyle="1" w:styleId="reference1">
    <w:name w:val="reference1"/>
    <w:basedOn w:val="DefaultParagraphFont"/>
    <w:uiPriority w:val="99"/>
    <w:rsid w:val="007A3768"/>
    <w:rPr>
      <w:rFonts w:ascii="Times New Roman" w:hAnsi="Times New Roman" w:cs="Times New Roman"/>
    </w:rPr>
  </w:style>
  <w:style w:type="character" w:styleId="Hyperlink">
    <w:name w:val="Hyperlink"/>
    <w:basedOn w:val="DefaultParagraphFont"/>
    <w:uiPriority w:val="99"/>
    <w:rsid w:val="007A3768"/>
    <w:rPr>
      <w:rFonts w:ascii="Times New Roman" w:hAnsi="Times New Roman" w:cs="Times New Roman"/>
      <w:color w:val="0000FF"/>
      <w:u w:val="single"/>
    </w:rPr>
  </w:style>
  <w:style w:type="paragraph" w:styleId="NormalWeb">
    <w:name w:val="Normal (Web)"/>
    <w:basedOn w:val="Normal"/>
    <w:uiPriority w:val="99"/>
    <w:rsid w:val="007A3768"/>
    <w:pPr>
      <w:spacing w:before="100" w:beforeAutospacing="1" w:after="100" w:afterAutospacing="1"/>
      <w:ind w:left="331"/>
    </w:pPr>
    <w:rPr>
      <w:rFonts w:ascii="Verdana" w:hAnsi="Verdana" w:cs="Verdana"/>
      <w:szCs w:val="24"/>
      <w:lang w:val="en-US" w:eastAsia="en-US"/>
    </w:rPr>
  </w:style>
  <w:style w:type="paragraph" w:customStyle="1" w:styleId="historicalnote">
    <w:name w:val="historicalnote"/>
    <w:basedOn w:val="Normal"/>
    <w:uiPriority w:val="99"/>
    <w:rsid w:val="007A3768"/>
    <w:pPr>
      <w:spacing w:before="84"/>
      <w:ind w:left="331"/>
    </w:pPr>
    <w:rPr>
      <w:rFonts w:ascii="Verdana" w:hAnsi="Verdana" w:cs="Verdana"/>
      <w:sz w:val="19"/>
      <w:szCs w:val="19"/>
      <w:lang w:val="en-US" w:eastAsia="en-US"/>
    </w:rPr>
  </w:style>
  <w:style w:type="paragraph" w:customStyle="1" w:styleId="secsubsec">
    <w:name w:val="secsubsec"/>
    <w:basedOn w:val="Normal"/>
    <w:uiPriority w:val="99"/>
    <w:rsid w:val="007A3768"/>
    <w:pPr>
      <w:spacing w:before="168"/>
      <w:ind w:left="331" w:firstLine="336"/>
    </w:pPr>
    <w:rPr>
      <w:rFonts w:ascii="Verdana" w:hAnsi="Verdana" w:cs="Verdana"/>
      <w:szCs w:val="24"/>
      <w:lang w:val="en-US" w:eastAsia="en-US"/>
    </w:rPr>
  </w:style>
  <w:style w:type="character" w:customStyle="1" w:styleId="indentlabel1">
    <w:name w:val="indentlabel1"/>
    <w:basedOn w:val="DefaultParagraphFont"/>
    <w:uiPriority w:val="99"/>
    <w:rsid w:val="007A3768"/>
    <w:rPr>
      <w:rFonts w:ascii="Verdana" w:hAnsi="Verdana" w:cs="Verdana"/>
    </w:rPr>
  </w:style>
  <w:style w:type="paragraph" w:customStyle="1" w:styleId="subparagraph">
    <w:name w:val="subparagraph"/>
    <w:basedOn w:val="Normal"/>
    <w:uiPriority w:val="99"/>
    <w:rsid w:val="007A3768"/>
    <w:pPr>
      <w:spacing w:before="168"/>
      <w:ind w:left="336"/>
    </w:pPr>
    <w:rPr>
      <w:rFonts w:ascii="Verdana" w:hAnsi="Verdana" w:cs="Verdana"/>
      <w:szCs w:val="24"/>
      <w:lang w:val="en-US" w:eastAsia="en-US"/>
    </w:rPr>
  </w:style>
  <w:style w:type="character" w:customStyle="1" w:styleId="italic1">
    <w:name w:val="italic1"/>
    <w:basedOn w:val="DefaultParagraphFont"/>
    <w:uiPriority w:val="99"/>
    <w:rsid w:val="007A3768"/>
    <w:rPr>
      <w:rFonts w:ascii="Verdana" w:hAnsi="Verdana" w:cs="Verdana"/>
      <w:i/>
      <w:iCs/>
    </w:rPr>
  </w:style>
  <w:style w:type="paragraph" w:customStyle="1" w:styleId="article1">
    <w:name w:val="article1"/>
    <w:basedOn w:val="Normal"/>
    <w:uiPriority w:val="99"/>
    <w:rsid w:val="007A3768"/>
    <w:pPr>
      <w:spacing w:before="120" w:after="120"/>
      <w:ind w:left="331" w:firstLine="336"/>
    </w:pPr>
    <w:rPr>
      <w:szCs w:val="24"/>
      <w:lang w:val="en-US" w:eastAsia="en-US"/>
    </w:rPr>
  </w:style>
  <w:style w:type="paragraph" w:customStyle="1" w:styleId="noartpara1">
    <w:name w:val="no_art_para1"/>
    <w:basedOn w:val="Normal"/>
    <w:uiPriority w:val="99"/>
    <w:rsid w:val="007A3768"/>
    <w:pPr>
      <w:spacing w:before="120" w:after="120"/>
      <w:ind w:left="336"/>
    </w:pPr>
    <w:rPr>
      <w:szCs w:val="24"/>
      <w:lang w:val="en-US" w:eastAsia="en-US"/>
    </w:rPr>
  </w:style>
  <w:style w:type="paragraph" w:customStyle="1" w:styleId="sous-alinea1">
    <w:name w:val="sous-alinea1"/>
    <w:basedOn w:val="Normal"/>
    <w:uiPriority w:val="99"/>
    <w:rsid w:val="007A3768"/>
    <w:pPr>
      <w:spacing w:before="120" w:after="120"/>
      <w:ind w:left="648"/>
    </w:pPr>
    <w:rPr>
      <w:szCs w:val="24"/>
      <w:lang w:val="en-US" w:eastAsia="en-US"/>
    </w:rPr>
  </w:style>
  <w:style w:type="paragraph" w:customStyle="1" w:styleId="definition">
    <w:name w:val="definition"/>
    <w:basedOn w:val="Normal"/>
    <w:uiPriority w:val="99"/>
    <w:rsid w:val="007A3768"/>
    <w:pPr>
      <w:spacing w:before="180"/>
      <w:ind w:left="331"/>
    </w:pPr>
    <w:rPr>
      <w:rFonts w:ascii="Verdana" w:hAnsi="Verdana" w:cs="Verdana"/>
      <w:szCs w:val="24"/>
      <w:lang w:val="en-US" w:eastAsia="en-US"/>
    </w:rPr>
  </w:style>
  <w:style w:type="character" w:styleId="Emphasis">
    <w:name w:val="Emphasis"/>
    <w:basedOn w:val="DefaultParagraphFont"/>
    <w:uiPriority w:val="99"/>
    <w:qFormat/>
    <w:rsid w:val="007A3768"/>
    <w:rPr>
      <w:rFonts w:ascii="Times New Roman" w:hAnsi="Times New Roman" w:cs="Times New Roman"/>
      <w:i/>
      <w:iCs/>
    </w:rPr>
  </w:style>
  <w:style w:type="character" w:customStyle="1" w:styleId="hit1">
    <w:name w:val="hit1"/>
    <w:basedOn w:val="DefaultParagraphFont"/>
    <w:uiPriority w:val="99"/>
    <w:rsid w:val="007A3768"/>
    <w:rPr>
      <w:rFonts w:ascii="Times New Roman" w:hAnsi="Times New Roman" w:cs="Times New Roman"/>
      <w:b/>
      <w:bCs/>
      <w:color w:val="auto"/>
    </w:rPr>
  </w:style>
  <w:style w:type="character" w:styleId="CommentReference">
    <w:name w:val="annotation reference"/>
    <w:basedOn w:val="DefaultParagraphFont"/>
    <w:uiPriority w:val="99"/>
    <w:semiHidden/>
    <w:unhideWhenUsed/>
    <w:rsid w:val="00927A64"/>
    <w:rPr>
      <w:sz w:val="16"/>
      <w:szCs w:val="16"/>
    </w:rPr>
  </w:style>
  <w:style w:type="paragraph" w:styleId="CommentText">
    <w:name w:val="annotation text"/>
    <w:basedOn w:val="Normal"/>
    <w:link w:val="CommentTextChar"/>
    <w:uiPriority w:val="99"/>
    <w:semiHidden/>
    <w:unhideWhenUsed/>
    <w:rsid w:val="00927A64"/>
    <w:rPr>
      <w:sz w:val="20"/>
    </w:rPr>
  </w:style>
  <w:style w:type="character" w:customStyle="1" w:styleId="CommentTextChar">
    <w:name w:val="Comment Text Char"/>
    <w:basedOn w:val="DefaultParagraphFont"/>
    <w:link w:val="CommentText"/>
    <w:uiPriority w:val="99"/>
    <w:semiHidden/>
    <w:rsid w:val="00927A64"/>
  </w:style>
  <w:style w:type="paragraph" w:styleId="CommentSubject">
    <w:name w:val="annotation subject"/>
    <w:basedOn w:val="CommentText"/>
    <w:next w:val="CommentText"/>
    <w:link w:val="CommentSubjectChar"/>
    <w:uiPriority w:val="99"/>
    <w:semiHidden/>
    <w:unhideWhenUsed/>
    <w:rsid w:val="00927A64"/>
    <w:rPr>
      <w:b/>
      <w:bCs/>
    </w:rPr>
  </w:style>
  <w:style w:type="character" w:customStyle="1" w:styleId="CommentSubjectChar">
    <w:name w:val="Comment Subject Char"/>
    <w:basedOn w:val="CommentTextChar"/>
    <w:link w:val="CommentSubject"/>
    <w:uiPriority w:val="99"/>
    <w:semiHidden/>
    <w:rsid w:val="00927A64"/>
    <w:rPr>
      <w:b/>
      <w:bCs/>
    </w:rPr>
  </w:style>
  <w:style w:type="paragraph" w:styleId="Revision">
    <w:name w:val="Revision"/>
    <w:hidden/>
    <w:uiPriority w:val="99"/>
    <w:semiHidden/>
    <w:rsid w:val="007A3768"/>
    <w:rPr>
      <w:sz w:val="24"/>
      <w:szCs w:val="24"/>
    </w:rPr>
  </w:style>
  <w:style w:type="paragraph" w:customStyle="1" w:styleId="ContinueReasonsNo-AltP">
    <w:name w:val="Continue Reasons No # - Alt P"/>
    <w:next w:val="ReasonsNumbering-AltN"/>
    <w:uiPriority w:val="1"/>
    <w:qFormat/>
    <w:rsid w:val="00927A64"/>
    <w:pPr>
      <w:spacing w:before="480" w:after="480" w:line="480" w:lineRule="auto"/>
    </w:pPr>
    <w:rPr>
      <w:rFonts w:eastAsiaTheme="minorHAnsi" w:cstheme="minorBidi"/>
      <w:sz w:val="24"/>
      <w:szCs w:val="22"/>
      <w:lang w:eastAsia="en-US"/>
    </w:rPr>
  </w:style>
  <w:style w:type="table" w:styleId="TableGrid">
    <w:name w:val="Table Grid"/>
    <w:basedOn w:val="TableNormal"/>
    <w:uiPriority w:val="59"/>
    <w:rsid w:val="00927A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asonsNumbering-AltN">
    <w:name w:val="Reasons Numbering - Alt N"/>
    <w:qFormat/>
    <w:rsid w:val="00927A64"/>
    <w:pPr>
      <w:numPr>
        <w:numId w:val="2"/>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927A64"/>
    <w:pPr>
      <w:spacing w:after="720"/>
      <w:ind w:left="1166"/>
      <w:contextualSpacing/>
      <w:jc w:val="both"/>
    </w:pPr>
    <w:rPr>
      <w:sz w:val="24"/>
    </w:rPr>
  </w:style>
  <w:style w:type="paragraph" w:customStyle="1" w:styleId="Citation">
    <w:name w:val="Citation"/>
    <w:basedOn w:val="Normal"/>
    <w:qFormat/>
    <w:rsid w:val="000A66DE"/>
    <w:pPr>
      <w:spacing w:after="720"/>
      <w:ind w:left="1166"/>
      <w:contextualSpacing/>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AEFA-E900-4A9E-967C-29E8BEE1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23</Pages>
  <Words>5150</Words>
  <Characters>28200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2010-12-23T16:00:00Z</dcterms:created>
  <dcterms:modified xsi:type="dcterms:W3CDTF">2011-06-07T17:10:00Z</dcterms:modified>
</cp:coreProperties>
</file>