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73" w:rsidRPr="007323E7" w:rsidRDefault="006C6473" w:rsidP="006C6473">
      <w:pPr>
        <w:tabs>
          <w:tab w:val="center" w:pos="4680"/>
          <w:tab w:val="right" w:pos="9360"/>
        </w:tabs>
        <w:rPr>
          <w:rFonts w:eastAsiaTheme="minorHAnsi" w:cstheme="minorBidi"/>
          <w:szCs w:val="24"/>
          <w:lang w:eastAsia="en-US"/>
        </w:rPr>
      </w:pPr>
      <w:r w:rsidRPr="007323E7">
        <w:rPr>
          <w:rFonts w:eastAsiaTheme="minorHAnsi" w:cstheme="minorBidi"/>
          <w:szCs w:val="24"/>
          <w:lang w:eastAsia="en-US"/>
        </w:rPr>
        <w:ptab w:relativeTo="margin" w:alignment="center" w:leader="none"/>
      </w:r>
      <w:r w:rsidRPr="007323E7">
        <w:rPr>
          <w:rFonts w:eastAsiaTheme="minorHAnsi" w:cstheme="minorBidi"/>
          <w:szCs w:val="24"/>
          <w:lang w:eastAsia="en-US"/>
        </w:rPr>
        <w:t xml:space="preserve"> </w:t>
      </w:r>
      <w:r w:rsidRPr="007323E7">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76222070" r:id="rId9"/>
        </w:object>
      </w:r>
      <w:r w:rsidRPr="007323E7">
        <w:rPr>
          <w:rFonts w:eastAsiaTheme="minorHAnsi" w:cstheme="minorBidi"/>
          <w:szCs w:val="24"/>
          <w:lang w:eastAsia="en-US"/>
        </w:rPr>
        <w:t xml:space="preserve"> </w:t>
      </w:r>
      <w:r w:rsidRPr="007323E7">
        <w:rPr>
          <w:rFonts w:eastAsiaTheme="minorHAnsi" w:cstheme="minorBidi"/>
          <w:szCs w:val="24"/>
          <w:lang w:eastAsia="en-US"/>
        </w:rPr>
        <w:ptab w:relativeTo="margin" w:alignment="right" w:leader="none"/>
      </w:r>
    </w:p>
    <w:p w:rsidR="006C6473" w:rsidRPr="007323E7" w:rsidRDefault="006C6473" w:rsidP="006C6473">
      <w:pPr>
        <w:tabs>
          <w:tab w:val="center" w:pos="4680"/>
          <w:tab w:val="right" w:pos="9360"/>
        </w:tabs>
        <w:rPr>
          <w:rFonts w:eastAsiaTheme="minorHAnsi" w:cstheme="minorBidi"/>
          <w:szCs w:val="24"/>
          <w:lang w:eastAsia="en-US"/>
        </w:rPr>
      </w:pPr>
    </w:p>
    <w:p w:rsidR="006C6473" w:rsidRPr="007323E7" w:rsidRDefault="006C6473" w:rsidP="006C6473">
      <w:pPr>
        <w:jc w:val="center"/>
        <w:rPr>
          <w:rFonts w:eastAsiaTheme="minorHAnsi" w:cstheme="minorBidi"/>
          <w:b/>
          <w:szCs w:val="24"/>
          <w:lang w:eastAsia="en-US"/>
        </w:rPr>
      </w:pPr>
      <w:r w:rsidRPr="007323E7">
        <w:rPr>
          <w:rFonts w:eastAsiaTheme="minorHAnsi" w:cstheme="minorBidi"/>
          <w:b/>
          <w:szCs w:val="24"/>
          <w:lang w:eastAsia="en-US"/>
        </w:rPr>
        <w:t>COUR SUPRÊME DU CANADA</w:t>
      </w:r>
    </w:p>
    <w:p w:rsidR="006C6473" w:rsidRPr="007323E7" w:rsidRDefault="006C6473" w:rsidP="006C6473">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C6473" w:rsidRPr="007323E7" w:rsidTr="00C52FEE">
        <w:trPr>
          <w:cantSplit/>
        </w:trPr>
        <w:tc>
          <w:tcPr>
            <w:tcW w:w="6768" w:type="dxa"/>
          </w:tcPr>
          <w:p w:rsidR="006C6473" w:rsidRPr="006C6473" w:rsidRDefault="006C6473" w:rsidP="00C52FEE">
            <w:r w:rsidRPr="007323E7">
              <w:rPr>
                <w:b/>
                <w:smallCaps/>
              </w:rPr>
              <w:t>Référence :</w:t>
            </w:r>
            <w:r w:rsidRPr="007323E7">
              <w:t xml:space="preserve"> R. </w:t>
            </w:r>
            <w:r w:rsidRPr="007323E7">
              <w:rPr>
                <w:i/>
              </w:rPr>
              <w:t>c</w:t>
            </w:r>
            <w:r w:rsidRPr="007323E7">
              <w:t xml:space="preserve">. Reynolds, </w:t>
            </w:r>
            <w:r w:rsidRPr="006C6473">
              <w:rPr>
                <w:rStyle w:val="SCCRespondentForIndexChar"/>
                <w:b w:val="0"/>
              </w:rPr>
              <w:t>2011 CSC 19, [2011] 1 R.C.S. 693</w:t>
            </w:r>
          </w:p>
        </w:tc>
        <w:tc>
          <w:tcPr>
            <w:tcW w:w="2808" w:type="dxa"/>
          </w:tcPr>
          <w:p w:rsidR="006C6473" w:rsidRPr="007323E7" w:rsidRDefault="006C6473" w:rsidP="00C52FEE">
            <w:r w:rsidRPr="007323E7">
              <w:rPr>
                <w:b/>
                <w:smallCaps/>
              </w:rPr>
              <w:t>Date :</w:t>
            </w:r>
            <w:r w:rsidRPr="007323E7">
              <w:t xml:space="preserve"> 20110428</w:t>
            </w:r>
          </w:p>
          <w:p w:rsidR="006C6473" w:rsidRPr="007323E7" w:rsidRDefault="006C6473" w:rsidP="00C52FEE">
            <w:r w:rsidRPr="007323E7">
              <w:rPr>
                <w:b/>
                <w:smallCaps/>
              </w:rPr>
              <w:t>Dossier :</w:t>
            </w:r>
            <w:r w:rsidRPr="007323E7">
              <w:t xml:space="preserve"> 33919</w:t>
            </w:r>
          </w:p>
        </w:tc>
      </w:tr>
    </w:tbl>
    <w:p w:rsidR="006C6473" w:rsidRPr="007323E7" w:rsidRDefault="006C6473" w:rsidP="006C6473">
      <w:pPr>
        <w:rPr>
          <w:rFonts w:eastAsiaTheme="minorHAnsi" w:cstheme="minorBidi"/>
          <w:szCs w:val="24"/>
          <w:lang w:eastAsia="en-US"/>
        </w:rPr>
      </w:pPr>
    </w:p>
    <w:p w:rsidR="006C6473" w:rsidRPr="007323E7" w:rsidRDefault="006C6473" w:rsidP="006C6473">
      <w:pPr>
        <w:rPr>
          <w:rFonts w:eastAsiaTheme="minorHAnsi" w:cstheme="minorBidi"/>
          <w:b/>
          <w:smallCaps/>
          <w:szCs w:val="24"/>
          <w:lang w:eastAsia="en-US"/>
        </w:rPr>
      </w:pPr>
      <w:r w:rsidRPr="007323E7">
        <w:rPr>
          <w:rFonts w:eastAsiaTheme="minorHAnsi" w:cstheme="minorBidi"/>
          <w:b/>
          <w:smallCaps/>
          <w:szCs w:val="24"/>
          <w:lang w:eastAsia="en-US"/>
        </w:rPr>
        <w:t>Entre :</w:t>
      </w:r>
    </w:p>
    <w:p w:rsidR="006C6473" w:rsidRPr="007323E7" w:rsidRDefault="006C6473" w:rsidP="006C6473">
      <w:pPr>
        <w:jc w:val="center"/>
        <w:rPr>
          <w:rFonts w:eastAsiaTheme="minorHAnsi" w:cstheme="minorBidi"/>
          <w:b/>
          <w:szCs w:val="24"/>
          <w:lang w:eastAsia="en-US"/>
        </w:rPr>
      </w:pPr>
      <w:r w:rsidRPr="007323E7">
        <w:rPr>
          <w:rFonts w:eastAsiaTheme="minorHAnsi" w:cstheme="minorBidi"/>
          <w:b/>
          <w:szCs w:val="24"/>
          <w:lang w:eastAsia="en-US"/>
        </w:rPr>
        <w:t>Sa Majesté la Reine</w:t>
      </w:r>
    </w:p>
    <w:p w:rsidR="006C6473" w:rsidRPr="007323E7" w:rsidRDefault="006C6473" w:rsidP="006C6473">
      <w:pPr>
        <w:jc w:val="center"/>
        <w:rPr>
          <w:rFonts w:eastAsiaTheme="minorHAnsi" w:cstheme="minorBidi"/>
          <w:szCs w:val="24"/>
          <w:lang w:eastAsia="en-US"/>
        </w:rPr>
      </w:pPr>
      <w:r w:rsidRPr="007323E7">
        <w:rPr>
          <w:rFonts w:eastAsiaTheme="minorHAnsi" w:cstheme="minorBidi"/>
          <w:szCs w:val="24"/>
          <w:lang w:eastAsia="en-US"/>
        </w:rPr>
        <w:t>Appelante</w:t>
      </w:r>
    </w:p>
    <w:p w:rsidR="006C6473" w:rsidRPr="007323E7" w:rsidRDefault="006C6473" w:rsidP="006C6473">
      <w:pPr>
        <w:jc w:val="center"/>
        <w:rPr>
          <w:rFonts w:eastAsiaTheme="minorHAnsi" w:cstheme="minorBidi"/>
          <w:szCs w:val="24"/>
          <w:lang w:eastAsia="en-US"/>
        </w:rPr>
      </w:pPr>
      <w:proofErr w:type="gramStart"/>
      <w:r w:rsidRPr="007323E7">
        <w:rPr>
          <w:rFonts w:eastAsiaTheme="minorHAnsi" w:cstheme="minorBidi"/>
          <w:szCs w:val="24"/>
          <w:lang w:eastAsia="en-US"/>
        </w:rPr>
        <w:t>et</w:t>
      </w:r>
      <w:proofErr w:type="gramEnd"/>
    </w:p>
    <w:p w:rsidR="006C6473" w:rsidRPr="007323E7" w:rsidRDefault="006C6473" w:rsidP="006C6473">
      <w:pPr>
        <w:jc w:val="center"/>
        <w:rPr>
          <w:rFonts w:eastAsiaTheme="minorHAnsi" w:cstheme="minorBidi"/>
          <w:b/>
          <w:szCs w:val="24"/>
          <w:lang w:eastAsia="en-US"/>
        </w:rPr>
      </w:pPr>
      <w:r w:rsidRPr="007323E7">
        <w:rPr>
          <w:rFonts w:eastAsiaTheme="minorHAnsi" w:cstheme="minorBidi"/>
          <w:b/>
          <w:szCs w:val="24"/>
          <w:lang w:eastAsia="en-US"/>
        </w:rPr>
        <w:t>Gordon Reynolds</w:t>
      </w:r>
    </w:p>
    <w:p w:rsidR="006C6473" w:rsidRPr="007323E7" w:rsidRDefault="006C6473" w:rsidP="006C6473">
      <w:pPr>
        <w:jc w:val="center"/>
        <w:rPr>
          <w:rFonts w:eastAsiaTheme="minorHAnsi" w:cstheme="minorBidi"/>
          <w:szCs w:val="24"/>
          <w:lang w:eastAsia="en-US"/>
        </w:rPr>
      </w:pPr>
      <w:r w:rsidRPr="007323E7">
        <w:rPr>
          <w:rFonts w:eastAsiaTheme="minorHAnsi" w:cstheme="minorBidi"/>
          <w:szCs w:val="24"/>
          <w:lang w:eastAsia="en-US"/>
        </w:rPr>
        <w:t>Intimé</w:t>
      </w:r>
    </w:p>
    <w:p w:rsidR="006C6473" w:rsidRPr="007323E7" w:rsidRDefault="006C6473" w:rsidP="006C6473">
      <w:pPr>
        <w:rPr>
          <w:rFonts w:eastAsiaTheme="minorHAnsi" w:cstheme="minorBidi"/>
          <w:szCs w:val="24"/>
          <w:lang w:eastAsia="en-US"/>
        </w:rPr>
      </w:pPr>
    </w:p>
    <w:p w:rsidR="006C6473" w:rsidRPr="007323E7" w:rsidRDefault="006C6473" w:rsidP="006C6473">
      <w:pPr>
        <w:rPr>
          <w:rFonts w:eastAsiaTheme="minorHAnsi" w:cstheme="minorBidi"/>
          <w:szCs w:val="24"/>
          <w:lang w:eastAsia="en-US"/>
        </w:rPr>
      </w:pPr>
    </w:p>
    <w:p w:rsidR="006C6473" w:rsidRPr="007323E7" w:rsidRDefault="006C6473" w:rsidP="006C6473">
      <w:pPr>
        <w:jc w:val="center"/>
        <w:rPr>
          <w:rFonts w:eastAsiaTheme="minorHAnsi" w:cstheme="minorBidi"/>
          <w:b/>
          <w:smallCaps/>
          <w:szCs w:val="24"/>
          <w:lang w:eastAsia="en-US"/>
        </w:rPr>
      </w:pPr>
      <w:r w:rsidRPr="007323E7">
        <w:rPr>
          <w:rFonts w:eastAsiaTheme="minorHAnsi" w:cstheme="minorBidi"/>
          <w:b/>
          <w:smallCaps/>
          <w:szCs w:val="24"/>
          <w:lang w:eastAsia="en-US"/>
        </w:rPr>
        <w:t>Traduction française officielle</w:t>
      </w:r>
    </w:p>
    <w:p w:rsidR="006C6473" w:rsidRPr="007323E7" w:rsidRDefault="006C6473" w:rsidP="006C6473">
      <w:pPr>
        <w:rPr>
          <w:rFonts w:eastAsiaTheme="minorHAnsi" w:cstheme="minorBidi"/>
          <w:szCs w:val="24"/>
          <w:lang w:eastAsia="en-US"/>
        </w:rPr>
      </w:pPr>
    </w:p>
    <w:p w:rsidR="006C6473" w:rsidRPr="007323E7" w:rsidRDefault="006C6473" w:rsidP="006C6473">
      <w:pPr>
        <w:rPr>
          <w:rFonts w:eastAsiaTheme="minorHAnsi" w:cstheme="minorBidi"/>
          <w:szCs w:val="24"/>
          <w:lang w:eastAsia="en-US"/>
        </w:rPr>
      </w:pPr>
      <w:r w:rsidRPr="007323E7">
        <w:rPr>
          <w:rFonts w:eastAsiaTheme="minorHAnsi" w:cstheme="minorBidi"/>
          <w:b/>
          <w:smallCaps/>
          <w:szCs w:val="24"/>
          <w:lang w:eastAsia="en-US"/>
        </w:rPr>
        <w:t>Coram :</w:t>
      </w:r>
      <w:r w:rsidRPr="007323E7">
        <w:rPr>
          <w:rFonts w:eastAsiaTheme="minorHAnsi" w:cstheme="minorBidi"/>
          <w:szCs w:val="24"/>
          <w:lang w:eastAsia="en-US"/>
        </w:rPr>
        <w:t xml:space="preserve"> La juge en chef </w:t>
      </w:r>
      <w:proofErr w:type="spellStart"/>
      <w:r w:rsidRPr="007323E7">
        <w:rPr>
          <w:rFonts w:eastAsiaTheme="minorHAnsi" w:cstheme="minorBidi"/>
          <w:szCs w:val="24"/>
          <w:lang w:eastAsia="en-US"/>
        </w:rPr>
        <w:t>McLachlin</w:t>
      </w:r>
      <w:proofErr w:type="spellEnd"/>
      <w:r w:rsidRPr="007323E7">
        <w:rPr>
          <w:rFonts w:eastAsiaTheme="minorHAnsi" w:cstheme="minorBidi"/>
          <w:szCs w:val="24"/>
          <w:lang w:eastAsia="en-US"/>
        </w:rPr>
        <w:t xml:space="preserve"> et les juges </w:t>
      </w:r>
      <w:proofErr w:type="spellStart"/>
      <w:r w:rsidRPr="007323E7">
        <w:rPr>
          <w:rFonts w:eastAsiaTheme="minorHAnsi" w:cstheme="minorBidi"/>
          <w:szCs w:val="24"/>
          <w:lang w:eastAsia="en-US"/>
        </w:rPr>
        <w:t>Binnie</w:t>
      </w:r>
      <w:proofErr w:type="spellEnd"/>
      <w:r w:rsidRPr="007323E7">
        <w:rPr>
          <w:rFonts w:eastAsiaTheme="minorHAnsi" w:cstheme="minorBidi"/>
          <w:szCs w:val="24"/>
          <w:lang w:eastAsia="en-US"/>
        </w:rPr>
        <w:t xml:space="preserve">, </w:t>
      </w:r>
      <w:proofErr w:type="spellStart"/>
      <w:r w:rsidRPr="007323E7">
        <w:rPr>
          <w:rFonts w:eastAsiaTheme="minorHAnsi" w:cstheme="minorBidi"/>
          <w:szCs w:val="24"/>
          <w:lang w:eastAsia="en-US"/>
        </w:rPr>
        <w:t>LeBel</w:t>
      </w:r>
      <w:proofErr w:type="spellEnd"/>
      <w:r w:rsidRPr="007323E7">
        <w:rPr>
          <w:rFonts w:eastAsiaTheme="minorHAnsi" w:cstheme="minorBidi"/>
          <w:szCs w:val="24"/>
          <w:lang w:eastAsia="en-US"/>
        </w:rPr>
        <w:t xml:space="preserve">, Deschamps, Fish, Abella, Charron, </w:t>
      </w:r>
      <w:proofErr w:type="spellStart"/>
      <w:r w:rsidRPr="007323E7">
        <w:rPr>
          <w:rFonts w:eastAsiaTheme="minorHAnsi" w:cstheme="minorBidi"/>
          <w:szCs w:val="24"/>
          <w:lang w:eastAsia="en-US"/>
        </w:rPr>
        <w:t>Rothstein</w:t>
      </w:r>
      <w:proofErr w:type="spellEnd"/>
      <w:r w:rsidRPr="007323E7">
        <w:rPr>
          <w:rFonts w:eastAsiaTheme="minorHAnsi" w:cstheme="minorBidi"/>
          <w:szCs w:val="24"/>
          <w:lang w:eastAsia="en-US"/>
        </w:rPr>
        <w:t xml:space="preserve"> et Cromwell</w:t>
      </w:r>
    </w:p>
    <w:p w:rsidR="006C6473" w:rsidRPr="007323E7" w:rsidRDefault="006C6473" w:rsidP="006C6473">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C6473" w:rsidRPr="007323E7" w:rsidTr="00C52FEE">
        <w:trPr>
          <w:cantSplit/>
        </w:trPr>
        <w:tc>
          <w:tcPr>
            <w:tcW w:w="3618" w:type="dxa"/>
          </w:tcPr>
          <w:p w:rsidR="006C6473" w:rsidRPr="007323E7" w:rsidRDefault="006C6473" w:rsidP="00C52FEE">
            <w:pPr>
              <w:rPr>
                <w:b/>
                <w:smallCaps/>
              </w:rPr>
            </w:pPr>
            <w:r w:rsidRPr="007323E7">
              <w:rPr>
                <w:b/>
                <w:smallCaps/>
              </w:rPr>
              <w:t>Motifs de jugement :</w:t>
            </w:r>
          </w:p>
          <w:p w:rsidR="006C6473" w:rsidRPr="007323E7" w:rsidRDefault="006C6473" w:rsidP="00C52FEE">
            <w:r w:rsidRPr="007323E7">
              <w:t>(par. 1 à 2)</w:t>
            </w:r>
          </w:p>
        </w:tc>
        <w:tc>
          <w:tcPr>
            <w:tcW w:w="5958" w:type="dxa"/>
          </w:tcPr>
          <w:p w:rsidR="006C6473" w:rsidRPr="007323E7" w:rsidRDefault="006C6473" w:rsidP="00C52FEE">
            <w:r w:rsidRPr="007323E7">
              <w:t>La Cour</w:t>
            </w:r>
          </w:p>
        </w:tc>
      </w:tr>
    </w:tbl>
    <w:p w:rsidR="006C6473" w:rsidRPr="007323E7" w:rsidRDefault="006C6473" w:rsidP="006C6473">
      <w:pPr>
        <w:rPr>
          <w:rFonts w:eastAsiaTheme="minorHAnsi" w:cstheme="minorBidi"/>
          <w:szCs w:val="24"/>
          <w:lang w:eastAsia="en-US"/>
        </w:rPr>
      </w:pPr>
    </w:p>
    <w:p w:rsidR="006C6473" w:rsidRPr="007323E7" w:rsidRDefault="006C6473" w:rsidP="006C6473">
      <w:pPr>
        <w:rPr>
          <w:rFonts w:eastAsiaTheme="minorHAnsi" w:cstheme="minorBidi"/>
          <w:szCs w:val="24"/>
          <w:lang w:eastAsia="en-US"/>
        </w:rPr>
      </w:pPr>
    </w:p>
    <w:p w:rsidR="006C6473" w:rsidRPr="007323E7" w:rsidRDefault="006C6473" w:rsidP="006C6473">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C6473" w:rsidRDefault="006C6473" w:rsidP="006C6473">
      <w:pPr>
        <w:rPr>
          <w:rStyle w:val="SCCAppellantForRunningHeadChar"/>
          <w:szCs w:val="24"/>
        </w:rPr>
      </w:pPr>
      <w:r>
        <w:rPr>
          <w:rStyle w:val="SCCAppellantForRunningHeadChar"/>
          <w:szCs w:val="24"/>
        </w:rPr>
        <w:br w:type="page"/>
      </w:r>
    </w:p>
    <w:p w:rsidR="008322BD" w:rsidRPr="00A83BD8" w:rsidRDefault="008F78E9" w:rsidP="00F824D4">
      <w:pPr>
        <w:spacing w:after="480" w:line="480" w:lineRule="auto"/>
        <w:jc w:val="both"/>
        <w:rPr>
          <w:szCs w:val="24"/>
          <w:lang w:val="en-US"/>
        </w:rPr>
      </w:pPr>
      <w:r w:rsidRPr="00A83BD8">
        <w:rPr>
          <w:rStyle w:val="SCCAppellantForRunningHeadChar"/>
          <w:smallCaps w:val="0"/>
          <w:szCs w:val="24"/>
          <w:lang w:val="en-US"/>
        </w:rPr>
        <w:lastRenderedPageBreak/>
        <w:t>R.</w:t>
      </w:r>
      <w:r w:rsidR="00480C90" w:rsidRPr="00A83BD8">
        <w:rPr>
          <w:szCs w:val="24"/>
          <w:lang w:val="en-US"/>
        </w:rPr>
        <w:t xml:space="preserve"> </w:t>
      </w:r>
      <w:r w:rsidR="00645057" w:rsidRPr="00A83BD8">
        <w:rPr>
          <w:i/>
          <w:szCs w:val="24"/>
          <w:lang w:val="en-US"/>
        </w:rPr>
        <w:t>c</w:t>
      </w:r>
      <w:r w:rsidR="009B57B3" w:rsidRPr="00A83BD8">
        <w:rPr>
          <w:i/>
          <w:szCs w:val="24"/>
          <w:lang w:val="en-US"/>
        </w:rPr>
        <w:t>.</w:t>
      </w:r>
      <w:r w:rsidR="00B000D8" w:rsidRPr="00A83BD8">
        <w:rPr>
          <w:szCs w:val="24"/>
          <w:lang w:val="en-US"/>
        </w:rPr>
        <w:t xml:space="preserve"> </w:t>
      </w:r>
      <w:r w:rsidRPr="00A83BD8">
        <w:rPr>
          <w:rStyle w:val="SCCRespondentForRunningHeadChar"/>
          <w:smallCaps w:val="0"/>
          <w:szCs w:val="24"/>
          <w:lang w:val="en-US"/>
        </w:rPr>
        <w:t>Reynold</w:t>
      </w:r>
      <w:r w:rsidR="00734727" w:rsidRPr="00A83BD8">
        <w:rPr>
          <w:rStyle w:val="SCCRespondentForRunningHeadChar"/>
          <w:smallCaps w:val="0"/>
          <w:szCs w:val="24"/>
          <w:lang w:val="en-US"/>
        </w:rPr>
        <w:t>s</w:t>
      </w:r>
      <w:r w:rsidR="00A83BD8" w:rsidRPr="00A83BD8">
        <w:rPr>
          <w:rStyle w:val="SCCRespondentForRunningHeadChar"/>
          <w:szCs w:val="24"/>
          <w:lang w:val="en-US"/>
        </w:rPr>
        <w:t xml:space="preserve">, </w:t>
      </w:r>
      <w:r w:rsidR="00A83BD8" w:rsidRPr="00A83BD8">
        <w:rPr>
          <w:rStyle w:val="SCCRespondentForIndexChar"/>
          <w:b w:val="0"/>
          <w:lang w:val="en-US"/>
        </w:rPr>
        <w:t>2011 CSC 1</w:t>
      </w:r>
      <w:r w:rsidR="00A83BD8">
        <w:rPr>
          <w:rStyle w:val="SCCRespondentForIndexChar"/>
          <w:b w:val="0"/>
          <w:lang w:val="en-US"/>
        </w:rPr>
        <w:t>9</w:t>
      </w:r>
      <w:r w:rsidR="00A83BD8" w:rsidRPr="00A83BD8">
        <w:rPr>
          <w:rStyle w:val="SCCRespondentForIndexChar"/>
          <w:b w:val="0"/>
          <w:lang w:val="en-US"/>
        </w:rPr>
        <w:t xml:space="preserve">, [2011] 1 R.C.S. </w:t>
      </w:r>
      <w:r w:rsidR="00A83BD8">
        <w:rPr>
          <w:rStyle w:val="SCCRespondentForIndexChar"/>
          <w:b w:val="0"/>
          <w:lang w:val="en-US"/>
        </w:rPr>
        <w:t>693</w:t>
      </w:r>
    </w:p>
    <w:p w:rsidR="000E6A60" w:rsidRPr="00A83BD8" w:rsidRDefault="000E6A60" w:rsidP="00F824D4">
      <w:pPr>
        <w:spacing w:after="480" w:line="480" w:lineRule="auto"/>
        <w:jc w:val="both"/>
        <w:rPr>
          <w:szCs w:val="24"/>
          <w:lang w:val="en-US"/>
        </w:rPr>
      </w:pPr>
    </w:p>
    <w:p w:rsidR="0072661A" w:rsidRPr="00EB695B" w:rsidRDefault="00734727" w:rsidP="00F824D4">
      <w:pPr>
        <w:pStyle w:val="SCCLsocParty"/>
        <w:tabs>
          <w:tab w:val="right" w:pos="8280"/>
        </w:tabs>
        <w:spacing w:after="480" w:line="480" w:lineRule="auto"/>
        <w:rPr>
          <w:b w:val="0"/>
          <w:i/>
          <w:szCs w:val="24"/>
        </w:rPr>
      </w:pPr>
      <w:r w:rsidRPr="00EB695B">
        <w:rPr>
          <w:szCs w:val="24"/>
        </w:rPr>
        <w:t>Sa Majesté la Reine</w:t>
      </w:r>
      <w:r w:rsidR="00265114" w:rsidRPr="00EB695B">
        <w:rPr>
          <w:szCs w:val="24"/>
        </w:rPr>
        <w:tab/>
      </w:r>
      <w:r w:rsidRPr="00EB695B">
        <w:rPr>
          <w:b w:val="0"/>
          <w:i/>
          <w:szCs w:val="24"/>
        </w:rPr>
        <w:t>Appelante</w:t>
      </w:r>
    </w:p>
    <w:p w:rsidR="0072661A" w:rsidRPr="00EB695B" w:rsidRDefault="00734727" w:rsidP="00F824D4">
      <w:pPr>
        <w:pStyle w:val="SCCLsocVersus"/>
        <w:spacing w:after="480" w:line="480" w:lineRule="auto"/>
        <w:rPr>
          <w:szCs w:val="24"/>
        </w:rPr>
      </w:pPr>
      <w:proofErr w:type="gramStart"/>
      <w:r w:rsidRPr="00EB695B">
        <w:rPr>
          <w:szCs w:val="24"/>
        </w:rPr>
        <w:t>c</w:t>
      </w:r>
      <w:proofErr w:type="gramEnd"/>
      <w:r w:rsidRPr="00EB695B">
        <w:rPr>
          <w:szCs w:val="24"/>
        </w:rPr>
        <w:t>.</w:t>
      </w:r>
    </w:p>
    <w:p w:rsidR="0072661A" w:rsidRPr="00EB695B" w:rsidRDefault="00734727" w:rsidP="00F824D4">
      <w:pPr>
        <w:pStyle w:val="SCCLsocParty"/>
        <w:tabs>
          <w:tab w:val="right" w:pos="8280"/>
        </w:tabs>
        <w:spacing w:after="480" w:line="480" w:lineRule="auto"/>
        <w:rPr>
          <w:b w:val="0"/>
          <w:i/>
          <w:szCs w:val="24"/>
        </w:rPr>
      </w:pPr>
      <w:r w:rsidRPr="00EB695B">
        <w:rPr>
          <w:szCs w:val="24"/>
        </w:rPr>
        <w:t>Gordon Reynolds</w:t>
      </w:r>
      <w:r w:rsidR="00265114" w:rsidRPr="00EB695B">
        <w:rPr>
          <w:szCs w:val="24"/>
        </w:rPr>
        <w:tab/>
      </w:r>
      <w:r w:rsidRPr="00EB695B">
        <w:rPr>
          <w:b w:val="0"/>
          <w:i/>
          <w:szCs w:val="24"/>
        </w:rPr>
        <w:t>Intimé</w:t>
      </w:r>
    </w:p>
    <w:p w:rsidR="00426659" w:rsidRPr="00EB695B" w:rsidRDefault="0043088E" w:rsidP="00F824D4">
      <w:pPr>
        <w:spacing w:after="480" w:line="480" w:lineRule="auto"/>
        <w:jc w:val="both"/>
        <w:rPr>
          <w:b/>
          <w:szCs w:val="24"/>
        </w:rPr>
      </w:pPr>
      <w:r w:rsidRPr="00EB695B">
        <w:rPr>
          <w:b/>
          <w:szCs w:val="24"/>
        </w:rPr>
        <w:t>Répertorié</w:t>
      </w:r>
      <w:r w:rsidR="000E6A60" w:rsidRPr="00EB695B">
        <w:rPr>
          <w:b/>
          <w:szCs w:val="24"/>
        </w:rPr>
        <w:t> :</w:t>
      </w:r>
      <w:r w:rsidR="00C67CA5" w:rsidRPr="00EB695B">
        <w:rPr>
          <w:b/>
          <w:szCs w:val="24"/>
        </w:rPr>
        <w:t> </w:t>
      </w:r>
      <w:r w:rsidRPr="00EB695B">
        <w:rPr>
          <w:rStyle w:val="SCCAppellantForIndexChar"/>
          <w:szCs w:val="24"/>
        </w:rPr>
        <w:t>R.</w:t>
      </w:r>
      <w:r w:rsidR="00426659" w:rsidRPr="00EB695B">
        <w:rPr>
          <w:b/>
          <w:szCs w:val="24"/>
        </w:rPr>
        <w:t xml:space="preserve"> </w:t>
      </w:r>
      <w:r w:rsidR="00645057" w:rsidRPr="00EB695B">
        <w:rPr>
          <w:b/>
          <w:i/>
          <w:szCs w:val="24"/>
        </w:rPr>
        <w:t>c</w:t>
      </w:r>
      <w:r w:rsidR="00426659" w:rsidRPr="00EB695B">
        <w:rPr>
          <w:b/>
          <w:i/>
          <w:szCs w:val="24"/>
        </w:rPr>
        <w:t>.</w:t>
      </w:r>
      <w:r w:rsidR="00426659" w:rsidRPr="00EB695B">
        <w:rPr>
          <w:b/>
          <w:szCs w:val="24"/>
        </w:rPr>
        <w:t xml:space="preserve"> </w:t>
      </w:r>
      <w:r w:rsidRPr="00EB695B">
        <w:rPr>
          <w:rStyle w:val="SCCRespondentForIndexChar"/>
          <w:szCs w:val="24"/>
        </w:rPr>
        <w:t>Reynolds</w:t>
      </w:r>
    </w:p>
    <w:p w:rsidR="00426659" w:rsidRPr="00EB695B" w:rsidRDefault="00C0663B" w:rsidP="00F824D4">
      <w:pPr>
        <w:pStyle w:val="SCCSystemYear"/>
        <w:spacing w:after="480" w:line="480" w:lineRule="auto"/>
        <w:jc w:val="both"/>
        <w:rPr>
          <w:szCs w:val="24"/>
        </w:rPr>
      </w:pPr>
      <w:r w:rsidRPr="00EB695B">
        <w:rPr>
          <w:szCs w:val="24"/>
        </w:rPr>
        <w:t>2011</w:t>
      </w:r>
      <w:r w:rsidR="00EA20CE">
        <w:rPr>
          <w:szCs w:val="24"/>
        </w:rPr>
        <w:t> </w:t>
      </w:r>
      <w:r w:rsidR="00C71F58" w:rsidRPr="00EB695B">
        <w:rPr>
          <w:szCs w:val="24"/>
        </w:rPr>
        <w:t>C</w:t>
      </w:r>
      <w:r w:rsidR="00426659" w:rsidRPr="00EB695B">
        <w:rPr>
          <w:szCs w:val="24"/>
        </w:rPr>
        <w:t>SC </w:t>
      </w:r>
      <w:r w:rsidR="00BB72C4" w:rsidRPr="00EB695B">
        <w:rPr>
          <w:szCs w:val="24"/>
        </w:rPr>
        <w:t>19</w:t>
      </w:r>
    </w:p>
    <w:p w:rsidR="008322BD" w:rsidRPr="00EB695B" w:rsidRDefault="009B57B3" w:rsidP="00F824D4">
      <w:pPr>
        <w:spacing w:after="480" w:line="480" w:lineRule="auto"/>
        <w:jc w:val="both"/>
        <w:rPr>
          <w:szCs w:val="24"/>
        </w:rPr>
      </w:pPr>
      <w:r w:rsidRPr="00EB695B">
        <w:rPr>
          <w:szCs w:val="24"/>
        </w:rPr>
        <w:t>N</w:t>
      </w:r>
      <w:r w:rsidRPr="00EB695B">
        <w:rPr>
          <w:szCs w:val="24"/>
          <w:vertAlign w:val="superscript"/>
        </w:rPr>
        <w:t>o</w:t>
      </w:r>
      <w:r w:rsidR="0043088E" w:rsidRPr="00EB695B">
        <w:rPr>
          <w:szCs w:val="24"/>
        </w:rPr>
        <w:t xml:space="preserve"> du greffe</w:t>
      </w:r>
      <w:r w:rsidR="000E6A60" w:rsidRPr="00EB695B">
        <w:rPr>
          <w:szCs w:val="24"/>
        </w:rPr>
        <w:t> :</w:t>
      </w:r>
      <w:r w:rsidR="00C67CA5" w:rsidRPr="00EB695B">
        <w:rPr>
          <w:szCs w:val="24"/>
        </w:rPr>
        <w:t> </w:t>
      </w:r>
      <w:r w:rsidRPr="00EB695B">
        <w:rPr>
          <w:szCs w:val="24"/>
        </w:rPr>
        <w:t>33919.</w:t>
      </w:r>
    </w:p>
    <w:p w:rsidR="008322BD" w:rsidRPr="00EB695B" w:rsidRDefault="00907334" w:rsidP="00F824D4">
      <w:pPr>
        <w:spacing w:after="480" w:line="480" w:lineRule="auto"/>
        <w:jc w:val="both"/>
        <w:rPr>
          <w:szCs w:val="24"/>
        </w:rPr>
      </w:pPr>
      <w:r w:rsidRPr="00EB695B">
        <w:rPr>
          <w:szCs w:val="24"/>
        </w:rPr>
        <w:t>2011</w:t>
      </w:r>
      <w:r w:rsidR="000E6A60" w:rsidRPr="00EB695B">
        <w:rPr>
          <w:szCs w:val="24"/>
        </w:rPr>
        <w:t> :</w:t>
      </w:r>
      <w:r w:rsidR="00EA20CE">
        <w:rPr>
          <w:szCs w:val="24"/>
        </w:rPr>
        <w:t> 19 </w:t>
      </w:r>
      <w:r w:rsidR="00C0663B" w:rsidRPr="00EB695B">
        <w:rPr>
          <w:szCs w:val="24"/>
        </w:rPr>
        <w:t>avril</w:t>
      </w:r>
      <w:r w:rsidRPr="00EB695B">
        <w:rPr>
          <w:szCs w:val="24"/>
        </w:rPr>
        <w:t>; 2011</w:t>
      </w:r>
      <w:r w:rsidR="000E6A60" w:rsidRPr="00EB695B">
        <w:rPr>
          <w:szCs w:val="24"/>
        </w:rPr>
        <w:t> :</w:t>
      </w:r>
      <w:r w:rsidR="00EA20CE">
        <w:rPr>
          <w:szCs w:val="24"/>
        </w:rPr>
        <w:t xml:space="preserve"> 28 </w:t>
      </w:r>
      <w:r w:rsidRPr="00EB695B">
        <w:rPr>
          <w:szCs w:val="24"/>
        </w:rPr>
        <w:t>avril</w:t>
      </w:r>
      <w:r w:rsidR="009B57B3" w:rsidRPr="00EB695B">
        <w:rPr>
          <w:szCs w:val="24"/>
        </w:rPr>
        <w:t>.</w:t>
      </w:r>
    </w:p>
    <w:p w:rsidR="008322BD" w:rsidRPr="00EB695B" w:rsidRDefault="009B57B3" w:rsidP="00F824D4">
      <w:pPr>
        <w:spacing w:after="480"/>
        <w:jc w:val="both"/>
        <w:rPr>
          <w:szCs w:val="24"/>
        </w:rPr>
      </w:pPr>
      <w:r w:rsidRPr="00EB695B">
        <w:rPr>
          <w:szCs w:val="24"/>
        </w:rPr>
        <w:t>Pr</w:t>
      </w:r>
      <w:r w:rsidR="0043088E" w:rsidRPr="00EB695B">
        <w:rPr>
          <w:szCs w:val="24"/>
        </w:rPr>
        <w:t>é</w:t>
      </w:r>
      <w:r w:rsidRPr="00EB695B">
        <w:rPr>
          <w:szCs w:val="24"/>
        </w:rPr>
        <w:t>sent</w:t>
      </w:r>
      <w:r w:rsidR="008A6558" w:rsidRPr="00EB695B">
        <w:rPr>
          <w:szCs w:val="24"/>
        </w:rPr>
        <w:t>s</w:t>
      </w:r>
      <w:r w:rsidR="000E6A60" w:rsidRPr="00EB695B">
        <w:rPr>
          <w:szCs w:val="24"/>
        </w:rPr>
        <w:t> :</w:t>
      </w:r>
      <w:r w:rsidR="00EA20CE">
        <w:rPr>
          <w:szCs w:val="24"/>
        </w:rPr>
        <w:t xml:space="preserve"> </w:t>
      </w:r>
      <w:r w:rsidRPr="00EB695B">
        <w:rPr>
          <w:szCs w:val="24"/>
        </w:rPr>
        <w:t xml:space="preserve">La juge en chef </w:t>
      </w:r>
      <w:proofErr w:type="spellStart"/>
      <w:r w:rsidRPr="00EB695B">
        <w:rPr>
          <w:szCs w:val="24"/>
        </w:rPr>
        <w:t>McLachlin</w:t>
      </w:r>
      <w:proofErr w:type="spellEnd"/>
      <w:r w:rsidRPr="00EB695B">
        <w:rPr>
          <w:szCs w:val="24"/>
        </w:rPr>
        <w:t xml:space="preserve"> et les juges </w:t>
      </w:r>
      <w:proofErr w:type="spellStart"/>
      <w:r w:rsidRPr="00EB695B">
        <w:rPr>
          <w:szCs w:val="24"/>
        </w:rPr>
        <w:t>Binnie</w:t>
      </w:r>
      <w:proofErr w:type="spellEnd"/>
      <w:r w:rsidRPr="00EB695B">
        <w:rPr>
          <w:szCs w:val="24"/>
        </w:rPr>
        <w:t xml:space="preserve">, </w:t>
      </w:r>
      <w:proofErr w:type="spellStart"/>
      <w:r w:rsidRPr="00EB695B">
        <w:rPr>
          <w:szCs w:val="24"/>
        </w:rPr>
        <w:t>LeBel</w:t>
      </w:r>
      <w:proofErr w:type="spellEnd"/>
      <w:r w:rsidRPr="00EB695B">
        <w:rPr>
          <w:szCs w:val="24"/>
        </w:rPr>
        <w:t xml:space="preserve">, Deschamps, Fish, Abella, Charron, </w:t>
      </w:r>
      <w:proofErr w:type="spellStart"/>
      <w:r w:rsidRPr="00EB695B">
        <w:rPr>
          <w:szCs w:val="24"/>
        </w:rPr>
        <w:t>Rothstein</w:t>
      </w:r>
      <w:proofErr w:type="spellEnd"/>
      <w:r w:rsidRPr="00EB695B">
        <w:rPr>
          <w:szCs w:val="24"/>
        </w:rPr>
        <w:t xml:space="preserve"> et Cromwell.</w:t>
      </w:r>
    </w:p>
    <w:p w:rsidR="008322BD" w:rsidRPr="00EB695B" w:rsidRDefault="00AC7437" w:rsidP="00F824D4">
      <w:pPr>
        <w:pStyle w:val="SCCLowerCourtNameLowercase"/>
        <w:spacing w:after="480"/>
        <w:rPr>
          <w:szCs w:val="24"/>
        </w:rPr>
      </w:pPr>
      <w:r w:rsidRPr="00EB695B">
        <w:rPr>
          <w:szCs w:val="24"/>
        </w:rPr>
        <w:t>e</w:t>
      </w:r>
      <w:r w:rsidR="00855307" w:rsidRPr="00EB695B">
        <w:rPr>
          <w:szCs w:val="24"/>
        </w:rPr>
        <w:t>n</w:t>
      </w:r>
      <w:r w:rsidR="00224FC0" w:rsidRPr="00EB695B">
        <w:rPr>
          <w:szCs w:val="24"/>
        </w:rPr>
        <w:t xml:space="preserve"> </w:t>
      </w:r>
      <w:r w:rsidR="00855307" w:rsidRPr="00EB695B">
        <w:rPr>
          <w:szCs w:val="24"/>
        </w:rPr>
        <w:t>appel</w:t>
      </w:r>
      <w:r w:rsidR="00224FC0" w:rsidRPr="00EB695B">
        <w:rPr>
          <w:szCs w:val="24"/>
        </w:rPr>
        <w:t xml:space="preserve"> </w:t>
      </w:r>
      <w:r w:rsidR="00855307" w:rsidRPr="00EB695B">
        <w:rPr>
          <w:szCs w:val="24"/>
        </w:rPr>
        <w:t>de</w:t>
      </w:r>
      <w:r w:rsidR="0043088E" w:rsidRPr="00EB695B">
        <w:rPr>
          <w:szCs w:val="24"/>
        </w:rPr>
        <w:t xml:space="preserve"> </w:t>
      </w:r>
      <w:r w:rsidR="00855307" w:rsidRPr="00EB695B">
        <w:rPr>
          <w:szCs w:val="24"/>
        </w:rPr>
        <w:t>la</w:t>
      </w:r>
      <w:r w:rsidR="00224FC0" w:rsidRPr="00EB695B">
        <w:rPr>
          <w:szCs w:val="24"/>
        </w:rPr>
        <w:t xml:space="preserve"> </w:t>
      </w:r>
      <w:r w:rsidR="009B57B3" w:rsidRPr="00EB695B">
        <w:rPr>
          <w:szCs w:val="24"/>
        </w:rPr>
        <w:t>cour d’appel de l’</w:t>
      </w:r>
      <w:proofErr w:type="spellStart"/>
      <w:r w:rsidR="009B57B3" w:rsidRPr="00EB695B">
        <w:rPr>
          <w:szCs w:val="24"/>
        </w:rPr>
        <w:t>ontario</w:t>
      </w:r>
      <w:proofErr w:type="spellEnd"/>
    </w:p>
    <w:p w:rsidR="00D151CD" w:rsidRPr="00EB695B" w:rsidRDefault="00D151CD" w:rsidP="000E6A60">
      <w:pPr>
        <w:pStyle w:val="SCCNormalDoubleSpacing"/>
        <w:spacing w:after="480"/>
        <w:rPr>
          <w:i/>
          <w:szCs w:val="24"/>
        </w:rPr>
      </w:pPr>
      <w:r w:rsidRPr="00EB695B">
        <w:rPr>
          <w:i/>
          <w:szCs w:val="24"/>
        </w:rPr>
        <w:lastRenderedPageBreak/>
        <w:tab/>
      </w:r>
      <w:r w:rsidR="00E144D3" w:rsidRPr="00EB695B">
        <w:rPr>
          <w:i/>
          <w:szCs w:val="24"/>
        </w:rPr>
        <w:t>Tribunaux</w:t>
      </w:r>
      <w:r w:rsidRPr="00EB695B">
        <w:rPr>
          <w:i/>
          <w:szCs w:val="24"/>
        </w:rPr>
        <w:t xml:space="preserve"> </w:t>
      </w:r>
      <w:r w:rsidR="00D50E6F" w:rsidRPr="00EB695B">
        <w:rPr>
          <w:i/>
          <w:szCs w:val="24"/>
        </w:rPr>
        <w:t>—</w:t>
      </w:r>
      <w:r w:rsidRPr="00EB695B">
        <w:rPr>
          <w:i/>
          <w:szCs w:val="24"/>
        </w:rPr>
        <w:t xml:space="preserve"> </w:t>
      </w:r>
      <w:r w:rsidR="00E144D3" w:rsidRPr="00EB695B">
        <w:rPr>
          <w:i/>
          <w:szCs w:val="24"/>
        </w:rPr>
        <w:t>Cour suprême du</w:t>
      </w:r>
      <w:r w:rsidRPr="00EB695B">
        <w:rPr>
          <w:i/>
          <w:szCs w:val="24"/>
        </w:rPr>
        <w:t xml:space="preserve"> Canada — </w:t>
      </w:r>
      <w:r w:rsidR="00E144D3" w:rsidRPr="00EB695B">
        <w:rPr>
          <w:i/>
          <w:szCs w:val="24"/>
        </w:rPr>
        <w:t>Compétence</w:t>
      </w:r>
      <w:r w:rsidRPr="00EB695B">
        <w:rPr>
          <w:i/>
          <w:szCs w:val="24"/>
        </w:rPr>
        <w:t xml:space="preserve"> — Appel </w:t>
      </w:r>
      <w:r w:rsidR="00E144D3" w:rsidRPr="00EB695B">
        <w:rPr>
          <w:i/>
          <w:szCs w:val="24"/>
        </w:rPr>
        <w:t>de plein droit</w:t>
      </w:r>
      <w:r w:rsidRPr="00EB695B">
        <w:rPr>
          <w:i/>
          <w:szCs w:val="24"/>
        </w:rPr>
        <w:t xml:space="preserve"> — </w:t>
      </w:r>
      <w:r w:rsidR="00E144D3" w:rsidRPr="00EB695B">
        <w:rPr>
          <w:i/>
          <w:szCs w:val="24"/>
        </w:rPr>
        <w:t xml:space="preserve">L’appel </w:t>
      </w:r>
      <w:proofErr w:type="spellStart"/>
      <w:r w:rsidR="00E144D3" w:rsidRPr="00EB695B">
        <w:rPr>
          <w:i/>
          <w:szCs w:val="24"/>
        </w:rPr>
        <w:t>soulève</w:t>
      </w:r>
      <w:r w:rsidR="000E6A60" w:rsidRPr="00EB695B">
        <w:rPr>
          <w:i/>
          <w:szCs w:val="24"/>
        </w:rPr>
        <w:noBreakHyphen/>
      </w:r>
      <w:r w:rsidR="00E144D3" w:rsidRPr="00EB695B">
        <w:rPr>
          <w:i/>
          <w:szCs w:val="24"/>
        </w:rPr>
        <w:t>t</w:t>
      </w:r>
      <w:r w:rsidR="000E6A60" w:rsidRPr="00EB695B">
        <w:rPr>
          <w:i/>
          <w:szCs w:val="24"/>
        </w:rPr>
        <w:noBreakHyphen/>
      </w:r>
      <w:r w:rsidR="00E144D3" w:rsidRPr="00EB695B">
        <w:rPr>
          <w:i/>
          <w:szCs w:val="24"/>
        </w:rPr>
        <w:t>il</w:t>
      </w:r>
      <w:proofErr w:type="spellEnd"/>
      <w:r w:rsidR="00E144D3" w:rsidRPr="00EB695B">
        <w:rPr>
          <w:i/>
          <w:szCs w:val="24"/>
        </w:rPr>
        <w:t xml:space="preserve"> une question de droit?</w:t>
      </w:r>
      <w:r w:rsidRPr="00EB695B">
        <w:rPr>
          <w:i/>
          <w:szCs w:val="24"/>
        </w:rPr>
        <w:t xml:space="preserve"> — C</w:t>
      </w:r>
      <w:r w:rsidR="00E144D3" w:rsidRPr="00EB695B">
        <w:rPr>
          <w:i/>
          <w:szCs w:val="24"/>
        </w:rPr>
        <w:t>ode criminel</w:t>
      </w:r>
      <w:r w:rsidRPr="00EB695B">
        <w:rPr>
          <w:i/>
          <w:szCs w:val="24"/>
        </w:rPr>
        <w:t xml:space="preserve">, </w:t>
      </w:r>
      <w:r w:rsidR="00E144D3" w:rsidRPr="00EB695B">
        <w:rPr>
          <w:i/>
          <w:szCs w:val="24"/>
        </w:rPr>
        <w:t>L.</w:t>
      </w:r>
      <w:r w:rsidRPr="00EB695B">
        <w:rPr>
          <w:i/>
          <w:szCs w:val="24"/>
        </w:rPr>
        <w:t xml:space="preserve">R.C. 1985, </w:t>
      </w:r>
      <w:r w:rsidR="000E6A60" w:rsidRPr="00EB695B">
        <w:rPr>
          <w:i/>
          <w:szCs w:val="24"/>
        </w:rPr>
        <w:t>ch. </w:t>
      </w:r>
      <w:r w:rsidR="00E144D3" w:rsidRPr="00EB695B">
        <w:rPr>
          <w:i/>
          <w:szCs w:val="24"/>
        </w:rPr>
        <w:t>C</w:t>
      </w:r>
      <w:r w:rsidR="000E6A60" w:rsidRPr="00EB695B">
        <w:rPr>
          <w:i/>
          <w:szCs w:val="24"/>
        </w:rPr>
        <w:noBreakHyphen/>
      </w:r>
      <w:r w:rsidR="00E144D3" w:rsidRPr="00EB695B">
        <w:rPr>
          <w:i/>
          <w:szCs w:val="24"/>
        </w:rPr>
        <w:t xml:space="preserve">46, </w:t>
      </w:r>
      <w:r w:rsidR="000E6A60" w:rsidRPr="00EB695B">
        <w:rPr>
          <w:i/>
          <w:szCs w:val="24"/>
        </w:rPr>
        <w:t>art. </w:t>
      </w:r>
      <w:r w:rsidRPr="00EB695B">
        <w:rPr>
          <w:i/>
          <w:szCs w:val="24"/>
        </w:rPr>
        <w:t>693(1)a).</w:t>
      </w:r>
    </w:p>
    <w:p w:rsidR="00D151CD" w:rsidRPr="00EB695B" w:rsidRDefault="00D151CD" w:rsidP="000E6A60">
      <w:pPr>
        <w:pStyle w:val="SCCNormalDoubleSpacing"/>
        <w:spacing w:after="480"/>
        <w:rPr>
          <w:szCs w:val="24"/>
        </w:rPr>
      </w:pPr>
      <w:r w:rsidRPr="00EB695B">
        <w:rPr>
          <w:i/>
          <w:szCs w:val="24"/>
        </w:rPr>
        <w:tab/>
        <w:t>Droit criminel — Infractions — Éléments de l’infraction — Entrav</w:t>
      </w:r>
      <w:r w:rsidR="00E144D3" w:rsidRPr="00EB695B">
        <w:rPr>
          <w:i/>
          <w:szCs w:val="24"/>
        </w:rPr>
        <w:t>e</w:t>
      </w:r>
      <w:r w:rsidRPr="00EB695B">
        <w:rPr>
          <w:i/>
          <w:szCs w:val="24"/>
        </w:rPr>
        <w:t xml:space="preserve"> à la justice — La suggestion de produire un faux certificat médical </w:t>
      </w:r>
      <w:proofErr w:type="spellStart"/>
      <w:r w:rsidRPr="00EB695B">
        <w:rPr>
          <w:i/>
          <w:szCs w:val="24"/>
        </w:rPr>
        <w:t>faisait</w:t>
      </w:r>
      <w:r w:rsidR="000E6A60" w:rsidRPr="00EB695B">
        <w:rPr>
          <w:i/>
          <w:szCs w:val="24"/>
        </w:rPr>
        <w:noBreakHyphen/>
      </w:r>
      <w:r w:rsidRPr="00EB695B">
        <w:rPr>
          <w:i/>
          <w:szCs w:val="24"/>
        </w:rPr>
        <w:t>elle</w:t>
      </w:r>
      <w:proofErr w:type="spellEnd"/>
      <w:r w:rsidRPr="00EB695B">
        <w:rPr>
          <w:i/>
          <w:szCs w:val="24"/>
        </w:rPr>
        <w:t xml:space="preserve"> partie intégrante de la tentative globale de dissuader une personne de témoigner par des menaces ou d’autres moyens de corruption</w:t>
      </w:r>
      <w:r w:rsidR="00F81D34" w:rsidRPr="00EB695B">
        <w:rPr>
          <w:i/>
          <w:szCs w:val="24"/>
        </w:rPr>
        <w:t>?</w:t>
      </w:r>
      <w:r w:rsidRPr="00EB695B">
        <w:rPr>
          <w:i/>
          <w:szCs w:val="24"/>
        </w:rPr>
        <w:t xml:space="preserve"> — Code criminel, L.R.C. 1985, </w:t>
      </w:r>
      <w:r w:rsidR="000E6A60" w:rsidRPr="00EB695B">
        <w:rPr>
          <w:i/>
          <w:szCs w:val="24"/>
        </w:rPr>
        <w:t>ch. </w:t>
      </w:r>
      <w:r w:rsidRPr="00EB695B">
        <w:rPr>
          <w:i/>
          <w:szCs w:val="24"/>
        </w:rPr>
        <w:t>C</w:t>
      </w:r>
      <w:r w:rsidR="000E6A60" w:rsidRPr="00EB695B">
        <w:rPr>
          <w:i/>
          <w:szCs w:val="24"/>
        </w:rPr>
        <w:noBreakHyphen/>
      </w:r>
      <w:r w:rsidRPr="00EB695B">
        <w:rPr>
          <w:i/>
          <w:szCs w:val="24"/>
        </w:rPr>
        <w:t xml:space="preserve">46, </w:t>
      </w:r>
      <w:r w:rsidR="000E6A60" w:rsidRPr="00EB695B">
        <w:rPr>
          <w:i/>
          <w:szCs w:val="24"/>
        </w:rPr>
        <w:t>art. </w:t>
      </w:r>
      <w:r w:rsidRPr="00EB695B">
        <w:rPr>
          <w:i/>
          <w:szCs w:val="24"/>
        </w:rPr>
        <w:t>139(3)a).</w:t>
      </w:r>
    </w:p>
    <w:p w:rsidR="00D151CD" w:rsidRPr="00EB695B" w:rsidRDefault="00D151CD" w:rsidP="000E6A60">
      <w:pPr>
        <w:pStyle w:val="SCCNormalDoubleSpacing"/>
        <w:spacing w:after="480"/>
        <w:rPr>
          <w:szCs w:val="24"/>
        </w:rPr>
      </w:pPr>
      <w:r w:rsidRPr="00EB695B">
        <w:rPr>
          <w:szCs w:val="24"/>
        </w:rPr>
        <w:tab/>
      </w:r>
      <w:r w:rsidRPr="00EB695B">
        <w:rPr>
          <w:rStyle w:val="QuoteChar"/>
          <w:color w:val="auto"/>
          <w:szCs w:val="24"/>
          <w:lang w:val="fr-CA"/>
        </w:rPr>
        <w:t>Arrêt</w:t>
      </w:r>
      <w:r w:rsidR="000E6A60" w:rsidRPr="00EB695B">
        <w:rPr>
          <w:rStyle w:val="QuoteChar"/>
          <w:color w:val="auto"/>
          <w:szCs w:val="24"/>
          <w:lang w:val="fr-CA"/>
        </w:rPr>
        <w:t> </w:t>
      </w:r>
      <w:r w:rsidR="000E6A60" w:rsidRPr="00027AFB">
        <w:rPr>
          <w:rStyle w:val="QuoteChar"/>
          <w:i w:val="0"/>
          <w:color w:val="auto"/>
          <w:szCs w:val="24"/>
          <w:lang w:val="fr-CA"/>
        </w:rPr>
        <w:t>:</w:t>
      </w:r>
      <w:r w:rsidR="00FC526D" w:rsidRPr="00027AFB">
        <w:rPr>
          <w:rStyle w:val="QuoteChar"/>
          <w:i w:val="0"/>
          <w:color w:val="auto"/>
          <w:szCs w:val="24"/>
          <w:lang w:val="fr-CA"/>
        </w:rPr>
        <w:t xml:space="preserve"> </w:t>
      </w:r>
      <w:r w:rsidRPr="00EB695B">
        <w:rPr>
          <w:szCs w:val="24"/>
        </w:rPr>
        <w:t xml:space="preserve">Le pourvoi est accueilli et les </w:t>
      </w:r>
      <w:r w:rsidR="00FF374E" w:rsidRPr="00EB695B">
        <w:rPr>
          <w:szCs w:val="24"/>
        </w:rPr>
        <w:t>déclarations de culpabilité</w:t>
      </w:r>
      <w:r w:rsidRPr="00EB695B">
        <w:rPr>
          <w:szCs w:val="24"/>
        </w:rPr>
        <w:t xml:space="preserve"> prononcées par le juge du procès sont rétablies. </w:t>
      </w:r>
    </w:p>
    <w:p w:rsidR="00D5435D" w:rsidRPr="00EB695B" w:rsidRDefault="0043260A" w:rsidP="000E6A60">
      <w:pPr>
        <w:pStyle w:val="SCCNormalDoubleSpacing"/>
        <w:spacing w:after="480"/>
        <w:rPr>
          <w:szCs w:val="24"/>
        </w:rPr>
      </w:pPr>
      <w:r w:rsidRPr="00EB695B">
        <w:rPr>
          <w:szCs w:val="24"/>
        </w:rPr>
        <w:tab/>
      </w:r>
      <w:r w:rsidR="009B57B3" w:rsidRPr="00EB695B">
        <w:rPr>
          <w:szCs w:val="24"/>
        </w:rPr>
        <w:t>P</w:t>
      </w:r>
      <w:r w:rsidR="0043088E" w:rsidRPr="00EB695B">
        <w:rPr>
          <w:szCs w:val="24"/>
        </w:rPr>
        <w:t>OURVOI contre un arrêt de la</w:t>
      </w:r>
      <w:r w:rsidR="009B57B3" w:rsidRPr="00EB695B">
        <w:rPr>
          <w:szCs w:val="24"/>
        </w:rPr>
        <w:t xml:space="preserve"> Cour d’appel de l’Ontario</w:t>
      </w:r>
      <w:r w:rsidRPr="00EB695B">
        <w:rPr>
          <w:szCs w:val="24"/>
        </w:rPr>
        <w:t xml:space="preserve"> (les juges Sharpe, Blair et </w:t>
      </w:r>
      <w:proofErr w:type="spellStart"/>
      <w:r w:rsidRPr="00EB695B">
        <w:rPr>
          <w:szCs w:val="24"/>
        </w:rPr>
        <w:t>MacFarland</w:t>
      </w:r>
      <w:proofErr w:type="spellEnd"/>
      <w:r w:rsidRPr="00EB695B">
        <w:rPr>
          <w:szCs w:val="24"/>
        </w:rPr>
        <w:t xml:space="preserve">), 2010 ONCA 576, 267 O.A.C. 149, 260 C.C.C. (3d) 35, [2010] O.J. </w:t>
      </w:r>
      <w:r w:rsidR="000E6A60" w:rsidRPr="00EB695B">
        <w:rPr>
          <w:szCs w:val="24"/>
        </w:rPr>
        <w:t>No. </w:t>
      </w:r>
      <w:r w:rsidRPr="00EB695B">
        <w:rPr>
          <w:szCs w:val="24"/>
        </w:rPr>
        <w:t xml:space="preserve">3908 (QL), 2010 </w:t>
      </w:r>
      <w:proofErr w:type="spellStart"/>
      <w:r w:rsidRPr="00EB695B">
        <w:rPr>
          <w:szCs w:val="24"/>
        </w:rPr>
        <w:t>CarswellOnt</w:t>
      </w:r>
      <w:proofErr w:type="spellEnd"/>
      <w:r w:rsidRPr="00EB695B">
        <w:rPr>
          <w:szCs w:val="24"/>
        </w:rPr>
        <w:t xml:space="preserve"> 6911, qui a annulé les déclarations de culpabilité de l’accusé et prononcé des acquittements. Pourvoi accueilli.</w:t>
      </w:r>
    </w:p>
    <w:p w:rsidR="0072661A" w:rsidRPr="00EB695B" w:rsidRDefault="00734727" w:rsidP="000E6A60">
      <w:pPr>
        <w:pStyle w:val="SCCNormalDoubleSpacing"/>
        <w:spacing w:after="480"/>
        <w:rPr>
          <w:szCs w:val="24"/>
        </w:rPr>
      </w:pPr>
      <w:r w:rsidRPr="00EB695B">
        <w:rPr>
          <w:rStyle w:val="SCCCounselNameChar"/>
          <w:szCs w:val="24"/>
        </w:rPr>
        <w:tab/>
        <w:t xml:space="preserve">Deborah </w:t>
      </w:r>
      <w:proofErr w:type="spellStart"/>
      <w:r w:rsidRPr="00EB695B">
        <w:rPr>
          <w:rStyle w:val="SCCCounselNameChar"/>
          <w:szCs w:val="24"/>
        </w:rPr>
        <w:t>Krick</w:t>
      </w:r>
      <w:proofErr w:type="spellEnd"/>
      <w:r w:rsidRPr="00EB695B">
        <w:rPr>
          <w:rStyle w:val="SCCCounselPartyRoleChar"/>
          <w:szCs w:val="24"/>
        </w:rPr>
        <w:t>, pour l’appelante.</w:t>
      </w:r>
    </w:p>
    <w:p w:rsidR="0072661A" w:rsidRPr="00EB695B" w:rsidRDefault="00734727" w:rsidP="000E6A60">
      <w:pPr>
        <w:pStyle w:val="SCCNormalDoubleSpacing"/>
        <w:spacing w:after="480"/>
        <w:rPr>
          <w:szCs w:val="24"/>
        </w:rPr>
      </w:pPr>
      <w:r w:rsidRPr="00EB695B">
        <w:rPr>
          <w:rStyle w:val="SCCCounselNameChar"/>
          <w:szCs w:val="24"/>
        </w:rPr>
        <w:tab/>
        <w:t>Joseph Di Luca</w:t>
      </w:r>
      <w:r w:rsidRPr="00EB695B">
        <w:rPr>
          <w:rStyle w:val="SCCCounselSeparatorChar"/>
          <w:szCs w:val="24"/>
        </w:rPr>
        <w:t xml:space="preserve"> et </w:t>
      </w:r>
      <w:r w:rsidRPr="00EB695B">
        <w:rPr>
          <w:rStyle w:val="SCCCounselNameChar"/>
          <w:szCs w:val="24"/>
        </w:rPr>
        <w:t xml:space="preserve">Kevin </w:t>
      </w:r>
      <w:proofErr w:type="spellStart"/>
      <w:r w:rsidRPr="00EB695B">
        <w:rPr>
          <w:rStyle w:val="SCCCounselNameChar"/>
          <w:szCs w:val="24"/>
        </w:rPr>
        <w:t>Tilley</w:t>
      </w:r>
      <w:proofErr w:type="spellEnd"/>
      <w:r w:rsidRPr="00EB695B">
        <w:rPr>
          <w:rStyle w:val="SCCCounselPartyRoleChar"/>
          <w:szCs w:val="24"/>
        </w:rPr>
        <w:t>, pour l’intimé.</w:t>
      </w:r>
    </w:p>
    <w:p w:rsidR="00653B8A" w:rsidRPr="00A00251" w:rsidRDefault="00734727" w:rsidP="00027AFB">
      <w:pPr>
        <w:pStyle w:val="SCCNormalDoubleSpacing"/>
        <w:spacing w:after="480"/>
        <w:rPr>
          <w:szCs w:val="24"/>
        </w:rPr>
      </w:pPr>
      <w:r w:rsidRPr="00EB695B">
        <w:tab/>
      </w:r>
      <w:r w:rsidR="00027AFB">
        <w:rPr>
          <w:szCs w:val="24"/>
        </w:rPr>
        <w:t>Version française du jugement rendu par</w:t>
      </w:r>
    </w:p>
    <w:p w:rsidR="00653B8A" w:rsidRPr="00A00251" w:rsidRDefault="00027AFB" w:rsidP="00653B8A">
      <w:pPr>
        <w:pStyle w:val="ParaNoNdepar-AltN"/>
        <w:spacing w:before="0"/>
        <w:rPr>
          <w:rFonts w:cs="Times New Roman"/>
          <w:szCs w:val="24"/>
          <w:lang w:val="fr-CA"/>
        </w:rPr>
      </w:pPr>
      <w:r w:rsidRPr="00027AFB">
        <w:rPr>
          <w:smallCaps/>
          <w:szCs w:val="24"/>
          <w:lang w:val="fr-CA"/>
        </w:rPr>
        <w:lastRenderedPageBreak/>
        <w:t>La Cour</w:t>
      </w:r>
      <w:r w:rsidRPr="00027AFB">
        <w:rPr>
          <w:szCs w:val="24"/>
          <w:lang w:val="fr-CA"/>
        </w:rPr>
        <w:t xml:space="preserve"> — </w:t>
      </w:r>
      <w:r w:rsidR="00653B8A" w:rsidRPr="00A00251">
        <w:rPr>
          <w:rFonts w:cs="Times New Roman"/>
          <w:szCs w:val="24"/>
          <w:lang w:val="fr-CA"/>
        </w:rPr>
        <w:t xml:space="preserve">Nous concluons que l’appel soulève une question de droit et que la Cour a compétence.  Sur le fond, nous sommes d’accord avec le juge Blair, dissident en Cour d’appel de l’Ontario, pour dire que : </w:t>
      </w:r>
    </w:p>
    <w:p w:rsidR="00653B8A" w:rsidRPr="00A00251" w:rsidRDefault="00542FBF" w:rsidP="00542FBF">
      <w:pPr>
        <w:pStyle w:val="Citation1"/>
        <w:tabs>
          <w:tab w:val="left" w:pos="1170"/>
        </w:tabs>
        <w:spacing w:after="0" w:line="240" w:lineRule="auto"/>
        <w:ind w:hanging="1166"/>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653B8A" w:rsidRPr="00A00251">
        <w:rPr>
          <w:rFonts w:ascii="Times New Roman" w:hAnsi="Times New Roman" w:cs="Times New Roman"/>
          <w:sz w:val="24"/>
          <w:szCs w:val="24"/>
          <w:lang w:val="fr-CA"/>
        </w:rPr>
        <w:t>[</w:t>
      </w:r>
      <w:r w:rsidR="00653B8A" w:rsidRPr="00A00251">
        <w:rPr>
          <w:rFonts w:ascii="Times New Roman" w:hAnsi="Times New Roman" w:cs="Times New Roman"/>
          <w:smallCaps/>
          <w:sz w:val="24"/>
          <w:szCs w:val="24"/>
          <w:lang w:val="fr-CA"/>
        </w:rPr>
        <w:t xml:space="preserve">traduction]  </w:t>
      </w:r>
      <w:r w:rsidR="00653B8A" w:rsidRPr="00A00251">
        <w:rPr>
          <w:rFonts w:ascii="Times New Roman" w:hAnsi="Times New Roman" w:cs="Times New Roman"/>
          <w:sz w:val="24"/>
          <w:szCs w:val="24"/>
          <w:lang w:val="fr-CA"/>
        </w:rPr>
        <w:t>Le fait de suggérer un moyen facile, quoique dolosif, d’atteindre l’objectif visé fait tout autant partie de</w:t>
      </w:r>
      <w:r w:rsidR="00404038">
        <w:rPr>
          <w:rFonts w:ascii="Times New Roman" w:hAnsi="Times New Roman" w:cs="Times New Roman"/>
          <w:sz w:val="24"/>
          <w:szCs w:val="24"/>
          <w:lang w:val="fr-CA"/>
        </w:rPr>
        <w:t xml:space="preserve"> </w:t>
      </w:r>
      <w:r w:rsidR="00653B8A" w:rsidRPr="00A00251">
        <w:rPr>
          <w:rFonts w:ascii="Times New Roman" w:hAnsi="Times New Roman" w:cs="Times New Roman"/>
          <w:sz w:val="24"/>
          <w:szCs w:val="24"/>
          <w:lang w:val="fr-CA"/>
        </w:rPr>
        <w:t>«</w:t>
      </w:r>
      <w:r w:rsidR="00404038">
        <w:rPr>
          <w:rFonts w:ascii="Times New Roman" w:hAnsi="Times New Roman" w:cs="Times New Roman"/>
          <w:sz w:val="24"/>
          <w:szCs w:val="24"/>
          <w:lang w:val="fr-CA"/>
        </w:rPr>
        <w:t xml:space="preserve"> l’</w:t>
      </w:r>
      <w:r w:rsidR="00653B8A" w:rsidRPr="00A00251">
        <w:rPr>
          <w:rFonts w:ascii="Times New Roman" w:hAnsi="Times New Roman" w:cs="Times New Roman"/>
          <w:sz w:val="24"/>
          <w:szCs w:val="24"/>
          <w:lang w:val="fr-CA"/>
        </w:rPr>
        <w:t>entreprise de persuasion » que le fait de fournir initialement un motif d’a</w:t>
      </w:r>
      <w:r w:rsidR="00886313">
        <w:rPr>
          <w:rFonts w:ascii="Times New Roman" w:hAnsi="Times New Roman" w:cs="Times New Roman"/>
          <w:sz w:val="24"/>
          <w:szCs w:val="24"/>
          <w:lang w:val="fr-CA"/>
        </w:rPr>
        <w:t xml:space="preserve">tteindre cet objectif.  Ce sont </w:t>
      </w:r>
      <w:r w:rsidR="00653B8A" w:rsidRPr="00A00251">
        <w:rPr>
          <w:rFonts w:ascii="Times New Roman" w:hAnsi="Times New Roman" w:cs="Times New Roman"/>
          <w:sz w:val="24"/>
          <w:szCs w:val="24"/>
          <w:lang w:val="fr-CA"/>
        </w:rPr>
        <w:t>là deux éléments de la même série de mesures imaginées pour convaincre M. Page de ne pas témoigner et pour obtenir, du même coup, le résultat désiré.  La suggestion d’utiliser un faux certificat médical n’était pas un simple détail logistique; elle faisait partie intégrante de l’entreprise globale de persuasion.  Elle visait à retarder et à entraver le cours de la justice.</w:t>
      </w:r>
    </w:p>
    <w:p w:rsidR="00653B8A" w:rsidRPr="00A00251" w:rsidRDefault="00653B8A" w:rsidP="00653B8A">
      <w:pPr>
        <w:pStyle w:val="ContinueParaSuitedupar-AltP"/>
        <w:tabs>
          <w:tab w:val="left" w:pos="1170"/>
        </w:tabs>
        <w:rPr>
          <w:rFonts w:cs="Times New Roman"/>
          <w:szCs w:val="24"/>
          <w:lang w:val="fr-CA"/>
        </w:rPr>
      </w:pPr>
      <w:r w:rsidRPr="00A00251">
        <w:rPr>
          <w:rFonts w:cs="Times New Roman"/>
          <w:szCs w:val="24"/>
          <w:lang w:val="fr-CA"/>
        </w:rPr>
        <w:tab/>
        <w:t>(2010 ONCA 576, 267 O.A.C. 149, par. 68)</w:t>
      </w:r>
    </w:p>
    <w:p w:rsidR="00653B8A" w:rsidRPr="00A00251" w:rsidRDefault="00653B8A" w:rsidP="00653B8A">
      <w:pPr>
        <w:pStyle w:val="ParaNoNdepar-AltN"/>
        <w:rPr>
          <w:rFonts w:cs="Times New Roman"/>
          <w:szCs w:val="24"/>
          <w:lang w:val="fr-CA"/>
        </w:rPr>
      </w:pPr>
      <w:r w:rsidRPr="00A00251">
        <w:rPr>
          <w:rFonts w:cs="Times New Roman"/>
          <w:szCs w:val="24"/>
          <w:lang w:val="fr-CA"/>
        </w:rPr>
        <w:t xml:space="preserve">Nous sommes d’avis d’accueillir l’appel et de rétablir les déclarations de culpabilité prononcées par le juge du procès. </w:t>
      </w:r>
    </w:p>
    <w:p w:rsidR="0033393C" w:rsidRPr="00EB695B" w:rsidRDefault="00734727" w:rsidP="000E6A60">
      <w:pPr>
        <w:pStyle w:val="SCCNormalDoubleSpacing"/>
        <w:spacing w:after="480"/>
        <w:rPr>
          <w:i/>
          <w:szCs w:val="24"/>
        </w:rPr>
      </w:pPr>
      <w:r w:rsidRPr="00EB695B">
        <w:rPr>
          <w:szCs w:val="24"/>
        </w:rPr>
        <w:tab/>
      </w:r>
      <w:r w:rsidRPr="00EB695B">
        <w:rPr>
          <w:i/>
          <w:szCs w:val="24"/>
        </w:rPr>
        <w:t>Pourvoi accueilli.</w:t>
      </w:r>
    </w:p>
    <w:p w:rsidR="00734727" w:rsidRPr="00EA20CE" w:rsidRDefault="00734727" w:rsidP="00EA20CE">
      <w:pPr>
        <w:pStyle w:val="SCCNormalDoubleSpacing"/>
        <w:spacing w:after="480"/>
        <w:rPr>
          <w:i/>
        </w:rPr>
      </w:pPr>
      <w:r w:rsidRPr="00EB695B">
        <w:tab/>
      </w:r>
      <w:r w:rsidRPr="00EA20CE">
        <w:rPr>
          <w:i/>
        </w:rPr>
        <w:t>Procureur de l’appelante</w:t>
      </w:r>
      <w:r w:rsidR="000E6A60" w:rsidRPr="00EA20CE">
        <w:rPr>
          <w:i/>
        </w:rPr>
        <w:t> : </w:t>
      </w:r>
      <w:r w:rsidRPr="00EA20CE">
        <w:rPr>
          <w:i/>
        </w:rPr>
        <w:t>Procureur général de l’Ontario, Toronto.</w:t>
      </w:r>
    </w:p>
    <w:p w:rsidR="0043088E" w:rsidRPr="00653B8A" w:rsidRDefault="00734727" w:rsidP="00653B8A">
      <w:pPr>
        <w:pStyle w:val="SCCNormalDoubleSpacing"/>
        <w:rPr>
          <w:szCs w:val="24"/>
        </w:rPr>
      </w:pPr>
      <w:r w:rsidRPr="00EA20CE">
        <w:rPr>
          <w:i/>
        </w:rPr>
        <w:tab/>
        <w:t>Procureurs de l’intimé</w:t>
      </w:r>
      <w:r w:rsidR="000E6A60" w:rsidRPr="00EA20CE">
        <w:rPr>
          <w:i/>
        </w:rPr>
        <w:t> : </w:t>
      </w:r>
      <w:r w:rsidRPr="00EA20CE">
        <w:rPr>
          <w:i/>
        </w:rPr>
        <w:t>Di Luca Copeland Davies, Toronto.</w:t>
      </w:r>
      <w:r w:rsidR="00653B8A" w:rsidRPr="00653B8A">
        <w:rPr>
          <w:szCs w:val="24"/>
        </w:rPr>
        <w:t xml:space="preserve"> </w:t>
      </w:r>
    </w:p>
    <w:sectPr w:rsidR="0043088E" w:rsidRPr="00653B8A" w:rsidSect="00027AFB">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1CD" w:rsidRDefault="00D151CD">
      <w:r>
        <w:separator/>
      </w:r>
    </w:p>
  </w:endnote>
  <w:endnote w:type="continuationSeparator" w:id="0">
    <w:p w:rsidR="00D151CD" w:rsidRDefault="00D15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CD" w:rsidRDefault="00D151CD">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CD" w:rsidRDefault="00D151CD">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1CD" w:rsidRDefault="00D151CD">
      <w:r>
        <w:separator/>
      </w:r>
    </w:p>
  </w:footnote>
  <w:footnote w:type="continuationSeparator" w:id="0">
    <w:p w:rsidR="00D151CD" w:rsidRDefault="00D15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CD" w:rsidRDefault="00D151C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89832"/>
      <w:docPartObj>
        <w:docPartGallery w:val="Page Numbers (Top of Page)"/>
        <w:docPartUnique/>
      </w:docPartObj>
    </w:sdtPr>
    <w:sdtContent>
      <w:p w:rsidR="00027AFB" w:rsidRDefault="00027AFB">
        <w:pPr>
          <w:pStyle w:val="Header"/>
          <w:jc w:val="center"/>
        </w:pPr>
        <w:r>
          <w:t xml:space="preserve">- </w:t>
        </w:r>
        <w:fldSimple w:instr=" PAGE   \* MERGEFORMAT ">
          <w:r w:rsidR="006C6473">
            <w:rPr>
              <w:noProof/>
            </w:rPr>
            <w:t>2</w:t>
          </w:r>
        </w:fldSimple>
        <w:r>
          <w:t xml:space="preserve"> -</w:t>
        </w:r>
      </w:p>
    </w:sdtContent>
  </w:sdt>
  <w:p w:rsidR="00D151CD" w:rsidRDefault="00D151CD"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8849"/>
  </w:hdrShapeDefaults>
  <w:footnotePr>
    <w:footnote w:id="-1"/>
    <w:footnote w:id="0"/>
  </w:footnotePr>
  <w:endnotePr>
    <w:endnote w:id="-1"/>
    <w:endnote w:id="0"/>
  </w:endnotePr>
  <w:compat/>
  <w:rsids>
    <w:rsidRoot w:val="0031414C"/>
    <w:rsid w:val="00025198"/>
    <w:rsid w:val="00027AFB"/>
    <w:rsid w:val="00055A36"/>
    <w:rsid w:val="000578A3"/>
    <w:rsid w:val="00064563"/>
    <w:rsid w:val="000648CC"/>
    <w:rsid w:val="00094DE0"/>
    <w:rsid w:val="000A5321"/>
    <w:rsid w:val="000C59B8"/>
    <w:rsid w:val="000E6A60"/>
    <w:rsid w:val="00111DE2"/>
    <w:rsid w:val="00116B38"/>
    <w:rsid w:val="0013109F"/>
    <w:rsid w:val="00135406"/>
    <w:rsid w:val="00135972"/>
    <w:rsid w:val="001372B6"/>
    <w:rsid w:val="00140667"/>
    <w:rsid w:val="001426A9"/>
    <w:rsid w:val="00154D7C"/>
    <w:rsid w:val="001570B0"/>
    <w:rsid w:val="00172A04"/>
    <w:rsid w:val="00175A97"/>
    <w:rsid w:val="00185394"/>
    <w:rsid w:val="001A451D"/>
    <w:rsid w:val="001B33E0"/>
    <w:rsid w:val="001B4573"/>
    <w:rsid w:val="001C779F"/>
    <w:rsid w:val="001D2AC1"/>
    <w:rsid w:val="001F7673"/>
    <w:rsid w:val="00220FC2"/>
    <w:rsid w:val="00224FC0"/>
    <w:rsid w:val="00225EA4"/>
    <w:rsid w:val="00226EAF"/>
    <w:rsid w:val="00231108"/>
    <w:rsid w:val="00231F3A"/>
    <w:rsid w:val="002406EE"/>
    <w:rsid w:val="00262266"/>
    <w:rsid w:val="00265114"/>
    <w:rsid w:val="002745CC"/>
    <w:rsid w:val="002D39A4"/>
    <w:rsid w:val="002E6705"/>
    <w:rsid w:val="002F696C"/>
    <w:rsid w:val="0030329A"/>
    <w:rsid w:val="00307AFD"/>
    <w:rsid w:val="0031086F"/>
    <w:rsid w:val="00310E05"/>
    <w:rsid w:val="0031414C"/>
    <w:rsid w:val="00314E01"/>
    <w:rsid w:val="0032089D"/>
    <w:rsid w:val="0033393C"/>
    <w:rsid w:val="0034770C"/>
    <w:rsid w:val="0035259D"/>
    <w:rsid w:val="003866EC"/>
    <w:rsid w:val="003924AF"/>
    <w:rsid w:val="00394476"/>
    <w:rsid w:val="003A4C70"/>
    <w:rsid w:val="003A4E15"/>
    <w:rsid w:val="003C799C"/>
    <w:rsid w:val="003E1C71"/>
    <w:rsid w:val="003F327B"/>
    <w:rsid w:val="003F53FE"/>
    <w:rsid w:val="00404038"/>
    <w:rsid w:val="004059A7"/>
    <w:rsid w:val="00406166"/>
    <w:rsid w:val="00411300"/>
    <w:rsid w:val="00426659"/>
    <w:rsid w:val="0043088E"/>
    <w:rsid w:val="0043260A"/>
    <w:rsid w:val="004439D8"/>
    <w:rsid w:val="00465132"/>
    <w:rsid w:val="00480C90"/>
    <w:rsid w:val="0048396F"/>
    <w:rsid w:val="00484820"/>
    <w:rsid w:val="00493C18"/>
    <w:rsid w:val="00494CDC"/>
    <w:rsid w:val="004A600C"/>
    <w:rsid w:val="004B504E"/>
    <w:rsid w:val="004C478D"/>
    <w:rsid w:val="004E6A2C"/>
    <w:rsid w:val="00521AE8"/>
    <w:rsid w:val="00527180"/>
    <w:rsid w:val="00536719"/>
    <w:rsid w:val="00542FBF"/>
    <w:rsid w:val="0054781A"/>
    <w:rsid w:val="005564A7"/>
    <w:rsid w:val="005E4698"/>
    <w:rsid w:val="00625C35"/>
    <w:rsid w:val="00634E1B"/>
    <w:rsid w:val="00645057"/>
    <w:rsid w:val="00653B8A"/>
    <w:rsid w:val="00654858"/>
    <w:rsid w:val="006565F4"/>
    <w:rsid w:val="00681AD1"/>
    <w:rsid w:val="006A56F1"/>
    <w:rsid w:val="006B5FF5"/>
    <w:rsid w:val="006C5661"/>
    <w:rsid w:val="006C6473"/>
    <w:rsid w:val="006D4790"/>
    <w:rsid w:val="00701759"/>
    <w:rsid w:val="00702C6F"/>
    <w:rsid w:val="0072661A"/>
    <w:rsid w:val="00734727"/>
    <w:rsid w:val="00747288"/>
    <w:rsid w:val="00747DD3"/>
    <w:rsid w:val="00752F4E"/>
    <w:rsid w:val="007549C8"/>
    <w:rsid w:val="00762D30"/>
    <w:rsid w:val="00763377"/>
    <w:rsid w:val="00766D14"/>
    <w:rsid w:val="00767A0F"/>
    <w:rsid w:val="007834A8"/>
    <w:rsid w:val="007A05F6"/>
    <w:rsid w:val="007B6F4A"/>
    <w:rsid w:val="007E1C47"/>
    <w:rsid w:val="007E337A"/>
    <w:rsid w:val="007E5C70"/>
    <w:rsid w:val="007F2DB9"/>
    <w:rsid w:val="007F2FF5"/>
    <w:rsid w:val="00817190"/>
    <w:rsid w:val="008322BD"/>
    <w:rsid w:val="00855307"/>
    <w:rsid w:val="00862CF3"/>
    <w:rsid w:val="00864CF8"/>
    <w:rsid w:val="00874914"/>
    <w:rsid w:val="00886313"/>
    <w:rsid w:val="00892E1A"/>
    <w:rsid w:val="008958F5"/>
    <w:rsid w:val="008A6558"/>
    <w:rsid w:val="008A727C"/>
    <w:rsid w:val="008C01DA"/>
    <w:rsid w:val="008D7B5A"/>
    <w:rsid w:val="008F16D9"/>
    <w:rsid w:val="008F78E9"/>
    <w:rsid w:val="00902462"/>
    <w:rsid w:val="00907334"/>
    <w:rsid w:val="009403F3"/>
    <w:rsid w:val="00957FA2"/>
    <w:rsid w:val="00966913"/>
    <w:rsid w:val="00967374"/>
    <w:rsid w:val="0097543E"/>
    <w:rsid w:val="00983F3F"/>
    <w:rsid w:val="00985C69"/>
    <w:rsid w:val="0099079B"/>
    <w:rsid w:val="009A51A9"/>
    <w:rsid w:val="009B2F23"/>
    <w:rsid w:val="009B53E2"/>
    <w:rsid w:val="009B57B3"/>
    <w:rsid w:val="009D5AEB"/>
    <w:rsid w:val="009F383F"/>
    <w:rsid w:val="00A05F0E"/>
    <w:rsid w:val="00A21107"/>
    <w:rsid w:val="00A21B90"/>
    <w:rsid w:val="00A24E15"/>
    <w:rsid w:val="00A40063"/>
    <w:rsid w:val="00A548CB"/>
    <w:rsid w:val="00A6242E"/>
    <w:rsid w:val="00A643E7"/>
    <w:rsid w:val="00A73C38"/>
    <w:rsid w:val="00A82F28"/>
    <w:rsid w:val="00A83BD8"/>
    <w:rsid w:val="00AA70BB"/>
    <w:rsid w:val="00AC6322"/>
    <w:rsid w:val="00AC7437"/>
    <w:rsid w:val="00AC7A44"/>
    <w:rsid w:val="00AF03C5"/>
    <w:rsid w:val="00AF57C4"/>
    <w:rsid w:val="00B000D8"/>
    <w:rsid w:val="00B00F75"/>
    <w:rsid w:val="00B01442"/>
    <w:rsid w:val="00B145B6"/>
    <w:rsid w:val="00B50C81"/>
    <w:rsid w:val="00B557F8"/>
    <w:rsid w:val="00B64972"/>
    <w:rsid w:val="00B66DD8"/>
    <w:rsid w:val="00B67B94"/>
    <w:rsid w:val="00B8145D"/>
    <w:rsid w:val="00B815FC"/>
    <w:rsid w:val="00B93FBC"/>
    <w:rsid w:val="00BB72C4"/>
    <w:rsid w:val="00BC60C1"/>
    <w:rsid w:val="00C02092"/>
    <w:rsid w:val="00C057F7"/>
    <w:rsid w:val="00C0663B"/>
    <w:rsid w:val="00C24C8C"/>
    <w:rsid w:val="00C24D91"/>
    <w:rsid w:val="00C52532"/>
    <w:rsid w:val="00C53F14"/>
    <w:rsid w:val="00C55C2E"/>
    <w:rsid w:val="00C600CF"/>
    <w:rsid w:val="00C6084F"/>
    <w:rsid w:val="00C62A66"/>
    <w:rsid w:val="00C62A6F"/>
    <w:rsid w:val="00C66C9D"/>
    <w:rsid w:val="00C67CA5"/>
    <w:rsid w:val="00C71458"/>
    <w:rsid w:val="00C71F58"/>
    <w:rsid w:val="00C77613"/>
    <w:rsid w:val="00C828E7"/>
    <w:rsid w:val="00C921DD"/>
    <w:rsid w:val="00CA4D82"/>
    <w:rsid w:val="00CA6391"/>
    <w:rsid w:val="00CB2198"/>
    <w:rsid w:val="00CE3171"/>
    <w:rsid w:val="00CF1601"/>
    <w:rsid w:val="00D151CD"/>
    <w:rsid w:val="00D32086"/>
    <w:rsid w:val="00D37A3F"/>
    <w:rsid w:val="00D45FCF"/>
    <w:rsid w:val="00D4667A"/>
    <w:rsid w:val="00D50E6F"/>
    <w:rsid w:val="00D510BB"/>
    <w:rsid w:val="00D5435D"/>
    <w:rsid w:val="00D74F2E"/>
    <w:rsid w:val="00DA0590"/>
    <w:rsid w:val="00DB0F27"/>
    <w:rsid w:val="00DC1788"/>
    <w:rsid w:val="00DD6CB0"/>
    <w:rsid w:val="00DF0CA8"/>
    <w:rsid w:val="00DF49A7"/>
    <w:rsid w:val="00E01106"/>
    <w:rsid w:val="00E07EE2"/>
    <w:rsid w:val="00E144D3"/>
    <w:rsid w:val="00E24573"/>
    <w:rsid w:val="00E377A1"/>
    <w:rsid w:val="00E45109"/>
    <w:rsid w:val="00E54B02"/>
    <w:rsid w:val="00E97830"/>
    <w:rsid w:val="00EA03E5"/>
    <w:rsid w:val="00EA20CE"/>
    <w:rsid w:val="00EB695B"/>
    <w:rsid w:val="00EE0FAF"/>
    <w:rsid w:val="00F00EB7"/>
    <w:rsid w:val="00F2258E"/>
    <w:rsid w:val="00F33658"/>
    <w:rsid w:val="00F36AB6"/>
    <w:rsid w:val="00F409CE"/>
    <w:rsid w:val="00F81D34"/>
    <w:rsid w:val="00F824D4"/>
    <w:rsid w:val="00F84DF4"/>
    <w:rsid w:val="00F853FB"/>
    <w:rsid w:val="00F85C97"/>
    <w:rsid w:val="00FA2FE1"/>
    <w:rsid w:val="00FC526D"/>
    <w:rsid w:val="00FC606D"/>
    <w:rsid w:val="00FD068D"/>
    <w:rsid w:val="00FD4F28"/>
    <w:rsid w:val="00FE4B4D"/>
    <w:rsid w:val="00FE6784"/>
    <w:rsid w:val="00FF3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SCCCoram">
    <w:name w:val="SCC.Coram"/>
    <w:basedOn w:val="Normal"/>
    <w:next w:val="Normal"/>
    <w:link w:val="SCCCoramChar"/>
    <w:rsid w:val="00653B8A"/>
    <w:pPr>
      <w:pBdr>
        <w:bottom w:val="single" w:sz="4" w:space="1" w:color="auto"/>
      </w:pBdr>
      <w:spacing w:after="200" w:line="276" w:lineRule="auto"/>
    </w:pPr>
    <w:rPr>
      <w:rFonts w:asciiTheme="minorHAnsi" w:eastAsiaTheme="minorHAnsi" w:hAnsiTheme="minorHAnsi" w:cstheme="minorBidi"/>
      <w:sz w:val="22"/>
      <w:szCs w:val="22"/>
      <w:lang w:val="en-US" w:eastAsia="en-US"/>
    </w:rPr>
  </w:style>
  <w:style w:type="character" w:customStyle="1" w:styleId="SCCCoramChar">
    <w:name w:val="SCC.Coram Char"/>
    <w:basedOn w:val="DefaultParagraphFont"/>
    <w:link w:val="SCCCoram"/>
    <w:rsid w:val="00653B8A"/>
    <w:rPr>
      <w:rFonts w:asciiTheme="minorHAnsi" w:eastAsiaTheme="minorHAnsi" w:hAnsiTheme="minorHAnsi" w:cstheme="minorBidi"/>
      <w:sz w:val="22"/>
      <w:szCs w:val="22"/>
      <w:lang w:val="en-US" w:eastAsia="en-US"/>
    </w:rPr>
  </w:style>
  <w:style w:type="table" w:styleId="TableGrid">
    <w:name w:val="Table Grid"/>
    <w:basedOn w:val="TableNormal"/>
    <w:uiPriority w:val="59"/>
    <w:rsid w:val="00653B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653B8A"/>
    <w:pPr>
      <w:spacing w:after="720" w:line="276" w:lineRule="auto"/>
      <w:ind w:left="1166"/>
      <w:contextualSpacing/>
      <w:jc w:val="both"/>
    </w:pPr>
    <w:rPr>
      <w:rFonts w:asciiTheme="minorHAnsi" w:eastAsiaTheme="minorHAnsi" w:hAnsiTheme="minorHAnsi" w:cstheme="minorBidi"/>
      <w:sz w:val="22"/>
      <w:szCs w:val="22"/>
      <w:lang w:val="en-US" w:eastAsia="en-US"/>
    </w:rPr>
  </w:style>
  <w:style w:type="paragraph" w:customStyle="1" w:styleId="ContinueParaSuitedupar-AltP">
    <w:name w:val="Continue Para. / Suite du par. - Alt P"/>
    <w:next w:val="ParaNoNdepar-AltN"/>
    <w:uiPriority w:val="1"/>
    <w:qFormat/>
    <w:rsid w:val="00653B8A"/>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653B8A"/>
    <w:pPr>
      <w:numPr>
        <w:numId w:val="1"/>
      </w:numPr>
      <w:spacing w:before="480" w:after="480" w:line="480" w:lineRule="auto"/>
      <w:jc w:val="both"/>
    </w:pPr>
    <w:rPr>
      <w:rFonts w:eastAsiaTheme="minorEastAsia"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A704-9E60-498B-A82E-D739FFDB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2509</Characters>
  <Application>Microsoft Office Word</Application>
  <DocSecurity>0</DocSecurity>
  <Lines>20</Lines>
  <Paragraphs>5</Paragraphs>
  <ScaleCrop>false</ScaleCrop>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2011-05-11T18:27:00Z</dcterms:created>
  <dcterms:modified xsi:type="dcterms:W3CDTF">2011-08-30T19:07:00Z</dcterms:modified>
</cp:coreProperties>
</file>