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6E" w:rsidRPr="00D2531C" w:rsidRDefault="00E2316E" w:rsidP="00E2316E">
      <w:pPr>
        <w:tabs>
          <w:tab w:val="center" w:pos="4680"/>
          <w:tab w:val="right" w:pos="9360"/>
        </w:tabs>
        <w:jc w:val="center"/>
        <w:rPr>
          <w:rFonts w:eastAsiaTheme="minorHAnsi" w:cstheme="minorBidi"/>
          <w:szCs w:val="24"/>
          <w:lang w:eastAsia="en-US"/>
        </w:rPr>
      </w:pPr>
      <w:r w:rsidRPr="00D2531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85204786" r:id="rId9"/>
        </w:object>
      </w:r>
    </w:p>
    <w:p w:rsidR="00E2316E" w:rsidRPr="00D2531C" w:rsidRDefault="00E2316E" w:rsidP="00E2316E">
      <w:pPr>
        <w:tabs>
          <w:tab w:val="center" w:pos="4680"/>
          <w:tab w:val="right" w:pos="9360"/>
        </w:tabs>
        <w:rPr>
          <w:rFonts w:eastAsiaTheme="minorHAnsi" w:cstheme="minorBidi"/>
          <w:szCs w:val="24"/>
          <w:lang w:eastAsia="en-US"/>
        </w:rPr>
      </w:pPr>
    </w:p>
    <w:p w:rsidR="00E2316E" w:rsidRPr="00D2531C" w:rsidRDefault="00E2316E" w:rsidP="00E2316E">
      <w:pPr>
        <w:jc w:val="center"/>
        <w:rPr>
          <w:rFonts w:eastAsiaTheme="minorHAnsi" w:cstheme="minorBidi"/>
          <w:b/>
          <w:szCs w:val="24"/>
          <w:lang w:eastAsia="en-US"/>
        </w:rPr>
      </w:pPr>
      <w:r w:rsidRPr="00D2531C">
        <w:rPr>
          <w:rFonts w:eastAsiaTheme="minorHAnsi" w:cstheme="minorBidi"/>
          <w:b/>
          <w:szCs w:val="24"/>
          <w:lang w:eastAsia="en-US"/>
        </w:rPr>
        <w:t>COUR SUPRÊME DU CANADA</w:t>
      </w:r>
    </w:p>
    <w:p w:rsidR="00E2316E" w:rsidRPr="00D2531C" w:rsidRDefault="00E2316E" w:rsidP="00E2316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2316E" w:rsidRPr="00D2531C" w:rsidTr="00540EA9">
        <w:trPr>
          <w:cantSplit/>
        </w:trPr>
        <w:tc>
          <w:tcPr>
            <w:tcW w:w="6768" w:type="dxa"/>
          </w:tcPr>
          <w:p w:rsidR="00E2316E" w:rsidRPr="00025320" w:rsidRDefault="00E2316E" w:rsidP="00540EA9">
            <w:r w:rsidRPr="00D2531C">
              <w:rPr>
                <w:b/>
                <w:smallCaps/>
              </w:rPr>
              <w:t>Référence :</w:t>
            </w:r>
            <w:r w:rsidRPr="00D2531C">
              <w:t xml:space="preserve"> R.</w:t>
            </w:r>
            <w:r w:rsidRPr="00D2531C">
              <w:rPr>
                <w:b/>
                <w:i/>
              </w:rPr>
              <w:t xml:space="preserve"> </w:t>
            </w:r>
            <w:r w:rsidRPr="00D2531C">
              <w:rPr>
                <w:i/>
              </w:rPr>
              <w:t>c.</w:t>
            </w:r>
            <w:r w:rsidRPr="00D2531C">
              <w:t xml:space="preserve"> Campbell, 2011 CSC 32</w:t>
            </w:r>
            <w:r w:rsidR="00025320" w:rsidRPr="00025320">
              <w:rPr>
                <w:rStyle w:val="SCCRespondentForRunningHeadChar"/>
              </w:rPr>
              <w:t>, [2011] 2 R.C.S. 549</w:t>
            </w:r>
          </w:p>
        </w:tc>
        <w:tc>
          <w:tcPr>
            <w:tcW w:w="2808" w:type="dxa"/>
          </w:tcPr>
          <w:p w:rsidR="00E2316E" w:rsidRPr="00D2531C" w:rsidRDefault="00E2316E" w:rsidP="00540EA9">
            <w:r w:rsidRPr="00D2531C">
              <w:rPr>
                <w:b/>
                <w:smallCaps/>
              </w:rPr>
              <w:t>Date :</w:t>
            </w:r>
            <w:r w:rsidRPr="00D2531C">
              <w:t xml:space="preserve"> 20110623</w:t>
            </w:r>
          </w:p>
          <w:p w:rsidR="00E2316E" w:rsidRPr="00D2531C" w:rsidRDefault="00E2316E" w:rsidP="00540EA9">
            <w:r w:rsidRPr="00D2531C">
              <w:rPr>
                <w:b/>
                <w:smallCaps/>
              </w:rPr>
              <w:t>Dossier :</w:t>
            </w:r>
            <w:r w:rsidRPr="00D2531C">
              <w:t xml:space="preserve"> 33916</w:t>
            </w:r>
          </w:p>
        </w:tc>
      </w:tr>
    </w:tbl>
    <w:p w:rsidR="00E2316E" w:rsidRPr="00D2531C" w:rsidRDefault="00E2316E" w:rsidP="00E2316E">
      <w:pPr>
        <w:rPr>
          <w:rFonts w:eastAsiaTheme="minorHAnsi" w:cstheme="minorBidi"/>
          <w:szCs w:val="24"/>
          <w:lang w:eastAsia="en-US"/>
        </w:rPr>
      </w:pPr>
    </w:p>
    <w:p w:rsidR="00E2316E" w:rsidRPr="00D2531C" w:rsidRDefault="00E2316E" w:rsidP="00E2316E">
      <w:pPr>
        <w:rPr>
          <w:rFonts w:eastAsiaTheme="minorHAnsi" w:cstheme="minorBidi"/>
          <w:b/>
          <w:smallCaps/>
          <w:szCs w:val="24"/>
          <w:lang w:eastAsia="en-US"/>
        </w:rPr>
      </w:pPr>
      <w:r w:rsidRPr="00D2531C">
        <w:rPr>
          <w:rFonts w:eastAsiaTheme="minorHAnsi" w:cstheme="minorBidi"/>
          <w:b/>
          <w:smallCaps/>
          <w:szCs w:val="24"/>
          <w:lang w:eastAsia="en-US"/>
        </w:rPr>
        <w:t>Entre :</w:t>
      </w:r>
    </w:p>
    <w:p w:rsidR="00E2316E" w:rsidRPr="00D2531C" w:rsidRDefault="00E2316E" w:rsidP="00E2316E">
      <w:pPr>
        <w:jc w:val="center"/>
        <w:rPr>
          <w:rFonts w:eastAsiaTheme="minorHAnsi" w:cstheme="minorBidi"/>
          <w:b/>
          <w:szCs w:val="24"/>
          <w:lang w:eastAsia="en-US"/>
        </w:rPr>
      </w:pPr>
      <w:r w:rsidRPr="00D2531C">
        <w:rPr>
          <w:rFonts w:eastAsiaTheme="minorHAnsi" w:cstheme="minorBidi"/>
          <w:b/>
          <w:szCs w:val="24"/>
          <w:lang w:eastAsia="en-US"/>
        </w:rPr>
        <w:t>Norman Martin Campbell</w:t>
      </w:r>
    </w:p>
    <w:p w:rsidR="00E2316E" w:rsidRPr="00D2531C" w:rsidRDefault="00E2316E" w:rsidP="00E2316E">
      <w:pPr>
        <w:jc w:val="center"/>
        <w:rPr>
          <w:rFonts w:eastAsiaTheme="minorHAnsi" w:cstheme="minorBidi"/>
          <w:szCs w:val="24"/>
          <w:lang w:eastAsia="en-US"/>
        </w:rPr>
      </w:pPr>
      <w:r w:rsidRPr="00D2531C">
        <w:rPr>
          <w:rFonts w:eastAsiaTheme="minorHAnsi" w:cstheme="minorBidi"/>
          <w:szCs w:val="24"/>
          <w:lang w:eastAsia="en-US"/>
        </w:rPr>
        <w:t>Appelant</w:t>
      </w:r>
    </w:p>
    <w:p w:rsidR="00E2316E" w:rsidRPr="00D2531C" w:rsidRDefault="00E2316E" w:rsidP="00E2316E">
      <w:pPr>
        <w:jc w:val="center"/>
        <w:rPr>
          <w:rFonts w:eastAsiaTheme="minorHAnsi" w:cstheme="minorBidi"/>
          <w:szCs w:val="24"/>
          <w:lang w:eastAsia="en-US"/>
        </w:rPr>
      </w:pPr>
      <w:proofErr w:type="gramStart"/>
      <w:r w:rsidRPr="00D2531C">
        <w:rPr>
          <w:rFonts w:eastAsiaTheme="minorHAnsi" w:cstheme="minorBidi"/>
          <w:szCs w:val="24"/>
          <w:lang w:eastAsia="en-US"/>
        </w:rPr>
        <w:t>et</w:t>
      </w:r>
      <w:proofErr w:type="gramEnd"/>
    </w:p>
    <w:p w:rsidR="00E2316E" w:rsidRPr="00D2531C" w:rsidRDefault="00E2316E" w:rsidP="00E2316E">
      <w:pPr>
        <w:jc w:val="center"/>
        <w:rPr>
          <w:rFonts w:eastAsiaTheme="minorHAnsi" w:cstheme="minorBidi"/>
          <w:b/>
          <w:szCs w:val="24"/>
          <w:lang w:eastAsia="en-US"/>
        </w:rPr>
      </w:pPr>
      <w:r w:rsidRPr="00D2531C">
        <w:rPr>
          <w:rFonts w:eastAsiaTheme="minorHAnsi" w:cstheme="minorBidi"/>
          <w:b/>
          <w:szCs w:val="24"/>
          <w:lang w:eastAsia="en-US"/>
        </w:rPr>
        <w:t>Sa Majesté la Reine</w:t>
      </w:r>
    </w:p>
    <w:p w:rsidR="00E2316E" w:rsidRPr="00D2531C" w:rsidRDefault="00E2316E" w:rsidP="00E2316E">
      <w:pPr>
        <w:jc w:val="center"/>
        <w:rPr>
          <w:rFonts w:eastAsiaTheme="minorHAnsi" w:cstheme="minorBidi"/>
          <w:szCs w:val="24"/>
          <w:lang w:eastAsia="en-US"/>
        </w:rPr>
      </w:pPr>
      <w:r w:rsidRPr="00D2531C">
        <w:rPr>
          <w:rFonts w:eastAsiaTheme="minorHAnsi" w:cstheme="minorBidi"/>
          <w:szCs w:val="24"/>
          <w:lang w:eastAsia="en-US"/>
        </w:rPr>
        <w:t>Intimée</w:t>
      </w:r>
    </w:p>
    <w:p w:rsidR="00E2316E" w:rsidRPr="00D2531C" w:rsidRDefault="00E2316E" w:rsidP="00E2316E">
      <w:pPr>
        <w:jc w:val="center"/>
        <w:rPr>
          <w:rFonts w:eastAsiaTheme="minorHAnsi" w:cstheme="minorBidi"/>
          <w:szCs w:val="24"/>
          <w:lang w:eastAsia="en-US"/>
        </w:rPr>
      </w:pPr>
      <w:r w:rsidRPr="00D2531C">
        <w:rPr>
          <w:rFonts w:eastAsiaTheme="minorHAnsi" w:cstheme="minorBidi"/>
          <w:szCs w:val="24"/>
          <w:lang w:eastAsia="en-US"/>
        </w:rPr>
        <w:t>- et -</w:t>
      </w:r>
    </w:p>
    <w:p w:rsidR="00E2316E" w:rsidRPr="00D2531C" w:rsidRDefault="00E2316E" w:rsidP="00E2316E">
      <w:pPr>
        <w:jc w:val="center"/>
        <w:rPr>
          <w:rFonts w:eastAsiaTheme="minorHAnsi" w:cstheme="minorBidi"/>
          <w:b/>
          <w:szCs w:val="24"/>
          <w:lang w:eastAsia="en-US"/>
        </w:rPr>
      </w:pPr>
      <w:proofErr w:type="spellStart"/>
      <w:r w:rsidRPr="00D2531C">
        <w:rPr>
          <w:rFonts w:eastAsiaTheme="minorHAnsi" w:cstheme="minorBidi"/>
          <w:b/>
          <w:szCs w:val="24"/>
          <w:lang w:eastAsia="en-US"/>
        </w:rPr>
        <w:t>Criminal</w:t>
      </w:r>
      <w:proofErr w:type="spellEnd"/>
      <w:r w:rsidRPr="00D2531C">
        <w:rPr>
          <w:rFonts w:eastAsiaTheme="minorHAnsi" w:cstheme="minorBidi"/>
          <w:b/>
          <w:szCs w:val="24"/>
          <w:lang w:eastAsia="en-US"/>
        </w:rPr>
        <w:t xml:space="preserve"> </w:t>
      </w:r>
      <w:proofErr w:type="spellStart"/>
      <w:r w:rsidRPr="00D2531C">
        <w:rPr>
          <w:rFonts w:eastAsiaTheme="minorHAnsi" w:cstheme="minorBidi"/>
          <w:b/>
          <w:szCs w:val="24"/>
          <w:lang w:eastAsia="en-US"/>
        </w:rPr>
        <w:t>Lawyers</w:t>
      </w:r>
      <w:proofErr w:type="spellEnd"/>
      <w:r w:rsidRPr="00D2531C">
        <w:rPr>
          <w:rFonts w:eastAsiaTheme="minorHAnsi" w:cstheme="minorBidi"/>
          <w:b/>
          <w:szCs w:val="24"/>
          <w:lang w:eastAsia="en-US"/>
        </w:rPr>
        <w:t>’ Association (Ontario)</w:t>
      </w:r>
    </w:p>
    <w:p w:rsidR="00E2316E" w:rsidRPr="00D2531C" w:rsidRDefault="00E2316E" w:rsidP="00E2316E">
      <w:pPr>
        <w:jc w:val="center"/>
        <w:rPr>
          <w:rFonts w:eastAsiaTheme="minorHAnsi" w:cstheme="minorBidi"/>
          <w:szCs w:val="24"/>
          <w:lang w:eastAsia="en-US"/>
        </w:rPr>
      </w:pPr>
      <w:r w:rsidRPr="00D2531C">
        <w:rPr>
          <w:rFonts w:eastAsiaTheme="minorHAnsi" w:cstheme="minorBidi"/>
          <w:szCs w:val="24"/>
          <w:lang w:eastAsia="en-US"/>
        </w:rPr>
        <w:t>Intervenante</w:t>
      </w:r>
    </w:p>
    <w:p w:rsidR="00E2316E" w:rsidRPr="00D2531C" w:rsidRDefault="00E2316E" w:rsidP="00E2316E">
      <w:pPr>
        <w:rPr>
          <w:rFonts w:eastAsiaTheme="minorHAnsi" w:cstheme="minorBidi"/>
          <w:szCs w:val="24"/>
          <w:lang w:eastAsia="en-US"/>
        </w:rPr>
      </w:pPr>
    </w:p>
    <w:p w:rsidR="00E2316E" w:rsidRPr="00D2531C" w:rsidRDefault="00E2316E" w:rsidP="00E2316E">
      <w:pPr>
        <w:rPr>
          <w:rFonts w:eastAsiaTheme="minorHAnsi" w:cstheme="minorBidi"/>
          <w:szCs w:val="24"/>
          <w:lang w:eastAsia="en-US"/>
        </w:rPr>
      </w:pPr>
    </w:p>
    <w:p w:rsidR="00E2316E" w:rsidRPr="00D2531C" w:rsidRDefault="00E2316E" w:rsidP="00E2316E">
      <w:pPr>
        <w:jc w:val="center"/>
        <w:rPr>
          <w:rFonts w:eastAsiaTheme="minorHAnsi" w:cstheme="minorBidi"/>
          <w:b/>
          <w:smallCaps/>
          <w:szCs w:val="24"/>
          <w:lang w:eastAsia="en-US"/>
        </w:rPr>
      </w:pPr>
      <w:r w:rsidRPr="00D2531C">
        <w:rPr>
          <w:rFonts w:eastAsiaTheme="minorHAnsi" w:cstheme="minorBidi"/>
          <w:b/>
          <w:smallCaps/>
          <w:szCs w:val="24"/>
          <w:lang w:eastAsia="en-US"/>
        </w:rPr>
        <w:t>Traduction française officielle</w:t>
      </w:r>
    </w:p>
    <w:p w:rsidR="00E2316E" w:rsidRPr="00D2531C" w:rsidRDefault="00E2316E" w:rsidP="00E2316E">
      <w:pPr>
        <w:rPr>
          <w:rFonts w:eastAsiaTheme="minorHAnsi" w:cstheme="minorBidi"/>
          <w:szCs w:val="24"/>
          <w:lang w:eastAsia="en-US"/>
        </w:rPr>
      </w:pPr>
    </w:p>
    <w:p w:rsidR="00E2316E" w:rsidRPr="00D2531C" w:rsidRDefault="00E2316E" w:rsidP="00E2316E">
      <w:pPr>
        <w:rPr>
          <w:rFonts w:eastAsiaTheme="minorHAnsi" w:cstheme="minorBidi"/>
          <w:szCs w:val="24"/>
          <w:lang w:eastAsia="en-US"/>
        </w:rPr>
      </w:pPr>
      <w:r w:rsidRPr="00D2531C">
        <w:rPr>
          <w:rFonts w:eastAsiaTheme="minorHAnsi" w:cstheme="minorBidi"/>
          <w:b/>
          <w:smallCaps/>
          <w:szCs w:val="24"/>
          <w:lang w:eastAsia="en-US"/>
        </w:rPr>
        <w:t>Coram :</w:t>
      </w:r>
      <w:r w:rsidRPr="00D2531C">
        <w:rPr>
          <w:rFonts w:eastAsiaTheme="minorHAnsi" w:cstheme="minorBidi"/>
          <w:szCs w:val="24"/>
          <w:lang w:eastAsia="en-US"/>
        </w:rPr>
        <w:t xml:space="preserve"> Les juges </w:t>
      </w:r>
      <w:proofErr w:type="spellStart"/>
      <w:r w:rsidRPr="00D2531C">
        <w:rPr>
          <w:rFonts w:eastAsiaTheme="minorHAnsi" w:cstheme="minorBidi"/>
          <w:szCs w:val="24"/>
          <w:lang w:eastAsia="en-US"/>
        </w:rPr>
        <w:t>LeBel</w:t>
      </w:r>
      <w:proofErr w:type="spellEnd"/>
      <w:r w:rsidRPr="00D2531C">
        <w:rPr>
          <w:rFonts w:eastAsiaTheme="minorHAnsi" w:cstheme="minorBidi"/>
          <w:szCs w:val="24"/>
          <w:lang w:eastAsia="en-US"/>
        </w:rPr>
        <w:t xml:space="preserve">, Deschamps, Fish, Abella, Charron, </w:t>
      </w:r>
      <w:proofErr w:type="spellStart"/>
      <w:r w:rsidRPr="00D2531C">
        <w:rPr>
          <w:rFonts w:eastAsiaTheme="minorHAnsi" w:cstheme="minorBidi"/>
          <w:szCs w:val="24"/>
          <w:lang w:eastAsia="en-US"/>
        </w:rPr>
        <w:t>Rothstein</w:t>
      </w:r>
      <w:proofErr w:type="spellEnd"/>
      <w:r w:rsidRPr="00D2531C">
        <w:rPr>
          <w:rFonts w:eastAsiaTheme="minorHAnsi" w:cstheme="minorBidi"/>
          <w:szCs w:val="24"/>
          <w:lang w:eastAsia="en-US"/>
        </w:rPr>
        <w:t xml:space="preserve"> et Cromwell</w:t>
      </w:r>
    </w:p>
    <w:p w:rsidR="00E2316E" w:rsidRPr="00D2531C" w:rsidRDefault="00E2316E" w:rsidP="00E2316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2316E" w:rsidRPr="00D2531C" w:rsidTr="00540EA9">
        <w:trPr>
          <w:cantSplit/>
        </w:trPr>
        <w:tc>
          <w:tcPr>
            <w:tcW w:w="3618" w:type="dxa"/>
          </w:tcPr>
          <w:p w:rsidR="00E2316E" w:rsidRPr="00D2531C" w:rsidRDefault="00E2316E" w:rsidP="00540EA9">
            <w:pPr>
              <w:rPr>
                <w:b/>
                <w:smallCaps/>
              </w:rPr>
            </w:pPr>
            <w:r w:rsidRPr="00D2531C">
              <w:rPr>
                <w:b/>
                <w:smallCaps/>
              </w:rPr>
              <w:t>Motifs de jugement :</w:t>
            </w:r>
          </w:p>
          <w:p w:rsidR="00E2316E" w:rsidRPr="00D2531C" w:rsidRDefault="00E2316E" w:rsidP="00540EA9">
            <w:r w:rsidRPr="00D2531C">
              <w:t>(par. 1 à 17)</w:t>
            </w:r>
          </w:p>
        </w:tc>
        <w:tc>
          <w:tcPr>
            <w:tcW w:w="5958" w:type="dxa"/>
          </w:tcPr>
          <w:p w:rsidR="00E2316E" w:rsidRPr="00D2531C" w:rsidRDefault="00E2316E" w:rsidP="00540EA9">
            <w:r w:rsidRPr="00D2531C">
              <w:t xml:space="preserve">La juge Charron (avec l’accord des juges </w:t>
            </w:r>
            <w:proofErr w:type="spellStart"/>
            <w:r w:rsidRPr="00D2531C">
              <w:t>LeBel</w:t>
            </w:r>
            <w:proofErr w:type="spellEnd"/>
            <w:r w:rsidRPr="00D2531C">
              <w:t xml:space="preserve">, Deschamps, Fish, Abella, </w:t>
            </w:r>
            <w:proofErr w:type="spellStart"/>
            <w:r w:rsidRPr="00D2531C">
              <w:t>Rothstein</w:t>
            </w:r>
            <w:proofErr w:type="spellEnd"/>
            <w:r w:rsidRPr="00D2531C">
              <w:t xml:space="preserve"> et Cromwell)</w:t>
            </w:r>
          </w:p>
        </w:tc>
      </w:tr>
    </w:tbl>
    <w:p w:rsidR="00E2316E" w:rsidRPr="00D2531C" w:rsidRDefault="00E2316E" w:rsidP="00E2316E">
      <w:pPr>
        <w:rPr>
          <w:rFonts w:eastAsiaTheme="minorHAnsi" w:cstheme="minorBidi"/>
          <w:szCs w:val="24"/>
          <w:lang w:eastAsia="en-US"/>
        </w:rPr>
      </w:pPr>
    </w:p>
    <w:p w:rsidR="00E2316E" w:rsidRPr="00D2531C" w:rsidRDefault="00E2316E" w:rsidP="00E2316E">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2316E" w:rsidRPr="00D2531C" w:rsidRDefault="00E2316E" w:rsidP="00E2316E">
      <w:pPr>
        <w:rPr>
          <w:rStyle w:val="SCCRespondentForRunningHeadChar"/>
        </w:rPr>
      </w:pPr>
      <w:r w:rsidRPr="00D2531C">
        <w:rPr>
          <w:rStyle w:val="SCCRespondentForRunningHeadChar"/>
        </w:rPr>
        <w:br w:type="page"/>
      </w:r>
    </w:p>
    <w:p w:rsidR="008322BD" w:rsidRPr="00E45397" w:rsidRDefault="00E921D1" w:rsidP="008C27CE">
      <w:pPr>
        <w:spacing w:after="720"/>
        <w:jc w:val="both"/>
        <w:rPr>
          <w:lang w:val="en-US"/>
        </w:rPr>
      </w:pPr>
      <w:r w:rsidRPr="00E921D1">
        <w:rPr>
          <w:rStyle w:val="SCCRespondentForIndexChar"/>
          <w:b w:val="0"/>
          <w:lang w:val="en-US"/>
        </w:rPr>
        <w:lastRenderedPageBreak/>
        <w:t>R.</w:t>
      </w:r>
      <w:r w:rsidRPr="00E921D1">
        <w:rPr>
          <w:i/>
          <w:lang w:val="en-US"/>
        </w:rPr>
        <w:t xml:space="preserve"> c.</w:t>
      </w:r>
      <w:r w:rsidRPr="00E921D1">
        <w:rPr>
          <w:lang w:val="en-US"/>
        </w:rPr>
        <w:t xml:space="preserve"> </w:t>
      </w:r>
      <w:r w:rsidRPr="00E921D1">
        <w:rPr>
          <w:rStyle w:val="SCCAppellantForIndexChar"/>
          <w:b w:val="0"/>
          <w:lang w:val="en-US"/>
        </w:rPr>
        <w:t>Campbell</w:t>
      </w:r>
      <w:r>
        <w:rPr>
          <w:rStyle w:val="SCCAppellantForRunningHeadChar"/>
          <w:lang w:val="en-US"/>
        </w:rPr>
        <w:t xml:space="preserve">, </w:t>
      </w:r>
      <w:r>
        <w:rPr>
          <w:rStyle w:val="SCCRespondentForRunningHeadChar"/>
          <w:lang w:val="en-US"/>
        </w:rPr>
        <w:t>2011 CSC 32, [2011] 2 R.C.S. 549</w:t>
      </w:r>
    </w:p>
    <w:p w:rsidR="00F665FA" w:rsidRPr="00E2316E" w:rsidRDefault="00831587" w:rsidP="008C27CE">
      <w:pPr>
        <w:pStyle w:val="SCCLsocParty"/>
        <w:tabs>
          <w:tab w:val="right" w:pos="8280"/>
        </w:tabs>
        <w:spacing w:after="720"/>
      </w:pPr>
      <w:r w:rsidRPr="00E2316E">
        <w:t>Norman Martin Campbell</w:t>
      </w:r>
      <w:r w:rsidR="008C27CE" w:rsidRPr="00E2316E">
        <w:tab/>
      </w:r>
      <w:r w:rsidRPr="00E2316E">
        <w:rPr>
          <w:b w:val="0"/>
          <w:i/>
        </w:rPr>
        <w:t>Appelant</w:t>
      </w:r>
    </w:p>
    <w:p w:rsidR="00F665FA" w:rsidRDefault="00831587" w:rsidP="008C27CE">
      <w:pPr>
        <w:pStyle w:val="SCCLsocVersus"/>
        <w:spacing w:after="720"/>
      </w:pPr>
      <w:proofErr w:type="gramStart"/>
      <w:r>
        <w:t>c</w:t>
      </w:r>
      <w:proofErr w:type="gramEnd"/>
      <w:r>
        <w:t>.</w:t>
      </w:r>
    </w:p>
    <w:p w:rsidR="00F665FA" w:rsidRDefault="00831587" w:rsidP="008C27CE">
      <w:pPr>
        <w:pStyle w:val="SCCLsocParty"/>
        <w:tabs>
          <w:tab w:val="right" w:pos="8280"/>
        </w:tabs>
        <w:spacing w:after="720"/>
      </w:pPr>
      <w:r>
        <w:t>Sa Majesté la Reine</w:t>
      </w:r>
      <w:r w:rsidR="008C27CE">
        <w:tab/>
      </w:r>
      <w:r w:rsidRPr="008C27CE">
        <w:rPr>
          <w:b w:val="0"/>
          <w:i/>
        </w:rPr>
        <w:t>Intimée</w:t>
      </w:r>
    </w:p>
    <w:p w:rsidR="00F665FA" w:rsidRDefault="00831587" w:rsidP="008C27CE">
      <w:pPr>
        <w:pStyle w:val="SCCLsocOtherPartySeparator"/>
        <w:spacing w:after="720"/>
      </w:pPr>
      <w:proofErr w:type="gramStart"/>
      <w:r>
        <w:t>et</w:t>
      </w:r>
      <w:proofErr w:type="gramEnd"/>
    </w:p>
    <w:p w:rsidR="00F665FA" w:rsidRPr="008C27CE" w:rsidRDefault="00831587" w:rsidP="008C27CE">
      <w:pPr>
        <w:pStyle w:val="SCCLsocParty"/>
        <w:tabs>
          <w:tab w:val="right" w:pos="8280"/>
        </w:tabs>
        <w:spacing w:after="720"/>
        <w:rPr>
          <w:b w:val="0"/>
          <w:i/>
        </w:rPr>
      </w:pPr>
      <w:proofErr w:type="spellStart"/>
      <w:r>
        <w:t>Criminal</w:t>
      </w:r>
      <w:proofErr w:type="spellEnd"/>
      <w:r>
        <w:t xml:space="preserve"> </w:t>
      </w:r>
      <w:proofErr w:type="spellStart"/>
      <w:r>
        <w:t>Lawyers</w:t>
      </w:r>
      <w:proofErr w:type="spellEnd"/>
      <w:r w:rsidR="00431074">
        <w:t>’</w:t>
      </w:r>
      <w:r>
        <w:t xml:space="preserve"> Association (Ontario)</w:t>
      </w:r>
      <w:r w:rsidR="008C27CE">
        <w:tab/>
      </w:r>
      <w:r w:rsidRPr="008C27CE">
        <w:rPr>
          <w:b w:val="0"/>
          <w:i/>
        </w:rPr>
        <w:t>Intervenante</w:t>
      </w:r>
    </w:p>
    <w:p w:rsidR="00426659" w:rsidRPr="00A24E15" w:rsidRDefault="0043088E" w:rsidP="008C27CE">
      <w:pPr>
        <w:spacing w:after="720"/>
        <w:jc w:val="both"/>
        <w:rPr>
          <w:b/>
        </w:rPr>
      </w:pPr>
      <w:r w:rsidRPr="00A24E15">
        <w:rPr>
          <w:b/>
        </w:rPr>
        <w:t>Répertorié</w:t>
      </w:r>
      <w:r w:rsidR="008C27CE">
        <w:rPr>
          <w:b/>
        </w:rPr>
        <w:t> :</w:t>
      </w:r>
      <w:r w:rsidR="00C67CA5" w:rsidRPr="00A24E15">
        <w:rPr>
          <w:b/>
        </w:rPr>
        <w:t> </w:t>
      </w:r>
      <w:r w:rsidR="00431074">
        <w:rPr>
          <w:rStyle w:val="SCCRespondentForIndexChar"/>
        </w:rPr>
        <w:t>R.</w:t>
      </w:r>
      <w:r w:rsidR="00431074" w:rsidRPr="00431074">
        <w:rPr>
          <w:b/>
          <w:i/>
        </w:rPr>
        <w:t xml:space="preserve"> </w:t>
      </w:r>
      <w:r w:rsidR="00431074" w:rsidRPr="00A24E15">
        <w:rPr>
          <w:b/>
          <w:i/>
        </w:rPr>
        <w:t>c.</w:t>
      </w:r>
      <w:r w:rsidR="00431074">
        <w:rPr>
          <w:b/>
        </w:rPr>
        <w:t xml:space="preserve"> </w:t>
      </w:r>
      <w:r>
        <w:rPr>
          <w:rStyle w:val="SCCAppellantForIndexChar"/>
        </w:rPr>
        <w:t>Campbell</w:t>
      </w:r>
    </w:p>
    <w:p w:rsidR="00426659" w:rsidRPr="00A24E15" w:rsidRDefault="00C0663B" w:rsidP="008C27CE">
      <w:pPr>
        <w:pStyle w:val="SCCSystemYear"/>
        <w:spacing w:after="720"/>
        <w:jc w:val="both"/>
      </w:pPr>
      <w:r>
        <w:t>2011</w:t>
      </w:r>
      <w:r w:rsidR="00EE0FAF" w:rsidRPr="00A24E15">
        <w:t xml:space="preserve"> </w:t>
      </w:r>
      <w:r w:rsidR="00C71F58" w:rsidRPr="00A24E15">
        <w:t>C</w:t>
      </w:r>
      <w:r w:rsidR="00FA7F3A">
        <w:t>SC 32</w:t>
      </w:r>
    </w:p>
    <w:p w:rsidR="008322BD" w:rsidRPr="00A24E15" w:rsidRDefault="009B57B3" w:rsidP="008C27CE">
      <w:pPr>
        <w:spacing w:after="720"/>
        <w:jc w:val="both"/>
      </w:pPr>
      <w:r w:rsidRPr="00A24E15">
        <w:t>N</w:t>
      </w:r>
      <w:r w:rsidRPr="00A24E15">
        <w:rPr>
          <w:vertAlign w:val="superscript"/>
        </w:rPr>
        <w:t>o</w:t>
      </w:r>
      <w:r w:rsidR="0043088E" w:rsidRPr="00A24E15">
        <w:t xml:space="preserve"> du greffe</w:t>
      </w:r>
      <w:r w:rsidR="008C27CE">
        <w:t> :</w:t>
      </w:r>
      <w:r w:rsidR="00C67CA5" w:rsidRPr="00A24E15">
        <w:t> </w:t>
      </w:r>
      <w:r>
        <w:t>33916</w:t>
      </w:r>
      <w:r w:rsidRPr="00A24E15">
        <w:t>.</w:t>
      </w:r>
    </w:p>
    <w:p w:rsidR="008322BD" w:rsidRPr="00A24E15" w:rsidRDefault="00C0663B" w:rsidP="008C27CE">
      <w:pPr>
        <w:spacing w:after="720"/>
        <w:jc w:val="both"/>
      </w:pPr>
      <w:r>
        <w:t>2011</w:t>
      </w:r>
      <w:r w:rsidR="008C27CE">
        <w:t> :</w:t>
      </w:r>
      <w:r>
        <w:t xml:space="preserve"> 11 mai</w:t>
      </w:r>
      <w:r w:rsidR="009B57B3" w:rsidRPr="00A24E15">
        <w:t xml:space="preserve">; </w:t>
      </w:r>
      <w:r w:rsidR="00D32032">
        <w:t>2011</w:t>
      </w:r>
      <w:r w:rsidR="008C27CE">
        <w:t> :</w:t>
      </w:r>
      <w:r w:rsidR="00D32032">
        <w:t xml:space="preserve"> </w:t>
      </w:r>
      <w:r w:rsidR="00252501">
        <w:t>23 juin</w:t>
      </w:r>
      <w:r w:rsidR="009B57B3" w:rsidRPr="00A24E15">
        <w:t>.</w:t>
      </w:r>
    </w:p>
    <w:p w:rsidR="008322BD" w:rsidRPr="00A24E15" w:rsidRDefault="009B57B3" w:rsidP="008C27CE">
      <w:pPr>
        <w:spacing w:after="720"/>
        <w:jc w:val="both"/>
      </w:pPr>
      <w:r w:rsidRPr="00A24E15">
        <w:t>Pr</w:t>
      </w:r>
      <w:r w:rsidR="0043088E" w:rsidRPr="00A24E15">
        <w:t>é</w:t>
      </w:r>
      <w:r w:rsidRPr="00A24E15">
        <w:t>sent</w:t>
      </w:r>
      <w:r w:rsidR="008A6558" w:rsidRPr="00A24E15">
        <w:t>s</w:t>
      </w:r>
      <w:r w:rsidR="008C27CE">
        <w:t> :</w:t>
      </w:r>
      <w:r w:rsidR="00C67CA5" w:rsidRPr="00A24E15">
        <w:t> </w:t>
      </w:r>
      <w:r>
        <w:t xml:space="preserve">Les juges </w:t>
      </w:r>
      <w:proofErr w:type="spellStart"/>
      <w:r>
        <w:t>LeBel</w:t>
      </w:r>
      <w:proofErr w:type="spellEnd"/>
      <w:r>
        <w:t xml:space="preserve">, Deschamps, Fish, Abella, Charron, </w:t>
      </w:r>
      <w:proofErr w:type="spellStart"/>
      <w:r>
        <w:t>Rothstein</w:t>
      </w:r>
      <w:proofErr w:type="spellEnd"/>
      <w:r>
        <w:t xml:space="preserve"> et Cromwell</w:t>
      </w:r>
      <w:r w:rsidRPr="00A24E15">
        <w:t>.</w:t>
      </w:r>
    </w:p>
    <w:p w:rsidR="008322BD" w:rsidRDefault="00AC7437" w:rsidP="008C27CE">
      <w:pPr>
        <w:pStyle w:val="SCCLowerCourtNameLowercase"/>
        <w:spacing w:after="720" w:line="240" w:lineRule="auto"/>
      </w:pPr>
      <w:r w:rsidRPr="00A24E15">
        <w:t>e</w:t>
      </w:r>
      <w:r w:rsidR="00855307" w:rsidRPr="00A24E15">
        <w:t>n</w:t>
      </w:r>
      <w:r w:rsidR="00224FC0" w:rsidRPr="00A24E15">
        <w:t xml:space="preserve"> </w:t>
      </w:r>
      <w:r w:rsidR="00855307" w:rsidRPr="00A24E15">
        <w:t>appel</w:t>
      </w:r>
      <w:r w:rsidR="00224FC0" w:rsidRPr="00A24E15">
        <w:t xml:space="preserve"> </w:t>
      </w:r>
      <w:r w:rsidR="00855307" w:rsidRPr="00A24E15">
        <w:t>de</w:t>
      </w:r>
      <w:r w:rsidR="0043088E" w:rsidRPr="00A24E15">
        <w:t xml:space="preserve"> </w:t>
      </w:r>
      <w:r w:rsidR="00855307" w:rsidRPr="00A24E15">
        <w:t>la</w:t>
      </w:r>
      <w:r w:rsidR="00224FC0" w:rsidRPr="00A24E15">
        <w:t xml:space="preserve"> </w:t>
      </w:r>
      <w:r w:rsidR="009B57B3">
        <w:t>cour d’appel de l’</w:t>
      </w:r>
      <w:proofErr w:type="spellStart"/>
      <w:r w:rsidR="009B57B3">
        <w:t>ontario</w:t>
      </w:r>
      <w:proofErr w:type="spellEnd"/>
    </w:p>
    <w:p w:rsidR="009B5A4E" w:rsidRPr="00C8477A" w:rsidRDefault="008C27CE" w:rsidP="00921D37">
      <w:pPr>
        <w:pStyle w:val="SCCNormalDoubleSpacing"/>
        <w:spacing w:after="480"/>
        <w:rPr>
          <w:i/>
        </w:rPr>
      </w:pPr>
      <w:r>
        <w:rPr>
          <w:i/>
        </w:rPr>
        <w:lastRenderedPageBreak/>
        <w:tab/>
      </w:r>
      <w:r w:rsidR="00333FB8" w:rsidRPr="00FB3FD6">
        <w:rPr>
          <w:i/>
        </w:rPr>
        <w:t>Droit constitutionnel</w:t>
      </w:r>
      <w:r w:rsidR="009B5A4E" w:rsidRPr="00FB3FD6">
        <w:rPr>
          <w:i/>
        </w:rPr>
        <w:t xml:space="preserve"> ― Charte </w:t>
      </w:r>
      <w:r w:rsidR="00333FB8" w:rsidRPr="00FB3FD6">
        <w:rPr>
          <w:i/>
        </w:rPr>
        <w:t>des droits</w:t>
      </w:r>
      <w:r w:rsidR="009B5A4E" w:rsidRPr="00FB3FD6">
        <w:rPr>
          <w:i/>
        </w:rPr>
        <w:t xml:space="preserve"> ― </w:t>
      </w:r>
      <w:r w:rsidR="00333FB8" w:rsidRPr="00FB3FD6">
        <w:rPr>
          <w:i/>
        </w:rPr>
        <w:t>Fouilles</w:t>
      </w:r>
      <w:r w:rsidR="00CC1256">
        <w:rPr>
          <w:i/>
        </w:rPr>
        <w:t>,</w:t>
      </w:r>
      <w:r w:rsidR="00333FB8" w:rsidRPr="00FB3FD6">
        <w:rPr>
          <w:i/>
        </w:rPr>
        <w:t xml:space="preserve"> perquisitions</w:t>
      </w:r>
      <w:r w:rsidR="00CC1256">
        <w:rPr>
          <w:i/>
        </w:rPr>
        <w:t xml:space="preserve"> et saisies</w:t>
      </w:r>
      <w:r w:rsidR="009B5A4E" w:rsidRPr="00FB3FD6">
        <w:rPr>
          <w:i/>
        </w:rPr>
        <w:t xml:space="preserve"> ― Validit</w:t>
      </w:r>
      <w:r w:rsidR="00333FB8" w:rsidRPr="00FB3FD6">
        <w:rPr>
          <w:i/>
        </w:rPr>
        <w:t>é d’un mandat de perquisition</w:t>
      </w:r>
      <w:r w:rsidR="009B5A4E" w:rsidRPr="00FB3FD6">
        <w:rPr>
          <w:i/>
        </w:rPr>
        <w:t xml:space="preserve"> ― </w:t>
      </w:r>
      <w:r w:rsidR="004973FA">
        <w:rPr>
          <w:i/>
        </w:rPr>
        <w:t>Obtention par la</w:t>
      </w:r>
      <w:r w:rsidR="00FB3FD6" w:rsidRPr="00FB3FD6">
        <w:rPr>
          <w:i/>
        </w:rPr>
        <w:t xml:space="preserve"> p</w:t>
      </w:r>
      <w:r w:rsidR="009B5A4E" w:rsidRPr="00FB3FD6">
        <w:rPr>
          <w:i/>
        </w:rPr>
        <w:t>olice</w:t>
      </w:r>
      <w:r w:rsidR="004973FA">
        <w:rPr>
          <w:i/>
        </w:rPr>
        <w:t xml:space="preserve"> d’un</w:t>
      </w:r>
      <w:r w:rsidR="00FB3FD6" w:rsidRPr="00FB3FD6">
        <w:rPr>
          <w:i/>
        </w:rPr>
        <w:t xml:space="preserve"> </w:t>
      </w:r>
      <w:r w:rsidR="00FB3FD6" w:rsidRPr="00FB3FD6">
        <w:rPr>
          <w:i/>
          <w:szCs w:val="24"/>
        </w:rPr>
        <w:t>mandat de perquisition relativement à une maison en rangée de quatre chambres à coucher convertie en maison de chambres</w:t>
      </w:r>
      <w:r w:rsidR="009B5A4E" w:rsidRPr="00FB3FD6">
        <w:rPr>
          <w:i/>
        </w:rPr>
        <w:t xml:space="preserve"> ― </w:t>
      </w:r>
      <w:r w:rsidR="00FB3FD6" w:rsidRPr="00FB3FD6">
        <w:rPr>
          <w:i/>
        </w:rPr>
        <w:t>L’a</w:t>
      </w:r>
      <w:r w:rsidR="009B5A4E" w:rsidRPr="00FB3FD6">
        <w:rPr>
          <w:i/>
        </w:rPr>
        <w:t>ccus</w:t>
      </w:r>
      <w:r w:rsidR="00FB3FD6" w:rsidRPr="00FB3FD6">
        <w:rPr>
          <w:i/>
        </w:rPr>
        <w:t>é</w:t>
      </w:r>
      <w:r w:rsidR="009B5A4E" w:rsidRPr="00FB3FD6">
        <w:rPr>
          <w:i/>
        </w:rPr>
        <w:t xml:space="preserve"> </w:t>
      </w:r>
      <w:r w:rsidR="00FB3FD6" w:rsidRPr="00FB3FD6">
        <w:rPr>
          <w:i/>
        </w:rPr>
        <w:t xml:space="preserve">y louait une chambre </w:t>
      </w:r>
      <w:r w:rsidR="009B5A4E" w:rsidRPr="00FB3FD6">
        <w:rPr>
          <w:i/>
        </w:rPr>
        <w:t xml:space="preserve">― </w:t>
      </w:r>
      <w:r w:rsidR="00FB3FD6" w:rsidRPr="00FB3FD6">
        <w:rPr>
          <w:i/>
        </w:rPr>
        <w:t>L’a</w:t>
      </w:r>
      <w:r w:rsidR="009B5A4E" w:rsidRPr="00FB3FD6">
        <w:rPr>
          <w:i/>
        </w:rPr>
        <w:t>ccus</w:t>
      </w:r>
      <w:r w:rsidR="00FB3FD6" w:rsidRPr="00FB3FD6">
        <w:rPr>
          <w:i/>
        </w:rPr>
        <w:t xml:space="preserve">é </w:t>
      </w:r>
      <w:r w:rsidR="004973FA">
        <w:rPr>
          <w:i/>
        </w:rPr>
        <w:t xml:space="preserve">a été inculpé </w:t>
      </w:r>
      <w:r w:rsidR="00FB3FD6" w:rsidRPr="00FB3FD6">
        <w:rPr>
          <w:i/>
        </w:rPr>
        <w:t>de</w:t>
      </w:r>
      <w:r w:rsidR="00FB3FD6" w:rsidRPr="00FB3FD6">
        <w:rPr>
          <w:i/>
          <w:szCs w:val="24"/>
        </w:rPr>
        <w:t xml:space="preserve"> possession d’un fusil de chasse à canon tronqué et de munitions alors qu’il était sous le coup d’ordonnance</w:t>
      </w:r>
      <w:r w:rsidR="00454603">
        <w:rPr>
          <w:i/>
          <w:szCs w:val="24"/>
        </w:rPr>
        <w:t>s</w:t>
      </w:r>
      <w:r w:rsidR="00FB3FD6" w:rsidRPr="00FB3FD6">
        <w:rPr>
          <w:i/>
          <w:szCs w:val="24"/>
        </w:rPr>
        <w:t xml:space="preserve"> d’interdiction d’avoir des armes en sa possession et d’une ordonnance de probation assortie de conditions, dont celle de ne pas avoir d’armes en sa possession</w:t>
      </w:r>
      <w:r w:rsidR="009B5A4E" w:rsidRPr="00FB3FD6">
        <w:rPr>
          <w:i/>
        </w:rPr>
        <w:t xml:space="preserve"> ― </w:t>
      </w:r>
      <w:r w:rsidR="00FB3FD6" w:rsidRPr="00FB3FD6">
        <w:rPr>
          <w:i/>
        </w:rPr>
        <w:t>Y</w:t>
      </w:r>
      <w:r w:rsidR="00FB3FD6" w:rsidRPr="00FB3FD6">
        <w:rPr>
          <w:i/>
          <w:szCs w:val="24"/>
        </w:rPr>
        <w:t xml:space="preserve"> </w:t>
      </w:r>
      <w:proofErr w:type="spellStart"/>
      <w:r w:rsidR="00FB3FD6" w:rsidRPr="00FB3FD6">
        <w:rPr>
          <w:i/>
          <w:szCs w:val="24"/>
        </w:rPr>
        <w:t>avait</w:t>
      </w:r>
      <w:r>
        <w:rPr>
          <w:i/>
          <w:szCs w:val="24"/>
        </w:rPr>
        <w:noBreakHyphen/>
      </w:r>
      <w:r w:rsidR="00FB3FD6" w:rsidRPr="00FB3FD6">
        <w:rPr>
          <w:i/>
          <w:szCs w:val="24"/>
        </w:rPr>
        <w:t>il</w:t>
      </w:r>
      <w:proofErr w:type="spellEnd"/>
      <w:r w:rsidR="00FB3FD6" w:rsidRPr="00FB3FD6">
        <w:rPr>
          <w:i/>
          <w:szCs w:val="24"/>
        </w:rPr>
        <w:t xml:space="preserve"> suffisamment de motifs pour permettre au juge de paix de délivrer le mandat de perquisition?</w:t>
      </w:r>
      <w:r w:rsidR="00FB3FD6" w:rsidRPr="00FB3FD6">
        <w:rPr>
          <w:i/>
        </w:rPr>
        <w:t xml:space="preserve"> </w:t>
      </w:r>
      <w:r w:rsidR="009B5A4E" w:rsidRPr="00FB3FD6">
        <w:rPr>
          <w:i/>
        </w:rPr>
        <w:t xml:space="preserve">― </w:t>
      </w:r>
      <w:r w:rsidR="00FB3FD6">
        <w:rPr>
          <w:i/>
        </w:rPr>
        <w:t xml:space="preserve">La fouille de la chambre de l’accusé </w:t>
      </w:r>
      <w:proofErr w:type="spellStart"/>
      <w:r w:rsidR="00FB3FD6">
        <w:rPr>
          <w:i/>
        </w:rPr>
        <w:t>portait</w:t>
      </w:r>
      <w:r>
        <w:rPr>
          <w:i/>
        </w:rPr>
        <w:noBreakHyphen/>
      </w:r>
      <w:r w:rsidR="00FB3FD6">
        <w:rPr>
          <w:i/>
        </w:rPr>
        <w:t>elle</w:t>
      </w:r>
      <w:proofErr w:type="spellEnd"/>
      <w:r w:rsidR="00FB3FD6">
        <w:rPr>
          <w:i/>
        </w:rPr>
        <w:t xml:space="preserve"> atteinte aux droits que lui garantit l’</w:t>
      </w:r>
      <w:r>
        <w:rPr>
          <w:i/>
        </w:rPr>
        <w:t>art. </w:t>
      </w:r>
      <w:r w:rsidR="00FB3FD6">
        <w:rPr>
          <w:i/>
        </w:rPr>
        <w:t>8 de la Charte canadienne des droits et libertés?</w:t>
      </w:r>
      <w:r w:rsidR="009B5A4E" w:rsidRPr="00FB3FD6">
        <w:rPr>
          <w:i/>
        </w:rPr>
        <w:t xml:space="preserve"> </w:t>
      </w:r>
      <w:r w:rsidR="009B5A4E" w:rsidRPr="00C8477A">
        <w:rPr>
          <w:i/>
        </w:rPr>
        <w:t xml:space="preserve">― </w:t>
      </w:r>
      <w:r w:rsidR="00FB3FD6" w:rsidRPr="00C8477A">
        <w:rPr>
          <w:i/>
        </w:rPr>
        <w:t>Dans l’affirmative</w:t>
      </w:r>
      <w:r w:rsidR="009B5A4E" w:rsidRPr="00C8477A">
        <w:rPr>
          <w:i/>
        </w:rPr>
        <w:t xml:space="preserve">, </w:t>
      </w:r>
      <w:r w:rsidR="00FB3FD6" w:rsidRPr="00C8477A">
        <w:rPr>
          <w:i/>
        </w:rPr>
        <w:t xml:space="preserve">la preuve </w:t>
      </w:r>
      <w:proofErr w:type="spellStart"/>
      <w:r w:rsidR="00FB3FD6" w:rsidRPr="00C8477A">
        <w:rPr>
          <w:i/>
        </w:rPr>
        <w:t>devait</w:t>
      </w:r>
      <w:r>
        <w:rPr>
          <w:i/>
        </w:rPr>
        <w:noBreakHyphen/>
      </w:r>
      <w:r w:rsidR="00FB3FD6" w:rsidRPr="00C8477A">
        <w:rPr>
          <w:i/>
        </w:rPr>
        <w:t>elle</w:t>
      </w:r>
      <w:proofErr w:type="spellEnd"/>
      <w:r w:rsidR="00FB3FD6" w:rsidRPr="00C8477A">
        <w:rPr>
          <w:i/>
        </w:rPr>
        <w:t xml:space="preserve"> être </w:t>
      </w:r>
      <w:r w:rsidR="00AB0E6F">
        <w:rPr>
          <w:i/>
          <w:szCs w:val="24"/>
        </w:rPr>
        <w:t>écartée en application de l’art.</w:t>
      </w:r>
      <w:r>
        <w:rPr>
          <w:i/>
          <w:szCs w:val="24"/>
        </w:rPr>
        <w:t> </w:t>
      </w:r>
      <w:r w:rsidR="00FB3FD6" w:rsidRPr="00C8477A">
        <w:rPr>
          <w:i/>
          <w:szCs w:val="24"/>
        </w:rPr>
        <w:t>24(2) de la Charte?</w:t>
      </w:r>
    </w:p>
    <w:p w:rsidR="009B5A4E" w:rsidRPr="00C8477A" w:rsidRDefault="008C27CE" w:rsidP="00921D37">
      <w:pPr>
        <w:pStyle w:val="SCCNormalDoubleSpacing"/>
        <w:spacing w:after="480"/>
        <w:rPr>
          <w:i/>
        </w:rPr>
      </w:pPr>
      <w:r>
        <w:rPr>
          <w:i/>
        </w:rPr>
        <w:tab/>
      </w:r>
      <w:r w:rsidR="00333FB8" w:rsidRPr="00C8477A">
        <w:rPr>
          <w:i/>
        </w:rPr>
        <w:t>Droit crimin</w:t>
      </w:r>
      <w:r w:rsidR="00C8477A">
        <w:rPr>
          <w:i/>
        </w:rPr>
        <w:t>e</w:t>
      </w:r>
      <w:r w:rsidR="00333FB8" w:rsidRPr="00C8477A">
        <w:rPr>
          <w:i/>
        </w:rPr>
        <w:t xml:space="preserve">l </w:t>
      </w:r>
      <w:r w:rsidR="009B5A4E" w:rsidRPr="00C8477A">
        <w:rPr>
          <w:i/>
        </w:rPr>
        <w:t xml:space="preserve">― </w:t>
      </w:r>
      <w:r w:rsidR="00FB3FD6" w:rsidRPr="00C8477A">
        <w:rPr>
          <w:i/>
        </w:rPr>
        <w:t>Mandat de perquisition</w:t>
      </w:r>
      <w:r w:rsidR="009B5A4E" w:rsidRPr="00C8477A">
        <w:rPr>
          <w:i/>
        </w:rPr>
        <w:t xml:space="preserve"> ― Validit</w:t>
      </w:r>
      <w:r w:rsidR="00FB3FD6" w:rsidRPr="00C8477A">
        <w:rPr>
          <w:i/>
        </w:rPr>
        <w:t>é</w:t>
      </w:r>
      <w:r w:rsidR="009B5A4E" w:rsidRPr="00C8477A">
        <w:rPr>
          <w:i/>
        </w:rPr>
        <w:t xml:space="preserve"> ― </w:t>
      </w:r>
      <w:r w:rsidR="004973FA">
        <w:rPr>
          <w:i/>
        </w:rPr>
        <w:t>Obtention par la police d’</w:t>
      </w:r>
      <w:r w:rsidR="00C8477A" w:rsidRPr="00C8477A">
        <w:rPr>
          <w:i/>
        </w:rPr>
        <w:t xml:space="preserve">un </w:t>
      </w:r>
      <w:r w:rsidR="00C8477A" w:rsidRPr="00C8477A">
        <w:rPr>
          <w:i/>
          <w:szCs w:val="24"/>
        </w:rPr>
        <w:t>mandat de perquisition relativement à une maison en rangée de quatre chambres à coucher convertie en maison de chambres</w:t>
      </w:r>
      <w:r w:rsidR="009B5A4E" w:rsidRPr="00C8477A">
        <w:rPr>
          <w:i/>
        </w:rPr>
        <w:t xml:space="preserve"> ― </w:t>
      </w:r>
      <w:r w:rsidR="00C8477A" w:rsidRPr="00FB3FD6">
        <w:rPr>
          <w:i/>
        </w:rPr>
        <w:t xml:space="preserve">L’accusé y louait une chambre </w:t>
      </w:r>
      <w:r w:rsidR="009B5A4E" w:rsidRPr="00C8477A">
        <w:rPr>
          <w:i/>
        </w:rPr>
        <w:t xml:space="preserve">― </w:t>
      </w:r>
      <w:r w:rsidR="00C8477A" w:rsidRPr="00FB3FD6">
        <w:rPr>
          <w:i/>
        </w:rPr>
        <w:t xml:space="preserve">L’accusé </w:t>
      </w:r>
      <w:r w:rsidR="004973FA">
        <w:rPr>
          <w:i/>
        </w:rPr>
        <w:t>a été</w:t>
      </w:r>
      <w:r w:rsidR="00C8477A" w:rsidRPr="00FB3FD6">
        <w:rPr>
          <w:i/>
        </w:rPr>
        <w:t xml:space="preserve"> inculpé de</w:t>
      </w:r>
      <w:r w:rsidR="00C8477A" w:rsidRPr="00FB3FD6">
        <w:rPr>
          <w:i/>
          <w:szCs w:val="24"/>
        </w:rPr>
        <w:t xml:space="preserve"> possession d’un fusil de chasse à canon tronqué et de munitions alors qu’il était sous le coup d’ordonnance</w:t>
      </w:r>
      <w:r w:rsidR="00454603">
        <w:rPr>
          <w:i/>
          <w:szCs w:val="24"/>
        </w:rPr>
        <w:t>s</w:t>
      </w:r>
      <w:r w:rsidR="00C8477A" w:rsidRPr="00FB3FD6">
        <w:rPr>
          <w:i/>
          <w:szCs w:val="24"/>
        </w:rPr>
        <w:t xml:space="preserve"> d’interdiction d’avoir des armes en sa possession et d’une ordonnance de probation assortie de conditions, dont celle de ne pas avoir d’armes en sa possession</w:t>
      </w:r>
      <w:r w:rsidR="009B5A4E" w:rsidRPr="00C8477A">
        <w:rPr>
          <w:i/>
        </w:rPr>
        <w:t xml:space="preserve"> ― </w:t>
      </w:r>
      <w:r w:rsidR="00C8477A" w:rsidRPr="00FB3FD6">
        <w:rPr>
          <w:i/>
        </w:rPr>
        <w:t>Y</w:t>
      </w:r>
      <w:r w:rsidR="00C8477A" w:rsidRPr="00FB3FD6">
        <w:rPr>
          <w:i/>
          <w:szCs w:val="24"/>
        </w:rPr>
        <w:t xml:space="preserve"> </w:t>
      </w:r>
      <w:proofErr w:type="spellStart"/>
      <w:r w:rsidR="00C8477A" w:rsidRPr="00FB3FD6">
        <w:rPr>
          <w:i/>
          <w:szCs w:val="24"/>
        </w:rPr>
        <w:t>avait</w:t>
      </w:r>
      <w:r>
        <w:rPr>
          <w:i/>
          <w:szCs w:val="24"/>
        </w:rPr>
        <w:noBreakHyphen/>
      </w:r>
      <w:r w:rsidR="00C8477A" w:rsidRPr="00FB3FD6">
        <w:rPr>
          <w:i/>
          <w:szCs w:val="24"/>
        </w:rPr>
        <w:t>il</w:t>
      </w:r>
      <w:proofErr w:type="spellEnd"/>
      <w:r w:rsidR="00C8477A" w:rsidRPr="00FB3FD6">
        <w:rPr>
          <w:i/>
          <w:szCs w:val="24"/>
        </w:rPr>
        <w:t xml:space="preserve"> suffisamment de motifs pour permettre au juge de paix de délivrer le mandat de perquisition</w:t>
      </w:r>
      <w:r w:rsidR="00C8477A">
        <w:rPr>
          <w:i/>
          <w:szCs w:val="24"/>
        </w:rPr>
        <w:t>?</w:t>
      </w:r>
    </w:p>
    <w:p w:rsidR="009B5A4E" w:rsidRPr="003A15EE" w:rsidRDefault="008C27CE" w:rsidP="00921D37">
      <w:pPr>
        <w:pStyle w:val="SCCNormalDoubleSpacing"/>
        <w:spacing w:after="480"/>
      </w:pPr>
      <w:r>
        <w:rPr>
          <w:szCs w:val="24"/>
        </w:rPr>
        <w:lastRenderedPageBreak/>
        <w:tab/>
      </w:r>
      <w:r w:rsidR="009B5A4E">
        <w:rPr>
          <w:szCs w:val="24"/>
        </w:rPr>
        <w:t>Dans le cadre d’</w:t>
      </w:r>
      <w:r w:rsidR="009B5A4E" w:rsidRPr="00045EF6">
        <w:rPr>
          <w:szCs w:val="24"/>
        </w:rPr>
        <w:t xml:space="preserve">une enquête relative à un meurtre, la police a obtenu </w:t>
      </w:r>
      <w:r w:rsidR="009B5A4E">
        <w:rPr>
          <w:szCs w:val="24"/>
        </w:rPr>
        <w:t xml:space="preserve">et exécuté </w:t>
      </w:r>
      <w:r w:rsidR="009B5A4E" w:rsidRPr="00045EF6">
        <w:rPr>
          <w:szCs w:val="24"/>
        </w:rPr>
        <w:t>un mandat de perquisition relativement à une maison en rangée de quatre chambres à coucher</w:t>
      </w:r>
      <w:r w:rsidR="009B5A4E">
        <w:rPr>
          <w:szCs w:val="24"/>
        </w:rPr>
        <w:t xml:space="preserve"> convertie en</w:t>
      </w:r>
      <w:r w:rsidR="009B5A4E" w:rsidRPr="00045EF6">
        <w:rPr>
          <w:szCs w:val="24"/>
        </w:rPr>
        <w:t xml:space="preserve"> maison de chambres.  Au cours de la perquisition, la police a trouvé un fusil de chasse </w:t>
      </w:r>
      <w:r w:rsidR="009B5A4E" w:rsidRPr="00AA132B">
        <w:rPr>
          <w:szCs w:val="24"/>
        </w:rPr>
        <w:t>à canon tronqué</w:t>
      </w:r>
      <w:r w:rsidR="009B5A4E">
        <w:rPr>
          <w:szCs w:val="24"/>
        </w:rPr>
        <w:t xml:space="preserve"> </w:t>
      </w:r>
      <w:r w:rsidR="009B5A4E" w:rsidRPr="00045EF6">
        <w:rPr>
          <w:szCs w:val="24"/>
        </w:rPr>
        <w:t>et des munitions dans la chambre louée par</w:t>
      </w:r>
      <w:r w:rsidR="009B5A4E" w:rsidRPr="009B5A4E">
        <w:t xml:space="preserve"> </w:t>
      </w:r>
      <w:r w:rsidR="009B5A4E">
        <w:t xml:space="preserve">l’accusé.  L’accusé </w:t>
      </w:r>
      <w:r w:rsidR="004973FA">
        <w:t>a été</w:t>
      </w:r>
      <w:r w:rsidR="009B5A4E">
        <w:t xml:space="preserve"> inculpé de</w:t>
      </w:r>
      <w:r w:rsidR="009B5A4E" w:rsidRPr="00045EF6">
        <w:rPr>
          <w:szCs w:val="24"/>
        </w:rPr>
        <w:t xml:space="preserve"> possession d’un fusil de chasse </w:t>
      </w:r>
      <w:r w:rsidR="009B5A4E">
        <w:rPr>
          <w:szCs w:val="24"/>
        </w:rPr>
        <w:t xml:space="preserve">à canon tronqué </w:t>
      </w:r>
      <w:r w:rsidR="009B5A4E" w:rsidRPr="00045EF6">
        <w:rPr>
          <w:szCs w:val="24"/>
        </w:rPr>
        <w:t>et de munitions alors qu’il était sous le coup d’ordonnance</w:t>
      </w:r>
      <w:r w:rsidR="00454603">
        <w:rPr>
          <w:szCs w:val="24"/>
        </w:rPr>
        <w:t>s</w:t>
      </w:r>
      <w:r w:rsidR="009B5A4E" w:rsidRPr="00045EF6">
        <w:rPr>
          <w:szCs w:val="24"/>
        </w:rPr>
        <w:t xml:space="preserve"> d’interdiction d</w:t>
      </w:r>
      <w:r w:rsidR="009B5A4E">
        <w:rPr>
          <w:szCs w:val="24"/>
        </w:rPr>
        <w:t xml:space="preserve">’avoir </w:t>
      </w:r>
      <w:r w:rsidR="009B5A4E" w:rsidRPr="00045EF6">
        <w:rPr>
          <w:szCs w:val="24"/>
        </w:rPr>
        <w:t xml:space="preserve">des armes </w:t>
      </w:r>
      <w:r w:rsidR="009B5A4E">
        <w:rPr>
          <w:szCs w:val="24"/>
        </w:rPr>
        <w:t xml:space="preserve">en sa possession </w:t>
      </w:r>
      <w:r w:rsidR="009B5A4E" w:rsidRPr="00045EF6">
        <w:rPr>
          <w:szCs w:val="24"/>
        </w:rPr>
        <w:t>et d’une ordonnance de probation assortie de conditions, dont celle de ne pas avoir d’armes en sa possession</w:t>
      </w:r>
      <w:r w:rsidR="009B5A4E" w:rsidRPr="009B5A4E">
        <w:t>.</w:t>
      </w:r>
      <w:r w:rsidR="003A15EE">
        <w:t xml:space="preserve">  </w:t>
      </w:r>
      <w:r w:rsidR="003A15EE" w:rsidRPr="00045EF6">
        <w:rPr>
          <w:szCs w:val="24"/>
        </w:rPr>
        <w:t>Au procès, la perquisition et la saisie ont été jugées inconstitutionnelles, la preuve a été écartée</w:t>
      </w:r>
      <w:r w:rsidR="003A15EE">
        <w:rPr>
          <w:szCs w:val="24"/>
        </w:rPr>
        <w:t>,</w:t>
      </w:r>
      <w:r w:rsidR="003A15EE" w:rsidRPr="00045EF6">
        <w:rPr>
          <w:szCs w:val="24"/>
        </w:rPr>
        <w:t xml:space="preserve"> et </w:t>
      </w:r>
      <w:r w:rsidR="003A15EE">
        <w:rPr>
          <w:szCs w:val="24"/>
        </w:rPr>
        <w:t>l’accusé</w:t>
      </w:r>
      <w:r w:rsidR="003A15EE" w:rsidRPr="00045EF6">
        <w:rPr>
          <w:szCs w:val="24"/>
        </w:rPr>
        <w:t xml:space="preserve"> a été acquitté</w:t>
      </w:r>
      <w:r w:rsidR="009B5A4E" w:rsidRPr="003A15EE">
        <w:t xml:space="preserve">.  </w:t>
      </w:r>
      <w:r w:rsidR="003A15EE" w:rsidRPr="003A15EE">
        <w:t xml:space="preserve">Les juges majoritaires de la Cour d’appel ont accueilli l’appel </w:t>
      </w:r>
      <w:r w:rsidR="003A15EE" w:rsidRPr="00045EF6">
        <w:rPr>
          <w:szCs w:val="24"/>
        </w:rPr>
        <w:t>interjeté par le ministère public,</w:t>
      </w:r>
      <w:r w:rsidR="003A15EE">
        <w:rPr>
          <w:szCs w:val="24"/>
        </w:rPr>
        <w:t xml:space="preserve"> </w:t>
      </w:r>
      <w:r w:rsidR="003A15EE" w:rsidRPr="00045EF6">
        <w:rPr>
          <w:szCs w:val="24"/>
        </w:rPr>
        <w:t xml:space="preserve">annulé les acquittements et </w:t>
      </w:r>
      <w:r w:rsidR="003A15EE" w:rsidRPr="003E052A">
        <w:rPr>
          <w:szCs w:val="24"/>
        </w:rPr>
        <w:t>renvoy</w:t>
      </w:r>
      <w:r w:rsidR="003A15EE">
        <w:rPr>
          <w:szCs w:val="24"/>
        </w:rPr>
        <w:t xml:space="preserve">é </w:t>
      </w:r>
      <w:r w:rsidR="003A15EE" w:rsidRPr="00B60BC7">
        <w:rPr>
          <w:szCs w:val="24"/>
        </w:rPr>
        <w:t>les accusations au tribunal de première instance</w:t>
      </w:r>
      <w:r w:rsidR="009B5A4E" w:rsidRPr="003A15EE">
        <w:t>.</w:t>
      </w:r>
      <w:r w:rsidR="003A15EE">
        <w:t xml:space="preserve">  L’accusé </w:t>
      </w:r>
      <w:r w:rsidR="003A15EE" w:rsidRPr="00921D37">
        <w:t>se</w:t>
      </w:r>
      <w:r w:rsidR="003A15EE" w:rsidRPr="00045EF6">
        <w:rPr>
          <w:szCs w:val="24"/>
        </w:rPr>
        <w:t xml:space="preserve"> pourvoit de plein droit devant la Cour</w:t>
      </w:r>
      <w:r w:rsidR="009B5A4E" w:rsidRPr="003A15EE">
        <w:t xml:space="preserve">.  </w:t>
      </w:r>
    </w:p>
    <w:p w:rsidR="009B5A4E" w:rsidRPr="003A15EE" w:rsidRDefault="008C27CE" w:rsidP="00921D37">
      <w:pPr>
        <w:pStyle w:val="SCCNormalDoubleSpacing"/>
        <w:spacing w:after="480"/>
      </w:pPr>
      <w:r>
        <w:rPr>
          <w:i/>
        </w:rPr>
        <w:tab/>
      </w:r>
      <w:r w:rsidR="003A15EE" w:rsidRPr="003A15EE">
        <w:rPr>
          <w:i/>
        </w:rPr>
        <w:t>Arrêt</w:t>
      </w:r>
      <w:r>
        <w:rPr>
          <w:i/>
        </w:rPr>
        <w:t> </w:t>
      </w:r>
      <w:r w:rsidRPr="006D7669">
        <w:t>:</w:t>
      </w:r>
      <w:r w:rsidR="009B5A4E" w:rsidRPr="003A15EE">
        <w:t xml:space="preserve"> </w:t>
      </w:r>
      <w:r w:rsidR="003A15EE" w:rsidRPr="003A15EE">
        <w:t>Le pourvoi est rejeté</w:t>
      </w:r>
      <w:r w:rsidR="009B5A4E" w:rsidRPr="003A15EE">
        <w:t>.</w:t>
      </w:r>
    </w:p>
    <w:p w:rsidR="009B5A4E" w:rsidRPr="003A15EE" w:rsidRDefault="008C27CE" w:rsidP="00921D37">
      <w:pPr>
        <w:pStyle w:val="SCCNormalDoubleSpacing"/>
        <w:spacing w:after="480"/>
      </w:pPr>
      <w:r>
        <w:rPr>
          <w:szCs w:val="24"/>
        </w:rPr>
        <w:tab/>
      </w:r>
      <w:r w:rsidR="003A15EE">
        <w:rPr>
          <w:szCs w:val="24"/>
        </w:rPr>
        <w:t>I</w:t>
      </w:r>
      <w:r w:rsidR="003A15EE" w:rsidRPr="00045EF6">
        <w:rPr>
          <w:szCs w:val="24"/>
        </w:rPr>
        <w:t xml:space="preserve">l y avait </w:t>
      </w:r>
      <w:r w:rsidR="003A15EE" w:rsidRPr="002E79FE">
        <w:rPr>
          <w:szCs w:val="24"/>
        </w:rPr>
        <w:t>suffisamment de</w:t>
      </w:r>
      <w:r w:rsidR="003A15EE" w:rsidRPr="00045EF6">
        <w:rPr>
          <w:szCs w:val="24"/>
        </w:rPr>
        <w:t xml:space="preserve"> motifs pour </w:t>
      </w:r>
      <w:r w:rsidR="003A15EE">
        <w:rPr>
          <w:szCs w:val="24"/>
        </w:rPr>
        <w:t>permettre au</w:t>
      </w:r>
      <w:r w:rsidR="003A15EE" w:rsidRPr="00045EF6">
        <w:rPr>
          <w:szCs w:val="24"/>
        </w:rPr>
        <w:t xml:space="preserve"> juge de paix </w:t>
      </w:r>
      <w:r w:rsidR="003A15EE">
        <w:rPr>
          <w:szCs w:val="24"/>
        </w:rPr>
        <w:t xml:space="preserve">de </w:t>
      </w:r>
      <w:r w:rsidR="003A15EE" w:rsidRPr="00045EF6">
        <w:rPr>
          <w:szCs w:val="24"/>
        </w:rPr>
        <w:t>délivre</w:t>
      </w:r>
      <w:r w:rsidR="003A15EE">
        <w:rPr>
          <w:szCs w:val="24"/>
        </w:rPr>
        <w:t>r</w:t>
      </w:r>
      <w:r w:rsidR="003A15EE" w:rsidRPr="00045EF6">
        <w:rPr>
          <w:szCs w:val="24"/>
        </w:rPr>
        <w:t xml:space="preserve"> le mandat de perquisition</w:t>
      </w:r>
      <w:r w:rsidR="009B5A4E" w:rsidRPr="003A15EE">
        <w:t>.</w:t>
      </w:r>
      <w:r w:rsidR="003A15EE">
        <w:t xml:space="preserve">  </w:t>
      </w:r>
      <w:r w:rsidR="003A15EE" w:rsidRPr="003A15EE">
        <w:t xml:space="preserve">Les juges </w:t>
      </w:r>
      <w:r w:rsidR="009B5A4E" w:rsidRPr="003A15EE">
        <w:t>majorit</w:t>
      </w:r>
      <w:r w:rsidR="003A15EE" w:rsidRPr="003A15EE">
        <w:t>aires de la</w:t>
      </w:r>
      <w:r w:rsidR="009B5A4E" w:rsidRPr="003A15EE">
        <w:t xml:space="preserve"> Cour </w:t>
      </w:r>
      <w:r w:rsidR="003A15EE" w:rsidRPr="003A15EE">
        <w:t>d’a</w:t>
      </w:r>
      <w:r w:rsidR="009B5A4E" w:rsidRPr="003A15EE">
        <w:t xml:space="preserve">ppel </w:t>
      </w:r>
      <w:r w:rsidR="003A15EE">
        <w:t>ont</w:t>
      </w:r>
      <w:r w:rsidR="003A15EE" w:rsidRPr="00045EF6">
        <w:rPr>
          <w:szCs w:val="24"/>
        </w:rPr>
        <w:t xml:space="preserve"> conclu à bon droit que la </w:t>
      </w:r>
      <w:r w:rsidR="003A15EE">
        <w:rPr>
          <w:szCs w:val="24"/>
        </w:rPr>
        <w:t xml:space="preserve">perquisition </w:t>
      </w:r>
      <w:r w:rsidR="003A15EE" w:rsidRPr="00045EF6">
        <w:rPr>
          <w:szCs w:val="24"/>
        </w:rPr>
        <w:t>et la saisie étaient constitutionnelles et que la juge de première instance a</w:t>
      </w:r>
      <w:r w:rsidR="003A15EE">
        <w:rPr>
          <w:szCs w:val="24"/>
        </w:rPr>
        <w:t>vait</w:t>
      </w:r>
      <w:r w:rsidR="003A15EE" w:rsidRPr="00045EF6">
        <w:rPr>
          <w:szCs w:val="24"/>
        </w:rPr>
        <w:t xml:space="preserve"> commis une erreur en écartant la preuve constituée par le fusil de chasse et les munitions</w:t>
      </w:r>
      <w:r w:rsidR="009B5A4E" w:rsidRPr="003A15EE">
        <w:t>.</w:t>
      </w:r>
      <w:r w:rsidR="003A15EE">
        <w:t xml:space="preserve">  Ils ont</w:t>
      </w:r>
      <w:r w:rsidR="003A15EE">
        <w:rPr>
          <w:szCs w:val="24"/>
        </w:rPr>
        <w:t xml:space="preserve"> correctement suivi la démarche qu’il convient d’appliquer</w:t>
      </w:r>
      <w:r w:rsidR="003A15EE" w:rsidRPr="003E4B76">
        <w:rPr>
          <w:szCs w:val="24"/>
        </w:rPr>
        <w:t xml:space="preserve"> pour </w:t>
      </w:r>
      <w:r w:rsidR="003A15EE" w:rsidRPr="002E79FE">
        <w:rPr>
          <w:szCs w:val="24"/>
        </w:rPr>
        <w:t>réviser le fondement d’une demande</w:t>
      </w:r>
      <w:r w:rsidR="003A15EE">
        <w:rPr>
          <w:szCs w:val="24"/>
        </w:rPr>
        <w:t xml:space="preserve"> </w:t>
      </w:r>
      <w:r w:rsidR="003A15EE" w:rsidRPr="003E4B76">
        <w:rPr>
          <w:szCs w:val="24"/>
        </w:rPr>
        <w:t>de mandat</w:t>
      </w:r>
      <w:r w:rsidR="009B5A4E" w:rsidRPr="003A15EE">
        <w:t xml:space="preserve">. </w:t>
      </w:r>
    </w:p>
    <w:p w:rsidR="00B91C0E" w:rsidRPr="00B91C0E" w:rsidRDefault="008C27CE" w:rsidP="00921D37">
      <w:pPr>
        <w:pStyle w:val="SCCNormalDoubleSpacing"/>
        <w:spacing w:after="480"/>
      </w:pPr>
      <w:r>
        <w:rPr>
          <w:szCs w:val="24"/>
        </w:rPr>
        <w:lastRenderedPageBreak/>
        <w:tab/>
      </w:r>
      <w:r w:rsidR="00B91C0E">
        <w:rPr>
          <w:szCs w:val="24"/>
        </w:rPr>
        <w:t>Pour se conformer à l’</w:t>
      </w:r>
      <w:r>
        <w:rPr>
          <w:szCs w:val="24"/>
        </w:rPr>
        <w:t>art. </w:t>
      </w:r>
      <w:r w:rsidR="00B91C0E" w:rsidRPr="00045EF6">
        <w:rPr>
          <w:szCs w:val="24"/>
        </w:rPr>
        <w:t>8</w:t>
      </w:r>
      <w:r w:rsidR="00B91C0E">
        <w:rPr>
          <w:szCs w:val="24"/>
        </w:rPr>
        <w:t xml:space="preserve"> de la </w:t>
      </w:r>
      <w:r w:rsidR="00B91C0E" w:rsidRPr="00AF2949">
        <w:rPr>
          <w:i/>
          <w:szCs w:val="24"/>
        </w:rPr>
        <w:t>Charte</w:t>
      </w:r>
      <w:r w:rsidR="00B91C0E" w:rsidRPr="00045EF6">
        <w:rPr>
          <w:szCs w:val="24"/>
        </w:rPr>
        <w:t xml:space="preserve">, </w:t>
      </w:r>
      <w:r w:rsidR="00B91C0E">
        <w:rPr>
          <w:szCs w:val="24"/>
        </w:rPr>
        <w:t>la</w:t>
      </w:r>
      <w:r w:rsidR="00B91C0E" w:rsidRPr="00045EF6">
        <w:rPr>
          <w:szCs w:val="24"/>
        </w:rPr>
        <w:t xml:space="preserve"> police </w:t>
      </w:r>
      <w:r w:rsidR="00B91C0E">
        <w:rPr>
          <w:szCs w:val="24"/>
        </w:rPr>
        <w:t xml:space="preserve">doit, avant d’effectuer une perquisition, fournir des motifs raisonnables et probables, dont l’existence est </w:t>
      </w:r>
      <w:r w:rsidR="00B91C0E">
        <w:rPr>
          <w:lang w:val="fr-FR"/>
        </w:rPr>
        <w:t>établie sous serment, de croire qu’une infraction a été commise et que des éléments de preuve se trouvent à l’endroit de la perquisition</w:t>
      </w:r>
      <w:r w:rsidR="009B5A4E" w:rsidRPr="00B91C0E">
        <w:t xml:space="preserve">.  </w:t>
      </w:r>
      <w:r w:rsidR="00B91C0E">
        <w:rPr>
          <w:szCs w:val="24"/>
        </w:rPr>
        <w:t xml:space="preserve">Le </w:t>
      </w:r>
      <w:r w:rsidR="00B91C0E">
        <w:rPr>
          <w:lang w:val="fr-FR"/>
        </w:rPr>
        <w:t xml:space="preserve">tribunal siégeant en révision n’a pas à se demander s’il aurait </w:t>
      </w:r>
      <w:proofErr w:type="spellStart"/>
      <w:r w:rsidR="00B91C0E">
        <w:rPr>
          <w:lang w:val="fr-FR"/>
        </w:rPr>
        <w:t>lui</w:t>
      </w:r>
      <w:r>
        <w:rPr>
          <w:lang w:val="fr-FR"/>
        </w:rPr>
        <w:noBreakHyphen/>
      </w:r>
      <w:r w:rsidR="00B91C0E">
        <w:rPr>
          <w:lang w:val="fr-FR"/>
        </w:rPr>
        <w:t>même</w:t>
      </w:r>
      <w:proofErr w:type="spellEnd"/>
      <w:r w:rsidR="00B91C0E">
        <w:rPr>
          <w:lang w:val="fr-FR"/>
        </w:rPr>
        <w:t xml:space="preserve"> délivré le mandat, mais s’il existait suffisamment d’éléments de preuve crédibles et fiables pour permettre au juge de </w:t>
      </w:r>
      <w:r w:rsidR="00E97C1F">
        <w:rPr>
          <w:lang w:val="fr-FR"/>
        </w:rPr>
        <w:t xml:space="preserve">paix de </w:t>
      </w:r>
      <w:r w:rsidR="00B91C0E">
        <w:rPr>
          <w:lang w:val="fr-FR"/>
        </w:rPr>
        <w:t>délivrer le mandat</w:t>
      </w:r>
      <w:r w:rsidR="009B5A4E" w:rsidRPr="00B91C0E">
        <w:t xml:space="preserve">.  </w:t>
      </w:r>
      <w:r w:rsidR="00B91C0E">
        <w:rPr>
          <w:szCs w:val="24"/>
        </w:rPr>
        <w:t xml:space="preserve">Lorsqu’il effectue cette analyse, le tribunal siégeant en révision doit </w:t>
      </w:r>
      <w:r w:rsidR="00B91C0E">
        <w:rPr>
          <w:lang w:val="fr-FR"/>
        </w:rPr>
        <w:t>faire abstraction des renseignements inexacts</w:t>
      </w:r>
      <w:r w:rsidR="00B91C0E">
        <w:rPr>
          <w:szCs w:val="24"/>
        </w:rPr>
        <w:t xml:space="preserve"> figurant dans la dénonciation </w:t>
      </w:r>
      <w:r w:rsidR="006E453D">
        <w:rPr>
          <w:szCs w:val="24"/>
        </w:rPr>
        <w:t>en vue d’</w:t>
      </w:r>
      <w:r w:rsidR="00B91C0E" w:rsidRPr="00B60BC7">
        <w:rPr>
          <w:bCs/>
          <w:szCs w:val="24"/>
        </w:rPr>
        <w:t>obtenir un</w:t>
      </w:r>
      <w:r w:rsidR="00B91C0E">
        <w:rPr>
          <w:bCs/>
          <w:szCs w:val="24"/>
        </w:rPr>
        <w:t xml:space="preserve"> </w:t>
      </w:r>
      <w:r w:rsidR="00B91C0E" w:rsidRPr="00045EF6">
        <w:rPr>
          <w:bCs/>
          <w:szCs w:val="24"/>
        </w:rPr>
        <w:t>mandat de perquisition</w:t>
      </w:r>
      <w:r w:rsidR="00B91C0E">
        <w:rPr>
          <w:bCs/>
          <w:szCs w:val="24"/>
        </w:rPr>
        <w:t xml:space="preserve"> </w:t>
      </w:r>
      <w:r w:rsidR="006A7F87">
        <w:rPr>
          <w:szCs w:val="24"/>
        </w:rPr>
        <w:t>(</w:t>
      </w:r>
      <w:r w:rsidR="00B91C0E" w:rsidRPr="00B60BC7">
        <w:rPr>
          <w:szCs w:val="24"/>
        </w:rPr>
        <w:t>« dénonciation »)</w:t>
      </w:r>
      <w:r w:rsidR="00B91C0E">
        <w:rPr>
          <w:szCs w:val="24"/>
        </w:rPr>
        <w:t xml:space="preserve">, et il </w:t>
      </w:r>
      <w:r w:rsidR="00B91C0E">
        <w:rPr>
          <w:lang w:val="fr-FR"/>
        </w:rPr>
        <w:t xml:space="preserve">peut avoir recours </w:t>
      </w:r>
      <w:r w:rsidR="00B91C0E">
        <w:t>à</w:t>
      </w:r>
      <w:r w:rsidR="00B91C0E">
        <w:rPr>
          <w:lang w:val="fr-FR"/>
        </w:rPr>
        <w:t xml:space="preserve"> l’« amplification », c’est</w:t>
      </w:r>
      <w:r>
        <w:rPr>
          <w:lang w:val="fr-FR"/>
        </w:rPr>
        <w:noBreakHyphen/>
      </w:r>
      <w:proofErr w:type="spellStart"/>
      <w:r w:rsidR="00B91C0E">
        <w:rPr>
          <w:lang w:val="fr-FR"/>
        </w:rPr>
        <w:t>à</w:t>
      </w:r>
      <w:r>
        <w:rPr>
          <w:lang w:val="fr-FR"/>
        </w:rPr>
        <w:noBreakHyphen/>
      </w:r>
      <w:r w:rsidR="00B91C0E">
        <w:rPr>
          <w:lang w:val="fr-FR"/>
        </w:rPr>
        <w:t>dire</w:t>
      </w:r>
      <w:proofErr w:type="spellEnd"/>
      <w:r w:rsidR="00B91C0E">
        <w:rPr>
          <w:lang w:val="fr-FR"/>
        </w:rPr>
        <w:t xml:space="preserve"> à d’autres éléments de preuve admis à bon droit</w:t>
      </w:r>
      <w:r w:rsidR="009B5A4E" w:rsidRPr="00B91C0E">
        <w:t>.</w:t>
      </w:r>
      <w:r w:rsidR="00B91C0E">
        <w:t xml:space="preserve">  </w:t>
      </w:r>
      <w:r w:rsidR="00B91C0E">
        <w:rPr>
          <w:lang w:val="fr-FR"/>
        </w:rPr>
        <w:t>Il appartient à l’accusé de démontrer que la dénonciation ne justifiait pas l’autorisation</w:t>
      </w:r>
      <w:r w:rsidR="00B91C0E" w:rsidRPr="00B91C0E">
        <w:t>.</w:t>
      </w:r>
    </w:p>
    <w:p w:rsidR="006C5661" w:rsidRPr="00464079" w:rsidRDefault="008C27CE" w:rsidP="00921D37">
      <w:pPr>
        <w:pStyle w:val="SCCNormalDoubleSpacing"/>
        <w:spacing w:after="480"/>
      </w:pPr>
      <w:r>
        <w:tab/>
      </w:r>
      <w:r w:rsidR="00B91C0E">
        <w:t xml:space="preserve">L’accusé </w:t>
      </w:r>
      <w:r w:rsidR="00B91C0E">
        <w:rPr>
          <w:szCs w:val="24"/>
        </w:rPr>
        <w:t>pouvait s’attendre au respect de sa vie privée dans la chambre qu’il occupait dans la maison au même titre que la personne qui réside dans un logement unifamili</w:t>
      </w:r>
      <w:r>
        <w:rPr>
          <w:szCs w:val="24"/>
        </w:rPr>
        <w:t>al.</w:t>
      </w:r>
      <w:r w:rsidR="00D91F6D">
        <w:rPr>
          <w:szCs w:val="24"/>
        </w:rPr>
        <w:t xml:space="preserve"> </w:t>
      </w:r>
      <w:r w:rsidR="00B91C0E">
        <w:rPr>
          <w:szCs w:val="24"/>
        </w:rPr>
        <w:t xml:space="preserve"> Il convient d’appliquer ce principe dans la rédaction de toute dénonciation visant à obtenir un mandat de perquisition de plusieurs logements se trouvant dans le même immeuble</w:t>
      </w:r>
      <w:r w:rsidR="00B91C0E" w:rsidRPr="00045EF6">
        <w:rPr>
          <w:szCs w:val="24"/>
        </w:rPr>
        <w:t xml:space="preserve">, </w:t>
      </w:r>
      <w:r w:rsidR="00B91C0E">
        <w:rPr>
          <w:szCs w:val="24"/>
        </w:rPr>
        <w:t xml:space="preserve">et ce en énonçant clairement les motifs raisonnables et </w:t>
      </w:r>
      <w:r w:rsidR="00B91C0E" w:rsidRPr="00045EF6">
        <w:rPr>
          <w:szCs w:val="24"/>
        </w:rPr>
        <w:t>probable</w:t>
      </w:r>
      <w:r w:rsidR="00B91C0E">
        <w:rPr>
          <w:szCs w:val="24"/>
        </w:rPr>
        <w:t>s pour lesquels chacun de ces derniers doit faire l’objet de la perquisition</w:t>
      </w:r>
      <w:r w:rsidR="00B91C0E" w:rsidRPr="00B91C0E">
        <w:t xml:space="preserve">.  </w:t>
      </w:r>
      <w:r w:rsidR="00B91C0E">
        <w:rPr>
          <w:szCs w:val="24"/>
        </w:rPr>
        <w:t xml:space="preserve">À cet égard, le libellé de la dénonciation laissait beaucoup à désirer.  </w:t>
      </w:r>
      <w:r w:rsidR="00E3325B">
        <w:rPr>
          <w:szCs w:val="24"/>
        </w:rPr>
        <w:t>De plus, il semble que certaines parties de la dénonciation n’ont été remises à la juge de première instance qu’à la toute fin de l’audience</w:t>
      </w:r>
      <w:r w:rsidR="00E3325B" w:rsidRPr="00045EF6">
        <w:rPr>
          <w:szCs w:val="24"/>
        </w:rPr>
        <w:t xml:space="preserve">.  </w:t>
      </w:r>
      <w:r w:rsidR="00E3325B">
        <w:rPr>
          <w:szCs w:val="24"/>
        </w:rPr>
        <w:t xml:space="preserve">Ce fait, conjugué au manque de clarté du libellé de la dénonciation, pourrait bien expliquer les erreurs que la juge de </w:t>
      </w:r>
      <w:r w:rsidR="00E3325B">
        <w:rPr>
          <w:szCs w:val="24"/>
        </w:rPr>
        <w:lastRenderedPageBreak/>
        <w:t xml:space="preserve">première instance a commises.  </w:t>
      </w:r>
      <w:r w:rsidR="00E3325B" w:rsidRPr="00E3325B">
        <w:rPr>
          <w:szCs w:val="24"/>
        </w:rPr>
        <w:t xml:space="preserve">Néanmoins, </w:t>
      </w:r>
      <w:r w:rsidR="00464079">
        <w:rPr>
          <w:szCs w:val="24"/>
        </w:rPr>
        <w:t>les</w:t>
      </w:r>
      <w:r w:rsidR="00E3325B">
        <w:rPr>
          <w:szCs w:val="24"/>
        </w:rPr>
        <w:t xml:space="preserve"> juges majoritaires de la Cour d’appel </w:t>
      </w:r>
      <w:r w:rsidR="00464079">
        <w:rPr>
          <w:szCs w:val="24"/>
        </w:rPr>
        <w:t>ont eu raison de conclure que le dossier était suffisant</w:t>
      </w:r>
      <w:r w:rsidR="00B91C0E" w:rsidRPr="00E3325B">
        <w:t xml:space="preserve">.  </w:t>
      </w:r>
      <w:r w:rsidR="00464079">
        <w:t>L’accusé</w:t>
      </w:r>
      <w:r w:rsidR="00464079" w:rsidRPr="00045EF6">
        <w:rPr>
          <w:szCs w:val="24"/>
        </w:rPr>
        <w:t xml:space="preserve"> </w:t>
      </w:r>
      <w:r w:rsidR="00464079">
        <w:rPr>
          <w:szCs w:val="24"/>
        </w:rPr>
        <w:t>n’a pas établi qu’il n’y avait pas suffisamment de motifs pour justifier la délivrance d’un mandat autorisant la fouille de sa chambre</w:t>
      </w:r>
      <w:r w:rsidR="009B5A4E" w:rsidRPr="00464079">
        <w:t>.</w:t>
      </w:r>
    </w:p>
    <w:p w:rsidR="007E1C47" w:rsidRPr="00A24E15" w:rsidRDefault="0043088E" w:rsidP="008C27CE">
      <w:pPr>
        <w:pStyle w:val="SCCNormalDoubleSpacing"/>
        <w:keepNext/>
        <w:spacing w:after="720" w:line="240" w:lineRule="auto"/>
        <w:rPr>
          <w:b/>
        </w:rPr>
      </w:pPr>
      <w:r w:rsidRPr="00A24E15">
        <w:rPr>
          <w:b/>
        </w:rPr>
        <w:t>Jurisprudence</w:t>
      </w:r>
    </w:p>
    <w:p w:rsidR="002E6705" w:rsidRPr="00A24E15" w:rsidRDefault="002E6705" w:rsidP="008C27CE">
      <w:pPr>
        <w:pStyle w:val="SCCNormalDoubleSpacing"/>
        <w:spacing w:after="480"/>
        <w:rPr>
          <w:b/>
        </w:rPr>
      </w:pPr>
      <w:r w:rsidRPr="00A24E15">
        <w:tab/>
      </w:r>
      <w:r w:rsidR="0043088E" w:rsidRPr="00A24E15">
        <w:rPr>
          <w:b/>
        </w:rPr>
        <w:t>Arrêts mentionnés</w:t>
      </w:r>
      <w:r w:rsidR="008C27CE">
        <w:rPr>
          <w:b/>
        </w:rPr>
        <w:t> :</w:t>
      </w:r>
      <w:r w:rsidR="00172A04" w:rsidRPr="00A24E15">
        <w:t xml:space="preserve"> </w:t>
      </w:r>
      <w:r w:rsidR="00831587" w:rsidRPr="00674E9E">
        <w:rPr>
          <w:i/>
        </w:rPr>
        <w:t xml:space="preserve">R. </w:t>
      </w:r>
      <w:r w:rsidR="00831587">
        <w:rPr>
          <w:i/>
        </w:rPr>
        <w:t>c</w:t>
      </w:r>
      <w:r w:rsidR="00831587" w:rsidRPr="00674E9E">
        <w:rPr>
          <w:i/>
        </w:rPr>
        <w:t xml:space="preserve">. </w:t>
      </w:r>
      <w:proofErr w:type="spellStart"/>
      <w:r w:rsidR="00831587" w:rsidRPr="00674E9E">
        <w:rPr>
          <w:i/>
        </w:rPr>
        <w:t>Morelli</w:t>
      </w:r>
      <w:proofErr w:type="spellEnd"/>
      <w:r w:rsidR="00831587" w:rsidRPr="00674E9E">
        <w:t xml:space="preserve">, </w:t>
      </w:r>
      <w:r w:rsidR="00831587">
        <w:t xml:space="preserve">2010 CSC 8, </w:t>
      </w:r>
      <w:r w:rsidR="00831587" w:rsidRPr="00674E9E">
        <w:t xml:space="preserve">[2010] 1 </w:t>
      </w:r>
      <w:r w:rsidR="00831587">
        <w:t>R.C.</w:t>
      </w:r>
      <w:r w:rsidR="00831587" w:rsidRPr="00674E9E">
        <w:t>S. 253</w:t>
      </w:r>
      <w:r w:rsidR="00831587">
        <w:t xml:space="preserve">; </w:t>
      </w:r>
      <w:r w:rsidR="00831587" w:rsidRPr="00A95278">
        <w:rPr>
          <w:i/>
        </w:rPr>
        <w:t>Hunter</w:t>
      </w:r>
      <w:r w:rsidR="00831587" w:rsidRPr="00674E9E">
        <w:rPr>
          <w:i/>
        </w:rPr>
        <w:t xml:space="preserve"> </w:t>
      </w:r>
      <w:r w:rsidR="00831587">
        <w:rPr>
          <w:i/>
        </w:rPr>
        <w:t>c</w:t>
      </w:r>
      <w:r w:rsidR="00831587" w:rsidRPr="00674E9E">
        <w:rPr>
          <w:i/>
        </w:rPr>
        <w:t xml:space="preserve">. </w:t>
      </w:r>
      <w:proofErr w:type="spellStart"/>
      <w:r w:rsidR="00831587" w:rsidRPr="00674E9E">
        <w:rPr>
          <w:i/>
        </w:rPr>
        <w:t>Southam</w:t>
      </w:r>
      <w:proofErr w:type="spellEnd"/>
      <w:r w:rsidR="00831587" w:rsidRPr="00674E9E">
        <w:rPr>
          <w:i/>
        </w:rPr>
        <w:t xml:space="preserve"> Inc.</w:t>
      </w:r>
      <w:r w:rsidR="00831587" w:rsidRPr="00674E9E">
        <w:t>, [19</w:t>
      </w:r>
      <w:r w:rsidR="00831587">
        <w:t>8</w:t>
      </w:r>
      <w:r w:rsidR="00831587" w:rsidRPr="00674E9E">
        <w:t xml:space="preserve">4] 2 </w:t>
      </w:r>
      <w:r w:rsidR="00831587">
        <w:t>R.C.</w:t>
      </w:r>
      <w:r w:rsidR="00831587" w:rsidRPr="00674E9E">
        <w:t>S. 145</w:t>
      </w:r>
      <w:r w:rsidR="00831587">
        <w:t xml:space="preserve">; </w:t>
      </w:r>
      <w:r w:rsidR="00831587" w:rsidRPr="00415299">
        <w:rPr>
          <w:i/>
        </w:rPr>
        <w:t xml:space="preserve">R. </w:t>
      </w:r>
      <w:r w:rsidR="00831587">
        <w:rPr>
          <w:i/>
        </w:rPr>
        <w:t>c</w:t>
      </w:r>
      <w:r w:rsidR="00831587" w:rsidRPr="00415299">
        <w:rPr>
          <w:i/>
        </w:rPr>
        <w:t>. Araujo</w:t>
      </w:r>
      <w:r w:rsidR="00831587" w:rsidRPr="00674E9E">
        <w:t xml:space="preserve">, </w:t>
      </w:r>
      <w:r w:rsidR="00831587">
        <w:t xml:space="preserve">2000 CSC 65, </w:t>
      </w:r>
      <w:r w:rsidR="00831587" w:rsidRPr="00674E9E">
        <w:t xml:space="preserve">[2000] 2 </w:t>
      </w:r>
      <w:r w:rsidR="00831587">
        <w:t>R.C.</w:t>
      </w:r>
      <w:r w:rsidR="00831587" w:rsidRPr="00674E9E">
        <w:t>S. 992</w:t>
      </w:r>
      <w:r w:rsidR="00831587">
        <w:t xml:space="preserve">; </w:t>
      </w:r>
      <w:r w:rsidR="00831587" w:rsidRPr="00674E9E">
        <w:rPr>
          <w:i/>
        </w:rPr>
        <w:t>Qu</w:t>
      </w:r>
      <w:r w:rsidR="00831587">
        <w:rPr>
          <w:i/>
        </w:rPr>
        <w:t>é</w:t>
      </w:r>
      <w:r w:rsidR="00831587" w:rsidRPr="00674E9E">
        <w:rPr>
          <w:i/>
        </w:rPr>
        <w:t>bec (</w:t>
      </w:r>
      <w:r w:rsidR="00831587">
        <w:rPr>
          <w:i/>
        </w:rPr>
        <w:t>Procureur géné</w:t>
      </w:r>
      <w:r w:rsidR="00831587" w:rsidRPr="00674E9E">
        <w:rPr>
          <w:i/>
        </w:rPr>
        <w:t xml:space="preserve">ral) </w:t>
      </w:r>
      <w:r w:rsidR="00831587">
        <w:rPr>
          <w:i/>
        </w:rPr>
        <w:t>c</w:t>
      </w:r>
      <w:r w:rsidR="00831587" w:rsidRPr="00674E9E">
        <w:rPr>
          <w:i/>
        </w:rPr>
        <w:t>. Laroche</w:t>
      </w:r>
      <w:r w:rsidR="00831587" w:rsidRPr="00674E9E">
        <w:t xml:space="preserve">, </w:t>
      </w:r>
      <w:r w:rsidR="00831587">
        <w:t xml:space="preserve">2002 CSC 72, </w:t>
      </w:r>
      <w:r w:rsidR="00831587" w:rsidRPr="00674E9E">
        <w:t xml:space="preserve">[2002] </w:t>
      </w:r>
      <w:r w:rsidR="00831587">
        <w:t>3 R.C.</w:t>
      </w:r>
      <w:r w:rsidR="00831587" w:rsidRPr="00674E9E">
        <w:t>S. 708</w:t>
      </w:r>
      <w:r w:rsidR="00831587">
        <w:t>.</w:t>
      </w:r>
    </w:p>
    <w:p w:rsidR="00231F3A" w:rsidRPr="00A24E15" w:rsidRDefault="0043088E" w:rsidP="008C27CE">
      <w:pPr>
        <w:pStyle w:val="SCCNormalDoubleSpacing"/>
        <w:keepNext/>
        <w:spacing w:after="720" w:line="240" w:lineRule="auto"/>
        <w:rPr>
          <w:b/>
        </w:rPr>
      </w:pPr>
      <w:r w:rsidRPr="00A24E15">
        <w:rPr>
          <w:b/>
        </w:rPr>
        <w:t>Lois</w:t>
      </w:r>
      <w:r w:rsidR="002E6705" w:rsidRPr="00A24E15">
        <w:rPr>
          <w:b/>
        </w:rPr>
        <w:t xml:space="preserve"> </w:t>
      </w:r>
      <w:r w:rsidR="008A6558" w:rsidRPr="00A24E15">
        <w:rPr>
          <w:b/>
        </w:rPr>
        <w:t>et</w:t>
      </w:r>
      <w:r w:rsidR="002E6705" w:rsidRPr="00A24E15">
        <w:rPr>
          <w:b/>
        </w:rPr>
        <w:t xml:space="preserve"> </w:t>
      </w:r>
      <w:r w:rsidRPr="00A24E15">
        <w:rPr>
          <w:b/>
        </w:rPr>
        <w:t>rè</w:t>
      </w:r>
      <w:r w:rsidR="002E6705" w:rsidRPr="00A24E15">
        <w:rPr>
          <w:b/>
        </w:rPr>
        <w:t>gl</w:t>
      </w:r>
      <w:r w:rsidRPr="00A24E15">
        <w:rPr>
          <w:b/>
        </w:rPr>
        <w:t>ements</w:t>
      </w:r>
      <w:r w:rsidR="002E6705" w:rsidRPr="00A24E15">
        <w:rPr>
          <w:b/>
        </w:rPr>
        <w:t xml:space="preserve"> </w:t>
      </w:r>
      <w:r w:rsidRPr="00A24E15">
        <w:rPr>
          <w:b/>
        </w:rPr>
        <w:t>c</w:t>
      </w:r>
      <w:r w:rsidR="002E6705" w:rsidRPr="00A24E15">
        <w:rPr>
          <w:b/>
        </w:rPr>
        <w:t>it</w:t>
      </w:r>
      <w:r w:rsidRPr="00A24E15">
        <w:rPr>
          <w:b/>
        </w:rPr>
        <w:t>és</w:t>
      </w:r>
    </w:p>
    <w:p w:rsidR="00B94E87" w:rsidRDefault="00B94E87" w:rsidP="008C27CE">
      <w:pPr>
        <w:pStyle w:val="SCCNormalDoubleSpacing"/>
        <w:spacing w:after="240" w:line="240" w:lineRule="auto"/>
        <w:ind w:left="547" w:hanging="547"/>
      </w:pPr>
      <w:r w:rsidRPr="00B94E87">
        <w:rPr>
          <w:i/>
        </w:rPr>
        <w:t>Charte canadienne des droits et libertés</w:t>
      </w:r>
      <w:r>
        <w:t xml:space="preserve">, </w:t>
      </w:r>
      <w:r w:rsidR="008C27CE">
        <w:t>art. </w:t>
      </w:r>
      <w:r>
        <w:t>8, 24(2).</w:t>
      </w:r>
    </w:p>
    <w:p w:rsidR="000A5321" w:rsidRDefault="00B94E87" w:rsidP="008C27CE">
      <w:pPr>
        <w:pStyle w:val="SCCNormalDoubleSpacing"/>
        <w:spacing w:after="720" w:line="240" w:lineRule="auto"/>
        <w:ind w:left="547" w:hanging="547"/>
      </w:pPr>
      <w:r w:rsidRPr="00B94E87">
        <w:rPr>
          <w:i/>
        </w:rPr>
        <w:t>Code criminel</w:t>
      </w:r>
      <w:r>
        <w:t xml:space="preserve">, L.R.C. 1985, </w:t>
      </w:r>
      <w:r w:rsidR="008C27CE">
        <w:t>ch. </w:t>
      </w:r>
      <w:r>
        <w:t>C</w:t>
      </w:r>
      <w:r w:rsidR="008C27CE">
        <w:noBreakHyphen/>
      </w:r>
      <w:r>
        <w:t xml:space="preserve">46, </w:t>
      </w:r>
      <w:r w:rsidR="008C27CE">
        <w:t>art. </w:t>
      </w:r>
      <w:r>
        <w:t>487.</w:t>
      </w:r>
    </w:p>
    <w:p w:rsidR="00D5435D" w:rsidRPr="00A24E15" w:rsidRDefault="00431074" w:rsidP="008C27CE">
      <w:pPr>
        <w:pStyle w:val="SCCNormalDoubleSpacing"/>
        <w:spacing w:after="480"/>
      </w:pPr>
      <w:r>
        <w:tab/>
      </w:r>
      <w:r w:rsidR="009B57B3" w:rsidRPr="00A24E15">
        <w:t>P</w:t>
      </w:r>
      <w:r w:rsidR="0043088E" w:rsidRPr="00A24E15">
        <w:t>OURVOI contre un arrêt de la</w:t>
      </w:r>
      <w:r w:rsidR="009B57B3" w:rsidRPr="00A24E15">
        <w:t xml:space="preserve"> </w:t>
      </w:r>
      <w:r w:rsidR="009B57B3">
        <w:t>Cour d’appel de l’Ontario</w:t>
      </w:r>
      <w:r>
        <w:t xml:space="preserve"> (les juges Doherty, </w:t>
      </w:r>
      <w:proofErr w:type="spellStart"/>
      <w:r>
        <w:t>Juriansz</w:t>
      </w:r>
      <w:proofErr w:type="spellEnd"/>
      <w:r>
        <w:t xml:space="preserve"> et </w:t>
      </w:r>
      <w:proofErr w:type="spellStart"/>
      <w:r>
        <w:t>Karakatsanis</w:t>
      </w:r>
      <w:proofErr w:type="spellEnd"/>
      <w:r>
        <w:t>), 2010 ONCA 588,</w:t>
      </w:r>
      <w:r w:rsidR="004D2045">
        <w:t xml:space="preserve"> 270 O.A.C. 349, 261 C.C.C. (3d) 1, 216 C.R.R. (2d) 303, 78 C.R. (6th) 299, [2010] O.J. </w:t>
      </w:r>
      <w:r w:rsidR="008C27CE">
        <w:t>No. </w:t>
      </w:r>
      <w:r w:rsidR="004D2045">
        <w:t xml:space="preserve">3767 (QL), 2010 </w:t>
      </w:r>
      <w:proofErr w:type="spellStart"/>
      <w:r w:rsidR="004D2045">
        <w:t>CarswellOnt</w:t>
      </w:r>
      <w:proofErr w:type="spellEnd"/>
      <w:r w:rsidR="004D2045">
        <w:t xml:space="preserve"> 6691, </w:t>
      </w:r>
      <w:r w:rsidR="001D7A22" w:rsidRPr="001D7A22">
        <w:t>qui a infirmé une décision</w:t>
      </w:r>
      <w:r w:rsidR="001D7A22">
        <w:t xml:space="preserve"> de </w:t>
      </w:r>
      <w:r w:rsidR="004D2045" w:rsidRPr="004D2045">
        <w:t>l</w:t>
      </w:r>
      <w:r w:rsidR="006F796E">
        <w:t>a</w:t>
      </w:r>
      <w:r w:rsidR="004D2045" w:rsidRPr="004D2045">
        <w:t xml:space="preserve"> juge </w:t>
      </w:r>
      <w:proofErr w:type="spellStart"/>
      <w:r w:rsidR="004D2045" w:rsidRPr="0058638B">
        <w:t>Croll</w:t>
      </w:r>
      <w:proofErr w:type="spellEnd"/>
      <w:r w:rsidR="004D2045" w:rsidRPr="0058638B">
        <w:t xml:space="preserve">, [2009] O.J. </w:t>
      </w:r>
      <w:r w:rsidR="008C27CE">
        <w:t>No. </w:t>
      </w:r>
      <w:r w:rsidR="004D2045" w:rsidRPr="0058638B">
        <w:t xml:space="preserve">4772 (QL), </w:t>
      </w:r>
      <w:r w:rsidR="004D2045">
        <w:t xml:space="preserve">2009 </w:t>
      </w:r>
      <w:proofErr w:type="spellStart"/>
      <w:r w:rsidR="004D2045">
        <w:t>CarswellOnt</w:t>
      </w:r>
      <w:proofErr w:type="spellEnd"/>
      <w:r w:rsidR="004D2045">
        <w:t xml:space="preserve"> 9499, et </w:t>
      </w:r>
      <w:r w:rsidR="004D2045" w:rsidRPr="004D2045">
        <w:t>ordonné la tenue d’un nouveau procès</w:t>
      </w:r>
      <w:r w:rsidR="004D2045">
        <w:t xml:space="preserve">.  Pourvoi </w:t>
      </w:r>
      <w:r w:rsidR="00252501">
        <w:t>rejeté</w:t>
      </w:r>
      <w:r w:rsidR="004D2045">
        <w:t>.</w:t>
      </w:r>
    </w:p>
    <w:p w:rsidR="00F665FA" w:rsidRDefault="00831587" w:rsidP="008C27CE">
      <w:pPr>
        <w:pStyle w:val="SCCNormalDoubleSpacing"/>
        <w:spacing w:after="480"/>
      </w:pPr>
      <w:r>
        <w:rPr>
          <w:rStyle w:val="SCCCounselNameChar"/>
        </w:rPr>
        <w:lastRenderedPageBreak/>
        <w:tab/>
        <w:t xml:space="preserve">Dirk </w:t>
      </w:r>
      <w:proofErr w:type="spellStart"/>
      <w:r>
        <w:rPr>
          <w:rStyle w:val="SCCCounselNameChar"/>
        </w:rPr>
        <w:t>Derstine</w:t>
      </w:r>
      <w:proofErr w:type="spellEnd"/>
      <w:r>
        <w:rPr>
          <w:rStyle w:val="SCCCounselSeparatorChar"/>
        </w:rPr>
        <w:t xml:space="preserve"> et </w:t>
      </w:r>
      <w:proofErr w:type="spellStart"/>
      <w:r>
        <w:rPr>
          <w:rStyle w:val="SCCCounselNameChar"/>
        </w:rPr>
        <w:t>Mariya</w:t>
      </w:r>
      <w:proofErr w:type="spellEnd"/>
      <w:r>
        <w:rPr>
          <w:rStyle w:val="SCCCounselNameChar"/>
        </w:rPr>
        <w:t xml:space="preserve"> </w:t>
      </w:r>
      <w:proofErr w:type="spellStart"/>
      <w:r>
        <w:rPr>
          <w:rStyle w:val="SCCCounselNameChar"/>
        </w:rPr>
        <w:t>Yakusheva</w:t>
      </w:r>
      <w:proofErr w:type="spellEnd"/>
      <w:r w:rsidR="00431074">
        <w:rPr>
          <w:rStyle w:val="SCCCounselPartyRoleChar"/>
        </w:rPr>
        <w:t>, pour l’</w:t>
      </w:r>
      <w:r>
        <w:rPr>
          <w:rStyle w:val="SCCCounselPartyRoleChar"/>
        </w:rPr>
        <w:t>appelant.</w:t>
      </w:r>
    </w:p>
    <w:p w:rsidR="00F665FA" w:rsidRDefault="00431074" w:rsidP="008C27CE">
      <w:pPr>
        <w:pStyle w:val="SCCNormalDoubleSpacing"/>
        <w:spacing w:after="480"/>
      </w:pPr>
      <w:r>
        <w:rPr>
          <w:rStyle w:val="SCCCounselNameChar"/>
        </w:rPr>
        <w:tab/>
        <w:t>Susan</w:t>
      </w:r>
      <w:r w:rsidR="00831587">
        <w:rPr>
          <w:rStyle w:val="SCCCounselNameChar"/>
        </w:rPr>
        <w:t xml:space="preserve"> </w:t>
      </w:r>
      <w:proofErr w:type="spellStart"/>
      <w:r w:rsidR="00831587">
        <w:rPr>
          <w:rStyle w:val="SCCCounselNameChar"/>
        </w:rPr>
        <w:t>Ficek</w:t>
      </w:r>
      <w:proofErr w:type="spellEnd"/>
      <w:r>
        <w:rPr>
          <w:rStyle w:val="SCCCounselPartyRoleChar"/>
        </w:rPr>
        <w:t>, pour l’</w:t>
      </w:r>
      <w:r w:rsidR="00831587">
        <w:rPr>
          <w:rStyle w:val="SCCCounselPartyRoleChar"/>
        </w:rPr>
        <w:t>intimée.</w:t>
      </w:r>
    </w:p>
    <w:p w:rsidR="00F665FA" w:rsidRDefault="00831587" w:rsidP="008C27CE">
      <w:pPr>
        <w:pStyle w:val="SCCNormalDoubleSpacing"/>
        <w:spacing w:after="480"/>
      </w:pPr>
      <w:r>
        <w:rPr>
          <w:rStyle w:val="SCCCounselNameChar"/>
        </w:rPr>
        <w:tab/>
        <w:t xml:space="preserve">Frank </w:t>
      </w:r>
      <w:proofErr w:type="spellStart"/>
      <w:r>
        <w:rPr>
          <w:rStyle w:val="SCCCounselNameChar"/>
        </w:rPr>
        <w:t>Addario</w:t>
      </w:r>
      <w:proofErr w:type="spellEnd"/>
      <w:r>
        <w:rPr>
          <w:rStyle w:val="SCCCounselSeparatorChar"/>
        </w:rPr>
        <w:t xml:space="preserve"> et </w:t>
      </w:r>
      <w:proofErr w:type="spellStart"/>
      <w:r>
        <w:rPr>
          <w:rStyle w:val="SCCCounselNameChar"/>
        </w:rPr>
        <w:t>Colleen</w:t>
      </w:r>
      <w:proofErr w:type="spellEnd"/>
      <w:r>
        <w:rPr>
          <w:rStyle w:val="SCCCounselNameChar"/>
        </w:rPr>
        <w:t xml:space="preserve"> </w:t>
      </w:r>
      <w:proofErr w:type="spellStart"/>
      <w:r>
        <w:rPr>
          <w:rStyle w:val="SCCCounselNameChar"/>
        </w:rPr>
        <w:t>Bauman</w:t>
      </w:r>
      <w:proofErr w:type="spellEnd"/>
      <w:r w:rsidR="00431074">
        <w:rPr>
          <w:rStyle w:val="SCCCounselPartyRoleChar"/>
        </w:rPr>
        <w:t>, pour l’</w:t>
      </w:r>
      <w:r>
        <w:rPr>
          <w:rStyle w:val="SCCCounselPartyRoleChar"/>
        </w:rPr>
        <w:t>intervenante.</w:t>
      </w:r>
    </w:p>
    <w:p w:rsidR="00AB0E6F" w:rsidRDefault="00AB0E6F" w:rsidP="004D14CB">
      <w:pPr>
        <w:tabs>
          <w:tab w:val="left" w:pos="-1440"/>
          <w:tab w:val="left" w:pos="-720"/>
          <w:tab w:val="left" w:pos="1170"/>
        </w:tabs>
        <w:spacing w:after="480" w:line="480" w:lineRule="auto"/>
        <w:jc w:val="both"/>
        <w:rPr>
          <w:szCs w:val="24"/>
        </w:rPr>
      </w:pPr>
      <w:r>
        <w:rPr>
          <w:szCs w:val="24"/>
        </w:rPr>
        <w:tab/>
        <w:t>Version française du jugement de la Cour rendu par</w:t>
      </w:r>
    </w:p>
    <w:p w:rsidR="004D14CB" w:rsidRPr="00D23596" w:rsidRDefault="004D14CB" w:rsidP="004D14CB">
      <w:pPr>
        <w:tabs>
          <w:tab w:val="left" w:pos="-1440"/>
          <w:tab w:val="left" w:pos="-720"/>
          <w:tab w:val="left" w:pos="1170"/>
        </w:tabs>
        <w:spacing w:after="480" w:line="480" w:lineRule="auto"/>
        <w:jc w:val="both"/>
        <w:rPr>
          <w:szCs w:val="24"/>
        </w:rPr>
      </w:pPr>
      <w:r w:rsidRPr="00D23596">
        <w:rPr>
          <w:szCs w:val="24"/>
        </w:rPr>
        <w:tab/>
      </w:r>
      <w:r w:rsidRPr="00D23596">
        <w:rPr>
          <w:smallCaps/>
          <w:szCs w:val="24"/>
        </w:rPr>
        <w:t>La juge</w:t>
      </w:r>
      <w:r w:rsidRPr="00D23596">
        <w:rPr>
          <w:szCs w:val="24"/>
        </w:rPr>
        <w:t xml:space="preserve"> </w:t>
      </w:r>
      <w:r w:rsidRPr="00D23596">
        <w:rPr>
          <w:smallCaps/>
          <w:szCs w:val="24"/>
        </w:rPr>
        <w:t xml:space="preserve">Charron </w:t>
      </w:r>
      <w:r w:rsidRPr="00D23596">
        <w:rPr>
          <w:szCs w:val="24"/>
        </w:rPr>
        <w:t xml:space="preserve">— </w:t>
      </w:r>
    </w:p>
    <w:p w:rsidR="004D14CB" w:rsidRPr="00D23596" w:rsidRDefault="004D14CB" w:rsidP="004D14CB">
      <w:pPr>
        <w:pStyle w:val="TitleTitre-AltT"/>
        <w:keepNext/>
        <w:spacing w:after="720"/>
        <w:rPr>
          <w:rFonts w:cs="Times New Roman"/>
          <w:szCs w:val="24"/>
          <w:lang w:val="fr-CA"/>
        </w:rPr>
      </w:pPr>
      <w:r w:rsidRPr="00D23596">
        <w:rPr>
          <w:rFonts w:cs="Times New Roman"/>
          <w:szCs w:val="24"/>
          <w:lang w:val="fr-CA"/>
        </w:rPr>
        <w:t>1.</w:t>
      </w:r>
      <w:r w:rsidRPr="00D23596">
        <w:rPr>
          <w:rFonts w:cs="Times New Roman"/>
          <w:szCs w:val="24"/>
          <w:lang w:val="fr-CA"/>
        </w:rPr>
        <w:tab/>
      </w:r>
      <w:r w:rsidRPr="00D23596">
        <w:rPr>
          <w:rFonts w:cs="Times New Roman"/>
          <w:szCs w:val="24"/>
          <w:u w:val="single"/>
          <w:lang w:val="fr-CA"/>
        </w:rPr>
        <w:t>Aperçu</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Dans le cadre d</w:t>
      </w:r>
      <w:r>
        <w:rPr>
          <w:rFonts w:cs="Times New Roman"/>
          <w:szCs w:val="24"/>
          <w:lang w:val="fr-CA"/>
        </w:rPr>
        <w:t>’</w:t>
      </w:r>
      <w:r w:rsidRPr="00D23596">
        <w:rPr>
          <w:rFonts w:cs="Times New Roman"/>
          <w:szCs w:val="24"/>
          <w:lang w:val="fr-CA"/>
        </w:rPr>
        <w:t>une enquête relative à un meurtre, la police a obtenu et exécuté un mandat de perquisition relativement à une maison en rangée de quatre chambres à coucher convertie en maison de chambres.  Au cours de la perquisition, la police a trouvé un fusil de chasse à canon tronqué et des munitions dans la chambre louée par l</w:t>
      </w:r>
      <w:r>
        <w:rPr>
          <w:rFonts w:cs="Times New Roman"/>
          <w:szCs w:val="24"/>
          <w:lang w:val="fr-CA"/>
        </w:rPr>
        <w:t>’</w:t>
      </w:r>
      <w:r w:rsidRPr="00D23596">
        <w:rPr>
          <w:rFonts w:cs="Times New Roman"/>
          <w:szCs w:val="24"/>
          <w:lang w:val="fr-CA"/>
        </w:rPr>
        <w:t>appelant, Norman Martin Campbell.  M</w:t>
      </w:r>
      <w:r w:rsidR="00E0775A">
        <w:rPr>
          <w:rFonts w:cs="Times New Roman"/>
          <w:szCs w:val="24"/>
          <w:lang w:val="fr-CA"/>
        </w:rPr>
        <w:t>.</w:t>
      </w:r>
      <w:r w:rsidRPr="00D23596">
        <w:rPr>
          <w:rFonts w:cs="Times New Roman"/>
          <w:szCs w:val="24"/>
          <w:lang w:val="fr-CA"/>
        </w:rPr>
        <w:t xml:space="preserve"> Campbell a été accusé de possession d</w:t>
      </w:r>
      <w:r>
        <w:rPr>
          <w:rFonts w:cs="Times New Roman"/>
          <w:szCs w:val="24"/>
          <w:lang w:val="fr-CA"/>
        </w:rPr>
        <w:t>’</w:t>
      </w:r>
      <w:r w:rsidRPr="00D23596">
        <w:rPr>
          <w:rFonts w:cs="Times New Roman"/>
          <w:szCs w:val="24"/>
          <w:lang w:val="fr-CA"/>
        </w:rPr>
        <w:t>un fusil de chasse à canon tronqué et de munitions alors qu</w:t>
      </w:r>
      <w:r>
        <w:rPr>
          <w:rFonts w:cs="Times New Roman"/>
          <w:szCs w:val="24"/>
          <w:lang w:val="fr-CA"/>
        </w:rPr>
        <w:t>’</w:t>
      </w:r>
      <w:r w:rsidRPr="00D23596">
        <w:rPr>
          <w:rFonts w:cs="Times New Roman"/>
          <w:szCs w:val="24"/>
          <w:lang w:val="fr-CA"/>
        </w:rPr>
        <w:t>il était sous le coup d</w:t>
      </w:r>
      <w:r>
        <w:rPr>
          <w:rFonts w:cs="Times New Roman"/>
          <w:szCs w:val="24"/>
          <w:lang w:val="fr-CA"/>
        </w:rPr>
        <w:t>’</w:t>
      </w:r>
      <w:r w:rsidRPr="00D23596">
        <w:rPr>
          <w:rFonts w:cs="Times New Roman"/>
          <w:szCs w:val="24"/>
          <w:lang w:val="fr-CA"/>
        </w:rPr>
        <w:t>ordonnances d</w:t>
      </w:r>
      <w:r>
        <w:rPr>
          <w:rFonts w:cs="Times New Roman"/>
          <w:szCs w:val="24"/>
          <w:lang w:val="fr-CA"/>
        </w:rPr>
        <w:t>’</w:t>
      </w:r>
      <w:r w:rsidRPr="00D23596">
        <w:rPr>
          <w:rFonts w:cs="Times New Roman"/>
          <w:szCs w:val="24"/>
          <w:lang w:val="fr-CA"/>
        </w:rPr>
        <w:t>interdiction d</w:t>
      </w:r>
      <w:r>
        <w:rPr>
          <w:rFonts w:cs="Times New Roman"/>
          <w:szCs w:val="24"/>
          <w:lang w:val="fr-CA"/>
        </w:rPr>
        <w:t>’</w:t>
      </w:r>
      <w:r w:rsidRPr="00D23596">
        <w:rPr>
          <w:rFonts w:cs="Times New Roman"/>
          <w:szCs w:val="24"/>
          <w:lang w:val="fr-CA"/>
        </w:rPr>
        <w:t>avoir des armes en sa possession et d</w:t>
      </w:r>
      <w:r>
        <w:rPr>
          <w:rFonts w:cs="Times New Roman"/>
          <w:szCs w:val="24"/>
          <w:lang w:val="fr-CA"/>
        </w:rPr>
        <w:t>’</w:t>
      </w:r>
      <w:r w:rsidRPr="00D23596">
        <w:rPr>
          <w:rFonts w:cs="Times New Roman"/>
          <w:szCs w:val="24"/>
          <w:lang w:val="fr-CA"/>
        </w:rPr>
        <w:t>une ordonnance de probation assortie de conditions, dont celle de ne pas avoir d</w:t>
      </w:r>
      <w:r>
        <w:rPr>
          <w:rFonts w:cs="Times New Roman"/>
          <w:szCs w:val="24"/>
          <w:lang w:val="fr-CA"/>
        </w:rPr>
        <w:t>’</w:t>
      </w:r>
      <w:r w:rsidRPr="00D23596">
        <w:rPr>
          <w:rFonts w:cs="Times New Roman"/>
          <w:szCs w:val="24"/>
          <w:lang w:val="fr-CA"/>
        </w:rPr>
        <w:t>armes en sa possession.</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 xml:space="preserve">Au procès, la perquisition et la saisie ont été jugées inconstitutionnelles, la preuve a été écartée, et M. Campbell a été acquitté ([2009] O.J. No. 4772 (QL) </w:t>
      </w:r>
      <w:r w:rsidRPr="00D23596">
        <w:rPr>
          <w:rFonts w:cs="Times New Roman"/>
          <w:szCs w:val="24"/>
          <w:lang w:val="fr-CA"/>
        </w:rPr>
        <w:lastRenderedPageBreak/>
        <w:t>(C.S.J.)).  Statuant sur l</w:t>
      </w:r>
      <w:r>
        <w:rPr>
          <w:rFonts w:cs="Times New Roman"/>
          <w:szCs w:val="24"/>
          <w:lang w:val="fr-CA"/>
        </w:rPr>
        <w:t>’</w:t>
      </w:r>
      <w:r w:rsidRPr="00D23596">
        <w:rPr>
          <w:rFonts w:cs="Times New Roman"/>
          <w:szCs w:val="24"/>
          <w:lang w:val="fr-CA"/>
        </w:rPr>
        <w:t>appel interjeté par le ministère public, la Cour d</w:t>
      </w:r>
      <w:r>
        <w:rPr>
          <w:rFonts w:cs="Times New Roman"/>
          <w:szCs w:val="24"/>
          <w:lang w:val="fr-CA"/>
        </w:rPr>
        <w:t>’</w:t>
      </w:r>
      <w:r w:rsidRPr="00D23596">
        <w:rPr>
          <w:rFonts w:cs="Times New Roman"/>
          <w:szCs w:val="24"/>
          <w:lang w:val="fr-CA"/>
        </w:rPr>
        <w:t>appel de l</w:t>
      </w:r>
      <w:r>
        <w:rPr>
          <w:rFonts w:cs="Times New Roman"/>
          <w:szCs w:val="24"/>
          <w:lang w:val="fr-CA"/>
        </w:rPr>
        <w:t>’</w:t>
      </w:r>
      <w:r w:rsidRPr="00D23596">
        <w:rPr>
          <w:rFonts w:cs="Times New Roman"/>
          <w:szCs w:val="24"/>
          <w:lang w:val="fr-CA"/>
        </w:rPr>
        <w:t>Ontario a conclu à l</w:t>
      </w:r>
      <w:r>
        <w:rPr>
          <w:rFonts w:cs="Times New Roman"/>
          <w:szCs w:val="24"/>
          <w:lang w:val="fr-CA"/>
        </w:rPr>
        <w:t>’</w:t>
      </w:r>
      <w:r w:rsidRPr="00D23596">
        <w:rPr>
          <w:rFonts w:cs="Times New Roman"/>
          <w:szCs w:val="24"/>
          <w:lang w:val="fr-CA"/>
        </w:rPr>
        <w:t>unanimité que la juge de première instance avait mal interprété certains des éléments de preuve et omis de tenir compte de l</w:t>
      </w:r>
      <w:r>
        <w:rPr>
          <w:rFonts w:cs="Times New Roman"/>
          <w:szCs w:val="24"/>
          <w:lang w:val="fr-CA"/>
        </w:rPr>
        <w:t>’</w:t>
      </w:r>
      <w:r w:rsidRPr="00D23596">
        <w:rPr>
          <w:rFonts w:cs="Times New Roman"/>
          <w:szCs w:val="24"/>
          <w:lang w:val="fr-CA"/>
        </w:rPr>
        <w:t xml:space="preserve">ensemble de la </w:t>
      </w:r>
      <w:r w:rsidRPr="00D23596">
        <w:rPr>
          <w:rFonts w:cs="Times New Roman"/>
          <w:bCs/>
          <w:szCs w:val="24"/>
          <w:lang w:val="fr-CA"/>
        </w:rPr>
        <w:t xml:space="preserve">dénonciation </w:t>
      </w:r>
      <w:r w:rsidR="006E453D">
        <w:rPr>
          <w:rFonts w:cs="Times New Roman"/>
          <w:bCs/>
          <w:szCs w:val="24"/>
          <w:lang w:val="fr-CA"/>
        </w:rPr>
        <w:t>en vue d’ob</w:t>
      </w:r>
      <w:r w:rsidRPr="00D23596">
        <w:rPr>
          <w:rFonts w:cs="Times New Roman"/>
          <w:bCs/>
          <w:szCs w:val="24"/>
          <w:lang w:val="fr-CA"/>
        </w:rPr>
        <w:t xml:space="preserve">tenir un mandat de perquisition </w:t>
      </w:r>
      <w:r w:rsidRPr="00D23596">
        <w:rPr>
          <w:rFonts w:cs="Times New Roman"/>
          <w:szCs w:val="24"/>
          <w:lang w:val="fr-CA"/>
        </w:rPr>
        <w:t>(« dénonciation ») (2010 ONCA 588, 270 O.A.C. 349).  Compte tenu de ces erreurs, la Cour d</w:t>
      </w:r>
      <w:r>
        <w:rPr>
          <w:rFonts w:cs="Times New Roman"/>
          <w:szCs w:val="24"/>
          <w:lang w:val="fr-CA"/>
        </w:rPr>
        <w:t>’</w:t>
      </w:r>
      <w:r w:rsidRPr="00D23596">
        <w:rPr>
          <w:rFonts w:cs="Times New Roman"/>
          <w:szCs w:val="24"/>
          <w:lang w:val="fr-CA"/>
        </w:rPr>
        <w:t>appel ne pouvait faire preuve de la retenue habituelle à l</w:t>
      </w:r>
      <w:r>
        <w:rPr>
          <w:rFonts w:cs="Times New Roman"/>
          <w:szCs w:val="24"/>
          <w:lang w:val="fr-CA"/>
        </w:rPr>
        <w:t>’</w:t>
      </w:r>
      <w:r w:rsidRPr="00D23596">
        <w:rPr>
          <w:rFonts w:cs="Times New Roman"/>
          <w:szCs w:val="24"/>
          <w:lang w:val="fr-CA"/>
        </w:rPr>
        <w:t xml:space="preserve">égard des conclusions de la juge de première instance, et elle devait </w:t>
      </w:r>
      <w:proofErr w:type="spellStart"/>
      <w:r w:rsidRPr="00D23596">
        <w:rPr>
          <w:rFonts w:cs="Times New Roman"/>
          <w:szCs w:val="24"/>
          <w:lang w:val="fr-CA"/>
        </w:rPr>
        <w:t>elle</w:t>
      </w:r>
      <w:r w:rsidRPr="00D23596">
        <w:rPr>
          <w:rFonts w:cs="Times New Roman"/>
          <w:szCs w:val="24"/>
          <w:lang w:val="fr-CA"/>
        </w:rPr>
        <w:noBreakHyphen/>
        <w:t>même</w:t>
      </w:r>
      <w:proofErr w:type="spellEnd"/>
      <w:r w:rsidRPr="00D23596">
        <w:rPr>
          <w:rFonts w:cs="Times New Roman"/>
          <w:szCs w:val="24"/>
          <w:lang w:val="fr-CA"/>
        </w:rPr>
        <w:t xml:space="preserve"> trancher la question de savoir s</w:t>
      </w:r>
      <w:r>
        <w:rPr>
          <w:rFonts w:cs="Times New Roman"/>
          <w:szCs w:val="24"/>
          <w:lang w:val="fr-CA"/>
        </w:rPr>
        <w:t>’</w:t>
      </w:r>
      <w:r w:rsidRPr="00D23596">
        <w:rPr>
          <w:rFonts w:cs="Times New Roman"/>
          <w:szCs w:val="24"/>
          <w:lang w:val="fr-CA"/>
        </w:rPr>
        <w:t>il existait un fondement permettant de délivrer le mandat de perquisition.</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 xml:space="preserve">Après avoir convenablement examiné la preuve, le juge </w:t>
      </w:r>
      <w:proofErr w:type="spellStart"/>
      <w:r w:rsidRPr="00D23596">
        <w:rPr>
          <w:rFonts w:cs="Times New Roman"/>
          <w:szCs w:val="24"/>
          <w:lang w:val="fr-CA"/>
        </w:rPr>
        <w:t>Juriansz</w:t>
      </w:r>
      <w:proofErr w:type="spellEnd"/>
      <w:r w:rsidRPr="00D23596">
        <w:rPr>
          <w:rFonts w:cs="Times New Roman"/>
          <w:szCs w:val="24"/>
          <w:lang w:val="fr-CA"/>
        </w:rPr>
        <w:t xml:space="preserve"> (l</w:t>
      </w:r>
      <w:r w:rsidR="006E453D">
        <w:rPr>
          <w:rFonts w:cs="Times New Roman"/>
          <w:szCs w:val="24"/>
          <w:lang w:val="fr-CA"/>
        </w:rPr>
        <w:t>a</w:t>
      </w:r>
      <w:r w:rsidRPr="00D23596">
        <w:rPr>
          <w:rFonts w:cs="Times New Roman"/>
          <w:szCs w:val="24"/>
          <w:lang w:val="fr-CA"/>
        </w:rPr>
        <w:t xml:space="preserve"> juge </w:t>
      </w:r>
      <w:proofErr w:type="spellStart"/>
      <w:r w:rsidRPr="00D23596">
        <w:rPr>
          <w:rFonts w:cs="Times New Roman"/>
          <w:szCs w:val="24"/>
          <w:lang w:val="fr-CA"/>
        </w:rPr>
        <w:t>Karakatsanis</w:t>
      </w:r>
      <w:proofErr w:type="spellEnd"/>
      <w:r w:rsidRPr="00D23596">
        <w:rPr>
          <w:rFonts w:cs="Times New Roman"/>
          <w:szCs w:val="24"/>
          <w:lang w:val="fr-CA"/>
        </w:rPr>
        <w:t xml:space="preserve"> souscrivant à ses motifs) a conclu qu</w:t>
      </w:r>
      <w:r>
        <w:rPr>
          <w:rFonts w:cs="Times New Roman"/>
          <w:szCs w:val="24"/>
          <w:lang w:val="fr-CA"/>
        </w:rPr>
        <w:t>’</w:t>
      </w:r>
      <w:r w:rsidRPr="00D23596">
        <w:rPr>
          <w:rFonts w:cs="Times New Roman"/>
          <w:szCs w:val="24"/>
          <w:lang w:val="fr-CA"/>
        </w:rPr>
        <w:t>il y avait suffisamment de motifs pour permettre au juge de paix de délivrer le mandat de perquisition.  Les juges majoritaires de la Cour d</w:t>
      </w:r>
      <w:r>
        <w:rPr>
          <w:rFonts w:cs="Times New Roman"/>
          <w:szCs w:val="24"/>
          <w:lang w:val="fr-CA"/>
        </w:rPr>
        <w:t>’</w:t>
      </w:r>
      <w:r w:rsidRPr="00D23596">
        <w:rPr>
          <w:rFonts w:cs="Times New Roman"/>
          <w:szCs w:val="24"/>
          <w:lang w:val="fr-CA"/>
        </w:rPr>
        <w:t>appel ont donc accueilli l</w:t>
      </w:r>
      <w:r>
        <w:rPr>
          <w:rFonts w:cs="Times New Roman"/>
          <w:szCs w:val="24"/>
          <w:lang w:val="fr-CA"/>
        </w:rPr>
        <w:t>’</w:t>
      </w:r>
      <w:r w:rsidRPr="00D23596">
        <w:rPr>
          <w:rFonts w:cs="Times New Roman"/>
          <w:szCs w:val="24"/>
          <w:lang w:val="fr-CA"/>
        </w:rPr>
        <w:t>appel, annulé les acquittements et renvoyé les accusations au tribunal de première instance.  Le juge Doherty, dissident, était d</w:t>
      </w:r>
      <w:r>
        <w:rPr>
          <w:rFonts w:cs="Times New Roman"/>
          <w:szCs w:val="24"/>
          <w:lang w:val="fr-CA"/>
        </w:rPr>
        <w:t>’</w:t>
      </w:r>
      <w:r w:rsidRPr="00D23596">
        <w:rPr>
          <w:rFonts w:cs="Times New Roman"/>
          <w:szCs w:val="24"/>
          <w:lang w:val="fr-CA"/>
        </w:rPr>
        <w:t>avis de rejeter l</w:t>
      </w:r>
      <w:r>
        <w:rPr>
          <w:rFonts w:cs="Times New Roman"/>
          <w:szCs w:val="24"/>
          <w:lang w:val="fr-CA"/>
        </w:rPr>
        <w:t>’</w:t>
      </w:r>
      <w:r w:rsidRPr="00D23596">
        <w:rPr>
          <w:rFonts w:cs="Times New Roman"/>
          <w:szCs w:val="24"/>
          <w:lang w:val="fr-CA"/>
        </w:rPr>
        <w:t>appel.</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M</w:t>
      </w:r>
      <w:r w:rsidR="00E0775A">
        <w:rPr>
          <w:rFonts w:cs="Times New Roman"/>
          <w:szCs w:val="24"/>
          <w:lang w:val="fr-CA"/>
        </w:rPr>
        <w:t>.</w:t>
      </w:r>
      <w:r w:rsidRPr="00D23596">
        <w:rPr>
          <w:rFonts w:cs="Times New Roman"/>
          <w:szCs w:val="24"/>
          <w:lang w:val="fr-CA"/>
        </w:rPr>
        <w:t xml:space="preserve"> Campbell se pourvoit de plein droit devant la Cour.  Il s</w:t>
      </w:r>
      <w:r>
        <w:rPr>
          <w:rFonts w:cs="Times New Roman"/>
          <w:szCs w:val="24"/>
          <w:lang w:val="fr-CA"/>
        </w:rPr>
        <w:t>’</w:t>
      </w:r>
      <w:r w:rsidRPr="00D23596">
        <w:rPr>
          <w:rFonts w:cs="Times New Roman"/>
          <w:szCs w:val="24"/>
          <w:lang w:val="fr-CA"/>
        </w:rPr>
        <w:t>agit précisément de savoir s</w:t>
      </w:r>
      <w:r>
        <w:rPr>
          <w:rFonts w:cs="Times New Roman"/>
          <w:szCs w:val="24"/>
          <w:lang w:val="fr-CA"/>
        </w:rPr>
        <w:t>’</w:t>
      </w:r>
      <w:r w:rsidRPr="00D23596">
        <w:rPr>
          <w:rFonts w:cs="Times New Roman"/>
          <w:szCs w:val="24"/>
          <w:lang w:val="fr-CA"/>
        </w:rPr>
        <w:t xml:space="preserve">il y avait suffisamment de motifs pour permettre au juge de paix de délivrer le mandat de perquisition.  À mon humble avis, il y en avait.  Le juge </w:t>
      </w:r>
      <w:proofErr w:type="spellStart"/>
      <w:r w:rsidRPr="00D23596">
        <w:rPr>
          <w:rFonts w:cs="Times New Roman"/>
          <w:szCs w:val="24"/>
          <w:lang w:val="fr-CA"/>
        </w:rPr>
        <w:t>Juriansz</w:t>
      </w:r>
      <w:proofErr w:type="spellEnd"/>
      <w:r w:rsidRPr="00D23596">
        <w:rPr>
          <w:rFonts w:cs="Times New Roman"/>
          <w:szCs w:val="24"/>
          <w:lang w:val="fr-CA"/>
        </w:rPr>
        <w:t xml:space="preserve"> a conclu à bon droit que la perquisition et la saisie étaient constitutionnelles et que la juge de première instance avait commis une erreur en écartant la preuve constituée par le fusil de chasse et les munitions.  Je suis d</w:t>
      </w:r>
      <w:r>
        <w:rPr>
          <w:rFonts w:cs="Times New Roman"/>
          <w:szCs w:val="24"/>
          <w:lang w:val="fr-CA"/>
        </w:rPr>
        <w:t>’</w:t>
      </w:r>
      <w:r w:rsidRPr="00D23596">
        <w:rPr>
          <w:rFonts w:cs="Times New Roman"/>
          <w:szCs w:val="24"/>
          <w:lang w:val="fr-CA"/>
        </w:rPr>
        <w:t xml:space="preserve">avis de rejeter le pourvoi, essentiellement pour les mêmes motifs que ceux invoqués par le juge </w:t>
      </w:r>
      <w:proofErr w:type="spellStart"/>
      <w:r w:rsidRPr="00D23596">
        <w:rPr>
          <w:rFonts w:cs="Times New Roman"/>
          <w:szCs w:val="24"/>
          <w:lang w:val="fr-CA"/>
        </w:rPr>
        <w:t>Juriansz</w:t>
      </w:r>
      <w:proofErr w:type="spellEnd"/>
      <w:r w:rsidRPr="00D23596">
        <w:rPr>
          <w:rFonts w:cs="Times New Roman"/>
          <w:szCs w:val="24"/>
          <w:lang w:val="fr-CA"/>
        </w:rPr>
        <w:t>.</w:t>
      </w:r>
    </w:p>
    <w:p w:rsidR="004D14CB" w:rsidRPr="00D23596" w:rsidRDefault="004D14CB" w:rsidP="004D14CB">
      <w:pPr>
        <w:pStyle w:val="TitleTitre-AltT"/>
        <w:keepNext/>
        <w:spacing w:after="720"/>
        <w:rPr>
          <w:rFonts w:cs="Times New Roman"/>
          <w:szCs w:val="24"/>
          <w:lang w:val="fr-CA"/>
        </w:rPr>
      </w:pPr>
      <w:r w:rsidRPr="00D23596">
        <w:rPr>
          <w:rFonts w:cs="Times New Roman"/>
          <w:szCs w:val="24"/>
          <w:lang w:val="fr-CA"/>
        </w:rPr>
        <w:lastRenderedPageBreak/>
        <w:t>2.</w:t>
      </w:r>
      <w:r w:rsidRPr="00D23596">
        <w:rPr>
          <w:rFonts w:cs="Times New Roman"/>
          <w:szCs w:val="24"/>
          <w:lang w:val="fr-CA"/>
        </w:rPr>
        <w:tab/>
      </w:r>
      <w:r w:rsidRPr="00D23596">
        <w:rPr>
          <w:rFonts w:cs="Times New Roman"/>
          <w:szCs w:val="24"/>
          <w:u w:val="single"/>
          <w:lang w:val="fr-CA"/>
        </w:rPr>
        <w:t>Les décisions des juridictions inférieures</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 xml:space="preserve">Le juge </w:t>
      </w:r>
      <w:proofErr w:type="spellStart"/>
      <w:r w:rsidRPr="00D23596">
        <w:rPr>
          <w:rFonts w:cs="Times New Roman"/>
          <w:szCs w:val="24"/>
          <w:lang w:val="fr-CA"/>
        </w:rPr>
        <w:t>Juriansz</w:t>
      </w:r>
      <w:proofErr w:type="spellEnd"/>
      <w:r w:rsidRPr="00D23596">
        <w:rPr>
          <w:rFonts w:cs="Times New Roman"/>
          <w:szCs w:val="24"/>
          <w:lang w:val="fr-CA"/>
        </w:rPr>
        <w:t xml:space="preserve"> a fait un examen approfondi du contenu de la dénonciation et des autres éléments de preuve présentés dans le cadre de la demande fondée sur la </w:t>
      </w:r>
      <w:r w:rsidRPr="00D23596">
        <w:rPr>
          <w:rFonts w:cs="Times New Roman"/>
          <w:i/>
          <w:szCs w:val="24"/>
          <w:lang w:val="fr-CA"/>
        </w:rPr>
        <w:t>Charte</w:t>
      </w:r>
      <w:r w:rsidRPr="00D23596">
        <w:rPr>
          <w:rFonts w:cs="Times New Roman"/>
          <w:szCs w:val="24"/>
          <w:lang w:val="fr-CA"/>
        </w:rPr>
        <w:t>.  Pour les fins du présent pourvoi, un bref résumé de la preuve sur laquelle la dénonciation était fondée suffira.</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M</w:t>
      </w:r>
      <w:r w:rsidR="00E0775A">
        <w:rPr>
          <w:rFonts w:cs="Times New Roman"/>
          <w:szCs w:val="24"/>
          <w:lang w:val="fr-CA"/>
        </w:rPr>
        <w:t>.</w:t>
      </w:r>
      <w:r w:rsidRPr="00D23596">
        <w:rPr>
          <w:rFonts w:cs="Times New Roman"/>
          <w:szCs w:val="24"/>
          <w:lang w:val="fr-CA"/>
        </w:rPr>
        <w:t xml:space="preserve"> Campbell a loué une chambre meublée dans une maison en rangée convertie en maison de chambres sise au 77</w:t>
      </w:r>
      <w:r w:rsidRPr="00D23596">
        <w:rPr>
          <w:rFonts w:cs="Times New Roman"/>
          <w:szCs w:val="24"/>
          <w:lang w:val="fr-CA"/>
        </w:rPr>
        <w:noBreakHyphen/>
        <w:t xml:space="preserve">246, boulevard John Garland, à Toronto.  La chambre de M. Campbell se trouvait au </w:t>
      </w:r>
      <w:proofErr w:type="spellStart"/>
      <w:r w:rsidRPr="00D23596">
        <w:rPr>
          <w:rFonts w:cs="Times New Roman"/>
          <w:szCs w:val="24"/>
          <w:lang w:val="fr-CA"/>
        </w:rPr>
        <w:t>sous</w:t>
      </w:r>
      <w:r w:rsidRPr="00D23596">
        <w:rPr>
          <w:rFonts w:cs="Times New Roman"/>
          <w:szCs w:val="24"/>
          <w:lang w:val="fr-CA"/>
        </w:rPr>
        <w:noBreakHyphen/>
        <w:t>sol</w:t>
      </w:r>
      <w:proofErr w:type="spellEnd"/>
      <w:r w:rsidRPr="00D23596">
        <w:rPr>
          <w:rFonts w:cs="Times New Roman"/>
          <w:szCs w:val="24"/>
          <w:lang w:val="fr-CA"/>
        </w:rPr>
        <w:t xml:space="preserve"> de la maison, mais il devait passer par le </w:t>
      </w:r>
      <w:proofErr w:type="spellStart"/>
      <w:r w:rsidRPr="00D23596">
        <w:rPr>
          <w:rFonts w:cs="Times New Roman"/>
          <w:szCs w:val="24"/>
          <w:lang w:val="fr-CA"/>
        </w:rPr>
        <w:t>rez</w:t>
      </w:r>
      <w:r w:rsidRPr="00D23596">
        <w:rPr>
          <w:rFonts w:cs="Times New Roman"/>
          <w:szCs w:val="24"/>
          <w:lang w:val="fr-CA"/>
        </w:rPr>
        <w:noBreakHyphen/>
        <w:t>de</w:t>
      </w:r>
      <w:r w:rsidRPr="00D23596">
        <w:rPr>
          <w:rFonts w:cs="Times New Roman"/>
          <w:szCs w:val="24"/>
          <w:lang w:val="fr-CA"/>
        </w:rPr>
        <w:noBreakHyphen/>
        <w:t>chaussée</w:t>
      </w:r>
      <w:proofErr w:type="spellEnd"/>
      <w:r w:rsidRPr="00D23596">
        <w:rPr>
          <w:rFonts w:cs="Times New Roman"/>
          <w:szCs w:val="24"/>
          <w:lang w:val="fr-CA"/>
        </w:rPr>
        <w:t xml:space="preserve"> pour s</w:t>
      </w:r>
      <w:r>
        <w:rPr>
          <w:rFonts w:cs="Times New Roman"/>
          <w:szCs w:val="24"/>
          <w:lang w:val="fr-CA"/>
        </w:rPr>
        <w:t>’</w:t>
      </w:r>
      <w:r w:rsidRPr="00D23596">
        <w:rPr>
          <w:rFonts w:cs="Times New Roman"/>
          <w:szCs w:val="24"/>
          <w:lang w:val="fr-CA"/>
        </w:rPr>
        <w:t xml:space="preserve">y rendre.  Les trois chambres à coucher situées au premier étage de la maison étaient louées à trois personnes non liées, à savoir </w:t>
      </w:r>
      <w:r w:rsidR="00AB0E6F">
        <w:rPr>
          <w:rFonts w:cs="Times New Roman"/>
          <w:szCs w:val="24"/>
          <w:lang w:val="fr-CA"/>
        </w:rPr>
        <w:t xml:space="preserve">M. </w:t>
      </w:r>
      <w:proofErr w:type="spellStart"/>
      <w:r w:rsidR="00A3270C">
        <w:rPr>
          <w:rFonts w:cs="Times New Roman"/>
          <w:szCs w:val="24"/>
          <w:lang w:val="fr-CA"/>
        </w:rPr>
        <w:t>Imona</w:t>
      </w:r>
      <w:proofErr w:type="spellEnd"/>
      <w:r w:rsidR="00A3270C">
        <w:rPr>
          <w:rFonts w:cs="Times New Roman"/>
          <w:szCs w:val="24"/>
          <w:lang w:val="fr-CA"/>
        </w:rPr>
        <w:t xml:space="preserve">-Russel (qui a </w:t>
      </w:r>
      <w:r w:rsidR="003F7CE9">
        <w:rPr>
          <w:rFonts w:cs="Times New Roman"/>
          <w:szCs w:val="24"/>
          <w:lang w:val="fr-CA"/>
        </w:rPr>
        <w:t>éventuellement été déclaré coup</w:t>
      </w:r>
      <w:r w:rsidR="00A3270C">
        <w:rPr>
          <w:rFonts w:cs="Times New Roman"/>
          <w:szCs w:val="24"/>
          <w:lang w:val="fr-CA"/>
        </w:rPr>
        <w:t>able du meurtre</w:t>
      </w:r>
      <w:r w:rsidR="00994BA7">
        <w:rPr>
          <w:rFonts w:cs="Times New Roman"/>
          <w:szCs w:val="24"/>
          <w:lang w:val="fr-CA"/>
        </w:rPr>
        <w:t xml:space="preserve">), M. </w:t>
      </w:r>
      <w:proofErr w:type="spellStart"/>
      <w:r w:rsidRPr="00D23596">
        <w:rPr>
          <w:rFonts w:cs="Times New Roman"/>
          <w:szCs w:val="24"/>
          <w:lang w:val="fr-CA"/>
        </w:rPr>
        <w:t>Ryder</w:t>
      </w:r>
      <w:proofErr w:type="spellEnd"/>
      <w:r w:rsidRPr="00D23596">
        <w:rPr>
          <w:rFonts w:cs="Times New Roman"/>
          <w:szCs w:val="24"/>
          <w:lang w:val="fr-CA"/>
        </w:rPr>
        <w:t xml:space="preserve">, et la </w:t>
      </w:r>
      <w:r w:rsidR="00AB0E6F">
        <w:rPr>
          <w:rFonts w:cs="Times New Roman"/>
          <w:szCs w:val="24"/>
          <w:lang w:val="fr-CA"/>
        </w:rPr>
        <w:t>victime, M</w:t>
      </w:r>
      <w:r w:rsidR="00AB0E6F" w:rsidRPr="00AB0E6F">
        <w:rPr>
          <w:rFonts w:cs="Times New Roman"/>
          <w:szCs w:val="24"/>
          <w:vertAlign w:val="superscript"/>
          <w:lang w:val="fr-CA"/>
        </w:rPr>
        <w:t>me</w:t>
      </w:r>
      <w:r w:rsidRPr="00D23596">
        <w:rPr>
          <w:rFonts w:cs="Times New Roman"/>
          <w:szCs w:val="24"/>
          <w:lang w:val="fr-CA"/>
        </w:rPr>
        <w:t xml:space="preserve"> </w:t>
      </w:r>
      <w:proofErr w:type="spellStart"/>
      <w:r w:rsidRPr="00D23596">
        <w:rPr>
          <w:rFonts w:cs="Times New Roman"/>
          <w:szCs w:val="24"/>
          <w:lang w:val="fr-CA"/>
        </w:rPr>
        <w:t>Ashareh</w:t>
      </w:r>
      <w:proofErr w:type="spellEnd"/>
      <w:r w:rsidRPr="00D23596">
        <w:rPr>
          <w:rFonts w:cs="Times New Roman"/>
          <w:szCs w:val="24"/>
          <w:lang w:val="fr-CA"/>
        </w:rPr>
        <w:t>.  La porte de la chambre de chaque locataire était dotée d</w:t>
      </w:r>
      <w:r>
        <w:rPr>
          <w:rFonts w:cs="Times New Roman"/>
          <w:szCs w:val="24"/>
          <w:lang w:val="fr-CA"/>
        </w:rPr>
        <w:t>’</w:t>
      </w:r>
      <w:r w:rsidRPr="00D23596">
        <w:rPr>
          <w:rFonts w:cs="Times New Roman"/>
          <w:szCs w:val="24"/>
          <w:lang w:val="fr-CA"/>
        </w:rPr>
        <w:t>un verrou.  Il y avait une salle de bain commune à cet étage, et une cuisine, une salle à ma</w:t>
      </w:r>
      <w:r w:rsidR="00AB0E6F">
        <w:rPr>
          <w:rFonts w:cs="Times New Roman"/>
          <w:szCs w:val="24"/>
          <w:lang w:val="fr-CA"/>
        </w:rPr>
        <w:t>nger et un salon communs au rez-de-</w:t>
      </w:r>
      <w:r w:rsidRPr="00D23596">
        <w:rPr>
          <w:rFonts w:cs="Times New Roman"/>
          <w:szCs w:val="24"/>
          <w:lang w:val="fr-CA"/>
        </w:rPr>
        <w:t xml:space="preserve">chaussée.  Il y avait également une autre cuisine et </w:t>
      </w:r>
      <w:r w:rsidR="00AB0E6F">
        <w:rPr>
          <w:rFonts w:cs="Times New Roman"/>
          <w:szCs w:val="24"/>
          <w:lang w:val="fr-CA"/>
        </w:rPr>
        <w:t>une autre salle de bain au sous-</w:t>
      </w:r>
      <w:r w:rsidRPr="00D23596">
        <w:rPr>
          <w:rFonts w:cs="Times New Roman"/>
          <w:szCs w:val="24"/>
          <w:lang w:val="fr-CA"/>
        </w:rPr>
        <w:t>sol.</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Le 14 juillet 2006, les restes d</w:t>
      </w:r>
      <w:r>
        <w:rPr>
          <w:rFonts w:cs="Times New Roman"/>
          <w:szCs w:val="24"/>
          <w:lang w:val="fr-CA"/>
        </w:rPr>
        <w:t>’</w:t>
      </w:r>
      <w:r w:rsidRPr="00D23596">
        <w:rPr>
          <w:rFonts w:cs="Times New Roman"/>
          <w:szCs w:val="24"/>
          <w:lang w:val="fr-CA"/>
        </w:rPr>
        <w:t>un corps humain partiellement vêtu ont été découverts, à environ 100 mètres de la maison, dans un gros sac de sport noir.  Selon l</w:t>
      </w:r>
      <w:r>
        <w:rPr>
          <w:rFonts w:cs="Times New Roman"/>
          <w:szCs w:val="24"/>
          <w:lang w:val="fr-CA"/>
        </w:rPr>
        <w:t>’</w:t>
      </w:r>
      <w:r w:rsidRPr="00D23596">
        <w:rPr>
          <w:rFonts w:cs="Times New Roman"/>
          <w:szCs w:val="24"/>
          <w:lang w:val="fr-CA"/>
        </w:rPr>
        <w:t>enquête policière, il s</w:t>
      </w:r>
      <w:r>
        <w:rPr>
          <w:rFonts w:cs="Times New Roman"/>
          <w:szCs w:val="24"/>
          <w:lang w:val="fr-CA"/>
        </w:rPr>
        <w:t>’</w:t>
      </w:r>
      <w:r w:rsidRPr="00D23596">
        <w:rPr>
          <w:rFonts w:cs="Times New Roman"/>
          <w:szCs w:val="24"/>
          <w:lang w:val="fr-CA"/>
        </w:rPr>
        <w:t>agissait du corps de M</w:t>
      </w:r>
      <w:r w:rsidRPr="00D23596">
        <w:rPr>
          <w:rFonts w:cs="Times New Roman"/>
          <w:szCs w:val="24"/>
          <w:vertAlign w:val="superscript"/>
          <w:lang w:val="fr-CA"/>
        </w:rPr>
        <w:t>me </w:t>
      </w:r>
      <w:proofErr w:type="spellStart"/>
      <w:r w:rsidRPr="00D23596">
        <w:rPr>
          <w:rFonts w:cs="Times New Roman"/>
          <w:szCs w:val="24"/>
          <w:lang w:val="fr-CA"/>
        </w:rPr>
        <w:t>Ashareh</w:t>
      </w:r>
      <w:proofErr w:type="spellEnd"/>
      <w:r w:rsidRPr="00D23596">
        <w:rPr>
          <w:rFonts w:cs="Times New Roman"/>
          <w:szCs w:val="24"/>
          <w:lang w:val="fr-CA"/>
        </w:rPr>
        <w:t xml:space="preserve">, qui avait été poignardée à mort.  Le sac de sport contenait aussi des sacs à déchets, dans lesquels se trouvaient des articles tels un reçu relatif à une commande de mets chinois livrée à la maison et </w:t>
      </w:r>
      <w:r w:rsidRPr="00D23596">
        <w:rPr>
          <w:rFonts w:cs="Times New Roman"/>
          <w:szCs w:val="24"/>
          <w:lang w:val="fr-CA"/>
        </w:rPr>
        <w:lastRenderedPageBreak/>
        <w:t>un reçu de la Western Union sur lequel figuraient le nom de M. </w:t>
      </w:r>
      <w:proofErr w:type="spellStart"/>
      <w:r w:rsidRPr="00D23596">
        <w:rPr>
          <w:rFonts w:cs="Times New Roman"/>
          <w:szCs w:val="24"/>
          <w:lang w:val="fr-CA"/>
        </w:rPr>
        <w:t>Imona</w:t>
      </w:r>
      <w:r w:rsidRPr="00D23596">
        <w:rPr>
          <w:rFonts w:cs="Times New Roman"/>
          <w:szCs w:val="24"/>
          <w:lang w:val="fr-CA"/>
        </w:rPr>
        <w:noBreakHyphen/>
        <w:t>Russel</w:t>
      </w:r>
      <w:proofErr w:type="spellEnd"/>
      <w:r w:rsidRPr="00D23596">
        <w:rPr>
          <w:rFonts w:cs="Times New Roman"/>
          <w:szCs w:val="24"/>
          <w:lang w:val="fr-CA"/>
        </w:rPr>
        <w:t xml:space="preserve"> et l</w:t>
      </w:r>
      <w:r>
        <w:rPr>
          <w:rFonts w:cs="Times New Roman"/>
          <w:szCs w:val="24"/>
          <w:lang w:val="fr-CA"/>
        </w:rPr>
        <w:t>’</w:t>
      </w:r>
      <w:r w:rsidRPr="00D23596">
        <w:rPr>
          <w:rFonts w:cs="Times New Roman"/>
          <w:szCs w:val="24"/>
          <w:lang w:val="fr-CA"/>
        </w:rPr>
        <w:t>adresse de la maison.</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Une recherche dans les bases de données informatisées de la police relativement à la maison a produit plusieurs « occurrences », notamment trois accusations en instance portées contre M. </w:t>
      </w:r>
      <w:proofErr w:type="spellStart"/>
      <w:r w:rsidRPr="00D23596">
        <w:rPr>
          <w:rFonts w:cs="Times New Roman"/>
          <w:szCs w:val="24"/>
          <w:lang w:val="fr-CA"/>
        </w:rPr>
        <w:t>Imona</w:t>
      </w:r>
      <w:r w:rsidRPr="00D23596">
        <w:rPr>
          <w:rFonts w:cs="Times New Roman"/>
          <w:szCs w:val="24"/>
          <w:lang w:val="fr-CA"/>
        </w:rPr>
        <w:noBreakHyphen/>
        <w:t>Russel</w:t>
      </w:r>
      <w:proofErr w:type="spellEnd"/>
      <w:r w:rsidRPr="00D23596">
        <w:rPr>
          <w:rFonts w:cs="Times New Roman"/>
          <w:szCs w:val="24"/>
          <w:lang w:val="fr-CA"/>
        </w:rPr>
        <w:t xml:space="preserve"> pour agression sexuelle grave.  Craignant pour la sécurité des autres occupants de la maison, des membres de l</w:t>
      </w:r>
      <w:r>
        <w:rPr>
          <w:rFonts w:cs="Times New Roman"/>
          <w:szCs w:val="24"/>
          <w:lang w:val="fr-CA"/>
        </w:rPr>
        <w:t>’</w:t>
      </w:r>
      <w:r w:rsidRPr="00D23596">
        <w:rPr>
          <w:rFonts w:cs="Times New Roman"/>
          <w:szCs w:val="24"/>
          <w:lang w:val="fr-CA"/>
        </w:rPr>
        <w:t>escouade d</w:t>
      </w:r>
      <w:r>
        <w:rPr>
          <w:rFonts w:cs="Times New Roman"/>
          <w:szCs w:val="24"/>
          <w:lang w:val="fr-CA"/>
        </w:rPr>
        <w:t>’</w:t>
      </w:r>
      <w:r w:rsidRPr="00D23596">
        <w:rPr>
          <w:rFonts w:cs="Times New Roman"/>
          <w:szCs w:val="24"/>
          <w:lang w:val="fr-CA"/>
        </w:rPr>
        <w:t>urgence y ont pénétré le 15 juillet 2006 et en ont retiré M. Campbell, sa petite amie, et M. </w:t>
      </w:r>
      <w:proofErr w:type="spellStart"/>
      <w:r w:rsidRPr="00D23596">
        <w:rPr>
          <w:rFonts w:cs="Times New Roman"/>
          <w:szCs w:val="24"/>
          <w:lang w:val="fr-CA"/>
        </w:rPr>
        <w:t>Imona</w:t>
      </w:r>
      <w:r w:rsidRPr="00D23596">
        <w:rPr>
          <w:rFonts w:cs="Times New Roman"/>
          <w:szCs w:val="24"/>
          <w:lang w:val="fr-CA"/>
        </w:rPr>
        <w:noBreakHyphen/>
        <w:t>Russel</w:t>
      </w:r>
      <w:proofErr w:type="spellEnd"/>
      <w:r w:rsidRPr="00D23596">
        <w:rPr>
          <w:rFonts w:cs="Times New Roman"/>
          <w:szCs w:val="24"/>
          <w:lang w:val="fr-CA"/>
        </w:rPr>
        <w:t>.  Dans une déclaration qu</w:t>
      </w:r>
      <w:r>
        <w:rPr>
          <w:rFonts w:cs="Times New Roman"/>
          <w:szCs w:val="24"/>
          <w:lang w:val="fr-CA"/>
        </w:rPr>
        <w:t>’</w:t>
      </w:r>
      <w:r w:rsidRPr="00D23596">
        <w:rPr>
          <w:rFonts w:cs="Times New Roman"/>
          <w:szCs w:val="24"/>
          <w:lang w:val="fr-CA"/>
        </w:rPr>
        <w:t>il a faite à la police, M. Campbell a expliqué qu</w:t>
      </w:r>
      <w:r>
        <w:rPr>
          <w:rFonts w:cs="Times New Roman"/>
          <w:szCs w:val="24"/>
          <w:lang w:val="fr-CA"/>
        </w:rPr>
        <w:t>’</w:t>
      </w:r>
      <w:r w:rsidRPr="00D23596">
        <w:rPr>
          <w:rFonts w:cs="Times New Roman"/>
          <w:szCs w:val="24"/>
          <w:lang w:val="fr-CA"/>
        </w:rPr>
        <w:t xml:space="preserve">il avait emménagé dans la maison à la </w:t>
      </w:r>
      <w:proofErr w:type="spellStart"/>
      <w:r w:rsidRPr="00D23596">
        <w:rPr>
          <w:rFonts w:cs="Times New Roman"/>
          <w:szCs w:val="24"/>
          <w:lang w:val="fr-CA"/>
        </w:rPr>
        <w:t>mi</w:t>
      </w:r>
      <w:r w:rsidRPr="00D23596">
        <w:rPr>
          <w:rFonts w:cs="Times New Roman"/>
          <w:szCs w:val="24"/>
          <w:lang w:val="fr-CA"/>
        </w:rPr>
        <w:noBreakHyphen/>
        <w:t>juin</w:t>
      </w:r>
      <w:proofErr w:type="spellEnd"/>
      <w:r w:rsidRPr="00D23596">
        <w:rPr>
          <w:rFonts w:cs="Times New Roman"/>
          <w:szCs w:val="24"/>
          <w:lang w:val="fr-CA"/>
        </w:rPr>
        <w:t xml:space="preserve"> 2006 et qu</w:t>
      </w:r>
      <w:r>
        <w:rPr>
          <w:rFonts w:cs="Times New Roman"/>
          <w:szCs w:val="24"/>
          <w:lang w:val="fr-CA"/>
        </w:rPr>
        <w:t>’</w:t>
      </w:r>
      <w:r w:rsidRPr="00D23596">
        <w:rPr>
          <w:rFonts w:cs="Times New Roman"/>
          <w:szCs w:val="24"/>
          <w:lang w:val="fr-CA"/>
        </w:rPr>
        <w:t>il n</w:t>
      </w:r>
      <w:r>
        <w:rPr>
          <w:rFonts w:cs="Times New Roman"/>
          <w:szCs w:val="24"/>
          <w:lang w:val="fr-CA"/>
        </w:rPr>
        <w:t>’</w:t>
      </w:r>
      <w:r w:rsidRPr="00D23596">
        <w:rPr>
          <w:rFonts w:cs="Times New Roman"/>
          <w:szCs w:val="24"/>
          <w:lang w:val="fr-CA"/>
        </w:rPr>
        <w:t>était jamais allé au premier étage.  Dans la déclaration qu</w:t>
      </w:r>
      <w:r>
        <w:rPr>
          <w:rFonts w:cs="Times New Roman"/>
          <w:szCs w:val="24"/>
          <w:lang w:val="fr-CA"/>
        </w:rPr>
        <w:t>’</w:t>
      </w:r>
      <w:r w:rsidRPr="00D23596">
        <w:rPr>
          <w:rFonts w:cs="Times New Roman"/>
          <w:szCs w:val="24"/>
          <w:lang w:val="fr-CA"/>
        </w:rPr>
        <w:t>il a faite à la police, M. </w:t>
      </w:r>
      <w:proofErr w:type="spellStart"/>
      <w:r w:rsidRPr="00D23596">
        <w:rPr>
          <w:rFonts w:cs="Times New Roman"/>
          <w:szCs w:val="24"/>
          <w:lang w:val="fr-CA"/>
        </w:rPr>
        <w:t>Imona</w:t>
      </w:r>
      <w:r w:rsidRPr="00D23596">
        <w:rPr>
          <w:rFonts w:cs="Times New Roman"/>
          <w:szCs w:val="24"/>
          <w:lang w:val="fr-CA"/>
        </w:rPr>
        <w:noBreakHyphen/>
        <w:t>Russel</w:t>
      </w:r>
      <w:proofErr w:type="spellEnd"/>
      <w:r w:rsidRPr="00D23596">
        <w:rPr>
          <w:rFonts w:cs="Times New Roman"/>
          <w:szCs w:val="24"/>
          <w:lang w:val="fr-CA"/>
        </w:rPr>
        <w:t xml:space="preserve"> a mentionné que M. Campbell s</w:t>
      </w:r>
      <w:r>
        <w:rPr>
          <w:rFonts w:cs="Times New Roman"/>
          <w:szCs w:val="24"/>
          <w:lang w:val="fr-CA"/>
        </w:rPr>
        <w:t>’</w:t>
      </w:r>
      <w:r w:rsidRPr="00D23596">
        <w:rPr>
          <w:rFonts w:cs="Times New Roman"/>
          <w:szCs w:val="24"/>
          <w:lang w:val="fr-CA"/>
        </w:rPr>
        <w:t>était servi de sacs noirs lorsqu</w:t>
      </w:r>
      <w:r>
        <w:rPr>
          <w:rFonts w:cs="Times New Roman"/>
          <w:szCs w:val="24"/>
          <w:lang w:val="fr-CA"/>
        </w:rPr>
        <w:t>’</w:t>
      </w:r>
      <w:r w:rsidRPr="00D23596">
        <w:rPr>
          <w:rFonts w:cs="Times New Roman"/>
          <w:szCs w:val="24"/>
          <w:lang w:val="fr-CA"/>
        </w:rPr>
        <w:t>il avait emménagé dans la maison.</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Sur la foi d</w:t>
      </w:r>
      <w:r>
        <w:rPr>
          <w:rFonts w:cs="Times New Roman"/>
          <w:szCs w:val="24"/>
          <w:lang w:val="fr-CA"/>
        </w:rPr>
        <w:t>’</w:t>
      </w:r>
      <w:r w:rsidRPr="00D23596">
        <w:rPr>
          <w:rFonts w:cs="Times New Roman"/>
          <w:szCs w:val="24"/>
          <w:lang w:val="fr-CA"/>
        </w:rPr>
        <w:t>une dénonciation assermentée, la police a demandé et obtenu un mandat de perquisition de la maison.  La dénonciation consistait en la formule 1 exigée par l</w:t>
      </w:r>
      <w:r>
        <w:rPr>
          <w:rFonts w:cs="Times New Roman"/>
          <w:szCs w:val="24"/>
          <w:lang w:val="fr-CA"/>
        </w:rPr>
        <w:t>’</w:t>
      </w:r>
      <w:r w:rsidRPr="00D23596">
        <w:rPr>
          <w:rFonts w:cs="Times New Roman"/>
          <w:szCs w:val="24"/>
          <w:lang w:val="fr-CA"/>
        </w:rPr>
        <w:t xml:space="preserve">art. 487 du </w:t>
      </w:r>
      <w:r w:rsidRPr="00D23596">
        <w:rPr>
          <w:rFonts w:cs="Times New Roman"/>
          <w:i/>
          <w:szCs w:val="24"/>
          <w:lang w:val="fr-CA"/>
        </w:rPr>
        <w:t>Code criminel</w:t>
      </w:r>
      <w:r w:rsidRPr="00D23596">
        <w:rPr>
          <w:rFonts w:cs="Times New Roman"/>
          <w:szCs w:val="24"/>
          <w:lang w:val="fr-CA"/>
        </w:rPr>
        <w:t>, L.R.C. 1985, ch. C</w:t>
      </w:r>
      <w:r w:rsidRPr="00D23596">
        <w:rPr>
          <w:rFonts w:cs="Times New Roman"/>
          <w:szCs w:val="24"/>
          <w:lang w:val="fr-CA"/>
        </w:rPr>
        <w:noBreakHyphen/>
        <w:t>46, accompagnée de dix annexes.  À son procès, M. Campbell a fait valoir que la dénonciation avait une portée trop large et qu</w:t>
      </w:r>
      <w:r>
        <w:rPr>
          <w:rFonts w:cs="Times New Roman"/>
          <w:szCs w:val="24"/>
          <w:lang w:val="fr-CA"/>
        </w:rPr>
        <w:t>’</w:t>
      </w:r>
      <w:r w:rsidRPr="00D23596">
        <w:rPr>
          <w:rFonts w:cs="Times New Roman"/>
          <w:szCs w:val="24"/>
          <w:lang w:val="fr-CA"/>
        </w:rPr>
        <w:t>elle était insuffisante en ce qui concernait la chambre qu</w:t>
      </w:r>
      <w:r>
        <w:rPr>
          <w:rFonts w:cs="Times New Roman"/>
          <w:szCs w:val="24"/>
          <w:lang w:val="fr-CA"/>
        </w:rPr>
        <w:t>’</w:t>
      </w:r>
      <w:r w:rsidRPr="00D23596">
        <w:rPr>
          <w:rFonts w:cs="Times New Roman"/>
          <w:szCs w:val="24"/>
          <w:lang w:val="fr-CA"/>
        </w:rPr>
        <w:t>il louait.  Il a donc demandé que la preuve constituée par le fusil de chasse et les munitions soi</w:t>
      </w:r>
      <w:r w:rsidR="00AB0E6F">
        <w:rPr>
          <w:rFonts w:cs="Times New Roman"/>
          <w:szCs w:val="24"/>
          <w:lang w:val="fr-CA"/>
        </w:rPr>
        <w:t>t</w:t>
      </w:r>
      <w:r w:rsidRPr="00D23596">
        <w:rPr>
          <w:rFonts w:cs="Times New Roman"/>
          <w:szCs w:val="24"/>
          <w:lang w:val="fr-CA"/>
        </w:rPr>
        <w:t xml:space="preserve"> écartée au motif qu</w:t>
      </w:r>
      <w:r>
        <w:rPr>
          <w:rFonts w:cs="Times New Roman"/>
          <w:szCs w:val="24"/>
          <w:lang w:val="fr-CA"/>
        </w:rPr>
        <w:t>’</w:t>
      </w:r>
      <w:r w:rsidRPr="00D23596">
        <w:rPr>
          <w:rFonts w:cs="Times New Roman"/>
          <w:szCs w:val="24"/>
          <w:lang w:val="fr-CA"/>
        </w:rPr>
        <w:t>il avait été porté atteinte au droit à la protection contre les fouilles, les perquisitions ou les saisies abusives que lui garantit l</w:t>
      </w:r>
      <w:r>
        <w:rPr>
          <w:rFonts w:cs="Times New Roman"/>
          <w:szCs w:val="24"/>
          <w:lang w:val="fr-CA"/>
        </w:rPr>
        <w:t>’</w:t>
      </w:r>
      <w:r w:rsidRPr="00D23596">
        <w:rPr>
          <w:rFonts w:cs="Times New Roman"/>
          <w:szCs w:val="24"/>
          <w:lang w:val="fr-CA"/>
        </w:rPr>
        <w:t xml:space="preserve">art. 8 de la </w:t>
      </w:r>
      <w:r w:rsidRPr="00D23596">
        <w:rPr>
          <w:rFonts w:cs="Times New Roman"/>
          <w:i/>
          <w:szCs w:val="24"/>
          <w:lang w:val="fr-CA"/>
        </w:rPr>
        <w:t>Charte canadienne des droits et libertés.</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lastRenderedPageBreak/>
        <w:t>Selon la juge de première instance, la dénonciation comportait quatre lacunes.  Premièrement, l</w:t>
      </w:r>
      <w:r>
        <w:rPr>
          <w:rFonts w:cs="Times New Roman"/>
          <w:szCs w:val="24"/>
          <w:lang w:val="fr-CA"/>
        </w:rPr>
        <w:t>’</w:t>
      </w:r>
      <w:r w:rsidRPr="00D23596">
        <w:rPr>
          <w:rFonts w:cs="Times New Roman"/>
          <w:szCs w:val="24"/>
          <w:lang w:val="fr-CA"/>
        </w:rPr>
        <w:t>auteur de la dénonciation a confondu les casiers judiciaires et les antécédents des trois locataires, alors que seuls les antécédents de M. </w:t>
      </w:r>
      <w:proofErr w:type="spellStart"/>
      <w:r w:rsidRPr="00D23596">
        <w:rPr>
          <w:rFonts w:cs="Times New Roman"/>
          <w:szCs w:val="24"/>
          <w:lang w:val="fr-CA"/>
        </w:rPr>
        <w:t>Imona</w:t>
      </w:r>
      <w:r w:rsidRPr="00D23596">
        <w:rPr>
          <w:rFonts w:cs="Times New Roman"/>
          <w:szCs w:val="24"/>
          <w:lang w:val="fr-CA"/>
        </w:rPr>
        <w:noBreakHyphen/>
        <w:t>Russel</w:t>
      </w:r>
      <w:proofErr w:type="spellEnd"/>
      <w:r w:rsidRPr="00D23596">
        <w:rPr>
          <w:rFonts w:cs="Times New Roman"/>
          <w:szCs w:val="24"/>
          <w:lang w:val="fr-CA"/>
        </w:rPr>
        <w:t xml:space="preserve"> étaient pertinents quant à l</w:t>
      </w:r>
      <w:r>
        <w:rPr>
          <w:rFonts w:cs="Times New Roman"/>
          <w:szCs w:val="24"/>
          <w:lang w:val="fr-CA"/>
        </w:rPr>
        <w:t>’</w:t>
      </w:r>
      <w:r w:rsidRPr="00D23596">
        <w:rPr>
          <w:rFonts w:cs="Times New Roman"/>
          <w:szCs w:val="24"/>
          <w:lang w:val="fr-CA"/>
        </w:rPr>
        <w:t>infraction.  Deuxièmement, il a exagéré la connaissance qu</w:t>
      </w:r>
      <w:r>
        <w:rPr>
          <w:rFonts w:cs="Times New Roman"/>
          <w:szCs w:val="24"/>
          <w:lang w:val="fr-CA"/>
        </w:rPr>
        <w:t>’</w:t>
      </w:r>
      <w:r w:rsidRPr="00D23596">
        <w:rPr>
          <w:rFonts w:cs="Times New Roman"/>
          <w:szCs w:val="24"/>
          <w:lang w:val="fr-CA"/>
        </w:rPr>
        <w:t xml:space="preserve">avaient les locataires des allées et venues de chacun; il ressort tout au plus des liens qui existaient entre les locataires que </w:t>
      </w:r>
      <w:proofErr w:type="spellStart"/>
      <w:r w:rsidRPr="00D23596">
        <w:rPr>
          <w:rFonts w:cs="Times New Roman"/>
          <w:szCs w:val="24"/>
          <w:lang w:val="fr-CA"/>
        </w:rPr>
        <w:t>ceux</w:t>
      </w:r>
      <w:r w:rsidRPr="00D23596">
        <w:rPr>
          <w:rFonts w:cs="Times New Roman"/>
          <w:szCs w:val="24"/>
          <w:lang w:val="fr-CA"/>
        </w:rPr>
        <w:noBreakHyphen/>
        <w:t>ci</w:t>
      </w:r>
      <w:proofErr w:type="spellEnd"/>
      <w:r w:rsidRPr="00D23596">
        <w:rPr>
          <w:rFonts w:cs="Times New Roman"/>
          <w:szCs w:val="24"/>
          <w:lang w:val="fr-CA"/>
        </w:rPr>
        <w:t xml:space="preserve"> avaient pu avoir l</w:t>
      </w:r>
      <w:r>
        <w:rPr>
          <w:rFonts w:cs="Times New Roman"/>
          <w:szCs w:val="24"/>
          <w:lang w:val="fr-CA"/>
        </w:rPr>
        <w:t>’</w:t>
      </w:r>
      <w:r w:rsidRPr="00D23596">
        <w:rPr>
          <w:rFonts w:cs="Times New Roman"/>
          <w:szCs w:val="24"/>
          <w:lang w:val="fr-CA"/>
        </w:rPr>
        <w:t>occasion de participer à l</w:t>
      </w:r>
      <w:r>
        <w:rPr>
          <w:rFonts w:cs="Times New Roman"/>
          <w:szCs w:val="24"/>
          <w:lang w:val="fr-CA"/>
        </w:rPr>
        <w:t>’</w:t>
      </w:r>
      <w:r w:rsidRPr="00D23596">
        <w:rPr>
          <w:rFonts w:cs="Times New Roman"/>
          <w:szCs w:val="24"/>
          <w:lang w:val="fr-CA"/>
        </w:rPr>
        <w:t>infraction, ce qui ne constitue pas un motif raisonnable et probable.  Troisièmement, son affirmation qu</w:t>
      </w:r>
      <w:r>
        <w:rPr>
          <w:rFonts w:cs="Times New Roman"/>
          <w:szCs w:val="24"/>
          <w:lang w:val="fr-CA"/>
        </w:rPr>
        <w:t>’</w:t>
      </w:r>
      <w:r w:rsidRPr="00D23596">
        <w:rPr>
          <w:rFonts w:cs="Times New Roman"/>
          <w:szCs w:val="24"/>
          <w:lang w:val="fr-CA"/>
        </w:rPr>
        <w:t>il n</w:t>
      </w:r>
      <w:r>
        <w:rPr>
          <w:rFonts w:cs="Times New Roman"/>
          <w:szCs w:val="24"/>
          <w:lang w:val="fr-CA"/>
        </w:rPr>
        <w:t>’</w:t>
      </w:r>
      <w:r w:rsidRPr="00D23596">
        <w:rPr>
          <w:rFonts w:cs="Times New Roman"/>
          <w:szCs w:val="24"/>
          <w:lang w:val="fr-CA"/>
        </w:rPr>
        <w:t xml:space="preserve">était </w:t>
      </w:r>
      <w:proofErr w:type="spellStart"/>
      <w:r w:rsidRPr="00D23596">
        <w:rPr>
          <w:rFonts w:cs="Times New Roman"/>
          <w:szCs w:val="24"/>
          <w:lang w:val="fr-CA"/>
        </w:rPr>
        <w:t>peut</w:t>
      </w:r>
      <w:r w:rsidRPr="00D23596">
        <w:rPr>
          <w:rFonts w:cs="Times New Roman"/>
          <w:szCs w:val="24"/>
          <w:lang w:val="fr-CA"/>
        </w:rPr>
        <w:noBreakHyphen/>
        <w:t>être</w:t>
      </w:r>
      <w:proofErr w:type="spellEnd"/>
      <w:r w:rsidRPr="00D23596">
        <w:rPr>
          <w:rFonts w:cs="Times New Roman"/>
          <w:szCs w:val="24"/>
          <w:lang w:val="fr-CA"/>
        </w:rPr>
        <w:t xml:space="preserve"> pas possible de verrouiller convenablement les portes des chambres n</w:t>
      </w:r>
      <w:r>
        <w:rPr>
          <w:rFonts w:cs="Times New Roman"/>
          <w:szCs w:val="24"/>
          <w:lang w:val="fr-CA"/>
        </w:rPr>
        <w:t>’</w:t>
      </w:r>
      <w:r w:rsidRPr="00D23596">
        <w:rPr>
          <w:rFonts w:cs="Times New Roman"/>
          <w:szCs w:val="24"/>
          <w:lang w:val="fr-CA"/>
        </w:rPr>
        <w:t xml:space="preserve">était que pure conjecture.  Quatrièmement, le reçu relatif à la commande de mets chinois ne constituait pas non plus un motif raisonnable et probable justifiant la fouille de la chambre de M. Campbell.  La juge de première instance a également conclu que le libellé de la dénonciation était </w:t>
      </w:r>
      <w:r w:rsidRPr="00D23596">
        <w:rPr>
          <w:rFonts w:cs="Times New Roman"/>
          <w:smallCaps/>
          <w:szCs w:val="24"/>
          <w:lang w:val="fr-CA"/>
        </w:rPr>
        <w:t>[traduction]</w:t>
      </w:r>
      <w:r w:rsidRPr="00D23596">
        <w:rPr>
          <w:rFonts w:cs="Times New Roman"/>
          <w:szCs w:val="24"/>
          <w:lang w:val="fr-CA"/>
        </w:rPr>
        <w:t xml:space="preserve"> « intentionnellement confus et obscur » (par. 18).  Elle a conclu qu</w:t>
      </w:r>
      <w:r>
        <w:rPr>
          <w:rFonts w:cs="Times New Roman"/>
          <w:szCs w:val="24"/>
          <w:lang w:val="fr-CA"/>
        </w:rPr>
        <w:t>’</w:t>
      </w:r>
      <w:r w:rsidRPr="00D23596">
        <w:rPr>
          <w:rFonts w:cs="Times New Roman"/>
          <w:szCs w:val="24"/>
          <w:lang w:val="fr-CA"/>
        </w:rPr>
        <w:t>il avait été porté atteinte aux droits que l</w:t>
      </w:r>
      <w:r>
        <w:rPr>
          <w:rFonts w:cs="Times New Roman"/>
          <w:szCs w:val="24"/>
          <w:lang w:val="fr-CA"/>
        </w:rPr>
        <w:t>’</w:t>
      </w:r>
      <w:r w:rsidRPr="00D23596">
        <w:rPr>
          <w:rFonts w:cs="Times New Roman"/>
          <w:szCs w:val="24"/>
          <w:lang w:val="fr-CA"/>
        </w:rPr>
        <w:t xml:space="preserve">art. 8 de la </w:t>
      </w:r>
      <w:r w:rsidRPr="00D23596">
        <w:rPr>
          <w:rFonts w:cs="Times New Roman"/>
          <w:i/>
          <w:szCs w:val="24"/>
          <w:lang w:val="fr-CA"/>
        </w:rPr>
        <w:t>Charte</w:t>
      </w:r>
      <w:r w:rsidRPr="00D23596">
        <w:rPr>
          <w:rFonts w:cs="Times New Roman"/>
          <w:szCs w:val="24"/>
          <w:lang w:val="fr-CA"/>
        </w:rPr>
        <w:t xml:space="preserve"> garantit à M. Campbell et écarté la preuve en application du par. 24(2) de la </w:t>
      </w:r>
      <w:r w:rsidRPr="00D23596">
        <w:rPr>
          <w:rFonts w:cs="Times New Roman"/>
          <w:i/>
          <w:szCs w:val="24"/>
          <w:lang w:val="fr-CA"/>
        </w:rPr>
        <w:t>Charte</w:t>
      </w:r>
      <w:r w:rsidRPr="00D23596">
        <w:rPr>
          <w:rFonts w:cs="Times New Roman"/>
          <w:szCs w:val="24"/>
          <w:lang w:val="fr-CA"/>
        </w:rPr>
        <w:t>.</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S</w:t>
      </w:r>
      <w:r>
        <w:rPr>
          <w:rFonts w:cs="Times New Roman"/>
          <w:szCs w:val="24"/>
          <w:lang w:val="fr-CA"/>
        </w:rPr>
        <w:t>’</w:t>
      </w:r>
      <w:r w:rsidRPr="00D23596">
        <w:rPr>
          <w:rFonts w:cs="Times New Roman"/>
          <w:szCs w:val="24"/>
          <w:lang w:val="fr-CA"/>
        </w:rPr>
        <w:t>exprimant au nom des juges majoritaires de la Cour d</w:t>
      </w:r>
      <w:r>
        <w:rPr>
          <w:rFonts w:cs="Times New Roman"/>
          <w:szCs w:val="24"/>
          <w:lang w:val="fr-CA"/>
        </w:rPr>
        <w:t>’</w:t>
      </w:r>
      <w:r w:rsidRPr="00D23596">
        <w:rPr>
          <w:rFonts w:cs="Times New Roman"/>
          <w:szCs w:val="24"/>
          <w:lang w:val="fr-CA"/>
        </w:rPr>
        <w:t xml:space="preserve">appel, le juge </w:t>
      </w:r>
      <w:proofErr w:type="spellStart"/>
      <w:r w:rsidRPr="00D23596">
        <w:rPr>
          <w:rFonts w:cs="Times New Roman"/>
          <w:szCs w:val="24"/>
          <w:lang w:val="fr-CA"/>
        </w:rPr>
        <w:t>Juriansz</w:t>
      </w:r>
      <w:proofErr w:type="spellEnd"/>
      <w:r w:rsidRPr="00D23596">
        <w:rPr>
          <w:rFonts w:cs="Times New Roman"/>
          <w:szCs w:val="24"/>
          <w:lang w:val="fr-CA"/>
        </w:rPr>
        <w:t xml:space="preserve"> a conclu que la juge de première instance avait commis une erreur en concentrant son attention sur une petite partie de la dénonciation, omettant de tenir compte d</w:t>
      </w:r>
      <w:r>
        <w:rPr>
          <w:rFonts w:cs="Times New Roman"/>
          <w:szCs w:val="24"/>
          <w:lang w:val="fr-CA"/>
        </w:rPr>
        <w:t>’</w:t>
      </w:r>
      <w:r w:rsidRPr="00D23596">
        <w:rPr>
          <w:rFonts w:cs="Times New Roman"/>
          <w:szCs w:val="24"/>
          <w:lang w:val="fr-CA"/>
        </w:rPr>
        <w:t>éléments de preuve pertinents, et faisant une interprétation erronée d</w:t>
      </w:r>
      <w:r>
        <w:rPr>
          <w:rFonts w:cs="Times New Roman"/>
          <w:szCs w:val="24"/>
          <w:lang w:val="fr-CA"/>
        </w:rPr>
        <w:t>’</w:t>
      </w:r>
      <w:r w:rsidRPr="00D23596">
        <w:rPr>
          <w:rFonts w:cs="Times New Roman"/>
          <w:szCs w:val="24"/>
          <w:lang w:val="fr-CA"/>
        </w:rPr>
        <w:t>une partie de la preuve.  La juge de première instance a notamment omis de tenir compte d</w:t>
      </w:r>
      <w:r>
        <w:rPr>
          <w:rFonts w:cs="Times New Roman"/>
          <w:szCs w:val="24"/>
          <w:lang w:val="fr-CA"/>
        </w:rPr>
        <w:t>’</w:t>
      </w:r>
      <w:r w:rsidRPr="00D23596">
        <w:rPr>
          <w:rFonts w:cs="Times New Roman"/>
          <w:szCs w:val="24"/>
          <w:lang w:val="fr-CA"/>
        </w:rPr>
        <w:t>éléments de preuve pertinents lorsqu</w:t>
      </w:r>
      <w:r>
        <w:rPr>
          <w:rFonts w:cs="Times New Roman"/>
          <w:szCs w:val="24"/>
          <w:lang w:val="fr-CA"/>
        </w:rPr>
        <w:t>’</w:t>
      </w:r>
      <w:r w:rsidRPr="00D23596">
        <w:rPr>
          <w:rFonts w:cs="Times New Roman"/>
          <w:szCs w:val="24"/>
          <w:lang w:val="fr-CA"/>
        </w:rPr>
        <w:t xml:space="preserve">elle a qualifié les antécédents judiciaires de M. Campbell de </w:t>
      </w:r>
      <w:r w:rsidRPr="00D23596">
        <w:rPr>
          <w:rFonts w:cs="Times New Roman"/>
          <w:smallCaps/>
          <w:szCs w:val="24"/>
          <w:lang w:val="fr-CA"/>
        </w:rPr>
        <w:t>[traduction]</w:t>
      </w:r>
      <w:r w:rsidRPr="00D23596">
        <w:rPr>
          <w:rFonts w:cs="Times New Roman"/>
          <w:szCs w:val="24"/>
          <w:lang w:val="fr-CA"/>
        </w:rPr>
        <w:t xml:space="preserve"> « non pertinents » et écarté la preuve constituée par </w:t>
      </w:r>
      <w:r w:rsidRPr="00D23596">
        <w:rPr>
          <w:rFonts w:cs="Times New Roman"/>
          <w:szCs w:val="24"/>
          <w:lang w:val="fr-CA"/>
        </w:rPr>
        <w:lastRenderedPageBreak/>
        <w:t>les sacs noirs.  Des trois locataires, seul M. Campbell avait déjà été déclaré coupable d</w:t>
      </w:r>
      <w:r>
        <w:rPr>
          <w:rFonts w:cs="Times New Roman"/>
          <w:szCs w:val="24"/>
          <w:lang w:val="fr-CA"/>
        </w:rPr>
        <w:t>’</w:t>
      </w:r>
      <w:r w:rsidRPr="00D23596">
        <w:rPr>
          <w:rFonts w:cs="Times New Roman"/>
          <w:szCs w:val="24"/>
          <w:lang w:val="fr-CA"/>
        </w:rPr>
        <w:t xml:space="preserve">agressions contre des femmes, et lui seul avait un lien avec les sacs noirs.  Le juge </w:t>
      </w:r>
      <w:proofErr w:type="spellStart"/>
      <w:r w:rsidRPr="00D23596">
        <w:rPr>
          <w:rFonts w:cs="Times New Roman"/>
          <w:szCs w:val="24"/>
          <w:lang w:val="fr-CA"/>
        </w:rPr>
        <w:t>Juriansz</w:t>
      </w:r>
      <w:proofErr w:type="spellEnd"/>
      <w:r w:rsidRPr="00D23596">
        <w:rPr>
          <w:rFonts w:cs="Times New Roman"/>
          <w:szCs w:val="24"/>
          <w:lang w:val="fr-CA"/>
        </w:rPr>
        <w:t xml:space="preserve"> a également conclu que rien n</w:t>
      </w:r>
      <w:r>
        <w:rPr>
          <w:rFonts w:cs="Times New Roman"/>
          <w:szCs w:val="24"/>
          <w:lang w:val="fr-CA"/>
        </w:rPr>
        <w:t>’</w:t>
      </w:r>
      <w:r w:rsidRPr="00D23596">
        <w:rPr>
          <w:rFonts w:cs="Times New Roman"/>
          <w:szCs w:val="24"/>
          <w:lang w:val="fr-CA"/>
        </w:rPr>
        <w:t xml:space="preserve">étayait la conclusion de la juge de première instance selon laquelle le libellé de la dénonciation était </w:t>
      </w:r>
      <w:r w:rsidRPr="00D23596">
        <w:rPr>
          <w:rFonts w:cs="Times New Roman"/>
          <w:smallCaps/>
          <w:szCs w:val="24"/>
          <w:lang w:val="fr-CA"/>
        </w:rPr>
        <w:t>[traduction]</w:t>
      </w:r>
      <w:r w:rsidRPr="00D23596">
        <w:rPr>
          <w:rFonts w:cs="Times New Roman"/>
          <w:szCs w:val="24"/>
          <w:lang w:val="fr-CA"/>
        </w:rPr>
        <w:t xml:space="preserve"> « intentionnellement confus et obscur » (par. 30).  La juge de première instance aurait dû tout simplement écarter les déclarations erronées figurant dans le résumé de la dénonciation et examiner le reste de </w:t>
      </w:r>
      <w:proofErr w:type="spellStart"/>
      <w:r w:rsidRPr="00D23596">
        <w:rPr>
          <w:rFonts w:cs="Times New Roman"/>
          <w:szCs w:val="24"/>
          <w:lang w:val="fr-CA"/>
        </w:rPr>
        <w:t>celle</w:t>
      </w:r>
      <w:r w:rsidRPr="00D23596">
        <w:rPr>
          <w:rFonts w:cs="Times New Roman"/>
          <w:szCs w:val="24"/>
          <w:lang w:val="fr-CA"/>
        </w:rPr>
        <w:noBreakHyphen/>
        <w:t>ci</w:t>
      </w:r>
      <w:proofErr w:type="spellEnd"/>
      <w:r w:rsidRPr="00D23596">
        <w:rPr>
          <w:rFonts w:cs="Times New Roman"/>
          <w:szCs w:val="24"/>
          <w:lang w:val="fr-CA"/>
        </w:rPr>
        <w:t xml:space="preserve"> afin de décider s</w:t>
      </w:r>
      <w:r>
        <w:rPr>
          <w:rFonts w:cs="Times New Roman"/>
          <w:szCs w:val="24"/>
          <w:lang w:val="fr-CA"/>
        </w:rPr>
        <w:t>’</w:t>
      </w:r>
      <w:r w:rsidRPr="00D23596">
        <w:rPr>
          <w:rFonts w:cs="Times New Roman"/>
          <w:szCs w:val="24"/>
          <w:lang w:val="fr-CA"/>
        </w:rPr>
        <w:t>il y avait suffisamment de motifs pour justifier la délivrance du mandat de perquisition.  Compte tenu des erreurs commises par la juge de première instance, la Cour d</w:t>
      </w:r>
      <w:r>
        <w:rPr>
          <w:rFonts w:cs="Times New Roman"/>
          <w:szCs w:val="24"/>
          <w:lang w:val="fr-CA"/>
        </w:rPr>
        <w:t>’</w:t>
      </w:r>
      <w:r w:rsidRPr="00D23596">
        <w:rPr>
          <w:rFonts w:cs="Times New Roman"/>
          <w:szCs w:val="24"/>
          <w:lang w:val="fr-CA"/>
        </w:rPr>
        <w:t>appel ne pouvait faire preuve de la retenue habituelle à l</w:t>
      </w:r>
      <w:r>
        <w:rPr>
          <w:rFonts w:cs="Times New Roman"/>
          <w:szCs w:val="24"/>
          <w:lang w:val="fr-CA"/>
        </w:rPr>
        <w:t>’</w:t>
      </w:r>
      <w:r w:rsidRPr="00D23596">
        <w:rPr>
          <w:rFonts w:cs="Times New Roman"/>
          <w:szCs w:val="24"/>
          <w:lang w:val="fr-CA"/>
        </w:rPr>
        <w:t>égard des conclusions d</w:t>
      </w:r>
      <w:r>
        <w:rPr>
          <w:rFonts w:cs="Times New Roman"/>
          <w:szCs w:val="24"/>
          <w:lang w:val="fr-CA"/>
        </w:rPr>
        <w:t>’</w:t>
      </w:r>
      <w:r w:rsidRPr="00D23596">
        <w:rPr>
          <w:rFonts w:cs="Times New Roman"/>
          <w:szCs w:val="24"/>
          <w:lang w:val="fr-CA"/>
        </w:rPr>
        <w:t xml:space="preserve">un juge de première instance, et elle devait </w:t>
      </w:r>
      <w:proofErr w:type="spellStart"/>
      <w:r w:rsidRPr="00D23596">
        <w:rPr>
          <w:rFonts w:cs="Times New Roman"/>
          <w:szCs w:val="24"/>
          <w:lang w:val="fr-CA"/>
        </w:rPr>
        <w:t>elle</w:t>
      </w:r>
      <w:r w:rsidRPr="00D23596">
        <w:rPr>
          <w:rFonts w:cs="Times New Roman"/>
          <w:szCs w:val="24"/>
          <w:lang w:val="fr-CA"/>
        </w:rPr>
        <w:noBreakHyphen/>
        <w:t>même</w:t>
      </w:r>
      <w:proofErr w:type="spellEnd"/>
      <w:r w:rsidRPr="00D23596">
        <w:rPr>
          <w:rFonts w:cs="Times New Roman"/>
          <w:szCs w:val="24"/>
          <w:lang w:val="fr-CA"/>
        </w:rPr>
        <w:t xml:space="preserve"> trancher la question de savoir s</w:t>
      </w:r>
      <w:r>
        <w:rPr>
          <w:rFonts w:cs="Times New Roman"/>
          <w:szCs w:val="24"/>
          <w:lang w:val="fr-CA"/>
        </w:rPr>
        <w:t>’</w:t>
      </w:r>
      <w:r w:rsidRPr="00D23596">
        <w:rPr>
          <w:rFonts w:cs="Times New Roman"/>
          <w:szCs w:val="24"/>
          <w:lang w:val="fr-CA"/>
        </w:rPr>
        <w:t xml:space="preserve">il existait un fondement permettant de délivrer le mandat de perquisition.  Le juge </w:t>
      </w:r>
      <w:proofErr w:type="spellStart"/>
      <w:r w:rsidRPr="00D23596">
        <w:rPr>
          <w:rFonts w:cs="Times New Roman"/>
          <w:szCs w:val="24"/>
          <w:lang w:val="fr-CA"/>
        </w:rPr>
        <w:t>Juriansz</w:t>
      </w:r>
      <w:proofErr w:type="spellEnd"/>
      <w:r w:rsidRPr="00D23596">
        <w:rPr>
          <w:rFonts w:cs="Times New Roman"/>
          <w:szCs w:val="24"/>
          <w:lang w:val="fr-CA"/>
        </w:rPr>
        <w:t xml:space="preserve"> a conclu que l</w:t>
      </w:r>
      <w:r>
        <w:rPr>
          <w:rFonts w:cs="Times New Roman"/>
          <w:szCs w:val="24"/>
          <w:lang w:val="fr-CA"/>
        </w:rPr>
        <w:t>’</w:t>
      </w:r>
      <w:r w:rsidRPr="00D23596">
        <w:rPr>
          <w:rFonts w:cs="Times New Roman"/>
          <w:szCs w:val="24"/>
          <w:lang w:val="fr-CA"/>
        </w:rPr>
        <w:t>effet cumulatif de l</w:t>
      </w:r>
      <w:r>
        <w:rPr>
          <w:rFonts w:cs="Times New Roman"/>
          <w:szCs w:val="24"/>
          <w:lang w:val="fr-CA"/>
        </w:rPr>
        <w:t>’</w:t>
      </w:r>
      <w:r w:rsidRPr="00D23596">
        <w:rPr>
          <w:rFonts w:cs="Times New Roman"/>
          <w:szCs w:val="24"/>
          <w:lang w:val="fr-CA"/>
        </w:rPr>
        <w:t>inférence convaincante que le meurtre avait été commis dans la maison, et de la preuve constituée par les antécédents judiciaires de M. Campbell, le fait qu</w:t>
      </w:r>
      <w:r>
        <w:rPr>
          <w:rFonts w:cs="Times New Roman"/>
          <w:szCs w:val="24"/>
          <w:lang w:val="fr-CA"/>
        </w:rPr>
        <w:t>’</w:t>
      </w:r>
      <w:r w:rsidRPr="00D23596">
        <w:rPr>
          <w:rFonts w:cs="Times New Roman"/>
          <w:szCs w:val="24"/>
          <w:lang w:val="fr-CA"/>
        </w:rPr>
        <w:t>il lui avait été possible de se trouver en présence de la victime, l</w:t>
      </w:r>
      <w:r>
        <w:rPr>
          <w:rFonts w:cs="Times New Roman"/>
          <w:szCs w:val="24"/>
          <w:lang w:val="fr-CA"/>
        </w:rPr>
        <w:t>’</w:t>
      </w:r>
      <w:r w:rsidRPr="00D23596">
        <w:rPr>
          <w:rFonts w:cs="Times New Roman"/>
          <w:szCs w:val="24"/>
          <w:lang w:val="fr-CA"/>
        </w:rPr>
        <w:t>occasion qu</w:t>
      </w:r>
      <w:r>
        <w:rPr>
          <w:rFonts w:cs="Times New Roman"/>
          <w:szCs w:val="24"/>
          <w:lang w:val="fr-CA"/>
        </w:rPr>
        <w:t>’</w:t>
      </w:r>
      <w:r w:rsidRPr="00D23596">
        <w:rPr>
          <w:rFonts w:cs="Times New Roman"/>
          <w:szCs w:val="24"/>
          <w:lang w:val="fr-CA"/>
        </w:rPr>
        <w:t>il avait pu avoir de commettre le meurtre et le fait qu</w:t>
      </w:r>
      <w:r>
        <w:rPr>
          <w:rFonts w:cs="Times New Roman"/>
          <w:szCs w:val="24"/>
          <w:lang w:val="fr-CA"/>
        </w:rPr>
        <w:t>’</w:t>
      </w:r>
      <w:r w:rsidRPr="00D23596">
        <w:rPr>
          <w:rFonts w:cs="Times New Roman"/>
          <w:szCs w:val="24"/>
          <w:lang w:val="fr-CA"/>
        </w:rPr>
        <w:t>il avait eu des sacs noirs en sa possession, constituait un motif raisonnable pour justifier la délivrance d</w:t>
      </w:r>
      <w:r>
        <w:rPr>
          <w:rFonts w:cs="Times New Roman"/>
          <w:szCs w:val="24"/>
          <w:lang w:val="fr-CA"/>
        </w:rPr>
        <w:t>’</w:t>
      </w:r>
      <w:r w:rsidRPr="00D23596">
        <w:rPr>
          <w:rFonts w:cs="Times New Roman"/>
          <w:szCs w:val="24"/>
          <w:lang w:val="fr-CA"/>
        </w:rPr>
        <w:t>un mandat autorisant la fouille de sa chambre.</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Le juge Doherty, dissident, était d</w:t>
      </w:r>
      <w:r>
        <w:rPr>
          <w:rFonts w:cs="Times New Roman"/>
          <w:szCs w:val="24"/>
          <w:lang w:val="fr-CA"/>
        </w:rPr>
        <w:t>’</w:t>
      </w:r>
      <w:r w:rsidRPr="00D23596">
        <w:rPr>
          <w:rFonts w:cs="Times New Roman"/>
          <w:szCs w:val="24"/>
          <w:lang w:val="fr-CA"/>
        </w:rPr>
        <w:t xml:space="preserve">accord que la juge de première instance avait mal interprété une partie de la preuve, omis de prendre en compte des éléments de preuve pertinents, et tiré une conclusion déraisonnable en affirmant que le libellé de la dénonciation était </w:t>
      </w:r>
      <w:r w:rsidRPr="00D23596">
        <w:rPr>
          <w:rFonts w:cs="Times New Roman"/>
          <w:smallCaps/>
          <w:szCs w:val="24"/>
          <w:lang w:val="fr-CA"/>
        </w:rPr>
        <w:t>[traduction]</w:t>
      </w:r>
      <w:r w:rsidRPr="00D23596">
        <w:rPr>
          <w:rFonts w:cs="Times New Roman"/>
          <w:szCs w:val="24"/>
          <w:lang w:val="fr-CA"/>
        </w:rPr>
        <w:t xml:space="preserve"> « intentionnellement confus et </w:t>
      </w:r>
      <w:r w:rsidRPr="00D23596">
        <w:rPr>
          <w:rFonts w:cs="Times New Roman"/>
          <w:szCs w:val="24"/>
          <w:lang w:val="fr-CA"/>
        </w:rPr>
        <w:lastRenderedPageBreak/>
        <w:t>obscur » (par. 94).  Il était également d</w:t>
      </w:r>
      <w:r>
        <w:rPr>
          <w:rFonts w:cs="Times New Roman"/>
          <w:szCs w:val="24"/>
          <w:lang w:val="fr-CA"/>
        </w:rPr>
        <w:t>’</w:t>
      </w:r>
      <w:r w:rsidRPr="00D23596">
        <w:rPr>
          <w:rFonts w:cs="Times New Roman"/>
          <w:szCs w:val="24"/>
          <w:lang w:val="fr-CA"/>
        </w:rPr>
        <w:t>accord qu</w:t>
      </w:r>
      <w:r>
        <w:rPr>
          <w:rFonts w:cs="Times New Roman"/>
          <w:szCs w:val="24"/>
          <w:lang w:val="fr-CA"/>
        </w:rPr>
        <w:t>’</w:t>
      </w:r>
      <w:r w:rsidRPr="00D23596">
        <w:rPr>
          <w:rFonts w:cs="Times New Roman"/>
          <w:szCs w:val="24"/>
          <w:lang w:val="fr-CA"/>
        </w:rPr>
        <w:t>en raison de ces erreurs la Cour d</w:t>
      </w:r>
      <w:r>
        <w:rPr>
          <w:rFonts w:cs="Times New Roman"/>
          <w:szCs w:val="24"/>
          <w:lang w:val="fr-CA"/>
        </w:rPr>
        <w:t>’</w:t>
      </w:r>
      <w:r w:rsidRPr="00D23596">
        <w:rPr>
          <w:rFonts w:cs="Times New Roman"/>
          <w:szCs w:val="24"/>
          <w:lang w:val="fr-CA"/>
        </w:rPr>
        <w:t>appel ne devait pas s</w:t>
      </w:r>
      <w:r>
        <w:rPr>
          <w:rFonts w:cs="Times New Roman"/>
          <w:szCs w:val="24"/>
          <w:lang w:val="fr-CA"/>
        </w:rPr>
        <w:t>’</w:t>
      </w:r>
      <w:r w:rsidRPr="00D23596">
        <w:rPr>
          <w:rFonts w:cs="Times New Roman"/>
          <w:szCs w:val="24"/>
          <w:lang w:val="fr-CA"/>
        </w:rPr>
        <w:t>en remettre aux conclusions de la juge de première instance dans son appréciation de la validité du mandat.  Après avoir examiné la dénonciation, le juge Doherty a conclu qu</w:t>
      </w:r>
      <w:r>
        <w:rPr>
          <w:rFonts w:cs="Times New Roman"/>
          <w:szCs w:val="24"/>
          <w:lang w:val="fr-CA"/>
        </w:rPr>
        <w:t>’</w:t>
      </w:r>
      <w:r w:rsidRPr="00D23596">
        <w:rPr>
          <w:rFonts w:cs="Times New Roman"/>
          <w:szCs w:val="24"/>
          <w:lang w:val="fr-CA"/>
        </w:rPr>
        <w:t>il y avait des « motifs sérieux » de croire que la victime avait été assassinée et que le meurtre avait été commis dans la maison, ou qu</w:t>
      </w:r>
      <w:r>
        <w:rPr>
          <w:rFonts w:cs="Times New Roman"/>
          <w:szCs w:val="24"/>
          <w:lang w:val="fr-CA"/>
        </w:rPr>
        <w:t>’</w:t>
      </w:r>
      <w:r w:rsidRPr="00D23596">
        <w:rPr>
          <w:rFonts w:cs="Times New Roman"/>
          <w:szCs w:val="24"/>
          <w:lang w:val="fr-CA"/>
        </w:rPr>
        <w:t xml:space="preserve">il existait un lien quelconque entre </w:t>
      </w:r>
      <w:proofErr w:type="spellStart"/>
      <w:r w:rsidRPr="00D23596">
        <w:rPr>
          <w:rFonts w:cs="Times New Roman"/>
          <w:szCs w:val="24"/>
          <w:lang w:val="fr-CA"/>
        </w:rPr>
        <w:t>celle</w:t>
      </w:r>
      <w:r w:rsidRPr="00D23596">
        <w:rPr>
          <w:rFonts w:cs="Times New Roman"/>
          <w:szCs w:val="24"/>
          <w:lang w:val="fr-CA"/>
        </w:rPr>
        <w:noBreakHyphen/>
        <w:t>ci</w:t>
      </w:r>
      <w:proofErr w:type="spellEnd"/>
      <w:r w:rsidRPr="00D23596">
        <w:rPr>
          <w:rFonts w:cs="Times New Roman"/>
          <w:szCs w:val="24"/>
          <w:lang w:val="fr-CA"/>
        </w:rPr>
        <w:t xml:space="preserve"> et le meurtre (par. 70).  Il a également conclu que « des motifs sérieux justifiaient la fouille des chambres des deux autres locataires de sexe masculin, de la chambre de la victime et des aires communes de la maison » (par. 71).</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Toutefois, le juge Doherty n</w:t>
      </w:r>
      <w:r>
        <w:rPr>
          <w:rFonts w:cs="Times New Roman"/>
          <w:szCs w:val="24"/>
          <w:lang w:val="fr-CA"/>
        </w:rPr>
        <w:t>’</w:t>
      </w:r>
      <w:r w:rsidRPr="00D23596">
        <w:rPr>
          <w:rFonts w:cs="Times New Roman"/>
          <w:szCs w:val="24"/>
          <w:lang w:val="fr-CA"/>
        </w:rPr>
        <w:t>était pas d</w:t>
      </w:r>
      <w:r>
        <w:rPr>
          <w:rFonts w:cs="Times New Roman"/>
          <w:szCs w:val="24"/>
          <w:lang w:val="fr-CA"/>
        </w:rPr>
        <w:t>’</w:t>
      </w:r>
      <w:r w:rsidRPr="00D23596">
        <w:rPr>
          <w:rFonts w:cs="Times New Roman"/>
          <w:szCs w:val="24"/>
          <w:lang w:val="fr-CA"/>
        </w:rPr>
        <w:t>avis que les quatre éléments de preuve invoqués par les juges majoritaires de la Cour d</w:t>
      </w:r>
      <w:r>
        <w:rPr>
          <w:rFonts w:cs="Times New Roman"/>
          <w:szCs w:val="24"/>
          <w:lang w:val="fr-CA"/>
        </w:rPr>
        <w:t>’</w:t>
      </w:r>
      <w:r w:rsidRPr="00D23596">
        <w:rPr>
          <w:rFonts w:cs="Times New Roman"/>
          <w:szCs w:val="24"/>
          <w:lang w:val="fr-CA"/>
        </w:rPr>
        <w:t>appel constituaient des motifs suffisants pour justifier la délivrance du mandat en ce qui concerne la chambre de M. Campbell.  Il a notamment jugé que la preuve constituée par les sacs noirs ou le contenu des sacs à déchets trouvés près du corps de la victime ne justifiait pas de quelque manière que ce soit la demande de délivrance d</w:t>
      </w:r>
      <w:r>
        <w:rPr>
          <w:rFonts w:cs="Times New Roman"/>
          <w:szCs w:val="24"/>
          <w:lang w:val="fr-CA"/>
        </w:rPr>
        <w:t>’</w:t>
      </w:r>
      <w:r w:rsidRPr="00D23596">
        <w:rPr>
          <w:rFonts w:cs="Times New Roman"/>
          <w:szCs w:val="24"/>
          <w:lang w:val="fr-CA"/>
        </w:rPr>
        <w:t>un mandat autorisant la fouille de la chambre de M. Campbell.  Après avoir soupesé les autres éléments de preuve qui se rapportaient au casier judiciaire de M. Campbell et au fait qu</w:t>
      </w:r>
      <w:r>
        <w:rPr>
          <w:rFonts w:cs="Times New Roman"/>
          <w:szCs w:val="24"/>
          <w:lang w:val="fr-CA"/>
        </w:rPr>
        <w:t>’</w:t>
      </w:r>
      <w:r w:rsidRPr="00D23596">
        <w:rPr>
          <w:rFonts w:cs="Times New Roman"/>
          <w:szCs w:val="24"/>
          <w:lang w:val="fr-CA"/>
        </w:rPr>
        <w:t>il lui avait été possible de se trouver en présence de la victime au regard d</w:t>
      </w:r>
      <w:r>
        <w:rPr>
          <w:rFonts w:cs="Times New Roman"/>
          <w:szCs w:val="24"/>
          <w:lang w:val="fr-CA"/>
        </w:rPr>
        <w:t>’</w:t>
      </w:r>
      <w:r w:rsidRPr="00D23596">
        <w:rPr>
          <w:rFonts w:cs="Times New Roman"/>
          <w:szCs w:val="24"/>
          <w:lang w:val="fr-CA"/>
        </w:rPr>
        <w:t>un cas hypothétique auquel il renvoyait par analogie et dans lequel il était question d</w:t>
      </w:r>
      <w:r>
        <w:rPr>
          <w:rFonts w:cs="Times New Roman"/>
          <w:szCs w:val="24"/>
          <w:lang w:val="fr-CA"/>
        </w:rPr>
        <w:t>’</w:t>
      </w:r>
      <w:r w:rsidRPr="00D23596">
        <w:rPr>
          <w:rFonts w:cs="Times New Roman"/>
          <w:szCs w:val="24"/>
          <w:lang w:val="fr-CA"/>
        </w:rPr>
        <w:t>un immeuble de 100 logements, le juge Doherty a conclu que ces deux faits n</w:t>
      </w:r>
      <w:r>
        <w:rPr>
          <w:rFonts w:cs="Times New Roman"/>
          <w:szCs w:val="24"/>
          <w:lang w:val="fr-CA"/>
        </w:rPr>
        <w:t>’</w:t>
      </w:r>
      <w:r w:rsidRPr="00D23596">
        <w:rPr>
          <w:rFonts w:cs="Times New Roman"/>
          <w:szCs w:val="24"/>
          <w:lang w:val="fr-CA"/>
        </w:rPr>
        <w:t>étaient pas suffisants à eux seuls pour justifier que l</w:t>
      </w:r>
      <w:r>
        <w:rPr>
          <w:rFonts w:cs="Times New Roman"/>
          <w:szCs w:val="24"/>
          <w:lang w:val="fr-CA"/>
        </w:rPr>
        <w:t>’</w:t>
      </w:r>
      <w:r w:rsidRPr="00D23596">
        <w:rPr>
          <w:rFonts w:cs="Times New Roman"/>
          <w:szCs w:val="24"/>
          <w:lang w:val="fr-CA"/>
        </w:rPr>
        <w:t>on autorise une fouille de la chambre de M. Campbell.  Le juge Doherty était donc d</w:t>
      </w:r>
      <w:r>
        <w:rPr>
          <w:rFonts w:cs="Times New Roman"/>
          <w:szCs w:val="24"/>
          <w:lang w:val="fr-CA"/>
        </w:rPr>
        <w:t>’</w:t>
      </w:r>
      <w:r w:rsidRPr="00D23596">
        <w:rPr>
          <w:rFonts w:cs="Times New Roman"/>
          <w:szCs w:val="24"/>
          <w:lang w:val="fr-CA"/>
        </w:rPr>
        <w:t xml:space="preserve">avis de confirmer la conclusion de la juge de première </w:t>
      </w:r>
      <w:r w:rsidRPr="00D23596">
        <w:rPr>
          <w:rFonts w:cs="Times New Roman"/>
          <w:szCs w:val="24"/>
          <w:lang w:val="fr-CA"/>
        </w:rPr>
        <w:lastRenderedPageBreak/>
        <w:t>instance que la perquisition était inconstitutionnelle et de confirmer la décision de cette dernière d</w:t>
      </w:r>
      <w:r>
        <w:rPr>
          <w:rFonts w:cs="Times New Roman"/>
          <w:szCs w:val="24"/>
          <w:lang w:val="fr-CA"/>
        </w:rPr>
        <w:t>’</w:t>
      </w:r>
      <w:r w:rsidRPr="00D23596">
        <w:rPr>
          <w:rFonts w:cs="Times New Roman"/>
          <w:szCs w:val="24"/>
          <w:lang w:val="fr-CA"/>
        </w:rPr>
        <w:t>écarter la preuve.</w:t>
      </w:r>
    </w:p>
    <w:p w:rsidR="004D14CB" w:rsidRPr="00D23596" w:rsidRDefault="004D14CB" w:rsidP="004D14CB">
      <w:pPr>
        <w:pStyle w:val="TitleTitre-AltT"/>
        <w:keepNext/>
        <w:spacing w:after="720"/>
        <w:rPr>
          <w:rFonts w:cs="Times New Roman"/>
          <w:szCs w:val="24"/>
          <w:u w:val="single"/>
          <w:lang w:val="fr-CA"/>
        </w:rPr>
      </w:pPr>
      <w:r w:rsidRPr="00D23596">
        <w:rPr>
          <w:rFonts w:cs="Times New Roman"/>
          <w:szCs w:val="24"/>
          <w:lang w:val="fr-CA"/>
        </w:rPr>
        <w:t>3.</w:t>
      </w:r>
      <w:r w:rsidRPr="00D23596">
        <w:rPr>
          <w:rFonts w:cs="Times New Roman"/>
          <w:szCs w:val="24"/>
          <w:lang w:val="fr-CA"/>
        </w:rPr>
        <w:tab/>
      </w:r>
      <w:r w:rsidRPr="00D23596">
        <w:rPr>
          <w:rFonts w:cs="Times New Roman"/>
          <w:szCs w:val="24"/>
          <w:u w:val="single"/>
          <w:lang w:val="fr-CA"/>
        </w:rPr>
        <w:t>Analyse</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 xml:space="preserve">Les principes juridiques pertinents ne sont pas remis en question dans le présent pourvoi.  Le juge </w:t>
      </w:r>
      <w:proofErr w:type="spellStart"/>
      <w:r w:rsidRPr="00D23596">
        <w:rPr>
          <w:rFonts w:cs="Times New Roman"/>
          <w:szCs w:val="24"/>
          <w:lang w:val="fr-CA"/>
        </w:rPr>
        <w:t>Juriansz</w:t>
      </w:r>
      <w:proofErr w:type="spellEnd"/>
      <w:r w:rsidRPr="00D23596">
        <w:rPr>
          <w:rFonts w:cs="Times New Roman"/>
          <w:szCs w:val="24"/>
          <w:lang w:val="fr-CA"/>
        </w:rPr>
        <w:t xml:space="preserve"> a correctement suivi la démarche qu</w:t>
      </w:r>
      <w:r>
        <w:rPr>
          <w:rFonts w:cs="Times New Roman"/>
          <w:szCs w:val="24"/>
          <w:lang w:val="fr-CA"/>
        </w:rPr>
        <w:t>’</w:t>
      </w:r>
      <w:r w:rsidRPr="00D23596">
        <w:rPr>
          <w:rFonts w:cs="Times New Roman"/>
          <w:szCs w:val="24"/>
          <w:lang w:val="fr-CA"/>
        </w:rPr>
        <w:t>il convient d</w:t>
      </w:r>
      <w:r>
        <w:rPr>
          <w:rFonts w:cs="Times New Roman"/>
          <w:szCs w:val="24"/>
          <w:lang w:val="fr-CA"/>
        </w:rPr>
        <w:t>’</w:t>
      </w:r>
      <w:r w:rsidRPr="00D23596">
        <w:rPr>
          <w:rFonts w:cs="Times New Roman"/>
          <w:szCs w:val="24"/>
          <w:lang w:val="fr-CA"/>
        </w:rPr>
        <w:t>appliquer pour réviser le fondement d</w:t>
      </w:r>
      <w:r>
        <w:rPr>
          <w:rFonts w:cs="Times New Roman"/>
          <w:szCs w:val="24"/>
          <w:lang w:val="fr-CA"/>
        </w:rPr>
        <w:t>’</w:t>
      </w:r>
      <w:r w:rsidRPr="00D23596">
        <w:rPr>
          <w:rFonts w:cs="Times New Roman"/>
          <w:szCs w:val="24"/>
          <w:lang w:val="fr-CA"/>
        </w:rPr>
        <w:t xml:space="preserve">une demande de mandat et que notre Cour a récemment examinée dans </w:t>
      </w:r>
      <w:r w:rsidRPr="00D23596">
        <w:rPr>
          <w:rFonts w:cs="Times New Roman"/>
          <w:i/>
          <w:szCs w:val="24"/>
          <w:lang w:val="fr-CA"/>
        </w:rPr>
        <w:t xml:space="preserve">R. c. </w:t>
      </w:r>
      <w:proofErr w:type="spellStart"/>
      <w:r w:rsidRPr="00D23596">
        <w:rPr>
          <w:rFonts w:cs="Times New Roman"/>
          <w:i/>
          <w:szCs w:val="24"/>
          <w:lang w:val="fr-CA"/>
        </w:rPr>
        <w:t>Morelli</w:t>
      </w:r>
      <w:proofErr w:type="spellEnd"/>
      <w:r w:rsidRPr="00D23596">
        <w:rPr>
          <w:rFonts w:cs="Times New Roman"/>
          <w:szCs w:val="24"/>
          <w:lang w:val="fr-CA"/>
        </w:rPr>
        <w:t>, 2010 CSC 8, [2010] 1 R.C.S. 253.  Pour se conformer à l</w:t>
      </w:r>
      <w:r>
        <w:rPr>
          <w:rFonts w:cs="Times New Roman"/>
          <w:szCs w:val="24"/>
          <w:lang w:val="fr-CA"/>
        </w:rPr>
        <w:t>’</w:t>
      </w:r>
      <w:r w:rsidRPr="00D23596">
        <w:rPr>
          <w:rFonts w:cs="Times New Roman"/>
          <w:szCs w:val="24"/>
          <w:lang w:val="fr-CA"/>
        </w:rPr>
        <w:t xml:space="preserve">art. 8 de la </w:t>
      </w:r>
      <w:r w:rsidRPr="00D23596">
        <w:rPr>
          <w:rFonts w:cs="Times New Roman"/>
          <w:i/>
          <w:szCs w:val="24"/>
          <w:lang w:val="fr-CA"/>
        </w:rPr>
        <w:t>Charte</w:t>
      </w:r>
      <w:r w:rsidRPr="00D23596">
        <w:rPr>
          <w:rFonts w:cs="Times New Roman"/>
          <w:szCs w:val="24"/>
          <w:lang w:val="fr-CA"/>
        </w:rPr>
        <w:t>, la police doit, avant d</w:t>
      </w:r>
      <w:r>
        <w:rPr>
          <w:rFonts w:cs="Times New Roman"/>
          <w:szCs w:val="24"/>
          <w:lang w:val="fr-CA"/>
        </w:rPr>
        <w:t>’</w:t>
      </w:r>
      <w:r w:rsidRPr="00D23596">
        <w:rPr>
          <w:rFonts w:cs="Times New Roman"/>
          <w:szCs w:val="24"/>
          <w:lang w:val="fr-CA"/>
        </w:rPr>
        <w:t>effectuer une perquisition, fournir des « motifs raisonnables et probables, [dont l</w:t>
      </w:r>
      <w:r>
        <w:rPr>
          <w:rFonts w:cs="Times New Roman"/>
          <w:szCs w:val="24"/>
          <w:lang w:val="fr-CA"/>
        </w:rPr>
        <w:t>’</w:t>
      </w:r>
      <w:r w:rsidRPr="00D23596">
        <w:rPr>
          <w:rFonts w:cs="Times New Roman"/>
          <w:szCs w:val="24"/>
          <w:lang w:val="fr-CA"/>
        </w:rPr>
        <w:t xml:space="preserve">existence est] </w:t>
      </w:r>
      <w:r w:rsidRPr="00D23596">
        <w:rPr>
          <w:lang w:val="fr-FR"/>
        </w:rPr>
        <w:t>établie sous serment, de croire qu</w:t>
      </w:r>
      <w:r>
        <w:rPr>
          <w:lang w:val="fr-FR"/>
        </w:rPr>
        <w:t>’</w:t>
      </w:r>
      <w:r w:rsidRPr="00D23596">
        <w:rPr>
          <w:lang w:val="fr-FR"/>
        </w:rPr>
        <w:t>une infraction a été commise et que des éléments de preuve se trouvent à l</w:t>
      </w:r>
      <w:r>
        <w:rPr>
          <w:lang w:val="fr-FR"/>
        </w:rPr>
        <w:t>’</w:t>
      </w:r>
      <w:r w:rsidRPr="00D23596">
        <w:rPr>
          <w:lang w:val="fr-FR"/>
        </w:rPr>
        <w:t>endroit de la perquisition »</w:t>
      </w:r>
      <w:r w:rsidRPr="00D23596">
        <w:rPr>
          <w:rFonts w:cs="Times New Roman"/>
          <w:szCs w:val="24"/>
          <w:lang w:val="fr-CA"/>
        </w:rPr>
        <w:t xml:space="preserve"> (</w:t>
      </w:r>
      <w:r w:rsidRPr="00D23596">
        <w:rPr>
          <w:rFonts w:cs="Times New Roman"/>
          <w:i/>
          <w:szCs w:val="24"/>
          <w:lang w:val="fr-CA"/>
        </w:rPr>
        <w:t xml:space="preserve">Hunter c. </w:t>
      </w:r>
      <w:proofErr w:type="spellStart"/>
      <w:r w:rsidRPr="00D23596">
        <w:rPr>
          <w:rFonts w:cs="Times New Roman"/>
          <w:i/>
          <w:szCs w:val="24"/>
          <w:lang w:val="fr-CA"/>
        </w:rPr>
        <w:t>Southam</w:t>
      </w:r>
      <w:proofErr w:type="spellEnd"/>
      <w:r w:rsidRPr="00D23596">
        <w:rPr>
          <w:rFonts w:cs="Times New Roman"/>
          <w:i/>
          <w:szCs w:val="24"/>
          <w:lang w:val="fr-CA"/>
        </w:rPr>
        <w:t xml:space="preserve"> Inc.</w:t>
      </w:r>
      <w:r w:rsidRPr="00D23596">
        <w:rPr>
          <w:rFonts w:cs="Times New Roman"/>
          <w:szCs w:val="24"/>
          <w:lang w:val="fr-CA"/>
        </w:rPr>
        <w:t xml:space="preserve">, [1984] 2 R.C.S. 145, p. 168).  Le </w:t>
      </w:r>
      <w:r w:rsidRPr="00D23596">
        <w:rPr>
          <w:lang w:val="fr-FR"/>
        </w:rPr>
        <w:t>tribunal siégeant en révision n</w:t>
      </w:r>
      <w:r>
        <w:rPr>
          <w:lang w:val="fr-FR"/>
        </w:rPr>
        <w:t>’</w:t>
      </w:r>
      <w:r w:rsidRPr="00D23596">
        <w:rPr>
          <w:lang w:val="fr-FR"/>
        </w:rPr>
        <w:t>a pas à se demander s</w:t>
      </w:r>
      <w:r>
        <w:rPr>
          <w:lang w:val="fr-FR"/>
        </w:rPr>
        <w:t>’</w:t>
      </w:r>
      <w:r w:rsidRPr="00D23596">
        <w:rPr>
          <w:lang w:val="fr-FR"/>
        </w:rPr>
        <w:t xml:space="preserve">il « aurait </w:t>
      </w:r>
      <w:proofErr w:type="spellStart"/>
      <w:r w:rsidRPr="00D23596">
        <w:rPr>
          <w:lang w:val="fr-FR"/>
        </w:rPr>
        <w:t>lui</w:t>
      </w:r>
      <w:r w:rsidRPr="00D23596">
        <w:rPr>
          <w:lang w:val="fr-FR"/>
        </w:rPr>
        <w:noBreakHyphen/>
        <w:t>même</w:t>
      </w:r>
      <w:proofErr w:type="spellEnd"/>
      <w:r w:rsidRPr="00D23596">
        <w:rPr>
          <w:lang w:val="fr-FR"/>
        </w:rPr>
        <w:t xml:space="preserve"> délivré le mandat, mais s</w:t>
      </w:r>
      <w:r>
        <w:rPr>
          <w:lang w:val="fr-FR"/>
        </w:rPr>
        <w:t>’</w:t>
      </w:r>
      <w:r w:rsidRPr="00D23596">
        <w:rPr>
          <w:lang w:val="fr-FR"/>
        </w:rPr>
        <w:t>il existait suffisamment d</w:t>
      </w:r>
      <w:r>
        <w:rPr>
          <w:lang w:val="fr-FR"/>
        </w:rPr>
        <w:t>’</w:t>
      </w:r>
      <w:r w:rsidRPr="00D23596">
        <w:rPr>
          <w:lang w:val="fr-FR"/>
        </w:rPr>
        <w:t>éléments de preuve crédibles et fiables » pour permettre au juge de délivrer le mandat</w:t>
      </w:r>
      <w:r w:rsidRPr="00D23596">
        <w:rPr>
          <w:rFonts w:cs="Times New Roman"/>
          <w:szCs w:val="24"/>
          <w:lang w:val="fr-CA"/>
        </w:rPr>
        <w:t xml:space="preserve"> (</w:t>
      </w:r>
      <w:proofErr w:type="spellStart"/>
      <w:r w:rsidRPr="00D23596">
        <w:rPr>
          <w:rFonts w:cs="Times New Roman"/>
          <w:i/>
          <w:szCs w:val="24"/>
          <w:lang w:val="fr-CA"/>
        </w:rPr>
        <w:t>Morelli</w:t>
      </w:r>
      <w:proofErr w:type="spellEnd"/>
      <w:r w:rsidRPr="00D23596">
        <w:rPr>
          <w:rFonts w:cs="Times New Roman"/>
          <w:szCs w:val="24"/>
          <w:lang w:val="fr-CA"/>
        </w:rPr>
        <w:t>, par. 40).  Lorsqu</w:t>
      </w:r>
      <w:r>
        <w:rPr>
          <w:rFonts w:cs="Times New Roman"/>
          <w:szCs w:val="24"/>
          <w:lang w:val="fr-CA"/>
        </w:rPr>
        <w:t>’</w:t>
      </w:r>
      <w:r w:rsidRPr="00D23596">
        <w:rPr>
          <w:rFonts w:cs="Times New Roman"/>
          <w:szCs w:val="24"/>
          <w:lang w:val="fr-CA"/>
        </w:rPr>
        <w:t xml:space="preserve">il effectue cette analyse, le tribunal siégeant en révision doit </w:t>
      </w:r>
      <w:r w:rsidRPr="00D23596">
        <w:rPr>
          <w:lang w:val="fr-FR"/>
        </w:rPr>
        <w:t>faire abstraction des renseignements inexacts</w:t>
      </w:r>
      <w:r w:rsidRPr="00D23596">
        <w:rPr>
          <w:rFonts w:cs="Times New Roman"/>
          <w:szCs w:val="24"/>
          <w:lang w:val="fr-CA"/>
        </w:rPr>
        <w:t xml:space="preserve"> figurant dans la dénonciation, et il </w:t>
      </w:r>
      <w:r w:rsidRPr="00D23596">
        <w:rPr>
          <w:lang w:val="fr-FR"/>
        </w:rPr>
        <w:t xml:space="preserve">peut avoir recours </w:t>
      </w:r>
      <w:r w:rsidRPr="00D23596">
        <w:rPr>
          <w:lang w:val="fr-CA"/>
        </w:rPr>
        <w:t>à</w:t>
      </w:r>
      <w:r w:rsidRPr="00D23596">
        <w:rPr>
          <w:lang w:val="fr-FR"/>
        </w:rPr>
        <w:t xml:space="preserve"> l</w:t>
      </w:r>
      <w:r>
        <w:rPr>
          <w:lang w:val="fr-FR"/>
        </w:rPr>
        <w:t>’</w:t>
      </w:r>
      <w:r w:rsidRPr="00D23596">
        <w:rPr>
          <w:lang w:val="fr-FR"/>
        </w:rPr>
        <w:t>« amplification », c</w:t>
      </w:r>
      <w:r>
        <w:rPr>
          <w:lang w:val="fr-FR"/>
        </w:rPr>
        <w:t>’</w:t>
      </w:r>
      <w:r w:rsidRPr="00D23596">
        <w:rPr>
          <w:lang w:val="fr-FR"/>
        </w:rPr>
        <w:t>est</w:t>
      </w:r>
      <w:r w:rsidRPr="00D23596">
        <w:rPr>
          <w:lang w:val="fr-FR"/>
        </w:rPr>
        <w:noBreakHyphen/>
      </w:r>
      <w:proofErr w:type="spellStart"/>
      <w:r w:rsidRPr="00D23596">
        <w:rPr>
          <w:lang w:val="fr-FR"/>
        </w:rPr>
        <w:t>à</w:t>
      </w:r>
      <w:r w:rsidRPr="00D23596">
        <w:rPr>
          <w:lang w:val="fr-FR"/>
        </w:rPr>
        <w:noBreakHyphen/>
        <w:t>dire</w:t>
      </w:r>
      <w:proofErr w:type="spellEnd"/>
      <w:r w:rsidRPr="00D23596">
        <w:rPr>
          <w:lang w:val="fr-FR"/>
        </w:rPr>
        <w:t xml:space="preserve"> à d</w:t>
      </w:r>
      <w:r>
        <w:rPr>
          <w:lang w:val="fr-FR"/>
        </w:rPr>
        <w:t>’</w:t>
      </w:r>
      <w:r w:rsidRPr="00D23596">
        <w:rPr>
          <w:lang w:val="fr-FR"/>
        </w:rPr>
        <w:t xml:space="preserve">autres éléments de preuve admis à bon droit </w:t>
      </w:r>
      <w:r w:rsidRPr="00D23596">
        <w:rPr>
          <w:rFonts w:cs="Times New Roman"/>
          <w:szCs w:val="24"/>
          <w:lang w:val="fr-CA"/>
        </w:rPr>
        <w:t>(</w:t>
      </w:r>
      <w:r w:rsidRPr="00D23596">
        <w:rPr>
          <w:rFonts w:cs="Times New Roman"/>
          <w:i/>
          <w:szCs w:val="24"/>
          <w:lang w:val="fr-CA"/>
        </w:rPr>
        <w:t>R.</w:t>
      </w:r>
      <w:r>
        <w:rPr>
          <w:rFonts w:cs="Times New Roman"/>
          <w:i/>
          <w:szCs w:val="24"/>
          <w:lang w:val="fr-CA"/>
        </w:rPr>
        <w:t xml:space="preserve"> </w:t>
      </w:r>
      <w:r w:rsidRPr="00D23596">
        <w:rPr>
          <w:rFonts w:cs="Times New Roman"/>
          <w:i/>
          <w:szCs w:val="24"/>
          <w:lang w:val="fr-CA"/>
        </w:rPr>
        <w:t>c. Araujo</w:t>
      </w:r>
      <w:r w:rsidRPr="00D23596">
        <w:rPr>
          <w:rFonts w:cs="Times New Roman"/>
          <w:szCs w:val="24"/>
          <w:lang w:val="fr-CA"/>
        </w:rPr>
        <w:t xml:space="preserve">, 2000 CSC 65, [2000] 2 R.C.S. 992, par. 58; </w:t>
      </w:r>
      <w:proofErr w:type="spellStart"/>
      <w:r w:rsidRPr="00D23596">
        <w:rPr>
          <w:rFonts w:cs="Times New Roman"/>
          <w:i/>
          <w:szCs w:val="24"/>
          <w:lang w:val="fr-CA"/>
        </w:rPr>
        <w:t>Morelli</w:t>
      </w:r>
      <w:proofErr w:type="spellEnd"/>
      <w:r w:rsidRPr="00D23596">
        <w:rPr>
          <w:rFonts w:cs="Times New Roman"/>
          <w:szCs w:val="24"/>
          <w:lang w:val="fr-CA"/>
        </w:rPr>
        <w:t xml:space="preserve">, par. 41).  </w:t>
      </w:r>
      <w:r w:rsidRPr="00D23596">
        <w:rPr>
          <w:lang w:val="fr-FR"/>
        </w:rPr>
        <w:t>Il appartient à l</w:t>
      </w:r>
      <w:r>
        <w:rPr>
          <w:lang w:val="fr-FR"/>
        </w:rPr>
        <w:t>’</w:t>
      </w:r>
      <w:r w:rsidRPr="00D23596">
        <w:rPr>
          <w:lang w:val="fr-FR"/>
        </w:rPr>
        <w:t>accusé de démontrer que la dénonciation ne justifiait pas l</w:t>
      </w:r>
      <w:r>
        <w:rPr>
          <w:lang w:val="fr-FR"/>
        </w:rPr>
        <w:t>’</w:t>
      </w:r>
      <w:r w:rsidRPr="00D23596">
        <w:rPr>
          <w:lang w:val="fr-FR"/>
        </w:rPr>
        <w:t>autorisation</w:t>
      </w:r>
      <w:r w:rsidRPr="00D23596">
        <w:rPr>
          <w:rFonts w:cs="Times New Roman"/>
          <w:szCs w:val="24"/>
          <w:lang w:val="fr-CA"/>
        </w:rPr>
        <w:t xml:space="preserve"> (</w:t>
      </w:r>
      <w:r w:rsidRPr="00D23596">
        <w:rPr>
          <w:rFonts w:cs="Times New Roman"/>
          <w:i/>
          <w:szCs w:val="24"/>
          <w:lang w:val="fr-CA"/>
        </w:rPr>
        <w:t>Québec (Procureur général) c. Laroche</w:t>
      </w:r>
      <w:r w:rsidRPr="00D23596">
        <w:rPr>
          <w:rFonts w:cs="Times New Roman"/>
          <w:szCs w:val="24"/>
          <w:lang w:val="fr-CA"/>
        </w:rPr>
        <w:t>, 2002 CSC 72, [2002] 3 R.C.S</w:t>
      </w:r>
      <w:r w:rsidR="006E453D">
        <w:rPr>
          <w:rFonts w:cs="Times New Roman"/>
          <w:szCs w:val="24"/>
          <w:lang w:val="fr-CA"/>
        </w:rPr>
        <w:t>.</w:t>
      </w:r>
      <w:r w:rsidRPr="00D23596">
        <w:rPr>
          <w:rFonts w:cs="Times New Roman"/>
          <w:szCs w:val="24"/>
          <w:lang w:val="fr-CA"/>
        </w:rPr>
        <w:t xml:space="preserve"> 708, par. 68; </w:t>
      </w:r>
      <w:proofErr w:type="spellStart"/>
      <w:r w:rsidRPr="00D23596">
        <w:rPr>
          <w:rFonts w:cs="Times New Roman"/>
          <w:i/>
          <w:szCs w:val="24"/>
          <w:lang w:val="fr-CA"/>
        </w:rPr>
        <w:t>Morelli</w:t>
      </w:r>
      <w:proofErr w:type="spellEnd"/>
      <w:r w:rsidRPr="00D23596">
        <w:rPr>
          <w:rFonts w:cs="Times New Roman"/>
          <w:szCs w:val="24"/>
          <w:lang w:val="fr-CA"/>
        </w:rPr>
        <w:t>, par. 131).</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lastRenderedPageBreak/>
        <w:t xml:space="preserve">Il est important de souligner, comme le juge </w:t>
      </w:r>
      <w:proofErr w:type="spellStart"/>
      <w:r w:rsidRPr="00D23596">
        <w:rPr>
          <w:rFonts w:cs="Times New Roman"/>
          <w:szCs w:val="24"/>
          <w:lang w:val="fr-CA"/>
        </w:rPr>
        <w:t>Juriansz</w:t>
      </w:r>
      <w:proofErr w:type="spellEnd"/>
      <w:r w:rsidRPr="00D23596">
        <w:rPr>
          <w:rFonts w:cs="Times New Roman"/>
          <w:szCs w:val="24"/>
          <w:lang w:val="fr-CA"/>
        </w:rPr>
        <w:t xml:space="preserve"> l</w:t>
      </w:r>
      <w:r>
        <w:rPr>
          <w:rFonts w:cs="Times New Roman"/>
          <w:szCs w:val="24"/>
          <w:lang w:val="fr-CA"/>
        </w:rPr>
        <w:t>’</w:t>
      </w:r>
      <w:r w:rsidRPr="00D23596">
        <w:rPr>
          <w:rFonts w:cs="Times New Roman"/>
          <w:szCs w:val="24"/>
          <w:lang w:val="fr-CA"/>
        </w:rPr>
        <w:t>a à bon droit reconnu, que M. Campbell pouvait s</w:t>
      </w:r>
      <w:r>
        <w:rPr>
          <w:rFonts w:cs="Times New Roman"/>
          <w:szCs w:val="24"/>
          <w:lang w:val="fr-CA"/>
        </w:rPr>
        <w:t>’</w:t>
      </w:r>
      <w:r w:rsidRPr="00D23596">
        <w:rPr>
          <w:rFonts w:cs="Times New Roman"/>
          <w:szCs w:val="24"/>
          <w:lang w:val="fr-CA"/>
        </w:rPr>
        <w:t>attendre au respect de sa vie privée dans la chambre qu</w:t>
      </w:r>
      <w:r>
        <w:rPr>
          <w:rFonts w:cs="Times New Roman"/>
          <w:szCs w:val="24"/>
          <w:lang w:val="fr-CA"/>
        </w:rPr>
        <w:t>’</w:t>
      </w:r>
      <w:r w:rsidRPr="00D23596">
        <w:rPr>
          <w:rFonts w:cs="Times New Roman"/>
          <w:szCs w:val="24"/>
          <w:lang w:val="fr-CA"/>
        </w:rPr>
        <w:t>il occupait dans la maison au même titre que la personne qui réside dans un logement unifamilial.  Il convient d</w:t>
      </w:r>
      <w:r>
        <w:rPr>
          <w:rFonts w:cs="Times New Roman"/>
          <w:szCs w:val="24"/>
          <w:lang w:val="fr-CA"/>
        </w:rPr>
        <w:t>’</w:t>
      </w:r>
      <w:r w:rsidRPr="00D23596">
        <w:rPr>
          <w:rFonts w:cs="Times New Roman"/>
          <w:szCs w:val="24"/>
          <w:lang w:val="fr-CA"/>
        </w:rPr>
        <w:t>appliquer ce principe dans la rédaction de toute dénonciation visant à obtenir un mandat de perquisition de plusieurs logements se trouvant dans le même immeuble, et ce en énonçant clairement les motifs raisonnables et probables pour lesquels chacun de ces derniers doit faire l</w:t>
      </w:r>
      <w:r>
        <w:rPr>
          <w:rFonts w:cs="Times New Roman"/>
          <w:szCs w:val="24"/>
          <w:lang w:val="fr-CA"/>
        </w:rPr>
        <w:t>’</w:t>
      </w:r>
      <w:r w:rsidRPr="00D23596">
        <w:rPr>
          <w:rFonts w:cs="Times New Roman"/>
          <w:szCs w:val="24"/>
          <w:lang w:val="fr-CA"/>
        </w:rPr>
        <w:t>objet de la perquisition.  À cet égard, le libellé de la dénonciation qui nous intéresse ici laissait beaucoup à désirer.  De plus, il semble que certaines parties de la dénonciation n</w:t>
      </w:r>
      <w:r>
        <w:rPr>
          <w:rFonts w:cs="Times New Roman"/>
          <w:szCs w:val="24"/>
          <w:lang w:val="fr-CA"/>
        </w:rPr>
        <w:t>’</w:t>
      </w:r>
      <w:r w:rsidRPr="00D23596">
        <w:rPr>
          <w:rFonts w:cs="Times New Roman"/>
          <w:szCs w:val="24"/>
          <w:lang w:val="fr-CA"/>
        </w:rPr>
        <w:t>ont été remises à la juge de première instance qu</w:t>
      </w:r>
      <w:r>
        <w:rPr>
          <w:rFonts w:cs="Times New Roman"/>
          <w:szCs w:val="24"/>
          <w:lang w:val="fr-CA"/>
        </w:rPr>
        <w:t>’</w:t>
      </w:r>
      <w:r w:rsidRPr="00D23596">
        <w:rPr>
          <w:rFonts w:cs="Times New Roman"/>
          <w:szCs w:val="24"/>
          <w:lang w:val="fr-CA"/>
        </w:rPr>
        <w:t>à la toute fin de l</w:t>
      </w:r>
      <w:r>
        <w:rPr>
          <w:rFonts w:cs="Times New Roman"/>
          <w:szCs w:val="24"/>
          <w:lang w:val="fr-CA"/>
        </w:rPr>
        <w:t>’</w:t>
      </w:r>
      <w:r w:rsidRPr="00D23596">
        <w:rPr>
          <w:rFonts w:cs="Times New Roman"/>
          <w:szCs w:val="24"/>
          <w:lang w:val="fr-CA"/>
        </w:rPr>
        <w:t>audience.  Ce fait, conjugué au manque de clarté du libellé de la dénonciation, pourrait bien expliquer les erreurs que la juge de première instance a commises.  Néanmoins, je suis d</w:t>
      </w:r>
      <w:r>
        <w:rPr>
          <w:rFonts w:cs="Times New Roman"/>
          <w:szCs w:val="24"/>
          <w:lang w:val="fr-CA"/>
        </w:rPr>
        <w:t>’</w:t>
      </w:r>
      <w:r w:rsidRPr="00D23596">
        <w:rPr>
          <w:rFonts w:cs="Times New Roman"/>
          <w:szCs w:val="24"/>
          <w:lang w:val="fr-CA"/>
        </w:rPr>
        <w:t xml:space="preserve">accord avec le juge </w:t>
      </w:r>
      <w:proofErr w:type="spellStart"/>
      <w:r w:rsidRPr="00D23596">
        <w:rPr>
          <w:rFonts w:cs="Times New Roman"/>
          <w:szCs w:val="24"/>
          <w:lang w:val="fr-CA"/>
        </w:rPr>
        <w:t>Juriansz</w:t>
      </w:r>
      <w:proofErr w:type="spellEnd"/>
      <w:r w:rsidRPr="00D23596">
        <w:rPr>
          <w:rFonts w:cs="Times New Roman"/>
          <w:szCs w:val="24"/>
          <w:lang w:val="fr-CA"/>
        </w:rPr>
        <w:t xml:space="preserve"> que le dossier était suffisant.  Notamment, le juge </w:t>
      </w:r>
      <w:proofErr w:type="spellStart"/>
      <w:r w:rsidRPr="00D23596">
        <w:rPr>
          <w:rFonts w:cs="Times New Roman"/>
          <w:szCs w:val="24"/>
          <w:lang w:val="fr-CA"/>
        </w:rPr>
        <w:t>Juriansz</w:t>
      </w:r>
      <w:proofErr w:type="spellEnd"/>
      <w:r w:rsidRPr="00D23596">
        <w:rPr>
          <w:rFonts w:cs="Times New Roman"/>
          <w:szCs w:val="24"/>
          <w:lang w:val="fr-CA"/>
        </w:rPr>
        <w:t xml:space="preserve"> n</w:t>
      </w:r>
      <w:r>
        <w:rPr>
          <w:rFonts w:cs="Times New Roman"/>
          <w:szCs w:val="24"/>
          <w:lang w:val="fr-CA"/>
        </w:rPr>
        <w:t>’</w:t>
      </w:r>
      <w:r w:rsidRPr="00D23596">
        <w:rPr>
          <w:rFonts w:cs="Times New Roman"/>
          <w:szCs w:val="24"/>
          <w:lang w:val="fr-CA"/>
        </w:rPr>
        <w:t xml:space="preserve">a pas trouvé utile le cas hypothétique auquel le </w:t>
      </w:r>
      <w:r w:rsidRPr="00D23596">
        <w:rPr>
          <w:lang w:val="fr-CA"/>
        </w:rPr>
        <w:t>juge Doherty</w:t>
      </w:r>
      <w:r w:rsidRPr="00D23596">
        <w:rPr>
          <w:rFonts w:cs="Times New Roman"/>
          <w:szCs w:val="24"/>
          <w:lang w:val="fr-CA"/>
        </w:rPr>
        <w:t xml:space="preserve"> renvoyait par analogie et dans lequel il était question d</w:t>
      </w:r>
      <w:r>
        <w:rPr>
          <w:rFonts w:cs="Times New Roman"/>
          <w:szCs w:val="24"/>
          <w:lang w:val="fr-CA"/>
        </w:rPr>
        <w:t>’</w:t>
      </w:r>
      <w:r w:rsidRPr="00D23596">
        <w:rPr>
          <w:rFonts w:cs="Times New Roman"/>
          <w:szCs w:val="24"/>
          <w:lang w:val="fr-CA"/>
        </w:rPr>
        <w:t xml:space="preserve">un immeuble de 100 logements.  Voici ce que le juge </w:t>
      </w:r>
      <w:proofErr w:type="spellStart"/>
      <w:r w:rsidRPr="00D23596">
        <w:rPr>
          <w:rFonts w:cs="Times New Roman"/>
          <w:szCs w:val="24"/>
          <w:lang w:val="fr-CA"/>
        </w:rPr>
        <w:t>Juriansz</w:t>
      </w:r>
      <w:proofErr w:type="spellEnd"/>
      <w:r w:rsidRPr="00D23596">
        <w:rPr>
          <w:rFonts w:cs="Times New Roman"/>
          <w:szCs w:val="24"/>
          <w:lang w:val="fr-CA"/>
        </w:rPr>
        <w:t xml:space="preserve"> a dit à cet égard :</w:t>
      </w:r>
    </w:p>
    <w:p w:rsidR="004D14CB" w:rsidRPr="00D23596" w:rsidRDefault="00993A5D" w:rsidP="004D14CB">
      <w:pPr>
        <w:pStyle w:val="Citation-AltC"/>
        <w:rPr>
          <w:rFonts w:cs="Times New Roman"/>
          <w:szCs w:val="24"/>
          <w:lang w:val="fr-CA"/>
        </w:rPr>
      </w:pPr>
      <w:r w:rsidRPr="00D23596">
        <w:rPr>
          <w:rFonts w:cs="Times New Roman"/>
          <w:smallCaps/>
          <w:szCs w:val="24"/>
          <w:lang w:val="fr-CA"/>
        </w:rPr>
        <w:t>[traduction]</w:t>
      </w:r>
      <w:r>
        <w:rPr>
          <w:rFonts w:cs="Times New Roman"/>
          <w:smallCaps/>
          <w:szCs w:val="24"/>
          <w:lang w:val="fr-CA"/>
        </w:rPr>
        <w:t xml:space="preserve"> </w:t>
      </w:r>
      <w:r w:rsidR="004D14CB" w:rsidRPr="00D23596">
        <w:rPr>
          <w:rFonts w:cs="Times New Roman"/>
          <w:szCs w:val="24"/>
          <w:lang w:val="fr-CA"/>
        </w:rPr>
        <w:t>Les locataires de cette maison en rangée, à la différence des locataires d</w:t>
      </w:r>
      <w:r w:rsidR="004D14CB">
        <w:rPr>
          <w:rFonts w:cs="Times New Roman"/>
          <w:szCs w:val="24"/>
          <w:lang w:val="fr-CA"/>
        </w:rPr>
        <w:t>’</w:t>
      </w:r>
      <w:r w:rsidR="004D14CB" w:rsidRPr="00D23596">
        <w:rPr>
          <w:rFonts w:cs="Times New Roman"/>
          <w:szCs w:val="24"/>
          <w:lang w:val="fr-CA"/>
        </w:rPr>
        <w:t>un immeuble de 100 logements, avaient accès non seulement à la porte d</w:t>
      </w:r>
      <w:r w:rsidR="004D14CB">
        <w:rPr>
          <w:rFonts w:cs="Times New Roman"/>
          <w:szCs w:val="24"/>
          <w:lang w:val="fr-CA"/>
        </w:rPr>
        <w:t>’</w:t>
      </w:r>
      <w:r w:rsidR="004D14CB" w:rsidRPr="00D23596">
        <w:rPr>
          <w:rFonts w:cs="Times New Roman"/>
          <w:szCs w:val="24"/>
          <w:lang w:val="fr-CA"/>
        </w:rPr>
        <w:t>entrée de la résidence de la victime, mais aussi à la porte de sa chambre à coucher et aux aires communes qu</w:t>
      </w:r>
      <w:r w:rsidR="004D14CB">
        <w:rPr>
          <w:rFonts w:cs="Times New Roman"/>
          <w:szCs w:val="24"/>
          <w:lang w:val="fr-CA"/>
        </w:rPr>
        <w:t>’</w:t>
      </w:r>
      <w:r w:rsidR="004D14CB" w:rsidRPr="00D23596">
        <w:rPr>
          <w:rFonts w:cs="Times New Roman"/>
          <w:szCs w:val="24"/>
          <w:lang w:val="fr-CA"/>
        </w:rPr>
        <w:t>ils partageaient avec elle, c</w:t>
      </w:r>
      <w:r w:rsidR="004D14CB">
        <w:rPr>
          <w:rFonts w:cs="Times New Roman"/>
          <w:szCs w:val="24"/>
          <w:lang w:val="fr-CA"/>
        </w:rPr>
        <w:t>’</w:t>
      </w:r>
      <w:r w:rsidR="004D14CB" w:rsidRPr="00D23596">
        <w:rPr>
          <w:rFonts w:cs="Times New Roman"/>
          <w:szCs w:val="24"/>
          <w:lang w:val="fr-CA"/>
        </w:rPr>
        <w:t>est</w:t>
      </w:r>
      <w:r w:rsidR="004D14CB" w:rsidRPr="00D23596">
        <w:rPr>
          <w:rFonts w:cs="Times New Roman"/>
          <w:szCs w:val="24"/>
          <w:lang w:val="fr-CA"/>
        </w:rPr>
        <w:noBreakHyphen/>
      </w:r>
      <w:proofErr w:type="spellStart"/>
      <w:r w:rsidR="004D14CB" w:rsidRPr="00D23596">
        <w:rPr>
          <w:rFonts w:cs="Times New Roman"/>
          <w:szCs w:val="24"/>
          <w:lang w:val="fr-CA"/>
        </w:rPr>
        <w:t>à</w:t>
      </w:r>
      <w:r w:rsidR="004D14CB" w:rsidRPr="00D23596">
        <w:rPr>
          <w:rFonts w:cs="Times New Roman"/>
          <w:szCs w:val="24"/>
          <w:lang w:val="fr-CA"/>
        </w:rPr>
        <w:noBreakHyphen/>
        <w:t>dire</w:t>
      </w:r>
      <w:proofErr w:type="spellEnd"/>
      <w:r w:rsidR="004D14CB" w:rsidRPr="00D23596">
        <w:rPr>
          <w:rFonts w:cs="Times New Roman"/>
          <w:szCs w:val="24"/>
          <w:lang w:val="fr-CA"/>
        </w:rPr>
        <w:t xml:space="preserve"> la salle de bain, la cuisine, la salle à manger et le salon.  Les locataires d</w:t>
      </w:r>
      <w:r w:rsidR="004D14CB">
        <w:rPr>
          <w:rFonts w:cs="Times New Roman"/>
          <w:szCs w:val="24"/>
          <w:lang w:val="fr-CA"/>
        </w:rPr>
        <w:t>’</w:t>
      </w:r>
      <w:r w:rsidR="004D14CB" w:rsidRPr="00D23596">
        <w:rPr>
          <w:rFonts w:cs="Times New Roman"/>
          <w:szCs w:val="24"/>
          <w:lang w:val="fr-CA"/>
        </w:rPr>
        <w:t>un immeuble de 100 logements peuvent sortir de leur chambre à coucher et se rendre à leur salle de bain en toute intimité.  Ce n</w:t>
      </w:r>
      <w:r w:rsidR="004D14CB">
        <w:rPr>
          <w:rFonts w:cs="Times New Roman"/>
          <w:szCs w:val="24"/>
          <w:lang w:val="fr-CA"/>
        </w:rPr>
        <w:t>’</w:t>
      </w:r>
      <w:r w:rsidR="004D14CB" w:rsidRPr="00D23596">
        <w:rPr>
          <w:rFonts w:cs="Times New Roman"/>
          <w:szCs w:val="24"/>
          <w:lang w:val="fr-CA"/>
        </w:rPr>
        <w:t xml:space="preserve">est pas le cas dans cette maison en rangée.  Le juge qui a délivré le mandat aurait pu considérer que les résidences des locataires de </w:t>
      </w:r>
      <w:proofErr w:type="spellStart"/>
      <w:r w:rsidR="004D14CB" w:rsidRPr="00D23596">
        <w:rPr>
          <w:rFonts w:cs="Times New Roman"/>
          <w:szCs w:val="24"/>
          <w:lang w:val="fr-CA"/>
        </w:rPr>
        <w:t>celle</w:t>
      </w:r>
      <w:r w:rsidR="004D14CB" w:rsidRPr="00D23596">
        <w:rPr>
          <w:rFonts w:cs="Times New Roman"/>
          <w:szCs w:val="24"/>
          <w:lang w:val="fr-CA"/>
        </w:rPr>
        <w:noBreakHyphen/>
        <w:t>ci</w:t>
      </w:r>
      <w:proofErr w:type="spellEnd"/>
      <w:r w:rsidR="004D14CB" w:rsidRPr="00D23596">
        <w:rPr>
          <w:rFonts w:cs="Times New Roman"/>
          <w:szCs w:val="24"/>
          <w:lang w:val="fr-CA"/>
        </w:rPr>
        <w:t xml:space="preserve"> étaient étroitement reliées les unes aux autres, à la différence des logements dans un grand immeuble.  [</w:t>
      </w:r>
      <w:proofErr w:type="gramStart"/>
      <w:r w:rsidR="004D14CB" w:rsidRPr="00D23596">
        <w:rPr>
          <w:rFonts w:cs="Times New Roman"/>
          <w:szCs w:val="24"/>
          <w:lang w:val="fr-CA"/>
        </w:rPr>
        <w:t>par</w:t>
      </w:r>
      <w:proofErr w:type="gramEnd"/>
      <w:r w:rsidR="004D14CB" w:rsidRPr="00D23596">
        <w:rPr>
          <w:rFonts w:cs="Times New Roman"/>
          <w:szCs w:val="24"/>
          <w:lang w:val="fr-CA"/>
        </w:rPr>
        <w:t>. 59]</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lastRenderedPageBreak/>
        <w:t>Je souscris à ce point de vue.  À mon humble avis, M. Campbell n</w:t>
      </w:r>
      <w:r>
        <w:rPr>
          <w:rFonts w:cs="Times New Roman"/>
          <w:szCs w:val="24"/>
          <w:lang w:val="fr-CA"/>
        </w:rPr>
        <w:t>’</w:t>
      </w:r>
      <w:r w:rsidRPr="00D23596">
        <w:rPr>
          <w:rFonts w:cs="Times New Roman"/>
          <w:szCs w:val="24"/>
          <w:lang w:val="fr-CA"/>
        </w:rPr>
        <w:t>a pas  établi en bout de ligne qu</w:t>
      </w:r>
      <w:r>
        <w:rPr>
          <w:rFonts w:cs="Times New Roman"/>
          <w:szCs w:val="24"/>
          <w:lang w:val="fr-CA"/>
        </w:rPr>
        <w:t>’</w:t>
      </w:r>
      <w:r w:rsidRPr="00D23596">
        <w:rPr>
          <w:rFonts w:cs="Times New Roman"/>
          <w:szCs w:val="24"/>
          <w:lang w:val="fr-CA"/>
        </w:rPr>
        <w:t>il n</w:t>
      </w:r>
      <w:r>
        <w:rPr>
          <w:rFonts w:cs="Times New Roman"/>
          <w:szCs w:val="24"/>
          <w:lang w:val="fr-CA"/>
        </w:rPr>
        <w:t>’</w:t>
      </w:r>
      <w:r w:rsidRPr="00D23596">
        <w:rPr>
          <w:rFonts w:cs="Times New Roman"/>
          <w:szCs w:val="24"/>
          <w:lang w:val="fr-CA"/>
        </w:rPr>
        <w:t>y avait pas suffisamment de motifs pour justifier la délivrance d</w:t>
      </w:r>
      <w:r>
        <w:rPr>
          <w:rFonts w:cs="Times New Roman"/>
          <w:szCs w:val="24"/>
          <w:lang w:val="fr-CA"/>
        </w:rPr>
        <w:t>’</w:t>
      </w:r>
      <w:r w:rsidRPr="00D23596">
        <w:rPr>
          <w:rFonts w:cs="Times New Roman"/>
          <w:szCs w:val="24"/>
          <w:lang w:val="fr-CA"/>
        </w:rPr>
        <w:t>un mandat autorisant la fouille de sa chambre.  La perquisition et la saisie étaient donc constitutionnelles.</w:t>
      </w:r>
    </w:p>
    <w:p w:rsidR="004D14CB" w:rsidRPr="00D23596" w:rsidRDefault="004D14CB" w:rsidP="004D14CB">
      <w:pPr>
        <w:pStyle w:val="ParaNoNdepar-AltN"/>
        <w:tabs>
          <w:tab w:val="clear" w:pos="1242"/>
          <w:tab w:val="num" w:pos="1152"/>
        </w:tabs>
        <w:ind w:left="0"/>
        <w:rPr>
          <w:rFonts w:cs="Times New Roman"/>
          <w:szCs w:val="24"/>
          <w:lang w:val="fr-CA"/>
        </w:rPr>
      </w:pPr>
      <w:r w:rsidRPr="00D23596">
        <w:rPr>
          <w:rFonts w:cs="Times New Roman"/>
          <w:szCs w:val="24"/>
          <w:lang w:val="fr-CA"/>
        </w:rPr>
        <w:t>Je suis d</w:t>
      </w:r>
      <w:r>
        <w:rPr>
          <w:rFonts w:cs="Times New Roman"/>
          <w:szCs w:val="24"/>
          <w:lang w:val="fr-CA"/>
        </w:rPr>
        <w:t>’</w:t>
      </w:r>
      <w:r w:rsidRPr="00D23596">
        <w:rPr>
          <w:rFonts w:cs="Times New Roman"/>
          <w:szCs w:val="24"/>
          <w:lang w:val="fr-CA"/>
        </w:rPr>
        <w:t>avis de rejeter le pourvoi.</w:t>
      </w:r>
    </w:p>
    <w:p w:rsidR="0033393C" w:rsidRPr="00431074" w:rsidRDefault="00431074" w:rsidP="008C27CE">
      <w:pPr>
        <w:pStyle w:val="SCCNormalDoubleSpacing"/>
        <w:spacing w:after="480"/>
        <w:rPr>
          <w:i/>
        </w:rPr>
      </w:pPr>
      <w:r w:rsidRPr="00431074">
        <w:rPr>
          <w:i/>
        </w:rPr>
        <w:tab/>
        <w:t xml:space="preserve">Pourvoi </w:t>
      </w:r>
      <w:r w:rsidR="00252501">
        <w:rPr>
          <w:i/>
        </w:rPr>
        <w:t>rejeté</w:t>
      </w:r>
      <w:r w:rsidRPr="00431074">
        <w:rPr>
          <w:i/>
        </w:rPr>
        <w:t>.</w:t>
      </w:r>
    </w:p>
    <w:p w:rsidR="00431074" w:rsidRDefault="00431074" w:rsidP="008C27CE">
      <w:pPr>
        <w:pStyle w:val="SCCLawFirm"/>
        <w:spacing w:after="480"/>
      </w:pPr>
      <w:r>
        <w:tab/>
        <w:t>Procureurs de l’appelant</w:t>
      </w:r>
      <w:r w:rsidR="008C27CE">
        <w:t> : </w:t>
      </w:r>
      <w:proofErr w:type="spellStart"/>
      <w:r>
        <w:t>Derstine</w:t>
      </w:r>
      <w:proofErr w:type="spellEnd"/>
      <w:r>
        <w:t xml:space="preserve">, </w:t>
      </w:r>
      <w:proofErr w:type="spellStart"/>
      <w:r>
        <w:t>Penman</w:t>
      </w:r>
      <w:proofErr w:type="spellEnd"/>
      <w:r>
        <w:t>, Toronto.</w:t>
      </w:r>
    </w:p>
    <w:p w:rsidR="00431074" w:rsidRDefault="00431074" w:rsidP="008C27CE">
      <w:pPr>
        <w:pStyle w:val="SCCLawFirm"/>
        <w:spacing w:after="480"/>
      </w:pPr>
      <w:r>
        <w:tab/>
        <w:t>Procureur de l’intimée</w:t>
      </w:r>
      <w:r w:rsidR="008C27CE">
        <w:t> : </w:t>
      </w:r>
      <w:r w:rsidR="00A3270C">
        <w:t>P</w:t>
      </w:r>
      <w:r>
        <w:t>rocureur général de l’Ontario, Toronto.</w:t>
      </w:r>
    </w:p>
    <w:p w:rsidR="0043088E" w:rsidRPr="00252501" w:rsidRDefault="00431074" w:rsidP="004D14CB">
      <w:pPr>
        <w:pStyle w:val="SCCLawFirm"/>
        <w:rPr>
          <w:lang w:val="en-US"/>
        </w:rPr>
      </w:pPr>
      <w:r>
        <w:tab/>
        <w:t>Procureurs de l’intervenante</w:t>
      </w:r>
      <w:r w:rsidR="008C27CE">
        <w:t> : </w:t>
      </w:r>
      <w:proofErr w:type="spellStart"/>
      <w:r>
        <w:t>Sack</w:t>
      </w:r>
      <w:proofErr w:type="spellEnd"/>
      <w:r>
        <w:t xml:space="preserve"> </w:t>
      </w:r>
      <w:proofErr w:type="spellStart"/>
      <w:r>
        <w:t>Goldblatt</w:t>
      </w:r>
      <w:proofErr w:type="spellEnd"/>
      <w:r>
        <w:t xml:space="preserve"> Mitchell, Toronto.</w:t>
      </w:r>
      <w:r w:rsidR="004D14CB" w:rsidRPr="00252501">
        <w:rPr>
          <w:lang w:val="en-US"/>
        </w:rPr>
        <w:t xml:space="preserve"> </w:t>
      </w:r>
    </w:p>
    <w:sectPr w:rsidR="0043088E" w:rsidRPr="00252501" w:rsidSect="00A3270C">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A7" w:rsidRDefault="00994BA7">
      <w:r>
        <w:separator/>
      </w:r>
    </w:p>
  </w:endnote>
  <w:endnote w:type="continuationSeparator" w:id="0">
    <w:p w:rsidR="00994BA7" w:rsidRDefault="00994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A7" w:rsidRDefault="00994BA7">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A7" w:rsidRDefault="00994B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A7" w:rsidRDefault="00994BA7">
      <w:r>
        <w:separator/>
      </w:r>
    </w:p>
  </w:footnote>
  <w:footnote w:type="continuationSeparator" w:id="0">
    <w:p w:rsidR="00994BA7" w:rsidRDefault="00994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A7" w:rsidRDefault="00994BA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9719"/>
      <w:docPartObj>
        <w:docPartGallery w:val="Page Numbers (Top of Page)"/>
        <w:docPartUnique/>
      </w:docPartObj>
    </w:sdtPr>
    <w:sdtContent>
      <w:p w:rsidR="00994BA7" w:rsidRDefault="00994BA7">
        <w:pPr>
          <w:pStyle w:val="Header"/>
          <w:jc w:val="center"/>
        </w:pPr>
        <w:r>
          <w:t xml:space="preserve">- </w:t>
        </w:r>
        <w:fldSimple w:instr=" PAGE   \* MERGEFORMAT ">
          <w:r w:rsidR="00025320">
            <w:rPr>
              <w:noProof/>
            </w:rPr>
            <w:t>2</w:t>
          </w:r>
        </w:fldSimple>
        <w:r>
          <w:t xml:space="preserve"> -</w:t>
        </w:r>
      </w:p>
    </w:sdtContent>
  </w:sdt>
  <w:p w:rsidR="00994BA7" w:rsidRDefault="00994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69183738"/>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0"/>
  </w:num>
  <w:num w:numId="5">
    <w:abstractNumId w:val="13"/>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rsids>
    <w:rsidRoot w:val="0031414C"/>
    <w:rsid w:val="00025198"/>
    <w:rsid w:val="00025320"/>
    <w:rsid w:val="0004287C"/>
    <w:rsid w:val="00045CF6"/>
    <w:rsid w:val="00055A36"/>
    <w:rsid w:val="000578A3"/>
    <w:rsid w:val="00064563"/>
    <w:rsid w:val="000648CC"/>
    <w:rsid w:val="00094DE0"/>
    <w:rsid w:val="000A5321"/>
    <w:rsid w:val="000B1655"/>
    <w:rsid w:val="000C59B8"/>
    <w:rsid w:val="00111DE2"/>
    <w:rsid w:val="00116B38"/>
    <w:rsid w:val="0013109F"/>
    <w:rsid w:val="00135406"/>
    <w:rsid w:val="00135972"/>
    <w:rsid w:val="00140667"/>
    <w:rsid w:val="001426A9"/>
    <w:rsid w:val="00154D7C"/>
    <w:rsid w:val="001570B0"/>
    <w:rsid w:val="00172A04"/>
    <w:rsid w:val="00175A97"/>
    <w:rsid w:val="00185394"/>
    <w:rsid w:val="001A451D"/>
    <w:rsid w:val="001B33E0"/>
    <w:rsid w:val="001B4573"/>
    <w:rsid w:val="001C779F"/>
    <w:rsid w:val="001D2AC1"/>
    <w:rsid w:val="001D7A22"/>
    <w:rsid w:val="001E072E"/>
    <w:rsid w:val="001F7673"/>
    <w:rsid w:val="00220FC2"/>
    <w:rsid w:val="00224FC0"/>
    <w:rsid w:val="00225EA4"/>
    <w:rsid w:val="00226EAF"/>
    <w:rsid w:val="00231F3A"/>
    <w:rsid w:val="002406EE"/>
    <w:rsid w:val="00252501"/>
    <w:rsid w:val="002745CC"/>
    <w:rsid w:val="002D39A4"/>
    <w:rsid w:val="002E6705"/>
    <w:rsid w:val="002F696C"/>
    <w:rsid w:val="0030329A"/>
    <w:rsid w:val="00307AFD"/>
    <w:rsid w:val="0031086F"/>
    <w:rsid w:val="00310E05"/>
    <w:rsid w:val="0031414C"/>
    <w:rsid w:val="00314E01"/>
    <w:rsid w:val="0032089D"/>
    <w:rsid w:val="0033393C"/>
    <w:rsid w:val="00333FB8"/>
    <w:rsid w:val="0034770C"/>
    <w:rsid w:val="0035259D"/>
    <w:rsid w:val="003866EC"/>
    <w:rsid w:val="00394476"/>
    <w:rsid w:val="003A15EE"/>
    <w:rsid w:val="003A4C70"/>
    <w:rsid w:val="003A4E15"/>
    <w:rsid w:val="003C2AF6"/>
    <w:rsid w:val="003C799C"/>
    <w:rsid w:val="003E1C71"/>
    <w:rsid w:val="003F327B"/>
    <w:rsid w:val="003F7CE9"/>
    <w:rsid w:val="004059A7"/>
    <w:rsid w:val="00406166"/>
    <w:rsid w:val="00411300"/>
    <w:rsid w:val="00426659"/>
    <w:rsid w:val="0043088E"/>
    <w:rsid w:val="00431074"/>
    <w:rsid w:val="00441219"/>
    <w:rsid w:val="004439D8"/>
    <w:rsid w:val="00454603"/>
    <w:rsid w:val="00456BBD"/>
    <w:rsid w:val="00464079"/>
    <w:rsid w:val="00465132"/>
    <w:rsid w:val="00480C90"/>
    <w:rsid w:val="0048396F"/>
    <w:rsid w:val="00493C18"/>
    <w:rsid w:val="00494CDC"/>
    <w:rsid w:val="004973FA"/>
    <w:rsid w:val="004A600C"/>
    <w:rsid w:val="004C478D"/>
    <w:rsid w:val="004D14CB"/>
    <w:rsid w:val="004D2045"/>
    <w:rsid w:val="004E6A2C"/>
    <w:rsid w:val="00521AE8"/>
    <w:rsid w:val="00527180"/>
    <w:rsid w:val="00536719"/>
    <w:rsid w:val="005564A7"/>
    <w:rsid w:val="005C7674"/>
    <w:rsid w:val="005E4698"/>
    <w:rsid w:val="00602884"/>
    <w:rsid w:val="00625C35"/>
    <w:rsid w:val="00634E1B"/>
    <w:rsid w:val="00645057"/>
    <w:rsid w:val="00654858"/>
    <w:rsid w:val="006565F4"/>
    <w:rsid w:val="0066578C"/>
    <w:rsid w:val="00681AD1"/>
    <w:rsid w:val="006A56F1"/>
    <w:rsid w:val="006A7F87"/>
    <w:rsid w:val="006B5FF5"/>
    <w:rsid w:val="006C5661"/>
    <w:rsid w:val="006D4790"/>
    <w:rsid w:val="006D7669"/>
    <w:rsid w:val="006E453D"/>
    <w:rsid w:val="006E4BB3"/>
    <w:rsid w:val="006F796E"/>
    <w:rsid w:val="00701759"/>
    <w:rsid w:val="00702C6F"/>
    <w:rsid w:val="007079A7"/>
    <w:rsid w:val="00747288"/>
    <w:rsid w:val="00747DD3"/>
    <w:rsid w:val="00752F4E"/>
    <w:rsid w:val="00753D9F"/>
    <w:rsid w:val="007549C8"/>
    <w:rsid w:val="00762D30"/>
    <w:rsid w:val="00763377"/>
    <w:rsid w:val="00766D14"/>
    <w:rsid w:val="00767A0F"/>
    <w:rsid w:val="007834A8"/>
    <w:rsid w:val="00791D0F"/>
    <w:rsid w:val="007A05F6"/>
    <w:rsid w:val="007B6F4A"/>
    <w:rsid w:val="007C2543"/>
    <w:rsid w:val="007E1C47"/>
    <w:rsid w:val="007E337A"/>
    <w:rsid w:val="007E5C70"/>
    <w:rsid w:val="007E7AD2"/>
    <w:rsid w:val="007F2FF5"/>
    <w:rsid w:val="00817190"/>
    <w:rsid w:val="00831587"/>
    <w:rsid w:val="008322BD"/>
    <w:rsid w:val="00855307"/>
    <w:rsid w:val="00862CF3"/>
    <w:rsid w:val="00864CF8"/>
    <w:rsid w:val="00874914"/>
    <w:rsid w:val="00892E1A"/>
    <w:rsid w:val="008958F5"/>
    <w:rsid w:val="008A6558"/>
    <w:rsid w:val="008A727C"/>
    <w:rsid w:val="008C01DA"/>
    <w:rsid w:val="008C27CE"/>
    <w:rsid w:val="008F16D9"/>
    <w:rsid w:val="008F78E9"/>
    <w:rsid w:val="00902462"/>
    <w:rsid w:val="00921D37"/>
    <w:rsid w:val="009403F3"/>
    <w:rsid w:val="00957FA2"/>
    <w:rsid w:val="00966913"/>
    <w:rsid w:val="00967374"/>
    <w:rsid w:val="0097543E"/>
    <w:rsid w:val="00983F3F"/>
    <w:rsid w:val="00985C69"/>
    <w:rsid w:val="0099079B"/>
    <w:rsid w:val="00993A5D"/>
    <w:rsid w:val="00994BA7"/>
    <w:rsid w:val="009B04FE"/>
    <w:rsid w:val="009B2EFA"/>
    <w:rsid w:val="009B2F23"/>
    <w:rsid w:val="009B53E2"/>
    <w:rsid w:val="009B57B3"/>
    <w:rsid w:val="009B5A4E"/>
    <w:rsid w:val="009D5AEB"/>
    <w:rsid w:val="009E0E73"/>
    <w:rsid w:val="009F383F"/>
    <w:rsid w:val="00A05F0E"/>
    <w:rsid w:val="00A21107"/>
    <w:rsid w:val="00A21B90"/>
    <w:rsid w:val="00A24E15"/>
    <w:rsid w:val="00A3270C"/>
    <w:rsid w:val="00A417AF"/>
    <w:rsid w:val="00A548CB"/>
    <w:rsid w:val="00A6242E"/>
    <w:rsid w:val="00A643E7"/>
    <w:rsid w:val="00A73C38"/>
    <w:rsid w:val="00AB0E6F"/>
    <w:rsid w:val="00AC6322"/>
    <w:rsid w:val="00AC6943"/>
    <w:rsid w:val="00AC7437"/>
    <w:rsid w:val="00AC7A44"/>
    <w:rsid w:val="00AF03C5"/>
    <w:rsid w:val="00B000D8"/>
    <w:rsid w:val="00B00F75"/>
    <w:rsid w:val="00B145B6"/>
    <w:rsid w:val="00B50C81"/>
    <w:rsid w:val="00B557F8"/>
    <w:rsid w:val="00B64972"/>
    <w:rsid w:val="00B66DD8"/>
    <w:rsid w:val="00B8145D"/>
    <w:rsid w:val="00B815FC"/>
    <w:rsid w:val="00B91C0E"/>
    <w:rsid w:val="00B93FBC"/>
    <w:rsid w:val="00B94E87"/>
    <w:rsid w:val="00BB0A5B"/>
    <w:rsid w:val="00C02092"/>
    <w:rsid w:val="00C057F7"/>
    <w:rsid w:val="00C0663B"/>
    <w:rsid w:val="00C24C8C"/>
    <w:rsid w:val="00C24D91"/>
    <w:rsid w:val="00C52532"/>
    <w:rsid w:val="00C53F14"/>
    <w:rsid w:val="00C55C2E"/>
    <w:rsid w:val="00C600CF"/>
    <w:rsid w:val="00C6084F"/>
    <w:rsid w:val="00C62A66"/>
    <w:rsid w:val="00C62A6F"/>
    <w:rsid w:val="00C67CA5"/>
    <w:rsid w:val="00C71458"/>
    <w:rsid w:val="00C71F58"/>
    <w:rsid w:val="00C77613"/>
    <w:rsid w:val="00C828E7"/>
    <w:rsid w:val="00C841EC"/>
    <w:rsid w:val="00C8477A"/>
    <w:rsid w:val="00C921DD"/>
    <w:rsid w:val="00CA4D82"/>
    <w:rsid w:val="00CA6391"/>
    <w:rsid w:val="00CC1256"/>
    <w:rsid w:val="00CE3171"/>
    <w:rsid w:val="00CF1601"/>
    <w:rsid w:val="00D32032"/>
    <w:rsid w:val="00D32086"/>
    <w:rsid w:val="00D37A3F"/>
    <w:rsid w:val="00D45FCF"/>
    <w:rsid w:val="00D4667A"/>
    <w:rsid w:val="00D510BB"/>
    <w:rsid w:val="00D5435D"/>
    <w:rsid w:val="00D74F2E"/>
    <w:rsid w:val="00D91F6D"/>
    <w:rsid w:val="00DA0590"/>
    <w:rsid w:val="00DC1788"/>
    <w:rsid w:val="00DF0CA8"/>
    <w:rsid w:val="00DF49A7"/>
    <w:rsid w:val="00E01106"/>
    <w:rsid w:val="00E0775A"/>
    <w:rsid w:val="00E07EE2"/>
    <w:rsid w:val="00E2316E"/>
    <w:rsid w:val="00E24573"/>
    <w:rsid w:val="00E3325B"/>
    <w:rsid w:val="00E377A1"/>
    <w:rsid w:val="00E45109"/>
    <w:rsid w:val="00E45397"/>
    <w:rsid w:val="00E54B02"/>
    <w:rsid w:val="00E8433C"/>
    <w:rsid w:val="00E921D1"/>
    <w:rsid w:val="00E97830"/>
    <w:rsid w:val="00E97C1F"/>
    <w:rsid w:val="00EA03E5"/>
    <w:rsid w:val="00EE0FAF"/>
    <w:rsid w:val="00F00EB7"/>
    <w:rsid w:val="00F101FB"/>
    <w:rsid w:val="00F2258E"/>
    <w:rsid w:val="00F33658"/>
    <w:rsid w:val="00F36AB6"/>
    <w:rsid w:val="00F409CE"/>
    <w:rsid w:val="00F665FA"/>
    <w:rsid w:val="00F84DF4"/>
    <w:rsid w:val="00F853FB"/>
    <w:rsid w:val="00F85C97"/>
    <w:rsid w:val="00FA2FE1"/>
    <w:rsid w:val="00FA7F3A"/>
    <w:rsid w:val="00FB3FD6"/>
    <w:rsid w:val="00FB50FD"/>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9B5A4E"/>
    <w:pPr>
      <w:numPr>
        <w:numId w:val="1"/>
      </w:numPr>
      <w:spacing w:before="480" w:after="480" w:line="480" w:lineRule="auto"/>
      <w:jc w:val="both"/>
    </w:pPr>
    <w:rPr>
      <w:rFonts w:eastAsiaTheme="minorEastAsia" w:cstheme="minorBidi"/>
      <w:sz w:val="24"/>
      <w:szCs w:val="22"/>
      <w:lang w:eastAsia="en-US"/>
    </w:rPr>
  </w:style>
  <w:style w:type="paragraph" w:styleId="ListParagraph">
    <w:name w:val="List Paragraph"/>
    <w:basedOn w:val="Normal"/>
    <w:uiPriority w:val="34"/>
    <w:rsid w:val="004D14CB"/>
    <w:pPr>
      <w:ind w:left="720"/>
    </w:pPr>
    <w:rPr>
      <w:rFonts w:eastAsiaTheme="minorHAnsi" w:cstheme="minorBidi"/>
      <w:lang w:val="en-CA"/>
    </w:rPr>
  </w:style>
  <w:style w:type="paragraph" w:styleId="NoSpacing">
    <w:name w:val="No Spacing"/>
    <w:uiPriority w:val="1"/>
    <w:rsid w:val="004D14CB"/>
    <w:rPr>
      <w:sz w:val="24"/>
    </w:rPr>
  </w:style>
  <w:style w:type="paragraph" w:customStyle="1" w:styleId="SCCLsocOtherPartyRoleSeparator">
    <w:name w:val="SCC.Lsoc.OtherPartyRoleSeparator"/>
    <w:basedOn w:val="Normal"/>
    <w:next w:val="Normal"/>
    <w:link w:val="SCCLsocOtherPartyRoleSeparatorChar"/>
    <w:rsid w:val="004D14CB"/>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4D14CB"/>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4D14C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D14CB"/>
    <w:rPr>
      <w:rFonts w:eastAsiaTheme="minorHAnsi" w:cstheme="minorBidi"/>
      <w:sz w:val="24"/>
      <w:szCs w:val="22"/>
      <w:lang w:eastAsia="en-US"/>
    </w:rPr>
  </w:style>
  <w:style w:type="character" w:customStyle="1" w:styleId="SCCBanSummaryChar">
    <w:name w:val="SCC.BanSummary Char"/>
    <w:basedOn w:val="DefaultParagraphFont"/>
    <w:link w:val="SCCBanSummary"/>
    <w:rsid w:val="004D14CB"/>
    <w:rPr>
      <w:b/>
      <w:sz w:val="24"/>
      <w:lang w:val="fr-CA"/>
    </w:rPr>
  </w:style>
  <w:style w:type="table" w:styleId="TableGrid">
    <w:name w:val="Table Grid"/>
    <w:basedOn w:val="TableNormal"/>
    <w:uiPriority w:val="59"/>
    <w:rsid w:val="004D14CB"/>
    <w:pPr>
      <w:spacing w:line="276" w:lineRule="auto"/>
    </w:pPr>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rsid w:val="004D14CB"/>
    <w:pPr>
      <w:spacing w:after="720"/>
      <w:ind w:left="1166"/>
      <w:contextualSpacing/>
      <w:jc w:val="both"/>
    </w:pPr>
    <w:rPr>
      <w:rFonts w:eastAsiaTheme="minorHAnsi" w:cstheme="minorBidi"/>
      <w:lang w:val="en-CA"/>
    </w:rPr>
  </w:style>
  <w:style w:type="paragraph" w:customStyle="1" w:styleId="JudgeJuge">
    <w:name w:val="Judge / Juge"/>
    <w:link w:val="JudgeJugeChar"/>
    <w:uiPriority w:val="3"/>
    <w:rsid w:val="004D14CB"/>
    <w:pPr>
      <w:tabs>
        <w:tab w:val="left" w:pos="1260"/>
      </w:tabs>
      <w:spacing w:after="480" w:line="480" w:lineRule="auto"/>
    </w:pPr>
    <w:rPr>
      <w:rFonts w:eastAsiaTheme="minorHAnsi" w:cstheme="minorBidi"/>
      <w:smallCaps/>
      <w:sz w:val="24"/>
      <w:szCs w:val="24"/>
      <w:lang w:val="en-US" w:eastAsia="en-US"/>
    </w:rPr>
  </w:style>
  <w:style w:type="paragraph" w:customStyle="1" w:styleId="Citation-AltC">
    <w:name w:val="Citation - Alt C"/>
    <w:uiPriority w:val="2"/>
    <w:qFormat/>
    <w:rsid w:val="004D14CB"/>
    <w:pPr>
      <w:spacing w:after="720"/>
      <w:ind w:left="1166"/>
      <w:contextualSpacing/>
      <w:jc w:val="both"/>
    </w:pPr>
    <w:rPr>
      <w:rFonts w:eastAsiaTheme="minorHAnsi" w:cstheme="minorBidi"/>
      <w:sz w:val="24"/>
    </w:rPr>
  </w:style>
  <w:style w:type="character" w:styleId="CommentReference">
    <w:name w:val="annotation reference"/>
    <w:basedOn w:val="DefaultParagraphFont"/>
    <w:uiPriority w:val="99"/>
    <w:semiHidden/>
    <w:unhideWhenUsed/>
    <w:rsid w:val="004D14CB"/>
    <w:rPr>
      <w:sz w:val="16"/>
      <w:szCs w:val="16"/>
    </w:rPr>
  </w:style>
  <w:style w:type="paragraph" w:styleId="CommentText">
    <w:name w:val="annotation text"/>
    <w:basedOn w:val="Normal"/>
    <w:link w:val="CommentTextChar"/>
    <w:uiPriority w:val="99"/>
    <w:semiHidden/>
    <w:unhideWhenUsed/>
    <w:rsid w:val="004D14CB"/>
    <w:rPr>
      <w:rFonts w:eastAsiaTheme="minorHAnsi" w:cstheme="minorBidi"/>
      <w:sz w:val="20"/>
      <w:lang w:val="en-CA"/>
    </w:rPr>
  </w:style>
  <w:style w:type="character" w:customStyle="1" w:styleId="CommentTextChar">
    <w:name w:val="Comment Text Char"/>
    <w:basedOn w:val="DefaultParagraphFont"/>
    <w:link w:val="CommentText"/>
    <w:uiPriority w:val="99"/>
    <w:semiHidden/>
    <w:rsid w:val="004D14CB"/>
    <w:rPr>
      <w:rFonts w:eastAsiaTheme="minorHAnsi" w:cstheme="minorBidi"/>
    </w:rPr>
  </w:style>
  <w:style w:type="paragraph" w:styleId="CommentSubject">
    <w:name w:val="annotation subject"/>
    <w:basedOn w:val="CommentText"/>
    <w:next w:val="CommentText"/>
    <w:link w:val="CommentSubjectChar"/>
    <w:uiPriority w:val="99"/>
    <w:semiHidden/>
    <w:unhideWhenUsed/>
    <w:rsid w:val="004D14CB"/>
    <w:rPr>
      <w:b/>
      <w:bCs/>
    </w:rPr>
  </w:style>
  <w:style w:type="character" w:customStyle="1" w:styleId="CommentSubjectChar">
    <w:name w:val="Comment Subject Char"/>
    <w:basedOn w:val="CommentTextChar"/>
    <w:link w:val="CommentSubject"/>
    <w:uiPriority w:val="99"/>
    <w:semiHidden/>
    <w:rsid w:val="004D14CB"/>
    <w:rPr>
      <w:b/>
      <w:bCs/>
    </w:rPr>
  </w:style>
  <w:style w:type="paragraph" w:customStyle="1" w:styleId="ContinueParaSuitedupar-AltP">
    <w:name w:val="Continue Para. / Suite du par. - Alt P"/>
    <w:next w:val="ParaNoNdepar-AltN"/>
    <w:uiPriority w:val="1"/>
    <w:qFormat/>
    <w:rsid w:val="004D14CB"/>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4D14CB"/>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4D14CB"/>
    <w:rPr>
      <w:rFonts w:eastAsiaTheme="minorHAnsi" w:cstheme="minorBidi"/>
      <w:smallCaps/>
      <w:sz w:val="24"/>
      <w:szCs w:val="24"/>
      <w:lang w:val="en-US" w:eastAsia="en-US"/>
    </w:rPr>
  </w:style>
  <w:style w:type="table" w:customStyle="1" w:styleId="TableGrid1">
    <w:name w:val="Table Grid1"/>
    <w:basedOn w:val="TableNormal"/>
    <w:next w:val="TableGrid"/>
    <w:uiPriority w:val="59"/>
    <w:rsid w:val="00E2316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1810-2A82-4ABC-96BF-E0F942C0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3671</Words>
  <Characters>18586</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2011-06-24T12:19:00Z</dcterms:created>
  <dcterms:modified xsi:type="dcterms:W3CDTF">2011-12-12T19:20:00Z</dcterms:modified>
</cp:coreProperties>
</file>